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wmf" ContentType="image/x-wmf"/>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2E058A97">
      <w:pPr>
        <w:pStyle w:val="65"/>
        <w:spacing w:line="360" w:lineRule="auto"/>
        <w:jc w:val="center"/>
        <w:rPr>
          <w:rFonts w:hint="default" w:ascii="Times New Roman" w:hAnsi="Times New Roman" w:eastAsia="宋体" w:cs="Times New Roman"/>
          <w:b/>
          <w:color w:val="auto"/>
          <w:kern w:val="2"/>
          <w:sz w:val="72"/>
          <w:szCs w:val="72"/>
          <w:lang w:val="en-US" w:eastAsia="zh-CN"/>
        </w:rPr>
      </w:pPr>
      <w:bookmarkStart w:id="0" w:name="_GoBack"/>
      <w:bookmarkEnd w:id="0"/>
    </w:p>
    <w:p w14:paraId="0091DF03">
      <w:pPr>
        <w:pStyle w:val="65"/>
        <w:spacing w:line="360" w:lineRule="auto"/>
        <w:jc w:val="center"/>
        <w:rPr>
          <w:rFonts w:hint="default" w:ascii="Times New Roman" w:hAnsi="Times New Roman" w:eastAsia="宋体" w:cs="Times New Roman"/>
          <w:b/>
          <w:color w:val="auto"/>
          <w:kern w:val="2"/>
          <w:sz w:val="72"/>
          <w:szCs w:val="72"/>
          <w:lang w:val="en-US" w:eastAsia="zh-CN"/>
        </w:rPr>
      </w:pPr>
      <w:r>
        <w:rPr>
          <w:rFonts w:hint="default" w:ascii="Times New Roman" w:hAnsi="Times New Roman" w:eastAsia="宋体" w:cs="Times New Roman"/>
          <w:b/>
          <w:color w:val="auto"/>
          <w:kern w:val="2"/>
          <w:sz w:val="72"/>
          <w:szCs w:val="72"/>
          <w:lang w:val="en-US" w:eastAsia="zh-CN"/>
        </w:rPr>
        <w:t>建设项目环境影响报告表</w:t>
      </w:r>
    </w:p>
    <w:p w14:paraId="444E2262">
      <w:pPr>
        <w:pStyle w:val="75"/>
        <w:spacing w:line="360" w:lineRule="auto"/>
        <w:jc w:val="center"/>
        <w:rPr>
          <w:rFonts w:hint="default" w:ascii="Times New Roman" w:hAnsi="Times New Roman" w:eastAsia="宋体" w:cs="Times New Roman"/>
          <w:b/>
          <w:color w:val="auto"/>
          <w:sz w:val="32"/>
          <w:szCs w:val="32"/>
          <w:lang w:eastAsia="zh-CN"/>
        </w:rPr>
      </w:pPr>
      <w:r>
        <w:rPr>
          <w:rFonts w:hint="default" w:ascii="Times New Roman" w:hAnsi="Times New Roman" w:eastAsia="宋体" w:cs="Times New Roman"/>
          <w:b/>
          <w:color w:val="auto"/>
          <w:sz w:val="32"/>
          <w:szCs w:val="32"/>
          <w:lang w:eastAsia="zh-CN"/>
        </w:rPr>
        <w:t>（</w:t>
      </w:r>
      <w:r>
        <w:rPr>
          <w:rFonts w:hint="eastAsia" w:ascii="Times New Roman" w:hAnsi="Times New Roman" w:eastAsia="宋体" w:cs="Times New Roman"/>
          <w:b/>
          <w:color w:val="auto"/>
          <w:sz w:val="32"/>
          <w:szCs w:val="32"/>
          <w:lang w:val="en-US" w:eastAsia="zh-CN"/>
        </w:rPr>
        <w:t>污染影响类</w:t>
      </w:r>
      <w:r>
        <w:rPr>
          <w:rFonts w:hint="eastAsia" w:ascii="Times New Roman" w:hAnsi="Times New Roman" w:eastAsia="宋体" w:cs="Times New Roman"/>
          <w:b/>
          <w:color w:val="auto"/>
          <w:sz w:val="32"/>
          <w:szCs w:val="32"/>
          <w:lang w:eastAsia="zh-CN"/>
        </w:rPr>
        <w:t>）（</w:t>
      </w:r>
      <w:r>
        <w:rPr>
          <w:rFonts w:hint="eastAsia" w:ascii="Times New Roman" w:hAnsi="Times New Roman" w:eastAsia="宋体" w:cs="Times New Roman"/>
          <w:b/>
          <w:color w:val="auto"/>
          <w:sz w:val="32"/>
          <w:szCs w:val="32"/>
          <w:lang w:val="en-US" w:eastAsia="zh-CN"/>
        </w:rPr>
        <w:t>报批本</w:t>
      </w:r>
      <w:r>
        <w:rPr>
          <w:rFonts w:hint="eastAsia" w:ascii="Times New Roman" w:hAnsi="Times New Roman" w:eastAsia="宋体" w:cs="Times New Roman"/>
          <w:b/>
          <w:color w:val="auto"/>
          <w:sz w:val="32"/>
          <w:szCs w:val="32"/>
          <w:lang w:eastAsia="zh-CN"/>
        </w:rPr>
        <w:t>）</w:t>
      </w:r>
    </w:p>
    <w:p w14:paraId="106C8C59">
      <w:pPr>
        <w:pStyle w:val="75"/>
        <w:spacing w:line="360" w:lineRule="auto"/>
        <w:rPr>
          <w:rFonts w:hint="default" w:ascii="Times New Roman" w:hAnsi="Times New Roman" w:eastAsia="宋体" w:cs="Times New Roman"/>
          <w:color w:val="auto"/>
          <w:lang w:eastAsia="zh-CN"/>
        </w:rPr>
      </w:pPr>
      <w:r>
        <w:rPr>
          <w:rFonts w:hint="eastAsia" w:ascii="Times New Roman" w:hAnsi="Times New Roman" w:eastAsia="宋体" w:cs="Times New Roman"/>
          <w:b/>
          <w:color w:val="auto"/>
          <w:sz w:val="32"/>
          <w:szCs w:val="32"/>
          <w:lang w:val="en-US" w:eastAsia="zh-CN"/>
        </w:rPr>
        <w:t xml:space="preserve"> </w:t>
      </w:r>
    </w:p>
    <w:p w14:paraId="3E1F9C73">
      <w:pPr>
        <w:pStyle w:val="75"/>
        <w:spacing w:line="360" w:lineRule="auto"/>
        <w:rPr>
          <w:rFonts w:hint="default" w:ascii="Times New Roman" w:hAnsi="Times New Roman" w:eastAsia="宋体" w:cs="Times New Roman"/>
          <w:color w:val="auto"/>
          <w:lang w:eastAsia="zh-CN"/>
        </w:rPr>
      </w:pPr>
    </w:p>
    <w:p w14:paraId="2C1CA323">
      <w:pPr>
        <w:pStyle w:val="75"/>
        <w:spacing w:line="360" w:lineRule="auto"/>
        <w:rPr>
          <w:rFonts w:hint="default" w:ascii="Times New Roman" w:hAnsi="Times New Roman" w:eastAsia="宋体" w:cs="Times New Roman"/>
          <w:color w:val="auto"/>
          <w:lang w:eastAsia="zh-CN"/>
        </w:rPr>
      </w:pPr>
    </w:p>
    <w:p w14:paraId="15B308AF">
      <w:pPr>
        <w:pStyle w:val="75"/>
        <w:spacing w:line="360" w:lineRule="auto"/>
        <w:rPr>
          <w:rFonts w:hint="default" w:ascii="Times New Roman" w:hAnsi="Times New Roman" w:eastAsia="宋体" w:cs="Times New Roman"/>
          <w:color w:val="auto"/>
          <w:lang w:eastAsia="zh-CN"/>
        </w:rPr>
      </w:pPr>
    </w:p>
    <w:p w14:paraId="53D217B8">
      <w:pPr>
        <w:spacing w:line="360" w:lineRule="auto"/>
        <w:rPr>
          <w:rFonts w:hint="default" w:ascii="Times New Roman" w:hAnsi="Times New Roman" w:eastAsia="宋体" w:cs="Times New Roman"/>
          <w:color w:val="auto"/>
          <w:sz w:val="28"/>
        </w:rPr>
      </w:pPr>
    </w:p>
    <w:tbl>
      <w:tblPr>
        <w:tblStyle w:val="28"/>
        <w:tblW w:w="0" w:type="auto"/>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1695"/>
        <w:gridCol w:w="1009"/>
        <w:gridCol w:w="5525"/>
      </w:tblGrid>
      <w:tr w14:paraId="5396F4E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1695" w:type="dxa"/>
            <w:tcBorders>
              <w:tl2br w:val="nil"/>
              <w:tr2bl w:val="nil"/>
            </w:tcBorders>
            <w:noWrap w:val="0"/>
            <w:vAlign w:val="center"/>
          </w:tcPr>
          <w:p w14:paraId="6485A0D0">
            <w:pPr>
              <w:spacing w:line="360" w:lineRule="auto"/>
              <w:jc w:val="left"/>
              <w:rPr>
                <w:rFonts w:hint="eastAsia" w:ascii="Times New Roman" w:hAnsi="Times New Roman" w:eastAsia="宋体" w:cs="Times New Roman"/>
                <w:b/>
                <w:bCs w:val="0"/>
                <w:color w:val="auto"/>
                <w:sz w:val="32"/>
                <w:szCs w:val="32"/>
                <w:vertAlign w:val="baseline"/>
                <w:lang w:eastAsia="zh-CN"/>
              </w:rPr>
            </w:pPr>
            <w:r>
              <w:rPr>
                <w:rFonts w:hint="default" w:ascii="Times New Roman" w:hAnsi="Times New Roman" w:eastAsia="宋体" w:cs="Times New Roman"/>
                <w:b/>
                <w:bCs w:val="0"/>
                <w:color w:val="auto"/>
                <w:sz w:val="32"/>
                <w:szCs w:val="32"/>
              </w:rPr>
              <w:t>项目名称</w:t>
            </w:r>
            <w:r>
              <w:rPr>
                <w:rFonts w:hint="eastAsia" w:cs="Times New Roman"/>
                <w:b/>
                <w:bCs w:val="0"/>
                <w:color w:val="auto"/>
                <w:sz w:val="32"/>
                <w:szCs w:val="32"/>
                <w:lang w:eastAsia="zh-CN"/>
              </w:rPr>
              <w:t>：</w:t>
            </w:r>
          </w:p>
        </w:tc>
        <w:tc>
          <w:tcPr>
            <w:tcW w:w="6534" w:type="dxa"/>
            <w:gridSpan w:val="2"/>
            <w:tcBorders>
              <w:tl2br w:val="nil"/>
              <w:tr2bl w:val="nil"/>
            </w:tcBorders>
            <w:noWrap w:val="0"/>
            <w:vAlign w:val="center"/>
          </w:tcPr>
          <w:p w14:paraId="4C00119C">
            <w:pPr>
              <w:spacing w:line="360" w:lineRule="auto"/>
              <w:jc w:val="center"/>
              <w:rPr>
                <w:rFonts w:hint="default" w:ascii="Times New Roman" w:hAnsi="Times New Roman" w:eastAsia="宋体" w:cs="Times New Roman"/>
                <w:b/>
                <w:bCs w:val="0"/>
                <w:color w:val="auto"/>
                <w:sz w:val="32"/>
                <w:szCs w:val="32"/>
                <w:u w:val="none"/>
                <w:vertAlign w:val="baseline"/>
                <w:lang w:val="en-US" w:eastAsia="zh-CN"/>
              </w:rPr>
            </w:pPr>
            <w:r>
              <w:rPr>
                <w:rFonts w:hint="eastAsia" w:cs="Times New Roman"/>
                <w:b/>
                <w:bCs w:val="0"/>
                <w:color w:val="auto"/>
                <w:sz w:val="32"/>
                <w:szCs w:val="32"/>
                <w:u w:val="none"/>
                <w:vertAlign w:val="baseline"/>
                <w:lang w:eastAsia="zh-CN"/>
              </w:rPr>
              <w:t>遂宁市安居区废矿物油收集及转运建设项目</w:t>
            </w:r>
          </w:p>
        </w:tc>
      </w:tr>
      <w:tr w14:paraId="1A27D46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2704" w:type="dxa"/>
            <w:gridSpan w:val="2"/>
            <w:tcBorders>
              <w:tl2br w:val="nil"/>
              <w:tr2bl w:val="nil"/>
            </w:tcBorders>
            <w:noWrap w:val="0"/>
            <w:vAlign w:val="center"/>
          </w:tcPr>
          <w:p w14:paraId="1E506B14">
            <w:pPr>
              <w:spacing w:line="360" w:lineRule="auto"/>
              <w:jc w:val="left"/>
              <w:rPr>
                <w:rFonts w:hint="eastAsia" w:ascii="Times New Roman" w:hAnsi="Times New Roman" w:eastAsia="宋体" w:cs="Times New Roman"/>
                <w:b/>
                <w:bCs w:val="0"/>
                <w:color w:val="auto"/>
                <w:sz w:val="32"/>
                <w:szCs w:val="32"/>
                <w:vertAlign w:val="baseline"/>
                <w:lang w:eastAsia="zh-CN"/>
              </w:rPr>
            </w:pPr>
            <w:r>
              <w:rPr>
                <w:rFonts w:hint="default" w:ascii="Times New Roman" w:hAnsi="Times New Roman" w:eastAsia="宋体" w:cs="Times New Roman"/>
                <w:b/>
                <w:bCs w:val="0"/>
                <w:color w:val="auto"/>
                <w:sz w:val="32"/>
              </w:rPr>
              <mc:AlternateContent>
                <mc:Choice Requires="wps">
                  <w:drawing>
                    <wp:anchor distT="0" distB="0" distL="114300" distR="114300" simplePos="0" relativeHeight="251661312" behindDoc="0" locked="0" layoutInCell="1" allowOverlap="1">
                      <wp:simplePos x="0" y="0"/>
                      <wp:positionH relativeFrom="column">
                        <wp:posOffset>1021080</wp:posOffset>
                      </wp:positionH>
                      <wp:positionV relativeFrom="paragraph">
                        <wp:posOffset>10795</wp:posOffset>
                      </wp:positionV>
                      <wp:extent cx="4126230" cy="4445"/>
                      <wp:effectExtent l="0" t="0" r="0" b="0"/>
                      <wp:wrapNone/>
                      <wp:docPr id="2" name="直线 1551"/>
                      <wp:cNvGraphicFramePr/>
                      <a:graphic xmlns:a="http://schemas.openxmlformats.org/drawingml/2006/main">
                        <a:graphicData uri="http://schemas.microsoft.com/office/word/2010/wordprocessingShape">
                          <wps:wsp>
                            <wps:cNvCnPr/>
                            <wps:spPr>
                              <a:xfrm>
                                <a:off x="0" y="0"/>
                                <a:ext cx="4126230" cy="4445"/>
                              </a:xfrm>
                              <a:prstGeom prst="line">
                                <a:avLst/>
                              </a:prstGeom>
                              <a:ln w="9525" cap="flat" cmpd="sng">
                                <a:solidFill>
                                  <a:srgbClr val="000001"/>
                                </a:solidFill>
                                <a:prstDash val="solid"/>
                                <a:headEnd type="none" w="med" len="med"/>
                                <a:tailEnd type="none" w="med" len="med"/>
                              </a:ln>
                            </wps:spPr>
                            <wps:bodyPr upright="1"/>
                          </wps:wsp>
                        </a:graphicData>
                      </a:graphic>
                    </wp:anchor>
                  </w:drawing>
                </mc:Choice>
                <mc:Fallback>
                  <w:pict>
                    <v:line id="直线 1551" o:spid="_x0000_s1026" o:spt="20" style="position:absolute;left:0pt;margin-left:80.4pt;margin-top:0.85pt;height:0.35pt;width:324.9pt;z-index:251661312;mso-width-relative:page;mso-height-relative:page;" filled="f" stroked="t" coordsize="21600,21600" o:gfxdata="UEsDBAoAAAAAAIdO4kAAAAAAAAAAAAAAAAAEAAAAZHJzL1BLAwQUAAAACACHTuJAr8p4GtQAAAAH&#10;AQAADwAAAGRycy9kb3ducmV2LnhtbE2OMU/DMBSEdyT+g/WQulE7KTJViNOhBakLqggMjG78SKLG&#10;z1HsNuXf85hgu9Od7r5yc/WDuOAU+0AGsqUCgdQE11Nr4OP95X4NIiZLzg6B0MA3RthUtzelLVyY&#10;6Q0vdWoFj1AsrIEupbGQMjYdehuXYUTi7CtM3ia2UyvdZGce94PMldLS2574obMjbjtsTvXZG+j3&#10;r4d5lT5dHnfPq1prak4HMmZxl6knEAmv6a8Mv/iMDhUzHcOZXBQDe60YPbF4BMH5OlMaxNFA/gCy&#10;KuV//uoHUEsDBBQAAAAIAIdO4kBygHp57gEAAOEDAAAOAAAAZHJzL2Uyb0RvYy54bWytU82O0zAQ&#10;viPxDpbvNE1oVxA13cOW5YKgEvAAU9tJLPlPHrdpn4XX4MSFx9nXYJx0u7BcetgcnLFn/M1834xX&#10;t0dr2EFF1N41vJzNOVNOeKld1/Dv3+7fvOMMEzgJxjvV8JNCfrt+/Wo1hFpVvvdGqsgIxGE9hIb3&#10;KYW6KFD0ygLOfFCOnK2PFhJtY1fICAOhW1NU8/lNMfgoQ/RCIdLpZnLyM2K8BtC3rRZq48XeKpcm&#10;1KgMJKKEvQ7I12O1batE+tK2qBIzDSemaVwpCdm7vBbrFdRdhNBrcS4BrinhGScL2lHSC9QGErB9&#10;1P9BWS2iR9+mmfC2mIiMihCLcv5Mm689BDVyIakxXETHl4MVnw/byLRseMWZA0sNf/jx8+HXb1Yu&#10;l2WWZwhYU9Sd28bzDsM2Zq7HNtr8JxbsOEp6ukiqjokJOlyU1U31ltQW5FssFssMWTzdDRHTR+Ut&#10;y0bDjXaZMNRw+IRpCn0MycfGsaHh75fVkhCBpq+lrpNpAzFA14130Rst77Ux+QbGbndnIjtAnoD8&#10;jayohH/CcpINYD/Fja5pNnoF8oOTLJ0CaePoSfBcglWSM6PoBWWLCoU6gTbXRFJq40iELOwkZbZ2&#10;Xp6oE/sQddeTElOV2UOdHyU7T2kerb/3I9LTy1z/AV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FsEAABbQ29udGVudF9UeXBlc10ueG1sUEsBAhQA&#10;CgAAAAAAh07iQAAAAAAAAAAAAAAAAAYAAAAAAAAAAAAQAAAAPQMAAF9yZWxzL1BLAQIUABQAAAAI&#10;AIdO4kCKFGY80QAAAJQBAAALAAAAAAAAAAEAIAAAAGEDAABfcmVscy8ucmVsc1BLAQIUAAoAAAAA&#10;AIdO4kAAAAAAAAAAAAAAAAAEAAAAAAAAAAAAEAAAAAAAAABkcnMvUEsBAhQAFAAAAAgAh07iQK/K&#10;eBrUAAAABwEAAA8AAAAAAAAAAQAgAAAAIgAAAGRycy9kb3ducmV2LnhtbFBLAQIUABQAAAAIAIdO&#10;4kBygHp57gEAAOEDAAAOAAAAAAAAAAEAIAAAACMBAABkcnMvZTJvRG9jLnhtbFBLBQYAAAAABgAG&#10;AFkBAACDBQAAAAA=&#10;">
                      <v:fill on="f" focussize="0,0"/>
                      <v:stroke color="#000001" joinstyle="round"/>
                      <v:imagedata o:title=""/>
                      <o:lock v:ext="edit" aspectratio="f"/>
                    </v:line>
                  </w:pict>
                </mc:Fallback>
              </mc:AlternateContent>
            </w:r>
            <w:r>
              <w:rPr>
                <w:rFonts w:hint="default" w:ascii="Times New Roman" w:hAnsi="Times New Roman" w:eastAsia="宋体" w:cs="Times New Roman"/>
                <w:b/>
                <w:bCs w:val="0"/>
                <w:color w:val="auto"/>
                <w:sz w:val="32"/>
                <w:szCs w:val="32"/>
              </w:rPr>
              <w:t>建设单位</w:t>
            </w:r>
            <w:r>
              <w:rPr>
                <w:rFonts w:hint="eastAsia" w:ascii="Times New Roman" w:hAnsi="Times New Roman" w:eastAsia="宋体" w:cs="Times New Roman"/>
                <w:b/>
                <w:bCs w:val="0"/>
                <w:color w:val="auto"/>
                <w:sz w:val="32"/>
                <w:szCs w:val="32"/>
                <w:lang w:eastAsia="zh-CN"/>
              </w:rPr>
              <w:t>（</w:t>
            </w:r>
            <w:r>
              <w:rPr>
                <w:rFonts w:hint="eastAsia" w:ascii="Times New Roman" w:hAnsi="Times New Roman" w:eastAsia="宋体" w:cs="Times New Roman"/>
                <w:b/>
                <w:bCs w:val="0"/>
                <w:color w:val="auto"/>
                <w:sz w:val="32"/>
                <w:szCs w:val="32"/>
                <w:lang w:val="en-US" w:eastAsia="zh-CN"/>
              </w:rPr>
              <w:t>盖章</w:t>
            </w:r>
            <w:r>
              <w:rPr>
                <w:rFonts w:hint="eastAsia" w:cs="Times New Roman"/>
                <w:b/>
                <w:bCs w:val="0"/>
                <w:color w:val="auto"/>
                <w:sz w:val="32"/>
                <w:szCs w:val="32"/>
                <w:lang w:eastAsia="zh-CN"/>
              </w:rPr>
              <w:t>）：</w:t>
            </w:r>
          </w:p>
        </w:tc>
        <w:tc>
          <w:tcPr>
            <w:tcW w:w="5525" w:type="dxa"/>
            <w:tcBorders>
              <w:tl2br w:val="nil"/>
              <w:tr2bl w:val="nil"/>
            </w:tcBorders>
            <w:noWrap w:val="0"/>
            <w:vAlign w:val="center"/>
          </w:tcPr>
          <w:p w14:paraId="10D95E41">
            <w:pPr>
              <w:spacing w:line="360" w:lineRule="auto"/>
              <w:jc w:val="center"/>
              <w:rPr>
                <w:rFonts w:hint="default" w:ascii="Times New Roman" w:hAnsi="Times New Roman" w:eastAsia="宋体" w:cs="Times New Roman"/>
                <w:b/>
                <w:bCs w:val="0"/>
                <w:color w:val="auto"/>
                <w:sz w:val="32"/>
                <w:szCs w:val="32"/>
                <w:u w:val="none"/>
                <w:vertAlign w:val="baseline"/>
                <w:lang w:val="en-US" w:eastAsia="zh-CN"/>
              </w:rPr>
            </w:pPr>
            <w:r>
              <w:rPr>
                <w:rFonts w:hint="eastAsia" w:cs="Times New Roman"/>
                <w:b/>
                <w:bCs w:val="0"/>
                <w:color w:val="auto"/>
                <w:sz w:val="32"/>
                <w:lang w:eastAsia="zh-CN"/>
              </w:rPr>
              <w:t>四川盛鸿杰荣再生资源回收有限公司</w:t>
            </w:r>
          </w:p>
        </w:tc>
      </w:tr>
      <w:tr w14:paraId="6F4987C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0" w:hRule="atLeast"/>
          <w:jc w:val="center"/>
        </w:trPr>
        <w:tc>
          <w:tcPr>
            <w:tcW w:w="1695" w:type="dxa"/>
            <w:tcBorders>
              <w:tl2br w:val="nil"/>
              <w:tr2bl w:val="nil"/>
            </w:tcBorders>
            <w:noWrap w:val="0"/>
            <w:vAlign w:val="center"/>
          </w:tcPr>
          <w:p w14:paraId="118B3B57">
            <w:pPr>
              <w:spacing w:line="360" w:lineRule="auto"/>
              <w:jc w:val="left"/>
              <w:rPr>
                <w:rFonts w:hint="eastAsia" w:ascii="Times New Roman" w:hAnsi="Times New Roman" w:eastAsia="宋体" w:cs="Times New Roman"/>
                <w:b/>
                <w:bCs w:val="0"/>
                <w:color w:val="auto"/>
                <w:sz w:val="32"/>
                <w:szCs w:val="32"/>
                <w:lang w:eastAsia="zh-CN"/>
              </w:rPr>
            </w:pPr>
            <w:r>
              <w:rPr>
                <w:rFonts w:hint="default" w:ascii="Times New Roman" w:hAnsi="Times New Roman" w:eastAsia="宋体" w:cs="Times New Roman"/>
                <w:b/>
                <w:bCs w:val="0"/>
                <w:color w:val="auto"/>
                <w:sz w:val="32"/>
                <w:szCs w:val="32"/>
              </w:rPr>
              <w:t>编制日期</w:t>
            </w:r>
            <w:r>
              <w:rPr>
                <w:rFonts w:hint="eastAsia" w:cs="Times New Roman"/>
                <w:b/>
                <w:bCs w:val="0"/>
                <w:color w:val="auto"/>
                <w:sz w:val="32"/>
                <w:szCs w:val="32"/>
                <w:lang w:eastAsia="zh-CN"/>
              </w:rPr>
              <w:t>：</w:t>
            </w:r>
          </w:p>
        </w:tc>
        <w:tc>
          <w:tcPr>
            <w:tcW w:w="6534" w:type="dxa"/>
            <w:gridSpan w:val="2"/>
            <w:tcBorders>
              <w:tl2br w:val="nil"/>
              <w:tr2bl w:val="nil"/>
            </w:tcBorders>
            <w:noWrap w:val="0"/>
            <w:vAlign w:val="center"/>
          </w:tcPr>
          <w:p w14:paraId="77722399">
            <w:pPr>
              <w:spacing w:line="360" w:lineRule="auto"/>
              <w:jc w:val="center"/>
              <w:rPr>
                <w:rFonts w:hint="default" w:ascii="Times New Roman" w:hAnsi="Times New Roman" w:eastAsia="宋体" w:cs="Times New Roman"/>
                <w:b/>
                <w:bCs w:val="0"/>
                <w:color w:val="auto"/>
                <w:sz w:val="32"/>
              </w:rPr>
            </w:pPr>
            <w:r>
              <w:rPr>
                <w:rFonts w:hint="default" w:ascii="Times New Roman" w:hAnsi="Times New Roman" w:eastAsia="宋体" w:cs="Times New Roman"/>
                <w:color w:val="auto"/>
                <w:sz w:val="32"/>
              </w:rPr>
              <mc:AlternateContent>
                <mc:Choice Requires="wps">
                  <w:drawing>
                    <wp:anchor distT="0" distB="0" distL="114300" distR="114300" simplePos="0" relativeHeight="251660288" behindDoc="0" locked="0" layoutInCell="1" allowOverlap="1">
                      <wp:simplePos x="0" y="0"/>
                      <wp:positionH relativeFrom="column">
                        <wp:posOffset>580390</wp:posOffset>
                      </wp:positionH>
                      <wp:positionV relativeFrom="paragraph">
                        <wp:posOffset>635</wp:posOffset>
                      </wp:positionV>
                      <wp:extent cx="3497580" cy="6985"/>
                      <wp:effectExtent l="0" t="0" r="0" b="0"/>
                      <wp:wrapNone/>
                      <wp:docPr id="1" name="直线 767"/>
                      <wp:cNvGraphicFramePr/>
                      <a:graphic xmlns:a="http://schemas.openxmlformats.org/drawingml/2006/main">
                        <a:graphicData uri="http://schemas.microsoft.com/office/word/2010/wordprocessingShape">
                          <wps:wsp>
                            <wps:cNvCnPr/>
                            <wps:spPr>
                              <a:xfrm flipV="1">
                                <a:off x="0" y="0"/>
                                <a:ext cx="3497580" cy="6985"/>
                              </a:xfrm>
                              <a:prstGeom prst="line">
                                <a:avLst/>
                              </a:prstGeom>
                              <a:ln w="9525" cap="flat" cmpd="sng">
                                <a:solidFill>
                                  <a:srgbClr val="000001"/>
                                </a:solidFill>
                                <a:prstDash val="solid"/>
                                <a:headEnd type="none" w="med" len="med"/>
                                <a:tailEnd type="none" w="med" len="med"/>
                              </a:ln>
                            </wps:spPr>
                            <wps:bodyPr upright="1"/>
                          </wps:wsp>
                        </a:graphicData>
                      </a:graphic>
                    </wp:anchor>
                  </w:drawing>
                </mc:Choice>
                <mc:Fallback>
                  <w:pict>
                    <v:line id="直线 767" o:spid="_x0000_s1026" o:spt="20" style="position:absolute;left:0pt;flip:y;margin-left:45.7pt;margin-top:0.05pt;height:0.55pt;width:275.4pt;z-index:251660288;mso-width-relative:page;mso-height-relative:page;" filled="f" stroked="t" coordsize="21600,21600" o:gfxdata="UEsDBAoAAAAAAIdO4kAAAAAAAAAAAAAAAAAEAAAAZHJzL1BLAwQUAAAACACHTuJA/4Y0JNEAAAAF&#10;AQAADwAAAGRycy9kb3ducmV2LnhtbE2OzW7CMBCE70h9B2uRuIGTCCGaxkG0FQdukFacTbwkEfE6&#10;sg2hb9/l1B7nRzNfsXnYXtzRh86RgnSRgECqnemoUfD9tZuvQYSoyejeESr4wQCb8mVS6Ny4kY54&#10;r2IjeIRCrhW0MQ65lKFu0eqwcAMSZxfnrY4sfSON1yOP215mSbKSVnfED60e8KPF+lrdrIKj3If3&#10;vYuX8bDexsOnP1W4PSk1m6bJG4iIj/hXhic+o0PJTGd3IxNEr+A1XXLz6QtOV8ssA3FmmYEsC/mf&#10;vvwFUEsDBBQAAAAIAIdO4kDE169b8wEAAOoDAAAOAAAAZHJzL2Uyb0RvYy54bWytU0uOEzEQ3SNx&#10;B8t70kkgv1Y6s5gwbBBEGmBfsd3dlvyTy0knZ+EarNhwnLkG5e4QYNhkQS9a5arn53rP5fXdyRp2&#10;VBG1dxWfjMacKSe81K6p+OdPD6+WnGECJ8F4pyp+VsjvNi9frLtQqqlvvZEqMiJxWHah4m1KoSwK&#10;FK2ygCMflKNi7aOFRMvYFDJCR+zWFNPxeF50PsoQvVCIlN0ORX5hjLcQ+rrWQm29OFjl0sAalYFE&#10;krDVAfmm77aulUgf6xpVYqbipDT1fzqE4n3+F5s1lE2E0GpxaQFuaeGZJgva0aFXqi0kYIeo/6Gy&#10;WkSPvk4j4W0xCOkdIRWT8TNvHlsIqtdCVmO4mo7/j1Z8OO4i05ImgTMHli786eu3p+8/2GK+yO50&#10;AUsC3btdvKww7GKWeqqjZbXR4UvenDMkh516b89Xb9UpMUHJ129Wi9mSbBdUm6+Ws0xeDCx5b4iY&#10;3ilvWQ4qbrTLyqGE43tMA/QXJKeNY13FV7PpjBiBxrCm66fQBpKCrun3ojdaPmhj8g6Mzf7eRHaE&#10;PAr5m1xa+AuWD9kCtgOuL2UYlK0C+dZJls6BTHL0NnhuwSrJmVH0lHLUIxNocwuS1BtHJmSLB1Nz&#10;tPfyTFdyCFE3LTkxdJkrNAK9ZZdxzTP257pn+v1ENz8B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XQQAAFtDb250ZW50X1R5cGVzXS54bWxQSwEC&#10;FAAKAAAAAACHTuJAAAAAAAAAAAAAAAAABgAAAAAAAAAAABAAAAA/AwAAX3JlbHMvUEsBAhQAFAAA&#10;AAgAh07iQIoUZjzRAAAAlAEAAAsAAAAAAAAAAQAgAAAAYwMAAF9yZWxzLy5yZWxzUEsBAhQACgAA&#10;AAAAh07iQAAAAAAAAAAAAAAAAAQAAAAAAAAAAAAQAAAAAAAAAGRycy9QSwECFAAUAAAACACHTuJA&#10;/4Y0JNEAAAAFAQAADwAAAAAAAAABACAAAAAiAAAAZHJzL2Rvd25yZXYueG1sUEsBAhQAFAAAAAgA&#10;h07iQMTXr1vzAQAA6gMAAA4AAAAAAAAAAQAgAAAAIAEAAGRycy9lMm9Eb2MueG1sUEsFBgAAAAAG&#10;AAYAWQEAAIUFAAAAAA==&#10;">
                      <v:fill on="f" focussize="0,0"/>
                      <v:stroke color="#000001" joinstyle="round"/>
                      <v:imagedata o:title=""/>
                      <o:lock v:ext="edit" aspectratio="f"/>
                    </v:line>
                  </w:pict>
                </mc:Fallback>
              </mc:AlternateContent>
            </w:r>
            <w:r>
              <w:rPr>
                <w:rFonts w:hint="default" w:ascii="Times New Roman" w:hAnsi="Times New Roman" w:eastAsia="宋体" w:cs="Times New Roman"/>
                <w:b/>
                <w:bCs w:val="0"/>
                <w:color w:val="auto"/>
                <w:sz w:val="32"/>
              </w:rPr>
              <w:t>202</w:t>
            </w:r>
            <w:r>
              <w:rPr>
                <w:rFonts w:hint="eastAsia" w:cs="Times New Roman"/>
                <w:b/>
                <w:bCs w:val="0"/>
                <w:color w:val="auto"/>
                <w:sz w:val="32"/>
                <w:lang w:val="en-US" w:eastAsia="zh-CN"/>
              </w:rPr>
              <w:t>3</w:t>
            </w:r>
            <w:r>
              <w:rPr>
                <w:rFonts w:hint="default" w:ascii="Times New Roman" w:hAnsi="Times New Roman" w:eastAsia="宋体" w:cs="Times New Roman"/>
                <w:b/>
                <w:bCs w:val="0"/>
                <w:color w:val="auto"/>
                <w:sz w:val="32"/>
              </w:rPr>
              <w:t>年</w:t>
            </w:r>
            <w:r>
              <w:rPr>
                <w:rFonts w:hint="eastAsia" w:cs="Times New Roman"/>
                <w:b/>
                <w:bCs w:val="0"/>
                <w:color w:val="auto"/>
                <w:sz w:val="32"/>
                <w:lang w:val="en-US" w:eastAsia="zh-CN"/>
              </w:rPr>
              <w:t>09</w:t>
            </w:r>
            <w:r>
              <w:rPr>
                <w:rFonts w:hint="default" w:ascii="Times New Roman" w:hAnsi="Times New Roman" w:eastAsia="宋体" w:cs="Times New Roman"/>
                <w:b/>
                <w:bCs w:val="0"/>
                <w:color w:val="auto"/>
                <w:sz w:val="32"/>
              </w:rPr>
              <w:t>月</w:t>
            </w:r>
          </w:p>
        </w:tc>
      </w:tr>
    </w:tbl>
    <w:p w14:paraId="21BD9034">
      <w:pPr>
        <w:spacing w:line="360" w:lineRule="auto"/>
        <w:rPr>
          <w:rFonts w:hint="default" w:ascii="Times New Roman" w:hAnsi="Times New Roman" w:eastAsia="宋体" w:cs="Times New Roman"/>
          <w:color w:val="auto"/>
          <w:sz w:val="28"/>
        </w:rPr>
      </w:pPr>
      <w:r>
        <w:rPr>
          <w:rFonts w:hint="default" w:ascii="Times New Roman" w:hAnsi="Times New Roman" w:eastAsia="宋体" w:cs="Times New Roman"/>
          <w:color w:val="auto"/>
          <w:sz w:val="32"/>
        </w:rPr>
        <mc:AlternateContent>
          <mc:Choice Requires="wps">
            <w:drawing>
              <wp:anchor distT="0" distB="0" distL="114300" distR="114300" simplePos="0" relativeHeight="251662336" behindDoc="0" locked="0" layoutInCell="1" allowOverlap="1">
                <wp:simplePos x="0" y="0"/>
                <wp:positionH relativeFrom="column">
                  <wp:posOffset>1346835</wp:posOffset>
                </wp:positionH>
                <wp:positionV relativeFrom="paragraph">
                  <wp:posOffset>6350</wp:posOffset>
                </wp:positionV>
                <wp:extent cx="4123055" cy="6985"/>
                <wp:effectExtent l="0" t="0" r="0" b="0"/>
                <wp:wrapNone/>
                <wp:docPr id="3" name="直线 767"/>
                <wp:cNvGraphicFramePr/>
                <a:graphic xmlns:a="http://schemas.openxmlformats.org/drawingml/2006/main">
                  <a:graphicData uri="http://schemas.microsoft.com/office/word/2010/wordprocessingShape">
                    <wps:wsp>
                      <wps:cNvCnPr/>
                      <wps:spPr>
                        <a:xfrm>
                          <a:off x="0" y="0"/>
                          <a:ext cx="4123055" cy="6985"/>
                        </a:xfrm>
                        <a:prstGeom prst="line">
                          <a:avLst/>
                        </a:prstGeom>
                        <a:ln w="9525" cap="flat" cmpd="sng">
                          <a:solidFill>
                            <a:srgbClr val="000001"/>
                          </a:solidFill>
                          <a:prstDash val="solid"/>
                          <a:headEnd type="none" w="med" len="med"/>
                          <a:tailEnd type="none" w="med" len="med"/>
                        </a:ln>
                      </wps:spPr>
                      <wps:bodyPr upright="1"/>
                    </wps:wsp>
                  </a:graphicData>
                </a:graphic>
              </wp:anchor>
            </w:drawing>
          </mc:Choice>
          <mc:Fallback>
            <w:pict>
              <v:line id="直线 767" o:spid="_x0000_s1026" o:spt="20" style="position:absolute;left:0pt;margin-left:106.05pt;margin-top:0.5pt;height:0.55pt;width:324.65pt;z-index:251662336;mso-width-relative:page;mso-height-relative:page;" filled="f" stroked="t" coordsize="21600,21600" o:gfxdata="UEsDBAoAAAAAAIdO4kAAAAAAAAAAAAAAAAAEAAAAZHJzL1BLAwQUAAAACACHTuJAxwPil9QAAAAH&#10;AQAADwAAAGRycy9kb3ducmV2LnhtbE2Py07DMBBF90j8gzVI7KjjFEVViNMFD4kNqggsWE7jIYka&#10;j6PYbcrfM13BcnSu7j1Tbc9+VCea4xDYgllloIjb4AbuLHx+vNxtQMWE7HAMTBZ+KMK2vr6qsHRh&#10;4Xc6NalTUsKxRAt9SlOpdWx78hhXYSIW9h1mj0nOudNuxkXK/ajzLCu0x4FloceJHntqD83RWxhe&#10;33bLOn25PD49r5ui4PawY2tvb0z2ACrROf2F4aIv6lCL0z4c2UU1WshNbiQqQF4SvinMPaj9BYCu&#10;K/3fv/4FUEsDBBQAAAAIAIdO4kAtq1Qu7AEAAOADAAAOAAAAZHJzL2Uyb0RvYy54bWytU0uS0zAQ&#10;3VPFHVTaEzsZkplxxZnFhGFDQaqAA3Qk2VaVfqVW4uQsXIMVG44z16Blh8yHTRZ4IbfUT0/9nlrL&#10;u4M1bK8iau9qPp2UnCknvNSurfn3bw/vbjjDBE6C8U7V/KiQ363evln2oVIz33kjVWRE4rDqQ827&#10;lEJVFCg6ZQEnPihHycZHC4mmsS1khJ7YrSlmZbkoeh9liF4oRFpdj0l+YoyXEPqm0UKtvdhZ5dLI&#10;GpWBRJKw0wH5aqi2aZRIX5oGVWKm5qQ0DSMdQvE2j8VqCVUbIXRanEqAS0p4pcmCdnTomWoNCdgu&#10;6n+orBbRo2/SRHhbjEIGR0jFtHzlzdcOghq0kNUYzqbj/6MVn/ebyLSs+RVnDixd+OOPn4+/frPr&#10;xXV2pw9YEejebeJphmETs9RDE23+kwh2GBw9nh1Vh8QELb6fzq7K+ZwzQbnF7c08UxZPe0PE9FF5&#10;y3JQc6Nd1gsV7D9hGqF/IXnZONbX/HY+y4xAzdfQpVNoAwlA1w570RstH7QxeQfGdntvIttDboD8&#10;TU8lvIDlQ9aA3YgbUhkGVadAfnCSpWMgaxy9CJ5LsEpyZhQ9oBwNyATaXIIk9caRCdnY0cocbb08&#10;0kXsQtRtR06MVeYMXfxg2alJc2c9nw9MTw9z9Qd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BZBAAAW0NvbnRlbnRfVHlwZXNdLnhtbFBLAQIUAAoA&#10;AAAAAIdO4kAAAAAAAAAAAAAAAAAGAAAAAAAAAAAAEAAAADsDAABfcmVscy9QSwECFAAUAAAACACH&#10;TuJAihRmPNEAAACUAQAACwAAAAAAAAABACAAAABfAwAAX3JlbHMvLnJlbHNQSwECFAAKAAAAAACH&#10;TuJAAAAAAAAAAAAAAAAABAAAAAAAAAAAABAAAAAAAAAAZHJzL1BLAQIUABQAAAAIAIdO4kDHA+KX&#10;1AAAAAcBAAAPAAAAAAAAAAEAIAAAACIAAABkcnMvZG93bnJldi54bWxQSwECFAAUAAAACACHTuJA&#10;LatULuwBAADgAwAADgAAAAAAAAABACAAAAAjAQAAZHJzL2Uyb0RvYy54bWxQSwUGAAAAAAYABgBZ&#10;AQAAgQUAAAAA&#10;">
                <v:fill on="f" focussize="0,0"/>
                <v:stroke color="#000001" joinstyle="round"/>
                <v:imagedata o:title=""/>
                <o:lock v:ext="edit" aspectratio="f"/>
              </v:line>
            </w:pict>
          </mc:Fallback>
        </mc:AlternateContent>
      </w:r>
    </w:p>
    <w:p w14:paraId="3CAAD5FB">
      <w:pPr>
        <w:spacing w:line="360" w:lineRule="auto"/>
        <w:rPr>
          <w:rFonts w:hint="default" w:ascii="Times New Roman" w:hAnsi="Times New Roman" w:eastAsia="宋体" w:cs="Times New Roman"/>
          <w:color w:val="auto"/>
          <w:sz w:val="32"/>
        </w:rPr>
      </w:pPr>
      <w:r>
        <w:rPr>
          <w:rFonts w:hint="default" w:ascii="Times New Roman" w:hAnsi="Times New Roman" w:eastAsia="宋体" w:cs="Times New Roman"/>
          <w:color w:val="auto"/>
          <w:sz w:val="32"/>
        </w:rPr>
        <w:t xml:space="preserve">    </w:t>
      </w:r>
    </w:p>
    <w:p w14:paraId="189E7434">
      <w:pPr>
        <w:pStyle w:val="75"/>
        <w:spacing w:line="360" w:lineRule="auto"/>
        <w:rPr>
          <w:rFonts w:hint="eastAsia" w:ascii="Times New Roman" w:hAnsi="Times New Roman" w:eastAsia="宋体" w:cs="Times New Roman"/>
          <w:color w:val="auto"/>
          <w:lang w:val="en-US" w:eastAsia="zh-CN"/>
        </w:rPr>
      </w:pPr>
    </w:p>
    <w:p w14:paraId="78304B09">
      <w:pPr>
        <w:pStyle w:val="75"/>
        <w:spacing w:line="360" w:lineRule="auto"/>
        <w:rPr>
          <w:rFonts w:hint="default" w:ascii="Times New Roman" w:hAnsi="Times New Roman" w:eastAsia="宋体" w:cs="Times New Roman"/>
          <w:color w:val="auto"/>
          <w:lang w:eastAsia="zh-CN"/>
        </w:rPr>
      </w:pPr>
    </w:p>
    <w:p w14:paraId="7F8D85FA">
      <w:pPr>
        <w:pStyle w:val="75"/>
        <w:spacing w:line="360" w:lineRule="auto"/>
        <w:rPr>
          <w:rFonts w:hint="default" w:ascii="Times New Roman" w:hAnsi="Times New Roman" w:eastAsia="宋体" w:cs="Times New Roman"/>
          <w:color w:val="auto"/>
          <w:lang w:eastAsia="zh-CN"/>
        </w:rPr>
      </w:pPr>
    </w:p>
    <w:p w14:paraId="46BEF4B3">
      <w:pPr>
        <w:spacing w:before="145" w:beforeLines="50" w:line="360" w:lineRule="auto"/>
        <w:jc w:val="both"/>
        <w:rPr>
          <w:rFonts w:hint="default" w:ascii="Times New Roman" w:hAnsi="Times New Roman" w:eastAsia="宋体" w:cs="Times New Roman"/>
          <w:b/>
          <w:color w:val="auto"/>
          <w:sz w:val="32"/>
        </w:rPr>
      </w:pPr>
    </w:p>
    <w:tbl>
      <w:tblPr>
        <w:tblStyle w:val="28"/>
        <w:tblW w:w="8524"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8524"/>
      </w:tblGrid>
      <w:tr w14:paraId="7486842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8524" w:type="dxa"/>
            <w:tcBorders>
              <w:tl2br w:val="nil"/>
              <w:tr2bl w:val="nil"/>
            </w:tcBorders>
            <w:noWrap w:val="0"/>
            <w:vAlign w:val="center"/>
          </w:tcPr>
          <w:p w14:paraId="16F71BAE">
            <w:pPr>
              <w:spacing w:line="360" w:lineRule="auto"/>
              <w:jc w:val="center"/>
              <w:rPr>
                <w:rFonts w:hint="default" w:ascii="Times New Roman" w:hAnsi="Times New Roman" w:eastAsia="宋体" w:cs="Times New Roman"/>
                <w:b/>
                <w:bCs w:val="0"/>
                <w:color w:val="auto"/>
                <w:sz w:val="32"/>
                <w:szCs w:val="32"/>
                <w:u w:val="none"/>
                <w:vertAlign w:val="baseline"/>
                <w:lang w:val="en-US" w:eastAsia="zh-CN"/>
              </w:rPr>
            </w:pPr>
            <w:r>
              <w:rPr>
                <w:rFonts w:hint="default" w:ascii="Times New Roman" w:hAnsi="Times New Roman" w:eastAsia="宋体" w:cs="Times New Roman"/>
                <w:b/>
                <w:bCs w:val="0"/>
                <w:color w:val="auto"/>
                <w:sz w:val="32"/>
                <w:szCs w:val="32"/>
                <w:u w:val="none"/>
                <w:vertAlign w:val="baseline"/>
                <w:lang w:eastAsia="zh-CN"/>
              </w:rPr>
              <w:t>中华人民共和国生态环境部制</w:t>
            </w:r>
          </w:p>
        </w:tc>
      </w:tr>
    </w:tbl>
    <w:p w14:paraId="4499F2F2">
      <w:pPr>
        <w:spacing w:before="145" w:beforeLines="50" w:line="360" w:lineRule="auto"/>
        <w:jc w:val="center"/>
        <w:rPr>
          <w:rFonts w:hint="default" w:ascii="Times New Roman" w:hAnsi="Times New Roman" w:eastAsia="宋体" w:cs="Times New Roman"/>
          <w:b/>
          <w:color w:val="auto"/>
          <w:sz w:val="32"/>
        </w:rPr>
        <w:sectPr>
          <w:headerReference r:id="rId3" w:type="default"/>
          <w:headerReference r:id="rId4" w:type="even"/>
          <w:footerReference r:id="rId5" w:type="even"/>
          <w:pgSz w:w="11906" w:h="16838"/>
          <w:pgMar w:top="1440" w:right="1417" w:bottom="1440" w:left="1417" w:header="851" w:footer="992" w:gutter="0"/>
          <w:pgBorders>
            <w:top w:val="none" w:sz="0" w:space="0"/>
            <w:left w:val="none" w:sz="0" w:space="0"/>
            <w:bottom w:val="none" w:sz="0" w:space="0"/>
            <w:right w:val="none" w:sz="0" w:space="0"/>
          </w:pgBorders>
          <w:pgNumType w:fmt="numberInDash" w:start="1"/>
          <w:cols w:space="720" w:num="1"/>
          <w:rtlGutter w:val="0"/>
          <w:docGrid w:type="lines" w:linePitch="290" w:charSpace="0"/>
        </w:sectPr>
      </w:pPr>
    </w:p>
    <w:p w14:paraId="553659A7">
      <w:pPr>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color w:val="auto"/>
          <w:sz w:val="28"/>
          <w:szCs w:val="28"/>
        </w:rPr>
      </w:pPr>
      <w:r>
        <w:rPr>
          <w:rFonts w:hint="default" w:ascii="Times New Roman" w:hAnsi="Times New Roman" w:eastAsia="宋体" w:cs="Times New Roman"/>
          <w:color w:val="auto"/>
          <w:sz w:val="28"/>
          <w:szCs w:val="28"/>
        </w:rPr>
        <w:t xml:space="preserve"> </w:t>
      </w:r>
    </w:p>
    <w:p w14:paraId="35CF764A">
      <w:pPr>
        <w:spacing w:line="360" w:lineRule="auto"/>
        <w:rPr>
          <w:rFonts w:hint="default" w:ascii="Times New Roman" w:hAnsi="Times New Roman" w:eastAsia="宋体" w:cs="Times New Roman"/>
          <w:b/>
          <w:bCs/>
          <w:snapToGrid w:val="0"/>
          <w:color w:val="auto"/>
          <w:kern w:val="0"/>
          <w:sz w:val="28"/>
          <w:szCs w:val="28"/>
        </w:rPr>
      </w:pPr>
    </w:p>
    <w:p w14:paraId="6AB4E901">
      <w:pPr>
        <w:spacing w:line="360" w:lineRule="auto"/>
        <w:rPr>
          <w:rFonts w:hint="default" w:ascii="Times New Roman" w:hAnsi="Times New Roman" w:eastAsia="宋体" w:cs="Times New Roman"/>
          <w:b/>
          <w:bCs/>
          <w:snapToGrid w:val="0"/>
          <w:color w:val="auto"/>
          <w:kern w:val="0"/>
          <w:sz w:val="28"/>
          <w:szCs w:val="28"/>
          <w:lang w:val="en-US" w:eastAsia="zh-CN" w:bidi="ar-SA"/>
        </w:rPr>
      </w:pPr>
    </w:p>
    <w:p w14:paraId="5046552E">
      <w:pPr>
        <w:spacing w:line="360" w:lineRule="auto"/>
        <w:rPr>
          <w:rFonts w:hint="default" w:ascii="Times New Roman" w:hAnsi="Times New Roman" w:eastAsia="宋体" w:cs="Times New Roman"/>
          <w:b/>
          <w:bCs/>
          <w:snapToGrid w:val="0"/>
          <w:color w:val="auto"/>
          <w:kern w:val="0"/>
          <w:sz w:val="28"/>
          <w:szCs w:val="28"/>
          <w:lang w:val="en-US" w:eastAsia="zh-CN" w:bidi="ar-SA"/>
        </w:rPr>
      </w:pPr>
    </w:p>
    <w:p w14:paraId="5A65E1B2">
      <w:pPr>
        <w:spacing w:line="360" w:lineRule="auto"/>
        <w:rPr>
          <w:rFonts w:hint="default" w:ascii="Times New Roman" w:hAnsi="Times New Roman" w:eastAsia="宋体" w:cs="Times New Roman"/>
          <w:b/>
          <w:bCs/>
          <w:snapToGrid w:val="0"/>
          <w:color w:val="auto"/>
          <w:kern w:val="0"/>
          <w:sz w:val="28"/>
          <w:szCs w:val="28"/>
          <w:lang w:val="en-US" w:eastAsia="zh-CN" w:bidi="ar-SA"/>
        </w:rPr>
      </w:pPr>
    </w:p>
    <w:p w14:paraId="3FD19BB6">
      <w:pPr>
        <w:spacing w:line="360" w:lineRule="auto"/>
        <w:rPr>
          <w:rFonts w:hint="default" w:ascii="Times New Roman" w:hAnsi="Times New Roman" w:eastAsia="宋体" w:cs="Times New Roman"/>
          <w:b/>
          <w:bCs/>
          <w:snapToGrid w:val="0"/>
          <w:color w:val="auto"/>
          <w:kern w:val="0"/>
          <w:sz w:val="28"/>
          <w:szCs w:val="28"/>
          <w:lang w:val="en-US" w:eastAsia="zh-CN" w:bidi="ar-SA"/>
        </w:rPr>
      </w:pPr>
    </w:p>
    <w:p w14:paraId="60DA0224">
      <w:pPr>
        <w:spacing w:line="360" w:lineRule="auto"/>
        <w:rPr>
          <w:rFonts w:hint="default" w:ascii="Times New Roman" w:hAnsi="Times New Roman" w:eastAsia="宋体" w:cs="Times New Roman"/>
          <w:b/>
          <w:bCs/>
          <w:snapToGrid w:val="0"/>
          <w:color w:val="auto"/>
          <w:kern w:val="0"/>
          <w:sz w:val="28"/>
          <w:szCs w:val="28"/>
          <w:lang w:val="en-US" w:eastAsia="zh-CN" w:bidi="ar-SA"/>
        </w:rPr>
      </w:pPr>
    </w:p>
    <w:p w14:paraId="0CA9FC89">
      <w:pPr>
        <w:spacing w:line="360" w:lineRule="auto"/>
        <w:rPr>
          <w:rFonts w:hint="default" w:ascii="Times New Roman" w:hAnsi="Times New Roman" w:eastAsia="宋体" w:cs="Times New Roman"/>
          <w:b/>
          <w:bCs/>
          <w:snapToGrid w:val="0"/>
          <w:color w:val="auto"/>
          <w:kern w:val="0"/>
          <w:sz w:val="28"/>
          <w:szCs w:val="28"/>
          <w:lang w:val="en-US" w:eastAsia="zh-CN" w:bidi="ar-SA"/>
        </w:rPr>
      </w:pPr>
    </w:p>
    <w:p w14:paraId="1F81DAF2">
      <w:pPr>
        <w:spacing w:line="360" w:lineRule="auto"/>
        <w:rPr>
          <w:rFonts w:hint="default" w:ascii="Times New Roman" w:hAnsi="Times New Roman" w:eastAsia="宋体" w:cs="Times New Roman"/>
          <w:b/>
          <w:bCs/>
          <w:snapToGrid w:val="0"/>
          <w:color w:val="auto"/>
          <w:kern w:val="0"/>
          <w:sz w:val="28"/>
          <w:szCs w:val="28"/>
        </w:rPr>
      </w:pPr>
    </w:p>
    <w:p w14:paraId="72AD18B0">
      <w:pPr>
        <w:spacing w:line="360" w:lineRule="auto"/>
        <w:rPr>
          <w:rFonts w:hint="default" w:ascii="Times New Roman" w:hAnsi="Times New Roman" w:eastAsia="宋体" w:cs="Times New Roman"/>
          <w:b/>
          <w:bCs/>
          <w:snapToGrid w:val="0"/>
          <w:color w:val="auto"/>
          <w:kern w:val="0"/>
          <w:sz w:val="28"/>
          <w:szCs w:val="28"/>
        </w:rPr>
      </w:pPr>
    </w:p>
    <w:p w14:paraId="1306B308">
      <w:pPr>
        <w:spacing w:line="360" w:lineRule="auto"/>
        <w:rPr>
          <w:rFonts w:hint="default" w:ascii="Times New Roman" w:hAnsi="Times New Roman" w:eastAsia="宋体" w:cs="Times New Roman"/>
          <w:b/>
          <w:bCs/>
          <w:snapToGrid w:val="0"/>
          <w:color w:val="auto"/>
          <w:kern w:val="0"/>
          <w:sz w:val="28"/>
          <w:szCs w:val="28"/>
        </w:rPr>
        <w:sectPr>
          <w:headerReference r:id="rId6" w:type="default"/>
          <w:footerReference r:id="rId7" w:type="default"/>
          <w:pgSz w:w="11906" w:h="16838"/>
          <w:pgMar w:top="1588" w:right="1134" w:bottom="1588" w:left="1418" w:header="851" w:footer="992" w:gutter="0"/>
          <w:pgBorders>
            <w:top w:val="none" w:sz="0" w:space="0"/>
            <w:left w:val="none" w:sz="0" w:space="0"/>
            <w:bottom w:val="none" w:sz="0" w:space="0"/>
            <w:right w:val="none" w:sz="0" w:space="0"/>
          </w:pgBorders>
          <w:pgNumType w:fmt="decimal"/>
          <w:cols w:space="720" w:num="1"/>
          <w:docGrid w:type="lines" w:linePitch="312" w:charSpace="0"/>
        </w:sectPr>
      </w:pPr>
    </w:p>
    <w:p w14:paraId="5A4EC063">
      <w:pPr>
        <w:spacing w:line="360" w:lineRule="auto"/>
        <w:jc w:val="center"/>
        <w:rPr>
          <w:rFonts w:hint="default" w:ascii="Times New Roman" w:hAnsi="Times New Roman" w:eastAsia="宋体" w:cs="Times New Roman"/>
          <w:b/>
          <w:bCs/>
          <w:snapToGrid w:val="0"/>
          <w:color w:val="auto"/>
          <w:kern w:val="0"/>
          <w:sz w:val="28"/>
          <w:szCs w:val="28"/>
        </w:rPr>
      </w:pPr>
      <w:r>
        <w:rPr>
          <w:rFonts w:hint="default" w:ascii="Times New Roman" w:hAnsi="Times New Roman" w:eastAsia="宋体" w:cs="Times New Roman"/>
          <w:b/>
          <w:bCs/>
          <w:snapToGrid w:val="0"/>
          <w:color w:val="auto"/>
          <w:kern w:val="0"/>
          <w:sz w:val="28"/>
          <w:szCs w:val="28"/>
        </w:rPr>
        <w:t>一</w:t>
      </w:r>
      <w:r>
        <w:rPr>
          <w:rFonts w:hint="eastAsia" w:cs="Times New Roman"/>
          <w:b/>
          <w:bCs/>
          <w:snapToGrid w:val="0"/>
          <w:color w:val="auto"/>
          <w:kern w:val="0"/>
          <w:sz w:val="28"/>
          <w:szCs w:val="28"/>
          <w:lang w:eastAsia="zh-CN"/>
        </w:rPr>
        <w:t>、</w:t>
      </w:r>
      <w:r>
        <w:rPr>
          <w:rFonts w:hint="default" w:ascii="Times New Roman" w:hAnsi="Times New Roman" w:eastAsia="宋体" w:cs="Times New Roman"/>
          <w:b/>
          <w:bCs/>
          <w:snapToGrid w:val="0"/>
          <w:color w:val="auto"/>
          <w:kern w:val="0"/>
          <w:sz w:val="28"/>
          <w:szCs w:val="28"/>
        </w:rPr>
        <w:t>建设项目基本情况</w:t>
      </w:r>
    </w:p>
    <w:tbl>
      <w:tblPr>
        <w:tblStyle w:val="28"/>
        <w:tblW w:w="4982"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53"/>
        <w:gridCol w:w="469"/>
        <w:gridCol w:w="791"/>
        <w:gridCol w:w="2111"/>
        <w:gridCol w:w="1857"/>
        <w:gridCol w:w="3375"/>
      </w:tblGrid>
      <w:tr w14:paraId="739E6E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3" w:hRule="atLeast"/>
          <w:jc w:val="center"/>
        </w:trPr>
        <w:tc>
          <w:tcPr>
            <w:tcW w:w="1033" w:type="pct"/>
            <w:gridSpan w:val="3"/>
            <w:noWrap w:val="0"/>
            <w:vAlign w:val="center"/>
          </w:tcPr>
          <w:p w14:paraId="55BD0949">
            <w:pPr>
              <w:bidi w:val="0"/>
              <w:spacing w:line="360" w:lineRule="auto"/>
              <w:jc w:val="center"/>
              <w:rPr>
                <w:rFonts w:hint="default" w:ascii="Times New Roman" w:hAnsi="Times New Roman" w:eastAsia="宋体" w:cs="Times New Roman"/>
                <w:b/>
                <w:bCs/>
                <w:color w:val="auto"/>
                <w:sz w:val="24"/>
                <w:szCs w:val="24"/>
                <w:lang w:val="en-US" w:eastAsia="zh-CN"/>
              </w:rPr>
            </w:pPr>
            <w:r>
              <w:rPr>
                <w:rFonts w:hint="default" w:ascii="Times New Roman" w:hAnsi="Times New Roman" w:eastAsia="宋体" w:cs="Times New Roman"/>
                <w:b/>
                <w:bCs/>
                <w:color w:val="auto"/>
                <w:sz w:val="24"/>
                <w:szCs w:val="24"/>
              </w:rPr>
              <w:t>建设项目名称</w:t>
            </w:r>
          </w:p>
        </w:tc>
        <w:tc>
          <w:tcPr>
            <w:tcW w:w="3966" w:type="pct"/>
            <w:gridSpan w:val="3"/>
            <w:noWrap w:val="0"/>
            <w:vAlign w:val="center"/>
          </w:tcPr>
          <w:p w14:paraId="5CDAA866">
            <w:pPr>
              <w:bidi w:val="0"/>
              <w:spacing w:line="360" w:lineRule="auto"/>
              <w:jc w:val="center"/>
              <w:rPr>
                <w:rFonts w:hint="eastAsia" w:ascii="Times New Roman" w:hAnsi="Times New Roman" w:eastAsia="宋体" w:cs="Times New Roman"/>
                <w:color w:val="auto"/>
                <w:sz w:val="24"/>
                <w:szCs w:val="24"/>
                <w:lang w:val="en-US" w:eastAsia="zh-CN"/>
              </w:rPr>
            </w:pPr>
            <w:r>
              <w:rPr>
                <w:rFonts w:hint="eastAsia" w:cs="Times New Roman"/>
                <w:color w:val="auto"/>
                <w:sz w:val="24"/>
                <w:szCs w:val="24"/>
                <w:lang w:eastAsia="zh-CN"/>
              </w:rPr>
              <w:t>遂宁市安居区废矿物油收集及转运建设项目</w:t>
            </w:r>
          </w:p>
        </w:tc>
      </w:tr>
      <w:tr w14:paraId="3960641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033" w:type="pct"/>
            <w:gridSpan w:val="3"/>
            <w:noWrap w:val="0"/>
            <w:vAlign w:val="center"/>
          </w:tcPr>
          <w:p w14:paraId="23FFCF34">
            <w:pPr>
              <w:bidi w:val="0"/>
              <w:spacing w:line="360" w:lineRule="auto"/>
              <w:jc w:val="center"/>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4"/>
                <w:szCs w:val="24"/>
              </w:rPr>
              <w:t>项目代码</w:t>
            </w:r>
          </w:p>
        </w:tc>
        <w:tc>
          <w:tcPr>
            <w:tcW w:w="3966" w:type="pct"/>
            <w:gridSpan w:val="3"/>
            <w:noWrap w:val="0"/>
            <w:vAlign w:val="center"/>
          </w:tcPr>
          <w:p w14:paraId="656FAD2D">
            <w:pPr>
              <w:bidi w:val="0"/>
              <w:spacing w:line="360" w:lineRule="auto"/>
              <w:jc w:val="center"/>
              <w:rPr>
                <w:rFonts w:hint="eastAsia" w:ascii="Times New Roman" w:hAnsi="Times New Roman" w:eastAsia="宋体" w:cs="Times New Roman"/>
                <w:color w:val="auto"/>
                <w:sz w:val="24"/>
                <w:szCs w:val="24"/>
                <w:lang w:eastAsia="zh-CN"/>
              </w:rPr>
            </w:pPr>
            <w:r>
              <w:rPr>
                <w:rFonts w:hint="eastAsia" w:cs="Times New Roman"/>
                <w:color w:val="auto"/>
                <w:sz w:val="24"/>
                <w:szCs w:val="24"/>
                <w:lang w:eastAsia="zh-CN"/>
              </w:rPr>
              <w:t>2306-510904-04-01-536821</w:t>
            </w:r>
          </w:p>
        </w:tc>
      </w:tr>
      <w:tr w14:paraId="47AB4C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033" w:type="pct"/>
            <w:gridSpan w:val="3"/>
            <w:noWrap w:val="0"/>
            <w:vAlign w:val="center"/>
          </w:tcPr>
          <w:p w14:paraId="76401B5C">
            <w:pPr>
              <w:bidi w:val="0"/>
              <w:spacing w:line="360" w:lineRule="auto"/>
              <w:jc w:val="center"/>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4"/>
                <w:szCs w:val="24"/>
              </w:rPr>
              <w:t>建设单位联系人</w:t>
            </w:r>
          </w:p>
        </w:tc>
        <w:tc>
          <w:tcPr>
            <w:tcW w:w="1140" w:type="pct"/>
            <w:noWrap w:val="0"/>
            <w:vAlign w:val="center"/>
          </w:tcPr>
          <w:p w14:paraId="78318A2B">
            <w:pPr>
              <w:bidi w:val="0"/>
              <w:spacing w:line="360" w:lineRule="auto"/>
              <w:jc w:val="center"/>
              <w:rPr>
                <w:rFonts w:hint="eastAsia" w:ascii="Times New Roman" w:hAnsi="Times New Roman" w:eastAsia="宋体" w:cs="Times New Roman"/>
                <w:color w:val="auto"/>
                <w:sz w:val="24"/>
                <w:szCs w:val="24"/>
                <w:lang w:eastAsia="zh-CN"/>
              </w:rPr>
            </w:pPr>
            <w:r>
              <w:rPr>
                <w:rFonts w:hint="eastAsia" w:cs="Times New Roman"/>
                <w:color w:val="auto"/>
                <w:sz w:val="24"/>
                <w:szCs w:val="24"/>
                <w:lang w:eastAsia="zh-CN"/>
              </w:rPr>
              <w:t>梁洪波</w:t>
            </w:r>
          </w:p>
        </w:tc>
        <w:tc>
          <w:tcPr>
            <w:tcW w:w="1003" w:type="pct"/>
            <w:noWrap w:val="0"/>
            <w:vAlign w:val="center"/>
          </w:tcPr>
          <w:p w14:paraId="6F7DBB92">
            <w:pPr>
              <w:bidi w:val="0"/>
              <w:spacing w:line="360" w:lineRule="auto"/>
              <w:jc w:val="center"/>
              <w:rPr>
                <w:rFonts w:hint="default" w:ascii="Times New Roman" w:hAnsi="Times New Roman" w:eastAsia="宋体" w:cs="Times New Roman"/>
                <w:color w:val="auto"/>
                <w:sz w:val="24"/>
                <w:szCs w:val="24"/>
              </w:rPr>
            </w:pPr>
            <w:r>
              <w:rPr>
                <w:rFonts w:hint="default" w:ascii="Times New Roman" w:hAnsi="Times New Roman" w:eastAsia="宋体" w:cs="Times New Roman"/>
                <w:b/>
                <w:bCs/>
                <w:color w:val="auto"/>
                <w:sz w:val="24"/>
                <w:szCs w:val="24"/>
              </w:rPr>
              <w:t>联系方式</w:t>
            </w:r>
          </w:p>
        </w:tc>
        <w:tc>
          <w:tcPr>
            <w:tcW w:w="1823" w:type="pct"/>
            <w:noWrap w:val="0"/>
            <w:vAlign w:val="center"/>
          </w:tcPr>
          <w:p w14:paraId="0719E989">
            <w:pPr>
              <w:bidi w:val="0"/>
              <w:spacing w:line="360" w:lineRule="auto"/>
              <w:jc w:val="center"/>
              <w:rPr>
                <w:rFonts w:hint="default" w:ascii="Times New Roman" w:hAnsi="Times New Roman" w:eastAsia="宋体" w:cs="Times New Roman"/>
                <w:color w:val="auto"/>
                <w:sz w:val="24"/>
                <w:szCs w:val="24"/>
              </w:rPr>
            </w:pPr>
            <w:r>
              <w:rPr>
                <w:rFonts w:hint="eastAsia" w:cs="Times New Roman"/>
                <w:color w:val="auto"/>
                <w:sz w:val="24"/>
                <w:szCs w:val="24"/>
                <w:lang w:eastAsia="zh-CN"/>
              </w:rPr>
              <w:t>13909069960</w:t>
            </w:r>
          </w:p>
        </w:tc>
      </w:tr>
      <w:tr w14:paraId="062CD7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3" w:hRule="atLeast"/>
          <w:jc w:val="center"/>
        </w:trPr>
        <w:tc>
          <w:tcPr>
            <w:tcW w:w="1033" w:type="pct"/>
            <w:gridSpan w:val="3"/>
            <w:noWrap w:val="0"/>
            <w:vAlign w:val="center"/>
          </w:tcPr>
          <w:p w14:paraId="32437E83">
            <w:pPr>
              <w:bidi w:val="0"/>
              <w:spacing w:line="360" w:lineRule="auto"/>
              <w:jc w:val="center"/>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4"/>
                <w:szCs w:val="24"/>
              </w:rPr>
              <w:t>建设地点</w:t>
            </w:r>
          </w:p>
        </w:tc>
        <w:tc>
          <w:tcPr>
            <w:tcW w:w="3966" w:type="pct"/>
            <w:gridSpan w:val="3"/>
            <w:noWrap w:val="0"/>
            <w:vAlign w:val="center"/>
          </w:tcPr>
          <w:p w14:paraId="00EF2B68">
            <w:pPr>
              <w:bidi w:val="0"/>
              <w:spacing w:line="360" w:lineRule="auto"/>
              <w:jc w:val="center"/>
              <w:rPr>
                <w:rFonts w:hint="eastAsia" w:ascii="Times New Roman" w:hAnsi="Times New Roman" w:eastAsia="宋体" w:cs="Times New Roman"/>
                <w:color w:val="auto"/>
                <w:sz w:val="24"/>
                <w:szCs w:val="24"/>
                <w:lang w:eastAsia="zh-CN"/>
              </w:rPr>
            </w:pPr>
            <w:r>
              <w:rPr>
                <w:rFonts w:hint="eastAsia"/>
                <w:sz w:val="22"/>
                <w:szCs w:val="28"/>
                <w:lang w:eastAsia="zh-CN"/>
              </w:rPr>
              <w:t>遂宁市安居区演化寺机械工业园红卫桥段（</w:t>
            </w:r>
            <w:r>
              <w:rPr>
                <w:rFonts w:hint="eastAsia"/>
                <w:sz w:val="22"/>
                <w:szCs w:val="28"/>
                <w:lang w:val="en-US" w:eastAsia="zh-CN"/>
              </w:rPr>
              <w:t>1</w:t>
            </w:r>
            <w:r>
              <w:rPr>
                <w:rFonts w:hint="eastAsia"/>
                <w:sz w:val="22"/>
                <w:szCs w:val="28"/>
                <w:lang w:eastAsia="zh-CN"/>
              </w:rPr>
              <w:t>号仓库）</w:t>
            </w:r>
          </w:p>
        </w:tc>
      </w:tr>
      <w:tr w14:paraId="028E30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033" w:type="pct"/>
            <w:gridSpan w:val="3"/>
            <w:noWrap w:val="0"/>
            <w:vAlign w:val="center"/>
          </w:tcPr>
          <w:p w14:paraId="67F66AA5">
            <w:pPr>
              <w:bidi w:val="0"/>
              <w:spacing w:line="360" w:lineRule="auto"/>
              <w:jc w:val="center"/>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4"/>
                <w:szCs w:val="24"/>
              </w:rPr>
              <w:t>地理坐标</w:t>
            </w:r>
          </w:p>
        </w:tc>
        <w:tc>
          <w:tcPr>
            <w:tcW w:w="3966" w:type="pct"/>
            <w:gridSpan w:val="3"/>
            <w:noWrap w:val="0"/>
            <w:vAlign w:val="center"/>
          </w:tcPr>
          <w:p w14:paraId="22DA0B04">
            <w:pPr>
              <w:bidi w:val="0"/>
              <w:spacing w:line="360" w:lineRule="auto"/>
              <w:jc w:val="center"/>
              <w:rPr>
                <w:rFonts w:hint="eastAsia" w:ascii="Times New Roman" w:hAnsi="Times New Roman" w:eastAsia="宋体" w:cs="Times New Roman"/>
                <w:color w:val="auto"/>
                <w:sz w:val="24"/>
                <w:szCs w:val="24"/>
                <w:lang w:eastAsia="zh-CN"/>
              </w:rPr>
            </w:pPr>
            <w:r>
              <w:rPr>
                <w:rFonts w:hint="default" w:ascii="Times New Roman" w:hAnsi="Times New Roman" w:eastAsia="宋体" w:cs="Times New Roman"/>
                <w:color w:val="auto"/>
                <w:sz w:val="24"/>
                <w:szCs w:val="24"/>
              </w:rPr>
              <w:t>（105度</w:t>
            </w:r>
            <w:r>
              <w:rPr>
                <w:rFonts w:hint="eastAsia" w:cs="Times New Roman"/>
                <w:color w:val="auto"/>
                <w:sz w:val="24"/>
                <w:szCs w:val="24"/>
                <w:lang w:val="en-US" w:eastAsia="zh-CN"/>
              </w:rPr>
              <w:t>28</w:t>
            </w:r>
            <w:r>
              <w:rPr>
                <w:rFonts w:hint="default" w:ascii="Times New Roman" w:hAnsi="Times New Roman" w:eastAsia="宋体" w:cs="Times New Roman"/>
                <w:color w:val="auto"/>
                <w:sz w:val="24"/>
                <w:szCs w:val="24"/>
              </w:rPr>
              <w:t>分</w:t>
            </w:r>
            <w:r>
              <w:rPr>
                <w:rFonts w:hint="eastAsia" w:cs="Times New Roman"/>
                <w:color w:val="auto"/>
                <w:sz w:val="24"/>
                <w:szCs w:val="24"/>
                <w:lang w:val="en-US" w:eastAsia="zh-CN"/>
              </w:rPr>
              <w:t>51.5118</w:t>
            </w:r>
            <w:r>
              <w:rPr>
                <w:rFonts w:hint="default" w:ascii="Times New Roman" w:hAnsi="Times New Roman" w:eastAsia="宋体" w:cs="Times New Roman"/>
                <w:color w:val="auto"/>
                <w:sz w:val="24"/>
                <w:szCs w:val="24"/>
              </w:rPr>
              <w:t>秒</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30度</w:t>
            </w:r>
            <w:r>
              <w:rPr>
                <w:rFonts w:hint="eastAsia" w:cs="Times New Roman"/>
                <w:color w:val="auto"/>
                <w:sz w:val="24"/>
                <w:szCs w:val="24"/>
                <w:lang w:val="en-US" w:eastAsia="zh-CN"/>
              </w:rPr>
              <w:t>22</w:t>
            </w:r>
            <w:r>
              <w:rPr>
                <w:rFonts w:hint="default" w:ascii="Times New Roman" w:hAnsi="Times New Roman" w:eastAsia="宋体" w:cs="Times New Roman"/>
                <w:color w:val="auto"/>
                <w:sz w:val="24"/>
                <w:szCs w:val="24"/>
              </w:rPr>
              <w:t>分</w:t>
            </w:r>
            <w:r>
              <w:rPr>
                <w:rFonts w:hint="eastAsia" w:cs="Times New Roman"/>
                <w:color w:val="auto"/>
                <w:sz w:val="24"/>
                <w:szCs w:val="24"/>
                <w:lang w:val="en-US" w:eastAsia="zh-CN"/>
              </w:rPr>
              <w:t>0.5485</w:t>
            </w:r>
            <w:r>
              <w:rPr>
                <w:rFonts w:hint="default" w:ascii="Times New Roman" w:hAnsi="Times New Roman" w:eastAsia="宋体" w:cs="Times New Roman"/>
                <w:color w:val="auto"/>
                <w:sz w:val="24"/>
                <w:szCs w:val="24"/>
              </w:rPr>
              <w:t>秒</w:t>
            </w:r>
            <w:r>
              <w:rPr>
                <w:rFonts w:hint="eastAsia" w:cs="Times New Roman"/>
                <w:color w:val="auto"/>
                <w:sz w:val="24"/>
                <w:szCs w:val="24"/>
                <w:lang w:eastAsia="zh-CN"/>
              </w:rPr>
              <w:t>）</w:t>
            </w:r>
          </w:p>
        </w:tc>
      </w:tr>
      <w:tr w14:paraId="54162A3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033" w:type="pct"/>
            <w:gridSpan w:val="3"/>
            <w:noWrap w:val="0"/>
            <w:vAlign w:val="center"/>
          </w:tcPr>
          <w:p w14:paraId="50A05B5F">
            <w:pPr>
              <w:bidi w:val="0"/>
              <w:spacing w:line="360" w:lineRule="auto"/>
              <w:jc w:val="center"/>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4"/>
                <w:szCs w:val="24"/>
              </w:rPr>
              <w:t>国民经济</w:t>
            </w:r>
          </w:p>
          <w:p w14:paraId="6F9B207E">
            <w:pPr>
              <w:bidi w:val="0"/>
              <w:spacing w:line="360" w:lineRule="auto"/>
              <w:jc w:val="center"/>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4"/>
                <w:szCs w:val="24"/>
              </w:rPr>
              <w:t>行业类别</w:t>
            </w:r>
          </w:p>
        </w:tc>
        <w:tc>
          <w:tcPr>
            <w:tcW w:w="1140" w:type="pct"/>
            <w:noWrap w:val="0"/>
            <w:vAlign w:val="center"/>
          </w:tcPr>
          <w:p w14:paraId="34D4021A">
            <w:pPr>
              <w:bidi w:val="0"/>
              <w:spacing w:line="360" w:lineRule="auto"/>
              <w:jc w:val="center"/>
              <w:rPr>
                <w:rFonts w:hint="eastAsia" w:ascii="Times New Roman" w:hAnsi="Times New Roman" w:eastAsia="宋体" w:cs="Times New Roman"/>
                <w:color w:val="auto"/>
                <w:sz w:val="24"/>
                <w:szCs w:val="24"/>
                <w:lang w:eastAsia="zh-CN"/>
              </w:rPr>
            </w:pPr>
            <w:r>
              <w:rPr>
                <w:rFonts w:hint="eastAsia" w:cs="Times New Roman"/>
                <w:color w:val="auto"/>
                <w:sz w:val="24"/>
                <w:szCs w:val="24"/>
                <w:lang w:eastAsia="zh-CN"/>
              </w:rPr>
              <w:t>G5949其他危险品存储</w:t>
            </w:r>
          </w:p>
        </w:tc>
        <w:tc>
          <w:tcPr>
            <w:tcW w:w="1003" w:type="pct"/>
            <w:noWrap w:val="0"/>
            <w:vAlign w:val="center"/>
          </w:tcPr>
          <w:p w14:paraId="7003CE8A">
            <w:pPr>
              <w:bidi w:val="0"/>
              <w:spacing w:line="360" w:lineRule="auto"/>
              <w:jc w:val="center"/>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建设项目</w:t>
            </w:r>
          </w:p>
          <w:p w14:paraId="58552704">
            <w:pPr>
              <w:bidi w:val="0"/>
              <w:spacing w:line="360" w:lineRule="auto"/>
              <w:jc w:val="center"/>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行业类别</w:t>
            </w:r>
          </w:p>
        </w:tc>
        <w:tc>
          <w:tcPr>
            <w:tcW w:w="1823" w:type="pct"/>
            <w:noWrap w:val="0"/>
            <w:vAlign w:val="center"/>
          </w:tcPr>
          <w:p w14:paraId="511E4C7B">
            <w:pPr>
              <w:numPr>
                <w:ilvl w:val="0"/>
                <w:numId w:val="0"/>
              </w:numPr>
              <w:bidi w:val="0"/>
              <w:spacing w:line="360" w:lineRule="auto"/>
              <w:jc w:val="both"/>
              <w:rPr>
                <w:rFonts w:hint="default" w:ascii="Times New Roman" w:hAnsi="Times New Roman" w:eastAsia="宋体" w:cs="Times New Roman"/>
                <w:color w:val="auto"/>
                <w:sz w:val="24"/>
                <w:szCs w:val="24"/>
                <w:lang w:eastAsia="zh-CN"/>
              </w:rPr>
            </w:pPr>
            <w:r>
              <w:rPr>
                <w:rFonts w:hint="eastAsia" w:ascii="宋体" w:hAnsi="宋体" w:eastAsia="宋体" w:cs="宋体"/>
                <w:color w:val="auto"/>
                <w:sz w:val="24"/>
                <w:szCs w:val="24"/>
                <w:lang w:eastAsia="zh-CN"/>
              </w:rPr>
              <w:t>五十</w:t>
            </w:r>
            <w:r>
              <w:rPr>
                <w:rFonts w:hint="default" w:ascii="Times New Roman" w:hAnsi="Times New Roman" w:eastAsia="宋体" w:cs="Times New Roman"/>
                <w:color w:val="auto"/>
                <w:sz w:val="24"/>
                <w:szCs w:val="24"/>
                <w:lang w:eastAsia="zh-CN"/>
              </w:rPr>
              <w:t>三、装卸搬运和仓储业；危险品仓储594；其他（含有毒、有害、</w:t>
            </w:r>
            <w:r>
              <w:rPr>
                <w:rFonts w:hint="eastAsia" w:ascii="宋体" w:hAnsi="宋体" w:eastAsia="宋体" w:cs="宋体"/>
                <w:color w:val="auto"/>
                <w:sz w:val="24"/>
                <w:szCs w:val="24"/>
                <w:lang w:eastAsia="zh-CN"/>
              </w:rPr>
              <w:t>危险品的仓储；含液化天然气库）”</w:t>
            </w:r>
          </w:p>
        </w:tc>
      </w:tr>
      <w:tr w14:paraId="31FBAE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3" w:hRule="atLeast"/>
          <w:jc w:val="center"/>
        </w:trPr>
        <w:tc>
          <w:tcPr>
            <w:tcW w:w="1033" w:type="pct"/>
            <w:gridSpan w:val="3"/>
            <w:noWrap w:val="0"/>
            <w:vAlign w:val="center"/>
          </w:tcPr>
          <w:p w14:paraId="4D1463A0">
            <w:pPr>
              <w:bidi w:val="0"/>
              <w:spacing w:line="360" w:lineRule="auto"/>
              <w:jc w:val="center"/>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4"/>
                <w:szCs w:val="24"/>
              </w:rPr>
              <w:t>建设性质</w:t>
            </w:r>
          </w:p>
        </w:tc>
        <w:tc>
          <w:tcPr>
            <w:tcW w:w="1140" w:type="pct"/>
            <w:noWrap w:val="0"/>
            <w:vAlign w:val="center"/>
          </w:tcPr>
          <w:p w14:paraId="6AD21C87">
            <w:pPr>
              <w:bidi w:val="0"/>
              <w:spacing w:line="360" w:lineRule="auto"/>
              <w:rPr>
                <w:rFonts w:hint="eastAsia" w:ascii="Times New Roman" w:hAnsi="Times New Roman" w:eastAsia="宋体" w:cs="Times New Roman"/>
                <w:color w:val="auto"/>
                <w:sz w:val="24"/>
                <w:szCs w:val="24"/>
                <w:lang w:eastAsia="zh-CN"/>
              </w:rPr>
            </w:pPr>
            <w:r>
              <w:rPr>
                <w:rFonts w:hint="default" w:ascii="Times New Roman" w:hAnsi="Times New Roman" w:eastAsia="宋体" w:cs="Times New Roman"/>
                <w:color w:val="auto"/>
                <w:sz w:val="24"/>
                <w:szCs w:val="24"/>
              </w:rPr>
              <w:t>☑新建（迁建</w:t>
            </w:r>
            <w:r>
              <w:rPr>
                <w:rFonts w:hint="eastAsia" w:cs="Times New Roman"/>
                <w:color w:val="auto"/>
                <w:sz w:val="24"/>
                <w:szCs w:val="24"/>
                <w:lang w:eastAsia="zh-CN"/>
              </w:rPr>
              <w:t>）</w:t>
            </w:r>
          </w:p>
          <w:p w14:paraId="78AC961E">
            <w:pPr>
              <w:bidi w:val="0"/>
              <w:spacing w:line="360" w:lineRule="auto"/>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□改建</w:t>
            </w:r>
          </w:p>
          <w:p w14:paraId="1296EA16">
            <w:pPr>
              <w:bidi w:val="0"/>
              <w:spacing w:line="360" w:lineRule="auto"/>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□扩建</w:t>
            </w:r>
          </w:p>
          <w:p w14:paraId="3C8419CE">
            <w:pPr>
              <w:bidi w:val="0"/>
              <w:spacing w:line="360" w:lineRule="auto"/>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□技术改造</w:t>
            </w:r>
            <w:r>
              <w:rPr>
                <w:rFonts w:hint="default" w:ascii="Times New Roman" w:hAnsi="Times New Roman" w:eastAsia="宋体" w:cs="Times New Roman"/>
                <w:color w:val="auto"/>
                <w:sz w:val="24"/>
                <w:szCs w:val="24"/>
              </w:rPr>
              <w:tab/>
            </w:r>
          </w:p>
        </w:tc>
        <w:tc>
          <w:tcPr>
            <w:tcW w:w="1003" w:type="pct"/>
            <w:noWrap w:val="0"/>
            <w:vAlign w:val="center"/>
          </w:tcPr>
          <w:p w14:paraId="3F4F8CD0">
            <w:pPr>
              <w:bidi w:val="0"/>
              <w:spacing w:line="360" w:lineRule="auto"/>
              <w:jc w:val="center"/>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4"/>
                <w:szCs w:val="24"/>
              </w:rPr>
              <w:t>建设项目</w:t>
            </w:r>
          </w:p>
          <w:p w14:paraId="238E8A6D">
            <w:pPr>
              <w:bidi w:val="0"/>
              <w:spacing w:line="360" w:lineRule="auto"/>
              <w:jc w:val="center"/>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4"/>
                <w:szCs w:val="24"/>
              </w:rPr>
              <w:t>申报情形</w:t>
            </w:r>
          </w:p>
        </w:tc>
        <w:tc>
          <w:tcPr>
            <w:tcW w:w="1823" w:type="pct"/>
            <w:noWrap w:val="0"/>
            <w:vAlign w:val="center"/>
          </w:tcPr>
          <w:p w14:paraId="2718331D">
            <w:pPr>
              <w:bidi w:val="0"/>
              <w:spacing w:line="360" w:lineRule="auto"/>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 xml:space="preserve">☑首次申报项目             </w:t>
            </w:r>
          </w:p>
          <w:p w14:paraId="112EBBCD">
            <w:pPr>
              <w:bidi w:val="0"/>
              <w:spacing w:line="360" w:lineRule="auto"/>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lang w:eastAsia="zh-CN"/>
              </w:rPr>
              <w:t>□</w:t>
            </w:r>
            <w:r>
              <w:rPr>
                <w:rFonts w:hint="default" w:ascii="Times New Roman" w:hAnsi="Times New Roman" w:eastAsia="宋体" w:cs="Times New Roman"/>
                <w:color w:val="auto"/>
                <w:sz w:val="24"/>
                <w:szCs w:val="24"/>
              </w:rPr>
              <w:t>不予批准后再次申报项目</w:t>
            </w:r>
          </w:p>
          <w:p w14:paraId="262335E2">
            <w:pPr>
              <w:bidi w:val="0"/>
              <w:spacing w:line="360" w:lineRule="auto"/>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lang w:eastAsia="zh-CN"/>
              </w:rPr>
              <w:t>□</w:t>
            </w:r>
            <w:r>
              <w:rPr>
                <w:rFonts w:hint="default" w:ascii="Times New Roman" w:hAnsi="Times New Roman" w:eastAsia="宋体" w:cs="Times New Roman"/>
                <w:color w:val="auto"/>
                <w:sz w:val="24"/>
                <w:szCs w:val="24"/>
              </w:rPr>
              <w:t xml:space="preserve">超五年重新审核项目     </w:t>
            </w:r>
          </w:p>
          <w:p w14:paraId="5239AA0E">
            <w:pPr>
              <w:bidi w:val="0"/>
              <w:spacing w:line="360" w:lineRule="auto"/>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lang w:eastAsia="zh-CN"/>
              </w:rPr>
              <w:t>□</w:t>
            </w:r>
            <w:r>
              <w:rPr>
                <w:rFonts w:hint="default" w:ascii="Times New Roman" w:hAnsi="Times New Roman" w:eastAsia="宋体" w:cs="Times New Roman"/>
                <w:color w:val="auto"/>
                <w:sz w:val="24"/>
                <w:szCs w:val="24"/>
              </w:rPr>
              <w:t>重大变动重新报批项目</w:t>
            </w:r>
          </w:p>
        </w:tc>
      </w:tr>
      <w:tr w14:paraId="6C42A7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3" w:hRule="atLeast"/>
          <w:jc w:val="center"/>
        </w:trPr>
        <w:tc>
          <w:tcPr>
            <w:tcW w:w="1033" w:type="pct"/>
            <w:gridSpan w:val="3"/>
            <w:noWrap w:val="0"/>
            <w:vAlign w:val="center"/>
          </w:tcPr>
          <w:p w14:paraId="35DD4D6F">
            <w:pPr>
              <w:bidi w:val="0"/>
              <w:spacing w:line="360" w:lineRule="auto"/>
              <w:jc w:val="center"/>
              <w:rPr>
                <w:rFonts w:hint="eastAsia" w:ascii="Times New Roman" w:hAnsi="Times New Roman" w:eastAsia="宋体" w:cs="Times New Roman"/>
                <w:b/>
                <w:bCs/>
                <w:color w:val="auto"/>
                <w:sz w:val="24"/>
                <w:szCs w:val="24"/>
                <w:lang w:eastAsia="zh-CN"/>
              </w:rPr>
            </w:pPr>
            <w:r>
              <w:rPr>
                <w:rFonts w:hint="default" w:ascii="Times New Roman" w:hAnsi="Times New Roman" w:eastAsia="宋体" w:cs="Times New Roman"/>
                <w:b/>
                <w:bCs/>
                <w:color w:val="auto"/>
                <w:sz w:val="22"/>
                <w:szCs w:val="22"/>
              </w:rPr>
              <w:t>项目审批（核准/备案</w:t>
            </w:r>
            <w:r>
              <w:rPr>
                <w:rFonts w:hint="eastAsia" w:cs="Times New Roman"/>
                <w:b/>
                <w:bCs/>
                <w:color w:val="auto"/>
                <w:sz w:val="22"/>
                <w:szCs w:val="22"/>
                <w:lang w:eastAsia="zh-CN"/>
              </w:rPr>
              <w:t>）</w:t>
            </w:r>
            <w:r>
              <w:rPr>
                <w:rFonts w:hint="default" w:ascii="Times New Roman" w:hAnsi="Times New Roman" w:eastAsia="宋体" w:cs="Times New Roman"/>
                <w:b/>
                <w:bCs/>
                <w:color w:val="auto"/>
                <w:sz w:val="22"/>
                <w:szCs w:val="22"/>
              </w:rPr>
              <w:t>部门（选填</w:t>
            </w:r>
            <w:r>
              <w:rPr>
                <w:rFonts w:hint="eastAsia" w:cs="Times New Roman"/>
                <w:b/>
                <w:bCs/>
                <w:color w:val="auto"/>
                <w:sz w:val="22"/>
                <w:szCs w:val="22"/>
                <w:lang w:eastAsia="zh-CN"/>
              </w:rPr>
              <w:t>）</w:t>
            </w:r>
          </w:p>
        </w:tc>
        <w:tc>
          <w:tcPr>
            <w:tcW w:w="1140" w:type="pct"/>
            <w:noWrap w:val="0"/>
            <w:vAlign w:val="center"/>
          </w:tcPr>
          <w:p w14:paraId="28E1DE77">
            <w:pPr>
              <w:bidi w:val="0"/>
              <w:spacing w:line="360" w:lineRule="auto"/>
              <w:jc w:val="center"/>
              <w:rPr>
                <w:rFonts w:hint="eastAsia" w:ascii="Times New Roman" w:hAnsi="Times New Roman" w:eastAsia="宋体" w:cs="Times New Roman"/>
                <w:color w:val="auto"/>
                <w:sz w:val="24"/>
                <w:szCs w:val="24"/>
                <w:lang w:eastAsia="zh-CN"/>
              </w:rPr>
            </w:pPr>
            <w:r>
              <w:rPr>
                <w:rFonts w:hint="eastAsia" w:cs="Times New Roman"/>
                <w:color w:val="auto"/>
                <w:sz w:val="24"/>
                <w:szCs w:val="24"/>
                <w:lang w:val="en-US" w:eastAsia="zh-CN"/>
              </w:rPr>
              <w:t>遂宁市</w:t>
            </w:r>
            <w:r>
              <w:rPr>
                <w:rFonts w:hint="eastAsia" w:cs="Times New Roman"/>
                <w:color w:val="auto"/>
                <w:sz w:val="24"/>
                <w:szCs w:val="24"/>
                <w:lang w:eastAsia="zh-CN"/>
              </w:rPr>
              <w:t>安居区发展和改革局</w:t>
            </w:r>
          </w:p>
        </w:tc>
        <w:tc>
          <w:tcPr>
            <w:tcW w:w="1003" w:type="pct"/>
            <w:noWrap w:val="0"/>
            <w:vAlign w:val="center"/>
          </w:tcPr>
          <w:p w14:paraId="7362684F">
            <w:pPr>
              <w:bidi w:val="0"/>
              <w:spacing w:line="360" w:lineRule="auto"/>
              <w:jc w:val="center"/>
              <w:rPr>
                <w:rFonts w:hint="eastAsia" w:ascii="Times New Roman" w:hAnsi="Times New Roman" w:eastAsia="宋体" w:cs="Times New Roman"/>
                <w:b/>
                <w:bCs/>
                <w:color w:val="auto"/>
                <w:sz w:val="24"/>
                <w:szCs w:val="24"/>
                <w:lang w:eastAsia="zh-CN"/>
              </w:rPr>
            </w:pPr>
            <w:r>
              <w:rPr>
                <w:rFonts w:hint="default" w:ascii="Times New Roman" w:hAnsi="Times New Roman" w:eastAsia="宋体" w:cs="Times New Roman"/>
                <w:b/>
                <w:bCs/>
                <w:color w:val="auto"/>
                <w:sz w:val="21"/>
                <w:szCs w:val="21"/>
              </w:rPr>
              <w:t>项目审批（核准/备案</w:t>
            </w:r>
            <w:r>
              <w:rPr>
                <w:rFonts w:hint="eastAsia" w:cs="Times New Roman"/>
                <w:b/>
                <w:bCs/>
                <w:color w:val="auto"/>
                <w:sz w:val="21"/>
                <w:szCs w:val="21"/>
                <w:lang w:eastAsia="zh-CN"/>
              </w:rPr>
              <w:t>）</w:t>
            </w:r>
            <w:r>
              <w:rPr>
                <w:rFonts w:hint="default" w:ascii="Times New Roman" w:hAnsi="Times New Roman" w:eastAsia="宋体" w:cs="Times New Roman"/>
                <w:b/>
                <w:bCs/>
                <w:color w:val="auto"/>
                <w:sz w:val="21"/>
                <w:szCs w:val="21"/>
              </w:rPr>
              <w:t>文号（选填</w:t>
            </w:r>
            <w:r>
              <w:rPr>
                <w:rFonts w:hint="eastAsia" w:cs="Times New Roman"/>
                <w:b/>
                <w:bCs/>
                <w:color w:val="auto"/>
                <w:sz w:val="21"/>
                <w:szCs w:val="21"/>
                <w:lang w:eastAsia="zh-CN"/>
              </w:rPr>
              <w:t>）</w:t>
            </w:r>
          </w:p>
        </w:tc>
        <w:tc>
          <w:tcPr>
            <w:tcW w:w="1823" w:type="pct"/>
            <w:noWrap w:val="0"/>
            <w:vAlign w:val="center"/>
          </w:tcPr>
          <w:p w14:paraId="01ADE059">
            <w:pPr>
              <w:bidi w:val="0"/>
              <w:spacing w:line="360" w:lineRule="auto"/>
              <w:jc w:val="center"/>
              <w:rPr>
                <w:rFonts w:hint="eastAsia" w:ascii="Times New Roman" w:hAnsi="Times New Roman" w:eastAsia="宋体" w:cs="Times New Roman"/>
                <w:color w:val="auto"/>
                <w:sz w:val="24"/>
                <w:szCs w:val="24"/>
                <w:lang w:eastAsia="zh-CN"/>
              </w:rPr>
            </w:pPr>
            <w:r>
              <w:rPr>
                <w:rFonts w:hint="eastAsia" w:cs="Times New Roman"/>
                <w:color w:val="auto"/>
                <w:sz w:val="24"/>
                <w:szCs w:val="24"/>
                <w:lang w:eastAsia="zh-CN"/>
              </w:rPr>
              <w:t>川投资备【2306-510904-04-01-536821】FGQB-0105号</w:t>
            </w:r>
          </w:p>
        </w:tc>
      </w:tr>
      <w:tr w14:paraId="6460C0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033" w:type="pct"/>
            <w:gridSpan w:val="3"/>
            <w:noWrap w:val="0"/>
            <w:vAlign w:val="center"/>
          </w:tcPr>
          <w:p w14:paraId="7853BA27">
            <w:pPr>
              <w:bidi w:val="0"/>
              <w:spacing w:line="360" w:lineRule="auto"/>
              <w:jc w:val="center"/>
              <w:rPr>
                <w:rFonts w:hint="eastAsia" w:ascii="Times New Roman" w:hAnsi="Times New Roman" w:eastAsia="宋体" w:cs="Times New Roman"/>
                <w:b/>
                <w:bCs/>
                <w:color w:val="auto"/>
                <w:sz w:val="24"/>
                <w:szCs w:val="24"/>
                <w:lang w:eastAsia="zh-CN"/>
              </w:rPr>
            </w:pPr>
            <w:r>
              <w:rPr>
                <w:rFonts w:hint="default" w:ascii="Times New Roman" w:hAnsi="Times New Roman" w:eastAsia="宋体" w:cs="Times New Roman"/>
                <w:b/>
                <w:bCs/>
                <w:color w:val="auto"/>
                <w:sz w:val="24"/>
                <w:szCs w:val="24"/>
              </w:rPr>
              <w:t>总投资（万元</w:t>
            </w:r>
            <w:r>
              <w:rPr>
                <w:rFonts w:hint="eastAsia" w:cs="Times New Roman"/>
                <w:b/>
                <w:bCs/>
                <w:color w:val="auto"/>
                <w:sz w:val="24"/>
                <w:szCs w:val="24"/>
                <w:lang w:eastAsia="zh-CN"/>
              </w:rPr>
              <w:t>）</w:t>
            </w:r>
          </w:p>
        </w:tc>
        <w:tc>
          <w:tcPr>
            <w:tcW w:w="1140" w:type="pct"/>
            <w:noWrap w:val="0"/>
            <w:vAlign w:val="center"/>
          </w:tcPr>
          <w:p w14:paraId="4E025F88">
            <w:pPr>
              <w:bidi w:val="0"/>
              <w:spacing w:line="360" w:lineRule="auto"/>
              <w:jc w:val="center"/>
              <w:rPr>
                <w:rFonts w:hint="default" w:ascii="Times New Roman" w:hAnsi="Times New Roman" w:eastAsia="宋体" w:cs="Times New Roman"/>
                <w:color w:val="auto"/>
                <w:sz w:val="24"/>
                <w:szCs w:val="24"/>
                <w:lang w:val="en-US" w:eastAsia="zh-CN"/>
              </w:rPr>
            </w:pPr>
            <w:r>
              <w:rPr>
                <w:rFonts w:hint="eastAsia" w:cs="Times New Roman"/>
                <w:color w:val="auto"/>
                <w:sz w:val="24"/>
                <w:szCs w:val="24"/>
                <w:lang w:val="en-US" w:eastAsia="zh-CN"/>
              </w:rPr>
              <w:t>100.00</w:t>
            </w:r>
          </w:p>
        </w:tc>
        <w:tc>
          <w:tcPr>
            <w:tcW w:w="1003" w:type="pct"/>
            <w:noWrap w:val="0"/>
            <w:vAlign w:val="center"/>
          </w:tcPr>
          <w:p w14:paraId="5CFE1E5F">
            <w:pPr>
              <w:bidi w:val="0"/>
              <w:spacing w:line="360" w:lineRule="auto"/>
              <w:jc w:val="center"/>
              <w:rPr>
                <w:rFonts w:hint="eastAsia" w:ascii="Times New Roman" w:hAnsi="Times New Roman" w:eastAsia="宋体" w:cs="Times New Roman"/>
                <w:b/>
                <w:bCs/>
                <w:color w:val="auto"/>
                <w:sz w:val="24"/>
                <w:szCs w:val="24"/>
                <w:lang w:eastAsia="zh-CN"/>
              </w:rPr>
            </w:pPr>
            <w:r>
              <w:rPr>
                <w:rFonts w:hint="default" w:ascii="Times New Roman" w:hAnsi="Times New Roman" w:eastAsia="宋体" w:cs="Times New Roman"/>
                <w:b/>
                <w:bCs/>
                <w:color w:val="auto"/>
                <w:sz w:val="22"/>
                <w:szCs w:val="22"/>
              </w:rPr>
              <w:t>环保投资（万元</w:t>
            </w:r>
            <w:r>
              <w:rPr>
                <w:rFonts w:hint="eastAsia" w:cs="Times New Roman"/>
                <w:b/>
                <w:bCs/>
                <w:color w:val="auto"/>
                <w:sz w:val="22"/>
                <w:szCs w:val="22"/>
                <w:lang w:eastAsia="zh-CN"/>
              </w:rPr>
              <w:t>）</w:t>
            </w:r>
          </w:p>
        </w:tc>
        <w:tc>
          <w:tcPr>
            <w:tcW w:w="1823" w:type="pct"/>
            <w:noWrap w:val="0"/>
            <w:vAlign w:val="center"/>
          </w:tcPr>
          <w:p w14:paraId="4B27D729">
            <w:pPr>
              <w:bidi w:val="0"/>
              <w:spacing w:line="360" w:lineRule="auto"/>
              <w:jc w:val="center"/>
              <w:rPr>
                <w:rFonts w:hint="default" w:ascii="Times New Roman" w:hAnsi="Times New Roman" w:eastAsia="宋体" w:cs="Times New Roman"/>
                <w:color w:val="auto"/>
                <w:sz w:val="24"/>
                <w:szCs w:val="24"/>
                <w:lang w:val="en-US" w:eastAsia="zh-CN"/>
              </w:rPr>
            </w:pPr>
            <w:r>
              <w:rPr>
                <w:rFonts w:hint="eastAsia" w:cs="Times New Roman"/>
                <w:color w:val="auto"/>
                <w:sz w:val="24"/>
                <w:szCs w:val="24"/>
                <w:lang w:val="en-US" w:eastAsia="zh-CN"/>
              </w:rPr>
              <w:t>10.0</w:t>
            </w:r>
          </w:p>
        </w:tc>
      </w:tr>
      <w:tr w14:paraId="36E8B6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3" w:hRule="atLeast"/>
          <w:jc w:val="center"/>
        </w:trPr>
        <w:tc>
          <w:tcPr>
            <w:tcW w:w="1033" w:type="pct"/>
            <w:gridSpan w:val="3"/>
            <w:noWrap w:val="0"/>
            <w:vAlign w:val="center"/>
          </w:tcPr>
          <w:p w14:paraId="25DACAC9">
            <w:pPr>
              <w:bidi w:val="0"/>
              <w:spacing w:line="360" w:lineRule="auto"/>
              <w:jc w:val="center"/>
              <w:rPr>
                <w:rFonts w:hint="eastAsia" w:ascii="Times New Roman" w:hAnsi="Times New Roman" w:eastAsia="宋体" w:cs="Times New Roman"/>
                <w:b/>
                <w:bCs/>
                <w:color w:val="auto"/>
                <w:sz w:val="24"/>
                <w:szCs w:val="24"/>
                <w:lang w:eastAsia="zh-CN"/>
              </w:rPr>
            </w:pPr>
            <w:r>
              <w:rPr>
                <w:rFonts w:hint="default" w:ascii="Times New Roman" w:hAnsi="Times New Roman" w:eastAsia="宋体" w:cs="Times New Roman"/>
                <w:b/>
                <w:bCs/>
                <w:color w:val="auto"/>
                <w:sz w:val="24"/>
                <w:szCs w:val="24"/>
              </w:rPr>
              <w:t>环保投资比例（%</w:t>
            </w:r>
            <w:r>
              <w:rPr>
                <w:rFonts w:hint="eastAsia" w:cs="Times New Roman"/>
                <w:b/>
                <w:bCs/>
                <w:color w:val="auto"/>
                <w:sz w:val="24"/>
                <w:szCs w:val="24"/>
                <w:lang w:eastAsia="zh-CN"/>
              </w:rPr>
              <w:t>）</w:t>
            </w:r>
          </w:p>
        </w:tc>
        <w:tc>
          <w:tcPr>
            <w:tcW w:w="1140" w:type="pct"/>
            <w:noWrap w:val="0"/>
            <w:vAlign w:val="center"/>
          </w:tcPr>
          <w:p w14:paraId="7CB880FC">
            <w:pPr>
              <w:bidi w:val="0"/>
              <w:spacing w:line="360" w:lineRule="auto"/>
              <w:jc w:val="center"/>
              <w:rPr>
                <w:rFonts w:hint="default" w:ascii="Times New Roman" w:hAnsi="Times New Roman" w:eastAsia="宋体" w:cs="Times New Roman"/>
                <w:color w:val="auto"/>
                <w:sz w:val="24"/>
                <w:szCs w:val="24"/>
                <w:lang w:val="en-US" w:eastAsia="zh-CN"/>
              </w:rPr>
            </w:pPr>
            <w:r>
              <w:rPr>
                <w:rFonts w:hint="eastAsia" w:cs="Times New Roman"/>
                <w:color w:val="auto"/>
                <w:sz w:val="24"/>
                <w:szCs w:val="24"/>
                <w:lang w:val="en-US" w:eastAsia="zh-CN"/>
              </w:rPr>
              <w:t>10.0</w:t>
            </w:r>
          </w:p>
        </w:tc>
        <w:tc>
          <w:tcPr>
            <w:tcW w:w="1003" w:type="pct"/>
            <w:noWrap w:val="0"/>
            <w:vAlign w:val="center"/>
          </w:tcPr>
          <w:p w14:paraId="3F987F77">
            <w:pPr>
              <w:bidi w:val="0"/>
              <w:spacing w:line="360" w:lineRule="auto"/>
              <w:jc w:val="center"/>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4"/>
                <w:szCs w:val="24"/>
              </w:rPr>
              <w:t>施工工期</w:t>
            </w:r>
          </w:p>
        </w:tc>
        <w:tc>
          <w:tcPr>
            <w:tcW w:w="1823" w:type="pct"/>
            <w:noWrap w:val="0"/>
            <w:vAlign w:val="center"/>
          </w:tcPr>
          <w:p w14:paraId="413E72C1">
            <w:pPr>
              <w:bidi w:val="0"/>
              <w:spacing w:line="360" w:lineRule="auto"/>
              <w:jc w:val="center"/>
              <w:rPr>
                <w:rFonts w:hint="default" w:ascii="Times New Roman" w:hAnsi="Times New Roman" w:eastAsia="宋体" w:cs="Times New Roman"/>
                <w:color w:val="auto"/>
                <w:sz w:val="24"/>
                <w:szCs w:val="24"/>
              </w:rPr>
            </w:pPr>
            <w:r>
              <w:rPr>
                <w:rFonts w:hint="eastAsia" w:cs="Times New Roman"/>
                <w:color w:val="auto"/>
                <w:sz w:val="24"/>
                <w:szCs w:val="24"/>
                <w:lang w:val="en-US" w:eastAsia="zh-CN"/>
              </w:rPr>
              <w:t>2</w:t>
            </w:r>
            <w:r>
              <w:rPr>
                <w:rFonts w:hint="default" w:ascii="Times New Roman" w:hAnsi="Times New Roman" w:eastAsia="宋体" w:cs="Times New Roman"/>
                <w:color w:val="auto"/>
                <w:sz w:val="24"/>
                <w:szCs w:val="24"/>
              </w:rPr>
              <w:t>个月</w:t>
            </w:r>
          </w:p>
        </w:tc>
      </w:tr>
      <w:tr w14:paraId="606F48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 w:hRule="atLeast"/>
          <w:jc w:val="center"/>
        </w:trPr>
        <w:tc>
          <w:tcPr>
            <w:tcW w:w="1033" w:type="pct"/>
            <w:gridSpan w:val="3"/>
            <w:noWrap w:val="0"/>
            <w:vAlign w:val="center"/>
          </w:tcPr>
          <w:p w14:paraId="33632115">
            <w:pPr>
              <w:bidi w:val="0"/>
              <w:spacing w:line="360" w:lineRule="auto"/>
              <w:jc w:val="center"/>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4"/>
                <w:szCs w:val="24"/>
              </w:rPr>
              <w:t>是否开工建设</w:t>
            </w:r>
          </w:p>
        </w:tc>
        <w:tc>
          <w:tcPr>
            <w:tcW w:w="1140" w:type="pct"/>
            <w:noWrap w:val="0"/>
            <w:vAlign w:val="center"/>
          </w:tcPr>
          <w:p w14:paraId="1F500F38">
            <w:pPr>
              <w:bidi w:val="0"/>
              <w:spacing w:line="360" w:lineRule="auto"/>
              <w:jc w:val="left"/>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☑否</w:t>
            </w:r>
          </w:p>
          <w:p w14:paraId="02C8DA12">
            <w:pPr>
              <w:bidi w:val="0"/>
              <w:spacing w:line="360" w:lineRule="auto"/>
              <w:jc w:val="left"/>
              <w:rPr>
                <w:rFonts w:hint="eastAsia" w:ascii="Times New Roman" w:hAnsi="Times New Roman" w:eastAsia="宋体" w:cs="Times New Roman"/>
                <w:color w:val="auto"/>
                <w:sz w:val="24"/>
                <w:szCs w:val="24"/>
                <w:lang w:eastAsia="zh-CN"/>
              </w:rPr>
            </w:pPr>
            <w:r>
              <w:rPr>
                <w:rFonts w:hint="default" w:ascii="Times New Roman" w:hAnsi="Times New Roman" w:eastAsia="宋体" w:cs="Times New Roman"/>
                <w:color w:val="auto"/>
                <w:sz w:val="24"/>
                <w:szCs w:val="24"/>
              </w:rPr>
              <w:t>□是</w:t>
            </w:r>
            <w:r>
              <w:rPr>
                <w:rFonts w:hint="eastAsia" w:cs="Times New Roman"/>
                <w:color w:val="auto"/>
                <w:sz w:val="24"/>
                <w:szCs w:val="24"/>
                <w:lang w:eastAsia="zh-CN"/>
              </w:rPr>
              <w:t>：</w:t>
            </w:r>
          </w:p>
        </w:tc>
        <w:tc>
          <w:tcPr>
            <w:tcW w:w="1003" w:type="pct"/>
            <w:noWrap w:val="0"/>
            <w:vAlign w:val="center"/>
          </w:tcPr>
          <w:p w14:paraId="7D5EECB7">
            <w:pPr>
              <w:bidi w:val="0"/>
              <w:spacing w:line="360" w:lineRule="auto"/>
              <w:jc w:val="center"/>
              <w:rPr>
                <w:rFonts w:hint="eastAsia" w:ascii="Times New Roman" w:hAnsi="Times New Roman" w:eastAsia="宋体" w:cs="Times New Roman"/>
                <w:color w:val="auto"/>
                <w:sz w:val="24"/>
                <w:szCs w:val="24"/>
                <w:lang w:eastAsia="zh-CN"/>
              </w:rPr>
            </w:pPr>
            <w:r>
              <w:rPr>
                <w:rFonts w:hint="default" w:ascii="Times New Roman" w:hAnsi="Times New Roman" w:eastAsia="宋体" w:cs="Times New Roman"/>
                <w:color w:val="auto"/>
                <w:sz w:val="24"/>
                <w:szCs w:val="24"/>
              </w:rPr>
              <w:t>用地（用海</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面积（m</w:t>
            </w:r>
            <w:r>
              <w:rPr>
                <w:rFonts w:hint="default" w:ascii="Times New Roman" w:hAnsi="Times New Roman" w:eastAsia="宋体" w:cs="Times New Roman"/>
                <w:color w:val="auto"/>
                <w:sz w:val="24"/>
                <w:szCs w:val="24"/>
                <w:vertAlign w:val="superscript"/>
              </w:rPr>
              <w:t>2</w:t>
            </w:r>
            <w:r>
              <w:rPr>
                <w:rFonts w:hint="eastAsia" w:cs="Times New Roman"/>
                <w:color w:val="auto"/>
                <w:sz w:val="24"/>
                <w:szCs w:val="24"/>
                <w:lang w:eastAsia="zh-CN"/>
              </w:rPr>
              <w:t>）</w:t>
            </w:r>
          </w:p>
        </w:tc>
        <w:tc>
          <w:tcPr>
            <w:tcW w:w="1823" w:type="pct"/>
            <w:noWrap w:val="0"/>
            <w:vAlign w:val="center"/>
          </w:tcPr>
          <w:p w14:paraId="768DC686">
            <w:pPr>
              <w:bidi w:val="0"/>
              <w:spacing w:line="360" w:lineRule="auto"/>
              <w:jc w:val="center"/>
              <w:rPr>
                <w:rFonts w:hint="default" w:ascii="Times New Roman" w:hAnsi="Times New Roman" w:eastAsia="宋体" w:cs="Times New Roman"/>
                <w:color w:val="auto"/>
                <w:sz w:val="24"/>
                <w:szCs w:val="24"/>
                <w:lang w:val="en-US" w:eastAsia="zh-CN"/>
              </w:rPr>
            </w:pPr>
            <w:r>
              <w:rPr>
                <w:rFonts w:hint="eastAsia" w:cs="Times New Roman"/>
                <w:color w:val="auto"/>
                <w:sz w:val="24"/>
                <w:szCs w:val="24"/>
                <w:lang w:val="en-US" w:eastAsia="zh-CN"/>
              </w:rPr>
              <w:t>145.00（租赁）</w:t>
            </w:r>
          </w:p>
        </w:tc>
      </w:tr>
      <w:tr w14:paraId="306A73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352" w:type="pct"/>
            <w:vMerge w:val="restart"/>
            <w:noWrap w:val="0"/>
            <w:vAlign w:val="center"/>
          </w:tcPr>
          <w:p w14:paraId="149D0575">
            <w:pPr>
              <w:bidi w:val="0"/>
              <w:spacing w:line="360" w:lineRule="auto"/>
              <w:jc w:val="center"/>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1"/>
                <w:szCs w:val="21"/>
              </w:rPr>
              <w:t>专项评价设置情况</w:t>
            </w:r>
          </w:p>
        </w:tc>
        <w:tc>
          <w:tcPr>
            <w:tcW w:w="680" w:type="pct"/>
            <w:gridSpan w:val="2"/>
            <w:noWrap w:val="0"/>
            <w:vAlign w:val="center"/>
          </w:tcPr>
          <w:p w14:paraId="71F0F338">
            <w:pPr>
              <w:bidi w:val="0"/>
              <w:spacing w:line="360" w:lineRule="auto"/>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专项评价</w:t>
            </w:r>
          </w:p>
        </w:tc>
        <w:tc>
          <w:tcPr>
            <w:tcW w:w="2143" w:type="pct"/>
            <w:gridSpan w:val="2"/>
            <w:noWrap w:val="0"/>
            <w:vAlign w:val="center"/>
          </w:tcPr>
          <w:p w14:paraId="794FA545">
            <w:pPr>
              <w:bidi w:val="0"/>
              <w:spacing w:line="360" w:lineRule="auto"/>
              <w:jc w:val="center"/>
              <w:rPr>
                <w:rFonts w:hint="eastAsia"/>
                <w:b/>
                <w:bCs/>
                <w:color w:val="auto"/>
                <w:sz w:val="21"/>
                <w:szCs w:val="21"/>
                <w:lang w:eastAsia="zh-CN"/>
              </w:rPr>
            </w:pPr>
            <w:r>
              <w:rPr>
                <w:rFonts w:hint="eastAsia"/>
                <w:b/>
                <w:bCs/>
                <w:color w:val="auto"/>
                <w:sz w:val="21"/>
                <w:szCs w:val="21"/>
                <w:lang w:eastAsia="zh-CN"/>
              </w:rPr>
              <w:t>设置原则</w:t>
            </w:r>
          </w:p>
        </w:tc>
        <w:tc>
          <w:tcPr>
            <w:tcW w:w="1823" w:type="pct"/>
            <w:noWrap w:val="0"/>
            <w:vAlign w:val="center"/>
          </w:tcPr>
          <w:p w14:paraId="4B73A4C6">
            <w:pPr>
              <w:bidi w:val="0"/>
              <w:spacing w:line="360" w:lineRule="auto"/>
              <w:jc w:val="center"/>
              <w:rPr>
                <w:rFonts w:hint="default" w:ascii="Times New Roman" w:hAnsi="Times New Roman" w:eastAsia="宋体" w:cs="Times New Roman"/>
                <w:b/>
                <w:bCs/>
                <w:color w:val="auto"/>
                <w:sz w:val="21"/>
                <w:szCs w:val="21"/>
              </w:rPr>
            </w:pPr>
            <w:r>
              <w:rPr>
                <w:rFonts w:hint="eastAsia"/>
                <w:b/>
                <w:bCs/>
                <w:color w:val="auto"/>
                <w:sz w:val="21"/>
                <w:szCs w:val="21"/>
                <w:lang w:eastAsia="zh-CN"/>
              </w:rPr>
              <w:t>本项目</w:t>
            </w:r>
          </w:p>
        </w:tc>
      </w:tr>
      <w:tr w14:paraId="089D0E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352" w:type="pct"/>
            <w:vMerge w:val="continue"/>
            <w:noWrap w:val="0"/>
            <w:vAlign w:val="center"/>
          </w:tcPr>
          <w:p w14:paraId="032A8FF8">
            <w:pPr>
              <w:bidi w:val="0"/>
              <w:spacing w:line="360" w:lineRule="auto"/>
              <w:jc w:val="center"/>
              <w:rPr>
                <w:rFonts w:hint="default" w:ascii="Times New Roman" w:hAnsi="Times New Roman" w:eastAsia="宋体" w:cs="Times New Roman"/>
                <w:b/>
                <w:bCs/>
                <w:color w:val="auto"/>
                <w:sz w:val="21"/>
                <w:szCs w:val="21"/>
              </w:rPr>
            </w:pPr>
          </w:p>
        </w:tc>
        <w:tc>
          <w:tcPr>
            <w:tcW w:w="680" w:type="pct"/>
            <w:gridSpan w:val="2"/>
            <w:noWrap w:val="0"/>
            <w:vAlign w:val="center"/>
          </w:tcPr>
          <w:p w14:paraId="2A725F1E">
            <w:pPr>
              <w:bidi w:val="0"/>
              <w:spacing w:line="360" w:lineRule="auto"/>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大气</w:t>
            </w:r>
          </w:p>
        </w:tc>
        <w:tc>
          <w:tcPr>
            <w:tcW w:w="2143" w:type="pct"/>
            <w:gridSpan w:val="2"/>
            <w:noWrap w:val="0"/>
            <w:vAlign w:val="center"/>
          </w:tcPr>
          <w:p w14:paraId="25B8E438">
            <w:pPr>
              <w:bidi w:val="0"/>
              <w:spacing w:line="360" w:lineRule="auto"/>
              <w:jc w:val="both"/>
              <w:rPr>
                <w:rFonts w:hint="default" w:ascii="Times New Roman" w:hAnsi="Times New Roman" w:eastAsia="宋体" w:cs="Times New Roman"/>
                <w:b w:val="0"/>
                <w:bCs w:val="0"/>
                <w:color w:val="auto"/>
                <w:sz w:val="21"/>
                <w:szCs w:val="21"/>
              </w:rPr>
            </w:pPr>
            <w:r>
              <w:rPr>
                <w:rFonts w:hint="default" w:ascii="Times New Roman" w:hAnsi="Times New Roman" w:eastAsia="宋体" w:cs="Times New Roman"/>
                <w:b w:val="0"/>
                <w:bCs w:val="0"/>
                <w:color w:val="auto"/>
                <w:sz w:val="21"/>
                <w:szCs w:val="21"/>
              </w:rPr>
              <w:t>排放废气含有毒有害污染物、二噁英、苯并[α]芘、氰化物、氯气且厂界外500m范围内有环境空气保护目标的建设项目</w:t>
            </w:r>
          </w:p>
        </w:tc>
        <w:tc>
          <w:tcPr>
            <w:tcW w:w="1823" w:type="pct"/>
            <w:noWrap w:val="0"/>
            <w:vAlign w:val="center"/>
          </w:tcPr>
          <w:p w14:paraId="18056D37">
            <w:pPr>
              <w:bidi w:val="0"/>
              <w:spacing w:line="360" w:lineRule="auto"/>
              <w:jc w:val="both"/>
              <w:rPr>
                <w:rFonts w:hint="default" w:ascii="Times New Roman" w:hAnsi="Times New Roman" w:eastAsia="宋体" w:cs="Times New Roman"/>
                <w:b w:val="0"/>
                <w:bCs w:val="0"/>
                <w:color w:val="auto"/>
                <w:sz w:val="21"/>
                <w:szCs w:val="21"/>
              </w:rPr>
            </w:pPr>
            <w:r>
              <w:rPr>
                <w:rFonts w:hint="eastAsia" w:cs="Times New Roman"/>
                <w:b w:val="0"/>
                <w:bCs w:val="0"/>
                <w:color w:val="auto"/>
                <w:sz w:val="21"/>
                <w:szCs w:val="21"/>
                <w:lang w:eastAsia="zh-CN"/>
              </w:rPr>
              <w:t>本</w:t>
            </w:r>
            <w:r>
              <w:rPr>
                <w:rFonts w:hint="default" w:ascii="Times New Roman" w:hAnsi="Times New Roman" w:eastAsia="宋体" w:cs="Times New Roman"/>
                <w:b w:val="0"/>
                <w:bCs w:val="0"/>
                <w:color w:val="auto"/>
                <w:sz w:val="21"/>
                <w:szCs w:val="21"/>
              </w:rPr>
              <w:t>项目排放废气不含有毒有害污染物、二噁英、苯并[α]芘、氰化物</w:t>
            </w:r>
            <w:r>
              <w:rPr>
                <w:rFonts w:hint="eastAsia" w:cs="Times New Roman"/>
                <w:b w:val="0"/>
                <w:bCs w:val="0"/>
                <w:color w:val="auto"/>
                <w:sz w:val="21"/>
                <w:szCs w:val="21"/>
                <w:lang w:val="en-US" w:eastAsia="zh-CN"/>
              </w:rPr>
              <w:t>及</w:t>
            </w:r>
            <w:r>
              <w:rPr>
                <w:rFonts w:hint="default" w:ascii="Times New Roman" w:hAnsi="Times New Roman" w:eastAsia="宋体" w:cs="Times New Roman"/>
                <w:b w:val="0"/>
                <w:bCs w:val="0"/>
                <w:color w:val="auto"/>
                <w:sz w:val="21"/>
                <w:szCs w:val="21"/>
              </w:rPr>
              <w:t>氯气</w:t>
            </w:r>
            <w:r>
              <w:rPr>
                <w:rFonts w:hint="eastAsia" w:cs="Times New Roman"/>
                <w:b w:val="0"/>
                <w:bCs w:val="0"/>
                <w:color w:val="auto"/>
                <w:sz w:val="21"/>
                <w:szCs w:val="21"/>
                <w:lang w:eastAsia="zh-CN"/>
              </w:rPr>
              <w:t>；</w:t>
            </w:r>
            <w:r>
              <w:rPr>
                <w:rFonts w:hint="default" w:ascii="Times New Roman" w:hAnsi="Times New Roman" w:eastAsia="宋体" w:cs="Times New Roman"/>
                <w:b w:val="0"/>
                <w:bCs w:val="0"/>
                <w:color w:val="auto"/>
                <w:sz w:val="21"/>
                <w:szCs w:val="21"/>
              </w:rPr>
              <w:t>不设大气环境影响专项评价</w:t>
            </w:r>
          </w:p>
        </w:tc>
      </w:tr>
      <w:tr w14:paraId="2C1809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352" w:type="pct"/>
            <w:vMerge w:val="continue"/>
            <w:noWrap w:val="0"/>
            <w:vAlign w:val="center"/>
          </w:tcPr>
          <w:p w14:paraId="483A8F73">
            <w:pPr>
              <w:bidi w:val="0"/>
              <w:spacing w:line="360" w:lineRule="auto"/>
              <w:jc w:val="center"/>
              <w:rPr>
                <w:rFonts w:hint="default" w:ascii="Times New Roman" w:hAnsi="Times New Roman" w:eastAsia="宋体" w:cs="Times New Roman"/>
                <w:b/>
                <w:bCs/>
                <w:color w:val="auto"/>
                <w:sz w:val="21"/>
                <w:szCs w:val="21"/>
              </w:rPr>
            </w:pPr>
          </w:p>
        </w:tc>
        <w:tc>
          <w:tcPr>
            <w:tcW w:w="680" w:type="pct"/>
            <w:gridSpan w:val="2"/>
            <w:noWrap w:val="0"/>
            <w:vAlign w:val="center"/>
          </w:tcPr>
          <w:p w14:paraId="54EE81E1">
            <w:pPr>
              <w:bidi w:val="0"/>
              <w:spacing w:line="360" w:lineRule="auto"/>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地表水</w:t>
            </w:r>
          </w:p>
        </w:tc>
        <w:tc>
          <w:tcPr>
            <w:tcW w:w="2143" w:type="pct"/>
            <w:gridSpan w:val="2"/>
            <w:noWrap w:val="0"/>
            <w:vAlign w:val="center"/>
          </w:tcPr>
          <w:p w14:paraId="0374B68F">
            <w:pPr>
              <w:bidi w:val="0"/>
              <w:spacing w:line="360" w:lineRule="auto"/>
              <w:jc w:val="both"/>
              <w:rPr>
                <w:rFonts w:hint="default" w:ascii="Times New Roman" w:hAnsi="Times New Roman" w:eastAsia="宋体" w:cs="Times New Roman"/>
                <w:b w:val="0"/>
                <w:bCs w:val="0"/>
                <w:color w:val="auto"/>
                <w:sz w:val="21"/>
                <w:szCs w:val="21"/>
              </w:rPr>
            </w:pPr>
            <w:r>
              <w:rPr>
                <w:rFonts w:hint="default" w:ascii="Times New Roman" w:hAnsi="Times New Roman" w:eastAsia="宋体" w:cs="Times New Roman"/>
                <w:b w:val="0"/>
                <w:bCs w:val="0"/>
                <w:color w:val="auto"/>
                <w:sz w:val="21"/>
                <w:szCs w:val="21"/>
              </w:rPr>
              <w:t>新增工业废水直接排放建设项目（槽罐车外送污水处理厂的除外</w:t>
            </w:r>
            <w:r>
              <w:rPr>
                <w:rFonts w:hint="eastAsia" w:cs="Times New Roman"/>
                <w:b w:val="0"/>
                <w:bCs w:val="0"/>
                <w:color w:val="auto"/>
                <w:sz w:val="21"/>
                <w:szCs w:val="21"/>
                <w:lang w:eastAsia="zh-CN"/>
              </w:rPr>
              <w:t>）</w:t>
            </w:r>
            <w:r>
              <w:rPr>
                <w:rFonts w:hint="default" w:ascii="Times New Roman" w:hAnsi="Times New Roman" w:eastAsia="宋体" w:cs="Times New Roman"/>
                <w:b w:val="0"/>
                <w:bCs w:val="0"/>
                <w:color w:val="auto"/>
                <w:sz w:val="21"/>
                <w:szCs w:val="21"/>
              </w:rPr>
              <w:t>；新增废水直排的污水集中处理厂</w:t>
            </w:r>
          </w:p>
        </w:tc>
        <w:tc>
          <w:tcPr>
            <w:tcW w:w="1823" w:type="pct"/>
            <w:noWrap w:val="0"/>
            <w:vAlign w:val="center"/>
          </w:tcPr>
          <w:p w14:paraId="565456E0">
            <w:pPr>
              <w:bidi w:val="0"/>
              <w:spacing w:line="360" w:lineRule="auto"/>
              <w:jc w:val="both"/>
              <w:rPr>
                <w:rFonts w:hint="default" w:ascii="Times New Roman" w:hAnsi="Times New Roman" w:eastAsia="宋体" w:cs="Times New Roman"/>
                <w:b w:val="0"/>
                <w:bCs w:val="0"/>
                <w:color w:val="auto"/>
                <w:sz w:val="21"/>
                <w:szCs w:val="21"/>
              </w:rPr>
            </w:pPr>
            <w:r>
              <w:rPr>
                <w:rFonts w:hint="eastAsia" w:cs="Times New Roman"/>
                <w:b w:val="0"/>
                <w:bCs w:val="0"/>
                <w:color w:val="auto"/>
                <w:sz w:val="21"/>
                <w:szCs w:val="21"/>
                <w:lang w:val="en-US" w:eastAsia="zh-CN"/>
              </w:rPr>
              <w:t>本</w:t>
            </w:r>
            <w:r>
              <w:rPr>
                <w:rFonts w:hint="default" w:ascii="Times New Roman" w:hAnsi="Times New Roman" w:eastAsia="宋体" w:cs="Times New Roman"/>
                <w:b w:val="0"/>
                <w:bCs w:val="0"/>
                <w:color w:val="auto"/>
                <w:sz w:val="21"/>
                <w:szCs w:val="21"/>
              </w:rPr>
              <w:t>项目废水通过市政管网排入园区污水处理厂</w:t>
            </w:r>
            <w:r>
              <w:rPr>
                <w:rFonts w:hint="eastAsia" w:cs="Times New Roman"/>
                <w:b w:val="0"/>
                <w:bCs w:val="0"/>
                <w:color w:val="auto"/>
                <w:sz w:val="21"/>
                <w:szCs w:val="21"/>
                <w:lang w:eastAsia="zh-CN"/>
              </w:rPr>
              <w:t>；</w:t>
            </w:r>
            <w:r>
              <w:rPr>
                <w:rFonts w:hint="default" w:ascii="Times New Roman" w:hAnsi="Times New Roman" w:eastAsia="宋体" w:cs="Times New Roman"/>
                <w:b w:val="0"/>
                <w:bCs w:val="0"/>
                <w:color w:val="auto"/>
                <w:sz w:val="21"/>
                <w:szCs w:val="21"/>
              </w:rPr>
              <w:t>项目不设地表水专项评价。</w:t>
            </w:r>
          </w:p>
        </w:tc>
      </w:tr>
      <w:tr w14:paraId="3B5ACC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352" w:type="pct"/>
            <w:vMerge w:val="continue"/>
            <w:noWrap w:val="0"/>
            <w:vAlign w:val="center"/>
          </w:tcPr>
          <w:p w14:paraId="588F75F2">
            <w:pPr>
              <w:bidi w:val="0"/>
              <w:spacing w:line="360" w:lineRule="auto"/>
              <w:jc w:val="center"/>
              <w:rPr>
                <w:rFonts w:hint="default" w:ascii="Times New Roman" w:hAnsi="Times New Roman" w:eastAsia="宋体" w:cs="Times New Roman"/>
                <w:b/>
                <w:bCs/>
                <w:color w:val="auto"/>
                <w:sz w:val="21"/>
                <w:szCs w:val="21"/>
              </w:rPr>
            </w:pPr>
          </w:p>
        </w:tc>
        <w:tc>
          <w:tcPr>
            <w:tcW w:w="680" w:type="pct"/>
            <w:gridSpan w:val="2"/>
            <w:noWrap w:val="0"/>
            <w:vAlign w:val="center"/>
          </w:tcPr>
          <w:p w14:paraId="3DB197ED">
            <w:pPr>
              <w:bidi w:val="0"/>
              <w:spacing w:line="360" w:lineRule="auto"/>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环境风险</w:t>
            </w:r>
          </w:p>
        </w:tc>
        <w:tc>
          <w:tcPr>
            <w:tcW w:w="2143" w:type="pct"/>
            <w:gridSpan w:val="2"/>
            <w:noWrap w:val="0"/>
            <w:vAlign w:val="center"/>
          </w:tcPr>
          <w:p w14:paraId="20F8935A">
            <w:pPr>
              <w:bidi w:val="0"/>
              <w:spacing w:line="360" w:lineRule="auto"/>
              <w:jc w:val="both"/>
              <w:rPr>
                <w:rFonts w:hint="default" w:ascii="Times New Roman" w:hAnsi="Times New Roman" w:eastAsia="宋体" w:cs="Times New Roman"/>
                <w:b w:val="0"/>
                <w:bCs w:val="0"/>
                <w:color w:val="auto"/>
                <w:sz w:val="21"/>
                <w:szCs w:val="21"/>
              </w:rPr>
            </w:pPr>
            <w:r>
              <w:rPr>
                <w:rFonts w:hint="default" w:ascii="Times New Roman" w:hAnsi="Times New Roman" w:eastAsia="宋体" w:cs="Times New Roman"/>
                <w:b w:val="0"/>
                <w:bCs w:val="0"/>
                <w:color w:val="auto"/>
                <w:sz w:val="21"/>
                <w:szCs w:val="21"/>
              </w:rPr>
              <w:t>有毒有害和易燃易爆危险物质存储量超过临界量的建设项目。</w:t>
            </w:r>
          </w:p>
        </w:tc>
        <w:tc>
          <w:tcPr>
            <w:tcW w:w="1823" w:type="pct"/>
            <w:noWrap w:val="0"/>
            <w:vAlign w:val="center"/>
          </w:tcPr>
          <w:p w14:paraId="2677156E">
            <w:pPr>
              <w:bidi w:val="0"/>
              <w:spacing w:line="360" w:lineRule="auto"/>
              <w:jc w:val="both"/>
              <w:rPr>
                <w:rFonts w:hint="eastAsia" w:ascii="Times New Roman" w:hAnsi="Times New Roman" w:eastAsia="宋体" w:cs="Times New Roman"/>
                <w:b w:val="0"/>
                <w:bCs w:val="0"/>
                <w:color w:val="auto"/>
                <w:sz w:val="21"/>
                <w:szCs w:val="21"/>
                <w:lang w:eastAsia="zh-CN"/>
              </w:rPr>
            </w:pPr>
            <w:r>
              <w:rPr>
                <w:rFonts w:hint="eastAsia" w:cs="Times New Roman"/>
                <w:b w:val="0"/>
                <w:bCs w:val="0"/>
                <w:color w:val="auto"/>
                <w:sz w:val="21"/>
                <w:szCs w:val="21"/>
                <w:lang w:val="en-US" w:eastAsia="zh-CN"/>
              </w:rPr>
              <w:t>本项目</w:t>
            </w:r>
            <w:r>
              <w:rPr>
                <w:rFonts w:hint="default" w:ascii="Times New Roman" w:hAnsi="Times New Roman" w:eastAsia="宋体" w:cs="Times New Roman"/>
                <w:b w:val="0"/>
                <w:bCs w:val="0"/>
                <w:color w:val="auto"/>
                <w:sz w:val="21"/>
                <w:szCs w:val="21"/>
              </w:rPr>
              <w:t>主要有毒有害和易燃易爆危险物质存储量未超过临界量</w:t>
            </w:r>
            <w:r>
              <w:rPr>
                <w:rFonts w:hint="eastAsia" w:cs="Times New Roman"/>
                <w:b w:val="0"/>
                <w:bCs w:val="0"/>
                <w:color w:val="auto"/>
                <w:sz w:val="21"/>
                <w:szCs w:val="21"/>
                <w:lang w:eastAsia="zh-CN"/>
              </w:rPr>
              <w:t>；</w:t>
            </w:r>
            <w:r>
              <w:rPr>
                <w:rFonts w:hint="default" w:ascii="Times New Roman" w:hAnsi="Times New Roman" w:eastAsia="宋体" w:cs="Times New Roman"/>
                <w:b w:val="0"/>
                <w:bCs w:val="0"/>
                <w:color w:val="auto"/>
                <w:sz w:val="21"/>
                <w:szCs w:val="21"/>
              </w:rPr>
              <w:t>项目不设环境风险专项评价</w:t>
            </w:r>
            <w:r>
              <w:rPr>
                <w:rFonts w:hint="eastAsia" w:cs="Times New Roman"/>
                <w:b w:val="0"/>
                <w:bCs w:val="0"/>
                <w:color w:val="auto"/>
                <w:sz w:val="21"/>
                <w:szCs w:val="21"/>
                <w:lang w:eastAsia="zh-CN"/>
              </w:rPr>
              <w:t>。</w:t>
            </w:r>
          </w:p>
        </w:tc>
      </w:tr>
      <w:tr w14:paraId="3A10C4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352" w:type="pct"/>
            <w:vMerge w:val="continue"/>
            <w:noWrap w:val="0"/>
            <w:vAlign w:val="center"/>
          </w:tcPr>
          <w:p w14:paraId="4C1E0432">
            <w:pPr>
              <w:bidi w:val="0"/>
              <w:spacing w:line="360" w:lineRule="auto"/>
              <w:jc w:val="center"/>
              <w:rPr>
                <w:rFonts w:hint="default" w:ascii="Times New Roman" w:hAnsi="Times New Roman" w:eastAsia="宋体" w:cs="Times New Roman"/>
                <w:b/>
                <w:bCs/>
                <w:color w:val="auto"/>
                <w:sz w:val="21"/>
                <w:szCs w:val="21"/>
              </w:rPr>
            </w:pPr>
          </w:p>
        </w:tc>
        <w:tc>
          <w:tcPr>
            <w:tcW w:w="680" w:type="pct"/>
            <w:gridSpan w:val="2"/>
            <w:noWrap w:val="0"/>
            <w:vAlign w:val="center"/>
          </w:tcPr>
          <w:p w14:paraId="727D1E76">
            <w:pPr>
              <w:bidi w:val="0"/>
              <w:spacing w:line="360" w:lineRule="auto"/>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生态</w:t>
            </w:r>
          </w:p>
        </w:tc>
        <w:tc>
          <w:tcPr>
            <w:tcW w:w="2143" w:type="pct"/>
            <w:gridSpan w:val="2"/>
            <w:noWrap w:val="0"/>
            <w:vAlign w:val="center"/>
          </w:tcPr>
          <w:p w14:paraId="273C854D">
            <w:pPr>
              <w:bidi w:val="0"/>
              <w:spacing w:line="360" w:lineRule="auto"/>
              <w:jc w:val="both"/>
              <w:rPr>
                <w:rFonts w:hint="default" w:ascii="Times New Roman" w:hAnsi="Times New Roman" w:eastAsia="宋体" w:cs="Times New Roman"/>
                <w:b w:val="0"/>
                <w:bCs w:val="0"/>
                <w:color w:val="auto"/>
                <w:sz w:val="21"/>
                <w:szCs w:val="21"/>
              </w:rPr>
            </w:pPr>
            <w:r>
              <w:rPr>
                <w:rFonts w:hint="default" w:ascii="Times New Roman" w:hAnsi="Times New Roman" w:eastAsia="宋体" w:cs="Times New Roman"/>
                <w:b w:val="0"/>
                <w:bCs w:val="0"/>
                <w:color w:val="auto"/>
                <w:sz w:val="21"/>
                <w:szCs w:val="21"/>
              </w:rPr>
              <w:t>取水口下游500m范围内有重要水生生物的自然产卵场、索饵场、越冬场和洄游通道的新增河道取水的污染类建设项目</w:t>
            </w:r>
          </w:p>
        </w:tc>
        <w:tc>
          <w:tcPr>
            <w:tcW w:w="1823" w:type="pct"/>
            <w:noWrap w:val="0"/>
            <w:vAlign w:val="center"/>
          </w:tcPr>
          <w:p w14:paraId="1A533D1D">
            <w:pPr>
              <w:bidi w:val="0"/>
              <w:spacing w:line="360" w:lineRule="auto"/>
              <w:jc w:val="both"/>
              <w:rPr>
                <w:rFonts w:hint="default" w:ascii="Times New Roman" w:hAnsi="Times New Roman" w:eastAsia="宋体" w:cs="Times New Roman"/>
                <w:b w:val="0"/>
                <w:bCs w:val="0"/>
                <w:color w:val="auto"/>
                <w:sz w:val="21"/>
                <w:szCs w:val="21"/>
              </w:rPr>
            </w:pPr>
            <w:r>
              <w:rPr>
                <w:rFonts w:hint="default" w:ascii="Times New Roman" w:hAnsi="Times New Roman" w:eastAsia="宋体" w:cs="Times New Roman"/>
                <w:b w:val="0"/>
                <w:bCs w:val="0"/>
                <w:color w:val="auto"/>
                <w:sz w:val="21"/>
                <w:szCs w:val="21"/>
              </w:rPr>
              <w:t>本项目位于</w:t>
            </w:r>
            <w:r>
              <w:rPr>
                <w:rFonts w:hint="eastAsia" w:cs="Times New Roman"/>
                <w:b w:val="0"/>
                <w:bCs w:val="0"/>
                <w:color w:val="auto"/>
                <w:sz w:val="21"/>
                <w:szCs w:val="21"/>
                <w:lang w:val="en-US" w:eastAsia="zh-CN"/>
              </w:rPr>
              <w:t>工业</w:t>
            </w:r>
            <w:r>
              <w:rPr>
                <w:rFonts w:hint="default" w:ascii="Times New Roman" w:hAnsi="Times New Roman" w:eastAsia="宋体" w:cs="Times New Roman"/>
                <w:b w:val="0"/>
                <w:bCs w:val="0"/>
                <w:color w:val="auto"/>
                <w:sz w:val="21"/>
                <w:szCs w:val="21"/>
              </w:rPr>
              <w:t>园区内</w:t>
            </w:r>
            <w:r>
              <w:rPr>
                <w:rFonts w:hint="eastAsia" w:cs="Times New Roman"/>
                <w:b w:val="0"/>
                <w:bCs w:val="0"/>
                <w:color w:val="auto"/>
                <w:sz w:val="21"/>
                <w:szCs w:val="21"/>
                <w:lang w:eastAsia="zh-CN"/>
              </w:rPr>
              <w:t>，</w:t>
            </w:r>
            <w:r>
              <w:rPr>
                <w:rFonts w:hint="default" w:ascii="Times New Roman" w:hAnsi="Times New Roman" w:eastAsia="宋体" w:cs="Times New Roman"/>
                <w:b w:val="0"/>
                <w:bCs w:val="0"/>
                <w:color w:val="auto"/>
                <w:sz w:val="21"/>
                <w:szCs w:val="21"/>
              </w:rPr>
              <w:t>不涉及河道取水</w:t>
            </w:r>
            <w:r>
              <w:rPr>
                <w:rFonts w:hint="eastAsia" w:cs="Times New Roman"/>
                <w:b w:val="0"/>
                <w:bCs w:val="0"/>
                <w:color w:val="auto"/>
                <w:sz w:val="21"/>
                <w:szCs w:val="21"/>
                <w:lang w:eastAsia="zh-CN"/>
              </w:rPr>
              <w:t>；</w:t>
            </w:r>
            <w:r>
              <w:rPr>
                <w:rFonts w:hint="default" w:ascii="Times New Roman" w:hAnsi="Times New Roman" w:eastAsia="宋体" w:cs="Times New Roman"/>
                <w:b w:val="0"/>
                <w:bCs w:val="0"/>
                <w:color w:val="auto"/>
                <w:sz w:val="21"/>
                <w:szCs w:val="21"/>
              </w:rPr>
              <w:t>项目不设生态专项评价。</w:t>
            </w:r>
          </w:p>
        </w:tc>
      </w:tr>
      <w:tr w14:paraId="09C346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4" w:hRule="atLeast"/>
          <w:jc w:val="center"/>
        </w:trPr>
        <w:tc>
          <w:tcPr>
            <w:tcW w:w="352" w:type="pct"/>
            <w:vMerge w:val="continue"/>
            <w:noWrap w:val="0"/>
            <w:vAlign w:val="center"/>
          </w:tcPr>
          <w:p w14:paraId="5425B9D7">
            <w:pPr>
              <w:bidi w:val="0"/>
              <w:spacing w:line="360" w:lineRule="auto"/>
              <w:jc w:val="center"/>
              <w:rPr>
                <w:rFonts w:hint="default" w:ascii="Times New Roman" w:hAnsi="Times New Roman" w:eastAsia="宋体" w:cs="Times New Roman"/>
                <w:b/>
                <w:bCs/>
                <w:color w:val="auto"/>
                <w:sz w:val="21"/>
                <w:szCs w:val="21"/>
              </w:rPr>
            </w:pPr>
          </w:p>
        </w:tc>
        <w:tc>
          <w:tcPr>
            <w:tcW w:w="680" w:type="pct"/>
            <w:gridSpan w:val="2"/>
            <w:noWrap w:val="0"/>
            <w:vAlign w:val="center"/>
          </w:tcPr>
          <w:p w14:paraId="65D10CDB">
            <w:pPr>
              <w:bidi w:val="0"/>
              <w:spacing w:line="360" w:lineRule="auto"/>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海洋</w:t>
            </w:r>
          </w:p>
        </w:tc>
        <w:tc>
          <w:tcPr>
            <w:tcW w:w="2143" w:type="pct"/>
            <w:gridSpan w:val="2"/>
            <w:noWrap w:val="0"/>
            <w:vAlign w:val="center"/>
          </w:tcPr>
          <w:p w14:paraId="1D383A43">
            <w:pPr>
              <w:bidi w:val="0"/>
              <w:spacing w:line="360" w:lineRule="auto"/>
              <w:jc w:val="both"/>
              <w:rPr>
                <w:rFonts w:hint="default" w:ascii="Times New Roman" w:hAnsi="Times New Roman" w:eastAsia="宋体" w:cs="Times New Roman"/>
                <w:b w:val="0"/>
                <w:bCs w:val="0"/>
                <w:color w:val="auto"/>
                <w:sz w:val="21"/>
                <w:szCs w:val="21"/>
              </w:rPr>
            </w:pPr>
            <w:r>
              <w:rPr>
                <w:rFonts w:hint="default" w:ascii="Times New Roman" w:hAnsi="Times New Roman" w:eastAsia="宋体" w:cs="Times New Roman"/>
                <w:b w:val="0"/>
                <w:bCs w:val="0"/>
                <w:color w:val="auto"/>
                <w:sz w:val="21"/>
                <w:szCs w:val="21"/>
              </w:rPr>
              <w:t>海洋直接向海洋排放污染物的海洋工程建设项目</w:t>
            </w:r>
          </w:p>
        </w:tc>
        <w:tc>
          <w:tcPr>
            <w:tcW w:w="1823" w:type="pct"/>
            <w:noWrap w:val="0"/>
            <w:vAlign w:val="center"/>
          </w:tcPr>
          <w:p w14:paraId="66ED526F">
            <w:pPr>
              <w:bidi w:val="0"/>
              <w:spacing w:line="360" w:lineRule="auto"/>
              <w:jc w:val="both"/>
              <w:rPr>
                <w:rFonts w:hint="default" w:ascii="Times New Roman" w:hAnsi="Times New Roman" w:eastAsia="宋体" w:cs="Times New Roman"/>
                <w:b w:val="0"/>
                <w:bCs w:val="0"/>
                <w:color w:val="auto"/>
                <w:sz w:val="21"/>
                <w:szCs w:val="21"/>
              </w:rPr>
            </w:pPr>
            <w:r>
              <w:rPr>
                <w:rFonts w:hint="eastAsia" w:cs="Times New Roman"/>
                <w:b w:val="0"/>
                <w:bCs w:val="0"/>
                <w:color w:val="auto"/>
                <w:sz w:val="21"/>
                <w:szCs w:val="21"/>
                <w:lang w:val="en-US" w:eastAsia="zh-CN"/>
              </w:rPr>
              <w:t>本</w:t>
            </w:r>
            <w:r>
              <w:rPr>
                <w:rFonts w:hint="default" w:ascii="Times New Roman" w:hAnsi="Times New Roman" w:eastAsia="宋体" w:cs="Times New Roman"/>
                <w:b w:val="0"/>
                <w:bCs w:val="0"/>
                <w:color w:val="auto"/>
                <w:sz w:val="21"/>
                <w:szCs w:val="21"/>
              </w:rPr>
              <w:t>项目不</w:t>
            </w:r>
            <w:r>
              <w:rPr>
                <w:rFonts w:hint="eastAsia" w:cs="Times New Roman"/>
                <w:b w:val="0"/>
                <w:bCs w:val="0"/>
                <w:color w:val="auto"/>
                <w:sz w:val="21"/>
                <w:szCs w:val="21"/>
                <w:lang w:val="en-US" w:eastAsia="zh-CN"/>
              </w:rPr>
              <w:t>涉及</w:t>
            </w:r>
            <w:r>
              <w:rPr>
                <w:rFonts w:hint="default" w:ascii="Times New Roman" w:hAnsi="Times New Roman" w:eastAsia="宋体" w:cs="Times New Roman"/>
                <w:b w:val="0"/>
                <w:bCs w:val="0"/>
                <w:color w:val="auto"/>
                <w:sz w:val="21"/>
                <w:szCs w:val="21"/>
              </w:rPr>
              <w:t>海洋工程建设</w:t>
            </w:r>
            <w:r>
              <w:rPr>
                <w:rFonts w:hint="eastAsia" w:cs="Times New Roman"/>
                <w:b w:val="0"/>
                <w:bCs w:val="0"/>
                <w:color w:val="auto"/>
                <w:sz w:val="21"/>
                <w:szCs w:val="21"/>
                <w:lang w:eastAsia="zh-CN"/>
              </w:rPr>
              <w:t>；</w:t>
            </w:r>
            <w:r>
              <w:rPr>
                <w:rFonts w:hint="default" w:ascii="Times New Roman" w:hAnsi="Times New Roman" w:eastAsia="宋体" w:cs="Times New Roman"/>
                <w:b w:val="0"/>
                <w:bCs w:val="0"/>
                <w:color w:val="auto"/>
                <w:sz w:val="21"/>
                <w:szCs w:val="21"/>
              </w:rPr>
              <w:t>项目不设海洋专项评价。</w:t>
            </w:r>
          </w:p>
        </w:tc>
      </w:tr>
      <w:tr w14:paraId="2C07BC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9" w:hRule="atLeast"/>
          <w:jc w:val="center"/>
        </w:trPr>
        <w:tc>
          <w:tcPr>
            <w:tcW w:w="606" w:type="pct"/>
            <w:gridSpan w:val="2"/>
            <w:noWrap w:val="0"/>
            <w:vAlign w:val="center"/>
          </w:tcPr>
          <w:p w14:paraId="510D3692">
            <w:pPr>
              <w:bidi w:val="0"/>
              <w:spacing w:line="360" w:lineRule="auto"/>
              <w:jc w:val="center"/>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4"/>
                <w:szCs w:val="24"/>
              </w:rPr>
              <w:t>规划</w:t>
            </w:r>
          </w:p>
          <w:p w14:paraId="7AFC3CF9">
            <w:pPr>
              <w:bidi w:val="0"/>
              <w:spacing w:line="360" w:lineRule="auto"/>
              <w:jc w:val="center"/>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4"/>
                <w:szCs w:val="24"/>
              </w:rPr>
              <w:t>情况</w:t>
            </w:r>
          </w:p>
        </w:tc>
        <w:tc>
          <w:tcPr>
            <w:tcW w:w="4393" w:type="pct"/>
            <w:gridSpan w:val="4"/>
            <w:noWrap w:val="0"/>
            <w:vAlign w:val="center"/>
          </w:tcPr>
          <w:p w14:paraId="15B52302">
            <w:pPr>
              <w:numPr>
                <w:ilvl w:val="0"/>
                <w:numId w:val="0"/>
              </w:numPr>
              <w:bidi w:val="0"/>
              <w:spacing w:line="360" w:lineRule="auto"/>
              <w:jc w:val="both"/>
              <w:rPr>
                <w:rFonts w:hint="eastAsia" w:cs="Times New Roman"/>
                <w:b w:val="0"/>
                <w:bCs w:val="0"/>
                <w:color w:val="auto"/>
                <w:sz w:val="24"/>
                <w:szCs w:val="24"/>
                <w:lang w:val="en-US" w:eastAsia="zh-CN"/>
              </w:rPr>
            </w:pPr>
            <w:r>
              <w:rPr>
                <w:rFonts w:hint="eastAsia" w:cs="Times New Roman"/>
                <w:b/>
                <w:bCs/>
                <w:color w:val="auto"/>
                <w:sz w:val="24"/>
                <w:szCs w:val="24"/>
                <w:lang w:val="en-US" w:eastAsia="zh-CN"/>
              </w:rPr>
              <w:t>规划名称：</w:t>
            </w:r>
            <w:r>
              <w:rPr>
                <w:rFonts w:hint="eastAsia" w:cs="Times New Roman"/>
                <w:b w:val="0"/>
                <w:bCs w:val="0"/>
                <w:color w:val="auto"/>
                <w:sz w:val="24"/>
                <w:szCs w:val="24"/>
                <w:lang w:val="en-US" w:eastAsia="zh-CN"/>
              </w:rPr>
              <w:t>《遂宁市安居区工业集中发展区（含经开区）规划》；</w:t>
            </w:r>
          </w:p>
          <w:p w14:paraId="06C15226">
            <w:pPr>
              <w:numPr>
                <w:ilvl w:val="0"/>
                <w:numId w:val="0"/>
              </w:numPr>
              <w:bidi w:val="0"/>
              <w:spacing w:line="360" w:lineRule="auto"/>
              <w:jc w:val="both"/>
              <w:rPr>
                <w:rFonts w:hint="eastAsia" w:cs="Times New Roman"/>
                <w:b w:val="0"/>
                <w:bCs w:val="0"/>
                <w:color w:val="auto"/>
                <w:sz w:val="24"/>
                <w:szCs w:val="24"/>
                <w:lang w:val="en-US" w:eastAsia="zh-CN"/>
              </w:rPr>
            </w:pPr>
            <w:r>
              <w:rPr>
                <w:rFonts w:hint="eastAsia" w:cs="Times New Roman"/>
                <w:b/>
                <w:bCs/>
                <w:color w:val="auto"/>
                <w:sz w:val="24"/>
                <w:szCs w:val="24"/>
                <w:lang w:val="en-US" w:eastAsia="zh-CN"/>
              </w:rPr>
              <w:t>审批机关：</w:t>
            </w:r>
            <w:r>
              <w:rPr>
                <w:rFonts w:hint="eastAsia" w:cs="Times New Roman"/>
                <w:b w:val="0"/>
                <w:bCs w:val="0"/>
                <w:color w:val="auto"/>
                <w:sz w:val="24"/>
                <w:szCs w:val="24"/>
                <w:lang w:val="en-US" w:eastAsia="zh-CN"/>
              </w:rPr>
              <w:t>四川省人民政府；</w:t>
            </w:r>
          </w:p>
          <w:p w14:paraId="052EEA06">
            <w:pPr>
              <w:numPr>
                <w:ilvl w:val="0"/>
                <w:numId w:val="0"/>
              </w:numPr>
              <w:bidi w:val="0"/>
              <w:spacing w:line="360" w:lineRule="auto"/>
              <w:jc w:val="both"/>
              <w:rPr>
                <w:rFonts w:hint="eastAsia" w:ascii="Times New Roman" w:hAnsi="Times New Roman" w:eastAsia="宋体" w:cs="Times New Roman"/>
                <w:b w:val="0"/>
                <w:bCs w:val="0"/>
                <w:color w:val="auto"/>
                <w:sz w:val="24"/>
                <w:szCs w:val="24"/>
                <w:lang w:eastAsia="zh-CN"/>
              </w:rPr>
            </w:pPr>
            <w:r>
              <w:rPr>
                <w:rFonts w:hint="eastAsia" w:cs="Times New Roman"/>
                <w:b/>
                <w:bCs/>
                <w:color w:val="auto"/>
                <w:sz w:val="24"/>
                <w:szCs w:val="24"/>
                <w:lang w:val="en-US" w:eastAsia="zh-CN"/>
              </w:rPr>
              <w:t>审批文件名称及文号：</w:t>
            </w:r>
            <w:r>
              <w:rPr>
                <w:rFonts w:hint="eastAsia" w:cs="Times New Roman"/>
                <w:b w:val="0"/>
                <w:bCs w:val="0"/>
                <w:color w:val="auto"/>
                <w:sz w:val="24"/>
                <w:szCs w:val="24"/>
                <w:lang w:val="en-US" w:eastAsia="zh-CN"/>
              </w:rPr>
              <w:t>《四川省人民政府关于设立四川蒲江经济开发区等家省级开发区的批复》（川府函〔2019〕20号）</w:t>
            </w:r>
          </w:p>
        </w:tc>
      </w:tr>
      <w:tr w14:paraId="6AEA580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8" w:hRule="atLeast"/>
          <w:jc w:val="center"/>
        </w:trPr>
        <w:tc>
          <w:tcPr>
            <w:tcW w:w="606" w:type="pct"/>
            <w:gridSpan w:val="2"/>
            <w:noWrap w:val="0"/>
            <w:vAlign w:val="center"/>
          </w:tcPr>
          <w:p w14:paraId="52B7E386">
            <w:pPr>
              <w:bidi w:val="0"/>
              <w:spacing w:line="360" w:lineRule="auto"/>
              <w:jc w:val="center"/>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4"/>
                <w:szCs w:val="24"/>
              </w:rPr>
              <w:t>规划环境影响评价</w:t>
            </w:r>
          </w:p>
          <w:p w14:paraId="18E2FF7E">
            <w:pPr>
              <w:bidi w:val="0"/>
              <w:spacing w:line="360" w:lineRule="auto"/>
              <w:jc w:val="center"/>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4"/>
                <w:szCs w:val="24"/>
              </w:rPr>
              <w:t>情况</w:t>
            </w:r>
          </w:p>
        </w:tc>
        <w:tc>
          <w:tcPr>
            <w:tcW w:w="4393" w:type="pct"/>
            <w:gridSpan w:val="4"/>
            <w:noWrap w:val="0"/>
            <w:vAlign w:val="center"/>
          </w:tcPr>
          <w:p w14:paraId="471B74B4">
            <w:pPr>
              <w:numPr>
                <w:ilvl w:val="0"/>
                <w:numId w:val="0"/>
              </w:numPr>
              <w:bidi w:val="0"/>
              <w:spacing w:line="360" w:lineRule="auto"/>
              <w:jc w:val="both"/>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4"/>
                <w:szCs w:val="24"/>
              </w:rPr>
              <w:t>规划环评名称：《遂宁市安居区工业集中发展区（含经开区）规划环境影响报告书》；</w:t>
            </w:r>
          </w:p>
          <w:p w14:paraId="4B4A8ADC">
            <w:pPr>
              <w:numPr>
                <w:ilvl w:val="0"/>
                <w:numId w:val="0"/>
              </w:numPr>
              <w:bidi w:val="0"/>
              <w:spacing w:line="360" w:lineRule="auto"/>
              <w:jc w:val="both"/>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4"/>
                <w:szCs w:val="24"/>
              </w:rPr>
              <w:t>召集审查机关：</w:t>
            </w:r>
            <w:r>
              <w:rPr>
                <w:rFonts w:hint="default" w:ascii="Times New Roman" w:hAnsi="Times New Roman" w:eastAsia="宋体" w:cs="Times New Roman"/>
                <w:b w:val="0"/>
                <w:bCs w:val="0"/>
                <w:color w:val="auto"/>
                <w:sz w:val="24"/>
                <w:szCs w:val="24"/>
              </w:rPr>
              <w:t>四川省生态环境厅；</w:t>
            </w:r>
          </w:p>
          <w:p w14:paraId="17A7B823">
            <w:pPr>
              <w:numPr>
                <w:ilvl w:val="0"/>
                <w:numId w:val="0"/>
              </w:numPr>
              <w:bidi w:val="0"/>
              <w:spacing w:line="360" w:lineRule="auto"/>
              <w:jc w:val="both"/>
              <w:rPr>
                <w:rFonts w:hint="eastAsia" w:ascii="Times New Roman" w:hAnsi="Times New Roman" w:eastAsia="宋体" w:cs="Times New Roman"/>
                <w:b/>
                <w:bCs/>
                <w:color w:val="auto"/>
                <w:sz w:val="24"/>
                <w:szCs w:val="24"/>
                <w:lang w:eastAsia="zh-CN"/>
              </w:rPr>
            </w:pPr>
            <w:r>
              <w:rPr>
                <w:rFonts w:hint="default" w:ascii="Times New Roman" w:hAnsi="Times New Roman" w:eastAsia="宋体" w:cs="Times New Roman"/>
                <w:b/>
                <w:bCs/>
                <w:color w:val="auto"/>
                <w:sz w:val="24"/>
                <w:szCs w:val="24"/>
              </w:rPr>
              <w:t>审查文件名称及文号：</w:t>
            </w:r>
            <w:r>
              <w:rPr>
                <w:rFonts w:hint="default" w:ascii="Times New Roman" w:hAnsi="Times New Roman" w:eastAsia="宋体" w:cs="Times New Roman"/>
                <w:b w:val="0"/>
                <w:bCs w:val="0"/>
                <w:color w:val="auto"/>
                <w:sz w:val="24"/>
                <w:szCs w:val="24"/>
              </w:rPr>
              <w:t>（川环建函〔2020〕39号）《四川省生态环境厅关于印发遂宁市安居区工业集中发展区（含经开区）规划环境影响报告书审查意见的函》</w:t>
            </w:r>
            <w:r>
              <w:rPr>
                <w:rFonts w:hint="eastAsia" w:cs="Times New Roman"/>
                <w:b w:val="0"/>
                <w:bCs w:val="0"/>
                <w:color w:val="auto"/>
                <w:sz w:val="24"/>
                <w:szCs w:val="24"/>
                <w:lang w:eastAsia="zh-CN"/>
              </w:rPr>
              <w:t>（20</w:t>
            </w:r>
            <w:r>
              <w:rPr>
                <w:rFonts w:hint="eastAsia" w:cs="Times New Roman"/>
                <w:b w:val="0"/>
                <w:bCs w:val="0"/>
                <w:color w:val="auto"/>
                <w:sz w:val="24"/>
                <w:szCs w:val="24"/>
                <w:lang w:val="en-US" w:eastAsia="zh-CN"/>
              </w:rPr>
              <w:t>20</w:t>
            </w:r>
            <w:r>
              <w:rPr>
                <w:rFonts w:hint="eastAsia" w:cs="Times New Roman"/>
                <w:b w:val="0"/>
                <w:bCs w:val="0"/>
                <w:color w:val="auto"/>
                <w:sz w:val="24"/>
                <w:szCs w:val="24"/>
                <w:lang w:eastAsia="zh-CN"/>
              </w:rPr>
              <w:t>年</w:t>
            </w:r>
            <w:r>
              <w:rPr>
                <w:rFonts w:hint="eastAsia" w:cs="Times New Roman"/>
                <w:b w:val="0"/>
                <w:bCs w:val="0"/>
                <w:color w:val="auto"/>
                <w:sz w:val="24"/>
                <w:szCs w:val="24"/>
                <w:lang w:val="en-US" w:eastAsia="zh-CN"/>
              </w:rPr>
              <w:t>6</w:t>
            </w:r>
            <w:r>
              <w:rPr>
                <w:rFonts w:hint="eastAsia" w:cs="Times New Roman"/>
                <w:b w:val="0"/>
                <w:bCs w:val="0"/>
                <w:color w:val="auto"/>
                <w:sz w:val="24"/>
                <w:szCs w:val="24"/>
                <w:lang w:eastAsia="zh-CN"/>
              </w:rPr>
              <w:t>月</w:t>
            </w:r>
            <w:r>
              <w:rPr>
                <w:rFonts w:hint="eastAsia" w:cs="Times New Roman"/>
                <w:b w:val="0"/>
                <w:bCs w:val="0"/>
                <w:color w:val="auto"/>
                <w:sz w:val="24"/>
                <w:szCs w:val="24"/>
                <w:lang w:val="en-US" w:eastAsia="zh-CN"/>
              </w:rPr>
              <w:t>22</w:t>
            </w:r>
            <w:r>
              <w:rPr>
                <w:rFonts w:hint="eastAsia" w:cs="Times New Roman"/>
                <w:b w:val="0"/>
                <w:bCs w:val="0"/>
                <w:color w:val="auto"/>
                <w:sz w:val="24"/>
                <w:szCs w:val="24"/>
                <w:lang w:eastAsia="zh-CN"/>
              </w:rPr>
              <w:t>日）；</w:t>
            </w:r>
          </w:p>
        </w:tc>
      </w:tr>
      <w:tr w14:paraId="1DAC15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3" w:hRule="atLeast"/>
          <w:jc w:val="center"/>
        </w:trPr>
        <w:tc>
          <w:tcPr>
            <w:tcW w:w="606" w:type="pct"/>
            <w:gridSpan w:val="2"/>
            <w:noWrap w:val="0"/>
            <w:vAlign w:val="center"/>
          </w:tcPr>
          <w:p w14:paraId="1814C792">
            <w:pPr>
              <w:bidi w:val="0"/>
              <w:spacing w:line="360" w:lineRule="auto"/>
              <w:jc w:val="center"/>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4"/>
                <w:szCs w:val="24"/>
              </w:rPr>
              <w:t>规划及规划环境影响评价符合性</w:t>
            </w:r>
          </w:p>
          <w:p w14:paraId="0FCE8C3B">
            <w:pPr>
              <w:bidi w:val="0"/>
              <w:spacing w:line="360" w:lineRule="auto"/>
              <w:jc w:val="center"/>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4"/>
                <w:szCs w:val="24"/>
              </w:rPr>
              <w:t>分析</w:t>
            </w:r>
          </w:p>
        </w:tc>
        <w:tc>
          <w:tcPr>
            <w:tcW w:w="4393" w:type="pct"/>
            <w:gridSpan w:val="4"/>
            <w:noWrap w:val="0"/>
            <w:vAlign w:val="center"/>
          </w:tcPr>
          <w:p w14:paraId="01C9573B">
            <w:pPr>
              <w:numPr>
                <w:ilvl w:val="0"/>
                <w:numId w:val="3"/>
              </w:numPr>
              <w:bidi w:val="0"/>
              <w:spacing w:line="360" w:lineRule="auto"/>
              <w:jc w:val="both"/>
              <w:rPr>
                <w:rFonts w:hint="default" w:ascii="Times New Roman" w:hAnsi="Times New Roman" w:eastAsia="宋体" w:cs="Times New Roman"/>
                <w:color w:val="auto"/>
                <w:sz w:val="24"/>
                <w:szCs w:val="24"/>
              </w:rPr>
            </w:pPr>
            <w:r>
              <w:rPr>
                <w:rFonts w:hint="default" w:ascii="Times New Roman" w:hAnsi="Times New Roman" w:eastAsia="宋体" w:cs="Times New Roman"/>
                <w:b/>
                <w:bCs/>
                <w:color w:val="auto"/>
                <w:sz w:val="24"/>
                <w:szCs w:val="24"/>
              </w:rPr>
              <w:t>与《遂宁市安居区工业集中发展区（含经开区）规划》的符合性</w:t>
            </w:r>
          </w:p>
          <w:p w14:paraId="03B175E2">
            <w:pPr>
              <w:numPr>
                <w:ilvl w:val="0"/>
                <w:numId w:val="0"/>
              </w:numPr>
              <w:bidi w:val="0"/>
              <w:spacing w:line="360" w:lineRule="auto"/>
              <w:ind w:firstLine="480" w:firstLineChars="200"/>
              <w:jc w:val="both"/>
              <w:rPr>
                <w:rFonts w:hint="default" w:ascii="Times New Roman" w:hAnsi="Times New Roman" w:eastAsia="宋体" w:cs="Times New Roman"/>
                <w:color w:val="auto"/>
                <w:sz w:val="24"/>
                <w:szCs w:val="24"/>
              </w:rPr>
            </w:pPr>
            <w:r>
              <w:rPr>
                <w:rFonts w:hint="eastAsia" w:cs="Times New Roman"/>
                <w:color w:val="auto"/>
                <w:sz w:val="24"/>
                <w:szCs w:val="24"/>
                <w:lang w:val="en-US" w:eastAsia="zh-CN"/>
              </w:rPr>
              <w:t>四川省</w:t>
            </w:r>
            <w:r>
              <w:rPr>
                <w:rFonts w:hint="default" w:ascii="Times New Roman" w:hAnsi="Times New Roman" w:eastAsia="宋体" w:cs="Times New Roman"/>
                <w:color w:val="auto"/>
                <w:sz w:val="24"/>
                <w:szCs w:val="24"/>
              </w:rPr>
              <w:t>遂宁市安居区工业集中发展区（以</w:t>
            </w:r>
            <w:r>
              <w:rPr>
                <w:rFonts w:hint="eastAsia" w:ascii="宋体" w:hAnsi="宋体" w:eastAsia="宋体" w:cs="宋体"/>
                <w:color w:val="auto"/>
                <w:sz w:val="24"/>
                <w:szCs w:val="24"/>
              </w:rPr>
              <w:t>下简称“工业集中区”</w:t>
            </w:r>
            <w:r>
              <w:rPr>
                <w:rFonts w:hint="default" w:ascii="Times New Roman" w:hAnsi="Times New Roman" w:eastAsia="宋体" w:cs="Times New Roman"/>
                <w:color w:val="auto"/>
                <w:sz w:val="24"/>
                <w:szCs w:val="24"/>
              </w:rPr>
              <w:t>）成立于2007年，包括遂宁市安居区化工工业园（以下</w:t>
            </w:r>
            <w:r>
              <w:rPr>
                <w:rFonts w:hint="eastAsia" w:ascii="宋体" w:hAnsi="宋体" w:eastAsia="宋体" w:cs="宋体"/>
                <w:color w:val="auto"/>
                <w:sz w:val="24"/>
                <w:szCs w:val="24"/>
              </w:rPr>
              <w:t>简称“化工园”</w:t>
            </w:r>
            <w:r>
              <w:rPr>
                <w:rFonts w:hint="default" w:ascii="Times New Roman" w:hAnsi="Times New Roman" w:eastAsia="宋体" w:cs="Times New Roman"/>
                <w:color w:val="auto"/>
                <w:sz w:val="24"/>
                <w:szCs w:val="24"/>
              </w:rPr>
              <w:t>）和遂宁市安居区东部新城工业区（以下</w:t>
            </w:r>
            <w:r>
              <w:rPr>
                <w:rFonts w:hint="eastAsia" w:ascii="宋体" w:hAnsi="宋体" w:eastAsia="宋体" w:cs="宋体"/>
                <w:color w:val="auto"/>
                <w:sz w:val="24"/>
                <w:szCs w:val="24"/>
              </w:rPr>
              <w:t>简称“新城工业区”</w:t>
            </w:r>
            <w:r>
              <w:rPr>
                <w:rFonts w:hint="default" w:ascii="Times New Roman" w:hAnsi="Times New Roman" w:eastAsia="宋体" w:cs="Times New Roman"/>
                <w:color w:val="auto"/>
                <w:sz w:val="24"/>
                <w:szCs w:val="24"/>
              </w:rPr>
              <w:t>）；其中化工园规划面积为5.75平方公里，重点发展天然气化工、盐化工</w:t>
            </w:r>
            <w:r>
              <w:rPr>
                <w:rFonts w:hint="eastAsia" w:cs="Times New Roman"/>
                <w:color w:val="auto"/>
                <w:sz w:val="24"/>
                <w:szCs w:val="24"/>
                <w:lang w:val="en-US" w:eastAsia="zh-CN"/>
              </w:rPr>
              <w:t>以及</w:t>
            </w:r>
            <w:r>
              <w:rPr>
                <w:rFonts w:hint="default" w:ascii="Times New Roman" w:hAnsi="Times New Roman" w:eastAsia="宋体" w:cs="Times New Roman"/>
                <w:color w:val="auto"/>
                <w:sz w:val="24"/>
                <w:szCs w:val="24"/>
              </w:rPr>
              <w:t>各类精细化工下游产业，其规划环境影响报告书于2008年10月通过原四川省环境保护厅组织的审查（川环建函〔2008〕941号）；新城工业区规划面积为13.33</w:t>
            </w:r>
            <w:r>
              <w:rPr>
                <w:rFonts w:hint="eastAsia" w:cs="Times New Roman"/>
                <w:color w:val="auto"/>
                <w:sz w:val="24"/>
                <w:szCs w:val="24"/>
                <w:lang w:val="en-US" w:eastAsia="zh-CN"/>
              </w:rPr>
              <w:t>km</w:t>
            </w:r>
            <w:r>
              <w:rPr>
                <w:rFonts w:hint="eastAsia" w:cs="Times New Roman"/>
                <w:color w:val="auto"/>
                <w:sz w:val="24"/>
                <w:szCs w:val="24"/>
                <w:vertAlign w:val="superscript"/>
                <w:lang w:val="en-US" w:eastAsia="zh-CN"/>
              </w:rPr>
              <w:t>2</w:t>
            </w:r>
            <w:r>
              <w:rPr>
                <w:rFonts w:hint="default" w:ascii="Times New Roman" w:hAnsi="Times New Roman" w:eastAsia="宋体" w:cs="Times New Roman"/>
                <w:color w:val="auto"/>
                <w:sz w:val="24"/>
                <w:szCs w:val="24"/>
              </w:rPr>
              <w:t>，主要发展机械电子、纺织及食品产业，其规划环境影响报告书于2012年4月通过原四川省环境保护厅组织的审查（川环建函〔2012〕79号）。</w:t>
            </w:r>
          </w:p>
          <w:p w14:paraId="7CED379A">
            <w:pPr>
              <w:numPr>
                <w:ilvl w:val="0"/>
                <w:numId w:val="0"/>
              </w:numPr>
              <w:bidi w:val="0"/>
              <w:spacing w:line="360" w:lineRule="auto"/>
              <w:ind w:firstLine="480" w:firstLineChars="200"/>
              <w:jc w:val="both"/>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2019年，遂宁市安居区人民政府对工业集中区进行调整，并组织相关单位编制了《遂宁市安居区工业集中发展区控制性详细规划》，根据《四川省生态环境厅关于〈遂宁市安居区工业集中发展区（含经开区）规划环境影响报告书〉审查意见的函》</w:t>
            </w:r>
            <w:r>
              <w:rPr>
                <w:rFonts w:hint="default" w:ascii="Times New Roman" w:hAnsi="Times New Roman" w:eastAsia="宋体" w:cs="Times New Roman"/>
                <w:b w:val="0"/>
                <w:bCs w:val="0"/>
                <w:color w:val="auto"/>
                <w:sz w:val="24"/>
                <w:szCs w:val="24"/>
              </w:rPr>
              <w:t>（川环建函〔2020〕39号）</w:t>
            </w:r>
            <w:r>
              <w:rPr>
                <w:rFonts w:hint="default" w:ascii="Times New Roman" w:hAnsi="Times New Roman" w:eastAsia="宋体" w:cs="Times New Roman"/>
                <w:color w:val="auto"/>
                <w:sz w:val="24"/>
                <w:szCs w:val="24"/>
              </w:rPr>
              <w:t>：规划面积22.76平方公里（包括四川遂宁安居经济开发区规划范围，该经开区于2019年1月由四川省人民政府以川府函〔2019〕20号文批准设立为省级开发区，核准面积为8.086平方公里），四至范围为东至遂内高速，北接国道318，西靠中心城区，南临琼江，重点发展机械装备制造、精细化工产业，辅助发展食品加工、新材料产业。</w:t>
            </w:r>
          </w:p>
          <w:p w14:paraId="1EE9F24D">
            <w:pPr>
              <w:numPr>
                <w:ilvl w:val="0"/>
                <w:numId w:val="0"/>
              </w:numPr>
              <w:bidi w:val="0"/>
              <w:spacing w:line="360" w:lineRule="auto"/>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表1-</w:t>
            </w:r>
            <w:r>
              <w:rPr>
                <w:rFonts w:hint="eastAsia" w:cs="Times New Roman"/>
                <w:b/>
                <w:bCs/>
                <w:color w:val="auto"/>
                <w:sz w:val="21"/>
                <w:szCs w:val="21"/>
                <w:lang w:val="en-US" w:eastAsia="zh-CN"/>
              </w:rPr>
              <w:t>1</w:t>
            </w:r>
            <w:r>
              <w:rPr>
                <w:rFonts w:hint="default" w:ascii="Times New Roman" w:hAnsi="Times New Roman" w:eastAsia="宋体" w:cs="Times New Roman"/>
                <w:b/>
                <w:bCs/>
                <w:color w:val="auto"/>
                <w:sz w:val="21"/>
                <w:szCs w:val="21"/>
                <w:lang w:val="en-US" w:eastAsia="zh-CN"/>
              </w:rPr>
              <w:t xml:space="preserve"> </w:t>
            </w:r>
            <w:r>
              <w:rPr>
                <w:rFonts w:hint="default" w:ascii="Times New Roman" w:hAnsi="Times New Roman" w:eastAsia="宋体" w:cs="Times New Roman"/>
                <w:b/>
                <w:bCs/>
                <w:color w:val="auto"/>
                <w:sz w:val="21"/>
                <w:szCs w:val="21"/>
              </w:rPr>
              <w:t>安居区工业集中发展区（含经开区）规划情况及本项目符合性一览表</w:t>
            </w:r>
          </w:p>
          <w:tbl>
            <w:tblPr>
              <w:tblStyle w:val="27"/>
              <w:tblW w:w="4998"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99"/>
              <w:gridCol w:w="438"/>
              <w:gridCol w:w="4515"/>
              <w:gridCol w:w="1343"/>
              <w:gridCol w:w="910"/>
            </w:tblGrid>
            <w:tr w14:paraId="0CBD68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99" w:type="dxa"/>
                  <w:tcBorders>
                    <w:tl2br w:val="nil"/>
                    <w:tr2bl w:val="nil"/>
                  </w:tcBorders>
                  <w:noWrap w:val="0"/>
                  <w:vAlign w:val="center"/>
                </w:tcPr>
                <w:p w14:paraId="5CDF130D">
                  <w:pPr>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分类</w:t>
                  </w:r>
                </w:p>
              </w:tc>
              <w:tc>
                <w:tcPr>
                  <w:tcW w:w="4953" w:type="dxa"/>
                  <w:gridSpan w:val="2"/>
                  <w:tcBorders>
                    <w:tl2br w:val="nil"/>
                    <w:tr2bl w:val="nil"/>
                  </w:tcBorders>
                  <w:noWrap w:val="0"/>
                  <w:vAlign w:val="center"/>
                </w:tcPr>
                <w:p w14:paraId="3222C9D8">
                  <w:pPr>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规划内容</w:t>
                  </w:r>
                </w:p>
              </w:tc>
              <w:tc>
                <w:tcPr>
                  <w:tcW w:w="1343" w:type="dxa"/>
                  <w:tcBorders>
                    <w:tl2br w:val="nil"/>
                    <w:tr2bl w:val="nil"/>
                  </w:tcBorders>
                  <w:noWrap w:val="0"/>
                  <w:vAlign w:val="center"/>
                </w:tcPr>
                <w:p w14:paraId="54EA686B">
                  <w:pPr>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本项目</w:t>
                  </w:r>
                </w:p>
              </w:tc>
              <w:tc>
                <w:tcPr>
                  <w:tcW w:w="910" w:type="dxa"/>
                  <w:tcBorders>
                    <w:tl2br w:val="nil"/>
                    <w:tr2bl w:val="nil"/>
                  </w:tcBorders>
                  <w:noWrap w:val="0"/>
                  <w:vAlign w:val="center"/>
                </w:tcPr>
                <w:p w14:paraId="559C2BDA">
                  <w:pPr>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符合性分析</w:t>
                  </w:r>
                </w:p>
              </w:tc>
            </w:tr>
            <w:tr w14:paraId="44E033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99" w:type="dxa"/>
                  <w:tcBorders>
                    <w:tl2br w:val="nil"/>
                    <w:tr2bl w:val="nil"/>
                  </w:tcBorders>
                  <w:noWrap w:val="0"/>
                  <w:vAlign w:val="center"/>
                </w:tcPr>
                <w:p w14:paraId="0973D786">
                  <w:pPr>
                    <w:jc w:val="center"/>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规划范围</w:t>
                  </w:r>
                </w:p>
              </w:tc>
              <w:tc>
                <w:tcPr>
                  <w:tcW w:w="4953" w:type="dxa"/>
                  <w:gridSpan w:val="2"/>
                  <w:tcBorders>
                    <w:tl2br w:val="nil"/>
                    <w:tr2bl w:val="nil"/>
                  </w:tcBorders>
                  <w:noWrap w:val="0"/>
                  <w:vAlign w:val="center"/>
                </w:tcPr>
                <w:p w14:paraId="3D132BB8">
                  <w:pPr>
                    <w:jc w:val="both"/>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西靠中心城区，东至遂内高速，北接国道 318，南临琼江，面积约22.76平方公里。</w:t>
                  </w:r>
                </w:p>
              </w:tc>
              <w:tc>
                <w:tcPr>
                  <w:tcW w:w="1343" w:type="dxa"/>
                  <w:vMerge w:val="restart"/>
                  <w:tcBorders>
                    <w:tl2br w:val="nil"/>
                    <w:tr2bl w:val="nil"/>
                  </w:tcBorders>
                  <w:noWrap w:val="0"/>
                  <w:vAlign w:val="center"/>
                </w:tcPr>
                <w:p w14:paraId="4E85BDF7">
                  <w:pPr>
                    <w:jc w:val="both"/>
                    <w:rPr>
                      <w:rFonts w:hint="eastAsia" w:ascii="Times New Roman" w:hAnsi="Times New Roman" w:eastAsia="宋体" w:cs="Times New Roman"/>
                      <w:bCs/>
                      <w:color w:val="auto"/>
                      <w:sz w:val="21"/>
                      <w:szCs w:val="21"/>
                      <w:lang w:eastAsia="zh-CN"/>
                    </w:rPr>
                  </w:pPr>
                  <w:r>
                    <w:rPr>
                      <w:rFonts w:hint="eastAsia" w:cs="Times New Roman"/>
                      <w:bCs/>
                      <w:color w:val="auto"/>
                      <w:sz w:val="21"/>
                      <w:szCs w:val="21"/>
                      <w:lang w:val="en-US" w:eastAsia="zh-CN"/>
                    </w:rPr>
                    <w:t>本项目</w:t>
                  </w:r>
                  <w:r>
                    <w:rPr>
                      <w:rFonts w:hint="default" w:ascii="Times New Roman" w:hAnsi="Times New Roman" w:eastAsia="宋体" w:cs="Times New Roman"/>
                      <w:bCs/>
                      <w:color w:val="auto"/>
                      <w:sz w:val="21"/>
                      <w:szCs w:val="21"/>
                    </w:rPr>
                    <w:t>为废矿物油收集贮存转运项目，为区域危险废物收集暂存服务，与规划区产业定位有互补作用，不属于高污染、高消耗企业，不属于园区禁止进入的产业。与规划区规划无明显冲突，不属于《环境保护综合名录》中项目，不会影响规划区的规划实施，</w:t>
                  </w:r>
                  <w:r>
                    <w:rPr>
                      <w:rFonts w:hint="eastAsia" w:cs="Times New Roman"/>
                      <w:bCs/>
                      <w:color w:val="auto"/>
                      <w:sz w:val="21"/>
                      <w:szCs w:val="21"/>
                      <w:lang w:val="en-US" w:eastAsia="zh-CN"/>
                    </w:rPr>
                    <w:t>同时，四川遂宁安居经济开发区管理委员会出具了同意项目入园的证明；</w:t>
                  </w:r>
                  <w:r>
                    <w:rPr>
                      <w:rFonts w:hint="default" w:ascii="Times New Roman" w:hAnsi="Times New Roman" w:eastAsia="宋体" w:cs="Times New Roman"/>
                      <w:bCs/>
                      <w:color w:val="auto"/>
                      <w:sz w:val="21"/>
                      <w:szCs w:val="21"/>
                    </w:rPr>
                    <w:t>故项目为园区允许引入企业</w:t>
                  </w:r>
                  <w:r>
                    <w:rPr>
                      <w:rFonts w:hint="eastAsia" w:cs="Times New Roman"/>
                      <w:bCs/>
                      <w:color w:val="auto"/>
                      <w:sz w:val="21"/>
                      <w:szCs w:val="21"/>
                      <w:lang w:eastAsia="zh-CN"/>
                    </w:rPr>
                    <w:t>。</w:t>
                  </w:r>
                </w:p>
              </w:tc>
              <w:tc>
                <w:tcPr>
                  <w:tcW w:w="910" w:type="dxa"/>
                  <w:vMerge w:val="restart"/>
                  <w:tcBorders>
                    <w:tl2br w:val="nil"/>
                    <w:tr2bl w:val="nil"/>
                  </w:tcBorders>
                  <w:noWrap w:val="0"/>
                  <w:vAlign w:val="center"/>
                </w:tcPr>
                <w:p w14:paraId="66971D42">
                  <w:pPr>
                    <w:jc w:val="center"/>
                    <w:rPr>
                      <w:rFonts w:hint="default" w:ascii="Times New Roman" w:hAnsi="Times New Roman" w:eastAsia="宋体" w:cs="Times New Roman"/>
                      <w:bCs/>
                      <w:color w:val="auto"/>
                      <w:sz w:val="21"/>
                      <w:szCs w:val="21"/>
                    </w:rPr>
                  </w:pPr>
                  <w:r>
                    <w:rPr>
                      <w:rFonts w:hint="default" w:ascii="Times New Roman" w:hAnsi="Times New Roman" w:eastAsia="宋体" w:cs="Times New Roman"/>
                      <w:b w:val="0"/>
                      <w:bCs/>
                      <w:color w:val="auto"/>
                      <w:sz w:val="21"/>
                      <w:szCs w:val="21"/>
                    </w:rPr>
                    <w:t>符合</w:t>
                  </w:r>
                </w:p>
              </w:tc>
            </w:tr>
            <w:tr w14:paraId="7FEADA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99" w:type="dxa"/>
                  <w:tcBorders>
                    <w:tl2br w:val="nil"/>
                    <w:tr2bl w:val="nil"/>
                  </w:tcBorders>
                  <w:noWrap w:val="0"/>
                  <w:vAlign w:val="center"/>
                </w:tcPr>
                <w:p w14:paraId="27DB1B7A">
                  <w:pPr>
                    <w:jc w:val="center"/>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产业定位</w:t>
                  </w:r>
                </w:p>
              </w:tc>
              <w:tc>
                <w:tcPr>
                  <w:tcW w:w="4953" w:type="dxa"/>
                  <w:gridSpan w:val="2"/>
                  <w:tcBorders>
                    <w:tl2br w:val="nil"/>
                    <w:tr2bl w:val="nil"/>
                  </w:tcBorders>
                  <w:noWrap w:val="0"/>
                  <w:vAlign w:val="center"/>
                </w:tcPr>
                <w:p w14:paraId="209935C4">
                  <w:pPr>
                    <w:jc w:val="both"/>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重点发展机械装备制造、精细化工产业，辅助发展食品加工、新材料产业。</w:t>
                  </w:r>
                </w:p>
              </w:tc>
              <w:tc>
                <w:tcPr>
                  <w:tcW w:w="1343" w:type="dxa"/>
                  <w:vMerge w:val="continue"/>
                  <w:tcBorders>
                    <w:tl2br w:val="nil"/>
                    <w:tr2bl w:val="nil"/>
                  </w:tcBorders>
                  <w:noWrap w:val="0"/>
                  <w:vAlign w:val="center"/>
                </w:tcPr>
                <w:p w14:paraId="003348AF">
                  <w:pPr>
                    <w:jc w:val="center"/>
                    <w:rPr>
                      <w:rFonts w:hint="default" w:ascii="Times New Roman" w:hAnsi="Times New Roman" w:eastAsia="宋体" w:cs="Times New Roman"/>
                      <w:bCs/>
                      <w:color w:val="auto"/>
                      <w:sz w:val="21"/>
                      <w:szCs w:val="21"/>
                    </w:rPr>
                  </w:pPr>
                </w:p>
              </w:tc>
              <w:tc>
                <w:tcPr>
                  <w:tcW w:w="910" w:type="dxa"/>
                  <w:vMerge w:val="continue"/>
                  <w:tcBorders>
                    <w:tl2br w:val="nil"/>
                    <w:tr2bl w:val="nil"/>
                  </w:tcBorders>
                  <w:noWrap w:val="0"/>
                  <w:vAlign w:val="center"/>
                </w:tcPr>
                <w:p w14:paraId="6663F8A4">
                  <w:pPr>
                    <w:jc w:val="center"/>
                    <w:rPr>
                      <w:rFonts w:hint="default" w:ascii="Times New Roman" w:hAnsi="Times New Roman" w:eastAsia="宋体" w:cs="Times New Roman"/>
                      <w:bCs/>
                      <w:color w:val="auto"/>
                      <w:sz w:val="21"/>
                      <w:szCs w:val="21"/>
                    </w:rPr>
                  </w:pPr>
                </w:p>
              </w:tc>
            </w:tr>
            <w:tr w14:paraId="467D55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99" w:type="dxa"/>
                  <w:vMerge w:val="restart"/>
                  <w:tcBorders>
                    <w:tl2br w:val="nil"/>
                    <w:tr2bl w:val="nil"/>
                  </w:tcBorders>
                  <w:noWrap w:val="0"/>
                  <w:vAlign w:val="center"/>
                </w:tcPr>
                <w:p w14:paraId="7F1AB197">
                  <w:pPr>
                    <w:jc w:val="center"/>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鼓励</w:t>
                  </w:r>
                </w:p>
                <w:p w14:paraId="416E544C">
                  <w:pPr>
                    <w:jc w:val="center"/>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、禁止和允许入园行业名录</w:t>
                  </w:r>
                </w:p>
              </w:tc>
              <w:tc>
                <w:tcPr>
                  <w:tcW w:w="438" w:type="dxa"/>
                  <w:tcBorders>
                    <w:tl2br w:val="nil"/>
                    <w:tr2bl w:val="nil"/>
                  </w:tcBorders>
                  <w:noWrap w:val="0"/>
                  <w:vAlign w:val="center"/>
                </w:tcPr>
                <w:p w14:paraId="6BFF99C7">
                  <w:pPr>
                    <w:jc w:val="center"/>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鼓励类</w:t>
                  </w:r>
                </w:p>
              </w:tc>
              <w:tc>
                <w:tcPr>
                  <w:tcW w:w="4515" w:type="dxa"/>
                  <w:tcBorders>
                    <w:tl2br w:val="nil"/>
                    <w:tr2bl w:val="nil"/>
                  </w:tcBorders>
                  <w:noWrap w:val="0"/>
                  <w:vAlign w:val="center"/>
                </w:tcPr>
                <w:p w14:paraId="43E0B7F9">
                  <w:pPr>
                    <w:numPr>
                      <w:ilvl w:val="0"/>
                      <w:numId w:val="4"/>
                    </w:numPr>
                    <w:jc w:val="both"/>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以园区确定的主导产业及其配套产业等符合产业政策和规划的行业；</w:t>
                  </w:r>
                </w:p>
                <w:p w14:paraId="62739F59">
                  <w:pPr>
                    <w:numPr>
                      <w:ilvl w:val="0"/>
                      <w:numId w:val="4"/>
                    </w:numPr>
                    <w:jc w:val="both"/>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用水、节水、排水设计等清洁生产标准达到或优于国家先进水平的项目；</w:t>
                  </w:r>
                </w:p>
                <w:p w14:paraId="098CFC3F">
                  <w:pPr>
                    <w:numPr>
                      <w:ilvl w:val="0"/>
                      <w:numId w:val="4"/>
                    </w:numPr>
                    <w:jc w:val="both"/>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优先引入低污染、低能耗、高效益，遵循清洁生产及循环经济的项目。</w:t>
                  </w:r>
                </w:p>
              </w:tc>
              <w:tc>
                <w:tcPr>
                  <w:tcW w:w="1343" w:type="dxa"/>
                  <w:vMerge w:val="continue"/>
                  <w:tcBorders>
                    <w:tl2br w:val="nil"/>
                    <w:tr2bl w:val="nil"/>
                  </w:tcBorders>
                  <w:noWrap w:val="0"/>
                  <w:vAlign w:val="center"/>
                </w:tcPr>
                <w:p w14:paraId="710A6104">
                  <w:pPr>
                    <w:jc w:val="center"/>
                    <w:rPr>
                      <w:rFonts w:hint="default" w:ascii="Times New Roman" w:hAnsi="Times New Roman" w:eastAsia="宋体" w:cs="Times New Roman"/>
                      <w:bCs/>
                      <w:color w:val="auto"/>
                      <w:sz w:val="21"/>
                      <w:szCs w:val="21"/>
                    </w:rPr>
                  </w:pPr>
                </w:p>
              </w:tc>
              <w:tc>
                <w:tcPr>
                  <w:tcW w:w="910" w:type="dxa"/>
                  <w:vMerge w:val="continue"/>
                  <w:tcBorders>
                    <w:tl2br w:val="nil"/>
                    <w:tr2bl w:val="nil"/>
                  </w:tcBorders>
                  <w:noWrap w:val="0"/>
                  <w:vAlign w:val="center"/>
                </w:tcPr>
                <w:p w14:paraId="7C5025B3">
                  <w:pPr>
                    <w:jc w:val="center"/>
                    <w:rPr>
                      <w:rFonts w:hint="default" w:ascii="Times New Roman" w:hAnsi="Times New Roman" w:eastAsia="宋体" w:cs="Times New Roman"/>
                      <w:bCs/>
                      <w:color w:val="auto"/>
                      <w:sz w:val="21"/>
                      <w:szCs w:val="21"/>
                    </w:rPr>
                  </w:pPr>
                </w:p>
              </w:tc>
            </w:tr>
            <w:tr w14:paraId="6C3623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92" w:hRule="atLeast"/>
              </w:trPr>
              <w:tc>
                <w:tcPr>
                  <w:tcW w:w="699" w:type="dxa"/>
                  <w:vMerge w:val="continue"/>
                  <w:tcBorders>
                    <w:tl2br w:val="nil"/>
                    <w:tr2bl w:val="nil"/>
                  </w:tcBorders>
                  <w:noWrap w:val="0"/>
                  <w:vAlign w:val="center"/>
                </w:tcPr>
                <w:p w14:paraId="172533E1">
                  <w:pPr>
                    <w:jc w:val="center"/>
                    <w:rPr>
                      <w:rFonts w:hint="default" w:ascii="Times New Roman" w:hAnsi="Times New Roman" w:eastAsia="宋体" w:cs="Times New Roman"/>
                      <w:bCs/>
                      <w:color w:val="auto"/>
                      <w:sz w:val="21"/>
                      <w:szCs w:val="21"/>
                    </w:rPr>
                  </w:pPr>
                </w:p>
              </w:tc>
              <w:tc>
                <w:tcPr>
                  <w:tcW w:w="438" w:type="dxa"/>
                  <w:tcBorders>
                    <w:tl2br w:val="nil"/>
                    <w:tr2bl w:val="nil"/>
                  </w:tcBorders>
                  <w:noWrap w:val="0"/>
                  <w:vAlign w:val="center"/>
                </w:tcPr>
                <w:p w14:paraId="75FDAC0C">
                  <w:pPr>
                    <w:jc w:val="center"/>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禁止类</w:t>
                  </w:r>
                </w:p>
              </w:tc>
              <w:tc>
                <w:tcPr>
                  <w:tcW w:w="4515" w:type="dxa"/>
                  <w:tcBorders>
                    <w:tl2br w:val="nil"/>
                    <w:tr2bl w:val="nil"/>
                  </w:tcBorders>
                  <w:noWrap w:val="0"/>
                  <w:vAlign w:val="center"/>
                </w:tcPr>
                <w:p w14:paraId="01F56613">
                  <w:pPr>
                    <w:numPr>
                      <w:ilvl w:val="0"/>
                      <w:numId w:val="5"/>
                    </w:numPr>
                    <w:jc w:val="both"/>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禁止引入不符合国家法律法规、行业准入条件的项目，列入国家产能过剩的项目，列入产业结构指导目录禁止类的项目。</w:t>
                  </w:r>
                </w:p>
                <w:p w14:paraId="0CACDC32">
                  <w:pPr>
                    <w:numPr>
                      <w:ilvl w:val="0"/>
                      <w:numId w:val="5"/>
                    </w:numPr>
                    <w:jc w:val="both"/>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禁止引入不符合国家及省、市重金属污染防治规划要求的项目，不符合国家或地方大气、水、土壤等污染防治要求的项目。</w:t>
                  </w:r>
                </w:p>
                <w:p w14:paraId="0AA4E8A9">
                  <w:pPr>
                    <w:numPr>
                      <w:ilvl w:val="0"/>
                      <w:numId w:val="5"/>
                    </w:numPr>
                    <w:jc w:val="both"/>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禁止引入清洁生产水平不能达到行业清洁生产标准二级标准要求或低于全国同类企业平均清洁生产水平的项目。</w:t>
                  </w:r>
                </w:p>
                <w:p w14:paraId="37D8C5F0">
                  <w:pPr>
                    <w:numPr>
                      <w:ilvl w:val="0"/>
                      <w:numId w:val="5"/>
                    </w:numPr>
                    <w:jc w:val="both"/>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严控主导产业以外的列入《环境保护综合名录》</w:t>
                  </w:r>
                  <w:r>
                    <w:rPr>
                      <w:rFonts w:hint="eastAsia" w:ascii="宋体" w:hAnsi="宋体" w:eastAsia="宋体" w:cs="宋体"/>
                      <w:bCs/>
                      <w:color w:val="auto"/>
                      <w:sz w:val="21"/>
                      <w:szCs w:val="21"/>
                    </w:rPr>
                    <w:t>“高污染”产品名</w:t>
                  </w:r>
                  <w:r>
                    <w:rPr>
                      <w:rFonts w:hint="default" w:ascii="Times New Roman" w:hAnsi="Times New Roman" w:eastAsia="宋体" w:cs="Times New Roman"/>
                      <w:bCs/>
                      <w:color w:val="auto"/>
                      <w:sz w:val="21"/>
                      <w:szCs w:val="21"/>
                    </w:rPr>
                    <w:t>录的项目。</w:t>
                  </w:r>
                </w:p>
                <w:p w14:paraId="2CAB82A3">
                  <w:pPr>
                    <w:numPr>
                      <w:ilvl w:val="0"/>
                      <w:numId w:val="5"/>
                    </w:numPr>
                    <w:jc w:val="both"/>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禁止引入屠宰，白酒、酒精制造，味精、柠檬酸等排水量大的食品加工项目。</w:t>
                  </w:r>
                </w:p>
                <w:p w14:paraId="4261B826">
                  <w:pPr>
                    <w:numPr>
                      <w:ilvl w:val="0"/>
                      <w:numId w:val="5"/>
                    </w:numPr>
                    <w:jc w:val="both"/>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禁止水污染物以总磷为主的肥料和日用化学产品制造，农药制造，炸药、火工及火焰产品制造。</w:t>
                  </w:r>
                </w:p>
                <w:p w14:paraId="3AACDDA5">
                  <w:pPr>
                    <w:numPr>
                      <w:ilvl w:val="0"/>
                      <w:numId w:val="5"/>
                    </w:numPr>
                    <w:jc w:val="both"/>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禁止新建铅蓄电池制造项目，禁止专业电镀。</w:t>
                  </w:r>
                </w:p>
              </w:tc>
              <w:tc>
                <w:tcPr>
                  <w:tcW w:w="1343" w:type="dxa"/>
                  <w:vMerge w:val="continue"/>
                  <w:tcBorders>
                    <w:tl2br w:val="nil"/>
                    <w:tr2bl w:val="nil"/>
                  </w:tcBorders>
                  <w:noWrap w:val="0"/>
                  <w:vAlign w:val="center"/>
                </w:tcPr>
                <w:p w14:paraId="3B7A348A">
                  <w:pPr>
                    <w:jc w:val="center"/>
                    <w:rPr>
                      <w:rFonts w:hint="default" w:ascii="Times New Roman" w:hAnsi="Times New Roman" w:eastAsia="宋体" w:cs="Times New Roman"/>
                      <w:bCs/>
                      <w:color w:val="auto"/>
                      <w:sz w:val="21"/>
                      <w:szCs w:val="21"/>
                    </w:rPr>
                  </w:pPr>
                </w:p>
              </w:tc>
              <w:tc>
                <w:tcPr>
                  <w:tcW w:w="910" w:type="dxa"/>
                  <w:vMerge w:val="continue"/>
                  <w:tcBorders>
                    <w:tl2br w:val="nil"/>
                    <w:tr2bl w:val="nil"/>
                  </w:tcBorders>
                  <w:noWrap w:val="0"/>
                  <w:vAlign w:val="center"/>
                </w:tcPr>
                <w:p w14:paraId="7691EB83">
                  <w:pPr>
                    <w:jc w:val="center"/>
                    <w:rPr>
                      <w:rFonts w:hint="default" w:ascii="Times New Roman" w:hAnsi="Times New Roman" w:eastAsia="宋体" w:cs="Times New Roman"/>
                      <w:bCs/>
                      <w:color w:val="auto"/>
                      <w:sz w:val="21"/>
                      <w:szCs w:val="21"/>
                    </w:rPr>
                  </w:pPr>
                </w:p>
              </w:tc>
            </w:tr>
            <w:tr w14:paraId="3BA96D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99" w:type="dxa"/>
                  <w:vMerge w:val="continue"/>
                  <w:tcBorders>
                    <w:tl2br w:val="nil"/>
                    <w:tr2bl w:val="nil"/>
                  </w:tcBorders>
                  <w:noWrap w:val="0"/>
                  <w:vAlign w:val="center"/>
                </w:tcPr>
                <w:p w14:paraId="3C76522E">
                  <w:pPr>
                    <w:jc w:val="center"/>
                    <w:rPr>
                      <w:rFonts w:hint="default" w:ascii="Times New Roman" w:hAnsi="Times New Roman" w:eastAsia="宋体" w:cs="Times New Roman"/>
                      <w:bCs/>
                      <w:color w:val="auto"/>
                      <w:sz w:val="21"/>
                      <w:szCs w:val="21"/>
                    </w:rPr>
                  </w:pPr>
                </w:p>
              </w:tc>
              <w:tc>
                <w:tcPr>
                  <w:tcW w:w="438" w:type="dxa"/>
                  <w:tcBorders>
                    <w:tl2br w:val="nil"/>
                    <w:tr2bl w:val="nil"/>
                  </w:tcBorders>
                  <w:noWrap w:val="0"/>
                  <w:vAlign w:val="center"/>
                </w:tcPr>
                <w:p w14:paraId="2A3CB95E">
                  <w:pPr>
                    <w:jc w:val="center"/>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允许类</w:t>
                  </w:r>
                </w:p>
              </w:tc>
              <w:tc>
                <w:tcPr>
                  <w:tcW w:w="4515" w:type="dxa"/>
                  <w:tcBorders>
                    <w:tl2br w:val="nil"/>
                    <w:tr2bl w:val="nil"/>
                  </w:tcBorders>
                  <w:noWrap w:val="0"/>
                  <w:vAlign w:val="center"/>
                </w:tcPr>
                <w:p w14:paraId="7AB5CE68">
                  <w:pPr>
                    <w:numPr>
                      <w:ilvl w:val="0"/>
                      <w:numId w:val="0"/>
                    </w:numPr>
                    <w:jc w:val="both"/>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原则上未被列入上述鼓励类、负面清单的属允许发展类，但在具体实施过程中切不可盲目引进项目，应注意按如下原则要求：对于不属于规划区规划主导产业和重点发展方向的建设项目，若与规划区产业定位有互补作用，或属于规划区重要项目的下游企业，或属于高品质、高附加值、低污染的企业，或有利于规划区实现循环经济理念和可持续发展，这一类企业若在建设项目环评中经论证分析与规划区规划无明显冲突，不会影响规划区规划实施的，建议允许此类建设项目入驻。</w:t>
                  </w:r>
                </w:p>
              </w:tc>
              <w:tc>
                <w:tcPr>
                  <w:tcW w:w="1343" w:type="dxa"/>
                  <w:vMerge w:val="continue"/>
                  <w:tcBorders>
                    <w:tl2br w:val="nil"/>
                    <w:tr2bl w:val="nil"/>
                  </w:tcBorders>
                  <w:noWrap w:val="0"/>
                  <w:vAlign w:val="center"/>
                </w:tcPr>
                <w:p w14:paraId="492ADF38">
                  <w:pPr>
                    <w:jc w:val="center"/>
                    <w:rPr>
                      <w:rFonts w:hint="default" w:ascii="Times New Roman" w:hAnsi="Times New Roman" w:eastAsia="宋体" w:cs="Times New Roman"/>
                      <w:bCs/>
                      <w:color w:val="auto"/>
                      <w:sz w:val="21"/>
                      <w:szCs w:val="21"/>
                    </w:rPr>
                  </w:pPr>
                </w:p>
              </w:tc>
              <w:tc>
                <w:tcPr>
                  <w:tcW w:w="910" w:type="dxa"/>
                  <w:vMerge w:val="continue"/>
                  <w:tcBorders>
                    <w:tl2br w:val="nil"/>
                    <w:tr2bl w:val="nil"/>
                  </w:tcBorders>
                  <w:noWrap w:val="0"/>
                  <w:vAlign w:val="center"/>
                </w:tcPr>
                <w:p w14:paraId="50BD2B7A">
                  <w:pPr>
                    <w:jc w:val="center"/>
                    <w:rPr>
                      <w:rFonts w:hint="default" w:ascii="Times New Roman" w:hAnsi="Times New Roman" w:eastAsia="宋体" w:cs="Times New Roman"/>
                      <w:bCs/>
                      <w:color w:val="auto"/>
                      <w:sz w:val="21"/>
                      <w:szCs w:val="21"/>
                    </w:rPr>
                  </w:pPr>
                </w:p>
              </w:tc>
            </w:tr>
          </w:tbl>
          <w:p w14:paraId="717316D7">
            <w:pPr>
              <w:numPr>
                <w:ilvl w:val="0"/>
                <w:numId w:val="0"/>
              </w:numPr>
              <w:bidi w:val="0"/>
              <w:spacing w:line="360" w:lineRule="auto"/>
              <w:ind w:firstLine="480" w:firstLineChars="200"/>
              <w:jc w:val="both"/>
              <w:rPr>
                <w:rFonts w:hint="default" w:ascii="Times New Roman" w:hAnsi="Times New Roman" w:eastAsia="宋体" w:cs="Times New Roman"/>
                <w:b w:val="0"/>
                <w:bCs w:val="0"/>
                <w:color w:val="auto"/>
                <w:sz w:val="24"/>
                <w:szCs w:val="24"/>
                <w:lang w:eastAsia="zh-CN"/>
              </w:rPr>
            </w:pPr>
            <w:r>
              <w:rPr>
                <w:rFonts w:hint="eastAsia" w:cs="Times New Roman"/>
                <w:color w:val="auto"/>
                <w:sz w:val="24"/>
                <w:szCs w:val="24"/>
                <w:lang w:val="en-US" w:eastAsia="zh-CN"/>
              </w:rPr>
              <w:t>综上，本项目建设符合遂宁市安居区工业集中发展区（含经开区）规划环境影响报告书和规划环境影响报告审查意见。</w:t>
            </w:r>
          </w:p>
        </w:tc>
      </w:tr>
      <w:tr w14:paraId="1873A74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 w:hRule="atLeast"/>
          <w:jc w:val="center"/>
        </w:trPr>
        <w:tc>
          <w:tcPr>
            <w:tcW w:w="606" w:type="pct"/>
            <w:gridSpan w:val="2"/>
            <w:noWrap w:val="0"/>
            <w:vAlign w:val="center"/>
          </w:tcPr>
          <w:p w14:paraId="6478546D">
            <w:pPr>
              <w:bidi w:val="0"/>
              <w:spacing w:line="360" w:lineRule="auto"/>
              <w:jc w:val="center"/>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4"/>
                <w:szCs w:val="24"/>
              </w:rPr>
              <w:t>其他符合性</w:t>
            </w:r>
          </w:p>
          <w:p w14:paraId="1D2A8991">
            <w:pPr>
              <w:bidi w:val="0"/>
              <w:spacing w:line="360" w:lineRule="auto"/>
              <w:jc w:val="center"/>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4"/>
                <w:szCs w:val="24"/>
              </w:rPr>
              <w:t>分析</w:t>
            </w:r>
          </w:p>
        </w:tc>
        <w:tc>
          <w:tcPr>
            <w:tcW w:w="4393" w:type="pct"/>
            <w:gridSpan w:val="4"/>
            <w:noWrap w:val="0"/>
            <w:vAlign w:val="center"/>
          </w:tcPr>
          <w:p w14:paraId="445A4795">
            <w:pPr>
              <w:numPr>
                <w:ilvl w:val="0"/>
                <w:numId w:val="6"/>
              </w:numPr>
              <w:bidi w:val="0"/>
              <w:spacing w:line="360" w:lineRule="auto"/>
              <w:ind w:left="0" w:leftChars="0" w:firstLine="0" w:firstLineChars="0"/>
              <w:rPr>
                <w:rFonts w:hint="eastAsia" w:cs="Times New Roman"/>
                <w:b/>
                <w:bCs/>
                <w:color w:val="auto"/>
                <w:sz w:val="24"/>
                <w:szCs w:val="24"/>
                <w:lang w:val="en-US" w:eastAsia="zh-CN"/>
              </w:rPr>
            </w:pPr>
            <w:r>
              <w:rPr>
                <w:rFonts w:hint="eastAsia" w:cs="Times New Roman"/>
                <w:b/>
                <w:bCs/>
                <w:color w:val="auto"/>
                <w:sz w:val="24"/>
                <w:szCs w:val="24"/>
                <w:lang w:val="en-US" w:eastAsia="zh-CN"/>
              </w:rPr>
              <w:t>与用地规划符合性分析</w:t>
            </w:r>
          </w:p>
          <w:p w14:paraId="35EF5518">
            <w:pPr>
              <w:numPr>
                <w:ilvl w:val="0"/>
                <w:numId w:val="0"/>
              </w:numPr>
              <w:bidi w:val="0"/>
              <w:spacing w:line="360" w:lineRule="auto"/>
              <w:ind w:leftChars="0" w:firstLine="480" w:firstLineChars="200"/>
              <w:rPr>
                <w:rFonts w:hint="eastAsia" w:cs="Times New Roman"/>
                <w:b w:val="0"/>
                <w:bCs w:val="0"/>
                <w:color w:val="auto"/>
                <w:sz w:val="24"/>
                <w:szCs w:val="24"/>
                <w:lang w:val="en-US" w:eastAsia="zh-CN"/>
              </w:rPr>
            </w:pPr>
            <w:r>
              <w:rPr>
                <w:rFonts w:hint="eastAsia" w:cs="Times New Roman"/>
                <w:b w:val="0"/>
                <w:bCs w:val="0"/>
                <w:color w:val="auto"/>
                <w:sz w:val="24"/>
                <w:szCs w:val="24"/>
                <w:lang w:val="en-US" w:eastAsia="zh-CN"/>
              </w:rPr>
              <w:t>本项目选址遂宁市安居区演化寺机械工业园红卫桥段，租赁遂宁柔刚投资集团有限公司所属已建标准厂房（1号仓库）（附件4厂房租赁协议）。根据建设单位提供（川（2022）安居区不动产权第0023053号）《不动产权证书》及遂宁市安居区工业集中发展区控制性详细规划（2017-2030），项目选址规划用地性质为二类工业用地。</w:t>
            </w:r>
          </w:p>
          <w:p w14:paraId="6C82B0EB">
            <w:pPr>
              <w:numPr>
                <w:ilvl w:val="0"/>
                <w:numId w:val="0"/>
              </w:numPr>
              <w:bidi w:val="0"/>
              <w:spacing w:line="360" w:lineRule="auto"/>
              <w:ind w:leftChars="0" w:firstLine="480" w:firstLineChars="200"/>
              <w:rPr>
                <w:rFonts w:hint="eastAsia" w:ascii="Times New Roman" w:hAnsi="Times New Roman" w:eastAsia="宋体" w:cs="Times New Roman"/>
                <w:b w:val="0"/>
                <w:bCs w:val="0"/>
                <w:color w:val="auto"/>
                <w:sz w:val="24"/>
                <w:szCs w:val="24"/>
                <w:lang w:val="en-US" w:eastAsia="zh-CN"/>
              </w:rPr>
            </w:pPr>
            <w:r>
              <w:rPr>
                <w:rFonts w:hint="eastAsia" w:cs="Times New Roman"/>
                <w:b w:val="0"/>
                <w:bCs w:val="0"/>
                <w:color w:val="auto"/>
                <w:sz w:val="24"/>
                <w:szCs w:val="24"/>
                <w:lang w:val="en-US" w:eastAsia="zh-CN"/>
              </w:rPr>
              <w:t>因此，本项目的建设与当地现行土地利用总体规划相符</w:t>
            </w:r>
            <w:r>
              <w:rPr>
                <w:rFonts w:hint="eastAsia" w:ascii="Times New Roman" w:hAnsi="Times New Roman" w:eastAsia="宋体" w:cs="Times New Roman"/>
                <w:b w:val="0"/>
                <w:bCs w:val="0"/>
                <w:color w:val="auto"/>
                <w:sz w:val="24"/>
                <w:szCs w:val="24"/>
                <w:lang w:val="en-US" w:eastAsia="zh-CN"/>
              </w:rPr>
              <w:t>。</w:t>
            </w:r>
          </w:p>
          <w:p w14:paraId="429EB5E9">
            <w:pPr>
              <w:numPr>
                <w:ilvl w:val="0"/>
                <w:numId w:val="6"/>
              </w:numPr>
              <w:bidi w:val="0"/>
              <w:spacing w:line="360" w:lineRule="auto"/>
              <w:ind w:left="0" w:leftChars="0" w:firstLine="0" w:firstLineChars="0"/>
              <w:rPr>
                <w:rFonts w:hint="eastAsia" w:cs="Times New Roman"/>
                <w:b/>
                <w:bCs/>
                <w:color w:val="auto"/>
                <w:sz w:val="24"/>
                <w:szCs w:val="24"/>
                <w:lang w:val="en-US" w:eastAsia="zh-CN"/>
              </w:rPr>
            </w:pPr>
            <w:r>
              <w:rPr>
                <w:rFonts w:hint="eastAsia" w:ascii="Times New Roman" w:hAnsi="Times New Roman" w:eastAsia="宋体" w:cs="Times New Roman"/>
                <w:b/>
                <w:bCs/>
                <w:color w:val="auto"/>
                <w:sz w:val="24"/>
                <w:szCs w:val="24"/>
                <w:lang w:val="en-US" w:eastAsia="zh-CN"/>
              </w:rPr>
              <w:t>产业政策符合性分析</w:t>
            </w:r>
          </w:p>
          <w:p w14:paraId="36AE00D1">
            <w:pPr>
              <w:numPr>
                <w:ilvl w:val="0"/>
                <w:numId w:val="0"/>
              </w:numPr>
              <w:bidi w:val="0"/>
              <w:spacing w:line="360" w:lineRule="auto"/>
              <w:ind w:leftChars="0" w:firstLine="480" w:firstLineChars="200"/>
              <w:rPr>
                <w:rFonts w:hint="eastAsia" w:ascii="Times New Roman" w:hAnsi="Times New Roman" w:eastAsia="宋体" w:cs="Times New Roman"/>
                <w:b w:val="0"/>
                <w:bCs w:val="0"/>
                <w:color w:val="auto"/>
                <w:sz w:val="24"/>
                <w:szCs w:val="24"/>
                <w:lang w:val="en-US" w:eastAsia="zh-CN"/>
              </w:rPr>
            </w:pPr>
            <w:r>
              <w:rPr>
                <w:rFonts w:hint="eastAsia" w:ascii="Times New Roman" w:hAnsi="Times New Roman" w:eastAsia="宋体" w:cs="Times New Roman"/>
                <w:b w:val="0"/>
                <w:bCs w:val="0"/>
                <w:color w:val="auto"/>
                <w:sz w:val="24"/>
                <w:szCs w:val="24"/>
                <w:lang w:val="en-US" w:eastAsia="zh-CN"/>
              </w:rPr>
              <w:t>本项目主要从事废矿物油收集、存储，根据（GB/T4754-2017）《国民经济行业分类》属于</w:t>
            </w:r>
            <w:r>
              <w:rPr>
                <w:rFonts w:hint="eastAsia" w:cs="Times New Roman"/>
                <w:b w:val="0"/>
                <w:bCs w:val="0"/>
                <w:color w:val="auto"/>
                <w:sz w:val="24"/>
                <w:szCs w:val="24"/>
                <w:lang w:val="en-US" w:eastAsia="zh-CN"/>
              </w:rPr>
              <w:t>：其他危险品存储（G5949）</w:t>
            </w:r>
            <w:r>
              <w:rPr>
                <w:rFonts w:hint="eastAsia" w:ascii="Times New Roman" w:hAnsi="Times New Roman" w:eastAsia="宋体" w:cs="Times New Roman"/>
                <w:b w:val="0"/>
                <w:bCs w:val="0"/>
                <w:color w:val="auto"/>
                <w:sz w:val="24"/>
                <w:szCs w:val="24"/>
                <w:lang w:val="en-US" w:eastAsia="zh-CN"/>
              </w:rPr>
              <w:t>；对照《产业结构调整指导目录</w:t>
            </w:r>
            <w:r>
              <w:rPr>
                <w:rFonts w:hint="eastAsia" w:cs="Times New Roman"/>
                <w:b w:val="0"/>
                <w:bCs w:val="0"/>
                <w:color w:val="auto"/>
                <w:sz w:val="24"/>
                <w:szCs w:val="24"/>
                <w:lang w:val="en-US" w:eastAsia="zh-CN"/>
              </w:rPr>
              <w:t>（</w:t>
            </w:r>
            <w:r>
              <w:rPr>
                <w:rFonts w:hint="eastAsia" w:ascii="Times New Roman" w:hAnsi="Times New Roman" w:eastAsia="宋体" w:cs="Times New Roman"/>
                <w:b w:val="0"/>
                <w:bCs w:val="0"/>
                <w:color w:val="auto"/>
                <w:sz w:val="24"/>
                <w:szCs w:val="24"/>
                <w:lang w:val="en-US" w:eastAsia="zh-CN"/>
              </w:rPr>
              <w:t>2019年本</w:t>
            </w:r>
            <w:r>
              <w:rPr>
                <w:rFonts w:hint="eastAsia" w:cs="Times New Roman"/>
                <w:b w:val="0"/>
                <w:bCs w:val="0"/>
                <w:color w:val="auto"/>
                <w:sz w:val="24"/>
                <w:szCs w:val="24"/>
                <w:lang w:val="en-US" w:eastAsia="zh-CN"/>
              </w:rPr>
              <w:t>）</w:t>
            </w:r>
            <w:r>
              <w:rPr>
                <w:rFonts w:hint="eastAsia" w:ascii="Times New Roman" w:hAnsi="Times New Roman" w:eastAsia="宋体" w:cs="Times New Roman"/>
                <w:b w:val="0"/>
                <w:bCs w:val="0"/>
                <w:color w:val="auto"/>
                <w:sz w:val="24"/>
                <w:szCs w:val="24"/>
                <w:lang w:val="en-US" w:eastAsia="zh-CN"/>
              </w:rPr>
              <w:t>》（2021年修改</w:t>
            </w:r>
            <w:r>
              <w:rPr>
                <w:rFonts w:hint="eastAsia" w:cs="Times New Roman"/>
                <w:b w:val="0"/>
                <w:bCs w:val="0"/>
                <w:color w:val="auto"/>
                <w:sz w:val="24"/>
                <w:szCs w:val="24"/>
                <w:lang w:val="en-US" w:eastAsia="zh-CN"/>
              </w:rPr>
              <w:t>）</w:t>
            </w:r>
            <w:r>
              <w:rPr>
                <w:rFonts w:hint="eastAsia" w:ascii="Times New Roman" w:hAnsi="Times New Roman" w:eastAsia="宋体" w:cs="Times New Roman"/>
                <w:b w:val="0"/>
                <w:bCs w:val="0"/>
                <w:color w:val="auto"/>
                <w:sz w:val="24"/>
                <w:szCs w:val="24"/>
                <w:lang w:val="en-US" w:eastAsia="zh-CN"/>
              </w:rPr>
              <w:t>可知，不属于其中的鼓励类、限制类，且无淘汰类设备，属于允许类项目。</w:t>
            </w:r>
          </w:p>
          <w:p w14:paraId="3C8747BE">
            <w:pPr>
              <w:numPr>
                <w:ilvl w:val="0"/>
                <w:numId w:val="0"/>
              </w:numPr>
              <w:bidi w:val="0"/>
              <w:spacing w:line="360" w:lineRule="auto"/>
              <w:ind w:leftChars="0" w:firstLine="480" w:firstLineChars="200"/>
              <w:rPr>
                <w:rFonts w:hint="eastAsia" w:ascii="Times New Roman" w:hAnsi="Times New Roman" w:eastAsia="宋体" w:cs="Times New Roman"/>
                <w:b w:val="0"/>
                <w:bCs w:val="0"/>
                <w:color w:val="auto"/>
                <w:sz w:val="24"/>
                <w:szCs w:val="24"/>
                <w:lang w:val="en-US" w:eastAsia="zh-CN"/>
              </w:rPr>
            </w:pPr>
            <w:r>
              <w:rPr>
                <w:rFonts w:hint="eastAsia" w:ascii="Times New Roman" w:hAnsi="Times New Roman" w:eastAsia="宋体" w:cs="Times New Roman"/>
                <w:b w:val="0"/>
                <w:bCs w:val="0"/>
                <w:color w:val="auto"/>
                <w:sz w:val="24"/>
                <w:szCs w:val="24"/>
                <w:lang w:val="en-US" w:eastAsia="zh-CN"/>
              </w:rPr>
              <w:t>同时，</w:t>
            </w:r>
            <w:r>
              <w:rPr>
                <w:rFonts w:hint="eastAsia" w:cs="Times New Roman"/>
                <w:b w:val="0"/>
                <w:bCs w:val="0"/>
                <w:color w:val="auto"/>
                <w:sz w:val="24"/>
                <w:szCs w:val="24"/>
                <w:lang w:val="en-US" w:eastAsia="zh-CN"/>
              </w:rPr>
              <w:t>本</w:t>
            </w:r>
            <w:r>
              <w:rPr>
                <w:rFonts w:hint="eastAsia" w:ascii="Times New Roman" w:hAnsi="Times New Roman" w:eastAsia="宋体" w:cs="Times New Roman"/>
                <w:b w:val="0"/>
                <w:bCs w:val="0"/>
                <w:color w:val="auto"/>
                <w:sz w:val="24"/>
                <w:szCs w:val="24"/>
                <w:lang w:val="en-US" w:eastAsia="zh-CN"/>
              </w:rPr>
              <w:t>项目已取得</w:t>
            </w:r>
            <w:r>
              <w:rPr>
                <w:rFonts w:hint="eastAsia" w:cs="Times New Roman"/>
                <w:b w:val="0"/>
                <w:bCs w:val="0"/>
                <w:color w:val="auto"/>
                <w:sz w:val="24"/>
                <w:szCs w:val="24"/>
                <w:lang w:val="en-US" w:eastAsia="zh-CN"/>
              </w:rPr>
              <w:t>安居区发展和改革局</w:t>
            </w:r>
            <w:r>
              <w:rPr>
                <w:rFonts w:hint="eastAsia" w:ascii="Times New Roman" w:hAnsi="Times New Roman" w:eastAsia="宋体" w:cs="Times New Roman"/>
                <w:b w:val="0"/>
                <w:bCs w:val="0"/>
                <w:color w:val="auto"/>
                <w:sz w:val="24"/>
                <w:szCs w:val="24"/>
                <w:lang w:val="en-US" w:eastAsia="zh-CN"/>
              </w:rPr>
              <w:t>出具的《四川省固定资产投资项目备案表》（</w:t>
            </w:r>
            <w:r>
              <w:rPr>
                <w:rFonts w:hint="eastAsia" w:cs="Times New Roman"/>
                <w:b w:val="0"/>
                <w:bCs w:val="0"/>
                <w:color w:val="auto"/>
                <w:sz w:val="24"/>
                <w:szCs w:val="24"/>
                <w:lang w:val="en-US" w:eastAsia="zh-CN"/>
              </w:rPr>
              <w:t>川投资备【2306-510904-04-01-536821】FGQB-0105号）</w:t>
            </w:r>
            <w:r>
              <w:rPr>
                <w:rFonts w:hint="eastAsia" w:ascii="Times New Roman" w:hAnsi="Times New Roman" w:eastAsia="宋体" w:cs="Times New Roman"/>
                <w:b w:val="0"/>
                <w:bCs w:val="0"/>
                <w:color w:val="FF0000"/>
                <w:sz w:val="24"/>
                <w:szCs w:val="24"/>
                <w:lang w:val="en-US" w:eastAsia="zh-CN"/>
              </w:rPr>
              <w:t>。</w:t>
            </w:r>
          </w:p>
          <w:p w14:paraId="7E815F9C">
            <w:pPr>
              <w:numPr>
                <w:ilvl w:val="0"/>
                <w:numId w:val="0"/>
              </w:numPr>
              <w:bidi w:val="0"/>
              <w:spacing w:line="360" w:lineRule="auto"/>
              <w:ind w:firstLine="480" w:firstLineChars="200"/>
              <w:rPr>
                <w:rFonts w:hint="eastAsia" w:ascii="Times New Roman" w:hAnsi="Times New Roman" w:eastAsia="宋体" w:cs="Times New Roman"/>
                <w:b w:val="0"/>
                <w:bCs w:val="0"/>
                <w:color w:val="auto"/>
                <w:sz w:val="24"/>
                <w:szCs w:val="24"/>
                <w:lang w:val="en-US" w:eastAsia="zh-CN"/>
              </w:rPr>
            </w:pPr>
            <w:r>
              <w:rPr>
                <w:rFonts w:hint="eastAsia" w:ascii="Times New Roman" w:hAnsi="Times New Roman" w:eastAsia="宋体" w:cs="Times New Roman"/>
                <w:b w:val="0"/>
                <w:bCs w:val="0"/>
                <w:color w:val="auto"/>
                <w:sz w:val="24"/>
                <w:szCs w:val="24"/>
                <w:lang w:val="en-US" w:eastAsia="zh-CN"/>
              </w:rPr>
              <w:t>综上，本项目的建设符合国家当前的产业政策。</w:t>
            </w:r>
          </w:p>
          <w:p w14:paraId="25443016">
            <w:pPr>
              <w:numPr>
                <w:ilvl w:val="0"/>
                <w:numId w:val="6"/>
              </w:numPr>
              <w:bidi w:val="0"/>
              <w:spacing w:line="360" w:lineRule="auto"/>
              <w:ind w:left="0" w:leftChars="0" w:firstLine="0" w:firstLineChars="0"/>
              <w:rPr>
                <w:rFonts w:hint="eastAsia" w:ascii="Times New Roman" w:hAnsi="Times New Roman" w:eastAsia="宋体" w:cs="Times New Roman"/>
                <w:b/>
                <w:bCs/>
                <w:color w:val="auto"/>
                <w:sz w:val="24"/>
                <w:szCs w:val="24"/>
                <w:lang w:val="en-US" w:eastAsia="zh-CN"/>
              </w:rPr>
            </w:pPr>
            <w:r>
              <w:rPr>
                <w:rFonts w:hint="eastAsia" w:ascii="Times New Roman" w:hAnsi="Times New Roman" w:eastAsia="宋体" w:cs="Times New Roman"/>
                <w:b/>
                <w:bCs/>
                <w:color w:val="auto"/>
                <w:sz w:val="24"/>
                <w:szCs w:val="24"/>
                <w:lang w:val="en-US" w:eastAsia="zh-CN"/>
              </w:rPr>
              <w:t>国家相关政策及要求符合性分析</w:t>
            </w:r>
          </w:p>
          <w:p w14:paraId="52243684">
            <w:pPr>
              <w:numPr>
                <w:ilvl w:val="0"/>
                <w:numId w:val="7"/>
              </w:numPr>
              <w:bidi w:val="0"/>
              <w:spacing w:line="360" w:lineRule="auto"/>
              <w:ind w:leftChars="0" w:firstLine="480" w:firstLineChars="200"/>
              <w:rPr>
                <w:rFonts w:hint="eastAsia" w:cs="Times New Roman"/>
                <w:b w:val="0"/>
                <w:bCs w:val="0"/>
                <w:color w:val="auto"/>
                <w:sz w:val="24"/>
                <w:szCs w:val="24"/>
                <w:lang w:val="en-US" w:eastAsia="zh-CN"/>
              </w:rPr>
            </w:pPr>
            <w:r>
              <w:rPr>
                <w:rFonts w:hint="eastAsia" w:cs="Times New Roman"/>
                <w:b w:val="0"/>
                <w:bCs w:val="0"/>
                <w:color w:val="auto"/>
                <w:sz w:val="24"/>
                <w:szCs w:val="24"/>
                <w:lang w:val="en-US" w:eastAsia="zh-CN"/>
              </w:rPr>
              <w:t>与《中华人民共和国固体废物污染环境防治法》的符合性分析</w:t>
            </w:r>
          </w:p>
          <w:p w14:paraId="055A248F">
            <w:pPr>
              <w:numPr>
                <w:ilvl w:val="0"/>
                <w:numId w:val="0"/>
              </w:numPr>
              <w:bidi w:val="0"/>
              <w:spacing w:line="360" w:lineRule="auto"/>
              <w:ind w:firstLine="480" w:firstLineChars="200"/>
              <w:rPr>
                <w:rFonts w:hint="eastAsia" w:cs="Times New Roman"/>
                <w:b w:val="0"/>
                <w:bCs w:val="0"/>
                <w:color w:val="auto"/>
                <w:sz w:val="24"/>
                <w:szCs w:val="24"/>
                <w:lang w:val="en-US" w:eastAsia="zh-CN"/>
              </w:rPr>
            </w:pPr>
            <w:r>
              <w:rPr>
                <w:rFonts w:hint="eastAsia" w:cs="Times New Roman"/>
                <w:b w:val="0"/>
                <w:bCs w:val="0"/>
                <w:color w:val="auto"/>
                <w:sz w:val="24"/>
                <w:szCs w:val="24"/>
                <w:lang w:val="en-US" w:eastAsia="zh-CN"/>
              </w:rPr>
              <w:t>《中华人民共和国固体废物污染环境防治法》中规定：收集、贮存、运输、利用、处置固体废物的单位和个人，必须采取防扬散、防流失、防渗漏或者其他防止污染环境的措施；不得擅自倾倒、堆放、丢弃、遗撒固体废物收集、贮存、运输、处置固体废物的设施、设备和场所，应当加强管理和维护，保证其正常运行和使用。</w:t>
            </w:r>
          </w:p>
          <w:p w14:paraId="6547F458">
            <w:pPr>
              <w:numPr>
                <w:ilvl w:val="0"/>
                <w:numId w:val="0"/>
              </w:numPr>
              <w:bidi w:val="0"/>
              <w:spacing w:line="360" w:lineRule="auto"/>
              <w:ind w:firstLine="480" w:firstLineChars="200"/>
              <w:rPr>
                <w:rFonts w:hint="eastAsia" w:cs="Times New Roman"/>
                <w:b w:val="0"/>
                <w:bCs w:val="0"/>
                <w:color w:val="auto"/>
                <w:sz w:val="24"/>
                <w:szCs w:val="24"/>
                <w:lang w:val="en-US" w:eastAsia="zh-CN"/>
              </w:rPr>
            </w:pPr>
            <w:r>
              <w:rPr>
                <w:rFonts w:hint="eastAsia" w:cs="Times New Roman"/>
                <w:b w:val="0"/>
                <w:bCs w:val="0"/>
                <w:color w:val="auto"/>
                <w:sz w:val="24"/>
                <w:szCs w:val="24"/>
                <w:lang w:val="en-US" w:eastAsia="zh-CN"/>
              </w:rPr>
              <w:t>本项目设有废油罐，废油采用油罐暂存，废油罐区设有围堰、应急导流沟，符合《中华人民共和国固体废物污染环境防治法》的要求。</w:t>
            </w:r>
          </w:p>
          <w:p w14:paraId="185EB432">
            <w:pPr>
              <w:numPr>
                <w:ilvl w:val="0"/>
                <w:numId w:val="7"/>
              </w:numPr>
              <w:bidi w:val="0"/>
              <w:spacing w:line="360" w:lineRule="auto"/>
              <w:ind w:leftChars="0" w:firstLine="482" w:firstLineChars="200"/>
              <w:rPr>
                <w:rFonts w:hint="eastAsia" w:cs="Times New Roman"/>
                <w:b/>
                <w:bCs/>
                <w:color w:val="auto"/>
                <w:sz w:val="24"/>
                <w:szCs w:val="24"/>
                <w:lang w:val="en-US" w:eastAsia="zh-CN"/>
              </w:rPr>
            </w:pPr>
            <w:r>
              <w:rPr>
                <w:rFonts w:hint="eastAsia" w:cs="Times New Roman"/>
                <w:b/>
                <w:bCs/>
                <w:color w:val="auto"/>
                <w:sz w:val="24"/>
                <w:szCs w:val="24"/>
                <w:lang w:val="en-US" w:eastAsia="zh-CN"/>
              </w:rPr>
              <w:t>与《危险废物经营许可证管理办法》的符合性分析</w:t>
            </w:r>
          </w:p>
          <w:p w14:paraId="32A093D8">
            <w:pPr>
              <w:numPr>
                <w:ilvl w:val="0"/>
                <w:numId w:val="0"/>
              </w:numPr>
              <w:bidi w:val="0"/>
              <w:spacing w:line="360" w:lineRule="auto"/>
              <w:ind w:firstLine="480" w:firstLineChars="200"/>
              <w:rPr>
                <w:rFonts w:hint="eastAsia" w:cs="Times New Roman"/>
                <w:b w:val="0"/>
                <w:bCs w:val="0"/>
                <w:color w:val="auto"/>
                <w:sz w:val="24"/>
                <w:szCs w:val="24"/>
                <w:lang w:val="en-US" w:eastAsia="zh-CN"/>
              </w:rPr>
            </w:pPr>
            <w:r>
              <w:rPr>
                <w:rFonts w:hint="eastAsia" w:cs="Times New Roman"/>
                <w:b w:val="0"/>
                <w:bCs w:val="0"/>
                <w:color w:val="auto"/>
                <w:sz w:val="24"/>
                <w:szCs w:val="24"/>
                <w:lang w:val="en-US" w:eastAsia="zh-CN"/>
              </w:rPr>
              <w:t>参考《危险废物经营许可证管理办法》第三条规定：危险废物经营许可证按照经营方式，分为危险废物收集、贮存、处置综合经营许可证和危险废物收集经营许可证。</w:t>
            </w:r>
          </w:p>
          <w:p w14:paraId="6DA4CA94">
            <w:pPr>
              <w:numPr>
                <w:ilvl w:val="0"/>
                <w:numId w:val="0"/>
              </w:numPr>
              <w:bidi w:val="0"/>
              <w:spacing w:line="360" w:lineRule="auto"/>
              <w:ind w:firstLine="480" w:firstLineChars="200"/>
              <w:rPr>
                <w:rFonts w:hint="eastAsia" w:cs="Times New Roman"/>
                <w:b w:val="0"/>
                <w:bCs w:val="0"/>
                <w:color w:val="auto"/>
                <w:sz w:val="24"/>
                <w:szCs w:val="24"/>
                <w:lang w:val="en-US" w:eastAsia="zh-CN"/>
              </w:rPr>
            </w:pPr>
            <w:r>
              <w:rPr>
                <w:rFonts w:hint="eastAsia" w:cs="Times New Roman"/>
                <w:b w:val="0"/>
                <w:bCs w:val="0"/>
                <w:color w:val="auto"/>
                <w:sz w:val="24"/>
                <w:szCs w:val="24"/>
                <w:lang w:val="en-US" w:eastAsia="zh-CN"/>
              </w:rPr>
              <w:t>领取危险废物综合经营许可证的单位，可以从事各类别危险废物的收集、贮存、处置经营活动；领取危险废物收集经营许可证的单位，只能从事机动车维修活动中产生的废矿物油和居民日常生活中产生的废镉镍电池的危险废物收集经营活动。</w:t>
            </w:r>
          </w:p>
          <w:p w14:paraId="5642269D">
            <w:pPr>
              <w:numPr>
                <w:ilvl w:val="0"/>
                <w:numId w:val="0"/>
              </w:numPr>
              <w:bidi w:val="0"/>
              <w:spacing w:line="360" w:lineRule="auto"/>
              <w:ind w:firstLine="480" w:firstLineChars="200"/>
              <w:rPr>
                <w:rFonts w:hint="eastAsia" w:cs="Times New Roman"/>
                <w:b w:val="0"/>
                <w:bCs w:val="0"/>
                <w:color w:val="auto"/>
                <w:sz w:val="24"/>
                <w:szCs w:val="24"/>
                <w:lang w:val="en-US" w:eastAsia="zh-CN"/>
              </w:rPr>
            </w:pPr>
            <w:r>
              <w:rPr>
                <w:rFonts w:hint="eastAsia" w:cs="Times New Roman"/>
                <w:b w:val="0"/>
                <w:bCs w:val="0"/>
                <w:color w:val="auto"/>
                <w:sz w:val="24"/>
                <w:szCs w:val="24"/>
                <w:lang w:val="en-US" w:eastAsia="zh-CN"/>
              </w:rPr>
              <w:t>本项目建成后</w:t>
            </w:r>
            <w:r>
              <w:rPr>
                <w:rFonts w:hint="eastAsia" w:cs="Times New Roman"/>
                <w:b/>
                <w:bCs/>
                <w:color w:val="auto"/>
                <w:sz w:val="24"/>
                <w:szCs w:val="24"/>
                <w:lang w:val="en-US" w:eastAsia="zh-CN"/>
              </w:rPr>
              <w:t>仅收集所在区域周边的汽修店、4S店产生的废矿物油（废物类别：HW08废矿物油与含矿物油废物；废物代码900-214-08），</w:t>
            </w:r>
            <w:r>
              <w:rPr>
                <w:rFonts w:hint="eastAsia" w:cs="Times New Roman"/>
                <w:b w:val="0"/>
                <w:bCs w:val="0"/>
                <w:color w:val="auto"/>
                <w:sz w:val="24"/>
                <w:szCs w:val="24"/>
                <w:lang w:val="en-US" w:eastAsia="zh-CN"/>
              </w:rPr>
              <w:t>在投入运前需按《危险废物经营许可证管理办法》要求，申领危险废物收集经营许可证。</w:t>
            </w:r>
          </w:p>
          <w:p w14:paraId="5CC5079A">
            <w:pPr>
              <w:numPr>
                <w:ilvl w:val="0"/>
                <w:numId w:val="7"/>
              </w:numPr>
              <w:bidi w:val="0"/>
              <w:spacing w:line="360" w:lineRule="auto"/>
              <w:ind w:leftChars="0" w:firstLine="482" w:firstLineChars="200"/>
              <w:rPr>
                <w:rFonts w:hint="eastAsia" w:cs="Times New Roman"/>
                <w:b/>
                <w:bCs/>
                <w:color w:val="auto"/>
                <w:sz w:val="24"/>
                <w:szCs w:val="24"/>
                <w:lang w:val="en-US" w:eastAsia="zh-CN"/>
              </w:rPr>
            </w:pPr>
            <w:r>
              <w:rPr>
                <w:rFonts w:hint="eastAsia" w:cs="Times New Roman"/>
                <w:b/>
                <w:bCs/>
                <w:color w:val="auto"/>
                <w:sz w:val="24"/>
                <w:szCs w:val="24"/>
                <w:lang w:val="en-US" w:eastAsia="zh-CN"/>
              </w:rPr>
              <w:t>与（川环发〔2021〕9号）《四川省危险废物集中收集贮存试点工作方案》的符合性分析</w:t>
            </w:r>
          </w:p>
          <w:p w14:paraId="5B876158">
            <w:pPr>
              <w:numPr>
                <w:ilvl w:val="0"/>
                <w:numId w:val="0"/>
              </w:numPr>
              <w:bidi w:val="0"/>
              <w:spacing w:line="360" w:lineRule="auto"/>
              <w:ind w:firstLine="480" w:firstLineChars="200"/>
              <w:rPr>
                <w:rFonts w:hint="eastAsia" w:cs="Times New Roman"/>
                <w:b w:val="0"/>
                <w:bCs w:val="0"/>
                <w:color w:val="auto"/>
                <w:sz w:val="24"/>
                <w:szCs w:val="24"/>
                <w:lang w:val="en-US" w:eastAsia="zh-CN"/>
              </w:rPr>
            </w:pPr>
            <w:r>
              <w:rPr>
                <w:rFonts w:hint="eastAsia" w:cs="Times New Roman"/>
                <w:b w:val="0"/>
                <w:bCs w:val="0"/>
                <w:color w:val="auto"/>
                <w:sz w:val="24"/>
                <w:szCs w:val="24"/>
                <w:lang w:val="en-US" w:eastAsia="zh-CN"/>
              </w:rPr>
              <w:t>四川省生态环境厅2021年5月21日发布了《四川省危险废物集中收集贮存试点工作方案》（川环发〔2021〕9号，以下简称“方案”）。方案确定的危险废物收集范围如下：</w:t>
            </w:r>
          </w:p>
          <w:p w14:paraId="31423D86">
            <w:pPr>
              <w:numPr>
                <w:ilvl w:val="0"/>
                <w:numId w:val="0"/>
              </w:numPr>
              <w:bidi w:val="0"/>
              <w:spacing w:line="360" w:lineRule="auto"/>
              <w:ind w:firstLine="482" w:firstLineChars="200"/>
              <w:rPr>
                <w:rFonts w:hint="eastAsia" w:cs="Times New Roman"/>
                <w:b/>
                <w:bCs/>
                <w:color w:val="auto"/>
                <w:sz w:val="24"/>
                <w:szCs w:val="24"/>
                <w:lang w:val="en-US" w:eastAsia="zh-CN"/>
              </w:rPr>
            </w:pPr>
            <w:r>
              <w:rPr>
                <w:rFonts w:hint="eastAsia" w:cs="Times New Roman"/>
                <w:b/>
                <w:bCs/>
                <w:color w:val="auto"/>
                <w:sz w:val="24"/>
                <w:szCs w:val="24"/>
                <w:lang w:val="en-US" w:eastAsia="zh-CN"/>
              </w:rPr>
              <w:t>（三）收集范围</w:t>
            </w:r>
          </w:p>
          <w:p w14:paraId="299BE9A3">
            <w:pPr>
              <w:numPr>
                <w:ilvl w:val="0"/>
                <w:numId w:val="0"/>
              </w:numPr>
              <w:bidi w:val="0"/>
              <w:spacing w:line="360" w:lineRule="auto"/>
              <w:ind w:leftChars="0" w:firstLine="480" w:firstLineChars="200"/>
              <w:rPr>
                <w:rFonts w:hint="eastAsia" w:cs="Times New Roman"/>
                <w:b w:val="0"/>
                <w:bCs w:val="0"/>
                <w:color w:val="auto"/>
                <w:sz w:val="24"/>
                <w:szCs w:val="24"/>
                <w:lang w:val="en-US" w:eastAsia="zh-CN"/>
              </w:rPr>
            </w:pPr>
            <w:r>
              <w:rPr>
                <w:rFonts w:hint="eastAsia" w:cs="Times New Roman"/>
                <w:b w:val="0"/>
                <w:bCs w:val="0"/>
                <w:color w:val="auto"/>
                <w:sz w:val="24"/>
                <w:szCs w:val="24"/>
                <w:lang w:val="en-US" w:eastAsia="zh-CN"/>
              </w:rPr>
              <w:t>将全省危险废物年产生量100吨以下（含100吨）的工业企业，机动车维修与报废拆解单位，实验室、家庭源危险废物及农药包装废弃物等纳入集中收集范围；对危险废物年产生量大于100吨的大型企业，其产生的少量废矿物油、废包装容器及沾染物、实验室废物、在线监测废液、废荧光灯管及废活性炭等，原则上可纳入收集范围。</w:t>
            </w:r>
          </w:p>
          <w:p w14:paraId="724C75E0">
            <w:pPr>
              <w:numPr>
                <w:ilvl w:val="0"/>
                <w:numId w:val="0"/>
              </w:numPr>
              <w:bidi w:val="0"/>
              <w:spacing w:line="360" w:lineRule="auto"/>
              <w:ind w:firstLine="480" w:firstLineChars="200"/>
              <w:rPr>
                <w:rFonts w:hint="eastAsia" w:cs="Times New Roman"/>
                <w:b w:val="0"/>
                <w:bCs w:val="0"/>
                <w:color w:val="auto"/>
                <w:sz w:val="24"/>
                <w:szCs w:val="24"/>
                <w:lang w:val="en-US" w:eastAsia="zh-CN"/>
              </w:rPr>
            </w:pPr>
            <w:r>
              <w:rPr>
                <w:rFonts w:hint="eastAsia" w:cs="Times New Roman"/>
                <w:b w:val="0"/>
                <w:bCs w:val="0"/>
                <w:color w:val="auto"/>
                <w:sz w:val="24"/>
                <w:szCs w:val="24"/>
                <w:lang w:val="en-US" w:eastAsia="zh-CN"/>
              </w:rPr>
              <w:t>本项目仅收集所在区域周边的汽修店、4S店产生的废矿物油（其废物类别：HW08废矿物油与含矿物油废物；废物代码900-214-08），属于生活源危险废物。</w:t>
            </w:r>
          </w:p>
          <w:p w14:paraId="3FFC8609">
            <w:pPr>
              <w:numPr>
                <w:ilvl w:val="0"/>
                <w:numId w:val="0"/>
              </w:numPr>
              <w:bidi w:val="0"/>
              <w:spacing w:line="360" w:lineRule="auto"/>
              <w:ind w:firstLine="480" w:firstLineChars="200"/>
              <w:rPr>
                <w:rFonts w:hint="eastAsia" w:cs="Times New Roman"/>
                <w:b w:val="0"/>
                <w:bCs w:val="0"/>
                <w:color w:val="auto"/>
                <w:sz w:val="24"/>
                <w:szCs w:val="24"/>
                <w:lang w:val="en-US" w:eastAsia="zh-CN"/>
              </w:rPr>
            </w:pPr>
            <w:r>
              <w:rPr>
                <w:rFonts w:hint="eastAsia" w:cs="Times New Roman"/>
                <w:b w:val="0"/>
                <w:bCs w:val="0"/>
                <w:color w:val="auto"/>
                <w:sz w:val="24"/>
                <w:szCs w:val="24"/>
                <w:lang w:val="en-US" w:eastAsia="zh-CN"/>
              </w:rPr>
              <w:t>根据与（川环发〔2021〕9号）《四川省危险废物集中收集贮存试点工作方案》的对比分析，仅从事生活源废矿物油（即汽修店、4S店产生的废矿物油（HW08；900-214-08））收集的，可不按方案执行。</w:t>
            </w:r>
          </w:p>
          <w:p w14:paraId="58D3E280">
            <w:pPr>
              <w:numPr>
                <w:ilvl w:val="0"/>
                <w:numId w:val="0"/>
              </w:numPr>
              <w:bidi w:val="0"/>
              <w:spacing w:line="360" w:lineRule="auto"/>
              <w:ind w:firstLine="480" w:firstLineChars="200"/>
              <w:rPr>
                <w:rFonts w:hint="eastAsia" w:ascii="Times New Roman" w:hAnsi="Times New Roman" w:eastAsia="宋体" w:cs="Times New Roman"/>
                <w:b w:val="0"/>
                <w:bCs w:val="0"/>
                <w:color w:val="auto"/>
                <w:sz w:val="21"/>
                <w:szCs w:val="21"/>
                <w:lang w:val="en-US" w:eastAsia="zh-CN"/>
              </w:rPr>
            </w:pPr>
            <w:r>
              <w:rPr>
                <w:rFonts w:hint="eastAsia" w:cs="Times New Roman"/>
                <w:b w:val="0"/>
                <w:bCs w:val="0"/>
                <w:color w:val="auto"/>
                <w:sz w:val="24"/>
                <w:szCs w:val="24"/>
                <w:lang w:val="en-US" w:eastAsia="zh-CN"/>
              </w:rPr>
              <w:t>因此，本项目符合（川环发〔2021〕9号）《四川省危险废物集中收集贮存试点工作方案》相关规定。</w:t>
            </w:r>
          </w:p>
          <w:p w14:paraId="32899F11">
            <w:pPr>
              <w:numPr>
                <w:ilvl w:val="0"/>
                <w:numId w:val="7"/>
              </w:numPr>
              <w:bidi w:val="0"/>
              <w:spacing w:line="360" w:lineRule="auto"/>
              <w:ind w:leftChars="0" w:firstLine="482" w:firstLineChars="200"/>
              <w:rPr>
                <w:rFonts w:hint="eastAsia" w:ascii="Times New Roman" w:hAnsi="Times New Roman" w:eastAsia="宋体" w:cs="Times New Roman"/>
                <w:b/>
                <w:bCs/>
                <w:color w:val="auto"/>
                <w:sz w:val="21"/>
                <w:szCs w:val="21"/>
                <w:lang w:val="en-US" w:eastAsia="zh-CN"/>
              </w:rPr>
            </w:pPr>
            <w:r>
              <w:rPr>
                <w:rFonts w:hint="eastAsia" w:cs="Times New Roman"/>
                <w:b/>
                <w:bCs/>
                <w:color w:val="auto"/>
                <w:sz w:val="24"/>
                <w:szCs w:val="24"/>
                <w:lang w:val="en-US" w:eastAsia="zh-CN"/>
              </w:rPr>
              <w:t>项目</w:t>
            </w:r>
            <w:r>
              <w:rPr>
                <w:rFonts w:hint="eastAsia" w:ascii="Times New Roman" w:hAnsi="Times New Roman" w:eastAsia="宋体" w:cs="Times New Roman"/>
                <w:b/>
                <w:bCs/>
                <w:color w:val="auto"/>
                <w:sz w:val="24"/>
                <w:szCs w:val="24"/>
                <w:lang w:val="en-US" w:eastAsia="zh-CN"/>
              </w:rPr>
              <w:t>与《危险废物污染防治技术政策》（环发〔20</w:t>
            </w:r>
            <w:r>
              <w:rPr>
                <w:rFonts w:hint="eastAsia" w:cs="Times New Roman"/>
                <w:b/>
                <w:bCs/>
                <w:color w:val="auto"/>
                <w:sz w:val="24"/>
                <w:szCs w:val="24"/>
                <w:lang w:val="en-US" w:eastAsia="zh-CN"/>
              </w:rPr>
              <w:t>01</w:t>
            </w:r>
            <w:r>
              <w:rPr>
                <w:rFonts w:hint="eastAsia" w:ascii="Times New Roman" w:hAnsi="Times New Roman" w:eastAsia="宋体" w:cs="Times New Roman"/>
                <w:b/>
                <w:bCs/>
                <w:color w:val="auto"/>
                <w:sz w:val="24"/>
                <w:szCs w:val="24"/>
                <w:lang w:val="en-US" w:eastAsia="zh-CN"/>
              </w:rPr>
              <w:t>〕199号）符合性分析</w:t>
            </w:r>
          </w:p>
          <w:p w14:paraId="7A913BC5">
            <w:pPr>
              <w:numPr>
                <w:ilvl w:val="0"/>
                <w:numId w:val="0"/>
              </w:numPr>
              <w:bidi w:val="0"/>
              <w:spacing w:line="360" w:lineRule="auto"/>
              <w:jc w:val="center"/>
              <w:rPr>
                <w:rFonts w:hint="eastAsia" w:ascii="Times New Roman" w:hAnsi="Times New Roman" w:eastAsia="宋体" w:cs="Times New Roman"/>
                <w:b/>
                <w:bCs/>
                <w:color w:val="auto"/>
                <w:sz w:val="21"/>
                <w:szCs w:val="21"/>
                <w:lang w:val="en-US" w:eastAsia="zh-CN"/>
              </w:rPr>
            </w:pPr>
            <w:r>
              <w:rPr>
                <w:rFonts w:hint="eastAsia" w:ascii="Times New Roman" w:hAnsi="Times New Roman" w:eastAsia="宋体" w:cs="Times New Roman"/>
                <w:b/>
                <w:bCs/>
                <w:color w:val="auto"/>
                <w:sz w:val="21"/>
                <w:szCs w:val="21"/>
                <w:lang w:val="en-US" w:eastAsia="zh-CN"/>
              </w:rPr>
              <w:t>表1-</w:t>
            </w:r>
            <w:r>
              <w:rPr>
                <w:rFonts w:hint="eastAsia" w:cs="Times New Roman"/>
                <w:b/>
                <w:bCs/>
                <w:color w:val="auto"/>
                <w:sz w:val="21"/>
                <w:szCs w:val="21"/>
                <w:lang w:val="en-US" w:eastAsia="zh-CN"/>
              </w:rPr>
              <w:t xml:space="preserve">2 </w:t>
            </w:r>
            <w:r>
              <w:rPr>
                <w:rFonts w:hint="eastAsia" w:ascii="Times New Roman" w:hAnsi="Times New Roman" w:eastAsia="宋体" w:cs="Times New Roman"/>
                <w:b/>
                <w:bCs/>
                <w:color w:val="auto"/>
                <w:sz w:val="21"/>
                <w:szCs w:val="21"/>
                <w:lang w:val="en-US" w:eastAsia="zh-CN"/>
              </w:rPr>
              <w:t>项目与《危险废物污染防治技术政策》符合性分析</w:t>
            </w:r>
          </w:p>
          <w:tbl>
            <w:tblPr>
              <w:tblStyle w:val="27"/>
              <w:tblW w:w="4984" w:type="pct"/>
              <w:tblInd w:w="0"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108" w:type="dxa"/>
                <w:bottom w:w="0" w:type="dxa"/>
                <w:right w:w="108" w:type="dxa"/>
              </w:tblCellMar>
            </w:tblPr>
            <w:tblGrid>
              <w:gridCol w:w="456"/>
              <w:gridCol w:w="2969"/>
              <w:gridCol w:w="3554"/>
              <w:gridCol w:w="899"/>
            </w:tblGrid>
            <w:tr w14:paraId="2420CD63">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283" w:hRule="atLeast"/>
              </w:trPr>
              <w:tc>
                <w:tcPr>
                  <w:tcW w:w="2173" w:type="pct"/>
                  <w:gridSpan w:val="2"/>
                  <w:tcBorders>
                    <w:tl2br w:val="nil"/>
                    <w:tr2bl w:val="nil"/>
                  </w:tcBorders>
                  <w:noWrap w:val="0"/>
                  <w:vAlign w:val="center"/>
                </w:tcPr>
                <w:p w14:paraId="416EE09C">
                  <w:pPr>
                    <w:pStyle w:val="93"/>
                    <w:adjustRightInd/>
                    <w:spacing w:line="240" w:lineRule="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政策要求</w:t>
                  </w:r>
                </w:p>
              </w:tc>
              <w:tc>
                <w:tcPr>
                  <w:tcW w:w="2255" w:type="pct"/>
                  <w:tcBorders>
                    <w:tl2br w:val="nil"/>
                    <w:tr2bl w:val="nil"/>
                  </w:tcBorders>
                  <w:noWrap w:val="0"/>
                  <w:vAlign w:val="center"/>
                </w:tcPr>
                <w:p w14:paraId="3507E91B">
                  <w:pPr>
                    <w:pStyle w:val="93"/>
                    <w:adjustRightInd/>
                    <w:spacing w:line="240" w:lineRule="auto"/>
                    <w:rPr>
                      <w:rFonts w:hint="default" w:ascii="Times New Roman" w:hAnsi="Times New Roman" w:eastAsia="宋体" w:cs="Times New Roman"/>
                      <w:color w:val="auto"/>
                      <w:sz w:val="21"/>
                      <w:szCs w:val="21"/>
                      <w:highlight w:val="yellow"/>
                    </w:rPr>
                  </w:pPr>
                  <w:r>
                    <w:rPr>
                      <w:rFonts w:hint="default" w:ascii="Times New Roman" w:hAnsi="Times New Roman" w:eastAsia="宋体" w:cs="Times New Roman"/>
                      <w:color w:val="auto"/>
                      <w:sz w:val="21"/>
                      <w:szCs w:val="21"/>
                    </w:rPr>
                    <w:t>本项目情况</w:t>
                  </w:r>
                </w:p>
              </w:tc>
              <w:tc>
                <w:tcPr>
                  <w:tcW w:w="570" w:type="pct"/>
                  <w:tcBorders>
                    <w:tl2br w:val="nil"/>
                    <w:tr2bl w:val="nil"/>
                  </w:tcBorders>
                  <w:noWrap w:val="0"/>
                  <w:vAlign w:val="center"/>
                </w:tcPr>
                <w:p w14:paraId="7B2DF96A">
                  <w:pPr>
                    <w:pStyle w:val="93"/>
                    <w:adjustRightInd/>
                    <w:spacing w:line="240" w:lineRule="auto"/>
                    <w:rPr>
                      <w:rFonts w:hint="default" w:ascii="Times New Roman" w:hAnsi="Times New Roman" w:eastAsia="宋体" w:cs="Times New Roman"/>
                      <w:color w:val="auto"/>
                      <w:sz w:val="21"/>
                      <w:szCs w:val="21"/>
                      <w:highlight w:val="yellow"/>
                    </w:rPr>
                  </w:pPr>
                  <w:r>
                    <w:rPr>
                      <w:rFonts w:hint="default" w:ascii="Times New Roman" w:hAnsi="Times New Roman" w:eastAsia="宋体" w:cs="Times New Roman"/>
                      <w:color w:val="auto"/>
                      <w:sz w:val="21"/>
                      <w:szCs w:val="21"/>
                    </w:rPr>
                    <w:t>符合性</w:t>
                  </w:r>
                </w:p>
              </w:tc>
            </w:tr>
            <w:tr w14:paraId="059A485D">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90" w:hRule="atLeast"/>
              </w:trPr>
              <w:tc>
                <w:tcPr>
                  <w:tcW w:w="289" w:type="pct"/>
                  <w:vMerge w:val="restart"/>
                  <w:tcBorders>
                    <w:tl2br w:val="nil"/>
                    <w:tr2bl w:val="nil"/>
                  </w:tcBorders>
                  <w:noWrap w:val="0"/>
                  <w:vAlign w:val="center"/>
                </w:tcPr>
                <w:p w14:paraId="72AAC40F">
                  <w:pPr>
                    <w:pStyle w:val="93"/>
                    <w:adjustRightInd/>
                    <w:spacing w:line="240" w:lineRule="auto"/>
                    <w:rPr>
                      <w:rFonts w:hint="default" w:ascii="Times New Roman" w:hAnsi="Times New Roman" w:eastAsia="宋体" w:cs="Times New Roman"/>
                      <w:b w:val="0"/>
                      <w:bCs/>
                      <w:color w:val="auto"/>
                      <w:sz w:val="21"/>
                      <w:szCs w:val="21"/>
                    </w:rPr>
                  </w:pPr>
                  <w:r>
                    <w:rPr>
                      <w:rFonts w:hint="default" w:ascii="Times New Roman" w:hAnsi="Times New Roman" w:eastAsia="宋体" w:cs="Times New Roman"/>
                      <w:b w:val="0"/>
                      <w:bCs/>
                      <w:color w:val="auto"/>
                      <w:sz w:val="21"/>
                      <w:szCs w:val="21"/>
                    </w:rPr>
                    <w:t>危险废物的收集与运输</w:t>
                  </w:r>
                </w:p>
              </w:tc>
              <w:tc>
                <w:tcPr>
                  <w:tcW w:w="1884" w:type="pct"/>
                  <w:tcBorders>
                    <w:tl2br w:val="nil"/>
                    <w:tr2bl w:val="nil"/>
                  </w:tcBorders>
                  <w:noWrap w:val="0"/>
                  <w:vAlign w:val="center"/>
                </w:tcPr>
                <w:p w14:paraId="3BACF3BC">
                  <w:pPr>
                    <w:pStyle w:val="94"/>
                    <w:spacing w:line="240" w:lineRule="auto"/>
                    <w:jc w:val="both"/>
                    <w:rPr>
                      <w:rFonts w:hint="default" w:ascii="Times New Roman" w:hAnsi="Times New Roman" w:eastAsia="宋体" w:cs="Times New Roman"/>
                      <w:b w:val="0"/>
                      <w:bCs/>
                      <w:color w:val="auto"/>
                      <w:sz w:val="21"/>
                      <w:szCs w:val="21"/>
                    </w:rPr>
                  </w:pPr>
                  <w:r>
                    <w:rPr>
                      <w:rFonts w:hint="default" w:ascii="Times New Roman" w:hAnsi="Times New Roman" w:eastAsia="宋体" w:cs="Times New Roman"/>
                      <w:b w:val="0"/>
                      <w:bCs/>
                      <w:color w:val="auto"/>
                      <w:sz w:val="21"/>
                      <w:szCs w:val="21"/>
                      <w:lang w:val="en-US"/>
                    </w:rPr>
                    <w:t>危险废物要根据其成分，用符合国家标准的专门容器分类收集。</w:t>
                  </w:r>
                </w:p>
              </w:tc>
              <w:tc>
                <w:tcPr>
                  <w:tcW w:w="2255" w:type="pct"/>
                  <w:tcBorders>
                    <w:tl2br w:val="nil"/>
                    <w:tr2bl w:val="nil"/>
                  </w:tcBorders>
                  <w:noWrap w:val="0"/>
                  <w:vAlign w:val="center"/>
                </w:tcPr>
                <w:p w14:paraId="18AB5CEB">
                  <w:pPr>
                    <w:pStyle w:val="93"/>
                    <w:adjustRightInd/>
                    <w:spacing w:line="240" w:lineRule="auto"/>
                    <w:jc w:val="both"/>
                    <w:rPr>
                      <w:rFonts w:hint="eastAsia" w:ascii="Times New Roman" w:hAnsi="Times New Roman" w:eastAsia="宋体" w:cs="Times New Roman"/>
                      <w:b w:val="0"/>
                      <w:bCs/>
                      <w:color w:val="auto"/>
                      <w:sz w:val="21"/>
                      <w:szCs w:val="21"/>
                      <w:lang w:eastAsia="zh-CN"/>
                    </w:rPr>
                  </w:pPr>
                  <w:r>
                    <w:rPr>
                      <w:rFonts w:hint="default" w:ascii="Times New Roman" w:hAnsi="Times New Roman" w:eastAsia="宋体" w:cs="Times New Roman"/>
                      <w:b w:val="0"/>
                      <w:bCs/>
                      <w:color w:val="auto"/>
                      <w:sz w:val="21"/>
                      <w:szCs w:val="21"/>
                    </w:rPr>
                    <w:t>项目危废中主要成分为</w:t>
                  </w:r>
                  <w:r>
                    <w:rPr>
                      <w:rFonts w:hint="eastAsia" w:cs="Times New Roman"/>
                      <w:b w:val="0"/>
                      <w:bCs/>
                      <w:color w:val="auto"/>
                      <w:sz w:val="21"/>
                      <w:szCs w:val="21"/>
                      <w:lang w:val="en-US" w:eastAsia="zh-CN"/>
                    </w:rPr>
                    <w:t>废</w:t>
                  </w:r>
                  <w:r>
                    <w:rPr>
                      <w:rFonts w:hint="default" w:ascii="Times New Roman" w:hAnsi="Times New Roman" w:eastAsia="宋体" w:cs="Times New Roman"/>
                      <w:b w:val="0"/>
                      <w:bCs/>
                      <w:color w:val="auto"/>
                      <w:sz w:val="21"/>
                      <w:szCs w:val="21"/>
                    </w:rPr>
                    <w:t>矿物油，</w:t>
                  </w:r>
                  <w:r>
                    <w:rPr>
                      <w:rFonts w:hint="eastAsia" w:cs="Times New Roman"/>
                      <w:b w:val="0"/>
                      <w:bCs/>
                      <w:color w:val="auto"/>
                      <w:sz w:val="21"/>
                      <w:szCs w:val="21"/>
                      <w:lang w:val="en-US" w:eastAsia="zh-CN"/>
                    </w:rPr>
                    <w:t>存储</w:t>
                  </w:r>
                  <w:r>
                    <w:rPr>
                      <w:rFonts w:hint="default" w:ascii="Times New Roman" w:hAnsi="Times New Roman" w:eastAsia="宋体" w:cs="Times New Roman"/>
                      <w:b w:val="0"/>
                      <w:bCs/>
                      <w:color w:val="auto"/>
                      <w:sz w:val="21"/>
                      <w:szCs w:val="21"/>
                    </w:rPr>
                    <w:t>采用</w:t>
                  </w:r>
                  <w:r>
                    <w:rPr>
                      <w:rFonts w:hint="eastAsia" w:cs="Times New Roman"/>
                      <w:b w:val="0"/>
                      <w:bCs/>
                      <w:color w:val="auto"/>
                      <w:sz w:val="21"/>
                      <w:szCs w:val="21"/>
                      <w:lang w:eastAsia="zh-CN"/>
                    </w:rPr>
                    <w:t>碳钢</w:t>
                  </w:r>
                  <w:r>
                    <w:rPr>
                      <w:rFonts w:hint="default" w:ascii="Times New Roman" w:hAnsi="Times New Roman" w:eastAsia="宋体" w:cs="Times New Roman"/>
                      <w:b w:val="0"/>
                      <w:bCs/>
                      <w:color w:val="auto"/>
                      <w:sz w:val="21"/>
                      <w:szCs w:val="21"/>
                    </w:rPr>
                    <w:t>储油罐</w:t>
                  </w:r>
                  <w:r>
                    <w:rPr>
                      <w:rFonts w:hint="eastAsia" w:cs="Times New Roman"/>
                      <w:b w:val="0"/>
                      <w:bCs/>
                      <w:color w:val="auto"/>
                      <w:sz w:val="21"/>
                      <w:szCs w:val="21"/>
                      <w:lang w:eastAsia="zh-CN"/>
                    </w:rPr>
                    <w:t>，</w:t>
                  </w:r>
                  <w:r>
                    <w:rPr>
                      <w:rFonts w:hint="default" w:ascii="Times New Roman" w:hAnsi="Times New Roman" w:eastAsia="宋体" w:cs="Times New Roman"/>
                      <w:b w:val="0"/>
                      <w:bCs/>
                      <w:color w:val="auto"/>
                      <w:sz w:val="21"/>
                      <w:szCs w:val="21"/>
                    </w:rPr>
                    <w:t>不与油产生化学反应且储油罐设有排气口</w:t>
                  </w:r>
                  <w:r>
                    <w:rPr>
                      <w:rFonts w:hint="eastAsia" w:cs="Times New Roman"/>
                      <w:b w:val="0"/>
                      <w:bCs/>
                      <w:color w:val="auto"/>
                      <w:sz w:val="21"/>
                      <w:szCs w:val="21"/>
                      <w:lang w:eastAsia="zh-CN"/>
                    </w:rPr>
                    <w:t>；</w:t>
                  </w:r>
                </w:p>
              </w:tc>
              <w:tc>
                <w:tcPr>
                  <w:tcW w:w="570" w:type="pct"/>
                  <w:tcBorders>
                    <w:tl2br w:val="nil"/>
                    <w:tr2bl w:val="nil"/>
                  </w:tcBorders>
                  <w:noWrap w:val="0"/>
                  <w:vAlign w:val="center"/>
                </w:tcPr>
                <w:p w14:paraId="7452AC67">
                  <w:pPr>
                    <w:pStyle w:val="93"/>
                    <w:adjustRightInd/>
                    <w:spacing w:line="240" w:lineRule="auto"/>
                    <w:rPr>
                      <w:rFonts w:hint="default" w:ascii="Times New Roman" w:hAnsi="Times New Roman" w:eastAsia="宋体" w:cs="Times New Roman"/>
                      <w:b w:val="0"/>
                      <w:bCs/>
                      <w:color w:val="auto"/>
                      <w:sz w:val="21"/>
                      <w:szCs w:val="21"/>
                    </w:rPr>
                  </w:pPr>
                  <w:r>
                    <w:rPr>
                      <w:rFonts w:hint="default" w:ascii="Times New Roman" w:hAnsi="Times New Roman" w:eastAsia="宋体" w:cs="Times New Roman"/>
                      <w:b w:val="0"/>
                      <w:bCs/>
                      <w:color w:val="auto"/>
                      <w:sz w:val="21"/>
                      <w:szCs w:val="21"/>
                    </w:rPr>
                    <w:t>符合</w:t>
                  </w:r>
                </w:p>
              </w:tc>
            </w:tr>
            <w:tr w14:paraId="7CAABDBE">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283" w:hRule="atLeast"/>
              </w:trPr>
              <w:tc>
                <w:tcPr>
                  <w:tcW w:w="289" w:type="pct"/>
                  <w:vMerge w:val="continue"/>
                  <w:tcBorders>
                    <w:tl2br w:val="nil"/>
                    <w:tr2bl w:val="nil"/>
                  </w:tcBorders>
                  <w:noWrap w:val="0"/>
                  <w:vAlign w:val="center"/>
                </w:tcPr>
                <w:p w14:paraId="03C7D5D3">
                  <w:pPr>
                    <w:pStyle w:val="93"/>
                    <w:adjustRightInd/>
                    <w:spacing w:line="240" w:lineRule="auto"/>
                    <w:rPr>
                      <w:rFonts w:hint="default" w:ascii="Times New Roman" w:hAnsi="Times New Roman" w:eastAsia="宋体" w:cs="Times New Roman"/>
                      <w:b w:val="0"/>
                      <w:bCs/>
                      <w:color w:val="auto"/>
                      <w:sz w:val="21"/>
                      <w:szCs w:val="21"/>
                    </w:rPr>
                  </w:pPr>
                </w:p>
              </w:tc>
              <w:tc>
                <w:tcPr>
                  <w:tcW w:w="1884" w:type="pct"/>
                  <w:tcBorders>
                    <w:tl2br w:val="nil"/>
                    <w:tr2bl w:val="nil"/>
                  </w:tcBorders>
                  <w:noWrap w:val="0"/>
                  <w:vAlign w:val="center"/>
                </w:tcPr>
                <w:p w14:paraId="2E539895">
                  <w:pPr>
                    <w:widowControl/>
                    <w:spacing w:line="240" w:lineRule="auto"/>
                    <w:jc w:val="both"/>
                    <w:rPr>
                      <w:rFonts w:hint="default" w:ascii="Times New Roman" w:hAnsi="Times New Roman" w:eastAsia="宋体" w:cs="Times New Roman"/>
                      <w:b w:val="0"/>
                      <w:bCs/>
                      <w:color w:val="auto"/>
                      <w:sz w:val="21"/>
                      <w:szCs w:val="21"/>
                    </w:rPr>
                  </w:pPr>
                  <w:r>
                    <w:rPr>
                      <w:rFonts w:hint="default" w:ascii="Times New Roman" w:hAnsi="Times New Roman" w:eastAsia="宋体" w:cs="Times New Roman"/>
                      <w:b w:val="0"/>
                      <w:bCs/>
                      <w:color w:val="auto"/>
                      <w:sz w:val="21"/>
                      <w:szCs w:val="21"/>
                    </w:rPr>
                    <w:t>装运危险废物的容器应根据危险废物的不同特性而设计，不易破损、变形、老化，能有效地防止渗漏、扩散。装有危险废物的容器必须贴有标签，在标签上详细标明危险废物的名称、重量、成分、特性以及发生泄漏、扩散污染事故时的应急措施和补救方法</w:t>
                  </w:r>
                </w:p>
              </w:tc>
              <w:tc>
                <w:tcPr>
                  <w:tcW w:w="2255" w:type="pct"/>
                  <w:tcBorders>
                    <w:tl2br w:val="nil"/>
                    <w:tr2bl w:val="nil"/>
                  </w:tcBorders>
                  <w:noWrap w:val="0"/>
                  <w:vAlign w:val="center"/>
                </w:tcPr>
                <w:p w14:paraId="7DC0377E">
                  <w:pPr>
                    <w:pStyle w:val="93"/>
                    <w:adjustRightInd/>
                    <w:spacing w:line="240" w:lineRule="auto"/>
                    <w:jc w:val="both"/>
                    <w:rPr>
                      <w:rFonts w:hint="eastAsia" w:ascii="Times New Roman" w:hAnsi="Times New Roman" w:eastAsia="宋体" w:cs="Times New Roman"/>
                      <w:b w:val="0"/>
                      <w:bCs/>
                      <w:color w:val="auto"/>
                      <w:sz w:val="21"/>
                      <w:szCs w:val="21"/>
                      <w:lang w:eastAsia="zh-CN"/>
                    </w:rPr>
                  </w:pPr>
                  <w:r>
                    <w:rPr>
                      <w:rFonts w:hint="eastAsia" w:cs="Times New Roman"/>
                      <w:b w:val="0"/>
                      <w:bCs/>
                      <w:color w:val="auto"/>
                      <w:sz w:val="21"/>
                      <w:szCs w:val="21"/>
                      <w:lang w:val="en-US" w:eastAsia="zh-CN"/>
                    </w:rPr>
                    <w:t>收集转运采用</w:t>
                  </w:r>
                  <w:r>
                    <w:rPr>
                      <w:rFonts w:hint="default" w:ascii="Times New Roman" w:hAnsi="Times New Roman" w:eastAsia="宋体" w:cs="Times New Roman"/>
                      <w:b w:val="0"/>
                      <w:bCs/>
                      <w:color w:val="auto"/>
                      <w:sz w:val="21"/>
                      <w:szCs w:val="21"/>
                    </w:rPr>
                    <w:t>200L铁质专用收集容器</w:t>
                  </w:r>
                  <w:r>
                    <w:rPr>
                      <w:rFonts w:hint="eastAsia" w:cs="Times New Roman"/>
                      <w:b w:val="0"/>
                      <w:bCs/>
                      <w:color w:val="auto"/>
                      <w:sz w:val="21"/>
                      <w:szCs w:val="21"/>
                      <w:lang w:eastAsia="zh-CN"/>
                    </w:rPr>
                    <w:t>，</w:t>
                  </w:r>
                  <w:r>
                    <w:rPr>
                      <w:rFonts w:hint="eastAsia" w:cs="Times New Roman"/>
                      <w:b w:val="0"/>
                      <w:bCs/>
                      <w:color w:val="auto"/>
                      <w:sz w:val="21"/>
                      <w:szCs w:val="21"/>
                      <w:lang w:val="en-US" w:eastAsia="zh-CN"/>
                    </w:rPr>
                    <w:t>存储</w:t>
                  </w:r>
                  <w:r>
                    <w:rPr>
                      <w:rFonts w:hint="default" w:ascii="Times New Roman" w:hAnsi="Times New Roman" w:eastAsia="宋体" w:cs="Times New Roman"/>
                      <w:b w:val="0"/>
                      <w:bCs/>
                      <w:color w:val="auto"/>
                      <w:sz w:val="21"/>
                      <w:szCs w:val="21"/>
                    </w:rPr>
                    <w:t>采用</w:t>
                  </w:r>
                  <w:r>
                    <w:rPr>
                      <w:rFonts w:hint="eastAsia" w:cs="Times New Roman"/>
                      <w:b w:val="0"/>
                      <w:bCs/>
                      <w:color w:val="auto"/>
                      <w:sz w:val="21"/>
                      <w:szCs w:val="21"/>
                      <w:lang w:eastAsia="zh-CN"/>
                    </w:rPr>
                    <w:t>碳钢</w:t>
                  </w:r>
                  <w:r>
                    <w:rPr>
                      <w:rFonts w:hint="default" w:ascii="Times New Roman" w:hAnsi="Times New Roman" w:eastAsia="宋体" w:cs="Times New Roman"/>
                      <w:b w:val="0"/>
                      <w:bCs/>
                      <w:color w:val="auto"/>
                      <w:sz w:val="21"/>
                      <w:szCs w:val="21"/>
                    </w:rPr>
                    <w:t>储油罐，储油罐不易破损、变形、老化；收集容器</w:t>
                  </w:r>
                  <w:r>
                    <w:rPr>
                      <w:rFonts w:hint="eastAsia" w:cs="Times New Roman"/>
                      <w:b w:val="0"/>
                      <w:bCs/>
                      <w:color w:val="auto"/>
                      <w:sz w:val="21"/>
                      <w:szCs w:val="21"/>
                      <w:lang w:eastAsia="zh-CN"/>
                    </w:rPr>
                    <w:t>、</w:t>
                  </w:r>
                  <w:r>
                    <w:rPr>
                      <w:rFonts w:hint="default" w:ascii="Times New Roman" w:hAnsi="Times New Roman" w:eastAsia="宋体" w:cs="Times New Roman"/>
                      <w:b w:val="0"/>
                      <w:bCs/>
                      <w:color w:val="auto"/>
                      <w:sz w:val="21"/>
                      <w:szCs w:val="21"/>
                    </w:rPr>
                    <w:t>储油罐上贴明标签，标签上详细标明危险废物的名称、重量、成分、特性以及发生泄漏、扩散污染事故时的应急措施和补救方法</w:t>
                  </w:r>
                  <w:r>
                    <w:rPr>
                      <w:rFonts w:hint="eastAsia" w:cs="Times New Roman"/>
                      <w:b w:val="0"/>
                      <w:bCs/>
                      <w:color w:val="auto"/>
                      <w:sz w:val="21"/>
                      <w:szCs w:val="21"/>
                      <w:lang w:eastAsia="zh-CN"/>
                    </w:rPr>
                    <w:t>；</w:t>
                  </w:r>
                </w:p>
              </w:tc>
              <w:tc>
                <w:tcPr>
                  <w:tcW w:w="570" w:type="pct"/>
                  <w:tcBorders>
                    <w:tl2br w:val="nil"/>
                    <w:tr2bl w:val="nil"/>
                  </w:tcBorders>
                  <w:noWrap w:val="0"/>
                  <w:vAlign w:val="center"/>
                </w:tcPr>
                <w:p w14:paraId="5C3DE425">
                  <w:pPr>
                    <w:pStyle w:val="93"/>
                    <w:adjustRightInd/>
                    <w:spacing w:line="240" w:lineRule="auto"/>
                    <w:rPr>
                      <w:rFonts w:hint="default" w:ascii="Times New Roman" w:hAnsi="Times New Roman" w:eastAsia="宋体" w:cs="Times New Roman"/>
                      <w:b w:val="0"/>
                      <w:bCs/>
                      <w:color w:val="auto"/>
                      <w:sz w:val="21"/>
                      <w:szCs w:val="21"/>
                    </w:rPr>
                  </w:pPr>
                  <w:r>
                    <w:rPr>
                      <w:rFonts w:hint="default" w:ascii="Times New Roman" w:hAnsi="Times New Roman" w:eastAsia="宋体" w:cs="Times New Roman"/>
                      <w:b w:val="0"/>
                      <w:bCs/>
                      <w:color w:val="auto"/>
                      <w:sz w:val="21"/>
                      <w:szCs w:val="21"/>
                    </w:rPr>
                    <w:t>符合</w:t>
                  </w:r>
                </w:p>
              </w:tc>
            </w:tr>
            <w:tr w14:paraId="154F60BE">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283" w:hRule="atLeast"/>
              </w:trPr>
              <w:tc>
                <w:tcPr>
                  <w:tcW w:w="289" w:type="pct"/>
                  <w:vMerge w:val="continue"/>
                  <w:tcBorders>
                    <w:tl2br w:val="nil"/>
                    <w:tr2bl w:val="nil"/>
                  </w:tcBorders>
                  <w:noWrap w:val="0"/>
                  <w:vAlign w:val="center"/>
                </w:tcPr>
                <w:p w14:paraId="02011BAC">
                  <w:pPr>
                    <w:pStyle w:val="96"/>
                    <w:framePr w:wrap="auto" w:vAnchor="margin" w:hAnchor="text" w:yAlign="inline"/>
                    <w:spacing w:line="240" w:lineRule="auto"/>
                    <w:rPr>
                      <w:rFonts w:hint="default" w:ascii="Times New Roman" w:hAnsi="Times New Roman" w:eastAsia="宋体" w:cs="Times New Roman"/>
                      <w:bCs/>
                      <w:color w:val="auto"/>
                      <w:sz w:val="21"/>
                      <w:szCs w:val="21"/>
                    </w:rPr>
                  </w:pPr>
                </w:p>
              </w:tc>
              <w:tc>
                <w:tcPr>
                  <w:tcW w:w="1884" w:type="pct"/>
                  <w:tcBorders>
                    <w:tl2br w:val="nil"/>
                    <w:tr2bl w:val="nil"/>
                  </w:tcBorders>
                  <w:noWrap w:val="0"/>
                  <w:vAlign w:val="center"/>
                </w:tcPr>
                <w:p w14:paraId="50380869">
                  <w:pPr>
                    <w:widowControl/>
                    <w:spacing w:line="240" w:lineRule="auto"/>
                    <w:jc w:val="both"/>
                    <w:rPr>
                      <w:rFonts w:hint="default" w:ascii="Times New Roman" w:hAnsi="Times New Roman" w:eastAsia="宋体" w:cs="Times New Roman"/>
                      <w:b w:val="0"/>
                      <w:bCs/>
                      <w:color w:val="auto"/>
                      <w:sz w:val="21"/>
                      <w:szCs w:val="21"/>
                    </w:rPr>
                  </w:pPr>
                  <w:r>
                    <w:rPr>
                      <w:rFonts w:hint="default" w:ascii="Times New Roman" w:hAnsi="Times New Roman" w:eastAsia="宋体" w:cs="Times New Roman"/>
                      <w:b w:val="0"/>
                      <w:bCs/>
                      <w:color w:val="auto"/>
                      <w:sz w:val="21"/>
                      <w:szCs w:val="21"/>
                    </w:rPr>
                    <w:t>鼓励发展安全高效的危险废物运输系统，鼓励发展各种形式的专用车辆，对危险废物的运输要求安全可靠，要严格按照危险废物运输的管理规定进行危险废物的运输，减少运输过程中的二次污染和可能造成的环境风险</w:t>
                  </w:r>
                </w:p>
              </w:tc>
              <w:tc>
                <w:tcPr>
                  <w:tcW w:w="2255" w:type="pct"/>
                  <w:tcBorders>
                    <w:tl2br w:val="nil"/>
                    <w:tr2bl w:val="nil"/>
                  </w:tcBorders>
                  <w:noWrap w:val="0"/>
                  <w:vAlign w:val="center"/>
                </w:tcPr>
                <w:p w14:paraId="4DEB2759">
                  <w:pPr>
                    <w:pStyle w:val="37"/>
                    <w:adjustRightInd/>
                    <w:spacing w:line="240" w:lineRule="auto"/>
                    <w:jc w:val="both"/>
                    <w:rPr>
                      <w:rFonts w:hint="default" w:ascii="Times New Roman" w:hAnsi="Times New Roman" w:eastAsia="宋体" w:cs="Times New Roman"/>
                      <w:b w:val="0"/>
                      <w:bCs/>
                      <w:color w:val="auto"/>
                      <w:sz w:val="21"/>
                      <w:szCs w:val="21"/>
                    </w:rPr>
                  </w:pPr>
                  <w:r>
                    <w:rPr>
                      <w:rFonts w:hint="default" w:ascii="Times New Roman" w:hAnsi="Times New Roman" w:eastAsia="宋体" w:cs="Times New Roman"/>
                      <w:b w:val="0"/>
                      <w:bCs/>
                      <w:color w:val="auto"/>
                      <w:sz w:val="21"/>
                      <w:szCs w:val="21"/>
                    </w:rPr>
                    <w:t>本项目严格按照危险废物运输的管理规定进行危险废物的运输</w:t>
                  </w:r>
                  <w:r>
                    <w:rPr>
                      <w:rFonts w:hint="eastAsia" w:ascii="Times New Roman" w:cs="Times New Roman"/>
                      <w:b w:val="0"/>
                      <w:bCs/>
                      <w:color w:val="auto"/>
                      <w:sz w:val="21"/>
                      <w:szCs w:val="21"/>
                      <w:lang w:eastAsia="zh-CN"/>
                    </w:rPr>
                    <w:t>，</w:t>
                  </w:r>
                  <w:r>
                    <w:rPr>
                      <w:rFonts w:hint="eastAsia" w:ascii="Times New Roman" w:cs="Times New Roman"/>
                      <w:b w:val="0"/>
                      <w:bCs/>
                      <w:color w:val="auto"/>
                      <w:sz w:val="21"/>
                      <w:szCs w:val="21"/>
                      <w:lang w:val="en-US" w:eastAsia="zh-CN"/>
                    </w:rPr>
                    <w:t>采用专用危废运输车辆对危险废物进行运输；</w:t>
                  </w:r>
                  <w:r>
                    <w:rPr>
                      <w:rFonts w:hint="eastAsia" w:ascii="Times New Roman" w:cs="Times New Roman"/>
                      <w:b w:val="0"/>
                      <w:bCs/>
                      <w:color w:val="auto"/>
                      <w:sz w:val="21"/>
                      <w:szCs w:val="21"/>
                      <w:lang w:eastAsia="zh-CN"/>
                    </w:rPr>
                    <w:t>本项目不负责危废的运输，由专业的第三方运输单位运输至厂区内</w:t>
                  </w:r>
                  <w:r>
                    <w:rPr>
                      <w:rFonts w:hint="eastAsia" w:ascii="Times New Roman" w:cs="Times New Roman"/>
                      <w:b w:val="0"/>
                      <w:bCs/>
                      <w:color w:val="auto"/>
                      <w:sz w:val="21"/>
                      <w:szCs w:val="21"/>
                      <w:lang w:val="en-US" w:eastAsia="zh-CN"/>
                    </w:rPr>
                    <w:t>及将废矿物油运输至危废处置单位</w:t>
                  </w:r>
                  <w:r>
                    <w:rPr>
                      <w:rFonts w:hint="eastAsia" w:ascii="Times New Roman" w:cs="Times New Roman"/>
                      <w:b w:val="0"/>
                      <w:bCs/>
                      <w:color w:val="auto"/>
                      <w:sz w:val="21"/>
                      <w:szCs w:val="21"/>
                      <w:lang w:eastAsia="zh-CN"/>
                    </w:rPr>
                    <w:t>。</w:t>
                  </w:r>
                </w:p>
              </w:tc>
              <w:tc>
                <w:tcPr>
                  <w:tcW w:w="570" w:type="pct"/>
                  <w:tcBorders>
                    <w:tl2br w:val="nil"/>
                    <w:tr2bl w:val="nil"/>
                  </w:tcBorders>
                  <w:noWrap w:val="0"/>
                  <w:vAlign w:val="center"/>
                </w:tcPr>
                <w:p w14:paraId="594138B8">
                  <w:pPr>
                    <w:pStyle w:val="37"/>
                    <w:adjustRightInd/>
                    <w:spacing w:line="240" w:lineRule="auto"/>
                    <w:jc w:val="center"/>
                    <w:rPr>
                      <w:rFonts w:hint="default" w:ascii="Times New Roman" w:hAnsi="Times New Roman" w:eastAsia="宋体" w:cs="Times New Roman"/>
                      <w:b w:val="0"/>
                      <w:bCs/>
                      <w:color w:val="auto"/>
                      <w:sz w:val="21"/>
                      <w:szCs w:val="21"/>
                    </w:rPr>
                  </w:pPr>
                  <w:r>
                    <w:rPr>
                      <w:rFonts w:hint="default" w:ascii="Times New Roman" w:hAnsi="Times New Roman" w:eastAsia="宋体" w:cs="Times New Roman"/>
                      <w:b w:val="0"/>
                      <w:bCs/>
                      <w:color w:val="auto"/>
                      <w:sz w:val="21"/>
                      <w:szCs w:val="21"/>
                    </w:rPr>
                    <w:t>符合</w:t>
                  </w:r>
                </w:p>
              </w:tc>
            </w:tr>
            <w:tr w14:paraId="15A99957">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40" w:hRule="atLeast"/>
              </w:trPr>
              <w:tc>
                <w:tcPr>
                  <w:tcW w:w="289" w:type="pct"/>
                  <w:vMerge w:val="restart"/>
                  <w:tcBorders>
                    <w:tl2br w:val="nil"/>
                    <w:tr2bl w:val="nil"/>
                  </w:tcBorders>
                  <w:noWrap w:val="0"/>
                  <w:vAlign w:val="center"/>
                </w:tcPr>
                <w:p w14:paraId="4AA40B51">
                  <w:pPr>
                    <w:pStyle w:val="96"/>
                    <w:framePr w:wrap="auto" w:vAnchor="margin" w:hAnchor="text" w:yAlign="inline"/>
                    <w:spacing w:line="240" w:lineRule="auto"/>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危险废物的</w:t>
                  </w:r>
                </w:p>
                <w:p w14:paraId="3ABA8570">
                  <w:pPr>
                    <w:pStyle w:val="96"/>
                    <w:framePr w:wrap="auto" w:vAnchor="margin" w:hAnchor="text" w:yAlign="inline"/>
                    <w:spacing w:line="240" w:lineRule="auto"/>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贮存</w:t>
                  </w:r>
                </w:p>
              </w:tc>
              <w:tc>
                <w:tcPr>
                  <w:tcW w:w="1884" w:type="pct"/>
                  <w:tcBorders>
                    <w:tl2br w:val="nil"/>
                    <w:tr2bl w:val="nil"/>
                  </w:tcBorders>
                  <w:noWrap w:val="0"/>
                  <w:vAlign w:val="center"/>
                </w:tcPr>
                <w:p w14:paraId="2B4FDD4D">
                  <w:pPr>
                    <w:widowControl/>
                    <w:spacing w:line="240" w:lineRule="auto"/>
                    <w:jc w:val="both"/>
                    <w:rPr>
                      <w:rFonts w:hint="default" w:ascii="Times New Roman" w:hAnsi="Times New Roman" w:eastAsia="宋体" w:cs="Times New Roman"/>
                      <w:b w:val="0"/>
                      <w:bCs/>
                      <w:color w:val="auto"/>
                      <w:kern w:val="0"/>
                      <w:sz w:val="21"/>
                      <w:szCs w:val="21"/>
                      <w:lang w:bidi="ar"/>
                    </w:rPr>
                  </w:pPr>
                  <w:r>
                    <w:rPr>
                      <w:rFonts w:hint="default" w:ascii="Times New Roman" w:hAnsi="Times New Roman" w:eastAsia="宋体" w:cs="Times New Roman"/>
                      <w:b w:val="0"/>
                      <w:bCs/>
                      <w:color w:val="auto"/>
                      <w:kern w:val="0"/>
                      <w:sz w:val="21"/>
                      <w:szCs w:val="21"/>
                      <w:lang w:bidi="ar"/>
                    </w:rPr>
                    <w:t>应建有堵截泄漏的裙脚</w:t>
                  </w:r>
                  <w:r>
                    <w:rPr>
                      <w:rFonts w:hint="eastAsia" w:cs="Times New Roman"/>
                      <w:b w:val="0"/>
                      <w:bCs/>
                      <w:color w:val="auto"/>
                      <w:kern w:val="0"/>
                      <w:sz w:val="21"/>
                      <w:szCs w:val="21"/>
                      <w:lang w:eastAsia="zh-CN" w:bidi="ar"/>
                    </w:rPr>
                    <w:t>，</w:t>
                  </w:r>
                  <w:r>
                    <w:rPr>
                      <w:rFonts w:hint="default" w:ascii="Times New Roman" w:hAnsi="Times New Roman" w:eastAsia="宋体" w:cs="Times New Roman"/>
                      <w:b w:val="0"/>
                      <w:bCs/>
                      <w:color w:val="auto"/>
                      <w:kern w:val="0"/>
                      <w:sz w:val="21"/>
                      <w:szCs w:val="21"/>
                      <w:lang w:bidi="ar"/>
                    </w:rPr>
                    <w:t>地面与裙脚要用坚固防渗的材料建造。应有隔离设施、报警装置和防风、防晒、防雨设施</w:t>
                  </w:r>
                </w:p>
              </w:tc>
              <w:tc>
                <w:tcPr>
                  <w:tcW w:w="2255" w:type="pct"/>
                  <w:tcBorders>
                    <w:tl2br w:val="nil"/>
                    <w:tr2bl w:val="nil"/>
                  </w:tcBorders>
                  <w:noWrap w:val="0"/>
                  <w:vAlign w:val="center"/>
                </w:tcPr>
                <w:p w14:paraId="2C043F90">
                  <w:pPr>
                    <w:pStyle w:val="37"/>
                    <w:adjustRightInd/>
                    <w:spacing w:line="240" w:lineRule="auto"/>
                    <w:jc w:val="both"/>
                    <w:rPr>
                      <w:rFonts w:hint="eastAsia" w:ascii="Times New Roman" w:hAnsi="Times New Roman" w:eastAsia="宋体" w:cs="Times New Roman"/>
                      <w:b w:val="0"/>
                      <w:bCs/>
                      <w:color w:val="auto"/>
                      <w:sz w:val="21"/>
                      <w:szCs w:val="21"/>
                      <w:lang w:eastAsia="zh-CN"/>
                    </w:rPr>
                  </w:pPr>
                  <w:r>
                    <w:rPr>
                      <w:rFonts w:hint="default" w:ascii="Times New Roman" w:hAnsi="Times New Roman" w:eastAsia="宋体" w:cs="Times New Roman"/>
                      <w:b w:val="0"/>
                      <w:bCs/>
                      <w:color w:val="auto"/>
                      <w:sz w:val="21"/>
                      <w:szCs w:val="21"/>
                    </w:rPr>
                    <w:t>危废库房地面与裙脚采用防渗混凝土硬化+高密度聚乙烯防渗材料，</w:t>
                  </w:r>
                  <w:r>
                    <w:rPr>
                      <w:rFonts w:hint="eastAsia" w:ascii="Times New Roman" w:cs="Times New Roman"/>
                      <w:b w:val="0"/>
                      <w:bCs/>
                      <w:color w:val="auto"/>
                      <w:sz w:val="21"/>
                      <w:szCs w:val="21"/>
                      <w:lang w:val="en-US" w:eastAsia="zh-CN"/>
                    </w:rPr>
                    <w:t>采用</w:t>
                  </w:r>
                  <w:r>
                    <w:rPr>
                      <w:rFonts w:hint="default" w:ascii="Times New Roman" w:hAnsi="Times New Roman" w:eastAsia="宋体" w:cs="Times New Roman"/>
                      <w:b w:val="0"/>
                      <w:bCs/>
                      <w:color w:val="auto"/>
                      <w:sz w:val="21"/>
                      <w:szCs w:val="21"/>
                    </w:rPr>
                    <w:t>建筑材料与危险废物相容</w:t>
                  </w:r>
                  <w:r>
                    <w:rPr>
                      <w:rFonts w:hint="eastAsia" w:ascii="Times New Roman" w:cs="Times New Roman"/>
                      <w:b w:val="0"/>
                      <w:bCs/>
                      <w:color w:val="auto"/>
                      <w:sz w:val="21"/>
                      <w:szCs w:val="21"/>
                      <w:lang w:eastAsia="zh-CN"/>
                    </w:rPr>
                    <w:t>；</w:t>
                  </w:r>
                  <w:r>
                    <w:rPr>
                      <w:rFonts w:hint="default" w:ascii="Times New Roman" w:hAnsi="Times New Roman" w:eastAsia="宋体" w:cs="Times New Roman"/>
                      <w:b w:val="0"/>
                      <w:bCs/>
                      <w:color w:val="auto"/>
                      <w:sz w:val="21"/>
                      <w:szCs w:val="21"/>
                    </w:rPr>
                    <w:t>并要求配备堵漏设施</w:t>
                  </w:r>
                  <w:r>
                    <w:rPr>
                      <w:rFonts w:hint="default" w:ascii="Times New Roman" w:hAnsi="Times New Roman" w:eastAsia="宋体" w:cs="Times New Roman"/>
                      <w:b w:val="0"/>
                      <w:bCs/>
                      <w:color w:val="auto"/>
                      <w:sz w:val="21"/>
                      <w:szCs w:val="21"/>
                      <w:lang w:bidi="ar"/>
                    </w:rPr>
                    <w:t>、报警装置和防风、防晒、防雨设施</w:t>
                  </w:r>
                  <w:r>
                    <w:rPr>
                      <w:rFonts w:hint="eastAsia" w:ascii="Times New Roman" w:cs="Times New Roman"/>
                      <w:b w:val="0"/>
                      <w:bCs/>
                      <w:color w:val="auto"/>
                      <w:sz w:val="21"/>
                      <w:szCs w:val="21"/>
                      <w:lang w:eastAsia="zh-CN" w:bidi="ar"/>
                    </w:rPr>
                    <w:t>；</w:t>
                  </w:r>
                </w:p>
              </w:tc>
              <w:tc>
                <w:tcPr>
                  <w:tcW w:w="570" w:type="pct"/>
                  <w:tcBorders>
                    <w:tl2br w:val="nil"/>
                    <w:tr2bl w:val="nil"/>
                  </w:tcBorders>
                  <w:noWrap w:val="0"/>
                  <w:vAlign w:val="center"/>
                </w:tcPr>
                <w:p w14:paraId="4F6E7F02">
                  <w:pPr>
                    <w:pStyle w:val="37"/>
                    <w:adjustRightInd/>
                    <w:spacing w:line="240" w:lineRule="auto"/>
                    <w:jc w:val="center"/>
                    <w:rPr>
                      <w:rFonts w:hint="default" w:ascii="Times New Roman" w:hAnsi="Times New Roman" w:eastAsia="宋体" w:cs="Times New Roman"/>
                      <w:b w:val="0"/>
                      <w:bCs/>
                      <w:color w:val="auto"/>
                      <w:sz w:val="21"/>
                      <w:szCs w:val="21"/>
                    </w:rPr>
                  </w:pPr>
                  <w:r>
                    <w:rPr>
                      <w:rFonts w:hint="default" w:ascii="Times New Roman" w:hAnsi="Times New Roman" w:eastAsia="宋体" w:cs="Times New Roman"/>
                      <w:b w:val="0"/>
                      <w:bCs/>
                      <w:color w:val="auto"/>
                      <w:sz w:val="21"/>
                      <w:szCs w:val="21"/>
                    </w:rPr>
                    <w:t>符合</w:t>
                  </w:r>
                </w:p>
              </w:tc>
            </w:tr>
            <w:tr w14:paraId="156BDE04">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40" w:hRule="atLeast"/>
              </w:trPr>
              <w:tc>
                <w:tcPr>
                  <w:tcW w:w="289" w:type="pct"/>
                  <w:vMerge w:val="continue"/>
                  <w:tcBorders>
                    <w:tl2br w:val="nil"/>
                    <w:tr2bl w:val="nil"/>
                  </w:tcBorders>
                  <w:noWrap w:val="0"/>
                  <w:vAlign w:val="center"/>
                </w:tcPr>
                <w:p w14:paraId="764C20CC">
                  <w:pPr>
                    <w:pStyle w:val="96"/>
                    <w:framePr w:wrap="auto" w:vAnchor="margin" w:hAnchor="text" w:yAlign="inline"/>
                    <w:spacing w:line="240" w:lineRule="auto"/>
                    <w:rPr>
                      <w:rFonts w:hint="default" w:ascii="Times New Roman" w:hAnsi="Times New Roman" w:eastAsia="宋体" w:cs="Times New Roman"/>
                      <w:bCs/>
                      <w:color w:val="auto"/>
                      <w:sz w:val="21"/>
                      <w:szCs w:val="21"/>
                    </w:rPr>
                  </w:pPr>
                </w:p>
              </w:tc>
              <w:tc>
                <w:tcPr>
                  <w:tcW w:w="1884" w:type="pct"/>
                  <w:tcBorders>
                    <w:tl2br w:val="nil"/>
                    <w:tr2bl w:val="nil"/>
                  </w:tcBorders>
                  <w:noWrap w:val="0"/>
                  <w:vAlign w:val="center"/>
                </w:tcPr>
                <w:p w14:paraId="2DB4447A">
                  <w:pPr>
                    <w:widowControl/>
                    <w:spacing w:line="240" w:lineRule="auto"/>
                    <w:jc w:val="both"/>
                    <w:rPr>
                      <w:rFonts w:hint="default" w:ascii="Times New Roman" w:hAnsi="Times New Roman" w:eastAsia="宋体" w:cs="Times New Roman"/>
                      <w:b w:val="0"/>
                      <w:bCs/>
                      <w:color w:val="auto"/>
                      <w:kern w:val="0"/>
                      <w:sz w:val="21"/>
                      <w:szCs w:val="21"/>
                      <w:lang w:bidi="ar"/>
                    </w:rPr>
                  </w:pPr>
                  <w:r>
                    <w:rPr>
                      <w:rFonts w:hint="default" w:ascii="Times New Roman" w:hAnsi="Times New Roman" w:eastAsia="宋体" w:cs="Times New Roman"/>
                      <w:b w:val="0"/>
                      <w:bCs/>
                      <w:color w:val="auto"/>
                      <w:kern w:val="0"/>
                      <w:sz w:val="21"/>
                      <w:szCs w:val="21"/>
                      <w:lang w:bidi="ar"/>
                    </w:rPr>
                    <w:t>基础防渗层为粘土层的，其厚度应在1米以上，渗透系数应小于1.0×10</w:t>
                  </w:r>
                  <w:r>
                    <w:rPr>
                      <w:rFonts w:hint="default" w:ascii="Times New Roman" w:hAnsi="Times New Roman" w:eastAsia="宋体" w:cs="Times New Roman"/>
                      <w:b w:val="0"/>
                      <w:bCs/>
                      <w:color w:val="auto"/>
                      <w:kern w:val="0"/>
                      <w:sz w:val="21"/>
                      <w:szCs w:val="21"/>
                      <w:vertAlign w:val="superscript"/>
                      <w:lang w:bidi="ar"/>
                    </w:rPr>
                    <w:t>-7</w:t>
                  </w:r>
                  <w:r>
                    <w:rPr>
                      <w:rFonts w:hint="default" w:ascii="Times New Roman" w:hAnsi="Times New Roman" w:eastAsia="宋体" w:cs="Times New Roman"/>
                      <w:b w:val="0"/>
                      <w:bCs/>
                      <w:color w:val="auto"/>
                      <w:kern w:val="0"/>
                      <w:sz w:val="21"/>
                      <w:szCs w:val="21"/>
                      <w:lang w:bidi="ar"/>
                    </w:rPr>
                    <w:t>厘米/秒；基础防渗层也可用厚度在2毫米以上的高密度聚乙烯</w:t>
                  </w:r>
                  <w:r>
                    <w:rPr>
                      <w:rFonts w:hint="eastAsia" w:cs="Times New Roman"/>
                      <w:b w:val="0"/>
                      <w:bCs/>
                      <w:color w:val="auto"/>
                      <w:kern w:val="0"/>
                      <w:sz w:val="21"/>
                      <w:szCs w:val="21"/>
                      <w:lang w:val="en-US" w:eastAsia="zh-CN" w:bidi="ar"/>
                    </w:rPr>
                    <w:t>或者</w:t>
                  </w:r>
                  <w:r>
                    <w:rPr>
                      <w:rFonts w:hint="default" w:ascii="Times New Roman" w:hAnsi="Times New Roman" w:eastAsia="宋体" w:cs="Times New Roman"/>
                      <w:b w:val="0"/>
                      <w:bCs/>
                      <w:color w:val="auto"/>
                      <w:kern w:val="0"/>
                      <w:sz w:val="21"/>
                      <w:szCs w:val="21"/>
                      <w:lang w:bidi="ar"/>
                    </w:rPr>
                    <w:t>其他人工防渗材料组成，渗透系数应小于1.0×10</w:t>
                  </w:r>
                  <w:r>
                    <w:rPr>
                      <w:rFonts w:hint="default" w:ascii="Times New Roman" w:hAnsi="Times New Roman" w:eastAsia="宋体" w:cs="Times New Roman"/>
                      <w:b w:val="0"/>
                      <w:bCs/>
                      <w:color w:val="auto"/>
                      <w:kern w:val="0"/>
                      <w:sz w:val="21"/>
                      <w:szCs w:val="21"/>
                      <w:vertAlign w:val="superscript"/>
                      <w:lang w:bidi="ar"/>
                    </w:rPr>
                    <w:t>-10</w:t>
                  </w:r>
                  <w:r>
                    <w:rPr>
                      <w:rFonts w:hint="default" w:ascii="Times New Roman" w:hAnsi="Times New Roman" w:eastAsia="宋体" w:cs="Times New Roman"/>
                      <w:b w:val="0"/>
                      <w:bCs/>
                      <w:color w:val="auto"/>
                      <w:kern w:val="0"/>
                      <w:sz w:val="21"/>
                      <w:szCs w:val="21"/>
                      <w:lang w:bidi="ar"/>
                    </w:rPr>
                    <w:t>厘米/秒</w:t>
                  </w:r>
                </w:p>
              </w:tc>
              <w:tc>
                <w:tcPr>
                  <w:tcW w:w="2255" w:type="pct"/>
                  <w:tcBorders>
                    <w:tl2br w:val="nil"/>
                    <w:tr2bl w:val="nil"/>
                  </w:tcBorders>
                  <w:noWrap w:val="0"/>
                  <w:vAlign w:val="center"/>
                </w:tcPr>
                <w:p w14:paraId="39D7E2B8">
                  <w:pPr>
                    <w:pStyle w:val="37"/>
                    <w:adjustRightInd/>
                    <w:spacing w:line="240" w:lineRule="auto"/>
                    <w:jc w:val="both"/>
                    <w:rPr>
                      <w:rFonts w:hint="eastAsia" w:ascii="Times New Roman" w:hAnsi="Times New Roman" w:eastAsia="宋体" w:cs="Times New Roman"/>
                      <w:b w:val="0"/>
                      <w:bCs/>
                      <w:color w:val="auto"/>
                      <w:sz w:val="21"/>
                      <w:szCs w:val="21"/>
                      <w:lang w:eastAsia="zh-CN"/>
                    </w:rPr>
                  </w:pPr>
                  <w:r>
                    <w:rPr>
                      <w:rFonts w:hint="default" w:ascii="Times New Roman" w:hAnsi="Times New Roman" w:eastAsia="宋体" w:cs="Times New Roman"/>
                      <w:b w:val="0"/>
                      <w:bCs/>
                      <w:color w:val="auto"/>
                      <w:sz w:val="21"/>
                      <w:szCs w:val="21"/>
                    </w:rPr>
                    <w:t>危废库房采取粘土基础垫层+防渗混凝土硬化地面+HDPE防渗层进行防渗，防渗层渗透系数满足≤10</w:t>
                  </w:r>
                  <w:r>
                    <w:rPr>
                      <w:rFonts w:hint="default" w:ascii="Times New Roman" w:hAnsi="Times New Roman" w:eastAsia="宋体" w:cs="Times New Roman"/>
                      <w:b w:val="0"/>
                      <w:bCs/>
                      <w:color w:val="auto"/>
                      <w:sz w:val="21"/>
                      <w:szCs w:val="21"/>
                      <w:vertAlign w:val="superscript"/>
                    </w:rPr>
                    <w:t>-10</w:t>
                  </w:r>
                  <w:r>
                    <w:rPr>
                      <w:rFonts w:hint="default" w:ascii="Times New Roman" w:hAnsi="Times New Roman" w:eastAsia="宋体" w:cs="Times New Roman"/>
                      <w:b w:val="0"/>
                      <w:bCs/>
                      <w:color w:val="auto"/>
                      <w:sz w:val="21"/>
                      <w:szCs w:val="21"/>
                    </w:rPr>
                    <w:t>cm/s</w:t>
                  </w:r>
                  <w:r>
                    <w:rPr>
                      <w:rFonts w:hint="eastAsia" w:ascii="Times New Roman" w:cs="Times New Roman"/>
                      <w:b w:val="0"/>
                      <w:bCs/>
                      <w:color w:val="auto"/>
                      <w:sz w:val="21"/>
                      <w:szCs w:val="21"/>
                      <w:lang w:eastAsia="zh-CN"/>
                    </w:rPr>
                    <w:t>；</w:t>
                  </w:r>
                </w:p>
              </w:tc>
              <w:tc>
                <w:tcPr>
                  <w:tcW w:w="570" w:type="pct"/>
                  <w:tcBorders>
                    <w:tl2br w:val="nil"/>
                    <w:tr2bl w:val="nil"/>
                  </w:tcBorders>
                  <w:noWrap w:val="0"/>
                  <w:vAlign w:val="center"/>
                </w:tcPr>
                <w:p w14:paraId="7E29DD8E">
                  <w:pPr>
                    <w:pStyle w:val="37"/>
                    <w:adjustRightInd/>
                    <w:spacing w:line="240" w:lineRule="auto"/>
                    <w:jc w:val="center"/>
                    <w:rPr>
                      <w:rFonts w:hint="default" w:ascii="Times New Roman" w:hAnsi="Times New Roman" w:eastAsia="宋体" w:cs="Times New Roman"/>
                      <w:b w:val="0"/>
                      <w:bCs/>
                      <w:color w:val="auto"/>
                      <w:sz w:val="21"/>
                      <w:szCs w:val="21"/>
                    </w:rPr>
                  </w:pPr>
                  <w:r>
                    <w:rPr>
                      <w:rFonts w:hint="default" w:ascii="Times New Roman" w:hAnsi="Times New Roman" w:eastAsia="宋体" w:cs="Times New Roman"/>
                      <w:b w:val="0"/>
                      <w:bCs/>
                      <w:color w:val="auto"/>
                      <w:sz w:val="21"/>
                      <w:szCs w:val="21"/>
                    </w:rPr>
                    <w:t>符合</w:t>
                  </w:r>
                </w:p>
              </w:tc>
            </w:tr>
            <w:tr w14:paraId="407269AF">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40" w:hRule="atLeast"/>
              </w:trPr>
              <w:tc>
                <w:tcPr>
                  <w:tcW w:w="289" w:type="pct"/>
                  <w:vMerge w:val="continue"/>
                  <w:tcBorders>
                    <w:tl2br w:val="nil"/>
                    <w:tr2bl w:val="nil"/>
                  </w:tcBorders>
                  <w:noWrap w:val="0"/>
                  <w:vAlign w:val="center"/>
                </w:tcPr>
                <w:p w14:paraId="7284264B">
                  <w:pPr>
                    <w:pStyle w:val="96"/>
                    <w:framePr w:wrap="auto" w:vAnchor="margin" w:hAnchor="text" w:yAlign="inline"/>
                    <w:spacing w:line="240" w:lineRule="auto"/>
                    <w:rPr>
                      <w:rFonts w:hint="default" w:ascii="Times New Roman" w:hAnsi="Times New Roman" w:eastAsia="宋体" w:cs="Times New Roman"/>
                      <w:bCs/>
                      <w:color w:val="auto"/>
                      <w:sz w:val="21"/>
                      <w:szCs w:val="21"/>
                    </w:rPr>
                  </w:pPr>
                </w:p>
              </w:tc>
              <w:tc>
                <w:tcPr>
                  <w:tcW w:w="1884" w:type="pct"/>
                  <w:tcBorders>
                    <w:tl2br w:val="nil"/>
                    <w:tr2bl w:val="nil"/>
                  </w:tcBorders>
                  <w:noWrap w:val="0"/>
                  <w:vAlign w:val="center"/>
                </w:tcPr>
                <w:p w14:paraId="210A1ED2">
                  <w:pPr>
                    <w:widowControl/>
                    <w:spacing w:line="240" w:lineRule="auto"/>
                    <w:jc w:val="both"/>
                    <w:rPr>
                      <w:rFonts w:hint="default" w:ascii="Times New Roman" w:hAnsi="Times New Roman" w:eastAsia="宋体" w:cs="Times New Roman"/>
                      <w:b w:val="0"/>
                      <w:bCs/>
                      <w:color w:val="auto"/>
                      <w:kern w:val="0"/>
                      <w:sz w:val="21"/>
                      <w:szCs w:val="21"/>
                      <w:lang w:bidi="ar"/>
                    </w:rPr>
                  </w:pPr>
                  <w:r>
                    <w:rPr>
                      <w:rFonts w:hint="default" w:ascii="Times New Roman" w:hAnsi="Times New Roman" w:eastAsia="宋体" w:cs="Times New Roman"/>
                      <w:b w:val="0"/>
                      <w:bCs/>
                      <w:color w:val="auto"/>
                      <w:kern w:val="0"/>
                      <w:sz w:val="21"/>
                      <w:szCs w:val="21"/>
                      <w:lang w:bidi="ar"/>
                    </w:rPr>
                    <w:t>须有泄漏液体收集装置及气体导出口和气体净化装置</w:t>
                  </w:r>
                </w:p>
              </w:tc>
              <w:tc>
                <w:tcPr>
                  <w:tcW w:w="2255" w:type="pct"/>
                  <w:tcBorders>
                    <w:tl2br w:val="nil"/>
                    <w:tr2bl w:val="nil"/>
                  </w:tcBorders>
                  <w:noWrap w:val="0"/>
                  <w:vAlign w:val="center"/>
                </w:tcPr>
                <w:p w14:paraId="0E41FE24">
                  <w:pPr>
                    <w:pStyle w:val="37"/>
                    <w:adjustRightInd/>
                    <w:spacing w:line="240" w:lineRule="auto"/>
                    <w:jc w:val="both"/>
                    <w:rPr>
                      <w:rFonts w:hint="eastAsia" w:ascii="Times New Roman" w:hAnsi="Times New Roman" w:eastAsia="宋体" w:cs="Times New Roman"/>
                      <w:b w:val="0"/>
                      <w:bCs/>
                      <w:color w:val="auto"/>
                      <w:sz w:val="21"/>
                      <w:szCs w:val="21"/>
                      <w:lang w:eastAsia="zh-CN"/>
                    </w:rPr>
                  </w:pPr>
                  <w:r>
                    <w:rPr>
                      <w:rFonts w:hint="default" w:ascii="Times New Roman" w:hAnsi="Times New Roman" w:eastAsia="宋体" w:cs="Times New Roman"/>
                      <w:b w:val="0"/>
                      <w:bCs/>
                      <w:color w:val="auto"/>
                      <w:sz w:val="21"/>
                      <w:szCs w:val="21"/>
                    </w:rPr>
                    <w:t>在库房内四周设置泄漏物收集沟，并在库房内一墙角设置收集池；库房内设置集气管道，连接至两级活性炭吸附装置净化处理</w:t>
                  </w:r>
                  <w:r>
                    <w:rPr>
                      <w:rFonts w:hint="eastAsia" w:ascii="Times New Roman" w:cs="Times New Roman"/>
                      <w:b w:val="0"/>
                      <w:bCs/>
                      <w:color w:val="auto"/>
                      <w:sz w:val="21"/>
                      <w:szCs w:val="21"/>
                      <w:lang w:eastAsia="zh-CN"/>
                    </w:rPr>
                    <w:t>；</w:t>
                  </w:r>
                </w:p>
              </w:tc>
              <w:tc>
                <w:tcPr>
                  <w:tcW w:w="570" w:type="pct"/>
                  <w:tcBorders>
                    <w:tl2br w:val="nil"/>
                    <w:tr2bl w:val="nil"/>
                  </w:tcBorders>
                  <w:noWrap w:val="0"/>
                  <w:vAlign w:val="center"/>
                </w:tcPr>
                <w:p w14:paraId="20C3D4D0">
                  <w:pPr>
                    <w:pStyle w:val="37"/>
                    <w:adjustRightInd/>
                    <w:spacing w:line="240" w:lineRule="auto"/>
                    <w:jc w:val="center"/>
                    <w:rPr>
                      <w:rFonts w:hint="default" w:ascii="Times New Roman" w:hAnsi="Times New Roman" w:eastAsia="宋体" w:cs="Times New Roman"/>
                      <w:b w:val="0"/>
                      <w:bCs/>
                      <w:color w:val="auto"/>
                      <w:sz w:val="21"/>
                      <w:szCs w:val="21"/>
                    </w:rPr>
                  </w:pPr>
                  <w:r>
                    <w:rPr>
                      <w:rFonts w:hint="default" w:ascii="Times New Roman" w:hAnsi="Times New Roman" w:eastAsia="宋体" w:cs="Times New Roman"/>
                      <w:b w:val="0"/>
                      <w:bCs/>
                      <w:color w:val="auto"/>
                      <w:sz w:val="21"/>
                      <w:szCs w:val="21"/>
                    </w:rPr>
                    <w:t>符合</w:t>
                  </w:r>
                </w:p>
              </w:tc>
            </w:tr>
            <w:tr w14:paraId="374FF635">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40" w:hRule="atLeast"/>
              </w:trPr>
              <w:tc>
                <w:tcPr>
                  <w:tcW w:w="289" w:type="pct"/>
                  <w:vMerge w:val="continue"/>
                  <w:tcBorders>
                    <w:tl2br w:val="nil"/>
                    <w:tr2bl w:val="nil"/>
                  </w:tcBorders>
                  <w:noWrap w:val="0"/>
                  <w:vAlign w:val="center"/>
                </w:tcPr>
                <w:p w14:paraId="1CAFCA16">
                  <w:pPr>
                    <w:pStyle w:val="96"/>
                    <w:framePr w:wrap="auto" w:vAnchor="margin" w:hAnchor="text" w:yAlign="inline"/>
                    <w:spacing w:line="240" w:lineRule="auto"/>
                    <w:rPr>
                      <w:rFonts w:hint="default" w:ascii="Times New Roman" w:hAnsi="Times New Roman" w:eastAsia="宋体" w:cs="Times New Roman"/>
                      <w:bCs/>
                      <w:color w:val="auto"/>
                      <w:sz w:val="21"/>
                      <w:szCs w:val="21"/>
                    </w:rPr>
                  </w:pPr>
                </w:p>
              </w:tc>
              <w:tc>
                <w:tcPr>
                  <w:tcW w:w="1884" w:type="pct"/>
                  <w:tcBorders>
                    <w:tl2br w:val="nil"/>
                    <w:tr2bl w:val="nil"/>
                  </w:tcBorders>
                  <w:noWrap w:val="0"/>
                  <w:vAlign w:val="center"/>
                </w:tcPr>
                <w:p w14:paraId="50D99901">
                  <w:pPr>
                    <w:widowControl/>
                    <w:spacing w:line="240" w:lineRule="auto"/>
                    <w:jc w:val="both"/>
                    <w:rPr>
                      <w:rFonts w:hint="default" w:ascii="Times New Roman" w:hAnsi="Times New Roman" w:eastAsia="宋体" w:cs="Times New Roman"/>
                      <w:b w:val="0"/>
                      <w:bCs/>
                      <w:color w:val="auto"/>
                      <w:kern w:val="0"/>
                      <w:sz w:val="21"/>
                      <w:szCs w:val="21"/>
                      <w:lang w:bidi="ar"/>
                    </w:rPr>
                  </w:pPr>
                  <w:r>
                    <w:rPr>
                      <w:rFonts w:hint="default" w:ascii="Times New Roman" w:hAnsi="Times New Roman" w:eastAsia="宋体" w:cs="Times New Roman"/>
                      <w:b w:val="0"/>
                      <w:bCs/>
                      <w:color w:val="auto"/>
                      <w:kern w:val="0"/>
                      <w:sz w:val="21"/>
                      <w:szCs w:val="21"/>
                      <w:lang w:bidi="ar"/>
                    </w:rPr>
                    <w:t>用于存放液体、半固体危险废物的地方，还须有耐腐蚀的硬化地面，地面无裂隙</w:t>
                  </w:r>
                </w:p>
              </w:tc>
              <w:tc>
                <w:tcPr>
                  <w:tcW w:w="2255" w:type="pct"/>
                  <w:tcBorders>
                    <w:tl2br w:val="nil"/>
                    <w:tr2bl w:val="nil"/>
                  </w:tcBorders>
                  <w:noWrap w:val="0"/>
                  <w:vAlign w:val="center"/>
                </w:tcPr>
                <w:p w14:paraId="67ADA2F4">
                  <w:pPr>
                    <w:pStyle w:val="37"/>
                    <w:adjustRightInd/>
                    <w:spacing w:line="240" w:lineRule="auto"/>
                    <w:jc w:val="both"/>
                    <w:rPr>
                      <w:rFonts w:hint="eastAsia" w:ascii="Times New Roman" w:hAnsi="Times New Roman" w:eastAsia="宋体" w:cs="Times New Roman"/>
                      <w:b w:val="0"/>
                      <w:bCs/>
                      <w:color w:val="auto"/>
                      <w:sz w:val="21"/>
                      <w:szCs w:val="21"/>
                      <w:lang w:eastAsia="zh-CN"/>
                    </w:rPr>
                  </w:pPr>
                  <w:r>
                    <w:rPr>
                      <w:rFonts w:hint="eastAsia" w:ascii="Times New Roman" w:cs="Times New Roman"/>
                      <w:b w:val="0"/>
                      <w:bCs/>
                      <w:color w:val="auto"/>
                      <w:sz w:val="21"/>
                      <w:szCs w:val="21"/>
                      <w:lang w:val="en-US" w:eastAsia="zh-CN"/>
                    </w:rPr>
                    <w:t>项目</w:t>
                  </w:r>
                  <w:r>
                    <w:rPr>
                      <w:rFonts w:hint="default" w:ascii="Times New Roman" w:hAnsi="Times New Roman" w:eastAsia="宋体" w:cs="Times New Roman"/>
                      <w:b w:val="0"/>
                      <w:bCs/>
                      <w:color w:val="auto"/>
                      <w:sz w:val="21"/>
                      <w:szCs w:val="21"/>
                    </w:rPr>
                    <w:t>废矿物油为液体危险废物，危废库地面采取防渗、防腐措施，地面无裂痕</w:t>
                  </w:r>
                  <w:r>
                    <w:rPr>
                      <w:rFonts w:hint="eastAsia" w:ascii="Times New Roman" w:cs="Times New Roman"/>
                      <w:b w:val="0"/>
                      <w:bCs/>
                      <w:color w:val="auto"/>
                      <w:sz w:val="21"/>
                      <w:szCs w:val="21"/>
                      <w:lang w:eastAsia="zh-CN"/>
                    </w:rPr>
                    <w:t>；</w:t>
                  </w:r>
                </w:p>
              </w:tc>
              <w:tc>
                <w:tcPr>
                  <w:tcW w:w="570" w:type="pct"/>
                  <w:tcBorders>
                    <w:tl2br w:val="nil"/>
                    <w:tr2bl w:val="nil"/>
                  </w:tcBorders>
                  <w:noWrap w:val="0"/>
                  <w:vAlign w:val="center"/>
                </w:tcPr>
                <w:p w14:paraId="3B18F32A">
                  <w:pPr>
                    <w:pStyle w:val="37"/>
                    <w:adjustRightInd/>
                    <w:spacing w:line="240" w:lineRule="auto"/>
                    <w:jc w:val="center"/>
                    <w:rPr>
                      <w:rFonts w:hint="default" w:ascii="Times New Roman" w:hAnsi="Times New Roman" w:eastAsia="宋体" w:cs="Times New Roman"/>
                      <w:b w:val="0"/>
                      <w:bCs/>
                      <w:color w:val="auto"/>
                      <w:sz w:val="21"/>
                      <w:szCs w:val="21"/>
                    </w:rPr>
                  </w:pPr>
                  <w:r>
                    <w:rPr>
                      <w:rFonts w:hint="default" w:ascii="Times New Roman" w:hAnsi="Times New Roman" w:eastAsia="宋体" w:cs="Times New Roman"/>
                      <w:b w:val="0"/>
                      <w:bCs/>
                      <w:color w:val="auto"/>
                      <w:sz w:val="21"/>
                      <w:szCs w:val="21"/>
                    </w:rPr>
                    <w:t>符合</w:t>
                  </w:r>
                </w:p>
              </w:tc>
            </w:tr>
            <w:tr w14:paraId="47F7B863">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40" w:hRule="atLeast"/>
              </w:trPr>
              <w:tc>
                <w:tcPr>
                  <w:tcW w:w="289" w:type="pct"/>
                  <w:vMerge w:val="continue"/>
                  <w:tcBorders>
                    <w:tl2br w:val="nil"/>
                    <w:tr2bl w:val="nil"/>
                  </w:tcBorders>
                  <w:noWrap w:val="0"/>
                  <w:vAlign w:val="center"/>
                </w:tcPr>
                <w:p w14:paraId="371D727D">
                  <w:pPr>
                    <w:pStyle w:val="96"/>
                    <w:framePr w:wrap="auto" w:vAnchor="margin" w:hAnchor="text" w:yAlign="inline"/>
                    <w:spacing w:line="240" w:lineRule="auto"/>
                    <w:rPr>
                      <w:rFonts w:hint="default" w:ascii="Times New Roman" w:hAnsi="Times New Roman" w:eastAsia="宋体" w:cs="Times New Roman"/>
                      <w:bCs/>
                      <w:color w:val="auto"/>
                      <w:sz w:val="21"/>
                      <w:szCs w:val="21"/>
                    </w:rPr>
                  </w:pPr>
                </w:p>
              </w:tc>
              <w:tc>
                <w:tcPr>
                  <w:tcW w:w="1884" w:type="pct"/>
                  <w:tcBorders>
                    <w:tl2br w:val="nil"/>
                    <w:tr2bl w:val="nil"/>
                  </w:tcBorders>
                  <w:noWrap w:val="0"/>
                  <w:vAlign w:val="center"/>
                </w:tcPr>
                <w:p w14:paraId="3F764F0D">
                  <w:pPr>
                    <w:widowControl/>
                    <w:spacing w:line="240" w:lineRule="auto"/>
                    <w:jc w:val="both"/>
                    <w:rPr>
                      <w:rFonts w:hint="default" w:ascii="Times New Roman" w:hAnsi="Times New Roman" w:eastAsia="宋体" w:cs="Times New Roman"/>
                      <w:b w:val="0"/>
                      <w:bCs/>
                      <w:color w:val="auto"/>
                      <w:kern w:val="0"/>
                      <w:sz w:val="21"/>
                      <w:szCs w:val="21"/>
                      <w:lang w:bidi="ar"/>
                    </w:rPr>
                  </w:pPr>
                  <w:r>
                    <w:rPr>
                      <w:rFonts w:hint="default" w:ascii="Times New Roman" w:hAnsi="Times New Roman" w:eastAsia="宋体" w:cs="Times New Roman"/>
                      <w:b w:val="0"/>
                      <w:bCs/>
                      <w:color w:val="auto"/>
                      <w:kern w:val="0"/>
                      <w:sz w:val="21"/>
                      <w:szCs w:val="21"/>
                      <w:lang w:bidi="ar"/>
                    </w:rPr>
                    <w:t>不相容的危险废物堆放区必须有隔离间隔断</w:t>
                  </w:r>
                </w:p>
              </w:tc>
              <w:tc>
                <w:tcPr>
                  <w:tcW w:w="2255" w:type="pct"/>
                  <w:tcBorders>
                    <w:tl2br w:val="nil"/>
                    <w:tr2bl w:val="nil"/>
                  </w:tcBorders>
                  <w:noWrap w:val="0"/>
                  <w:vAlign w:val="center"/>
                </w:tcPr>
                <w:p w14:paraId="4F6A5DFB">
                  <w:pPr>
                    <w:pStyle w:val="37"/>
                    <w:adjustRightInd/>
                    <w:spacing w:line="240" w:lineRule="auto"/>
                    <w:jc w:val="both"/>
                    <w:rPr>
                      <w:rFonts w:hint="default" w:ascii="Times New Roman" w:hAnsi="Times New Roman" w:eastAsia="宋体" w:cs="Times New Roman"/>
                      <w:b w:val="0"/>
                      <w:bCs/>
                      <w:color w:val="auto"/>
                      <w:sz w:val="21"/>
                      <w:szCs w:val="21"/>
                    </w:rPr>
                  </w:pPr>
                  <w:r>
                    <w:rPr>
                      <w:rFonts w:hint="default" w:ascii="Times New Roman" w:hAnsi="Times New Roman" w:eastAsia="宋体" w:cs="Times New Roman"/>
                      <w:b w:val="0"/>
                      <w:bCs/>
                      <w:color w:val="auto"/>
                      <w:sz w:val="21"/>
                      <w:szCs w:val="21"/>
                    </w:rPr>
                    <w:t>项目</w:t>
                  </w:r>
                  <w:r>
                    <w:rPr>
                      <w:rFonts w:hint="eastAsia" w:ascii="Times New Roman" w:cs="Times New Roman"/>
                      <w:b w:val="0"/>
                      <w:bCs/>
                      <w:color w:val="auto"/>
                      <w:sz w:val="21"/>
                      <w:szCs w:val="21"/>
                      <w:lang w:val="en-US" w:eastAsia="zh-CN"/>
                    </w:rPr>
                    <w:t>仅收集</w:t>
                  </w:r>
                  <w:r>
                    <w:rPr>
                      <w:rFonts w:hint="default" w:ascii="Times New Roman" w:hAnsi="Times New Roman" w:eastAsia="宋体" w:cs="Times New Roman"/>
                      <w:b w:val="0"/>
                      <w:bCs/>
                      <w:color w:val="auto"/>
                      <w:sz w:val="21"/>
                      <w:szCs w:val="21"/>
                    </w:rPr>
                    <w:t>废矿物油</w:t>
                  </w:r>
                  <w:r>
                    <w:rPr>
                      <w:rFonts w:hint="eastAsia" w:ascii="Times New Roman" w:cs="Times New Roman"/>
                      <w:b w:val="0"/>
                      <w:bCs/>
                      <w:color w:val="auto"/>
                      <w:sz w:val="21"/>
                      <w:szCs w:val="21"/>
                      <w:lang w:eastAsia="zh-CN"/>
                    </w:rPr>
                    <w:t>，</w:t>
                  </w:r>
                  <w:r>
                    <w:rPr>
                      <w:rFonts w:hint="eastAsia" w:cs="Times New Roman"/>
                      <w:b w:val="0"/>
                      <w:bCs/>
                      <w:color w:val="auto"/>
                      <w:sz w:val="21"/>
                      <w:szCs w:val="21"/>
                      <w:lang w:val="en-US" w:eastAsia="zh-CN"/>
                    </w:rPr>
                    <w:t>存储</w:t>
                  </w:r>
                  <w:r>
                    <w:rPr>
                      <w:rFonts w:hint="default" w:ascii="Times New Roman" w:hAnsi="Times New Roman" w:eastAsia="宋体" w:cs="Times New Roman"/>
                      <w:b w:val="0"/>
                      <w:bCs/>
                      <w:color w:val="auto"/>
                      <w:sz w:val="21"/>
                      <w:szCs w:val="21"/>
                    </w:rPr>
                    <w:t>采用</w:t>
                  </w:r>
                  <w:r>
                    <w:rPr>
                      <w:rFonts w:hint="eastAsia" w:ascii="Times New Roman" w:cs="Times New Roman"/>
                      <w:b w:val="0"/>
                      <w:bCs/>
                      <w:color w:val="auto"/>
                      <w:sz w:val="21"/>
                      <w:szCs w:val="21"/>
                      <w:lang w:eastAsia="zh-CN"/>
                    </w:rPr>
                    <w:t>碳钢</w:t>
                  </w:r>
                  <w:r>
                    <w:rPr>
                      <w:rFonts w:hint="default" w:ascii="Times New Roman" w:hAnsi="Times New Roman" w:eastAsia="宋体" w:cs="Times New Roman"/>
                      <w:b w:val="0"/>
                      <w:bCs/>
                      <w:color w:val="auto"/>
                      <w:sz w:val="21"/>
                      <w:szCs w:val="21"/>
                    </w:rPr>
                    <w:t>储油罐</w:t>
                  </w:r>
                  <w:r>
                    <w:rPr>
                      <w:rFonts w:hint="eastAsia" w:cs="Times New Roman"/>
                      <w:b w:val="0"/>
                      <w:bCs/>
                      <w:color w:val="auto"/>
                      <w:sz w:val="21"/>
                      <w:szCs w:val="21"/>
                      <w:lang w:eastAsia="zh-CN"/>
                    </w:rPr>
                    <w:t>；</w:t>
                  </w:r>
                </w:p>
              </w:tc>
              <w:tc>
                <w:tcPr>
                  <w:tcW w:w="570" w:type="pct"/>
                  <w:tcBorders>
                    <w:tl2br w:val="nil"/>
                    <w:tr2bl w:val="nil"/>
                  </w:tcBorders>
                  <w:noWrap w:val="0"/>
                  <w:vAlign w:val="center"/>
                </w:tcPr>
                <w:p w14:paraId="5983AC30">
                  <w:pPr>
                    <w:pStyle w:val="37"/>
                    <w:adjustRightInd/>
                    <w:spacing w:line="240" w:lineRule="auto"/>
                    <w:jc w:val="center"/>
                    <w:rPr>
                      <w:rFonts w:hint="default" w:ascii="Times New Roman" w:hAnsi="Times New Roman" w:eastAsia="宋体" w:cs="Times New Roman"/>
                      <w:b w:val="0"/>
                      <w:bCs/>
                      <w:color w:val="auto"/>
                      <w:sz w:val="21"/>
                      <w:szCs w:val="21"/>
                    </w:rPr>
                  </w:pPr>
                  <w:r>
                    <w:rPr>
                      <w:rFonts w:hint="default" w:ascii="Times New Roman" w:hAnsi="Times New Roman" w:eastAsia="宋体" w:cs="Times New Roman"/>
                      <w:b w:val="0"/>
                      <w:bCs/>
                      <w:color w:val="auto"/>
                      <w:sz w:val="21"/>
                      <w:szCs w:val="21"/>
                    </w:rPr>
                    <w:t>符合</w:t>
                  </w:r>
                </w:p>
              </w:tc>
            </w:tr>
            <w:tr w14:paraId="43251AD2">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40" w:hRule="atLeast"/>
              </w:trPr>
              <w:tc>
                <w:tcPr>
                  <w:tcW w:w="289" w:type="pct"/>
                  <w:vMerge w:val="continue"/>
                  <w:tcBorders>
                    <w:tl2br w:val="nil"/>
                    <w:tr2bl w:val="nil"/>
                  </w:tcBorders>
                  <w:noWrap w:val="0"/>
                  <w:vAlign w:val="center"/>
                </w:tcPr>
                <w:p w14:paraId="7D68CD77">
                  <w:pPr>
                    <w:pStyle w:val="96"/>
                    <w:framePr w:wrap="auto" w:vAnchor="margin" w:hAnchor="text" w:yAlign="inline"/>
                    <w:spacing w:line="240" w:lineRule="auto"/>
                    <w:rPr>
                      <w:rFonts w:hint="default" w:ascii="Times New Roman" w:hAnsi="Times New Roman" w:eastAsia="宋体" w:cs="Times New Roman"/>
                      <w:bCs/>
                      <w:color w:val="auto"/>
                      <w:sz w:val="21"/>
                      <w:szCs w:val="21"/>
                    </w:rPr>
                  </w:pPr>
                </w:p>
              </w:tc>
              <w:tc>
                <w:tcPr>
                  <w:tcW w:w="1884" w:type="pct"/>
                  <w:tcBorders>
                    <w:tl2br w:val="nil"/>
                    <w:tr2bl w:val="nil"/>
                  </w:tcBorders>
                  <w:noWrap w:val="0"/>
                  <w:vAlign w:val="center"/>
                </w:tcPr>
                <w:p w14:paraId="78D74DF8">
                  <w:pPr>
                    <w:widowControl/>
                    <w:spacing w:line="240" w:lineRule="auto"/>
                    <w:jc w:val="both"/>
                    <w:rPr>
                      <w:rFonts w:hint="default" w:ascii="Times New Roman" w:hAnsi="Times New Roman" w:eastAsia="宋体" w:cs="Times New Roman"/>
                      <w:b w:val="0"/>
                      <w:bCs/>
                      <w:color w:val="auto"/>
                      <w:kern w:val="0"/>
                      <w:sz w:val="21"/>
                      <w:szCs w:val="21"/>
                      <w:lang w:bidi="ar"/>
                    </w:rPr>
                  </w:pPr>
                  <w:r>
                    <w:rPr>
                      <w:rFonts w:hint="default" w:ascii="Times New Roman" w:hAnsi="Times New Roman" w:eastAsia="宋体" w:cs="Times New Roman"/>
                      <w:b w:val="0"/>
                      <w:bCs/>
                      <w:color w:val="auto"/>
                      <w:kern w:val="0"/>
                      <w:sz w:val="21"/>
                      <w:szCs w:val="21"/>
                      <w:lang w:bidi="ar"/>
                    </w:rPr>
                    <w:t>衬层上需建有渗滤液收集清除系统、径流疏导系统、雨水收集池</w:t>
                  </w:r>
                </w:p>
              </w:tc>
              <w:tc>
                <w:tcPr>
                  <w:tcW w:w="2255" w:type="pct"/>
                  <w:tcBorders>
                    <w:tl2br w:val="nil"/>
                    <w:tr2bl w:val="nil"/>
                  </w:tcBorders>
                  <w:noWrap w:val="0"/>
                  <w:vAlign w:val="center"/>
                </w:tcPr>
                <w:p w14:paraId="490A25CA">
                  <w:pPr>
                    <w:pStyle w:val="37"/>
                    <w:adjustRightInd/>
                    <w:spacing w:line="240" w:lineRule="auto"/>
                    <w:jc w:val="both"/>
                    <w:rPr>
                      <w:rFonts w:hint="eastAsia" w:ascii="Times New Roman" w:hAnsi="Times New Roman" w:eastAsia="宋体" w:cs="Times New Roman"/>
                      <w:b w:val="0"/>
                      <w:bCs/>
                      <w:color w:val="auto"/>
                      <w:sz w:val="21"/>
                      <w:szCs w:val="21"/>
                      <w:lang w:eastAsia="zh-CN"/>
                    </w:rPr>
                  </w:pPr>
                  <w:r>
                    <w:rPr>
                      <w:rFonts w:hint="default" w:ascii="Times New Roman" w:hAnsi="Times New Roman" w:eastAsia="宋体" w:cs="Times New Roman"/>
                      <w:b w:val="0"/>
                      <w:bCs/>
                      <w:color w:val="auto"/>
                      <w:sz w:val="21"/>
                      <w:szCs w:val="21"/>
                    </w:rPr>
                    <w:t>项目废矿物油</w:t>
                  </w:r>
                  <w:r>
                    <w:rPr>
                      <w:rFonts w:hint="eastAsia" w:ascii="Times New Roman" w:cs="Times New Roman"/>
                      <w:b w:val="0"/>
                      <w:bCs/>
                      <w:color w:val="auto"/>
                      <w:sz w:val="21"/>
                      <w:szCs w:val="21"/>
                      <w:lang w:eastAsia="zh-CN"/>
                    </w:rPr>
                    <w:t>，</w:t>
                  </w:r>
                  <w:r>
                    <w:rPr>
                      <w:rFonts w:hint="eastAsia" w:cs="Times New Roman"/>
                      <w:b w:val="0"/>
                      <w:bCs/>
                      <w:color w:val="auto"/>
                      <w:sz w:val="21"/>
                      <w:szCs w:val="21"/>
                      <w:lang w:val="en-US" w:eastAsia="zh-CN"/>
                    </w:rPr>
                    <w:t>存储</w:t>
                  </w:r>
                  <w:r>
                    <w:rPr>
                      <w:rFonts w:hint="default" w:ascii="Times New Roman" w:hAnsi="Times New Roman" w:eastAsia="宋体" w:cs="Times New Roman"/>
                      <w:b w:val="0"/>
                      <w:bCs/>
                      <w:color w:val="auto"/>
                      <w:sz w:val="21"/>
                      <w:szCs w:val="21"/>
                    </w:rPr>
                    <w:t>采用</w:t>
                  </w:r>
                  <w:r>
                    <w:rPr>
                      <w:rFonts w:hint="eastAsia" w:ascii="Times New Roman" w:cs="Times New Roman"/>
                      <w:b w:val="0"/>
                      <w:bCs/>
                      <w:color w:val="auto"/>
                      <w:sz w:val="21"/>
                      <w:szCs w:val="21"/>
                      <w:lang w:eastAsia="zh-CN"/>
                    </w:rPr>
                    <w:t>碳钢</w:t>
                  </w:r>
                  <w:r>
                    <w:rPr>
                      <w:rFonts w:hint="default" w:ascii="Times New Roman" w:hAnsi="Times New Roman" w:eastAsia="宋体" w:cs="Times New Roman"/>
                      <w:b w:val="0"/>
                      <w:bCs/>
                      <w:color w:val="auto"/>
                      <w:sz w:val="21"/>
                      <w:szCs w:val="21"/>
                    </w:rPr>
                    <w:t>储油罐</w:t>
                  </w:r>
                  <w:r>
                    <w:rPr>
                      <w:rFonts w:hint="eastAsia" w:cs="Times New Roman"/>
                      <w:b w:val="0"/>
                      <w:bCs/>
                      <w:color w:val="auto"/>
                      <w:sz w:val="21"/>
                      <w:szCs w:val="21"/>
                      <w:lang w:eastAsia="zh-CN"/>
                    </w:rPr>
                    <w:t>，</w:t>
                  </w:r>
                  <w:r>
                    <w:rPr>
                      <w:rFonts w:hint="default" w:ascii="Times New Roman" w:hAnsi="Times New Roman" w:eastAsia="宋体" w:cs="Times New Roman"/>
                      <w:b w:val="0"/>
                      <w:bCs/>
                      <w:color w:val="auto"/>
                      <w:sz w:val="21"/>
                      <w:szCs w:val="21"/>
                    </w:rPr>
                    <w:t>无渗滤液产生</w:t>
                  </w:r>
                  <w:r>
                    <w:rPr>
                      <w:rFonts w:hint="eastAsia" w:ascii="Times New Roman" w:cs="Times New Roman"/>
                      <w:b w:val="0"/>
                      <w:bCs/>
                      <w:color w:val="auto"/>
                      <w:sz w:val="21"/>
                      <w:szCs w:val="21"/>
                      <w:lang w:eastAsia="zh-CN"/>
                    </w:rPr>
                    <w:t>；</w:t>
                  </w:r>
                </w:p>
              </w:tc>
              <w:tc>
                <w:tcPr>
                  <w:tcW w:w="570" w:type="pct"/>
                  <w:tcBorders>
                    <w:tl2br w:val="nil"/>
                    <w:tr2bl w:val="nil"/>
                  </w:tcBorders>
                  <w:noWrap w:val="0"/>
                  <w:vAlign w:val="center"/>
                </w:tcPr>
                <w:p w14:paraId="7FB54845">
                  <w:pPr>
                    <w:pStyle w:val="37"/>
                    <w:adjustRightInd/>
                    <w:spacing w:line="240" w:lineRule="auto"/>
                    <w:jc w:val="center"/>
                    <w:rPr>
                      <w:rFonts w:hint="default" w:ascii="Times New Roman" w:hAnsi="Times New Roman" w:eastAsia="宋体" w:cs="Times New Roman"/>
                      <w:b w:val="0"/>
                      <w:bCs/>
                      <w:color w:val="auto"/>
                      <w:sz w:val="21"/>
                      <w:szCs w:val="21"/>
                    </w:rPr>
                  </w:pPr>
                  <w:r>
                    <w:rPr>
                      <w:rFonts w:hint="default" w:ascii="Times New Roman" w:hAnsi="Times New Roman" w:eastAsia="宋体" w:cs="Times New Roman"/>
                      <w:b w:val="0"/>
                      <w:bCs/>
                      <w:color w:val="auto"/>
                      <w:sz w:val="21"/>
                      <w:szCs w:val="21"/>
                    </w:rPr>
                    <w:t>符合</w:t>
                  </w:r>
                </w:p>
              </w:tc>
            </w:tr>
            <w:tr w14:paraId="6512BC4F">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40" w:hRule="atLeast"/>
              </w:trPr>
              <w:tc>
                <w:tcPr>
                  <w:tcW w:w="289" w:type="pct"/>
                  <w:vMerge w:val="continue"/>
                  <w:tcBorders>
                    <w:tl2br w:val="nil"/>
                    <w:tr2bl w:val="nil"/>
                  </w:tcBorders>
                  <w:noWrap w:val="0"/>
                  <w:vAlign w:val="center"/>
                </w:tcPr>
                <w:p w14:paraId="49E1F228">
                  <w:pPr>
                    <w:pStyle w:val="96"/>
                    <w:framePr w:wrap="auto" w:vAnchor="margin" w:hAnchor="text" w:yAlign="inline"/>
                    <w:spacing w:line="240" w:lineRule="auto"/>
                    <w:rPr>
                      <w:rFonts w:hint="default" w:ascii="Times New Roman" w:hAnsi="Times New Roman" w:eastAsia="宋体" w:cs="Times New Roman"/>
                      <w:bCs/>
                      <w:color w:val="auto"/>
                      <w:sz w:val="21"/>
                      <w:szCs w:val="21"/>
                    </w:rPr>
                  </w:pPr>
                </w:p>
              </w:tc>
              <w:tc>
                <w:tcPr>
                  <w:tcW w:w="1884" w:type="pct"/>
                  <w:tcBorders>
                    <w:tl2br w:val="nil"/>
                    <w:tr2bl w:val="nil"/>
                  </w:tcBorders>
                  <w:noWrap w:val="0"/>
                  <w:vAlign w:val="center"/>
                </w:tcPr>
                <w:p w14:paraId="416CBDB3">
                  <w:pPr>
                    <w:widowControl/>
                    <w:spacing w:line="240" w:lineRule="auto"/>
                    <w:jc w:val="both"/>
                    <w:rPr>
                      <w:rFonts w:hint="default" w:ascii="Times New Roman" w:hAnsi="Times New Roman" w:eastAsia="宋体" w:cs="Times New Roman"/>
                      <w:b w:val="0"/>
                      <w:bCs/>
                      <w:color w:val="auto"/>
                      <w:kern w:val="0"/>
                      <w:sz w:val="21"/>
                      <w:szCs w:val="21"/>
                      <w:lang w:bidi="ar"/>
                    </w:rPr>
                  </w:pPr>
                  <w:r>
                    <w:rPr>
                      <w:rFonts w:hint="default" w:ascii="Times New Roman" w:hAnsi="Times New Roman" w:eastAsia="宋体" w:cs="Times New Roman"/>
                      <w:b w:val="0"/>
                      <w:bCs/>
                      <w:color w:val="auto"/>
                      <w:kern w:val="0"/>
                      <w:sz w:val="21"/>
                      <w:szCs w:val="21"/>
                      <w:lang w:bidi="ar"/>
                    </w:rPr>
                    <w:t>贮存易燃易爆的危险废物的场所应配备</w:t>
                  </w:r>
                  <w:r>
                    <w:rPr>
                      <w:rFonts w:hint="eastAsia" w:cs="Times New Roman"/>
                      <w:b w:val="0"/>
                      <w:bCs/>
                      <w:color w:val="auto"/>
                      <w:kern w:val="0"/>
                      <w:sz w:val="21"/>
                      <w:szCs w:val="21"/>
                      <w:lang w:val="en-US" w:eastAsia="zh-CN" w:bidi="ar"/>
                    </w:rPr>
                    <w:t>有</w:t>
                  </w:r>
                  <w:r>
                    <w:rPr>
                      <w:rFonts w:hint="default" w:ascii="Times New Roman" w:hAnsi="Times New Roman" w:eastAsia="宋体" w:cs="Times New Roman"/>
                      <w:b w:val="0"/>
                      <w:bCs/>
                      <w:color w:val="auto"/>
                      <w:kern w:val="0"/>
                      <w:sz w:val="21"/>
                      <w:szCs w:val="21"/>
                      <w:lang w:bidi="ar"/>
                    </w:rPr>
                    <w:t>消防设备，贮存剧毒危险废物的场所必须有专人24小时看管</w:t>
                  </w:r>
                </w:p>
              </w:tc>
              <w:tc>
                <w:tcPr>
                  <w:tcW w:w="2255" w:type="pct"/>
                  <w:tcBorders>
                    <w:tl2br w:val="nil"/>
                    <w:tr2bl w:val="nil"/>
                  </w:tcBorders>
                  <w:noWrap w:val="0"/>
                  <w:vAlign w:val="center"/>
                </w:tcPr>
                <w:p w14:paraId="4CAB2E85">
                  <w:pPr>
                    <w:pStyle w:val="37"/>
                    <w:adjustRightInd/>
                    <w:spacing w:line="240" w:lineRule="auto"/>
                    <w:jc w:val="both"/>
                    <w:rPr>
                      <w:rFonts w:hint="eastAsia" w:ascii="Times New Roman" w:hAnsi="Times New Roman" w:eastAsia="宋体" w:cs="Times New Roman"/>
                      <w:b w:val="0"/>
                      <w:bCs/>
                      <w:color w:val="auto"/>
                      <w:sz w:val="21"/>
                      <w:szCs w:val="21"/>
                      <w:lang w:eastAsia="zh-CN"/>
                    </w:rPr>
                  </w:pPr>
                  <w:r>
                    <w:rPr>
                      <w:rFonts w:hint="default" w:ascii="Times New Roman" w:hAnsi="Times New Roman" w:eastAsia="宋体" w:cs="Times New Roman"/>
                      <w:b w:val="0"/>
                      <w:bCs/>
                      <w:color w:val="auto"/>
                      <w:sz w:val="21"/>
                      <w:szCs w:val="21"/>
                    </w:rPr>
                    <w:t>废矿物油不属于易燃、易爆的危险废物</w:t>
                  </w:r>
                  <w:r>
                    <w:rPr>
                      <w:rFonts w:hint="eastAsia" w:ascii="Times New Roman" w:cs="Times New Roman"/>
                      <w:b w:val="0"/>
                      <w:bCs/>
                      <w:color w:val="auto"/>
                      <w:sz w:val="21"/>
                      <w:szCs w:val="21"/>
                      <w:lang w:eastAsia="zh-CN"/>
                    </w:rPr>
                    <w:t>，贮存场所有专人24小时看管；</w:t>
                  </w:r>
                </w:p>
              </w:tc>
              <w:tc>
                <w:tcPr>
                  <w:tcW w:w="570" w:type="pct"/>
                  <w:tcBorders>
                    <w:tl2br w:val="nil"/>
                    <w:tr2bl w:val="nil"/>
                  </w:tcBorders>
                  <w:noWrap w:val="0"/>
                  <w:vAlign w:val="center"/>
                </w:tcPr>
                <w:p w14:paraId="56125901">
                  <w:pPr>
                    <w:pStyle w:val="37"/>
                    <w:adjustRightInd/>
                    <w:spacing w:line="240" w:lineRule="auto"/>
                    <w:jc w:val="center"/>
                    <w:rPr>
                      <w:rFonts w:hint="default" w:ascii="Times New Roman" w:hAnsi="Times New Roman" w:eastAsia="宋体" w:cs="Times New Roman"/>
                      <w:b w:val="0"/>
                      <w:bCs/>
                      <w:color w:val="auto"/>
                      <w:sz w:val="21"/>
                      <w:szCs w:val="21"/>
                    </w:rPr>
                  </w:pPr>
                  <w:r>
                    <w:rPr>
                      <w:rFonts w:hint="default" w:ascii="Times New Roman" w:hAnsi="Times New Roman" w:eastAsia="宋体" w:cs="Times New Roman"/>
                      <w:b w:val="0"/>
                      <w:bCs/>
                      <w:color w:val="auto"/>
                      <w:sz w:val="21"/>
                      <w:szCs w:val="21"/>
                    </w:rPr>
                    <w:t>符合</w:t>
                  </w:r>
                </w:p>
              </w:tc>
            </w:tr>
            <w:tr w14:paraId="6FD6A4A9">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40" w:hRule="atLeast"/>
              </w:trPr>
              <w:tc>
                <w:tcPr>
                  <w:tcW w:w="289" w:type="pct"/>
                  <w:vMerge w:val="continue"/>
                  <w:tcBorders>
                    <w:tl2br w:val="nil"/>
                    <w:tr2bl w:val="nil"/>
                  </w:tcBorders>
                  <w:noWrap w:val="0"/>
                  <w:vAlign w:val="center"/>
                </w:tcPr>
                <w:p w14:paraId="12989384">
                  <w:pPr>
                    <w:pStyle w:val="96"/>
                    <w:framePr w:wrap="auto" w:vAnchor="margin" w:hAnchor="text" w:yAlign="inline"/>
                    <w:spacing w:line="240" w:lineRule="auto"/>
                    <w:rPr>
                      <w:rFonts w:hint="default" w:ascii="Times New Roman" w:hAnsi="Times New Roman" w:eastAsia="宋体" w:cs="Times New Roman"/>
                      <w:bCs/>
                      <w:color w:val="auto"/>
                      <w:sz w:val="21"/>
                      <w:szCs w:val="21"/>
                    </w:rPr>
                  </w:pPr>
                </w:p>
              </w:tc>
              <w:tc>
                <w:tcPr>
                  <w:tcW w:w="1884" w:type="pct"/>
                  <w:tcBorders>
                    <w:tl2br w:val="nil"/>
                    <w:tr2bl w:val="nil"/>
                  </w:tcBorders>
                  <w:noWrap w:val="0"/>
                  <w:vAlign w:val="center"/>
                </w:tcPr>
                <w:p w14:paraId="7001C8B5">
                  <w:pPr>
                    <w:widowControl/>
                    <w:spacing w:line="240" w:lineRule="auto"/>
                    <w:jc w:val="both"/>
                    <w:rPr>
                      <w:rFonts w:hint="default" w:ascii="Times New Roman" w:hAnsi="Times New Roman" w:eastAsia="宋体" w:cs="Times New Roman"/>
                      <w:b w:val="0"/>
                      <w:bCs/>
                      <w:color w:val="auto"/>
                      <w:kern w:val="0"/>
                      <w:sz w:val="21"/>
                      <w:szCs w:val="21"/>
                      <w:lang w:bidi="ar"/>
                    </w:rPr>
                  </w:pPr>
                  <w:r>
                    <w:rPr>
                      <w:rFonts w:hint="default" w:ascii="Times New Roman" w:hAnsi="Times New Roman" w:eastAsia="宋体" w:cs="Times New Roman"/>
                      <w:b w:val="0"/>
                      <w:bCs/>
                      <w:color w:val="auto"/>
                      <w:kern w:val="0"/>
                      <w:sz w:val="21"/>
                      <w:szCs w:val="21"/>
                      <w:lang w:bidi="ar"/>
                    </w:rPr>
                    <w:t>危险废物贮存设施的选址与设计、运行与管理、安全防护、环境监测及应急措施</w:t>
                  </w:r>
                  <w:r>
                    <w:rPr>
                      <w:rFonts w:hint="eastAsia" w:cs="Times New Roman"/>
                      <w:b w:val="0"/>
                      <w:bCs/>
                      <w:color w:val="auto"/>
                      <w:kern w:val="0"/>
                      <w:sz w:val="21"/>
                      <w:szCs w:val="21"/>
                      <w:lang w:eastAsia="zh-CN" w:bidi="ar"/>
                    </w:rPr>
                    <w:t>以及</w:t>
                  </w:r>
                  <w:r>
                    <w:rPr>
                      <w:rFonts w:hint="default" w:ascii="Times New Roman" w:hAnsi="Times New Roman" w:eastAsia="宋体" w:cs="Times New Roman"/>
                      <w:b w:val="0"/>
                      <w:bCs/>
                      <w:color w:val="auto"/>
                      <w:kern w:val="0"/>
                      <w:sz w:val="21"/>
                      <w:szCs w:val="21"/>
                      <w:lang w:bidi="ar"/>
                    </w:rPr>
                    <w:t>关闭等须遵循《危险废物贮存污染控制标准》的规定</w:t>
                  </w:r>
                </w:p>
              </w:tc>
              <w:tc>
                <w:tcPr>
                  <w:tcW w:w="2255" w:type="pct"/>
                  <w:tcBorders>
                    <w:tl2br w:val="nil"/>
                    <w:tr2bl w:val="nil"/>
                  </w:tcBorders>
                  <w:noWrap w:val="0"/>
                  <w:vAlign w:val="center"/>
                </w:tcPr>
                <w:p w14:paraId="5F9848E0">
                  <w:pPr>
                    <w:pStyle w:val="37"/>
                    <w:adjustRightInd/>
                    <w:spacing w:line="240" w:lineRule="auto"/>
                    <w:jc w:val="both"/>
                    <w:rPr>
                      <w:rFonts w:hint="eastAsia" w:ascii="Times New Roman" w:hAnsi="Times New Roman" w:eastAsia="宋体" w:cs="Times New Roman"/>
                      <w:b w:val="0"/>
                      <w:bCs/>
                      <w:color w:val="auto"/>
                      <w:sz w:val="21"/>
                      <w:szCs w:val="21"/>
                      <w:lang w:eastAsia="zh-CN"/>
                    </w:rPr>
                  </w:pPr>
                  <w:r>
                    <w:rPr>
                      <w:rFonts w:hint="default" w:ascii="Times New Roman" w:hAnsi="Times New Roman" w:eastAsia="宋体" w:cs="Times New Roman"/>
                      <w:b w:val="0"/>
                      <w:bCs/>
                      <w:color w:val="auto"/>
                      <w:sz w:val="21"/>
                      <w:szCs w:val="21"/>
                    </w:rPr>
                    <w:t>项目</w:t>
                  </w:r>
                  <w:r>
                    <w:rPr>
                      <w:rFonts w:hint="default" w:ascii="Times New Roman" w:hAnsi="Times New Roman" w:eastAsia="宋体" w:cs="Times New Roman"/>
                      <w:b w:val="0"/>
                      <w:bCs/>
                      <w:color w:val="auto"/>
                      <w:sz w:val="21"/>
                      <w:szCs w:val="21"/>
                      <w:lang w:bidi="ar"/>
                    </w:rPr>
                    <w:t>危险废物的贮存设施的选址与设计、运行与管理、安全防护、环境监测及应急措施及关闭等遵循《危险废物贮存污染控制标准》的规定</w:t>
                  </w:r>
                  <w:r>
                    <w:rPr>
                      <w:rFonts w:hint="eastAsia" w:ascii="Times New Roman" w:cs="Times New Roman"/>
                      <w:b w:val="0"/>
                      <w:bCs/>
                      <w:color w:val="auto"/>
                      <w:sz w:val="21"/>
                      <w:szCs w:val="21"/>
                      <w:lang w:eastAsia="zh-CN" w:bidi="ar"/>
                    </w:rPr>
                    <w:t>；</w:t>
                  </w:r>
                </w:p>
              </w:tc>
              <w:tc>
                <w:tcPr>
                  <w:tcW w:w="570" w:type="pct"/>
                  <w:tcBorders>
                    <w:tl2br w:val="nil"/>
                    <w:tr2bl w:val="nil"/>
                  </w:tcBorders>
                  <w:noWrap w:val="0"/>
                  <w:vAlign w:val="center"/>
                </w:tcPr>
                <w:p w14:paraId="33EAB4CD">
                  <w:pPr>
                    <w:pStyle w:val="37"/>
                    <w:adjustRightInd/>
                    <w:spacing w:line="240" w:lineRule="auto"/>
                    <w:jc w:val="center"/>
                    <w:rPr>
                      <w:rFonts w:hint="default" w:ascii="Times New Roman" w:hAnsi="Times New Roman" w:eastAsia="宋体" w:cs="Times New Roman"/>
                      <w:b w:val="0"/>
                      <w:bCs/>
                      <w:color w:val="auto"/>
                      <w:sz w:val="21"/>
                      <w:szCs w:val="21"/>
                    </w:rPr>
                  </w:pPr>
                  <w:r>
                    <w:rPr>
                      <w:rFonts w:hint="default" w:ascii="Times New Roman" w:hAnsi="Times New Roman" w:eastAsia="宋体" w:cs="Times New Roman"/>
                      <w:b w:val="0"/>
                      <w:bCs/>
                      <w:color w:val="auto"/>
                      <w:sz w:val="21"/>
                      <w:szCs w:val="21"/>
                    </w:rPr>
                    <w:t>符合</w:t>
                  </w:r>
                </w:p>
              </w:tc>
            </w:tr>
          </w:tbl>
          <w:p w14:paraId="7F72C775">
            <w:pPr>
              <w:numPr>
                <w:ilvl w:val="0"/>
                <w:numId w:val="7"/>
              </w:numPr>
              <w:bidi w:val="0"/>
              <w:spacing w:line="360" w:lineRule="auto"/>
              <w:ind w:leftChars="0" w:firstLine="480" w:firstLineChars="200"/>
              <w:rPr>
                <w:rFonts w:hint="eastAsia" w:ascii="Times New Roman" w:hAnsi="Times New Roman" w:eastAsia="宋体" w:cs="Times New Roman"/>
                <w:b w:val="0"/>
                <w:bCs w:val="0"/>
                <w:color w:val="auto"/>
                <w:sz w:val="24"/>
                <w:szCs w:val="24"/>
                <w:lang w:val="en-US" w:eastAsia="zh-CN"/>
              </w:rPr>
            </w:pPr>
            <w:r>
              <w:rPr>
                <w:rFonts w:hint="eastAsia" w:ascii="Times New Roman" w:hAnsi="Times New Roman" w:eastAsia="宋体" w:cs="Times New Roman"/>
                <w:b w:val="0"/>
                <w:bCs w:val="0"/>
                <w:color w:val="auto"/>
                <w:sz w:val="24"/>
                <w:szCs w:val="24"/>
                <w:lang w:val="en-US" w:eastAsia="zh-CN"/>
              </w:rPr>
              <w:t>与《危险废物贮存污染控制标准》符合性分析</w:t>
            </w:r>
          </w:p>
          <w:p w14:paraId="4D59A7DD">
            <w:pPr>
              <w:numPr>
                <w:ilvl w:val="0"/>
                <w:numId w:val="0"/>
              </w:numPr>
              <w:bidi w:val="0"/>
              <w:spacing w:line="360" w:lineRule="auto"/>
              <w:jc w:val="center"/>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lang w:val="en-US" w:eastAsia="zh-CN"/>
              </w:rPr>
              <w:t>表1-</w:t>
            </w:r>
            <w:r>
              <w:rPr>
                <w:rFonts w:hint="eastAsia" w:cs="Times New Roman"/>
                <w:b/>
                <w:bCs/>
                <w:color w:val="auto"/>
                <w:sz w:val="21"/>
                <w:szCs w:val="21"/>
                <w:lang w:val="en-US" w:eastAsia="zh-CN"/>
              </w:rPr>
              <w:t xml:space="preserve">3 </w:t>
            </w:r>
            <w:r>
              <w:rPr>
                <w:rFonts w:hint="eastAsia" w:ascii="Times New Roman" w:hAnsi="Times New Roman" w:eastAsia="宋体" w:cs="Times New Roman"/>
                <w:b/>
                <w:bCs/>
                <w:color w:val="auto"/>
                <w:sz w:val="21"/>
                <w:szCs w:val="21"/>
                <w:lang w:val="en-US" w:eastAsia="zh-CN"/>
              </w:rPr>
              <w:t>与《危险废物贮存污染控制标准》（</w:t>
            </w:r>
            <w:r>
              <w:rPr>
                <w:rFonts w:hint="eastAsia" w:cs="Times New Roman"/>
                <w:b/>
                <w:bCs/>
                <w:color w:val="auto"/>
                <w:sz w:val="21"/>
                <w:szCs w:val="21"/>
                <w:lang w:val="en-US" w:eastAsia="zh-CN"/>
              </w:rPr>
              <w:t>GB18597-2023</w:t>
            </w:r>
            <w:r>
              <w:rPr>
                <w:rFonts w:hint="eastAsia" w:ascii="Times New Roman" w:hAnsi="Times New Roman" w:eastAsia="宋体" w:cs="Times New Roman"/>
                <w:b/>
                <w:bCs/>
                <w:color w:val="auto"/>
                <w:sz w:val="21"/>
                <w:szCs w:val="21"/>
                <w:lang w:val="en-US" w:eastAsia="zh-CN"/>
              </w:rPr>
              <w:t>）及其修改单符合性</w:t>
            </w:r>
          </w:p>
          <w:tbl>
            <w:tblPr>
              <w:tblStyle w:val="28"/>
              <w:tblW w:w="791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78"/>
              <w:gridCol w:w="3340"/>
              <w:gridCol w:w="2960"/>
              <w:gridCol w:w="940"/>
            </w:tblGrid>
            <w:tr w14:paraId="7E6225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018" w:type="dxa"/>
                  <w:gridSpan w:val="2"/>
                  <w:vAlign w:val="center"/>
                </w:tcPr>
                <w:p w14:paraId="2F4BF72F">
                  <w:pPr>
                    <w:numPr>
                      <w:ilvl w:val="0"/>
                      <w:numId w:val="0"/>
                    </w:numPr>
                    <w:bidi w:val="0"/>
                    <w:spacing w:line="240" w:lineRule="auto"/>
                    <w:jc w:val="center"/>
                    <w:rPr>
                      <w:rFonts w:hint="eastAsia" w:ascii="Times New Roman" w:hAnsi="Times New Roman" w:eastAsia="宋体" w:cs="Times New Roman"/>
                      <w:b/>
                      <w:bCs/>
                      <w:color w:val="auto"/>
                      <w:sz w:val="21"/>
                      <w:szCs w:val="21"/>
                      <w:vertAlign w:val="baseline"/>
                      <w:lang w:val="en-US" w:eastAsia="zh-CN"/>
                    </w:rPr>
                  </w:pPr>
                  <w:r>
                    <w:rPr>
                      <w:rFonts w:hint="eastAsia"/>
                      <w:b/>
                      <w:bCs/>
                    </w:rPr>
                    <w:t>标准要求</w:t>
                  </w:r>
                </w:p>
              </w:tc>
              <w:tc>
                <w:tcPr>
                  <w:tcW w:w="2960" w:type="dxa"/>
                  <w:vAlign w:val="center"/>
                </w:tcPr>
                <w:p w14:paraId="1F592A34">
                  <w:pPr>
                    <w:numPr>
                      <w:ilvl w:val="0"/>
                      <w:numId w:val="0"/>
                    </w:numPr>
                    <w:bidi w:val="0"/>
                    <w:spacing w:line="240" w:lineRule="auto"/>
                    <w:jc w:val="center"/>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本项目情况</w:t>
                  </w:r>
                </w:p>
              </w:tc>
              <w:tc>
                <w:tcPr>
                  <w:tcW w:w="940" w:type="dxa"/>
                  <w:vAlign w:val="center"/>
                </w:tcPr>
                <w:p w14:paraId="441882A6">
                  <w:pPr>
                    <w:numPr>
                      <w:ilvl w:val="0"/>
                      <w:numId w:val="0"/>
                    </w:numPr>
                    <w:bidi w:val="0"/>
                    <w:spacing w:line="240" w:lineRule="auto"/>
                    <w:jc w:val="center"/>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符合性</w:t>
                  </w:r>
                </w:p>
              </w:tc>
            </w:tr>
            <w:tr w14:paraId="3469DE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78" w:type="dxa"/>
                  <w:vMerge w:val="restart"/>
                  <w:vAlign w:val="center"/>
                </w:tcPr>
                <w:p w14:paraId="1E1A074F">
                  <w:pPr>
                    <w:numPr>
                      <w:ilvl w:val="0"/>
                      <w:numId w:val="0"/>
                    </w:numPr>
                    <w:bidi w:val="0"/>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4</w:t>
                  </w:r>
                </w:p>
                <w:p w14:paraId="31B05007">
                  <w:pPr>
                    <w:numPr>
                      <w:ilvl w:val="0"/>
                      <w:numId w:val="0"/>
                    </w:numPr>
                    <w:bidi w:val="0"/>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一般要求</w:t>
                  </w:r>
                </w:p>
              </w:tc>
              <w:tc>
                <w:tcPr>
                  <w:tcW w:w="3340" w:type="dxa"/>
                  <w:vAlign w:val="center"/>
                </w:tcPr>
                <w:p w14:paraId="5ACE21BD">
                  <w:pPr>
                    <w:numPr>
                      <w:ilvl w:val="0"/>
                      <w:numId w:val="0"/>
                    </w:numPr>
                    <w:bidi w:val="0"/>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4.1所有危险废物产生者和危险废物经营者应建造专用的危险废物贮存设施，也可利用原有构筑物改建成危险废物贮存设施</w:t>
                  </w:r>
                  <w:r>
                    <w:rPr>
                      <w:rFonts w:hint="eastAsia" w:cs="Times New Roman"/>
                      <w:b w:val="0"/>
                      <w:bCs w:val="0"/>
                      <w:color w:val="auto"/>
                      <w:sz w:val="21"/>
                      <w:szCs w:val="21"/>
                      <w:vertAlign w:val="baseline"/>
                      <w:lang w:val="en-US" w:eastAsia="zh-CN"/>
                    </w:rPr>
                    <w:t>；</w:t>
                  </w:r>
                </w:p>
              </w:tc>
              <w:tc>
                <w:tcPr>
                  <w:tcW w:w="2960" w:type="dxa"/>
                  <w:vAlign w:val="center"/>
                </w:tcPr>
                <w:p w14:paraId="68BCA8DA">
                  <w:pPr>
                    <w:numPr>
                      <w:ilvl w:val="0"/>
                      <w:numId w:val="0"/>
                    </w:numPr>
                    <w:bidi w:val="0"/>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利用原有构筑物改建</w:t>
                  </w:r>
                  <w:r>
                    <w:rPr>
                      <w:rFonts w:hint="eastAsia" w:cs="Times New Roman"/>
                      <w:b w:val="0"/>
                      <w:bCs w:val="0"/>
                      <w:color w:val="auto"/>
                      <w:sz w:val="21"/>
                      <w:szCs w:val="21"/>
                      <w:vertAlign w:val="baseline"/>
                      <w:lang w:val="en-US" w:eastAsia="zh-CN"/>
                    </w:rPr>
                    <w:t>，</w:t>
                  </w:r>
                  <w:r>
                    <w:rPr>
                      <w:rFonts w:hint="eastAsia" w:ascii="Times New Roman" w:hAnsi="Times New Roman" w:eastAsia="宋体" w:cs="Times New Roman"/>
                      <w:b w:val="0"/>
                      <w:bCs w:val="0"/>
                      <w:color w:val="auto"/>
                      <w:sz w:val="21"/>
                      <w:szCs w:val="21"/>
                      <w:vertAlign w:val="baseline"/>
                      <w:lang w:val="en-US" w:eastAsia="zh-CN"/>
                    </w:rPr>
                    <w:t>危险废物贮存库及相关设施严格按照相关规定要求建设</w:t>
                  </w:r>
                  <w:r>
                    <w:rPr>
                      <w:rFonts w:hint="eastAsia" w:cs="Times New Roman"/>
                      <w:b w:val="0"/>
                      <w:bCs w:val="0"/>
                      <w:color w:val="auto"/>
                      <w:sz w:val="21"/>
                      <w:szCs w:val="21"/>
                      <w:vertAlign w:val="baseline"/>
                      <w:lang w:val="en-US" w:eastAsia="zh-CN"/>
                    </w:rPr>
                    <w:t>；</w:t>
                  </w:r>
                </w:p>
              </w:tc>
              <w:tc>
                <w:tcPr>
                  <w:tcW w:w="940" w:type="dxa"/>
                  <w:vAlign w:val="center"/>
                </w:tcPr>
                <w:p w14:paraId="5947A595">
                  <w:pPr>
                    <w:numPr>
                      <w:ilvl w:val="0"/>
                      <w:numId w:val="0"/>
                    </w:numPr>
                    <w:bidi w:val="0"/>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color w:val="auto"/>
                      <w:sz w:val="21"/>
                      <w:szCs w:val="21"/>
                    </w:rPr>
                    <w:t>符合</w:t>
                  </w:r>
                </w:p>
              </w:tc>
            </w:tr>
            <w:tr w14:paraId="2AC9AF3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78" w:type="dxa"/>
                  <w:vMerge w:val="continue"/>
                  <w:vAlign w:val="center"/>
                </w:tcPr>
                <w:p w14:paraId="03C22C6B">
                  <w:pPr>
                    <w:numPr>
                      <w:ilvl w:val="0"/>
                      <w:numId w:val="0"/>
                    </w:numPr>
                    <w:bidi w:val="0"/>
                    <w:spacing w:line="240" w:lineRule="auto"/>
                    <w:jc w:val="center"/>
                    <w:rPr>
                      <w:rFonts w:hint="eastAsia" w:ascii="Times New Roman" w:hAnsi="Times New Roman" w:eastAsia="宋体" w:cs="Times New Roman"/>
                      <w:b w:val="0"/>
                      <w:bCs w:val="0"/>
                      <w:color w:val="auto"/>
                      <w:sz w:val="21"/>
                      <w:szCs w:val="21"/>
                      <w:vertAlign w:val="baseline"/>
                      <w:lang w:val="en-US" w:eastAsia="zh-CN"/>
                    </w:rPr>
                  </w:pPr>
                </w:p>
              </w:tc>
              <w:tc>
                <w:tcPr>
                  <w:tcW w:w="3340" w:type="dxa"/>
                  <w:vAlign w:val="center"/>
                </w:tcPr>
                <w:p w14:paraId="4A771C41">
                  <w:pPr>
                    <w:numPr>
                      <w:ilvl w:val="0"/>
                      <w:numId w:val="0"/>
                    </w:numPr>
                    <w:bidi w:val="0"/>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4.4除4.3规定外，必须将危险废物装入容器内</w:t>
                  </w:r>
                  <w:r>
                    <w:rPr>
                      <w:rFonts w:hint="eastAsia" w:cs="Times New Roman"/>
                      <w:b w:val="0"/>
                      <w:bCs w:val="0"/>
                      <w:color w:val="auto"/>
                      <w:sz w:val="21"/>
                      <w:szCs w:val="21"/>
                      <w:vertAlign w:val="baseline"/>
                      <w:lang w:val="en-US" w:eastAsia="zh-CN"/>
                    </w:rPr>
                    <w:t>；</w:t>
                  </w:r>
                </w:p>
              </w:tc>
              <w:tc>
                <w:tcPr>
                  <w:tcW w:w="2960" w:type="dxa"/>
                  <w:vAlign w:val="center"/>
                </w:tcPr>
                <w:p w14:paraId="4838054B">
                  <w:pPr>
                    <w:numPr>
                      <w:ilvl w:val="0"/>
                      <w:numId w:val="0"/>
                    </w:numPr>
                    <w:bidi w:val="0"/>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废矿物油贮存于废矿物油专用容器内；</w:t>
                  </w:r>
                </w:p>
              </w:tc>
              <w:tc>
                <w:tcPr>
                  <w:tcW w:w="940" w:type="dxa"/>
                  <w:vAlign w:val="center"/>
                </w:tcPr>
                <w:p w14:paraId="6585A14C">
                  <w:pPr>
                    <w:numPr>
                      <w:ilvl w:val="0"/>
                      <w:numId w:val="0"/>
                    </w:numPr>
                    <w:bidi w:val="0"/>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color w:val="auto"/>
                      <w:sz w:val="21"/>
                      <w:szCs w:val="21"/>
                    </w:rPr>
                    <w:t>符合</w:t>
                  </w:r>
                </w:p>
              </w:tc>
            </w:tr>
            <w:tr w14:paraId="232F3AC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78" w:type="dxa"/>
                  <w:vMerge w:val="continue"/>
                  <w:vAlign w:val="center"/>
                </w:tcPr>
                <w:p w14:paraId="34E9D463">
                  <w:pPr>
                    <w:numPr>
                      <w:ilvl w:val="0"/>
                      <w:numId w:val="0"/>
                    </w:numPr>
                    <w:bidi w:val="0"/>
                    <w:spacing w:line="240" w:lineRule="auto"/>
                    <w:jc w:val="center"/>
                    <w:rPr>
                      <w:rFonts w:hint="eastAsia" w:ascii="Times New Roman" w:hAnsi="Times New Roman" w:eastAsia="宋体" w:cs="Times New Roman"/>
                      <w:b w:val="0"/>
                      <w:bCs w:val="0"/>
                      <w:color w:val="auto"/>
                      <w:sz w:val="21"/>
                      <w:szCs w:val="21"/>
                      <w:vertAlign w:val="baseline"/>
                      <w:lang w:val="en-US" w:eastAsia="zh-CN"/>
                    </w:rPr>
                  </w:pPr>
                </w:p>
              </w:tc>
              <w:tc>
                <w:tcPr>
                  <w:tcW w:w="3340" w:type="dxa"/>
                  <w:vAlign w:val="center"/>
                </w:tcPr>
                <w:p w14:paraId="3E952DE6">
                  <w:pPr>
                    <w:numPr>
                      <w:ilvl w:val="0"/>
                      <w:numId w:val="0"/>
                    </w:numPr>
                    <w:bidi w:val="0"/>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4.7装载液体、半固态危险废物的容器内须留足够空间，容器顶部与液体表面之间保留100毫米以上的空间</w:t>
                  </w:r>
                  <w:r>
                    <w:rPr>
                      <w:rFonts w:hint="eastAsia" w:cs="Times New Roman"/>
                      <w:b w:val="0"/>
                      <w:bCs w:val="0"/>
                      <w:color w:val="auto"/>
                      <w:sz w:val="21"/>
                      <w:szCs w:val="21"/>
                      <w:vertAlign w:val="baseline"/>
                      <w:lang w:val="en-US" w:eastAsia="zh-CN"/>
                    </w:rPr>
                    <w:t>；</w:t>
                  </w:r>
                </w:p>
              </w:tc>
              <w:tc>
                <w:tcPr>
                  <w:tcW w:w="2960" w:type="dxa"/>
                  <w:vAlign w:val="center"/>
                </w:tcPr>
                <w:p w14:paraId="7C38D03C">
                  <w:pPr>
                    <w:numPr>
                      <w:ilvl w:val="0"/>
                      <w:numId w:val="0"/>
                    </w:numPr>
                    <w:bidi w:val="0"/>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专用容器内贮存废矿物油充装率为</w:t>
                  </w:r>
                  <w:r>
                    <w:rPr>
                      <w:rFonts w:hint="eastAsia" w:cs="Times New Roman"/>
                      <w:b w:val="0"/>
                      <w:bCs w:val="0"/>
                      <w:color w:val="auto"/>
                      <w:sz w:val="21"/>
                      <w:szCs w:val="21"/>
                      <w:vertAlign w:val="baseline"/>
                      <w:lang w:val="en-US" w:eastAsia="zh-CN"/>
                    </w:rPr>
                    <w:t>85</w:t>
                  </w:r>
                  <w:r>
                    <w:rPr>
                      <w:rFonts w:hint="eastAsia" w:ascii="Times New Roman" w:hAnsi="Times New Roman" w:eastAsia="宋体" w:cs="Times New Roman"/>
                      <w:b w:val="0"/>
                      <w:bCs w:val="0"/>
                      <w:color w:val="auto"/>
                      <w:sz w:val="21"/>
                      <w:szCs w:val="21"/>
                      <w:vertAlign w:val="baseline"/>
                      <w:lang w:val="en-US" w:eastAsia="zh-CN"/>
                    </w:rPr>
                    <w:t>%，严格按要求在顶部与液体表面之间保留100毫米以上的空间</w:t>
                  </w:r>
                  <w:r>
                    <w:rPr>
                      <w:rFonts w:hint="eastAsia" w:cs="Times New Roman"/>
                      <w:b w:val="0"/>
                      <w:bCs w:val="0"/>
                      <w:color w:val="auto"/>
                      <w:sz w:val="21"/>
                      <w:szCs w:val="21"/>
                      <w:vertAlign w:val="baseline"/>
                      <w:lang w:val="en-US" w:eastAsia="zh-CN"/>
                    </w:rPr>
                    <w:t>；</w:t>
                  </w:r>
                </w:p>
              </w:tc>
              <w:tc>
                <w:tcPr>
                  <w:tcW w:w="940" w:type="dxa"/>
                  <w:vAlign w:val="center"/>
                </w:tcPr>
                <w:p w14:paraId="4B6CAA41">
                  <w:pPr>
                    <w:numPr>
                      <w:ilvl w:val="0"/>
                      <w:numId w:val="0"/>
                    </w:numPr>
                    <w:bidi w:val="0"/>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color w:val="auto"/>
                      <w:sz w:val="21"/>
                      <w:szCs w:val="21"/>
                    </w:rPr>
                    <w:t>符合</w:t>
                  </w:r>
                </w:p>
              </w:tc>
            </w:tr>
            <w:tr w14:paraId="2784AD3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78" w:type="dxa"/>
                  <w:vMerge w:val="continue"/>
                  <w:vAlign w:val="center"/>
                </w:tcPr>
                <w:p w14:paraId="105F0A7C">
                  <w:pPr>
                    <w:numPr>
                      <w:ilvl w:val="0"/>
                      <w:numId w:val="0"/>
                    </w:numPr>
                    <w:bidi w:val="0"/>
                    <w:spacing w:line="240" w:lineRule="auto"/>
                    <w:jc w:val="center"/>
                    <w:rPr>
                      <w:rFonts w:hint="eastAsia" w:ascii="Times New Roman" w:hAnsi="Times New Roman" w:eastAsia="宋体" w:cs="Times New Roman"/>
                      <w:b w:val="0"/>
                      <w:bCs w:val="0"/>
                      <w:color w:val="auto"/>
                      <w:sz w:val="21"/>
                      <w:szCs w:val="21"/>
                      <w:vertAlign w:val="baseline"/>
                      <w:lang w:val="en-US" w:eastAsia="zh-CN"/>
                    </w:rPr>
                  </w:pPr>
                </w:p>
              </w:tc>
              <w:tc>
                <w:tcPr>
                  <w:tcW w:w="3340" w:type="dxa"/>
                  <w:vAlign w:val="center"/>
                </w:tcPr>
                <w:p w14:paraId="138BF7D1">
                  <w:pPr>
                    <w:numPr>
                      <w:ilvl w:val="0"/>
                      <w:numId w:val="0"/>
                    </w:numPr>
                    <w:bidi w:val="0"/>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4.9盛装危险废物的容器上必须粘贴符合相应标准的标签</w:t>
                  </w:r>
                  <w:r>
                    <w:rPr>
                      <w:rFonts w:hint="eastAsia" w:cs="Times New Roman"/>
                      <w:b w:val="0"/>
                      <w:bCs w:val="0"/>
                      <w:color w:val="auto"/>
                      <w:sz w:val="21"/>
                      <w:szCs w:val="21"/>
                      <w:vertAlign w:val="baseline"/>
                      <w:lang w:val="en-US" w:eastAsia="zh-CN"/>
                    </w:rPr>
                    <w:t>；</w:t>
                  </w:r>
                </w:p>
              </w:tc>
              <w:tc>
                <w:tcPr>
                  <w:tcW w:w="2960" w:type="dxa"/>
                  <w:vAlign w:val="center"/>
                </w:tcPr>
                <w:p w14:paraId="41722F4F">
                  <w:pPr>
                    <w:numPr>
                      <w:ilvl w:val="0"/>
                      <w:numId w:val="0"/>
                    </w:numPr>
                    <w:bidi w:val="0"/>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贮存危险废物的容器严格按照要求粘贴相应的标签</w:t>
                  </w:r>
                  <w:r>
                    <w:rPr>
                      <w:rFonts w:hint="eastAsia" w:cs="Times New Roman"/>
                      <w:b w:val="0"/>
                      <w:bCs w:val="0"/>
                      <w:color w:val="auto"/>
                      <w:sz w:val="21"/>
                      <w:szCs w:val="21"/>
                      <w:vertAlign w:val="baseline"/>
                      <w:lang w:val="en-US" w:eastAsia="zh-CN"/>
                    </w:rPr>
                    <w:t>；</w:t>
                  </w:r>
                </w:p>
              </w:tc>
              <w:tc>
                <w:tcPr>
                  <w:tcW w:w="940" w:type="dxa"/>
                  <w:vAlign w:val="center"/>
                </w:tcPr>
                <w:p w14:paraId="0F8978E9">
                  <w:pPr>
                    <w:numPr>
                      <w:ilvl w:val="0"/>
                      <w:numId w:val="0"/>
                    </w:numPr>
                    <w:bidi w:val="0"/>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color w:val="auto"/>
                      <w:sz w:val="21"/>
                      <w:szCs w:val="21"/>
                    </w:rPr>
                    <w:t>符合</w:t>
                  </w:r>
                </w:p>
              </w:tc>
            </w:tr>
            <w:tr w14:paraId="601A5D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78" w:type="dxa"/>
                  <w:vMerge w:val="continue"/>
                  <w:vAlign w:val="center"/>
                </w:tcPr>
                <w:p w14:paraId="0D655702">
                  <w:pPr>
                    <w:numPr>
                      <w:ilvl w:val="0"/>
                      <w:numId w:val="0"/>
                    </w:numPr>
                    <w:bidi w:val="0"/>
                    <w:spacing w:line="240" w:lineRule="auto"/>
                    <w:jc w:val="center"/>
                    <w:rPr>
                      <w:rFonts w:hint="eastAsia" w:ascii="Times New Roman" w:hAnsi="Times New Roman" w:eastAsia="宋体" w:cs="Times New Roman"/>
                      <w:b w:val="0"/>
                      <w:bCs w:val="0"/>
                      <w:color w:val="auto"/>
                      <w:sz w:val="21"/>
                      <w:szCs w:val="21"/>
                      <w:vertAlign w:val="baseline"/>
                      <w:lang w:val="en-US" w:eastAsia="zh-CN"/>
                    </w:rPr>
                  </w:pPr>
                </w:p>
              </w:tc>
              <w:tc>
                <w:tcPr>
                  <w:tcW w:w="3340" w:type="dxa"/>
                  <w:vAlign w:val="center"/>
                </w:tcPr>
                <w:p w14:paraId="5A35C5FA">
                  <w:pPr>
                    <w:numPr>
                      <w:ilvl w:val="0"/>
                      <w:numId w:val="0"/>
                    </w:numPr>
                    <w:bidi w:val="0"/>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4.10危险废物贮存设施在施工前应做环境影响评价</w:t>
                  </w:r>
                  <w:r>
                    <w:rPr>
                      <w:rFonts w:hint="eastAsia" w:cs="Times New Roman"/>
                      <w:b w:val="0"/>
                      <w:bCs w:val="0"/>
                      <w:color w:val="auto"/>
                      <w:sz w:val="21"/>
                      <w:szCs w:val="21"/>
                      <w:vertAlign w:val="baseline"/>
                      <w:lang w:val="en-US" w:eastAsia="zh-CN"/>
                    </w:rPr>
                    <w:t>；</w:t>
                  </w:r>
                </w:p>
              </w:tc>
              <w:tc>
                <w:tcPr>
                  <w:tcW w:w="2960" w:type="dxa"/>
                  <w:vAlign w:val="center"/>
                </w:tcPr>
                <w:p w14:paraId="5A01CC49">
                  <w:pPr>
                    <w:numPr>
                      <w:ilvl w:val="0"/>
                      <w:numId w:val="0"/>
                    </w:numPr>
                    <w:bidi w:val="0"/>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在施工前按要求编制环境影响评价报告</w:t>
                  </w:r>
                  <w:r>
                    <w:rPr>
                      <w:rFonts w:hint="eastAsia" w:cs="Times New Roman"/>
                      <w:b w:val="0"/>
                      <w:bCs w:val="0"/>
                      <w:color w:val="auto"/>
                      <w:sz w:val="21"/>
                      <w:szCs w:val="21"/>
                      <w:vertAlign w:val="baseline"/>
                      <w:lang w:val="en-US" w:eastAsia="zh-CN"/>
                    </w:rPr>
                    <w:t>；</w:t>
                  </w:r>
                </w:p>
              </w:tc>
              <w:tc>
                <w:tcPr>
                  <w:tcW w:w="940" w:type="dxa"/>
                  <w:vAlign w:val="center"/>
                </w:tcPr>
                <w:p w14:paraId="7C7B895A">
                  <w:pPr>
                    <w:numPr>
                      <w:ilvl w:val="0"/>
                      <w:numId w:val="0"/>
                    </w:numPr>
                    <w:bidi w:val="0"/>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color w:val="auto"/>
                      <w:sz w:val="21"/>
                      <w:szCs w:val="21"/>
                    </w:rPr>
                    <w:t>符合</w:t>
                  </w:r>
                </w:p>
              </w:tc>
            </w:tr>
            <w:tr w14:paraId="785E25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78" w:type="dxa"/>
                  <w:vMerge w:val="restart"/>
                  <w:vAlign w:val="center"/>
                </w:tcPr>
                <w:p w14:paraId="509E99FB">
                  <w:pPr>
                    <w:numPr>
                      <w:ilvl w:val="0"/>
                      <w:numId w:val="0"/>
                    </w:numPr>
                    <w:bidi w:val="0"/>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5</w:t>
                  </w:r>
                </w:p>
                <w:p w14:paraId="32B83CA3">
                  <w:pPr>
                    <w:numPr>
                      <w:ilvl w:val="0"/>
                      <w:numId w:val="0"/>
                    </w:numPr>
                    <w:bidi w:val="0"/>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危险废物贮存容器</w:t>
                  </w:r>
                </w:p>
              </w:tc>
              <w:tc>
                <w:tcPr>
                  <w:tcW w:w="3340" w:type="dxa"/>
                  <w:vAlign w:val="center"/>
                </w:tcPr>
                <w:p w14:paraId="43ADCBB0">
                  <w:pPr>
                    <w:numPr>
                      <w:ilvl w:val="0"/>
                      <w:numId w:val="0"/>
                    </w:numPr>
                    <w:bidi w:val="0"/>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5.1应当使用符合标准的容器盛装危险废物</w:t>
                  </w:r>
                  <w:r>
                    <w:rPr>
                      <w:rFonts w:hint="eastAsia" w:cs="Times New Roman"/>
                      <w:b w:val="0"/>
                      <w:bCs w:val="0"/>
                      <w:color w:val="auto"/>
                      <w:sz w:val="21"/>
                      <w:szCs w:val="21"/>
                      <w:vertAlign w:val="baseline"/>
                      <w:lang w:val="en-US" w:eastAsia="zh-CN"/>
                    </w:rPr>
                    <w:t>；</w:t>
                  </w:r>
                </w:p>
              </w:tc>
              <w:tc>
                <w:tcPr>
                  <w:tcW w:w="2960" w:type="dxa"/>
                  <w:vAlign w:val="center"/>
                </w:tcPr>
                <w:p w14:paraId="2008E58F">
                  <w:pPr>
                    <w:numPr>
                      <w:ilvl w:val="0"/>
                      <w:numId w:val="0"/>
                    </w:numPr>
                    <w:bidi w:val="0"/>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企业按要求采用符合标准要求的</w:t>
                  </w:r>
                  <w:r>
                    <w:rPr>
                      <w:rFonts w:hint="eastAsia" w:cs="Times New Roman"/>
                      <w:b w:val="0"/>
                      <w:bCs w:val="0"/>
                      <w:color w:val="auto"/>
                      <w:sz w:val="21"/>
                      <w:szCs w:val="21"/>
                      <w:vertAlign w:val="baseline"/>
                      <w:lang w:val="en-US" w:eastAsia="zh-CN"/>
                    </w:rPr>
                    <w:t>50m</w:t>
                  </w:r>
                  <w:r>
                    <w:rPr>
                      <w:rFonts w:hint="eastAsia" w:cs="Times New Roman"/>
                      <w:b w:val="0"/>
                      <w:bCs w:val="0"/>
                      <w:color w:val="auto"/>
                      <w:sz w:val="21"/>
                      <w:szCs w:val="21"/>
                      <w:vertAlign w:val="superscript"/>
                      <w:lang w:val="en-US" w:eastAsia="zh-CN"/>
                    </w:rPr>
                    <w:t>3</w:t>
                  </w:r>
                  <w:r>
                    <w:rPr>
                      <w:rFonts w:hint="eastAsia" w:cs="Times New Roman"/>
                      <w:b w:val="0"/>
                      <w:bCs w:val="0"/>
                      <w:color w:val="auto"/>
                      <w:sz w:val="21"/>
                      <w:szCs w:val="21"/>
                      <w:vertAlign w:val="baseline"/>
                      <w:lang w:val="en-US" w:eastAsia="zh-CN"/>
                    </w:rPr>
                    <w:t>碳钢</w:t>
                  </w:r>
                  <w:r>
                    <w:rPr>
                      <w:rFonts w:hint="eastAsia" w:ascii="Times New Roman" w:hAnsi="Times New Roman" w:eastAsia="宋体" w:cs="Times New Roman"/>
                      <w:b w:val="0"/>
                      <w:bCs w:val="0"/>
                      <w:color w:val="auto"/>
                      <w:sz w:val="21"/>
                      <w:szCs w:val="21"/>
                      <w:vertAlign w:val="baseline"/>
                      <w:lang w:val="en-US" w:eastAsia="zh-CN"/>
                    </w:rPr>
                    <w:t>储油罐存储危险废物</w:t>
                  </w:r>
                  <w:r>
                    <w:rPr>
                      <w:rFonts w:hint="eastAsia" w:cs="Times New Roman"/>
                      <w:b w:val="0"/>
                      <w:bCs w:val="0"/>
                      <w:color w:val="auto"/>
                      <w:sz w:val="21"/>
                      <w:szCs w:val="21"/>
                      <w:vertAlign w:val="baseline"/>
                      <w:lang w:val="en-US" w:eastAsia="zh-CN"/>
                    </w:rPr>
                    <w:t>；</w:t>
                  </w:r>
                </w:p>
              </w:tc>
              <w:tc>
                <w:tcPr>
                  <w:tcW w:w="940" w:type="dxa"/>
                  <w:vAlign w:val="center"/>
                </w:tcPr>
                <w:p w14:paraId="10ACE54A">
                  <w:pPr>
                    <w:numPr>
                      <w:ilvl w:val="0"/>
                      <w:numId w:val="0"/>
                    </w:numPr>
                    <w:bidi w:val="0"/>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color w:val="auto"/>
                      <w:sz w:val="21"/>
                      <w:szCs w:val="21"/>
                    </w:rPr>
                    <w:t>符合</w:t>
                  </w:r>
                </w:p>
              </w:tc>
            </w:tr>
            <w:tr w14:paraId="14D2EE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78" w:type="dxa"/>
                  <w:vMerge w:val="continue"/>
                  <w:vAlign w:val="center"/>
                </w:tcPr>
                <w:p w14:paraId="75FCF5E3">
                  <w:pPr>
                    <w:numPr>
                      <w:ilvl w:val="0"/>
                      <w:numId w:val="0"/>
                    </w:numPr>
                    <w:bidi w:val="0"/>
                    <w:spacing w:line="240" w:lineRule="auto"/>
                    <w:jc w:val="center"/>
                    <w:rPr>
                      <w:rFonts w:hint="eastAsia" w:ascii="Times New Roman" w:hAnsi="Times New Roman" w:eastAsia="宋体" w:cs="Times New Roman"/>
                      <w:b w:val="0"/>
                      <w:bCs w:val="0"/>
                      <w:color w:val="auto"/>
                      <w:sz w:val="21"/>
                      <w:szCs w:val="21"/>
                      <w:vertAlign w:val="baseline"/>
                      <w:lang w:val="en-US" w:eastAsia="zh-CN"/>
                    </w:rPr>
                  </w:pPr>
                </w:p>
              </w:tc>
              <w:tc>
                <w:tcPr>
                  <w:tcW w:w="3340" w:type="dxa"/>
                  <w:vAlign w:val="center"/>
                </w:tcPr>
                <w:p w14:paraId="1E117667">
                  <w:pPr>
                    <w:numPr>
                      <w:ilvl w:val="0"/>
                      <w:numId w:val="0"/>
                    </w:numPr>
                    <w:bidi w:val="0"/>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5.2装载危险废物的容器及材质要满足相应的强度要求</w:t>
                  </w:r>
                  <w:r>
                    <w:rPr>
                      <w:rFonts w:hint="eastAsia" w:cs="Times New Roman"/>
                      <w:b w:val="0"/>
                      <w:bCs w:val="0"/>
                      <w:color w:val="auto"/>
                      <w:sz w:val="21"/>
                      <w:szCs w:val="21"/>
                      <w:vertAlign w:val="baseline"/>
                      <w:lang w:val="en-US" w:eastAsia="zh-CN"/>
                    </w:rPr>
                    <w:t>；</w:t>
                  </w:r>
                </w:p>
              </w:tc>
              <w:tc>
                <w:tcPr>
                  <w:tcW w:w="2960" w:type="dxa"/>
                  <w:vAlign w:val="center"/>
                </w:tcPr>
                <w:p w14:paraId="2EA5558C">
                  <w:pPr>
                    <w:numPr>
                      <w:ilvl w:val="0"/>
                      <w:numId w:val="0"/>
                    </w:numPr>
                    <w:bidi w:val="0"/>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采用</w:t>
                  </w:r>
                  <w:r>
                    <w:rPr>
                      <w:rFonts w:hint="eastAsia" w:cs="Times New Roman"/>
                      <w:b w:val="0"/>
                      <w:bCs w:val="0"/>
                      <w:color w:val="auto"/>
                      <w:sz w:val="21"/>
                      <w:szCs w:val="21"/>
                      <w:vertAlign w:val="baseline"/>
                      <w:lang w:val="en-US" w:eastAsia="zh-CN"/>
                    </w:rPr>
                    <w:t>50m</w:t>
                  </w:r>
                  <w:r>
                    <w:rPr>
                      <w:rFonts w:hint="eastAsia" w:cs="Times New Roman"/>
                      <w:b w:val="0"/>
                      <w:bCs w:val="0"/>
                      <w:color w:val="auto"/>
                      <w:sz w:val="21"/>
                      <w:szCs w:val="21"/>
                      <w:vertAlign w:val="superscript"/>
                      <w:lang w:val="en-US" w:eastAsia="zh-CN"/>
                    </w:rPr>
                    <w:t>3</w:t>
                  </w:r>
                  <w:r>
                    <w:rPr>
                      <w:rFonts w:hint="eastAsia" w:cs="Times New Roman"/>
                      <w:b w:val="0"/>
                      <w:bCs w:val="0"/>
                      <w:color w:val="auto"/>
                      <w:sz w:val="21"/>
                      <w:szCs w:val="21"/>
                      <w:vertAlign w:val="baseline"/>
                      <w:lang w:val="en-US" w:eastAsia="zh-CN"/>
                    </w:rPr>
                    <w:t>碳钢</w:t>
                  </w:r>
                  <w:r>
                    <w:rPr>
                      <w:rFonts w:hint="eastAsia" w:ascii="Times New Roman" w:hAnsi="Times New Roman" w:eastAsia="宋体" w:cs="Times New Roman"/>
                      <w:b w:val="0"/>
                      <w:bCs w:val="0"/>
                      <w:color w:val="auto"/>
                      <w:sz w:val="21"/>
                      <w:szCs w:val="21"/>
                      <w:vertAlign w:val="baseline"/>
                      <w:lang w:val="en-US" w:eastAsia="zh-CN"/>
                    </w:rPr>
                    <w:t>储油罐存储危险废物，可以满足承载强度要求</w:t>
                  </w:r>
                  <w:r>
                    <w:rPr>
                      <w:rFonts w:hint="eastAsia" w:cs="Times New Roman"/>
                      <w:b w:val="0"/>
                      <w:bCs w:val="0"/>
                      <w:color w:val="auto"/>
                      <w:sz w:val="21"/>
                      <w:szCs w:val="21"/>
                      <w:vertAlign w:val="baseline"/>
                      <w:lang w:val="en-US" w:eastAsia="zh-CN"/>
                    </w:rPr>
                    <w:t>；</w:t>
                  </w:r>
                </w:p>
              </w:tc>
              <w:tc>
                <w:tcPr>
                  <w:tcW w:w="940" w:type="dxa"/>
                  <w:vAlign w:val="center"/>
                </w:tcPr>
                <w:p w14:paraId="4C023420">
                  <w:pPr>
                    <w:numPr>
                      <w:ilvl w:val="0"/>
                      <w:numId w:val="0"/>
                    </w:numPr>
                    <w:bidi w:val="0"/>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color w:val="auto"/>
                      <w:sz w:val="21"/>
                      <w:szCs w:val="21"/>
                    </w:rPr>
                    <w:t>符合</w:t>
                  </w:r>
                </w:p>
              </w:tc>
            </w:tr>
            <w:tr w14:paraId="127D8D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78" w:type="dxa"/>
                  <w:vMerge w:val="continue"/>
                  <w:vAlign w:val="center"/>
                </w:tcPr>
                <w:p w14:paraId="38A7D6EB">
                  <w:pPr>
                    <w:numPr>
                      <w:ilvl w:val="0"/>
                      <w:numId w:val="0"/>
                    </w:numPr>
                    <w:bidi w:val="0"/>
                    <w:spacing w:line="240" w:lineRule="auto"/>
                    <w:jc w:val="center"/>
                    <w:rPr>
                      <w:rFonts w:hint="eastAsia" w:ascii="Times New Roman" w:hAnsi="Times New Roman" w:eastAsia="宋体" w:cs="Times New Roman"/>
                      <w:b w:val="0"/>
                      <w:bCs w:val="0"/>
                      <w:color w:val="auto"/>
                      <w:sz w:val="21"/>
                      <w:szCs w:val="21"/>
                      <w:vertAlign w:val="baseline"/>
                      <w:lang w:val="en-US" w:eastAsia="zh-CN"/>
                    </w:rPr>
                  </w:pPr>
                </w:p>
              </w:tc>
              <w:tc>
                <w:tcPr>
                  <w:tcW w:w="3340" w:type="dxa"/>
                  <w:vAlign w:val="center"/>
                </w:tcPr>
                <w:p w14:paraId="070A1F36">
                  <w:pPr>
                    <w:numPr>
                      <w:ilvl w:val="0"/>
                      <w:numId w:val="0"/>
                    </w:numPr>
                    <w:bidi w:val="0"/>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5.3装载危险废物的容器必须完好无损</w:t>
                  </w:r>
                  <w:r>
                    <w:rPr>
                      <w:rFonts w:hint="eastAsia" w:cs="Times New Roman"/>
                      <w:b w:val="0"/>
                      <w:bCs w:val="0"/>
                      <w:color w:val="auto"/>
                      <w:sz w:val="21"/>
                      <w:szCs w:val="21"/>
                      <w:vertAlign w:val="baseline"/>
                      <w:lang w:val="en-US" w:eastAsia="zh-CN"/>
                    </w:rPr>
                    <w:t>；</w:t>
                  </w:r>
                </w:p>
              </w:tc>
              <w:tc>
                <w:tcPr>
                  <w:tcW w:w="2960" w:type="dxa"/>
                  <w:vAlign w:val="center"/>
                </w:tcPr>
                <w:p w14:paraId="374AE2A4">
                  <w:pPr>
                    <w:numPr>
                      <w:ilvl w:val="0"/>
                      <w:numId w:val="0"/>
                    </w:numPr>
                    <w:bidi w:val="0"/>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废矿物油贮存于完好无损的废矿物油专用容器</w:t>
                  </w:r>
                  <w:r>
                    <w:rPr>
                      <w:rFonts w:hint="eastAsia" w:cs="Times New Roman"/>
                      <w:b w:val="0"/>
                      <w:bCs w:val="0"/>
                      <w:color w:val="auto"/>
                      <w:sz w:val="21"/>
                      <w:szCs w:val="21"/>
                      <w:vertAlign w:val="baseline"/>
                      <w:lang w:val="en-US" w:eastAsia="zh-CN"/>
                    </w:rPr>
                    <w:t>内</w:t>
                  </w:r>
                  <w:r>
                    <w:rPr>
                      <w:rFonts w:hint="eastAsia" w:ascii="Times New Roman" w:hAnsi="Times New Roman" w:eastAsia="宋体" w:cs="Times New Roman"/>
                      <w:b w:val="0"/>
                      <w:bCs w:val="0"/>
                      <w:color w:val="auto"/>
                      <w:sz w:val="21"/>
                      <w:szCs w:val="21"/>
                      <w:vertAlign w:val="baseline"/>
                      <w:lang w:val="en-US" w:eastAsia="zh-CN"/>
                    </w:rPr>
                    <w:t>；</w:t>
                  </w:r>
                </w:p>
              </w:tc>
              <w:tc>
                <w:tcPr>
                  <w:tcW w:w="940" w:type="dxa"/>
                  <w:vAlign w:val="center"/>
                </w:tcPr>
                <w:p w14:paraId="0FD3900D">
                  <w:pPr>
                    <w:numPr>
                      <w:ilvl w:val="0"/>
                      <w:numId w:val="0"/>
                    </w:numPr>
                    <w:bidi w:val="0"/>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color w:val="auto"/>
                      <w:sz w:val="21"/>
                      <w:szCs w:val="21"/>
                    </w:rPr>
                    <w:t>符合</w:t>
                  </w:r>
                </w:p>
              </w:tc>
            </w:tr>
            <w:tr w14:paraId="3EFE3D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78" w:type="dxa"/>
                  <w:vMerge w:val="continue"/>
                  <w:vAlign w:val="center"/>
                </w:tcPr>
                <w:p w14:paraId="77331C97">
                  <w:pPr>
                    <w:numPr>
                      <w:ilvl w:val="0"/>
                      <w:numId w:val="0"/>
                    </w:numPr>
                    <w:bidi w:val="0"/>
                    <w:spacing w:line="240" w:lineRule="auto"/>
                    <w:jc w:val="center"/>
                    <w:rPr>
                      <w:rFonts w:hint="eastAsia" w:ascii="Times New Roman" w:hAnsi="Times New Roman" w:eastAsia="宋体" w:cs="Times New Roman"/>
                      <w:b w:val="0"/>
                      <w:bCs w:val="0"/>
                      <w:color w:val="auto"/>
                      <w:sz w:val="21"/>
                      <w:szCs w:val="21"/>
                      <w:vertAlign w:val="baseline"/>
                      <w:lang w:val="en-US" w:eastAsia="zh-CN"/>
                    </w:rPr>
                  </w:pPr>
                </w:p>
              </w:tc>
              <w:tc>
                <w:tcPr>
                  <w:tcW w:w="3340" w:type="dxa"/>
                  <w:vAlign w:val="center"/>
                </w:tcPr>
                <w:p w14:paraId="2F64F015">
                  <w:pPr>
                    <w:numPr>
                      <w:ilvl w:val="0"/>
                      <w:numId w:val="0"/>
                    </w:numPr>
                    <w:bidi w:val="0"/>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5.4盛装危险废物的容器材质和衬里要与危险废物相容（不相互反应）</w:t>
                  </w:r>
                  <w:r>
                    <w:rPr>
                      <w:rFonts w:hint="eastAsia" w:cs="Times New Roman"/>
                      <w:b w:val="0"/>
                      <w:bCs w:val="0"/>
                      <w:color w:val="auto"/>
                      <w:sz w:val="21"/>
                      <w:szCs w:val="21"/>
                      <w:vertAlign w:val="baseline"/>
                      <w:lang w:val="en-US" w:eastAsia="zh-CN"/>
                    </w:rPr>
                    <w:t>；</w:t>
                  </w:r>
                </w:p>
              </w:tc>
              <w:tc>
                <w:tcPr>
                  <w:tcW w:w="2960" w:type="dxa"/>
                  <w:vAlign w:val="center"/>
                </w:tcPr>
                <w:p w14:paraId="6A9D2664">
                  <w:pPr>
                    <w:numPr>
                      <w:ilvl w:val="0"/>
                      <w:numId w:val="0"/>
                    </w:numPr>
                    <w:bidi w:val="0"/>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贮存容器的材质为碳钢，其衬里与废矿物油相容，不会相互反应</w:t>
                  </w:r>
                  <w:r>
                    <w:rPr>
                      <w:rFonts w:hint="eastAsia" w:cs="Times New Roman"/>
                      <w:b w:val="0"/>
                      <w:bCs w:val="0"/>
                      <w:color w:val="auto"/>
                      <w:sz w:val="21"/>
                      <w:szCs w:val="21"/>
                      <w:vertAlign w:val="baseline"/>
                      <w:lang w:val="en-US" w:eastAsia="zh-CN"/>
                    </w:rPr>
                    <w:t>；</w:t>
                  </w:r>
                </w:p>
              </w:tc>
              <w:tc>
                <w:tcPr>
                  <w:tcW w:w="940" w:type="dxa"/>
                  <w:vAlign w:val="center"/>
                </w:tcPr>
                <w:p w14:paraId="6EC81750">
                  <w:pPr>
                    <w:numPr>
                      <w:ilvl w:val="0"/>
                      <w:numId w:val="0"/>
                    </w:numPr>
                    <w:bidi w:val="0"/>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color w:val="auto"/>
                      <w:sz w:val="21"/>
                      <w:szCs w:val="21"/>
                    </w:rPr>
                    <w:t>符合</w:t>
                  </w:r>
                </w:p>
              </w:tc>
            </w:tr>
            <w:tr w14:paraId="2820F1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78" w:type="dxa"/>
                  <w:vMerge w:val="restart"/>
                  <w:vAlign w:val="center"/>
                </w:tcPr>
                <w:p w14:paraId="36D9A360">
                  <w:pPr>
                    <w:numPr>
                      <w:ilvl w:val="0"/>
                      <w:numId w:val="0"/>
                    </w:numPr>
                    <w:bidi w:val="0"/>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rPr>
                    <w:t>6.1危险废物贮存设施的选址</w:t>
                  </w:r>
                </w:p>
              </w:tc>
              <w:tc>
                <w:tcPr>
                  <w:tcW w:w="3340" w:type="dxa"/>
                  <w:vAlign w:val="center"/>
                </w:tcPr>
                <w:p w14:paraId="0B168C9D">
                  <w:pPr>
                    <w:numPr>
                      <w:ilvl w:val="0"/>
                      <w:numId w:val="0"/>
                    </w:numPr>
                    <w:bidi w:val="0"/>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6.1.1地质结构稳定，地震烈度不超过7度的区域内</w:t>
                  </w:r>
                  <w:r>
                    <w:rPr>
                      <w:rFonts w:hint="eastAsia" w:cs="Times New Roman"/>
                      <w:b w:val="0"/>
                      <w:bCs w:val="0"/>
                      <w:color w:val="auto"/>
                      <w:sz w:val="21"/>
                      <w:szCs w:val="21"/>
                      <w:vertAlign w:val="baseline"/>
                      <w:lang w:val="en-US" w:eastAsia="zh-CN"/>
                    </w:rPr>
                    <w:t>；</w:t>
                  </w:r>
                </w:p>
              </w:tc>
              <w:tc>
                <w:tcPr>
                  <w:tcW w:w="2960" w:type="dxa"/>
                  <w:vAlign w:val="center"/>
                </w:tcPr>
                <w:p w14:paraId="657546EE">
                  <w:pPr>
                    <w:numPr>
                      <w:ilvl w:val="0"/>
                      <w:numId w:val="0"/>
                    </w:numPr>
                    <w:bidi w:val="0"/>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所在区域地质结构稳定，地震烈度为6度，未超过7度</w:t>
                  </w:r>
                </w:p>
              </w:tc>
              <w:tc>
                <w:tcPr>
                  <w:tcW w:w="940" w:type="dxa"/>
                  <w:vAlign w:val="center"/>
                </w:tcPr>
                <w:p w14:paraId="06C9CBC9">
                  <w:pPr>
                    <w:numPr>
                      <w:ilvl w:val="0"/>
                      <w:numId w:val="0"/>
                    </w:numPr>
                    <w:bidi w:val="0"/>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color w:val="auto"/>
                      <w:sz w:val="21"/>
                      <w:szCs w:val="21"/>
                    </w:rPr>
                    <w:t>符合</w:t>
                  </w:r>
                </w:p>
              </w:tc>
            </w:tr>
            <w:tr w14:paraId="3704D1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78" w:type="dxa"/>
                  <w:vMerge w:val="continue"/>
                  <w:vAlign w:val="center"/>
                </w:tcPr>
                <w:p w14:paraId="07F1CFE2">
                  <w:pPr>
                    <w:numPr>
                      <w:ilvl w:val="0"/>
                      <w:numId w:val="0"/>
                    </w:numPr>
                    <w:bidi w:val="0"/>
                    <w:spacing w:line="240" w:lineRule="auto"/>
                    <w:jc w:val="center"/>
                    <w:rPr>
                      <w:rFonts w:hint="eastAsia" w:ascii="Times New Roman" w:hAnsi="Times New Roman" w:eastAsia="宋体" w:cs="Times New Roman"/>
                      <w:b w:val="0"/>
                      <w:bCs w:val="0"/>
                      <w:color w:val="auto"/>
                      <w:sz w:val="21"/>
                      <w:szCs w:val="21"/>
                      <w:vertAlign w:val="baseline"/>
                      <w:lang w:val="en-US" w:eastAsia="zh-CN"/>
                    </w:rPr>
                  </w:pPr>
                </w:p>
              </w:tc>
              <w:tc>
                <w:tcPr>
                  <w:tcW w:w="3340" w:type="dxa"/>
                  <w:vAlign w:val="center"/>
                </w:tcPr>
                <w:p w14:paraId="64B0D7DC">
                  <w:pPr>
                    <w:numPr>
                      <w:ilvl w:val="0"/>
                      <w:numId w:val="0"/>
                    </w:numPr>
                    <w:bidi w:val="0"/>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6.1.2设施底部必须高于地下水最高水位</w:t>
                  </w:r>
                  <w:r>
                    <w:rPr>
                      <w:rFonts w:hint="eastAsia" w:cs="Times New Roman"/>
                      <w:b w:val="0"/>
                      <w:bCs w:val="0"/>
                      <w:color w:val="auto"/>
                      <w:sz w:val="21"/>
                      <w:szCs w:val="21"/>
                      <w:vertAlign w:val="baseline"/>
                      <w:lang w:val="en-US" w:eastAsia="zh-CN"/>
                    </w:rPr>
                    <w:t>；</w:t>
                  </w:r>
                </w:p>
              </w:tc>
              <w:tc>
                <w:tcPr>
                  <w:tcW w:w="2960" w:type="dxa"/>
                  <w:vAlign w:val="center"/>
                </w:tcPr>
                <w:p w14:paraId="54DC809C">
                  <w:pPr>
                    <w:numPr>
                      <w:ilvl w:val="0"/>
                      <w:numId w:val="0"/>
                    </w:numPr>
                    <w:bidi w:val="0"/>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项目设施底部远高于区域地下水最高水位</w:t>
                  </w:r>
                  <w:r>
                    <w:rPr>
                      <w:rFonts w:hint="eastAsia" w:cs="Times New Roman"/>
                      <w:b w:val="0"/>
                      <w:bCs w:val="0"/>
                      <w:color w:val="auto"/>
                      <w:sz w:val="21"/>
                      <w:szCs w:val="21"/>
                      <w:vertAlign w:val="baseline"/>
                      <w:lang w:val="en-US" w:eastAsia="zh-CN"/>
                    </w:rPr>
                    <w:t>；</w:t>
                  </w:r>
                </w:p>
              </w:tc>
              <w:tc>
                <w:tcPr>
                  <w:tcW w:w="940" w:type="dxa"/>
                  <w:vAlign w:val="center"/>
                </w:tcPr>
                <w:p w14:paraId="1D807B1F">
                  <w:pPr>
                    <w:numPr>
                      <w:ilvl w:val="0"/>
                      <w:numId w:val="0"/>
                    </w:numPr>
                    <w:bidi w:val="0"/>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color w:val="auto"/>
                      <w:sz w:val="21"/>
                      <w:szCs w:val="21"/>
                    </w:rPr>
                    <w:t>符合</w:t>
                  </w:r>
                </w:p>
              </w:tc>
            </w:tr>
            <w:tr w14:paraId="51CDE4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78" w:type="dxa"/>
                  <w:vMerge w:val="continue"/>
                  <w:vAlign w:val="center"/>
                </w:tcPr>
                <w:p w14:paraId="13292F61">
                  <w:pPr>
                    <w:numPr>
                      <w:ilvl w:val="0"/>
                      <w:numId w:val="0"/>
                    </w:numPr>
                    <w:bidi w:val="0"/>
                    <w:spacing w:line="240" w:lineRule="auto"/>
                    <w:jc w:val="center"/>
                    <w:rPr>
                      <w:rFonts w:hint="eastAsia" w:ascii="Times New Roman" w:hAnsi="Times New Roman" w:eastAsia="宋体" w:cs="Times New Roman"/>
                      <w:b w:val="0"/>
                      <w:bCs w:val="0"/>
                      <w:color w:val="auto"/>
                      <w:sz w:val="21"/>
                      <w:szCs w:val="21"/>
                      <w:vertAlign w:val="baseline"/>
                      <w:lang w:val="en-US" w:eastAsia="zh-CN"/>
                    </w:rPr>
                  </w:pPr>
                </w:p>
              </w:tc>
              <w:tc>
                <w:tcPr>
                  <w:tcW w:w="3340" w:type="dxa"/>
                  <w:vAlign w:val="center"/>
                </w:tcPr>
                <w:p w14:paraId="6A3E995B">
                  <w:pPr>
                    <w:numPr>
                      <w:ilvl w:val="0"/>
                      <w:numId w:val="0"/>
                    </w:numPr>
                    <w:bidi w:val="0"/>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6.1.4应避免建在溶洞区或易遭受严重自然灾害如洪水、滑坡、泥石流、潮汐等影响的地区</w:t>
                  </w:r>
                  <w:r>
                    <w:rPr>
                      <w:rFonts w:hint="eastAsia" w:cs="Times New Roman"/>
                      <w:b w:val="0"/>
                      <w:bCs w:val="0"/>
                      <w:color w:val="auto"/>
                      <w:sz w:val="21"/>
                      <w:szCs w:val="21"/>
                      <w:vertAlign w:val="baseline"/>
                      <w:lang w:val="en-US" w:eastAsia="zh-CN"/>
                    </w:rPr>
                    <w:t>；</w:t>
                  </w:r>
                </w:p>
              </w:tc>
              <w:tc>
                <w:tcPr>
                  <w:tcW w:w="2960" w:type="dxa"/>
                  <w:vAlign w:val="center"/>
                </w:tcPr>
                <w:p w14:paraId="3729E599">
                  <w:pPr>
                    <w:numPr>
                      <w:ilvl w:val="0"/>
                      <w:numId w:val="0"/>
                    </w:numPr>
                    <w:bidi w:val="0"/>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所选厂址区域无断层、滑坡、泥石流及地下溶洞等潜在危害因素，地质结构相对稳定</w:t>
                  </w:r>
                  <w:r>
                    <w:rPr>
                      <w:rFonts w:hint="eastAsia" w:cs="Times New Roman"/>
                      <w:b w:val="0"/>
                      <w:bCs w:val="0"/>
                      <w:color w:val="auto"/>
                      <w:sz w:val="21"/>
                      <w:szCs w:val="21"/>
                      <w:vertAlign w:val="baseline"/>
                      <w:lang w:val="en-US" w:eastAsia="zh-CN"/>
                    </w:rPr>
                    <w:t>；</w:t>
                  </w:r>
                </w:p>
              </w:tc>
              <w:tc>
                <w:tcPr>
                  <w:tcW w:w="940" w:type="dxa"/>
                  <w:vAlign w:val="center"/>
                </w:tcPr>
                <w:p w14:paraId="7769C2CA">
                  <w:pPr>
                    <w:numPr>
                      <w:ilvl w:val="0"/>
                      <w:numId w:val="0"/>
                    </w:numPr>
                    <w:bidi w:val="0"/>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color w:val="auto"/>
                      <w:sz w:val="21"/>
                      <w:szCs w:val="21"/>
                    </w:rPr>
                    <w:t>符合</w:t>
                  </w:r>
                </w:p>
              </w:tc>
            </w:tr>
            <w:tr w14:paraId="10B4C91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78" w:type="dxa"/>
                  <w:vMerge w:val="continue"/>
                  <w:vAlign w:val="center"/>
                </w:tcPr>
                <w:p w14:paraId="61A83526">
                  <w:pPr>
                    <w:numPr>
                      <w:ilvl w:val="0"/>
                      <w:numId w:val="0"/>
                    </w:numPr>
                    <w:bidi w:val="0"/>
                    <w:spacing w:line="240" w:lineRule="auto"/>
                    <w:jc w:val="center"/>
                    <w:rPr>
                      <w:rFonts w:hint="eastAsia" w:ascii="Times New Roman" w:hAnsi="Times New Roman" w:eastAsia="宋体" w:cs="Times New Roman"/>
                      <w:b w:val="0"/>
                      <w:bCs w:val="0"/>
                      <w:color w:val="auto"/>
                      <w:sz w:val="21"/>
                      <w:szCs w:val="21"/>
                      <w:vertAlign w:val="baseline"/>
                      <w:lang w:val="en-US" w:eastAsia="zh-CN"/>
                    </w:rPr>
                  </w:pPr>
                </w:p>
              </w:tc>
              <w:tc>
                <w:tcPr>
                  <w:tcW w:w="3340" w:type="dxa"/>
                  <w:vAlign w:val="center"/>
                </w:tcPr>
                <w:p w14:paraId="59B0F14F">
                  <w:pPr>
                    <w:numPr>
                      <w:ilvl w:val="0"/>
                      <w:numId w:val="0"/>
                    </w:numPr>
                    <w:bidi w:val="0"/>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6.1.5应在易燃、易爆等危险品仓库、高压输电线路防护区域以外</w:t>
                  </w:r>
                  <w:r>
                    <w:rPr>
                      <w:rFonts w:hint="eastAsia" w:cs="Times New Roman"/>
                      <w:b w:val="0"/>
                      <w:bCs w:val="0"/>
                      <w:color w:val="auto"/>
                      <w:sz w:val="21"/>
                      <w:szCs w:val="21"/>
                      <w:vertAlign w:val="baseline"/>
                      <w:lang w:val="en-US" w:eastAsia="zh-CN"/>
                    </w:rPr>
                    <w:t>；</w:t>
                  </w:r>
                </w:p>
              </w:tc>
              <w:tc>
                <w:tcPr>
                  <w:tcW w:w="2960" w:type="dxa"/>
                  <w:vAlign w:val="center"/>
                </w:tcPr>
                <w:p w14:paraId="489DB339">
                  <w:pPr>
                    <w:numPr>
                      <w:ilvl w:val="0"/>
                      <w:numId w:val="0"/>
                    </w:numPr>
                    <w:bidi w:val="0"/>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选址区域不在易燃、易爆等危险品仓库和高压输电线路防护区</w:t>
                  </w:r>
                  <w:r>
                    <w:rPr>
                      <w:rFonts w:hint="eastAsia" w:cs="Times New Roman"/>
                      <w:b w:val="0"/>
                      <w:bCs w:val="0"/>
                      <w:color w:val="auto"/>
                      <w:sz w:val="21"/>
                      <w:szCs w:val="21"/>
                      <w:vertAlign w:val="baseline"/>
                      <w:lang w:val="en-US" w:eastAsia="zh-CN"/>
                    </w:rPr>
                    <w:t>；</w:t>
                  </w:r>
                </w:p>
              </w:tc>
              <w:tc>
                <w:tcPr>
                  <w:tcW w:w="940" w:type="dxa"/>
                  <w:vAlign w:val="center"/>
                </w:tcPr>
                <w:p w14:paraId="47D71EBD">
                  <w:pPr>
                    <w:numPr>
                      <w:ilvl w:val="0"/>
                      <w:numId w:val="0"/>
                    </w:numPr>
                    <w:bidi w:val="0"/>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color w:val="auto"/>
                      <w:sz w:val="21"/>
                      <w:szCs w:val="21"/>
                    </w:rPr>
                    <w:t>符合</w:t>
                  </w:r>
                </w:p>
              </w:tc>
            </w:tr>
            <w:tr w14:paraId="2E5367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78" w:type="dxa"/>
                  <w:vMerge w:val="continue"/>
                  <w:vAlign w:val="center"/>
                </w:tcPr>
                <w:p w14:paraId="6ED4604C">
                  <w:pPr>
                    <w:numPr>
                      <w:ilvl w:val="0"/>
                      <w:numId w:val="0"/>
                    </w:numPr>
                    <w:bidi w:val="0"/>
                    <w:spacing w:line="240" w:lineRule="auto"/>
                    <w:jc w:val="center"/>
                    <w:rPr>
                      <w:rFonts w:hint="eastAsia" w:ascii="Times New Roman" w:hAnsi="Times New Roman" w:eastAsia="宋体" w:cs="Times New Roman"/>
                      <w:b w:val="0"/>
                      <w:bCs w:val="0"/>
                      <w:color w:val="auto"/>
                      <w:sz w:val="21"/>
                      <w:szCs w:val="21"/>
                      <w:vertAlign w:val="baseline"/>
                      <w:lang w:val="en-US" w:eastAsia="zh-CN"/>
                    </w:rPr>
                  </w:pPr>
                </w:p>
              </w:tc>
              <w:tc>
                <w:tcPr>
                  <w:tcW w:w="3340" w:type="dxa"/>
                  <w:vAlign w:val="center"/>
                </w:tcPr>
                <w:p w14:paraId="68887F1E">
                  <w:pPr>
                    <w:numPr>
                      <w:ilvl w:val="0"/>
                      <w:numId w:val="0"/>
                    </w:numPr>
                    <w:bidi w:val="0"/>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6.1.6应位于居民中心区常年最大风频的下风向</w:t>
                  </w:r>
                  <w:r>
                    <w:rPr>
                      <w:rFonts w:hint="eastAsia" w:cs="Times New Roman"/>
                      <w:b w:val="0"/>
                      <w:bCs w:val="0"/>
                      <w:color w:val="auto"/>
                      <w:sz w:val="21"/>
                      <w:szCs w:val="21"/>
                      <w:vertAlign w:val="baseline"/>
                      <w:lang w:val="en-US" w:eastAsia="zh-CN"/>
                    </w:rPr>
                    <w:t>；</w:t>
                  </w:r>
                </w:p>
              </w:tc>
              <w:tc>
                <w:tcPr>
                  <w:tcW w:w="2960" w:type="dxa"/>
                  <w:vAlign w:val="center"/>
                </w:tcPr>
                <w:p w14:paraId="5A4FBB36">
                  <w:pPr>
                    <w:numPr>
                      <w:ilvl w:val="0"/>
                      <w:numId w:val="0"/>
                    </w:numPr>
                    <w:bidi w:val="0"/>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厂区位于城镇居民中心主导风向的</w:t>
                  </w:r>
                  <w:r>
                    <w:rPr>
                      <w:rFonts w:hint="eastAsia" w:cs="Times New Roman"/>
                      <w:b w:val="0"/>
                      <w:bCs w:val="0"/>
                      <w:color w:val="auto"/>
                      <w:sz w:val="21"/>
                      <w:szCs w:val="21"/>
                      <w:vertAlign w:val="baseline"/>
                      <w:lang w:val="en-US" w:eastAsia="zh-CN"/>
                    </w:rPr>
                    <w:t>侧</w:t>
                  </w:r>
                  <w:r>
                    <w:rPr>
                      <w:rFonts w:hint="eastAsia" w:ascii="Times New Roman" w:hAnsi="Times New Roman" w:eastAsia="宋体" w:cs="Times New Roman"/>
                      <w:b w:val="0"/>
                      <w:bCs w:val="0"/>
                      <w:color w:val="auto"/>
                      <w:sz w:val="21"/>
                      <w:szCs w:val="21"/>
                      <w:vertAlign w:val="baseline"/>
                      <w:lang w:val="en-US" w:eastAsia="zh-CN"/>
                    </w:rPr>
                    <w:t>下风向</w:t>
                  </w:r>
                  <w:r>
                    <w:rPr>
                      <w:rFonts w:hint="eastAsia" w:cs="Times New Roman"/>
                      <w:b w:val="0"/>
                      <w:bCs w:val="0"/>
                      <w:color w:val="auto"/>
                      <w:sz w:val="21"/>
                      <w:szCs w:val="21"/>
                      <w:vertAlign w:val="baseline"/>
                      <w:lang w:val="en-US" w:eastAsia="zh-CN"/>
                    </w:rPr>
                    <w:t>；</w:t>
                  </w:r>
                </w:p>
              </w:tc>
              <w:tc>
                <w:tcPr>
                  <w:tcW w:w="940" w:type="dxa"/>
                  <w:vAlign w:val="center"/>
                </w:tcPr>
                <w:p w14:paraId="0531718D">
                  <w:pPr>
                    <w:numPr>
                      <w:ilvl w:val="0"/>
                      <w:numId w:val="0"/>
                    </w:numPr>
                    <w:bidi w:val="0"/>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color w:val="auto"/>
                      <w:sz w:val="21"/>
                      <w:szCs w:val="21"/>
                    </w:rPr>
                    <w:t>符合</w:t>
                  </w:r>
                </w:p>
              </w:tc>
            </w:tr>
            <w:tr w14:paraId="7179B3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78" w:type="dxa"/>
                  <w:vMerge w:val="restart"/>
                  <w:vAlign w:val="center"/>
                </w:tcPr>
                <w:p w14:paraId="1A72CB38">
                  <w:pPr>
                    <w:numPr>
                      <w:ilvl w:val="0"/>
                      <w:numId w:val="0"/>
                    </w:numPr>
                    <w:bidi w:val="0"/>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rPr>
                    <w:t>6.2贮存设施（仓库式设计原则</w:t>
                  </w:r>
                </w:p>
              </w:tc>
              <w:tc>
                <w:tcPr>
                  <w:tcW w:w="3340" w:type="dxa"/>
                  <w:vAlign w:val="center"/>
                </w:tcPr>
                <w:p w14:paraId="72DFA104">
                  <w:pPr>
                    <w:numPr>
                      <w:ilvl w:val="0"/>
                      <w:numId w:val="0"/>
                    </w:numPr>
                    <w:bidi w:val="0"/>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6.2.1地面与裙脚要用坚固、防渗的材料建造，建筑材料必须与危险废物相容</w:t>
                  </w:r>
                  <w:r>
                    <w:rPr>
                      <w:rFonts w:hint="eastAsia" w:cs="Times New Roman"/>
                      <w:b w:val="0"/>
                      <w:bCs w:val="0"/>
                      <w:color w:val="auto"/>
                      <w:sz w:val="21"/>
                      <w:szCs w:val="21"/>
                      <w:vertAlign w:val="baseline"/>
                      <w:lang w:val="en-US" w:eastAsia="zh-CN"/>
                    </w:rPr>
                    <w:t>；</w:t>
                  </w:r>
                </w:p>
              </w:tc>
              <w:tc>
                <w:tcPr>
                  <w:tcW w:w="2960" w:type="dxa"/>
                  <w:vAlign w:val="center"/>
                </w:tcPr>
                <w:p w14:paraId="2E54C086">
                  <w:pPr>
                    <w:numPr>
                      <w:ilvl w:val="0"/>
                      <w:numId w:val="0"/>
                    </w:numPr>
                    <w:bidi w:val="0"/>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危险废物贮存库地面及裙角在建设过程均采取防渗措施，且满足相关标准要求，建筑材料与危险废物相容</w:t>
                  </w:r>
                  <w:r>
                    <w:rPr>
                      <w:rFonts w:hint="eastAsia" w:cs="Times New Roman"/>
                      <w:b w:val="0"/>
                      <w:bCs w:val="0"/>
                      <w:color w:val="auto"/>
                      <w:sz w:val="21"/>
                      <w:szCs w:val="21"/>
                      <w:vertAlign w:val="baseline"/>
                      <w:lang w:val="en-US" w:eastAsia="zh-CN"/>
                    </w:rPr>
                    <w:t>；</w:t>
                  </w:r>
                </w:p>
              </w:tc>
              <w:tc>
                <w:tcPr>
                  <w:tcW w:w="940" w:type="dxa"/>
                  <w:vAlign w:val="center"/>
                </w:tcPr>
                <w:p w14:paraId="131F8C3A">
                  <w:pPr>
                    <w:numPr>
                      <w:ilvl w:val="0"/>
                      <w:numId w:val="0"/>
                    </w:numPr>
                    <w:bidi w:val="0"/>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color w:val="auto"/>
                      <w:sz w:val="21"/>
                      <w:szCs w:val="21"/>
                    </w:rPr>
                    <w:t>符合</w:t>
                  </w:r>
                </w:p>
              </w:tc>
            </w:tr>
            <w:tr w14:paraId="08A887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78" w:type="dxa"/>
                  <w:vMerge w:val="continue"/>
                  <w:vAlign w:val="center"/>
                </w:tcPr>
                <w:p w14:paraId="36E7CCAA">
                  <w:pPr>
                    <w:numPr>
                      <w:ilvl w:val="0"/>
                      <w:numId w:val="0"/>
                    </w:numPr>
                    <w:bidi w:val="0"/>
                    <w:spacing w:line="240" w:lineRule="auto"/>
                    <w:jc w:val="center"/>
                    <w:rPr>
                      <w:rFonts w:hint="eastAsia" w:ascii="Times New Roman" w:hAnsi="Times New Roman" w:eastAsia="宋体" w:cs="Times New Roman"/>
                      <w:b w:val="0"/>
                      <w:bCs w:val="0"/>
                      <w:color w:val="auto"/>
                      <w:sz w:val="21"/>
                      <w:szCs w:val="21"/>
                      <w:vertAlign w:val="baseline"/>
                      <w:lang w:val="en-US" w:eastAsia="zh-CN"/>
                    </w:rPr>
                  </w:pPr>
                </w:p>
              </w:tc>
              <w:tc>
                <w:tcPr>
                  <w:tcW w:w="3340" w:type="dxa"/>
                  <w:vAlign w:val="center"/>
                </w:tcPr>
                <w:p w14:paraId="6967EA3C">
                  <w:pPr>
                    <w:numPr>
                      <w:ilvl w:val="0"/>
                      <w:numId w:val="0"/>
                    </w:numPr>
                    <w:bidi w:val="0"/>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6.2.2必须有泄漏液体收集装置、气体导出口及气体净化装置</w:t>
                  </w:r>
                  <w:r>
                    <w:rPr>
                      <w:rFonts w:hint="eastAsia" w:cs="Times New Roman"/>
                      <w:b w:val="0"/>
                      <w:bCs w:val="0"/>
                      <w:color w:val="auto"/>
                      <w:sz w:val="21"/>
                      <w:szCs w:val="21"/>
                      <w:vertAlign w:val="baseline"/>
                      <w:lang w:val="en-US" w:eastAsia="zh-CN"/>
                    </w:rPr>
                    <w:t>；</w:t>
                  </w:r>
                </w:p>
              </w:tc>
              <w:tc>
                <w:tcPr>
                  <w:tcW w:w="2960" w:type="dxa"/>
                  <w:vAlign w:val="center"/>
                </w:tcPr>
                <w:p w14:paraId="2249A532">
                  <w:pPr>
                    <w:numPr>
                      <w:ilvl w:val="0"/>
                      <w:numId w:val="0"/>
                    </w:numPr>
                    <w:bidi w:val="0"/>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项目危险废物贮存库设置有导流槽和事故收集池，并安装活性炭吸附装置</w:t>
                  </w:r>
                  <w:r>
                    <w:rPr>
                      <w:rFonts w:hint="eastAsia" w:cs="Times New Roman"/>
                      <w:b w:val="0"/>
                      <w:bCs w:val="0"/>
                      <w:color w:val="auto"/>
                      <w:sz w:val="21"/>
                      <w:szCs w:val="21"/>
                      <w:vertAlign w:val="baseline"/>
                      <w:lang w:val="en-US" w:eastAsia="zh-CN"/>
                    </w:rPr>
                    <w:t>；</w:t>
                  </w:r>
                </w:p>
              </w:tc>
              <w:tc>
                <w:tcPr>
                  <w:tcW w:w="940" w:type="dxa"/>
                  <w:vAlign w:val="center"/>
                </w:tcPr>
                <w:p w14:paraId="21EC694B">
                  <w:pPr>
                    <w:numPr>
                      <w:ilvl w:val="0"/>
                      <w:numId w:val="0"/>
                    </w:numPr>
                    <w:bidi w:val="0"/>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color w:val="auto"/>
                      <w:sz w:val="21"/>
                      <w:szCs w:val="21"/>
                    </w:rPr>
                    <w:t>符合</w:t>
                  </w:r>
                </w:p>
              </w:tc>
            </w:tr>
            <w:tr w14:paraId="79DD0F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78" w:type="dxa"/>
                  <w:vMerge w:val="continue"/>
                  <w:vAlign w:val="center"/>
                </w:tcPr>
                <w:p w14:paraId="69ADCD7C">
                  <w:pPr>
                    <w:numPr>
                      <w:ilvl w:val="0"/>
                      <w:numId w:val="0"/>
                    </w:numPr>
                    <w:bidi w:val="0"/>
                    <w:spacing w:line="240" w:lineRule="auto"/>
                    <w:jc w:val="center"/>
                    <w:rPr>
                      <w:rFonts w:hint="eastAsia" w:ascii="Times New Roman" w:hAnsi="Times New Roman" w:eastAsia="宋体" w:cs="Times New Roman"/>
                      <w:b w:val="0"/>
                      <w:bCs w:val="0"/>
                      <w:color w:val="auto"/>
                      <w:sz w:val="21"/>
                      <w:szCs w:val="21"/>
                      <w:vertAlign w:val="baseline"/>
                      <w:lang w:val="en-US" w:eastAsia="zh-CN"/>
                    </w:rPr>
                  </w:pPr>
                </w:p>
              </w:tc>
              <w:tc>
                <w:tcPr>
                  <w:tcW w:w="3340" w:type="dxa"/>
                  <w:vAlign w:val="center"/>
                </w:tcPr>
                <w:p w14:paraId="68635BE0">
                  <w:pPr>
                    <w:numPr>
                      <w:ilvl w:val="0"/>
                      <w:numId w:val="0"/>
                    </w:numPr>
                    <w:bidi w:val="0"/>
                    <w:spacing w:line="240" w:lineRule="auto"/>
                    <w:jc w:val="both"/>
                    <w:rPr>
                      <w:rFonts w:hint="default"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6.2.3设施内要有安全照明设施和观察窗口</w:t>
                  </w:r>
                  <w:r>
                    <w:rPr>
                      <w:rFonts w:hint="eastAsia" w:cs="Times New Roman"/>
                      <w:b w:val="0"/>
                      <w:bCs w:val="0"/>
                      <w:color w:val="auto"/>
                      <w:sz w:val="21"/>
                      <w:szCs w:val="21"/>
                      <w:vertAlign w:val="baseline"/>
                      <w:lang w:val="en-US" w:eastAsia="zh-CN"/>
                    </w:rPr>
                    <w:t>；</w:t>
                  </w:r>
                </w:p>
              </w:tc>
              <w:tc>
                <w:tcPr>
                  <w:tcW w:w="2960" w:type="dxa"/>
                  <w:vAlign w:val="center"/>
                </w:tcPr>
                <w:p w14:paraId="3D028878">
                  <w:pPr>
                    <w:numPr>
                      <w:ilvl w:val="0"/>
                      <w:numId w:val="0"/>
                    </w:numPr>
                    <w:bidi w:val="0"/>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危险废物贮存库内设置安全防爆型照明装置和观察窗口</w:t>
                  </w:r>
                  <w:r>
                    <w:rPr>
                      <w:rFonts w:hint="eastAsia" w:cs="Times New Roman"/>
                      <w:b w:val="0"/>
                      <w:bCs w:val="0"/>
                      <w:color w:val="auto"/>
                      <w:sz w:val="21"/>
                      <w:szCs w:val="21"/>
                      <w:vertAlign w:val="baseline"/>
                      <w:lang w:val="en-US" w:eastAsia="zh-CN"/>
                    </w:rPr>
                    <w:t>；</w:t>
                  </w:r>
                </w:p>
              </w:tc>
              <w:tc>
                <w:tcPr>
                  <w:tcW w:w="940" w:type="dxa"/>
                  <w:vAlign w:val="center"/>
                </w:tcPr>
                <w:p w14:paraId="49980E6D">
                  <w:pPr>
                    <w:numPr>
                      <w:ilvl w:val="0"/>
                      <w:numId w:val="0"/>
                    </w:numPr>
                    <w:bidi w:val="0"/>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color w:val="auto"/>
                      <w:sz w:val="21"/>
                      <w:szCs w:val="21"/>
                    </w:rPr>
                    <w:t>符合</w:t>
                  </w:r>
                </w:p>
              </w:tc>
            </w:tr>
            <w:tr w14:paraId="6BA806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78" w:type="dxa"/>
                  <w:vMerge w:val="continue"/>
                  <w:vAlign w:val="center"/>
                </w:tcPr>
                <w:p w14:paraId="52DFCB7E">
                  <w:pPr>
                    <w:numPr>
                      <w:ilvl w:val="0"/>
                      <w:numId w:val="0"/>
                    </w:numPr>
                    <w:bidi w:val="0"/>
                    <w:spacing w:line="240" w:lineRule="auto"/>
                    <w:jc w:val="center"/>
                    <w:rPr>
                      <w:rFonts w:hint="eastAsia" w:ascii="Times New Roman" w:hAnsi="Times New Roman" w:eastAsia="宋体" w:cs="Times New Roman"/>
                      <w:b w:val="0"/>
                      <w:bCs w:val="0"/>
                      <w:color w:val="auto"/>
                      <w:sz w:val="21"/>
                      <w:szCs w:val="21"/>
                      <w:vertAlign w:val="baseline"/>
                      <w:lang w:val="en-US" w:eastAsia="zh-CN"/>
                    </w:rPr>
                  </w:pPr>
                </w:p>
              </w:tc>
              <w:tc>
                <w:tcPr>
                  <w:tcW w:w="3340" w:type="dxa"/>
                  <w:vAlign w:val="center"/>
                </w:tcPr>
                <w:p w14:paraId="664F34EC">
                  <w:pPr>
                    <w:numPr>
                      <w:ilvl w:val="0"/>
                      <w:numId w:val="0"/>
                    </w:numPr>
                    <w:bidi w:val="0"/>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6.2.4用以存放装载液体、半固态危险废物容器的地方，必须有耐腐蚀的硬化地面，且表面无裂隙</w:t>
                  </w:r>
                  <w:r>
                    <w:rPr>
                      <w:rFonts w:hint="eastAsia" w:cs="Times New Roman"/>
                      <w:b w:val="0"/>
                      <w:bCs w:val="0"/>
                      <w:color w:val="auto"/>
                      <w:sz w:val="21"/>
                      <w:szCs w:val="21"/>
                      <w:vertAlign w:val="baseline"/>
                      <w:lang w:val="en-US" w:eastAsia="zh-CN"/>
                    </w:rPr>
                    <w:t>；</w:t>
                  </w:r>
                </w:p>
              </w:tc>
              <w:tc>
                <w:tcPr>
                  <w:tcW w:w="2960" w:type="dxa"/>
                  <w:vAlign w:val="center"/>
                </w:tcPr>
                <w:p w14:paraId="1C13BA8F">
                  <w:pPr>
                    <w:numPr>
                      <w:ilvl w:val="0"/>
                      <w:numId w:val="0"/>
                    </w:numPr>
                    <w:bidi w:val="0"/>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建设的危险废物贮存库在建设过程</w:t>
                  </w:r>
                  <w:r>
                    <w:rPr>
                      <w:rFonts w:hint="eastAsia" w:cs="Times New Roman"/>
                      <w:b w:val="0"/>
                      <w:bCs w:val="0"/>
                      <w:color w:val="auto"/>
                      <w:sz w:val="21"/>
                      <w:szCs w:val="21"/>
                      <w:vertAlign w:val="baseline"/>
                      <w:lang w:val="en-US" w:eastAsia="zh-CN"/>
                    </w:rPr>
                    <w:t>对</w:t>
                  </w:r>
                  <w:r>
                    <w:rPr>
                      <w:rFonts w:hint="eastAsia" w:ascii="Times New Roman" w:hAnsi="Times New Roman" w:eastAsia="宋体" w:cs="Times New Roman"/>
                      <w:b w:val="0"/>
                      <w:bCs w:val="0"/>
                      <w:color w:val="auto"/>
                      <w:sz w:val="21"/>
                      <w:szCs w:val="21"/>
                      <w:vertAlign w:val="baseline"/>
                      <w:lang w:val="en-US" w:eastAsia="zh-CN"/>
                    </w:rPr>
                    <w:t>地面采取防渗、防腐措施且满足表面无裂隙的要求</w:t>
                  </w:r>
                  <w:r>
                    <w:rPr>
                      <w:rFonts w:hint="eastAsia" w:cs="Times New Roman"/>
                      <w:b w:val="0"/>
                      <w:bCs w:val="0"/>
                      <w:color w:val="auto"/>
                      <w:sz w:val="21"/>
                      <w:szCs w:val="21"/>
                      <w:vertAlign w:val="baseline"/>
                      <w:lang w:val="en-US" w:eastAsia="zh-CN"/>
                    </w:rPr>
                    <w:t>；</w:t>
                  </w:r>
                </w:p>
              </w:tc>
              <w:tc>
                <w:tcPr>
                  <w:tcW w:w="940" w:type="dxa"/>
                  <w:vAlign w:val="center"/>
                </w:tcPr>
                <w:p w14:paraId="3D658FCB">
                  <w:pPr>
                    <w:numPr>
                      <w:ilvl w:val="0"/>
                      <w:numId w:val="0"/>
                    </w:numPr>
                    <w:bidi w:val="0"/>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color w:val="auto"/>
                      <w:sz w:val="21"/>
                      <w:szCs w:val="21"/>
                    </w:rPr>
                    <w:t>符合</w:t>
                  </w:r>
                </w:p>
              </w:tc>
            </w:tr>
            <w:tr w14:paraId="218E44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78" w:type="dxa"/>
                  <w:vMerge w:val="continue"/>
                  <w:vAlign w:val="center"/>
                </w:tcPr>
                <w:p w14:paraId="6742E47F">
                  <w:pPr>
                    <w:numPr>
                      <w:ilvl w:val="0"/>
                      <w:numId w:val="0"/>
                    </w:numPr>
                    <w:bidi w:val="0"/>
                    <w:spacing w:line="240" w:lineRule="auto"/>
                    <w:jc w:val="center"/>
                    <w:rPr>
                      <w:rFonts w:hint="eastAsia" w:ascii="Times New Roman" w:hAnsi="Times New Roman" w:eastAsia="宋体" w:cs="Times New Roman"/>
                      <w:b w:val="0"/>
                      <w:bCs w:val="0"/>
                      <w:color w:val="auto"/>
                      <w:sz w:val="21"/>
                      <w:szCs w:val="21"/>
                      <w:vertAlign w:val="baseline"/>
                      <w:lang w:val="en-US" w:eastAsia="zh-CN"/>
                    </w:rPr>
                  </w:pPr>
                </w:p>
              </w:tc>
              <w:tc>
                <w:tcPr>
                  <w:tcW w:w="3340" w:type="dxa"/>
                  <w:vAlign w:val="center"/>
                </w:tcPr>
                <w:p w14:paraId="24B6ECBF">
                  <w:pPr>
                    <w:numPr>
                      <w:ilvl w:val="0"/>
                      <w:numId w:val="0"/>
                    </w:numPr>
                    <w:bidi w:val="0"/>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6.2.5应设计堵截泄漏的裙脚，地面与裙脚所围建的容积不低于堵截最大容器的最大储量或总储量的五分之一</w:t>
                  </w:r>
                  <w:r>
                    <w:rPr>
                      <w:rFonts w:hint="eastAsia" w:cs="Times New Roman"/>
                      <w:b w:val="0"/>
                      <w:bCs w:val="0"/>
                      <w:color w:val="auto"/>
                      <w:sz w:val="21"/>
                      <w:szCs w:val="21"/>
                      <w:vertAlign w:val="baseline"/>
                      <w:lang w:val="en-US" w:eastAsia="zh-CN"/>
                    </w:rPr>
                    <w:t>；</w:t>
                  </w:r>
                </w:p>
              </w:tc>
              <w:tc>
                <w:tcPr>
                  <w:tcW w:w="2960" w:type="dxa"/>
                  <w:vAlign w:val="center"/>
                </w:tcPr>
                <w:p w14:paraId="70764075">
                  <w:pPr>
                    <w:numPr>
                      <w:ilvl w:val="0"/>
                      <w:numId w:val="0"/>
                    </w:numPr>
                    <w:bidi w:val="0"/>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危险废物贮存库严格按照要求设置堵截泄漏的裙脚，地面与裙脚所围建的容积不低于堵截最大容器的最大储量</w:t>
                  </w:r>
                  <w:r>
                    <w:rPr>
                      <w:rFonts w:hint="eastAsia" w:cs="Times New Roman"/>
                      <w:b w:val="0"/>
                      <w:bCs w:val="0"/>
                      <w:color w:val="auto"/>
                      <w:sz w:val="21"/>
                      <w:szCs w:val="21"/>
                      <w:vertAlign w:val="baseline"/>
                      <w:lang w:val="en-US" w:eastAsia="zh-CN"/>
                    </w:rPr>
                    <w:t>；</w:t>
                  </w:r>
                </w:p>
              </w:tc>
              <w:tc>
                <w:tcPr>
                  <w:tcW w:w="940" w:type="dxa"/>
                  <w:vAlign w:val="center"/>
                </w:tcPr>
                <w:p w14:paraId="44DE356E">
                  <w:pPr>
                    <w:numPr>
                      <w:ilvl w:val="0"/>
                      <w:numId w:val="0"/>
                    </w:numPr>
                    <w:bidi w:val="0"/>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color w:val="auto"/>
                      <w:sz w:val="21"/>
                      <w:szCs w:val="21"/>
                    </w:rPr>
                    <w:t>符合</w:t>
                  </w:r>
                </w:p>
              </w:tc>
            </w:tr>
            <w:tr w14:paraId="06E8E0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8" w:hRule="atLeast"/>
              </w:trPr>
              <w:tc>
                <w:tcPr>
                  <w:tcW w:w="678" w:type="dxa"/>
                  <w:vMerge w:val="restart"/>
                  <w:vAlign w:val="center"/>
                </w:tcPr>
                <w:p w14:paraId="3E4EC8BE">
                  <w:pPr>
                    <w:numPr>
                      <w:ilvl w:val="0"/>
                      <w:numId w:val="0"/>
                    </w:numPr>
                    <w:bidi w:val="0"/>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7</w:t>
                  </w:r>
                </w:p>
                <w:p w14:paraId="4E9F1A77">
                  <w:pPr>
                    <w:numPr>
                      <w:ilvl w:val="0"/>
                      <w:numId w:val="0"/>
                    </w:numPr>
                    <w:bidi w:val="0"/>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危险废物贮存设施的运行与管理</w:t>
                  </w:r>
                </w:p>
              </w:tc>
              <w:tc>
                <w:tcPr>
                  <w:tcW w:w="3340" w:type="dxa"/>
                  <w:vAlign w:val="center"/>
                </w:tcPr>
                <w:p w14:paraId="75882DA2">
                  <w:pPr>
                    <w:numPr>
                      <w:ilvl w:val="0"/>
                      <w:numId w:val="0"/>
                    </w:numPr>
                    <w:bidi w:val="0"/>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7.1从事危险废物贮存的单位，必须得到有资质单位出具的该危险废物样品物理和化学性质的分析报告，认定可以贮存后，方可接收</w:t>
                  </w:r>
                  <w:r>
                    <w:rPr>
                      <w:rFonts w:hint="eastAsia" w:cs="Times New Roman"/>
                      <w:b w:val="0"/>
                      <w:bCs w:val="0"/>
                      <w:color w:val="auto"/>
                      <w:sz w:val="21"/>
                      <w:szCs w:val="21"/>
                      <w:vertAlign w:val="baseline"/>
                      <w:lang w:val="en-US" w:eastAsia="zh-CN"/>
                    </w:rPr>
                    <w:t>；</w:t>
                  </w:r>
                </w:p>
              </w:tc>
              <w:tc>
                <w:tcPr>
                  <w:tcW w:w="2960" w:type="dxa"/>
                  <w:vAlign w:val="center"/>
                </w:tcPr>
                <w:p w14:paraId="558D935B">
                  <w:pPr>
                    <w:numPr>
                      <w:ilvl w:val="0"/>
                      <w:numId w:val="0"/>
                    </w:numPr>
                    <w:bidi w:val="0"/>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要求项目危险废物接收前必须取得有资质单位出具的该危险废物物理和化学性质的分析报告，认定可以贮存后接收</w:t>
                  </w:r>
                  <w:r>
                    <w:rPr>
                      <w:rFonts w:hint="eastAsia" w:cs="Times New Roman"/>
                      <w:b w:val="0"/>
                      <w:bCs w:val="0"/>
                      <w:color w:val="auto"/>
                      <w:sz w:val="21"/>
                      <w:szCs w:val="21"/>
                      <w:vertAlign w:val="baseline"/>
                      <w:lang w:val="en-US" w:eastAsia="zh-CN"/>
                    </w:rPr>
                    <w:t>；</w:t>
                  </w:r>
                </w:p>
              </w:tc>
              <w:tc>
                <w:tcPr>
                  <w:tcW w:w="940" w:type="dxa"/>
                  <w:vAlign w:val="center"/>
                </w:tcPr>
                <w:p w14:paraId="5365AC87">
                  <w:pPr>
                    <w:numPr>
                      <w:ilvl w:val="0"/>
                      <w:numId w:val="0"/>
                    </w:numPr>
                    <w:bidi w:val="0"/>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color w:val="auto"/>
                      <w:sz w:val="21"/>
                      <w:szCs w:val="21"/>
                    </w:rPr>
                    <w:t>符合</w:t>
                  </w:r>
                </w:p>
              </w:tc>
            </w:tr>
            <w:tr w14:paraId="09BE38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6" w:hRule="atLeast"/>
              </w:trPr>
              <w:tc>
                <w:tcPr>
                  <w:tcW w:w="678" w:type="dxa"/>
                  <w:vMerge w:val="continue"/>
                  <w:vAlign w:val="center"/>
                </w:tcPr>
                <w:p w14:paraId="2B22E7DC">
                  <w:pPr>
                    <w:numPr>
                      <w:ilvl w:val="0"/>
                      <w:numId w:val="0"/>
                    </w:numPr>
                    <w:bidi w:val="0"/>
                    <w:spacing w:line="240" w:lineRule="auto"/>
                    <w:jc w:val="center"/>
                    <w:rPr>
                      <w:rFonts w:hint="eastAsia" w:ascii="Times New Roman" w:hAnsi="Times New Roman" w:eastAsia="宋体" w:cs="Times New Roman"/>
                      <w:b w:val="0"/>
                      <w:bCs w:val="0"/>
                      <w:color w:val="auto"/>
                      <w:sz w:val="21"/>
                      <w:szCs w:val="21"/>
                      <w:vertAlign w:val="baseline"/>
                      <w:lang w:val="en-US" w:eastAsia="zh-CN"/>
                    </w:rPr>
                  </w:pPr>
                </w:p>
              </w:tc>
              <w:tc>
                <w:tcPr>
                  <w:tcW w:w="3340" w:type="dxa"/>
                  <w:vAlign w:val="center"/>
                </w:tcPr>
                <w:p w14:paraId="3620784F">
                  <w:pPr>
                    <w:numPr>
                      <w:ilvl w:val="0"/>
                      <w:numId w:val="0"/>
                    </w:numPr>
                    <w:bidi w:val="0"/>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7.2危险废物贮存前应进行检验，确保同预定接收的危险废物一致，并登记注册</w:t>
                  </w:r>
                  <w:r>
                    <w:rPr>
                      <w:rFonts w:hint="eastAsia" w:cs="Times New Roman"/>
                      <w:b w:val="0"/>
                      <w:bCs w:val="0"/>
                      <w:color w:val="auto"/>
                      <w:sz w:val="21"/>
                      <w:szCs w:val="21"/>
                      <w:vertAlign w:val="baseline"/>
                      <w:lang w:val="en-US" w:eastAsia="zh-CN"/>
                    </w:rPr>
                    <w:t>；</w:t>
                  </w:r>
                </w:p>
              </w:tc>
              <w:tc>
                <w:tcPr>
                  <w:tcW w:w="2960" w:type="dxa"/>
                  <w:vAlign w:val="center"/>
                </w:tcPr>
                <w:p w14:paraId="312D3D57">
                  <w:pPr>
                    <w:numPr>
                      <w:ilvl w:val="0"/>
                      <w:numId w:val="0"/>
                    </w:numPr>
                    <w:bidi w:val="0"/>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贮存前</w:t>
                  </w:r>
                  <w:r>
                    <w:rPr>
                      <w:rFonts w:hint="eastAsia" w:cs="Times New Roman"/>
                      <w:b w:val="0"/>
                      <w:bCs w:val="0"/>
                      <w:color w:val="auto"/>
                      <w:sz w:val="21"/>
                      <w:szCs w:val="21"/>
                      <w:vertAlign w:val="baseline"/>
                      <w:lang w:val="en-US" w:eastAsia="zh-CN"/>
                    </w:rPr>
                    <w:t>对</w:t>
                  </w:r>
                  <w:r>
                    <w:rPr>
                      <w:rFonts w:hint="eastAsia" w:ascii="Times New Roman" w:hAnsi="Times New Roman" w:eastAsia="宋体" w:cs="Times New Roman"/>
                      <w:b w:val="0"/>
                      <w:bCs w:val="0"/>
                      <w:color w:val="auto"/>
                      <w:sz w:val="21"/>
                      <w:szCs w:val="21"/>
                      <w:vertAlign w:val="baseline"/>
                      <w:lang w:val="en-US" w:eastAsia="zh-CN"/>
                    </w:rPr>
                    <w:t>危废进行检验，确保同预定接收的危险废物一致，严格按要求登记注册</w:t>
                  </w:r>
                  <w:r>
                    <w:rPr>
                      <w:rFonts w:hint="eastAsia" w:cs="Times New Roman"/>
                      <w:b w:val="0"/>
                      <w:bCs w:val="0"/>
                      <w:color w:val="auto"/>
                      <w:sz w:val="21"/>
                      <w:szCs w:val="21"/>
                      <w:vertAlign w:val="baseline"/>
                      <w:lang w:val="en-US" w:eastAsia="zh-CN"/>
                    </w:rPr>
                    <w:t>；</w:t>
                  </w:r>
                </w:p>
              </w:tc>
              <w:tc>
                <w:tcPr>
                  <w:tcW w:w="940" w:type="dxa"/>
                  <w:vAlign w:val="center"/>
                </w:tcPr>
                <w:p w14:paraId="2FBAC5F6">
                  <w:pPr>
                    <w:numPr>
                      <w:ilvl w:val="0"/>
                      <w:numId w:val="0"/>
                    </w:numPr>
                    <w:bidi w:val="0"/>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color w:val="auto"/>
                      <w:sz w:val="21"/>
                      <w:szCs w:val="21"/>
                    </w:rPr>
                    <w:t>符合</w:t>
                  </w:r>
                </w:p>
              </w:tc>
            </w:tr>
            <w:tr w14:paraId="7427848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678" w:type="dxa"/>
                  <w:vMerge w:val="continue"/>
                  <w:vAlign w:val="center"/>
                </w:tcPr>
                <w:p w14:paraId="2866D9CD">
                  <w:pPr>
                    <w:numPr>
                      <w:ilvl w:val="0"/>
                      <w:numId w:val="0"/>
                    </w:numPr>
                    <w:bidi w:val="0"/>
                    <w:spacing w:line="240" w:lineRule="auto"/>
                    <w:jc w:val="center"/>
                    <w:rPr>
                      <w:rFonts w:hint="eastAsia" w:ascii="Times New Roman" w:hAnsi="Times New Roman" w:eastAsia="宋体" w:cs="Times New Roman"/>
                      <w:b w:val="0"/>
                      <w:bCs w:val="0"/>
                      <w:color w:val="auto"/>
                      <w:sz w:val="21"/>
                      <w:szCs w:val="21"/>
                      <w:vertAlign w:val="baseline"/>
                      <w:lang w:val="en-US" w:eastAsia="zh-CN"/>
                    </w:rPr>
                  </w:pPr>
                </w:p>
              </w:tc>
              <w:tc>
                <w:tcPr>
                  <w:tcW w:w="3340" w:type="dxa"/>
                  <w:vAlign w:val="center"/>
                </w:tcPr>
                <w:p w14:paraId="1F8081BE">
                  <w:pPr>
                    <w:numPr>
                      <w:ilvl w:val="0"/>
                      <w:numId w:val="0"/>
                    </w:numPr>
                    <w:bidi w:val="0"/>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7.3不得接收未粘贴符合4.9规定的标签或标签没按规定填写的危险废物</w:t>
                  </w:r>
                  <w:r>
                    <w:rPr>
                      <w:rFonts w:hint="eastAsia" w:cs="Times New Roman"/>
                      <w:b w:val="0"/>
                      <w:bCs w:val="0"/>
                      <w:color w:val="auto"/>
                      <w:sz w:val="21"/>
                      <w:szCs w:val="21"/>
                      <w:vertAlign w:val="baseline"/>
                      <w:lang w:val="en-US" w:eastAsia="zh-CN"/>
                    </w:rPr>
                    <w:t>；</w:t>
                  </w:r>
                </w:p>
              </w:tc>
              <w:tc>
                <w:tcPr>
                  <w:tcW w:w="2960" w:type="dxa"/>
                  <w:vAlign w:val="center"/>
                </w:tcPr>
                <w:p w14:paraId="06C5087E">
                  <w:pPr>
                    <w:numPr>
                      <w:ilvl w:val="0"/>
                      <w:numId w:val="0"/>
                    </w:numPr>
                    <w:bidi w:val="0"/>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项目</w:t>
                  </w:r>
                  <w:r>
                    <w:rPr>
                      <w:rFonts w:hint="eastAsia" w:ascii="Times New Roman" w:hAnsi="Times New Roman" w:eastAsia="宋体" w:cs="Times New Roman"/>
                      <w:b w:val="0"/>
                      <w:bCs w:val="0"/>
                      <w:color w:val="auto"/>
                      <w:sz w:val="21"/>
                      <w:szCs w:val="21"/>
                      <w:vertAlign w:val="baseline"/>
                      <w:lang w:val="en-US" w:eastAsia="zh-CN"/>
                    </w:rPr>
                    <w:t>接收的危险废物粘贴</w:t>
                  </w:r>
                  <w:r>
                    <w:rPr>
                      <w:rFonts w:hint="eastAsia" w:cs="Times New Roman"/>
                      <w:b w:val="0"/>
                      <w:bCs w:val="0"/>
                      <w:color w:val="auto"/>
                      <w:sz w:val="21"/>
                      <w:szCs w:val="21"/>
                      <w:vertAlign w:val="baseline"/>
                      <w:lang w:val="en-US" w:eastAsia="zh-CN"/>
                    </w:rPr>
                    <w:t>有</w:t>
                  </w:r>
                  <w:r>
                    <w:rPr>
                      <w:rFonts w:hint="eastAsia" w:ascii="Times New Roman" w:hAnsi="Times New Roman" w:eastAsia="宋体" w:cs="Times New Roman"/>
                      <w:b w:val="0"/>
                      <w:bCs w:val="0"/>
                      <w:color w:val="auto"/>
                      <w:sz w:val="21"/>
                      <w:szCs w:val="21"/>
                      <w:vertAlign w:val="baseline"/>
                      <w:lang w:val="en-US" w:eastAsia="zh-CN"/>
                    </w:rPr>
                    <w:t>符合4.9规定的标签，标签没按规定粘贴</w:t>
                  </w:r>
                  <w:r>
                    <w:rPr>
                      <w:rFonts w:hint="eastAsia" w:cs="Times New Roman"/>
                      <w:b w:val="0"/>
                      <w:bCs w:val="0"/>
                      <w:color w:val="auto"/>
                      <w:sz w:val="21"/>
                      <w:szCs w:val="21"/>
                      <w:vertAlign w:val="baseline"/>
                      <w:lang w:val="en-US" w:eastAsia="zh-CN"/>
                    </w:rPr>
                    <w:t>、</w:t>
                  </w:r>
                  <w:r>
                    <w:rPr>
                      <w:rFonts w:hint="eastAsia" w:ascii="Times New Roman" w:hAnsi="Times New Roman" w:eastAsia="宋体" w:cs="Times New Roman"/>
                      <w:b w:val="0"/>
                      <w:bCs w:val="0"/>
                      <w:color w:val="auto"/>
                      <w:sz w:val="21"/>
                      <w:szCs w:val="21"/>
                      <w:vertAlign w:val="baseline"/>
                      <w:lang w:val="en-US" w:eastAsia="zh-CN"/>
                    </w:rPr>
                    <w:t>填写的危险废物</w:t>
                  </w:r>
                  <w:r>
                    <w:rPr>
                      <w:rFonts w:hint="eastAsia" w:cs="Times New Roman"/>
                      <w:b w:val="0"/>
                      <w:bCs w:val="0"/>
                      <w:color w:val="auto"/>
                      <w:sz w:val="21"/>
                      <w:szCs w:val="21"/>
                      <w:vertAlign w:val="baseline"/>
                      <w:lang w:val="en-US" w:eastAsia="zh-CN"/>
                    </w:rPr>
                    <w:t>不予</w:t>
                  </w:r>
                  <w:r>
                    <w:rPr>
                      <w:rFonts w:hint="eastAsia" w:ascii="Times New Roman" w:hAnsi="Times New Roman" w:eastAsia="宋体" w:cs="Times New Roman"/>
                      <w:b w:val="0"/>
                      <w:bCs w:val="0"/>
                      <w:color w:val="auto"/>
                      <w:sz w:val="21"/>
                      <w:szCs w:val="21"/>
                      <w:vertAlign w:val="baseline"/>
                      <w:lang w:val="en-US" w:eastAsia="zh-CN"/>
                    </w:rPr>
                    <w:t>接收</w:t>
                  </w:r>
                  <w:r>
                    <w:rPr>
                      <w:rFonts w:hint="eastAsia" w:cs="Times New Roman"/>
                      <w:b w:val="0"/>
                      <w:bCs w:val="0"/>
                      <w:color w:val="auto"/>
                      <w:sz w:val="21"/>
                      <w:szCs w:val="21"/>
                      <w:vertAlign w:val="baseline"/>
                      <w:lang w:val="en-US" w:eastAsia="zh-CN"/>
                    </w:rPr>
                    <w:t>；</w:t>
                  </w:r>
                </w:p>
              </w:tc>
              <w:tc>
                <w:tcPr>
                  <w:tcW w:w="940" w:type="dxa"/>
                  <w:vAlign w:val="center"/>
                </w:tcPr>
                <w:p w14:paraId="2575EAA3">
                  <w:pPr>
                    <w:numPr>
                      <w:ilvl w:val="0"/>
                      <w:numId w:val="0"/>
                    </w:numPr>
                    <w:bidi w:val="0"/>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color w:val="auto"/>
                      <w:sz w:val="21"/>
                      <w:szCs w:val="21"/>
                    </w:rPr>
                    <w:t>符合</w:t>
                  </w:r>
                </w:p>
              </w:tc>
            </w:tr>
            <w:tr w14:paraId="12FF76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678" w:type="dxa"/>
                  <w:vMerge w:val="continue"/>
                  <w:vAlign w:val="center"/>
                </w:tcPr>
                <w:p w14:paraId="1A8B69F6">
                  <w:pPr>
                    <w:numPr>
                      <w:ilvl w:val="0"/>
                      <w:numId w:val="0"/>
                    </w:numPr>
                    <w:bidi w:val="0"/>
                    <w:spacing w:line="240" w:lineRule="auto"/>
                    <w:jc w:val="center"/>
                    <w:rPr>
                      <w:rFonts w:hint="eastAsia" w:ascii="Times New Roman" w:hAnsi="Times New Roman" w:eastAsia="宋体" w:cs="Times New Roman"/>
                      <w:b w:val="0"/>
                      <w:bCs w:val="0"/>
                      <w:color w:val="auto"/>
                      <w:sz w:val="21"/>
                      <w:szCs w:val="21"/>
                      <w:vertAlign w:val="baseline"/>
                      <w:lang w:val="en-US" w:eastAsia="zh-CN"/>
                    </w:rPr>
                  </w:pPr>
                </w:p>
              </w:tc>
              <w:tc>
                <w:tcPr>
                  <w:tcW w:w="3340" w:type="dxa"/>
                  <w:vAlign w:val="center"/>
                </w:tcPr>
                <w:p w14:paraId="5BED36BF">
                  <w:pPr>
                    <w:numPr>
                      <w:ilvl w:val="0"/>
                      <w:numId w:val="0"/>
                    </w:numPr>
                    <w:bidi w:val="0"/>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7.4盛装在容器内的同类危险废物可以堆叠存放</w:t>
                  </w:r>
                  <w:r>
                    <w:rPr>
                      <w:rFonts w:hint="eastAsia" w:cs="Times New Roman"/>
                      <w:b w:val="0"/>
                      <w:bCs w:val="0"/>
                      <w:color w:val="auto"/>
                      <w:sz w:val="21"/>
                      <w:szCs w:val="21"/>
                      <w:vertAlign w:val="baseline"/>
                      <w:lang w:val="en-US" w:eastAsia="zh-CN"/>
                    </w:rPr>
                    <w:t>；</w:t>
                  </w:r>
                </w:p>
              </w:tc>
              <w:tc>
                <w:tcPr>
                  <w:tcW w:w="2960" w:type="dxa"/>
                  <w:vAlign w:val="center"/>
                </w:tcPr>
                <w:p w14:paraId="1E702155">
                  <w:pPr>
                    <w:numPr>
                      <w:ilvl w:val="0"/>
                      <w:numId w:val="0"/>
                    </w:numPr>
                    <w:bidi w:val="0"/>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仅进行废矿物油贮存工作，废矿物油贮存容器不堆叠存放</w:t>
                  </w:r>
                </w:p>
              </w:tc>
              <w:tc>
                <w:tcPr>
                  <w:tcW w:w="940" w:type="dxa"/>
                  <w:vAlign w:val="center"/>
                </w:tcPr>
                <w:p w14:paraId="086BAB7F">
                  <w:pPr>
                    <w:numPr>
                      <w:ilvl w:val="0"/>
                      <w:numId w:val="0"/>
                    </w:numPr>
                    <w:bidi w:val="0"/>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color w:val="auto"/>
                      <w:sz w:val="21"/>
                      <w:szCs w:val="21"/>
                    </w:rPr>
                    <w:t>符合</w:t>
                  </w:r>
                </w:p>
              </w:tc>
            </w:tr>
            <w:tr w14:paraId="5B0E0E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678" w:type="dxa"/>
                  <w:vMerge w:val="continue"/>
                  <w:vAlign w:val="center"/>
                </w:tcPr>
                <w:p w14:paraId="7EF5341B">
                  <w:pPr>
                    <w:numPr>
                      <w:ilvl w:val="0"/>
                      <w:numId w:val="0"/>
                    </w:numPr>
                    <w:bidi w:val="0"/>
                    <w:spacing w:line="240" w:lineRule="auto"/>
                    <w:jc w:val="center"/>
                    <w:rPr>
                      <w:rFonts w:hint="eastAsia" w:ascii="Times New Roman" w:hAnsi="Times New Roman" w:eastAsia="宋体" w:cs="Times New Roman"/>
                      <w:b w:val="0"/>
                      <w:bCs w:val="0"/>
                      <w:color w:val="auto"/>
                      <w:sz w:val="21"/>
                      <w:szCs w:val="21"/>
                      <w:vertAlign w:val="baseline"/>
                      <w:lang w:val="en-US" w:eastAsia="zh-CN"/>
                    </w:rPr>
                  </w:pPr>
                </w:p>
              </w:tc>
              <w:tc>
                <w:tcPr>
                  <w:tcW w:w="3340" w:type="dxa"/>
                  <w:vAlign w:val="center"/>
                </w:tcPr>
                <w:p w14:paraId="6F8B12E8">
                  <w:pPr>
                    <w:numPr>
                      <w:ilvl w:val="0"/>
                      <w:numId w:val="0"/>
                    </w:numPr>
                    <w:bidi w:val="0"/>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7.5每个堆间应留有搬运通道</w:t>
                  </w:r>
                  <w:r>
                    <w:rPr>
                      <w:rFonts w:hint="eastAsia" w:cs="Times New Roman"/>
                      <w:b w:val="0"/>
                      <w:bCs w:val="0"/>
                      <w:color w:val="auto"/>
                      <w:sz w:val="21"/>
                      <w:szCs w:val="21"/>
                      <w:vertAlign w:val="baseline"/>
                      <w:lang w:val="en-US" w:eastAsia="zh-CN"/>
                    </w:rPr>
                    <w:t>；</w:t>
                  </w:r>
                </w:p>
              </w:tc>
              <w:tc>
                <w:tcPr>
                  <w:tcW w:w="2960" w:type="dxa"/>
                  <w:vAlign w:val="center"/>
                </w:tcPr>
                <w:p w14:paraId="4F478128">
                  <w:pPr>
                    <w:numPr>
                      <w:ilvl w:val="0"/>
                      <w:numId w:val="0"/>
                    </w:numPr>
                    <w:bidi w:val="0"/>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危险废物贮存库贮存区留有搬运</w:t>
                  </w:r>
                  <w:r>
                    <w:rPr>
                      <w:rFonts w:hint="eastAsia" w:cs="Times New Roman"/>
                      <w:b w:val="0"/>
                      <w:bCs w:val="0"/>
                      <w:color w:val="auto"/>
                      <w:sz w:val="21"/>
                      <w:szCs w:val="21"/>
                      <w:vertAlign w:val="baseline"/>
                      <w:lang w:val="en-US" w:eastAsia="zh-CN"/>
                    </w:rPr>
                    <w:t>、检查</w:t>
                  </w:r>
                  <w:r>
                    <w:rPr>
                      <w:rFonts w:hint="eastAsia" w:ascii="Times New Roman" w:hAnsi="Times New Roman" w:eastAsia="宋体" w:cs="Times New Roman"/>
                      <w:b w:val="0"/>
                      <w:bCs w:val="0"/>
                      <w:color w:val="auto"/>
                      <w:sz w:val="21"/>
                      <w:szCs w:val="21"/>
                      <w:vertAlign w:val="baseline"/>
                      <w:lang w:val="en-US" w:eastAsia="zh-CN"/>
                    </w:rPr>
                    <w:t>通道</w:t>
                  </w:r>
                  <w:r>
                    <w:rPr>
                      <w:rFonts w:hint="eastAsia" w:cs="Times New Roman"/>
                      <w:b w:val="0"/>
                      <w:bCs w:val="0"/>
                      <w:color w:val="auto"/>
                      <w:sz w:val="21"/>
                      <w:szCs w:val="21"/>
                      <w:vertAlign w:val="baseline"/>
                      <w:lang w:val="en-US" w:eastAsia="zh-CN"/>
                    </w:rPr>
                    <w:t>；</w:t>
                  </w:r>
                </w:p>
              </w:tc>
              <w:tc>
                <w:tcPr>
                  <w:tcW w:w="940" w:type="dxa"/>
                  <w:vAlign w:val="center"/>
                </w:tcPr>
                <w:p w14:paraId="07E54235">
                  <w:pPr>
                    <w:numPr>
                      <w:ilvl w:val="0"/>
                      <w:numId w:val="0"/>
                    </w:numPr>
                    <w:bidi w:val="0"/>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color w:val="auto"/>
                      <w:sz w:val="21"/>
                      <w:szCs w:val="21"/>
                    </w:rPr>
                    <w:t>符合</w:t>
                  </w:r>
                </w:p>
              </w:tc>
            </w:tr>
            <w:tr w14:paraId="0F8313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 w:hRule="atLeast"/>
              </w:trPr>
              <w:tc>
                <w:tcPr>
                  <w:tcW w:w="678" w:type="dxa"/>
                  <w:vMerge w:val="continue"/>
                  <w:vAlign w:val="center"/>
                </w:tcPr>
                <w:p w14:paraId="0218A4E2">
                  <w:pPr>
                    <w:numPr>
                      <w:ilvl w:val="0"/>
                      <w:numId w:val="0"/>
                    </w:numPr>
                    <w:bidi w:val="0"/>
                    <w:spacing w:line="240" w:lineRule="auto"/>
                    <w:jc w:val="center"/>
                    <w:rPr>
                      <w:rFonts w:hint="eastAsia" w:ascii="Times New Roman" w:hAnsi="Times New Roman" w:eastAsia="宋体" w:cs="Times New Roman"/>
                      <w:b w:val="0"/>
                      <w:bCs w:val="0"/>
                      <w:color w:val="auto"/>
                      <w:sz w:val="21"/>
                      <w:szCs w:val="21"/>
                      <w:vertAlign w:val="baseline"/>
                      <w:lang w:val="en-US" w:eastAsia="zh-CN"/>
                    </w:rPr>
                  </w:pPr>
                </w:p>
              </w:tc>
              <w:tc>
                <w:tcPr>
                  <w:tcW w:w="3340" w:type="dxa"/>
                  <w:vAlign w:val="center"/>
                </w:tcPr>
                <w:p w14:paraId="7078F783">
                  <w:pPr>
                    <w:numPr>
                      <w:ilvl w:val="0"/>
                      <w:numId w:val="0"/>
                    </w:numPr>
                    <w:bidi w:val="0"/>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7.6不得将不相容的废物混合或合并存放</w:t>
                  </w:r>
                  <w:r>
                    <w:rPr>
                      <w:rFonts w:hint="eastAsia" w:cs="Times New Roman"/>
                      <w:b w:val="0"/>
                      <w:bCs w:val="0"/>
                      <w:color w:val="auto"/>
                      <w:sz w:val="21"/>
                      <w:szCs w:val="21"/>
                      <w:vertAlign w:val="baseline"/>
                      <w:lang w:val="en-US" w:eastAsia="zh-CN"/>
                    </w:rPr>
                    <w:t>；</w:t>
                  </w:r>
                </w:p>
              </w:tc>
              <w:tc>
                <w:tcPr>
                  <w:tcW w:w="2960" w:type="dxa"/>
                  <w:vAlign w:val="center"/>
                </w:tcPr>
                <w:p w14:paraId="175ED629">
                  <w:pPr>
                    <w:numPr>
                      <w:ilvl w:val="0"/>
                      <w:numId w:val="0"/>
                    </w:numPr>
                    <w:bidi w:val="0"/>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收集的废矿物油与运营过程产生废有手套、废贮存容器、废活性炭等分类收集分区存放</w:t>
                  </w:r>
                  <w:r>
                    <w:rPr>
                      <w:rFonts w:hint="eastAsia" w:cs="Times New Roman"/>
                      <w:b w:val="0"/>
                      <w:bCs w:val="0"/>
                      <w:color w:val="auto"/>
                      <w:sz w:val="21"/>
                      <w:szCs w:val="21"/>
                      <w:vertAlign w:val="baseline"/>
                      <w:lang w:val="en-US" w:eastAsia="zh-CN"/>
                    </w:rPr>
                    <w:t>；</w:t>
                  </w:r>
                </w:p>
              </w:tc>
              <w:tc>
                <w:tcPr>
                  <w:tcW w:w="940" w:type="dxa"/>
                  <w:vAlign w:val="center"/>
                </w:tcPr>
                <w:p w14:paraId="7ED11E17">
                  <w:pPr>
                    <w:numPr>
                      <w:ilvl w:val="0"/>
                      <w:numId w:val="0"/>
                    </w:numPr>
                    <w:bidi w:val="0"/>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color w:val="auto"/>
                      <w:sz w:val="21"/>
                      <w:szCs w:val="21"/>
                    </w:rPr>
                    <w:t>符合</w:t>
                  </w:r>
                </w:p>
              </w:tc>
            </w:tr>
            <w:tr w14:paraId="0038F0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78" w:hRule="atLeast"/>
              </w:trPr>
              <w:tc>
                <w:tcPr>
                  <w:tcW w:w="678" w:type="dxa"/>
                  <w:vMerge w:val="continue"/>
                  <w:vAlign w:val="center"/>
                </w:tcPr>
                <w:p w14:paraId="1683B1B1">
                  <w:pPr>
                    <w:numPr>
                      <w:ilvl w:val="0"/>
                      <w:numId w:val="0"/>
                    </w:numPr>
                    <w:bidi w:val="0"/>
                    <w:spacing w:line="240" w:lineRule="auto"/>
                    <w:jc w:val="center"/>
                    <w:rPr>
                      <w:rFonts w:hint="eastAsia" w:ascii="Times New Roman" w:hAnsi="Times New Roman" w:eastAsia="宋体" w:cs="Times New Roman"/>
                      <w:b w:val="0"/>
                      <w:bCs w:val="0"/>
                      <w:color w:val="auto"/>
                      <w:sz w:val="21"/>
                      <w:szCs w:val="21"/>
                      <w:vertAlign w:val="baseline"/>
                      <w:lang w:val="en-US" w:eastAsia="zh-CN"/>
                    </w:rPr>
                  </w:pPr>
                </w:p>
              </w:tc>
              <w:tc>
                <w:tcPr>
                  <w:tcW w:w="3340" w:type="dxa"/>
                  <w:vAlign w:val="center"/>
                </w:tcPr>
                <w:p w14:paraId="56F8AFD8">
                  <w:pPr>
                    <w:numPr>
                      <w:ilvl w:val="0"/>
                      <w:numId w:val="0"/>
                    </w:numPr>
                    <w:bidi w:val="0"/>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7.7危险废物产生者和危险废物贮存设施经营者均须作好危险废物情况的记录，记录上须注明危险废物的名称、来源、数量、特性和包装容器的类别、入库日期、存放库位、废物出库日期及接收单位名称。危险废物的记录和货单在危险废物回取后应继续保留三年</w:t>
                  </w:r>
                  <w:r>
                    <w:rPr>
                      <w:rFonts w:hint="eastAsia" w:cs="Times New Roman"/>
                      <w:b w:val="0"/>
                      <w:bCs w:val="0"/>
                      <w:color w:val="auto"/>
                      <w:sz w:val="21"/>
                      <w:szCs w:val="21"/>
                      <w:vertAlign w:val="baseline"/>
                      <w:lang w:val="en-US" w:eastAsia="zh-CN"/>
                    </w:rPr>
                    <w:t>；</w:t>
                  </w:r>
                </w:p>
              </w:tc>
              <w:tc>
                <w:tcPr>
                  <w:tcW w:w="2960" w:type="dxa"/>
                  <w:vAlign w:val="center"/>
                </w:tcPr>
                <w:p w14:paraId="29D5641B">
                  <w:pPr>
                    <w:numPr>
                      <w:ilvl w:val="0"/>
                      <w:numId w:val="0"/>
                    </w:numPr>
                    <w:bidi w:val="0"/>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项目为危险废物贮存设施经营单位，运营阶段严格按要求作危险废物情况的记录，记录注明危险废物的名称、来源、数量、特性和包装容器的类别、入库日期、存放库位、出库日期及接收单位名称。危险废物的记录和货单在危险废物回取后继续保留三年</w:t>
                  </w:r>
                  <w:r>
                    <w:rPr>
                      <w:rFonts w:hint="eastAsia" w:cs="Times New Roman"/>
                      <w:b w:val="0"/>
                      <w:bCs w:val="0"/>
                      <w:color w:val="auto"/>
                      <w:sz w:val="21"/>
                      <w:szCs w:val="21"/>
                      <w:vertAlign w:val="baseline"/>
                      <w:lang w:val="en-US" w:eastAsia="zh-CN"/>
                    </w:rPr>
                    <w:t>；</w:t>
                  </w:r>
                </w:p>
              </w:tc>
              <w:tc>
                <w:tcPr>
                  <w:tcW w:w="940" w:type="dxa"/>
                  <w:vAlign w:val="center"/>
                </w:tcPr>
                <w:p w14:paraId="6D1A8AD2">
                  <w:pPr>
                    <w:numPr>
                      <w:ilvl w:val="0"/>
                      <w:numId w:val="0"/>
                    </w:numPr>
                    <w:bidi w:val="0"/>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color w:val="auto"/>
                      <w:sz w:val="21"/>
                      <w:szCs w:val="21"/>
                    </w:rPr>
                    <w:t>符合</w:t>
                  </w:r>
                </w:p>
              </w:tc>
            </w:tr>
            <w:tr w14:paraId="6519C2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0" w:hRule="atLeast"/>
              </w:trPr>
              <w:tc>
                <w:tcPr>
                  <w:tcW w:w="678" w:type="dxa"/>
                  <w:vMerge w:val="continue"/>
                  <w:vAlign w:val="center"/>
                </w:tcPr>
                <w:p w14:paraId="2F638C84">
                  <w:pPr>
                    <w:numPr>
                      <w:ilvl w:val="0"/>
                      <w:numId w:val="0"/>
                    </w:numPr>
                    <w:bidi w:val="0"/>
                    <w:spacing w:line="240" w:lineRule="auto"/>
                    <w:jc w:val="center"/>
                    <w:rPr>
                      <w:rFonts w:hint="eastAsia" w:ascii="Times New Roman" w:hAnsi="Times New Roman" w:eastAsia="宋体" w:cs="Times New Roman"/>
                      <w:b w:val="0"/>
                      <w:bCs w:val="0"/>
                      <w:color w:val="auto"/>
                      <w:sz w:val="21"/>
                      <w:szCs w:val="21"/>
                      <w:vertAlign w:val="baseline"/>
                      <w:lang w:val="en-US" w:eastAsia="zh-CN"/>
                    </w:rPr>
                  </w:pPr>
                </w:p>
              </w:tc>
              <w:tc>
                <w:tcPr>
                  <w:tcW w:w="3340" w:type="dxa"/>
                  <w:vAlign w:val="center"/>
                </w:tcPr>
                <w:p w14:paraId="5DBC17C5">
                  <w:pPr>
                    <w:numPr>
                      <w:ilvl w:val="0"/>
                      <w:numId w:val="0"/>
                    </w:numPr>
                    <w:bidi w:val="0"/>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7.8必须定期对所贮存的危险废物包装容器及贮存设施进行检查，发现破损，应及时采取措施清理更换</w:t>
                  </w:r>
                  <w:r>
                    <w:rPr>
                      <w:rFonts w:hint="eastAsia" w:cs="Times New Roman"/>
                      <w:b w:val="0"/>
                      <w:bCs w:val="0"/>
                      <w:color w:val="auto"/>
                      <w:sz w:val="21"/>
                      <w:szCs w:val="21"/>
                      <w:vertAlign w:val="baseline"/>
                      <w:lang w:val="en-US" w:eastAsia="zh-CN"/>
                    </w:rPr>
                    <w:t>；</w:t>
                  </w:r>
                </w:p>
              </w:tc>
              <w:tc>
                <w:tcPr>
                  <w:tcW w:w="2960" w:type="dxa"/>
                  <w:vAlign w:val="center"/>
                </w:tcPr>
                <w:p w14:paraId="12F7A0C1">
                  <w:pPr>
                    <w:numPr>
                      <w:ilvl w:val="0"/>
                      <w:numId w:val="0"/>
                    </w:numPr>
                    <w:bidi w:val="0"/>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要求定期对所贮存的危险废物包装容器及贮存设施进行检查，发现破损及时采取措施清理更换</w:t>
                  </w:r>
                  <w:r>
                    <w:rPr>
                      <w:rFonts w:hint="eastAsia" w:cs="Times New Roman"/>
                      <w:b w:val="0"/>
                      <w:bCs w:val="0"/>
                      <w:color w:val="auto"/>
                      <w:sz w:val="21"/>
                      <w:szCs w:val="21"/>
                      <w:vertAlign w:val="baseline"/>
                      <w:lang w:val="en-US" w:eastAsia="zh-CN"/>
                    </w:rPr>
                    <w:t>；</w:t>
                  </w:r>
                </w:p>
              </w:tc>
              <w:tc>
                <w:tcPr>
                  <w:tcW w:w="940" w:type="dxa"/>
                  <w:vAlign w:val="center"/>
                </w:tcPr>
                <w:p w14:paraId="3FC27786">
                  <w:pPr>
                    <w:numPr>
                      <w:ilvl w:val="0"/>
                      <w:numId w:val="0"/>
                    </w:numPr>
                    <w:bidi w:val="0"/>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color w:val="auto"/>
                      <w:sz w:val="21"/>
                      <w:szCs w:val="21"/>
                    </w:rPr>
                    <w:t>符合</w:t>
                  </w:r>
                </w:p>
              </w:tc>
            </w:tr>
            <w:tr w14:paraId="655D10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678" w:type="dxa"/>
                  <w:vMerge w:val="restart"/>
                  <w:vAlign w:val="center"/>
                </w:tcPr>
                <w:p w14:paraId="68A097D6">
                  <w:pPr>
                    <w:numPr>
                      <w:ilvl w:val="0"/>
                      <w:numId w:val="0"/>
                    </w:numPr>
                    <w:bidi w:val="0"/>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8</w:t>
                  </w:r>
                </w:p>
                <w:p w14:paraId="3DA99489">
                  <w:pPr>
                    <w:numPr>
                      <w:ilvl w:val="0"/>
                      <w:numId w:val="0"/>
                    </w:numPr>
                    <w:bidi w:val="0"/>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危险废物贮存设施的安全防护与监测</w:t>
                  </w:r>
                </w:p>
              </w:tc>
              <w:tc>
                <w:tcPr>
                  <w:tcW w:w="3340" w:type="dxa"/>
                  <w:vAlign w:val="center"/>
                </w:tcPr>
                <w:p w14:paraId="5AB8DEB9">
                  <w:pPr>
                    <w:numPr>
                      <w:ilvl w:val="0"/>
                      <w:numId w:val="0"/>
                    </w:numPr>
                    <w:bidi w:val="0"/>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8.1.1危险废物贮存设施都必须按GB15562.2的规定设置警示标志</w:t>
                  </w:r>
                  <w:r>
                    <w:rPr>
                      <w:rFonts w:hint="eastAsia" w:cs="Times New Roman"/>
                      <w:b w:val="0"/>
                      <w:bCs w:val="0"/>
                      <w:color w:val="auto"/>
                      <w:sz w:val="21"/>
                      <w:szCs w:val="21"/>
                      <w:vertAlign w:val="baseline"/>
                      <w:lang w:val="en-US" w:eastAsia="zh-CN"/>
                    </w:rPr>
                    <w:t>；</w:t>
                  </w:r>
                </w:p>
              </w:tc>
              <w:tc>
                <w:tcPr>
                  <w:tcW w:w="2960" w:type="dxa"/>
                  <w:vAlign w:val="center"/>
                </w:tcPr>
                <w:p w14:paraId="2619974A">
                  <w:pPr>
                    <w:numPr>
                      <w:ilvl w:val="0"/>
                      <w:numId w:val="0"/>
                    </w:numPr>
                    <w:bidi w:val="0"/>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建设完成后，按GB15562.2的规定设置警示标志</w:t>
                  </w:r>
                  <w:r>
                    <w:rPr>
                      <w:rFonts w:hint="eastAsia" w:cs="Times New Roman"/>
                      <w:b w:val="0"/>
                      <w:bCs w:val="0"/>
                      <w:color w:val="auto"/>
                      <w:sz w:val="21"/>
                      <w:szCs w:val="21"/>
                      <w:vertAlign w:val="baseline"/>
                      <w:lang w:val="en-US" w:eastAsia="zh-CN"/>
                    </w:rPr>
                    <w:t>；</w:t>
                  </w:r>
                </w:p>
              </w:tc>
              <w:tc>
                <w:tcPr>
                  <w:tcW w:w="940" w:type="dxa"/>
                  <w:vAlign w:val="center"/>
                </w:tcPr>
                <w:p w14:paraId="5BED31CB">
                  <w:pPr>
                    <w:numPr>
                      <w:ilvl w:val="0"/>
                      <w:numId w:val="0"/>
                    </w:numPr>
                    <w:bidi w:val="0"/>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color w:val="auto"/>
                      <w:sz w:val="21"/>
                      <w:szCs w:val="21"/>
                    </w:rPr>
                    <w:t>符合</w:t>
                  </w:r>
                </w:p>
              </w:tc>
            </w:tr>
            <w:tr w14:paraId="0F2BFF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678" w:type="dxa"/>
                  <w:vMerge w:val="continue"/>
                  <w:vAlign w:val="center"/>
                </w:tcPr>
                <w:p w14:paraId="0FCC24EC">
                  <w:pPr>
                    <w:numPr>
                      <w:ilvl w:val="0"/>
                      <w:numId w:val="0"/>
                    </w:numPr>
                    <w:bidi w:val="0"/>
                    <w:spacing w:line="240" w:lineRule="auto"/>
                    <w:jc w:val="center"/>
                    <w:rPr>
                      <w:rFonts w:hint="eastAsia" w:ascii="Times New Roman" w:hAnsi="Times New Roman" w:eastAsia="宋体" w:cs="Times New Roman"/>
                      <w:b w:val="0"/>
                      <w:bCs w:val="0"/>
                      <w:color w:val="auto"/>
                      <w:sz w:val="21"/>
                      <w:szCs w:val="21"/>
                      <w:vertAlign w:val="baseline"/>
                      <w:lang w:val="en-US" w:eastAsia="zh-CN"/>
                    </w:rPr>
                  </w:pPr>
                </w:p>
              </w:tc>
              <w:tc>
                <w:tcPr>
                  <w:tcW w:w="3340" w:type="dxa"/>
                  <w:vAlign w:val="center"/>
                </w:tcPr>
                <w:p w14:paraId="51F28137">
                  <w:pPr>
                    <w:numPr>
                      <w:ilvl w:val="0"/>
                      <w:numId w:val="0"/>
                    </w:numPr>
                    <w:bidi w:val="0"/>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8.1.2危险废物贮存设施周围应设置围墙或其它防护栅栏</w:t>
                  </w:r>
                </w:p>
                <w:p w14:paraId="7A362D28">
                  <w:pPr>
                    <w:numPr>
                      <w:ilvl w:val="0"/>
                      <w:numId w:val="0"/>
                    </w:numPr>
                    <w:bidi w:val="0"/>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8.1.3危险废物贮存设施应配备通讯设备、照明设施、安全防护服装及工具，并设有应急防护设施</w:t>
                  </w:r>
                  <w:r>
                    <w:rPr>
                      <w:rFonts w:hint="eastAsia" w:cs="Times New Roman"/>
                      <w:b w:val="0"/>
                      <w:bCs w:val="0"/>
                      <w:color w:val="auto"/>
                      <w:sz w:val="21"/>
                      <w:szCs w:val="21"/>
                      <w:vertAlign w:val="baseline"/>
                      <w:lang w:val="en-US" w:eastAsia="zh-CN"/>
                    </w:rPr>
                    <w:t>；</w:t>
                  </w:r>
                </w:p>
              </w:tc>
              <w:tc>
                <w:tcPr>
                  <w:tcW w:w="2960" w:type="dxa"/>
                  <w:vAlign w:val="center"/>
                </w:tcPr>
                <w:p w14:paraId="464E5DAF">
                  <w:pPr>
                    <w:numPr>
                      <w:ilvl w:val="0"/>
                      <w:numId w:val="0"/>
                    </w:numPr>
                    <w:bidi w:val="0"/>
                    <w:spacing w:line="240" w:lineRule="auto"/>
                    <w:jc w:val="both"/>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项目</w:t>
                  </w:r>
                  <w:r>
                    <w:rPr>
                      <w:rFonts w:hint="eastAsia" w:ascii="Times New Roman" w:hAnsi="Times New Roman" w:eastAsia="宋体" w:cs="Times New Roman"/>
                      <w:b w:val="0"/>
                      <w:bCs w:val="0"/>
                      <w:color w:val="auto"/>
                      <w:sz w:val="21"/>
                      <w:szCs w:val="21"/>
                      <w:vertAlign w:val="baseline"/>
                      <w:lang w:val="en-US" w:eastAsia="zh-CN"/>
                    </w:rPr>
                    <w:t>危险废物贮存库建设完成后，按要求在周围设置围墙</w:t>
                  </w:r>
                  <w:r>
                    <w:rPr>
                      <w:rFonts w:hint="eastAsia" w:cs="Times New Roman"/>
                      <w:b w:val="0"/>
                      <w:bCs w:val="0"/>
                      <w:color w:val="auto"/>
                      <w:sz w:val="21"/>
                      <w:szCs w:val="21"/>
                      <w:vertAlign w:val="baseline"/>
                      <w:lang w:val="en-US" w:eastAsia="zh-CN"/>
                    </w:rPr>
                    <w:t>；</w:t>
                  </w:r>
                </w:p>
                <w:p w14:paraId="43122663">
                  <w:pPr>
                    <w:numPr>
                      <w:ilvl w:val="0"/>
                      <w:numId w:val="0"/>
                    </w:numPr>
                    <w:bidi w:val="0"/>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建成后按要求配备通讯设备、照明设施、安全防护服装及工具等，并设有应急防护设施</w:t>
                  </w:r>
                  <w:r>
                    <w:rPr>
                      <w:rFonts w:hint="eastAsia" w:cs="Times New Roman"/>
                      <w:b w:val="0"/>
                      <w:bCs w:val="0"/>
                      <w:color w:val="auto"/>
                      <w:sz w:val="21"/>
                      <w:szCs w:val="21"/>
                      <w:vertAlign w:val="baseline"/>
                      <w:lang w:val="en-US" w:eastAsia="zh-CN"/>
                    </w:rPr>
                    <w:t>；</w:t>
                  </w:r>
                </w:p>
              </w:tc>
              <w:tc>
                <w:tcPr>
                  <w:tcW w:w="940" w:type="dxa"/>
                  <w:vAlign w:val="center"/>
                </w:tcPr>
                <w:p w14:paraId="0876026F">
                  <w:pPr>
                    <w:numPr>
                      <w:ilvl w:val="0"/>
                      <w:numId w:val="0"/>
                    </w:numPr>
                    <w:bidi w:val="0"/>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color w:val="auto"/>
                      <w:sz w:val="21"/>
                      <w:szCs w:val="21"/>
                    </w:rPr>
                    <w:t>符合</w:t>
                  </w:r>
                </w:p>
              </w:tc>
            </w:tr>
            <w:tr w14:paraId="565C91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678" w:type="dxa"/>
                  <w:vMerge w:val="continue"/>
                  <w:vAlign w:val="center"/>
                </w:tcPr>
                <w:p w14:paraId="09123D9A">
                  <w:pPr>
                    <w:numPr>
                      <w:ilvl w:val="0"/>
                      <w:numId w:val="0"/>
                    </w:numPr>
                    <w:bidi w:val="0"/>
                    <w:spacing w:line="240" w:lineRule="auto"/>
                    <w:jc w:val="center"/>
                    <w:rPr>
                      <w:rFonts w:hint="eastAsia" w:ascii="Times New Roman" w:hAnsi="Times New Roman" w:eastAsia="宋体" w:cs="Times New Roman"/>
                      <w:b w:val="0"/>
                      <w:bCs w:val="0"/>
                      <w:color w:val="auto"/>
                      <w:sz w:val="21"/>
                      <w:szCs w:val="21"/>
                      <w:vertAlign w:val="baseline"/>
                      <w:lang w:val="en-US" w:eastAsia="zh-CN"/>
                    </w:rPr>
                  </w:pPr>
                </w:p>
              </w:tc>
              <w:tc>
                <w:tcPr>
                  <w:tcW w:w="3340" w:type="dxa"/>
                  <w:vAlign w:val="center"/>
                </w:tcPr>
                <w:p w14:paraId="23BC1FA2">
                  <w:pPr>
                    <w:numPr>
                      <w:ilvl w:val="0"/>
                      <w:numId w:val="0"/>
                    </w:numPr>
                    <w:bidi w:val="0"/>
                    <w:spacing w:line="240" w:lineRule="auto"/>
                    <w:jc w:val="both"/>
                    <w:rPr>
                      <w:rFonts w:hint="eastAsia"/>
                      <w:lang w:val="en-US" w:eastAsia="zh-CN"/>
                    </w:rPr>
                  </w:pPr>
                  <w:r>
                    <w:rPr>
                      <w:rFonts w:hint="eastAsia"/>
                      <w:lang w:val="en-US" w:eastAsia="zh-CN"/>
                    </w:rPr>
                    <w:t>8.1.4危险废物贮存设施内清理出来的泄漏物，一律按危险废物处理；</w:t>
                  </w:r>
                </w:p>
              </w:tc>
              <w:tc>
                <w:tcPr>
                  <w:tcW w:w="2960" w:type="dxa"/>
                  <w:vAlign w:val="center"/>
                </w:tcPr>
                <w:p w14:paraId="7ED9F490">
                  <w:pPr>
                    <w:numPr>
                      <w:ilvl w:val="0"/>
                      <w:numId w:val="0"/>
                    </w:numPr>
                    <w:bidi w:val="0"/>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运营期危险废物贮存库内清理出来的泄漏物，一律按危险废物处理</w:t>
                  </w:r>
                  <w:r>
                    <w:rPr>
                      <w:rFonts w:hint="eastAsia" w:cs="Times New Roman"/>
                      <w:b w:val="0"/>
                      <w:bCs w:val="0"/>
                      <w:color w:val="auto"/>
                      <w:sz w:val="21"/>
                      <w:szCs w:val="21"/>
                      <w:vertAlign w:val="baseline"/>
                      <w:lang w:val="en-US" w:eastAsia="zh-CN"/>
                    </w:rPr>
                    <w:t>；</w:t>
                  </w:r>
                </w:p>
              </w:tc>
              <w:tc>
                <w:tcPr>
                  <w:tcW w:w="940" w:type="dxa"/>
                  <w:vAlign w:val="center"/>
                </w:tcPr>
                <w:p w14:paraId="01C118BF">
                  <w:pPr>
                    <w:numPr>
                      <w:ilvl w:val="0"/>
                      <w:numId w:val="0"/>
                    </w:numPr>
                    <w:bidi w:val="0"/>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color w:val="auto"/>
                      <w:sz w:val="21"/>
                      <w:szCs w:val="21"/>
                    </w:rPr>
                    <w:t>符合</w:t>
                  </w:r>
                </w:p>
              </w:tc>
            </w:tr>
            <w:tr w14:paraId="7625CF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678" w:type="dxa"/>
                  <w:vMerge w:val="continue"/>
                  <w:vAlign w:val="center"/>
                </w:tcPr>
                <w:p w14:paraId="50589E18">
                  <w:pPr>
                    <w:numPr>
                      <w:ilvl w:val="0"/>
                      <w:numId w:val="0"/>
                    </w:numPr>
                    <w:bidi w:val="0"/>
                    <w:spacing w:line="240" w:lineRule="auto"/>
                    <w:jc w:val="center"/>
                    <w:rPr>
                      <w:rFonts w:hint="eastAsia" w:ascii="Times New Roman" w:hAnsi="Times New Roman" w:eastAsia="宋体" w:cs="Times New Roman"/>
                      <w:b w:val="0"/>
                      <w:bCs w:val="0"/>
                      <w:color w:val="auto"/>
                      <w:sz w:val="21"/>
                      <w:szCs w:val="21"/>
                      <w:vertAlign w:val="baseline"/>
                      <w:lang w:val="en-US" w:eastAsia="zh-CN"/>
                    </w:rPr>
                  </w:pPr>
                </w:p>
              </w:tc>
              <w:tc>
                <w:tcPr>
                  <w:tcW w:w="3340" w:type="dxa"/>
                  <w:vAlign w:val="center"/>
                </w:tcPr>
                <w:p w14:paraId="0EC7BB9C">
                  <w:pPr>
                    <w:numPr>
                      <w:ilvl w:val="0"/>
                      <w:numId w:val="0"/>
                    </w:numPr>
                    <w:bidi w:val="0"/>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8.2按国家污染源管理要求对危险废物贮存设施进行监测</w:t>
                  </w:r>
                  <w:r>
                    <w:rPr>
                      <w:rFonts w:hint="eastAsia" w:cs="Times New Roman"/>
                      <w:b w:val="0"/>
                      <w:bCs w:val="0"/>
                      <w:color w:val="auto"/>
                      <w:sz w:val="21"/>
                      <w:szCs w:val="21"/>
                      <w:vertAlign w:val="baseline"/>
                      <w:lang w:val="en-US" w:eastAsia="zh-CN"/>
                    </w:rPr>
                    <w:t>；</w:t>
                  </w:r>
                </w:p>
              </w:tc>
              <w:tc>
                <w:tcPr>
                  <w:tcW w:w="2960" w:type="dxa"/>
                  <w:vAlign w:val="center"/>
                </w:tcPr>
                <w:p w14:paraId="5BCA8087">
                  <w:pPr>
                    <w:numPr>
                      <w:ilvl w:val="0"/>
                      <w:numId w:val="0"/>
                    </w:numPr>
                    <w:bidi w:val="0"/>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运营期严格按照国家污染源管理要求进行监测</w:t>
                  </w:r>
                  <w:r>
                    <w:rPr>
                      <w:rFonts w:hint="eastAsia" w:cs="Times New Roman"/>
                      <w:b w:val="0"/>
                      <w:bCs w:val="0"/>
                      <w:color w:val="auto"/>
                      <w:sz w:val="21"/>
                      <w:szCs w:val="21"/>
                      <w:vertAlign w:val="baseline"/>
                      <w:lang w:val="en-US" w:eastAsia="zh-CN"/>
                    </w:rPr>
                    <w:t>；</w:t>
                  </w:r>
                </w:p>
              </w:tc>
              <w:tc>
                <w:tcPr>
                  <w:tcW w:w="940" w:type="dxa"/>
                  <w:vAlign w:val="center"/>
                </w:tcPr>
                <w:p w14:paraId="6B6A1CBB">
                  <w:pPr>
                    <w:numPr>
                      <w:ilvl w:val="0"/>
                      <w:numId w:val="0"/>
                    </w:numPr>
                    <w:bidi w:val="0"/>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color w:val="auto"/>
                      <w:sz w:val="21"/>
                      <w:szCs w:val="21"/>
                    </w:rPr>
                    <w:t>符合</w:t>
                  </w:r>
                </w:p>
              </w:tc>
            </w:tr>
          </w:tbl>
          <w:p w14:paraId="0A759C99">
            <w:pPr>
              <w:numPr>
                <w:ilvl w:val="0"/>
                <w:numId w:val="7"/>
              </w:numPr>
              <w:bidi w:val="0"/>
              <w:spacing w:line="360" w:lineRule="auto"/>
              <w:ind w:left="0" w:leftChars="0" w:firstLine="482" w:firstLineChars="200"/>
              <w:rPr>
                <w:rFonts w:hint="eastAsia" w:cs="Times New Roman"/>
                <w:b/>
                <w:bCs/>
                <w:color w:val="auto"/>
                <w:sz w:val="24"/>
                <w:szCs w:val="24"/>
                <w:lang w:val="en-US" w:eastAsia="zh-CN"/>
              </w:rPr>
            </w:pPr>
            <w:r>
              <w:rPr>
                <w:rFonts w:hint="eastAsia" w:cs="Times New Roman"/>
                <w:b/>
                <w:bCs/>
                <w:color w:val="auto"/>
                <w:sz w:val="24"/>
                <w:szCs w:val="24"/>
                <w:lang w:val="en-US" w:eastAsia="zh-CN"/>
              </w:rPr>
              <w:t>与《危险废物收集贮存运输技术规范》（HJ2025-2012）符合性分析</w:t>
            </w:r>
          </w:p>
          <w:p w14:paraId="034FE3DA">
            <w:pPr>
              <w:numPr>
                <w:ilvl w:val="0"/>
                <w:numId w:val="0"/>
              </w:numPr>
              <w:bidi w:val="0"/>
              <w:spacing w:line="360" w:lineRule="auto"/>
              <w:jc w:val="center"/>
              <w:rPr>
                <w:rFonts w:hint="eastAsia"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lang w:val="en-US" w:eastAsia="zh-CN"/>
              </w:rPr>
              <w:t>表1-</w:t>
            </w:r>
            <w:r>
              <w:rPr>
                <w:rFonts w:hint="eastAsia" w:cs="Times New Roman"/>
                <w:b/>
                <w:bCs/>
                <w:color w:val="auto"/>
                <w:sz w:val="21"/>
                <w:szCs w:val="21"/>
                <w:lang w:val="en-US" w:eastAsia="zh-CN"/>
              </w:rPr>
              <w:t>4 与《危险废物收集贮存运输技术规范》（HJ2025-2012）符合性分析</w:t>
            </w:r>
          </w:p>
          <w:tbl>
            <w:tblPr>
              <w:tblStyle w:val="28"/>
              <w:tblW w:w="791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018"/>
              <w:gridCol w:w="2960"/>
              <w:gridCol w:w="940"/>
            </w:tblGrid>
            <w:tr w14:paraId="4A069F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018" w:type="dxa"/>
                  <w:vAlign w:val="center"/>
                </w:tcPr>
                <w:p w14:paraId="052DE6F8">
                  <w:pPr>
                    <w:numPr>
                      <w:ilvl w:val="0"/>
                      <w:numId w:val="0"/>
                    </w:numPr>
                    <w:bidi w:val="0"/>
                    <w:spacing w:line="240" w:lineRule="auto"/>
                    <w:jc w:val="center"/>
                    <w:rPr>
                      <w:rFonts w:hint="eastAsia" w:cs="Times New Roman"/>
                      <w:b/>
                      <w:bCs/>
                      <w:color w:val="auto"/>
                      <w:sz w:val="21"/>
                      <w:szCs w:val="21"/>
                      <w:vertAlign w:val="baseline"/>
                      <w:lang w:val="en-US" w:eastAsia="zh-CN"/>
                    </w:rPr>
                  </w:pPr>
                  <w:r>
                    <w:rPr>
                      <w:rFonts w:hint="eastAsia" w:cs="Times New Roman"/>
                      <w:b/>
                      <w:bCs/>
                      <w:color w:val="auto"/>
                      <w:sz w:val="21"/>
                      <w:szCs w:val="21"/>
                      <w:vertAlign w:val="baseline"/>
                      <w:lang w:val="en-US" w:eastAsia="zh-CN"/>
                    </w:rPr>
                    <w:t>规范要求</w:t>
                  </w:r>
                </w:p>
              </w:tc>
              <w:tc>
                <w:tcPr>
                  <w:tcW w:w="2960" w:type="dxa"/>
                  <w:vAlign w:val="center"/>
                </w:tcPr>
                <w:p w14:paraId="47E34D5A">
                  <w:pPr>
                    <w:numPr>
                      <w:ilvl w:val="0"/>
                      <w:numId w:val="0"/>
                    </w:numPr>
                    <w:bidi w:val="0"/>
                    <w:spacing w:line="240" w:lineRule="auto"/>
                    <w:ind w:left="0" w:leftChars="0" w:firstLine="0" w:firstLineChars="0"/>
                    <w:jc w:val="center"/>
                    <w:rPr>
                      <w:rFonts w:hint="eastAsia"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本项目情况</w:t>
                  </w:r>
                </w:p>
              </w:tc>
              <w:tc>
                <w:tcPr>
                  <w:tcW w:w="940" w:type="dxa"/>
                  <w:vAlign w:val="center"/>
                </w:tcPr>
                <w:p w14:paraId="170F9A0F">
                  <w:pPr>
                    <w:numPr>
                      <w:ilvl w:val="0"/>
                      <w:numId w:val="0"/>
                    </w:numPr>
                    <w:bidi w:val="0"/>
                    <w:spacing w:line="240" w:lineRule="auto"/>
                    <w:ind w:left="0" w:leftChars="0" w:firstLine="0" w:firstLineChars="0"/>
                    <w:jc w:val="center"/>
                    <w:rPr>
                      <w:rFonts w:hint="eastAsia"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符合性</w:t>
                  </w:r>
                </w:p>
              </w:tc>
            </w:tr>
            <w:tr w14:paraId="108463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018" w:type="dxa"/>
                  <w:vAlign w:val="center"/>
                </w:tcPr>
                <w:p w14:paraId="7AB0E8A2">
                  <w:pPr>
                    <w:numPr>
                      <w:ilvl w:val="0"/>
                      <w:numId w:val="0"/>
                    </w:numPr>
                    <w:bidi w:val="0"/>
                    <w:spacing w:line="240" w:lineRule="auto"/>
                    <w:jc w:val="both"/>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4.1从事危险废物收集、贮存、运输经营活动的单位应具有危险废物经营许可证。在收集、贮存、运输危险废物时，应根据危险废物收集、贮存、处置经营许可证核发的有关规定建立相应的规章制度和污染防治措施，包括危险废物分析管理制度、安全管理制度、污染防治措施等；</w:t>
                  </w:r>
                </w:p>
              </w:tc>
              <w:tc>
                <w:tcPr>
                  <w:tcW w:w="2960" w:type="dxa"/>
                  <w:vAlign w:val="center"/>
                </w:tcPr>
                <w:p w14:paraId="1C70E864">
                  <w:pPr>
                    <w:numPr>
                      <w:ilvl w:val="0"/>
                      <w:numId w:val="0"/>
                    </w:numPr>
                    <w:bidi w:val="0"/>
                    <w:spacing w:line="240" w:lineRule="auto"/>
                    <w:jc w:val="both"/>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项目为危险废物收集、贮存、运输经营活动的单位，严格按照相关规定程序办理危险废物经营许可证。环评要求建设单位在收集、贮存、运输危险废物时，应根据危险废物收集、贮存经营许可证核发的有关规定建立相应的规章制度和污染防治措施，包括危险废物分析管理制度、安全管理制度、操作流程、污染防治措施等；</w:t>
                  </w:r>
                </w:p>
              </w:tc>
              <w:tc>
                <w:tcPr>
                  <w:tcW w:w="940" w:type="dxa"/>
                  <w:vAlign w:val="center"/>
                </w:tcPr>
                <w:p w14:paraId="56946789">
                  <w:pPr>
                    <w:numPr>
                      <w:ilvl w:val="0"/>
                      <w:numId w:val="0"/>
                    </w:numPr>
                    <w:bidi w:val="0"/>
                    <w:spacing w:line="240" w:lineRule="auto"/>
                    <w:jc w:val="center"/>
                    <w:rPr>
                      <w:rFonts w:hint="eastAsia" w:cs="Times New Roman"/>
                      <w:b w:val="0"/>
                      <w:bCs w:val="0"/>
                      <w:color w:val="auto"/>
                      <w:sz w:val="21"/>
                      <w:szCs w:val="21"/>
                      <w:vertAlign w:val="baseline"/>
                      <w:lang w:val="en-US" w:eastAsia="zh-CN"/>
                    </w:rPr>
                  </w:pPr>
                  <w:r>
                    <w:rPr>
                      <w:rFonts w:hint="default" w:ascii="Times New Roman" w:hAnsi="Times New Roman" w:eastAsia="宋体" w:cs="Times New Roman"/>
                      <w:b w:val="0"/>
                      <w:bCs/>
                      <w:color w:val="auto"/>
                      <w:sz w:val="21"/>
                      <w:szCs w:val="21"/>
                    </w:rPr>
                    <w:t>符合</w:t>
                  </w:r>
                </w:p>
              </w:tc>
            </w:tr>
            <w:tr w14:paraId="1E52EA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018" w:type="dxa"/>
                  <w:vAlign w:val="center"/>
                </w:tcPr>
                <w:p w14:paraId="3C6183C2">
                  <w:pPr>
                    <w:numPr>
                      <w:ilvl w:val="0"/>
                      <w:numId w:val="0"/>
                    </w:numPr>
                    <w:bidi w:val="0"/>
                    <w:spacing w:line="240" w:lineRule="auto"/>
                    <w:jc w:val="both"/>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4.2危险废物转移过程应按《危险废物转移联单管理办法》执行；</w:t>
                  </w:r>
                </w:p>
              </w:tc>
              <w:tc>
                <w:tcPr>
                  <w:tcW w:w="2960" w:type="dxa"/>
                  <w:vAlign w:val="center"/>
                </w:tcPr>
                <w:p w14:paraId="3DB4243F">
                  <w:pPr>
                    <w:numPr>
                      <w:ilvl w:val="0"/>
                      <w:numId w:val="0"/>
                    </w:numPr>
                    <w:bidi w:val="0"/>
                    <w:spacing w:line="240" w:lineRule="auto"/>
                    <w:jc w:val="both"/>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项目建成运营后严格执行《危险废物转移管理办法》；</w:t>
                  </w:r>
                </w:p>
              </w:tc>
              <w:tc>
                <w:tcPr>
                  <w:tcW w:w="940" w:type="dxa"/>
                  <w:vAlign w:val="center"/>
                </w:tcPr>
                <w:p w14:paraId="6887B8C0">
                  <w:pPr>
                    <w:numPr>
                      <w:ilvl w:val="0"/>
                      <w:numId w:val="0"/>
                    </w:numPr>
                    <w:bidi w:val="0"/>
                    <w:spacing w:line="240" w:lineRule="auto"/>
                    <w:jc w:val="center"/>
                    <w:rPr>
                      <w:rFonts w:hint="eastAsia" w:cs="Times New Roman"/>
                      <w:b w:val="0"/>
                      <w:bCs w:val="0"/>
                      <w:color w:val="auto"/>
                      <w:sz w:val="21"/>
                      <w:szCs w:val="21"/>
                      <w:vertAlign w:val="baseline"/>
                      <w:lang w:val="en-US" w:eastAsia="zh-CN"/>
                    </w:rPr>
                  </w:pPr>
                  <w:r>
                    <w:rPr>
                      <w:rFonts w:hint="default" w:ascii="Times New Roman" w:hAnsi="Times New Roman" w:eastAsia="宋体" w:cs="Times New Roman"/>
                      <w:b w:val="0"/>
                      <w:bCs/>
                      <w:color w:val="auto"/>
                      <w:sz w:val="21"/>
                      <w:szCs w:val="21"/>
                    </w:rPr>
                    <w:t>符合</w:t>
                  </w:r>
                </w:p>
              </w:tc>
            </w:tr>
            <w:tr w14:paraId="5D8147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018" w:type="dxa"/>
                  <w:vAlign w:val="center"/>
                </w:tcPr>
                <w:p w14:paraId="1A664230">
                  <w:pPr>
                    <w:numPr>
                      <w:ilvl w:val="0"/>
                      <w:numId w:val="0"/>
                    </w:numPr>
                    <w:bidi w:val="0"/>
                    <w:spacing w:line="240" w:lineRule="auto"/>
                    <w:jc w:val="both"/>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4.3危险废物收集、贮存、运输单位应建立规范的管理和技术人员培训制度，定期针对管理和技术人员进行培训。培训内容至少应包括危险废物鉴别要求、危险废物经营许可证管理、危险废物转移联单管理、危险废物包装和标识、危险废物运输要求、危险废物事故应急方法等；</w:t>
                  </w:r>
                </w:p>
              </w:tc>
              <w:tc>
                <w:tcPr>
                  <w:tcW w:w="2960" w:type="dxa"/>
                  <w:vAlign w:val="center"/>
                </w:tcPr>
                <w:p w14:paraId="35A630D8">
                  <w:pPr>
                    <w:numPr>
                      <w:ilvl w:val="0"/>
                      <w:numId w:val="0"/>
                    </w:numPr>
                    <w:bidi w:val="0"/>
                    <w:spacing w:line="240" w:lineRule="auto"/>
                    <w:jc w:val="both"/>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项目运营期危险废物收集、贮存、运输过程严格按要求建立规范的管理和技术人员培训制度，定期针对管理和技术人员进行培训。培训内容包括危险废物鉴别要求、危险废物经营许可证管理、危险废物转移联单管理、危险废物包装和标识、危险废物运输要求、危险废物事故应急方法等；</w:t>
                  </w:r>
                </w:p>
              </w:tc>
              <w:tc>
                <w:tcPr>
                  <w:tcW w:w="940" w:type="dxa"/>
                  <w:vAlign w:val="center"/>
                </w:tcPr>
                <w:p w14:paraId="7543CDD1">
                  <w:pPr>
                    <w:numPr>
                      <w:ilvl w:val="0"/>
                      <w:numId w:val="0"/>
                    </w:numPr>
                    <w:bidi w:val="0"/>
                    <w:spacing w:line="240" w:lineRule="auto"/>
                    <w:jc w:val="center"/>
                    <w:rPr>
                      <w:rFonts w:hint="eastAsia" w:cs="Times New Roman"/>
                      <w:b w:val="0"/>
                      <w:bCs w:val="0"/>
                      <w:color w:val="auto"/>
                      <w:sz w:val="21"/>
                      <w:szCs w:val="21"/>
                      <w:vertAlign w:val="baseline"/>
                      <w:lang w:val="en-US" w:eastAsia="zh-CN"/>
                    </w:rPr>
                  </w:pPr>
                  <w:r>
                    <w:rPr>
                      <w:rFonts w:hint="default" w:ascii="Times New Roman" w:hAnsi="Times New Roman" w:eastAsia="宋体" w:cs="Times New Roman"/>
                      <w:b w:val="0"/>
                      <w:bCs/>
                      <w:color w:val="auto"/>
                      <w:sz w:val="21"/>
                      <w:szCs w:val="21"/>
                    </w:rPr>
                    <w:t>符合</w:t>
                  </w:r>
                </w:p>
              </w:tc>
            </w:tr>
            <w:tr w14:paraId="32E37E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018" w:type="dxa"/>
                  <w:vAlign w:val="center"/>
                </w:tcPr>
                <w:p w14:paraId="7F9C261F">
                  <w:pPr>
                    <w:numPr>
                      <w:ilvl w:val="0"/>
                      <w:numId w:val="0"/>
                    </w:numPr>
                    <w:bidi w:val="0"/>
                    <w:spacing w:line="240" w:lineRule="auto"/>
                    <w:jc w:val="both"/>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4.4危险废物收集、贮存、运输单位应编制应急预案。应急预案编制可参照《危险废物经营单位编制应急预案指南》，涉及运输的相关内容还应符合交通行政部门的有关规定。针对危险废物收集、贮存运输过程中的事故易发环节应定期组织演练；</w:t>
                  </w:r>
                </w:p>
              </w:tc>
              <w:tc>
                <w:tcPr>
                  <w:tcW w:w="2960" w:type="dxa"/>
                  <w:vAlign w:val="center"/>
                </w:tcPr>
                <w:p w14:paraId="5CA96CDB">
                  <w:pPr>
                    <w:numPr>
                      <w:ilvl w:val="0"/>
                      <w:numId w:val="0"/>
                    </w:numPr>
                    <w:bidi w:val="0"/>
                    <w:spacing w:line="240" w:lineRule="auto"/>
                    <w:jc w:val="both"/>
                    <w:rPr>
                      <w:rFonts w:hint="eastAsia" w:cs="Times New Roman"/>
                      <w:b/>
                      <w:bCs/>
                      <w:color w:val="auto"/>
                      <w:sz w:val="21"/>
                      <w:szCs w:val="21"/>
                      <w:vertAlign w:val="baseline"/>
                      <w:lang w:val="en-US" w:eastAsia="zh-CN"/>
                    </w:rPr>
                  </w:pPr>
                  <w:r>
                    <w:rPr>
                      <w:rFonts w:hint="eastAsia" w:cs="Times New Roman"/>
                      <w:b w:val="0"/>
                      <w:bCs w:val="0"/>
                      <w:color w:val="auto"/>
                      <w:sz w:val="21"/>
                      <w:szCs w:val="21"/>
                      <w:vertAlign w:val="baseline"/>
                      <w:lang w:val="en-US" w:eastAsia="zh-CN"/>
                    </w:rPr>
                    <w:t>项目建成后按要求编制应急预案，针对危险废物收集、贮存运输过程中的事故易发环节定期组织培训和演练；</w:t>
                  </w:r>
                </w:p>
              </w:tc>
              <w:tc>
                <w:tcPr>
                  <w:tcW w:w="940" w:type="dxa"/>
                  <w:vAlign w:val="center"/>
                </w:tcPr>
                <w:p w14:paraId="02382633">
                  <w:pPr>
                    <w:numPr>
                      <w:ilvl w:val="0"/>
                      <w:numId w:val="0"/>
                    </w:numPr>
                    <w:bidi w:val="0"/>
                    <w:spacing w:line="240" w:lineRule="auto"/>
                    <w:jc w:val="center"/>
                    <w:rPr>
                      <w:rFonts w:hint="eastAsia" w:cs="Times New Roman"/>
                      <w:b w:val="0"/>
                      <w:bCs w:val="0"/>
                      <w:color w:val="auto"/>
                      <w:sz w:val="21"/>
                      <w:szCs w:val="21"/>
                      <w:vertAlign w:val="baseline"/>
                      <w:lang w:val="en-US" w:eastAsia="zh-CN"/>
                    </w:rPr>
                  </w:pPr>
                  <w:r>
                    <w:rPr>
                      <w:rFonts w:hint="default" w:ascii="Times New Roman" w:hAnsi="Times New Roman" w:eastAsia="宋体" w:cs="Times New Roman"/>
                      <w:b w:val="0"/>
                      <w:bCs/>
                      <w:color w:val="auto"/>
                      <w:sz w:val="21"/>
                      <w:szCs w:val="21"/>
                    </w:rPr>
                    <w:t>符合</w:t>
                  </w:r>
                </w:p>
              </w:tc>
            </w:tr>
            <w:tr w14:paraId="731C68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018" w:type="dxa"/>
                  <w:vAlign w:val="center"/>
                </w:tcPr>
                <w:p w14:paraId="1D18F7CD">
                  <w:pPr>
                    <w:numPr>
                      <w:ilvl w:val="0"/>
                      <w:numId w:val="0"/>
                    </w:numPr>
                    <w:bidi w:val="0"/>
                    <w:spacing w:line="240" w:lineRule="auto"/>
                    <w:jc w:val="both"/>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4.5危险废物收集、贮存、运输过程中一旦发生意外事故，收集、贮存、运输单位及相关部门应根据风险程度采取措施；</w:t>
                  </w:r>
                </w:p>
              </w:tc>
              <w:tc>
                <w:tcPr>
                  <w:tcW w:w="2960" w:type="dxa"/>
                  <w:vAlign w:val="center"/>
                </w:tcPr>
                <w:p w14:paraId="6C53AB1B">
                  <w:pPr>
                    <w:numPr>
                      <w:ilvl w:val="0"/>
                      <w:numId w:val="0"/>
                    </w:numPr>
                    <w:bidi w:val="0"/>
                    <w:spacing w:line="240" w:lineRule="auto"/>
                    <w:jc w:val="both"/>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项目运营期危险废物收集、贮存、运输过程中一旦发生意外事故，建设单位严格根据风险程度采取措施；</w:t>
                  </w:r>
                </w:p>
              </w:tc>
              <w:tc>
                <w:tcPr>
                  <w:tcW w:w="940" w:type="dxa"/>
                  <w:vAlign w:val="center"/>
                </w:tcPr>
                <w:p w14:paraId="68554911">
                  <w:pPr>
                    <w:numPr>
                      <w:ilvl w:val="0"/>
                      <w:numId w:val="0"/>
                    </w:numPr>
                    <w:bidi w:val="0"/>
                    <w:spacing w:line="240" w:lineRule="auto"/>
                    <w:jc w:val="center"/>
                    <w:rPr>
                      <w:rFonts w:hint="eastAsia" w:cs="Times New Roman"/>
                      <w:b w:val="0"/>
                      <w:bCs w:val="0"/>
                      <w:color w:val="auto"/>
                      <w:sz w:val="21"/>
                      <w:szCs w:val="21"/>
                      <w:vertAlign w:val="baseline"/>
                      <w:lang w:val="en-US" w:eastAsia="zh-CN"/>
                    </w:rPr>
                  </w:pPr>
                  <w:r>
                    <w:rPr>
                      <w:rFonts w:hint="default" w:ascii="Times New Roman" w:hAnsi="Times New Roman" w:eastAsia="宋体" w:cs="Times New Roman"/>
                      <w:b w:val="0"/>
                      <w:bCs/>
                      <w:color w:val="auto"/>
                      <w:sz w:val="21"/>
                      <w:szCs w:val="21"/>
                    </w:rPr>
                    <w:t>符合</w:t>
                  </w:r>
                </w:p>
              </w:tc>
            </w:tr>
            <w:tr w14:paraId="770AC7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018" w:type="dxa"/>
                  <w:vAlign w:val="center"/>
                </w:tcPr>
                <w:p w14:paraId="1715B589">
                  <w:pPr>
                    <w:numPr>
                      <w:ilvl w:val="0"/>
                      <w:numId w:val="0"/>
                    </w:numPr>
                    <w:bidi w:val="0"/>
                    <w:spacing w:line="240" w:lineRule="auto"/>
                    <w:jc w:val="both"/>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4.6危险废物收集、贮存、运输时应按腐蚀性、毒性、易燃型、反应性和感染性等危险特性对危险废物进行分类、包装并设置相应的标志及标签。危险废物特性应根据其产生源特性及GB0.1-7、HJ/T298进行鉴别；</w:t>
                  </w:r>
                </w:p>
              </w:tc>
              <w:tc>
                <w:tcPr>
                  <w:tcW w:w="2960" w:type="dxa"/>
                  <w:vAlign w:val="center"/>
                </w:tcPr>
                <w:p w14:paraId="064E3987">
                  <w:pPr>
                    <w:numPr>
                      <w:ilvl w:val="0"/>
                      <w:numId w:val="0"/>
                    </w:numPr>
                    <w:bidi w:val="0"/>
                    <w:spacing w:line="240" w:lineRule="auto"/>
                    <w:jc w:val="both"/>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废矿物油贮存于废矿物油专用容器；贮存的容器张贴危险废物标签；</w:t>
                  </w:r>
                </w:p>
              </w:tc>
              <w:tc>
                <w:tcPr>
                  <w:tcW w:w="940" w:type="dxa"/>
                  <w:vAlign w:val="center"/>
                </w:tcPr>
                <w:p w14:paraId="103C6F95">
                  <w:pPr>
                    <w:numPr>
                      <w:ilvl w:val="0"/>
                      <w:numId w:val="0"/>
                    </w:numPr>
                    <w:bidi w:val="0"/>
                    <w:spacing w:line="240" w:lineRule="auto"/>
                    <w:jc w:val="center"/>
                    <w:rPr>
                      <w:rFonts w:hint="eastAsia" w:cs="Times New Roman"/>
                      <w:b w:val="0"/>
                      <w:bCs w:val="0"/>
                      <w:color w:val="auto"/>
                      <w:sz w:val="21"/>
                      <w:szCs w:val="21"/>
                      <w:vertAlign w:val="baseline"/>
                      <w:lang w:val="en-US" w:eastAsia="zh-CN"/>
                    </w:rPr>
                  </w:pPr>
                  <w:r>
                    <w:rPr>
                      <w:rFonts w:hint="default" w:ascii="Times New Roman" w:hAnsi="Times New Roman" w:eastAsia="宋体" w:cs="Times New Roman"/>
                      <w:b w:val="0"/>
                      <w:bCs/>
                      <w:color w:val="auto"/>
                      <w:sz w:val="21"/>
                      <w:szCs w:val="21"/>
                    </w:rPr>
                    <w:t>符合</w:t>
                  </w:r>
                </w:p>
              </w:tc>
            </w:tr>
            <w:tr w14:paraId="7C2CA7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018" w:type="dxa"/>
                  <w:vAlign w:val="center"/>
                </w:tcPr>
                <w:p w14:paraId="139B08A1">
                  <w:pPr>
                    <w:numPr>
                      <w:ilvl w:val="0"/>
                      <w:numId w:val="0"/>
                    </w:numPr>
                    <w:bidi w:val="0"/>
                    <w:spacing w:line="240" w:lineRule="auto"/>
                    <w:jc w:val="both"/>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6.1危险废物贮存可分为产生单位内部贮存、中转贮存及集中性贮存。所对应的贮存设施分别为：产生危险废物的单位用于暂时贮存的设施；拥有危险废物收集经营许可证的单位用于临时贮存废矿物油设施；以及危险废物经营单位所配置的贮存设施；</w:t>
                  </w:r>
                </w:p>
              </w:tc>
              <w:tc>
                <w:tcPr>
                  <w:tcW w:w="2960" w:type="dxa"/>
                  <w:vAlign w:val="center"/>
                </w:tcPr>
                <w:p w14:paraId="2BD01ACF">
                  <w:pPr>
                    <w:numPr>
                      <w:ilvl w:val="0"/>
                      <w:numId w:val="0"/>
                    </w:numPr>
                    <w:bidi w:val="0"/>
                    <w:spacing w:line="240" w:lineRule="auto"/>
                    <w:jc w:val="both"/>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项目为拥有危险废物收集经营许可证的单位用于临时贮存废矿物油设施；</w:t>
                  </w:r>
                </w:p>
              </w:tc>
              <w:tc>
                <w:tcPr>
                  <w:tcW w:w="940" w:type="dxa"/>
                  <w:vAlign w:val="center"/>
                </w:tcPr>
                <w:p w14:paraId="148ECC26">
                  <w:pPr>
                    <w:numPr>
                      <w:ilvl w:val="0"/>
                      <w:numId w:val="0"/>
                    </w:numPr>
                    <w:bidi w:val="0"/>
                    <w:spacing w:line="240" w:lineRule="auto"/>
                    <w:jc w:val="center"/>
                    <w:rPr>
                      <w:rFonts w:hint="eastAsia" w:cs="Times New Roman"/>
                      <w:b w:val="0"/>
                      <w:bCs w:val="0"/>
                      <w:color w:val="auto"/>
                      <w:sz w:val="21"/>
                      <w:szCs w:val="21"/>
                      <w:vertAlign w:val="baseline"/>
                      <w:lang w:val="en-US" w:eastAsia="zh-CN"/>
                    </w:rPr>
                  </w:pPr>
                  <w:r>
                    <w:rPr>
                      <w:rFonts w:hint="default" w:ascii="Times New Roman" w:hAnsi="Times New Roman" w:eastAsia="宋体" w:cs="Times New Roman"/>
                      <w:b w:val="0"/>
                      <w:bCs/>
                      <w:color w:val="auto"/>
                      <w:sz w:val="21"/>
                      <w:szCs w:val="21"/>
                    </w:rPr>
                    <w:t>符合</w:t>
                  </w:r>
                </w:p>
              </w:tc>
            </w:tr>
            <w:tr w14:paraId="18A554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018" w:type="dxa"/>
                  <w:vAlign w:val="center"/>
                </w:tcPr>
                <w:p w14:paraId="7E39EA8D">
                  <w:pPr>
                    <w:numPr>
                      <w:ilvl w:val="0"/>
                      <w:numId w:val="0"/>
                    </w:numPr>
                    <w:bidi w:val="0"/>
                    <w:spacing w:line="240" w:lineRule="auto"/>
                    <w:jc w:val="both"/>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6.2危险废物贮存设施的选址、设计、建设、运行管理应满足GB18597、GBZ1和GBZ2的相关要求；</w:t>
                  </w:r>
                </w:p>
              </w:tc>
              <w:tc>
                <w:tcPr>
                  <w:tcW w:w="2960" w:type="dxa"/>
                  <w:vAlign w:val="center"/>
                </w:tcPr>
                <w:p w14:paraId="55D09B60">
                  <w:pPr>
                    <w:numPr>
                      <w:ilvl w:val="0"/>
                      <w:numId w:val="0"/>
                    </w:numPr>
                    <w:bidi w:val="0"/>
                    <w:spacing w:line="240" w:lineRule="auto"/>
                    <w:jc w:val="both"/>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项目危险废物贮存库的设计、建设、运行管理满足GBZ1和GBZ2、GB18597的相关要求</w:t>
                  </w:r>
                </w:p>
              </w:tc>
              <w:tc>
                <w:tcPr>
                  <w:tcW w:w="940" w:type="dxa"/>
                  <w:vAlign w:val="center"/>
                </w:tcPr>
                <w:p w14:paraId="5A97386F">
                  <w:pPr>
                    <w:numPr>
                      <w:ilvl w:val="0"/>
                      <w:numId w:val="0"/>
                    </w:numPr>
                    <w:bidi w:val="0"/>
                    <w:spacing w:line="240" w:lineRule="auto"/>
                    <w:jc w:val="center"/>
                    <w:rPr>
                      <w:rFonts w:hint="eastAsia" w:cs="Times New Roman"/>
                      <w:b w:val="0"/>
                      <w:bCs w:val="0"/>
                      <w:color w:val="auto"/>
                      <w:sz w:val="21"/>
                      <w:szCs w:val="21"/>
                      <w:vertAlign w:val="baseline"/>
                      <w:lang w:val="en-US" w:eastAsia="zh-CN"/>
                    </w:rPr>
                  </w:pPr>
                  <w:r>
                    <w:rPr>
                      <w:rFonts w:hint="default" w:ascii="Times New Roman" w:hAnsi="Times New Roman" w:eastAsia="宋体" w:cs="Times New Roman"/>
                      <w:b w:val="0"/>
                      <w:bCs/>
                      <w:color w:val="auto"/>
                      <w:sz w:val="21"/>
                      <w:szCs w:val="21"/>
                    </w:rPr>
                    <w:t>符合</w:t>
                  </w:r>
                </w:p>
              </w:tc>
            </w:tr>
            <w:tr w14:paraId="2A7A6C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018" w:type="dxa"/>
                  <w:vAlign w:val="center"/>
                </w:tcPr>
                <w:p w14:paraId="4C458AB8">
                  <w:pPr>
                    <w:numPr>
                      <w:ilvl w:val="0"/>
                      <w:numId w:val="0"/>
                    </w:numPr>
                    <w:bidi w:val="0"/>
                    <w:spacing w:line="240" w:lineRule="auto"/>
                    <w:jc w:val="both"/>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6.3危险废物贮存设施应配备通讯设备、照明设施和消防设施；</w:t>
                  </w:r>
                </w:p>
              </w:tc>
              <w:tc>
                <w:tcPr>
                  <w:tcW w:w="2960" w:type="dxa"/>
                  <w:vAlign w:val="center"/>
                </w:tcPr>
                <w:p w14:paraId="68630AD2">
                  <w:pPr>
                    <w:numPr>
                      <w:ilvl w:val="0"/>
                      <w:numId w:val="0"/>
                    </w:numPr>
                    <w:bidi w:val="0"/>
                    <w:spacing w:line="240" w:lineRule="auto"/>
                    <w:jc w:val="both"/>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项目建成后严格按技术规范要求配备通讯设备、照明设施和消防设施；</w:t>
                  </w:r>
                </w:p>
              </w:tc>
              <w:tc>
                <w:tcPr>
                  <w:tcW w:w="940" w:type="dxa"/>
                  <w:vAlign w:val="center"/>
                </w:tcPr>
                <w:p w14:paraId="76C462E4">
                  <w:pPr>
                    <w:numPr>
                      <w:ilvl w:val="0"/>
                      <w:numId w:val="0"/>
                    </w:numPr>
                    <w:bidi w:val="0"/>
                    <w:spacing w:line="240" w:lineRule="auto"/>
                    <w:jc w:val="center"/>
                    <w:rPr>
                      <w:rFonts w:hint="eastAsia" w:cs="Times New Roman"/>
                      <w:b w:val="0"/>
                      <w:bCs w:val="0"/>
                      <w:color w:val="auto"/>
                      <w:sz w:val="21"/>
                      <w:szCs w:val="21"/>
                      <w:vertAlign w:val="baseline"/>
                      <w:lang w:val="en-US" w:eastAsia="zh-CN"/>
                    </w:rPr>
                  </w:pPr>
                  <w:r>
                    <w:rPr>
                      <w:rFonts w:hint="default" w:ascii="Times New Roman" w:hAnsi="Times New Roman" w:eastAsia="宋体" w:cs="Times New Roman"/>
                      <w:b w:val="0"/>
                      <w:bCs/>
                      <w:color w:val="auto"/>
                      <w:sz w:val="21"/>
                      <w:szCs w:val="21"/>
                    </w:rPr>
                    <w:t>符合</w:t>
                  </w:r>
                </w:p>
              </w:tc>
            </w:tr>
            <w:tr w14:paraId="3B7AE8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018" w:type="dxa"/>
                  <w:vAlign w:val="center"/>
                </w:tcPr>
                <w:p w14:paraId="1BC3F351">
                  <w:pPr>
                    <w:numPr>
                      <w:ilvl w:val="0"/>
                      <w:numId w:val="0"/>
                    </w:numPr>
                    <w:bidi w:val="0"/>
                    <w:spacing w:line="240" w:lineRule="auto"/>
                    <w:jc w:val="both"/>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6.4贮存危险废物时应按危险废物的种类和特性进行分区贮存，每个贮存区域之间设置挡墙间隔，并应设置防雨、防火、防雷、防扬尘装置；</w:t>
                  </w:r>
                </w:p>
              </w:tc>
              <w:tc>
                <w:tcPr>
                  <w:tcW w:w="2960" w:type="dxa"/>
                  <w:vAlign w:val="center"/>
                </w:tcPr>
                <w:p w14:paraId="46ADE226">
                  <w:pPr>
                    <w:numPr>
                      <w:ilvl w:val="0"/>
                      <w:numId w:val="0"/>
                    </w:numPr>
                    <w:bidi w:val="0"/>
                    <w:spacing w:line="240" w:lineRule="auto"/>
                    <w:jc w:val="both"/>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项目建设的危险废物贮存库防雨、防火、防雷、防扬尘。废矿物油贮存于废矿物油专用容器。贮存的容器张贴危险废物标签；</w:t>
                  </w:r>
                </w:p>
              </w:tc>
              <w:tc>
                <w:tcPr>
                  <w:tcW w:w="940" w:type="dxa"/>
                  <w:vAlign w:val="center"/>
                </w:tcPr>
                <w:p w14:paraId="1195FC26">
                  <w:pPr>
                    <w:numPr>
                      <w:ilvl w:val="0"/>
                      <w:numId w:val="0"/>
                    </w:numPr>
                    <w:bidi w:val="0"/>
                    <w:spacing w:line="240" w:lineRule="auto"/>
                    <w:jc w:val="center"/>
                    <w:rPr>
                      <w:rFonts w:hint="eastAsia" w:cs="Times New Roman"/>
                      <w:b w:val="0"/>
                      <w:bCs w:val="0"/>
                      <w:color w:val="auto"/>
                      <w:sz w:val="21"/>
                      <w:szCs w:val="21"/>
                      <w:vertAlign w:val="baseline"/>
                      <w:lang w:val="en-US" w:eastAsia="zh-CN"/>
                    </w:rPr>
                  </w:pPr>
                  <w:r>
                    <w:rPr>
                      <w:rFonts w:hint="default" w:ascii="Times New Roman" w:hAnsi="Times New Roman" w:eastAsia="宋体" w:cs="Times New Roman"/>
                      <w:b w:val="0"/>
                      <w:bCs/>
                      <w:color w:val="auto"/>
                      <w:sz w:val="21"/>
                      <w:szCs w:val="21"/>
                    </w:rPr>
                    <w:t>符合</w:t>
                  </w:r>
                </w:p>
              </w:tc>
            </w:tr>
            <w:tr w14:paraId="6F89EF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018" w:type="dxa"/>
                  <w:vAlign w:val="center"/>
                </w:tcPr>
                <w:p w14:paraId="3633B46F">
                  <w:pPr>
                    <w:numPr>
                      <w:ilvl w:val="0"/>
                      <w:numId w:val="0"/>
                    </w:numPr>
                    <w:bidi w:val="0"/>
                    <w:spacing w:line="240" w:lineRule="auto"/>
                    <w:jc w:val="both"/>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6.5贮存易燃易爆危险废物应配置有机气体报警、火灾报警装置和导出静电的接地装置；</w:t>
                  </w:r>
                </w:p>
              </w:tc>
              <w:tc>
                <w:tcPr>
                  <w:tcW w:w="2960" w:type="dxa"/>
                  <w:vAlign w:val="center"/>
                </w:tcPr>
                <w:p w14:paraId="0E3A75CE">
                  <w:pPr>
                    <w:numPr>
                      <w:ilvl w:val="0"/>
                      <w:numId w:val="0"/>
                    </w:numPr>
                    <w:bidi w:val="0"/>
                    <w:spacing w:line="240" w:lineRule="auto"/>
                    <w:jc w:val="both"/>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项目贮存的废矿物油为常温贮存，不属于常温下易燃、易爆品；</w:t>
                  </w:r>
                </w:p>
              </w:tc>
              <w:tc>
                <w:tcPr>
                  <w:tcW w:w="940" w:type="dxa"/>
                  <w:vAlign w:val="center"/>
                </w:tcPr>
                <w:p w14:paraId="64F52336">
                  <w:pPr>
                    <w:numPr>
                      <w:ilvl w:val="0"/>
                      <w:numId w:val="0"/>
                    </w:numPr>
                    <w:bidi w:val="0"/>
                    <w:spacing w:line="240" w:lineRule="auto"/>
                    <w:jc w:val="center"/>
                    <w:rPr>
                      <w:rFonts w:hint="eastAsia" w:cs="Times New Roman"/>
                      <w:b w:val="0"/>
                      <w:bCs w:val="0"/>
                      <w:color w:val="auto"/>
                      <w:sz w:val="21"/>
                      <w:szCs w:val="21"/>
                      <w:vertAlign w:val="baseline"/>
                      <w:lang w:val="en-US" w:eastAsia="zh-CN"/>
                    </w:rPr>
                  </w:pPr>
                  <w:r>
                    <w:rPr>
                      <w:rFonts w:hint="default" w:ascii="Times New Roman" w:hAnsi="Times New Roman" w:eastAsia="宋体" w:cs="Times New Roman"/>
                      <w:b w:val="0"/>
                      <w:bCs/>
                      <w:color w:val="auto"/>
                      <w:sz w:val="21"/>
                      <w:szCs w:val="21"/>
                    </w:rPr>
                    <w:t>符合</w:t>
                  </w:r>
                </w:p>
              </w:tc>
            </w:tr>
            <w:tr w14:paraId="402002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018" w:type="dxa"/>
                  <w:vAlign w:val="center"/>
                </w:tcPr>
                <w:p w14:paraId="5AD1B3DB">
                  <w:pPr>
                    <w:numPr>
                      <w:ilvl w:val="0"/>
                      <w:numId w:val="0"/>
                    </w:numPr>
                    <w:bidi w:val="0"/>
                    <w:spacing w:line="240" w:lineRule="auto"/>
                    <w:jc w:val="both"/>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6.7危险废物贮存期限应符合《中华人民共和国固体废物污染环境防治法》的有关规定；</w:t>
                  </w:r>
                </w:p>
              </w:tc>
              <w:tc>
                <w:tcPr>
                  <w:tcW w:w="2960" w:type="dxa"/>
                  <w:vAlign w:val="center"/>
                </w:tcPr>
                <w:p w14:paraId="59CF4B50">
                  <w:pPr>
                    <w:numPr>
                      <w:ilvl w:val="0"/>
                      <w:numId w:val="0"/>
                    </w:numPr>
                    <w:bidi w:val="0"/>
                    <w:spacing w:line="240" w:lineRule="auto"/>
                    <w:jc w:val="both"/>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项目废矿物油贮存时间最多不会超过20天，符合《中华人民共和国固体废物污染环境防治法》的有关规定；</w:t>
                  </w:r>
                </w:p>
              </w:tc>
              <w:tc>
                <w:tcPr>
                  <w:tcW w:w="940" w:type="dxa"/>
                  <w:vAlign w:val="center"/>
                </w:tcPr>
                <w:p w14:paraId="7733F1FC">
                  <w:pPr>
                    <w:numPr>
                      <w:ilvl w:val="0"/>
                      <w:numId w:val="0"/>
                    </w:numPr>
                    <w:bidi w:val="0"/>
                    <w:spacing w:line="240" w:lineRule="auto"/>
                    <w:jc w:val="center"/>
                    <w:rPr>
                      <w:rFonts w:hint="eastAsia" w:cs="Times New Roman"/>
                      <w:b w:val="0"/>
                      <w:bCs w:val="0"/>
                      <w:color w:val="auto"/>
                      <w:sz w:val="21"/>
                      <w:szCs w:val="21"/>
                      <w:vertAlign w:val="baseline"/>
                      <w:lang w:val="en-US" w:eastAsia="zh-CN"/>
                    </w:rPr>
                  </w:pPr>
                  <w:r>
                    <w:rPr>
                      <w:rFonts w:hint="default" w:ascii="Times New Roman" w:hAnsi="Times New Roman" w:eastAsia="宋体" w:cs="Times New Roman"/>
                      <w:b w:val="0"/>
                      <w:bCs/>
                      <w:color w:val="auto"/>
                      <w:sz w:val="21"/>
                      <w:szCs w:val="21"/>
                    </w:rPr>
                    <w:t>符合</w:t>
                  </w:r>
                </w:p>
              </w:tc>
            </w:tr>
            <w:tr w14:paraId="1886E8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018" w:type="dxa"/>
                  <w:vAlign w:val="center"/>
                </w:tcPr>
                <w:p w14:paraId="338FE69D">
                  <w:pPr>
                    <w:numPr>
                      <w:ilvl w:val="0"/>
                      <w:numId w:val="0"/>
                    </w:numPr>
                    <w:bidi w:val="0"/>
                    <w:spacing w:line="240" w:lineRule="auto"/>
                    <w:jc w:val="both"/>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6.8危险废物贮存单位应建立危险废物贮存的台帐制度，危险废物出入库交接记录内容应参照HJ2025-2012附录C执行；</w:t>
                  </w:r>
                </w:p>
              </w:tc>
              <w:tc>
                <w:tcPr>
                  <w:tcW w:w="2960" w:type="dxa"/>
                  <w:vAlign w:val="center"/>
                </w:tcPr>
                <w:p w14:paraId="6499AC01">
                  <w:pPr>
                    <w:numPr>
                      <w:ilvl w:val="0"/>
                      <w:numId w:val="0"/>
                    </w:numPr>
                    <w:bidi w:val="0"/>
                    <w:spacing w:line="240" w:lineRule="auto"/>
                    <w:jc w:val="both"/>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环评要求建设单位必须严格按照HJ2025-2012附录C内容建立危险废物贮存的台帐制度；</w:t>
                  </w:r>
                </w:p>
              </w:tc>
              <w:tc>
                <w:tcPr>
                  <w:tcW w:w="940" w:type="dxa"/>
                  <w:vAlign w:val="center"/>
                </w:tcPr>
                <w:p w14:paraId="368D5C31">
                  <w:pPr>
                    <w:numPr>
                      <w:ilvl w:val="0"/>
                      <w:numId w:val="0"/>
                    </w:numPr>
                    <w:bidi w:val="0"/>
                    <w:spacing w:line="240" w:lineRule="auto"/>
                    <w:jc w:val="center"/>
                    <w:rPr>
                      <w:rFonts w:hint="eastAsia" w:cs="Times New Roman"/>
                      <w:b w:val="0"/>
                      <w:bCs w:val="0"/>
                      <w:color w:val="auto"/>
                      <w:sz w:val="21"/>
                      <w:szCs w:val="21"/>
                      <w:vertAlign w:val="baseline"/>
                      <w:lang w:val="en-US" w:eastAsia="zh-CN"/>
                    </w:rPr>
                  </w:pPr>
                  <w:r>
                    <w:rPr>
                      <w:rFonts w:hint="default" w:ascii="Times New Roman" w:hAnsi="Times New Roman" w:eastAsia="宋体" w:cs="Times New Roman"/>
                      <w:b w:val="0"/>
                      <w:bCs/>
                      <w:color w:val="auto"/>
                      <w:sz w:val="21"/>
                      <w:szCs w:val="21"/>
                    </w:rPr>
                    <w:t>符合</w:t>
                  </w:r>
                </w:p>
              </w:tc>
            </w:tr>
            <w:tr w14:paraId="53404D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018" w:type="dxa"/>
                  <w:vAlign w:val="center"/>
                </w:tcPr>
                <w:p w14:paraId="7F129A05">
                  <w:pPr>
                    <w:numPr>
                      <w:ilvl w:val="0"/>
                      <w:numId w:val="0"/>
                    </w:numPr>
                    <w:bidi w:val="0"/>
                    <w:spacing w:line="240" w:lineRule="auto"/>
                    <w:jc w:val="both"/>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6.9危险废物贮存设施应根据贮存的废物种类和特性按照GB18597附录A设置标志；</w:t>
                  </w:r>
                </w:p>
              </w:tc>
              <w:tc>
                <w:tcPr>
                  <w:tcW w:w="2960" w:type="dxa"/>
                  <w:vAlign w:val="center"/>
                </w:tcPr>
                <w:p w14:paraId="63C66942">
                  <w:pPr>
                    <w:numPr>
                      <w:ilvl w:val="0"/>
                      <w:numId w:val="0"/>
                    </w:numPr>
                    <w:bidi w:val="0"/>
                    <w:spacing w:line="240" w:lineRule="auto"/>
                    <w:jc w:val="both"/>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环评要求建设单位在施工结束后按照GB18597附录A设置相应标志；</w:t>
                  </w:r>
                </w:p>
              </w:tc>
              <w:tc>
                <w:tcPr>
                  <w:tcW w:w="940" w:type="dxa"/>
                  <w:vAlign w:val="center"/>
                </w:tcPr>
                <w:p w14:paraId="2DB2F048">
                  <w:pPr>
                    <w:numPr>
                      <w:ilvl w:val="0"/>
                      <w:numId w:val="0"/>
                    </w:numPr>
                    <w:bidi w:val="0"/>
                    <w:spacing w:line="240" w:lineRule="auto"/>
                    <w:jc w:val="center"/>
                    <w:rPr>
                      <w:rFonts w:hint="eastAsia" w:cs="Times New Roman"/>
                      <w:b w:val="0"/>
                      <w:bCs w:val="0"/>
                      <w:color w:val="auto"/>
                      <w:sz w:val="21"/>
                      <w:szCs w:val="21"/>
                      <w:vertAlign w:val="baseline"/>
                      <w:lang w:val="en-US" w:eastAsia="zh-CN"/>
                    </w:rPr>
                  </w:pPr>
                  <w:r>
                    <w:rPr>
                      <w:rFonts w:hint="default" w:ascii="Times New Roman" w:hAnsi="Times New Roman" w:eastAsia="宋体" w:cs="Times New Roman"/>
                      <w:b w:val="0"/>
                      <w:bCs/>
                      <w:color w:val="auto"/>
                      <w:sz w:val="21"/>
                      <w:szCs w:val="21"/>
                    </w:rPr>
                    <w:t>符合</w:t>
                  </w:r>
                </w:p>
              </w:tc>
            </w:tr>
            <w:tr w14:paraId="1566B3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018" w:type="dxa"/>
                  <w:vAlign w:val="center"/>
                </w:tcPr>
                <w:p w14:paraId="33ACAF3D">
                  <w:pPr>
                    <w:numPr>
                      <w:ilvl w:val="0"/>
                      <w:numId w:val="0"/>
                    </w:numPr>
                    <w:bidi w:val="0"/>
                    <w:spacing w:line="240" w:lineRule="auto"/>
                    <w:jc w:val="both"/>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7.1危险废物运输应由持有危险废物经营许可证的单位按照其许可证的经营范围组织实施，承担危险废物运输的单位应获得交通运输部门颁发的危险货物运输资质；</w:t>
                  </w:r>
                </w:p>
              </w:tc>
              <w:tc>
                <w:tcPr>
                  <w:tcW w:w="2960" w:type="dxa"/>
                  <w:vAlign w:val="center"/>
                </w:tcPr>
                <w:p w14:paraId="31E9D843">
                  <w:pPr>
                    <w:numPr>
                      <w:ilvl w:val="0"/>
                      <w:numId w:val="0"/>
                    </w:numPr>
                    <w:bidi w:val="0"/>
                    <w:spacing w:line="240" w:lineRule="auto"/>
                    <w:jc w:val="both"/>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项目不负责危废的运输，由专业的第三方运输单位运输至厂区内；环评要求运输单位需有相关危险货物运输资质；</w:t>
                  </w:r>
                </w:p>
              </w:tc>
              <w:tc>
                <w:tcPr>
                  <w:tcW w:w="940" w:type="dxa"/>
                  <w:vAlign w:val="center"/>
                </w:tcPr>
                <w:p w14:paraId="420CA962">
                  <w:pPr>
                    <w:numPr>
                      <w:ilvl w:val="0"/>
                      <w:numId w:val="0"/>
                    </w:numPr>
                    <w:bidi w:val="0"/>
                    <w:spacing w:line="240" w:lineRule="auto"/>
                    <w:jc w:val="center"/>
                    <w:rPr>
                      <w:rFonts w:hint="eastAsia" w:cs="Times New Roman"/>
                      <w:b w:val="0"/>
                      <w:bCs w:val="0"/>
                      <w:color w:val="auto"/>
                      <w:sz w:val="21"/>
                      <w:szCs w:val="21"/>
                      <w:vertAlign w:val="baseline"/>
                      <w:lang w:val="en-US" w:eastAsia="zh-CN"/>
                    </w:rPr>
                  </w:pPr>
                  <w:r>
                    <w:rPr>
                      <w:rFonts w:hint="default" w:ascii="Times New Roman" w:hAnsi="Times New Roman" w:eastAsia="宋体" w:cs="Times New Roman"/>
                      <w:b w:val="0"/>
                      <w:bCs/>
                      <w:color w:val="auto"/>
                      <w:sz w:val="21"/>
                      <w:szCs w:val="21"/>
                    </w:rPr>
                    <w:t>符合</w:t>
                  </w:r>
                </w:p>
              </w:tc>
            </w:tr>
          </w:tbl>
          <w:p w14:paraId="5A6BE45C">
            <w:pPr>
              <w:numPr>
                <w:ilvl w:val="0"/>
                <w:numId w:val="7"/>
              </w:numPr>
              <w:bidi w:val="0"/>
              <w:spacing w:line="360" w:lineRule="auto"/>
              <w:ind w:left="0" w:leftChars="0" w:firstLine="482" w:firstLineChars="200"/>
              <w:jc w:val="both"/>
              <w:rPr>
                <w:rFonts w:hint="eastAsia" w:cs="Times New Roman"/>
                <w:b/>
                <w:bCs/>
                <w:color w:val="auto"/>
                <w:sz w:val="21"/>
                <w:szCs w:val="21"/>
                <w:lang w:val="en-US" w:eastAsia="zh-CN"/>
              </w:rPr>
            </w:pPr>
            <w:r>
              <w:rPr>
                <w:rFonts w:hint="eastAsia" w:cs="Times New Roman"/>
                <w:b/>
                <w:bCs/>
                <w:color w:val="auto"/>
                <w:sz w:val="24"/>
                <w:szCs w:val="24"/>
                <w:lang w:val="en-US" w:eastAsia="zh-CN"/>
              </w:rPr>
              <w:t>与《废矿物油回收利用污染控制技术规范》（HJ607-2011）符合性</w:t>
            </w:r>
            <w:r>
              <w:rPr>
                <w:rFonts w:hint="eastAsia" w:ascii="Times New Roman" w:hAnsi="Times New Roman" w:eastAsia="宋体" w:cs="Times New Roman"/>
                <w:b/>
                <w:bCs/>
                <w:color w:val="auto"/>
                <w:sz w:val="24"/>
                <w:szCs w:val="24"/>
                <w:lang w:val="en-US" w:eastAsia="zh-CN"/>
              </w:rPr>
              <w:t>分析</w:t>
            </w:r>
          </w:p>
          <w:p w14:paraId="74B05DF5">
            <w:pPr>
              <w:numPr>
                <w:ilvl w:val="0"/>
                <w:numId w:val="0"/>
              </w:numPr>
              <w:bidi w:val="0"/>
              <w:spacing w:line="360" w:lineRule="auto"/>
              <w:jc w:val="center"/>
              <w:rPr>
                <w:rFonts w:hint="eastAsia" w:cs="Times New Roman"/>
                <w:b/>
                <w:bCs/>
                <w:color w:val="auto"/>
                <w:sz w:val="21"/>
                <w:szCs w:val="21"/>
                <w:vertAlign w:val="baseline"/>
                <w:lang w:val="en-US" w:eastAsia="zh-CN"/>
              </w:rPr>
            </w:pPr>
            <w:r>
              <w:rPr>
                <w:rFonts w:hint="eastAsia" w:cs="Times New Roman"/>
                <w:b/>
                <w:bCs/>
                <w:color w:val="auto"/>
                <w:sz w:val="21"/>
                <w:szCs w:val="21"/>
                <w:lang w:val="en-US" w:eastAsia="zh-CN"/>
              </w:rPr>
              <w:t>表1-5 与《废矿物油回收利用污染控制技术规范》（HJ607-2011）符合性分析</w:t>
            </w:r>
          </w:p>
          <w:tbl>
            <w:tblPr>
              <w:tblStyle w:val="28"/>
              <w:tblW w:w="791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58"/>
              <w:gridCol w:w="3380"/>
              <w:gridCol w:w="2940"/>
              <w:gridCol w:w="940"/>
            </w:tblGrid>
            <w:tr w14:paraId="6B6184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038" w:type="dxa"/>
                  <w:gridSpan w:val="2"/>
                  <w:vAlign w:val="center"/>
                </w:tcPr>
                <w:p w14:paraId="0225EB59">
                  <w:pPr>
                    <w:numPr>
                      <w:ilvl w:val="0"/>
                      <w:numId w:val="0"/>
                    </w:numPr>
                    <w:bidi w:val="0"/>
                    <w:spacing w:line="240" w:lineRule="auto"/>
                    <w:ind w:left="0" w:leftChars="0" w:firstLine="0" w:firstLineChars="0"/>
                    <w:jc w:val="center"/>
                    <w:rPr>
                      <w:rFonts w:hint="eastAsia" w:cs="Times New Roman"/>
                      <w:b/>
                      <w:bCs/>
                      <w:color w:val="auto"/>
                      <w:sz w:val="21"/>
                      <w:szCs w:val="21"/>
                      <w:vertAlign w:val="baseline"/>
                      <w:lang w:val="en-US" w:eastAsia="zh-CN"/>
                    </w:rPr>
                  </w:pPr>
                  <w:r>
                    <w:rPr>
                      <w:rFonts w:hint="eastAsia" w:cs="Times New Roman"/>
                      <w:b/>
                      <w:bCs/>
                      <w:color w:val="auto"/>
                      <w:sz w:val="21"/>
                      <w:szCs w:val="21"/>
                      <w:lang w:val="en-US" w:eastAsia="zh-CN"/>
                    </w:rPr>
                    <w:t>规范</w:t>
                  </w:r>
                  <w:r>
                    <w:rPr>
                      <w:rFonts w:hint="eastAsia"/>
                      <w:b/>
                      <w:bCs/>
                      <w:color w:val="auto"/>
                    </w:rPr>
                    <w:t>要求</w:t>
                  </w:r>
                </w:p>
              </w:tc>
              <w:tc>
                <w:tcPr>
                  <w:tcW w:w="2940" w:type="dxa"/>
                  <w:vAlign w:val="center"/>
                </w:tcPr>
                <w:p w14:paraId="1B0563E9">
                  <w:pPr>
                    <w:numPr>
                      <w:ilvl w:val="0"/>
                      <w:numId w:val="0"/>
                    </w:numPr>
                    <w:bidi w:val="0"/>
                    <w:spacing w:line="240" w:lineRule="auto"/>
                    <w:ind w:left="0" w:leftChars="0" w:firstLine="0" w:firstLineChars="0"/>
                    <w:jc w:val="center"/>
                    <w:rPr>
                      <w:rFonts w:hint="eastAsia"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本项目情况</w:t>
                  </w:r>
                </w:p>
              </w:tc>
              <w:tc>
                <w:tcPr>
                  <w:tcW w:w="940" w:type="dxa"/>
                  <w:vAlign w:val="center"/>
                </w:tcPr>
                <w:p w14:paraId="013030A5">
                  <w:pPr>
                    <w:numPr>
                      <w:ilvl w:val="0"/>
                      <w:numId w:val="0"/>
                    </w:numPr>
                    <w:bidi w:val="0"/>
                    <w:spacing w:line="240" w:lineRule="auto"/>
                    <w:ind w:left="0" w:leftChars="0" w:firstLine="0" w:firstLineChars="0"/>
                    <w:jc w:val="center"/>
                    <w:rPr>
                      <w:rFonts w:hint="eastAsia"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符合性</w:t>
                  </w:r>
                </w:p>
              </w:tc>
            </w:tr>
            <w:tr w14:paraId="412D9E4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658" w:type="dxa"/>
                  <w:vMerge w:val="restart"/>
                  <w:vAlign w:val="center"/>
                </w:tcPr>
                <w:p w14:paraId="71E5513A">
                  <w:pPr>
                    <w:numPr>
                      <w:ilvl w:val="0"/>
                      <w:numId w:val="0"/>
                    </w:numPr>
                    <w:bidi w:val="0"/>
                    <w:spacing w:line="240" w:lineRule="auto"/>
                    <w:jc w:val="center"/>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6</w:t>
                  </w:r>
                </w:p>
                <w:p w14:paraId="01638FFF">
                  <w:pPr>
                    <w:numPr>
                      <w:ilvl w:val="0"/>
                      <w:numId w:val="0"/>
                    </w:numPr>
                    <w:bidi w:val="0"/>
                    <w:spacing w:line="240" w:lineRule="auto"/>
                    <w:jc w:val="center"/>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收集污染控制技术要求</w:t>
                  </w:r>
                </w:p>
              </w:tc>
              <w:tc>
                <w:tcPr>
                  <w:tcW w:w="3380" w:type="dxa"/>
                  <w:vAlign w:val="center"/>
                </w:tcPr>
                <w:p w14:paraId="57ACC242">
                  <w:pPr>
                    <w:numPr>
                      <w:ilvl w:val="0"/>
                      <w:numId w:val="0"/>
                    </w:numPr>
                    <w:bidi w:val="0"/>
                    <w:spacing w:line="240" w:lineRule="auto"/>
                    <w:jc w:val="both"/>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6.1.1废矿物油收集容器应完好无损，没有腐蚀、污染、损毁或其他导致其使用效能较弱的缺陷</w:t>
                  </w:r>
                </w:p>
              </w:tc>
              <w:tc>
                <w:tcPr>
                  <w:tcW w:w="2940" w:type="dxa"/>
                  <w:vAlign w:val="center"/>
                </w:tcPr>
                <w:p w14:paraId="080D4203">
                  <w:pPr>
                    <w:numPr>
                      <w:ilvl w:val="0"/>
                      <w:numId w:val="0"/>
                    </w:numPr>
                    <w:bidi w:val="0"/>
                    <w:spacing w:line="240" w:lineRule="auto"/>
                    <w:jc w:val="both"/>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项目废矿物油采用完好、无腐蚀、无污染、无损毁的铁质专用收集容器（200L）贮存；</w:t>
                  </w:r>
                </w:p>
              </w:tc>
              <w:tc>
                <w:tcPr>
                  <w:tcW w:w="940" w:type="dxa"/>
                  <w:vAlign w:val="center"/>
                </w:tcPr>
                <w:p w14:paraId="0A20D61D">
                  <w:pPr>
                    <w:numPr>
                      <w:ilvl w:val="0"/>
                      <w:numId w:val="0"/>
                    </w:numPr>
                    <w:bidi w:val="0"/>
                    <w:spacing w:line="240" w:lineRule="auto"/>
                    <w:jc w:val="center"/>
                    <w:rPr>
                      <w:rFonts w:hint="eastAsia" w:cs="Times New Roman"/>
                      <w:b w:val="0"/>
                      <w:bCs w:val="0"/>
                      <w:color w:val="auto"/>
                      <w:sz w:val="21"/>
                      <w:szCs w:val="21"/>
                      <w:vertAlign w:val="baseline"/>
                      <w:lang w:val="en-US" w:eastAsia="zh-CN"/>
                    </w:rPr>
                  </w:pPr>
                  <w:r>
                    <w:rPr>
                      <w:rFonts w:hint="default" w:ascii="Times New Roman" w:hAnsi="Times New Roman" w:eastAsia="宋体" w:cs="Times New Roman"/>
                      <w:b w:val="0"/>
                      <w:bCs/>
                      <w:color w:val="auto"/>
                      <w:sz w:val="21"/>
                      <w:szCs w:val="21"/>
                    </w:rPr>
                    <w:t>符合</w:t>
                  </w:r>
                </w:p>
              </w:tc>
            </w:tr>
            <w:tr w14:paraId="52798F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58" w:type="dxa"/>
                  <w:vMerge w:val="continue"/>
                  <w:vAlign w:val="center"/>
                </w:tcPr>
                <w:p w14:paraId="22139BC7">
                  <w:pPr>
                    <w:numPr>
                      <w:ilvl w:val="0"/>
                      <w:numId w:val="0"/>
                    </w:numPr>
                    <w:bidi w:val="0"/>
                    <w:spacing w:line="240" w:lineRule="auto"/>
                    <w:jc w:val="center"/>
                    <w:rPr>
                      <w:rFonts w:hint="eastAsia" w:cs="Times New Roman"/>
                      <w:b w:val="0"/>
                      <w:bCs w:val="0"/>
                      <w:color w:val="auto"/>
                      <w:sz w:val="21"/>
                      <w:szCs w:val="21"/>
                      <w:vertAlign w:val="baseline"/>
                      <w:lang w:val="en-US" w:eastAsia="zh-CN"/>
                    </w:rPr>
                  </w:pPr>
                </w:p>
              </w:tc>
              <w:tc>
                <w:tcPr>
                  <w:tcW w:w="3380" w:type="dxa"/>
                  <w:vAlign w:val="center"/>
                </w:tcPr>
                <w:p w14:paraId="03D55286">
                  <w:pPr>
                    <w:numPr>
                      <w:ilvl w:val="0"/>
                      <w:numId w:val="0"/>
                    </w:numPr>
                    <w:bidi w:val="0"/>
                    <w:spacing w:line="240" w:lineRule="auto"/>
                    <w:jc w:val="both"/>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6.1.2废矿物油收集过程中产生的废旧容器应按照危险废物进行处置，仍可转作他用的，应经过消除污染的处理</w:t>
                  </w:r>
                </w:p>
              </w:tc>
              <w:tc>
                <w:tcPr>
                  <w:tcW w:w="2940" w:type="dxa"/>
                  <w:vAlign w:val="center"/>
                </w:tcPr>
                <w:p w14:paraId="04474CC4">
                  <w:pPr>
                    <w:numPr>
                      <w:ilvl w:val="0"/>
                      <w:numId w:val="0"/>
                    </w:numPr>
                    <w:bidi w:val="0"/>
                    <w:spacing w:line="240" w:lineRule="auto"/>
                    <w:jc w:val="both"/>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项目收集、贮存废矿物油过程产生的破损废容器交危废资质单位处置，不转作他用；</w:t>
                  </w:r>
                </w:p>
              </w:tc>
              <w:tc>
                <w:tcPr>
                  <w:tcW w:w="940" w:type="dxa"/>
                  <w:vAlign w:val="center"/>
                </w:tcPr>
                <w:p w14:paraId="50917D93">
                  <w:pPr>
                    <w:numPr>
                      <w:ilvl w:val="0"/>
                      <w:numId w:val="0"/>
                    </w:numPr>
                    <w:bidi w:val="0"/>
                    <w:spacing w:line="240" w:lineRule="auto"/>
                    <w:jc w:val="center"/>
                    <w:rPr>
                      <w:rFonts w:hint="eastAsia" w:cs="Times New Roman"/>
                      <w:b w:val="0"/>
                      <w:bCs w:val="0"/>
                      <w:color w:val="auto"/>
                      <w:sz w:val="21"/>
                      <w:szCs w:val="21"/>
                      <w:vertAlign w:val="baseline"/>
                      <w:lang w:val="en-US" w:eastAsia="zh-CN"/>
                    </w:rPr>
                  </w:pPr>
                  <w:r>
                    <w:rPr>
                      <w:rFonts w:hint="default" w:ascii="Times New Roman" w:hAnsi="Times New Roman" w:eastAsia="宋体" w:cs="Times New Roman"/>
                      <w:b w:val="0"/>
                      <w:bCs/>
                      <w:color w:val="auto"/>
                      <w:sz w:val="21"/>
                      <w:szCs w:val="21"/>
                    </w:rPr>
                    <w:t>符合</w:t>
                  </w:r>
                </w:p>
              </w:tc>
            </w:tr>
            <w:tr w14:paraId="7BEFFA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58" w:type="dxa"/>
                  <w:vMerge w:val="continue"/>
                  <w:vAlign w:val="center"/>
                </w:tcPr>
                <w:p w14:paraId="3AE732FF">
                  <w:pPr>
                    <w:numPr>
                      <w:ilvl w:val="0"/>
                      <w:numId w:val="0"/>
                    </w:numPr>
                    <w:bidi w:val="0"/>
                    <w:spacing w:line="240" w:lineRule="auto"/>
                    <w:jc w:val="center"/>
                    <w:rPr>
                      <w:rFonts w:hint="eastAsia" w:cs="Times New Roman"/>
                      <w:b w:val="0"/>
                      <w:bCs w:val="0"/>
                      <w:color w:val="auto"/>
                      <w:sz w:val="21"/>
                      <w:szCs w:val="21"/>
                      <w:vertAlign w:val="baseline"/>
                      <w:lang w:val="en-US" w:eastAsia="zh-CN"/>
                    </w:rPr>
                  </w:pPr>
                </w:p>
              </w:tc>
              <w:tc>
                <w:tcPr>
                  <w:tcW w:w="3380" w:type="dxa"/>
                  <w:vAlign w:val="center"/>
                </w:tcPr>
                <w:p w14:paraId="0C6B5E3C">
                  <w:pPr>
                    <w:numPr>
                      <w:ilvl w:val="0"/>
                      <w:numId w:val="0"/>
                    </w:numPr>
                    <w:bidi w:val="0"/>
                    <w:spacing w:line="240" w:lineRule="auto"/>
                    <w:jc w:val="both"/>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6.1.3废矿物油应在产生源收集，不宜在产生源收集的应设置专用设施集中收集</w:t>
                  </w:r>
                </w:p>
              </w:tc>
              <w:tc>
                <w:tcPr>
                  <w:tcW w:w="2940" w:type="dxa"/>
                  <w:vAlign w:val="center"/>
                </w:tcPr>
                <w:p w14:paraId="3A277CCB">
                  <w:pPr>
                    <w:numPr>
                      <w:ilvl w:val="0"/>
                      <w:numId w:val="0"/>
                    </w:numPr>
                    <w:bidi w:val="0"/>
                    <w:spacing w:line="240" w:lineRule="auto"/>
                    <w:jc w:val="both"/>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项目废矿物油均在产生源进行收集；</w:t>
                  </w:r>
                </w:p>
              </w:tc>
              <w:tc>
                <w:tcPr>
                  <w:tcW w:w="940" w:type="dxa"/>
                  <w:vAlign w:val="center"/>
                </w:tcPr>
                <w:p w14:paraId="57B642ED">
                  <w:pPr>
                    <w:numPr>
                      <w:ilvl w:val="0"/>
                      <w:numId w:val="0"/>
                    </w:numPr>
                    <w:bidi w:val="0"/>
                    <w:spacing w:line="240" w:lineRule="auto"/>
                    <w:jc w:val="center"/>
                    <w:rPr>
                      <w:rFonts w:hint="eastAsia" w:cs="Times New Roman"/>
                      <w:b w:val="0"/>
                      <w:bCs w:val="0"/>
                      <w:color w:val="auto"/>
                      <w:sz w:val="21"/>
                      <w:szCs w:val="21"/>
                      <w:vertAlign w:val="baseline"/>
                      <w:lang w:val="en-US" w:eastAsia="zh-CN"/>
                    </w:rPr>
                  </w:pPr>
                  <w:r>
                    <w:rPr>
                      <w:rFonts w:hint="default" w:ascii="Times New Roman" w:hAnsi="Times New Roman" w:eastAsia="宋体" w:cs="Times New Roman"/>
                      <w:b w:val="0"/>
                      <w:bCs/>
                      <w:color w:val="auto"/>
                      <w:sz w:val="21"/>
                      <w:szCs w:val="21"/>
                    </w:rPr>
                    <w:t>符合</w:t>
                  </w:r>
                </w:p>
              </w:tc>
            </w:tr>
            <w:tr w14:paraId="58DC89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58" w:type="dxa"/>
                  <w:vMerge w:val="continue"/>
                  <w:vAlign w:val="center"/>
                </w:tcPr>
                <w:p w14:paraId="1BC37A63">
                  <w:pPr>
                    <w:numPr>
                      <w:ilvl w:val="0"/>
                      <w:numId w:val="0"/>
                    </w:numPr>
                    <w:bidi w:val="0"/>
                    <w:spacing w:line="240" w:lineRule="auto"/>
                    <w:jc w:val="center"/>
                    <w:rPr>
                      <w:rFonts w:hint="eastAsia" w:cs="Times New Roman"/>
                      <w:b w:val="0"/>
                      <w:bCs w:val="0"/>
                      <w:color w:val="auto"/>
                      <w:sz w:val="21"/>
                      <w:szCs w:val="21"/>
                      <w:vertAlign w:val="baseline"/>
                      <w:lang w:val="en-US" w:eastAsia="zh-CN"/>
                    </w:rPr>
                  </w:pPr>
                </w:p>
              </w:tc>
              <w:tc>
                <w:tcPr>
                  <w:tcW w:w="3380" w:type="dxa"/>
                  <w:vAlign w:val="center"/>
                </w:tcPr>
                <w:p w14:paraId="37C0CA37">
                  <w:pPr>
                    <w:numPr>
                      <w:ilvl w:val="0"/>
                      <w:numId w:val="0"/>
                    </w:numPr>
                    <w:bidi w:val="0"/>
                    <w:spacing w:line="240" w:lineRule="auto"/>
                    <w:jc w:val="both"/>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6.1.4废矿物油收集过程产生的含油棉、含油毡等含废矿物油废物应一并收集</w:t>
                  </w:r>
                </w:p>
              </w:tc>
              <w:tc>
                <w:tcPr>
                  <w:tcW w:w="2940" w:type="dxa"/>
                  <w:vAlign w:val="center"/>
                </w:tcPr>
                <w:p w14:paraId="3FA3837F">
                  <w:pPr>
                    <w:numPr>
                      <w:ilvl w:val="0"/>
                      <w:numId w:val="0"/>
                    </w:numPr>
                    <w:bidi w:val="0"/>
                    <w:spacing w:line="240" w:lineRule="auto"/>
                    <w:jc w:val="both"/>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项目废矿物油收集过程产生的含油抹布、手套等含废矿物油的废物均一并收集；</w:t>
                  </w:r>
                </w:p>
              </w:tc>
              <w:tc>
                <w:tcPr>
                  <w:tcW w:w="940" w:type="dxa"/>
                  <w:vAlign w:val="center"/>
                </w:tcPr>
                <w:p w14:paraId="02229D84">
                  <w:pPr>
                    <w:numPr>
                      <w:ilvl w:val="0"/>
                      <w:numId w:val="0"/>
                    </w:numPr>
                    <w:bidi w:val="0"/>
                    <w:spacing w:line="240" w:lineRule="auto"/>
                    <w:jc w:val="center"/>
                    <w:rPr>
                      <w:rFonts w:hint="eastAsia" w:cs="Times New Roman"/>
                      <w:b w:val="0"/>
                      <w:bCs w:val="0"/>
                      <w:color w:val="auto"/>
                      <w:sz w:val="21"/>
                      <w:szCs w:val="21"/>
                      <w:vertAlign w:val="baseline"/>
                      <w:lang w:val="en-US" w:eastAsia="zh-CN"/>
                    </w:rPr>
                  </w:pPr>
                  <w:r>
                    <w:rPr>
                      <w:rFonts w:hint="default" w:ascii="Times New Roman" w:hAnsi="Times New Roman" w:eastAsia="宋体" w:cs="Times New Roman"/>
                      <w:b w:val="0"/>
                      <w:bCs/>
                      <w:color w:val="auto"/>
                      <w:sz w:val="21"/>
                      <w:szCs w:val="21"/>
                    </w:rPr>
                    <w:t>符合</w:t>
                  </w:r>
                </w:p>
              </w:tc>
            </w:tr>
            <w:tr w14:paraId="2C4425D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58" w:type="dxa"/>
                  <w:vMerge w:val="restart"/>
                  <w:vAlign w:val="center"/>
                </w:tcPr>
                <w:p w14:paraId="633565CE">
                  <w:pPr>
                    <w:numPr>
                      <w:ilvl w:val="0"/>
                      <w:numId w:val="0"/>
                    </w:numPr>
                    <w:bidi w:val="0"/>
                    <w:spacing w:line="240" w:lineRule="auto"/>
                    <w:jc w:val="center"/>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7</w:t>
                  </w:r>
                </w:p>
                <w:p w14:paraId="64DCF900">
                  <w:pPr>
                    <w:numPr>
                      <w:ilvl w:val="0"/>
                      <w:numId w:val="0"/>
                    </w:numPr>
                    <w:bidi w:val="0"/>
                    <w:spacing w:line="240" w:lineRule="auto"/>
                    <w:jc w:val="center"/>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贮存污染控制技术要求</w:t>
                  </w:r>
                </w:p>
              </w:tc>
              <w:tc>
                <w:tcPr>
                  <w:tcW w:w="3380" w:type="dxa"/>
                  <w:vAlign w:val="center"/>
                </w:tcPr>
                <w:p w14:paraId="61E5DEC0">
                  <w:pPr>
                    <w:numPr>
                      <w:ilvl w:val="0"/>
                      <w:numId w:val="0"/>
                    </w:numPr>
                    <w:bidi w:val="0"/>
                    <w:spacing w:line="240" w:lineRule="auto"/>
                    <w:jc w:val="both"/>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7.1废矿物油贮存污染控制应符合GB18597中有关规定</w:t>
                  </w:r>
                </w:p>
              </w:tc>
              <w:tc>
                <w:tcPr>
                  <w:tcW w:w="2940" w:type="dxa"/>
                  <w:vAlign w:val="center"/>
                </w:tcPr>
                <w:p w14:paraId="3BC07DFB">
                  <w:pPr>
                    <w:numPr>
                      <w:ilvl w:val="0"/>
                      <w:numId w:val="0"/>
                    </w:numPr>
                    <w:bidi w:val="0"/>
                    <w:spacing w:line="240" w:lineRule="auto"/>
                    <w:jc w:val="both"/>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项目废矿物油贮存污染控制符合《危险废物贮存污染控制标准》（GB18597-2023）及其2013年修改单规定；</w:t>
                  </w:r>
                </w:p>
              </w:tc>
              <w:tc>
                <w:tcPr>
                  <w:tcW w:w="940" w:type="dxa"/>
                  <w:vAlign w:val="center"/>
                </w:tcPr>
                <w:p w14:paraId="35F649BC">
                  <w:pPr>
                    <w:numPr>
                      <w:ilvl w:val="0"/>
                      <w:numId w:val="0"/>
                    </w:numPr>
                    <w:bidi w:val="0"/>
                    <w:spacing w:line="240" w:lineRule="auto"/>
                    <w:jc w:val="center"/>
                    <w:rPr>
                      <w:rFonts w:hint="eastAsia" w:cs="Times New Roman"/>
                      <w:b w:val="0"/>
                      <w:bCs w:val="0"/>
                      <w:color w:val="auto"/>
                      <w:sz w:val="21"/>
                      <w:szCs w:val="21"/>
                      <w:vertAlign w:val="baseline"/>
                      <w:lang w:val="en-US" w:eastAsia="zh-CN"/>
                    </w:rPr>
                  </w:pPr>
                  <w:r>
                    <w:rPr>
                      <w:rFonts w:hint="default" w:ascii="Times New Roman" w:hAnsi="Times New Roman" w:eastAsia="宋体" w:cs="Times New Roman"/>
                      <w:b w:val="0"/>
                      <w:bCs/>
                      <w:color w:val="auto"/>
                      <w:sz w:val="21"/>
                      <w:szCs w:val="21"/>
                    </w:rPr>
                    <w:t>符合</w:t>
                  </w:r>
                </w:p>
              </w:tc>
            </w:tr>
            <w:tr w14:paraId="43A5F3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58" w:type="dxa"/>
                  <w:vMerge w:val="continue"/>
                  <w:vAlign w:val="center"/>
                </w:tcPr>
                <w:p w14:paraId="0F05D302">
                  <w:pPr>
                    <w:numPr>
                      <w:ilvl w:val="0"/>
                      <w:numId w:val="0"/>
                    </w:numPr>
                    <w:bidi w:val="0"/>
                    <w:spacing w:line="240" w:lineRule="auto"/>
                    <w:jc w:val="center"/>
                    <w:rPr>
                      <w:rFonts w:hint="eastAsia" w:cs="Times New Roman"/>
                      <w:b w:val="0"/>
                      <w:bCs w:val="0"/>
                      <w:color w:val="auto"/>
                      <w:sz w:val="21"/>
                      <w:szCs w:val="21"/>
                      <w:vertAlign w:val="baseline"/>
                      <w:lang w:val="en-US" w:eastAsia="zh-CN"/>
                    </w:rPr>
                  </w:pPr>
                </w:p>
              </w:tc>
              <w:tc>
                <w:tcPr>
                  <w:tcW w:w="3380" w:type="dxa"/>
                  <w:vAlign w:val="center"/>
                </w:tcPr>
                <w:p w14:paraId="12543258">
                  <w:pPr>
                    <w:numPr>
                      <w:ilvl w:val="0"/>
                      <w:numId w:val="0"/>
                    </w:numPr>
                    <w:bidi w:val="0"/>
                    <w:spacing w:line="240" w:lineRule="auto"/>
                    <w:jc w:val="both"/>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7.2废矿物油贮存设施的设计、建设除符合危险废物贮存设计原则外，还应符合有关消防和危险品贮存设计规范</w:t>
                  </w:r>
                </w:p>
              </w:tc>
              <w:tc>
                <w:tcPr>
                  <w:tcW w:w="2940" w:type="dxa"/>
                  <w:vAlign w:val="center"/>
                </w:tcPr>
                <w:p w14:paraId="7041B908">
                  <w:pPr>
                    <w:numPr>
                      <w:ilvl w:val="0"/>
                      <w:numId w:val="0"/>
                    </w:numPr>
                    <w:bidi w:val="0"/>
                    <w:spacing w:line="240" w:lineRule="auto"/>
                    <w:jc w:val="both"/>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项目危险废物贮存设施严格按照危险废物贮存设施要求进行设计，且满足消防和危险品贮存设计规范；</w:t>
                  </w:r>
                </w:p>
              </w:tc>
              <w:tc>
                <w:tcPr>
                  <w:tcW w:w="940" w:type="dxa"/>
                  <w:vAlign w:val="center"/>
                </w:tcPr>
                <w:p w14:paraId="37A998DA">
                  <w:pPr>
                    <w:numPr>
                      <w:ilvl w:val="0"/>
                      <w:numId w:val="0"/>
                    </w:numPr>
                    <w:bidi w:val="0"/>
                    <w:spacing w:line="240" w:lineRule="auto"/>
                    <w:jc w:val="center"/>
                    <w:rPr>
                      <w:rFonts w:hint="eastAsia" w:cs="Times New Roman"/>
                      <w:b w:val="0"/>
                      <w:bCs w:val="0"/>
                      <w:color w:val="auto"/>
                      <w:sz w:val="21"/>
                      <w:szCs w:val="21"/>
                      <w:vertAlign w:val="baseline"/>
                      <w:lang w:val="en-US" w:eastAsia="zh-CN"/>
                    </w:rPr>
                  </w:pPr>
                  <w:r>
                    <w:rPr>
                      <w:rFonts w:hint="default" w:ascii="Times New Roman" w:hAnsi="Times New Roman" w:eastAsia="宋体" w:cs="Times New Roman"/>
                      <w:b w:val="0"/>
                      <w:bCs/>
                      <w:color w:val="auto"/>
                      <w:sz w:val="21"/>
                      <w:szCs w:val="21"/>
                    </w:rPr>
                    <w:t>符合</w:t>
                  </w:r>
                </w:p>
              </w:tc>
            </w:tr>
            <w:tr w14:paraId="3F9DE8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58" w:type="dxa"/>
                  <w:vMerge w:val="continue"/>
                  <w:vAlign w:val="center"/>
                </w:tcPr>
                <w:p w14:paraId="176C352B">
                  <w:pPr>
                    <w:numPr>
                      <w:ilvl w:val="0"/>
                      <w:numId w:val="0"/>
                    </w:numPr>
                    <w:bidi w:val="0"/>
                    <w:spacing w:line="240" w:lineRule="auto"/>
                    <w:jc w:val="center"/>
                    <w:rPr>
                      <w:rFonts w:hint="eastAsia" w:cs="Times New Roman"/>
                      <w:b w:val="0"/>
                      <w:bCs w:val="0"/>
                      <w:color w:val="auto"/>
                      <w:sz w:val="21"/>
                      <w:szCs w:val="21"/>
                      <w:vertAlign w:val="baseline"/>
                      <w:lang w:val="en-US" w:eastAsia="zh-CN"/>
                    </w:rPr>
                  </w:pPr>
                </w:p>
              </w:tc>
              <w:tc>
                <w:tcPr>
                  <w:tcW w:w="3380" w:type="dxa"/>
                  <w:vAlign w:val="center"/>
                </w:tcPr>
                <w:p w14:paraId="1ACA88D2">
                  <w:pPr>
                    <w:numPr>
                      <w:ilvl w:val="0"/>
                      <w:numId w:val="0"/>
                    </w:numPr>
                    <w:bidi w:val="0"/>
                    <w:spacing w:line="240" w:lineRule="auto"/>
                    <w:jc w:val="both"/>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7.3废矿物油贮存设施应远离火源，并避免高温和阳光直射</w:t>
                  </w:r>
                </w:p>
              </w:tc>
              <w:tc>
                <w:tcPr>
                  <w:tcW w:w="2940" w:type="dxa"/>
                  <w:vAlign w:val="center"/>
                </w:tcPr>
                <w:p w14:paraId="4D0A3218">
                  <w:pPr>
                    <w:numPr>
                      <w:ilvl w:val="0"/>
                      <w:numId w:val="0"/>
                    </w:numPr>
                    <w:bidi w:val="0"/>
                    <w:spacing w:line="240" w:lineRule="auto"/>
                    <w:jc w:val="both"/>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项目贮存设施周边200m范围内无火源，且贮存在专用容器，避免了高温和直晒；</w:t>
                  </w:r>
                </w:p>
              </w:tc>
              <w:tc>
                <w:tcPr>
                  <w:tcW w:w="940" w:type="dxa"/>
                  <w:vAlign w:val="center"/>
                </w:tcPr>
                <w:p w14:paraId="0B37A256">
                  <w:pPr>
                    <w:numPr>
                      <w:ilvl w:val="0"/>
                      <w:numId w:val="0"/>
                    </w:numPr>
                    <w:bidi w:val="0"/>
                    <w:spacing w:line="240" w:lineRule="auto"/>
                    <w:jc w:val="center"/>
                    <w:rPr>
                      <w:rFonts w:hint="eastAsia" w:cs="Times New Roman"/>
                      <w:b w:val="0"/>
                      <w:bCs w:val="0"/>
                      <w:color w:val="auto"/>
                      <w:sz w:val="21"/>
                      <w:szCs w:val="21"/>
                      <w:vertAlign w:val="baseline"/>
                      <w:lang w:val="en-US" w:eastAsia="zh-CN"/>
                    </w:rPr>
                  </w:pPr>
                  <w:r>
                    <w:rPr>
                      <w:rFonts w:hint="default" w:ascii="Times New Roman" w:hAnsi="Times New Roman" w:eastAsia="宋体" w:cs="Times New Roman"/>
                      <w:b w:val="0"/>
                      <w:bCs/>
                      <w:color w:val="auto"/>
                      <w:sz w:val="21"/>
                      <w:szCs w:val="21"/>
                    </w:rPr>
                    <w:t>符合</w:t>
                  </w:r>
                </w:p>
              </w:tc>
            </w:tr>
            <w:tr w14:paraId="3C468F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58" w:type="dxa"/>
                  <w:vMerge w:val="continue"/>
                  <w:vAlign w:val="center"/>
                </w:tcPr>
                <w:p w14:paraId="5ED930CC">
                  <w:pPr>
                    <w:numPr>
                      <w:ilvl w:val="0"/>
                      <w:numId w:val="0"/>
                    </w:numPr>
                    <w:bidi w:val="0"/>
                    <w:spacing w:line="240" w:lineRule="auto"/>
                    <w:jc w:val="center"/>
                    <w:rPr>
                      <w:rFonts w:hint="eastAsia" w:cs="Times New Roman"/>
                      <w:b w:val="0"/>
                      <w:bCs w:val="0"/>
                      <w:color w:val="auto"/>
                      <w:sz w:val="21"/>
                      <w:szCs w:val="21"/>
                      <w:vertAlign w:val="baseline"/>
                      <w:lang w:val="en-US" w:eastAsia="zh-CN"/>
                    </w:rPr>
                  </w:pPr>
                </w:p>
              </w:tc>
              <w:tc>
                <w:tcPr>
                  <w:tcW w:w="3380" w:type="dxa"/>
                  <w:vAlign w:val="center"/>
                </w:tcPr>
                <w:p w14:paraId="63E97C10">
                  <w:pPr>
                    <w:numPr>
                      <w:ilvl w:val="0"/>
                      <w:numId w:val="0"/>
                    </w:numPr>
                    <w:bidi w:val="0"/>
                    <w:spacing w:line="240" w:lineRule="auto"/>
                    <w:jc w:val="both"/>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7.4废矿物油应使用专用设施贮存，贮存前应进行检验，不应与不相容的废物混合，实行分类存放</w:t>
                  </w:r>
                </w:p>
              </w:tc>
              <w:tc>
                <w:tcPr>
                  <w:tcW w:w="2940" w:type="dxa"/>
                  <w:vAlign w:val="center"/>
                </w:tcPr>
                <w:p w14:paraId="66E446B8">
                  <w:pPr>
                    <w:numPr>
                      <w:ilvl w:val="0"/>
                      <w:numId w:val="0"/>
                    </w:numPr>
                    <w:bidi w:val="0"/>
                    <w:spacing w:line="240" w:lineRule="auto"/>
                    <w:jc w:val="both"/>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项目废矿物油使用专门的贮存设施贮存，贮存前检验相应标签以及实物是否为废矿物油；废矿物油与项目运行过程中产生的废含油抹布、手套、废活性炭实行分类存放；</w:t>
                  </w:r>
                </w:p>
              </w:tc>
              <w:tc>
                <w:tcPr>
                  <w:tcW w:w="940" w:type="dxa"/>
                  <w:vAlign w:val="center"/>
                </w:tcPr>
                <w:p w14:paraId="36A73C95">
                  <w:pPr>
                    <w:numPr>
                      <w:ilvl w:val="0"/>
                      <w:numId w:val="0"/>
                    </w:numPr>
                    <w:bidi w:val="0"/>
                    <w:spacing w:line="240" w:lineRule="auto"/>
                    <w:jc w:val="center"/>
                    <w:rPr>
                      <w:rFonts w:hint="eastAsia" w:cs="Times New Roman"/>
                      <w:b w:val="0"/>
                      <w:bCs w:val="0"/>
                      <w:color w:val="auto"/>
                      <w:sz w:val="21"/>
                      <w:szCs w:val="21"/>
                      <w:vertAlign w:val="baseline"/>
                      <w:lang w:val="en-US" w:eastAsia="zh-CN"/>
                    </w:rPr>
                  </w:pPr>
                  <w:r>
                    <w:rPr>
                      <w:rFonts w:hint="default" w:ascii="Times New Roman" w:hAnsi="Times New Roman" w:eastAsia="宋体" w:cs="Times New Roman"/>
                      <w:b w:val="0"/>
                      <w:bCs/>
                      <w:color w:val="auto"/>
                      <w:sz w:val="21"/>
                      <w:szCs w:val="21"/>
                    </w:rPr>
                    <w:t>符合</w:t>
                  </w:r>
                </w:p>
              </w:tc>
            </w:tr>
            <w:tr w14:paraId="1ECD81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58" w:type="dxa"/>
                  <w:vMerge w:val="continue"/>
                  <w:vAlign w:val="center"/>
                </w:tcPr>
                <w:p w14:paraId="2C560481">
                  <w:pPr>
                    <w:numPr>
                      <w:ilvl w:val="0"/>
                      <w:numId w:val="0"/>
                    </w:numPr>
                    <w:bidi w:val="0"/>
                    <w:spacing w:line="240" w:lineRule="auto"/>
                    <w:jc w:val="center"/>
                    <w:rPr>
                      <w:rFonts w:hint="eastAsia" w:cs="Times New Roman"/>
                      <w:b w:val="0"/>
                      <w:bCs w:val="0"/>
                      <w:color w:val="auto"/>
                      <w:sz w:val="21"/>
                      <w:szCs w:val="21"/>
                      <w:vertAlign w:val="baseline"/>
                      <w:lang w:val="en-US" w:eastAsia="zh-CN"/>
                    </w:rPr>
                  </w:pPr>
                </w:p>
              </w:tc>
              <w:tc>
                <w:tcPr>
                  <w:tcW w:w="3380" w:type="dxa"/>
                  <w:vAlign w:val="center"/>
                </w:tcPr>
                <w:p w14:paraId="518BC90B">
                  <w:pPr>
                    <w:numPr>
                      <w:ilvl w:val="0"/>
                      <w:numId w:val="0"/>
                    </w:numPr>
                    <w:bidi w:val="0"/>
                    <w:spacing w:line="240" w:lineRule="auto"/>
                    <w:jc w:val="both"/>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7.5废矿物油贮存设施内地面应做防渗处理，并建设废矿物油收集和导流系统，用于收集不慎泄露的废矿物油</w:t>
                  </w:r>
                </w:p>
              </w:tc>
              <w:tc>
                <w:tcPr>
                  <w:tcW w:w="2940" w:type="dxa"/>
                  <w:vAlign w:val="center"/>
                </w:tcPr>
                <w:p w14:paraId="4BC2B915">
                  <w:pPr>
                    <w:numPr>
                      <w:ilvl w:val="0"/>
                      <w:numId w:val="0"/>
                    </w:numPr>
                    <w:bidi w:val="0"/>
                    <w:spacing w:line="240" w:lineRule="auto"/>
                    <w:jc w:val="both"/>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危险废物贮存库地面采用防渗处理，并设有收集和导流系统；</w:t>
                  </w:r>
                </w:p>
              </w:tc>
              <w:tc>
                <w:tcPr>
                  <w:tcW w:w="940" w:type="dxa"/>
                  <w:vAlign w:val="center"/>
                </w:tcPr>
                <w:p w14:paraId="7B5644BB">
                  <w:pPr>
                    <w:numPr>
                      <w:ilvl w:val="0"/>
                      <w:numId w:val="0"/>
                    </w:numPr>
                    <w:bidi w:val="0"/>
                    <w:spacing w:line="240" w:lineRule="auto"/>
                    <w:jc w:val="center"/>
                    <w:rPr>
                      <w:rFonts w:hint="eastAsia" w:cs="Times New Roman"/>
                      <w:b w:val="0"/>
                      <w:bCs w:val="0"/>
                      <w:color w:val="auto"/>
                      <w:sz w:val="21"/>
                      <w:szCs w:val="21"/>
                      <w:vertAlign w:val="baseline"/>
                      <w:lang w:val="en-US" w:eastAsia="zh-CN"/>
                    </w:rPr>
                  </w:pPr>
                  <w:r>
                    <w:rPr>
                      <w:rFonts w:hint="default" w:ascii="Times New Roman" w:hAnsi="Times New Roman" w:eastAsia="宋体" w:cs="Times New Roman"/>
                      <w:b w:val="0"/>
                      <w:bCs/>
                      <w:color w:val="auto"/>
                      <w:sz w:val="21"/>
                      <w:szCs w:val="21"/>
                    </w:rPr>
                    <w:t>符合</w:t>
                  </w:r>
                </w:p>
              </w:tc>
            </w:tr>
            <w:tr w14:paraId="44797F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58" w:type="dxa"/>
                  <w:vMerge w:val="continue"/>
                  <w:vAlign w:val="center"/>
                </w:tcPr>
                <w:p w14:paraId="3EF1528A">
                  <w:pPr>
                    <w:numPr>
                      <w:ilvl w:val="0"/>
                      <w:numId w:val="0"/>
                    </w:numPr>
                    <w:bidi w:val="0"/>
                    <w:spacing w:line="240" w:lineRule="auto"/>
                    <w:jc w:val="center"/>
                    <w:rPr>
                      <w:rFonts w:hint="eastAsia" w:cs="Times New Roman"/>
                      <w:b w:val="0"/>
                      <w:bCs w:val="0"/>
                      <w:color w:val="auto"/>
                      <w:sz w:val="21"/>
                      <w:szCs w:val="21"/>
                      <w:vertAlign w:val="baseline"/>
                      <w:lang w:val="en-US" w:eastAsia="zh-CN"/>
                    </w:rPr>
                  </w:pPr>
                </w:p>
              </w:tc>
              <w:tc>
                <w:tcPr>
                  <w:tcW w:w="3380" w:type="dxa"/>
                  <w:vAlign w:val="center"/>
                </w:tcPr>
                <w:p w14:paraId="6D4C5E6D">
                  <w:pPr>
                    <w:numPr>
                      <w:ilvl w:val="0"/>
                      <w:numId w:val="0"/>
                    </w:numPr>
                    <w:bidi w:val="0"/>
                    <w:spacing w:line="240" w:lineRule="auto"/>
                    <w:jc w:val="both"/>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7.6废矿物油容器盛装液体废矿物油时，应留有足够的膨胀余量，预留容积应不少于总容积的5%。</w:t>
                  </w:r>
                </w:p>
              </w:tc>
              <w:tc>
                <w:tcPr>
                  <w:tcW w:w="2940" w:type="dxa"/>
                  <w:vAlign w:val="center"/>
                </w:tcPr>
                <w:p w14:paraId="5D2C0B2E">
                  <w:pPr>
                    <w:numPr>
                      <w:ilvl w:val="0"/>
                      <w:numId w:val="0"/>
                    </w:numPr>
                    <w:bidi w:val="0"/>
                    <w:spacing w:line="240" w:lineRule="auto"/>
                    <w:jc w:val="both"/>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项目贮存废矿物油容器严格按要求在顶部与液体表面之间保留100毫米以上的空间且预留容积不少于总容积的5%</w:t>
                  </w:r>
                </w:p>
              </w:tc>
              <w:tc>
                <w:tcPr>
                  <w:tcW w:w="940" w:type="dxa"/>
                  <w:vAlign w:val="center"/>
                </w:tcPr>
                <w:p w14:paraId="3020D236">
                  <w:pPr>
                    <w:numPr>
                      <w:ilvl w:val="0"/>
                      <w:numId w:val="0"/>
                    </w:numPr>
                    <w:bidi w:val="0"/>
                    <w:spacing w:line="240" w:lineRule="auto"/>
                    <w:jc w:val="center"/>
                    <w:rPr>
                      <w:rFonts w:hint="eastAsia" w:cs="Times New Roman"/>
                      <w:b w:val="0"/>
                      <w:bCs w:val="0"/>
                      <w:color w:val="auto"/>
                      <w:sz w:val="21"/>
                      <w:szCs w:val="21"/>
                      <w:vertAlign w:val="baseline"/>
                      <w:lang w:val="en-US" w:eastAsia="zh-CN"/>
                    </w:rPr>
                  </w:pPr>
                  <w:r>
                    <w:rPr>
                      <w:rFonts w:hint="default" w:ascii="Times New Roman" w:hAnsi="Times New Roman" w:eastAsia="宋体" w:cs="Times New Roman"/>
                      <w:b w:val="0"/>
                      <w:bCs/>
                      <w:color w:val="auto"/>
                      <w:sz w:val="21"/>
                      <w:szCs w:val="21"/>
                    </w:rPr>
                    <w:t>符合</w:t>
                  </w:r>
                </w:p>
              </w:tc>
            </w:tr>
            <w:tr w14:paraId="4D05DD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58" w:type="dxa"/>
                  <w:vMerge w:val="restart"/>
                  <w:vAlign w:val="center"/>
                </w:tcPr>
                <w:p w14:paraId="138F84C9">
                  <w:pPr>
                    <w:numPr>
                      <w:ilvl w:val="0"/>
                      <w:numId w:val="0"/>
                    </w:numPr>
                    <w:bidi w:val="0"/>
                    <w:spacing w:line="240" w:lineRule="auto"/>
                    <w:jc w:val="center"/>
                    <w:rPr>
                      <w:rFonts w:hint="eastAsia"/>
                      <w:color w:val="auto"/>
                    </w:rPr>
                  </w:pPr>
                  <w:r>
                    <w:rPr>
                      <w:rFonts w:hint="eastAsia"/>
                      <w:color w:val="auto"/>
                    </w:rPr>
                    <w:t>8</w:t>
                  </w:r>
                </w:p>
                <w:p w14:paraId="3550D641">
                  <w:pPr>
                    <w:numPr>
                      <w:ilvl w:val="0"/>
                      <w:numId w:val="0"/>
                    </w:numPr>
                    <w:bidi w:val="0"/>
                    <w:spacing w:line="240" w:lineRule="auto"/>
                    <w:jc w:val="center"/>
                    <w:rPr>
                      <w:rFonts w:hint="eastAsia" w:cs="Times New Roman"/>
                      <w:b w:val="0"/>
                      <w:bCs w:val="0"/>
                      <w:color w:val="auto"/>
                      <w:sz w:val="21"/>
                      <w:szCs w:val="21"/>
                      <w:vertAlign w:val="baseline"/>
                      <w:lang w:val="en-US" w:eastAsia="zh-CN"/>
                    </w:rPr>
                  </w:pPr>
                  <w:r>
                    <w:rPr>
                      <w:rFonts w:hint="eastAsia"/>
                      <w:color w:val="auto"/>
                    </w:rPr>
                    <w:t>运输污染控制技术要求</w:t>
                  </w:r>
                </w:p>
              </w:tc>
              <w:tc>
                <w:tcPr>
                  <w:tcW w:w="3380" w:type="dxa"/>
                  <w:vAlign w:val="center"/>
                </w:tcPr>
                <w:p w14:paraId="45ECA3B7">
                  <w:pPr>
                    <w:numPr>
                      <w:ilvl w:val="0"/>
                      <w:numId w:val="0"/>
                    </w:numPr>
                    <w:bidi w:val="0"/>
                    <w:spacing w:line="240" w:lineRule="auto"/>
                    <w:jc w:val="both"/>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8.1废矿物油的运输转移应按《道路危险货物运输管理规定》、《铁路危险货物运输管理规则》、《水路危险货物运输规则》等的规定执行</w:t>
                  </w:r>
                </w:p>
              </w:tc>
              <w:tc>
                <w:tcPr>
                  <w:tcW w:w="2940" w:type="dxa"/>
                  <w:vAlign w:val="center"/>
                </w:tcPr>
                <w:p w14:paraId="2F6048C7">
                  <w:pPr>
                    <w:numPr>
                      <w:ilvl w:val="0"/>
                      <w:numId w:val="0"/>
                    </w:numPr>
                    <w:bidi w:val="0"/>
                    <w:spacing w:line="240" w:lineRule="auto"/>
                    <w:jc w:val="both"/>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项目废矿物油委托运输单位负责。环评要求运输单位必须具有相关资质，且严格按照相关规定进行运输；</w:t>
                  </w:r>
                </w:p>
              </w:tc>
              <w:tc>
                <w:tcPr>
                  <w:tcW w:w="940" w:type="dxa"/>
                  <w:vAlign w:val="center"/>
                </w:tcPr>
                <w:p w14:paraId="17A362E7">
                  <w:pPr>
                    <w:numPr>
                      <w:ilvl w:val="0"/>
                      <w:numId w:val="0"/>
                    </w:numPr>
                    <w:bidi w:val="0"/>
                    <w:spacing w:line="240" w:lineRule="auto"/>
                    <w:jc w:val="center"/>
                    <w:rPr>
                      <w:rFonts w:hint="eastAsia" w:cs="Times New Roman"/>
                      <w:b w:val="0"/>
                      <w:bCs w:val="0"/>
                      <w:color w:val="auto"/>
                      <w:sz w:val="21"/>
                      <w:szCs w:val="21"/>
                      <w:vertAlign w:val="baseline"/>
                      <w:lang w:val="en-US" w:eastAsia="zh-CN"/>
                    </w:rPr>
                  </w:pPr>
                  <w:r>
                    <w:rPr>
                      <w:rFonts w:hint="default" w:ascii="Times New Roman" w:hAnsi="Times New Roman" w:eastAsia="宋体" w:cs="Times New Roman"/>
                      <w:b w:val="0"/>
                      <w:bCs/>
                      <w:color w:val="auto"/>
                      <w:sz w:val="21"/>
                      <w:szCs w:val="21"/>
                    </w:rPr>
                    <w:t>符合</w:t>
                  </w:r>
                </w:p>
              </w:tc>
            </w:tr>
            <w:tr w14:paraId="7D9A26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58" w:type="dxa"/>
                  <w:vMerge w:val="continue"/>
                  <w:vAlign w:val="center"/>
                </w:tcPr>
                <w:p w14:paraId="4216A056">
                  <w:pPr>
                    <w:numPr>
                      <w:ilvl w:val="0"/>
                      <w:numId w:val="0"/>
                    </w:numPr>
                    <w:bidi w:val="0"/>
                    <w:spacing w:line="240" w:lineRule="auto"/>
                    <w:jc w:val="center"/>
                    <w:rPr>
                      <w:rFonts w:hint="eastAsia" w:cs="Times New Roman"/>
                      <w:b w:val="0"/>
                      <w:bCs w:val="0"/>
                      <w:color w:val="auto"/>
                      <w:sz w:val="21"/>
                      <w:szCs w:val="21"/>
                      <w:vertAlign w:val="baseline"/>
                      <w:lang w:val="en-US" w:eastAsia="zh-CN"/>
                    </w:rPr>
                  </w:pPr>
                </w:p>
              </w:tc>
              <w:tc>
                <w:tcPr>
                  <w:tcW w:w="3380" w:type="dxa"/>
                  <w:vAlign w:val="center"/>
                </w:tcPr>
                <w:p w14:paraId="0533B73A">
                  <w:pPr>
                    <w:numPr>
                      <w:ilvl w:val="0"/>
                      <w:numId w:val="0"/>
                    </w:numPr>
                    <w:bidi w:val="0"/>
                    <w:spacing w:line="240" w:lineRule="auto"/>
                    <w:jc w:val="both"/>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8.2废矿物油的运输转移过程控制应按《危险废物转移联单管理办法》的规定执行</w:t>
                  </w:r>
                </w:p>
              </w:tc>
              <w:tc>
                <w:tcPr>
                  <w:tcW w:w="2940" w:type="dxa"/>
                  <w:vAlign w:val="center"/>
                </w:tcPr>
                <w:p w14:paraId="2BEB7259">
                  <w:pPr>
                    <w:numPr>
                      <w:ilvl w:val="0"/>
                      <w:numId w:val="0"/>
                    </w:numPr>
                    <w:bidi w:val="0"/>
                    <w:spacing w:line="240" w:lineRule="auto"/>
                    <w:jc w:val="both"/>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废矿物油的运输转移过程控制严格按照《危险废物转移管理办法》的要求执行；</w:t>
                  </w:r>
                </w:p>
              </w:tc>
              <w:tc>
                <w:tcPr>
                  <w:tcW w:w="940" w:type="dxa"/>
                  <w:vAlign w:val="center"/>
                </w:tcPr>
                <w:p w14:paraId="59697F7B">
                  <w:pPr>
                    <w:numPr>
                      <w:ilvl w:val="0"/>
                      <w:numId w:val="0"/>
                    </w:numPr>
                    <w:bidi w:val="0"/>
                    <w:spacing w:line="240" w:lineRule="auto"/>
                    <w:jc w:val="center"/>
                    <w:rPr>
                      <w:rFonts w:hint="eastAsia" w:cs="Times New Roman"/>
                      <w:b w:val="0"/>
                      <w:bCs w:val="0"/>
                      <w:color w:val="auto"/>
                      <w:sz w:val="21"/>
                      <w:szCs w:val="21"/>
                      <w:vertAlign w:val="baseline"/>
                      <w:lang w:val="en-US" w:eastAsia="zh-CN"/>
                    </w:rPr>
                  </w:pPr>
                  <w:r>
                    <w:rPr>
                      <w:rFonts w:hint="default" w:ascii="Times New Roman" w:hAnsi="Times New Roman" w:eastAsia="宋体" w:cs="Times New Roman"/>
                      <w:b w:val="0"/>
                      <w:bCs/>
                      <w:color w:val="auto"/>
                      <w:sz w:val="21"/>
                      <w:szCs w:val="21"/>
                    </w:rPr>
                    <w:t>符合</w:t>
                  </w:r>
                </w:p>
              </w:tc>
            </w:tr>
            <w:tr w14:paraId="0D5992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58" w:type="dxa"/>
                  <w:vMerge w:val="continue"/>
                  <w:vAlign w:val="center"/>
                </w:tcPr>
                <w:p w14:paraId="751E340E">
                  <w:pPr>
                    <w:numPr>
                      <w:ilvl w:val="0"/>
                      <w:numId w:val="0"/>
                    </w:numPr>
                    <w:bidi w:val="0"/>
                    <w:spacing w:line="240" w:lineRule="auto"/>
                    <w:jc w:val="center"/>
                    <w:rPr>
                      <w:rFonts w:hint="eastAsia" w:cs="Times New Roman"/>
                      <w:b w:val="0"/>
                      <w:bCs w:val="0"/>
                      <w:color w:val="auto"/>
                      <w:sz w:val="21"/>
                      <w:szCs w:val="21"/>
                      <w:vertAlign w:val="baseline"/>
                      <w:lang w:val="en-US" w:eastAsia="zh-CN"/>
                    </w:rPr>
                  </w:pPr>
                </w:p>
              </w:tc>
              <w:tc>
                <w:tcPr>
                  <w:tcW w:w="3380" w:type="dxa"/>
                  <w:vAlign w:val="center"/>
                </w:tcPr>
                <w:p w14:paraId="5436A36D">
                  <w:pPr>
                    <w:numPr>
                      <w:ilvl w:val="0"/>
                      <w:numId w:val="0"/>
                    </w:numPr>
                    <w:bidi w:val="0"/>
                    <w:spacing w:line="240" w:lineRule="auto"/>
                    <w:jc w:val="both"/>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8.3废矿物油转移前应检查危险废物转移联单，核对品名、数量和标志等</w:t>
                  </w:r>
                </w:p>
              </w:tc>
              <w:tc>
                <w:tcPr>
                  <w:tcW w:w="2940" w:type="dxa"/>
                  <w:vAlign w:val="center"/>
                </w:tcPr>
                <w:p w14:paraId="78EB9D36">
                  <w:pPr>
                    <w:numPr>
                      <w:ilvl w:val="0"/>
                      <w:numId w:val="0"/>
                    </w:numPr>
                    <w:bidi w:val="0"/>
                    <w:spacing w:line="240" w:lineRule="auto"/>
                    <w:jc w:val="both"/>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评价要求项目废矿物油转移前应认真检查危险废物转移联单，核对其品名、数量和标志等；</w:t>
                  </w:r>
                </w:p>
              </w:tc>
              <w:tc>
                <w:tcPr>
                  <w:tcW w:w="940" w:type="dxa"/>
                  <w:vAlign w:val="center"/>
                </w:tcPr>
                <w:p w14:paraId="6081FD23">
                  <w:pPr>
                    <w:numPr>
                      <w:ilvl w:val="0"/>
                      <w:numId w:val="0"/>
                    </w:numPr>
                    <w:bidi w:val="0"/>
                    <w:spacing w:line="240" w:lineRule="auto"/>
                    <w:jc w:val="center"/>
                    <w:rPr>
                      <w:rFonts w:hint="eastAsia" w:cs="Times New Roman"/>
                      <w:b w:val="0"/>
                      <w:bCs w:val="0"/>
                      <w:color w:val="auto"/>
                      <w:sz w:val="21"/>
                      <w:szCs w:val="21"/>
                      <w:vertAlign w:val="baseline"/>
                      <w:lang w:val="en-US" w:eastAsia="zh-CN"/>
                    </w:rPr>
                  </w:pPr>
                  <w:r>
                    <w:rPr>
                      <w:rFonts w:hint="default" w:ascii="Times New Roman" w:hAnsi="Times New Roman" w:eastAsia="宋体" w:cs="Times New Roman"/>
                      <w:b w:val="0"/>
                      <w:bCs/>
                      <w:color w:val="auto"/>
                      <w:sz w:val="21"/>
                      <w:szCs w:val="21"/>
                    </w:rPr>
                    <w:t>符合</w:t>
                  </w:r>
                </w:p>
              </w:tc>
            </w:tr>
            <w:tr w14:paraId="53BC50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58" w:type="dxa"/>
                  <w:vMerge w:val="continue"/>
                  <w:vAlign w:val="center"/>
                </w:tcPr>
                <w:p w14:paraId="22ED0FF4">
                  <w:pPr>
                    <w:numPr>
                      <w:ilvl w:val="0"/>
                      <w:numId w:val="0"/>
                    </w:numPr>
                    <w:bidi w:val="0"/>
                    <w:spacing w:line="240" w:lineRule="auto"/>
                    <w:jc w:val="center"/>
                    <w:rPr>
                      <w:rFonts w:hint="eastAsia" w:cs="Times New Roman"/>
                      <w:b w:val="0"/>
                      <w:bCs w:val="0"/>
                      <w:color w:val="auto"/>
                      <w:sz w:val="21"/>
                      <w:szCs w:val="21"/>
                      <w:vertAlign w:val="baseline"/>
                      <w:lang w:val="en-US" w:eastAsia="zh-CN"/>
                    </w:rPr>
                  </w:pPr>
                </w:p>
              </w:tc>
              <w:tc>
                <w:tcPr>
                  <w:tcW w:w="3380" w:type="dxa"/>
                  <w:vAlign w:val="center"/>
                </w:tcPr>
                <w:p w14:paraId="63B30835">
                  <w:pPr>
                    <w:numPr>
                      <w:ilvl w:val="0"/>
                      <w:numId w:val="0"/>
                    </w:numPr>
                    <w:bidi w:val="0"/>
                    <w:spacing w:line="240" w:lineRule="auto"/>
                    <w:jc w:val="both"/>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8.4废矿物油转运前应制定突发环境事件应急预案</w:t>
                  </w:r>
                </w:p>
              </w:tc>
              <w:tc>
                <w:tcPr>
                  <w:tcW w:w="2940" w:type="dxa"/>
                  <w:vAlign w:val="center"/>
                </w:tcPr>
                <w:p w14:paraId="6585C1E0">
                  <w:pPr>
                    <w:numPr>
                      <w:ilvl w:val="0"/>
                      <w:numId w:val="0"/>
                    </w:numPr>
                    <w:bidi w:val="0"/>
                    <w:spacing w:line="240" w:lineRule="auto"/>
                    <w:jc w:val="both"/>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项目废矿物油转运前制定突发环境事件应急预案；</w:t>
                  </w:r>
                </w:p>
              </w:tc>
              <w:tc>
                <w:tcPr>
                  <w:tcW w:w="940" w:type="dxa"/>
                  <w:vAlign w:val="center"/>
                </w:tcPr>
                <w:p w14:paraId="7841D379">
                  <w:pPr>
                    <w:numPr>
                      <w:ilvl w:val="0"/>
                      <w:numId w:val="0"/>
                    </w:numPr>
                    <w:bidi w:val="0"/>
                    <w:spacing w:line="240" w:lineRule="auto"/>
                    <w:jc w:val="center"/>
                    <w:rPr>
                      <w:rFonts w:hint="eastAsia" w:cs="Times New Roman"/>
                      <w:b w:val="0"/>
                      <w:bCs w:val="0"/>
                      <w:color w:val="auto"/>
                      <w:sz w:val="21"/>
                      <w:szCs w:val="21"/>
                      <w:vertAlign w:val="baseline"/>
                      <w:lang w:val="en-US" w:eastAsia="zh-CN"/>
                    </w:rPr>
                  </w:pPr>
                  <w:r>
                    <w:rPr>
                      <w:rFonts w:hint="default" w:ascii="Times New Roman" w:hAnsi="Times New Roman" w:eastAsia="宋体" w:cs="Times New Roman"/>
                      <w:b w:val="0"/>
                      <w:bCs/>
                      <w:color w:val="auto"/>
                      <w:sz w:val="21"/>
                      <w:szCs w:val="21"/>
                    </w:rPr>
                    <w:t>符合</w:t>
                  </w:r>
                </w:p>
              </w:tc>
            </w:tr>
            <w:tr w14:paraId="7AF367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58" w:type="dxa"/>
                  <w:vMerge w:val="continue"/>
                  <w:vAlign w:val="center"/>
                </w:tcPr>
                <w:p w14:paraId="13CA97C0">
                  <w:pPr>
                    <w:numPr>
                      <w:ilvl w:val="0"/>
                      <w:numId w:val="0"/>
                    </w:numPr>
                    <w:bidi w:val="0"/>
                    <w:spacing w:line="240" w:lineRule="auto"/>
                    <w:jc w:val="center"/>
                    <w:rPr>
                      <w:rFonts w:hint="eastAsia" w:cs="Times New Roman"/>
                      <w:b w:val="0"/>
                      <w:bCs w:val="0"/>
                      <w:color w:val="auto"/>
                      <w:sz w:val="21"/>
                      <w:szCs w:val="21"/>
                      <w:vertAlign w:val="baseline"/>
                      <w:lang w:val="en-US" w:eastAsia="zh-CN"/>
                    </w:rPr>
                  </w:pPr>
                </w:p>
              </w:tc>
              <w:tc>
                <w:tcPr>
                  <w:tcW w:w="3380" w:type="dxa"/>
                  <w:vAlign w:val="center"/>
                </w:tcPr>
                <w:p w14:paraId="404DDB67">
                  <w:pPr>
                    <w:numPr>
                      <w:ilvl w:val="0"/>
                      <w:numId w:val="0"/>
                    </w:numPr>
                    <w:bidi w:val="0"/>
                    <w:spacing w:line="240" w:lineRule="auto"/>
                    <w:jc w:val="both"/>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8.5废矿物油转运前应检查转运设备和盛装容器的稳定性、严密性，确保运输途中不会破裂、倾倒和溢流</w:t>
                  </w:r>
                </w:p>
              </w:tc>
              <w:tc>
                <w:tcPr>
                  <w:tcW w:w="2940" w:type="dxa"/>
                  <w:vAlign w:val="center"/>
                </w:tcPr>
                <w:p w14:paraId="3674E004">
                  <w:pPr>
                    <w:numPr>
                      <w:ilvl w:val="0"/>
                      <w:numId w:val="0"/>
                    </w:numPr>
                    <w:bidi w:val="0"/>
                    <w:spacing w:line="240" w:lineRule="auto"/>
                    <w:jc w:val="both"/>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项目废矿物油转运前须认真检查转运设备和盛装容器的稳定性、严密性，利用运输工具将盛装容器固定后再运，切忌倒装和卧装，确保运输途中不会破裂、倾倒和溢流；</w:t>
                  </w:r>
                </w:p>
              </w:tc>
              <w:tc>
                <w:tcPr>
                  <w:tcW w:w="940" w:type="dxa"/>
                  <w:vAlign w:val="center"/>
                </w:tcPr>
                <w:p w14:paraId="4B007D5C">
                  <w:pPr>
                    <w:numPr>
                      <w:ilvl w:val="0"/>
                      <w:numId w:val="0"/>
                    </w:numPr>
                    <w:bidi w:val="0"/>
                    <w:spacing w:line="240" w:lineRule="auto"/>
                    <w:jc w:val="center"/>
                    <w:rPr>
                      <w:rFonts w:hint="eastAsia" w:cs="Times New Roman"/>
                      <w:b w:val="0"/>
                      <w:bCs w:val="0"/>
                      <w:color w:val="auto"/>
                      <w:sz w:val="21"/>
                      <w:szCs w:val="21"/>
                      <w:vertAlign w:val="baseline"/>
                      <w:lang w:val="en-US" w:eastAsia="zh-CN"/>
                    </w:rPr>
                  </w:pPr>
                  <w:r>
                    <w:rPr>
                      <w:rFonts w:hint="default" w:ascii="Times New Roman" w:hAnsi="Times New Roman" w:eastAsia="宋体" w:cs="Times New Roman"/>
                      <w:b w:val="0"/>
                      <w:bCs/>
                      <w:color w:val="auto"/>
                      <w:sz w:val="21"/>
                      <w:szCs w:val="21"/>
                    </w:rPr>
                    <w:t>符合</w:t>
                  </w:r>
                </w:p>
              </w:tc>
            </w:tr>
            <w:tr w14:paraId="6FADB6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58" w:type="dxa"/>
                  <w:vMerge w:val="continue"/>
                  <w:vAlign w:val="center"/>
                </w:tcPr>
                <w:p w14:paraId="049CF681">
                  <w:pPr>
                    <w:numPr>
                      <w:ilvl w:val="0"/>
                      <w:numId w:val="0"/>
                    </w:numPr>
                    <w:bidi w:val="0"/>
                    <w:spacing w:line="240" w:lineRule="auto"/>
                    <w:jc w:val="center"/>
                    <w:rPr>
                      <w:rFonts w:hint="eastAsia" w:cs="Times New Roman"/>
                      <w:b w:val="0"/>
                      <w:bCs w:val="0"/>
                      <w:color w:val="auto"/>
                      <w:sz w:val="21"/>
                      <w:szCs w:val="21"/>
                      <w:vertAlign w:val="baseline"/>
                      <w:lang w:val="en-US" w:eastAsia="zh-CN"/>
                    </w:rPr>
                  </w:pPr>
                </w:p>
              </w:tc>
              <w:tc>
                <w:tcPr>
                  <w:tcW w:w="3380" w:type="dxa"/>
                  <w:vAlign w:val="center"/>
                </w:tcPr>
                <w:p w14:paraId="1B2A3F01">
                  <w:pPr>
                    <w:numPr>
                      <w:ilvl w:val="0"/>
                      <w:numId w:val="0"/>
                    </w:numPr>
                    <w:bidi w:val="0"/>
                    <w:spacing w:line="240" w:lineRule="auto"/>
                    <w:jc w:val="both"/>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8.6废矿物油在转运过程中应设专人看护</w:t>
                  </w:r>
                </w:p>
              </w:tc>
              <w:tc>
                <w:tcPr>
                  <w:tcW w:w="2940" w:type="dxa"/>
                  <w:vAlign w:val="center"/>
                </w:tcPr>
                <w:p w14:paraId="613DD28E">
                  <w:pPr>
                    <w:numPr>
                      <w:ilvl w:val="0"/>
                      <w:numId w:val="0"/>
                    </w:numPr>
                    <w:bidi w:val="0"/>
                    <w:spacing w:line="240" w:lineRule="auto"/>
                    <w:jc w:val="both"/>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转运过程安排专人看护；</w:t>
                  </w:r>
                </w:p>
              </w:tc>
              <w:tc>
                <w:tcPr>
                  <w:tcW w:w="940" w:type="dxa"/>
                  <w:vAlign w:val="center"/>
                </w:tcPr>
                <w:p w14:paraId="0CCC04C6">
                  <w:pPr>
                    <w:numPr>
                      <w:ilvl w:val="0"/>
                      <w:numId w:val="0"/>
                    </w:numPr>
                    <w:bidi w:val="0"/>
                    <w:spacing w:line="240" w:lineRule="auto"/>
                    <w:jc w:val="center"/>
                    <w:rPr>
                      <w:rFonts w:hint="eastAsia" w:cs="Times New Roman"/>
                      <w:b w:val="0"/>
                      <w:bCs w:val="0"/>
                      <w:color w:val="auto"/>
                      <w:sz w:val="21"/>
                      <w:szCs w:val="21"/>
                      <w:vertAlign w:val="baseline"/>
                      <w:lang w:val="en-US" w:eastAsia="zh-CN"/>
                    </w:rPr>
                  </w:pPr>
                  <w:r>
                    <w:rPr>
                      <w:rFonts w:hint="default" w:ascii="Times New Roman" w:hAnsi="Times New Roman" w:eastAsia="宋体" w:cs="Times New Roman"/>
                      <w:b w:val="0"/>
                      <w:bCs/>
                      <w:color w:val="auto"/>
                      <w:sz w:val="21"/>
                      <w:szCs w:val="21"/>
                    </w:rPr>
                    <w:t>符合</w:t>
                  </w:r>
                </w:p>
              </w:tc>
            </w:tr>
          </w:tbl>
          <w:p w14:paraId="073B14CC">
            <w:pPr>
              <w:numPr>
                <w:ilvl w:val="0"/>
                <w:numId w:val="6"/>
              </w:numPr>
              <w:bidi w:val="0"/>
              <w:spacing w:line="360" w:lineRule="auto"/>
              <w:ind w:left="0" w:leftChars="0" w:firstLine="0" w:firstLineChars="0"/>
              <w:rPr>
                <w:rFonts w:hint="eastAsia" w:ascii="Times New Roman" w:hAnsi="Times New Roman" w:eastAsia="宋体" w:cs="Times New Roman"/>
                <w:b/>
                <w:bCs/>
                <w:color w:val="auto"/>
                <w:sz w:val="24"/>
                <w:szCs w:val="24"/>
                <w:lang w:val="en-US" w:eastAsia="zh-CN"/>
              </w:rPr>
            </w:pPr>
            <w:r>
              <w:rPr>
                <w:rFonts w:hint="eastAsia" w:ascii="Times New Roman" w:hAnsi="Times New Roman" w:eastAsia="宋体" w:cs="Times New Roman"/>
                <w:b/>
                <w:bCs/>
                <w:color w:val="auto"/>
                <w:sz w:val="24"/>
                <w:szCs w:val="24"/>
                <w:lang w:val="en-US" w:eastAsia="zh-CN"/>
              </w:rPr>
              <w:t>与《长江经济带发展负面清单实施细则（试行，2022版）》的政策要求符合性分析</w:t>
            </w:r>
          </w:p>
          <w:p w14:paraId="23044983">
            <w:pPr>
              <w:numPr>
                <w:ilvl w:val="0"/>
                <w:numId w:val="0"/>
              </w:numPr>
              <w:bidi w:val="0"/>
              <w:spacing w:line="360" w:lineRule="auto"/>
              <w:ind w:firstLine="480" w:firstLineChars="200"/>
              <w:rPr>
                <w:rFonts w:hint="eastAsia" w:ascii="Times New Roman" w:hAnsi="Times New Roman" w:eastAsia="宋体" w:cs="Times New Roman"/>
                <w:b w:val="0"/>
                <w:bCs w:val="0"/>
                <w:color w:val="auto"/>
                <w:sz w:val="24"/>
                <w:szCs w:val="24"/>
                <w:lang w:val="en-US" w:eastAsia="zh-CN"/>
              </w:rPr>
            </w:pPr>
            <w:r>
              <w:rPr>
                <w:rFonts w:hint="eastAsia" w:ascii="Times New Roman" w:hAnsi="Times New Roman" w:eastAsia="宋体" w:cs="Times New Roman"/>
                <w:b w:val="0"/>
                <w:bCs w:val="0"/>
                <w:color w:val="auto"/>
                <w:sz w:val="24"/>
                <w:szCs w:val="24"/>
                <w:lang w:val="en-US" w:eastAsia="zh-CN"/>
              </w:rPr>
              <w:t>2022年8月25日</w:t>
            </w:r>
            <w:r>
              <w:rPr>
                <w:rFonts w:hint="eastAsia" w:cs="Times New Roman"/>
                <w:b w:val="0"/>
                <w:bCs w:val="0"/>
                <w:color w:val="auto"/>
                <w:sz w:val="24"/>
                <w:szCs w:val="24"/>
                <w:lang w:val="en-US" w:eastAsia="zh-CN"/>
              </w:rPr>
              <w:t>，</w:t>
            </w:r>
            <w:r>
              <w:rPr>
                <w:rFonts w:hint="eastAsia" w:ascii="Times New Roman" w:hAnsi="Times New Roman" w:eastAsia="宋体" w:cs="Times New Roman"/>
                <w:b w:val="0"/>
                <w:bCs w:val="0"/>
                <w:color w:val="auto"/>
                <w:sz w:val="24"/>
                <w:szCs w:val="24"/>
                <w:lang w:val="en-US" w:eastAsia="zh-CN"/>
              </w:rPr>
              <w:t>四川省及重庆市推动长江经济带发展领导小组办公室发布了《长江经济带发展负面清单实施细则（试行，2022版）》（川长江办〔2022〕17号）</w:t>
            </w:r>
            <w:r>
              <w:rPr>
                <w:rFonts w:hint="eastAsia" w:cs="Times New Roman"/>
                <w:b w:val="0"/>
                <w:bCs w:val="0"/>
                <w:color w:val="auto"/>
                <w:sz w:val="24"/>
                <w:szCs w:val="24"/>
                <w:lang w:val="en-US" w:eastAsia="zh-CN"/>
              </w:rPr>
              <w:t>。</w:t>
            </w:r>
            <w:r>
              <w:rPr>
                <w:rFonts w:hint="eastAsia" w:ascii="Times New Roman" w:hAnsi="Times New Roman" w:eastAsia="宋体" w:cs="Times New Roman"/>
                <w:b w:val="0"/>
                <w:bCs w:val="0"/>
                <w:color w:val="auto"/>
                <w:sz w:val="24"/>
                <w:szCs w:val="24"/>
                <w:lang w:val="en-US" w:eastAsia="zh-CN"/>
              </w:rPr>
              <w:t>根据文件精神，本项目符合性分析如下：</w:t>
            </w:r>
          </w:p>
          <w:p w14:paraId="36FB3EE8">
            <w:pPr>
              <w:numPr>
                <w:ilvl w:val="0"/>
                <w:numId w:val="0"/>
              </w:numPr>
              <w:bidi w:val="0"/>
              <w:spacing w:line="360" w:lineRule="auto"/>
              <w:jc w:val="center"/>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lang w:val="en-US" w:eastAsia="zh-CN"/>
              </w:rPr>
              <w:t>表1-</w:t>
            </w:r>
            <w:r>
              <w:rPr>
                <w:rFonts w:hint="eastAsia" w:cs="Times New Roman"/>
                <w:b/>
                <w:bCs/>
                <w:color w:val="auto"/>
                <w:sz w:val="21"/>
                <w:szCs w:val="21"/>
                <w:lang w:val="en-US" w:eastAsia="zh-CN"/>
              </w:rPr>
              <w:t xml:space="preserve">6 </w:t>
            </w:r>
            <w:r>
              <w:rPr>
                <w:rFonts w:hint="eastAsia" w:ascii="Times New Roman" w:hAnsi="Times New Roman" w:eastAsia="宋体" w:cs="Times New Roman"/>
                <w:b/>
                <w:bCs/>
                <w:color w:val="auto"/>
                <w:sz w:val="21"/>
                <w:szCs w:val="21"/>
                <w:lang w:val="en-US" w:eastAsia="zh-CN"/>
              </w:rPr>
              <w:t>与《长江经济带发展负面清单实施细则（试行，2022版）》对照分析表</w:t>
            </w:r>
          </w:p>
          <w:tbl>
            <w:tblPr>
              <w:tblStyle w:val="28"/>
              <w:tblW w:w="791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958"/>
              <w:gridCol w:w="1106"/>
              <w:gridCol w:w="854"/>
            </w:tblGrid>
            <w:tr w14:paraId="32AB209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3" w:hRule="atLeast"/>
              </w:trPr>
              <w:tc>
                <w:tcPr>
                  <w:tcW w:w="5958" w:type="dxa"/>
                  <w:vAlign w:val="center"/>
                </w:tcPr>
                <w:p w14:paraId="359AC51F">
                  <w:pPr>
                    <w:numPr>
                      <w:ilvl w:val="0"/>
                      <w:numId w:val="0"/>
                    </w:numPr>
                    <w:bidi w:val="0"/>
                    <w:spacing w:line="240" w:lineRule="auto"/>
                    <w:jc w:val="center"/>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政策要求</w:t>
                  </w:r>
                </w:p>
              </w:tc>
              <w:tc>
                <w:tcPr>
                  <w:tcW w:w="1106" w:type="dxa"/>
                  <w:vAlign w:val="center"/>
                </w:tcPr>
                <w:p w14:paraId="5221C9E0">
                  <w:pPr>
                    <w:numPr>
                      <w:ilvl w:val="0"/>
                      <w:numId w:val="0"/>
                    </w:numPr>
                    <w:bidi w:val="0"/>
                    <w:spacing w:line="240" w:lineRule="auto"/>
                    <w:jc w:val="center"/>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项目情况</w:t>
                  </w:r>
                </w:p>
              </w:tc>
              <w:tc>
                <w:tcPr>
                  <w:tcW w:w="854" w:type="dxa"/>
                  <w:vAlign w:val="center"/>
                </w:tcPr>
                <w:p w14:paraId="3AB42076">
                  <w:pPr>
                    <w:numPr>
                      <w:ilvl w:val="0"/>
                      <w:numId w:val="0"/>
                    </w:numPr>
                    <w:bidi w:val="0"/>
                    <w:spacing w:line="240" w:lineRule="auto"/>
                    <w:jc w:val="center"/>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符合性</w:t>
                  </w:r>
                </w:p>
              </w:tc>
            </w:tr>
            <w:tr w14:paraId="010BB83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958" w:type="dxa"/>
                  <w:vAlign w:val="center"/>
                </w:tcPr>
                <w:p w14:paraId="5D1A4CC8">
                  <w:pPr>
                    <w:numPr>
                      <w:ilvl w:val="0"/>
                      <w:numId w:val="0"/>
                    </w:numPr>
                    <w:bidi w:val="0"/>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禁止在自然保护区核心区、缓冲区的岸线和河段范围内投资建设旅游和生产经营项目。禁止在风景名胜区核心景区的岸线和河段范围内投资建设与风景名胜资源保护无关的项目。</w:t>
                  </w:r>
                </w:p>
              </w:tc>
              <w:tc>
                <w:tcPr>
                  <w:tcW w:w="1106" w:type="dxa"/>
                  <w:vAlign w:val="center"/>
                </w:tcPr>
                <w:p w14:paraId="27E6E0C1">
                  <w:pPr>
                    <w:numPr>
                      <w:ilvl w:val="0"/>
                      <w:numId w:val="0"/>
                    </w:numPr>
                    <w:bidi w:val="0"/>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项目选址不在自然保护区和风景名胜区范围内</w:t>
                  </w:r>
                </w:p>
              </w:tc>
              <w:tc>
                <w:tcPr>
                  <w:tcW w:w="854" w:type="dxa"/>
                  <w:vAlign w:val="center"/>
                </w:tcPr>
                <w:p w14:paraId="298BAE85">
                  <w:pPr>
                    <w:numPr>
                      <w:ilvl w:val="0"/>
                      <w:numId w:val="0"/>
                    </w:numPr>
                    <w:bidi w:val="0"/>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符合</w:t>
                  </w:r>
                </w:p>
              </w:tc>
            </w:tr>
            <w:tr w14:paraId="5C2A86F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958" w:type="dxa"/>
                  <w:vAlign w:val="center"/>
                </w:tcPr>
                <w:p w14:paraId="02B1DADC">
                  <w:pPr>
                    <w:numPr>
                      <w:ilvl w:val="0"/>
                      <w:numId w:val="0"/>
                    </w:numPr>
                    <w:bidi w:val="0"/>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禁止饮用水水源一级保护区的岸线和河段范围内新建、改建、扩建与供水设施和保护水源无关的项目，以及网箱养殖、畜禽养殖、旅游等可能污染饮用水水体的投资建设项目。禁止在饮用水水源二级保护区的岸线和河段范围内新建、改建、扩建排放污染物的投资建设项目。</w:t>
                  </w:r>
                </w:p>
              </w:tc>
              <w:tc>
                <w:tcPr>
                  <w:tcW w:w="1106" w:type="dxa"/>
                  <w:vAlign w:val="center"/>
                </w:tcPr>
                <w:p w14:paraId="6F8FE2B3">
                  <w:pPr>
                    <w:numPr>
                      <w:ilvl w:val="0"/>
                      <w:numId w:val="0"/>
                    </w:numPr>
                    <w:bidi w:val="0"/>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项目选址不在饮</w:t>
                  </w:r>
                </w:p>
                <w:p w14:paraId="12F7D46B">
                  <w:pPr>
                    <w:numPr>
                      <w:ilvl w:val="0"/>
                      <w:numId w:val="0"/>
                    </w:numPr>
                    <w:bidi w:val="0"/>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用水保</w:t>
                  </w:r>
                </w:p>
                <w:p w14:paraId="18A6662B">
                  <w:pPr>
                    <w:numPr>
                      <w:ilvl w:val="0"/>
                      <w:numId w:val="0"/>
                    </w:numPr>
                    <w:bidi w:val="0"/>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护区内</w:t>
                  </w:r>
                </w:p>
              </w:tc>
              <w:tc>
                <w:tcPr>
                  <w:tcW w:w="854" w:type="dxa"/>
                  <w:vAlign w:val="center"/>
                </w:tcPr>
                <w:p w14:paraId="5C18A664">
                  <w:pPr>
                    <w:numPr>
                      <w:ilvl w:val="0"/>
                      <w:numId w:val="0"/>
                    </w:numPr>
                    <w:bidi w:val="0"/>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符合</w:t>
                  </w:r>
                </w:p>
              </w:tc>
            </w:tr>
            <w:tr w14:paraId="3C676B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958" w:type="dxa"/>
                  <w:vAlign w:val="center"/>
                </w:tcPr>
                <w:p w14:paraId="3E18D623">
                  <w:pPr>
                    <w:numPr>
                      <w:ilvl w:val="0"/>
                      <w:numId w:val="0"/>
                    </w:numPr>
                    <w:bidi w:val="0"/>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禁止在水产种质资源保护区的岸线和河段范围内新建围湖造田、围海造地或围填海等投资建设项目。禁止在国家湿地公园的岸线和河段范围内挖沙、采矿，以及任何不符合主体功能定位的投资建设项目。</w:t>
                  </w:r>
                </w:p>
              </w:tc>
              <w:tc>
                <w:tcPr>
                  <w:tcW w:w="1106" w:type="dxa"/>
                  <w:vAlign w:val="center"/>
                </w:tcPr>
                <w:p w14:paraId="3D0034FF">
                  <w:pPr>
                    <w:numPr>
                      <w:ilvl w:val="0"/>
                      <w:numId w:val="0"/>
                    </w:numPr>
                    <w:bidi w:val="0"/>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选址不</w:t>
                  </w:r>
                  <w:r>
                    <w:rPr>
                      <w:rFonts w:hint="eastAsia" w:cs="Times New Roman"/>
                      <w:b w:val="0"/>
                      <w:bCs w:val="0"/>
                      <w:color w:val="auto"/>
                      <w:sz w:val="21"/>
                      <w:szCs w:val="21"/>
                      <w:vertAlign w:val="baseline"/>
                      <w:lang w:val="en-US" w:eastAsia="zh-CN"/>
                    </w:rPr>
                    <w:t>涉及</w:t>
                  </w:r>
                  <w:r>
                    <w:rPr>
                      <w:rFonts w:hint="eastAsia" w:ascii="Times New Roman" w:hAnsi="Times New Roman" w:eastAsia="宋体" w:cs="Times New Roman"/>
                      <w:b w:val="0"/>
                      <w:bCs w:val="0"/>
                      <w:color w:val="auto"/>
                      <w:sz w:val="21"/>
                      <w:szCs w:val="21"/>
                      <w:vertAlign w:val="baseline"/>
                      <w:lang w:val="en-US" w:eastAsia="zh-CN"/>
                    </w:rPr>
                    <w:t>水产种质资源保护区及湿地公园保护范围内</w:t>
                  </w:r>
                </w:p>
              </w:tc>
              <w:tc>
                <w:tcPr>
                  <w:tcW w:w="854" w:type="dxa"/>
                  <w:vAlign w:val="center"/>
                </w:tcPr>
                <w:p w14:paraId="7E22259A">
                  <w:pPr>
                    <w:numPr>
                      <w:ilvl w:val="0"/>
                      <w:numId w:val="0"/>
                    </w:numPr>
                    <w:bidi w:val="0"/>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符合</w:t>
                  </w:r>
                </w:p>
              </w:tc>
            </w:tr>
            <w:tr w14:paraId="03C3E3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958" w:type="dxa"/>
                  <w:vAlign w:val="center"/>
                </w:tcPr>
                <w:p w14:paraId="412AC5AD">
                  <w:pPr>
                    <w:numPr>
                      <w:ilvl w:val="0"/>
                      <w:numId w:val="0"/>
                    </w:numPr>
                    <w:bidi w:val="0"/>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禁止在合规园区外新建、扩建钢铁、石化、化工、焦化、建材、有色、制浆造纸等高污染项目。</w:t>
                  </w:r>
                </w:p>
              </w:tc>
              <w:tc>
                <w:tcPr>
                  <w:tcW w:w="1106" w:type="dxa"/>
                  <w:vAlign w:val="center"/>
                </w:tcPr>
                <w:p w14:paraId="408EFE93">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项目</w:t>
                  </w:r>
                  <w:r>
                    <w:rPr>
                      <w:rFonts w:hint="eastAsia" w:cs="Times New Roman"/>
                      <w:b w:val="0"/>
                      <w:bCs w:val="0"/>
                      <w:color w:val="auto"/>
                      <w:sz w:val="21"/>
                      <w:szCs w:val="21"/>
                      <w:vertAlign w:val="baseline"/>
                      <w:lang w:val="en-US" w:eastAsia="zh-CN"/>
                    </w:rPr>
                    <w:t>位</w:t>
                  </w:r>
                  <w:r>
                    <w:rPr>
                      <w:rFonts w:hint="eastAsia" w:ascii="Times New Roman" w:hAnsi="Times New Roman" w:eastAsia="宋体" w:cs="Times New Roman"/>
                      <w:b w:val="0"/>
                      <w:bCs w:val="0"/>
                      <w:color w:val="auto"/>
                      <w:sz w:val="21"/>
                      <w:szCs w:val="21"/>
                      <w:vertAlign w:val="baseline"/>
                      <w:lang w:val="en-US" w:eastAsia="zh-CN"/>
                    </w:rPr>
                    <w:t>合规园区</w:t>
                  </w:r>
                  <w:r>
                    <w:rPr>
                      <w:rFonts w:hint="eastAsia" w:cs="Times New Roman"/>
                      <w:b w:val="0"/>
                      <w:bCs w:val="0"/>
                      <w:color w:val="auto"/>
                      <w:sz w:val="21"/>
                      <w:szCs w:val="21"/>
                      <w:vertAlign w:val="baseline"/>
                      <w:lang w:val="en-US" w:eastAsia="zh-CN"/>
                    </w:rPr>
                    <w:t>内</w:t>
                  </w:r>
                </w:p>
              </w:tc>
              <w:tc>
                <w:tcPr>
                  <w:tcW w:w="854" w:type="dxa"/>
                  <w:vAlign w:val="center"/>
                </w:tcPr>
                <w:p w14:paraId="062B6943">
                  <w:pPr>
                    <w:numPr>
                      <w:ilvl w:val="0"/>
                      <w:numId w:val="0"/>
                    </w:numPr>
                    <w:bidi w:val="0"/>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符合</w:t>
                  </w:r>
                </w:p>
              </w:tc>
            </w:tr>
            <w:tr w14:paraId="540E3B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958" w:type="dxa"/>
                  <w:vAlign w:val="center"/>
                </w:tcPr>
                <w:p w14:paraId="63625F9F">
                  <w:pPr>
                    <w:numPr>
                      <w:ilvl w:val="0"/>
                      <w:numId w:val="0"/>
                    </w:numPr>
                    <w:bidi w:val="0"/>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禁止新建、扩建法律法规和相关政策明令禁止的落后产能项目禁止新建、扩建不符合国家产能置换要求的严重过剩产能行业的项目。禁止新建、扩建不符合要求的高耗能高排放项目。</w:t>
                  </w:r>
                </w:p>
              </w:tc>
              <w:tc>
                <w:tcPr>
                  <w:tcW w:w="1106" w:type="dxa"/>
                  <w:vAlign w:val="center"/>
                </w:tcPr>
                <w:p w14:paraId="679C9D4A">
                  <w:pPr>
                    <w:numPr>
                      <w:ilvl w:val="0"/>
                      <w:numId w:val="0"/>
                    </w:numPr>
                    <w:bidi w:val="0"/>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本</w:t>
                  </w:r>
                  <w:r>
                    <w:rPr>
                      <w:rFonts w:hint="eastAsia" w:ascii="Times New Roman" w:hAnsi="Times New Roman" w:eastAsia="宋体" w:cs="Times New Roman"/>
                      <w:b w:val="0"/>
                      <w:bCs w:val="0"/>
                      <w:color w:val="auto"/>
                      <w:sz w:val="21"/>
                      <w:szCs w:val="21"/>
                      <w:vertAlign w:val="baseline"/>
                      <w:lang w:val="en-US" w:eastAsia="zh-CN"/>
                    </w:rPr>
                    <w:t>项目不属于产能过剩产业</w:t>
                  </w:r>
                </w:p>
              </w:tc>
              <w:tc>
                <w:tcPr>
                  <w:tcW w:w="854" w:type="dxa"/>
                  <w:vAlign w:val="center"/>
                </w:tcPr>
                <w:p w14:paraId="6F561B6D">
                  <w:pPr>
                    <w:numPr>
                      <w:ilvl w:val="0"/>
                      <w:numId w:val="0"/>
                    </w:numPr>
                    <w:bidi w:val="0"/>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符合</w:t>
                  </w:r>
                </w:p>
              </w:tc>
            </w:tr>
          </w:tbl>
          <w:p w14:paraId="6B0A6208">
            <w:pPr>
              <w:numPr>
                <w:ilvl w:val="0"/>
                <w:numId w:val="0"/>
              </w:numPr>
              <w:bidi w:val="0"/>
              <w:spacing w:line="360" w:lineRule="auto"/>
              <w:ind w:firstLine="480" w:firstLineChars="200"/>
              <w:rPr>
                <w:rFonts w:hint="default" w:ascii="Times New Roman" w:hAnsi="Times New Roman" w:eastAsia="宋体" w:cs="Times New Roman"/>
                <w:b w:val="0"/>
                <w:bCs w:val="0"/>
                <w:color w:val="auto"/>
                <w:sz w:val="24"/>
                <w:szCs w:val="24"/>
              </w:rPr>
            </w:pPr>
            <w:r>
              <w:rPr>
                <w:rFonts w:hint="eastAsia" w:cs="Times New Roman"/>
                <w:b w:val="0"/>
                <w:bCs w:val="0"/>
                <w:color w:val="auto"/>
                <w:sz w:val="24"/>
                <w:szCs w:val="24"/>
                <w:lang w:val="en-US" w:eastAsia="zh-CN"/>
              </w:rPr>
              <w:t>综上</w:t>
            </w:r>
            <w:r>
              <w:rPr>
                <w:rFonts w:hint="default" w:ascii="Times New Roman" w:hAnsi="Times New Roman" w:eastAsia="宋体" w:cs="Times New Roman"/>
                <w:b w:val="0"/>
                <w:bCs w:val="0"/>
                <w:color w:val="auto"/>
                <w:sz w:val="24"/>
                <w:szCs w:val="24"/>
              </w:rPr>
              <w:t>，本项目建设符合《四川省、重庆市长江经济带发展负面清单实施细则（试行，2022版）》（川长江办〔2022〕17号）的政策要求。</w:t>
            </w:r>
          </w:p>
          <w:p w14:paraId="61124DA0">
            <w:pPr>
              <w:numPr>
                <w:ilvl w:val="0"/>
                <w:numId w:val="6"/>
              </w:numPr>
              <w:bidi w:val="0"/>
              <w:spacing w:line="360" w:lineRule="auto"/>
              <w:ind w:left="0" w:leftChars="0" w:firstLine="0" w:firstLineChars="0"/>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4"/>
                <w:szCs w:val="24"/>
              </w:rPr>
              <w:t>与大气污染、水污染、土壤污染防治等相关规范、计划符合性分析</w:t>
            </w:r>
          </w:p>
          <w:p w14:paraId="718FE059">
            <w:pPr>
              <w:numPr>
                <w:ilvl w:val="0"/>
                <w:numId w:val="8"/>
              </w:numPr>
              <w:bidi w:val="0"/>
              <w:spacing w:line="360" w:lineRule="auto"/>
              <w:ind w:leftChars="0" w:firstLine="480" w:firstLineChars="200"/>
              <w:rPr>
                <w:rFonts w:hint="default" w:ascii="Times New Roman" w:hAnsi="Times New Roman" w:eastAsia="宋体" w:cs="Times New Roman"/>
                <w:b w:val="0"/>
                <w:bCs w:val="0"/>
                <w:color w:val="auto"/>
                <w:sz w:val="24"/>
                <w:szCs w:val="24"/>
              </w:rPr>
            </w:pPr>
            <w:r>
              <w:rPr>
                <w:rFonts w:hint="default" w:ascii="Times New Roman" w:hAnsi="Times New Roman" w:eastAsia="宋体" w:cs="Times New Roman"/>
                <w:b w:val="0"/>
                <w:bCs w:val="0"/>
                <w:color w:val="auto"/>
                <w:sz w:val="24"/>
                <w:szCs w:val="24"/>
              </w:rPr>
              <w:t>与大气污染防治等相关规划符合性分析</w:t>
            </w:r>
          </w:p>
          <w:p w14:paraId="6C5EB92A">
            <w:pPr>
              <w:numPr>
                <w:ilvl w:val="0"/>
                <w:numId w:val="0"/>
              </w:numPr>
              <w:bidi w:val="0"/>
              <w:spacing w:line="360" w:lineRule="auto"/>
              <w:ind w:firstLine="480" w:firstLineChars="200"/>
              <w:rPr>
                <w:rFonts w:hint="default" w:ascii="Times New Roman" w:hAnsi="Times New Roman" w:eastAsia="宋体" w:cs="Times New Roman"/>
                <w:b w:val="0"/>
                <w:bCs w:val="0"/>
                <w:color w:val="auto"/>
                <w:sz w:val="24"/>
                <w:szCs w:val="24"/>
              </w:rPr>
            </w:pPr>
            <w:r>
              <w:rPr>
                <w:rFonts w:hint="default" w:ascii="Times New Roman" w:hAnsi="Times New Roman" w:eastAsia="宋体" w:cs="Times New Roman"/>
                <w:b w:val="0"/>
                <w:bCs w:val="0"/>
                <w:color w:val="auto"/>
                <w:sz w:val="24"/>
                <w:szCs w:val="24"/>
              </w:rPr>
              <w:t>本项目与大气污染防治等相关规划政策符合性如下：</w:t>
            </w:r>
          </w:p>
          <w:p w14:paraId="4CB49A00">
            <w:pPr>
              <w:numPr>
                <w:ilvl w:val="0"/>
                <w:numId w:val="0"/>
              </w:numPr>
              <w:bidi w:val="0"/>
              <w:spacing w:line="360" w:lineRule="auto"/>
              <w:jc w:val="center"/>
              <w:rPr>
                <w:rFonts w:hint="default" w:ascii="Times New Roman" w:hAnsi="Times New Roman" w:eastAsia="宋体" w:cs="Times New Roman"/>
                <w:b/>
                <w:bCs/>
                <w:color w:val="auto"/>
                <w:sz w:val="21"/>
                <w:szCs w:val="21"/>
                <w:vertAlign w:val="baseline"/>
              </w:rPr>
            </w:pPr>
            <w:r>
              <w:rPr>
                <w:rFonts w:hint="default" w:ascii="Times New Roman" w:hAnsi="Times New Roman" w:eastAsia="宋体" w:cs="Times New Roman"/>
                <w:b/>
                <w:bCs/>
                <w:color w:val="auto"/>
                <w:sz w:val="21"/>
                <w:szCs w:val="21"/>
              </w:rPr>
              <w:t>表1-</w:t>
            </w:r>
            <w:r>
              <w:rPr>
                <w:rFonts w:hint="eastAsia" w:cs="Times New Roman"/>
                <w:b/>
                <w:bCs/>
                <w:color w:val="auto"/>
                <w:sz w:val="21"/>
                <w:szCs w:val="21"/>
                <w:lang w:val="en-US" w:eastAsia="zh-CN"/>
              </w:rPr>
              <w:t xml:space="preserve">7 </w:t>
            </w:r>
            <w:r>
              <w:rPr>
                <w:rFonts w:hint="default" w:ascii="Times New Roman" w:hAnsi="Times New Roman" w:eastAsia="宋体" w:cs="Times New Roman"/>
                <w:b/>
                <w:bCs/>
                <w:color w:val="auto"/>
                <w:sz w:val="21"/>
                <w:szCs w:val="21"/>
              </w:rPr>
              <w:t>项目与挥发性有机污染物防治相关政策符合性分析</w:t>
            </w:r>
          </w:p>
          <w:tbl>
            <w:tblPr>
              <w:tblStyle w:val="28"/>
              <w:tblW w:w="791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79"/>
              <w:gridCol w:w="3794"/>
              <w:gridCol w:w="1773"/>
              <w:gridCol w:w="872"/>
            </w:tblGrid>
            <w:tr w14:paraId="1BDFC0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79" w:type="dxa"/>
                  <w:vAlign w:val="center"/>
                </w:tcPr>
                <w:p w14:paraId="643D4065">
                  <w:pPr>
                    <w:numPr>
                      <w:ilvl w:val="0"/>
                      <w:numId w:val="0"/>
                    </w:numPr>
                    <w:bidi w:val="0"/>
                    <w:spacing w:line="240" w:lineRule="auto"/>
                    <w:jc w:val="center"/>
                    <w:rPr>
                      <w:rFonts w:hint="default" w:ascii="Times New Roman" w:hAnsi="Times New Roman" w:eastAsia="宋体" w:cs="Times New Roman"/>
                      <w:b/>
                      <w:bCs/>
                      <w:color w:val="auto"/>
                      <w:sz w:val="21"/>
                      <w:szCs w:val="21"/>
                      <w:vertAlign w:val="baseline"/>
                    </w:rPr>
                  </w:pPr>
                  <w:r>
                    <w:rPr>
                      <w:rFonts w:hint="default" w:ascii="Times New Roman" w:hAnsi="Times New Roman" w:eastAsia="宋体" w:cs="Times New Roman"/>
                      <w:b/>
                      <w:bCs/>
                      <w:color w:val="auto"/>
                      <w:sz w:val="21"/>
                      <w:szCs w:val="21"/>
                      <w:vertAlign w:val="baseline"/>
                    </w:rPr>
                    <w:t>文件名称</w:t>
                  </w:r>
                </w:p>
              </w:tc>
              <w:tc>
                <w:tcPr>
                  <w:tcW w:w="3794" w:type="dxa"/>
                  <w:vAlign w:val="center"/>
                </w:tcPr>
                <w:p w14:paraId="7A381A0E">
                  <w:pPr>
                    <w:numPr>
                      <w:ilvl w:val="0"/>
                      <w:numId w:val="0"/>
                    </w:numPr>
                    <w:bidi w:val="0"/>
                    <w:spacing w:line="240" w:lineRule="auto"/>
                    <w:jc w:val="center"/>
                    <w:rPr>
                      <w:rFonts w:hint="default" w:ascii="Times New Roman" w:hAnsi="Times New Roman" w:eastAsia="宋体" w:cs="Times New Roman"/>
                      <w:b/>
                      <w:bCs/>
                      <w:color w:val="auto"/>
                      <w:sz w:val="21"/>
                      <w:szCs w:val="21"/>
                      <w:vertAlign w:val="baseline"/>
                    </w:rPr>
                  </w:pPr>
                  <w:r>
                    <w:rPr>
                      <w:rFonts w:hint="default" w:ascii="Times New Roman" w:hAnsi="Times New Roman" w:eastAsia="宋体" w:cs="Times New Roman"/>
                      <w:b/>
                      <w:bCs/>
                      <w:color w:val="auto"/>
                      <w:sz w:val="21"/>
                      <w:szCs w:val="21"/>
                      <w:vertAlign w:val="baseline"/>
                    </w:rPr>
                    <w:t>相关要求</w:t>
                  </w:r>
                </w:p>
              </w:tc>
              <w:tc>
                <w:tcPr>
                  <w:tcW w:w="1773" w:type="dxa"/>
                  <w:vAlign w:val="center"/>
                </w:tcPr>
                <w:p w14:paraId="7AA847D7">
                  <w:pPr>
                    <w:numPr>
                      <w:ilvl w:val="0"/>
                      <w:numId w:val="0"/>
                    </w:numPr>
                    <w:bidi w:val="0"/>
                    <w:spacing w:line="240" w:lineRule="auto"/>
                    <w:jc w:val="center"/>
                    <w:rPr>
                      <w:rFonts w:hint="default" w:ascii="Times New Roman" w:hAnsi="Times New Roman" w:eastAsia="宋体" w:cs="Times New Roman"/>
                      <w:b/>
                      <w:bCs/>
                      <w:color w:val="auto"/>
                      <w:sz w:val="21"/>
                      <w:szCs w:val="21"/>
                      <w:vertAlign w:val="baseline"/>
                    </w:rPr>
                  </w:pPr>
                  <w:r>
                    <w:rPr>
                      <w:rFonts w:hint="default" w:ascii="Times New Roman" w:hAnsi="Times New Roman" w:eastAsia="宋体" w:cs="Times New Roman"/>
                      <w:b/>
                      <w:bCs/>
                      <w:color w:val="auto"/>
                      <w:sz w:val="21"/>
                      <w:szCs w:val="21"/>
                      <w:vertAlign w:val="baseline"/>
                    </w:rPr>
                    <w:t>本项目执行情况</w:t>
                  </w:r>
                </w:p>
              </w:tc>
              <w:tc>
                <w:tcPr>
                  <w:tcW w:w="872" w:type="dxa"/>
                  <w:vAlign w:val="center"/>
                </w:tcPr>
                <w:p w14:paraId="7D182B6E">
                  <w:pPr>
                    <w:numPr>
                      <w:ilvl w:val="0"/>
                      <w:numId w:val="0"/>
                    </w:numPr>
                    <w:bidi w:val="0"/>
                    <w:spacing w:line="240" w:lineRule="auto"/>
                    <w:jc w:val="center"/>
                    <w:rPr>
                      <w:rFonts w:hint="default" w:ascii="Times New Roman" w:hAnsi="Times New Roman" w:eastAsia="宋体" w:cs="Times New Roman"/>
                      <w:b/>
                      <w:bCs/>
                      <w:color w:val="auto"/>
                      <w:sz w:val="21"/>
                      <w:szCs w:val="21"/>
                      <w:vertAlign w:val="baseline"/>
                    </w:rPr>
                  </w:pPr>
                  <w:r>
                    <w:rPr>
                      <w:rFonts w:hint="default" w:ascii="Times New Roman" w:hAnsi="Times New Roman" w:eastAsia="宋体" w:cs="Times New Roman"/>
                      <w:b/>
                      <w:bCs/>
                      <w:color w:val="auto"/>
                      <w:sz w:val="21"/>
                      <w:szCs w:val="21"/>
                      <w:vertAlign w:val="baseline"/>
                    </w:rPr>
                    <w:t>符合性</w:t>
                  </w:r>
                </w:p>
              </w:tc>
            </w:tr>
            <w:tr w14:paraId="7D95DC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79" w:type="dxa"/>
                  <w:vMerge w:val="restart"/>
                  <w:vAlign w:val="center"/>
                </w:tcPr>
                <w:p w14:paraId="239CF493">
                  <w:pPr>
                    <w:numPr>
                      <w:ilvl w:val="0"/>
                      <w:numId w:val="0"/>
                    </w:numPr>
                    <w:bidi w:val="0"/>
                    <w:spacing w:line="240" w:lineRule="auto"/>
                    <w:jc w:val="center"/>
                    <w:rPr>
                      <w:rFonts w:hint="eastAsia" w:ascii="Times New Roman" w:hAnsi="Times New Roman" w:eastAsia="宋体" w:cs="Times New Roman"/>
                      <w:b w:val="0"/>
                      <w:bCs w:val="0"/>
                      <w:color w:val="auto"/>
                      <w:sz w:val="21"/>
                      <w:szCs w:val="21"/>
                      <w:vertAlign w:val="baseline"/>
                      <w:lang w:eastAsia="zh-CN"/>
                    </w:rPr>
                  </w:pPr>
                  <w:r>
                    <w:rPr>
                      <w:rFonts w:hint="default" w:ascii="Times New Roman" w:hAnsi="Times New Roman" w:eastAsia="宋体" w:cs="Times New Roman"/>
                      <w:b w:val="0"/>
                      <w:bCs w:val="0"/>
                      <w:color w:val="auto"/>
                      <w:sz w:val="21"/>
                      <w:szCs w:val="21"/>
                      <w:vertAlign w:val="baseline"/>
                    </w:rPr>
                    <w:t>《</w:t>
                  </w:r>
                  <w:r>
                    <w:rPr>
                      <w:rFonts w:hint="eastAsia" w:ascii="宋体" w:hAnsi="宋体" w:eastAsia="宋体" w:cs="宋体"/>
                      <w:b w:val="0"/>
                      <w:bCs w:val="0"/>
                      <w:color w:val="auto"/>
                      <w:sz w:val="21"/>
                      <w:szCs w:val="21"/>
                      <w:vertAlign w:val="baseline"/>
                    </w:rPr>
                    <w:t>“十三五”挥发性</w:t>
                  </w:r>
                  <w:r>
                    <w:rPr>
                      <w:rFonts w:hint="default" w:ascii="Times New Roman" w:hAnsi="Times New Roman" w:eastAsia="宋体" w:cs="Times New Roman"/>
                      <w:b w:val="0"/>
                      <w:bCs w:val="0"/>
                      <w:color w:val="auto"/>
                      <w:sz w:val="21"/>
                      <w:szCs w:val="21"/>
                      <w:vertAlign w:val="baseline"/>
                    </w:rPr>
                    <w:t>有机物污染防治工作方案》（环大气</w:t>
                  </w:r>
                  <w:r>
                    <w:rPr>
                      <w:rFonts w:hint="default" w:ascii="Times New Roman" w:hAnsi="Times New Roman" w:eastAsia="宋体" w:cs="Times New Roman"/>
                      <w:color w:val="auto"/>
                      <w:sz w:val="21"/>
                      <w:szCs w:val="21"/>
                    </w:rPr>
                    <w:t>〔20</w:t>
                  </w:r>
                  <w:r>
                    <w:rPr>
                      <w:rFonts w:hint="eastAsia" w:cs="Times New Roman"/>
                      <w:color w:val="auto"/>
                      <w:sz w:val="21"/>
                      <w:szCs w:val="21"/>
                      <w:lang w:val="en-US" w:eastAsia="zh-CN"/>
                    </w:rPr>
                    <w:t>17</w:t>
                  </w:r>
                  <w:r>
                    <w:rPr>
                      <w:rFonts w:hint="default" w:ascii="Times New Roman" w:hAnsi="Times New Roman" w:eastAsia="宋体" w:cs="Times New Roman"/>
                      <w:color w:val="auto"/>
                      <w:sz w:val="21"/>
                      <w:szCs w:val="21"/>
                    </w:rPr>
                    <w:t>〕</w:t>
                  </w:r>
                  <w:r>
                    <w:rPr>
                      <w:rFonts w:hint="default" w:ascii="Times New Roman" w:hAnsi="Times New Roman" w:eastAsia="宋体" w:cs="Times New Roman"/>
                      <w:b w:val="0"/>
                      <w:bCs w:val="0"/>
                      <w:color w:val="auto"/>
                      <w:sz w:val="21"/>
                      <w:szCs w:val="21"/>
                      <w:vertAlign w:val="baseline"/>
                    </w:rPr>
                    <w:t>121号</w:t>
                  </w:r>
                  <w:r>
                    <w:rPr>
                      <w:rFonts w:hint="eastAsia" w:cs="Times New Roman"/>
                      <w:b w:val="0"/>
                      <w:bCs w:val="0"/>
                      <w:color w:val="auto"/>
                      <w:sz w:val="21"/>
                      <w:szCs w:val="21"/>
                      <w:vertAlign w:val="baseline"/>
                      <w:lang w:eastAsia="zh-CN"/>
                    </w:rPr>
                    <w:t>）</w:t>
                  </w:r>
                </w:p>
              </w:tc>
              <w:tc>
                <w:tcPr>
                  <w:tcW w:w="3794" w:type="dxa"/>
                  <w:vAlign w:val="center"/>
                </w:tcPr>
                <w:p w14:paraId="3E16E69E">
                  <w:pPr>
                    <w:numPr>
                      <w:ilvl w:val="0"/>
                      <w:numId w:val="0"/>
                    </w:numPr>
                    <w:bidi w:val="0"/>
                    <w:spacing w:line="240" w:lineRule="auto"/>
                    <w:jc w:val="both"/>
                    <w:rPr>
                      <w:rFonts w:hint="default" w:ascii="Times New Roman" w:hAnsi="Times New Roman" w:eastAsia="宋体" w:cs="Times New Roman"/>
                      <w:b w:val="0"/>
                      <w:bCs w:val="0"/>
                      <w:color w:val="auto"/>
                      <w:sz w:val="21"/>
                      <w:szCs w:val="21"/>
                      <w:vertAlign w:val="baseline"/>
                    </w:rPr>
                  </w:pPr>
                  <w:r>
                    <w:rPr>
                      <w:rFonts w:hint="default" w:ascii="Times New Roman" w:hAnsi="Times New Roman" w:eastAsia="宋体" w:cs="Times New Roman"/>
                      <w:b w:val="0"/>
                      <w:bCs w:val="0"/>
                      <w:color w:val="auto"/>
                      <w:sz w:val="21"/>
                      <w:szCs w:val="21"/>
                      <w:vertAlign w:val="baseline"/>
                    </w:rPr>
                    <w:t>严格建设项目环境准入。提高VOCs排放重点行业环保准入门槛，严格控制新增污染物排放量。重点地区要严格限制石化、化工、包装印刷、工业涂装等高VOCs排放建设项目。新建涉VOCs排放的工业企业要入园区</w:t>
                  </w:r>
                </w:p>
              </w:tc>
              <w:tc>
                <w:tcPr>
                  <w:tcW w:w="1773" w:type="dxa"/>
                  <w:vMerge w:val="restart"/>
                  <w:vAlign w:val="center"/>
                </w:tcPr>
                <w:p w14:paraId="51488707">
                  <w:pPr>
                    <w:numPr>
                      <w:ilvl w:val="0"/>
                      <w:numId w:val="0"/>
                    </w:numPr>
                    <w:bidi w:val="0"/>
                    <w:spacing w:line="240" w:lineRule="auto"/>
                    <w:jc w:val="both"/>
                    <w:rPr>
                      <w:rFonts w:hint="eastAsia" w:cs="Times New Roman"/>
                      <w:b w:val="0"/>
                      <w:bCs w:val="0"/>
                      <w:color w:val="auto"/>
                      <w:sz w:val="21"/>
                      <w:szCs w:val="21"/>
                      <w:vertAlign w:val="baseline"/>
                      <w:lang w:val="en-US" w:eastAsia="zh-CN"/>
                    </w:rPr>
                  </w:pPr>
                </w:p>
                <w:p w14:paraId="794DC5D7">
                  <w:pPr>
                    <w:numPr>
                      <w:ilvl w:val="0"/>
                      <w:numId w:val="0"/>
                    </w:numPr>
                    <w:bidi w:val="0"/>
                    <w:spacing w:line="240" w:lineRule="auto"/>
                    <w:jc w:val="both"/>
                    <w:rPr>
                      <w:rFonts w:hint="eastAsia" w:cs="Times New Roman"/>
                      <w:b w:val="0"/>
                      <w:bCs w:val="0"/>
                      <w:color w:val="auto"/>
                      <w:sz w:val="21"/>
                      <w:szCs w:val="21"/>
                      <w:vertAlign w:val="baseline"/>
                      <w:lang w:val="en-US" w:eastAsia="zh-CN"/>
                    </w:rPr>
                  </w:pPr>
                </w:p>
                <w:p w14:paraId="4F5C6814">
                  <w:pPr>
                    <w:numPr>
                      <w:ilvl w:val="0"/>
                      <w:numId w:val="0"/>
                    </w:numPr>
                    <w:bidi w:val="0"/>
                    <w:spacing w:line="240" w:lineRule="auto"/>
                    <w:jc w:val="both"/>
                    <w:rPr>
                      <w:rFonts w:hint="eastAsia" w:cs="Times New Roman"/>
                      <w:b w:val="0"/>
                      <w:bCs w:val="0"/>
                      <w:color w:val="auto"/>
                      <w:sz w:val="21"/>
                      <w:szCs w:val="21"/>
                      <w:vertAlign w:val="baseline"/>
                      <w:lang w:val="en-US" w:eastAsia="zh-CN"/>
                    </w:rPr>
                  </w:pPr>
                </w:p>
                <w:p w14:paraId="3F93C00A">
                  <w:pPr>
                    <w:numPr>
                      <w:ilvl w:val="0"/>
                      <w:numId w:val="0"/>
                    </w:numPr>
                    <w:bidi w:val="0"/>
                    <w:spacing w:line="240" w:lineRule="auto"/>
                    <w:jc w:val="both"/>
                    <w:rPr>
                      <w:rFonts w:hint="eastAsia" w:cs="Times New Roman"/>
                      <w:b w:val="0"/>
                      <w:bCs w:val="0"/>
                      <w:color w:val="auto"/>
                      <w:sz w:val="21"/>
                      <w:szCs w:val="21"/>
                      <w:vertAlign w:val="baseline"/>
                      <w:lang w:val="en-US" w:eastAsia="zh-CN"/>
                    </w:rPr>
                  </w:pPr>
                </w:p>
                <w:p w14:paraId="3B886220">
                  <w:pPr>
                    <w:numPr>
                      <w:ilvl w:val="0"/>
                      <w:numId w:val="0"/>
                    </w:numPr>
                    <w:bidi w:val="0"/>
                    <w:spacing w:line="240" w:lineRule="auto"/>
                    <w:jc w:val="both"/>
                    <w:rPr>
                      <w:rFonts w:hint="eastAsia" w:cs="Times New Roman"/>
                      <w:b w:val="0"/>
                      <w:bCs w:val="0"/>
                      <w:color w:val="auto"/>
                      <w:sz w:val="21"/>
                      <w:szCs w:val="21"/>
                      <w:vertAlign w:val="baseline"/>
                      <w:lang w:val="en-US" w:eastAsia="zh-CN"/>
                    </w:rPr>
                  </w:pPr>
                </w:p>
                <w:p w14:paraId="1B6FFF9E">
                  <w:pPr>
                    <w:numPr>
                      <w:ilvl w:val="0"/>
                      <w:numId w:val="0"/>
                    </w:numPr>
                    <w:bidi w:val="0"/>
                    <w:spacing w:line="240" w:lineRule="auto"/>
                    <w:jc w:val="both"/>
                    <w:rPr>
                      <w:rFonts w:hint="eastAsia" w:cs="Times New Roman"/>
                      <w:b w:val="0"/>
                      <w:bCs w:val="0"/>
                      <w:color w:val="auto"/>
                      <w:sz w:val="21"/>
                      <w:szCs w:val="21"/>
                      <w:vertAlign w:val="baseline"/>
                      <w:lang w:val="en-US" w:eastAsia="zh-CN"/>
                    </w:rPr>
                  </w:pPr>
                </w:p>
                <w:p w14:paraId="3DC77B46">
                  <w:pPr>
                    <w:numPr>
                      <w:ilvl w:val="0"/>
                      <w:numId w:val="0"/>
                    </w:numPr>
                    <w:bidi w:val="0"/>
                    <w:spacing w:line="240" w:lineRule="auto"/>
                    <w:jc w:val="both"/>
                    <w:rPr>
                      <w:rFonts w:hint="eastAsia" w:cs="Times New Roman"/>
                      <w:b w:val="0"/>
                      <w:bCs w:val="0"/>
                      <w:color w:val="auto"/>
                      <w:sz w:val="21"/>
                      <w:szCs w:val="21"/>
                      <w:vertAlign w:val="baseline"/>
                      <w:lang w:val="en-US" w:eastAsia="zh-CN"/>
                    </w:rPr>
                  </w:pPr>
                </w:p>
                <w:p w14:paraId="2257A98D">
                  <w:pPr>
                    <w:numPr>
                      <w:ilvl w:val="0"/>
                      <w:numId w:val="0"/>
                    </w:numPr>
                    <w:bidi w:val="0"/>
                    <w:spacing w:line="240" w:lineRule="auto"/>
                    <w:jc w:val="both"/>
                    <w:rPr>
                      <w:rFonts w:hint="eastAsia" w:cs="Times New Roman"/>
                      <w:b w:val="0"/>
                      <w:bCs w:val="0"/>
                      <w:color w:val="auto"/>
                      <w:sz w:val="21"/>
                      <w:szCs w:val="21"/>
                      <w:vertAlign w:val="baseline"/>
                      <w:lang w:val="en-US" w:eastAsia="zh-CN"/>
                    </w:rPr>
                  </w:pPr>
                </w:p>
                <w:p w14:paraId="3CE934D0">
                  <w:pPr>
                    <w:numPr>
                      <w:ilvl w:val="0"/>
                      <w:numId w:val="0"/>
                    </w:numPr>
                    <w:bidi w:val="0"/>
                    <w:spacing w:line="240" w:lineRule="auto"/>
                    <w:jc w:val="both"/>
                    <w:rPr>
                      <w:rFonts w:hint="eastAsia" w:cs="Times New Roman"/>
                      <w:b w:val="0"/>
                      <w:bCs w:val="0"/>
                      <w:color w:val="auto"/>
                      <w:sz w:val="21"/>
                      <w:szCs w:val="21"/>
                      <w:vertAlign w:val="baseline"/>
                      <w:lang w:val="en-US" w:eastAsia="zh-CN"/>
                    </w:rPr>
                  </w:pPr>
                </w:p>
                <w:p w14:paraId="29BC3B4F">
                  <w:pPr>
                    <w:numPr>
                      <w:ilvl w:val="0"/>
                      <w:numId w:val="0"/>
                    </w:numPr>
                    <w:bidi w:val="0"/>
                    <w:spacing w:line="240" w:lineRule="auto"/>
                    <w:jc w:val="both"/>
                    <w:rPr>
                      <w:rFonts w:hint="eastAsia" w:cs="Times New Roman"/>
                      <w:b w:val="0"/>
                      <w:bCs w:val="0"/>
                      <w:color w:val="auto"/>
                      <w:sz w:val="21"/>
                      <w:szCs w:val="21"/>
                      <w:vertAlign w:val="baseline"/>
                      <w:lang w:val="en-US" w:eastAsia="zh-CN"/>
                    </w:rPr>
                  </w:pPr>
                </w:p>
                <w:p w14:paraId="7AA2D189">
                  <w:pPr>
                    <w:numPr>
                      <w:ilvl w:val="0"/>
                      <w:numId w:val="0"/>
                    </w:numPr>
                    <w:bidi w:val="0"/>
                    <w:spacing w:line="240" w:lineRule="auto"/>
                    <w:jc w:val="both"/>
                    <w:rPr>
                      <w:rFonts w:hint="eastAsia" w:ascii="Times New Roman" w:hAnsi="Times New Roman" w:eastAsia="宋体" w:cs="Times New Roman"/>
                      <w:b w:val="0"/>
                      <w:bCs w:val="0"/>
                      <w:color w:val="auto"/>
                      <w:sz w:val="21"/>
                      <w:szCs w:val="21"/>
                      <w:vertAlign w:val="baseline"/>
                      <w:lang w:eastAsia="zh-CN"/>
                    </w:rPr>
                  </w:pPr>
                  <w:r>
                    <w:rPr>
                      <w:rFonts w:hint="eastAsia" w:cs="Times New Roman"/>
                      <w:b w:val="0"/>
                      <w:bCs w:val="0"/>
                      <w:color w:val="auto"/>
                      <w:sz w:val="21"/>
                      <w:szCs w:val="21"/>
                      <w:vertAlign w:val="baseline"/>
                      <w:lang w:val="en-US" w:eastAsia="zh-CN"/>
                    </w:rPr>
                    <w:t>本</w:t>
                  </w:r>
                  <w:r>
                    <w:rPr>
                      <w:rFonts w:hint="default" w:ascii="Times New Roman" w:hAnsi="Times New Roman" w:eastAsia="宋体" w:cs="Times New Roman"/>
                      <w:b w:val="0"/>
                      <w:bCs w:val="0"/>
                      <w:color w:val="auto"/>
                      <w:sz w:val="21"/>
                      <w:szCs w:val="21"/>
                      <w:vertAlign w:val="baseline"/>
                    </w:rPr>
                    <w:t>项目</w:t>
                  </w:r>
                  <w:r>
                    <w:rPr>
                      <w:rFonts w:hint="eastAsia" w:cs="Times New Roman"/>
                      <w:b w:val="0"/>
                      <w:bCs w:val="0"/>
                      <w:color w:val="auto"/>
                      <w:sz w:val="21"/>
                      <w:szCs w:val="21"/>
                      <w:vertAlign w:val="baseline"/>
                      <w:lang w:val="en-US" w:eastAsia="zh-CN"/>
                    </w:rPr>
                    <w:t>位于</w:t>
                  </w:r>
                  <w:r>
                    <w:rPr>
                      <w:rFonts w:hint="default" w:ascii="Times New Roman" w:hAnsi="Times New Roman" w:eastAsia="宋体" w:cs="Times New Roman"/>
                      <w:b w:val="0"/>
                      <w:bCs w:val="0"/>
                      <w:color w:val="auto"/>
                      <w:sz w:val="21"/>
                      <w:szCs w:val="21"/>
                      <w:vertAlign w:val="baseline"/>
                    </w:rPr>
                    <w:t>安居区工业集中发展区</w:t>
                  </w:r>
                  <w:r>
                    <w:rPr>
                      <w:rFonts w:hint="eastAsia" w:cs="Times New Roman"/>
                      <w:b w:val="0"/>
                      <w:bCs w:val="0"/>
                      <w:color w:val="auto"/>
                      <w:sz w:val="21"/>
                      <w:szCs w:val="21"/>
                      <w:vertAlign w:val="baseline"/>
                      <w:lang w:val="en-US" w:eastAsia="zh-CN"/>
                    </w:rPr>
                    <w:t>内，属于入园项目，</w:t>
                  </w:r>
                  <w:r>
                    <w:rPr>
                      <w:rFonts w:hint="default" w:ascii="Times New Roman" w:hAnsi="Times New Roman" w:eastAsia="宋体" w:cs="Times New Roman"/>
                      <w:b w:val="0"/>
                      <w:bCs w:val="0"/>
                      <w:color w:val="auto"/>
                      <w:sz w:val="21"/>
                      <w:szCs w:val="21"/>
                      <w:vertAlign w:val="baseline"/>
                    </w:rPr>
                    <w:t>不属于VOCs排放重点行业</w:t>
                  </w:r>
                  <w:r>
                    <w:rPr>
                      <w:rFonts w:hint="eastAsia" w:cs="Times New Roman"/>
                      <w:b w:val="0"/>
                      <w:bCs w:val="0"/>
                      <w:color w:val="auto"/>
                      <w:sz w:val="21"/>
                      <w:szCs w:val="21"/>
                      <w:vertAlign w:val="baseline"/>
                      <w:lang w:eastAsia="zh-CN"/>
                    </w:rPr>
                    <w:t>；</w:t>
                  </w:r>
                  <w:r>
                    <w:rPr>
                      <w:rFonts w:hint="default" w:ascii="Times New Roman" w:hAnsi="Times New Roman" w:eastAsia="宋体" w:cs="Times New Roman"/>
                      <w:b w:val="0"/>
                      <w:bCs w:val="0"/>
                      <w:color w:val="auto"/>
                      <w:sz w:val="21"/>
                      <w:szCs w:val="21"/>
                      <w:vertAlign w:val="baseline"/>
                    </w:rPr>
                    <w:t>废矿物油装卸、储存过程</w:t>
                  </w:r>
                  <w:r>
                    <w:rPr>
                      <w:rFonts w:hint="eastAsia" w:cs="Times New Roman"/>
                      <w:b w:val="0"/>
                      <w:bCs w:val="0"/>
                      <w:color w:val="auto"/>
                      <w:sz w:val="21"/>
                      <w:szCs w:val="21"/>
                      <w:vertAlign w:val="baseline"/>
                      <w:lang w:val="en-US" w:eastAsia="zh-CN"/>
                    </w:rPr>
                    <w:t>经储罐呼吸口</w:t>
                  </w:r>
                  <w:r>
                    <w:rPr>
                      <w:rFonts w:hint="default" w:ascii="Times New Roman" w:hAnsi="Times New Roman" w:eastAsia="宋体" w:cs="Times New Roman"/>
                      <w:b w:val="0"/>
                      <w:bCs w:val="0"/>
                      <w:color w:val="auto"/>
                      <w:sz w:val="21"/>
                      <w:szCs w:val="21"/>
                      <w:vertAlign w:val="baseline"/>
                    </w:rPr>
                    <w:t>产生</w:t>
                  </w:r>
                  <w:r>
                    <w:rPr>
                      <w:rFonts w:hint="eastAsia" w:cs="Times New Roman"/>
                      <w:b w:val="0"/>
                      <w:bCs w:val="0"/>
                      <w:color w:val="auto"/>
                      <w:sz w:val="21"/>
                      <w:szCs w:val="21"/>
                      <w:vertAlign w:val="baseline"/>
                      <w:lang w:val="en-US" w:eastAsia="zh-CN"/>
                    </w:rPr>
                    <w:t>的</w:t>
                  </w:r>
                  <w:r>
                    <w:rPr>
                      <w:rFonts w:hint="default" w:ascii="Times New Roman" w:hAnsi="Times New Roman" w:eastAsia="宋体" w:cs="Times New Roman"/>
                      <w:b w:val="0"/>
                      <w:bCs w:val="0"/>
                      <w:color w:val="auto"/>
                      <w:sz w:val="21"/>
                      <w:szCs w:val="21"/>
                      <w:vertAlign w:val="baseline"/>
                    </w:rPr>
                    <w:t>有机废气</w:t>
                  </w:r>
                  <w:r>
                    <w:rPr>
                      <w:rFonts w:hint="eastAsia" w:cs="Times New Roman"/>
                      <w:b w:val="0"/>
                      <w:bCs w:val="0"/>
                      <w:color w:val="auto"/>
                      <w:sz w:val="21"/>
                      <w:szCs w:val="21"/>
                      <w:vertAlign w:val="baseline"/>
                      <w:lang w:val="en-US" w:eastAsia="zh-CN"/>
                    </w:rPr>
                    <w:t>经</w:t>
                  </w:r>
                  <w:r>
                    <w:rPr>
                      <w:rFonts w:hint="default" w:ascii="Times New Roman" w:hAnsi="Times New Roman" w:eastAsia="宋体" w:cs="Times New Roman"/>
                      <w:b w:val="0"/>
                      <w:bCs w:val="0"/>
                      <w:color w:val="auto"/>
                      <w:sz w:val="21"/>
                      <w:szCs w:val="21"/>
                      <w:vertAlign w:val="baseline"/>
                    </w:rPr>
                    <w:t>集气罩收集，进入</w:t>
                  </w:r>
                  <w:r>
                    <w:rPr>
                      <w:rFonts w:hint="eastAsia" w:cs="Times New Roman"/>
                      <w:b w:val="0"/>
                      <w:bCs w:val="0"/>
                      <w:color w:val="auto"/>
                      <w:sz w:val="21"/>
                      <w:szCs w:val="21"/>
                      <w:vertAlign w:val="baseline"/>
                      <w:lang w:eastAsia="zh-CN"/>
                    </w:rPr>
                    <w:t>“</w:t>
                  </w:r>
                  <w:r>
                    <w:rPr>
                      <w:rFonts w:hint="eastAsia" w:cs="Times New Roman"/>
                      <w:b w:val="0"/>
                      <w:bCs w:val="0"/>
                      <w:color w:val="auto"/>
                      <w:sz w:val="21"/>
                      <w:szCs w:val="21"/>
                      <w:vertAlign w:val="baseline"/>
                      <w:lang w:val="en-US" w:eastAsia="zh-CN"/>
                    </w:rPr>
                    <w:t>二级</w:t>
                  </w:r>
                  <w:r>
                    <w:rPr>
                      <w:rFonts w:hint="default" w:ascii="Times New Roman" w:hAnsi="Times New Roman" w:eastAsia="宋体" w:cs="Times New Roman"/>
                      <w:b w:val="0"/>
                      <w:bCs w:val="0"/>
                      <w:color w:val="auto"/>
                      <w:sz w:val="21"/>
                      <w:szCs w:val="21"/>
                      <w:vertAlign w:val="baseline"/>
                    </w:rPr>
                    <w:t>活性炭吸附</w:t>
                  </w:r>
                  <w:r>
                    <w:rPr>
                      <w:rFonts w:hint="eastAsia" w:cs="Times New Roman"/>
                      <w:b w:val="0"/>
                      <w:bCs w:val="0"/>
                      <w:color w:val="auto"/>
                      <w:sz w:val="21"/>
                      <w:szCs w:val="21"/>
                      <w:vertAlign w:val="baseline"/>
                      <w:lang w:val="en-US" w:eastAsia="zh-CN"/>
                    </w:rPr>
                    <w:t>装置</w:t>
                  </w:r>
                  <w:r>
                    <w:rPr>
                      <w:rFonts w:hint="eastAsia" w:cs="Times New Roman"/>
                      <w:b w:val="0"/>
                      <w:bCs w:val="0"/>
                      <w:color w:val="auto"/>
                      <w:sz w:val="21"/>
                      <w:szCs w:val="21"/>
                      <w:vertAlign w:val="baseline"/>
                      <w:lang w:eastAsia="zh-CN"/>
                    </w:rPr>
                    <w:t>”</w:t>
                  </w:r>
                  <w:r>
                    <w:rPr>
                      <w:rFonts w:hint="default" w:ascii="Times New Roman" w:hAnsi="Times New Roman" w:eastAsia="宋体" w:cs="Times New Roman"/>
                      <w:b w:val="0"/>
                      <w:bCs w:val="0"/>
                      <w:color w:val="auto"/>
                      <w:sz w:val="21"/>
                      <w:szCs w:val="21"/>
                      <w:vertAlign w:val="baseline"/>
                    </w:rPr>
                    <w:t>处理后</w:t>
                  </w:r>
                  <w:r>
                    <w:rPr>
                      <w:rFonts w:hint="eastAsia" w:cs="Times New Roman"/>
                      <w:b w:val="0"/>
                      <w:bCs w:val="0"/>
                      <w:color w:val="auto"/>
                      <w:sz w:val="21"/>
                      <w:szCs w:val="21"/>
                      <w:vertAlign w:val="baseline"/>
                      <w:lang w:val="en-US" w:eastAsia="zh-CN"/>
                    </w:rPr>
                    <w:t>经</w:t>
                  </w:r>
                  <w:r>
                    <w:rPr>
                      <w:rFonts w:hint="default" w:ascii="Times New Roman" w:hAnsi="Times New Roman" w:eastAsia="宋体" w:cs="Times New Roman"/>
                      <w:b w:val="0"/>
                      <w:bCs w:val="0"/>
                      <w:color w:val="auto"/>
                      <w:sz w:val="21"/>
                      <w:szCs w:val="21"/>
                      <w:vertAlign w:val="baseline"/>
                    </w:rPr>
                    <w:t>15m高排气筒DA001有组织排放</w:t>
                  </w:r>
                  <w:r>
                    <w:rPr>
                      <w:rFonts w:hint="eastAsia" w:cs="Times New Roman"/>
                      <w:b w:val="0"/>
                      <w:bCs w:val="0"/>
                      <w:color w:val="auto"/>
                      <w:sz w:val="21"/>
                      <w:szCs w:val="21"/>
                      <w:vertAlign w:val="baseline"/>
                      <w:lang w:eastAsia="zh-CN"/>
                    </w:rPr>
                    <w:t>。</w:t>
                  </w:r>
                </w:p>
              </w:tc>
              <w:tc>
                <w:tcPr>
                  <w:tcW w:w="872" w:type="dxa"/>
                  <w:vMerge w:val="restart"/>
                  <w:vAlign w:val="center"/>
                </w:tcPr>
                <w:p w14:paraId="06435171">
                  <w:pPr>
                    <w:numPr>
                      <w:ilvl w:val="0"/>
                      <w:numId w:val="0"/>
                    </w:numPr>
                    <w:bidi w:val="0"/>
                    <w:spacing w:line="240" w:lineRule="auto"/>
                    <w:jc w:val="center"/>
                    <w:rPr>
                      <w:rFonts w:hint="default"/>
                      <w:color w:val="auto"/>
                      <w:sz w:val="21"/>
                      <w:szCs w:val="21"/>
                    </w:rPr>
                  </w:pPr>
                  <w:r>
                    <w:rPr>
                      <w:rFonts w:hint="default" w:ascii="Times New Roman" w:hAnsi="Times New Roman" w:eastAsia="宋体" w:cs="Times New Roman"/>
                      <w:b w:val="0"/>
                      <w:bCs w:val="0"/>
                      <w:color w:val="auto"/>
                      <w:sz w:val="21"/>
                      <w:szCs w:val="21"/>
                      <w:vertAlign w:val="baseline"/>
                    </w:rPr>
                    <w:t>符合</w:t>
                  </w:r>
                </w:p>
              </w:tc>
            </w:tr>
            <w:tr w14:paraId="015721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79" w:type="dxa"/>
                  <w:vMerge w:val="continue"/>
                  <w:vAlign w:val="center"/>
                </w:tcPr>
                <w:p w14:paraId="2C5BF0D4">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rPr>
                  </w:pPr>
                </w:p>
              </w:tc>
              <w:tc>
                <w:tcPr>
                  <w:tcW w:w="3794" w:type="dxa"/>
                  <w:vAlign w:val="center"/>
                </w:tcPr>
                <w:p w14:paraId="0A9FA1AE">
                  <w:pPr>
                    <w:numPr>
                      <w:ilvl w:val="0"/>
                      <w:numId w:val="0"/>
                    </w:numPr>
                    <w:bidi w:val="0"/>
                    <w:spacing w:line="240" w:lineRule="auto"/>
                    <w:jc w:val="both"/>
                    <w:rPr>
                      <w:rFonts w:hint="default" w:ascii="Times New Roman" w:hAnsi="Times New Roman" w:eastAsia="宋体" w:cs="Times New Roman"/>
                      <w:b w:val="0"/>
                      <w:bCs w:val="0"/>
                      <w:color w:val="auto"/>
                      <w:sz w:val="21"/>
                      <w:szCs w:val="21"/>
                      <w:vertAlign w:val="baseline"/>
                    </w:rPr>
                  </w:pPr>
                  <w:r>
                    <w:rPr>
                      <w:rFonts w:hint="default" w:ascii="Times New Roman" w:hAnsi="Times New Roman" w:eastAsia="宋体" w:cs="Times New Roman"/>
                      <w:b w:val="0"/>
                      <w:bCs w:val="0"/>
                      <w:color w:val="auto"/>
                      <w:sz w:val="21"/>
                      <w:szCs w:val="21"/>
                      <w:vertAlign w:val="baseline"/>
                    </w:rPr>
                    <w:t>加强废气收集与处理。对转运、储存等要采取循环风烘干技术，减少废气排放，对收集的废气，要建设吸附回收、吸附燃烧等高效治理设施，确保达标排放</w:t>
                  </w:r>
                </w:p>
              </w:tc>
              <w:tc>
                <w:tcPr>
                  <w:tcW w:w="1773" w:type="dxa"/>
                  <w:vMerge w:val="continue"/>
                  <w:vAlign w:val="center"/>
                </w:tcPr>
                <w:p w14:paraId="4E1AC528">
                  <w:pPr>
                    <w:numPr>
                      <w:ilvl w:val="0"/>
                      <w:numId w:val="0"/>
                    </w:numPr>
                    <w:bidi w:val="0"/>
                    <w:spacing w:line="240" w:lineRule="auto"/>
                    <w:jc w:val="both"/>
                    <w:rPr>
                      <w:rFonts w:hint="default" w:ascii="Times New Roman" w:hAnsi="Times New Roman" w:eastAsia="宋体" w:cs="Times New Roman"/>
                      <w:b w:val="0"/>
                      <w:bCs w:val="0"/>
                      <w:color w:val="0000FF"/>
                      <w:sz w:val="21"/>
                      <w:szCs w:val="21"/>
                      <w:vertAlign w:val="baseline"/>
                    </w:rPr>
                  </w:pPr>
                </w:p>
              </w:tc>
              <w:tc>
                <w:tcPr>
                  <w:tcW w:w="872" w:type="dxa"/>
                  <w:vMerge w:val="continue"/>
                  <w:vAlign w:val="center"/>
                </w:tcPr>
                <w:p w14:paraId="3D773875">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rPr>
                  </w:pPr>
                </w:p>
              </w:tc>
            </w:tr>
            <w:tr w14:paraId="17653E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79" w:type="dxa"/>
                  <w:vMerge w:val="restart"/>
                  <w:vAlign w:val="center"/>
                </w:tcPr>
                <w:p w14:paraId="2DE4B963">
                  <w:pPr>
                    <w:numPr>
                      <w:ilvl w:val="0"/>
                      <w:numId w:val="0"/>
                    </w:numPr>
                    <w:bidi w:val="0"/>
                    <w:spacing w:line="240" w:lineRule="auto"/>
                    <w:jc w:val="center"/>
                    <w:rPr>
                      <w:rFonts w:hint="eastAsia" w:ascii="Times New Roman" w:hAnsi="Times New Roman" w:eastAsia="宋体" w:cs="Times New Roman"/>
                      <w:b w:val="0"/>
                      <w:bCs w:val="0"/>
                      <w:color w:val="auto"/>
                      <w:sz w:val="21"/>
                      <w:szCs w:val="21"/>
                      <w:vertAlign w:val="baseline"/>
                      <w:lang w:eastAsia="zh-CN"/>
                    </w:rPr>
                  </w:pPr>
                  <w:r>
                    <w:rPr>
                      <w:rFonts w:hint="default" w:ascii="Times New Roman" w:hAnsi="Times New Roman" w:eastAsia="宋体" w:cs="Times New Roman"/>
                      <w:b w:val="0"/>
                      <w:bCs w:val="0"/>
                      <w:color w:val="auto"/>
                      <w:sz w:val="21"/>
                      <w:szCs w:val="21"/>
                      <w:vertAlign w:val="baseline"/>
                    </w:rPr>
                    <w:t>《重点行业挥发性有机物综合治理方案》（环大气〔2019〕53号</w:t>
                  </w:r>
                  <w:r>
                    <w:rPr>
                      <w:rFonts w:hint="eastAsia" w:cs="Times New Roman"/>
                      <w:b w:val="0"/>
                      <w:bCs w:val="0"/>
                      <w:color w:val="auto"/>
                      <w:sz w:val="21"/>
                      <w:szCs w:val="21"/>
                      <w:vertAlign w:val="baseline"/>
                      <w:lang w:eastAsia="zh-CN"/>
                    </w:rPr>
                    <w:t>）</w:t>
                  </w:r>
                </w:p>
              </w:tc>
              <w:tc>
                <w:tcPr>
                  <w:tcW w:w="3794" w:type="dxa"/>
                  <w:vAlign w:val="center"/>
                </w:tcPr>
                <w:p w14:paraId="0E81E6BC">
                  <w:pPr>
                    <w:numPr>
                      <w:ilvl w:val="0"/>
                      <w:numId w:val="0"/>
                    </w:numPr>
                    <w:bidi w:val="0"/>
                    <w:spacing w:line="240" w:lineRule="auto"/>
                    <w:jc w:val="both"/>
                    <w:rPr>
                      <w:rFonts w:hint="eastAsia" w:ascii="Times New Roman" w:hAnsi="Times New Roman" w:eastAsia="宋体" w:cs="Times New Roman"/>
                      <w:b w:val="0"/>
                      <w:bCs w:val="0"/>
                      <w:color w:val="auto"/>
                      <w:sz w:val="21"/>
                      <w:szCs w:val="21"/>
                      <w:vertAlign w:val="baseline"/>
                      <w:lang w:eastAsia="zh-CN"/>
                    </w:rPr>
                  </w:pPr>
                  <w:r>
                    <w:rPr>
                      <w:rFonts w:hint="default" w:ascii="Times New Roman" w:hAnsi="Times New Roman" w:eastAsia="宋体" w:cs="Times New Roman"/>
                      <w:b w:val="0"/>
                      <w:bCs w:val="0"/>
                      <w:color w:val="auto"/>
                      <w:sz w:val="21"/>
                      <w:szCs w:val="21"/>
                      <w:vertAlign w:val="baseline"/>
                    </w:rPr>
                    <w:t>大力推进源头替代。从源头减少VOCs的产生，加强设备与场所密闭管理。含VOCs物料生产与使用过程中，应采取有效收集措施或在密闭空间中收集</w:t>
                  </w:r>
                  <w:r>
                    <w:rPr>
                      <w:rFonts w:hint="eastAsia" w:cs="Times New Roman"/>
                      <w:b w:val="0"/>
                      <w:bCs w:val="0"/>
                      <w:color w:val="auto"/>
                      <w:sz w:val="21"/>
                      <w:szCs w:val="21"/>
                      <w:vertAlign w:val="baseline"/>
                      <w:lang w:eastAsia="zh-CN"/>
                    </w:rPr>
                    <w:t>。</w:t>
                  </w:r>
                </w:p>
              </w:tc>
              <w:tc>
                <w:tcPr>
                  <w:tcW w:w="1773" w:type="dxa"/>
                  <w:vMerge w:val="continue"/>
                  <w:vAlign w:val="center"/>
                </w:tcPr>
                <w:p w14:paraId="23C5898A">
                  <w:pPr>
                    <w:numPr>
                      <w:ilvl w:val="0"/>
                      <w:numId w:val="0"/>
                    </w:numPr>
                    <w:bidi w:val="0"/>
                    <w:spacing w:line="240" w:lineRule="auto"/>
                    <w:jc w:val="both"/>
                    <w:rPr>
                      <w:rFonts w:hint="default" w:ascii="Times New Roman" w:hAnsi="Times New Roman" w:eastAsia="宋体" w:cs="Times New Roman"/>
                      <w:b w:val="0"/>
                      <w:bCs w:val="0"/>
                      <w:color w:val="auto"/>
                      <w:sz w:val="21"/>
                      <w:szCs w:val="21"/>
                      <w:vertAlign w:val="baseline"/>
                    </w:rPr>
                  </w:pPr>
                </w:p>
              </w:tc>
              <w:tc>
                <w:tcPr>
                  <w:tcW w:w="872" w:type="dxa"/>
                  <w:vMerge w:val="restart"/>
                  <w:vAlign w:val="center"/>
                </w:tcPr>
                <w:p w14:paraId="25597E0B">
                  <w:pPr>
                    <w:numPr>
                      <w:ilvl w:val="0"/>
                      <w:numId w:val="0"/>
                    </w:numPr>
                    <w:bidi w:val="0"/>
                    <w:spacing w:line="240" w:lineRule="auto"/>
                    <w:jc w:val="center"/>
                    <w:rPr>
                      <w:rFonts w:hint="default"/>
                      <w:sz w:val="21"/>
                      <w:szCs w:val="21"/>
                    </w:rPr>
                  </w:pPr>
                  <w:r>
                    <w:rPr>
                      <w:rFonts w:hint="default" w:ascii="Times New Roman" w:hAnsi="Times New Roman" w:eastAsia="宋体" w:cs="Times New Roman"/>
                      <w:b w:val="0"/>
                      <w:bCs w:val="0"/>
                      <w:color w:val="auto"/>
                      <w:sz w:val="21"/>
                      <w:szCs w:val="21"/>
                      <w:vertAlign w:val="baseline"/>
                    </w:rPr>
                    <w:t>符合</w:t>
                  </w:r>
                </w:p>
              </w:tc>
            </w:tr>
            <w:tr w14:paraId="4A7E8A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79" w:type="dxa"/>
                  <w:vMerge w:val="continue"/>
                  <w:vAlign w:val="center"/>
                </w:tcPr>
                <w:p w14:paraId="77C43EA5">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rPr>
                  </w:pPr>
                </w:p>
              </w:tc>
              <w:tc>
                <w:tcPr>
                  <w:tcW w:w="3794" w:type="dxa"/>
                  <w:vAlign w:val="center"/>
                </w:tcPr>
                <w:p w14:paraId="6441A6FC">
                  <w:pPr>
                    <w:numPr>
                      <w:ilvl w:val="0"/>
                      <w:numId w:val="0"/>
                    </w:numPr>
                    <w:bidi w:val="0"/>
                    <w:spacing w:line="240" w:lineRule="auto"/>
                    <w:jc w:val="both"/>
                    <w:rPr>
                      <w:rFonts w:hint="default" w:ascii="Times New Roman" w:hAnsi="Times New Roman" w:eastAsia="宋体" w:cs="Times New Roman"/>
                      <w:b w:val="0"/>
                      <w:bCs w:val="0"/>
                      <w:color w:val="auto"/>
                      <w:sz w:val="21"/>
                      <w:szCs w:val="21"/>
                      <w:vertAlign w:val="baseline"/>
                    </w:rPr>
                  </w:pPr>
                  <w:r>
                    <w:rPr>
                      <w:rFonts w:hint="default" w:ascii="Times New Roman" w:hAnsi="Times New Roman" w:eastAsia="宋体" w:cs="Times New Roman"/>
                      <w:b w:val="0"/>
                      <w:bCs w:val="0"/>
                      <w:color w:val="auto"/>
                      <w:sz w:val="21"/>
                      <w:szCs w:val="21"/>
                      <w:vertAlign w:val="baseline"/>
                    </w:rPr>
                    <w:t>全面加强无组织排放控制。重点对含VOCs物料储存、转移和输送、设备与管线组件泄漏、敞开液面逸散以及工艺过程等五类排放源实施管控，通过采取设备与场所密闭、工艺改进、废气有效收集等措施，削减VOCs无组织排放。提高废气收集率。遵</w:t>
                  </w:r>
                  <w:r>
                    <w:rPr>
                      <w:rFonts w:hint="eastAsia" w:ascii="宋体" w:hAnsi="宋体" w:eastAsia="宋体" w:cs="宋体"/>
                      <w:b w:val="0"/>
                      <w:bCs w:val="0"/>
                      <w:color w:val="auto"/>
                      <w:sz w:val="21"/>
                      <w:szCs w:val="21"/>
                      <w:vertAlign w:val="baseline"/>
                    </w:rPr>
                    <w:t>循“应收尽收、分质收集”的</w:t>
                  </w:r>
                  <w:r>
                    <w:rPr>
                      <w:rFonts w:hint="default" w:ascii="Times New Roman" w:hAnsi="Times New Roman" w:eastAsia="宋体" w:cs="Times New Roman"/>
                      <w:b w:val="0"/>
                      <w:bCs w:val="0"/>
                      <w:color w:val="auto"/>
                      <w:sz w:val="21"/>
                      <w:szCs w:val="21"/>
                      <w:vertAlign w:val="baseline"/>
                    </w:rPr>
                    <w:t>原则，科学设计废气收集系统，将无组织排放转变为有组织排放进行控制。采用全密闭集气罩或密闭空间的，除行业有特殊要求外，应保持微负压状态，并根据相关规范合理设置通风量。采用局部集气罩的，距集气罩开口面最远处的VOCs无组织排放位置，控制风速应不低于0.3米/秒，有行业要求的按相关规定执行。</w:t>
                  </w:r>
                </w:p>
              </w:tc>
              <w:tc>
                <w:tcPr>
                  <w:tcW w:w="1773" w:type="dxa"/>
                  <w:vMerge w:val="continue"/>
                  <w:vAlign w:val="center"/>
                </w:tcPr>
                <w:p w14:paraId="21097A88">
                  <w:pPr>
                    <w:numPr>
                      <w:ilvl w:val="0"/>
                      <w:numId w:val="0"/>
                    </w:numPr>
                    <w:bidi w:val="0"/>
                    <w:spacing w:line="240" w:lineRule="auto"/>
                    <w:jc w:val="both"/>
                    <w:rPr>
                      <w:rFonts w:hint="default" w:ascii="Times New Roman" w:hAnsi="Times New Roman" w:eastAsia="宋体" w:cs="Times New Roman"/>
                      <w:b w:val="0"/>
                      <w:bCs w:val="0"/>
                      <w:color w:val="auto"/>
                      <w:sz w:val="21"/>
                      <w:szCs w:val="21"/>
                      <w:vertAlign w:val="baseline"/>
                    </w:rPr>
                  </w:pPr>
                </w:p>
              </w:tc>
              <w:tc>
                <w:tcPr>
                  <w:tcW w:w="872" w:type="dxa"/>
                  <w:vMerge w:val="continue"/>
                  <w:vAlign w:val="center"/>
                </w:tcPr>
                <w:p w14:paraId="63674EAD">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rPr>
                  </w:pPr>
                </w:p>
              </w:tc>
            </w:tr>
            <w:tr w14:paraId="7F5FA0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79" w:type="dxa"/>
                  <w:vAlign w:val="center"/>
                </w:tcPr>
                <w:p w14:paraId="5282FAC9">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rPr>
                  </w:pPr>
                  <w:r>
                    <w:rPr>
                      <w:rFonts w:hint="default" w:ascii="Times New Roman" w:hAnsi="Times New Roman" w:eastAsia="宋体" w:cs="Times New Roman"/>
                      <w:b w:val="0"/>
                      <w:bCs w:val="0"/>
                      <w:color w:val="auto"/>
                      <w:sz w:val="21"/>
                      <w:szCs w:val="21"/>
                      <w:vertAlign w:val="baseline"/>
                    </w:rPr>
                    <w:t>《挥发性有机物无组织排放控制标准》</w:t>
                  </w:r>
                  <w:r>
                    <w:rPr>
                      <w:rFonts w:hint="eastAsia" w:cs="Times New Roman"/>
                      <w:b w:val="0"/>
                      <w:bCs w:val="0"/>
                      <w:color w:val="auto"/>
                      <w:sz w:val="21"/>
                      <w:szCs w:val="21"/>
                      <w:vertAlign w:val="baseline"/>
                      <w:lang w:eastAsia="zh-CN"/>
                    </w:rPr>
                    <w:t>（</w:t>
                  </w:r>
                  <w:r>
                    <w:rPr>
                      <w:rFonts w:hint="default" w:ascii="Times New Roman" w:hAnsi="Times New Roman" w:eastAsia="宋体" w:cs="Times New Roman"/>
                      <w:b w:val="0"/>
                      <w:bCs w:val="0"/>
                      <w:color w:val="auto"/>
                      <w:sz w:val="21"/>
                      <w:szCs w:val="21"/>
                      <w:vertAlign w:val="baseline"/>
                    </w:rPr>
                    <w:t>GB37822-2019</w:t>
                  </w:r>
                  <w:r>
                    <w:rPr>
                      <w:rFonts w:hint="eastAsia" w:cs="Times New Roman"/>
                      <w:b w:val="0"/>
                      <w:bCs w:val="0"/>
                      <w:color w:val="auto"/>
                      <w:sz w:val="21"/>
                      <w:szCs w:val="21"/>
                      <w:vertAlign w:val="baseline"/>
                      <w:lang w:eastAsia="zh-CN"/>
                    </w:rPr>
                    <w:t>）</w:t>
                  </w:r>
                </w:p>
              </w:tc>
              <w:tc>
                <w:tcPr>
                  <w:tcW w:w="3794" w:type="dxa"/>
                  <w:vAlign w:val="center"/>
                </w:tcPr>
                <w:p w14:paraId="11FF1F07">
                  <w:pPr>
                    <w:numPr>
                      <w:ilvl w:val="0"/>
                      <w:numId w:val="0"/>
                    </w:numPr>
                    <w:bidi w:val="0"/>
                    <w:spacing w:line="240" w:lineRule="auto"/>
                    <w:jc w:val="both"/>
                    <w:rPr>
                      <w:rFonts w:hint="eastAsia" w:ascii="Times New Roman" w:hAnsi="Times New Roman" w:eastAsia="宋体" w:cs="Times New Roman"/>
                      <w:b w:val="0"/>
                      <w:bCs w:val="0"/>
                      <w:color w:val="auto"/>
                      <w:sz w:val="21"/>
                      <w:szCs w:val="21"/>
                      <w:vertAlign w:val="baseline"/>
                      <w:lang w:eastAsia="zh-CN"/>
                    </w:rPr>
                  </w:pPr>
                  <w:r>
                    <w:rPr>
                      <w:rFonts w:hint="default" w:ascii="Times New Roman" w:hAnsi="Times New Roman" w:eastAsia="宋体" w:cs="Times New Roman"/>
                      <w:b w:val="0"/>
                      <w:bCs w:val="0"/>
                      <w:color w:val="auto"/>
                      <w:sz w:val="21"/>
                      <w:szCs w:val="21"/>
                      <w:vertAlign w:val="baseline"/>
                    </w:rPr>
                    <w:t>VOCs质量占比大于等于10%的含VOCs产品，其使用过程应采用密闭设备或在密闭空间内操作，废气应排至VOCs废气收集处理系统；无法密闭的，应采取局部气体收集措施，废气应排至VOCs废气收集处理系统</w:t>
                  </w:r>
                  <w:r>
                    <w:rPr>
                      <w:rFonts w:hint="eastAsia" w:cs="Times New Roman"/>
                      <w:b w:val="0"/>
                      <w:bCs w:val="0"/>
                      <w:color w:val="auto"/>
                      <w:sz w:val="21"/>
                      <w:szCs w:val="21"/>
                      <w:vertAlign w:val="baseline"/>
                      <w:lang w:eastAsia="zh-CN"/>
                    </w:rPr>
                    <w:t>。</w:t>
                  </w:r>
                </w:p>
              </w:tc>
              <w:tc>
                <w:tcPr>
                  <w:tcW w:w="1773" w:type="dxa"/>
                  <w:vMerge w:val="restart"/>
                  <w:vAlign w:val="center"/>
                </w:tcPr>
                <w:p w14:paraId="588B201D">
                  <w:pPr>
                    <w:numPr>
                      <w:ilvl w:val="0"/>
                      <w:numId w:val="0"/>
                    </w:numPr>
                    <w:bidi w:val="0"/>
                    <w:spacing w:line="240" w:lineRule="auto"/>
                    <w:jc w:val="both"/>
                    <w:rPr>
                      <w:rFonts w:hint="eastAsia" w:ascii="Times New Roman" w:hAnsi="Times New Roman" w:eastAsia="宋体" w:cs="Times New Roman"/>
                      <w:b w:val="0"/>
                      <w:bCs w:val="0"/>
                      <w:color w:val="auto"/>
                      <w:sz w:val="21"/>
                      <w:szCs w:val="21"/>
                      <w:vertAlign w:val="baseline"/>
                      <w:lang w:eastAsia="zh-CN"/>
                    </w:rPr>
                  </w:pPr>
                  <w:r>
                    <w:rPr>
                      <w:rFonts w:hint="default" w:ascii="Times New Roman" w:hAnsi="Times New Roman" w:eastAsia="宋体" w:cs="Times New Roman"/>
                      <w:b w:val="0"/>
                      <w:bCs w:val="0"/>
                      <w:color w:val="auto"/>
                      <w:sz w:val="21"/>
                      <w:szCs w:val="21"/>
                      <w:vertAlign w:val="baseline"/>
                    </w:rPr>
                    <w:t>项目</w:t>
                  </w:r>
                  <w:r>
                    <w:rPr>
                      <w:rFonts w:hint="eastAsia" w:cs="Times New Roman"/>
                      <w:b w:val="0"/>
                      <w:bCs w:val="0"/>
                      <w:color w:val="auto"/>
                      <w:sz w:val="21"/>
                      <w:szCs w:val="21"/>
                      <w:vertAlign w:val="baseline"/>
                      <w:lang w:val="en-US" w:eastAsia="zh-CN"/>
                    </w:rPr>
                    <w:t>进行废矿物油贮存工作，废矿物油贮存在密闭的容器中，</w:t>
                  </w:r>
                  <w:r>
                    <w:rPr>
                      <w:rFonts w:hint="eastAsia" w:ascii="宋体" w:hAnsi="宋体" w:eastAsia="宋体" w:cs="宋体"/>
                      <w:b w:val="0"/>
                      <w:bCs w:val="0"/>
                      <w:color w:val="auto"/>
                      <w:sz w:val="21"/>
                      <w:szCs w:val="21"/>
                      <w:vertAlign w:val="baseline"/>
                    </w:rPr>
                    <w:t>储油罐产生“大呼吸”与“小呼吸”有</w:t>
                  </w:r>
                  <w:r>
                    <w:rPr>
                      <w:rFonts w:hint="default" w:ascii="Times New Roman" w:hAnsi="Times New Roman" w:eastAsia="宋体" w:cs="Times New Roman"/>
                      <w:b w:val="0"/>
                      <w:bCs w:val="0"/>
                      <w:color w:val="auto"/>
                      <w:sz w:val="21"/>
                      <w:szCs w:val="21"/>
                      <w:vertAlign w:val="baseline"/>
                    </w:rPr>
                    <w:t>机废气通过呼吸口上方设置的集气罩收集，进入</w:t>
                  </w:r>
                  <w:r>
                    <w:rPr>
                      <w:rFonts w:hint="eastAsia" w:cs="Times New Roman"/>
                      <w:b w:val="0"/>
                      <w:bCs w:val="0"/>
                      <w:color w:val="auto"/>
                      <w:sz w:val="21"/>
                      <w:szCs w:val="21"/>
                      <w:vertAlign w:val="baseline"/>
                      <w:lang w:eastAsia="zh-CN"/>
                    </w:rPr>
                    <w:t>“</w:t>
                  </w:r>
                  <w:r>
                    <w:rPr>
                      <w:rFonts w:hint="eastAsia" w:cs="Times New Roman"/>
                      <w:b w:val="0"/>
                      <w:bCs w:val="0"/>
                      <w:color w:val="auto"/>
                      <w:sz w:val="21"/>
                      <w:szCs w:val="21"/>
                      <w:vertAlign w:val="baseline"/>
                      <w:lang w:val="en-US" w:eastAsia="zh-CN"/>
                    </w:rPr>
                    <w:t>二级</w:t>
                  </w:r>
                  <w:r>
                    <w:rPr>
                      <w:rFonts w:hint="default" w:ascii="Times New Roman" w:hAnsi="Times New Roman" w:eastAsia="宋体" w:cs="Times New Roman"/>
                      <w:b w:val="0"/>
                      <w:bCs w:val="0"/>
                      <w:color w:val="auto"/>
                      <w:sz w:val="21"/>
                      <w:szCs w:val="21"/>
                      <w:vertAlign w:val="baseline"/>
                    </w:rPr>
                    <w:t>活性炭吸附</w:t>
                  </w:r>
                  <w:r>
                    <w:rPr>
                      <w:rFonts w:hint="eastAsia" w:cs="Times New Roman"/>
                      <w:b w:val="0"/>
                      <w:bCs w:val="0"/>
                      <w:color w:val="auto"/>
                      <w:sz w:val="21"/>
                      <w:szCs w:val="21"/>
                      <w:vertAlign w:val="baseline"/>
                      <w:lang w:val="en-US" w:eastAsia="zh-CN"/>
                    </w:rPr>
                    <w:t>装置</w:t>
                  </w:r>
                  <w:r>
                    <w:rPr>
                      <w:rFonts w:hint="eastAsia" w:cs="Times New Roman"/>
                      <w:b w:val="0"/>
                      <w:bCs w:val="0"/>
                      <w:color w:val="auto"/>
                      <w:sz w:val="21"/>
                      <w:szCs w:val="21"/>
                      <w:vertAlign w:val="baseline"/>
                      <w:lang w:eastAsia="zh-CN"/>
                    </w:rPr>
                    <w:t>”</w:t>
                  </w:r>
                  <w:r>
                    <w:rPr>
                      <w:rFonts w:hint="default" w:ascii="Times New Roman" w:hAnsi="Times New Roman" w:eastAsia="宋体" w:cs="Times New Roman"/>
                      <w:b w:val="0"/>
                      <w:bCs w:val="0"/>
                      <w:color w:val="auto"/>
                      <w:sz w:val="21"/>
                      <w:szCs w:val="21"/>
                      <w:vertAlign w:val="baseline"/>
                    </w:rPr>
                    <w:t>处理后通过</w:t>
                  </w:r>
                  <w:r>
                    <w:rPr>
                      <w:rFonts w:hint="eastAsia" w:cs="Times New Roman"/>
                      <w:b w:val="0"/>
                      <w:bCs w:val="0"/>
                      <w:color w:val="auto"/>
                      <w:sz w:val="21"/>
                      <w:szCs w:val="21"/>
                      <w:vertAlign w:val="baseline"/>
                      <w:lang w:eastAsia="zh-CN"/>
                    </w:rPr>
                    <w:t>（</w:t>
                  </w:r>
                  <w:r>
                    <w:rPr>
                      <w:rFonts w:hint="default" w:ascii="Times New Roman" w:hAnsi="Times New Roman" w:eastAsia="宋体" w:cs="Times New Roman"/>
                      <w:b w:val="0"/>
                      <w:bCs w:val="0"/>
                      <w:color w:val="auto"/>
                      <w:sz w:val="21"/>
                      <w:szCs w:val="21"/>
                      <w:vertAlign w:val="baseline"/>
                    </w:rPr>
                    <w:t>DA001</w:t>
                  </w:r>
                  <w:r>
                    <w:rPr>
                      <w:rFonts w:hint="eastAsia" w:cs="Times New Roman"/>
                      <w:b w:val="0"/>
                      <w:bCs w:val="0"/>
                      <w:color w:val="auto"/>
                      <w:sz w:val="21"/>
                      <w:szCs w:val="21"/>
                      <w:vertAlign w:val="baseline"/>
                      <w:lang w:eastAsia="zh-CN"/>
                    </w:rPr>
                    <w:t>）</w:t>
                  </w:r>
                  <w:r>
                    <w:rPr>
                      <w:rFonts w:hint="default" w:ascii="Times New Roman" w:hAnsi="Times New Roman" w:eastAsia="宋体" w:cs="Times New Roman"/>
                      <w:b w:val="0"/>
                      <w:bCs w:val="0"/>
                      <w:color w:val="auto"/>
                      <w:sz w:val="21"/>
                      <w:szCs w:val="21"/>
                      <w:vertAlign w:val="baseline"/>
                    </w:rPr>
                    <w:t>15m高排气筒有组织排放</w:t>
                  </w:r>
                  <w:r>
                    <w:rPr>
                      <w:rFonts w:hint="eastAsia" w:cs="Times New Roman"/>
                      <w:b w:val="0"/>
                      <w:bCs w:val="0"/>
                      <w:color w:val="auto"/>
                      <w:sz w:val="21"/>
                      <w:szCs w:val="21"/>
                      <w:vertAlign w:val="baseline"/>
                      <w:lang w:eastAsia="zh-CN"/>
                    </w:rPr>
                    <w:t>。</w:t>
                  </w:r>
                </w:p>
              </w:tc>
              <w:tc>
                <w:tcPr>
                  <w:tcW w:w="872" w:type="dxa"/>
                  <w:vAlign w:val="center"/>
                </w:tcPr>
                <w:p w14:paraId="426F8562">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rPr>
                  </w:pPr>
                  <w:r>
                    <w:rPr>
                      <w:rFonts w:hint="default" w:ascii="Times New Roman" w:hAnsi="Times New Roman" w:eastAsia="宋体" w:cs="Times New Roman"/>
                      <w:b w:val="0"/>
                      <w:bCs w:val="0"/>
                      <w:color w:val="auto"/>
                      <w:sz w:val="21"/>
                      <w:szCs w:val="21"/>
                      <w:vertAlign w:val="baseline"/>
                    </w:rPr>
                    <w:t>符合</w:t>
                  </w:r>
                </w:p>
              </w:tc>
            </w:tr>
            <w:tr w14:paraId="55FB91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79" w:type="dxa"/>
                  <w:vAlign w:val="center"/>
                </w:tcPr>
                <w:p w14:paraId="4CBA311B">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rPr>
                  </w:pPr>
                  <w:r>
                    <w:rPr>
                      <w:rFonts w:hint="default" w:ascii="Times New Roman" w:hAnsi="Times New Roman" w:eastAsia="宋体" w:cs="Times New Roman"/>
                      <w:b w:val="0"/>
                      <w:bCs w:val="0"/>
                      <w:color w:val="auto"/>
                      <w:sz w:val="21"/>
                      <w:szCs w:val="21"/>
                      <w:vertAlign w:val="baseline"/>
                    </w:rPr>
                    <w:t>《四川省挥发性有机物污染防治实施方案（2018-2020</w:t>
                  </w:r>
                  <w:r>
                    <w:rPr>
                      <w:rFonts w:hint="eastAsia" w:cs="Times New Roman"/>
                      <w:b w:val="0"/>
                      <w:bCs w:val="0"/>
                      <w:color w:val="auto"/>
                      <w:sz w:val="21"/>
                      <w:szCs w:val="21"/>
                      <w:vertAlign w:val="baseline"/>
                      <w:lang w:eastAsia="zh-CN"/>
                    </w:rPr>
                    <w:t>）</w:t>
                  </w:r>
                  <w:r>
                    <w:rPr>
                      <w:rFonts w:hint="default" w:ascii="Times New Roman" w:hAnsi="Times New Roman" w:eastAsia="宋体" w:cs="Times New Roman"/>
                      <w:b w:val="0"/>
                      <w:bCs w:val="0"/>
                      <w:color w:val="auto"/>
                      <w:sz w:val="21"/>
                      <w:szCs w:val="21"/>
                      <w:vertAlign w:val="baseline"/>
                    </w:rPr>
                    <w:t>》（川环发〔201</w:t>
                  </w:r>
                  <w:r>
                    <w:rPr>
                      <w:rFonts w:hint="eastAsia" w:cs="Times New Roman"/>
                      <w:b w:val="0"/>
                      <w:bCs w:val="0"/>
                      <w:color w:val="auto"/>
                      <w:sz w:val="21"/>
                      <w:szCs w:val="21"/>
                      <w:vertAlign w:val="baseline"/>
                      <w:lang w:val="en-US" w:eastAsia="zh-CN"/>
                    </w:rPr>
                    <w:t>8</w:t>
                  </w:r>
                  <w:r>
                    <w:rPr>
                      <w:rFonts w:hint="default" w:ascii="Times New Roman" w:hAnsi="Times New Roman" w:eastAsia="宋体" w:cs="Times New Roman"/>
                      <w:b w:val="0"/>
                      <w:bCs w:val="0"/>
                      <w:color w:val="auto"/>
                      <w:sz w:val="21"/>
                      <w:szCs w:val="21"/>
                      <w:vertAlign w:val="baseline"/>
                    </w:rPr>
                    <w:t>〕44号</w:t>
                  </w:r>
                  <w:r>
                    <w:rPr>
                      <w:rFonts w:hint="eastAsia" w:cs="Times New Roman"/>
                      <w:b w:val="0"/>
                      <w:bCs w:val="0"/>
                      <w:color w:val="auto"/>
                      <w:sz w:val="21"/>
                      <w:szCs w:val="21"/>
                      <w:vertAlign w:val="baseline"/>
                      <w:lang w:eastAsia="zh-CN"/>
                    </w:rPr>
                    <w:t>）</w:t>
                  </w:r>
                </w:p>
              </w:tc>
              <w:tc>
                <w:tcPr>
                  <w:tcW w:w="3794" w:type="dxa"/>
                  <w:vAlign w:val="center"/>
                </w:tcPr>
                <w:p w14:paraId="36C263E4">
                  <w:pPr>
                    <w:numPr>
                      <w:ilvl w:val="0"/>
                      <w:numId w:val="0"/>
                    </w:numPr>
                    <w:bidi w:val="0"/>
                    <w:spacing w:line="240" w:lineRule="auto"/>
                    <w:jc w:val="both"/>
                    <w:rPr>
                      <w:rFonts w:hint="default" w:ascii="Times New Roman" w:hAnsi="Times New Roman" w:eastAsia="宋体" w:cs="Times New Roman"/>
                      <w:b w:val="0"/>
                      <w:bCs w:val="0"/>
                      <w:color w:val="auto"/>
                      <w:sz w:val="21"/>
                      <w:szCs w:val="21"/>
                      <w:vertAlign w:val="baseline"/>
                    </w:rPr>
                  </w:pPr>
                  <w:r>
                    <w:rPr>
                      <w:rFonts w:hint="default" w:ascii="Times New Roman" w:hAnsi="Times New Roman" w:eastAsia="宋体" w:cs="Times New Roman"/>
                      <w:b w:val="0"/>
                      <w:bCs w:val="0"/>
                      <w:color w:val="auto"/>
                      <w:sz w:val="21"/>
                      <w:szCs w:val="21"/>
                      <w:vertAlign w:val="baseline"/>
                    </w:rPr>
                    <w:t>新建涉VOCs排放的工业企业要入园区。新、改、扩建涉VOCs排放项目，应从源头加强控制，使用低（无</w:t>
                  </w:r>
                  <w:r>
                    <w:rPr>
                      <w:rFonts w:hint="eastAsia" w:cs="Times New Roman"/>
                      <w:b w:val="0"/>
                      <w:bCs w:val="0"/>
                      <w:color w:val="auto"/>
                      <w:sz w:val="21"/>
                      <w:szCs w:val="21"/>
                      <w:vertAlign w:val="baseline"/>
                      <w:lang w:eastAsia="zh-CN"/>
                    </w:rPr>
                    <w:t>）</w:t>
                  </w:r>
                  <w:r>
                    <w:rPr>
                      <w:rFonts w:hint="default" w:ascii="Times New Roman" w:hAnsi="Times New Roman" w:eastAsia="宋体" w:cs="Times New Roman"/>
                      <w:b w:val="0"/>
                      <w:bCs w:val="0"/>
                      <w:color w:val="auto"/>
                      <w:sz w:val="21"/>
                      <w:szCs w:val="21"/>
                      <w:vertAlign w:val="baseline"/>
                    </w:rPr>
                    <w:t>VOCs含量的原辅材料，加强废气收集，安装高效治理设施。加强废气收集与处理。对有机原辅材料调配和使用等，采取密闭、半密闭等收集措施，提高废气收集效率。</w:t>
                  </w:r>
                </w:p>
              </w:tc>
              <w:tc>
                <w:tcPr>
                  <w:tcW w:w="1773" w:type="dxa"/>
                  <w:vMerge w:val="continue"/>
                  <w:vAlign w:val="center"/>
                </w:tcPr>
                <w:p w14:paraId="1CC5AAA1">
                  <w:pPr>
                    <w:numPr>
                      <w:ilvl w:val="0"/>
                      <w:numId w:val="0"/>
                    </w:numPr>
                    <w:bidi w:val="0"/>
                    <w:spacing w:line="240" w:lineRule="auto"/>
                    <w:jc w:val="both"/>
                    <w:rPr>
                      <w:rFonts w:hint="eastAsia" w:ascii="Times New Roman" w:hAnsi="Times New Roman" w:eastAsia="宋体" w:cs="Times New Roman"/>
                      <w:b w:val="0"/>
                      <w:bCs w:val="0"/>
                      <w:color w:val="0000FF"/>
                      <w:sz w:val="21"/>
                      <w:szCs w:val="21"/>
                      <w:vertAlign w:val="baseline"/>
                      <w:lang w:eastAsia="zh-CN"/>
                    </w:rPr>
                  </w:pPr>
                </w:p>
              </w:tc>
              <w:tc>
                <w:tcPr>
                  <w:tcW w:w="872" w:type="dxa"/>
                  <w:vAlign w:val="center"/>
                </w:tcPr>
                <w:p w14:paraId="7CFA5C5B">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rPr>
                  </w:pPr>
                  <w:r>
                    <w:rPr>
                      <w:rFonts w:hint="default" w:ascii="Times New Roman" w:hAnsi="Times New Roman" w:eastAsia="宋体" w:cs="Times New Roman"/>
                      <w:b w:val="0"/>
                      <w:bCs w:val="0"/>
                      <w:color w:val="auto"/>
                      <w:sz w:val="21"/>
                      <w:szCs w:val="21"/>
                      <w:vertAlign w:val="baseline"/>
                    </w:rPr>
                    <w:t>符合</w:t>
                  </w:r>
                </w:p>
              </w:tc>
            </w:tr>
            <w:tr w14:paraId="2B16CE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79" w:type="dxa"/>
                  <w:vAlign w:val="center"/>
                </w:tcPr>
                <w:p w14:paraId="65BC81B6">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rPr>
                  </w:pPr>
                  <w:r>
                    <w:rPr>
                      <w:rFonts w:hint="default" w:ascii="Times New Roman" w:hAnsi="Times New Roman" w:eastAsia="宋体" w:cs="Times New Roman"/>
                      <w:b w:val="0"/>
                      <w:bCs w:val="0"/>
                      <w:color w:val="auto"/>
                      <w:sz w:val="21"/>
                      <w:szCs w:val="21"/>
                      <w:vertAlign w:val="baseline"/>
                    </w:rPr>
                    <w:t>《四川省人民政府关于印发四川省打赢蓝天保卫战等九个实施方案的通知》（川府发〔2019〕4号</w:t>
                  </w:r>
                  <w:r>
                    <w:rPr>
                      <w:rFonts w:hint="eastAsia" w:cs="Times New Roman"/>
                      <w:b w:val="0"/>
                      <w:bCs w:val="0"/>
                      <w:color w:val="auto"/>
                      <w:sz w:val="21"/>
                      <w:szCs w:val="21"/>
                      <w:vertAlign w:val="baseline"/>
                      <w:lang w:eastAsia="zh-CN"/>
                    </w:rPr>
                    <w:t>）</w:t>
                  </w:r>
                </w:p>
              </w:tc>
              <w:tc>
                <w:tcPr>
                  <w:tcW w:w="3794" w:type="dxa"/>
                  <w:vAlign w:val="center"/>
                </w:tcPr>
                <w:p w14:paraId="30138C2A">
                  <w:pPr>
                    <w:numPr>
                      <w:ilvl w:val="0"/>
                      <w:numId w:val="0"/>
                    </w:numPr>
                    <w:bidi w:val="0"/>
                    <w:spacing w:line="240" w:lineRule="auto"/>
                    <w:jc w:val="both"/>
                    <w:rPr>
                      <w:rFonts w:hint="default" w:ascii="Times New Roman" w:hAnsi="Times New Roman" w:eastAsia="宋体" w:cs="Times New Roman"/>
                      <w:b w:val="0"/>
                      <w:bCs w:val="0"/>
                      <w:color w:val="auto"/>
                      <w:sz w:val="21"/>
                      <w:szCs w:val="21"/>
                      <w:vertAlign w:val="baseline"/>
                    </w:rPr>
                  </w:pPr>
                  <w:r>
                    <w:rPr>
                      <w:rFonts w:hint="default" w:ascii="Times New Roman" w:hAnsi="Times New Roman" w:eastAsia="宋体" w:cs="Times New Roman"/>
                      <w:b w:val="0"/>
                      <w:bCs w:val="0"/>
                      <w:color w:val="auto"/>
                      <w:sz w:val="21"/>
                      <w:szCs w:val="21"/>
                      <w:vertAlign w:val="baseline"/>
                    </w:rPr>
                    <w:t>强化挥发性有机物综合治理。严格涉及VOCs排放的建设项目环境准入，加强源头控制。提高涉及VOCs排放行业环保准入门槛……。扎实推进重点领域VOCs治理。加强VOCs的收集和治理，严格控制生产、储存、装卸等环节的排放。</w:t>
                  </w:r>
                </w:p>
              </w:tc>
              <w:tc>
                <w:tcPr>
                  <w:tcW w:w="1773" w:type="dxa"/>
                  <w:vMerge w:val="continue"/>
                  <w:vAlign w:val="center"/>
                </w:tcPr>
                <w:p w14:paraId="6FC98EE8">
                  <w:pPr>
                    <w:numPr>
                      <w:ilvl w:val="0"/>
                      <w:numId w:val="0"/>
                    </w:numPr>
                    <w:bidi w:val="0"/>
                    <w:spacing w:line="240" w:lineRule="auto"/>
                    <w:jc w:val="both"/>
                    <w:rPr>
                      <w:rFonts w:hint="eastAsia" w:ascii="Times New Roman" w:hAnsi="Times New Roman" w:eastAsia="宋体" w:cs="Times New Roman"/>
                      <w:b w:val="0"/>
                      <w:bCs w:val="0"/>
                      <w:color w:val="auto"/>
                      <w:sz w:val="21"/>
                      <w:szCs w:val="21"/>
                      <w:vertAlign w:val="baseline"/>
                      <w:lang w:eastAsia="zh-CN"/>
                    </w:rPr>
                  </w:pPr>
                </w:p>
              </w:tc>
              <w:tc>
                <w:tcPr>
                  <w:tcW w:w="872" w:type="dxa"/>
                  <w:vAlign w:val="center"/>
                </w:tcPr>
                <w:p w14:paraId="3F13DA53">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rPr>
                  </w:pPr>
                  <w:r>
                    <w:rPr>
                      <w:rFonts w:hint="default" w:ascii="Times New Roman" w:hAnsi="Times New Roman" w:eastAsia="宋体" w:cs="Times New Roman"/>
                      <w:b w:val="0"/>
                      <w:bCs w:val="0"/>
                      <w:color w:val="auto"/>
                      <w:sz w:val="21"/>
                      <w:szCs w:val="21"/>
                      <w:vertAlign w:val="baseline"/>
                    </w:rPr>
                    <w:t>符合</w:t>
                  </w:r>
                </w:p>
              </w:tc>
            </w:tr>
          </w:tbl>
          <w:p w14:paraId="11A9C213">
            <w:pPr>
              <w:numPr>
                <w:ilvl w:val="0"/>
                <w:numId w:val="0"/>
              </w:numPr>
              <w:bidi w:val="0"/>
              <w:spacing w:line="360" w:lineRule="auto"/>
              <w:ind w:firstLine="480" w:firstLineChars="200"/>
              <w:rPr>
                <w:rFonts w:hint="default" w:ascii="Times New Roman" w:hAnsi="Times New Roman" w:eastAsia="宋体" w:cs="Times New Roman"/>
                <w:color w:val="auto"/>
                <w:sz w:val="24"/>
                <w:szCs w:val="24"/>
              </w:rPr>
            </w:pPr>
            <w:r>
              <w:rPr>
                <w:rFonts w:hint="eastAsia" w:cs="Times New Roman"/>
                <w:color w:val="auto"/>
                <w:sz w:val="24"/>
                <w:szCs w:val="24"/>
                <w:lang w:val="en-US" w:eastAsia="zh-CN"/>
              </w:rPr>
              <w:t>综上</w:t>
            </w:r>
            <w:r>
              <w:rPr>
                <w:rFonts w:hint="default" w:ascii="Times New Roman" w:hAnsi="Times New Roman" w:eastAsia="宋体" w:cs="Times New Roman"/>
                <w:color w:val="auto"/>
                <w:sz w:val="24"/>
                <w:szCs w:val="24"/>
              </w:rPr>
              <w:t>，项目</w:t>
            </w:r>
            <w:r>
              <w:rPr>
                <w:rFonts w:hint="default" w:ascii="Times New Roman" w:hAnsi="Times New Roman" w:eastAsia="宋体" w:cs="Times New Roman"/>
                <w:b w:val="0"/>
                <w:bCs w:val="0"/>
                <w:color w:val="auto"/>
                <w:sz w:val="24"/>
                <w:szCs w:val="24"/>
              </w:rPr>
              <w:t>符合《</w:t>
            </w:r>
            <w:r>
              <w:rPr>
                <w:rFonts w:hint="eastAsia" w:ascii="宋体" w:hAnsi="宋体" w:eastAsia="宋体" w:cs="宋体"/>
                <w:b w:val="0"/>
                <w:bCs w:val="0"/>
                <w:color w:val="auto"/>
                <w:sz w:val="24"/>
                <w:szCs w:val="24"/>
                <w:vertAlign w:val="baseline"/>
              </w:rPr>
              <w:t>“十三五”</w:t>
            </w:r>
            <w:r>
              <w:rPr>
                <w:rFonts w:hint="default" w:ascii="Times New Roman" w:hAnsi="Times New Roman" w:eastAsia="宋体" w:cs="Times New Roman"/>
                <w:b w:val="0"/>
                <w:bCs w:val="0"/>
                <w:color w:val="auto"/>
                <w:sz w:val="24"/>
                <w:szCs w:val="24"/>
              </w:rPr>
              <w:t>挥发</w:t>
            </w:r>
            <w:r>
              <w:rPr>
                <w:rFonts w:hint="default" w:ascii="Times New Roman" w:hAnsi="Times New Roman" w:eastAsia="宋体" w:cs="Times New Roman"/>
                <w:color w:val="auto"/>
                <w:sz w:val="24"/>
                <w:szCs w:val="24"/>
              </w:rPr>
              <w:t>性有机物污染防治工作方案》、《四川省挥发性有机物污染防治实施方案</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2018-2020年</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》、《四川省打赢蓝天保卫战实施方案》川府发〔2019〕4号、《挥发性有机物无组织排放控制标准》</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GB37822-2019</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、（川府发〔2019〕4号）关于印发《重点行业挥发性有机物综合治理方案》的通知等相关政策要求。</w:t>
            </w:r>
          </w:p>
          <w:p w14:paraId="2F2ECE9D">
            <w:pPr>
              <w:numPr>
                <w:ilvl w:val="0"/>
                <w:numId w:val="8"/>
              </w:numPr>
              <w:bidi w:val="0"/>
              <w:spacing w:line="360" w:lineRule="auto"/>
              <w:ind w:left="0" w:leftChars="0" w:firstLine="482" w:firstLineChars="200"/>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4"/>
                <w:szCs w:val="24"/>
              </w:rPr>
              <w:t>与水污染防治符合性析</w:t>
            </w:r>
          </w:p>
          <w:p w14:paraId="078D7C04">
            <w:pPr>
              <w:numPr>
                <w:ilvl w:val="0"/>
                <w:numId w:val="0"/>
              </w:numPr>
              <w:bidi w:val="0"/>
              <w:spacing w:line="360" w:lineRule="auto"/>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项目与《关于印发四川省打赢蓝天保卫战等九个实施方案的通知》</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川府发〔2019〕4号</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国发〔2015〕17号</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《国务院关于印发水污染防治行动计划的通知》的符合性分析如下。</w:t>
            </w:r>
          </w:p>
          <w:p w14:paraId="536AD7E4">
            <w:pPr>
              <w:numPr>
                <w:ilvl w:val="0"/>
                <w:numId w:val="0"/>
              </w:numPr>
              <w:bidi w:val="0"/>
              <w:spacing w:line="360" w:lineRule="auto"/>
              <w:jc w:val="center"/>
              <w:rPr>
                <w:rFonts w:hint="default" w:ascii="Times New Roman" w:hAnsi="Times New Roman" w:eastAsia="宋体" w:cs="Times New Roman"/>
                <w:b/>
                <w:bCs/>
                <w:color w:val="auto"/>
                <w:sz w:val="21"/>
                <w:szCs w:val="21"/>
                <w:vertAlign w:val="baseline"/>
              </w:rPr>
            </w:pPr>
            <w:r>
              <w:rPr>
                <w:rFonts w:hint="default" w:ascii="Times New Roman" w:hAnsi="Times New Roman" w:eastAsia="宋体" w:cs="Times New Roman"/>
                <w:b/>
                <w:bCs/>
                <w:color w:val="auto"/>
                <w:sz w:val="21"/>
                <w:szCs w:val="21"/>
              </w:rPr>
              <w:t>表1-</w:t>
            </w:r>
            <w:r>
              <w:rPr>
                <w:rFonts w:hint="eastAsia" w:cs="Times New Roman"/>
                <w:b/>
                <w:bCs/>
                <w:color w:val="auto"/>
                <w:sz w:val="21"/>
                <w:szCs w:val="21"/>
                <w:lang w:val="en-US" w:eastAsia="zh-CN"/>
              </w:rPr>
              <w:t xml:space="preserve">8 </w:t>
            </w:r>
            <w:r>
              <w:rPr>
                <w:rFonts w:hint="default" w:ascii="Times New Roman" w:hAnsi="Times New Roman" w:eastAsia="宋体" w:cs="Times New Roman"/>
                <w:b/>
                <w:bCs/>
                <w:color w:val="auto"/>
                <w:sz w:val="21"/>
                <w:szCs w:val="21"/>
              </w:rPr>
              <w:t>项目与水污染防治符合性分析</w:t>
            </w:r>
          </w:p>
          <w:tbl>
            <w:tblPr>
              <w:tblStyle w:val="28"/>
              <w:tblW w:w="791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979"/>
              <w:gridCol w:w="3521"/>
              <w:gridCol w:w="1553"/>
              <w:gridCol w:w="865"/>
            </w:tblGrid>
            <w:tr w14:paraId="4BCA42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79" w:type="dxa"/>
                  <w:vAlign w:val="center"/>
                </w:tcPr>
                <w:p w14:paraId="4FE9EBCA">
                  <w:pPr>
                    <w:numPr>
                      <w:ilvl w:val="0"/>
                      <w:numId w:val="0"/>
                    </w:numPr>
                    <w:bidi w:val="0"/>
                    <w:spacing w:line="240" w:lineRule="auto"/>
                    <w:jc w:val="center"/>
                    <w:rPr>
                      <w:rFonts w:hint="default" w:ascii="Times New Roman" w:hAnsi="Times New Roman" w:eastAsia="宋体" w:cs="Times New Roman"/>
                      <w:b/>
                      <w:bCs/>
                      <w:color w:val="auto"/>
                      <w:sz w:val="21"/>
                      <w:szCs w:val="21"/>
                      <w:vertAlign w:val="baseline"/>
                    </w:rPr>
                  </w:pPr>
                  <w:r>
                    <w:rPr>
                      <w:rFonts w:hint="default" w:ascii="Times New Roman" w:hAnsi="Times New Roman" w:eastAsia="宋体" w:cs="Times New Roman"/>
                      <w:b/>
                      <w:bCs/>
                      <w:color w:val="auto"/>
                      <w:sz w:val="21"/>
                      <w:szCs w:val="21"/>
                      <w:vertAlign w:val="baseline"/>
                    </w:rPr>
                    <w:t>污染防治文件</w:t>
                  </w:r>
                </w:p>
              </w:tc>
              <w:tc>
                <w:tcPr>
                  <w:tcW w:w="3521" w:type="dxa"/>
                  <w:vAlign w:val="center"/>
                </w:tcPr>
                <w:p w14:paraId="24D6103F">
                  <w:pPr>
                    <w:numPr>
                      <w:ilvl w:val="0"/>
                      <w:numId w:val="0"/>
                    </w:numPr>
                    <w:bidi w:val="0"/>
                    <w:spacing w:line="240" w:lineRule="auto"/>
                    <w:jc w:val="center"/>
                    <w:rPr>
                      <w:rFonts w:hint="default" w:ascii="Times New Roman" w:hAnsi="Times New Roman" w:eastAsia="宋体" w:cs="Times New Roman"/>
                      <w:b/>
                      <w:bCs/>
                      <w:color w:val="auto"/>
                      <w:sz w:val="21"/>
                      <w:szCs w:val="21"/>
                      <w:vertAlign w:val="baseline"/>
                    </w:rPr>
                  </w:pPr>
                  <w:r>
                    <w:rPr>
                      <w:rFonts w:hint="default" w:ascii="Times New Roman" w:hAnsi="Times New Roman" w:eastAsia="宋体" w:cs="Times New Roman"/>
                      <w:b/>
                      <w:bCs/>
                      <w:color w:val="auto"/>
                      <w:sz w:val="21"/>
                      <w:szCs w:val="21"/>
                      <w:vertAlign w:val="baseline"/>
                    </w:rPr>
                    <w:t>政策要求</w:t>
                  </w:r>
                </w:p>
              </w:tc>
              <w:tc>
                <w:tcPr>
                  <w:tcW w:w="1553" w:type="dxa"/>
                  <w:vAlign w:val="center"/>
                </w:tcPr>
                <w:p w14:paraId="259EF476">
                  <w:pPr>
                    <w:numPr>
                      <w:ilvl w:val="0"/>
                      <w:numId w:val="0"/>
                    </w:numPr>
                    <w:bidi w:val="0"/>
                    <w:spacing w:line="240" w:lineRule="auto"/>
                    <w:jc w:val="center"/>
                    <w:rPr>
                      <w:rFonts w:hint="default" w:ascii="Times New Roman" w:hAnsi="Times New Roman" w:eastAsia="宋体" w:cs="Times New Roman"/>
                      <w:b/>
                      <w:bCs/>
                      <w:color w:val="auto"/>
                      <w:sz w:val="21"/>
                      <w:szCs w:val="21"/>
                      <w:vertAlign w:val="baseline"/>
                    </w:rPr>
                  </w:pPr>
                  <w:r>
                    <w:rPr>
                      <w:rFonts w:hint="default" w:ascii="Times New Roman" w:hAnsi="Times New Roman" w:eastAsia="宋体" w:cs="Times New Roman"/>
                      <w:b/>
                      <w:bCs/>
                      <w:color w:val="auto"/>
                      <w:sz w:val="21"/>
                      <w:szCs w:val="21"/>
                      <w:vertAlign w:val="baseline"/>
                    </w:rPr>
                    <w:t>本项目情况</w:t>
                  </w:r>
                </w:p>
              </w:tc>
              <w:tc>
                <w:tcPr>
                  <w:tcW w:w="865" w:type="dxa"/>
                  <w:vAlign w:val="center"/>
                </w:tcPr>
                <w:p w14:paraId="603A1083">
                  <w:pPr>
                    <w:numPr>
                      <w:ilvl w:val="0"/>
                      <w:numId w:val="0"/>
                    </w:numPr>
                    <w:bidi w:val="0"/>
                    <w:spacing w:line="240" w:lineRule="auto"/>
                    <w:jc w:val="center"/>
                    <w:rPr>
                      <w:rFonts w:hint="default" w:ascii="Times New Roman" w:hAnsi="Times New Roman" w:eastAsia="宋体" w:cs="Times New Roman"/>
                      <w:b/>
                      <w:bCs/>
                      <w:color w:val="auto"/>
                      <w:sz w:val="21"/>
                      <w:szCs w:val="21"/>
                      <w:vertAlign w:val="baseline"/>
                    </w:rPr>
                  </w:pPr>
                  <w:r>
                    <w:rPr>
                      <w:rFonts w:hint="default" w:ascii="Times New Roman" w:hAnsi="Times New Roman" w:eastAsia="宋体" w:cs="Times New Roman"/>
                      <w:b/>
                      <w:bCs/>
                      <w:color w:val="auto"/>
                      <w:sz w:val="21"/>
                      <w:szCs w:val="21"/>
                      <w:vertAlign w:val="baseline"/>
                    </w:rPr>
                    <w:t>符合性</w:t>
                  </w:r>
                </w:p>
              </w:tc>
            </w:tr>
            <w:tr w14:paraId="62F6D6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79" w:type="dxa"/>
                  <w:vMerge w:val="restart"/>
                  <w:vAlign w:val="center"/>
                </w:tcPr>
                <w:p w14:paraId="53B62225">
                  <w:pPr>
                    <w:numPr>
                      <w:ilvl w:val="0"/>
                      <w:numId w:val="0"/>
                    </w:numPr>
                    <w:bidi w:val="0"/>
                    <w:spacing w:line="240" w:lineRule="auto"/>
                    <w:jc w:val="center"/>
                    <w:rPr>
                      <w:rFonts w:hint="default" w:ascii="Times New Roman" w:hAnsi="Times New Roman" w:eastAsia="宋体" w:cs="Times New Roman"/>
                      <w:color w:val="auto"/>
                      <w:sz w:val="21"/>
                      <w:szCs w:val="21"/>
                      <w:vertAlign w:val="baseline"/>
                    </w:rPr>
                  </w:pPr>
                  <w:r>
                    <w:rPr>
                      <w:rFonts w:hint="default" w:ascii="Times New Roman" w:hAnsi="Times New Roman" w:eastAsia="宋体" w:cs="Times New Roman"/>
                      <w:color w:val="auto"/>
                      <w:sz w:val="21"/>
                      <w:szCs w:val="21"/>
                      <w:vertAlign w:val="baseline"/>
                    </w:rPr>
                    <w:t>国务院关于印发水污染防治行动计划的通知</w:t>
                  </w:r>
                  <w:r>
                    <w:rPr>
                      <w:rFonts w:hint="eastAsia" w:ascii="宋体" w:hAnsi="宋体" w:eastAsia="宋体" w:cs="宋体"/>
                      <w:color w:val="auto"/>
                      <w:sz w:val="21"/>
                      <w:szCs w:val="21"/>
                      <w:vertAlign w:val="baseline"/>
                    </w:rPr>
                    <w:t>“国</w:t>
                  </w:r>
                  <w:r>
                    <w:rPr>
                      <w:rFonts w:hint="default" w:ascii="Times New Roman" w:hAnsi="Times New Roman" w:eastAsia="宋体" w:cs="Times New Roman"/>
                      <w:color w:val="auto"/>
                      <w:sz w:val="21"/>
                      <w:szCs w:val="21"/>
                      <w:vertAlign w:val="baseline"/>
                    </w:rPr>
                    <w:t>发〔2015〕17</w:t>
                  </w:r>
                  <w:r>
                    <w:rPr>
                      <w:rFonts w:hint="eastAsia" w:ascii="宋体" w:hAnsi="宋体" w:eastAsia="宋体" w:cs="宋体"/>
                      <w:color w:val="auto"/>
                      <w:sz w:val="21"/>
                      <w:szCs w:val="21"/>
                      <w:vertAlign w:val="baseline"/>
                    </w:rPr>
                    <w:t>号”</w:t>
                  </w:r>
                </w:p>
              </w:tc>
              <w:tc>
                <w:tcPr>
                  <w:tcW w:w="3521" w:type="dxa"/>
                  <w:vAlign w:val="center"/>
                </w:tcPr>
                <w:p w14:paraId="394E7C54">
                  <w:pPr>
                    <w:numPr>
                      <w:ilvl w:val="0"/>
                      <w:numId w:val="0"/>
                    </w:numPr>
                    <w:bidi w:val="0"/>
                    <w:spacing w:line="240" w:lineRule="auto"/>
                    <w:jc w:val="both"/>
                    <w:rPr>
                      <w:rFonts w:hint="default" w:ascii="Times New Roman" w:hAnsi="Times New Roman" w:eastAsia="宋体" w:cs="Times New Roman"/>
                      <w:color w:val="auto"/>
                      <w:sz w:val="21"/>
                      <w:szCs w:val="21"/>
                      <w:vertAlign w:val="baseline"/>
                    </w:rPr>
                  </w:pPr>
                  <w:r>
                    <w:rPr>
                      <w:rFonts w:hint="default" w:ascii="Times New Roman" w:hAnsi="Times New Roman" w:eastAsia="宋体" w:cs="Times New Roman"/>
                      <w:color w:val="auto"/>
                      <w:sz w:val="21"/>
                      <w:szCs w:val="21"/>
                      <w:vertAlign w:val="baseline"/>
                    </w:rPr>
                    <w:t>（一</w:t>
                  </w:r>
                  <w:r>
                    <w:rPr>
                      <w:rFonts w:hint="eastAsia" w:cs="Times New Roman"/>
                      <w:color w:val="auto"/>
                      <w:sz w:val="21"/>
                      <w:szCs w:val="21"/>
                      <w:vertAlign w:val="baseline"/>
                      <w:lang w:eastAsia="zh-CN"/>
                    </w:rPr>
                    <w:t>）</w:t>
                  </w:r>
                  <w:r>
                    <w:rPr>
                      <w:rFonts w:hint="default" w:ascii="Times New Roman" w:hAnsi="Times New Roman" w:eastAsia="宋体" w:cs="Times New Roman"/>
                      <w:color w:val="auto"/>
                      <w:sz w:val="21"/>
                      <w:szCs w:val="21"/>
                      <w:vertAlign w:val="baseline"/>
                    </w:rPr>
                    <w:t>狠抓工业污染防治。取</w:t>
                  </w:r>
                  <w:r>
                    <w:rPr>
                      <w:rFonts w:hint="eastAsia" w:ascii="宋体" w:hAnsi="宋体" w:eastAsia="宋体" w:cs="宋体"/>
                      <w:color w:val="auto"/>
                      <w:sz w:val="21"/>
                      <w:szCs w:val="21"/>
                      <w:vertAlign w:val="baseline"/>
                    </w:rPr>
                    <w:t>缔“十小”企</w:t>
                  </w:r>
                  <w:r>
                    <w:rPr>
                      <w:rFonts w:hint="default" w:ascii="Times New Roman" w:hAnsi="Times New Roman" w:eastAsia="宋体" w:cs="Times New Roman"/>
                      <w:color w:val="auto"/>
                      <w:sz w:val="21"/>
                      <w:szCs w:val="21"/>
                      <w:vertAlign w:val="baseline"/>
                    </w:rPr>
                    <w:t>业。全面排查装备水平低、环保设施差的小型工业企业。2016年底前，按照水污染防治法律法规要求，全部取缔不符合国家产业政策的小型造纸、制革、印染、染料、炼焦、炼硫、炼砷、炼油、电镀、农药等严重污染水环境的生产项目。</w:t>
                  </w:r>
                </w:p>
              </w:tc>
              <w:tc>
                <w:tcPr>
                  <w:tcW w:w="1553" w:type="dxa"/>
                  <w:vAlign w:val="center"/>
                </w:tcPr>
                <w:p w14:paraId="4ABAF327">
                  <w:pPr>
                    <w:numPr>
                      <w:ilvl w:val="0"/>
                      <w:numId w:val="0"/>
                    </w:numPr>
                    <w:bidi w:val="0"/>
                    <w:spacing w:line="240" w:lineRule="auto"/>
                    <w:jc w:val="both"/>
                    <w:rPr>
                      <w:rFonts w:hint="eastAsia" w:ascii="Times New Roman" w:hAnsi="Times New Roman" w:eastAsia="宋体" w:cs="Times New Roman"/>
                      <w:color w:val="auto"/>
                      <w:sz w:val="21"/>
                      <w:szCs w:val="21"/>
                      <w:vertAlign w:val="baseline"/>
                      <w:lang w:eastAsia="zh-CN"/>
                    </w:rPr>
                  </w:pPr>
                  <w:r>
                    <w:rPr>
                      <w:rFonts w:hint="eastAsia" w:cs="Times New Roman"/>
                      <w:color w:val="auto"/>
                      <w:sz w:val="21"/>
                      <w:szCs w:val="21"/>
                      <w:vertAlign w:val="baseline"/>
                      <w:lang w:val="en-US" w:eastAsia="zh-CN"/>
                    </w:rPr>
                    <w:t>本</w:t>
                  </w:r>
                  <w:r>
                    <w:rPr>
                      <w:rFonts w:hint="default" w:ascii="Times New Roman" w:hAnsi="Times New Roman" w:eastAsia="宋体" w:cs="Times New Roman"/>
                      <w:color w:val="auto"/>
                      <w:sz w:val="21"/>
                      <w:szCs w:val="21"/>
                      <w:vertAlign w:val="baseline"/>
                    </w:rPr>
                    <w:t>项目</w:t>
                  </w:r>
                  <w:r>
                    <w:rPr>
                      <w:rFonts w:hint="eastAsia" w:cs="Times New Roman"/>
                      <w:color w:val="auto"/>
                      <w:sz w:val="21"/>
                      <w:szCs w:val="21"/>
                      <w:vertAlign w:val="baseline"/>
                      <w:lang w:val="en-US" w:eastAsia="zh-CN"/>
                    </w:rPr>
                    <w:t>均</w:t>
                  </w:r>
                  <w:r>
                    <w:rPr>
                      <w:rFonts w:hint="default" w:ascii="Times New Roman" w:hAnsi="Times New Roman" w:eastAsia="宋体" w:cs="Times New Roman"/>
                      <w:color w:val="auto"/>
                      <w:sz w:val="21"/>
                      <w:szCs w:val="21"/>
                      <w:vertAlign w:val="baseline"/>
                    </w:rPr>
                    <w:t>不</w:t>
                  </w:r>
                  <w:r>
                    <w:rPr>
                      <w:rFonts w:hint="eastAsia" w:ascii="宋体" w:hAnsi="宋体" w:eastAsia="宋体" w:cs="宋体"/>
                      <w:color w:val="auto"/>
                      <w:sz w:val="21"/>
                      <w:szCs w:val="21"/>
                      <w:vertAlign w:val="baseline"/>
                    </w:rPr>
                    <w:t>属于“十小”</w:t>
                  </w:r>
                  <w:r>
                    <w:rPr>
                      <w:rFonts w:hint="default" w:ascii="Times New Roman" w:hAnsi="Times New Roman" w:eastAsia="宋体" w:cs="Times New Roman"/>
                      <w:color w:val="auto"/>
                      <w:sz w:val="21"/>
                      <w:szCs w:val="21"/>
                      <w:vertAlign w:val="baseline"/>
                    </w:rPr>
                    <w:t>企业，不属于取缔项目</w:t>
                  </w:r>
                  <w:r>
                    <w:rPr>
                      <w:rFonts w:hint="eastAsia" w:cs="Times New Roman"/>
                      <w:color w:val="auto"/>
                      <w:sz w:val="21"/>
                      <w:szCs w:val="21"/>
                      <w:vertAlign w:val="baseline"/>
                      <w:lang w:eastAsia="zh-CN"/>
                    </w:rPr>
                    <w:t>。</w:t>
                  </w:r>
                </w:p>
              </w:tc>
              <w:tc>
                <w:tcPr>
                  <w:tcW w:w="865" w:type="dxa"/>
                  <w:vAlign w:val="center"/>
                </w:tcPr>
                <w:p w14:paraId="661327E2">
                  <w:pPr>
                    <w:numPr>
                      <w:ilvl w:val="0"/>
                      <w:numId w:val="0"/>
                    </w:numPr>
                    <w:bidi w:val="0"/>
                    <w:spacing w:line="240" w:lineRule="auto"/>
                    <w:jc w:val="center"/>
                    <w:rPr>
                      <w:rFonts w:hint="default" w:ascii="Times New Roman" w:hAnsi="Times New Roman" w:eastAsia="宋体" w:cs="Times New Roman"/>
                      <w:color w:val="auto"/>
                      <w:sz w:val="21"/>
                      <w:szCs w:val="21"/>
                      <w:vertAlign w:val="baseline"/>
                    </w:rPr>
                  </w:pPr>
                  <w:r>
                    <w:rPr>
                      <w:rFonts w:hint="default" w:ascii="Times New Roman" w:hAnsi="Times New Roman" w:eastAsia="宋体" w:cs="Times New Roman"/>
                      <w:b w:val="0"/>
                      <w:bCs w:val="0"/>
                      <w:color w:val="auto"/>
                      <w:sz w:val="21"/>
                      <w:szCs w:val="21"/>
                      <w:vertAlign w:val="baseline"/>
                    </w:rPr>
                    <w:t>符合</w:t>
                  </w:r>
                </w:p>
              </w:tc>
            </w:tr>
            <w:tr w14:paraId="719F8D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79" w:type="dxa"/>
                  <w:vMerge w:val="continue"/>
                  <w:vAlign w:val="center"/>
                </w:tcPr>
                <w:p w14:paraId="5F501058">
                  <w:pPr>
                    <w:numPr>
                      <w:ilvl w:val="0"/>
                      <w:numId w:val="0"/>
                    </w:numPr>
                    <w:bidi w:val="0"/>
                    <w:spacing w:line="240" w:lineRule="auto"/>
                    <w:jc w:val="center"/>
                    <w:rPr>
                      <w:rFonts w:hint="default" w:ascii="Times New Roman" w:hAnsi="Times New Roman" w:eastAsia="宋体" w:cs="Times New Roman"/>
                      <w:color w:val="auto"/>
                      <w:sz w:val="21"/>
                      <w:szCs w:val="21"/>
                      <w:vertAlign w:val="baseline"/>
                    </w:rPr>
                  </w:pPr>
                </w:p>
              </w:tc>
              <w:tc>
                <w:tcPr>
                  <w:tcW w:w="3521" w:type="dxa"/>
                  <w:vAlign w:val="center"/>
                </w:tcPr>
                <w:p w14:paraId="2D8C96BC">
                  <w:pPr>
                    <w:numPr>
                      <w:ilvl w:val="0"/>
                      <w:numId w:val="0"/>
                    </w:numPr>
                    <w:bidi w:val="0"/>
                    <w:spacing w:line="240" w:lineRule="auto"/>
                    <w:jc w:val="both"/>
                    <w:rPr>
                      <w:rFonts w:hint="default" w:ascii="Times New Roman" w:hAnsi="Times New Roman" w:eastAsia="宋体" w:cs="Times New Roman"/>
                      <w:color w:val="auto"/>
                      <w:sz w:val="21"/>
                      <w:szCs w:val="21"/>
                      <w:vertAlign w:val="baseline"/>
                    </w:rPr>
                  </w:pPr>
                  <w:r>
                    <w:rPr>
                      <w:rFonts w:hint="default" w:ascii="Times New Roman" w:hAnsi="Times New Roman" w:eastAsia="宋体" w:cs="Times New Roman"/>
                      <w:color w:val="auto"/>
                      <w:sz w:val="21"/>
                      <w:szCs w:val="21"/>
                      <w:vertAlign w:val="baseline"/>
                    </w:rPr>
                    <w:t>（五</w:t>
                  </w:r>
                  <w:r>
                    <w:rPr>
                      <w:rFonts w:hint="eastAsia" w:cs="Times New Roman"/>
                      <w:color w:val="auto"/>
                      <w:sz w:val="21"/>
                      <w:szCs w:val="21"/>
                      <w:vertAlign w:val="baseline"/>
                      <w:lang w:eastAsia="zh-CN"/>
                    </w:rPr>
                    <w:t>）</w:t>
                  </w:r>
                  <w:r>
                    <w:rPr>
                      <w:rFonts w:hint="default" w:ascii="Times New Roman" w:hAnsi="Times New Roman" w:eastAsia="宋体" w:cs="Times New Roman"/>
                      <w:color w:val="auto"/>
                      <w:sz w:val="21"/>
                      <w:szCs w:val="21"/>
                      <w:vertAlign w:val="baseline"/>
                    </w:rPr>
                    <w:t>调整产业结构：依法淘汰落后产能。严格环境准入。</w:t>
                  </w:r>
                </w:p>
              </w:tc>
              <w:tc>
                <w:tcPr>
                  <w:tcW w:w="1553" w:type="dxa"/>
                  <w:vMerge w:val="restart"/>
                  <w:vAlign w:val="center"/>
                </w:tcPr>
                <w:p w14:paraId="2A4D3558">
                  <w:pPr>
                    <w:numPr>
                      <w:ilvl w:val="0"/>
                      <w:numId w:val="0"/>
                    </w:numPr>
                    <w:bidi w:val="0"/>
                    <w:spacing w:line="240" w:lineRule="auto"/>
                    <w:jc w:val="both"/>
                    <w:rPr>
                      <w:rFonts w:hint="eastAsia" w:ascii="Times New Roman" w:hAnsi="Times New Roman" w:eastAsia="宋体" w:cs="Times New Roman"/>
                      <w:color w:val="auto"/>
                      <w:sz w:val="21"/>
                      <w:szCs w:val="21"/>
                      <w:vertAlign w:val="baseline"/>
                      <w:lang w:eastAsia="zh-CN"/>
                    </w:rPr>
                  </w:pPr>
                  <w:r>
                    <w:rPr>
                      <w:rFonts w:hint="eastAsia" w:cs="Times New Roman"/>
                      <w:color w:val="auto"/>
                      <w:sz w:val="21"/>
                      <w:szCs w:val="21"/>
                      <w:vertAlign w:val="baseline"/>
                      <w:lang w:val="en-US" w:eastAsia="zh-CN"/>
                    </w:rPr>
                    <w:t>项目属于</w:t>
                  </w:r>
                  <w:r>
                    <w:rPr>
                      <w:rFonts w:hint="default" w:ascii="Times New Roman" w:hAnsi="Times New Roman" w:eastAsia="宋体" w:cs="Times New Roman"/>
                      <w:color w:val="auto"/>
                      <w:sz w:val="21"/>
                      <w:szCs w:val="21"/>
                      <w:vertAlign w:val="baseline"/>
                    </w:rPr>
                    <w:t>危险品存储</w:t>
                  </w:r>
                  <w:r>
                    <w:rPr>
                      <w:rFonts w:hint="eastAsia" w:cs="Times New Roman"/>
                      <w:color w:val="auto"/>
                      <w:sz w:val="21"/>
                      <w:szCs w:val="21"/>
                      <w:vertAlign w:val="baseline"/>
                      <w:lang w:eastAsia="zh-CN"/>
                    </w:rPr>
                    <w:t>，</w:t>
                  </w:r>
                  <w:r>
                    <w:rPr>
                      <w:rFonts w:hint="default" w:ascii="Times New Roman" w:hAnsi="Times New Roman" w:eastAsia="宋体" w:cs="Times New Roman"/>
                      <w:color w:val="auto"/>
                      <w:sz w:val="21"/>
                      <w:szCs w:val="21"/>
                      <w:vertAlign w:val="baseline"/>
                    </w:rPr>
                    <w:t>符合环境准入规定符合</w:t>
                  </w:r>
                  <w:r>
                    <w:rPr>
                      <w:rFonts w:hint="eastAsia" w:cs="Times New Roman"/>
                      <w:color w:val="auto"/>
                      <w:sz w:val="21"/>
                      <w:szCs w:val="21"/>
                      <w:vertAlign w:val="baseline"/>
                      <w:lang w:eastAsia="zh-CN"/>
                    </w:rPr>
                    <w:t>。</w:t>
                  </w:r>
                </w:p>
              </w:tc>
              <w:tc>
                <w:tcPr>
                  <w:tcW w:w="865" w:type="dxa"/>
                  <w:vAlign w:val="center"/>
                </w:tcPr>
                <w:p w14:paraId="5133D3B0">
                  <w:pPr>
                    <w:numPr>
                      <w:ilvl w:val="0"/>
                      <w:numId w:val="0"/>
                    </w:numPr>
                    <w:bidi w:val="0"/>
                    <w:spacing w:line="240" w:lineRule="auto"/>
                    <w:jc w:val="center"/>
                    <w:rPr>
                      <w:rFonts w:hint="default" w:ascii="Times New Roman" w:hAnsi="Times New Roman" w:eastAsia="宋体" w:cs="Times New Roman"/>
                      <w:color w:val="auto"/>
                      <w:sz w:val="21"/>
                      <w:szCs w:val="21"/>
                      <w:vertAlign w:val="baseline"/>
                    </w:rPr>
                  </w:pPr>
                  <w:r>
                    <w:rPr>
                      <w:rFonts w:hint="default" w:ascii="Times New Roman" w:hAnsi="Times New Roman" w:eastAsia="宋体" w:cs="Times New Roman"/>
                      <w:b w:val="0"/>
                      <w:bCs w:val="0"/>
                      <w:color w:val="auto"/>
                      <w:sz w:val="21"/>
                      <w:szCs w:val="21"/>
                      <w:vertAlign w:val="baseline"/>
                    </w:rPr>
                    <w:t>符合</w:t>
                  </w:r>
                </w:p>
              </w:tc>
            </w:tr>
            <w:tr w14:paraId="4442AC8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79" w:type="dxa"/>
                  <w:vMerge w:val="continue"/>
                  <w:vAlign w:val="center"/>
                </w:tcPr>
                <w:p w14:paraId="5F9A707E">
                  <w:pPr>
                    <w:numPr>
                      <w:ilvl w:val="0"/>
                      <w:numId w:val="0"/>
                    </w:numPr>
                    <w:bidi w:val="0"/>
                    <w:spacing w:line="240" w:lineRule="auto"/>
                    <w:jc w:val="center"/>
                    <w:rPr>
                      <w:rFonts w:hint="default" w:ascii="Times New Roman" w:hAnsi="Times New Roman" w:eastAsia="宋体" w:cs="Times New Roman"/>
                      <w:color w:val="auto"/>
                      <w:sz w:val="21"/>
                      <w:szCs w:val="21"/>
                      <w:vertAlign w:val="baseline"/>
                    </w:rPr>
                  </w:pPr>
                </w:p>
              </w:tc>
              <w:tc>
                <w:tcPr>
                  <w:tcW w:w="3521" w:type="dxa"/>
                  <w:vAlign w:val="center"/>
                </w:tcPr>
                <w:p w14:paraId="53EE5271">
                  <w:pPr>
                    <w:numPr>
                      <w:ilvl w:val="0"/>
                      <w:numId w:val="0"/>
                    </w:numPr>
                    <w:bidi w:val="0"/>
                    <w:spacing w:line="240" w:lineRule="auto"/>
                    <w:jc w:val="both"/>
                    <w:rPr>
                      <w:rFonts w:hint="default" w:ascii="Times New Roman" w:hAnsi="Times New Roman" w:eastAsia="宋体" w:cs="Times New Roman"/>
                      <w:color w:val="auto"/>
                      <w:sz w:val="21"/>
                      <w:szCs w:val="21"/>
                      <w:vertAlign w:val="baseline"/>
                    </w:rPr>
                  </w:pPr>
                  <w:r>
                    <w:rPr>
                      <w:rFonts w:hint="default" w:ascii="Times New Roman" w:hAnsi="Times New Roman" w:eastAsia="宋体" w:cs="Times New Roman"/>
                      <w:color w:val="auto"/>
                      <w:sz w:val="21"/>
                      <w:szCs w:val="21"/>
                      <w:vertAlign w:val="baseline"/>
                    </w:rPr>
                    <w:t>（六</w:t>
                  </w:r>
                  <w:r>
                    <w:rPr>
                      <w:rFonts w:hint="eastAsia" w:cs="Times New Roman"/>
                      <w:color w:val="auto"/>
                      <w:sz w:val="21"/>
                      <w:szCs w:val="21"/>
                      <w:vertAlign w:val="baseline"/>
                      <w:lang w:eastAsia="zh-CN"/>
                    </w:rPr>
                    <w:t>）</w:t>
                  </w:r>
                  <w:r>
                    <w:rPr>
                      <w:rFonts w:hint="default" w:ascii="Times New Roman" w:hAnsi="Times New Roman" w:eastAsia="宋体" w:cs="Times New Roman"/>
                      <w:color w:val="auto"/>
                      <w:sz w:val="21"/>
                      <w:szCs w:val="21"/>
                      <w:vertAlign w:val="baseline"/>
                    </w:rPr>
                    <w:t>优化空间布局。合理确定发展布局、结构和规模。充分考虑水资源、水环境承载能力，以水定城、以水定地、以水定人、以水定产。重大项目原则上布局在优化开发区和重点开发区，并符合城乡规划和土地利用总体规划。…，严格控制缺水地区、水污染严重地区和敏感区域高耗水、高污染行业发展，新建、改建、扩建重点行业建设项目实行主要污染物排放减量置换。七大重点流域干流沿岸，要严格控制石油加工、化学原料和化学制品制造、医药制造、化学纤维制造、有色金属冶炼、纺织印染等项目环境风险，合理布局生产装置及危险化学品仓储等设施。</w:t>
                  </w:r>
                </w:p>
              </w:tc>
              <w:tc>
                <w:tcPr>
                  <w:tcW w:w="1553" w:type="dxa"/>
                  <w:vMerge w:val="continue"/>
                  <w:vAlign w:val="center"/>
                </w:tcPr>
                <w:p w14:paraId="51745DA2">
                  <w:pPr>
                    <w:numPr>
                      <w:ilvl w:val="0"/>
                      <w:numId w:val="0"/>
                    </w:numPr>
                    <w:bidi w:val="0"/>
                    <w:spacing w:line="240" w:lineRule="auto"/>
                    <w:jc w:val="both"/>
                    <w:rPr>
                      <w:rFonts w:hint="eastAsia" w:ascii="Times New Roman" w:hAnsi="Times New Roman" w:eastAsia="宋体" w:cs="Times New Roman"/>
                      <w:color w:val="auto"/>
                      <w:sz w:val="21"/>
                      <w:szCs w:val="21"/>
                      <w:vertAlign w:val="baseline"/>
                      <w:lang w:eastAsia="zh-CN"/>
                    </w:rPr>
                  </w:pPr>
                </w:p>
              </w:tc>
              <w:tc>
                <w:tcPr>
                  <w:tcW w:w="865" w:type="dxa"/>
                  <w:vAlign w:val="center"/>
                </w:tcPr>
                <w:p w14:paraId="7C79FC6E">
                  <w:pPr>
                    <w:numPr>
                      <w:ilvl w:val="0"/>
                      <w:numId w:val="0"/>
                    </w:numPr>
                    <w:bidi w:val="0"/>
                    <w:spacing w:line="240" w:lineRule="auto"/>
                    <w:jc w:val="center"/>
                    <w:rPr>
                      <w:rFonts w:hint="default" w:ascii="Times New Roman" w:hAnsi="Times New Roman" w:eastAsia="宋体" w:cs="Times New Roman"/>
                      <w:color w:val="auto"/>
                      <w:sz w:val="21"/>
                      <w:szCs w:val="21"/>
                      <w:vertAlign w:val="baseline"/>
                    </w:rPr>
                  </w:pPr>
                  <w:r>
                    <w:rPr>
                      <w:rFonts w:hint="default" w:ascii="Times New Roman" w:hAnsi="Times New Roman" w:eastAsia="宋体" w:cs="Times New Roman"/>
                      <w:b w:val="0"/>
                      <w:bCs w:val="0"/>
                      <w:color w:val="auto"/>
                      <w:sz w:val="21"/>
                      <w:szCs w:val="21"/>
                      <w:vertAlign w:val="baseline"/>
                    </w:rPr>
                    <w:t>符合</w:t>
                  </w:r>
                </w:p>
              </w:tc>
            </w:tr>
            <w:tr w14:paraId="54D9DE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79" w:type="dxa"/>
                  <w:vAlign w:val="center"/>
                </w:tcPr>
                <w:p w14:paraId="77B485DE">
                  <w:pPr>
                    <w:numPr>
                      <w:ilvl w:val="0"/>
                      <w:numId w:val="0"/>
                    </w:numPr>
                    <w:bidi w:val="0"/>
                    <w:spacing w:line="240" w:lineRule="auto"/>
                    <w:jc w:val="center"/>
                    <w:rPr>
                      <w:rFonts w:hint="default" w:ascii="Times New Roman" w:hAnsi="Times New Roman" w:eastAsia="宋体" w:cs="Times New Roman"/>
                      <w:color w:val="auto"/>
                      <w:sz w:val="21"/>
                      <w:szCs w:val="21"/>
                      <w:vertAlign w:val="baseline"/>
                    </w:rPr>
                  </w:pPr>
                  <w:r>
                    <w:rPr>
                      <w:rFonts w:hint="default" w:ascii="Times New Roman" w:hAnsi="Times New Roman" w:eastAsia="宋体" w:cs="Times New Roman"/>
                      <w:color w:val="auto"/>
                      <w:sz w:val="21"/>
                      <w:szCs w:val="21"/>
                      <w:vertAlign w:val="baseline"/>
                    </w:rPr>
                    <w:t>《关于印发四川省打赢蓝天保卫战等九个实施方案的通知》川府发〔2019〕4号</w:t>
                  </w:r>
                </w:p>
              </w:tc>
              <w:tc>
                <w:tcPr>
                  <w:tcW w:w="3521" w:type="dxa"/>
                  <w:vAlign w:val="center"/>
                </w:tcPr>
                <w:p w14:paraId="20FD7A54">
                  <w:pPr>
                    <w:numPr>
                      <w:ilvl w:val="0"/>
                      <w:numId w:val="0"/>
                    </w:numPr>
                    <w:bidi w:val="0"/>
                    <w:spacing w:line="240" w:lineRule="auto"/>
                    <w:jc w:val="both"/>
                    <w:rPr>
                      <w:rFonts w:hint="default" w:ascii="Times New Roman" w:hAnsi="Times New Roman" w:eastAsia="宋体" w:cs="Times New Roman"/>
                      <w:color w:val="auto"/>
                      <w:sz w:val="21"/>
                      <w:szCs w:val="21"/>
                      <w:vertAlign w:val="baseline"/>
                    </w:rPr>
                  </w:pPr>
                  <w:r>
                    <w:rPr>
                      <w:rFonts w:hint="default" w:ascii="Times New Roman" w:hAnsi="Times New Roman" w:eastAsia="宋体" w:cs="Times New Roman"/>
                      <w:color w:val="auto"/>
                      <w:sz w:val="21"/>
                      <w:szCs w:val="21"/>
                      <w:vertAlign w:val="baseline"/>
                    </w:rPr>
                    <w:t>三、重点任务</w:t>
                  </w:r>
                </w:p>
                <w:p w14:paraId="4A4E6956">
                  <w:pPr>
                    <w:numPr>
                      <w:ilvl w:val="0"/>
                      <w:numId w:val="0"/>
                    </w:numPr>
                    <w:bidi w:val="0"/>
                    <w:spacing w:line="240" w:lineRule="auto"/>
                    <w:jc w:val="both"/>
                    <w:rPr>
                      <w:rFonts w:hint="default" w:ascii="Times New Roman" w:hAnsi="Times New Roman" w:eastAsia="宋体" w:cs="Times New Roman"/>
                      <w:color w:val="auto"/>
                      <w:sz w:val="21"/>
                      <w:szCs w:val="21"/>
                      <w:vertAlign w:val="baseline"/>
                    </w:rPr>
                  </w:pPr>
                  <w:r>
                    <w:rPr>
                      <w:rFonts w:hint="default" w:ascii="Times New Roman" w:hAnsi="Times New Roman" w:eastAsia="宋体" w:cs="Times New Roman"/>
                      <w:color w:val="auto"/>
                      <w:sz w:val="21"/>
                      <w:szCs w:val="21"/>
                      <w:vertAlign w:val="baseline"/>
                    </w:rPr>
                    <w:t>（三</w:t>
                  </w:r>
                  <w:r>
                    <w:rPr>
                      <w:rFonts w:hint="eastAsia" w:cs="Times New Roman"/>
                      <w:color w:val="auto"/>
                      <w:sz w:val="21"/>
                      <w:szCs w:val="21"/>
                      <w:vertAlign w:val="baseline"/>
                      <w:lang w:eastAsia="zh-CN"/>
                    </w:rPr>
                    <w:t>）</w:t>
                  </w:r>
                  <w:r>
                    <w:rPr>
                      <w:rFonts w:hint="default" w:ascii="Times New Roman" w:hAnsi="Times New Roman" w:eastAsia="宋体" w:cs="Times New Roman"/>
                      <w:color w:val="auto"/>
                      <w:sz w:val="21"/>
                      <w:szCs w:val="21"/>
                      <w:vertAlign w:val="baseline"/>
                    </w:rPr>
                    <w:t>实施工业污染治理工程。</w:t>
                  </w:r>
                </w:p>
                <w:p w14:paraId="5D57CDBB">
                  <w:pPr>
                    <w:numPr>
                      <w:ilvl w:val="0"/>
                      <w:numId w:val="0"/>
                    </w:numPr>
                    <w:bidi w:val="0"/>
                    <w:spacing w:line="240" w:lineRule="auto"/>
                    <w:jc w:val="both"/>
                    <w:rPr>
                      <w:rFonts w:hint="default" w:ascii="Times New Roman" w:hAnsi="Times New Roman" w:eastAsia="宋体" w:cs="Times New Roman"/>
                      <w:color w:val="auto"/>
                      <w:sz w:val="21"/>
                      <w:szCs w:val="21"/>
                      <w:vertAlign w:val="baseline"/>
                    </w:rPr>
                  </w:pPr>
                  <w:r>
                    <w:rPr>
                      <w:rFonts w:hint="default" w:ascii="Times New Roman" w:hAnsi="Times New Roman" w:eastAsia="宋体" w:cs="Times New Roman"/>
                      <w:color w:val="auto"/>
                      <w:sz w:val="21"/>
                      <w:szCs w:val="21"/>
                      <w:vertAlign w:val="baseline"/>
                    </w:rPr>
                    <w:t>实施园区工业废水达标整治。落实《四川省工业园区（工业集聚区</w:t>
                  </w:r>
                  <w:r>
                    <w:rPr>
                      <w:rFonts w:hint="eastAsia" w:cs="Times New Roman"/>
                      <w:color w:val="auto"/>
                      <w:sz w:val="21"/>
                      <w:szCs w:val="21"/>
                      <w:vertAlign w:val="baseline"/>
                      <w:lang w:eastAsia="zh-CN"/>
                    </w:rPr>
                    <w:t>）</w:t>
                  </w:r>
                  <w:r>
                    <w:rPr>
                      <w:rFonts w:hint="default" w:ascii="Times New Roman" w:hAnsi="Times New Roman" w:eastAsia="宋体" w:cs="Times New Roman"/>
                      <w:color w:val="auto"/>
                      <w:sz w:val="21"/>
                      <w:szCs w:val="21"/>
                      <w:vertAlign w:val="baseline"/>
                    </w:rPr>
                    <w:t>工业废水处理设施建设三年行动计划》，倒排工期，落实责任，按照属地管理、辖区负责的原则，省直相关部门按照管理权限督促指导各地加快推进工业园区（工业集聚区</w:t>
                  </w:r>
                  <w:r>
                    <w:rPr>
                      <w:rFonts w:hint="eastAsia" w:cs="Times New Roman"/>
                      <w:color w:val="auto"/>
                      <w:sz w:val="21"/>
                      <w:szCs w:val="21"/>
                      <w:vertAlign w:val="baseline"/>
                      <w:lang w:eastAsia="zh-CN"/>
                    </w:rPr>
                    <w:t>）</w:t>
                  </w:r>
                  <w:r>
                    <w:rPr>
                      <w:rFonts w:hint="default" w:ascii="Times New Roman" w:hAnsi="Times New Roman" w:eastAsia="宋体" w:cs="Times New Roman"/>
                      <w:color w:val="auto"/>
                      <w:sz w:val="21"/>
                      <w:szCs w:val="21"/>
                      <w:vertAlign w:val="baseline"/>
                    </w:rPr>
                    <w:t>污水处理设施建设，确保污水处理设施按期建成投入使用和正常运行。…</w:t>
                  </w:r>
                </w:p>
              </w:tc>
              <w:tc>
                <w:tcPr>
                  <w:tcW w:w="1553" w:type="dxa"/>
                  <w:vMerge w:val="restart"/>
                  <w:vAlign w:val="center"/>
                </w:tcPr>
                <w:p w14:paraId="6B4C5BDF">
                  <w:pPr>
                    <w:numPr>
                      <w:ilvl w:val="0"/>
                      <w:numId w:val="0"/>
                    </w:numPr>
                    <w:bidi w:val="0"/>
                    <w:spacing w:line="240" w:lineRule="auto"/>
                    <w:jc w:val="both"/>
                    <w:rPr>
                      <w:rFonts w:hint="default" w:ascii="Times New Roman" w:hAnsi="Times New Roman" w:eastAsia="宋体" w:cs="Times New Roman"/>
                      <w:color w:val="auto"/>
                      <w:sz w:val="21"/>
                      <w:szCs w:val="21"/>
                      <w:vertAlign w:val="baseline"/>
                    </w:rPr>
                  </w:pPr>
                  <w:r>
                    <w:rPr>
                      <w:rFonts w:hint="eastAsia" w:cs="Times New Roman"/>
                      <w:color w:val="auto"/>
                      <w:sz w:val="21"/>
                      <w:szCs w:val="21"/>
                      <w:vertAlign w:val="baseline"/>
                      <w:lang w:val="en-US" w:eastAsia="zh-CN"/>
                    </w:rPr>
                    <w:t>项目不产生工业废水；</w:t>
                  </w:r>
                  <w:r>
                    <w:rPr>
                      <w:rFonts w:hint="default" w:ascii="Times New Roman" w:hAnsi="Times New Roman" w:eastAsia="宋体" w:cs="Times New Roman"/>
                      <w:color w:val="auto"/>
                      <w:sz w:val="21"/>
                      <w:szCs w:val="21"/>
                      <w:vertAlign w:val="baseline"/>
                    </w:rPr>
                    <w:t>生活污水经</w:t>
                  </w:r>
                  <w:r>
                    <w:rPr>
                      <w:rFonts w:hint="eastAsia" w:cs="Times New Roman"/>
                      <w:color w:val="auto"/>
                      <w:sz w:val="21"/>
                      <w:szCs w:val="21"/>
                      <w:vertAlign w:val="baseline"/>
                      <w:lang w:eastAsia="zh-CN"/>
                    </w:rPr>
                    <w:t>预处理池</w:t>
                  </w:r>
                  <w:r>
                    <w:rPr>
                      <w:rFonts w:hint="default" w:ascii="Times New Roman" w:hAnsi="Times New Roman" w:eastAsia="宋体" w:cs="Times New Roman"/>
                      <w:color w:val="auto"/>
                      <w:sz w:val="21"/>
                      <w:szCs w:val="21"/>
                      <w:vertAlign w:val="baseline"/>
                    </w:rPr>
                    <w:t>预处理后进入</w:t>
                  </w:r>
                  <w:r>
                    <w:rPr>
                      <w:rFonts w:hint="eastAsia" w:cs="Times New Roman"/>
                      <w:color w:val="auto"/>
                      <w:sz w:val="21"/>
                      <w:szCs w:val="21"/>
                      <w:vertAlign w:val="baseline"/>
                      <w:lang w:eastAsia="zh-CN"/>
                    </w:rPr>
                    <w:t>安居区龙眼井污水处理厂</w:t>
                  </w:r>
                  <w:r>
                    <w:rPr>
                      <w:rFonts w:hint="default" w:ascii="Times New Roman" w:hAnsi="Times New Roman" w:eastAsia="宋体" w:cs="Times New Roman"/>
                      <w:color w:val="auto"/>
                      <w:sz w:val="21"/>
                      <w:szCs w:val="21"/>
                      <w:vertAlign w:val="baseline"/>
                    </w:rPr>
                    <w:t>处理达标后排入琼江</w:t>
                  </w:r>
                  <w:r>
                    <w:rPr>
                      <w:rFonts w:hint="eastAsia" w:cs="Times New Roman"/>
                      <w:color w:val="auto"/>
                      <w:sz w:val="21"/>
                      <w:szCs w:val="21"/>
                      <w:vertAlign w:val="baseline"/>
                      <w:lang w:eastAsia="zh-CN"/>
                    </w:rPr>
                    <w:t>。</w:t>
                  </w:r>
                </w:p>
              </w:tc>
              <w:tc>
                <w:tcPr>
                  <w:tcW w:w="865" w:type="dxa"/>
                  <w:vAlign w:val="center"/>
                </w:tcPr>
                <w:p w14:paraId="0966DAFF">
                  <w:pPr>
                    <w:numPr>
                      <w:ilvl w:val="0"/>
                      <w:numId w:val="0"/>
                    </w:numPr>
                    <w:bidi w:val="0"/>
                    <w:spacing w:line="240" w:lineRule="auto"/>
                    <w:jc w:val="center"/>
                    <w:rPr>
                      <w:rFonts w:hint="default" w:ascii="Times New Roman" w:hAnsi="Times New Roman" w:eastAsia="宋体" w:cs="Times New Roman"/>
                      <w:color w:val="auto"/>
                      <w:sz w:val="21"/>
                      <w:szCs w:val="21"/>
                      <w:vertAlign w:val="baseline"/>
                    </w:rPr>
                  </w:pPr>
                  <w:r>
                    <w:rPr>
                      <w:rFonts w:hint="default" w:ascii="Times New Roman" w:hAnsi="Times New Roman" w:eastAsia="宋体" w:cs="Times New Roman"/>
                      <w:b w:val="0"/>
                      <w:bCs w:val="0"/>
                      <w:color w:val="auto"/>
                      <w:sz w:val="21"/>
                      <w:szCs w:val="21"/>
                      <w:vertAlign w:val="baseline"/>
                    </w:rPr>
                    <w:t>符合</w:t>
                  </w:r>
                </w:p>
              </w:tc>
            </w:tr>
            <w:tr w14:paraId="178082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79" w:type="dxa"/>
                  <w:vAlign w:val="center"/>
                </w:tcPr>
                <w:p w14:paraId="5DBA34DF">
                  <w:pPr>
                    <w:numPr>
                      <w:ilvl w:val="0"/>
                      <w:numId w:val="0"/>
                    </w:numPr>
                    <w:bidi w:val="0"/>
                    <w:spacing w:line="240" w:lineRule="auto"/>
                    <w:jc w:val="center"/>
                    <w:rPr>
                      <w:rFonts w:hint="default" w:ascii="Times New Roman" w:hAnsi="Times New Roman" w:eastAsia="宋体" w:cs="Times New Roman"/>
                      <w:color w:val="auto"/>
                      <w:sz w:val="21"/>
                      <w:szCs w:val="21"/>
                      <w:vertAlign w:val="baseline"/>
                    </w:rPr>
                  </w:pPr>
                  <w:r>
                    <w:rPr>
                      <w:rFonts w:hint="default" w:ascii="Times New Roman" w:hAnsi="Times New Roman" w:eastAsia="宋体" w:cs="Times New Roman"/>
                      <w:color w:val="auto"/>
                      <w:sz w:val="21"/>
                      <w:szCs w:val="21"/>
                      <w:vertAlign w:val="baseline"/>
                    </w:rPr>
                    <w:t>四川省嘉陵江流域生态环境保护条例</w:t>
                  </w:r>
                </w:p>
              </w:tc>
              <w:tc>
                <w:tcPr>
                  <w:tcW w:w="3521" w:type="dxa"/>
                  <w:vAlign w:val="center"/>
                </w:tcPr>
                <w:p w14:paraId="72A86EA8">
                  <w:pPr>
                    <w:numPr>
                      <w:ilvl w:val="0"/>
                      <w:numId w:val="0"/>
                    </w:numPr>
                    <w:bidi w:val="0"/>
                    <w:spacing w:line="240" w:lineRule="auto"/>
                    <w:ind w:left="0" w:leftChars="0" w:firstLine="0" w:firstLineChars="0"/>
                    <w:jc w:val="both"/>
                    <w:rPr>
                      <w:rFonts w:hint="default" w:ascii="Times New Roman" w:hAnsi="Times New Roman" w:eastAsia="宋体" w:cs="Times New Roman"/>
                      <w:color w:val="auto"/>
                      <w:sz w:val="21"/>
                      <w:szCs w:val="21"/>
                      <w:vertAlign w:val="baseline"/>
                    </w:rPr>
                  </w:pPr>
                  <w:r>
                    <w:rPr>
                      <w:rFonts w:hint="default" w:ascii="Times New Roman" w:hAnsi="Times New Roman" w:eastAsia="宋体" w:cs="Times New Roman"/>
                      <w:color w:val="auto"/>
                      <w:sz w:val="21"/>
                      <w:szCs w:val="21"/>
                      <w:vertAlign w:val="baseline"/>
                    </w:rPr>
                    <w:t>第二十一条排污单位排放污染物不得超过国家和省污染物排放标准，不得超过重点水污染物排放总量控制指标。</w:t>
                  </w:r>
                </w:p>
              </w:tc>
              <w:tc>
                <w:tcPr>
                  <w:tcW w:w="1553" w:type="dxa"/>
                  <w:vMerge w:val="continue"/>
                  <w:vAlign w:val="center"/>
                </w:tcPr>
                <w:p w14:paraId="282513D2">
                  <w:pPr>
                    <w:numPr>
                      <w:ilvl w:val="0"/>
                      <w:numId w:val="0"/>
                    </w:numPr>
                    <w:bidi w:val="0"/>
                    <w:spacing w:line="240" w:lineRule="auto"/>
                    <w:ind w:left="0" w:leftChars="0" w:firstLine="0" w:firstLineChars="0"/>
                    <w:jc w:val="both"/>
                    <w:rPr>
                      <w:rFonts w:hint="default" w:ascii="Times New Roman" w:hAnsi="Times New Roman" w:eastAsia="宋体" w:cs="Times New Roman"/>
                      <w:color w:val="auto"/>
                      <w:sz w:val="21"/>
                      <w:szCs w:val="21"/>
                      <w:vertAlign w:val="baseline"/>
                    </w:rPr>
                  </w:pPr>
                </w:p>
              </w:tc>
              <w:tc>
                <w:tcPr>
                  <w:tcW w:w="865" w:type="dxa"/>
                  <w:vAlign w:val="center"/>
                </w:tcPr>
                <w:p w14:paraId="28C24BBA">
                  <w:pPr>
                    <w:numPr>
                      <w:ilvl w:val="0"/>
                      <w:numId w:val="0"/>
                    </w:numPr>
                    <w:bidi w:val="0"/>
                    <w:spacing w:line="240" w:lineRule="auto"/>
                    <w:ind w:left="0" w:leftChars="0" w:firstLine="0" w:firstLineChars="0"/>
                    <w:jc w:val="center"/>
                    <w:rPr>
                      <w:rFonts w:hint="default" w:ascii="Times New Roman" w:hAnsi="Times New Roman" w:eastAsia="宋体" w:cs="Times New Roman"/>
                      <w:color w:val="auto"/>
                      <w:sz w:val="21"/>
                      <w:szCs w:val="21"/>
                      <w:vertAlign w:val="baseline"/>
                    </w:rPr>
                  </w:pPr>
                  <w:r>
                    <w:rPr>
                      <w:rFonts w:hint="default" w:ascii="Times New Roman" w:hAnsi="Times New Roman" w:eastAsia="宋体" w:cs="Times New Roman"/>
                      <w:b w:val="0"/>
                      <w:bCs w:val="0"/>
                      <w:color w:val="auto"/>
                      <w:sz w:val="21"/>
                      <w:szCs w:val="21"/>
                      <w:vertAlign w:val="baseline"/>
                    </w:rPr>
                    <w:t>符合</w:t>
                  </w:r>
                </w:p>
              </w:tc>
            </w:tr>
          </w:tbl>
          <w:p w14:paraId="150239DD">
            <w:pPr>
              <w:numPr>
                <w:ilvl w:val="0"/>
                <w:numId w:val="8"/>
              </w:numPr>
              <w:bidi w:val="0"/>
              <w:spacing w:line="360" w:lineRule="auto"/>
              <w:ind w:left="0" w:leftChars="0" w:firstLine="482" w:firstLineChars="200"/>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4"/>
                <w:szCs w:val="24"/>
              </w:rPr>
              <w:t>与土壤污染防治相关规划相符性分析</w:t>
            </w:r>
          </w:p>
          <w:p w14:paraId="0CF6535A">
            <w:pPr>
              <w:numPr>
                <w:ilvl w:val="0"/>
                <w:numId w:val="0"/>
              </w:numPr>
              <w:bidi w:val="0"/>
              <w:spacing w:line="360" w:lineRule="auto"/>
              <w:ind w:firstLine="480" w:firstLineChars="200"/>
              <w:rPr>
                <w:rFonts w:hint="default" w:ascii="Times New Roman" w:hAnsi="Times New Roman" w:eastAsia="宋体" w:cs="Times New Roman"/>
                <w:color w:val="auto"/>
                <w:sz w:val="24"/>
                <w:szCs w:val="24"/>
              </w:rPr>
            </w:pPr>
            <w:r>
              <w:rPr>
                <w:rFonts w:hint="eastAsia" w:cs="Times New Roman"/>
                <w:color w:val="auto"/>
                <w:sz w:val="24"/>
                <w:szCs w:val="24"/>
                <w:lang w:val="en-US" w:eastAsia="zh-CN"/>
              </w:rPr>
              <w:t>本</w:t>
            </w:r>
            <w:r>
              <w:rPr>
                <w:rFonts w:hint="default" w:ascii="Times New Roman" w:hAnsi="Times New Roman" w:eastAsia="宋体" w:cs="Times New Roman"/>
                <w:color w:val="auto"/>
                <w:sz w:val="24"/>
                <w:szCs w:val="24"/>
              </w:rPr>
              <w:t>项目与《土壤污染防治行动计划》</w:t>
            </w:r>
            <w:r>
              <w:rPr>
                <w:rFonts w:hint="eastAsia" w:cs="Times New Roman"/>
                <w:color w:val="auto"/>
                <w:sz w:val="24"/>
                <w:szCs w:val="24"/>
                <w:lang w:eastAsia="zh-CN"/>
              </w:rPr>
              <w:t>（</w:t>
            </w:r>
            <w:r>
              <w:rPr>
                <w:rFonts w:hint="eastAsia" w:ascii="宋体" w:hAnsi="宋体" w:eastAsia="宋体" w:cs="宋体"/>
                <w:color w:val="auto"/>
                <w:sz w:val="24"/>
                <w:szCs w:val="24"/>
              </w:rPr>
              <w:t>国</w:t>
            </w:r>
            <w:r>
              <w:rPr>
                <w:rFonts w:hint="default" w:ascii="Times New Roman" w:hAnsi="Times New Roman" w:eastAsia="宋体" w:cs="Times New Roman"/>
                <w:color w:val="auto"/>
                <w:sz w:val="24"/>
                <w:szCs w:val="24"/>
              </w:rPr>
              <w:t>发〔2016〕31</w:t>
            </w:r>
            <w:r>
              <w:rPr>
                <w:rFonts w:hint="eastAsia" w:ascii="宋体" w:hAnsi="宋体" w:eastAsia="宋体" w:cs="宋体"/>
                <w:color w:val="auto"/>
                <w:sz w:val="24"/>
                <w:szCs w:val="24"/>
              </w:rPr>
              <w:t>号</w:t>
            </w:r>
            <w:r>
              <w:rPr>
                <w:rFonts w:hint="eastAsia" w:cs="Times New Roman"/>
                <w:color w:val="auto"/>
                <w:sz w:val="24"/>
                <w:szCs w:val="24"/>
                <w:lang w:eastAsia="zh-CN"/>
              </w:rPr>
              <w:t>）</w:t>
            </w:r>
            <w:r>
              <w:rPr>
                <w:rFonts w:hint="eastAsia" w:ascii="宋体" w:hAnsi="宋体" w:eastAsia="宋体" w:cs="宋体"/>
                <w:color w:val="auto"/>
                <w:sz w:val="24"/>
                <w:szCs w:val="24"/>
              </w:rPr>
              <w:t>符</w:t>
            </w:r>
            <w:r>
              <w:rPr>
                <w:rFonts w:hint="default" w:ascii="Times New Roman" w:hAnsi="Times New Roman" w:eastAsia="宋体" w:cs="Times New Roman"/>
                <w:color w:val="auto"/>
                <w:sz w:val="24"/>
                <w:szCs w:val="24"/>
              </w:rPr>
              <w:t>合性分析如下表。</w:t>
            </w:r>
          </w:p>
          <w:p w14:paraId="23488D4F">
            <w:pPr>
              <w:numPr>
                <w:ilvl w:val="0"/>
                <w:numId w:val="0"/>
              </w:numPr>
              <w:bidi w:val="0"/>
              <w:spacing w:line="360" w:lineRule="auto"/>
              <w:jc w:val="center"/>
              <w:rPr>
                <w:rFonts w:hint="default" w:ascii="Times New Roman" w:hAnsi="Times New Roman" w:eastAsia="宋体" w:cs="Times New Roman"/>
                <w:b/>
                <w:bCs/>
                <w:color w:val="auto"/>
                <w:sz w:val="21"/>
                <w:szCs w:val="21"/>
                <w:vertAlign w:val="baseline"/>
              </w:rPr>
            </w:pPr>
            <w:r>
              <w:rPr>
                <w:rFonts w:hint="default" w:ascii="Times New Roman" w:hAnsi="Times New Roman" w:eastAsia="宋体" w:cs="Times New Roman"/>
                <w:b/>
                <w:bCs/>
                <w:color w:val="auto"/>
                <w:sz w:val="21"/>
                <w:szCs w:val="21"/>
              </w:rPr>
              <w:t>表1-</w:t>
            </w:r>
            <w:r>
              <w:rPr>
                <w:rFonts w:hint="eastAsia" w:cs="Times New Roman"/>
                <w:b/>
                <w:bCs/>
                <w:color w:val="auto"/>
                <w:sz w:val="21"/>
                <w:szCs w:val="21"/>
                <w:lang w:val="en-US" w:eastAsia="zh-CN"/>
              </w:rPr>
              <w:t xml:space="preserve">9 </w:t>
            </w:r>
            <w:r>
              <w:rPr>
                <w:rFonts w:hint="default" w:ascii="Times New Roman" w:hAnsi="Times New Roman" w:eastAsia="宋体" w:cs="Times New Roman"/>
                <w:b/>
                <w:bCs/>
                <w:color w:val="auto"/>
                <w:sz w:val="21"/>
                <w:szCs w:val="21"/>
              </w:rPr>
              <w:t>项目与《土壤污染防治行动计划》符合性分析</w:t>
            </w:r>
          </w:p>
          <w:tbl>
            <w:tblPr>
              <w:tblStyle w:val="28"/>
              <w:tblW w:w="791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95"/>
              <w:gridCol w:w="4143"/>
              <w:gridCol w:w="1717"/>
              <w:gridCol w:w="863"/>
            </w:tblGrid>
            <w:tr w14:paraId="400349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95" w:type="dxa"/>
                  <w:vAlign w:val="center"/>
                </w:tcPr>
                <w:p w14:paraId="031DB2A3">
                  <w:pPr>
                    <w:numPr>
                      <w:ilvl w:val="0"/>
                      <w:numId w:val="0"/>
                    </w:numPr>
                    <w:bidi w:val="0"/>
                    <w:spacing w:line="240" w:lineRule="auto"/>
                    <w:jc w:val="center"/>
                    <w:rPr>
                      <w:rFonts w:hint="default" w:ascii="Times New Roman" w:hAnsi="Times New Roman" w:eastAsia="宋体" w:cs="Times New Roman"/>
                      <w:b/>
                      <w:bCs/>
                      <w:color w:val="auto"/>
                      <w:sz w:val="21"/>
                      <w:szCs w:val="21"/>
                      <w:vertAlign w:val="baseline"/>
                    </w:rPr>
                  </w:pPr>
                  <w:r>
                    <w:rPr>
                      <w:rFonts w:hint="default" w:ascii="Times New Roman" w:hAnsi="Times New Roman" w:eastAsia="宋体" w:cs="Times New Roman"/>
                      <w:b/>
                      <w:bCs/>
                      <w:color w:val="auto"/>
                      <w:sz w:val="21"/>
                      <w:szCs w:val="21"/>
                      <w:vertAlign w:val="baseline"/>
                    </w:rPr>
                    <w:t>相关要求</w:t>
                  </w:r>
                </w:p>
              </w:tc>
              <w:tc>
                <w:tcPr>
                  <w:tcW w:w="4143" w:type="dxa"/>
                  <w:vAlign w:val="center"/>
                </w:tcPr>
                <w:p w14:paraId="7DC8BF1E">
                  <w:pPr>
                    <w:numPr>
                      <w:ilvl w:val="0"/>
                      <w:numId w:val="0"/>
                    </w:numPr>
                    <w:bidi w:val="0"/>
                    <w:spacing w:line="240" w:lineRule="auto"/>
                    <w:jc w:val="center"/>
                    <w:rPr>
                      <w:rFonts w:hint="default" w:ascii="Times New Roman" w:hAnsi="Times New Roman" w:eastAsia="宋体" w:cs="Times New Roman"/>
                      <w:b/>
                      <w:bCs/>
                      <w:color w:val="auto"/>
                      <w:sz w:val="21"/>
                      <w:szCs w:val="21"/>
                      <w:vertAlign w:val="baseline"/>
                    </w:rPr>
                  </w:pPr>
                  <w:r>
                    <w:rPr>
                      <w:rFonts w:hint="default" w:ascii="Times New Roman" w:hAnsi="Times New Roman" w:eastAsia="宋体" w:cs="Times New Roman"/>
                      <w:b/>
                      <w:bCs/>
                      <w:color w:val="auto"/>
                      <w:sz w:val="21"/>
                      <w:szCs w:val="21"/>
                      <w:vertAlign w:val="baseline"/>
                    </w:rPr>
                    <w:t>具体内容</w:t>
                  </w:r>
                </w:p>
              </w:tc>
              <w:tc>
                <w:tcPr>
                  <w:tcW w:w="1717" w:type="dxa"/>
                  <w:vAlign w:val="center"/>
                </w:tcPr>
                <w:p w14:paraId="54B2C827">
                  <w:pPr>
                    <w:numPr>
                      <w:ilvl w:val="0"/>
                      <w:numId w:val="0"/>
                    </w:numPr>
                    <w:bidi w:val="0"/>
                    <w:spacing w:line="240" w:lineRule="auto"/>
                    <w:jc w:val="center"/>
                    <w:rPr>
                      <w:rFonts w:hint="default" w:ascii="Times New Roman" w:hAnsi="Times New Roman" w:eastAsia="宋体" w:cs="Times New Roman"/>
                      <w:b/>
                      <w:bCs/>
                      <w:color w:val="auto"/>
                      <w:sz w:val="21"/>
                      <w:szCs w:val="21"/>
                      <w:vertAlign w:val="baseline"/>
                    </w:rPr>
                  </w:pPr>
                  <w:r>
                    <w:rPr>
                      <w:rFonts w:hint="default" w:ascii="Times New Roman" w:hAnsi="Times New Roman" w:eastAsia="宋体" w:cs="Times New Roman"/>
                      <w:b/>
                      <w:bCs/>
                      <w:color w:val="auto"/>
                      <w:sz w:val="21"/>
                      <w:szCs w:val="21"/>
                      <w:vertAlign w:val="baseline"/>
                    </w:rPr>
                    <w:t>本项目</w:t>
                  </w:r>
                </w:p>
              </w:tc>
              <w:tc>
                <w:tcPr>
                  <w:tcW w:w="863" w:type="dxa"/>
                  <w:vAlign w:val="center"/>
                </w:tcPr>
                <w:p w14:paraId="73CD231F">
                  <w:pPr>
                    <w:numPr>
                      <w:ilvl w:val="0"/>
                      <w:numId w:val="0"/>
                    </w:numPr>
                    <w:bidi w:val="0"/>
                    <w:spacing w:line="240" w:lineRule="auto"/>
                    <w:jc w:val="center"/>
                    <w:rPr>
                      <w:rFonts w:hint="default" w:ascii="Times New Roman" w:hAnsi="Times New Roman" w:eastAsia="宋体" w:cs="Times New Roman"/>
                      <w:b/>
                      <w:bCs/>
                      <w:color w:val="auto"/>
                      <w:sz w:val="21"/>
                      <w:szCs w:val="21"/>
                      <w:vertAlign w:val="baseline"/>
                    </w:rPr>
                  </w:pPr>
                  <w:r>
                    <w:rPr>
                      <w:rFonts w:hint="default" w:ascii="Times New Roman" w:hAnsi="Times New Roman" w:eastAsia="宋体" w:cs="Times New Roman"/>
                      <w:b/>
                      <w:bCs/>
                      <w:color w:val="auto"/>
                      <w:sz w:val="21"/>
                      <w:szCs w:val="21"/>
                      <w:vertAlign w:val="baseline"/>
                    </w:rPr>
                    <w:t>符合性</w:t>
                  </w:r>
                </w:p>
              </w:tc>
            </w:tr>
            <w:tr w14:paraId="617266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95" w:type="dxa"/>
                  <w:vMerge w:val="restart"/>
                  <w:vAlign w:val="center"/>
                </w:tcPr>
                <w:p w14:paraId="31081476">
                  <w:pPr>
                    <w:numPr>
                      <w:ilvl w:val="0"/>
                      <w:numId w:val="0"/>
                    </w:numPr>
                    <w:bidi w:val="0"/>
                    <w:spacing w:line="240" w:lineRule="auto"/>
                    <w:jc w:val="center"/>
                    <w:rPr>
                      <w:rFonts w:hint="default" w:ascii="Times New Roman" w:hAnsi="Times New Roman" w:eastAsia="宋体" w:cs="Times New Roman"/>
                      <w:color w:val="auto"/>
                      <w:sz w:val="21"/>
                      <w:szCs w:val="21"/>
                      <w:vertAlign w:val="baseline"/>
                    </w:rPr>
                  </w:pPr>
                  <w:r>
                    <w:rPr>
                      <w:rFonts w:hint="default" w:ascii="Times New Roman" w:hAnsi="Times New Roman" w:eastAsia="宋体" w:cs="Times New Roman"/>
                      <w:color w:val="auto"/>
                      <w:sz w:val="21"/>
                      <w:szCs w:val="21"/>
                      <w:vertAlign w:val="baseline"/>
                    </w:rPr>
                    <w:t>五、强化未污染土壤保护，严控新增土壤污染</w:t>
                  </w:r>
                </w:p>
              </w:tc>
              <w:tc>
                <w:tcPr>
                  <w:tcW w:w="4143" w:type="dxa"/>
                  <w:vAlign w:val="center"/>
                </w:tcPr>
                <w:p w14:paraId="5173A209">
                  <w:pPr>
                    <w:numPr>
                      <w:ilvl w:val="0"/>
                      <w:numId w:val="0"/>
                    </w:numPr>
                    <w:bidi w:val="0"/>
                    <w:spacing w:line="240" w:lineRule="auto"/>
                    <w:jc w:val="both"/>
                    <w:rPr>
                      <w:rFonts w:hint="default" w:ascii="Times New Roman" w:hAnsi="Times New Roman" w:eastAsia="宋体" w:cs="Times New Roman"/>
                      <w:color w:val="auto"/>
                      <w:sz w:val="21"/>
                      <w:szCs w:val="21"/>
                      <w:vertAlign w:val="baseline"/>
                    </w:rPr>
                  </w:pPr>
                  <w:r>
                    <w:rPr>
                      <w:rFonts w:hint="default" w:ascii="Times New Roman" w:hAnsi="Times New Roman" w:eastAsia="宋体" w:cs="Times New Roman"/>
                      <w:color w:val="auto"/>
                      <w:sz w:val="21"/>
                      <w:szCs w:val="21"/>
                      <w:vertAlign w:val="baseline"/>
                    </w:rPr>
                    <w:t>防范建设用地新增污染。排放重点污染物建设项目，在开展环境影响评价时，要增加对土壤环境影响评价内容，并提出防范土壤污染的具体措施；需要建设的土壤污染防治设施，要与主体工程同时设计、同时施工、同时投产使用</w:t>
                  </w:r>
                </w:p>
              </w:tc>
              <w:tc>
                <w:tcPr>
                  <w:tcW w:w="1717" w:type="dxa"/>
                  <w:vMerge w:val="restart"/>
                  <w:vAlign w:val="center"/>
                </w:tcPr>
                <w:p w14:paraId="64F1DA18">
                  <w:pPr>
                    <w:numPr>
                      <w:ilvl w:val="0"/>
                      <w:numId w:val="0"/>
                    </w:numPr>
                    <w:bidi w:val="0"/>
                    <w:spacing w:line="240" w:lineRule="auto"/>
                    <w:jc w:val="both"/>
                    <w:rPr>
                      <w:rFonts w:hint="default" w:ascii="Times New Roman" w:hAnsi="Times New Roman" w:eastAsia="宋体" w:cs="Times New Roman"/>
                      <w:color w:val="auto"/>
                      <w:sz w:val="21"/>
                      <w:szCs w:val="21"/>
                      <w:vertAlign w:val="baseline"/>
                    </w:rPr>
                  </w:pPr>
                  <w:r>
                    <w:rPr>
                      <w:rFonts w:hint="eastAsia"/>
                    </w:rPr>
                    <w:t>本项目位于安居区工业集中发展区内，</w:t>
                  </w:r>
                  <w:r>
                    <w:rPr>
                      <w:rFonts w:hint="eastAsia"/>
                      <w:lang w:val="en-US" w:eastAsia="zh-CN"/>
                    </w:rPr>
                    <w:t>主要</w:t>
                  </w:r>
                  <w:r>
                    <w:rPr>
                      <w:rFonts w:hint="eastAsia"/>
                    </w:rPr>
                    <w:t>进行废矿物油贮存工作，不涉及重点污染物及重金属的排放，提出了防范土壤污染的具体措施；“三废”均配备相应的环保措施，经收集处理后达标排放，固废按照分类收集、分质处理。</w:t>
                  </w:r>
                </w:p>
              </w:tc>
              <w:tc>
                <w:tcPr>
                  <w:tcW w:w="863" w:type="dxa"/>
                  <w:vMerge w:val="restart"/>
                  <w:vAlign w:val="center"/>
                </w:tcPr>
                <w:p w14:paraId="2C0747F1">
                  <w:pPr>
                    <w:numPr>
                      <w:ilvl w:val="0"/>
                      <w:numId w:val="0"/>
                    </w:numPr>
                    <w:bidi w:val="0"/>
                    <w:spacing w:line="240" w:lineRule="auto"/>
                    <w:jc w:val="center"/>
                    <w:rPr>
                      <w:rFonts w:hint="default" w:ascii="Times New Roman" w:hAnsi="Times New Roman" w:eastAsia="宋体" w:cs="Times New Roman"/>
                      <w:color w:val="auto"/>
                      <w:sz w:val="21"/>
                      <w:szCs w:val="21"/>
                      <w:vertAlign w:val="baseline"/>
                    </w:rPr>
                  </w:pPr>
                  <w:r>
                    <w:rPr>
                      <w:rFonts w:hint="default" w:ascii="Times New Roman" w:hAnsi="Times New Roman" w:eastAsia="宋体" w:cs="Times New Roman"/>
                      <w:b w:val="0"/>
                      <w:bCs w:val="0"/>
                      <w:color w:val="auto"/>
                      <w:sz w:val="21"/>
                      <w:szCs w:val="21"/>
                      <w:vertAlign w:val="baseline"/>
                    </w:rPr>
                    <w:t>符合</w:t>
                  </w:r>
                </w:p>
              </w:tc>
            </w:tr>
            <w:tr w14:paraId="122806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95" w:type="dxa"/>
                  <w:vMerge w:val="continue"/>
                  <w:vAlign w:val="center"/>
                </w:tcPr>
                <w:p w14:paraId="461F6D9F">
                  <w:pPr>
                    <w:numPr>
                      <w:ilvl w:val="0"/>
                      <w:numId w:val="0"/>
                    </w:numPr>
                    <w:bidi w:val="0"/>
                    <w:spacing w:line="240" w:lineRule="auto"/>
                    <w:jc w:val="center"/>
                    <w:rPr>
                      <w:rFonts w:hint="default" w:ascii="Times New Roman" w:hAnsi="Times New Roman" w:eastAsia="宋体" w:cs="Times New Roman"/>
                      <w:color w:val="auto"/>
                      <w:sz w:val="21"/>
                      <w:szCs w:val="21"/>
                      <w:vertAlign w:val="baseline"/>
                    </w:rPr>
                  </w:pPr>
                </w:p>
              </w:tc>
              <w:tc>
                <w:tcPr>
                  <w:tcW w:w="4143" w:type="dxa"/>
                  <w:vAlign w:val="center"/>
                </w:tcPr>
                <w:p w14:paraId="443D0D89">
                  <w:pPr>
                    <w:numPr>
                      <w:ilvl w:val="0"/>
                      <w:numId w:val="0"/>
                    </w:numPr>
                    <w:bidi w:val="0"/>
                    <w:spacing w:line="240" w:lineRule="auto"/>
                    <w:jc w:val="both"/>
                    <w:rPr>
                      <w:rFonts w:hint="default" w:ascii="Times New Roman" w:hAnsi="Times New Roman" w:eastAsia="宋体" w:cs="Times New Roman"/>
                      <w:color w:val="auto"/>
                      <w:sz w:val="21"/>
                      <w:szCs w:val="21"/>
                      <w:vertAlign w:val="baseline"/>
                    </w:rPr>
                  </w:pPr>
                  <w:r>
                    <w:rPr>
                      <w:rFonts w:hint="default" w:ascii="Times New Roman" w:hAnsi="Times New Roman" w:eastAsia="宋体" w:cs="Times New Roman"/>
                      <w:color w:val="auto"/>
                      <w:sz w:val="21"/>
                      <w:szCs w:val="21"/>
                      <w:vertAlign w:val="baseline"/>
                    </w:rPr>
                    <w:t>强化空间布局管控。鼓励工业企业集聚发展，提高土地节约集约利用水平，减少土壤污染。严格执行相关行业企业布局选址要求，禁止在居民区、学校、医疗和养老机构等周边新建有色金属冶炼、焦化等行业企业。</w:t>
                  </w:r>
                </w:p>
              </w:tc>
              <w:tc>
                <w:tcPr>
                  <w:tcW w:w="1717" w:type="dxa"/>
                  <w:vMerge w:val="continue"/>
                  <w:vAlign w:val="center"/>
                </w:tcPr>
                <w:p w14:paraId="67DF156B">
                  <w:pPr>
                    <w:numPr>
                      <w:ilvl w:val="0"/>
                      <w:numId w:val="0"/>
                    </w:numPr>
                    <w:bidi w:val="0"/>
                    <w:spacing w:line="240" w:lineRule="auto"/>
                    <w:jc w:val="both"/>
                    <w:rPr>
                      <w:rFonts w:hint="eastAsia" w:ascii="Times New Roman" w:hAnsi="Times New Roman" w:eastAsia="宋体" w:cs="Times New Roman"/>
                      <w:color w:val="auto"/>
                      <w:sz w:val="21"/>
                      <w:szCs w:val="21"/>
                      <w:vertAlign w:val="baseline"/>
                      <w:lang w:eastAsia="zh-CN"/>
                    </w:rPr>
                  </w:pPr>
                </w:p>
              </w:tc>
              <w:tc>
                <w:tcPr>
                  <w:tcW w:w="863" w:type="dxa"/>
                  <w:vMerge w:val="continue"/>
                  <w:vAlign w:val="center"/>
                </w:tcPr>
                <w:p w14:paraId="04A1107B">
                  <w:pPr>
                    <w:numPr>
                      <w:ilvl w:val="0"/>
                      <w:numId w:val="0"/>
                    </w:numPr>
                    <w:bidi w:val="0"/>
                    <w:spacing w:line="240" w:lineRule="auto"/>
                    <w:jc w:val="center"/>
                    <w:rPr>
                      <w:rFonts w:hint="default" w:ascii="Times New Roman" w:hAnsi="Times New Roman" w:eastAsia="宋体" w:cs="Times New Roman"/>
                      <w:color w:val="auto"/>
                      <w:sz w:val="21"/>
                      <w:szCs w:val="21"/>
                      <w:vertAlign w:val="baseline"/>
                    </w:rPr>
                  </w:pPr>
                </w:p>
              </w:tc>
            </w:tr>
            <w:tr w14:paraId="10461F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95" w:type="dxa"/>
                  <w:vAlign w:val="center"/>
                </w:tcPr>
                <w:p w14:paraId="0660FC49">
                  <w:pPr>
                    <w:numPr>
                      <w:ilvl w:val="0"/>
                      <w:numId w:val="0"/>
                    </w:numPr>
                    <w:bidi w:val="0"/>
                    <w:spacing w:line="240" w:lineRule="auto"/>
                    <w:jc w:val="center"/>
                    <w:rPr>
                      <w:rFonts w:hint="default" w:ascii="Times New Roman" w:hAnsi="Times New Roman" w:eastAsia="宋体" w:cs="Times New Roman"/>
                      <w:color w:val="auto"/>
                      <w:sz w:val="21"/>
                      <w:szCs w:val="21"/>
                      <w:vertAlign w:val="baseline"/>
                    </w:rPr>
                  </w:pPr>
                  <w:r>
                    <w:rPr>
                      <w:rFonts w:hint="eastAsia" w:cs="Times New Roman"/>
                      <w:color w:val="auto"/>
                      <w:sz w:val="21"/>
                      <w:szCs w:val="21"/>
                      <w:vertAlign w:val="baseline"/>
                      <w:lang w:val="en-US" w:eastAsia="zh-CN"/>
                    </w:rPr>
                    <w:t>六、</w:t>
                  </w:r>
                  <w:r>
                    <w:rPr>
                      <w:rFonts w:hint="default" w:ascii="Times New Roman" w:hAnsi="Times New Roman" w:eastAsia="宋体" w:cs="Times New Roman"/>
                      <w:color w:val="auto"/>
                      <w:sz w:val="21"/>
                      <w:szCs w:val="21"/>
                      <w:vertAlign w:val="baseline"/>
                    </w:rPr>
                    <w:t>加强污染源监管，做好土壤污染预防工作</w:t>
                  </w:r>
                </w:p>
                <w:p w14:paraId="62FFCFCC">
                  <w:pPr>
                    <w:numPr>
                      <w:ilvl w:val="0"/>
                      <w:numId w:val="0"/>
                    </w:numPr>
                    <w:bidi w:val="0"/>
                    <w:spacing w:line="240" w:lineRule="auto"/>
                    <w:jc w:val="center"/>
                    <w:rPr>
                      <w:rFonts w:hint="default" w:ascii="Times New Roman" w:hAnsi="Times New Roman" w:eastAsia="宋体" w:cs="Times New Roman"/>
                      <w:color w:val="auto"/>
                      <w:sz w:val="21"/>
                      <w:szCs w:val="21"/>
                      <w:vertAlign w:val="baseline"/>
                    </w:rPr>
                  </w:pPr>
                </w:p>
              </w:tc>
              <w:tc>
                <w:tcPr>
                  <w:tcW w:w="4143" w:type="dxa"/>
                  <w:vAlign w:val="center"/>
                </w:tcPr>
                <w:p w14:paraId="25839A71">
                  <w:pPr>
                    <w:numPr>
                      <w:ilvl w:val="0"/>
                      <w:numId w:val="0"/>
                    </w:numPr>
                    <w:bidi w:val="0"/>
                    <w:spacing w:line="240" w:lineRule="auto"/>
                    <w:jc w:val="both"/>
                    <w:rPr>
                      <w:rFonts w:hint="default" w:ascii="Times New Roman" w:hAnsi="Times New Roman" w:eastAsia="宋体" w:cs="Times New Roman"/>
                      <w:color w:val="auto"/>
                      <w:sz w:val="21"/>
                      <w:szCs w:val="21"/>
                      <w:vertAlign w:val="baseline"/>
                    </w:rPr>
                  </w:pPr>
                  <w:r>
                    <w:rPr>
                      <w:rFonts w:hint="default" w:ascii="Times New Roman" w:hAnsi="Times New Roman" w:eastAsia="宋体" w:cs="Times New Roman"/>
                      <w:color w:val="auto"/>
                      <w:sz w:val="21"/>
                      <w:szCs w:val="21"/>
                      <w:vertAlign w:val="baseline"/>
                    </w:rPr>
                    <w:t>严控工矿污染。加强电器电子、汽车等工业产品中有害物质控制。有色金属冶炼、石油加工、化工、焦化、电镀、制革等行业企业拆除生产设施设备、构筑物和污染治理设施，要事先制定残留污染物清理和安全处置方案，并报所在地县级环境保护、工业和信息化部门备案；要严格按照有关规定实施安全处理处置，防范拆除活动污染土壤。</w:t>
                  </w:r>
                </w:p>
                <w:p w14:paraId="76B2D882">
                  <w:pPr>
                    <w:numPr>
                      <w:ilvl w:val="0"/>
                      <w:numId w:val="0"/>
                    </w:numPr>
                    <w:bidi w:val="0"/>
                    <w:spacing w:line="240" w:lineRule="auto"/>
                    <w:jc w:val="both"/>
                    <w:rPr>
                      <w:rFonts w:hint="default" w:ascii="Times New Roman" w:hAnsi="Times New Roman" w:eastAsia="宋体" w:cs="Times New Roman"/>
                      <w:color w:val="auto"/>
                      <w:sz w:val="21"/>
                      <w:szCs w:val="21"/>
                      <w:vertAlign w:val="baseline"/>
                    </w:rPr>
                  </w:pPr>
                  <w:r>
                    <w:rPr>
                      <w:rFonts w:hint="default" w:ascii="Times New Roman" w:hAnsi="Times New Roman" w:eastAsia="宋体" w:cs="Times New Roman"/>
                      <w:color w:val="auto"/>
                      <w:sz w:val="21"/>
                      <w:szCs w:val="21"/>
                      <w:vertAlign w:val="baseline"/>
                    </w:rPr>
                    <w:t>加强工业废物处理处置。全面整治尾矿、煤矸石、工业副产石膏、粉煤灰、赤泥、冶炼渣、电石渣、铬渣、砷渣以及脱硫、脱硝、除尘产生固体废物的堆存场所，完善防扬散、防流失、防渗漏等设施，制定整治方案并有序实施。加强工业固体废物综合利用。</w:t>
                  </w:r>
                </w:p>
              </w:tc>
              <w:tc>
                <w:tcPr>
                  <w:tcW w:w="1717" w:type="dxa"/>
                  <w:vMerge w:val="continue"/>
                  <w:vAlign w:val="center"/>
                </w:tcPr>
                <w:p w14:paraId="31DE241F">
                  <w:pPr>
                    <w:numPr>
                      <w:ilvl w:val="0"/>
                      <w:numId w:val="0"/>
                    </w:numPr>
                    <w:bidi w:val="0"/>
                    <w:spacing w:line="240" w:lineRule="auto"/>
                    <w:jc w:val="both"/>
                    <w:rPr>
                      <w:rFonts w:hint="default" w:ascii="Times New Roman" w:hAnsi="Times New Roman" w:eastAsia="宋体" w:cs="Times New Roman"/>
                      <w:color w:val="auto"/>
                      <w:sz w:val="21"/>
                      <w:szCs w:val="21"/>
                      <w:vertAlign w:val="baseline"/>
                    </w:rPr>
                  </w:pPr>
                </w:p>
              </w:tc>
              <w:tc>
                <w:tcPr>
                  <w:tcW w:w="863" w:type="dxa"/>
                  <w:vMerge w:val="continue"/>
                  <w:vAlign w:val="center"/>
                </w:tcPr>
                <w:p w14:paraId="0E381F5C">
                  <w:pPr>
                    <w:numPr>
                      <w:ilvl w:val="0"/>
                      <w:numId w:val="0"/>
                    </w:numPr>
                    <w:bidi w:val="0"/>
                    <w:spacing w:line="240" w:lineRule="auto"/>
                    <w:jc w:val="center"/>
                    <w:rPr>
                      <w:rFonts w:hint="default" w:ascii="Times New Roman" w:hAnsi="Times New Roman" w:eastAsia="宋体" w:cs="Times New Roman"/>
                      <w:color w:val="auto"/>
                      <w:sz w:val="21"/>
                      <w:szCs w:val="21"/>
                      <w:vertAlign w:val="baseline"/>
                    </w:rPr>
                  </w:pPr>
                </w:p>
              </w:tc>
            </w:tr>
            <w:tr w14:paraId="137F154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95" w:type="dxa"/>
                  <w:vAlign w:val="center"/>
                </w:tcPr>
                <w:p w14:paraId="3CC8EC94">
                  <w:pPr>
                    <w:numPr>
                      <w:ilvl w:val="0"/>
                      <w:numId w:val="0"/>
                    </w:numPr>
                    <w:bidi w:val="0"/>
                    <w:spacing w:line="240" w:lineRule="auto"/>
                    <w:jc w:val="center"/>
                    <w:rPr>
                      <w:rFonts w:hint="default" w:ascii="Times New Roman" w:hAnsi="Times New Roman" w:eastAsia="宋体" w:cs="Times New Roman"/>
                      <w:color w:val="auto"/>
                      <w:sz w:val="21"/>
                      <w:szCs w:val="21"/>
                      <w:vertAlign w:val="baseline"/>
                    </w:rPr>
                  </w:pPr>
                  <w:r>
                    <w:rPr>
                      <w:rFonts w:hint="default" w:ascii="Times New Roman" w:hAnsi="Times New Roman" w:eastAsia="宋体" w:cs="Times New Roman"/>
                      <w:color w:val="auto"/>
                      <w:sz w:val="21"/>
                      <w:szCs w:val="21"/>
                      <w:vertAlign w:val="baseline"/>
                    </w:rPr>
                    <w:t>十七、强化空间布局管控。</w:t>
                  </w:r>
                </w:p>
                <w:p w14:paraId="6A0BE2C2">
                  <w:pPr>
                    <w:numPr>
                      <w:ilvl w:val="0"/>
                      <w:numId w:val="0"/>
                    </w:numPr>
                    <w:bidi w:val="0"/>
                    <w:spacing w:line="240" w:lineRule="auto"/>
                    <w:ind w:left="0" w:leftChars="0" w:firstLine="0" w:firstLineChars="0"/>
                    <w:jc w:val="center"/>
                    <w:rPr>
                      <w:rFonts w:hint="default" w:ascii="Times New Roman" w:hAnsi="Times New Roman" w:eastAsia="宋体" w:cs="Times New Roman"/>
                      <w:color w:val="auto"/>
                      <w:sz w:val="21"/>
                      <w:szCs w:val="21"/>
                      <w:vertAlign w:val="baseline"/>
                    </w:rPr>
                  </w:pPr>
                </w:p>
              </w:tc>
              <w:tc>
                <w:tcPr>
                  <w:tcW w:w="4143" w:type="dxa"/>
                  <w:vAlign w:val="center"/>
                </w:tcPr>
                <w:p w14:paraId="4D7ED778">
                  <w:pPr>
                    <w:numPr>
                      <w:ilvl w:val="0"/>
                      <w:numId w:val="0"/>
                    </w:numPr>
                    <w:bidi w:val="0"/>
                    <w:spacing w:line="240" w:lineRule="auto"/>
                    <w:ind w:left="0" w:leftChars="0" w:firstLine="0" w:firstLineChars="0"/>
                    <w:jc w:val="both"/>
                    <w:rPr>
                      <w:rFonts w:hint="default" w:ascii="Times New Roman" w:hAnsi="Times New Roman" w:eastAsia="宋体" w:cs="Times New Roman"/>
                      <w:color w:val="auto"/>
                      <w:sz w:val="21"/>
                      <w:szCs w:val="21"/>
                      <w:vertAlign w:val="baseline"/>
                    </w:rPr>
                  </w:pPr>
                  <w:r>
                    <w:rPr>
                      <w:rFonts w:hint="default" w:ascii="Times New Roman" w:hAnsi="Times New Roman" w:eastAsia="宋体" w:cs="Times New Roman"/>
                      <w:color w:val="auto"/>
                      <w:sz w:val="21"/>
                      <w:szCs w:val="21"/>
                      <w:vertAlign w:val="baseline"/>
                    </w:rPr>
                    <w:t>……严格执行相关行业企业布局选址要求，禁止在居民区、学校、医疗和养老机构等周边新建有色金属冶炼、焦化等行业企业；结合区域功能定位和土壤污染防治需要，科学布局生活垃圾处理、危险废物处置、废旧资源再生利用等设施和场所，合理确定畜禽养殖布局和规模。</w:t>
                  </w:r>
                </w:p>
              </w:tc>
              <w:tc>
                <w:tcPr>
                  <w:tcW w:w="1717" w:type="dxa"/>
                  <w:vAlign w:val="center"/>
                </w:tcPr>
                <w:p w14:paraId="5E67CB99">
                  <w:pPr>
                    <w:numPr>
                      <w:ilvl w:val="0"/>
                      <w:numId w:val="0"/>
                    </w:numPr>
                    <w:bidi w:val="0"/>
                    <w:spacing w:line="240" w:lineRule="auto"/>
                    <w:jc w:val="both"/>
                    <w:rPr>
                      <w:rFonts w:hint="eastAsia" w:ascii="Times New Roman" w:hAnsi="Times New Roman" w:eastAsia="宋体" w:cs="Times New Roman"/>
                      <w:color w:val="auto"/>
                      <w:sz w:val="21"/>
                      <w:szCs w:val="21"/>
                      <w:vertAlign w:val="baseline"/>
                      <w:lang w:eastAsia="zh-CN"/>
                    </w:rPr>
                  </w:pPr>
                  <w:r>
                    <w:rPr>
                      <w:rFonts w:hint="eastAsia"/>
                    </w:rPr>
                    <w:t>本项目</w:t>
                  </w:r>
                  <w:r>
                    <w:rPr>
                      <w:rFonts w:hint="default" w:ascii="Times New Roman" w:hAnsi="Times New Roman" w:eastAsia="宋体" w:cs="Times New Roman"/>
                      <w:color w:val="auto"/>
                      <w:sz w:val="21"/>
                      <w:szCs w:val="21"/>
                      <w:vertAlign w:val="baseline"/>
                    </w:rPr>
                    <w:t>用地属于工业用地，不占用耕地，</w:t>
                  </w:r>
                  <w:r>
                    <w:rPr>
                      <w:rFonts w:hint="eastAsia" w:cs="Times New Roman"/>
                      <w:color w:val="auto"/>
                      <w:sz w:val="21"/>
                      <w:szCs w:val="21"/>
                      <w:vertAlign w:val="baseline"/>
                      <w:lang w:val="en-US" w:eastAsia="zh-CN"/>
                    </w:rPr>
                    <w:t>厂界离开周围敏感目标较远，</w:t>
                  </w:r>
                  <w:r>
                    <w:rPr>
                      <w:rFonts w:hint="default" w:ascii="Times New Roman" w:hAnsi="Times New Roman" w:eastAsia="宋体" w:cs="Times New Roman"/>
                      <w:color w:val="auto"/>
                      <w:sz w:val="21"/>
                      <w:szCs w:val="21"/>
                      <w:vertAlign w:val="baseline"/>
                    </w:rPr>
                    <w:t>不属于禁止建设的情况</w:t>
                  </w:r>
                  <w:r>
                    <w:rPr>
                      <w:rFonts w:hint="eastAsia" w:cs="Times New Roman"/>
                      <w:color w:val="auto"/>
                      <w:sz w:val="21"/>
                      <w:szCs w:val="21"/>
                      <w:vertAlign w:val="baseline"/>
                      <w:lang w:eastAsia="zh-CN"/>
                    </w:rPr>
                    <w:t>。</w:t>
                  </w:r>
                </w:p>
              </w:tc>
              <w:tc>
                <w:tcPr>
                  <w:tcW w:w="863" w:type="dxa"/>
                  <w:vAlign w:val="center"/>
                </w:tcPr>
                <w:p w14:paraId="5FA644CB">
                  <w:pPr>
                    <w:numPr>
                      <w:ilvl w:val="0"/>
                      <w:numId w:val="0"/>
                    </w:numPr>
                    <w:bidi w:val="0"/>
                    <w:spacing w:line="240" w:lineRule="auto"/>
                    <w:jc w:val="center"/>
                    <w:rPr>
                      <w:rFonts w:hint="default" w:ascii="Times New Roman" w:hAnsi="Times New Roman" w:eastAsia="宋体" w:cs="Times New Roman"/>
                      <w:color w:val="auto"/>
                      <w:sz w:val="21"/>
                      <w:szCs w:val="21"/>
                      <w:vertAlign w:val="baseline"/>
                    </w:rPr>
                  </w:pPr>
                  <w:r>
                    <w:rPr>
                      <w:rFonts w:hint="default" w:ascii="Times New Roman" w:hAnsi="Times New Roman" w:eastAsia="宋体" w:cs="Times New Roman"/>
                      <w:b w:val="0"/>
                      <w:bCs w:val="0"/>
                      <w:color w:val="auto"/>
                      <w:sz w:val="21"/>
                      <w:szCs w:val="21"/>
                      <w:vertAlign w:val="baseline"/>
                    </w:rPr>
                    <w:t>符合</w:t>
                  </w:r>
                </w:p>
              </w:tc>
            </w:tr>
          </w:tbl>
          <w:p w14:paraId="676DE775">
            <w:pPr>
              <w:numPr>
                <w:ilvl w:val="0"/>
                <w:numId w:val="0"/>
              </w:numPr>
              <w:bidi w:val="0"/>
              <w:spacing w:line="360" w:lineRule="auto"/>
              <w:ind w:firstLine="480" w:firstLineChars="200"/>
              <w:rPr>
                <w:rFonts w:hint="default" w:ascii="Times New Roman" w:hAnsi="Times New Roman" w:eastAsia="宋体" w:cs="Times New Roman"/>
                <w:color w:val="auto"/>
                <w:sz w:val="24"/>
                <w:szCs w:val="24"/>
              </w:rPr>
            </w:pPr>
            <w:r>
              <w:rPr>
                <w:rFonts w:hint="eastAsia" w:cs="Times New Roman"/>
                <w:color w:val="auto"/>
                <w:sz w:val="24"/>
                <w:szCs w:val="24"/>
                <w:lang w:val="en-US" w:eastAsia="zh-CN"/>
              </w:rPr>
              <w:t>本</w:t>
            </w:r>
            <w:r>
              <w:rPr>
                <w:rFonts w:hint="default" w:ascii="Times New Roman" w:hAnsi="Times New Roman" w:eastAsia="宋体" w:cs="Times New Roman"/>
                <w:color w:val="auto"/>
                <w:sz w:val="24"/>
                <w:szCs w:val="24"/>
              </w:rPr>
              <w:t>项目与《关于印发土壤污染防治行动计划四川省工作方案</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2020年实施计划</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的通知》符合性</w:t>
            </w:r>
          </w:p>
          <w:p w14:paraId="039DB7EE">
            <w:pPr>
              <w:numPr>
                <w:ilvl w:val="0"/>
                <w:numId w:val="0"/>
              </w:numPr>
              <w:bidi w:val="0"/>
              <w:spacing w:line="360" w:lineRule="auto"/>
              <w:jc w:val="center"/>
              <w:rPr>
                <w:rFonts w:hint="default" w:ascii="Times New Roman" w:hAnsi="Times New Roman" w:eastAsia="宋体" w:cs="Times New Roman"/>
                <w:b/>
                <w:bCs/>
                <w:color w:val="auto"/>
                <w:sz w:val="21"/>
                <w:szCs w:val="21"/>
                <w:vertAlign w:val="baseline"/>
              </w:rPr>
            </w:pPr>
            <w:r>
              <w:rPr>
                <w:rFonts w:hint="default" w:ascii="Times New Roman" w:hAnsi="Times New Roman" w:eastAsia="宋体" w:cs="Times New Roman"/>
                <w:b/>
                <w:bCs/>
                <w:color w:val="auto"/>
                <w:sz w:val="21"/>
                <w:szCs w:val="21"/>
              </w:rPr>
              <w:t>表1-</w:t>
            </w:r>
            <w:r>
              <w:rPr>
                <w:rFonts w:hint="eastAsia" w:cs="Times New Roman"/>
                <w:b/>
                <w:bCs/>
                <w:color w:val="auto"/>
                <w:sz w:val="21"/>
                <w:szCs w:val="21"/>
                <w:lang w:val="en-US" w:eastAsia="zh-CN"/>
              </w:rPr>
              <w:t xml:space="preserve">10 </w:t>
            </w:r>
            <w:r>
              <w:rPr>
                <w:rFonts w:hint="default" w:ascii="Times New Roman" w:hAnsi="Times New Roman" w:eastAsia="宋体" w:cs="Times New Roman"/>
                <w:b/>
                <w:bCs/>
                <w:color w:val="auto"/>
                <w:sz w:val="21"/>
                <w:szCs w:val="21"/>
              </w:rPr>
              <w:t>与《关于印发土壤污染防治行动计划四川省工作方案的通知》符合性</w:t>
            </w:r>
          </w:p>
          <w:tbl>
            <w:tblPr>
              <w:tblStyle w:val="28"/>
              <w:tblW w:w="791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453"/>
              <w:gridCol w:w="3608"/>
              <w:gridCol w:w="857"/>
            </w:tblGrid>
            <w:tr w14:paraId="0076E7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453" w:type="dxa"/>
                  <w:vAlign w:val="center"/>
                </w:tcPr>
                <w:p w14:paraId="4A081CFC">
                  <w:pPr>
                    <w:numPr>
                      <w:ilvl w:val="0"/>
                      <w:numId w:val="0"/>
                    </w:numPr>
                    <w:bidi w:val="0"/>
                    <w:spacing w:line="240" w:lineRule="auto"/>
                    <w:jc w:val="center"/>
                    <w:rPr>
                      <w:rFonts w:hint="default" w:ascii="Times New Roman" w:hAnsi="Times New Roman" w:eastAsia="宋体" w:cs="Times New Roman"/>
                      <w:b/>
                      <w:bCs/>
                      <w:color w:val="auto"/>
                      <w:sz w:val="21"/>
                      <w:szCs w:val="21"/>
                      <w:vertAlign w:val="baseline"/>
                    </w:rPr>
                  </w:pPr>
                  <w:r>
                    <w:rPr>
                      <w:rFonts w:hint="default" w:ascii="Times New Roman" w:hAnsi="Times New Roman" w:eastAsia="宋体" w:cs="Times New Roman"/>
                      <w:b/>
                      <w:bCs/>
                      <w:color w:val="auto"/>
                      <w:sz w:val="21"/>
                      <w:szCs w:val="21"/>
                      <w:vertAlign w:val="baseline"/>
                    </w:rPr>
                    <w:t>规范要求</w:t>
                  </w:r>
                </w:p>
              </w:tc>
              <w:tc>
                <w:tcPr>
                  <w:tcW w:w="3608" w:type="dxa"/>
                  <w:vAlign w:val="center"/>
                </w:tcPr>
                <w:p w14:paraId="26D6B76E">
                  <w:pPr>
                    <w:numPr>
                      <w:ilvl w:val="0"/>
                      <w:numId w:val="0"/>
                    </w:numPr>
                    <w:bidi w:val="0"/>
                    <w:spacing w:line="240" w:lineRule="auto"/>
                    <w:jc w:val="center"/>
                    <w:rPr>
                      <w:rFonts w:hint="default" w:ascii="Times New Roman" w:hAnsi="Times New Roman" w:eastAsia="宋体" w:cs="Times New Roman"/>
                      <w:b/>
                      <w:bCs/>
                      <w:color w:val="auto"/>
                      <w:sz w:val="21"/>
                      <w:szCs w:val="21"/>
                      <w:vertAlign w:val="baseline"/>
                    </w:rPr>
                  </w:pPr>
                  <w:r>
                    <w:rPr>
                      <w:rFonts w:hint="default" w:ascii="Times New Roman" w:hAnsi="Times New Roman" w:eastAsia="宋体" w:cs="Times New Roman"/>
                      <w:b/>
                      <w:bCs/>
                      <w:color w:val="auto"/>
                      <w:sz w:val="21"/>
                      <w:szCs w:val="21"/>
                      <w:vertAlign w:val="baseline"/>
                    </w:rPr>
                    <w:t>本项目具体情况</w:t>
                  </w:r>
                </w:p>
              </w:tc>
              <w:tc>
                <w:tcPr>
                  <w:tcW w:w="857" w:type="dxa"/>
                  <w:vAlign w:val="center"/>
                </w:tcPr>
                <w:p w14:paraId="73AC8067">
                  <w:pPr>
                    <w:numPr>
                      <w:ilvl w:val="0"/>
                      <w:numId w:val="0"/>
                    </w:numPr>
                    <w:bidi w:val="0"/>
                    <w:spacing w:line="240" w:lineRule="auto"/>
                    <w:jc w:val="center"/>
                    <w:rPr>
                      <w:rFonts w:hint="default" w:ascii="Times New Roman" w:hAnsi="Times New Roman" w:eastAsia="宋体" w:cs="Times New Roman"/>
                      <w:b/>
                      <w:bCs/>
                      <w:color w:val="auto"/>
                      <w:sz w:val="21"/>
                      <w:szCs w:val="21"/>
                      <w:vertAlign w:val="baseline"/>
                    </w:rPr>
                  </w:pPr>
                  <w:r>
                    <w:rPr>
                      <w:rFonts w:hint="default" w:ascii="Times New Roman" w:hAnsi="Times New Roman" w:eastAsia="宋体" w:cs="Times New Roman"/>
                      <w:b/>
                      <w:bCs/>
                      <w:color w:val="auto"/>
                      <w:sz w:val="21"/>
                      <w:szCs w:val="21"/>
                      <w:vertAlign w:val="baseline"/>
                    </w:rPr>
                    <w:t>符合性</w:t>
                  </w:r>
                </w:p>
              </w:tc>
            </w:tr>
            <w:tr w14:paraId="09838E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453" w:type="dxa"/>
                  <w:vAlign w:val="center"/>
                </w:tcPr>
                <w:p w14:paraId="1677A40D">
                  <w:pPr>
                    <w:numPr>
                      <w:ilvl w:val="0"/>
                      <w:numId w:val="0"/>
                    </w:numPr>
                    <w:bidi w:val="0"/>
                    <w:spacing w:line="240" w:lineRule="auto"/>
                    <w:jc w:val="both"/>
                    <w:rPr>
                      <w:rFonts w:hint="default" w:ascii="Times New Roman" w:hAnsi="Times New Roman" w:eastAsia="宋体" w:cs="Times New Roman"/>
                      <w:color w:val="auto"/>
                      <w:sz w:val="21"/>
                      <w:szCs w:val="21"/>
                      <w:vertAlign w:val="baseline"/>
                    </w:rPr>
                  </w:pPr>
                  <w:r>
                    <w:rPr>
                      <w:rFonts w:hint="default" w:ascii="Times New Roman" w:hAnsi="Times New Roman" w:eastAsia="宋体" w:cs="Times New Roman"/>
                      <w:color w:val="auto"/>
                      <w:sz w:val="21"/>
                      <w:szCs w:val="21"/>
                      <w:vertAlign w:val="baseline"/>
                    </w:rPr>
                    <w:t>切实加大保护力度。严格控制在优先保护类耕地集中区域新建有色金属矿采选、有色金属冶炼、石油加工、化工、焦化、电镀、制革、天然</w:t>
                  </w:r>
                  <w:r>
                    <w:rPr>
                      <w:rFonts w:hint="default" w:ascii="Times New Roman" w:hAnsi="Times New Roman" w:eastAsia="宋体" w:cs="Times New Roman"/>
                      <w:color w:val="auto"/>
                      <w:sz w:val="21"/>
                      <w:szCs w:val="21"/>
                      <w:vertAlign w:val="baseline"/>
                      <w:lang w:eastAsia="zh-CN"/>
                    </w:rPr>
                    <w:t>（</w:t>
                  </w:r>
                  <w:r>
                    <w:rPr>
                      <w:rFonts w:hint="default" w:ascii="Times New Roman" w:hAnsi="Times New Roman" w:eastAsia="宋体" w:cs="Times New Roman"/>
                      <w:color w:val="auto"/>
                      <w:sz w:val="21"/>
                      <w:szCs w:val="21"/>
                      <w:vertAlign w:val="baseline"/>
                    </w:rPr>
                    <w:t>页岩</w:t>
                  </w:r>
                  <w:r>
                    <w:rPr>
                      <w:rFonts w:hint="default" w:ascii="Times New Roman" w:hAnsi="Times New Roman" w:eastAsia="宋体" w:cs="Times New Roman"/>
                      <w:color w:val="auto"/>
                      <w:sz w:val="21"/>
                      <w:szCs w:val="21"/>
                      <w:vertAlign w:val="baseline"/>
                      <w:lang w:eastAsia="zh-CN"/>
                    </w:rPr>
                    <w:t>）</w:t>
                  </w:r>
                  <w:r>
                    <w:rPr>
                      <w:rFonts w:hint="default" w:ascii="Times New Roman" w:hAnsi="Times New Roman" w:eastAsia="宋体" w:cs="Times New Roman"/>
                      <w:color w:val="auto"/>
                      <w:sz w:val="21"/>
                      <w:szCs w:val="21"/>
                      <w:vertAlign w:val="baseline"/>
                    </w:rPr>
                    <w:t>气开采、铅蓄电池、汽车制造、农药、危废处置、电子拆解、涉重等行业企业。</w:t>
                  </w:r>
                </w:p>
              </w:tc>
              <w:tc>
                <w:tcPr>
                  <w:tcW w:w="3608" w:type="dxa"/>
                  <w:vAlign w:val="center"/>
                </w:tcPr>
                <w:p w14:paraId="00E741CE">
                  <w:pPr>
                    <w:numPr>
                      <w:ilvl w:val="0"/>
                      <w:numId w:val="0"/>
                    </w:numPr>
                    <w:bidi w:val="0"/>
                    <w:spacing w:line="240" w:lineRule="auto"/>
                    <w:jc w:val="both"/>
                    <w:rPr>
                      <w:rFonts w:hint="eastAsia" w:ascii="Times New Roman" w:hAnsi="Times New Roman" w:eastAsia="宋体" w:cs="Times New Roman"/>
                      <w:color w:val="auto"/>
                      <w:sz w:val="21"/>
                      <w:szCs w:val="21"/>
                      <w:vertAlign w:val="baseline"/>
                      <w:lang w:eastAsia="zh-CN"/>
                    </w:rPr>
                  </w:pPr>
                  <w:r>
                    <w:rPr>
                      <w:rFonts w:hint="eastAsia" w:cs="Times New Roman"/>
                      <w:color w:val="auto"/>
                      <w:sz w:val="21"/>
                      <w:szCs w:val="21"/>
                      <w:vertAlign w:val="baseline"/>
                      <w:lang w:val="en-US" w:eastAsia="zh-CN"/>
                    </w:rPr>
                    <w:t>项目</w:t>
                  </w:r>
                  <w:r>
                    <w:rPr>
                      <w:rFonts w:hint="default" w:ascii="Times New Roman" w:hAnsi="Times New Roman" w:eastAsia="宋体" w:cs="Times New Roman"/>
                      <w:color w:val="auto"/>
                      <w:sz w:val="21"/>
                      <w:szCs w:val="21"/>
                      <w:vertAlign w:val="baseline"/>
                    </w:rPr>
                    <w:t>租用已建标准厂房进行建设，用地为工业用地，不涉及基本农田等土壤环境敏感目标</w:t>
                  </w:r>
                  <w:r>
                    <w:rPr>
                      <w:rFonts w:hint="eastAsia" w:cs="Times New Roman"/>
                      <w:color w:val="auto"/>
                      <w:sz w:val="21"/>
                      <w:szCs w:val="21"/>
                      <w:vertAlign w:val="baseline"/>
                      <w:lang w:eastAsia="zh-CN"/>
                    </w:rPr>
                    <w:t>；</w:t>
                  </w:r>
                  <w:r>
                    <w:rPr>
                      <w:rFonts w:hint="default" w:ascii="Times New Roman" w:hAnsi="Times New Roman" w:eastAsia="宋体" w:cs="Times New Roman"/>
                      <w:color w:val="auto"/>
                      <w:sz w:val="21"/>
                      <w:szCs w:val="21"/>
                      <w:vertAlign w:val="baseline"/>
                    </w:rPr>
                    <w:t>所在地不属于优先保护类耕地集中区域，项目也不属于该类情况控制企业</w:t>
                  </w:r>
                  <w:r>
                    <w:rPr>
                      <w:rFonts w:hint="eastAsia" w:ascii="Times New Roman" w:hAnsi="Times New Roman" w:eastAsia="宋体" w:cs="Times New Roman"/>
                      <w:color w:val="auto"/>
                      <w:sz w:val="21"/>
                      <w:szCs w:val="21"/>
                      <w:vertAlign w:val="baseline"/>
                      <w:lang w:eastAsia="zh-CN"/>
                    </w:rPr>
                    <w:t>。</w:t>
                  </w:r>
                </w:p>
              </w:tc>
              <w:tc>
                <w:tcPr>
                  <w:tcW w:w="857" w:type="dxa"/>
                  <w:vAlign w:val="center"/>
                </w:tcPr>
                <w:p w14:paraId="01D3DB5C">
                  <w:pPr>
                    <w:numPr>
                      <w:ilvl w:val="0"/>
                      <w:numId w:val="0"/>
                    </w:numPr>
                    <w:bidi w:val="0"/>
                    <w:spacing w:line="240" w:lineRule="auto"/>
                    <w:jc w:val="center"/>
                    <w:rPr>
                      <w:rFonts w:hint="default" w:ascii="Times New Roman" w:hAnsi="Times New Roman" w:eastAsia="宋体" w:cs="Times New Roman"/>
                      <w:color w:val="auto"/>
                      <w:sz w:val="21"/>
                      <w:szCs w:val="21"/>
                      <w:vertAlign w:val="baseline"/>
                    </w:rPr>
                  </w:pPr>
                  <w:r>
                    <w:rPr>
                      <w:rFonts w:hint="default" w:ascii="Times New Roman" w:hAnsi="Times New Roman" w:eastAsia="宋体" w:cs="Times New Roman"/>
                      <w:color w:val="auto"/>
                      <w:sz w:val="21"/>
                      <w:szCs w:val="21"/>
                      <w:vertAlign w:val="baseline"/>
                    </w:rPr>
                    <w:t>符合</w:t>
                  </w:r>
                </w:p>
              </w:tc>
            </w:tr>
            <w:tr w14:paraId="0B9067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453" w:type="dxa"/>
                  <w:vAlign w:val="center"/>
                </w:tcPr>
                <w:p w14:paraId="6AD3DD5E">
                  <w:pPr>
                    <w:numPr>
                      <w:ilvl w:val="0"/>
                      <w:numId w:val="0"/>
                    </w:numPr>
                    <w:bidi w:val="0"/>
                    <w:spacing w:line="240" w:lineRule="auto"/>
                    <w:jc w:val="both"/>
                    <w:rPr>
                      <w:rFonts w:hint="default" w:ascii="Times New Roman" w:hAnsi="Times New Roman" w:eastAsia="宋体" w:cs="Times New Roman"/>
                      <w:color w:val="auto"/>
                      <w:sz w:val="21"/>
                      <w:szCs w:val="21"/>
                      <w:vertAlign w:val="baseline"/>
                    </w:rPr>
                  </w:pPr>
                  <w:r>
                    <w:rPr>
                      <w:rFonts w:hint="default" w:ascii="Times New Roman" w:hAnsi="Times New Roman" w:eastAsia="宋体" w:cs="Times New Roman"/>
                      <w:color w:val="auto"/>
                      <w:sz w:val="21"/>
                      <w:szCs w:val="21"/>
                      <w:vertAlign w:val="baseline"/>
                    </w:rPr>
                    <w:t>防范建设用地新增污染。排放重点污染物的建设项目，</w:t>
                  </w:r>
                  <w:r>
                    <w:rPr>
                      <w:rFonts w:hint="eastAsia" w:ascii="宋体" w:hAnsi="宋体" w:eastAsia="宋体" w:cs="宋体"/>
                      <w:color w:val="auto"/>
                      <w:sz w:val="21"/>
                      <w:szCs w:val="21"/>
                      <w:vertAlign w:val="baseline"/>
                    </w:rPr>
                    <w:t>在“环评”时</w:t>
                  </w:r>
                  <w:r>
                    <w:rPr>
                      <w:rFonts w:hint="default" w:ascii="Times New Roman" w:hAnsi="Times New Roman" w:eastAsia="宋体" w:cs="Times New Roman"/>
                      <w:color w:val="auto"/>
                      <w:sz w:val="21"/>
                      <w:szCs w:val="21"/>
                      <w:vertAlign w:val="baseline"/>
                    </w:rPr>
                    <w:t>，要增加对土壤环境影响的评价内容。严格落实</w:t>
                  </w:r>
                  <w:r>
                    <w:rPr>
                      <w:rFonts w:hint="eastAsia" w:ascii="宋体" w:hAnsi="宋体" w:eastAsia="宋体" w:cs="宋体"/>
                      <w:color w:val="auto"/>
                      <w:sz w:val="21"/>
                      <w:szCs w:val="21"/>
                      <w:vertAlign w:val="baseline"/>
                    </w:rPr>
                    <w:t>环保“三同时”制</w:t>
                  </w:r>
                  <w:r>
                    <w:rPr>
                      <w:rFonts w:hint="default" w:ascii="Times New Roman" w:hAnsi="Times New Roman" w:eastAsia="宋体" w:cs="Times New Roman"/>
                      <w:color w:val="auto"/>
                      <w:sz w:val="21"/>
                      <w:szCs w:val="21"/>
                      <w:vertAlign w:val="baseline"/>
                    </w:rPr>
                    <w:t>度。加强现有重点行业企业监管，2017年起，属地政府要与本行政区域内的重点行业企业签订土壤污染防治责任书，责任书向社会公开</w:t>
                  </w:r>
                </w:p>
              </w:tc>
              <w:tc>
                <w:tcPr>
                  <w:tcW w:w="3608" w:type="dxa"/>
                  <w:vAlign w:val="center"/>
                </w:tcPr>
                <w:p w14:paraId="296582BC">
                  <w:pPr>
                    <w:numPr>
                      <w:ilvl w:val="0"/>
                      <w:numId w:val="0"/>
                    </w:numPr>
                    <w:bidi w:val="0"/>
                    <w:spacing w:line="240" w:lineRule="auto"/>
                    <w:jc w:val="both"/>
                    <w:rPr>
                      <w:rFonts w:hint="default" w:ascii="Times New Roman" w:hAnsi="Times New Roman" w:eastAsia="宋体" w:cs="Times New Roman"/>
                      <w:color w:val="auto"/>
                      <w:sz w:val="21"/>
                      <w:szCs w:val="21"/>
                      <w:vertAlign w:val="baseline"/>
                    </w:rPr>
                  </w:pPr>
                  <w:r>
                    <w:rPr>
                      <w:rFonts w:hint="eastAsia" w:cs="Times New Roman"/>
                      <w:color w:val="auto"/>
                      <w:sz w:val="21"/>
                      <w:szCs w:val="21"/>
                      <w:vertAlign w:val="baseline"/>
                      <w:lang w:val="en-US" w:eastAsia="zh-CN"/>
                    </w:rPr>
                    <w:t>项目</w:t>
                  </w:r>
                  <w:r>
                    <w:rPr>
                      <w:rFonts w:hint="default" w:ascii="Times New Roman" w:hAnsi="Times New Roman" w:eastAsia="宋体" w:cs="Times New Roman"/>
                      <w:color w:val="auto"/>
                      <w:sz w:val="21"/>
                      <w:szCs w:val="21"/>
                      <w:vertAlign w:val="baseline"/>
                    </w:rPr>
                    <w:t>不属于排放重点污染物的建设项目，正常运行过程</w:t>
                  </w:r>
                  <w:r>
                    <w:rPr>
                      <w:rFonts w:hint="eastAsia" w:ascii="宋体" w:hAnsi="宋体" w:eastAsia="宋体" w:cs="宋体"/>
                      <w:color w:val="auto"/>
                      <w:sz w:val="21"/>
                      <w:szCs w:val="21"/>
                      <w:vertAlign w:val="baseline"/>
                    </w:rPr>
                    <w:t>中加强“三废”污染防</w:t>
                  </w:r>
                  <w:r>
                    <w:rPr>
                      <w:rFonts w:hint="default" w:ascii="Times New Roman" w:hAnsi="Times New Roman" w:eastAsia="宋体" w:cs="Times New Roman"/>
                      <w:color w:val="auto"/>
                      <w:sz w:val="21"/>
                      <w:szCs w:val="21"/>
                      <w:vertAlign w:val="baseline"/>
                    </w:rPr>
                    <w:t>治措施的运行管理，确保主要污染物稳定达标排放；提出了严格的土壤、地下水污染防范措施，加强环境管理，确保风险可控。</w:t>
                  </w:r>
                </w:p>
              </w:tc>
              <w:tc>
                <w:tcPr>
                  <w:tcW w:w="857" w:type="dxa"/>
                  <w:vAlign w:val="center"/>
                </w:tcPr>
                <w:p w14:paraId="3D741EBC">
                  <w:pPr>
                    <w:numPr>
                      <w:ilvl w:val="0"/>
                      <w:numId w:val="0"/>
                    </w:numPr>
                    <w:bidi w:val="0"/>
                    <w:spacing w:line="240" w:lineRule="auto"/>
                    <w:jc w:val="center"/>
                    <w:rPr>
                      <w:rFonts w:hint="default" w:ascii="Times New Roman" w:hAnsi="Times New Roman" w:eastAsia="宋体" w:cs="Times New Roman"/>
                      <w:color w:val="auto"/>
                      <w:sz w:val="21"/>
                      <w:szCs w:val="21"/>
                      <w:vertAlign w:val="baseline"/>
                    </w:rPr>
                  </w:pPr>
                  <w:r>
                    <w:rPr>
                      <w:rFonts w:hint="default" w:ascii="Times New Roman" w:hAnsi="Times New Roman" w:eastAsia="宋体" w:cs="Times New Roman"/>
                      <w:color w:val="auto"/>
                      <w:sz w:val="21"/>
                      <w:szCs w:val="21"/>
                      <w:vertAlign w:val="baseline"/>
                    </w:rPr>
                    <w:t>符合</w:t>
                  </w:r>
                </w:p>
              </w:tc>
            </w:tr>
          </w:tbl>
          <w:p w14:paraId="4FD4CC63">
            <w:pPr>
              <w:numPr>
                <w:ilvl w:val="0"/>
                <w:numId w:val="0"/>
              </w:numPr>
              <w:bidi w:val="0"/>
              <w:spacing w:line="360" w:lineRule="auto"/>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综上所述，本项目的建设符合</w:t>
            </w:r>
            <w:r>
              <w:rPr>
                <w:rFonts w:hint="eastAsia" w:cs="Times New Roman"/>
                <w:color w:val="auto"/>
                <w:sz w:val="24"/>
                <w:szCs w:val="24"/>
                <w:lang w:val="en-US" w:eastAsia="zh-CN"/>
              </w:rPr>
              <w:t>相关</w:t>
            </w:r>
            <w:r>
              <w:rPr>
                <w:rFonts w:hint="default" w:ascii="Times New Roman" w:hAnsi="Times New Roman" w:eastAsia="宋体" w:cs="Times New Roman"/>
                <w:color w:val="auto"/>
                <w:sz w:val="24"/>
                <w:szCs w:val="24"/>
              </w:rPr>
              <w:t>土壤污染防治行动计划的要求。</w:t>
            </w:r>
          </w:p>
          <w:p w14:paraId="52A45AC8">
            <w:pPr>
              <w:numPr>
                <w:ilvl w:val="0"/>
                <w:numId w:val="6"/>
              </w:numPr>
              <w:bidi w:val="0"/>
              <w:spacing w:line="360" w:lineRule="auto"/>
              <w:ind w:left="0" w:leftChars="0" w:firstLine="0" w:firstLineChars="0"/>
              <w:rPr>
                <w:rFonts w:hint="eastAsia" w:ascii="Times New Roman" w:hAnsi="Times New Roman" w:eastAsia="宋体" w:cs="Times New Roman"/>
                <w:b/>
                <w:bCs/>
                <w:color w:val="auto"/>
                <w:sz w:val="24"/>
                <w:szCs w:val="24"/>
                <w:lang w:val="en-US" w:eastAsia="zh-CN"/>
              </w:rPr>
            </w:pPr>
            <w:r>
              <w:rPr>
                <w:rFonts w:hint="default" w:ascii="Times New Roman" w:hAnsi="Times New Roman" w:eastAsia="宋体" w:cs="Times New Roman"/>
                <w:b/>
                <w:bCs/>
                <w:color w:val="auto"/>
                <w:sz w:val="24"/>
                <w:szCs w:val="24"/>
              </w:rPr>
              <w:t>项目</w:t>
            </w:r>
            <w:r>
              <w:rPr>
                <w:rFonts w:hint="eastAsia" w:cs="Times New Roman"/>
                <w:b/>
                <w:bCs/>
                <w:color w:val="auto"/>
                <w:sz w:val="24"/>
                <w:szCs w:val="24"/>
                <w:lang w:val="en-US" w:eastAsia="zh-CN"/>
              </w:rPr>
              <w:t>与</w:t>
            </w:r>
            <w:r>
              <w:rPr>
                <w:rFonts w:hint="eastAsia" w:ascii="宋体" w:hAnsi="宋体" w:eastAsia="宋体" w:cs="宋体"/>
                <w:b/>
                <w:bCs/>
                <w:color w:val="auto"/>
                <w:sz w:val="24"/>
                <w:szCs w:val="24"/>
              </w:rPr>
              <w:t>“三线一单”符合</w:t>
            </w:r>
            <w:r>
              <w:rPr>
                <w:rFonts w:hint="default" w:ascii="Times New Roman" w:hAnsi="Times New Roman" w:eastAsia="宋体" w:cs="Times New Roman"/>
                <w:b/>
                <w:bCs/>
                <w:color w:val="auto"/>
                <w:sz w:val="24"/>
                <w:szCs w:val="24"/>
              </w:rPr>
              <w:t>性</w:t>
            </w:r>
            <w:r>
              <w:rPr>
                <w:rFonts w:hint="eastAsia" w:ascii="Times New Roman" w:hAnsi="Times New Roman" w:eastAsia="宋体" w:cs="Times New Roman"/>
                <w:b/>
                <w:bCs/>
                <w:color w:val="auto"/>
                <w:sz w:val="24"/>
                <w:szCs w:val="24"/>
                <w:lang w:val="en-US" w:eastAsia="zh-CN"/>
              </w:rPr>
              <w:t>分析</w:t>
            </w:r>
          </w:p>
          <w:p w14:paraId="239EA3D1">
            <w:pPr>
              <w:numPr>
                <w:ilvl w:val="0"/>
                <w:numId w:val="0"/>
              </w:numPr>
              <w:bidi w:val="0"/>
              <w:spacing w:line="360" w:lineRule="auto"/>
              <w:ind w:leftChars="0"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为更好的建立项目环评审批与规划环评</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现有项目环境管理</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区域环境质量联动机制</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更好地发挥环评制度从源头防范环境污染和生态破坏的作用</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加快推进改善环境质量</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环保部于2016年印发了《关于以改善环境质量为核心加强环境影响评价管理的通知》（环环评〔20</w:t>
            </w:r>
            <w:r>
              <w:rPr>
                <w:rFonts w:hint="eastAsia" w:cs="Times New Roman"/>
                <w:color w:val="auto"/>
                <w:sz w:val="24"/>
                <w:szCs w:val="24"/>
                <w:lang w:val="en-US" w:eastAsia="zh-CN"/>
              </w:rPr>
              <w:t>16</w:t>
            </w:r>
            <w:r>
              <w:rPr>
                <w:rFonts w:hint="default" w:ascii="Times New Roman" w:hAnsi="Times New Roman" w:eastAsia="宋体" w:cs="Times New Roman"/>
                <w:color w:val="auto"/>
                <w:sz w:val="24"/>
                <w:szCs w:val="24"/>
              </w:rPr>
              <w:t>〕150号</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明确环境影响评价需要落实</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生态保护红线</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环境质量底线</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资源利用上限和环境准入负面清单</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（简称</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三线一单</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约束。</w:t>
            </w:r>
          </w:p>
          <w:p w14:paraId="40B73EE1">
            <w:pPr>
              <w:numPr>
                <w:ilvl w:val="0"/>
                <w:numId w:val="0"/>
              </w:numPr>
              <w:bidi w:val="0"/>
              <w:spacing w:line="360" w:lineRule="auto"/>
              <w:ind w:leftChars="0" w:firstLine="480" w:firstLineChars="200"/>
              <w:rPr>
                <w:rFonts w:hint="eastAsia" w:ascii="宋体" w:hAnsi="宋体" w:eastAsia="宋体" w:cs="宋体"/>
                <w:color w:val="auto"/>
                <w:sz w:val="24"/>
                <w:szCs w:val="24"/>
                <w:lang w:eastAsia="zh-CN"/>
              </w:rPr>
            </w:pPr>
            <w:r>
              <w:rPr>
                <w:rFonts w:hint="eastAsia" w:ascii="宋体" w:hAnsi="宋体" w:eastAsia="宋体" w:cs="宋体"/>
                <w:color w:val="auto"/>
                <w:sz w:val="24"/>
                <w:szCs w:val="24"/>
              </w:rPr>
              <w:t>根据四川省生态环境厅办公室发布《产业园区规划环评“三线一单”符合性分析技术要点（试行）》和《项目环评“三线一单”符合性分析技术要点（试行）》的通知</w:t>
            </w:r>
            <w:r>
              <w:rPr>
                <w:rFonts w:hint="default" w:ascii="Times New Roman" w:hAnsi="Times New Roman" w:eastAsia="宋体" w:cs="Times New Roman"/>
                <w:color w:val="auto"/>
                <w:sz w:val="24"/>
                <w:szCs w:val="24"/>
              </w:rPr>
              <w:t>（川环办函〔2021〕469号）相关</w:t>
            </w:r>
            <w:r>
              <w:rPr>
                <w:rFonts w:hint="eastAsia" w:ascii="宋体" w:hAnsi="宋体" w:eastAsia="宋体" w:cs="宋体"/>
                <w:color w:val="auto"/>
                <w:sz w:val="24"/>
                <w:szCs w:val="24"/>
              </w:rPr>
              <w:t>要求，进行“三线一单”符合性分析，具体如下：</w:t>
            </w:r>
          </w:p>
          <w:p w14:paraId="6FB73B23">
            <w:pPr>
              <w:numPr>
                <w:ilvl w:val="0"/>
                <w:numId w:val="9"/>
              </w:numPr>
              <w:bidi w:val="0"/>
              <w:spacing w:line="360" w:lineRule="auto"/>
              <w:ind w:leftChars="0" w:firstLine="482" w:firstLineChars="200"/>
              <w:rPr>
                <w:rFonts w:hint="eastAsia" w:cs="Times New Roman"/>
                <w:b/>
                <w:bCs/>
                <w:color w:val="auto"/>
                <w:sz w:val="24"/>
                <w:szCs w:val="24"/>
                <w:lang w:eastAsia="zh-CN"/>
              </w:rPr>
            </w:pPr>
            <w:r>
              <w:rPr>
                <w:rFonts w:hint="eastAsia" w:cs="Times New Roman"/>
                <w:b/>
                <w:bCs/>
                <w:color w:val="auto"/>
                <w:sz w:val="24"/>
                <w:szCs w:val="24"/>
                <w:lang w:val="en-US" w:eastAsia="zh-CN"/>
              </w:rPr>
              <w:t>与“生态保护红线”</w:t>
            </w:r>
            <w:r>
              <w:rPr>
                <w:rFonts w:hint="eastAsia" w:cs="Times New Roman"/>
                <w:b/>
                <w:bCs/>
                <w:color w:val="auto"/>
                <w:sz w:val="24"/>
                <w:szCs w:val="24"/>
                <w:lang w:eastAsia="zh-CN"/>
              </w:rPr>
              <w:t>符合性分析</w:t>
            </w:r>
          </w:p>
          <w:p w14:paraId="2B10125A">
            <w:pPr>
              <w:numPr>
                <w:ilvl w:val="0"/>
                <w:numId w:val="0"/>
              </w:numPr>
              <w:bidi w:val="0"/>
              <w:spacing w:line="360" w:lineRule="auto"/>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根据</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关于落实生态保护红线</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环境质量底线</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资源利用上线和生态环境准人清单实施生态环境分区管控的通知</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遂府函〔2021〕74号</w:t>
            </w:r>
            <w:r>
              <w:rPr>
                <w:rFonts w:hint="eastAsia" w:cs="Times New Roman"/>
                <w:color w:val="auto"/>
                <w:sz w:val="24"/>
                <w:szCs w:val="24"/>
                <w:lang w:eastAsia="zh-CN"/>
              </w:rPr>
              <w:t>）</w:t>
            </w:r>
            <w:r>
              <w:rPr>
                <w:rFonts w:hint="eastAsia" w:cs="Times New Roman"/>
                <w:color w:val="auto"/>
                <w:sz w:val="24"/>
                <w:szCs w:val="24"/>
                <w:lang w:val="en-US" w:eastAsia="zh-CN"/>
              </w:rPr>
              <w:t>及</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关于印发四川省生态保护红线方案的通知</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（川府发〔2018〕24号</w:t>
            </w:r>
            <w:r>
              <w:rPr>
                <w:rFonts w:hint="eastAsia" w:cs="Times New Roman"/>
                <w:color w:val="auto"/>
                <w:sz w:val="24"/>
                <w:szCs w:val="24"/>
                <w:lang w:eastAsia="zh-CN"/>
              </w:rPr>
              <w:t>），本项目</w:t>
            </w:r>
            <w:r>
              <w:rPr>
                <w:rFonts w:hint="default" w:ascii="Times New Roman" w:hAnsi="Times New Roman" w:eastAsia="宋体" w:cs="Times New Roman"/>
                <w:color w:val="auto"/>
                <w:sz w:val="24"/>
                <w:szCs w:val="24"/>
              </w:rPr>
              <w:t>所在地不涉及生态保护红线。</w:t>
            </w:r>
          </w:p>
          <w:p w14:paraId="03DC53DD">
            <w:pPr>
              <w:numPr>
                <w:ilvl w:val="0"/>
                <w:numId w:val="0"/>
              </w:numPr>
              <w:bidi w:val="0"/>
              <w:spacing w:line="360" w:lineRule="auto"/>
              <w:ind w:firstLine="480" w:firstLineChars="200"/>
              <w:rPr>
                <w:rFonts w:hint="default" w:ascii="Times New Roman" w:hAnsi="Times New Roman" w:eastAsia="宋体" w:cs="Times New Roman"/>
                <w:color w:val="auto"/>
                <w:sz w:val="24"/>
                <w:szCs w:val="24"/>
              </w:rPr>
            </w:pPr>
            <w:r>
              <w:rPr>
                <w:rFonts w:hint="eastAsia" w:cs="Times New Roman"/>
                <w:color w:val="auto"/>
                <w:sz w:val="24"/>
                <w:szCs w:val="24"/>
                <w:lang w:eastAsia="zh-CN"/>
              </w:rPr>
              <w:t>本项目</w:t>
            </w:r>
            <w:r>
              <w:rPr>
                <w:rFonts w:hint="eastAsia" w:cs="Times New Roman"/>
                <w:color w:val="auto"/>
                <w:sz w:val="24"/>
                <w:szCs w:val="24"/>
                <w:lang w:val="en-US" w:eastAsia="zh-CN"/>
              </w:rPr>
              <w:t>在</w:t>
            </w:r>
            <w:r>
              <w:rPr>
                <w:rFonts w:hint="default" w:ascii="Times New Roman" w:hAnsi="Times New Roman" w:eastAsia="宋体" w:cs="Times New Roman"/>
                <w:color w:val="auto"/>
                <w:sz w:val="24"/>
                <w:szCs w:val="24"/>
              </w:rPr>
              <w:t>遂宁市生态保护红线分布图中位置见图1-</w:t>
            </w:r>
            <w:r>
              <w:rPr>
                <w:rFonts w:hint="eastAsia" w:cs="Times New Roman"/>
                <w:color w:val="auto"/>
                <w:sz w:val="24"/>
                <w:szCs w:val="24"/>
                <w:lang w:val="en-US" w:eastAsia="zh-CN"/>
              </w:rPr>
              <w:t>1</w:t>
            </w:r>
            <w:r>
              <w:rPr>
                <w:rFonts w:hint="default" w:ascii="Times New Roman" w:hAnsi="Times New Roman" w:eastAsia="宋体" w:cs="Times New Roman"/>
                <w:color w:val="auto"/>
                <w:sz w:val="24"/>
                <w:szCs w:val="24"/>
              </w:rPr>
              <w:t>。</w:t>
            </w:r>
          </w:p>
          <w:p w14:paraId="1C4769B1">
            <w:pPr>
              <w:numPr>
                <w:ilvl w:val="0"/>
                <w:numId w:val="0"/>
              </w:numPr>
              <w:bidi w:val="0"/>
              <w:spacing w:line="360" w:lineRule="auto"/>
              <w:ind w:firstLine="480" w:firstLineChars="200"/>
              <w:rPr>
                <w:rFonts w:hint="default" w:ascii="Times New Roman" w:hAnsi="Times New Roman" w:eastAsia="宋体" w:cs="Times New Roman"/>
                <w:color w:val="auto"/>
                <w:sz w:val="24"/>
                <w:szCs w:val="24"/>
              </w:rPr>
            </w:pPr>
          </w:p>
          <w:p w14:paraId="499E6129">
            <w:pPr>
              <w:numPr>
                <w:ilvl w:val="0"/>
                <w:numId w:val="0"/>
              </w:numPr>
              <w:bidi w:val="0"/>
              <w:spacing w:line="360" w:lineRule="auto"/>
              <w:ind w:firstLine="480" w:firstLineChars="200"/>
              <w:rPr>
                <w:rFonts w:hint="default" w:ascii="Times New Roman" w:hAnsi="Times New Roman" w:eastAsia="宋体" w:cs="Times New Roman"/>
                <w:color w:val="auto"/>
                <w:sz w:val="24"/>
                <w:szCs w:val="24"/>
              </w:rPr>
            </w:pPr>
          </w:p>
          <w:p w14:paraId="3EC6E645">
            <w:pPr>
              <w:numPr>
                <w:ilvl w:val="0"/>
                <w:numId w:val="0"/>
              </w:numPr>
              <w:bidi w:val="0"/>
              <w:spacing w:line="360" w:lineRule="auto"/>
              <w:ind w:firstLine="480" w:firstLineChars="200"/>
              <w:rPr>
                <w:rFonts w:hint="default" w:ascii="Times New Roman" w:hAnsi="Times New Roman" w:eastAsia="宋体" w:cs="Times New Roman"/>
                <w:color w:val="auto"/>
                <w:sz w:val="24"/>
                <w:szCs w:val="24"/>
              </w:rPr>
            </w:pPr>
          </w:p>
          <w:p w14:paraId="00A31DC3">
            <w:pPr>
              <w:numPr>
                <w:ilvl w:val="0"/>
                <w:numId w:val="0"/>
              </w:numPr>
              <w:bidi w:val="0"/>
              <w:spacing w:line="360" w:lineRule="auto"/>
              <w:ind w:firstLine="480" w:firstLineChars="200"/>
              <w:rPr>
                <w:rFonts w:hint="default" w:ascii="Times New Roman" w:hAnsi="Times New Roman" w:eastAsia="宋体" w:cs="Times New Roman"/>
                <w:color w:val="auto"/>
                <w:sz w:val="24"/>
                <w:szCs w:val="24"/>
              </w:rPr>
            </w:pPr>
          </w:p>
          <w:p w14:paraId="2CE35E9F">
            <w:pPr>
              <w:numPr>
                <w:ilvl w:val="0"/>
                <w:numId w:val="0"/>
              </w:numPr>
              <w:bidi w:val="0"/>
              <w:spacing w:line="360" w:lineRule="auto"/>
              <w:rPr>
                <w:rFonts w:hint="eastAsia" w:eastAsia="宋体"/>
                <w:lang w:val="en-US" w:eastAsia="zh-CN"/>
              </w:rPr>
            </w:pPr>
          </w:p>
          <w:p w14:paraId="7E7E45BE">
            <w:pPr>
              <w:pStyle w:val="16"/>
              <w:spacing w:line="360" w:lineRule="auto"/>
              <w:jc w:val="center"/>
              <w:rPr>
                <w:rFonts w:hint="default" w:ascii="Times New Roman" w:hAnsi="Times New Roman" w:eastAsia="宋体" w:cs="Times New Roman"/>
                <w:b/>
                <w:bCs/>
                <w:color w:val="auto"/>
                <w:sz w:val="21"/>
                <w:szCs w:val="21"/>
                <w:lang w:val="en-US" w:eastAsia="zh-CN"/>
              </w:rPr>
            </w:pPr>
            <w:r>
              <w:drawing>
                <wp:inline distT="0" distB="0" distL="114300" distR="114300">
                  <wp:extent cx="5026025" cy="3559175"/>
                  <wp:effectExtent l="0" t="0" r="3175" b="3175"/>
                  <wp:docPr id="13"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4"/>
                          <pic:cNvPicPr>
                            <a:picLocks noChangeAspect="1"/>
                          </pic:cNvPicPr>
                        </pic:nvPicPr>
                        <pic:blipFill>
                          <a:blip r:embed="rId13"/>
                          <a:stretch>
                            <a:fillRect/>
                          </a:stretch>
                        </pic:blipFill>
                        <pic:spPr>
                          <a:xfrm>
                            <a:off x="0" y="0"/>
                            <a:ext cx="5026025" cy="3559175"/>
                          </a:xfrm>
                          <a:prstGeom prst="rect">
                            <a:avLst/>
                          </a:prstGeom>
                          <a:noFill/>
                          <a:ln>
                            <a:noFill/>
                          </a:ln>
                        </pic:spPr>
                      </pic:pic>
                    </a:graphicData>
                  </a:graphic>
                </wp:inline>
              </w:drawing>
            </w:r>
            <w:r>
              <w:rPr>
                <w:rFonts w:hint="eastAsia" w:ascii="Times New Roman" w:hAnsi="Times New Roman" w:cs="Times New Roman"/>
                <w:b/>
                <w:bCs/>
                <w:color w:val="auto"/>
                <w:sz w:val="21"/>
                <w:szCs w:val="21"/>
                <w:lang w:val="en-US" w:eastAsia="zh-CN"/>
              </w:rPr>
              <w:t xml:space="preserve">图1-1 </w:t>
            </w:r>
            <w:r>
              <w:rPr>
                <w:rFonts w:hint="eastAsia" w:ascii="Times New Roman" w:hAnsi="Times New Roman" w:eastAsia="宋体" w:cs="Times New Roman"/>
                <w:b/>
                <w:bCs/>
                <w:color w:val="auto"/>
                <w:sz w:val="21"/>
                <w:szCs w:val="21"/>
                <w:lang w:val="en-US" w:eastAsia="zh-CN"/>
              </w:rPr>
              <w:t>项目与遂宁市生态保护红线的位置关系</w:t>
            </w:r>
            <w:r>
              <w:rPr>
                <w:rFonts w:hint="eastAsia" w:ascii="Times New Roman" w:hAnsi="Times New Roman" w:cs="Times New Roman"/>
                <w:b/>
                <w:bCs/>
                <w:color w:val="auto"/>
                <w:sz w:val="21"/>
                <w:szCs w:val="21"/>
                <w:lang w:val="en-US" w:eastAsia="zh-CN"/>
              </w:rPr>
              <w:t>图</w:t>
            </w:r>
          </w:p>
          <w:p w14:paraId="51E35656">
            <w:pPr>
              <w:numPr>
                <w:ilvl w:val="0"/>
                <w:numId w:val="9"/>
              </w:numPr>
              <w:bidi w:val="0"/>
              <w:spacing w:line="360" w:lineRule="auto"/>
              <w:ind w:left="0" w:leftChars="0" w:firstLine="482" w:firstLineChars="200"/>
              <w:rPr>
                <w:rFonts w:hint="default" w:ascii="Times New Roman" w:hAnsi="Times New Roman" w:eastAsia="宋体" w:cs="Times New Roman"/>
                <w:b/>
                <w:bCs/>
                <w:color w:val="auto"/>
                <w:sz w:val="24"/>
                <w:szCs w:val="24"/>
              </w:rPr>
            </w:pPr>
            <w:r>
              <w:rPr>
                <w:rFonts w:hint="eastAsia" w:ascii="宋体" w:hAnsi="宋体" w:eastAsia="宋体" w:cs="宋体"/>
                <w:b/>
                <w:bCs/>
                <w:color w:val="auto"/>
                <w:sz w:val="24"/>
                <w:szCs w:val="24"/>
              </w:rPr>
              <w:t>与“三线一单”管</w:t>
            </w:r>
            <w:r>
              <w:rPr>
                <w:rFonts w:hint="default" w:ascii="Times New Roman" w:hAnsi="Times New Roman" w:eastAsia="宋体" w:cs="Times New Roman"/>
                <w:b/>
                <w:bCs/>
                <w:color w:val="auto"/>
                <w:sz w:val="24"/>
                <w:szCs w:val="24"/>
              </w:rPr>
              <w:t>控要求符合性</w:t>
            </w:r>
          </w:p>
          <w:p w14:paraId="3CE0A31F">
            <w:pPr>
              <w:numPr>
                <w:ilvl w:val="0"/>
                <w:numId w:val="10"/>
              </w:numPr>
              <w:bidi w:val="0"/>
              <w:spacing w:line="360" w:lineRule="auto"/>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环境管控单元</w:t>
            </w:r>
          </w:p>
          <w:p w14:paraId="4BCA4863">
            <w:pPr>
              <w:numPr>
                <w:ilvl w:val="0"/>
                <w:numId w:val="0"/>
              </w:numPr>
              <w:bidi w:val="0"/>
              <w:spacing w:line="360" w:lineRule="auto"/>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根据四川省</w:t>
            </w:r>
            <w:r>
              <w:rPr>
                <w:rFonts w:hint="eastAsia" w:ascii="宋体" w:hAnsi="宋体" w:eastAsia="宋体" w:cs="宋体"/>
                <w:color w:val="auto"/>
                <w:sz w:val="24"/>
                <w:szCs w:val="24"/>
              </w:rPr>
              <w:t>“三线一单”符</w:t>
            </w:r>
            <w:r>
              <w:rPr>
                <w:rFonts w:hint="default" w:ascii="Times New Roman" w:hAnsi="Times New Roman" w:eastAsia="宋体" w:cs="Times New Roman"/>
                <w:color w:val="auto"/>
                <w:sz w:val="24"/>
                <w:szCs w:val="24"/>
              </w:rPr>
              <w:t>合性分析</w:t>
            </w:r>
            <w:r>
              <w:rPr>
                <w:rFonts w:hint="eastAsia" w:ascii="Times New Roman" w:hAnsi="Times New Roman" w:eastAsia="宋体" w:cs="Times New Roman"/>
                <w:color w:val="auto"/>
                <w:sz w:val="24"/>
                <w:szCs w:val="24"/>
                <w:lang w:eastAsia="zh-CN"/>
              </w:rPr>
              <w:t>（</w:t>
            </w:r>
            <w:r>
              <w:rPr>
                <w:rFonts w:hint="default" w:ascii="Times New Roman" w:hAnsi="Times New Roman" w:eastAsia="宋体" w:cs="Times New Roman"/>
                <w:color w:val="auto"/>
                <w:sz w:val="24"/>
                <w:szCs w:val="24"/>
              </w:rPr>
              <w:t>https</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//www.sczwfw.gov.cn/tftb/ho</w:t>
            </w:r>
          </w:p>
          <w:p w14:paraId="6A8C9E1B">
            <w:pPr>
              <w:numPr>
                <w:ilvl w:val="0"/>
                <w:numId w:val="0"/>
              </w:numPr>
              <w:bidi w:val="0"/>
              <w:spacing w:line="360" w:lineRule="auto"/>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rPr>
              <w:t>s-server/pub/jmas/jmasbucket/jmopen_files/webapp/html5/sxydctfx/index.html?areaCode=510000000000</w:t>
            </w:r>
            <w:r>
              <w:rPr>
                <w:rFonts w:hint="eastAsia" w:cs="Times New Roman"/>
                <w:color w:val="auto"/>
                <w:sz w:val="24"/>
                <w:szCs w:val="24"/>
                <w:lang w:eastAsia="zh-CN"/>
              </w:rPr>
              <w:t>）</w:t>
            </w:r>
            <w:r>
              <w:rPr>
                <w:rFonts w:hint="eastAsia" w:ascii="Times New Roman" w:hAnsi="Times New Roman" w:eastAsia="宋体" w:cs="Times New Roman"/>
                <w:color w:val="auto"/>
                <w:sz w:val="24"/>
                <w:szCs w:val="24"/>
                <w:lang w:eastAsia="zh-CN"/>
              </w:rPr>
              <w:t>查询</w:t>
            </w:r>
            <w:r>
              <w:rPr>
                <w:rFonts w:hint="eastAsia" w:ascii="Times New Roman" w:hAnsi="Times New Roman" w:eastAsia="宋体" w:cs="Times New Roman"/>
                <w:color w:val="auto"/>
                <w:sz w:val="24"/>
                <w:szCs w:val="24"/>
                <w:lang w:val="en-US" w:eastAsia="zh-CN"/>
              </w:rPr>
              <w:t>，本项目涉及的环境管控单元见下表</w:t>
            </w:r>
            <w:r>
              <w:rPr>
                <w:rFonts w:hint="default" w:ascii="Times New Roman" w:hAnsi="Times New Roman" w:eastAsia="宋体" w:cs="Times New Roman"/>
                <w:color w:val="auto"/>
                <w:sz w:val="24"/>
                <w:szCs w:val="24"/>
              </w:rPr>
              <w:t>1-</w:t>
            </w:r>
            <w:r>
              <w:rPr>
                <w:rFonts w:hint="eastAsia" w:cs="Times New Roman"/>
                <w:color w:val="auto"/>
                <w:sz w:val="24"/>
                <w:szCs w:val="24"/>
                <w:lang w:val="en-US" w:eastAsia="zh-CN"/>
              </w:rPr>
              <w:t>11，与管控单元相对位置如下图1-2：</w:t>
            </w:r>
            <w:r>
              <w:rPr>
                <w:rFonts w:hint="default" w:ascii="Times New Roman" w:hAnsi="Times New Roman" w:eastAsia="宋体" w:cs="Times New Roman"/>
                <w:color w:val="auto"/>
                <w:sz w:val="24"/>
                <w:szCs w:val="24"/>
                <w:lang w:val="en-US" w:eastAsia="zh-CN"/>
              </w:rPr>
              <w:t>（图中</w:t>
            </w:r>
            <w:r>
              <w:rPr>
                <w:rFonts w:hint="default" w:ascii="Times New Roman" w:hAnsi="Times New Roman" w:eastAsia="宋体" w:cs="Times New Roman"/>
                <w:color w:val="00FFFF"/>
                <w:sz w:val="24"/>
                <w:szCs w:val="24"/>
              </w:rPr>
              <w:t>▼</w:t>
            </w:r>
            <w:r>
              <w:rPr>
                <w:rFonts w:hint="default" w:ascii="Times New Roman" w:hAnsi="Times New Roman" w:eastAsia="宋体" w:cs="Times New Roman"/>
                <w:color w:val="auto"/>
                <w:sz w:val="24"/>
                <w:szCs w:val="24"/>
                <w:lang w:val="en-US" w:eastAsia="zh-CN"/>
              </w:rPr>
              <w:t>表示项目位置）</w:t>
            </w:r>
          </w:p>
          <w:p w14:paraId="2939FEE2">
            <w:pPr>
              <w:numPr>
                <w:ilvl w:val="0"/>
                <w:numId w:val="0"/>
              </w:numPr>
              <w:bidi w:val="0"/>
              <w:spacing w:line="360" w:lineRule="auto"/>
              <w:jc w:val="center"/>
              <w:rPr>
                <w:rFonts w:hint="eastAsia" w:cs="Times New Roman"/>
                <w:b/>
                <w:bCs/>
                <w:color w:val="auto"/>
                <w:sz w:val="21"/>
                <w:szCs w:val="21"/>
                <w:lang w:val="en-US" w:eastAsia="zh-CN"/>
              </w:rPr>
            </w:pPr>
            <w:r>
              <w:rPr>
                <w:rFonts w:hint="eastAsia" w:cs="Times New Roman"/>
                <w:b/>
                <w:bCs/>
                <w:color w:val="auto"/>
                <w:sz w:val="21"/>
                <w:szCs w:val="21"/>
                <w:lang w:val="en-US" w:eastAsia="zh-CN"/>
              </w:rPr>
              <w:t>表1-11 项目涉及管控单元一览表</w:t>
            </w:r>
          </w:p>
          <w:tbl>
            <w:tblPr>
              <w:tblStyle w:val="27"/>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21"/>
              <w:gridCol w:w="2165"/>
              <w:gridCol w:w="910"/>
              <w:gridCol w:w="918"/>
              <w:gridCol w:w="1210"/>
              <w:gridCol w:w="1584"/>
            </w:tblGrid>
            <w:tr w14:paraId="48B241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12" w:hRule="atLeast"/>
                <w:tblHeader/>
              </w:trPr>
              <w:tc>
                <w:tcPr>
                  <w:tcW w:w="708" w:type="pct"/>
                  <w:noWrap w:val="0"/>
                  <w:vAlign w:val="center"/>
                </w:tcPr>
                <w:p w14:paraId="6C4E75EE">
                  <w:pPr>
                    <w:widowControl/>
                    <w:spacing w:line="240" w:lineRule="auto"/>
                    <w:ind w:firstLine="0" w:firstLineChars="0"/>
                    <w:jc w:val="center"/>
                    <w:rPr>
                      <w:rStyle w:val="30"/>
                      <w:rFonts w:hint="default" w:ascii="Times New Roman" w:hAnsi="Times New Roman" w:eastAsia="宋体" w:cs="Times New Roman"/>
                      <w:b/>
                      <w:bCs/>
                      <w:color w:val="auto"/>
                      <w:kern w:val="0"/>
                      <w:sz w:val="21"/>
                      <w:szCs w:val="21"/>
                      <w:lang w:val="en-US" w:eastAsia="zh-CN" w:bidi="ar-SA"/>
                    </w:rPr>
                  </w:pPr>
                  <w:r>
                    <w:rPr>
                      <w:rFonts w:hint="default" w:ascii="Times New Roman" w:hAnsi="Times New Roman" w:eastAsia="宋体" w:cs="Times New Roman"/>
                      <w:b/>
                      <w:bCs/>
                      <w:color w:val="auto"/>
                      <w:kern w:val="0"/>
                      <w:sz w:val="21"/>
                      <w:szCs w:val="21"/>
                      <w:lang w:val="en-US" w:eastAsia="zh-CN" w:bidi="ar-SA"/>
                    </w:rPr>
                    <w:t>环境管控单元编码</w:t>
                  </w:r>
                </w:p>
              </w:tc>
              <w:tc>
                <w:tcPr>
                  <w:tcW w:w="1368" w:type="pct"/>
                  <w:noWrap w:val="0"/>
                  <w:vAlign w:val="center"/>
                </w:tcPr>
                <w:p w14:paraId="14F499CE">
                  <w:pPr>
                    <w:widowControl/>
                    <w:spacing w:line="240" w:lineRule="auto"/>
                    <w:ind w:firstLine="0" w:firstLineChars="0"/>
                    <w:jc w:val="center"/>
                    <w:rPr>
                      <w:rStyle w:val="30"/>
                      <w:rFonts w:hint="default" w:ascii="Times New Roman" w:hAnsi="Times New Roman" w:eastAsia="宋体" w:cs="Times New Roman"/>
                      <w:b/>
                      <w:bCs/>
                      <w:color w:val="auto"/>
                      <w:kern w:val="0"/>
                      <w:sz w:val="21"/>
                      <w:szCs w:val="21"/>
                      <w:lang w:val="en-US" w:eastAsia="zh-CN" w:bidi="ar-SA"/>
                    </w:rPr>
                  </w:pPr>
                  <w:r>
                    <w:rPr>
                      <w:rFonts w:hint="default" w:ascii="Times New Roman" w:hAnsi="Times New Roman" w:eastAsia="宋体" w:cs="Times New Roman"/>
                      <w:b/>
                      <w:bCs/>
                      <w:color w:val="auto"/>
                      <w:kern w:val="0"/>
                      <w:sz w:val="21"/>
                      <w:szCs w:val="21"/>
                      <w:lang w:val="en-US" w:eastAsia="zh-CN" w:bidi="ar-SA"/>
                    </w:rPr>
                    <w:t>环境管控单元名称</w:t>
                  </w:r>
                </w:p>
              </w:tc>
              <w:tc>
                <w:tcPr>
                  <w:tcW w:w="575" w:type="pct"/>
                  <w:noWrap w:val="0"/>
                  <w:vAlign w:val="center"/>
                </w:tcPr>
                <w:p w14:paraId="250AD474">
                  <w:pPr>
                    <w:widowControl/>
                    <w:spacing w:line="240" w:lineRule="auto"/>
                    <w:ind w:firstLine="0" w:firstLineChars="0"/>
                    <w:jc w:val="center"/>
                    <w:rPr>
                      <w:rStyle w:val="30"/>
                      <w:rFonts w:hint="default" w:ascii="Times New Roman" w:hAnsi="Times New Roman" w:eastAsia="宋体" w:cs="Times New Roman"/>
                      <w:b/>
                      <w:bCs/>
                      <w:color w:val="auto"/>
                      <w:kern w:val="0"/>
                      <w:sz w:val="21"/>
                      <w:szCs w:val="21"/>
                      <w:lang w:val="en-US" w:eastAsia="zh-CN" w:bidi="ar-SA"/>
                    </w:rPr>
                  </w:pPr>
                  <w:r>
                    <w:rPr>
                      <w:rFonts w:hint="default" w:ascii="Times New Roman" w:hAnsi="Times New Roman" w:eastAsia="宋体" w:cs="Times New Roman"/>
                      <w:b/>
                      <w:bCs/>
                      <w:color w:val="auto"/>
                      <w:kern w:val="0"/>
                      <w:sz w:val="21"/>
                      <w:szCs w:val="21"/>
                      <w:lang w:val="en-US" w:eastAsia="zh-CN" w:bidi="ar-SA"/>
                    </w:rPr>
                    <w:t>所属市（州）</w:t>
                  </w:r>
                </w:p>
              </w:tc>
              <w:tc>
                <w:tcPr>
                  <w:tcW w:w="580" w:type="pct"/>
                  <w:noWrap w:val="0"/>
                  <w:vAlign w:val="center"/>
                </w:tcPr>
                <w:p w14:paraId="7FE2DB44">
                  <w:pPr>
                    <w:widowControl/>
                    <w:spacing w:line="240" w:lineRule="auto"/>
                    <w:ind w:firstLine="0" w:firstLineChars="0"/>
                    <w:jc w:val="center"/>
                    <w:rPr>
                      <w:rFonts w:hint="default" w:ascii="Times New Roman" w:hAnsi="Times New Roman" w:eastAsia="宋体" w:cs="Times New Roman"/>
                      <w:b/>
                      <w:bCs/>
                      <w:color w:val="auto"/>
                      <w:kern w:val="0"/>
                      <w:sz w:val="21"/>
                      <w:szCs w:val="21"/>
                      <w:lang w:val="en-US" w:eastAsia="zh-CN" w:bidi="ar-SA"/>
                    </w:rPr>
                  </w:pPr>
                  <w:r>
                    <w:rPr>
                      <w:rFonts w:hint="default" w:ascii="Times New Roman" w:hAnsi="Times New Roman" w:eastAsia="宋体" w:cs="Times New Roman"/>
                      <w:b/>
                      <w:bCs/>
                      <w:color w:val="auto"/>
                      <w:kern w:val="0"/>
                      <w:sz w:val="21"/>
                      <w:szCs w:val="21"/>
                      <w:lang w:val="en-US" w:eastAsia="zh-CN" w:bidi="ar-SA"/>
                    </w:rPr>
                    <w:t>所属</w:t>
                  </w:r>
                </w:p>
                <w:p w14:paraId="61BF86F1">
                  <w:pPr>
                    <w:widowControl/>
                    <w:spacing w:line="240" w:lineRule="auto"/>
                    <w:ind w:firstLine="0" w:firstLineChars="0"/>
                    <w:jc w:val="center"/>
                    <w:rPr>
                      <w:rStyle w:val="30"/>
                      <w:rFonts w:hint="default" w:ascii="Times New Roman" w:hAnsi="Times New Roman" w:eastAsia="宋体" w:cs="Times New Roman"/>
                      <w:b/>
                      <w:bCs/>
                      <w:color w:val="auto"/>
                      <w:kern w:val="0"/>
                      <w:sz w:val="21"/>
                      <w:szCs w:val="21"/>
                      <w:lang w:val="en-US" w:eastAsia="zh-CN" w:bidi="ar-SA"/>
                    </w:rPr>
                  </w:pPr>
                  <w:r>
                    <w:rPr>
                      <w:rFonts w:hint="default" w:ascii="Times New Roman" w:hAnsi="Times New Roman" w:eastAsia="宋体" w:cs="Times New Roman"/>
                      <w:b/>
                      <w:bCs/>
                      <w:color w:val="auto"/>
                      <w:kern w:val="0"/>
                      <w:sz w:val="21"/>
                      <w:szCs w:val="21"/>
                      <w:lang w:val="en-US" w:eastAsia="zh-CN" w:bidi="ar-SA"/>
                    </w:rPr>
                    <w:t>区县</w:t>
                  </w:r>
                </w:p>
              </w:tc>
              <w:tc>
                <w:tcPr>
                  <w:tcW w:w="765" w:type="pct"/>
                  <w:noWrap w:val="0"/>
                  <w:vAlign w:val="center"/>
                </w:tcPr>
                <w:p w14:paraId="2E33D36C">
                  <w:pPr>
                    <w:widowControl/>
                    <w:spacing w:line="240" w:lineRule="auto"/>
                    <w:ind w:firstLine="0" w:firstLineChars="0"/>
                    <w:jc w:val="center"/>
                    <w:rPr>
                      <w:rStyle w:val="30"/>
                      <w:rFonts w:hint="default" w:ascii="Times New Roman" w:hAnsi="Times New Roman" w:eastAsia="宋体" w:cs="Times New Roman"/>
                      <w:b/>
                      <w:bCs/>
                      <w:color w:val="auto"/>
                      <w:kern w:val="0"/>
                      <w:sz w:val="21"/>
                      <w:szCs w:val="21"/>
                      <w:lang w:val="en-US" w:eastAsia="zh-CN" w:bidi="ar-SA"/>
                    </w:rPr>
                  </w:pPr>
                  <w:r>
                    <w:rPr>
                      <w:rFonts w:hint="default" w:ascii="Times New Roman" w:hAnsi="Times New Roman" w:eastAsia="宋体" w:cs="Times New Roman"/>
                      <w:b/>
                      <w:bCs/>
                      <w:color w:val="auto"/>
                      <w:kern w:val="0"/>
                      <w:sz w:val="21"/>
                      <w:szCs w:val="21"/>
                      <w:lang w:val="en-US" w:eastAsia="zh-CN" w:bidi="ar-SA"/>
                    </w:rPr>
                    <w:t>准入清单类型</w:t>
                  </w:r>
                </w:p>
              </w:tc>
              <w:tc>
                <w:tcPr>
                  <w:tcW w:w="1001" w:type="pct"/>
                  <w:noWrap w:val="0"/>
                  <w:vAlign w:val="center"/>
                </w:tcPr>
                <w:p w14:paraId="4A856888">
                  <w:pPr>
                    <w:widowControl/>
                    <w:spacing w:line="240" w:lineRule="auto"/>
                    <w:ind w:firstLine="0" w:firstLineChars="0"/>
                    <w:jc w:val="center"/>
                    <w:rPr>
                      <w:rStyle w:val="30"/>
                      <w:rFonts w:hint="default" w:ascii="Times New Roman" w:hAnsi="Times New Roman" w:eastAsia="宋体" w:cs="Times New Roman"/>
                      <w:b/>
                      <w:bCs/>
                      <w:color w:val="auto"/>
                      <w:kern w:val="0"/>
                      <w:sz w:val="21"/>
                      <w:szCs w:val="21"/>
                      <w:lang w:val="en-US" w:eastAsia="zh-CN" w:bidi="ar-SA"/>
                    </w:rPr>
                  </w:pPr>
                  <w:r>
                    <w:rPr>
                      <w:rFonts w:hint="default" w:ascii="Times New Roman" w:hAnsi="Times New Roman" w:eastAsia="宋体" w:cs="Times New Roman"/>
                      <w:b/>
                      <w:bCs/>
                      <w:color w:val="auto"/>
                      <w:kern w:val="0"/>
                      <w:sz w:val="21"/>
                      <w:szCs w:val="21"/>
                      <w:lang w:val="en-US" w:eastAsia="zh-CN" w:bidi="ar-SA"/>
                    </w:rPr>
                    <w:t>管控类型</w:t>
                  </w:r>
                </w:p>
              </w:tc>
            </w:tr>
            <w:tr w14:paraId="72C0A9F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16" w:hRule="atLeast"/>
                <w:tblHeader/>
              </w:trPr>
              <w:tc>
                <w:tcPr>
                  <w:tcW w:w="1121" w:type="dxa"/>
                  <w:noWrap w:val="0"/>
                  <w:vAlign w:val="center"/>
                </w:tcPr>
                <w:p w14:paraId="184F62E8">
                  <w:pPr>
                    <w:pStyle w:val="89"/>
                    <w:widowControl/>
                    <w:spacing w:line="240" w:lineRule="auto"/>
                    <w:ind w:firstLine="0" w:firstLineChars="0"/>
                    <w:jc w:val="center"/>
                    <w:rPr>
                      <w:rStyle w:val="30"/>
                      <w:rFonts w:hint="default" w:ascii="Times New Roman" w:hAnsi="Times New Roman" w:eastAsia="宋体" w:cs="Times New Roman"/>
                      <w:color w:val="auto"/>
                      <w:kern w:val="2"/>
                      <w:sz w:val="21"/>
                      <w:szCs w:val="21"/>
                      <w:lang w:val="en-US" w:eastAsia="zh-CN" w:bidi="ar-SA"/>
                    </w:rPr>
                  </w:pPr>
                  <w:r>
                    <w:rPr>
                      <w:rStyle w:val="30"/>
                      <w:rFonts w:hint="default" w:ascii="Times New Roman" w:hAnsi="Times New Roman" w:eastAsia="宋体" w:cs="Times New Roman"/>
                      <w:kern w:val="2"/>
                      <w:sz w:val="21"/>
                      <w:szCs w:val="21"/>
                      <w:lang w:val="en-US" w:eastAsia="zh-CN" w:bidi="ar-SA"/>
                    </w:rPr>
                    <w:t>ZH51090420003</w:t>
                  </w:r>
                </w:p>
              </w:tc>
              <w:tc>
                <w:tcPr>
                  <w:tcW w:w="2165" w:type="dxa"/>
                  <w:noWrap w:val="0"/>
                  <w:vAlign w:val="center"/>
                </w:tcPr>
                <w:p w14:paraId="478C0106">
                  <w:pPr>
                    <w:pStyle w:val="89"/>
                    <w:widowControl/>
                    <w:spacing w:line="240" w:lineRule="auto"/>
                    <w:ind w:firstLine="0" w:firstLineChars="0"/>
                    <w:jc w:val="center"/>
                    <w:rPr>
                      <w:rStyle w:val="30"/>
                      <w:rFonts w:hint="default" w:ascii="Times New Roman" w:hAnsi="Times New Roman" w:eastAsia="宋体" w:cs="Times New Roman"/>
                      <w:color w:val="auto"/>
                      <w:kern w:val="2"/>
                      <w:sz w:val="21"/>
                      <w:szCs w:val="21"/>
                      <w:lang w:val="en-US" w:eastAsia="zh-CN" w:bidi="ar-SA"/>
                    </w:rPr>
                  </w:pPr>
                  <w:r>
                    <w:rPr>
                      <w:rStyle w:val="30"/>
                      <w:rFonts w:hint="default" w:ascii="Times New Roman" w:hAnsi="Times New Roman" w:eastAsia="宋体" w:cs="Times New Roman"/>
                      <w:kern w:val="2"/>
                      <w:sz w:val="21"/>
                      <w:szCs w:val="21"/>
                      <w:lang w:val="en-US" w:eastAsia="zh-CN" w:bidi="ar-SA"/>
                    </w:rPr>
                    <w:t>遂宁市安居区工业集中发展区（含经开区）</w:t>
                  </w:r>
                </w:p>
              </w:tc>
              <w:tc>
                <w:tcPr>
                  <w:tcW w:w="575" w:type="pct"/>
                  <w:noWrap w:val="0"/>
                  <w:vAlign w:val="center"/>
                </w:tcPr>
                <w:p w14:paraId="0648EF42">
                  <w:pPr>
                    <w:pStyle w:val="89"/>
                    <w:widowControl/>
                    <w:spacing w:line="240" w:lineRule="auto"/>
                    <w:ind w:firstLine="0" w:firstLineChars="0"/>
                    <w:jc w:val="center"/>
                    <w:rPr>
                      <w:rStyle w:val="30"/>
                      <w:rFonts w:hint="default" w:ascii="Times New Roman" w:hAnsi="Times New Roman" w:eastAsia="宋体" w:cs="Times New Roman"/>
                      <w:color w:val="auto"/>
                      <w:kern w:val="2"/>
                      <w:sz w:val="21"/>
                      <w:szCs w:val="21"/>
                      <w:lang w:val="en-US" w:eastAsia="zh-CN" w:bidi="ar-SA"/>
                    </w:rPr>
                  </w:pPr>
                  <w:r>
                    <w:rPr>
                      <w:rStyle w:val="30"/>
                      <w:rFonts w:hint="default" w:ascii="Times New Roman" w:hAnsi="Times New Roman" w:eastAsia="宋体" w:cs="Times New Roman"/>
                      <w:kern w:val="2"/>
                      <w:sz w:val="21"/>
                      <w:szCs w:val="21"/>
                      <w:lang w:val="en-US" w:eastAsia="zh-CN" w:bidi="ar-SA"/>
                    </w:rPr>
                    <w:t>遂宁市</w:t>
                  </w:r>
                </w:p>
              </w:tc>
              <w:tc>
                <w:tcPr>
                  <w:tcW w:w="918" w:type="dxa"/>
                  <w:noWrap w:val="0"/>
                  <w:vAlign w:val="center"/>
                </w:tcPr>
                <w:p w14:paraId="0AD50EFA">
                  <w:pPr>
                    <w:pStyle w:val="89"/>
                    <w:widowControl/>
                    <w:spacing w:line="240" w:lineRule="auto"/>
                    <w:ind w:firstLine="0" w:firstLineChars="0"/>
                    <w:jc w:val="center"/>
                    <w:rPr>
                      <w:rStyle w:val="30"/>
                      <w:rFonts w:hint="default" w:ascii="Times New Roman" w:hAnsi="Times New Roman" w:eastAsia="宋体" w:cs="Times New Roman"/>
                      <w:color w:val="auto"/>
                      <w:kern w:val="2"/>
                      <w:sz w:val="21"/>
                      <w:szCs w:val="21"/>
                      <w:lang w:val="en-US" w:eastAsia="zh-CN" w:bidi="ar-SA"/>
                    </w:rPr>
                  </w:pPr>
                  <w:r>
                    <w:rPr>
                      <w:rStyle w:val="30"/>
                      <w:rFonts w:hint="default" w:ascii="Times New Roman" w:hAnsi="Times New Roman" w:eastAsia="宋体" w:cs="Times New Roman"/>
                      <w:kern w:val="2"/>
                      <w:sz w:val="21"/>
                      <w:szCs w:val="21"/>
                      <w:lang w:val="en-US" w:eastAsia="zh-CN" w:bidi="ar-SA"/>
                    </w:rPr>
                    <w:t>安居区</w:t>
                  </w:r>
                </w:p>
              </w:tc>
              <w:tc>
                <w:tcPr>
                  <w:tcW w:w="1210" w:type="dxa"/>
                  <w:noWrap w:val="0"/>
                  <w:vAlign w:val="center"/>
                </w:tcPr>
                <w:p w14:paraId="6878B5A8">
                  <w:pPr>
                    <w:pStyle w:val="89"/>
                    <w:widowControl/>
                    <w:spacing w:line="240" w:lineRule="auto"/>
                    <w:ind w:firstLine="0" w:firstLineChars="0"/>
                    <w:jc w:val="center"/>
                    <w:rPr>
                      <w:rStyle w:val="30"/>
                      <w:rFonts w:hint="default" w:ascii="Times New Roman" w:hAnsi="Times New Roman" w:eastAsia="宋体" w:cs="Times New Roman"/>
                      <w:color w:val="auto"/>
                      <w:kern w:val="2"/>
                      <w:sz w:val="21"/>
                      <w:szCs w:val="21"/>
                      <w:lang w:val="en-US" w:eastAsia="zh-CN" w:bidi="ar-SA"/>
                    </w:rPr>
                  </w:pPr>
                  <w:r>
                    <w:rPr>
                      <w:rStyle w:val="30"/>
                      <w:rFonts w:hint="default" w:ascii="Times New Roman" w:hAnsi="Times New Roman" w:eastAsia="宋体" w:cs="Times New Roman"/>
                      <w:kern w:val="2"/>
                      <w:sz w:val="21"/>
                      <w:szCs w:val="21"/>
                      <w:lang w:val="en-US" w:eastAsia="zh-CN" w:bidi="ar-SA"/>
                    </w:rPr>
                    <w:t>环境管控单元</w:t>
                  </w:r>
                </w:p>
              </w:tc>
              <w:tc>
                <w:tcPr>
                  <w:tcW w:w="1584" w:type="dxa"/>
                  <w:noWrap w:val="0"/>
                  <w:vAlign w:val="center"/>
                </w:tcPr>
                <w:p w14:paraId="1A720EEA">
                  <w:pPr>
                    <w:pStyle w:val="89"/>
                    <w:widowControl/>
                    <w:spacing w:line="240" w:lineRule="auto"/>
                    <w:ind w:firstLine="0" w:firstLineChars="0"/>
                    <w:jc w:val="center"/>
                    <w:rPr>
                      <w:rStyle w:val="30"/>
                      <w:rFonts w:hint="default" w:ascii="Times New Roman" w:hAnsi="Times New Roman" w:eastAsia="宋体" w:cs="Times New Roman"/>
                      <w:color w:val="auto"/>
                      <w:kern w:val="2"/>
                      <w:sz w:val="21"/>
                      <w:szCs w:val="21"/>
                      <w:lang w:val="en-US" w:eastAsia="zh-CN" w:bidi="ar-SA"/>
                    </w:rPr>
                  </w:pPr>
                  <w:r>
                    <w:rPr>
                      <w:rStyle w:val="30"/>
                      <w:rFonts w:hint="default" w:ascii="Times New Roman" w:hAnsi="Times New Roman" w:eastAsia="宋体" w:cs="Times New Roman"/>
                      <w:kern w:val="2"/>
                      <w:sz w:val="21"/>
                      <w:szCs w:val="21"/>
                      <w:lang w:val="en-US" w:eastAsia="zh-CN" w:bidi="ar-SA"/>
                    </w:rPr>
                    <w:t>环境综合管控单元工业重点管控单元</w:t>
                  </w:r>
                </w:p>
              </w:tc>
            </w:tr>
            <w:tr w14:paraId="49EFF2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16" w:hRule="atLeast"/>
                <w:tblHeader/>
              </w:trPr>
              <w:tc>
                <w:tcPr>
                  <w:tcW w:w="1121" w:type="dxa"/>
                  <w:noWrap w:val="0"/>
                  <w:vAlign w:val="center"/>
                </w:tcPr>
                <w:p w14:paraId="10D6F7A3">
                  <w:pPr>
                    <w:pStyle w:val="89"/>
                    <w:widowControl/>
                    <w:spacing w:line="240" w:lineRule="auto"/>
                    <w:ind w:firstLine="0" w:firstLineChars="0"/>
                    <w:jc w:val="center"/>
                    <w:rPr>
                      <w:rStyle w:val="30"/>
                      <w:rFonts w:hint="default" w:ascii="Times New Roman" w:hAnsi="Times New Roman" w:eastAsia="宋体" w:cs="Times New Roman"/>
                      <w:kern w:val="2"/>
                      <w:sz w:val="21"/>
                      <w:szCs w:val="21"/>
                      <w:lang w:val="en-US" w:eastAsia="zh-CN" w:bidi="ar-SA"/>
                    </w:rPr>
                  </w:pPr>
                  <w:r>
                    <w:rPr>
                      <w:rStyle w:val="30"/>
                      <w:rFonts w:hint="default" w:ascii="Times New Roman" w:hAnsi="Times New Roman" w:eastAsia="宋体" w:cs="Times New Roman"/>
                      <w:kern w:val="2"/>
                      <w:sz w:val="21"/>
                      <w:szCs w:val="21"/>
                      <w:lang w:val="en-US" w:eastAsia="zh-CN" w:bidi="ar-SA"/>
                    </w:rPr>
                    <w:t>YS5109042210014</w:t>
                  </w:r>
                </w:p>
              </w:tc>
              <w:tc>
                <w:tcPr>
                  <w:tcW w:w="2165" w:type="dxa"/>
                  <w:noWrap w:val="0"/>
                  <w:vAlign w:val="center"/>
                </w:tcPr>
                <w:p w14:paraId="48B01982">
                  <w:pPr>
                    <w:pStyle w:val="89"/>
                    <w:widowControl/>
                    <w:spacing w:line="240" w:lineRule="auto"/>
                    <w:ind w:firstLine="0" w:firstLineChars="0"/>
                    <w:jc w:val="center"/>
                    <w:rPr>
                      <w:rStyle w:val="30"/>
                      <w:rFonts w:hint="default" w:ascii="Times New Roman" w:hAnsi="Times New Roman" w:eastAsia="宋体" w:cs="Times New Roman"/>
                      <w:kern w:val="2"/>
                      <w:sz w:val="21"/>
                      <w:szCs w:val="21"/>
                      <w:lang w:val="en-US" w:eastAsia="zh-CN" w:bidi="ar-SA"/>
                    </w:rPr>
                  </w:pPr>
                  <w:r>
                    <w:rPr>
                      <w:rStyle w:val="30"/>
                      <w:rFonts w:hint="default" w:ascii="Times New Roman" w:hAnsi="Times New Roman" w:eastAsia="宋体" w:cs="Times New Roman"/>
                      <w:kern w:val="2"/>
                      <w:sz w:val="21"/>
                      <w:szCs w:val="21"/>
                      <w:lang w:val="en-US" w:eastAsia="zh-CN" w:bidi="ar-SA"/>
                    </w:rPr>
                    <w:t>琼江安居区跑马滩控制单元</w:t>
                  </w:r>
                </w:p>
              </w:tc>
              <w:tc>
                <w:tcPr>
                  <w:tcW w:w="575" w:type="pct"/>
                  <w:noWrap w:val="0"/>
                  <w:vAlign w:val="center"/>
                </w:tcPr>
                <w:p w14:paraId="520D9EC0">
                  <w:pPr>
                    <w:pStyle w:val="89"/>
                    <w:widowControl/>
                    <w:spacing w:line="240" w:lineRule="auto"/>
                    <w:ind w:firstLine="0" w:firstLineChars="0"/>
                    <w:jc w:val="center"/>
                    <w:rPr>
                      <w:rStyle w:val="30"/>
                      <w:rFonts w:hint="default" w:ascii="Times New Roman" w:hAnsi="Times New Roman" w:eastAsia="宋体" w:cs="Times New Roman"/>
                      <w:kern w:val="2"/>
                      <w:sz w:val="21"/>
                      <w:szCs w:val="21"/>
                      <w:lang w:val="en-US" w:eastAsia="zh-CN" w:bidi="ar-SA"/>
                    </w:rPr>
                  </w:pPr>
                  <w:r>
                    <w:rPr>
                      <w:rStyle w:val="30"/>
                      <w:rFonts w:hint="default" w:ascii="Times New Roman" w:hAnsi="Times New Roman" w:eastAsia="宋体" w:cs="Times New Roman"/>
                      <w:kern w:val="2"/>
                      <w:sz w:val="21"/>
                      <w:szCs w:val="21"/>
                      <w:lang w:val="en-US" w:eastAsia="zh-CN" w:bidi="ar-SA"/>
                    </w:rPr>
                    <w:t>遂宁市</w:t>
                  </w:r>
                </w:p>
              </w:tc>
              <w:tc>
                <w:tcPr>
                  <w:tcW w:w="918" w:type="dxa"/>
                  <w:noWrap w:val="0"/>
                  <w:vAlign w:val="center"/>
                </w:tcPr>
                <w:p w14:paraId="47F9F409">
                  <w:pPr>
                    <w:pStyle w:val="89"/>
                    <w:widowControl/>
                    <w:spacing w:line="240" w:lineRule="auto"/>
                    <w:ind w:firstLine="0" w:firstLineChars="0"/>
                    <w:jc w:val="center"/>
                    <w:rPr>
                      <w:rStyle w:val="30"/>
                      <w:rFonts w:hint="default" w:ascii="Times New Roman" w:hAnsi="Times New Roman" w:eastAsia="宋体" w:cs="Times New Roman"/>
                      <w:kern w:val="2"/>
                      <w:sz w:val="21"/>
                      <w:szCs w:val="21"/>
                      <w:lang w:val="en-US" w:eastAsia="zh-CN" w:bidi="ar-SA"/>
                    </w:rPr>
                  </w:pPr>
                  <w:r>
                    <w:rPr>
                      <w:rStyle w:val="30"/>
                      <w:rFonts w:hint="default" w:ascii="Times New Roman" w:hAnsi="Times New Roman" w:eastAsia="宋体" w:cs="Times New Roman"/>
                      <w:kern w:val="2"/>
                      <w:sz w:val="21"/>
                      <w:szCs w:val="21"/>
                      <w:lang w:val="en-US" w:eastAsia="zh-CN" w:bidi="ar-SA"/>
                    </w:rPr>
                    <w:t>安居区</w:t>
                  </w:r>
                </w:p>
              </w:tc>
              <w:tc>
                <w:tcPr>
                  <w:tcW w:w="1210" w:type="dxa"/>
                  <w:noWrap w:val="0"/>
                  <w:vAlign w:val="center"/>
                </w:tcPr>
                <w:p w14:paraId="50297CAB">
                  <w:pPr>
                    <w:pStyle w:val="89"/>
                    <w:widowControl/>
                    <w:spacing w:line="240" w:lineRule="auto"/>
                    <w:ind w:firstLine="0" w:firstLineChars="0"/>
                    <w:jc w:val="center"/>
                    <w:rPr>
                      <w:rStyle w:val="30"/>
                      <w:rFonts w:hint="default" w:ascii="Times New Roman" w:hAnsi="Times New Roman" w:eastAsia="宋体" w:cs="Times New Roman"/>
                      <w:kern w:val="2"/>
                      <w:sz w:val="21"/>
                      <w:szCs w:val="21"/>
                      <w:lang w:val="en-US" w:eastAsia="zh-CN" w:bidi="ar-SA"/>
                    </w:rPr>
                  </w:pPr>
                  <w:r>
                    <w:rPr>
                      <w:rStyle w:val="30"/>
                      <w:rFonts w:hint="default" w:ascii="Times New Roman" w:hAnsi="Times New Roman" w:eastAsia="宋体" w:cs="Times New Roman"/>
                      <w:kern w:val="2"/>
                      <w:sz w:val="21"/>
                      <w:szCs w:val="21"/>
                      <w:lang w:val="en-US" w:eastAsia="zh-CN" w:bidi="ar-SA"/>
                    </w:rPr>
                    <w:t>水环境管控分区</w:t>
                  </w:r>
                </w:p>
              </w:tc>
              <w:tc>
                <w:tcPr>
                  <w:tcW w:w="1584" w:type="dxa"/>
                  <w:noWrap w:val="0"/>
                  <w:vAlign w:val="center"/>
                </w:tcPr>
                <w:p w14:paraId="1B26CD28">
                  <w:pPr>
                    <w:pStyle w:val="89"/>
                    <w:widowControl/>
                    <w:spacing w:line="240" w:lineRule="auto"/>
                    <w:ind w:firstLine="0" w:firstLineChars="0"/>
                    <w:jc w:val="center"/>
                    <w:rPr>
                      <w:rStyle w:val="30"/>
                      <w:rFonts w:hint="default" w:ascii="Times New Roman" w:hAnsi="Times New Roman" w:eastAsia="宋体" w:cs="Times New Roman"/>
                      <w:kern w:val="2"/>
                      <w:sz w:val="21"/>
                      <w:szCs w:val="21"/>
                      <w:lang w:val="en-US" w:eastAsia="zh-CN" w:bidi="ar-SA"/>
                    </w:rPr>
                  </w:pPr>
                  <w:r>
                    <w:rPr>
                      <w:rStyle w:val="30"/>
                      <w:rFonts w:hint="default" w:ascii="Times New Roman" w:hAnsi="Times New Roman" w:eastAsia="宋体" w:cs="Times New Roman"/>
                      <w:kern w:val="2"/>
                      <w:sz w:val="21"/>
                      <w:szCs w:val="21"/>
                      <w:lang w:val="en-US" w:eastAsia="zh-CN" w:bidi="ar-SA"/>
                    </w:rPr>
                    <w:t>水环境工业污染重点管控区</w:t>
                  </w:r>
                </w:p>
              </w:tc>
            </w:tr>
            <w:tr w14:paraId="0B6523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16" w:hRule="atLeast"/>
                <w:tblHeader/>
              </w:trPr>
              <w:tc>
                <w:tcPr>
                  <w:tcW w:w="1121" w:type="dxa"/>
                  <w:noWrap w:val="0"/>
                  <w:vAlign w:val="center"/>
                </w:tcPr>
                <w:p w14:paraId="6DF17016">
                  <w:pPr>
                    <w:pStyle w:val="89"/>
                    <w:widowControl/>
                    <w:spacing w:line="240" w:lineRule="auto"/>
                    <w:ind w:firstLine="0" w:firstLineChars="0"/>
                    <w:jc w:val="center"/>
                    <w:rPr>
                      <w:rStyle w:val="30"/>
                      <w:rFonts w:hint="default" w:ascii="Times New Roman" w:hAnsi="Times New Roman" w:eastAsia="宋体" w:cs="Times New Roman"/>
                      <w:kern w:val="2"/>
                      <w:sz w:val="21"/>
                      <w:szCs w:val="21"/>
                      <w:lang w:val="en-US" w:eastAsia="zh-CN" w:bidi="ar-SA"/>
                    </w:rPr>
                  </w:pPr>
                  <w:r>
                    <w:rPr>
                      <w:rStyle w:val="30"/>
                      <w:rFonts w:hint="default" w:ascii="Times New Roman" w:hAnsi="Times New Roman" w:eastAsia="宋体" w:cs="Times New Roman"/>
                      <w:kern w:val="2"/>
                      <w:sz w:val="21"/>
                      <w:szCs w:val="21"/>
                      <w:lang w:val="en-US" w:eastAsia="zh-CN" w:bidi="ar-SA"/>
                    </w:rPr>
                    <w:t>YS5109042310002</w:t>
                  </w:r>
                </w:p>
              </w:tc>
              <w:tc>
                <w:tcPr>
                  <w:tcW w:w="2165" w:type="dxa"/>
                  <w:noWrap w:val="0"/>
                  <w:vAlign w:val="center"/>
                </w:tcPr>
                <w:p w14:paraId="3B2D8F8E">
                  <w:pPr>
                    <w:pStyle w:val="89"/>
                    <w:widowControl/>
                    <w:spacing w:line="240" w:lineRule="auto"/>
                    <w:ind w:firstLine="0" w:firstLineChars="0"/>
                    <w:jc w:val="center"/>
                    <w:rPr>
                      <w:rStyle w:val="30"/>
                      <w:rFonts w:hint="default" w:ascii="Times New Roman" w:hAnsi="Times New Roman" w:eastAsia="宋体" w:cs="Times New Roman"/>
                      <w:kern w:val="2"/>
                      <w:sz w:val="21"/>
                      <w:szCs w:val="21"/>
                      <w:lang w:val="en-US" w:eastAsia="zh-CN" w:bidi="ar-SA"/>
                    </w:rPr>
                  </w:pPr>
                  <w:r>
                    <w:rPr>
                      <w:rStyle w:val="30"/>
                      <w:rFonts w:hint="default" w:ascii="Times New Roman" w:hAnsi="Times New Roman" w:eastAsia="宋体" w:cs="Times New Roman"/>
                      <w:kern w:val="2"/>
                      <w:sz w:val="21"/>
                      <w:szCs w:val="21"/>
                      <w:lang w:val="en-US" w:eastAsia="zh-CN" w:bidi="ar-SA"/>
                    </w:rPr>
                    <w:t>遂宁市安居区工业集中发展区（含经开区）</w:t>
                  </w:r>
                </w:p>
              </w:tc>
              <w:tc>
                <w:tcPr>
                  <w:tcW w:w="575" w:type="pct"/>
                  <w:noWrap w:val="0"/>
                  <w:vAlign w:val="center"/>
                </w:tcPr>
                <w:p w14:paraId="4EB5BEFF">
                  <w:pPr>
                    <w:pStyle w:val="89"/>
                    <w:widowControl/>
                    <w:spacing w:line="240" w:lineRule="auto"/>
                    <w:ind w:firstLine="0" w:firstLineChars="0"/>
                    <w:jc w:val="center"/>
                    <w:rPr>
                      <w:rStyle w:val="30"/>
                      <w:rFonts w:hint="default" w:ascii="Times New Roman" w:hAnsi="Times New Roman" w:eastAsia="宋体" w:cs="Times New Roman"/>
                      <w:kern w:val="2"/>
                      <w:sz w:val="21"/>
                      <w:szCs w:val="21"/>
                      <w:lang w:val="en-US" w:eastAsia="zh-CN" w:bidi="ar-SA"/>
                    </w:rPr>
                  </w:pPr>
                  <w:r>
                    <w:rPr>
                      <w:rStyle w:val="30"/>
                      <w:rFonts w:hint="default" w:ascii="Times New Roman" w:hAnsi="Times New Roman" w:eastAsia="宋体" w:cs="Times New Roman"/>
                      <w:kern w:val="2"/>
                      <w:sz w:val="21"/>
                      <w:szCs w:val="21"/>
                      <w:lang w:val="en-US" w:eastAsia="zh-CN" w:bidi="ar-SA"/>
                    </w:rPr>
                    <w:t>遂宁市</w:t>
                  </w:r>
                </w:p>
              </w:tc>
              <w:tc>
                <w:tcPr>
                  <w:tcW w:w="918" w:type="dxa"/>
                  <w:noWrap w:val="0"/>
                  <w:vAlign w:val="center"/>
                </w:tcPr>
                <w:p w14:paraId="0FEFF958">
                  <w:pPr>
                    <w:pStyle w:val="89"/>
                    <w:widowControl/>
                    <w:spacing w:line="240" w:lineRule="auto"/>
                    <w:ind w:firstLine="0" w:firstLineChars="0"/>
                    <w:jc w:val="center"/>
                    <w:rPr>
                      <w:rStyle w:val="30"/>
                      <w:rFonts w:hint="default" w:ascii="Times New Roman" w:hAnsi="Times New Roman" w:eastAsia="宋体" w:cs="Times New Roman"/>
                      <w:kern w:val="2"/>
                      <w:sz w:val="21"/>
                      <w:szCs w:val="21"/>
                      <w:lang w:val="en-US" w:eastAsia="zh-CN" w:bidi="ar-SA"/>
                    </w:rPr>
                  </w:pPr>
                  <w:r>
                    <w:rPr>
                      <w:rStyle w:val="30"/>
                      <w:rFonts w:hint="default" w:ascii="Times New Roman" w:hAnsi="Times New Roman" w:eastAsia="宋体" w:cs="Times New Roman"/>
                      <w:kern w:val="2"/>
                      <w:sz w:val="21"/>
                      <w:szCs w:val="21"/>
                      <w:lang w:val="en-US" w:eastAsia="zh-CN" w:bidi="ar-SA"/>
                    </w:rPr>
                    <w:t>安居区</w:t>
                  </w:r>
                </w:p>
              </w:tc>
              <w:tc>
                <w:tcPr>
                  <w:tcW w:w="1210" w:type="dxa"/>
                  <w:noWrap w:val="0"/>
                  <w:vAlign w:val="center"/>
                </w:tcPr>
                <w:p w14:paraId="475C6BC1">
                  <w:pPr>
                    <w:pStyle w:val="89"/>
                    <w:widowControl/>
                    <w:spacing w:line="240" w:lineRule="auto"/>
                    <w:ind w:firstLine="0" w:firstLineChars="0"/>
                    <w:jc w:val="center"/>
                    <w:rPr>
                      <w:rStyle w:val="30"/>
                      <w:rFonts w:hint="default" w:ascii="Times New Roman" w:hAnsi="Times New Roman" w:eastAsia="宋体" w:cs="Times New Roman"/>
                      <w:kern w:val="2"/>
                      <w:sz w:val="21"/>
                      <w:szCs w:val="21"/>
                      <w:lang w:val="en-US" w:eastAsia="zh-CN" w:bidi="ar-SA"/>
                    </w:rPr>
                  </w:pPr>
                  <w:r>
                    <w:rPr>
                      <w:rStyle w:val="30"/>
                      <w:rFonts w:hint="default" w:ascii="Times New Roman" w:hAnsi="Times New Roman" w:eastAsia="宋体" w:cs="Times New Roman"/>
                      <w:kern w:val="2"/>
                      <w:sz w:val="21"/>
                      <w:szCs w:val="21"/>
                      <w:lang w:val="en-US" w:eastAsia="zh-CN" w:bidi="ar-SA"/>
                    </w:rPr>
                    <w:t>大气环境管控分区</w:t>
                  </w:r>
                </w:p>
              </w:tc>
              <w:tc>
                <w:tcPr>
                  <w:tcW w:w="1584" w:type="dxa"/>
                  <w:noWrap w:val="0"/>
                  <w:vAlign w:val="center"/>
                </w:tcPr>
                <w:p w14:paraId="5283EFD4">
                  <w:pPr>
                    <w:pStyle w:val="89"/>
                    <w:widowControl/>
                    <w:spacing w:line="240" w:lineRule="auto"/>
                    <w:ind w:firstLine="0" w:firstLineChars="0"/>
                    <w:jc w:val="center"/>
                    <w:rPr>
                      <w:rStyle w:val="30"/>
                      <w:rFonts w:hint="default" w:ascii="Times New Roman" w:hAnsi="Times New Roman" w:eastAsia="宋体" w:cs="Times New Roman"/>
                      <w:kern w:val="2"/>
                      <w:sz w:val="21"/>
                      <w:szCs w:val="21"/>
                      <w:lang w:val="en-US" w:eastAsia="zh-CN" w:bidi="ar-SA"/>
                    </w:rPr>
                  </w:pPr>
                  <w:r>
                    <w:rPr>
                      <w:rStyle w:val="30"/>
                      <w:rFonts w:hint="default" w:ascii="Times New Roman" w:hAnsi="Times New Roman" w:eastAsia="宋体" w:cs="Times New Roman"/>
                      <w:kern w:val="2"/>
                      <w:sz w:val="21"/>
                      <w:szCs w:val="21"/>
                      <w:lang w:val="en-US" w:eastAsia="zh-CN" w:bidi="ar-SA"/>
                    </w:rPr>
                    <w:t>大气环境高排放重点管控区</w:t>
                  </w:r>
                </w:p>
              </w:tc>
            </w:tr>
            <w:tr w14:paraId="5B742D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16" w:hRule="atLeast"/>
                <w:tblHeader/>
              </w:trPr>
              <w:tc>
                <w:tcPr>
                  <w:tcW w:w="1121" w:type="dxa"/>
                  <w:noWrap w:val="0"/>
                  <w:vAlign w:val="center"/>
                </w:tcPr>
                <w:p w14:paraId="5D535741">
                  <w:pPr>
                    <w:pStyle w:val="89"/>
                    <w:widowControl/>
                    <w:spacing w:line="240" w:lineRule="auto"/>
                    <w:ind w:firstLine="0" w:firstLineChars="0"/>
                    <w:jc w:val="center"/>
                    <w:rPr>
                      <w:rStyle w:val="30"/>
                      <w:rFonts w:hint="default" w:ascii="Times New Roman" w:hAnsi="Times New Roman" w:eastAsia="宋体" w:cs="Times New Roman"/>
                      <w:kern w:val="2"/>
                      <w:sz w:val="21"/>
                      <w:szCs w:val="21"/>
                      <w:lang w:val="en-US" w:eastAsia="zh-CN" w:bidi="ar-SA"/>
                    </w:rPr>
                  </w:pPr>
                  <w:r>
                    <w:rPr>
                      <w:rStyle w:val="30"/>
                      <w:rFonts w:hint="default" w:ascii="Times New Roman" w:hAnsi="Times New Roman" w:eastAsia="宋体" w:cs="Times New Roman"/>
                      <w:kern w:val="2"/>
                      <w:sz w:val="21"/>
                      <w:szCs w:val="21"/>
                      <w:lang w:val="en-US" w:eastAsia="zh-CN" w:bidi="ar-SA"/>
                    </w:rPr>
                    <w:t>YS5109042540012</w:t>
                  </w:r>
                </w:p>
              </w:tc>
              <w:tc>
                <w:tcPr>
                  <w:tcW w:w="2165" w:type="dxa"/>
                  <w:noWrap w:val="0"/>
                  <w:vAlign w:val="center"/>
                </w:tcPr>
                <w:p w14:paraId="67C3FFBA">
                  <w:pPr>
                    <w:pStyle w:val="89"/>
                    <w:widowControl/>
                    <w:spacing w:line="240" w:lineRule="auto"/>
                    <w:ind w:firstLine="0" w:firstLineChars="0"/>
                    <w:jc w:val="center"/>
                    <w:rPr>
                      <w:rStyle w:val="30"/>
                      <w:rFonts w:hint="default" w:ascii="Times New Roman" w:hAnsi="Times New Roman" w:eastAsia="宋体" w:cs="Times New Roman"/>
                      <w:kern w:val="2"/>
                      <w:sz w:val="21"/>
                      <w:szCs w:val="21"/>
                      <w:lang w:val="en-US" w:eastAsia="zh-CN" w:bidi="ar-SA"/>
                    </w:rPr>
                  </w:pPr>
                  <w:r>
                    <w:rPr>
                      <w:rStyle w:val="30"/>
                      <w:rFonts w:hint="default" w:ascii="Times New Roman" w:hAnsi="Times New Roman" w:eastAsia="宋体" w:cs="Times New Roman"/>
                      <w:kern w:val="2"/>
                      <w:sz w:val="21"/>
                      <w:szCs w:val="21"/>
                      <w:lang w:val="en-US" w:eastAsia="zh-CN" w:bidi="ar-SA"/>
                    </w:rPr>
                    <w:t>四川安居经济开发区</w:t>
                  </w:r>
                </w:p>
              </w:tc>
              <w:tc>
                <w:tcPr>
                  <w:tcW w:w="575" w:type="pct"/>
                  <w:noWrap w:val="0"/>
                  <w:vAlign w:val="center"/>
                </w:tcPr>
                <w:p w14:paraId="01DE10E9">
                  <w:pPr>
                    <w:pStyle w:val="89"/>
                    <w:widowControl/>
                    <w:spacing w:line="240" w:lineRule="auto"/>
                    <w:ind w:firstLine="0" w:firstLineChars="0"/>
                    <w:jc w:val="center"/>
                    <w:rPr>
                      <w:rStyle w:val="30"/>
                      <w:rFonts w:hint="default" w:ascii="Times New Roman" w:hAnsi="Times New Roman" w:eastAsia="宋体" w:cs="Times New Roman"/>
                      <w:kern w:val="2"/>
                      <w:sz w:val="21"/>
                      <w:szCs w:val="21"/>
                      <w:lang w:val="en-US" w:eastAsia="zh-CN" w:bidi="ar-SA"/>
                    </w:rPr>
                  </w:pPr>
                  <w:r>
                    <w:rPr>
                      <w:rStyle w:val="30"/>
                      <w:rFonts w:hint="default" w:ascii="Times New Roman" w:hAnsi="Times New Roman" w:eastAsia="宋体" w:cs="Times New Roman"/>
                      <w:kern w:val="2"/>
                      <w:sz w:val="21"/>
                      <w:szCs w:val="21"/>
                      <w:lang w:val="en-US" w:eastAsia="zh-CN" w:bidi="ar-SA"/>
                    </w:rPr>
                    <w:t>遂宁市</w:t>
                  </w:r>
                </w:p>
              </w:tc>
              <w:tc>
                <w:tcPr>
                  <w:tcW w:w="918" w:type="dxa"/>
                  <w:noWrap w:val="0"/>
                  <w:vAlign w:val="center"/>
                </w:tcPr>
                <w:p w14:paraId="1B71E90C">
                  <w:pPr>
                    <w:pStyle w:val="89"/>
                    <w:widowControl/>
                    <w:spacing w:line="240" w:lineRule="auto"/>
                    <w:ind w:firstLine="0" w:firstLineChars="0"/>
                    <w:jc w:val="center"/>
                    <w:rPr>
                      <w:rStyle w:val="30"/>
                      <w:rFonts w:hint="default" w:ascii="Times New Roman" w:hAnsi="Times New Roman" w:eastAsia="宋体" w:cs="Times New Roman"/>
                      <w:kern w:val="2"/>
                      <w:sz w:val="21"/>
                      <w:szCs w:val="21"/>
                      <w:lang w:val="en-US" w:eastAsia="zh-CN" w:bidi="ar-SA"/>
                    </w:rPr>
                  </w:pPr>
                  <w:r>
                    <w:rPr>
                      <w:rStyle w:val="30"/>
                      <w:rFonts w:hint="default" w:ascii="Times New Roman" w:hAnsi="Times New Roman" w:eastAsia="宋体" w:cs="Times New Roman"/>
                      <w:kern w:val="2"/>
                      <w:sz w:val="21"/>
                      <w:szCs w:val="21"/>
                      <w:lang w:val="en-US" w:eastAsia="zh-CN" w:bidi="ar-SA"/>
                    </w:rPr>
                    <w:t>安居区</w:t>
                  </w:r>
                </w:p>
              </w:tc>
              <w:tc>
                <w:tcPr>
                  <w:tcW w:w="1210" w:type="dxa"/>
                  <w:noWrap w:val="0"/>
                  <w:vAlign w:val="center"/>
                </w:tcPr>
                <w:p w14:paraId="324FA319">
                  <w:pPr>
                    <w:pStyle w:val="89"/>
                    <w:widowControl/>
                    <w:spacing w:line="240" w:lineRule="auto"/>
                    <w:ind w:firstLine="0" w:firstLineChars="0"/>
                    <w:jc w:val="center"/>
                    <w:rPr>
                      <w:rStyle w:val="30"/>
                      <w:rFonts w:hint="default" w:ascii="Times New Roman" w:hAnsi="Times New Roman" w:eastAsia="宋体" w:cs="Times New Roman"/>
                      <w:kern w:val="2"/>
                      <w:sz w:val="21"/>
                      <w:szCs w:val="21"/>
                      <w:lang w:val="en-US" w:eastAsia="zh-CN" w:bidi="ar-SA"/>
                    </w:rPr>
                  </w:pPr>
                  <w:r>
                    <w:rPr>
                      <w:rStyle w:val="30"/>
                      <w:rFonts w:hint="default" w:ascii="Times New Roman" w:hAnsi="Times New Roman" w:eastAsia="宋体" w:cs="Times New Roman"/>
                      <w:kern w:val="2"/>
                      <w:sz w:val="21"/>
                      <w:szCs w:val="21"/>
                      <w:lang w:val="en-US" w:eastAsia="zh-CN" w:bidi="ar-SA"/>
                    </w:rPr>
                    <w:t>自然资源管控分区</w:t>
                  </w:r>
                </w:p>
              </w:tc>
              <w:tc>
                <w:tcPr>
                  <w:tcW w:w="1584" w:type="dxa"/>
                  <w:noWrap w:val="0"/>
                  <w:vAlign w:val="center"/>
                </w:tcPr>
                <w:p w14:paraId="4D8ABE3D">
                  <w:pPr>
                    <w:pStyle w:val="89"/>
                    <w:widowControl/>
                    <w:spacing w:line="240" w:lineRule="auto"/>
                    <w:ind w:firstLine="0" w:firstLineChars="0"/>
                    <w:jc w:val="center"/>
                    <w:rPr>
                      <w:rStyle w:val="30"/>
                      <w:rFonts w:hint="default" w:ascii="Times New Roman" w:hAnsi="Times New Roman" w:eastAsia="宋体" w:cs="Times New Roman"/>
                      <w:kern w:val="2"/>
                      <w:sz w:val="21"/>
                      <w:szCs w:val="21"/>
                      <w:lang w:val="en-US" w:eastAsia="zh-CN" w:bidi="ar-SA"/>
                    </w:rPr>
                  </w:pPr>
                  <w:r>
                    <w:rPr>
                      <w:rStyle w:val="30"/>
                      <w:rFonts w:hint="default" w:ascii="Times New Roman" w:hAnsi="Times New Roman" w:eastAsia="宋体" w:cs="Times New Roman"/>
                      <w:kern w:val="2"/>
                      <w:sz w:val="21"/>
                      <w:szCs w:val="21"/>
                      <w:lang w:val="en-US" w:eastAsia="zh-CN" w:bidi="ar-SA"/>
                    </w:rPr>
                    <w:t>高污染燃料禁燃区</w:t>
                  </w:r>
                </w:p>
              </w:tc>
            </w:tr>
            <w:tr w14:paraId="370B93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16" w:hRule="atLeast"/>
                <w:tblHeader/>
              </w:trPr>
              <w:tc>
                <w:tcPr>
                  <w:tcW w:w="1121" w:type="dxa"/>
                  <w:noWrap w:val="0"/>
                  <w:vAlign w:val="center"/>
                </w:tcPr>
                <w:p w14:paraId="2A43E4CB">
                  <w:pPr>
                    <w:pStyle w:val="89"/>
                    <w:widowControl/>
                    <w:spacing w:line="240" w:lineRule="auto"/>
                    <w:ind w:firstLine="0" w:firstLineChars="0"/>
                    <w:jc w:val="center"/>
                    <w:rPr>
                      <w:rStyle w:val="30"/>
                      <w:rFonts w:hint="default" w:ascii="Times New Roman" w:hAnsi="Times New Roman" w:eastAsia="宋体" w:cs="Times New Roman"/>
                      <w:kern w:val="2"/>
                      <w:sz w:val="21"/>
                      <w:szCs w:val="21"/>
                      <w:lang w:val="en-US" w:eastAsia="zh-CN" w:bidi="ar-SA"/>
                    </w:rPr>
                  </w:pPr>
                  <w:r>
                    <w:rPr>
                      <w:rStyle w:val="30"/>
                      <w:rFonts w:hint="default" w:ascii="Times New Roman" w:hAnsi="Times New Roman" w:eastAsia="宋体" w:cs="Times New Roman"/>
                      <w:kern w:val="2"/>
                      <w:sz w:val="21"/>
                      <w:szCs w:val="21"/>
                      <w:lang w:val="en-US" w:eastAsia="zh-CN" w:bidi="ar-SA"/>
                    </w:rPr>
                    <w:t>YS5109042550001</w:t>
                  </w:r>
                </w:p>
              </w:tc>
              <w:tc>
                <w:tcPr>
                  <w:tcW w:w="2165" w:type="dxa"/>
                  <w:noWrap w:val="0"/>
                  <w:vAlign w:val="center"/>
                </w:tcPr>
                <w:p w14:paraId="5C78F397">
                  <w:pPr>
                    <w:pStyle w:val="89"/>
                    <w:widowControl/>
                    <w:spacing w:line="240" w:lineRule="auto"/>
                    <w:ind w:firstLine="0" w:firstLineChars="0"/>
                    <w:jc w:val="center"/>
                    <w:rPr>
                      <w:rStyle w:val="30"/>
                      <w:rFonts w:hint="default" w:ascii="Times New Roman" w:hAnsi="Times New Roman" w:eastAsia="宋体" w:cs="Times New Roman"/>
                      <w:kern w:val="2"/>
                      <w:sz w:val="21"/>
                      <w:szCs w:val="21"/>
                      <w:lang w:val="en-US" w:eastAsia="zh-CN" w:bidi="ar-SA"/>
                    </w:rPr>
                  </w:pPr>
                  <w:r>
                    <w:rPr>
                      <w:rStyle w:val="30"/>
                      <w:rFonts w:hint="default" w:ascii="Times New Roman" w:hAnsi="Times New Roman" w:eastAsia="宋体" w:cs="Times New Roman"/>
                      <w:kern w:val="2"/>
                      <w:sz w:val="21"/>
                      <w:szCs w:val="21"/>
                      <w:lang w:val="en-US" w:eastAsia="zh-CN" w:bidi="ar-SA"/>
                    </w:rPr>
                    <w:t>安居区自然资源重点管控区</w:t>
                  </w:r>
                </w:p>
              </w:tc>
              <w:tc>
                <w:tcPr>
                  <w:tcW w:w="575" w:type="pct"/>
                  <w:noWrap w:val="0"/>
                  <w:vAlign w:val="center"/>
                </w:tcPr>
                <w:p w14:paraId="64E64FD7">
                  <w:pPr>
                    <w:pStyle w:val="89"/>
                    <w:widowControl/>
                    <w:spacing w:line="240" w:lineRule="auto"/>
                    <w:ind w:firstLine="0" w:firstLineChars="0"/>
                    <w:jc w:val="center"/>
                    <w:rPr>
                      <w:rStyle w:val="30"/>
                      <w:rFonts w:hint="default" w:ascii="Times New Roman" w:hAnsi="Times New Roman" w:eastAsia="宋体" w:cs="Times New Roman"/>
                      <w:kern w:val="2"/>
                      <w:sz w:val="21"/>
                      <w:szCs w:val="21"/>
                      <w:lang w:val="en-US" w:eastAsia="zh-CN" w:bidi="ar-SA"/>
                    </w:rPr>
                  </w:pPr>
                  <w:r>
                    <w:rPr>
                      <w:rStyle w:val="30"/>
                      <w:rFonts w:hint="default" w:ascii="Times New Roman" w:hAnsi="Times New Roman" w:eastAsia="宋体" w:cs="Times New Roman"/>
                      <w:kern w:val="2"/>
                      <w:sz w:val="21"/>
                      <w:szCs w:val="21"/>
                      <w:lang w:val="en-US" w:eastAsia="zh-CN" w:bidi="ar-SA"/>
                    </w:rPr>
                    <w:t>遂宁市</w:t>
                  </w:r>
                </w:p>
              </w:tc>
              <w:tc>
                <w:tcPr>
                  <w:tcW w:w="918" w:type="dxa"/>
                  <w:noWrap w:val="0"/>
                  <w:vAlign w:val="center"/>
                </w:tcPr>
                <w:p w14:paraId="3D7E7328">
                  <w:pPr>
                    <w:pStyle w:val="89"/>
                    <w:widowControl/>
                    <w:spacing w:line="240" w:lineRule="auto"/>
                    <w:ind w:firstLine="0" w:firstLineChars="0"/>
                    <w:jc w:val="center"/>
                    <w:rPr>
                      <w:rStyle w:val="30"/>
                      <w:rFonts w:hint="default" w:ascii="Times New Roman" w:hAnsi="Times New Roman" w:eastAsia="宋体" w:cs="Times New Roman"/>
                      <w:kern w:val="2"/>
                      <w:sz w:val="21"/>
                      <w:szCs w:val="21"/>
                      <w:lang w:val="en-US" w:eastAsia="zh-CN" w:bidi="ar-SA"/>
                    </w:rPr>
                  </w:pPr>
                  <w:r>
                    <w:rPr>
                      <w:rStyle w:val="30"/>
                      <w:rFonts w:hint="default" w:ascii="Times New Roman" w:hAnsi="Times New Roman" w:eastAsia="宋体" w:cs="Times New Roman"/>
                      <w:kern w:val="2"/>
                      <w:sz w:val="21"/>
                      <w:szCs w:val="21"/>
                      <w:lang w:val="en-US" w:eastAsia="zh-CN" w:bidi="ar-SA"/>
                    </w:rPr>
                    <w:t>安居区</w:t>
                  </w:r>
                </w:p>
              </w:tc>
              <w:tc>
                <w:tcPr>
                  <w:tcW w:w="1210" w:type="dxa"/>
                  <w:noWrap w:val="0"/>
                  <w:vAlign w:val="center"/>
                </w:tcPr>
                <w:p w14:paraId="7E0D2970">
                  <w:pPr>
                    <w:pStyle w:val="89"/>
                    <w:widowControl/>
                    <w:spacing w:line="240" w:lineRule="auto"/>
                    <w:ind w:firstLine="0" w:firstLineChars="0"/>
                    <w:jc w:val="center"/>
                    <w:rPr>
                      <w:rStyle w:val="30"/>
                      <w:rFonts w:hint="default" w:ascii="Times New Roman" w:hAnsi="Times New Roman" w:eastAsia="宋体" w:cs="Times New Roman"/>
                      <w:kern w:val="2"/>
                      <w:sz w:val="21"/>
                      <w:szCs w:val="21"/>
                      <w:lang w:val="en-US" w:eastAsia="zh-CN" w:bidi="ar-SA"/>
                    </w:rPr>
                  </w:pPr>
                  <w:r>
                    <w:rPr>
                      <w:rStyle w:val="30"/>
                      <w:rFonts w:hint="default" w:ascii="Times New Roman" w:hAnsi="Times New Roman" w:eastAsia="宋体" w:cs="Times New Roman"/>
                      <w:kern w:val="2"/>
                      <w:sz w:val="21"/>
                      <w:szCs w:val="21"/>
                      <w:lang w:val="en-US" w:eastAsia="zh-CN" w:bidi="ar-SA"/>
                    </w:rPr>
                    <w:t>自然资源管控分区</w:t>
                  </w:r>
                </w:p>
              </w:tc>
              <w:tc>
                <w:tcPr>
                  <w:tcW w:w="1584" w:type="dxa"/>
                  <w:noWrap w:val="0"/>
                  <w:vAlign w:val="center"/>
                </w:tcPr>
                <w:p w14:paraId="10845EE7">
                  <w:pPr>
                    <w:pStyle w:val="89"/>
                    <w:widowControl/>
                    <w:spacing w:line="240" w:lineRule="auto"/>
                    <w:ind w:firstLine="0" w:firstLineChars="0"/>
                    <w:jc w:val="center"/>
                    <w:rPr>
                      <w:rStyle w:val="30"/>
                      <w:rFonts w:hint="default" w:ascii="Times New Roman" w:hAnsi="Times New Roman" w:eastAsia="宋体" w:cs="Times New Roman"/>
                      <w:kern w:val="2"/>
                      <w:sz w:val="21"/>
                      <w:szCs w:val="21"/>
                      <w:lang w:val="en-US" w:eastAsia="zh-CN" w:bidi="ar-SA"/>
                    </w:rPr>
                  </w:pPr>
                  <w:r>
                    <w:rPr>
                      <w:rStyle w:val="30"/>
                      <w:rFonts w:hint="default" w:ascii="Times New Roman" w:hAnsi="Times New Roman" w:eastAsia="宋体" w:cs="Times New Roman"/>
                      <w:kern w:val="2"/>
                      <w:sz w:val="21"/>
                      <w:szCs w:val="21"/>
                      <w:lang w:val="en-US" w:eastAsia="zh-CN" w:bidi="ar-SA"/>
                    </w:rPr>
                    <w:t>自然资源重点管控区</w:t>
                  </w:r>
                </w:p>
              </w:tc>
            </w:tr>
            <w:tr w14:paraId="01D5C4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12" w:hRule="atLeast"/>
                <w:tblHeader/>
              </w:trPr>
              <w:tc>
                <w:tcPr>
                  <w:tcW w:w="1121" w:type="dxa"/>
                  <w:noWrap w:val="0"/>
                  <w:vAlign w:val="center"/>
                </w:tcPr>
                <w:p w14:paraId="3E47B29F">
                  <w:pPr>
                    <w:pStyle w:val="89"/>
                    <w:widowControl/>
                    <w:spacing w:line="240" w:lineRule="auto"/>
                    <w:ind w:firstLine="0" w:firstLineChars="0"/>
                    <w:jc w:val="center"/>
                    <w:rPr>
                      <w:rStyle w:val="30"/>
                      <w:rFonts w:hint="default" w:ascii="Times New Roman" w:hAnsi="Times New Roman" w:eastAsia="宋体" w:cs="Times New Roman"/>
                      <w:color w:val="auto"/>
                      <w:kern w:val="2"/>
                      <w:sz w:val="21"/>
                      <w:szCs w:val="21"/>
                      <w:lang w:val="en-US" w:eastAsia="zh-CN" w:bidi="ar-SA"/>
                    </w:rPr>
                  </w:pPr>
                  <w:r>
                    <w:rPr>
                      <w:rStyle w:val="30"/>
                      <w:rFonts w:hint="default" w:ascii="Times New Roman" w:hAnsi="Times New Roman" w:eastAsia="宋体" w:cs="Times New Roman"/>
                      <w:kern w:val="2"/>
                      <w:sz w:val="21"/>
                      <w:szCs w:val="21"/>
                      <w:lang w:val="en-US" w:eastAsia="zh-CN" w:bidi="ar-SA"/>
                    </w:rPr>
                    <w:t>YS5109042420003</w:t>
                  </w:r>
                </w:p>
              </w:tc>
              <w:tc>
                <w:tcPr>
                  <w:tcW w:w="2165" w:type="dxa"/>
                  <w:noWrap w:val="0"/>
                  <w:vAlign w:val="center"/>
                </w:tcPr>
                <w:p w14:paraId="6CDAE2FD">
                  <w:pPr>
                    <w:pStyle w:val="89"/>
                    <w:widowControl/>
                    <w:spacing w:line="240" w:lineRule="auto"/>
                    <w:ind w:firstLine="0" w:firstLineChars="0"/>
                    <w:jc w:val="center"/>
                    <w:rPr>
                      <w:rStyle w:val="30"/>
                      <w:rFonts w:hint="default" w:ascii="Times New Roman" w:hAnsi="Times New Roman" w:eastAsia="宋体" w:cs="Times New Roman"/>
                      <w:color w:val="auto"/>
                      <w:kern w:val="2"/>
                      <w:sz w:val="21"/>
                      <w:szCs w:val="21"/>
                      <w:lang w:val="en-US" w:eastAsia="zh-CN" w:bidi="ar-SA"/>
                    </w:rPr>
                  </w:pPr>
                  <w:r>
                    <w:rPr>
                      <w:rStyle w:val="30"/>
                      <w:rFonts w:hint="default" w:ascii="Times New Roman" w:hAnsi="Times New Roman" w:eastAsia="宋体" w:cs="Times New Roman"/>
                      <w:kern w:val="2"/>
                      <w:sz w:val="21"/>
                      <w:szCs w:val="21"/>
                      <w:lang w:val="en-US" w:eastAsia="zh-CN" w:bidi="ar-SA"/>
                    </w:rPr>
                    <w:t>安居区建设用地污染风险重点管控区1</w:t>
                  </w:r>
                </w:p>
              </w:tc>
              <w:tc>
                <w:tcPr>
                  <w:tcW w:w="575" w:type="pct"/>
                  <w:noWrap w:val="0"/>
                  <w:vAlign w:val="center"/>
                </w:tcPr>
                <w:p w14:paraId="031E062F">
                  <w:pPr>
                    <w:pStyle w:val="89"/>
                    <w:widowControl/>
                    <w:spacing w:line="240" w:lineRule="auto"/>
                    <w:ind w:firstLine="0" w:firstLineChars="0"/>
                    <w:jc w:val="center"/>
                    <w:rPr>
                      <w:rStyle w:val="30"/>
                      <w:rFonts w:hint="default" w:ascii="Times New Roman" w:hAnsi="Times New Roman" w:eastAsia="宋体" w:cs="Times New Roman"/>
                      <w:color w:val="auto"/>
                      <w:kern w:val="2"/>
                      <w:sz w:val="21"/>
                      <w:szCs w:val="21"/>
                      <w:lang w:val="en-US" w:eastAsia="zh-CN" w:bidi="ar-SA"/>
                    </w:rPr>
                  </w:pPr>
                  <w:r>
                    <w:rPr>
                      <w:rStyle w:val="30"/>
                      <w:rFonts w:hint="default" w:ascii="Times New Roman" w:hAnsi="Times New Roman" w:eastAsia="宋体" w:cs="Times New Roman"/>
                      <w:kern w:val="2"/>
                      <w:sz w:val="21"/>
                      <w:szCs w:val="21"/>
                      <w:lang w:val="en-US" w:eastAsia="zh-CN" w:bidi="ar-SA"/>
                    </w:rPr>
                    <w:t>遂宁市</w:t>
                  </w:r>
                </w:p>
              </w:tc>
              <w:tc>
                <w:tcPr>
                  <w:tcW w:w="918" w:type="dxa"/>
                  <w:noWrap w:val="0"/>
                  <w:vAlign w:val="center"/>
                </w:tcPr>
                <w:p w14:paraId="3CB8D523">
                  <w:pPr>
                    <w:pStyle w:val="89"/>
                    <w:widowControl/>
                    <w:spacing w:line="240" w:lineRule="auto"/>
                    <w:ind w:firstLine="0" w:firstLineChars="0"/>
                    <w:jc w:val="center"/>
                    <w:rPr>
                      <w:rStyle w:val="30"/>
                      <w:rFonts w:hint="default" w:ascii="Times New Roman" w:hAnsi="Times New Roman" w:eastAsia="宋体" w:cs="Times New Roman"/>
                      <w:color w:val="auto"/>
                      <w:kern w:val="2"/>
                      <w:sz w:val="21"/>
                      <w:szCs w:val="21"/>
                      <w:lang w:val="en-US" w:eastAsia="zh-CN" w:bidi="ar-SA"/>
                    </w:rPr>
                  </w:pPr>
                  <w:r>
                    <w:rPr>
                      <w:rStyle w:val="30"/>
                      <w:rFonts w:hint="default" w:ascii="Times New Roman" w:hAnsi="Times New Roman" w:eastAsia="宋体" w:cs="Times New Roman"/>
                      <w:kern w:val="2"/>
                      <w:sz w:val="21"/>
                      <w:szCs w:val="21"/>
                      <w:lang w:val="en-US" w:eastAsia="zh-CN" w:bidi="ar-SA"/>
                    </w:rPr>
                    <w:t>安居区</w:t>
                  </w:r>
                </w:p>
              </w:tc>
              <w:tc>
                <w:tcPr>
                  <w:tcW w:w="1210" w:type="dxa"/>
                  <w:noWrap w:val="0"/>
                  <w:vAlign w:val="center"/>
                </w:tcPr>
                <w:p w14:paraId="099AE6BC">
                  <w:pPr>
                    <w:pStyle w:val="89"/>
                    <w:widowControl/>
                    <w:spacing w:line="240" w:lineRule="auto"/>
                    <w:ind w:firstLine="0" w:firstLineChars="0"/>
                    <w:jc w:val="center"/>
                    <w:rPr>
                      <w:rStyle w:val="30"/>
                      <w:rFonts w:hint="default" w:ascii="Times New Roman" w:hAnsi="Times New Roman" w:eastAsia="宋体" w:cs="Times New Roman"/>
                      <w:color w:val="auto"/>
                      <w:kern w:val="2"/>
                      <w:sz w:val="21"/>
                      <w:szCs w:val="21"/>
                      <w:lang w:val="en-US" w:eastAsia="zh-CN" w:bidi="ar-SA"/>
                    </w:rPr>
                  </w:pPr>
                  <w:r>
                    <w:rPr>
                      <w:rStyle w:val="30"/>
                      <w:rFonts w:hint="default" w:ascii="Times New Roman" w:hAnsi="Times New Roman" w:eastAsia="宋体" w:cs="Times New Roman"/>
                      <w:kern w:val="2"/>
                      <w:sz w:val="21"/>
                      <w:szCs w:val="21"/>
                      <w:lang w:val="en-US" w:eastAsia="zh-CN" w:bidi="ar-SA"/>
                    </w:rPr>
                    <w:t>土壤污染风险管控分区</w:t>
                  </w:r>
                </w:p>
              </w:tc>
              <w:tc>
                <w:tcPr>
                  <w:tcW w:w="1584" w:type="dxa"/>
                  <w:noWrap w:val="0"/>
                  <w:vAlign w:val="center"/>
                </w:tcPr>
                <w:p w14:paraId="3817B561">
                  <w:pPr>
                    <w:pStyle w:val="89"/>
                    <w:widowControl/>
                    <w:spacing w:line="240" w:lineRule="auto"/>
                    <w:ind w:firstLine="0" w:firstLineChars="0"/>
                    <w:jc w:val="center"/>
                    <w:rPr>
                      <w:rStyle w:val="30"/>
                      <w:rFonts w:hint="default" w:ascii="Times New Roman" w:hAnsi="Times New Roman" w:eastAsia="宋体" w:cs="Times New Roman"/>
                      <w:color w:val="auto"/>
                      <w:kern w:val="2"/>
                      <w:sz w:val="21"/>
                      <w:szCs w:val="21"/>
                      <w:lang w:val="en-US" w:eastAsia="zh-CN" w:bidi="ar-SA"/>
                    </w:rPr>
                  </w:pPr>
                  <w:r>
                    <w:rPr>
                      <w:rStyle w:val="30"/>
                      <w:rFonts w:hint="default" w:ascii="Times New Roman" w:hAnsi="Times New Roman" w:eastAsia="宋体" w:cs="Times New Roman"/>
                      <w:kern w:val="2"/>
                      <w:sz w:val="21"/>
                      <w:szCs w:val="21"/>
                      <w:lang w:val="en-US" w:eastAsia="zh-CN" w:bidi="ar-SA"/>
                    </w:rPr>
                    <w:t>建设用地污染风险重点管控区</w:t>
                  </w:r>
                </w:p>
              </w:tc>
            </w:tr>
          </w:tbl>
          <w:p w14:paraId="6CD46286">
            <w:pPr>
              <w:numPr>
                <w:ilvl w:val="0"/>
                <w:numId w:val="0"/>
              </w:numPr>
              <w:bidi w:val="0"/>
              <w:spacing w:line="360" w:lineRule="auto"/>
              <w:jc w:val="center"/>
              <w:rPr>
                <w:rFonts w:hint="default" w:ascii="Helvetica" w:hAnsi="Helvetica" w:eastAsia="Helvetica"/>
                <w:sz w:val="28"/>
                <w:szCs w:val="24"/>
              </w:rPr>
            </w:pPr>
            <w:r>
              <w:rPr>
                <w:rFonts w:hint="default" w:ascii="Helvetica" w:hAnsi="Helvetica" w:eastAsia="Helvetica"/>
                <w:sz w:val="28"/>
                <w:szCs w:val="24"/>
              </w:rPr>
              <w:drawing>
                <wp:inline distT="0" distB="0" distL="114300" distR="114300">
                  <wp:extent cx="5022850" cy="3014345"/>
                  <wp:effectExtent l="0" t="0" r="6350" b="14605"/>
                  <wp:docPr id="1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7"/>
                          <pic:cNvPicPr>
                            <a:picLocks noChangeAspect="1"/>
                          </pic:cNvPicPr>
                        </pic:nvPicPr>
                        <pic:blipFill>
                          <a:blip r:embed="rId14"/>
                          <a:stretch>
                            <a:fillRect/>
                          </a:stretch>
                        </pic:blipFill>
                        <pic:spPr>
                          <a:xfrm>
                            <a:off x="0" y="0"/>
                            <a:ext cx="5022850" cy="3014345"/>
                          </a:xfrm>
                          <a:prstGeom prst="rect">
                            <a:avLst/>
                          </a:prstGeom>
                          <a:noFill/>
                          <a:ln>
                            <a:noFill/>
                          </a:ln>
                        </pic:spPr>
                      </pic:pic>
                    </a:graphicData>
                  </a:graphic>
                </wp:inline>
              </w:drawing>
            </w:r>
          </w:p>
          <w:p w14:paraId="3216C9AB">
            <w:pPr>
              <w:numPr>
                <w:ilvl w:val="0"/>
                <w:numId w:val="0"/>
              </w:numPr>
              <w:bidi w:val="0"/>
              <w:spacing w:line="360" w:lineRule="auto"/>
              <w:jc w:val="center"/>
              <w:rPr>
                <w:rFonts w:hint="eastAsia" w:cs="Times New Roman"/>
                <w:b w:val="0"/>
                <w:bCs w:val="0"/>
                <w:color w:val="auto"/>
                <w:sz w:val="24"/>
                <w:szCs w:val="24"/>
                <w:lang w:val="en-US" w:eastAsia="zh-CN"/>
              </w:rPr>
            </w:pPr>
            <w:r>
              <w:rPr>
                <w:rFonts w:hint="eastAsia" w:cs="Times New Roman"/>
                <w:b/>
                <w:bCs/>
                <w:color w:val="auto"/>
                <w:sz w:val="21"/>
                <w:szCs w:val="21"/>
                <w:lang w:val="en-US" w:eastAsia="zh-CN"/>
              </w:rPr>
              <w:t xml:space="preserve">图1-2 </w:t>
            </w:r>
            <w:r>
              <w:rPr>
                <w:rFonts w:hint="default" w:ascii="Times New Roman" w:hAnsi="Times New Roman" w:eastAsia="宋体" w:cs="Times New Roman"/>
                <w:b/>
                <w:bCs/>
                <w:color w:val="auto"/>
                <w:sz w:val="21"/>
                <w:szCs w:val="21"/>
              </w:rPr>
              <w:t>项目与管控单元相对位置如下图</w:t>
            </w:r>
          </w:p>
          <w:p w14:paraId="40EABFC4">
            <w:pPr>
              <w:numPr>
                <w:ilvl w:val="0"/>
                <w:numId w:val="10"/>
              </w:numPr>
              <w:bidi w:val="0"/>
              <w:spacing w:line="360" w:lineRule="auto"/>
              <w:ind w:left="0" w:leftChars="0" w:firstLine="482" w:firstLineChars="200"/>
              <w:jc w:val="both"/>
              <w:rPr>
                <w:rFonts w:hint="default" w:ascii="Times New Roman" w:hAnsi="Times New Roman" w:eastAsia="宋体" w:cs="Times New Roman"/>
                <w:color w:val="auto"/>
                <w:sz w:val="24"/>
                <w:szCs w:val="24"/>
                <w:lang w:val="en-US"/>
              </w:rPr>
            </w:pPr>
            <w:r>
              <w:rPr>
                <w:rFonts w:hint="eastAsia" w:cs="Times New Roman"/>
                <w:b/>
                <w:bCs/>
                <w:color w:val="auto"/>
                <w:sz w:val="24"/>
                <w:szCs w:val="24"/>
                <w:lang w:val="en-US" w:eastAsia="zh-CN"/>
              </w:rPr>
              <w:t>生态环境准入清单符合性分析</w:t>
            </w:r>
          </w:p>
          <w:p w14:paraId="4DEF69D8">
            <w:pPr>
              <w:numPr>
                <w:ilvl w:val="0"/>
                <w:numId w:val="0"/>
              </w:numPr>
              <w:bidi w:val="0"/>
              <w:spacing w:line="360" w:lineRule="auto"/>
              <w:jc w:val="both"/>
              <w:rPr>
                <w:rFonts w:hint="eastAsia" w:cs="Times New Roman"/>
                <w:b/>
                <w:bCs/>
                <w:color w:val="auto"/>
                <w:sz w:val="24"/>
                <w:szCs w:val="24"/>
                <w:lang w:val="en-US" w:eastAsia="zh-CN"/>
              </w:rPr>
            </w:pPr>
          </w:p>
          <w:p w14:paraId="50A0FD7B">
            <w:pPr>
              <w:numPr>
                <w:ilvl w:val="0"/>
                <w:numId w:val="0"/>
              </w:numPr>
              <w:bidi w:val="0"/>
              <w:spacing w:line="360" w:lineRule="auto"/>
              <w:jc w:val="both"/>
              <w:rPr>
                <w:rFonts w:hint="eastAsia" w:cs="Times New Roman"/>
                <w:b/>
                <w:bCs/>
                <w:color w:val="auto"/>
                <w:sz w:val="24"/>
                <w:szCs w:val="24"/>
                <w:lang w:val="en-US" w:eastAsia="zh-CN"/>
              </w:rPr>
            </w:pPr>
          </w:p>
          <w:p w14:paraId="453D5CBC">
            <w:pPr>
              <w:numPr>
                <w:ilvl w:val="0"/>
                <w:numId w:val="0"/>
              </w:numPr>
              <w:bidi w:val="0"/>
              <w:spacing w:line="360" w:lineRule="auto"/>
              <w:jc w:val="both"/>
              <w:rPr>
                <w:rFonts w:hint="eastAsia" w:cs="Times New Roman"/>
                <w:b/>
                <w:bCs/>
                <w:color w:val="auto"/>
                <w:sz w:val="24"/>
                <w:szCs w:val="24"/>
                <w:lang w:val="en-US" w:eastAsia="zh-CN"/>
              </w:rPr>
            </w:pPr>
          </w:p>
          <w:p w14:paraId="51D2BA5A">
            <w:pPr>
              <w:numPr>
                <w:ilvl w:val="0"/>
                <w:numId w:val="0"/>
              </w:numPr>
              <w:bidi w:val="0"/>
              <w:spacing w:line="360" w:lineRule="auto"/>
              <w:jc w:val="both"/>
              <w:rPr>
                <w:rFonts w:hint="eastAsia" w:cs="Times New Roman"/>
                <w:b/>
                <w:bCs/>
                <w:color w:val="auto"/>
                <w:sz w:val="24"/>
                <w:szCs w:val="24"/>
                <w:lang w:val="en-US" w:eastAsia="zh-CN"/>
              </w:rPr>
            </w:pPr>
          </w:p>
          <w:p w14:paraId="147EFC2A">
            <w:pPr>
              <w:numPr>
                <w:ilvl w:val="0"/>
                <w:numId w:val="0"/>
              </w:numPr>
              <w:bidi w:val="0"/>
              <w:spacing w:line="360" w:lineRule="auto"/>
              <w:jc w:val="both"/>
              <w:rPr>
                <w:rFonts w:hint="eastAsia" w:cs="Times New Roman"/>
                <w:b/>
                <w:bCs/>
                <w:color w:val="auto"/>
                <w:sz w:val="24"/>
                <w:szCs w:val="24"/>
                <w:lang w:val="en-US" w:eastAsia="zh-CN"/>
              </w:rPr>
            </w:pPr>
          </w:p>
          <w:p w14:paraId="706BA501">
            <w:pPr>
              <w:numPr>
                <w:ilvl w:val="0"/>
                <w:numId w:val="0"/>
              </w:numPr>
              <w:bidi w:val="0"/>
              <w:spacing w:line="360" w:lineRule="auto"/>
              <w:jc w:val="both"/>
              <w:rPr>
                <w:rFonts w:hint="eastAsia" w:cs="Times New Roman"/>
                <w:b/>
                <w:bCs/>
                <w:color w:val="auto"/>
                <w:sz w:val="24"/>
                <w:szCs w:val="24"/>
                <w:lang w:val="en-US" w:eastAsia="zh-CN"/>
              </w:rPr>
            </w:pPr>
          </w:p>
          <w:p w14:paraId="124BE2B6">
            <w:pPr>
              <w:numPr>
                <w:ilvl w:val="0"/>
                <w:numId w:val="0"/>
              </w:numPr>
              <w:bidi w:val="0"/>
              <w:spacing w:line="360" w:lineRule="auto"/>
              <w:jc w:val="both"/>
              <w:rPr>
                <w:rFonts w:hint="eastAsia" w:cs="Times New Roman"/>
                <w:b/>
                <w:bCs/>
                <w:color w:val="auto"/>
                <w:sz w:val="24"/>
                <w:szCs w:val="24"/>
                <w:lang w:val="en-US" w:eastAsia="zh-CN"/>
              </w:rPr>
            </w:pPr>
          </w:p>
          <w:p w14:paraId="649853C2">
            <w:pPr>
              <w:numPr>
                <w:ilvl w:val="0"/>
                <w:numId w:val="0"/>
              </w:numPr>
              <w:bidi w:val="0"/>
              <w:spacing w:line="360" w:lineRule="auto"/>
              <w:jc w:val="both"/>
              <w:rPr>
                <w:rFonts w:hint="eastAsia" w:cs="Times New Roman"/>
                <w:b/>
                <w:bCs/>
                <w:color w:val="auto"/>
                <w:sz w:val="24"/>
                <w:szCs w:val="24"/>
                <w:lang w:val="en-US" w:eastAsia="zh-CN"/>
              </w:rPr>
            </w:pPr>
          </w:p>
          <w:p w14:paraId="20BBBA55">
            <w:pPr>
              <w:numPr>
                <w:ilvl w:val="0"/>
                <w:numId w:val="0"/>
              </w:numPr>
              <w:bidi w:val="0"/>
              <w:spacing w:line="360" w:lineRule="auto"/>
              <w:jc w:val="both"/>
              <w:rPr>
                <w:rFonts w:hint="eastAsia" w:cs="Times New Roman"/>
                <w:b/>
                <w:bCs/>
                <w:color w:val="auto"/>
                <w:sz w:val="24"/>
                <w:szCs w:val="24"/>
                <w:lang w:val="en-US" w:eastAsia="zh-CN"/>
              </w:rPr>
            </w:pPr>
          </w:p>
          <w:p w14:paraId="636E563B">
            <w:pPr>
              <w:numPr>
                <w:ilvl w:val="0"/>
                <w:numId w:val="0"/>
              </w:numPr>
              <w:bidi w:val="0"/>
              <w:spacing w:line="360" w:lineRule="auto"/>
              <w:jc w:val="both"/>
              <w:rPr>
                <w:rFonts w:hint="eastAsia" w:cs="Times New Roman"/>
                <w:b/>
                <w:bCs/>
                <w:color w:val="auto"/>
                <w:sz w:val="24"/>
                <w:szCs w:val="24"/>
                <w:lang w:val="en-US" w:eastAsia="zh-CN"/>
              </w:rPr>
            </w:pPr>
          </w:p>
          <w:p w14:paraId="22ADF441">
            <w:pPr>
              <w:numPr>
                <w:ilvl w:val="0"/>
                <w:numId w:val="0"/>
              </w:numPr>
              <w:bidi w:val="0"/>
              <w:spacing w:line="360" w:lineRule="auto"/>
              <w:jc w:val="both"/>
              <w:rPr>
                <w:rFonts w:hint="eastAsia" w:cs="Times New Roman"/>
                <w:b/>
                <w:bCs/>
                <w:color w:val="auto"/>
                <w:sz w:val="24"/>
                <w:szCs w:val="24"/>
                <w:lang w:val="en-US" w:eastAsia="zh-CN"/>
              </w:rPr>
            </w:pPr>
          </w:p>
          <w:p w14:paraId="45186092">
            <w:pPr>
              <w:numPr>
                <w:ilvl w:val="0"/>
                <w:numId w:val="0"/>
              </w:numPr>
              <w:bidi w:val="0"/>
              <w:spacing w:line="360" w:lineRule="auto"/>
              <w:jc w:val="both"/>
              <w:rPr>
                <w:rFonts w:hint="eastAsia" w:cs="Times New Roman"/>
                <w:b/>
                <w:bCs/>
                <w:color w:val="auto"/>
                <w:sz w:val="24"/>
                <w:szCs w:val="24"/>
                <w:lang w:val="en-US" w:eastAsia="zh-CN"/>
              </w:rPr>
            </w:pPr>
          </w:p>
          <w:p w14:paraId="506E7354">
            <w:pPr>
              <w:numPr>
                <w:ilvl w:val="0"/>
                <w:numId w:val="0"/>
              </w:numPr>
              <w:bidi w:val="0"/>
              <w:spacing w:line="360" w:lineRule="auto"/>
              <w:jc w:val="both"/>
              <w:rPr>
                <w:rFonts w:hint="eastAsia" w:cs="Times New Roman"/>
                <w:b/>
                <w:bCs/>
                <w:color w:val="auto"/>
                <w:sz w:val="24"/>
                <w:szCs w:val="24"/>
                <w:lang w:val="en-US" w:eastAsia="zh-CN"/>
              </w:rPr>
            </w:pPr>
          </w:p>
          <w:p w14:paraId="50311BB8">
            <w:pPr>
              <w:numPr>
                <w:ilvl w:val="0"/>
                <w:numId w:val="0"/>
              </w:numPr>
              <w:bidi w:val="0"/>
              <w:spacing w:line="360" w:lineRule="auto"/>
              <w:jc w:val="both"/>
              <w:rPr>
                <w:rFonts w:hint="default" w:ascii="Times New Roman" w:hAnsi="Times New Roman" w:eastAsia="宋体" w:cs="Times New Roman"/>
                <w:color w:val="auto"/>
                <w:sz w:val="24"/>
                <w:szCs w:val="24"/>
                <w:lang w:val="en-US"/>
              </w:rPr>
            </w:pPr>
          </w:p>
        </w:tc>
      </w:tr>
    </w:tbl>
    <w:p w14:paraId="50A91CBF">
      <w:pPr>
        <w:tabs>
          <w:tab w:val="left" w:pos="7770"/>
        </w:tabs>
        <w:spacing w:line="360" w:lineRule="auto"/>
        <w:jc w:val="center"/>
        <w:rPr>
          <w:rFonts w:hint="eastAsia" w:ascii="Times New Roman" w:hAnsi="Times New Roman" w:eastAsia="宋体" w:cs="Times New Roman"/>
          <w:b/>
          <w:bCs/>
          <w:color w:val="auto"/>
          <w:sz w:val="28"/>
          <w:szCs w:val="28"/>
          <w:lang w:val="en-US" w:eastAsia="zh-CN"/>
        </w:rPr>
        <w:sectPr>
          <w:headerReference r:id="rId8" w:type="default"/>
          <w:footerReference r:id="rId9" w:type="default"/>
          <w:pgSz w:w="11906" w:h="16838"/>
          <w:pgMar w:top="1587" w:right="1417" w:bottom="1587" w:left="1417" w:header="851" w:footer="992" w:gutter="0"/>
          <w:pgBorders>
            <w:top w:val="none" w:sz="0" w:space="0"/>
            <w:left w:val="none" w:sz="0" w:space="0"/>
            <w:bottom w:val="none" w:sz="0" w:space="0"/>
            <w:right w:val="none" w:sz="0" w:space="0"/>
          </w:pgBorders>
          <w:pgNumType w:fmt="decimal" w:start="1"/>
          <w:cols w:space="0" w:num="1"/>
          <w:rtlGutter w:val="0"/>
          <w:docGrid w:type="lines" w:linePitch="312" w:charSpace="0"/>
        </w:sectPr>
      </w:pPr>
    </w:p>
    <w:tbl>
      <w:tblPr>
        <w:tblStyle w:val="28"/>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880"/>
      </w:tblGrid>
      <w:tr w14:paraId="63FC77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880" w:type="dxa"/>
          </w:tcPr>
          <w:p w14:paraId="073CAAFA">
            <w:pPr>
              <w:tabs>
                <w:tab w:val="left" w:pos="7770"/>
              </w:tabs>
              <w:spacing w:line="360" w:lineRule="auto"/>
              <w:ind w:firstLine="480" w:firstLineChars="200"/>
              <w:jc w:val="both"/>
              <w:rPr>
                <w:rFonts w:hint="eastAsia" w:cs="Times New Roman"/>
                <w:b w:val="0"/>
                <w:bCs w:val="0"/>
                <w:color w:val="auto"/>
                <w:sz w:val="24"/>
                <w:szCs w:val="24"/>
                <w:lang w:eastAsia="zh-CN"/>
              </w:rPr>
            </w:pPr>
            <w:r>
              <w:rPr>
                <w:rFonts w:hint="eastAsia" w:cs="Times New Roman"/>
                <w:b w:val="0"/>
                <w:bCs w:val="0"/>
                <w:color w:val="auto"/>
                <w:sz w:val="24"/>
                <w:szCs w:val="24"/>
                <w:lang w:val="en-US" w:eastAsia="zh-CN"/>
              </w:rPr>
              <w:t>本项目与涉及的环境管控单元“三线一单”符合性分析如下表1-12</w:t>
            </w:r>
            <w:r>
              <w:rPr>
                <w:rFonts w:hint="eastAsia" w:cs="Times New Roman"/>
                <w:b w:val="0"/>
                <w:bCs w:val="0"/>
                <w:color w:val="auto"/>
                <w:sz w:val="24"/>
                <w:szCs w:val="24"/>
                <w:lang w:eastAsia="zh-CN"/>
              </w:rPr>
              <w:t>。</w:t>
            </w:r>
          </w:p>
          <w:p w14:paraId="024C20A2">
            <w:pPr>
              <w:tabs>
                <w:tab w:val="left" w:pos="7770"/>
              </w:tabs>
              <w:spacing w:line="360" w:lineRule="auto"/>
              <w:jc w:val="center"/>
              <w:rPr>
                <w:rFonts w:hint="eastAsia" w:ascii="Times New Roman" w:hAnsi="Times New Roman" w:eastAsia="宋体" w:cs="Times New Roman"/>
                <w:b/>
                <w:bCs/>
                <w:color w:val="auto"/>
                <w:sz w:val="28"/>
                <w:szCs w:val="28"/>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表1-</w:t>
            </w:r>
            <w:r>
              <w:rPr>
                <w:rFonts w:hint="eastAsia" w:cs="Times New Roman"/>
                <w:b/>
                <w:bCs/>
                <w:color w:val="auto"/>
                <w:sz w:val="21"/>
                <w:szCs w:val="21"/>
                <w:vertAlign w:val="baseline"/>
                <w:lang w:val="en-US" w:eastAsia="zh-CN"/>
              </w:rPr>
              <w:t xml:space="preserve">12 </w:t>
            </w:r>
            <w:r>
              <w:rPr>
                <w:rFonts w:hint="eastAsia" w:ascii="Times New Roman" w:hAnsi="Times New Roman" w:eastAsia="宋体" w:cs="Times New Roman"/>
                <w:b/>
                <w:bCs/>
                <w:color w:val="auto"/>
                <w:sz w:val="21"/>
                <w:szCs w:val="21"/>
                <w:vertAlign w:val="baseline"/>
                <w:lang w:val="en-US" w:eastAsia="zh-CN"/>
              </w:rPr>
              <w:t>项目与“三线一单”相关要求的符合性分析</w:t>
            </w:r>
          </w:p>
          <w:tbl>
            <w:tblPr>
              <w:tblStyle w:val="28"/>
              <w:tblW w:w="499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09"/>
              <w:gridCol w:w="1061"/>
              <w:gridCol w:w="1365"/>
              <w:gridCol w:w="6631"/>
              <w:gridCol w:w="2574"/>
              <w:gridCol w:w="909"/>
            </w:tblGrid>
            <w:tr w14:paraId="0543F7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06" w:type="pct"/>
                  <w:noWrap w:val="0"/>
                  <w:vAlign w:val="center"/>
                </w:tcPr>
                <w:p w14:paraId="6BA38D62">
                  <w:pPr>
                    <w:tabs>
                      <w:tab w:val="left" w:pos="7770"/>
                    </w:tabs>
                    <w:spacing w:line="240" w:lineRule="auto"/>
                    <w:jc w:val="center"/>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环境管控单元编码</w:t>
                  </w:r>
                </w:p>
              </w:tc>
              <w:tc>
                <w:tcPr>
                  <w:tcW w:w="388" w:type="pct"/>
                  <w:noWrap w:val="0"/>
                  <w:vAlign w:val="center"/>
                </w:tcPr>
                <w:p w14:paraId="1B209657">
                  <w:pPr>
                    <w:tabs>
                      <w:tab w:val="left" w:pos="7770"/>
                    </w:tabs>
                    <w:spacing w:line="240" w:lineRule="auto"/>
                    <w:jc w:val="center"/>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环境管控单元名称</w:t>
                  </w:r>
                </w:p>
              </w:tc>
              <w:tc>
                <w:tcPr>
                  <w:tcW w:w="2929" w:type="pct"/>
                  <w:gridSpan w:val="2"/>
                  <w:noWrap w:val="0"/>
                  <w:vAlign w:val="center"/>
                </w:tcPr>
                <w:p w14:paraId="7D6A7D4E">
                  <w:pPr>
                    <w:tabs>
                      <w:tab w:val="left" w:pos="7770"/>
                    </w:tabs>
                    <w:spacing w:line="240" w:lineRule="auto"/>
                    <w:jc w:val="center"/>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遂宁市普适性清单</w:t>
                  </w:r>
                </w:p>
              </w:tc>
              <w:tc>
                <w:tcPr>
                  <w:tcW w:w="942" w:type="pct"/>
                  <w:noWrap w:val="0"/>
                  <w:vAlign w:val="center"/>
                </w:tcPr>
                <w:p w14:paraId="320793C2">
                  <w:pPr>
                    <w:numPr>
                      <w:ilvl w:val="0"/>
                      <w:numId w:val="0"/>
                    </w:numPr>
                    <w:bidi w:val="0"/>
                    <w:spacing w:line="240" w:lineRule="auto"/>
                    <w:ind w:left="0" w:leftChars="0" w:firstLine="0" w:firstLineChars="0"/>
                    <w:jc w:val="center"/>
                    <w:rPr>
                      <w:rFonts w:hint="eastAsia"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eastAsia="zh-CN"/>
                    </w:rPr>
                    <w:t>项目对应情况介绍</w:t>
                  </w:r>
                </w:p>
              </w:tc>
              <w:tc>
                <w:tcPr>
                  <w:tcW w:w="332" w:type="pct"/>
                  <w:noWrap w:val="0"/>
                  <w:vAlign w:val="center"/>
                </w:tcPr>
                <w:p w14:paraId="50B3C45F">
                  <w:pPr>
                    <w:numPr>
                      <w:ilvl w:val="0"/>
                      <w:numId w:val="0"/>
                    </w:numPr>
                    <w:bidi w:val="0"/>
                    <w:spacing w:line="240" w:lineRule="auto"/>
                    <w:jc w:val="center"/>
                    <w:rPr>
                      <w:rFonts w:hint="default" w:ascii="Times New Roman" w:hAnsi="Times New Roman" w:eastAsia="宋体" w:cs="Times New Roman"/>
                      <w:b/>
                      <w:bCs/>
                      <w:color w:val="auto"/>
                      <w:sz w:val="21"/>
                      <w:szCs w:val="21"/>
                      <w:vertAlign w:val="baseline"/>
                      <w:lang w:eastAsia="zh-CN"/>
                    </w:rPr>
                  </w:pPr>
                  <w:r>
                    <w:rPr>
                      <w:rFonts w:hint="default" w:ascii="Times New Roman" w:hAnsi="Times New Roman" w:eastAsia="宋体" w:cs="Times New Roman"/>
                      <w:b/>
                      <w:bCs/>
                      <w:color w:val="auto"/>
                      <w:sz w:val="21"/>
                      <w:szCs w:val="21"/>
                      <w:vertAlign w:val="baseline"/>
                      <w:lang w:eastAsia="zh-CN"/>
                    </w:rPr>
                    <w:t>符合性</w:t>
                  </w:r>
                </w:p>
                <w:p w14:paraId="0BFE12BA">
                  <w:pPr>
                    <w:numPr>
                      <w:ilvl w:val="0"/>
                      <w:numId w:val="0"/>
                    </w:numPr>
                    <w:bidi w:val="0"/>
                    <w:spacing w:line="240" w:lineRule="auto"/>
                    <w:jc w:val="center"/>
                    <w:rPr>
                      <w:rFonts w:hint="eastAsia"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eastAsia="zh-CN"/>
                    </w:rPr>
                    <w:t>分析</w:t>
                  </w:r>
                </w:p>
              </w:tc>
            </w:tr>
            <w:tr w14:paraId="103816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06" w:type="pct"/>
                  <w:vMerge w:val="restart"/>
                  <w:noWrap w:val="0"/>
                  <w:vAlign w:val="center"/>
                </w:tcPr>
                <w:p w14:paraId="6CCE9853">
                  <w:pPr>
                    <w:pStyle w:val="90"/>
                    <w:widowControl/>
                    <w:spacing w:line="240" w:lineRule="auto"/>
                    <w:ind w:firstLine="0" w:firstLineChars="0"/>
                    <w:jc w:val="center"/>
                    <w:rPr>
                      <w:rFonts w:hint="default" w:ascii="Times New Roman" w:hAnsi="Times New Roman" w:eastAsia="宋体" w:cs="Times New Roman"/>
                      <w:b w:val="0"/>
                      <w:bCs w:val="0"/>
                      <w:color w:val="auto"/>
                      <w:sz w:val="21"/>
                      <w:szCs w:val="21"/>
                      <w:vertAlign w:val="baseline"/>
                      <w:lang w:val="en-US" w:eastAsia="zh-CN"/>
                    </w:rPr>
                  </w:pPr>
                  <w:r>
                    <w:rPr>
                      <w:rStyle w:val="30"/>
                      <w:rFonts w:hint="default" w:ascii="Times New Roman" w:hAnsi="Times New Roman" w:eastAsia="宋体" w:cs="Times New Roman"/>
                      <w:kern w:val="2"/>
                      <w:sz w:val="21"/>
                      <w:szCs w:val="21"/>
                      <w:lang w:val="en-US" w:eastAsia="zh-CN" w:bidi="ar-SA"/>
                    </w:rPr>
                    <w:t>ZH51090420003</w:t>
                  </w:r>
                </w:p>
              </w:tc>
              <w:tc>
                <w:tcPr>
                  <w:tcW w:w="388" w:type="pct"/>
                  <w:vMerge w:val="restart"/>
                  <w:noWrap w:val="0"/>
                  <w:vAlign w:val="center"/>
                </w:tcPr>
                <w:p w14:paraId="3E5C0724">
                  <w:pPr>
                    <w:pStyle w:val="90"/>
                    <w:widowControl/>
                    <w:spacing w:line="240" w:lineRule="auto"/>
                    <w:ind w:firstLine="0" w:firstLineChars="0"/>
                    <w:jc w:val="center"/>
                    <w:rPr>
                      <w:rFonts w:hint="default" w:ascii="Times New Roman" w:hAnsi="Times New Roman" w:eastAsia="宋体" w:cs="Times New Roman"/>
                      <w:b w:val="0"/>
                      <w:bCs w:val="0"/>
                      <w:color w:val="auto"/>
                      <w:sz w:val="21"/>
                      <w:szCs w:val="21"/>
                      <w:vertAlign w:val="baseline"/>
                      <w:lang w:val="en-US" w:eastAsia="zh-CN"/>
                    </w:rPr>
                  </w:pPr>
                  <w:r>
                    <w:rPr>
                      <w:rStyle w:val="30"/>
                      <w:rFonts w:hint="default" w:ascii="Times New Roman" w:hAnsi="Times New Roman" w:eastAsia="宋体" w:cs="Times New Roman"/>
                      <w:kern w:val="2"/>
                      <w:sz w:val="21"/>
                      <w:szCs w:val="21"/>
                      <w:lang w:val="en-US" w:eastAsia="zh-CN" w:bidi="ar-SA"/>
                    </w:rPr>
                    <w:t>遂宁市安居区工业集中发展区（含经开区）</w:t>
                  </w:r>
                </w:p>
              </w:tc>
              <w:tc>
                <w:tcPr>
                  <w:tcW w:w="2929" w:type="pct"/>
                  <w:gridSpan w:val="2"/>
                  <w:noWrap w:val="0"/>
                  <w:vAlign w:val="center"/>
                </w:tcPr>
                <w:p w14:paraId="2168C6B6">
                  <w:pPr>
                    <w:numPr>
                      <w:ilvl w:val="0"/>
                      <w:numId w:val="0"/>
                    </w:numPr>
                    <w:tabs>
                      <w:tab w:val="left" w:pos="7770"/>
                    </w:tabs>
                    <w:spacing w:line="240" w:lineRule="auto"/>
                    <w:ind w:leftChars="0"/>
                    <w:jc w:val="both"/>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空间布局约束：</w:t>
                  </w:r>
                </w:p>
                <w:p w14:paraId="29AAFF88">
                  <w:pPr>
                    <w:numPr>
                      <w:ilvl w:val="0"/>
                      <w:numId w:val="0"/>
                    </w:numPr>
                    <w:tabs>
                      <w:tab w:val="left" w:pos="7770"/>
                    </w:tabs>
                    <w:spacing w:line="240" w:lineRule="auto"/>
                    <w:ind w:leftChars="0"/>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禁止开发建设活动的要求</w:t>
                  </w:r>
                </w:p>
                <w:p w14:paraId="226BCE6E">
                  <w:pPr>
                    <w:numPr>
                      <w:ilvl w:val="0"/>
                      <w:numId w:val="11"/>
                    </w:numPr>
                    <w:tabs>
                      <w:tab w:val="left" w:pos="7770"/>
                    </w:tabs>
                    <w:spacing w:line="240" w:lineRule="auto"/>
                    <w:ind w:leftChars="0"/>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禁止引入不符合园区用地性质或产业规划的工业企业。</w:t>
                  </w:r>
                </w:p>
                <w:p w14:paraId="778CA7DE">
                  <w:pPr>
                    <w:numPr>
                      <w:ilvl w:val="0"/>
                      <w:numId w:val="11"/>
                    </w:numPr>
                    <w:tabs>
                      <w:tab w:val="left" w:pos="7770"/>
                    </w:tabs>
                    <w:spacing w:line="240" w:lineRule="auto"/>
                    <w:ind w:leftChars="0"/>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禁止在长江干支流岸线一公里范围内新建、扩建化工园区和化工项目。</w:t>
                  </w:r>
                </w:p>
                <w:p w14:paraId="1B7E1609">
                  <w:pPr>
                    <w:numPr>
                      <w:ilvl w:val="0"/>
                      <w:numId w:val="11"/>
                    </w:numPr>
                    <w:tabs>
                      <w:tab w:val="left" w:pos="7770"/>
                    </w:tabs>
                    <w:spacing w:line="240" w:lineRule="auto"/>
                    <w:ind w:leftChars="0"/>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禁止在长江流域河湖管理范围内倾倒、填埋、堆放、弃置、处理固体废物。</w:t>
                  </w:r>
                </w:p>
                <w:p w14:paraId="7C79F6EE">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限制开发建设活动的要求</w:t>
                  </w:r>
                </w:p>
                <w:p w14:paraId="3513FC0C">
                  <w:pPr>
                    <w:numPr>
                      <w:ilvl w:val="0"/>
                      <w:numId w:val="12"/>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严控新建、扩建“两高”项目，对现存企业执行最严格排放标准和总量控制要求。</w:t>
                  </w:r>
                </w:p>
                <w:p w14:paraId="6D966D65">
                  <w:pPr>
                    <w:numPr>
                      <w:ilvl w:val="0"/>
                      <w:numId w:val="12"/>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长江干流及主要支流1公里范围内，严控新建石油化工、煤化工、涉磷、造纸、印染、制革等项目。</w:t>
                  </w:r>
                </w:p>
                <w:p w14:paraId="2814A5AC">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不符合空间布局要求活动的退出要求</w:t>
                  </w:r>
                </w:p>
                <w:p w14:paraId="2607A983">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现有属于禁止引入产业门类的企业，应按相关规定限期整治或退出。</w:t>
                  </w:r>
                </w:p>
                <w:p w14:paraId="1FBF7ED2">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其他空间布局约束要求</w:t>
                  </w:r>
                </w:p>
                <w:p w14:paraId="033AF973">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暂无</w:t>
                  </w:r>
                </w:p>
                <w:p w14:paraId="542BB6C2">
                  <w:pPr>
                    <w:numPr>
                      <w:ilvl w:val="0"/>
                      <w:numId w:val="0"/>
                    </w:numPr>
                    <w:tabs>
                      <w:tab w:val="left" w:pos="7770"/>
                    </w:tabs>
                    <w:spacing w:line="240" w:lineRule="auto"/>
                    <w:ind w:leftChars="0"/>
                    <w:jc w:val="both"/>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污染物排放管控：</w:t>
                  </w:r>
                </w:p>
                <w:p w14:paraId="5A63BF7A">
                  <w:pPr>
                    <w:numPr>
                      <w:ilvl w:val="0"/>
                      <w:numId w:val="0"/>
                    </w:numPr>
                    <w:tabs>
                      <w:tab w:val="left" w:pos="7770"/>
                    </w:tabs>
                    <w:spacing w:line="240" w:lineRule="auto"/>
                    <w:ind w:leftChars="0"/>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允许排放量要求</w:t>
                  </w:r>
                </w:p>
                <w:p w14:paraId="48B6129B">
                  <w:pPr>
                    <w:numPr>
                      <w:ilvl w:val="0"/>
                      <w:numId w:val="0"/>
                    </w:numPr>
                    <w:tabs>
                      <w:tab w:val="left" w:pos="7770"/>
                    </w:tabs>
                    <w:spacing w:line="240" w:lineRule="auto"/>
                    <w:ind w:leftChars="0"/>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暂无</w:t>
                  </w:r>
                </w:p>
                <w:p w14:paraId="4F47AAAF">
                  <w:pPr>
                    <w:numPr>
                      <w:ilvl w:val="0"/>
                      <w:numId w:val="0"/>
                    </w:numPr>
                    <w:tabs>
                      <w:tab w:val="left" w:pos="7770"/>
                    </w:tabs>
                    <w:spacing w:line="240" w:lineRule="auto"/>
                    <w:ind w:leftChars="0"/>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现有源提标升级改造</w:t>
                  </w:r>
                </w:p>
                <w:p w14:paraId="66408FC0">
                  <w:pPr>
                    <w:numPr>
                      <w:ilvl w:val="0"/>
                      <w:numId w:val="13"/>
                    </w:numPr>
                    <w:tabs>
                      <w:tab w:val="left" w:pos="7770"/>
                    </w:tabs>
                    <w:spacing w:line="240" w:lineRule="auto"/>
                    <w:ind w:leftChars="0"/>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污水收集处理率达100%。</w:t>
                  </w:r>
                </w:p>
                <w:p w14:paraId="09D017C9">
                  <w:pPr>
                    <w:numPr>
                      <w:ilvl w:val="0"/>
                      <w:numId w:val="13"/>
                    </w:numPr>
                    <w:tabs>
                      <w:tab w:val="left" w:pos="7770"/>
                    </w:tabs>
                    <w:spacing w:line="240" w:lineRule="auto"/>
                    <w:ind w:leftChars="0"/>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园区污水处理厂达《城镇污水处理厂污染物排放标准》一级A标或更高标准。</w:t>
                  </w:r>
                </w:p>
                <w:p w14:paraId="373DB474">
                  <w:pPr>
                    <w:numPr>
                      <w:ilvl w:val="0"/>
                      <w:numId w:val="13"/>
                    </w:numPr>
                    <w:tabs>
                      <w:tab w:val="left" w:pos="7770"/>
                    </w:tabs>
                    <w:spacing w:line="240" w:lineRule="auto"/>
                    <w:ind w:leftChars="0"/>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加快推进危险化学品生产企业搬迁改造工程。</w:t>
                  </w:r>
                </w:p>
                <w:p w14:paraId="2523CC70">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其他污染物排放管控要求</w:t>
                  </w:r>
                </w:p>
                <w:p w14:paraId="645D58C3">
                  <w:pPr>
                    <w:numPr>
                      <w:ilvl w:val="0"/>
                      <w:numId w:val="14"/>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新增源等量或倍量替代：</w:t>
                  </w:r>
                </w:p>
                <w:p w14:paraId="1573772E">
                  <w:pPr>
                    <w:numPr>
                      <w:ilvl w:val="0"/>
                      <w:numId w:val="15"/>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上一年度水环境质量未完成目标的，新建排放水污染的建设项目按照总量管控要求进行倍量削减替代。上一年度空气质量年平均浓度不达标的城市，建设项目新增相关污染物按照总量管控要求进行倍量削减替代。</w:t>
                  </w:r>
                </w:p>
                <w:p w14:paraId="154D6012">
                  <w:pPr>
                    <w:numPr>
                      <w:ilvl w:val="0"/>
                      <w:numId w:val="15"/>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把能源消耗与污染物排放总量指标作为环评审批的前置条件，对新建排放</w:t>
                  </w:r>
                  <w:r>
                    <w:rPr>
                      <w:rFonts w:hint="eastAsia" w:cs="Times New Roman"/>
                      <w:b w:val="0"/>
                      <w:bCs w:val="0"/>
                      <w:color w:val="auto"/>
                      <w:sz w:val="21"/>
                      <w:szCs w:val="21"/>
                      <w:vertAlign w:val="baseline"/>
                      <w:lang w:val="en-US" w:eastAsia="zh-CN"/>
                    </w:rPr>
                    <w:t>二氧化硫</w:t>
                  </w:r>
                  <w:r>
                    <w:rPr>
                      <w:rFonts w:hint="eastAsia" w:ascii="Times New Roman" w:hAnsi="Times New Roman" w:eastAsia="宋体" w:cs="Times New Roman"/>
                      <w:b w:val="0"/>
                      <w:bCs w:val="0"/>
                      <w:color w:val="auto"/>
                      <w:sz w:val="21"/>
                      <w:szCs w:val="21"/>
                      <w:vertAlign w:val="baseline"/>
                      <w:lang w:val="en-US" w:eastAsia="zh-CN"/>
                    </w:rPr>
                    <w:t>、NOx、VOCs和工业烟粉尘的项目实施现役源2倍削减量替代，其中</w:t>
                  </w:r>
                  <w:r>
                    <w:rPr>
                      <w:rFonts w:hint="eastAsia" w:cs="Times New Roman"/>
                      <w:b w:val="0"/>
                      <w:bCs w:val="0"/>
                      <w:color w:val="auto"/>
                      <w:sz w:val="21"/>
                      <w:szCs w:val="21"/>
                      <w:vertAlign w:val="baseline"/>
                      <w:lang w:val="en-US" w:eastAsia="zh-CN"/>
                    </w:rPr>
                    <w:t>的</w:t>
                  </w:r>
                  <w:r>
                    <w:rPr>
                      <w:rFonts w:hint="eastAsia" w:ascii="Times New Roman" w:hAnsi="Times New Roman" w:eastAsia="宋体" w:cs="Times New Roman"/>
                      <w:b w:val="0"/>
                      <w:bCs w:val="0"/>
                      <w:color w:val="auto"/>
                      <w:sz w:val="21"/>
                      <w:szCs w:val="21"/>
                      <w:vertAlign w:val="baseline"/>
                      <w:lang w:val="en-US" w:eastAsia="zh-CN"/>
                    </w:rPr>
                    <w:t>射洪市执行1.5倍削减量替代。</w:t>
                  </w:r>
                </w:p>
                <w:p w14:paraId="094B93C4">
                  <w:pPr>
                    <w:numPr>
                      <w:ilvl w:val="0"/>
                      <w:numId w:val="14"/>
                    </w:numPr>
                    <w:tabs>
                      <w:tab w:val="left" w:pos="7770"/>
                    </w:tabs>
                    <w:spacing w:line="240" w:lineRule="auto"/>
                    <w:ind w:left="0" w:leftChars="0" w:firstLine="0" w:firstLineChars="0"/>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新增源排放标准限值：对于国家排放标准中已规定大气污染物特别排放限值或特别控制要求的行业以及锅炉，新建企业（项目）执行《四川省生态环境厅关于执行大气污染物特别排放限值的公告》</w:t>
                  </w:r>
                  <w:r>
                    <w:rPr>
                      <w:rFonts w:hint="default" w:ascii="Times New Roman" w:hAnsi="Times New Roman" w:eastAsia="宋体" w:cs="Times New Roman"/>
                      <w:color w:val="auto"/>
                      <w:sz w:val="24"/>
                      <w:szCs w:val="24"/>
                    </w:rPr>
                    <w:t>〔</w:t>
                  </w:r>
                  <w:r>
                    <w:rPr>
                      <w:rFonts w:hint="eastAsia" w:ascii="Times New Roman" w:hAnsi="Times New Roman" w:eastAsia="宋体" w:cs="Times New Roman"/>
                      <w:b w:val="0"/>
                      <w:bCs w:val="0"/>
                      <w:color w:val="auto"/>
                      <w:sz w:val="21"/>
                      <w:szCs w:val="21"/>
                      <w:vertAlign w:val="baseline"/>
                      <w:lang w:val="en-US" w:eastAsia="zh-CN"/>
                    </w:rPr>
                    <w:t>2020年第2号</w:t>
                  </w:r>
                  <w:r>
                    <w:rPr>
                      <w:rFonts w:hint="default" w:ascii="Times New Roman" w:hAnsi="Times New Roman" w:eastAsia="宋体" w:cs="Times New Roman"/>
                      <w:color w:val="auto"/>
                      <w:sz w:val="24"/>
                      <w:szCs w:val="24"/>
                    </w:rPr>
                    <w:t>〕</w:t>
                  </w:r>
                  <w:r>
                    <w:rPr>
                      <w:rFonts w:hint="eastAsia" w:ascii="Times New Roman" w:hAnsi="Times New Roman" w:eastAsia="宋体" w:cs="Times New Roman"/>
                      <w:b w:val="0"/>
                      <w:bCs w:val="0"/>
                      <w:color w:val="auto"/>
                      <w:sz w:val="21"/>
                      <w:szCs w:val="21"/>
                      <w:vertAlign w:val="baseline"/>
                      <w:lang w:val="en-US" w:eastAsia="zh-CN"/>
                    </w:rPr>
                    <w:t>中相应标准颗粒物、二氧化硫、氮氧化物和挥发性有机物特别排放限值和特别控制要求。</w:t>
                  </w:r>
                </w:p>
                <w:p w14:paraId="5CDB5973">
                  <w:pPr>
                    <w:numPr>
                      <w:ilvl w:val="0"/>
                      <w:numId w:val="14"/>
                    </w:numPr>
                    <w:tabs>
                      <w:tab w:val="left" w:pos="7770"/>
                    </w:tabs>
                    <w:spacing w:line="240" w:lineRule="auto"/>
                    <w:ind w:left="0" w:leftChars="0" w:firstLine="0" w:firstLineChars="0"/>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污染物排放绩效水平准入要求：（1）到2025年，煤矸石、粉煤灰、尾矿（共伴生矿）、冶炼渣、工业副产石膏、建筑垃圾、农作物秸秆等大宗固废的综合利用能力显著提升，利用规模不断扩大，新增大宗固废综合利用率达到60%，存量大宗固废有序减少。（2）严格执行钢铁、水泥、平板玻璃等行业产能置换实施办法，新建钢铁企业执行超低排放标准。（3）新、改扩建项目污染排放指标满足《四川省省级生态工业园区指标》综合类生态工业园区要求。</w:t>
                  </w:r>
                </w:p>
                <w:p w14:paraId="055F29D0">
                  <w:pPr>
                    <w:numPr>
                      <w:ilvl w:val="0"/>
                      <w:numId w:val="0"/>
                    </w:numPr>
                    <w:tabs>
                      <w:tab w:val="left" w:pos="7770"/>
                    </w:tabs>
                    <w:spacing w:line="240" w:lineRule="auto"/>
                    <w:ind w:leftChars="0"/>
                    <w:jc w:val="both"/>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环境风险防控：</w:t>
                  </w:r>
                </w:p>
                <w:p w14:paraId="143D622B">
                  <w:pPr>
                    <w:numPr>
                      <w:ilvl w:val="0"/>
                      <w:numId w:val="0"/>
                    </w:numPr>
                    <w:tabs>
                      <w:tab w:val="left" w:pos="7770"/>
                    </w:tabs>
                    <w:spacing w:line="240" w:lineRule="auto"/>
                    <w:ind w:leftChars="0"/>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联防联控要求</w:t>
                  </w:r>
                </w:p>
                <w:p w14:paraId="552DF1FE">
                  <w:pPr>
                    <w:numPr>
                      <w:ilvl w:val="0"/>
                      <w:numId w:val="0"/>
                    </w:numPr>
                    <w:tabs>
                      <w:tab w:val="left" w:pos="7770"/>
                    </w:tabs>
                    <w:spacing w:line="240" w:lineRule="auto"/>
                    <w:ind w:leftChars="0"/>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加强成都平原经济区信息共享和联动合作，协力推进产业和能源结构优化调整，加强大气污染源头防控，加强潼遂合作。</w:t>
                  </w:r>
                </w:p>
                <w:p w14:paraId="6E0B01A5">
                  <w:pPr>
                    <w:numPr>
                      <w:ilvl w:val="0"/>
                      <w:numId w:val="0"/>
                    </w:numPr>
                    <w:tabs>
                      <w:tab w:val="left" w:pos="7770"/>
                    </w:tabs>
                    <w:spacing w:line="240" w:lineRule="auto"/>
                    <w:ind w:leftChars="0"/>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其他环境风险防控要求</w:t>
                  </w:r>
                </w:p>
                <w:p w14:paraId="2BE3005D">
                  <w:pPr>
                    <w:numPr>
                      <w:ilvl w:val="0"/>
                      <w:numId w:val="16"/>
                    </w:numPr>
                    <w:tabs>
                      <w:tab w:val="left" w:pos="7770"/>
                    </w:tabs>
                    <w:spacing w:line="240" w:lineRule="auto"/>
                    <w:ind w:leftChars="0"/>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企业环境风险防控要求：涉及有毒有害、易燃易爆物质的新建、改扩建项目，严控准入要求。</w:t>
                  </w:r>
                </w:p>
                <w:p w14:paraId="4D7E4EE7">
                  <w:pPr>
                    <w:numPr>
                      <w:ilvl w:val="0"/>
                      <w:numId w:val="16"/>
                    </w:numPr>
                    <w:tabs>
                      <w:tab w:val="left" w:pos="7770"/>
                    </w:tabs>
                    <w:spacing w:line="240" w:lineRule="auto"/>
                    <w:ind w:leftChars="0"/>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园区环境风险防控要求：构建三级环境风险防控体系，强化危化品泄漏应急处置措施，确保风险可控。针对化工园区进一步强化风险防控。</w:t>
                  </w:r>
                </w:p>
                <w:p w14:paraId="1578F563">
                  <w:pPr>
                    <w:numPr>
                      <w:ilvl w:val="0"/>
                      <w:numId w:val="16"/>
                    </w:numPr>
                    <w:tabs>
                      <w:tab w:val="left" w:pos="7770"/>
                    </w:tabs>
                    <w:spacing w:line="240" w:lineRule="auto"/>
                    <w:ind w:leftChars="0"/>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用地环境风险防控要求：化工、电镀等行业企业拆除生产设施设备、构筑物和污染治理设施，要事先制定残留污染物清理和安全处置方案，要严格按照有关规定实施安全处理处置，防范拆除活动污染土壤。</w:t>
                  </w:r>
                </w:p>
                <w:p w14:paraId="4BEEBA2B">
                  <w:pPr>
                    <w:numPr>
                      <w:ilvl w:val="0"/>
                      <w:numId w:val="0"/>
                    </w:numPr>
                    <w:tabs>
                      <w:tab w:val="left" w:pos="7770"/>
                    </w:tabs>
                    <w:spacing w:line="240" w:lineRule="auto"/>
                    <w:jc w:val="both"/>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资源开发利用效率要求：</w:t>
                  </w:r>
                </w:p>
                <w:p w14:paraId="5454879E">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水资源利用总量要求</w:t>
                  </w:r>
                </w:p>
                <w:p w14:paraId="4EBE5559">
                  <w:pPr>
                    <w:numPr>
                      <w:ilvl w:val="0"/>
                      <w:numId w:val="17"/>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到2025年，万元工业增加值用水量下降到32.0m</w:t>
                  </w:r>
                  <w:r>
                    <w:rPr>
                      <w:rFonts w:hint="eastAsia" w:ascii="Times New Roman" w:hAnsi="Times New Roman" w:eastAsia="宋体" w:cs="Times New Roman"/>
                      <w:b w:val="0"/>
                      <w:bCs w:val="0"/>
                      <w:color w:val="auto"/>
                      <w:sz w:val="21"/>
                      <w:szCs w:val="21"/>
                      <w:vertAlign w:val="superscript"/>
                      <w:lang w:val="en-US" w:eastAsia="zh-CN"/>
                    </w:rPr>
                    <w:t>3</w:t>
                  </w:r>
                  <w:r>
                    <w:rPr>
                      <w:rFonts w:hint="eastAsia" w:ascii="Times New Roman" w:hAnsi="Times New Roman" w:eastAsia="宋体" w:cs="Times New Roman"/>
                      <w:b w:val="0"/>
                      <w:bCs w:val="0"/>
                      <w:color w:val="auto"/>
                      <w:sz w:val="21"/>
                      <w:szCs w:val="21"/>
                      <w:vertAlign w:val="baseline"/>
                      <w:lang w:val="en-US" w:eastAsia="zh-CN"/>
                    </w:rPr>
                    <w:t>万元，重复利用率提高到84%；</w:t>
                  </w:r>
                </w:p>
                <w:p w14:paraId="08D8B7FF">
                  <w:pPr>
                    <w:numPr>
                      <w:ilvl w:val="0"/>
                      <w:numId w:val="17"/>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至2030年，万元工业增加值用水量进一步减少为28.0m</w:t>
                  </w:r>
                  <w:r>
                    <w:rPr>
                      <w:rFonts w:hint="eastAsia" w:ascii="Times New Roman" w:hAnsi="Times New Roman" w:eastAsia="宋体" w:cs="Times New Roman"/>
                      <w:b w:val="0"/>
                      <w:bCs w:val="0"/>
                      <w:color w:val="auto"/>
                      <w:sz w:val="21"/>
                      <w:szCs w:val="21"/>
                      <w:vertAlign w:val="superscript"/>
                      <w:lang w:val="en-US" w:eastAsia="zh-CN"/>
                    </w:rPr>
                    <w:t>3</w:t>
                  </w:r>
                  <w:r>
                    <w:rPr>
                      <w:rFonts w:hint="eastAsia" w:ascii="Times New Roman" w:hAnsi="Times New Roman" w:eastAsia="宋体" w:cs="Times New Roman"/>
                      <w:b w:val="0"/>
                      <w:bCs w:val="0"/>
                      <w:color w:val="auto"/>
                      <w:sz w:val="21"/>
                      <w:szCs w:val="21"/>
                      <w:vertAlign w:val="baseline"/>
                      <w:lang w:val="en-US" w:eastAsia="zh-CN"/>
                    </w:rPr>
                    <w:t>万元，重复利用率提高到85%；</w:t>
                  </w:r>
                </w:p>
                <w:p w14:paraId="557977D5">
                  <w:pPr>
                    <w:numPr>
                      <w:ilvl w:val="0"/>
                      <w:numId w:val="17"/>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新、改扩建项目水耗指标满足《四川省省级生态工业园区指标》综合类生态工业园区要求。</w:t>
                  </w:r>
                </w:p>
                <w:p w14:paraId="62D1063B">
                  <w:pPr>
                    <w:numPr>
                      <w:ilvl w:val="0"/>
                      <w:numId w:val="0"/>
                    </w:numPr>
                    <w:tabs>
                      <w:tab w:val="left" w:pos="7770"/>
                    </w:tabs>
                    <w:spacing w:line="240" w:lineRule="auto"/>
                    <w:jc w:val="both"/>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地下水开采要求</w:t>
                  </w:r>
                </w:p>
                <w:p w14:paraId="41E8EFE0">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全面建设节水型社会，达到合理高效用水。</w:t>
                  </w:r>
                </w:p>
                <w:p w14:paraId="1D7FFEBD">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能源利用总量及效率要求</w:t>
                  </w:r>
                </w:p>
                <w:p w14:paraId="79880418">
                  <w:pPr>
                    <w:numPr>
                      <w:ilvl w:val="0"/>
                      <w:numId w:val="18"/>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扩大高污染燃料禁燃区范围，在市、县（区）、镇（乡）建成区全面实施“煤改气”“煤改电”。</w:t>
                  </w:r>
                </w:p>
                <w:p w14:paraId="54E0F081">
                  <w:pPr>
                    <w:numPr>
                      <w:ilvl w:val="0"/>
                      <w:numId w:val="18"/>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新、改扩建项目能耗指标满足《四川省省级生态工业园区指标》综合类生态工业园区要求。</w:t>
                  </w:r>
                </w:p>
                <w:p w14:paraId="2B94568E">
                  <w:pPr>
                    <w:numPr>
                      <w:ilvl w:val="0"/>
                      <w:numId w:val="18"/>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实施新建项目与煤炭消费总量控制挂钩机制，耗煤建设项目实行煤炭消耗等量减量替代。</w:t>
                  </w:r>
                </w:p>
                <w:p w14:paraId="19F7B01A">
                  <w:pPr>
                    <w:numPr>
                      <w:ilvl w:val="0"/>
                      <w:numId w:val="18"/>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提高煤炭利用效率和天然气利用占比，工业领域有序推进“煤改电”和“煤改气”。</w:t>
                  </w:r>
                </w:p>
                <w:p w14:paraId="032AA355">
                  <w:pPr>
                    <w:numPr>
                      <w:ilvl w:val="0"/>
                      <w:numId w:val="18"/>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到2030年，能源消费总量控制在1000万吨标准煤以内。</w:t>
                  </w:r>
                </w:p>
                <w:p w14:paraId="3669F159">
                  <w:pPr>
                    <w:numPr>
                      <w:ilvl w:val="0"/>
                      <w:numId w:val="0"/>
                    </w:numPr>
                    <w:tabs>
                      <w:tab w:val="left" w:pos="7770"/>
                    </w:tabs>
                    <w:spacing w:line="240" w:lineRule="auto"/>
                    <w:jc w:val="both"/>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禁燃区要求</w:t>
                  </w:r>
                </w:p>
                <w:p w14:paraId="54BC1989">
                  <w:pPr>
                    <w:numPr>
                      <w:ilvl w:val="0"/>
                      <w:numId w:val="19"/>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禁燃区内禁止燃烧以下高污染燃料：</w:t>
                  </w:r>
                </w:p>
                <w:p w14:paraId="55E5AB24">
                  <w:pPr>
                    <w:numPr>
                      <w:ilvl w:val="0"/>
                      <w:numId w:val="2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煤炭及其制品（包括原煤、散煤、煤矸石、煤泥、煤粉、水浆煤、型煤、焦炭、兰炭、油类等常规燃料）。</w:t>
                  </w:r>
                </w:p>
                <w:p w14:paraId="436E338E">
                  <w:pPr>
                    <w:numPr>
                      <w:ilvl w:val="0"/>
                      <w:numId w:val="2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石油焦、油页岩、原油、重油、渣油、煤焦油。</w:t>
                  </w:r>
                </w:p>
                <w:p w14:paraId="56FDEED9">
                  <w:pPr>
                    <w:numPr>
                      <w:ilvl w:val="0"/>
                      <w:numId w:val="2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非专用锅炉或未配置高效除尘设施的专用锅炉燃用的生物质成型燃料。</w:t>
                  </w:r>
                </w:p>
                <w:p w14:paraId="3D1359A4">
                  <w:pPr>
                    <w:numPr>
                      <w:ilvl w:val="0"/>
                      <w:numId w:val="19"/>
                    </w:numPr>
                    <w:tabs>
                      <w:tab w:val="left" w:pos="7770"/>
                    </w:tabs>
                    <w:spacing w:line="240" w:lineRule="auto"/>
                    <w:ind w:left="0" w:leftChars="0" w:firstLine="0" w:firstLineChars="0"/>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禁燃区内禁止新建、扩建燃用高污染燃料的锅炉、炉窑、炉灶等燃烧设施（集中供热、电厂锅炉除外）。</w:t>
                  </w:r>
                </w:p>
                <w:p w14:paraId="488109B6">
                  <w:pPr>
                    <w:numPr>
                      <w:ilvl w:val="0"/>
                      <w:numId w:val="19"/>
                    </w:numPr>
                    <w:tabs>
                      <w:tab w:val="left" w:pos="7770"/>
                    </w:tabs>
                    <w:spacing w:line="240" w:lineRule="auto"/>
                    <w:ind w:left="0" w:leftChars="0" w:firstLine="0" w:firstLineChars="0"/>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自2020年1月1日起，禁燃区内禁止销售高污染燃料。</w:t>
                  </w:r>
                </w:p>
                <w:p w14:paraId="7105C21E">
                  <w:pPr>
                    <w:numPr>
                      <w:ilvl w:val="0"/>
                      <w:numId w:val="19"/>
                    </w:numPr>
                    <w:tabs>
                      <w:tab w:val="left" w:pos="7770"/>
                    </w:tabs>
                    <w:spacing w:line="240" w:lineRule="auto"/>
                    <w:ind w:left="0" w:leftChars="0" w:firstLine="0" w:firstLineChars="0"/>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加强对集中供热、电厂锅炉、10蒸吨时以上的在用燃煤锅炉以及改用清洁能源前的在用锅炉等燃烧设施的监管，确保达标排放。</w:t>
                  </w:r>
                </w:p>
                <w:p w14:paraId="1EBD8526">
                  <w:pPr>
                    <w:numPr>
                      <w:ilvl w:val="0"/>
                      <w:numId w:val="0"/>
                    </w:numPr>
                    <w:tabs>
                      <w:tab w:val="left" w:pos="7770"/>
                    </w:tabs>
                    <w:spacing w:line="240" w:lineRule="auto"/>
                    <w:ind w:leftChars="0"/>
                    <w:jc w:val="both"/>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其他资源利用效率要求</w:t>
                  </w:r>
                </w:p>
                <w:p w14:paraId="04268193">
                  <w:pPr>
                    <w:numPr>
                      <w:ilvl w:val="0"/>
                      <w:numId w:val="0"/>
                    </w:numPr>
                    <w:tabs>
                      <w:tab w:val="left" w:pos="7770"/>
                    </w:tabs>
                    <w:spacing w:line="240" w:lineRule="auto"/>
                    <w:ind w:leftChars="0"/>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暂无</w:t>
                  </w:r>
                </w:p>
              </w:tc>
              <w:tc>
                <w:tcPr>
                  <w:tcW w:w="942" w:type="pct"/>
                  <w:noWrap w:val="0"/>
                  <w:vAlign w:val="center"/>
                </w:tcPr>
                <w:p w14:paraId="4AF4CEAB">
                  <w:pPr>
                    <w:numPr>
                      <w:ilvl w:val="0"/>
                      <w:numId w:val="0"/>
                    </w:numPr>
                    <w:bidi w:val="0"/>
                    <w:spacing w:line="240" w:lineRule="auto"/>
                    <w:ind w:left="0" w:leftChars="0" w:firstLine="0" w:firstLineChars="0"/>
                    <w:jc w:val="both"/>
                    <w:rPr>
                      <w:rFonts w:hint="default" w:ascii="Times New Roman" w:hAnsi="Times New Roman" w:eastAsia="宋体" w:cs="Times New Roman"/>
                      <w:b w:val="0"/>
                      <w:bCs w:val="0"/>
                      <w:color w:val="auto"/>
                      <w:sz w:val="21"/>
                      <w:szCs w:val="21"/>
                      <w:vertAlign w:val="baseline"/>
                      <w:lang w:eastAsia="zh-CN"/>
                    </w:rPr>
                  </w:pPr>
                  <w:r>
                    <w:rPr>
                      <w:rFonts w:hint="eastAsia" w:ascii="Times New Roman" w:hAnsi="Times New Roman" w:eastAsia="宋体" w:cs="Times New Roman"/>
                      <w:b w:val="0"/>
                      <w:bCs w:val="0"/>
                      <w:color w:val="auto"/>
                      <w:sz w:val="21"/>
                      <w:szCs w:val="21"/>
                      <w:vertAlign w:val="baseline"/>
                      <w:lang w:eastAsia="zh-CN"/>
                    </w:rPr>
                    <w:t>项目主要进行废矿物油贮存工作，属于安居区工业集中发展区</w:t>
                  </w:r>
                  <w:r>
                    <w:rPr>
                      <w:rFonts w:hint="eastAsia" w:cs="Times New Roman"/>
                      <w:b w:val="0"/>
                      <w:bCs w:val="0"/>
                      <w:color w:val="auto"/>
                      <w:sz w:val="21"/>
                      <w:szCs w:val="21"/>
                      <w:vertAlign w:val="baseline"/>
                      <w:lang w:val="en-US" w:eastAsia="zh-CN"/>
                    </w:rPr>
                    <w:t>允许入园类项目</w:t>
                  </w:r>
                  <w:r>
                    <w:rPr>
                      <w:rFonts w:hint="eastAsia" w:ascii="Times New Roman" w:hAnsi="Times New Roman" w:eastAsia="宋体" w:cs="Times New Roman"/>
                      <w:b w:val="0"/>
                      <w:bCs w:val="0"/>
                      <w:color w:val="auto"/>
                      <w:sz w:val="21"/>
                      <w:szCs w:val="21"/>
                      <w:vertAlign w:val="baseline"/>
                      <w:lang w:eastAsia="zh-CN"/>
                    </w:rPr>
                    <w:t>，</w:t>
                  </w:r>
                  <w:r>
                    <w:rPr>
                      <w:rFonts w:hint="eastAsia" w:cs="Times New Roman"/>
                      <w:b w:val="0"/>
                      <w:bCs w:val="0"/>
                      <w:color w:val="auto"/>
                      <w:sz w:val="21"/>
                      <w:szCs w:val="21"/>
                      <w:vertAlign w:val="baseline"/>
                      <w:lang w:val="en-US" w:eastAsia="zh-CN"/>
                    </w:rPr>
                    <w:t>租赁已建厂房建设，不新增用地，不涉及燃煤等高污染燃料使用，不涉及使用地下水，不属于高排放、高能耗项目，不属于化工企业；</w:t>
                  </w:r>
                  <w:r>
                    <w:rPr>
                      <w:rFonts w:hint="default" w:ascii="Times New Roman" w:hAnsi="Times New Roman" w:eastAsia="宋体" w:cs="Times New Roman"/>
                      <w:b w:val="0"/>
                      <w:bCs w:val="0"/>
                      <w:color w:val="auto"/>
                      <w:sz w:val="21"/>
                      <w:szCs w:val="21"/>
                      <w:vertAlign w:val="baseline"/>
                      <w:lang w:eastAsia="zh-CN"/>
                    </w:rPr>
                    <w:t>采取严格的环保措施治理后，废气污水</w:t>
                  </w:r>
                  <w:r>
                    <w:rPr>
                      <w:rFonts w:hint="eastAsia" w:cs="Times New Roman"/>
                      <w:b w:val="0"/>
                      <w:bCs w:val="0"/>
                      <w:color w:val="auto"/>
                      <w:sz w:val="21"/>
                      <w:szCs w:val="21"/>
                      <w:vertAlign w:val="baseline"/>
                      <w:lang w:val="en-US" w:eastAsia="zh-CN"/>
                    </w:rPr>
                    <w:t>及</w:t>
                  </w:r>
                  <w:r>
                    <w:rPr>
                      <w:rFonts w:hint="default" w:ascii="Times New Roman" w:hAnsi="Times New Roman" w:eastAsia="宋体" w:cs="Times New Roman"/>
                      <w:b w:val="0"/>
                      <w:bCs w:val="0"/>
                      <w:color w:val="auto"/>
                      <w:sz w:val="21"/>
                      <w:szCs w:val="21"/>
                      <w:vertAlign w:val="baseline"/>
                      <w:lang w:eastAsia="zh-CN"/>
                    </w:rPr>
                    <w:t>噪声均能达标排放，固废妥善处置；</w:t>
                  </w:r>
                  <w:r>
                    <w:rPr>
                      <w:rFonts w:hint="eastAsia" w:ascii="Times New Roman" w:hAnsi="Times New Roman" w:eastAsia="宋体" w:cs="Times New Roman"/>
                      <w:b w:val="0"/>
                      <w:bCs w:val="0"/>
                      <w:color w:val="auto"/>
                      <w:sz w:val="21"/>
                      <w:szCs w:val="21"/>
                      <w:vertAlign w:val="baseline"/>
                      <w:lang w:val="en-US" w:eastAsia="zh-CN"/>
                    </w:rPr>
                    <w:t>不涉及</w:t>
                  </w:r>
                  <w:r>
                    <w:rPr>
                      <w:rFonts w:hint="default" w:ascii="Times New Roman" w:hAnsi="Times New Roman" w:eastAsia="宋体" w:cs="Times New Roman"/>
                      <w:b w:val="0"/>
                      <w:bCs w:val="0"/>
                      <w:color w:val="auto"/>
                      <w:sz w:val="21"/>
                      <w:szCs w:val="21"/>
                      <w:vertAlign w:val="baseline"/>
                      <w:lang w:eastAsia="zh-CN"/>
                    </w:rPr>
                    <w:t>自然保护敏感区，环境风险系数较小，风险可控，可满足管控要求</w:t>
                  </w:r>
                  <w:r>
                    <w:rPr>
                      <w:rFonts w:hint="eastAsia" w:ascii="Times New Roman" w:hAnsi="Times New Roman" w:eastAsia="宋体" w:cs="Times New Roman"/>
                      <w:b w:val="0"/>
                      <w:bCs w:val="0"/>
                      <w:color w:val="auto"/>
                      <w:sz w:val="21"/>
                      <w:szCs w:val="21"/>
                      <w:vertAlign w:val="baseline"/>
                      <w:lang w:eastAsia="zh-CN"/>
                    </w:rPr>
                    <w:t>。</w:t>
                  </w:r>
                </w:p>
              </w:tc>
              <w:tc>
                <w:tcPr>
                  <w:tcW w:w="332" w:type="pct"/>
                  <w:noWrap w:val="0"/>
                  <w:vAlign w:val="center"/>
                </w:tcPr>
                <w:p w14:paraId="62E0E22F">
                  <w:pPr>
                    <w:numPr>
                      <w:ilvl w:val="0"/>
                      <w:numId w:val="0"/>
                    </w:numPr>
                    <w:bidi w:val="0"/>
                    <w:spacing w:line="240" w:lineRule="auto"/>
                    <w:ind w:left="0" w:leftChars="0" w:firstLine="0" w:firstLineChars="0"/>
                    <w:jc w:val="center"/>
                    <w:rPr>
                      <w:rFonts w:hint="default" w:ascii="Times New Roman" w:hAnsi="Times New Roman" w:eastAsia="宋体" w:cs="Times New Roman"/>
                      <w:b w:val="0"/>
                      <w:bCs w:val="0"/>
                      <w:color w:val="auto"/>
                      <w:sz w:val="21"/>
                      <w:szCs w:val="21"/>
                      <w:vertAlign w:val="baseline"/>
                      <w:lang w:eastAsia="zh-CN"/>
                    </w:rPr>
                  </w:pPr>
                  <w:r>
                    <w:rPr>
                      <w:rFonts w:hint="default" w:ascii="Times New Roman" w:hAnsi="Times New Roman" w:eastAsia="宋体" w:cs="Times New Roman"/>
                      <w:b w:val="0"/>
                      <w:bCs w:val="0"/>
                      <w:color w:val="auto"/>
                      <w:sz w:val="21"/>
                      <w:szCs w:val="21"/>
                      <w:vertAlign w:val="baseline"/>
                      <w:lang w:eastAsia="zh-CN"/>
                    </w:rPr>
                    <w:t>符合</w:t>
                  </w:r>
                </w:p>
              </w:tc>
            </w:tr>
            <w:tr w14:paraId="6532E1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06" w:type="pct"/>
                  <w:vMerge w:val="continue"/>
                  <w:noWrap w:val="0"/>
                  <w:vAlign w:val="center"/>
                </w:tcPr>
                <w:p w14:paraId="2BF713FC">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p>
              </w:tc>
              <w:tc>
                <w:tcPr>
                  <w:tcW w:w="388" w:type="pct"/>
                  <w:vMerge w:val="continue"/>
                  <w:noWrap w:val="0"/>
                  <w:vAlign w:val="center"/>
                </w:tcPr>
                <w:p w14:paraId="02C3C840">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p>
              </w:tc>
              <w:tc>
                <w:tcPr>
                  <w:tcW w:w="500" w:type="pct"/>
                  <w:noWrap w:val="0"/>
                  <w:vAlign w:val="center"/>
                </w:tcPr>
                <w:p w14:paraId="07265249">
                  <w:pPr>
                    <w:tabs>
                      <w:tab w:val="left" w:pos="7770"/>
                    </w:tabs>
                    <w:spacing w:line="240" w:lineRule="auto"/>
                    <w:jc w:val="center"/>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管控</w:t>
                  </w:r>
                </w:p>
                <w:p w14:paraId="6508871A">
                  <w:pPr>
                    <w:tabs>
                      <w:tab w:val="left" w:pos="7770"/>
                    </w:tabs>
                    <w:spacing w:line="240" w:lineRule="auto"/>
                    <w:jc w:val="center"/>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类别</w:t>
                  </w:r>
                </w:p>
              </w:tc>
              <w:tc>
                <w:tcPr>
                  <w:tcW w:w="2429" w:type="pct"/>
                  <w:noWrap w:val="0"/>
                  <w:vAlign w:val="center"/>
                </w:tcPr>
                <w:p w14:paraId="46E495F6">
                  <w:pPr>
                    <w:tabs>
                      <w:tab w:val="left" w:pos="7770"/>
                    </w:tabs>
                    <w:spacing w:line="240" w:lineRule="auto"/>
                    <w:jc w:val="center"/>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单元特性管控要求（环境综合管控单元工业重点管控单元</w:t>
                  </w:r>
                  <w:r>
                    <w:rPr>
                      <w:rFonts w:hint="eastAsia" w:cs="Times New Roman"/>
                      <w:b/>
                      <w:bCs/>
                      <w:color w:val="auto"/>
                      <w:sz w:val="21"/>
                      <w:szCs w:val="21"/>
                      <w:vertAlign w:val="baseline"/>
                      <w:lang w:val="en-US" w:eastAsia="zh-CN"/>
                    </w:rPr>
                    <w:t>）</w:t>
                  </w:r>
                </w:p>
              </w:tc>
              <w:tc>
                <w:tcPr>
                  <w:tcW w:w="942" w:type="pct"/>
                  <w:noWrap w:val="0"/>
                  <w:vAlign w:val="center"/>
                </w:tcPr>
                <w:p w14:paraId="4FD510B8">
                  <w:pPr>
                    <w:numPr>
                      <w:ilvl w:val="0"/>
                      <w:numId w:val="0"/>
                    </w:numPr>
                    <w:bidi w:val="0"/>
                    <w:spacing w:line="240" w:lineRule="auto"/>
                    <w:ind w:left="0" w:leftChars="0" w:firstLine="0" w:firstLineChars="0"/>
                    <w:jc w:val="center"/>
                    <w:rPr>
                      <w:rFonts w:hint="eastAsia"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eastAsia="zh-CN"/>
                    </w:rPr>
                    <w:t>项目对应情况介绍</w:t>
                  </w:r>
                </w:p>
              </w:tc>
              <w:tc>
                <w:tcPr>
                  <w:tcW w:w="332" w:type="pct"/>
                  <w:noWrap w:val="0"/>
                  <w:vAlign w:val="center"/>
                </w:tcPr>
                <w:p w14:paraId="31C4D45E">
                  <w:pPr>
                    <w:numPr>
                      <w:ilvl w:val="0"/>
                      <w:numId w:val="0"/>
                    </w:numPr>
                    <w:bidi w:val="0"/>
                    <w:spacing w:line="240" w:lineRule="auto"/>
                    <w:jc w:val="center"/>
                    <w:rPr>
                      <w:rFonts w:hint="default" w:ascii="Times New Roman" w:hAnsi="Times New Roman" w:eastAsia="宋体" w:cs="Times New Roman"/>
                      <w:b/>
                      <w:bCs/>
                      <w:color w:val="auto"/>
                      <w:sz w:val="21"/>
                      <w:szCs w:val="21"/>
                      <w:vertAlign w:val="baseline"/>
                      <w:lang w:eastAsia="zh-CN"/>
                    </w:rPr>
                  </w:pPr>
                  <w:r>
                    <w:rPr>
                      <w:rFonts w:hint="default" w:ascii="Times New Roman" w:hAnsi="Times New Roman" w:eastAsia="宋体" w:cs="Times New Roman"/>
                      <w:b/>
                      <w:bCs/>
                      <w:color w:val="auto"/>
                      <w:sz w:val="21"/>
                      <w:szCs w:val="21"/>
                      <w:vertAlign w:val="baseline"/>
                      <w:lang w:eastAsia="zh-CN"/>
                    </w:rPr>
                    <w:t>符合性</w:t>
                  </w:r>
                </w:p>
                <w:p w14:paraId="47C5AF5B">
                  <w:pPr>
                    <w:numPr>
                      <w:ilvl w:val="0"/>
                      <w:numId w:val="0"/>
                    </w:numPr>
                    <w:bidi w:val="0"/>
                    <w:spacing w:line="240" w:lineRule="auto"/>
                    <w:ind w:left="0" w:leftChars="0" w:firstLine="0" w:firstLineChars="0"/>
                    <w:jc w:val="center"/>
                    <w:rPr>
                      <w:rFonts w:hint="eastAsia"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eastAsia="zh-CN"/>
                    </w:rPr>
                    <w:t>分析</w:t>
                  </w:r>
                </w:p>
              </w:tc>
            </w:tr>
            <w:tr w14:paraId="73D3FD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06" w:type="pct"/>
                  <w:vMerge w:val="continue"/>
                  <w:noWrap w:val="0"/>
                  <w:vAlign w:val="center"/>
                </w:tcPr>
                <w:p w14:paraId="7C2CB7A4">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p>
              </w:tc>
              <w:tc>
                <w:tcPr>
                  <w:tcW w:w="388" w:type="pct"/>
                  <w:vMerge w:val="continue"/>
                  <w:noWrap w:val="0"/>
                  <w:vAlign w:val="center"/>
                </w:tcPr>
                <w:p w14:paraId="3F829BBF">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p>
              </w:tc>
              <w:tc>
                <w:tcPr>
                  <w:tcW w:w="500" w:type="pct"/>
                  <w:noWrap w:val="0"/>
                  <w:vAlign w:val="center"/>
                </w:tcPr>
                <w:p w14:paraId="7403A074">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空间布</w:t>
                  </w:r>
                </w:p>
                <w:p w14:paraId="31A6EE54">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局约束</w:t>
                  </w:r>
                </w:p>
              </w:tc>
              <w:tc>
                <w:tcPr>
                  <w:tcW w:w="2429" w:type="pct"/>
                  <w:noWrap w:val="0"/>
                  <w:vAlign w:val="center"/>
                </w:tcPr>
                <w:p w14:paraId="1B4EA9D6">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禁止开发建设活动的要求</w:t>
                  </w:r>
                </w:p>
                <w:p w14:paraId="2B0A8431">
                  <w:pPr>
                    <w:numPr>
                      <w:ilvl w:val="0"/>
                      <w:numId w:val="21"/>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禁止引入屠宰，白酒、酒精制造，味精、柠檬酸等排水量大的食品加工项目</w:t>
                  </w:r>
                </w:p>
                <w:p w14:paraId="1E53B283">
                  <w:pPr>
                    <w:numPr>
                      <w:ilvl w:val="0"/>
                      <w:numId w:val="21"/>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禁止水污染物以总磷为主的肥料和日用化学产品制造，农药制造，炸药、火工及火焰产品制造</w:t>
                  </w:r>
                </w:p>
                <w:p w14:paraId="03D1CA55">
                  <w:pPr>
                    <w:numPr>
                      <w:ilvl w:val="0"/>
                      <w:numId w:val="21"/>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禁止新建铅蓄电池制造项目</w:t>
                  </w:r>
                </w:p>
                <w:p w14:paraId="71574E43">
                  <w:pPr>
                    <w:numPr>
                      <w:ilvl w:val="0"/>
                      <w:numId w:val="21"/>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禁止专业电镀</w:t>
                  </w:r>
                </w:p>
                <w:p w14:paraId="02314567">
                  <w:pPr>
                    <w:numPr>
                      <w:ilvl w:val="0"/>
                      <w:numId w:val="21"/>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其他参照遂宁市总体准入要求-工业重点管控单元</w:t>
                  </w:r>
                </w:p>
                <w:p w14:paraId="55603E6C">
                  <w:pPr>
                    <w:numPr>
                      <w:ilvl w:val="0"/>
                      <w:numId w:val="0"/>
                    </w:numPr>
                    <w:tabs>
                      <w:tab w:val="left" w:pos="7770"/>
                    </w:tabs>
                    <w:spacing w:line="240" w:lineRule="auto"/>
                    <w:jc w:val="both"/>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限制开发建设活动的要求</w:t>
                  </w:r>
                </w:p>
                <w:p w14:paraId="4D28F347">
                  <w:pPr>
                    <w:numPr>
                      <w:ilvl w:val="0"/>
                      <w:numId w:val="22"/>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严控涉及剧毒原料、废水排放量大以及可能造成水体重金属富集的项目</w:t>
                  </w:r>
                </w:p>
                <w:p w14:paraId="76D525CC">
                  <w:pPr>
                    <w:numPr>
                      <w:ilvl w:val="0"/>
                      <w:numId w:val="22"/>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靠近安置小区、学校侧的工业用地，后续宜布局机械制造、物流等轻污染类项目，新引入项目应充分论证环境相容性</w:t>
                  </w:r>
                </w:p>
                <w:p w14:paraId="67EF9266">
                  <w:pPr>
                    <w:numPr>
                      <w:ilvl w:val="0"/>
                      <w:numId w:val="22"/>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其他参照遂宁市总体准入要求-工业重点管控单元</w:t>
                  </w:r>
                </w:p>
                <w:p w14:paraId="66CCCAC1">
                  <w:pPr>
                    <w:numPr>
                      <w:ilvl w:val="0"/>
                      <w:numId w:val="0"/>
                    </w:numPr>
                    <w:tabs>
                      <w:tab w:val="left" w:pos="7770"/>
                    </w:tabs>
                    <w:spacing w:line="240" w:lineRule="auto"/>
                    <w:jc w:val="both"/>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允许开发建设活动的要求</w:t>
                  </w:r>
                </w:p>
                <w:p w14:paraId="2A695860">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不符合空间布局要求活动的退出要求</w:t>
                  </w:r>
                </w:p>
                <w:p w14:paraId="6A6B3AFC">
                  <w:pPr>
                    <w:numPr>
                      <w:ilvl w:val="0"/>
                      <w:numId w:val="23"/>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与片区产业规划不符的现有企业适时迁入适宜片区，精细化工片区内禁止新建居住、教育、医疗等敏感点</w:t>
                  </w:r>
                </w:p>
                <w:p w14:paraId="69F37F21">
                  <w:pPr>
                    <w:numPr>
                      <w:ilvl w:val="0"/>
                      <w:numId w:val="23"/>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其他参照遂宁市总体准入要求-工业重点管控单元</w:t>
                  </w:r>
                </w:p>
                <w:p w14:paraId="19430DE4">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其他空间布局约束要求</w:t>
                  </w:r>
                </w:p>
              </w:tc>
              <w:tc>
                <w:tcPr>
                  <w:tcW w:w="942" w:type="pct"/>
                  <w:noWrap w:val="0"/>
                  <w:vAlign w:val="center"/>
                </w:tcPr>
                <w:p w14:paraId="18159508">
                  <w:p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项目主要进行废矿物油贮存工作</w:t>
                  </w:r>
                  <w:r>
                    <w:rPr>
                      <w:rFonts w:hint="eastAsia" w:cs="Times New Roman"/>
                      <w:b w:val="0"/>
                      <w:bCs w:val="0"/>
                      <w:color w:val="auto"/>
                      <w:sz w:val="21"/>
                      <w:szCs w:val="21"/>
                      <w:vertAlign w:val="baseline"/>
                      <w:lang w:val="en-US" w:eastAsia="zh-CN"/>
                    </w:rPr>
                    <w:t>，</w:t>
                  </w:r>
                  <w:r>
                    <w:rPr>
                      <w:rFonts w:hint="eastAsia" w:ascii="Times New Roman" w:hAnsi="Times New Roman" w:eastAsia="宋体" w:cs="Times New Roman"/>
                      <w:b w:val="0"/>
                      <w:bCs w:val="0"/>
                      <w:color w:val="auto"/>
                      <w:sz w:val="21"/>
                      <w:szCs w:val="21"/>
                      <w:vertAlign w:val="baseline"/>
                      <w:lang w:val="en-US" w:eastAsia="zh-CN"/>
                    </w:rPr>
                    <w:t>符合空间布局约束要求</w:t>
                  </w:r>
                  <w:r>
                    <w:rPr>
                      <w:rFonts w:hint="eastAsia" w:cs="Times New Roman"/>
                      <w:b w:val="0"/>
                      <w:bCs w:val="0"/>
                      <w:color w:val="auto"/>
                      <w:sz w:val="21"/>
                      <w:szCs w:val="21"/>
                      <w:vertAlign w:val="baseline"/>
                      <w:lang w:val="en-US" w:eastAsia="zh-CN"/>
                    </w:rPr>
                    <w:t>，属于园区允许开发建设项目。</w:t>
                  </w:r>
                </w:p>
              </w:tc>
              <w:tc>
                <w:tcPr>
                  <w:tcW w:w="332" w:type="pct"/>
                  <w:noWrap w:val="0"/>
                  <w:vAlign w:val="center"/>
                </w:tcPr>
                <w:p w14:paraId="2A516D3A">
                  <w:pPr>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eastAsia="zh-CN"/>
                    </w:rPr>
                    <w:t>符合</w:t>
                  </w:r>
                </w:p>
              </w:tc>
            </w:tr>
            <w:tr w14:paraId="00DDCA1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 w:hRule="atLeast"/>
                <w:jc w:val="center"/>
              </w:trPr>
              <w:tc>
                <w:tcPr>
                  <w:tcW w:w="406" w:type="pct"/>
                  <w:vMerge w:val="continue"/>
                  <w:noWrap w:val="0"/>
                  <w:vAlign w:val="center"/>
                </w:tcPr>
                <w:p w14:paraId="5AC635FA">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p>
              </w:tc>
              <w:tc>
                <w:tcPr>
                  <w:tcW w:w="388" w:type="pct"/>
                  <w:vMerge w:val="continue"/>
                  <w:noWrap w:val="0"/>
                  <w:vAlign w:val="center"/>
                </w:tcPr>
                <w:p w14:paraId="1851BE85">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p>
              </w:tc>
              <w:tc>
                <w:tcPr>
                  <w:tcW w:w="500" w:type="pct"/>
                  <w:noWrap w:val="0"/>
                  <w:vAlign w:val="center"/>
                </w:tcPr>
                <w:p w14:paraId="4D6205AC">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污染物排放</w:t>
                  </w:r>
                </w:p>
                <w:p w14:paraId="0A819751">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管控</w:t>
                  </w:r>
                </w:p>
              </w:tc>
              <w:tc>
                <w:tcPr>
                  <w:tcW w:w="2429" w:type="pct"/>
                  <w:noWrap w:val="0"/>
                  <w:vAlign w:val="center"/>
                </w:tcPr>
                <w:p w14:paraId="358543E9">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现有源提标升级改造</w:t>
                  </w:r>
                </w:p>
                <w:p w14:paraId="4130EF45">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参照遂宁市总体准入要求-工业重点管控单元。</w:t>
                  </w:r>
                </w:p>
                <w:p w14:paraId="7BD648CD">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新增源等量或倍量替代</w:t>
                  </w:r>
                </w:p>
                <w:p w14:paraId="699B5D2C">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参照遂宁市总体准入要求-工业重点管控单元</w:t>
                  </w:r>
                </w:p>
                <w:p w14:paraId="4E9EC6BA">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新增源排放标准限值</w:t>
                  </w:r>
                </w:p>
                <w:p w14:paraId="56532834">
                  <w:pPr>
                    <w:numPr>
                      <w:ilvl w:val="0"/>
                      <w:numId w:val="24"/>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重点行业VOCs治理：（1）化工项目实施挥发性有机物综合整治，兼顾解决恶臭、有毒有害等环境问题；推广低VOCs含量、低反应活性的原辅材料和产品。（2）工程机械制造行业，推广使用高固体分、粉末涂料，喷漆与烘干废气不得采用单一、低效的方式进行处理。（3）全面执行《挥发性有机物无组织排放控制标准》。</w:t>
                  </w:r>
                </w:p>
                <w:p w14:paraId="5F3BC425">
                  <w:pPr>
                    <w:numPr>
                      <w:ilvl w:val="0"/>
                      <w:numId w:val="24"/>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项目产生的生产废水由企业自行处理达到《污水综合排放标准》三级或相应的行业排放标准后排入园区污水处理厂处理达《城镇污水处理厂污染物排放标准》一级A标或更严格标准后排放。</w:t>
                  </w:r>
                </w:p>
                <w:p w14:paraId="0D539209">
                  <w:pPr>
                    <w:numPr>
                      <w:ilvl w:val="0"/>
                      <w:numId w:val="24"/>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其他参照遂宁市总体准入要求-工业重点管控单元。</w:t>
                  </w:r>
                </w:p>
                <w:p w14:paraId="3BA29F2F">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污染物排放绩效水平准入要求</w:t>
                  </w:r>
                </w:p>
                <w:p w14:paraId="5ECEB556">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参照遂宁市总体准入要求-工业重点管控单元</w:t>
                  </w:r>
                </w:p>
                <w:p w14:paraId="0E16A4C7">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其他污染物排放管控要求</w:t>
                  </w:r>
                </w:p>
              </w:tc>
              <w:tc>
                <w:tcPr>
                  <w:tcW w:w="942" w:type="pct"/>
                  <w:noWrap w:val="0"/>
                  <w:vAlign w:val="center"/>
                </w:tcPr>
                <w:p w14:paraId="332F0C98">
                  <w:p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本项目建成运营后各类污染物均达标排放，固废收集处置率达100%，满足管控要求。</w:t>
                  </w:r>
                </w:p>
              </w:tc>
              <w:tc>
                <w:tcPr>
                  <w:tcW w:w="332" w:type="pct"/>
                  <w:noWrap w:val="0"/>
                  <w:vAlign w:val="center"/>
                </w:tcPr>
                <w:p w14:paraId="7FCAD478">
                  <w:pPr>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eastAsia="zh-CN"/>
                    </w:rPr>
                    <w:t>符合</w:t>
                  </w:r>
                </w:p>
              </w:tc>
            </w:tr>
            <w:tr w14:paraId="3B3DAE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 w:hRule="atLeast"/>
                <w:jc w:val="center"/>
              </w:trPr>
              <w:tc>
                <w:tcPr>
                  <w:tcW w:w="406" w:type="pct"/>
                  <w:vMerge w:val="continue"/>
                  <w:noWrap w:val="0"/>
                  <w:vAlign w:val="center"/>
                </w:tcPr>
                <w:p w14:paraId="40DFD9A2">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p>
              </w:tc>
              <w:tc>
                <w:tcPr>
                  <w:tcW w:w="388" w:type="pct"/>
                  <w:vMerge w:val="continue"/>
                  <w:noWrap w:val="0"/>
                  <w:vAlign w:val="center"/>
                </w:tcPr>
                <w:p w14:paraId="6E5A399B">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p>
              </w:tc>
              <w:tc>
                <w:tcPr>
                  <w:tcW w:w="500" w:type="pct"/>
                  <w:noWrap w:val="0"/>
                  <w:vAlign w:val="center"/>
                </w:tcPr>
                <w:p w14:paraId="1108EF64">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环境风</w:t>
                  </w:r>
                </w:p>
                <w:p w14:paraId="7874AA16">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险防控</w:t>
                  </w:r>
                </w:p>
              </w:tc>
              <w:tc>
                <w:tcPr>
                  <w:tcW w:w="2429" w:type="pct"/>
                  <w:noWrap w:val="0"/>
                  <w:vAlign w:val="center"/>
                </w:tcPr>
                <w:p w14:paraId="3BDE2B56">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严格管控类农用地管控要求</w:t>
                  </w:r>
                </w:p>
                <w:p w14:paraId="6C4E1333">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参照遂宁市总体准入要求-工业重点管控单元</w:t>
                  </w:r>
                </w:p>
                <w:p w14:paraId="67F2EA3C">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安全利用类农用地管控要求</w:t>
                  </w:r>
                </w:p>
                <w:p w14:paraId="37053325">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参照遂宁市总体准入要求-工业重点管控单元</w:t>
                  </w:r>
                </w:p>
                <w:p w14:paraId="55E5DE59">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污染地块管控要求</w:t>
                  </w:r>
                </w:p>
                <w:p w14:paraId="399D1E45">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参照遂宁市总体准入要求-工业重点管控单元</w:t>
                  </w:r>
                </w:p>
                <w:p w14:paraId="1C29C61E">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园区环境风险防控要求</w:t>
                  </w:r>
                </w:p>
                <w:p w14:paraId="1FBC52EA">
                  <w:pPr>
                    <w:numPr>
                      <w:ilvl w:val="0"/>
                      <w:numId w:val="25"/>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强化园区环境风险管控。建立健全多级环境风险防控体系，落实环境风险防范措施，完善园区环境风险应急预案，严格落实园区事故废水、废液收集、阻断、处置措施，杜绝事故废水、废液等入河，避免对下游“琼江翘嘴红鮊省级水产种质资源保护区”造成影响，确保环境安全</w:t>
                  </w:r>
                </w:p>
                <w:p w14:paraId="6310149F">
                  <w:pPr>
                    <w:numPr>
                      <w:ilvl w:val="0"/>
                      <w:numId w:val="25"/>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其他参照遂宁市总体准入要求-工业重点管控单元</w:t>
                  </w:r>
                </w:p>
                <w:p w14:paraId="0D9AC248">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企业环境风险防控要求</w:t>
                  </w:r>
                </w:p>
                <w:p w14:paraId="63F1522A">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参照遂宁市总体准入要求-工业重点管控单元</w:t>
                  </w:r>
                </w:p>
                <w:p w14:paraId="64D33433">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其他环境风险防控要求</w:t>
                  </w:r>
                </w:p>
              </w:tc>
              <w:tc>
                <w:tcPr>
                  <w:tcW w:w="942" w:type="pct"/>
                  <w:noWrap w:val="0"/>
                  <w:vAlign w:val="center"/>
                </w:tcPr>
                <w:p w14:paraId="1BA9A9A7">
                  <w:p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本</w:t>
                  </w:r>
                  <w:r>
                    <w:rPr>
                      <w:rFonts w:hint="eastAsia" w:ascii="Times New Roman" w:hAnsi="Times New Roman" w:eastAsia="宋体" w:cs="Times New Roman"/>
                      <w:b w:val="0"/>
                      <w:bCs w:val="0"/>
                      <w:color w:val="auto"/>
                      <w:sz w:val="21"/>
                      <w:szCs w:val="21"/>
                      <w:vertAlign w:val="baseline"/>
                      <w:lang w:val="en-US" w:eastAsia="zh-CN"/>
                    </w:rPr>
                    <w:t>项目不涉及自然保护敏感区，</w:t>
                  </w:r>
                  <w:r>
                    <w:rPr>
                      <w:rFonts w:hint="eastAsia" w:cs="Times New Roman"/>
                      <w:b w:val="0"/>
                      <w:bCs w:val="0"/>
                      <w:color w:val="auto"/>
                      <w:sz w:val="21"/>
                      <w:szCs w:val="21"/>
                      <w:vertAlign w:val="baseline"/>
                      <w:lang w:val="en-US" w:eastAsia="zh-CN"/>
                    </w:rPr>
                    <w:t>在采取风险防范措施后</w:t>
                  </w:r>
                  <w:r>
                    <w:rPr>
                      <w:rFonts w:hint="eastAsia" w:ascii="Times New Roman" w:hAnsi="Times New Roman" w:eastAsia="宋体" w:cs="Times New Roman"/>
                      <w:b w:val="0"/>
                      <w:bCs w:val="0"/>
                      <w:color w:val="auto"/>
                      <w:sz w:val="21"/>
                      <w:szCs w:val="21"/>
                      <w:vertAlign w:val="baseline"/>
                      <w:lang w:val="en-US" w:eastAsia="zh-CN"/>
                    </w:rPr>
                    <w:t>风险可控，环境风险系数较小，可满足管控要求。</w:t>
                  </w:r>
                </w:p>
              </w:tc>
              <w:tc>
                <w:tcPr>
                  <w:tcW w:w="332" w:type="pct"/>
                  <w:noWrap w:val="0"/>
                  <w:vAlign w:val="center"/>
                </w:tcPr>
                <w:p w14:paraId="6737455A">
                  <w:pPr>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sz w:val="21"/>
                      <w:szCs w:val="21"/>
                      <w:vertAlign w:val="baseline"/>
                      <w:lang w:eastAsia="zh-CN"/>
                    </w:rPr>
                    <w:t>符合</w:t>
                  </w:r>
                </w:p>
              </w:tc>
            </w:tr>
            <w:tr w14:paraId="0165C7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 w:hRule="atLeast"/>
                <w:jc w:val="center"/>
              </w:trPr>
              <w:tc>
                <w:tcPr>
                  <w:tcW w:w="406" w:type="pct"/>
                  <w:vMerge w:val="continue"/>
                  <w:noWrap w:val="0"/>
                  <w:vAlign w:val="center"/>
                </w:tcPr>
                <w:p w14:paraId="3C897C7E">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p>
              </w:tc>
              <w:tc>
                <w:tcPr>
                  <w:tcW w:w="388" w:type="pct"/>
                  <w:vMerge w:val="continue"/>
                  <w:noWrap w:val="0"/>
                  <w:vAlign w:val="center"/>
                </w:tcPr>
                <w:p w14:paraId="5918C3C1">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p>
              </w:tc>
              <w:tc>
                <w:tcPr>
                  <w:tcW w:w="500" w:type="pct"/>
                  <w:noWrap w:val="0"/>
                  <w:vAlign w:val="center"/>
                </w:tcPr>
                <w:p w14:paraId="697C08F6">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资源开发效率要求</w:t>
                  </w:r>
                </w:p>
              </w:tc>
              <w:tc>
                <w:tcPr>
                  <w:tcW w:w="2429" w:type="pct"/>
                  <w:noWrap w:val="0"/>
                  <w:vAlign w:val="center"/>
                </w:tcPr>
                <w:p w14:paraId="4DACAA1C">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水资源利用效率要求</w:t>
                  </w:r>
                </w:p>
                <w:p w14:paraId="0F5CBE9C">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参照遂宁市总体准入要求-工业重点管控单元</w:t>
                  </w:r>
                </w:p>
                <w:p w14:paraId="1A63C84D">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地下水开采要求</w:t>
                  </w:r>
                </w:p>
                <w:p w14:paraId="07BB2F1E">
                  <w:pPr>
                    <w:numPr>
                      <w:ilvl w:val="0"/>
                      <w:numId w:val="26"/>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安居区2030年地下水开采控制控制量保持在0.08亿m</w:t>
                  </w:r>
                  <w:r>
                    <w:rPr>
                      <w:rFonts w:hint="eastAsia" w:ascii="Times New Roman" w:hAnsi="Times New Roman" w:eastAsia="宋体" w:cs="Times New Roman"/>
                      <w:b w:val="0"/>
                      <w:bCs w:val="0"/>
                      <w:color w:val="auto"/>
                      <w:sz w:val="21"/>
                      <w:szCs w:val="21"/>
                      <w:vertAlign w:val="superscript"/>
                      <w:lang w:val="en-US" w:eastAsia="zh-CN"/>
                    </w:rPr>
                    <w:t>3</w:t>
                  </w:r>
                  <w:r>
                    <w:rPr>
                      <w:rFonts w:hint="eastAsia" w:ascii="Times New Roman" w:hAnsi="Times New Roman" w:eastAsia="宋体" w:cs="Times New Roman"/>
                      <w:b w:val="0"/>
                      <w:bCs w:val="0"/>
                      <w:color w:val="auto"/>
                      <w:sz w:val="21"/>
                      <w:szCs w:val="21"/>
                      <w:vertAlign w:val="baseline"/>
                      <w:lang w:val="en-US" w:eastAsia="zh-CN"/>
                    </w:rPr>
                    <w:t>以内。</w:t>
                  </w:r>
                </w:p>
                <w:p w14:paraId="739F4C6F">
                  <w:pPr>
                    <w:numPr>
                      <w:ilvl w:val="0"/>
                      <w:numId w:val="26"/>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全面建设节水型社会，达到合理高效用水。</w:t>
                  </w:r>
                </w:p>
                <w:p w14:paraId="1C2832B9">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能源利用效率要求</w:t>
                  </w:r>
                </w:p>
                <w:p w14:paraId="434C7691">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参照遂宁市总体准入要求-工业重点管控单元</w:t>
                  </w:r>
                </w:p>
                <w:p w14:paraId="13AEB672">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其他资源利用效率要求</w:t>
                  </w:r>
                </w:p>
                <w:p w14:paraId="1D000F09">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禁燃区管控要求：参照遂宁市总体准入要求-工业重点管控单元</w:t>
                  </w:r>
                </w:p>
              </w:tc>
              <w:tc>
                <w:tcPr>
                  <w:tcW w:w="942" w:type="pct"/>
                  <w:noWrap w:val="0"/>
                  <w:vAlign w:val="center"/>
                </w:tcPr>
                <w:p w14:paraId="78A43EC6">
                  <w:p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项目</w:t>
                  </w:r>
                  <w:r>
                    <w:rPr>
                      <w:rFonts w:hint="eastAsia" w:ascii="Times New Roman" w:hAnsi="Times New Roman" w:eastAsia="宋体" w:cs="Times New Roman"/>
                      <w:b w:val="0"/>
                      <w:bCs w:val="0"/>
                      <w:color w:val="auto"/>
                      <w:sz w:val="21"/>
                      <w:szCs w:val="21"/>
                      <w:vertAlign w:val="baseline"/>
                      <w:lang w:val="en-US" w:eastAsia="zh-CN"/>
                    </w:rPr>
                    <w:t>不涉及地下水的开采</w:t>
                  </w:r>
                  <w:r>
                    <w:rPr>
                      <w:rFonts w:hint="eastAsia" w:cs="Times New Roman"/>
                      <w:b w:val="0"/>
                      <w:bCs w:val="0"/>
                      <w:color w:val="auto"/>
                      <w:sz w:val="21"/>
                      <w:szCs w:val="21"/>
                      <w:vertAlign w:val="baseline"/>
                      <w:lang w:val="en-US" w:eastAsia="zh-CN"/>
                    </w:rPr>
                    <w:t>使用</w:t>
                  </w:r>
                  <w:r>
                    <w:rPr>
                      <w:rFonts w:hint="eastAsia" w:ascii="Times New Roman" w:hAnsi="Times New Roman" w:eastAsia="宋体" w:cs="Times New Roman"/>
                      <w:b w:val="0"/>
                      <w:bCs w:val="0"/>
                      <w:color w:val="auto"/>
                      <w:sz w:val="21"/>
                      <w:szCs w:val="21"/>
                      <w:vertAlign w:val="baseline"/>
                      <w:lang w:val="en-US" w:eastAsia="zh-CN"/>
                    </w:rPr>
                    <w:t>，</w:t>
                  </w:r>
                  <w:r>
                    <w:rPr>
                      <w:rFonts w:hint="eastAsia" w:cs="Times New Roman"/>
                      <w:b w:val="0"/>
                      <w:bCs w:val="0"/>
                      <w:color w:val="auto"/>
                      <w:sz w:val="21"/>
                      <w:szCs w:val="21"/>
                      <w:vertAlign w:val="baseline"/>
                      <w:lang w:val="en-US" w:eastAsia="zh-CN"/>
                    </w:rPr>
                    <w:t>水资源用量少，</w:t>
                  </w:r>
                  <w:r>
                    <w:rPr>
                      <w:rFonts w:hint="eastAsia" w:ascii="Times New Roman" w:hAnsi="Times New Roman" w:eastAsia="宋体" w:cs="Times New Roman"/>
                      <w:b w:val="0"/>
                      <w:bCs w:val="0"/>
                      <w:color w:val="auto"/>
                      <w:sz w:val="21"/>
                      <w:szCs w:val="21"/>
                      <w:vertAlign w:val="baseline"/>
                      <w:lang w:val="en-US" w:eastAsia="zh-CN"/>
                    </w:rPr>
                    <w:t>符合资源利用效率的管控要求。</w:t>
                  </w:r>
                </w:p>
              </w:tc>
              <w:tc>
                <w:tcPr>
                  <w:tcW w:w="332" w:type="pct"/>
                  <w:noWrap w:val="0"/>
                  <w:vAlign w:val="center"/>
                </w:tcPr>
                <w:p w14:paraId="434ADDBE">
                  <w:pPr>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eastAsia="zh-CN"/>
                    </w:rPr>
                    <w:t>符合</w:t>
                  </w:r>
                </w:p>
              </w:tc>
            </w:tr>
            <w:tr w14:paraId="52A403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 w:hRule="atLeast"/>
                <w:jc w:val="center"/>
              </w:trPr>
              <w:tc>
                <w:tcPr>
                  <w:tcW w:w="406" w:type="pct"/>
                  <w:noWrap w:val="0"/>
                  <w:vAlign w:val="center"/>
                </w:tcPr>
                <w:p w14:paraId="7C57D04C">
                  <w:pPr>
                    <w:tabs>
                      <w:tab w:val="left" w:pos="7770"/>
                    </w:tabs>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环境管控单元编码</w:t>
                  </w:r>
                </w:p>
              </w:tc>
              <w:tc>
                <w:tcPr>
                  <w:tcW w:w="388" w:type="pct"/>
                  <w:noWrap w:val="0"/>
                  <w:vAlign w:val="center"/>
                </w:tcPr>
                <w:p w14:paraId="083FC40E">
                  <w:pPr>
                    <w:tabs>
                      <w:tab w:val="left" w:pos="7770"/>
                    </w:tabs>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环境管控单元名称</w:t>
                  </w:r>
                </w:p>
              </w:tc>
              <w:tc>
                <w:tcPr>
                  <w:tcW w:w="500" w:type="pct"/>
                  <w:noWrap w:val="0"/>
                  <w:vAlign w:val="center"/>
                </w:tcPr>
                <w:p w14:paraId="037E38E8">
                  <w:pPr>
                    <w:tabs>
                      <w:tab w:val="left" w:pos="7770"/>
                    </w:tabs>
                    <w:spacing w:line="240" w:lineRule="auto"/>
                    <w:jc w:val="center"/>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管控</w:t>
                  </w:r>
                </w:p>
                <w:p w14:paraId="7E251224">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类别</w:t>
                  </w:r>
                </w:p>
              </w:tc>
              <w:tc>
                <w:tcPr>
                  <w:tcW w:w="2429" w:type="pct"/>
                  <w:noWrap w:val="0"/>
                  <w:vAlign w:val="center"/>
                </w:tcPr>
                <w:p w14:paraId="6FE6F484">
                  <w:pPr>
                    <w:tabs>
                      <w:tab w:val="left" w:pos="7770"/>
                    </w:tabs>
                    <w:spacing w:line="240" w:lineRule="auto"/>
                    <w:jc w:val="center"/>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单元特性管控要求</w:t>
                  </w:r>
                </w:p>
              </w:tc>
              <w:tc>
                <w:tcPr>
                  <w:tcW w:w="942" w:type="pct"/>
                  <w:noWrap w:val="0"/>
                  <w:vAlign w:val="center"/>
                </w:tcPr>
                <w:p w14:paraId="377033E7">
                  <w:pPr>
                    <w:numPr>
                      <w:ilvl w:val="0"/>
                      <w:numId w:val="0"/>
                    </w:numPr>
                    <w:bidi w:val="0"/>
                    <w:spacing w:line="240" w:lineRule="auto"/>
                    <w:ind w:left="0" w:leftChars="0" w:firstLine="0" w:firstLineChars="0"/>
                    <w:jc w:val="center"/>
                    <w:rPr>
                      <w:rFonts w:hint="eastAsia"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eastAsia="zh-CN"/>
                    </w:rPr>
                    <w:t>项目对应情况介绍</w:t>
                  </w:r>
                </w:p>
              </w:tc>
              <w:tc>
                <w:tcPr>
                  <w:tcW w:w="332" w:type="pct"/>
                  <w:noWrap w:val="0"/>
                  <w:vAlign w:val="center"/>
                </w:tcPr>
                <w:p w14:paraId="502C79F1">
                  <w:pPr>
                    <w:numPr>
                      <w:ilvl w:val="0"/>
                      <w:numId w:val="0"/>
                    </w:numPr>
                    <w:bidi w:val="0"/>
                    <w:spacing w:line="240" w:lineRule="auto"/>
                    <w:ind w:left="0" w:leftChars="0" w:firstLine="0" w:firstLineChars="0"/>
                    <w:jc w:val="center"/>
                    <w:rPr>
                      <w:rFonts w:hint="eastAsia"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eastAsia="zh-CN"/>
                    </w:rPr>
                    <w:t>符合性分析</w:t>
                  </w:r>
                </w:p>
              </w:tc>
            </w:tr>
            <w:tr w14:paraId="694883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06" w:type="pct"/>
                  <w:vMerge w:val="restart"/>
                  <w:noWrap w:val="0"/>
                  <w:vAlign w:val="center"/>
                </w:tcPr>
                <w:p w14:paraId="5CD4A10A">
                  <w:pPr>
                    <w:pStyle w:val="89"/>
                    <w:widowControl/>
                    <w:spacing w:line="240" w:lineRule="auto"/>
                    <w:ind w:firstLine="0" w:firstLineChars="0"/>
                    <w:jc w:val="center"/>
                    <w:rPr>
                      <w:rFonts w:hint="default" w:ascii="Times New Roman" w:hAnsi="Times New Roman" w:eastAsia="宋体" w:cs="Times New Roman"/>
                      <w:b w:val="0"/>
                      <w:bCs w:val="0"/>
                      <w:color w:val="auto"/>
                      <w:sz w:val="21"/>
                      <w:szCs w:val="21"/>
                      <w:vertAlign w:val="baseline"/>
                      <w:lang w:val="en-US" w:eastAsia="zh-CN"/>
                    </w:rPr>
                  </w:pPr>
                  <w:r>
                    <w:rPr>
                      <w:rStyle w:val="30"/>
                      <w:rFonts w:hint="default" w:ascii="Times New Roman" w:hAnsi="Times New Roman" w:eastAsia="宋体" w:cs="Times New Roman"/>
                      <w:kern w:val="2"/>
                      <w:sz w:val="21"/>
                      <w:szCs w:val="21"/>
                      <w:lang w:val="en-US" w:eastAsia="zh-CN" w:bidi="ar-SA"/>
                    </w:rPr>
                    <w:t>YS5109042210014</w:t>
                  </w:r>
                </w:p>
              </w:tc>
              <w:tc>
                <w:tcPr>
                  <w:tcW w:w="388" w:type="pct"/>
                  <w:vMerge w:val="restart"/>
                  <w:noWrap w:val="0"/>
                  <w:vAlign w:val="center"/>
                </w:tcPr>
                <w:p w14:paraId="50B2F199">
                  <w:pPr>
                    <w:pStyle w:val="89"/>
                    <w:widowControl/>
                    <w:spacing w:line="240" w:lineRule="auto"/>
                    <w:ind w:firstLine="0" w:firstLineChars="0"/>
                    <w:jc w:val="center"/>
                    <w:rPr>
                      <w:rFonts w:hint="default" w:ascii="Times New Roman" w:hAnsi="Times New Roman" w:eastAsia="宋体" w:cs="Times New Roman"/>
                      <w:b w:val="0"/>
                      <w:bCs w:val="0"/>
                      <w:color w:val="auto"/>
                      <w:sz w:val="21"/>
                      <w:szCs w:val="21"/>
                      <w:vertAlign w:val="baseline"/>
                      <w:lang w:val="en-US" w:eastAsia="zh-CN"/>
                    </w:rPr>
                  </w:pPr>
                  <w:r>
                    <w:rPr>
                      <w:rStyle w:val="30"/>
                      <w:rFonts w:hint="default" w:ascii="Times New Roman" w:hAnsi="Times New Roman" w:eastAsia="宋体" w:cs="Times New Roman"/>
                      <w:kern w:val="2"/>
                      <w:sz w:val="21"/>
                      <w:szCs w:val="21"/>
                      <w:lang w:val="en-US" w:eastAsia="zh-CN" w:bidi="ar-SA"/>
                    </w:rPr>
                    <w:t>琼江安居区跑马滩控制单元</w:t>
                  </w:r>
                </w:p>
              </w:tc>
              <w:tc>
                <w:tcPr>
                  <w:tcW w:w="500" w:type="pct"/>
                  <w:noWrap w:val="0"/>
                  <w:vAlign w:val="center"/>
                </w:tcPr>
                <w:p w14:paraId="0D354AAD">
                  <w:pPr>
                    <w:pStyle w:val="90"/>
                    <w:widowControl/>
                    <w:spacing w:line="240" w:lineRule="auto"/>
                    <w:ind w:firstLine="0" w:firstLineChars="0"/>
                    <w:jc w:val="center"/>
                    <w:rPr>
                      <w:rFonts w:hint="eastAsia" w:ascii="Times New Roman" w:hAnsi="Times New Roman" w:eastAsia="宋体" w:cs="Times New Roman"/>
                      <w:b w:val="0"/>
                      <w:bCs w:val="0"/>
                      <w:color w:val="auto"/>
                      <w:kern w:val="2"/>
                      <w:sz w:val="21"/>
                      <w:szCs w:val="21"/>
                      <w:vertAlign w:val="baseline"/>
                      <w:lang w:val="en-US" w:eastAsia="zh-CN"/>
                    </w:rPr>
                  </w:pPr>
                  <w:r>
                    <w:rPr>
                      <w:rStyle w:val="30"/>
                      <w:rFonts w:hint="default" w:ascii="Times New Roman" w:hAnsi="Times New Roman" w:eastAsia="宋体" w:cs="Times New Roman"/>
                      <w:kern w:val="2"/>
                      <w:sz w:val="21"/>
                      <w:szCs w:val="21"/>
                      <w:lang w:val="en-US" w:eastAsia="zh-CN" w:bidi="ar-SA"/>
                    </w:rPr>
                    <w:t>污染物排放管控</w:t>
                  </w:r>
                </w:p>
              </w:tc>
              <w:tc>
                <w:tcPr>
                  <w:tcW w:w="2429" w:type="pct"/>
                  <w:noWrap w:val="0"/>
                  <w:vAlign w:val="center"/>
                </w:tcPr>
                <w:p w14:paraId="6635BB06">
                  <w:p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污染物排放管控</w:t>
                  </w:r>
                  <w:r>
                    <w:rPr>
                      <w:rFonts w:hint="eastAsia" w:ascii="Times New Roman" w:hAnsi="Times New Roman" w:eastAsia="宋体" w:cs="Times New Roman"/>
                      <w:b w:val="0"/>
                      <w:bCs w:val="0"/>
                      <w:color w:val="auto"/>
                      <w:sz w:val="21"/>
                      <w:szCs w:val="21"/>
                      <w:vertAlign w:val="baseline"/>
                      <w:lang w:val="en-US" w:eastAsia="zh-CN"/>
                    </w:rPr>
                    <w:tab/>
                  </w:r>
                  <w:r>
                    <w:rPr>
                      <w:rFonts w:hint="eastAsia" w:ascii="Times New Roman" w:hAnsi="Times New Roman" w:eastAsia="宋体" w:cs="Times New Roman"/>
                      <w:b w:val="0"/>
                      <w:bCs w:val="0"/>
                      <w:color w:val="auto"/>
                      <w:sz w:val="21"/>
                      <w:szCs w:val="21"/>
                      <w:vertAlign w:val="baseline"/>
                      <w:lang w:val="en-US" w:eastAsia="zh-CN"/>
                    </w:rPr>
                    <w:t>城镇污水污染控制措施要求</w:t>
                  </w:r>
                </w:p>
                <w:p w14:paraId="0B7469C3">
                  <w:p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工业废水污染控制措施要求</w:t>
                  </w:r>
                </w:p>
                <w:p w14:paraId="67E68995">
                  <w:p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加强工业企业监管，建立在线监管系统，确保工业企业达标排放，提高工业企业水资源利用效率。</w:t>
                  </w:r>
                </w:p>
                <w:p w14:paraId="39521C94">
                  <w:p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农业面源水污染控制措施要求</w:t>
                  </w:r>
                </w:p>
                <w:p w14:paraId="1C8B62E3">
                  <w:p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船舶港口水污染控制措施要求</w:t>
                  </w:r>
                </w:p>
                <w:p w14:paraId="76FACAF7">
                  <w:p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饮用水水源和其它特殊水体保护要求</w:t>
                  </w:r>
                  <w:r>
                    <w:rPr>
                      <w:rFonts w:hint="eastAsia" w:ascii="Times New Roman" w:hAnsi="Times New Roman" w:eastAsia="宋体" w:cs="Times New Roman"/>
                      <w:b w:val="0"/>
                      <w:bCs w:val="0"/>
                      <w:color w:val="auto"/>
                      <w:sz w:val="21"/>
                      <w:szCs w:val="21"/>
                      <w:vertAlign w:val="baseline"/>
                      <w:lang w:val="en-US" w:eastAsia="zh-CN"/>
                    </w:rPr>
                    <w:tab/>
                  </w:r>
                  <w:r>
                    <w:rPr>
                      <w:rFonts w:hint="eastAsia" w:ascii="Times New Roman" w:hAnsi="Times New Roman" w:eastAsia="宋体" w:cs="Times New Roman"/>
                      <w:b w:val="0"/>
                      <w:bCs w:val="0"/>
                      <w:color w:val="auto"/>
                      <w:sz w:val="21"/>
                      <w:szCs w:val="21"/>
                      <w:vertAlign w:val="baseline"/>
                      <w:lang w:val="en-US" w:eastAsia="zh-CN"/>
                    </w:rPr>
                    <w:t>本项目建成运营后各类污染物均达标排放，固废收集处置率达100%，满足管控要求。</w:t>
                  </w:r>
                  <w:r>
                    <w:rPr>
                      <w:rFonts w:hint="eastAsia" w:ascii="Times New Roman" w:hAnsi="Times New Roman" w:eastAsia="宋体" w:cs="Times New Roman"/>
                      <w:b w:val="0"/>
                      <w:bCs w:val="0"/>
                      <w:color w:val="auto"/>
                      <w:sz w:val="21"/>
                      <w:szCs w:val="21"/>
                      <w:vertAlign w:val="baseline"/>
                      <w:lang w:val="en-US" w:eastAsia="zh-CN"/>
                    </w:rPr>
                    <w:tab/>
                  </w:r>
                  <w:r>
                    <w:rPr>
                      <w:rFonts w:hint="eastAsia" w:ascii="Times New Roman" w:hAnsi="Times New Roman" w:eastAsia="宋体" w:cs="Times New Roman"/>
                      <w:b w:val="0"/>
                      <w:bCs w:val="0"/>
                      <w:color w:val="auto"/>
                      <w:sz w:val="21"/>
                      <w:szCs w:val="21"/>
                      <w:vertAlign w:val="baseline"/>
                      <w:lang w:val="en-US" w:eastAsia="zh-CN"/>
                    </w:rPr>
                    <w:t>符合</w:t>
                  </w:r>
                </w:p>
              </w:tc>
              <w:tc>
                <w:tcPr>
                  <w:tcW w:w="942" w:type="pct"/>
                  <w:noWrap w:val="0"/>
                  <w:vAlign w:val="center"/>
                </w:tcPr>
                <w:p w14:paraId="08EFE2EF">
                  <w:pPr>
                    <w:tabs>
                      <w:tab w:val="left" w:pos="7770"/>
                    </w:tabs>
                    <w:spacing w:line="240" w:lineRule="auto"/>
                    <w:jc w:val="both"/>
                    <w:rPr>
                      <w:rFonts w:hint="default"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本项目建成运营后各类污染物均达标排放，固废收集处置率达100%，满足管控要求。</w:t>
                  </w:r>
                </w:p>
              </w:tc>
              <w:tc>
                <w:tcPr>
                  <w:tcW w:w="332" w:type="pct"/>
                  <w:noWrap w:val="0"/>
                  <w:vAlign w:val="center"/>
                </w:tcPr>
                <w:p w14:paraId="57C75579">
                  <w:p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eastAsia="zh-CN"/>
                    </w:rPr>
                    <w:t>符合</w:t>
                  </w:r>
                </w:p>
              </w:tc>
            </w:tr>
            <w:tr w14:paraId="6E4727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 w:hRule="atLeast"/>
                <w:jc w:val="center"/>
              </w:trPr>
              <w:tc>
                <w:tcPr>
                  <w:tcW w:w="406" w:type="pct"/>
                  <w:vMerge w:val="continue"/>
                  <w:noWrap w:val="0"/>
                  <w:vAlign w:val="center"/>
                </w:tcPr>
                <w:p w14:paraId="3F036912">
                  <w:pPr>
                    <w:pStyle w:val="90"/>
                    <w:widowControl/>
                    <w:spacing w:line="240" w:lineRule="auto"/>
                    <w:ind w:firstLine="0" w:firstLineChars="0"/>
                    <w:jc w:val="center"/>
                    <w:rPr>
                      <w:rFonts w:hint="eastAsia" w:ascii="Times New Roman" w:hAnsi="Times New Roman" w:eastAsia="宋体" w:cs="Times New Roman"/>
                      <w:b w:val="0"/>
                      <w:bCs w:val="0"/>
                      <w:color w:val="auto"/>
                      <w:sz w:val="21"/>
                      <w:szCs w:val="21"/>
                      <w:vertAlign w:val="baseline"/>
                      <w:lang w:val="en-US" w:eastAsia="zh-CN"/>
                    </w:rPr>
                  </w:pPr>
                </w:p>
              </w:tc>
              <w:tc>
                <w:tcPr>
                  <w:tcW w:w="388" w:type="pct"/>
                  <w:vMerge w:val="continue"/>
                  <w:noWrap w:val="0"/>
                  <w:vAlign w:val="center"/>
                </w:tcPr>
                <w:p w14:paraId="0F9FE622">
                  <w:pPr>
                    <w:pStyle w:val="90"/>
                    <w:widowControl/>
                    <w:spacing w:line="240" w:lineRule="auto"/>
                    <w:ind w:firstLine="0" w:firstLineChars="0"/>
                    <w:jc w:val="center"/>
                    <w:rPr>
                      <w:rFonts w:hint="eastAsia" w:ascii="Times New Roman" w:hAnsi="Times New Roman" w:eastAsia="宋体" w:cs="Times New Roman"/>
                      <w:b w:val="0"/>
                      <w:bCs w:val="0"/>
                      <w:color w:val="auto"/>
                      <w:sz w:val="21"/>
                      <w:szCs w:val="21"/>
                      <w:vertAlign w:val="baseline"/>
                      <w:lang w:val="en-US" w:eastAsia="zh-CN"/>
                    </w:rPr>
                  </w:pPr>
                </w:p>
              </w:tc>
              <w:tc>
                <w:tcPr>
                  <w:tcW w:w="500" w:type="pct"/>
                  <w:noWrap w:val="0"/>
                  <w:vAlign w:val="center"/>
                </w:tcPr>
                <w:p w14:paraId="2F127B7D">
                  <w:pPr>
                    <w:pStyle w:val="90"/>
                    <w:widowControl/>
                    <w:spacing w:line="240" w:lineRule="auto"/>
                    <w:ind w:firstLine="0" w:firstLineChars="0"/>
                    <w:jc w:val="center"/>
                    <w:rPr>
                      <w:rStyle w:val="30"/>
                      <w:rFonts w:hint="default" w:ascii="Times New Roman" w:hAnsi="Times New Roman" w:eastAsia="宋体" w:cs="Times New Roman"/>
                      <w:kern w:val="2"/>
                      <w:sz w:val="21"/>
                      <w:szCs w:val="21"/>
                      <w:lang w:val="en-US" w:eastAsia="zh-CN" w:bidi="ar-SA"/>
                    </w:rPr>
                  </w:pPr>
                  <w:r>
                    <w:rPr>
                      <w:rStyle w:val="30"/>
                      <w:rFonts w:hint="default" w:ascii="Times New Roman" w:hAnsi="Times New Roman" w:eastAsia="宋体" w:cs="Times New Roman"/>
                      <w:kern w:val="2"/>
                      <w:sz w:val="21"/>
                      <w:szCs w:val="21"/>
                      <w:lang w:val="en-US" w:eastAsia="zh-CN" w:bidi="ar-SA"/>
                    </w:rPr>
                    <w:t>环境风</w:t>
                  </w:r>
                </w:p>
                <w:p w14:paraId="3BA95F88">
                  <w:pPr>
                    <w:pStyle w:val="90"/>
                    <w:widowControl/>
                    <w:spacing w:line="240" w:lineRule="auto"/>
                    <w:ind w:firstLine="0" w:firstLineChars="0"/>
                    <w:jc w:val="center"/>
                    <w:rPr>
                      <w:rFonts w:hint="default" w:ascii="Times New Roman" w:hAnsi="Times New Roman" w:eastAsia="宋体" w:cs="Times New Roman"/>
                      <w:b w:val="0"/>
                      <w:bCs w:val="0"/>
                      <w:color w:val="auto"/>
                      <w:kern w:val="2"/>
                      <w:sz w:val="21"/>
                      <w:szCs w:val="21"/>
                      <w:vertAlign w:val="baseline"/>
                      <w:lang w:val="en-US" w:eastAsia="zh-CN"/>
                    </w:rPr>
                  </w:pPr>
                  <w:r>
                    <w:rPr>
                      <w:rStyle w:val="30"/>
                      <w:rFonts w:hint="default" w:ascii="Times New Roman" w:hAnsi="Times New Roman" w:eastAsia="宋体" w:cs="Times New Roman"/>
                      <w:kern w:val="2"/>
                      <w:sz w:val="21"/>
                      <w:szCs w:val="21"/>
                      <w:lang w:val="en-US" w:eastAsia="zh-CN" w:bidi="ar-SA"/>
                    </w:rPr>
                    <w:t>险防控</w:t>
                  </w:r>
                </w:p>
              </w:tc>
              <w:tc>
                <w:tcPr>
                  <w:tcW w:w="2429" w:type="pct"/>
                  <w:noWrap w:val="0"/>
                  <w:vAlign w:val="center"/>
                </w:tcPr>
                <w:p w14:paraId="4568CF5C">
                  <w:pPr>
                    <w:pStyle w:val="90"/>
                    <w:widowControl/>
                    <w:shd w:val="clear" w:color="auto" w:fill="FFFFFF"/>
                    <w:spacing w:line="240" w:lineRule="auto"/>
                    <w:ind w:firstLine="0" w:firstLineChars="0"/>
                    <w:jc w:val="both"/>
                    <w:rPr>
                      <w:rFonts w:hint="default"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要加强对重点区域和重点源环境风险综合管控。强化工业园区环境风险防控工作，突出全防全控，完善各项环境风险防范制度，确保将风险防范融入日常环境管理制度体系。加强执法监督，逐步实现对重点工业园区、重点工矿企业和主要环境风险类型的动态监控。加快布局分散企业向园区集中，按要求设置生态隔离带，建设相应的防护工程。强化沿河水电站监管，强化废油收集、储存、转运处置全过程管控。</w:t>
                  </w:r>
                </w:p>
              </w:tc>
              <w:tc>
                <w:tcPr>
                  <w:tcW w:w="942" w:type="pct"/>
                  <w:noWrap w:val="0"/>
                  <w:vAlign w:val="center"/>
                </w:tcPr>
                <w:p w14:paraId="11549641">
                  <w:pPr>
                    <w:tabs>
                      <w:tab w:val="left" w:pos="7770"/>
                    </w:tabs>
                    <w:spacing w:line="240" w:lineRule="auto"/>
                    <w:jc w:val="both"/>
                    <w:rPr>
                      <w:rFonts w:hint="eastAsia" w:ascii="Times New Roman" w:hAnsi="Times New Roman" w:eastAsia="宋体" w:cs="Times New Roman"/>
                      <w:b w:val="0"/>
                      <w:bCs w:val="0"/>
                      <w:color w:val="0000FF"/>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项目主要进行废矿物油贮存工作，不涉及自然保护敏感区，环境风险系数较小，风险可控，可满足管控要求。</w:t>
                  </w:r>
                </w:p>
              </w:tc>
              <w:tc>
                <w:tcPr>
                  <w:tcW w:w="332" w:type="pct"/>
                  <w:noWrap w:val="0"/>
                  <w:vAlign w:val="center"/>
                </w:tcPr>
                <w:p w14:paraId="105AC66A">
                  <w:pPr>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sz w:val="21"/>
                      <w:szCs w:val="21"/>
                      <w:vertAlign w:val="baseline"/>
                      <w:lang w:eastAsia="zh-CN"/>
                    </w:rPr>
                    <w:t>符合</w:t>
                  </w:r>
                </w:p>
              </w:tc>
            </w:tr>
            <w:tr w14:paraId="52D6FE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 w:hRule="atLeast"/>
                <w:jc w:val="center"/>
              </w:trPr>
              <w:tc>
                <w:tcPr>
                  <w:tcW w:w="406" w:type="pct"/>
                  <w:noWrap w:val="0"/>
                  <w:vAlign w:val="center"/>
                </w:tcPr>
                <w:p w14:paraId="4F8C1487">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环境管控单元编码</w:t>
                  </w:r>
                </w:p>
              </w:tc>
              <w:tc>
                <w:tcPr>
                  <w:tcW w:w="388" w:type="pct"/>
                  <w:noWrap w:val="0"/>
                  <w:vAlign w:val="center"/>
                </w:tcPr>
                <w:p w14:paraId="5F91A5AA">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环境管控单元名称</w:t>
                  </w:r>
                </w:p>
              </w:tc>
              <w:tc>
                <w:tcPr>
                  <w:tcW w:w="500" w:type="pct"/>
                  <w:noWrap w:val="0"/>
                  <w:vAlign w:val="center"/>
                </w:tcPr>
                <w:p w14:paraId="7A8C8851">
                  <w:pPr>
                    <w:tabs>
                      <w:tab w:val="left" w:pos="7770"/>
                    </w:tabs>
                    <w:spacing w:line="240" w:lineRule="auto"/>
                    <w:jc w:val="center"/>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管控</w:t>
                  </w:r>
                </w:p>
                <w:p w14:paraId="4D2EC93B">
                  <w:pPr>
                    <w:tabs>
                      <w:tab w:val="left" w:pos="7770"/>
                    </w:tabs>
                    <w:spacing w:line="240" w:lineRule="auto"/>
                    <w:jc w:val="center"/>
                    <w:rPr>
                      <w:rStyle w:val="30"/>
                      <w:rFonts w:hint="default" w:ascii="Times New Roman" w:hAnsi="Times New Roman" w:eastAsia="宋体" w:cs="Times New Roman"/>
                      <w:kern w:val="2"/>
                      <w:sz w:val="21"/>
                      <w:szCs w:val="21"/>
                      <w:lang w:val="en-US" w:eastAsia="zh-CN" w:bidi="ar-SA"/>
                    </w:rPr>
                  </w:pPr>
                  <w:r>
                    <w:rPr>
                      <w:rFonts w:hint="eastAsia" w:ascii="Times New Roman" w:hAnsi="Times New Roman" w:eastAsia="宋体" w:cs="Times New Roman"/>
                      <w:b/>
                      <w:bCs/>
                      <w:color w:val="auto"/>
                      <w:sz w:val="21"/>
                      <w:szCs w:val="21"/>
                      <w:vertAlign w:val="baseline"/>
                      <w:lang w:val="en-US" w:eastAsia="zh-CN"/>
                    </w:rPr>
                    <w:t>类别</w:t>
                  </w:r>
                </w:p>
              </w:tc>
              <w:tc>
                <w:tcPr>
                  <w:tcW w:w="2429" w:type="pct"/>
                  <w:noWrap w:val="0"/>
                  <w:vAlign w:val="center"/>
                </w:tcPr>
                <w:p w14:paraId="63863D41">
                  <w:pPr>
                    <w:tabs>
                      <w:tab w:val="left" w:pos="7770"/>
                    </w:tabs>
                    <w:spacing w:line="240" w:lineRule="auto"/>
                    <w:jc w:val="center"/>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单元特性管控要求</w:t>
                  </w:r>
                </w:p>
              </w:tc>
              <w:tc>
                <w:tcPr>
                  <w:tcW w:w="942" w:type="pct"/>
                  <w:noWrap w:val="0"/>
                  <w:vAlign w:val="center"/>
                </w:tcPr>
                <w:p w14:paraId="6B4C766F">
                  <w:pPr>
                    <w:numPr>
                      <w:ilvl w:val="0"/>
                      <w:numId w:val="0"/>
                    </w:numPr>
                    <w:bidi w:val="0"/>
                    <w:spacing w:line="240" w:lineRule="auto"/>
                    <w:ind w:left="0" w:leftChars="0" w:firstLine="0" w:firstLineChars="0"/>
                    <w:jc w:val="center"/>
                    <w:rPr>
                      <w:rFonts w:hint="eastAsia"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eastAsia="zh-CN"/>
                    </w:rPr>
                    <w:t>项目对应情况介绍</w:t>
                  </w:r>
                </w:p>
              </w:tc>
              <w:tc>
                <w:tcPr>
                  <w:tcW w:w="332" w:type="pct"/>
                  <w:noWrap w:val="0"/>
                  <w:vAlign w:val="center"/>
                </w:tcPr>
                <w:p w14:paraId="1515CAE2">
                  <w:pPr>
                    <w:numPr>
                      <w:ilvl w:val="0"/>
                      <w:numId w:val="0"/>
                    </w:numPr>
                    <w:bidi w:val="0"/>
                    <w:spacing w:line="240" w:lineRule="auto"/>
                    <w:jc w:val="center"/>
                    <w:rPr>
                      <w:rFonts w:hint="default" w:ascii="Times New Roman" w:hAnsi="Times New Roman" w:eastAsia="宋体" w:cs="Times New Roman"/>
                      <w:b/>
                      <w:bCs/>
                      <w:color w:val="auto"/>
                      <w:sz w:val="21"/>
                      <w:szCs w:val="21"/>
                      <w:vertAlign w:val="baseline"/>
                      <w:lang w:eastAsia="zh-CN"/>
                    </w:rPr>
                  </w:pPr>
                  <w:r>
                    <w:rPr>
                      <w:rFonts w:hint="default" w:ascii="Times New Roman" w:hAnsi="Times New Roman" w:eastAsia="宋体" w:cs="Times New Roman"/>
                      <w:b/>
                      <w:bCs/>
                      <w:color w:val="auto"/>
                      <w:sz w:val="21"/>
                      <w:szCs w:val="21"/>
                      <w:vertAlign w:val="baseline"/>
                      <w:lang w:eastAsia="zh-CN"/>
                    </w:rPr>
                    <w:t>符合性</w:t>
                  </w:r>
                </w:p>
                <w:p w14:paraId="0D924643">
                  <w:pPr>
                    <w:numPr>
                      <w:ilvl w:val="0"/>
                      <w:numId w:val="0"/>
                    </w:numPr>
                    <w:bidi w:val="0"/>
                    <w:spacing w:line="240" w:lineRule="auto"/>
                    <w:ind w:left="0" w:leftChars="0" w:firstLine="0" w:firstLineChars="0"/>
                    <w:jc w:val="center"/>
                    <w:rPr>
                      <w:rFonts w:hint="default" w:ascii="Times New Roman" w:hAnsi="Times New Roman" w:eastAsia="宋体" w:cs="Times New Roman"/>
                      <w:b w:val="0"/>
                      <w:bCs w:val="0"/>
                      <w:color w:val="auto"/>
                      <w:sz w:val="21"/>
                      <w:szCs w:val="21"/>
                      <w:vertAlign w:val="baseline"/>
                      <w:lang w:eastAsia="zh-CN"/>
                    </w:rPr>
                  </w:pPr>
                  <w:r>
                    <w:rPr>
                      <w:rFonts w:hint="default" w:ascii="Times New Roman" w:hAnsi="Times New Roman" w:eastAsia="宋体" w:cs="Times New Roman"/>
                      <w:b/>
                      <w:bCs/>
                      <w:color w:val="auto"/>
                      <w:sz w:val="21"/>
                      <w:szCs w:val="21"/>
                      <w:vertAlign w:val="baseline"/>
                      <w:lang w:eastAsia="zh-CN"/>
                    </w:rPr>
                    <w:t>分析</w:t>
                  </w:r>
                </w:p>
              </w:tc>
            </w:tr>
            <w:tr w14:paraId="4CC7748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 w:hRule="atLeast"/>
                <w:jc w:val="center"/>
              </w:trPr>
              <w:tc>
                <w:tcPr>
                  <w:tcW w:w="406" w:type="pct"/>
                  <w:noWrap w:val="0"/>
                  <w:vAlign w:val="center"/>
                </w:tcPr>
                <w:p w14:paraId="1F3ADF39">
                  <w:pPr>
                    <w:pStyle w:val="89"/>
                    <w:widowControl/>
                    <w:spacing w:line="240" w:lineRule="auto"/>
                    <w:ind w:firstLine="0" w:firstLineChars="0"/>
                    <w:jc w:val="center"/>
                    <w:rPr>
                      <w:rFonts w:hint="default" w:ascii="Times New Roman" w:hAnsi="Times New Roman" w:eastAsia="宋体" w:cs="Times New Roman"/>
                      <w:b w:val="0"/>
                      <w:bCs w:val="0"/>
                      <w:color w:val="auto"/>
                      <w:sz w:val="21"/>
                      <w:szCs w:val="21"/>
                      <w:vertAlign w:val="baseline"/>
                      <w:lang w:val="en-US" w:eastAsia="zh-CN"/>
                    </w:rPr>
                  </w:pPr>
                  <w:r>
                    <w:rPr>
                      <w:rStyle w:val="30"/>
                      <w:rFonts w:hint="default" w:ascii="Times New Roman" w:hAnsi="Times New Roman" w:eastAsia="宋体" w:cs="Times New Roman"/>
                      <w:kern w:val="2"/>
                      <w:sz w:val="21"/>
                      <w:szCs w:val="21"/>
                      <w:lang w:val="en-US" w:eastAsia="zh-CN" w:bidi="ar-SA"/>
                    </w:rPr>
                    <w:t>YS5109042310002</w:t>
                  </w:r>
                </w:p>
              </w:tc>
              <w:tc>
                <w:tcPr>
                  <w:tcW w:w="388" w:type="pct"/>
                  <w:noWrap w:val="0"/>
                  <w:vAlign w:val="center"/>
                </w:tcPr>
                <w:p w14:paraId="1B6DA0B6">
                  <w:pPr>
                    <w:pStyle w:val="89"/>
                    <w:widowControl/>
                    <w:spacing w:line="240" w:lineRule="auto"/>
                    <w:ind w:firstLine="0" w:firstLineChars="0"/>
                    <w:jc w:val="center"/>
                    <w:rPr>
                      <w:rFonts w:hint="default" w:ascii="Times New Roman" w:hAnsi="Times New Roman" w:eastAsia="宋体" w:cs="Times New Roman"/>
                      <w:b w:val="0"/>
                      <w:bCs w:val="0"/>
                      <w:color w:val="auto"/>
                      <w:sz w:val="21"/>
                      <w:szCs w:val="21"/>
                      <w:vertAlign w:val="baseline"/>
                      <w:lang w:val="en-US" w:eastAsia="zh-CN"/>
                    </w:rPr>
                  </w:pPr>
                  <w:r>
                    <w:rPr>
                      <w:rStyle w:val="30"/>
                      <w:rFonts w:hint="default" w:ascii="Times New Roman" w:hAnsi="Times New Roman" w:eastAsia="宋体" w:cs="Times New Roman"/>
                      <w:kern w:val="2"/>
                      <w:sz w:val="21"/>
                      <w:szCs w:val="21"/>
                      <w:lang w:val="en-US" w:eastAsia="zh-CN" w:bidi="ar-SA"/>
                    </w:rPr>
                    <w:t>遂宁市安居区工业集中发展区（含经开区）</w:t>
                  </w:r>
                </w:p>
              </w:tc>
              <w:tc>
                <w:tcPr>
                  <w:tcW w:w="500" w:type="pct"/>
                  <w:noWrap w:val="0"/>
                  <w:vAlign w:val="center"/>
                </w:tcPr>
                <w:p w14:paraId="5CE4C137">
                  <w:pPr>
                    <w:pStyle w:val="90"/>
                    <w:widowControl/>
                    <w:spacing w:line="240" w:lineRule="auto"/>
                    <w:ind w:firstLine="0" w:firstLineChars="0"/>
                    <w:jc w:val="center"/>
                    <w:rPr>
                      <w:rFonts w:hint="eastAsia" w:ascii="Times New Roman" w:hAnsi="Times New Roman" w:eastAsia="宋体" w:cs="Times New Roman"/>
                      <w:b/>
                      <w:bCs/>
                      <w:color w:val="auto"/>
                      <w:sz w:val="21"/>
                      <w:szCs w:val="21"/>
                      <w:vertAlign w:val="baseline"/>
                      <w:lang w:val="en-US" w:eastAsia="zh-CN"/>
                    </w:rPr>
                  </w:pPr>
                  <w:r>
                    <w:rPr>
                      <w:rStyle w:val="30"/>
                      <w:rFonts w:hint="default" w:ascii="Times New Roman" w:hAnsi="Times New Roman" w:eastAsia="宋体" w:cs="Times New Roman"/>
                      <w:kern w:val="2"/>
                      <w:sz w:val="21"/>
                      <w:szCs w:val="21"/>
                      <w:lang w:val="en-US" w:eastAsia="zh-CN" w:bidi="ar-SA"/>
                    </w:rPr>
                    <w:t>污染物排放管控</w:t>
                  </w:r>
                </w:p>
              </w:tc>
              <w:tc>
                <w:tcPr>
                  <w:tcW w:w="2429" w:type="pct"/>
                  <w:noWrap w:val="0"/>
                  <w:vAlign w:val="center"/>
                </w:tcPr>
                <w:p w14:paraId="2CACF83B">
                  <w:p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大气环境质量执行标准</w:t>
                  </w:r>
                </w:p>
                <w:p w14:paraId="3054526C">
                  <w:p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《环境空气质量标准》（GB3095-2012）：二级</w:t>
                  </w:r>
                </w:p>
                <w:p w14:paraId="040281FE">
                  <w:p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区域大气污染物削减/替代要求</w:t>
                  </w:r>
                </w:p>
                <w:p w14:paraId="4A620D51">
                  <w:p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新增大气污染物排放的建设项目实施总量削减替代。</w:t>
                  </w:r>
                </w:p>
                <w:p w14:paraId="537B70A6">
                  <w:p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燃煤和其他能源大气污染控制要求</w:t>
                  </w:r>
                </w:p>
                <w:p w14:paraId="09C98250">
                  <w:p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工业废气污染控制要求</w:t>
                  </w:r>
                </w:p>
                <w:p w14:paraId="46783BBF">
                  <w:p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机动车船大气污染控制要求</w:t>
                  </w:r>
                </w:p>
                <w:p w14:paraId="256736D4">
                  <w:p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扬尘污染控制要求</w:t>
                  </w:r>
                </w:p>
                <w:p w14:paraId="42356640">
                  <w:p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农业生产经营活动大气污染控制要求</w:t>
                  </w:r>
                </w:p>
                <w:p w14:paraId="578D94E1">
                  <w:p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重点行业企业专项治理要求</w:t>
                  </w:r>
                </w:p>
                <w:p w14:paraId="6F5CEDDA">
                  <w:pPr>
                    <w:tabs>
                      <w:tab w:val="left" w:pos="7770"/>
                    </w:tabs>
                    <w:spacing w:line="240" w:lineRule="auto"/>
                    <w:jc w:val="both"/>
                    <w:rPr>
                      <w:rFonts w:hint="eastAsia" w:ascii="Times New Roman" w:hAnsi="Times New Roman" w:eastAsia="宋体" w:cs="Times New Roman"/>
                      <w:b w:val="0"/>
                      <w:bCs w:val="0"/>
                      <w:color w:val="auto"/>
                      <w:kern w:val="2"/>
                      <w:sz w:val="21"/>
                      <w:szCs w:val="21"/>
                      <w:vertAlign w:val="baseline"/>
                      <w:lang w:val="en-US" w:eastAsia="zh-CN" w:bidi="ar-SA"/>
                    </w:rPr>
                  </w:pPr>
                  <w:r>
                    <w:rPr>
                      <w:rFonts w:hint="eastAsia" w:ascii="Times New Roman" w:hAnsi="Times New Roman" w:eastAsia="宋体" w:cs="Times New Roman"/>
                      <w:b w:val="0"/>
                      <w:bCs w:val="0"/>
                      <w:color w:val="auto"/>
                      <w:sz w:val="21"/>
                      <w:szCs w:val="21"/>
                      <w:vertAlign w:val="baseline"/>
                      <w:lang w:val="en-US" w:eastAsia="zh-CN"/>
                    </w:rPr>
                    <w:t>其他大气污染物排放管控要求</w:t>
                  </w:r>
                </w:p>
              </w:tc>
              <w:tc>
                <w:tcPr>
                  <w:tcW w:w="942" w:type="pct"/>
                  <w:noWrap w:val="0"/>
                  <w:vAlign w:val="center"/>
                </w:tcPr>
                <w:p w14:paraId="1AF4F745">
                  <w:pPr>
                    <w:tabs>
                      <w:tab w:val="left" w:pos="7770"/>
                    </w:tabs>
                    <w:spacing w:line="240" w:lineRule="auto"/>
                    <w:jc w:val="both"/>
                    <w:rPr>
                      <w:rFonts w:hint="default" w:ascii="Times New Roman" w:hAnsi="Times New Roman" w:eastAsia="宋体" w:cs="Times New Roman"/>
                      <w:b/>
                      <w:bCs/>
                      <w:color w:val="auto"/>
                      <w:sz w:val="21"/>
                      <w:szCs w:val="21"/>
                      <w:vertAlign w:val="baseline"/>
                      <w:lang w:eastAsia="zh-CN"/>
                    </w:rPr>
                  </w:pPr>
                  <w:r>
                    <w:rPr>
                      <w:rFonts w:hint="eastAsia" w:ascii="Times New Roman" w:hAnsi="Times New Roman" w:eastAsia="宋体" w:cs="Times New Roman"/>
                      <w:b w:val="0"/>
                      <w:bCs w:val="0"/>
                      <w:color w:val="auto"/>
                      <w:sz w:val="21"/>
                      <w:szCs w:val="21"/>
                      <w:vertAlign w:val="baseline"/>
                      <w:lang w:val="en-US" w:eastAsia="zh-CN"/>
                    </w:rPr>
                    <w:t>本项目建成运营后各类污染物均达标排放，固废收集处置率达100%，满足管控要求。</w:t>
                  </w:r>
                </w:p>
              </w:tc>
              <w:tc>
                <w:tcPr>
                  <w:tcW w:w="332" w:type="pct"/>
                  <w:noWrap w:val="0"/>
                  <w:vAlign w:val="center"/>
                </w:tcPr>
                <w:p w14:paraId="1B1E3377">
                  <w:pPr>
                    <w:spacing w:line="240" w:lineRule="auto"/>
                    <w:jc w:val="center"/>
                    <w:rPr>
                      <w:rFonts w:hint="default" w:ascii="Times New Roman" w:hAnsi="Times New Roman" w:eastAsia="宋体" w:cs="Times New Roman"/>
                      <w:b/>
                      <w:bCs/>
                      <w:color w:val="auto"/>
                      <w:sz w:val="21"/>
                      <w:szCs w:val="21"/>
                      <w:vertAlign w:val="baseline"/>
                      <w:lang w:eastAsia="zh-CN"/>
                    </w:rPr>
                  </w:pPr>
                  <w:r>
                    <w:rPr>
                      <w:rFonts w:hint="default" w:ascii="Times New Roman" w:hAnsi="Times New Roman" w:eastAsia="宋体" w:cs="Times New Roman"/>
                      <w:b w:val="0"/>
                      <w:bCs w:val="0"/>
                      <w:color w:val="auto"/>
                      <w:sz w:val="21"/>
                      <w:szCs w:val="21"/>
                      <w:vertAlign w:val="baseline"/>
                      <w:lang w:eastAsia="zh-CN"/>
                    </w:rPr>
                    <w:t>符合</w:t>
                  </w:r>
                </w:p>
              </w:tc>
            </w:tr>
            <w:tr w14:paraId="5AAB6C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406" w:type="pct"/>
                  <w:noWrap w:val="0"/>
                  <w:vAlign w:val="center"/>
                </w:tcPr>
                <w:p w14:paraId="1EDF434A">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环境管控单元编码</w:t>
                  </w:r>
                </w:p>
              </w:tc>
              <w:tc>
                <w:tcPr>
                  <w:tcW w:w="388" w:type="pct"/>
                  <w:noWrap w:val="0"/>
                  <w:vAlign w:val="center"/>
                </w:tcPr>
                <w:p w14:paraId="7A8C11DA">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环境管控单元名称</w:t>
                  </w:r>
                </w:p>
              </w:tc>
              <w:tc>
                <w:tcPr>
                  <w:tcW w:w="500" w:type="pct"/>
                  <w:noWrap w:val="0"/>
                  <w:vAlign w:val="center"/>
                </w:tcPr>
                <w:p w14:paraId="7DD5C7D7">
                  <w:pPr>
                    <w:tabs>
                      <w:tab w:val="left" w:pos="7770"/>
                    </w:tabs>
                    <w:spacing w:line="240" w:lineRule="auto"/>
                    <w:jc w:val="center"/>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管控</w:t>
                  </w:r>
                </w:p>
                <w:p w14:paraId="5C06F02B">
                  <w:pPr>
                    <w:tabs>
                      <w:tab w:val="left" w:pos="7770"/>
                    </w:tabs>
                    <w:spacing w:line="240" w:lineRule="auto"/>
                    <w:jc w:val="center"/>
                    <w:rPr>
                      <w:rStyle w:val="30"/>
                      <w:rFonts w:hint="default" w:ascii="Times New Roman" w:hAnsi="Times New Roman" w:eastAsia="宋体" w:cs="Times New Roman"/>
                      <w:kern w:val="2"/>
                      <w:sz w:val="21"/>
                      <w:szCs w:val="21"/>
                      <w:lang w:val="en-US" w:eastAsia="zh-CN" w:bidi="ar-SA"/>
                    </w:rPr>
                  </w:pPr>
                  <w:r>
                    <w:rPr>
                      <w:rFonts w:hint="eastAsia" w:ascii="Times New Roman" w:hAnsi="Times New Roman" w:eastAsia="宋体" w:cs="Times New Roman"/>
                      <w:b/>
                      <w:bCs/>
                      <w:color w:val="auto"/>
                      <w:sz w:val="21"/>
                      <w:szCs w:val="21"/>
                      <w:vertAlign w:val="baseline"/>
                      <w:lang w:val="en-US" w:eastAsia="zh-CN"/>
                    </w:rPr>
                    <w:t>类别</w:t>
                  </w:r>
                </w:p>
              </w:tc>
              <w:tc>
                <w:tcPr>
                  <w:tcW w:w="2429" w:type="pct"/>
                  <w:noWrap w:val="0"/>
                  <w:vAlign w:val="center"/>
                </w:tcPr>
                <w:p w14:paraId="60F982E9">
                  <w:pPr>
                    <w:tabs>
                      <w:tab w:val="left" w:pos="7770"/>
                    </w:tabs>
                    <w:spacing w:line="240" w:lineRule="auto"/>
                    <w:jc w:val="center"/>
                    <w:rPr>
                      <w:rStyle w:val="30"/>
                      <w:rFonts w:hint="default"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b/>
                      <w:bCs/>
                      <w:color w:val="auto"/>
                      <w:sz w:val="21"/>
                      <w:szCs w:val="21"/>
                      <w:vertAlign w:val="baseline"/>
                      <w:lang w:val="en-US" w:eastAsia="zh-CN"/>
                    </w:rPr>
                    <w:t>单元特性管控要求</w:t>
                  </w:r>
                </w:p>
              </w:tc>
              <w:tc>
                <w:tcPr>
                  <w:tcW w:w="942" w:type="pct"/>
                  <w:noWrap w:val="0"/>
                  <w:vAlign w:val="center"/>
                </w:tcPr>
                <w:p w14:paraId="6DF1BDD7">
                  <w:pPr>
                    <w:numPr>
                      <w:ilvl w:val="0"/>
                      <w:numId w:val="0"/>
                    </w:numPr>
                    <w:bidi w:val="0"/>
                    <w:spacing w:line="240" w:lineRule="auto"/>
                    <w:ind w:left="0" w:leftChars="0" w:firstLine="0" w:firstLineChars="0"/>
                    <w:jc w:val="center"/>
                    <w:rPr>
                      <w:rFonts w:hint="eastAsia"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eastAsia="zh-CN"/>
                    </w:rPr>
                    <w:t>项目对应情况介绍</w:t>
                  </w:r>
                </w:p>
              </w:tc>
              <w:tc>
                <w:tcPr>
                  <w:tcW w:w="332" w:type="pct"/>
                  <w:noWrap w:val="0"/>
                  <w:vAlign w:val="center"/>
                </w:tcPr>
                <w:p w14:paraId="7B47D7AC">
                  <w:pPr>
                    <w:numPr>
                      <w:ilvl w:val="0"/>
                      <w:numId w:val="0"/>
                    </w:numPr>
                    <w:bidi w:val="0"/>
                    <w:spacing w:line="240" w:lineRule="auto"/>
                    <w:jc w:val="center"/>
                    <w:rPr>
                      <w:rFonts w:hint="default" w:ascii="Times New Roman" w:hAnsi="Times New Roman" w:eastAsia="宋体" w:cs="Times New Roman"/>
                      <w:b/>
                      <w:bCs/>
                      <w:color w:val="auto"/>
                      <w:sz w:val="21"/>
                      <w:szCs w:val="21"/>
                      <w:vertAlign w:val="baseline"/>
                      <w:lang w:eastAsia="zh-CN"/>
                    </w:rPr>
                  </w:pPr>
                  <w:r>
                    <w:rPr>
                      <w:rFonts w:hint="default" w:ascii="Times New Roman" w:hAnsi="Times New Roman" w:eastAsia="宋体" w:cs="Times New Roman"/>
                      <w:b/>
                      <w:bCs/>
                      <w:color w:val="auto"/>
                      <w:sz w:val="21"/>
                      <w:szCs w:val="21"/>
                      <w:vertAlign w:val="baseline"/>
                      <w:lang w:eastAsia="zh-CN"/>
                    </w:rPr>
                    <w:t>符合性</w:t>
                  </w:r>
                </w:p>
                <w:p w14:paraId="31D70B3B">
                  <w:pPr>
                    <w:numPr>
                      <w:ilvl w:val="0"/>
                      <w:numId w:val="0"/>
                    </w:numPr>
                    <w:bidi w:val="0"/>
                    <w:spacing w:line="240" w:lineRule="auto"/>
                    <w:ind w:left="0" w:leftChars="0" w:firstLine="0" w:firstLineChars="0"/>
                    <w:jc w:val="center"/>
                    <w:rPr>
                      <w:rFonts w:hint="default" w:ascii="Times New Roman" w:hAnsi="Times New Roman" w:eastAsia="宋体" w:cs="Times New Roman"/>
                      <w:b w:val="0"/>
                      <w:bCs w:val="0"/>
                      <w:color w:val="auto"/>
                      <w:sz w:val="21"/>
                      <w:szCs w:val="21"/>
                      <w:vertAlign w:val="baseline"/>
                      <w:lang w:eastAsia="zh-CN"/>
                    </w:rPr>
                  </w:pPr>
                  <w:r>
                    <w:rPr>
                      <w:rFonts w:hint="default" w:ascii="Times New Roman" w:hAnsi="Times New Roman" w:eastAsia="宋体" w:cs="Times New Roman"/>
                      <w:b/>
                      <w:bCs/>
                      <w:color w:val="auto"/>
                      <w:sz w:val="21"/>
                      <w:szCs w:val="21"/>
                      <w:vertAlign w:val="baseline"/>
                      <w:lang w:eastAsia="zh-CN"/>
                    </w:rPr>
                    <w:t>分析</w:t>
                  </w:r>
                </w:p>
              </w:tc>
            </w:tr>
            <w:tr w14:paraId="74C347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406" w:type="pct"/>
                  <w:noWrap w:val="0"/>
                  <w:vAlign w:val="center"/>
                </w:tcPr>
                <w:p w14:paraId="388C454B">
                  <w:pPr>
                    <w:pStyle w:val="89"/>
                    <w:widowControl/>
                    <w:spacing w:line="240" w:lineRule="auto"/>
                    <w:ind w:firstLine="0" w:firstLineChars="0"/>
                    <w:jc w:val="center"/>
                    <w:rPr>
                      <w:rFonts w:hint="eastAsia" w:ascii="Times New Roman" w:hAnsi="Times New Roman" w:eastAsia="宋体" w:cs="Times New Roman"/>
                      <w:b w:val="0"/>
                      <w:bCs w:val="0"/>
                      <w:color w:val="auto"/>
                      <w:sz w:val="21"/>
                      <w:szCs w:val="21"/>
                      <w:vertAlign w:val="baseline"/>
                      <w:lang w:val="en-US" w:eastAsia="zh-CN"/>
                    </w:rPr>
                  </w:pPr>
                  <w:r>
                    <w:rPr>
                      <w:rStyle w:val="30"/>
                      <w:rFonts w:hint="default" w:ascii="Times New Roman" w:hAnsi="Times New Roman" w:eastAsia="宋体" w:cs="Times New Roman"/>
                      <w:color w:val="auto"/>
                      <w:kern w:val="2"/>
                      <w:sz w:val="21"/>
                      <w:szCs w:val="21"/>
                      <w:lang w:val="en-US" w:eastAsia="zh-CN" w:bidi="ar-SA"/>
                    </w:rPr>
                    <w:t>YS5109042540012</w:t>
                  </w:r>
                </w:p>
              </w:tc>
              <w:tc>
                <w:tcPr>
                  <w:tcW w:w="388" w:type="pct"/>
                  <w:noWrap w:val="0"/>
                  <w:vAlign w:val="center"/>
                </w:tcPr>
                <w:p w14:paraId="61D7146D">
                  <w:pPr>
                    <w:pStyle w:val="89"/>
                    <w:widowControl/>
                    <w:spacing w:line="240" w:lineRule="auto"/>
                    <w:ind w:firstLine="0" w:firstLineChars="0"/>
                    <w:jc w:val="center"/>
                    <w:rPr>
                      <w:rFonts w:hint="eastAsia" w:ascii="Times New Roman" w:hAnsi="Times New Roman" w:eastAsia="宋体" w:cs="Times New Roman"/>
                      <w:b w:val="0"/>
                      <w:bCs w:val="0"/>
                      <w:color w:val="auto"/>
                      <w:sz w:val="21"/>
                      <w:szCs w:val="21"/>
                      <w:vertAlign w:val="baseline"/>
                      <w:lang w:val="en-US" w:eastAsia="zh-CN"/>
                    </w:rPr>
                  </w:pPr>
                  <w:r>
                    <w:rPr>
                      <w:rStyle w:val="30"/>
                      <w:rFonts w:hint="default" w:ascii="Times New Roman" w:hAnsi="Times New Roman" w:eastAsia="宋体" w:cs="Times New Roman"/>
                      <w:color w:val="auto"/>
                      <w:kern w:val="2"/>
                      <w:sz w:val="21"/>
                      <w:szCs w:val="21"/>
                      <w:lang w:val="en-US" w:eastAsia="zh-CN" w:bidi="ar-SA"/>
                    </w:rPr>
                    <w:t>四川安居经济开发区</w:t>
                  </w:r>
                </w:p>
              </w:tc>
              <w:tc>
                <w:tcPr>
                  <w:tcW w:w="500" w:type="pct"/>
                  <w:noWrap w:val="0"/>
                  <w:vAlign w:val="center"/>
                </w:tcPr>
                <w:p w14:paraId="2A301AFD">
                  <w:pPr>
                    <w:pStyle w:val="90"/>
                    <w:widowControl/>
                    <w:spacing w:line="240" w:lineRule="auto"/>
                    <w:ind w:firstLine="0" w:firstLineChars="0"/>
                    <w:jc w:val="center"/>
                    <w:rPr>
                      <w:rFonts w:hint="eastAsia" w:ascii="Times New Roman" w:hAnsi="Times New Roman" w:eastAsia="宋体" w:cs="Times New Roman"/>
                      <w:b w:val="0"/>
                      <w:bCs w:val="0"/>
                      <w:color w:val="auto"/>
                      <w:sz w:val="21"/>
                      <w:szCs w:val="21"/>
                      <w:vertAlign w:val="baseline"/>
                      <w:lang w:val="en-US" w:eastAsia="zh-CN"/>
                    </w:rPr>
                  </w:pPr>
                  <w:r>
                    <w:rPr>
                      <w:rStyle w:val="30"/>
                      <w:rFonts w:hint="default" w:ascii="Times New Roman" w:hAnsi="Times New Roman" w:eastAsia="宋体" w:cs="Times New Roman"/>
                      <w:color w:val="auto"/>
                      <w:kern w:val="2"/>
                      <w:sz w:val="21"/>
                      <w:szCs w:val="21"/>
                      <w:lang w:val="en-US" w:eastAsia="zh-CN" w:bidi="ar-SA"/>
                    </w:rPr>
                    <w:t>资源开发效率要求</w:t>
                  </w:r>
                </w:p>
              </w:tc>
              <w:tc>
                <w:tcPr>
                  <w:tcW w:w="2429" w:type="pct"/>
                  <w:noWrap w:val="0"/>
                  <w:vAlign w:val="center"/>
                </w:tcPr>
                <w:p w14:paraId="2CD057DB">
                  <w:p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土地资源开发效率要求</w:t>
                  </w:r>
                </w:p>
                <w:p w14:paraId="08AD8C77">
                  <w:p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能源资源开发效率要求</w:t>
                  </w:r>
                </w:p>
                <w:p w14:paraId="754B3891">
                  <w:p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能源消耗、污染物排放不得超过能源利用上线控制性指标</w:t>
                  </w:r>
                </w:p>
                <w:p w14:paraId="3424A16D">
                  <w:p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其他资源开发效率要求</w:t>
                  </w:r>
                </w:p>
              </w:tc>
              <w:tc>
                <w:tcPr>
                  <w:tcW w:w="942" w:type="pct"/>
                  <w:noWrap w:val="0"/>
                  <w:vAlign w:val="center"/>
                </w:tcPr>
                <w:p w14:paraId="0EF178BD">
                  <w:p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项目</w:t>
                  </w:r>
                  <w:r>
                    <w:rPr>
                      <w:rFonts w:hint="eastAsia" w:ascii="Times New Roman" w:hAnsi="Times New Roman" w:eastAsia="宋体" w:cs="Times New Roman"/>
                      <w:b w:val="0"/>
                      <w:bCs w:val="0"/>
                      <w:color w:val="auto"/>
                      <w:sz w:val="21"/>
                      <w:szCs w:val="21"/>
                      <w:vertAlign w:val="baseline"/>
                      <w:lang w:val="en-US" w:eastAsia="zh-CN"/>
                    </w:rPr>
                    <w:t>不涉及地下水的开采</w:t>
                  </w:r>
                  <w:r>
                    <w:rPr>
                      <w:rFonts w:hint="eastAsia" w:cs="Times New Roman"/>
                      <w:b w:val="0"/>
                      <w:bCs w:val="0"/>
                      <w:color w:val="auto"/>
                      <w:sz w:val="21"/>
                      <w:szCs w:val="21"/>
                      <w:vertAlign w:val="baseline"/>
                      <w:lang w:val="en-US" w:eastAsia="zh-CN"/>
                    </w:rPr>
                    <w:t>使用</w:t>
                  </w:r>
                  <w:r>
                    <w:rPr>
                      <w:rFonts w:hint="eastAsia" w:ascii="Times New Roman" w:hAnsi="Times New Roman" w:eastAsia="宋体" w:cs="Times New Roman"/>
                      <w:b w:val="0"/>
                      <w:bCs w:val="0"/>
                      <w:color w:val="auto"/>
                      <w:sz w:val="21"/>
                      <w:szCs w:val="21"/>
                      <w:vertAlign w:val="baseline"/>
                      <w:lang w:val="en-US" w:eastAsia="zh-CN"/>
                    </w:rPr>
                    <w:t>，</w:t>
                  </w:r>
                  <w:r>
                    <w:rPr>
                      <w:rFonts w:hint="eastAsia" w:cs="Times New Roman"/>
                      <w:b w:val="0"/>
                      <w:bCs w:val="0"/>
                      <w:color w:val="auto"/>
                      <w:sz w:val="21"/>
                      <w:szCs w:val="21"/>
                      <w:vertAlign w:val="baseline"/>
                      <w:lang w:val="en-US" w:eastAsia="zh-CN"/>
                    </w:rPr>
                    <w:t>水资源用量少，</w:t>
                  </w:r>
                  <w:r>
                    <w:rPr>
                      <w:rFonts w:hint="eastAsia" w:ascii="Times New Roman" w:hAnsi="Times New Roman" w:eastAsia="宋体" w:cs="Times New Roman"/>
                      <w:b w:val="0"/>
                      <w:bCs w:val="0"/>
                      <w:color w:val="auto"/>
                      <w:sz w:val="21"/>
                      <w:szCs w:val="21"/>
                      <w:vertAlign w:val="baseline"/>
                      <w:lang w:val="en-US" w:eastAsia="zh-CN"/>
                    </w:rPr>
                    <w:t>符合资源利用效率的管控要求。</w:t>
                  </w:r>
                </w:p>
              </w:tc>
              <w:tc>
                <w:tcPr>
                  <w:tcW w:w="332" w:type="pct"/>
                  <w:noWrap w:val="0"/>
                  <w:vAlign w:val="center"/>
                </w:tcPr>
                <w:p w14:paraId="0FEE4536">
                  <w:pPr>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eastAsia="zh-CN"/>
                    </w:rPr>
                    <w:t>符合</w:t>
                  </w:r>
                </w:p>
              </w:tc>
            </w:tr>
            <w:tr w14:paraId="16272B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406" w:type="pct"/>
                  <w:noWrap w:val="0"/>
                  <w:vAlign w:val="center"/>
                </w:tcPr>
                <w:p w14:paraId="1235E714">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环境管控单元编码</w:t>
                  </w:r>
                </w:p>
              </w:tc>
              <w:tc>
                <w:tcPr>
                  <w:tcW w:w="388" w:type="pct"/>
                  <w:noWrap w:val="0"/>
                  <w:vAlign w:val="center"/>
                </w:tcPr>
                <w:p w14:paraId="1A94FC71">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环境管控单元名称</w:t>
                  </w:r>
                </w:p>
              </w:tc>
              <w:tc>
                <w:tcPr>
                  <w:tcW w:w="500" w:type="pct"/>
                  <w:noWrap w:val="0"/>
                  <w:vAlign w:val="center"/>
                </w:tcPr>
                <w:p w14:paraId="604D925F">
                  <w:pPr>
                    <w:tabs>
                      <w:tab w:val="left" w:pos="7770"/>
                    </w:tabs>
                    <w:spacing w:line="240" w:lineRule="auto"/>
                    <w:jc w:val="center"/>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管控</w:t>
                  </w:r>
                </w:p>
                <w:p w14:paraId="58D4B572">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类别</w:t>
                  </w:r>
                </w:p>
              </w:tc>
              <w:tc>
                <w:tcPr>
                  <w:tcW w:w="2429" w:type="pct"/>
                  <w:noWrap w:val="0"/>
                  <w:vAlign w:val="center"/>
                </w:tcPr>
                <w:p w14:paraId="61224A93">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单元特性管控要求</w:t>
                  </w:r>
                </w:p>
              </w:tc>
              <w:tc>
                <w:tcPr>
                  <w:tcW w:w="942" w:type="pct"/>
                  <w:noWrap w:val="0"/>
                  <w:vAlign w:val="center"/>
                </w:tcPr>
                <w:p w14:paraId="4BD7FB17">
                  <w:pPr>
                    <w:numPr>
                      <w:ilvl w:val="0"/>
                      <w:numId w:val="0"/>
                    </w:numPr>
                    <w:bidi w:val="0"/>
                    <w:spacing w:line="240" w:lineRule="auto"/>
                    <w:ind w:left="0" w:leftChars="0" w:firstLine="0" w:firstLineChars="0"/>
                    <w:jc w:val="center"/>
                    <w:rPr>
                      <w:rFonts w:hint="eastAsia"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eastAsia="zh-CN"/>
                    </w:rPr>
                    <w:t>项目对应情况介绍</w:t>
                  </w:r>
                </w:p>
              </w:tc>
              <w:tc>
                <w:tcPr>
                  <w:tcW w:w="332" w:type="pct"/>
                  <w:noWrap w:val="0"/>
                  <w:vAlign w:val="center"/>
                </w:tcPr>
                <w:p w14:paraId="282C0CC2">
                  <w:pPr>
                    <w:numPr>
                      <w:ilvl w:val="0"/>
                      <w:numId w:val="0"/>
                    </w:numPr>
                    <w:bidi w:val="0"/>
                    <w:spacing w:line="240" w:lineRule="auto"/>
                    <w:jc w:val="center"/>
                    <w:rPr>
                      <w:rFonts w:hint="default" w:ascii="Times New Roman" w:hAnsi="Times New Roman" w:eastAsia="宋体" w:cs="Times New Roman"/>
                      <w:b/>
                      <w:bCs/>
                      <w:color w:val="auto"/>
                      <w:sz w:val="21"/>
                      <w:szCs w:val="21"/>
                      <w:vertAlign w:val="baseline"/>
                      <w:lang w:eastAsia="zh-CN"/>
                    </w:rPr>
                  </w:pPr>
                  <w:r>
                    <w:rPr>
                      <w:rFonts w:hint="default" w:ascii="Times New Roman" w:hAnsi="Times New Roman" w:eastAsia="宋体" w:cs="Times New Roman"/>
                      <w:b/>
                      <w:bCs/>
                      <w:color w:val="auto"/>
                      <w:sz w:val="21"/>
                      <w:szCs w:val="21"/>
                      <w:vertAlign w:val="baseline"/>
                      <w:lang w:eastAsia="zh-CN"/>
                    </w:rPr>
                    <w:t>符合性</w:t>
                  </w:r>
                </w:p>
                <w:p w14:paraId="74BD3376">
                  <w:pPr>
                    <w:numPr>
                      <w:ilvl w:val="0"/>
                      <w:numId w:val="0"/>
                    </w:numPr>
                    <w:bidi w:val="0"/>
                    <w:spacing w:line="240" w:lineRule="auto"/>
                    <w:ind w:left="0" w:leftChars="0" w:firstLine="0" w:firstLineChars="0"/>
                    <w:jc w:val="center"/>
                    <w:rPr>
                      <w:rFonts w:hint="eastAsia"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eastAsia="zh-CN"/>
                    </w:rPr>
                    <w:t>分析</w:t>
                  </w:r>
                </w:p>
              </w:tc>
            </w:tr>
            <w:tr w14:paraId="7B55A9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06" w:type="pct"/>
                  <w:noWrap w:val="0"/>
                  <w:vAlign w:val="center"/>
                </w:tcPr>
                <w:p w14:paraId="740EABFC">
                  <w:pPr>
                    <w:pStyle w:val="89"/>
                    <w:widowControl/>
                    <w:spacing w:line="240" w:lineRule="auto"/>
                    <w:ind w:firstLine="0" w:firstLineChars="0"/>
                    <w:jc w:val="center"/>
                    <w:rPr>
                      <w:rFonts w:hint="eastAsia" w:ascii="Times New Roman" w:hAnsi="Times New Roman" w:eastAsia="宋体" w:cs="Times New Roman"/>
                      <w:b w:val="0"/>
                      <w:bCs w:val="0"/>
                      <w:color w:val="auto"/>
                      <w:sz w:val="21"/>
                      <w:szCs w:val="21"/>
                      <w:vertAlign w:val="baseline"/>
                      <w:lang w:val="en-US" w:eastAsia="zh-CN"/>
                    </w:rPr>
                  </w:pPr>
                  <w:r>
                    <w:rPr>
                      <w:rStyle w:val="30"/>
                      <w:rFonts w:hint="default" w:ascii="Times New Roman" w:hAnsi="Times New Roman" w:eastAsia="宋体" w:cs="Times New Roman"/>
                      <w:color w:val="auto"/>
                      <w:kern w:val="2"/>
                      <w:sz w:val="21"/>
                      <w:szCs w:val="21"/>
                      <w:lang w:val="en-US" w:eastAsia="zh-CN" w:bidi="ar-SA"/>
                    </w:rPr>
                    <w:t>YS5109042550001</w:t>
                  </w:r>
                </w:p>
              </w:tc>
              <w:tc>
                <w:tcPr>
                  <w:tcW w:w="388" w:type="pct"/>
                  <w:noWrap w:val="0"/>
                  <w:vAlign w:val="center"/>
                </w:tcPr>
                <w:p w14:paraId="0F4A2B2B">
                  <w:pPr>
                    <w:pStyle w:val="89"/>
                    <w:widowControl/>
                    <w:spacing w:line="240" w:lineRule="auto"/>
                    <w:ind w:firstLine="0" w:firstLineChars="0"/>
                    <w:jc w:val="center"/>
                    <w:rPr>
                      <w:rFonts w:hint="eastAsia" w:ascii="Times New Roman" w:hAnsi="Times New Roman" w:eastAsia="宋体" w:cs="Times New Roman"/>
                      <w:b w:val="0"/>
                      <w:bCs w:val="0"/>
                      <w:color w:val="auto"/>
                      <w:sz w:val="21"/>
                      <w:szCs w:val="21"/>
                      <w:vertAlign w:val="baseline"/>
                      <w:lang w:val="en-US" w:eastAsia="zh-CN"/>
                    </w:rPr>
                  </w:pPr>
                  <w:r>
                    <w:rPr>
                      <w:rStyle w:val="30"/>
                      <w:rFonts w:hint="default" w:ascii="Times New Roman" w:hAnsi="Times New Roman" w:eastAsia="宋体" w:cs="Times New Roman"/>
                      <w:color w:val="auto"/>
                      <w:kern w:val="2"/>
                      <w:sz w:val="21"/>
                      <w:szCs w:val="21"/>
                      <w:lang w:val="en-US" w:eastAsia="zh-CN" w:bidi="ar-SA"/>
                    </w:rPr>
                    <w:t>安居区自然资源重点管控区</w:t>
                  </w:r>
                </w:p>
              </w:tc>
              <w:tc>
                <w:tcPr>
                  <w:tcW w:w="500" w:type="pct"/>
                  <w:noWrap w:val="0"/>
                  <w:vAlign w:val="center"/>
                </w:tcPr>
                <w:p w14:paraId="58021072">
                  <w:pPr>
                    <w:pStyle w:val="90"/>
                    <w:widowControl/>
                    <w:spacing w:line="240" w:lineRule="auto"/>
                    <w:ind w:firstLine="0" w:firstLineChars="0"/>
                    <w:jc w:val="center"/>
                    <w:rPr>
                      <w:rStyle w:val="30"/>
                      <w:rFonts w:hint="default" w:ascii="Times New Roman" w:hAnsi="Times New Roman" w:eastAsia="宋体" w:cs="Times New Roman"/>
                      <w:color w:val="auto"/>
                      <w:kern w:val="2"/>
                      <w:sz w:val="21"/>
                      <w:szCs w:val="21"/>
                      <w:lang w:val="en-US" w:eastAsia="zh-CN" w:bidi="ar-SA"/>
                    </w:rPr>
                  </w:pPr>
                  <w:r>
                    <w:rPr>
                      <w:rStyle w:val="30"/>
                      <w:rFonts w:hint="default" w:ascii="Times New Roman" w:hAnsi="Times New Roman" w:eastAsia="宋体" w:cs="Times New Roman"/>
                      <w:color w:val="auto"/>
                      <w:kern w:val="2"/>
                      <w:sz w:val="21"/>
                      <w:szCs w:val="21"/>
                      <w:lang w:val="en-US" w:eastAsia="zh-CN" w:bidi="ar-SA"/>
                    </w:rPr>
                    <w:t>空间布</w:t>
                  </w:r>
                </w:p>
                <w:p w14:paraId="5F2B1B24">
                  <w:pPr>
                    <w:pStyle w:val="90"/>
                    <w:widowControl/>
                    <w:spacing w:line="240" w:lineRule="auto"/>
                    <w:ind w:firstLine="0" w:firstLineChars="0"/>
                    <w:jc w:val="center"/>
                    <w:rPr>
                      <w:rFonts w:hint="eastAsia" w:ascii="Times New Roman" w:hAnsi="Times New Roman" w:eastAsia="宋体" w:cs="Times New Roman"/>
                      <w:b w:val="0"/>
                      <w:bCs w:val="0"/>
                      <w:color w:val="auto"/>
                      <w:sz w:val="21"/>
                      <w:szCs w:val="21"/>
                      <w:vertAlign w:val="baseline"/>
                      <w:lang w:val="en-US" w:eastAsia="zh-CN"/>
                    </w:rPr>
                  </w:pPr>
                  <w:r>
                    <w:rPr>
                      <w:rStyle w:val="30"/>
                      <w:rFonts w:hint="default" w:ascii="Times New Roman" w:hAnsi="Times New Roman" w:eastAsia="宋体" w:cs="Times New Roman"/>
                      <w:color w:val="auto"/>
                      <w:kern w:val="2"/>
                      <w:sz w:val="21"/>
                      <w:szCs w:val="21"/>
                      <w:lang w:val="en-US" w:eastAsia="zh-CN" w:bidi="ar-SA"/>
                    </w:rPr>
                    <w:t>局约束</w:t>
                  </w:r>
                </w:p>
              </w:tc>
              <w:tc>
                <w:tcPr>
                  <w:tcW w:w="2429" w:type="pct"/>
                  <w:noWrap w:val="0"/>
                  <w:vAlign w:val="center"/>
                </w:tcPr>
                <w:p w14:paraId="3150CA59">
                  <w:p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color w:val="auto"/>
                    </w:rPr>
                    <w:t>合理开发高效利用水资源，建设节水型社会；优化土地利用布局与结构；优化产业空间布局，构建清洁能源体系</w:t>
                  </w:r>
                </w:p>
              </w:tc>
              <w:tc>
                <w:tcPr>
                  <w:tcW w:w="942" w:type="pct"/>
                  <w:noWrap w:val="0"/>
                  <w:vAlign w:val="center"/>
                </w:tcPr>
                <w:p w14:paraId="73696C13">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w:t>
                  </w:r>
                </w:p>
              </w:tc>
              <w:tc>
                <w:tcPr>
                  <w:tcW w:w="332" w:type="pct"/>
                  <w:noWrap w:val="0"/>
                  <w:vAlign w:val="center"/>
                </w:tcPr>
                <w:p w14:paraId="46B3D256">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w:t>
                  </w:r>
                </w:p>
              </w:tc>
            </w:tr>
            <w:tr w14:paraId="2C6281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406" w:type="pct"/>
                  <w:noWrap w:val="0"/>
                  <w:vAlign w:val="center"/>
                </w:tcPr>
                <w:p w14:paraId="11D000EB">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环境管控单元编码</w:t>
                  </w:r>
                </w:p>
              </w:tc>
              <w:tc>
                <w:tcPr>
                  <w:tcW w:w="388" w:type="pct"/>
                  <w:noWrap w:val="0"/>
                  <w:vAlign w:val="center"/>
                </w:tcPr>
                <w:p w14:paraId="46A125B2">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环境管控单元名称</w:t>
                  </w:r>
                </w:p>
              </w:tc>
              <w:tc>
                <w:tcPr>
                  <w:tcW w:w="500" w:type="pct"/>
                  <w:noWrap w:val="0"/>
                  <w:vAlign w:val="center"/>
                </w:tcPr>
                <w:p w14:paraId="0B1347CB">
                  <w:pPr>
                    <w:tabs>
                      <w:tab w:val="left" w:pos="7770"/>
                    </w:tabs>
                    <w:spacing w:line="240" w:lineRule="auto"/>
                    <w:jc w:val="center"/>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管控</w:t>
                  </w:r>
                </w:p>
                <w:p w14:paraId="6D85BCB7">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类别</w:t>
                  </w:r>
                </w:p>
              </w:tc>
              <w:tc>
                <w:tcPr>
                  <w:tcW w:w="2429" w:type="pct"/>
                  <w:noWrap w:val="0"/>
                  <w:vAlign w:val="center"/>
                </w:tcPr>
                <w:p w14:paraId="6025107C">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单元特性管控要求</w:t>
                  </w:r>
                </w:p>
              </w:tc>
              <w:tc>
                <w:tcPr>
                  <w:tcW w:w="942" w:type="pct"/>
                  <w:noWrap w:val="0"/>
                  <w:vAlign w:val="center"/>
                </w:tcPr>
                <w:p w14:paraId="0EFBB51C">
                  <w:pPr>
                    <w:numPr>
                      <w:ilvl w:val="0"/>
                      <w:numId w:val="0"/>
                    </w:numPr>
                    <w:bidi w:val="0"/>
                    <w:spacing w:line="240" w:lineRule="auto"/>
                    <w:ind w:left="0" w:leftChars="0" w:firstLine="0" w:firstLineChars="0"/>
                    <w:jc w:val="center"/>
                    <w:rPr>
                      <w:rFonts w:hint="eastAsia"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eastAsia="zh-CN"/>
                    </w:rPr>
                    <w:t>项目对应情况介绍</w:t>
                  </w:r>
                </w:p>
              </w:tc>
              <w:tc>
                <w:tcPr>
                  <w:tcW w:w="332" w:type="pct"/>
                  <w:noWrap w:val="0"/>
                  <w:vAlign w:val="center"/>
                </w:tcPr>
                <w:p w14:paraId="5547B5E0">
                  <w:pPr>
                    <w:numPr>
                      <w:ilvl w:val="0"/>
                      <w:numId w:val="0"/>
                    </w:numPr>
                    <w:bidi w:val="0"/>
                    <w:spacing w:line="240" w:lineRule="auto"/>
                    <w:jc w:val="center"/>
                    <w:rPr>
                      <w:rFonts w:hint="default" w:ascii="Times New Roman" w:hAnsi="Times New Roman" w:eastAsia="宋体" w:cs="Times New Roman"/>
                      <w:b/>
                      <w:bCs/>
                      <w:color w:val="auto"/>
                      <w:sz w:val="21"/>
                      <w:szCs w:val="21"/>
                      <w:vertAlign w:val="baseline"/>
                      <w:lang w:eastAsia="zh-CN"/>
                    </w:rPr>
                  </w:pPr>
                  <w:r>
                    <w:rPr>
                      <w:rFonts w:hint="default" w:ascii="Times New Roman" w:hAnsi="Times New Roman" w:eastAsia="宋体" w:cs="Times New Roman"/>
                      <w:b/>
                      <w:bCs/>
                      <w:color w:val="auto"/>
                      <w:sz w:val="21"/>
                      <w:szCs w:val="21"/>
                      <w:vertAlign w:val="baseline"/>
                      <w:lang w:eastAsia="zh-CN"/>
                    </w:rPr>
                    <w:t>符合性</w:t>
                  </w:r>
                </w:p>
                <w:p w14:paraId="074AC636">
                  <w:pPr>
                    <w:numPr>
                      <w:ilvl w:val="0"/>
                      <w:numId w:val="0"/>
                    </w:numPr>
                    <w:bidi w:val="0"/>
                    <w:spacing w:line="240" w:lineRule="auto"/>
                    <w:ind w:left="0" w:leftChars="0" w:firstLine="0" w:firstLineChars="0"/>
                    <w:jc w:val="center"/>
                    <w:rPr>
                      <w:rFonts w:hint="eastAsia"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eastAsia="zh-CN"/>
                    </w:rPr>
                    <w:t>分析</w:t>
                  </w:r>
                </w:p>
              </w:tc>
            </w:tr>
            <w:tr w14:paraId="465D63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406" w:type="pct"/>
                  <w:noWrap w:val="0"/>
                  <w:vAlign w:val="center"/>
                </w:tcPr>
                <w:p w14:paraId="296554EA">
                  <w:pPr>
                    <w:pStyle w:val="89"/>
                    <w:widowControl/>
                    <w:spacing w:line="240" w:lineRule="auto"/>
                    <w:ind w:firstLine="0" w:firstLineChars="0"/>
                    <w:jc w:val="center"/>
                    <w:rPr>
                      <w:rFonts w:hint="eastAsia" w:ascii="Times New Roman" w:hAnsi="Times New Roman" w:eastAsia="宋体" w:cs="Times New Roman"/>
                      <w:b w:val="0"/>
                      <w:bCs w:val="0"/>
                      <w:color w:val="auto"/>
                      <w:sz w:val="21"/>
                      <w:szCs w:val="21"/>
                      <w:vertAlign w:val="baseline"/>
                      <w:lang w:val="en-US" w:eastAsia="zh-CN"/>
                    </w:rPr>
                  </w:pPr>
                  <w:r>
                    <w:rPr>
                      <w:rStyle w:val="30"/>
                      <w:rFonts w:hint="default" w:ascii="Times New Roman" w:hAnsi="Times New Roman" w:eastAsia="宋体" w:cs="Times New Roman"/>
                      <w:color w:val="auto"/>
                      <w:kern w:val="2"/>
                      <w:sz w:val="21"/>
                      <w:szCs w:val="21"/>
                      <w:lang w:val="en-US" w:eastAsia="zh-CN" w:bidi="ar-SA"/>
                    </w:rPr>
                    <w:t>YS5109042420003</w:t>
                  </w:r>
                </w:p>
              </w:tc>
              <w:tc>
                <w:tcPr>
                  <w:tcW w:w="388" w:type="pct"/>
                  <w:noWrap w:val="0"/>
                  <w:vAlign w:val="center"/>
                </w:tcPr>
                <w:p w14:paraId="3C813393">
                  <w:pPr>
                    <w:pStyle w:val="89"/>
                    <w:widowControl/>
                    <w:spacing w:line="240" w:lineRule="auto"/>
                    <w:ind w:firstLine="0" w:firstLineChars="0"/>
                    <w:jc w:val="center"/>
                    <w:rPr>
                      <w:rFonts w:hint="eastAsia" w:ascii="Times New Roman" w:hAnsi="Times New Roman" w:eastAsia="宋体" w:cs="Times New Roman"/>
                      <w:b w:val="0"/>
                      <w:bCs w:val="0"/>
                      <w:color w:val="auto"/>
                      <w:sz w:val="21"/>
                      <w:szCs w:val="21"/>
                      <w:vertAlign w:val="baseline"/>
                      <w:lang w:val="en-US" w:eastAsia="zh-CN"/>
                    </w:rPr>
                  </w:pPr>
                  <w:r>
                    <w:rPr>
                      <w:rStyle w:val="30"/>
                      <w:rFonts w:hint="default" w:ascii="Times New Roman" w:hAnsi="Times New Roman" w:eastAsia="宋体" w:cs="Times New Roman"/>
                      <w:color w:val="auto"/>
                      <w:kern w:val="2"/>
                      <w:sz w:val="21"/>
                      <w:szCs w:val="21"/>
                      <w:lang w:val="en-US" w:eastAsia="zh-CN" w:bidi="ar-SA"/>
                    </w:rPr>
                    <w:t>安居区建设用地污染风险重点管控区1</w:t>
                  </w:r>
                </w:p>
              </w:tc>
              <w:tc>
                <w:tcPr>
                  <w:tcW w:w="500" w:type="pct"/>
                  <w:noWrap w:val="0"/>
                  <w:vAlign w:val="center"/>
                </w:tcPr>
                <w:p w14:paraId="61C1D8D3">
                  <w:pPr>
                    <w:pStyle w:val="90"/>
                    <w:widowControl/>
                    <w:spacing w:line="240" w:lineRule="auto"/>
                    <w:ind w:firstLine="0" w:firstLineChars="0"/>
                    <w:jc w:val="center"/>
                    <w:rPr>
                      <w:rStyle w:val="30"/>
                      <w:rFonts w:hint="default" w:ascii="Times New Roman" w:hAnsi="Times New Roman" w:eastAsia="宋体" w:cs="Times New Roman"/>
                      <w:color w:val="auto"/>
                      <w:kern w:val="2"/>
                      <w:sz w:val="21"/>
                      <w:szCs w:val="21"/>
                      <w:lang w:val="en-US" w:eastAsia="zh-CN" w:bidi="ar-SA"/>
                    </w:rPr>
                  </w:pPr>
                  <w:r>
                    <w:rPr>
                      <w:rStyle w:val="30"/>
                      <w:rFonts w:hint="default" w:ascii="Times New Roman" w:hAnsi="Times New Roman" w:eastAsia="宋体" w:cs="Times New Roman"/>
                      <w:color w:val="auto"/>
                      <w:kern w:val="2"/>
                      <w:sz w:val="21"/>
                      <w:szCs w:val="21"/>
                      <w:lang w:val="en-US" w:eastAsia="zh-CN" w:bidi="ar-SA"/>
                    </w:rPr>
                    <w:t>空间布</w:t>
                  </w:r>
                </w:p>
                <w:p w14:paraId="77D95F67">
                  <w:pPr>
                    <w:pStyle w:val="90"/>
                    <w:widowControl/>
                    <w:spacing w:line="240" w:lineRule="auto"/>
                    <w:ind w:firstLine="0" w:firstLineChars="0"/>
                    <w:jc w:val="center"/>
                    <w:rPr>
                      <w:rFonts w:hint="eastAsia" w:ascii="Times New Roman" w:hAnsi="Times New Roman" w:eastAsia="宋体" w:cs="Times New Roman"/>
                      <w:b w:val="0"/>
                      <w:bCs w:val="0"/>
                      <w:color w:val="auto"/>
                      <w:sz w:val="21"/>
                      <w:szCs w:val="21"/>
                      <w:vertAlign w:val="baseline"/>
                      <w:lang w:val="en-US" w:eastAsia="zh-CN"/>
                    </w:rPr>
                  </w:pPr>
                  <w:r>
                    <w:rPr>
                      <w:rStyle w:val="30"/>
                      <w:rFonts w:hint="default" w:ascii="Times New Roman" w:hAnsi="Times New Roman" w:eastAsia="宋体" w:cs="Times New Roman"/>
                      <w:color w:val="auto"/>
                      <w:kern w:val="2"/>
                      <w:sz w:val="21"/>
                      <w:szCs w:val="21"/>
                      <w:lang w:val="en-US" w:eastAsia="zh-CN" w:bidi="ar-SA"/>
                    </w:rPr>
                    <w:t>局约束</w:t>
                  </w:r>
                </w:p>
              </w:tc>
              <w:tc>
                <w:tcPr>
                  <w:tcW w:w="2429" w:type="pct"/>
                  <w:noWrap w:val="0"/>
                  <w:vAlign w:val="center"/>
                </w:tcPr>
                <w:p w14:paraId="2BCDC2D1">
                  <w:p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禁止开发建设活动的要求</w:t>
                  </w:r>
                </w:p>
                <w:p w14:paraId="5F2A4066">
                  <w:p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限制开发建设活动的要求</w:t>
                  </w:r>
                </w:p>
                <w:p w14:paraId="60865D43">
                  <w:p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允许开发建设活动的要求</w:t>
                  </w:r>
                </w:p>
                <w:p w14:paraId="352A32C7">
                  <w:p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不符合空间布局要求活动的退出要求</w:t>
                  </w:r>
                </w:p>
                <w:p w14:paraId="07859349">
                  <w:p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其他空间布局约束要求</w:t>
                  </w:r>
                </w:p>
              </w:tc>
              <w:tc>
                <w:tcPr>
                  <w:tcW w:w="942" w:type="pct"/>
                  <w:noWrap w:val="0"/>
                  <w:vAlign w:val="center"/>
                </w:tcPr>
                <w:p w14:paraId="306C392C">
                  <w:p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项目主要进行废矿物油贮存工作</w:t>
                  </w:r>
                  <w:r>
                    <w:rPr>
                      <w:rFonts w:hint="eastAsia" w:cs="Times New Roman"/>
                      <w:b w:val="0"/>
                      <w:bCs w:val="0"/>
                      <w:color w:val="auto"/>
                      <w:sz w:val="21"/>
                      <w:szCs w:val="21"/>
                      <w:vertAlign w:val="baseline"/>
                      <w:lang w:val="en-US" w:eastAsia="zh-CN"/>
                    </w:rPr>
                    <w:t>，</w:t>
                  </w:r>
                  <w:r>
                    <w:rPr>
                      <w:rFonts w:hint="eastAsia" w:ascii="Times New Roman" w:hAnsi="Times New Roman" w:eastAsia="宋体" w:cs="Times New Roman"/>
                      <w:b w:val="0"/>
                      <w:bCs w:val="0"/>
                      <w:color w:val="auto"/>
                      <w:sz w:val="21"/>
                      <w:szCs w:val="21"/>
                      <w:vertAlign w:val="baseline"/>
                      <w:lang w:val="en-US" w:eastAsia="zh-CN"/>
                    </w:rPr>
                    <w:t>符合空间布局约束要求</w:t>
                  </w:r>
                  <w:r>
                    <w:rPr>
                      <w:rFonts w:hint="eastAsia" w:cs="Times New Roman"/>
                      <w:b w:val="0"/>
                      <w:bCs w:val="0"/>
                      <w:color w:val="auto"/>
                      <w:sz w:val="21"/>
                      <w:szCs w:val="21"/>
                      <w:vertAlign w:val="baseline"/>
                      <w:lang w:val="en-US" w:eastAsia="zh-CN"/>
                    </w:rPr>
                    <w:t>，属于园区允许开发建设项目。</w:t>
                  </w:r>
                </w:p>
              </w:tc>
              <w:tc>
                <w:tcPr>
                  <w:tcW w:w="332" w:type="pct"/>
                  <w:noWrap w:val="0"/>
                  <w:vAlign w:val="center"/>
                </w:tcPr>
                <w:p w14:paraId="7A496CD4">
                  <w:pPr>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eastAsia="zh-CN"/>
                    </w:rPr>
                    <w:t>符合</w:t>
                  </w:r>
                </w:p>
              </w:tc>
            </w:tr>
          </w:tbl>
          <w:p w14:paraId="633EBB9B">
            <w:pPr>
              <w:tabs>
                <w:tab w:val="left" w:pos="7770"/>
              </w:tabs>
              <w:spacing w:line="360" w:lineRule="auto"/>
              <w:ind w:firstLine="480" w:firstLineChars="200"/>
              <w:jc w:val="both"/>
              <w:rPr>
                <w:rFonts w:hint="eastAsia" w:ascii="Times New Roman" w:hAnsi="Times New Roman" w:eastAsia="宋体" w:cs="Times New Roman"/>
                <w:b/>
                <w:bCs/>
                <w:color w:val="auto"/>
                <w:sz w:val="28"/>
                <w:szCs w:val="28"/>
                <w:vertAlign w:val="baseline"/>
                <w:lang w:val="en-US" w:eastAsia="zh-CN"/>
              </w:rPr>
            </w:pPr>
            <w:r>
              <w:rPr>
                <w:rFonts w:hint="eastAsia" w:ascii="Times New Roman" w:hAnsi="Times New Roman" w:eastAsia="宋体" w:cs="Times New Roman"/>
                <w:b w:val="0"/>
                <w:bCs w:val="0"/>
                <w:color w:val="auto"/>
                <w:sz w:val="24"/>
                <w:szCs w:val="24"/>
                <w:vertAlign w:val="baseline"/>
                <w:lang w:val="en-US" w:eastAsia="zh-CN"/>
              </w:rPr>
              <w:t>综上，本项目建设选址与遂宁市“三线一单”生态环境分区管控相关要求相符。</w:t>
            </w:r>
          </w:p>
        </w:tc>
      </w:tr>
    </w:tbl>
    <w:p w14:paraId="7C2A3C00">
      <w:pPr>
        <w:tabs>
          <w:tab w:val="left" w:pos="7770"/>
        </w:tabs>
        <w:spacing w:line="360" w:lineRule="auto"/>
        <w:jc w:val="center"/>
        <w:rPr>
          <w:rFonts w:hint="eastAsia" w:ascii="Times New Roman" w:hAnsi="Times New Roman" w:eastAsia="宋体" w:cs="Times New Roman"/>
          <w:b/>
          <w:bCs/>
          <w:color w:val="auto"/>
          <w:sz w:val="28"/>
          <w:szCs w:val="28"/>
          <w:lang w:val="en-US" w:eastAsia="zh-CN"/>
        </w:rPr>
        <w:sectPr>
          <w:pgSz w:w="16838" w:h="11906" w:orient="landscape"/>
          <w:pgMar w:top="1417" w:right="1587" w:bottom="1417" w:left="1587" w:header="851" w:footer="992" w:gutter="0"/>
          <w:pgBorders>
            <w:top w:val="none" w:sz="0" w:space="0"/>
            <w:left w:val="none" w:sz="0" w:space="0"/>
            <w:bottom w:val="none" w:sz="0" w:space="0"/>
            <w:right w:val="none" w:sz="0" w:space="0"/>
          </w:pgBorders>
          <w:pgNumType w:fmt="decimal"/>
          <w:cols w:space="0" w:num="1"/>
          <w:rtlGutter w:val="0"/>
          <w:docGrid w:type="lines" w:linePitch="312" w:charSpace="0"/>
        </w:sectPr>
      </w:pPr>
    </w:p>
    <w:p w14:paraId="775C1A47">
      <w:pPr>
        <w:tabs>
          <w:tab w:val="left" w:pos="7770"/>
        </w:tabs>
        <w:spacing w:line="360" w:lineRule="auto"/>
        <w:jc w:val="center"/>
        <w:rPr>
          <w:rFonts w:hint="default" w:ascii="Times New Roman" w:hAnsi="Times New Roman" w:eastAsia="宋体" w:cs="Times New Roman"/>
          <w:b/>
          <w:bCs/>
          <w:color w:val="auto"/>
          <w:sz w:val="28"/>
          <w:szCs w:val="28"/>
          <w:lang w:val="en-US" w:eastAsia="zh-CN"/>
        </w:rPr>
      </w:pPr>
      <w:r>
        <w:rPr>
          <w:rFonts w:hint="eastAsia" w:ascii="Times New Roman" w:hAnsi="Times New Roman" w:eastAsia="宋体" w:cs="Times New Roman"/>
          <w:b/>
          <w:bCs/>
          <w:color w:val="auto"/>
          <w:sz w:val="28"/>
          <w:szCs w:val="28"/>
          <w:lang w:val="en-US" w:eastAsia="zh-CN"/>
        </w:rPr>
        <w:t>二</w:t>
      </w:r>
      <w:r>
        <w:rPr>
          <w:rFonts w:hint="eastAsia" w:cs="Times New Roman"/>
          <w:b/>
          <w:bCs/>
          <w:color w:val="auto"/>
          <w:sz w:val="28"/>
          <w:szCs w:val="28"/>
          <w:lang w:val="en-US" w:eastAsia="zh-CN"/>
        </w:rPr>
        <w:t>、</w:t>
      </w:r>
      <w:r>
        <w:rPr>
          <w:rFonts w:hint="eastAsia" w:ascii="Times New Roman" w:hAnsi="Times New Roman" w:eastAsia="宋体" w:cs="Times New Roman"/>
          <w:b/>
          <w:bCs/>
          <w:color w:val="auto"/>
          <w:sz w:val="28"/>
          <w:szCs w:val="28"/>
          <w:lang w:val="en-US" w:eastAsia="zh-CN"/>
        </w:rPr>
        <w:t>建设内容</w:t>
      </w:r>
    </w:p>
    <w:tbl>
      <w:tblPr>
        <w:tblStyle w:val="28"/>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10"/>
        <w:gridCol w:w="8644"/>
      </w:tblGrid>
      <w:tr w14:paraId="32BCC9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3" w:hRule="atLeast"/>
          <w:jc w:val="center"/>
        </w:trPr>
        <w:tc>
          <w:tcPr>
            <w:tcW w:w="1210" w:type="dxa"/>
            <w:noWrap w:val="0"/>
            <w:vAlign w:val="center"/>
          </w:tcPr>
          <w:p w14:paraId="6B427C89">
            <w:pPr>
              <w:spacing w:line="360" w:lineRule="auto"/>
              <w:jc w:val="center"/>
              <w:rPr>
                <w:rFonts w:hint="default" w:ascii="Times New Roman" w:hAnsi="Times New Roman" w:eastAsia="宋体" w:cs="Times New Roman"/>
                <w:b/>
                <w:bCs/>
                <w:color w:val="auto"/>
                <w:sz w:val="24"/>
                <w:szCs w:val="24"/>
                <w:lang w:val="en-US" w:eastAsia="zh-CN"/>
              </w:rPr>
            </w:pPr>
            <w:r>
              <w:rPr>
                <w:rFonts w:hint="default" w:ascii="Times New Roman" w:hAnsi="Times New Roman" w:eastAsia="宋体" w:cs="Times New Roman"/>
                <w:b/>
                <w:bCs/>
                <w:color w:val="auto"/>
                <w:sz w:val="24"/>
                <w:szCs w:val="24"/>
                <w:lang w:val="en-US" w:eastAsia="zh-CN"/>
              </w:rPr>
              <w:t>建设</w:t>
            </w:r>
          </w:p>
          <w:p w14:paraId="69B6915A">
            <w:pPr>
              <w:spacing w:line="360" w:lineRule="auto"/>
              <w:jc w:val="center"/>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b/>
                <w:bCs/>
                <w:color w:val="auto"/>
                <w:sz w:val="24"/>
                <w:szCs w:val="24"/>
                <w:lang w:val="en-US" w:eastAsia="zh-CN"/>
              </w:rPr>
              <w:t>内容</w:t>
            </w:r>
          </w:p>
        </w:tc>
        <w:tc>
          <w:tcPr>
            <w:tcW w:w="8644" w:type="dxa"/>
            <w:noWrap w:val="0"/>
            <w:vAlign w:val="center"/>
          </w:tcPr>
          <w:p w14:paraId="0D906727">
            <w:pPr>
              <w:keepNext w:val="0"/>
              <w:keepLines w:val="0"/>
              <w:pageBreakBefore w:val="0"/>
              <w:widowControl w:val="0"/>
              <w:numPr>
                <w:ilvl w:val="0"/>
                <w:numId w:val="27"/>
              </w:numPr>
              <w:kinsoku/>
              <w:wordWrap/>
              <w:overflowPunct/>
              <w:topLinePunct w:val="0"/>
              <w:autoSpaceDE/>
              <w:autoSpaceDN/>
              <w:bidi w:val="0"/>
              <w:adjustRightInd/>
              <w:snapToGrid/>
              <w:spacing w:line="360" w:lineRule="auto"/>
              <w:jc w:val="both"/>
              <w:textAlignment w:val="auto"/>
              <w:rPr>
                <w:rFonts w:hint="default" w:ascii="Times New Roman" w:hAnsi="Times New Roman" w:eastAsia="宋体" w:cs="Times New Roman"/>
                <w:b/>
                <w:bCs/>
                <w:color w:val="auto"/>
                <w:sz w:val="24"/>
                <w:szCs w:val="24"/>
                <w:lang w:val="en-US" w:eastAsia="zh-CN"/>
              </w:rPr>
            </w:pPr>
            <w:r>
              <w:rPr>
                <w:rFonts w:hint="default" w:ascii="Times New Roman" w:hAnsi="Times New Roman" w:eastAsia="宋体" w:cs="Times New Roman"/>
                <w:b/>
                <w:bCs/>
                <w:color w:val="auto"/>
                <w:sz w:val="24"/>
                <w:szCs w:val="24"/>
                <w:lang w:val="en-US" w:eastAsia="zh-CN"/>
              </w:rPr>
              <w:t>项目由来</w:t>
            </w:r>
          </w:p>
          <w:p w14:paraId="5F1DBDA6">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b w:val="0"/>
                <w:bCs w:val="0"/>
                <w:color w:val="auto"/>
                <w:sz w:val="24"/>
                <w:szCs w:val="24"/>
                <w:lang w:val="en-US" w:eastAsia="zh-CN"/>
              </w:rPr>
            </w:pPr>
            <w:r>
              <w:rPr>
                <w:rFonts w:hint="eastAsia" w:cs="Times New Roman"/>
                <w:b w:val="0"/>
                <w:bCs w:val="0"/>
                <w:color w:val="auto"/>
                <w:sz w:val="24"/>
                <w:szCs w:val="24"/>
                <w:lang w:val="en-US" w:eastAsia="zh-CN"/>
              </w:rPr>
              <w:t>四川盛鸿杰荣再生资源回收有限公司成立于2023年05月，注册地位于遂宁市安居区演化寺机械工业园红卫桥段（1号仓库）内，主要从事再生资源回收（除生产性废旧金属）；再生资源加工；固体废物治理。2023年05月四川盛鸿杰荣再生资源回收有限公司租赁遂宁柔刚投资集团有限公司所属已建标准厂房（1号仓库）作为生产场所，建设“遂宁市安居区废矿物油收集及转运建设项目”。</w:t>
            </w:r>
          </w:p>
          <w:p w14:paraId="74CAFD37">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b w:val="0"/>
                <w:bCs w:val="0"/>
                <w:color w:val="auto"/>
                <w:sz w:val="24"/>
                <w:szCs w:val="24"/>
                <w:lang w:val="en-US" w:eastAsia="zh-CN"/>
              </w:rPr>
            </w:pPr>
            <w:r>
              <w:rPr>
                <w:rFonts w:hint="eastAsia" w:cs="Times New Roman"/>
                <w:b w:val="0"/>
                <w:bCs w:val="0"/>
                <w:color w:val="auto"/>
                <w:sz w:val="24"/>
                <w:szCs w:val="24"/>
                <w:lang w:val="en-US" w:eastAsia="zh-CN"/>
              </w:rPr>
              <w:t>“遂宁市安居区废矿物油收集及转运建设项目”建筑面积145平方米，为单层钢结构；总投资100万元，主要设置有2个50m</w:t>
            </w:r>
            <w:r>
              <w:rPr>
                <w:rFonts w:hint="eastAsia" w:cs="Times New Roman"/>
                <w:b w:val="0"/>
                <w:bCs w:val="0"/>
                <w:color w:val="auto"/>
                <w:sz w:val="24"/>
                <w:szCs w:val="24"/>
                <w:vertAlign w:val="superscript"/>
                <w:lang w:val="en-US" w:eastAsia="zh-CN"/>
              </w:rPr>
              <w:t>3</w:t>
            </w:r>
            <w:r>
              <w:rPr>
                <w:rFonts w:hint="eastAsia" w:cs="Times New Roman"/>
                <w:b w:val="0"/>
                <w:bCs w:val="0"/>
                <w:color w:val="auto"/>
                <w:sz w:val="24"/>
                <w:szCs w:val="24"/>
                <w:lang w:val="en-US" w:eastAsia="zh-CN"/>
              </w:rPr>
              <w:t>储罐、2个输油泵，配套转运车辆等设施；建成后，预计收集及转运废矿物油约1500t/a。</w:t>
            </w:r>
          </w:p>
          <w:p w14:paraId="42A3E56F">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根据《中华人民共和国环境影响评价法》</w:t>
            </w:r>
            <w:r>
              <w:rPr>
                <w:rFonts w:hint="eastAsia" w:ascii="Times New Roman" w:hAnsi="Times New Roman" w:eastAsia="宋体" w:cs="Times New Roman"/>
                <w:b w:val="0"/>
                <w:bCs w:val="0"/>
                <w:color w:val="auto"/>
                <w:sz w:val="24"/>
                <w:szCs w:val="24"/>
                <w:lang w:val="en-US" w:eastAsia="zh-CN"/>
              </w:rPr>
              <w:t>及</w:t>
            </w:r>
            <w:r>
              <w:rPr>
                <w:rFonts w:hint="default" w:ascii="Times New Roman" w:hAnsi="Times New Roman" w:eastAsia="宋体" w:cs="Times New Roman"/>
                <w:b w:val="0"/>
                <w:bCs w:val="0"/>
                <w:color w:val="auto"/>
                <w:sz w:val="24"/>
                <w:szCs w:val="24"/>
                <w:lang w:val="en-US" w:eastAsia="zh-CN"/>
              </w:rPr>
              <w:t>《建设项目环境保护管理条例》中有关规定</w:t>
            </w:r>
            <w:r>
              <w:rPr>
                <w:rFonts w:hint="eastAsia" w:cs="Times New Roman"/>
                <w:b w:val="0"/>
                <w:bCs w:val="0"/>
                <w:color w:val="auto"/>
                <w:sz w:val="24"/>
                <w:szCs w:val="24"/>
                <w:lang w:val="en-US" w:eastAsia="zh-CN"/>
              </w:rPr>
              <w:t>，</w:t>
            </w:r>
            <w:r>
              <w:rPr>
                <w:rFonts w:hint="eastAsia" w:eastAsia="宋体" w:cs="Times New Roman"/>
                <w:b w:val="0"/>
                <w:bCs w:val="0"/>
                <w:color w:val="auto"/>
                <w:sz w:val="24"/>
                <w:szCs w:val="24"/>
                <w:lang w:val="en-US" w:eastAsia="zh-CN"/>
              </w:rPr>
              <w:t>本</w:t>
            </w:r>
            <w:r>
              <w:rPr>
                <w:rFonts w:hint="default" w:ascii="Times New Roman" w:hAnsi="Times New Roman" w:eastAsia="宋体" w:cs="Times New Roman"/>
                <w:b w:val="0"/>
                <w:bCs w:val="0"/>
                <w:color w:val="auto"/>
                <w:sz w:val="24"/>
                <w:szCs w:val="24"/>
                <w:lang w:val="en-US" w:eastAsia="zh-CN"/>
              </w:rPr>
              <w:t>项目应进行环境影响评价</w:t>
            </w:r>
            <w:r>
              <w:rPr>
                <w:rFonts w:hint="eastAsia" w:ascii="Times New Roman" w:hAnsi="Times New Roman" w:eastAsia="宋体" w:cs="Times New Roman"/>
                <w:b w:val="0"/>
                <w:bCs w:val="0"/>
                <w:color w:val="auto"/>
                <w:sz w:val="24"/>
                <w:szCs w:val="24"/>
                <w:lang w:val="en-US" w:eastAsia="zh-CN"/>
              </w:rPr>
              <w:t>；同时</w:t>
            </w:r>
            <w:r>
              <w:rPr>
                <w:rFonts w:hint="eastAsia"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根据《建设项目环境影响评价分类管理名录</w:t>
            </w:r>
            <w:r>
              <w:rPr>
                <w:rFonts w:hint="eastAsia" w:ascii="Times New Roman" w:hAnsi="Times New Roman" w:eastAsia="宋体" w:cs="Times New Roman"/>
                <w:b w:val="0"/>
                <w:bCs w:val="0"/>
                <w:color w:val="auto"/>
                <w:sz w:val="24"/>
                <w:szCs w:val="24"/>
                <w:lang w:val="en-US" w:eastAsia="zh-CN"/>
              </w:rPr>
              <w:t>（2021年版</w:t>
            </w:r>
            <w:r>
              <w:rPr>
                <w:rFonts w:hint="eastAsia"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w:t>
            </w:r>
            <w:r>
              <w:rPr>
                <w:rFonts w:hint="eastAsia" w:ascii="Times New Roman" w:hAnsi="Times New Roman" w:eastAsia="宋体" w:cs="Times New Roman"/>
                <w:b w:val="0"/>
                <w:bCs w:val="0"/>
                <w:color w:val="auto"/>
                <w:sz w:val="24"/>
                <w:szCs w:val="24"/>
                <w:lang w:val="en-US" w:eastAsia="zh-CN"/>
              </w:rPr>
              <w:t>中相关内容</w:t>
            </w:r>
            <w:r>
              <w:rPr>
                <w:rFonts w:hint="eastAsia"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项目类别</w:t>
            </w:r>
            <w:r>
              <w:rPr>
                <w:rFonts w:hint="eastAsia" w:ascii="Times New Roman" w:hAnsi="Times New Roman" w:eastAsia="宋体" w:cs="Times New Roman"/>
                <w:b w:val="0"/>
                <w:bCs w:val="0"/>
                <w:color w:val="auto"/>
                <w:sz w:val="24"/>
                <w:szCs w:val="24"/>
                <w:lang w:val="en-US" w:eastAsia="zh-CN"/>
              </w:rPr>
              <w:t>属于</w:t>
            </w:r>
            <w:r>
              <w:rPr>
                <w:rFonts w:hint="eastAsia" w:cs="Times New Roman"/>
                <w:b w:val="0"/>
                <w:bCs w:val="0"/>
                <w:color w:val="auto"/>
                <w:sz w:val="24"/>
                <w:szCs w:val="24"/>
                <w:lang w:val="en-US" w:eastAsia="zh-CN"/>
              </w:rPr>
              <w:t>：五十三、装卸搬运和仓储业59-149危险品仓储594（不含加油站的油库；不含加气站的气库）—其他（含有毒、有害、危险品的仓储；含液化天然气库）”</w:t>
            </w:r>
            <w:r>
              <w:rPr>
                <w:rFonts w:hint="eastAsia" w:ascii="Times New Roman" w:hAnsi="Times New Roman" w:eastAsia="宋体"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因此</w:t>
            </w:r>
            <w:r>
              <w:rPr>
                <w:rFonts w:hint="eastAsia"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应编制环境影响报告表</w:t>
            </w:r>
            <w:r>
              <w:rPr>
                <w:rFonts w:hint="eastAsia"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由此</w:t>
            </w:r>
            <w:r>
              <w:rPr>
                <w:rFonts w:hint="eastAsia"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受</w:t>
            </w:r>
            <w:r>
              <w:rPr>
                <w:rFonts w:hint="eastAsia" w:cs="Times New Roman"/>
                <w:b w:val="0"/>
                <w:bCs w:val="0"/>
                <w:color w:val="auto"/>
                <w:sz w:val="24"/>
                <w:szCs w:val="24"/>
                <w:lang w:val="en-US" w:eastAsia="zh-CN"/>
              </w:rPr>
              <w:t>本</w:t>
            </w:r>
            <w:r>
              <w:rPr>
                <w:rFonts w:hint="default" w:ascii="Times New Roman" w:hAnsi="Times New Roman" w:eastAsia="宋体" w:cs="Times New Roman"/>
                <w:b w:val="0"/>
                <w:bCs w:val="0"/>
                <w:color w:val="auto"/>
                <w:sz w:val="24"/>
                <w:szCs w:val="24"/>
                <w:lang w:val="en-US" w:eastAsia="zh-CN"/>
              </w:rPr>
              <w:t>项目业主</w:t>
            </w:r>
            <w:r>
              <w:rPr>
                <w:rFonts w:hint="eastAsia" w:cs="Times New Roman"/>
                <w:b w:val="0"/>
                <w:bCs w:val="0"/>
                <w:color w:val="auto"/>
                <w:sz w:val="24"/>
                <w:szCs w:val="24"/>
                <w:lang w:val="en-US" w:eastAsia="zh-CN"/>
              </w:rPr>
              <w:t>四川盛鸿杰荣再生资源回收有限公司</w:t>
            </w:r>
            <w:r>
              <w:rPr>
                <w:rFonts w:hint="default" w:ascii="Times New Roman" w:hAnsi="Times New Roman" w:eastAsia="宋体" w:cs="Times New Roman"/>
                <w:b w:val="0"/>
                <w:bCs w:val="0"/>
                <w:color w:val="auto"/>
                <w:sz w:val="24"/>
                <w:szCs w:val="24"/>
                <w:lang w:val="en-US" w:eastAsia="zh-CN"/>
              </w:rPr>
              <w:t>委托</w:t>
            </w:r>
            <w:r>
              <w:rPr>
                <w:rFonts w:hint="eastAsia"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四川新云蓝天环保科技有限公司接受了该项目环境影响报告表编制工作</w:t>
            </w:r>
            <w:r>
              <w:rPr>
                <w:rFonts w:hint="eastAsia"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并开展了现场踏勘、资料收集、整理工作</w:t>
            </w:r>
            <w:r>
              <w:rPr>
                <w:rFonts w:hint="eastAsia" w:ascii="Times New Roman" w:hAnsi="Times New Roman" w:eastAsia="宋体"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评价单位在掌握了充分的资料数据基础上</w:t>
            </w:r>
            <w:r>
              <w:rPr>
                <w:rFonts w:hint="eastAsia"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按照有关技术规范要求</w:t>
            </w:r>
            <w:r>
              <w:rPr>
                <w:rFonts w:hint="eastAsia"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编制了项目环境影响报告表。</w:t>
            </w:r>
          </w:p>
          <w:p w14:paraId="235AFA71">
            <w:pPr>
              <w:keepNext w:val="0"/>
              <w:keepLines w:val="0"/>
              <w:pageBreakBefore w:val="0"/>
              <w:widowControl w:val="0"/>
              <w:numPr>
                <w:ilvl w:val="0"/>
                <w:numId w:val="27"/>
              </w:numPr>
              <w:kinsoku/>
              <w:wordWrap/>
              <w:overflowPunct/>
              <w:topLinePunct w:val="0"/>
              <w:autoSpaceDE/>
              <w:autoSpaceDN/>
              <w:bidi w:val="0"/>
              <w:adjustRightInd/>
              <w:snapToGrid/>
              <w:spacing w:line="360" w:lineRule="auto"/>
              <w:ind w:left="0" w:leftChars="0" w:firstLine="0" w:firstLineChars="0"/>
              <w:jc w:val="both"/>
              <w:textAlignment w:val="auto"/>
              <w:rPr>
                <w:rFonts w:hint="default" w:ascii="Times New Roman" w:hAnsi="Times New Roman" w:eastAsia="宋体" w:cs="Times New Roman"/>
                <w:b/>
                <w:bCs/>
                <w:color w:val="auto"/>
                <w:sz w:val="24"/>
                <w:szCs w:val="24"/>
                <w:lang w:val="en-US" w:eastAsia="zh-CN"/>
              </w:rPr>
            </w:pPr>
            <w:r>
              <w:rPr>
                <w:rFonts w:hint="default" w:ascii="Times New Roman" w:hAnsi="Times New Roman" w:eastAsia="宋体" w:cs="Times New Roman"/>
                <w:b/>
                <w:bCs/>
                <w:color w:val="auto"/>
                <w:sz w:val="24"/>
                <w:szCs w:val="24"/>
                <w:lang w:val="en-US" w:eastAsia="zh-CN"/>
              </w:rPr>
              <w:t>项目概况</w:t>
            </w:r>
          </w:p>
          <w:p w14:paraId="3653A665">
            <w:pPr>
              <w:keepNext w:val="0"/>
              <w:keepLines w:val="0"/>
              <w:pageBreakBefore w:val="0"/>
              <w:widowControl w:val="0"/>
              <w:numPr>
                <w:ilvl w:val="0"/>
                <w:numId w:val="28"/>
              </w:numPr>
              <w:kinsoku/>
              <w:wordWrap/>
              <w:overflowPunct/>
              <w:topLinePunct w:val="0"/>
              <w:autoSpaceDE/>
              <w:autoSpaceDN/>
              <w:bidi w:val="0"/>
              <w:adjustRightInd/>
              <w:snapToGrid/>
              <w:spacing w:line="360" w:lineRule="auto"/>
              <w:ind w:firstLine="482" w:firstLineChars="200"/>
              <w:jc w:val="both"/>
              <w:textAlignment w:val="auto"/>
              <w:rPr>
                <w:rFonts w:hint="default" w:ascii="Times New Roman" w:hAnsi="Times New Roman" w:eastAsia="宋体" w:cs="Times New Roman"/>
                <w:b/>
                <w:bCs/>
                <w:color w:val="auto"/>
                <w:sz w:val="24"/>
                <w:szCs w:val="24"/>
                <w:lang w:val="en-US" w:eastAsia="zh-CN"/>
              </w:rPr>
            </w:pPr>
            <w:r>
              <w:rPr>
                <w:rFonts w:hint="default" w:ascii="Times New Roman" w:hAnsi="Times New Roman" w:eastAsia="宋体" w:cs="Times New Roman"/>
                <w:b/>
                <w:bCs/>
                <w:color w:val="auto"/>
                <w:sz w:val="24"/>
                <w:szCs w:val="24"/>
                <w:lang w:val="en-US" w:eastAsia="zh-CN"/>
              </w:rPr>
              <w:t>项目名称</w:t>
            </w:r>
            <w:r>
              <w:rPr>
                <w:rFonts w:hint="eastAsia" w:cs="Times New Roman"/>
                <w:b/>
                <w:bCs/>
                <w:color w:val="auto"/>
                <w:sz w:val="24"/>
                <w:szCs w:val="24"/>
                <w:lang w:val="en-US" w:eastAsia="zh-CN"/>
              </w:rPr>
              <w:t>、</w:t>
            </w:r>
            <w:r>
              <w:rPr>
                <w:rFonts w:hint="default" w:ascii="Times New Roman" w:hAnsi="Times New Roman" w:eastAsia="宋体" w:cs="Times New Roman"/>
                <w:b/>
                <w:bCs/>
                <w:color w:val="auto"/>
                <w:sz w:val="24"/>
                <w:szCs w:val="24"/>
                <w:lang w:val="en-US" w:eastAsia="zh-CN"/>
              </w:rPr>
              <w:t>性质</w:t>
            </w:r>
          </w:p>
          <w:p w14:paraId="2CC0E0E8">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项目名称</w:t>
            </w:r>
            <w:r>
              <w:rPr>
                <w:rFonts w:hint="eastAsia" w:cs="Times New Roman"/>
                <w:b w:val="0"/>
                <w:bCs w:val="0"/>
                <w:color w:val="auto"/>
                <w:sz w:val="24"/>
                <w:szCs w:val="24"/>
                <w:lang w:val="en-US" w:eastAsia="zh-CN"/>
              </w:rPr>
              <w:t>：遂宁市安居区废矿物油收集及转运建设项目</w:t>
            </w:r>
          </w:p>
          <w:p w14:paraId="441DFCD0">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建设性质</w:t>
            </w:r>
            <w:r>
              <w:rPr>
                <w:rFonts w:hint="eastAsia"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新建</w:t>
            </w:r>
          </w:p>
          <w:p w14:paraId="71E28D8C">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建设地点</w:t>
            </w:r>
            <w:r>
              <w:rPr>
                <w:rFonts w:hint="eastAsia" w:cs="Times New Roman"/>
                <w:b w:val="0"/>
                <w:bCs w:val="0"/>
                <w:color w:val="auto"/>
                <w:sz w:val="24"/>
                <w:szCs w:val="24"/>
                <w:lang w:val="en-US" w:eastAsia="zh-CN"/>
              </w:rPr>
              <w:t>：遂宁市安居区演化寺机械工业园红卫桥段（1号仓库）</w:t>
            </w:r>
            <w:r>
              <w:rPr>
                <w:rFonts w:hint="default" w:ascii="Times New Roman" w:hAnsi="Times New Roman" w:eastAsia="宋体" w:cs="Times New Roman"/>
                <w:b w:val="0"/>
                <w:bCs w:val="0"/>
                <w:color w:val="auto"/>
                <w:sz w:val="24"/>
                <w:szCs w:val="24"/>
                <w:lang w:val="en-US" w:eastAsia="zh-CN"/>
              </w:rPr>
              <w:t xml:space="preserve">（地理坐标E </w:t>
            </w:r>
            <w:r>
              <w:rPr>
                <w:rFonts w:hint="eastAsia" w:cs="Times New Roman"/>
                <w:b w:val="0"/>
                <w:bCs w:val="0"/>
                <w:color w:val="auto"/>
                <w:sz w:val="24"/>
                <w:szCs w:val="24"/>
                <w:lang w:val="en-US" w:eastAsia="zh-CN"/>
              </w:rPr>
              <w:t>105.48108280，</w:t>
            </w:r>
            <w:r>
              <w:rPr>
                <w:rFonts w:hint="default" w:ascii="Times New Roman" w:hAnsi="Times New Roman" w:eastAsia="宋体" w:cs="Times New Roman"/>
                <w:b w:val="0"/>
                <w:bCs w:val="0"/>
                <w:color w:val="auto"/>
                <w:sz w:val="24"/>
                <w:szCs w:val="24"/>
                <w:lang w:val="en-US" w:eastAsia="zh-CN"/>
              </w:rPr>
              <w:t>N</w:t>
            </w:r>
            <w:r>
              <w:rPr>
                <w:rFonts w:hint="eastAsia" w:cs="Times New Roman"/>
                <w:b w:val="0"/>
                <w:bCs w:val="0"/>
                <w:color w:val="auto"/>
                <w:sz w:val="24"/>
                <w:szCs w:val="24"/>
                <w:lang w:val="en-US" w:eastAsia="zh-CN"/>
              </w:rPr>
              <w:t xml:space="preserve"> 30.36681210）</w:t>
            </w:r>
          </w:p>
          <w:p w14:paraId="71BE26A8">
            <w:pPr>
              <w:keepNext w:val="0"/>
              <w:keepLines w:val="0"/>
              <w:pageBreakBefore w:val="0"/>
              <w:widowControl w:val="0"/>
              <w:numPr>
                <w:ilvl w:val="0"/>
                <w:numId w:val="28"/>
              </w:numPr>
              <w:kinsoku/>
              <w:wordWrap/>
              <w:overflowPunct/>
              <w:topLinePunct w:val="0"/>
              <w:autoSpaceDE/>
              <w:autoSpaceDN/>
              <w:bidi w:val="0"/>
              <w:adjustRightInd/>
              <w:snapToGrid/>
              <w:spacing w:line="360" w:lineRule="auto"/>
              <w:ind w:left="0" w:leftChars="0" w:firstLine="482" w:firstLineChars="200"/>
              <w:jc w:val="both"/>
              <w:textAlignment w:val="auto"/>
              <w:rPr>
                <w:rFonts w:hint="eastAsia" w:cs="Times New Roman"/>
                <w:color w:val="auto"/>
                <w:sz w:val="24"/>
                <w:szCs w:val="24"/>
                <w:lang w:val="en-US" w:eastAsia="zh-CN"/>
              </w:rPr>
            </w:pPr>
            <w:r>
              <w:rPr>
                <w:rFonts w:hint="default" w:ascii="Times New Roman" w:hAnsi="Times New Roman" w:eastAsia="宋体" w:cs="Times New Roman"/>
                <w:b/>
                <w:bCs/>
                <w:color w:val="auto"/>
                <w:sz w:val="24"/>
                <w:szCs w:val="24"/>
                <w:lang w:val="en-US" w:eastAsia="zh-CN"/>
              </w:rPr>
              <w:t>主要建设内容</w:t>
            </w:r>
          </w:p>
          <w:p w14:paraId="2A2B7ABF">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r>
              <w:rPr>
                <w:rFonts w:hint="eastAsia" w:cs="Times New Roman"/>
                <w:color w:val="auto"/>
                <w:sz w:val="24"/>
                <w:szCs w:val="24"/>
                <w:lang w:val="en-US" w:eastAsia="zh-CN"/>
              </w:rPr>
              <w:t>本项主要建筑物一览表详见下表。</w:t>
            </w:r>
          </w:p>
          <w:p w14:paraId="4AD48D8C">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eastAsia" w:cs="Times New Roman"/>
                <w:b/>
                <w:bCs/>
                <w:color w:val="auto"/>
                <w:sz w:val="21"/>
                <w:szCs w:val="21"/>
                <w:vertAlign w:val="baseline"/>
                <w:lang w:val="en-US" w:eastAsia="zh-CN"/>
              </w:rPr>
            </w:pPr>
            <w:r>
              <w:rPr>
                <w:rFonts w:hint="eastAsia" w:cs="Times New Roman"/>
                <w:b/>
                <w:bCs/>
                <w:color w:val="auto"/>
                <w:sz w:val="21"/>
                <w:szCs w:val="21"/>
                <w:lang w:val="en-US" w:eastAsia="zh-CN"/>
              </w:rPr>
              <w:t>表2-1 建筑一览表</w:t>
            </w:r>
          </w:p>
          <w:tbl>
            <w:tblPr>
              <w:tblStyle w:val="28"/>
              <w:tblW w:w="842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49"/>
              <w:gridCol w:w="2991"/>
              <w:gridCol w:w="1790"/>
              <w:gridCol w:w="2898"/>
            </w:tblGrid>
            <w:tr w14:paraId="02424C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749" w:type="dxa"/>
                  <w:vAlign w:val="center"/>
                </w:tcPr>
                <w:p w14:paraId="07F09626">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b/>
                      <w:bCs/>
                      <w:color w:val="auto"/>
                      <w:sz w:val="21"/>
                      <w:szCs w:val="21"/>
                      <w:vertAlign w:val="baseline"/>
                      <w:lang w:val="en-US" w:eastAsia="zh-CN"/>
                    </w:rPr>
                  </w:pPr>
                  <w:r>
                    <w:rPr>
                      <w:rFonts w:hint="eastAsia" w:cs="Times New Roman"/>
                      <w:b/>
                      <w:bCs/>
                      <w:color w:val="auto"/>
                      <w:sz w:val="21"/>
                      <w:szCs w:val="21"/>
                      <w:vertAlign w:val="baseline"/>
                      <w:lang w:val="en-US" w:eastAsia="zh-CN"/>
                    </w:rPr>
                    <w:t>序号</w:t>
                  </w:r>
                </w:p>
              </w:tc>
              <w:tc>
                <w:tcPr>
                  <w:tcW w:w="2991" w:type="dxa"/>
                  <w:vAlign w:val="center"/>
                </w:tcPr>
                <w:p w14:paraId="249F9DED">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b/>
                      <w:bCs/>
                      <w:color w:val="auto"/>
                      <w:sz w:val="21"/>
                      <w:szCs w:val="21"/>
                      <w:vertAlign w:val="baseline"/>
                      <w:lang w:val="en-US" w:eastAsia="zh-CN"/>
                    </w:rPr>
                  </w:pPr>
                  <w:r>
                    <w:rPr>
                      <w:rFonts w:hint="eastAsia" w:cs="Times New Roman"/>
                      <w:b/>
                      <w:bCs/>
                      <w:color w:val="auto"/>
                      <w:sz w:val="21"/>
                      <w:szCs w:val="21"/>
                      <w:vertAlign w:val="baseline"/>
                      <w:lang w:val="en-US" w:eastAsia="zh-CN"/>
                    </w:rPr>
                    <w:t>名称</w:t>
                  </w:r>
                </w:p>
              </w:tc>
              <w:tc>
                <w:tcPr>
                  <w:tcW w:w="1790" w:type="dxa"/>
                  <w:vAlign w:val="center"/>
                </w:tcPr>
                <w:p w14:paraId="714ABA09">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b/>
                      <w:bCs/>
                      <w:color w:val="auto"/>
                      <w:sz w:val="21"/>
                      <w:szCs w:val="21"/>
                      <w:vertAlign w:val="baseline"/>
                      <w:lang w:val="en-US" w:eastAsia="zh-CN"/>
                    </w:rPr>
                  </w:pPr>
                  <w:r>
                    <w:rPr>
                      <w:rFonts w:hint="eastAsia" w:cs="Times New Roman"/>
                      <w:b/>
                      <w:bCs/>
                      <w:color w:val="auto"/>
                      <w:sz w:val="21"/>
                      <w:szCs w:val="21"/>
                      <w:vertAlign w:val="baseline"/>
                      <w:lang w:val="en-US" w:eastAsia="zh-CN"/>
                    </w:rPr>
                    <w:t>建筑面积（m</w:t>
                  </w:r>
                  <w:r>
                    <w:rPr>
                      <w:rFonts w:hint="eastAsia" w:cs="Times New Roman"/>
                      <w:b/>
                      <w:bCs/>
                      <w:color w:val="auto"/>
                      <w:sz w:val="21"/>
                      <w:szCs w:val="21"/>
                      <w:vertAlign w:val="superscript"/>
                      <w:lang w:val="en-US" w:eastAsia="zh-CN"/>
                    </w:rPr>
                    <w:t>2</w:t>
                  </w:r>
                  <w:r>
                    <w:rPr>
                      <w:rFonts w:hint="eastAsia" w:cs="Times New Roman"/>
                      <w:b/>
                      <w:bCs/>
                      <w:color w:val="auto"/>
                      <w:sz w:val="21"/>
                      <w:szCs w:val="21"/>
                      <w:vertAlign w:val="baseline"/>
                      <w:lang w:val="en-US" w:eastAsia="zh-CN"/>
                    </w:rPr>
                    <w:t>）</w:t>
                  </w:r>
                </w:p>
              </w:tc>
              <w:tc>
                <w:tcPr>
                  <w:tcW w:w="2898" w:type="dxa"/>
                  <w:vAlign w:val="center"/>
                </w:tcPr>
                <w:p w14:paraId="56D142AD">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b/>
                      <w:bCs/>
                      <w:color w:val="auto"/>
                      <w:sz w:val="21"/>
                      <w:szCs w:val="21"/>
                      <w:vertAlign w:val="baseline"/>
                      <w:lang w:val="en-US" w:eastAsia="zh-CN"/>
                    </w:rPr>
                  </w:pPr>
                  <w:r>
                    <w:rPr>
                      <w:rFonts w:hint="eastAsia" w:cs="Times New Roman"/>
                      <w:b/>
                      <w:bCs/>
                      <w:color w:val="auto"/>
                      <w:sz w:val="21"/>
                      <w:szCs w:val="21"/>
                      <w:vertAlign w:val="baseline"/>
                      <w:lang w:val="en-US" w:eastAsia="zh-CN"/>
                    </w:rPr>
                    <w:t>建筑结构层数及高度（m）</w:t>
                  </w:r>
                </w:p>
              </w:tc>
            </w:tr>
            <w:tr w14:paraId="610821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749" w:type="dxa"/>
                  <w:vAlign w:val="center"/>
                </w:tcPr>
                <w:p w14:paraId="4A6E7D71">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color w:val="auto"/>
                      <w:sz w:val="21"/>
                      <w:szCs w:val="21"/>
                      <w:vertAlign w:val="baseline"/>
                      <w:lang w:val="en-US" w:eastAsia="zh-CN"/>
                    </w:rPr>
                  </w:pPr>
                  <w:r>
                    <w:rPr>
                      <w:rFonts w:hint="eastAsia" w:cs="Times New Roman"/>
                      <w:color w:val="auto"/>
                      <w:sz w:val="21"/>
                      <w:szCs w:val="21"/>
                      <w:vertAlign w:val="baseline"/>
                      <w:lang w:val="en-US" w:eastAsia="zh-CN"/>
                    </w:rPr>
                    <w:t>1</w:t>
                  </w:r>
                </w:p>
              </w:tc>
              <w:tc>
                <w:tcPr>
                  <w:tcW w:w="2991" w:type="dxa"/>
                  <w:vAlign w:val="center"/>
                </w:tcPr>
                <w:p w14:paraId="4FBF2129">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color w:val="auto"/>
                      <w:sz w:val="21"/>
                      <w:szCs w:val="21"/>
                      <w:vertAlign w:val="baseline"/>
                      <w:lang w:val="en-US" w:eastAsia="zh-CN"/>
                    </w:rPr>
                  </w:pPr>
                  <w:r>
                    <w:rPr>
                      <w:rFonts w:hint="eastAsia" w:cs="Times New Roman"/>
                      <w:color w:val="auto"/>
                      <w:sz w:val="21"/>
                      <w:szCs w:val="21"/>
                      <w:vertAlign w:val="baseline"/>
                      <w:lang w:val="en-US" w:eastAsia="zh-CN"/>
                    </w:rPr>
                    <w:t>生产车间</w:t>
                  </w:r>
                </w:p>
              </w:tc>
              <w:tc>
                <w:tcPr>
                  <w:tcW w:w="1790" w:type="dxa"/>
                  <w:vAlign w:val="center"/>
                </w:tcPr>
                <w:p w14:paraId="2CDB0BDF">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cs="Times New Roman"/>
                      <w:color w:val="auto"/>
                      <w:sz w:val="21"/>
                      <w:szCs w:val="21"/>
                      <w:vertAlign w:val="baseline"/>
                      <w:lang w:val="en-US" w:eastAsia="zh-CN"/>
                    </w:rPr>
                  </w:pPr>
                  <w:r>
                    <w:rPr>
                      <w:rFonts w:hint="eastAsia" w:cs="Times New Roman"/>
                      <w:color w:val="auto"/>
                      <w:sz w:val="21"/>
                      <w:szCs w:val="21"/>
                      <w:vertAlign w:val="baseline"/>
                      <w:lang w:val="en-US" w:eastAsia="zh-CN"/>
                    </w:rPr>
                    <w:t>139</w:t>
                  </w:r>
                </w:p>
              </w:tc>
              <w:tc>
                <w:tcPr>
                  <w:tcW w:w="2898" w:type="dxa"/>
                  <w:vAlign w:val="center"/>
                </w:tcPr>
                <w:p w14:paraId="0D1F9977">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color w:val="auto"/>
                      <w:sz w:val="21"/>
                      <w:szCs w:val="21"/>
                      <w:vertAlign w:val="baseline"/>
                      <w:lang w:val="en-US" w:eastAsia="zh-CN"/>
                    </w:rPr>
                  </w:pPr>
                  <w:r>
                    <w:rPr>
                      <w:rFonts w:hint="eastAsia" w:cs="Times New Roman"/>
                      <w:color w:val="auto"/>
                      <w:sz w:val="21"/>
                      <w:szCs w:val="21"/>
                      <w:vertAlign w:val="baseline"/>
                      <w:lang w:val="en-US" w:eastAsia="zh-CN"/>
                    </w:rPr>
                    <w:t>一层，钢结构，10m</w:t>
                  </w:r>
                </w:p>
              </w:tc>
            </w:tr>
            <w:tr w14:paraId="254F1C8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749" w:type="dxa"/>
                  <w:vMerge w:val="restart"/>
                  <w:vAlign w:val="center"/>
                </w:tcPr>
                <w:p w14:paraId="43EDDD98">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color w:val="auto"/>
                      <w:sz w:val="21"/>
                      <w:szCs w:val="21"/>
                      <w:vertAlign w:val="baseline"/>
                      <w:lang w:val="en-US" w:eastAsia="zh-CN"/>
                    </w:rPr>
                  </w:pPr>
                  <w:r>
                    <w:rPr>
                      <w:rFonts w:hint="eastAsia" w:cs="Times New Roman"/>
                      <w:color w:val="auto"/>
                      <w:sz w:val="21"/>
                      <w:szCs w:val="21"/>
                      <w:vertAlign w:val="baseline"/>
                      <w:lang w:val="en-US" w:eastAsia="zh-CN"/>
                    </w:rPr>
                    <w:t>其中</w:t>
                  </w:r>
                </w:p>
              </w:tc>
              <w:tc>
                <w:tcPr>
                  <w:tcW w:w="2991" w:type="dxa"/>
                  <w:vAlign w:val="center"/>
                </w:tcPr>
                <w:p w14:paraId="750A538C">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color w:val="auto"/>
                      <w:sz w:val="21"/>
                      <w:szCs w:val="21"/>
                      <w:vertAlign w:val="baseline"/>
                      <w:lang w:val="en-US" w:eastAsia="zh-CN"/>
                    </w:rPr>
                  </w:pPr>
                  <w:r>
                    <w:rPr>
                      <w:rFonts w:hint="eastAsia" w:cs="Times New Roman"/>
                      <w:color w:val="auto"/>
                      <w:sz w:val="21"/>
                      <w:szCs w:val="21"/>
                      <w:vertAlign w:val="baseline"/>
                      <w:lang w:val="en-US" w:eastAsia="zh-CN"/>
                    </w:rPr>
                    <w:t>检验室</w:t>
                  </w:r>
                </w:p>
              </w:tc>
              <w:tc>
                <w:tcPr>
                  <w:tcW w:w="1790" w:type="dxa"/>
                  <w:vAlign w:val="center"/>
                </w:tcPr>
                <w:p w14:paraId="2344AE1F">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color w:val="auto"/>
                      <w:sz w:val="21"/>
                      <w:szCs w:val="21"/>
                      <w:vertAlign w:val="baseline"/>
                      <w:lang w:val="en-US" w:eastAsia="zh-CN"/>
                    </w:rPr>
                  </w:pPr>
                  <w:r>
                    <w:rPr>
                      <w:rFonts w:hint="eastAsia" w:cs="Times New Roman"/>
                      <w:color w:val="auto"/>
                      <w:sz w:val="21"/>
                      <w:szCs w:val="21"/>
                      <w:vertAlign w:val="baseline"/>
                      <w:lang w:val="en-US" w:eastAsia="zh-CN"/>
                    </w:rPr>
                    <w:t>9</w:t>
                  </w:r>
                </w:p>
              </w:tc>
              <w:tc>
                <w:tcPr>
                  <w:tcW w:w="2898" w:type="dxa"/>
                  <w:vAlign w:val="center"/>
                </w:tcPr>
                <w:p w14:paraId="7AAB120F">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cs="Times New Roman"/>
                      <w:color w:val="auto"/>
                      <w:sz w:val="21"/>
                      <w:szCs w:val="21"/>
                      <w:vertAlign w:val="baseline"/>
                      <w:lang w:val="en-US" w:eastAsia="zh-CN"/>
                    </w:rPr>
                  </w:pPr>
                  <w:r>
                    <w:rPr>
                      <w:rFonts w:hint="eastAsia" w:cs="Times New Roman"/>
                      <w:color w:val="auto"/>
                      <w:sz w:val="21"/>
                      <w:szCs w:val="21"/>
                      <w:vertAlign w:val="baseline"/>
                      <w:lang w:val="en-US" w:eastAsia="zh-CN"/>
                    </w:rPr>
                    <w:t>/</w:t>
                  </w:r>
                </w:p>
              </w:tc>
            </w:tr>
            <w:tr w14:paraId="39A455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749" w:type="dxa"/>
                  <w:vMerge w:val="continue"/>
                  <w:vAlign w:val="center"/>
                </w:tcPr>
                <w:p w14:paraId="79F7FE53">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color w:val="auto"/>
                      <w:sz w:val="21"/>
                      <w:szCs w:val="21"/>
                      <w:vertAlign w:val="baseline"/>
                      <w:lang w:val="en-US" w:eastAsia="zh-CN"/>
                    </w:rPr>
                  </w:pPr>
                </w:p>
              </w:tc>
              <w:tc>
                <w:tcPr>
                  <w:tcW w:w="2991" w:type="dxa"/>
                  <w:vAlign w:val="center"/>
                </w:tcPr>
                <w:p w14:paraId="276095ED">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color w:val="auto"/>
                      <w:sz w:val="21"/>
                      <w:szCs w:val="21"/>
                      <w:vertAlign w:val="baseline"/>
                      <w:lang w:val="en-US" w:eastAsia="zh-CN"/>
                    </w:rPr>
                  </w:pPr>
                  <w:r>
                    <w:rPr>
                      <w:rFonts w:hint="eastAsia" w:cs="Times New Roman"/>
                      <w:color w:val="auto"/>
                      <w:sz w:val="21"/>
                      <w:szCs w:val="21"/>
                      <w:vertAlign w:val="baseline"/>
                      <w:lang w:val="en-US" w:eastAsia="zh-CN"/>
                    </w:rPr>
                    <w:t>危险废物贮存区（储油罐区）</w:t>
                  </w:r>
                </w:p>
              </w:tc>
              <w:tc>
                <w:tcPr>
                  <w:tcW w:w="1790" w:type="dxa"/>
                  <w:vAlign w:val="center"/>
                </w:tcPr>
                <w:p w14:paraId="33D25249">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cs="Times New Roman"/>
                      <w:color w:val="auto"/>
                      <w:sz w:val="21"/>
                      <w:szCs w:val="21"/>
                      <w:vertAlign w:val="baseline"/>
                      <w:lang w:val="en-US" w:eastAsia="zh-CN"/>
                    </w:rPr>
                  </w:pPr>
                  <w:r>
                    <w:rPr>
                      <w:rFonts w:hint="eastAsia" w:cs="Times New Roman"/>
                      <w:color w:val="auto"/>
                      <w:sz w:val="21"/>
                      <w:szCs w:val="21"/>
                      <w:vertAlign w:val="baseline"/>
                      <w:lang w:val="en-US" w:eastAsia="zh-CN"/>
                    </w:rPr>
                    <w:t>100</w:t>
                  </w:r>
                </w:p>
              </w:tc>
              <w:tc>
                <w:tcPr>
                  <w:tcW w:w="2898" w:type="dxa"/>
                  <w:vAlign w:val="center"/>
                </w:tcPr>
                <w:p w14:paraId="38B800BD">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color w:val="auto"/>
                      <w:sz w:val="21"/>
                      <w:szCs w:val="21"/>
                      <w:vertAlign w:val="baseline"/>
                      <w:lang w:val="en-US" w:eastAsia="zh-CN"/>
                    </w:rPr>
                  </w:pPr>
                  <w:r>
                    <w:rPr>
                      <w:rFonts w:hint="eastAsia" w:cs="Times New Roman"/>
                      <w:color w:val="auto"/>
                      <w:sz w:val="21"/>
                      <w:szCs w:val="21"/>
                      <w:vertAlign w:val="baseline"/>
                      <w:lang w:val="en-US" w:eastAsia="zh-CN"/>
                    </w:rPr>
                    <w:t>/</w:t>
                  </w:r>
                </w:p>
              </w:tc>
            </w:tr>
            <w:tr w14:paraId="1137C7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749" w:type="dxa"/>
                  <w:vMerge w:val="continue"/>
                  <w:vAlign w:val="center"/>
                </w:tcPr>
                <w:p w14:paraId="4107E38B">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color w:val="auto"/>
                      <w:sz w:val="21"/>
                      <w:szCs w:val="21"/>
                      <w:vertAlign w:val="baseline"/>
                      <w:lang w:val="en-US" w:eastAsia="zh-CN"/>
                    </w:rPr>
                  </w:pPr>
                </w:p>
              </w:tc>
              <w:tc>
                <w:tcPr>
                  <w:tcW w:w="2991" w:type="dxa"/>
                  <w:vAlign w:val="center"/>
                </w:tcPr>
                <w:p w14:paraId="52A573B8">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color w:val="auto"/>
                      <w:sz w:val="21"/>
                      <w:szCs w:val="21"/>
                      <w:vertAlign w:val="baseline"/>
                      <w:lang w:val="en-US" w:eastAsia="zh-CN"/>
                    </w:rPr>
                  </w:pPr>
                  <w:r>
                    <w:rPr>
                      <w:rFonts w:hint="eastAsia" w:cs="Times New Roman"/>
                      <w:color w:val="auto"/>
                      <w:sz w:val="21"/>
                      <w:szCs w:val="21"/>
                      <w:vertAlign w:val="baseline"/>
                      <w:lang w:val="en-US" w:eastAsia="zh-CN"/>
                    </w:rPr>
                    <w:t>装卸区</w:t>
                  </w:r>
                </w:p>
              </w:tc>
              <w:tc>
                <w:tcPr>
                  <w:tcW w:w="1790" w:type="dxa"/>
                  <w:vAlign w:val="center"/>
                </w:tcPr>
                <w:p w14:paraId="057250BB">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cs="Times New Roman"/>
                      <w:color w:val="auto"/>
                      <w:sz w:val="21"/>
                      <w:szCs w:val="21"/>
                      <w:vertAlign w:val="baseline"/>
                      <w:lang w:val="en-US" w:eastAsia="zh-CN"/>
                    </w:rPr>
                  </w:pPr>
                  <w:r>
                    <w:rPr>
                      <w:rFonts w:hint="eastAsia" w:cs="Times New Roman"/>
                      <w:color w:val="auto"/>
                      <w:sz w:val="21"/>
                      <w:szCs w:val="21"/>
                      <w:vertAlign w:val="baseline"/>
                      <w:lang w:val="en-US" w:eastAsia="zh-CN"/>
                    </w:rPr>
                    <w:t>18</w:t>
                  </w:r>
                </w:p>
              </w:tc>
              <w:tc>
                <w:tcPr>
                  <w:tcW w:w="2898" w:type="dxa"/>
                  <w:vAlign w:val="center"/>
                </w:tcPr>
                <w:p w14:paraId="626DC11F">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color w:val="auto"/>
                      <w:sz w:val="21"/>
                      <w:szCs w:val="21"/>
                      <w:vertAlign w:val="baseline"/>
                      <w:lang w:val="en-US" w:eastAsia="zh-CN"/>
                    </w:rPr>
                  </w:pPr>
                  <w:r>
                    <w:rPr>
                      <w:rFonts w:hint="eastAsia" w:cs="Times New Roman"/>
                      <w:color w:val="auto"/>
                      <w:sz w:val="21"/>
                      <w:szCs w:val="21"/>
                      <w:vertAlign w:val="baseline"/>
                      <w:lang w:val="en-US" w:eastAsia="zh-CN"/>
                    </w:rPr>
                    <w:t>/</w:t>
                  </w:r>
                </w:p>
              </w:tc>
            </w:tr>
            <w:tr w14:paraId="21B7F4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749" w:type="dxa"/>
                  <w:vMerge w:val="continue"/>
                  <w:vAlign w:val="center"/>
                </w:tcPr>
                <w:p w14:paraId="6F9EF857">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color w:val="auto"/>
                      <w:sz w:val="21"/>
                      <w:szCs w:val="21"/>
                      <w:vertAlign w:val="baseline"/>
                      <w:lang w:val="en-US" w:eastAsia="zh-CN"/>
                    </w:rPr>
                  </w:pPr>
                </w:p>
              </w:tc>
              <w:tc>
                <w:tcPr>
                  <w:tcW w:w="2991" w:type="dxa"/>
                  <w:vAlign w:val="center"/>
                </w:tcPr>
                <w:p w14:paraId="416E2E4B">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cs="Times New Roman"/>
                      <w:color w:val="auto"/>
                      <w:sz w:val="21"/>
                      <w:szCs w:val="21"/>
                      <w:vertAlign w:val="baseline"/>
                      <w:lang w:val="en-US" w:eastAsia="zh-CN"/>
                    </w:rPr>
                  </w:pPr>
                  <w:r>
                    <w:rPr>
                      <w:rFonts w:hint="eastAsia" w:cs="Times New Roman"/>
                      <w:color w:val="auto"/>
                      <w:sz w:val="21"/>
                      <w:szCs w:val="21"/>
                      <w:vertAlign w:val="baseline"/>
                      <w:lang w:val="en-US" w:eastAsia="zh-CN"/>
                    </w:rPr>
                    <w:t>危废暂存间</w:t>
                  </w:r>
                </w:p>
              </w:tc>
              <w:tc>
                <w:tcPr>
                  <w:tcW w:w="1790" w:type="dxa"/>
                  <w:vAlign w:val="center"/>
                </w:tcPr>
                <w:p w14:paraId="490BAEFE">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cs="Times New Roman"/>
                      <w:color w:val="auto"/>
                      <w:sz w:val="21"/>
                      <w:szCs w:val="21"/>
                      <w:vertAlign w:val="baseline"/>
                      <w:lang w:val="en-US" w:eastAsia="zh-CN"/>
                    </w:rPr>
                  </w:pPr>
                  <w:r>
                    <w:rPr>
                      <w:rFonts w:hint="eastAsia" w:cs="Times New Roman"/>
                      <w:color w:val="auto"/>
                      <w:sz w:val="21"/>
                      <w:szCs w:val="21"/>
                      <w:vertAlign w:val="baseline"/>
                      <w:lang w:val="en-US" w:eastAsia="zh-CN"/>
                    </w:rPr>
                    <w:t>6</w:t>
                  </w:r>
                </w:p>
              </w:tc>
              <w:tc>
                <w:tcPr>
                  <w:tcW w:w="2898" w:type="dxa"/>
                  <w:vAlign w:val="center"/>
                </w:tcPr>
                <w:p w14:paraId="73914A31">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cs="Times New Roman"/>
                      <w:color w:val="auto"/>
                      <w:sz w:val="21"/>
                      <w:szCs w:val="21"/>
                      <w:vertAlign w:val="baseline"/>
                      <w:lang w:val="en-US" w:eastAsia="zh-CN"/>
                    </w:rPr>
                  </w:pPr>
                  <w:r>
                    <w:rPr>
                      <w:rFonts w:hint="eastAsia" w:cs="Times New Roman"/>
                      <w:color w:val="auto"/>
                      <w:sz w:val="21"/>
                      <w:szCs w:val="21"/>
                      <w:vertAlign w:val="baseline"/>
                      <w:lang w:val="en-US" w:eastAsia="zh-CN"/>
                    </w:rPr>
                    <w:t>/</w:t>
                  </w:r>
                </w:p>
              </w:tc>
            </w:tr>
            <w:tr w14:paraId="761E8A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749" w:type="dxa"/>
                  <w:vMerge w:val="continue"/>
                  <w:vAlign w:val="center"/>
                </w:tcPr>
                <w:p w14:paraId="2A16B4B0">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color w:val="auto"/>
                      <w:sz w:val="21"/>
                      <w:szCs w:val="21"/>
                      <w:vertAlign w:val="baseline"/>
                      <w:lang w:val="en-US" w:eastAsia="zh-CN"/>
                    </w:rPr>
                  </w:pPr>
                </w:p>
              </w:tc>
              <w:tc>
                <w:tcPr>
                  <w:tcW w:w="2991" w:type="dxa"/>
                  <w:vAlign w:val="center"/>
                </w:tcPr>
                <w:p w14:paraId="71C43990">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cs="Times New Roman"/>
                      <w:color w:val="auto"/>
                      <w:sz w:val="21"/>
                      <w:szCs w:val="21"/>
                      <w:vertAlign w:val="baseline"/>
                      <w:lang w:val="en-US" w:eastAsia="zh-CN"/>
                    </w:rPr>
                  </w:pPr>
                  <w:r>
                    <w:rPr>
                      <w:rFonts w:hint="eastAsia" w:cs="Times New Roman"/>
                      <w:color w:val="auto"/>
                      <w:sz w:val="21"/>
                      <w:szCs w:val="21"/>
                      <w:vertAlign w:val="baseline"/>
                      <w:lang w:val="en-US" w:eastAsia="zh-CN"/>
                    </w:rPr>
                    <w:t>其他区域（油泵等设备间）</w:t>
                  </w:r>
                </w:p>
              </w:tc>
              <w:tc>
                <w:tcPr>
                  <w:tcW w:w="1790" w:type="dxa"/>
                  <w:vAlign w:val="center"/>
                </w:tcPr>
                <w:p w14:paraId="5829BEF5">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cs="Times New Roman"/>
                      <w:color w:val="auto"/>
                      <w:sz w:val="21"/>
                      <w:szCs w:val="21"/>
                      <w:vertAlign w:val="baseline"/>
                      <w:lang w:val="en-US" w:eastAsia="zh-CN"/>
                    </w:rPr>
                  </w:pPr>
                  <w:r>
                    <w:rPr>
                      <w:rFonts w:hint="eastAsia" w:cs="Times New Roman"/>
                      <w:color w:val="auto"/>
                      <w:sz w:val="21"/>
                      <w:szCs w:val="21"/>
                      <w:vertAlign w:val="baseline"/>
                      <w:lang w:val="en-US" w:eastAsia="zh-CN"/>
                    </w:rPr>
                    <w:t>6</w:t>
                  </w:r>
                </w:p>
              </w:tc>
              <w:tc>
                <w:tcPr>
                  <w:tcW w:w="2898" w:type="dxa"/>
                  <w:vAlign w:val="center"/>
                </w:tcPr>
                <w:p w14:paraId="4FF90A86">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color w:val="auto"/>
                      <w:sz w:val="21"/>
                      <w:szCs w:val="21"/>
                      <w:vertAlign w:val="baseline"/>
                      <w:lang w:val="en-US" w:eastAsia="zh-CN"/>
                    </w:rPr>
                  </w:pPr>
                  <w:r>
                    <w:rPr>
                      <w:rFonts w:hint="eastAsia" w:cs="Times New Roman"/>
                      <w:color w:val="auto"/>
                      <w:sz w:val="21"/>
                      <w:szCs w:val="21"/>
                      <w:vertAlign w:val="baseline"/>
                      <w:lang w:val="en-US" w:eastAsia="zh-CN"/>
                    </w:rPr>
                    <w:t>/</w:t>
                  </w:r>
                </w:p>
              </w:tc>
            </w:tr>
            <w:tr w14:paraId="7BE60D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49" w:type="dxa"/>
                  <w:vAlign w:val="center"/>
                </w:tcPr>
                <w:p w14:paraId="279B4924">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color w:val="auto"/>
                      <w:sz w:val="21"/>
                      <w:szCs w:val="21"/>
                      <w:vertAlign w:val="baseline"/>
                      <w:lang w:val="en-US" w:eastAsia="zh-CN"/>
                    </w:rPr>
                  </w:pPr>
                  <w:r>
                    <w:rPr>
                      <w:rFonts w:hint="eastAsia" w:cs="Times New Roman"/>
                      <w:color w:val="auto"/>
                      <w:sz w:val="21"/>
                      <w:szCs w:val="21"/>
                      <w:vertAlign w:val="baseline"/>
                      <w:lang w:val="en-US" w:eastAsia="zh-CN"/>
                    </w:rPr>
                    <w:t>2</w:t>
                  </w:r>
                </w:p>
              </w:tc>
              <w:tc>
                <w:tcPr>
                  <w:tcW w:w="2991" w:type="dxa"/>
                  <w:vAlign w:val="center"/>
                </w:tcPr>
                <w:p w14:paraId="17951C06">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color w:val="auto"/>
                      <w:sz w:val="21"/>
                      <w:szCs w:val="21"/>
                      <w:vertAlign w:val="baseline"/>
                      <w:lang w:val="en-US" w:eastAsia="zh-CN"/>
                    </w:rPr>
                  </w:pPr>
                  <w:r>
                    <w:rPr>
                      <w:rFonts w:hint="eastAsia" w:cs="Times New Roman"/>
                      <w:color w:val="auto"/>
                      <w:sz w:val="21"/>
                      <w:szCs w:val="21"/>
                      <w:vertAlign w:val="baseline"/>
                      <w:lang w:val="en-US" w:eastAsia="zh-CN"/>
                    </w:rPr>
                    <w:t>办公室</w:t>
                  </w:r>
                </w:p>
              </w:tc>
              <w:tc>
                <w:tcPr>
                  <w:tcW w:w="1790" w:type="dxa"/>
                  <w:vAlign w:val="center"/>
                </w:tcPr>
                <w:p w14:paraId="3A4076BB">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cs="Times New Roman"/>
                      <w:color w:val="auto"/>
                      <w:sz w:val="21"/>
                      <w:szCs w:val="21"/>
                      <w:vertAlign w:val="baseline"/>
                      <w:lang w:val="en-US" w:eastAsia="zh-CN"/>
                    </w:rPr>
                  </w:pPr>
                  <w:r>
                    <w:rPr>
                      <w:rFonts w:hint="eastAsia" w:cs="Times New Roman"/>
                      <w:color w:val="auto"/>
                      <w:sz w:val="21"/>
                      <w:szCs w:val="21"/>
                      <w:vertAlign w:val="baseline"/>
                      <w:lang w:val="en-US" w:eastAsia="zh-CN"/>
                    </w:rPr>
                    <w:t>6</w:t>
                  </w:r>
                </w:p>
              </w:tc>
              <w:tc>
                <w:tcPr>
                  <w:tcW w:w="2898" w:type="dxa"/>
                  <w:vAlign w:val="center"/>
                </w:tcPr>
                <w:p w14:paraId="62AC43C9">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color w:val="auto"/>
                      <w:sz w:val="21"/>
                      <w:szCs w:val="21"/>
                      <w:vertAlign w:val="baseline"/>
                      <w:lang w:val="en-US" w:eastAsia="zh-CN"/>
                    </w:rPr>
                  </w:pPr>
                  <w:r>
                    <w:rPr>
                      <w:rFonts w:hint="eastAsia" w:cs="Times New Roman"/>
                      <w:color w:val="auto"/>
                      <w:sz w:val="21"/>
                      <w:szCs w:val="21"/>
                      <w:vertAlign w:val="baseline"/>
                      <w:lang w:val="en-US" w:eastAsia="zh-CN"/>
                    </w:rPr>
                    <w:t>一层，钢结构，10m</w:t>
                  </w:r>
                </w:p>
              </w:tc>
            </w:tr>
            <w:tr w14:paraId="2C3617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740" w:type="dxa"/>
                  <w:gridSpan w:val="2"/>
                  <w:vAlign w:val="center"/>
                </w:tcPr>
                <w:p w14:paraId="1CD7362B">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color w:val="auto"/>
                      <w:sz w:val="21"/>
                      <w:szCs w:val="21"/>
                      <w:vertAlign w:val="baseline"/>
                      <w:lang w:val="en-US" w:eastAsia="zh-CN"/>
                    </w:rPr>
                  </w:pPr>
                  <w:r>
                    <w:rPr>
                      <w:rFonts w:hint="eastAsia" w:cs="Times New Roman"/>
                      <w:color w:val="auto"/>
                      <w:sz w:val="21"/>
                      <w:szCs w:val="21"/>
                      <w:vertAlign w:val="baseline"/>
                      <w:lang w:val="en-US" w:eastAsia="zh-CN"/>
                    </w:rPr>
                    <w:t>合计</w:t>
                  </w:r>
                </w:p>
              </w:tc>
              <w:tc>
                <w:tcPr>
                  <w:tcW w:w="1790" w:type="dxa"/>
                  <w:vAlign w:val="center"/>
                </w:tcPr>
                <w:p w14:paraId="6C6096CB">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cs="Times New Roman"/>
                      <w:color w:val="auto"/>
                      <w:sz w:val="21"/>
                      <w:szCs w:val="21"/>
                      <w:vertAlign w:val="baseline"/>
                      <w:lang w:val="en-US" w:eastAsia="zh-CN"/>
                    </w:rPr>
                  </w:pPr>
                  <w:r>
                    <w:rPr>
                      <w:rFonts w:hint="eastAsia" w:cs="Times New Roman"/>
                      <w:color w:val="auto"/>
                      <w:sz w:val="21"/>
                      <w:szCs w:val="21"/>
                      <w:vertAlign w:val="baseline"/>
                      <w:lang w:val="en-US" w:eastAsia="zh-CN"/>
                    </w:rPr>
                    <w:t>145</w:t>
                  </w:r>
                </w:p>
              </w:tc>
              <w:tc>
                <w:tcPr>
                  <w:tcW w:w="2898" w:type="dxa"/>
                  <w:vAlign w:val="center"/>
                </w:tcPr>
                <w:p w14:paraId="2FB0C554">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color w:val="auto"/>
                      <w:sz w:val="21"/>
                      <w:szCs w:val="21"/>
                      <w:vertAlign w:val="baseline"/>
                      <w:lang w:val="en-US" w:eastAsia="zh-CN"/>
                    </w:rPr>
                  </w:pPr>
                  <w:r>
                    <w:rPr>
                      <w:rFonts w:hint="eastAsia" w:cs="Times New Roman"/>
                      <w:color w:val="auto"/>
                      <w:sz w:val="21"/>
                      <w:szCs w:val="21"/>
                      <w:vertAlign w:val="baseline"/>
                      <w:lang w:val="en-US" w:eastAsia="zh-CN"/>
                    </w:rPr>
                    <w:t>/</w:t>
                  </w:r>
                </w:p>
              </w:tc>
            </w:tr>
          </w:tbl>
          <w:p w14:paraId="1DDFB4FE">
            <w:pPr>
              <w:keepNext w:val="0"/>
              <w:keepLines w:val="0"/>
              <w:pageBreakBefore w:val="0"/>
              <w:widowControl w:val="0"/>
              <w:numPr>
                <w:ilvl w:val="0"/>
                <w:numId w:val="28"/>
              </w:numPr>
              <w:kinsoku/>
              <w:wordWrap/>
              <w:overflowPunct/>
              <w:topLinePunct w:val="0"/>
              <w:autoSpaceDE/>
              <w:autoSpaceDN/>
              <w:bidi w:val="0"/>
              <w:adjustRightInd/>
              <w:snapToGrid/>
              <w:spacing w:line="360" w:lineRule="auto"/>
              <w:ind w:left="0" w:leftChars="0" w:firstLine="482" w:firstLineChars="200"/>
              <w:jc w:val="both"/>
              <w:textAlignment w:val="auto"/>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b/>
                <w:bCs/>
                <w:color w:val="auto"/>
                <w:sz w:val="24"/>
                <w:szCs w:val="24"/>
                <w:lang w:val="en-US" w:eastAsia="zh-CN"/>
              </w:rPr>
              <w:t>项目主要工程内容</w:t>
            </w:r>
          </w:p>
          <w:p w14:paraId="5FFBAE96">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本项目由主体工程、辅助工程、储运工程、公用工程及环保工程组成；具体工程内容及所产生的环境问题见表2-</w:t>
            </w:r>
            <w:r>
              <w:rPr>
                <w:rFonts w:hint="eastAsia" w:cs="Times New Roman"/>
                <w:color w:val="auto"/>
                <w:sz w:val="24"/>
                <w:szCs w:val="24"/>
                <w:lang w:val="en-US" w:eastAsia="zh-CN"/>
              </w:rPr>
              <w:t>2</w:t>
            </w:r>
            <w:r>
              <w:rPr>
                <w:rFonts w:hint="default" w:ascii="Times New Roman" w:hAnsi="Times New Roman" w:eastAsia="宋体" w:cs="Times New Roman"/>
                <w:color w:val="auto"/>
                <w:sz w:val="24"/>
                <w:szCs w:val="24"/>
                <w:lang w:val="en-US" w:eastAsia="zh-CN"/>
              </w:rPr>
              <w:t>。</w:t>
            </w:r>
          </w:p>
          <w:p w14:paraId="476B51F8">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eastAsia" w:cs="Times New Roman"/>
                <w:b/>
                <w:bCs/>
                <w:color w:val="auto"/>
                <w:sz w:val="21"/>
                <w:szCs w:val="21"/>
                <w:lang w:val="en-US" w:eastAsia="zh-CN"/>
              </w:rPr>
            </w:pPr>
            <w:r>
              <w:rPr>
                <w:rFonts w:hint="eastAsia" w:cs="Times New Roman"/>
                <w:b/>
                <w:bCs/>
                <w:color w:val="auto"/>
                <w:sz w:val="21"/>
                <w:szCs w:val="21"/>
                <w:lang w:val="en-US" w:eastAsia="zh-CN"/>
              </w:rPr>
              <w:t>表2-2 项目主要工程内容及主要环境问题一览表</w:t>
            </w:r>
          </w:p>
          <w:tbl>
            <w:tblPr>
              <w:tblStyle w:val="28"/>
              <w:tblW w:w="499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53"/>
              <w:gridCol w:w="926"/>
              <w:gridCol w:w="3991"/>
              <w:gridCol w:w="988"/>
              <w:gridCol w:w="1206"/>
              <w:gridCol w:w="651"/>
            </w:tblGrid>
            <w:tr w14:paraId="541941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7" w:hRule="atLeast"/>
                <w:jc w:val="center"/>
              </w:trPr>
              <w:tc>
                <w:tcPr>
                  <w:tcW w:w="387" w:type="pct"/>
                  <w:vMerge w:val="restart"/>
                  <w:noWrap w:val="0"/>
                  <w:vAlign w:val="center"/>
                </w:tcPr>
                <w:p w14:paraId="7C4DE15B">
                  <w:pPr>
                    <w:numPr>
                      <w:ilvl w:val="0"/>
                      <w:numId w:val="0"/>
                    </w:numPr>
                    <w:spacing w:line="240" w:lineRule="auto"/>
                    <w:jc w:val="center"/>
                    <w:rPr>
                      <w:rFonts w:hint="default" w:ascii="Times New Roman" w:hAnsi="Times New Roman" w:eastAsia="宋体" w:cs="Times New Roman"/>
                      <w:b/>
                      <w:bCs/>
                      <w:color w:val="auto"/>
                      <w:sz w:val="21"/>
                      <w:szCs w:val="21"/>
                      <w:vertAlign w:val="baseline"/>
                    </w:rPr>
                  </w:pPr>
                  <w:r>
                    <w:rPr>
                      <w:rFonts w:hint="default" w:ascii="Times New Roman" w:hAnsi="Times New Roman" w:eastAsia="宋体" w:cs="Times New Roman"/>
                      <w:b/>
                      <w:bCs/>
                      <w:color w:val="auto"/>
                      <w:sz w:val="21"/>
                      <w:szCs w:val="21"/>
                      <w:vertAlign w:val="baseline"/>
                    </w:rPr>
                    <w:t>工程类别</w:t>
                  </w:r>
                </w:p>
              </w:tc>
              <w:tc>
                <w:tcPr>
                  <w:tcW w:w="2921" w:type="pct"/>
                  <w:gridSpan w:val="2"/>
                  <w:vMerge w:val="restart"/>
                  <w:noWrap w:val="0"/>
                  <w:vAlign w:val="center"/>
                </w:tcPr>
                <w:p w14:paraId="4A0507BF">
                  <w:pPr>
                    <w:numPr>
                      <w:ilvl w:val="0"/>
                      <w:numId w:val="0"/>
                    </w:numPr>
                    <w:spacing w:line="240" w:lineRule="auto"/>
                    <w:jc w:val="center"/>
                    <w:rPr>
                      <w:rFonts w:hint="default" w:ascii="Times New Roman" w:hAnsi="Times New Roman" w:eastAsia="宋体" w:cs="Times New Roman"/>
                      <w:b/>
                      <w:bCs/>
                      <w:color w:val="auto"/>
                      <w:sz w:val="21"/>
                      <w:szCs w:val="21"/>
                      <w:vertAlign w:val="baseline"/>
                    </w:rPr>
                  </w:pPr>
                  <w:r>
                    <w:rPr>
                      <w:rFonts w:hint="default" w:ascii="Times New Roman" w:hAnsi="Times New Roman" w:eastAsia="宋体" w:cs="Times New Roman"/>
                      <w:b/>
                      <w:bCs/>
                      <w:sz w:val="21"/>
                      <w:szCs w:val="21"/>
                    </w:rPr>
                    <w:t>建设内容及规模</w:t>
                  </w:r>
                </w:p>
              </w:tc>
              <w:tc>
                <w:tcPr>
                  <w:tcW w:w="1303" w:type="pct"/>
                  <w:gridSpan w:val="2"/>
                  <w:noWrap w:val="0"/>
                  <w:vAlign w:val="center"/>
                </w:tcPr>
                <w:p w14:paraId="6A0C6CD4">
                  <w:pPr>
                    <w:spacing w:line="240" w:lineRule="auto"/>
                    <w:jc w:val="center"/>
                    <w:rPr>
                      <w:rFonts w:hint="default" w:ascii="Times New Roman" w:hAnsi="Times New Roman" w:eastAsia="宋体" w:cs="Times New Roman"/>
                      <w:b/>
                      <w:bCs/>
                      <w:color w:val="auto"/>
                      <w:sz w:val="21"/>
                      <w:szCs w:val="21"/>
                      <w:vertAlign w:val="baseline"/>
                    </w:rPr>
                  </w:pPr>
                  <w:r>
                    <w:rPr>
                      <w:rFonts w:hint="default" w:ascii="Times New Roman" w:hAnsi="Times New Roman" w:eastAsia="宋体" w:cs="Times New Roman"/>
                      <w:b/>
                      <w:bCs/>
                      <w:sz w:val="21"/>
                      <w:szCs w:val="21"/>
                    </w:rPr>
                    <w:t>可能产生的环境问题</w:t>
                  </w:r>
                </w:p>
              </w:tc>
              <w:tc>
                <w:tcPr>
                  <w:tcW w:w="386" w:type="pct"/>
                  <w:vMerge w:val="restart"/>
                  <w:noWrap w:val="0"/>
                  <w:vAlign w:val="center"/>
                </w:tcPr>
                <w:p w14:paraId="34849BBA">
                  <w:pPr>
                    <w:numPr>
                      <w:ilvl w:val="0"/>
                      <w:numId w:val="0"/>
                    </w:numPr>
                    <w:spacing w:line="240" w:lineRule="auto"/>
                    <w:ind w:left="0" w:leftChars="0" w:firstLine="0" w:firstLineChars="0"/>
                    <w:jc w:val="center"/>
                    <w:rPr>
                      <w:rFonts w:hint="default" w:ascii="Times New Roman" w:hAnsi="Times New Roman" w:eastAsia="宋体" w:cs="Times New Roman"/>
                      <w:b/>
                      <w:bCs/>
                      <w:color w:val="auto"/>
                      <w:sz w:val="21"/>
                      <w:szCs w:val="21"/>
                      <w:vertAlign w:val="baseline"/>
                    </w:rPr>
                  </w:pPr>
                  <w:r>
                    <w:rPr>
                      <w:rFonts w:hint="default" w:ascii="Times New Roman" w:hAnsi="Times New Roman" w:eastAsia="宋体" w:cs="Times New Roman"/>
                      <w:b/>
                      <w:bCs/>
                      <w:sz w:val="21"/>
                      <w:szCs w:val="21"/>
                    </w:rPr>
                    <w:t>备注</w:t>
                  </w:r>
                </w:p>
              </w:tc>
            </w:tr>
            <w:tr w14:paraId="0ADA22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7" w:hRule="atLeast"/>
                <w:jc w:val="center"/>
              </w:trPr>
              <w:tc>
                <w:tcPr>
                  <w:tcW w:w="387" w:type="pct"/>
                  <w:vMerge w:val="continue"/>
                  <w:noWrap w:val="0"/>
                  <w:vAlign w:val="center"/>
                </w:tcPr>
                <w:p w14:paraId="4F49DCC2">
                  <w:pPr>
                    <w:spacing w:line="240" w:lineRule="auto"/>
                    <w:jc w:val="center"/>
                    <w:rPr>
                      <w:rFonts w:hint="default" w:ascii="Times New Roman" w:hAnsi="Times New Roman" w:eastAsia="宋体" w:cs="Times New Roman"/>
                      <w:b/>
                      <w:bCs/>
                      <w:sz w:val="21"/>
                      <w:szCs w:val="21"/>
                    </w:rPr>
                  </w:pPr>
                </w:p>
              </w:tc>
              <w:tc>
                <w:tcPr>
                  <w:tcW w:w="2921" w:type="pct"/>
                  <w:gridSpan w:val="2"/>
                  <w:vMerge w:val="continue"/>
                  <w:noWrap w:val="0"/>
                  <w:vAlign w:val="center"/>
                </w:tcPr>
                <w:p w14:paraId="53F758C6">
                  <w:pPr>
                    <w:numPr>
                      <w:ilvl w:val="0"/>
                      <w:numId w:val="0"/>
                    </w:numPr>
                    <w:spacing w:line="240" w:lineRule="auto"/>
                    <w:ind w:left="0" w:leftChars="0" w:firstLine="0" w:firstLineChars="0"/>
                    <w:jc w:val="center"/>
                    <w:rPr>
                      <w:rFonts w:hint="default" w:ascii="Times New Roman" w:hAnsi="Times New Roman" w:eastAsia="宋体" w:cs="Times New Roman"/>
                      <w:b/>
                      <w:bCs/>
                      <w:color w:val="auto"/>
                      <w:sz w:val="21"/>
                      <w:szCs w:val="21"/>
                      <w:vertAlign w:val="baseline"/>
                    </w:rPr>
                  </w:pPr>
                </w:p>
              </w:tc>
              <w:tc>
                <w:tcPr>
                  <w:tcW w:w="587" w:type="pct"/>
                  <w:noWrap w:val="0"/>
                  <w:vAlign w:val="center"/>
                </w:tcPr>
                <w:p w14:paraId="6AC13131">
                  <w:pPr>
                    <w:spacing w:line="240" w:lineRule="auto"/>
                    <w:jc w:val="center"/>
                    <w:rPr>
                      <w:rFonts w:hint="default" w:ascii="Times New Roman" w:hAnsi="Times New Roman" w:eastAsia="宋体" w:cs="Times New Roman"/>
                      <w:b/>
                      <w:bCs/>
                      <w:color w:val="auto"/>
                      <w:sz w:val="21"/>
                      <w:szCs w:val="21"/>
                      <w:vertAlign w:val="baseline"/>
                    </w:rPr>
                  </w:pPr>
                  <w:r>
                    <w:rPr>
                      <w:rFonts w:hint="default" w:ascii="Times New Roman" w:hAnsi="Times New Roman" w:eastAsia="宋体" w:cs="Times New Roman"/>
                      <w:b/>
                      <w:bCs/>
                      <w:sz w:val="21"/>
                      <w:szCs w:val="21"/>
                    </w:rPr>
                    <w:t>施工期</w:t>
                  </w:r>
                </w:p>
              </w:tc>
              <w:tc>
                <w:tcPr>
                  <w:tcW w:w="716" w:type="pct"/>
                  <w:noWrap w:val="0"/>
                  <w:vAlign w:val="center"/>
                </w:tcPr>
                <w:p w14:paraId="3F9F94CB">
                  <w:pPr>
                    <w:spacing w:line="240" w:lineRule="auto"/>
                    <w:jc w:val="center"/>
                    <w:rPr>
                      <w:rFonts w:hint="default" w:ascii="Times New Roman" w:hAnsi="Times New Roman" w:eastAsia="宋体" w:cs="Times New Roman"/>
                      <w:b/>
                      <w:bCs/>
                      <w:color w:val="auto"/>
                      <w:sz w:val="21"/>
                      <w:szCs w:val="21"/>
                      <w:vertAlign w:val="baseline"/>
                    </w:rPr>
                  </w:pPr>
                  <w:r>
                    <w:rPr>
                      <w:rFonts w:hint="default" w:ascii="Times New Roman" w:hAnsi="Times New Roman" w:eastAsia="宋体" w:cs="Times New Roman"/>
                      <w:b/>
                      <w:bCs/>
                      <w:sz w:val="21"/>
                      <w:szCs w:val="21"/>
                    </w:rPr>
                    <w:t>营运期</w:t>
                  </w:r>
                </w:p>
              </w:tc>
              <w:tc>
                <w:tcPr>
                  <w:tcW w:w="386" w:type="pct"/>
                  <w:vMerge w:val="continue"/>
                  <w:noWrap w:val="0"/>
                  <w:vAlign w:val="center"/>
                </w:tcPr>
                <w:p w14:paraId="2B1B80E2">
                  <w:pPr>
                    <w:numPr>
                      <w:ilvl w:val="0"/>
                      <w:numId w:val="0"/>
                    </w:numPr>
                    <w:spacing w:line="240" w:lineRule="auto"/>
                    <w:ind w:left="0" w:leftChars="0" w:firstLine="0" w:firstLineChars="0"/>
                    <w:jc w:val="center"/>
                    <w:rPr>
                      <w:rFonts w:hint="default" w:ascii="Times New Roman" w:hAnsi="Times New Roman" w:eastAsia="宋体" w:cs="Times New Roman"/>
                      <w:b/>
                      <w:bCs/>
                      <w:color w:val="auto"/>
                      <w:sz w:val="21"/>
                      <w:szCs w:val="21"/>
                      <w:vertAlign w:val="baseline"/>
                    </w:rPr>
                  </w:pPr>
                </w:p>
              </w:tc>
            </w:tr>
            <w:tr w14:paraId="2494CE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7" w:hRule="atLeast"/>
                <w:jc w:val="center"/>
              </w:trPr>
              <w:tc>
                <w:tcPr>
                  <w:tcW w:w="387" w:type="pct"/>
                  <w:vMerge w:val="restart"/>
                  <w:noWrap w:val="0"/>
                  <w:vAlign w:val="center"/>
                </w:tcPr>
                <w:p w14:paraId="41CFCBF3">
                  <w:pPr>
                    <w:pStyle w:val="92"/>
                    <w:spacing w:line="240" w:lineRule="auto"/>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主体</w:t>
                  </w:r>
                </w:p>
                <w:p w14:paraId="28A04E52">
                  <w:pPr>
                    <w:pStyle w:val="92"/>
                    <w:spacing w:line="240" w:lineRule="auto"/>
                    <w:jc w:val="center"/>
                    <w:rPr>
                      <w:rFonts w:hint="default" w:ascii="Times New Roman" w:hAnsi="Times New Roman" w:eastAsia="宋体" w:cs="Times New Roman"/>
                      <w:b w:val="0"/>
                      <w:bCs w:val="0"/>
                      <w:color w:val="auto"/>
                      <w:sz w:val="21"/>
                      <w:szCs w:val="21"/>
                      <w:vertAlign w:val="baseline"/>
                    </w:rPr>
                  </w:pPr>
                  <w:r>
                    <w:rPr>
                      <w:rFonts w:hint="default" w:ascii="Times New Roman" w:hAnsi="Times New Roman" w:eastAsia="宋体" w:cs="Times New Roman"/>
                      <w:sz w:val="21"/>
                      <w:szCs w:val="21"/>
                    </w:rPr>
                    <w:t>工程</w:t>
                  </w:r>
                </w:p>
              </w:tc>
              <w:tc>
                <w:tcPr>
                  <w:tcW w:w="550" w:type="pct"/>
                  <w:vMerge w:val="restart"/>
                  <w:noWrap w:val="0"/>
                  <w:vAlign w:val="center"/>
                </w:tcPr>
                <w:p w14:paraId="67763445">
                  <w:pPr>
                    <w:pStyle w:val="92"/>
                    <w:spacing w:line="240" w:lineRule="auto"/>
                    <w:jc w:val="center"/>
                    <w:rPr>
                      <w:rFonts w:hint="default" w:ascii="Times New Roman" w:hAnsi="Times New Roman" w:eastAsia="宋体" w:cs="Times New Roman"/>
                      <w:b w:val="0"/>
                      <w:bCs w:val="0"/>
                      <w:color w:val="auto"/>
                      <w:sz w:val="21"/>
                      <w:szCs w:val="21"/>
                      <w:vertAlign w:val="baseline"/>
                    </w:rPr>
                  </w:pPr>
                  <w:r>
                    <w:rPr>
                      <w:rFonts w:hint="default" w:ascii="Times New Roman" w:hAnsi="Times New Roman" w:eastAsia="宋体" w:cs="Times New Roman"/>
                      <w:sz w:val="21"/>
                      <w:szCs w:val="21"/>
                    </w:rPr>
                    <w:t>危险废物贮存</w:t>
                  </w:r>
                </w:p>
              </w:tc>
              <w:tc>
                <w:tcPr>
                  <w:tcW w:w="2371" w:type="pct"/>
                  <w:noWrap w:val="0"/>
                  <w:vAlign w:val="center"/>
                </w:tcPr>
                <w:p w14:paraId="54D0AEB6">
                  <w:pPr>
                    <w:autoSpaceDE w:val="0"/>
                    <w:autoSpaceDN w:val="0"/>
                    <w:adjustRightInd w:val="0"/>
                    <w:spacing w:line="240" w:lineRule="auto"/>
                    <w:jc w:val="both"/>
                    <w:rPr>
                      <w:rFonts w:hint="default" w:ascii="Times New Roman" w:hAnsi="Times New Roman" w:eastAsia="宋体" w:cs="Times New Roman"/>
                      <w:b w:val="0"/>
                      <w:bCs w:val="0"/>
                      <w:color w:val="auto"/>
                      <w:sz w:val="21"/>
                      <w:szCs w:val="21"/>
                      <w:vertAlign w:val="baseline"/>
                      <w:lang w:eastAsia="zh-CN"/>
                    </w:rPr>
                  </w:pPr>
                  <w:r>
                    <w:rPr>
                      <w:rFonts w:hint="eastAsia" w:cs="Times New Roman"/>
                      <w:kern w:val="0"/>
                      <w:sz w:val="21"/>
                      <w:szCs w:val="21"/>
                      <w:lang w:val="en-US" w:eastAsia="zh-CN"/>
                    </w:rPr>
                    <w:t>建筑面积为100m</w:t>
                  </w:r>
                  <w:r>
                    <w:rPr>
                      <w:rFonts w:hint="eastAsia" w:cs="Times New Roman"/>
                      <w:kern w:val="0"/>
                      <w:sz w:val="21"/>
                      <w:szCs w:val="21"/>
                      <w:vertAlign w:val="superscript"/>
                      <w:lang w:val="en-US" w:eastAsia="zh-CN"/>
                    </w:rPr>
                    <w:t>2</w:t>
                  </w:r>
                  <w:r>
                    <w:rPr>
                      <w:rFonts w:hint="eastAsia" w:cs="Times New Roman"/>
                      <w:kern w:val="0"/>
                      <w:sz w:val="21"/>
                      <w:szCs w:val="21"/>
                      <w:lang w:val="en-US" w:eastAsia="zh-CN"/>
                    </w:rPr>
                    <w:t>，分区设置2个50m</w:t>
                  </w:r>
                  <w:r>
                    <w:rPr>
                      <w:rFonts w:hint="eastAsia" w:cs="Times New Roman"/>
                      <w:kern w:val="0"/>
                      <w:sz w:val="21"/>
                      <w:szCs w:val="21"/>
                      <w:vertAlign w:val="superscript"/>
                      <w:lang w:val="en-US" w:eastAsia="zh-CN"/>
                    </w:rPr>
                    <w:t>3</w:t>
                  </w:r>
                  <w:r>
                    <w:rPr>
                      <w:rFonts w:hint="eastAsia" w:cs="Times New Roman"/>
                      <w:kern w:val="0"/>
                      <w:sz w:val="21"/>
                      <w:szCs w:val="21"/>
                      <w:lang w:val="en-US" w:eastAsia="zh-CN"/>
                    </w:rPr>
                    <w:t>储罐、2个输油泵等相关设备；储罐区四周设置高度为1m的围堰；</w:t>
                  </w:r>
                </w:p>
              </w:tc>
              <w:tc>
                <w:tcPr>
                  <w:tcW w:w="587" w:type="pct"/>
                  <w:vMerge w:val="restart"/>
                  <w:noWrap w:val="0"/>
                  <w:vAlign w:val="center"/>
                </w:tcPr>
                <w:p w14:paraId="34ABE4CD">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rPr>
                  </w:pPr>
                  <w:r>
                    <w:rPr>
                      <w:rFonts w:hint="default" w:ascii="Times New Roman" w:hAnsi="Times New Roman" w:eastAsia="宋体" w:cs="Times New Roman"/>
                      <w:b w:val="0"/>
                      <w:bCs w:val="0"/>
                      <w:color w:val="auto"/>
                      <w:sz w:val="21"/>
                      <w:szCs w:val="21"/>
                      <w:vertAlign w:val="baseline"/>
                    </w:rPr>
                    <w:t>设备安装噪声</w:t>
                  </w:r>
                </w:p>
                <w:p w14:paraId="01D796C0">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rPr>
                  </w:pPr>
                </w:p>
                <w:p w14:paraId="2CC31B02">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rPr>
                  </w:pPr>
                  <w:r>
                    <w:rPr>
                      <w:rFonts w:hint="default" w:ascii="Times New Roman" w:hAnsi="Times New Roman" w:eastAsia="宋体" w:cs="Times New Roman"/>
                      <w:b w:val="0"/>
                      <w:bCs w:val="0"/>
                      <w:color w:val="auto"/>
                      <w:sz w:val="21"/>
                      <w:szCs w:val="21"/>
                      <w:vertAlign w:val="baseline"/>
                    </w:rPr>
                    <w:t>安装人员生活</w:t>
                  </w:r>
                </w:p>
                <w:p w14:paraId="173CFD19">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rPr>
                  </w:pPr>
                  <w:r>
                    <w:rPr>
                      <w:rFonts w:hint="default" w:ascii="Times New Roman" w:hAnsi="Times New Roman" w:eastAsia="宋体" w:cs="Times New Roman"/>
                      <w:b w:val="0"/>
                      <w:bCs w:val="0"/>
                      <w:color w:val="auto"/>
                      <w:sz w:val="21"/>
                      <w:szCs w:val="21"/>
                      <w:vertAlign w:val="baseline"/>
                    </w:rPr>
                    <w:t>污水</w:t>
                  </w:r>
                </w:p>
              </w:tc>
              <w:tc>
                <w:tcPr>
                  <w:tcW w:w="716" w:type="pct"/>
                  <w:vMerge w:val="restart"/>
                  <w:noWrap w:val="0"/>
                  <w:vAlign w:val="center"/>
                </w:tcPr>
                <w:p w14:paraId="6025E1B1">
                  <w:pPr>
                    <w:pStyle w:val="92"/>
                    <w:spacing w:line="240" w:lineRule="auto"/>
                    <w:jc w:val="center"/>
                    <w:rPr>
                      <w:rFonts w:hint="default" w:ascii="Times New Roman" w:hAnsi="Times New Roman" w:eastAsia="宋体" w:cs="Times New Roman"/>
                      <w:b w:val="0"/>
                      <w:bCs w:val="0"/>
                      <w:color w:val="auto"/>
                      <w:sz w:val="21"/>
                      <w:szCs w:val="21"/>
                      <w:vertAlign w:val="baseline"/>
                    </w:rPr>
                  </w:pPr>
                  <w:r>
                    <w:rPr>
                      <w:rFonts w:hint="default" w:ascii="Times New Roman" w:hAnsi="Times New Roman" w:eastAsia="宋体" w:cs="Times New Roman"/>
                      <w:sz w:val="21"/>
                      <w:szCs w:val="21"/>
                    </w:rPr>
                    <w:t>废气、噪声、固废</w:t>
                  </w:r>
                </w:p>
              </w:tc>
              <w:tc>
                <w:tcPr>
                  <w:tcW w:w="386" w:type="pct"/>
                  <w:vMerge w:val="restart"/>
                  <w:noWrap w:val="0"/>
                  <w:vAlign w:val="center"/>
                </w:tcPr>
                <w:p w14:paraId="039D0199">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eastAsia="zh-CN"/>
                    </w:rPr>
                  </w:pPr>
                  <w:r>
                    <w:rPr>
                      <w:rFonts w:hint="default" w:ascii="Times New Roman" w:hAnsi="Times New Roman" w:eastAsia="宋体" w:cs="Times New Roman"/>
                      <w:b w:val="0"/>
                      <w:bCs w:val="0"/>
                      <w:color w:val="auto"/>
                      <w:sz w:val="21"/>
                      <w:szCs w:val="21"/>
                      <w:vertAlign w:val="baseline"/>
                      <w:lang w:val="en-US" w:eastAsia="zh-CN"/>
                    </w:rPr>
                    <w:t>新建</w:t>
                  </w:r>
                </w:p>
              </w:tc>
            </w:tr>
            <w:tr w14:paraId="56FBAF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7" w:hRule="atLeast"/>
                <w:jc w:val="center"/>
              </w:trPr>
              <w:tc>
                <w:tcPr>
                  <w:tcW w:w="387" w:type="pct"/>
                  <w:vMerge w:val="continue"/>
                  <w:noWrap w:val="0"/>
                  <w:vAlign w:val="center"/>
                </w:tcPr>
                <w:p w14:paraId="7A7ADCD5">
                  <w:pPr>
                    <w:pStyle w:val="92"/>
                    <w:spacing w:line="240" w:lineRule="auto"/>
                    <w:jc w:val="center"/>
                    <w:rPr>
                      <w:rFonts w:hint="default" w:ascii="Times New Roman" w:hAnsi="Times New Roman" w:eastAsia="宋体" w:cs="Times New Roman"/>
                      <w:sz w:val="21"/>
                      <w:szCs w:val="21"/>
                    </w:rPr>
                  </w:pPr>
                </w:p>
              </w:tc>
              <w:tc>
                <w:tcPr>
                  <w:tcW w:w="550" w:type="pct"/>
                  <w:vMerge w:val="continue"/>
                  <w:noWrap w:val="0"/>
                  <w:vAlign w:val="center"/>
                </w:tcPr>
                <w:p w14:paraId="31D66554">
                  <w:pPr>
                    <w:pStyle w:val="92"/>
                    <w:spacing w:line="240" w:lineRule="auto"/>
                    <w:jc w:val="center"/>
                    <w:rPr>
                      <w:rFonts w:hint="default" w:ascii="Times New Roman" w:hAnsi="Times New Roman" w:eastAsia="宋体" w:cs="Times New Roman"/>
                      <w:sz w:val="21"/>
                      <w:szCs w:val="21"/>
                    </w:rPr>
                  </w:pPr>
                </w:p>
              </w:tc>
              <w:tc>
                <w:tcPr>
                  <w:tcW w:w="2371" w:type="pct"/>
                  <w:noWrap w:val="0"/>
                  <w:vAlign w:val="center"/>
                </w:tcPr>
                <w:p w14:paraId="61557F91">
                  <w:pPr>
                    <w:autoSpaceDE w:val="0"/>
                    <w:autoSpaceDN w:val="0"/>
                    <w:adjustRightInd w:val="0"/>
                    <w:spacing w:line="240" w:lineRule="auto"/>
                    <w:jc w:val="both"/>
                    <w:rPr>
                      <w:rFonts w:hint="eastAsia" w:cs="Times New Roman"/>
                      <w:kern w:val="0"/>
                      <w:sz w:val="21"/>
                      <w:szCs w:val="21"/>
                      <w:lang w:val="en-US" w:eastAsia="zh-CN"/>
                    </w:rPr>
                  </w:pPr>
                  <w:r>
                    <w:rPr>
                      <w:rFonts w:hint="eastAsia" w:cs="Times New Roman"/>
                      <w:kern w:val="0"/>
                      <w:sz w:val="21"/>
                      <w:szCs w:val="21"/>
                      <w:lang w:val="en-US" w:eastAsia="zh-CN"/>
                    </w:rPr>
                    <w:t>油品检验、油泵输送、废矿物油暂存、油泵输出等过程均在车间内进行；</w:t>
                  </w:r>
                </w:p>
              </w:tc>
              <w:tc>
                <w:tcPr>
                  <w:tcW w:w="587" w:type="pct"/>
                  <w:vMerge w:val="continue"/>
                  <w:noWrap w:val="0"/>
                  <w:vAlign w:val="center"/>
                </w:tcPr>
                <w:p w14:paraId="0224C077">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rPr>
                  </w:pPr>
                </w:p>
              </w:tc>
              <w:tc>
                <w:tcPr>
                  <w:tcW w:w="716" w:type="pct"/>
                  <w:vMerge w:val="continue"/>
                  <w:noWrap w:val="0"/>
                  <w:vAlign w:val="center"/>
                </w:tcPr>
                <w:p w14:paraId="0E5EF2ED">
                  <w:pPr>
                    <w:pStyle w:val="92"/>
                    <w:spacing w:line="240" w:lineRule="auto"/>
                    <w:jc w:val="center"/>
                    <w:rPr>
                      <w:rFonts w:hint="default" w:ascii="Times New Roman" w:hAnsi="Times New Roman" w:eastAsia="宋体" w:cs="Times New Roman"/>
                      <w:sz w:val="21"/>
                      <w:szCs w:val="21"/>
                    </w:rPr>
                  </w:pPr>
                </w:p>
              </w:tc>
              <w:tc>
                <w:tcPr>
                  <w:tcW w:w="386" w:type="pct"/>
                  <w:vMerge w:val="continue"/>
                  <w:noWrap w:val="0"/>
                  <w:vAlign w:val="center"/>
                </w:tcPr>
                <w:p w14:paraId="47A8E687">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p>
              </w:tc>
            </w:tr>
            <w:tr w14:paraId="1715D38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387" w:type="pct"/>
                  <w:vMerge w:val="restart"/>
                  <w:noWrap w:val="0"/>
                  <w:vAlign w:val="center"/>
                </w:tcPr>
                <w:p w14:paraId="5AABB8D0">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rPr>
                    <w:t>储运工程</w:t>
                  </w:r>
                </w:p>
              </w:tc>
              <w:tc>
                <w:tcPr>
                  <w:tcW w:w="550" w:type="pct"/>
                  <w:noWrap w:val="0"/>
                  <w:vAlign w:val="center"/>
                </w:tcPr>
                <w:p w14:paraId="7E8DFC19">
                  <w:pPr>
                    <w:autoSpaceDE w:val="0"/>
                    <w:autoSpaceDN w:val="0"/>
                    <w:adjustRightInd w:val="0"/>
                    <w:spacing w:line="240" w:lineRule="auto"/>
                    <w:jc w:val="center"/>
                    <w:rPr>
                      <w:rFonts w:hint="default" w:ascii="Times New Roman" w:hAnsi="Times New Roman" w:eastAsia="宋体" w:cs="Times New Roman"/>
                      <w:b w:val="0"/>
                      <w:bCs w:val="0"/>
                      <w:sz w:val="21"/>
                      <w:szCs w:val="21"/>
                      <w:lang w:val="en-US" w:eastAsia="zh-CN"/>
                    </w:rPr>
                  </w:pPr>
                  <w:r>
                    <w:rPr>
                      <w:rFonts w:hint="eastAsia" w:cs="Times New Roman"/>
                      <w:b w:val="0"/>
                      <w:bCs w:val="0"/>
                      <w:sz w:val="21"/>
                      <w:szCs w:val="21"/>
                      <w:lang w:val="en-US" w:eastAsia="zh-CN"/>
                    </w:rPr>
                    <w:t>检验室</w:t>
                  </w:r>
                </w:p>
              </w:tc>
              <w:tc>
                <w:tcPr>
                  <w:tcW w:w="2371" w:type="pct"/>
                  <w:noWrap w:val="0"/>
                  <w:vAlign w:val="center"/>
                </w:tcPr>
                <w:p w14:paraId="02E6B38A">
                  <w:pPr>
                    <w:pStyle w:val="92"/>
                    <w:spacing w:line="240" w:lineRule="auto"/>
                    <w:jc w:val="left"/>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kern w:val="0"/>
                      <w:sz w:val="21"/>
                      <w:szCs w:val="21"/>
                      <w:lang w:eastAsia="zh-CN"/>
                    </w:rPr>
                    <w:t>建筑面积</w:t>
                  </w:r>
                  <w:r>
                    <w:rPr>
                      <w:rFonts w:hint="eastAsia" w:ascii="Times New Roman" w:hAnsi="Times New Roman" w:cs="Times New Roman"/>
                      <w:kern w:val="0"/>
                      <w:sz w:val="21"/>
                      <w:szCs w:val="21"/>
                      <w:lang w:val="en-US" w:eastAsia="zh-CN"/>
                    </w:rPr>
                    <w:t>9.0</w:t>
                  </w:r>
                  <w:r>
                    <w:rPr>
                      <w:rFonts w:hint="default" w:ascii="Times New Roman" w:hAnsi="Times New Roman" w:eastAsia="宋体" w:cs="Times New Roman"/>
                      <w:kern w:val="0"/>
                      <w:sz w:val="21"/>
                      <w:szCs w:val="21"/>
                      <w:lang w:eastAsia="zh-CN"/>
                    </w:rPr>
                    <w:t>m</w:t>
                  </w:r>
                  <w:r>
                    <w:rPr>
                      <w:rFonts w:hint="default" w:ascii="Times New Roman" w:hAnsi="Times New Roman" w:eastAsia="宋体" w:cs="Times New Roman"/>
                      <w:kern w:val="0"/>
                      <w:sz w:val="21"/>
                      <w:szCs w:val="21"/>
                      <w:vertAlign w:val="superscript"/>
                      <w:lang w:eastAsia="zh-CN"/>
                    </w:rPr>
                    <w:t>2</w:t>
                  </w:r>
                  <w:r>
                    <w:rPr>
                      <w:rFonts w:hint="default" w:ascii="Times New Roman" w:hAnsi="Times New Roman" w:eastAsia="宋体" w:cs="Times New Roman"/>
                      <w:kern w:val="0"/>
                      <w:sz w:val="21"/>
                      <w:szCs w:val="21"/>
                      <w:lang w:eastAsia="zh-CN"/>
                    </w:rPr>
                    <w:t>，用于废矿物油的含水率及油质进行检验</w:t>
                  </w:r>
                  <w:r>
                    <w:rPr>
                      <w:rFonts w:hint="default" w:ascii="Times New Roman" w:hAnsi="Times New Roman" w:eastAsia="宋体" w:cs="Times New Roman"/>
                      <w:sz w:val="21"/>
                      <w:szCs w:val="21"/>
                      <w:lang w:eastAsia="zh-CN"/>
                    </w:rPr>
                    <w:t>；</w:t>
                  </w:r>
                </w:p>
              </w:tc>
              <w:tc>
                <w:tcPr>
                  <w:tcW w:w="587" w:type="pct"/>
                  <w:vMerge w:val="continue"/>
                  <w:noWrap w:val="0"/>
                  <w:vAlign w:val="center"/>
                </w:tcPr>
                <w:p w14:paraId="51A57494">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p>
              </w:tc>
              <w:tc>
                <w:tcPr>
                  <w:tcW w:w="716" w:type="pct"/>
                  <w:noWrap w:val="0"/>
                  <w:vAlign w:val="center"/>
                </w:tcPr>
                <w:p w14:paraId="7C05AE48">
                  <w:pPr>
                    <w:pStyle w:val="92"/>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sz w:val="21"/>
                      <w:szCs w:val="21"/>
                    </w:rPr>
                    <w:t>固废</w:t>
                  </w:r>
                </w:p>
              </w:tc>
              <w:tc>
                <w:tcPr>
                  <w:tcW w:w="386" w:type="pct"/>
                  <w:noWrap w:val="0"/>
                  <w:vAlign w:val="center"/>
                </w:tcPr>
                <w:p w14:paraId="7ECA2536">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新建</w:t>
                  </w:r>
                </w:p>
              </w:tc>
            </w:tr>
            <w:tr w14:paraId="2BE649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387" w:type="pct"/>
                  <w:vMerge w:val="continue"/>
                  <w:noWrap w:val="0"/>
                  <w:vAlign w:val="center"/>
                </w:tcPr>
                <w:p w14:paraId="07E6BCAB">
                  <w:pPr>
                    <w:numPr>
                      <w:ilvl w:val="0"/>
                      <w:numId w:val="0"/>
                    </w:numPr>
                    <w:spacing w:line="240" w:lineRule="auto"/>
                    <w:jc w:val="center"/>
                    <w:rPr>
                      <w:rFonts w:hint="eastAsia"/>
                    </w:rPr>
                  </w:pPr>
                </w:p>
              </w:tc>
              <w:tc>
                <w:tcPr>
                  <w:tcW w:w="550" w:type="pct"/>
                  <w:noWrap w:val="0"/>
                  <w:vAlign w:val="center"/>
                </w:tcPr>
                <w:p w14:paraId="1637F86C">
                  <w:pPr>
                    <w:autoSpaceDE w:val="0"/>
                    <w:autoSpaceDN w:val="0"/>
                    <w:adjustRightInd w:val="0"/>
                    <w:spacing w:line="240" w:lineRule="auto"/>
                    <w:jc w:val="center"/>
                    <w:rPr>
                      <w:rFonts w:hint="eastAsia" w:cs="Times New Roman"/>
                      <w:b w:val="0"/>
                      <w:bCs w:val="0"/>
                      <w:sz w:val="21"/>
                      <w:szCs w:val="21"/>
                      <w:lang w:val="en-US" w:eastAsia="zh-CN"/>
                    </w:rPr>
                  </w:pPr>
                  <w:r>
                    <w:rPr>
                      <w:rFonts w:hint="eastAsia" w:cs="Times New Roman"/>
                      <w:kern w:val="0"/>
                      <w:sz w:val="21"/>
                      <w:szCs w:val="21"/>
                      <w:lang w:val="en-US" w:eastAsia="zh-CN"/>
                    </w:rPr>
                    <w:t>办公室</w:t>
                  </w:r>
                </w:p>
              </w:tc>
              <w:tc>
                <w:tcPr>
                  <w:tcW w:w="2371" w:type="pct"/>
                  <w:noWrap w:val="0"/>
                  <w:vAlign w:val="center"/>
                </w:tcPr>
                <w:p w14:paraId="0BFC988B">
                  <w:pPr>
                    <w:pStyle w:val="92"/>
                    <w:spacing w:line="240" w:lineRule="auto"/>
                    <w:jc w:val="left"/>
                    <w:rPr>
                      <w:rFonts w:hint="default" w:ascii="Times New Roman" w:hAnsi="Times New Roman" w:eastAsia="宋体" w:cs="Times New Roman"/>
                      <w:kern w:val="0"/>
                      <w:sz w:val="21"/>
                      <w:szCs w:val="21"/>
                      <w:lang w:eastAsia="zh-CN"/>
                    </w:rPr>
                  </w:pPr>
                  <w:r>
                    <w:rPr>
                      <w:rFonts w:hint="default" w:ascii="Times New Roman" w:hAnsi="Times New Roman" w:eastAsia="宋体" w:cs="Times New Roman"/>
                      <w:kern w:val="0"/>
                      <w:sz w:val="21"/>
                      <w:szCs w:val="21"/>
                      <w:lang w:eastAsia="zh-CN"/>
                    </w:rPr>
                    <w:t>建筑面积</w:t>
                  </w:r>
                  <w:r>
                    <w:rPr>
                      <w:rFonts w:hint="eastAsia" w:ascii="Times New Roman" w:hAnsi="Times New Roman" w:cs="Times New Roman"/>
                      <w:kern w:val="0"/>
                      <w:sz w:val="21"/>
                      <w:szCs w:val="21"/>
                      <w:lang w:val="en-US" w:eastAsia="zh-CN"/>
                    </w:rPr>
                    <w:t>6.0</w:t>
                  </w:r>
                  <w:r>
                    <w:rPr>
                      <w:rFonts w:hint="default" w:ascii="Times New Roman" w:hAnsi="Times New Roman" w:eastAsia="宋体" w:cs="Times New Roman"/>
                      <w:kern w:val="0"/>
                      <w:sz w:val="21"/>
                      <w:szCs w:val="21"/>
                      <w:lang w:eastAsia="zh-CN"/>
                    </w:rPr>
                    <w:t>m</w:t>
                  </w:r>
                  <w:r>
                    <w:rPr>
                      <w:rFonts w:hint="default" w:ascii="Times New Roman" w:hAnsi="Times New Roman" w:eastAsia="宋体" w:cs="Times New Roman"/>
                      <w:kern w:val="0"/>
                      <w:sz w:val="21"/>
                      <w:szCs w:val="21"/>
                      <w:vertAlign w:val="superscript"/>
                      <w:lang w:eastAsia="zh-CN"/>
                    </w:rPr>
                    <w:t>2</w:t>
                  </w:r>
                  <w:r>
                    <w:rPr>
                      <w:rFonts w:hint="default" w:ascii="Times New Roman" w:hAnsi="Times New Roman" w:eastAsia="宋体" w:cs="Times New Roman"/>
                      <w:kern w:val="0"/>
                      <w:sz w:val="21"/>
                      <w:szCs w:val="21"/>
                      <w:lang w:eastAsia="zh-CN"/>
                    </w:rPr>
                    <w:t>，用于人员办公</w:t>
                  </w:r>
                  <w:r>
                    <w:rPr>
                      <w:rFonts w:hint="eastAsia" w:ascii="Times New Roman" w:hAnsi="Times New Roman" w:cs="Times New Roman"/>
                      <w:kern w:val="0"/>
                      <w:sz w:val="21"/>
                      <w:szCs w:val="21"/>
                      <w:lang w:val="en-US" w:eastAsia="zh-CN"/>
                    </w:rPr>
                    <w:t>及看管</w:t>
                  </w:r>
                  <w:r>
                    <w:rPr>
                      <w:rFonts w:hint="default" w:ascii="Times New Roman" w:hAnsi="Times New Roman" w:eastAsia="宋体" w:cs="Times New Roman"/>
                      <w:sz w:val="21"/>
                      <w:szCs w:val="21"/>
                      <w:lang w:eastAsia="zh-CN"/>
                    </w:rPr>
                    <w:t>；</w:t>
                  </w:r>
                </w:p>
              </w:tc>
              <w:tc>
                <w:tcPr>
                  <w:tcW w:w="587" w:type="pct"/>
                  <w:vMerge w:val="continue"/>
                  <w:noWrap w:val="0"/>
                  <w:vAlign w:val="center"/>
                </w:tcPr>
                <w:p w14:paraId="113584DA">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p>
              </w:tc>
              <w:tc>
                <w:tcPr>
                  <w:tcW w:w="716" w:type="pct"/>
                  <w:noWrap w:val="0"/>
                  <w:vAlign w:val="center"/>
                </w:tcPr>
                <w:p w14:paraId="71BF9A1B">
                  <w:pPr>
                    <w:pStyle w:val="92"/>
                    <w:spacing w:line="240" w:lineRule="auto"/>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生活垃圾</w:t>
                  </w:r>
                  <w:r>
                    <w:rPr>
                      <w:rFonts w:hint="eastAsia" w:ascii="Times New Roman" w:hAnsi="Times New Roman" w:eastAsia="宋体" w:cs="Times New Roman"/>
                      <w:sz w:val="21"/>
                      <w:szCs w:val="21"/>
                      <w:lang w:eastAsia="zh-CN"/>
                    </w:rPr>
                    <w:t>生活污水</w:t>
                  </w:r>
                </w:p>
              </w:tc>
              <w:tc>
                <w:tcPr>
                  <w:tcW w:w="386" w:type="pct"/>
                  <w:noWrap w:val="0"/>
                  <w:vAlign w:val="center"/>
                </w:tcPr>
                <w:p w14:paraId="2472A28D">
                  <w:p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sz w:val="21"/>
                      <w:szCs w:val="21"/>
                    </w:rPr>
                    <w:t>新建</w:t>
                  </w:r>
                </w:p>
              </w:tc>
            </w:tr>
            <w:tr w14:paraId="45F947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3" w:hRule="atLeast"/>
                <w:jc w:val="center"/>
              </w:trPr>
              <w:tc>
                <w:tcPr>
                  <w:tcW w:w="387" w:type="pct"/>
                  <w:noWrap w:val="0"/>
                  <w:vAlign w:val="center"/>
                </w:tcPr>
                <w:p w14:paraId="22FDC57E">
                  <w:pPr>
                    <w:numPr>
                      <w:ilvl w:val="0"/>
                      <w:numId w:val="0"/>
                    </w:numPr>
                    <w:spacing w:line="240" w:lineRule="auto"/>
                    <w:jc w:val="both"/>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辅助工程</w:t>
                  </w:r>
                </w:p>
              </w:tc>
              <w:tc>
                <w:tcPr>
                  <w:tcW w:w="550" w:type="pct"/>
                  <w:noWrap w:val="0"/>
                  <w:vAlign w:val="center"/>
                </w:tcPr>
                <w:p w14:paraId="68EB0D76">
                  <w:pPr>
                    <w:pStyle w:val="92"/>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ascii="Times New Roman" w:hAnsi="Times New Roman" w:cs="Times New Roman"/>
                      <w:sz w:val="21"/>
                      <w:szCs w:val="21"/>
                      <w:lang w:val="en-US" w:eastAsia="zh-CN"/>
                    </w:rPr>
                    <w:t>输油泵</w:t>
                  </w:r>
                </w:p>
              </w:tc>
              <w:tc>
                <w:tcPr>
                  <w:tcW w:w="2371" w:type="pct"/>
                  <w:noWrap w:val="0"/>
                  <w:vAlign w:val="center"/>
                </w:tcPr>
                <w:p w14:paraId="6BC38654">
                  <w:pPr>
                    <w:pStyle w:val="92"/>
                    <w:spacing w:line="240" w:lineRule="auto"/>
                    <w:jc w:val="both"/>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color w:val="000000"/>
                      <w:sz w:val="21"/>
                      <w:szCs w:val="21"/>
                    </w:rPr>
                    <w:t>设置</w:t>
                  </w:r>
                  <w:r>
                    <w:rPr>
                      <w:rFonts w:hint="eastAsia" w:ascii="Times New Roman" w:hAnsi="Times New Roman" w:cs="Times New Roman"/>
                      <w:color w:val="000000"/>
                      <w:sz w:val="21"/>
                      <w:szCs w:val="21"/>
                      <w:lang w:val="en-US" w:eastAsia="zh-CN"/>
                    </w:rPr>
                    <w:t>2</w:t>
                  </w:r>
                  <w:r>
                    <w:rPr>
                      <w:rFonts w:hint="default" w:ascii="Times New Roman" w:hAnsi="Times New Roman" w:eastAsia="宋体" w:cs="Times New Roman"/>
                      <w:color w:val="000000"/>
                      <w:sz w:val="21"/>
                      <w:szCs w:val="21"/>
                    </w:rPr>
                    <w:t>台油泵，一台是将运回的废矿物油卸入储存罐中用，第</w:t>
                  </w:r>
                  <w:r>
                    <w:rPr>
                      <w:rFonts w:hint="eastAsia" w:ascii="Times New Roman" w:hAnsi="Times New Roman" w:cs="Times New Roman"/>
                      <w:color w:val="000000"/>
                      <w:sz w:val="21"/>
                      <w:szCs w:val="21"/>
                      <w:lang w:val="en-US" w:eastAsia="zh-CN"/>
                    </w:rPr>
                    <w:t>二</w:t>
                  </w:r>
                  <w:r>
                    <w:rPr>
                      <w:rFonts w:hint="default" w:ascii="Times New Roman" w:hAnsi="Times New Roman" w:eastAsia="宋体" w:cs="Times New Roman"/>
                      <w:color w:val="000000"/>
                      <w:sz w:val="21"/>
                      <w:szCs w:val="21"/>
                    </w:rPr>
                    <w:t>台是从存储罐中倒入油罐车中用</w:t>
                  </w:r>
                  <w:r>
                    <w:rPr>
                      <w:rFonts w:hint="default" w:ascii="Times New Roman" w:hAnsi="Times New Roman" w:eastAsia="宋体" w:cs="Times New Roman"/>
                      <w:color w:val="000000"/>
                      <w:sz w:val="21"/>
                      <w:szCs w:val="21"/>
                      <w:lang w:eastAsia="zh-CN"/>
                    </w:rPr>
                    <w:t>；</w:t>
                  </w:r>
                </w:p>
              </w:tc>
              <w:tc>
                <w:tcPr>
                  <w:tcW w:w="587" w:type="pct"/>
                  <w:vMerge w:val="continue"/>
                  <w:noWrap w:val="0"/>
                  <w:vAlign w:val="center"/>
                </w:tcPr>
                <w:p w14:paraId="2918F6F8">
                  <w:pPr>
                    <w:spacing w:line="240" w:lineRule="auto"/>
                    <w:jc w:val="both"/>
                    <w:rPr>
                      <w:rFonts w:hint="default" w:ascii="Times New Roman" w:hAnsi="Times New Roman" w:eastAsia="宋体" w:cs="Times New Roman"/>
                      <w:b w:val="0"/>
                      <w:bCs w:val="0"/>
                      <w:color w:val="auto"/>
                      <w:sz w:val="21"/>
                      <w:szCs w:val="21"/>
                      <w:vertAlign w:val="baseline"/>
                      <w:lang w:val="en-US" w:eastAsia="zh-CN"/>
                    </w:rPr>
                  </w:pPr>
                </w:p>
              </w:tc>
              <w:tc>
                <w:tcPr>
                  <w:tcW w:w="716" w:type="pct"/>
                  <w:noWrap w:val="0"/>
                  <w:vAlign w:val="center"/>
                </w:tcPr>
                <w:p w14:paraId="573A2FC6">
                  <w:pPr>
                    <w:pStyle w:val="92"/>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sz w:val="21"/>
                      <w:szCs w:val="21"/>
                    </w:rPr>
                    <w:t>噪声</w:t>
                  </w:r>
                </w:p>
              </w:tc>
              <w:tc>
                <w:tcPr>
                  <w:tcW w:w="386" w:type="pct"/>
                  <w:noWrap w:val="0"/>
                  <w:vAlign w:val="center"/>
                </w:tcPr>
                <w:p w14:paraId="30A86E95">
                  <w:p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sz w:val="21"/>
                      <w:szCs w:val="21"/>
                    </w:rPr>
                    <w:t>新建</w:t>
                  </w:r>
                </w:p>
              </w:tc>
            </w:tr>
            <w:tr w14:paraId="7A4FEF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387" w:type="pct"/>
                  <w:vMerge w:val="restart"/>
                  <w:noWrap w:val="0"/>
                  <w:vAlign w:val="center"/>
                </w:tcPr>
                <w:p w14:paraId="2E6D03AD">
                  <w:pPr>
                    <w:pStyle w:val="92"/>
                    <w:spacing w:line="240" w:lineRule="auto"/>
                    <w:rPr>
                      <w:rFonts w:hint="default" w:ascii="Times New Roman" w:hAnsi="Times New Roman" w:eastAsia="宋体" w:cs="Times New Roman"/>
                      <w:b w:val="0"/>
                      <w:bCs w:val="0"/>
                      <w:color w:val="auto"/>
                      <w:sz w:val="21"/>
                      <w:szCs w:val="21"/>
                      <w:vertAlign w:val="baseline"/>
                    </w:rPr>
                  </w:pPr>
                  <w:r>
                    <w:rPr>
                      <w:rFonts w:hint="default" w:ascii="Times New Roman" w:hAnsi="Times New Roman" w:eastAsia="宋体" w:cs="Times New Roman"/>
                      <w:sz w:val="21"/>
                      <w:szCs w:val="21"/>
                    </w:rPr>
                    <w:t>公用工程</w:t>
                  </w:r>
                </w:p>
              </w:tc>
              <w:tc>
                <w:tcPr>
                  <w:tcW w:w="550" w:type="pct"/>
                  <w:noWrap w:val="0"/>
                  <w:vAlign w:val="center"/>
                </w:tcPr>
                <w:p w14:paraId="241FD50D">
                  <w:pPr>
                    <w:pStyle w:val="92"/>
                    <w:spacing w:line="240" w:lineRule="auto"/>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供热</w:t>
                  </w:r>
                </w:p>
                <w:p w14:paraId="7A4060CD">
                  <w:pPr>
                    <w:pStyle w:val="92"/>
                    <w:spacing w:line="240" w:lineRule="auto"/>
                    <w:jc w:val="center"/>
                    <w:rPr>
                      <w:rFonts w:hint="default" w:ascii="Times New Roman" w:hAnsi="Times New Roman" w:eastAsia="宋体" w:cs="Times New Roman"/>
                      <w:b w:val="0"/>
                      <w:bCs w:val="0"/>
                      <w:color w:val="000000"/>
                      <w:sz w:val="21"/>
                      <w:szCs w:val="21"/>
                      <w:vertAlign w:val="baseline"/>
                      <w:lang w:eastAsia="zh-CN"/>
                    </w:rPr>
                  </w:pPr>
                  <w:r>
                    <w:rPr>
                      <w:rFonts w:hint="default" w:ascii="Times New Roman" w:hAnsi="Times New Roman" w:eastAsia="宋体" w:cs="Times New Roman"/>
                      <w:sz w:val="21"/>
                      <w:szCs w:val="21"/>
                    </w:rPr>
                    <w:t>制冷</w:t>
                  </w:r>
                </w:p>
              </w:tc>
              <w:tc>
                <w:tcPr>
                  <w:tcW w:w="2371" w:type="pct"/>
                  <w:noWrap w:val="0"/>
                  <w:vAlign w:val="center"/>
                </w:tcPr>
                <w:p w14:paraId="255016FF">
                  <w:pPr>
                    <w:pStyle w:val="92"/>
                    <w:spacing w:line="240" w:lineRule="auto"/>
                    <w:jc w:val="both"/>
                    <w:rPr>
                      <w:rFonts w:hint="default" w:ascii="Times New Roman" w:hAnsi="Times New Roman" w:eastAsia="宋体" w:cs="Times New Roman"/>
                      <w:b w:val="0"/>
                      <w:bCs w:val="0"/>
                      <w:color w:val="auto"/>
                      <w:sz w:val="21"/>
                      <w:szCs w:val="21"/>
                      <w:vertAlign w:val="baseline"/>
                      <w:lang w:eastAsia="zh-CN"/>
                    </w:rPr>
                  </w:pPr>
                  <w:r>
                    <w:rPr>
                      <w:rFonts w:hint="default" w:ascii="Times New Roman" w:hAnsi="Times New Roman" w:eastAsia="宋体" w:cs="Times New Roman"/>
                      <w:color w:val="000000"/>
                      <w:sz w:val="21"/>
                      <w:szCs w:val="21"/>
                    </w:rPr>
                    <w:t>生产车间不采暖、不制冷，办公室夏季制冷、冬季供暖均采用分体式电空调</w:t>
                  </w:r>
                  <w:r>
                    <w:rPr>
                      <w:rFonts w:hint="default" w:ascii="Times New Roman" w:hAnsi="Times New Roman" w:eastAsia="宋体" w:cs="Times New Roman"/>
                      <w:color w:val="000000"/>
                      <w:sz w:val="21"/>
                      <w:szCs w:val="21"/>
                      <w:lang w:eastAsia="zh-CN"/>
                    </w:rPr>
                    <w:t>；</w:t>
                  </w:r>
                </w:p>
              </w:tc>
              <w:tc>
                <w:tcPr>
                  <w:tcW w:w="587" w:type="pct"/>
                  <w:vMerge w:val="continue"/>
                  <w:noWrap w:val="0"/>
                  <w:vAlign w:val="center"/>
                </w:tcPr>
                <w:p w14:paraId="146EEAC6">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p>
              </w:tc>
              <w:tc>
                <w:tcPr>
                  <w:tcW w:w="716" w:type="pct"/>
                  <w:noWrap w:val="0"/>
                  <w:vAlign w:val="center"/>
                </w:tcPr>
                <w:p w14:paraId="35433611">
                  <w:pPr>
                    <w:pStyle w:val="92"/>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sz w:val="21"/>
                      <w:szCs w:val="21"/>
                    </w:rPr>
                    <w:t>/</w:t>
                  </w:r>
                </w:p>
              </w:tc>
              <w:tc>
                <w:tcPr>
                  <w:tcW w:w="386" w:type="pct"/>
                  <w:noWrap w:val="0"/>
                  <w:vAlign w:val="center"/>
                </w:tcPr>
                <w:p w14:paraId="4083ACDA">
                  <w:p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sz w:val="21"/>
                      <w:szCs w:val="21"/>
                    </w:rPr>
                    <w:t>新建</w:t>
                  </w:r>
                </w:p>
              </w:tc>
            </w:tr>
            <w:tr w14:paraId="41EF6D4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387" w:type="pct"/>
                  <w:vMerge w:val="continue"/>
                  <w:noWrap w:val="0"/>
                  <w:vAlign w:val="center"/>
                </w:tcPr>
                <w:p w14:paraId="79055A28">
                  <w:pPr>
                    <w:pStyle w:val="92"/>
                    <w:spacing w:line="240" w:lineRule="auto"/>
                    <w:rPr>
                      <w:rFonts w:hint="default" w:ascii="Times New Roman" w:hAnsi="Times New Roman" w:eastAsia="宋体" w:cs="Times New Roman"/>
                      <w:sz w:val="21"/>
                      <w:szCs w:val="21"/>
                    </w:rPr>
                  </w:pPr>
                </w:p>
              </w:tc>
              <w:tc>
                <w:tcPr>
                  <w:tcW w:w="550" w:type="pct"/>
                  <w:noWrap w:val="0"/>
                  <w:vAlign w:val="center"/>
                </w:tcPr>
                <w:p w14:paraId="7EBBA973">
                  <w:pPr>
                    <w:pStyle w:val="92"/>
                    <w:spacing w:line="240" w:lineRule="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供电</w:t>
                  </w:r>
                </w:p>
                <w:p w14:paraId="66FFC780">
                  <w:pPr>
                    <w:pStyle w:val="92"/>
                    <w:spacing w:line="240" w:lineRule="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系统</w:t>
                  </w:r>
                </w:p>
              </w:tc>
              <w:tc>
                <w:tcPr>
                  <w:tcW w:w="2371" w:type="pct"/>
                  <w:noWrap w:val="0"/>
                  <w:vAlign w:val="center"/>
                </w:tcPr>
                <w:p w14:paraId="064598A1">
                  <w:pPr>
                    <w:pStyle w:val="92"/>
                    <w:spacing w:line="240" w:lineRule="auto"/>
                    <w:jc w:val="both"/>
                    <w:rPr>
                      <w:rFonts w:hint="eastAsia" w:ascii="Times New Roman" w:hAnsi="Times New Roman" w:cs="Times New Roman"/>
                      <w:color w:val="000000"/>
                      <w:sz w:val="21"/>
                      <w:szCs w:val="21"/>
                      <w:lang w:val="en-US" w:eastAsia="zh-CN"/>
                    </w:rPr>
                  </w:pPr>
                  <w:r>
                    <w:rPr>
                      <w:rFonts w:hint="default" w:ascii="Times New Roman" w:hAnsi="Times New Roman" w:eastAsia="宋体" w:cs="Times New Roman"/>
                      <w:color w:val="000000"/>
                      <w:sz w:val="21"/>
                      <w:szCs w:val="21"/>
                    </w:rPr>
                    <w:t>市政电网集中供电</w:t>
                  </w:r>
                  <w:r>
                    <w:rPr>
                      <w:rFonts w:hint="default" w:ascii="Times New Roman" w:hAnsi="Times New Roman" w:eastAsia="宋体" w:cs="Times New Roman"/>
                      <w:color w:val="000000"/>
                      <w:sz w:val="21"/>
                      <w:szCs w:val="21"/>
                      <w:lang w:eastAsia="zh-CN"/>
                    </w:rPr>
                    <w:t>；</w:t>
                  </w:r>
                </w:p>
              </w:tc>
              <w:tc>
                <w:tcPr>
                  <w:tcW w:w="587" w:type="pct"/>
                  <w:vMerge w:val="continue"/>
                  <w:noWrap w:val="0"/>
                  <w:vAlign w:val="center"/>
                </w:tcPr>
                <w:p w14:paraId="11590A68">
                  <w:pPr>
                    <w:numPr>
                      <w:ilvl w:val="0"/>
                      <w:numId w:val="0"/>
                    </w:numPr>
                    <w:spacing w:line="240" w:lineRule="auto"/>
                    <w:jc w:val="center"/>
                    <w:rPr>
                      <w:rFonts w:hint="default" w:ascii="Times New Roman" w:hAnsi="Times New Roman" w:eastAsia="宋体" w:cs="Times New Roman"/>
                      <w:b w:val="0"/>
                      <w:bCs w:val="0"/>
                      <w:sz w:val="21"/>
                      <w:szCs w:val="21"/>
                      <w:lang w:val="en-US" w:eastAsia="zh-CN"/>
                    </w:rPr>
                  </w:pPr>
                </w:p>
              </w:tc>
              <w:tc>
                <w:tcPr>
                  <w:tcW w:w="716" w:type="pct"/>
                  <w:noWrap w:val="0"/>
                  <w:vAlign w:val="center"/>
                </w:tcPr>
                <w:p w14:paraId="62BAE239">
                  <w:pPr>
                    <w:pStyle w:val="92"/>
                    <w:spacing w:line="240" w:lineRule="auto"/>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386" w:type="pct"/>
                  <w:noWrap w:val="0"/>
                  <w:vAlign w:val="center"/>
                </w:tcPr>
                <w:p w14:paraId="6837A823">
                  <w:pPr>
                    <w:spacing w:line="240" w:lineRule="auto"/>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依托现有</w:t>
                  </w:r>
                </w:p>
              </w:tc>
            </w:tr>
            <w:tr w14:paraId="607C47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387" w:type="pct"/>
                  <w:vMerge w:val="continue"/>
                  <w:noWrap w:val="0"/>
                  <w:vAlign w:val="center"/>
                </w:tcPr>
                <w:p w14:paraId="340D512E">
                  <w:pPr>
                    <w:pStyle w:val="92"/>
                    <w:spacing w:line="240" w:lineRule="auto"/>
                    <w:rPr>
                      <w:rFonts w:hint="default" w:ascii="Times New Roman" w:hAnsi="Times New Roman" w:eastAsia="宋体" w:cs="Times New Roman"/>
                      <w:sz w:val="21"/>
                      <w:szCs w:val="21"/>
                    </w:rPr>
                  </w:pPr>
                </w:p>
              </w:tc>
              <w:tc>
                <w:tcPr>
                  <w:tcW w:w="550" w:type="pct"/>
                  <w:noWrap w:val="0"/>
                  <w:vAlign w:val="center"/>
                </w:tcPr>
                <w:p w14:paraId="51C1EF85">
                  <w:pPr>
                    <w:pStyle w:val="92"/>
                    <w:spacing w:line="240" w:lineRule="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供水</w:t>
                  </w:r>
                </w:p>
                <w:p w14:paraId="600C391A">
                  <w:pPr>
                    <w:pStyle w:val="92"/>
                    <w:spacing w:line="240" w:lineRule="auto"/>
                    <w:rPr>
                      <w:rFonts w:hint="default" w:ascii="Times New Roman" w:hAnsi="Times New Roman" w:eastAsia="宋体" w:cs="Times New Roman"/>
                      <w:b w:val="0"/>
                      <w:bCs w:val="0"/>
                      <w:sz w:val="21"/>
                      <w:szCs w:val="21"/>
                    </w:rPr>
                  </w:pPr>
                  <w:r>
                    <w:rPr>
                      <w:rFonts w:hint="default" w:ascii="Times New Roman" w:hAnsi="Times New Roman" w:eastAsia="宋体" w:cs="Times New Roman"/>
                      <w:sz w:val="21"/>
                      <w:szCs w:val="21"/>
                    </w:rPr>
                    <w:t>系统</w:t>
                  </w:r>
                </w:p>
              </w:tc>
              <w:tc>
                <w:tcPr>
                  <w:tcW w:w="2371" w:type="pct"/>
                  <w:noWrap w:val="0"/>
                  <w:vAlign w:val="center"/>
                </w:tcPr>
                <w:p w14:paraId="41550310">
                  <w:pPr>
                    <w:pStyle w:val="92"/>
                    <w:spacing w:line="240" w:lineRule="auto"/>
                    <w:jc w:val="both"/>
                    <w:rPr>
                      <w:rFonts w:hint="default" w:ascii="Times New Roman" w:hAnsi="Times New Roman" w:eastAsia="宋体" w:cs="Times New Roman"/>
                      <w:b w:val="0"/>
                      <w:bCs w:val="0"/>
                      <w:sz w:val="21"/>
                      <w:szCs w:val="21"/>
                      <w:lang w:eastAsia="zh-CN"/>
                    </w:rPr>
                  </w:pPr>
                  <w:r>
                    <w:rPr>
                      <w:rFonts w:hint="eastAsia" w:ascii="Times New Roman" w:hAnsi="Times New Roman" w:cs="Times New Roman"/>
                      <w:color w:val="000000"/>
                      <w:sz w:val="21"/>
                      <w:szCs w:val="21"/>
                      <w:lang w:val="en-US" w:eastAsia="zh-CN"/>
                    </w:rPr>
                    <w:t>依托市政供水网供水</w:t>
                  </w:r>
                  <w:r>
                    <w:rPr>
                      <w:rFonts w:hint="eastAsia" w:ascii="Times New Roman" w:hAnsi="Times New Roman" w:eastAsia="宋体" w:cs="Times New Roman"/>
                      <w:color w:val="000000"/>
                      <w:sz w:val="21"/>
                      <w:szCs w:val="21"/>
                      <w:lang w:eastAsia="zh-CN"/>
                    </w:rPr>
                    <w:t>；</w:t>
                  </w:r>
                </w:p>
              </w:tc>
              <w:tc>
                <w:tcPr>
                  <w:tcW w:w="587" w:type="pct"/>
                  <w:vMerge w:val="continue"/>
                  <w:noWrap w:val="0"/>
                  <w:vAlign w:val="center"/>
                </w:tcPr>
                <w:p w14:paraId="4EB37EBE">
                  <w:pPr>
                    <w:numPr>
                      <w:ilvl w:val="0"/>
                      <w:numId w:val="0"/>
                    </w:numPr>
                    <w:spacing w:line="240" w:lineRule="auto"/>
                    <w:jc w:val="center"/>
                    <w:rPr>
                      <w:rFonts w:hint="default" w:ascii="Times New Roman" w:hAnsi="Times New Roman" w:eastAsia="宋体" w:cs="Times New Roman"/>
                      <w:b w:val="0"/>
                      <w:bCs w:val="0"/>
                      <w:sz w:val="21"/>
                      <w:szCs w:val="21"/>
                      <w:lang w:val="en-US" w:eastAsia="zh-CN"/>
                    </w:rPr>
                  </w:pPr>
                </w:p>
              </w:tc>
              <w:tc>
                <w:tcPr>
                  <w:tcW w:w="716" w:type="pct"/>
                  <w:noWrap w:val="0"/>
                  <w:vAlign w:val="center"/>
                </w:tcPr>
                <w:p w14:paraId="168E7D34">
                  <w:pPr>
                    <w:pStyle w:val="92"/>
                    <w:spacing w:line="240" w:lineRule="auto"/>
                    <w:jc w:val="center"/>
                    <w:rPr>
                      <w:rFonts w:hint="default" w:ascii="Times New Roman" w:hAnsi="Times New Roman" w:eastAsia="宋体" w:cs="Times New Roman"/>
                      <w:b w:val="0"/>
                      <w:bCs w:val="0"/>
                      <w:sz w:val="21"/>
                      <w:szCs w:val="21"/>
                      <w:lang w:val="en-US" w:eastAsia="zh-CN"/>
                    </w:rPr>
                  </w:pPr>
                  <w:r>
                    <w:rPr>
                      <w:rFonts w:hint="default" w:ascii="Times New Roman" w:hAnsi="Times New Roman" w:eastAsia="宋体" w:cs="Times New Roman"/>
                      <w:sz w:val="21"/>
                      <w:szCs w:val="21"/>
                    </w:rPr>
                    <w:t>/</w:t>
                  </w:r>
                </w:p>
              </w:tc>
              <w:tc>
                <w:tcPr>
                  <w:tcW w:w="386" w:type="pct"/>
                  <w:noWrap w:val="0"/>
                  <w:vAlign w:val="center"/>
                </w:tcPr>
                <w:p w14:paraId="19486409">
                  <w:pPr>
                    <w:spacing w:line="240" w:lineRule="auto"/>
                    <w:jc w:val="center"/>
                    <w:rPr>
                      <w:rFonts w:hint="default" w:ascii="Times New Roman" w:hAnsi="Times New Roman" w:eastAsia="宋体" w:cs="Times New Roman"/>
                      <w:b w:val="0"/>
                      <w:bCs w:val="0"/>
                      <w:sz w:val="21"/>
                      <w:szCs w:val="21"/>
                    </w:rPr>
                  </w:pPr>
                  <w:r>
                    <w:rPr>
                      <w:rFonts w:hint="default" w:ascii="Times New Roman" w:hAnsi="Times New Roman" w:eastAsia="宋体" w:cs="Times New Roman"/>
                      <w:sz w:val="21"/>
                      <w:szCs w:val="21"/>
                      <w:lang w:val="en-US" w:eastAsia="zh-CN"/>
                    </w:rPr>
                    <w:t>依托现有</w:t>
                  </w:r>
                </w:p>
              </w:tc>
            </w:tr>
            <w:tr w14:paraId="272A95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387" w:type="pct"/>
                  <w:vMerge w:val="continue"/>
                  <w:noWrap w:val="0"/>
                  <w:vAlign w:val="center"/>
                </w:tcPr>
                <w:p w14:paraId="1ACDBD0B">
                  <w:pPr>
                    <w:pStyle w:val="92"/>
                    <w:spacing w:line="240" w:lineRule="auto"/>
                    <w:rPr>
                      <w:rFonts w:hint="default" w:ascii="Times New Roman" w:hAnsi="Times New Roman" w:eastAsia="宋体" w:cs="Times New Roman"/>
                      <w:b w:val="0"/>
                      <w:bCs w:val="0"/>
                      <w:sz w:val="21"/>
                      <w:szCs w:val="21"/>
                    </w:rPr>
                  </w:pPr>
                </w:p>
              </w:tc>
              <w:tc>
                <w:tcPr>
                  <w:tcW w:w="550" w:type="pct"/>
                  <w:noWrap w:val="0"/>
                  <w:vAlign w:val="center"/>
                </w:tcPr>
                <w:p w14:paraId="6A759B92">
                  <w:pPr>
                    <w:pStyle w:val="92"/>
                    <w:spacing w:line="240" w:lineRule="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排水</w:t>
                  </w:r>
                </w:p>
                <w:p w14:paraId="08C0974B">
                  <w:pPr>
                    <w:pStyle w:val="92"/>
                    <w:spacing w:line="240" w:lineRule="auto"/>
                    <w:rPr>
                      <w:rFonts w:hint="default" w:ascii="Times New Roman" w:hAnsi="Times New Roman" w:eastAsia="宋体" w:cs="Times New Roman"/>
                      <w:b w:val="0"/>
                      <w:bCs w:val="0"/>
                      <w:sz w:val="21"/>
                      <w:szCs w:val="21"/>
                    </w:rPr>
                  </w:pPr>
                  <w:r>
                    <w:rPr>
                      <w:rFonts w:hint="default" w:ascii="Times New Roman" w:hAnsi="Times New Roman" w:eastAsia="宋体" w:cs="Times New Roman"/>
                      <w:sz w:val="21"/>
                      <w:szCs w:val="21"/>
                    </w:rPr>
                    <w:t>系统</w:t>
                  </w:r>
                </w:p>
              </w:tc>
              <w:tc>
                <w:tcPr>
                  <w:tcW w:w="2371" w:type="pct"/>
                  <w:noWrap w:val="0"/>
                  <w:vAlign w:val="center"/>
                </w:tcPr>
                <w:p w14:paraId="0ABA94F1">
                  <w:pPr>
                    <w:autoSpaceDE w:val="0"/>
                    <w:autoSpaceDN w:val="0"/>
                    <w:adjustRightInd w:val="0"/>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rPr>
                    <w:t>园区雨水管网、污水管网</w:t>
                  </w:r>
                  <w:r>
                    <w:rPr>
                      <w:rFonts w:hint="eastAsia"/>
                      <w:lang w:eastAsia="zh-CN"/>
                    </w:rPr>
                    <w:t>；</w:t>
                  </w:r>
                </w:p>
              </w:tc>
              <w:tc>
                <w:tcPr>
                  <w:tcW w:w="587" w:type="pct"/>
                  <w:vMerge w:val="continue"/>
                  <w:noWrap w:val="0"/>
                  <w:vAlign w:val="center"/>
                </w:tcPr>
                <w:p w14:paraId="0E25EC49">
                  <w:pPr>
                    <w:numPr>
                      <w:ilvl w:val="0"/>
                      <w:numId w:val="0"/>
                    </w:numPr>
                    <w:spacing w:line="240" w:lineRule="auto"/>
                    <w:jc w:val="both"/>
                    <w:rPr>
                      <w:rFonts w:hint="default" w:ascii="Times New Roman" w:hAnsi="Times New Roman" w:eastAsia="宋体" w:cs="Times New Roman"/>
                      <w:b w:val="0"/>
                      <w:bCs w:val="0"/>
                      <w:color w:val="auto"/>
                      <w:sz w:val="21"/>
                      <w:szCs w:val="21"/>
                      <w:lang w:val="en-US" w:eastAsia="zh-CN"/>
                    </w:rPr>
                  </w:pPr>
                </w:p>
              </w:tc>
              <w:tc>
                <w:tcPr>
                  <w:tcW w:w="716" w:type="pct"/>
                  <w:noWrap w:val="0"/>
                  <w:vAlign w:val="center"/>
                </w:tcPr>
                <w:p w14:paraId="676C74AB">
                  <w:pPr>
                    <w:pStyle w:val="92"/>
                    <w:spacing w:line="240" w:lineRule="auto"/>
                    <w:jc w:val="center"/>
                    <w:rPr>
                      <w:rFonts w:hint="default" w:ascii="Times New Roman" w:hAnsi="Times New Roman" w:eastAsia="宋体" w:cs="Times New Roman"/>
                      <w:b w:val="0"/>
                      <w:bCs w:val="0"/>
                      <w:color w:val="auto"/>
                      <w:sz w:val="21"/>
                      <w:szCs w:val="21"/>
                      <w:lang w:val="en-US" w:eastAsia="zh-CN"/>
                    </w:rPr>
                  </w:pPr>
                  <w:r>
                    <w:rPr>
                      <w:rFonts w:hint="default" w:ascii="Times New Roman" w:hAnsi="Times New Roman" w:eastAsia="宋体" w:cs="Times New Roman"/>
                      <w:sz w:val="21"/>
                      <w:szCs w:val="21"/>
                      <w:lang w:val="en-US" w:eastAsia="zh-CN"/>
                    </w:rPr>
                    <w:t>废水</w:t>
                  </w:r>
                </w:p>
              </w:tc>
              <w:tc>
                <w:tcPr>
                  <w:tcW w:w="386" w:type="pct"/>
                  <w:noWrap w:val="0"/>
                  <w:vAlign w:val="center"/>
                </w:tcPr>
                <w:p w14:paraId="6CC0C140">
                  <w:pPr>
                    <w:spacing w:line="240" w:lineRule="auto"/>
                    <w:jc w:val="center"/>
                    <w:rPr>
                      <w:rFonts w:hint="default" w:ascii="Times New Roman" w:hAnsi="Times New Roman" w:eastAsia="宋体" w:cs="Times New Roman"/>
                      <w:b w:val="0"/>
                      <w:bCs w:val="0"/>
                      <w:color w:val="auto"/>
                      <w:sz w:val="21"/>
                      <w:szCs w:val="21"/>
                    </w:rPr>
                  </w:pPr>
                  <w:r>
                    <w:rPr>
                      <w:rFonts w:hint="default" w:ascii="Times New Roman" w:hAnsi="Times New Roman" w:eastAsia="宋体" w:cs="Times New Roman"/>
                      <w:sz w:val="21"/>
                      <w:szCs w:val="21"/>
                      <w:lang w:val="en-US" w:eastAsia="zh-CN"/>
                    </w:rPr>
                    <w:t>依托现有</w:t>
                  </w:r>
                </w:p>
              </w:tc>
            </w:tr>
            <w:tr w14:paraId="595AAF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7" w:hRule="atLeast"/>
                <w:jc w:val="center"/>
              </w:trPr>
              <w:tc>
                <w:tcPr>
                  <w:tcW w:w="387" w:type="pct"/>
                  <w:vMerge w:val="restart"/>
                  <w:noWrap w:val="0"/>
                  <w:vAlign w:val="center"/>
                </w:tcPr>
                <w:p w14:paraId="4E79CAC4">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环保工程</w:t>
                  </w:r>
                </w:p>
              </w:tc>
              <w:tc>
                <w:tcPr>
                  <w:tcW w:w="550" w:type="pct"/>
                  <w:noWrap w:val="0"/>
                  <w:vAlign w:val="center"/>
                </w:tcPr>
                <w:p w14:paraId="07C67115">
                  <w:pPr>
                    <w:pStyle w:val="92"/>
                    <w:spacing w:line="240" w:lineRule="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废气</w:t>
                  </w:r>
                </w:p>
                <w:p w14:paraId="22656B85">
                  <w:pPr>
                    <w:pStyle w:val="92"/>
                    <w:spacing w:line="240" w:lineRule="auto"/>
                    <w:rPr>
                      <w:rFonts w:hint="default" w:ascii="Times New Roman" w:hAnsi="Times New Roman" w:eastAsia="宋体" w:cs="Times New Roman"/>
                      <w:b w:val="0"/>
                      <w:bCs w:val="0"/>
                      <w:color w:val="auto"/>
                      <w:sz w:val="21"/>
                      <w:szCs w:val="21"/>
                      <w:vertAlign w:val="baseline"/>
                    </w:rPr>
                  </w:pPr>
                  <w:r>
                    <w:rPr>
                      <w:rFonts w:hint="default" w:ascii="Times New Roman" w:hAnsi="Times New Roman" w:eastAsia="宋体" w:cs="Times New Roman"/>
                      <w:color w:val="auto"/>
                      <w:sz w:val="21"/>
                      <w:szCs w:val="21"/>
                    </w:rPr>
                    <w:t>治理</w:t>
                  </w:r>
                </w:p>
              </w:tc>
              <w:tc>
                <w:tcPr>
                  <w:tcW w:w="2371" w:type="pct"/>
                  <w:noWrap w:val="0"/>
                  <w:vAlign w:val="center"/>
                </w:tcPr>
                <w:p w14:paraId="42FA6E1C">
                  <w:pPr>
                    <w:spacing w:line="240" w:lineRule="auto"/>
                    <w:jc w:val="both"/>
                    <w:rPr>
                      <w:rFonts w:hint="default" w:ascii="Times New Roman" w:hAnsi="Times New Roman" w:eastAsia="宋体" w:cs="Times New Roman"/>
                      <w:b w:val="0"/>
                      <w:bCs w:val="0"/>
                      <w:color w:val="auto"/>
                      <w:sz w:val="21"/>
                      <w:szCs w:val="21"/>
                      <w:vertAlign w:val="baseline"/>
                      <w:lang w:eastAsia="zh-CN"/>
                    </w:rPr>
                  </w:pPr>
                  <w:r>
                    <w:rPr>
                      <w:rFonts w:hint="eastAsia" w:cs="Times New Roman"/>
                      <w:color w:val="auto"/>
                      <w:kern w:val="0"/>
                      <w:sz w:val="21"/>
                      <w:szCs w:val="21"/>
                      <w:lang w:val="en-US" w:eastAsia="zh-CN"/>
                    </w:rPr>
                    <w:t>废矿物油装卸以及暂存过程储油罐会产生“大呼吸”与“小呼吸”有机废气，有机废气通过呼吸口上方的伞罩型集气罩收集后，进入“二级活性炭吸附设备”处理，处理后通过1根15m高排气筒有组织排放。</w:t>
                  </w:r>
                </w:p>
              </w:tc>
              <w:tc>
                <w:tcPr>
                  <w:tcW w:w="587" w:type="pct"/>
                  <w:vMerge w:val="continue"/>
                  <w:noWrap w:val="0"/>
                  <w:vAlign w:val="center"/>
                </w:tcPr>
                <w:p w14:paraId="3193ADB8">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p>
              </w:tc>
              <w:tc>
                <w:tcPr>
                  <w:tcW w:w="716" w:type="pct"/>
                  <w:noWrap w:val="0"/>
                  <w:vAlign w:val="center"/>
                </w:tcPr>
                <w:p w14:paraId="79E5C5C7">
                  <w:pPr>
                    <w:pStyle w:val="92"/>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color w:val="auto"/>
                      <w:sz w:val="21"/>
                      <w:szCs w:val="21"/>
                    </w:rPr>
                    <w:t>废气</w:t>
                  </w:r>
                </w:p>
              </w:tc>
              <w:tc>
                <w:tcPr>
                  <w:tcW w:w="386" w:type="pct"/>
                  <w:noWrap w:val="0"/>
                  <w:vAlign w:val="center"/>
                </w:tcPr>
                <w:p w14:paraId="4344CB9F">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新建</w:t>
                  </w:r>
                </w:p>
              </w:tc>
            </w:tr>
            <w:tr w14:paraId="162096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7" w:hRule="atLeast"/>
                <w:jc w:val="center"/>
              </w:trPr>
              <w:tc>
                <w:tcPr>
                  <w:tcW w:w="387" w:type="pct"/>
                  <w:vMerge w:val="continue"/>
                  <w:noWrap w:val="0"/>
                  <w:vAlign w:val="center"/>
                </w:tcPr>
                <w:p w14:paraId="523C51DD">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p>
              </w:tc>
              <w:tc>
                <w:tcPr>
                  <w:tcW w:w="550" w:type="pct"/>
                  <w:noWrap w:val="0"/>
                  <w:vAlign w:val="center"/>
                </w:tcPr>
                <w:p w14:paraId="556EE319">
                  <w:pPr>
                    <w:pStyle w:val="92"/>
                    <w:spacing w:line="240" w:lineRule="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废水</w:t>
                  </w:r>
                </w:p>
                <w:p w14:paraId="1D85376D">
                  <w:pPr>
                    <w:pStyle w:val="92"/>
                    <w:spacing w:line="240" w:lineRule="auto"/>
                    <w:rPr>
                      <w:rFonts w:hint="default" w:ascii="Times New Roman" w:hAnsi="Times New Roman" w:eastAsia="宋体" w:cs="Times New Roman"/>
                      <w:sz w:val="21"/>
                      <w:szCs w:val="21"/>
                    </w:rPr>
                  </w:pPr>
                  <w:r>
                    <w:rPr>
                      <w:rFonts w:hint="default" w:ascii="Times New Roman" w:hAnsi="Times New Roman" w:eastAsia="宋体" w:cs="Times New Roman"/>
                      <w:color w:val="auto"/>
                      <w:sz w:val="21"/>
                      <w:szCs w:val="21"/>
                    </w:rPr>
                    <w:t>治理</w:t>
                  </w:r>
                </w:p>
              </w:tc>
              <w:tc>
                <w:tcPr>
                  <w:tcW w:w="2371" w:type="pct"/>
                  <w:noWrap w:val="0"/>
                  <w:vAlign w:val="center"/>
                </w:tcPr>
                <w:p w14:paraId="14D447BC">
                  <w:pPr>
                    <w:autoSpaceDE w:val="0"/>
                    <w:autoSpaceDN w:val="0"/>
                    <w:adjustRightInd w:val="0"/>
                    <w:spacing w:line="240" w:lineRule="auto"/>
                    <w:jc w:val="both"/>
                    <w:rPr>
                      <w:rFonts w:hint="default" w:ascii="Times New Roman" w:hAnsi="Times New Roman" w:eastAsia="宋体" w:cs="Times New Roman"/>
                      <w:color w:val="auto"/>
                      <w:sz w:val="21"/>
                      <w:szCs w:val="21"/>
                    </w:rPr>
                  </w:pPr>
                  <w:r>
                    <w:rPr>
                      <w:rFonts w:hint="eastAsia" w:ascii="Times New Roman" w:hAnsi="Times New Roman" w:eastAsia="宋体" w:cs="Times New Roman"/>
                      <w:color w:val="auto"/>
                      <w:kern w:val="0"/>
                      <w:sz w:val="21"/>
                      <w:szCs w:val="21"/>
                      <w:lang w:eastAsia="zh-CN"/>
                    </w:rPr>
                    <w:t>厂区采取雨污分流。雨水汇流后经厂区雨水总排口排入市政雨水管网；排水主要为生活污水，经生活污水</w:t>
                  </w:r>
                  <w:r>
                    <w:rPr>
                      <w:rFonts w:hint="eastAsia" w:cs="Times New Roman"/>
                      <w:color w:val="auto"/>
                      <w:kern w:val="0"/>
                      <w:sz w:val="21"/>
                      <w:szCs w:val="21"/>
                      <w:lang w:val="en-US" w:eastAsia="zh-CN"/>
                    </w:rPr>
                    <w:t>预处理池</w:t>
                  </w:r>
                  <w:r>
                    <w:rPr>
                      <w:rFonts w:hint="eastAsia" w:ascii="Times New Roman" w:hAnsi="Times New Roman" w:eastAsia="宋体" w:cs="Times New Roman"/>
                      <w:color w:val="auto"/>
                      <w:kern w:val="0"/>
                      <w:sz w:val="21"/>
                      <w:szCs w:val="21"/>
                      <w:lang w:eastAsia="zh-CN"/>
                    </w:rPr>
                    <w:t>停留沉淀后通过园区污水管网，排入</w:t>
                  </w:r>
                  <w:r>
                    <w:rPr>
                      <w:rFonts w:hint="eastAsia" w:cs="Times New Roman"/>
                      <w:color w:val="auto"/>
                      <w:kern w:val="0"/>
                      <w:sz w:val="21"/>
                      <w:szCs w:val="21"/>
                      <w:lang w:eastAsia="zh-CN"/>
                    </w:rPr>
                    <w:t>安居区龙眼井污水处理厂</w:t>
                  </w:r>
                  <w:r>
                    <w:rPr>
                      <w:rFonts w:hint="eastAsia" w:ascii="Times New Roman" w:hAnsi="Times New Roman" w:eastAsia="宋体" w:cs="Times New Roman"/>
                      <w:color w:val="auto"/>
                      <w:kern w:val="0"/>
                      <w:sz w:val="21"/>
                      <w:szCs w:val="21"/>
                      <w:lang w:eastAsia="zh-CN"/>
                    </w:rPr>
                    <w:t>集中处理</w:t>
                  </w:r>
                  <w:r>
                    <w:rPr>
                      <w:rFonts w:hint="default" w:ascii="Times New Roman" w:hAnsi="Times New Roman" w:eastAsia="宋体" w:cs="Times New Roman"/>
                      <w:color w:val="auto"/>
                      <w:kern w:val="0"/>
                      <w:sz w:val="21"/>
                      <w:szCs w:val="21"/>
                    </w:rPr>
                    <w:t>；</w:t>
                  </w:r>
                </w:p>
              </w:tc>
              <w:tc>
                <w:tcPr>
                  <w:tcW w:w="587" w:type="pct"/>
                  <w:vMerge w:val="continue"/>
                  <w:noWrap w:val="0"/>
                  <w:vAlign w:val="center"/>
                </w:tcPr>
                <w:p w14:paraId="264B8387">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p>
              </w:tc>
              <w:tc>
                <w:tcPr>
                  <w:tcW w:w="716" w:type="pct"/>
                  <w:noWrap w:val="0"/>
                  <w:vAlign w:val="center"/>
                </w:tcPr>
                <w:p w14:paraId="71E6C453">
                  <w:pPr>
                    <w:pStyle w:val="92"/>
                    <w:spacing w:line="240" w:lineRule="auto"/>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废水</w:t>
                  </w:r>
                </w:p>
              </w:tc>
              <w:tc>
                <w:tcPr>
                  <w:tcW w:w="386" w:type="pct"/>
                  <w:noWrap w:val="0"/>
                  <w:vAlign w:val="center"/>
                </w:tcPr>
                <w:p w14:paraId="3C15A9C1">
                  <w:pPr>
                    <w:spacing w:line="240" w:lineRule="auto"/>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lang w:val="en-US" w:eastAsia="zh-CN"/>
                    </w:rPr>
                    <w:t>依托现有</w:t>
                  </w:r>
                </w:p>
              </w:tc>
            </w:tr>
            <w:tr w14:paraId="1F7BA0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387" w:type="pct"/>
                  <w:vMerge w:val="continue"/>
                  <w:noWrap w:val="0"/>
                  <w:vAlign w:val="center"/>
                </w:tcPr>
                <w:p w14:paraId="169B5046">
                  <w:pPr>
                    <w:spacing w:line="240" w:lineRule="auto"/>
                    <w:jc w:val="center"/>
                    <w:rPr>
                      <w:rFonts w:hint="default" w:ascii="Times New Roman" w:hAnsi="Times New Roman" w:eastAsia="宋体" w:cs="Times New Roman"/>
                      <w:b/>
                      <w:bCs/>
                      <w:color w:val="auto"/>
                      <w:sz w:val="21"/>
                      <w:szCs w:val="21"/>
                    </w:rPr>
                  </w:pPr>
                </w:p>
              </w:tc>
              <w:tc>
                <w:tcPr>
                  <w:tcW w:w="550" w:type="pct"/>
                  <w:noWrap w:val="0"/>
                  <w:vAlign w:val="center"/>
                </w:tcPr>
                <w:p w14:paraId="0B33FE39">
                  <w:pPr>
                    <w:pStyle w:val="92"/>
                    <w:spacing w:line="240" w:lineRule="auto"/>
                    <w:rPr>
                      <w:rFonts w:hint="default" w:ascii="Times New Roman" w:hAnsi="Times New Roman" w:eastAsia="宋体" w:cs="Times New Roman"/>
                      <w:b/>
                      <w:bCs/>
                      <w:color w:val="auto"/>
                      <w:sz w:val="21"/>
                      <w:szCs w:val="21"/>
                    </w:rPr>
                  </w:pPr>
                  <w:r>
                    <w:rPr>
                      <w:rFonts w:hint="default" w:ascii="Times New Roman" w:hAnsi="Times New Roman" w:eastAsia="宋体" w:cs="Times New Roman"/>
                      <w:color w:val="auto"/>
                      <w:sz w:val="21"/>
                      <w:szCs w:val="21"/>
                    </w:rPr>
                    <w:t>固废</w:t>
                  </w:r>
                </w:p>
              </w:tc>
              <w:tc>
                <w:tcPr>
                  <w:tcW w:w="2371" w:type="pct"/>
                  <w:noWrap w:val="0"/>
                  <w:vAlign w:val="center"/>
                </w:tcPr>
                <w:p w14:paraId="19CAB140">
                  <w:pPr>
                    <w:autoSpaceDE w:val="0"/>
                    <w:autoSpaceDN w:val="0"/>
                    <w:adjustRightInd w:val="0"/>
                    <w:spacing w:line="240" w:lineRule="auto"/>
                    <w:jc w:val="both"/>
                    <w:rPr>
                      <w:rFonts w:hint="eastAsia" w:cs="Times New Roman"/>
                      <w:color w:val="auto"/>
                      <w:kern w:val="0"/>
                      <w:sz w:val="21"/>
                      <w:szCs w:val="21"/>
                      <w:lang w:eastAsia="zh-CN"/>
                    </w:rPr>
                  </w:pPr>
                  <w:r>
                    <w:rPr>
                      <w:rFonts w:hint="default" w:ascii="Times New Roman" w:hAnsi="Times New Roman" w:eastAsia="宋体" w:cs="Times New Roman"/>
                      <w:color w:val="auto"/>
                      <w:kern w:val="0"/>
                      <w:sz w:val="21"/>
                      <w:szCs w:val="21"/>
                    </w:rPr>
                    <w:t>废含油抹布与手套、油泥</w:t>
                  </w:r>
                  <w:r>
                    <w:rPr>
                      <w:rFonts w:hint="eastAsia" w:cs="Times New Roman"/>
                      <w:color w:val="auto"/>
                      <w:kern w:val="0"/>
                      <w:sz w:val="21"/>
                      <w:szCs w:val="21"/>
                      <w:lang w:eastAsia="zh-CN"/>
                    </w:rPr>
                    <w:t>、</w:t>
                  </w:r>
                  <w:r>
                    <w:rPr>
                      <w:rFonts w:hint="default" w:ascii="Times New Roman" w:hAnsi="Times New Roman" w:eastAsia="宋体" w:cs="Times New Roman"/>
                      <w:color w:val="auto"/>
                      <w:kern w:val="0"/>
                      <w:sz w:val="21"/>
                      <w:szCs w:val="21"/>
                    </w:rPr>
                    <w:t>实验废液、废试剂瓶、废活性炭等危险废物</w:t>
                  </w:r>
                  <w:r>
                    <w:rPr>
                      <w:rFonts w:hint="eastAsia" w:cs="Times New Roman"/>
                      <w:color w:val="auto"/>
                      <w:kern w:val="0"/>
                      <w:sz w:val="21"/>
                      <w:szCs w:val="21"/>
                      <w:lang w:eastAsia="zh-CN"/>
                    </w:rPr>
                    <w:t>，</w:t>
                  </w:r>
                  <w:r>
                    <w:rPr>
                      <w:rFonts w:hint="default" w:ascii="Times New Roman" w:hAnsi="Times New Roman" w:eastAsia="宋体" w:cs="Times New Roman"/>
                      <w:color w:val="auto"/>
                      <w:kern w:val="0"/>
                      <w:sz w:val="21"/>
                      <w:szCs w:val="21"/>
                    </w:rPr>
                    <w:t>在厂区危废暂存间（车间内西北侧，面积</w:t>
                  </w:r>
                  <w:r>
                    <w:rPr>
                      <w:rFonts w:hint="eastAsia" w:cs="Times New Roman"/>
                      <w:color w:val="auto"/>
                      <w:kern w:val="0"/>
                      <w:sz w:val="21"/>
                      <w:szCs w:val="21"/>
                      <w:lang w:val="en-US" w:eastAsia="zh-CN"/>
                    </w:rPr>
                    <w:t>6</w:t>
                  </w:r>
                  <w:r>
                    <w:rPr>
                      <w:rFonts w:hint="default" w:ascii="Times New Roman" w:hAnsi="Times New Roman" w:eastAsia="宋体" w:cs="Times New Roman"/>
                      <w:color w:val="auto"/>
                      <w:kern w:val="0"/>
                      <w:sz w:val="21"/>
                      <w:szCs w:val="21"/>
                    </w:rPr>
                    <w:t>m</w:t>
                  </w:r>
                  <w:r>
                    <w:rPr>
                      <w:rFonts w:hint="default" w:ascii="Times New Roman" w:hAnsi="Times New Roman" w:eastAsia="宋体" w:cs="Times New Roman"/>
                      <w:color w:val="auto"/>
                      <w:kern w:val="0"/>
                      <w:sz w:val="21"/>
                      <w:szCs w:val="21"/>
                      <w:vertAlign w:val="superscript"/>
                    </w:rPr>
                    <w:t>2</w:t>
                  </w:r>
                  <w:r>
                    <w:rPr>
                      <w:rFonts w:hint="default" w:ascii="Times New Roman" w:hAnsi="Times New Roman" w:eastAsia="宋体" w:cs="Times New Roman"/>
                      <w:color w:val="auto"/>
                      <w:kern w:val="0"/>
                      <w:sz w:val="21"/>
                      <w:szCs w:val="21"/>
                    </w:rPr>
                    <w:t>）暂存后</w:t>
                  </w:r>
                  <w:r>
                    <w:rPr>
                      <w:rFonts w:hint="eastAsia" w:cs="Times New Roman"/>
                      <w:color w:val="auto"/>
                      <w:kern w:val="0"/>
                      <w:sz w:val="21"/>
                      <w:szCs w:val="21"/>
                      <w:lang w:eastAsia="zh-CN"/>
                    </w:rPr>
                    <w:t>，</w:t>
                  </w:r>
                  <w:r>
                    <w:rPr>
                      <w:rFonts w:hint="eastAsia" w:cs="Times New Roman"/>
                      <w:color w:val="auto"/>
                      <w:kern w:val="0"/>
                      <w:sz w:val="21"/>
                      <w:szCs w:val="21"/>
                      <w:lang w:val="en-US" w:eastAsia="zh-CN"/>
                    </w:rPr>
                    <w:t>定期</w:t>
                  </w:r>
                  <w:r>
                    <w:rPr>
                      <w:rFonts w:hint="default" w:ascii="Times New Roman" w:hAnsi="Times New Roman" w:eastAsia="宋体" w:cs="Times New Roman"/>
                      <w:color w:val="auto"/>
                      <w:kern w:val="0"/>
                      <w:sz w:val="21"/>
                      <w:szCs w:val="21"/>
                    </w:rPr>
                    <w:t>交由有危险废物处理资质的单位处理</w:t>
                  </w:r>
                  <w:r>
                    <w:rPr>
                      <w:rFonts w:hint="eastAsia" w:cs="Times New Roman"/>
                      <w:color w:val="auto"/>
                      <w:kern w:val="0"/>
                      <w:sz w:val="21"/>
                      <w:szCs w:val="21"/>
                      <w:lang w:eastAsia="zh-CN"/>
                    </w:rPr>
                    <w:t>；</w:t>
                  </w:r>
                </w:p>
                <w:p w14:paraId="72359C34">
                  <w:pPr>
                    <w:autoSpaceDE w:val="0"/>
                    <w:autoSpaceDN w:val="0"/>
                    <w:adjustRightInd w:val="0"/>
                    <w:spacing w:line="240" w:lineRule="auto"/>
                    <w:jc w:val="both"/>
                    <w:rPr>
                      <w:rFonts w:hint="default" w:ascii="Times New Roman" w:hAnsi="Times New Roman" w:eastAsia="宋体" w:cs="Times New Roman"/>
                      <w:b w:val="0"/>
                      <w:bCs w:val="0"/>
                      <w:color w:val="auto"/>
                      <w:sz w:val="21"/>
                      <w:szCs w:val="21"/>
                      <w:lang w:val="en-US" w:eastAsia="zh-CN"/>
                    </w:rPr>
                  </w:pPr>
                  <w:r>
                    <w:rPr>
                      <w:rFonts w:hint="default" w:ascii="Times New Roman" w:hAnsi="Times New Roman" w:eastAsia="宋体" w:cs="Times New Roman"/>
                      <w:color w:val="auto"/>
                      <w:kern w:val="0"/>
                      <w:sz w:val="21"/>
                      <w:szCs w:val="21"/>
                    </w:rPr>
                    <w:t>生活垃圾交由环卫部门统一清运；</w:t>
                  </w:r>
                </w:p>
              </w:tc>
              <w:tc>
                <w:tcPr>
                  <w:tcW w:w="587" w:type="pct"/>
                  <w:vMerge w:val="continue"/>
                  <w:noWrap w:val="0"/>
                  <w:vAlign w:val="center"/>
                </w:tcPr>
                <w:p w14:paraId="7250B513">
                  <w:pPr>
                    <w:spacing w:line="240" w:lineRule="auto"/>
                    <w:jc w:val="left"/>
                    <w:rPr>
                      <w:rFonts w:hint="default" w:ascii="Times New Roman" w:hAnsi="Times New Roman" w:eastAsia="宋体" w:cs="Times New Roman"/>
                      <w:sz w:val="21"/>
                      <w:szCs w:val="21"/>
                      <w:lang w:val="en-US" w:eastAsia="zh-CN"/>
                    </w:rPr>
                  </w:pPr>
                </w:p>
              </w:tc>
              <w:tc>
                <w:tcPr>
                  <w:tcW w:w="716" w:type="pct"/>
                  <w:noWrap w:val="0"/>
                  <w:vAlign w:val="center"/>
                </w:tcPr>
                <w:p w14:paraId="00C54138">
                  <w:pPr>
                    <w:pStyle w:val="92"/>
                    <w:spacing w:line="240" w:lineRule="auto"/>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rPr>
                    <w:t>固</w:t>
                  </w:r>
                  <w:r>
                    <w:rPr>
                      <w:rFonts w:hint="eastAsia" w:ascii="Times New Roman" w:hAnsi="Times New Roman" w:cs="Times New Roman"/>
                      <w:sz w:val="21"/>
                      <w:szCs w:val="21"/>
                      <w:lang w:val="en-US" w:eastAsia="zh-CN"/>
                    </w:rPr>
                    <w:t>体废物</w:t>
                  </w:r>
                </w:p>
              </w:tc>
              <w:tc>
                <w:tcPr>
                  <w:tcW w:w="386" w:type="pct"/>
                  <w:noWrap w:val="0"/>
                  <w:vAlign w:val="center"/>
                </w:tcPr>
                <w:p w14:paraId="47BEAEC9">
                  <w:pPr>
                    <w:spacing w:line="240" w:lineRule="auto"/>
                    <w:jc w:val="center"/>
                    <w:rPr>
                      <w:rFonts w:hint="default" w:ascii="Times New Roman" w:hAnsi="Times New Roman" w:eastAsia="宋体" w:cs="Times New Roman"/>
                      <w:b w:val="0"/>
                      <w:bCs w:val="0"/>
                      <w:color w:val="auto"/>
                      <w:sz w:val="21"/>
                      <w:szCs w:val="21"/>
                      <w:lang w:val="en-US" w:eastAsia="zh-CN"/>
                    </w:rPr>
                  </w:pPr>
                  <w:r>
                    <w:rPr>
                      <w:rFonts w:hint="default" w:ascii="Times New Roman" w:hAnsi="Times New Roman" w:eastAsia="宋体" w:cs="Times New Roman"/>
                      <w:sz w:val="21"/>
                      <w:szCs w:val="21"/>
                    </w:rPr>
                    <w:t>新建</w:t>
                  </w:r>
                </w:p>
              </w:tc>
            </w:tr>
            <w:tr w14:paraId="794AE1B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7" w:hRule="atLeast"/>
                <w:jc w:val="center"/>
              </w:trPr>
              <w:tc>
                <w:tcPr>
                  <w:tcW w:w="387" w:type="pct"/>
                  <w:vMerge w:val="continue"/>
                  <w:noWrap w:val="0"/>
                  <w:vAlign w:val="center"/>
                </w:tcPr>
                <w:p w14:paraId="00B1C51D">
                  <w:pPr>
                    <w:numPr>
                      <w:ilvl w:val="0"/>
                      <w:numId w:val="0"/>
                    </w:numPr>
                    <w:spacing w:line="240" w:lineRule="auto"/>
                    <w:jc w:val="center"/>
                    <w:rPr>
                      <w:rFonts w:hint="default" w:ascii="Times New Roman" w:hAnsi="Times New Roman" w:eastAsia="宋体" w:cs="Times New Roman"/>
                      <w:b/>
                      <w:bCs/>
                      <w:color w:val="auto"/>
                      <w:sz w:val="21"/>
                      <w:szCs w:val="21"/>
                    </w:rPr>
                  </w:pPr>
                </w:p>
              </w:tc>
              <w:tc>
                <w:tcPr>
                  <w:tcW w:w="550" w:type="pct"/>
                  <w:noWrap w:val="0"/>
                  <w:vAlign w:val="center"/>
                </w:tcPr>
                <w:p w14:paraId="20EBBB1B">
                  <w:pPr>
                    <w:pStyle w:val="92"/>
                    <w:spacing w:line="240" w:lineRule="auto"/>
                    <w:rPr>
                      <w:rFonts w:hint="default" w:ascii="Times New Roman" w:hAnsi="Times New Roman" w:eastAsia="宋体" w:cs="Times New Roman"/>
                      <w:b w:val="0"/>
                      <w:bCs w:val="0"/>
                      <w:color w:val="auto"/>
                      <w:sz w:val="21"/>
                      <w:szCs w:val="21"/>
                    </w:rPr>
                  </w:pPr>
                  <w:r>
                    <w:rPr>
                      <w:rFonts w:hint="default" w:ascii="Times New Roman" w:hAnsi="Times New Roman" w:eastAsia="宋体" w:cs="Times New Roman"/>
                      <w:sz w:val="21"/>
                      <w:szCs w:val="21"/>
                    </w:rPr>
                    <w:t>噪声</w:t>
                  </w:r>
                </w:p>
              </w:tc>
              <w:tc>
                <w:tcPr>
                  <w:tcW w:w="2371" w:type="pct"/>
                  <w:noWrap w:val="0"/>
                  <w:vAlign w:val="center"/>
                </w:tcPr>
                <w:p w14:paraId="2B059735">
                  <w:pPr>
                    <w:pStyle w:val="92"/>
                    <w:spacing w:line="240" w:lineRule="auto"/>
                    <w:jc w:val="both"/>
                    <w:rPr>
                      <w:rFonts w:hint="default" w:ascii="Times New Roman" w:hAnsi="Times New Roman" w:eastAsia="宋体" w:cs="Times New Roman"/>
                      <w:b w:val="0"/>
                      <w:bCs w:val="0"/>
                      <w:color w:val="auto"/>
                      <w:sz w:val="21"/>
                      <w:szCs w:val="21"/>
                    </w:rPr>
                  </w:pPr>
                  <w:r>
                    <w:rPr>
                      <w:rFonts w:hint="default" w:ascii="Times New Roman" w:hAnsi="Times New Roman" w:eastAsia="宋体" w:cs="Times New Roman"/>
                      <w:color w:val="auto"/>
                      <w:sz w:val="21"/>
                      <w:szCs w:val="21"/>
                    </w:rPr>
                    <w:t>选用高效低噪声设备、采用减振、消声措施、厂房隔声等措施治理噪声；环保设备配套风机，设有隔声罩、加装减振垫、吸声棉等措施</w:t>
                  </w:r>
                  <w:r>
                    <w:rPr>
                      <w:rFonts w:hint="default" w:ascii="Times New Roman" w:hAnsi="Times New Roman" w:eastAsia="宋体" w:cs="Times New Roman"/>
                      <w:color w:val="auto"/>
                      <w:sz w:val="21"/>
                      <w:szCs w:val="21"/>
                      <w:lang w:eastAsia="zh-CN"/>
                    </w:rPr>
                    <w:t>；</w:t>
                  </w:r>
                </w:p>
              </w:tc>
              <w:tc>
                <w:tcPr>
                  <w:tcW w:w="587" w:type="pct"/>
                  <w:vMerge w:val="continue"/>
                  <w:noWrap w:val="0"/>
                  <w:vAlign w:val="center"/>
                </w:tcPr>
                <w:p w14:paraId="6150D714">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p>
              </w:tc>
              <w:tc>
                <w:tcPr>
                  <w:tcW w:w="716" w:type="pct"/>
                  <w:noWrap w:val="0"/>
                  <w:vAlign w:val="center"/>
                </w:tcPr>
                <w:p w14:paraId="7583FC20">
                  <w:pPr>
                    <w:pStyle w:val="92"/>
                    <w:spacing w:line="240" w:lineRule="auto"/>
                    <w:jc w:val="center"/>
                    <w:rPr>
                      <w:rFonts w:hint="default" w:ascii="Times New Roman" w:hAnsi="Times New Roman" w:eastAsia="宋体" w:cs="Times New Roman"/>
                      <w:b w:val="0"/>
                      <w:bCs w:val="0"/>
                      <w:color w:val="auto"/>
                      <w:sz w:val="21"/>
                      <w:szCs w:val="21"/>
                      <w:lang w:val="en-US" w:eastAsia="zh-CN"/>
                    </w:rPr>
                  </w:pPr>
                  <w:r>
                    <w:rPr>
                      <w:rFonts w:hint="default" w:ascii="Times New Roman" w:hAnsi="Times New Roman" w:eastAsia="宋体" w:cs="Times New Roman"/>
                      <w:sz w:val="21"/>
                      <w:szCs w:val="21"/>
                    </w:rPr>
                    <w:t>噪声</w:t>
                  </w:r>
                </w:p>
              </w:tc>
              <w:tc>
                <w:tcPr>
                  <w:tcW w:w="386" w:type="pct"/>
                  <w:noWrap w:val="0"/>
                  <w:vAlign w:val="center"/>
                </w:tcPr>
                <w:p w14:paraId="13F598D4">
                  <w:pPr>
                    <w:spacing w:line="240" w:lineRule="auto"/>
                    <w:jc w:val="center"/>
                    <w:rPr>
                      <w:rFonts w:hint="default" w:ascii="Times New Roman" w:hAnsi="Times New Roman" w:eastAsia="宋体" w:cs="Times New Roman"/>
                      <w:b w:val="0"/>
                      <w:bCs w:val="0"/>
                      <w:color w:val="auto"/>
                      <w:sz w:val="21"/>
                      <w:szCs w:val="21"/>
                    </w:rPr>
                  </w:pPr>
                  <w:r>
                    <w:rPr>
                      <w:rFonts w:hint="default" w:ascii="Times New Roman" w:hAnsi="Times New Roman" w:eastAsia="宋体" w:cs="Times New Roman"/>
                      <w:sz w:val="21"/>
                      <w:szCs w:val="21"/>
                    </w:rPr>
                    <w:t>新建</w:t>
                  </w:r>
                </w:p>
              </w:tc>
            </w:tr>
            <w:tr w14:paraId="0D7E78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7" w:hRule="atLeast"/>
                <w:jc w:val="center"/>
              </w:trPr>
              <w:tc>
                <w:tcPr>
                  <w:tcW w:w="387" w:type="pct"/>
                  <w:vMerge w:val="continue"/>
                  <w:noWrap w:val="0"/>
                  <w:vAlign w:val="center"/>
                </w:tcPr>
                <w:p w14:paraId="610C5F96">
                  <w:pPr>
                    <w:numPr>
                      <w:ilvl w:val="0"/>
                      <w:numId w:val="0"/>
                    </w:numPr>
                    <w:spacing w:line="240" w:lineRule="auto"/>
                    <w:jc w:val="center"/>
                    <w:rPr>
                      <w:rFonts w:hint="default" w:ascii="Times New Roman" w:hAnsi="Times New Roman" w:eastAsia="宋体" w:cs="Times New Roman"/>
                      <w:b/>
                      <w:bCs/>
                      <w:color w:val="auto"/>
                      <w:sz w:val="21"/>
                      <w:szCs w:val="21"/>
                    </w:rPr>
                  </w:pPr>
                </w:p>
              </w:tc>
              <w:tc>
                <w:tcPr>
                  <w:tcW w:w="550" w:type="pct"/>
                  <w:noWrap w:val="0"/>
                  <w:vAlign w:val="center"/>
                </w:tcPr>
                <w:p w14:paraId="7955377E">
                  <w:pPr>
                    <w:pStyle w:val="92"/>
                    <w:spacing w:line="240" w:lineRule="auto"/>
                    <w:rPr>
                      <w:rFonts w:hint="eastAsia" w:ascii="Times New Roman" w:hAnsi="Times New Roman" w:eastAsia="宋体" w:cs="Times New Roman"/>
                      <w:sz w:val="21"/>
                      <w:szCs w:val="21"/>
                      <w:lang w:val="en-US" w:eastAsia="zh-CN"/>
                    </w:rPr>
                  </w:pPr>
                  <w:r>
                    <w:rPr>
                      <w:rFonts w:hint="eastAsia" w:ascii="Times New Roman" w:hAnsi="Times New Roman" w:cs="Times New Roman"/>
                      <w:sz w:val="21"/>
                      <w:szCs w:val="21"/>
                      <w:lang w:val="en-US" w:eastAsia="zh-CN"/>
                    </w:rPr>
                    <w:t>风险</w:t>
                  </w:r>
                </w:p>
              </w:tc>
              <w:tc>
                <w:tcPr>
                  <w:tcW w:w="2371" w:type="pct"/>
                  <w:noWrap w:val="0"/>
                  <w:vAlign w:val="center"/>
                </w:tcPr>
                <w:p w14:paraId="210FC9F8">
                  <w:pPr>
                    <w:pStyle w:val="92"/>
                    <w:spacing w:line="240" w:lineRule="auto"/>
                    <w:jc w:val="both"/>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rPr>
                    <w:t>储油罐区四周设置围堰</w:t>
                  </w:r>
                  <w:r>
                    <w:rPr>
                      <w:rFonts w:hint="eastAsia" w:ascii="Times New Roman" w:hAnsi="Times New Roman" w:cs="Times New Roman"/>
                      <w:color w:val="auto"/>
                      <w:sz w:val="21"/>
                      <w:szCs w:val="21"/>
                      <w:lang w:eastAsia="zh-CN"/>
                    </w:rPr>
                    <w:t>，</w:t>
                  </w:r>
                  <w:r>
                    <w:rPr>
                      <w:rFonts w:hint="eastAsia" w:ascii="Times New Roman" w:hAnsi="Times New Roman" w:cs="Times New Roman"/>
                      <w:color w:val="auto"/>
                      <w:sz w:val="21"/>
                      <w:szCs w:val="21"/>
                      <w:lang w:val="en-US" w:eastAsia="zh-CN"/>
                    </w:rPr>
                    <w:t>面积100m</w:t>
                  </w:r>
                  <w:r>
                    <w:rPr>
                      <w:rFonts w:hint="eastAsia" w:ascii="Times New Roman" w:hAnsi="Times New Roman" w:cs="Times New Roman"/>
                      <w:color w:val="auto"/>
                      <w:sz w:val="21"/>
                      <w:szCs w:val="21"/>
                      <w:vertAlign w:val="superscript"/>
                      <w:lang w:val="en-US" w:eastAsia="zh-CN"/>
                    </w:rPr>
                    <w:t>2</w:t>
                  </w:r>
                  <w:r>
                    <w:rPr>
                      <w:rFonts w:hint="eastAsia" w:ascii="Times New Roman" w:hAnsi="Times New Roman" w:cs="Times New Roman"/>
                      <w:color w:val="auto"/>
                      <w:sz w:val="21"/>
                      <w:szCs w:val="21"/>
                      <w:lang w:val="en-US" w:eastAsia="zh-CN"/>
                    </w:rPr>
                    <w:t>；</w:t>
                  </w:r>
                </w:p>
              </w:tc>
              <w:tc>
                <w:tcPr>
                  <w:tcW w:w="587" w:type="pct"/>
                  <w:vMerge w:val="continue"/>
                  <w:noWrap w:val="0"/>
                  <w:vAlign w:val="center"/>
                </w:tcPr>
                <w:p w14:paraId="767A136B">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p>
              </w:tc>
              <w:tc>
                <w:tcPr>
                  <w:tcW w:w="716" w:type="pct"/>
                  <w:noWrap w:val="0"/>
                  <w:vAlign w:val="center"/>
                </w:tcPr>
                <w:p w14:paraId="514A44E5">
                  <w:pPr>
                    <w:pStyle w:val="92"/>
                    <w:spacing w:line="240" w:lineRule="auto"/>
                    <w:jc w:val="center"/>
                    <w:rPr>
                      <w:rFonts w:hint="default" w:ascii="Times New Roman" w:hAnsi="Times New Roman" w:eastAsia="宋体" w:cs="Times New Roman"/>
                      <w:sz w:val="21"/>
                      <w:szCs w:val="21"/>
                    </w:rPr>
                  </w:pPr>
                  <w:r>
                    <w:rPr>
                      <w:rFonts w:hint="eastAsia" w:ascii="Times New Roman" w:hAnsi="Times New Roman" w:cs="Times New Roman"/>
                      <w:sz w:val="21"/>
                      <w:szCs w:val="21"/>
                      <w:lang w:val="en-US" w:eastAsia="zh-CN"/>
                    </w:rPr>
                    <w:t>风险</w:t>
                  </w:r>
                </w:p>
              </w:tc>
              <w:tc>
                <w:tcPr>
                  <w:tcW w:w="386" w:type="pct"/>
                  <w:noWrap w:val="0"/>
                  <w:vAlign w:val="center"/>
                </w:tcPr>
                <w:p w14:paraId="4CED647A">
                  <w:pPr>
                    <w:spacing w:line="240" w:lineRule="auto"/>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新建</w:t>
                  </w:r>
                </w:p>
              </w:tc>
            </w:tr>
          </w:tbl>
          <w:p w14:paraId="50F39F31">
            <w:pPr>
              <w:keepNext w:val="0"/>
              <w:keepLines w:val="0"/>
              <w:pageBreakBefore w:val="0"/>
              <w:widowControl w:val="0"/>
              <w:numPr>
                <w:ilvl w:val="0"/>
                <w:numId w:val="28"/>
              </w:numPr>
              <w:kinsoku/>
              <w:wordWrap/>
              <w:overflowPunct/>
              <w:topLinePunct w:val="0"/>
              <w:autoSpaceDE/>
              <w:autoSpaceDN/>
              <w:bidi w:val="0"/>
              <w:adjustRightInd/>
              <w:snapToGrid/>
              <w:spacing w:line="360" w:lineRule="auto"/>
              <w:ind w:left="0" w:leftChars="0" w:firstLine="482" w:firstLineChars="200"/>
              <w:jc w:val="both"/>
              <w:textAlignment w:val="auto"/>
              <w:rPr>
                <w:rFonts w:hint="eastAsia" w:cs="Times New Roman"/>
                <w:b/>
                <w:bCs/>
                <w:color w:val="auto"/>
                <w:sz w:val="24"/>
                <w:szCs w:val="24"/>
                <w:lang w:val="en-US" w:eastAsia="zh-CN"/>
              </w:rPr>
            </w:pPr>
            <w:r>
              <w:rPr>
                <w:rFonts w:hint="eastAsia" w:cs="Times New Roman"/>
                <w:b/>
                <w:bCs/>
                <w:color w:val="auto"/>
                <w:sz w:val="24"/>
                <w:szCs w:val="24"/>
                <w:lang w:val="en-US" w:eastAsia="zh-CN"/>
              </w:rPr>
              <w:t>储运方案</w:t>
            </w:r>
          </w:p>
          <w:p w14:paraId="19590B13">
            <w:pPr>
              <w:keepNext w:val="0"/>
              <w:keepLines w:val="0"/>
              <w:pageBreakBefore w:val="0"/>
              <w:widowControl w:val="0"/>
              <w:numPr>
                <w:ilvl w:val="0"/>
                <w:numId w:val="29"/>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r>
              <w:rPr>
                <w:rFonts w:hint="eastAsia" w:cs="Times New Roman"/>
                <w:color w:val="auto"/>
                <w:sz w:val="24"/>
                <w:szCs w:val="24"/>
                <w:lang w:val="en-US" w:eastAsia="zh-CN"/>
              </w:rPr>
              <w:t>危险废物接收范围</w:t>
            </w:r>
          </w:p>
          <w:p w14:paraId="4731C124">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r>
              <w:rPr>
                <w:rFonts w:hint="eastAsia" w:cs="Times New Roman"/>
                <w:color w:val="auto"/>
                <w:sz w:val="24"/>
                <w:szCs w:val="24"/>
                <w:lang w:val="en-US" w:eastAsia="zh-CN"/>
              </w:rPr>
              <w:t>废矿物油是因受杂质污染，氧化和热的作用，改变了原有的理化性能而不能继续使用时被更换下来的废矿物油（其废物类别：HW08废矿物油与含矿物油废物；废物代码900-214-08）。由于本企业位于安居区工业集中发展区内，重点服务于安居区及周边区域，特别是安居区工业集中发展区内的汽修店、4S店等行业企业。</w:t>
            </w:r>
          </w:p>
          <w:p w14:paraId="1536768D">
            <w:pPr>
              <w:keepNext w:val="0"/>
              <w:keepLines w:val="0"/>
              <w:pageBreakBefore w:val="0"/>
              <w:widowControl w:val="0"/>
              <w:numPr>
                <w:ilvl w:val="0"/>
                <w:numId w:val="29"/>
              </w:numPr>
              <w:kinsoku/>
              <w:wordWrap/>
              <w:overflowPunct/>
              <w:topLinePunct w:val="0"/>
              <w:autoSpaceDE/>
              <w:autoSpaceDN/>
              <w:bidi w:val="0"/>
              <w:adjustRightInd/>
              <w:snapToGrid/>
              <w:spacing w:line="360" w:lineRule="auto"/>
              <w:ind w:left="0" w:leftChars="0" w:firstLine="482" w:firstLineChars="200"/>
              <w:jc w:val="both"/>
              <w:textAlignment w:val="auto"/>
              <w:rPr>
                <w:rFonts w:hint="eastAsia" w:cs="Times New Roman"/>
                <w:b/>
                <w:bCs/>
                <w:color w:val="auto"/>
                <w:sz w:val="24"/>
                <w:szCs w:val="24"/>
                <w:lang w:val="en-US" w:eastAsia="zh-CN"/>
              </w:rPr>
            </w:pPr>
            <w:r>
              <w:rPr>
                <w:rFonts w:hint="eastAsia" w:cs="Times New Roman"/>
                <w:b/>
                <w:bCs/>
                <w:color w:val="auto"/>
                <w:sz w:val="24"/>
                <w:szCs w:val="24"/>
                <w:lang w:val="en-US" w:eastAsia="zh-CN"/>
              </w:rPr>
              <w:t>收纳规模</w:t>
            </w:r>
          </w:p>
          <w:p w14:paraId="4C69C9B0">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r>
              <w:rPr>
                <w:rFonts w:hint="eastAsia" w:cs="Times New Roman"/>
                <w:color w:val="auto"/>
                <w:sz w:val="24"/>
                <w:szCs w:val="24"/>
                <w:lang w:val="en-US" w:eastAsia="zh-CN"/>
              </w:rPr>
              <w:t>根据遂宁市统计局官方网站发布《2022年遂宁市国民经济和社会发展统计公报》：2022年末全市民用汽车拥有量36.82万辆，年末常住人口277.2万人，汽车保有量约为7.53人/辆；安居区末常住人口42万人，估算得安居区汽车保有量为5.58万辆。中国私家车平均行驶里程为2190km/月，汽车一般行驶5000km保养一次，保养一次更换的废机油3.5~5.0L，以5.0L计，则安居区年产生废机油量约为1466.45m</w:t>
            </w:r>
            <w:r>
              <w:rPr>
                <w:rFonts w:hint="eastAsia" w:cs="Times New Roman"/>
                <w:color w:val="auto"/>
                <w:sz w:val="24"/>
                <w:szCs w:val="24"/>
                <w:vertAlign w:val="superscript"/>
                <w:lang w:val="en-US" w:eastAsia="zh-CN"/>
              </w:rPr>
              <w:t>3</w:t>
            </w:r>
            <w:r>
              <w:rPr>
                <w:rFonts w:hint="eastAsia" w:cs="Times New Roman"/>
                <w:color w:val="auto"/>
                <w:sz w:val="24"/>
                <w:szCs w:val="24"/>
                <w:lang w:val="en-US" w:eastAsia="zh-CN"/>
              </w:rPr>
              <w:t>/a，以密度0.875（相对于水）计，则安居区预计年产生废机油量约为1283.12t/a。安居区仅建设单位一家收集废矿物油（其废物类别：HW08废矿物油与含矿物油废物；废物代码900-214-08）的企业；同时考虑少量收集周边区县汽修店、4S产生的废矿物油。在此基础上，综合考虑本项目收集及转运废矿物油1500t/a是合理的。</w:t>
            </w:r>
          </w:p>
          <w:p w14:paraId="716D53E6">
            <w:pPr>
              <w:keepNext w:val="0"/>
              <w:keepLines w:val="0"/>
              <w:pageBreakBefore w:val="0"/>
              <w:widowControl w:val="0"/>
              <w:numPr>
                <w:ilvl w:val="0"/>
                <w:numId w:val="29"/>
              </w:numPr>
              <w:kinsoku/>
              <w:wordWrap/>
              <w:overflowPunct/>
              <w:topLinePunct w:val="0"/>
              <w:autoSpaceDE/>
              <w:autoSpaceDN/>
              <w:bidi w:val="0"/>
              <w:adjustRightInd/>
              <w:snapToGrid/>
              <w:spacing w:line="360" w:lineRule="auto"/>
              <w:ind w:left="0" w:leftChars="0" w:firstLine="480" w:firstLineChars="200"/>
              <w:jc w:val="both"/>
              <w:textAlignment w:val="auto"/>
              <w:rPr>
                <w:rFonts w:hint="eastAsia" w:cs="Times New Roman"/>
                <w:color w:val="auto"/>
                <w:sz w:val="24"/>
                <w:szCs w:val="24"/>
                <w:lang w:val="en-US" w:eastAsia="zh-CN"/>
              </w:rPr>
            </w:pPr>
            <w:r>
              <w:rPr>
                <w:rFonts w:hint="eastAsia" w:cs="Times New Roman"/>
                <w:color w:val="auto"/>
                <w:sz w:val="24"/>
                <w:szCs w:val="24"/>
                <w:lang w:val="en-US" w:eastAsia="zh-CN"/>
              </w:rPr>
              <w:t>废矿物油检测指标</w:t>
            </w:r>
          </w:p>
          <w:p w14:paraId="369FBA3B">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r>
              <w:rPr>
                <w:rFonts w:hint="eastAsia" w:cs="Times New Roman"/>
                <w:color w:val="auto"/>
                <w:sz w:val="24"/>
                <w:szCs w:val="24"/>
                <w:lang w:val="en-US" w:eastAsia="zh-CN"/>
              </w:rPr>
              <w:t>为了降低环境污染及风险，本项目在前期废矿物油的收集时提前向废矿物油收集单位提供我公司的入厂接收标准；要求废矿物油收集单位不得收集不符合本项目入厂标准的废矿物油，收集的废矿物油在进入储油罐前，需进行取样检测。</w:t>
            </w:r>
          </w:p>
          <w:p w14:paraId="6667D2AB">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eastAsia" w:cs="Times New Roman"/>
                <w:b/>
                <w:bCs/>
                <w:color w:val="auto"/>
                <w:sz w:val="21"/>
                <w:szCs w:val="21"/>
                <w:vertAlign w:val="baseline"/>
                <w:lang w:val="en-US" w:eastAsia="zh-CN"/>
              </w:rPr>
            </w:pPr>
            <w:r>
              <w:rPr>
                <w:rFonts w:hint="eastAsia" w:cs="Times New Roman"/>
                <w:b/>
                <w:bCs/>
                <w:color w:val="auto"/>
                <w:sz w:val="21"/>
                <w:szCs w:val="21"/>
                <w:lang w:val="en-US" w:eastAsia="zh-CN"/>
              </w:rPr>
              <w:t>表2-3 废矿物油检测指标一览表</w:t>
            </w:r>
          </w:p>
          <w:tbl>
            <w:tblPr>
              <w:tblStyle w:val="28"/>
              <w:tblW w:w="842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706"/>
              <w:gridCol w:w="3361"/>
              <w:gridCol w:w="3361"/>
            </w:tblGrid>
            <w:tr w14:paraId="2A4D0A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06" w:type="dxa"/>
                </w:tcPr>
                <w:p w14:paraId="24FF0CCB">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b/>
                      <w:bCs/>
                      <w:color w:val="auto"/>
                      <w:sz w:val="21"/>
                      <w:szCs w:val="21"/>
                      <w:vertAlign w:val="baseline"/>
                      <w:lang w:val="en-US" w:eastAsia="zh-CN"/>
                    </w:rPr>
                  </w:pPr>
                  <w:r>
                    <w:rPr>
                      <w:rFonts w:hint="eastAsia" w:cs="Times New Roman"/>
                      <w:b/>
                      <w:bCs/>
                      <w:color w:val="auto"/>
                      <w:sz w:val="21"/>
                      <w:szCs w:val="21"/>
                      <w:vertAlign w:val="baseline"/>
                      <w:lang w:val="en-US" w:eastAsia="zh-CN"/>
                    </w:rPr>
                    <w:t>序号</w:t>
                  </w:r>
                </w:p>
              </w:tc>
              <w:tc>
                <w:tcPr>
                  <w:tcW w:w="3361" w:type="dxa"/>
                </w:tcPr>
                <w:p w14:paraId="458C60E7">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b/>
                      <w:bCs/>
                      <w:color w:val="auto"/>
                      <w:sz w:val="21"/>
                      <w:szCs w:val="21"/>
                      <w:vertAlign w:val="baseline"/>
                      <w:lang w:val="en-US" w:eastAsia="zh-CN"/>
                    </w:rPr>
                  </w:pPr>
                  <w:r>
                    <w:rPr>
                      <w:rFonts w:hint="eastAsia" w:cs="Times New Roman"/>
                      <w:b/>
                      <w:bCs/>
                      <w:color w:val="auto"/>
                      <w:sz w:val="21"/>
                      <w:szCs w:val="21"/>
                      <w:vertAlign w:val="baseline"/>
                      <w:lang w:val="en-US" w:eastAsia="zh-CN"/>
                    </w:rPr>
                    <w:t>检测项目</w:t>
                  </w:r>
                </w:p>
              </w:tc>
              <w:tc>
                <w:tcPr>
                  <w:tcW w:w="3361" w:type="dxa"/>
                </w:tcPr>
                <w:p w14:paraId="205DD4FD">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b/>
                      <w:bCs/>
                      <w:color w:val="auto"/>
                      <w:sz w:val="21"/>
                      <w:szCs w:val="21"/>
                      <w:vertAlign w:val="baseline"/>
                      <w:lang w:val="en-US" w:eastAsia="zh-CN"/>
                    </w:rPr>
                  </w:pPr>
                  <w:r>
                    <w:rPr>
                      <w:rFonts w:hint="eastAsia" w:cs="Times New Roman"/>
                      <w:b/>
                      <w:bCs/>
                      <w:color w:val="auto"/>
                      <w:sz w:val="21"/>
                      <w:szCs w:val="21"/>
                      <w:vertAlign w:val="baseline"/>
                      <w:lang w:val="en-US" w:eastAsia="zh-CN"/>
                    </w:rPr>
                    <w:t>检测指标</w:t>
                  </w:r>
                </w:p>
              </w:tc>
            </w:tr>
            <w:tr w14:paraId="219872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06" w:type="dxa"/>
                </w:tcPr>
                <w:p w14:paraId="289822AD">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color w:val="auto"/>
                      <w:sz w:val="21"/>
                      <w:szCs w:val="21"/>
                      <w:vertAlign w:val="baseline"/>
                      <w:lang w:val="en-US" w:eastAsia="zh-CN"/>
                    </w:rPr>
                  </w:pPr>
                  <w:r>
                    <w:rPr>
                      <w:rFonts w:hint="eastAsia" w:cs="Times New Roman"/>
                      <w:color w:val="auto"/>
                      <w:sz w:val="21"/>
                      <w:szCs w:val="21"/>
                      <w:vertAlign w:val="baseline"/>
                      <w:lang w:val="en-US" w:eastAsia="zh-CN"/>
                    </w:rPr>
                    <w:t>1</w:t>
                  </w:r>
                </w:p>
              </w:tc>
              <w:tc>
                <w:tcPr>
                  <w:tcW w:w="3361" w:type="dxa"/>
                </w:tcPr>
                <w:p w14:paraId="72251135">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color w:val="auto"/>
                      <w:sz w:val="21"/>
                      <w:szCs w:val="21"/>
                      <w:vertAlign w:val="baseline"/>
                      <w:lang w:val="en-US" w:eastAsia="zh-CN"/>
                    </w:rPr>
                  </w:pPr>
                  <w:r>
                    <w:rPr>
                      <w:rFonts w:hint="eastAsia" w:cs="Times New Roman"/>
                      <w:color w:val="auto"/>
                      <w:sz w:val="21"/>
                      <w:szCs w:val="21"/>
                      <w:vertAlign w:val="baseline"/>
                      <w:lang w:val="en-US" w:eastAsia="zh-CN"/>
                    </w:rPr>
                    <w:t>水分（体积分数）%</w:t>
                  </w:r>
                </w:p>
              </w:tc>
              <w:tc>
                <w:tcPr>
                  <w:tcW w:w="3361" w:type="dxa"/>
                </w:tcPr>
                <w:p w14:paraId="29834145">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color w:val="auto"/>
                      <w:sz w:val="21"/>
                      <w:szCs w:val="21"/>
                      <w:vertAlign w:val="baseline"/>
                      <w:lang w:val="en-US" w:eastAsia="zh-CN"/>
                    </w:rPr>
                  </w:pPr>
                  <w:r>
                    <w:rPr>
                      <w:rFonts w:hint="eastAsia" w:cs="Times New Roman"/>
                      <w:color w:val="auto"/>
                      <w:sz w:val="21"/>
                      <w:szCs w:val="21"/>
                      <w:vertAlign w:val="baseline"/>
                      <w:lang w:val="en-US" w:eastAsia="zh-CN"/>
                    </w:rPr>
                    <w:t>≤1.5%</w:t>
                  </w:r>
                </w:p>
              </w:tc>
            </w:tr>
            <w:tr w14:paraId="370D56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06" w:type="dxa"/>
                </w:tcPr>
                <w:p w14:paraId="5005D95A">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color w:val="auto"/>
                      <w:sz w:val="21"/>
                      <w:szCs w:val="21"/>
                      <w:vertAlign w:val="baseline"/>
                      <w:lang w:val="en-US" w:eastAsia="zh-CN"/>
                    </w:rPr>
                  </w:pPr>
                  <w:r>
                    <w:rPr>
                      <w:rFonts w:hint="eastAsia" w:cs="Times New Roman"/>
                      <w:color w:val="auto"/>
                      <w:sz w:val="21"/>
                      <w:szCs w:val="21"/>
                      <w:vertAlign w:val="baseline"/>
                      <w:lang w:val="en-US" w:eastAsia="zh-CN"/>
                    </w:rPr>
                    <w:t>2</w:t>
                  </w:r>
                </w:p>
              </w:tc>
              <w:tc>
                <w:tcPr>
                  <w:tcW w:w="3361" w:type="dxa"/>
                </w:tcPr>
                <w:p w14:paraId="1E5EC98D">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color w:val="auto"/>
                      <w:sz w:val="21"/>
                      <w:szCs w:val="21"/>
                      <w:vertAlign w:val="baseline"/>
                      <w:lang w:val="en-US" w:eastAsia="zh-CN"/>
                    </w:rPr>
                  </w:pPr>
                  <w:r>
                    <w:rPr>
                      <w:rFonts w:hint="eastAsia" w:cs="Times New Roman"/>
                      <w:color w:val="auto"/>
                      <w:sz w:val="21"/>
                      <w:szCs w:val="21"/>
                      <w:vertAlign w:val="baseline"/>
                      <w:lang w:val="en-US" w:eastAsia="zh-CN"/>
                    </w:rPr>
                    <w:t>比重，%</w:t>
                  </w:r>
                </w:p>
              </w:tc>
              <w:tc>
                <w:tcPr>
                  <w:tcW w:w="3361" w:type="dxa"/>
                </w:tcPr>
                <w:p w14:paraId="0CC9BFE5">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color w:val="auto"/>
                      <w:sz w:val="21"/>
                      <w:szCs w:val="21"/>
                      <w:vertAlign w:val="baseline"/>
                      <w:lang w:val="en-US" w:eastAsia="zh-CN"/>
                    </w:rPr>
                  </w:pPr>
                  <w:r>
                    <w:rPr>
                      <w:rFonts w:hint="eastAsia" w:cs="Times New Roman"/>
                      <w:color w:val="auto"/>
                      <w:sz w:val="21"/>
                      <w:szCs w:val="21"/>
                      <w:vertAlign w:val="baseline"/>
                      <w:lang w:val="en-US" w:eastAsia="zh-CN"/>
                    </w:rPr>
                    <w:t>≤0.875%</w:t>
                  </w:r>
                </w:p>
              </w:tc>
            </w:tr>
          </w:tbl>
          <w:p w14:paraId="61841771">
            <w:pPr>
              <w:keepNext w:val="0"/>
              <w:keepLines w:val="0"/>
              <w:pageBreakBefore w:val="0"/>
              <w:widowControl w:val="0"/>
              <w:numPr>
                <w:ilvl w:val="0"/>
                <w:numId w:val="29"/>
              </w:numPr>
              <w:kinsoku/>
              <w:wordWrap/>
              <w:overflowPunct/>
              <w:topLinePunct w:val="0"/>
              <w:autoSpaceDE/>
              <w:autoSpaceDN/>
              <w:bidi w:val="0"/>
              <w:adjustRightInd/>
              <w:snapToGrid/>
              <w:spacing w:line="360" w:lineRule="auto"/>
              <w:ind w:left="0" w:leftChars="0" w:firstLine="482" w:firstLineChars="200"/>
              <w:jc w:val="both"/>
              <w:textAlignment w:val="auto"/>
              <w:rPr>
                <w:rFonts w:hint="eastAsia" w:cs="Times New Roman"/>
                <w:b/>
                <w:bCs/>
                <w:color w:val="auto"/>
                <w:sz w:val="24"/>
                <w:szCs w:val="24"/>
                <w:lang w:val="en-US" w:eastAsia="zh-CN"/>
              </w:rPr>
            </w:pPr>
            <w:r>
              <w:rPr>
                <w:rFonts w:hint="eastAsia" w:cs="Times New Roman"/>
                <w:b/>
                <w:bCs/>
                <w:color w:val="auto"/>
                <w:sz w:val="24"/>
                <w:szCs w:val="24"/>
                <w:lang w:val="en-US" w:eastAsia="zh-CN"/>
              </w:rPr>
              <w:t>危险废物收集、转运路线</w:t>
            </w:r>
          </w:p>
          <w:p w14:paraId="06EC4E6B">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r>
              <w:rPr>
                <w:rFonts w:hint="eastAsia" w:cs="Times New Roman"/>
                <w:color w:val="auto"/>
                <w:sz w:val="24"/>
                <w:szCs w:val="24"/>
                <w:lang w:val="en-US" w:eastAsia="zh-CN"/>
              </w:rPr>
              <w:t>建设单位委托第三方有资质单位主要收集遂宁市当地企事业单位产生的危险废物至厂区内；收集暂存后转运至有危险废物处理资质的单位，建设单位委托具备危险废物运输资质的单位进行密闭运输。</w:t>
            </w:r>
          </w:p>
          <w:p w14:paraId="0A6FDCB6">
            <w:pPr>
              <w:keepNext w:val="0"/>
              <w:keepLines w:val="0"/>
              <w:pageBreakBefore w:val="0"/>
              <w:widowControl w:val="0"/>
              <w:numPr>
                <w:ilvl w:val="0"/>
                <w:numId w:val="29"/>
              </w:numPr>
              <w:kinsoku/>
              <w:wordWrap/>
              <w:overflowPunct/>
              <w:topLinePunct w:val="0"/>
              <w:autoSpaceDE/>
              <w:autoSpaceDN/>
              <w:bidi w:val="0"/>
              <w:adjustRightInd/>
              <w:snapToGrid/>
              <w:spacing w:line="360" w:lineRule="auto"/>
              <w:ind w:left="0" w:leftChars="0" w:firstLine="482" w:firstLineChars="200"/>
              <w:jc w:val="both"/>
              <w:textAlignment w:val="auto"/>
              <w:rPr>
                <w:rFonts w:hint="eastAsia" w:cs="Times New Roman"/>
                <w:b/>
                <w:bCs/>
                <w:color w:val="auto"/>
                <w:sz w:val="24"/>
                <w:szCs w:val="24"/>
                <w:lang w:val="en-US" w:eastAsia="zh-CN"/>
              </w:rPr>
            </w:pPr>
            <w:r>
              <w:rPr>
                <w:rFonts w:hint="eastAsia" w:cs="Times New Roman"/>
                <w:b/>
                <w:bCs/>
                <w:color w:val="auto"/>
                <w:sz w:val="24"/>
                <w:szCs w:val="24"/>
                <w:lang w:val="en-US" w:eastAsia="zh-CN"/>
              </w:rPr>
              <w:t>运输、装卸</w:t>
            </w:r>
          </w:p>
          <w:p w14:paraId="6459D75B">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r>
              <w:rPr>
                <w:rFonts w:hint="eastAsia" w:cs="Times New Roman"/>
                <w:color w:val="auto"/>
                <w:sz w:val="24"/>
                <w:szCs w:val="24"/>
                <w:lang w:val="en-US" w:eastAsia="zh-CN"/>
              </w:rPr>
              <w:t>建设单位废矿物油收集及存储后转移至下游接收有资质的单位均委托具有专业危险品运输营运资质的专用车辆完成；储存的储油通过专用泵和软管装入具有专业危险废物运输资质的油罐车内，根据当天暂存量大小增减油罐车数量进行转运，并做好登记工作，建立收集、贮存、转移台账，相关材料定期报备当地生态环境部门，不得违规转移。</w:t>
            </w:r>
          </w:p>
          <w:p w14:paraId="62CBD48A">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r>
              <w:rPr>
                <w:rFonts w:hint="eastAsia" w:cs="Times New Roman"/>
                <w:color w:val="auto"/>
                <w:sz w:val="24"/>
                <w:szCs w:val="24"/>
                <w:lang w:val="en-US" w:eastAsia="zh-CN"/>
              </w:rPr>
              <w:t>运输单位专用危废运输车辆转运量为1m</w:t>
            </w:r>
            <w:r>
              <w:rPr>
                <w:rFonts w:hint="eastAsia" w:cs="Times New Roman"/>
                <w:color w:val="auto"/>
                <w:sz w:val="24"/>
                <w:szCs w:val="24"/>
                <w:vertAlign w:val="superscript"/>
                <w:lang w:val="en-US" w:eastAsia="zh-CN"/>
              </w:rPr>
              <w:t>3</w:t>
            </w:r>
            <w:r>
              <w:rPr>
                <w:rFonts w:hint="eastAsia" w:cs="Times New Roman"/>
                <w:color w:val="auto"/>
                <w:sz w:val="24"/>
                <w:szCs w:val="24"/>
                <w:lang w:val="en-US" w:eastAsia="zh-CN"/>
              </w:rPr>
              <w:t>/车次，则每天转运约5次，日最大转运量约4.375t，满足项目每日需收集转运4.286t（1500</w:t>
            </w:r>
            <w:r>
              <w:rPr>
                <w:rFonts w:hint="default" w:ascii="Arial" w:hAnsi="Arial" w:cs="Arial"/>
                <w:color w:val="auto"/>
                <w:sz w:val="24"/>
                <w:szCs w:val="24"/>
                <w:lang w:val="en-US" w:eastAsia="zh-CN"/>
              </w:rPr>
              <w:t>÷</w:t>
            </w:r>
            <w:r>
              <w:rPr>
                <w:rFonts w:hint="eastAsia" w:cs="Times New Roman"/>
                <w:color w:val="auto"/>
                <w:sz w:val="24"/>
                <w:szCs w:val="24"/>
                <w:lang w:val="en-US" w:eastAsia="zh-CN"/>
              </w:rPr>
              <w:t>350=4.286）的需求；委托转运至危险废物处置单位车辆有效容积平均取9.5m</w:t>
            </w:r>
            <w:r>
              <w:rPr>
                <w:rFonts w:hint="eastAsia" w:cs="Times New Roman"/>
                <w:color w:val="auto"/>
                <w:sz w:val="24"/>
                <w:szCs w:val="24"/>
                <w:vertAlign w:val="superscript"/>
                <w:lang w:val="en-US" w:eastAsia="zh-CN"/>
              </w:rPr>
              <w:t>3</w:t>
            </w:r>
            <w:r>
              <w:rPr>
                <w:rFonts w:hint="eastAsia" w:cs="Times New Roman"/>
                <w:color w:val="auto"/>
                <w:sz w:val="24"/>
                <w:szCs w:val="24"/>
                <w:lang w:val="en-US" w:eastAsia="zh-CN"/>
              </w:rPr>
              <w:t>/车次，当单个储罐储存达到85%容积时，安排运输，遇特殊情况，两个储罐均储存达到85%容积时，则每次发车9次（Max），大约运输罐车日最大转运量约74.82t，满足74.38</w:t>
            </w:r>
            <w:r>
              <w:rPr>
                <w:rFonts w:hint="default" w:ascii="Times New Roman" w:hAnsi="Times New Roman" w:eastAsia="宋体" w:cs="Times New Roman"/>
                <w:color w:val="auto"/>
                <w:sz w:val="24"/>
                <w:szCs w:val="24"/>
                <w:vertAlign w:val="baseline"/>
                <w:lang w:val="en-US" w:eastAsia="zh-CN"/>
              </w:rPr>
              <w:t>t</w:t>
            </w:r>
            <w:r>
              <w:rPr>
                <w:rFonts w:hint="eastAsia" w:cs="Times New Roman"/>
                <w:color w:val="auto"/>
                <w:sz w:val="24"/>
                <w:szCs w:val="24"/>
                <w:vertAlign w:val="baseline"/>
                <w:lang w:val="en-US" w:eastAsia="zh-CN"/>
              </w:rPr>
              <w:t>的转运需求</w:t>
            </w:r>
            <w:r>
              <w:rPr>
                <w:rFonts w:hint="eastAsia" w:cs="Times New Roman"/>
                <w:color w:val="auto"/>
                <w:sz w:val="24"/>
                <w:szCs w:val="24"/>
                <w:lang w:val="en-US" w:eastAsia="zh-CN"/>
              </w:rPr>
              <w:t>；年需转运次数为20次（最大为40次，单个储罐储存达到85%容积安排运输）；运输罐车单车装货一般0.5h内基本可完成，则装卸区内一般容纳1辆油罐车在厂内装卸。企业在生产车间大门内西侧设置1个装卸区，尺寸能够满足室内装卸要求。</w:t>
            </w:r>
          </w:p>
          <w:p w14:paraId="2C2CA9A1">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lang w:val="en-US" w:eastAsia="zh-CN"/>
              </w:rPr>
              <w:t>表2-</w:t>
            </w:r>
            <w:r>
              <w:rPr>
                <w:rFonts w:hint="eastAsia" w:cs="Times New Roman"/>
                <w:b/>
                <w:bCs/>
                <w:color w:val="auto"/>
                <w:sz w:val="21"/>
                <w:szCs w:val="21"/>
                <w:lang w:val="en-US" w:eastAsia="zh-CN"/>
              </w:rPr>
              <w:t>4</w:t>
            </w:r>
            <w:r>
              <w:rPr>
                <w:rFonts w:hint="default" w:ascii="Times New Roman" w:hAnsi="Times New Roman" w:eastAsia="宋体" w:cs="Times New Roman"/>
                <w:b/>
                <w:bCs/>
                <w:color w:val="auto"/>
                <w:sz w:val="21"/>
                <w:szCs w:val="21"/>
                <w:lang w:val="en-US" w:eastAsia="zh-CN"/>
              </w:rPr>
              <w:t xml:space="preserve"> 项目储运方案一览表</w:t>
            </w:r>
          </w:p>
          <w:tbl>
            <w:tblPr>
              <w:tblStyle w:val="28"/>
              <w:tblW w:w="842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12"/>
              <w:gridCol w:w="1969"/>
              <w:gridCol w:w="1228"/>
              <w:gridCol w:w="1387"/>
              <w:gridCol w:w="1106"/>
              <w:gridCol w:w="1107"/>
              <w:gridCol w:w="919"/>
            </w:tblGrid>
            <w:tr w14:paraId="4BB3A1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12" w:type="dxa"/>
                  <w:vAlign w:val="center"/>
                </w:tcPr>
                <w:p w14:paraId="7A2C11BF">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储运名称</w:t>
                  </w:r>
                </w:p>
              </w:tc>
              <w:tc>
                <w:tcPr>
                  <w:tcW w:w="1969" w:type="dxa"/>
                  <w:vAlign w:val="center"/>
                </w:tcPr>
                <w:p w14:paraId="1D9C6D52">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废物类别</w:t>
                  </w:r>
                </w:p>
              </w:tc>
              <w:tc>
                <w:tcPr>
                  <w:tcW w:w="1228" w:type="dxa"/>
                  <w:vAlign w:val="center"/>
                </w:tcPr>
                <w:p w14:paraId="0229B228">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暂存危废代码</w:t>
                  </w:r>
                </w:p>
              </w:tc>
              <w:tc>
                <w:tcPr>
                  <w:tcW w:w="1387" w:type="dxa"/>
                  <w:vAlign w:val="center"/>
                </w:tcPr>
                <w:p w14:paraId="6CEAF886">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贮存方式</w:t>
                  </w:r>
                </w:p>
              </w:tc>
              <w:tc>
                <w:tcPr>
                  <w:tcW w:w="1106" w:type="dxa"/>
                  <w:vAlign w:val="center"/>
                </w:tcPr>
                <w:p w14:paraId="7A0A0A9E">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年贮存量</w:t>
                  </w:r>
                </w:p>
              </w:tc>
              <w:tc>
                <w:tcPr>
                  <w:tcW w:w="1107" w:type="dxa"/>
                  <w:vAlign w:val="center"/>
                </w:tcPr>
                <w:p w14:paraId="1EFB8BA8">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最大有效的暂存量</w:t>
                  </w:r>
                </w:p>
              </w:tc>
              <w:tc>
                <w:tcPr>
                  <w:tcW w:w="919" w:type="dxa"/>
                  <w:vAlign w:val="center"/>
                </w:tcPr>
                <w:p w14:paraId="6178A2B4">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最大暂存周期</w:t>
                  </w:r>
                </w:p>
              </w:tc>
            </w:tr>
            <w:tr w14:paraId="282EEC8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12" w:type="dxa"/>
                  <w:vAlign w:val="center"/>
                </w:tcPr>
                <w:p w14:paraId="7D39F1E0">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color w:val="auto"/>
                      <w:sz w:val="21"/>
                      <w:szCs w:val="21"/>
                      <w:vertAlign w:val="baseline"/>
                      <w:lang w:val="en-US" w:eastAsia="zh-CN"/>
                    </w:rPr>
                  </w:pPr>
                  <w:r>
                    <w:rPr>
                      <w:rFonts w:hint="default" w:ascii="Times New Roman" w:hAnsi="Times New Roman" w:eastAsia="宋体" w:cs="Times New Roman"/>
                      <w:color w:val="auto"/>
                      <w:sz w:val="21"/>
                      <w:szCs w:val="21"/>
                      <w:vertAlign w:val="baseline"/>
                      <w:lang w:val="en-US" w:eastAsia="zh-CN"/>
                    </w:rPr>
                    <w:t>废矿物油</w:t>
                  </w:r>
                </w:p>
              </w:tc>
              <w:tc>
                <w:tcPr>
                  <w:tcW w:w="1969" w:type="dxa"/>
                  <w:vAlign w:val="center"/>
                </w:tcPr>
                <w:p w14:paraId="1303E5FF">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color w:val="auto"/>
                      <w:sz w:val="21"/>
                      <w:szCs w:val="21"/>
                      <w:vertAlign w:val="baseline"/>
                      <w:lang w:val="en-US" w:eastAsia="zh-CN"/>
                    </w:rPr>
                  </w:pPr>
                  <w:r>
                    <w:rPr>
                      <w:rFonts w:hint="default" w:ascii="Times New Roman" w:hAnsi="Times New Roman" w:eastAsia="宋体" w:cs="Times New Roman"/>
                      <w:color w:val="auto"/>
                      <w:sz w:val="21"/>
                      <w:szCs w:val="21"/>
                      <w:vertAlign w:val="baseline"/>
                      <w:lang w:val="en-US" w:eastAsia="zh-CN"/>
                    </w:rPr>
                    <w:t>HW08废矿物油与含矿物油废物</w:t>
                  </w:r>
                </w:p>
              </w:tc>
              <w:tc>
                <w:tcPr>
                  <w:tcW w:w="1228" w:type="dxa"/>
                  <w:vAlign w:val="center"/>
                </w:tcPr>
                <w:p w14:paraId="3F4214D8">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color w:val="auto"/>
                      <w:sz w:val="21"/>
                      <w:szCs w:val="21"/>
                      <w:vertAlign w:val="baseline"/>
                      <w:lang w:val="en-US" w:eastAsia="zh-CN"/>
                    </w:rPr>
                  </w:pPr>
                  <w:r>
                    <w:rPr>
                      <w:rFonts w:hint="default" w:ascii="Times New Roman" w:hAnsi="Times New Roman" w:eastAsia="宋体" w:cs="Times New Roman"/>
                      <w:color w:val="auto"/>
                      <w:sz w:val="21"/>
                      <w:szCs w:val="21"/>
                      <w:vertAlign w:val="baseline"/>
                      <w:lang w:val="en-US" w:eastAsia="zh-CN"/>
                    </w:rPr>
                    <w:t>900-214-08</w:t>
                  </w:r>
                </w:p>
              </w:tc>
              <w:tc>
                <w:tcPr>
                  <w:tcW w:w="1387" w:type="dxa"/>
                  <w:vAlign w:val="center"/>
                </w:tcPr>
                <w:p w14:paraId="67173016">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color w:val="auto"/>
                      <w:sz w:val="21"/>
                      <w:szCs w:val="21"/>
                      <w:vertAlign w:val="baseline"/>
                      <w:lang w:val="en-US" w:eastAsia="zh-CN"/>
                    </w:rPr>
                  </w:pPr>
                  <w:r>
                    <w:rPr>
                      <w:rFonts w:hint="default" w:ascii="Times New Roman" w:hAnsi="Times New Roman" w:eastAsia="宋体" w:cs="Times New Roman"/>
                      <w:color w:val="auto"/>
                      <w:sz w:val="21"/>
                      <w:szCs w:val="21"/>
                      <w:vertAlign w:val="baseline"/>
                      <w:lang w:val="en-US" w:eastAsia="zh-CN"/>
                    </w:rPr>
                    <w:t>50m</w:t>
                  </w:r>
                  <w:r>
                    <w:rPr>
                      <w:rFonts w:hint="default" w:ascii="Times New Roman" w:hAnsi="Times New Roman" w:eastAsia="宋体" w:cs="Times New Roman"/>
                      <w:color w:val="auto"/>
                      <w:sz w:val="21"/>
                      <w:szCs w:val="21"/>
                      <w:vertAlign w:val="superscript"/>
                      <w:lang w:val="en-US" w:eastAsia="zh-CN"/>
                    </w:rPr>
                    <w:t>3</w:t>
                  </w:r>
                  <w:r>
                    <w:rPr>
                      <w:rFonts w:hint="default" w:ascii="Times New Roman" w:hAnsi="Times New Roman" w:eastAsia="宋体" w:cs="Times New Roman"/>
                      <w:color w:val="auto"/>
                      <w:sz w:val="21"/>
                      <w:szCs w:val="21"/>
                      <w:vertAlign w:val="baseline"/>
                      <w:lang w:val="en-US" w:eastAsia="zh-CN"/>
                    </w:rPr>
                    <w:t>储油罐</w:t>
                  </w:r>
                </w:p>
                <w:p w14:paraId="7367F892">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color w:val="auto"/>
                      <w:sz w:val="21"/>
                      <w:szCs w:val="21"/>
                      <w:vertAlign w:val="baseline"/>
                      <w:lang w:val="en-US" w:eastAsia="zh-CN"/>
                    </w:rPr>
                  </w:pPr>
                  <w:r>
                    <w:rPr>
                      <w:rFonts w:hint="default" w:ascii="Times New Roman" w:hAnsi="Times New Roman" w:eastAsia="宋体" w:cs="Times New Roman"/>
                      <w:color w:val="auto"/>
                      <w:sz w:val="21"/>
                      <w:szCs w:val="21"/>
                      <w:vertAlign w:val="baseline"/>
                      <w:lang w:val="en-US" w:eastAsia="zh-CN"/>
                    </w:rPr>
                    <w:t>（2个）</w:t>
                  </w:r>
                </w:p>
              </w:tc>
              <w:tc>
                <w:tcPr>
                  <w:tcW w:w="1106" w:type="dxa"/>
                  <w:vAlign w:val="center"/>
                </w:tcPr>
                <w:p w14:paraId="623F5E9D">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color w:val="auto"/>
                      <w:sz w:val="21"/>
                      <w:szCs w:val="21"/>
                      <w:vertAlign w:val="baseline"/>
                      <w:lang w:val="en-US" w:eastAsia="zh-CN"/>
                    </w:rPr>
                  </w:pPr>
                  <w:r>
                    <w:rPr>
                      <w:rFonts w:hint="default" w:ascii="Times New Roman" w:hAnsi="Times New Roman" w:eastAsia="宋体" w:cs="Times New Roman"/>
                      <w:color w:val="auto"/>
                      <w:sz w:val="21"/>
                      <w:szCs w:val="21"/>
                      <w:vertAlign w:val="baseline"/>
                      <w:lang w:val="en-US" w:eastAsia="zh-CN"/>
                    </w:rPr>
                    <w:t>1500t</w:t>
                  </w:r>
                </w:p>
              </w:tc>
              <w:tc>
                <w:tcPr>
                  <w:tcW w:w="1107" w:type="dxa"/>
                  <w:vAlign w:val="center"/>
                </w:tcPr>
                <w:p w14:paraId="23D25871">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color w:val="auto"/>
                      <w:sz w:val="21"/>
                      <w:szCs w:val="21"/>
                      <w:vertAlign w:val="baseline"/>
                      <w:lang w:val="en-US" w:eastAsia="zh-CN"/>
                    </w:rPr>
                  </w:pPr>
                  <w:r>
                    <w:rPr>
                      <w:rFonts w:hint="eastAsia" w:cs="Times New Roman"/>
                      <w:color w:val="auto"/>
                      <w:sz w:val="21"/>
                      <w:szCs w:val="21"/>
                      <w:vertAlign w:val="baseline"/>
                      <w:lang w:val="en-US" w:eastAsia="zh-CN"/>
                    </w:rPr>
                    <w:t>74.38</w:t>
                  </w:r>
                  <w:r>
                    <w:rPr>
                      <w:rFonts w:hint="default" w:ascii="Times New Roman" w:hAnsi="Times New Roman" w:eastAsia="宋体" w:cs="Times New Roman"/>
                      <w:color w:val="auto"/>
                      <w:sz w:val="21"/>
                      <w:szCs w:val="21"/>
                      <w:vertAlign w:val="baseline"/>
                      <w:lang w:val="en-US" w:eastAsia="zh-CN"/>
                    </w:rPr>
                    <w:t>t</w:t>
                  </w:r>
                </w:p>
              </w:tc>
              <w:tc>
                <w:tcPr>
                  <w:tcW w:w="919" w:type="dxa"/>
                  <w:vAlign w:val="center"/>
                </w:tcPr>
                <w:p w14:paraId="2091CDC3">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color w:val="auto"/>
                      <w:sz w:val="21"/>
                      <w:szCs w:val="21"/>
                      <w:vertAlign w:val="baseline"/>
                      <w:lang w:val="en-US" w:eastAsia="zh-CN"/>
                    </w:rPr>
                  </w:pPr>
                  <w:r>
                    <w:rPr>
                      <w:rFonts w:hint="eastAsia" w:cs="Times New Roman"/>
                      <w:color w:val="auto"/>
                      <w:sz w:val="21"/>
                      <w:szCs w:val="21"/>
                      <w:vertAlign w:val="baseline"/>
                      <w:lang w:val="en-US" w:eastAsia="zh-CN"/>
                    </w:rPr>
                    <w:t>20</w:t>
                  </w:r>
                  <w:r>
                    <w:rPr>
                      <w:rFonts w:hint="default" w:ascii="Times New Roman" w:hAnsi="Times New Roman" w:eastAsia="宋体" w:cs="Times New Roman"/>
                      <w:color w:val="auto"/>
                      <w:sz w:val="21"/>
                      <w:szCs w:val="21"/>
                      <w:vertAlign w:val="baseline"/>
                      <w:lang w:val="en-US" w:eastAsia="zh-CN"/>
                    </w:rPr>
                    <w:t>d</w:t>
                  </w:r>
                </w:p>
              </w:tc>
            </w:tr>
          </w:tbl>
          <w:p w14:paraId="16AFB42A">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eastAsia" w:cs="Times New Roman"/>
                <w:b/>
                <w:bCs/>
                <w:color w:val="auto"/>
                <w:sz w:val="21"/>
                <w:szCs w:val="21"/>
                <w:vertAlign w:val="baseline"/>
                <w:lang w:val="en-US" w:eastAsia="zh-CN"/>
              </w:rPr>
            </w:pPr>
            <w:r>
              <w:rPr>
                <w:rFonts w:hint="eastAsia" w:cs="Times New Roman"/>
                <w:b/>
                <w:bCs/>
                <w:color w:val="auto"/>
                <w:sz w:val="21"/>
                <w:szCs w:val="21"/>
                <w:lang w:val="en-US" w:eastAsia="zh-CN"/>
              </w:rPr>
              <w:t>表2-5 项目拟暂存废物代码表</w:t>
            </w:r>
          </w:p>
          <w:tbl>
            <w:tblPr>
              <w:tblStyle w:val="28"/>
              <w:tblW w:w="842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04"/>
              <w:gridCol w:w="1267"/>
              <w:gridCol w:w="1238"/>
              <w:gridCol w:w="2493"/>
              <w:gridCol w:w="1097"/>
              <w:gridCol w:w="929"/>
            </w:tblGrid>
            <w:tr w14:paraId="717DED8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04" w:type="dxa"/>
                  <w:vAlign w:val="center"/>
                </w:tcPr>
                <w:p w14:paraId="64A844CD">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b/>
                      <w:bCs/>
                      <w:color w:val="auto"/>
                      <w:sz w:val="21"/>
                      <w:szCs w:val="21"/>
                      <w:vertAlign w:val="baseline"/>
                      <w:lang w:val="en-US" w:eastAsia="zh-CN"/>
                    </w:rPr>
                  </w:pPr>
                  <w:r>
                    <w:rPr>
                      <w:rFonts w:hint="eastAsia" w:cs="Times New Roman"/>
                      <w:b/>
                      <w:bCs/>
                      <w:color w:val="auto"/>
                      <w:sz w:val="21"/>
                      <w:szCs w:val="21"/>
                      <w:vertAlign w:val="baseline"/>
                      <w:lang w:val="en-US" w:eastAsia="zh-CN"/>
                    </w:rPr>
                    <w:t>废物类别</w:t>
                  </w:r>
                </w:p>
              </w:tc>
              <w:tc>
                <w:tcPr>
                  <w:tcW w:w="1267" w:type="dxa"/>
                  <w:vAlign w:val="center"/>
                </w:tcPr>
                <w:p w14:paraId="5A674D70">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b/>
                      <w:bCs/>
                      <w:color w:val="auto"/>
                      <w:sz w:val="21"/>
                      <w:szCs w:val="21"/>
                      <w:vertAlign w:val="baseline"/>
                      <w:lang w:val="en-US" w:eastAsia="zh-CN"/>
                    </w:rPr>
                  </w:pPr>
                  <w:r>
                    <w:rPr>
                      <w:rFonts w:hint="eastAsia" w:cs="Times New Roman"/>
                      <w:b/>
                      <w:bCs/>
                      <w:color w:val="auto"/>
                      <w:sz w:val="21"/>
                      <w:szCs w:val="21"/>
                      <w:vertAlign w:val="baseline"/>
                      <w:lang w:val="en-US" w:eastAsia="zh-CN"/>
                    </w:rPr>
                    <w:t>行业来源</w:t>
                  </w:r>
                </w:p>
              </w:tc>
              <w:tc>
                <w:tcPr>
                  <w:tcW w:w="1238" w:type="dxa"/>
                  <w:vAlign w:val="center"/>
                </w:tcPr>
                <w:p w14:paraId="5D031B04">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b/>
                      <w:bCs/>
                      <w:color w:val="auto"/>
                      <w:sz w:val="21"/>
                      <w:szCs w:val="21"/>
                      <w:vertAlign w:val="baseline"/>
                      <w:lang w:val="en-US" w:eastAsia="zh-CN"/>
                    </w:rPr>
                  </w:pPr>
                  <w:r>
                    <w:rPr>
                      <w:rFonts w:hint="eastAsia" w:cs="Times New Roman"/>
                      <w:b/>
                      <w:bCs/>
                      <w:color w:val="auto"/>
                      <w:sz w:val="21"/>
                      <w:szCs w:val="21"/>
                      <w:vertAlign w:val="baseline"/>
                      <w:lang w:val="en-US" w:eastAsia="zh-CN"/>
                    </w:rPr>
                    <w:t>废物代码</w:t>
                  </w:r>
                </w:p>
              </w:tc>
              <w:tc>
                <w:tcPr>
                  <w:tcW w:w="2493" w:type="dxa"/>
                  <w:vAlign w:val="center"/>
                </w:tcPr>
                <w:p w14:paraId="74353BE5">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b/>
                      <w:bCs/>
                      <w:color w:val="auto"/>
                      <w:sz w:val="21"/>
                      <w:szCs w:val="21"/>
                      <w:vertAlign w:val="baseline"/>
                      <w:lang w:val="en-US" w:eastAsia="zh-CN"/>
                    </w:rPr>
                  </w:pPr>
                  <w:r>
                    <w:rPr>
                      <w:rFonts w:hint="eastAsia" w:cs="Times New Roman"/>
                      <w:b/>
                      <w:bCs/>
                      <w:color w:val="auto"/>
                      <w:sz w:val="21"/>
                      <w:szCs w:val="21"/>
                      <w:vertAlign w:val="baseline"/>
                      <w:lang w:val="en-US" w:eastAsia="zh-CN"/>
                    </w:rPr>
                    <w:t>危险废物</w:t>
                  </w:r>
                </w:p>
              </w:tc>
              <w:tc>
                <w:tcPr>
                  <w:tcW w:w="1097" w:type="dxa"/>
                  <w:vAlign w:val="center"/>
                </w:tcPr>
                <w:p w14:paraId="520F97DC">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b/>
                      <w:bCs/>
                      <w:color w:val="auto"/>
                      <w:sz w:val="21"/>
                      <w:szCs w:val="21"/>
                      <w:vertAlign w:val="baseline"/>
                      <w:lang w:val="en-US" w:eastAsia="zh-CN"/>
                    </w:rPr>
                  </w:pPr>
                  <w:r>
                    <w:rPr>
                      <w:rFonts w:hint="eastAsia" w:cs="Times New Roman"/>
                      <w:b/>
                      <w:bCs/>
                      <w:color w:val="auto"/>
                      <w:sz w:val="21"/>
                      <w:szCs w:val="21"/>
                      <w:vertAlign w:val="baseline"/>
                      <w:lang w:val="en-US" w:eastAsia="zh-CN"/>
                    </w:rPr>
                    <w:t>危险特性</w:t>
                  </w:r>
                </w:p>
              </w:tc>
              <w:tc>
                <w:tcPr>
                  <w:tcW w:w="929" w:type="dxa"/>
                  <w:vAlign w:val="center"/>
                </w:tcPr>
                <w:p w14:paraId="282455BA">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b/>
                      <w:bCs/>
                      <w:color w:val="auto"/>
                      <w:sz w:val="21"/>
                      <w:szCs w:val="21"/>
                      <w:vertAlign w:val="baseline"/>
                      <w:lang w:val="en-US" w:eastAsia="zh-CN"/>
                    </w:rPr>
                  </w:pPr>
                  <w:r>
                    <w:rPr>
                      <w:rFonts w:hint="eastAsia" w:cs="Times New Roman"/>
                      <w:b/>
                      <w:bCs/>
                      <w:color w:val="auto"/>
                      <w:sz w:val="21"/>
                      <w:szCs w:val="21"/>
                      <w:vertAlign w:val="baseline"/>
                      <w:lang w:val="en-US" w:eastAsia="zh-CN"/>
                    </w:rPr>
                    <w:t>形态</w:t>
                  </w:r>
                </w:p>
              </w:tc>
            </w:tr>
            <w:tr w14:paraId="681780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04" w:type="dxa"/>
                  <w:vAlign w:val="center"/>
                </w:tcPr>
                <w:p w14:paraId="75DD7331">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color w:val="auto"/>
                      <w:sz w:val="21"/>
                      <w:szCs w:val="21"/>
                      <w:vertAlign w:val="baseline"/>
                      <w:lang w:val="en-US" w:eastAsia="zh-CN"/>
                    </w:rPr>
                  </w:pPr>
                  <w:r>
                    <w:rPr>
                      <w:rFonts w:hint="eastAsia" w:cs="Times New Roman"/>
                      <w:color w:val="auto"/>
                      <w:sz w:val="21"/>
                      <w:szCs w:val="21"/>
                      <w:vertAlign w:val="baseline"/>
                      <w:lang w:val="en-US" w:eastAsia="zh-CN"/>
                    </w:rPr>
                    <w:t>HW08废矿物油与含矿物油废物</w:t>
                  </w:r>
                </w:p>
              </w:tc>
              <w:tc>
                <w:tcPr>
                  <w:tcW w:w="1267" w:type="dxa"/>
                  <w:vAlign w:val="center"/>
                </w:tcPr>
                <w:p w14:paraId="31554D36">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color w:val="auto"/>
                      <w:sz w:val="21"/>
                      <w:szCs w:val="21"/>
                      <w:vertAlign w:val="baseline"/>
                      <w:lang w:val="en-US" w:eastAsia="zh-CN"/>
                    </w:rPr>
                  </w:pPr>
                  <w:r>
                    <w:rPr>
                      <w:rFonts w:hint="eastAsia" w:cs="Times New Roman"/>
                      <w:color w:val="auto"/>
                      <w:sz w:val="21"/>
                      <w:szCs w:val="21"/>
                      <w:vertAlign w:val="baseline"/>
                      <w:lang w:val="en-US" w:eastAsia="zh-CN"/>
                    </w:rPr>
                    <w:t>非特定行业</w:t>
                  </w:r>
                </w:p>
              </w:tc>
              <w:tc>
                <w:tcPr>
                  <w:tcW w:w="1238" w:type="dxa"/>
                  <w:vAlign w:val="center"/>
                </w:tcPr>
                <w:p w14:paraId="7B9118D3">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color w:val="auto"/>
                      <w:sz w:val="21"/>
                      <w:szCs w:val="21"/>
                      <w:vertAlign w:val="baseline"/>
                      <w:lang w:val="en-US" w:eastAsia="zh-CN"/>
                    </w:rPr>
                  </w:pPr>
                  <w:r>
                    <w:rPr>
                      <w:rFonts w:hint="eastAsia" w:cs="Times New Roman"/>
                      <w:color w:val="auto"/>
                      <w:sz w:val="21"/>
                      <w:szCs w:val="21"/>
                      <w:vertAlign w:val="baseline"/>
                      <w:lang w:val="en-US" w:eastAsia="zh-CN"/>
                    </w:rPr>
                    <w:t>900-214-08</w:t>
                  </w:r>
                </w:p>
              </w:tc>
              <w:tc>
                <w:tcPr>
                  <w:tcW w:w="2493" w:type="dxa"/>
                  <w:vAlign w:val="center"/>
                </w:tcPr>
                <w:p w14:paraId="7980359E">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both"/>
                    <w:textAlignment w:val="auto"/>
                    <w:rPr>
                      <w:rFonts w:hint="eastAsia" w:cs="Times New Roman"/>
                      <w:color w:val="auto"/>
                      <w:sz w:val="21"/>
                      <w:szCs w:val="21"/>
                      <w:vertAlign w:val="baseline"/>
                      <w:lang w:val="en-US" w:eastAsia="zh-CN"/>
                    </w:rPr>
                  </w:pPr>
                  <w:r>
                    <w:rPr>
                      <w:rFonts w:hint="eastAsia" w:cs="Times New Roman"/>
                      <w:color w:val="auto"/>
                      <w:sz w:val="21"/>
                      <w:szCs w:val="21"/>
                      <w:vertAlign w:val="baseline"/>
                      <w:lang w:val="en-US" w:eastAsia="zh-CN"/>
                    </w:rPr>
                    <w:t>车辆及机械维修过程中产生的废发动机油、制动器油、自动变速器油、齿轮油等废矿物油</w:t>
                  </w:r>
                </w:p>
              </w:tc>
              <w:tc>
                <w:tcPr>
                  <w:tcW w:w="1097" w:type="dxa"/>
                  <w:vAlign w:val="center"/>
                </w:tcPr>
                <w:p w14:paraId="0BED4398">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color w:val="auto"/>
                      <w:sz w:val="21"/>
                      <w:szCs w:val="21"/>
                      <w:vertAlign w:val="baseline"/>
                      <w:lang w:val="en-US" w:eastAsia="zh-CN"/>
                    </w:rPr>
                  </w:pPr>
                  <w:r>
                    <w:rPr>
                      <w:rFonts w:hint="eastAsia" w:cs="Times New Roman"/>
                      <w:color w:val="auto"/>
                      <w:sz w:val="21"/>
                      <w:szCs w:val="21"/>
                      <w:vertAlign w:val="baseline"/>
                      <w:lang w:val="en-US" w:eastAsia="zh-CN"/>
                    </w:rPr>
                    <w:t>T，I</w:t>
                  </w:r>
                </w:p>
              </w:tc>
              <w:tc>
                <w:tcPr>
                  <w:tcW w:w="929" w:type="dxa"/>
                  <w:vAlign w:val="center"/>
                </w:tcPr>
                <w:p w14:paraId="627555C7">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color w:val="auto"/>
                      <w:sz w:val="21"/>
                      <w:szCs w:val="21"/>
                      <w:vertAlign w:val="baseline"/>
                      <w:lang w:val="en-US" w:eastAsia="zh-CN"/>
                    </w:rPr>
                  </w:pPr>
                  <w:r>
                    <w:rPr>
                      <w:rFonts w:hint="eastAsia" w:cs="Times New Roman"/>
                      <w:color w:val="auto"/>
                      <w:sz w:val="21"/>
                      <w:szCs w:val="21"/>
                      <w:vertAlign w:val="baseline"/>
                      <w:lang w:val="en-US" w:eastAsia="zh-CN"/>
                    </w:rPr>
                    <w:t>液态</w:t>
                  </w:r>
                </w:p>
              </w:tc>
            </w:tr>
          </w:tbl>
          <w:p w14:paraId="2F7DD6FE">
            <w:pPr>
              <w:keepNext w:val="0"/>
              <w:keepLines w:val="0"/>
              <w:pageBreakBefore w:val="0"/>
              <w:widowControl w:val="0"/>
              <w:numPr>
                <w:ilvl w:val="0"/>
                <w:numId w:val="29"/>
              </w:numPr>
              <w:kinsoku/>
              <w:wordWrap/>
              <w:overflowPunct/>
              <w:topLinePunct w:val="0"/>
              <w:autoSpaceDE/>
              <w:autoSpaceDN/>
              <w:bidi w:val="0"/>
              <w:adjustRightInd/>
              <w:snapToGrid/>
              <w:spacing w:line="360" w:lineRule="auto"/>
              <w:ind w:left="0" w:leftChars="0" w:firstLine="482" w:firstLineChars="200"/>
              <w:jc w:val="both"/>
              <w:textAlignment w:val="auto"/>
              <w:rPr>
                <w:rFonts w:hint="eastAsia" w:cs="Times New Roman"/>
                <w:b/>
                <w:bCs/>
                <w:color w:val="auto"/>
                <w:sz w:val="24"/>
                <w:szCs w:val="24"/>
                <w:lang w:val="en-US" w:eastAsia="zh-CN"/>
              </w:rPr>
            </w:pPr>
            <w:r>
              <w:rPr>
                <w:rFonts w:hint="eastAsia" w:cs="Times New Roman"/>
                <w:b/>
                <w:bCs/>
                <w:color w:val="auto"/>
                <w:sz w:val="24"/>
                <w:szCs w:val="24"/>
                <w:lang w:val="en-US" w:eastAsia="zh-CN"/>
              </w:rPr>
              <w:t>废矿物油相关技术指标</w:t>
            </w:r>
          </w:p>
          <w:p w14:paraId="7E76595D">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r>
              <w:rPr>
                <w:rFonts w:hint="eastAsia" w:cs="Times New Roman"/>
                <w:color w:val="auto"/>
                <w:sz w:val="24"/>
                <w:szCs w:val="24"/>
                <w:lang w:val="en-US" w:eastAsia="zh-CN"/>
              </w:rPr>
              <w:t>企业运行过程严格执行危险废物转移联单制度，从汽车修理厂、4S店等单位以桶装运输废矿物油，并确保废矿物油中不得混入废汽、柴油等。</w:t>
            </w:r>
          </w:p>
          <w:p w14:paraId="29962962">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r>
              <w:rPr>
                <w:rFonts w:hint="eastAsia" w:cs="Times New Roman"/>
                <w:color w:val="auto"/>
                <w:sz w:val="24"/>
                <w:szCs w:val="24"/>
                <w:lang w:val="en-US" w:eastAsia="zh-CN"/>
              </w:rPr>
              <w:t>为了解废矿物油的主要元素和物质组成，类比同类项目，废矿物油具体成分件下表：</w:t>
            </w:r>
          </w:p>
          <w:p w14:paraId="0D92D013">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eastAsia" w:cs="Times New Roman"/>
                <w:b/>
                <w:bCs/>
                <w:color w:val="auto"/>
                <w:sz w:val="21"/>
                <w:szCs w:val="21"/>
                <w:vertAlign w:val="baseline"/>
                <w:lang w:val="en-US" w:eastAsia="zh-CN"/>
              </w:rPr>
            </w:pPr>
            <w:r>
              <w:rPr>
                <w:rFonts w:hint="eastAsia" w:cs="Times New Roman"/>
                <w:b/>
                <w:bCs/>
                <w:color w:val="auto"/>
                <w:sz w:val="21"/>
                <w:szCs w:val="21"/>
                <w:lang w:val="en-US" w:eastAsia="zh-CN"/>
              </w:rPr>
              <w:t>表2-6 废矿物油主要成分一览表</w:t>
            </w:r>
          </w:p>
          <w:tbl>
            <w:tblPr>
              <w:tblStyle w:val="28"/>
              <w:tblW w:w="842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46"/>
              <w:gridCol w:w="797"/>
              <w:gridCol w:w="3169"/>
              <w:gridCol w:w="3216"/>
            </w:tblGrid>
            <w:tr w14:paraId="41FF1C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212" w:type="dxa"/>
                  <w:gridSpan w:val="3"/>
                  <w:vAlign w:val="center"/>
                </w:tcPr>
                <w:p w14:paraId="311A3DF9">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b/>
                      <w:bCs/>
                      <w:color w:val="auto"/>
                      <w:sz w:val="21"/>
                      <w:szCs w:val="21"/>
                      <w:vertAlign w:val="baseline"/>
                      <w:lang w:val="en-US" w:eastAsia="zh-CN"/>
                    </w:rPr>
                  </w:pPr>
                  <w:r>
                    <w:rPr>
                      <w:rFonts w:hint="eastAsia" w:cs="Times New Roman"/>
                      <w:b/>
                      <w:bCs/>
                      <w:color w:val="auto"/>
                      <w:sz w:val="21"/>
                      <w:szCs w:val="21"/>
                      <w:vertAlign w:val="baseline"/>
                      <w:lang w:val="en-US" w:eastAsia="zh-CN"/>
                    </w:rPr>
                    <w:t>分析项目</w:t>
                  </w:r>
                </w:p>
              </w:tc>
              <w:tc>
                <w:tcPr>
                  <w:tcW w:w="3216" w:type="dxa"/>
                  <w:vAlign w:val="center"/>
                </w:tcPr>
                <w:p w14:paraId="22337F1C">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b/>
                      <w:bCs/>
                      <w:color w:val="auto"/>
                      <w:sz w:val="21"/>
                      <w:szCs w:val="21"/>
                      <w:vertAlign w:val="baseline"/>
                      <w:lang w:val="en-US" w:eastAsia="zh-CN"/>
                    </w:rPr>
                  </w:pPr>
                  <w:r>
                    <w:rPr>
                      <w:rFonts w:hint="eastAsia" w:cs="Times New Roman"/>
                      <w:b/>
                      <w:bCs/>
                      <w:color w:val="auto"/>
                      <w:sz w:val="21"/>
                      <w:szCs w:val="21"/>
                      <w:vertAlign w:val="baseline"/>
                      <w:lang w:val="en-US" w:eastAsia="zh-CN"/>
                    </w:rPr>
                    <w:t>废矿物油</w:t>
                  </w:r>
                </w:p>
              </w:tc>
            </w:tr>
            <w:tr w14:paraId="232A37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46" w:type="dxa"/>
                  <w:vMerge w:val="restart"/>
                  <w:vAlign w:val="center"/>
                </w:tcPr>
                <w:p w14:paraId="013C60DB">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color w:val="auto"/>
                      <w:sz w:val="21"/>
                      <w:szCs w:val="21"/>
                      <w:vertAlign w:val="baseline"/>
                      <w:lang w:val="en-US" w:eastAsia="zh-CN"/>
                    </w:rPr>
                  </w:pPr>
                  <w:r>
                    <w:rPr>
                      <w:rFonts w:hint="eastAsia"/>
                    </w:rPr>
                    <w:t>理化性质</w:t>
                  </w:r>
                </w:p>
              </w:tc>
              <w:tc>
                <w:tcPr>
                  <w:tcW w:w="3966" w:type="dxa"/>
                  <w:gridSpan w:val="2"/>
                  <w:vAlign w:val="center"/>
                </w:tcPr>
                <w:p w14:paraId="553F5C75">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color w:val="auto"/>
                      <w:sz w:val="21"/>
                      <w:szCs w:val="21"/>
                      <w:vertAlign w:val="baseline"/>
                      <w:lang w:val="en-US" w:eastAsia="zh-CN"/>
                    </w:rPr>
                  </w:pPr>
                  <w:r>
                    <w:rPr>
                      <w:rFonts w:hint="eastAsia" w:cs="Times New Roman"/>
                      <w:color w:val="auto"/>
                      <w:sz w:val="21"/>
                      <w:szCs w:val="21"/>
                      <w:vertAlign w:val="baseline"/>
                      <w:lang w:val="en-US" w:eastAsia="zh-CN"/>
                    </w:rPr>
                    <w:t>密度（20℃），kg/m</w:t>
                  </w:r>
                  <w:r>
                    <w:rPr>
                      <w:rFonts w:hint="eastAsia" w:cs="Times New Roman"/>
                      <w:color w:val="auto"/>
                      <w:sz w:val="21"/>
                      <w:szCs w:val="21"/>
                      <w:vertAlign w:val="superscript"/>
                      <w:lang w:val="en-US" w:eastAsia="zh-CN"/>
                    </w:rPr>
                    <w:t>3</w:t>
                  </w:r>
                </w:p>
              </w:tc>
              <w:tc>
                <w:tcPr>
                  <w:tcW w:w="3216" w:type="dxa"/>
                  <w:vAlign w:val="center"/>
                </w:tcPr>
                <w:p w14:paraId="364EBDFD">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color w:val="auto"/>
                      <w:sz w:val="21"/>
                      <w:szCs w:val="21"/>
                      <w:vertAlign w:val="baseline"/>
                      <w:lang w:val="en-US" w:eastAsia="zh-CN"/>
                    </w:rPr>
                  </w:pPr>
                  <w:r>
                    <w:rPr>
                      <w:rFonts w:hint="eastAsia" w:cs="Times New Roman"/>
                      <w:color w:val="auto"/>
                      <w:sz w:val="21"/>
                      <w:szCs w:val="21"/>
                      <w:vertAlign w:val="baseline"/>
                      <w:lang w:val="en-US" w:eastAsia="zh-CN"/>
                    </w:rPr>
                    <w:t>874.8（约0.875t/m</w:t>
                  </w:r>
                  <w:r>
                    <w:rPr>
                      <w:rFonts w:hint="eastAsia" w:cs="Times New Roman"/>
                      <w:color w:val="auto"/>
                      <w:sz w:val="21"/>
                      <w:szCs w:val="21"/>
                      <w:vertAlign w:val="superscript"/>
                      <w:lang w:val="en-US" w:eastAsia="zh-CN"/>
                    </w:rPr>
                    <w:t>3</w:t>
                  </w:r>
                  <w:r>
                    <w:rPr>
                      <w:rFonts w:hint="eastAsia" w:cs="Times New Roman"/>
                      <w:color w:val="auto"/>
                      <w:sz w:val="21"/>
                      <w:szCs w:val="21"/>
                      <w:vertAlign w:val="baseline"/>
                      <w:lang w:val="en-US" w:eastAsia="zh-CN"/>
                    </w:rPr>
                    <w:t>）</w:t>
                  </w:r>
                </w:p>
              </w:tc>
            </w:tr>
            <w:tr w14:paraId="04D58CE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46" w:type="dxa"/>
                  <w:vMerge w:val="continue"/>
                  <w:vAlign w:val="center"/>
                </w:tcPr>
                <w:p w14:paraId="46EDBB1A">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color w:val="auto"/>
                      <w:sz w:val="21"/>
                      <w:szCs w:val="21"/>
                      <w:vertAlign w:val="baseline"/>
                      <w:lang w:val="en-US" w:eastAsia="zh-CN"/>
                    </w:rPr>
                  </w:pPr>
                </w:p>
              </w:tc>
              <w:tc>
                <w:tcPr>
                  <w:tcW w:w="3966" w:type="dxa"/>
                  <w:gridSpan w:val="2"/>
                  <w:vAlign w:val="center"/>
                </w:tcPr>
                <w:p w14:paraId="3A1F3F1E">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color w:val="auto"/>
                      <w:sz w:val="21"/>
                      <w:szCs w:val="21"/>
                      <w:vertAlign w:val="baseline"/>
                      <w:lang w:val="en-US" w:eastAsia="zh-CN"/>
                    </w:rPr>
                  </w:pPr>
                  <w:r>
                    <w:rPr>
                      <w:rFonts w:hint="eastAsia" w:cs="Times New Roman"/>
                      <w:color w:val="auto"/>
                      <w:sz w:val="21"/>
                      <w:szCs w:val="21"/>
                      <w:vertAlign w:val="baseline"/>
                      <w:lang w:val="en-US" w:eastAsia="zh-CN"/>
                    </w:rPr>
                    <w:t>闪点（开口）℃</w:t>
                  </w:r>
                </w:p>
              </w:tc>
              <w:tc>
                <w:tcPr>
                  <w:tcW w:w="3216" w:type="dxa"/>
                  <w:vAlign w:val="center"/>
                </w:tcPr>
                <w:p w14:paraId="53BDBE5E">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color w:val="auto"/>
                      <w:sz w:val="21"/>
                      <w:szCs w:val="21"/>
                      <w:vertAlign w:val="baseline"/>
                      <w:lang w:val="en-US" w:eastAsia="zh-CN"/>
                    </w:rPr>
                  </w:pPr>
                  <w:r>
                    <w:rPr>
                      <w:rFonts w:hint="eastAsia" w:cs="Times New Roman"/>
                      <w:color w:val="auto"/>
                      <w:sz w:val="21"/>
                      <w:szCs w:val="21"/>
                      <w:vertAlign w:val="baseline"/>
                      <w:lang w:val="en-US" w:eastAsia="zh-CN"/>
                    </w:rPr>
                    <w:t>184</w:t>
                  </w:r>
                </w:p>
              </w:tc>
            </w:tr>
            <w:tr w14:paraId="17E902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46" w:type="dxa"/>
                  <w:vMerge w:val="continue"/>
                  <w:vAlign w:val="center"/>
                </w:tcPr>
                <w:p w14:paraId="4628677C">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color w:val="auto"/>
                      <w:sz w:val="21"/>
                      <w:szCs w:val="21"/>
                      <w:vertAlign w:val="baseline"/>
                      <w:lang w:val="en-US" w:eastAsia="zh-CN"/>
                    </w:rPr>
                  </w:pPr>
                </w:p>
              </w:tc>
              <w:tc>
                <w:tcPr>
                  <w:tcW w:w="3966" w:type="dxa"/>
                  <w:gridSpan w:val="2"/>
                  <w:vAlign w:val="center"/>
                </w:tcPr>
                <w:p w14:paraId="6219A910">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color w:val="auto"/>
                      <w:sz w:val="21"/>
                      <w:szCs w:val="21"/>
                      <w:vertAlign w:val="baseline"/>
                      <w:lang w:val="en-US" w:eastAsia="zh-CN"/>
                    </w:rPr>
                  </w:pPr>
                  <w:r>
                    <w:rPr>
                      <w:rFonts w:hint="eastAsia" w:cs="Times New Roman"/>
                      <w:color w:val="auto"/>
                      <w:sz w:val="21"/>
                      <w:szCs w:val="21"/>
                      <w:vertAlign w:val="baseline"/>
                      <w:lang w:val="en-US" w:eastAsia="zh-CN"/>
                    </w:rPr>
                    <w:t>倾点℃</w:t>
                  </w:r>
                </w:p>
              </w:tc>
              <w:tc>
                <w:tcPr>
                  <w:tcW w:w="3216" w:type="dxa"/>
                  <w:vAlign w:val="center"/>
                </w:tcPr>
                <w:p w14:paraId="4C1B5099">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color w:val="auto"/>
                      <w:sz w:val="21"/>
                      <w:szCs w:val="21"/>
                      <w:vertAlign w:val="baseline"/>
                      <w:lang w:val="en-US" w:eastAsia="zh-CN"/>
                    </w:rPr>
                  </w:pPr>
                  <w:r>
                    <w:rPr>
                      <w:rFonts w:hint="eastAsia" w:cs="Times New Roman"/>
                      <w:color w:val="auto"/>
                      <w:sz w:val="21"/>
                      <w:szCs w:val="21"/>
                      <w:vertAlign w:val="baseline"/>
                      <w:lang w:val="en-US" w:eastAsia="zh-CN"/>
                    </w:rPr>
                    <w:t>-48</w:t>
                  </w:r>
                </w:p>
              </w:tc>
            </w:tr>
            <w:tr w14:paraId="0535711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46" w:type="dxa"/>
                  <w:vMerge w:val="continue"/>
                  <w:vAlign w:val="center"/>
                </w:tcPr>
                <w:p w14:paraId="6FADD98F">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color w:val="auto"/>
                      <w:sz w:val="21"/>
                      <w:szCs w:val="21"/>
                      <w:vertAlign w:val="baseline"/>
                      <w:lang w:val="en-US" w:eastAsia="zh-CN"/>
                    </w:rPr>
                  </w:pPr>
                </w:p>
              </w:tc>
              <w:tc>
                <w:tcPr>
                  <w:tcW w:w="3966" w:type="dxa"/>
                  <w:gridSpan w:val="2"/>
                  <w:vAlign w:val="center"/>
                </w:tcPr>
                <w:p w14:paraId="30C66096">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color w:val="auto"/>
                      <w:sz w:val="21"/>
                      <w:szCs w:val="21"/>
                      <w:vertAlign w:val="baseline"/>
                      <w:lang w:val="en-US" w:eastAsia="zh-CN"/>
                    </w:rPr>
                  </w:pPr>
                  <w:r>
                    <w:rPr>
                      <w:rFonts w:hint="eastAsia" w:cs="Times New Roman"/>
                      <w:color w:val="auto"/>
                      <w:sz w:val="21"/>
                      <w:szCs w:val="21"/>
                      <w:vertAlign w:val="baseline"/>
                      <w:lang w:val="en-US" w:eastAsia="zh-CN"/>
                    </w:rPr>
                    <w:t>残炭（质量分数）%</w:t>
                  </w:r>
                </w:p>
              </w:tc>
              <w:tc>
                <w:tcPr>
                  <w:tcW w:w="3216" w:type="dxa"/>
                  <w:vAlign w:val="center"/>
                </w:tcPr>
                <w:p w14:paraId="1CCAD441">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color w:val="auto"/>
                      <w:sz w:val="21"/>
                      <w:szCs w:val="21"/>
                      <w:vertAlign w:val="baseline"/>
                      <w:lang w:val="en-US" w:eastAsia="zh-CN"/>
                    </w:rPr>
                  </w:pPr>
                  <w:r>
                    <w:rPr>
                      <w:rFonts w:hint="eastAsia" w:cs="Times New Roman"/>
                      <w:color w:val="auto"/>
                      <w:sz w:val="21"/>
                      <w:szCs w:val="21"/>
                      <w:vertAlign w:val="baseline"/>
                      <w:lang w:val="en-US" w:eastAsia="zh-CN"/>
                    </w:rPr>
                    <w:t>1.8</w:t>
                  </w:r>
                </w:p>
              </w:tc>
            </w:tr>
            <w:tr w14:paraId="723897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46" w:type="dxa"/>
                  <w:vMerge w:val="continue"/>
                  <w:vAlign w:val="center"/>
                </w:tcPr>
                <w:p w14:paraId="589D44AE">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color w:val="auto"/>
                      <w:sz w:val="21"/>
                      <w:szCs w:val="21"/>
                      <w:vertAlign w:val="baseline"/>
                      <w:lang w:val="en-US" w:eastAsia="zh-CN"/>
                    </w:rPr>
                  </w:pPr>
                </w:p>
              </w:tc>
              <w:tc>
                <w:tcPr>
                  <w:tcW w:w="3966" w:type="dxa"/>
                  <w:gridSpan w:val="2"/>
                  <w:vAlign w:val="center"/>
                </w:tcPr>
                <w:p w14:paraId="36ED19E8">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color w:val="auto"/>
                      <w:sz w:val="21"/>
                      <w:szCs w:val="21"/>
                      <w:vertAlign w:val="baseline"/>
                      <w:lang w:val="en-US" w:eastAsia="zh-CN"/>
                    </w:rPr>
                  </w:pPr>
                  <w:r>
                    <w:rPr>
                      <w:rFonts w:hint="eastAsia" w:cs="Times New Roman"/>
                      <w:color w:val="auto"/>
                      <w:sz w:val="21"/>
                      <w:szCs w:val="21"/>
                      <w:vertAlign w:val="baseline"/>
                      <w:lang w:val="en-US" w:eastAsia="zh-CN"/>
                    </w:rPr>
                    <w:t>酸值，mgKOH/g</w:t>
                  </w:r>
                </w:p>
              </w:tc>
              <w:tc>
                <w:tcPr>
                  <w:tcW w:w="3216" w:type="dxa"/>
                  <w:vAlign w:val="center"/>
                </w:tcPr>
                <w:p w14:paraId="164628A5">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color w:val="auto"/>
                      <w:sz w:val="21"/>
                      <w:szCs w:val="21"/>
                      <w:vertAlign w:val="baseline"/>
                      <w:lang w:val="en-US" w:eastAsia="zh-CN"/>
                    </w:rPr>
                  </w:pPr>
                  <w:r>
                    <w:rPr>
                      <w:rFonts w:hint="eastAsia" w:cs="Times New Roman"/>
                      <w:color w:val="auto"/>
                      <w:sz w:val="21"/>
                      <w:szCs w:val="21"/>
                      <w:vertAlign w:val="baseline"/>
                      <w:lang w:val="en-US" w:eastAsia="zh-CN"/>
                    </w:rPr>
                    <w:t>2.17</w:t>
                  </w:r>
                </w:p>
              </w:tc>
            </w:tr>
            <w:tr w14:paraId="6084C7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46" w:type="dxa"/>
                  <w:vMerge w:val="continue"/>
                  <w:vAlign w:val="center"/>
                </w:tcPr>
                <w:p w14:paraId="38E91C20">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color w:val="auto"/>
                      <w:sz w:val="21"/>
                      <w:szCs w:val="21"/>
                      <w:vertAlign w:val="baseline"/>
                      <w:lang w:val="en-US" w:eastAsia="zh-CN"/>
                    </w:rPr>
                  </w:pPr>
                </w:p>
              </w:tc>
              <w:tc>
                <w:tcPr>
                  <w:tcW w:w="3966" w:type="dxa"/>
                  <w:gridSpan w:val="2"/>
                  <w:vAlign w:val="center"/>
                </w:tcPr>
                <w:p w14:paraId="50D52916">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color w:val="auto"/>
                      <w:sz w:val="21"/>
                      <w:szCs w:val="21"/>
                      <w:vertAlign w:val="baseline"/>
                      <w:lang w:val="en-US" w:eastAsia="zh-CN"/>
                    </w:rPr>
                  </w:pPr>
                  <w:r>
                    <w:rPr>
                      <w:rFonts w:hint="eastAsia" w:cs="Times New Roman"/>
                      <w:color w:val="auto"/>
                      <w:sz w:val="21"/>
                      <w:szCs w:val="21"/>
                      <w:vertAlign w:val="baseline"/>
                      <w:lang w:val="en-US" w:eastAsia="zh-CN"/>
                    </w:rPr>
                    <w:t>运动粘度（40℃），mm2/s</w:t>
                  </w:r>
                </w:p>
              </w:tc>
              <w:tc>
                <w:tcPr>
                  <w:tcW w:w="3216" w:type="dxa"/>
                  <w:vAlign w:val="center"/>
                </w:tcPr>
                <w:p w14:paraId="1E285EB2">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color w:val="auto"/>
                      <w:sz w:val="21"/>
                      <w:szCs w:val="21"/>
                      <w:vertAlign w:val="baseline"/>
                      <w:lang w:val="en-US" w:eastAsia="zh-CN"/>
                    </w:rPr>
                  </w:pPr>
                  <w:r>
                    <w:rPr>
                      <w:rFonts w:hint="eastAsia" w:cs="Times New Roman"/>
                      <w:color w:val="auto"/>
                      <w:sz w:val="21"/>
                      <w:szCs w:val="21"/>
                      <w:vertAlign w:val="baseline"/>
                      <w:lang w:val="en-US" w:eastAsia="zh-CN"/>
                    </w:rPr>
                    <w:t>21.92</w:t>
                  </w:r>
                </w:p>
              </w:tc>
            </w:tr>
            <w:tr w14:paraId="1B1AB4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46" w:type="dxa"/>
                  <w:vMerge w:val="continue"/>
                  <w:vAlign w:val="center"/>
                </w:tcPr>
                <w:p w14:paraId="7C978479">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color w:val="auto"/>
                      <w:sz w:val="21"/>
                      <w:szCs w:val="21"/>
                      <w:vertAlign w:val="baseline"/>
                      <w:lang w:val="en-US" w:eastAsia="zh-CN"/>
                    </w:rPr>
                  </w:pPr>
                </w:p>
              </w:tc>
              <w:tc>
                <w:tcPr>
                  <w:tcW w:w="3966" w:type="dxa"/>
                  <w:gridSpan w:val="2"/>
                  <w:vAlign w:val="center"/>
                </w:tcPr>
                <w:p w14:paraId="3BEBE507">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color w:val="auto"/>
                      <w:sz w:val="21"/>
                      <w:szCs w:val="21"/>
                      <w:vertAlign w:val="baseline"/>
                      <w:lang w:val="en-US" w:eastAsia="zh-CN"/>
                    </w:rPr>
                  </w:pPr>
                  <w:r>
                    <w:rPr>
                      <w:rFonts w:hint="eastAsia" w:cs="Times New Roman"/>
                      <w:color w:val="auto"/>
                      <w:sz w:val="21"/>
                      <w:szCs w:val="21"/>
                      <w:vertAlign w:val="baseline"/>
                      <w:lang w:val="en-US" w:eastAsia="zh-CN"/>
                    </w:rPr>
                    <w:t>运动粘度（100℃），mm2/s</w:t>
                  </w:r>
                </w:p>
              </w:tc>
              <w:tc>
                <w:tcPr>
                  <w:tcW w:w="3216" w:type="dxa"/>
                  <w:vAlign w:val="center"/>
                </w:tcPr>
                <w:p w14:paraId="4D299790">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color w:val="auto"/>
                      <w:sz w:val="21"/>
                      <w:szCs w:val="21"/>
                      <w:vertAlign w:val="baseline"/>
                      <w:lang w:val="en-US" w:eastAsia="zh-CN"/>
                    </w:rPr>
                  </w:pPr>
                  <w:r>
                    <w:rPr>
                      <w:rFonts w:hint="eastAsia" w:cs="Times New Roman"/>
                      <w:color w:val="auto"/>
                      <w:sz w:val="21"/>
                      <w:szCs w:val="21"/>
                      <w:vertAlign w:val="baseline"/>
                      <w:lang w:val="en-US" w:eastAsia="zh-CN"/>
                    </w:rPr>
                    <w:t>11.41</w:t>
                  </w:r>
                </w:p>
              </w:tc>
            </w:tr>
            <w:tr w14:paraId="4F80B7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46" w:type="dxa"/>
                  <w:vMerge w:val="continue"/>
                  <w:vAlign w:val="center"/>
                </w:tcPr>
                <w:p w14:paraId="038141F2">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color w:val="auto"/>
                      <w:sz w:val="21"/>
                      <w:szCs w:val="21"/>
                      <w:vertAlign w:val="baseline"/>
                      <w:lang w:val="en-US" w:eastAsia="zh-CN"/>
                    </w:rPr>
                  </w:pPr>
                </w:p>
              </w:tc>
              <w:tc>
                <w:tcPr>
                  <w:tcW w:w="797" w:type="dxa"/>
                  <w:vMerge w:val="restart"/>
                  <w:vAlign w:val="center"/>
                </w:tcPr>
                <w:p w14:paraId="3FF9EAD7">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color w:val="auto"/>
                      <w:sz w:val="21"/>
                      <w:szCs w:val="21"/>
                      <w:vertAlign w:val="baseline"/>
                      <w:lang w:val="en-US" w:eastAsia="zh-CN"/>
                    </w:rPr>
                  </w:pPr>
                  <w:r>
                    <w:rPr>
                      <w:rFonts w:hint="eastAsia" w:cs="Times New Roman"/>
                      <w:color w:val="auto"/>
                      <w:sz w:val="21"/>
                      <w:szCs w:val="21"/>
                      <w:vertAlign w:val="baseline"/>
                      <w:lang w:val="en-US" w:eastAsia="zh-CN"/>
                    </w:rPr>
                    <w:t>热值</w:t>
                  </w:r>
                </w:p>
              </w:tc>
              <w:tc>
                <w:tcPr>
                  <w:tcW w:w="3169" w:type="dxa"/>
                  <w:vAlign w:val="center"/>
                </w:tcPr>
                <w:p w14:paraId="732BBF4A">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color w:val="auto"/>
                      <w:sz w:val="21"/>
                      <w:szCs w:val="21"/>
                      <w:vertAlign w:val="baseline"/>
                      <w:lang w:val="en-US" w:eastAsia="zh-CN"/>
                    </w:rPr>
                  </w:pPr>
                  <w:r>
                    <w:rPr>
                      <w:rFonts w:hint="eastAsia" w:cs="Times New Roman"/>
                      <w:color w:val="auto"/>
                      <w:sz w:val="21"/>
                      <w:szCs w:val="21"/>
                      <w:vertAlign w:val="baseline"/>
                      <w:lang w:val="en-US" w:eastAsia="zh-CN"/>
                    </w:rPr>
                    <w:t>总热值，MJ/kg（cal/g）</w:t>
                  </w:r>
                </w:p>
              </w:tc>
              <w:tc>
                <w:tcPr>
                  <w:tcW w:w="3216" w:type="dxa"/>
                  <w:vAlign w:val="center"/>
                </w:tcPr>
                <w:p w14:paraId="1F76DDB5">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color w:val="auto"/>
                      <w:sz w:val="21"/>
                      <w:szCs w:val="21"/>
                      <w:vertAlign w:val="baseline"/>
                      <w:lang w:val="en-US" w:eastAsia="zh-CN"/>
                    </w:rPr>
                  </w:pPr>
                  <w:r>
                    <w:rPr>
                      <w:rFonts w:hint="eastAsia" w:cs="Times New Roman"/>
                      <w:color w:val="auto"/>
                      <w:sz w:val="21"/>
                      <w:szCs w:val="21"/>
                      <w:vertAlign w:val="baseline"/>
                      <w:lang w:val="en-US" w:eastAsia="zh-CN"/>
                    </w:rPr>
                    <w:t>44.78（10708.8）</w:t>
                  </w:r>
                </w:p>
              </w:tc>
            </w:tr>
            <w:tr w14:paraId="3B6564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46" w:type="dxa"/>
                  <w:vMerge w:val="continue"/>
                  <w:vAlign w:val="center"/>
                </w:tcPr>
                <w:p w14:paraId="4C39BA79">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color w:val="auto"/>
                      <w:sz w:val="21"/>
                      <w:szCs w:val="21"/>
                      <w:vertAlign w:val="baseline"/>
                      <w:lang w:val="en-US" w:eastAsia="zh-CN"/>
                    </w:rPr>
                  </w:pPr>
                </w:p>
              </w:tc>
              <w:tc>
                <w:tcPr>
                  <w:tcW w:w="797" w:type="dxa"/>
                  <w:vMerge w:val="continue"/>
                  <w:vAlign w:val="center"/>
                </w:tcPr>
                <w:p w14:paraId="6B12A3D6">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color w:val="auto"/>
                      <w:sz w:val="21"/>
                      <w:szCs w:val="21"/>
                      <w:vertAlign w:val="baseline"/>
                      <w:lang w:val="en-US" w:eastAsia="zh-CN"/>
                    </w:rPr>
                  </w:pPr>
                </w:p>
              </w:tc>
              <w:tc>
                <w:tcPr>
                  <w:tcW w:w="3169" w:type="dxa"/>
                  <w:vAlign w:val="center"/>
                </w:tcPr>
                <w:p w14:paraId="4CAE4760">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color w:val="auto"/>
                      <w:sz w:val="21"/>
                      <w:szCs w:val="21"/>
                      <w:vertAlign w:val="baseline"/>
                      <w:lang w:val="en-US" w:eastAsia="zh-CN"/>
                    </w:rPr>
                  </w:pPr>
                  <w:r>
                    <w:rPr>
                      <w:rFonts w:hint="eastAsia" w:cs="Times New Roman"/>
                      <w:color w:val="auto"/>
                      <w:sz w:val="21"/>
                      <w:szCs w:val="21"/>
                      <w:vertAlign w:val="baseline"/>
                      <w:lang w:val="en-US" w:eastAsia="zh-CN"/>
                    </w:rPr>
                    <w:t>净热值，MJ/kg（cal/g）</w:t>
                  </w:r>
                </w:p>
              </w:tc>
              <w:tc>
                <w:tcPr>
                  <w:tcW w:w="3216" w:type="dxa"/>
                  <w:vAlign w:val="center"/>
                </w:tcPr>
                <w:p w14:paraId="5ADC5398">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color w:val="auto"/>
                      <w:sz w:val="21"/>
                      <w:szCs w:val="21"/>
                      <w:vertAlign w:val="baseline"/>
                      <w:lang w:val="en-US" w:eastAsia="zh-CN"/>
                    </w:rPr>
                  </w:pPr>
                  <w:r>
                    <w:rPr>
                      <w:rFonts w:hint="eastAsia" w:cs="Times New Roman"/>
                      <w:color w:val="auto"/>
                      <w:sz w:val="21"/>
                      <w:szCs w:val="21"/>
                      <w:vertAlign w:val="baseline"/>
                      <w:lang w:val="en-US" w:eastAsia="zh-CN"/>
                    </w:rPr>
                    <w:t>41.8（9996.2）</w:t>
                  </w:r>
                </w:p>
              </w:tc>
            </w:tr>
          </w:tbl>
          <w:p w14:paraId="5488B37D">
            <w:pPr>
              <w:keepNext w:val="0"/>
              <w:keepLines w:val="0"/>
              <w:pageBreakBefore w:val="0"/>
              <w:widowControl w:val="0"/>
              <w:numPr>
                <w:ilvl w:val="0"/>
                <w:numId w:val="27"/>
              </w:numPr>
              <w:kinsoku/>
              <w:wordWrap/>
              <w:overflowPunct/>
              <w:topLinePunct w:val="0"/>
              <w:autoSpaceDE/>
              <w:autoSpaceDN/>
              <w:bidi w:val="0"/>
              <w:adjustRightInd/>
              <w:snapToGrid/>
              <w:spacing w:line="360" w:lineRule="auto"/>
              <w:ind w:left="0" w:leftChars="0" w:firstLine="0" w:firstLineChars="0"/>
              <w:jc w:val="both"/>
              <w:textAlignment w:val="auto"/>
              <w:rPr>
                <w:rFonts w:hint="eastAsia" w:cs="Times New Roman"/>
                <w:color w:val="auto"/>
                <w:sz w:val="24"/>
                <w:szCs w:val="24"/>
                <w:lang w:val="en-US" w:eastAsia="zh-CN"/>
              </w:rPr>
            </w:pPr>
            <w:r>
              <w:rPr>
                <w:rFonts w:hint="eastAsia" w:cs="Times New Roman"/>
                <w:color w:val="auto"/>
                <w:sz w:val="24"/>
                <w:szCs w:val="24"/>
                <w:lang w:val="en-US" w:eastAsia="zh-CN"/>
              </w:rPr>
              <w:t>主要原辅材料及设备</w:t>
            </w:r>
          </w:p>
          <w:p w14:paraId="033ACEBC">
            <w:pPr>
              <w:keepNext w:val="0"/>
              <w:keepLines w:val="0"/>
              <w:pageBreakBefore w:val="0"/>
              <w:widowControl w:val="0"/>
              <w:numPr>
                <w:ilvl w:val="0"/>
                <w:numId w:val="30"/>
              </w:numPr>
              <w:kinsoku/>
              <w:wordWrap/>
              <w:overflowPunct/>
              <w:topLinePunct w:val="0"/>
              <w:autoSpaceDE/>
              <w:autoSpaceDN/>
              <w:bidi w:val="0"/>
              <w:adjustRightInd/>
              <w:snapToGrid/>
              <w:spacing w:line="360" w:lineRule="auto"/>
              <w:ind w:firstLine="482" w:firstLineChars="200"/>
              <w:jc w:val="both"/>
              <w:textAlignment w:val="auto"/>
              <w:rPr>
                <w:rFonts w:hint="eastAsia" w:cs="Times New Roman"/>
                <w:b/>
                <w:bCs/>
                <w:color w:val="auto"/>
                <w:sz w:val="24"/>
                <w:szCs w:val="24"/>
                <w:lang w:val="en-US" w:eastAsia="zh-CN"/>
              </w:rPr>
            </w:pPr>
            <w:r>
              <w:rPr>
                <w:rFonts w:hint="eastAsia" w:cs="Times New Roman"/>
                <w:b/>
                <w:bCs/>
                <w:color w:val="auto"/>
                <w:sz w:val="24"/>
                <w:szCs w:val="24"/>
                <w:lang w:val="en-US" w:eastAsia="zh-CN"/>
              </w:rPr>
              <w:t>原辅材料用量</w:t>
            </w:r>
          </w:p>
          <w:p w14:paraId="0BE738A5">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r>
              <w:rPr>
                <w:rFonts w:hint="eastAsia" w:cs="Times New Roman"/>
                <w:color w:val="auto"/>
                <w:sz w:val="24"/>
                <w:szCs w:val="24"/>
                <w:lang w:val="en-US" w:eastAsia="zh-CN"/>
              </w:rPr>
              <w:t>本项目主要原辅材料及能源消耗统计见下表。</w:t>
            </w:r>
          </w:p>
          <w:p w14:paraId="75C4C5A4">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default" w:ascii="Times New Roman" w:hAnsi="Times New Roman" w:eastAsia="宋体" w:cs="Times New Roman"/>
                <w:b/>
                <w:bCs/>
                <w:color w:val="auto"/>
                <w:sz w:val="21"/>
                <w:szCs w:val="21"/>
                <w:lang w:val="en-US" w:eastAsia="zh-CN"/>
              </w:rPr>
            </w:pPr>
            <w:r>
              <w:rPr>
                <w:rFonts w:hint="default" w:ascii="Times New Roman" w:hAnsi="Times New Roman" w:eastAsia="宋体" w:cs="Times New Roman"/>
                <w:b/>
                <w:bCs/>
                <w:color w:val="auto"/>
                <w:sz w:val="21"/>
                <w:szCs w:val="21"/>
                <w:lang w:val="en-US" w:eastAsia="zh-CN"/>
              </w:rPr>
              <w:t>表2-</w:t>
            </w:r>
            <w:r>
              <w:rPr>
                <w:rFonts w:hint="eastAsia" w:cs="Times New Roman"/>
                <w:b/>
                <w:bCs/>
                <w:color w:val="auto"/>
                <w:sz w:val="21"/>
                <w:szCs w:val="21"/>
                <w:lang w:val="en-US" w:eastAsia="zh-CN"/>
              </w:rPr>
              <w:t>7</w:t>
            </w:r>
            <w:r>
              <w:rPr>
                <w:rFonts w:hint="default" w:ascii="Times New Roman" w:hAnsi="Times New Roman" w:eastAsia="宋体" w:cs="Times New Roman"/>
                <w:b/>
                <w:bCs/>
                <w:color w:val="auto"/>
                <w:sz w:val="21"/>
                <w:szCs w:val="21"/>
                <w:lang w:val="en-US" w:eastAsia="zh-CN"/>
              </w:rPr>
              <w:t xml:space="preserve"> 主要原辅材料年用量</w:t>
            </w:r>
          </w:p>
          <w:tbl>
            <w:tblPr>
              <w:tblStyle w:val="27"/>
              <w:tblW w:w="4997"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82"/>
              <w:gridCol w:w="1547"/>
              <w:gridCol w:w="1265"/>
              <w:gridCol w:w="1294"/>
              <w:gridCol w:w="1134"/>
              <w:gridCol w:w="713"/>
              <w:gridCol w:w="1096"/>
              <w:gridCol w:w="683"/>
            </w:tblGrid>
            <w:tr w14:paraId="038156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blHeader/>
                <w:jc w:val="center"/>
              </w:trPr>
              <w:tc>
                <w:tcPr>
                  <w:tcW w:w="682" w:type="dxa"/>
                  <w:shd w:val="clear" w:color="auto" w:fill="FFFFFF"/>
                  <w:noWrap w:val="0"/>
                  <w:vAlign w:val="center"/>
                </w:tcPr>
                <w:p w14:paraId="60897CED">
                  <w:pPr>
                    <w:adjustRightInd w:val="0"/>
                    <w:snapToGrid w:val="0"/>
                    <w:spacing w:line="240" w:lineRule="auto"/>
                    <w:jc w:val="center"/>
                    <w:rPr>
                      <w:rFonts w:hint="default" w:ascii="Times New Roman" w:hAnsi="Times New Roman" w:eastAsia="宋体" w:cs="Times New Roman"/>
                      <w:b/>
                      <w:bCs/>
                      <w:color w:val="000000"/>
                      <w:sz w:val="21"/>
                      <w:szCs w:val="21"/>
                      <w:u w:val="none"/>
                    </w:rPr>
                  </w:pPr>
                  <w:r>
                    <w:rPr>
                      <w:rFonts w:hint="default" w:ascii="Times New Roman" w:hAnsi="Times New Roman" w:eastAsia="宋体" w:cs="Times New Roman"/>
                      <w:b/>
                      <w:bCs/>
                      <w:color w:val="000000"/>
                      <w:sz w:val="21"/>
                      <w:szCs w:val="21"/>
                      <w:u w:val="none"/>
                    </w:rPr>
                    <w:t>序号</w:t>
                  </w:r>
                </w:p>
              </w:tc>
              <w:tc>
                <w:tcPr>
                  <w:tcW w:w="1547" w:type="dxa"/>
                  <w:shd w:val="clear" w:color="auto" w:fill="FFFFFF"/>
                  <w:noWrap w:val="0"/>
                  <w:vAlign w:val="center"/>
                </w:tcPr>
                <w:p w14:paraId="50F3C66A">
                  <w:pPr>
                    <w:adjustRightInd w:val="0"/>
                    <w:snapToGrid w:val="0"/>
                    <w:spacing w:line="240" w:lineRule="auto"/>
                    <w:jc w:val="center"/>
                    <w:rPr>
                      <w:rFonts w:hint="default" w:ascii="Times New Roman" w:hAnsi="Times New Roman" w:eastAsia="宋体" w:cs="Times New Roman"/>
                      <w:b/>
                      <w:bCs/>
                      <w:color w:val="000000"/>
                      <w:sz w:val="21"/>
                      <w:szCs w:val="21"/>
                      <w:u w:val="none"/>
                    </w:rPr>
                  </w:pPr>
                  <w:r>
                    <w:rPr>
                      <w:rFonts w:hint="default" w:ascii="Times New Roman" w:hAnsi="Times New Roman" w:eastAsia="宋体" w:cs="Times New Roman"/>
                      <w:b/>
                      <w:bCs/>
                      <w:color w:val="000000"/>
                      <w:sz w:val="21"/>
                      <w:szCs w:val="21"/>
                      <w:u w:val="none"/>
                    </w:rPr>
                    <w:t>名称</w:t>
                  </w:r>
                </w:p>
              </w:tc>
              <w:tc>
                <w:tcPr>
                  <w:tcW w:w="1265" w:type="dxa"/>
                  <w:shd w:val="clear" w:color="auto" w:fill="FFFFFF"/>
                  <w:noWrap w:val="0"/>
                  <w:vAlign w:val="center"/>
                </w:tcPr>
                <w:p w14:paraId="1487407E">
                  <w:pPr>
                    <w:adjustRightInd w:val="0"/>
                    <w:snapToGrid w:val="0"/>
                    <w:spacing w:line="240" w:lineRule="auto"/>
                    <w:jc w:val="center"/>
                    <w:rPr>
                      <w:rFonts w:hint="default" w:ascii="Times New Roman" w:hAnsi="Times New Roman" w:eastAsia="宋体" w:cs="Times New Roman"/>
                      <w:b/>
                      <w:bCs/>
                      <w:color w:val="000000"/>
                      <w:sz w:val="21"/>
                      <w:szCs w:val="21"/>
                      <w:u w:val="none"/>
                    </w:rPr>
                  </w:pPr>
                  <w:r>
                    <w:rPr>
                      <w:rFonts w:hint="default" w:ascii="Times New Roman" w:hAnsi="Times New Roman" w:eastAsia="宋体" w:cs="Times New Roman"/>
                      <w:b/>
                      <w:bCs/>
                      <w:color w:val="000000"/>
                      <w:sz w:val="21"/>
                      <w:szCs w:val="21"/>
                      <w:u w:val="none"/>
                    </w:rPr>
                    <w:t>年消耗量</w:t>
                  </w:r>
                </w:p>
              </w:tc>
              <w:tc>
                <w:tcPr>
                  <w:tcW w:w="1294" w:type="dxa"/>
                  <w:shd w:val="clear" w:color="auto" w:fill="FFFFFF"/>
                  <w:noWrap w:val="0"/>
                  <w:vAlign w:val="center"/>
                </w:tcPr>
                <w:p w14:paraId="3F6547C1">
                  <w:pPr>
                    <w:adjustRightInd w:val="0"/>
                    <w:snapToGrid w:val="0"/>
                    <w:spacing w:line="240" w:lineRule="auto"/>
                    <w:jc w:val="center"/>
                    <w:rPr>
                      <w:rFonts w:hint="default" w:ascii="Times New Roman" w:hAnsi="Times New Roman" w:eastAsia="宋体" w:cs="Times New Roman"/>
                      <w:b/>
                      <w:bCs/>
                      <w:color w:val="000000"/>
                      <w:sz w:val="21"/>
                      <w:szCs w:val="21"/>
                      <w:u w:val="none"/>
                      <w:lang w:eastAsia="zh-CN"/>
                    </w:rPr>
                  </w:pPr>
                  <w:r>
                    <w:rPr>
                      <w:rFonts w:hint="default" w:ascii="Times New Roman" w:hAnsi="Times New Roman" w:eastAsia="宋体" w:cs="Times New Roman"/>
                      <w:b/>
                      <w:bCs/>
                      <w:color w:val="000000"/>
                      <w:sz w:val="21"/>
                      <w:szCs w:val="21"/>
                      <w:u w:val="none"/>
                    </w:rPr>
                    <w:t>最大储存量</w:t>
                  </w:r>
                </w:p>
              </w:tc>
              <w:tc>
                <w:tcPr>
                  <w:tcW w:w="1134" w:type="dxa"/>
                  <w:shd w:val="clear" w:color="auto" w:fill="FFFFFF"/>
                  <w:noWrap w:val="0"/>
                  <w:vAlign w:val="center"/>
                </w:tcPr>
                <w:p w14:paraId="7E822EC6">
                  <w:pPr>
                    <w:adjustRightInd w:val="0"/>
                    <w:snapToGrid w:val="0"/>
                    <w:spacing w:line="240" w:lineRule="auto"/>
                    <w:jc w:val="center"/>
                    <w:rPr>
                      <w:rFonts w:hint="default" w:ascii="Times New Roman" w:hAnsi="Times New Roman" w:eastAsia="宋体" w:cs="Times New Roman"/>
                      <w:b/>
                      <w:bCs/>
                      <w:color w:val="000000"/>
                      <w:sz w:val="21"/>
                      <w:szCs w:val="21"/>
                      <w:u w:val="none"/>
                    </w:rPr>
                  </w:pPr>
                  <w:r>
                    <w:rPr>
                      <w:rFonts w:hint="default" w:ascii="Times New Roman" w:hAnsi="Times New Roman" w:eastAsia="宋体" w:cs="Times New Roman"/>
                      <w:b/>
                      <w:bCs/>
                      <w:color w:val="000000"/>
                      <w:sz w:val="21"/>
                      <w:szCs w:val="21"/>
                      <w:u w:val="none"/>
                    </w:rPr>
                    <w:t>贮存场所</w:t>
                  </w:r>
                </w:p>
              </w:tc>
              <w:tc>
                <w:tcPr>
                  <w:tcW w:w="713" w:type="dxa"/>
                  <w:shd w:val="clear" w:color="auto" w:fill="FFFFFF"/>
                  <w:noWrap w:val="0"/>
                  <w:vAlign w:val="center"/>
                </w:tcPr>
                <w:p w14:paraId="6D8D5D3C">
                  <w:pPr>
                    <w:adjustRightInd w:val="0"/>
                    <w:snapToGrid w:val="0"/>
                    <w:spacing w:line="240" w:lineRule="auto"/>
                    <w:jc w:val="center"/>
                    <w:rPr>
                      <w:rFonts w:hint="default" w:ascii="Times New Roman" w:hAnsi="Times New Roman" w:eastAsia="宋体" w:cs="Times New Roman"/>
                      <w:b/>
                      <w:bCs/>
                      <w:color w:val="000000"/>
                      <w:sz w:val="21"/>
                      <w:szCs w:val="21"/>
                      <w:u w:val="none"/>
                    </w:rPr>
                  </w:pPr>
                  <w:r>
                    <w:rPr>
                      <w:rFonts w:hint="default" w:ascii="Times New Roman" w:hAnsi="Times New Roman" w:eastAsia="宋体" w:cs="Times New Roman"/>
                      <w:b/>
                      <w:bCs/>
                      <w:color w:val="000000"/>
                      <w:sz w:val="21"/>
                      <w:szCs w:val="21"/>
                      <w:u w:val="none"/>
                    </w:rPr>
                    <w:t>形态</w:t>
                  </w:r>
                </w:p>
              </w:tc>
              <w:tc>
                <w:tcPr>
                  <w:tcW w:w="1096" w:type="dxa"/>
                  <w:shd w:val="clear" w:color="auto" w:fill="FFFFFF"/>
                  <w:noWrap w:val="0"/>
                  <w:vAlign w:val="center"/>
                </w:tcPr>
                <w:p w14:paraId="3A390BA0">
                  <w:pPr>
                    <w:adjustRightInd w:val="0"/>
                    <w:snapToGrid w:val="0"/>
                    <w:spacing w:line="240" w:lineRule="auto"/>
                    <w:jc w:val="center"/>
                    <w:rPr>
                      <w:rFonts w:hint="default" w:ascii="Times New Roman" w:hAnsi="Times New Roman" w:eastAsia="宋体" w:cs="Times New Roman"/>
                      <w:b/>
                      <w:bCs/>
                      <w:color w:val="000000"/>
                      <w:sz w:val="21"/>
                      <w:szCs w:val="21"/>
                      <w:u w:val="none"/>
                    </w:rPr>
                  </w:pPr>
                  <w:r>
                    <w:rPr>
                      <w:rFonts w:hint="default" w:ascii="Times New Roman" w:hAnsi="Times New Roman" w:eastAsia="宋体" w:cs="Times New Roman"/>
                      <w:b/>
                      <w:bCs/>
                      <w:color w:val="000000"/>
                      <w:sz w:val="21"/>
                      <w:szCs w:val="21"/>
                      <w:u w:val="none"/>
                    </w:rPr>
                    <w:t>包装方式</w:t>
                  </w:r>
                </w:p>
              </w:tc>
              <w:tc>
                <w:tcPr>
                  <w:tcW w:w="683" w:type="dxa"/>
                  <w:shd w:val="clear" w:color="auto" w:fill="FFFFFF"/>
                  <w:noWrap w:val="0"/>
                  <w:vAlign w:val="center"/>
                </w:tcPr>
                <w:p w14:paraId="41875FE7">
                  <w:pPr>
                    <w:adjustRightInd w:val="0"/>
                    <w:snapToGrid w:val="0"/>
                    <w:spacing w:line="240" w:lineRule="auto"/>
                    <w:jc w:val="center"/>
                    <w:rPr>
                      <w:rFonts w:hint="default" w:ascii="Times New Roman" w:hAnsi="Times New Roman" w:eastAsia="宋体" w:cs="Times New Roman"/>
                      <w:b/>
                      <w:bCs/>
                      <w:color w:val="000000"/>
                      <w:sz w:val="21"/>
                      <w:szCs w:val="21"/>
                      <w:u w:val="none"/>
                    </w:rPr>
                  </w:pPr>
                  <w:r>
                    <w:rPr>
                      <w:rFonts w:hint="default" w:ascii="Times New Roman" w:hAnsi="Times New Roman" w:eastAsia="宋体" w:cs="Times New Roman"/>
                      <w:b/>
                      <w:bCs/>
                      <w:color w:val="000000"/>
                      <w:sz w:val="21"/>
                      <w:szCs w:val="21"/>
                      <w:u w:val="none"/>
                    </w:rPr>
                    <w:t>备注</w:t>
                  </w:r>
                </w:p>
              </w:tc>
            </w:tr>
            <w:tr w14:paraId="1656CD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82" w:type="dxa"/>
                  <w:noWrap w:val="0"/>
                  <w:vAlign w:val="center"/>
                </w:tcPr>
                <w:p w14:paraId="6DEC72FD">
                  <w:pPr>
                    <w:adjustRightInd w:val="0"/>
                    <w:snapToGrid w:val="0"/>
                    <w:spacing w:line="240" w:lineRule="auto"/>
                    <w:jc w:val="center"/>
                    <w:rPr>
                      <w:rFonts w:hint="default" w:ascii="Times New Roman" w:hAnsi="Times New Roman" w:eastAsia="宋体" w:cs="Times New Roman"/>
                      <w:color w:val="000000"/>
                      <w:kern w:val="2"/>
                      <w:sz w:val="21"/>
                      <w:szCs w:val="21"/>
                      <w:u w:val="none"/>
                      <w:lang w:val="en-US" w:eastAsia="zh-CN" w:bidi="ar-SA"/>
                    </w:rPr>
                  </w:pPr>
                  <w:r>
                    <w:rPr>
                      <w:rFonts w:hint="eastAsia" w:cs="Times New Roman"/>
                      <w:color w:val="000000"/>
                      <w:kern w:val="2"/>
                      <w:sz w:val="21"/>
                      <w:szCs w:val="21"/>
                      <w:u w:val="none"/>
                      <w:lang w:val="en-US" w:eastAsia="zh-CN" w:bidi="ar-SA"/>
                    </w:rPr>
                    <w:t>1</w:t>
                  </w:r>
                </w:p>
              </w:tc>
              <w:tc>
                <w:tcPr>
                  <w:tcW w:w="1547" w:type="dxa"/>
                  <w:noWrap w:val="0"/>
                  <w:vAlign w:val="center"/>
                </w:tcPr>
                <w:p w14:paraId="3C14CBFA">
                  <w:pPr>
                    <w:keepNext w:val="0"/>
                    <w:keepLines w:val="0"/>
                    <w:widowControl/>
                    <w:suppressLineNumbers w:val="0"/>
                    <w:jc w:val="center"/>
                    <w:textAlignment w:val="center"/>
                    <w:rPr>
                      <w:rFonts w:hint="default" w:ascii="Times New Roman" w:hAnsi="Times New Roman" w:eastAsia="宋体" w:cs="Times New Roman"/>
                      <w:color w:val="000000"/>
                      <w:kern w:val="2"/>
                      <w:sz w:val="21"/>
                      <w:szCs w:val="21"/>
                      <w:u w:val="none"/>
                      <w:lang w:val="en-US" w:eastAsia="zh-CN" w:bidi="ar-SA"/>
                    </w:rPr>
                  </w:pPr>
                  <w:r>
                    <w:rPr>
                      <w:rFonts w:hint="default" w:ascii="Times New Roman" w:hAnsi="Times New Roman" w:eastAsia="宋体" w:cs="Times New Roman"/>
                      <w:i w:val="0"/>
                      <w:iCs w:val="0"/>
                      <w:color w:val="000000"/>
                      <w:kern w:val="0"/>
                      <w:sz w:val="21"/>
                      <w:szCs w:val="21"/>
                      <w:u w:val="none"/>
                      <w:lang w:val="en-US" w:eastAsia="zh-CN" w:bidi="ar"/>
                    </w:rPr>
                    <w:t>废矿物油</w:t>
                  </w:r>
                </w:p>
              </w:tc>
              <w:tc>
                <w:tcPr>
                  <w:tcW w:w="1265" w:type="dxa"/>
                  <w:noWrap w:val="0"/>
                  <w:vAlign w:val="center"/>
                </w:tcPr>
                <w:p w14:paraId="6A99A43F">
                  <w:pPr>
                    <w:keepNext w:val="0"/>
                    <w:keepLines w:val="0"/>
                    <w:widowControl/>
                    <w:suppressLineNumbers w:val="0"/>
                    <w:jc w:val="center"/>
                    <w:textAlignment w:val="center"/>
                    <w:rPr>
                      <w:rFonts w:hint="default" w:ascii="Times New Roman" w:hAnsi="Times New Roman" w:eastAsia="宋体" w:cs="Times New Roman"/>
                      <w:color w:val="000000"/>
                      <w:kern w:val="2"/>
                      <w:sz w:val="21"/>
                      <w:szCs w:val="21"/>
                      <w:u w:val="none"/>
                      <w:lang w:val="en-US" w:eastAsia="zh-CN" w:bidi="ar-SA"/>
                    </w:rPr>
                  </w:pPr>
                  <w:r>
                    <w:rPr>
                      <w:rFonts w:hint="eastAsia" w:cs="Times New Roman"/>
                      <w:i w:val="0"/>
                      <w:iCs w:val="0"/>
                      <w:color w:val="000000"/>
                      <w:kern w:val="0"/>
                      <w:sz w:val="21"/>
                      <w:szCs w:val="21"/>
                      <w:u w:val="none"/>
                      <w:lang w:val="en-US" w:eastAsia="zh-CN" w:bidi="ar"/>
                    </w:rPr>
                    <w:t>1500</w:t>
                  </w:r>
                  <w:r>
                    <w:rPr>
                      <w:rFonts w:hint="default" w:ascii="Times New Roman" w:hAnsi="Times New Roman" w:eastAsia="宋体" w:cs="Times New Roman"/>
                      <w:i w:val="0"/>
                      <w:iCs w:val="0"/>
                      <w:color w:val="000000"/>
                      <w:kern w:val="0"/>
                      <w:sz w:val="21"/>
                      <w:szCs w:val="21"/>
                      <w:u w:val="none"/>
                      <w:lang w:val="en-US" w:eastAsia="zh-CN" w:bidi="ar"/>
                    </w:rPr>
                    <w:t>t</w:t>
                  </w:r>
                </w:p>
              </w:tc>
              <w:tc>
                <w:tcPr>
                  <w:tcW w:w="1294" w:type="dxa"/>
                  <w:noWrap w:val="0"/>
                  <w:vAlign w:val="center"/>
                </w:tcPr>
                <w:p w14:paraId="0D1AE2C6">
                  <w:pPr>
                    <w:keepNext w:val="0"/>
                    <w:keepLines w:val="0"/>
                    <w:widowControl/>
                    <w:suppressLineNumbers w:val="0"/>
                    <w:jc w:val="center"/>
                    <w:textAlignment w:val="center"/>
                    <w:rPr>
                      <w:rFonts w:hint="default" w:ascii="Times New Roman" w:hAnsi="Times New Roman" w:eastAsia="宋体" w:cs="Times New Roman"/>
                      <w:color w:val="000000"/>
                      <w:kern w:val="2"/>
                      <w:sz w:val="21"/>
                      <w:szCs w:val="21"/>
                      <w:u w:val="none"/>
                      <w:lang w:val="en-US" w:eastAsia="zh-CN" w:bidi="ar-SA"/>
                    </w:rPr>
                  </w:pPr>
                  <w:r>
                    <w:rPr>
                      <w:rFonts w:hint="eastAsia" w:cs="Times New Roman"/>
                      <w:i w:val="0"/>
                      <w:iCs w:val="0"/>
                      <w:color w:val="000000"/>
                      <w:kern w:val="0"/>
                      <w:sz w:val="21"/>
                      <w:szCs w:val="21"/>
                      <w:u w:val="none"/>
                      <w:lang w:val="en-US" w:eastAsia="zh-CN" w:bidi="ar"/>
                    </w:rPr>
                    <w:t>74.38</w:t>
                  </w:r>
                  <w:r>
                    <w:rPr>
                      <w:rFonts w:hint="default" w:ascii="Times New Roman" w:hAnsi="Times New Roman" w:eastAsia="宋体" w:cs="Times New Roman"/>
                      <w:i w:val="0"/>
                      <w:iCs w:val="0"/>
                      <w:color w:val="000000"/>
                      <w:kern w:val="0"/>
                      <w:sz w:val="21"/>
                      <w:szCs w:val="21"/>
                      <w:u w:val="none"/>
                      <w:lang w:val="en-US" w:eastAsia="zh-CN" w:bidi="ar"/>
                    </w:rPr>
                    <w:t>t</w:t>
                  </w:r>
                </w:p>
              </w:tc>
              <w:tc>
                <w:tcPr>
                  <w:tcW w:w="1134" w:type="dxa"/>
                  <w:noWrap w:val="0"/>
                  <w:vAlign w:val="center"/>
                </w:tcPr>
                <w:p w14:paraId="470AAA47">
                  <w:pPr>
                    <w:adjustRightInd w:val="0"/>
                    <w:snapToGrid w:val="0"/>
                    <w:spacing w:line="240" w:lineRule="auto"/>
                    <w:jc w:val="center"/>
                    <w:rPr>
                      <w:rFonts w:hint="default" w:ascii="Times New Roman" w:hAnsi="Times New Roman" w:eastAsia="宋体" w:cs="Times New Roman"/>
                      <w:color w:val="000000"/>
                      <w:kern w:val="2"/>
                      <w:sz w:val="21"/>
                      <w:szCs w:val="21"/>
                      <w:u w:val="none"/>
                      <w:lang w:val="en-US" w:eastAsia="zh-CN" w:bidi="ar-SA"/>
                    </w:rPr>
                  </w:pPr>
                  <w:r>
                    <w:rPr>
                      <w:rFonts w:hint="default" w:ascii="Times New Roman" w:hAnsi="Times New Roman" w:eastAsia="宋体" w:cs="Times New Roman"/>
                      <w:color w:val="000000"/>
                      <w:kern w:val="2"/>
                      <w:sz w:val="21"/>
                      <w:szCs w:val="21"/>
                      <w:u w:val="none"/>
                      <w:lang w:val="en-US" w:eastAsia="zh-CN" w:bidi="ar-SA"/>
                    </w:rPr>
                    <w:t>贮存库</w:t>
                  </w:r>
                </w:p>
              </w:tc>
              <w:tc>
                <w:tcPr>
                  <w:tcW w:w="713" w:type="dxa"/>
                  <w:noWrap w:val="0"/>
                  <w:vAlign w:val="center"/>
                </w:tcPr>
                <w:p w14:paraId="5A53FA9F">
                  <w:pPr>
                    <w:adjustRightInd w:val="0"/>
                    <w:snapToGrid w:val="0"/>
                    <w:spacing w:line="240" w:lineRule="auto"/>
                    <w:jc w:val="center"/>
                    <w:rPr>
                      <w:rFonts w:hint="default" w:ascii="Times New Roman" w:hAnsi="Times New Roman" w:eastAsia="宋体" w:cs="Times New Roman"/>
                      <w:color w:val="000000"/>
                      <w:kern w:val="2"/>
                      <w:sz w:val="21"/>
                      <w:szCs w:val="21"/>
                      <w:u w:val="none"/>
                      <w:lang w:val="en-US" w:eastAsia="zh-CN" w:bidi="ar-SA"/>
                    </w:rPr>
                  </w:pPr>
                  <w:r>
                    <w:rPr>
                      <w:rFonts w:hint="default" w:ascii="Times New Roman" w:hAnsi="Times New Roman" w:eastAsia="宋体" w:cs="Times New Roman"/>
                      <w:color w:val="000000"/>
                      <w:kern w:val="2"/>
                      <w:sz w:val="21"/>
                      <w:szCs w:val="21"/>
                      <w:u w:val="none"/>
                      <w:lang w:val="en-US" w:eastAsia="zh-CN" w:bidi="ar-SA"/>
                    </w:rPr>
                    <w:t>液态</w:t>
                  </w:r>
                </w:p>
              </w:tc>
              <w:tc>
                <w:tcPr>
                  <w:tcW w:w="1096" w:type="dxa"/>
                  <w:noWrap w:val="0"/>
                  <w:vAlign w:val="center"/>
                </w:tcPr>
                <w:p w14:paraId="58A4051C">
                  <w:pPr>
                    <w:adjustRightInd w:val="0"/>
                    <w:snapToGrid w:val="0"/>
                    <w:spacing w:line="240" w:lineRule="auto"/>
                    <w:jc w:val="center"/>
                    <w:rPr>
                      <w:rFonts w:hint="default" w:ascii="Times New Roman" w:hAnsi="Times New Roman" w:eastAsia="宋体" w:cs="Times New Roman"/>
                      <w:color w:val="000000"/>
                      <w:kern w:val="2"/>
                      <w:sz w:val="21"/>
                      <w:szCs w:val="21"/>
                      <w:u w:val="none"/>
                      <w:lang w:val="en-US" w:eastAsia="zh-CN" w:bidi="ar-SA"/>
                    </w:rPr>
                  </w:pPr>
                  <w:r>
                    <w:rPr>
                      <w:rFonts w:hint="default" w:ascii="Times New Roman" w:hAnsi="Times New Roman" w:eastAsia="宋体" w:cs="Times New Roman"/>
                      <w:color w:val="000000"/>
                      <w:kern w:val="2"/>
                      <w:sz w:val="21"/>
                      <w:szCs w:val="21"/>
                      <w:u w:val="none"/>
                      <w:lang w:val="en-US" w:eastAsia="zh-CN" w:bidi="ar-SA"/>
                    </w:rPr>
                    <w:t>液态</w:t>
                  </w:r>
                  <w:r>
                    <w:rPr>
                      <w:rFonts w:hint="eastAsia" w:cs="Times New Roman"/>
                      <w:color w:val="000000"/>
                      <w:kern w:val="2"/>
                      <w:sz w:val="21"/>
                      <w:szCs w:val="21"/>
                      <w:u w:val="none"/>
                      <w:lang w:val="en-US" w:eastAsia="zh-CN" w:bidi="ar-SA"/>
                    </w:rPr>
                    <w:t>罐装</w:t>
                  </w:r>
                  <w:r>
                    <w:rPr>
                      <w:rFonts w:hint="default" w:ascii="Times New Roman" w:hAnsi="Times New Roman" w:eastAsia="宋体" w:cs="Times New Roman"/>
                      <w:color w:val="000000"/>
                      <w:kern w:val="2"/>
                      <w:sz w:val="21"/>
                      <w:szCs w:val="21"/>
                      <w:u w:val="none"/>
                      <w:lang w:val="en-US" w:eastAsia="zh-CN" w:bidi="ar-SA"/>
                    </w:rPr>
                    <w:t>（</w:t>
                  </w:r>
                  <w:r>
                    <w:rPr>
                      <w:rFonts w:hint="eastAsia" w:cs="Times New Roman"/>
                      <w:color w:val="000000"/>
                      <w:kern w:val="2"/>
                      <w:sz w:val="21"/>
                      <w:szCs w:val="21"/>
                      <w:u w:val="none"/>
                      <w:lang w:val="en-US" w:eastAsia="zh-CN" w:bidi="ar-SA"/>
                    </w:rPr>
                    <w:t>50</w:t>
                  </w:r>
                  <w:r>
                    <w:rPr>
                      <w:rFonts w:hint="default" w:ascii="Times New Roman" w:hAnsi="Times New Roman" w:eastAsia="宋体" w:cs="Times New Roman"/>
                      <w:color w:val="000000"/>
                      <w:kern w:val="2"/>
                      <w:sz w:val="21"/>
                      <w:szCs w:val="21"/>
                      <w:u w:val="none"/>
                      <w:lang w:val="en-US" w:eastAsia="zh-CN" w:bidi="ar-SA"/>
                    </w:rPr>
                    <w:t>m</w:t>
                  </w:r>
                  <w:r>
                    <w:rPr>
                      <w:rFonts w:hint="default" w:ascii="Times New Roman" w:hAnsi="Times New Roman" w:eastAsia="宋体" w:cs="Times New Roman"/>
                      <w:color w:val="000000"/>
                      <w:kern w:val="2"/>
                      <w:sz w:val="21"/>
                      <w:szCs w:val="21"/>
                      <w:u w:val="none"/>
                      <w:vertAlign w:val="superscript"/>
                      <w:lang w:val="en-US" w:eastAsia="zh-CN" w:bidi="ar-SA"/>
                    </w:rPr>
                    <w:t>3</w:t>
                  </w:r>
                  <w:r>
                    <w:rPr>
                      <w:rFonts w:hint="default" w:ascii="Times New Roman" w:hAnsi="Times New Roman" w:eastAsia="宋体" w:cs="Times New Roman"/>
                      <w:color w:val="000000"/>
                      <w:kern w:val="2"/>
                      <w:sz w:val="21"/>
                      <w:szCs w:val="21"/>
                      <w:u w:val="none"/>
                      <w:lang w:val="en-US" w:eastAsia="zh-CN" w:bidi="ar-SA"/>
                    </w:rPr>
                    <w:t>）</w:t>
                  </w:r>
                </w:p>
              </w:tc>
              <w:tc>
                <w:tcPr>
                  <w:tcW w:w="683" w:type="dxa"/>
                  <w:noWrap w:val="0"/>
                  <w:vAlign w:val="center"/>
                </w:tcPr>
                <w:p w14:paraId="2D0C566C">
                  <w:pPr>
                    <w:adjustRightInd w:val="0"/>
                    <w:snapToGrid w:val="0"/>
                    <w:spacing w:line="240" w:lineRule="auto"/>
                    <w:jc w:val="center"/>
                    <w:rPr>
                      <w:rFonts w:hint="default" w:ascii="Times New Roman" w:hAnsi="Times New Roman" w:eastAsia="宋体" w:cs="Times New Roman"/>
                      <w:color w:val="000000"/>
                      <w:kern w:val="2"/>
                      <w:sz w:val="21"/>
                      <w:szCs w:val="21"/>
                      <w:u w:val="none"/>
                      <w:lang w:val="en-US" w:eastAsia="zh-CN" w:bidi="ar-SA"/>
                    </w:rPr>
                  </w:pPr>
                  <w:r>
                    <w:rPr>
                      <w:rFonts w:hint="default" w:ascii="Times New Roman" w:hAnsi="Times New Roman" w:eastAsia="宋体" w:cs="Times New Roman"/>
                      <w:color w:val="000000"/>
                      <w:sz w:val="21"/>
                      <w:szCs w:val="21"/>
                      <w:u w:val="none"/>
                    </w:rPr>
                    <w:t>自行收集</w:t>
                  </w:r>
                </w:p>
              </w:tc>
            </w:tr>
            <w:tr w14:paraId="35C034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82" w:type="dxa"/>
                  <w:noWrap w:val="0"/>
                  <w:vAlign w:val="center"/>
                </w:tcPr>
                <w:p w14:paraId="2E8A0759">
                  <w:pPr>
                    <w:adjustRightInd w:val="0"/>
                    <w:snapToGrid w:val="0"/>
                    <w:spacing w:line="240" w:lineRule="auto"/>
                    <w:jc w:val="center"/>
                    <w:rPr>
                      <w:rFonts w:hint="default" w:ascii="Times New Roman" w:hAnsi="Times New Roman" w:eastAsia="宋体" w:cs="Times New Roman"/>
                      <w:color w:val="000000"/>
                      <w:kern w:val="2"/>
                      <w:sz w:val="21"/>
                      <w:szCs w:val="21"/>
                      <w:u w:val="none"/>
                      <w:lang w:val="en-US" w:eastAsia="zh-CN" w:bidi="ar-SA"/>
                    </w:rPr>
                  </w:pPr>
                  <w:r>
                    <w:rPr>
                      <w:rFonts w:hint="eastAsia" w:cs="Times New Roman"/>
                      <w:color w:val="000000"/>
                      <w:kern w:val="2"/>
                      <w:sz w:val="21"/>
                      <w:szCs w:val="21"/>
                      <w:u w:val="none"/>
                      <w:lang w:val="en-US" w:eastAsia="zh-CN" w:bidi="ar-SA"/>
                    </w:rPr>
                    <w:t>2</w:t>
                  </w:r>
                </w:p>
              </w:tc>
              <w:tc>
                <w:tcPr>
                  <w:tcW w:w="1547" w:type="dxa"/>
                  <w:noWrap w:val="0"/>
                  <w:vAlign w:val="center"/>
                </w:tcPr>
                <w:p w14:paraId="2969B2A6">
                  <w:pPr>
                    <w:keepNext w:val="0"/>
                    <w:keepLines w:val="0"/>
                    <w:widowControl/>
                    <w:suppressLineNumbers w:val="0"/>
                    <w:jc w:val="center"/>
                    <w:textAlignment w:val="center"/>
                    <w:rPr>
                      <w:rFonts w:hint="default" w:ascii="Times New Roman" w:hAnsi="Times New Roman" w:eastAsia="宋体" w:cs="Times New Roman"/>
                      <w:color w:val="000000"/>
                      <w:kern w:val="2"/>
                      <w:sz w:val="21"/>
                      <w:szCs w:val="21"/>
                      <w:u w:val="none"/>
                      <w:lang w:val="en-US" w:eastAsia="zh-CN" w:bidi="ar-SA"/>
                    </w:rPr>
                  </w:pPr>
                  <w:r>
                    <w:rPr>
                      <w:rFonts w:hint="default" w:ascii="Times New Roman" w:hAnsi="Times New Roman" w:eastAsia="宋体" w:cs="Times New Roman"/>
                      <w:i w:val="0"/>
                      <w:iCs w:val="0"/>
                      <w:color w:val="000000"/>
                      <w:kern w:val="0"/>
                      <w:sz w:val="21"/>
                      <w:szCs w:val="21"/>
                      <w:u w:val="none"/>
                      <w:lang w:val="en-US" w:eastAsia="zh-CN" w:bidi="ar"/>
                    </w:rPr>
                    <w:t>氢氧化钾</w:t>
                  </w:r>
                </w:p>
              </w:tc>
              <w:tc>
                <w:tcPr>
                  <w:tcW w:w="1265" w:type="dxa"/>
                  <w:noWrap w:val="0"/>
                  <w:vAlign w:val="center"/>
                </w:tcPr>
                <w:p w14:paraId="67FC4C44">
                  <w:pPr>
                    <w:keepNext w:val="0"/>
                    <w:keepLines w:val="0"/>
                    <w:widowControl/>
                    <w:suppressLineNumbers w:val="0"/>
                    <w:jc w:val="center"/>
                    <w:textAlignment w:val="center"/>
                    <w:rPr>
                      <w:rFonts w:hint="default" w:ascii="Times New Roman" w:hAnsi="Times New Roman" w:eastAsia="宋体" w:cs="Times New Roman"/>
                      <w:color w:val="000000"/>
                      <w:kern w:val="2"/>
                      <w:sz w:val="21"/>
                      <w:szCs w:val="21"/>
                      <w:u w:val="none"/>
                      <w:lang w:val="en-US" w:eastAsia="zh-CN" w:bidi="ar-SA"/>
                    </w:rPr>
                  </w:pPr>
                  <w:r>
                    <w:rPr>
                      <w:rFonts w:hint="eastAsia" w:cs="Times New Roman"/>
                      <w:i w:val="0"/>
                      <w:iCs w:val="0"/>
                      <w:color w:val="000000"/>
                      <w:kern w:val="0"/>
                      <w:sz w:val="21"/>
                      <w:szCs w:val="21"/>
                      <w:u w:val="none"/>
                      <w:lang w:val="en-US" w:eastAsia="zh-CN" w:bidi="ar"/>
                    </w:rPr>
                    <w:t>0.015</w:t>
                  </w:r>
                  <w:r>
                    <w:rPr>
                      <w:rFonts w:hint="default" w:ascii="Times New Roman" w:hAnsi="Times New Roman" w:eastAsia="宋体" w:cs="Times New Roman"/>
                      <w:i w:val="0"/>
                      <w:iCs w:val="0"/>
                      <w:color w:val="000000"/>
                      <w:kern w:val="0"/>
                      <w:sz w:val="21"/>
                      <w:szCs w:val="21"/>
                      <w:u w:val="none"/>
                      <w:lang w:val="en-US" w:eastAsia="zh-CN" w:bidi="ar"/>
                    </w:rPr>
                    <w:t>t</w:t>
                  </w:r>
                </w:p>
              </w:tc>
              <w:tc>
                <w:tcPr>
                  <w:tcW w:w="1294" w:type="dxa"/>
                  <w:noWrap w:val="0"/>
                  <w:vAlign w:val="center"/>
                </w:tcPr>
                <w:p w14:paraId="7B6F69E0">
                  <w:pPr>
                    <w:keepNext w:val="0"/>
                    <w:keepLines w:val="0"/>
                    <w:widowControl/>
                    <w:suppressLineNumbers w:val="0"/>
                    <w:jc w:val="center"/>
                    <w:textAlignment w:val="center"/>
                    <w:rPr>
                      <w:rFonts w:hint="default" w:ascii="Times New Roman" w:hAnsi="Times New Roman" w:eastAsia="宋体" w:cs="Times New Roman"/>
                      <w:color w:val="000000"/>
                      <w:kern w:val="2"/>
                      <w:sz w:val="21"/>
                      <w:szCs w:val="21"/>
                      <w:u w:val="none"/>
                      <w:lang w:val="en-US" w:eastAsia="zh-CN" w:bidi="ar-SA"/>
                    </w:rPr>
                  </w:pPr>
                  <w:r>
                    <w:rPr>
                      <w:rFonts w:hint="eastAsia" w:cs="Times New Roman"/>
                      <w:i w:val="0"/>
                      <w:iCs w:val="0"/>
                      <w:color w:val="000000"/>
                      <w:kern w:val="0"/>
                      <w:sz w:val="21"/>
                      <w:szCs w:val="21"/>
                      <w:u w:val="none"/>
                      <w:lang w:val="en-US" w:eastAsia="zh-CN" w:bidi="ar"/>
                    </w:rPr>
                    <w:t>0.005</w:t>
                  </w:r>
                  <w:r>
                    <w:rPr>
                      <w:rFonts w:hint="default" w:ascii="Times New Roman" w:hAnsi="Times New Roman" w:eastAsia="宋体" w:cs="Times New Roman"/>
                      <w:i w:val="0"/>
                      <w:iCs w:val="0"/>
                      <w:color w:val="000000"/>
                      <w:kern w:val="0"/>
                      <w:sz w:val="21"/>
                      <w:szCs w:val="21"/>
                      <w:u w:val="none"/>
                      <w:lang w:val="en-US" w:eastAsia="zh-CN" w:bidi="ar"/>
                    </w:rPr>
                    <w:t>t</w:t>
                  </w:r>
                </w:p>
              </w:tc>
              <w:tc>
                <w:tcPr>
                  <w:tcW w:w="1134" w:type="dxa"/>
                  <w:noWrap w:val="0"/>
                  <w:vAlign w:val="center"/>
                </w:tcPr>
                <w:p w14:paraId="0688D1D5">
                  <w:pPr>
                    <w:adjustRightInd w:val="0"/>
                    <w:snapToGrid w:val="0"/>
                    <w:spacing w:line="240" w:lineRule="auto"/>
                    <w:jc w:val="center"/>
                    <w:rPr>
                      <w:rFonts w:hint="default" w:ascii="Times New Roman" w:hAnsi="Times New Roman" w:eastAsia="宋体" w:cs="Times New Roman"/>
                      <w:color w:val="000000"/>
                      <w:kern w:val="2"/>
                      <w:sz w:val="21"/>
                      <w:szCs w:val="21"/>
                      <w:u w:val="none"/>
                      <w:lang w:val="en-US" w:eastAsia="zh-CN" w:bidi="ar-SA"/>
                    </w:rPr>
                  </w:pPr>
                  <w:r>
                    <w:rPr>
                      <w:rFonts w:hint="default" w:ascii="Times New Roman" w:hAnsi="Times New Roman" w:eastAsia="宋体" w:cs="Times New Roman"/>
                      <w:color w:val="000000"/>
                      <w:kern w:val="2"/>
                      <w:sz w:val="21"/>
                      <w:szCs w:val="21"/>
                      <w:u w:val="none"/>
                      <w:lang w:val="en-US" w:eastAsia="zh-CN" w:bidi="ar-SA"/>
                    </w:rPr>
                    <w:t>检验室</w:t>
                  </w:r>
                </w:p>
              </w:tc>
              <w:tc>
                <w:tcPr>
                  <w:tcW w:w="713" w:type="dxa"/>
                  <w:noWrap w:val="0"/>
                  <w:vAlign w:val="center"/>
                </w:tcPr>
                <w:p w14:paraId="76369638">
                  <w:pPr>
                    <w:adjustRightInd w:val="0"/>
                    <w:snapToGrid w:val="0"/>
                    <w:spacing w:line="240" w:lineRule="auto"/>
                    <w:jc w:val="center"/>
                    <w:rPr>
                      <w:rFonts w:hint="default" w:ascii="Times New Roman" w:hAnsi="Times New Roman" w:eastAsia="宋体" w:cs="Times New Roman"/>
                      <w:color w:val="000000"/>
                      <w:kern w:val="2"/>
                      <w:sz w:val="21"/>
                      <w:szCs w:val="21"/>
                      <w:u w:val="none"/>
                      <w:lang w:val="en-US" w:eastAsia="zh-CN" w:bidi="ar-SA"/>
                    </w:rPr>
                  </w:pPr>
                  <w:r>
                    <w:rPr>
                      <w:rFonts w:hint="default" w:ascii="Times New Roman" w:hAnsi="Times New Roman" w:eastAsia="宋体" w:cs="Times New Roman"/>
                      <w:color w:val="000000"/>
                      <w:sz w:val="21"/>
                      <w:szCs w:val="21"/>
                      <w:u w:val="none"/>
                    </w:rPr>
                    <w:t>固态</w:t>
                  </w:r>
                </w:p>
              </w:tc>
              <w:tc>
                <w:tcPr>
                  <w:tcW w:w="1096" w:type="dxa"/>
                  <w:vMerge w:val="restart"/>
                  <w:noWrap w:val="0"/>
                  <w:vAlign w:val="center"/>
                </w:tcPr>
                <w:p w14:paraId="37839A6F">
                  <w:pPr>
                    <w:adjustRightInd w:val="0"/>
                    <w:snapToGrid w:val="0"/>
                    <w:spacing w:line="240" w:lineRule="auto"/>
                    <w:jc w:val="center"/>
                    <w:rPr>
                      <w:rFonts w:hint="default" w:ascii="Times New Roman" w:hAnsi="Times New Roman" w:eastAsia="宋体" w:cs="Times New Roman"/>
                      <w:color w:val="000000"/>
                      <w:kern w:val="2"/>
                      <w:sz w:val="21"/>
                      <w:szCs w:val="21"/>
                      <w:u w:val="none"/>
                      <w:lang w:val="en-US" w:eastAsia="zh-CN" w:bidi="ar-SA"/>
                    </w:rPr>
                  </w:pPr>
                  <w:r>
                    <w:rPr>
                      <w:rFonts w:hint="default" w:ascii="Times New Roman" w:hAnsi="Times New Roman" w:eastAsia="宋体" w:cs="Times New Roman"/>
                      <w:color w:val="000000"/>
                      <w:sz w:val="21"/>
                      <w:szCs w:val="21"/>
                      <w:u w:val="none"/>
                      <w:lang w:val="en-US" w:eastAsia="zh-CN"/>
                    </w:rPr>
                    <w:t>箱</w:t>
                  </w:r>
                  <w:r>
                    <w:rPr>
                      <w:rFonts w:hint="default" w:ascii="Times New Roman" w:hAnsi="Times New Roman" w:eastAsia="宋体" w:cs="Times New Roman"/>
                      <w:color w:val="000000"/>
                      <w:sz w:val="21"/>
                      <w:szCs w:val="21"/>
                      <w:u w:val="none"/>
                    </w:rPr>
                    <w:t>装</w:t>
                  </w:r>
                  <w:r>
                    <w:rPr>
                      <w:rFonts w:hint="eastAsia" w:ascii="Times New Roman" w:hAnsi="Times New Roman" w:eastAsia="宋体" w:cs="Times New Roman"/>
                      <w:color w:val="000000"/>
                      <w:sz w:val="21"/>
                      <w:szCs w:val="21"/>
                      <w:u w:val="none"/>
                      <w:lang w:eastAsia="zh-CN"/>
                    </w:rPr>
                    <w:t>，</w:t>
                  </w:r>
                  <w:r>
                    <w:rPr>
                      <w:rFonts w:hint="default" w:ascii="Times New Roman" w:hAnsi="Times New Roman" w:eastAsia="宋体" w:cs="Times New Roman"/>
                      <w:color w:val="000000"/>
                      <w:sz w:val="21"/>
                      <w:szCs w:val="21"/>
                      <w:u w:val="none"/>
                    </w:rPr>
                    <w:t>内附塑料袋</w:t>
                  </w:r>
                </w:p>
              </w:tc>
              <w:tc>
                <w:tcPr>
                  <w:tcW w:w="683" w:type="dxa"/>
                  <w:noWrap w:val="0"/>
                  <w:vAlign w:val="center"/>
                </w:tcPr>
                <w:p w14:paraId="612E2697">
                  <w:pPr>
                    <w:adjustRightInd w:val="0"/>
                    <w:snapToGrid w:val="0"/>
                    <w:spacing w:line="240" w:lineRule="auto"/>
                    <w:jc w:val="center"/>
                    <w:rPr>
                      <w:rFonts w:hint="default" w:ascii="Times New Roman" w:hAnsi="Times New Roman" w:eastAsia="宋体" w:cs="Times New Roman"/>
                      <w:color w:val="000000"/>
                      <w:kern w:val="2"/>
                      <w:sz w:val="21"/>
                      <w:szCs w:val="21"/>
                      <w:u w:val="none"/>
                      <w:lang w:val="en-US" w:eastAsia="zh-CN" w:bidi="ar-SA"/>
                    </w:rPr>
                  </w:pPr>
                  <w:r>
                    <w:rPr>
                      <w:rFonts w:hint="default" w:ascii="Times New Roman" w:hAnsi="Times New Roman" w:eastAsia="宋体" w:cs="Times New Roman"/>
                      <w:color w:val="000000"/>
                      <w:sz w:val="21"/>
                      <w:szCs w:val="21"/>
                      <w:u w:val="none"/>
                    </w:rPr>
                    <w:t>外购</w:t>
                  </w:r>
                </w:p>
              </w:tc>
            </w:tr>
            <w:tr w14:paraId="5B66C5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3" w:hRule="atLeast"/>
                <w:jc w:val="center"/>
              </w:trPr>
              <w:tc>
                <w:tcPr>
                  <w:tcW w:w="682" w:type="dxa"/>
                  <w:noWrap w:val="0"/>
                  <w:vAlign w:val="center"/>
                </w:tcPr>
                <w:p w14:paraId="347D5380">
                  <w:pPr>
                    <w:adjustRightInd w:val="0"/>
                    <w:snapToGrid w:val="0"/>
                    <w:spacing w:line="240" w:lineRule="auto"/>
                    <w:jc w:val="center"/>
                    <w:rPr>
                      <w:rFonts w:hint="default" w:ascii="Times New Roman" w:hAnsi="Times New Roman" w:eastAsia="宋体" w:cs="Times New Roman"/>
                      <w:color w:val="000000"/>
                      <w:kern w:val="2"/>
                      <w:sz w:val="21"/>
                      <w:szCs w:val="21"/>
                      <w:u w:val="none"/>
                      <w:lang w:val="en-US" w:eastAsia="zh-CN" w:bidi="ar-SA"/>
                    </w:rPr>
                  </w:pPr>
                  <w:r>
                    <w:rPr>
                      <w:rFonts w:hint="eastAsia" w:cs="Times New Roman"/>
                      <w:color w:val="000000"/>
                      <w:kern w:val="2"/>
                      <w:sz w:val="21"/>
                      <w:szCs w:val="21"/>
                      <w:u w:val="none"/>
                      <w:lang w:val="en-US" w:eastAsia="zh-CN" w:bidi="ar-SA"/>
                    </w:rPr>
                    <w:t>3</w:t>
                  </w:r>
                </w:p>
              </w:tc>
              <w:tc>
                <w:tcPr>
                  <w:tcW w:w="1547" w:type="dxa"/>
                  <w:noWrap w:val="0"/>
                  <w:vAlign w:val="center"/>
                </w:tcPr>
                <w:p w14:paraId="1C463E40">
                  <w:pPr>
                    <w:keepNext w:val="0"/>
                    <w:keepLines w:val="0"/>
                    <w:widowControl/>
                    <w:suppressLineNumbers w:val="0"/>
                    <w:jc w:val="center"/>
                    <w:textAlignment w:val="center"/>
                    <w:rPr>
                      <w:rFonts w:hint="default" w:ascii="Times New Roman" w:hAnsi="Times New Roman" w:eastAsia="宋体" w:cs="Times New Roman"/>
                      <w:color w:val="000000"/>
                      <w:kern w:val="2"/>
                      <w:sz w:val="21"/>
                      <w:szCs w:val="21"/>
                      <w:u w:val="none"/>
                      <w:lang w:val="en-US" w:eastAsia="zh-CN" w:bidi="ar-SA"/>
                    </w:rPr>
                  </w:pPr>
                  <w:r>
                    <w:rPr>
                      <w:rFonts w:hint="default" w:ascii="Times New Roman" w:hAnsi="Times New Roman" w:eastAsia="宋体" w:cs="Times New Roman"/>
                      <w:i w:val="0"/>
                      <w:iCs w:val="0"/>
                      <w:color w:val="000000"/>
                      <w:kern w:val="0"/>
                      <w:sz w:val="21"/>
                      <w:szCs w:val="21"/>
                      <w:u w:val="none"/>
                      <w:lang w:val="en-US" w:eastAsia="zh-CN" w:bidi="ar"/>
                    </w:rPr>
                    <w:t>活性炭</w:t>
                  </w:r>
                </w:p>
              </w:tc>
              <w:tc>
                <w:tcPr>
                  <w:tcW w:w="1265" w:type="dxa"/>
                  <w:noWrap w:val="0"/>
                  <w:vAlign w:val="center"/>
                </w:tcPr>
                <w:p w14:paraId="21569590">
                  <w:pPr>
                    <w:keepNext w:val="0"/>
                    <w:keepLines w:val="0"/>
                    <w:widowControl/>
                    <w:suppressLineNumbers w:val="0"/>
                    <w:jc w:val="center"/>
                    <w:textAlignment w:val="center"/>
                    <w:rPr>
                      <w:rFonts w:hint="default" w:ascii="Times New Roman" w:hAnsi="Times New Roman" w:eastAsia="宋体" w:cs="Times New Roman"/>
                      <w:color w:val="000000"/>
                      <w:kern w:val="2"/>
                      <w:sz w:val="21"/>
                      <w:szCs w:val="21"/>
                      <w:u w:val="none"/>
                      <w:lang w:val="en-US" w:eastAsia="zh-CN" w:bidi="ar-SA"/>
                    </w:rPr>
                  </w:pPr>
                  <w:r>
                    <w:rPr>
                      <w:rFonts w:hint="eastAsia" w:cs="Times New Roman"/>
                      <w:i w:val="0"/>
                      <w:iCs w:val="0"/>
                      <w:color w:val="000000"/>
                      <w:kern w:val="0"/>
                      <w:sz w:val="21"/>
                      <w:szCs w:val="21"/>
                      <w:u w:val="none"/>
                      <w:lang w:val="en-US" w:eastAsia="zh-CN" w:bidi="ar"/>
                    </w:rPr>
                    <w:t>0.24</w:t>
                  </w:r>
                  <w:r>
                    <w:rPr>
                      <w:rFonts w:hint="default" w:ascii="Times New Roman" w:hAnsi="Times New Roman" w:eastAsia="宋体" w:cs="Times New Roman"/>
                      <w:i w:val="0"/>
                      <w:iCs w:val="0"/>
                      <w:color w:val="000000"/>
                      <w:kern w:val="0"/>
                      <w:sz w:val="21"/>
                      <w:szCs w:val="21"/>
                      <w:u w:val="none"/>
                      <w:lang w:val="en-US" w:eastAsia="zh-CN" w:bidi="ar"/>
                    </w:rPr>
                    <w:t>t</w:t>
                  </w:r>
                </w:p>
              </w:tc>
              <w:tc>
                <w:tcPr>
                  <w:tcW w:w="1294" w:type="dxa"/>
                  <w:noWrap w:val="0"/>
                  <w:vAlign w:val="center"/>
                </w:tcPr>
                <w:p w14:paraId="3D25D51C">
                  <w:pPr>
                    <w:keepNext w:val="0"/>
                    <w:keepLines w:val="0"/>
                    <w:widowControl/>
                    <w:suppressLineNumbers w:val="0"/>
                    <w:jc w:val="center"/>
                    <w:textAlignment w:val="center"/>
                    <w:rPr>
                      <w:rFonts w:hint="default" w:ascii="Times New Roman" w:hAnsi="Times New Roman" w:eastAsia="宋体" w:cs="Times New Roman"/>
                      <w:color w:val="000000"/>
                      <w:kern w:val="2"/>
                      <w:sz w:val="21"/>
                      <w:szCs w:val="21"/>
                      <w:u w:val="none"/>
                      <w:lang w:val="en-US" w:eastAsia="zh-CN" w:bidi="ar-SA"/>
                    </w:rPr>
                  </w:pPr>
                  <w:r>
                    <w:rPr>
                      <w:rFonts w:hint="eastAsia" w:ascii="Times New Roman" w:hAnsi="Times New Roman" w:eastAsia="宋体" w:cs="Times New Roman"/>
                      <w:i w:val="0"/>
                      <w:iCs w:val="0"/>
                      <w:color w:val="000000"/>
                      <w:kern w:val="0"/>
                      <w:sz w:val="21"/>
                      <w:szCs w:val="21"/>
                      <w:u w:val="none"/>
                      <w:lang w:val="en-US" w:eastAsia="zh-CN" w:bidi="ar"/>
                    </w:rPr>
                    <w:t>0.12</w:t>
                  </w:r>
                  <w:r>
                    <w:rPr>
                      <w:rFonts w:hint="default" w:ascii="Times New Roman" w:hAnsi="Times New Roman" w:eastAsia="宋体" w:cs="Times New Roman"/>
                      <w:i w:val="0"/>
                      <w:iCs w:val="0"/>
                      <w:color w:val="000000"/>
                      <w:kern w:val="0"/>
                      <w:sz w:val="21"/>
                      <w:szCs w:val="21"/>
                      <w:u w:val="none"/>
                      <w:lang w:val="en-US" w:eastAsia="zh-CN" w:bidi="ar"/>
                    </w:rPr>
                    <w:t>t</w:t>
                  </w:r>
                </w:p>
              </w:tc>
              <w:tc>
                <w:tcPr>
                  <w:tcW w:w="1134" w:type="dxa"/>
                  <w:noWrap w:val="0"/>
                  <w:vAlign w:val="center"/>
                </w:tcPr>
                <w:p w14:paraId="4C66FDCF">
                  <w:pPr>
                    <w:adjustRightInd w:val="0"/>
                    <w:snapToGrid w:val="0"/>
                    <w:spacing w:line="240" w:lineRule="auto"/>
                    <w:jc w:val="center"/>
                    <w:rPr>
                      <w:rFonts w:hint="default" w:ascii="Times New Roman" w:hAnsi="Times New Roman" w:eastAsia="宋体" w:cs="Times New Roman"/>
                      <w:color w:val="000000"/>
                      <w:kern w:val="2"/>
                      <w:sz w:val="21"/>
                      <w:szCs w:val="21"/>
                      <w:u w:val="none"/>
                      <w:lang w:val="en-US" w:eastAsia="zh-CN" w:bidi="ar-SA"/>
                    </w:rPr>
                  </w:pPr>
                  <w:r>
                    <w:rPr>
                      <w:rFonts w:hint="eastAsia" w:cs="Times New Roman"/>
                      <w:color w:val="000000"/>
                      <w:kern w:val="2"/>
                      <w:sz w:val="21"/>
                      <w:szCs w:val="21"/>
                      <w:u w:val="none"/>
                      <w:lang w:val="en-US" w:eastAsia="zh-CN" w:bidi="ar-SA"/>
                    </w:rPr>
                    <w:t>/</w:t>
                  </w:r>
                </w:p>
              </w:tc>
              <w:tc>
                <w:tcPr>
                  <w:tcW w:w="713" w:type="dxa"/>
                  <w:noWrap w:val="0"/>
                  <w:vAlign w:val="center"/>
                </w:tcPr>
                <w:p w14:paraId="578748C4">
                  <w:pPr>
                    <w:adjustRightInd w:val="0"/>
                    <w:snapToGrid w:val="0"/>
                    <w:spacing w:line="240" w:lineRule="auto"/>
                    <w:jc w:val="center"/>
                    <w:rPr>
                      <w:rFonts w:hint="default" w:ascii="Times New Roman" w:hAnsi="Times New Roman" w:eastAsia="宋体" w:cs="Times New Roman"/>
                      <w:color w:val="000000"/>
                      <w:kern w:val="2"/>
                      <w:sz w:val="21"/>
                      <w:szCs w:val="21"/>
                      <w:u w:val="none"/>
                      <w:lang w:val="en-US" w:eastAsia="zh-CN" w:bidi="ar-SA"/>
                    </w:rPr>
                  </w:pPr>
                  <w:r>
                    <w:rPr>
                      <w:rFonts w:hint="default" w:ascii="Times New Roman" w:hAnsi="Times New Roman" w:eastAsia="宋体" w:cs="Times New Roman"/>
                      <w:color w:val="000000"/>
                      <w:sz w:val="21"/>
                      <w:szCs w:val="21"/>
                      <w:u w:val="none"/>
                    </w:rPr>
                    <w:t>固态</w:t>
                  </w:r>
                </w:p>
              </w:tc>
              <w:tc>
                <w:tcPr>
                  <w:tcW w:w="1096" w:type="dxa"/>
                  <w:vMerge w:val="continue"/>
                  <w:noWrap w:val="0"/>
                  <w:vAlign w:val="center"/>
                </w:tcPr>
                <w:p w14:paraId="76A8A444">
                  <w:pPr>
                    <w:adjustRightInd w:val="0"/>
                    <w:snapToGrid w:val="0"/>
                    <w:spacing w:line="240" w:lineRule="auto"/>
                    <w:jc w:val="center"/>
                    <w:rPr>
                      <w:rFonts w:hint="default" w:ascii="Times New Roman" w:hAnsi="Times New Roman" w:eastAsia="宋体" w:cs="Times New Roman"/>
                      <w:color w:val="000000"/>
                      <w:kern w:val="2"/>
                      <w:sz w:val="21"/>
                      <w:szCs w:val="21"/>
                      <w:u w:val="none"/>
                      <w:lang w:val="en-US" w:eastAsia="zh-CN" w:bidi="ar-SA"/>
                    </w:rPr>
                  </w:pPr>
                </w:p>
              </w:tc>
              <w:tc>
                <w:tcPr>
                  <w:tcW w:w="683" w:type="dxa"/>
                  <w:noWrap w:val="0"/>
                  <w:vAlign w:val="center"/>
                </w:tcPr>
                <w:p w14:paraId="69BACCF0">
                  <w:pPr>
                    <w:adjustRightInd w:val="0"/>
                    <w:snapToGrid w:val="0"/>
                    <w:spacing w:line="240" w:lineRule="auto"/>
                    <w:jc w:val="center"/>
                    <w:rPr>
                      <w:rFonts w:hint="default" w:ascii="Times New Roman" w:hAnsi="Times New Roman" w:eastAsia="宋体" w:cs="Times New Roman"/>
                      <w:color w:val="000000"/>
                      <w:sz w:val="21"/>
                      <w:szCs w:val="21"/>
                      <w:u w:val="none"/>
                    </w:rPr>
                  </w:pPr>
                  <w:r>
                    <w:rPr>
                      <w:rFonts w:hint="default" w:ascii="Times New Roman" w:hAnsi="Times New Roman" w:eastAsia="宋体" w:cs="Times New Roman"/>
                      <w:color w:val="000000"/>
                      <w:sz w:val="21"/>
                      <w:szCs w:val="21"/>
                      <w:u w:val="none"/>
                    </w:rPr>
                    <w:t>随用</w:t>
                  </w:r>
                </w:p>
                <w:p w14:paraId="43F3DFEE">
                  <w:pPr>
                    <w:adjustRightInd w:val="0"/>
                    <w:snapToGrid w:val="0"/>
                    <w:spacing w:line="240" w:lineRule="auto"/>
                    <w:jc w:val="center"/>
                    <w:rPr>
                      <w:rFonts w:hint="default" w:ascii="Times New Roman" w:hAnsi="Times New Roman" w:eastAsia="宋体" w:cs="Times New Roman"/>
                      <w:color w:val="000000"/>
                      <w:kern w:val="2"/>
                      <w:sz w:val="21"/>
                      <w:szCs w:val="21"/>
                      <w:u w:val="none"/>
                      <w:lang w:val="en-US" w:eastAsia="zh-CN" w:bidi="ar-SA"/>
                    </w:rPr>
                  </w:pPr>
                  <w:r>
                    <w:rPr>
                      <w:rFonts w:hint="default" w:ascii="Times New Roman" w:hAnsi="Times New Roman" w:eastAsia="宋体" w:cs="Times New Roman"/>
                      <w:color w:val="000000"/>
                      <w:sz w:val="21"/>
                      <w:szCs w:val="21"/>
                      <w:u w:val="none"/>
                    </w:rPr>
                    <w:t>随买</w:t>
                  </w:r>
                </w:p>
              </w:tc>
            </w:tr>
            <w:tr w14:paraId="73E8ED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1" w:hRule="atLeast"/>
                <w:jc w:val="center"/>
              </w:trPr>
              <w:tc>
                <w:tcPr>
                  <w:tcW w:w="682" w:type="dxa"/>
                  <w:noWrap w:val="0"/>
                  <w:vAlign w:val="center"/>
                </w:tcPr>
                <w:p w14:paraId="684CAA23">
                  <w:pPr>
                    <w:adjustRightInd w:val="0"/>
                    <w:snapToGrid w:val="0"/>
                    <w:spacing w:line="240" w:lineRule="auto"/>
                    <w:jc w:val="center"/>
                    <w:rPr>
                      <w:rFonts w:hint="default" w:ascii="Times New Roman" w:hAnsi="Times New Roman" w:eastAsia="宋体" w:cs="Times New Roman"/>
                      <w:color w:val="000000"/>
                      <w:kern w:val="2"/>
                      <w:sz w:val="21"/>
                      <w:szCs w:val="21"/>
                      <w:u w:val="none"/>
                      <w:lang w:val="en-US" w:eastAsia="zh-CN" w:bidi="ar-SA"/>
                    </w:rPr>
                  </w:pPr>
                  <w:r>
                    <w:rPr>
                      <w:rFonts w:hint="eastAsia" w:cs="Times New Roman"/>
                      <w:color w:val="000000"/>
                      <w:kern w:val="2"/>
                      <w:sz w:val="21"/>
                      <w:szCs w:val="21"/>
                      <w:u w:val="none"/>
                      <w:lang w:val="en-US" w:eastAsia="zh-CN" w:bidi="ar-SA"/>
                    </w:rPr>
                    <w:t>4</w:t>
                  </w:r>
                </w:p>
              </w:tc>
              <w:tc>
                <w:tcPr>
                  <w:tcW w:w="1547" w:type="dxa"/>
                  <w:noWrap w:val="0"/>
                  <w:vAlign w:val="center"/>
                </w:tcPr>
                <w:p w14:paraId="440FD082">
                  <w:pPr>
                    <w:keepNext w:val="0"/>
                    <w:keepLines w:val="0"/>
                    <w:widowControl/>
                    <w:suppressLineNumbers w:val="0"/>
                    <w:jc w:val="center"/>
                    <w:textAlignment w:val="center"/>
                    <w:rPr>
                      <w:rFonts w:hint="default" w:ascii="Times New Roman" w:hAnsi="Times New Roman" w:eastAsia="宋体" w:cs="Times New Roman"/>
                      <w:color w:val="000000"/>
                      <w:kern w:val="2"/>
                      <w:sz w:val="21"/>
                      <w:szCs w:val="21"/>
                      <w:u w:val="none"/>
                      <w:lang w:val="en-US" w:eastAsia="zh-CN" w:bidi="ar-SA"/>
                    </w:rPr>
                  </w:pPr>
                  <w:r>
                    <w:rPr>
                      <w:rFonts w:hint="default" w:ascii="Times New Roman" w:hAnsi="Times New Roman" w:eastAsia="宋体" w:cs="Times New Roman"/>
                      <w:i w:val="0"/>
                      <w:iCs w:val="0"/>
                      <w:color w:val="000000"/>
                      <w:kern w:val="0"/>
                      <w:sz w:val="21"/>
                      <w:szCs w:val="21"/>
                      <w:u w:val="none"/>
                      <w:lang w:val="en-US" w:eastAsia="zh-CN" w:bidi="ar"/>
                    </w:rPr>
                    <w:t>手套、抹布</w:t>
                  </w:r>
                </w:p>
              </w:tc>
              <w:tc>
                <w:tcPr>
                  <w:tcW w:w="1265" w:type="dxa"/>
                  <w:noWrap w:val="0"/>
                  <w:vAlign w:val="center"/>
                </w:tcPr>
                <w:p w14:paraId="5AE91F93">
                  <w:pPr>
                    <w:keepNext w:val="0"/>
                    <w:keepLines w:val="0"/>
                    <w:widowControl/>
                    <w:suppressLineNumbers w:val="0"/>
                    <w:jc w:val="center"/>
                    <w:textAlignment w:val="center"/>
                    <w:rPr>
                      <w:rFonts w:hint="default" w:ascii="Times New Roman" w:hAnsi="Times New Roman" w:eastAsia="宋体" w:cs="Times New Roman"/>
                      <w:color w:val="000000"/>
                      <w:kern w:val="2"/>
                      <w:sz w:val="21"/>
                      <w:szCs w:val="21"/>
                      <w:u w:val="none"/>
                      <w:lang w:val="en-US" w:eastAsia="zh-CN" w:bidi="ar-SA"/>
                    </w:rPr>
                  </w:pPr>
                  <w:r>
                    <w:rPr>
                      <w:rFonts w:hint="eastAsia" w:cs="Times New Roman"/>
                      <w:i w:val="0"/>
                      <w:iCs w:val="0"/>
                      <w:color w:val="000000"/>
                      <w:kern w:val="0"/>
                      <w:sz w:val="21"/>
                      <w:szCs w:val="21"/>
                      <w:u w:val="none"/>
                      <w:lang w:val="en-US" w:eastAsia="zh-CN" w:bidi="ar"/>
                    </w:rPr>
                    <w:t>0.02</w:t>
                  </w:r>
                  <w:r>
                    <w:rPr>
                      <w:rFonts w:hint="default" w:ascii="Times New Roman" w:hAnsi="Times New Roman" w:eastAsia="宋体" w:cs="Times New Roman"/>
                      <w:i w:val="0"/>
                      <w:iCs w:val="0"/>
                      <w:color w:val="000000"/>
                      <w:kern w:val="0"/>
                      <w:sz w:val="21"/>
                      <w:szCs w:val="21"/>
                      <w:u w:val="none"/>
                      <w:lang w:val="en-US" w:eastAsia="zh-CN" w:bidi="ar"/>
                    </w:rPr>
                    <w:t>t</w:t>
                  </w:r>
                </w:p>
              </w:tc>
              <w:tc>
                <w:tcPr>
                  <w:tcW w:w="1294" w:type="dxa"/>
                  <w:noWrap w:val="0"/>
                  <w:vAlign w:val="center"/>
                </w:tcPr>
                <w:p w14:paraId="29B28631">
                  <w:pPr>
                    <w:keepNext w:val="0"/>
                    <w:keepLines w:val="0"/>
                    <w:widowControl/>
                    <w:suppressLineNumbers w:val="0"/>
                    <w:jc w:val="center"/>
                    <w:textAlignment w:val="center"/>
                    <w:rPr>
                      <w:rFonts w:hint="default" w:ascii="Times New Roman" w:hAnsi="Times New Roman" w:eastAsia="宋体" w:cs="Times New Roman"/>
                      <w:color w:val="000000"/>
                      <w:kern w:val="2"/>
                      <w:sz w:val="21"/>
                      <w:szCs w:val="21"/>
                      <w:u w:val="none"/>
                      <w:lang w:val="en-US" w:eastAsia="zh-CN" w:bidi="ar-SA"/>
                    </w:rPr>
                  </w:pPr>
                  <w:r>
                    <w:rPr>
                      <w:rFonts w:hint="eastAsia" w:cs="Times New Roman"/>
                      <w:i w:val="0"/>
                      <w:iCs w:val="0"/>
                      <w:color w:val="000000"/>
                      <w:kern w:val="0"/>
                      <w:sz w:val="21"/>
                      <w:szCs w:val="21"/>
                      <w:u w:val="none"/>
                      <w:lang w:val="en-US" w:eastAsia="zh-CN" w:bidi="ar"/>
                    </w:rPr>
                    <w:t>0.01</w:t>
                  </w:r>
                  <w:r>
                    <w:rPr>
                      <w:rFonts w:hint="default" w:ascii="Times New Roman" w:hAnsi="Times New Roman" w:eastAsia="宋体" w:cs="Times New Roman"/>
                      <w:i w:val="0"/>
                      <w:iCs w:val="0"/>
                      <w:color w:val="000000"/>
                      <w:kern w:val="0"/>
                      <w:sz w:val="21"/>
                      <w:szCs w:val="21"/>
                      <w:u w:val="none"/>
                      <w:lang w:val="en-US" w:eastAsia="zh-CN" w:bidi="ar"/>
                    </w:rPr>
                    <w:t>t</w:t>
                  </w:r>
                </w:p>
              </w:tc>
              <w:tc>
                <w:tcPr>
                  <w:tcW w:w="1134" w:type="dxa"/>
                  <w:noWrap w:val="0"/>
                  <w:vAlign w:val="center"/>
                </w:tcPr>
                <w:p w14:paraId="163F2EB5">
                  <w:pPr>
                    <w:adjustRightInd w:val="0"/>
                    <w:snapToGrid w:val="0"/>
                    <w:spacing w:line="240" w:lineRule="auto"/>
                    <w:jc w:val="center"/>
                    <w:rPr>
                      <w:rFonts w:hint="default" w:ascii="Times New Roman" w:hAnsi="Times New Roman" w:eastAsia="宋体" w:cs="Times New Roman"/>
                      <w:color w:val="000000"/>
                      <w:kern w:val="2"/>
                      <w:sz w:val="21"/>
                      <w:szCs w:val="21"/>
                      <w:u w:val="none"/>
                      <w:lang w:val="en-US" w:eastAsia="zh-CN" w:bidi="ar-SA"/>
                    </w:rPr>
                  </w:pPr>
                  <w:r>
                    <w:rPr>
                      <w:rFonts w:hint="eastAsia" w:cs="Times New Roman"/>
                      <w:color w:val="000000"/>
                      <w:kern w:val="2"/>
                      <w:sz w:val="21"/>
                      <w:szCs w:val="21"/>
                      <w:u w:val="none"/>
                      <w:lang w:val="en-US" w:eastAsia="zh-CN" w:bidi="ar-SA"/>
                    </w:rPr>
                    <w:t>办公室</w:t>
                  </w:r>
                </w:p>
              </w:tc>
              <w:tc>
                <w:tcPr>
                  <w:tcW w:w="713" w:type="dxa"/>
                  <w:noWrap w:val="0"/>
                  <w:vAlign w:val="center"/>
                </w:tcPr>
                <w:p w14:paraId="08178160">
                  <w:pPr>
                    <w:adjustRightInd w:val="0"/>
                    <w:snapToGrid w:val="0"/>
                    <w:spacing w:line="240" w:lineRule="auto"/>
                    <w:jc w:val="center"/>
                    <w:rPr>
                      <w:rFonts w:hint="default" w:ascii="Times New Roman" w:hAnsi="Times New Roman" w:eastAsia="宋体" w:cs="Times New Roman"/>
                      <w:color w:val="000000"/>
                      <w:kern w:val="2"/>
                      <w:sz w:val="21"/>
                      <w:szCs w:val="21"/>
                      <w:u w:val="none"/>
                      <w:lang w:val="en-US" w:eastAsia="zh-CN" w:bidi="ar-SA"/>
                    </w:rPr>
                  </w:pPr>
                  <w:r>
                    <w:rPr>
                      <w:rFonts w:hint="default" w:ascii="Times New Roman" w:hAnsi="Times New Roman" w:eastAsia="宋体" w:cs="Times New Roman"/>
                      <w:color w:val="000000"/>
                      <w:sz w:val="21"/>
                      <w:szCs w:val="21"/>
                      <w:u w:val="none"/>
                    </w:rPr>
                    <w:t>固态</w:t>
                  </w:r>
                </w:p>
              </w:tc>
              <w:tc>
                <w:tcPr>
                  <w:tcW w:w="1096" w:type="dxa"/>
                  <w:vMerge w:val="continue"/>
                  <w:noWrap w:val="0"/>
                  <w:vAlign w:val="center"/>
                </w:tcPr>
                <w:p w14:paraId="476FBB81">
                  <w:pPr>
                    <w:adjustRightInd w:val="0"/>
                    <w:snapToGrid w:val="0"/>
                    <w:spacing w:line="240" w:lineRule="auto"/>
                    <w:jc w:val="center"/>
                    <w:rPr>
                      <w:rFonts w:hint="default" w:ascii="Times New Roman" w:hAnsi="Times New Roman" w:eastAsia="宋体" w:cs="Times New Roman"/>
                      <w:color w:val="000000"/>
                      <w:kern w:val="2"/>
                      <w:sz w:val="21"/>
                      <w:szCs w:val="21"/>
                      <w:u w:val="none"/>
                      <w:lang w:val="en-US" w:eastAsia="zh-CN" w:bidi="ar-SA"/>
                    </w:rPr>
                  </w:pPr>
                </w:p>
              </w:tc>
              <w:tc>
                <w:tcPr>
                  <w:tcW w:w="683" w:type="dxa"/>
                  <w:noWrap w:val="0"/>
                  <w:vAlign w:val="center"/>
                </w:tcPr>
                <w:p w14:paraId="4F07D36D">
                  <w:pPr>
                    <w:adjustRightInd w:val="0"/>
                    <w:snapToGrid w:val="0"/>
                    <w:spacing w:line="240" w:lineRule="auto"/>
                    <w:jc w:val="center"/>
                    <w:rPr>
                      <w:rFonts w:hint="default" w:ascii="Times New Roman" w:hAnsi="Times New Roman" w:eastAsia="宋体" w:cs="Times New Roman"/>
                      <w:color w:val="000000"/>
                      <w:kern w:val="2"/>
                      <w:sz w:val="21"/>
                      <w:szCs w:val="21"/>
                      <w:u w:val="none"/>
                      <w:lang w:val="en-US" w:eastAsia="zh-CN" w:bidi="ar-SA"/>
                    </w:rPr>
                  </w:pPr>
                  <w:r>
                    <w:rPr>
                      <w:rFonts w:hint="default" w:ascii="Times New Roman" w:hAnsi="Times New Roman" w:eastAsia="宋体" w:cs="Times New Roman"/>
                      <w:color w:val="000000"/>
                      <w:sz w:val="21"/>
                      <w:szCs w:val="21"/>
                      <w:u w:val="none"/>
                    </w:rPr>
                    <w:t>外购</w:t>
                  </w:r>
                </w:p>
              </w:tc>
            </w:tr>
            <w:tr w14:paraId="11B75C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1" w:hRule="atLeast"/>
                <w:jc w:val="center"/>
              </w:trPr>
              <w:tc>
                <w:tcPr>
                  <w:tcW w:w="8414" w:type="dxa"/>
                  <w:gridSpan w:val="8"/>
                  <w:noWrap w:val="0"/>
                  <w:vAlign w:val="center"/>
                </w:tcPr>
                <w:p w14:paraId="1E0B7719">
                  <w:pPr>
                    <w:spacing w:line="240" w:lineRule="auto"/>
                    <w:jc w:val="center"/>
                    <w:rPr>
                      <w:rFonts w:hint="default" w:ascii="Times New Roman" w:hAnsi="Times New Roman" w:eastAsia="宋体" w:cs="Times New Roman"/>
                      <w:color w:val="auto"/>
                      <w:sz w:val="21"/>
                      <w:szCs w:val="21"/>
                      <w:u w:val="none"/>
                    </w:rPr>
                  </w:pPr>
                  <w:r>
                    <w:rPr>
                      <w:rFonts w:hint="default" w:ascii="Times New Roman" w:hAnsi="Times New Roman" w:eastAsia="宋体" w:cs="Times New Roman"/>
                      <w:color w:val="auto"/>
                      <w:sz w:val="21"/>
                      <w:szCs w:val="21"/>
                      <w:u w:val="none"/>
                    </w:rPr>
                    <w:t>能源、资源消耗</w:t>
                  </w:r>
                </w:p>
              </w:tc>
            </w:tr>
            <w:tr w14:paraId="66214A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1" w:hRule="atLeast"/>
                <w:jc w:val="center"/>
              </w:trPr>
              <w:tc>
                <w:tcPr>
                  <w:tcW w:w="682" w:type="dxa"/>
                  <w:vMerge w:val="restart"/>
                  <w:noWrap w:val="0"/>
                  <w:vAlign w:val="center"/>
                </w:tcPr>
                <w:p w14:paraId="265EB825">
                  <w:pPr>
                    <w:keepNext w:val="0"/>
                    <w:keepLines w:val="0"/>
                    <w:widowControl/>
                    <w:suppressLineNumbers w:val="0"/>
                    <w:jc w:val="center"/>
                    <w:textAlignment w:val="center"/>
                    <w:rPr>
                      <w:rFonts w:hint="default" w:ascii="Times New Roman" w:hAnsi="Times New Roman" w:eastAsia="宋体" w:cs="Times New Roman"/>
                      <w:color w:val="auto"/>
                      <w:kern w:val="2"/>
                      <w:sz w:val="21"/>
                      <w:szCs w:val="21"/>
                      <w:u w:val="none"/>
                      <w:lang w:val="en-US" w:eastAsia="zh-CN" w:bidi="ar-SA"/>
                    </w:rPr>
                  </w:pPr>
                  <w:r>
                    <w:rPr>
                      <w:rFonts w:hint="eastAsia" w:ascii="宋体" w:hAnsi="宋体" w:eastAsia="宋体" w:cs="宋体"/>
                      <w:i w:val="0"/>
                      <w:iCs w:val="0"/>
                      <w:color w:val="auto"/>
                      <w:kern w:val="0"/>
                      <w:sz w:val="21"/>
                      <w:szCs w:val="21"/>
                      <w:u w:val="none"/>
                      <w:lang w:val="en-US" w:eastAsia="zh-CN" w:bidi="ar"/>
                    </w:rPr>
                    <w:t>能源</w:t>
                  </w:r>
                </w:p>
              </w:tc>
              <w:tc>
                <w:tcPr>
                  <w:tcW w:w="1547" w:type="dxa"/>
                  <w:noWrap w:val="0"/>
                  <w:vAlign w:val="center"/>
                </w:tcPr>
                <w:p w14:paraId="79515705">
                  <w:pPr>
                    <w:keepNext w:val="0"/>
                    <w:keepLines w:val="0"/>
                    <w:widowControl/>
                    <w:suppressLineNumbers w:val="0"/>
                    <w:jc w:val="center"/>
                    <w:textAlignment w:val="center"/>
                    <w:rPr>
                      <w:rFonts w:hint="default" w:ascii="Times New Roman" w:hAnsi="Times New Roman" w:eastAsia="宋体" w:cs="Times New Roman"/>
                      <w:color w:val="auto"/>
                      <w:kern w:val="2"/>
                      <w:sz w:val="21"/>
                      <w:szCs w:val="21"/>
                      <w:u w:val="none"/>
                      <w:lang w:val="en-US" w:eastAsia="zh-CN" w:bidi="ar-SA"/>
                    </w:rPr>
                  </w:pPr>
                  <w:r>
                    <w:rPr>
                      <w:rFonts w:hint="eastAsia" w:ascii="宋体" w:hAnsi="宋体" w:eastAsia="宋体" w:cs="宋体"/>
                      <w:i w:val="0"/>
                      <w:iCs w:val="0"/>
                      <w:color w:val="auto"/>
                      <w:kern w:val="0"/>
                      <w:sz w:val="21"/>
                      <w:szCs w:val="21"/>
                      <w:u w:val="none"/>
                      <w:lang w:val="en-US" w:eastAsia="zh-CN" w:bidi="ar"/>
                    </w:rPr>
                    <w:t>电</w:t>
                  </w:r>
                </w:p>
              </w:tc>
              <w:tc>
                <w:tcPr>
                  <w:tcW w:w="2559" w:type="dxa"/>
                  <w:gridSpan w:val="2"/>
                  <w:noWrap w:val="0"/>
                  <w:vAlign w:val="center"/>
                </w:tcPr>
                <w:p w14:paraId="2B610D82">
                  <w:pPr>
                    <w:adjustRightInd w:val="0"/>
                    <w:snapToGrid w:val="0"/>
                    <w:spacing w:line="240" w:lineRule="auto"/>
                    <w:jc w:val="center"/>
                    <w:rPr>
                      <w:rFonts w:hint="default" w:ascii="Times New Roman" w:hAnsi="Times New Roman" w:eastAsia="宋体" w:cs="Times New Roman"/>
                      <w:color w:val="auto"/>
                      <w:kern w:val="2"/>
                      <w:sz w:val="21"/>
                      <w:szCs w:val="21"/>
                      <w:highlight w:val="yellow"/>
                      <w:u w:val="none"/>
                      <w:lang w:val="en-US" w:eastAsia="zh-CN" w:bidi="ar-SA"/>
                    </w:rPr>
                  </w:pPr>
                  <w:r>
                    <w:rPr>
                      <w:rFonts w:hint="eastAsia" w:cs="Times New Roman"/>
                      <w:color w:val="auto"/>
                      <w:sz w:val="21"/>
                      <w:szCs w:val="21"/>
                      <w:highlight w:val="none"/>
                      <w:u w:val="none"/>
                      <w:lang w:val="en-US" w:eastAsia="zh-CN"/>
                    </w:rPr>
                    <w:t>0.2</w:t>
                  </w:r>
                  <w:r>
                    <w:rPr>
                      <w:rFonts w:hint="default" w:ascii="Times New Roman" w:hAnsi="Times New Roman" w:eastAsia="宋体" w:cs="Times New Roman"/>
                      <w:color w:val="auto"/>
                      <w:sz w:val="21"/>
                      <w:szCs w:val="21"/>
                      <w:u w:val="none"/>
                    </w:rPr>
                    <w:t>万kw•h</w:t>
                  </w:r>
                </w:p>
              </w:tc>
              <w:tc>
                <w:tcPr>
                  <w:tcW w:w="1134" w:type="dxa"/>
                  <w:noWrap w:val="0"/>
                  <w:vAlign w:val="center"/>
                </w:tcPr>
                <w:p w14:paraId="14D4E16B">
                  <w:pPr>
                    <w:adjustRightInd w:val="0"/>
                    <w:snapToGrid w:val="0"/>
                    <w:spacing w:line="240" w:lineRule="auto"/>
                    <w:jc w:val="center"/>
                    <w:rPr>
                      <w:rFonts w:hint="default" w:ascii="Times New Roman" w:hAnsi="Times New Roman" w:eastAsia="宋体" w:cs="Times New Roman"/>
                      <w:color w:val="auto"/>
                      <w:kern w:val="2"/>
                      <w:sz w:val="21"/>
                      <w:szCs w:val="21"/>
                      <w:u w:val="none"/>
                      <w:lang w:val="en-US" w:eastAsia="zh-CN" w:bidi="ar-SA"/>
                    </w:rPr>
                  </w:pPr>
                  <w:r>
                    <w:rPr>
                      <w:rFonts w:hint="default" w:ascii="Times New Roman" w:hAnsi="Times New Roman" w:eastAsia="宋体" w:cs="Times New Roman"/>
                      <w:color w:val="auto"/>
                      <w:sz w:val="21"/>
                      <w:szCs w:val="21"/>
                      <w:u w:val="none"/>
                    </w:rPr>
                    <w:t>/</w:t>
                  </w:r>
                </w:p>
              </w:tc>
              <w:tc>
                <w:tcPr>
                  <w:tcW w:w="2492" w:type="dxa"/>
                  <w:gridSpan w:val="3"/>
                  <w:noWrap w:val="0"/>
                  <w:vAlign w:val="center"/>
                </w:tcPr>
                <w:p w14:paraId="258EC47D">
                  <w:pPr>
                    <w:adjustRightInd w:val="0"/>
                    <w:snapToGrid w:val="0"/>
                    <w:spacing w:line="240" w:lineRule="auto"/>
                    <w:jc w:val="center"/>
                    <w:rPr>
                      <w:rFonts w:hint="default" w:ascii="Times New Roman" w:hAnsi="Times New Roman" w:eastAsia="宋体" w:cs="Times New Roman"/>
                      <w:color w:val="auto"/>
                      <w:kern w:val="2"/>
                      <w:sz w:val="21"/>
                      <w:szCs w:val="21"/>
                      <w:u w:val="none"/>
                      <w:lang w:val="en-US" w:eastAsia="zh-CN" w:bidi="ar-SA"/>
                    </w:rPr>
                  </w:pPr>
                  <w:r>
                    <w:rPr>
                      <w:rFonts w:hint="default" w:ascii="Times New Roman" w:hAnsi="Times New Roman" w:eastAsia="宋体" w:cs="Times New Roman"/>
                      <w:color w:val="auto"/>
                      <w:sz w:val="21"/>
                      <w:szCs w:val="21"/>
                      <w:u w:val="none"/>
                    </w:rPr>
                    <w:t>市政电网</w:t>
                  </w:r>
                </w:p>
              </w:tc>
            </w:tr>
            <w:tr w14:paraId="278E96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1" w:hRule="atLeast"/>
                <w:jc w:val="center"/>
              </w:trPr>
              <w:tc>
                <w:tcPr>
                  <w:tcW w:w="682" w:type="dxa"/>
                  <w:vMerge w:val="continue"/>
                  <w:noWrap w:val="0"/>
                  <w:vAlign w:val="center"/>
                </w:tcPr>
                <w:p w14:paraId="4860F170">
                  <w:pPr>
                    <w:jc w:val="center"/>
                    <w:rPr>
                      <w:rFonts w:hint="default" w:ascii="Times New Roman" w:hAnsi="Times New Roman" w:eastAsia="宋体" w:cs="Times New Roman"/>
                      <w:color w:val="auto"/>
                      <w:kern w:val="2"/>
                      <w:sz w:val="21"/>
                      <w:szCs w:val="21"/>
                      <w:u w:val="none"/>
                      <w:lang w:val="en-US" w:eastAsia="zh-CN" w:bidi="ar-SA"/>
                    </w:rPr>
                  </w:pPr>
                </w:p>
              </w:tc>
              <w:tc>
                <w:tcPr>
                  <w:tcW w:w="1547" w:type="dxa"/>
                  <w:noWrap w:val="0"/>
                  <w:vAlign w:val="center"/>
                </w:tcPr>
                <w:p w14:paraId="3AC85C77">
                  <w:pPr>
                    <w:keepNext w:val="0"/>
                    <w:keepLines w:val="0"/>
                    <w:widowControl/>
                    <w:suppressLineNumbers w:val="0"/>
                    <w:jc w:val="center"/>
                    <w:textAlignment w:val="center"/>
                    <w:rPr>
                      <w:rFonts w:hint="default" w:ascii="Times New Roman" w:hAnsi="Times New Roman" w:eastAsia="宋体" w:cs="Times New Roman"/>
                      <w:color w:val="auto"/>
                      <w:kern w:val="2"/>
                      <w:sz w:val="21"/>
                      <w:szCs w:val="21"/>
                      <w:u w:val="none"/>
                      <w:lang w:val="en-US" w:eastAsia="zh-CN" w:bidi="ar-SA"/>
                    </w:rPr>
                  </w:pPr>
                  <w:r>
                    <w:rPr>
                      <w:rFonts w:hint="eastAsia" w:ascii="宋体" w:hAnsi="宋体" w:eastAsia="宋体" w:cs="宋体"/>
                      <w:i w:val="0"/>
                      <w:iCs w:val="0"/>
                      <w:color w:val="auto"/>
                      <w:kern w:val="0"/>
                      <w:sz w:val="21"/>
                      <w:szCs w:val="21"/>
                      <w:u w:val="none"/>
                      <w:lang w:val="en-US" w:eastAsia="zh-CN" w:bidi="ar"/>
                    </w:rPr>
                    <w:t>水</w:t>
                  </w:r>
                </w:p>
              </w:tc>
              <w:tc>
                <w:tcPr>
                  <w:tcW w:w="2559" w:type="dxa"/>
                  <w:gridSpan w:val="2"/>
                  <w:noWrap w:val="0"/>
                  <w:vAlign w:val="center"/>
                </w:tcPr>
                <w:p w14:paraId="1D355F61">
                  <w:pPr>
                    <w:adjustRightInd w:val="0"/>
                    <w:snapToGrid w:val="0"/>
                    <w:spacing w:line="240" w:lineRule="auto"/>
                    <w:jc w:val="center"/>
                    <w:rPr>
                      <w:rFonts w:hint="default" w:ascii="Times New Roman" w:hAnsi="Times New Roman" w:eastAsia="宋体" w:cs="Times New Roman"/>
                      <w:color w:val="auto"/>
                      <w:kern w:val="2"/>
                      <w:sz w:val="21"/>
                      <w:szCs w:val="21"/>
                      <w:highlight w:val="yellow"/>
                      <w:u w:val="none"/>
                      <w:lang w:val="en-US" w:eastAsia="zh-CN" w:bidi="ar-SA"/>
                    </w:rPr>
                  </w:pPr>
                  <w:r>
                    <w:rPr>
                      <w:rFonts w:hint="eastAsia" w:cs="Times New Roman"/>
                      <w:color w:val="auto"/>
                      <w:sz w:val="21"/>
                      <w:szCs w:val="21"/>
                      <w:highlight w:val="none"/>
                      <w:u w:val="none"/>
                      <w:lang w:val="en-US" w:eastAsia="zh-CN"/>
                    </w:rPr>
                    <w:t>150.0m</w:t>
                  </w:r>
                  <w:r>
                    <w:rPr>
                      <w:rFonts w:hint="eastAsia" w:cs="Times New Roman"/>
                      <w:color w:val="auto"/>
                      <w:sz w:val="21"/>
                      <w:szCs w:val="21"/>
                      <w:highlight w:val="none"/>
                      <w:u w:val="none"/>
                      <w:vertAlign w:val="superscript"/>
                      <w:lang w:val="en-US" w:eastAsia="zh-CN"/>
                    </w:rPr>
                    <w:t>3</w:t>
                  </w:r>
                  <w:r>
                    <w:rPr>
                      <w:rFonts w:hint="default" w:ascii="Times New Roman" w:hAnsi="Times New Roman" w:eastAsia="宋体" w:cs="Times New Roman"/>
                      <w:color w:val="auto"/>
                      <w:sz w:val="21"/>
                      <w:szCs w:val="21"/>
                      <w:highlight w:val="none"/>
                      <w:u w:val="none"/>
                    </w:rPr>
                    <w:t>/a</w:t>
                  </w:r>
                </w:p>
              </w:tc>
              <w:tc>
                <w:tcPr>
                  <w:tcW w:w="1134" w:type="dxa"/>
                  <w:noWrap w:val="0"/>
                  <w:vAlign w:val="center"/>
                </w:tcPr>
                <w:p w14:paraId="30FB0025">
                  <w:pPr>
                    <w:adjustRightInd w:val="0"/>
                    <w:snapToGrid w:val="0"/>
                    <w:spacing w:line="240" w:lineRule="auto"/>
                    <w:jc w:val="center"/>
                    <w:rPr>
                      <w:rFonts w:hint="default" w:ascii="Times New Roman" w:hAnsi="Times New Roman" w:eastAsia="宋体" w:cs="Times New Roman"/>
                      <w:color w:val="auto"/>
                      <w:kern w:val="2"/>
                      <w:sz w:val="21"/>
                      <w:szCs w:val="21"/>
                      <w:u w:val="none"/>
                      <w:lang w:val="en-US" w:eastAsia="zh-CN" w:bidi="ar-SA"/>
                    </w:rPr>
                  </w:pPr>
                  <w:r>
                    <w:rPr>
                      <w:rFonts w:hint="default" w:ascii="Times New Roman" w:hAnsi="Times New Roman" w:eastAsia="宋体" w:cs="Times New Roman"/>
                      <w:color w:val="auto"/>
                      <w:sz w:val="21"/>
                      <w:szCs w:val="21"/>
                      <w:u w:val="none"/>
                    </w:rPr>
                    <w:t>/</w:t>
                  </w:r>
                </w:p>
              </w:tc>
              <w:tc>
                <w:tcPr>
                  <w:tcW w:w="2492" w:type="dxa"/>
                  <w:gridSpan w:val="3"/>
                  <w:noWrap w:val="0"/>
                  <w:vAlign w:val="center"/>
                </w:tcPr>
                <w:p w14:paraId="0DC65FA4">
                  <w:pPr>
                    <w:adjustRightInd w:val="0"/>
                    <w:snapToGrid w:val="0"/>
                    <w:spacing w:line="240" w:lineRule="auto"/>
                    <w:jc w:val="center"/>
                    <w:rPr>
                      <w:rFonts w:hint="default" w:ascii="Times New Roman" w:hAnsi="Times New Roman" w:eastAsia="宋体" w:cs="Times New Roman"/>
                      <w:color w:val="auto"/>
                      <w:kern w:val="2"/>
                      <w:sz w:val="21"/>
                      <w:szCs w:val="21"/>
                      <w:u w:val="none"/>
                      <w:lang w:val="en-US" w:eastAsia="zh-CN" w:bidi="ar-SA"/>
                    </w:rPr>
                  </w:pPr>
                  <w:r>
                    <w:rPr>
                      <w:rFonts w:hint="default" w:ascii="Times New Roman" w:hAnsi="Times New Roman" w:eastAsia="宋体" w:cs="Times New Roman"/>
                      <w:color w:val="auto"/>
                      <w:sz w:val="21"/>
                      <w:szCs w:val="21"/>
                      <w:u w:val="none"/>
                    </w:rPr>
                    <w:t>市政自来水管网</w:t>
                  </w:r>
                </w:p>
              </w:tc>
            </w:tr>
          </w:tbl>
          <w:p w14:paraId="451CDCA7">
            <w:pPr>
              <w:keepNext w:val="0"/>
              <w:keepLines w:val="0"/>
              <w:pageBreakBefore w:val="0"/>
              <w:widowControl w:val="0"/>
              <w:numPr>
                <w:ilvl w:val="0"/>
                <w:numId w:val="30"/>
              </w:numPr>
              <w:kinsoku/>
              <w:wordWrap/>
              <w:overflowPunct/>
              <w:topLinePunct w:val="0"/>
              <w:autoSpaceDE/>
              <w:autoSpaceDN/>
              <w:bidi w:val="0"/>
              <w:adjustRightInd/>
              <w:snapToGrid/>
              <w:spacing w:line="360" w:lineRule="auto"/>
              <w:ind w:left="0" w:leftChars="0" w:firstLine="482" w:firstLineChars="200"/>
              <w:jc w:val="both"/>
              <w:textAlignment w:val="auto"/>
              <w:rPr>
                <w:rFonts w:hint="eastAsia" w:cs="Times New Roman"/>
                <w:b/>
                <w:bCs/>
                <w:color w:val="auto"/>
                <w:sz w:val="24"/>
                <w:szCs w:val="24"/>
                <w:lang w:val="en-US" w:eastAsia="zh-CN"/>
              </w:rPr>
            </w:pPr>
            <w:r>
              <w:rPr>
                <w:rFonts w:hint="eastAsia" w:cs="Times New Roman"/>
                <w:b/>
                <w:bCs/>
                <w:color w:val="auto"/>
                <w:sz w:val="24"/>
                <w:szCs w:val="24"/>
                <w:lang w:val="en-US" w:eastAsia="zh-CN"/>
              </w:rPr>
              <w:t>生产设备清单</w:t>
            </w:r>
          </w:p>
          <w:p w14:paraId="784D97CA">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r>
              <w:rPr>
                <w:rFonts w:hint="eastAsia" w:cs="Times New Roman"/>
                <w:color w:val="auto"/>
                <w:sz w:val="24"/>
                <w:szCs w:val="24"/>
                <w:lang w:val="en-US" w:eastAsia="zh-CN"/>
              </w:rPr>
              <w:t>本项目主要生产设备清单如下表：</w:t>
            </w:r>
          </w:p>
          <w:p w14:paraId="7A731B04">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default" w:ascii="Times New Roman" w:hAnsi="Times New Roman" w:eastAsia="宋体" w:cs="Times New Roman"/>
                <w:b/>
                <w:bCs/>
                <w:color w:val="auto"/>
                <w:sz w:val="21"/>
                <w:szCs w:val="21"/>
                <w:lang w:val="en-US" w:eastAsia="zh-CN"/>
              </w:rPr>
            </w:pPr>
            <w:r>
              <w:rPr>
                <w:rFonts w:hint="default" w:ascii="Times New Roman" w:hAnsi="Times New Roman" w:eastAsia="宋体" w:cs="Times New Roman"/>
                <w:b/>
                <w:bCs/>
                <w:color w:val="auto"/>
                <w:sz w:val="21"/>
                <w:szCs w:val="21"/>
                <w:lang w:val="en-US" w:eastAsia="zh-CN"/>
              </w:rPr>
              <w:t>表2-</w:t>
            </w:r>
            <w:r>
              <w:rPr>
                <w:rFonts w:hint="eastAsia" w:cs="Times New Roman"/>
                <w:b/>
                <w:bCs/>
                <w:color w:val="auto"/>
                <w:sz w:val="21"/>
                <w:szCs w:val="21"/>
                <w:lang w:val="en-US" w:eastAsia="zh-CN"/>
              </w:rPr>
              <w:t>8</w:t>
            </w:r>
            <w:r>
              <w:rPr>
                <w:rFonts w:hint="eastAsia" w:ascii="Times New Roman" w:hAnsi="Times New Roman" w:eastAsia="宋体" w:cs="Times New Roman"/>
                <w:b/>
                <w:bCs/>
                <w:color w:val="auto"/>
                <w:sz w:val="21"/>
                <w:szCs w:val="21"/>
                <w:lang w:val="en-US" w:eastAsia="zh-CN"/>
              </w:rPr>
              <w:t xml:space="preserve"> </w:t>
            </w:r>
            <w:r>
              <w:rPr>
                <w:rFonts w:hint="default" w:ascii="Times New Roman" w:hAnsi="Times New Roman" w:eastAsia="宋体" w:cs="Times New Roman"/>
                <w:b/>
                <w:bCs/>
                <w:color w:val="auto"/>
                <w:sz w:val="21"/>
                <w:szCs w:val="21"/>
                <w:lang w:val="en-US" w:eastAsia="zh-CN"/>
              </w:rPr>
              <w:t>项目主要生产设备表</w:t>
            </w:r>
          </w:p>
          <w:tbl>
            <w:tblPr>
              <w:tblStyle w:val="27"/>
              <w:tblW w:w="499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73"/>
              <w:gridCol w:w="1772"/>
              <w:gridCol w:w="2822"/>
              <w:gridCol w:w="947"/>
              <w:gridCol w:w="1535"/>
              <w:gridCol w:w="666"/>
            </w:tblGrid>
            <w:tr w14:paraId="43E76B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73" w:type="dxa"/>
                  <w:shd w:val="clear" w:color="auto" w:fill="FFFFFF"/>
                  <w:noWrap w:val="0"/>
                  <w:vAlign w:val="center"/>
                </w:tcPr>
                <w:p w14:paraId="56054D84">
                  <w:pPr>
                    <w:widowControl/>
                    <w:adjustRightInd w:val="0"/>
                    <w:snapToGrid w:val="0"/>
                    <w:spacing w:line="240" w:lineRule="auto"/>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color w:val="000000"/>
                      <w:kern w:val="0"/>
                      <w:sz w:val="21"/>
                      <w:szCs w:val="21"/>
                    </w:rPr>
                    <w:t>序号</w:t>
                  </w:r>
                </w:p>
              </w:tc>
              <w:tc>
                <w:tcPr>
                  <w:tcW w:w="1772" w:type="dxa"/>
                  <w:shd w:val="clear" w:color="auto" w:fill="FFFFFF"/>
                  <w:noWrap w:val="0"/>
                  <w:vAlign w:val="center"/>
                </w:tcPr>
                <w:p w14:paraId="7045841F">
                  <w:pPr>
                    <w:widowControl/>
                    <w:adjustRightInd w:val="0"/>
                    <w:snapToGrid w:val="0"/>
                    <w:spacing w:line="240" w:lineRule="auto"/>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color w:val="000000"/>
                      <w:kern w:val="0"/>
                      <w:sz w:val="21"/>
                      <w:szCs w:val="21"/>
                    </w:rPr>
                    <w:t>设备名称</w:t>
                  </w:r>
                </w:p>
              </w:tc>
              <w:tc>
                <w:tcPr>
                  <w:tcW w:w="2822" w:type="dxa"/>
                  <w:shd w:val="clear" w:color="auto" w:fill="FFFFFF"/>
                  <w:noWrap w:val="0"/>
                  <w:vAlign w:val="center"/>
                </w:tcPr>
                <w:p w14:paraId="5B891A6E">
                  <w:pPr>
                    <w:widowControl/>
                    <w:adjustRightInd w:val="0"/>
                    <w:snapToGrid w:val="0"/>
                    <w:spacing w:line="240" w:lineRule="auto"/>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color w:val="000000"/>
                      <w:kern w:val="0"/>
                      <w:sz w:val="21"/>
                      <w:szCs w:val="21"/>
                    </w:rPr>
                    <w:t>型号</w:t>
                  </w:r>
                </w:p>
              </w:tc>
              <w:tc>
                <w:tcPr>
                  <w:tcW w:w="947" w:type="dxa"/>
                  <w:shd w:val="clear" w:color="auto" w:fill="FFFFFF"/>
                  <w:noWrap w:val="0"/>
                  <w:vAlign w:val="center"/>
                </w:tcPr>
                <w:p w14:paraId="37ADF35A">
                  <w:pPr>
                    <w:widowControl/>
                    <w:adjustRightInd w:val="0"/>
                    <w:snapToGrid w:val="0"/>
                    <w:spacing w:line="240" w:lineRule="auto"/>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color w:val="000000"/>
                      <w:kern w:val="0"/>
                      <w:sz w:val="21"/>
                      <w:szCs w:val="21"/>
                    </w:rPr>
                    <w:t>数量</w:t>
                  </w:r>
                </w:p>
              </w:tc>
              <w:tc>
                <w:tcPr>
                  <w:tcW w:w="1535" w:type="dxa"/>
                  <w:shd w:val="clear" w:color="auto" w:fill="FFFFFF"/>
                  <w:noWrap w:val="0"/>
                  <w:vAlign w:val="center"/>
                </w:tcPr>
                <w:p w14:paraId="31812B6B">
                  <w:pPr>
                    <w:widowControl/>
                    <w:adjustRightInd w:val="0"/>
                    <w:snapToGrid w:val="0"/>
                    <w:spacing w:line="240" w:lineRule="auto"/>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color w:val="000000"/>
                      <w:kern w:val="0"/>
                      <w:sz w:val="21"/>
                      <w:szCs w:val="21"/>
                    </w:rPr>
                    <w:t>使用工序</w:t>
                  </w:r>
                </w:p>
              </w:tc>
              <w:tc>
                <w:tcPr>
                  <w:tcW w:w="666" w:type="dxa"/>
                  <w:shd w:val="clear" w:color="auto" w:fill="FFFFFF"/>
                  <w:noWrap w:val="0"/>
                  <w:vAlign w:val="center"/>
                </w:tcPr>
                <w:p w14:paraId="2A2DD1FA">
                  <w:pPr>
                    <w:widowControl/>
                    <w:adjustRightInd w:val="0"/>
                    <w:snapToGrid w:val="0"/>
                    <w:spacing w:line="240" w:lineRule="auto"/>
                    <w:jc w:val="center"/>
                    <w:rPr>
                      <w:rFonts w:hint="eastAsia" w:ascii="Times New Roman" w:hAnsi="Times New Roman" w:eastAsia="宋体" w:cs="Times New Roman"/>
                      <w:b/>
                      <w:bCs/>
                      <w:color w:val="auto"/>
                      <w:sz w:val="21"/>
                      <w:szCs w:val="21"/>
                      <w:lang w:val="en-US" w:eastAsia="zh-CN"/>
                    </w:rPr>
                  </w:pPr>
                  <w:r>
                    <w:rPr>
                      <w:rFonts w:hint="eastAsia" w:cs="Times New Roman"/>
                      <w:b/>
                      <w:bCs/>
                      <w:color w:val="auto"/>
                      <w:sz w:val="21"/>
                      <w:szCs w:val="21"/>
                      <w:lang w:val="en-US" w:eastAsia="zh-CN"/>
                    </w:rPr>
                    <w:t>备注</w:t>
                  </w:r>
                </w:p>
              </w:tc>
            </w:tr>
            <w:tr w14:paraId="2974DE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73" w:type="dxa"/>
                  <w:noWrap w:val="0"/>
                  <w:vAlign w:val="center"/>
                </w:tcPr>
                <w:p w14:paraId="5006FF5B">
                  <w:pPr>
                    <w:widowControl/>
                    <w:adjustRightInd w:val="0"/>
                    <w:snapToGrid w:val="0"/>
                    <w:spacing w:line="240" w:lineRule="auto"/>
                    <w:jc w:val="center"/>
                    <w:rPr>
                      <w:rFonts w:hint="default"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1</w:t>
                  </w:r>
                </w:p>
              </w:tc>
              <w:tc>
                <w:tcPr>
                  <w:tcW w:w="1772" w:type="dxa"/>
                  <w:noWrap w:val="0"/>
                  <w:vAlign w:val="center"/>
                </w:tcPr>
                <w:p w14:paraId="3C780F40">
                  <w:pPr>
                    <w:widowControl/>
                    <w:adjustRightInd w:val="0"/>
                    <w:snapToGrid w:val="0"/>
                    <w:spacing w:line="240" w:lineRule="auto"/>
                    <w:jc w:val="center"/>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000000"/>
                      <w:kern w:val="0"/>
                      <w:sz w:val="21"/>
                      <w:szCs w:val="21"/>
                      <w:lang w:val="en-US" w:eastAsia="zh-CN"/>
                    </w:rPr>
                    <w:t>储油罐</w:t>
                  </w:r>
                </w:p>
              </w:tc>
              <w:tc>
                <w:tcPr>
                  <w:tcW w:w="2822" w:type="dxa"/>
                  <w:noWrap w:val="0"/>
                  <w:vAlign w:val="center"/>
                </w:tcPr>
                <w:p w14:paraId="62743D0B">
                  <w:pPr>
                    <w:widowControl/>
                    <w:adjustRightInd w:val="0"/>
                    <w:snapToGrid w:val="0"/>
                    <w:spacing w:line="240" w:lineRule="auto"/>
                    <w:jc w:val="center"/>
                    <w:rPr>
                      <w:rFonts w:hint="default"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卧式；长7.0</w:t>
                  </w:r>
                  <w:r>
                    <w:rPr>
                      <w:rFonts w:hint="default" w:ascii="Times New Roman" w:hAnsi="Times New Roman" w:eastAsia="宋体" w:cs="Times New Roman"/>
                      <w:color w:val="auto"/>
                      <w:sz w:val="21"/>
                      <w:szCs w:val="21"/>
                      <w:lang w:val="en-US" w:eastAsia="zh-CN"/>
                    </w:rPr>
                    <w:t>*直径</w:t>
                  </w:r>
                  <w:r>
                    <w:rPr>
                      <w:rFonts w:hint="eastAsia" w:cs="Times New Roman"/>
                      <w:color w:val="auto"/>
                      <w:sz w:val="21"/>
                      <w:szCs w:val="21"/>
                      <w:lang w:val="en-US" w:eastAsia="zh-CN"/>
                    </w:rPr>
                    <w:t>3.0</w:t>
                  </w:r>
                  <w:r>
                    <w:rPr>
                      <w:rFonts w:hint="default" w:ascii="Times New Roman" w:hAnsi="Times New Roman" w:eastAsia="宋体" w:cs="Times New Roman"/>
                      <w:color w:val="auto"/>
                      <w:sz w:val="21"/>
                      <w:szCs w:val="21"/>
                      <w:lang w:val="en-US" w:eastAsia="zh-CN"/>
                    </w:rPr>
                    <w:t>m</w:t>
                  </w:r>
                </w:p>
              </w:tc>
              <w:tc>
                <w:tcPr>
                  <w:tcW w:w="947" w:type="dxa"/>
                  <w:noWrap w:val="0"/>
                  <w:vAlign w:val="center"/>
                </w:tcPr>
                <w:p w14:paraId="03ED8422">
                  <w:pPr>
                    <w:widowControl/>
                    <w:adjustRightInd w:val="0"/>
                    <w:snapToGrid w:val="0"/>
                    <w:spacing w:line="240" w:lineRule="auto"/>
                    <w:jc w:val="center"/>
                    <w:rPr>
                      <w:rFonts w:hint="default"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2个</w:t>
                  </w:r>
                </w:p>
              </w:tc>
              <w:tc>
                <w:tcPr>
                  <w:tcW w:w="1535" w:type="dxa"/>
                  <w:noWrap w:val="0"/>
                  <w:vAlign w:val="center"/>
                </w:tcPr>
                <w:p w14:paraId="6D17E85F">
                  <w:pPr>
                    <w:widowControl/>
                    <w:adjustRightInd w:val="0"/>
                    <w:snapToGrid w:val="0"/>
                    <w:spacing w:line="240" w:lineRule="auto"/>
                    <w:jc w:val="center"/>
                    <w:rPr>
                      <w:rFonts w:hint="default"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存储</w:t>
                  </w:r>
                  <w:r>
                    <w:rPr>
                      <w:rFonts w:hint="default" w:ascii="Times New Roman" w:hAnsi="Times New Roman" w:eastAsia="宋体" w:cs="Times New Roman"/>
                      <w:color w:val="auto"/>
                      <w:sz w:val="21"/>
                      <w:szCs w:val="21"/>
                      <w:lang w:val="en-US" w:eastAsia="zh-CN"/>
                    </w:rPr>
                    <w:t>废矿物油</w:t>
                  </w:r>
                </w:p>
              </w:tc>
              <w:tc>
                <w:tcPr>
                  <w:tcW w:w="666" w:type="dxa"/>
                  <w:noWrap w:val="0"/>
                  <w:vAlign w:val="center"/>
                </w:tcPr>
                <w:p w14:paraId="135B26DD">
                  <w:pPr>
                    <w:widowControl/>
                    <w:adjustRightInd w:val="0"/>
                    <w:snapToGrid w:val="0"/>
                    <w:spacing w:line="240" w:lineRule="auto"/>
                    <w:jc w:val="center"/>
                    <w:rPr>
                      <w:rFonts w:hint="default"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w:t>
                  </w:r>
                </w:p>
              </w:tc>
            </w:tr>
            <w:tr w14:paraId="76071A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9" w:hRule="atLeast"/>
                <w:jc w:val="center"/>
              </w:trPr>
              <w:tc>
                <w:tcPr>
                  <w:tcW w:w="673" w:type="dxa"/>
                  <w:noWrap w:val="0"/>
                  <w:vAlign w:val="center"/>
                </w:tcPr>
                <w:p w14:paraId="01F8EA7D">
                  <w:pPr>
                    <w:widowControl/>
                    <w:adjustRightInd w:val="0"/>
                    <w:snapToGrid w:val="0"/>
                    <w:spacing w:line="240" w:lineRule="auto"/>
                    <w:jc w:val="center"/>
                    <w:rPr>
                      <w:rFonts w:hint="default" w:ascii="Times New Roman" w:hAnsi="Times New Roman" w:eastAsia="宋体" w:cs="Times New Roman"/>
                      <w:color w:val="000000"/>
                      <w:kern w:val="0"/>
                      <w:sz w:val="21"/>
                      <w:szCs w:val="21"/>
                      <w:lang w:val="en-US" w:eastAsia="zh-CN"/>
                    </w:rPr>
                  </w:pPr>
                  <w:r>
                    <w:rPr>
                      <w:rFonts w:hint="eastAsia" w:cs="Times New Roman"/>
                      <w:color w:val="000000"/>
                      <w:kern w:val="0"/>
                      <w:sz w:val="21"/>
                      <w:szCs w:val="21"/>
                      <w:lang w:val="en-US" w:eastAsia="zh-CN"/>
                    </w:rPr>
                    <w:t>2</w:t>
                  </w:r>
                </w:p>
              </w:tc>
              <w:tc>
                <w:tcPr>
                  <w:tcW w:w="1772" w:type="dxa"/>
                  <w:noWrap w:val="0"/>
                  <w:vAlign w:val="center"/>
                </w:tcPr>
                <w:p w14:paraId="02E2BB13">
                  <w:pPr>
                    <w:widowControl/>
                    <w:adjustRightInd w:val="0"/>
                    <w:snapToGrid w:val="0"/>
                    <w:spacing w:line="240" w:lineRule="auto"/>
                    <w:jc w:val="center"/>
                    <w:rPr>
                      <w:rFonts w:hint="eastAsia" w:ascii="Times New Roman" w:hAnsi="Times New Roman" w:eastAsia="宋体" w:cs="Times New Roman"/>
                      <w:color w:val="000000"/>
                      <w:kern w:val="0"/>
                      <w:sz w:val="21"/>
                      <w:szCs w:val="21"/>
                      <w:lang w:val="en-US" w:eastAsia="zh-CN"/>
                    </w:rPr>
                  </w:pPr>
                  <w:r>
                    <w:rPr>
                      <w:rFonts w:hint="eastAsia"/>
                    </w:rPr>
                    <w:t>圆弧齿轮油泵</w:t>
                  </w:r>
                </w:p>
              </w:tc>
              <w:tc>
                <w:tcPr>
                  <w:tcW w:w="2822" w:type="dxa"/>
                  <w:noWrap w:val="0"/>
                  <w:vAlign w:val="center"/>
                </w:tcPr>
                <w:p w14:paraId="3798B263">
                  <w:pPr>
                    <w:widowControl/>
                    <w:adjustRightInd w:val="0"/>
                    <w:snapToGrid w:val="0"/>
                    <w:spacing w:line="240" w:lineRule="auto"/>
                    <w:jc w:val="center"/>
                    <w:rPr>
                      <w:rFonts w:hint="eastAsia" w:ascii="Times New Roman" w:hAnsi="Times New Roman" w:eastAsia="宋体" w:cs="Times New Roman"/>
                      <w:color w:val="000000"/>
                      <w:kern w:val="0"/>
                      <w:sz w:val="21"/>
                      <w:szCs w:val="21"/>
                      <w:lang w:val="en-US" w:eastAsia="zh-CN"/>
                    </w:rPr>
                  </w:pPr>
                  <w:r>
                    <w:rPr>
                      <w:rFonts w:hint="eastAsia" w:cs="Times New Roman"/>
                      <w:color w:val="000000"/>
                      <w:kern w:val="0"/>
                      <w:sz w:val="21"/>
                      <w:szCs w:val="21"/>
                      <w:lang w:val="en-US" w:eastAsia="zh-CN"/>
                    </w:rPr>
                    <w:t>80YHCB-20流量20m</w:t>
                  </w:r>
                  <w:r>
                    <w:rPr>
                      <w:rFonts w:hint="eastAsia" w:cs="Times New Roman"/>
                      <w:color w:val="000000"/>
                      <w:kern w:val="0"/>
                      <w:sz w:val="21"/>
                      <w:szCs w:val="21"/>
                      <w:vertAlign w:val="superscript"/>
                      <w:lang w:val="en-US" w:eastAsia="zh-CN"/>
                    </w:rPr>
                    <w:t>3</w:t>
                  </w:r>
                  <w:r>
                    <w:rPr>
                      <w:rFonts w:hint="eastAsia" w:cs="Times New Roman"/>
                      <w:color w:val="000000"/>
                      <w:kern w:val="0"/>
                      <w:sz w:val="21"/>
                      <w:szCs w:val="21"/>
                      <w:lang w:val="en-US" w:eastAsia="zh-CN"/>
                    </w:rPr>
                    <w:t>/h</w:t>
                  </w:r>
                </w:p>
              </w:tc>
              <w:tc>
                <w:tcPr>
                  <w:tcW w:w="947" w:type="dxa"/>
                  <w:noWrap w:val="0"/>
                  <w:vAlign w:val="center"/>
                </w:tcPr>
                <w:p w14:paraId="552123AC">
                  <w:pPr>
                    <w:widowControl/>
                    <w:adjustRightInd w:val="0"/>
                    <w:snapToGrid w:val="0"/>
                    <w:spacing w:line="240" w:lineRule="auto"/>
                    <w:jc w:val="center"/>
                    <w:rPr>
                      <w:rFonts w:hint="default" w:ascii="Times New Roman" w:hAnsi="Times New Roman" w:eastAsia="宋体" w:cs="Times New Roman"/>
                      <w:color w:val="000000"/>
                      <w:kern w:val="0"/>
                      <w:sz w:val="21"/>
                      <w:szCs w:val="21"/>
                      <w:lang w:val="en-US" w:eastAsia="zh-CN"/>
                    </w:rPr>
                  </w:pPr>
                  <w:r>
                    <w:rPr>
                      <w:rFonts w:hint="eastAsia" w:cs="Times New Roman"/>
                      <w:color w:val="auto"/>
                      <w:sz w:val="21"/>
                      <w:szCs w:val="21"/>
                      <w:lang w:val="en-US" w:eastAsia="zh-CN"/>
                    </w:rPr>
                    <w:t>2</w:t>
                  </w:r>
                  <w:r>
                    <w:rPr>
                      <w:rFonts w:hint="default" w:ascii="Times New Roman" w:hAnsi="Times New Roman" w:eastAsia="宋体" w:cs="Times New Roman"/>
                      <w:color w:val="auto"/>
                      <w:sz w:val="21"/>
                      <w:szCs w:val="21"/>
                      <w:lang w:val="en-US" w:eastAsia="zh-CN"/>
                    </w:rPr>
                    <w:t>台</w:t>
                  </w:r>
                </w:p>
              </w:tc>
              <w:tc>
                <w:tcPr>
                  <w:tcW w:w="1535" w:type="dxa"/>
                  <w:noWrap w:val="0"/>
                  <w:vAlign w:val="center"/>
                </w:tcPr>
                <w:p w14:paraId="36A44305">
                  <w:pPr>
                    <w:widowControl/>
                    <w:adjustRightInd w:val="0"/>
                    <w:snapToGrid w:val="0"/>
                    <w:spacing w:line="240" w:lineRule="auto"/>
                    <w:jc w:val="center"/>
                    <w:rPr>
                      <w:rFonts w:hint="default" w:ascii="Times New Roman" w:hAnsi="Times New Roman" w:eastAsia="宋体" w:cs="Times New Roman"/>
                      <w:color w:val="000000"/>
                      <w:kern w:val="0"/>
                      <w:sz w:val="21"/>
                      <w:szCs w:val="21"/>
                    </w:rPr>
                  </w:pPr>
                  <w:r>
                    <w:rPr>
                      <w:rFonts w:hint="eastAsia"/>
                    </w:rPr>
                    <w:t>导入和输出矿物油</w:t>
                  </w:r>
                </w:p>
              </w:tc>
              <w:tc>
                <w:tcPr>
                  <w:tcW w:w="666" w:type="dxa"/>
                  <w:noWrap w:val="0"/>
                  <w:vAlign w:val="center"/>
                </w:tcPr>
                <w:p w14:paraId="0475BA21">
                  <w:pPr>
                    <w:widowControl/>
                    <w:adjustRightInd w:val="0"/>
                    <w:snapToGrid w:val="0"/>
                    <w:spacing w:line="240" w:lineRule="auto"/>
                    <w:jc w:val="center"/>
                    <w:rPr>
                      <w:rFonts w:hint="default" w:ascii="Times New Roman" w:hAnsi="Times New Roman" w:eastAsia="宋体" w:cs="Times New Roman"/>
                      <w:color w:val="000000"/>
                      <w:kern w:val="0"/>
                      <w:sz w:val="21"/>
                      <w:szCs w:val="21"/>
                    </w:rPr>
                  </w:pPr>
                  <w:r>
                    <w:rPr>
                      <w:rFonts w:hint="eastAsia" w:cs="Times New Roman"/>
                      <w:color w:val="auto"/>
                      <w:sz w:val="21"/>
                      <w:szCs w:val="21"/>
                      <w:lang w:val="en-US" w:eastAsia="zh-CN"/>
                    </w:rPr>
                    <w:t>/</w:t>
                  </w:r>
                </w:p>
              </w:tc>
            </w:tr>
            <w:tr w14:paraId="124D39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9" w:hRule="atLeast"/>
                <w:jc w:val="center"/>
              </w:trPr>
              <w:tc>
                <w:tcPr>
                  <w:tcW w:w="673" w:type="dxa"/>
                  <w:noWrap w:val="0"/>
                  <w:vAlign w:val="center"/>
                </w:tcPr>
                <w:p w14:paraId="39B8EF8B">
                  <w:pPr>
                    <w:widowControl/>
                    <w:adjustRightInd w:val="0"/>
                    <w:snapToGrid w:val="0"/>
                    <w:spacing w:line="240" w:lineRule="auto"/>
                    <w:jc w:val="center"/>
                    <w:rPr>
                      <w:rFonts w:hint="default" w:cs="Times New Roman"/>
                      <w:color w:val="000000"/>
                      <w:kern w:val="0"/>
                      <w:sz w:val="21"/>
                      <w:szCs w:val="21"/>
                      <w:lang w:val="en-US" w:eastAsia="zh-CN"/>
                    </w:rPr>
                  </w:pPr>
                  <w:r>
                    <w:rPr>
                      <w:rFonts w:hint="eastAsia" w:cs="Times New Roman"/>
                      <w:color w:val="000000"/>
                      <w:kern w:val="0"/>
                      <w:sz w:val="21"/>
                      <w:szCs w:val="21"/>
                      <w:lang w:val="en-US" w:eastAsia="zh-CN"/>
                    </w:rPr>
                    <w:t>3</w:t>
                  </w:r>
                </w:p>
              </w:tc>
              <w:tc>
                <w:tcPr>
                  <w:tcW w:w="1772" w:type="dxa"/>
                  <w:noWrap w:val="0"/>
                  <w:vAlign w:val="center"/>
                </w:tcPr>
                <w:p w14:paraId="3DEF3A32">
                  <w:pPr>
                    <w:widowControl/>
                    <w:adjustRightInd w:val="0"/>
                    <w:snapToGrid w:val="0"/>
                    <w:spacing w:line="240" w:lineRule="auto"/>
                    <w:jc w:val="center"/>
                    <w:rPr>
                      <w:rFonts w:hint="eastAsia" w:eastAsia="宋体"/>
                      <w:lang w:eastAsia="zh-CN"/>
                    </w:rPr>
                  </w:pPr>
                  <w:r>
                    <w:rPr>
                      <w:rFonts w:hint="eastAsia"/>
                      <w:lang w:val="en-US" w:eastAsia="zh-CN"/>
                    </w:rPr>
                    <w:t>收集桶</w:t>
                  </w:r>
                </w:p>
              </w:tc>
              <w:tc>
                <w:tcPr>
                  <w:tcW w:w="2822" w:type="dxa"/>
                  <w:noWrap w:val="0"/>
                  <w:vAlign w:val="center"/>
                </w:tcPr>
                <w:p w14:paraId="4A2041BE">
                  <w:pPr>
                    <w:widowControl/>
                    <w:adjustRightInd w:val="0"/>
                    <w:snapToGrid w:val="0"/>
                    <w:spacing w:line="240" w:lineRule="auto"/>
                    <w:jc w:val="center"/>
                    <w:rPr>
                      <w:rFonts w:hint="eastAsia" w:cs="Times New Roman"/>
                      <w:color w:val="000000"/>
                      <w:kern w:val="0"/>
                      <w:sz w:val="21"/>
                      <w:szCs w:val="21"/>
                      <w:lang w:val="en-US" w:eastAsia="zh-CN"/>
                    </w:rPr>
                  </w:pPr>
                  <w:r>
                    <w:rPr>
                      <w:rFonts w:hint="eastAsia" w:cs="Times New Roman"/>
                      <w:color w:val="000000"/>
                      <w:kern w:val="0"/>
                      <w:sz w:val="21"/>
                      <w:szCs w:val="21"/>
                      <w:lang w:val="en-US" w:eastAsia="zh-CN"/>
                    </w:rPr>
                    <w:t>200L，铁质</w:t>
                  </w:r>
                </w:p>
              </w:tc>
              <w:tc>
                <w:tcPr>
                  <w:tcW w:w="947" w:type="dxa"/>
                  <w:noWrap w:val="0"/>
                  <w:vAlign w:val="center"/>
                </w:tcPr>
                <w:p w14:paraId="4EAB4478">
                  <w:pPr>
                    <w:widowControl/>
                    <w:adjustRightInd w:val="0"/>
                    <w:snapToGrid w:val="0"/>
                    <w:spacing w:line="240" w:lineRule="auto"/>
                    <w:jc w:val="center"/>
                    <w:rPr>
                      <w:rFonts w:hint="eastAsia" w:cs="Times New Roman"/>
                      <w:b/>
                      <w:bCs/>
                      <w:color w:val="auto"/>
                      <w:sz w:val="21"/>
                      <w:szCs w:val="21"/>
                      <w:lang w:val="en-US" w:eastAsia="zh-CN"/>
                    </w:rPr>
                  </w:pPr>
                  <w:r>
                    <w:rPr>
                      <w:rFonts w:hint="eastAsia" w:cs="Times New Roman"/>
                      <w:color w:val="auto"/>
                      <w:sz w:val="21"/>
                      <w:szCs w:val="21"/>
                      <w:lang w:val="en-US" w:eastAsia="zh-CN"/>
                    </w:rPr>
                    <w:t>6个</w:t>
                  </w:r>
                </w:p>
              </w:tc>
              <w:tc>
                <w:tcPr>
                  <w:tcW w:w="1535" w:type="dxa"/>
                  <w:noWrap w:val="0"/>
                  <w:vAlign w:val="center"/>
                </w:tcPr>
                <w:p w14:paraId="22864715">
                  <w:pPr>
                    <w:widowControl/>
                    <w:adjustRightInd w:val="0"/>
                    <w:snapToGrid w:val="0"/>
                    <w:spacing w:line="240" w:lineRule="auto"/>
                    <w:jc w:val="center"/>
                    <w:rPr>
                      <w:rFonts w:hint="eastAsia" w:eastAsia="宋体"/>
                      <w:lang w:val="en-US" w:eastAsia="zh-CN"/>
                    </w:rPr>
                  </w:pPr>
                  <w:r>
                    <w:rPr>
                      <w:rFonts w:hint="eastAsia"/>
                      <w:lang w:val="en-US" w:eastAsia="zh-CN"/>
                    </w:rPr>
                    <w:t>废</w:t>
                  </w:r>
                  <w:r>
                    <w:rPr>
                      <w:rFonts w:hint="eastAsia"/>
                    </w:rPr>
                    <w:t>矿物油</w:t>
                  </w:r>
                  <w:r>
                    <w:rPr>
                      <w:rFonts w:hint="eastAsia"/>
                      <w:lang w:val="en-US" w:eastAsia="zh-CN"/>
                    </w:rPr>
                    <w:t>收集</w:t>
                  </w:r>
                </w:p>
              </w:tc>
              <w:tc>
                <w:tcPr>
                  <w:tcW w:w="666" w:type="dxa"/>
                  <w:noWrap w:val="0"/>
                  <w:vAlign w:val="center"/>
                </w:tcPr>
                <w:p w14:paraId="695214C7">
                  <w:pPr>
                    <w:widowControl/>
                    <w:adjustRightInd w:val="0"/>
                    <w:snapToGrid w:val="0"/>
                    <w:spacing w:line="240" w:lineRule="auto"/>
                    <w:jc w:val="center"/>
                    <w:rPr>
                      <w:rFonts w:hint="default" w:cs="Times New Roman"/>
                      <w:color w:val="auto"/>
                      <w:sz w:val="21"/>
                      <w:szCs w:val="21"/>
                      <w:lang w:val="en-US" w:eastAsia="zh-CN"/>
                    </w:rPr>
                  </w:pPr>
                  <w:r>
                    <w:rPr>
                      <w:rFonts w:hint="eastAsia" w:cs="Times New Roman"/>
                      <w:color w:val="auto"/>
                      <w:sz w:val="21"/>
                      <w:szCs w:val="21"/>
                      <w:lang w:val="en-US" w:eastAsia="zh-CN"/>
                    </w:rPr>
                    <w:t>1备</w:t>
                  </w:r>
                </w:p>
              </w:tc>
            </w:tr>
            <w:tr w14:paraId="2D6960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9" w:hRule="atLeast"/>
                <w:jc w:val="center"/>
              </w:trPr>
              <w:tc>
                <w:tcPr>
                  <w:tcW w:w="673" w:type="dxa"/>
                  <w:noWrap w:val="0"/>
                  <w:vAlign w:val="center"/>
                </w:tcPr>
                <w:p w14:paraId="040B4DD4">
                  <w:pPr>
                    <w:widowControl/>
                    <w:adjustRightInd w:val="0"/>
                    <w:snapToGrid w:val="0"/>
                    <w:spacing w:line="240" w:lineRule="auto"/>
                    <w:jc w:val="center"/>
                    <w:rPr>
                      <w:rFonts w:hint="default"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4</w:t>
                  </w:r>
                </w:p>
              </w:tc>
              <w:tc>
                <w:tcPr>
                  <w:tcW w:w="1772" w:type="dxa"/>
                  <w:noWrap w:val="0"/>
                  <w:vAlign w:val="center"/>
                </w:tcPr>
                <w:p w14:paraId="174344D5">
                  <w:pPr>
                    <w:widowControl/>
                    <w:adjustRightInd w:val="0"/>
                    <w:snapToGrid w:val="0"/>
                    <w:spacing w:line="240" w:lineRule="auto"/>
                    <w:jc w:val="center"/>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量筒</w:t>
                  </w:r>
                </w:p>
              </w:tc>
              <w:tc>
                <w:tcPr>
                  <w:tcW w:w="2822" w:type="dxa"/>
                  <w:noWrap w:val="0"/>
                  <w:vAlign w:val="center"/>
                </w:tcPr>
                <w:p w14:paraId="16B1DD46">
                  <w:pPr>
                    <w:widowControl/>
                    <w:adjustRightInd w:val="0"/>
                    <w:snapToGrid w:val="0"/>
                    <w:spacing w:line="240" w:lineRule="auto"/>
                    <w:jc w:val="center"/>
                    <w:rPr>
                      <w:rFonts w:hint="default"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500ml</w:t>
                  </w:r>
                </w:p>
              </w:tc>
              <w:tc>
                <w:tcPr>
                  <w:tcW w:w="947" w:type="dxa"/>
                  <w:noWrap w:val="0"/>
                  <w:vAlign w:val="center"/>
                </w:tcPr>
                <w:p w14:paraId="015E6F4E">
                  <w:pPr>
                    <w:widowControl/>
                    <w:adjustRightInd w:val="0"/>
                    <w:snapToGrid w:val="0"/>
                    <w:spacing w:line="240" w:lineRule="auto"/>
                    <w:jc w:val="center"/>
                    <w:rPr>
                      <w:rFonts w:hint="eastAsia"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2个</w:t>
                  </w:r>
                </w:p>
              </w:tc>
              <w:tc>
                <w:tcPr>
                  <w:tcW w:w="1535" w:type="dxa"/>
                  <w:noWrap w:val="0"/>
                  <w:vAlign w:val="center"/>
                </w:tcPr>
                <w:p w14:paraId="734C7AB3">
                  <w:pPr>
                    <w:widowControl/>
                    <w:adjustRightInd w:val="0"/>
                    <w:snapToGrid w:val="0"/>
                    <w:spacing w:line="240" w:lineRule="auto"/>
                    <w:jc w:val="center"/>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油品检验</w:t>
                  </w:r>
                </w:p>
              </w:tc>
              <w:tc>
                <w:tcPr>
                  <w:tcW w:w="666" w:type="dxa"/>
                  <w:noWrap w:val="0"/>
                  <w:vAlign w:val="center"/>
                </w:tcPr>
                <w:p w14:paraId="7F770F1D">
                  <w:pPr>
                    <w:widowControl/>
                    <w:adjustRightInd w:val="0"/>
                    <w:snapToGrid w:val="0"/>
                    <w:spacing w:line="240" w:lineRule="auto"/>
                    <w:jc w:val="center"/>
                    <w:rPr>
                      <w:rFonts w:hint="default"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w:t>
                  </w:r>
                </w:p>
              </w:tc>
            </w:tr>
            <w:tr w14:paraId="3073C5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9" w:hRule="atLeast"/>
                <w:jc w:val="center"/>
              </w:trPr>
              <w:tc>
                <w:tcPr>
                  <w:tcW w:w="673" w:type="dxa"/>
                  <w:noWrap w:val="0"/>
                  <w:vAlign w:val="center"/>
                </w:tcPr>
                <w:p w14:paraId="78B88328">
                  <w:pPr>
                    <w:widowControl/>
                    <w:adjustRightInd w:val="0"/>
                    <w:snapToGrid w:val="0"/>
                    <w:spacing w:line="240" w:lineRule="auto"/>
                    <w:jc w:val="center"/>
                    <w:rPr>
                      <w:rFonts w:hint="default"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5</w:t>
                  </w:r>
                </w:p>
              </w:tc>
              <w:tc>
                <w:tcPr>
                  <w:tcW w:w="1772" w:type="dxa"/>
                  <w:noWrap w:val="0"/>
                  <w:vAlign w:val="center"/>
                </w:tcPr>
                <w:p w14:paraId="69724622">
                  <w:pPr>
                    <w:widowControl/>
                    <w:adjustRightInd w:val="0"/>
                    <w:snapToGrid w:val="0"/>
                    <w:spacing w:line="240" w:lineRule="auto"/>
                    <w:jc w:val="center"/>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量杯</w:t>
                  </w:r>
                </w:p>
              </w:tc>
              <w:tc>
                <w:tcPr>
                  <w:tcW w:w="2822" w:type="dxa"/>
                  <w:noWrap w:val="0"/>
                  <w:vAlign w:val="center"/>
                </w:tcPr>
                <w:p w14:paraId="088BBD8C">
                  <w:pPr>
                    <w:widowControl/>
                    <w:adjustRightInd w:val="0"/>
                    <w:snapToGrid w:val="0"/>
                    <w:spacing w:line="240" w:lineRule="auto"/>
                    <w:jc w:val="center"/>
                    <w:rPr>
                      <w:rFonts w:hint="default"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500ml</w:t>
                  </w:r>
                </w:p>
              </w:tc>
              <w:tc>
                <w:tcPr>
                  <w:tcW w:w="947" w:type="dxa"/>
                  <w:noWrap w:val="0"/>
                  <w:vAlign w:val="center"/>
                </w:tcPr>
                <w:p w14:paraId="5D3F6D47">
                  <w:pPr>
                    <w:widowControl/>
                    <w:adjustRightInd w:val="0"/>
                    <w:snapToGrid w:val="0"/>
                    <w:spacing w:line="240" w:lineRule="auto"/>
                    <w:jc w:val="center"/>
                    <w:rPr>
                      <w:rFonts w:hint="eastAsia"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2个</w:t>
                  </w:r>
                </w:p>
              </w:tc>
              <w:tc>
                <w:tcPr>
                  <w:tcW w:w="1535" w:type="dxa"/>
                  <w:noWrap w:val="0"/>
                  <w:vAlign w:val="center"/>
                </w:tcPr>
                <w:p w14:paraId="7808AC5C">
                  <w:pPr>
                    <w:widowControl/>
                    <w:adjustRightInd w:val="0"/>
                    <w:snapToGrid w:val="0"/>
                    <w:spacing w:line="240" w:lineRule="auto"/>
                    <w:jc w:val="center"/>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油品检验</w:t>
                  </w:r>
                </w:p>
              </w:tc>
              <w:tc>
                <w:tcPr>
                  <w:tcW w:w="666" w:type="dxa"/>
                  <w:noWrap w:val="0"/>
                  <w:vAlign w:val="center"/>
                </w:tcPr>
                <w:p w14:paraId="2B45F642">
                  <w:pPr>
                    <w:widowControl/>
                    <w:adjustRightInd w:val="0"/>
                    <w:snapToGrid w:val="0"/>
                    <w:spacing w:line="240" w:lineRule="auto"/>
                    <w:jc w:val="center"/>
                    <w:rPr>
                      <w:rFonts w:hint="default"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w:t>
                  </w:r>
                </w:p>
              </w:tc>
            </w:tr>
            <w:tr w14:paraId="23FF0D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9" w:hRule="atLeast"/>
                <w:jc w:val="center"/>
              </w:trPr>
              <w:tc>
                <w:tcPr>
                  <w:tcW w:w="673" w:type="dxa"/>
                  <w:noWrap w:val="0"/>
                  <w:vAlign w:val="center"/>
                </w:tcPr>
                <w:p w14:paraId="0BC3AE85">
                  <w:pPr>
                    <w:widowControl/>
                    <w:adjustRightInd w:val="0"/>
                    <w:snapToGrid w:val="0"/>
                    <w:spacing w:line="240" w:lineRule="auto"/>
                    <w:jc w:val="center"/>
                    <w:rPr>
                      <w:rFonts w:hint="default"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6</w:t>
                  </w:r>
                </w:p>
              </w:tc>
              <w:tc>
                <w:tcPr>
                  <w:tcW w:w="1772" w:type="dxa"/>
                  <w:noWrap w:val="0"/>
                  <w:vAlign w:val="center"/>
                </w:tcPr>
                <w:p w14:paraId="73A44FE1">
                  <w:pPr>
                    <w:widowControl/>
                    <w:adjustRightInd w:val="0"/>
                    <w:snapToGrid w:val="0"/>
                    <w:spacing w:line="240" w:lineRule="auto"/>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仪表称</w:t>
                  </w:r>
                </w:p>
              </w:tc>
              <w:tc>
                <w:tcPr>
                  <w:tcW w:w="2822" w:type="dxa"/>
                  <w:noWrap w:val="0"/>
                  <w:vAlign w:val="center"/>
                </w:tcPr>
                <w:p w14:paraId="506CDF09">
                  <w:pPr>
                    <w:widowControl/>
                    <w:adjustRightInd w:val="0"/>
                    <w:snapToGrid w:val="0"/>
                    <w:spacing w:line="240" w:lineRule="auto"/>
                    <w:jc w:val="center"/>
                    <w:rPr>
                      <w:rFonts w:hint="default"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w:t>
                  </w:r>
                </w:p>
              </w:tc>
              <w:tc>
                <w:tcPr>
                  <w:tcW w:w="947" w:type="dxa"/>
                  <w:noWrap w:val="0"/>
                  <w:vAlign w:val="center"/>
                </w:tcPr>
                <w:p w14:paraId="7A43C9BA">
                  <w:pPr>
                    <w:widowControl/>
                    <w:adjustRightInd w:val="0"/>
                    <w:snapToGrid w:val="0"/>
                    <w:spacing w:line="240" w:lineRule="auto"/>
                    <w:jc w:val="center"/>
                    <w:rPr>
                      <w:rFonts w:hint="eastAsia"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1</w:t>
                  </w:r>
                  <w:r>
                    <w:rPr>
                      <w:rFonts w:hint="default" w:ascii="Times New Roman" w:hAnsi="Times New Roman" w:eastAsia="宋体" w:cs="Times New Roman"/>
                      <w:color w:val="auto"/>
                      <w:sz w:val="21"/>
                      <w:szCs w:val="21"/>
                      <w:lang w:val="en-US" w:eastAsia="zh-CN"/>
                    </w:rPr>
                    <w:t>台</w:t>
                  </w:r>
                </w:p>
              </w:tc>
              <w:tc>
                <w:tcPr>
                  <w:tcW w:w="1535" w:type="dxa"/>
                  <w:noWrap w:val="0"/>
                  <w:vAlign w:val="center"/>
                </w:tcPr>
                <w:p w14:paraId="21FA1D81">
                  <w:pPr>
                    <w:widowControl/>
                    <w:adjustRightInd w:val="0"/>
                    <w:snapToGrid w:val="0"/>
                    <w:spacing w:line="240" w:lineRule="auto"/>
                    <w:jc w:val="center"/>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油品检验</w:t>
                  </w:r>
                </w:p>
              </w:tc>
              <w:tc>
                <w:tcPr>
                  <w:tcW w:w="666" w:type="dxa"/>
                  <w:noWrap w:val="0"/>
                  <w:vAlign w:val="center"/>
                </w:tcPr>
                <w:p w14:paraId="0211A72F">
                  <w:pPr>
                    <w:widowControl/>
                    <w:adjustRightInd w:val="0"/>
                    <w:snapToGrid w:val="0"/>
                    <w:spacing w:line="240" w:lineRule="auto"/>
                    <w:jc w:val="center"/>
                    <w:rPr>
                      <w:rFonts w:hint="default"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w:t>
                  </w:r>
                </w:p>
              </w:tc>
            </w:tr>
            <w:tr w14:paraId="341931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9" w:hRule="atLeast"/>
                <w:jc w:val="center"/>
              </w:trPr>
              <w:tc>
                <w:tcPr>
                  <w:tcW w:w="673" w:type="dxa"/>
                  <w:noWrap w:val="0"/>
                  <w:vAlign w:val="center"/>
                </w:tcPr>
                <w:p w14:paraId="74CA8456">
                  <w:pPr>
                    <w:widowControl/>
                    <w:adjustRightInd w:val="0"/>
                    <w:snapToGrid w:val="0"/>
                    <w:spacing w:line="240" w:lineRule="auto"/>
                    <w:jc w:val="center"/>
                    <w:rPr>
                      <w:rFonts w:hint="default" w:ascii="Times New Roman" w:hAnsi="Times New Roman" w:eastAsia="宋体" w:cs="Times New Roman"/>
                      <w:color w:val="000000"/>
                      <w:kern w:val="0"/>
                      <w:sz w:val="21"/>
                      <w:szCs w:val="21"/>
                      <w:lang w:val="en-US" w:eastAsia="zh-CN"/>
                    </w:rPr>
                  </w:pPr>
                  <w:r>
                    <w:rPr>
                      <w:rFonts w:hint="eastAsia" w:cs="Times New Roman"/>
                      <w:color w:val="000000"/>
                      <w:kern w:val="0"/>
                      <w:sz w:val="21"/>
                      <w:szCs w:val="21"/>
                      <w:lang w:val="en-US" w:eastAsia="zh-CN"/>
                    </w:rPr>
                    <w:t>7</w:t>
                  </w:r>
                </w:p>
              </w:tc>
              <w:tc>
                <w:tcPr>
                  <w:tcW w:w="1772" w:type="dxa"/>
                  <w:noWrap w:val="0"/>
                  <w:vAlign w:val="center"/>
                </w:tcPr>
                <w:p w14:paraId="5B0ABD6D">
                  <w:pPr>
                    <w:widowControl/>
                    <w:adjustRightInd w:val="0"/>
                    <w:snapToGrid w:val="0"/>
                    <w:spacing w:line="240" w:lineRule="auto"/>
                    <w:jc w:val="center"/>
                    <w:rPr>
                      <w:rFonts w:hint="default" w:ascii="Times New Roman" w:hAnsi="Times New Roman" w:eastAsia="宋体" w:cs="Times New Roman"/>
                      <w:color w:val="000000"/>
                      <w:kern w:val="0"/>
                      <w:sz w:val="21"/>
                      <w:szCs w:val="21"/>
                    </w:rPr>
                  </w:pPr>
                  <w:r>
                    <w:rPr>
                      <w:rFonts w:hint="default" w:ascii="Times New Roman" w:hAnsi="Times New Roman" w:eastAsia="宋体" w:cs="Times New Roman"/>
                      <w:color w:val="auto"/>
                      <w:kern w:val="2"/>
                      <w:sz w:val="21"/>
                      <w:szCs w:val="21"/>
                      <w:lang w:val="en-US" w:eastAsia="zh-CN" w:bidi="ar-SA"/>
                    </w:rPr>
                    <w:t>活性炭吸附设备</w:t>
                  </w:r>
                </w:p>
              </w:tc>
              <w:tc>
                <w:tcPr>
                  <w:tcW w:w="2822" w:type="dxa"/>
                  <w:noWrap w:val="0"/>
                  <w:vAlign w:val="center"/>
                </w:tcPr>
                <w:p w14:paraId="2DE543AD">
                  <w:pPr>
                    <w:widowControl/>
                    <w:adjustRightInd w:val="0"/>
                    <w:snapToGrid w:val="0"/>
                    <w:spacing w:line="240" w:lineRule="auto"/>
                    <w:jc w:val="center"/>
                    <w:rPr>
                      <w:rFonts w:hint="default" w:ascii="Times New Roman" w:hAnsi="Times New Roman" w:eastAsia="宋体" w:cs="Times New Roman"/>
                      <w:color w:val="000000"/>
                      <w:kern w:val="0"/>
                      <w:sz w:val="21"/>
                      <w:szCs w:val="21"/>
                    </w:rPr>
                  </w:pPr>
                  <w:r>
                    <w:rPr>
                      <w:rFonts w:hint="default" w:ascii="Times New Roman" w:hAnsi="Times New Roman" w:eastAsia="宋体" w:cs="Times New Roman"/>
                      <w:color w:val="auto"/>
                      <w:kern w:val="2"/>
                      <w:sz w:val="21"/>
                      <w:szCs w:val="21"/>
                      <w:lang w:val="en-US" w:eastAsia="zh-CN" w:bidi="ar-SA"/>
                    </w:rPr>
                    <w:t>风量</w:t>
                  </w:r>
                  <w:r>
                    <w:rPr>
                      <w:rFonts w:hint="eastAsia" w:cs="Times New Roman"/>
                      <w:color w:val="auto"/>
                      <w:kern w:val="2"/>
                      <w:sz w:val="21"/>
                      <w:szCs w:val="21"/>
                      <w:lang w:val="en-US" w:eastAsia="zh-CN" w:bidi="ar-SA"/>
                    </w:rPr>
                    <w:t>20</w:t>
                  </w:r>
                  <w:r>
                    <w:rPr>
                      <w:rFonts w:hint="default" w:ascii="Times New Roman" w:hAnsi="Times New Roman" w:eastAsia="宋体" w:cs="Times New Roman"/>
                      <w:color w:val="auto"/>
                      <w:kern w:val="2"/>
                      <w:sz w:val="21"/>
                      <w:szCs w:val="21"/>
                      <w:lang w:val="en-US" w:eastAsia="zh-CN" w:bidi="ar-SA"/>
                    </w:rPr>
                    <w:t>00m</w:t>
                  </w:r>
                  <w:r>
                    <w:rPr>
                      <w:rFonts w:hint="default" w:ascii="Times New Roman" w:hAnsi="Times New Roman" w:eastAsia="宋体" w:cs="Times New Roman"/>
                      <w:color w:val="auto"/>
                      <w:kern w:val="2"/>
                      <w:sz w:val="21"/>
                      <w:szCs w:val="21"/>
                      <w:vertAlign w:val="superscript"/>
                      <w:lang w:val="en-US" w:eastAsia="zh-CN" w:bidi="ar-SA"/>
                    </w:rPr>
                    <w:t>3</w:t>
                  </w:r>
                  <w:r>
                    <w:rPr>
                      <w:rFonts w:hint="default" w:ascii="Times New Roman" w:hAnsi="Times New Roman" w:eastAsia="宋体" w:cs="Times New Roman"/>
                      <w:color w:val="auto"/>
                      <w:kern w:val="2"/>
                      <w:sz w:val="21"/>
                      <w:szCs w:val="21"/>
                      <w:lang w:val="en-US" w:eastAsia="zh-CN" w:bidi="ar-SA"/>
                    </w:rPr>
                    <w:t>/h</w:t>
                  </w:r>
                </w:p>
              </w:tc>
              <w:tc>
                <w:tcPr>
                  <w:tcW w:w="947" w:type="dxa"/>
                  <w:noWrap w:val="0"/>
                  <w:vAlign w:val="center"/>
                </w:tcPr>
                <w:p w14:paraId="63921254">
                  <w:pPr>
                    <w:widowControl/>
                    <w:adjustRightInd w:val="0"/>
                    <w:snapToGrid w:val="0"/>
                    <w:spacing w:line="240" w:lineRule="auto"/>
                    <w:jc w:val="center"/>
                    <w:rPr>
                      <w:rFonts w:hint="eastAsia" w:ascii="Times New Roman" w:hAnsi="Times New Roman" w:eastAsia="宋体" w:cs="Times New Roman"/>
                      <w:color w:val="000000"/>
                      <w:kern w:val="0"/>
                      <w:sz w:val="21"/>
                      <w:szCs w:val="21"/>
                      <w:lang w:val="en-US" w:eastAsia="zh-CN"/>
                    </w:rPr>
                  </w:pPr>
                  <w:r>
                    <w:rPr>
                      <w:rFonts w:hint="eastAsia" w:cs="Times New Roman"/>
                      <w:color w:val="auto"/>
                      <w:kern w:val="2"/>
                      <w:sz w:val="21"/>
                      <w:szCs w:val="21"/>
                      <w:lang w:val="en-US" w:eastAsia="zh-CN" w:bidi="ar-SA"/>
                    </w:rPr>
                    <w:t>1</w:t>
                  </w:r>
                  <w:r>
                    <w:rPr>
                      <w:rFonts w:hint="eastAsia" w:cs="Times New Roman"/>
                      <w:color w:val="000000"/>
                      <w:kern w:val="0"/>
                      <w:sz w:val="21"/>
                      <w:szCs w:val="21"/>
                      <w:lang w:val="en-US" w:eastAsia="zh-CN"/>
                    </w:rPr>
                    <w:t>套</w:t>
                  </w:r>
                </w:p>
              </w:tc>
              <w:tc>
                <w:tcPr>
                  <w:tcW w:w="1535" w:type="dxa"/>
                  <w:noWrap w:val="0"/>
                  <w:vAlign w:val="center"/>
                </w:tcPr>
                <w:p w14:paraId="0DB10BE7">
                  <w:pPr>
                    <w:widowControl/>
                    <w:adjustRightInd w:val="0"/>
                    <w:snapToGrid w:val="0"/>
                    <w:spacing w:line="240" w:lineRule="auto"/>
                    <w:jc w:val="center"/>
                    <w:rPr>
                      <w:rFonts w:hint="default" w:ascii="Times New Roman" w:hAnsi="Times New Roman" w:eastAsia="宋体" w:cs="Times New Roman"/>
                      <w:color w:val="000000"/>
                      <w:kern w:val="0"/>
                      <w:sz w:val="21"/>
                      <w:szCs w:val="21"/>
                    </w:rPr>
                  </w:pPr>
                  <w:r>
                    <w:rPr>
                      <w:rFonts w:hint="default" w:ascii="Times New Roman" w:hAnsi="Times New Roman" w:eastAsia="宋体" w:cs="Times New Roman"/>
                      <w:color w:val="000000"/>
                      <w:kern w:val="0"/>
                      <w:sz w:val="21"/>
                      <w:szCs w:val="21"/>
                    </w:rPr>
                    <w:t>废气治理</w:t>
                  </w:r>
                </w:p>
              </w:tc>
              <w:tc>
                <w:tcPr>
                  <w:tcW w:w="666" w:type="dxa"/>
                  <w:noWrap w:val="0"/>
                  <w:vAlign w:val="center"/>
                </w:tcPr>
                <w:p w14:paraId="06DD9DBB">
                  <w:pPr>
                    <w:widowControl/>
                    <w:adjustRightInd w:val="0"/>
                    <w:snapToGrid w:val="0"/>
                    <w:spacing w:line="240" w:lineRule="auto"/>
                    <w:jc w:val="center"/>
                    <w:rPr>
                      <w:rFonts w:hint="default" w:ascii="Times New Roman" w:hAnsi="Times New Roman" w:eastAsia="宋体" w:cs="Times New Roman"/>
                      <w:color w:val="000000"/>
                      <w:kern w:val="0"/>
                      <w:sz w:val="21"/>
                      <w:szCs w:val="21"/>
                    </w:rPr>
                  </w:pPr>
                  <w:r>
                    <w:rPr>
                      <w:rFonts w:hint="eastAsia" w:cs="Times New Roman"/>
                      <w:color w:val="auto"/>
                      <w:sz w:val="21"/>
                      <w:szCs w:val="21"/>
                      <w:lang w:val="en-US" w:eastAsia="zh-CN"/>
                    </w:rPr>
                    <w:t>/</w:t>
                  </w:r>
                </w:p>
              </w:tc>
            </w:tr>
          </w:tbl>
          <w:p w14:paraId="2A5DD33D">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2" w:firstLineChars="200"/>
              <w:jc w:val="both"/>
              <w:textAlignment w:val="auto"/>
              <w:rPr>
                <w:rFonts w:hint="default" w:ascii="Times New Roman" w:hAnsi="Times New Roman" w:eastAsia="宋体" w:cs="Times New Roman"/>
                <w:b w:val="0"/>
                <w:bCs w:val="0"/>
                <w:color w:val="auto"/>
                <w:sz w:val="24"/>
                <w:szCs w:val="24"/>
                <w:lang w:val="en-US" w:eastAsia="zh-CN"/>
              </w:rPr>
            </w:pPr>
            <w:r>
              <w:rPr>
                <w:rFonts w:hint="default" w:ascii="Times New Roman" w:hAnsi="Times New Roman" w:eastAsia="宋体" w:cs="Times New Roman"/>
                <w:b/>
                <w:bCs/>
                <w:color w:val="auto"/>
                <w:sz w:val="24"/>
                <w:szCs w:val="24"/>
                <w:lang w:val="en-US" w:eastAsia="zh-CN"/>
              </w:rPr>
              <w:t>注：</w:t>
            </w:r>
            <w:r>
              <w:rPr>
                <w:rFonts w:hint="default" w:ascii="Times New Roman" w:hAnsi="Times New Roman" w:eastAsia="宋体" w:cs="Times New Roman"/>
                <w:b w:val="0"/>
                <w:bCs w:val="0"/>
                <w:color w:val="auto"/>
                <w:sz w:val="24"/>
                <w:szCs w:val="24"/>
                <w:lang w:val="en-US" w:eastAsia="zh-CN"/>
              </w:rPr>
              <w:t>储油罐区四周设置高为1m的围堰，在混凝土硬化地面上采用5布（玻璃钢纤维布）7涂（乙烯基环氧树脂）方法铺设3</w:t>
            </w:r>
            <w:r>
              <w:rPr>
                <w:rFonts w:hint="eastAsia" w:cs="Times New Roman"/>
                <w:b w:val="0"/>
                <w:bCs w:val="0"/>
                <w:color w:val="auto"/>
                <w:sz w:val="24"/>
                <w:szCs w:val="24"/>
                <w:lang w:val="en-US" w:eastAsia="zh-CN"/>
              </w:rPr>
              <w:t>.0</w:t>
            </w:r>
            <w:r>
              <w:rPr>
                <w:rFonts w:hint="default" w:ascii="Times New Roman" w:hAnsi="Times New Roman" w:eastAsia="宋体" w:cs="Times New Roman"/>
                <w:b w:val="0"/>
                <w:bCs w:val="0"/>
                <w:color w:val="auto"/>
                <w:sz w:val="24"/>
                <w:szCs w:val="24"/>
                <w:lang w:val="en-US" w:eastAsia="zh-CN"/>
              </w:rPr>
              <w:t>mm厚防腐防渗层，表层为玻璃钢纤维环氧树脂面涂</w:t>
            </w:r>
            <w:r>
              <w:rPr>
                <w:rFonts w:hint="eastAsia" w:ascii="Times New Roman" w:hAnsi="Times New Roman" w:eastAsia="宋体"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具有耐磨、耐压、耐冲击、防滑、防油渗、耐酸碱腐蚀等特性</w:t>
            </w:r>
            <w:r>
              <w:rPr>
                <w:rFonts w:hint="eastAsia" w:ascii="Times New Roman" w:hAnsi="Times New Roman" w:eastAsia="宋体"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围堰</w:t>
            </w:r>
            <w:r>
              <w:rPr>
                <w:rFonts w:hint="eastAsia" w:cs="Times New Roman"/>
                <w:b w:val="0"/>
                <w:bCs w:val="0"/>
                <w:color w:val="auto"/>
                <w:sz w:val="24"/>
                <w:szCs w:val="24"/>
                <w:lang w:val="en-US" w:eastAsia="zh-CN"/>
              </w:rPr>
              <w:t>总容积100.0m</w:t>
            </w:r>
            <w:r>
              <w:rPr>
                <w:rFonts w:hint="eastAsia" w:cs="Times New Roman"/>
                <w:b w:val="0"/>
                <w:bCs w:val="0"/>
                <w:color w:val="auto"/>
                <w:sz w:val="24"/>
                <w:szCs w:val="24"/>
                <w:vertAlign w:val="superscript"/>
                <w:lang w:val="en-US" w:eastAsia="zh-CN"/>
              </w:rPr>
              <w:t>3</w:t>
            </w:r>
            <w:r>
              <w:rPr>
                <w:rFonts w:hint="eastAsia"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有效容积</w:t>
            </w:r>
            <w:r>
              <w:rPr>
                <w:rFonts w:hint="eastAsia" w:cs="Times New Roman"/>
                <w:b w:val="0"/>
                <w:bCs w:val="0"/>
                <w:color w:val="auto"/>
                <w:sz w:val="24"/>
                <w:szCs w:val="24"/>
                <w:lang w:val="en-US" w:eastAsia="zh-CN"/>
              </w:rPr>
              <w:t>90.0</w:t>
            </w:r>
            <w:r>
              <w:rPr>
                <w:rFonts w:hint="default" w:ascii="Times New Roman" w:hAnsi="Times New Roman" w:eastAsia="宋体" w:cs="Times New Roman"/>
                <w:b w:val="0"/>
                <w:bCs w:val="0"/>
                <w:color w:val="auto"/>
                <w:sz w:val="24"/>
                <w:szCs w:val="24"/>
                <w:lang w:val="en-US" w:eastAsia="zh-CN"/>
              </w:rPr>
              <w:t>m</w:t>
            </w:r>
            <w:r>
              <w:rPr>
                <w:rFonts w:hint="default" w:ascii="Times New Roman" w:hAnsi="Times New Roman" w:eastAsia="宋体" w:cs="Times New Roman"/>
                <w:b w:val="0"/>
                <w:bCs w:val="0"/>
                <w:color w:val="auto"/>
                <w:sz w:val="24"/>
                <w:szCs w:val="24"/>
                <w:vertAlign w:val="superscript"/>
                <w:lang w:val="en-US" w:eastAsia="zh-CN"/>
              </w:rPr>
              <w:t>3</w:t>
            </w:r>
            <w:r>
              <w:rPr>
                <w:rFonts w:hint="eastAsia" w:ascii="Times New Roman" w:hAnsi="Times New Roman" w:eastAsia="宋体" w:cs="Times New Roman"/>
                <w:b w:val="0"/>
                <w:bCs w:val="0"/>
                <w:color w:val="auto"/>
                <w:sz w:val="24"/>
                <w:szCs w:val="24"/>
                <w:lang w:val="en-US" w:eastAsia="zh-CN"/>
              </w:rPr>
              <w:t>（按90</w:t>
            </w:r>
            <w:r>
              <w:rPr>
                <w:rFonts w:hint="eastAsia" w:cs="Times New Roman"/>
                <w:b w:val="0"/>
                <w:bCs w:val="0"/>
                <w:color w:val="auto"/>
                <w:sz w:val="24"/>
                <w:szCs w:val="24"/>
                <w:lang w:val="en-US" w:eastAsia="zh-CN"/>
              </w:rPr>
              <w:t>.0</w:t>
            </w:r>
            <w:r>
              <w:rPr>
                <w:rFonts w:hint="eastAsia" w:ascii="Times New Roman" w:hAnsi="Times New Roman" w:eastAsia="宋体" w:cs="Times New Roman"/>
                <w:b w:val="0"/>
                <w:bCs w:val="0"/>
                <w:color w:val="auto"/>
                <w:sz w:val="24"/>
                <w:szCs w:val="24"/>
                <w:lang w:val="en-US" w:eastAsia="zh-CN"/>
              </w:rPr>
              <w:t>%核算），</w:t>
            </w:r>
            <w:r>
              <w:rPr>
                <w:rFonts w:hint="default" w:ascii="Times New Roman" w:hAnsi="Times New Roman" w:eastAsia="宋体" w:cs="Times New Roman"/>
                <w:b w:val="0"/>
                <w:bCs w:val="0"/>
                <w:color w:val="auto"/>
                <w:sz w:val="24"/>
                <w:szCs w:val="24"/>
                <w:lang w:val="en-US" w:eastAsia="zh-CN"/>
              </w:rPr>
              <w:t>能满足泄露量储存。</w:t>
            </w:r>
          </w:p>
          <w:p w14:paraId="170CB459">
            <w:pPr>
              <w:keepNext w:val="0"/>
              <w:keepLines w:val="0"/>
              <w:pageBreakBefore w:val="0"/>
              <w:widowControl w:val="0"/>
              <w:numPr>
                <w:ilvl w:val="0"/>
                <w:numId w:val="27"/>
              </w:numPr>
              <w:kinsoku/>
              <w:wordWrap/>
              <w:overflowPunct/>
              <w:topLinePunct w:val="0"/>
              <w:autoSpaceDE/>
              <w:autoSpaceDN/>
              <w:bidi w:val="0"/>
              <w:adjustRightInd/>
              <w:snapToGrid/>
              <w:spacing w:line="360" w:lineRule="auto"/>
              <w:ind w:left="0" w:leftChars="0" w:firstLine="0" w:firstLineChars="0"/>
              <w:jc w:val="both"/>
              <w:textAlignment w:val="auto"/>
              <w:rPr>
                <w:rFonts w:hint="eastAsia" w:cs="Times New Roman"/>
                <w:b/>
                <w:bCs/>
                <w:color w:val="auto"/>
                <w:sz w:val="24"/>
                <w:szCs w:val="24"/>
                <w:lang w:val="en-US" w:eastAsia="zh-CN"/>
              </w:rPr>
            </w:pPr>
            <w:r>
              <w:rPr>
                <w:rFonts w:hint="eastAsia" w:cs="Times New Roman"/>
                <w:b/>
                <w:bCs/>
                <w:color w:val="auto"/>
                <w:sz w:val="24"/>
                <w:szCs w:val="24"/>
                <w:lang w:val="en-US" w:eastAsia="zh-CN"/>
              </w:rPr>
              <w:t>选址及平面布置</w:t>
            </w:r>
          </w:p>
          <w:p w14:paraId="6E989EA5">
            <w:pPr>
              <w:keepNext w:val="0"/>
              <w:keepLines w:val="0"/>
              <w:pageBreakBefore w:val="0"/>
              <w:widowControl w:val="0"/>
              <w:numPr>
                <w:ilvl w:val="0"/>
                <w:numId w:val="31"/>
              </w:numPr>
              <w:kinsoku/>
              <w:wordWrap/>
              <w:overflowPunct/>
              <w:topLinePunct w:val="0"/>
              <w:autoSpaceDE/>
              <w:autoSpaceDN/>
              <w:bidi w:val="0"/>
              <w:adjustRightInd/>
              <w:snapToGrid/>
              <w:spacing w:line="360" w:lineRule="auto"/>
              <w:ind w:firstLine="482" w:firstLineChars="200"/>
              <w:jc w:val="both"/>
              <w:textAlignment w:val="auto"/>
              <w:rPr>
                <w:rFonts w:hint="eastAsia" w:cs="Times New Roman"/>
                <w:b/>
                <w:bCs/>
                <w:color w:val="auto"/>
                <w:sz w:val="24"/>
                <w:szCs w:val="24"/>
                <w:lang w:val="en-US" w:eastAsia="zh-CN"/>
              </w:rPr>
            </w:pPr>
            <w:r>
              <w:rPr>
                <w:rFonts w:hint="eastAsia" w:cs="Times New Roman"/>
                <w:b/>
                <w:bCs/>
                <w:color w:val="auto"/>
                <w:sz w:val="24"/>
                <w:szCs w:val="24"/>
                <w:lang w:val="en-US" w:eastAsia="zh-CN"/>
              </w:rPr>
              <w:t>选址合理性分析</w:t>
            </w:r>
          </w:p>
          <w:p w14:paraId="02E35CAF">
            <w:pPr>
              <w:keepNext w:val="0"/>
              <w:keepLines w:val="0"/>
              <w:pageBreakBefore w:val="0"/>
              <w:widowControl w:val="0"/>
              <w:numPr>
                <w:ilvl w:val="0"/>
                <w:numId w:val="32"/>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b w:val="0"/>
                <w:bCs w:val="0"/>
                <w:color w:val="auto"/>
                <w:sz w:val="24"/>
                <w:szCs w:val="24"/>
                <w:lang w:val="en-US" w:eastAsia="zh-CN"/>
              </w:rPr>
            </w:pPr>
            <w:r>
              <w:rPr>
                <w:rFonts w:hint="eastAsia" w:cs="Times New Roman"/>
                <w:b w:val="0"/>
                <w:bCs w:val="0"/>
                <w:color w:val="auto"/>
                <w:sz w:val="24"/>
                <w:szCs w:val="24"/>
                <w:lang w:val="en-US" w:eastAsia="zh-CN"/>
              </w:rPr>
              <w:t>选址情况</w:t>
            </w:r>
          </w:p>
          <w:p w14:paraId="788ABFE4">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b w:val="0"/>
                <w:bCs w:val="0"/>
                <w:color w:val="auto"/>
                <w:sz w:val="24"/>
                <w:szCs w:val="24"/>
                <w:lang w:val="en-US" w:eastAsia="zh-CN"/>
              </w:rPr>
            </w:pPr>
            <w:r>
              <w:rPr>
                <w:rFonts w:hint="eastAsia" w:cs="Times New Roman"/>
                <w:color w:val="auto"/>
                <w:sz w:val="24"/>
                <w:szCs w:val="24"/>
                <w:lang w:val="en-US" w:eastAsia="zh-CN"/>
              </w:rPr>
              <w:t>根据现场踏勘，本</w:t>
            </w:r>
            <w:r>
              <w:rPr>
                <w:rFonts w:hint="eastAsia" w:cs="Times New Roman"/>
                <w:b w:val="0"/>
                <w:bCs w:val="0"/>
                <w:color w:val="auto"/>
                <w:sz w:val="24"/>
                <w:szCs w:val="24"/>
                <w:lang w:val="en-US" w:eastAsia="zh-CN"/>
              </w:rPr>
              <w:t>项目位于安居区创新创业孵化园南侧，距离孵化园场界最近处约10m；东侧场界相邻为孵化园闲置厂房，约78m处为怡和实业公司闲置厂房，约184m处为君格工业园区后勤服务中心，约355m处为安达报废汽车回收拆解公司；东北约306m处为君格工业园，约425m处为四川力扬工业有限公司；北侧相邻为孵化园闲置厂房，约57m处为遂宁铭力科技有限公司，约89m处为遂宁格尔仕电子科技有限公司，约145m处为安居救灾物资储备库；约292m处为君格工业园职工倒班房；西北侧35m处为安居区电子商务产业园办公楼，约170m处临街分布延长壳牌加油站及解元社区居民；西侧约29m处为四川荣泰药业有限公司，距离约305m处为凤凰街道解元社区居民小区；西南侧约196m处为四川省瑜凯纺织有限公司，约309m处为遂宁华能机械有限公司。</w:t>
            </w:r>
          </w:p>
          <w:p w14:paraId="2F61B183">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r>
              <w:rPr>
                <w:rFonts w:hint="eastAsia" w:cs="Times New Roman"/>
                <w:color w:val="auto"/>
                <w:sz w:val="24"/>
                <w:szCs w:val="24"/>
                <w:lang w:val="en-US" w:eastAsia="zh-CN"/>
              </w:rPr>
              <w:t>本项目</w:t>
            </w:r>
            <w:r>
              <w:rPr>
                <w:rFonts w:hint="eastAsia" w:cs="Times New Roman"/>
                <w:b w:val="0"/>
                <w:bCs w:val="0"/>
                <w:color w:val="auto"/>
                <w:sz w:val="24"/>
                <w:szCs w:val="24"/>
                <w:lang w:val="en-US" w:eastAsia="zh-CN"/>
              </w:rPr>
              <w:t>南侧约52m处为玉丰河，</w:t>
            </w:r>
            <w:r>
              <w:rPr>
                <w:rFonts w:hint="eastAsia" w:cs="Times New Roman"/>
                <w:color w:val="auto"/>
                <w:sz w:val="24"/>
                <w:szCs w:val="24"/>
                <w:lang w:val="en-US" w:eastAsia="zh-CN"/>
              </w:rPr>
              <w:t>距琼江最近距离</w:t>
            </w:r>
            <w:r>
              <w:rPr>
                <w:rFonts w:hint="eastAsia" w:cs="Times New Roman"/>
                <w:b w:val="0"/>
                <w:bCs w:val="0"/>
                <w:color w:val="auto"/>
                <w:sz w:val="24"/>
                <w:szCs w:val="24"/>
                <w:lang w:val="en-US" w:eastAsia="zh-CN"/>
              </w:rPr>
              <w:t>2.273km</w:t>
            </w:r>
            <w:r>
              <w:rPr>
                <w:rFonts w:hint="eastAsia" w:cs="Times New Roman"/>
                <w:color w:val="auto"/>
                <w:sz w:val="24"/>
                <w:szCs w:val="24"/>
                <w:lang w:val="en-US" w:eastAsia="zh-CN"/>
              </w:rPr>
              <w:t>（见附图2：外环境关系图），外环境关系如下表所示。</w:t>
            </w:r>
          </w:p>
          <w:p w14:paraId="153927BE">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eastAsia" w:cs="Times New Roman"/>
                <w:b/>
                <w:bCs/>
                <w:color w:val="auto"/>
                <w:sz w:val="21"/>
                <w:szCs w:val="21"/>
                <w:lang w:val="en-US" w:eastAsia="zh-CN"/>
              </w:rPr>
            </w:pPr>
            <w:r>
              <w:rPr>
                <w:rFonts w:hint="eastAsia" w:cs="Times New Roman"/>
                <w:b/>
                <w:bCs/>
                <w:color w:val="auto"/>
                <w:sz w:val="21"/>
                <w:szCs w:val="21"/>
                <w:lang w:val="en-US" w:eastAsia="zh-CN"/>
              </w:rPr>
              <w:t>表2-9 项目外环境关系一览表</w:t>
            </w:r>
          </w:p>
          <w:tbl>
            <w:tblPr>
              <w:tblStyle w:val="28"/>
              <w:tblW w:w="841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249"/>
              <w:gridCol w:w="1012"/>
              <w:gridCol w:w="1213"/>
              <w:gridCol w:w="1540"/>
              <w:gridCol w:w="1404"/>
            </w:tblGrid>
            <w:tr w14:paraId="6A76828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 w:hRule="atLeast"/>
                <w:jc w:val="center"/>
              </w:trPr>
              <w:tc>
                <w:tcPr>
                  <w:tcW w:w="3249" w:type="dxa"/>
                  <w:noWrap w:val="0"/>
                  <w:vAlign w:val="center"/>
                </w:tcPr>
                <w:p w14:paraId="7F378904">
                  <w:p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vertAlign w:val="baseline"/>
                      <w:lang w:val="en-US" w:eastAsia="zh-CN"/>
                    </w:rPr>
                    <w:t>名称</w:t>
                  </w:r>
                </w:p>
              </w:tc>
              <w:tc>
                <w:tcPr>
                  <w:tcW w:w="1012" w:type="dxa"/>
                  <w:noWrap w:val="0"/>
                  <w:vAlign w:val="center"/>
                </w:tcPr>
                <w:p w14:paraId="09C8CEBC">
                  <w:p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vertAlign w:val="baseline"/>
                      <w:lang w:val="en-US" w:eastAsia="zh-CN"/>
                    </w:rPr>
                    <w:t>方位</w:t>
                  </w:r>
                </w:p>
              </w:tc>
              <w:tc>
                <w:tcPr>
                  <w:tcW w:w="1213" w:type="dxa"/>
                  <w:noWrap w:val="0"/>
                  <w:vAlign w:val="center"/>
                </w:tcPr>
                <w:p w14:paraId="379FEBCF">
                  <w:p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vertAlign w:val="baseline"/>
                      <w:lang w:val="en-US" w:eastAsia="zh-CN"/>
                    </w:rPr>
                    <w:t>距离</w:t>
                  </w:r>
                </w:p>
              </w:tc>
              <w:tc>
                <w:tcPr>
                  <w:tcW w:w="1540" w:type="dxa"/>
                  <w:noWrap w:val="0"/>
                  <w:vAlign w:val="center"/>
                </w:tcPr>
                <w:p w14:paraId="1C2B1C7C">
                  <w:p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vertAlign w:val="baseline"/>
                      <w:lang w:val="en-US" w:eastAsia="zh-CN"/>
                    </w:rPr>
                    <w:t>性质</w:t>
                  </w:r>
                </w:p>
              </w:tc>
              <w:tc>
                <w:tcPr>
                  <w:tcW w:w="1404" w:type="dxa"/>
                  <w:noWrap w:val="0"/>
                  <w:vAlign w:val="center"/>
                </w:tcPr>
                <w:p w14:paraId="74F40693">
                  <w:p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eastAsia" w:cs="Times New Roman"/>
                      <w:b/>
                      <w:bCs/>
                      <w:sz w:val="21"/>
                      <w:szCs w:val="21"/>
                      <w:vertAlign w:val="baseline"/>
                      <w:lang w:val="en-US" w:eastAsia="zh-CN"/>
                    </w:rPr>
                    <w:t>备注</w:t>
                  </w:r>
                </w:p>
              </w:tc>
            </w:tr>
            <w:tr w14:paraId="44F59A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1" w:hRule="atLeast"/>
                <w:jc w:val="center"/>
              </w:trPr>
              <w:tc>
                <w:tcPr>
                  <w:tcW w:w="3249" w:type="dxa"/>
                  <w:noWrap w:val="0"/>
                  <w:vAlign w:val="center"/>
                </w:tcPr>
                <w:p w14:paraId="4ED587ED">
                  <w:pPr>
                    <w:bidi w:val="0"/>
                    <w:spacing w:line="240" w:lineRule="auto"/>
                    <w:jc w:val="center"/>
                    <w:rPr>
                      <w:rFonts w:hint="default" w:ascii="Times New Roman" w:hAnsi="Times New Roman" w:eastAsia="宋体" w:cs="Times New Roman"/>
                      <w:b w:val="0"/>
                      <w:bCs w:val="0"/>
                      <w:color w:val="auto"/>
                      <w:sz w:val="21"/>
                      <w:szCs w:val="21"/>
                      <w:lang w:val="en-US" w:eastAsia="zh-CN"/>
                    </w:rPr>
                  </w:pPr>
                  <w:r>
                    <w:rPr>
                      <w:rFonts w:hint="default" w:ascii="Times New Roman" w:hAnsi="Times New Roman" w:eastAsia="宋体" w:cs="Times New Roman"/>
                      <w:b w:val="0"/>
                      <w:bCs w:val="0"/>
                      <w:color w:val="auto"/>
                      <w:sz w:val="21"/>
                      <w:szCs w:val="21"/>
                      <w:lang w:val="en-US" w:eastAsia="zh-CN"/>
                    </w:rPr>
                    <w:t>怡和实业公司</w:t>
                  </w:r>
                </w:p>
              </w:tc>
              <w:tc>
                <w:tcPr>
                  <w:tcW w:w="1012" w:type="dxa"/>
                  <w:noWrap w:val="0"/>
                  <w:vAlign w:val="center"/>
                </w:tcPr>
                <w:p w14:paraId="4469B678">
                  <w:pPr>
                    <w:bidi w:val="0"/>
                    <w:spacing w:line="240" w:lineRule="auto"/>
                    <w:jc w:val="center"/>
                    <w:rPr>
                      <w:rFonts w:hint="default" w:ascii="Times New Roman" w:hAnsi="Times New Roman" w:eastAsia="宋体" w:cs="Times New Roman"/>
                      <w:b w:val="0"/>
                      <w:bCs w:val="0"/>
                      <w:sz w:val="21"/>
                      <w:szCs w:val="21"/>
                      <w:vertAlign w:val="baseline"/>
                      <w:lang w:val="en-US" w:eastAsia="zh-CN"/>
                    </w:rPr>
                  </w:pPr>
                  <w:r>
                    <w:rPr>
                      <w:rFonts w:hint="eastAsia" w:cs="Times New Roman"/>
                      <w:b w:val="0"/>
                      <w:bCs w:val="0"/>
                      <w:color w:val="auto"/>
                      <w:sz w:val="21"/>
                      <w:szCs w:val="21"/>
                      <w:lang w:val="en-US" w:eastAsia="zh-CN"/>
                    </w:rPr>
                    <w:t>东</w:t>
                  </w:r>
                </w:p>
              </w:tc>
              <w:tc>
                <w:tcPr>
                  <w:tcW w:w="1213" w:type="dxa"/>
                  <w:noWrap w:val="0"/>
                  <w:vAlign w:val="center"/>
                </w:tcPr>
                <w:p w14:paraId="6922B5EB">
                  <w:pPr>
                    <w:bidi w:val="0"/>
                    <w:spacing w:line="240" w:lineRule="auto"/>
                    <w:jc w:val="center"/>
                    <w:rPr>
                      <w:rFonts w:hint="default" w:cs="Times New Roman"/>
                      <w:b w:val="0"/>
                      <w:bCs w:val="0"/>
                      <w:sz w:val="21"/>
                      <w:szCs w:val="21"/>
                      <w:vertAlign w:val="baseline"/>
                      <w:lang w:val="en-US" w:eastAsia="zh-CN"/>
                    </w:rPr>
                  </w:pPr>
                  <w:r>
                    <w:rPr>
                      <w:rFonts w:hint="eastAsia" w:cs="Times New Roman"/>
                      <w:b w:val="0"/>
                      <w:bCs w:val="0"/>
                      <w:color w:val="auto"/>
                      <w:sz w:val="21"/>
                      <w:szCs w:val="21"/>
                      <w:lang w:val="en-US" w:eastAsia="zh-CN"/>
                    </w:rPr>
                    <w:t>78</w:t>
                  </w:r>
                  <w:r>
                    <w:rPr>
                      <w:rFonts w:hint="default" w:ascii="Times New Roman" w:hAnsi="Times New Roman" w:eastAsia="宋体" w:cs="Times New Roman"/>
                      <w:b w:val="0"/>
                      <w:bCs w:val="0"/>
                      <w:sz w:val="21"/>
                      <w:szCs w:val="21"/>
                      <w:vertAlign w:val="baseline"/>
                      <w:lang w:val="en-US" w:eastAsia="zh-CN"/>
                    </w:rPr>
                    <w:t>m</w:t>
                  </w:r>
                </w:p>
              </w:tc>
              <w:tc>
                <w:tcPr>
                  <w:tcW w:w="1540" w:type="dxa"/>
                  <w:noWrap w:val="0"/>
                  <w:vAlign w:val="center"/>
                </w:tcPr>
                <w:p w14:paraId="433AA2C1">
                  <w:pPr>
                    <w:bidi w:val="0"/>
                    <w:spacing w:line="240" w:lineRule="auto"/>
                    <w:jc w:val="center"/>
                    <w:rPr>
                      <w:rFonts w:hint="default" w:cs="Times New Roman"/>
                      <w:b w:val="0"/>
                      <w:bCs w:val="0"/>
                      <w:sz w:val="21"/>
                      <w:szCs w:val="21"/>
                      <w:lang w:val="en-US" w:eastAsia="zh-CN"/>
                    </w:rPr>
                  </w:pPr>
                  <w:r>
                    <w:rPr>
                      <w:rFonts w:hint="eastAsia" w:cs="Times New Roman"/>
                      <w:b w:val="0"/>
                      <w:bCs w:val="0"/>
                      <w:sz w:val="21"/>
                      <w:szCs w:val="21"/>
                      <w:lang w:val="en-US" w:eastAsia="zh-CN"/>
                    </w:rPr>
                    <w:t>房产管理</w:t>
                  </w:r>
                </w:p>
              </w:tc>
              <w:tc>
                <w:tcPr>
                  <w:tcW w:w="1404" w:type="dxa"/>
                  <w:noWrap w:val="0"/>
                  <w:vAlign w:val="center"/>
                </w:tcPr>
                <w:p w14:paraId="6BEC00F9">
                  <w:pPr>
                    <w:bidi w:val="0"/>
                    <w:spacing w:line="240" w:lineRule="auto"/>
                    <w:jc w:val="center"/>
                    <w:rPr>
                      <w:rFonts w:hint="default" w:ascii="Times New Roman" w:hAnsi="Times New Roman" w:eastAsia="宋体" w:cs="Times New Roman"/>
                      <w:b w:val="0"/>
                      <w:bCs w:val="0"/>
                      <w:color w:val="auto"/>
                      <w:sz w:val="21"/>
                      <w:szCs w:val="21"/>
                      <w:lang w:val="en-US" w:eastAsia="zh-CN"/>
                    </w:rPr>
                  </w:pPr>
                  <w:r>
                    <w:rPr>
                      <w:rFonts w:hint="eastAsia" w:cs="Times New Roman"/>
                      <w:b w:val="0"/>
                      <w:bCs w:val="0"/>
                      <w:color w:val="auto"/>
                      <w:sz w:val="21"/>
                      <w:szCs w:val="21"/>
                      <w:lang w:val="en-US" w:eastAsia="zh-CN"/>
                    </w:rPr>
                    <w:t>闲置厂房</w:t>
                  </w:r>
                </w:p>
              </w:tc>
            </w:tr>
            <w:tr w14:paraId="113FAA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 w:hRule="atLeast"/>
                <w:jc w:val="center"/>
              </w:trPr>
              <w:tc>
                <w:tcPr>
                  <w:tcW w:w="3249" w:type="dxa"/>
                  <w:noWrap w:val="0"/>
                  <w:vAlign w:val="center"/>
                </w:tcPr>
                <w:p w14:paraId="1E0B5590">
                  <w:pPr>
                    <w:bidi w:val="0"/>
                    <w:spacing w:line="240" w:lineRule="auto"/>
                    <w:jc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b w:val="0"/>
                      <w:bCs w:val="0"/>
                      <w:sz w:val="21"/>
                      <w:szCs w:val="21"/>
                      <w:vertAlign w:val="baseline"/>
                      <w:lang w:val="en-US" w:eastAsia="zh-CN"/>
                    </w:rPr>
                    <w:t>君格工业园区后勤服务中心</w:t>
                  </w:r>
                </w:p>
              </w:tc>
              <w:tc>
                <w:tcPr>
                  <w:tcW w:w="1012" w:type="dxa"/>
                  <w:noWrap w:val="0"/>
                  <w:vAlign w:val="center"/>
                </w:tcPr>
                <w:p w14:paraId="2E65057A">
                  <w:pPr>
                    <w:bidi w:val="0"/>
                    <w:spacing w:line="240" w:lineRule="auto"/>
                    <w:jc w:val="center"/>
                    <w:rPr>
                      <w:rFonts w:hint="default" w:ascii="Times New Roman" w:hAnsi="Times New Roman" w:eastAsia="宋体" w:cs="Times New Roman"/>
                      <w:b w:val="0"/>
                      <w:bCs w:val="0"/>
                      <w:sz w:val="21"/>
                      <w:szCs w:val="21"/>
                      <w:vertAlign w:val="baseline"/>
                      <w:lang w:val="en-US" w:eastAsia="zh-CN"/>
                    </w:rPr>
                  </w:pPr>
                  <w:r>
                    <w:rPr>
                      <w:rFonts w:hint="eastAsia" w:cs="Times New Roman"/>
                      <w:b w:val="0"/>
                      <w:bCs w:val="0"/>
                      <w:color w:val="auto"/>
                      <w:sz w:val="21"/>
                      <w:szCs w:val="21"/>
                      <w:lang w:val="en-US" w:eastAsia="zh-CN"/>
                    </w:rPr>
                    <w:t>东</w:t>
                  </w:r>
                </w:p>
              </w:tc>
              <w:tc>
                <w:tcPr>
                  <w:tcW w:w="1213" w:type="dxa"/>
                  <w:noWrap w:val="0"/>
                  <w:vAlign w:val="center"/>
                </w:tcPr>
                <w:p w14:paraId="6759C099">
                  <w:pPr>
                    <w:bidi w:val="0"/>
                    <w:spacing w:line="240" w:lineRule="auto"/>
                    <w:jc w:val="center"/>
                    <w:rPr>
                      <w:rFonts w:hint="default" w:ascii="Times New Roman" w:hAnsi="Times New Roman" w:eastAsia="宋体" w:cs="Times New Roman"/>
                      <w:b w:val="0"/>
                      <w:bCs w:val="0"/>
                      <w:sz w:val="21"/>
                      <w:szCs w:val="21"/>
                      <w:vertAlign w:val="baseline"/>
                      <w:lang w:val="en-US" w:eastAsia="zh-CN"/>
                    </w:rPr>
                  </w:pPr>
                  <w:r>
                    <w:rPr>
                      <w:rFonts w:hint="eastAsia" w:cs="Times New Roman"/>
                      <w:b w:val="0"/>
                      <w:bCs w:val="0"/>
                      <w:color w:val="auto"/>
                      <w:sz w:val="21"/>
                      <w:szCs w:val="21"/>
                      <w:lang w:val="en-US" w:eastAsia="zh-CN"/>
                    </w:rPr>
                    <w:t>184</w:t>
                  </w:r>
                  <w:r>
                    <w:rPr>
                      <w:rFonts w:hint="default" w:ascii="Times New Roman" w:hAnsi="Times New Roman" w:eastAsia="宋体" w:cs="Times New Roman"/>
                      <w:b w:val="0"/>
                      <w:bCs w:val="0"/>
                      <w:sz w:val="21"/>
                      <w:szCs w:val="21"/>
                      <w:vertAlign w:val="baseline"/>
                      <w:lang w:val="en-US" w:eastAsia="zh-CN"/>
                    </w:rPr>
                    <w:t>m</w:t>
                  </w:r>
                </w:p>
              </w:tc>
              <w:tc>
                <w:tcPr>
                  <w:tcW w:w="1540" w:type="dxa"/>
                  <w:noWrap w:val="0"/>
                  <w:vAlign w:val="center"/>
                </w:tcPr>
                <w:p w14:paraId="3D16D00D">
                  <w:pPr>
                    <w:bidi w:val="0"/>
                    <w:spacing w:line="240" w:lineRule="auto"/>
                    <w:jc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b w:val="0"/>
                      <w:bCs w:val="0"/>
                      <w:sz w:val="21"/>
                      <w:szCs w:val="21"/>
                      <w:vertAlign w:val="baseline"/>
                      <w:lang w:val="en-US" w:eastAsia="zh-CN"/>
                    </w:rPr>
                    <w:t>后勤服务</w:t>
                  </w:r>
                </w:p>
              </w:tc>
              <w:tc>
                <w:tcPr>
                  <w:tcW w:w="1404" w:type="dxa"/>
                  <w:noWrap w:val="0"/>
                  <w:vAlign w:val="center"/>
                </w:tcPr>
                <w:p w14:paraId="5E87E573">
                  <w:pPr>
                    <w:bidi w:val="0"/>
                    <w:spacing w:line="240" w:lineRule="auto"/>
                    <w:jc w:val="center"/>
                    <w:rPr>
                      <w:rFonts w:hint="default" w:ascii="Times New Roman" w:hAnsi="Times New Roman" w:eastAsia="宋体" w:cs="Times New Roman"/>
                      <w:b w:val="0"/>
                      <w:bCs w:val="0"/>
                      <w:sz w:val="21"/>
                      <w:szCs w:val="21"/>
                      <w:vertAlign w:val="baseline"/>
                      <w:lang w:val="en-US" w:eastAsia="zh-CN"/>
                    </w:rPr>
                  </w:pPr>
                  <w:r>
                    <w:rPr>
                      <w:rFonts w:hint="eastAsia" w:cs="Times New Roman"/>
                      <w:b w:val="0"/>
                      <w:bCs w:val="0"/>
                      <w:sz w:val="21"/>
                      <w:szCs w:val="21"/>
                      <w:vertAlign w:val="baseline"/>
                      <w:lang w:val="en-US" w:eastAsia="zh-CN"/>
                    </w:rPr>
                    <w:t>/</w:t>
                  </w:r>
                </w:p>
              </w:tc>
            </w:tr>
            <w:tr w14:paraId="6EE7AF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 w:hRule="atLeast"/>
                <w:jc w:val="center"/>
              </w:trPr>
              <w:tc>
                <w:tcPr>
                  <w:tcW w:w="3249" w:type="dxa"/>
                  <w:noWrap w:val="0"/>
                  <w:vAlign w:val="center"/>
                </w:tcPr>
                <w:p w14:paraId="69DFD0F3">
                  <w:pPr>
                    <w:bidi w:val="0"/>
                    <w:spacing w:line="240" w:lineRule="auto"/>
                    <w:jc w:val="center"/>
                    <w:rPr>
                      <w:rFonts w:hint="default" w:ascii="Times New Roman" w:hAnsi="Times New Roman" w:eastAsia="宋体" w:cs="Times New Roman"/>
                      <w:b w:val="0"/>
                      <w:bCs w:val="0"/>
                      <w:sz w:val="21"/>
                      <w:szCs w:val="21"/>
                      <w:vertAlign w:val="baseline"/>
                      <w:lang w:val="en-US" w:eastAsia="zh-CN"/>
                    </w:rPr>
                  </w:pPr>
                  <w:r>
                    <w:rPr>
                      <w:rFonts w:hint="eastAsia"/>
                    </w:rPr>
                    <w:t>安达报废汽车回收拆解公司</w:t>
                  </w:r>
                </w:p>
              </w:tc>
              <w:tc>
                <w:tcPr>
                  <w:tcW w:w="1012" w:type="dxa"/>
                  <w:noWrap w:val="0"/>
                  <w:vAlign w:val="center"/>
                </w:tcPr>
                <w:p w14:paraId="397734BB">
                  <w:pPr>
                    <w:bidi w:val="0"/>
                    <w:spacing w:line="240" w:lineRule="auto"/>
                    <w:jc w:val="center"/>
                    <w:rPr>
                      <w:rFonts w:hint="default" w:ascii="Times New Roman" w:hAnsi="Times New Roman" w:eastAsia="宋体" w:cs="Times New Roman"/>
                      <w:b w:val="0"/>
                      <w:bCs w:val="0"/>
                      <w:sz w:val="21"/>
                      <w:szCs w:val="21"/>
                      <w:vertAlign w:val="baseline"/>
                      <w:lang w:val="en-US" w:eastAsia="zh-CN"/>
                    </w:rPr>
                  </w:pPr>
                  <w:r>
                    <w:rPr>
                      <w:rFonts w:hint="eastAsia" w:cs="Times New Roman"/>
                      <w:b w:val="0"/>
                      <w:bCs w:val="0"/>
                      <w:color w:val="auto"/>
                      <w:sz w:val="21"/>
                      <w:szCs w:val="21"/>
                      <w:lang w:val="en-US" w:eastAsia="zh-CN"/>
                    </w:rPr>
                    <w:t>东</w:t>
                  </w:r>
                </w:p>
              </w:tc>
              <w:tc>
                <w:tcPr>
                  <w:tcW w:w="1213" w:type="dxa"/>
                  <w:noWrap w:val="0"/>
                  <w:vAlign w:val="center"/>
                </w:tcPr>
                <w:p w14:paraId="568D7785">
                  <w:pPr>
                    <w:bidi w:val="0"/>
                    <w:spacing w:line="240" w:lineRule="auto"/>
                    <w:jc w:val="center"/>
                    <w:rPr>
                      <w:rFonts w:hint="default" w:ascii="Times New Roman" w:hAnsi="Times New Roman" w:eastAsia="宋体" w:cs="Times New Roman"/>
                      <w:b w:val="0"/>
                      <w:bCs w:val="0"/>
                      <w:sz w:val="21"/>
                      <w:szCs w:val="21"/>
                      <w:vertAlign w:val="baseline"/>
                      <w:lang w:val="en-US" w:eastAsia="zh-CN"/>
                    </w:rPr>
                  </w:pPr>
                  <w:r>
                    <w:rPr>
                      <w:rFonts w:hint="eastAsia" w:cs="Times New Roman"/>
                      <w:b w:val="0"/>
                      <w:bCs w:val="0"/>
                      <w:color w:val="auto"/>
                      <w:sz w:val="21"/>
                      <w:szCs w:val="21"/>
                      <w:lang w:val="en-US" w:eastAsia="zh-CN"/>
                    </w:rPr>
                    <w:t>355</w:t>
                  </w:r>
                  <w:r>
                    <w:rPr>
                      <w:rFonts w:hint="default" w:ascii="Times New Roman" w:hAnsi="Times New Roman" w:eastAsia="宋体" w:cs="Times New Roman"/>
                      <w:b w:val="0"/>
                      <w:bCs w:val="0"/>
                      <w:sz w:val="21"/>
                      <w:szCs w:val="21"/>
                      <w:vertAlign w:val="baseline"/>
                      <w:lang w:val="en-US" w:eastAsia="zh-CN"/>
                    </w:rPr>
                    <w:t>m</w:t>
                  </w:r>
                </w:p>
              </w:tc>
              <w:tc>
                <w:tcPr>
                  <w:tcW w:w="1540" w:type="dxa"/>
                  <w:noWrap w:val="0"/>
                  <w:vAlign w:val="center"/>
                </w:tcPr>
                <w:p w14:paraId="39DDEAE7">
                  <w:pPr>
                    <w:bidi w:val="0"/>
                    <w:spacing w:line="240" w:lineRule="auto"/>
                    <w:jc w:val="center"/>
                    <w:rPr>
                      <w:rFonts w:hint="default" w:ascii="Times New Roman" w:hAnsi="Times New Roman" w:eastAsia="宋体" w:cs="Times New Roman"/>
                      <w:b w:val="0"/>
                      <w:bCs w:val="0"/>
                      <w:sz w:val="21"/>
                      <w:szCs w:val="21"/>
                      <w:lang w:val="en-US"/>
                    </w:rPr>
                  </w:pPr>
                  <w:r>
                    <w:rPr>
                      <w:rFonts w:hint="default" w:ascii="Times New Roman" w:hAnsi="Times New Roman" w:eastAsia="宋体" w:cs="Times New Roman"/>
                      <w:b w:val="0"/>
                      <w:bCs w:val="0"/>
                      <w:sz w:val="21"/>
                      <w:szCs w:val="21"/>
                      <w:vertAlign w:val="baseline"/>
                      <w:lang w:val="en-US" w:eastAsia="zh-CN"/>
                    </w:rPr>
                    <w:t>汽车拆解</w:t>
                  </w:r>
                </w:p>
              </w:tc>
              <w:tc>
                <w:tcPr>
                  <w:tcW w:w="1404" w:type="dxa"/>
                  <w:noWrap w:val="0"/>
                  <w:vAlign w:val="center"/>
                </w:tcPr>
                <w:p w14:paraId="5FC6E757">
                  <w:pPr>
                    <w:bidi w:val="0"/>
                    <w:spacing w:line="240" w:lineRule="auto"/>
                    <w:jc w:val="center"/>
                    <w:rPr>
                      <w:rFonts w:hint="default" w:cs="Times New Roman"/>
                      <w:b w:val="0"/>
                      <w:bCs w:val="0"/>
                      <w:sz w:val="21"/>
                      <w:szCs w:val="21"/>
                      <w:lang w:val="en-US" w:eastAsia="zh-CN"/>
                    </w:rPr>
                  </w:pPr>
                  <w:r>
                    <w:rPr>
                      <w:rFonts w:hint="eastAsia" w:cs="Times New Roman"/>
                      <w:b w:val="0"/>
                      <w:bCs w:val="0"/>
                      <w:sz w:val="21"/>
                      <w:szCs w:val="21"/>
                      <w:vertAlign w:val="baseline"/>
                      <w:lang w:val="en-US" w:eastAsia="zh-CN"/>
                    </w:rPr>
                    <w:t>/</w:t>
                  </w:r>
                </w:p>
              </w:tc>
            </w:tr>
            <w:tr w14:paraId="2BE1C4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 w:hRule="atLeast"/>
                <w:jc w:val="center"/>
              </w:trPr>
              <w:tc>
                <w:tcPr>
                  <w:tcW w:w="3249" w:type="dxa"/>
                  <w:noWrap w:val="0"/>
                  <w:vAlign w:val="center"/>
                </w:tcPr>
                <w:p w14:paraId="29E9CB55">
                  <w:pPr>
                    <w:bidi w:val="0"/>
                    <w:spacing w:line="240" w:lineRule="auto"/>
                    <w:jc w:val="center"/>
                    <w:rPr>
                      <w:rFonts w:hint="default" w:ascii="Times New Roman" w:hAnsi="Times New Roman" w:eastAsia="宋体" w:cs="Times New Roman"/>
                      <w:b w:val="0"/>
                      <w:bCs w:val="0"/>
                      <w:color w:val="auto"/>
                      <w:sz w:val="21"/>
                      <w:szCs w:val="21"/>
                      <w:lang w:val="en-US" w:eastAsia="zh-CN"/>
                    </w:rPr>
                  </w:pPr>
                  <w:r>
                    <w:rPr>
                      <w:rFonts w:hint="default" w:ascii="Times New Roman" w:hAnsi="Times New Roman" w:eastAsia="宋体" w:cs="Times New Roman"/>
                      <w:b w:val="0"/>
                      <w:bCs w:val="0"/>
                      <w:color w:val="auto"/>
                      <w:sz w:val="21"/>
                      <w:szCs w:val="21"/>
                      <w:lang w:val="en-US" w:eastAsia="zh-CN"/>
                    </w:rPr>
                    <w:t>君格工业园</w:t>
                  </w:r>
                </w:p>
              </w:tc>
              <w:tc>
                <w:tcPr>
                  <w:tcW w:w="1012" w:type="dxa"/>
                  <w:noWrap w:val="0"/>
                  <w:vAlign w:val="center"/>
                </w:tcPr>
                <w:p w14:paraId="538FBF3A">
                  <w:pPr>
                    <w:bidi w:val="0"/>
                    <w:spacing w:line="240" w:lineRule="auto"/>
                    <w:jc w:val="center"/>
                    <w:rPr>
                      <w:rFonts w:hint="default" w:ascii="Times New Roman" w:hAnsi="Times New Roman" w:eastAsia="宋体" w:cs="Times New Roman"/>
                      <w:b w:val="0"/>
                      <w:bCs w:val="0"/>
                      <w:sz w:val="21"/>
                      <w:szCs w:val="21"/>
                      <w:vertAlign w:val="baseline"/>
                      <w:lang w:val="en-US" w:eastAsia="zh-CN"/>
                    </w:rPr>
                  </w:pPr>
                  <w:r>
                    <w:rPr>
                      <w:rFonts w:hint="eastAsia" w:cs="Times New Roman"/>
                      <w:b w:val="0"/>
                      <w:bCs w:val="0"/>
                      <w:color w:val="auto"/>
                      <w:sz w:val="21"/>
                      <w:szCs w:val="21"/>
                      <w:lang w:val="en-US" w:eastAsia="zh-CN"/>
                    </w:rPr>
                    <w:t>东北</w:t>
                  </w:r>
                </w:p>
              </w:tc>
              <w:tc>
                <w:tcPr>
                  <w:tcW w:w="1213" w:type="dxa"/>
                  <w:noWrap w:val="0"/>
                  <w:vAlign w:val="center"/>
                </w:tcPr>
                <w:p w14:paraId="089DCA0A">
                  <w:pPr>
                    <w:bidi w:val="0"/>
                    <w:spacing w:line="240" w:lineRule="auto"/>
                    <w:jc w:val="center"/>
                    <w:rPr>
                      <w:rFonts w:hint="default" w:ascii="Times New Roman" w:hAnsi="Times New Roman" w:eastAsia="宋体" w:cs="Times New Roman"/>
                      <w:b w:val="0"/>
                      <w:bCs w:val="0"/>
                      <w:sz w:val="21"/>
                      <w:szCs w:val="21"/>
                      <w:vertAlign w:val="baseline"/>
                      <w:lang w:val="en-US" w:eastAsia="zh-CN"/>
                    </w:rPr>
                  </w:pPr>
                  <w:r>
                    <w:rPr>
                      <w:rFonts w:hint="eastAsia" w:cs="Times New Roman"/>
                      <w:b w:val="0"/>
                      <w:bCs w:val="0"/>
                      <w:color w:val="auto"/>
                      <w:sz w:val="21"/>
                      <w:szCs w:val="21"/>
                      <w:lang w:val="en-US" w:eastAsia="zh-CN"/>
                    </w:rPr>
                    <w:t>306</w:t>
                  </w:r>
                  <w:r>
                    <w:rPr>
                      <w:rFonts w:hint="default" w:ascii="Times New Roman" w:hAnsi="Times New Roman" w:eastAsia="宋体" w:cs="Times New Roman"/>
                      <w:b w:val="0"/>
                      <w:bCs w:val="0"/>
                      <w:sz w:val="21"/>
                      <w:szCs w:val="21"/>
                      <w:vertAlign w:val="baseline"/>
                      <w:lang w:val="en-US" w:eastAsia="zh-CN"/>
                    </w:rPr>
                    <w:t>m</w:t>
                  </w:r>
                </w:p>
              </w:tc>
              <w:tc>
                <w:tcPr>
                  <w:tcW w:w="1540" w:type="dxa"/>
                  <w:noWrap w:val="0"/>
                  <w:vAlign w:val="center"/>
                </w:tcPr>
                <w:p w14:paraId="0504D2A4">
                  <w:pPr>
                    <w:bidi w:val="0"/>
                    <w:spacing w:line="240" w:lineRule="auto"/>
                    <w:jc w:val="center"/>
                    <w:rPr>
                      <w:rFonts w:hint="default" w:ascii="Times New Roman" w:hAnsi="Times New Roman" w:eastAsia="宋体" w:cs="Times New Roman"/>
                      <w:b w:val="0"/>
                      <w:bCs w:val="0"/>
                      <w:sz w:val="21"/>
                      <w:szCs w:val="21"/>
                      <w:lang w:val="en-US" w:eastAsia="zh-CN"/>
                    </w:rPr>
                  </w:pPr>
                  <w:r>
                    <w:rPr>
                      <w:rFonts w:hint="default" w:ascii="Times New Roman" w:hAnsi="Times New Roman" w:eastAsia="宋体" w:cs="Times New Roman"/>
                      <w:b w:val="0"/>
                      <w:bCs w:val="0"/>
                      <w:color w:val="auto"/>
                      <w:sz w:val="21"/>
                      <w:szCs w:val="21"/>
                      <w:lang w:val="en-US" w:eastAsia="zh-CN"/>
                    </w:rPr>
                    <w:t>设备制造</w:t>
                  </w:r>
                </w:p>
              </w:tc>
              <w:tc>
                <w:tcPr>
                  <w:tcW w:w="1404" w:type="dxa"/>
                  <w:noWrap w:val="0"/>
                  <w:vAlign w:val="center"/>
                </w:tcPr>
                <w:p w14:paraId="0624BAAA">
                  <w:pPr>
                    <w:bidi w:val="0"/>
                    <w:spacing w:line="240" w:lineRule="auto"/>
                    <w:jc w:val="center"/>
                    <w:rPr>
                      <w:rFonts w:hint="eastAsia" w:cs="Times New Roman"/>
                      <w:b w:val="0"/>
                      <w:bCs w:val="0"/>
                      <w:sz w:val="21"/>
                      <w:szCs w:val="21"/>
                      <w:lang w:val="en-US" w:eastAsia="zh-CN"/>
                    </w:rPr>
                  </w:pPr>
                  <w:r>
                    <w:rPr>
                      <w:rFonts w:hint="eastAsia" w:cs="Times New Roman"/>
                      <w:b w:val="0"/>
                      <w:bCs w:val="0"/>
                      <w:sz w:val="21"/>
                      <w:szCs w:val="21"/>
                      <w:vertAlign w:val="baseline"/>
                      <w:lang w:val="en-US" w:eastAsia="zh-CN"/>
                    </w:rPr>
                    <w:t>/</w:t>
                  </w:r>
                </w:p>
              </w:tc>
            </w:tr>
            <w:tr w14:paraId="33AB87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 w:hRule="atLeast"/>
                <w:jc w:val="center"/>
              </w:trPr>
              <w:tc>
                <w:tcPr>
                  <w:tcW w:w="3249" w:type="dxa"/>
                  <w:noWrap w:val="0"/>
                  <w:vAlign w:val="center"/>
                </w:tcPr>
                <w:p w14:paraId="140AE879">
                  <w:pPr>
                    <w:bidi w:val="0"/>
                    <w:spacing w:line="240" w:lineRule="auto"/>
                    <w:jc w:val="center"/>
                    <w:rPr>
                      <w:rFonts w:hint="default" w:ascii="Times New Roman" w:hAnsi="Times New Roman" w:eastAsia="宋体" w:cs="Times New Roman"/>
                      <w:b w:val="0"/>
                      <w:bCs w:val="0"/>
                      <w:color w:val="auto"/>
                      <w:sz w:val="21"/>
                      <w:szCs w:val="21"/>
                      <w:lang w:val="en-US" w:eastAsia="zh-CN"/>
                    </w:rPr>
                  </w:pPr>
                  <w:r>
                    <w:rPr>
                      <w:rFonts w:hint="default" w:ascii="Times New Roman" w:hAnsi="Times New Roman" w:eastAsia="宋体" w:cs="Times New Roman"/>
                      <w:b w:val="0"/>
                      <w:bCs w:val="0"/>
                      <w:color w:val="auto"/>
                      <w:sz w:val="21"/>
                      <w:szCs w:val="21"/>
                      <w:lang w:val="en-US" w:eastAsia="zh-CN"/>
                    </w:rPr>
                    <w:t>四川力扬工业有限公司</w:t>
                  </w:r>
                </w:p>
              </w:tc>
              <w:tc>
                <w:tcPr>
                  <w:tcW w:w="1012" w:type="dxa"/>
                  <w:noWrap w:val="0"/>
                  <w:vAlign w:val="center"/>
                </w:tcPr>
                <w:p w14:paraId="4647C375">
                  <w:pPr>
                    <w:bidi w:val="0"/>
                    <w:spacing w:line="240" w:lineRule="auto"/>
                    <w:jc w:val="center"/>
                    <w:rPr>
                      <w:rFonts w:hint="default" w:ascii="Times New Roman" w:hAnsi="Times New Roman" w:eastAsia="宋体" w:cs="Times New Roman"/>
                      <w:b w:val="0"/>
                      <w:bCs w:val="0"/>
                      <w:sz w:val="21"/>
                      <w:szCs w:val="21"/>
                      <w:vertAlign w:val="baseline"/>
                      <w:lang w:val="en-US" w:eastAsia="zh-CN"/>
                    </w:rPr>
                  </w:pPr>
                  <w:r>
                    <w:rPr>
                      <w:rFonts w:hint="eastAsia" w:cs="Times New Roman"/>
                      <w:b w:val="0"/>
                      <w:bCs w:val="0"/>
                      <w:color w:val="auto"/>
                      <w:sz w:val="21"/>
                      <w:szCs w:val="21"/>
                      <w:lang w:val="en-US" w:eastAsia="zh-CN"/>
                    </w:rPr>
                    <w:t>东北</w:t>
                  </w:r>
                </w:p>
              </w:tc>
              <w:tc>
                <w:tcPr>
                  <w:tcW w:w="1213" w:type="dxa"/>
                  <w:noWrap w:val="0"/>
                  <w:vAlign w:val="center"/>
                </w:tcPr>
                <w:p w14:paraId="4C8726CB">
                  <w:pPr>
                    <w:bidi w:val="0"/>
                    <w:spacing w:line="240" w:lineRule="auto"/>
                    <w:jc w:val="center"/>
                    <w:rPr>
                      <w:rFonts w:hint="default" w:cs="Times New Roman"/>
                      <w:b w:val="0"/>
                      <w:bCs w:val="0"/>
                      <w:sz w:val="21"/>
                      <w:szCs w:val="21"/>
                      <w:vertAlign w:val="baseline"/>
                      <w:lang w:val="en-US" w:eastAsia="zh-CN"/>
                    </w:rPr>
                  </w:pPr>
                  <w:r>
                    <w:rPr>
                      <w:rFonts w:hint="eastAsia" w:cs="Times New Roman"/>
                      <w:b w:val="0"/>
                      <w:bCs w:val="0"/>
                      <w:color w:val="auto"/>
                      <w:sz w:val="21"/>
                      <w:szCs w:val="21"/>
                      <w:lang w:val="en-US" w:eastAsia="zh-CN"/>
                    </w:rPr>
                    <w:t>425</w:t>
                  </w:r>
                  <w:r>
                    <w:rPr>
                      <w:rFonts w:hint="default" w:ascii="Times New Roman" w:hAnsi="Times New Roman" w:eastAsia="宋体" w:cs="Times New Roman"/>
                      <w:b w:val="0"/>
                      <w:bCs w:val="0"/>
                      <w:sz w:val="21"/>
                      <w:szCs w:val="21"/>
                      <w:vertAlign w:val="baseline"/>
                      <w:lang w:val="en-US" w:eastAsia="zh-CN"/>
                    </w:rPr>
                    <w:t>m</w:t>
                  </w:r>
                </w:p>
              </w:tc>
              <w:tc>
                <w:tcPr>
                  <w:tcW w:w="1540" w:type="dxa"/>
                  <w:noWrap w:val="0"/>
                  <w:vAlign w:val="center"/>
                </w:tcPr>
                <w:p w14:paraId="39AF62F1">
                  <w:pPr>
                    <w:bidi w:val="0"/>
                    <w:spacing w:line="240" w:lineRule="auto"/>
                    <w:jc w:val="center"/>
                    <w:rPr>
                      <w:rFonts w:hint="default" w:cs="Times New Roman"/>
                      <w:b w:val="0"/>
                      <w:bCs w:val="0"/>
                      <w:sz w:val="21"/>
                      <w:szCs w:val="21"/>
                      <w:lang w:val="en-US" w:eastAsia="zh-CN"/>
                    </w:rPr>
                  </w:pPr>
                  <w:r>
                    <w:rPr>
                      <w:rFonts w:hint="eastAsia" w:cs="Times New Roman"/>
                      <w:b w:val="0"/>
                      <w:bCs w:val="0"/>
                      <w:color w:val="auto"/>
                      <w:sz w:val="21"/>
                      <w:szCs w:val="21"/>
                      <w:lang w:val="en-US" w:eastAsia="zh-CN"/>
                    </w:rPr>
                    <w:t>铅蓄电池制造</w:t>
                  </w:r>
                </w:p>
              </w:tc>
              <w:tc>
                <w:tcPr>
                  <w:tcW w:w="1404" w:type="dxa"/>
                  <w:noWrap w:val="0"/>
                  <w:vAlign w:val="center"/>
                </w:tcPr>
                <w:p w14:paraId="705A70D4">
                  <w:pPr>
                    <w:bidi w:val="0"/>
                    <w:spacing w:line="240" w:lineRule="auto"/>
                    <w:jc w:val="center"/>
                    <w:rPr>
                      <w:rFonts w:hint="eastAsia" w:cs="Times New Roman"/>
                      <w:b w:val="0"/>
                      <w:bCs w:val="0"/>
                      <w:sz w:val="21"/>
                      <w:szCs w:val="21"/>
                      <w:lang w:val="en-US" w:eastAsia="zh-CN"/>
                    </w:rPr>
                  </w:pPr>
                  <w:r>
                    <w:rPr>
                      <w:rFonts w:hint="eastAsia" w:cs="Times New Roman"/>
                      <w:b w:val="0"/>
                      <w:bCs w:val="0"/>
                      <w:sz w:val="21"/>
                      <w:szCs w:val="21"/>
                      <w:vertAlign w:val="baseline"/>
                      <w:lang w:val="en-US" w:eastAsia="zh-CN"/>
                    </w:rPr>
                    <w:t>/</w:t>
                  </w:r>
                </w:p>
              </w:tc>
            </w:tr>
            <w:tr w14:paraId="1F44E8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 w:hRule="atLeast"/>
                <w:jc w:val="center"/>
              </w:trPr>
              <w:tc>
                <w:tcPr>
                  <w:tcW w:w="3249" w:type="dxa"/>
                  <w:noWrap w:val="0"/>
                  <w:vAlign w:val="center"/>
                </w:tcPr>
                <w:p w14:paraId="5598B74D">
                  <w:pPr>
                    <w:bidi w:val="0"/>
                    <w:spacing w:line="240" w:lineRule="auto"/>
                    <w:jc w:val="center"/>
                    <w:rPr>
                      <w:rFonts w:hint="default" w:ascii="Times New Roman" w:hAnsi="Times New Roman" w:eastAsia="宋体" w:cs="Times New Roman"/>
                      <w:b w:val="0"/>
                      <w:bCs w:val="0"/>
                      <w:color w:val="auto"/>
                      <w:sz w:val="21"/>
                      <w:szCs w:val="21"/>
                      <w:lang w:val="en-US" w:eastAsia="zh-CN"/>
                    </w:rPr>
                  </w:pPr>
                  <w:r>
                    <w:rPr>
                      <w:rFonts w:hint="default" w:ascii="Times New Roman" w:hAnsi="Times New Roman" w:eastAsia="宋体" w:cs="Times New Roman"/>
                      <w:b w:val="0"/>
                      <w:bCs w:val="0"/>
                      <w:color w:val="auto"/>
                      <w:sz w:val="21"/>
                      <w:szCs w:val="21"/>
                      <w:lang w:val="en-US" w:eastAsia="zh-CN"/>
                    </w:rPr>
                    <w:t>遂宁铭力科技有限公司</w:t>
                  </w:r>
                </w:p>
              </w:tc>
              <w:tc>
                <w:tcPr>
                  <w:tcW w:w="1012" w:type="dxa"/>
                  <w:noWrap w:val="0"/>
                  <w:vAlign w:val="center"/>
                </w:tcPr>
                <w:p w14:paraId="2885DA32">
                  <w:pPr>
                    <w:bidi w:val="0"/>
                    <w:spacing w:line="240" w:lineRule="auto"/>
                    <w:jc w:val="center"/>
                    <w:rPr>
                      <w:rFonts w:hint="eastAsia" w:cs="Times New Roman"/>
                      <w:b w:val="0"/>
                      <w:bCs w:val="0"/>
                      <w:color w:val="auto"/>
                      <w:sz w:val="21"/>
                      <w:szCs w:val="21"/>
                      <w:lang w:val="en-US" w:eastAsia="zh-CN"/>
                    </w:rPr>
                  </w:pPr>
                  <w:r>
                    <w:rPr>
                      <w:rFonts w:hint="eastAsia" w:cs="Times New Roman"/>
                      <w:b w:val="0"/>
                      <w:bCs w:val="0"/>
                      <w:color w:val="auto"/>
                      <w:sz w:val="21"/>
                      <w:szCs w:val="21"/>
                      <w:lang w:val="en-US" w:eastAsia="zh-CN"/>
                    </w:rPr>
                    <w:t>北</w:t>
                  </w:r>
                </w:p>
              </w:tc>
              <w:tc>
                <w:tcPr>
                  <w:tcW w:w="1213" w:type="dxa"/>
                  <w:noWrap w:val="0"/>
                  <w:vAlign w:val="center"/>
                </w:tcPr>
                <w:p w14:paraId="4989EBFE">
                  <w:pPr>
                    <w:bidi w:val="0"/>
                    <w:spacing w:line="240" w:lineRule="auto"/>
                    <w:jc w:val="center"/>
                    <w:rPr>
                      <w:rFonts w:hint="eastAsia" w:cs="Times New Roman"/>
                      <w:b w:val="0"/>
                      <w:bCs w:val="0"/>
                      <w:color w:val="auto"/>
                      <w:sz w:val="21"/>
                      <w:szCs w:val="21"/>
                      <w:lang w:val="en-US" w:eastAsia="zh-CN"/>
                    </w:rPr>
                  </w:pPr>
                  <w:r>
                    <w:rPr>
                      <w:rFonts w:hint="eastAsia" w:cs="Times New Roman"/>
                      <w:b w:val="0"/>
                      <w:bCs w:val="0"/>
                      <w:color w:val="auto"/>
                      <w:sz w:val="21"/>
                      <w:szCs w:val="21"/>
                      <w:lang w:val="en-US" w:eastAsia="zh-CN"/>
                    </w:rPr>
                    <w:t>57</w:t>
                  </w:r>
                  <w:r>
                    <w:rPr>
                      <w:rFonts w:hint="default" w:ascii="Times New Roman" w:hAnsi="Times New Roman" w:eastAsia="宋体" w:cs="Times New Roman"/>
                      <w:b w:val="0"/>
                      <w:bCs w:val="0"/>
                      <w:sz w:val="21"/>
                      <w:szCs w:val="21"/>
                      <w:vertAlign w:val="baseline"/>
                      <w:lang w:val="en-US" w:eastAsia="zh-CN"/>
                    </w:rPr>
                    <w:t>m</w:t>
                  </w:r>
                </w:p>
              </w:tc>
              <w:tc>
                <w:tcPr>
                  <w:tcW w:w="1540" w:type="dxa"/>
                  <w:noWrap w:val="0"/>
                  <w:vAlign w:val="center"/>
                </w:tcPr>
                <w:p w14:paraId="352922BB">
                  <w:pPr>
                    <w:bidi w:val="0"/>
                    <w:spacing w:line="240" w:lineRule="auto"/>
                    <w:jc w:val="center"/>
                    <w:rPr>
                      <w:rFonts w:hint="default" w:cs="Times New Roman"/>
                      <w:b w:val="0"/>
                      <w:bCs w:val="0"/>
                      <w:color w:val="auto"/>
                      <w:sz w:val="21"/>
                      <w:szCs w:val="21"/>
                      <w:lang w:val="en-US" w:eastAsia="zh-CN"/>
                    </w:rPr>
                  </w:pPr>
                  <w:r>
                    <w:rPr>
                      <w:rFonts w:hint="eastAsia" w:cs="Times New Roman"/>
                      <w:b w:val="0"/>
                      <w:bCs w:val="0"/>
                      <w:color w:val="auto"/>
                      <w:sz w:val="21"/>
                      <w:szCs w:val="21"/>
                      <w:lang w:val="en-US" w:eastAsia="zh-CN"/>
                    </w:rPr>
                    <w:t>汽车用品制造</w:t>
                  </w:r>
                </w:p>
              </w:tc>
              <w:tc>
                <w:tcPr>
                  <w:tcW w:w="1404" w:type="dxa"/>
                  <w:noWrap w:val="0"/>
                  <w:vAlign w:val="center"/>
                </w:tcPr>
                <w:p w14:paraId="5F144DDD">
                  <w:pPr>
                    <w:bidi w:val="0"/>
                    <w:spacing w:line="240" w:lineRule="auto"/>
                    <w:jc w:val="center"/>
                    <w:rPr>
                      <w:rFonts w:hint="default" w:cs="Times New Roman"/>
                      <w:b w:val="0"/>
                      <w:bCs w:val="0"/>
                      <w:sz w:val="21"/>
                      <w:szCs w:val="21"/>
                      <w:vertAlign w:val="baseline"/>
                      <w:lang w:val="en-US" w:eastAsia="zh-CN"/>
                    </w:rPr>
                  </w:pPr>
                  <w:r>
                    <w:rPr>
                      <w:rFonts w:hint="eastAsia" w:cs="Times New Roman"/>
                      <w:b w:val="0"/>
                      <w:bCs w:val="0"/>
                      <w:sz w:val="21"/>
                      <w:szCs w:val="21"/>
                      <w:vertAlign w:val="baseline"/>
                      <w:lang w:val="en-US" w:eastAsia="zh-CN"/>
                    </w:rPr>
                    <w:t>/</w:t>
                  </w:r>
                </w:p>
              </w:tc>
            </w:tr>
            <w:tr w14:paraId="38761C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 w:hRule="atLeast"/>
                <w:jc w:val="center"/>
              </w:trPr>
              <w:tc>
                <w:tcPr>
                  <w:tcW w:w="3249" w:type="dxa"/>
                  <w:noWrap w:val="0"/>
                  <w:vAlign w:val="center"/>
                </w:tcPr>
                <w:p w14:paraId="7E42FC52">
                  <w:pPr>
                    <w:bidi w:val="0"/>
                    <w:spacing w:line="240" w:lineRule="auto"/>
                    <w:jc w:val="center"/>
                    <w:rPr>
                      <w:rFonts w:hint="default" w:ascii="Times New Roman" w:hAnsi="Times New Roman" w:eastAsia="宋体" w:cs="Times New Roman"/>
                      <w:b w:val="0"/>
                      <w:bCs w:val="0"/>
                      <w:color w:val="auto"/>
                      <w:sz w:val="21"/>
                      <w:szCs w:val="21"/>
                      <w:lang w:val="en-US" w:eastAsia="zh-CN"/>
                    </w:rPr>
                  </w:pPr>
                  <w:r>
                    <w:rPr>
                      <w:rFonts w:hint="eastAsia"/>
                    </w:rPr>
                    <w:t>遂宁格尔仕电子科技有限公司</w:t>
                  </w:r>
                </w:p>
              </w:tc>
              <w:tc>
                <w:tcPr>
                  <w:tcW w:w="1012" w:type="dxa"/>
                  <w:noWrap w:val="0"/>
                  <w:vAlign w:val="center"/>
                </w:tcPr>
                <w:p w14:paraId="719EE0D9">
                  <w:pPr>
                    <w:bidi w:val="0"/>
                    <w:spacing w:line="240" w:lineRule="auto"/>
                    <w:jc w:val="center"/>
                    <w:rPr>
                      <w:rFonts w:hint="default" w:ascii="Times New Roman" w:hAnsi="Times New Roman" w:eastAsia="宋体" w:cs="Times New Roman"/>
                      <w:b w:val="0"/>
                      <w:bCs w:val="0"/>
                      <w:color w:val="auto"/>
                      <w:sz w:val="21"/>
                      <w:szCs w:val="21"/>
                      <w:lang w:val="en-US" w:eastAsia="zh-CN"/>
                    </w:rPr>
                  </w:pPr>
                  <w:r>
                    <w:rPr>
                      <w:rFonts w:hint="eastAsia" w:cs="Times New Roman"/>
                      <w:b w:val="0"/>
                      <w:bCs w:val="0"/>
                      <w:color w:val="auto"/>
                      <w:sz w:val="21"/>
                      <w:szCs w:val="21"/>
                      <w:lang w:val="en-US" w:eastAsia="zh-CN"/>
                    </w:rPr>
                    <w:t>北</w:t>
                  </w:r>
                </w:p>
              </w:tc>
              <w:tc>
                <w:tcPr>
                  <w:tcW w:w="1213" w:type="dxa"/>
                  <w:noWrap w:val="0"/>
                  <w:vAlign w:val="center"/>
                </w:tcPr>
                <w:p w14:paraId="358D30B1">
                  <w:pPr>
                    <w:bidi w:val="0"/>
                    <w:spacing w:line="240" w:lineRule="auto"/>
                    <w:jc w:val="center"/>
                    <w:rPr>
                      <w:rFonts w:hint="default" w:ascii="Times New Roman" w:hAnsi="Times New Roman" w:eastAsia="宋体" w:cs="Times New Roman"/>
                      <w:b w:val="0"/>
                      <w:bCs w:val="0"/>
                      <w:color w:val="auto"/>
                      <w:sz w:val="21"/>
                      <w:szCs w:val="21"/>
                      <w:lang w:val="en-US" w:eastAsia="zh-CN"/>
                    </w:rPr>
                  </w:pPr>
                  <w:r>
                    <w:rPr>
                      <w:rFonts w:hint="eastAsia" w:cs="Times New Roman"/>
                      <w:b w:val="0"/>
                      <w:bCs w:val="0"/>
                      <w:color w:val="auto"/>
                      <w:sz w:val="21"/>
                      <w:szCs w:val="21"/>
                      <w:lang w:val="en-US" w:eastAsia="zh-CN"/>
                    </w:rPr>
                    <w:t>89</w:t>
                  </w:r>
                  <w:r>
                    <w:rPr>
                      <w:rFonts w:hint="default" w:ascii="Times New Roman" w:hAnsi="Times New Roman" w:eastAsia="宋体" w:cs="Times New Roman"/>
                      <w:b w:val="0"/>
                      <w:bCs w:val="0"/>
                      <w:sz w:val="21"/>
                      <w:szCs w:val="21"/>
                      <w:vertAlign w:val="baseline"/>
                      <w:lang w:val="en-US" w:eastAsia="zh-CN"/>
                    </w:rPr>
                    <w:t>m</w:t>
                  </w:r>
                </w:p>
              </w:tc>
              <w:tc>
                <w:tcPr>
                  <w:tcW w:w="1540" w:type="dxa"/>
                  <w:noWrap w:val="0"/>
                  <w:vAlign w:val="center"/>
                </w:tcPr>
                <w:p w14:paraId="0EDFD11A">
                  <w:pPr>
                    <w:bidi w:val="0"/>
                    <w:spacing w:line="240" w:lineRule="auto"/>
                    <w:jc w:val="center"/>
                    <w:rPr>
                      <w:rFonts w:hint="default" w:ascii="Times New Roman" w:hAnsi="Times New Roman" w:eastAsia="宋体" w:cs="Times New Roman"/>
                      <w:b w:val="0"/>
                      <w:bCs w:val="0"/>
                      <w:color w:val="auto"/>
                      <w:sz w:val="21"/>
                      <w:szCs w:val="21"/>
                      <w:lang w:val="en-US" w:eastAsia="zh-CN"/>
                    </w:rPr>
                  </w:pPr>
                  <w:r>
                    <w:rPr>
                      <w:rFonts w:hint="eastAsia"/>
                    </w:rPr>
                    <w:t>电子设备</w:t>
                  </w:r>
                  <w:r>
                    <w:rPr>
                      <w:rFonts w:hint="eastAsia" w:cs="Times New Roman"/>
                      <w:b w:val="0"/>
                      <w:bCs w:val="0"/>
                      <w:color w:val="auto"/>
                      <w:sz w:val="21"/>
                      <w:szCs w:val="21"/>
                      <w:lang w:val="en-US" w:eastAsia="zh-CN"/>
                    </w:rPr>
                    <w:t>制造</w:t>
                  </w:r>
                </w:p>
              </w:tc>
              <w:tc>
                <w:tcPr>
                  <w:tcW w:w="1404" w:type="dxa"/>
                  <w:noWrap w:val="0"/>
                  <w:vAlign w:val="center"/>
                </w:tcPr>
                <w:p w14:paraId="5EC0F006">
                  <w:pPr>
                    <w:bidi w:val="0"/>
                    <w:spacing w:line="240" w:lineRule="auto"/>
                    <w:jc w:val="center"/>
                    <w:rPr>
                      <w:rFonts w:hint="default" w:ascii="Times New Roman" w:hAnsi="Times New Roman" w:eastAsia="宋体" w:cs="Times New Roman"/>
                      <w:b w:val="0"/>
                      <w:bCs w:val="0"/>
                      <w:color w:val="auto"/>
                      <w:sz w:val="21"/>
                      <w:szCs w:val="21"/>
                      <w:lang w:val="en-US" w:eastAsia="zh-CN"/>
                    </w:rPr>
                  </w:pPr>
                  <w:r>
                    <w:rPr>
                      <w:rFonts w:hint="eastAsia" w:cs="Times New Roman"/>
                      <w:b w:val="0"/>
                      <w:bCs w:val="0"/>
                      <w:sz w:val="21"/>
                      <w:szCs w:val="21"/>
                      <w:vertAlign w:val="baseline"/>
                      <w:lang w:val="en-US" w:eastAsia="zh-CN"/>
                    </w:rPr>
                    <w:t>/</w:t>
                  </w:r>
                </w:p>
              </w:tc>
            </w:tr>
            <w:tr w14:paraId="56D0DE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 w:hRule="atLeast"/>
                <w:jc w:val="center"/>
              </w:trPr>
              <w:tc>
                <w:tcPr>
                  <w:tcW w:w="3249" w:type="dxa"/>
                  <w:noWrap w:val="0"/>
                  <w:vAlign w:val="center"/>
                </w:tcPr>
                <w:p w14:paraId="031A35CC">
                  <w:pPr>
                    <w:bidi w:val="0"/>
                    <w:spacing w:line="240" w:lineRule="auto"/>
                    <w:jc w:val="center"/>
                    <w:rPr>
                      <w:rFonts w:hint="eastAsia"/>
                    </w:rPr>
                  </w:pPr>
                  <w:r>
                    <w:rPr>
                      <w:rFonts w:hint="eastAsia"/>
                    </w:rPr>
                    <w:t>安居</w:t>
                  </w:r>
                  <w:r>
                    <w:rPr>
                      <w:rFonts w:hint="eastAsia"/>
                      <w:lang w:eastAsia="zh-CN"/>
                    </w:rPr>
                    <w:t>救灾物资</w:t>
                  </w:r>
                  <w:r>
                    <w:rPr>
                      <w:rFonts w:hint="eastAsia"/>
                    </w:rPr>
                    <w:t>储备库</w:t>
                  </w:r>
                </w:p>
              </w:tc>
              <w:tc>
                <w:tcPr>
                  <w:tcW w:w="1012" w:type="dxa"/>
                  <w:noWrap w:val="0"/>
                  <w:vAlign w:val="center"/>
                </w:tcPr>
                <w:p w14:paraId="64D40E1D">
                  <w:pPr>
                    <w:bidi w:val="0"/>
                    <w:spacing w:line="240" w:lineRule="auto"/>
                    <w:jc w:val="center"/>
                    <w:rPr>
                      <w:rFonts w:hint="eastAsia" w:cs="Times New Roman"/>
                      <w:b w:val="0"/>
                      <w:bCs w:val="0"/>
                      <w:color w:val="auto"/>
                      <w:sz w:val="21"/>
                      <w:szCs w:val="21"/>
                      <w:lang w:val="en-US" w:eastAsia="zh-CN"/>
                    </w:rPr>
                  </w:pPr>
                  <w:r>
                    <w:rPr>
                      <w:rFonts w:hint="eastAsia" w:cs="Times New Roman"/>
                      <w:b w:val="0"/>
                      <w:bCs w:val="0"/>
                      <w:color w:val="auto"/>
                      <w:sz w:val="21"/>
                      <w:szCs w:val="21"/>
                      <w:lang w:val="en-US" w:eastAsia="zh-CN"/>
                    </w:rPr>
                    <w:t>北</w:t>
                  </w:r>
                </w:p>
              </w:tc>
              <w:tc>
                <w:tcPr>
                  <w:tcW w:w="1213" w:type="dxa"/>
                  <w:noWrap w:val="0"/>
                  <w:vAlign w:val="center"/>
                </w:tcPr>
                <w:p w14:paraId="30CCB7E0">
                  <w:pPr>
                    <w:bidi w:val="0"/>
                    <w:spacing w:line="240" w:lineRule="auto"/>
                    <w:jc w:val="center"/>
                    <w:rPr>
                      <w:rFonts w:hint="eastAsia" w:cs="Times New Roman"/>
                      <w:b w:val="0"/>
                      <w:bCs w:val="0"/>
                      <w:color w:val="auto"/>
                      <w:sz w:val="21"/>
                      <w:szCs w:val="21"/>
                      <w:lang w:val="en-US" w:eastAsia="zh-CN"/>
                    </w:rPr>
                  </w:pPr>
                  <w:r>
                    <w:rPr>
                      <w:rFonts w:hint="eastAsia" w:cs="Times New Roman"/>
                      <w:b w:val="0"/>
                      <w:bCs w:val="0"/>
                      <w:color w:val="auto"/>
                      <w:sz w:val="21"/>
                      <w:szCs w:val="21"/>
                      <w:lang w:val="en-US" w:eastAsia="zh-CN"/>
                    </w:rPr>
                    <w:t>145</w:t>
                  </w:r>
                  <w:r>
                    <w:rPr>
                      <w:rFonts w:hint="default" w:ascii="Times New Roman" w:hAnsi="Times New Roman" w:eastAsia="宋体" w:cs="Times New Roman"/>
                      <w:b w:val="0"/>
                      <w:bCs w:val="0"/>
                      <w:sz w:val="21"/>
                      <w:szCs w:val="21"/>
                      <w:vertAlign w:val="baseline"/>
                      <w:lang w:val="en-US" w:eastAsia="zh-CN"/>
                    </w:rPr>
                    <w:t>m</w:t>
                  </w:r>
                </w:p>
              </w:tc>
              <w:tc>
                <w:tcPr>
                  <w:tcW w:w="1540" w:type="dxa"/>
                  <w:noWrap w:val="0"/>
                  <w:vAlign w:val="center"/>
                </w:tcPr>
                <w:p w14:paraId="01A64E64">
                  <w:pPr>
                    <w:bidi w:val="0"/>
                    <w:spacing w:line="240" w:lineRule="auto"/>
                    <w:jc w:val="center"/>
                    <w:rPr>
                      <w:rFonts w:hint="eastAsia"/>
                    </w:rPr>
                  </w:pPr>
                  <w:r>
                    <w:rPr>
                      <w:rFonts w:hint="eastAsia"/>
                    </w:rPr>
                    <w:t>物质储备</w:t>
                  </w:r>
                </w:p>
              </w:tc>
              <w:tc>
                <w:tcPr>
                  <w:tcW w:w="1404" w:type="dxa"/>
                  <w:noWrap w:val="0"/>
                  <w:vAlign w:val="center"/>
                </w:tcPr>
                <w:p w14:paraId="609A75F9">
                  <w:pPr>
                    <w:bidi w:val="0"/>
                    <w:spacing w:line="240" w:lineRule="auto"/>
                    <w:jc w:val="center"/>
                    <w:rPr>
                      <w:rFonts w:hint="default" w:cs="Times New Roman"/>
                      <w:b w:val="0"/>
                      <w:bCs w:val="0"/>
                      <w:sz w:val="21"/>
                      <w:szCs w:val="21"/>
                      <w:vertAlign w:val="baseline"/>
                      <w:lang w:val="en-US" w:eastAsia="zh-CN"/>
                    </w:rPr>
                  </w:pPr>
                  <w:r>
                    <w:rPr>
                      <w:rFonts w:hint="eastAsia" w:cs="Times New Roman"/>
                      <w:b w:val="0"/>
                      <w:bCs w:val="0"/>
                      <w:sz w:val="21"/>
                      <w:szCs w:val="21"/>
                      <w:vertAlign w:val="baseline"/>
                      <w:lang w:val="en-US" w:eastAsia="zh-CN"/>
                    </w:rPr>
                    <w:t>/</w:t>
                  </w:r>
                </w:p>
              </w:tc>
            </w:tr>
            <w:tr w14:paraId="10DB0B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 w:hRule="atLeast"/>
                <w:jc w:val="center"/>
              </w:trPr>
              <w:tc>
                <w:tcPr>
                  <w:tcW w:w="3249" w:type="dxa"/>
                  <w:noWrap w:val="0"/>
                  <w:vAlign w:val="center"/>
                </w:tcPr>
                <w:p w14:paraId="44F45B55">
                  <w:pPr>
                    <w:bidi w:val="0"/>
                    <w:spacing w:line="240" w:lineRule="auto"/>
                    <w:jc w:val="center"/>
                    <w:rPr>
                      <w:rFonts w:hint="default" w:ascii="Times New Roman" w:hAnsi="Times New Roman" w:eastAsia="宋体" w:cs="Times New Roman"/>
                      <w:b w:val="0"/>
                      <w:bCs w:val="0"/>
                      <w:color w:val="auto"/>
                      <w:sz w:val="21"/>
                      <w:szCs w:val="21"/>
                      <w:lang w:val="en-US" w:eastAsia="zh-CN"/>
                    </w:rPr>
                  </w:pPr>
                  <w:r>
                    <w:rPr>
                      <w:rFonts w:hint="eastAsia"/>
                    </w:rPr>
                    <w:t>君格工业园职工倒班房</w:t>
                  </w:r>
                </w:p>
              </w:tc>
              <w:tc>
                <w:tcPr>
                  <w:tcW w:w="1012" w:type="dxa"/>
                  <w:noWrap w:val="0"/>
                  <w:vAlign w:val="center"/>
                </w:tcPr>
                <w:p w14:paraId="33C729C4">
                  <w:pPr>
                    <w:bidi w:val="0"/>
                    <w:spacing w:line="240" w:lineRule="auto"/>
                    <w:jc w:val="center"/>
                    <w:rPr>
                      <w:rFonts w:hint="default" w:ascii="Times New Roman" w:hAnsi="Times New Roman" w:eastAsia="宋体" w:cs="Times New Roman"/>
                      <w:b w:val="0"/>
                      <w:bCs w:val="0"/>
                      <w:color w:val="auto"/>
                      <w:sz w:val="21"/>
                      <w:szCs w:val="21"/>
                      <w:lang w:val="en-US" w:eastAsia="zh-CN"/>
                    </w:rPr>
                  </w:pPr>
                  <w:r>
                    <w:rPr>
                      <w:rFonts w:hint="eastAsia" w:cs="Times New Roman"/>
                      <w:b w:val="0"/>
                      <w:bCs w:val="0"/>
                      <w:color w:val="auto"/>
                      <w:sz w:val="21"/>
                      <w:szCs w:val="21"/>
                      <w:lang w:val="en-US" w:eastAsia="zh-CN"/>
                    </w:rPr>
                    <w:t>北</w:t>
                  </w:r>
                </w:p>
              </w:tc>
              <w:tc>
                <w:tcPr>
                  <w:tcW w:w="1213" w:type="dxa"/>
                  <w:noWrap w:val="0"/>
                  <w:vAlign w:val="center"/>
                </w:tcPr>
                <w:p w14:paraId="3292FF52">
                  <w:pPr>
                    <w:bidi w:val="0"/>
                    <w:spacing w:line="240" w:lineRule="auto"/>
                    <w:jc w:val="center"/>
                    <w:rPr>
                      <w:rFonts w:hint="default" w:ascii="Times New Roman" w:hAnsi="Times New Roman" w:eastAsia="宋体" w:cs="Times New Roman"/>
                      <w:b w:val="0"/>
                      <w:bCs w:val="0"/>
                      <w:color w:val="auto"/>
                      <w:sz w:val="21"/>
                      <w:szCs w:val="21"/>
                      <w:lang w:val="en-US" w:eastAsia="zh-CN"/>
                    </w:rPr>
                  </w:pPr>
                  <w:r>
                    <w:rPr>
                      <w:rFonts w:hint="eastAsia" w:cs="Times New Roman"/>
                      <w:b w:val="0"/>
                      <w:bCs w:val="0"/>
                      <w:color w:val="auto"/>
                      <w:sz w:val="21"/>
                      <w:szCs w:val="21"/>
                      <w:lang w:val="en-US" w:eastAsia="zh-CN"/>
                    </w:rPr>
                    <w:t>292</w:t>
                  </w:r>
                  <w:r>
                    <w:rPr>
                      <w:rFonts w:hint="default" w:ascii="Times New Roman" w:hAnsi="Times New Roman" w:eastAsia="宋体" w:cs="Times New Roman"/>
                      <w:b w:val="0"/>
                      <w:bCs w:val="0"/>
                      <w:sz w:val="21"/>
                      <w:szCs w:val="21"/>
                      <w:vertAlign w:val="baseline"/>
                      <w:lang w:val="en-US" w:eastAsia="zh-CN"/>
                    </w:rPr>
                    <w:t>m</w:t>
                  </w:r>
                </w:p>
              </w:tc>
              <w:tc>
                <w:tcPr>
                  <w:tcW w:w="1540" w:type="dxa"/>
                  <w:noWrap w:val="0"/>
                  <w:vAlign w:val="center"/>
                </w:tcPr>
                <w:p w14:paraId="4321F1F2">
                  <w:pPr>
                    <w:bidi w:val="0"/>
                    <w:spacing w:line="240" w:lineRule="auto"/>
                    <w:jc w:val="center"/>
                    <w:rPr>
                      <w:rFonts w:hint="default" w:ascii="Times New Roman" w:hAnsi="Times New Roman" w:eastAsia="宋体" w:cs="Times New Roman"/>
                      <w:b w:val="0"/>
                      <w:bCs w:val="0"/>
                      <w:color w:val="auto"/>
                      <w:sz w:val="21"/>
                      <w:szCs w:val="21"/>
                      <w:lang w:val="en-US" w:eastAsia="zh-CN"/>
                    </w:rPr>
                  </w:pPr>
                  <w:r>
                    <w:rPr>
                      <w:rFonts w:hint="eastAsia"/>
                    </w:rPr>
                    <w:t>职工倒班房</w:t>
                  </w:r>
                </w:p>
              </w:tc>
              <w:tc>
                <w:tcPr>
                  <w:tcW w:w="1404" w:type="dxa"/>
                  <w:noWrap w:val="0"/>
                  <w:vAlign w:val="center"/>
                </w:tcPr>
                <w:p w14:paraId="3BDD716F">
                  <w:pPr>
                    <w:bidi w:val="0"/>
                    <w:spacing w:line="240" w:lineRule="auto"/>
                    <w:jc w:val="center"/>
                    <w:rPr>
                      <w:rFonts w:hint="default" w:ascii="Times New Roman" w:hAnsi="Times New Roman" w:eastAsia="宋体" w:cs="Times New Roman"/>
                      <w:b w:val="0"/>
                      <w:bCs w:val="0"/>
                      <w:color w:val="auto"/>
                      <w:sz w:val="21"/>
                      <w:szCs w:val="21"/>
                      <w:lang w:val="en-US" w:eastAsia="zh-CN"/>
                    </w:rPr>
                  </w:pPr>
                  <w:r>
                    <w:rPr>
                      <w:rFonts w:hint="eastAsia" w:cs="Times New Roman"/>
                      <w:b w:val="0"/>
                      <w:bCs w:val="0"/>
                      <w:sz w:val="21"/>
                      <w:szCs w:val="21"/>
                      <w:vertAlign w:val="baseline"/>
                      <w:lang w:val="en-US" w:eastAsia="zh-CN"/>
                    </w:rPr>
                    <w:t>/</w:t>
                  </w:r>
                </w:p>
              </w:tc>
            </w:tr>
            <w:tr w14:paraId="37ABE7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 w:hRule="atLeast"/>
                <w:jc w:val="center"/>
              </w:trPr>
              <w:tc>
                <w:tcPr>
                  <w:tcW w:w="3249" w:type="dxa"/>
                  <w:noWrap w:val="0"/>
                  <w:vAlign w:val="center"/>
                </w:tcPr>
                <w:p w14:paraId="04AA880F">
                  <w:pPr>
                    <w:bidi w:val="0"/>
                    <w:spacing w:line="240" w:lineRule="auto"/>
                    <w:jc w:val="center"/>
                    <w:rPr>
                      <w:rFonts w:hint="default" w:ascii="Times New Roman" w:hAnsi="Times New Roman" w:eastAsia="宋体" w:cs="Times New Roman"/>
                      <w:b w:val="0"/>
                      <w:bCs w:val="0"/>
                      <w:color w:val="auto"/>
                      <w:sz w:val="21"/>
                      <w:szCs w:val="21"/>
                      <w:lang w:val="en-US" w:eastAsia="zh-CN"/>
                    </w:rPr>
                  </w:pPr>
                  <w:r>
                    <w:rPr>
                      <w:rFonts w:hint="eastAsia"/>
                    </w:rPr>
                    <w:t>安居区电子商务产业园办公楼</w:t>
                  </w:r>
                </w:p>
              </w:tc>
              <w:tc>
                <w:tcPr>
                  <w:tcW w:w="1012" w:type="dxa"/>
                  <w:noWrap w:val="0"/>
                  <w:vAlign w:val="center"/>
                </w:tcPr>
                <w:p w14:paraId="7F1BC7A0">
                  <w:pPr>
                    <w:bidi w:val="0"/>
                    <w:spacing w:line="240" w:lineRule="auto"/>
                    <w:jc w:val="center"/>
                    <w:rPr>
                      <w:rFonts w:hint="default" w:ascii="Times New Roman" w:hAnsi="Times New Roman" w:eastAsia="宋体" w:cs="Times New Roman"/>
                      <w:b w:val="0"/>
                      <w:bCs w:val="0"/>
                      <w:color w:val="auto"/>
                      <w:sz w:val="21"/>
                      <w:szCs w:val="21"/>
                      <w:lang w:val="en-US" w:eastAsia="zh-CN"/>
                    </w:rPr>
                  </w:pPr>
                  <w:r>
                    <w:rPr>
                      <w:rFonts w:hint="eastAsia" w:cs="Times New Roman"/>
                      <w:b w:val="0"/>
                      <w:bCs w:val="0"/>
                      <w:color w:val="auto"/>
                      <w:sz w:val="21"/>
                      <w:szCs w:val="21"/>
                      <w:lang w:val="en-US" w:eastAsia="zh-CN"/>
                    </w:rPr>
                    <w:t>西北</w:t>
                  </w:r>
                </w:p>
              </w:tc>
              <w:tc>
                <w:tcPr>
                  <w:tcW w:w="1213" w:type="dxa"/>
                  <w:noWrap w:val="0"/>
                  <w:vAlign w:val="center"/>
                </w:tcPr>
                <w:p w14:paraId="41C001E4">
                  <w:pPr>
                    <w:bidi w:val="0"/>
                    <w:spacing w:line="240" w:lineRule="auto"/>
                    <w:jc w:val="center"/>
                    <w:rPr>
                      <w:rFonts w:hint="default" w:ascii="Times New Roman" w:hAnsi="Times New Roman" w:eastAsia="宋体" w:cs="Times New Roman"/>
                      <w:b w:val="0"/>
                      <w:bCs w:val="0"/>
                      <w:color w:val="auto"/>
                      <w:sz w:val="21"/>
                      <w:szCs w:val="21"/>
                      <w:lang w:val="en-US" w:eastAsia="zh-CN"/>
                    </w:rPr>
                  </w:pPr>
                  <w:r>
                    <w:rPr>
                      <w:rFonts w:hint="eastAsia" w:cs="Times New Roman"/>
                      <w:b w:val="0"/>
                      <w:bCs w:val="0"/>
                      <w:color w:val="auto"/>
                      <w:sz w:val="21"/>
                      <w:szCs w:val="21"/>
                      <w:lang w:val="en-US" w:eastAsia="zh-CN"/>
                    </w:rPr>
                    <w:t>35</w:t>
                  </w:r>
                  <w:r>
                    <w:rPr>
                      <w:rFonts w:hint="default" w:ascii="Times New Roman" w:hAnsi="Times New Roman" w:eastAsia="宋体" w:cs="Times New Roman"/>
                      <w:b w:val="0"/>
                      <w:bCs w:val="0"/>
                      <w:sz w:val="21"/>
                      <w:szCs w:val="21"/>
                      <w:vertAlign w:val="baseline"/>
                      <w:lang w:val="en-US" w:eastAsia="zh-CN"/>
                    </w:rPr>
                    <w:t>m</w:t>
                  </w:r>
                </w:p>
              </w:tc>
              <w:tc>
                <w:tcPr>
                  <w:tcW w:w="1540" w:type="dxa"/>
                  <w:noWrap w:val="0"/>
                  <w:vAlign w:val="center"/>
                </w:tcPr>
                <w:p w14:paraId="12901B29">
                  <w:pPr>
                    <w:bidi w:val="0"/>
                    <w:spacing w:line="240" w:lineRule="auto"/>
                    <w:jc w:val="center"/>
                    <w:rPr>
                      <w:rFonts w:hint="default" w:ascii="Times New Roman" w:hAnsi="Times New Roman" w:eastAsia="宋体" w:cs="Times New Roman"/>
                      <w:b w:val="0"/>
                      <w:bCs w:val="0"/>
                      <w:color w:val="auto"/>
                      <w:sz w:val="21"/>
                      <w:szCs w:val="21"/>
                      <w:lang w:val="en-US" w:eastAsia="zh-CN"/>
                    </w:rPr>
                  </w:pPr>
                  <w:r>
                    <w:rPr>
                      <w:rFonts w:hint="default" w:ascii="Times New Roman" w:hAnsi="Times New Roman" w:eastAsia="宋体" w:cs="Times New Roman"/>
                      <w:b w:val="0"/>
                      <w:bCs w:val="0"/>
                      <w:sz w:val="21"/>
                      <w:szCs w:val="21"/>
                      <w:vertAlign w:val="baseline"/>
                      <w:lang w:val="en-US" w:eastAsia="zh-CN"/>
                    </w:rPr>
                    <w:t>后勤服务</w:t>
                  </w:r>
                </w:p>
              </w:tc>
              <w:tc>
                <w:tcPr>
                  <w:tcW w:w="1404" w:type="dxa"/>
                  <w:noWrap w:val="0"/>
                  <w:vAlign w:val="center"/>
                </w:tcPr>
                <w:p w14:paraId="05324B1D">
                  <w:pPr>
                    <w:bidi w:val="0"/>
                    <w:spacing w:line="240" w:lineRule="auto"/>
                    <w:jc w:val="center"/>
                    <w:rPr>
                      <w:rFonts w:hint="default" w:ascii="Times New Roman" w:hAnsi="Times New Roman" w:eastAsia="宋体" w:cs="Times New Roman"/>
                      <w:b w:val="0"/>
                      <w:bCs w:val="0"/>
                      <w:color w:val="auto"/>
                      <w:sz w:val="21"/>
                      <w:szCs w:val="21"/>
                      <w:lang w:val="en-US" w:eastAsia="zh-CN"/>
                    </w:rPr>
                  </w:pPr>
                  <w:r>
                    <w:rPr>
                      <w:rFonts w:hint="eastAsia" w:cs="Times New Roman"/>
                      <w:b w:val="0"/>
                      <w:bCs w:val="0"/>
                      <w:sz w:val="21"/>
                      <w:szCs w:val="21"/>
                      <w:vertAlign w:val="baseline"/>
                      <w:lang w:val="en-US" w:eastAsia="zh-CN"/>
                    </w:rPr>
                    <w:t>/</w:t>
                  </w:r>
                </w:p>
              </w:tc>
            </w:tr>
            <w:tr w14:paraId="52F379F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 w:hRule="atLeast"/>
                <w:jc w:val="center"/>
              </w:trPr>
              <w:tc>
                <w:tcPr>
                  <w:tcW w:w="3249" w:type="dxa"/>
                  <w:noWrap w:val="0"/>
                  <w:vAlign w:val="center"/>
                </w:tcPr>
                <w:p w14:paraId="331AD7CD">
                  <w:pPr>
                    <w:bidi w:val="0"/>
                    <w:spacing w:line="240" w:lineRule="auto"/>
                    <w:jc w:val="center"/>
                    <w:rPr>
                      <w:rFonts w:hint="default" w:ascii="Times New Roman" w:hAnsi="Times New Roman" w:eastAsia="宋体" w:cs="Times New Roman"/>
                      <w:b w:val="0"/>
                      <w:bCs w:val="0"/>
                      <w:color w:val="auto"/>
                      <w:sz w:val="21"/>
                      <w:szCs w:val="21"/>
                      <w:lang w:val="en-US" w:eastAsia="zh-CN"/>
                    </w:rPr>
                  </w:pPr>
                  <w:r>
                    <w:rPr>
                      <w:rFonts w:hint="eastAsia"/>
                    </w:rPr>
                    <w:t>延长壳牌加油站</w:t>
                  </w:r>
                </w:p>
              </w:tc>
              <w:tc>
                <w:tcPr>
                  <w:tcW w:w="1012" w:type="dxa"/>
                  <w:noWrap w:val="0"/>
                  <w:vAlign w:val="center"/>
                </w:tcPr>
                <w:p w14:paraId="2A61B888">
                  <w:pPr>
                    <w:bidi w:val="0"/>
                    <w:spacing w:line="240" w:lineRule="auto"/>
                    <w:jc w:val="center"/>
                    <w:rPr>
                      <w:rFonts w:hint="default" w:ascii="Times New Roman" w:hAnsi="Times New Roman" w:eastAsia="宋体" w:cs="Times New Roman"/>
                      <w:b w:val="0"/>
                      <w:bCs w:val="0"/>
                      <w:color w:val="auto"/>
                      <w:sz w:val="21"/>
                      <w:szCs w:val="21"/>
                      <w:lang w:val="en-US" w:eastAsia="zh-CN"/>
                    </w:rPr>
                  </w:pPr>
                  <w:r>
                    <w:rPr>
                      <w:rFonts w:hint="eastAsia" w:cs="Times New Roman"/>
                      <w:b w:val="0"/>
                      <w:bCs w:val="0"/>
                      <w:color w:val="auto"/>
                      <w:sz w:val="21"/>
                      <w:szCs w:val="21"/>
                      <w:lang w:val="en-US" w:eastAsia="zh-CN"/>
                    </w:rPr>
                    <w:t>西北</w:t>
                  </w:r>
                </w:p>
              </w:tc>
              <w:tc>
                <w:tcPr>
                  <w:tcW w:w="1213" w:type="dxa"/>
                  <w:noWrap w:val="0"/>
                  <w:vAlign w:val="center"/>
                </w:tcPr>
                <w:p w14:paraId="12FF44F9">
                  <w:pPr>
                    <w:bidi w:val="0"/>
                    <w:spacing w:line="240" w:lineRule="auto"/>
                    <w:jc w:val="center"/>
                    <w:rPr>
                      <w:rFonts w:hint="default" w:ascii="Times New Roman" w:hAnsi="Times New Roman" w:eastAsia="宋体" w:cs="Times New Roman"/>
                      <w:b w:val="0"/>
                      <w:bCs w:val="0"/>
                      <w:color w:val="auto"/>
                      <w:sz w:val="21"/>
                      <w:szCs w:val="21"/>
                      <w:lang w:val="en-US" w:eastAsia="zh-CN"/>
                    </w:rPr>
                  </w:pPr>
                  <w:r>
                    <w:rPr>
                      <w:rFonts w:hint="eastAsia" w:cs="Times New Roman"/>
                      <w:b w:val="0"/>
                      <w:bCs w:val="0"/>
                      <w:color w:val="auto"/>
                      <w:sz w:val="21"/>
                      <w:szCs w:val="21"/>
                      <w:lang w:val="en-US" w:eastAsia="zh-CN"/>
                    </w:rPr>
                    <w:t>170</w:t>
                  </w:r>
                  <w:r>
                    <w:rPr>
                      <w:rFonts w:hint="default" w:ascii="Times New Roman" w:hAnsi="Times New Roman" w:eastAsia="宋体" w:cs="Times New Roman"/>
                      <w:b w:val="0"/>
                      <w:bCs w:val="0"/>
                      <w:sz w:val="21"/>
                      <w:szCs w:val="21"/>
                      <w:vertAlign w:val="baseline"/>
                      <w:lang w:val="en-US" w:eastAsia="zh-CN"/>
                    </w:rPr>
                    <w:t>m</w:t>
                  </w:r>
                </w:p>
              </w:tc>
              <w:tc>
                <w:tcPr>
                  <w:tcW w:w="1540" w:type="dxa"/>
                  <w:noWrap w:val="0"/>
                  <w:vAlign w:val="center"/>
                </w:tcPr>
                <w:p w14:paraId="595B9B62">
                  <w:pPr>
                    <w:bidi w:val="0"/>
                    <w:spacing w:line="240" w:lineRule="auto"/>
                    <w:jc w:val="center"/>
                    <w:rPr>
                      <w:rFonts w:hint="eastAsia" w:ascii="Times New Roman" w:hAnsi="Times New Roman" w:eastAsia="宋体" w:cs="Times New Roman"/>
                      <w:b w:val="0"/>
                      <w:bCs w:val="0"/>
                      <w:color w:val="auto"/>
                      <w:sz w:val="21"/>
                      <w:szCs w:val="21"/>
                      <w:lang w:val="en-US" w:eastAsia="zh-CN"/>
                    </w:rPr>
                  </w:pPr>
                  <w:r>
                    <w:rPr>
                      <w:rFonts w:hint="eastAsia"/>
                    </w:rPr>
                    <w:t>加油</w:t>
                  </w:r>
                  <w:r>
                    <w:rPr>
                      <w:rFonts w:hint="eastAsia"/>
                      <w:lang w:val="en-US" w:eastAsia="zh-CN"/>
                    </w:rPr>
                    <w:t>服务</w:t>
                  </w:r>
                </w:p>
              </w:tc>
              <w:tc>
                <w:tcPr>
                  <w:tcW w:w="1404" w:type="dxa"/>
                  <w:noWrap w:val="0"/>
                  <w:vAlign w:val="center"/>
                </w:tcPr>
                <w:p w14:paraId="27DE9BDD">
                  <w:pPr>
                    <w:bidi w:val="0"/>
                    <w:spacing w:line="240" w:lineRule="auto"/>
                    <w:jc w:val="center"/>
                    <w:rPr>
                      <w:rFonts w:hint="default" w:ascii="Times New Roman" w:hAnsi="Times New Roman" w:eastAsia="宋体" w:cs="Times New Roman"/>
                      <w:b w:val="0"/>
                      <w:bCs w:val="0"/>
                      <w:color w:val="auto"/>
                      <w:sz w:val="21"/>
                      <w:szCs w:val="21"/>
                      <w:lang w:val="en-US" w:eastAsia="zh-CN"/>
                    </w:rPr>
                  </w:pPr>
                  <w:r>
                    <w:rPr>
                      <w:rFonts w:hint="eastAsia" w:cs="Times New Roman"/>
                      <w:b w:val="0"/>
                      <w:bCs w:val="0"/>
                      <w:sz w:val="21"/>
                      <w:szCs w:val="21"/>
                      <w:vertAlign w:val="baseline"/>
                      <w:lang w:val="en-US" w:eastAsia="zh-CN"/>
                    </w:rPr>
                    <w:t>/</w:t>
                  </w:r>
                </w:p>
              </w:tc>
            </w:tr>
            <w:tr w14:paraId="15E7D7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 w:hRule="atLeast"/>
                <w:jc w:val="center"/>
              </w:trPr>
              <w:tc>
                <w:tcPr>
                  <w:tcW w:w="3249" w:type="dxa"/>
                  <w:noWrap w:val="0"/>
                  <w:vAlign w:val="center"/>
                </w:tcPr>
                <w:p w14:paraId="56DC2B4A">
                  <w:pPr>
                    <w:bidi w:val="0"/>
                    <w:spacing w:line="240" w:lineRule="auto"/>
                    <w:jc w:val="center"/>
                    <w:rPr>
                      <w:rFonts w:hint="default" w:ascii="Times New Roman" w:hAnsi="Times New Roman" w:eastAsia="宋体" w:cs="Times New Roman"/>
                      <w:b w:val="0"/>
                      <w:bCs w:val="0"/>
                      <w:color w:val="auto"/>
                      <w:sz w:val="21"/>
                      <w:szCs w:val="21"/>
                      <w:lang w:val="en-US" w:eastAsia="zh-CN"/>
                    </w:rPr>
                  </w:pPr>
                  <w:r>
                    <w:rPr>
                      <w:rFonts w:hint="eastAsia"/>
                    </w:rPr>
                    <w:t>四川荣泰药业有限公司</w:t>
                  </w:r>
                </w:p>
              </w:tc>
              <w:tc>
                <w:tcPr>
                  <w:tcW w:w="1012" w:type="dxa"/>
                  <w:noWrap w:val="0"/>
                  <w:vAlign w:val="center"/>
                </w:tcPr>
                <w:p w14:paraId="5298CDDA">
                  <w:pPr>
                    <w:bidi w:val="0"/>
                    <w:spacing w:line="240" w:lineRule="auto"/>
                    <w:jc w:val="center"/>
                    <w:rPr>
                      <w:rFonts w:hint="default" w:ascii="Times New Roman" w:hAnsi="Times New Roman" w:eastAsia="宋体" w:cs="Times New Roman"/>
                      <w:b w:val="0"/>
                      <w:bCs w:val="0"/>
                      <w:color w:val="auto"/>
                      <w:sz w:val="21"/>
                      <w:szCs w:val="21"/>
                      <w:lang w:val="en-US" w:eastAsia="zh-CN"/>
                    </w:rPr>
                  </w:pPr>
                  <w:r>
                    <w:rPr>
                      <w:rFonts w:hint="eastAsia" w:cs="Times New Roman"/>
                      <w:b w:val="0"/>
                      <w:bCs w:val="0"/>
                      <w:color w:val="auto"/>
                      <w:sz w:val="21"/>
                      <w:szCs w:val="21"/>
                      <w:lang w:val="en-US" w:eastAsia="zh-CN"/>
                    </w:rPr>
                    <w:t>西</w:t>
                  </w:r>
                </w:p>
              </w:tc>
              <w:tc>
                <w:tcPr>
                  <w:tcW w:w="1213" w:type="dxa"/>
                  <w:noWrap w:val="0"/>
                  <w:vAlign w:val="center"/>
                </w:tcPr>
                <w:p w14:paraId="1DBCC7D2">
                  <w:pPr>
                    <w:bidi w:val="0"/>
                    <w:spacing w:line="240" w:lineRule="auto"/>
                    <w:jc w:val="center"/>
                    <w:rPr>
                      <w:rFonts w:hint="default" w:ascii="Times New Roman" w:hAnsi="Times New Roman" w:eastAsia="宋体" w:cs="Times New Roman"/>
                      <w:b w:val="0"/>
                      <w:bCs w:val="0"/>
                      <w:color w:val="auto"/>
                      <w:sz w:val="21"/>
                      <w:szCs w:val="21"/>
                      <w:lang w:val="en-US" w:eastAsia="zh-CN"/>
                    </w:rPr>
                  </w:pPr>
                  <w:r>
                    <w:rPr>
                      <w:rFonts w:hint="eastAsia" w:cs="Times New Roman"/>
                      <w:b w:val="0"/>
                      <w:bCs w:val="0"/>
                      <w:color w:val="auto"/>
                      <w:sz w:val="21"/>
                      <w:szCs w:val="21"/>
                      <w:lang w:val="en-US" w:eastAsia="zh-CN"/>
                    </w:rPr>
                    <w:t>29</w:t>
                  </w:r>
                  <w:r>
                    <w:rPr>
                      <w:rFonts w:hint="default" w:ascii="Times New Roman" w:hAnsi="Times New Roman" w:eastAsia="宋体" w:cs="Times New Roman"/>
                      <w:b w:val="0"/>
                      <w:bCs w:val="0"/>
                      <w:sz w:val="21"/>
                      <w:szCs w:val="21"/>
                      <w:vertAlign w:val="baseline"/>
                      <w:lang w:val="en-US" w:eastAsia="zh-CN"/>
                    </w:rPr>
                    <w:t>m</w:t>
                  </w:r>
                </w:p>
              </w:tc>
              <w:tc>
                <w:tcPr>
                  <w:tcW w:w="1540" w:type="dxa"/>
                  <w:noWrap w:val="0"/>
                  <w:vAlign w:val="center"/>
                </w:tcPr>
                <w:p w14:paraId="0456B4C3">
                  <w:pPr>
                    <w:bidi w:val="0"/>
                    <w:spacing w:line="240" w:lineRule="auto"/>
                    <w:jc w:val="center"/>
                    <w:rPr>
                      <w:rFonts w:hint="eastAsia" w:ascii="Times New Roman" w:hAnsi="Times New Roman" w:eastAsia="宋体" w:cs="Times New Roman"/>
                      <w:b w:val="0"/>
                      <w:bCs w:val="0"/>
                      <w:color w:val="auto"/>
                      <w:sz w:val="21"/>
                      <w:szCs w:val="21"/>
                      <w:lang w:val="en-US" w:eastAsia="zh-CN"/>
                    </w:rPr>
                  </w:pPr>
                  <w:r>
                    <w:rPr>
                      <w:rFonts w:hint="eastAsia"/>
                    </w:rPr>
                    <w:t>药材</w:t>
                  </w:r>
                  <w:r>
                    <w:rPr>
                      <w:rFonts w:hint="eastAsia"/>
                      <w:lang w:val="en-US" w:eastAsia="zh-CN"/>
                    </w:rPr>
                    <w:t>加工</w:t>
                  </w:r>
                </w:p>
              </w:tc>
              <w:tc>
                <w:tcPr>
                  <w:tcW w:w="1404" w:type="dxa"/>
                  <w:noWrap w:val="0"/>
                  <w:vAlign w:val="center"/>
                </w:tcPr>
                <w:p w14:paraId="3C726B79">
                  <w:pPr>
                    <w:bidi w:val="0"/>
                    <w:spacing w:line="240" w:lineRule="auto"/>
                    <w:jc w:val="center"/>
                    <w:rPr>
                      <w:rFonts w:hint="default" w:ascii="Times New Roman" w:hAnsi="Times New Roman" w:eastAsia="宋体" w:cs="Times New Roman"/>
                      <w:b w:val="0"/>
                      <w:bCs w:val="0"/>
                      <w:color w:val="auto"/>
                      <w:sz w:val="21"/>
                      <w:szCs w:val="21"/>
                      <w:lang w:val="en-US" w:eastAsia="zh-CN"/>
                    </w:rPr>
                  </w:pPr>
                  <w:r>
                    <w:rPr>
                      <w:rFonts w:hint="eastAsia" w:cs="Times New Roman"/>
                      <w:b w:val="0"/>
                      <w:bCs w:val="0"/>
                      <w:sz w:val="21"/>
                      <w:szCs w:val="21"/>
                      <w:vertAlign w:val="baseline"/>
                      <w:lang w:val="en-US" w:eastAsia="zh-CN"/>
                    </w:rPr>
                    <w:t>/</w:t>
                  </w:r>
                </w:p>
              </w:tc>
            </w:tr>
            <w:tr w14:paraId="4DC6AA8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 w:hRule="atLeast"/>
                <w:jc w:val="center"/>
              </w:trPr>
              <w:tc>
                <w:tcPr>
                  <w:tcW w:w="3249" w:type="dxa"/>
                  <w:noWrap w:val="0"/>
                  <w:vAlign w:val="center"/>
                </w:tcPr>
                <w:p w14:paraId="3BB793C5">
                  <w:pPr>
                    <w:bidi w:val="0"/>
                    <w:spacing w:line="240" w:lineRule="auto"/>
                    <w:jc w:val="center"/>
                    <w:rPr>
                      <w:rFonts w:hint="default" w:ascii="Times New Roman" w:hAnsi="Times New Roman" w:eastAsia="宋体" w:cs="Times New Roman"/>
                      <w:b w:val="0"/>
                      <w:bCs w:val="0"/>
                      <w:color w:val="auto"/>
                      <w:sz w:val="21"/>
                      <w:szCs w:val="21"/>
                      <w:lang w:val="en-US" w:eastAsia="zh-CN"/>
                    </w:rPr>
                  </w:pPr>
                  <w:r>
                    <w:rPr>
                      <w:rFonts w:hint="default" w:ascii="Times New Roman" w:hAnsi="Times New Roman" w:eastAsia="宋体" w:cs="Times New Roman"/>
                      <w:b w:val="0"/>
                      <w:bCs w:val="0"/>
                      <w:color w:val="auto"/>
                      <w:sz w:val="21"/>
                      <w:szCs w:val="21"/>
                      <w:lang w:val="en-US" w:eastAsia="zh-CN"/>
                    </w:rPr>
                    <w:t>四川省瑜凯纺织有限公司</w:t>
                  </w:r>
                </w:p>
              </w:tc>
              <w:tc>
                <w:tcPr>
                  <w:tcW w:w="1012" w:type="dxa"/>
                  <w:noWrap w:val="0"/>
                  <w:vAlign w:val="center"/>
                </w:tcPr>
                <w:p w14:paraId="3422BE38">
                  <w:pPr>
                    <w:bidi w:val="0"/>
                    <w:spacing w:line="240" w:lineRule="auto"/>
                    <w:jc w:val="center"/>
                    <w:rPr>
                      <w:rFonts w:hint="default" w:ascii="Times New Roman" w:hAnsi="Times New Roman" w:eastAsia="宋体" w:cs="Times New Roman"/>
                      <w:b w:val="0"/>
                      <w:bCs w:val="0"/>
                      <w:color w:val="auto"/>
                      <w:sz w:val="21"/>
                      <w:szCs w:val="21"/>
                      <w:lang w:val="en-US" w:eastAsia="zh-CN"/>
                    </w:rPr>
                  </w:pPr>
                  <w:r>
                    <w:rPr>
                      <w:rFonts w:hint="eastAsia" w:cs="Times New Roman"/>
                      <w:b w:val="0"/>
                      <w:bCs w:val="0"/>
                      <w:color w:val="auto"/>
                      <w:sz w:val="21"/>
                      <w:szCs w:val="21"/>
                      <w:lang w:val="en-US" w:eastAsia="zh-CN"/>
                    </w:rPr>
                    <w:t>西南</w:t>
                  </w:r>
                </w:p>
              </w:tc>
              <w:tc>
                <w:tcPr>
                  <w:tcW w:w="1213" w:type="dxa"/>
                  <w:noWrap w:val="0"/>
                  <w:vAlign w:val="center"/>
                </w:tcPr>
                <w:p w14:paraId="6E720573">
                  <w:pPr>
                    <w:bidi w:val="0"/>
                    <w:spacing w:line="240" w:lineRule="auto"/>
                    <w:jc w:val="center"/>
                    <w:rPr>
                      <w:rFonts w:hint="default" w:ascii="Times New Roman" w:hAnsi="Times New Roman" w:eastAsia="宋体" w:cs="Times New Roman"/>
                      <w:b w:val="0"/>
                      <w:bCs w:val="0"/>
                      <w:color w:val="auto"/>
                      <w:sz w:val="21"/>
                      <w:szCs w:val="21"/>
                      <w:lang w:val="en-US" w:eastAsia="zh-CN"/>
                    </w:rPr>
                  </w:pPr>
                  <w:r>
                    <w:rPr>
                      <w:rFonts w:hint="eastAsia" w:cs="Times New Roman"/>
                      <w:b w:val="0"/>
                      <w:bCs w:val="0"/>
                      <w:color w:val="auto"/>
                      <w:sz w:val="21"/>
                      <w:szCs w:val="21"/>
                      <w:lang w:val="en-US" w:eastAsia="zh-CN"/>
                    </w:rPr>
                    <w:t>196</w:t>
                  </w:r>
                  <w:r>
                    <w:rPr>
                      <w:rFonts w:hint="default" w:ascii="Times New Roman" w:hAnsi="Times New Roman" w:eastAsia="宋体" w:cs="Times New Roman"/>
                      <w:b w:val="0"/>
                      <w:bCs w:val="0"/>
                      <w:sz w:val="21"/>
                      <w:szCs w:val="21"/>
                      <w:vertAlign w:val="baseline"/>
                      <w:lang w:val="en-US" w:eastAsia="zh-CN"/>
                    </w:rPr>
                    <w:t>m</w:t>
                  </w:r>
                </w:p>
              </w:tc>
              <w:tc>
                <w:tcPr>
                  <w:tcW w:w="1540" w:type="dxa"/>
                  <w:noWrap w:val="0"/>
                  <w:vAlign w:val="center"/>
                </w:tcPr>
                <w:p w14:paraId="6366DC12">
                  <w:pPr>
                    <w:bidi w:val="0"/>
                    <w:spacing w:line="240" w:lineRule="auto"/>
                    <w:jc w:val="center"/>
                    <w:rPr>
                      <w:rFonts w:hint="default" w:ascii="Times New Roman" w:hAnsi="Times New Roman" w:eastAsia="宋体" w:cs="Times New Roman"/>
                      <w:b w:val="0"/>
                      <w:bCs w:val="0"/>
                      <w:color w:val="auto"/>
                      <w:sz w:val="21"/>
                      <w:szCs w:val="21"/>
                      <w:lang w:val="en-US" w:eastAsia="zh-CN"/>
                    </w:rPr>
                  </w:pPr>
                  <w:r>
                    <w:rPr>
                      <w:rFonts w:hint="default" w:ascii="Times New Roman" w:hAnsi="Times New Roman" w:eastAsia="宋体" w:cs="Times New Roman"/>
                      <w:b w:val="0"/>
                      <w:bCs w:val="0"/>
                      <w:color w:val="auto"/>
                      <w:sz w:val="21"/>
                      <w:szCs w:val="21"/>
                      <w:lang w:val="en-US" w:eastAsia="zh-CN"/>
                    </w:rPr>
                    <w:t>纺织</w:t>
                  </w:r>
                  <w:r>
                    <w:rPr>
                      <w:rFonts w:hint="eastAsia" w:cs="Times New Roman"/>
                      <w:b w:val="0"/>
                      <w:bCs w:val="0"/>
                      <w:color w:val="auto"/>
                      <w:sz w:val="21"/>
                      <w:szCs w:val="21"/>
                      <w:lang w:val="en-US" w:eastAsia="zh-CN"/>
                    </w:rPr>
                    <w:t>品</w:t>
                  </w:r>
                  <w:r>
                    <w:rPr>
                      <w:rFonts w:hint="default" w:ascii="Times New Roman" w:hAnsi="Times New Roman" w:eastAsia="宋体" w:cs="Times New Roman"/>
                      <w:b w:val="0"/>
                      <w:bCs w:val="0"/>
                      <w:color w:val="auto"/>
                      <w:sz w:val="21"/>
                      <w:szCs w:val="21"/>
                      <w:lang w:val="en-US" w:eastAsia="zh-CN"/>
                    </w:rPr>
                    <w:t>制造</w:t>
                  </w:r>
                </w:p>
              </w:tc>
              <w:tc>
                <w:tcPr>
                  <w:tcW w:w="1404" w:type="dxa"/>
                  <w:noWrap w:val="0"/>
                  <w:vAlign w:val="center"/>
                </w:tcPr>
                <w:p w14:paraId="22AECA33">
                  <w:pPr>
                    <w:bidi w:val="0"/>
                    <w:spacing w:line="240" w:lineRule="auto"/>
                    <w:jc w:val="center"/>
                    <w:rPr>
                      <w:rFonts w:hint="default" w:ascii="Times New Roman" w:hAnsi="Times New Roman" w:eastAsia="宋体" w:cs="Times New Roman"/>
                      <w:b w:val="0"/>
                      <w:bCs w:val="0"/>
                      <w:color w:val="auto"/>
                      <w:sz w:val="21"/>
                      <w:szCs w:val="21"/>
                      <w:lang w:val="en-US" w:eastAsia="zh-CN"/>
                    </w:rPr>
                  </w:pPr>
                  <w:r>
                    <w:rPr>
                      <w:rFonts w:hint="eastAsia" w:cs="Times New Roman"/>
                      <w:b w:val="0"/>
                      <w:bCs w:val="0"/>
                      <w:sz w:val="21"/>
                      <w:szCs w:val="21"/>
                      <w:vertAlign w:val="baseline"/>
                      <w:lang w:val="en-US" w:eastAsia="zh-CN"/>
                    </w:rPr>
                    <w:t>/</w:t>
                  </w:r>
                </w:p>
              </w:tc>
            </w:tr>
            <w:tr w14:paraId="67CFC1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 w:hRule="atLeast"/>
                <w:jc w:val="center"/>
              </w:trPr>
              <w:tc>
                <w:tcPr>
                  <w:tcW w:w="3249" w:type="dxa"/>
                  <w:noWrap w:val="0"/>
                  <w:vAlign w:val="center"/>
                </w:tcPr>
                <w:p w14:paraId="109E9CC5">
                  <w:pPr>
                    <w:bidi w:val="0"/>
                    <w:spacing w:line="240" w:lineRule="auto"/>
                    <w:jc w:val="center"/>
                    <w:rPr>
                      <w:rFonts w:hint="default" w:ascii="Times New Roman" w:hAnsi="Times New Roman" w:eastAsia="宋体" w:cs="Times New Roman"/>
                      <w:b w:val="0"/>
                      <w:bCs w:val="0"/>
                      <w:color w:val="auto"/>
                      <w:sz w:val="21"/>
                      <w:szCs w:val="21"/>
                      <w:lang w:val="en-US" w:eastAsia="zh-CN"/>
                    </w:rPr>
                  </w:pPr>
                  <w:r>
                    <w:rPr>
                      <w:rFonts w:hint="default" w:ascii="Times New Roman" w:hAnsi="Times New Roman" w:eastAsia="宋体" w:cs="Times New Roman"/>
                      <w:b w:val="0"/>
                      <w:bCs w:val="0"/>
                      <w:sz w:val="21"/>
                      <w:szCs w:val="21"/>
                      <w:vertAlign w:val="baseline"/>
                      <w:lang w:val="en-US" w:eastAsia="zh-CN"/>
                    </w:rPr>
                    <w:t>遂宁华能机械有限公司</w:t>
                  </w:r>
                </w:p>
              </w:tc>
              <w:tc>
                <w:tcPr>
                  <w:tcW w:w="1012" w:type="dxa"/>
                  <w:noWrap w:val="0"/>
                  <w:vAlign w:val="center"/>
                </w:tcPr>
                <w:p w14:paraId="17CD07C8">
                  <w:pPr>
                    <w:bidi w:val="0"/>
                    <w:spacing w:line="240" w:lineRule="auto"/>
                    <w:jc w:val="center"/>
                    <w:rPr>
                      <w:rFonts w:hint="default" w:ascii="Times New Roman" w:hAnsi="Times New Roman" w:eastAsia="宋体" w:cs="Times New Roman"/>
                      <w:b w:val="0"/>
                      <w:bCs w:val="0"/>
                      <w:color w:val="auto"/>
                      <w:sz w:val="21"/>
                      <w:szCs w:val="21"/>
                      <w:lang w:val="en-US" w:eastAsia="zh-CN"/>
                    </w:rPr>
                  </w:pPr>
                  <w:r>
                    <w:rPr>
                      <w:rFonts w:hint="eastAsia" w:cs="Times New Roman"/>
                      <w:b w:val="0"/>
                      <w:bCs w:val="0"/>
                      <w:color w:val="auto"/>
                      <w:sz w:val="21"/>
                      <w:szCs w:val="21"/>
                      <w:lang w:val="en-US" w:eastAsia="zh-CN"/>
                    </w:rPr>
                    <w:t>西南</w:t>
                  </w:r>
                </w:p>
              </w:tc>
              <w:tc>
                <w:tcPr>
                  <w:tcW w:w="1213" w:type="dxa"/>
                  <w:noWrap w:val="0"/>
                  <w:vAlign w:val="center"/>
                </w:tcPr>
                <w:p w14:paraId="6899E04E">
                  <w:pPr>
                    <w:bidi w:val="0"/>
                    <w:spacing w:line="240" w:lineRule="auto"/>
                    <w:jc w:val="center"/>
                    <w:rPr>
                      <w:rFonts w:hint="default" w:ascii="Times New Roman" w:hAnsi="Times New Roman" w:eastAsia="宋体" w:cs="Times New Roman"/>
                      <w:b w:val="0"/>
                      <w:bCs w:val="0"/>
                      <w:color w:val="auto"/>
                      <w:sz w:val="21"/>
                      <w:szCs w:val="21"/>
                      <w:lang w:val="en-US" w:eastAsia="zh-CN"/>
                    </w:rPr>
                  </w:pPr>
                  <w:r>
                    <w:rPr>
                      <w:rFonts w:hint="eastAsia" w:cs="Times New Roman"/>
                      <w:b w:val="0"/>
                      <w:bCs w:val="0"/>
                      <w:sz w:val="21"/>
                      <w:szCs w:val="21"/>
                      <w:vertAlign w:val="baseline"/>
                      <w:lang w:val="en-US" w:eastAsia="zh-CN"/>
                    </w:rPr>
                    <w:t>309</w:t>
                  </w:r>
                  <w:r>
                    <w:rPr>
                      <w:rFonts w:hint="default" w:ascii="Times New Roman" w:hAnsi="Times New Roman" w:eastAsia="宋体" w:cs="Times New Roman"/>
                      <w:b w:val="0"/>
                      <w:bCs w:val="0"/>
                      <w:sz w:val="21"/>
                      <w:szCs w:val="21"/>
                      <w:vertAlign w:val="baseline"/>
                      <w:lang w:val="en-US" w:eastAsia="zh-CN"/>
                    </w:rPr>
                    <w:t>m</w:t>
                  </w:r>
                </w:p>
              </w:tc>
              <w:tc>
                <w:tcPr>
                  <w:tcW w:w="1540" w:type="dxa"/>
                  <w:noWrap w:val="0"/>
                  <w:vAlign w:val="center"/>
                </w:tcPr>
                <w:p w14:paraId="513A893C">
                  <w:pPr>
                    <w:bidi w:val="0"/>
                    <w:spacing w:line="240" w:lineRule="auto"/>
                    <w:jc w:val="center"/>
                    <w:rPr>
                      <w:rFonts w:hint="default" w:ascii="Times New Roman" w:hAnsi="Times New Roman" w:eastAsia="宋体" w:cs="Times New Roman"/>
                      <w:b w:val="0"/>
                      <w:bCs w:val="0"/>
                      <w:color w:val="auto"/>
                      <w:sz w:val="21"/>
                      <w:szCs w:val="21"/>
                      <w:lang w:val="en-US" w:eastAsia="zh-CN"/>
                    </w:rPr>
                  </w:pPr>
                  <w:r>
                    <w:rPr>
                      <w:rFonts w:hint="default" w:ascii="Times New Roman" w:hAnsi="Times New Roman" w:eastAsia="宋体" w:cs="Times New Roman"/>
                      <w:b w:val="0"/>
                      <w:bCs w:val="0"/>
                      <w:color w:val="auto"/>
                      <w:sz w:val="21"/>
                      <w:szCs w:val="21"/>
                      <w:lang w:val="en-US" w:eastAsia="zh-CN"/>
                    </w:rPr>
                    <w:t>设备制造</w:t>
                  </w:r>
                </w:p>
              </w:tc>
              <w:tc>
                <w:tcPr>
                  <w:tcW w:w="1404" w:type="dxa"/>
                  <w:noWrap w:val="0"/>
                  <w:vAlign w:val="center"/>
                </w:tcPr>
                <w:p w14:paraId="1717E043">
                  <w:pPr>
                    <w:bidi w:val="0"/>
                    <w:spacing w:line="240" w:lineRule="auto"/>
                    <w:jc w:val="center"/>
                    <w:rPr>
                      <w:rFonts w:hint="default" w:ascii="Times New Roman" w:hAnsi="Times New Roman" w:eastAsia="宋体" w:cs="Times New Roman"/>
                      <w:b w:val="0"/>
                      <w:bCs w:val="0"/>
                      <w:color w:val="auto"/>
                      <w:sz w:val="21"/>
                      <w:szCs w:val="21"/>
                      <w:lang w:val="en-US" w:eastAsia="zh-CN"/>
                    </w:rPr>
                  </w:pPr>
                  <w:r>
                    <w:rPr>
                      <w:rFonts w:hint="eastAsia" w:cs="Times New Roman"/>
                      <w:b w:val="0"/>
                      <w:bCs w:val="0"/>
                      <w:sz w:val="21"/>
                      <w:szCs w:val="21"/>
                      <w:vertAlign w:val="baseline"/>
                      <w:lang w:val="en-US" w:eastAsia="zh-CN"/>
                    </w:rPr>
                    <w:t>/</w:t>
                  </w:r>
                </w:p>
              </w:tc>
            </w:tr>
            <w:tr w14:paraId="4C9E23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 w:hRule="atLeast"/>
                <w:jc w:val="center"/>
              </w:trPr>
              <w:tc>
                <w:tcPr>
                  <w:tcW w:w="3249" w:type="dxa"/>
                  <w:noWrap w:val="0"/>
                  <w:vAlign w:val="center"/>
                </w:tcPr>
                <w:p w14:paraId="3F9865EB">
                  <w:pPr>
                    <w:bidi w:val="0"/>
                    <w:spacing w:line="240" w:lineRule="auto"/>
                    <w:jc w:val="center"/>
                    <w:rPr>
                      <w:rFonts w:hint="default" w:ascii="Times New Roman" w:hAnsi="Times New Roman" w:eastAsia="宋体" w:cs="Times New Roman"/>
                      <w:b w:val="0"/>
                      <w:bCs w:val="0"/>
                      <w:color w:val="auto"/>
                      <w:sz w:val="21"/>
                      <w:szCs w:val="21"/>
                      <w:lang w:val="en-US" w:eastAsia="zh-CN"/>
                    </w:rPr>
                  </w:pPr>
                  <w:r>
                    <w:rPr>
                      <w:rFonts w:hint="default" w:ascii="Times New Roman" w:hAnsi="Times New Roman" w:eastAsia="宋体" w:cs="Times New Roman"/>
                      <w:b w:val="0"/>
                      <w:bCs w:val="0"/>
                      <w:color w:val="auto"/>
                      <w:sz w:val="21"/>
                      <w:szCs w:val="21"/>
                      <w:lang w:val="en-US" w:eastAsia="zh-CN"/>
                    </w:rPr>
                    <w:t>解元社区居民</w:t>
                  </w:r>
                </w:p>
              </w:tc>
              <w:tc>
                <w:tcPr>
                  <w:tcW w:w="1012" w:type="dxa"/>
                  <w:noWrap w:val="0"/>
                  <w:vAlign w:val="center"/>
                </w:tcPr>
                <w:p w14:paraId="59CA825E">
                  <w:pPr>
                    <w:bidi w:val="0"/>
                    <w:spacing w:line="240" w:lineRule="auto"/>
                    <w:jc w:val="center"/>
                    <w:rPr>
                      <w:rFonts w:hint="default" w:ascii="Times New Roman" w:hAnsi="Times New Roman" w:eastAsia="宋体" w:cs="Times New Roman"/>
                      <w:b w:val="0"/>
                      <w:bCs w:val="0"/>
                      <w:color w:val="auto"/>
                      <w:sz w:val="21"/>
                      <w:szCs w:val="21"/>
                      <w:lang w:val="en-US" w:eastAsia="zh-CN"/>
                    </w:rPr>
                  </w:pPr>
                  <w:r>
                    <w:rPr>
                      <w:rFonts w:hint="eastAsia" w:cs="Times New Roman"/>
                      <w:b w:val="0"/>
                      <w:bCs w:val="0"/>
                      <w:color w:val="auto"/>
                      <w:sz w:val="21"/>
                      <w:szCs w:val="21"/>
                      <w:lang w:val="en-US" w:eastAsia="zh-CN"/>
                    </w:rPr>
                    <w:t>西北</w:t>
                  </w:r>
                </w:p>
              </w:tc>
              <w:tc>
                <w:tcPr>
                  <w:tcW w:w="1213" w:type="dxa"/>
                  <w:noWrap w:val="0"/>
                  <w:vAlign w:val="center"/>
                </w:tcPr>
                <w:p w14:paraId="1F14F362">
                  <w:pPr>
                    <w:bidi w:val="0"/>
                    <w:spacing w:line="240" w:lineRule="auto"/>
                    <w:jc w:val="center"/>
                    <w:rPr>
                      <w:rFonts w:hint="default" w:ascii="Times New Roman" w:hAnsi="Times New Roman" w:eastAsia="宋体" w:cs="Times New Roman"/>
                      <w:b w:val="0"/>
                      <w:bCs w:val="0"/>
                      <w:color w:val="auto"/>
                      <w:sz w:val="21"/>
                      <w:szCs w:val="21"/>
                      <w:lang w:val="en-US" w:eastAsia="zh-CN"/>
                    </w:rPr>
                  </w:pPr>
                  <w:r>
                    <w:rPr>
                      <w:rFonts w:hint="eastAsia" w:cs="Times New Roman"/>
                      <w:b w:val="0"/>
                      <w:bCs w:val="0"/>
                      <w:color w:val="auto"/>
                      <w:sz w:val="21"/>
                      <w:szCs w:val="21"/>
                      <w:lang w:val="en-US" w:eastAsia="zh-CN"/>
                    </w:rPr>
                    <w:t>170</w:t>
                  </w:r>
                  <w:r>
                    <w:rPr>
                      <w:rFonts w:hint="default" w:ascii="Times New Roman" w:hAnsi="Times New Roman" w:eastAsia="宋体" w:cs="Times New Roman"/>
                      <w:b w:val="0"/>
                      <w:bCs w:val="0"/>
                      <w:sz w:val="21"/>
                      <w:szCs w:val="21"/>
                      <w:vertAlign w:val="baseline"/>
                      <w:lang w:val="en-US" w:eastAsia="zh-CN"/>
                    </w:rPr>
                    <w:t>m</w:t>
                  </w:r>
                </w:p>
              </w:tc>
              <w:tc>
                <w:tcPr>
                  <w:tcW w:w="1540" w:type="dxa"/>
                  <w:noWrap w:val="0"/>
                  <w:vAlign w:val="center"/>
                </w:tcPr>
                <w:p w14:paraId="08130926">
                  <w:pPr>
                    <w:bidi w:val="0"/>
                    <w:spacing w:line="240" w:lineRule="auto"/>
                    <w:jc w:val="center"/>
                    <w:rPr>
                      <w:rFonts w:hint="default" w:ascii="Times New Roman" w:hAnsi="Times New Roman" w:eastAsia="宋体" w:cs="Times New Roman"/>
                      <w:b w:val="0"/>
                      <w:bCs w:val="0"/>
                      <w:color w:val="auto"/>
                      <w:sz w:val="21"/>
                      <w:szCs w:val="21"/>
                      <w:lang w:val="en-US" w:eastAsia="zh-CN"/>
                    </w:rPr>
                  </w:pPr>
                  <w:r>
                    <w:rPr>
                      <w:rFonts w:hint="eastAsia" w:cs="Times New Roman"/>
                      <w:b w:val="0"/>
                      <w:bCs w:val="0"/>
                      <w:sz w:val="21"/>
                      <w:szCs w:val="21"/>
                      <w:vertAlign w:val="baseline"/>
                      <w:lang w:val="en-US" w:eastAsia="zh-CN"/>
                    </w:rPr>
                    <w:t>居民</w:t>
                  </w:r>
                </w:p>
              </w:tc>
              <w:tc>
                <w:tcPr>
                  <w:tcW w:w="1404" w:type="dxa"/>
                  <w:noWrap w:val="0"/>
                  <w:vAlign w:val="center"/>
                </w:tcPr>
                <w:p w14:paraId="43973953">
                  <w:pPr>
                    <w:bidi w:val="0"/>
                    <w:spacing w:line="240" w:lineRule="auto"/>
                    <w:jc w:val="center"/>
                    <w:rPr>
                      <w:rFonts w:hint="default" w:ascii="Times New Roman" w:hAnsi="Times New Roman" w:eastAsia="宋体" w:cs="Times New Roman"/>
                      <w:b w:val="0"/>
                      <w:bCs w:val="0"/>
                      <w:color w:val="auto"/>
                      <w:sz w:val="21"/>
                      <w:szCs w:val="21"/>
                      <w:lang w:val="en-US" w:eastAsia="zh-CN"/>
                    </w:rPr>
                  </w:pPr>
                  <w:r>
                    <w:rPr>
                      <w:rFonts w:hint="eastAsia" w:cs="Times New Roman"/>
                      <w:b w:val="0"/>
                      <w:bCs w:val="0"/>
                      <w:sz w:val="21"/>
                      <w:szCs w:val="21"/>
                      <w:vertAlign w:val="baseline"/>
                      <w:lang w:val="en-US" w:eastAsia="zh-CN"/>
                    </w:rPr>
                    <w:t>5户</w:t>
                  </w:r>
                </w:p>
              </w:tc>
            </w:tr>
            <w:tr w14:paraId="74BA4E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 w:hRule="atLeast"/>
                <w:jc w:val="center"/>
              </w:trPr>
              <w:tc>
                <w:tcPr>
                  <w:tcW w:w="3249" w:type="dxa"/>
                  <w:noWrap w:val="0"/>
                  <w:vAlign w:val="center"/>
                </w:tcPr>
                <w:p w14:paraId="59ECFBB0">
                  <w:pPr>
                    <w:bidi w:val="0"/>
                    <w:spacing w:line="240" w:lineRule="auto"/>
                    <w:jc w:val="center"/>
                    <w:rPr>
                      <w:rFonts w:hint="default" w:ascii="Times New Roman" w:hAnsi="Times New Roman" w:eastAsia="宋体" w:cs="Times New Roman"/>
                      <w:b w:val="0"/>
                      <w:bCs w:val="0"/>
                      <w:color w:val="auto"/>
                      <w:sz w:val="21"/>
                      <w:szCs w:val="21"/>
                      <w:lang w:val="en-US" w:eastAsia="zh-CN"/>
                    </w:rPr>
                  </w:pPr>
                  <w:r>
                    <w:rPr>
                      <w:rFonts w:hint="default" w:ascii="Times New Roman" w:hAnsi="Times New Roman" w:eastAsia="宋体" w:cs="Times New Roman"/>
                      <w:b w:val="0"/>
                      <w:bCs w:val="0"/>
                      <w:color w:val="auto"/>
                      <w:sz w:val="21"/>
                      <w:szCs w:val="21"/>
                      <w:lang w:val="en-US" w:eastAsia="zh-CN"/>
                    </w:rPr>
                    <w:t>凤凰街道解元社区居民小区</w:t>
                  </w:r>
                </w:p>
              </w:tc>
              <w:tc>
                <w:tcPr>
                  <w:tcW w:w="1012" w:type="dxa"/>
                  <w:noWrap w:val="0"/>
                  <w:vAlign w:val="center"/>
                </w:tcPr>
                <w:p w14:paraId="07E110D3">
                  <w:pPr>
                    <w:bidi w:val="0"/>
                    <w:spacing w:line="240" w:lineRule="auto"/>
                    <w:jc w:val="center"/>
                    <w:rPr>
                      <w:rFonts w:hint="default" w:ascii="Times New Roman" w:hAnsi="Times New Roman" w:eastAsia="宋体" w:cs="Times New Roman"/>
                      <w:b w:val="0"/>
                      <w:bCs w:val="0"/>
                      <w:color w:val="auto"/>
                      <w:sz w:val="21"/>
                      <w:szCs w:val="21"/>
                      <w:lang w:val="en-US" w:eastAsia="zh-CN"/>
                    </w:rPr>
                  </w:pPr>
                  <w:r>
                    <w:rPr>
                      <w:rFonts w:hint="eastAsia" w:cs="Times New Roman"/>
                      <w:b w:val="0"/>
                      <w:bCs w:val="0"/>
                      <w:color w:val="auto"/>
                      <w:sz w:val="21"/>
                      <w:szCs w:val="21"/>
                      <w:lang w:val="en-US" w:eastAsia="zh-CN"/>
                    </w:rPr>
                    <w:t>西</w:t>
                  </w:r>
                </w:p>
              </w:tc>
              <w:tc>
                <w:tcPr>
                  <w:tcW w:w="1213" w:type="dxa"/>
                  <w:noWrap w:val="0"/>
                  <w:vAlign w:val="center"/>
                </w:tcPr>
                <w:p w14:paraId="3577FDBC">
                  <w:pPr>
                    <w:bidi w:val="0"/>
                    <w:spacing w:line="240" w:lineRule="auto"/>
                    <w:jc w:val="center"/>
                    <w:rPr>
                      <w:rFonts w:hint="default" w:ascii="Times New Roman" w:hAnsi="Times New Roman" w:eastAsia="宋体" w:cs="Times New Roman"/>
                      <w:b w:val="0"/>
                      <w:bCs w:val="0"/>
                      <w:color w:val="auto"/>
                      <w:sz w:val="21"/>
                      <w:szCs w:val="21"/>
                      <w:lang w:val="en-US" w:eastAsia="zh-CN"/>
                    </w:rPr>
                  </w:pPr>
                  <w:r>
                    <w:rPr>
                      <w:rFonts w:hint="eastAsia" w:cs="Times New Roman"/>
                      <w:b w:val="0"/>
                      <w:bCs w:val="0"/>
                      <w:color w:val="auto"/>
                      <w:sz w:val="21"/>
                      <w:szCs w:val="21"/>
                      <w:lang w:val="en-US" w:eastAsia="zh-CN"/>
                    </w:rPr>
                    <w:t>305</w:t>
                  </w:r>
                  <w:r>
                    <w:rPr>
                      <w:rFonts w:hint="default" w:ascii="Times New Roman" w:hAnsi="Times New Roman" w:eastAsia="宋体" w:cs="Times New Roman"/>
                      <w:b w:val="0"/>
                      <w:bCs w:val="0"/>
                      <w:sz w:val="21"/>
                      <w:szCs w:val="21"/>
                      <w:vertAlign w:val="baseline"/>
                      <w:lang w:val="en-US" w:eastAsia="zh-CN"/>
                    </w:rPr>
                    <w:t>m</w:t>
                  </w:r>
                </w:p>
              </w:tc>
              <w:tc>
                <w:tcPr>
                  <w:tcW w:w="1540" w:type="dxa"/>
                  <w:noWrap w:val="0"/>
                  <w:vAlign w:val="center"/>
                </w:tcPr>
                <w:p w14:paraId="76B32460">
                  <w:pPr>
                    <w:bidi w:val="0"/>
                    <w:spacing w:line="240" w:lineRule="auto"/>
                    <w:jc w:val="center"/>
                    <w:rPr>
                      <w:rFonts w:hint="default" w:ascii="Times New Roman" w:hAnsi="Times New Roman" w:eastAsia="宋体" w:cs="Times New Roman"/>
                      <w:b w:val="0"/>
                      <w:bCs w:val="0"/>
                      <w:color w:val="auto"/>
                      <w:sz w:val="21"/>
                      <w:szCs w:val="21"/>
                      <w:lang w:val="en-US" w:eastAsia="zh-CN"/>
                    </w:rPr>
                  </w:pPr>
                  <w:r>
                    <w:rPr>
                      <w:rFonts w:hint="eastAsia" w:cs="Times New Roman"/>
                      <w:b w:val="0"/>
                      <w:bCs w:val="0"/>
                      <w:sz w:val="21"/>
                      <w:szCs w:val="21"/>
                      <w:vertAlign w:val="baseline"/>
                      <w:lang w:val="en-US" w:eastAsia="zh-CN"/>
                    </w:rPr>
                    <w:t>居民</w:t>
                  </w:r>
                </w:p>
              </w:tc>
              <w:tc>
                <w:tcPr>
                  <w:tcW w:w="1404" w:type="dxa"/>
                  <w:noWrap w:val="0"/>
                  <w:vAlign w:val="center"/>
                </w:tcPr>
                <w:p w14:paraId="29EA99DA">
                  <w:pPr>
                    <w:bidi w:val="0"/>
                    <w:spacing w:line="240" w:lineRule="auto"/>
                    <w:jc w:val="center"/>
                    <w:rPr>
                      <w:rFonts w:hint="default" w:ascii="Times New Roman" w:hAnsi="Times New Roman" w:eastAsia="宋体" w:cs="Times New Roman"/>
                      <w:b w:val="0"/>
                      <w:bCs w:val="0"/>
                      <w:color w:val="auto"/>
                      <w:sz w:val="21"/>
                      <w:szCs w:val="21"/>
                      <w:lang w:val="en-US" w:eastAsia="zh-CN"/>
                    </w:rPr>
                  </w:pPr>
                  <w:r>
                    <w:rPr>
                      <w:rFonts w:hint="eastAsia" w:cs="Times New Roman"/>
                      <w:b w:val="0"/>
                      <w:bCs w:val="0"/>
                      <w:sz w:val="21"/>
                      <w:szCs w:val="21"/>
                      <w:vertAlign w:val="baseline"/>
                      <w:lang w:val="en-US" w:eastAsia="zh-CN"/>
                    </w:rPr>
                    <w:t>/</w:t>
                  </w:r>
                </w:p>
              </w:tc>
            </w:tr>
            <w:tr w14:paraId="267262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 w:hRule="atLeast"/>
                <w:jc w:val="center"/>
              </w:trPr>
              <w:tc>
                <w:tcPr>
                  <w:tcW w:w="3249" w:type="dxa"/>
                  <w:noWrap w:val="0"/>
                  <w:vAlign w:val="center"/>
                </w:tcPr>
                <w:p w14:paraId="669EF0A1">
                  <w:pPr>
                    <w:bidi w:val="0"/>
                    <w:spacing w:line="240" w:lineRule="auto"/>
                    <w:jc w:val="center"/>
                    <w:rPr>
                      <w:rFonts w:hint="default" w:ascii="Times New Roman" w:hAnsi="Times New Roman" w:eastAsia="宋体" w:cs="Times New Roman"/>
                      <w:b w:val="0"/>
                      <w:bCs w:val="0"/>
                      <w:color w:val="auto"/>
                      <w:sz w:val="21"/>
                      <w:szCs w:val="21"/>
                      <w:lang w:val="en-US" w:eastAsia="zh-CN"/>
                    </w:rPr>
                  </w:pPr>
                  <w:r>
                    <w:rPr>
                      <w:rFonts w:hint="eastAsia" w:cs="Times New Roman"/>
                      <w:b w:val="0"/>
                      <w:bCs w:val="0"/>
                      <w:color w:val="auto"/>
                      <w:sz w:val="21"/>
                      <w:szCs w:val="21"/>
                      <w:lang w:val="en-US" w:eastAsia="zh-CN"/>
                    </w:rPr>
                    <w:t>玉丰</w:t>
                  </w:r>
                  <w:r>
                    <w:rPr>
                      <w:rFonts w:hint="default" w:ascii="Times New Roman" w:hAnsi="Times New Roman" w:eastAsia="宋体" w:cs="Times New Roman"/>
                      <w:b w:val="0"/>
                      <w:bCs w:val="0"/>
                      <w:color w:val="auto"/>
                      <w:sz w:val="21"/>
                      <w:szCs w:val="21"/>
                      <w:lang w:val="en-US" w:eastAsia="zh-CN"/>
                    </w:rPr>
                    <w:t>河</w:t>
                  </w:r>
                </w:p>
              </w:tc>
              <w:tc>
                <w:tcPr>
                  <w:tcW w:w="1012" w:type="dxa"/>
                  <w:noWrap w:val="0"/>
                  <w:vAlign w:val="center"/>
                </w:tcPr>
                <w:p w14:paraId="40A7C005">
                  <w:pPr>
                    <w:bidi w:val="0"/>
                    <w:spacing w:line="240" w:lineRule="auto"/>
                    <w:jc w:val="center"/>
                    <w:rPr>
                      <w:rFonts w:hint="default" w:ascii="Times New Roman" w:hAnsi="Times New Roman" w:eastAsia="宋体" w:cs="Times New Roman"/>
                      <w:b w:val="0"/>
                      <w:bCs w:val="0"/>
                      <w:color w:val="auto"/>
                      <w:sz w:val="21"/>
                      <w:szCs w:val="21"/>
                      <w:lang w:val="en-US" w:eastAsia="zh-CN"/>
                    </w:rPr>
                  </w:pPr>
                  <w:r>
                    <w:rPr>
                      <w:rFonts w:hint="eastAsia" w:cs="Times New Roman"/>
                      <w:b w:val="0"/>
                      <w:bCs w:val="0"/>
                      <w:sz w:val="21"/>
                      <w:szCs w:val="21"/>
                      <w:vertAlign w:val="baseline"/>
                      <w:lang w:val="en-US" w:eastAsia="zh-CN"/>
                    </w:rPr>
                    <w:t>南</w:t>
                  </w:r>
                </w:p>
              </w:tc>
              <w:tc>
                <w:tcPr>
                  <w:tcW w:w="1213" w:type="dxa"/>
                  <w:noWrap w:val="0"/>
                  <w:vAlign w:val="center"/>
                </w:tcPr>
                <w:p w14:paraId="5E950C65">
                  <w:pPr>
                    <w:bidi w:val="0"/>
                    <w:spacing w:line="240" w:lineRule="auto"/>
                    <w:jc w:val="center"/>
                    <w:rPr>
                      <w:rFonts w:hint="default" w:ascii="Times New Roman" w:hAnsi="Times New Roman" w:eastAsia="宋体" w:cs="Times New Roman"/>
                      <w:b w:val="0"/>
                      <w:bCs w:val="0"/>
                      <w:color w:val="auto"/>
                      <w:sz w:val="21"/>
                      <w:szCs w:val="21"/>
                      <w:lang w:val="en-US" w:eastAsia="zh-CN"/>
                    </w:rPr>
                  </w:pPr>
                  <w:r>
                    <w:rPr>
                      <w:rFonts w:hint="eastAsia" w:cs="Times New Roman"/>
                      <w:b w:val="0"/>
                      <w:bCs w:val="0"/>
                      <w:sz w:val="21"/>
                      <w:szCs w:val="21"/>
                      <w:vertAlign w:val="baseline"/>
                      <w:lang w:val="en-US" w:eastAsia="zh-CN"/>
                    </w:rPr>
                    <w:t>52</w:t>
                  </w:r>
                  <w:r>
                    <w:rPr>
                      <w:rFonts w:hint="default" w:ascii="Times New Roman" w:hAnsi="Times New Roman" w:eastAsia="宋体" w:cs="Times New Roman"/>
                      <w:b w:val="0"/>
                      <w:bCs w:val="0"/>
                      <w:sz w:val="21"/>
                      <w:szCs w:val="21"/>
                      <w:vertAlign w:val="baseline"/>
                      <w:lang w:val="en-US" w:eastAsia="zh-CN"/>
                    </w:rPr>
                    <w:t>m</w:t>
                  </w:r>
                </w:p>
              </w:tc>
              <w:tc>
                <w:tcPr>
                  <w:tcW w:w="1540" w:type="dxa"/>
                  <w:noWrap w:val="0"/>
                  <w:vAlign w:val="center"/>
                </w:tcPr>
                <w:p w14:paraId="39977A16">
                  <w:pPr>
                    <w:bidi w:val="0"/>
                    <w:spacing w:line="240" w:lineRule="auto"/>
                    <w:jc w:val="center"/>
                    <w:rPr>
                      <w:rFonts w:hint="default" w:ascii="Times New Roman" w:hAnsi="Times New Roman" w:eastAsia="宋体" w:cs="Times New Roman"/>
                      <w:b w:val="0"/>
                      <w:bCs w:val="0"/>
                      <w:color w:val="auto"/>
                      <w:sz w:val="21"/>
                      <w:szCs w:val="21"/>
                      <w:lang w:val="en-US" w:eastAsia="zh-CN"/>
                    </w:rPr>
                  </w:pPr>
                  <w:r>
                    <w:rPr>
                      <w:rFonts w:hint="eastAsia" w:cs="Times New Roman"/>
                      <w:b w:val="0"/>
                      <w:bCs w:val="0"/>
                      <w:color w:val="auto"/>
                      <w:sz w:val="21"/>
                      <w:szCs w:val="21"/>
                      <w:lang w:val="en-US" w:eastAsia="zh-CN"/>
                    </w:rPr>
                    <w:t>小河</w:t>
                  </w:r>
                </w:p>
              </w:tc>
              <w:tc>
                <w:tcPr>
                  <w:tcW w:w="1404" w:type="dxa"/>
                  <w:noWrap w:val="0"/>
                  <w:vAlign w:val="center"/>
                </w:tcPr>
                <w:p w14:paraId="346E1568">
                  <w:pPr>
                    <w:bidi w:val="0"/>
                    <w:spacing w:line="240" w:lineRule="auto"/>
                    <w:jc w:val="center"/>
                    <w:rPr>
                      <w:rFonts w:hint="default" w:ascii="Times New Roman" w:hAnsi="Times New Roman" w:eastAsia="宋体" w:cs="Times New Roman"/>
                      <w:b w:val="0"/>
                      <w:bCs w:val="0"/>
                      <w:color w:val="auto"/>
                      <w:sz w:val="21"/>
                      <w:szCs w:val="21"/>
                      <w:lang w:val="en-US" w:eastAsia="zh-CN"/>
                    </w:rPr>
                  </w:pPr>
                  <w:r>
                    <w:rPr>
                      <w:rFonts w:hint="eastAsia" w:cs="Times New Roman"/>
                      <w:b w:val="0"/>
                      <w:bCs w:val="0"/>
                      <w:color w:val="auto"/>
                      <w:sz w:val="21"/>
                      <w:szCs w:val="21"/>
                      <w:lang w:val="en-US" w:eastAsia="zh-CN"/>
                    </w:rPr>
                    <w:t>行洪、灌溉</w:t>
                  </w:r>
                </w:p>
              </w:tc>
            </w:tr>
            <w:tr w14:paraId="2D2EF5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 w:hRule="atLeast"/>
                <w:jc w:val="center"/>
              </w:trPr>
              <w:tc>
                <w:tcPr>
                  <w:tcW w:w="3249" w:type="dxa"/>
                  <w:noWrap w:val="0"/>
                  <w:vAlign w:val="center"/>
                </w:tcPr>
                <w:p w14:paraId="3DC2F9F7">
                  <w:pPr>
                    <w:bidi w:val="0"/>
                    <w:spacing w:line="240" w:lineRule="auto"/>
                    <w:jc w:val="center"/>
                    <w:rPr>
                      <w:rFonts w:hint="default" w:ascii="Times New Roman" w:hAnsi="Times New Roman" w:eastAsia="宋体" w:cs="Times New Roman"/>
                      <w:b w:val="0"/>
                      <w:bCs w:val="0"/>
                      <w:color w:val="auto"/>
                      <w:sz w:val="21"/>
                      <w:szCs w:val="21"/>
                      <w:lang w:val="en-US" w:eastAsia="zh-CN"/>
                    </w:rPr>
                  </w:pPr>
                  <w:r>
                    <w:rPr>
                      <w:rFonts w:hint="default" w:ascii="Times New Roman" w:hAnsi="Times New Roman" w:eastAsia="宋体" w:cs="Times New Roman"/>
                      <w:b w:val="0"/>
                      <w:bCs w:val="0"/>
                      <w:color w:val="auto"/>
                      <w:sz w:val="21"/>
                      <w:szCs w:val="21"/>
                      <w:lang w:val="en-US" w:eastAsia="zh-CN"/>
                    </w:rPr>
                    <w:t>琼江</w:t>
                  </w:r>
                </w:p>
              </w:tc>
              <w:tc>
                <w:tcPr>
                  <w:tcW w:w="1012" w:type="dxa"/>
                  <w:noWrap w:val="0"/>
                  <w:vAlign w:val="center"/>
                </w:tcPr>
                <w:p w14:paraId="784A6D3D">
                  <w:pPr>
                    <w:bidi w:val="0"/>
                    <w:spacing w:line="240" w:lineRule="auto"/>
                    <w:jc w:val="center"/>
                    <w:rPr>
                      <w:rFonts w:hint="default" w:ascii="Times New Roman" w:hAnsi="Times New Roman" w:eastAsia="宋体" w:cs="Times New Roman"/>
                      <w:b w:val="0"/>
                      <w:bCs w:val="0"/>
                      <w:color w:val="auto"/>
                      <w:sz w:val="21"/>
                      <w:szCs w:val="21"/>
                      <w:lang w:val="en-US" w:eastAsia="zh-CN"/>
                    </w:rPr>
                  </w:pPr>
                  <w:r>
                    <w:rPr>
                      <w:rFonts w:hint="eastAsia" w:cs="Times New Roman"/>
                      <w:b w:val="0"/>
                      <w:bCs w:val="0"/>
                      <w:sz w:val="21"/>
                      <w:szCs w:val="21"/>
                      <w:vertAlign w:val="baseline"/>
                      <w:lang w:val="en-US" w:eastAsia="zh-CN"/>
                    </w:rPr>
                    <w:t>南</w:t>
                  </w:r>
                </w:p>
              </w:tc>
              <w:tc>
                <w:tcPr>
                  <w:tcW w:w="1213" w:type="dxa"/>
                  <w:noWrap w:val="0"/>
                  <w:vAlign w:val="center"/>
                </w:tcPr>
                <w:p w14:paraId="150B1483">
                  <w:pPr>
                    <w:bidi w:val="0"/>
                    <w:spacing w:line="240" w:lineRule="auto"/>
                    <w:jc w:val="center"/>
                    <w:rPr>
                      <w:rFonts w:hint="default" w:ascii="Times New Roman" w:hAnsi="Times New Roman" w:eastAsia="宋体" w:cs="Times New Roman"/>
                      <w:b w:val="0"/>
                      <w:bCs w:val="0"/>
                      <w:color w:val="auto"/>
                      <w:sz w:val="21"/>
                      <w:szCs w:val="21"/>
                      <w:lang w:val="en-US" w:eastAsia="zh-CN"/>
                    </w:rPr>
                  </w:pPr>
                  <w:r>
                    <w:rPr>
                      <w:rFonts w:hint="default" w:ascii="Times New Roman" w:hAnsi="Times New Roman" w:eastAsia="宋体" w:cs="Times New Roman"/>
                      <w:b w:val="0"/>
                      <w:bCs w:val="0"/>
                      <w:color w:val="auto"/>
                      <w:sz w:val="21"/>
                      <w:szCs w:val="21"/>
                      <w:lang w:val="en-US" w:eastAsia="zh-CN"/>
                    </w:rPr>
                    <w:t>2.273km</w:t>
                  </w:r>
                </w:p>
              </w:tc>
              <w:tc>
                <w:tcPr>
                  <w:tcW w:w="1540" w:type="dxa"/>
                  <w:noWrap w:val="0"/>
                  <w:vAlign w:val="center"/>
                </w:tcPr>
                <w:p w14:paraId="65A3C771">
                  <w:pPr>
                    <w:bidi w:val="0"/>
                    <w:spacing w:line="240" w:lineRule="auto"/>
                    <w:jc w:val="center"/>
                    <w:rPr>
                      <w:rFonts w:hint="default" w:ascii="Times New Roman" w:hAnsi="Times New Roman" w:eastAsia="宋体" w:cs="Times New Roman"/>
                      <w:b w:val="0"/>
                      <w:bCs w:val="0"/>
                      <w:color w:val="auto"/>
                      <w:sz w:val="21"/>
                      <w:szCs w:val="21"/>
                      <w:lang w:val="en-US" w:eastAsia="zh-CN"/>
                    </w:rPr>
                  </w:pPr>
                  <w:r>
                    <w:rPr>
                      <w:rFonts w:hint="default" w:ascii="Times New Roman" w:hAnsi="Times New Roman" w:eastAsia="宋体" w:cs="Times New Roman"/>
                      <w:b w:val="0"/>
                      <w:bCs w:val="0"/>
                      <w:color w:val="auto"/>
                      <w:sz w:val="21"/>
                      <w:szCs w:val="21"/>
                      <w:lang w:val="en-US" w:eastAsia="zh-CN"/>
                    </w:rPr>
                    <w:t>受纳水体</w:t>
                  </w:r>
                </w:p>
              </w:tc>
              <w:tc>
                <w:tcPr>
                  <w:tcW w:w="1404" w:type="dxa"/>
                  <w:noWrap w:val="0"/>
                  <w:vAlign w:val="center"/>
                </w:tcPr>
                <w:p w14:paraId="4346653D">
                  <w:pPr>
                    <w:bidi w:val="0"/>
                    <w:spacing w:line="240" w:lineRule="auto"/>
                    <w:jc w:val="center"/>
                    <w:rPr>
                      <w:rFonts w:hint="default" w:ascii="Times New Roman" w:hAnsi="Times New Roman" w:eastAsia="宋体" w:cs="Times New Roman"/>
                      <w:b w:val="0"/>
                      <w:bCs w:val="0"/>
                      <w:color w:val="auto"/>
                      <w:sz w:val="21"/>
                      <w:szCs w:val="21"/>
                      <w:lang w:val="en-US" w:eastAsia="zh-CN"/>
                    </w:rPr>
                  </w:pPr>
                  <w:r>
                    <w:rPr>
                      <w:rFonts w:hint="eastAsia" w:cs="Times New Roman"/>
                      <w:b w:val="0"/>
                      <w:bCs w:val="0"/>
                      <w:color w:val="auto"/>
                      <w:sz w:val="21"/>
                      <w:szCs w:val="21"/>
                      <w:lang w:val="en-US" w:eastAsia="zh-CN"/>
                    </w:rPr>
                    <w:t>行洪、灌溉</w:t>
                  </w:r>
                </w:p>
              </w:tc>
            </w:tr>
          </w:tbl>
          <w:p w14:paraId="0D5A6C46">
            <w:pPr>
              <w:keepNext w:val="0"/>
              <w:keepLines w:val="0"/>
              <w:pageBreakBefore w:val="0"/>
              <w:widowControl w:val="0"/>
              <w:numPr>
                <w:ilvl w:val="0"/>
                <w:numId w:val="32"/>
              </w:numPr>
              <w:kinsoku/>
              <w:wordWrap/>
              <w:overflowPunct/>
              <w:topLinePunct w:val="0"/>
              <w:autoSpaceDE/>
              <w:autoSpaceDN/>
              <w:bidi w:val="0"/>
              <w:adjustRightInd/>
              <w:snapToGrid/>
              <w:spacing w:line="360" w:lineRule="auto"/>
              <w:ind w:left="0" w:leftChars="0" w:firstLine="482" w:firstLineChars="200"/>
              <w:jc w:val="both"/>
              <w:textAlignment w:val="auto"/>
              <w:rPr>
                <w:rFonts w:hint="eastAsia" w:cs="Times New Roman"/>
                <w:b w:val="0"/>
                <w:bCs w:val="0"/>
                <w:color w:val="auto"/>
                <w:sz w:val="24"/>
                <w:szCs w:val="24"/>
                <w:lang w:val="en-US" w:eastAsia="zh-CN"/>
              </w:rPr>
            </w:pPr>
            <w:r>
              <w:rPr>
                <w:rFonts w:hint="eastAsia" w:cs="Times New Roman"/>
                <w:b/>
                <w:bCs/>
                <w:color w:val="auto"/>
                <w:sz w:val="24"/>
                <w:szCs w:val="24"/>
                <w:lang w:val="en-US" w:eastAsia="zh-CN"/>
              </w:rPr>
              <w:t>选址所在地环境敏感程度</w:t>
            </w:r>
          </w:p>
          <w:p w14:paraId="312385DF">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b w:val="0"/>
                <w:bCs w:val="0"/>
                <w:color w:val="auto"/>
                <w:sz w:val="24"/>
                <w:szCs w:val="24"/>
                <w:lang w:val="en-US" w:eastAsia="zh-CN"/>
              </w:rPr>
            </w:pPr>
            <w:r>
              <w:rPr>
                <w:rFonts w:hint="eastAsia" w:cs="Times New Roman"/>
                <w:b w:val="0"/>
                <w:bCs w:val="0"/>
                <w:color w:val="auto"/>
                <w:sz w:val="24"/>
                <w:szCs w:val="24"/>
                <w:lang w:val="en-US" w:eastAsia="zh-CN"/>
              </w:rPr>
              <w:t>本项目选址不涉及生活饮用水源和风景名胜区、基本农田保护区、自然保护区等需要特殊保护区域，</w:t>
            </w:r>
            <w:r>
              <w:rPr>
                <w:rFonts w:hint="eastAsia" w:cs="Times New Roman"/>
                <w:color w:val="auto"/>
                <w:sz w:val="24"/>
                <w:szCs w:val="24"/>
                <w:lang w:val="en-US" w:eastAsia="zh-CN"/>
              </w:rPr>
              <w:t>厂区周围无名胜古迹和重点文物保护等单位；</w:t>
            </w:r>
            <w:r>
              <w:rPr>
                <w:rFonts w:hint="eastAsia" w:cs="Times New Roman"/>
                <w:b w:val="0"/>
                <w:bCs w:val="0"/>
                <w:color w:val="auto"/>
                <w:sz w:val="24"/>
                <w:szCs w:val="24"/>
                <w:lang w:val="en-US" w:eastAsia="zh-CN"/>
              </w:rPr>
              <w:t>所在区域环境敏感程度一般。</w:t>
            </w:r>
          </w:p>
          <w:p w14:paraId="39E64CCD">
            <w:pPr>
              <w:keepNext w:val="0"/>
              <w:keepLines w:val="0"/>
              <w:pageBreakBefore w:val="0"/>
              <w:widowControl w:val="0"/>
              <w:numPr>
                <w:ilvl w:val="0"/>
                <w:numId w:val="32"/>
              </w:numPr>
              <w:kinsoku/>
              <w:wordWrap/>
              <w:overflowPunct/>
              <w:topLinePunct w:val="0"/>
              <w:autoSpaceDE/>
              <w:autoSpaceDN/>
              <w:bidi w:val="0"/>
              <w:adjustRightInd/>
              <w:snapToGrid/>
              <w:spacing w:line="360" w:lineRule="auto"/>
              <w:ind w:left="0" w:leftChars="0" w:firstLine="482" w:firstLineChars="200"/>
              <w:jc w:val="both"/>
              <w:textAlignment w:val="auto"/>
              <w:rPr>
                <w:rFonts w:hint="eastAsia" w:cs="Times New Roman"/>
                <w:b/>
                <w:bCs/>
                <w:color w:val="auto"/>
                <w:sz w:val="24"/>
                <w:szCs w:val="24"/>
                <w:lang w:val="en-US" w:eastAsia="zh-CN"/>
              </w:rPr>
            </w:pPr>
            <w:r>
              <w:rPr>
                <w:rFonts w:hint="eastAsia" w:cs="Times New Roman"/>
                <w:b/>
                <w:bCs/>
                <w:color w:val="auto"/>
                <w:sz w:val="24"/>
                <w:szCs w:val="24"/>
                <w:lang w:val="en-US" w:eastAsia="zh-CN"/>
              </w:rPr>
              <w:t>选址合理性分析</w:t>
            </w:r>
          </w:p>
          <w:p w14:paraId="1A39B08A">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r>
              <w:rPr>
                <w:rFonts w:hint="eastAsia" w:cs="Times New Roman"/>
                <w:color w:val="auto"/>
                <w:sz w:val="24"/>
                <w:szCs w:val="24"/>
                <w:lang w:val="en-US" w:eastAsia="zh-CN"/>
              </w:rPr>
              <w:t>根据现场踏勘，本项目与周围最近居民距离为170m，最近地表水敏感目标为场界南侧52m的玉丰河；营运期废气、废水、噪声经治理后达标排放，固废采取妥善、有效的处置，对周围环境无明显影响；厂区分区划为重点防渗区和一般防渗区。项目周边其它企业均为制造生产企业及其办公楼，对外环境无特殊要求。本项目不属于高污染性企业，外环境的影响较小，同时本项目建设对外环境无特殊要求，周边企业对本项目建设无影响，因此本项目与周边企业具有相容性。</w:t>
            </w:r>
          </w:p>
          <w:p w14:paraId="30F7EA73">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r>
              <w:rPr>
                <w:rFonts w:hint="eastAsia" w:cs="Times New Roman"/>
                <w:color w:val="auto"/>
                <w:sz w:val="24"/>
                <w:szCs w:val="24"/>
                <w:lang w:val="en-US" w:eastAsia="zh-CN"/>
              </w:rPr>
              <w:t>四川盛鸿杰荣再生资源回收有限公司厂房按丁类二级进行修建，根据《建筑设计防火规范（2018版）》3.3.1规定，该类厂房的防火分区面积不限。厂房东侧为孵化园闲置厂房，与本项目之间采用钢结构进行分隔，相互不造成影响。本项目为废矿物油暂存，在《建筑设计防火规范（2018版）》中未对储存该类物质的建筑防火间距作出明确规定。</w:t>
            </w:r>
          </w:p>
          <w:p w14:paraId="31BCB84A">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r>
              <w:rPr>
                <w:rFonts w:hint="eastAsia" w:cs="Times New Roman"/>
                <w:color w:val="auto"/>
                <w:sz w:val="24"/>
                <w:szCs w:val="24"/>
                <w:lang w:val="en-US" w:eastAsia="zh-CN"/>
              </w:rPr>
              <w:t>综上分析，本项目选址处外环境相容性较好，无明显的环境制约因素，选址合理可行。</w:t>
            </w:r>
          </w:p>
          <w:p w14:paraId="69B24066">
            <w:pPr>
              <w:keepNext w:val="0"/>
              <w:keepLines w:val="0"/>
              <w:pageBreakBefore w:val="0"/>
              <w:widowControl w:val="0"/>
              <w:numPr>
                <w:ilvl w:val="0"/>
                <w:numId w:val="31"/>
              </w:numPr>
              <w:kinsoku/>
              <w:wordWrap/>
              <w:overflowPunct/>
              <w:topLinePunct w:val="0"/>
              <w:autoSpaceDE/>
              <w:autoSpaceDN/>
              <w:bidi w:val="0"/>
              <w:adjustRightInd/>
              <w:snapToGrid/>
              <w:spacing w:line="360" w:lineRule="auto"/>
              <w:ind w:left="0" w:leftChars="0" w:firstLine="482" w:firstLineChars="200"/>
              <w:jc w:val="both"/>
              <w:textAlignment w:val="auto"/>
              <w:rPr>
                <w:rFonts w:hint="eastAsia" w:cs="Times New Roman"/>
                <w:b/>
                <w:bCs/>
                <w:color w:val="auto"/>
                <w:sz w:val="24"/>
                <w:szCs w:val="24"/>
                <w:lang w:val="en-US" w:eastAsia="zh-CN"/>
              </w:rPr>
            </w:pPr>
            <w:r>
              <w:rPr>
                <w:rFonts w:hint="eastAsia" w:cs="Times New Roman"/>
                <w:b/>
                <w:bCs/>
                <w:color w:val="auto"/>
                <w:sz w:val="24"/>
                <w:szCs w:val="24"/>
                <w:lang w:val="en-US" w:eastAsia="zh-CN"/>
              </w:rPr>
              <w:t>平面布置合理性分析</w:t>
            </w:r>
          </w:p>
          <w:p w14:paraId="74CBA3E7">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r>
              <w:rPr>
                <w:rFonts w:hint="eastAsia" w:cs="Times New Roman"/>
                <w:color w:val="auto"/>
                <w:sz w:val="24"/>
                <w:szCs w:val="24"/>
                <w:lang w:val="en-US" w:eastAsia="zh-CN"/>
              </w:rPr>
              <w:t>为更好地满足生产工艺要求，结合场地地形条件、环保卫生等条件及内外运输联系的要求，本项目场地平面布置基本按照生产工艺要求布置；生产车间主要划分为储油罐区、检验室、危废暂存间等分区，组成较为简单。</w:t>
            </w:r>
          </w:p>
          <w:p w14:paraId="7CDAEC73">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r>
              <w:rPr>
                <w:rFonts w:hint="eastAsia" w:cs="Times New Roman"/>
                <w:color w:val="auto"/>
                <w:sz w:val="24"/>
                <w:szCs w:val="24"/>
                <w:lang w:val="en-US" w:eastAsia="zh-CN"/>
              </w:rPr>
              <w:t>储油罐区用于废矿物油贮存，在罐区旁设有装卸区，装卸区紧挨门口，方便运输，库内设有宽约3m的环形运输通道，贮存区四周设导流沟、西南侧设事故收集池；西南侧设有危废暂存间、检验室等。</w:t>
            </w:r>
          </w:p>
          <w:p w14:paraId="3BADDFA6">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r>
              <w:rPr>
                <w:rFonts w:hint="eastAsia" w:cs="Times New Roman"/>
                <w:color w:val="auto"/>
                <w:sz w:val="24"/>
                <w:szCs w:val="24"/>
                <w:lang w:val="en-US" w:eastAsia="zh-CN"/>
              </w:rPr>
              <w:t>厂区总体布置工艺紧凑、物流顺畅，充分考虑消防、环保、安全，节约投资与占地，总体布局较为合理。具体情况详见附图3厂区平面布置图。</w:t>
            </w:r>
          </w:p>
          <w:p w14:paraId="6EB4B061">
            <w:pPr>
              <w:keepNext w:val="0"/>
              <w:keepLines w:val="0"/>
              <w:pageBreakBefore w:val="0"/>
              <w:widowControl w:val="0"/>
              <w:numPr>
                <w:ilvl w:val="0"/>
                <w:numId w:val="27"/>
              </w:numPr>
              <w:kinsoku/>
              <w:wordWrap/>
              <w:overflowPunct/>
              <w:topLinePunct w:val="0"/>
              <w:autoSpaceDE/>
              <w:autoSpaceDN/>
              <w:bidi w:val="0"/>
              <w:adjustRightInd/>
              <w:snapToGrid/>
              <w:spacing w:line="360" w:lineRule="auto"/>
              <w:ind w:left="0" w:leftChars="0" w:firstLine="0" w:firstLineChars="0"/>
              <w:jc w:val="both"/>
              <w:textAlignment w:val="auto"/>
              <w:rPr>
                <w:rFonts w:hint="eastAsia" w:cs="Times New Roman"/>
                <w:b/>
                <w:bCs/>
                <w:color w:val="auto"/>
                <w:sz w:val="24"/>
                <w:szCs w:val="24"/>
                <w:lang w:val="en-US" w:eastAsia="zh-CN"/>
              </w:rPr>
            </w:pPr>
            <w:r>
              <w:rPr>
                <w:rFonts w:hint="eastAsia" w:cs="Times New Roman"/>
                <w:b/>
                <w:bCs/>
                <w:color w:val="auto"/>
                <w:sz w:val="24"/>
                <w:szCs w:val="24"/>
                <w:lang w:val="en-US" w:eastAsia="zh-CN"/>
              </w:rPr>
              <w:t>项目劳动定员及生产制度</w:t>
            </w:r>
          </w:p>
          <w:p w14:paraId="67704E09">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r>
              <w:rPr>
                <w:rFonts w:hint="eastAsia" w:cs="Times New Roman"/>
                <w:color w:val="auto"/>
                <w:sz w:val="24"/>
                <w:szCs w:val="24"/>
                <w:lang w:val="en-US" w:eastAsia="zh-CN"/>
              </w:rPr>
              <w:t>本项目生产岗位和劳动定员根据工艺流程及设备操作要求确定。</w:t>
            </w:r>
          </w:p>
          <w:p w14:paraId="3EB09C97">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r>
              <w:rPr>
                <w:rFonts w:hint="eastAsia" w:cs="Times New Roman"/>
                <w:color w:val="auto"/>
                <w:sz w:val="24"/>
                <w:szCs w:val="24"/>
                <w:lang w:val="en-US" w:eastAsia="zh-CN"/>
              </w:rPr>
              <w:t>劳动定员：劳动定员8人。</w:t>
            </w:r>
          </w:p>
          <w:p w14:paraId="6C5C8B8F">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r>
              <w:rPr>
                <w:rFonts w:hint="eastAsia" w:cs="Times New Roman"/>
                <w:color w:val="auto"/>
                <w:sz w:val="24"/>
                <w:szCs w:val="24"/>
                <w:lang w:val="en-US" w:eastAsia="zh-CN"/>
              </w:rPr>
              <w:t>生产制度：全年工作350天，实行一班制，每班8小时；安排24h值班，不设置食堂和住宿。</w:t>
            </w:r>
          </w:p>
          <w:p w14:paraId="1787C305">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cs="Times New Roman"/>
                <w:color w:val="auto"/>
                <w:sz w:val="24"/>
                <w:szCs w:val="24"/>
                <w:lang w:val="en-US" w:eastAsia="zh-CN"/>
              </w:rPr>
            </w:pPr>
            <w:r>
              <w:rPr>
                <w:rFonts w:hint="eastAsia" w:cs="Times New Roman"/>
                <w:color w:val="auto"/>
                <w:sz w:val="24"/>
                <w:szCs w:val="24"/>
                <w:lang w:val="en-US" w:eastAsia="zh-CN"/>
              </w:rPr>
              <w:t>本项目卸入储油罐及</w:t>
            </w:r>
            <w:r>
              <w:rPr>
                <w:rFonts w:hint="eastAsia" w:cs="Times New Roman"/>
                <w:color w:val="000000" w:themeColor="text1"/>
                <w:sz w:val="24"/>
                <w:szCs w:val="24"/>
                <w:vertAlign w:val="baseline"/>
                <w:lang w:val="en-US" w:eastAsia="zh-CN"/>
                <w14:textFill>
                  <w14:solidFill>
                    <w14:schemeClr w14:val="tx1"/>
                  </w14:solidFill>
                </w14:textFill>
              </w:rPr>
              <w:t>油罐发油</w:t>
            </w:r>
            <w:r>
              <w:rPr>
                <w:rFonts w:hint="eastAsia" w:cs="Times New Roman"/>
                <w:color w:val="auto"/>
                <w:sz w:val="24"/>
                <w:szCs w:val="24"/>
                <w:lang w:val="en-US" w:eastAsia="zh-CN"/>
              </w:rPr>
              <w:t>油泵流量均为20.0m</w:t>
            </w:r>
            <w:r>
              <w:rPr>
                <w:rFonts w:hint="eastAsia" w:cs="Times New Roman"/>
                <w:color w:val="auto"/>
                <w:sz w:val="24"/>
                <w:szCs w:val="24"/>
                <w:vertAlign w:val="superscript"/>
                <w:lang w:val="en-US" w:eastAsia="zh-CN"/>
              </w:rPr>
              <w:t>3</w:t>
            </w:r>
            <w:r>
              <w:rPr>
                <w:rFonts w:hint="eastAsia" w:cs="Times New Roman"/>
                <w:color w:val="auto"/>
                <w:sz w:val="24"/>
                <w:szCs w:val="24"/>
                <w:lang w:val="en-US" w:eastAsia="zh-CN"/>
              </w:rPr>
              <w:t>/h，则卸入储油罐及</w:t>
            </w:r>
            <w:r>
              <w:rPr>
                <w:rFonts w:hint="eastAsia" w:cs="Times New Roman"/>
                <w:color w:val="000000" w:themeColor="text1"/>
                <w:sz w:val="24"/>
                <w:szCs w:val="24"/>
                <w:vertAlign w:val="baseline"/>
                <w:lang w:val="en-US" w:eastAsia="zh-CN"/>
                <w14:textFill>
                  <w14:solidFill>
                    <w14:schemeClr w14:val="tx1"/>
                  </w14:solidFill>
                </w14:textFill>
              </w:rPr>
              <w:t>油罐发油</w:t>
            </w:r>
            <w:r>
              <w:rPr>
                <w:rFonts w:hint="eastAsia" w:cs="Times New Roman"/>
                <w:color w:val="auto"/>
                <w:sz w:val="24"/>
                <w:szCs w:val="24"/>
                <w:lang w:val="en-US" w:eastAsia="zh-CN"/>
              </w:rPr>
              <w:t>年工作时间约为85.72h。</w:t>
            </w:r>
          </w:p>
          <w:p w14:paraId="6470140F">
            <w:pPr>
              <w:keepNext w:val="0"/>
              <w:keepLines w:val="0"/>
              <w:pageBreakBefore w:val="0"/>
              <w:widowControl w:val="0"/>
              <w:numPr>
                <w:ilvl w:val="0"/>
                <w:numId w:val="27"/>
              </w:numPr>
              <w:kinsoku/>
              <w:wordWrap/>
              <w:overflowPunct/>
              <w:topLinePunct w:val="0"/>
              <w:autoSpaceDE/>
              <w:autoSpaceDN/>
              <w:bidi w:val="0"/>
              <w:adjustRightInd/>
              <w:snapToGrid/>
              <w:spacing w:line="360" w:lineRule="auto"/>
              <w:ind w:left="0" w:leftChars="0" w:firstLine="0" w:firstLineChars="0"/>
              <w:jc w:val="both"/>
              <w:textAlignment w:val="auto"/>
              <w:rPr>
                <w:rFonts w:hint="eastAsia" w:cs="Times New Roman"/>
                <w:b/>
                <w:bCs/>
                <w:color w:val="auto"/>
                <w:sz w:val="24"/>
                <w:szCs w:val="24"/>
                <w:lang w:val="en-US" w:eastAsia="zh-CN"/>
              </w:rPr>
            </w:pPr>
            <w:r>
              <w:rPr>
                <w:rFonts w:hint="eastAsia" w:cs="Times New Roman"/>
                <w:b/>
                <w:bCs/>
                <w:color w:val="auto"/>
                <w:sz w:val="24"/>
                <w:szCs w:val="24"/>
                <w:lang w:val="en-US" w:eastAsia="zh-CN"/>
              </w:rPr>
              <w:t>公用工程与辅助设施</w:t>
            </w:r>
          </w:p>
          <w:p w14:paraId="116F8F68">
            <w:pPr>
              <w:keepNext w:val="0"/>
              <w:keepLines w:val="0"/>
              <w:pageBreakBefore w:val="0"/>
              <w:widowControl w:val="0"/>
              <w:numPr>
                <w:ilvl w:val="0"/>
                <w:numId w:val="33"/>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r>
              <w:rPr>
                <w:rFonts w:hint="eastAsia" w:cs="Times New Roman"/>
                <w:color w:val="auto"/>
                <w:sz w:val="24"/>
                <w:szCs w:val="24"/>
                <w:lang w:val="en-US" w:eastAsia="zh-CN"/>
              </w:rPr>
              <w:t>给水</w:t>
            </w:r>
          </w:p>
          <w:p w14:paraId="4684B44C">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r>
              <w:rPr>
                <w:rFonts w:hint="eastAsia" w:cs="Times New Roman"/>
                <w:color w:val="auto"/>
                <w:sz w:val="24"/>
                <w:szCs w:val="24"/>
                <w:lang w:val="en-US" w:eastAsia="zh-CN"/>
              </w:rPr>
              <w:t>本项目用水为生活用水及生产用水，均由市政供水管网供给。</w:t>
            </w:r>
          </w:p>
          <w:p w14:paraId="12627BA4">
            <w:pPr>
              <w:keepNext w:val="0"/>
              <w:keepLines w:val="0"/>
              <w:pageBreakBefore w:val="0"/>
              <w:widowControl w:val="0"/>
              <w:numPr>
                <w:ilvl w:val="0"/>
                <w:numId w:val="34"/>
              </w:numPr>
              <w:kinsoku/>
              <w:wordWrap/>
              <w:overflowPunct/>
              <w:topLinePunct w:val="0"/>
              <w:autoSpaceDE/>
              <w:autoSpaceDN/>
              <w:bidi w:val="0"/>
              <w:adjustRightInd/>
              <w:snapToGrid/>
              <w:spacing w:line="360" w:lineRule="auto"/>
              <w:ind w:firstLine="482" w:firstLineChars="200"/>
              <w:jc w:val="both"/>
              <w:textAlignment w:val="auto"/>
              <w:rPr>
                <w:rFonts w:hint="default" w:ascii="Times New Roman" w:hAnsi="Times New Roman" w:eastAsia="宋体" w:cs="Times New Roman"/>
                <w:b/>
                <w:bCs/>
                <w:color w:val="auto"/>
                <w:sz w:val="24"/>
                <w:szCs w:val="24"/>
                <w:lang w:val="en-US" w:eastAsia="zh-CN"/>
              </w:rPr>
            </w:pPr>
            <w:r>
              <w:rPr>
                <w:rFonts w:hint="eastAsia" w:cs="Times New Roman"/>
                <w:b/>
                <w:bCs/>
                <w:color w:val="auto"/>
                <w:sz w:val="24"/>
                <w:szCs w:val="24"/>
                <w:lang w:val="en-US" w:eastAsia="zh-CN"/>
              </w:rPr>
              <w:t>生活用水</w:t>
            </w:r>
          </w:p>
          <w:p w14:paraId="505E007A">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color w:val="auto"/>
                <w:sz w:val="24"/>
                <w:szCs w:val="24"/>
                <w:lang w:val="en-US" w:eastAsia="zh-CN"/>
              </w:rPr>
            </w:pPr>
            <w:r>
              <w:rPr>
                <w:rFonts w:hint="eastAsia" w:cs="Times New Roman"/>
                <w:color w:val="auto"/>
                <w:sz w:val="24"/>
                <w:szCs w:val="24"/>
                <w:lang w:val="en-US" w:eastAsia="zh-CN"/>
              </w:rPr>
              <w:t>参照《关于印发（四川省用水定额）的通知》（川府函〔2021〕8号），生活用水量取50L/人·天，则本项目生活用水量约为0.4m</w:t>
            </w:r>
            <w:r>
              <w:rPr>
                <w:rFonts w:hint="eastAsia" w:cs="Times New Roman"/>
                <w:color w:val="auto"/>
                <w:sz w:val="24"/>
                <w:szCs w:val="24"/>
                <w:vertAlign w:val="superscript"/>
                <w:lang w:val="en-US" w:eastAsia="zh-CN"/>
              </w:rPr>
              <w:t>3</w:t>
            </w:r>
            <w:r>
              <w:rPr>
                <w:rFonts w:hint="eastAsia" w:cs="Times New Roman"/>
                <w:color w:val="auto"/>
                <w:sz w:val="24"/>
                <w:szCs w:val="24"/>
                <w:lang w:val="en-US" w:eastAsia="zh-CN"/>
              </w:rPr>
              <w:t>/d，140.0m</w:t>
            </w:r>
            <w:r>
              <w:rPr>
                <w:rFonts w:hint="eastAsia" w:cs="Times New Roman"/>
                <w:color w:val="auto"/>
                <w:sz w:val="24"/>
                <w:szCs w:val="24"/>
                <w:vertAlign w:val="superscript"/>
                <w:lang w:val="en-US" w:eastAsia="zh-CN"/>
              </w:rPr>
              <w:t>3</w:t>
            </w:r>
            <w:r>
              <w:rPr>
                <w:rFonts w:hint="eastAsia" w:cs="Times New Roman"/>
                <w:color w:val="auto"/>
                <w:sz w:val="24"/>
                <w:szCs w:val="24"/>
                <w:lang w:val="en-US" w:eastAsia="zh-CN"/>
              </w:rPr>
              <w:t>/a</w:t>
            </w:r>
            <w:r>
              <w:rPr>
                <w:rFonts w:hint="default" w:ascii="Times New Roman" w:hAnsi="Times New Roman" w:eastAsia="宋体" w:cs="Times New Roman"/>
                <w:color w:val="auto"/>
                <w:sz w:val="24"/>
                <w:szCs w:val="24"/>
                <w:lang w:val="en-US" w:eastAsia="zh-CN"/>
              </w:rPr>
              <w:t>。</w:t>
            </w:r>
          </w:p>
          <w:p w14:paraId="2DE4AFEA">
            <w:pPr>
              <w:keepNext w:val="0"/>
              <w:keepLines w:val="0"/>
              <w:pageBreakBefore w:val="0"/>
              <w:widowControl w:val="0"/>
              <w:numPr>
                <w:ilvl w:val="0"/>
                <w:numId w:val="34"/>
              </w:numPr>
              <w:kinsoku/>
              <w:wordWrap/>
              <w:overflowPunct/>
              <w:topLinePunct w:val="0"/>
              <w:autoSpaceDE/>
              <w:autoSpaceDN/>
              <w:bidi w:val="0"/>
              <w:adjustRightInd/>
              <w:snapToGrid/>
              <w:spacing w:line="360" w:lineRule="auto"/>
              <w:ind w:left="0" w:leftChars="0" w:firstLine="482" w:firstLineChars="200"/>
              <w:jc w:val="both"/>
              <w:textAlignment w:val="auto"/>
              <w:rPr>
                <w:rFonts w:hint="default" w:ascii="Times New Roman" w:hAnsi="Times New Roman" w:eastAsia="宋体" w:cs="Times New Roman"/>
                <w:b/>
                <w:bCs/>
                <w:color w:val="auto"/>
                <w:sz w:val="24"/>
                <w:szCs w:val="24"/>
                <w:lang w:val="en-US" w:eastAsia="zh-CN"/>
              </w:rPr>
            </w:pPr>
            <w:r>
              <w:rPr>
                <w:rFonts w:hint="default" w:ascii="Times New Roman" w:hAnsi="Times New Roman" w:eastAsia="宋体" w:cs="Times New Roman"/>
                <w:b/>
                <w:bCs/>
                <w:color w:val="auto"/>
                <w:sz w:val="24"/>
                <w:szCs w:val="24"/>
                <w:lang w:val="en-US" w:eastAsia="zh-CN"/>
              </w:rPr>
              <w:t>生产用水</w:t>
            </w:r>
          </w:p>
          <w:p w14:paraId="757280B9">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本项目生产过程中仅涉及检验工序用水，不涉及其他生产用水。检验工序使用氢氧化钾（KOH）溶液，溶液配比（重量比）为氢氧化钾：水=1：10，用水量约0.</w:t>
            </w:r>
            <w:r>
              <w:rPr>
                <w:rFonts w:hint="eastAsia" w:cs="Times New Roman"/>
                <w:color w:val="auto"/>
                <w:sz w:val="24"/>
                <w:szCs w:val="24"/>
                <w:lang w:val="en-US" w:eastAsia="zh-CN"/>
              </w:rPr>
              <w:t>1</w:t>
            </w:r>
            <w:r>
              <w:rPr>
                <w:rFonts w:hint="default" w:ascii="Times New Roman" w:hAnsi="Times New Roman" w:eastAsia="宋体" w:cs="Times New Roman"/>
                <w:color w:val="auto"/>
                <w:sz w:val="24"/>
                <w:szCs w:val="24"/>
                <w:lang w:val="en-US" w:eastAsia="zh-CN"/>
              </w:rPr>
              <w:t>5m</w:t>
            </w:r>
            <w:r>
              <w:rPr>
                <w:rFonts w:hint="default" w:ascii="Times New Roman" w:hAnsi="Times New Roman" w:eastAsia="宋体" w:cs="Times New Roman"/>
                <w:color w:val="auto"/>
                <w:sz w:val="24"/>
                <w:szCs w:val="24"/>
                <w:vertAlign w:val="superscript"/>
                <w:lang w:val="en-US" w:eastAsia="zh-CN"/>
              </w:rPr>
              <w:t>3</w:t>
            </w:r>
            <w:r>
              <w:rPr>
                <w:rFonts w:hint="default" w:ascii="Times New Roman" w:hAnsi="Times New Roman" w:eastAsia="宋体" w:cs="Times New Roman"/>
                <w:color w:val="auto"/>
                <w:sz w:val="24"/>
                <w:szCs w:val="24"/>
                <w:lang w:val="en-US" w:eastAsia="zh-CN"/>
              </w:rPr>
              <w:t>/a；检验工序使用的烧杯均为专用烧杯，</w:t>
            </w:r>
            <w:r>
              <w:rPr>
                <w:rFonts w:hint="eastAsia" w:cs="Times New Roman"/>
                <w:color w:val="auto"/>
                <w:sz w:val="24"/>
                <w:szCs w:val="24"/>
                <w:lang w:val="en-US" w:eastAsia="zh-CN"/>
              </w:rPr>
              <w:t>按</w:t>
            </w:r>
            <w:r>
              <w:rPr>
                <w:rFonts w:hint="default" w:ascii="Times New Roman" w:hAnsi="Times New Roman" w:eastAsia="宋体" w:cs="Times New Roman"/>
                <w:color w:val="auto"/>
                <w:sz w:val="24"/>
                <w:szCs w:val="24"/>
                <w:lang w:val="en-US" w:eastAsia="zh-CN"/>
              </w:rPr>
              <w:t>每天</w:t>
            </w:r>
            <w:r>
              <w:rPr>
                <w:rFonts w:hint="eastAsia" w:cs="Times New Roman"/>
                <w:color w:val="auto"/>
                <w:sz w:val="24"/>
                <w:szCs w:val="24"/>
                <w:lang w:val="en-US" w:eastAsia="zh-CN"/>
              </w:rPr>
              <w:t>收集</w:t>
            </w:r>
            <w:r>
              <w:rPr>
                <w:rFonts w:hint="default" w:ascii="Times New Roman" w:hAnsi="Times New Roman" w:eastAsia="宋体" w:cs="Times New Roman"/>
                <w:color w:val="auto"/>
                <w:sz w:val="24"/>
                <w:szCs w:val="24"/>
                <w:lang w:val="en-US" w:eastAsia="zh-CN"/>
              </w:rPr>
              <w:t>转运5次</w:t>
            </w:r>
            <w:r>
              <w:rPr>
                <w:rFonts w:hint="eastAsia" w:cs="Times New Roman"/>
                <w:color w:val="auto"/>
                <w:sz w:val="24"/>
                <w:szCs w:val="24"/>
                <w:lang w:val="en-US" w:eastAsia="zh-CN"/>
              </w:rPr>
              <w:t>，</w:t>
            </w:r>
            <w:r>
              <w:rPr>
                <w:rFonts w:hint="default" w:ascii="Times New Roman" w:hAnsi="Times New Roman" w:eastAsia="宋体" w:cs="Times New Roman"/>
                <w:color w:val="auto"/>
                <w:sz w:val="24"/>
                <w:szCs w:val="24"/>
                <w:lang w:val="en-US" w:eastAsia="zh-CN"/>
              </w:rPr>
              <w:t>故废矿物油约每天抽检</w:t>
            </w:r>
            <w:r>
              <w:rPr>
                <w:rFonts w:hint="eastAsia" w:cs="Times New Roman"/>
                <w:color w:val="auto"/>
                <w:sz w:val="24"/>
                <w:szCs w:val="24"/>
                <w:lang w:val="en-US" w:eastAsia="zh-CN"/>
              </w:rPr>
              <w:t>5</w:t>
            </w:r>
            <w:r>
              <w:rPr>
                <w:rFonts w:hint="default" w:ascii="Times New Roman" w:hAnsi="Times New Roman" w:eastAsia="宋体" w:cs="Times New Roman"/>
                <w:color w:val="auto"/>
                <w:sz w:val="24"/>
                <w:szCs w:val="24"/>
                <w:lang w:val="en-US" w:eastAsia="zh-CN"/>
              </w:rPr>
              <w:t>次，相应烧杯约每天冲洗4次，用水量约</w:t>
            </w:r>
            <w:r>
              <w:rPr>
                <w:rFonts w:hint="eastAsia" w:cs="Times New Roman"/>
                <w:color w:val="auto"/>
                <w:sz w:val="24"/>
                <w:szCs w:val="24"/>
                <w:lang w:val="en-US" w:eastAsia="zh-CN"/>
              </w:rPr>
              <w:t>3</w:t>
            </w:r>
            <w:r>
              <w:rPr>
                <w:rFonts w:hint="default" w:ascii="Times New Roman" w:hAnsi="Times New Roman" w:eastAsia="宋体" w:cs="Times New Roman"/>
                <w:color w:val="auto"/>
                <w:sz w:val="24"/>
                <w:szCs w:val="24"/>
                <w:lang w:val="en-US" w:eastAsia="zh-CN"/>
              </w:rPr>
              <w:t>.5t/a；生产过程总用水量合计为</w:t>
            </w:r>
            <w:r>
              <w:rPr>
                <w:rFonts w:hint="eastAsia" w:cs="Times New Roman"/>
                <w:color w:val="auto"/>
                <w:sz w:val="24"/>
                <w:szCs w:val="24"/>
                <w:lang w:val="en-US" w:eastAsia="zh-CN"/>
              </w:rPr>
              <w:t>3.65</w:t>
            </w:r>
            <w:r>
              <w:rPr>
                <w:rFonts w:hint="default" w:ascii="Times New Roman" w:hAnsi="Times New Roman" w:eastAsia="宋体" w:cs="Times New Roman"/>
                <w:color w:val="auto"/>
                <w:sz w:val="24"/>
                <w:szCs w:val="24"/>
                <w:lang w:val="en-US" w:eastAsia="zh-CN"/>
              </w:rPr>
              <w:t>m</w:t>
            </w:r>
            <w:r>
              <w:rPr>
                <w:rFonts w:hint="default" w:ascii="Times New Roman" w:hAnsi="Times New Roman" w:eastAsia="宋体" w:cs="Times New Roman"/>
                <w:color w:val="auto"/>
                <w:sz w:val="24"/>
                <w:szCs w:val="24"/>
                <w:vertAlign w:val="superscript"/>
                <w:lang w:val="en-US" w:eastAsia="zh-CN"/>
              </w:rPr>
              <w:t>3</w:t>
            </w:r>
            <w:r>
              <w:rPr>
                <w:rFonts w:hint="default" w:ascii="Times New Roman" w:hAnsi="Times New Roman" w:eastAsia="宋体" w:cs="Times New Roman"/>
                <w:color w:val="auto"/>
                <w:sz w:val="24"/>
                <w:szCs w:val="24"/>
                <w:lang w:val="en-US" w:eastAsia="zh-CN"/>
              </w:rPr>
              <w:t>/a，平均0.0</w:t>
            </w:r>
            <w:r>
              <w:rPr>
                <w:rFonts w:hint="eastAsia" w:cs="Times New Roman"/>
                <w:color w:val="auto"/>
                <w:sz w:val="24"/>
                <w:szCs w:val="24"/>
                <w:lang w:val="en-US" w:eastAsia="zh-CN"/>
              </w:rPr>
              <w:t>104</w:t>
            </w:r>
            <w:r>
              <w:rPr>
                <w:rFonts w:hint="default" w:ascii="Times New Roman" w:hAnsi="Times New Roman" w:eastAsia="宋体" w:cs="Times New Roman"/>
                <w:color w:val="auto"/>
                <w:sz w:val="24"/>
                <w:szCs w:val="24"/>
                <w:lang w:val="en-US" w:eastAsia="zh-CN"/>
              </w:rPr>
              <w:t>m</w:t>
            </w:r>
            <w:r>
              <w:rPr>
                <w:rFonts w:hint="default" w:ascii="Times New Roman" w:hAnsi="Times New Roman" w:eastAsia="宋体" w:cs="Times New Roman"/>
                <w:color w:val="auto"/>
                <w:sz w:val="24"/>
                <w:szCs w:val="24"/>
                <w:vertAlign w:val="superscript"/>
                <w:lang w:val="en-US" w:eastAsia="zh-CN"/>
              </w:rPr>
              <w:t>3</w:t>
            </w:r>
            <w:r>
              <w:rPr>
                <w:rFonts w:hint="default" w:ascii="Times New Roman" w:hAnsi="Times New Roman" w:eastAsia="宋体" w:cs="Times New Roman"/>
                <w:color w:val="auto"/>
                <w:sz w:val="24"/>
                <w:szCs w:val="24"/>
                <w:lang w:val="en-US" w:eastAsia="zh-CN"/>
              </w:rPr>
              <w:t>/d。</w:t>
            </w:r>
          </w:p>
          <w:p w14:paraId="14219CA2">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综上所述，本项目用水量为</w:t>
            </w:r>
            <w:r>
              <w:rPr>
                <w:rFonts w:hint="eastAsia" w:cs="Times New Roman"/>
                <w:color w:val="auto"/>
                <w:sz w:val="24"/>
                <w:szCs w:val="24"/>
                <w:lang w:val="en-US" w:eastAsia="zh-CN"/>
              </w:rPr>
              <w:t>143.65</w:t>
            </w:r>
            <w:r>
              <w:rPr>
                <w:rFonts w:hint="default" w:ascii="Times New Roman" w:hAnsi="Times New Roman" w:eastAsia="宋体" w:cs="Times New Roman"/>
                <w:color w:val="auto"/>
                <w:sz w:val="24"/>
                <w:szCs w:val="24"/>
                <w:lang w:val="en-US" w:eastAsia="zh-CN"/>
              </w:rPr>
              <w:t>m</w:t>
            </w:r>
            <w:r>
              <w:rPr>
                <w:rFonts w:hint="default" w:ascii="Times New Roman" w:hAnsi="Times New Roman" w:eastAsia="宋体" w:cs="Times New Roman"/>
                <w:color w:val="auto"/>
                <w:sz w:val="24"/>
                <w:szCs w:val="24"/>
                <w:vertAlign w:val="superscript"/>
                <w:lang w:val="en-US" w:eastAsia="zh-CN"/>
              </w:rPr>
              <w:t>3</w:t>
            </w:r>
            <w:r>
              <w:rPr>
                <w:rFonts w:hint="default" w:ascii="Times New Roman" w:hAnsi="Times New Roman" w:eastAsia="宋体" w:cs="Times New Roman"/>
                <w:color w:val="auto"/>
                <w:sz w:val="24"/>
                <w:szCs w:val="24"/>
                <w:lang w:val="en-US" w:eastAsia="zh-CN"/>
              </w:rPr>
              <w:t>/a（</w:t>
            </w:r>
            <w:r>
              <w:rPr>
                <w:rFonts w:hint="eastAsia" w:cs="Times New Roman"/>
                <w:color w:val="auto"/>
                <w:sz w:val="24"/>
                <w:szCs w:val="24"/>
                <w:lang w:val="en-US" w:eastAsia="zh-CN"/>
              </w:rPr>
              <w:t>0.41</w:t>
            </w:r>
            <w:r>
              <w:rPr>
                <w:rFonts w:hint="default" w:ascii="Times New Roman" w:hAnsi="Times New Roman" w:eastAsia="宋体" w:cs="Times New Roman"/>
                <w:color w:val="auto"/>
                <w:sz w:val="24"/>
                <w:szCs w:val="24"/>
                <w:lang w:val="en-US" w:eastAsia="zh-CN"/>
              </w:rPr>
              <w:t>m</w:t>
            </w:r>
            <w:r>
              <w:rPr>
                <w:rFonts w:hint="default" w:ascii="Times New Roman" w:hAnsi="Times New Roman" w:eastAsia="宋体" w:cs="Times New Roman"/>
                <w:color w:val="auto"/>
                <w:sz w:val="24"/>
                <w:szCs w:val="24"/>
                <w:vertAlign w:val="superscript"/>
                <w:lang w:val="en-US" w:eastAsia="zh-CN"/>
              </w:rPr>
              <w:t>3</w:t>
            </w:r>
            <w:r>
              <w:rPr>
                <w:rFonts w:hint="default" w:ascii="Times New Roman" w:hAnsi="Times New Roman" w:eastAsia="宋体" w:cs="Times New Roman"/>
                <w:color w:val="auto"/>
                <w:sz w:val="24"/>
                <w:szCs w:val="24"/>
                <w:lang w:val="en-US" w:eastAsia="zh-CN"/>
              </w:rPr>
              <w:t>/d）。</w:t>
            </w:r>
          </w:p>
          <w:p w14:paraId="048A242A">
            <w:pPr>
              <w:keepNext w:val="0"/>
              <w:keepLines w:val="0"/>
              <w:pageBreakBefore w:val="0"/>
              <w:widowControl w:val="0"/>
              <w:numPr>
                <w:ilvl w:val="0"/>
                <w:numId w:val="33"/>
              </w:numPr>
              <w:kinsoku/>
              <w:wordWrap/>
              <w:overflowPunct/>
              <w:topLinePunct w:val="0"/>
              <w:autoSpaceDE/>
              <w:autoSpaceDN/>
              <w:bidi w:val="0"/>
              <w:adjustRightInd/>
              <w:snapToGrid/>
              <w:spacing w:line="360" w:lineRule="auto"/>
              <w:ind w:left="0" w:leftChars="0" w:firstLine="482" w:firstLineChars="200"/>
              <w:jc w:val="both"/>
              <w:textAlignment w:val="auto"/>
              <w:rPr>
                <w:rFonts w:hint="eastAsia" w:cs="Times New Roman"/>
                <w:color w:val="auto"/>
                <w:sz w:val="24"/>
                <w:szCs w:val="24"/>
                <w:lang w:val="en-US" w:eastAsia="zh-CN"/>
              </w:rPr>
            </w:pPr>
            <w:r>
              <w:rPr>
                <w:rFonts w:hint="eastAsia" w:cs="Times New Roman"/>
                <w:b/>
                <w:bCs/>
                <w:color w:val="auto"/>
                <w:sz w:val="24"/>
                <w:szCs w:val="24"/>
                <w:lang w:val="en-US" w:eastAsia="zh-CN"/>
              </w:rPr>
              <w:t>排水：</w:t>
            </w:r>
            <w:r>
              <w:rPr>
                <w:rFonts w:hint="eastAsia" w:cs="Times New Roman"/>
                <w:color w:val="auto"/>
                <w:sz w:val="24"/>
                <w:szCs w:val="24"/>
                <w:lang w:val="en-US" w:eastAsia="zh-CN"/>
              </w:rPr>
              <w:t>本项目采用雨、污分流制，雨水通过租赁厂房雨水管网排放；外排废水主要为人员生活废水。</w:t>
            </w:r>
          </w:p>
          <w:p w14:paraId="64548D00">
            <w:pPr>
              <w:keepNext w:val="0"/>
              <w:keepLines w:val="0"/>
              <w:pageBreakBefore w:val="0"/>
              <w:widowControl w:val="0"/>
              <w:numPr>
                <w:ilvl w:val="0"/>
                <w:numId w:val="35"/>
              </w:numPr>
              <w:kinsoku/>
              <w:wordWrap/>
              <w:overflowPunct/>
              <w:topLinePunct w:val="0"/>
              <w:autoSpaceDE/>
              <w:autoSpaceDN/>
              <w:bidi w:val="0"/>
              <w:adjustRightInd/>
              <w:snapToGrid/>
              <w:spacing w:line="360" w:lineRule="auto"/>
              <w:ind w:firstLine="482" w:firstLineChars="200"/>
              <w:jc w:val="both"/>
              <w:textAlignment w:val="auto"/>
              <w:rPr>
                <w:rFonts w:hint="eastAsia" w:cs="Times New Roman"/>
                <w:color w:val="auto"/>
                <w:sz w:val="24"/>
                <w:szCs w:val="24"/>
                <w:lang w:val="en-US" w:eastAsia="zh-CN"/>
              </w:rPr>
            </w:pPr>
            <w:r>
              <w:rPr>
                <w:rFonts w:hint="eastAsia" w:cs="Times New Roman"/>
                <w:b/>
                <w:bCs/>
                <w:color w:val="auto"/>
                <w:sz w:val="24"/>
                <w:szCs w:val="24"/>
                <w:lang w:val="en-US" w:eastAsia="zh-CN"/>
              </w:rPr>
              <w:t>生活污水：</w:t>
            </w:r>
            <w:r>
              <w:rPr>
                <w:rFonts w:hint="eastAsia" w:cs="Times New Roman"/>
                <w:color w:val="auto"/>
                <w:sz w:val="24"/>
                <w:szCs w:val="24"/>
                <w:lang w:val="en-US" w:eastAsia="zh-CN"/>
              </w:rPr>
              <w:t>本项目生活用水量为140m</w:t>
            </w:r>
            <w:r>
              <w:rPr>
                <w:rFonts w:hint="eastAsia" w:cs="Times New Roman"/>
                <w:color w:val="auto"/>
                <w:sz w:val="24"/>
                <w:szCs w:val="24"/>
                <w:vertAlign w:val="superscript"/>
                <w:lang w:val="en-US" w:eastAsia="zh-CN"/>
              </w:rPr>
              <w:t>3</w:t>
            </w:r>
            <w:r>
              <w:rPr>
                <w:rFonts w:hint="eastAsia" w:cs="Times New Roman"/>
                <w:color w:val="auto"/>
                <w:sz w:val="24"/>
                <w:szCs w:val="24"/>
                <w:lang w:val="en-US" w:eastAsia="zh-CN"/>
              </w:rPr>
              <w:t>/a（0.4m</w:t>
            </w:r>
            <w:r>
              <w:rPr>
                <w:rFonts w:hint="eastAsia" w:cs="Times New Roman"/>
                <w:color w:val="auto"/>
                <w:sz w:val="24"/>
                <w:szCs w:val="24"/>
                <w:vertAlign w:val="superscript"/>
                <w:lang w:val="en-US" w:eastAsia="zh-CN"/>
              </w:rPr>
              <w:t>3</w:t>
            </w:r>
            <w:r>
              <w:rPr>
                <w:rFonts w:hint="eastAsia" w:cs="Times New Roman"/>
                <w:color w:val="auto"/>
                <w:sz w:val="24"/>
                <w:szCs w:val="24"/>
                <w:lang w:val="en-US" w:eastAsia="zh-CN"/>
              </w:rPr>
              <w:t>/d），排污系数按0.85计，则生活废水产生量为0.34m</w:t>
            </w:r>
            <w:r>
              <w:rPr>
                <w:rFonts w:hint="eastAsia" w:cs="Times New Roman"/>
                <w:color w:val="auto"/>
                <w:sz w:val="24"/>
                <w:szCs w:val="24"/>
                <w:vertAlign w:val="superscript"/>
                <w:lang w:val="en-US" w:eastAsia="zh-CN"/>
              </w:rPr>
              <w:t>3</w:t>
            </w:r>
            <w:r>
              <w:rPr>
                <w:rFonts w:hint="eastAsia" w:cs="Times New Roman"/>
                <w:color w:val="auto"/>
                <w:sz w:val="24"/>
                <w:szCs w:val="24"/>
                <w:lang w:val="en-US" w:eastAsia="zh-CN"/>
              </w:rPr>
              <w:t>/d，主要污染物为氨氮、CODcr等。</w:t>
            </w:r>
          </w:p>
          <w:p w14:paraId="6215AA4F">
            <w:pPr>
              <w:keepNext w:val="0"/>
              <w:keepLines w:val="0"/>
              <w:pageBreakBefore w:val="0"/>
              <w:widowControl w:val="0"/>
              <w:numPr>
                <w:ilvl w:val="0"/>
                <w:numId w:val="35"/>
              </w:numPr>
              <w:kinsoku/>
              <w:wordWrap/>
              <w:overflowPunct/>
              <w:topLinePunct w:val="0"/>
              <w:autoSpaceDE/>
              <w:autoSpaceDN/>
              <w:bidi w:val="0"/>
              <w:adjustRightInd/>
              <w:snapToGrid/>
              <w:spacing w:line="360" w:lineRule="auto"/>
              <w:ind w:left="0" w:leftChars="0" w:firstLine="482" w:firstLineChars="200"/>
              <w:jc w:val="both"/>
              <w:textAlignment w:val="auto"/>
              <w:rPr>
                <w:rFonts w:hint="eastAsia" w:cs="Times New Roman"/>
                <w:color w:val="auto"/>
                <w:sz w:val="24"/>
                <w:szCs w:val="24"/>
                <w:lang w:val="en-US" w:eastAsia="zh-CN"/>
              </w:rPr>
            </w:pPr>
            <w:r>
              <w:rPr>
                <w:rFonts w:hint="eastAsia" w:cs="Times New Roman"/>
                <w:b/>
                <w:bCs/>
                <w:color w:val="auto"/>
                <w:sz w:val="24"/>
                <w:szCs w:val="24"/>
                <w:lang w:val="en-US" w:eastAsia="zh-CN"/>
              </w:rPr>
              <w:t>生产废水：</w:t>
            </w:r>
            <w:r>
              <w:rPr>
                <w:rFonts w:hint="eastAsia" w:cs="Times New Roman"/>
                <w:color w:val="auto"/>
                <w:sz w:val="24"/>
                <w:szCs w:val="24"/>
                <w:lang w:val="en-US" w:eastAsia="zh-CN"/>
              </w:rPr>
              <w:t>本项目检验工序配备氢氧化钾溶液用水及冲洗烧杯用水在油品检验工序结束后将产生废液，集中收集置于危废暂存间内暂存并交由有危险废物处理资质的单位外运处置，无废水排放。</w:t>
            </w:r>
          </w:p>
          <w:p w14:paraId="11711063">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r>
              <w:rPr>
                <w:rFonts w:hint="eastAsia" w:cs="Times New Roman"/>
                <w:color w:val="auto"/>
                <w:sz w:val="24"/>
                <w:szCs w:val="24"/>
                <w:lang w:val="en-US" w:eastAsia="zh-CN"/>
              </w:rPr>
              <w:t>综上所述，本项目排水量为119m</w:t>
            </w:r>
            <w:r>
              <w:rPr>
                <w:rFonts w:hint="eastAsia" w:cs="Times New Roman"/>
                <w:color w:val="auto"/>
                <w:sz w:val="24"/>
                <w:szCs w:val="24"/>
                <w:vertAlign w:val="superscript"/>
                <w:lang w:val="en-US" w:eastAsia="zh-CN"/>
              </w:rPr>
              <w:t>3</w:t>
            </w:r>
            <w:r>
              <w:rPr>
                <w:rFonts w:hint="eastAsia" w:cs="Times New Roman"/>
                <w:color w:val="auto"/>
                <w:sz w:val="24"/>
                <w:szCs w:val="24"/>
                <w:lang w:val="en-US" w:eastAsia="zh-CN"/>
              </w:rPr>
              <w:t>/a（0.34m</w:t>
            </w:r>
            <w:r>
              <w:rPr>
                <w:rFonts w:hint="eastAsia" w:cs="Times New Roman"/>
                <w:color w:val="auto"/>
                <w:sz w:val="24"/>
                <w:szCs w:val="24"/>
                <w:vertAlign w:val="superscript"/>
                <w:lang w:val="en-US" w:eastAsia="zh-CN"/>
              </w:rPr>
              <w:t>3</w:t>
            </w:r>
            <w:r>
              <w:rPr>
                <w:rFonts w:hint="eastAsia" w:cs="Times New Roman"/>
                <w:color w:val="auto"/>
                <w:sz w:val="24"/>
                <w:szCs w:val="24"/>
                <w:lang w:val="en-US" w:eastAsia="zh-CN"/>
              </w:rPr>
              <w:t>/d），经租赁厂区预处理池处理达标后排入市政污水管网，进入安居区龙眼井污水处理厂处理达《城镇污水处理厂污染物排放标准》（GB18918-2002）一级A标后最终排入琼江。</w:t>
            </w:r>
          </w:p>
          <w:p w14:paraId="4F3CC96A">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r>
              <w:rPr>
                <w:rFonts w:hint="eastAsia" w:cs="Times New Roman"/>
                <w:color w:val="auto"/>
                <w:sz w:val="24"/>
                <w:szCs w:val="24"/>
                <w:lang w:val="en-US" w:eastAsia="zh-CN"/>
              </w:rPr>
              <w:t>本项目给排水情况见下表。</w:t>
            </w:r>
          </w:p>
          <w:p w14:paraId="291E8D8C">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eastAsia" w:cs="Times New Roman"/>
                <w:b/>
                <w:bCs/>
                <w:color w:val="auto"/>
                <w:sz w:val="21"/>
                <w:szCs w:val="21"/>
                <w:vertAlign w:val="baseline"/>
                <w:lang w:val="en-US" w:eastAsia="zh-CN"/>
              </w:rPr>
            </w:pPr>
            <w:r>
              <w:rPr>
                <w:rFonts w:hint="eastAsia" w:cs="Times New Roman"/>
                <w:b/>
                <w:bCs/>
                <w:color w:val="auto"/>
                <w:sz w:val="21"/>
                <w:szCs w:val="21"/>
                <w:lang w:val="en-US" w:eastAsia="zh-CN"/>
              </w:rPr>
              <w:t>表2-10 项目用水情况表</w:t>
            </w:r>
          </w:p>
          <w:tbl>
            <w:tblPr>
              <w:tblStyle w:val="28"/>
              <w:tblW w:w="842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00"/>
              <w:gridCol w:w="1400"/>
              <w:gridCol w:w="800"/>
              <w:gridCol w:w="1865"/>
              <w:gridCol w:w="1865"/>
              <w:gridCol w:w="1198"/>
            </w:tblGrid>
            <w:tr w14:paraId="2A3FDF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00" w:type="dxa"/>
                  <w:vAlign w:val="center"/>
                </w:tcPr>
                <w:p w14:paraId="597C1DB3">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b/>
                      <w:bCs/>
                      <w:color w:val="auto"/>
                      <w:sz w:val="21"/>
                      <w:szCs w:val="21"/>
                      <w:vertAlign w:val="baseline"/>
                      <w:lang w:val="en-US" w:eastAsia="zh-CN"/>
                    </w:rPr>
                  </w:pPr>
                  <w:r>
                    <w:rPr>
                      <w:rFonts w:hint="eastAsia" w:cs="Times New Roman"/>
                      <w:b/>
                      <w:bCs/>
                      <w:color w:val="auto"/>
                      <w:sz w:val="21"/>
                      <w:szCs w:val="21"/>
                      <w:vertAlign w:val="baseline"/>
                      <w:lang w:val="en-US" w:eastAsia="zh-CN"/>
                    </w:rPr>
                    <w:t>名称</w:t>
                  </w:r>
                </w:p>
              </w:tc>
              <w:tc>
                <w:tcPr>
                  <w:tcW w:w="1400" w:type="dxa"/>
                  <w:vAlign w:val="center"/>
                </w:tcPr>
                <w:p w14:paraId="2DA5CA60">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b/>
                      <w:bCs/>
                      <w:color w:val="auto"/>
                      <w:sz w:val="21"/>
                      <w:szCs w:val="21"/>
                      <w:vertAlign w:val="baseline"/>
                      <w:lang w:val="en-US" w:eastAsia="zh-CN"/>
                    </w:rPr>
                  </w:pPr>
                  <w:r>
                    <w:rPr>
                      <w:rFonts w:hint="eastAsia" w:cs="Times New Roman"/>
                      <w:b/>
                      <w:bCs/>
                      <w:color w:val="auto"/>
                      <w:sz w:val="21"/>
                      <w:szCs w:val="21"/>
                      <w:vertAlign w:val="baseline"/>
                      <w:lang w:val="en-US" w:eastAsia="zh-CN"/>
                    </w:rPr>
                    <w:t>用水定额</w:t>
                  </w:r>
                </w:p>
              </w:tc>
              <w:tc>
                <w:tcPr>
                  <w:tcW w:w="800" w:type="dxa"/>
                  <w:vAlign w:val="center"/>
                </w:tcPr>
                <w:p w14:paraId="57D5F45B">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b/>
                      <w:bCs/>
                      <w:color w:val="auto"/>
                      <w:sz w:val="21"/>
                      <w:szCs w:val="21"/>
                      <w:vertAlign w:val="baseline"/>
                      <w:lang w:val="en-US" w:eastAsia="zh-CN"/>
                    </w:rPr>
                  </w:pPr>
                  <w:r>
                    <w:rPr>
                      <w:rFonts w:hint="eastAsia" w:cs="Times New Roman"/>
                      <w:b/>
                      <w:bCs/>
                      <w:color w:val="auto"/>
                      <w:sz w:val="21"/>
                      <w:szCs w:val="21"/>
                      <w:vertAlign w:val="baseline"/>
                      <w:lang w:val="en-US" w:eastAsia="zh-CN"/>
                    </w:rPr>
                    <w:t>数量</w:t>
                  </w:r>
                </w:p>
              </w:tc>
              <w:tc>
                <w:tcPr>
                  <w:tcW w:w="1865" w:type="dxa"/>
                  <w:vAlign w:val="center"/>
                </w:tcPr>
                <w:p w14:paraId="00B0CAB6">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both"/>
                    <w:textAlignment w:val="auto"/>
                    <w:rPr>
                      <w:rFonts w:hint="eastAsia" w:cs="Times New Roman"/>
                      <w:b/>
                      <w:bCs/>
                      <w:color w:val="auto"/>
                      <w:sz w:val="21"/>
                      <w:szCs w:val="21"/>
                      <w:vertAlign w:val="baseline"/>
                      <w:lang w:val="en-US" w:eastAsia="zh-CN"/>
                    </w:rPr>
                  </w:pPr>
                  <w:r>
                    <w:rPr>
                      <w:rFonts w:hint="eastAsia" w:cs="Times New Roman"/>
                      <w:b/>
                      <w:bCs/>
                      <w:color w:val="auto"/>
                      <w:sz w:val="21"/>
                      <w:szCs w:val="21"/>
                      <w:vertAlign w:val="baseline"/>
                      <w:lang w:val="en-US" w:eastAsia="zh-CN"/>
                    </w:rPr>
                    <w:t>日用水量（m</w:t>
                  </w:r>
                  <w:r>
                    <w:rPr>
                      <w:rFonts w:hint="eastAsia" w:cs="Times New Roman"/>
                      <w:b/>
                      <w:bCs/>
                      <w:color w:val="auto"/>
                      <w:sz w:val="21"/>
                      <w:szCs w:val="21"/>
                      <w:vertAlign w:val="superscript"/>
                      <w:lang w:val="en-US" w:eastAsia="zh-CN"/>
                    </w:rPr>
                    <w:t>3</w:t>
                  </w:r>
                  <w:r>
                    <w:rPr>
                      <w:rFonts w:hint="eastAsia" w:cs="Times New Roman"/>
                      <w:b/>
                      <w:bCs/>
                      <w:color w:val="auto"/>
                      <w:sz w:val="21"/>
                      <w:szCs w:val="21"/>
                      <w:vertAlign w:val="baseline"/>
                      <w:lang w:val="en-US" w:eastAsia="zh-CN"/>
                    </w:rPr>
                    <w:t>/d）</w:t>
                  </w:r>
                </w:p>
              </w:tc>
              <w:tc>
                <w:tcPr>
                  <w:tcW w:w="1865" w:type="dxa"/>
                  <w:vAlign w:val="center"/>
                </w:tcPr>
                <w:p w14:paraId="299A7600">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both"/>
                    <w:textAlignment w:val="auto"/>
                    <w:rPr>
                      <w:rFonts w:hint="eastAsia" w:cs="Times New Roman"/>
                      <w:b/>
                      <w:bCs/>
                      <w:color w:val="auto"/>
                      <w:sz w:val="21"/>
                      <w:szCs w:val="21"/>
                      <w:vertAlign w:val="baseline"/>
                      <w:lang w:val="en-US" w:eastAsia="zh-CN"/>
                    </w:rPr>
                  </w:pPr>
                  <w:r>
                    <w:rPr>
                      <w:rFonts w:hint="eastAsia" w:cs="Times New Roman"/>
                      <w:b/>
                      <w:bCs/>
                      <w:color w:val="auto"/>
                      <w:sz w:val="21"/>
                      <w:szCs w:val="21"/>
                      <w:vertAlign w:val="baseline"/>
                      <w:lang w:val="en-US" w:eastAsia="zh-CN"/>
                    </w:rPr>
                    <w:t>年用水量（m</w:t>
                  </w:r>
                  <w:r>
                    <w:rPr>
                      <w:rFonts w:hint="eastAsia" w:cs="Times New Roman"/>
                      <w:b/>
                      <w:bCs/>
                      <w:color w:val="auto"/>
                      <w:sz w:val="21"/>
                      <w:szCs w:val="21"/>
                      <w:vertAlign w:val="superscript"/>
                      <w:lang w:val="en-US" w:eastAsia="zh-CN"/>
                    </w:rPr>
                    <w:t>3</w:t>
                  </w:r>
                  <w:r>
                    <w:rPr>
                      <w:rFonts w:hint="eastAsia" w:cs="Times New Roman"/>
                      <w:b/>
                      <w:bCs/>
                      <w:color w:val="auto"/>
                      <w:sz w:val="21"/>
                      <w:szCs w:val="21"/>
                      <w:vertAlign w:val="baseline"/>
                      <w:lang w:val="en-US" w:eastAsia="zh-CN"/>
                    </w:rPr>
                    <w:t>/a）</w:t>
                  </w:r>
                </w:p>
              </w:tc>
              <w:tc>
                <w:tcPr>
                  <w:tcW w:w="1198" w:type="dxa"/>
                  <w:vAlign w:val="center"/>
                </w:tcPr>
                <w:p w14:paraId="471849B4">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b/>
                      <w:bCs/>
                      <w:color w:val="auto"/>
                      <w:sz w:val="21"/>
                      <w:szCs w:val="21"/>
                      <w:vertAlign w:val="baseline"/>
                      <w:lang w:val="en-US" w:eastAsia="zh-CN"/>
                    </w:rPr>
                  </w:pPr>
                  <w:r>
                    <w:rPr>
                      <w:rFonts w:hint="eastAsia" w:cs="Times New Roman"/>
                      <w:b/>
                      <w:bCs/>
                      <w:color w:val="auto"/>
                      <w:sz w:val="21"/>
                      <w:szCs w:val="21"/>
                      <w:vertAlign w:val="baseline"/>
                      <w:lang w:val="en-US" w:eastAsia="zh-CN"/>
                    </w:rPr>
                    <w:t>排水量</w:t>
                  </w:r>
                </w:p>
              </w:tc>
            </w:tr>
            <w:tr w14:paraId="1CDD6C8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00" w:type="dxa"/>
                  <w:vAlign w:val="center"/>
                </w:tcPr>
                <w:p w14:paraId="4F9BE9F3">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color w:val="auto"/>
                      <w:sz w:val="21"/>
                      <w:szCs w:val="21"/>
                      <w:vertAlign w:val="baseline"/>
                      <w:lang w:val="en-US" w:eastAsia="zh-CN"/>
                    </w:rPr>
                  </w:pPr>
                  <w:r>
                    <w:rPr>
                      <w:rFonts w:hint="eastAsia" w:cs="Times New Roman"/>
                      <w:color w:val="auto"/>
                      <w:sz w:val="21"/>
                      <w:szCs w:val="21"/>
                      <w:vertAlign w:val="baseline"/>
                      <w:lang w:val="en-US" w:eastAsia="zh-CN"/>
                    </w:rPr>
                    <w:t>生活用水</w:t>
                  </w:r>
                </w:p>
              </w:tc>
              <w:tc>
                <w:tcPr>
                  <w:tcW w:w="1400" w:type="dxa"/>
                  <w:vAlign w:val="center"/>
                </w:tcPr>
                <w:p w14:paraId="5E674F7C">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color w:val="auto"/>
                      <w:sz w:val="21"/>
                      <w:szCs w:val="21"/>
                      <w:vertAlign w:val="baseline"/>
                      <w:lang w:val="en-US" w:eastAsia="zh-CN"/>
                    </w:rPr>
                  </w:pPr>
                  <w:r>
                    <w:rPr>
                      <w:rFonts w:hint="eastAsia" w:cs="Times New Roman"/>
                      <w:color w:val="auto"/>
                      <w:sz w:val="21"/>
                      <w:szCs w:val="21"/>
                      <w:vertAlign w:val="baseline"/>
                      <w:lang w:val="en-US" w:eastAsia="zh-CN"/>
                    </w:rPr>
                    <w:t>50L/人·d</w:t>
                  </w:r>
                </w:p>
              </w:tc>
              <w:tc>
                <w:tcPr>
                  <w:tcW w:w="800" w:type="dxa"/>
                  <w:vAlign w:val="center"/>
                </w:tcPr>
                <w:p w14:paraId="5F85BB66">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color w:val="auto"/>
                      <w:sz w:val="21"/>
                      <w:szCs w:val="21"/>
                      <w:vertAlign w:val="baseline"/>
                      <w:lang w:val="en-US" w:eastAsia="zh-CN"/>
                    </w:rPr>
                  </w:pPr>
                  <w:r>
                    <w:rPr>
                      <w:rFonts w:hint="eastAsia" w:cs="Times New Roman"/>
                      <w:color w:val="auto"/>
                      <w:sz w:val="21"/>
                      <w:szCs w:val="21"/>
                      <w:vertAlign w:val="baseline"/>
                      <w:lang w:val="en-US" w:eastAsia="zh-CN"/>
                    </w:rPr>
                    <w:t>8人</w:t>
                  </w:r>
                </w:p>
              </w:tc>
              <w:tc>
                <w:tcPr>
                  <w:tcW w:w="1865" w:type="dxa"/>
                  <w:vAlign w:val="center"/>
                </w:tcPr>
                <w:p w14:paraId="38BF98A6">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cs="Times New Roman"/>
                      <w:color w:val="auto"/>
                      <w:sz w:val="21"/>
                      <w:szCs w:val="21"/>
                      <w:vertAlign w:val="baseline"/>
                      <w:lang w:val="en-US" w:eastAsia="zh-CN"/>
                    </w:rPr>
                  </w:pPr>
                  <w:r>
                    <w:rPr>
                      <w:rFonts w:hint="eastAsia" w:cs="Times New Roman"/>
                      <w:color w:val="auto"/>
                      <w:sz w:val="21"/>
                      <w:szCs w:val="21"/>
                      <w:vertAlign w:val="baseline"/>
                      <w:lang w:val="en-US" w:eastAsia="zh-CN"/>
                    </w:rPr>
                    <w:t>0.4</w:t>
                  </w:r>
                </w:p>
              </w:tc>
              <w:tc>
                <w:tcPr>
                  <w:tcW w:w="1865" w:type="dxa"/>
                  <w:vAlign w:val="center"/>
                </w:tcPr>
                <w:p w14:paraId="32928A96">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cs="Times New Roman"/>
                      <w:color w:val="auto"/>
                      <w:sz w:val="21"/>
                      <w:szCs w:val="21"/>
                      <w:vertAlign w:val="baseline"/>
                      <w:lang w:val="en-US" w:eastAsia="zh-CN"/>
                    </w:rPr>
                  </w:pPr>
                  <w:r>
                    <w:rPr>
                      <w:rFonts w:hint="eastAsia" w:cs="Times New Roman"/>
                      <w:color w:val="auto"/>
                      <w:sz w:val="21"/>
                      <w:szCs w:val="21"/>
                      <w:vertAlign w:val="baseline"/>
                      <w:lang w:val="en-US" w:eastAsia="zh-CN"/>
                    </w:rPr>
                    <w:t>140</w:t>
                  </w:r>
                </w:p>
              </w:tc>
              <w:tc>
                <w:tcPr>
                  <w:tcW w:w="1198" w:type="dxa"/>
                  <w:vAlign w:val="center"/>
                </w:tcPr>
                <w:p w14:paraId="316B858E">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cs="Times New Roman"/>
                      <w:color w:val="auto"/>
                      <w:sz w:val="21"/>
                      <w:szCs w:val="21"/>
                      <w:vertAlign w:val="baseline"/>
                      <w:lang w:val="en-US" w:eastAsia="zh-CN"/>
                    </w:rPr>
                  </w:pPr>
                  <w:r>
                    <w:rPr>
                      <w:rFonts w:hint="eastAsia" w:cs="Times New Roman"/>
                      <w:color w:val="auto"/>
                      <w:sz w:val="21"/>
                      <w:szCs w:val="21"/>
                      <w:vertAlign w:val="baseline"/>
                      <w:lang w:val="en-US" w:eastAsia="zh-CN"/>
                    </w:rPr>
                    <w:t>119m</w:t>
                  </w:r>
                  <w:r>
                    <w:rPr>
                      <w:rFonts w:hint="eastAsia" w:cs="Times New Roman"/>
                      <w:color w:val="auto"/>
                      <w:sz w:val="21"/>
                      <w:szCs w:val="21"/>
                      <w:vertAlign w:val="superscript"/>
                      <w:lang w:val="en-US" w:eastAsia="zh-CN"/>
                    </w:rPr>
                    <w:t>3</w:t>
                  </w:r>
                  <w:r>
                    <w:rPr>
                      <w:rFonts w:hint="eastAsia" w:cs="Times New Roman"/>
                      <w:color w:val="auto"/>
                      <w:sz w:val="21"/>
                      <w:szCs w:val="21"/>
                      <w:vertAlign w:val="baseline"/>
                      <w:lang w:val="en-US" w:eastAsia="zh-CN"/>
                    </w:rPr>
                    <w:t>/a</w:t>
                  </w:r>
                </w:p>
              </w:tc>
            </w:tr>
            <w:tr w14:paraId="48FDC7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00" w:type="dxa"/>
                  <w:vAlign w:val="center"/>
                </w:tcPr>
                <w:p w14:paraId="4C2CCCA2">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color w:val="auto"/>
                      <w:sz w:val="21"/>
                      <w:szCs w:val="21"/>
                      <w:vertAlign w:val="baseline"/>
                      <w:lang w:val="en-US" w:eastAsia="zh-CN"/>
                    </w:rPr>
                  </w:pPr>
                  <w:r>
                    <w:rPr>
                      <w:rFonts w:hint="eastAsia" w:cs="Times New Roman"/>
                      <w:color w:val="auto"/>
                      <w:sz w:val="21"/>
                      <w:szCs w:val="21"/>
                      <w:vertAlign w:val="baseline"/>
                      <w:lang w:val="en-US" w:eastAsia="zh-CN"/>
                    </w:rPr>
                    <w:t>生产用水</w:t>
                  </w:r>
                </w:p>
              </w:tc>
              <w:tc>
                <w:tcPr>
                  <w:tcW w:w="1400" w:type="dxa"/>
                  <w:vAlign w:val="center"/>
                </w:tcPr>
                <w:p w14:paraId="1D37F96D">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cs="Times New Roman"/>
                      <w:color w:val="auto"/>
                      <w:sz w:val="21"/>
                      <w:szCs w:val="21"/>
                      <w:vertAlign w:val="baseline"/>
                      <w:lang w:val="en-US" w:eastAsia="zh-CN"/>
                    </w:rPr>
                  </w:pPr>
                  <w:r>
                    <w:rPr>
                      <w:rFonts w:hint="eastAsia" w:cs="Times New Roman"/>
                      <w:color w:val="auto"/>
                      <w:sz w:val="21"/>
                      <w:szCs w:val="21"/>
                      <w:vertAlign w:val="baseline"/>
                      <w:lang w:val="en-US" w:eastAsia="zh-CN"/>
                    </w:rPr>
                    <w:t>/</w:t>
                  </w:r>
                </w:p>
              </w:tc>
              <w:tc>
                <w:tcPr>
                  <w:tcW w:w="800" w:type="dxa"/>
                  <w:vAlign w:val="center"/>
                </w:tcPr>
                <w:p w14:paraId="14980E3C">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cs="Times New Roman"/>
                      <w:color w:val="auto"/>
                      <w:sz w:val="21"/>
                      <w:szCs w:val="21"/>
                      <w:vertAlign w:val="baseline"/>
                      <w:lang w:val="en-US" w:eastAsia="zh-CN"/>
                    </w:rPr>
                  </w:pPr>
                  <w:r>
                    <w:rPr>
                      <w:rFonts w:hint="eastAsia" w:cs="Times New Roman"/>
                      <w:color w:val="auto"/>
                      <w:sz w:val="21"/>
                      <w:szCs w:val="21"/>
                      <w:vertAlign w:val="baseline"/>
                      <w:lang w:val="en-US" w:eastAsia="zh-CN"/>
                    </w:rPr>
                    <w:t>/</w:t>
                  </w:r>
                </w:p>
              </w:tc>
              <w:tc>
                <w:tcPr>
                  <w:tcW w:w="1865" w:type="dxa"/>
                  <w:vAlign w:val="center"/>
                </w:tcPr>
                <w:p w14:paraId="29F19508">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color w:val="auto"/>
                      <w:sz w:val="21"/>
                      <w:szCs w:val="21"/>
                      <w:vertAlign w:val="baseline"/>
                      <w:lang w:val="en-US" w:eastAsia="zh-CN"/>
                    </w:rPr>
                  </w:pPr>
                  <w:r>
                    <w:rPr>
                      <w:rFonts w:hint="eastAsia" w:cs="Times New Roman"/>
                      <w:color w:val="auto"/>
                      <w:sz w:val="21"/>
                      <w:szCs w:val="21"/>
                      <w:vertAlign w:val="baseline"/>
                      <w:lang w:val="en-US" w:eastAsia="zh-CN"/>
                    </w:rPr>
                    <w:t>0.0104</w:t>
                  </w:r>
                </w:p>
              </w:tc>
              <w:tc>
                <w:tcPr>
                  <w:tcW w:w="1865" w:type="dxa"/>
                  <w:vAlign w:val="center"/>
                </w:tcPr>
                <w:p w14:paraId="584ABF18">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color w:val="auto"/>
                      <w:sz w:val="21"/>
                      <w:szCs w:val="21"/>
                      <w:vertAlign w:val="baseline"/>
                      <w:lang w:val="en-US" w:eastAsia="zh-CN"/>
                    </w:rPr>
                  </w:pPr>
                  <w:r>
                    <w:rPr>
                      <w:rFonts w:hint="eastAsia" w:cs="Times New Roman"/>
                      <w:color w:val="auto"/>
                      <w:sz w:val="21"/>
                      <w:szCs w:val="21"/>
                      <w:vertAlign w:val="baseline"/>
                      <w:lang w:val="en-US" w:eastAsia="zh-CN"/>
                    </w:rPr>
                    <w:t>3.65</w:t>
                  </w:r>
                </w:p>
              </w:tc>
              <w:tc>
                <w:tcPr>
                  <w:tcW w:w="1198" w:type="dxa"/>
                  <w:vAlign w:val="center"/>
                </w:tcPr>
                <w:p w14:paraId="3421098E">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cs="Times New Roman"/>
                      <w:color w:val="auto"/>
                      <w:sz w:val="21"/>
                      <w:szCs w:val="21"/>
                      <w:vertAlign w:val="baseline"/>
                      <w:lang w:val="en-US" w:eastAsia="zh-CN"/>
                    </w:rPr>
                  </w:pPr>
                  <w:r>
                    <w:rPr>
                      <w:rFonts w:hint="eastAsia" w:cs="Times New Roman"/>
                      <w:color w:val="auto"/>
                      <w:sz w:val="21"/>
                      <w:szCs w:val="21"/>
                      <w:vertAlign w:val="baseline"/>
                      <w:lang w:val="en-US" w:eastAsia="zh-CN"/>
                    </w:rPr>
                    <w:t>/</w:t>
                  </w:r>
                </w:p>
              </w:tc>
            </w:tr>
            <w:tr w14:paraId="2F57425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500" w:type="dxa"/>
                  <w:gridSpan w:val="3"/>
                  <w:vAlign w:val="center"/>
                </w:tcPr>
                <w:p w14:paraId="314F6062">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cs="Times New Roman"/>
                      <w:color w:val="auto"/>
                      <w:sz w:val="21"/>
                      <w:szCs w:val="21"/>
                      <w:vertAlign w:val="baseline"/>
                      <w:lang w:val="en-US" w:eastAsia="zh-CN"/>
                    </w:rPr>
                  </w:pPr>
                  <w:r>
                    <w:rPr>
                      <w:rFonts w:hint="eastAsia" w:cs="Times New Roman"/>
                      <w:color w:val="auto"/>
                      <w:sz w:val="21"/>
                      <w:szCs w:val="21"/>
                      <w:vertAlign w:val="baseline"/>
                      <w:lang w:val="en-US" w:eastAsia="zh-CN"/>
                    </w:rPr>
                    <w:t>合计</w:t>
                  </w:r>
                </w:p>
              </w:tc>
              <w:tc>
                <w:tcPr>
                  <w:tcW w:w="1865" w:type="dxa"/>
                  <w:vAlign w:val="center"/>
                </w:tcPr>
                <w:p w14:paraId="02D697C4">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color w:val="auto"/>
                      <w:sz w:val="21"/>
                      <w:szCs w:val="21"/>
                      <w:vertAlign w:val="baseline"/>
                      <w:lang w:val="en-US" w:eastAsia="zh-CN"/>
                    </w:rPr>
                  </w:pPr>
                  <w:r>
                    <w:rPr>
                      <w:rFonts w:hint="eastAsia" w:cs="Times New Roman"/>
                      <w:color w:val="auto"/>
                      <w:sz w:val="21"/>
                      <w:szCs w:val="21"/>
                      <w:vertAlign w:val="baseline"/>
                      <w:lang w:val="en-US" w:eastAsia="zh-CN"/>
                    </w:rPr>
                    <w:t>0.41</w:t>
                  </w:r>
                </w:p>
              </w:tc>
              <w:tc>
                <w:tcPr>
                  <w:tcW w:w="1865" w:type="dxa"/>
                  <w:vAlign w:val="center"/>
                </w:tcPr>
                <w:p w14:paraId="043815D9">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color w:val="auto"/>
                      <w:sz w:val="21"/>
                      <w:szCs w:val="21"/>
                      <w:vertAlign w:val="baseline"/>
                      <w:lang w:val="en-US" w:eastAsia="zh-CN"/>
                    </w:rPr>
                  </w:pPr>
                  <w:r>
                    <w:rPr>
                      <w:rFonts w:hint="eastAsia" w:cs="Times New Roman"/>
                      <w:color w:val="auto"/>
                      <w:sz w:val="21"/>
                      <w:szCs w:val="21"/>
                      <w:vertAlign w:val="baseline"/>
                      <w:lang w:val="en-US" w:eastAsia="zh-CN"/>
                    </w:rPr>
                    <w:t>143.65</w:t>
                  </w:r>
                </w:p>
              </w:tc>
              <w:tc>
                <w:tcPr>
                  <w:tcW w:w="1198" w:type="dxa"/>
                  <w:vAlign w:val="center"/>
                </w:tcPr>
                <w:p w14:paraId="2F2F581F">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color w:val="auto"/>
                      <w:sz w:val="21"/>
                      <w:szCs w:val="21"/>
                      <w:vertAlign w:val="baseline"/>
                      <w:lang w:val="en-US" w:eastAsia="zh-CN"/>
                    </w:rPr>
                  </w:pPr>
                  <w:r>
                    <w:rPr>
                      <w:rFonts w:hint="eastAsia" w:cs="Times New Roman"/>
                      <w:color w:val="auto"/>
                      <w:sz w:val="21"/>
                      <w:szCs w:val="21"/>
                      <w:vertAlign w:val="baseline"/>
                      <w:lang w:val="en-US" w:eastAsia="zh-CN"/>
                    </w:rPr>
                    <w:t>119m</w:t>
                  </w:r>
                  <w:r>
                    <w:rPr>
                      <w:rFonts w:hint="eastAsia" w:cs="Times New Roman"/>
                      <w:color w:val="auto"/>
                      <w:sz w:val="21"/>
                      <w:szCs w:val="21"/>
                      <w:vertAlign w:val="superscript"/>
                      <w:lang w:val="en-US" w:eastAsia="zh-CN"/>
                    </w:rPr>
                    <w:t>3</w:t>
                  </w:r>
                  <w:r>
                    <w:rPr>
                      <w:rFonts w:hint="eastAsia" w:cs="Times New Roman"/>
                      <w:color w:val="auto"/>
                      <w:sz w:val="21"/>
                      <w:szCs w:val="21"/>
                      <w:vertAlign w:val="baseline"/>
                      <w:lang w:val="en-US" w:eastAsia="zh-CN"/>
                    </w:rPr>
                    <w:t>/a</w:t>
                  </w:r>
                </w:p>
              </w:tc>
            </w:tr>
          </w:tbl>
          <w:p w14:paraId="6FE0DF03">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r>
              <w:rPr>
                <w:rFonts w:hint="eastAsia" w:cs="Times New Roman"/>
                <w:color w:val="auto"/>
                <w:sz w:val="24"/>
                <w:szCs w:val="24"/>
                <w:lang w:val="en-US" w:eastAsia="zh-CN"/>
              </w:rPr>
              <w:t>本项目水平衡图如下：</w:t>
            </w:r>
          </w:p>
          <w:p w14:paraId="77F7A231">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20" w:firstLineChars="200"/>
              <w:jc w:val="both"/>
              <w:textAlignment w:val="auto"/>
              <w:rPr>
                <w:rFonts w:hint="eastAsia" w:cs="Times New Roman"/>
                <w:color w:val="auto"/>
                <w:sz w:val="24"/>
                <w:szCs w:val="24"/>
                <w:lang w:val="en-US" w:eastAsia="zh-CN"/>
              </w:rPr>
            </w:pPr>
            <w:r>
              <w:rPr>
                <w:sz w:val="21"/>
              </w:rPr>
              <mc:AlternateContent>
                <mc:Choice Requires="wpg">
                  <w:drawing>
                    <wp:anchor distT="0" distB="0" distL="114300" distR="114300" simplePos="0" relativeHeight="251665408" behindDoc="0" locked="0" layoutInCell="1" allowOverlap="1">
                      <wp:simplePos x="0" y="0"/>
                      <wp:positionH relativeFrom="column">
                        <wp:posOffset>330835</wp:posOffset>
                      </wp:positionH>
                      <wp:positionV relativeFrom="paragraph">
                        <wp:posOffset>201930</wp:posOffset>
                      </wp:positionV>
                      <wp:extent cx="4652010" cy="1723390"/>
                      <wp:effectExtent l="4445" t="4445" r="10795" b="5715"/>
                      <wp:wrapNone/>
                      <wp:docPr id="15" name="组合 15"/>
                      <wp:cNvGraphicFramePr/>
                      <a:graphic xmlns:a="http://schemas.openxmlformats.org/drawingml/2006/main">
                        <a:graphicData uri="http://schemas.microsoft.com/office/word/2010/wordprocessingGroup">
                          <wpg:wgp>
                            <wpg:cNvGrpSpPr/>
                            <wpg:grpSpPr>
                              <a:xfrm>
                                <a:off x="0" y="0"/>
                                <a:ext cx="4652010" cy="1723390"/>
                                <a:chOff x="3238" y="2518"/>
                                <a:chExt cx="7326" cy="2714"/>
                              </a:xfrm>
                            </wpg:grpSpPr>
                            <wps:wsp>
                              <wps:cNvPr id="24" name="文本框 3"/>
                              <wps:cNvSpPr txBox="1"/>
                              <wps:spPr>
                                <a:xfrm>
                                  <a:off x="7006" y="3331"/>
                                  <a:ext cx="1151" cy="413"/>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6C4616B7">
                                    <w:pPr>
                                      <w:rPr>
                                        <w:rFonts w:hint="eastAsia"/>
                                        <w:lang w:val="en-US" w:eastAsia="zh-CN"/>
                                      </w:rPr>
                                    </w:pPr>
                                    <w:r>
                                      <w:rPr>
                                        <w:rFonts w:hint="eastAsia"/>
                                        <w:lang w:val="en-US" w:eastAsia="zh-CN"/>
                                      </w:rPr>
                                      <w:t>预处理池</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4" name="文本框 12"/>
                              <wps:cNvSpPr txBox="1"/>
                              <wps:spPr>
                                <a:xfrm>
                                  <a:off x="6214" y="4607"/>
                                  <a:ext cx="700" cy="413"/>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189D953E">
                                    <w:pPr>
                                      <w:jc w:val="center"/>
                                      <w:rPr>
                                        <w:rFonts w:hint="default" w:ascii="Times New Roman" w:hAnsi="Times New Roman" w:cs="Times New Roman" w:eastAsiaTheme="minorEastAsia"/>
                                        <w:lang w:val="en-US" w:eastAsia="zh-CN"/>
                                      </w:rPr>
                                    </w:pPr>
                                    <w:r>
                                      <w:rPr>
                                        <w:rFonts w:hint="eastAsia" w:cs="Times New Roman" w:eastAsiaTheme="minorEastAsia"/>
                                        <w:lang w:val="en-US" w:eastAsia="zh-CN"/>
                                      </w:rPr>
                                      <w:t>3.65</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7" name="文本框 12"/>
                              <wps:cNvSpPr txBox="1"/>
                              <wps:spPr>
                                <a:xfrm>
                                  <a:off x="4902" y="4417"/>
                                  <a:ext cx="700" cy="413"/>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3A375868">
                                    <w:pPr>
                                      <w:jc w:val="center"/>
                                      <w:rPr>
                                        <w:rFonts w:hint="default" w:ascii="Times New Roman" w:hAnsi="Times New Roman" w:cs="Times New Roman" w:eastAsiaTheme="minorEastAsia"/>
                                        <w:lang w:val="en-US" w:eastAsia="zh-CN"/>
                                      </w:rPr>
                                    </w:pPr>
                                    <w:r>
                                      <w:rPr>
                                        <w:rFonts w:hint="eastAsia" w:cs="Times New Roman" w:eastAsiaTheme="minorEastAsia"/>
                                        <w:lang w:val="en-US" w:eastAsia="zh-CN"/>
                                      </w:rPr>
                                      <w:t>3.65</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5" name="文本框 5"/>
                              <wps:cNvSpPr txBox="1"/>
                              <wps:spPr>
                                <a:xfrm>
                                  <a:off x="6796" y="4145"/>
                                  <a:ext cx="751" cy="413"/>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14:paraId="3120C11A">
                                    <w:pPr>
                                      <w:jc w:val="center"/>
                                      <w:rPr>
                                        <w:rFonts w:hint="eastAsia"/>
                                        <w:lang w:val="en-US" w:eastAsia="zh-CN"/>
                                      </w:rPr>
                                    </w:pPr>
                                    <w:r>
                                      <w:rPr>
                                        <w:rFonts w:hint="eastAsia"/>
                                        <w:lang w:val="en-US" w:eastAsia="zh-CN"/>
                                      </w:rPr>
                                      <w:t>琼江</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0" name="文本框 12"/>
                              <wps:cNvSpPr txBox="1"/>
                              <wps:spPr>
                                <a:xfrm>
                                  <a:off x="3238" y="2938"/>
                                  <a:ext cx="1154" cy="413"/>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6915FFC5">
                                    <w:pPr>
                                      <w:jc w:val="center"/>
                                      <w:rPr>
                                        <w:rFonts w:hint="default" w:ascii="Times New Roman" w:hAnsi="Times New Roman" w:cs="Times New Roman" w:eastAsiaTheme="minorEastAsia"/>
                                        <w:lang w:val="en-US" w:eastAsia="zh-CN"/>
                                      </w:rPr>
                                    </w:pPr>
                                    <w:r>
                                      <w:rPr>
                                        <w:rFonts w:hint="eastAsia" w:cs="Times New Roman"/>
                                        <w:lang w:val="en-US" w:eastAsia="zh-CN"/>
                                      </w:rPr>
                                      <w:t>143.65</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8" name="文本框 12"/>
                              <wps:cNvSpPr txBox="1"/>
                              <wps:spPr>
                                <a:xfrm>
                                  <a:off x="4883" y="2927"/>
                                  <a:ext cx="664" cy="413"/>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4AFBE3F3">
                                    <w:pPr>
                                      <w:jc w:val="center"/>
                                      <w:rPr>
                                        <w:rFonts w:hint="default" w:ascii="Times New Roman" w:hAnsi="Times New Roman" w:cs="Times New Roman" w:eastAsiaTheme="minorEastAsia"/>
                                        <w:lang w:val="en-US" w:eastAsia="zh-CN"/>
                                      </w:rPr>
                                    </w:pPr>
                                    <w:r>
                                      <w:rPr>
                                        <w:rFonts w:hint="eastAsia" w:cs="Times New Roman"/>
                                        <w:lang w:val="en-US" w:eastAsia="zh-CN"/>
                                      </w:rPr>
                                      <w:t>14</w:t>
                                    </w:r>
                                    <w:r>
                                      <w:rPr>
                                        <w:rFonts w:hint="default" w:ascii="Times New Roman" w:hAnsi="Times New Roman" w:cs="Times New Roman"/>
                                        <w:lang w:val="en-US" w:eastAsia="zh-CN"/>
                                      </w:rPr>
                                      <w:t>0</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2" name="文本框 1"/>
                              <wps:cNvSpPr txBox="1"/>
                              <wps:spPr>
                                <a:xfrm>
                                  <a:off x="6980" y="4817"/>
                                  <a:ext cx="3585" cy="413"/>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14:paraId="1217BC1E">
                                    <w:pPr>
                                      <w:rPr>
                                        <w:rFonts w:hint="eastAsia"/>
                                        <w:lang w:val="en-US" w:eastAsia="zh-CN"/>
                                      </w:rPr>
                                    </w:pPr>
                                    <w:r>
                                      <w:rPr>
                                        <w:rFonts w:hint="eastAsia"/>
                                        <w:lang w:val="en-US" w:eastAsia="zh-CN"/>
                                      </w:rPr>
                                      <w:t>交由有处理资质的单位处置</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8" name="文本框 2"/>
                              <wps:cNvSpPr txBox="1"/>
                              <wps:spPr>
                                <a:xfrm>
                                  <a:off x="5050" y="4820"/>
                                  <a:ext cx="1150" cy="413"/>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060DFE94">
                                    <w:pPr>
                                      <w:jc w:val="center"/>
                                      <w:rPr>
                                        <w:rFonts w:hint="default" w:eastAsiaTheme="minorEastAsia"/>
                                        <w:lang w:val="en-US" w:eastAsia="zh-CN"/>
                                      </w:rPr>
                                    </w:pPr>
                                    <w:r>
                                      <w:rPr>
                                        <w:rFonts w:hint="eastAsia"/>
                                        <w:lang w:val="en-US" w:eastAsia="zh-CN"/>
                                      </w:rPr>
                                      <w:t>生产用水</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9" name="肘形连接符 7"/>
                              <wps:cNvCnPr>
                                <a:stCxn id="29" idx="3"/>
                                <a:endCxn id="1" idx="1"/>
                              </wps:cNvCnPr>
                              <wps:spPr>
                                <a:xfrm>
                                  <a:off x="4388" y="3545"/>
                                  <a:ext cx="662" cy="1482"/>
                                </a:xfrm>
                                <a:prstGeom prst="bentConnector3">
                                  <a:avLst>
                                    <a:gd name="adj1" fmla="val 50000"/>
                                  </a:avLst>
                                </a:prstGeom>
                                <a:ln>
                                  <a:solidFill>
                                    <a:schemeClr val="tx1"/>
                                  </a:solidFill>
                                  <a:headEnd type="none"/>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20" name="直接箭头连接符 10"/>
                              <wps:cNvCnPr>
                                <a:stCxn id="38" idx="2"/>
                                <a:endCxn id="32" idx="0"/>
                              </wps:cNvCnPr>
                              <wps:spPr>
                                <a:xfrm flipH="1">
                                  <a:off x="9267" y="3750"/>
                                  <a:ext cx="5" cy="394"/>
                                </a:xfrm>
                                <a:prstGeom prst="straightConnector1">
                                  <a:avLst/>
                                </a:prstGeom>
                                <a:ln>
                                  <a:solidFill>
                                    <a:schemeClr val="tx1"/>
                                  </a:solidFill>
                                  <a:headEnd type="none"/>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47" name="直接箭头连接符 9"/>
                              <wps:cNvCnPr/>
                              <wps:spPr>
                                <a:xfrm flipV="1">
                                  <a:off x="4388" y="3543"/>
                                  <a:ext cx="683" cy="2"/>
                                </a:xfrm>
                                <a:prstGeom prst="straightConnector1">
                                  <a:avLst/>
                                </a:prstGeom>
                                <a:ln>
                                  <a:solidFill>
                                    <a:schemeClr val="tx1"/>
                                  </a:solidFill>
                                  <a:headEnd type="none"/>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50" name="文本框 2"/>
                              <wps:cNvSpPr txBox="1"/>
                              <wps:spPr>
                                <a:xfrm>
                                  <a:off x="5071" y="3336"/>
                                  <a:ext cx="1150" cy="413"/>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3027CEDC">
                                    <w:pPr>
                                      <w:jc w:val="center"/>
                                      <w:rPr>
                                        <w:rFonts w:hint="default" w:eastAsiaTheme="minorEastAsia"/>
                                        <w:lang w:val="en-US" w:eastAsia="zh-CN"/>
                                      </w:rPr>
                                    </w:pPr>
                                    <w:r>
                                      <w:rPr>
                                        <w:rFonts w:hint="eastAsia"/>
                                        <w:lang w:val="en-US" w:eastAsia="zh-CN"/>
                                      </w:rPr>
                                      <w:t>生活用水</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1" name="直接箭头连接符 7"/>
                              <wps:cNvCnPr>
                                <a:stCxn id="24" idx="3"/>
                                <a:endCxn id="38" idx="1"/>
                              </wps:cNvCnPr>
                              <wps:spPr>
                                <a:xfrm>
                                  <a:off x="8157" y="3538"/>
                                  <a:ext cx="257" cy="6"/>
                                </a:xfrm>
                                <a:prstGeom prst="straightConnector1">
                                  <a:avLst/>
                                </a:prstGeom>
                                <a:ln>
                                  <a:solidFill>
                                    <a:schemeClr val="tx1"/>
                                  </a:solidFill>
                                  <a:headEnd type="none"/>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49" name="直接箭头连接符 7"/>
                              <wps:cNvCnPr>
                                <a:stCxn id="1" idx="3"/>
                                <a:endCxn id="6" idx="1"/>
                              </wps:cNvCnPr>
                              <wps:spPr>
                                <a:xfrm flipV="1">
                                  <a:off x="6200" y="5024"/>
                                  <a:ext cx="780" cy="3"/>
                                </a:xfrm>
                                <a:prstGeom prst="straightConnector1">
                                  <a:avLst/>
                                </a:prstGeom>
                                <a:ln>
                                  <a:solidFill>
                                    <a:schemeClr val="tx1"/>
                                  </a:solidFill>
                                  <a:headEnd type="none"/>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48" name="直接箭头连接符 8"/>
                              <wps:cNvCnPr>
                                <a:endCxn id="24" idx="1"/>
                              </wps:cNvCnPr>
                              <wps:spPr>
                                <a:xfrm flipV="1">
                                  <a:off x="6221" y="3538"/>
                                  <a:ext cx="785" cy="5"/>
                                </a:xfrm>
                                <a:prstGeom prst="straightConnector1">
                                  <a:avLst/>
                                </a:prstGeom>
                                <a:ln>
                                  <a:solidFill>
                                    <a:schemeClr val="tx1"/>
                                  </a:solidFill>
                                  <a:headEnd type="none"/>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40" name="直接箭头连接符 11"/>
                              <wps:cNvCnPr>
                                <a:endCxn id="5" idx="3"/>
                              </wps:cNvCnPr>
                              <wps:spPr>
                                <a:xfrm flipH="1">
                                  <a:off x="7547" y="4351"/>
                                  <a:ext cx="492" cy="1"/>
                                </a:xfrm>
                                <a:prstGeom prst="straightConnector1">
                                  <a:avLst/>
                                </a:prstGeom>
                                <a:ln>
                                  <a:solidFill>
                                    <a:schemeClr val="tx1"/>
                                  </a:solidFill>
                                  <a:headEnd type="none"/>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38" name="文本框 6"/>
                              <wps:cNvSpPr txBox="1"/>
                              <wps:spPr>
                                <a:xfrm>
                                  <a:off x="8414" y="3337"/>
                                  <a:ext cx="1715" cy="413"/>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608B999C">
                                    <w:pPr>
                                      <w:jc w:val="center"/>
                                      <w:rPr>
                                        <w:rFonts w:hint="default" w:eastAsiaTheme="minorEastAsia"/>
                                        <w:lang w:val="en-US" w:eastAsia="zh-CN"/>
                                      </w:rPr>
                                    </w:pPr>
                                    <w:r>
                                      <w:rPr>
                                        <w:rFonts w:hint="eastAsia"/>
                                        <w:lang w:val="en-US" w:eastAsia="zh-CN"/>
                                      </w:rPr>
                                      <w:t>市政污水管网</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32" name="文本框 4"/>
                              <wps:cNvSpPr txBox="1"/>
                              <wps:spPr>
                                <a:xfrm>
                                  <a:off x="8039" y="4144"/>
                                  <a:ext cx="2456" cy="413"/>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32CA2510">
                                    <w:pPr>
                                      <w:jc w:val="center"/>
                                      <w:rPr>
                                        <w:rFonts w:hint="eastAsia"/>
                                        <w:sz w:val="18"/>
                                        <w:szCs w:val="18"/>
                                        <w:lang w:val="en-US" w:eastAsia="zh-CN"/>
                                      </w:rPr>
                                    </w:pPr>
                                    <w:r>
                                      <w:rPr>
                                        <w:rFonts w:hint="eastAsia"/>
                                        <w:sz w:val="18"/>
                                        <w:szCs w:val="18"/>
                                        <w:lang w:val="en-US" w:eastAsia="zh-CN"/>
                                      </w:rPr>
                                      <w:t>安居区龙眼井污水处理厂</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9" name="文本框 1"/>
                              <wps:cNvSpPr txBox="1"/>
                              <wps:spPr>
                                <a:xfrm>
                                  <a:off x="3238" y="3338"/>
                                  <a:ext cx="1150" cy="413"/>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39C06A0B">
                                    <w:pPr>
                                      <w:jc w:val="center"/>
                                      <w:rPr>
                                        <w:rFonts w:hint="eastAsia" w:eastAsiaTheme="minorEastAsia"/>
                                        <w:lang w:val="en-US" w:eastAsia="zh-CN"/>
                                      </w:rPr>
                                    </w:pPr>
                                    <w:r>
                                      <w:rPr>
                                        <w:rFonts w:hint="eastAsia"/>
                                        <w:lang w:val="en-US" w:eastAsia="zh-CN"/>
                                      </w:rPr>
                                      <w:t>新鲜水</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2" name="文本框 13"/>
                              <wps:cNvSpPr txBox="1"/>
                              <wps:spPr>
                                <a:xfrm>
                                  <a:off x="6220" y="3136"/>
                                  <a:ext cx="779" cy="413"/>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02FB245A">
                                    <w:pPr>
                                      <w:jc w:val="center"/>
                                      <w:rPr>
                                        <w:rFonts w:hint="default" w:ascii="Times New Roman" w:hAnsi="Times New Roman" w:cs="Times New Roman" w:eastAsiaTheme="minorEastAsia"/>
                                        <w:sz w:val="18"/>
                                        <w:szCs w:val="18"/>
                                        <w:lang w:val="en-US" w:eastAsia="zh-CN"/>
                                      </w:rPr>
                                    </w:pPr>
                                    <w:r>
                                      <w:rPr>
                                        <w:rFonts w:hint="eastAsia" w:cs="Times New Roman"/>
                                        <w:sz w:val="21"/>
                                        <w:szCs w:val="21"/>
                                        <w:lang w:val="en-US" w:eastAsia="zh-CN"/>
                                      </w:rPr>
                                      <w:t>119.0</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3" name="文本框 14"/>
                              <wps:cNvSpPr txBox="1"/>
                              <wps:spPr>
                                <a:xfrm>
                                  <a:off x="9249" y="3715"/>
                                  <a:ext cx="765" cy="40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0B62E30C">
                                    <w:pPr>
                                      <w:jc w:val="center"/>
                                      <w:rPr>
                                        <w:rFonts w:hint="default" w:ascii="Times New Roman" w:hAnsi="Times New Roman" w:cs="Times New Roman" w:eastAsiaTheme="minorEastAsia"/>
                                        <w:sz w:val="20"/>
                                        <w:szCs w:val="22"/>
                                        <w:lang w:val="en-US" w:eastAsia="zh-CN"/>
                                      </w:rPr>
                                    </w:pPr>
                                    <w:r>
                                      <w:rPr>
                                        <w:rFonts w:hint="eastAsia" w:cs="Times New Roman"/>
                                        <w:sz w:val="20"/>
                                        <w:szCs w:val="22"/>
                                        <w:lang w:val="en-US" w:eastAsia="zh-CN"/>
                                      </w:rPr>
                                      <w:t>119.0</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5" name="曲线连接符 16"/>
                              <wps:cNvCnPr/>
                              <wps:spPr>
                                <a:xfrm rot="16200000">
                                  <a:off x="5630" y="2741"/>
                                  <a:ext cx="611" cy="579"/>
                                </a:xfrm>
                                <a:prstGeom prst="curvedConnector2">
                                  <a:avLst/>
                                </a:prstGeom>
                                <a:ln>
                                  <a:solidFill>
                                    <a:schemeClr val="tx1"/>
                                  </a:solidFill>
                                  <a:prstDash val="dash"/>
                                  <a:headEnd type="none"/>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26" name="文本框 15"/>
                              <wps:cNvSpPr txBox="1"/>
                              <wps:spPr>
                                <a:xfrm>
                                  <a:off x="6225" y="2518"/>
                                  <a:ext cx="1150" cy="413"/>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362E033F">
                                    <w:pPr>
                                      <w:jc w:val="center"/>
                                      <w:rPr>
                                        <w:rFonts w:hint="default" w:ascii="Times New Roman" w:hAnsi="Times New Roman" w:cs="Times New Roman" w:eastAsiaTheme="minorEastAsia"/>
                                        <w:sz w:val="20"/>
                                        <w:szCs w:val="22"/>
                                        <w:lang w:val="en-US" w:eastAsia="zh-CN"/>
                                      </w:rPr>
                                    </w:pPr>
                                    <w:r>
                                      <w:rPr>
                                        <w:rFonts w:hint="default" w:ascii="Times New Roman" w:hAnsi="Times New Roman" w:cs="Times New Roman"/>
                                        <w:sz w:val="20"/>
                                        <w:szCs w:val="22"/>
                                        <w:lang w:val="en-US" w:eastAsia="zh-CN"/>
                                      </w:rPr>
                                      <w:t>损失</w:t>
                                    </w:r>
                                    <w:r>
                                      <w:rPr>
                                        <w:rFonts w:hint="eastAsia" w:cs="Times New Roman"/>
                                        <w:sz w:val="20"/>
                                        <w:szCs w:val="22"/>
                                        <w:lang w:val="en-US" w:eastAsia="zh-CN"/>
                                      </w:rPr>
                                      <w:t>21.0</w:t>
                                    </w:r>
                                  </w:p>
                                </w:txbxContent>
                              </wps:txbx>
                              <wps:bodyPr rot="0" spcFirstLastPara="0" vertOverflow="overflow" horzOverflow="overflow" vert="horz" wrap="square" lIns="91440" tIns="45720" rIns="91440" bIns="45720" numCol="1" spcCol="0" rtlCol="0" fromWordArt="0" anchor="t" anchorCtr="0" forceAA="0" compatLnSpc="1">
                                <a:noAutofit/>
                              </wps:bodyPr>
                            </wps:wsp>
                          </wpg:wgp>
                        </a:graphicData>
                      </a:graphic>
                    </wp:anchor>
                  </w:drawing>
                </mc:Choice>
                <mc:Fallback>
                  <w:pict>
                    <v:group id="_x0000_s1026" o:spid="_x0000_s1026" o:spt="203" style="position:absolute;left:0pt;margin-left:26.05pt;margin-top:15.9pt;height:135.7pt;width:366.3pt;z-index:251665408;mso-width-relative:page;mso-height-relative:page;" coordorigin="3238,2518" coordsize="7326,2714" o:gfxdata="UEsDBAoAAAAAAIdO4kAAAAAAAAAAAAAAAAAEAAAAZHJzL1BLAwQUAAAACACHTuJAFzNjmtkAAAAJ&#10;AQAADwAAAGRycy9kb3ducmV2LnhtbE2PwU7DMBBE70j8g7VI3KjjhNIqxKlQBZwqpLZIiJsbb5Oo&#10;8TqK3aT9e5YTHHdmNPumWF1cJ0YcQutJg5olIJAqb1uqNXzu3x6WIEI0ZE3nCTVcMcCqvL0pTG79&#10;RFscd7EWXEIhNxqaGPtcylA16EyY+R6JvaMfnIl8DrW0g5m43HUyTZIn6UxL/KExPa4brE67s9Pw&#10;PpnpJVOv4+Z0XF+/9/OPr41Cre/vVPIMIuIl/oXhF5/RoWSmgz+TDaLTME8VJzVkihewv1g+LkAc&#10;WEiyFGRZyP8Lyh9QSwMEFAAAAAgAh07iQGgp1KyFBwAAHz4AAA4AAABkcnMvZTJvRG9jLnhtbO1b&#10;S2/cVBTeI/EfLO/pjN8zo06qkDQFqaKVymPt+DFj8ItrJzNhiRCwQqwQUhESCFgVFqgrEOqvadKf&#10;wXfu9WPscZJmEkJaOYuJ7Wtf33v83fP4zrm37yyjUDr0WBYk8VRWbg1lyYudxA3i2VT+4P29t0ay&#10;lOV27NphEntT+cjL5Dtbb75xe5FOPDWZJ6HrMQmdxNlkkU7leZ6nk8Egc+ZeZGe3ktSL0egnLLJz&#10;nLLZwGX2Ar1H4UAdDs3BImFuyhLHyzJc3RWNctEje5kOE98PHG83cQ4iL85Fr8wL7RxTyuZBmslb&#10;fLS+7zn5A9/PvFwKpzJmmvNfvATH+/Q72LptT2bMTueBUwzBfpkhtOYU2UGMl1Zd7dq5LR2wYK2r&#10;KHBYkiV+fstJooGYCJcIZqEMW7K5x5KDlM9lNlnM0kro+FAtqW/crfPe4UMmBS6QYMhSbEf44id/&#10;f/H8268lXIB0FulsgpvusfRR+pAVF2bijCa89FlE/zEVacnlelTJ1VvmkoOLumnQ7GTJQZtiqZo2&#10;LiTvzPF56DlN1YA7NKuGMhJfxZnfLZ63NNUUD6uWolProHzxgMZXDWeRApNZLajscoJ6NLdTj8s/&#10;IxkUglL1UlDH3311/MOT45++lDQhKn4byUnKl28nmJZSXs9wsUNcFhYEn7amafxee1IKTVEMRUxa&#10;V3j31ZztScqy/J6XRBIdTGUGmHP02Yf3s1yIp7yFXpolYeDuBWHIT9hsfydk0qGNJbHH/wqJNm4L&#10;Y2kxlU3NGPKeG23Ud9XFfmg7n6z3gNGGMT4UfRIxeTrKl/tLjqFssp+4RxAUS8SazFJnL0C/9+0s&#10;f2gzLELgBWoqf4AfP0wwmKQ4kqV5wj7ruk7345OjVZYWWNRTOfv0wGaeLIXvxgDDWNF10gL8RDcs&#10;FSdstWV/tSU+iHYSCAmfAaPjh3R/HpaHPkuij6DNtumtaLJjB++eynl5uJMLVQNt6Hjb2/wmrPvU&#10;zu/Hj1KHuqZPEifbB3niB/zTkZiEbArpAdC0DK8B2VhbhQqoka2oJYSxAi4CbVOl7rCidXNoUR81&#10;tIH6K0J2nBCseectwFYtPRCByVcMiNYV4lAfD1WBQ13pcdgrROZ2uVrdpr5yiWp9WDhFF7b0pjUW&#10;ll5XdN7Hijq8SYa+15uvsgGHXRU+fA3YjQ147ZKP4Zs3DDh8U9h28uYv7ZtWeCN/seFyVi29BX/1&#10;LLiKaO7KkKiPRpoIDsdqy4SbZg/EPqbhTFK3CYf6WwfipiHNeAQFS1pv1HYlNWMEZ+FKNGIj1M42&#10;itZ71fkqG/EO1blpEG4Mwd8IxILraNvwq4rCrwCxjS56fkmw1a8dvzQudfGLz79//s/PL579ePzN&#10;rydPfpO4VSeOCyTTTiyoUnCMy5hT0yqeC1xiiQsIx27ZBG6Ot3DylJONVQ/U3Sm0q66NBNusGe1g&#10;zDRhMDhPrY/4qjuddt1H8mEniWOwrwnTagKWqK6ZW1gd2/0YY/SjEIwmKFfJGOKPpoF+OV3Lj1bZ&#10;2kp5lx7x2FDJthCd6SPJgcModUFtxjPwjOEMWRwnZ+ssbcN00Fur964ttl07mwtCmDcJKc89270b&#10;u1J+lCIpECMZJK7ndhDW13MW2PEsBMUKhjbyXFCtHkZER2KSHSywoDepuaA1r4nfJLq3SHE8fkrI&#10;++P35788rVGIFAUGdSoMKUPBwcZxgfi9hqEG0PAm8WkbXbRxKPlhkL5Tcr9F3mSsmiC94FpoFjQ2&#10;RlHTA4VfoY2bmY+1LECWMzuYzWtICnL5lJxAjzJkL/+T/JBesZcnnSgbt0BWQG5VVXGIfNiCyKrS&#10;KhVhkSAzKT4ipXWOxuohUi9GOvq/FBE5Ze3oeHMXz4KBIc2haWZTc4Cm6V28PoXIM4fXZWKBxbNM&#10;7DmOHsicUxy9yvhezNMbKUZhV402ialSCylNvmpOd/N6pXkzlKZeRQ/ddvVsaJWBQmk5a98NaZmX&#10;DSE67bKJqiaugI0hSkMarptFfBFB7JwCjh5iNwRiFfXSDTGeBqGhVkFmIwqgyqBLQkktbPmatrJK&#10;fpEnD3ttddNjTaozOssQKlVpWDeWEPXVlvBsYqMzoLQMikOgenQN6eWGVtLHJcVB13so3XQokevT&#10;jha4z1JoootUZY1QflBGC61UmmJRCShZq0sndRsEU4OH6gsO+4JDKLyilJZoszayuQu1CbKHGhxE&#10;jl695YapulHUD/fI7ktpCVv/fZF4FaysVOKQud0A2VUhDhie9UKcnuHpGZ5rZXg6dLbYoLABtE2V&#10;cjIUICtt8tKysISuxBtZS3VUuxqqFjjBHXmqfreCdIN3K6jIebSdB7E7aAMgjlWilwiI5AU3wiXL&#10;LN3i4Tmx93n7cCq4lZndHoivw7YZys4XQHz858lfz1YSyqthGtU1FA5AI9fHd0ApxCJShp4yv0VO&#10;2DA1oRxVS2+F8CboA64cDWjJM4N454Adem5VpqDWZQrisRtTeeCiBkEsvNew8ADhx5qq4spkA1UF&#10;mwnAQVXVWyVX9gz27mDvDhbuIFhDvm+Yc3zFHmfamLx6zmtw6n3dW/8C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9wkAAFtDb250ZW50X1R5cGVz&#10;XS54bWxQSwECFAAKAAAAAACHTuJAAAAAAAAAAAAAAAAABgAAAAAAAAAAABAAAADZCAAAX3JlbHMv&#10;UEsBAhQAFAAAAAgAh07iQIoUZjzRAAAAlAEAAAsAAAAAAAAAAQAgAAAA/QgAAF9yZWxzLy5yZWxz&#10;UEsBAhQACgAAAAAAh07iQAAAAAAAAAAAAAAAAAQAAAAAAAAAAAAQAAAAAAAAAGRycy9QSwECFAAU&#10;AAAACACHTuJAFzNjmtkAAAAJAQAADwAAAAAAAAABACAAAAAiAAAAZHJzL2Rvd25yZXYueG1sUEsB&#10;AhQAFAAAAAgAh07iQGgp1KyFBwAAHz4AAA4AAAAAAAAAAQAgAAAAKAEAAGRycy9lMm9Eb2MueG1s&#10;UEsFBgAAAAAGAAYAWQEAAB8LAAAAAA==&#10;">
                      <o:lock v:ext="edit" aspectratio="f"/>
                      <v:shape id="文本框 3" o:spid="_x0000_s1026" o:spt="202" type="#_x0000_t202" style="position:absolute;left:7006;top:3331;height:413;width:1151;" fillcolor="#FFFFFF [3201]" filled="t" stroked="t" coordsize="21600,21600" o:gfxdata="UEsDBAoAAAAAAIdO4kAAAAAAAAAAAAAAAAAEAAAAZHJzL1BLAwQUAAAACACHTuJATaNOmLcAAADb&#10;AAAADwAAAGRycy9kb3ducmV2LnhtbEWPwQrCMBBE74L/EFbwpqlVRKpRUBDEm9qLt6VZ22KzKUm0&#10;+vdGEDwOM/OGWW1ephFPcr62rGAyTkAQF1bXXCrIL/vRAoQPyBoby6TgTR42635vhZm2HZ/oeQ6l&#10;iBD2GSqoQmgzKX1RkUE/ti1x9G7WGQxRulJqh12Em0amSTKXBmuOCxW2tKuouJ8fRsFhvg1XyvVR&#10;T9Op7XJZuFvjlRoOJskSRKBX+Id/7YNWkM7g+yX+ALn+AF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BNo06YtwAAANsAAAAP&#10;AAAAAAAAAAEAIAAAACIAAABkcnMvZG93bnJldi54bWxQSwECFAAUAAAACACHTuJAMy8FnjsAAAA5&#10;AAAAEAAAAAAAAAABACAAAAAGAQAAZHJzL3NoYXBleG1sLnhtbFBLBQYAAAAABgAGAFsBAACwAwAA&#10;AAA=&#10;">
                        <v:fill on="t" focussize="0,0"/>
                        <v:stroke weight="0.5pt" color="#000000 [3204]" joinstyle="round"/>
                        <v:imagedata o:title=""/>
                        <o:lock v:ext="edit" aspectratio="f"/>
                        <v:textbox>
                          <w:txbxContent>
                            <w:p w14:paraId="6C4616B7">
                              <w:pPr>
                                <w:rPr>
                                  <w:rFonts w:hint="eastAsia"/>
                                  <w:lang w:val="en-US" w:eastAsia="zh-CN"/>
                                </w:rPr>
                              </w:pPr>
                              <w:r>
                                <w:rPr>
                                  <w:rFonts w:hint="eastAsia"/>
                                  <w:lang w:val="en-US" w:eastAsia="zh-CN"/>
                                </w:rPr>
                                <w:t>预处理池</w:t>
                              </w:r>
                            </w:p>
                          </w:txbxContent>
                        </v:textbox>
                      </v:shape>
                      <v:shape id="文本框 12" o:spid="_x0000_s1026" o:spt="202" type="#_x0000_t202" style="position:absolute;left:6214;top:4607;height:413;width:700;" filled="f" stroked="f" coordsize="21600,21600" o:gfxdata="UEsDBAoAAAAAAIdO4kAAAAAAAAAAAAAAAAAEAAAAZHJzL1BLAwQUAAAACACHTuJAtB9Pg7wAAADb&#10;AAAADwAAAGRycy9kb3ducmV2LnhtbEVPTWvCQBC9C/6HZYTedBNpi0TXIAFRSnswevE2ZsckmJ2N&#10;2VXT/vpuoeBtHu9zFmlvGnGnztWWFcSTCARxYXXNpYLDfj2egXAeWWNjmRR8k4N0ORwsMNH2wTu6&#10;574UIYRdggoq79tESldUZNBNbEscuLPtDPoAu1LqDh8h3DRyGkXv0mDNoaHClrKKikt+Mwo+svUX&#10;7k5TM/tpss3nedVeD8c3pV5GcTQH4an3T/G/e6vD/Ff4+yUcIJe/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LQfT4O8AAAA&#10;2wAAAA8AAAAAAAAAAQAgAAAAIgAAAGRycy9kb3ducmV2LnhtbFBLAQIUABQAAAAIAIdO4kAzLwWe&#10;OwAAADkAAAAQAAAAAAAAAAEAIAAAAAsBAABkcnMvc2hhcGV4bWwueG1sUEsFBgAAAAAGAAYAWwEA&#10;ALUDAAAAAA==&#10;">
                        <v:fill on="f" focussize="0,0"/>
                        <v:stroke on="f" weight="0.5pt"/>
                        <v:imagedata o:title=""/>
                        <o:lock v:ext="edit" aspectratio="f"/>
                        <v:textbox>
                          <w:txbxContent>
                            <w:p w14:paraId="189D953E">
                              <w:pPr>
                                <w:jc w:val="center"/>
                                <w:rPr>
                                  <w:rFonts w:hint="default" w:ascii="Times New Roman" w:hAnsi="Times New Roman" w:cs="Times New Roman" w:eastAsiaTheme="minorEastAsia"/>
                                  <w:lang w:val="en-US" w:eastAsia="zh-CN"/>
                                </w:rPr>
                              </w:pPr>
                              <w:r>
                                <w:rPr>
                                  <w:rFonts w:hint="eastAsia" w:cs="Times New Roman" w:eastAsiaTheme="minorEastAsia"/>
                                  <w:lang w:val="en-US" w:eastAsia="zh-CN"/>
                                </w:rPr>
                                <w:t>3.65</w:t>
                              </w:r>
                            </w:p>
                          </w:txbxContent>
                        </v:textbox>
                      </v:shape>
                      <v:shape id="文本框 12" o:spid="_x0000_s1026" o:spt="202" type="#_x0000_t202" style="position:absolute;left:4902;top:4417;height:413;width:700;" filled="f" stroked="f" coordsize="21600,21600" o:gfxdata="UEsDBAoAAAAAAIdO4kAAAAAAAAAAAAAAAAAEAAAAZHJzL1BLAwQUAAAACACHTuJAI9cS8L8AAADa&#10;AAAADwAAAGRycy9kb3ducmV2LnhtbEWPT2vCQBTE74V+h+UVequbCLWSugkSEEuxB6MXb6/Zlz+Y&#10;fRuzW0399G6h4HGYmd8wi2w0nTjT4FrLCuJJBIK4tLrlWsF+t3qZg3AeWWNnmRT8koMsfXxYYKLt&#10;hbd0LnwtAoRdggoa7/tESlc2ZNBNbE8cvMoOBn2QQy31gJcAN52cRtFMGmw5LDTYU95QeSx+jILP&#10;fPWF2++pmV+7fL2plv1pf3hV6vkpjt5BeBr9Pfzf/tAK3uDvSrgBMr0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PXEvC/&#10;AAAA2gAAAA8AAAAAAAAAAQAgAAAAIgAAAGRycy9kb3ducmV2LnhtbFBLAQIUABQAAAAIAIdO4kAz&#10;LwWeOwAAADkAAAAQAAAAAAAAAAEAIAAAAA4BAABkcnMvc2hhcGV4bWwueG1sUEsFBgAAAAAGAAYA&#10;WwEAALgDAAAAAA==&#10;">
                        <v:fill on="f" focussize="0,0"/>
                        <v:stroke on="f" weight="0.5pt"/>
                        <v:imagedata o:title=""/>
                        <o:lock v:ext="edit" aspectratio="f"/>
                        <v:textbox>
                          <w:txbxContent>
                            <w:p w14:paraId="3A375868">
                              <w:pPr>
                                <w:jc w:val="center"/>
                                <w:rPr>
                                  <w:rFonts w:hint="default" w:ascii="Times New Roman" w:hAnsi="Times New Roman" w:cs="Times New Roman" w:eastAsiaTheme="minorEastAsia"/>
                                  <w:lang w:val="en-US" w:eastAsia="zh-CN"/>
                                </w:rPr>
                              </w:pPr>
                              <w:r>
                                <w:rPr>
                                  <w:rFonts w:hint="eastAsia" w:cs="Times New Roman" w:eastAsiaTheme="minorEastAsia"/>
                                  <w:lang w:val="en-US" w:eastAsia="zh-CN"/>
                                </w:rPr>
                                <w:t>3.65</w:t>
                              </w:r>
                            </w:p>
                          </w:txbxContent>
                        </v:textbox>
                      </v:shape>
                      <v:shape id="_x0000_s1026" o:spid="_x0000_s1026" o:spt="202" type="#_x0000_t202" style="position:absolute;left:6796;top:4145;height:413;width:751;" fillcolor="#FFFFFF [3201]" filled="t" stroked="f" coordsize="21600,21600" o:gfxdata="UEsDBAoAAAAAAIdO4kAAAAAAAAAAAAAAAAAEAAAAZHJzL1BLAwQUAAAACACHTuJAFg/3/LcAAADa&#10;AAAADwAAAGRycy9kb3ducmV2LnhtbEWPS6vCMBSE9xf8D+EI7q5pRUWq0YUguBJ8rg/NsSk2JyWJ&#10;z19vBMHlMDPfMLPFwzbiRj7UjhXk/QwEcel0zZWCw371PwERIrLGxjEpeFKAxbzzN8NCuztv6baL&#10;lUgQDgUqMDG2hZShNGQx9F1LnLyz8xZjkr6S2uM9wW0jB1k2lhZrTgsGW1oaKi+7q1VwquzrdMxb&#10;b7Rthrx5PfcHVyvV6+bZFESkR/yFv+21VjCCz5V0A+T8DV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AWD/f8twAAANoAAAAP&#10;AAAAAAAAAAEAIAAAACIAAABkcnMvZG93bnJldi54bWxQSwECFAAUAAAACACHTuJAMy8FnjsAAAA5&#10;AAAAEAAAAAAAAAABACAAAAAGAQAAZHJzL3NoYXBleG1sLnhtbFBLBQYAAAAABgAGAFsBAACwAwAA&#10;AAA=&#10;">
                        <v:fill on="t" focussize="0,0"/>
                        <v:stroke on="f" weight="0.5pt"/>
                        <v:imagedata o:title=""/>
                        <o:lock v:ext="edit" aspectratio="f"/>
                        <v:textbox>
                          <w:txbxContent>
                            <w:p w14:paraId="3120C11A">
                              <w:pPr>
                                <w:jc w:val="center"/>
                                <w:rPr>
                                  <w:rFonts w:hint="eastAsia"/>
                                  <w:lang w:val="en-US" w:eastAsia="zh-CN"/>
                                </w:rPr>
                              </w:pPr>
                              <w:r>
                                <w:rPr>
                                  <w:rFonts w:hint="eastAsia"/>
                                  <w:lang w:val="en-US" w:eastAsia="zh-CN"/>
                                </w:rPr>
                                <w:t>琼江</w:t>
                              </w:r>
                            </w:p>
                          </w:txbxContent>
                        </v:textbox>
                      </v:shape>
                      <v:shape id="文本框 12" o:spid="_x0000_s1026" o:spt="202" type="#_x0000_t202" style="position:absolute;left:3238;top:2938;height:413;width:1154;" filled="f" stroked="f" coordsize="21600,21600" o:gfxdata="UEsDBAoAAAAAAIdO4kAAAAAAAAAAAAAAAAAEAAAAZHJzL1BLAwQUAAAACACHTuJAyyRJgL8AAADb&#10;AAAADwAAAGRycy9kb3ducmV2LnhtbEWPS4vCQBCE74L/YWhhbzpRWJHoKBKQXWT34OPirc20STDT&#10;EzPjY/fX2wfBWzdVXfX1bPFwtbpRGyrPBoaDBBRx7m3FhYH9btWfgAoR2WLtmQz8UYDFvNuZYWr9&#10;nTd028ZCSQiHFA2UMTap1iEvyWEY+IZYtJNvHUZZ20LbFu8S7mo9SpKxdlixNJTYUFZSft5enYF1&#10;tvrFzXHkJv919vVzWjaX/eHTmI/eMJmCivSIb/Pr+tsKvtDLLzKAnj8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skSYC/&#10;AAAA2wAAAA8AAAAAAAAAAQAgAAAAIgAAAGRycy9kb3ducmV2LnhtbFBLAQIUABQAAAAIAIdO4kAz&#10;LwWeOwAAADkAAAAQAAAAAAAAAAEAIAAAAA4BAABkcnMvc2hhcGV4bWwueG1sUEsFBgAAAAAGAAYA&#10;WwEAALgDAAAAAA==&#10;">
                        <v:fill on="f" focussize="0,0"/>
                        <v:stroke on="f" weight="0.5pt"/>
                        <v:imagedata o:title=""/>
                        <o:lock v:ext="edit" aspectratio="f"/>
                        <v:textbox>
                          <w:txbxContent>
                            <w:p w14:paraId="6915FFC5">
                              <w:pPr>
                                <w:jc w:val="center"/>
                                <w:rPr>
                                  <w:rFonts w:hint="default" w:ascii="Times New Roman" w:hAnsi="Times New Roman" w:cs="Times New Roman" w:eastAsiaTheme="minorEastAsia"/>
                                  <w:lang w:val="en-US" w:eastAsia="zh-CN"/>
                                </w:rPr>
                              </w:pPr>
                              <w:r>
                                <w:rPr>
                                  <w:rFonts w:hint="eastAsia" w:cs="Times New Roman"/>
                                  <w:lang w:val="en-US" w:eastAsia="zh-CN"/>
                                </w:rPr>
                                <w:t>143.65</w:t>
                              </w:r>
                            </w:p>
                          </w:txbxContent>
                        </v:textbox>
                      </v:shape>
                      <v:shape id="文本框 12" o:spid="_x0000_s1026" o:spt="202" type="#_x0000_t202" style="position:absolute;left:4883;top:2927;height:413;width:664;" filled="f" stroked="f" coordsize="21600,21600" o:gfxdata="UEsDBAoAAAAAAIdO4kAAAAAAAAAAAAAAAAAEAAAAZHJzL1BLAwQUAAAACACHTuJA+z6PO7oAAADb&#10;AAAADwAAAGRycy9kb3ducmV2LnhtbEVPy4rCMBTdD/gP4QruxtSCItVUpCAziLPwsXF3bW4f2NzU&#10;Jr7m681CcHk47/niYRpxo87VlhWMhhEI4tzqmksFh/3qewrCeWSNjWVS8CQHi7T3NcdE2ztv6bbz&#10;pQgh7BJUUHnfJlK6vCKDbmhb4sAVtjPoA+xKqTu8h3DTyDiKJtJgzaGhwpayivLz7moUrLPVH25P&#10;sZn+N9nPpli2l8NxrNSgP4pmIDw9/Ef8dv9qBXEYG76EHyDTF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D7Po87ugAAANsA&#10;AAAPAAAAAAAAAAEAIAAAACIAAABkcnMvZG93bnJldi54bWxQSwECFAAUAAAACACHTuJAMy8FnjsA&#10;AAA5AAAAEAAAAAAAAAABACAAAAAJAQAAZHJzL3NoYXBleG1sLnhtbFBLBQYAAAAABgAGAFsBAACz&#10;AwAAAAA=&#10;">
                        <v:fill on="f" focussize="0,0"/>
                        <v:stroke on="f" weight="0.5pt"/>
                        <v:imagedata o:title=""/>
                        <o:lock v:ext="edit" aspectratio="f"/>
                        <v:textbox>
                          <w:txbxContent>
                            <w:p w14:paraId="4AFBE3F3">
                              <w:pPr>
                                <w:jc w:val="center"/>
                                <w:rPr>
                                  <w:rFonts w:hint="default" w:ascii="Times New Roman" w:hAnsi="Times New Roman" w:cs="Times New Roman" w:eastAsiaTheme="minorEastAsia"/>
                                  <w:lang w:val="en-US" w:eastAsia="zh-CN"/>
                                </w:rPr>
                              </w:pPr>
                              <w:r>
                                <w:rPr>
                                  <w:rFonts w:hint="eastAsia" w:cs="Times New Roman"/>
                                  <w:lang w:val="en-US" w:eastAsia="zh-CN"/>
                                </w:rPr>
                                <w:t>14</w:t>
                              </w:r>
                              <w:r>
                                <w:rPr>
                                  <w:rFonts w:hint="default" w:ascii="Times New Roman" w:hAnsi="Times New Roman" w:cs="Times New Roman"/>
                                  <w:lang w:val="en-US" w:eastAsia="zh-CN"/>
                                </w:rPr>
                                <w:t>0</w:t>
                              </w:r>
                            </w:p>
                          </w:txbxContent>
                        </v:textbox>
                      </v:shape>
                      <v:shape id="文本框 1" o:spid="_x0000_s1026" o:spt="202" type="#_x0000_t202" style="position:absolute;left:6980;top:4817;height:413;width:3585;" fillcolor="#FFFFFF [3201]" filled="t" stroked="f" coordsize="21600,21600" o:gfxdata="UEsDBAoAAAAAAIdO4kAAAAAAAAAAAAAAAAAEAAAAZHJzL1BLAwQUAAAACACHTuJA5C6RWrQAAADb&#10;AAAADwAAAGRycy9kb3ducmV2LnhtbEVPyQrCMBC9C/5DGMGbphURqUYPguBJcD0PzdgUm0lJ4vr1&#10;RhC8zeOtM18+bSPu5EPtWEE+zEAQl07XXCk4HtaDKYgQkTU2jknBiwIsF93OHAvtHryj+z5WIoVw&#10;KFCBibEtpAylIYth6FrixF2ctxgT9JXUHh8p3DZylGUTabHm1GCwpZWh8rq/WQXnyr7Pp7z1Rttm&#10;zNv363B0tVL9Xp7NQER6xr/4597oNH8E31/SAXLxAVBLAwQUAAAACACHTuJAMy8FnjsAAAA5AAAA&#10;EAAAAGRycy9zaGFwZXhtbC54bWyzsa/IzVEoSy0qzszPs1Uy1DNQUkjNS85PycxLt1UKDXHTtVBS&#10;KC5JzEtJzMnPS7VVqkwtVrK34+UCAFBLAwQKAAAAAACHTuJAAAAAAAAAAAAAAAAABgAAAF9yZWxz&#10;L1BLAwQUAAAACACHTuJA1VwmKMwAAACPAQAACwAAAF9yZWxzLy5yZWxzpZCxagMxDIb3QN/BaO/5&#10;kqGUEF+2QtaQQldh6+5MzpaxzDV5+7iUQi9ky6BBv9D3Ce32lzCpmbJ4jgbWTQuKomXn42Dg8/Tx&#10;+g5KCkaHE0cycCWBffey2h1pwlKXZPRJVKVEMTCWkrZaix0poDScKNZJzzlgqW0edEJ7xoH0pm3f&#10;dP7PgG7BVAdnIB/cBtTpmqr5jh28zSzcl8Zy0Nz33j6iahkx0VeYKgbzQMWAy/Kb1tOaWqAfm9dP&#10;mh1/xyPNS/FPmGn+8+rFG7sbUEsDBBQAAAAIAIdO4kBa4xFm9wAAAOIBAAATAAAAW0NvbnRlbnRf&#10;VHlwZXNdLnhtbJWRTU/EIBCG7yb+BzJX01I9GGNK92D1qEbXHzCBaUu2BcJg3f330v24GNfEI8y8&#10;z/sE6tV2GsVMka13Cq7LCgQ57Y11vYKP9VNxB4ITOoOjd6RgRwyr5vKiXu8CschpxwqGlMK9lKwH&#10;mpBLH8jlSefjhCkfYy8D6g32JG+q6lZq7xK5VKSFAU3dUoefYxKP23x9MIk0MoiHw+LSpQBDGK3G&#10;lE3l7MyPluLYUObkfocHG/gqa4D8tWGZnC845l7y00RrSLxiTM84ZQ1pIkvjv1ykufwbslhOXPiu&#10;s5rKNnKbY280n6zO0XnAQBn9X/z7kjvB5f6Hmm9QSwECFAAUAAAACACHTuJAWuMRZvcAAADiAQAA&#10;EwAAAAAAAAABACAAAACFAgAAW0NvbnRlbnRfVHlwZXNdLnhtbFBLAQIUAAoAAAAAAIdO4kAAAAAA&#10;AAAAAAAAAAAGAAAAAAAAAAAAEAAAAGwBAABfcmVscy9QSwECFAAUAAAACACHTuJA1VwmKMwAAACP&#10;AQAACwAAAAAAAAABACAAAACQAQAAX3JlbHMvLnJlbHNQSwECFAAKAAAAAACHTuJAAAAAAAAAAAAA&#10;AAAABAAAAAAAAAAAABAAAAAAAAAAZHJzL1BLAQIUABQAAAAIAIdO4kDkLpFatAAAANsAAAAPAAAA&#10;AAAAAAEAIAAAACIAAABkcnMvZG93bnJldi54bWxQSwECFAAUAAAACACHTuJAMy8FnjsAAAA5AAAA&#10;EAAAAAAAAAABACAAAAADAQAAZHJzL3NoYXBleG1sLnhtbFBLBQYAAAAABgAGAFsBAACtAwAAAAA=&#10;">
                        <v:fill on="t" focussize="0,0"/>
                        <v:stroke on="f" weight="0.5pt"/>
                        <v:imagedata o:title=""/>
                        <o:lock v:ext="edit" aspectratio="f"/>
                        <v:textbox>
                          <w:txbxContent>
                            <w:p w14:paraId="1217BC1E">
                              <w:pPr>
                                <w:rPr>
                                  <w:rFonts w:hint="eastAsia"/>
                                  <w:lang w:val="en-US" w:eastAsia="zh-CN"/>
                                </w:rPr>
                              </w:pPr>
                              <w:r>
                                <w:rPr>
                                  <w:rFonts w:hint="eastAsia"/>
                                  <w:lang w:val="en-US" w:eastAsia="zh-CN"/>
                                </w:rPr>
                                <w:t>交由有处理资质的单位处置</w:t>
                              </w:r>
                            </w:p>
                          </w:txbxContent>
                        </v:textbox>
                      </v:shape>
                      <v:shape id="文本框 2" o:spid="_x0000_s1026" o:spt="202" type="#_x0000_t202" style="position:absolute;left:5050;top:4820;height:413;width:1150;" fillcolor="#FFFFFF [3201]" filled="t" stroked="t" coordsize="21600,21600" o:gfxdata="UEsDBAoAAAAAAIdO4kAAAAAAAAAAAAAAAAAEAAAAZHJzL1BLAwQUAAAACACHTuJAAoKOILgAAADb&#10;AAAADwAAAGRycy9kb3ducmV2LnhtbEWPQavCQAyE74L/YYngTbcqiPS5CgqCeFN78Ra6sS2vmy27&#10;q9V/bw6Ct4SZzHxZb1+uVU8KsfFsYDbNQBGX3jZcGSiuh8kKVEzIFlvPZOBNEbab4WCNufU9n+l5&#10;SZWSEI45GqhT6nKtY1mTwzj1HbFodx8cJllDpW3AXsJdq+dZttQOG5aGGjva11T+Xx7OwHG5Szcq&#10;7Mku5gvfF7oM9zYaMx7Nsj9QiV7pZ/5eH63gC6z8IgPozQd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AoKOILgAAADbAAAA&#10;DwAAAAAAAAABACAAAAAiAAAAZHJzL2Rvd25yZXYueG1sUEsBAhQAFAAAAAgAh07iQDMvBZ47AAAA&#10;OQAAABAAAAAAAAAAAQAgAAAABwEAAGRycy9zaGFwZXhtbC54bWxQSwUGAAAAAAYABgBbAQAAsQMA&#10;AAAA&#10;">
                        <v:fill on="t" focussize="0,0"/>
                        <v:stroke weight="0.5pt" color="#000000 [3204]" joinstyle="round"/>
                        <v:imagedata o:title=""/>
                        <o:lock v:ext="edit" aspectratio="f"/>
                        <v:textbox>
                          <w:txbxContent>
                            <w:p w14:paraId="060DFE94">
                              <w:pPr>
                                <w:jc w:val="center"/>
                                <w:rPr>
                                  <w:rFonts w:hint="default" w:eastAsiaTheme="minorEastAsia"/>
                                  <w:lang w:val="en-US" w:eastAsia="zh-CN"/>
                                </w:rPr>
                              </w:pPr>
                              <w:r>
                                <w:rPr>
                                  <w:rFonts w:hint="eastAsia"/>
                                  <w:lang w:val="en-US" w:eastAsia="zh-CN"/>
                                </w:rPr>
                                <w:t>生产用水</w:t>
                              </w:r>
                            </w:p>
                          </w:txbxContent>
                        </v:textbox>
                      </v:shape>
                      <v:shape id="肘形连接符 7" o:spid="_x0000_s1026" o:spt="34" type="#_x0000_t34" style="position:absolute;left:4388;top:3545;height:1482;width:662;" filled="f" stroked="t" coordsize="21600,21600" o:gfxdata="UEsDBAoAAAAAAIdO4kAAAAAAAAAAAAAAAAAEAAAAZHJzL1BLAwQUAAAACACHTuJAa9eskrsAAADb&#10;AAAADwAAAGRycy9kb3ducmV2LnhtbEVPS4vCMBC+C/6HMIKXZU3rqmjX6EFcWEEQu+J5aGbbYjOp&#10;SXzsvzfCgrf5+J4zX95NI67kfG1ZQTpIQBAXVtdcKjj8fL1PQfiArLGxTAr+yMNy0e3MMdP2xnu6&#10;5qEUMYR9hgqqENpMSl9UZNAPbEscuV/rDIYIXSm1w1sMN40cJslEGqw5NlTY0qqi4pRfjILjZZsG&#10;V8jxaL2jzYe3k3z0dlaq30uTTxCB7uEl/nd/6zh/Bs9f4gFy8QB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a9eskrsAAADb&#10;AAAADwAAAAAAAAABACAAAAAiAAAAZHJzL2Rvd25yZXYueG1sUEsBAhQAFAAAAAgAh07iQDMvBZ47&#10;AAAAOQAAABAAAAAAAAAAAQAgAAAACgEAAGRycy9zaGFwZXhtbC54bWxQSwUGAAAAAAYABgBbAQAA&#10;tAMAAAAA&#10;" adj="10800">
                        <v:fill on="f" focussize="0,0"/>
                        <v:stroke color="#000000 [3213]" joinstyle="round" endarrow="block"/>
                        <v:imagedata o:title=""/>
                        <o:lock v:ext="edit" aspectratio="f"/>
                      </v:shape>
                      <v:shape id="直接箭头连接符 10" o:spid="_x0000_s1026" o:spt="32" type="#_x0000_t32" style="position:absolute;left:9267;top:3750;flip:x;height:394;width:5;" filled="f" stroked="t" coordsize="21600,21600" o:gfxdata="UEsDBAoAAAAAAIdO4kAAAAAAAAAAAAAAAAAEAAAAZHJzL1BLAwQUAAAACACHTuJARZF26bsAAADb&#10;AAAADwAAAGRycy9kb3ducmV2LnhtbEVPTWvCQBC9F/wPywi9lGZjQJE0qwetrRcJRnsfstMkmJ0N&#10;2a1J/n33IHh8vO9sO5pW3Kl3jWUFiygGQVxa3XCl4Ho5vK9BOI+ssbVMCiZysN3MXjJMtR34TPfC&#10;VyKEsEtRQe19l0rpypoMush2xIH7tb1BH2BfSd3jEMJNK5M4XkmDDYeGGjva1VTeij+jYF/ky8PP&#10;23VMpvL7VHytbzlPn0q9zhfxBwhPo3+KH+6jVpCE9eFL+AFy8w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RZF26bsAAADb&#10;AAAADwAAAAAAAAABACAAAAAiAAAAZHJzL2Rvd25yZXYueG1sUEsBAhQAFAAAAAgAh07iQDMvBZ47&#10;AAAAOQAAABAAAAAAAAAAAQAgAAAACgEAAGRycy9zaGFwZXhtbC54bWxQSwUGAAAAAAYABgBbAQAA&#10;tAMAAAAA&#10;">
                        <v:fill on="f" focussize="0,0"/>
                        <v:stroke color="#000000 [3213]" joinstyle="round" endarrow="block"/>
                        <v:imagedata o:title=""/>
                        <o:lock v:ext="edit" aspectratio="f"/>
                      </v:shape>
                      <v:shape id="直接箭头连接符 9" o:spid="_x0000_s1026" o:spt="32" type="#_x0000_t32" style="position:absolute;left:4388;top:3543;flip:y;height:2;width:683;" filled="f" stroked="t" coordsize="21600,21600" o:gfxdata="UEsDBAoAAAAAAIdO4kAAAAAAAAAAAAAAAAAEAAAAZHJzL1BLAwQUAAAACACHTuJAF6cLPb4AAADb&#10;AAAADwAAAGRycy9kb3ducmV2LnhtbEWPT4vCMBTE7wt+h/AEL6KpsqtSjR52/bMXEaveH82zLTYv&#10;pYnafvuNIOxxmJnfMItVY0rxoNoVlhWMhhEI4tTqgjMF59NmMAPhPLLG0jIpaMnBatn5WGCs7ZOP&#10;9Eh8JgKEXYwKcu+rWEqX5mTQDW1FHLyrrQ36IOtM6hqfAW5KOY6iiTRYcFjIsaLvnNJbcjcKfpLD&#10;1+bSPzfjNt3tk+3sduB2rVSvO4rmIDw1/j/8bv9qBZ9TeH0JP0Au/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F6cLPb4A&#10;AADbAAAADwAAAAAAAAABACAAAAAiAAAAZHJzL2Rvd25yZXYueG1sUEsBAhQAFAAAAAgAh07iQDMv&#10;BZ47AAAAOQAAABAAAAAAAAAAAQAgAAAADQEAAGRycy9zaGFwZXhtbC54bWxQSwUGAAAAAAYABgBb&#10;AQAAtwMAAAAA&#10;">
                        <v:fill on="f" focussize="0,0"/>
                        <v:stroke color="#000000 [3213]" joinstyle="round" endarrow="block"/>
                        <v:imagedata o:title=""/>
                        <o:lock v:ext="edit" aspectratio="f"/>
                      </v:shape>
                      <v:shape id="文本框 2" o:spid="_x0000_s1026" o:spt="202" type="#_x0000_t202" style="position:absolute;left:5071;top:3336;height:413;width:1150;" fillcolor="#FFFFFF [3201]" filled="t" stroked="t" coordsize="21600,21600" o:gfxdata="UEsDBAoAAAAAAIdO4kAAAAAAAAAAAAAAAAAEAAAAZHJzL1BLAwQUAAAACACHTuJAap475rQAAADb&#10;AAAADwAAAGRycy9kb3ducmV2LnhtbEVPvQrCMBDeBd8hnOCmqYoi1bSgIIib2sXtaM622FxKEq2+&#10;vRkEx4/vf5u/TSte5HxjWcFsmoAgLq1uuFJQXA+TNQgfkDW2lknBhzzk2XCwxVTbns/0uoRKxBD2&#10;KSqoQ+hSKX1Zk0E/tR1x5O7WGQwRukpqh30MN62cJ8lKGmw4NtTY0b6m8nF5GgXH1S7cqNAnvZgv&#10;bF/I0t1br9R4NEs2IAK9w1/8cx+1gmVcH7/EHyCzL1BLAwQUAAAACACHTuJAMy8FnjsAAAA5AAAA&#10;EAAAAGRycy9zaGFwZXhtbC54bWyzsa/IzVEoSy0qzszPs1Uy1DNQUkjNS85PycxLt1UKDXHTtVBS&#10;KC5JzEtJzMnPS7VVqkwtVrK34+UCAFBLAwQKAAAAAACHTuJAAAAAAAAAAAAAAAAABgAAAF9yZWxz&#10;L1BLAwQUAAAACACHTuJA1VwmKMwAAACPAQAACwAAAF9yZWxzLy5yZWxzpZCxagMxDIb3QN/BaO/5&#10;kqGUEF+2QtaQQldh6+5MzpaxzDV5+7iUQi9ky6BBv9D3Ce32lzCpmbJ4jgbWTQuKomXn42Dg8/Tx&#10;+g5KCkaHE0cycCWBffey2h1pwlKXZPRJVKVEMTCWkrZaix0poDScKNZJzzlgqW0edEJ7xoH0pm3f&#10;dP7PgG7BVAdnIB/cBtTpmqr5jh28zSzcl8Zy0Nz33j6iahkx0VeYKgbzQMWAy/Kb1tOaWqAfm9dP&#10;mh1/xyPNS/FPmGn+8+rFG7sbUEsDBBQAAAAIAIdO4kBa4xFm9wAAAOIBAAATAAAAW0NvbnRlbnRf&#10;VHlwZXNdLnhtbJWRTU/EIBCG7yb+BzJX01I9GGNK92D1qEbXHzCBaUu2BcJg3f330v24GNfEI8y8&#10;z/sE6tV2GsVMka13Cq7LCgQ57Y11vYKP9VNxB4ITOoOjd6RgRwyr5vKiXu8CschpxwqGlMK9lKwH&#10;mpBLH8jlSefjhCkfYy8D6g32JG+q6lZq7xK5VKSFAU3dUoefYxKP23x9MIk0MoiHw+LSpQBDGK3G&#10;lE3l7MyPluLYUObkfocHG/gqa4D8tWGZnC845l7y00RrSLxiTM84ZQ1pIkvjv1ykufwbslhOXPiu&#10;s5rKNnKbY280n6zO0XnAQBn9X/z7kjvB5f6Hmm9QSwECFAAUAAAACACHTuJAWuMRZvcAAADiAQAA&#10;EwAAAAAAAAABACAAAACFAgAAW0NvbnRlbnRfVHlwZXNdLnhtbFBLAQIUAAoAAAAAAIdO4kAAAAAA&#10;AAAAAAAAAAAGAAAAAAAAAAAAEAAAAGwBAABfcmVscy9QSwECFAAUAAAACACHTuJA1VwmKMwAAACP&#10;AQAACwAAAAAAAAABACAAAACQAQAAX3JlbHMvLnJlbHNQSwECFAAKAAAAAACHTuJAAAAAAAAAAAAA&#10;AAAABAAAAAAAAAAAABAAAAAAAAAAZHJzL1BLAQIUABQAAAAIAIdO4kBqnjvmtAAAANsAAAAPAAAA&#10;AAAAAAEAIAAAACIAAABkcnMvZG93bnJldi54bWxQSwECFAAUAAAACACHTuJAMy8FnjsAAAA5AAAA&#10;EAAAAAAAAAABACAAAAADAQAAZHJzL3NoYXBleG1sLnhtbFBLBQYAAAAABgAGAFsBAACtAwAAAAA=&#10;">
                        <v:fill on="t" focussize="0,0"/>
                        <v:stroke weight="0.5pt" color="#000000 [3204]" joinstyle="round"/>
                        <v:imagedata o:title=""/>
                        <o:lock v:ext="edit" aspectratio="f"/>
                        <v:textbox>
                          <w:txbxContent>
                            <w:p w14:paraId="3027CEDC">
                              <w:pPr>
                                <w:jc w:val="center"/>
                                <w:rPr>
                                  <w:rFonts w:hint="default" w:eastAsiaTheme="minorEastAsia"/>
                                  <w:lang w:val="en-US" w:eastAsia="zh-CN"/>
                                </w:rPr>
                              </w:pPr>
                              <w:r>
                                <w:rPr>
                                  <w:rFonts w:hint="eastAsia"/>
                                  <w:lang w:val="en-US" w:eastAsia="zh-CN"/>
                                </w:rPr>
                                <w:t>生活用水</w:t>
                              </w:r>
                            </w:p>
                          </w:txbxContent>
                        </v:textbox>
                      </v:shape>
                      <v:shape id="直接箭头连接符 7" o:spid="_x0000_s1026" o:spt="32" type="#_x0000_t32" style="position:absolute;left:8157;top:3538;height:6;width:257;" filled="f" stroked="t" coordsize="21600,21600" o:gfxdata="UEsDBAoAAAAAAIdO4kAAAAAAAAAAAAAAAAAEAAAAZHJzL1BLAwQUAAAACACHTuJAvqyG3L4AAADb&#10;AAAADwAAAGRycy9kb3ducmV2LnhtbEWPzWrDMBCE74W+g9hCb43sHEzjRjG0JtSXBJqU0uNibSwR&#10;a2Us5ffpo0Ihx2FmvmHm1dn14khjsJ4V5JMMBHHrteVOwfd2+fIKIkRkjb1nUnChANXi8WGOpfYn&#10;/qLjJnYiQTiUqMDEOJRShtaQwzDxA3Hydn50GJMcO6lHPCW46+U0ywrp0HJaMDjQh6F2vzk4BbH+&#10;vZjip32f2fX2c1XYa9M0tVLPT3n2BiLSOd7D/+1GK5jm8Pcl/QC5uA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vqyG3L4A&#10;AADbAAAADwAAAAAAAAABACAAAAAiAAAAZHJzL2Rvd25yZXYueG1sUEsBAhQAFAAAAAgAh07iQDMv&#10;BZ47AAAAOQAAABAAAAAAAAAAAQAgAAAADQEAAGRycy9zaGFwZXhtbC54bWxQSwUGAAAAAAYABgBb&#10;AQAAtwMAAAAA&#10;">
                        <v:fill on="f" focussize="0,0"/>
                        <v:stroke color="#000000 [3213]" joinstyle="round" endarrow="block"/>
                        <v:imagedata o:title=""/>
                        <o:lock v:ext="edit" aspectratio="f"/>
                      </v:shape>
                      <v:shape id="直接箭头连接符 7" o:spid="_x0000_s1026" o:spt="32" type="#_x0000_t32" style="position:absolute;left:6200;top:5024;flip:y;height:3;width:780;" filled="f" stroked="t" coordsize="21600,21600" o:gfxdata="UEsDBAoAAAAAAIdO4kAAAAAAAAAAAAAAAAAEAAAAZHJzL1BLAwQUAAAACACHTuJACXQ61L4AAADb&#10;AAAADwAAAGRycy9kb3ducmV2LnhtbEWPT4vCMBTE7wt+h/AEL6Kp4op2jR52/bMXEaveH83btti8&#10;lCZq++2NIOxxmJnfMItVY0pxp9oVlhWMhhEI4tTqgjMF59NmMAPhPLLG0jIpaMnBatn5WGCs7YOP&#10;dE98JgKEXYwKcu+rWEqX5mTQDW1FHLw/Wxv0QdaZ1DU+AtyUchxFU2mw4LCQY0XfOaXX5GYU/CSH&#10;z82lf27GbbrbJ9vZ9cDtWqledxR9gfDU+P/wu/2rFUzm8PoSfoBcPg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CXQ61L4A&#10;AADbAAAADwAAAAAAAAABACAAAAAiAAAAZHJzL2Rvd25yZXYueG1sUEsBAhQAFAAAAAgAh07iQDMv&#10;BZ47AAAAOQAAABAAAAAAAAAAAQAgAAAADQEAAGRycy9zaGFwZXhtbC54bWxQSwUGAAAAAAYABgBb&#10;AQAAtwMAAAAA&#10;">
                        <v:fill on="f" focussize="0,0"/>
                        <v:stroke color="#000000 [3213]" joinstyle="round" endarrow="block"/>
                        <v:imagedata o:title=""/>
                        <o:lock v:ext="edit" aspectratio="f"/>
                      </v:shape>
                      <v:shape id="直接箭头连接符 8" o:spid="_x0000_s1026" o:spt="32" type="#_x0000_t32" style="position:absolute;left:6221;top:3538;flip:y;height:5;width:785;" filled="f" stroked="t" coordsize="21600,21600" o:gfxdata="UEsDBAoAAAAAAIdO4kAAAAAAAAAAAAAAAAAEAAAAZHJzL1BLAwQUAAAACACHTuJAZjifT7sAAADb&#10;AAAADwAAAGRycy9kb3ducmV2LnhtbEVPy2rCQBTdF/oPwy24KWZisCLR0UXro5sixri/ZK5JMHMn&#10;ZMaY/H1nUejycN7r7WAa0VPnassKZlEMgriwuuZSQX7ZT5cgnEfW2FgmBSM52G5eX9aYavvkM/WZ&#10;L0UIYZeigsr7NpXSFRUZdJFtiQN3s51BH2BXSt3hM4SbRiZxvJAGaw4NFbb0WVFxzx5GwVd2+thf&#10;3/MhGYvjT3ZY3k887pSavM3iFQhPg/8X/7m/tYJ5GBu+hB8gN7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ZjifT7sAAADb&#10;AAAADwAAAAAAAAABACAAAAAiAAAAZHJzL2Rvd25yZXYueG1sUEsBAhQAFAAAAAgAh07iQDMvBZ47&#10;AAAAOQAAABAAAAAAAAAAAQAgAAAACgEAAGRycy9zaGFwZXhtbC54bWxQSwUGAAAAAAYABgBbAQAA&#10;tAMAAAAA&#10;">
                        <v:fill on="f" focussize="0,0"/>
                        <v:stroke color="#000000 [3213]" joinstyle="round" endarrow="block"/>
                        <v:imagedata o:title=""/>
                        <o:lock v:ext="edit" aspectratio="f"/>
                      </v:shape>
                      <v:shape id="直接箭头连接符 11" o:spid="_x0000_s1026" o:spt="32" type="#_x0000_t32" style="position:absolute;left:7547;top:4351;flip:x;height:1;width:492;" filled="f" stroked="t" coordsize="21600,21600" o:gfxdata="UEsDBAoAAAAAAIdO4kAAAAAAAAAAAAAAAAAEAAAAZHJzL1BLAwQUAAAACACHTuJAmE6TSbsAAADb&#10;AAAADwAAAGRycy9kb3ducmV2LnhtbEVPy2rCQBTdF/oPwy24KWZisCLR0UXro5sixri/ZK5JMHMn&#10;ZMaY/H1nUejycN7r7WAa0VPnassKZlEMgriwuuZSQX7ZT5cgnEfW2FgmBSM52G5eX9aYavvkM/WZ&#10;L0UIYZeigsr7NpXSFRUZdJFtiQN3s51BH2BXSt3hM4SbRiZxvJAGaw4NFbb0WVFxzx5GwVd2+thf&#10;3/MhGYvjT3ZY3k887pSavM3iFQhPg/8X/7m/tYJ5WB++hB8gN7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mE6TSbsAAADb&#10;AAAADwAAAAAAAAABACAAAAAiAAAAZHJzL2Rvd25yZXYueG1sUEsBAhQAFAAAAAgAh07iQDMvBZ47&#10;AAAAOQAAABAAAAAAAAAAAQAgAAAACgEAAGRycy9zaGFwZXhtbC54bWxQSwUGAAAAAAYABgBbAQAA&#10;tAMAAAAA&#10;">
                        <v:fill on="f" focussize="0,0"/>
                        <v:stroke color="#000000 [3213]" joinstyle="round" endarrow="block"/>
                        <v:imagedata o:title=""/>
                        <o:lock v:ext="edit" aspectratio="f"/>
                      </v:shape>
                      <v:shape id="文本框 6" o:spid="_x0000_s1026" o:spt="202" type="#_x0000_t202" style="position:absolute;left:8414;top:3337;height:413;width:1715;" fillcolor="#FFFFFF [3201]" filled="t" stroked="t" coordsize="21600,21600" o:gfxdata="UEsDBAoAAAAAAIdO4kAAAAAAAAAAAAAAAAAEAAAAZHJzL1BLAwQUAAAACACHTuJASTfSQLQAAADb&#10;AAAADwAAAGRycy9kb3ducmV2LnhtbEVPvQrCMBDeBd8hnOCmaS2IVGNBQRA3tYvb0ZxtsbmUJFp9&#10;ezMIjh/f/6Z4m068yPnWsoJ0noAgrqxuuVZQXg+zFQgfkDV2lknBhzwU2/Fog7m2A5/pdQm1iCHs&#10;c1TQhNDnUvqqIYN+bnviyN2tMxgidLXUDocYbjq5SJKlNNhybGiwp31D1ePyNAqOy124UalPOltk&#10;dihl5e6dV2o6SZM1iEDv8Bf/3EetIItj45f4A+T2C1BLAwQUAAAACACHTuJAMy8FnjsAAAA5AAAA&#10;EAAAAGRycy9zaGFwZXhtbC54bWyzsa/IzVEoSy0qzszPs1Uy1DNQUkjNS85PycxLt1UKDXHTtVBS&#10;KC5JzEtJzMnPS7VVqkwtVrK34+UCAFBLAwQKAAAAAACHTuJAAAAAAAAAAAAAAAAABgAAAF9yZWxz&#10;L1BLAwQUAAAACACHTuJA1VwmKMwAAACPAQAACwAAAF9yZWxzLy5yZWxzpZCxagMxDIb3QN/BaO/5&#10;kqGUEF+2QtaQQldh6+5MzpaxzDV5+7iUQi9ky6BBv9D3Ce32lzCpmbJ4jgbWTQuKomXn42Dg8/Tx&#10;+g5KCkaHE0cycCWBffey2h1pwlKXZPRJVKVEMTCWkrZaix0poDScKNZJzzlgqW0edEJ7xoH0pm3f&#10;dP7PgG7BVAdnIB/cBtTpmqr5jh28zSzcl8Zy0Nz33j6iahkx0VeYKgbzQMWAy/Kb1tOaWqAfm9dP&#10;mh1/xyPNS/FPmGn+8+rFG7sbUEsDBBQAAAAIAIdO4kBa4xFm9wAAAOIBAAATAAAAW0NvbnRlbnRf&#10;VHlwZXNdLnhtbJWRTU/EIBCG7yb+BzJX01I9GGNK92D1qEbXHzCBaUu2BcJg3f330v24GNfEI8y8&#10;z/sE6tV2GsVMka13Cq7LCgQ57Y11vYKP9VNxB4ITOoOjd6RgRwyr5vKiXu8CschpxwqGlMK9lKwH&#10;mpBLH8jlSefjhCkfYy8D6g32JG+q6lZq7xK5VKSFAU3dUoefYxKP23x9MIk0MoiHw+LSpQBDGK3G&#10;lE3l7MyPluLYUObkfocHG/gqa4D8tWGZnC845l7y00RrSLxiTM84ZQ1pIkvjv1ykufwbslhOXPiu&#10;s5rKNnKbY280n6zO0XnAQBn9X/z7kjvB5f6Hmm9QSwECFAAUAAAACACHTuJAWuMRZvcAAADiAQAA&#10;EwAAAAAAAAABACAAAACFAgAAW0NvbnRlbnRfVHlwZXNdLnhtbFBLAQIUAAoAAAAAAIdO4kAAAAAA&#10;AAAAAAAAAAAGAAAAAAAAAAAAEAAAAGwBAABfcmVscy9QSwECFAAUAAAACACHTuJA1VwmKMwAAACP&#10;AQAACwAAAAAAAAABACAAAACQAQAAX3JlbHMvLnJlbHNQSwECFAAKAAAAAACHTuJAAAAAAAAAAAAA&#10;AAAABAAAAAAAAAAAABAAAAAAAAAAZHJzL1BLAQIUABQAAAAIAIdO4kBJN9JAtAAAANsAAAAPAAAA&#10;AAAAAAEAIAAAACIAAABkcnMvZG93bnJldi54bWxQSwECFAAUAAAACACHTuJAMy8FnjsAAAA5AAAA&#10;EAAAAAAAAAABACAAAAADAQAAZHJzL3NoYXBleG1sLnhtbFBLBQYAAAAABgAGAFsBAACtAwAAAAA=&#10;">
                        <v:fill on="t" focussize="0,0"/>
                        <v:stroke weight="0.5pt" color="#000000 [3204]" joinstyle="round"/>
                        <v:imagedata o:title=""/>
                        <o:lock v:ext="edit" aspectratio="f"/>
                        <v:textbox>
                          <w:txbxContent>
                            <w:p w14:paraId="608B999C">
                              <w:pPr>
                                <w:jc w:val="center"/>
                                <w:rPr>
                                  <w:rFonts w:hint="default" w:eastAsiaTheme="minorEastAsia"/>
                                  <w:lang w:val="en-US" w:eastAsia="zh-CN"/>
                                </w:rPr>
                              </w:pPr>
                              <w:r>
                                <w:rPr>
                                  <w:rFonts w:hint="eastAsia"/>
                                  <w:lang w:val="en-US" w:eastAsia="zh-CN"/>
                                </w:rPr>
                                <w:t>市政污水管网</w:t>
                              </w:r>
                            </w:p>
                          </w:txbxContent>
                        </v:textbox>
                      </v:shape>
                      <v:shape id="文本框 4" o:spid="_x0000_s1026" o:spt="202" type="#_x0000_t202" style="position:absolute;left:8039;top:4144;height:413;width:2456;" fillcolor="#FFFFFF [3201]" filled="t" stroked="t" coordsize="21600,21600" o:gfxdata="UEsDBAoAAAAAAIdO4kAAAAAAAAAAAAAAAAAEAAAAZHJzL1BLAwQUAAAACACHTuJAKN/lqrYAAADb&#10;AAAADwAAAGRycy9kb3ducmV2LnhtbEWPwQrCMBBE74L/EFbwpqktiFSjoCCIN7UXb0uztsVmU5Jo&#10;9e+NIHgcZuYNs9q8TCue5HxjWcFsmoAgLq1uuFJQXPaTBQgfkDW2lknBmzxs1sPBCnNtez7R8xwq&#10;ESHsc1RQh9DlUvqyJoN+ajvi6N2sMxiidJXUDvsIN61Mk2QuDTYcF2rsaFdTeT8/jILDfBuuVOij&#10;ztLM9oUs3a31So1Hs2QJItAr/MO/9kEryFL4fok/QK4/UEsDBBQAAAAIAIdO4kAzLwWeOwAAADkA&#10;AAAQAAAAZHJzL3NoYXBleG1sLnhtbLOxr8jNUShLLSrOzM+zVTLUM1BSSM1Lzk/JzEu3VQoNcdO1&#10;UFIoLknMS0nMyc9LtVWqTC1Wsrfj5QIAUEsDBAoAAAAAAIdO4kAAAAAAAAAAAAAAAAAGAAAAX3Jl&#10;bHMvUEsDBBQAAAAIAIdO4kDVXCYozAAAAI8BAAALAAAAX3JlbHMvLnJlbHOlkLFqAzEMhvdA38Fo&#10;7/mSoZQQX7ZC1pBCV2Hr7kzOlrHMNXn7uJRCL2TLoEG/0PcJ7faXMKmZsniOBtZNC4qiZefjYODz&#10;9PH6DkoKRocTRzJwJYF997LaHWnCUpdk9ElUpUQxMJaStlqLHSmgNJwo1knPOWCpbR50QnvGgfSm&#10;bd90/s+AbsFUB2cgH9wG1OmaqvmOHbzNLNyXxnLQ3PfePqJqGTHRV5gqBvNAxYDL8pvW05paoB+b&#10;10+aHX/HI81L8U+Yaf7z6sUbuxtQSwMEFAAAAAgAh07iQFrjEWb3AAAA4gEAABMAAABbQ29udGVu&#10;dF9UeXBlc10ueG1slZFNT8QgEIbvJv4HMlfTUj0YY0r3YPWoRtcfMIFpS7YFwmDd/ffS/bgY18Qj&#10;zLzP+wTq1XYaxUyRrXcKrssKBDntjXW9go/1U3EHghM6g6N3pGBHDKvm8qJe7wKxyGnHCoaUwr2U&#10;rAeakEsfyOVJ5+OEKR9jLwPqDfYkb6rqVmrvErlUpIUBTd1Sh59jEo/bfH0wiTQyiIfD4tKlAEMY&#10;rcaUTeXszI+W4thQ5uR+hwcb+CprgPy1YZmcLzjmXvLTRGtIvGJMzzhlDWkiS+O/XKS5/BuyWE5c&#10;+K6zmso2cptjbzSfrM7RecBAGf1f/PuSO8Hl/oeab1BLAQIUABQAAAAIAIdO4kBa4xFm9wAAAOIB&#10;AAATAAAAAAAAAAEAIAAAAIcCAABbQ29udGVudF9UeXBlc10ueG1sUEsBAhQACgAAAAAAh07iQAAA&#10;AAAAAAAAAAAAAAYAAAAAAAAAAAAQAAAAbgEAAF9yZWxzL1BLAQIUABQAAAAIAIdO4kDVXCYozAAA&#10;AI8BAAALAAAAAAAAAAEAIAAAAJIBAABfcmVscy8ucmVsc1BLAQIUAAoAAAAAAIdO4kAAAAAAAAAA&#10;AAAAAAAEAAAAAAAAAAAAEAAAAAAAAABkcnMvUEsBAhQAFAAAAAgAh07iQCjf5aq2AAAA2wAAAA8A&#10;AAAAAAAAAQAgAAAAIgAAAGRycy9kb3ducmV2LnhtbFBLAQIUABQAAAAIAIdO4kAzLwWeOwAAADkA&#10;AAAQAAAAAAAAAAEAIAAAAAUBAABkcnMvc2hhcGV4bWwueG1sUEsFBgAAAAAGAAYAWwEAAK8DAAAA&#10;AA==&#10;">
                        <v:fill on="t" focussize="0,0"/>
                        <v:stroke weight="0.5pt" color="#000000 [3204]" joinstyle="round"/>
                        <v:imagedata o:title=""/>
                        <o:lock v:ext="edit" aspectratio="f"/>
                        <v:textbox>
                          <w:txbxContent>
                            <w:p w14:paraId="32CA2510">
                              <w:pPr>
                                <w:jc w:val="center"/>
                                <w:rPr>
                                  <w:rFonts w:hint="eastAsia"/>
                                  <w:sz w:val="18"/>
                                  <w:szCs w:val="18"/>
                                  <w:lang w:val="en-US" w:eastAsia="zh-CN"/>
                                </w:rPr>
                              </w:pPr>
                              <w:r>
                                <w:rPr>
                                  <w:rFonts w:hint="eastAsia"/>
                                  <w:sz w:val="18"/>
                                  <w:szCs w:val="18"/>
                                  <w:lang w:val="en-US" w:eastAsia="zh-CN"/>
                                </w:rPr>
                                <w:t>安居区龙眼井污水处理厂</w:t>
                              </w:r>
                            </w:p>
                          </w:txbxContent>
                        </v:textbox>
                      </v:shape>
                      <v:shape id="文本框 1" o:spid="_x0000_s1026" o:spt="202" type="#_x0000_t202" style="position:absolute;left:3238;top:3338;height:413;width:1150;" fillcolor="#FFFFFF [3201]" filled="t" stroked="t" coordsize="21600,21600" o:gfxdata="UEsDBAoAAAAAAIdO4kAAAAAAAAAAAAAAAAAEAAAAZHJzL1BLAwQUAAAACACHTuJAo6LhBrcAAADb&#10;AAAADwAAAGRycy9kb3ducmV2LnhtbEWPwQrCMBBE74L/EFbwpqkVRKtRUBDEm9qLt6VZ22KzKUm0&#10;+vdGEDwOM/OGWW1ephFPcr62rGAyTkAQF1bXXCrIL/vRHIQPyBoby6TgTR42635vhZm2HZ/oeQ6l&#10;iBD2GSqoQmgzKX1RkUE/ti1x9G7WGQxRulJqh12Em0amSTKTBmuOCxW2tKuouJ8fRsFhtg1XyvVR&#10;T9Op7XJZuFvjlRoOJskSRKBX+Id/7YNWkC7g+yX+ALn+AF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CjouEGtwAAANsAAAAP&#10;AAAAAAAAAAEAIAAAACIAAABkcnMvZG93bnJldi54bWxQSwECFAAUAAAACACHTuJAMy8FnjsAAAA5&#10;AAAAEAAAAAAAAAABACAAAAAGAQAAZHJzL3NoYXBleG1sLnhtbFBLBQYAAAAABgAGAFsBAACwAwAA&#10;AAA=&#10;">
                        <v:fill on="t" focussize="0,0"/>
                        <v:stroke weight="0.5pt" color="#000000 [3204]" joinstyle="round"/>
                        <v:imagedata o:title=""/>
                        <o:lock v:ext="edit" aspectratio="f"/>
                        <v:textbox>
                          <w:txbxContent>
                            <w:p w14:paraId="39C06A0B">
                              <w:pPr>
                                <w:jc w:val="center"/>
                                <w:rPr>
                                  <w:rFonts w:hint="eastAsia" w:eastAsiaTheme="minorEastAsia"/>
                                  <w:lang w:val="en-US" w:eastAsia="zh-CN"/>
                                </w:rPr>
                              </w:pPr>
                              <w:r>
                                <w:rPr>
                                  <w:rFonts w:hint="eastAsia"/>
                                  <w:lang w:val="en-US" w:eastAsia="zh-CN"/>
                                </w:rPr>
                                <w:t>新鲜水</w:t>
                              </w:r>
                            </w:p>
                          </w:txbxContent>
                        </v:textbox>
                      </v:shape>
                      <v:shape id="文本框 13" o:spid="_x0000_s1026" o:spt="202" type="#_x0000_t202" style="position:absolute;left:6220;top:3136;height:413;width:779;" filled="f" stroked="f" coordsize="21600,21600" o:gfxdata="UEsDBAoAAAAAAIdO4kAAAAAAAAAAAAAAAAAEAAAAZHJzL1BLAwQUAAAACACHTuJAmta40b8AAADb&#10;AAAADwAAAGRycy9kb3ducmV2LnhtbEWPzWrDMBCE74W8g9hCb41sQ4txI5tiMC0lOcTJpbeNtbFN&#10;rJVjqfl7+qpQyHGYmW+YRXExgzjR5HrLCuJ5BIK4sbrnVsF2Uz2nIJxH1jhYJgVXclDks4cFZtqe&#10;eU2n2rciQNhlqKDzfsykdE1HBt3cjsTB29vJoA9yaqWe8BzgZpBJFL1Kgz2HhQ5HKjtqDvWPUfBV&#10;Vitc7xKT3obyY7l/H4/b7xelnh7j6A2Ep4u/h//bn1pBksDfl/ADZP4L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rWuNG/&#10;AAAA2wAAAA8AAAAAAAAAAQAgAAAAIgAAAGRycy9kb3ducmV2LnhtbFBLAQIUABQAAAAIAIdO4kAz&#10;LwWeOwAAADkAAAAQAAAAAAAAAAEAIAAAAA4BAABkcnMvc2hhcGV4bWwueG1sUEsFBgAAAAAGAAYA&#10;WwEAALgDAAAAAA==&#10;">
                        <v:fill on="f" focussize="0,0"/>
                        <v:stroke on="f" weight="0.5pt"/>
                        <v:imagedata o:title=""/>
                        <o:lock v:ext="edit" aspectratio="f"/>
                        <v:textbox>
                          <w:txbxContent>
                            <w:p w14:paraId="02FB245A">
                              <w:pPr>
                                <w:jc w:val="center"/>
                                <w:rPr>
                                  <w:rFonts w:hint="default" w:ascii="Times New Roman" w:hAnsi="Times New Roman" w:cs="Times New Roman" w:eastAsiaTheme="minorEastAsia"/>
                                  <w:sz w:val="18"/>
                                  <w:szCs w:val="18"/>
                                  <w:lang w:val="en-US" w:eastAsia="zh-CN"/>
                                </w:rPr>
                              </w:pPr>
                              <w:r>
                                <w:rPr>
                                  <w:rFonts w:hint="eastAsia" w:cs="Times New Roman"/>
                                  <w:sz w:val="21"/>
                                  <w:szCs w:val="21"/>
                                  <w:lang w:val="en-US" w:eastAsia="zh-CN"/>
                                </w:rPr>
                                <w:t>119.0</w:t>
                              </w:r>
                            </w:p>
                          </w:txbxContent>
                        </v:textbox>
                      </v:shape>
                      <v:shape id="文本框 14" o:spid="_x0000_s1026" o:spt="202" type="#_x0000_t202" style="position:absolute;left:9249;top:3715;height:405;width:765;" filled="f" stroked="f" coordsize="21600,21600" o:gfxdata="UEsDBAoAAAAAAIdO4kAAAAAAAAAAAAAAAAAEAAAAZHJzL1BLAwQUAAAACACHTuJA9ZodSr4AAADb&#10;AAAADwAAAGRycy9kb3ducmV2LnhtbEWPS4vCQBCE74L/YWjBm06M7CLRUSQgiqwHHxdvbaZNgpme&#10;mBlf++t3hAWPRVV9RU1mT1OJOzWutKxg0I9AEGdWl5wrOOwXvREI55E1VpZJwYsczKbt1gQTbR+8&#10;pfvO5yJA2CWooPC+TqR0WUEGXd/WxME728agD7LJpW7wEeCmknEUfUuDJYeFAmtKC8ouu5tRsE4X&#10;G9yeYjP6rdLlz3leXw/HL6W6nUE0BuHp6T/h//ZKK4iH8P4SfoCc/g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9ZodSr4A&#10;AADbAAAADwAAAAAAAAABACAAAAAiAAAAZHJzL2Rvd25yZXYueG1sUEsBAhQAFAAAAAgAh07iQDMv&#10;BZ47AAAAOQAAABAAAAAAAAAAAQAgAAAADQEAAGRycy9zaGFwZXhtbC54bWxQSwUGAAAAAAYABgBb&#10;AQAAtwMAAAAA&#10;">
                        <v:fill on="f" focussize="0,0"/>
                        <v:stroke on="f" weight="0.5pt"/>
                        <v:imagedata o:title=""/>
                        <o:lock v:ext="edit" aspectratio="f"/>
                        <v:textbox>
                          <w:txbxContent>
                            <w:p w14:paraId="0B62E30C">
                              <w:pPr>
                                <w:jc w:val="center"/>
                                <w:rPr>
                                  <w:rFonts w:hint="default" w:ascii="Times New Roman" w:hAnsi="Times New Roman" w:cs="Times New Roman" w:eastAsiaTheme="minorEastAsia"/>
                                  <w:sz w:val="20"/>
                                  <w:szCs w:val="22"/>
                                  <w:lang w:val="en-US" w:eastAsia="zh-CN"/>
                                </w:rPr>
                              </w:pPr>
                              <w:r>
                                <w:rPr>
                                  <w:rFonts w:hint="eastAsia" w:cs="Times New Roman"/>
                                  <w:sz w:val="20"/>
                                  <w:szCs w:val="22"/>
                                  <w:lang w:val="en-US" w:eastAsia="zh-CN"/>
                                </w:rPr>
                                <w:t>119.0</w:t>
                              </w:r>
                            </w:p>
                          </w:txbxContent>
                        </v:textbox>
                      </v:shape>
                      <v:shape id="曲线连接符 16" o:spid="_x0000_s1026" o:spt="37" type="#_x0000_t37" style="position:absolute;left:5630;top:2741;height:579;width:611;rotation:-5898240f;" filled="f" stroked="t" coordsize="21600,21600" o:gfxdata="UEsDBAoAAAAAAIdO4kAAAAAAAAAAAAAAAAAEAAAAZHJzL1BLAwQUAAAACACHTuJAn5SqIb0AAADb&#10;AAAADwAAAGRycy9kb3ducmV2LnhtbEWPT2sCMRTE74LfITyhN81qUcvW6EFQquxFK/T6SF53Vzcv&#10;S5L679MbQehxmJnfMLPF1TbiTD7UjhUMBxkIYu1MzaWCw/eq/wEiRGSDjWNScKMAi3m3M8PcuAvv&#10;6LyPpUgQDjkqqGJscymDrshiGLiWOHm/zluMSfpSGo+XBLeNHGXZRFqsOS1U2NKyIn3a/1kFxfrn&#10;7o7F+6TYFhvjlxu92061Um+9YfYJItI1/odf7S+jYDSG55f0A+T8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flKohvQAA&#10;ANsAAAAPAAAAAAAAAAEAIAAAACIAAABkcnMvZG93bnJldi54bWxQSwECFAAUAAAACACHTuJAMy8F&#10;njsAAAA5AAAAEAAAAAAAAAABACAAAAAMAQAAZHJzL3NoYXBleG1sLnhtbFBLBQYAAAAABgAGAFsB&#10;AAC2AwAAAAA=&#10;">
                        <v:fill on="f" focussize="0,0"/>
                        <v:stroke color="#000000 [3213]" joinstyle="round" dashstyle="dash" endarrow="block"/>
                        <v:imagedata o:title=""/>
                        <o:lock v:ext="edit" aspectratio="f"/>
                      </v:shape>
                      <v:shape id="文本框 15" o:spid="_x0000_s1026" o:spt="202" type="#_x0000_t202" style="position:absolute;left:6225;top:2518;height:413;width:1150;" fillcolor="#FFFFFF [3201]" filled="t" stroked="t" coordsize="21600,21600" o:gfxdata="UEsDBAoAAAAAAIdO4kAAAAAAAAAAAAAAAAAEAAAAZHJzL1BLAwQUAAAACACHTuJA0j11dLYAAADb&#10;AAAADwAAAGRycy9kb3ducmV2LnhtbEWPwQrCMBBE74L/EFbwpqkVilSjoCCIN7UXb0uztsVmU5Jo&#10;9e+NIHgcZuYNs9q8TCue5HxjWcFsmoAgLq1uuFJQXPaTBQgfkDW2lknBmzxs1sPBCnNtez7R8xwq&#10;ESHsc1RQh9DlUvqyJoN+ajvi6N2sMxiidJXUDvsIN61MkySTBhuOCzV2tKupvJ8fRsEh24YrFfqo&#10;5+nc9oUs3a31So1Hs2QJItAr/MO/9kErSDP4fok/QK4/UEsDBBQAAAAIAIdO4kAzLwWeOwAAADkA&#10;AAAQAAAAZHJzL3NoYXBleG1sLnhtbLOxr8jNUShLLSrOzM+zVTLUM1BSSM1Lzk/JzEu3VQoNcdO1&#10;UFIoLknMS0nMyc9LtVWqTC1Wsrfj5QIAUEsDBAoAAAAAAIdO4kAAAAAAAAAAAAAAAAAGAAAAX3Jl&#10;bHMvUEsDBBQAAAAIAIdO4kDVXCYozAAAAI8BAAALAAAAX3JlbHMvLnJlbHOlkLFqAzEMhvdA38Fo&#10;7/mSoZQQX7ZC1pBCV2Hr7kzOlrHMNXn7uJRCL2TLoEG/0PcJ7faXMKmZsniOBtZNC4qiZefjYODz&#10;9PH6DkoKRocTRzJwJYF997LaHWnCUpdk9ElUpUQxMJaStlqLHSmgNJwo1knPOWCpbR50QnvGgfSm&#10;bd90/s+AbsFUB2cgH9wG1OmaqvmOHbzNLNyXxnLQ3PfePqJqGTHRV5gqBvNAxYDL8pvW05paoB+b&#10;10+aHX/HI81L8U+Yaf7z6sUbuxtQSwMEFAAAAAgAh07iQFrjEWb3AAAA4gEAABMAAABbQ29udGVu&#10;dF9UeXBlc10ueG1slZFNT8QgEIbvJv4HMlfTUj0YY0r3YPWoRtcfMIFpS7YFwmDd/ffS/bgY18Qj&#10;zLzP+wTq1XYaxUyRrXcKrssKBDntjXW9go/1U3EHghM6g6N3pGBHDKvm8qJe7wKxyGnHCoaUwr2U&#10;rAeakEsfyOVJ5+OEKR9jLwPqDfYkb6rqVmrvErlUpIUBTd1Sh59jEo/bfH0wiTQyiIfD4tKlAEMY&#10;rcaUTeXszI+W4thQ5uR+hwcb+CprgPy1YZmcLzjmXvLTRGtIvGJMzzhlDWkiS+O/XKS5/BuyWE5c&#10;+K6zmso2cptjbzSfrM7RecBAGf1f/PuSO8Hl/oeab1BLAQIUABQAAAAIAIdO4kBa4xFm9wAAAOIB&#10;AAATAAAAAAAAAAEAIAAAAIcCAABbQ29udGVudF9UeXBlc10ueG1sUEsBAhQACgAAAAAAh07iQAAA&#10;AAAAAAAAAAAAAAYAAAAAAAAAAAAQAAAAbgEAAF9yZWxzL1BLAQIUABQAAAAIAIdO4kDVXCYozAAA&#10;AI8BAAALAAAAAAAAAAEAIAAAAJIBAABfcmVscy8ucmVsc1BLAQIUAAoAAAAAAIdO4kAAAAAAAAAA&#10;AAAAAAAEAAAAAAAAAAAAEAAAAAAAAABkcnMvUEsBAhQAFAAAAAgAh07iQNI9dXS2AAAA2wAAAA8A&#10;AAAAAAAAAQAgAAAAIgAAAGRycy9kb3ducmV2LnhtbFBLAQIUABQAAAAIAIdO4kAzLwWeOwAAADkA&#10;AAAQAAAAAAAAAAEAIAAAAAUBAABkcnMvc2hhcGV4bWwueG1sUEsFBgAAAAAGAAYAWwEAAK8DAAAA&#10;AA==&#10;">
                        <v:fill on="t" focussize="0,0"/>
                        <v:stroke weight="0.5pt" color="#000000 [3204]" joinstyle="round"/>
                        <v:imagedata o:title=""/>
                        <o:lock v:ext="edit" aspectratio="f"/>
                        <v:textbox>
                          <w:txbxContent>
                            <w:p w14:paraId="362E033F">
                              <w:pPr>
                                <w:jc w:val="center"/>
                                <w:rPr>
                                  <w:rFonts w:hint="default" w:ascii="Times New Roman" w:hAnsi="Times New Roman" w:cs="Times New Roman" w:eastAsiaTheme="minorEastAsia"/>
                                  <w:sz w:val="20"/>
                                  <w:szCs w:val="22"/>
                                  <w:lang w:val="en-US" w:eastAsia="zh-CN"/>
                                </w:rPr>
                              </w:pPr>
                              <w:r>
                                <w:rPr>
                                  <w:rFonts w:hint="default" w:ascii="Times New Roman" w:hAnsi="Times New Roman" w:cs="Times New Roman"/>
                                  <w:sz w:val="20"/>
                                  <w:szCs w:val="22"/>
                                  <w:lang w:val="en-US" w:eastAsia="zh-CN"/>
                                </w:rPr>
                                <w:t>损失</w:t>
                              </w:r>
                              <w:r>
                                <w:rPr>
                                  <w:rFonts w:hint="eastAsia" w:cs="Times New Roman"/>
                                  <w:sz w:val="20"/>
                                  <w:szCs w:val="22"/>
                                  <w:lang w:val="en-US" w:eastAsia="zh-CN"/>
                                </w:rPr>
                                <w:t>21.0</w:t>
                              </w:r>
                            </w:p>
                          </w:txbxContent>
                        </v:textbox>
                      </v:shape>
                    </v:group>
                  </w:pict>
                </mc:Fallback>
              </mc:AlternateContent>
            </w:r>
          </w:p>
          <w:p w14:paraId="2DE393B8">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jc w:val="both"/>
              <w:textAlignment w:val="auto"/>
              <w:rPr>
                <w:rFonts w:hint="eastAsia" w:cs="Times New Roman"/>
                <w:color w:val="auto"/>
                <w:sz w:val="24"/>
                <w:szCs w:val="24"/>
                <w:lang w:val="en-US" w:eastAsia="zh-CN"/>
              </w:rPr>
            </w:pPr>
          </w:p>
          <w:p w14:paraId="3F98C7D3">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jc w:val="both"/>
              <w:textAlignment w:val="auto"/>
              <w:rPr>
                <w:rFonts w:hint="eastAsia" w:cs="Times New Roman"/>
                <w:color w:val="auto"/>
                <w:sz w:val="24"/>
                <w:szCs w:val="24"/>
                <w:lang w:val="en-US" w:eastAsia="zh-CN"/>
              </w:rPr>
            </w:pPr>
          </w:p>
          <w:p w14:paraId="4DE775AE">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jc w:val="both"/>
              <w:textAlignment w:val="auto"/>
              <w:rPr>
                <w:rFonts w:hint="eastAsia" w:cs="Times New Roman"/>
                <w:color w:val="auto"/>
                <w:sz w:val="24"/>
                <w:szCs w:val="24"/>
                <w:lang w:val="en-US" w:eastAsia="zh-CN"/>
              </w:rPr>
            </w:pPr>
          </w:p>
          <w:p w14:paraId="5E21BB5D">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jc w:val="both"/>
              <w:textAlignment w:val="auto"/>
              <w:rPr>
                <w:rFonts w:hint="eastAsia" w:cs="Times New Roman"/>
                <w:color w:val="auto"/>
                <w:sz w:val="24"/>
                <w:szCs w:val="24"/>
                <w:lang w:val="en-US" w:eastAsia="zh-CN"/>
              </w:rPr>
            </w:pPr>
          </w:p>
          <w:p w14:paraId="71EC749D">
            <w:pPr>
              <w:numPr>
                <w:ilvl w:val="0"/>
                <w:numId w:val="0"/>
              </w:numPr>
              <w:spacing w:line="360" w:lineRule="auto"/>
              <w:jc w:val="center"/>
              <w:rPr>
                <w:rFonts w:hint="eastAsia" w:cs="Times New Roman"/>
                <w:b/>
                <w:bCs/>
                <w:color w:val="auto"/>
                <w:sz w:val="21"/>
                <w:szCs w:val="21"/>
                <w:lang w:val="en-US" w:eastAsia="zh-CN"/>
              </w:rPr>
            </w:pPr>
          </w:p>
          <w:p w14:paraId="17F9DFAF">
            <w:pPr>
              <w:numPr>
                <w:ilvl w:val="0"/>
                <w:numId w:val="0"/>
              </w:numPr>
              <w:spacing w:line="360" w:lineRule="auto"/>
              <w:jc w:val="both"/>
              <w:rPr>
                <w:rFonts w:hint="eastAsia" w:cs="Times New Roman"/>
                <w:b/>
                <w:bCs/>
                <w:color w:val="auto"/>
                <w:sz w:val="21"/>
                <w:szCs w:val="21"/>
                <w:lang w:val="en-US" w:eastAsia="zh-CN"/>
              </w:rPr>
            </w:pPr>
          </w:p>
          <w:p w14:paraId="752CC0DC">
            <w:pPr>
              <w:numPr>
                <w:ilvl w:val="0"/>
                <w:numId w:val="0"/>
              </w:numPr>
              <w:spacing w:line="360" w:lineRule="auto"/>
              <w:jc w:val="center"/>
              <w:rPr>
                <w:rFonts w:hint="eastAsia" w:cs="Times New Roman"/>
                <w:b/>
                <w:bCs/>
                <w:color w:val="auto"/>
                <w:sz w:val="21"/>
                <w:szCs w:val="21"/>
                <w:lang w:val="en-US" w:eastAsia="zh-CN"/>
              </w:rPr>
            </w:pPr>
            <w:r>
              <w:rPr>
                <w:rFonts w:hint="eastAsia" w:cs="Times New Roman"/>
                <w:b/>
                <w:bCs/>
                <w:color w:val="auto"/>
                <w:sz w:val="21"/>
                <w:szCs w:val="21"/>
                <w:lang w:val="en-US" w:eastAsia="zh-CN"/>
              </w:rPr>
              <w:t>图2-1 项目水平衡 （m</w:t>
            </w:r>
            <w:r>
              <w:rPr>
                <w:rFonts w:hint="eastAsia" w:cs="Times New Roman"/>
                <w:b/>
                <w:bCs/>
                <w:color w:val="auto"/>
                <w:sz w:val="21"/>
                <w:szCs w:val="21"/>
                <w:vertAlign w:val="superscript"/>
                <w:lang w:val="en-US" w:eastAsia="zh-CN"/>
              </w:rPr>
              <w:t>3</w:t>
            </w:r>
            <w:r>
              <w:rPr>
                <w:rFonts w:hint="eastAsia" w:cs="Times New Roman"/>
                <w:b/>
                <w:bCs/>
                <w:color w:val="auto"/>
                <w:sz w:val="21"/>
                <w:szCs w:val="21"/>
                <w:lang w:val="en-US" w:eastAsia="zh-CN"/>
              </w:rPr>
              <w:t>/a）</w:t>
            </w:r>
          </w:p>
          <w:p w14:paraId="57C31AC4">
            <w:pPr>
              <w:keepNext w:val="0"/>
              <w:keepLines w:val="0"/>
              <w:pageBreakBefore w:val="0"/>
              <w:widowControl w:val="0"/>
              <w:numPr>
                <w:ilvl w:val="0"/>
                <w:numId w:val="33"/>
              </w:numPr>
              <w:kinsoku/>
              <w:wordWrap/>
              <w:overflowPunct/>
              <w:topLinePunct w:val="0"/>
              <w:autoSpaceDE/>
              <w:autoSpaceDN/>
              <w:bidi w:val="0"/>
              <w:adjustRightInd/>
              <w:snapToGrid/>
              <w:spacing w:line="360" w:lineRule="auto"/>
              <w:ind w:left="0" w:leftChars="0" w:firstLine="482" w:firstLineChars="200"/>
              <w:jc w:val="both"/>
              <w:textAlignment w:val="auto"/>
              <w:rPr>
                <w:rFonts w:hint="eastAsia" w:cs="Times New Roman"/>
                <w:color w:val="auto"/>
                <w:sz w:val="24"/>
                <w:szCs w:val="24"/>
                <w:lang w:val="en-US" w:eastAsia="zh-CN"/>
              </w:rPr>
            </w:pPr>
            <w:r>
              <w:rPr>
                <w:rFonts w:hint="eastAsia" w:cs="Times New Roman"/>
                <w:b/>
                <w:bCs/>
                <w:color w:val="auto"/>
                <w:sz w:val="24"/>
                <w:szCs w:val="24"/>
                <w:lang w:val="en-US" w:eastAsia="zh-CN"/>
              </w:rPr>
              <w:t>供电：</w:t>
            </w:r>
            <w:r>
              <w:rPr>
                <w:rFonts w:hint="eastAsia" w:cs="Times New Roman"/>
                <w:color w:val="auto"/>
                <w:sz w:val="24"/>
                <w:szCs w:val="24"/>
                <w:lang w:val="en-US" w:eastAsia="zh-CN"/>
              </w:rPr>
              <w:t>本项目用电依托厂区现有供电设施，现有供电设施齐全、完善，电力供应有保障。</w:t>
            </w:r>
          </w:p>
          <w:p w14:paraId="594B87F4">
            <w:pPr>
              <w:keepNext w:val="0"/>
              <w:keepLines w:val="0"/>
              <w:pageBreakBefore w:val="0"/>
              <w:widowControl w:val="0"/>
              <w:numPr>
                <w:ilvl w:val="0"/>
                <w:numId w:val="27"/>
              </w:numPr>
              <w:kinsoku/>
              <w:wordWrap/>
              <w:overflowPunct/>
              <w:topLinePunct w:val="0"/>
              <w:autoSpaceDE/>
              <w:autoSpaceDN/>
              <w:bidi w:val="0"/>
              <w:adjustRightInd/>
              <w:snapToGrid/>
              <w:spacing w:line="360" w:lineRule="auto"/>
              <w:ind w:left="0" w:leftChars="0" w:firstLine="0" w:firstLineChars="0"/>
              <w:jc w:val="both"/>
              <w:textAlignment w:val="auto"/>
              <w:rPr>
                <w:rFonts w:hint="eastAsia" w:cs="Times New Roman"/>
                <w:b/>
                <w:bCs/>
                <w:color w:val="auto"/>
                <w:sz w:val="24"/>
                <w:szCs w:val="24"/>
                <w:lang w:val="en-US" w:eastAsia="zh-CN"/>
              </w:rPr>
            </w:pPr>
            <w:r>
              <w:rPr>
                <w:rFonts w:hint="eastAsia" w:cs="Times New Roman"/>
                <w:b/>
                <w:bCs/>
                <w:color w:val="auto"/>
                <w:sz w:val="24"/>
                <w:szCs w:val="24"/>
                <w:lang w:val="en-US" w:eastAsia="zh-CN"/>
              </w:rPr>
              <w:t>依托工程</w:t>
            </w:r>
          </w:p>
          <w:p w14:paraId="67BC0A24">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jc w:val="both"/>
              <w:textAlignment w:val="auto"/>
              <w:rPr>
                <w:rFonts w:hint="eastAsia" w:cs="Times New Roman"/>
                <w:color w:val="auto"/>
                <w:sz w:val="24"/>
                <w:szCs w:val="24"/>
                <w:lang w:val="en-US" w:eastAsia="zh-CN"/>
              </w:rPr>
            </w:pPr>
            <w:r>
              <w:rPr>
                <w:rFonts w:hint="eastAsia" w:cs="Times New Roman"/>
                <w:color w:val="auto"/>
                <w:sz w:val="24"/>
                <w:szCs w:val="24"/>
                <w:lang w:val="en-US" w:eastAsia="zh-CN"/>
              </w:rPr>
              <w:t>本项目依托情况如下表所示：</w:t>
            </w:r>
          </w:p>
          <w:p w14:paraId="39E91916">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eastAsia" w:cs="Times New Roman"/>
                <w:b/>
                <w:bCs/>
                <w:color w:val="auto"/>
                <w:sz w:val="21"/>
                <w:szCs w:val="21"/>
                <w:lang w:val="en-US" w:eastAsia="zh-CN"/>
              </w:rPr>
            </w:pPr>
            <w:r>
              <w:rPr>
                <w:rFonts w:hint="eastAsia" w:cs="Times New Roman"/>
                <w:b/>
                <w:bCs/>
                <w:color w:val="auto"/>
                <w:sz w:val="21"/>
                <w:szCs w:val="21"/>
                <w:lang w:val="en-US" w:eastAsia="zh-CN"/>
              </w:rPr>
              <w:t>表2-11 项目依托工程一览表</w:t>
            </w:r>
          </w:p>
          <w:tbl>
            <w:tblPr>
              <w:tblStyle w:val="28"/>
              <w:tblW w:w="842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85"/>
              <w:gridCol w:w="1305"/>
              <w:gridCol w:w="3720"/>
              <w:gridCol w:w="2718"/>
            </w:tblGrid>
            <w:tr w14:paraId="36469A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85" w:type="dxa"/>
                  <w:vAlign w:val="center"/>
                </w:tcPr>
                <w:p w14:paraId="4F79F779">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类别</w:t>
                  </w:r>
                </w:p>
              </w:tc>
              <w:tc>
                <w:tcPr>
                  <w:tcW w:w="1305" w:type="dxa"/>
                  <w:vAlign w:val="center"/>
                </w:tcPr>
                <w:p w14:paraId="0EBD99F3">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名称</w:t>
                  </w:r>
                </w:p>
              </w:tc>
              <w:tc>
                <w:tcPr>
                  <w:tcW w:w="3720" w:type="dxa"/>
                  <w:vAlign w:val="center"/>
                </w:tcPr>
                <w:p w14:paraId="01666FA1">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依托内容</w:t>
                  </w:r>
                </w:p>
              </w:tc>
              <w:tc>
                <w:tcPr>
                  <w:tcW w:w="2718" w:type="dxa"/>
                  <w:vAlign w:val="center"/>
                </w:tcPr>
                <w:p w14:paraId="77F1238C">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依托能力分析</w:t>
                  </w:r>
                </w:p>
              </w:tc>
            </w:tr>
            <w:tr w14:paraId="2ED8C3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85" w:type="dxa"/>
                  <w:vMerge w:val="restart"/>
                  <w:vAlign w:val="center"/>
                </w:tcPr>
                <w:p w14:paraId="1C725440">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color w:val="auto"/>
                      <w:sz w:val="21"/>
                      <w:szCs w:val="21"/>
                      <w:vertAlign w:val="baseline"/>
                      <w:lang w:val="en-US" w:eastAsia="zh-CN"/>
                    </w:rPr>
                  </w:pPr>
                  <w:r>
                    <w:rPr>
                      <w:rFonts w:hint="default" w:ascii="Times New Roman" w:hAnsi="Times New Roman" w:eastAsia="宋体" w:cs="Times New Roman"/>
                      <w:color w:val="auto"/>
                      <w:sz w:val="21"/>
                      <w:szCs w:val="21"/>
                      <w:vertAlign w:val="baseline"/>
                      <w:lang w:val="en-US" w:eastAsia="zh-CN"/>
                    </w:rPr>
                    <w:t>公共工程</w:t>
                  </w:r>
                </w:p>
              </w:tc>
              <w:tc>
                <w:tcPr>
                  <w:tcW w:w="1305" w:type="dxa"/>
                  <w:vAlign w:val="center"/>
                </w:tcPr>
                <w:p w14:paraId="4EC3D5B6">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color w:val="auto"/>
                      <w:sz w:val="21"/>
                      <w:szCs w:val="21"/>
                      <w:vertAlign w:val="baseline"/>
                      <w:lang w:val="en-US" w:eastAsia="zh-CN"/>
                    </w:rPr>
                  </w:pPr>
                  <w:r>
                    <w:rPr>
                      <w:rFonts w:hint="default" w:ascii="Times New Roman" w:hAnsi="Times New Roman" w:eastAsia="宋体" w:cs="Times New Roman"/>
                      <w:color w:val="auto"/>
                      <w:sz w:val="21"/>
                      <w:szCs w:val="21"/>
                      <w:vertAlign w:val="baseline"/>
                      <w:lang w:val="en-US" w:eastAsia="zh-CN"/>
                    </w:rPr>
                    <w:t>供排水系统</w:t>
                  </w:r>
                </w:p>
              </w:tc>
              <w:tc>
                <w:tcPr>
                  <w:tcW w:w="3720" w:type="dxa"/>
                  <w:vAlign w:val="center"/>
                </w:tcPr>
                <w:p w14:paraId="4505517A">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color w:val="auto"/>
                      <w:sz w:val="21"/>
                      <w:szCs w:val="21"/>
                      <w:vertAlign w:val="baseline"/>
                      <w:lang w:val="en-US" w:eastAsia="zh-CN"/>
                    </w:rPr>
                  </w:pPr>
                  <w:r>
                    <w:rPr>
                      <w:rFonts w:hint="default" w:ascii="Times New Roman" w:hAnsi="Times New Roman" w:eastAsia="宋体" w:cs="Times New Roman"/>
                      <w:color w:val="auto"/>
                      <w:sz w:val="21"/>
                      <w:szCs w:val="21"/>
                      <w:vertAlign w:val="baseline"/>
                      <w:lang w:val="en-US" w:eastAsia="zh-CN"/>
                    </w:rPr>
                    <w:t>采用雨、污分流制，排水接入园区管网</w:t>
                  </w:r>
                </w:p>
              </w:tc>
              <w:tc>
                <w:tcPr>
                  <w:tcW w:w="2718" w:type="dxa"/>
                  <w:vAlign w:val="center"/>
                </w:tcPr>
                <w:p w14:paraId="35518AF7">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color w:val="auto"/>
                      <w:sz w:val="21"/>
                      <w:szCs w:val="21"/>
                      <w:vertAlign w:val="baseline"/>
                      <w:lang w:val="en-US" w:eastAsia="zh-CN"/>
                    </w:rPr>
                  </w:pPr>
                  <w:r>
                    <w:rPr>
                      <w:rFonts w:hint="default" w:ascii="Times New Roman" w:hAnsi="Times New Roman" w:eastAsia="宋体" w:cs="Times New Roman"/>
                      <w:color w:val="auto"/>
                      <w:sz w:val="21"/>
                      <w:szCs w:val="21"/>
                      <w:vertAlign w:val="baseline"/>
                      <w:lang w:val="en-US" w:eastAsia="zh-CN"/>
                    </w:rPr>
                    <w:t>供排水系统已经建成，依托可行</w:t>
                  </w:r>
                </w:p>
              </w:tc>
            </w:tr>
            <w:tr w14:paraId="452BA1D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85" w:type="dxa"/>
                  <w:vMerge w:val="continue"/>
                  <w:vAlign w:val="center"/>
                </w:tcPr>
                <w:p w14:paraId="52A3844E">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color w:val="auto"/>
                      <w:sz w:val="21"/>
                      <w:szCs w:val="21"/>
                      <w:vertAlign w:val="baseline"/>
                      <w:lang w:val="en-US" w:eastAsia="zh-CN"/>
                    </w:rPr>
                  </w:pPr>
                </w:p>
              </w:tc>
              <w:tc>
                <w:tcPr>
                  <w:tcW w:w="1305" w:type="dxa"/>
                  <w:vAlign w:val="center"/>
                </w:tcPr>
                <w:p w14:paraId="6CDC9D54">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color w:val="auto"/>
                      <w:sz w:val="21"/>
                      <w:szCs w:val="21"/>
                      <w:vertAlign w:val="baseline"/>
                      <w:lang w:val="en-US" w:eastAsia="zh-CN"/>
                    </w:rPr>
                  </w:pPr>
                  <w:r>
                    <w:rPr>
                      <w:rFonts w:hint="default" w:ascii="Times New Roman" w:hAnsi="Times New Roman" w:eastAsia="宋体" w:cs="Times New Roman"/>
                      <w:color w:val="auto"/>
                      <w:sz w:val="21"/>
                      <w:szCs w:val="21"/>
                      <w:vertAlign w:val="baseline"/>
                      <w:lang w:val="en-US" w:eastAsia="zh-CN"/>
                    </w:rPr>
                    <w:t>供电系统</w:t>
                  </w:r>
                </w:p>
              </w:tc>
              <w:tc>
                <w:tcPr>
                  <w:tcW w:w="3720" w:type="dxa"/>
                  <w:vAlign w:val="center"/>
                </w:tcPr>
                <w:p w14:paraId="75FF1C16">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color w:val="auto"/>
                      <w:sz w:val="21"/>
                      <w:szCs w:val="21"/>
                      <w:vertAlign w:val="baseline"/>
                      <w:lang w:val="en-US" w:eastAsia="zh-CN"/>
                    </w:rPr>
                  </w:pPr>
                  <w:r>
                    <w:rPr>
                      <w:rFonts w:hint="default" w:ascii="Times New Roman" w:hAnsi="Times New Roman" w:eastAsia="宋体" w:cs="Times New Roman"/>
                      <w:color w:val="auto"/>
                      <w:sz w:val="21"/>
                      <w:szCs w:val="21"/>
                      <w:vertAlign w:val="baseline"/>
                      <w:lang w:val="en-US" w:eastAsia="zh-CN"/>
                    </w:rPr>
                    <w:t>由市政电网供给，能满足本项目的需求</w:t>
                  </w:r>
                </w:p>
              </w:tc>
              <w:tc>
                <w:tcPr>
                  <w:tcW w:w="2718" w:type="dxa"/>
                  <w:vAlign w:val="center"/>
                </w:tcPr>
                <w:p w14:paraId="4C1FB5E0">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color w:val="auto"/>
                      <w:sz w:val="21"/>
                      <w:szCs w:val="21"/>
                      <w:vertAlign w:val="baseline"/>
                      <w:lang w:val="en-US" w:eastAsia="zh-CN"/>
                    </w:rPr>
                  </w:pPr>
                  <w:r>
                    <w:rPr>
                      <w:rFonts w:hint="default" w:ascii="Times New Roman" w:hAnsi="Times New Roman" w:eastAsia="宋体" w:cs="Times New Roman"/>
                      <w:color w:val="auto"/>
                      <w:sz w:val="21"/>
                      <w:szCs w:val="21"/>
                      <w:vertAlign w:val="baseline"/>
                      <w:lang w:val="en-US" w:eastAsia="zh-CN"/>
                    </w:rPr>
                    <w:t>依托可行</w:t>
                  </w:r>
                </w:p>
              </w:tc>
            </w:tr>
            <w:tr w14:paraId="6BA258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85" w:type="dxa"/>
                  <w:vMerge w:val="continue"/>
                  <w:vAlign w:val="center"/>
                </w:tcPr>
                <w:p w14:paraId="283075DF">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color w:val="auto"/>
                      <w:sz w:val="21"/>
                      <w:szCs w:val="21"/>
                      <w:vertAlign w:val="baseline"/>
                      <w:lang w:val="en-US" w:eastAsia="zh-CN"/>
                    </w:rPr>
                  </w:pPr>
                </w:p>
              </w:tc>
              <w:tc>
                <w:tcPr>
                  <w:tcW w:w="1305" w:type="dxa"/>
                  <w:vAlign w:val="center"/>
                </w:tcPr>
                <w:p w14:paraId="0430C510">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color w:val="auto"/>
                      <w:sz w:val="21"/>
                      <w:szCs w:val="21"/>
                      <w:vertAlign w:val="baseline"/>
                      <w:lang w:val="en-US" w:eastAsia="zh-CN"/>
                    </w:rPr>
                  </w:pPr>
                  <w:r>
                    <w:rPr>
                      <w:rFonts w:hint="default" w:ascii="Times New Roman" w:hAnsi="Times New Roman" w:eastAsia="宋体" w:cs="Times New Roman"/>
                      <w:color w:val="auto"/>
                      <w:sz w:val="21"/>
                      <w:szCs w:val="21"/>
                      <w:vertAlign w:val="baseline"/>
                      <w:lang w:val="en-US" w:eastAsia="zh-CN"/>
                    </w:rPr>
                    <w:t>供气系统</w:t>
                  </w:r>
                </w:p>
              </w:tc>
              <w:tc>
                <w:tcPr>
                  <w:tcW w:w="3720" w:type="dxa"/>
                  <w:vAlign w:val="center"/>
                </w:tcPr>
                <w:p w14:paraId="7D36A4DD">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color w:val="auto"/>
                      <w:sz w:val="21"/>
                      <w:szCs w:val="21"/>
                      <w:vertAlign w:val="baseline"/>
                      <w:lang w:val="en-US" w:eastAsia="zh-CN"/>
                    </w:rPr>
                  </w:pPr>
                  <w:r>
                    <w:rPr>
                      <w:rFonts w:hint="default" w:ascii="Times New Roman" w:hAnsi="Times New Roman" w:eastAsia="宋体" w:cs="Times New Roman"/>
                      <w:color w:val="auto"/>
                      <w:sz w:val="21"/>
                      <w:szCs w:val="21"/>
                      <w:vertAlign w:val="baseline"/>
                      <w:lang w:val="en-US" w:eastAsia="zh-CN"/>
                    </w:rPr>
                    <w:t>由市政气网供给，能满足本项目的需求</w:t>
                  </w:r>
                </w:p>
              </w:tc>
              <w:tc>
                <w:tcPr>
                  <w:tcW w:w="2718" w:type="dxa"/>
                  <w:vAlign w:val="center"/>
                </w:tcPr>
                <w:p w14:paraId="37DF5B2E">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color w:val="auto"/>
                      <w:sz w:val="21"/>
                      <w:szCs w:val="21"/>
                      <w:vertAlign w:val="baseline"/>
                      <w:lang w:val="en-US" w:eastAsia="zh-CN"/>
                    </w:rPr>
                  </w:pPr>
                  <w:r>
                    <w:rPr>
                      <w:rFonts w:hint="default" w:ascii="Times New Roman" w:hAnsi="Times New Roman" w:eastAsia="宋体" w:cs="Times New Roman"/>
                      <w:color w:val="auto"/>
                      <w:sz w:val="21"/>
                      <w:szCs w:val="21"/>
                      <w:vertAlign w:val="baseline"/>
                      <w:lang w:val="en-US" w:eastAsia="zh-CN"/>
                    </w:rPr>
                    <w:t>依托可行</w:t>
                  </w:r>
                </w:p>
              </w:tc>
            </w:tr>
            <w:tr w14:paraId="62F0BA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85" w:type="dxa"/>
                  <w:vAlign w:val="center"/>
                </w:tcPr>
                <w:p w14:paraId="7FD40104">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color w:val="auto"/>
                      <w:sz w:val="21"/>
                      <w:szCs w:val="21"/>
                      <w:vertAlign w:val="baseline"/>
                      <w:lang w:val="en-US" w:eastAsia="zh-CN"/>
                    </w:rPr>
                  </w:pPr>
                  <w:r>
                    <w:rPr>
                      <w:rFonts w:hint="default" w:ascii="Times New Roman" w:hAnsi="Times New Roman" w:eastAsia="宋体" w:cs="Times New Roman"/>
                      <w:color w:val="auto"/>
                      <w:sz w:val="21"/>
                      <w:szCs w:val="21"/>
                      <w:vertAlign w:val="baseline"/>
                      <w:lang w:val="en-US" w:eastAsia="zh-CN"/>
                    </w:rPr>
                    <w:t>环保工程</w:t>
                  </w:r>
                </w:p>
              </w:tc>
              <w:tc>
                <w:tcPr>
                  <w:tcW w:w="1305" w:type="dxa"/>
                  <w:vAlign w:val="center"/>
                </w:tcPr>
                <w:p w14:paraId="0B6D34F1">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color w:val="auto"/>
                      <w:sz w:val="21"/>
                      <w:szCs w:val="21"/>
                      <w:vertAlign w:val="baseline"/>
                      <w:lang w:val="en-US" w:eastAsia="zh-CN"/>
                    </w:rPr>
                  </w:pPr>
                  <w:r>
                    <w:rPr>
                      <w:rFonts w:hint="default" w:ascii="Times New Roman" w:hAnsi="Times New Roman" w:eastAsia="宋体" w:cs="Times New Roman"/>
                      <w:color w:val="auto"/>
                      <w:sz w:val="21"/>
                      <w:szCs w:val="21"/>
                      <w:vertAlign w:val="baseline"/>
                      <w:lang w:val="en-US" w:eastAsia="zh-CN"/>
                    </w:rPr>
                    <w:t>预处理池</w:t>
                  </w:r>
                </w:p>
              </w:tc>
              <w:tc>
                <w:tcPr>
                  <w:tcW w:w="3720" w:type="dxa"/>
                  <w:vAlign w:val="center"/>
                </w:tcPr>
                <w:p w14:paraId="6DD9CFB1">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both"/>
                    <w:textAlignment w:val="auto"/>
                    <w:rPr>
                      <w:rFonts w:hint="default" w:ascii="Times New Roman" w:hAnsi="Times New Roman" w:eastAsia="宋体" w:cs="Times New Roman"/>
                      <w:color w:val="auto"/>
                      <w:sz w:val="21"/>
                      <w:szCs w:val="21"/>
                      <w:vertAlign w:val="baseline"/>
                      <w:lang w:val="en-US" w:eastAsia="zh-CN"/>
                    </w:rPr>
                  </w:pPr>
                  <w:r>
                    <w:rPr>
                      <w:rFonts w:hint="eastAsia" w:cs="Times New Roman"/>
                      <w:color w:val="auto"/>
                      <w:sz w:val="21"/>
                      <w:szCs w:val="21"/>
                      <w:vertAlign w:val="baseline"/>
                      <w:lang w:val="en-US" w:eastAsia="zh-CN"/>
                    </w:rPr>
                    <w:t>租赁厂区西北侧</w:t>
                  </w:r>
                  <w:r>
                    <w:rPr>
                      <w:rFonts w:hint="default" w:ascii="Times New Roman" w:hAnsi="Times New Roman" w:eastAsia="宋体" w:cs="Times New Roman"/>
                      <w:color w:val="auto"/>
                      <w:sz w:val="21"/>
                      <w:szCs w:val="21"/>
                      <w:vertAlign w:val="baseline"/>
                      <w:lang w:val="en-US" w:eastAsia="zh-CN"/>
                    </w:rPr>
                    <w:t>己建容积为</w:t>
                  </w:r>
                  <w:r>
                    <w:rPr>
                      <w:rFonts w:hint="eastAsia" w:cs="Times New Roman"/>
                      <w:color w:val="auto"/>
                      <w:sz w:val="21"/>
                      <w:szCs w:val="21"/>
                      <w:vertAlign w:val="baseline"/>
                      <w:lang w:val="en-US" w:eastAsia="zh-CN"/>
                    </w:rPr>
                    <w:t>36</w:t>
                  </w:r>
                  <w:r>
                    <w:rPr>
                      <w:rFonts w:hint="default" w:ascii="Times New Roman" w:hAnsi="Times New Roman" w:eastAsia="宋体" w:cs="Times New Roman"/>
                      <w:color w:val="auto"/>
                      <w:sz w:val="21"/>
                      <w:szCs w:val="21"/>
                      <w:vertAlign w:val="baseline"/>
                      <w:lang w:val="en-US" w:eastAsia="zh-CN"/>
                    </w:rPr>
                    <w:t>m</w:t>
                  </w:r>
                  <w:r>
                    <w:rPr>
                      <w:rFonts w:hint="default" w:ascii="Times New Roman" w:hAnsi="Times New Roman" w:eastAsia="宋体" w:cs="Times New Roman"/>
                      <w:color w:val="auto"/>
                      <w:sz w:val="21"/>
                      <w:szCs w:val="21"/>
                      <w:vertAlign w:val="superscript"/>
                      <w:lang w:val="en-US" w:eastAsia="zh-CN"/>
                    </w:rPr>
                    <w:t>3</w:t>
                  </w:r>
                  <w:r>
                    <w:rPr>
                      <w:rFonts w:hint="default" w:ascii="Times New Roman" w:hAnsi="Times New Roman" w:eastAsia="宋体" w:cs="Times New Roman"/>
                      <w:color w:val="auto"/>
                      <w:sz w:val="21"/>
                      <w:szCs w:val="21"/>
                      <w:vertAlign w:val="baseline"/>
                      <w:lang w:val="en-US" w:eastAsia="zh-CN"/>
                    </w:rPr>
                    <w:t>地埋式预处理池</w:t>
                  </w:r>
                  <w:r>
                    <w:rPr>
                      <w:rFonts w:hint="eastAsia" w:cs="Times New Roman"/>
                      <w:color w:val="auto"/>
                      <w:sz w:val="21"/>
                      <w:szCs w:val="21"/>
                      <w:vertAlign w:val="baseline"/>
                      <w:lang w:val="en-US" w:eastAsia="zh-CN"/>
                    </w:rPr>
                    <w:t>；</w:t>
                  </w:r>
                  <w:r>
                    <w:rPr>
                      <w:rFonts w:hint="default" w:ascii="Times New Roman" w:hAnsi="Times New Roman" w:eastAsia="宋体" w:cs="Times New Roman"/>
                      <w:color w:val="auto"/>
                      <w:sz w:val="21"/>
                      <w:szCs w:val="21"/>
                      <w:vertAlign w:val="baseline"/>
                      <w:lang w:val="en-US" w:eastAsia="zh-CN"/>
                    </w:rPr>
                    <w:t>根据现场调查，预处理池剩余容积约</w:t>
                  </w:r>
                  <w:r>
                    <w:rPr>
                      <w:rFonts w:hint="eastAsia" w:cs="Times New Roman"/>
                      <w:color w:val="auto"/>
                      <w:sz w:val="21"/>
                      <w:szCs w:val="21"/>
                      <w:vertAlign w:val="baseline"/>
                      <w:lang w:val="en-US" w:eastAsia="zh-CN"/>
                    </w:rPr>
                    <w:t>24.0</w:t>
                  </w:r>
                  <w:r>
                    <w:rPr>
                      <w:rFonts w:hint="default" w:ascii="Times New Roman" w:hAnsi="Times New Roman" w:eastAsia="宋体" w:cs="Times New Roman"/>
                      <w:color w:val="auto"/>
                      <w:sz w:val="21"/>
                      <w:szCs w:val="21"/>
                      <w:vertAlign w:val="baseline"/>
                      <w:lang w:val="en-US" w:eastAsia="zh-CN"/>
                    </w:rPr>
                    <w:t>m</w:t>
                  </w:r>
                  <w:r>
                    <w:rPr>
                      <w:rFonts w:hint="default" w:ascii="Times New Roman" w:hAnsi="Times New Roman" w:eastAsia="宋体" w:cs="Times New Roman"/>
                      <w:color w:val="auto"/>
                      <w:sz w:val="21"/>
                      <w:szCs w:val="21"/>
                      <w:vertAlign w:val="superscript"/>
                      <w:lang w:val="en-US" w:eastAsia="zh-CN"/>
                    </w:rPr>
                    <w:t>3</w:t>
                  </w:r>
                  <w:r>
                    <w:rPr>
                      <w:rFonts w:hint="default" w:ascii="Times New Roman" w:hAnsi="Times New Roman" w:eastAsia="宋体" w:cs="Times New Roman"/>
                      <w:color w:val="auto"/>
                      <w:sz w:val="21"/>
                      <w:szCs w:val="21"/>
                      <w:vertAlign w:val="baseline"/>
                      <w:lang w:val="en-US" w:eastAsia="zh-CN"/>
                    </w:rPr>
                    <w:t>，该预处理池尚有充足的剩余处理能力</w:t>
                  </w:r>
                  <w:r>
                    <w:rPr>
                      <w:rFonts w:hint="eastAsia" w:cs="Times New Roman"/>
                      <w:color w:val="auto"/>
                      <w:sz w:val="21"/>
                      <w:szCs w:val="21"/>
                      <w:vertAlign w:val="baseline"/>
                      <w:lang w:val="en-US" w:eastAsia="zh-CN"/>
                    </w:rPr>
                    <w:t>。</w:t>
                  </w:r>
                </w:p>
              </w:tc>
              <w:tc>
                <w:tcPr>
                  <w:tcW w:w="2718" w:type="dxa"/>
                  <w:vAlign w:val="center"/>
                </w:tcPr>
                <w:p w14:paraId="2BF6AC10">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both"/>
                    <w:textAlignment w:val="auto"/>
                    <w:rPr>
                      <w:rFonts w:hint="default" w:ascii="Times New Roman" w:hAnsi="Times New Roman" w:eastAsia="宋体" w:cs="Times New Roman"/>
                      <w:color w:val="auto"/>
                      <w:sz w:val="21"/>
                      <w:szCs w:val="21"/>
                      <w:vertAlign w:val="baseline"/>
                      <w:lang w:val="en-US" w:eastAsia="zh-CN"/>
                    </w:rPr>
                  </w:pPr>
                  <w:r>
                    <w:rPr>
                      <w:rFonts w:hint="default" w:ascii="Times New Roman" w:hAnsi="Times New Roman" w:eastAsia="宋体" w:cs="Times New Roman"/>
                      <w:color w:val="auto"/>
                      <w:sz w:val="21"/>
                      <w:szCs w:val="21"/>
                      <w:vertAlign w:val="baseline"/>
                      <w:lang w:val="en-US" w:eastAsia="zh-CN"/>
                    </w:rPr>
                    <w:t>项目只</w:t>
                  </w:r>
                  <w:r>
                    <w:rPr>
                      <w:rFonts w:hint="eastAsia" w:cs="Times New Roman"/>
                      <w:color w:val="auto"/>
                      <w:sz w:val="21"/>
                      <w:szCs w:val="21"/>
                      <w:vertAlign w:val="baseline"/>
                      <w:lang w:val="en-US" w:eastAsia="zh-CN"/>
                    </w:rPr>
                    <w:t>外排</w:t>
                  </w:r>
                  <w:r>
                    <w:rPr>
                      <w:rFonts w:hint="default" w:ascii="Times New Roman" w:hAnsi="Times New Roman" w:eastAsia="宋体" w:cs="Times New Roman"/>
                      <w:color w:val="auto"/>
                      <w:sz w:val="21"/>
                      <w:szCs w:val="21"/>
                      <w:vertAlign w:val="baseline"/>
                      <w:lang w:val="en-US" w:eastAsia="zh-CN"/>
                    </w:rPr>
                    <w:t>生活污水，产生量为</w:t>
                  </w:r>
                  <w:r>
                    <w:rPr>
                      <w:rFonts w:hint="eastAsia" w:cs="Times New Roman"/>
                      <w:color w:val="auto"/>
                      <w:sz w:val="21"/>
                      <w:szCs w:val="21"/>
                      <w:vertAlign w:val="baseline"/>
                      <w:lang w:val="en-US" w:eastAsia="zh-CN"/>
                    </w:rPr>
                    <w:t>0.34</w:t>
                  </w:r>
                  <w:r>
                    <w:rPr>
                      <w:rFonts w:hint="default" w:ascii="Times New Roman" w:hAnsi="Times New Roman" w:eastAsia="宋体" w:cs="Times New Roman"/>
                      <w:color w:val="auto"/>
                      <w:sz w:val="21"/>
                      <w:szCs w:val="21"/>
                      <w:vertAlign w:val="baseline"/>
                      <w:lang w:val="en-US" w:eastAsia="zh-CN"/>
                    </w:rPr>
                    <w:t>m</w:t>
                  </w:r>
                  <w:r>
                    <w:rPr>
                      <w:rFonts w:hint="default" w:ascii="Times New Roman" w:hAnsi="Times New Roman" w:eastAsia="宋体" w:cs="Times New Roman"/>
                      <w:color w:val="auto"/>
                      <w:sz w:val="21"/>
                      <w:szCs w:val="21"/>
                      <w:vertAlign w:val="superscript"/>
                      <w:lang w:val="en-US" w:eastAsia="zh-CN"/>
                    </w:rPr>
                    <w:t>3</w:t>
                  </w:r>
                  <w:r>
                    <w:rPr>
                      <w:rFonts w:hint="default" w:ascii="Times New Roman" w:hAnsi="Times New Roman" w:eastAsia="宋体" w:cs="Times New Roman"/>
                      <w:color w:val="auto"/>
                      <w:sz w:val="21"/>
                      <w:szCs w:val="21"/>
                      <w:vertAlign w:val="baseline"/>
                      <w:lang w:val="en-US" w:eastAsia="zh-CN"/>
                    </w:rPr>
                    <w:t>/d，占预处理池剩余容积的</w:t>
                  </w:r>
                  <w:r>
                    <w:rPr>
                      <w:rFonts w:hint="eastAsia" w:cs="Times New Roman"/>
                      <w:color w:val="auto"/>
                      <w:sz w:val="21"/>
                      <w:szCs w:val="21"/>
                      <w:vertAlign w:val="baseline"/>
                      <w:lang w:val="en-US" w:eastAsia="zh-CN"/>
                    </w:rPr>
                    <w:t>1.42</w:t>
                  </w:r>
                  <w:r>
                    <w:rPr>
                      <w:rFonts w:hint="default" w:ascii="Times New Roman" w:hAnsi="Times New Roman" w:eastAsia="宋体" w:cs="Times New Roman"/>
                      <w:color w:val="auto"/>
                      <w:sz w:val="21"/>
                      <w:szCs w:val="21"/>
                      <w:vertAlign w:val="baseline"/>
                      <w:lang w:val="en-US" w:eastAsia="zh-CN"/>
                    </w:rPr>
                    <w:t>%，污水纳入</w:t>
                  </w:r>
                  <w:r>
                    <w:rPr>
                      <w:rFonts w:hint="eastAsia" w:cs="Times New Roman"/>
                      <w:color w:val="auto"/>
                      <w:sz w:val="21"/>
                      <w:szCs w:val="21"/>
                      <w:vertAlign w:val="baseline"/>
                      <w:lang w:val="en-US" w:eastAsia="zh-CN"/>
                    </w:rPr>
                    <w:t>租赁厂区</w:t>
                  </w:r>
                  <w:r>
                    <w:rPr>
                      <w:rFonts w:hint="default" w:ascii="Times New Roman" w:hAnsi="Times New Roman" w:eastAsia="宋体" w:cs="Times New Roman"/>
                      <w:color w:val="auto"/>
                      <w:sz w:val="21"/>
                      <w:szCs w:val="21"/>
                      <w:vertAlign w:val="baseline"/>
                      <w:lang w:val="en-US" w:eastAsia="zh-CN"/>
                    </w:rPr>
                    <w:t>预处理池接纳范围，依托可行</w:t>
                  </w:r>
                  <w:r>
                    <w:rPr>
                      <w:rFonts w:hint="eastAsia" w:cs="Times New Roman"/>
                      <w:color w:val="auto"/>
                      <w:sz w:val="21"/>
                      <w:szCs w:val="21"/>
                      <w:vertAlign w:val="baseline"/>
                      <w:lang w:val="en-US" w:eastAsia="zh-CN"/>
                    </w:rPr>
                    <w:t>。</w:t>
                  </w:r>
                </w:p>
              </w:tc>
            </w:tr>
          </w:tbl>
          <w:p w14:paraId="6C53DDBB">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both"/>
              <w:textAlignment w:val="auto"/>
              <w:rPr>
                <w:rFonts w:hint="default" w:ascii="Times New Roman" w:hAnsi="Times New Roman" w:eastAsia="宋体" w:cs="Times New Roman"/>
                <w:color w:val="auto"/>
                <w:sz w:val="24"/>
                <w:szCs w:val="24"/>
                <w:lang w:val="en-US" w:eastAsia="zh-CN"/>
              </w:rPr>
            </w:pPr>
          </w:p>
        </w:tc>
      </w:tr>
      <w:tr w14:paraId="1AF09B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 w:hRule="atLeast"/>
          <w:jc w:val="center"/>
        </w:trPr>
        <w:tc>
          <w:tcPr>
            <w:tcW w:w="1210" w:type="dxa"/>
            <w:noWrap w:val="0"/>
            <w:vAlign w:val="center"/>
          </w:tcPr>
          <w:p w14:paraId="2D883D8A">
            <w:pPr>
              <w:spacing w:line="360" w:lineRule="auto"/>
              <w:jc w:val="center"/>
              <w:rPr>
                <w:rFonts w:hint="default" w:ascii="Times New Roman" w:hAnsi="Times New Roman" w:eastAsia="宋体" w:cs="Times New Roman"/>
                <w:b/>
                <w:bCs/>
                <w:color w:val="auto"/>
                <w:sz w:val="24"/>
                <w:szCs w:val="24"/>
                <w:lang w:val="en-US" w:eastAsia="zh-CN"/>
              </w:rPr>
            </w:pPr>
            <w:r>
              <w:rPr>
                <w:rFonts w:hint="default" w:ascii="Times New Roman" w:hAnsi="Times New Roman" w:eastAsia="宋体" w:cs="Times New Roman"/>
                <w:b/>
                <w:bCs/>
                <w:color w:val="auto"/>
                <w:sz w:val="24"/>
                <w:szCs w:val="24"/>
                <w:lang w:val="en-US" w:eastAsia="zh-CN"/>
              </w:rPr>
              <w:t>工艺流程和产排污</w:t>
            </w:r>
          </w:p>
          <w:p w14:paraId="047DB0F1">
            <w:pPr>
              <w:spacing w:line="360" w:lineRule="auto"/>
              <w:jc w:val="center"/>
              <w:rPr>
                <w:rFonts w:hint="default" w:ascii="Times New Roman" w:hAnsi="Times New Roman" w:eastAsia="宋体" w:cs="Times New Roman"/>
                <w:b/>
                <w:bCs/>
                <w:color w:val="auto"/>
                <w:sz w:val="24"/>
                <w:szCs w:val="24"/>
                <w:lang w:val="en-US" w:eastAsia="zh-CN"/>
              </w:rPr>
            </w:pPr>
            <w:r>
              <w:rPr>
                <w:rFonts w:hint="default" w:ascii="Times New Roman" w:hAnsi="Times New Roman" w:eastAsia="宋体" w:cs="Times New Roman"/>
                <w:b/>
                <w:bCs/>
                <w:color w:val="auto"/>
                <w:sz w:val="24"/>
                <w:szCs w:val="24"/>
                <w:lang w:val="en-US" w:eastAsia="zh-CN"/>
              </w:rPr>
              <w:t>环节</w:t>
            </w:r>
          </w:p>
        </w:tc>
        <w:tc>
          <w:tcPr>
            <w:tcW w:w="8644" w:type="dxa"/>
            <w:noWrap w:val="0"/>
            <w:vAlign w:val="center"/>
          </w:tcPr>
          <w:p w14:paraId="59C14E8E">
            <w:pPr>
              <w:numPr>
                <w:ilvl w:val="0"/>
                <w:numId w:val="36"/>
              </w:numPr>
              <w:spacing w:line="360" w:lineRule="auto"/>
              <w:ind w:firstLine="482" w:firstLineChars="200"/>
              <w:jc w:val="both"/>
              <w:rPr>
                <w:rFonts w:hint="default" w:ascii="Times New Roman" w:hAnsi="Times New Roman" w:eastAsia="宋体" w:cs="Times New Roman"/>
                <w:color w:val="auto"/>
                <w:sz w:val="24"/>
                <w:szCs w:val="24"/>
              </w:rPr>
            </w:pPr>
            <w:r>
              <w:rPr>
                <w:rFonts w:hint="default" w:ascii="Times New Roman" w:hAnsi="Times New Roman" w:eastAsia="宋体" w:cs="Times New Roman"/>
                <w:b/>
                <w:bCs/>
                <w:color w:val="auto"/>
                <w:sz w:val="24"/>
                <w:szCs w:val="24"/>
              </w:rPr>
              <w:t>工艺流程简述</w:t>
            </w:r>
          </w:p>
          <w:p w14:paraId="003274D8">
            <w:pPr>
              <w:numPr>
                <w:ilvl w:val="0"/>
                <w:numId w:val="0"/>
              </w:numPr>
              <w:spacing w:line="360" w:lineRule="auto"/>
              <w:ind w:firstLine="480" w:firstLineChars="200"/>
              <w:jc w:val="both"/>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lang w:val="en-US" w:eastAsia="zh-CN"/>
              </w:rPr>
              <w:t>根据工程特点</w:t>
            </w:r>
            <w:r>
              <w:rPr>
                <w:rFonts w:hint="eastAsia" w:cs="Times New Roman"/>
                <w:color w:val="auto"/>
                <w:sz w:val="24"/>
                <w:szCs w:val="24"/>
                <w:lang w:val="en-US" w:eastAsia="zh-CN"/>
              </w:rPr>
              <w:t>，</w:t>
            </w:r>
            <w:r>
              <w:rPr>
                <w:rFonts w:hint="default" w:ascii="Times New Roman" w:hAnsi="Times New Roman" w:eastAsia="宋体" w:cs="Times New Roman"/>
                <w:color w:val="auto"/>
                <w:sz w:val="24"/>
                <w:szCs w:val="24"/>
                <w:lang w:val="en-US" w:eastAsia="zh-CN"/>
              </w:rPr>
              <w:t>其对环境影响因素可分为两个阶段</w:t>
            </w:r>
            <w:r>
              <w:rPr>
                <w:rFonts w:hint="eastAsia" w:cs="Times New Roman"/>
                <w:color w:val="auto"/>
                <w:sz w:val="24"/>
                <w:szCs w:val="24"/>
                <w:lang w:val="en-US" w:eastAsia="zh-CN"/>
              </w:rPr>
              <w:t>，</w:t>
            </w:r>
            <w:r>
              <w:rPr>
                <w:rFonts w:hint="default" w:ascii="Times New Roman" w:hAnsi="Times New Roman" w:eastAsia="宋体" w:cs="Times New Roman"/>
                <w:color w:val="auto"/>
                <w:sz w:val="24"/>
                <w:szCs w:val="24"/>
                <w:lang w:val="en-US" w:eastAsia="zh-CN"/>
              </w:rPr>
              <w:t>施工期和营运期</w:t>
            </w:r>
            <w:r>
              <w:rPr>
                <w:rFonts w:hint="default" w:ascii="Times New Roman" w:hAnsi="Times New Roman" w:eastAsia="宋体" w:cs="Times New Roman"/>
                <w:color w:val="auto"/>
                <w:sz w:val="24"/>
                <w:szCs w:val="24"/>
              </w:rPr>
              <w:t>。</w:t>
            </w:r>
          </w:p>
          <w:p w14:paraId="5C7B29E3">
            <w:pPr>
              <w:numPr>
                <w:ilvl w:val="0"/>
                <w:numId w:val="37"/>
              </w:numPr>
              <w:spacing w:line="360" w:lineRule="auto"/>
              <w:ind w:firstLine="482" w:firstLineChars="200"/>
              <w:jc w:val="both"/>
              <w:rPr>
                <w:rFonts w:hint="default" w:ascii="Times New Roman" w:hAnsi="Times New Roman" w:eastAsia="宋体" w:cs="Times New Roman"/>
                <w:color w:val="auto"/>
                <w:sz w:val="24"/>
                <w:szCs w:val="24"/>
              </w:rPr>
            </w:pPr>
            <w:r>
              <w:rPr>
                <w:rFonts w:hint="default" w:ascii="Times New Roman" w:hAnsi="Times New Roman" w:eastAsia="宋体" w:cs="Times New Roman"/>
                <w:b/>
                <w:bCs/>
                <w:color w:val="auto"/>
                <w:sz w:val="24"/>
                <w:szCs w:val="24"/>
              </w:rPr>
              <w:t>施工期工程分析</w:t>
            </w:r>
          </w:p>
          <w:p w14:paraId="2A203F76">
            <w:pPr>
              <w:numPr>
                <w:ilvl w:val="0"/>
                <w:numId w:val="0"/>
              </w:numPr>
              <w:spacing w:line="360" w:lineRule="auto"/>
              <w:ind w:firstLine="480" w:firstLineChars="200"/>
              <w:jc w:val="both"/>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施工内容主要包括废矿物油储存车间内围堰的建设、暂存区分区及防渗、防腐措施等工程的建设及设备的安装。施工期主要污染物为施工噪声，同时产生少量扬尘、装修垃圾和生活污水。</w:t>
            </w:r>
          </w:p>
          <w:p w14:paraId="4DF2B685">
            <w:pPr>
              <w:numPr>
                <w:ilvl w:val="0"/>
                <w:numId w:val="0"/>
              </w:numPr>
              <w:spacing w:line="360" w:lineRule="auto"/>
              <w:ind w:firstLine="480" w:firstLineChars="200"/>
              <w:jc w:val="both"/>
              <w:rPr>
                <w:rFonts w:hint="eastAsia" w:cs="Times New Roman"/>
                <w:color w:val="auto"/>
                <w:sz w:val="24"/>
                <w:szCs w:val="24"/>
                <w:lang w:eastAsia="zh-CN"/>
              </w:rPr>
            </w:pPr>
            <w:r>
              <w:rPr>
                <w:rFonts w:hint="default" w:ascii="Times New Roman" w:hAnsi="Times New Roman" w:eastAsia="宋体" w:cs="Times New Roman"/>
                <w:color w:val="auto"/>
                <w:sz w:val="24"/>
                <w:szCs w:val="24"/>
              </w:rPr>
              <w:t>施工噪声发生在施工</w:t>
            </w:r>
            <w:r>
              <w:rPr>
                <w:rFonts w:hint="eastAsia" w:cs="Times New Roman"/>
                <w:color w:val="auto"/>
                <w:sz w:val="24"/>
                <w:szCs w:val="24"/>
                <w:lang w:val="en-US" w:eastAsia="zh-CN"/>
              </w:rPr>
              <w:t>作业</w:t>
            </w:r>
            <w:r>
              <w:rPr>
                <w:rFonts w:hint="default" w:ascii="Times New Roman" w:hAnsi="Times New Roman" w:eastAsia="宋体" w:cs="Times New Roman"/>
                <w:color w:val="auto"/>
                <w:sz w:val="24"/>
                <w:szCs w:val="24"/>
              </w:rPr>
              <w:t>期间，影响是短期的，并随着施工结束而消失；同时，施工期间设备的安装、调试在房间内进行，可以采取建筑隔声等措施来控制对环境的影响，对周边声环境影响很小。施工扬尘主要来源于内部围堰建设，工程量相对较小，扬尘的产生量也相对较小；此外</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本项目施工均在室内进行，所租赁的房屋室内门窗均已安装完毕，项目施工过程中落实关闭门窗、地面经常性洒水等措施后，不会对周边大气环境造成明显影响。施工垃圾主要为装修建筑垃圾、施工人员生活垃圾，建筑垃圾集中收集后及时清运到当地</w:t>
            </w:r>
            <w:r>
              <w:rPr>
                <w:rFonts w:hint="eastAsia" w:cs="Times New Roman"/>
                <w:color w:val="auto"/>
                <w:sz w:val="24"/>
                <w:szCs w:val="24"/>
                <w:lang w:val="en-US" w:eastAsia="zh-CN"/>
              </w:rPr>
              <w:t>城市</w:t>
            </w:r>
            <w:r>
              <w:rPr>
                <w:rFonts w:hint="default" w:ascii="Times New Roman" w:hAnsi="Times New Roman" w:eastAsia="宋体" w:cs="Times New Roman"/>
                <w:color w:val="auto"/>
                <w:sz w:val="24"/>
                <w:szCs w:val="24"/>
              </w:rPr>
              <w:t>管理部门指定的建筑废渣专用堆放场堆放，应使用按规定配装密闭装置的车辆运输，避免固体废物对环境造成不利影响；施工期生活垃圾分类收集后交</w:t>
            </w:r>
            <w:r>
              <w:rPr>
                <w:rFonts w:hint="eastAsia" w:cs="Times New Roman"/>
                <w:color w:val="auto"/>
                <w:sz w:val="24"/>
                <w:szCs w:val="24"/>
                <w:lang w:val="en-US" w:eastAsia="zh-CN"/>
              </w:rPr>
              <w:t>环卫部门</w:t>
            </w:r>
            <w:r>
              <w:rPr>
                <w:rFonts w:hint="default" w:ascii="Times New Roman" w:hAnsi="Times New Roman" w:eastAsia="宋体" w:cs="Times New Roman"/>
                <w:color w:val="auto"/>
                <w:sz w:val="24"/>
                <w:szCs w:val="24"/>
              </w:rPr>
              <w:t>清运处理。施工人员产生的生活污水依托现有的</w:t>
            </w:r>
            <w:r>
              <w:rPr>
                <w:rFonts w:hint="eastAsia" w:cs="Times New Roman"/>
                <w:color w:val="auto"/>
                <w:sz w:val="24"/>
                <w:szCs w:val="24"/>
                <w:lang w:val="en-US" w:eastAsia="zh-CN"/>
              </w:rPr>
              <w:t>预处理池收集处理后</w:t>
            </w:r>
            <w:r>
              <w:rPr>
                <w:rFonts w:hint="default" w:ascii="Times New Roman" w:hAnsi="Times New Roman" w:eastAsia="宋体" w:cs="Times New Roman"/>
                <w:color w:val="auto"/>
                <w:sz w:val="24"/>
                <w:szCs w:val="24"/>
              </w:rPr>
              <w:t>排入市政污水管网，最终排入</w:t>
            </w:r>
            <w:r>
              <w:rPr>
                <w:rFonts w:hint="eastAsia" w:cs="Times New Roman"/>
                <w:color w:val="auto"/>
                <w:sz w:val="24"/>
                <w:szCs w:val="24"/>
                <w:lang w:eastAsia="zh-CN"/>
              </w:rPr>
              <w:t>安居区龙眼井污水处理厂</w:t>
            </w:r>
            <w:r>
              <w:rPr>
                <w:rFonts w:hint="default" w:ascii="Times New Roman" w:hAnsi="Times New Roman" w:eastAsia="宋体" w:cs="Times New Roman"/>
                <w:color w:val="auto"/>
                <w:sz w:val="24"/>
                <w:szCs w:val="24"/>
              </w:rPr>
              <w:t>进行处理。由于施工期污染物排放量均很少，时间</w:t>
            </w:r>
            <w:r>
              <w:rPr>
                <w:rFonts w:hint="eastAsia" w:cs="Times New Roman"/>
                <w:color w:val="auto"/>
                <w:sz w:val="24"/>
                <w:szCs w:val="24"/>
                <w:lang w:val="en-US" w:eastAsia="zh-CN"/>
              </w:rPr>
              <w:t>较</w:t>
            </w:r>
            <w:r>
              <w:rPr>
                <w:rFonts w:hint="default" w:ascii="Times New Roman" w:hAnsi="Times New Roman" w:eastAsia="宋体" w:cs="Times New Roman"/>
                <w:color w:val="auto"/>
                <w:sz w:val="24"/>
                <w:szCs w:val="24"/>
              </w:rPr>
              <w:t>短，不会对环境产生显著影响。因此，本报告不再对施工期环境影响进行进一步评价</w:t>
            </w:r>
            <w:r>
              <w:rPr>
                <w:rFonts w:hint="eastAsia" w:cs="Times New Roman"/>
                <w:color w:val="auto"/>
                <w:sz w:val="24"/>
                <w:szCs w:val="24"/>
                <w:lang w:eastAsia="zh-CN"/>
              </w:rPr>
              <w:t>。</w:t>
            </w:r>
          </w:p>
          <w:p w14:paraId="444E605C">
            <w:pPr>
              <w:numPr>
                <w:ilvl w:val="0"/>
                <w:numId w:val="0"/>
              </w:numPr>
              <w:spacing w:line="360" w:lineRule="auto"/>
              <w:ind w:firstLine="480" w:firstLineChars="200"/>
              <w:jc w:val="both"/>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施工期工艺流程及污染物产生点位见下图2-</w:t>
            </w:r>
            <w:r>
              <w:rPr>
                <w:rFonts w:hint="eastAsia" w:cs="Times New Roman"/>
                <w:color w:val="auto"/>
                <w:sz w:val="24"/>
                <w:szCs w:val="24"/>
                <w:lang w:val="en-US" w:eastAsia="zh-CN"/>
              </w:rPr>
              <w:t>2</w:t>
            </w:r>
            <w:r>
              <w:rPr>
                <w:rFonts w:hint="default" w:ascii="Times New Roman" w:hAnsi="Times New Roman" w:eastAsia="宋体" w:cs="Times New Roman"/>
                <w:color w:val="auto"/>
                <w:sz w:val="24"/>
                <w:szCs w:val="24"/>
              </w:rPr>
              <w:t>。</w:t>
            </w:r>
          </w:p>
          <w:p w14:paraId="761156D0">
            <w:pPr>
              <w:numPr>
                <w:ilvl w:val="0"/>
                <w:numId w:val="0"/>
              </w:numPr>
              <w:spacing w:line="360" w:lineRule="auto"/>
              <w:jc w:val="both"/>
              <w:rPr>
                <w:rFonts w:hint="default" w:ascii="Times New Roman" w:hAnsi="Times New Roman" w:eastAsia="宋体" w:cs="Times New Roman"/>
                <w:color w:val="auto"/>
                <w:sz w:val="24"/>
                <w:szCs w:val="24"/>
              </w:rPr>
            </w:pPr>
            <w:r>
              <w:rPr>
                <w:sz w:val="21"/>
              </w:rPr>
              <mc:AlternateContent>
                <mc:Choice Requires="wpg">
                  <w:drawing>
                    <wp:anchor distT="0" distB="0" distL="114300" distR="114300" simplePos="0" relativeHeight="251663360" behindDoc="0" locked="0" layoutInCell="1" allowOverlap="1">
                      <wp:simplePos x="0" y="0"/>
                      <wp:positionH relativeFrom="column">
                        <wp:posOffset>619760</wp:posOffset>
                      </wp:positionH>
                      <wp:positionV relativeFrom="paragraph">
                        <wp:posOffset>91440</wp:posOffset>
                      </wp:positionV>
                      <wp:extent cx="4127500" cy="1924685"/>
                      <wp:effectExtent l="0" t="0" r="6350" b="18415"/>
                      <wp:wrapNone/>
                      <wp:docPr id="82" name="组合 82"/>
                      <wp:cNvGraphicFramePr/>
                      <a:graphic xmlns:a="http://schemas.openxmlformats.org/drawingml/2006/main">
                        <a:graphicData uri="http://schemas.microsoft.com/office/word/2010/wordprocessingGroup">
                          <wpg:wgp>
                            <wpg:cNvGrpSpPr/>
                            <wpg:grpSpPr>
                              <a:xfrm>
                                <a:off x="0" y="0"/>
                                <a:ext cx="4127500" cy="1924685"/>
                                <a:chOff x="3122" y="5344"/>
                                <a:chExt cx="6500" cy="3031"/>
                              </a:xfrm>
                            </wpg:grpSpPr>
                            <wps:wsp>
                              <wps:cNvPr id="63" name="直接箭头连接符 30"/>
                              <wps:cNvCnPr/>
                              <wps:spPr>
                                <a:xfrm flipV="1">
                                  <a:off x="7254" y="6522"/>
                                  <a:ext cx="5" cy="298"/>
                                </a:xfrm>
                                <a:prstGeom prst="straightConnector1">
                                  <a:avLst/>
                                </a:prstGeom>
                                <a:ln>
                                  <a:solidFill>
                                    <a:schemeClr val="tx1"/>
                                  </a:solidFill>
                                  <a:headEnd type="none"/>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62" name="文本框 19"/>
                              <wps:cNvSpPr txBox="1"/>
                              <wps:spPr>
                                <a:xfrm>
                                  <a:off x="4262" y="7575"/>
                                  <a:ext cx="2622" cy="800"/>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14:paraId="69E88147">
                                    <w:pPr>
                                      <w:rPr>
                                        <w:rFonts w:hint="eastAsia"/>
                                      </w:rPr>
                                    </w:pPr>
                                    <w:r>
                                      <w:rPr>
                                        <w:rFonts w:hint="eastAsia"/>
                                      </w:rPr>
                                      <w:t>生活污水、施工噪声、生活垃圾、废包装材料</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60" name="文本框 20"/>
                              <wps:cNvSpPr txBox="1"/>
                              <wps:spPr>
                                <a:xfrm>
                                  <a:off x="3122" y="5344"/>
                                  <a:ext cx="2539" cy="1170"/>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14:paraId="4EE44A26">
                                    <w:pPr>
                                      <w:jc w:val="left"/>
                                    </w:pPr>
                                    <w:r>
                                      <w:rPr>
                                        <w:rFonts w:hint="eastAsia"/>
                                      </w:rPr>
                                      <w:t>施工扬尘、生活污水、施工噪声、生活垃圾、建筑垃圾</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59" name="文本框 22"/>
                              <wps:cNvSpPr txBox="1"/>
                              <wps:spPr>
                                <a:xfrm>
                                  <a:off x="4964" y="6812"/>
                                  <a:ext cx="1216" cy="429"/>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08824EB2">
                                    <w:pPr>
                                      <w:jc w:val="center"/>
                                      <w:rPr>
                                        <w:rFonts w:hint="eastAsia"/>
                                      </w:rPr>
                                    </w:pPr>
                                    <w:r>
                                      <w:rPr>
                                        <w:rFonts w:hint="eastAsia"/>
                                      </w:rPr>
                                      <w:t>设备安装</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58" name="文本框 23"/>
                              <wps:cNvSpPr txBox="1"/>
                              <wps:spPr>
                                <a:xfrm>
                                  <a:off x="6646" y="6820"/>
                                  <a:ext cx="1216" cy="429"/>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325F06DF">
                                    <w:pPr>
                                      <w:jc w:val="center"/>
                                      <w:rPr>
                                        <w:rFonts w:hint="eastAsia"/>
                                      </w:rPr>
                                    </w:pPr>
                                    <w:r>
                                      <w:rPr>
                                        <w:rFonts w:hint="eastAsia"/>
                                      </w:rPr>
                                      <w:t>设备调试</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57" name="文本框 24"/>
                              <wps:cNvSpPr txBox="1"/>
                              <wps:spPr>
                                <a:xfrm>
                                  <a:off x="8406" y="6825"/>
                                  <a:ext cx="1216" cy="429"/>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0083D75D">
                                    <w:pPr>
                                      <w:jc w:val="center"/>
                                      <w:rPr>
                                        <w:rFonts w:hint="eastAsia"/>
                                      </w:rPr>
                                    </w:pPr>
                                    <w:r>
                                      <w:rPr>
                                        <w:rFonts w:hint="eastAsia"/>
                                      </w:rPr>
                                      <w:t>工程验收</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56" name="直接箭头连接符 27"/>
                              <wps:cNvCnPr/>
                              <wps:spPr>
                                <a:xfrm>
                                  <a:off x="7862" y="7035"/>
                                  <a:ext cx="544" cy="5"/>
                                </a:xfrm>
                                <a:prstGeom prst="straightConnector1">
                                  <a:avLst/>
                                </a:prstGeom>
                                <a:ln>
                                  <a:solidFill>
                                    <a:schemeClr val="tx1"/>
                                  </a:solidFill>
                                  <a:headEnd type="none"/>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83" name="直接箭头连接符 26"/>
                              <wps:cNvCnPr>
                                <a:stCxn id="59" idx="2"/>
                                <a:endCxn id="62" idx="0"/>
                              </wps:cNvCnPr>
                              <wps:spPr>
                                <a:xfrm>
                                  <a:off x="5572" y="7241"/>
                                  <a:ext cx="1" cy="334"/>
                                </a:xfrm>
                                <a:prstGeom prst="straightConnector1">
                                  <a:avLst/>
                                </a:prstGeom>
                                <a:ln>
                                  <a:solidFill>
                                    <a:schemeClr val="tx1"/>
                                  </a:solidFill>
                                  <a:headEnd type="none"/>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55" name="直接箭头连接符 26"/>
                              <wps:cNvCnPr/>
                              <wps:spPr>
                                <a:xfrm>
                                  <a:off x="6180" y="7027"/>
                                  <a:ext cx="466" cy="8"/>
                                </a:xfrm>
                                <a:prstGeom prst="straightConnector1">
                                  <a:avLst/>
                                </a:prstGeom>
                                <a:ln>
                                  <a:solidFill>
                                    <a:schemeClr val="tx1"/>
                                  </a:solidFill>
                                  <a:headEnd type="none"/>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54" name="直接箭头连接符 28"/>
                              <wps:cNvCnPr/>
                              <wps:spPr>
                                <a:xfrm flipH="1" flipV="1">
                                  <a:off x="3749" y="6522"/>
                                  <a:ext cx="7" cy="284"/>
                                </a:xfrm>
                                <a:prstGeom prst="straightConnector1">
                                  <a:avLst/>
                                </a:prstGeom>
                                <a:ln>
                                  <a:solidFill>
                                    <a:schemeClr val="tx1"/>
                                  </a:solidFill>
                                  <a:headEnd type="none"/>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53" name="直接箭头连接符 25"/>
                              <wps:cNvCnPr/>
                              <wps:spPr>
                                <a:xfrm>
                                  <a:off x="4364" y="7021"/>
                                  <a:ext cx="600" cy="6"/>
                                </a:xfrm>
                                <a:prstGeom prst="straightConnector1">
                                  <a:avLst/>
                                </a:prstGeom>
                                <a:ln>
                                  <a:solidFill>
                                    <a:schemeClr val="tx1"/>
                                  </a:solidFill>
                                  <a:headEnd type="none"/>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52" name="文本框 18"/>
                              <wps:cNvSpPr txBox="1"/>
                              <wps:spPr>
                                <a:xfrm>
                                  <a:off x="3148" y="6806"/>
                                  <a:ext cx="1216" cy="429"/>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A707460">
                                    <w:pPr>
                                      <w:jc w:val="center"/>
                                      <w:rPr>
                                        <w:rFonts w:hint="eastAsia"/>
                                      </w:rPr>
                                    </w:pPr>
                                    <w:r>
                                      <w:rPr>
                                        <w:rFonts w:hint="eastAsia"/>
                                      </w:rPr>
                                      <w:t>厂房改造</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64" name="文本框 21"/>
                              <wps:cNvSpPr txBox="1"/>
                              <wps:spPr>
                                <a:xfrm>
                                  <a:off x="6375" y="5710"/>
                                  <a:ext cx="1768" cy="812"/>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14:paraId="761E3FF3">
                                    <w:pPr>
                                      <w:rPr>
                                        <w:rFonts w:hint="eastAsia"/>
                                      </w:rPr>
                                    </w:pPr>
                                    <w:r>
                                      <w:rPr>
                                        <w:rFonts w:hint="eastAsia"/>
                                      </w:rPr>
                                      <w:t>生活污水、调试噪声、生活垃圾</w:t>
                                    </w:r>
                                  </w:p>
                                </w:txbxContent>
                              </wps:txbx>
                              <wps:bodyPr rot="0" spcFirstLastPara="0" vertOverflow="overflow" horzOverflow="overflow" vert="horz" wrap="square" lIns="91440" tIns="45720" rIns="91440" bIns="45720" numCol="1" spcCol="0" rtlCol="0" fromWordArt="0" anchor="t" anchorCtr="0" forceAA="0" compatLnSpc="1">
                                <a:noAutofit/>
                              </wps:bodyPr>
                            </wps:wsp>
                          </wpg:wgp>
                        </a:graphicData>
                      </a:graphic>
                    </wp:anchor>
                  </w:drawing>
                </mc:Choice>
                <mc:Fallback>
                  <w:pict>
                    <v:group id="_x0000_s1026" o:spid="_x0000_s1026" o:spt="203" style="position:absolute;left:0pt;margin-left:48.8pt;margin-top:7.2pt;height:151.55pt;width:325pt;z-index:251663360;mso-width-relative:page;mso-height-relative:page;" coordorigin="3122,5344" coordsize="6500,3031" o:gfxdata="UEsDBAoAAAAAAIdO4kAAAAAAAAAAAAAAAAAEAAAAZHJzL1BLAwQUAAAACACHTuJAdmLckdkAAAAJ&#10;AQAADwAAAGRycy9kb3ducmV2LnhtbE2PQU/CQBCF7yb+h82YeJPtSqFYuyWGqCdCIpgYbkM7tA3d&#10;3aa7tPDvHU56nPde3nwvW15MKwbqfeOsBjWJQJAtXNnYSsP37uNpAcIHtCW2zpKGK3lY5vd3Gaal&#10;G+0XDdtQCS6xPkUNdQhdKqUvajLoJ64jy97R9QYDn30lyx5HLjetfI6iuTTYWP5QY0ermorT9mw0&#10;fI44vk3V+7A+HVfX/W62+Vkr0vrxQUWvIAJdwl8YbviMDjkzHdzZll60Gl6SOSdZj2MQ7CfxTTho&#10;mKpkBjLP5P8F+S9QSwMEFAAAAAgAh07iQOh6wIaDBQAAkyMAAA4AAABkcnMvZTJvRG9jLnhtbO2a&#10;TW/jRBjH70h8B8t3mvjdiZquSrpdkCq2Unk5T/wWC3vGzEyalDMCTogTFxASEnBaOO2NA59mu3wM&#10;nnmx4zhpty0i2kruIR3P2PPyzG/+88xjHz5ZlYVxmVCWEzwxrYOhaSQ4InGOs4n5ycen74WmwTjC&#10;MSoITibmVcLMJ0fvvnO4rMaJTeakiBNqQCWYjZfVxJxzXo0HAxbNkxKxA1IlGApTQkvE4ZJmg5ii&#10;JdReFgN7OPQHS0LjipIoYQxyT1ShqWukd6mQpGkeJSckWpQJ5qpWmhSIw5DYPK+YeSR7m6ZJxJ+n&#10;KUu4UUxMGCmXv9AIpGfid3B0iMYZRdU8j3QX0F260BlTiXIMjTZVnSCOjAXNt6oq84gSRlJ+EJFy&#10;oAYiLQKjsIYd2zyjZFHJsWTjZVY1RoeJ6lj9wdVGH12eUyOPJ2ZomwZGJcz467++evX9twZkgHWW&#10;VTaGm57R6qI6pzojU1diwKuUluI/DMVYSbteNXZNVtyIINO17MAbgskjKLNGtuuHnrJ8NIfpEc85&#10;lg3tQ7HnuG5d9lQ/7zcPO0PHEqWDuuGB6F/TnWUFTLK1odh/M9TFHFWJtD8TNtCG8p3GUD++vP7u&#10;t9d//vHq15f//P2zSL/43XAkVaIr8MwUa6OxMQP71RYz0iKvPgVjSGi07QLbc6UNfA+MIcmsLegp&#10;29mjcGP0aFxRxp8lpDREYmIyTlGezfmUYAzsE6oaQJdnjCuz1Q+InmBymheFbKjAxnJijjxbtIRg&#10;WaewnCBZVoAGw5lpoCIDvYg4lV1mpMhj8bSoh9FsNi2ocYnEKpN/upsbt4mmTxCbq/tkkRrlPEHx&#10;Uxwb/KoC/DDIjsrnKC/W+ZzmCGdFYoqelklsGkUCPRIpNbQCAxjC7srSIjUj8ZWcAJkPaAig98FI&#10;s5iuf/jm+qcX1798bVgj0U/NhVhMBl+9T4B9SfS63zXazZpybV+tjcAL9LqpuYASKBLLKoT1pcxQ&#10;r8h6pjUaFHiQU3cDDBtTtTGjp/JP175xm6LGd7yhrLnhCZbnjsngq9lKW0DNi0GJEmRWRac50HGG&#10;GD9HFBQYxAL2KP4cftKCwIQTnTKNOaFf7soX98N6h1IgBBQduP1igSjwUnyIQQlGluuKLUBeuF5g&#10;wwVtl8zaJXhRTgngbMFuWEUyKe7nRZ1MKSk/g63sWLQKRQhH0PbEhFWjklOu9hnYCqPk+FjeBKJf&#10;IX6GL6qoXvyYHC84SXO5PtfMapT3iCyMQen/Glkw0cOQ3SHnDbKeM1LIWlbQM9szeydXaPdW7AFJ&#10;W8xqt0Vuv/eS2ZGvt9/Q6my/lm35ilnXlire+B9bO/AeZHZDgoXKN3vvrEDR59tC3csxKPMjk2MP&#10;jmFbaDsPlGPfd4Ff8BL8UEk6Gtdy3KPdexp7do69YAfa8tD3AOc4dIcN2h3nuEe7R3vfaAOLOoiy&#10;MzZgBy0FvyE20IqmBGF98hs6Hbg9CJPIg5/Mv9kf6SMC65P1+nQlTsrian/Hq/ANUSPb75AhAyt8&#10;usIyOic83TyGYEHtmeK4LhKIyCJ1mNIaKuBS0YZ23KnFlgcnYOkTBLYrIxAtn0CR5ThSlHu23vZo&#10;kwdBu1tVp8uWPtTfQIZvhRALAG8xGCq9WpPh+voc1MchH0UcUgSUbyVDzmNLMnaQIWPVH8hI2K6o&#10;tRO4oE3ibLEVtQY/T4Qm7bDXkcdBy5v2KOlr3E5La4dxHR1QAR3p7DB+/TZIKlO/w7z1Owy4Ct1o&#10;hNXWjvsE2hzLheCGjEbA2Q0UZ72/9Ee2/si2Z8dcaFQXbSVXWujug7bvwBs6gbYXWNIdb6Ed+EC9&#10;fFWnwss3q94eYsj9q7r/51UdwCu/1ZCfKOjvSsTHIO1refZcf0tz9C9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D1BwAAW0NvbnRlbnRfVHlwZXNd&#10;LnhtbFBLAQIUAAoAAAAAAIdO4kAAAAAAAAAAAAAAAAAGAAAAAAAAAAAAEAAAANcGAABfcmVscy9Q&#10;SwECFAAUAAAACACHTuJAihRmPNEAAACUAQAACwAAAAAAAAABACAAAAD7BgAAX3JlbHMvLnJlbHNQ&#10;SwECFAAKAAAAAACHTuJAAAAAAAAAAAAAAAAABAAAAAAAAAAAABAAAAAAAAAAZHJzL1BLAQIUABQA&#10;AAAIAIdO4kB2YtyR2QAAAAkBAAAPAAAAAAAAAAEAIAAAACIAAABkcnMvZG93bnJldi54bWxQSwEC&#10;FAAUAAAACACHTuJA6HrAhoMFAACTIwAADgAAAAAAAAABACAAAAAoAQAAZHJzL2Uyb0RvYy54bWxQ&#10;SwUGAAAAAAYABgBZAQAAHQkAAAAA&#10;">
                      <o:lock v:ext="edit" aspectratio="f"/>
                      <v:shape id="直接箭头连接符 30" o:spid="_x0000_s1026" o:spt="32" type="#_x0000_t32" style="position:absolute;left:7254;top:6522;flip:y;height:298;width:5;" filled="f" stroked="t" coordsize="21600,21600" o:gfxdata="UEsDBAoAAAAAAIdO4kAAAAAAAAAAAAAAAAAEAAAAZHJzL1BLAwQUAAAACACHTuJAIylRXr8AAADb&#10;AAAADwAAAGRycy9kb3ducmV2LnhtbEWPQWvCQBSE70L/w/IKvUjdxNIQomsOrbZeijRN74/sMwlm&#10;34bsqsm/dwsFj8PMfMOs89F04kKDay0riBcRCOLK6pZrBeXP7jkF4Tyyxs4yKZjIQb55mK0x0/bK&#10;33QpfC0ChF2GChrv+0xKVzVk0C1sTxy8ox0M+iCHWuoBrwFuOrmMokQabDksNNjTW0PVqTgbBe/F&#10;4XX3Oy/H5VR9fhUf6enA01app8c4WoHwNPp7+L+91wqSF/j7En6A3Nw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MpUV6/&#10;AAAA2wAAAA8AAAAAAAAAAQAgAAAAIgAAAGRycy9kb3ducmV2LnhtbFBLAQIUABQAAAAIAIdO4kAz&#10;LwWeOwAAADkAAAAQAAAAAAAAAAEAIAAAAA4BAABkcnMvc2hhcGV4bWwueG1sUEsFBgAAAAAGAAYA&#10;WwEAALgDAAAAAA==&#10;">
                        <v:fill on="f" focussize="0,0"/>
                        <v:stroke color="#000000 [3213]" joinstyle="round" endarrow="block"/>
                        <v:imagedata o:title=""/>
                        <o:lock v:ext="edit" aspectratio="f"/>
                      </v:shape>
                      <v:shape id="文本框 19" o:spid="_x0000_s1026" o:spt="202" type="#_x0000_t202" style="position:absolute;left:4262;top:7575;height:800;width:2622;" fillcolor="#FFFFFF [3201]" filled="t" stroked="f" coordsize="21600,21600" o:gfxdata="UEsDBAoAAAAAAIdO4kAAAAAAAAAAAAAAAAAEAAAAZHJzL1BLAwQUAAAACACHTuJAvCjiJ7YAAADb&#10;AAAADwAAAGRycy9kb3ducmV2LnhtbEWPSwvCMBCE74L/IazgTdOKiFSjB0HwJPg8L83aFJtNSeLz&#10;1xtB8DjMzDfMfPm0jbiTD7VjBfkwA0FcOl1zpeB4WA+mIEJE1tg4JgUvCrBcdDtzLLR78I7u+1iJ&#10;BOFQoAITY1tIGUpDFsPQtcTJuzhvMSbpK6k9PhLcNnKUZRNpsea0YLCllaHyur9ZBefKvs+nvPVG&#10;22bM2/frcHS1Uv1ens1ARHrGf/jX3mgFkxF8v6QfIBcfUEsDBBQAAAAIAIdO4kAzLwWeOwAAADkA&#10;AAAQAAAAZHJzL3NoYXBleG1sLnhtbLOxr8jNUShLLSrOzM+zVTLUM1BSSM1Lzk/JzEu3VQoNcdO1&#10;UFIoLknMS0nMyc9LtVWqTC1Wsrfj5QIAUEsDBAoAAAAAAIdO4kAAAAAAAAAAAAAAAAAGAAAAX3Jl&#10;bHMvUEsDBBQAAAAIAIdO4kDVXCYozAAAAI8BAAALAAAAX3JlbHMvLnJlbHOlkLFqAzEMhvdA38Fo&#10;7/mSoZQQX7ZC1pBCV2Hr7kzOlrHMNXn7uJRCL2TLoEG/0PcJ7faXMKmZsniOBtZNC4qiZefjYODz&#10;9PH6DkoKRocTRzJwJYF997LaHWnCUpdk9ElUpUQxMJaStlqLHSmgNJwo1knPOWCpbR50QnvGgfSm&#10;bd90/s+AbsFUB2cgH9wG1OmaqvmOHbzNLNyXxnLQ3PfePqJqGTHRV5gqBvNAxYDL8pvW05paoB+b&#10;10+aHX/HI81L8U+Yaf7z6sUbuxtQSwMEFAAAAAgAh07iQFrjEWb3AAAA4gEAABMAAABbQ29udGVu&#10;dF9UeXBlc10ueG1slZFNT8QgEIbvJv4HMlfTUj0YY0r3YPWoRtcfMIFpS7YFwmDd/ffS/bgY18Qj&#10;zLzP+wTq1XYaxUyRrXcKrssKBDntjXW9go/1U3EHghM6g6N3pGBHDKvm8qJe7wKxyGnHCoaUwr2U&#10;rAeakEsfyOVJ5+OEKR9jLwPqDfYkb6rqVmrvErlUpIUBTd1Sh59jEo/bfH0wiTQyiIfD4tKlAEMY&#10;rcaUTeXszI+W4thQ5uR+hwcb+CprgPy1YZmcLzjmXvLTRGtIvGJMzzhlDWkiS+O/XKS5/BuyWE5c&#10;+K6zmso2cptjbzSfrM7RecBAGf1f/PuSO8Hl/oeab1BLAQIUABQAAAAIAIdO4kBa4xFm9wAAAOIB&#10;AAATAAAAAAAAAAEAIAAAAIcCAABbQ29udGVudF9UeXBlc10ueG1sUEsBAhQACgAAAAAAh07iQAAA&#10;AAAAAAAAAAAAAAYAAAAAAAAAAAAQAAAAbgEAAF9yZWxzL1BLAQIUABQAAAAIAIdO4kDVXCYozAAA&#10;AI8BAAALAAAAAAAAAAEAIAAAAJIBAABfcmVscy8ucmVsc1BLAQIUAAoAAAAAAIdO4kAAAAAAAAAA&#10;AAAAAAAEAAAAAAAAAAAAEAAAAAAAAABkcnMvUEsBAhQAFAAAAAgAh07iQLwo4ie2AAAA2wAAAA8A&#10;AAAAAAAAAQAgAAAAIgAAAGRycy9kb3ducmV2LnhtbFBLAQIUABQAAAAIAIdO4kAzLwWeOwAAADkA&#10;AAAQAAAAAAAAAAEAIAAAAAUBAABkcnMvc2hhcGV4bWwueG1sUEsFBgAAAAAGAAYAWwEAAK8DAAAA&#10;AA==&#10;">
                        <v:fill on="t" focussize="0,0"/>
                        <v:stroke on="f" weight="0.5pt"/>
                        <v:imagedata o:title=""/>
                        <o:lock v:ext="edit" aspectratio="f"/>
                        <v:textbox>
                          <w:txbxContent>
                            <w:p w14:paraId="69E88147">
                              <w:pPr>
                                <w:rPr>
                                  <w:rFonts w:hint="eastAsia"/>
                                </w:rPr>
                              </w:pPr>
                              <w:r>
                                <w:rPr>
                                  <w:rFonts w:hint="eastAsia"/>
                                </w:rPr>
                                <w:t>生活污水、施工噪声、生活垃圾、废包装材料</w:t>
                              </w:r>
                            </w:p>
                          </w:txbxContent>
                        </v:textbox>
                      </v:shape>
                      <v:shape id="文本框 20" o:spid="_x0000_s1026" o:spt="202" type="#_x0000_t202" style="position:absolute;left:3122;top:5344;height:1170;width:2539;" fillcolor="#FFFFFF [3201]" filled="t" stroked="f" coordsize="21600,21600" o:gfxdata="UEsDBAoAAAAAAIdO4kAAAAAAAAAAAAAAAAAEAAAAZHJzL1BLAwQUAAAACACHTuJAI7bZy7MAAADb&#10;AAAADwAAAGRycy9kb3ducmV2LnhtbEVPyQrCMBC9C/5DGMGbTSsiUo0eBMGT4HoemrEpNpOSxPXr&#10;zUHw+Hj7YvWyrXiQD41jBUWWgyCunG64VnA6bkYzECEia2wdk4I3BVgt+70Flto9eU+PQ6xFCuFQ&#10;ogITY1dKGSpDFkPmOuLEXZ23GBP0tdQenynctnKc51NpseHUYLCjtaHqdrhbBZfafi7novNG23bC&#10;u8/7eHKNUsNBkc9BRHrFv/jn3moF07Q+fUk/QC6/UEsDBBQAAAAIAIdO4kAzLwWeOwAAADkAAAAQ&#10;AAAAZHJzL3NoYXBleG1sLnhtbLOxr8jNUShLLSrOzM+zVTLUM1BSSM1Lzk/JzEu3VQoNcdO1UFIo&#10;LknMS0nMyc9LtVWqTC1Wsrfj5QIAUEsDBAoAAAAAAIdO4kAAAAAAAAAAAAAAAAAGAAAAX3JlbHMv&#10;UEsDBBQAAAAIAIdO4kDVXCYozAAAAI8BAAALAAAAX3JlbHMvLnJlbHOlkLFqAzEMhvdA38Fo7/mS&#10;oZQQX7ZC1pBCV2Hr7kzOlrHMNXn7uJRCL2TLoEG/0PcJ7faXMKmZsniOBtZNC4qiZefjYODz9PH6&#10;DkoKRocTRzJwJYF997LaHWnCUpdk9ElUpUQxMJaStlqLHSmgNJwo1knPOWCpbR50QnvGgfSmbd90&#10;/s+AbsFUB2cgH9wG1OmaqvmOHbzNLNyXxnLQ3PfePqJqGTHRV5gqBvNAxYDL8pvW05paoB+b10+a&#10;HX/HI81L8U+Yaf7z6sUbuxtQSwMEFAAAAAgAh07iQFrjEWb3AAAA4gEAABMAAABbQ29udGVudF9U&#10;eXBlc10ueG1slZFNT8QgEIbvJv4HMlfTUj0YY0r3YPWoRtcfMIFpS7YFwmDd/ffS/bgY18QjzLzP&#10;+wTq1XYaxUyRrXcKrssKBDntjXW9go/1U3EHghM6g6N3pGBHDKvm8qJe7wKxyGnHCoaUwr2UrAea&#10;kEsfyOVJ5+OEKR9jLwPqDfYkb6rqVmrvErlUpIUBTd1Sh59jEo/bfH0wiTQyiIfD4tKlAEMYrcaU&#10;TeXszI+W4thQ5uR+hwcb+CprgPy1YZmcLzjmXvLTRGtIvGJMzzhlDWkiS+O/XKS5/BuyWE5c+K6z&#10;mso2cptjbzSfrM7RecBAGf1f/PuSO8Hl/oeab1BLAQIUABQAAAAIAIdO4kBa4xFm9wAAAOIBAAAT&#10;AAAAAAAAAAEAIAAAAIQCAABbQ29udGVudF9UeXBlc10ueG1sUEsBAhQACgAAAAAAh07iQAAAAAAA&#10;AAAAAAAAAAYAAAAAAAAAAAAQAAAAawEAAF9yZWxzL1BLAQIUABQAAAAIAIdO4kDVXCYozAAAAI8B&#10;AAALAAAAAAAAAAEAIAAAAI8BAABfcmVscy8ucmVsc1BLAQIUAAoAAAAAAIdO4kAAAAAAAAAAAAAA&#10;AAAEAAAAAAAAAAAAEAAAAAAAAABkcnMvUEsBAhQAFAAAAAgAh07iQCO22cuzAAAA2wAAAA8AAAAA&#10;AAAAAQAgAAAAIgAAAGRycy9kb3ducmV2LnhtbFBLAQIUABQAAAAIAIdO4kAzLwWeOwAAADkAAAAQ&#10;AAAAAAAAAAEAIAAAAAIBAABkcnMvc2hhcGV4bWwueG1sUEsFBgAAAAAGAAYAWwEAAKwDAAAAAA==&#10;">
                        <v:fill on="t" focussize="0,0"/>
                        <v:stroke on="f" weight="0.5pt"/>
                        <v:imagedata o:title=""/>
                        <o:lock v:ext="edit" aspectratio="f"/>
                        <v:textbox>
                          <w:txbxContent>
                            <w:p w14:paraId="4EE44A26">
                              <w:pPr>
                                <w:jc w:val="left"/>
                              </w:pPr>
                              <w:r>
                                <w:rPr>
                                  <w:rFonts w:hint="eastAsia"/>
                                </w:rPr>
                                <w:t>施工扬尘、生活污水、施工噪声、生活垃圾、建筑垃圾</w:t>
                              </w:r>
                            </w:p>
                          </w:txbxContent>
                        </v:textbox>
                      </v:shape>
                      <v:shape id="文本框 22" o:spid="_x0000_s1026" o:spt="202" type="#_x0000_t202" style="position:absolute;left:4964;top:6812;height:429;width:1216;" fillcolor="#FFFFFF [3201]" filled="t" stroked="t" coordsize="21600,21600" o:gfxdata="UEsDBAoAAAAAAIdO4kAAAAAAAAAAAAAAAAAEAAAAZHJzL1BLAwQUAAAACACHTuJA+6SSe7cAAADb&#10;AAAADwAAAGRycy9kb3ducmV2LnhtbEWPwQrCMBBE74L/EFbwpqmKotUoKAjiTe3F29KsbbHZlCRa&#10;/XsjCB6HmXnDrDYvU4snOV9ZVjAaJiCIc6srLhRkl/1gDsIHZI21ZVLwJg+bdbezwlTblk/0PIdC&#10;RAj7FBWUITSplD4vyaAf2oY4ejfrDIYoXSG1wzbCTS3HSTKTBiuOCyU2tCspv58fRsFhtg1XyvRR&#10;T8YT22Yyd7faK9XvjZIliECv8A//2getYLqA75f4A+T6A1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D7pJJ7twAAANsAAAAP&#10;AAAAAAAAAAEAIAAAACIAAABkcnMvZG93bnJldi54bWxQSwECFAAUAAAACACHTuJAMy8FnjsAAAA5&#10;AAAAEAAAAAAAAAABACAAAAAGAQAAZHJzL3NoYXBleG1sLnhtbFBLBQYAAAAABgAGAFsBAACwAwAA&#10;AAA=&#10;">
                        <v:fill on="t" focussize="0,0"/>
                        <v:stroke weight="0.5pt" color="#000000 [3204]" joinstyle="round"/>
                        <v:imagedata o:title=""/>
                        <o:lock v:ext="edit" aspectratio="f"/>
                        <v:textbox>
                          <w:txbxContent>
                            <w:p w14:paraId="08824EB2">
                              <w:pPr>
                                <w:jc w:val="center"/>
                                <w:rPr>
                                  <w:rFonts w:hint="eastAsia"/>
                                </w:rPr>
                              </w:pPr>
                              <w:r>
                                <w:rPr>
                                  <w:rFonts w:hint="eastAsia"/>
                                </w:rPr>
                                <w:t>设备安装</w:t>
                              </w:r>
                            </w:p>
                          </w:txbxContent>
                        </v:textbox>
                      </v:shape>
                      <v:shape id="文本框 23" o:spid="_x0000_s1026" o:spt="202" type="#_x0000_t202" style="position:absolute;left:6646;top:6820;height:429;width:1216;" fillcolor="#FFFFFF [3201]" filled="t" stroked="t" coordsize="21600,21600" o:gfxdata="UEsDBAoAAAAAAIdO4kAAAAAAAAAAAAAAAAAEAAAAZHJzL1BLAwQUAAAACACHTuJAlOg34LQAAADb&#10;AAAADwAAAGRycy9kb3ducmV2LnhtbEVPvQrCMBDeBd8hnOCmqYoi1bSgIIib2sXtaM622FxKEq2+&#10;vRkEx4/vf5u/TSte5HxjWcFsmoAgLq1uuFJQXA+TNQgfkDW2lknBhzzk2XCwxVTbns/0uoRKxBD2&#10;KSqoQ+hSKX1Zk0E/tR1x5O7WGQwRukpqh30MN62cJ8lKGmw4NtTY0b6m8nF5GgXH1S7cqNAnvZgv&#10;bF/I0t1br9R4NEs2IAK9w1/8cx+1gmUcG7/EHyCzL1BLAwQUAAAACACHTuJAMy8FnjsAAAA5AAAA&#10;EAAAAGRycy9zaGFwZXhtbC54bWyzsa/IzVEoSy0qzszPs1Uy1DNQUkjNS85PycxLt1UKDXHTtVBS&#10;KC5JzEtJzMnPS7VVqkwtVrK34+UCAFBLAwQKAAAAAACHTuJAAAAAAAAAAAAAAAAABgAAAF9yZWxz&#10;L1BLAwQUAAAACACHTuJA1VwmKMwAAACPAQAACwAAAF9yZWxzLy5yZWxzpZCxagMxDIb3QN/BaO/5&#10;kqGUEF+2QtaQQldh6+5MzpaxzDV5+7iUQi9ky6BBv9D3Ce32lzCpmbJ4jgbWTQuKomXn42Dg8/Tx&#10;+g5KCkaHE0cycCWBffey2h1pwlKXZPRJVKVEMTCWkrZaix0poDScKNZJzzlgqW0edEJ7xoH0pm3f&#10;dP7PgG7BVAdnIB/cBtTpmqr5jh28zSzcl8Zy0Nz33j6iahkx0VeYKgbzQMWAy/Kb1tOaWqAfm9dP&#10;mh1/xyPNS/FPmGn+8+rFG7sbUEsDBBQAAAAIAIdO4kBa4xFm9wAAAOIBAAATAAAAW0NvbnRlbnRf&#10;VHlwZXNdLnhtbJWRTU/EIBCG7yb+BzJX01I9GGNK92D1qEbXHzCBaUu2BcJg3f330v24GNfEI8y8&#10;z/sE6tV2GsVMka13Cq7LCgQ57Y11vYKP9VNxB4ITOoOjd6RgRwyr5vKiXu8CschpxwqGlMK9lKwH&#10;mpBLH8jlSefjhCkfYy8D6g32JG+q6lZq7xK5VKSFAU3dUoefYxKP23x9MIk0MoiHw+LSpQBDGK3G&#10;lE3l7MyPluLYUObkfocHG/gqa4D8tWGZnC845l7y00RrSLxiTM84ZQ1pIkvjv1ykufwbslhOXPiu&#10;s5rKNnKbY280n6zO0XnAQBn9X/z7kjvB5f6Hmm9QSwECFAAUAAAACACHTuJAWuMRZvcAAADiAQAA&#10;EwAAAAAAAAABACAAAACFAgAAW0NvbnRlbnRfVHlwZXNdLnhtbFBLAQIUAAoAAAAAAIdO4kAAAAAA&#10;AAAAAAAAAAAGAAAAAAAAAAAAEAAAAGwBAABfcmVscy9QSwECFAAUAAAACACHTuJA1VwmKMwAAACP&#10;AQAACwAAAAAAAAABACAAAACQAQAAX3JlbHMvLnJlbHNQSwECFAAKAAAAAACHTuJAAAAAAAAAAAAA&#10;AAAABAAAAAAAAAAAABAAAAAAAAAAZHJzL1BLAQIUABQAAAAIAIdO4kCU6DfgtAAAANsAAAAPAAAA&#10;AAAAAAEAIAAAACIAAABkcnMvZG93bnJldi54bWxQSwECFAAUAAAACACHTuJAMy8FnjsAAAA5AAAA&#10;EAAAAAAAAAABACAAAAADAQAAZHJzL3NoYXBleG1sLnhtbFBLBQYAAAAABgAGAFsBAACtAwAAAAA=&#10;">
                        <v:fill on="t" focussize="0,0"/>
                        <v:stroke weight="0.5pt" color="#000000 [3204]" joinstyle="round"/>
                        <v:imagedata o:title=""/>
                        <o:lock v:ext="edit" aspectratio="f"/>
                        <v:textbox>
                          <w:txbxContent>
                            <w:p w14:paraId="325F06DF">
                              <w:pPr>
                                <w:jc w:val="center"/>
                                <w:rPr>
                                  <w:rFonts w:hint="eastAsia"/>
                                </w:rPr>
                              </w:pPr>
                              <w:r>
                                <w:rPr>
                                  <w:rFonts w:hint="eastAsia"/>
                                </w:rPr>
                                <w:t>设备调试</w:t>
                              </w:r>
                            </w:p>
                          </w:txbxContent>
                        </v:textbox>
                      </v:shape>
                      <v:shape id="文本框 24" o:spid="_x0000_s1026" o:spt="202" type="#_x0000_t202" style="position:absolute;left:8406;top:6825;height:429;width:1216;" fillcolor="#FFFFFF [3201]" filled="t" stroked="t" coordsize="21600,21600" o:gfxdata="UEsDBAoAAAAAAIdO4kAAAAAAAAAAAAAAAAAEAAAAZHJzL1BLAwQUAAAACACHTuJA5XejkrcAAADb&#10;AAAADwAAAGRycy9kb3ducmV2LnhtbEWPzQrCMBCE74LvEFbwpqmKP1SjoCCIN7UXb0uztsVmU5Jo&#10;9e2NIHgcZuYbZrV5mVo8yfnKsoLRMAFBnFtdcaEgu+wHCxA+IGusLZOCN3nYrLudFabatnyi5zkU&#10;IkLYp6igDKFJpfR5SQb90DbE0btZZzBE6QqpHbYRbmo5TpKZNFhxXCixoV1J+f38MAoOs224UqaP&#10;ejKe2DaTubvVXql+b5QsQQR6hX/41z5oBdM5fL/EHyDXH1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Dld6OStwAAANsAAAAP&#10;AAAAAAAAAAEAIAAAACIAAABkcnMvZG93bnJldi54bWxQSwECFAAUAAAACACHTuJAMy8FnjsAAAA5&#10;AAAAEAAAAAAAAAABACAAAAAGAQAAZHJzL3NoYXBleG1sLnhtbFBLBQYAAAAABgAGAFsBAACwAwAA&#10;AAA=&#10;">
                        <v:fill on="t" focussize="0,0"/>
                        <v:stroke weight="0.5pt" color="#000000 [3204]" joinstyle="round"/>
                        <v:imagedata o:title=""/>
                        <o:lock v:ext="edit" aspectratio="f"/>
                        <v:textbox>
                          <w:txbxContent>
                            <w:p w14:paraId="0083D75D">
                              <w:pPr>
                                <w:jc w:val="center"/>
                                <w:rPr>
                                  <w:rFonts w:hint="eastAsia"/>
                                </w:rPr>
                              </w:pPr>
                              <w:r>
                                <w:rPr>
                                  <w:rFonts w:hint="eastAsia"/>
                                </w:rPr>
                                <w:t>工程验收</w:t>
                              </w:r>
                            </w:p>
                          </w:txbxContent>
                        </v:textbox>
                      </v:shape>
                      <v:shape id="直接箭头连接符 27" o:spid="_x0000_s1026" o:spt="32" type="#_x0000_t32" style="position:absolute;left:7862;top:7035;height:5;width:544;" filled="f" stroked="t" coordsize="21600,21600" o:gfxdata="UEsDBAoAAAAAAIdO4kAAAAAAAAAAAAAAAAAEAAAAZHJzL1BLAwQUAAAACACHTuJAaUNt1b8AAADb&#10;AAAADwAAAGRycy9kb3ducmV2LnhtbEWPzWrDMBCE74G8g9hAb4nsQE3rRjEkIdSXBpqE0ONibS1R&#10;a2UsNT99+qhQ6HGYmW+YRXV1nTjTEKxnBfksA0HceG25VXA8bKdPIEJE1th5JgU3ClAtx6MFltpf&#10;+J3O+9iKBOFQogITY19KGRpDDsPM98TJ+/SDw5jk0Eo94CXBXSfnWVZIh5bTgsGe1oaar/23UxA3&#10;HzdTnJrVs90dXt8K+1PX9Uaph0mevYCIdI3/4b92rRU8FvD7Jf0Aubw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lDbdW/&#10;AAAA2wAAAA8AAAAAAAAAAQAgAAAAIgAAAGRycy9kb3ducmV2LnhtbFBLAQIUABQAAAAIAIdO4kAz&#10;LwWeOwAAADkAAAAQAAAAAAAAAAEAIAAAAA4BAABkcnMvc2hhcGV4bWwueG1sUEsFBgAAAAAGAAYA&#10;WwEAALgDAAAAAA==&#10;">
                        <v:fill on="f" focussize="0,0"/>
                        <v:stroke color="#000000 [3213]" joinstyle="round" endarrow="block"/>
                        <v:imagedata o:title=""/>
                        <o:lock v:ext="edit" aspectratio="f"/>
                      </v:shape>
                      <v:shape id="直接箭头连接符 26" o:spid="_x0000_s1026" o:spt="32" type="#_x0000_t32" style="position:absolute;left:5572;top:7241;height:334;width:1;" filled="f" stroked="t" coordsize="21600,21600" o:gfxdata="UEsDBAoAAAAAAIdO4kAAAAAAAAAAAAAAAAAEAAAAZHJzL1BLAwQUAAAACACHTuJAB1TiCr4AAADb&#10;AAAADwAAAGRycy9kb3ducmV2LnhtbEWPT2sCMRTE7wW/Q3hCbzWrwqKrUVAp7qWFqojHx+a5CW5e&#10;lk3qn376plDwOMzMb5j58u4acaUuWM8KhoMMBHHlteVawWH//jYBESKyxsYzKXhQgOWi9zLHQvsb&#10;f9F1F2uRIBwKVGBibAspQ2XIYRj4ljh5Z985jEl2tdQd3hLcNXKUZbl0aDktGGxpbai67L6dgrg5&#10;PUx+rFZT+7nffuT2pyzLjVKv/WE2AxHpHp/h/3apFUzG8Pcl/QC5+AV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B1TiCr4A&#10;AADbAAAADwAAAAAAAAABACAAAAAiAAAAZHJzL2Rvd25yZXYueG1sUEsBAhQAFAAAAAgAh07iQDMv&#10;BZ47AAAAOQAAABAAAAAAAAAAAQAgAAAADQEAAGRycy9zaGFwZXhtbC54bWxQSwUGAAAAAAYABgBb&#10;AQAAtwMAAAAA&#10;">
                        <v:fill on="f" focussize="0,0"/>
                        <v:stroke color="#000000 [3213]" joinstyle="round" endarrow="block"/>
                        <v:imagedata o:title=""/>
                        <o:lock v:ext="edit" aspectratio="f"/>
                      </v:shape>
                      <v:shape id="直接箭头连接符 26" o:spid="_x0000_s1026" o:spt="32" type="#_x0000_t32" style="position:absolute;left:6180;top:7027;height:8;width:466;" filled="f" stroked="t" coordsize="21600,21600" o:gfxdata="UEsDBAoAAAAAAIdO4kAAAAAAAAAAAAAAAAAEAAAAZHJzL1BLAwQUAAAACACHTuJAmZHzor4AAADb&#10;AAAADwAAAGRycy9kb3ducmV2LnhtbEWPT2sCMRTE7wW/Q3iCt5pVcKmrUVAp7qWFqojHx+a5CW5e&#10;lk3qn376plDwOMzMb5j58u4acaUuWM8KRsMMBHHlteVawWH//voGIkRkjY1nUvCgAMtF72WOhfY3&#10;/qLrLtYiQTgUqMDE2BZShsqQwzD0LXHyzr5zGJPsaqk7vCW4a+Q4y3Lp0HJaMNjS2lB12X07BXFz&#10;epj8WK2m9nO//cjtT1mWG6UG/VE2AxHpHp/h/3apFUwm8Pcl/QC5+AV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mZHzor4A&#10;AADbAAAADwAAAAAAAAABACAAAAAiAAAAZHJzL2Rvd25yZXYueG1sUEsBAhQAFAAAAAgAh07iQDMv&#10;BZ47AAAAOQAAABAAAAAAAAAAAQAgAAAADQEAAGRycy9zaGFwZXhtbC54bWxQSwUGAAAAAAYABgBb&#10;AQAAtwMAAAAA&#10;">
                        <v:fill on="f" focussize="0,0"/>
                        <v:stroke color="#000000 [3213]" joinstyle="round" endarrow="block"/>
                        <v:imagedata o:title=""/>
                        <o:lock v:ext="edit" aspectratio="f"/>
                      </v:shape>
                      <v:shape id="直接箭头连接符 28" o:spid="_x0000_s1026" o:spt="32" type="#_x0000_t32" style="position:absolute;left:3749;top:6522;flip:x y;height:284;width:7;" filled="f" stroked="t" coordsize="21600,21600" o:gfxdata="UEsDBAoAAAAAAIdO4kAAAAAAAAAAAAAAAAAEAAAAZHJzL1BLAwQUAAAACACHTuJAvO2a0r0AAADb&#10;AAAADwAAAGRycy9kb3ducmV2LnhtbEWPQWsCMRSE70L/Q3iF3jRZsWK3Rg+CINhSXL14e2yeu4ub&#10;l7iJq/33TUHwOMzMN8x8ebet6KkLjWMN2UiBIC6dabjScNivhzMQISIbbB2Thl8KsFy8DOaYG3fj&#10;HfVFrESCcMhRQx2jz6UMZU0Ww8h54uSdXGcxJtlV0nR4S3DbyrFSU2mx4bRQo6dVTeW5uFoNJ+XL&#10;n4/91lwuftJXX8eDz77PWr+9ZuoTRKR7fIYf7Y3R8D6B/y/pB8jF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87ZrSvQAA&#10;ANsAAAAPAAAAAAAAAAEAIAAAACIAAABkcnMvZG93bnJldi54bWxQSwECFAAUAAAACACHTuJAMy8F&#10;njsAAAA5AAAAEAAAAAAAAAABACAAAAAMAQAAZHJzL3NoYXBleG1sLnhtbFBLBQYAAAAABgAGAFsB&#10;AAC2AwAAAAA=&#10;">
                        <v:fill on="f" focussize="0,0"/>
                        <v:stroke color="#000000 [3213]" joinstyle="round" endarrow="block"/>
                        <v:imagedata o:title=""/>
                        <o:lock v:ext="edit" aspectratio="f"/>
                      </v:shape>
                      <v:shape id="直接箭头连接符 25" o:spid="_x0000_s1026" o:spt="32" type="#_x0000_t32" style="position:absolute;left:4364;top:7021;height:6;width:600;" filled="f" stroked="t" coordsize="21600,21600" o:gfxdata="UEsDBAoAAAAAAIdO4kAAAAAAAAAAAAAAAAAEAAAAZHJzL1BLAwQUAAAACACHTuJAeTTOTb4AAADb&#10;AAAADwAAAGRycy9kb3ducmV2LnhtbEWPW2sCMRSE3wv9D+EUfNOsShe7GoVWxH1pwQvFx8PmuAlu&#10;TpZNvPXXNwWhj8PMfMPMFjfXiAt1wXpWMBxkIIgrry3XCva7VX8CIkRkjY1nUnCnAIv589MMC+2v&#10;vKHLNtYiQTgUqMDE2BZShsqQwzDwLXHyjr5zGJPsaqk7vCa4a+Qoy3Lp0HJaMNjSh6HqtD07BXF5&#10;uJv8u3p/s1+79Wduf8qyXCrVexlmUxCRbvE//GiXWsHrGP6+pB8g57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eTTOTb4A&#10;AADbAAAADwAAAAAAAAABACAAAAAiAAAAZHJzL2Rvd25yZXYueG1sUEsBAhQAFAAAAAgAh07iQDMv&#10;BZ47AAAAOQAAABAAAAAAAAAAAQAgAAAADQEAAGRycy9zaGFwZXhtbC54bWxQSwUGAAAAAAYABgBb&#10;AQAAtwMAAAAA&#10;">
                        <v:fill on="f" focussize="0,0"/>
                        <v:stroke color="#000000 [3213]" joinstyle="round" endarrow="block"/>
                        <v:imagedata o:title=""/>
                        <o:lock v:ext="edit" aspectratio="f"/>
                      </v:shape>
                      <v:shape id="文本框 18" o:spid="_x0000_s1026" o:spt="202" type="#_x0000_t202" style="position:absolute;left:3148;top:6806;height:429;width:1216;" fillcolor="#FFFFFF [3201]" filled="t" stroked="t" coordsize="21600,21600" o:gfxdata="UEsDBAoAAAAAAIdO4kAAAAAAAAAAAAAAAAAEAAAAZHJzL1BLAwQUAAAACACHTuJA9QAACrcAAADb&#10;AAAADwAAAGRycy9kb3ducmV2LnhtbEWPwQrCMBBE74L/EFbwpqkVRapRUBDEm9qLt6VZ22KzKUm0&#10;+vdGEDwOM/OGWW1ephFPcr62rGAyTkAQF1bXXCrIL/vRAoQPyBoby6TgTR42635vhZm2HZ/oeQ6l&#10;iBD2GSqoQmgzKX1RkUE/ti1x9G7WGQxRulJqh12Em0amSTKXBmuOCxW2tKuouJ8fRsFhvg1XyvVR&#10;T9Op7XJZuFvjlRoOJskSRKBX+Id/7YNWMEvh+yX+ALn+AF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D1AAAKtwAAANsAAAAP&#10;AAAAAAAAAAEAIAAAACIAAABkcnMvZG93bnJldi54bWxQSwECFAAUAAAACACHTuJAMy8FnjsAAAA5&#10;AAAAEAAAAAAAAAABACAAAAAGAQAAZHJzL3NoYXBleG1sLnhtbFBLBQYAAAAABgAGAFsBAACwAwAA&#10;AAA=&#10;">
                        <v:fill on="t" focussize="0,0"/>
                        <v:stroke weight="0.5pt" color="#000000 [3204]" joinstyle="round"/>
                        <v:imagedata o:title=""/>
                        <o:lock v:ext="edit" aspectratio="f"/>
                        <v:textbox>
                          <w:txbxContent>
                            <w:p w14:paraId="4A707460">
                              <w:pPr>
                                <w:jc w:val="center"/>
                                <w:rPr>
                                  <w:rFonts w:hint="eastAsia"/>
                                </w:rPr>
                              </w:pPr>
                              <w:r>
                                <w:rPr>
                                  <w:rFonts w:hint="eastAsia"/>
                                </w:rPr>
                                <w:t>厂房改造</w:t>
                              </w:r>
                            </w:p>
                          </w:txbxContent>
                        </v:textbox>
                      </v:shape>
                      <v:shape id="文本框 21" o:spid="_x0000_s1026" o:spt="202" type="#_x0000_t202" style="position:absolute;left:6375;top:5710;height:812;width:1768;" fillcolor="#FFFFFF [3201]" filled="t" stroked="f" coordsize="21600,21600" o:gfxdata="UEsDBAoAAAAAAIdO4kAAAAAAAAAAAAAAAAAEAAAAZHJzL1BLAwQUAAAACACHTuJAXI3fyLYAAADb&#10;AAAADwAAAGRycy9kb3ducmV2LnhtbEWPSwvCMBCE74L/IazgTdOKiFSjB0HwJPg8L83aFJtNSeLz&#10;1xtB8DjMzDfMfPm0jbiTD7VjBfkwA0FcOl1zpeB4WA+mIEJE1tg4JgUvCrBcdDtzLLR78I7u+1iJ&#10;BOFQoAITY1tIGUpDFsPQtcTJuzhvMSbpK6k9PhLcNnKUZRNpsea0YLCllaHyur9ZBefKvs+nvPVG&#10;22bM2/frcHS1Uv1ens1ARHrGf/jX3mgFkzF8v6QfIBcfUEsDBBQAAAAIAIdO4kAzLwWeOwAAADkA&#10;AAAQAAAAZHJzL3NoYXBleG1sLnhtbLOxr8jNUShLLSrOzM+zVTLUM1BSSM1Lzk/JzEu3VQoNcdO1&#10;UFIoLknMS0nMyc9LtVWqTC1Wsrfj5QIAUEsDBAoAAAAAAIdO4kAAAAAAAAAAAAAAAAAGAAAAX3Jl&#10;bHMvUEsDBBQAAAAIAIdO4kDVXCYozAAAAI8BAAALAAAAX3JlbHMvLnJlbHOlkLFqAzEMhvdA38Fo&#10;7/mSoZQQX7ZC1pBCV2Hr7kzOlrHMNXn7uJRCL2TLoEG/0PcJ7faXMKmZsniOBtZNC4qiZefjYODz&#10;9PH6DkoKRocTRzJwJYF997LaHWnCUpdk9ElUpUQxMJaStlqLHSmgNJwo1knPOWCpbR50QnvGgfSm&#10;bd90/s+AbsFUB2cgH9wG1OmaqvmOHbzNLNyXxnLQ3PfePqJqGTHRV5gqBvNAxYDL8pvW05paoB+b&#10;10+aHX/HI81L8U+Yaf7z6sUbuxtQSwMEFAAAAAgAh07iQFrjEWb3AAAA4gEAABMAAABbQ29udGVu&#10;dF9UeXBlc10ueG1slZFNT8QgEIbvJv4HMlfTUj0YY0r3YPWoRtcfMIFpS7YFwmDd/ffS/bgY18Qj&#10;zLzP+wTq1XYaxUyRrXcKrssKBDntjXW9go/1U3EHghM6g6N3pGBHDKvm8qJe7wKxyGnHCoaUwr2U&#10;rAeakEsfyOVJ5+OEKR9jLwPqDfYkb6rqVmrvErlUpIUBTd1Sh59jEo/bfH0wiTQyiIfD4tKlAEMY&#10;rcaUTeXszI+W4thQ5uR+hwcb+CprgPy1YZmcLzjmXvLTRGtIvGJMzzhlDWkiS+O/XKS5/BuyWE5c&#10;+K6zmso2cptjbzSfrM7RecBAGf1f/PuSO8Hl/oeab1BLAQIUABQAAAAIAIdO4kBa4xFm9wAAAOIB&#10;AAATAAAAAAAAAAEAIAAAAIcCAABbQ29udGVudF9UeXBlc10ueG1sUEsBAhQACgAAAAAAh07iQAAA&#10;AAAAAAAAAAAAAAYAAAAAAAAAAAAQAAAAbgEAAF9yZWxzL1BLAQIUABQAAAAIAIdO4kDVXCYozAAA&#10;AI8BAAALAAAAAAAAAAEAIAAAAJIBAABfcmVscy8ucmVsc1BLAQIUAAoAAAAAAIdO4kAAAAAAAAAA&#10;AAAAAAAEAAAAAAAAAAAAEAAAAAAAAABkcnMvUEsBAhQAFAAAAAgAh07iQFyN38i2AAAA2wAAAA8A&#10;AAAAAAAAAQAgAAAAIgAAAGRycy9kb3ducmV2LnhtbFBLAQIUABQAAAAIAIdO4kAzLwWeOwAAADkA&#10;AAAQAAAAAAAAAAEAIAAAAAUBAABkcnMvc2hhcGV4bWwueG1sUEsFBgAAAAAGAAYAWwEAAK8DAAAA&#10;AA==&#10;">
                        <v:fill on="t" focussize="0,0"/>
                        <v:stroke on="f" weight="0.5pt"/>
                        <v:imagedata o:title=""/>
                        <o:lock v:ext="edit" aspectratio="f"/>
                        <v:textbox>
                          <w:txbxContent>
                            <w:p w14:paraId="761E3FF3">
                              <w:pPr>
                                <w:rPr>
                                  <w:rFonts w:hint="eastAsia"/>
                                </w:rPr>
                              </w:pPr>
                              <w:r>
                                <w:rPr>
                                  <w:rFonts w:hint="eastAsia"/>
                                </w:rPr>
                                <w:t>生活污水、调试噪声、生活垃圾</w:t>
                              </w:r>
                            </w:p>
                          </w:txbxContent>
                        </v:textbox>
                      </v:shape>
                    </v:group>
                  </w:pict>
                </mc:Fallback>
              </mc:AlternateContent>
            </w:r>
          </w:p>
          <w:p w14:paraId="4EF899A0">
            <w:pPr>
              <w:numPr>
                <w:ilvl w:val="0"/>
                <w:numId w:val="0"/>
              </w:numPr>
              <w:spacing w:line="360" w:lineRule="auto"/>
              <w:ind w:firstLine="480" w:firstLineChars="200"/>
              <w:jc w:val="both"/>
              <w:rPr>
                <w:rFonts w:hint="default" w:ascii="Times New Roman" w:hAnsi="Times New Roman" w:eastAsia="宋体" w:cs="Times New Roman"/>
                <w:color w:val="auto"/>
                <w:sz w:val="24"/>
                <w:szCs w:val="24"/>
              </w:rPr>
            </w:pPr>
          </w:p>
          <w:p w14:paraId="6A08D0D0">
            <w:pPr>
              <w:numPr>
                <w:ilvl w:val="0"/>
                <w:numId w:val="0"/>
              </w:numPr>
              <w:spacing w:line="360" w:lineRule="auto"/>
              <w:ind w:firstLine="480" w:firstLineChars="200"/>
              <w:jc w:val="both"/>
              <w:rPr>
                <w:rFonts w:hint="default" w:ascii="Times New Roman" w:hAnsi="Times New Roman" w:eastAsia="宋体" w:cs="Times New Roman"/>
                <w:color w:val="auto"/>
                <w:sz w:val="24"/>
                <w:szCs w:val="24"/>
              </w:rPr>
            </w:pPr>
          </w:p>
          <w:p w14:paraId="655E7D69">
            <w:pPr>
              <w:numPr>
                <w:ilvl w:val="0"/>
                <w:numId w:val="0"/>
              </w:numPr>
              <w:spacing w:line="360" w:lineRule="auto"/>
              <w:ind w:firstLine="480" w:firstLineChars="200"/>
              <w:jc w:val="both"/>
              <w:rPr>
                <w:rFonts w:hint="default" w:ascii="Times New Roman" w:hAnsi="Times New Roman" w:eastAsia="宋体" w:cs="Times New Roman"/>
                <w:color w:val="auto"/>
                <w:sz w:val="24"/>
                <w:szCs w:val="24"/>
              </w:rPr>
            </w:pPr>
          </w:p>
          <w:p w14:paraId="0132A438">
            <w:pPr>
              <w:numPr>
                <w:ilvl w:val="0"/>
                <w:numId w:val="0"/>
              </w:numPr>
              <w:spacing w:line="360" w:lineRule="auto"/>
              <w:ind w:firstLine="480" w:firstLineChars="200"/>
              <w:jc w:val="both"/>
              <w:rPr>
                <w:rFonts w:hint="default" w:ascii="Times New Roman" w:hAnsi="Times New Roman" w:eastAsia="宋体" w:cs="Times New Roman"/>
                <w:color w:val="auto"/>
                <w:sz w:val="24"/>
                <w:szCs w:val="24"/>
              </w:rPr>
            </w:pPr>
          </w:p>
          <w:p w14:paraId="030674DA">
            <w:pPr>
              <w:numPr>
                <w:ilvl w:val="0"/>
                <w:numId w:val="0"/>
              </w:numPr>
              <w:spacing w:line="360" w:lineRule="auto"/>
              <w:ind w:firstLine="480" w:firstLineChars="200"/>
              <w:jc w:val="both"/>
              <w:rPr>
                <w:rFonts w:hint="default" w:ascii="Times New Roman" w:hAnsi="Times New Roman" w:eastAsia="宋体" w:cs="Times New Roman"/>
                <w:color w:val="auto"/>
                <w:sz w:val="24"/>
                <w:szCs w:val="24"/>
              </w:rPr>
            </w:pPr>
          </w:p>
          <w:p w14:paraId="4A52987D">
            <w:pPr>
              <w:numPr>
                <w:ilvl w:val="0"/>
                <w:numId w:val="0"/>
              </w:numPr>
              <w:spacing w:line="360" w:lineRule="auto"/>
              <w:jc w:val="both"/>
              <w:rPr>
                <w:rFonts w:hint="default" w:ascii="Times New Roman" w:hAnsi="Times New Roman" w:eastAsia="宋体" w:cs="Times New Roman"/>
                <w:b/>
                <w:bCs/>
                <w:color w:val="auto"/>
                <w:sz w:val="21"/>
                <w:szCs w:val="21"/>
                <w:lang w:val="en-US" w:eastAsia="zh-CN"/>
              </w:rPr>
            </w:pPr>
          </w:p>
          <w:p w14:paraId="563947A8">
            <w:pPr>
              <w:numPr>
                <w:ilvl w:val="0"/>
                <w:numId w:val="0"/>
              </w:numPr>
              <w:spacing w:line="360" w:lineRule="auto"/>
              <w:jc w:val="center"/>
              <w:rPr>
                <w:rFonts w:hint="default"/>
                <w:sz w:val="24"/>
                <w:szCs w:val="24"/>
                <w:lang w:val="en-US" w:eastAsia="zh-CN"/>
              </w:rPr>
            </w:pPr>
            <w:r>
              <w:rPr>
                <w:rFonts w:hint="default" w:ascii="Times New Roman" w:hAnsi="Times New Roman" w:eastAsia="宋体" w:cs="Times New Roman"/>
                <w:b/>
                <w:bCs/>
                <w:color w:val="auto"/>
                <w:sz w:val="21"/>
                <w:szCs w:val="21"/>
                <w:lang w:val="en-US" w:eastAsia="zh-CN"/>
              </w:rPr>
              <w:t>图2-</w:t>
            </w:r>
            <w:r>
              <w:rPr>
                <w:rFonts w:hint="eastAsia" w:cs="Times New Roman"/>
                <w:b/>
                <w:bCs/>
                <w:color w:val="auto"/>
                <w:sz w:val="21"/>
                <w:szCs w:val="21"/>
                <w:lang w:val="en-US" w:eastAsia="zh-CN"/>
              </w:rPr>
              <w:t>2</w:t>
            </w:r>
            <w:r>
              <w:rPr>
                <w:rFonts w:hint="default" w:ascii="Times New Roman" w:hAnsi="Times New Roman" w:eastAsia="宋体" w:cs="Times New Roman"/>
                <w:b/>
                <w:bCs/>
                <w:color w:val="auto"/>
                <w:sz w:val="21"/>
                <w:szCs w:val="21"/>
                <w:lang w:val="en-US" w:eastAsia="zh-CN"/>
              </w:rPr>
              <w:t xml:space="preserve"> 施工期工艺流程及产污环节图</w:t>
            </w:r>
          </w:p>
          <w:p w14:paraId="0F4496B5">
            <w:pPr>
              <w:numPr>
                <w:ilvl w:val="0"/>
                <w:numId w:val="37"/>
              </w:numPr>
              <w:spacing w:line="360" w:lineRule="auto"/>
              <w:ind w:left="0" w:leftChars="0" w:firstLine="482" w:firstLineChars="200"/>
              <w:jc w:val="both"/>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4"/>
                <w:szCs w:val="24"/>
              </w:rPr>
              <w:t>营运期工艺分析</w:t>
            </w:r>
          </w:p>
          <w:p w14:paraId="402ECB64">
            <w:pPr>
              <w:numPr>
                <w:ilvl w:val="0"/>
                <w:numId w:val="38"/>
              </w:numPr>
              <w:spacing w:line="360" w:lineRule="auto"/>
              <w:ind w:firstLine="482" w:firstLineChars="200"/>
              <w:jc w:val="both"/>
              <w:rPr>
                <w:rFonts w:hint="default" w:ascii="Times New Roman" w:hAnsi="Times New Roman" w:eastAsia="宋体" w:cs="Times New Roman"/>
                <w:b w:val="0"/>
                <w:bCs w:val="0"/>
                <w:color w:val="auto"/>
                <w:sz w:val="24"/>
                <w:szCs w:val="24"/>
              </w:rPr>
            </w:pPr>
            <w:r>
              <w:rPr>
                <w:rFonts w:hint="default" w:ascii="Times New Roman" w:hAnsi="Times New Roman" w:eastAsia="宋体" w:cs="Times New Roman"/>
                <w:b/>
                <w:bCs/>
                <w:color w:val="auto"/>
                <w:sz w:val="24"/>
                <w:szCs w:val="24"/>
              </w:rPr>
              <w:t>营运期工艺流程</w:t>
            </w:r>
          </w:p>
          <w:p w14:paraId="7D5D196F">
            <w:pPr>
              <w:numPr>
                <w:ilvl w:val="0"/>
                <w:numId w:val="0"/>
              </w:numPr>
              <w:spacing w:line="360" w:lineRule="auto"/>
              <w:ind w:firstLine="480" w:firstLineChars="200"/>
              <w:jc w:val="both"/>
              <w:rPr>
                <w:rFonts w:hint="eastAsia" w:cs="Times New Roman"/>
                <w:b w:val="0"/>
                <w:bCs w:val="0"/>
                <w:color w:val="auto"/>
                <w:sz w:val="24"/>
                <w:szCs w:val="24"/>
                <w:lang w:val="en-US" w:eastAsia="zh-CN"/>
              </w:rPr>
            </w:pPr>
            <w:r>
              <w:rPr>
                <w:rFonts w:hint="eastAsia" w:cs="Times New Roman"/>
                <w:b w:val="0"/>
                <w:bCs w:val="0"/>
                <w:color w:val="auto"/>
                <w:sz w:val="24"/>
                <w:szCs w:val="24"/>
                <w:lang w:val="en-US" w:eastAsia="zh-CN"/>
              </w:rPr>
              <w:t>本项目贮存的废矿物油主要来源于4S店、汽车修理厂等各类产生废矿物油的单位，仅对废矿物油进行收集、贮存，不涉及后续利用、处置及再生环节，主要生产工艺流程及产污位置见下图：</w:t>
            </w:r>
          </w:p>
          <w:p w14:paraId="29DE74A7">
            <w:pPr>
              <w:numPr>
                <w:ilvl w:val="0"/>
                <w:numId w:val="0"/>
              </w:numPr>
              <w:spacing w:line="360" w:lineRule="auto"/>
              <w:ind w:firstLine="420" w:firstLineChars="200"/>
              <w:jc w:val="both"/>
              <w:rPr>
                <w:rFonts w:hint="eastAsia" w:cs="Times New Roman"/>
                <w:b w:val="0"/>
                <w:bCs w:val="0"/>
                <w:color w:val="auto"/>
                <w:sz w:val="24"/>
                <w:szCs w:val="24"/>
                <w:lang w:val="en-US" w:eastAsia="zh-CN"/>
              </w:rPr>
            </w:pPr>
            <w:r>
              <w:rPr>
                <w:sz w:val="21"/>
              </w:rPr>
              <mc:AlternateContent>
                <mc:Choice Requires="wpg">
                  <w:drawing>
                    <wp:anchor distT="0" distB="0" distL="114300" distR="114300" simplePos="0" relativeHeight="251664384" behindDoc="0" locked="0" layoutInCell="1" allowOverlap="1">
                      <wp:simplePos x="0" y="0"/>
                      <wp:positionH relativeFrom="column">
                        <wp:posOffset>873125</wp:posOffset>
                      </wp:positionH>
                      <wp:positionV relativeFrom="paragraph">
                        <wp:posOffset>97155</wp:posOffset>
                      </wp:positionV>
                      <wp:extent cx="3556000" cy="4247515"/>
                      <wp:effectExtent l="4445" t="0" r="1905" b="635"/>
                      <wp:wrapNone/>
                      <wp:docPr id="4" name="组合 4"/>
                      <wp:cNvGraphicFramePr/>
                      <a:graphic xmlns:a="http://schemas.openxmlformats.org/drawingml/2006/main">
                        <a:graphicData uri="http://schemas.microsoft.com/office/word/2010/wordprocessingGroup">
                          <wpg:wgp>
                            <wpg:cNvGrpSpPr/>
                            <wpg:grpSpPr>
                              <a:xfrm>
                                <a:off x="0" y="0"/>
                                <a:ext cx="3556000" cy="4247515"/>
                                <a:chOff x="7602" y="2487"/>
                                <a:chExt cx="5600" cy="6689"/>
                              </a:xfrm>
                            </wpg:grpSpPr>
                            <wps:wsp>
                              <wps:cNvPr id="218" name="文本框 8"/>
                              <wps:cNvSpPr txBox="1"/>
                              <wps:spPr>
                                <a:xfrm>
                                  <a:off x="7979" y="3270"/>
                                  <a:ext cx="1400" cy="432"/>
                                </a:xfrm>
                                <a:prstGeom prst="rect">
                                  <a:avLst/>
                                </a:prstGeom>
                                <a:solidFill>
                                  <a:schemeClr val="lt1"/>
                                </a:solidFill>
                                <a:ln w="6350">
                                  <a:solidFill>
                                    <a:prstClr val="black"/>
                                  </a:solidFill>
                                  <a:prstDash val="dash"/>
                                </a:ln>
                              </wps:spPr>
                              <wps:style>
                                <a:lnRef idx="0">
                                  <a:schemeClr val="accent1"/>
                                </a:lnRef>
                                <a:fillRef idx="0">
                                  <a:schemeClr val="accent1"/>
                                </a:fillRef>
                                <a:effectRef idx="0">
                                  <a:schemeClr val="accent1"/>
                                </a:effectRef>
                                <a:fontRef idx="minor">
                                  <a:schemeClr val="dk1"/>
                                </a:fontRef>
                              </wps:style>
                              <wps:txbx>
                                <w:txbxContent>
                                  <w:p w14:paraId="1554042D">
                                    <w:pPr>
                                      <w:jc w:val="center"/>
                                      <w:rPr>
                                        <w:rFonts w:hint="eastAsia"/>
                                      </w:rPr>
                                    </w:pPr>
                                    <w:r>
                                      <w:rPr>
                                        <w:rFonts w:hint="eastAsia"/>
                                      </w:rPr>
                                      <w:t>建设单位</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12" name="文本框 33"/>
                              <wps:cNvSpPr txBox="1"/>
                              <wps:spPr>
                                <a:xfrm>
                                  <a:off x="7992" y="7770"/>
                                  <a:ext cx="1443" cy="762"/>
                                </a:xfrm>
                                <a:prstGeom prst="rect">
                                  <a:avLst/>
                                </a:prstGeom>
                                <a:solidFill>
                                  <a:schemeClr val="lt1"/>
                                </a:solidFill>
                                <a:ln w="6350">
                                  <a:solidFill>
                                    <a:prstClr val="black"/>
                                  </a:solidFill>
                                  <a:prstDash val="dash"/>
                                </a:ln>
                              </wps:spPr>
                              <wps:style>
                                <a:lnRef idx="0">
                                  <a:schemeClr val="accent1"/>
                                </a:lnRef>
                                <a:fillRef idx="0">
                                  <a:schemeClr val="accent1"/>
                                </a:fillRef>
                                <a:effectRef idx="0">
                                  <a:schemeClr val="accent1"/>
                                </a:effectRef>
                                <a:fontRef idx="minor">
                                  <a:schemeClr val="dk1"/>
                                </a:fontRef>
                              </wps:style>
                              <wps:txbx>
                                <w:txbxContent>
                                  <w:p w14:paraId="53BBCB00">
                                    <w:pPr>
                                      <w:jc w:val="center"/>
                                      <w:rPr>
                                        <w:rFonts w:hint="eastAsia"/>
                                      </w:rPr>
                                    </w:pPr>
                                    <w:r>
                                      <w:rPr>
                                        <w:rFonts w:hint="eastAsia"/>
                                      </w:rPr>
                                      <w:t>具备废油运输资质公司</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14" name="文本框 34"/>
                              <wps:cNvSpPr txBox="1"/>
                              <wps:spPr>
                                <a:xfrm>
                                  <a:off x="7997" y="6410"/>
                                  <a:ext cx="1421" cy="446"/>
                                </a:xfrm>
                                <a:prstGeom prst="rect">
                                  <a:avLst/>
                                </a:prstGeom>
                                <a:solidFill>
                                  <a:schemeClr val="lt1"/>
                                </a:solidFill>
                                <a:ln w="6350">
                                  <a:solidFill>
                                    <a:prstClr val="black"/>
                                  </a:solidFill>
                                  <a:prstDash val="dash"/>
                                </a:ln>
                              </wps:spPr>
                              <wps:style>
                                <a:lnRef idx="0">
                                  <a:schemeClr val="accent1"/>
                                </a:lnRef>
                                <a:fillRef idx="0">
                                  <a:schemeClr val="accent1"/>
                                </a:fillRef>
                                <a:effectRef idx="0">
                                  <a:schemeClr val="accent1"/>
                                </a:effectRef>
                                <a:fontRef idx="minor">
                                  <a:schemeClr val="dk1"/>
                                </a:fontRef>
                              </wps:style>
                              <wps:txbx>
                                <w:txbxContent>
                                  <w:p w14:paraId="3D8CDE00">
                                    <w:pPr>
                                      <w:jc w:val="center"/>
                                      <w:rPr>
                                        <w:rFonts w:hint="eastAsia"/>
                                      </w:rPr>
                                    </w:pPr>
                                    <w:r>
                                      <w:rPr>
                                        <w:rFonts w:hint="eastAsia"/>
                                      </w:rPr>
                                      <w:t>碳钢储油罐</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17" name="文本框 11"/>
                              <wps:cNvSpPr txBox="1"/>
                              <wps:spPr>
                                <a:xfrm>
                                  <a:off x="7602" y="4782"/>
                                  <a:ext cx="1786" cy="432"/>
                                </a:xfrm>
                                <a:prstGeom prst="rect">
                                  <a:avLst/>
                                </a:prstGeom>
                                <a:solidFill>
                                  <a:schemeClr val="lt1"/>
                                </a:solidFill>
                                <a:ln w="6350">
                                  <a:solidFill>
                                    <a:prstClr val="black"/>
                                  </a:solidFill>
                                  <a:prstDash val="dash"/>
                                </a:ln>
                              </wps:spPr>
                              <wps:style>
                                <a:lnRef idx="0">
                                  <a:schemeClr val="accent1"/>
                                </a:lnRef>
                                <a:fillRef idx="0">
                                  <a:schemeClr val="accent1"/>
                                </a:fillRef>
                                <a:effectRef idx="0">
                                  <a:schemeClr val="accent1"/>
                                </a:effectRef>
                                <a:fontRef idx="minor">
                                  <a:schemeClr val="dk1"/>
                                </a:fontRef>
                              </wps:style>
                              <wps:txbx>
                                <w:txbxContent>
                                  <w:p w14:paraId="7B4D44A2">
                                    <w:pPr>
                                      <w:rPr>
                                        <w:rFonts w:hint="eastAsia"/>
                                      </w:rPr>
                                    </w:pPr>
                                    <w:r>
                                      <w:rPr>
                                        <w:rFonts w:hint="eastAsia"/>
                                      </w:rPr>
                                      <w:t>专用危废运输车辆</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19" name="文本框 23"/>
                              <wps:cNvSpPr txBox="1"/>
                              <wps:spPr>
                                <a:xfrm>
                                  <a:off x="9557" y="8744"/>
                                  <a:ext cx="2029" cy="432"/>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14:paraId="607C3F5C">
                                    <w:pPr>
                                      <w:jc w:val="center"/>
                                      <w:rPr>
                                        <w:rFonts w:hint="default" w:eastAsia="宋体"/>
                                        <w:lang w:val="en-US" w:eastAsia="zh-CN"/>
                                      </w:rPr>
                                    </w:pPr>
                                    <w:r>
                                      <w:rPr>
                                        <w:rFonts w:hint="eastAsia"/>
                                      </w:rPr>
                                      <w:t>废矿物油</w:t>
                                    </w:r>
                                    <w:r>
                                      <w:rPr>
                                        <w:rFonts w:hint="eastAsia"/>
                                        <w:lang w:val="en-US" w:eastAsia="zh-CN"/>
                                      </w:rPr>
                                      <w:t>处置单位</w:t>
                                    </w:r>
                                  </w:p>
                                </w:txbxContent>
                              </wps:txbx>
                              <wps:bodyPr rot="0" spcFirstLastPara="0" vertOverflow="overflow" horzOverflow="overflow" vert="horz" wrap="square" lIns="91440" tIns="45720" rIns="91440" bIns="45720" numCol="1" spcCol="0" rtlCol="0" fromWordArt="0" anchor="t" anchorCtr="0" forceAA="0" compatLnSpc="1">
                                <a:noAutofit/>
                              </wps:bodyPr>
                            </wps:wsp>
                            <wpg:grpSp>
                              <wpg:cNvPr id="9" name="组合 6"/>
                              <wpg:cNvGrpSpPr/>
                              <wpg:grpSpPr>
                                <a:xfrm>
                                  <a:off x="11338" y="7091"/>
                                  <a:ext cx="1864" cy="446"/>
                                  <a:chOff x="7229" y="5551"/>
                                  <a:chExt cx="1864" cy="446"/>
                                </a:xfrm>
                              </wpg:grpSpPr>
                              <wps:wsp>
                                <wps:cNvPr id="16" name="文本框 32"/>
                                <wps:cNvSpPr txBox="1"/>
                                <wps:spPr>
                                  <a:xfrm>
                                    <a:off x="7685" y="5551"/>
                                    <a:ext cx="1409" cy="446"/>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14:paraId="2240D464">
                                      <w:pPr>
                                        <w:jc w:val="both"/>
                                        <w:rPr>
                                          <w:rFonts w:hint="eastAsia" w:eastAsia="宋体"/>
                                          <w:lang w:eastAsia="zh-CN"/>
                                        </w:rPr>
                                      </w:pPr>
                                      <w:r>
                                        <w:rPr>
                                          <w:rFonts w:hint="eastAsia"/>
                                          <w:lang w:val="en-US" w:eastAsia="zh-CN"/>
                                        </w:rPr>
                                        <w:t>G1、N</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91" name="直接箭头连接符 40"/>
                                <wps:cNvCnPr/>
                                <wps:spPr>
                                  <a:xfrm flipV="1">
                                    <a:off x="7229" y="5789"/>
                                    <a:ext cx="428" cy="7"/>
                                  </a:xfrm>
                                  <a:prstGeom prst="straightConnector1">
                                    <a:avLst/>
                                  </a:prstGeom>
                                  <a:ln>
                                    <a:solidFill>
                                      <a:schemeClr val="tx1"/>
                                    </a:solidFill>
                                    <a:prstDash val="lgDashDotDot"/>
                                    <a:headEnd type="none"/>
                                    <a:tailEnd type="triangle" w="med" len="med"/>
                                  </a:ln>
                                </wps:spPr>
                                <wps:style>
                                  <a:lnRef idx="1">
                                    <a:schemeClr val="accent1"/>
                                  </a:lnRef>
                                  <a:fillRef idx="0">
                                    <a:schemeClr val="accent1"/>
                                  </a:fillRef>
                                  <a:effectRef idx="0">
                                    <a:schemeClr val="accent1"/>
                                  </a:effectRef>
                                  <a:fontRef idx="minor">
                                    <a:schemeClr val="tx1"/>
                                  </a:fontRef>
                                </wps:style>
                                <wps:bodyPr/>
                              </wps:wsp>
                            </wpg:grpSp>
                            <wpg:grpSp>
                              <wpg:cNvPr id="92" name="组合 7"/>
                              <wpg:cNvGrpSpPr/>
                              <wpg:grpSpPr>
                                <a:xfrm>
                                  <a:off x="11319" y="5551"/>
                                  <a:ext cx="1864" cy="446"/>
                                  <a:chOff x="7229" y="5551"/>
                                  <a:chExt cx="1864" cy="446"/>
                                </a:xfrm>
                              </wpg:grpSpPr>
                              <wps:wsp>
                                <wps:cNvPr id="211" name="文本框 32"/>
                                <wps:cNvSpPr txBox="1"/>
                                <wps:spPr>
                                  <a:xfrm>
                                    <a:off x="7685" y="5551"/>
                                    <a:ext cx="1409" cy="446"/>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14:paraId="3764A8D7">
                                      <w:pPr>
                                        <w:jc w:val="center"/>
                                        <w:rPr>
                                          <w:rFonts w:hint="eastAsia" w:eastAsia="宋体"/>
                                          <w:lang w:eastAsia="zh-CN"/>
                                        </w:rPr>
                                      </w:pPr>
                                      <w:r>
                                        <w:rPr>
                                          <w:rFonts w:hint="eastAsia"/>
                                          <w:lang w:val="en-US" w:eastAsia="zh-CN"/>
                                        </w:rPr>
                                        <w:t>G1、S1、N</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30" name="直接箭头连接符 40"/>
                                <wps:cNvCnPr/>
                                <wps:spPr>
                                  <a:xfrm flipV="1">
                                    <a:off x="7229" y="5789"/>
                                    <a:ext cx="428" cy="7"/>
                                  </a:xfrm>
                                  <a:prstGeom prst="straightConnector1">
                                    <a:avLst/>
                                  </a:prstGeom>
                                  <a:ln>
                                    <a:solidFill>
                                      <a:schemeClr val="tx1"/>
                                    </a:solidFill>
                                    <a:prstDash val="lgDashDotDot"/>
                                    <a:headEnd type="none"/>
                                    <a:tailEnd type="triangle" w="med" len="med"/>
                                  </a:ln>
                                </wps:spPr>
                                <wps:style>
                                  <a:lnRef idx="1">
                                    <a:schemeClr val="accent1"/>
                                  </a:lnRef>
                                  <a:fillRef idx="0">
                                    <a:schemeClr val="accent1"/>
                                  </a:fillRef>
                                  <a:effectRef idx="0">
                                    <a:schemeClr val="accent1"/>
                                  </a:effectRef>
                                  <a:fontRef idx="minor">
                                    <a:schemeClr val="tx1"/>
                                  </a:fontRef>
                                </wps:style>
                                <wps:bodyPr/>
                              </wps:wsp>
                            </wpg:grpSp>
                            <wps:wsp>
                              <wps:cNvPr id="237" name="文本框 5"/>
                              <wps:cNvSpPr txBox="1"/>
                              <wps:spPr>
                                <a:xfrm>
                                  <a:off x="9885" y="4052"/>
                                  <a:ext cx="1382" cy="432"/>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0A02B9CF">
                                    <w:pPr>
                                      <w:rPr>
                                        <w:rFonts w:hint="eastAsia"/>
                                        <w:lang w:val="en-US" w:eastAsia="zh-CN"/>
                                      </w:rPr>
                                    </w:pPr>
                                    <w:r>
                                      <w:rPr>
                                        <w:rFonts w:hint="eastAsia"/>
                                        <w:lang w:val="en-US" w:eastAsia="zh-CN"/>
                                      </w:rPr>
                                      <w:t>检查、收集</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44" name="文本框 1"/>
                              <wps:cNvSpPr txBox="1"/>
                              <wps:spPr>
                                <a:xfrm>
                                  <a:off x="9555" y="2487"/>
                                  <a:ext cx="2032" cy="432"/>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14:paraId="66804ED8">
                                    <w:pPr>
                                      <w:jc w:val="center"/>
                                      <w:rPr>
                                        <w:rFonts w:hint="default" w:eastAsia="宋体"/>
                                        <w:lang w:val="en-US" w:eastAsia="zh-CN"/>
                                      </w:rPr>
                                    </w:pPr>
                                    <w:r>
                                      <w:rPr>
                                        <w:rFonts w:hint="eastAsia"/>
                                        <w:lang w:val="en-US" w:eastAsia="zh-CN"/>
                                      </w:rPr>
                                      <w:t>废矿物油产生网点</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43" name="文本框 12"/>
                              <wps:cNvSpPr txBox="1"/>
                              <wps:spPr>
                                <a:xfrm>
                                  <a:off x="9825" y="3272"/>
                                  <a:ext cx="1487" cy="432"/>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20CC84CA">
                                    <w:pPr>
                                      <w:jc w:val="center"/>
                                      <w:rPr>
                                        <w:rFonts w:hint="eastAsia"/>
                                      </w:rPr>
                                    </w:pPr>
                                    <w:r>
                                      <w:rPr>
                                        <w:rFonts w:hint="eastAsia"/>
                                      </w:rPr>
                                      <w:t>接受委托</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38" name="直接箭头连接符 17"/>
                              <wps:cNvCnPr/>
                              <wps:spPr>
                                <a:xfrm>
                                  <a:off x="10569" y="3704"/>
                                  <a:ext cx="7" cy="348"/>
                                </a:xfrm>
                                <a:prstGeom prst="straightConnector1">
                                  <a:avLst/>
                                </a:prstGeom>
                                <a:ln>
                                  <a:solidFill>
                                    <a:schemeClr val="tx1"/>
                                  </a:solidFill>
                                  <a:headEnd type="none"/>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233" name="直接箭头连接符 26"/>
                              <wps:cNvCnPr>
                                <a:stCxn id="218" idx="3"/>
                                <a:endCxn id="243" idx="1"/>
                              </wps:cNvCnPr>
                              <wps:spPr>
                                <a:xfrm>
                                  <a:off x="9379" y="3486"/>
                                  <a:ext cx="446" cy="2"/>
                                </a:xfrm>
                                <a:prstGeom prst="straightConnector1">
                                  <a:avLst/>
                                </a:prstGeom>
                                <a:ln>
                                  <a:solidFill>
                                    <a:schemeClr val="tx1"/>
                                  </a:solidFill>
                                  <a:headEnd type="none"/>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236" name="直接箭头连接符 18"/>
                              <wps:cNvCnPr/>
                              <wps:spPr>
                                <a:xfrm flipH="1">
                                  <a:off x="10574" y="4484"/>
                                  <a:ext cx="2" cy="307"/>
                                </a:xfrm>
                                <a:prstGeom prst="straightConnector1">
                                  <a:avLst/>
                                </a:prstGeom>
                                <a:ln>
                                  <a:solidFill>
                                    <a:schemeClr val="tx1"/>
                                  </a:solidFill>
                                  <a:headEnd type="none"/>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235" name="直接箭头连接符 25"/>
                              <wps:cNvCnPr>
                                <a:stCxn id="217" idx="3"/>
                                <a:endCxn id="223" idx="1"/>
                              </wps:cNvCnPr>
                              <wps:spPr>
                                <a:xfrm>
                                  <a:off x="9388" y="4998"/>
                                  <a:ext cx="442" cy="9"/>
                                </a:xfrm>
                                <a:prstGeom prst="straightConnector1">
                                  <a:avLst/>
                                </a:prstGeom>
                                <a:ln>
                                  <a:solidFill>
                                    <a:schemeClr val="tx1"/>
                                  </a:solidFill>
                                  <a:headEnd type="none"/>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232" name="直接箭头连接符 19"/>
                              <wps:cNvCnPr/>
                              <wps:spPr>
                                <a:xfrm>
                                  <a:off x="10574" y="5223"/>
                                  <a:ext cx="2" cy="357"/>
                                </a:xfrm>
                                <a:prstGeom prst="straightConnector1">
                                  <a:avLst/>
                                </a:prstGeom>
                                <a:ln>
                                  <a:solidFill>
                                    <a:schemeClr val="tx1"/>
                                  </a:solidFill>
                                  <a:headEnd type="none"/>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231" name="直接箭头连接符 20"/>
                              <wps:cNvCnPr/>
                              <wps:spPr>
                                <a:xfrm>
                                  <a:off x="10576" y="6012"/>
                                  <a:ext cx="4" cy="426"/>
                                </a:xfrm>
                                <a:prstGeom prst="straightConnector1">
                                  <a:avLst/>
                                </a:prstGeom>
                                <a:ln>
                                  <a:solidFill>
                                    <a:schemeClr val="tx1"/>
                                  </a:solidFill>
                                  <a:headEnd type="none"/>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229" name="直接箭头连接符 41"/>
                              <wps:cNvCnPr>
                                <a:stCxn id="213" idx="3"/>
                                <a:endCxn id="210" idx="1"/>
                              </wps:cNvCnPr>
                              <wps:spPr>
                                <a:xfrm flipV="1">
                                  <a:off x="11323" y="6633"/>
                                  <a:ext cx="820" cy="5"/>
                                </a:xfrm>
                                <a:prstGeom prst="straightConnector1">
                                  <a:avLst/>
                                </a:prstGeom>
                                <a:ln>
                                  <a:solidFill>
                                    <a:schemeClr val="tx1"/>
                                  </a:solidFill>
                                  <a:prstDash val="lgDashDotDot"/>
                                  <a:headEnd type="none"/>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228" name="直接箭头连接符 21"/>
                              <wps:cNvCnPr/>
                              <wps:spPr>
                                <a:xfrm flipH="1">
                                  <a:off x="10577" y="6837"/>
                                  <a:ext cx="3" cy="294"/>
                                </a:xfrm>
                                <a:prstGeom prst="straightConnector1">
                                  <a:avLst/>
                                </a:prstGeom>
                                <a:ln>
                                  <a:solidFill>
                                    <a:schemeClr val="tx1"/>
                                  </a:solidFill>
                                  <a:headEnd type="none"/>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227" name="直接箭头连接符 22"/>
                              <wps:cNvCnPr/>
                              <wps:spPr>
                                <a:xfrm flipH="1">
                                  <a:off x="10571" y="7563"/>
                                  <a:ext cx="6" cy="370"/>
                                </a:xfrm>
                                <a:prstGeom prst="straightConnector1">
                                  <a:avLst/>
                                </a:prstGeom>
                                <a:ln>
                                  <a:solidFill>
                                    <a:schemeClr val="tx1"/>
                                  </a:solidFill>
                                  <a:headEnd type="none"/>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226" name="直接箭头连接符 39"/>
                              <wps:cNvCnPr>
                                <a:stCxn id="212" idx="3"/>
                                <a:endCxn id="220" idx="1"/>
                              </wps:cNvCnPr>
                              <wps:spPr>
                                <a:xfrm flipV="1">
                                  <a:off x="9435" y="8149"/>
                                  <a:ext cx="392" cy="2"/>
                                </a:xfrm>
                                <a:prstGeom prst="straightConnector1">
                                  <a:avLst/>
                                </a:prstGeom>
                                <a:ln>
                                  <a:solidFill>
                                    <a:schemeClr val="tx1"/>
                                  </a:solidFill>
                                  <a:headEnd type="none"/>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225" name="直接箭头连接符 38"/>
                              <wps:cNvCnPr>
                                <a:stCxn id="214" idx="3"/>
                                <a:endCxn id="213" idx="1"/>
                              </wps:cNvCnPr>
                              <wps:spPr>
                                <a:xfrm>
                                  <a:off x="9418" y="6633"/>
                                  <a:ext cx="418" cy="5"/>
                                </a:xfrm>
                                <a:prstGeom prst="straightConnector1">
                                  <a:avLst/>
                                </a:prstGeom>
                                <a:ln>
                                  <a:solidFill>
                                    <a:schemeClr val="tx1"/>
                                  </a:solidFill>
                                  <a:headEnd type="none"/>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224" name="直接箭头连接符 24"/>
                              <wps:cNvCnPr>
                                <a:stCxn id="220" idx="2"/>
                                <a:endCxn id="219" idx="0"/>
                              </wps:cNvCnPr>
                              <wps:spPr>
                                <a:xfrm>
                                  <a:off x="10571" y="8365"/>
                                  <a:ext cx="1" cy="379"/>
                                </a:xfrm>
                                <a:prstGeom prst="straightConnector1">
                                  <a:avLst/>
                                </a:prstGeom>
                                <a:ln>
                                  <a:solidFill>
                                    <a:schemeClr val="tx1"/>
                                  </a:solidFill>
                                  <a:headEnd type="none"/>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223" name="文本框 6"/>
                              <wps:cNvSpPr txBox="1"/>
                              <wps:spPr>
                                <a:xfrm>
                                  <a:off x="9830" y="4791"/>
                                  <a:ext cx="1487" cy="432"/>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109D2418">
                                    <w:pPr>
                                      <w:jc w:val="center"/>
                                      <w:rPr>
                                        <w:rFonts w:hint="eastAsia"/>
                                        <w:lang w:val="en-US" w:eastAsia="zh-CN"/>
                                      </w:rPr>
                                    </w:pPr>
                                    <w:r>
                                      <w:rPr>
                                        <w:rFonts w:hint="eastAsia"/>
                                        <w:lang w:val="en-US" w:eastAsia="zh-CN"/>
                                      </w:rPr>
                                      <w:t>运输至厂区</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22" name="文本框 10"/>
                              <wps:cNvSpPr txBox="1"/>
                              <wps:spPr>
                                <a:xfrm>
                                  <a:off x="9245" y="5580"/>
                                  <a:ext cx="2074" cy="432"/>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56BAE529">
                                    <w:pPr>
                                      <w:jc w:val="center"/>
                                      <w:rPr>
                                        <w:rFonts w:hint="eastAsia"/>
                                      </w:rPr>
                                    </w:pPr>
                                    <w:r>
                                      <w:rPr>
                                        <w:rFonts w:hint="eastAsia"/>
                                      </w:rPr>
                                      <w:t>称重、</w:t>
                                    </w:r>
                                    <w:r>
                                      <w:rPr>
                                        <w:rFonts w:hint="eastAsia"/>
                                        <w:lang w:val="en-US" w:eastAsia="zh-CN"/>
                                      </w:rPr>
                                      <w:t>检验、</w:t>
                                    </w:r>
                                    <w:r>
                                      <w:rPr>
                                        <w:rFonts w:hint="eastAsia"/>
                                      </w:rPr>
                                      <w:t>入库</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21" name="文本框 7"/>
                              <wps:cNvSpPr txBox="1"/>
                              <wps:spPr>
                                <a:xfrm>
                                  <a:off x="9833" y="7131"/>
                                  <a:ext cx="1487" cy="432"/>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318322FE">
                                    <w:pPr>
                                      <w:jc w:val="center"/>
                                      <w:rPr>
                                        <w:rFonts w:hint="eastAsia"/>
                                      </w:rPr>
                                    </w:pPr>
                                    <w:r>
                                      <w:rPr>
                                        <w:rFonts w:hint="eastAsia"/>
                                      </w:rPr>
                                      <w:t>称重、出库</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20" name="文本框 9"/>
                              <wps:cNvSpPr txBox="1"/>
                              <wps:spPr>
                                <a:xfrm>
                                  <a:off x="9827" y="7933"/>
                                  <a:ext cx="1487" cy="432"/>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57DDDD9A">
                                    <w:pPr>
                                      <w:jc w:val="center"/>
                                      <w:rPr>
                                        <w:rFonts w:hint="eastAsia"/>
                                      </w:rPr>
                                    </w:pPr>
                                    <w:r>
                                      <w:rPr>
                                        <w:rFonts w:hint="eastAsia"/>
                                      </w:rPr>
                                      <w:t>转运</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13" name="文本框 4"/>
                              <wps:cNvSpPr txBox="1"/>
                              <wps:spPr>
                                <a:xfrm>
                                  <a:off x="9836" y="6438"/>
                                  <a:ext cx="1487" cy="399"/>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2F4EC5CF">
                                    <w:pPr>
                                      <w:jc w:val="center"/>
                                      <w:rPr>
                                        <w:rFonts w:hint="eastAsia"/>
                                      </w:rPr>
                                    </w:pPr>
                                    <w:r>
                                      <w:rPr>
                                        <w:rFonts w:hint="eastAsia"/>
                                      </w:rPr>
                                      <w:t>储存</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10" name="文本框 31"/>
                              <wps:cNvSpPr txBox="1"/>
                              <wps:spPr>
                                <a:xfrm>
                                  <a:off x="12143" y="6422"/>
                                  <a:ext cx="990" cy="421"/>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14:paraId="1000A354">
                                    <w:pPr>
                                      <w:rPr>
                                        <w:rFonts w:hint="eastAsia"/>
                                        <w:lang w:val="en-US" w:eastAsia="zh-CN"/>
                                      </w:rPr>
                                    </w:pPr>
                                    <w:r>
                                      <w:rPr>
                                        <w:rFonts w:hint="eastAsia"/>
                                        <w:lang w:val="en-US" w:eastAsia="zh-CN"/>
                                      </w:rPr>
                                      <w:t>G1、S2</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93" name="直接箭头连接符 16"/>
                              <wps:cNvCnPr>
                                <a:stCxn id="244" idx="2"/>
                                <a:endCxn id="243" idx="0"/>
                              </wps:cNvCnPr>
                              <wps:spPr>
                                <a:xfrm flipH="1">
                                  <a:off x="10569" y="2919"/>
                                  <a:ext cx="2" cy="353"/>
                                </a:xfrm>
                                <a:prstGeom prst="straightConnector1">
                                  <a:avLst/>
                                </a:prstGeom>
                                <a:ln>
                                  <a:solidFill>
                                    <a:schemeClr val="tx1"/>
                                  </a:solidFill>
                                  <a:headEnd type="none"/>
                                  <a:tailEnd type="triangle" w="med" len="med"/>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id="_x0000_s1026" o:spid="_x0000_s1026" o:spt="203" style="position:absolute;left:0pt;margin-left:68.75pt;margin-top:7.65pt;height:334.45pt;width:280pt;z-index:251664384;mso-width-relative:page;mso-height-relative:page;" coordorigin="7602,2487" coordsize="5600,6689" o:gfxdata="UEsDBAoAAAAAAIdO4kAAAAAAAAAAAAAAAAAEAAAAZHJzL1BLAwQUAAAACACHTuJANq7RNNkAAAAK&#10;AQAADwAAAGRycy9kb3ducmV2LnhtbE2PQU/CQBCF7yb+h82YeJNtqUWs3RJD1BMhEUwIt6U7tA3d&#10;2aa7tPDvHU56e2/m5c03+eJiWzFg7xtHCuJJBAKpdKahSsHP9vNpDsIHTUa3jlDBFT0sivu7XGfG&#10;jfSNwyZUgkvIZ1pBHUKXSenLGq32E9ch8e7oeqsD276Sptcjl9tWTqNoJq1uiC/UusNljeVpc7YK&#10;vkY9vifxx7A6HZfX/TZd71YxKvX4EEdvIAJewl8YbviMDgUzHdyZjBct++Ql5SiLNAHBgdnrbXBg&#10;MX+egixy+f+F4hdQSwMEFAAAAAgAh07iQAhjcSO8CAAApVQAAA4AAABkcnMvZTJvRG9jLnhtbO1c&#10;y47bRhbdB8g/ENzH4qP4EiwHnu7YE8CIDTiZWbMpSiKGIjkk22rPepBkFWQ1mxkMECDJKjOr7GYx&#10;XxM7n5Fzq4oPUY+25LRaEhgEbZJFFsniqXPvPfeWHn58M4+VV2FeRGkyUvUHmqqESZCOo2Q6Ur/4&#10;/MlHrqoUpZ+M/ThNwpH6OizUjx99+MHDRTYMjXSWxuMwV9BJUgwX2UidlWU2HAyKYBbO/eJBmoUJ&#10;GidpPvdL7ObTwTj3F+h9Hg8MTbMHizQfZ3kahEWBo5eiUZU95u/SYTqZREF4mQbX8zApRa95GPsl&#10;XqmYRVmhPuJPO5mEQfl8MinCUolHKt605H9xE2xf0d/Bo4f+cJr72SwK5CP47/IInXea+1GCm9Zd&#10;Xfqlr1zn0UpX8yjI0yKdlA+CdD4QL8JHBG+ha52xeZqn1xl/l+lwMc3qQceH6oz63t0Gn716kSvR&#10;eKQyVUn8OT742//9/Zdvv1YYjc0imw5xytM8e5m9yOWBqdij172Z5HP6Fy+i3PBRfV2PanhTKgEO&#10;mpZlaxoGPEAbM5hj6ZYY92CGj0PXObZmqAqaDeY6Vdsn8nq6Wlxs265HrYPqxgN6vvpxFhkQWTTD&#10;VLzfML2c+VnIR7+gMZDDZOiYH2Kg3vzjqzf/+unNd18qLj0V3R7n0UAp5c0fUryXXh0vcHDNeDme&#10;4/H3Ng1HYrEaNZ1Vb81MY+ml/WGWF+XTMJ0rtDFSc6Ccg89/9awoxfhUp9BNizSOxk+iOOY7+fTq&#10;Is6VVz5mxBP+n+x96bQ4URYj1TYtjfe81EZ9111cxX7wl3U90FmXfjETdxpjS54VJ/iCNFhiUGir&#10;vLm6kSN4lY5fYwDzVEzVIgueROjpmV+UL/wccxNYAHuVz/FnEqd4yFRuqcoszf+27jidDyygVVUW&#10;mOsjtfjrtZ+HqhJ/mgAlns4Yui35DrMcAzt5u+Wq3ZJczy9SDJ4OnswCvknnl3G1OcnT+Z9Bco/p&#10;rmjykwD3HqlltXlRCgYCSQbh48f8JNBB5pfPkpdZQF3Tp0rSx9dlOon4J6VhEmMjRw9IF5g7AOQx&#10;ObuQN036nHth3hNz3XFWMc9MMdMdu8d8j/l7xXxtDxuaN6VN3IPnPYfzvM30FZ43QCTcNDJbMmRl&#10;VSsS73m+5/mDuDYAaZfn9dqH2dW3qXw65riczP1h7ds4ri0x3/s2vW/DncF7823ggHcxb+zr23iW&#10;JXjedRi3FQ3mDc3AnTjPHwHmk5TiAREq9P747+mPy3j0bmP1GrMyVueOw46xuq6bJkJZBN2O5nGS&#10;b8Cquzbcn5ZT4g+bWN0gIOMyy7LkZcGsitVXLrzPUF2HkelObTH39glbbNfqvHZtzphWTe0jcOH6&#10;qX3CoTYmooTs23/+/OabH97+9z+/fP/zr///N23/9KMCmaKJui8SKclVUoqQxZRJHGV/qkQEqcw5&#10;9ax1hIbWTHZmgAZornPlrZ6wKzJTUeZ+NJ2VF2mSQHFKc6FSbBCdahj6Q6EleZaBCRSQ+jKBVIvN&#10;eTaGEpNMIYvEU2jRQZmvik1FW6+CjEhKorBbK5pUozbFU9q+TEv8T2f7w1nojz9Jxkr5OoPEmUDZ&#10;FsdLP4qb42Ue+ck0hjAEXWkejiEQhXgw2tpoK4XjQs3EKlyVaWRJoaByhfKOLUIt0UiTwD/m7iZB&#10;73J7TXJnYRIMhDO9TejlVy65nor8akJDFn5MbxTWJDFO0igcQs4x18g5PPO2h/vrudL9ZZrVVXNM&#10;6DtHE9mueAW3Zarg8PQR8O8ZAR8C2lBXVsz4vkIlRBsR2TXJ58rpMTTEi0cD7dql7iGLfOrJQRap&#10;za4aoXMq3YuOKZhCzIbCgS4dUwnF0WC2p+OqKuCcCwRISNzmoeoyGuWJ0w2yBUXpUqzQNcsWcajp&#10;aB0dXWLbZLzm5izUCj5H7kGmkHpFLUzcTb0UCkW2YsOQ4nWNDV6lVF7cJLwsjddbRWOqIxNDFCbj&#10;uo3KRXgbt/1cgEGWkgAmSlM2lF15ZlV2xZCI5PpQZfEZFFxOnpxVe3i9hwp2IHjVIv/64BjlevjA&#10;0sRuoB6umP6xo5iChBx4mbCxjLkdEpJOoamdj2R65iQEb2mbgYI3tYySLgnB7GwiIWSL9yMhV6Tf&#10;mOdxjLYUeSYBtlztesqK/JnDC99rG7ygqi/DS+5tsE8N9ViGqEVosFFRDwoN0ElvoI7fQNUZh/UG&#10;CsXGu2IDJg9mydZE+NhgA+aK5+yFS9Vj4+ixQZUU23iDtTUt4dainL/lG1emZ41vjELTdzZLa1PG&#10;KBAh00ZIs0W1d4M0l0rkCWvcbp4F0u45Z3wYb5lS/dsAh1rkW8loo7cMH4nA4iLvgE4asABEBBXD&#10;4170WYDlvN0ZA19yK0rasuWuMRXMIcDgWHbFWXKZl4y7ofj0js171p8ciEtuibzNrtPbjangym6M&#10;qd7XeHnMFAK5qzP+HC06ovVHnJB6oJ0G0G4J3qE+LxutLtDgF28Cml55UDsqiIyWgZK1W3GNeMt5&#10;uUZnbu3qXPKGAI27LS0FsQMvcoU5vKpEXEugpnI63iaM2lIntLNFABB20jVt7mI39IXjhC6SsIH6&#10;3ps6/iAPFCO8qWYlYTvn8XKHBeOeS8Vg+PzMWanZ7/O+/cJw6fmJhMfdLww3at2zgbZY4CqZbids&#10;G0y4bJblcrpsOM/QKBVDtHeSP4YAku5LzE6tXoeWZXdpu13GsBO0XcqCA76ObnJHs4G23tN2T9uH&#10;pm34EF1ot4P13aBNahFB2+uKxD20+5+qaRZFSYzfcbURxfNdaLfjt92gbcpMGxMSwzrWNr1b4rBj&#10;/HWm3iE5wQJiSuh1oS28iT2cbd3QqXgOvG0zePFL+RrPw524sy3SQZs1hgNguy96P+XlzDUbr5fW&#10;sEJ/q3JLyzw2SWt17ec7SGubUpayytjwRIFOw+91lQ1PUm2eAMXprIm+LxGXL4bGr1dyrVL+0ib9&#10;PGZ7H9vtXxd99Bt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AuCwAAW0NvbnRlbnRfVHlwZXNdLnhtbFBLAQIUAAoAAAAAAIdO4kAAAAAAAAAAAAAA&#10;AAAGAAAAAAAAAAAAEAAAABAKAABfcmVscy9QSwECFAAUAAAACACHTuJAihRmPNEAAACUAQAACwAA&#10;AAAAAAABACAAAAA0CgAAX3JlbHMvLnJlbHNQSwECFAAKAAAAAACHTuJAAAAAAAAAAAAAAAAABAAA&#10;AAAAAAAAABAAAAAAAAAAZHJzL1BLAQIUABQAAAAIAIdO4kA2rtE02QAAAAoBAAAPAAAAAAAAAAEA&#10;IAAAACIAAABkcnMvZG93bnJldi54bWxQSwECFAAUAAAACACHTuJACGNxI7wIAAClVAAADgAAAAAA&#10;AAABACAAAAAoAQAAZHJzL2Uyb0RvYy54bWxQSwUGAAAAAAYABgBZAQAAVgwAAAAA&#10;">
                      <o:lock v:ext="edit" aspectratio="f"/>
                      <v:shape id="文本框 8" o:spid="_x0000_s1026" o:spt="202" type="#_x0000_t202" style="position:absolute;left:7979;top:3270;height:432;width:1400;" fillcolor="#FFFFFF [3201]" filled="t" stroked="t" coordsize="21600,21600" o:gfxdata="UEsDBAoAAAAAAIdO4kAAAAAAAAAAAAAAAAAEAAAAZHJzL1BLAwQUAAAACACHTuJAKdBPx7sAAADc&#10;AAAADwAAAGRycy9kb3ducmV2LnhtbEVPO2vDMBDeC/kP4gLdGtkZ3OJGyVAIZEgxTQsh28W62qbW&#10;yVjnR/Lrq6HQ8eN7b3aza9VIfWg8G0hXCSji0tuGKwNfn/unF1BBkC22nsnAjQLstouHDebWT/xB&#10;40kqFUM45GigFulyrUNZk8Ow8h1x5L5971Ai7Ctte5xiuGv1Okky7bDh2FBjR281lT+nwRk4XzM3&#10;2H1x4eesOL4PKHcaxJjHZZq8ghKa5V/85z5YA+s0ro1n4hHQ21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KdBPx7sAAADc&#10;AAAADwAAAAAAAAABACAAAAAiAAAAZHJzL2Rvd25yZXYueG1sUEsBAhQAFAAAAAgAh07iQDMvBZ47&#10;AAAAOQAAABAAAAAAAAAAAQAgAAAACgEAAGRycy9zaGFwZXhtbC54bWxQSwUGAAAAAAYABgBbAQAA&#10;tAMAAAAA&#10;">
                        <v:fill on="t" focussize="0,0"/>
                        <v:stroke weight="0.5pt" color="#000000 [3204]" joinstyle="round" dashstyle="dash"/>
                        <v:imagedata o:title=""/>
                        <o:lock v:ext="edit" aspectratio="f"/>
                        <v:textbox>
                          <w:txbxContent>
                            <w:p w14:paraId="1554042D">
                              <w:pPr>
                                <w:jc w:val="center"/>
                                <w:rPr>
                                  <w:rFonts w:hint="eastAsia"/>
                                </w:rPr>
                              </w:pPr>
                              <w:r>
                                <w:rPr>
                                  <w:rFonts w:hint="eastAsia"/>
                                </w:rPr>
                                <w:t>建设单位</w:t>
                              </w:r>
                            </w:p>
                          </w:txbxContent>
                        </v:textbox>
                      </v:shape>
                      <v:shape id="文本框 33" o:spid="_x0000_s1026" o:spt="202" type="#_x0000_t202" style="position:absolute;left:7992;top:7770;height:762;width:1443;" fillcolor="#FFFFFF [3201]" filled="t" stroked="t" coordsize="21600,21600" o:gfxdata="UEsDBAoAAAAAAIdO4kAAAAAAAAAAAAAAAAAEAAAAZHJzL1BLAwQUAAAACACHTuJASDh4Lb4AAADc&#10;AAAADwAAAGRycy9kb3ducmV2LnhtbEWPQWvCQBSE74L/YXmF3nSTHNKSusmhIHhQRFsovb1mn0kw&#10;+zZkX9T667uFQo/DzHzDrKqb69WFxtB5NpAuE1DEtbcdNwbe39aLZ1BBkC32nsnANwWoyvlshYX1&#10;Vz7Q5SiNihAOBRpoRYZC61C35DAs/UAcvZMfHUqUY6PtiNcId73OkiTXDjuOCy0O9NpSfT5OzsDH&#10;V+4mu95/8lO+3+4mlDtNYszjQ5q8gBK6yX/4r72xBrI0g98z8Qjo8g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SDh4Lb4A&#10;AADcAAAADwAAAAAAAAABACAAAAAiAAAAZHJzL2Rvd25yZXYueG1sUEsBAhQAFAAAAAgAh07iQDMv&#10;BZ47AAAAOQAAABAAAAAAAAAAAQAgAAAADQEAAGRycy9zaGFwZXhtbC54bWxQSwUGAAAAAAYABgBb&#10;AQAAtwMAAAAA&#10;">
                        <v:fill on="t" focussize="0,0"/>
                        <v:stroke weight="0.5pt" color="#000000 [3204]" joinstyle="round" dashstyle="dash"/>
                        <v:imagedata o:title=""/>
                        <o:lock v:ext="edit" aspectratio="f"/>
                        <v:textbox>
                          <w:txbxContent>
                            <w:p w14:paraId="53BBCB00">
                              <w:pPr>
                                <w:jc w:val="center"/>
                                <w:rPr>
                                  <w:rFonts w:hint="eastAsia"/>
                                </w:rPr>
                              </w:pPr>
                              <w:r>
                                <w:rPr>
                                  <w:rFonts w:hint="eastAsia"/>
                                </w:rPr>
                                <w:t>具备废油运输资质公司</w:t>
                              </w:r>
                            </w:p>
                          </w:txbxContent>
                        </v:textbox>
                      </v:shape>
                      <v:shape id="文本框 34" o:spid="_x0000_s1026" o:spt="202" type="#_x0000_t202" style="position:absolute;left:7997;top:6410;height:446;width:1421;" fillcolor="#FFFFFF [3201]" filled="t" stroked="t" coordsize="21600,21600" o:gfxdata="UEsDBAoAAAAAAIdO4kAAAAAAAAAAAAAAAAAEAAAAZHJzL1BLAwQUAAAACACHTuJAqJ1Fwr4AAADc&#10;AAAADwAAAGRycy9kb3ducmV2LnhtbEWPQWvCQBSE7wX/w/KE3uomUlKJbnIoCD20iFaQ3l6zzyQ0&#10;+zZkX9T213cFweMwM98wq/LiOnWiIbSeDaSzBBRx5W3LtYH95/ppASoIssXOMxn4pQBlMXlYYW79&#10;mbd02kmtIoRDjgYakT7XOlQNOQwz3xNH7+gHhxLlUGs74DnCXafnSZJphy3HhQZ7em2o+tmNzsDh&#10;O3OjXW+++CXbvH+MKH80ijGP0zRZghK6yD18a79ZA/P0Ga5n4hHQxT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qJ1Fwr4A&#10;AADcAAAADwAAAAAAAAABACAAAAAiAAAAZHJzL2Rvd25yZXYueG1sUEsBAhQAFAAAAAgAh07iQDMv&#10;BZ47AAAAOQAAABAAAAAAAAAAAQAgAAAADQEAAGRycy9zaGFwZXhtbC54bWxQSwUGAAAAAAYABgBb&#10;AQAAtwMAAAAA&#10;">
                        <v:fill on="t" focussize="0,0"/>
                        <v:stroke weight="0.5pt" color="#000000 [3204]" joinstyle="round" dashstyle="dash"/>
                        <v:imagedata o:title=""/>
                        <o:lock v:ext="edit" aspectratio="f"/>
                        <v:textbox>
                          <w:txbxContent>
                            <w:p w14:paraId="3D8CDE00">
                              <w:pPr>
                                <w:jc w:val="center"/>
                                <w:rPr>
                                  <w:rFonts w:hint="eastAsia"/>
                                </w:rPr>
                              </w:pPr>
                              <w:r>
                                <w:rPr>
                                  <w:rFonts w:hint="eastAsia"/>
                                </w:rPr>
                                <w:t>碳钢储油罐</w:t>
                              </w:r>
                            </w:p>
                          </w:txbxContent>
                        </v:textbox>
                      </v:shape>
                      <v:shape id="文本框 11" o:spid="_x0000_s1026" o:spt="202" type="#_x0000_t202" style="position:absolute;left:7602;top:4782;height:432;width:1786;" fillcolor="#FFFFFF [3201]" filled="t" stroked="t" coordsize="21600,21600" o:gfxdata="UEsDBAoAAAAAAIdO4kAAAAAAAAAAAAAAAAAEAAAAZHJzL1BLAwQUAAAACACHTuJAWE/btb0AAADc&#10;AAAADwAAAGRycy9kb3ducmV2LnhtbEWPQWvCQBSE70L/w/IK3swmHmJJXT0IggdFtAXp7TX7mgSz&#10;b0P2RW1/vSsIPQ4z8w0zX95cqy7Uh8azgSxJQRGX3jZcGfj8WE/eQAVBtth6JgO/FGC5eBnNsbD+&#10;yge6HKVSEcKhQAO1SFdoHcqaHIbEd8TR+/G9Q4myr7Tt8RrhrtXTNM21w4bjQo0drWoqz8fBGTh9&#10;526w6/0Xz/L9djeg/NEgxoxfs/QdlNBN/sPP9sYamGYzeJyJR0Av7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YT9u1vQAA&#10;ANwAAAAPAAAAAAAAAAEAIAAAACIAAABkcnMvZG93bnJldi54bWxQSwECFAAUAAAACACHTuJAMy8F&#10;njsAAAA5AAAAEAAAAAAAAAABACAAAAAMAQAAZHJzL3NoYXBleG1sLnhtbFBLBQYAAAAABgAGAFsB&#10;AAC2AwAAAAA=&#10;">
                        <v:fill on="t" focussize="0,0"/>
                        <v:stroke weight="0.5pt" color="#000000 [3204]" joinstyle="round" dashstyle="dash"/>
                        <v:imagedata o:title=""/>
                        <o:lock v:ext="edit" aspectratio="f"/>
                        <v:textbox>
                          <w:txbxContent>
                            <w:p w14:paraId="7B4D44A2">
                              <w:pPr>
                                <w:rPr>
                                  <w:rFonts w:hint="eastAsia"/>
                                </w:rPr>
                              </w:pPr>
                              <w:r>
                                <w:rPr>
                                  <w:rFonts w:hint="eastAsia"/>
                                </w:rPr>
                                <w:t>专用危废运输车辆</w:t>
                              </w:r>
                            </w:p>
                          </w:txbxContent>
                        </v:textbox>
                      </v:shape>
                      <v:shape id="文本框 23" o:spid="_x0000_s1026" o:spt="202" type="#_x0000_t202" style="position:absolute;left:9557;top:8744;height:432;width:2029;" fillcolor="#FFFFFF [3201]" filled="t" stroked="f" coordsize="21600,21600" o:gfxdata="UEsDBAoAAAAAAIdO4kAAAAAAAAAAAAAAAAAEAAAAZHJzL1BLAwQUAAAACACHTuJAeFwEebwAAADc&#10;AAAADwAAAGRycy9kb3ducmV2LnhtbEWPwWrDMBBE74H+g9hCbonsUErjRM6hUOip0CT1ebE2kqm1&#10;MpJqO/n6qFDocZiZN8z+MLtejBRi51lBuS5AELded2wUnE9vqxcQMSFr7D2TgitFONQPiz1W2k/8&#10;SeMxGZEhHCtUYFMaKilja8lhXPuBOHsXHxymLIOROuCU4a6Xm6J4lg47zgsWB3q11H4ff5yCxrhb&#10;81UOwWrXP/HH7Xo6+06p5WNZ7EAkmtN/+K/9rhVsyi38nslHQNZ3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HhcBHm8AAAA&#10;3AAAAA8AAAAAAAAAAQAgAAAAIgAAAGRycy9kb3ducmV2LnhtbFBLAQIUABQAAAAIAIdO4kAzLwWe&#10;OwAAADkAAAAQAAAAAAAAAAEAIAAAAAsBAABkcnMvc2hhcGV4bWwueG1sUEsFBgAAAAAGAAYAWwEA&#10;ALUDAAAAAA==&#10;">
                        <v:fill on="t" focussize="0,0"/>
                        <v:stroke on="f" weight="0.5pt"/>
                        <v:imagedata o:title=""/>
                        <o:lock v:ext="edit" aspectratio="f"/>
                        <v:textbox>
                          <w:txbxContent>
                            <w:p w14:paraId="607C3F5C">
                              <w:pPr>
                                <w:jc w:val="center"/>
                                <w:rPr>
                                  <w:rFonts w:hint="default" w:eastAsia="宋体"/>
                                  <w:lang w:val="en-US" w:eastAsia="zh-CN"/>
                                </w:rPr>
                              </w:pPr>
                              <w:r>
                                <w:rPr>
                                  <w:rFonts w:hint="eastAsia"/>
                                </w:rPr>
                                <w:t>废矿物油</w:t>
                              </w:r>
                              <w:r>
                                <w:rPr>
                                  <w:rFonts w:hint="eastAsia"/>
                                  <w:lang w:val="en-US" w:eastAsia="zh-CN"/>
                                </w:rPr>
                                <w:t>处置单位</w:t>
                              </w:r>
                            </w:p>
                          </w:txbxContent>
                        </v:textbox>
                      </v:shape>
                      <v:group id="组合 6" o:spid="_x0000_s1026" o:spt="203" style="position:absolute;left:11338;top:7091;height:446;width:1864;" coordorigin="7229,5551" coordsize="1864,446" o:gfxdata="UEsDBAoAAAAAAIdO4kAAAAAAAAAAAAAAAAAEAAAAZHJzL1BLAwQUAAAACACHTuJA9b9Dfr4AAADa&#10;AAAADwAAAGRycy9kb3ducmV2LnhtbEWPQWvCQBSE70L/w/IKvTWbWFo0uhGRtvQgBRNBvD2yzyQk&#10;+zZkt4n++26h4HGYmW+Y9eZqOjHS4BrLCpIoBkFcWt1wpeBYfDwvQDiPrLGzTApu5GCTPczWmGo7&#10;8YHG3FciQNilqKD2vk+ldGVNBl1ke+LgXexg0Ac5VFIPOAW46eQ8jt+kwYbDQo097Woq2/zHKPic&#10;cNq+JO/jvr3sbufi9fu0T0ipp8ckXoHwdPX38H/7SytYwt+VcANk9gtQSwMEFAAAAAgAh07iQDMv&#10;BZ47AAAAOQAAABUAAABkcnMvZ3JvdXBzaGFwZXhtbC54bWyzsa/IzVEoSy0qzszPs1Uy1DNQUkjN&#10;S85PycxLt1UKDXHTtVBSKC5JzEtJzMnPS7VVqkwtVrK34+UCAFBLAwQKAAAAAACHTuJAAAAAAAAA&#10;AAAAAAAABgAAAF9yZWxzL1BLAwQUAAAACACHTuJACS23BNMAAACZAQAACwAAAF9yZWxzLy5yZWxz&#10;pZBBSwMxEIXvgv8hzN3NtgcRabY3oddawWtIZrPBTSbMxNX+e1NEcKU3D3OYecz3Hm+3/0yzWpAl&#10;Ujaw6XpQmB35mIOBl9PT3QMoqTZ7O1NGA2cU2A+3N7sjzra2J5liEdUoWQxMtZZHrcVNmKx0VDA3&#10;ZSROtraVgy7WvdmAetv395p/M2BYMdXBG+CD34I6nUtz/sNO0TEJjbVzlDSNY3TXqDowvZfnyRZ8&#10;TXNjWQ5YDXiWb0kuUgvZtQF9PcPmnxk8feQjLmv3y5Fx+fHVq0KHL1BLAwQUAAAACACHTuJAVH3o&#10;J/4AAADsAQAAEwAAAFtDb250ZW50X1R5cGVzXS54bWyVkctOwzAQRfdI/IPlLUocWCCEmnRBgB0g&#10;KB8wsieJRWJbHje0f8+4jw2iSF3aM/eeI3ux3EyjmDGS9a6W12UlBTrtjXV9LT9XT8WdFJTAGRi9&#10;w1pukeSyubxYrLYBSXDaUS2HlMK9UqQHnIBKH9DxpPNxgsTH2KsA+gt6VDdVdau0dwldKlLukM2i&#10;xQ7WYxKPG77em0QcSYqH/WJm1RJCGK2GxKZqduYXpTgQSk7udmiwga5YQ6o/CXlyGnDIvfLTRGtQ&#10;vEFMLzCxhjKRlPHfLuJc/l+SLScqfNdZjWUbqeXYO85Hq1PtffTrQAME5P5zGc85/JHDR4za/VXz&#10;A1BLAQIUABQAAAAIAIdO4kBUfegn/gAAAOwBAAATAAAAAAAAAAEAIAAAAJsCAABbQ29udGVudF9U&#10;eXBlc10ueG1sUEsBAhQACgAAAAAAh07iQAAAAAAAAAAAAAAAAAYAAAAAAAAAAAAQAAAAewEAAF9y&#10;ZWxzL1BLAQIUABQAAAAIAIdO4kAJLbcE0wAAAJkBAAALAAAAAAAAAAEAIAAAAJ8BAABfcmVscy8u&#10;cmVsc1BLAQIUAAoAAAAAAIdO4kAAAAAAAAAAAAAAAAAEAAAAAAAAAAAAEAAAAAAAAABkcnMvUEsB&#10;AhQAFAAAAAgAh07iQPW/Q36+AAAA2gAAAA8AAAAAAAAAAQAgAAAAIgAAAGRycy9kb3ducmV2Lnht&#10;bFBLAQIUABQAAAAIAIdO4kAzLwWeOwAAADkAAAAVAAAAAAAAAAEAIAAAAA0BAABkcnMvZ3JvdXBz&#10;aGFwZXhtbC54bWxQSwUGAAAAAAYABgBgAQAAygMAAAAA&#10;">
                        <o:lock v:ext="edit" aspectratio="f"/>
                        <v:shape id="文本框 32" o:spid="_x0000_s1026" o:spt="202" type="#_x0000_t202" style="position:absolute;left:7685;top:5551;height:446;width:1409;" fillcolor="#FFFFFF [3201]" filled="t" stroked="f" coordsize="21600,21600" o:gfxdata="UEsDBAoAAAAAAIdO4kAAAAAAAAAAAAAAAAAEAAAAZHJzL1BLAwQUAAAACACHTuJAmxWXWbQAAADb&#10;AAAADwAAAGRycy9kb3ducmV2LnhtbEVPyQrCMBC9C/5DGMGbphURqUYPguBJcD0PzdgUm0lJ4vr1&#10;RhC8zeOtM18+bSPu5EPtWEE+zEAQl07XXCk4HtaDKYgQkTU2jknBiwIsF93OHAvtHryj+z5WIoVw&#10;KFCBibEtpAylIYth6FrixF2ctxgT9JXUHh8p3DZylGUTabHm1GCwpZWh8rq/WQXnyr7Pp7z1Rttm&#10;zNv363B0tVL9Xp7NQER6xr/4597oNH8C31/SAXLxAVBLAwQUAAAACACHTuJAMy8FnjsAAAA5AAAA&#10;EAAAAGRycy9zaGFwZXhtbC54bWyzsa/IzVEoSy0qzszPs1Uy1DNQUkjNS85PycxLt1UKDXHTtVBS&#10;KC5JzEtJzMnPS7VVqkwtVrK34+UCAFBLAwQKAAAAAACHTuJAAAAAAAAAAAAAAAAABgAAAF9yZWxz&#10;L1BLAwQUAAAACACHTuJA1VwmKMwAAACPAQAACwAAAF9yZWxzLy5yZWxzpZCxagMxDIb3QN/BaO/5&#10;kqGUEF+2QtaQQldh6+5MzpaxzDV5+7iUQi9ky6BBv9D3Ce32lzCpmbJ4jgbWTQuKomXn42Dg8/Tx&#10;+g5KCkaHE0cycCWBffey2h1pwlKXZPRJVKVEMTCWkrZaix0poDScKNZJzzlgqW0edEJ7xoH0pm3f&#10;dP7PgG7BVAdnIB/cBtTpmqr5jh28zSzcl8Zy0Nz33j6iahkx0VeYKgbzQMWAy/Kb1tOaWqAfm9dP&#10;mh1/xyPNS/FPmGn+8+rFG7sbUEsDBBQAAAAIAIdO4kBa4xFm9wAAAOIBAAATAAAAW0NvbnRlbnRf&#10;VHlwZXNdLnhtbJWRTU/EIBCG7yb+BzJX01I9GGNK92D1qEbXHzCBaUu2BcJg3f330v24GNfEI8y8&#10;z/sE6tV2GsVMka13Cq7LCgQ57Y11vYKP9VNxB4ITOoOjd6RgRwyr5vKiXu8CschpxwqGlMK9lKwH&#10;mpBLH8jlSefjhCkfYy8D6g32JG+q6lZq7xK5VKSFAU3dUoefYxKP23x9MIk0MoiHw+LSpQBDGK3G&#10;lE3l7MyPluLYUObkfocHG/gqa4D8tWGZnC845l7y00RrSLxiTM84ZQ1pIkvjv1ykufwbslhOXPiu&#10;s5rKNnKbY280n6zO0XnAQBn9X/z7kjvB5f6Hmm9QSwECFAAUAAAACACHTuJAWuMRZvcAAADiAQAA&#10;EwAAAAAAAAABACAAAACFAgAAW0NvbnRlbnRfVHlwZXNdLnhtbFBLAQIUAAoAAAAAAIdO4kAAAAAA&#10;AAAAAAAAAAAGAAAAAAAAAAAAEAAAAGwBAABfcmVscy9QSwECFAAUAAAACACHTuJA1VwmKMwAAACP&#10;AQAACwAAAAAAAAABACAAAACQAQAAX3JlbHMvLnJlbHNQSwECFAAKAAAAAACHTuJAAAAAAAAAAAAA&#10;AAAABAAAAAAAAAAAABAAAAAAAAAAZHJzL1BLAQIUABQAAAAIAIdO4kCbFZdZtAAAANsAAAAPAAAA&#10;AAAAAAEAIAAAACIAAABkcnMvZG93bnJldi54bWxQSwECFAAUAAAACACHTuJAMy8FnjsAAAA5AAAA&#10;EAAAAAAAAAABACAAAAADAQAAZHJzL3NoYXBleG1sLnhtbFBLBQYAAAAABgAGAFsBAACtAwAAAAA=&#10;">
                          <v:fill on="t" focussize="0,0"/>
                          <v:stroke on="f" weight="0.5pt"/>
                          <v:imagedata o:title=""/>
                          <o:lock v:ext="edit" aspectratio="f"/>
                          <v:textbox>
                            <w:txbxContent>
                              <w:p w14:paraId="2240D464">
                                <w:pPr>
                                  <w:jc w:val="both"/>
                                  <w:rPr>
                                    <w:rFonts w:hint="eastAsia" w:eastAsia="宋体"/>
                                    <w:lang w:eastAsia="zh-CN"/>
                                  </w:rPr>
                                </w:pPr>
                                <w:r>
                                  <w:rPr>
                                    <w:rFonts w:hint="eastAsia"/>
                                    <w:lang w:val="en-US" w:eastAsia="zh-CN"/>
                                  </w:rPr>
                                  <w:t>G1、N</w:t>
                                </w:r>
                              </w:p>
                            </w:txbxContent>
                          </v:textbox>
                        </v:shape>
                        <v:shape id="直接箭头连接符 40" o:spid="_x0000_s1026" o:spt="32" type="#_x0000_t32" style="position:absolute;left:7229;top:5789;flip:y;height:7;width:428;" filled="f" stroked="t" coordsize="21600,21600" o:gfxdata="UEsDBAoAAAAAAIdO4kAAAAAAAAAAAAAAAAAEAAAAZHJzL1BLAwQUAAAACACHTuJAmRd1/7oAAADb&#10;AAAADwAAAGRycy9kb3ducmV2LnhtbEWPQWsCMRSE7wX/Q3iCt5psD9JujR4ExUMR3O0PeGxeN6ub&#10;lyWJq/57Iwg9DjPzDbNc31wvRgqx86yhmCsQxI03Hbcafuvt+yeImJAN9p5Jw50irFeTtyWWxl/5&#10;SGOVWpEhHEvUYFMaSiljY8lhnPuBOHt/PjhMWYZWmoDXDHe9/FBqIR12nBcsDrSx1Jyri9NQx/qw&#10;80lVdPrZ2fvCjUHWUuvZtFDfIBLd0n/41d4bDV8FPL/kHyBXD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CZF3X/ugAAANsA&#10;AAAPAAAAAAAAAAEAIAAAACIAAABkcnMvZG93bnJldi54bWxQSwECFAAUAAAACACHTuJAMy8FnjsA&#10;AAA5AAAAEAAAAAAAAAABACAAAAAJAQAAZHJzL3NoYXBleG1sLnhtbFBLBQYAAAAABgAGAFsBAACz&#10;AwAAAAA=&#10;">
                          <v:fill on="f" focussize="0,0"/>
                          <v:stroke color="#000000 [3213]" joinstyle="round" dashstyle="longDashDotDot" endarrow="block"/>
                          <v:imagedata o:title=""/>
                          <o:lock v:ext="edit" aspectratio="f"/>
                        </v:shape>
                      </v:group>
                      <v:group id="组合 7" o:spid="_x0000_s1026" o:spt="203" style="position:absolute;left:11319;top:5551;height:446;width:1864;" coordorigin="7229,5551" coordsize="1864,446" o:gfxdata="UEsDBAoAAAAAAIdO4kAAAAAAAAAAAAAAAAAEAAAAZHJzL1BLAwQUAAAACACHTuJAAEOpo78AAADb&#10;AAAADwAAAGRycy9kb3ducmV2LnhtbEWPQWvCQBSE70L/w/IKvekmEcWmrqFILR5CwVgovT2yzySY&#10;fRuy28T8+26h4HGYmW+YbXYzrRiod41lBfEiAkFcWt1wpeDzfJhvQDiPrLG1TAomcpDtHmZbTLUd&#10;+URD4SsRIOxSVFB736VSurImg25hO+LgXWxv0AfZV1L3OAa4aWUSRWtpsOGwUGNH+5rKa/FjFLyP&#10;OL4u47chv1720/d59fGVx6TU02McvYDwdPP38H/7qBU8J/D3JfwAufsFUEsDBBQAAAAIAIdO4kAz&#10;LwWeOwAAADkAAAAVAAAAZHJzL2dyb3Vwc2hhcGV4bWwueG1ss7GvyM1RKEstKs7Mz7NVMtQzUFJI&#10;zUvOT8nMS7dVCg1x07VQUiguScxLSczJz0u1VapMLVayt+PlAgBQSwMECgAAAAAAh07iQAAAAAAA&#10;AAAAAAAAAAYAAABfcmVscy9QSwMEFAAAAAgAh07iQAkttwTTAAAAmQEAAAsAAABfcmVscy8ucmVs&#10;c6WQQUsDMRCF74L/IczdzbYHEWm2N6HXWsFrSGazwU0mzMTV/ntTRHClNw9zmHnM9x5vt/9Ms1qQ&#10;JVI2sOl6UJgd+ZiDgZfT090DKKk2eztTRgNnFNgPtze7I862tieZYhHVKFkMTLWWR63FTZisdFQw&#10;N2UkTra2lYMu1r3ZgHrb9/eafzNgWDHVwRvgg9+COp1Lc/7DTtExCY21c5Q0jWN016g6ML2X58kW&#10;fE1zY1kOWA14lm9JLlIL2bUBfT3D5p8ZPH3kIy5r98uRcfnx1atChy9QSwMEFAAAAAgAh07iQFR9&#10;6Cf+AAAA7AEAABMAAABbQ29udGVudF9UeXBlc10ueG1slZHLTsMwEEX3SPyD5S1KHFgghJp0QYAd&#10;ICgfMLIniUViWx43tH/PuI8Nokhd2jP3niN7sdxMo5gxkvWultdlJQU67Y11fS0/V0/FnRSUwBkY&#10;vcNabpHksrm8WKy2AUlw2lEth5TCvVKkB5yASh/Q8aTzcYLEx9irAPoLelQ3VXWrtHcJXSpS7pDN&#10;osUO1mMSjxu+3ptEHEmKh/1iZtUSQhithsSmanbmF6U4EEpO7nZosIGuWEOqPwl5chpwyL3y00Rr&#10;ULxBTC8wsYYykZTx3y7iXP5fki0nKnzXWY1lG6nl2DvOR6tT7X3060ADBOT+cxnPOfyRw0eM2v1V&#10;8wNQSwECFAAUAAAACACHTuJAVH3oJ/4AAADsAQAAEwAAAAAAAAABACAAAACcAgAAW0NvbnRlbnRf&#10;VHlwZXNdLnhtbFBLAQIUAAoAAAAAAIdO4kAAAAAAAAAAAAAAAAAGAAAAAAAAAAAAEAAAAHwBAABf&#10;cmVscy9QSwECFAAUAAAACACHTuJACS23BNMAAACZAQAACwAAAAAAAAABACAAAACgAQAAX3JlbHMv&#10;LnJlbHNQSwECFAAKAAAAAACHTuJAAAAAAAAAAAAAAAAABAAAAAAAAAAAABAAAAAAAAAAZHJzL1BL&#10;AQIUABQAAAAIAIdO4kAAQ6mjvwAAANsAAAAPAAAAAAAAAAEAIAAAACIAAABkcnMvZG93bnJldi54&#10;bWxQSwECFAAUAAAACACHTuJAMy8FnjsAAAA5AAAAFQAAAAAAAAABACAAAAAOAQAAZHJzL2dyb3Vw&#10;c2hhcGV4bWwueG1sUEsFBgAAAAAGAAYAYAEAAMsDAAAAAA==&#10;">
                        <o:lock v:ext="edit" aspectratio="f"/>
                        <v:shape id="文本框 32" o:spid="_x0000_s1026" o:spt="202" type="#_x0000_t202" style="position:absolute;left:7685;top:5551;height:446;width:1409;" fillcolor="#FFFFFF [3201]" filled="t" stroked="f" coordsize="21600,21600" o:gfxdata="UEsDBAoAAAAAAIdO4kAAAAAAAAAAAAAAAAAEAAAAZHJzL1BLAwQUAAAACACHTuJAhioIf7sAAADc&#10;AAAADwAAAGRycy9kb3ducmV2LnhtbEWPzWrDMBCE74W8g9hAbo2sEEpxo+QQCPRUiO36vFhby8Ra&#10;GUn5ffqoUOhxmJlvmM3u5kZxoRAHzxrUsgBB3HkzcK+hqQ+v7yBiQjY4eiYNd4qw285eNlgaf+Uj&#10;XarUiwzhWKIGm9JUShk7Sw7j0k/E2fvxwWHKMvTSBLxmuBvlqijepMOB84LFifaWulN1dhra3j3a&#10;bzUFa9y45q/HvW78oPVirooPEIlu6T/81/40GlZKwe+ZfATk9gl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hioIf7sAAADc&#10;AAAADwAAAAAAAAABACAAAAAiAAAAZHJzL2Rvd25yZXYueG1sUEsBAhQAFAAAAAgAh07iQDMvBZ47&#10;AAAAOQAAABAAAAAAAAAAAQAgAAAACgEAAGRycy9zaGFwZXhtbC54bWxQSwUGAAAAAAYABgBbAQAA&#10;tAMAAAAA&#10;">
                          <v:fill on="t" focussize="0,0"/>
                          <v:stroke on="f" weight="0.5pt"/>
                          <v:imagedata o:title=""/>
                          <o:lock v:ext="edit" aspectratio="f"/>
                          <v:textbox>
                            <w:txbxContent>
                              <w:p w14:paraId="3764A8D7">
                                <w:pPr>
                                  <w:jc w:val="center"/>
                                  <w:rPr>
                                    <w:rFonts w:hint="eastAsia" w:eastAsia="宋体"/>
                                    <w:lang w:eastAsia="zh-CN"/>
                                  </w:rPr>
                                </w:pPr>
                                <w:r>
                                  <w:rPr>
                                    <w:rFonts w:hint="eastAsia"/>
                                    <w:lang w:val="en-US" w:eastAsia="zh-CN"/>
                                  </w:rPr>
                                  <w:t>G1、S1、N</w:t>
                                </w:r>
                              </w:p>
                            </w:txbxContent>
                          </v:textbox>
                        </v:shape>
                        <v:shape id="直接箭头连接符 40" o:spid="_x0000_s1026" o:spt="32" type="#_x0000_t32" style="position:absolute;left:7229;top:5789;flip:y;height:7;width:428;" filled="f" stroked="t" coordsize="21600,21600" o:gfxdata="UEsDBAoAAAAAAIdO4kAAAAAAAAAAAAAAAAAEAAAAZHJzL1BLAwQUAAAACACHTuJA4khzJLkAAADc&#10;AAAADwAAAGRycy9kb3ducmV2LnhtbEVPS2rDMBDdF3oHMYXuaikuhOJEyaJQ00UoxOoBBmtiubVG&#10;RlKd5PbRopDl4/23+4ufxEIxjYE1rCoFgrgPduRBw7f5eHkDkTKyxSkwabhSgv3u8WGLjQ1nPtLS&#10;5UGUEE4NanA5z42UqXfkMVVhJi7cKUSPucA4SBvxXML9JGul1tLjyKXB4Uzvjvrf7s9rMMl8tSGr&#10;jn4Orbuu/RKlkVo/P63UBkSmS76L/92fVkP9WuaXM+UIyN0N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OJIcyS5AAAA3AAA&#10;AA8AAAAAAAAAAQAgAAAAIgAAAGRycy9kb3ducmV2LnhtbFBLAQIUABQAAAAIAIdO4kAzLwWeOwAA&#10;ADkAAAAQAAAAAAAAAAEAIAAAAAgBAABkcnMvc2hhcGV4bWwueG1sUEsFBgAAAAAGAAYAWwEAALID&#10;AAAAAA==&#10;">
                          <v:fill on="f" focussize="0,0"/>
                          <v:stroke color="#000000 [3213]" joinstyle="round" dashstyle="longDashDotDot" endarrow="block"/>
                          <v:imagedata o:title=""/>
                          <o:lock v:ext="edit" aspectratio="f"/>
                        </v:shape>
                      </v:group>
                      <v:shape id="文本框 5" o:spid="_x0000_s1026" o:spt="202" type="#_x0000_t202" style="position:absolute;left:9885;top:4052;height:432;width:1382;" fillcolor="#FFFFFF [3201]" filled="t" stroked="t" coordsize="21600,21600" o:gfxdata="UEsDBAoAAAAAAIdO4kAAAAAAAAAAAAAAAAAEAAAAZHJzL1BLAwQUAAAACACHTuJA6gQlg7oAAADc&#10;AAAADwAAAGRycy9kb3ducmV2LnhtbEWPQYvCMBSE7wv+h/AEb2tqC+5STQsKgnjT7WVvj+bZFpuX&#10;kkSr/94IgsdhZr5h1uXd9OJGzneWFSzmCQji2uqOGwXV3+77F4QPyBp7y6TgQR7KYvK1xlzbkY90&#10;O4VGRAj7HBW0IQy5lL5uyaCf24E4emfrDIYoXSO1wzHCTS/TJFlKgx3HhRYH2rZUX05Xo2C/3IR/&#10;qvRBZ2lmx0rW7tx7pWbTRbICEegePuF3e68VpNkPvM7EIyCLJ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DqBCWDugAAANwA&#10;AAAPAAAAAAAAAAEAIAAAACIAAABkcnMvZG93bnJldi54bWxQSwECFAAUAAAACACHTuJAMy8FnjsA&#10;AAA5AAAAEAAAAAAAAAABACAAAAAJAQAAZHJzL3NoYXBleG1sLnhtbFBLBQYAAAAABgAGAFsBAACz&#10;AwAAAAA=&#10;">
                        <v:fill on="t" focussize="0,0"/>
                        <v:stroke weight="0.5pt" color="#000000 [3204]" joinstyle="round"/>
                        <v:imagedata o:title=""/>
                        <o:lock v:ext="edit" aspectratio="f"/>
                        <v:textbox>
                          <w:txbxContent>
                            <w:p w14:paraId="0A02B9CF">
                              <w:pPr>
                                <w:rPr>
                                  <w:rFonts w:hint="eastAsia"/>
                                  <w:lang w:val="en-US" w:eastAsia="zh-CN"/>
                                </w:rPr>
                              </w:pPr>
                              <w:r>
                                <w:rPr>
                                  <w:rFonts w:hint="eastAsia"/>
                                  <w:lang w:val="en-US" w:eastAsia="zh-CN"/>
                                </w:rPr>
                                <w:t>检查、收集</w:t>
                              </w:r>
                            </w:p>
                          </w:txbxContent>
                        </v:textbox>
                      </v:shape>
                      <v:shape id="文本框 1" o:spid="_x0000_s1026" o:spt="202" type="#_x0000_t202" style="position:absolute;left:9555;top:2487;height:432;width:2032;" fillcolor="#FFFFFF [3201]" filled="t" stroked="f" coordsize="21600,21600" o:gfxdata="UEsDBAoAAAAAAIdO4kAAAAAAAAAAAAAAAAAEAAAAZHJzL1BLAwQUAAAACACHTuJAhe6E+rgAAADc&#10;AAAADwAAAGRycy9kb3ducmV2LnhtbEWPS6vCMBSE94L/IRzBnaaVcpFqdCEIrgSf60NzbIrNSUni&#10;89cbQbjLYWa+YebLp23FnXxoHCvIxxkI4srphmsFx8N6NAURIrLG1jEpeFGA5aLfm2Op3YN3dN/H&#10;WiQIhxIVmBi7UspQGbIYxq4jTt7FeYsxSV9L7fGR4LaVkyz7kxYbTgsGO1oZqq77m1Vwru37fMo7&#10;b7RtC96+X4eja5QaDvJsBiLSM/6Hf+2NVjApCvieSUdALj5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he6E+rgAAADcAAAA&#10;DwAAAAAAAAABACAAAAAiAAAAZHJzL2Rvd25yZXYueG1sUEsBAhQAFAAAAAgAh07iQDMvBZ47AAAA&#10;OQAAABAAAAAAAAAAAQAgAAAABwEAAGRycy9zaGFwZXhtbC54bWxQSwUGAAAAAAYABgBbAQAAsQMA&#10;AAAA&#10;">
                        <v:fill on="t" focussize="0,0"/>
                        <v:stroke on="f" weight="0.5pt"/>
                        <v:imagedata o:title=""/>
                        <o:lock v:ext="edit" aspectratio="f"/>
                        <v:textbox>
                          <w:txbxContent>
                            <w:p w14:paraId="66804ED8">
                              <w:pPr>
                                <w:jc w:val="center"/>
                                <w:rPr>
                                  <w:rFonts w:hint="default" w:eastAsia="宋体"/>
                                  <w:lang w:val="en-US" w:eastAsia="zh-CN"/>
                                </w:rPr>
                              </w:pPr>
                              <w:r>
                                <w:rPr>
                                  <w:rFonts w:hint="eastAsia"/>
                                  <w:lang w:val="en-US" w:eastAsia="zh-CN"/>
                                </w:rPr>
                                <w:t>废矿物油产生网点</w:t>
                              </w:r>
                            </w:p>
                          </w:txbxContent>
                        </v:textbox>
                      </v:shape>
                      <v:shape id="文本框 12" o:spid="_x0000_s1026" o:spt="202" type="#_x0000_t202" style="position:absolute;left:9825;top:3272;height:432;width:1487;" fillcolor="#FFFFFF [3201]" filled="t" stroked="t" coordsize="21600,21600" o:gfxdata="UEsDBAoAAAAAAIdO4kAAAAAAAAAAAAAAAAAEAAAAZHJzL1BLAwQUAAAACACHTuJAzTlQ/boAAADc&#10;AAAADwAAAGRycy9kb3ducmV2LnhtbEWPQYvCMBSE7wv+h/AEb2tqu8hSTQsKgnjT7WVvj+bZFpuX&#10;kkSr/94IgsdhZr5h1uXd9OJGzneWFSzmCQji2uqOGwXV3+77F4QPyBp7y6TgQR7KYvK1xlzbkY90&#10;O4VGRAj7HBW0IQy5lL5uyaCf24E4emfrDIYoXSO1wzHCTS/TJFlKgx3HhRYH2rZUX05Xo2C/3IR/&#10;qvRBZ2lmx0rW7tx7pWbTRbICEegePuF3e68VpD8ZvM7EIyCLJ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DNOVD9ugAAANwA&#10;AAAPAAAAAAAAAAEAIAAAACIAAABkcnMvZG93bnJldi54bWxQSwECFAAUAAAACACHTuJAMy8FnjsA&#10;AAA5AAAAEAAAAAAAAAABACAAAAAJAQAAZHJzL3NoYXBleG1sLnhtbFBLBQYAAAAABgAGAFsBAACz&#10;AwAAAAA=&#10;">
                        <v:fill on="t" focussize="0,0"/>
                        <v:stroke weight="0.5pt" color="#000000 [3204]" joinstyle="round"/>
                        <v:imagedata o:title=""/>
                        <o:lock v:ext="edit" aspectratio="f"/>
                        <v:textbox>
                          <w:txbxContent>
                            <w:p w14:paraId="20CC84CA">
                              <w:pPr>
                                <w:jc w:val="center"/>
                                <w:rPr>
                                  <w:rFonts w:hint="eastAsia"/>
                                </w:rPr>
                              </w:pPr>
                              <w:r>
                                <w:rPr>
                                  <w:rFonts w:hint="eastAsia"/>
                                </w:rPr>
                                <w:t>接受委托</w:t>
                              </w:r>
                            </w:p>
                          </w:txbxContent>
                        </v:textbox>
                      </v:shape>
                      <v:shape id="直接箭头连接符 17" o:spid="_x0000_s1026" o:spt="32" type="#_x0000_t32" style="position:absolute;left:10569;top:3704;height:348;width:7;" filled="f" stroked="t" coordsize="21600,21600" o:gfxdata="UEsDBAoAAAAAAIdO4kAAAAAAAAAAAAAAAAAEAAAAZHJzL1BLAwQUAAAACACHTuJAIUNuyLwAAADc&#10;AAAADwAAAGRycy9kb3ducmV2LnhtbEVPW2vCMBR+H+w/hDPwbaZVKFs1FpwM+zJhOsYeD82xCTYn&#10;pYm3/XrzIPj48d3n1cV14kRDsJ4V5OMMBHHjteVWwc/u8/UNRIjIGjvPpOBKAarF89McS+3P/E2n&#10;bWxFCuFQogITY19KGRpDDsPY98SJ2/vBYUxwaKUe8JzCXScnWVZIh5ZTg8GePgw1h+3RKYirv6sp&#10;fpvlu93s1l+F/a/reqXU6CXPZiAiXeJDfHfXWsFkmtamM+kIyMUN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CFDbsi8AAAA&#10;3AAAAA8AAAAAAAAAAQAgAAAAIgAAAGRycy9kb3ducmV2LnhtbFBLAQIUABQAAAAIAIdO4kAzLwWe&#10;OwAAADkAAAAQAAAAAAAAAAEAIAAAAAsBAABkcnMvc2hhcGV4bWwueG1sUEsFBgAAAAAGAAYAWwEA&#10;ALUDAAAAAA==&#10;">
                        <v:fill on="f" focussize="0,0"/>
                        <v:stroke color="#000000 [3213]" joinstyle="round" endarrow="block"/>
                        <v:imagedata o:title=""/>
                        <o:lock v:ext="edit" aspectratio="f"/>
                      </v:shape>
                      <v:shape id="直接箭头连接符 26" o:spid="_x0000_s1026" o:spt="32" type="#_x0000_t32" style="position:absolute;left:9379;top:3486;height:2;width:446;" filled="f" stroked="t" coordsize="21600,21600" o:gfxdata="UEsDBAoAAAAAAIdO4kAAAAAAAAAAAAAAAAAEAAAAZHJzL1BLAwQUAAAACACHTuJAL+f8ub4AAADc&#10;AAAADwAAAGRycy9kb3ducmV2LnhtbEWPT2sCMRTE7wW/Q3iCt5pVYWlXo6Ai7qWFqojHx+a5CW5e&#10;lk3810/fFAo9DjPzG2a2eLhG3KgL1rOC0TADQVx5bblWcNhvXt9AhIissfFMCp4UYDHvvcyw0P7O&#10;X3TbxVokCIcCFZgY20LKUBlyGIa+JU7e2XcOY5JdLXWH9wR3jRxnWS4dWk4LBltaGaouu6tTENen&#10;p8mP1fLdfu63H7n9LstyrdSgP8qmICI94n/4r11qBePJBH7PpCMg5z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L+f8ub4A&#10;AADcAAAADwAAAAAAAAABACAAAAAiAAAAZHJzL2Rvd25yZXYueG1sUEsBAhQAFAAAAAgAh07iQDMv&#10;BZ47AAAAOQAAABAAAAAAAAAAAQAgAAAADQEAAGRycy9zaGFwZXhtbC54bWxQSwUGAAAAAAYABgBb&#10;AQAAtwMAAAAA&#10;">
                        <v:fill on="f" focussize="0,0"/>
                        <v:stroke color="#000000 [3213]" joinstyle="round" endarrow="block"/>
                        <v:imagedata o:title=""/>
                        <o:lock v:ext="edit" aspectratio="f"/>
                      </v:shape>
                      <v:shape id="直接箭头连接符 18" o:spid="_x0000_s1026" o:spt="32" type="#_x0000_t32" style="position:absolute;left:10574;top:4484;flip:x;height:307;width:2;" filled="f" stroked="t" coordsize="21600,21600" o:gfxdata="UEsDBAoAAAAAAIdO4kAAAAAAAAAAAAAAAAAEAAAAZHJzL1BLAwQUAAAACACHTuJAE5KT1r4AAADc&#10;AAAADwAAAGRycy9kb3ducmV2LnhtbEWPQYvCMBSE78L+h/AW9iKaWlGkGj3s6upFZLt6fzTPtti8&#10;lCZq+++NIHgcZuYbZrFqTSVu1LjSsoLRMAJBnFldcq7g+L8ZzEA4j6yxskwKOnKwWn70Fphoe+c/&#10;uqU+FwHCLkEFhfd1IqXLCjLohrYmDt7ZNgZ9kE0udYP3ADeVjKNoKg2WHBYKrOm7oOySXo2Cn/Qw&#10;2Zz6xzbusu0+/Z1dDtytlfr6HEVzEJ5a/w6/2jutIB5P4XkmHAG5fA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E5KT1r4A&#10;AADcAAAADwAAAAAAAAABACAAAAAiAAAAZHJzL2Rvd25yZXYueG1sUEsBAhQAFAAAAAgAh07iQDMv&#10;BZ47AAAAOQAAABAAAAAAAAAAAQAgAAAADQEAAGRycy9zaGFwZXhtbC54bWxQSwUGAAAAAAYABgBb&#10;AQAAtwMAAAAA&#10;">
                        <v:fill on="f" focussize="0,0"/>
                        <v:stroke color="#000000 [3213]" joinstyle="round" endarrow="block"/>
                        <v:imagedata o:title=""/>
                        <o:lock v:ext="edit" aspectratio="f"/>
                      </v:shape>
                      <v:shape id="直接箭头连接符 25" o:spid="_x0000_s1026" o:spt="32" type="#_x0000_t32" style="position:absolute;left:9388;top:4998;height:9;width:442;" filled="f" stroked="t" coordsize="21600,21600" o:gfxdata="UEsDBAoAAAAAAIdO4kAAAAAAAAAAAAAAAAAEAAAAZHJzL1BLAwQUAAAACACHTuJAz0LBVr8AAADc&#10;AAAADwAAAGRycy9kb3ducmV2LnhtbEWPT2sCMRTE74LfITyhN81q6WK3RsFK6V4sqEU8Pjavm+Dm&#10;Zdmk/umnNwXB4zAzv2Fmi4trxIm6YD0rGI8yEMSV15ZrBd+7j+EURIjIGhvPpOBKARbzfm+GhfZn&#10;3tBpG2uRIBwKVGBibAspQ2XIYRj5ljh5P75zGJPsaqk7PCe4a+Qky3Lp0HJaMNjSu6HquP11CuLq&#10;cDX5vlq+2q/d5zq3f2VZrpR6GoyzNxCRLvERvrdLrWDy/AL/Z9IRkPM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9CwVa/&#10;AAAA3AAAAA8AAAAAAAAAAQAgAAAAIgAAAGRycy9kb3ducmV2LnhtbFBLAQIUABQAAAAIAIdO4kAz&#10;LwWeOwAAADkAAAAQAAAAAAAAAAEAIAAAAA4BAABkcnMvc2hhcGV4bWwueG1sUEsFBgAAAAAGAAYA&#10;WwEAALgDAAAAAA==&#10;">
                        <v:fill on="f" focussize="0,0"/>
                        <v:stroke color="#000000 [3213]" joinstyle="round" endarrow="block"/>
                        <v:imagedata o:title=""/>
                        <o:lock v:ext="edit" aspectratio="f"/>
                      </v:shape>
                      <v:shape id="直接箭头连接符 19" o:spid="_x0000_s1026" o:spt="32" type="#_x0000_t32" style="position:absolute;left:10574;top:5223;height:357;width:2;" filled="f" stroked="t" coordsize="21600,21600" o:gfxdata="UEsDBAoAAAAAAIdO4kAAAAAAAAAAAAAAAAAEAAAAZHJzL1BLAwQUAAAACACHTuJAQKtZIr8AAADc&#10;AAAADwAAAGRycy9kb3ducmV2LnhtbEWPT2sCMRTE74V+h/AKvdWsW1ja1ShUEfdioVrE42Pz3IRu&#10;XpZN/PvpG0HwOMzMb5jx9OxacaQ+WM8KhoMMBHHtteVGwe9m8fYBIkRkja1nUnChANPJ89MYS+1P&#10;/EPHdWxEgnAoUYGJsSulDLUhh2HgO+Lk7X3vMCbZN1L3eEpw18o8ywrp0HJaMNjRzFD9tz44BXG+&#10;u5hiW3992u/NclXYa1VVc6VeX4bZCESkc3yE7+1KK8jfc7idSUdATv4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CrWSK/&#10;AAAA3AAAAA8AAAAAAAAAAQAgAAAAIgAAAGRycy9kb3ducmV2LnhtbFBLAQIUABQAAAAIAIdO4kAz&#10;LwWeOwAAADkAAAAQAAAAAAAAAAEAIAAAAA4BAABkcnMvc2hhcGV4bWwueG1sUEsFBgAAAAAGAAYA&#10;WwEAALgDAAAAAA==&#10;">
                        <v:fill on="f" focussize="0,0"/>
                        <v:stroke color="#000000 [3213]" joinstyle="round" endarrow="block"/>
                        <v:imagedata o:title=""/>
                        <o:lock v:ext="edit" aspectratio="f"/>
                      </v:shape>
                      <v:shape id="直接箭头连接符 20" o:spid="_x0000_s1026" o:spt="32" type="#_x0000_t32" style="position:absolute;left:10576;top:6012;height:426;width:4;" filled="f" stroked="t" coordsize="21600,21600" o:gfxdata="UEsDBAoAAAAAAIdO4kAAAAAAAAAAAAAAAAAEAAAAZHJzL1BLAwQUAAAACACHTuJAsHnHVb8AAADc&#10;AAAADwAAAGRycy9kb3ducmV2LnhtbEWPS2vDMBCE74H+B7GF3hLZKZjEjRJoQogvLeRB6XGxtpao&#10;tTKW8uqvrwKBHIeZ+YaZLS6uFSfqg/WsIB9lIIhrry03Cg779XACIkRkja1nUnClAIv502CGpfZn&#10;3tJpFxuRIBxKVGBi7EopQ23IYRj5jjh5P753GJPsG6l7PCe4a+U4ywrp0HJaMNjR0lD9uzs6BXH1&#10;fTXFV/0+tZ/7zUdh/6qqWin18pxnbyAiXeIjfG9XWsH4NYfbmXQE5Pw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B5x1W/&#10;AAAA3AAAAA8AAAAAAAAAAQAgAAAAIgAAAGRycy9kb3ducmV2LnhtbFBLAQIUABQAAAAIAIdO4kAz&#10;LwWeOwAAADkAAAAQAAAAAAAAAAEAIAAAAA4BAABkcnMvc2hhcGV4bWwueG1sUEsFBgAAAAAGAAYA&#10;WwEAALgDAAAAAA==&#10;">
                        <v:fill on="f" focussize="0,0"/>
                        <v:stroke color="#000000 [3213]" joinstyle="round" endarrow="block"/>
                        <v:imagedata o:title=""/>
                        <o:lock v:ext="edit" aspectratio="f"/>
                      </v:shape>
                      <v:shape id="直接箭头连接符 41" o:spid="_x0000_s1026" o:spt="32" type="#_x0000_t32" style="position:absolute;left:11323;top:6633;flip:y;height:5;width:820;" filled="f" stroked="t" coordsize="21600,21600" o:gfxdata="UEsDBAoAAAAAAIdO4kAAAAAAAAAAAAAAAAAEAAAAZHJzL1BLAwQUAAAACACHTuJA9qtMZLwAAADc&#10;AAAADwAAAGRycy9kb3ducmV2LnhtbEWPQWsCMRSE74X+h/AEb93EPYhdjR4KigcpuNsf8Ni8brbd&#10;vCxJuuq/bwTB4zAz3zCb3dUNYqIQe88aFoUCQdx603On4avZv61AxIRscPBMGm4UYbd9fdlgZfyF&#10;zzTVqRMZwrFCDTalsZIytpYcxsKPxNn79sFhyjJ00gS8ZLgbZKnUUjrsOS9YHOnDUvtb/zkNTWw+&#10;Dz6pmn5OB3tbuinIRmo9ny3UGkSia3qGH+2j0VCW73A/k4+A3P4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ParTGS8AAAA&#10;3AAAAA8AAAAAAAAAAQAgAAAAIgAAAGRycy9kb3ducmV2LnhtbFBLAQIUABQAAAAIAIdO4kAzLwWe&#10;OwAAADkAAAAQAAAAAAAAAAEAIAAAAAsBAABkcnMvc2hhcGV4bWwueG1sUEsFBgAAAAAGAAYAWwEA&#10;ALUDAAAAAA==&#10;">
                        <v:fill on="f" focussize="0,0"/>
                        <v:stroke color="#000000 [3213]" joinstyle="round" dashstyle="longDashDotDot" endarrow="block"/>
                        <v:imagedata o:title=""/>
                        <o:lock v:ext="edit" aspectratio="f"/>
                      </v:shape>
                      <v:shape id="直接箭头连接符 21" o:spid="_x0000_s1026" o:spt="32" type="#_x0000_t32" style="position:absolute;left:10577;top:6837;flip:x;height:294;width:3;" filled="f" stroked="t" coordsize="21600,21600" o:gfxdata="UEsDBAoAAAAAAIdO4kAAAAAAAAAAAAAAAAAEAAAAZHJzL1BLAwQUAAAACACHTuJAiJg04rsAAADc&#10;AAAADwAAAGRycy9kb3ducmV2LnhtbEVPy4rCMBTdC/5DuIIb0dTCDFJNXficzSDT0f2lubalzU1p&#10;orZ/bxYDszyc92bbm0Y8qXOVZQXLRQSCOLe64kLB9fc4X4FwHlljY5kUDORgm45HG0y0ffEPPTNf&#10;iBDCLkEFpfdtIqXLSzLoFrYlDtzddgZ9gF0hdYevEG4aGUfRpzRYcWgosaVdSXmdPYyCfXb5ON5m&#10;1z4e8vN3dlrVFx4OSk0ny2gNwlPv/8V/7i+tII7D2nAmHAGZvgF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iJg04rsAAADc&#10;AAAADwAAAAAAAAABACAAAAAiAAAAZHJzL2Rvd25yZXYueG1sUEsBAhQAFAAAAAgAh07iQDMvBZ47&#10;AAAAOQAAABAAAAAAAAAAAQAgAAAACgEAAGRycy9zaGFwZXhtbC54bWxQSwUGAAAAAAYABgBbAQAA&#10;tAMAAAAA&#10;">
                        <v:fill on="f" focussize="0,0"/>
                        <v:stroke color="#000000 [3213]" joinstyle="round" endarrow="block"/>
                        <v:imagedata o:title=""/>
                        <o:lock v:ext="edit" aspectratio="f"/>
                      </v:shape>
                      <v:shape id="直接箭头连接符 22" o:spid="_x0000_s1026" o:spt="32" type="#_x0000_t32" style="position:absolute;left:10571;top:7563;flip:x;height:370;width:6;" filled="f" stroked="t" coordsize="21600,21600" o:gfxdata="UEsDBAoAAAAAAIdO4kAAAAAAAAAAAAAAAAAEAAAAZHJzL1BLAwQUAAAACACHTuJA+QegkL8AAADc&#10;AAAADwAAAGRycy9kb3ducmV2LnhtbEWPQWvCQBSE70L/w/IKvUjdJFAr0TWHVlsvEpra+yP7TILZ&#10;tyG7muTfu4VCj8PMfMNsstG04ka9aywriBcRCOLS6oYrBafv/fMKhPPIGlvLpGAiB9n2YbbBVNuB&#10;v+hW+EoECLsUFdTed6mUrqzJoFvYjjh4Z9sb9EH2ldQ9DgFuWplE0VIabDgs1NjRW03lpbgaBe9F&#10;/rL/mZ/GZCo/j8XH6pLztFPq6TGO1iA8jf4//Nc+aAVJ8gq/Z8IRkNs7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kHoJC/&#10;AAAA3AAAAA8AAAAAAAAAAQAgAAAAIgAAAGRycy9kb3ducmV2LnhtbFBLAQIUABQAAAAIAIdO4kAz&#10;LwWeOwAAADkAAAAQAAAAAAAAAAEAIAAAAA4BAABkcnMvc2hhcGV4bWwueG1sUEsFBgAAAAAGAAYA&#10;WwEAALgDAAAAAA==&#10;">
                        <v:fill on="f" focussize="0,0"/>
                        <v:stroke color="#000000 [3213]" joinstyle="round" endarrow="block"/>
                        <v:imagedata o:title=""/>
                        <o:lock v:ext="edit" aspectratio="f"/>
                      </v:shape>
                      <v:shape id="直接箭头连接符 39" o:spid="_x0000_s1026" o:spt="32" type="#_x0000_t32" style="position:absolute;left:9435;top:8149;flip:y;height:2;width:392;" filled="f" stroked="t" coordsize="21600,21600" o:gfxdata="UEsDBAoAAAAAAIdO4kAAAAAAAAAAAAAAAAAEAAAAZHJzL1BLAwQUAAAACACHTuJAlksFC70AAADc&#10;AAAADwAAAGRycy9kb3ducmV2LnhtbEWPQYvCMBSE78L+h/AW9iJrakEp1ehhV1cvIlb3/miebbF5&#10;KU3U9t8bQfA4zMw3zHzZmVrcqHWVZQXjUQSCOLe64kLB6bj+TkA4j6yxtkwKenKwXHwM5phqe+cD&#10;3TJfiABhl6KC0vsmldLlJRl0I9sQB+9sW4M+yLaQusV7gJtaxlE0lQYrDgslNvRTUn7JrkbBb7af&#10;rP+Hpy7u880u+0sue+5XSn19jqMZCE+df4df7a1WEMdTeJ4JR0AuH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WSwULvQAA&#10;ANwAAAAPAAAAAAAAAAEAIAAAACIAAABkcnMvZG93bnJldi54bWxQSwECFAAUAAAACACHTuJAMy8F&#10;njsAAAA5AAAAEAAAAAAAAAABACAAAAAMAQAAZHJzL3NoYXBleG1sLnhtbFBLBQYAAAAABgAGAFsB&#10;AAC2AwAAAAA=&#10;">
                        <v:fill on="f" focussize="0,0"/>
                        <v:stroke color="#000000 [3213]" joinstyle="round" endarrow="block"/>
                        <v:imagedata o:title=""/>
                        <o:lock v:ext="edit" aspectratio="f"/>
                      </v:shape>
                      <v:shape id="直接箭头连接符 38" o:spid="_x0000_s1026" o:spt="32" type="#_x0000_t32" style="position:absolute;left:9418;top:6633;height:5;width:418;" filled="f" stroked="t" coordsize="21600,21600" o:gfxdata="UEsDBAoAAAAAAIdO4kAAAAAAAAAAAAAAAAAEAAAAZHJzL1BLAwQUAAAACACHTuJASptXi78AAADc&#10;AAAADwAAAGRycy9kb3ducmV2LnhtbEWPT2sCMRTE74V+h/AKvdWsC13a1ShUEfdioVrE42Pz3IRu&#10;XpZN/PvpG0HwOMzMb5jx9OxacaQ+WM8KhoMMBHHtteVGwe9m8fYBIkRkja1nUnChANPJ89MYS+1P&#10;/EPHdWxEgnAoUYGJsSulDLUhh2HgO+Lk7X3vMCbZN1L3eEpw18o8ywrp0HJaMNjRzFD9tz44BXG+&#10;u5hiW3992u/NclXYa1VVc6VeX4bZCESkc3yE7+1KK8jzd7idSUdATv4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qbV4u/&#10;AAAA3AAAAA8AAAAAAAAAAQAgAAAAIgAAAGRycy9kb3ducmV2LnhtbFBLAQIUABQAAAAIAIdO4kAz&#10;LwWeOwAAADkAAAAQAAAAAAAAAAEAIAAAAA4BAABkcnMvc2hhcGV4bWwueG1sUEsFBgAAAAAGAAYA&#10;WwEAALgDAAAAAA==&#10;">
                        <v:fill on="f" focussize="0,0"/>
                        <v:stroke color="#000000 [3213]" joinstyle="round" endarrow="block"/>
                        <v:imagedata o:title=""/>
                        <o:lock v:ext="edit" aspectratio="f"/>
                      </v:shape>
                      <v:shape id="直接箭头连接符 24" o:spid="_x0000_s1026" o:spt="32" type="#_x0000_t32" style="position:absolute;left:10571;top:8365;height:379;width:1;" filled="f" stroked="t" coordsize="21600,21600" o:gfxdata="UEsDBAoAAAAAAIdO4kAAAAAAAAAAAAAAAAAEAAAAZHJzL1BLAwQUAAAACACHTuJAJdfyEL8AAADc&#10;AAAADwAAAGRycy9kb3ducmV2LnhtbEWPT2sCMRTE74V+h/AKvdWsS1na1ShUEfdioVrE42Pz3IRu&#10;XpZN/PvpG0HwOMzMb5jx9OxacaQ+WM8KhoMMBHHtteVGwe9m8fYBIkRkja1nUnChANPJ89MYS+1P&#10;/EPHdWxEgnAoUYGJsSulDLUhh2HgO+Lk7X3vMCbZN1L3eEpw18o8ywrp0HJaMNjRzFD9tz44BXG+&#10;u5hiW3992u/NclXYa1VVc6VeX4bZCESkc3yE7+1KK8jzd7idSUdATv4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XX8hC/&#10;AAAA3AAAAA8AAAAAAAAAAQAgAAAAIgAAAGRycy9kb3ducmV2LnhtbFBLAQIUABQAAAAIAIdO4kAz&#10;LwWeOwAAADkAAAAQAAAAAAAAAAEAIAAAAA4BAABkcnMvc2hhcGV4bWwueG1sUEsFBgAAAAAGAAYA&#10;WwEAALgDAAAAAA==&#10;">
                        <v:fill on="f" focussize="0,0"/>
                        <v:stroke color="#000000 [3213]" joinstyle="round" endarrow="block"/>
                        <v:imagedata o:title=""/>
                        <o:lock v:ext="edit" aspectratio="f"/>
                      </v:shape>
                      <v:shape id="文本框 6" o:spid="_x0000_s1026" o:spt="202" type="#_x0000_t202" style="position:absolute;left:9830;top:4791;height:432;width:1487;" fillcolor="#FFFFFF [3201]" filled="t" stroked="t" coordsize="21600,21600" o:gfxdata="UEsDBAoAAAAAAIdO4kAAAAAAAAAAAAAAAAAEAAAAZHJzL1BLAwQUAAAACACHTuJAEOa1XbcAAADc&#10;AAAADwAAAGRycy9kb3ducmV2LnhtbEWPwQrCMBBE74L/EFbwpqktiFSjoCCIN7UXb0uztsVmU5Jo&#10;9e+NIHgcZuYNs9q8TCue5HxjWcFsmoAgLq1uuFJQXPaTBQgfkDW2lknBmzxs1sPBCnNtez7R8xwq&#10;ESHsc1RQh9DlUvqyJoN+ajvi6N2sMxiidJXUDvsIN61Mk2QuDTYcF2rsaFdTeT8/jILDfBuuVOij&#10;ztLM9oUs3a31So1Hs2QJItAr/MO/9kErSNMMvmfiEZDrD1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AQ5rVdtwAAANwAAAAP&#10;AAAAAAAAAAEAIAAAACIAAABkcnMvZG93bnJldi54bWxQSwECFAAUAAAACACHTuJAMy8FnjsAAAA5&#10;AAAAEAAAAAAAAAABACAAAAAGAQAAZHJzL3NoYXBleG1sLnhtbFBLBQYAAAAABgAGAFsBAACwAwAA&#10;AAA=&#10;">
                        <v:fill on="t" focussize="0,0"/>
                        <v:stroke weight="0.5pt" color="#000000 [3204]" joinstyle="round"/>
                        <v:imagedata o:title=""/>
                        <o:lock v:ext="edit" aspectratio="f"/>
                        <v:textbox>
                          <w:txbxContent>
                            <w:p w14:paraId="109D2418">
                              <w:pPr>
                                <w:jc w:val="center"/>
                                <w:rPr>
                                  <w:rFonts w:hint="eastAsia"/>
                                  <w:lang w:val="en-US" w:eastAsia="zh-CN"/>
                                </w:rPr>
                              </w:pPr>
                              <w:r>
                                <w:rPr>
                                  <w:rFonts w:hint="eastAsia"/>
                                  <w:lang w:val="en-US" w:eastAsia="zh-CN"/>
                                </w:rPr>
                                <w:t>运输至厂区</w:t>
                              </w:r>
                            </w:p>
                          </w:txbxContent>
                        </v:textbox>
                      </v:shape>
                      <v:shape id="文本框 10" o:spid="_x0000_s1026" o:spt="202" type="#_x0000_t202" style="position:absolute;left:9245;top:5580;height:432;width:2074;" fillcolor="#FFFFFF [3201]" filled="t" stroked="t" coordsize="21600,21600" o:gfxdata="UEsDBAoAAAAAAIdO4kAAAAAAAAAAAAAAAAAEAAAAZHJzL1BLAwQUAAAACACHTuJAf6oQxrsAAADc&#10;AAAADwAAAGRycy9kb3ducmV2LnhtbEWPzWrDMBCE74W+g9hCbo1sBUJwLBtSKITekvqS22Ktf4i1&#10;MpJqp29fFQo9DjPzDVPWDzuJhXwYHWvItxkI4taZkXsNzef76wFEiMgGJ8ek4ZsC1NXzU4mFcStf&#10;aLnGXiQIhwI1DDHOhZShHchi2LqZOHmd8xZjkr6XxuOa4HaSKsv20uLIaWHAmd4Gau/XL6vhvD/F&#10;GzXmw+zUzq2NbH03Ba03L3l2BBHpEf/Df+2z0aCUgt8z6QjI6g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f6oQxrsAAADc&#10;AAAADwAAAAAAAAABACAAAAAiAAAAZHJzL2Rvd25yZXYueG1sUEsBAhQAFAAAAAgAh07iQDMvBZ47&#10;AAAAOQAAABAAAAAAAAAAAQAgAAAACgEAAGRycy9zaGFwZXhtbC54bWxQSwUGAAAAAAYABgBbAQAA&#10;tAMAAAAA&#10;">
                        <v:fill on="t" focussize="0,0"/>
                        <v:stroke weight="0.5pt" color="#000000 [3204]" joinstyle="round"/>
                        <v:imagedata o:title=""/>
                        <o:lock v:ext="edit" aspectratio="f"/>
                        <v:textbox>
                          <w:txbxContent>
                            <w:p w14:paraId="56BAE529">
                              <w:pPr>
                                <w:jc w:val="center"/>
                                <w:rPr>
                                  <w:rFonts w:hint="eastAsia"/>
                                </w:rPr>
                              </w:pPr>
                              <w:r>
                                <w:rPr>
                                  <w:rFonts w:hint="eastAsia"/>
                                </w:rPr>
                                <w:t>称重、</w:t>
                              </w:r>
                              <w:r>
                                <w:rPr>
                                  <w:rFonts w:hint="eastAsia"/>
                                  <w:lang w:val="en-US" w:eastAsia="zh-CN"/>
                                </w:rPr>
                                <w:t>检验、</w:t>
                              </w:r>
                              <w:r>
                                <w:rPr>
                                  <w:rFonts w:hint="eastAsia"/>
                                </w:rPr>
                                <w:t>入库</w:t>
                              </w:r>
                            </w:p>
                          </w:txbxContent>
                        </v:textbox>
                      </v:shape>
                      <v:shape id="文本框 7" o:spid="_x0000_s1026" o:spt="202" type="#_x0000_t202" style="position:absolute;left:9833;top:7131;height:432;width:1487;" fillcolor="#FFFFFF [3201]" filled="t" stroked="t" coordsize="21600,21600" o:gfxdata="UEsDBAoAAAAAAIdO4kAAAAAAAAAAAAAAAAAEAAAAZHJzL1BLAwQUAAAACACHTuJAj3iOsbcAAADc&#10;AAAADwAAAGRycy9kb3ducmV2LnhtbEWPwQrCMBBE74L/EFbwpmkriFSjoCCIN7UXb0uztsVmU5Jo&#10;9e+NIHgcZuYNs9q8TCue5HxjWUE6TUAQl1Y3XCkoLvvJAoQPyBpby6TgTR426+Fghbm2PZ/oeQ6V&#10;iBD2OSqoQ+hyKX1Zk0E/tR1x9G7WGQxRukpqh32Em1ZmSTKXBhuOCzV2tKupvJ8fRsFhvg1XKvRR&#10;z7KZ7QtZulvrlRqP0mQJItAr/MO/9kEryLIUvmfiEZDrD1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CPeI6xtwAAANwAAAAP&#10;AAAAAAAAAAEAIAAAACIAAABkcnMvZG93bnJldi54bWxQSwECFAAUAAAACACHTuJAMy8FnjsAAAA5&#10;AAAAEAAAAAAAAAABACAAAAAGAQAAZHJzL3NoYXBleG1sLnhtbFBLBQYAAAAABgAGAFsBAACwAwAA&#10;AAA=&#10;">
                        <v:fill on="t" focussize="0,0"/>
                        <v:stroke weight="0.5pt" color="#000000 [3204]" joinstyle="round"/>
                        <v:imagedata o:title=""/>
                        <o:lock v:ext="edit" aspectratio="f"/>
                        <v:textbox>
                          <w:txbxContent>
                            <w:p w14:paraId="318322FE">
                              <w:pPr>
                                <w:jc w:val="center"/>
                                <w:rPr>
                                  <w:rFonts w:hint="eastAsia"/>
                                </w:rPr>
                              </w:pPr>
                              <w:r>
                                <w:rPr>
                                  <w:rFonts w:hint="eastAsia"/>
                                </w:rPr>
                                <w:t>称重、出库</w:t>
                              </w:r>
                            </w:p>
                          </w:txbxContent>
                        </v:textbox>
                      </v:shape>
                      <v:shape id="文本框 9" o:spid="_x0000_s1026" o:spt="202" type="#_x0000_t202" style="position:absolute;left:9827;top:7933;height:432;width:1487;" fillcolor="#FFFFFF [3201]" filled="t" stroked="t" coordsize="21600,21600" o:gfxdata="UEsDBAoAAAAAAIdO4kAAAAAAAAAAAAAAAAAEAAAAZHJzL1BLAwQUAAAACACHTuJA4DQrKrUAAADc&#10;AAAADwAAAGRycy9kb3ducmV2LnhtbEVPvQrCMBDeBd8hnOCmaSuIVGNBQRA3tYvb0ZxtsbmUJFp9&#10;ezMIjh/f/6Z4m068yPnWsoJ0noAgrqxuuVZQXg+zFQgfkDV2lknBhzwU2/Fog7m2A5/pdQm1iCHs&#10;c1TQhNDnUvqqIYN+bnviyN2tMxgidLXUDocYbjqZJclSGmw5NjTY076h6nF5GgXH5S7cqNQnvcgW&#10;dihl5e6dV2o6SZM1iEDv8Bf/3EetIMvi/HgmHgG5/QJQSwMEFAAAAAgAh07iQDMvBZ47AAAAOQAA&#10;ABAAAABkcnMvc2hhcGV4bWwueG1ss7GvyM1RKEstKs7Mz7NVMtQzUFJIzUvOT8nMS7dVCg1x07VQ&#10;UiguScxLSczJz0u1VapMLVayt+PlAgBQSwMECgAAAAAAh07iQAAAAAAAAAAAAAAAAAYAAABfcmVs&#10;cy9QSwMEFAAAAAgAh07iQNVcJijMAAAAjwEAAAsAAABfcmVscy8ucmVsc6WQsWoDMQyG90DfwWjv&#10;+ZKhlBBftkLWkEJXYevuTM6Wscw1efu4lEIvZMugQb/Q9wnt9pcwqZmyeI4G1k0LiqJl5+Ng4PP0&#10;8foOSgpGhxNHMnAlgX33stodacJSl2T0SVSlRDEwlpK2WosdKaA0nCjWSc85YKltHnRCe8aB9KZt&#10;33T+z4BuwVQHZyAf3AbU6Zqq+Y4dvM0s3JfGctDc994+omoZMdFXmCoG80DFgMvym9bTmlqgH5vX&#10;T5odf8cjzUvxT5hp/vPqxRu7G1BLAwQUAAAACACHTuJAWuMRZvcAAADiAQAAEwAAAFtDb250ZW50&#10;X1R5cGVzXS54bWyVkU1PxCAQhu8m/gcyV9NSPRhjSvdg9ahG1x8wgWlLtgXCYN3999L9uBjXxCPM&#10;vM/7BOrVdhrFTJGtdwquywoEOe2Ndb2Cj/VTcQeCEzqDo3ekYEcMq+byol7vArHIaccKhpTCvZSs&#10;B5qQSx/I5Unn44QpH2MvA+oN9iRvqupWau8SuVSkhQFN3VKHn2MSj9t8fTCJNDKIh8Pi0qUAQxit&#10;xpRN5ezMj5bi2FDm5H6HBxv4KmuA/LVhmZwvOOZe8tNEa0i8YkzPOGUNaSJL479cpLn8G7JYTlz4&#10;rrOayjZym2NvNJ+sztF5wEAZ/V/8+5I7weX+h5pvUEsBAhQAFAAAAAgAh07iQFrjEWb3AAAA4gEA&#10;ABMAAAAAAAAAAQAgAAAAhgIAAFtDb250ZW50X1R5cGVzXS54bWxQSwECFAAKAAAAAACHTuJAAAAA&#10;AAAAAAAAAAAABgAAAAAAAAAAABAAAABtAQAAX3JlbHMvUEsBAhQAFAAAAAgAh07iQNVcJijMAAAA&#10;jwEAAAsAAAAAAAAAAQAgAAAAkQEAAF9yZWxzLy5yZWxzUEsBAhQACgAAAAAAh07iQAAAAAAAAAAA&#10;AAAAAAQAAAAAAAAAAAAQAAAAAAAAAGRycy9QSwECFAAUAAAACACHTuJA4DQrKrUAAADcAAAADwAA&#10;AAAAAAABACAAAAAiAAAAZHJzL2Rvd25yZXYueG1sUEsBAhQAFAAAAAgAh07iQDMvBZ47AAAAOQAA&#10;ABAAAAAAAAAAAQAgAAAABAEAAGRycy9zaGFwZXhtbC54bWxQSwUGAAAAAAYABgBbAQAArgMAAAAA&#10;">
                        <v:fill on="t" focussize="0,0"/>
                        <v:stroke weight="0.5pt" color="#000000 [3204]" joinstyle="round"/>
                        <v:imagedata o:title=""/>
                        <o:lock v:ext="edit" aspectratio="f"/>
                        <v:textbox>
                          <w:txbxContent>
                            <w:p w14:paraId="57DDDD9A">
                              <w:pPr>
                                <w:jc w:val="center"/>
                                <w:rPr>
                                  <w:rFonts w:hint="eastAsia"/>
                                </w:rPr>
                              </w:pPr>
                              <w:r>
                                <w:rPr>
                                  <w:rFonts w:hint="eastAsia"/>
                                </w:rPr>
                                <w:t>转运</w:t>
                              </w:r>
                            </w:p>
                          </w:txbxContent>
                        </v:textbox>
                      </v:shape>
                      <v:shape id="文本框 4" o:spid="_x0000_s1026" o:spt="202" type="#_x0000_t202" style="position:absolute;left:9836;top:6438;height:399;width:1487;" fillcolor="#FFFFFF [3201]" filled="t" stroked="t" coordsize="21600,21600" o:gfxdata="UEsDBAoAAAAAAIdO4kAAAAAAAAAAAAAAAAAEAAAAZHJzL1BLAwQUAAAACACHTuJA3op/4LsAAADc&#10;AAAADwAAAGRycy9kb3ducmV2LnhtbEWPS2vDMBCE74X8B7GB3hr5AaE4VgIJFExuTX3pbbHWD2Kt&#10;jKTY6b+PAoEeh5n5hikPdzOKmZwfLCtINwkI4sbqgTsF9c/XxycIH5A1jpZJwR95OOxXbyUW2i78&#10;TfMldCJC2BeooA9hKqT0TU8G/cZOxNFrrTMYonSd1A6XCDejzJJkKw0OHBd6nOjUU3O93IyCansM&#10;v1Trs86z3C61bFw7eqXe12myAxHoHv7Dr3alFWRpDs8z8QjI/QN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3op/4LsAAADc&#10;AAAADwAAAAAAAAABACAAAAAiAAAAZHJzL2Rvd25yZXYueG1sUEsBAhQAFAAAAAgAh07iQDMvBZ47&#10;AAAAOQAAABAAAAAAAAAAAQAgAAAACgEAAGRycy9zaGFwZXhtbC54bWxQSwUGAAAAAAYABgBbAQAA&#10;tAMAAAAA&#10;">
                        <v:fill on="t" focussize="0,0"/>
                        <v:stroke weight="0.5pt" color="#000000 [3204]" joinstyle="round"/>
                        <v:imagedata o:title=""/>
                        <o:lock v:ext="edit" aspectratio="f"/>
                        <v:textbox>
                          <w:txbxContent>
                            <w:p w14:paraId="2F4EC5CF">
                              <w:pPr>
                                <w:jc w:val="center"/>
                                <w:rPr>
                                  <w:rFonts w:hint="eastAsia"/>
                                </w:rPr>
                              </w:pPr>
                              <w:r>
                                <w:rPr>
                                  <w:rFonts w:hint="eastAsia"/>
                                </w:rPr>
                                <w:t>储存</w:t>
                              </w:r>
                            </w:p>
                          </w:txbxContent>
                        </v:textbox>
                      </v:shape>
                      <v:shape id="文本框 31" o:spid="_x0000_s1026" o:spt="202" type="#_x0000_t202" style="position:absolute;left:12143;top:6422;height:421;width:990;" fillcolor="#FFFFFF [3201]" filled="t" stroked="f" coordsize="21600,21600" o:gfxdata="UEsDBAoAAAAAAIdO4kAAAAAAAAAAAAAAAAAEAAAAZHJzL1BLAwQUAAAACACHTuJA6Wat5LQAAADc&#10;AAAADwAAAGRycy9kb3ducmV2LnhtbEVPyQrCMBC9C/5DGMGbTSsiUo0eBMGT4HoemrEpNpOSxPXr&#10;zUHw+Hj7YvWyrXiQD41jBUWWgyCunG64VnA6bkYzECEia2wdk4I3BVgt+70Flto9eU+PQ6xFCuFQ&#10;ogITY1dKGSpDFkPmOuLEXZ23GBP0tdQenynctnKc51NpseHUYLCjtaHqdrhbBZfafi7novNG23bC&#10;u8/7eHKNUsNBkc9BRHrFv/jn3moF4yLNT2fSEZDLL1BLAwQUAAAACACHTuJAMy8FnjsAAAA5AAAA&#10;EAAAAGRycy9zaGFwZXhtbC54bWyzsa/IzVEoSy0qzszPs1Uy1DNQUkjNS85PycxLt1UKDXHTtVBS&#10;KC5JzEtJzMnPS7VVqkwtVrK34+UCAFBLAwQKAAAAAACHTuJAAAAAAAAAAAAAAAAABgAAAF9yZWxz&#10;L1BLAwQUAAAACACHTuJA1VwmKMwAAACPAQAACwAAAF9yZWxzLy5yZWxzpZCxagMxDIb3QN/BaO/5&#10;kqGUEF+2QtaQQldh6+5MzpaxzDV5+7iUQi9ky6BBv9D3Ce32lzCpmbJ4jgbWTQuKomXn42Dg8/Tx&#10;+g5KCkaHE0cycCWBffey2h1pwlKXZPRJVKVEMTCWkrZaix0poDScKNZJzzlgqW0edEJ7xoH0pm3f&#10;dP7PgG7BVAdnIB/cBtTpmqr5jh28zSzcl8Zy0Nz33j6iahkx0VeYKgbzQMWAy/Kb1tOaWqAfm9dP&#10;mh1/xyPNS/FPmGn+8+rFG7sbUEsDBBQAAAAIAIdO4kBa4xFm9wAAAOIBAAATAAAAW0NvbnRlbnRf&#10;VHlwZXNdLnhtbJWRTU/EIBCG7yb+BzJX01I9GGNK92D1qEbXHzCBaUu2BcJg3f330v24GNfEI8y8&#10;z/sE6tV2GsVMka13Cq7LCgQ57Y11vYKP9VNxB4ITOoOjd6RgRwyr5vKiXu8CschpxwqGlMK9lKwH&#10;mpBLH8jlSefjhCkfYy8D6g32JG+q6lZq7xK5VKSFAU3dUoefYxKP23x9MIk0MoiHw+LSpQBDGK3G&#10;lE3l7MyPluLYUObkfocHG/gqa4D8tWGZnC845l7y00RrSLxiTM84ZQ1pIkvjv1ykufwbslhOXPiu&#10;s5rKNnKbY280n6zO0XnAQBn9X/z7kjvB5f6Hmm9QSwECFAAUAAAACACHTuJAWuMRZvcAAADiAQAA&#10;EwAAAAAAAAABACAAAACFAgAAW0NvbnRlbnRfVHlwZXNdLnhtbFBLAQIUAAoAAAAAAIdO4kAAAAAA&#10;AAAAAAAAAAAGAAAAAAAAAAAAEAAAAGwBAABfcmVscy9QSwECFAAUAAAACACHTuJA1VwmKMwAAACP&#10;AQAACwAAAAAAAAABACAAAACQAQAAX3JlbHMvLnJlbHNQSwECFAAKAAAAAACHTuJAAAAAAAAAAAAA&#10;AAAABAAAAAAAAAAAABAAAAAAAAAAZHJzL1BLAQIUABQAAAAIAIdO4kDpZq3ktAAAANwAAAAPAAAA&#10;AAAAAAEAIAAAACIAAABkcnMvZG93bnJldi54bWxQSwECFAAUAAAACACHTuJAMy8FnjsAAAA5AAAA&#10;EAAAAAAAAAABACAAAAADAQAAZHJzL3NoYXBleG1sLnhtbFBLBQYAAAAABgAGAFsBAACtAwAAAAA=&#10;">
                        <v:fill on="t" focussize="0,0"/>
                        <v:stroke on="f" weight="0.5pt"/>
                        <v:imagedata o:title=""/>
                        <o:lock v:ext="edit" aspectratio="f"/>
                        <v:textbox>
                          <w:txbxContent>
                            <w:p w14:paraId="1000A354">
                              <w:pPr>
                                <w:rPr>
                                  <w:rFonts w:hint="eastAsia"/>
                                  <w:lang w:val="en-US" w:eastAsia="zh-CN"/>
                                </w:rPr>
                              </w:pPr>
                              <w:r>
                                <w:rPr>
                                  <w:rFonts w:hint="eastAsia"/>
                                  <w:lang w:val="en-US" w:eastAsia="zh-CN"/>
                                </w:rPr>
                                <w:t>G1、S2</w:t>
                              </w:r>
                            </w:p>
                          </w:txbxContent>
                        </v:textbox>
                      </v:shape>
                      <v:shape id="直接箭头连接符 16" o:spid="_x0000_s1026" o:spt="32" type="#_x0000_t32" style="position:absolute;left:10569;top:2919;flip:x;height:353;width:2;" filled="f" stroked="t" coordsize="21600,21600" o:gfxdata="UEsDBAoAAAAAAIdO4kAAAAAAAAAAAAAAAAAEAAAAZHJzL1BLAwQUAAAACACHTuJAFvwheb4AAADb&#10;AAAADwAAAGRycy9kb3ducmV2LnhtbEWPT4vCMBTE7wt+h/AEL6Kpyop2jR52/bMXEaveH83btti8&#10;lCZq++2NIOxxmJnfMItVY0pxp9oVlhWMhhEI4tTqgjMF59NmMAPhPLLG0jIpaMnBatn5WGCs7YOP&#10;dE98JgKEXYwKcu+rWEqX5mTQDW1FHLw/Wxv0QdaZ1DU+AtyUchxFU2mw4LCQY0XfOaXX5GYU/CSH&#10;z82lf27GbbrbJ9vZ9cDtWqledxR9gfDU+P/wu/2rFcwn8PoSfoBcPg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Fvwheb4A&#10;AADbAAAADwAAAAAAAAABACAAAAAiAAAAZHJzL2Rvd25yZXYueG1sUEsBAhQAFAAAAAgAh07iQDMv&#10;BZ47AAAAOQAAABAAAAAAAAAAAQAgAAAADQEAAGRycy9zaGFwZXhtbC54bWxQSwUGAAAAAAYABgBb&#10;AQAAtwMAAAAA&#10;">
                        <v:fill on="f" focussize="0,0"/>
                        <v:stroke color="#000000 [3213]" joinstyle="round" endarrow="block"/>
                        <v:imagedata o:title=""/>
                        <o:lock v:ext="edit" aspectratio="f"/>
                      </v:shape>
                    </v:group>
                  </w:pict>
                </mc:Fallback>
              </mc:AlternateContent>
            </w:r>
          </w:p>
          <w:p w14:paraId="5B942716">
            <w:pPr>
              <w:numPr>
                <w:ilvl w:val="0"/>
                <w:numId w:val="0"/>
              </w:numPr>
              <w:spacing w:line="360" w:lineRule="auto"/>
              <w:ind w:firstLine="480" w:firstLineChars="200"/>
              <w:jc w:val="both"/>
              <w:rPr>
                <w:rFonts w:hint="eastAsia" w:cs="Times New Roman"/>
                <w:b w:val="0"/>
                <w:bCs w:val="0"/>
                <w:color w:val="auto"/>
                <w:sz w:val="24"/>
                <w:szCs w:val="24"/>
                <w:lang w:val="en-US" w:eastAsia="zh-CN"/>
              </w:rPr>
            </w:pPr>
          </w:p>
          <w:p w14:paraId="5F0BF526">
            <w:pPr>
              <w:numPr>
                <w:ilvl w:val="0"/>
                <w:numId w:val="0"/>
              </w:numPr>
              <w:spacing w:line="360" w:lineRule="auto"/>
              <w:ind w:firstLine="480" w:firstLineChars="200"/>
              <w:jc w:val="both"/>
              <w:rPr>
                <w:rFonts w:hint="eastAsia" w:cs="Times New Roman"/>
                <w:b w:val="0"/>
                <w:bCs w:val="0"/>
                <w:color w:val="auto"/>
                <w:sz w:val="24"/>
                <w:szCs w:val="24"/>
                <w:lang w:val="en-US" w:eastAsia="zh-CN"/>
              </w:rPr>
            </w:pPr>
          </w:p>
          <w:p w14:paraId="38E7C1A5">
            <w:pPr>
              <w:numPr>
                <w:ilvl w:val="0"/>
                <w:numId w:val="0"/>
              </w:numPr>
              <w:spacing w:line="360" w:lineRule="auto"/>
              <w:ind w:firstLine="480" w:firstLineChars="200"/>
              <w:jc w:val="both"/>
              <w:rPr>
                <w:rFonts w:hint="eastAsia" w:cs="Times New Roman"/>
                <w:b w:val="0"/>
                <w:bCs w:val="0"/>
                <w:color w:val="auto"/>
                <w:sz w:val="24"/>
                <w:szCs w:val="24"/>
                <w:lang w:val="en-US" w:eastAsia="zh-CN"/>
              </w:rPr>
            </w:pPr>
          </w:p>
          <w:p w14:paraId="5D2DB1C7">
            <w:pPr>
              <w:numPr>
                <w:ilvl w:val="0"/>
                <w:numId w:val="0"/>
              </w:numPr>
              <w:spacing w:line="360" w:lineRule="auto"/>
              <w:ind w:firstLine="480" w:firstLineChars="200"/>
              <w:jc w:val="both"/>
              <w:rPr>
                <w:rFonts w:hint="eastAsia" w:cs="Times New Roman"/>
                <w:b w:val="0"/>
                <w:bCs w:val="0"/>
                <w:color w:val="auto"/>
                <w:sz w:val="24"/>
                <w:szCs w:val="24"/>
                <w:lang w:val="en-US" w:eastAsia="zh-CN"/>
              </w:rPr>
            </w:pPr>
          </w:p>
          <w:p w14:paraId="448C8C41">
            <w:pPr>
              <w:numPr>
                <w:ilvl w:val="0"/>
                <w:numId w:val="0"/>
              </w:numPr>
              <w:spacing w:line="360" w:lineRule="auto"/>
              <w:ind w:firstLine="480" w:firstLineChars="200"/>
              <w:jc w:val="both"/>
              <w:rPr>
                <w:rFonts w:hint="eastAsia" w:cs="Times New Roman"/>
                <w:b w:val="0"/>
                <w:bCs w:val="0"/>
                <w:color w:val="auto"/>
                <w:sz w:val="24"/>
                <w:szCs w:val="24"/>
                <w:lang w:val="en-US" w:eastAsia="zh-CN"/>
              </w:rPr>
            </w:pPr>
          </w:p>
          <w:p w14:paraId="29D54351">
            <w:pPr>
              <w:numPr>
                <w:ilvl w:val="0"/>
                <w:numId w:val="0"/>
              </w:numPr>
              <w:spacing w:line="360" w:lineRule="auto"/>
              <w:ind w:firstLine="480" w:firstLineChars="200"/>
              <w:jc w:val="both"/>
              <w:rPr>
                <w:rFonts w:hint="eastAsia" w:cs="Times New Roman"/>
                <w:b w:val="0"/>
                <w:bCs w:val="0"/>
                <w:color w:val="auto"/>
                <w:sz w:val="24"/>
                <w:szCs w:val="24"/>
                <w:lang w:val="en-US" w:eastAsia="zh-CN"/>
              </w:rPr>
            </w:pPr>
          </w:p>
          <w:p w14:paraId="4B616798">
            <w:pPr>
              <w:numPr>
                <w:ilvl w:val="0"/>
                <w:numId w:val="0"/>
              </w:numPr>
              <w:spacing w:line="360" w:lineRule="auto"/>
              <w:ind w:firstLine="480" w:firstLineChars="200"/>
              <w:jc w:val="both"/>
              <w:rPr>
                <w:rFonts w:hint="eastAsia" w:cs="Times New Roman"/>
                <w:b w:val="0"/>
                <w:bCs w:val="0"/>
                <w:color w:val="auto"/>
                <w:sz w:val="24"/>
                <w:szCs w:val="24"/>
                <w:lang w:val="en-US" w:eastAsia="zh-CN"/>
              </w:rPr>
            </w:pPr>
          </w:p>
          <w:p w14:paraId="009B1313">
            <w:pPr>
              <w:numPr>
                <w:ilvl w:val="0"/>
                <w:numId w:val="0"/>
              </w:numPr>
              <w:spacing w:line="360" w:lineRule="auto"/>
              <w:ind w:firstLine="480" w:firstLineChars="200"/>
              <w:jc w:val="both"/>
              <w:rPr>
                <w:rFonts w:hint="eastAsia" w:cs="Times New Roman"/>
                <w:b w:val="0"/>
                <w:bCs w:val="0"/>
                <w:color w:val="auto"/>
                <w:sz w:val="24"/>
                <w:szCs w:val="24"/>
                <w:lang w:val="en-US" w:eastAsia="zh-CN"/>
              </w:rPr>
            </w:pPr>
          </w:p>
          <w:p w14:paraId="10F7591C">
            <w:pPr>
              <w:numPr>
                <w:ilvl w:val="0"/>
                <w:numId w:val="0"/>
              </w:numPr>
              <w:spacing w:line="360" w:lineRule="auto"/>
              <w:ind w:firstLine="480" w:firstLineChars="200"/>
              <w:jc w:val="both"/>
              <w:rPr>
                <w:rFonts w:hint="eastAsia" w:cs="Times New Roman"/>
                <w:b w:val="0"/>
                <w:bCs w:val="0"/>
                <w:color w:val="auto"/>
                <w:sz w:val="24"/>
                <w:szCs w:val="24"/>
                <w:lang w:val="en-US" w:eastAsia="zh-CN"/>
              </w:rPr>
            </w:pPr>
          </w:p>
          <w:p w14:paraId="34B62A35">
            <w:pPr>
              <w:numPr>
                <w:ilvl w:val="0"/>
                <w:numId w:val="0"/>
              </w:numPr>
              <w:spacing w:line="360" w:lineRule="auto"/>
              <w:ind w:firstLine="480" w:firstLineChars="200"/>
              <w:jc w:val="both"/>
              <w:rPr>
                <w:rFonts w:hint="eastAsia" w:cs="Times New Roman"/>
                <w:b w:val="0"/>
                <w:bCs w:val="0"/>
                <w:color w:val="auto"/>
                <w:sz w:val="24"/>
                <w:szCs w:val="24"/>
                <w:lang w:val="en-US" w:eastAsia="zh-CN"/>
              </w:rPr>
            </w:pPr>
          </w:p>
          <w:p w14:paraId="3FC01593">
            <w:pPr>
              <w:numPr>
                <w:ilvl w:val="0"/>
                <w:numId w:val="0"/>
              </w:numPr>
              <w:spacing w:line="360" w:lineRule="auto"/>
              <w:ind w:firstLine="480" w:firstLineChars="200"/>
              <w:jc w:val="both"/>
              <w:rPr>
                <w:rFonts w:hint="eastAsia" w:cs="Times New Roman"/>
                <w:b w:val="0"/>
                <w:bCs w:val="0"/>
                <w:color w:val="auto"/>
                <w:sz w:val="24"/>
                <w:szCs w:val="24"/>
                <w:lang w:val="en-US" w:eastAsia="zh-CN"/>
              </w:rPr>
            </w:pPr>
          </w:p>
          <w:p w14:paraId="65BB5A19">
            <w:pPr>
              <w:numPr>
                <w:ilvl w:val="0"/>
                <w:numId w:val="0"/>
              </w:numPr>
              <w:spacing w:line="360" w:lineRule="auto"/>
              <w:ind w:firstLine="480" w:firstLineChars="200"/>
              <w:jc w:val="both"/>
              <w:rPr>
                <w:rFonts w:hint="eastAsia" w:cs="Times New Roman"/>
                <w:b w:val="0"/>
                <w:bCs w:val="0"/>
                <w:color w:val="auto"/>
                <w:sz w:val="24"/>
                <w:szCs w:val="24"/>
                <w:lang w:val="en-US" w:eastAsia="zh-CN"/>
              </w:rPr>
            </w:pPr>
          </w:p>
          <w:p w14:paraId="7AC14A4F">
            <w:pPr>
              <w:numPr>
                <w:ilvl w:val="0"/>
                <w:numId w:val="0"/>
              </w:numPr>
              <w:spacing w:line="360" w:lineRule="auto"/>
              <w:ind w:firstLine="480" w:firstLineChars="200"/>
              <w:jc w:val="both"/>
              <w:rPr>
                <w:rFonts w:hint="eastAsia" w:cs="Times New Roman"/>
                <w:b w:val="0"/>
                <w:bCs w:val="0"/>
                <w:color w:val="auto"/>
                <w:sz w:val="24"/>
                <w:szCs w:val="24"/>
                <w:lang w:val="en-US" w:eastAsia="zh-CN"/>
              </w:rPr>
            </w:pPr>
          </w:p>
          <w:p w14:paraId="1C9E74BF">
            <w:pPr>
              <w:numPr>
                <w:ilvl w:val="0"/>
                <w:numId w:val="0"/>
              </w:numPr>
              <w:spacing w:line="360" w:lineRule="auto"/>
              <w:ind w:firstLine="480" w:firstLineChars="200"/>
              <w:jc w:val="both"/>
              <w:rPr>
                <w:rFonts w:hint="eastAsia" w:cs="Times New Roman"/>
                <w:b w:val="0"/>
                <w:bCs w:val="0"/>
                <w:color w:val="auto"/>
                <w:sz w:val="24"/>
                <w:szCs w:val="24"/>
                <w:lang w:val="en-US" w:eastAsia="zh-CN"/>
              </w:rPr>
            </w:pPr>
          </w:p>
          <w:p w14:paraId="7ADB29BB">
            <w:pPr>
              <w:numPr>
                <w:ilvl w:val="0"/>
                <w:numId w:val="0"/>
              </w:numPr>
              <w:spacing w:line="360" w:lineRule="auto"/>
              <w:ind w:firstLine="420" w:firstLineChars="200"/>
              <w:jc w:val="both"/>
              <w:rPr>
                <w:rFonts w:hint="eastAsia" w:cs="Times New Roman"/>
                <w:b w:val="0"/>
                <w:bCs w:val="0"/>
                <w:color w:val="auto"/>
                <w:sz w:val="21"/>
                <w:szCs w:val="21"/>
                <w:lang w:val="en-US" w:eastAsia="zh-CN"/>
              </w:rPr>
            </w:pPr>
            <w:r>
              <w:rPr>
                <w:rFonts w:hint="eastAsia" w:cs="Times New Roman"/>
                <w:b w:val="0"/>
                <w:bCs w:val="0"/>
                <w:color w:val="auto"/>
                <w:sz w:val="21"/>
                <w:szCs w:val="21"/>
                <w:lang w:val="en-US" w:eastAsia="zh-CN"/>
              </w:rPr>
              <w:t>注：G1：有机废气；N：噪声；S1：废油桶；S2：油泥。</w:t>
            </w:r>
          </w:p>
          <w:p w14:paraId="20D6BD20">
            <w:pPr>
              <w:numPr>
                <w:ilvl w:val="0"/>
                <w:numId w:val="0"/>
              </w:numPr>
              <w:spacing w:line="360" w:lineRule="auto"/>
              <w:jc w:val="center"/>
              <w:rPr>
                <w:rFonts w:hint="eastAsia" w:cs="Times New Roman"/>
                <w:b/>
                <w:bCs/>
                <w:color w:val="auto"/>
                <w:sz w:val="21"/>
                <w:szCs w:val="21"/>
                <w:lang w:val="en-US" w:eastAsia="zh-CN"/>
              </w:rPr>
            </w:pPr>
            <w:r>
              <w:rPr>
                <w:rFonts w:hint="eastAsia" w:cs="Times New Roman"/>
                <w:b/>
                <w:bCs/>
                <w:color w:val="auto"/>
                <w:sz w:val="21"/>
                <w:szCs w:val="21"/>
                <w:lang w:val="en-US" w:eastAsia="zh-CN"/>
              </w:rPr>
              <w:t>图2-3 工艺流程及产污节点示意图</w:t>
            </w:r>
          </w:p>
          <w:p w14:paraId="49D8B22A">
            <w:pPr>
              <w:numPr>
                <w:ilvl w:val="0"/>
                <w:numId w:val="0"/>
              </w:numPr>
              <w:spacing w:line="360" w:lineRule="auto"/>
              <w:ind w:firstLine="480" w:firstLineChars="200"/>
              <w:jc w:val="both"/>
              <w:rPr>
                <w:rFonts w:hint="default" w:ascii="Times New Roman" w:hAnsi="Times New Roman" w:eastAsia="宋体"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工艺流程简述如下：</w:t>
            </w:r>
          </w:p>
          <w:p w14:paraId="5878FC3F">
            <w:pPr>
              <w:numPr>
                <w:ilvl w:val="0"/>
                <w:numId w:val="0"/>
              </w:numPr>
              <w:spacing w:line="360" w:lineRule="auto"/>
              <w:ind w:firstLine="480" w:firstLineChars="200"/>
              <w:jc w:val="both"/>
              <w:rPr>
                <w:rFonts w:hint="default" w:ascii="Times New Roman" w:hAnsi="Times New Roman" w:eastAsia="宋体" w:cs="Times New Roman"/>
                <w:b/>
                <w:bCs/>
                <w:i w:val="0"/>
                <w:iCs w:val="0"/>
                <w:color w:val="auto"/>
                <w:sz w:val="24"/>
                <w:szCs w:val="24"/>
                <w:lang w:val="en-US" w:eastAsia="zh-CN"/>
              </w:rPr>
            </w:pPr>
            <w:r>
              <w:rPr>
                <w:rFonts w:hint="default" w:ascii="Times New Roman" w:hAnsi="Times New Roman" w:eastAsia="宋体" w:cs="Times New Roman"/>
                <w:b w:val="0"/>
                <w:bCs w:val="0"/>
                <w:i w:val="0"/>
                <w:iCs w:val="0"/>
                <w:color w:val="auto"/>
                <w:sz w:val="24"/>
                <w:szCs w:val="24"/>
                <w:lang w:val="en-US" w:eastAsia="zh-CN"/>
              </w:rPr>
              <w:t>整体流程包括：接受客户委托、现场检查收集、委托有资质第三方单位汽车运输至厂区、称重、入库储存、称重、出库、委托有资质第三方单位汽车转运至有资质单位处置。</w:t>
            </w:r>
            <w:r>
              <w:rPr>
                <w:rFonts w:hint="default" w:ascii="Times New Roman" w:hAnsi="Times New Roman" w:eastAsia="宋体" w:cs="Times New Roman"/>
                <w:b/>
                <w:bCs/>
                <w:i w:val="0"/>
                <w:iCs w:val="0"/>
                <w:color w:val="auto"/>
                <w:sz w:val="24"/>
                <w:szCs w:val="24"/>
                <w:lang w:val="en-US" w:eastAsia="zh-CN"/>
              </w:rPr>
              <w:t>本项目只负责现场检查收集、检测、暂存，企业废矿物油的厂外运输属于外委，本项目不涉及此项评价。</w:t>
            </w:r>
          </w:p>
          <w:p w14:paraId="4AA555D5">
            <w:pPr>
              <w:numPr>
                <w:ilvl w:val="0"/>
                <w:numId w:val="39"/>
              </w:numPr>
              <w:spacing w:line="360" w:lineRule="auto"/>
              <w:ind w:firstLine="482" w:firstLineChars="200"/>
              <w:jc w:val="both"/>
              <w:rPr>
                <w:rFonts w:hint="eastAsia" w:cs="Times New Roman"/>
                <w:b/>
                <w:bCs/>
                <w:i w:val="0"/>
                <w:iCs w:val="0"/>
                <w:color w:val="auto"/>
                <w:sz w:val="24"/>
                <w:szCs w:val="24"/>
                <w:lang w:val="en-US" w:eastAsia="zh-CN"/>
              </w:rPr>
            </w:pPr>
            <w:r>
              <w:rPr>
                <w:rFonts w:hint="eastAsia" w:cs="Times New Roman"/>
                <w:b/>
                <w:bCs/>
                <w:i w:val="0"/>
                <w:iCs w:val="0"/>
                <w:color w:val="auto"/>
                <w:sz w:val="24"/>
                <w:szCs w:val="24"/>
                <w:lang w:val="en-US" w:eastAsia="zh-CN"/>
              </w:rPr>
              <w:t>接受委托</w:t>
            </w:r>
          </w:p>
          <w:p w14:paraId="0DDA65BC">
            <w:pPr>
              <w:numPr>
                <w:ilvl w:val="0"/>
                <w:numId w:val="0"/>
              </w:numPr>
              <w:spacing w:line="360" w:lineRule="auto"/>
              <w:ind w:firstLine="480" w:firstLineChars="200"/>
              <w:jc w:val="both"/>
              <w:rPr>
                <w:rFonts w:hint="eastAsia" w:cs="Times New Roman"/>
                <w:b w:val="0"/>
                <w:bCs w:val="0"/>
                <w:i w:val="0"/>
                <w:iCs w:val="0"/>
                <w:color w:val="auto"/>
                <w:sz w:val="24"/>
                <w:szCs w:val="24"/>
                <w:lang w:val="en-US" w:eastAsia="zh-CN"/>
              </w:rPr>
            </w:pPr>
            <w:r>
              <w:rPr>
                <w:rFonts w:hint="eastAsia" w:cs="Times New Roman"/>
                <w:b w:val="0"/>
                <w:bCs w:val="0"/>
                <w:i w:val="0"/>
                <w:iCs w:val="0"/>
                <w:color w:val="auto"/>
                <w:sz w:val="24"/>
                <w:szCs w:val="24"/>
                <w:lang w:val="en-US" w:eastAsia="zh-CN"/>
              </w:rPr>
              <w:t>由产废单位提出委托需求，在危险废物暂存容器上粘贴标签，注明来源、规格等信息，确保运输内容、种类与转移联单一致。</w:t>
            </w:r>
          </w:p>
          <w:p w14:paraId="03D6AE78">
            <w:pPr>
              <w:numPr>
                <w:ilvl w:val="0"/>
                <w:numId w:val="39"/>
              </w:numPr>
              <w:spacing w:line="360" w:lineRule="auto"/>
              <w:ind w:left="0" w:leftChars="0" w:firstLine="482" w:firstLineChars="200"/>
              <w:jc w:val="both"/>
              <w:rPr>
                <w:rFonts w:hint="eastAsia" w:cs="Times New Roman"/>
                <w:b/>
                <w:bCs/>
                <w:i w:val="0"/>
                <w:iCs w:val="0"/>
                <w:color w:val="auto"/>
                <w:sz w:val="24"/>
                <w:szCs w:val="24"/>
                <w:lang w:val="en-US" w:eastAsia="zh-CN"/>
              </w:rPr>
            </w:pPr>
            <w:r>
              <w:rPr>
                <w:rFonts w:hint="eastAsia" w:cs="Times New Roman"/>
                <w:b/>
                <w:bCs/>
                <w:i w:val="0"/>
                <w:iCs w:val="0"/>
                <w:color w:val="auto"/>
                <w:sz w:val="24"/>
                <w:szCs w:val="24"/>
                <w:lang w:val="en-US" w:eastAsia="zh-CN"/>
              </w:rPr>
              <w:t>检查、收集</w:t>
            </w:r>
          </w:p>
          <w:p w14:paraId="655A729E">
            <w:pPr>
              <w:numPr>
                <w:ilvl w:val="0"/>
                <w:numId w:val="0"/>
              </w:numPr>
              <w:spacing w:line="360" w:lineRule="auto"/>
              <w:ind w:firstLine="480" w:firstLineChars="200"/>
              <w:jc w:val="both"/>
              <w:rPr>
                <w:rFonts w:hint="eastAsia" w:cs="Times New Roman"/>
                <w:b w:val="0"/>
                <w:bCs w:val="0"/>
                <w:i w:val="0"/>
                <w:iCs w:val="0"/>
                <w:color w:val="auto"/>
                <w:sz w:val="24"/>
                <w:szCs w:val="24"/>
                <w:lang w:val="en-US" w:eastAsia="zh-CN"/>
              </w:rPr>
            </w:pPr>
            <w:r>
              <w:rPr>
                <w:rFonts w:hint="eastAsia" w:cs="Times New Roman"/>
                <w:b w:val="0"/>
                <w:bCs w:val="0"/>
                <w:i w:val="0"/>
                <w:iCs w:val="0"/>
                <w:color w:val="auto"/>
                <w:sz w:val="24"/>
                <w:szCs w:val="24"/>
                <w:lang w:val="en-US" w:eastAsia="zh-CN"/>
              </w:rPr>
              <w:t>本项目现场废矿物油的收集及检查建设单位会派人一同前往，</w:t>
            </w:r>
            <w:r>
              <w:rPr>
                <w:rFonts w:hint="eastAsia" w:cs="Times New Roman"/>
                <w:b/>
                <w:bCs/>
                <w:i w:val="0"/>
                <w:iCs w:val="0"/>
                <w:color w:val="auto"/>
                <w:sz w:val="24"/>
                <w:szCs w:val="24"/>
                <w:lang w:val="en-US" w:eastAsia="zh-CN"/>
              </w:rPr>
              <w:t>不承担废矿物油的原始收集工作，危险废物产生单位自行收集。</w:t>
            </w:r>
            <w:r>
              <w:rPr>
                <w:rFonts w:hint="eastAsia" w:cs="Times New Roman"/>
                <w:b w:val="0"/>
                <w:bCs w:val="0"/>
                <w:i w:val="0"/>
                <w:iCs w:val="0"/>
                <w:color w:val="auto"/>
                <w:sz w:val="24"/>
                <w:szCs w:val="24"/>
                <w:lang w:val="en-US" w:eastAsia="zh-CN"/>
              </w:rPr>
              <w:t>收集废矿物油前要先对标签及实物与拉运协议做校对并做好记录；废矿物油收集过程在接收点直接将废矿物油通过运输车自带泵抽吸的方式置换于本项目自备的容积为200L的废矿物油贮存桶（专用容器）粘贴相应标签后装车。</w:t>
            </w:r>
          </w:p>
          <w:p w14:paraId="1981E824">
            <w:pPr>
              <w:numPr>
                <w:ilvl w:val="0"/>
                <w:numId w:val="0"/>
              </w:numPr>
              <w:spacing w:line="360" w:lineRule="auto"/>
              <w:ind w:firstLine="480" w:firstLineChars="200"/>
              <w:jc w:val="both"/>
              <w:rPr>
                <w:rFonts w:hint="eastAsia" w:cs="Times New Roman"/>
                <w:b w:val="0"/>
                <w:bCs w:val="0"/>
                <w:i w:val="0"/>
                <w:iCs w:val="0"/>
                <w:color w:val="auto"/>
                <w:sz w:val="24"/>
                <w:szCs w:val="24"/>
                <w:lang w:val="en-US" w:eastAsia="zh-CN"/>
              </w:rPr>
            </w:pPr>
            <w:r>
              <w:rPr>
                <w:rFonts w:hint="eastAsia" w:cs="Times New Roman"/>
                <w:b w:val="0"/>
                <w:bCs w:val="0"/>
                <w:i w:val="0"/>
                <w:iCs w:val="0"/>
                <w:color w:val="auto"/>
                <w:sz w:val="24"/>
                <w:szCs w:val="24"/>
                <w:lang w:val="en-US" w:eastAsia="zh-CN"/>
              </w:rPr>
              <w:t>本企业事先与各回收点签订回收协议，加强规范收集，在危险废物接收过程中，通过人工核对产污单位标识类别、种类、数量与转移联单是否一致。要求不得混有其他杂物（指在使用中混入水分、灰尘及其他杂油和机械磨损产生的金属末等杂质），否则不予接收。不接收不在现有手续内的危险废物。</w:t>
            </w:r>
          </w:p>
          <w:p w14:paraId="14E49F93">
            <w:pPr>
              <w:numPr>
                <w:ilvl w:val="0"/>
                <w:numId w:val="39"/>
              </w:numPr>
              <w:spacing w:line="360" w:lineRule="auto"/>
              <w:ind w:left="0" w:leftChars="0" w:firstLine="482" w:firstLineChars="200"/>
              <w:jc w:val="both"/>
              <w:rPr>
                <w:rFonts w:hint="eastAsia" w:cs="Times New Roman"/>
                <w:b/>
                <w:bCs/>
                <w:i w:val="0"/>
                <w:iCs w:val="0"/>
                <w:color w:val="auto"/>
                <w:sz w:val="24"/>
                <w:szCs w:val="24"/>
                <w:lang w:val="en-US" w:eastAsia="zh-CN"/>
              </w:rPr>
            </w:pPr>
            <w:r>
              <w:rPr>
                <w:rFonts w:hint="eastAsia" w:cs="Times New Roman"/>
                <w:b/>
                <w:bCs/>
                <w:i w:val="0"/>
                <w:iCs w:val="0"/>
                <w:color w:val="auto"/>
                <w:sz w:val="24"/>
                <w:szCs w:val="24"/>
                <w:lang w:val="en-US" w:eastAsia="zh-CN"/>
              </w:rPr>
              <w:t>厂外运输</w:t>
            </w:r>
          </w:p>
          <w:p w14:paraId="1DA2E370">
            <w:pPr>
              <w:numPr>
                <w:ilvl w:val="0"/>
                <w:numId w:val="0"/>
              </w:numPr>
              <w:spacing w:line="360" w:lineRule="auto"/>
              <w:ind w:firstLine="480" w:firstLineChars="200"/>
              <w:jc w:val="both"/>
              <w:rPr>
                <w:rFonts w:hint="eastAsia" w:cs="Times New Roman"/>
                <w:b w:val="0"/>
                <w:bCs w:val="0"/>
                <w:i w:val="0"/>
                <w:iCs w:val="0"/>
                <w:color w:val="FF0000"/>
                <w:sz w:val="24"/>
                <w:szCs w:val="24"/>
                <w:lang w:val="en-US" w:eastAsia="zh-CN"/>
              </w:rPr>
            </w:pPr>
            <w:r>
              <w:rPr>
                <w:rFonts w:hint="eastAsia" w:cs="Times New Roman"/>
                <w:b w:val="0"/>
                <w:bCs w:val="0"/>
                <w:i w:val="0"/>
                <w:iCs w:val="0"/>
                <w:color w:val="auto"/>
                <w:sz w:val="24"/>
                <w:szCs w:val="24"/>
                <w:lang w:val="en-US" w:eastAsia="zh-CN"/>
              </w:rPr>
              <w:t>厂外运输包括从收集点至本项目暂存库的运输和暂存库至危废处理单位的运输两个环节，均委托第三方持证有资质的运输单位负责转运。</w:t>
            </w:r>
          </w:p>
          <w:p w14:paraId="5D6C66DB">
            <w:pPr>
              <w:numPr>
                <w:ilvl w:val="0"/>
                <w:numId w:val="40"/>
              </w:numPr>
              <w:spacing w:line="360" w:lineRule="auto"/>
              <w:ind w:left="0" w:leftChars="0" w:firstLine="482" w:firstLineChars="200"/>
              <w:jc w:val="both"/>
              <w:rPr>
                <w:rFonts w:hint="eastAsia" w:cs="Times New Roman"/>
                <w:b/>
                <w:bCs/>
                <w:i w:val="0"/>
                <w:iCs w:val="0"/>
                <w:color w:val="auto"/>
                <w:sz w:val="24"/>
                <w:szCs w:val="24"/>
                <w:lang w:val="en-US" w:eastAsia="zh-CN"/>
              </w:rPr>
            </w:pPr>
            <w:r>
              <w:rPr>
                <w:rFonts w:hint="eastAsia" w:cs="Times New Roman"/>
                <w:b/>
                <w:bCs/>
                <w:i w:val="0"/>
                <w:iCs w:val="0"/>
                <w:color w:val="auto"/>
                <w:sz w:val="24"/>
                <w:szCs w:val="24"/>
                <w:lang w:val="en-US" w:eastAsia="zh-CN"/>
              </w:rPr>
              <w:t>转运要求</w:t>
            </w:r>
          </w:p>
          <w:p w14:paraId="122D0B39">
            <w:pPr>
              <w:numPr>
                <w:ilvl w:val="0"/>
                <w:numId w:val="0"/>
              </w:numPr>
              <w:spacing w:line="360" w:lineRule="auto"/>
              <w:ind w:firstLine="480" w:firstLineChars="200"/>
              <w:jc w:val="both"/>
              <w:rPr>
                <w:rFonts w:hint="eastAsia" w:cs="Times New Roman"/>
                <w:b w:val="0"/>
                <w:bCs w:val="0"/>
                <w:i w:val="0"/>
                <w:iCs w:val="0"/>
                <w:color w:val="auto"/>
                <w:sz w:val="24"/>
                <w:szCs w:val="24"/>
                <w:lang w:val="en-US" w:eastAsia="zh-CN"/>
              </w:rPr>
            </w:pPr>
            <w:r>
              <w:rPr>
                <w:rFonts w:hint="eastAsia" w:cs="Times New Roman"/>
                <w:b w:val="0"/>
                <w:bCs w:val="0"/>
                <w:i w:val="0"/>
                <w:iCs w:val="0"/>
                <w:color w:val="auto"/>
                <w:sz w:val="24"/>
                <w:szCs w:val="24"/>
                <w:lang w:val="en-US" w:eastAsia="zh-CN"/>
              </w:rPr>
              <w:t>建设单位委托第三方运输单位承担废矿物油的运输工作，确保被委托单位具有危废运输资质，配置专职危险品驾驶员和押运员，各类资质和证照齐全，能够严格执行《危险废物收集贮存运输技术规范》（HJ2025-2012）、《危险废物转移联单管理办法》等规定和规范的要求。确保危险废物专用运输车辆配置GPS定位系统并于遂宁市固体废物管理中心实施联网，按照规定线路行驶，避开闹市区、学校等敏感区域，控制并防范运输过程中可能发生的二次污染及环境风险。检查司机配备专用的移动式通讯工具，确保固废运输过程中，一旦发生紧急事故，可以及时就地报警。具备危险废物运输资质的公司为运输过程中的主要环保责任主体。</w:t>
            </w:r>
          </w:p>
          <w:p w14:paraId="296F593C">
            <w:pPr>
              <w:numPr>
                <w:ilvl w:val="0"/>
                <w:numId w:val="40"/>
              </w:numPr>
              <w:spacing w:line="360" w:lineRule="auto"/>
              <w:ind w:left="0" w:leftChars="0" w:firstLine="482" w:firstLineChars="200"/>
              <w:jc w:val="both"/>
              <w:rPr>
                <w:rFonts w:hint="eastAsia" w:cs="Times New Roman"/>
                <w:b/>
                <w:bCs/>
                <w:i w:val="0"/>
                <w:iCs w:val="0"/>
                <w:color w:val="auto"/>
                <w:sz w:val="24"/>
                <w:szCs w:val="24"/>
                <w:lang w:val="en-US" w:eastAsia="zh-CN"/>
              </w:rPr>
            </w:pPr>
            <w:r>
              <w:rPr>
                <w:rFonts w:hint="eastAsia" w:cs="Times New Roman"/>
                <w:b/>
                <w:bCs/>
                <w:i w:val="0"/>
                <w:iCs w:val="0"/>
                <w:color w:val="auto"/>
                <w:sz w:val="24"/>
                <w:szCs w:val="24"/>
                <w:lang w:val="en-US" w:eastAsia="zh-CN"/>
              </w:rPr>
              <w:t>厂外运输环境管理</w:t>
            </w:r>
          </w:p>
          <w:p w14:paraId="03FF8A39">
            <w:pPr>
              <w:numPr>
                <w:ilvl w:val="0"/>
                <w:numId w:val="41"/>
              </w:numPr>
              <w:spacing w:line="360" w:lineRule="auto"/>
              <w:ind w:firstLine="480" w:firstLineChars="200"/>
              <w:jc w:val="both"/>
              <w:rPr>
                <w:rFonts w:hint="eastAsia" w:cs="Times New Roman"/>
                <w:b w:val="0"/>
                <w:bCs w:val="0"/>
                <w:i w:val="0"/>
                <w:iCs w:val="0"/>
                <w:color w:val="auto"/>
                <w:sz w:val="24"/>
                <w:szCs w:val="24"/>
                <w:lang w:val="en-US" w:eastAsia="zh-CN"/>
              </w:rPr>
            </w:pPr>
            <w:r>
              <w:rPr>
                <w:rFonts w:hint="eastAsia" w:cs="Times New Roman"/>
                <w:b w:val="0"/>
                <w:bCs w:val="0"/>
                <w:i w:val="0"/>
                <w:iCs w:val="0"/>
                <w:color w:val="auto"/>
                <w:sz w:val="24"/>
                <w:szCs w:val="24"/>
                <w:lang w:val="en-US" w:eastAsia="zh-CN"/>
              </w:rPr>
              <w:t>运输应当遵守《危险货物道路运输规则》（JT/T617）和《道路危险货物运输管理规定》的规定，并按要求委托具有危险货物道路运输相应资质的企业或单位运输。选用危险废物专业箱式运输车辆，并配备必要的应急处置物资，确保危险废物转运过程安全可靠。破碎的危险废物应放置于封闭容器内，并采取必要的防风、防雨、防渗漏、防遗撒措施。操作人员应接受危险货物道路运输专业知识培训、安全应急培训，装卸危险废物时应采取措施防止容器、车辆损坏或者其中的废液泄漏。</w:t>
            </w:r>
          </w:p>
          <w:p w14:paraId="45BAEE1B">
            <w:pPr>
              <w:numPr>
                <w:ilvl w:val="0"/>
                <w:numId w:val="41"/>
              </w:numPr>
              <w:spacing w:line="360" w:lineRule="auto"/>
              <w:ind w:firstLine="480" w:firstLineChars="200"/>
              <w:jc w:val="both"/>
              <w:rPr>
                <w:rFonts w:hint="eastAsia" w:cs="Times New Roman"/>
                <w:b w:val="0"/>
                <w:bCs w:val="0"/>
                <w:i w:val="0"/>
                <w:iCs w:val="0"/>
                <w:color w:val="auto"/>
                <w:sz w:val="24"/>
                <w:szCs w:val="24"/>
                <w:lang w:val="en-US" w:eastAsia="zh-CN"/>
              </w:rPr>
            </w:pPr>
            <w:r>
              <w:rPr>
                <w:rFonts w:hint="eastAsia" w:cs="Times New Roman"/>
                <w:b w:val="0"/>
                <w:bCs w:val="0"/>
                <w:i w:val="0"/>
                <w:iCs w:val="0"/>
                <w:color w:val="auto"/>
                <w:sz w:val="24"/>
                <w:szCs w:val="24"/>
                <w:lang w:val="en-US" w:eastAsia="zh-CN"/>
              </w:rPr>
              <w:t>运输车辆设置防淋挡护，车辆上铺设耐腐蚀、防渗漏的大槽体或同类物质，收集存放危险废物的吨袋和收集桶堆放在大槽体上，危险废物出现泄漏时，不会泄漏流出车外污染沿途环境。</w:t>
            </w:r>
          </w:p>
          <w:p w14:paraId="1DD788CD">
            <w:pPr>
              <w:numPr>
                <w:ilvl w:val="0"/>
                <w:numId w:val="41"/>
              </w:numPr>
              <w:spacing w:line="360" w:lineRule="auto"/>
              <w:ind w:firstLine="480" w:firstLineChars="200"/>
              <w:jc w:val="both"/>
              <w:rPr>
                <w:rFonts w:hint="eastAsia" w:cs="Times New Roman"/>
                <w:b w:val="0"/>
                <w:bCs w:val="0"/>
                <w:i w:val="0"/>
                <w:iCs w:val="0"/>
                <w:color w:val="auto"/>
                <w:sz w:val="24"/>
                <w:szCs w:val="24"/>
                <w:lang w:val="en-US" w:eastAsia="zh-CN"/>
              </w:rPr>
            </w:pPr>
            <w:r>
              <w:rPr>
                <w:rFonts w:hint="eastAsia" w:cs="Times New Roman"/>
                <w:b w:val="0"/>
                <w:bCs w:val="0"/>
                <w:i w:val="0"/>
                <w:iCs w:val="0"/>
                <w:color w:val="auto"/>
                <w:sz w:val="24"/>
                <w:szCs w:val="24"/>
                <w:lang w:val="en-US" w:eastAsia="zh-CN"/>
              </w:rPr>
              <w:t>建议建设单位将运输过程中的污染防范措施及事故应急措施及其它运输过程环境管理要求的具体内容落实于委托运输协议中，明确运输方在运输过程中的环保责任。</w:t>
            </w:r>
          </w:p>
          <w:p w14:paraId="3030D677">
            <w:pPr>
              <w:numPr>
                <w:ilvl w:val="0"/>
                <w:numId w:val="39"/>
              </w:numPr>
              <w:spacing w:line="360" w:lineRule="auto"/>
              <w:ind w:left="0" w:leftChars="0" w:firstLine="482" w:firstLineChars="200"/>
              <w:jc w:val="both"/>
              <w:rPr>
                <w:rFonts w:hint="eastAsia" w:cs="Times New Roman"/>
                <w:b/>
                <w:bCs/>
                <w:i w:val="0"/>
                <w:iCs w:val="0"/>
                <w:color w:val="auto"/>
                <w:sz w:val="24"/>
                <w:szCs w:val="24"/>
                <w:lang w:val="en-US" w:eastAsia="zh-CN"/>
              </w:rPr>
            </w:pPr>
            <w:r>
              <w:rPr>
                <w:rFonts w:hint="eastAsia" w:cs="Times New Roman"/>
                <w:b/>
                <w:bCs/>
                <w:i w:val="0"/>
                <w:iCs w:val="0"/>
                <w:color w:val="auto"/>
                <w:sz w:val="24"/>
                <w:szCs w:val="24"/>
                <w:lang w:val="en-US" w:eastAsia="zh-CN"/>
              </w:rPr>
              <w:t>称重、入库</w:t>
            </w:r>
          </w:p>
          <w:p w14:paraId="13DD7DFD">
            <w:pPr>
              <w:numPr>
                <w:ilvl w:val="0"/>
                <w:numId w:val="0"/>
              </w:numPr>
              <w:spacing w:line="360" w:lineRule="auto"/>
              <w:ind w:firstLine="480" w:firstLineChars="200"/>
              <w:jc w:val="both"/>
              <w:rPr>
                <w:rFonts w:hint="eastAsia" w:cs="Times New Roman"/>
                <w:b w:val="0"/>
                <w:bCs w:val="0"/>
                <w:i w:val="0"/>
                <w:iCs w:val="0"/>
                <w:color w:val="auto"/>
                <w:sz w:val="24"/>
                <w:szCs w:val="24"/>
                <w:lang w:val="en-US" w:eastAsia="zh-CN"/>
              </w:rPr>
            </w:pPr>
            <w:r>
              <w:rPr>
                <w:rFonts w:hint="eastAsia" w:cs="Times New Roman"/>
                <w:b w:val="0"/>
                <w:bCs w:val="0"/>
                <w:i w:val="0"/>
                <w:iCs w:val="0"/>
                <w:color w:val="auto"/>
                <w:sz w:val="24"/>
                <w:szCs w:val="24"/>
                <w:lang w:val="en-US" w:eastAsia="zh-CN"/>
              </w:rPr>
              <w:t>入厂卸车前登记废矿物油来源、数量等，进行危险废物登记，并记录入库时间。根据危险废物数量和重量，进行称重。已经记录废油重量后，通过输油泵采用管道输送的形式将废矿物油打入储油罐内暂存。</w:t>
            </w:r>
          </w:p>
          <w:p w14:paraId="702B4192">
            <w:pPr>
              <w:numPr>
                <w:ilvl w:val="0"/>
                <w:numId w:val="0"/>
              </w:numPr>
              <w:spacing w:line="360" w:lineRule="auto"/>
              <w:ind w:firstLine="480" w:firstLineChars="200"/>
              <w:jc w:val="both"/>
              <w:rPr>
                <w:rFonts w:hint="eastAsia" w:cs="Times New Roman"/>
                <w:b w:val="0"/>
                <w:bCs w:val="0"/>
                <w:i w:val="0"/>
                <w:iCs w:val="0"/>
                <w:color w:val="auto"/>
                <w:sz w:val="24"/>
                <w:szCs w:val="24"/>
                <w:lang w:val="en-US" w:eastAsia="zh-CN"/>
              </w:rPr>
            </w:pPr>
            <w:r>
              <w:rPr>
                <w:rFonts w:hint="eastAsia" w:cs="Times New Roman"/>
                <w:b w:val="0"/>
                <w:bCs w:val="0"/>
                <w:i w:val="0"/>
                <w:iCs w:val="0"/>
                <w:color w:val="auto"/>
                <w:sz w:val="24"/>
                <w:szCs w:val="24"/>
                <w:lang w:val="en-US" w:eastAsia="zh-CN"/>
              </w:rPr>
              <w:t>储油罐进油时，由于油面逐渐升高，气体空间逐渐减小，罐内压力增大，当压力超过呼吸阀控制压力时，一定浓度的油蒸气开始从呼吸阀呼出，直到油罐停止收油，所呼出的油蒸气造成油品蒸发的损失。</w:t>
            </w:r>
          </w:p>
          <w:p w14:paraId="03AB655F">
            <w:pPr>
              <w:numPr>
                <w:ilvl w:val="0"/>
                <w:numId w:val="0"/>
              </w:numPr>
              <w:spacing w:line="360" w:lineRule="auto"/>
              <w:ind w:firstLine="480" w:firstLineChars="200"/>
              <w:jc w:val="both"/>
              <w:rPr>
                <w:rFonts w:hint="eastAsia" w:cs="Times New Roman"/>
                <w:b w:val="0"/>
                <w:bCs w:val="0"/>
                <w:i w:val="0"/>
                <w:iCs w:val="0"/>
                <w:color w:val="auto"/>
                <w:sz w:val="24"/>
                <w:szCs w:val="24"/>
                <w:lang w:val="en-US" w:eastAsia="zh-CN"/>
              </w:rPr>
            </w:pPr>
            <w:r>
              <w:rPr>
                <w:rFonts w:hint="eastAsia" w:cs="Times New Roman"/>
                <w:b w:val="0"/>
                <w:bCs w:val="0"/>
                <w:i w:val="0"/>
                <w:iCs w:val="0"/>
                <w:color w:val="auto"/>
                <w:sz w:val="24"/>
                <w:szCs w:val="24"/>
                <w:lang w:val="en-US" w:eastAsia="zh-CN"/>
              </w:rPr>
              <w:t>此过程中会产生有机废气G1（大呼吸废气）、废油桶S1、噪声N。</w:t>
            </w:r>
          </w:p>
          <w:p w14:paraId="38B122E5">
            <w:pPr>
              <w:numPr>
                <w:ilvl w:val="0"/>
                <w:numId w:val="39"/>
              </w:numPr>
              <w:spacing w:line="360" w:lineRule="auto"/>
              <w:ind w:left="0" w:leftChars="0" w:firstLine="482" w:firstLineChars="200"/>
              <w:jc w:val="both"/>
              <w:rPr>
                <w:rFonts w:hint="eastAsia" w:cs="Times New Roman"/>
                <w:b/>
                <w:bCs/>
                <w:i w:val="0"/>
                <w:iCs w:val="0"/>
                <w:color w:val="auto"/>
                <w:sz w:val="24"/>
                <w:szCs w:val="24"/>
                <w:lang w:val="en-US" w:eastAsia="zh-CN"/>
              </w:rPr>
            </w:pPr>
            <w:r>
              <w:rPr>
                <w:rFonts w:hint="eastAsia" w:cs="Times New Roman"/>
                <w:b/>
                <w:bCs/>
                <w:i w:val="0"/>
                <w:iCs w:val="0"/>
                <w:color w:val="auto"/>
                <w:sz w:val="24"/>
                <w:szCs w:val="24"/>
                <w:lang w:val="en-US" w:eastAsia="zh-CN"/>
              </w:rPr>
              <w:t>油品检验</w:t>
            </w:r>
          </w:p>
          <w:p w14:paraId="5AC569AF">
            <w:pPr>
              <w:numPr>
                <w:ilvl w:val="0"/>
                <w:numId w:val="0"/>
              </w:numPr>
              <w:spacing w:line="360" w:lineRule="auto"/>
              <w:ind w:firstLine="480" w:firstLineChars="200"/>
              <w:jc w:val="both"/>
              <w:rPr>
                <w:rFonts w:hint="eastAsia" w:cs="Times New Roman"/>
                <w:b w:val="0"/>
                <w:bCs w:val="0"/>
                <w:i w:val="0"/>
                <w:iCs w:val="0"/>
                <w:color w:val="auto"/>
                <w:sz w:val="24"/>
                <w:szCs w:val="24"/>
                <w:lang w:val="en-US" w:eastAsia="zh-CN"/>
              </w:rPr>
            </w:pPr>
            <w:r>
              <w:rPr>
                <w:rFonts w:hint="eastAsia" w:cs="Times New Roman"/>
                <w:b w:val="0"/>
                <w:bCs w:val="0"/>
                <w:i w:val="0"/>
                <w:iCs w:val="0"/>
                <w:color w:val="auto"/>
                <w:sz w:val="24"/>
                <w:szCs w:val="24"/>
                <w:lang w:val="en-US" w:eastAsia="zh-CN"/>
              </w:rPr>
              <w:t>油品检验工序主要为对废矿物油的含水率及油水分离情况进行检验，检验的目的是为回收处置厂家提供本项目废矿物油的相关信息，方便其对废矿物油进行处置。进行如下操作：</w:t>
            </w:r>
          </w:p>
          <w:p w14:paraId="7C143396">
            <w:pPr>
              <w:numPr>
                <w:ilvl w:val="0"/>
                <w:numId w:val="42"/>
              </w:numPr>
              <w:spacing w:line="360" w:lineRule="auto"/>
              <w:ind w:firstLine="480" w:firstLineChars="200"/>
              <w:jc w:val="both"/>
              <w:rPr>
                <w:rFonts w:hint="eastAsia" w:cs="Times New Roman"/>
                <w:b w:val="0"/>
                <w:bCs w:val="0"/>
                <w:i w:val="0"/>
                <w:iCs w:val="0"/>
                <w:color w:val="auto"/>
                <w:sz w:val="24"/>
                <w:szCs w:val="24"/>
                <w:lang w:val="en-US" w:eastAsia="zh-CN"/>
              </w:rPr>
            </w:pPr>
            <w:r>
              <w:rPr>
                <w:rFonts w:hint="eastAsia" w:cs="Times New Roman"/>
                <w:b w:val="0"/>
                <w:bCs w:val="0"/>
                <w:i w:val="0"/>
                <w:iCs w:val="0"/>
                <w:color w:val="auto"/>
                <w:sz w:val="24"/>
                <w:szCs w:val="24"/>
                <w:lang w:val="en-US" w:eastAsia="zh-CN"/>
              </w:rPr>
              <w:t>含水量的检验主要为将废矿物油装入500mL量杯中，称重后放于电磁炉上加热，待水分蒸发后再次进行称重，由此计算废矿物油含水率；</w:t>
            </w:r>
          </w:p>
          <w:p w14:paraId="4097C52C">
            <w:pPr>
              <w:numPr>
                <w:ilvl w:val="0"/>
                <w:numId w:val="42"/>
              </w:numPr>
              <w:spacing w:line="360" w:lineRule="auto"/>
              <w:ind w:firstLine="480" w:firstLineChars="200"/>
              <w:jc w:val="both"/>
              <w:rPr>
                <w:rFonts w:hint="eastAsia" w:cs="Times New Roman"/>
                <w:b w:val="0"/>
                <w:bCs w:val="0"/>
                <w:i w:val="0"/>
                <w:iCs w:val="0"/>
                <w:color w:val="auto"/>
                <w:sz w:val="24"/>
                <w:szCs w:val="24"/>
                <w:lang w:val="en-US" w:eastAsia="zh-CN"/>
              </w:rPr>
            </w:pPr>
            <w:r>
              <w:rPr>
                <w:rFonts w:hint="eastAsia" w:cs="Times New Roman"/>
                <w:b w:val="0"/>
                <w:bCs w:val="0"/>
                <w:i w:val="0"/>
                <w:iCs w:val="0"/>
                <w:color w:val="auto"/>
                <w:sz w:val="24"/>
                <w:szCs w:val="24"/>
                <w:lang w:val="en-US" w:eastAsia="zh-CN"/>
              </w:rPr>
              <w:t>油水分离检验：主要为使用自来水将50gKOH溶于500ml烧杯内，向烧杯内加入废矿物油，观察油水分离情况，以此判断油质情况。</w:t>
            </w:r>
          </w:p>
          <w:p w14:paraId="776F29EE">
            <w:pPr>
              <w:numPr>
                <w:ilvl w:val="0"/>
                <w:numId w:val="0"/>
              </w:numPr>
              <w:spacing w:line="360" w:lineRule="auto"/>
              <w:ind w:firstLine="480" w:firstLineChars="200"/>
              <w:jc w:val="both"/>
              <w:rPr>
                <w:rFonts w:hint="eastAsia" w:cs="Times New Roman"/>
                <w:b w:val="0"/>
                <w:bCs w:val="0"/>
                <w:i w:val="0"/>
                <w:iCs w:val="0"/>
                <w:color w:val="auto"/>
                <w:sz w:val="24"/>
                <w:szCs w:val="24"/>
                <w:lang w:val="en-US" w:eastAsia="zh-CN"/>
              </w:rPr>
            </w:pPr>
            <w:r>
              <w:rPr>
                <w:rFonts w:hint="eastAsia" w:cs="Times New Roman"/>
                <w:b w:val="0"/>
                <w:bCs w:val="0"/>
                <w:i w:val="0"/>
                <w:iCs w:val="0"/>
                <w:color w:val="auto"/>
                <w:sz w:val="24"/>
                <w:szCs w:val="24"/>
                <w:lang w:val="en-US" w:eastAsia="zh-CN"/>
              </w:rPr>
              <w:t>本项目油品检验工序位于车间专门设置的检验室内，在检验过程中会产生的有机废气G2，由于该过程废气产生量极小且间歇排放，因此仅对该废气进行定性分析，不进行定量计算分析。此过程会产生使用试剂产生废包装材料S7（废纸箱等）与废试剂瓶S5，实验结束产生实验废液S6（检验过程结束后产生的废液连同少量的清洗烧杯废水）。</w:t>
            </w:r>
          </w:p>
          <w:p w14:paraId="2E883D28">
            <w:pPr>
              <w:numPr>
                <w:ilvl w:val="0"/>
                <w:numId w:val="39"/>
              </w:numPr>
              <w:spacing w:line="360" w:lineRule="auto"/>
              <w:ind w:left="0" w:leftChars="0" w:firstLine="482" w:firstLineChars="200"/>
              <w:jc w:val="both"/>
              <w:rPr>
                <w:rFonts w:hint="eastAsia" w:cs="Times New Roman"/>
                <w:b/>
                <w:bCs/>
                <w:i w:val="0"/>
                <w:iCs w:val="0"/>
                <w:color w:val="auto"/>
                <w:sz w:val="24"/>
                <w:szCs w:val="24"/>
                <w:lang w:val="en-US" w:eastAsia="zh-CN"/>
              </w:rPr>
            </w:pPr>
            <w:r>
              <w:rPr>
                <w:rFonts w:hint="eastAsia" w:cs="Times New Roman"/>
                <w:b/>
                <w:bCs/>
                <w:i w:val="0"/>
                <w:iCs w:val="0"/>
                <w:color w:val="auto"/>
                <w:sz w:val="24"/>
                <w:szCs w:val="24"/>
                <w:lang w:val="en-US" w:eastAsia="zh-CN"/>
              </w:rPr>
              <w:t>储存</w:t>
            </w:r>
          </w:p>
          <w:p w14:paraId="32FC3BDE">
            <w:pPr>
              <w:numPr>
                <w:ilvl w:val="0"/>
                <w:numId w:val="0"/>
              </w:numPr>
              <w:spacing w:line="360" w:lineRule="auto"/>
              <w:ind w:firstLine="480" w:firstLineChars="200"/>
              <w:jc w:val="both"/>
              <w:rPr>
                <w:rFonts w:hint="eastAsia" w:cs="Times New Roman"/>
                <w:b w:val="0"/>
                <w:bCs w:val="0"/>
                <w:i w:val="0"/>
                <w:iCs w:val="0"/>
                <w:color w:val="auto"/>
                <w:sz w:val="24"/>
                <w:szCs w:val="24"/>
                <w:lang w:val="en-US" w:eastAsia="zh-CN"/>
              </w:rPr>
            </w:pPr>
            <w:r>
              <w:rPr>
                <w:rFonts w:hint="eastAsia" w:cs="Times New Roman"/>
                <w:b w:val="0"/>
                <w:bCs w:val="0"/>
                <w:i w:val="0"/>
                <w:iCs w:val="0"/>
                <w:color w:val="auto"/>
                <w:sz w:val="24"/>
                <w:szCs w:val="24"/>
                <w:lang w:val="en-US" w:eastAsia="zh-CN"/>
              </w:rPr>
              <w:t>贮存设施为50m</w:t>
            </w:r>
            <w:r>
              <w:rPr>
                <w:rFonts w:hint="eastAsia" w:cs="Times New Roman"/>
                <w:b w:val="0"/>
                <w:bCs w:val="0"/>
                <w:i w:val="0"/>
                <w:iCs w:val="0"/>
                <w:color w:val="auto"/>
                <w:sz w:val="24"/>
                <w:szCs w:val="24"/>
                <w:vertAlign w:val="superscript"/>
                <w:lang w:val="en-US" w:eastAsia="zh-CN"/>
              </w:rPr>
              <w:t>3</w:t>
            </w:r>
            <w:r>
              <w:rPr>
                <w:rFonts w:hint="eastAsia" w:cs="Times New Roman"/>
                <w:b w:val="0"/>
                <w:bCs w:val="0"/>
                <w:i w:val="0"/>
                <w:iCs w:val="0"/>
                <w:color w:val="auto"/>
                <w:sz w:val="24"/>
                <w:szCs w:val="24"/>
                <w:lang w:val="en-US" w:eastAsia="zh-CN"/>
              </w:rPr>
              <w:t>碳钢储油罐2个；贮存场所根据《环境保护图形标志—固体废物贮存（处置）场》（GB15562.2-1995）设立专用标志，碳钢储油罐表面粘贴符合《危险废物贮存污染控制标准》（GB18597-2023）附录A要求的危险废物标签，定期巡查，有效防止泄漏事故发生。</w:t>
            </w:r>
          </w:p>
          <w:p w14:paraId="4262CD84">
            <w:pPr>
              <w:numPr>
                <w:ilvl w:val="0"/>
                <w:numId w:val="0"/>
              </w:numPr>
              <w:spacing w:line="360" w:lineRule="auto"/>
              <w:ind w:firstLine="480" w:firstLineChars="200"/>
              <w:jc w:val="both"/>
              <w:rPr>
                <w:rFonts w:hint="eastAsia" w:cs="Times New Roman"/>
                <w:b w:val="0"/>
                <w:bCs w:val="0"/>
                <w:i w:val="0"/>
                <w:iCs w:val="0"/>
                <w:color w:val="auto"/>
                <w:sz w:val="24"/>
                <w:szCs w:val="24"/>
                <w:lang w:val="en-US" w:eastAsia="zh-CN"/>
              </w:rPr>
            </w:pPr>
            <w:r>
              <w:rPr>
                <w:rFonts w:hint="eastAsia" w:cs="Times New Roman"/>
                <w:b w:val="0"/>
                <w:bCs w:val="0"/>
                <w:i w:val="0"/>
                <w:iCs w:val="0"/>
                <w:color w:val="auto"/>
                <w:sz w:val="24"/>
                <w:szCs w:val="24"/>
                <w:lang w:val="en-US" w:eastAsia="zh-CN"/>
              </w:rPr>
              <w:t>此过程中会产生有机废气G1（小呼吸废气）、油泥S2。</w:t>
            </w:r>
          </w:p>
          <w:p w14:paraId="773C4DAE">
            <w:pPr>
              <w:numPr>
                <w:ilvl w:val="0"/>
                <w:numId w:val="39"/>
              </w:numPr>
              <w:spacing w:line="360" w:lineRule="auto"/>
              <w:ind w:left="0" w:leftChars="0" w:firstLine="482" w:firstLineChars="200"/>
              <w:jc w:val="both"/>
              <w:rPr>
                <w:rFonts w:hint="eastAsia" w:cs="Times New Roman"/>
                <w:b/>
                <w:bCs/>
                <w:i w:val="0"/>
                <w:iCs w:val="0"/>
                <w:color w:val="auto"/>
                <w:sz w:val="24"/>
                <w:szCs w:val="24"/>
                <w:lang w:val="en-US" w:eastAsia="zh-CN"/>
              </w:rPr>
            </w:pPr>
            <w:r>
              <w:rPr>
                <w:rFonts w:hint="eastAsia" w:cs="Times New Roman"/>
                <w:b/>
                <w:bCs/>
                <w:i w:val="0"/>
                <w:iCs w:val="0"/>
                <w:color w:val="auto"/>
                <w:sz w:val="24"/>
                <w:szCs w:val="24"/>
                <w:lang w:val="en-US" w:eastAsia="zh-CN"/>
              </w:rPr>
              <w:t>称重、出库</w:t>
            </w:r>
          </w:p>
          <w:p w14:paraId="3CA226BE">
            <w:pPr>
              <w:numPr>
                <w:ilvl w:val="0"/>
                <w:numId w:val="0"/>
              </w:numPr>
              <w:spacing w:line="360" w:lineRule="auto"/>
              <w:ind w:firstLine="480" w:firstLineChars="200"/>
              <w:jc w:val="both"/>
              <w:rPr>
                <w:rFonts w:hint="eastAsia" w:cs="Times New Roman"/>
                <w:b w:val="0"/>
                <w:bCs w:val="0"/>
                <w:i w:val="0"/>
                <w:iCs w:val="0"/>
                <w:color w:val="auto"/>
                <w:sz w:val="24"/>
                <w:szCs w:val="24"/>
                <w:lang w:val="en-US" w:eastAsia="zh-CN"/>
              </w:rPr>
            </w:pPr>
            <w:r>
              <w:rPr>
                <w:rFonts w:hint="eastAsia" w:cs="Times New Roman"/>
                <w:b w:val="0"/>
                <w:bCs w:val="0"/>
                <w:i w:val="0"/>
                <w:iCs w:val="0"/>
                <w:color w:val="auto"/>
                <w:sz w:val="24"/>
                <w:szCs w:val="24"/>
                <w:lang w:val="en-US" w:eastAsia="zh-CN"/>
              </w:rPr>
              <w:t>收集的废矿物油在车间储油罐内暂存，当储油罐内的废矿物油储存到一定量后（不超过储油罐容积的85%），委托第三方有资质的运输单位转运至有资质单位进行处置。废矿物油装车时通过储油罐底部出料口与油罐车采用管道链接，开启输油泵，将废矿物油输出进入油罐车。在油罐车装满或达到指定外运量时，关闭油泵，外运至有资质单位处理。油罐向外发油时，由于油面不断降低，气体空间逐渐减小，罐内压力减小，当压力小于呼吸阀控制真空度时，油罐开始吸入新鲜空气，由于油面上方空间油气没有达到饱和，促使油品蒸发加速，使其重新达到饱和，罐内压力再次上升，造成部分油蒸气从呼吸阀呼出。</w:t>
            </w:r>
          </w:p>
          <w:p w14:paraId="7A19F1CB">
            <w:pPr>
              <w:numPr>
                <w:ilvl w:val="0"/>
                <w:numId w:val="0"/>
              </w:numPr>
              <w:spacing w:line="360" w:lineRule="auto"/>
              <w:ind w:firstLine="480" w:firstLineChars="200"/>
              <w:jc w:val="both"/>
              <w:rPr>
                <w:rFonts w:hint="eastAsia" w:cs="Times New Roman"/>
                <w:b w:val="0"/>
                <w:bCs w:val="0"/>
                <w:i w:val="0"/>
                <w:iCs w:val="0"/>
                <w:color w:val="auto"/>
                <w:sz w:val="24"/>
                <w:szCs w:val="24"/>
                <w:lang w:val="en-US" w:eastAsia="zh-CN"/>
              </w:rPr>
            </w:pPr>
            <w:r>
              <w:rPr>
                <w:rFonts w:hint="eastAsia" w:cs="Times New Roman"/>
                <w:b w:val="0"/>
                <w:bCs w:val="0"/>
                <w:i w:val="0"/>
                <w:iCs w:val="0"/>
                <w:color w:val="auto"/>
                <w:sz w:val="24"/>
                <w:szCs w:val="24"/>
                <w:lang w:val="en-US" w:eastAsia="zh-CN"/>
              </w:rPr>
              <w:t>此出库过程会产生有机废气G1（大呼吸废气）、噪声N。</w:t>
            </w:r>
          </w:p>
          <w:p w14:paraId="2FFC63A0">
            <w:pPr>
              <w:numPr>
                <w:ilvl w:val="0"/>
                <w:numId w:val="0"/>
              </w:numPr>
              <w:spacing w:line="360" w:lineRule="auto"/>
              <w:ind w:firstLine="480" w:firstLineChars="200"/>
              <w:jc w:val="both"/>
              <w:rPr>
                <w:rFonts w:hint="eastAsia" w:cs="Times New Roman"/>
                <w:b w:val="0"/>
                <w:bCs w:val="0"/>
                <w:color w:val="auto"/>
                <w:sz w:val="24"/>
                <w:szCs w:val="24"/>
                <w:lang w:val="en-US" w:eastAsia="zh-CN"/>
              </w:rPr>
            </w:pPr>
            <w:r>
              <w:rPr>
                <w:rFonts w:hint="eastAsia" w:cs="Times New Roman"/>
                <w:b w:val="0"/>
                <w:bCs w:val="0"/>
                <w:i w:val="0"/>
                <w:iCs w:val="0"/>
                <w:color w:val="auto"/>
                <w:sz w:val="24"/>
                <w:szCs w:val="24"/>
                <w:lang w:val="en-US" w:eastAsia="zh-CN"/>
              </w:rPr>
              <w:t>本项目不涉容器、运输车辆等的清洗；废矿物油装卸、储罐之间转运、暂存过程储油罐会产生“大呼吸”与“小呼吸”有机废气VOCs；有机废气通过呼吸口上方设置的集气罩收集后，进入活性炭吸附设备处理，处理后通过1根15m高排气筒DA001有组织排放</w:t>
            </w:r>
            <w:r>
              <w:rPr>
                <w:rFonts w:hint="eastAsia" w:cs="Times New Roman"/>
                <w:b w:val="0"/>
                <w:bCs w:val="0"/>
                <w:color w:val="auto"/>
                <w:sz w:val="24"/>
                <w:szCs w:val="24"/>
                <w:lang w:val="en-US" w:eastAsia="zh-CN"/>
              </w:rPr>
              <w:t>。</w:t>
            </w:r>
          </w:p>
          <w:p w14:paraId="35EBFC7F">
            <w:pPr>
              <w:numPr>
                <w:ilvl w:val="0"/>
                <w:numId w:val="38"/>
              </w:numPr>
              <w:spacing w:line="360" w:lineRule="auto"/>
              <w:ind w:left="0" w:leftChars="0" w:firstLine="482" w:firstLineChars="200"/>
              <w:jc w:val="both"/>
              <w:rPr>
                <w:rFonts w:hint="eastAsia" w:cs="Times New Roman"/>
                <w:b w:val="0"/>
                <w:bCs w:val="0"/>
                <w:color w:val="auto"/>
                <w:sz w:val="24"/>
                <w:szCs w:val="24"/>
                <w:lang w:val="en-US" w:eastAsia="zh-CN"/>
              </w:rPr>
            </w:pPr>
            <w:r>
              <w:rPr>
                <w:rFonts w:hint="eastAsia" w:cs="Times New Roman"/>
                <w:b/>
                <w:bCs/>
                <w:color w:val="auto"/>
                <w:sz w:val="24"/>
                <w:szCs w:val="24"/>
                <w:lang w:val="en-US" w:eastAsia="zh-CN"/>
              </w:rPr>
              <w:t>产排污环节分析</w:t>
            </w:r>
          </w:p>
          <w:p w14:paraId="52C6F25A">
            <w:pPr>
              <w:numPr>
                <w:ilvl w:val="0"/>
                <w:numId w:val="0"/>
              </w:numPr>
              <w:spacing w:line="360" w:lineRule="auto"/>
              <w:ind w:firstLine="480" w:firstLineChars="200"/>
              <w:jc w:val="both"/>
              <w:rPr>
                <w:rFonts w:hint="eastAsia" w:cs="Times New Roman"/>
                <w:b w:val="0"/>
                <w:bCs w:val="0"/>
                <w:color w:val="auto"/>
                <w:sz w:val="24"/>
                <w:szCs w:val="24"/>
                <w:lang w:val="en-US" w:eastAsia="zh-CN"/>
              </w:rPr>
            </w:pPr>
            <w:r>
              <w:rPr>
                <w:rFonts w:hint="eastAsia" w:cs="Times New Roman"/>
                <w:b w:val="0"/>
                <w:bCs w:val="0"/>
                <w:color w:val="auto"/>
                <w:sz w:val="24"/>
                <w:szCs w:val="24"/>
                <w:lang w:val="en-US" w:eastAsia="zh-CN"/>
              </w:rPr>
              <w:t>根据对项目生产工艺、生产设备及原辅材料的分析，运营期主要污染工序及污染物种类如下表：</w:t>
            </w:r>
          </w:p>
          <w:p w14:paraId="0DD0BD7C">
            <w:pPr>
              <w:numPr>
                <w:ilvl w:val="0"/>
                <w:numId w:val="0"/>
              </w:numPr>
              <w:spacing w:line="360" w:lineRule="auto"/>
              <w:jc w:val="center"/>
              <w:rPr>
                <w:rFonts w:hint="eastAsia" w:cs="Times New Roman"/>
                <w:b/>
                <w:bCs/>
                <w:color w:val="auto"/>
                <w:sz w:val="21"/>
                <w:szCs w:val="21"/>
                <w:vertAlign w:val="baseline"/>
                <w:lang w:val="en-US" w:eastAsia="zh-CN"/>
              </w:rPr>
            </w:pPr>
            <w:r>
              <w:rPr>
                <w:rFonts w:hint="eastAsia" w:cs="Times New Roman"/>
                <w:b/>
                <w:bCs/>
                <w:color w:val="auto"/>
                <w:sz w:val="21"/>
                <w:szCs w:val="21"/>
                <w:lang w:val="en-US" w:eastAsia="zh-CN"/>
              </w:rPr>
              <w:t>表2-12 项目主要产污环节汇总</w:t>
            </w:r>
          </w:p>
          <w:tbl>
            <w:tblPr>
              <w:tblStyle w:val="28"/>
              <w:tblW w:w="842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60"/>
              <w:gridCol w:w="742"/>
              <w:gridCol w:w="742"/>
              <w:gridCol w:w="1182"/>
              <w:gridCol w:w="1968"/>
              <w:gridCol w:w="1529"/>
              <w:gridCol w:w="1305"/>
            </w:tblGrid>
            <w:tr w14:paraId="2F1810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60" w:type="dxa"/>
                  <w:vAlign w:val="center"/>
                </w:tcPr>
                <w:p w14:paraId="7E593ECA">
                  <w:pPr>
                    <w:numPr>
                      <w:ilvl w:val="0"/>
                      <w:numId w:val="0"/>
                    </w:numPr>
                    <w:spacing w:line="240" w:lineRule="auto"/>
                    <w:jc w:val="center"/>
                    <w:rPr>
                      <w:rFonts w:hint="eastAsia" w:cs="Times New Roman"/>
                      <w:b/>
                      <w:bCs/>
                      <w:color w:val="auto"/>
                      <w:sz w:val="21"/>
                      <w:szCs w:val="21"/>
                      <w:vertAlign w:val="baseline"/>
                      <w:lang w:val="en-US" w:eastAsia="zh-CN"/>
                    </w:rPr>
                  </w:pPr>
                  <w:r>
                    <w:rPr>
                      <w:rFonts w:hint="eastAsia" w:cs="Times New Roman"/>
                      <w:b/>
                      <w:bCs/>
                      <w:color w:val="auto"/>
                      <w:sz w:val="21"/>
                      <w:szCs w:val="21"/>
                      <w:vertAlign w:val="baseline"/>
                      <w:lang w:val="en-US" w:eastAsia="zh-CN"/>
                    </w:rPr>
                    <w:t>污染源</w:t>
                  </w:r>
                </w:p>
              </w:tc>
              <w:tc>
                <w:tcPr>
                  <w:tcW w:w="1484" w:type="dxa"/>
                  <w:gridSpan w:val="2"/>
                  <w:vAlign w:val="center"/>
                </w:tcPr>
                <w:p w14:paraId="1BE3936E">
                  <w:pPr>
                    <w:numPr>
                      <w:ilvl w:val="0"/>
                      <w:numId w:val="0"/>
                    </w:numPr>
                    <w:spacing w:line="240" w:lineRule="auto"/>
                    <w:jc w:val="center"/>
                    <w:rPr>
                      <w:rFonts w:hint="eastAsia" w:cs="Times New Roman"/>
                      <w:b/>
                      <w:bCs/>
                      <w:color w:val="auto"/>
                      <w:sz w:val="21"/>
                      <w:szCs w:val="21"/>
                      <w:vertAlign w:val="baseline"/>
                      <w:lang w:val="en-US" w:eastAsia="zh-CN"/>
                    </w:rPr>
                  </w:pPr>
                  <w:r>
                    <w:rPr>
                      <w:rFonts w:hint="eastAsia" w:cs="Times New Roman"/>
                      <w:b/>
                      <w:bCs/>
                      <w:color w:val="auto"/>
                      <w:sz w:val="21"/>
                      <w:szCs w:val="21"/>
                      <w:vertAlign w:val="baseline"/>
                      <w:lang w:val="en-US" w:eastAsia="zh-CN"/>
                    </w:rPr>
                    <w:t>污染物类别</w:t>
                  </w:r>
                </w:p>
              </w:tc>
              <w:tc>
                <w:tcPr>
                  <w:tcW w:w="1182" w:type="dxa"/>
                  <w:vAlign w:val="center"/>
                </w:tcPr>
                <w:p w14:paraId="528F2CAC">
                  <w:pPr>
                    <w:numPr>
                      <w:ilvl w:val="0"/>
                      <w:numId w:val="0"/>
                    </w:numPr>
                    <w:spacing w:line="240" w:lineRule="auto"/>
                    <w:jc w:val="center"/>
                    <w:rPr>
                      <w:rFonts w:hint="eastAsia" w:cs="Times New Roman"/>
                      <w:b/>
                      <w:bCs/>
                      <w:color w:val="auto"/>
                      <w:sz w:val="21"/>
                      <w:szCs w:val="21"/>
                      <w:vertAlign w:val="baseline"/>
                      <w:lang w:val="en-US" w:eastAsia="zh-CN"/>
                    </w:rPr>
                  </w:pPr>
                  <w:r>
                    <w:rPr>
                      <w:rFonts w:hint="eastAsia" w:cs="Times New Roman"/>
                      <w:b/>
                      <w:bCs/>
                      <w:color w:val="auto"/>
                      <w:sz w:val="21"/>
                      <w:szCs w:val="21"/>
                      <w:vertAlign w:val="baseline"/>
                      <w:lang w:val="en-US" w:eastAsia="zh-CN"/>
                    </w:rPr>
                    <w:t>产污位置</w:t>
                  </w:r>
                </w:p>
              </w:tc>
              <w:tc>
                <w:tcPr>
                  <w:tcW w:w="1968" w:type="dxa"/>
                  <w:vAlign w:val="center"/>
                </w:tcPr>
                <w:p w14:paraId="28F71DE3">
                  <w:pPr>
                    <w:numPr>
                      <w:ilvl w:val="0"/>
                      <w:numId w:val="0"/>
                    </w:numPr>
                    <w:spacing w:line="240" w:lineRule="auto"/>
                    <w:jc w:val="center"/>
                    <w:rPr>
                      <w:rFonts w:hint="eastAsia" w:cs="Times New Roman"/>
                      <w:b/>
                      <w:bCs/>
                      <w:color w:val="auto"/>
                      <w:sz w:val="21"/>
                      <w:szCs w:val="21"/>
                      <w:vertAlign w:val="baseline"/>
                      <w:lang w:val="en-US" w:eastAsia="zh-CN"/>
                    </w:rPr>
                  </w:pPr>
                  <w:r>
                    <w:rPr>
                      <w:rFonts w:hint="eastAsia" w:cs="Times New Roman"/>
                      <w:b/>
                      <w:bCs/>
                      <w:color w:val="auto"/>
                      <w:sz w:val="21"/>
                      <w:szCs w:val="21"/>
                      <w:vertAlign w:val="baseline"/>
                      <w:lang w:val="en-US" w:eastAsia="zh-CN"/>
                    </w:rPr>
                    <w:t>产污节点</w:t>
                  </w:r>
                </w:p>
              </w:tc>
              <w:tc>
                <w:tcPr>
                  <w:tcW w:w="1529" w:type="dxa"/>
                  <w:vAlign w:val="center"/>
                </w:tcPr>
                <w:p w14:paraId="4B7DFF64">
                  <w:pPr>
                    <w:numPr>
                      <w:ilvl w:val="0"/>
                      <w:numId w:val="0"/>
                    </w:numPr>
                    <w:spacing w:line="240" w:lineRule="auto"/>
                    <w:jc w:val="center"/>
                    <w:rPr>
                      <w:rFonts w:hint="eastAsia" w:cs="Times New Roman"/>
                      <w:b/>
                      <w:bCs/>
                      <w:color w:val="auto"/>
                      <w:sz w:val="21"/>
                      <w:szCs w:val="21"/>
                      <w:vertAlign w:val="baseline"/>
                      <w:lang w:val="en-US" w:eastAsia="zh-CN"/>
                    </w:rPr>
                  </w:pPr>
                  <w:r>
                    <w:rPr>
                      <w:rFonts w:hint="eastAsia" w:cs="Times New Roman"/>
                      <w:b/>
                      <w:bCs/>
                      <w:color w:val="auto"/>
                      <w:sz w:val="21"/>
                      <w:szCs w:val="21"/>
                      <w:vertAlign w:val="baseline"/>
                      <w:lang w:val="en-US" w:eastAsia="zh-CN"/>
                    </w:rPr>
                    <w:t>污染物名称</w:t>
                  </w:r>
                </w:p>
              </w:tc>
              <w:tc>
                <w:tcPr>
                  <w:tcW w:w="1305" w:type="dxa"/>
                  <w:vAlign w:val="center"/>
                </w:tcPr>
                <w:p w14:paraId="5634F2D0">
                  <w:pPr>
                    <w:numPr>
                      <w:ilvl w:val="0"/>
                      <w:numId w:val="0"/>
                    </w:numPr>
                    <w:spacing w:line="240" w:lineRule="auto"/>
                    <w:jc w:val="center"/>
                    <w:rPr>
                      <w:rFonts w:hint="eastAsia" w:cs="Times New Roman"/>
                      <w:b/>
                      <w:bCs/>
                      <w:color w:val="auto"/>
                      <w:sz w:val="21"/>
                      <w:szCs w:val="21"/>
                      <w:vertAlign w:val="baseline"/>
                      <w:lang w:val="en-US" w:eastAsia="zh-CN"/>
                    </w:rPr>
                  </w:pPr>
                  <w:r>
                    <w:rPr>
                      <w:rFonts w:hint="eastAsia" w:cs="Times New Roman"/>
                      <w:b/>
                      <w:bCs/>
                      <w:color w:val="auto"/>
                      <w:sz w:val="21"/>
                      <w:szCs w:val="21"/>
                      <w:vertAlign w:val="baseline"/>
                      <w:lang w:val="en-US" w:eastAsia="zh-CN"/>
                    </w:rPr>
                    <w:t>污染因子</w:t>
                  </w:r>
                </w:p>
              </w:tc>
            </w:tr>
            <w:tr w14:paraId="2863B9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60" w:type="dxa"/>
                  <w:vMerge w:val="restart"/>
                  <w:vAlign w:val="center"/>
                </w:tcPr>
                <w:p w14:paraId="4D7C68F4">
                  <w:pPr>
                    <w:numPr>
                      <w:ilvl w:val="0"/>
                      <w:numId w:val="0"/>
                    </w:numPr>
                    <w:spacing w:line="240" w:lineRule="auto"/>
                    <w:jc w:val="center"/>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工业源</w:t>
                  </w:r>
                </w:p>
              </w:tc>
              <w:tc>
                <w:tcPr>
                  <w:tcW w:w="1484" w:type="dxa"/>
                  <w:gridSpan w:val="2"/>
                  <w:vMerge w:val="restart"/>
                  <w:vAlign w:val="center"/>
                </w:tcPr>
                <w:p w14:paraId="2140E532">
                  <w:pPr>
                    <w:numPr>
                      <w:ilvl w:val="0"/>
                      <w:numId w:val="0"/>
                    </w:numPr>
                    <w:spacing w:line="240" w:lineRule="auto"/>
                    <w:jc w:val="center"/>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废气</w:t>
                  </w:r>
                </w:p>
              </w:tc>
              <w:tc>
                <w:tcPr>
                  <w:tcW w:w="1182" w:type="dxa"/>
                  <w:vMerge w:val="restart"/>
                  <w:vAlign w:val="center"/>
                </w:tcPr>
                <w:p w14:paraId="3D4DFCCF">
                  <w:pPr>
                    <w:numPr>
                      <w:ilvl w:val="0"/>
                      <w:numId w:val="0"/>
                    </w:numPr>
                    <w:spacing w:line="240" w:lineRule="auto"/>
                    <w:jc w:val="center"/>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储油罐</w:t>
                  </w:r>
                </w:p>
              </w:tc>
              <w:tc>
                <w:tcPr>
                  <w:tcW w:w="1968" w:type="dxa"/>
                  <w:vAlign w:val="center"/>
                </w:tcPr>
                <w:p w14:paraId="2603DB53">
                  <w:pPr>
                    <w:numPr>
                      <w:ilvl w:val="0"/>
                      <w:numId w:val="0"/>
                    </w:numPr>
                    <w:spacing w:line="240" w:lineRule="auto"/>
                    <w:jc w:val="center"/>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卸车（储罐收油）</w:t>
                  </w:r>
                </w:p>
              </w:tc>
              <w:tc>
                <w:tcPr>
                  <w:tcW w:w="1529" w:type="dxa"/>
                  <w:vMerge w:val="restart"/>
                  <w:vAlign w:val="center"/>
                </w:tcPr>
                <w:p w14:paraId="7E1B97F8">
                  <w:pPr>
                    <w:numPr>
                      <w:ilvl w:val="0"/>
                      <w:numId w:val="0"/>
                    </w:numPr>
                    <w:spacing w:line="240" w:lineRule="auto"/>
                    <w:jc w:val="center"/>
                    <w:rPr>
                      <w:rFonts w:hint="eastAsia" w:cs="Times New Roman"/>
                      <w:b w:val="0"/>
                      <w:bCs w:val="0"/>
                      <w:color w:val="auto"/>
                      <w:sz w:val="21"/>
                      <w:szCs w:val="21"/>
                      <w:vertAlign w:val="baseline"/>
                      <w:lang w:val="en-US" w:eastAsia="zh-CN"/>
                    </w:rPr>
                  </w:pPr>
                  <w:r>
                    <w:rPr>
                      <w:rFonts w:hint="eastAsia"/>
                    </w:rPr>
                    <w:t>有机废气G1</w:t>
                  </w:r>
                </w:p>
              </w:tc>
              <w:tc>
                <w:tcPr>
                  <w:tcW w:w="1305" w:type="dxa"/>
                  <w:vMerge w:val="restart"/>
                  <w:vAlign w:val="center"/>
                </w:tcPr>
                <w:p w14:paraId="3CE7BC6B">
                  <w:pPr>
                    <w:numPr>
                      <w:ilvl w:val="0"/>
                      <w:numId w:val="0"/>
                    </w:numPr>
                    <w:spacing w:line="240" w:lineRule="auto"/>
                    <w:jc w:val="center"/>
                    <w:rPr>
                      <w:rFonts w:hint="eastAsia" w:cs="Times New Roman"/>
                      <w:b w:val="0"/>
                      <w:bCs w:val="0"/>
                      <w:color w:val="auto"/>
                      <w:sz w:val="21"/>
                      <w:szCs w:val="21"/>
                      <w:vertAlign w:val="baseline"/>
                      <w:lang w:val="en-US" w:eastAsia="zh-CN"/>
                    </w:rPr>
                  </w:pPr>
                  <w:r>
                    <w:rPr>
                      <w:rFonts w:hint="eastAsia"/>
                    </w:rPr>
                    <w:t>非甲烷总烃</w:t>
                  </w:r>
                </w:p>
              </w:tc>
            </w:tr>
            <w:tr w14:paraId="481DEB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60" w:type="dxa"/>
                  <w:vMerge w:val="continue"/>
                  <w:vAlign w:val="center"/>
                </w:tcPr>
                <w:p w14:paraId="241BF5F0">
                  <w:pPr>
                    <w:numPr>
                      <w:ilvl w:val="0"/>
                      <w:numId w:val="0"/>
                    </w:numPr>
                    <w:spacing w:line="240" w:lineRule="auto"/>
                    <w:jc w:val="center"/>
                    <w:rPr>
                      <w:rFonts w:hint="eastAsia" w:cs="Times New Roman"/>
                      <w:b w:val="0"/>
                      <w:bCs w:val="0"/>
                      <w:color w:val="auto"/>
                      <w:sz w:val="21"/>
                      <w:szCs w:val="21"/>
                      <w:vertAlign w:val="baseline"/>
                      <w:lang w:val="en-US" w:eastAsia="zh-CN"/>
                    </w:rPr>
                  </w:pPr>
                </w:p>
              </w:tc>
              <w:tc>
                <w:tcPr>
                  <w:tcW w:w="1484" w:type="dxa"/>
                  <w:gridSpan w:val="2"/>
                  <w:vMerge w:val="continue"/>
                  <w:vAlign w:val="center"/>
                </w:tcPr>
                <w:p w14:paraId="285E4AC9">
                  <w:pPr>
                    <w:numPr>
                      <w:ilvl w:val="0"/>
                      <w:numId w:val="0"/>
                    </w:numPr>
                    <w:spacing w:line="240" w:lineRule="auto"/>
                    <w:jc w:val="center"/>
                    <w:rPr>
                      <w:rFonts w:hint="eastAsia" w:cs="Times New Roman"/>
                      <w:b w:val="0"/>
                      <w:bCs w:val="0"/>
                      <w:color w:val="auto"/>
                      <w:sz w:val="21"/>
                      <w:szCs w:val="21"/>
                      <w:vertAlign w:val="baseline"/>
                      <w:lang w:val="en-US" w:eastAsia="zh-CN"/>
                    </w:rPr>
                  </w:pPr>
                </w:p>
              </w:tc>
              <w:tc>
                <w:tcPr>
                  <w:tcW w:w="1182" w:type="dxa"/>
                  <w:vMerge w:val="continue"/>
                  <w:vAlign w:val="center"/>
                </w:tcPr>
                <w:p w14:paraId="60655095">
                  <w:pPr>
                    <w:numPr>
                      <w:ilvl w:val="0"/>
                      <w:numId w:val="0"/>
                    </w:numPr>
                    <w:spacing w:line="240" w:lineRule="auto"/>
                    <w:jc w:val="center"/>
                    <w:rPr>
                      <w:rFonts w:hint="eastAsia" w:cs="Times New Roman"/>
                      <w:b w:val="0"/>
                      <w:bCs w:val="0"/>
                      <w:color w:val="auto"/>
                      <w:sz w:val="21"/>
                      <w:szCs w:val="21"/>
                      <w:vertAlign w:val="baseline"/>
                      <w:lang w:val="en-US" w:eastAsia="zh-CN"/>
                    </w:rPr>
                  </w:pPr>
                </w:p>
              </w:tc>
              <w:tc>
                <w:tcPr>
                  <w:tcW w:w="1968" w:type="dxa"/>
                  <w:vAlign w:val="center"/>
                </w:tcPr>
                <w:p w14:paraId="4EFC9284">
                  <w:pPr>
                    <w:numPr>
                      <w:ilvl w:val="0"/>
                      <w:numId w:val="0"/>
                    </w:numPr>
                    <w:spacing w:line="240" w:lineRule="auto"/>
                    <w:jc w:val="center"/>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储存</w:t>
                  </w:r>
                </w:p>
              </w:tc>
              <w:tc>
                <w:tcPr>
                  <w:tcW w:w="1529" w:type="dxa"/>
                  <w:vMerge w:val="continue"/>
                  <w:vAlign w:val="center"/>
                </w:tcPr>
                <w:p w14:paraId="2747E18C">
                  <w:pPr>
                    <w:numPr>
                      <w:ilvl w:val="0"/>
                      <w:numId w:val="0"/>
                    </w:numPr>
                    <w:spacing w:line="240" w:lineRule="auto"/>
                    <w:jc w:val="center"/>
                    <w:rPr>
                      <w:rFonts w:hint="eastAsia" w:cs="Times New Roman"/>
                      <w:b w:val="0"/>
                      <w:bCs w:val="0"/>
                      <w:color w:val="auto"/>
                      <w:sz w:val="21"/>
                      <w:szCs w:val="21"/>
                      <w:vertAlign w:val="baseline"/>
                      <w:lang w:val="en-US" w:eastAsia="zh-CN"/>
                    </w:rPr>
                  </w:pPr>
                </w:p>
              </w:tc>
              <w:tc>
                <w:tcPr>
                  <w:tcW w:w="1305" w:type="dxa"/>
                  <w:vMerge w:val="continue"/>
                  <w:vAlign w:val="center"/>
                </w:tcPr>
                <w:p w14:paraId="66DC0BB9">
                  <w:pPr>
                    <w:numPr>
                      <w:ilvl w:val="0"/>
                      <w:numId w:val="0"/>
                    </w:numPr>
                    <w:spacing w:line="240" w:lineRule="auto"/>
                    <w:jc w:val="center"/>
                    <w:rPr>
                      <w:rFonts w:hint="eastAsia" w:cs="Times New Roman"/>
                      <w:b w:val="0"/>
                      <w:bCs w:val="0"/>
                      <w:color w:val="auto"/>
                      <w:sz w:val="21"/>
                      <w:szCs w:val="21"/>
                      <w:vertAlign w:val="baseline"/>
                      <w:lang w:val="en-US" w:eastAsia="zh-CN"/>
                    </w:rPr>
                  </w:pPr>
                </w:p>
              </w:tc>
            </w:tr>
            <w:tr w14:paraId="7E0BC1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60" w:type="dxa"/>
                  <w:vMerge w:val="continue"/>
                  <w:vAlign w:val="center"/>
                </w:tcPr>
                <w:p w14:paraId="2E4E60C7">
                  <w:pPr>
                    <w:numPr>
                      <w:ilvl w:val="0"/>
                      <w:numId w:val="0"/>
                    </w:numPr>
                    <w:spacing w:line="240" w:lineRule="auto"/>
                    <w:jc w:val="center"/>
                    <w:rPr>
                      <w:rFonts w:hint="eastAsia" w:cs="Times New Roman"/>
                      <w:b w:val="0"/>
                      <w:bCs w:val="0"/>
                      <w:color w:val="auto"/>
                      <w:sz w:val="21"/>
                      <w:szCs w:val="21"/>
                      <w:vertAlign w:val="baseline"/>
                      <w:lang w:val="en-US" w:eastAsia="zh-CN"/>
                    </w:rPr>
                  </w:pPr>
                </w:p>
              </w:tc>
              <w:tc>
                <w:tcPr>
                  <w:tcW w:w="1484" w:type="dxa"/>
                  <w:gridSpan w:val="2"/>
                  <w:vMerge w:val="continue"/>
                  <w:vAlign w:val="center"/>
                </w:tcPr>
                <w:p w14:paraId="093C518D">
                  <w:pPr>
                    <w:numPr>
                      <w:ilvl w:val="0"/>
                      <w:numId w:val="0"/>
                    </w:numPr>
                    <w:spacing w:line="240" w:lineRule="auto"/>
                    <w:jc w:val="center"/>
                    <w:rPr>
                      <w:rFonts w:hint="eastAsia" w:cs="Times New Roman"/>
                      <w:b w:val="0"/>
                      <w:bCs w:val="0"/>
                      <w:color w:val="auto"/>
                      <w:sz w:val="21"/>
                      <w:szCs w:val="21"/>
                      <w:vertAlign w:val="baseline"/>
                      <w:lang w:val="en-US" w:eastAsia="zh-CN"/>
                    </w:rPr>
                  </w:pPr>
                </w:p>
              </w:tc>
              <w:tc>
                <w:tcPr>
                  <w:tcW w:w="1182" w:type="dxa"/>
                  <w:vMerge w:val="continue"/>
                  <w:vAlign w:val="center"/>
                </w:tcPr>
                <w:p w14:paraId="620E95AF">
                  <w:pPr>
                    <w:numPr>
                      <w:ilvl w:val="0"/>
                      <w:numId w:val="0"/>
                    </w:numPr>
                    <w:spacing w:line="240" w:lineRule="auto"/>
                    <w:jc w:val="center"/>
                    <w:rPr>
                      <w:rFonts w:hint="eastAsia" w:cs="Times New Roman"/>
                      <w:b w:val="0"/>
                      <w:bCs w:val="0"/>
                      <w:color w:val="auto"/>
                      <w:sz w:val="21"/>
                      <w:szCs w:val="21"/>
                      <w:vertAlign w:val="baseline"/>
                      <w:lang w:val="en-US" w:eastAsia="zh-CN"/>
                    </w:rPr>
                  </w:pPr>
                </w:p>
              </w:tc>
              <w:tc>
                <w:tcPr>
                  <w:tcW w:w="1968" w:type="dxa"/>
                  <w:vAlign w:val="center"/>
                </w:tcPr>
                <w:p w14:paraId="00B90C18">
                  <w:pPr>
                    <w:numPr>
                      <w:ilvl w:val="0"/>
                      <w:numId w:val="0"/>
                    </w:numPr>
                    <w:spacing w:line="240" w:lineRule="auto"/>
                    <w:jc w:val="center"/>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装车（储罐发油）</w:t>
                  </w:r>
                </w:p>
              </w:tc>
              <w:tc>
                <w:tcPr>
                  <w:tcW w:w="1529" w:type="dxa"/>
                  <w:vMerge w:val="continue"/>
                  <w:vAlign w:val="center"/>
                </w:tcPr>
                <w:p w14:paraId="5DEE1826">
                  <w:pPr>
                    <w:numPr>
                      <w:ilvl w:val="0"/>
                      <w:numId w:val="0"/>
                    </w:numPr>
                    <w:spacing w:line="240" w:lineRule="auto"/>
                    <w:jc w:val="center"/>
                    <w:rPr>
                      <w:rFonts w:hint="eastAsia" w:cs="Times New Roman"/>
                      <w:b w:val="0"/>
                      <w:bCs w:val="0"/>
                      <w:color w:val="auto"/>
                      <w:sz w:val="21"/>
                      <w:szCs w:val="21"/>
                      <w:vertAlign w:val="baseline"/>
                      <w:lang w:val="en-US" w:eastAsia="zh-CN"/>
                    </w:rPr>
                  </w:pPr>
                </w:p>
              </w:tc>
              <w:tc>
                <w:tcPr>
                  <w:tcW w:w="1305" w:type="dxa"/>
                  <w:vMerge w:val="continue"/>
                  <w:vAlign w:val="center"/>
                </w:tcPr>
                <w:p w14:paraId="0C351B27">
                  <w:pPr>
                    <w:numPr>
                      <w:ilvl w:val="0"/>
                      <w:numId w:val="0"/>
                    </w:numPr>
                    <w:spacing w:line="240" w:lineRule="auto"/>
                    <w:jc w:val="center"/>
                    <w:rPr>
                      <w:rFonts w:hint="eastAsia" w:cs="Times New Roman"/>
                      <w:b w:val="0"/>
                      <w:bCs w:val="0"/>
                      <w:color w:val="auto"/>
                      <w:sz w:val="21"/>
                      <w:szCs w:val="21"/>
                      <w:vertAlign w:val="baseline"/>
                      <w:lang w:val="en-US" w:eastAsia="zh-CN"/>
                    </w:rPr>
                  </w:pPr>
                </w:p>
              </w:tc>
            </w:tr>
            <w:tr w14:paraId="4AF7EC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60" w:type="dxa"/>
                  <w:vMerge w:val="continue"/>
                  <w:vAlign w:val="center"/>
                </w:tcPr>
                <w:p w14:paraId="1A5AC162">
                  <w:pPr>
                    <w:numPr>
                      <w:ilvl w:val="0"/>
                      <w:numId w:val="0"/>
                    </w:numPr>
                    <w:spacing w:line="240" w:lineRule="auto"/>
                    <w:jc w:val="center"/>
                    <w:rPr>
                      <w:rFonts w:hint="eastAsia" w:cs="Times New Roman"/>
                      <w:b w:val="0"/>
                      <w:bCs w:val="0"/>
                      <w:color w:val="auto"/>
                      <w:sz w:val="21"/>
                      <w:szCs w:val="21"/>
                      <w:vertAlign w:val="baseline"/>
                      <w:lang w:val="en-US" w:eastAsia="zh-CN"/>
                    </w:rPr>
                  </w:pPr>
                </w:p>
              </w:tc>
              <w:tc>
                <w:tcPr>
                  <w:tcW w:w="1484" w:type="dxa"/>
                  <w:gridSpan w:val="2"/>
                  <w:vMerge w:val="continue"/>
                  <w:vAlign w:val="center"/>
                </w:tcPr>
                <w:p w14:paraId="3874142B">
                  <w:pPr>
                    <w:numPr>
                      <w:ilvl w:val="0"/>
                      <w:numId w:val="0"/>
                    </w:numPr>
                    <w:spacing w:line="240" w:lineRule="auto"/>
                    <w:jc w:val="center"/>
                    <w:rPr>
                      <w:rFonts w:hint="eastAsia" w:cs="Times New Roman"/>
                      <w:b w:val="0"/>
                      <w:bCs w:val="0"/>
                      <w:color w:val="auto"/>
                      <w:sz w:val="21"/>
                      <w:szCs w:val="21"/>
                      <w:vertAlign w:val="baseline"/>
                      <w:lang w:val="en-US" w:eastAsia="zh-CN"/>
                    </w:rPr>
                  </w:pPr>
                </w:p>
              </w:tc>
              <w:tc>
                <w:tcPr>
                  <w:tcW w:w="1182" w:type="dxa"/>
                  <w:vAlign w:val="center"/>
                </w:tcPr>
                <w:p w14:paraId="0706A462">
                  <w:pPr>
                    <w:numPr>
                      <w:ilvl w:val="0"/>
                      <w:numId w:val="0"/>
                    </w:numPr>
                    <w:spacing w:line="240" w:lineRule="auto"/>
                    <w:jc w:val="center"/>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检验室</w:t>
                  </w:r>
                </w:p>
              </w:tc>
              <w:tc>
                <w:tcPr>
                  <w:tcW w:w="1968" w:type="dxa"/>
                  <w:vAlign w:val="center"/>
                </w:tcPr>
                <w:p w14:paraId="73BB78DB">
                  <w:pPr>
                    <w:numPr>
                      <w:ilvl w:val="0"/>
                      <w:numId w:val="0"/>
                    </w:numPr>
                    <w:spacing w:line="240" w:lineRule="auto"/>
                    <w:jc w:val="center"/>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检验过程</w:t>
                  </w:r>
                </w:p>
              </w:tc>
              <w:tc>
                <w:tcPr>
                  <w:tcW w:w="1529" w:type="dxa"/>
                  <w:vAlign w:val="center"/>
                </w:tcPr>
                <w:p w14:paraId="4007B25F">
                  <w:pPr>
                    <w:numPr>
                      <w:ilvl w:val="0"/>
                      <w:numId w:val="0"/>
                    </w:numPr>
                    <w:spacing w:line="240" w:lineRule="auto"/>
                    <w:jc w:val="center"/>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有机废气G2</w:t>
                  </w:r>
                </w:p>
              </w:tc>
              <w:tc>
                <w:tcPr>
                  <w:tcW w:w="1305" w:type="dxa"/>
                  <w:vAlign w:val="center"/>
                </w:tcPr>
                <w:p w14:paraId="300D66AA">
                  <w:pPr>
                    <w:numPr>
                      <w:ilvl w:val="0"/>
                      <w:numId w:val="0"/>
                    </w:numPr>
                    <w:spacing w:line="240" w:lineRule="auto"/>
                    <w:jc w:val="center"/>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TVOC</w:t>
                  </w:r>
                </w:p>
              </w:tc>
            </w:tr>
            <w:tr w14:paraId="5BC180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60" w:type="dxa"/>
                  <w:vMerge w:val="continue"/>
                  <w:vAlign w:val="center"/>
                </w:tcPr>
                <w:p w14:paraId="4BC018F9">
                  <w:pPr>
                    <w:numPr>
                      <w:ilvl w:val="0"/>
                      <w:numId w:val="0"/>
                    </w:numPr>
                    <w:spacing w:line="240" w:lineRule="auto"/>
                    <w:jc w:val="center"/>
                    <w:rPr>
                      <w:rFonts w:hint="eastAsia" w:cs="Times New Roman"/>
                      <w:b w:val="0"/>
                      <w:bCs w:val="0"/>
                      <w:color w:val="auto"/>
                      <w:sz w:val="21"/>
                      <w:szCs w:val="21"/>
                      <w:vertAlign w:val="baseline"/>
                      <w:lang w:val="en-US" w:eastAsia="zh-CN"/>
                    </w:rPr>
                  </w:pPr>
                </w:p>
              </w:tc>
              <w:tc>
                <w:tcPr>
                  <w:tcW w:w="1484" w:type="dxa"/>
                  <w:gridSpan w:val="2"/>
                  <w:vAlign w:val="center"/>
                </w:tcPr>
                <w:p w14:paraId="6D256EF0">
                  <w:pPr>
                    <w:numPr>
                      <w:ilvl w:val="0"/>
                      <w:numId w:val="0"/>
                    </w:numPr>
                    <w:spacing w:line="240" w:lineRule="auto"/>
                    <w:jc w:val="center"/>
                    <w:rPr>
                      <w:rFonts w:hint="eastAsia" w:cs="Times New Roman"/>
                      <w:b w:val="0"/>
                      <w:bCs w:val="0"/>
                      <w:color w:val="auto"/>
                      <w:sz w:val="21"/>
                      <w:szCs w:val="21"/>
                      <w:vertAlign w:val="baseline"/>
                      <w:lang w:val="en-US" w:eastAsia="zh-CN"/>
                    </w:rPr>
                  </w:pPr>
                  <w:r>
                    <w:rPr>
                      <w:rFonts w:hint="default" w:ascii="Times New Roman" w:hAnsi="Times New Roman" w:eastAsia="宋体" w:cs="Times New Roman"/>
                      <w:color w:val="auto"/>
                      <w:sz w:val="21"/>
                      <w:szCs w:val="21"/>
                      <w:lang w:eastAsia="zh-CN"/>
                    </w:rPr>
                    <w:t>噪声</w:t>
                  </w:r>
                </w:p>
              </w:tc>
              <w:tc>
                <w:tcPr>
                  <w:tcW w:w="1182" w:type="dxa"/>
                  <w:vAlign w:val="center"/>
                </w:tcPr>
                <w:p w14:paraId="68278C1B">
                  <w:pPr>
                    <w:numPr>
                      <w:ilvl w:val="0"/>
                      <w:numId w:val="0"/>
                    </w:numPr>
                    <w:spacing w:line="240" w:lineRule="auto"/>
                    <w:jc w:val="center"/>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生产设备</w:t>
                  </w:r>
                </w:p>
              </w:tc>
              <w:tc>
                <w:tcPr>
                  <w:tcW w:w="1968" w:type="dxa"/>
                  <w:vAlign w:val="center"/>
                </w:tcPr>
                <w:p w14:paraId="2EBFF01E">
                  <w:pPr>
                    <w:numPr>
                      <w:ilvl w:val="0"/>
                      <w:numId w:val="0"/>
                    </w:numPr>
                    <w:spacing w:line="240" w:lineRule="auto"/>
                    <w:jc w:val="center"/>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设备运行</w:t>
                  </w:r>
                </w:p>
              </w:tc>
              <w:tc>
                <w:tcPr>
                  <w:tcW w:w="1529" w:type="dxa"/>
                  <w:vAlign w:val="center"/>
                </w:tcPr>
                <w:p w14:paraId="18207C41">
                  <w:pPr>
                    <w:numPr>
                      <w:ilvl w:val="0"/>
                      <w:numId w:val="0"/>
                    </w:numPr>
                    <w:spacing w:line="240" w:lineRule="auto"/>
                    <w:jc w:val="center"/>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噪声N</w:t>
                  </w:r>
                </w:p>
              </w:tc>
              <w:tc>
                <w:tcPr>
                  <w:tcW w:w="1305" w:type="dxa"/>
                  <w:vAlign w:val="center"/>
                </w:tcPr>
                <w:p w14:paraId="5B7A8DDB">
                  <w:pPr>
                    <w:numPr>
                      <w:ilvl w:val="0"/>
                      <w:numId w:val="0"/>
                    </w:numPr>
                    <w:spacing w:line="240" w:lineRule="auto"/>
                    <w:jc w:val="center"/>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Leq</w:t>
                  </w:r>
                </w:p>
              </w:tc>
            </w:tr>
            <w:tr w14:paraId="581358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960" w:type="dxa"/>
                  <w:vMerge w:val="continue"/>
                  <w:vAlign w:val="center"/>
                </w:tcPr>
                <w:p w14:paraId="25345A76">
                  <w:pPr>
                    <w:numPr>
                      <w:ilvl w:val="0"/>
                      <w:numId w:val="0"/>
                    </w:numPr>
                    <w:spacing w:line="240" w:lineRule="auto"/>
                    <w:jc w:val="center"/>
                    <w:rPr>
                      <w:rFonts w:hint="eastAsia" w:cs="Times New Roman"/>
                      <w:b w:val="0"/>
                      <w:bCs w:val="0"/>
                      <w:color w:val="auto"/>
                      <w:sz w:val="21"/>
                      <w:szCs w:val="21"/>
                      <w:vertAlign w:val="baseline"/>
                      <w:lang w:val="en-US" w:eastAsia="zh-CN"/>
                    </w:rPr>
                  </w:pPr>
                </w:p>
              </w:tc>
              <w:tc>
                <w:tcPr>
                  <w:tcW w:w="742" w:type="dxa"/>
                  <w:vMerge w:val="restart"/>
                  <w:vAlign w:val="center"/>
                </w:tcPr>
                <w:p w14:paraId="23DC3F23">
                  <w:pPr>
                    <w:numPr>
                      <w:ilvl w:val="0"/>
                      <w:numId w:val="0"/>
                    </w:numPr>
                    <w:spacing w:line="240" w:lineRule="auto"/>
                    <w:jc w:val="center"/>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固体废物</w:t>
                  </w:r>
                </w:p>
                <w:p w14:paraId="6BF0A9C4">
                  <w:pPr>
                    <w:numPr>
                      <w:ilvl w:val="0"/>
                      <w:numId w:val="0"/>
                    </w:numPr>
                    <w:spacing w:line="240" w:lineRule="auto"/>
                    <w:jc w:val="center"/>
                    <w:rPr>
                      <w:rFonts w:hint="eastAsia" w:cs="Times New Roman"/>
                      <w:b w:val="0"/>
                      <w:bCs w:val="0"/>
                      <w:color w:val="auto"/>
                      <w:sz w:val="21"/>
                      <w:szCs w:val="21"/>
                      <w:vertAlign w:val="baseline"/>
                      <w:lang w:val="en-US" w:eastAsia="zh-CN"/>
                    </w:rPr>
                  </w:pPr>
                </w:p>
              </w:tc>
              <w:tc>
                <w:tcPr>
                  <w:tcW w:w="742" w:type="dxa"/>
                  <w:vMerge w:val="restart"/>
                  <w:vAlign w:val="center"/>
                </w:tcPr>
                <w:p w14:paraId="49C82798">
                  <w:pPr>
                    <w:numPr>
                      <w:ilvl w:val="0"/>
                      <w:numId w:val="0"/>
                    </w:numPr>
                    <w:spacing w:line="240" w:lineRule="auto"/>
                    <w:jc w:val="center"/>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危险废物</w:t>
                  </w:r>
                </w:p>
              </w:tc>
              <w:tc>
                <w:tcPr>
                  <w:tcW w:w="1182" w:type="dxa"/>
                  <w:vMerge w:val="restart"/>
                  <w:vAlign w:val="center"/>
                </w:tcPr>
                <w:p w14:paraId="21D8A50E">
                  <w:pPr>
                    <w:numPr>
                      <w:ilvl w:val="0"/>
                      <w:numId w:val="0"/>
                    </w:numPr>
                    <w:spacing w:line="240" w:lineRule="auto"/>
                    <w:jc w:val="center"/>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生产车间</w:t>
                  </w:r>
                </w:p>
              </w:tc>
              <w:tc>
                <w:tcPr>
                  <w:tcW w:w="1968" w:type="dxa"/>
                  <w:vAlign w:val="center"/>
                </w:tcPr>
                <w:p w14:paraId="642A88E3">
                  <w:pPr>
                    <w:numPr>
                      <w:ilvl w:val="0"/>
                      <w:numId w:val="0"/>
                    </w:numPr>
                    <w:spacing w:line="240" w:lineRule="auto"/>
                    <w:jc w:val="center"/>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废矿物油转运</w:t>
                  </w:r>
                </w:p>
              </w:tc>
              <w:tc>
                <w:tcPr>
                  <w:tcW w:w="1529" w:type="dxa"/>
                  <w:vAlign w:val="center"/>
                </w:tcPr>
                <w:p w14:paraId="35366062">
                  <w:pPr>
                    <w:numPr>
                      <w:ilvl w:val="0"/>
                      <w:numId w:val="0"/>
                    </w:numPr>
                    <w:spacing w:line="240" w:lineRule="auto"/>
                    <w:jc w:val="center"/>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废油桶S1</w:t>
                  </w:r>
                </w:p>
              </w:tc>
              <w:tc>
                <w:tcPr>
                  <w:tcW w:w="1305" w:type="dxa"/>
                  <w:vAlign w:val="center"/>
                </w:tcPr>
                <w:p w14:paraId="7A5F15EC">
                  <w:pPr>
                    <w:numPr>
                      <w:ilvl w:val="0"/>
                      <w:numId w:val="0"/>
                    </w:numPr>
                    <w:spacing w:line="240" w:lineRule="auto"/>
                    <w:jc w:val="center"/>
                    <w:rPr>
                      <w:rFonts w:hint="default"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w:t>
                  </w:r>
                </w:p>
              </w:tc>
            </w:tr>
            <w:tr w14:paraId="4EDCDE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960" w:type="dxa"/>
                  <w:vMerge w:val="continue"/>
                  <w:vAlign w:val="center"/>
                </w:tcPr>
                <w:p w14:paraId="625E0940">
                  <w:pPr>
                    <w:numPr>
                      <w:ilvl w:val="0"/>
                      <w:numId w:val="0"/>
                    </w:numPr>
                    <w:spacing w:line="240" w:lineRule="auto"/>
                    <w:jc w:val="center"/>
                    <w:rPr>
                      <w:rFonts w:hint="eastAsia" w:cs="Times New Roman"/>
                      <w:b w:val="0"/>
                      <w:bCs w:val="0"/>
                      <w:color w:val="auto"/>
                      <w:sz w:val="21"/>
                      <w:szCs w:val="21"/>
                      <w:vertAlign w:val="baseline"/>
                      <w:lang w:val="en-US" w:eastAsia="zh-CN"/>
                    </w:rPr>
                  </w:pPr>
                </w:p>
              </w:tc>
              <w:tc>
                <w:tcPr>
                  <w:tcW w:w="742" w:type="dxa"/>
                  <w:vMerge w:val="continue"/>
                  <w:vAlign w:val="center"/>
                </w:tcPr>
                <w:p w14:paraId="02375BF2">
                  <w:pPr>
                    <w:numPr>
                      <w:ilvl w:val="0"/>
                      <w:numId w:val="0"/>
                    </w:numPr>
                    <w:spacing w:line="240" w:lineRule="auto"/>
                    <w:jc w:val="center"/>
                    <w:rPr>
                      <w:rFonts w:hint="eastAsia" w:cs="Times New Roman"/>
                      <w:b w:val="0"/>
                      <w:bCs w:val="0"/>
                      <w:color w:val="auto"/>
                      <w:sz w:val="21"/>
                      <w:szCs w:val="21"/>
                      <w:vertAlign w:val="baseline"/>
                      <w:lang w:val="en-US" w:eastAsia="zh-CN"/>
                    </w:rPr>
                  </w:pPr>
                </w:p>
              </w:tc>
              <w:tc>
                <w:tcPr>
                  <w:tcW w:w="742" w:type="dxa"/>
                  <w:vMerge w:val="continue"/>
                  <w:vAlign w:val="center"/>
                </w:tcPr>
                <w:p w14:paraId="6CFF82DE">
                  <w:pPr>
                    <w:numPr>
                      <w:ilvl w:val="0"/>
                      <w:numId w:val="0"/>
                    </w:numPr>
                    <w:spacing w:line="240" w:lineRule="auto"/>
                    <w:jc w:val="center"/>
                    <w:rPr>
                      <w:rFonts w:hint="eastAsia" w:cs="Times New Roman"/>
                      <w:b w:val="0"/>
                      <w:bCs w:val="0"/>
                      <w:color w:val="auto"/>
                      <w:sz w:val="21"/>
                      <w:szCs w:val="21"/>
                      <w:vertAlign w:val="baseline"/>
                      <w:lang w:val="en-US" w:eastAsia="zh-CN"/>
                    </w:rPr>
                  </w:pPr>
                </w:p>
              </w:tc>
              <w:tc>
                <w:tcPr>
                  <w:tcW w:w="1182" w:type="dxa"/>
                  <w:vMerge w:val="continue"/>
                  <w:vAlign w:val="center"/>
                </w:tcPr>
                <w:p w14:paraId="741B3EFD">
                  <w:pPr>
                    <w:numPr>
                      <w:ilvl w:val="0"/>
                      <w:numId w:val="0"/>
                    </w:numPr>
                    <w:spacing w:line="240" w:lineRule="auto"/>
                    <w:jc w:val="center"/>
                    <w:rPr>
                      <w:rFonts w:hint="eastAsia" w:cs="Times New Roman"/>
                      <w:b w:val="0"/>
                      <w:bCs w:val="0"/>
                      <w:color w:val="auto"/>
                      <w:sz w:val="21"/>
                      <w:szCs w:val="21"/>
                      <w:vertAlign w:val="baseline"/>
                      <w:lang w:val="en-US" w:eastAsia="zh-CN"/>
                    </w:rPr>
                  </w:pPr>
                </w:p>
              </w:tc>
              <w:tc>
                <w:tcPr>
                  <w:tcW w:w="1968" w:type="dxa"/>
                  <w:vAlign w:val="center"/>
                </w:tcPr>
                <w:p w14:paraId="108637D8">
                  <w:pPr>
                    <w:numPr>
                      <w:ilvl w:val="0"/>
                      <w:numId w:val="0"/>
                    </w:numPr>
                    <w:spacing w:line="240" w:lineRule="auto"/>
                    <w:jc w:val="center"/>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废矿物油储存</w:t>
                  </w:r>
                </w:p>
              </w:tc>
              <w:tc>
                <w:tcPr>
                  <w:tcW w:w="1529" w:type="dxa"/>
                  <w:vAlign w:val="center"/>
                </w:tcPr>
                <w:p w14:paraId="002A90FF">
                  <w:pPr>
                    <w:numPr>
                      <w:ilvl w:val="0"/>
                      <w:numId w:val="0"/>
                    </w:numPr>
                    <w:spacing w:line="240" w:lineRule="auto"/>
                    <w:jc w:val="center"/>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油泥S2</w:t>
                  </w:r>
                </w:p>
              </w:tc>
              <w:tc>
                <w:tcPr>
                  <w:tcW w:w="1305" w:type="dxa"/>
                  <w:vAlign w:val="center"/>
                </w:tcPr>
                <w:p w14:paraId="7BE324E9">
                  <w:pPr>
                    <w:numPr>
                      <w:ilvl w:val="0"/>
                      <w:numId w:val="0"/>
                    </w:numPr>
                    <w:spacing w:line="240" w:lineRule="auto"/>
                    <w:jc w:val="center"/>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w:t>
                  </w:r>
                </w:p>
              </w:tc>
            </w:tr>
            <w:tr w14:paraId="115F44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60" w:type="dxa"/>
                  <w:vMerge w:val="continue"/>
                  <w:vAlign w:val="center"/>
                </w:tcPr>
                <w:p w14:paraId="4DEAFF84">
                  <w:pPr>
                    <w:numPr>
                      <w:ilvl w:val="0"/>
                      <w:numId w:val="0"/>
                    </w:numPr>
                    <w:spacing w:line="240" w:lineRule="auto"/>
                    <w:jc w:val="center"/>
                    <w:rPr>
                      <w:rFonts w:hint="eastAsia" w:cs="Times New Roman"/>
                      <w:b w:val="0"/>
                      <w:bCs w:val="0"/>
                      <w:color w:val="auto"/>
                      <w:sz w:val="21"/>
                      <w:szCs w:val="21"/>
                      <w:vertAlign w:val="baseline"/>
                      <w:lang w:val="en-US" w:eastAsia="zh-CN"/>
                    </w:rPr>
                  </w:pPr>
                </w:p>
              </w:tc>
              <w:tc>
                <w:tcPr>
                  <w:tcW w:w="742" w:type="dxa"/>
                  <w:vMerge w:val="continue"/>
                  <w:vAlign w:val="center"/>
                </w:tcPr>
                <w:p w14:paraId="4A12B208">
                  <w:pPr>
                    <w:numPr>
                      <w:ilvl w:val="0"/>
                      <w:numId w:val="0"/>
                    </w:numPr>
                    <w:spacing w:line="240" w:lineRule="auto"/>
                    <w:jc w:val="center"/>
                    <w:rPr>
                      <w:rFonts w:hint="eastAsia" w:cs="Times New Roman"/>
                      <w:b w:val="0"/>
                      <w:bCs w:val="0"/>
                      <w:color w:val="auto"/>
                      <w:sz w:val="21"/>
                      <w:szCs w:val="21"/>
                      <w:vertAlign w:val="baseline"/>
                      <w:lang w:val="en-US" w:eastAsia="zh-CN"/>
                    </w:rPr>
                  </w:pPr>
                </w:p>
              </w:tc>
              <w:tc>
                <w:tcPr>
                  <w:tcW w:w="742" w:type="dxa"/>
                  <w:vMerge w:val="continue"/>
                  <w:vAlign w:val="center"/>
                </w:tcPr>
                <w:p w14:paraId="3AF969A5">
                  <w:pPr>
                    <w:numPr>
                      <w:ilvl w:val="0"/>
                      <w:numId w:val="0"/>
                    </w:numPr>
                    <w:spacing w:line="240" w:lineRule="auto"/>
                    <w:jc w:val="center"/>
                    <w:rPr>
                      <w:rFonts w:hint="eastAsia" w:cs="Times New Roman"/>
                      <w:b w:val="0"/>
                      <w:bCs w:val="0"/>
                      <w:color w:val="auto"/>
                      <w:sz w:val="21"/>
                      <w:szCs w:val="21"/>
                      <w:vertAlign w:val="baseline"/>
                      <w:lang w:val="en-US" w:eastAsia="zh-CN"/>
                    </w:rPr>
                  </w:pPr>
                </w:p>
              </w:tc>
              <w:tc>
                <w:tcPr>
                  <w:tcW w:w="1182" w:type="dxa"/>
                  <w:vMerge w:val="continue"/>
                  <w:vAlign w:val="center"/>
                </w:tcPr>
                <w:p w14:paraId="596AD08F">
                  <w:pPr>
                    <w:numPr>
                      <w:ilvl w:val="0"/>
                      <w:numId w:val="0"/>
                    </w:numPr>
                    <w:spacing w:line="240" w:lineRule="auto"/>
                    <w:jc w:val="center"/>
                    <w:rPr>
                      <w:rFonts w:hint="eastAsia" w:cs="Times New Roman"/>
                      <w:b w:val="0"/>
                      <w:bCs w:val="0"/>
                      <w:color w:val="auto"/>
                      <w:sz w:val="21"/>
                      <w:szCs w:val="21"/>
                      <w:vertAlign w:val="baseline"/>
                      <w:lang w:val="en-US" w:eastAsia="zh-CN"/>
                    </w:rPr>
                  </w:pPr>
                </w:p>
              </w:tc>
              <w:tc>
                <w:tcPr>
                  <w:tcW w:w="1968" w:type="dxa"/>
                  <w:vAlign w:val="center"/>
                </w:tcPr>
                <w:p w14:paraId="557365AC">
                  <w:pPr>
                    <w:numPr>
                      <w:ilvl w:val="0"/>
                      <w:numId w:val="0"/>
                    </w:numPr>
                    <w:spacing w:line="240" w:lineRule="auto"/>
                    <w:jc w:val="center"/>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废气治理</w:t>
                  </w:r>
                </w:p>
              </w:tc>
              <w:tc>
                <w:tcPr>
                  <w:tcW w:w="1529" w:type="dxa"/>
                  <w:vAlign w:val="center"/>
                </w:tcPr>
                <w:p w14:paraId="0A360AE5">
                  <w:pPr>
                    <w:numPr>
                      <w:ilvl w:val="0"/>
                      <w:numId w:val="0"/>
                    </w:numPr>
                    <w:spacing w:line="240" w:lineRule="auto"/>
                    <w:jc w:val="center"/>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废活性炭S3</w:t>
                  </w:r>
                </w:p>
              </w:tc>
              <w:tc>
                <w:tcPr>
                  <w:tcW w:w="1305" w:type="dxa"/>
                  <w:vAlign w:val="center"/>
                </w:tcPr>
                <w:p w14:paraId="03B3F272">
                  <w:pPr>
                    <w:numPr>
                      <w:ilvl w:val="0"/>
                      <w:numId w:val="0"/>
                    </w:numPr>
                    <w:spacing w:line="240" w:lineRule="auto"/>
                    <w:jc w:val="center"/>
                    <w:rPr>
                      <w:rFonts w:hint="default"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w:t>
                  </w:r>
                </w:p>
              </w:tc>
            </w:tr>
            <w:tr w14:paraId="60E666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60" w:type="dxa"/>
                  <w:vMerge w:val="continue"/>
                  <w:vAlign w:val="center"/>
                </w:tcPr>
                <w:p w14:paraId="2C05FC0F">
                  <w:pPr>
                    <w:numPr>
                      <w:ilvl w:val="0"/>
                      <w:numId w:val="0"/>
                    </w:numPr>
                    <w:spacing w:line="240" w:lineRule="auto"/>
                    <w:jc w:val="center"/>
                    <w:rPr>
                      <w:rFonts w:hint="eastAsia" w:cs="Times New Roman"/>
                      <w:b w:val="0"/>
                      <w:bCs w:val="0"/>
                      <w:color w:val="auto"/>
                      <w:sz w:val="21"/>
                      <w:szCs w:val="21"/>
                      <w:vertAlign w:val="baseline"/>
                      <w:lang w:val="en-US" w:eastAsia="zh-CN"/>
                    </w:rPr>
                  </w:pPr>
                </w:p>
              </w:tc>
              <w:tc>
                <w:tcPr>
                  <w:tcW w:w="742" w:type="dxa"/>
                  <w:vMerge w:val="continue"/>
                  <w:vAlign w:val="center"/>
                </w:tcPr>
                <w:p w14:paraId="7FA2A176">
                  <w:pPr>
                    <w:numPr>
                      <w:ilvl w:val="0"/>
                      <w:numId w:val="0"/>
                    </w:numPr>
                    <w:spacing w:line="240" w:lineRule="auto"/>
                    <w:jc w:val="center"/>
                    <w:rPr>
                      <w:rFonts w:hint="eastAsia" w:cs="Times New Roman"/>
                      <w:b w:val="0"/>
                      <w:bCs w:val="0"/>
                      <w:color w:val="auto"/>
                      <w:sz w:val="21"/>
                      <w:szCs w:val="21"/>
                      <w:vertAlign w:val="baseline"/>
                      <w:lang w:val="en-US" w:eastAsia="zh-CN"/>
                    </w:rPr>
                  </w:pPr>
                </w:p>
              </w:tc>
              <w:tc>
                <w:tcPr>
                  <w:tcW w:w="742" w:type="dxa"/>
                  <w:vMerge w:val="continue"/>
                  <w:vAlign w:val="center"/>
                </w:tcPr>
                <w:p w14:paraId="00AB3EF4">
                  <w:pPr>
                    <w:numPr>
                      <w:ilvl w:val="0"/>
                      <w:numId w:val="0"/>
                    </w:numPr>
                    <w:spacing w:line="240" w:lineRule="auto"/>
                    <w:jc w:val="center"/>
                    <w:rPr>
                      <w:rFonts w:hint="eastAsia" w:cs="Times New Roman"/>
                      <w:b w:val="0"/>
                      <w:bCs w:val="0"/>
                      <w:color w:val="auto"/>
                      <w:sz w:val="21"/>
                      <w:szCs w:val="21"/>
                      <w:vertAlign w:val="baseline"/>
                      <w:lang w:val="en-US" w:eastAsia="zh-CN"/>
                    </w:rPr>
                  </w:pPr>
                </w:p>
              </w:tc>
              <w:tc>
                <w:tcPr>
                  <w:tcW w:w="1182" w:type="dxa"/>
                  <w:vMerge w:val="continue"/>
                  <w:vAlign w:val="center"/>
                </w:tcPr>
                <w:p w14:paraId="531C65DE">
                  <w:pPr>
                    <w:numPr>
                      <w:ilvl w:val="0"/>
                      <w:numId w:val="0"/>
                    </w:numPr>
                    <w:spacing w:line="240" w:lineRule="auto"/>
                    <w:jc w:val="center"/>
                    <w:rPr>
                      <w:rFonts w:hint="eastAsia" w:cs="Times New Roman"/>
                      <w:b w:val="0"/>
                      <w:bCs w:val="0"/>
                      <w:color w:val="auto"/>
                      <w:sz w:val="21"/>
                      <w:szCs w:val="21"/>
                      <w:vertAlign w:val="baseline"/>
                      <w:lang w:val="en-US" w:eastAsia="zh-CN"/>
                    </w:rPr>
                  </w:pPr>
                </w:p>
              </w:tc>
              <w:tc>
                <w:tcPr>
                  <w:tcW w:w="1968" w:type="dxa"/>
                  <w:vAlign w:val="center"/>
                </w:tcPr>
                <w:p w14:paraId="19E0550A">
                  <w:pPr>
                    <w:numPr>
                      <w:ilvl w:val="0"/>
                      <w:numId w:val="0"/>
                    </w:numPr>
                    <w:spacing w:line="240" w:lineRule="auto"/>
                    <w:jc w:val="center"/>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擦拭废物</w:t>
                  </w:r>
                </w:p>
              </w:tc>
              <w:tc>
                <w:tcPr>
                  <w:tcW w:w="1529" w:type="dxa"/>
                  <w:vAlign w:val="center"/>
                </w:tcPr>
                <w:p w14:paraId="3476BBCA">
                  <w:pPr>
                    <w:numPr>
                      <w:ilvl w:val="0"/>
                      <w:numId w:val="0"/>
                    </w:numPr>
                    <w:spacing w:line="240" w:lineRule="auto"/>
                    <w:jc w:val="center"/>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废棉纱手套S4</w:t>
                  </w:r>
                </w:p>
              </w:tc>
              <w:tc>
                <w:tcPr>
                  <w:tcW w:w="1305" w:type="dxa"/>
                  <w:vAlign w:val="center"/>
                </w:tcPr>
                <w:p w14:paraId="24861FD4">
                  <w:pPr>
                    <w:numPr>
                      <w:ilvl w:val="0"/>
                      <w:numId w:val="0"/>
                    </w:numPr>
                    <w:spacing w:line="240" w:lineRule="auto"/>
                    <w:jc w:val="center"/>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w:t>
                  </w:r>
                </w:p>
              </w:tc>
            </w:tr>
            <w:tr w14:paraId="7A8992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60" w:type="dxa"/>
                  <w:vMerge w:val="continue"/>
                  <w:vAlign w:val="center"/>
                </w:tcPr>
                <w:p w14:paraId="1D8C03C3">
                  <w:pPr>
                    <w:numPr>
                      <w:ilvl w:val="0"/>
                      <w:numId w:val="0"/>
                    </w:numPr>
                    <w:spacing w:line="240" w:lineRule="auto"/>
                    <w:jc w:val="center"/>
                    <w:rPr>
                      <w:rFonts w:hint="eastAsia" w:cs="Times New Roman"/>
                      <w:b w:val="0"/>
                      <w:bCs w:val="0"/>
                      <w:color w:val="auto"/>
                      <w:sz w:val="21"/>
                      <w:szCs w:val="21"/>
                      <w:vertAlign w:val="baseline"/>
                      <w:lang w:val="en-US" w:eastAsia="zh-CN"/>
                    </w:rPr>
                  </w:pPr>
                </w:p>
              </w:tc>
              <w:tc>
                <w:tcPr>
                  <w:tcW w:w="742" w:type="dxa"/>
                  <w:vMerge w:val="continue"/>
                  <w:vAlign w:val="center"/>
                </w:tcPr>
                <w:p w14:paraId="1F7D1426">
                  <w:pPr>
                    <w:numPr>
                      <w:ilvl w:val="0"/>
                      <w:numId w:val="0"/>
                    </w:numPr>
                    <w:spacing w:line="240" w:lineRule="auto"/>
                    <w:jc w:val="center"/>
                    <w:rPr>
                      <w:rFonts w:hint="eastAsia" w:cs="Times New Roman"/>
                      <w:b w:val="0"/>
                      <w:bCs w:val="0"/>
                      <w:color w:val="auto"/>
                      <w:sz w:val="21"/>
                      <w:szCs w:val="21"/>
                      <w:vertAlign w:val="baseline"/>
                      <w:lang w:val="en-US" w:eastAsia="zh-CN"/>
                    </w:rPr>
                  </w:pPr>
                </w:p>
              </w:tc>
              <w:tc>
                <w:tcPr>
                  <w:tcW w:w="742" w:type="dxa"/>
                  <w:vMerge w:val="continue"/>
                  <w:vAlign w:val="center"/>
                </w:tcPr>
                <w:p w14:paraId="36BD8C26">
                  <w:pPr>
                    <w:numPr>
                      <w:ilvl w:val="0"/>
                      <w:numId w:val="0"/>
                    </w:numPr>
                    <w:spacing w:line="240" w:lineRule="auto"/>
                    <w:jc w:val="center"/>
                    <w:rPr>
                      <w:rFonts w:hint="eastAsia" w:cs="Times New Roman"/>
                      <w:b w:val="0"/>
                      <w:bCs w:val="0"/>
                      <w:color w:val="auto"/>
                      <w:sz w:val="21"/>
                      <w:szCs w:val="21"/>
                      <w:vertAlign w:val="baseline"/>
                      <w:lang w:val="en-US" w:eastAsia="zh-CN"/>
                    </w:rPr>
                  </w:pPr>
                </w:p>
              </w:tc>
              <w:tc>
                <w:tcPr>
                  <w:tcW w:w="1182" w:type="dxa"/>
                  <w:vMerge w:val="restart"/>
                  <w:vAlign w:val="center"/>
                </w:tcPr>
                <w:p w14:paraId="111B7404">
                  <w:pPr>
                    <w:numPr>
                      <w:ilvl w:val="0"/>
                      <w:numId w:val="0"/>
                    </w:numPr>
                    <w:spacing w:line="240" w:lineRule="auto"/>
                    <w:jc w:val="center"/>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检验室</w:t>
                  </w:r>
                </w:p>
              </w:tc>
              <w:tc>
                <w:tcPr>
                  <w:tcW w:w="1968" w:type="dxa"/>
                  <w:vMerge w:val="restart"/>
                  <w:vAlign w:val="center"/>
                </w:tcPr>
                <w:p w14:paraId="02F0342D">
                  <w:pPr>
                    <w:numPr>
                      <w:ilvl w:val="0"/>
                      <w:numId w:val="0"/>
                    </w:numPr>
                    <w:spacing w:line="240" w:lineRule="auto"/>
                    <w:jc w:val="center"/>
                    <w:rPr>
                      <w:rFonts w:hint="eastAsia"/>
                      <w:lang w:val="en-US" w:eastAsia="zh-CN"/>
                    </w:rPr>
                  </w:pPr>
                  <w:r>
                    <w:rPr>
                      <w:rFonts w:hint="eastAsia" w:cs="Times New Roman"/>
                      <w:b w:val="0"/>
                      <w:bCs w:val="0"/>
                      <w:color w:val="auto"/>
                      <w:sz w:val="21"/>
                      <w:szCs w:val="21"/>
                      <w:vertAlign w:val="baseline"/>
                      <w:lang w:val="en-US" w:eastAsia="zh-CN"/>
                    </w:rPr>
                    <w:t>检验过程</w:t>
                  </w:r>
                </w:p>
              </w:tc>
              <w:tc>
                <w:tcPr>
                  <w:tcW w:w="1529" w:type="dxa"/>
                  <w:vAlign w:val="center"/>
                </w:tcPr>
                <w:p w14:paraId="0FEA11E0">
                  <w:pPr>
                    <w:numPr>
                      <w:ilvl w:val="0"/>
                      <w:numId w:val="0"/>
                    </w:numPr>
                    <w:spacing w:line="240" w:lineRule="auto"/>
                    <w:ind w:left="0" w:leftChars="0" w:firstLine="0" w:firstLineChars="0"/>
                    <w:jc w:val="center"/>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废试剂瓶S5</w:t>
                  </w:r>
                </w:p>
              </w:tc>
              <w:tc>
                <w:tcPr>
                  <w:tcW w:w="1305" w:type="dxa"/>
                  <w:vAlign w:val="center"/>
                </w:tcPr>
                <w:p w14:paraId="1946CDF8">
                  <w:pPr>
                    <w:numPr>
                      <w:ilvl w:val="0"/>
                      <w:numId w:val="0"/>
                    </w:numPr>
                    <w:spacing w:line="240" w:lineRule="auto"/>
                    <w:jc w:val="center"/>
                    <w:rPr>
                      <w:rFonts w:hint="eastAsia" w:cs="Times New Roman"/>
                      <w:b w:val="0"/>
                      <w:bCs w:val="0"/>
                      <w:color w:val="auto"/>
                      <w:sz w:val="21"/>
                      <w:szCs w:val="21"/>
                      <w:vertAlign w:val="baseline"/>
                      <w:lang w:val="en-US" w:eastAsia="zh-CN"/>
                    </w:rPr>
                  </w:pPr>
                </w:p>
              </w:tc>
            </w:tr>
            <w:tr w14:paraId="5C7ACC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60" w:type="dxa"/>
                  <w:vMerge w:val="continue"/>
                  <w:vAlign w:val="center"/>
                </w:tcPr>
                <w:p w14:paraId="0440A301">
                  <w:pPr>
                    <w:numPr>
                      <w:ilvl w:val="0"/>
                      <w:numId w:val="0"/>
                    </w:numPr>
                    <w:spacing w:line="240" w:lineRule="auto"/>
                    <w:jc w:val="center"/>
                    <w:rPr>
                      <w:rFonts w:hint="eastAsia" w:cs="Times New Roman"/>
                      <w:b w:val="0"/>
                      <w:bCs w:val="0"/>
                      <w:color w:val="auto"/>
                      <w:sz w:val="21"/>
                      <w:szCs w:val="21"/>
                      <w:vertAlign w:val="baseline"/>
                      <w:lang w:val="en-US" w:eastAsia="zh-CN"/>
                    </w:rPr>
                  </w:pPr>
                </w:p>
              </w:tc>
              <w:tc>
                <w:tcPr>
                  <w:tcW w:w="742" w:type="dxa"/>
                  <w:vMerge w:val="continue"/>
                  <w:vAlign w:val="center"/>
                </w:tcPr>
                <w:p w14:paraId="07F9F45B">
                  <w:pPr>
                    <w:numPr>
                      <w:ilvl w:val="0"/>
                      <w:numId w:val="0"/>
                    </w:numPr>
                    <w:spacing w:line="240" w:lineRule="auto"/>
                    <w:jc w:val="center"/>
                    <w:rPr>
                      <w:rFonts w:hint="eastAsia" w:cs="Times New Roman"/>
                      <w:b w:val="0"/>
                      <w:bCs w:val="0"/>
                      <w:color w:val="auto"/>
                      <w:sz w:val="21"/>
                      <w:szCs w:val="21"/>
                      <w:vertAlign w:val="baseline"/>
                      <w:lang w:val="en-US" w:eastAsia="zh-CN"/>
                    </w:rPr>
                  </w:pPr>
                </w:p>
              </w:tc>
              <w:tc>
                <w:tcPr>
                  <w:tcW w:w="742" w:type="dxa"/>
                  <w:vMerge w:val="continue"/>
                  <w:vAlign w:val="center"/>
                </w:tcPr>
                <w:p w14:paraId="1BE9FD70">
                  <w:pPr>
                    <w:numPr>
                      <w:ilvl w:val="0"/>
                      <w:numId w:val="0"/>
                    </w:numPr>
                    <w:spacing w:line="240" w:lineRule="auto"/>
                    <w:jc w:val="center"/>
                    <w:rPr>
                      <w:rFonts w:hint="eastAsia" w:cs="Times New Roman"/>
                      <w:b w:val="0"/>
                      <w:bCs w:val="0"/>
                      <w:color w:val="auto"/>
                      <w:sz w:val="21"/>
                      <w:szCs w:val="21"/>
                      <w:vertAlign w:val="baseline"/>
                      <w:lang w:val="en-US" w:eastAsia="zh-CN"/>
                    </w:rPr>
                  </w:pPr>
                </w:p>
              </w:tc>
              <w:tc>
                <w:tcPr>
                  <w:tcW w:w="1182" w:type="dxa"/>
                  <w:vMerge w:val="continue"/>
                  <w:vAlign w:val="center"/>
                </w:tcPr>
                <w:p w14:paraId="1EE045DE">
                  <w:pPr>
                    <w:numPr>
                      <w:ilvl w:val="0"/>
                      <w:numId w:val="0"/>
                    </w:numPr>
                    <w:spacing w:line="240" w:lineRule="auto"/>
                    <w:jc w:val="center"/>
                    <w:rPr>
                      <w:rFonts w:hint="eastAsia" w:cs="Times New Roman"/>
                      <w:b w:val="0"/>
                      <w:bCs w:val="0"/>
                      <w:color w:val="auto"/>
                      <w:sz w:val="21"/>
                      <w:szCs w:val="21"/>
                      <w:vertAlign w:val="baseline"/>
                      <w:lang w:val="en-US" w:eastAsia="zh-CN"/>
                    </w:rPr>
                  </w:pPr>
                </w:p>
              </w:tc>
              <w:tc>
                <w:tcPr>
                  <w:tcW w:w="1968" w:type="dxa"/>
                  <w:vMerge w:val="continue"/>
                  <w:vAlign w:val="center"/>
                </w:tcPr>
                <w:p w14:paraId="03C34772">
                  <w:pPr>
                    <w:numPr>
                      <w:ilvl w:val="0"/>
                      <w:numId w:val="0"/>
                    </w:numPr>
                    <w:spacing w:line="240" w:lineRule="auto"/>
                    <w:jc w:val="center"/>
                    <w:rPr>
                      <w:rFonts w:hint="eastAsia" w:cs="Times New Roman"/>
                      <w:b w:val="0"/>
                      <w:bCs w:val="0"/>
                      <w:color w:val="auto"/>
                      <w:sz w:val="21"/>
                      <w:szCs w:val="21"/>
                      <w:vertAlign w:val="baseline"/>
                      <w:lang w:val="en-US" w:eastAsia="zh-CN"/>
                    </w:rPr>
                  </w:pPr>
                </w:p>
              </w:tc>
              <w:tc>
                <w:tcPr>
                  <w:tcW w:w="1529" w:type="dxa"/>
                  <w:vAlign w:val="center"/>
                </w:tcPr>
                <w:p w14:paraId="259CAED7">
                  <w:pPr>
                    <w:numPr>
                      <w:ilvl w:val="0"/>
                      <w:numId w:val="0"/>
                    </w:numPr>
                    <w:spacing w:line="240" w:lineRule="auto"/>
                    <w:ind w:left="0" w:leftChars="0" w:firstLine="0" w:firstLineChars="0"/>
                    <w:jc w:val="center"/>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实验废液S6</w:t>
                  </w:r>
                </w:p>
              </w:tc>
              <w:tc>
                <w:tcPr>
                  <w:tcW w:w="1305" w:type="dxa"/>
                  <w:vAlign w:val="center"/>
                </w:tcPr>
                <w:p w14:paraId="6B3C70D0">
                  <w:pPr>
                    <w:numPr>
                      <w:ilvl w:val="0"/>
                      <w:numId w:val="0"/>
                    </w:numPr>
                    <w:spacing w:line="240" w:lineRule="auto"/>
                    <w:jc w:val="center"/>
                    <w:rPr>
                      <w:rFonts w:hint="eastAsia" w:cs="Times New Roman"/>
                      <w:b w:val="0"/>
                      <w:bCs w:val="0"/>
                      <w:color w:val="auto"/>
                      <w:sz w:val="21"/>
                      <w:szCs w:val="21"/>
                      <w:vertAlign w:val="baseline"/>
                      <w:lang w:val="en-US" w:eastAsia="zh-CN"/>
                    </w:rPr>
                  </w:pPr>
                </w:p>
              </w:tc>
            </w:tr>
            <w:tr w14:paraId="2E7376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60" w:type="dxa"/>
                  <w:vMerge w:val="continue"/>
                  <w:vAlign w:val="center"/>
                </w:tcPr>
                <w:p w14:paraId="0AF123E8">
                  <w:pPr>
                    <w:numPr>
                      <w:ilvl w:val="0"/>
                      <w:numId w:val="0"/>
                    </w:numPr>
                    <w:spacing w:line="240" w:lineRule="auto"/>
                    <w:jc w:val="center"/>
                    <w:rPr>
                      <w:rFonts w:hint="eastAsia" w:cs="Times New Roman"/>
                      <w:b w:val="0"/>
                      <w:bCs w:val="0"/>
                      <w:color w:val="auto"/>
                      <w:sz w:val="21"/>
                      <w:szCs w:val="21"/>
                      <w:vertAlign w:val="baseline"/>
                      <w:lang w:val="en-US" w:eastAsia="zh-CN"/>
                    </w:rPr>
                  </w:pPr>
                </w:p>
              </w:tc>
              <w:tc>
                <w:tcPr>
                  <w:tcW w:w="742" w:type="dxa"/>
                  <w:vMerge w:val="continue"/>
                  <w:vAlign w:val="center"/>
                </w:tcPr>
                <w:p w14:paraId="027529B9">
                  <w:pPr>
                    <w:numPr>
                      <w:ilvl w:val="0"/>
                      <w:numId w:val="0"/>
                    </w:numPr>
                    <w:spacing w:line="240" w:lineRule="auto"/>
                    <w:jc w:val="center"/>
                    <w:rPr>
                      <w:rFonts w:hint="eastAsia" w:cs="Times New Roman"/>
                      <w:b w:val="0"/>
                      <w:bCs w:val="0"/>
                      <w:color w:val="auto"/>
                      <w:sz w:val="21"/>
                      <w:szCs w:val="21"/>
                      <w:vertAlign w:val="baseline"/>
                      <w:lang w:val="en-US" w:eastAsia="zh-CN"/>
                    </w:rPr>
                  </w:pPr>
                </w:p>
              </w:tc>
              <w:tc>
                <w:tcPr>
                  <w:tcW w:w="1924" w:type="dxa"/>
                  <w:gridSpan w:val="2"/>
                  <w:vAlign w:val="center"/>
                </w:tcPr>
                <w:p w14:paraId="0721ACA7">
                  <w:pPr>
                    <w:numPr>
                      <w:ilvl w:val="0"/>
                      <w:numId w:val="0"/>
                    </w:numPr>
                    <w:spacing w:line="240" w:lineRule="auto"/>
                    <w:jc w:val="center"/>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一般工业固体废物</w:t>
                  </w:r>
                </w:p>
              </w:tc>
              <w:tc>
                <w:tcPr>
                  <w:tcW w:w="1968" w:type="dxa"/>
                  <w:vAlign w:val="center"/>
                </w:tcPr>
                <w:p w14:paraId="0F59844C">
                  <w:pPr>
                    <w:numPr>
                      <w:ilvl w:val="0"/>
                      <w:numId w:val="0"/>
                    </w:numPr>
                    <w:spacing w:line="240" w:lineRule="auto"/>
                    <w:jc w:val="center"/>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检验过程</w:t>
                  </w:r>
                </w:p>
              </w:tc>
              <w:tc>
                <w:tcPr>
                  <w:tcW w:w="1529" w:type="dxa"/>
                  <w:vAlign w:val="center"/>
                </w:tcPr>
                <w:p w14:paraId="7AF98666">
                  <w:pPr>
                    <w:numPr>
                      <w:ilvl w:val="0"/>
                      <w:numId w:val="0"/>
                    </w:numPr>
                    <w:spacing w:line="240" w:lineRule="auto"/>
                    <w:ind w:left="0" w:leftChars="0" w:firstLine="0" w:firstLineChars="0"/>
                    <w:jc w:val="center"/>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废包装材料S7</w:t>
                  </w:r>
                </w:p>
              </w:tc>
              <w:tc>
                <w:tcPr>
                  <w:tcW w:w="1305" w:type="dxa"/>
                  <w:vAlign w:val="center"/>
                </w:tcPr>
                <w:p w14:paraId="77881958">
                  <w:pPr>
                    <w:numPr>
                      <w:ilvl w:val="0"/>
                      <w:numId w:val="0"/>
                    </w:numPr>
                    <w:spacing w:line="240" w:lineRule="auto"/>
                    <w:jc w:val="center"/>
                    <w:rPr>
                      <w:rFonts w:hint="eastAsia" w:cs="Times New Roman"/>
                      <w:b w:val="0"/>
                      <w:bCs w:val="0"/>
                      <w:color w:val="auto"/>
                      <w:sz w:val="21"/>
                      <w:szCs w:val="21"/>
                      <w:vertAlign w:val="baseline"/>
                      <w:lang w:val="en-US" w:eastAsia="zh-CN"/>
                    </w:rPr>
                  </w:pPr>
                </w:p>
              </w:tc>
            </w:tr>
            <w:tr w14:paraId="64D33F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60" w:type="dxa"/>
                  <w:vMerge w:val="restart"/>
                  <w:vAlign w:val="center"/>
                </w:tcPr>
                <w:p w14:paraId="6D0AE476">
                  <w:pPr>
                    <w:adjustRightInd w:val="0"/>
                    <w:snapToGrid w:val="0"/>
                    <w:spacing w:line="240" w:lineRule="auto"/>
                    <w:jc w:val="center"/>
                    <w:rPr>
                      <w:rFonts w:hint="eastAsia" w:cs="Times New Roman"/>
                      <w:b w:val="0"/>
                      <w:bCs w:val="0"/>
                      <w:color w:val="auto"/>
                      <w:sz w:val="21"/>
                      <w:szCs w:val="21"/>
                      <w:vertAlign w:val="baseline"/>
                      <w:lang w:val="en-US" w:eastAsia="zh-CN"/>
                    </w:rPr>
                  </w:pPr>
                  <w:r>
                    <w:rPr>
                      <w:rFonts w:hint="default" w:ascii="Times New Roman" w:hAnsi="Times New Roman" w:eastAsia="宋体" w:cs="Times New Roman"/>
                      <w:color w:val="auto"/>
                      <w:sz w:val="21"/>
                      <w:szCs w:val="21"/>
                      <w:lang w:eastAsia="en-US"/>
                    </w:rPr>
                    <w:t>生活源</w:t>
                  </w:r>
                </w:p>
              </w:tc>
              <w:tc>
                <w:tcPr>
                  <w:tcW w:w="1484" w:type="dxa"/>
                  <w:gridSpan w:val="2"/>
                  <w:vAlign w:val="center"/>
                </w:tcPr>
                <w:p w14:paraId="33D4CEC4">
                  <w:pPr>
                    <w:adjustRightInd w:val="0"/>
                    <w:snapToGrid w:val="0"/>
                    <w:spacing w:line="240" w:lineRule="auto"/>
                    <w:jc w:val="center"/>
                    <w:rPr>
                      <w:rFonts w:hint="eastAsia" w:cs="Times New Roman"/>
                      <w:b w:val="0"/>
                      <w:bCs w:val="0"/>
                      <w:color w:val="auto"/>
                      <w:sz w:val="21"/>
                      <w:szCs w:val="21"/>
                      <w:vertAlign w:val="baseline"/>
                      <w:lang w:val="en-US" w:eastAsia="zh-CN"/>
                    </w:rPr>
                  </w:pPr>
                  <w:r>
                    <w:rPr>
                      <w:rFonts w:hint="default" w:ascii="Times New Roman" w:hAnsi="Times New Roman" w:eastAsia="宋体" w:cs="Times New Roman"/>
                      <w:color w:val="auto"/>
                      <w:sz w:val="21"/>
                      <w:szCs w:val="21"/>
                      <w:lang w:eastAsia="zh-CN"/>
                    </w:rPr>
                    <w:t>废水</w:t>
                  </w:r>
                </w:p>
              </w:tc>
              <w:tc>
                <w:tcPr>
                  <w:tcW w:w="1182" w:type="dxa"/>
                  <w:vAlign w:val="center"/>
                </w:tcPr>
                <w:p w14:paraId="399B07C5">
                  <w:pPr>
                    <w:numPr>
                      <w:ilvl w:val="0"/>
                      <w:numId w:val="0"/>
                    </w:numPr>
                    <w:spacing w:line="240" w:lineRule="auto"/>
                    <w:ind w:left="0" w:leftChars="0" w:firstLine="0" w:firstLineChars="0"/>
                    <w:jc w:val="center"/>
                    <w:rPr>
                      <w:rFonts w:hint="eastAsia" w:ascii="Times New Roman" w:hAnsi="Times New Roman" w:eastAsia="宋体" w:cs="Times New Roman"/>
                      <w:b w:val="0"/>
                      <w:bCs w:val="0"/>
                      <w:color w:val="auto"/>
                      <w:kern w:val="2"/>
                      <w:sz w:val="21"/>
                      <w:szCs w:val="21"/>
                      <w:vertAlign w:val="baseline"/>
                      <w:lang w:val="en-US" w:eastAsia="zh-CN" w:bidi="ar-SA"/>
                    </w:rPr>
                  </w:pPr>
                  <w:r>
                    <w:rPr>
                      <w:rFonts w:hint="eastAsia" w:cs="Times New Roman"/>
                      <w:b w:val="0"/>
                      <w:bCs w:val="0"/>
                      <w:color w:val="auto"/>
                      <w:sz w:val="21"/>
                      <w:szCs w:val="21"/>
                      <w:vertAlign w:val="baseline"/>
                      <w:lang w:val="en-US" w:eastAsia="zh-CN"/>
                    </w:rPr>
                    <w:t>办公室</w:t>
                  </w:r>
                </w:p>
              </w:tc>
              <w:tc>
                <w:tcPr>
                  <w:tcW w:w="1968" w:type="dxa"/>
                  <w:vAlign w:val="center"/>
                </w:tcPr>
                <w:p w14:paraId="0C9EE43C">
                  <w:pPr>
                    <w:numPr>
                      <w:ilvl w:val="0"/>
                      <w:numId w:val="0"/>
                    </w:numPr>
                    <w:spacing w:line="240" w:lineRule="auto"/>
                    <w:ind w:left="0" w:leftChars="0" w:firstLine="0" w:firstLineChars="0"/>
                    <w:jc w:val="center"/>
                    <w:rPr>
                      <w:rFonts w:hint="eastAsia" w:ascii="Times New Roman" w:hAnsi="Times New Roman" w:eastAsia="宋体" w:cs="Times New Roman"/>
                      <w:b w:val="0"/>
                      <w:bCs w:val="0"/>
                      <w:color w:val="auto"/>
                      <w:kern w:val="2"/>
                      <w:sz w:val="21"/>
                      <w:szCs w:val="21"/>
                      <w:vertAlign w:val="baseline"/>
                      <w:lang w:val="en-US" w:eastAsia="zh-CN" w:bidi="ar-SA"/>
                    </w:rPr>
                  </w:pPr>
                  <w:r>
                    <w:rPr>
                      <w:rFonts w:hint="eastAsia" w:cs="Times New Roman"/>
                      <w:b w:val="0"/>
                      <w:bCs w:val="0"/>
                      <w:color w:val="auto"/>
                      <w:sz w:val="21"/>
                      <w:szCs w:val="21"/>
                      <w:vertAlign w:val="baseline"/>
                      <w:lang w:val="en-US" w:eastAsia="zh-CN"/>
                    </w:rPr>
                    <w:t>员工办公生活</w:t>
                  </w:r>
                </w:p>
              </w:tc>
              <w:tc>
                <w:tcPr>
                  <w:tcW w:w="1529" w:type="dxa"/>
                  <w:vAlign w:val="center"/>
                </w:tcPr>
                <w:p w14:paraId="30CA470A">
                  <w:pPr>
                    <w:numPr>
                      <w:ilvl w:val="0"/>
                      <w:numId w:val="0"/>
                    </w:numPr>
                    <w:spacing w:line="240" w:lineRule="auto"/>
                    <w:ind w:left="0" w:leftChars="0" w:firstLine="0" w:firstLineChars="0"/>
                    <w:jc w:val="center"/>
                    <w:rPr>
                      <w:rFonts w:hint="eastAsia" w:ascii="Times New Roman" w:hAnsi="Times New Roman" w:eastAsia="宋体" w:cs="Times New Roman"/>
                      <w:b w:val="0"/>
                      <w:bCs w:val="0"/>
                      <w:color w:val="auto"/>
                      <w:kern w:val="2"/>
                      <w:sz w:val="21"/>
                      <w:szCs w:val="21"/>
                      <w:vertAlign w:val="baseline"/>
                      <w:lang w:val="en-US" w:eastAsia="zh-CN" w:bidi="ar-SA"/>
                    </w:rPr>
                  </w:pPr>
                  <w:r>
                    <w:rPr>
                      <w:rFonts w:hint="eastAsia" w:cs="Times New Roman"/>
                      <w:b w:val="0"/>
                      <w:bCs w:val="0"/>
                      <w:color w:val="auto"/>
                      <w:sz w:val="21"/>
                      <w:szCs w:val="21"/>
                      <w:vertAlign w:val="baseline"/>
                      <w:lang w:val="en-US" w:eastAsia="zh-CN"/>
                    </w:rPr>
                    <w:t>生活污水W</w:t>
                  </w:r>
                </w:p>
              </w:tc>
              <w:tc>
                <w:tcPr>
                  <w:tcW w:w="1305" w:type="dxa"/>
                  <w:vAlign w:val="center"/>
                </w:tcPr>
                <w:p w14:paraId="6889E536">
                  <w:pPr>
                    <w:numPr>
                      <w:ilvl w:val="0"/>
                      <w:numId w:val="0"/>
                    </w:numPr>
                    <w:spacing w:line="240" w:lineRule="auto"/>
                    <w:jc w:val="both"/>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CODcr、氨氮、SS、石油类、pH</w:t>
                  </w:r>
                </w:p>
              </w:tc>
            </w:tr>
            <w:tr w14:paraId="00AEE7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60" w:type="dxa"/>
                  <w:vMerge w:val="continue"/>
                  <w:vAlign w:val="center"/>
                </w:tcPr>
                <w:p w14:paraId="4B5C6F10">
                  <w:pPr>
                    <w:adjustRightInd w:val="0"/>
                    <w:snapToGrid w:val="0"/>
                    <w:spacing w:line="240" w:lineRule="auto"/>
                    <w:jc w:val="center"/>
                    <w:rPr>
                      <w:rFonts w:hint="eastAsia" w:cs="Times New Roman"/>
                      <w:b w:val="0"/>
                      <w:bCs w:val="0"/>
                      <w:color w:val="auto"/>
                      <w:sz w:val="21"/>
                      <w:szCs w:val="21"/>
                      <w:vertAlign w:val="baseline"/>
                      <w:lang w:val="en-US" w:eastAsia="zh-CN"/>
                    </w:rPr>
                  </w:pPr>
                </w:p>
              </w:tc>
              <w:tc>
                <w:tcPr>
                  <w:tcW w:w="1484" w:type="dxa"/>
                  <w:gridSpan w:val="2"/>
                  <w:vAlign w:val="center"/>
                </w:tcPr>
                <w:p w14:paraId="4CF5F26E">
                  <w:pPr>
                    <w:adjustRightInd w:val="0"/>
                    <w:snapToGrid w:val="0"/>
                    <w:spacing w:line="240" w:lineRule="auto"/>
                    <w:jc w:val="center"/>
                    <w:rPr>
                      <w:rFonts w:hint="eastAsia" w:cs="Times New Roman"/>
                      <w:b w:val="0"/>
                      <w:bCs w:val="0"/>
                      <w:color w:val="auto"/>
                      <w:sz w:val="21"/>
                      <w:szCs w:val="21"/>
                      <w:vertAlign w:val="baseline"/>
                      <w:lang w:val="en-US" w:eastAsia="zh-CN"/>
                    </w:rPr>
                  </w:pPr>
                  <w:r>
                    <w:rPr>
                      <w:rFonts w:hint="default" w:ascii="Times New Roman" w:hAnsi="Times New Roman" w:eastAsia="宋体" w:cs="Times New Roman"/>
                      <w:color w:val="auto"/>
                      <w:sz w:val="21"/>
                      <w:szCs w:val="21"/>
                      <w:lang w:eastAsia="en-US"/>
                    </w:rPr>
                    <w:t>固废</w:t>
                  </w:r>
                </w:p>
              </w:tc>
              <w:tc>
                <w:tcPr>
                  <w:tcW w:w="1182" w:type="dxa"/>
                  <w:vAlign w:val="center"/>
                </w:tcPr>
                <w:p w14:paraId="6814B356">
                  <w:pPr>
                    <w:numPr>
                      <w:ilvl w:val="0"/>
                      <w:numId w:val="0"/>
                    </w:numPr>
                    <w:spacing w:line="240" w:lineRule="auto"/>
                    <w:ind w:left="0" w:leftChars="0" w:firstLine="0" w:firstLineChars="0"/>
                    <w:jc w:val="center"/>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办公室</w:t>
                  </w:r>
                </w:p>
              </w:tc>
              <w:tc>
                <w:tcPr>
                  <w:tcW w:w="1968" w:type="dxa"/>
                  <w:vAlign w:val="center"/>
                </w:tcPr>
                <w:p w14:paraId="2DF20B48">
                  <w:pPr>
                    <w:numPr>
                      <w:ilvl w:val="0"/>
                      <w:numId w:val="0"/>
                    </w:numPr>
                    <w:spacing w:line="240" w:lineRule="auto"/>
                    <w:ind w:left="0" w:leftChars="0" w:firstLine="0" w:firstLineChars="0"/>
                    <w:jc w:val="center"/>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员工办公生活</w:t>
                  </w:r>
                </w:p>
              </w:tc>
              <w:tc>
                <w:tcPr>
                  <w:tcW w:w="1529" w:type="dxa"/>
                  <w:vAlign w:val="center"/>
                </w:tcPr>
                <w:p w14:paraId="1BC58911">
                  <w:pPr>
                    <w:numPr>
                      <w:ilvl w:val="0"/>
                      <w:numId w:val="0"/>
                    </w:numPr>
                    <w:spacing w:line="240" w:lineRule="auto"/>
                    <w:ind w:left="0" w:leftChars="0" w:firstLine="0" w:firstLineChars="0"/>
                    <w:jc w:val="center"/>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生活垃圾</w:t>
                  </w:r>
                </w:p>
              </w:tc>
              <w:tc>
                <w:tcPr>
                  <w:tcW w:w="1305" w:type="dxa"/>
                  <w:vAlign w:val="center"/>
                </w:tcPr>
                <w:p w14:paraId="0A8C704F">
                  <w:pPr>
                    <w:numPr>
                      <w:ilvl w:val="0"/>
                      <w:numId w:val="0"/>
                    </w:numPr>
                    <w:spacing w:line="240" w:lineRule="auto"/>
                    <w:jc w:val="center"/>
                    <w:rPr>
                      <w:rFonts w:hint="default"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w:t>
                  </w:r>
                </w:p>
              </w:tc>
            </w:tr>
          </w:tbl>
          <w:p w14:paraId="058FF6E6">
            <w:pPr>
              <w:numPr>
                <w:ilvl w:val="0"/>
                <w:numId w:val="0"/>
              </w:numPr>
              <w:spacing w:line="360" w:lineRule="auto"/>
              <w:jc w:val="both"/>
              <w:rPr>
                <w:rFonts w:hint="default" w:ascii="Times New Roman" w:hAnsi="Times New Roman" w:eastAsia="宋体" w:cs="Times New Roman"/>
                <w:color w:val="auto"/>
                <w:sz w:val="24"/>
                <w:szCs w:val="24"/>
                <w:lang w:val="en-US" w:eastAsia="zh-CN"/>
              </w:rPr>
            </w:pPr>
          </w:p>
        </w:tc>
      </w:tr>
      <w:tr w14:paraId="5AF8D5F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3" w:hRule="atLeast"/>
          <w:jc w:val="center"/>
        </w:trPr>
        <w:tc>
          <w:tcPr>
            <w:tcW w:w="1210" w:type="dxa"/>
            <w:noWrap w:val="0"/>
            <w:vAlign w:val="center"/>
          </w:tcPr>
          <w:p w14:paraId="34FF2599">
            <w:pPr>
              <w:spacing w:line="360" w:lineRule="auto"/>
              <w:jc w:val="both"/>
              <w:rPr>
                <w:rFonts w:hint="default" w:ascii="Times New Roman" w:hAnsi="Times New Roman" w:eastAsia="宋体" w:cs="Times New Roman"/>
                <w:sz w:val="24"/>
                <w:szCs w:val="24"/>
                <w:lang w:val="en-US" w:eastAsia="zh-CN"/>
              </w:rPr>
            </w:pPr>
          </w:p>
          <w:p w14:paraId="764615C4">
            <w:pPr>
              <w:spacing w:line="360" w:lineRule="auto"/>
              <w:jc w:val="both"/>
              <w:rPr>
                <w:rFonts w:hint="default" w:ascii="Times New Roman" w:hAnsi="Times New Roman" w:eastAsia="宋体" w:cs="Times New Roman"/>
                <w:sz w:val="24"/>
                <w:szCs w:val="24"/>
                <w:lang w:val="en-US" w:eastAsia="zh-CN"/>
              </w:rPr>
            </w:pPr>
          </w:p>
          <w:p w14:paraId="71E64259">
            <w:pPr>
              <w:spacing w:line="360" w:lineRule="auto"/>
              <w:jc w:val="both"/>
              <w:rPr>
                <w:rFonts w:hint="default" w:ascii="Times New Roman" w:hAnsi="Times New Roman" w:eastAsia="宋体" w:cs="Times New Roman"/>
                <w:sz w:val="24"/>
                <w:szCs w:val="24"/>
                <w:lang w:val="en-US" w:eastAsia="zh-CN"/>
              </w:rPr>
            </w:pPr>
          </w:p>
          <w:p w14:paraId="4A952BC4">
            <w:pPr>
              <w:spacing w:line="360" w:lineRule="auto"/>
              <w:jc w:val="both"/>
              <w:rPr>
                <w:rFonts w:hint="default" w:ascii="Times New Roman" w:hAnsi="Times New Roman" w:eastAsia="宋体" w:cs="Times New Roman"/>
                <w:sz w:val="24"/>
                <w:szCs w:val="24"/>
                <w:lang w:val="en-US" w:eastAsia="zh-CN"/>
              </w:rPr>
            </w:pPr>
          </w:p>
          <w:p w14:paraId="069E3CF8">
            <w:pPr>
              <w:spacing w:line="360" w:lineRule="auto"/>
              <w:jc w:val="center"/>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与项目有关的原有环境污染问题</w:t>
            </w:r>
          </w:p>
          <w:p w14:paraId="67D92936">
            <w:pPr>
              <w:pStyle w:val="2"/>
              <w:jc w:val="both"/>
              <w:rPr>
                <w:rFonts w:hint="default" w:ascii="Times New Roman" w:hAnsi="Times New Roman" w:eastAsia="宋体" w:cs="Times New Roman"/>
                <w:sz w:val="24"/>
                <w:szCs w:val="24"/>
                <w:lang w:val="en-US" w:eastAsia="zh-CN"/>
              </w:rPr>
            </w:pPr>
          </w:p>
          <w:p w14:paraId="188B5E22">
            <w:pPr>
              <w:jc w:val="both"/>
              <w:rPr>
                <w:rFonts w:hint="default" w:ascii="Times New Roman" w:hAnsi="Times New Roman" w:eastAsia="宋体" w:cs="Times New Roman"/>
                <w:sz w:val="24"/>
                <w:szCs w:val="24"/>
                <w:lang w:val="en-US" w:eastAsia="zh-CN"/>
              </w:rPr>
            </w:pPr>
          </w:p>
          <w:p w14:paraId="223CC203">
            <w:pPr>
              <w:pStyle w:val="2"/>
              <w:jc w:val="both"/>
              <w:rPr>
                <w:rFonts w:hint="eastAsia" w:ascii="Times New Roman" w:hAnsi="Times New Roman" w:eastAsia="宋体" w:cs="Times New Roman"/>
                <w:sz w:val="24"/>
                <w:szCs w:val="24"/>
                <w:lang w:val="en-US" w:eastAsia="zh-CN"/>
              </w:rPr>
            </w:pPr>
          </w:p>
          <w:p w14:paraId="73D41EC1">
            <w:pPr>
              <w:pStyle w:val="2"/>
              <w:jc w:val="both"/>
              <w:rPr>
                <w:rFonts w:hint="default" w:ascii="Times New Roman" w:hAnsi="Times New Roman" w:eastAsia="宋体" w:cs="Times New Roman"/>
                <w:sz w:val="24"/>
                <w:szCs w:val="24"/>
                <w:lang w:val="en-US" w:eastAsia="zh-CN"/>
              </w:rPr>
            </w:pPr>
          </w:p>
          <w:p w14:paraId="5243C7E2">
            <w:pPr>
              <w:jc w:val="both"/>
              <w:rPr>
                <w:rFonts w:hint="default" w:ascii="Times New Roman" w:hAnsi="Times New Roman" w:eastAsia="宋体" w:cs="Times New Roman"/>
                <w:sz w:val="24"/>
                <w:szCs w:val="24"/>
                <w:lang w:val="en-US" w:eastAsia="zh-CN"/>
              </w:rPr>
            </w:pPr>
          </w:p>
        </w:tc>
        <w:tc>
          <w:tcPr>
            <w:tcW w:w="8644" w:type="dxa"/>
            <w:noWrap w:val="0"/>
            <w:vAlign w:val="top"/>
          </w:tcPr>
          <w:p w14:paraId="3FC2D2F0">
            <w:pPr>
              <w:numPr>
                <w:ilvl w:val="0"/>
                <w:numId w:val="0"/>
              </w:numPr>
              <w:spacing w:line="360" w:lineRule="auto"/>
              <w:ind w:firstLine="480" w:firstLineChars="200"/>
              <w:jc w:val="both"/>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本项目为新建项目，租赁遂宁柔刚投资集团有限公司所属已建标准厂房，对该厂房进行改造后用于本废矿物油收集暂存项目建设。</w:t>
            </w:r>
          </w:p>
          <w:p w14:paraId="4D0A4B81">
            <w:pPr>
              <w:numPr>
                <w:ilvl w:val="0"/>
                <w:numId w:val="0"/>
              </w:numPr>
              <w:spacing w:line="360" w:lineRule="auto"/>
              <w:ind w:firstLine="480" w:firstLineChars="200"/>
              <w:jc w:val="both"/>
              <w:rPr>
                <w:rFonts w:hint="eastAsia"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根据调查，该厂房</w:t>
            </w:r>
            <w:r>
              <w:rPr>
                <w:rFonts w:hint="eastAsia" w:cs="Times New Roman"/>
                <w:color w:val="auto"/>
                <w:sz w:val="24"/>
                <w:szCs w:val="24"/>
                <w:lang w:val="en-US" w:eastAsia="zh-CN"/>
              </w:rPr>
              <w:t>为四川杰瑞光电科技有限公司于2006年8月建设，用于生产霓虹灯、彩虹管、造型灯、节日灯等灯具；由于经营不善，四川杰瑞光电科技有限公司于2013年12月破产，停止生产并拆除设备；公司</w:t>
            </w:r>
            <w:r>
              <w:rPr>
                <w:rFonts w:hint="default" w:ascii="Times New Roman" w:hAnsi="Times New Roman" w:eastAsia="宋体" w:cs="Times New Roman"/>
                <w:color w:val="auto"/>
                <w:sz w:val="24"/>
                <w:szCs w:val="24"/>
                <w:lang w:val="en-US" w:eastAsia="zh-CN"/>
              </w:rPr>
              <w:t>厂房</w:t>
            </w:r>
            <w:r>
              <w:rPr>
                <w:rFonts w:hint="eastAsia" w:cs="Times New Roman"/>
                <w:color w:val="auto"/>
                <w:sz w:val="24"/>
                <w:szCs w:val="24"/>
                <w:lang w:val="en-US" w:eastAsia="zh-CN"/>
              </w:rPr>
              <w:t>由借贷银行收回后于2014年7月交由</w:t>
            </w:r>
            <w:r>
              <w:rPr>
                <w:rFonts w:hint="default" w:ascii="Times New Roman" w:hAnsi="Times New Roman" w:eastAsia="宋体" w:cs="Times New Roman"/>
                <w:color w:val="auto"/>
                <w:sz w:val="24"/>
                <w:szCs w:val="24"/>
                <w:lang w:val="en-US" w:eastAsia="zh-CN"/>
              </w:rPr>
              <w:t>遂宁柔刚投资集团有限公司</w:t>
            </w:r>
            <w:r>
              <w:rPr>
                <w:rFonts w:hint="eastAsia" w:cs="Times New Roman"/>
                <w:color w:val="auto"/>
                <w:sz w:val="24"/>
                <w:szCs w:val="24"/>
                <w:lang w:val="en-US" w:eastAsia="zh-CN"/>
              </w:rPr>
              <w:t>管理，更名为“安居区创新创业孵化园”。</w:t>
            </w:r>
          </w:p>
          <w:p w14:paraId="7BB12B08">
            <w:pPr>
              <w:numPr>
                <w:ilvl w:val="0"/>
                <w:numId w:val="0"/>
              </w:numPr>
              <w:spacing w:line="360" w:lineRule="auto"/>
              <w:ind w:firstLine="480" w:firstLineChars="200"/>
              <w:jc w:val="both"/>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根据</w:t>
            </w:r>
            <w:r>
              <w:rPr>
                <w:rFonts w:hint="eastAsia" w:cs="Times New Roman"/>
                <w:color w:val="auto"/>
                <w:sz w:val="24"/>
                <w:szCs w:val="24"/>
                <w:lang w:val="en-US" w:eastAsia="zh-CN"/>
              </w:rPr>
              <w:t>现场踏勘</w:t>
            </w:r>
            <w:r>
              <w:rPr>
                <w:rFonts w:hint="default" w:ascii="Times New Roman" w:hAnsi="Times New Roman" w:eastAsia="宋体" w:cs="Times New Roman"/>
                <w:color w:val="auto"/>
                <w:sz w:val="24"/>
                <w:szCs w:val="24"/>
                <w:lang w:val="en-US" w:eastAsia="zh-CN"/>
              </w:rPr>
              <w:t>，目前该厂房</w:t>
            </w:r>
            <w:r>
              <w:rPr>
                <w:rFonts w:hint="eastAsia" w:cs="Times New Roman"/>
                <w:color w:val="auto"/>
                <w:sz w:val="24"/>
                <w:szCs w:val="24"/>
                <w:lang w:val="en-US" w:eastAsia="zh-CN"/>
              </w:rPr>
              <w:t>处于闲置状态</w:t>
            </w:r>
            <w:r>
              <w:rPr>
                <w:rFonts w:hint="default" w:ascii="Times New Roman" w:hAnsi="Times New Roman" w:eastAsia="宋体" w:cs="Times New Roman"/>
                <w:color w:val="auto"/>
                <w:sz w:val="24"/>
                <w:szCs w:val="24"/>
                <w:lang w:val="en-US" w:eastAsia="zh-CN"/>
              </w:rPr>
              <w:t>（现状见下图），不存在与本项目有关的原有污染及环境问题。</w:t>
            </w:r>
          </w:p>
          <w:p w14:paraId="27508F80">
            <w:pPr>
              <w:numPr>
                <w:ilvl w:val="0"/>
                <w:numId w:val="0"/>
              </w:numPr>
              <w:spacing w:line="360" w:lineRule="auto"/>
              <w:ind w:firstLine="480" w:firstLineChars="200"/>
              <w:jc w:val="both"/>
              <w:rPr>
                <w:rFonts w:hint="default" w:ascii="Times New Roman" w:hAnsi="Times New Roman" w:eastAsia="宋体" w:cs="Times New Roman"/>
                <w:color w:val="auto"/>
                <w:sz w:val="24"/>
                <w:szCs w:val="24"/>
                <w:lang w:val="en-US" w:eastAsia="zh-CN"/>
              </w:rPr>
            </w:pPr>
          </w:p>
          <w:p w14:paraId="65BDBAB5">
            <w:pPr>
              <w:numPr>
                <w:ilvl w:val="0"/>
                <w:numId w:val="0"/>
              </w:numPr>
              <w:spacing w:line="360" w:lineRule="auto"/>
              <w:ind w:firstLine="480" w:firstLineChars="200"/>
              <w:jc w:val="both"/>
              <w:rPr>
                <w:rFonts w:hint="default" w:ascii="Times New Roman" w:hAnsi="Times New Roman" w:eastAsia="宋体" w:cs="Times New Roman"/>
                <w:color w:val="auto"/>
                <w:sz w:val="24"/>
                <w:szCs w:val="24"/>
                <w:lang w:val="en-US" w:eastAsia="zh-CN"/>
              </w:rPr>
            </w:pPr>
          </w:p>
          <w:p w14:paraId="6B6A0BF4">
            <w:pPr>
              <w:numPr>
                <w:ilvl w:val="0"/>
                <w:numId w:val="0"/>
              </w:numPr>
              <w:spacing w:line="360" w:lineRule="auto"/>
              <w:jc w:val="both"/>
              <w:rPr>
                <w:rFonts w:hint="default" w:ascii="Times New Roman" w:hAnsi="Times New Roman" w:eastAsia="宋体" w:cs="Times New Roman"/>
                <w:color w:val="auto"/>
                <w:sz w:val="24"/>
                <w:szCs w:val="24"/>
                <w:lang w:val="en-US" w:eastAsia="zh-CN"/>
              </w:rPr>
            </w:pPr>
          </w:p>
          <w:tbl>
            <w:tblPr>
              <w:tblStyle w:val="28"/>
              <w:tblW w:w="8428" w:type="dxa"/>
              <w:tblInd w:w="5"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214"/>
              <w:gridCol w:w="4214"/>
            </w:tblGrid>
            <w:tr w14:paraId="4765466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6" w:hRule="atLeast"/>
              </w:trPr>
              <w:tc>
                <w:tcPr>
                  <w:tcW w:w="4214" w:type="dxa"/>
                  <w:tcBorders>
                    <w:tl2br w:val="nil"/>
                    <w:tr2bl w:val="nil"/>
                  </w:tcBorders>
                </w:tcPr>
                <w:p w14:paraId="75CD8F67">
                  <w:pPr>
                    <w:numPr>
                      <w:ilvl w:val="0"/>
                      <w:numId w:val="0"/>
                    </w:numPr>
                    <w:spacing w:line="240" w:lineRule="auto"/>
                    <w:jc w:val="center"/>
                    <w:rPr>
                      <w:rFonts w:hint="eastAsia" w:eastAsia="宋体"/>
                      <w:vertAlign w:val="baseline"/>
                      <w:lang w:eastAsia="zh-CN"/>
                    </w:rPr>
                  </w:pPr>
                  <w:r>
                    <w:rPr>
                      <w:rFonts w:hint="eastAsia" w:eastAsia="宋体"/>
                      <w:vertAlign w:val="baseline"/>
                      <w:lang w:eastAsia="zh-CN"/>
                    </w:rPr>
                    <w:drawing>
                      <wp:inline distT="0" distB="0" distL="114300" distR="114300">
                        <wp:extent cx="2534920" cy="1901825"/>
                        <wp:effectExtent l="0" t="0" r="17780" b="3175"/>
                        <wp:docPr id="11" name="图片 11" descr="2ec7920139f27bce2859ed2d20937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2ec7920139f27bce2859ed2d2093726"/>
                                <pic:cNvPicPr>
                                  <a:picLocks noChangeAspect="1"/>
                                </pic:cNvPicPr>
                              </pic:nvPicPr>
                              <pic:blipFill>
                                <a:blip r:embed="rId15"/>
                                <a:stretch>
                                  <a:fillRect/>
                                </a:stretch>
                              </pic:blipFill>
                              <pic:spPr>
                                <a:xfrm>
                                  <a:off x="0" y="0"/>
                                  <a:ext cx="2534920" cy="1901825"/>
                                </a:xfrm>
                                <a:prstGeom prst="rect">
                                  <a:avLst/>
                                </a:prstGeom>
                              </pic:spPr>
                            </pic:pic>
                          </a:graphicData>
                        </a:graphic>
                      </wp:inline>
                    </w:drawing>
                  </w:r>
                </w:p>
              </w:tc>
              <w:tc>
                <w:tcPr>
                  <w:tcW w:w="4214" w:type="dxa"/>
                  <w:tcBorders>
                    <w:tl2br w:val="nil"/>
                    <w:tr2bl w:val="nil"/>
                  </w:tcBorders>
                </w:tcPr>
                <w:p w14:paraId="5778BADA">
                  <w:pPr>
                    <w:numPr>
                      <w:ilvl w:val="0"/>
                      <w:numId w:val="0"/>
                    </w:numPr>
                    <w:spacing w:line="240" w:lineRule="auto"/>
                    <w:jc w:val="center"/>
                    <w:rPr>
                      <w:rFonts w:hint="eastAsia" w:eastAsia="宋体"/>
                      <w:vertAlign w:val="baseline"/>
                      <w:lang w:eastAsia="zh-CN"/>
                    </w:rPr>
                  </w:pPr>
                  <w:r>
                    <w:rPr>
                      <w:rFonts w:hint="eastAsia" w:eastAsia="宋体"/>
                      <w:vertAlign w:val="baseline"/>
                      <w:lang w:eastAsia="zh-CN"/>
                    </w:rPr>
                    <w:drawing>
                      <wp:inline distT="0" distB="0" distL="114300" distR="114300">
                        <wp:extent cx="2534920" cy="1901825"/>
                        <wp:effectExtent l="0" t="0" r="17780" b="3175"/>
                        <wp:docPr id="30" name="图片 30" descr="f0b38697838d2b7f58f8eaef9d8627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descr="f0b38697838d2b7f58f8eaef9d8627e"/>
                                <pic:cNvPicPr>
                                  <a:picLocks noChangeAspect="1"/>
                                </pic:cNvPicPr>
                              </pic:nvPicPr>
                              <pic:blipFill>
                                <a:blip r:embed="rId16"/>
                                <a:stretch>
                                  <a:fillRect/>
                                </a:stretch>
                              </pic:blipFill>
                              <pic:spPr>
                                <a:xfrm>
                                  <a:off x="0" y="0"/>
                                  <a:ext cx="2534920" cy="1901825"/>
                                </a:xfrm>
                                <a:prstGeom prst="rect">
                                  <a:avLst/>
                                </a:prstGeom>
                              </pic:spPr>
                            </pic:pic>
                          </a:graphicData>
                        </a:graphic>
                      </wp:inline>
                    </w:drawing>
                  </w:r>
                </w:p>
              </w:tc>
            </w:tr>
            <w:tr w14:paraId="2CB25C5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6" w:hRule="atLeast"/>
              </w:trPr>
              <w:tc>
                <w:tcPr>
                  <w:tcW w:w="8428" w:type="dxa"/>
                  <w:gridSpan w:val="2"/>
                  <w:tcBorders>
                    <w:tl2br w:val="nil"/>
                    <w:tr2bl w:val="nil"/>
                  </w:tcBorders>
                </w:tcPr>
                <w:p w14:paraId="7ABCBDD7">
                  <w:pPr>
                    <w:numPr>
                      <w:ilvl w:val="0"/>
                      <w:numId w:val="0"/>
                    </w:numPr>
                    <w:spacing w:line="240" w:lineRule="auto"/>
                    <w:jc w:val="center"/>
                    <w:rPr>
                      <w:rFonts w:hint="eastAsia" w:eastAsia="宋体"/>
                      <w:b/>
                      <w:bCs/>
                      <w:vertAlign w:val="baseline"/>
                      <w:lang w:eastAsia="zh-CN"/>
                    </w:rPr>
                  </w:pPr>
                  <w:r>
                    <w:rPr>
                      <w:rFonts w:hint="eastAsia" w:eastAsia="宋体"/>
                      <w:b/>
                      <w:bCs/>
                      <w:vertAlign w:val="baseline"/>
                      <w:lang w:eastAsia="zh-CN"/>
                    </w:rPr>
                    <w:t>租赁厂房现状</w:t>
                  </w:r>
                </w:p>
              </w:tc>
            </w:tr>
            <w:tr w14:paraId="344079B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6" w:hRule="atLeast"/>
              </w:trPr>
              <w:tc>
                <w:tcPr>
                  <w:tcW w:w="4214" w:type="dxa"/>
                  <w:tcBorders>
                    <w:tl2br w:val="nil"/>
                    <w:tr2bl w:val="nil"/>
                  </w:tcBorders>
                </w:tcPr>
                <w:p w14:paraId="1044211A">
                  <w:pPr>
                    <w:numPr>
                      <w:ilvl w:val="0"/>
                      <w:numId w:val="0"/>
                    </w:numPr>
                    <w:spacing w:line="240" w:lineRule="auto"/>
                    <w:jc w:val="center"/>
                    <w:rPr>
                      <w:rFonts w:hint="eastAsia" w:eastAsia="宋体"/>
                      <w:b/>
                      <w:bCs/>
                      <w:vertAlign w:val="baseline"/>
                      <w:lang w:eastAsia="zh-CN"/>
                    </w:rPr>
                  </w:pPr>
                  <w:r>
                    <w:rPr>
                      <w:rFonts w:hint="eastAsia" w:eastAsia="宋体"/>
                      <w:b/>
                      <w:bCs/>
                      <w:vertAlign w:val="baseline"/>
                      <w:lang w:eastAsia="zh-CN"/>
                    </w:rPr>
                    <w:drawing>
                      <wp:inline distT="0" distB="0" distL="114300" distR="114300">
                        <wp:extent cx="2534920" cy="1901825"/>
                        <wp:effectExtent l="0" t="0" r="17780" b="3175"/>
                        <wp:docPr id="36" name="图片 36" descr="e6c9abfe45656ac30bb6ccbf058742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6" descr="e6c9abfe45656ac30bb6ccbf058742a"/>
                                <pic:cNvPicPr>
                                  <a:picLocks noChangeAspect="1"/>
                                </pic:cNvPicPr>
                              </pic:nvPicPr>
                              <pic:blipFill>
                                <a:blip r:embed="rId17"/>
                                <a:stretch>
                                  <a:fillRect/>
                                </a:stretch>
                              </pic:blipFill>
                              <pic:spPr>
                                <a:xfrm>
                                  <a:off x="0" y="0"/>
                                  <a:ext cx="2534920" cy="1901825"/>
                                </a:xfrm>
                                <a:prstGeom prst="rect">
                                  <a:avLst/>
                                </a:prstGeom>
                              </pic:spPr>
                            </pic:pic>
                          </a:graphicData>
                        </a:graphic>
                      </wp:inline>
                    </w:drawing>
                  </w:r>
                </w:p>
              </w:tc>
              <w:tc>
                <w:tcPr>
                  <w:tcW w:w="4214" w:type="dxa"/>
                  <w:tcBorders>
                    <w:tl2br w:val="nil"/>
                    <w:tr2bl w:val="nil"/>
                  </w:tcBorders>
                </w:tcPr>
                <w:p w14:paraId="49BFCA44">
                  <w:pPr>
                    <w:numPr>
                      <w:ilvl w:val="0"/>
                      <w:numId w:val="0"/>
                    </w:numPr>
                    <w:spacing w:line="240" w:lineRule="auto"/>
                    <w:jc w:val="center"/>
                    <w:rPr>
                      <w:rFonts w:hint="eastAsia" w:eastAsia="宋体"/>
                      <w:b/>
                      <w:bCs/>
                      <w:vertAlign w:val="baseline"/>
                      <w:lang w:eastAsia="zh-CN"/>
                    </w:rPr>
                  </w:pPr>
                  <w:r>
                    <w:rPr>
                      <w:rFonts w:hint="eastAsia" w:eastAsia="宋体"/>
                      <w:b/>
                      <w:bCs/>
                      <w:vertAlign w:val="baseline"/>
                      <w:lang w:eastAsia="zh-CN"/>
                    </w:rPr>
                    <w:drawing>
                      <wp:inline distT="0" distB="0" distL="114300" distR="114300">
                        <wp:extent cx="2534920" cy="1901825"/>
                        <wp:effectExtent l="0" t="0" r="17780" b="3175"/>
                        <wp:docPr id="37" name="图片 37" descr="984601a719c28f7a90b721cfffa269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7" descr="984601a719c28f7a90b721cfffa269a"/>
                                <pic:cNvPicPr>
                                  <a:picLocks noChangeAspect="1"/>
                                </pic:cNvPicPr>
                              </pic:nvPicPr>
                              <pic:blipFill>
                                <a:blip r:embed="rId18"/>
                                <a:stretch>
                                  <a:fillRect/>
                                </a:stretch>
                              </pic:blipFill>
                              <pic:spPr>
                                <a:xfrm>
                                  <a:off x="0" y="0"/>
                                  <a:ext cx="2534920" cy="1901825"/>
                                </a:xfrm>
                                <a:prstGeom prst="rect">
                                  <a:avLst/>
                                </a:prstGeom>
                              </pic:spPr>
                            </pic:pic>
                          </a:graphicData>
                        </a:graphic>
                      </wp:inline>
                    </w:drawing>
                  </w:r>
                </w:p>
              </w:tc>
            </w:tr>
            <w:tr w14:paraId="48E4569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6" w:hRule="atLeast"/>
              </w:trPr>
              <w:tc>
                <w:tcPr>
                  <w:tcW w:w="4214" w:type="dxa"/>
                  <w:tcBorders>
                    <w:tl2br w:val="nil"/>
                    <w:tr2bl w:val="nil"/>
                  </w:tcBorders>
                </w:tcPr>
                <w:p w14:paraId="2AFCBA44">
                  <w:pPr>
                    <w:numPr>
                      <w:ilvl w:val="0"/>
                      <w:numId w:val="0"/>
                    </w:numPr>
                    <w:spacing w:line="240" w:lineRule="auto"/>
                    <w:jc w:val="center"/>
                    <w:rPr>
                      <w:rFonts w:hint="eastAsia" w:eastAsia="宋体"/>
                      <w:b/>
                      <w:bCs/>
                      <w:vertAlign w:val="baseline"/>
                      <w:lang w:eastAsia="zh-CN"/>
                    </w:rPr>
                  </w:pPr>
                  <w:r>
                    <w:rPr>
                      <w:rFonts w:hint="eastAsia" w:eastAsia="宋体"/>
                      <w:b/>
                      <w:bCs/>
                      <w:vertAlign w:val="baseline"/>
                      <w:lang w:eastAsia="zh-CN"/>
                    </w:rPr>
                    <w:t>厂房西侧</w:t>
                  </w:r>
                </w:p>
              </w:tc>
              <w:tc>
                <w:tcPr>
                  <w:tcW w:w="4214" w:type="dxa"/>
                  <w:tcBorders>
                    <w:tl2br w:val="nil"/>
                    <w:tr2bl w:val="nil"/>
                  </w:tcBorders>
                </w:tcPr>
                <w:p w14:paraId="1DE2B6A5">
                  <w:pPr>
                    <w:numPr>
                      <w:ilvl w:val="0"/>
                      <w:numId w:val="0"/>
                    </w:numPr>
                    <w:spacing w:line="240" w:lineRule="auto"/>
                    <w:jc w:val="center"/>
                    <w:rPr>
                      <w:rFonts w:hint="eastAsia" w:eastAsia="宋体"/>
                      <w:b/>
                      <w:bCs/>
                      <w:vertAlign w:val="baseline"/>
                      <w:lang w:eastAsia="zh-CN"/>
                    </w:rPr>
                  </w:pPr>
                  <w:r>
                    <w:rPr>
                      <w:rFonts w:hint="eastAsia" w:eastAsia="宋体"/>
                      <w:b/>
                      <w:bCs/>
                      <w:vertAlign w:val="baseline"/>
                      <w:lang w:eastAsia="zh-CN"/>
                    </w:rPr>
                    <w:t>厂房北面</w:t>
                  </w:r>
                </w:p>
              </w:tc>
            </w:tr>
            <w:tr w14:paraId="291B6AA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6" w:hRule="atLeast"/>
              </w:trPr>
              <w:tc>
                <w:tcPr>
                  <w:tcW w:w="4214" w:type="dxa"/>
                  <w:tcBorders>
                    <w:tl2br w:val="nil"/>
                    <w:tr2bl w:val="nil"/>
                  </w:tcBorders>
                </w:tcPr>
                <w:p w14:paraId="32085471">
                  <w:pPr>
                    <w:numPr>
                      <w:ilvl w:val="0"/>
                      <w:numId w:val="0"/>
                    </w:numPr>
                    <w:spacing w:line="240" w:lineRule="auto"/>
                    <w:jc w:val="center"/>
                    <w:rPr>
                      <w:rFonts w:hint="eastAsia" w:eastAsia="宋体"/>
                      <w:b/>
                      <w:bCs/>
                      <w:vertAlign w:val="baseline"/>
                      <w:lang w:eastAsia="zh-CN"/>
                    </w:rPr>
                  </w:pPr>
                  <w:r>
                    <w:rPr>
                      <w:rFonts w:hint="eastAsia" w:eastAsia="宋体"/>
                      <w:b/>
                      <w:bCs/>
                      <w:vertAlign w:val="baseline"/>
                      <w:lang w:eastAsia="zh-CN"/>
                    </w:rPr>
                    <w:drawing>
                      <wp:inline distT="0" distB="0" distL="114300" distR="114300">
                        <wp:extent cx="2534920" cy="1901825"/>
                        <wp:effectExtent l="0" t="0" r="17780" b="3175"/>
                        <wp:docPr id="34" name="图片 34" descr="6c15dc584626270f43c7ed07cf39f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descr="6c15dc584626270f43c7ed07cf39f51"/>
                                <pic:cNvPicPr>
                                  <a:picLocks noChangeAspect="1"/>
                                </pic:cNvPicPr>
                              </pic:nvPicPr>
                              <pic:blipFill>
                                <a:blip r:embed="rId19"/>
                                <a:stretch>
                                  <a:fillRect/>
                                </a:stretch>
                              </pic:blipFill>
                              <pic:spPr>
                                <a:xfrm>
                                  <a:off x="0" y="0"/>
                                  <a:ext cx="2534920" cy="1901825"/>
                                </a:xfrm>
                                <a:prstGeom prst="rect">
                                  <a:avLst/>
                                </a:prstGeom>
                              </pic:spPr>
                            </pic:pic>
                          </a:graphicData>
                        </a:graphic>
                      </wp:inline>
                    </w:drawing>
                  </w:r>
                </w:p>
              </w:tc>
              <w:tc>
                <w:tcPr>
                  <w:tcW w:w="4214" w:type="dxa"/>
                  <w:tcBorders>
                    <w:tl2br w:val="nil"/>
                    <w:tr2bl w:val="nil"/>
                  </w:tcBorders>
                </w:tcPr>
                <w:p w14:paraId="3441E2CA">
                  <w:pPr>
                    <w:numPr>
                      <w:ilvl w:val="0"/>
                      <w:numId w:val="0"/>
                    </w:numPr>
                    <w:spacing w:line="240" w:lineRule="auto"/>
                    <w:jc w:val="center"/>
                    <w:rPr>
                      <w:rFonts w:hint="eastAsia" w:eastAsia="宋体"/>
                      <w:b/>
                      <w:bCs/>
                      <w:vertAlign w:val="baseline"/>
                      <w:lang w:eastAsia="zh-CN"/>
                    </w:rPr>
                  </w:pPr>
                  <w:r>
                    <w:rPr>
                      <w:rFonts w:hint="eastAsia" w:eastAsia="宋体"/>
                      <w:b/>
                      <w:bCs/>
                      <w:vertAlign w:val="baseline"/>
                      <w:lang w:eastAsia="zh-CN"/>
                    </w:rPr>
                    <w:drawing>
                      <wp:inline distT="0" distB="0" distL="114300" distR="114300">
                        <wp:extent cx="2534920" cy="1901825"/>
                        <wp:effectExtent l="0" t="0" r="17780" b="3175"/>
                        <wp:docPr id="35" name="图片 35" descr="7d55c109a142aac0f74af69e9c646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5" descr="7d55c109a142aac0f74af69e9c64670"/>
                                <pic:cNvPicPr>
                                  <a:picLocks noChangeAspect="1"/>
                                </pic:cNvPicPr>
                              </pic:nvPicPr>
                              <pic:blipFill>
                                <a:blip r:embed="rId20"/>
                                <a:stretch>
                                  <a:fillRect/>
                                </a:stretch>
                              </pic:blipFill>
                              <pic:spPr>
                                <a:xfrm>
                                  <a:off x="0" y="0"/>
                                  <a:ext cx="2534920" cy="1901825"/>
                                </a:xfrm>
                                <a:prstGeom prst="rect">
                                  <a:avLst/>
                                </a:prstGeom>
                              </pic:spPr>
                            </pic:pic>
                          </a:graphicData>
                        </a:graphic>
                      </wp:inline>
                    </w:drawing>
                  </w:r>
                </w:p>
              </w:tc>
            </w:tr>
            <w:tr w14:paraId="0DE4B45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6" w:hRule="atLeast"/>
              </w:trPr>
              <w:tc>
                <w:tcPr>
                  <w:tcW w:w="4214" w:type="dxa"/>
                  <w:tcBorders>
                    <w:tl2br w:val="nil"/>
                    <w:tr2bl w:val="nil"/>
                  </w:tcBorders>
                </w:tcPr>
                <w:p w14:paraId="268C6C33">
                  <w:pPr>
                    <w:numPr>
                      <w:ilvl w:val="0"/>
                      <w:numId w:val="0"/>
                    </w:numPr>
                    <w:spacing w:line="240" w:lineRule="auto"/>
                    <w:jc w:val="center"/>
                    <w:rPr>
                      <w:rFonts w:hint="eastAsia" w:eastAsia="宋体"/>
                      <w:b/>
                      <w:bCs/>
                      <w:vertAlign w:val="baseline"/>
                      <w:lang w:eastAsia="zh-CN"/>
                    </w:rPr>
                  </w:pPr>
                  <w:r>
                    <w:rPr>
                      <w:rFonts w:hint="eastAsia" w:eastAsia="宋体"/>
                      <w:b/>
                      <w:bCs/>
                      <w:vertAlign w:val="baseline"/>
                      <w:lang w:eastAsia="zh-CN"/>
                    </w:rPr>
                    <w:t>厂房</w:t>
                  </w:r>
                  <w:r>
                    <w:rPr>
                      <w:rFonts w:hint="eastAsia"/>
                      <w:b/>
                      <w:bCs/>
                      <w:vertAlign w:val="baseline"/>
                      <w:lang w:val="en-US" w:eastAsia="zh-CN"/>
                    </w:rPr>
                    <w:t>东</w:t>
                  </w:r>
                  <w:r>
                    <w:rPr>
                      <w:rFonts w:hint="eastAsia" w:eastAsia="宋体"/>
                      <w:b/>
                      <w:bCs/>
                      <w:vertAlign w:val="baseline"/>
                      <w:lang w:eastAsia="zh-CN"/>
                    </w:rPr>
                    <w:t>侧</w:t>
                  </w:r>
                </w:p>
              </w:tc>
              <w:tc>
                <w:tcPr>
                  <w:tcW w:w="4214" w:type="dxa"/>
                  <w:tcBorders>
                    <w:tl2br w:val="nil"/>
                    <w:tr2bl w:val="nil"/>
                  </w:tcBorders>
                </w:tcPr>
                <w:p w14:paraId="668349E7">
                  <w:pPr>
                    <w:numPr>
                      <w:ilvl w:val="0"/>
                      <w:numId w:val="0"/>
                    </w:numPr>
                    <w:spacing w:line="240" w:lineRule="auto"/>
                    <w:jc w:val="center"/>
                    <w:rPr>
                      <w:rFonts w:hint="eastAsia" w:eastAsia="宋体"/>
                      <w:b/>
                      <w:bCs/>
                      <w:vertAlign w:val="baseline"/>
                      <w:lang w:eastAsia="zh-CN"/>
                    </w:rPr>
                  </w:pPr>
                  <w:r>
                    <w:rPr>
                      <w:rFonts w:hint="eastAsia" w:eastAsia="宋体"/>
                      <w:b/>
                      <w:bCs/>
                      <w:vertAlign w:val="baseline"/>
                      <w:lang w:eastAsia="zh-CN"/>
                    </w:rPr>
                    <w:t>厂房</w:t>
                  </w:r>
                  <w:r>
                    <w:rPr>
                      <w:rFonts w:hint="eastAsia"/>
                      <w:b/>
                      <w:bCs/>
                      <w:vertAlign w:val="baseline"/>
                      <w:lang w:val="en-US" w:eastAsia="zh-CN"/>
                    </w:rPr>
                    <w:t>南</w:t>
                  </w:r>
                  <w:r>
                    <w:rPr>
                      <w:rFonts w:hint="eastAsia" w:eastAsia="宋体"/>
                      <w:b/>
                      <w:bCs/>
                      <w:vertAlign w:val="baseline"/>
                      <w:lang w:eastAsia="zh-CN"/>
                    </w:rPr>
                    <w:t>侧</w:t>
                  </w:r>
                </w:p>
              </w:tc>
            </w:tr>
          </w:tbl>
          <w:p w14:paraId="3328E882">
            <w:pPr>
              <w:numPr>
                <w:ilvl w:val="0"/>
                <w:numId w:val="0"/>
              </w:numPr>
              <w:spacing w:line="360" w:lineRule="auto"/>
              <w:jc w:val="center"/>
              <w:rPr>
                <w:rFonts w:hint="default" w:cs="Times New Roman"/>
                <w:b/>
                <w:bCs/>
                <w:color w:val="auto"/>
                <w:sz w:val="21"/>
                <w:szCs w:val="21"/>
                <w:lang w:val="en-US" w:eastAsia="zh-CN"/>
              </w:rPr>
            </w:pPr>
            <w:r>
              <w:rPr>
                <w:rFonts w:hint="eastAsia" w:cs="Times New Roman"/>
                <w:b/>
                <w:bCs/>
                <w:color w:val="auto"/>
                <w:sz w:val="21"/>
                <w:szCs w:val="21"/>
                <w:lang w:val="en-US" w:eastAsia="zh-CN"/>
              </w:rPr>
              <w:t>图2-4 租赁厂房现状图</w:t>
            </w:r>
          </w:p>
          <w:p w14:paraId="4791632A">
            <w:pPr>
              <w:numPr>
                <w:ilvl w:val="0"/>
                <w:numId w:val="0"/>
              </w:numPr>
              <w:spacing w:line="360" w:lineRule="auto"/>
              <w:jc w:val="both"/>
              <w:rPr>
                <w:rFonts w:hint="eastAsia" w:cs="Times New Roman"/>
                <w:color w:val="auto"/>
                <w:sz w:val="24"/>
                <w:szCs w:val="24"/>
                <w:lang w:val="en-US" w:eastAsia="zh-CN"/>
              </w:rPr>
            </w:pPr>
          </w:p>
          <w:p w14:paraId="3C4760B8">
            <w:pPr>
              <w:numPr>
                <w:ilvl w:val="0"/>
                <w:numId w:val="0"/>
              </w:numPr>
              <w:spacing w:line="360" w:lineRule="auto"/>
              <w:jc w:val="both"/>
              <w:rPr>
                <w:rFonts w:hint="eastAsia" w:cs="Times New Roman"/>
                <w:color w:val="auto"/>
                <w:sz w:val="24"/>
                <w:szCs w:val="24"/>
                <w:lang w:val="en-US" w:eastAsia="zh-CN"/>
              </w:rPr>
            </w:pPr>
          </w:p>
          <w:p w14:paraId="0FEF3827">
            <w:pPr>
              <w:numPr>
                <w:ilvl w:val="0"/>
                <w:numId w:val="0"/>
              </w:numPr>
              <w:spacing w:line="360" w:lineRule="auto"/>
              <w:jc w:val="both"/>
              <w:rPr>
                <w:rFonts w:hint="eastAsia" w:cs="Times New Roman"/>
                <w:color w:val="auto"/>
                <w:sz w:val="24"/>
                <w:szCs w:val="24"/>
                <w:lang w:val="en-US" w:eastAsia="zh-CN"/>
              </w:rPr>
            </w:pPr>
          </w:p>
          <w:p w14:paraId="49278A26">
            <w:pPr>
              <w:numPr>
                <w:ilvl w:val="0"/>
                <w:numId w:val="0"/>
              </w:numPr>
              <w:spacing w:line="360" w:lineRule="auto"/>
              <w:jc w:val="both"/>
              <w:rPr>
                <w:rFonts w:hint="eastAsia" w:cs="Times New Roman"/>
                <w:color w:val="auto"/>
                <w:sz w:val="24"/>
                <w:szCs w:val="24"/>
                <w:lang w:val="en-US" w:eastAsia="zh-CN"/>
              </w:rPr>
            </w:pPr>
          </w:p>
          <w:p w14:paraId="69B5E3B9">
            <w:pPr>
              <w:numPr>
                <w:ilvl w:val="0"/>
                <w:numId w:val="0"/>
              </w:numPr>
              <w:spacing w:line="360" w:lineRule="auto"/>
              <w:jc w:val="both"/>
              <w:rPr>
                <w:rFonts w:hint="default" w:cs="Times New Roman"/>
                <w:color w:val="auto"/>
                <w:sz w:val="24"/>
                <w:szCs w:val="24"/>
                <w:lang w:val="en-US" w:eastAsia="zh-CN"/>
              </w:rPr>
            </w:pPr>
          </w:p>
          <w:p w14:paraId="69D9665D">
            <w:pPr>
              <w:numPr>
                <w:ilvl w:val="0"/>
                <w:numId w:val="0"/>
              </w:numPr>
              <w:spacing w:line="360" w:lineRule="auto"/>
              <w:jc w:val="both"/>
              <w:rPr>
                <w:rFonts w:hint="default" w:ascii="Times New Roman" w:hAnsi="Times New Roman" w:eastAsia="宋体" w:cs="Times New Roman"/>
                <w:color w:val="auto"/>
                <w:sz w:val="24"/>
                <w:szCs w:val="24"/>
                <w:lang w:val="en-US" w:eastAsia="zh-CN"/>
              </w:rPr>
            </w:pPr>
          </w:p>
        </w:tc>
      </w:tr>
    </w:tbl>
    <w:p w14:paraId="2C6B3142">
      <w:pPr>
        <w:spacing w:line="360" w:lineRule="auto"/>
        <w:jc w:val="center"/>
        <w:rPr>
          <w:rFonts w:hint="default" w:ascii="Times New Roman" w:hAnsi="Times New Roman" w:eastAsia="宋体" w:cs="Times New Roman"/>
          <w:b/>
          <w:bCs/>
          <w:color w:val="auto"/>
          <w:sz w:val="28"/>
          <w:szCs w:val="28"/>
        </w:rPr>
      </w:pPr>
      <w:r>
        <w:rPr>
          <w:rFonts w:hint="eastAsia" w:ascii="Times New Roman" w:hAnsi="Times New Roman" w:eastAsia="宋体" w:cs="Times New Roman"/>
          <w:b/>
          <w:bCs/>
          <w:color w:val="auto"/>
          <w:sz w:val="28"/>
          <w:szCs w:val="28"/>
          <w:lang w:val="en-US" w:eastAsia="zh-CN"/>
        </w:rPr>
        <w:t>三</w:t>
      </w:r>
      <w:r>
        <w:rPr>
          <w:rFonts w:hint="eastAsia" w:cs="Times New Roman"/>
          <w:b/>
          <w:bCs/>
          <w:color w:val="auto"/>
          <w:sz w:val="28"/>
          <w:szCs w:val="28"/>
          <w:lang w:val="en-US" w:eastAsia="zh-CN"/>
        </w:rPr>
        <w:t>、</w:t>
      </w:r>
      <w:r>
        <w:rPr>
          <w:rFonts w:hint="eastAsia" w:ascii="Times New Roman" w:hAnsi="Times New Roman" w:eastAsia="宋体" w:cs="Times New Roman"/>
          <w:b/>
          <w:bCs/>
          <w:color w:val="auto"/>
          <w:sz w:val="28"/>
          <w:szCs w:val="28"/>
          <w:lang w:val="en-US" w:eastAsia="zh-CN"/>
        </w:rPr>
        <w:t>生态环境现状</w:t>
      </w:r>
      <w:r>
        <w:rPr>
          <w:rFonts w:hint="eastAsia" w:cs="Times New Roman"/>
          <w:b/>
          <w:bCs/>
          <w:color w:val="auto"/>
          <w:sz w:val="28"/>
          <w:szCs w:val="28"/>
          <w:lang w:val="en-US" w:eastAsia="zh-CN"/>
        </w:rPr>
        <w:t>、</w:t>
      </w:r>
      <w:r>
        <w:rPr>
          <w:rFonts w:hint="eastAsia" w:ascii="Times New Roman" w:hAnsi="Times New Roman" w:eastAsia="宋体" w:cs="Times New Roman"/>
          <w:b/>
          <w:bCs/>
          <w:color w:val="auto"/>
          <w:sz w:val="28"/>
          <w:szCs w:val="28"/>
          <w:lang w:val="en-US" w:eastAsia="zh-CN"/>
        </w:rPr>
        <w:t>保护目标及评价标准</w:t>
      </w:r>
    </w:p>
    <w:tbl>
      <w:tblPr>
        <w:tblStyle w:val="28"/>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16"/>
        <w:gridCol w:w="8454"/>
      </w:tblGrid>
      <w:tr w14:paraId="708D3D1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3" w:hRule="atLeast"/>
          <w:jc w:val="center"/>
        </w:trPr>
        <w:tc>
          <w:tcPr>
            <w:tcW w:w="1116" w:type="dxa"/>
            <w:noWrap w:val="0"/>
            <w:vAlign w:val="center"/>
          </w:tcPr>
          <w:p w14:paraId="19AA1EA2">
            <w:pPr>
              <w:bidi w:val="0"/>
              <w:spacing w:line="360" w:lineRule="auto"/>
              <w:jc w:val="center"/>
              <w:rPr>
                <w:rFonts w:hint="default" w:ascii="Times New Roman" w:hAnsi="Times New Roman" w:eastAsia="宋体" w:cs="Times New Roman"/>
                <w:b/>
                <w:bCs/>
                <w:color w:val="auto"/>
                <w:sz w:val="24"/>
                <w:szCs w:val="24"/>
                <w:lang w:val="en-US" w:eastAsia="zh-CN"/>
              </w:rPr>
            </w:pPr>
            <w:r>
              <w:rPr>
                <w:rFonts w:hint="default" w:ascii="Times New Roman" w:hAnsi="Times New Roman" w:eastAsia="宋体" w:cs="Times New Roman"/>
                <w:b/>
                <w:bCs/>
                <w:color w:val="auto"/>
                <w:sz w:val="24"/>
                <w:szCs w:val="24"/>
                <w:lang w:val="en-US" w:eastAsia="zh-CN"/>
              </w:rPr>
              <w:t>区域环境质量</w:t>
            </w:r>
          </w:p>
          <w:p w14:paraId="38FAF3F1">
            <w:pPr>
              <w:bidi w:val="0"/>
              <w:spacing w:line="360" w:lineRule="auto"/>
              <w:jc w:val="center"/>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b/>
                <w:bCs/>
                <w:color w:val="auto"/>
                <w:sz w:val="24"/>
                <w:szCs w:val="24"/>
                <w:lang w:val="en-US" w:eastAsia="zh-CN"/>
              </w:rPr>
              <w:t>现状</w:t>
            </w:r>
          </w:p>
        </w:tc>
        <w:tc>
          <w:tcPr>
            <w:tcW w:w="8454" w:type="dxa"/>
            <w:noWrap w:val="0"/>
            <w:vAlign w:val="center"/>
          </w:tcPr>
          <w:p w14:paraId="6F8D8937">
            <w:pPr>
              <w:bidi w:val="0"/>
              <w:spacing w:line="360" w:lineRule="auto"/>
              <w:rPr>
                <w:rFonts w:hint="default" w:ascii="Times New Roman" w:hAnsi="Times New Roman" w:eastAsia="宋体" w:cs="Times New Roman"/>
                <w:b/>
                <w:bCs/>
                <w:sz w:val="24"/>
                <w:szCs w:val="24"/>
                <w:lang w:val="en-US" w:eastAsia="zh-CN"/>
              </w:rPr>
            </w:pPr>
            <w:r>
              <w:rPr>
                <w:rFonts w:hint="default" w:ascii="Times New Roman" w:hAnsi="Times New Roman" w:eastAsia="宋体" w:cs="Times New Roman"/>
                <w:b/>
                <w:bCs/>
                <w:sz w:val="24"/>
                <w:szCs w:val="24"/>
                <w:lang w:val="en-US" w:eastAsia="zh-CN"/>
              </w:rPr>
              <w:t>建设项目所在地区域环境质量现状及主要环境问题（环境空气、地面水、地下水、声环 境、辐射环境、生态环境等</w:t>
            </w:r>
            <w:r>
              <w:rPr>
                <w:rFonts w:hint="eastAsia" w:cs="Times New Roman"/>
                <w:b/>
                <w:bCs/>
                <w:sz w:val="24"/>
                <w:szCs w:val="24"/>
                <w:lang w:val="en-US" w:eastAsia="zh-CN"/>
              </w:rPr>
              <w:t>）</w:t>
            </w:r>
          </w:p>
          <w:p w14:paraId="368C6F7F">
            <w:pPr>
              <w:numPr>
                <w:ilvl w:val="0"/>
                <w:numId w:val="43"/>
              </w:numPr>
              <w:bidi w:val="0"/>
              <w:spacing w:line="360" w:lineRule="auto"/>
              <w:ind w:firstLine="482" w:firstLineChars="200"/>
              <w:rPr>
                <w:rFonts w:hint="default" w:ascii="Times New Roman" w:hAnsi="Times New Roman" w:eastAsia="宋体" w:cs="Times New Roman"/>
                <w:b/>
                <w:bCs/>
                <w:sz w:val="24"/>
                <w:szCs w:val="24"/>
                <w:lang w:val="en-US" w:eastAsia="zh-CN"/>
              </w:rPr>
            </w:pPr>
            <w:r>
              <w:rPr>
                <w:rFonts w:hint="default" w:ascii="Times New Roman" w:hAnsi="Times New Roman" w:eastAsia="宋体" w:cs="Times New Roman"/>
                <w:b/>
                <w:bCs/>
                <w:sz w:val="24"/>
                <w:szCs w:val="24"/>
                <w:lang w:val="en-US" w:eastAsia="zh-CN"/>
              </w:rPr>
              <w:t>大气环境质量现状</w:t>
            </w:r>
          </w:p>
          <w:p w14:paraId="109EE5F0">
            <w:pPr>
              <w:numPr>
                <w:ilvl w:val="0"/>
                <w:numId w:val="44"/>
              </w:numPr>
              <w:bidi w:val="0"/>
              <w:spacing w:line="360" w:lineRule="auto"/>
              <w:ind w:firstLine="482" w:firstLineChars="200"/>
              <w:rPr>
                <w:rFonts w:hint="default" w:ascii="Times New Roman" w:hAnsi="Times New Roman" w:eastAsia="宋体" w:cs="Times New Roman"/>
                <w:b/>
                <w:bCs/>
                <w:sz w:val="24"/>
                <w:szCs w:val="24"/>
                <w:lang w:val="en-US" w:eastAsia="zh-CN"/>
              </w:rPr>
            </w:pPr>
            <w:r>
              <w:rPr>
                <w:rFonts w:hint="default" w:ascii="Times New Roman" w:hAnsi="Times New Roman" w:eastAsia="宋体" w:cs="Times New Roman"/>
                <w:b/>
                <w:bCs/>
                <w:sz w:val="24"/>
                <w:szCs w:val="24"/>
                <w:lang w:val="en-US" w:eastAsia="zh-CN"/>
              </w:rPr>
              <w:t>达标区判定</w:t>
            </w:r>
          </w:p>
          <w:p w14:paraId="641D8480">
            <w:pPr>
              <w:numPr>
                <w:ilvl w:val="0"/>
                <w:numId w:val="0"/>
              </w:numPr>
              <w:bidi w:val="0"/>
              <w:spacing w:line="360" w:lineRule="auto"/>
              <w:ind w:firstLine="480" w:firstLineChars="200"/>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根据《环境影响评价技术导则 大气环境》（HJ2.2-2018</w:t>
            </w:r>
            <w:r>
              <w:rPr>
                <w:rFonts w:hint="eastAsia" w:cs="Times New Roman"/>
                <w:color w:val="auto"/>
                <w:sz w:val="24"/>
                <w:szCs w:val="24"/>
                <w:lang w:val="en-US" w:eastAsia="zh-CN"/>
              </w:rPr>
              <w:t>）</w:t>
            </w:r>
            <w:r>
              <w:rPr>
                <w:rFonts w:hint="eastAsia" w:ascii="宋体" w:hAnsi="宋体" w:eastAsia="宋体" w:cs="宋体"/>
                <w:color w:val="auto"/>
                <w:sz w:val="24"/>
                <w:szCs w:val="24"/>
                <w:lang w:val="en-US" w:eastAsia="zh-CN"/>
              </w:rPr>
              <w:t>“</w:t>
            </w:r>
            <w:r>
              <w:rPr>
                <w:rFonts w:hint="default" w:ascii="Times New Roman" w:hAnsi="Times New Roman" w:eastAsia="宋体" w:cs="Times New Roman"/>
                <w:color w:val="auto"/>
                <w:sz w:val="24"/>
                <w:szCs w:val="24"/>
                <w:lang w:val="en-US" w:eastAsia="zh-CN"/>
              </w:rPr>
              <w:t>6.2.1.1项目所在区域达标判定，优先采用国家或地方生态环境主管部门公开发布的评价基准年环境质量公告或环境质量报告中的数据或结论</w:t>
            </w:r>
            <w:r>
              <w:rPr>
                <w:rFonts w:hint="eastAsia" w:ascii="宋体" w:hAnsi="宋体" w:eastAsia="宋体" w:cs="宋体"/>
                <w:color w:val="auto"/>
                <w:sz w:val="24"/>
                <w:szCs w:val="24"/>
                <w:lang w:val="en-US" w:eastAsia="zh-CN"/>
              </w:rPr>
              <w:t>”</w:t>
            </w:r>
            <w:r>
              <w:rPr>
                <w:rFonts w:hint="default" w:ascii="Times New Roman" w:hAnsi="Times New Roman" w:eastAsia="宋体" w:cs="Times New Roman"/>
                <w:color w:val="auto"/>
                <w:sz w:val="24"/>
                <w:szCs w:val="24"/>
                <w:lang w:val="en-US" w:eastAsia="zh-CN"/>
              </w:rPr>
              <w:t>。故本次环境空气质量现状评价采用遂宁市污染防治攻坚战领导小组办公室2023年1月29日发布的遂污防攻坚办〔20</w:t>
            </w:r>
            <w:r>
              <w:rPr>
                <w:rFonts w:hint="eastAsia" w:cs="Times New Roman"/>
                <w:color w:val="auto"/>
                <w:sz w:val="24"/>
                <w:szCs w:val="24"/>
                <w:lang w:val="en-US" w:eastAsia="zh-CN"/>
              </w:rPr>
              <w:t>23</w:t>
            </w:r>
            <w:r>
              <w:rPr>
                <w:rFonts w:hint="default" w:ascii="Times New Roman" w:hAnsi="Times New Roman" w:eastAsia="宋体" w:cs="Times New Roman"/>
                <w:color w:val="auto"/>
                <w:sz w:val="24"/>
                <w:szCs w:val="24"/>
                <w:lang w:val="en-US" w:eastAsia="zh-CN"/>
              </w:rPr>
              <w:t>〕2号中的数据。</w:t>
            </w:r>
          </w:p>
          <w:p w14:paraId="60B0794E">
            <w:pPr>
              <w:numPr>
                <w:ilvl w:val="0"/>
                <w:numId w:val="0"/>
              </w:numPr>
              <w:bidi w:val="0"/>
              <w:spacing w:line="360" w:lineRule="auto"/>
              <w:ind w:firstLine="480" w:firstLineChars="200"/>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202</w:t>
            </w:r>
            <w:r>
              <w:rPr>
                <w:rFonts w:hint="eastAsia" w:cs="Times New Roman"/>
                <w:color w:val="auto"/>
                <w:sz w:val="24"/>
                <w:szCs w:val="24"/>
                <w:lang w:val="en-US" w:eastAsia="zh-CN"/>
              </w:rPr>
              <w:t>2</w:t>
            </w:r>
            <w:r>
              <w:rPr>
                <w:rFonts w:hint="default" w:ascii="Times New Roman" w:hAnsi="Times New Roman" w:eastAsia="宋体" w:cs="Times New Roman"/>
                <w:color w:val="auto"/>
                <w:sz w:val="24"/>
                <w:szCs w:val="24"/>
                <w:lang w:val="en-US" w:eastAsia="zh-CN"/>
              </w:rPr>
              <w:t>年安居区环境空气质量详见下表3-1。</w:t>
            </w:r>
          </w:p>
          <w:p w14:paraId="306466D6">
            <w:pPr>
              <w:numPr>
                <w:ilvl w:val="0"/>
                <w:numId w:val="0"/>
              </w:numPr>
              <w:bidi w:val="0"/>
              <w:spacing w:line="360" w:lineRule="auto"/>
              <w:jc w:val="center"/>
              <w:rPr>
                <w:rFonts w:hint="default" w:ascii="Times New Roman" w:hAnsi="Times New Roman" w:eastAsia="宋体" w:cs="Times New Roman"/>
                <w:b/>
                <w:bCs/>
                <w:color w:val="auto"/>
                <w:sz w:val="21"/>
                <w:szCs w:val="21"/>
                <w:lang w:val="en-US" w:eastAsia="zh-CN"/>
              </w:rPr>
            </w:pPr>
            <w:r>
              <w:rPr>
                <w:rFonts w:hint="default" w:ascii="Times New Roman" w:hAnsi="Times New Roman" w:eastAsia="宋体" w:cs="Times New Roman"/>
                <w:b/>
                <w:bCs/>
                <w:color w:val="auto"/>
                <w:sz w:val="21"/>
                <w:szCs w:val="21"/>
                <w:lang w:val="en-US" w:eastAsia="zh-CN"/>
              </w:rPr>
              <w:t>表3-1</w:t>
            </w:r>
            <w:r>
              <w:rPr>
                <w:rFonts w:hint="eastAsia" w:cs="Times New Roman"/>
                <w:b/>
                <w:bCs/>
                <w:color w:val="auto"/>
                <w:sz w:val="21"/>
                <w:szCs w:val="21"/>
                <w:lang w:val="en-US" w:eastAsia="zh-CN"/>
              </w:rPr>
              <w:t xml:space="preserve"> </w:t>
            </w:r>
            <w:r>
              <w:rPr>
                <w:rFonts w:hint="default" w:ascii="Times New Roman" w:hAnsi="Times New Roman" w:eastAsia="宋体" w:cs="Times New Roman"/>
                <w:b/>
                <w:bCs/>
                <w:color w:val="auto"/>
                <w:sz w:val="21"/>
                <w:szCs w:val="21"/>
                <w:lang w:val="en-US" w:eastAsia="zh-CN"/>
              </w:rPr>
              <w:t>2022年1</w:t>
            </w:r>
            <w:r>
              <w:rPr>
                <w:rFonts w:hint="eastAsia" w:cs="Times New Roman"/>
                <w:b/>
                <w:bCs/>
                <w:color w:val="auto"/>
                <w:sz w:val="21"/>
                <w:szCs w:val="21"/>
                <w:lang w:val="en-US" w:eastAsia="zh-CN"/>
              </w:rPr>
              <w:t>~</w:t>
            </w:r>
            <w:r>
              <w:rPr>
                <w:rFonts w:hint="default" w:ascii="Times New Roman" w:hAnsi="Times New Roman" w:eastAsia="宋体" w:cs="Times New Roman"/>
                <w:b/>
                <w:bCs/>
                <w:color w:val="auto"/>
                <w:sz w:val="21"/>
                <w:szCs w:val="21"/>
                <w:lang w:val="en-US" w:eastAsia="zh-CN"/>
              </w:rPr>
              <w:t>12月安居区城市环境空气质量监测结果统计表</w:t>
            </w:r>
          </w:p>
          <w:tbl>
            <w:tblPr>
              <w:tblStyle w:val="27"/>
              <w:tblW w:w="8242"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2894"/>
              <w:gridCol w:w="1153"/>
              <w:gridCol w:w="1238"/>
              <w:gridCol w:w="1620"/>
              <w:gridCol w:w="1337"/>
            </w:tblGrid>
            <w:tr w14:paraId="39E91BD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04" w:hRule="atLeast"/>
                <w:jc w:val="center"/>
              </w:trPr>
              <w:tc>
                <w:tcPr>
                  <w:tcW w:w="2894" w:type="dxa"/>
                  <w:noWrap w:val="0"/>
                  <w:vAlign w:val="center"/>
                </w:tcPr>
                <w:p w14:paraId="3103BFEB">
                  <w:pPr>
                    <w:pStyle w:val="16"/>
                    <w:spacing w:line="240" w:lineRule="auto"/>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各县区、园区</w:t>
                  </w:r>
                </w:p>
              </w:tc>
              <w:tc>
                <w:tcPr>
                  <w:tcW w:w="5348" w:type="dxa"/>
                  <w:gridSpan w:val="4"/>
                  <w:noWrap w:val="0"/>
                  <w:vAlign w:val="center"/>
                </w:tcPr>
                <w:p w14:paraId="73F724C4">
                  <w:pPr>
                    <w:pStyle w:val="16"/>
                    <w:spacing w:line="240" w:lineRule="auto"/>
                    <w:jc w:val="center"/>
                    <w:rPr>
                      <w:rFonts w:hint="default" w:ascii="Times New Roman" w:hAnsi="Times New Roman" w:eastAsia="宋体" w:cs="Times New Roman"/>
                      <w:b/>
                      <w:bCs/>
                      <w:color w:val="auto"/>
                      <w:sz w:val="21"/>
                      <w:szCs w:val="21"/>
                    </w:rPr>
                  </w:pPr>
                  <w:r>
                    <w:rPr>
                      <w:rFonts w:hint="eastAsia"/>
                    </w:rPr>
                    <w:t>安居区年均值</w:t>
                  </w:r>
                </w:p>
              </w:tc>
            </w:tr>
            <w:tr w14:paraId="18453B0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04" w:hRule="atLeast"/>
                <w:jc w:val="center"/>
              </w:trPr>
              <w:tc>
                <w:tcPr>
                  <w:tcW w:w="2894" w:type="dxa"/>
                  <w:noWrap w:val="0"/>
                  <w:vAlign w:val="center"/>
                </w:tcPr>
                <w:p w14:paraId="2652FDD2">
                  <w:pPr>
                    <w:pStyle w:val="16"/>
                    <w:spacing w:line="240" w:lineRule="auto"/>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监测站点</w:t>
                  </w:r>
                </w:p>
              </w:tc>
              <w:tc>
                <w:tcPr>
                  <w:tcW w:w="5348" w:type="dxa"/>
                  <w:gridSpan w:val="4"/>
                  <w:noWrap w:val="0"/>
                  <w:vAlign w:val="center"/>
                </w:tcPr>
                <w:p w14:paraId="4D097755">
                  <w:pPr>
                    <w:pStyle w:val="16"/>
                    <w:spacing w:line="240" w:lineRule="auto"/>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b w:val="0"/>
                      <w:bCs w:val="0"/>
                      <w:color w:val="auto"/>
                      <w:sz w:val="21"/>
                      <w:szCs w:val="21"/>
                      <w:lang w:eastAsia="zh-CN"/>
                    </w:rPr>
                    <w:t>安居检察院</w:t>
                  </w:r>
                </w:p>
              </w:tc>
            </w:tr>
            <w:tr w14:paraId="5190BB4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04" w:hRule="atLeast"/>
                <w:jc w:val="center"/>
              </w:trPr>
              <w:tc>
                <w:tcPr>
                  <w:tcW w:w="2894" w:type="dxa"/>
                  <w:noWrap w:val="0"/>
                  <w:vAlign w:val="center"/>
                </w:tcPr>
                <w:p w14:paraId="3F127153">
                  <w:pPr>
                    <w:pStyle w:val="16"/>
                    <w:spacing w:line="240" w:lineRule="auto"/>
                    <w:jc w:val="center"/>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b w:val="0"/>
                      <w:bCs w:val="0"/>
                      <w:color w:val="auto"/>
                      <w:sz w:val="21"/>
                      <w:szCs w:val="21"/>
                      <w:lang w:eastAsia="zh-CN"/>
                    </w:rPr>
                    <w:t>达标</w:t>
                  </w:r>
                  <w:r>
                    <w:rPr>
                      <w:rFonts w:hint="eastAsia" w:ascii="Times New Roman" w:hAnsi="Times New Roman" w:cs="Times New Roman"/>
                      <w:b w:val="0"/>
                      <w:bCs w:val="0"/>
                      <w:color w:val="auto"/>
                      <w:sz w:val="21"/>
                      <w:szCs w:val="21"/>
                      <w:lang w:val="en-US" w:eastAsia="zh-CN"/>
                    </w:rPr>
                    <w:t>判定</w:t>
                  </w:r>
                </w:p>
              </w:tc>
              <w:tc>
                <w:tcPr>
                  <w:tcW w:w="1153" w:type="dxa"/>
                  <w:noWrap w:val="0"/>
                  <w:vAlign w:val="center"/>
                </w:tcPr>
                <w:p w14:paraId="3F8B28C1">
                  <w:pPr>
                    <w:pStyle w:val="16"/>
                    <w:spacing w:line="240" w:lineRule="auto"/>
                    <w:jc w:val="center"/>
                    <w:rPr>
                      <w:rFonts w:hint="default" w:ascii="Times New Roman" w:hAnsi="Times New Roman" w:eastAsia="宋体" w:cs="Times New Roman"/>
                      <w:b w:val="0"/>
                      <w:bCs w:val="0"/>
                      <w:color w:val="auto"/>
                      <w:sz w:val="21"/>
                      <w:szCs w:val="21"/>
                      <w:lang w:val="en-US" w:eastAsia="zh-CN"/>
                    </w:rPr>
                  </w:pPr>
                  <w:r>
                    <w:rPr>
                      <w:rFonts w:hint="eastAsia" w:ascii="Times New Roman" w:hAnsi="Times New Roman" w:cs="Times New Roman"/>
                      <w:b w:val="0"/>
                      <w:bCs w:val="0"/>
                      <w:color w:val="auto"/>
                      <w:sz w:val="21"/>
                      <w:szCs w:val="21"/>
                      <w:lang w:val="en-US" w:eastAsia="zh-CN"/>
                    </w:rPr>
                    <w:t>监测</w:t>
                  </w:r>
                  <w:r>
                    <w:rPr>
                      <w:rFonts w:hint="default" w:ascii="Times New Roman" w:hAnsi="Times New Roman" w:eastAsia="宋体" w:cs="Times New Roman"/>
                      <w:b w:val="0"/>
                      <w:bCs w:val="0"/>
                      <w:color w:val="auto"/>
                      <w:sz w:val="21"/>
                      <w:szCs w:val="21"/>
                      <w:lang w:eastAsia="zh-CN"/>
                    </w:rPr>
                    <w:t>值</w:t>
                  </w:r>
                </w:p>
              </w:tc>
              <w:tc>
                <w:tcPr>
                  <w:tcW w:w="1238" w:type="dxa"/>
                  <w:noWrap w:val="0"/>
                  <w:vAlign w:val="center"/>
                </w:tcPr>
                <w:p w14:paraId="039FA1FF">
                  <w:pPr>
                    <w:pStyle w:val="16"/>
                    <w:spacing w:line="240" w:lineRule="auto"/>
                    <w:jc w:val="center"/>
                    <w:rPr>
                      <w:rFonts w:hint="default" w:ascii="Times New Roman" w:hAnsi="Times New Roman" w:eastAsia="宋体" w:cs="Times New Roman"/>
                      <w:b w:val="0"/>
                      <w:bCs w:val="0"/>
                      <w:color w:val="auto"/>
                      <w:sz w:val="21"/>
                      <w:szCs w:val="21"/>
                      <w:lang w:eastAsia="zh-CN"/>
                    </w:rPr>
                  </w:pPr>
                  <w:r>
                    <w:rPr>
                      <w:rFonts w:hint="default" w:ascii="Times New Roman" w:hAnsi="Times New Roman" w:eastAsia="宋体" w:cs="Times New Roman"/>
                      <w:b w:val="0"/>
                      <w:bCs w:val="0"/>
                      <w:color w:val="auto"/>
                      <w:sz w:val="21"/>
                      <w:szCs w:val="21"/>
                      <w:lang w:eastAsia="zh-CN"/>
                    </w:rPr>
                    <w:t>标准值</w:t>
                  </w:r>
                </w:p>
              </w:tc>
              <w:tc>
                <w:tcPr>
                  <w:tcW w:w="1620" w:type="dxa"/>
                  <w:noWrap w:val="0"/>
                  <w:vAlign w:val="center"/>
                </w:tcPr>
                <w:p w14:paraId="7ADE964C">
                  <w:pPr>
                    <w:pStyle w:val="16"/>
                    <w:spacing w:line="240" w:lineRule="auto"/>
                    <w:jc w:val="center"/>
                    <w:rPr>
                      <w:rFonts w:hint="default" w:ascii="Times New Roman" w:hAnsi="Times New Roman" w:eastAsia="宋体" w:cs="Times New Roman"/>
                      <w:b w:val="0"/>
                      <w:bCs w:val="0"/>
                      <w:color w:val="auto"/>
                      <w:sz w:val="21"/>
                      <w:szCs w:val="21"/>
                      <w:lang w:eastAsia="zh-CN"/>
                    </w:rPr>
                  </w:pPr>
                  <w:r>
                    <w:rPr>
                      <w:rFonts w:hint="default" w:ascii="Times New Roman" w:hAnsi="Times New Roman" w:eastAsia="宋体" w:cs="Times New Roman"/>
                      <w:b w:val="0"/>
                      <w:bCs w:val="0"/>
                      <w:color w:val="auto"/>
                      <w:sz w:val="21"/>
                      <w:szCs w:val="21"/>
                      <w:lang w:eastAsia="zh-CN"/>
                    </w:rPr>
                    <w:t>占标率</w:t>
                  </w:r>
                  <w:r>
                    <w:rPr>
                      <w:rFonts w:hint="eastAsia" w:ascii="Times New Roman" w:hAnsi="Times New Roman" w:cs="Times New Roman"/>
                      <w:b w:val="0"/>
                      <w:bCs w:val="0"/>
                      <w:color w:val="auto"/>
                      <w:sz w:val="21"/>
                      <w:szCs w:val="21"/>
                      <w:lang w:eastAsia="zh-CN"/>
                    </w:rPr>
                    <w:t>（</w:t>
                  </w:r>
                  <w:r>
                    <w:rPr>
                      <w:rFonts w:hint="eastAsia" w:ascii="Times New Roman" w:hAnsi="Times New Roman" w:cs="Times New Roman"/>
                      <w:b w:val="0"/>
                      <w:bCs w:val="0"/>
                      <w:color w:val="auto"/>
                      <w:sz w:val="21"/>
                      <w:szCs w:val="21"/>
                      <w:lang w:val="en-US" w:eastAsia="zh-CN"/>
                    </w:rPr>
                    <w:t>%</w:t>
                  </w:r>
                  <w:r>
                    <w:rPr>
                      <w:rFonts w:hint="eastAsia" w:ascii="Times New Roman" w:hAnsi="Times New Roman" w:cs="Times New Roman"/>
                      <w:b w:val="0"/>
                      <w:bCs w:val="0"/>
                      <w:color w:val="auto"/>
                      <w:sz w:val="21"/>
                      <w:szCs w:val="21"/>
                      <w:lang w:eastAsia="zh-CN"/>
                    </w:rPr>
                    <w:t>）</w:t>
                  </w:r>
                </w:p>
              </w:tc>
              <w:tc>
                <w:tcPr>
                  <w:tcW w:w="1337" w:type="dxa"/>
                  <w:noWrap w:val="0"/>
                  <w:vAlign w:val="center"/>
                </w:tcPr>
                <w:p w14:paraId="5DB4D3BA">
                  <w:pPr>
                    <w:pStyle w:val="16"/>
                    <w:spacing w:line="240" w:lineRule="auto"/>
                    <w:jc w:val="center"/>
                    <w:rPr>
                      <w:rFonts w:hint="default" w:ascii="Times New Roman" w:hAnsi="Times New Roman" w:eastAsia="宋体" w:cs="Times New Roman"/>
                      <w:b w:val="0"/>
                      <w:bCs w:val="0"/>
                      <w:color w:val="auto"/>
                      <w:sz w:val="21"/>
                      <w:szCs w:val="21"/>
                      <w:lang w:eastAsia="zh-CN"/>
                    </w:rPr>
                  </w:pPr>
                  <w:r>
                    <w:rPr>
                      <w:rFonts w:hint="default" w:ascii="Times New Roman" w:hAnsi="Times New Roman" w:eastAsia="宋体" w:cs="Times New Roman"/>
                      <w:b w:val="0"/>
                      <w:bCs w:val="0"/>
                      <w:color w:val="auto"/>
                      <w:sz w:val="21"/>
                      <w:szCs w:val="21"/>
                      <w:lang w:eastAsia="zh-CN"/>
                    </w:rPr>
                    <w:t>达标情况</w:t>
                  </w:r>
                </w:p>
              </w:tc>
            </w:tr>
            <w:tr w14:paraId="10BFE87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04" w:hRule="atLeast"/>
                <w:jc w:val="center"/>
              </w:trPr>
              <w:tc>
                <w:tcPr>
                  <w:tcW w:w="2894" w:type="dxa"/>
                  <w:noWrap w:val="0"/>
                  <w:vAlign w:val="center"/>
                </w:tcPr>
                <w:p w14:paraId="4E5196C8">
                  <w:pPr>
                    <w:pStyle w:val="16"/>
                    <w:spacing w:line="240" w:lineRule="auto"/>
                    <w:jc w:val="center"/>
                    <w:rPr>
                      <w:rFonts w:hint="default" w:ascii="Times New Roman" w:hAnsi="Times New Roman" w:eastAsia="宋体" w:cs="Times New Roman"/>
                      <w:color w:val="auto"/>
                      <w:sz w:val="21"/>
                      <w:szCs w:val="21"/>
                    </w:rPr>
                  </w:pPr>
                  <w:r>
                    <w:rPr>
                      <w:rFonts w:hint="eastAsia" w:ascii="Times New Roman" w:hAnsi="Times New Roman" w:cs="Times New Roman"/>
                      <w:color w:val="auto"/>
                      <w:sz w:val="21"/>
                      <w:szCs w:val="21"/>
                      <w:lang w:val="en-US" w:eastAsia="zh-CN"/>
                    </w:rPr>
                    <w:t>SO</w:t>
                  </w:r>
                  <w:r>
                    <w:rPr>
                      <w:rFonts w:hint="eastAsia" w:ascii="Times New Roman" w:hAnsi="Times New Roman" w:cs="Times New Roman"/>
                      <w:color w:val="auto"/>
                      <w:sz w:val="21"/>
                      <w:szCs w:val="21"/>
                      <w:vertAlign w:val="subscript"/>
                      <w:lang w:val="en-US" w:eastAsia="zh-CN"/>
                    </w:rPr>
                    <w:t>2</w:t>
                  </w:r>
                  <w:r>
                    <w:rPr>
                      <w:rFonts w:hint="default" w:ascii="Times New Roman" w:hAnsi="Times New Roman" w:eastAsia="宋体" w:cs="Times New Roman"/>
                      <w:color w:val="auto"/>
                      <w:sz w:val="21"/>
                      <w:szCs w:val="21"/>
                    </w:rPr>
                    <w:t>平均浓度</w:t>
                  </w:r>
                  <w:r>
                    <w:rPr>
                      <w:rFonts w:hint="eastAsia" w:ascii="Times New Roman" w:hAnsi="Times New Roman" w:cs="Times New Roman"/>
                      <w:color w:val="auto"/>
                      <w:sz w:val="21"/>
                      <w:szCs w:val="21"/>
                      <w:lang w:eastAsia="zh-CN"/>
                    </w:rPr>
                    <w:t>（</w:t>
                  </w:r>
                  <w:r>
                    <w:rPr>
                      <w:rFonts w:hint="default" w:ascii="Times New Roman" w:hAnsi="Times New Roman" w:eastAsia="宋体" w:cs="Times New Roman"/>
                      <w:color w:val="auto"/>
                      <w:sz w:val="21"/>
                      <w:szCs w:val="21"/>
                    </w:rPr>
                    <w:t>ug/m</w:t>
                  </w:r>
                  <w:r>
                    <w:rPr>
                      <w:rFonts w:hint="default" w:ascii="Times New Roman" w:hAnsi="Times New Roman" w:eastAsia="宋体" w:cs="Times New Roman"/>
                      <w:b w:val="0"/>
                      <w:bCs w:val="0"/>
                      <w:color w:val="auto"/>
                      <w:sz w:val="21"/>
                      <w:szCs w:val="21"/>
                      <w:vertAlign w:val="superscript"/>
                    </w:rPr>
                    <w:t>3</w:t>
                  </w:r>
                  <w:r>
                    <w:rPr>
                      <w:rFonts w:hint="eastAsia" w:ascii="Times New Roman" w:hAnsi="Times New Roman" w:cs="Times New Roman"/>
                      <w:color w:val="auto"/>
                      <w:sz w:val="21"/>
                      <w:szCs w:val="21"/>
                      <w:lang w:eastAsia="zh-CN"/>
                    </w:rPr>
                    <w:t>）</w:t>
                  </w:r>
                </w:p>
              </w:tc>
              <w:tc>
                <w:tcPr>
                  <w:tcW w:w="1153" w:type="dxa"/>
                  <w:noWrap w:val="0"/>
                  <w:vAlign w:val="center"/>
                </w:tcPr>
                <w:p w14:paraId="0EB3A176">
                  <w:pPr>
                    <w:pStyle w:val="16"/>
                    <w:spacing w:line="240" w:lineRule="auto"/>
                    <w:jc w:val="center"/>
                    <w:rPr>
                      <w:rFonts w:hint="default" w:ascii="Times New Roman" w:hAnsi="Times New Roman" w:eastAsia="宋体" w:cs="Times New Roman"/>
                      <w:color w:val="auto"/>
                      <w:sz w:val="21"/>
                      <w:szCs w:val="21"/>
                      <w:lang w:val="en-US" w:eastAsia="zh-CN"/>
                    </w:rPr>
                  </w:pPr>
                  <w:r>
                    <w:rPr>
                      <w:rFonts w:hint="eastAsia" w:ascii="Times New Roman" w:hAnsi="Times New Roman" w:cs="Times New Roman"/>
                      <w:color w:val="auto"/>
                      <w:sz w:val="21"/>
                      <w:szCs w:val="21"/>
                      <w:lang w:val="en-US" w:eastAsia="zh-CN"/>
                    </w:rPr>
                    <w:t>6.5</w:t>
                  </w:r>
                </w:p>
              </w:tc>
              <w:tc>
                <w:tcPr>
                  <w:tcW w:w="1238" w:type="dxa"/>
                  <w:noWrap w:val="0"/>
                  <w:vAlign w:val="center"/>
                </w:tcPr>
                <w:p w14:paraId="7D94001E">
                  <w:pPr>
                    <w:pStyle w:val="16"/>
                    <w:spacing w:line="240" w:lineRule="auto"/>
                    <w:jc w:val="center"/>
                    <w:rPr>
                      <w:rFonts w:hint="default" w:ascii="Times New Roman" w:hAnsi="Times New Roman" w:eastAsia="宋体" w:cs="Times New Roman"/>
                      <w:b w:val="0"/>
                      <w:bCs w:val="0"/>
                      <w:color w:val="auto"/>
                      <w:sz w:val="21"/>
                      <w:szCs w:val="21"/>
                      <w:lang w:val="en-US" w:eastAsia="zh-CN"/>
                    </w:rPr>
                  </w:pPr>
                  <w:r>
                    <w:rPr>
                      <w:rFonts w:hint="eastAsia" w:ascii="Times New Roman" w:hAnsi="Times New Roman" w:cs="Times New Roman"/>
                      <w:b w:val="0"/>
                      <w:bCs w:val="0"/>
                      <w:color w:val="auto"/>
                      <w:sz w:val="21"/>
                      <w:szCs w:val="21"/>
                      <w:lang w:val="en-US" w:eastAsia="zh-CN"/>
                    </w:rPr>
                    <w:t>60</w:t>
                  </w:r>
                </w:p>
              </w:tc>
              <w:tc>
                <w:tcPr>
                  <w:tcW w:w="1620" w:type="dxa"/>
                  <w:noWrap w:val="0"/>
                  <w:vAlign w:val="center"/>
                </w:tcPr>
                <w:p w14:paraId="1CFC0DF5">
                  <w:pPr>
                    <w:pStyle w:val="16"/>
                    <w:spacing w:line="240" w:lineRule="auto"/>
                    <w:jc w:val="center"/>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10.83%</w:t>
                  </w:r>
                </w:p>
              </w:tc>
              <w:tc>
                <w:tcPr>
                  <w:tcW w:w="1337" w:type="dxa"/>
                  <w:noWrap w:val="0"/>
                  <w:vAlign w:val="center"/>
                </w:tcPr>
                <w:p w14:paraId="76F2D847">
                  <w:pPr>
                    <w:spacing w:line="240" w:lineRule="auto"/>
                    <w:jc w:val="center"/>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b w:val="0"/>
                      <w:bCs w:val="0"/>
                      <w:color w:val="auto"/>
                      <w:sz w:val="21"/>
                      <w:szCs w:val="21"/>
                      <w:lang w:eastAsia="zh-CN"/>
                    </w:rPr>
                    <w:t>达标</w:t>
                  </w:r>
                </w:p>
              </w:tc>
            </w:tr>
            <w:tr w14:paraId="447FB8C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04" w:hRule="atLeast"/>
                <w:jc w:val="center"/>
              </w:trPr>
              <w:tc>
                <w:tcPr>
                  <w:tcW w:w="2894" w:type="dxa"/>
                  <w:noWrap w:val="0"/>
                  <w:vAlign w:val="center"/>
                </w:tcPr>
                <w:p w14:paraId="70FB9941">
                  <w:pPr>
                    <w:pStyle w:val="16"/>
                    <w:spacing w:line="240" w:lineRule="auto"/>
                    <w:jc w:val="center"/>
                    <w:rPr>
                      <w:rFonts w:hint="default" w:ascii="Times New Roman" w:hAnsi="Times New Roman" w:eastAsia="宋体" w:cs="Times New Roman"/>
                      <w:color w:val="auto"/>
                      <w:sz w:val="21"/>
                      <w:szCs w:val="21"/>
                    </w:rPr>
                  </w:pPr>
                  <w:r>
                    <w:rPr>
                      <w:rFonts w:hint="eastAsia" w:ascii="Times New Roman" w:hAnsi="Times New Roman" w:cs="Times New Roman"/>
                      <w:color w:val="auto"/>
                      <w:sz w:val="21"/>
                      <w:szCs w:val="21"/>
                      <w:lang w:val="en-US" w:eastAsia="zh-CN"/>
                    </w:rPr>
                    <w:t>NO</w:t>
                  </w:r>
                  <w:r>
                    <w:rPr>
                      <w:rFonts w:hint="eastAsia" w:ascii="Times New Roman" w:hAnsi="Times New Roman" w:cs="Times New Roman"/>
                      <w:color w:val="auto"/>
                      <w:sz w:val="21"/>
                      <w:szCs w:val="21"/>
                      <w:vertAlign w:val="subscript"/>
                      <w:lang w:val="en-US" w:eastAsia="zh-CN"/>
                    </w:rPr>
                    <w:t>2</w:t>
                  </w:r>
                  <w:r>
                    <w:rPr>
                      <w:rFonts w:hint="default" w:ascii="Times New Roman" w:hAnsi="Times New Roman" w:eastAsia="宋体" w:cs="Times New Roman"/>
                      <w:color w:val="auto"/>
                      <w:sz w:val="21"/>
                      <w:szCs w:val="21"/>
                    </w:rPr>
                    <w:t>平均浓度</w:t>
                  </w:r>
                  <w:r>
                    <w:rPr>
                      <w:rFonts w:hint="eastAsia" w:ascii="Times New Roman" w:hAnsi="Times New Roman" w:cs="Times New Roman"/>
                      <w:color w:val="auto"/>
                      <w:sz w:val="21"/>
                      <w:szCs w:val="21"/>
                      <w:lang w:eastAsia="zh-CN"/>
                    </w:rPr>
                    <w:t>（</w:t>
                  </w:r>
                  <w:r>
                    <w:rPr>
                      <w:rFonts w:hint="default" w:ascii="Times New Roman" w:hAnsi="Times New Roman" w:eastAsia="宋体" w:cs="Times New Roman"/>
                      <w:color w:val="auto"/>
                      <w:sz w:val="21"/>
                      <w:szCs w:val="21"/>
                    </w:rPr>
                    <w:t>ug/m</w:t>
                  </w:r>
                  <w:r>
                    <w:rPr>
                      <w:rFonts w:hint="default" w:ascii="Times New Roman" w:hAnsi="Times New Roman" w:eastAsia="宋体" w:cs="Times New Roman"/>
                      <w:b w:val="0"/>
                      <w:bCs w:val="0"/>
                      <w:color w:val="auto"/>
                      <w:sz w:val="21"/>
                      <w:szCs w:val="21"/>
                      <w:vertAlign w:val="superscript"/>
                    </w:rPr>
                    <w:t>3</w:t>
                  </w:r>
                  <w:r>
                    <w:rPr>
                      <w:rFonts w:hint="eastAsia" w:ascii="Times New Roman" w:hAnsi="Times New Roman" w:cs="Times New Roman"/>
                      <w:color w:val="auto"/>
                      <w:sz w:val="21"/>
                      <w:szCs w:val="21"/>
                      <w:lang w:eastAsia="zh-CN"/>
                    </w:rPr>
                    <w:t>）</w:t>
                  </w:r>
                </w:p>
              </w:tc>
              <w:tc>
                <w:tcPr>
                  <w:tcW w:w="1153" w:type="dxa"/>
                  <w:noWrap w:val="0"/>
                  <w:vAlign w:val="center"/>
                </w:tcPr>
                <w:p w14:paraId="208F6164">
                  <w:pPr>
                    <w:pStyle w:val="16"/>
                    <w:spacing w:line="240" w:lineRule="auto"/>
                    <w:jc w:val="center"/>
                    <w:rPr>
                      <w:rFonts w:hint="default" w:ascii="Times New Roman" w:hAnsi="Times New Roman" w:eastAsia="宋体" w:cs="Times New Roman"/>
                      <w:color w:val="auto"/>
                      <w:sz w:val="21"/>
                      <w:szCs w:val="21"/>
                      <w:lang w:val="en-US" w:eastAsia="zh-CN"/>
                    </w:rPr>
                  </w:pPr>
                  <w:r>
                    <w:rPr>
                      <w:rFonts w:hint="eastAsia" w:ascii="Times New Roman" w:hAnsi="Times New Roman" w:cs="Times New Roman"/>
                      <w:color w:val="auto"/>
                      <w:sz w:val="21"/>
                      <w:szCs w:val="21"/>
                      <w:lang w:val="en-US" w:eastAsia="zh-CN"/>
                    </w:rPr>
                    <w:t>14</w:t>
                  </w:r>
                </w:p>
              </w:tc>
              <w:tc>
                <w:tcPr>
                  <w:tcW w:w="1238" w:type="dxa"/>
                  <w:noWrap w:val="0"/>
                  <w:vAlign w:val="center"/>
                </w:tcPr>
                <w:p w14:paraId="764AC3A7">
                  <w:pPr>
                    <w:pStyle w:val="16"/>
                    <w:spacing w:line="240" w:lineRule="auto"/>
                    <w:jc w:val="center"/>
                    <w:rPr>
                      <w:rFonts w:hint="default" w:ascii="Times New Roman" w:hAnsi="Times New Roman" w:eastAsia="宋体" w:cs="Times New Roman"/>
                      <w:b w:val="0"/>
                      <w:bCs w:val="0"/>
                      <w:color w:val="auto"/>
                      <w:sz w:val="21"/>
                      <w:szCs w:val="21"/>
                      <w:lang w:val="en-US" w:eastAsia="zh-CN"/>
                    </w:rPr>
                  </w:pPr>
                  <w:r>
                    <w:rPr>
                      <w:rFonts w:hint="eastAsia" w:ascii="Times New Roman" w:hAnsi="Times New Roman" w:cs="Times New Roman"/>
                      <w:b w:val="0"/>
                      <w:bCs w:val="0"/>
                      <w:color w:val="auto"/>
                      <w:sz w:val="21"/>
                      <w:szCs w:val="21"/>
                      <w:lang w:val="en-US" w:eastAsia="zh-CN"/>
                    </w:rPr>
                    <w:t>40</w:t>
                  </w:r>
                </w:p>
              </w:tc>
              <w:tc>
                <w:tcPr>
                  <w:tcW w:w="1620" w:type="dxa"/>
                  <w:noWrap w:val="0"/>
                  <w:vAlign w:val="center"/>
                </w:tcPr>
                <w:p w14:paraId="3B915990">
                  <w:pPr>
                    <w:pStyle w:val="16"/>
                    <w:spacing w:line="240" w:lineRule="auto"/>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lang w:val="en-US" w:eastAsia="zh-CN"/>
                    </w:rPr>
                    <w:t>35.00%</w:t>
                  </w:r>
                </w:p>
              </w:tc>
              <w:tc>
                <w:tcPr>
                  <w:tcW w:w="1337" w:type="dxa"/>
                  <w:noWrap w:val="0"/>
                  <w:vAlign w:val="center"/>
                </w:tcPr>
                <w:p w14:paraId="284B77D9">
                  <w:pPr>
                    <w:spacing w:line="240" w:lineRule="auto"/>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b w:val="0"/>
                      <w:bCs w:val="0"/>
                      <w:color w:val="auto"/>
                      <w:sz w:val="21"/>
                      <w:szCs w:val="21"/>
                      <w:lang w:eastAsia="zh-CN"/>
                    </w:rPr>
                    <w:t>达标</w:t>
                  </w:r>
                </w:p>
              </w:tc>
            </w:tr>
            <w:tr w14:paraId="0227CA2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04" w:hRule="atLeast"/>
                <w:jc w:val="center"/>
              </w:trPr>
              <w:tc>
                <w:tcPr>
                  <w:tcW w:w="2894" w:type="dxa"/>
                  <w:noWrap w:val="0"/>
                  <w:vAlign w:val="center"/>
                </w:tcPr>
                <w:p w14:paraId="3EA8E182">
                  <w:pPr>
                    <w:pStyle w:val="16"/>
                    <w:spacing w:line="240" w:lineRule="auto"/>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O</w:t>
                  </w:r>
                  <w:r>
                    <w:rPr>
                      <w:rFonts w:hint="default" w:ascii="Times New Roman" w:hAnsi="Times New Roman" w:eastAsia="宋体" w:cs="Times New Roman"/>
                      <w:color w:val="auto"/>
                      <w:sz w:val="21"/>
                      <w:szCs w:val="21"/>
                      <w:vertAlign w:val="subscript"/>
                    </w:rPr>
                    <w:t>3</w:t>
                  </w:r>
                  <w:r>
                    <w:rPr>
                      <w:rFonts w:hint="eastAsia" w:ascii="Times New Roman" w:hAnsi="Times New Roman" w:cs="Times New Roman"/>
                      <w:color w:val="auto"/>
                      <w:sz w:val="21"/>
                      <w:szCs w:val="21"/>
                      <w:vertAlign w:val="baseline"/>
                      <w:lang w:val="en-US" w:eastAsia="zh-CN"/>
                    </w:rPr>
                    <w:t>-</w:t>
                  </w:r>
                  <w:r>
                    <w:rPr>
                      <w:rFonts w:hint="default" w:ascii="Times New Roman" w:hAnsi="Times New Roman" w:eastAsia="宋体" w:cs="Times New Roman"/>
                      <w:color w:val="auto"/>
                      <w:sz w:val="21"/>
                      <w:szCs w:val="21"/>
                    </w:rPr>
                    <w:t>8h</w:t>
                  </w:r>
                  <w:r>
                    <w:rPr>
                      <w:rFonts w:hint="eastAsia" w:ascii="Times New Roman" w:hAnsi="Times New Roman" w:cs="Times New Roman"/>
                      <w:color w:val="auto"/>
                      <w:sz w:val="21"/>
                      <w:szCs w:val="21"/>
                      <w:lang w:val="en-US" w:eastAsia="zh-CN"/>
                    </w:rPr>
                    <w:t>-</w:t>
                  </w:r>
                  <w:r>
                    <w:rPr>
                      <w:rFonts w:hint="default" w:ascii="Times New Roman" w:hAnsi="Times New Roman" w:eastAsia="宋体" w:cs="Times New Roman"/>
                      <w:color w:val="auto"/>
                      <w:sz w:val="21"/>
                      <w:szCs w:val="21"/>
                    </w:rPr>
                    <w:t>90百分位</w:t>
                  </w:r>
                  <w:r>
                    <w:rPr>
                      <w:rFonts w:hint="eastAsia" w:ascii="Times New Roman" w:hAnsi="Times New Roman" w:cs="Times New Roman"/>
                      <w:color w:val="auto"/>
                      <w:sz w:val="21"/>
                      <w:szCs w:val="21"/>
                      <w:lang w:eastAsia="zh-CN"/>
                    </w:rPr>
                    <w:t>（</w:t>
                  </w:r>
                  <w:r>
                    <w:rPr>
                      <w:rFonts w:hint="default" w:ascii="Times New Roman" w:hAnsi="Times New Roman" w:eastAsia="宋体" w:cs="Times New Roman"/>
                      <w:color w:val="auto"/>
                      <w:sz w:val="21"/>
                      <w:szCs w:val="21"/>
                    </w:rPr>
                    <w:t>ug/m</w:t>
                  </w:r>
                  <w:r>
                    <w:rPr>
                      <w:rFonts w:hint="default" w:ascii="Times New Roman" w:hAnsi="Times New Roman" w:eastAsia="宋体" w:cs="Times New Roman"/>
                      <w:b w:val="0"/>
                      <w:bCs w:val="0"/>
                      <w:color w:val="auto"/>
                      <w:sz w:val="21"/>
                      <w:szCs w:val="21"/>
                      <w:vertAlign w:val="superscript"/>
                    </w:rPr>
                    <w:t>3</w:t>
                  </w:r>
                  <w:r>
                    <w:rPr>
                      <w:rFonts w:hint="eastAsia" w:ascii="Times New Roman" w:hAnsi="Times New Roman" w:cs="Times New Roman"/>
                      <w:color w:val="auto"/>
                      <w:sz w:val="21"/>
                      <w:szCs w:val="21"/>
                      <w:lang w:eastAsia="zh-CN"/>
                    </w:rPr>
                    <w:t>）</w:t>
                  </w:r>
                </w:p>
              </w:tc>
              <w:tc>
                <w:tcPr>
                  <w:tcW w:w="1153" w:type="dxa"/>
                  <w:noWrap w:val="0"/>
                  <w:vAlign w:val="center"/>
                </w:tcPr>
                <w:p w14:paraId="4875BE47">
                  <w:pPr>
                    <w:pStyle w:val="16"/>
                    <w:spacing w:line="240" w:lineRule="auto"/>
                    <w:jc w:val="center"/>
                    <w:rPr>
                      <w:rFonts w:hint="default" w:ascii="Times New Roman" w:hAnsi="Times New Roman" w:eastAsia="宋体" w:cs="Times New Roman"/>
                      <w:color w:val="auto"/>
                      <w:sz w:val="21"/>
                      <w:szCs w:val="21"/>
                      <w:lang w:val="en-US" w:eastAsia="zh-CN"/>
                    </w:rPr>
                  </w:pPr>
                  <w:r>
                    <w:rPr>
                      <w:rFonts w:hint="eastAsia" w:ascii="Times New Roman" w:hAnsi="Times New Roman" w:cs="Times New Roman"/>
                      <w:color w:val="auto"/>
                      <w:sz w:val="21"/>
                      <w:szCs w:val="21"/>
                      <w:lang w:val="en-US" w:eastAsia="zh-CN"/>
                    </w:rPr>
                    <w:t>76</w:t>
                  </w:r>
                </w:p>
              </w:tc>
              <w:tc>
                <w:tcPr>
                  <w:tcW w:w="1238" w:type="dxa"/>
                  <w:noWrap w:val="0"/>
                  <w:vAlign w:val="center"/>
                </w:tcPr>
                <w:p w14:paraId="4FBCC276">
                  <w:pPr>
                    <w:pStyle w:val="16"/>
                    <w:spacing w:line="240" w:lineRule="auto"/>
                    <w:jc w:val="center"/>
                    <w:rPr>
                      <w:rFonts w:hint="default" w:ascii="Times New Roman" w:hAnsi="Times New Roman" w:eastAsia="宋体" w:cs="Times New Roman"/>
                      <w:b w:val="0"/>
                      <w:bCs w:val="0"/>
                      <w:color w:val="auto"/>
                      <w:sz w:val="21"/>
                      <w:szCs w:val="21"/>
                      <w:lang w:val="en-US" w:eastAsia="zh-CN"/>
                    </w:rPr>
                  </w:pPr>
                  <w:r>
                    <w:rPr>
                      <w:rFonts w:hint="eastAsia" w:ascii="Times New Roman" w:hAnsi="Times New Roman" w:cs="Times New Roman"/>
                      <w:b w:val="0"/>
                      <w:bCs w:val="0"/>
                      <w:color w:val="auto"/>
                      <w:sz w:val="21"/>
                      <w:szCs w:val="21"/>
                      <w:lang w:val="en-US" w:eastAsia="zh-CN"/>
                    </w:rPr>
                    <w:t>160</w:t>
                  </w:r>
                </w:p>
              </w:tc>
              <w:tc>
                <w:tcPr>
                  <w:tcW w:w="1620" w:type="dxa"/>
                  <w:noWrap w:val="0"/>
                  <w:vAlign w:val="center"/>
                </w:tcPr>
                <w:p w14:paraId="178358E0">
                  <w:pPr>
                    <w:pStyle w:val="16"/>
                    <w:spacing w:line="240" w:lineRule="auto"/>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lang w:val="en-US" w:eastAsia="zh-CN"/>
                    </w:rPr>
                    <w:t>47.50%</w:t>
                  </w:r>
                </w:p>
              </w:tc>
              <w:tc>
                <w:tcPr>
                  <w:tcW w:w="1337" w:type="dxa"/>
                  <w:noWrap w:val="0"/>
                  <w:vAlign w:val="center"/>
                </w:tcPr>
                <w:p w14:paraId="4917DED9">
                  <w:pPr>
                    <w:spacing w:line="240" w:lineRule="auto"/>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b w:val="0"/>
                      <w:bCs w:val="0"/>
                      <w:color w:val="auto"/>
                      <w:sz w:val="21"/>
                      <w:szCs w:val="21"/>
                      <w:lang w:eastAsia="zh-CN"/>
                    </w:rPr>
                    <w:t>达标</w:t>
                  </w:r>
                </w:p>
              </w:tc>
            </w:tr>
            <w:tr w14:paraId="20328A9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04" w:hRule="atLeast"/>
                <w:jc w:val="center"/>
              </w:trPr>
              <w:tc>
                <w:tcPr>
                  <w:tcW w:w="2894" w:type="dxa"/>
                  <w:noWrap w:val="0"/>
                  <w:vAlign w:val="center"/>
                </w:tcPr>
                <w:p w14:paraId="7BC6559F">
                  <w:pPr>
                    <w:pStyle w:val="16"/>
                    <w:spacing w:line="240" w:lineRule="auto"/>
                    <w:jc w:val="center"/>
                    <w:rPr>
                      <w:rFonts w:hint="default" w:ascii="Times New Roman" w:hAnsi="Times New Roman" w:eastAsia="宋体" w:cs="Times New Roman"/>
                      <w:color w:val="auto"/>
                      <w:sz w:val="21"/>
                      <w:szCs w:val="21"/>
                    </w:rPr>
                  </w:pPr>
                  <w:r>
                    <w:rPr>
                      <w:rFonts w:hint="eastAsia" w:ascii="Times New Roman" w:hAnsi="Times New Roman" w:cs="Times New Roman"/>
                      <w:color w:val="auto"/>
                      <w:sz w:val="21"/>
                      <w:szCs w:val="21"/>
                      <w:lang w:val="en-US" w:eastAsia="zh-CN"/>
                    </w:rPr>
                    <w:t>CO</w:t>
                  </w:r>
                  <w:r>
                    <w:rPr>
                      <w:rFonts w:hint="eastAsia" w:ascii="Times New Roman" w:hAnsi="Times New Roman" w:cs="Times New Roman"/>
                      <w:color w:val="auto"/>
                      <w:sz w:val="21"/>
                      <w:szCs w:val="21"/>
                      <w:vertAlign w:val="baseline"/>
                      <w:lang w:val="en-US" w:eastAsia="zh-CN"/>
                    </w:rPr>
                    <w:t>-</w:t>
                  </w:r>
                  <w:r>
                    <w:rPr>
                      <w:rFonts w:hint="default" w:ascii="Times New Roman" w:hAnsi="Times New Roman" w:eastAsia="宋体" w:cs="Times New Roman"/>
                      <w:color w:val="auto"/>
                      <w:sz w:val="21"/>
                      <w:szCs w:val="21"/>
                    </w:rPr>
                    <w:t>95百分位</w:t>
                  </w:r>
                  <w:r>
                    <w:rPr>
                      <w:rFonts w:hint="eastAsia" w:ascii="Times New Roman" w:hAnsi="Times New Roman" w:cs="Times New Roman"/>
                      <w:color w:val="auto"/>
                      <w:sz w:val="21"/>
                      <w:szCs w:val="21"/>
                      <w:lang w:eastAsia="zh-CN"/>
                    </w:rPr>
                    <w:t>（</w:t>
                  </w:r>
                  <w:r>
                    <w:rPr>
                      <w:rFonts w:hint="eastAsia" w:ascii="Times New Roman" w:hAnsi="Times New Roman" w:cs="Times New Roman"/>
                      <w:color w:val="auto"/>
                      <w:sz w:val="21"/>
                      <w:szCs w:val="21"/>
                      <w:lang w:val="en-US" w:eastAsia="zh-CN"/>
                    </w:rPr>
                    <w:t>m</w:t>
                  </w:r>
                  <w:r>
                    <w:rPr>
                      <w:rFonts w:hint="default" w:ascii="Times New Roman" w:hAnsi="Times New Roman" w:eastAsia="宋体" w:cs="Times New Roman"/>
                      <w:color w:val="auto"/>
                      <w:sz w:val="21"/>
                      <w:szCs w:val="21"/>
                    </w:rPr>
                    <w:t>g/m</w:t>
                  </w:r>
                  <w:r>
                    <w:rPr>
                      <w:rFonts w:hint="default" w:ascii="Times New Roman" w:hAnsi="Times New Roman" w:eastAsia="宋体" w:cs="Times New Roman"/>
                      <w:b w:val="0"/>
                      <w:bCs w:val="0"/>
                      <w:color w:val="auto"/>
                      <w:sz w:val="21"/>
                      <w:szCs w:val="21"/>
                      <w:vertAlign w:val="superscript"/>
                    </w:rPr>
                    <w:t>3</w:t>
                  </w:r>
                  <w:r>
                    <w:rPr>
                      <w:rFonts w:hint="eastAsia" w:ascii="Times New Roman" w:hAnsi="Times New Roman" w:cs="Times New Roman"/>
                      <w:color w:val="auto"/>
                      <w:sz w:val="21"/>
                      <w:szCs w:val="21"/>
                      <w:lang w:eastAsia="zh-CN"/>
                    </w:rPr>
                    <w:t>）</w:t>
                  </w:r>
                </w:p>
              </w:tc>
              <w:tc>
                <w:tcPr>
                  <w:tcW w:w="1153" w:type="dxa"/>
                  <w:noWrap w:val="0"/>
                  <w:vAlign w:val="center"/>
                </w:tcPr>
                <w:p w14:paraId="6582D1F6">
                  <w:pPr>
                    <w:pStyle w:val="16"/>
                    <w:spacing w:line="240" w:lineRule="auto"/>
                    <w:jc w:val="center"/>
                    <w:rPr>
                      <w:rFonts w:hint="default" w:ascii="Times New Roman" w:hAnsi="Times New Roman" w:eastAsia="宋体" w:cs="Times New Roman"/>
                      <w:color w:val="auto"/>
                      <w:sz w:val="21"/>
                      <w:szCs w:val="21"/>
                      <w:lang w:val="en-US" w:eastAsia="zh-CN"/>
                    </w:rPr>
                  </w:pPr>
                  <w:r>
                    <w:rPr>
                      <w:rFonts w:hint="eastAsia" w:ascii="Times New Roman" w:hAnsi="Times New Roman" w:cs="Times New Roman"/>
                      <w:color w:val="auto"/>
                      <w:sz w:val="21"/>
                      <w:szCs w:val="21"/>
                      <w:lang w:val="en-US" w:eastAsia="zh-CN"/>
                    </w:rPr>
                    <w:t>1.1</w:t>
                  </w:r>
                </w:p>
              </w:tc>
              <w:tc>
                <w:tcPr>
                  <w:tcW w:w="1238" w:type="dxa"/>
                  <w:noWrap w:val="0"/>
                  <w:vAlign w:val="center"/>
                </w:tcPr>
                <w:p w14:paraId="6F610535">
                  <w:pPr>
                    <w:pStyle w:val="16"/>
                    <w:spacing w:line="240" w:lineRule="auto"/>
                    <w:jc w:val="center"/>
                    <w:rPr>
                      <w:rFonts w:hint="eastAsia" w:ascii="Times New Roman" w:hAnsi="Times New Roman" w:eastAsia="宋体" w:cs="Times New Roman"/>
                      <w:b w:val="0"/>
                      <w:bCs w:val="0"/>
                      <w:color w:val="auto"/>
                      <w:sz w:val="21"/>
                      <w:szCs w:val="21"/>
                      <w:lang w:val="en-US" w:eastAsia="zh-CN"/>
                    </w:rPr>
                  </w:pPr>
                  <w:r>
                    <w:rPr>
                      <w:rFonts w:hint="eastAsia" w:ascii="Times New Roman" w:hAnsi="Times New Roman" w:cs="Times New Roman"/>
                      <w:b w:val="0"/>
                      <w:bCs w:val="0"/>
                      <w:color w:val="auto"/>
                      <w:sz w:val="21"/>
                      <w:szCs w:val="21"/>
                      <w:lang w:val="en-US" w:eastAsia="zh-CN"/>
                    </w:rPr>
                    <w:t>4</w:t>
                  </w:r>
                </w:p>
              </w:tc>
              <w:tc>
                <w:tcPr>
                  <w:tcW w:w="1620" w:type="dxa"/>
                  <w:noWrap w:val="0"/>
                  <w:vAlign w:val="center"/>
                </w:tcPr>
                <w:p w14:paraId="11E06B88">
                  <w:pPr>
                    <w:pStyle w:val="16"/>
                    <w:spacing w:line="240" w:lineRule="auto"/>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lang w:val="en-US" w:eastAsia="zh-CN"/>
                    </w:rPr>
                    <w:t>27.50%</w:t>
                  </w:r>
                </w:p>
              </w:tc>
              <w:tc>
                <w:tcPr>
                  <w:tcW w:w="1337" w:type="dxa"/>
                  <w:noWrap w:val="0"/>
                  <w:vAlign w:val="center"/>
                </w:tcPr>
                <w:p w14:paraId="00D2DE0C">
                  <w:pPr>
                    <w:spacing w:line="240" w:lineRule="auto"/>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b w:val="0"/>
                      <w:bCs w:val="0"/>
                      <w:color w:val="auto"/>
                      <w:sz w:val="21"/>
                      <w:szCs w:val="21"/>
                      <w:lang w:eastAsia="zh-CN"/>
                    </w:rPr>
                    <w:t>达标</w:t>
                  </w:r>
                </w:p>
              </w:tc>
            </w:tr>
            <w:tr w14:paraId="3093775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04" w:hRule="atLeast"/>
                <w:jc w:val="center"/>
              </w:trPr>
              <w:tc>
                <w:tcPr>
                  <w:tcW w:w="2894" w:type="dxa"/>
                  <w:noWrap w:val="0"/>
                  <w:vAlign w:val="center"/>
                </w:tcPr>
                <w:p w14:paraId="16775841">
                  <w:pPr>
                    <w:pStyle w:val="16"/>
                    <w:spacing w:line="240" w:lineRule="auto"/>
                    <w:jc w:val="center"/>
                    <w:rPr>
                      <w:rFonts w:hint="eastAsia" w:ascii="Times New Roman" w:hAnsi="Times New Roman" w:eastAsia="宋体" w:cs="Times New Roman"/>
                      <w:color w:val="auto"/>
                      <w:sz w:val="21"/>
                      <w:szCs w:val="21"/>
                      <w:lang w:val="en-US" w:eastAsia="zh-CN"/>
                    </w:rPr>
                  </w:pPr>
                  <w:r>
                    <w:rPr>
                      <w:rFonts w:hint="eastAsia" w:ascii="Times New Roman" w:hAnsi="Times New Roman" w:cs="Times New Roman"/>
                      <w:color w:val="auto"/>
                      <w:sz w:val="21"/>
                      <w:szCs w:val="21"/>
                      <w:lang w:val="en-US" w:eastAsia="zh-CN"/>
                    </w:rPr>
                    <w:t>PM</w:t>
                  </w:r>
                  <w:r>
                    <w:rPr>
                      <w:rFonts w:hint="eastAsia" w:ascii="Times New Roman" w:hAnsi="Times New Roman" w:cs="Times New Roman"/>
                      <w:color w:val="auto"/>
                      <w:sz w:val="21"/>
                      <w:szCs w:val="21"/>
                      <w:vertAlign w:val="subscript"/>
                      <w:lang w:val="en-US" w:eastAsia="zh-CN"/>
                    </w:rPr>
                    <w:t>10</w:t>
                  </w:r>
                  <w:r>
                    <w:rPr>
                      <w:rFonts w:hint="default" w:ascii="Times New Roman" w:hAnsi="Times New Roman" w:eastAsia="宋体" w:cs="Times New Roman"/>
                      <w:color w:val="auto"/>
                      <w:sz w:val="21"/>
                      <w:szCs w:val="21"/>
                    </w:rPr>
                    <w:t>平均浓度</w:t>
                  </w:r>
                  <w:r>
                    <w:rPr>
                      <w:rFonts w:hint="eastAsia" w:ascii="Times New Roman" w:hAnsi="Times New Roman" w:cs="Times New Roman"/>
                      <w:color w:val="auto"/>
                      <w:sz w:val="21"/>
                      <w:szCs w:val="21"/>
                      <w:lang w:eastAsia="zh-CN"/>
                    </w:rPr>
                    <w:t>（</w:t>
                  </w:r>
                  <w:r>
                    <w:rPr>
                      <w:rFonts w:hint="default" w:ascii="Times New Roman" w:hAnsi="Times New Roman" w:eastAsia="宋体" w:cs="Times New Roman"/>
                      <w:color w:val="auto"/>
                      <w:sz w:val="21"/>
                      <w:szCs w:val="21"/>
                    </w:rPr>
                    <w:t>ug/m</w:t>
                  </w:r>
                  <w:r>
                    <w:rPr>
                      <w:rFonts w:hint="default" w:ascii="Times New Roman" w:hAnsi="Times New Roman" w:eastAsia="宋体" w:cs="Times New Roman"/>
                      <w:b w:val="0"/>
                      <w:bCs w:val="0"/>
                      <w:color w:val="auto"/>
                      <w:sz w:val="21"/>
                      <w:szCs w:val="21"/>
                      <w:vertAlign w:val="superscript"/>
                    </w:rPr>
                    <w:t>3</w:t>
                  </w:r>
                  <w:r>
                    <w:rPr>
                      <w:rFonts w:hint="eastAsia" w:ascii="Times New Roman" w:hAnsi="Times New Roman" w:cs="Times New Roman"/>
                      <w:color w:val="auto"/>
                      <w:sz w:val="21"/>
                      <w:szCs w:val="21"/>
                      <w:lang w:eastAsia="zh-CN"/>
                    </w:rPr>
                    <w:t>）</w:t>
                  </w:r>
                </w:p>
              </w:tc>
              <w:tc>
                <w:tcPr>
                  <w:tcW w:w="1153" w:type="dxa"/>
                  <w:noWrap w:val="0"/>
                  <w:vAlign w:val="center"/>
                </w:tcPr>
                <w:p w14:paraId="33337A08">
                  <w:pPr>
                    <w:pStyle w:val="16"/>
                    <w:spacing w:line="240" w:lineRule="auto"/>
                    <w:jc w:val="center"/>
                    <w:rPr>
                      <w:rFonts w:hint="default" w:ascii="Times New Roman" w:hAnsi="Times New Roman" w:eastAsia="宋体" w:cs="Times New Roman"/>
                      <w:color w:val="auto"/>
                      <w:sz w:val="21"/>
                      <w:szCs w:val="21"/>
                      <w:lang w:val="en-US" w:eastAsia="zh-CN"/>
                    </w:rPr>
                  </w:pPr>
                  <w:r>
                    <w:rPr>
                      <w:rFonts w:hint="eastAsia" w:ascii="Times New Roman" w:hAnsi="Times New Roman" w:cs="Times New Roman"/>
                      <w:color w:val="auto"/>
                      <w:sz w:val="21"/>
                      <w:szCs w:val="21"/>
                      <w:lang w:val="en-US" w:eastAsia="zh-CN"/>
                    </w:rPr>
                    <w:t>55.4</w:t>
                  </w:r>
                </w:p>
              </w:tc>
              <w:tc>
                <w:tcPr>
                  <w:tcW w:w="1238" w:type="dxa"/>
                  <w:noWrap w:val="0"/>
                  <w:vAlign w:val="center"/>
                </w:tcPr>
                <w:p w14:paraId="7E661341">
                  <w:pPr>
                    <w:pStyle w:val="16"/>
                    <w:spacing w:line="240" w:lineRule="auto"/>
                    <w:jc w:val="center"/>
                    <w:rPr>
                      <w:rFonts w:hint="default" w:ascii="Times New Roman" w:hAnsi="Times New Roman" w:eastAsia="宋体" w:cs="Times New Roman"/>
                      <w:b w:val="0"/>
                      <w:bCs w:val="0"/>
                      <w:color w:val="auto"/>
                      <w:sz w:val="21"/>
                      <w:szCs w:val="21"/>
                      <w:lang w:val="en-US" w:eastAsia="zh-CN"/>
                    </w:rPr>
                  </w:pPr>
                  <w:r>
                    <w:rPr>
                      <w:rFonts w:hint="eastAsia" w:ascii="Times New Roman" w:hAnsi="Times New Roman" w:cs="Times New Roman"/>
                      <w:b w:val="0"/>
                      <w:bCs w:val="0"/>
                      <w:color w:val="auto"/>
                      <w:sz w:val="21"/>
                      <w:szCs w:val="21"/>
                      <w:lang w:val="en-US" w:eastAsia="zh-CN"/>
                    </w:rPr>
                    <w:t>70</w:t>
                  </w:r>
                </w:p>
              </w:tc>
              <w:tc>
                <w:tcPr>
                  <w:tcW w:w="1620" w:type="dxa"/>
                  <w:noWrap w:val="0"/>
                  <w:vAlign w:val="center"/>
                </w:tcPr>
                <w:p w14:paraId="656CD0AE">
                  <w:pPr>
                    <w:pStyle w:val="16"/>
                    <w:spacing w:line="240" w:lineRule="auto"/>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lang w:val="en-US" w:eastAsia="zh-CN"/>
                    </w:rPr>
                    <w:t>79.14%</w:t>
                  </w:r>
                </w:p>
              </w:tc>
              <w:tc>
                <w:tcPr>
                  <w:tcW w:w="1337" w:type="dxa"/>
                  <w:noWrap w:val="0"/>
                  <w:vAlign w:val="center"/>
                </w:tcPr>
                <w:p w14:paraId="452AEB2A">
                  <w:pPr>
                    <w:spacing w:line="240" w:lineRule="auto"/>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b w:val="0"/>
                      <w:bCs w:val="0"/>
                      <w:color w:val="auto"/>
                      <w:sz w:val="21"/>
                      <w:szCs w:val="21"/>
                      <w:lang w:eastAsia="zh-CN"/>
                    </w:rPr>
                    <w:t>达标</w:t>
                  </w:r>
                </w:p>
              </w:tc>
            </w:tr>
            <w:tr w14:paraId="7CA4A9E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04" w:hRule="atLeast"/>
                <w:jc w:val="center"/>
              </w:trPr>
              <w:tc>
                <w:tcPr>
                  <w:tcW w:w="2894" w:type="dxa"/>
                  <w:noWrap w:val="0"/>
                  <w:vAlign w:val="center"/>
                </w:tcPr>
                <w:p w14:paraId="24F1FB85">
                  <w:pPr>
                    <w:pStyle w:val="16"/>
                    <w:spacing w:line="240" w:lineRule="auto"/>
                    <w:jc w:val="center"/>
                    <w:rPr>
                      <w:rFonts w:hint="default" w:ascii="Times New Roman" w:hAnsi="Times New Roman" w:eastAsia="宋体" w:cs="Times New Roman"/>
                      <w:color w:val="auto"/>
                      <w:sz w:val="21"/>
                      <w:szCs w:val="21"/>
                    </w:rPr>
                  </w:pPr>
                  <w:r>
                    <w:rPr>
                      <w:rFonts w:hint="eastAsia" w:ascii="Times New Roman" w:hAnsi="Times New Roman" w:cs="Times New Roman"/>
                      <w:color w:val="auto"/>
                      <w:sz w:val="21"/>
                      <w:szCs w:val="21"/>
                      <w:lang w:val="en-US" w:eastAsia="zh-CN"/>
                    </w:rPr>
                    <w:t>PM</w:t>
                  </w:r>
                  <w:r>
                    <w:rPr>
                      <w:rFonts w:hint="eastAsia" w:ascii="Times New Roman" w:hAnsi="Times New Roman" w:cs="Times New Roman"/>
                      <w:color w:val="auto"/>
                      <w:sz w:val="21"/>
                      <w:szCs w:val="21"/>
                      <w:vertAlign w:val="subscript"/>
                      <w:lang w:val="en-US" w:eastAsia="zh-CN"/>
                    </w:rPr>
                    <w:t>2.5</w:t>
                  </w:r>
                  <w:r>
                    <w:rPr>
                      <w:rFonts w:hint="default" w:ascii="Times New Roman" w:hAnsi="Times New Roman" w:eastAsia="宋体" w:cs="Times New Roman"/>
                      <w:color w:val="auto"/>
                      <w:sz w:val="21"/>
                      <w:szCs w:val="21"/>
                    </w:rPr>
                    <w:t>平均浓度</w:t>
                  </w:r>
                  <w:r>
                    <w:rPr>
                      <w:rFonts w:hint="eastAsia" w:ascii="Times New Roman" w:hAnsi="Times New Roman" w:cs="Times New Roman"/>
                      <w:color w:val="auto"/>
                      <w:sz w:val="21"/>
                      <w:szCs w:val="21"/>
                      <w:lang w:eastAsia="zh-CN"/>
                    </w:rPr>
                    <w:t>（</w:t>
                  </w:r>
                  <w:r>
                    <w:rPr>
                      <w:rFonts w:hint="default" w:ascii="Times New Roman" w:hAnsi="Times New Roman" w:eastAsia="宋体" w:cs="Times New Roman"/>
                      <w:color w:val="auto"/>
                      <w:sz w:val="21"/>
                      <w:szCs w:val="21"/>
                    </w:rPr>
                    <w:t>ug/m</w:t>
                  </w:r>
                  <w:r>
                    <w:rPr>
                      <w:rFonts w:hint="default" w:ascii="Times New Roman" w:hAnsi="Times New Roman" w:eastAsia="宋体" w:cs="Times New Roman"/>
                      <w:b w:val="0"/>
                      <w:bCs w:val="0"/>
                      <w:color w:val="auto"/>
                      <w:sz w:val="21"/>
                      <w:szCs w:val="21"/>
                      <w:vertAlign w:val="superscript"/>
                    </w:rPr>
                    <w:t>3</w:t>
                  </w:r>
                  <w:r>
                    <w:rPr>
                      <w:rFonts w:hint="eastAsia" w:ascii="Times New Roman" w:hAnsi="Times New Roman" w:cs="Times New Roman"/>
                      <w:color w:val="auto"/>
                      <w:sz w:val="21"/>
                      <w:szCs w:val="21"/>
                      <w:lang w:eastAsia="zh-CN"/>
                    </w:rPr>
                    <w:t>）</w:t>
                  </w:r>
                </w:p>
              </w:tc>
              <w:tc>
                <w:tcPr>
                  <w:tcW w:w="1153" w:type="dxa"/>
                  <w:noWrap w:val="0"/>
                  <w:vAlign w:val="center"/>
                </w:tcPr>
                <w:p w14:paraId="3C99BD50">
                  <w:pPr>
                    <w:pStyle w:val="16"/>
                    <w:spacing w:line="240" w:lineRule="auto"/>
                    <w:jc w:val="center"/>
                    <w:rPr>
                      <w:rFonts w:hint="default" w:ascii="Times New Roman" w:hAnsi="Times New Roman" w:eastAsia="宋体" w:cs="Times New Roman"/>
                      <w:color w:val="auto"/>
                      <w:sz w:val="21"/>
                      <w:szCs w:val="21"/>
                    </w:rPr>
                  </w:pPr>
                  <w:r>
                    <w:rPr>
                      <w:rFonts w:hint="eastAsia" w:ascii="Times New Roman" w:hAnsi="Times New Roman" w:cs="Times New Roman"/>
                      <w:b w:val="0"/>
                      <w:bCs w:val="0"/>
                      <w:color w:val="auto"/>
                      <w:sz w:val="21"/>
                      <w:szCs w:val="21"/>
                      <w:lang w:val="en-US" w:eastAsia="zh-CN"/>
                    </w:rPr>
                    <w:t>29.8</w:t>
                  </w:r>
                </w:p>
              </w:tc>
              <w:tc>
                <w:tcPr>
                  <w:tcW w:w="1238" w:type="dxa"/>
                  <w:noWrap w:val="0"/>
                  <w:vAlign w:val="center"/>
                </w:tcPr>
                <w:p w14:paraId="3D6CFE27">
                  <w:pPr>
                    <w:pStyle w:val="16"/>
                    <w:spacing w:line="240" w:lineRule="auto"/>
                    <w:jc w:val="center"/>
                    <w:rPr>
                      <w:rFonts w:hint="default" w:ascii="Times New Roman" w:hAnsi="Times New Roman" w:eastAsia="宋体" w:cs="Times New Roman"/>
                      <w:color w:val="auto"/>
                      <w:sz w:val="21"/>
                      <w:szCs w:val="21"/>
                      <w:lang w:val="en-US" w:eastAsia="zh-CN"/>
                    </w:rPr>
                  </w:pPr>
                  <w:r>
                    <w:rPr>
                      <w:rFonts w:hint="eastAsia" w:ascii="Times New Roman" w:hAnsi="Times New Roman" w:cs="Times New Roman"/>
                      <w:color w:val="auto"/>
                      <w:sz w:val="21"/>
                      <w:szCs w:val="21"/>
                      <w:lang w:val="en-US" w:eastAsia="zh-CN"/>
                    </w:rPr>
                    <w:t>35</w:t>
                  </w:r>
                </w:p>
              </w:tc>
              <w:tc>
                <w:tcPr>
                  <w:tcW w:w="1620" w:type="dxa"/>
                  <w:noWrap w:val="0"/>
                  <w:vAlign w:val="center"/>
                </w:tcPr>
                <w:p w14:paraId="69B243FE">
                  <w:pPr>
                    <w:pStyle w:val="16"/>
                    <w:spacing w:line="240" w:lineRule="auto"/>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lang w:val="en-US" w:eastAsia="zh-CN"/>
                    </w:rPr>
                    <w:t>85.14%</w:t>
                  </w:r>
                </w:p>
              </w:tc>
              <w:tc>
                <w:tcPr>
                  <w:tcW w:w="1337" w:type="dxa"/>
                  <w:noWrap w:val="0"/>
                  <w:vAlign w:val="center"/>
                </w:tcPr>
                <w:p w14:paraId="6E885229">
                  <w:pPr>
                    <w:spacing w:line="240" w:lineRule="auto"/>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b w:val="0"/>
                      <w:bCs w:val="0"/>
                      <w:color w:val="auto"/>
                      <w:sz w:val="21"/>
                      <w:szCs w:val="21"/>
                      <w:lang w:eastAsia="zh-CN"/>
                    </w:rPr>
                    <w:t>达标</w:t>
                  </w:r>
                </w:p>
              </w:tc>
            </w:tr>
          </w:tbl>
          <w:p w14:paraId="34B1165F">
            <w:pPr>
              <w:numPr>
                <w:ilvl w:val="0"/>
                <w:numId w:val="0"/>
              </w:numPr>
              <w:bidi w:val="0"/>
              <w:spacing w:line="360" w:lineRule="auto"/>
              <w:ind w:firstLine="480" w:firstLineChars="200"/>
              <w:rPr>
                <w:rFonts w:hint="eastAsia"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根据上表3-</w:t>
            </w:r>
            <w:r>
              <w:rPr>
                <w:rFonts w:hint="eastAsia" w:ascii="Times New Roman" w:hAnsi="Times New Roman" w:eastAsia="宋体" w:cs="Times New Roman"/>
                <w:color w:val="auto"/>
                <w:sz w:val="24"/>
                <w:szCs w:val="24"/>
                <w:lang w:val="en-US" w:eastAsia="zh-CN"/>
              </w:rPr>
              <w:t>1</w:t>
            </w:r>
            <w:r>
              <w:rPr>
                <w:rFonts w:hint="default" w:ascii="Times New Roman" w:hAnsi="Times New Roman" w:eastAsia="宋体" w:cs="Times New Roman"/>
                <w:color w:val="auto"/>
                <w:sz w:val="24"/>
                <w:szCs w:val="24"/>
                <w:lang w:val="en-US" w:eastAsia="zh-CN"/>
              </w:rPr>
              <w:t>分析，</w:t>
            </w:r>
            <w:r>
              <w:rPr>
                <w:rFonts w:hint="eastAsia" w:ascii="Times New Roman" w:hAnsi="Times New Roman" w:eastAsia="宋体" w:cs="Times New Roman"/>
                <w:color w:val="auto"/>
                <w:sz w:val="24"/>
                <w:szCs w:val="24"/>
                <w:lang w:val="en-US" w:eastAsia="zh-CN"/>
              </w:rPr>
              <w:t>本</w:t>
            </w:r>
            <w:r>
              <w:rPr>
                <w:rFonts w:hint="default" w:ascii="Times New Roman" w:hAnsi="Times New Roman" w:eastAsia="宋体" w:cs="Times New Roman"/>
                <w:color w:val="auto"/>
                <w:sz w:val="24"/>
                <w:szCs w:val="24"/>
                <w:lang w:val="en-US" w:eastAsia="zh-CN"/>
              </w:rPr>
              <w:t>项目所在区域空气质量现状各项指标均能达到《环境空气质量标准》（GB3095-2012</w:t>
            </w:r>
            <w:r>
              <w:rPr>
                <w:rFonts w:hint="eastAsia" w:cs="Times New Roman"/>
                <w:color w:val="auto"/>
                <w:sz w:val="24"/>
                <w:szCs w:val="24"/>
                <w:lang w:val="en-US" w:eastAsia="zh-CN"/>
              </w:rPr>
              <w:t>）</w:t>
            </w:r>
            <w:r>
              <w:rPr>
                <w:rFonts w:hint="eastAsia" w:ascii="Times New Roman" w:hAnsi="Times New Roman" w:eastAsia="宋体" w:cs="Times New Roman"/>
                <w:color w:val="auto"/>
                <w:sz w:val="24"/>
                <w:szCs w:val="24"/>
                <w:lang w:val="en-US" w:eastAsia="zh-CN"/>
              </w:rPr>
              <w:t>中</w:t>
            </w:r>
            <w:r>
              <w:rPr>
                <w:rFonts w:hint="default" w:ascii="Times New Roman" w:hAnsi="Times New Roman" w:eastAsia="宋体" w:cs="Times New Roman"/>
                <w:color w:val="auto"/>
                <w:sz w:val="24"/>
                <w:szCs w:val="24"/>
                <w:lang w:val="en-US" w:eastAsia="zh-CN"/>
              </w:rPr>
              <w:t>二级标准要求，属于环境空气质量达标区域</w:t>
            </w:r>
            <w:r>
              <w:rPr>
                <w:rFonts w:hint="default" w:ascii="Times New Roman" w:hAnsi="Times New Roman" w:eastAsia="宋体" w:cs="Times New Roman"/>
                <w:b w:val="0"/>
                <w:bCs w:val="0"/>
                <w:color w:val="auto"/>
                <w:sz w:val="24"/>
                <w:szCs w:val="24"/>
                <w:lang w:val="en-US" w:eastAsia="zh-CN"/>
              </w:rPr>
              <w:t>。</w:t>
            </w:r>
          </w:p>
          <w:p w14:paraId="0341A7DC">
            <w:pPr>
              <w:numPr>
                <w:ilvl w:val="0"/>
                <w:numId w:val="43"/>
              </w:numPr>
              <w:bidi w:val="0"/>
              <w:spacing w:line="360" w:lineRule="auto"/>
              <w:ind w:left="0" w:leftChars="0" w:firstLine="482" w:firstLineChars="200"/>
              <w:rPr>
                <w:rFonts w:hint="eastAsia" w:ascii="Times New Roman" w:hAnsi="Times New Roman" w:eastAsia="宋体" w:cs="Times New Roman"/>
                <w:sz w:val="24"/>
                <w:szCs w:val="24"/>
                <w:lang w:val="en-US" w:eastAsia="zh-CN"/>
              </w:rPr>
            </w:pPr>
            <w:r>
              <w:rPr>
                <w:rFonts w:hint="default" w:ascii="Times New Roman" w:hAnsi="Times New Roman" w:eastAsia="宋体" w:cs="Times New Roman"/>
                <w:b/>
                <w:bCs/>
                <w:color w:val="auto"/>
                <w:sz w:val="24"/>
                <w:szCs w:val="24"/>
                <w:lang w:val="en-US" w:eastAsia="zh-CN"/>
              </w:rPr>
              <w:t>地表水环境质量现状</w:t>
            </w:r>
          </w:p>
          <w:p w14:paraId="07E130C0">
            <w:pPr>
              <w:numPr>
                <w:ilvl w:val="0"/>
                <w:numId w:val="45"/>
              </w:numPr>
              <w:bidi w:val="0"/>
              <w:spacing w:line="360" w:lineRule="auto"/>
              <w:ind w:firstLine="482" w:firstLineChars="200"/>
              <w:rPr>
                <w:rFonts w:hint="eastAsia" w:ascii="Times New Roman" w:hAnsi="Times New Roman" w:eastAsia="宋体" w:cs="Times New Roman"/>
                <w:b/>
                <w:bCs/>
                <w:sz w:val="24"/>
                <w:szCs w:val="24"/>
                <w:lang w:val="en-US" w:eastAsia="zh-CN"/>
              </w:rPr>
            </w:pPr>
            <w:r>
              <w:rPr>
                <w:rFonts w:hint="eastAsia" w:ascii="Times New Roman" w:hAnsi="Times New Roman" w:eastAsia="宋体" w:cs="Times New Roman"/>
                <w:b/>
                <w:bCs/>
                <w:sz w:val="24"/>
                <w:szCs w:val="24"/>
                <w:lang w:val="en-US" w:eastAsia="zh-CN"/>
              </w:rPr>
              <w:t>地表水环境质量现状监测</w:t>
            </w:r>
          </w:p>
          <w:p w14:paraId="3DD71324">
            <w:pPr>
              <w:numPr>
                <w:ilvl w:val="0"/>
                <w:numId w:val="0"/>
              </w:numPr>
              <w:bidi w:val="0"/>
              <w:spacing w:line="360" w:lineRule="auto"/>
              <w:ind w:firstLine="480" w:firstLineChars="200"/>
              <w:rPr>
                <w:rFonts w:hint="eastAsia"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根据《环境影响评价技术导则地表水环境》（HJ2.3-2018）的要求，本项目地表水评价等级为三级B，应优先采用国务院生态环境保护主管部门统一发布的水环境状况信息。</w:t>
            </w:r>
          </w:p>
          <w:p w14:paraId="14465DB6">
            <w:pPr>
              <w:numPr>
                <w:ilvl w:val="0"/>
                <w:numId w:val="0"/>
              </w:numPr>
              <w:bidi w:val="0"/>
              <w:spacing w:line="360" w:lineRule="auto"/>
              <w:ind w:firstLine="480" w:firstLineChars="200"/>
              <w:rPr>
                <w:rFonts w:hint="eastAsia"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本项目附近地表水体为琼江</w:t>
            </w:r>
            <w:r>
              <w:rPr>
                <w:rFonts w:hint="eastAsia" w:cs="Times New Roman"/>
                <w:sz w:val="24"/>
                <w:szCs w:val="24"/>
                <w:lang w:val="en-US" w:eastAsia="zh-CN"/>
              </w:rPr>
              <w:t>，</w:t>
            </w:r>
            <w:r>
              <w:rPr>
                <w:rFonts w:hint="eastAsia" w:ascii="Times New Roman" w:hAnsi="Times New Roman" w:eastAsia="宋体" w:cs="Times New Roman"/>
                <w:sz w:val="24"/>
                <w:szCs w:val="24"/>
                <w:lang w:val="en-US" w:eastAsia="zh-CN"/>
              </w:rPr>
              <w:t>位于项目</w:t>
            </w:r>
            <w:r>
              <w:rPr>
                <w:rFonts w:hint="eastAsia" w:cs="Times New Roman"/>
                <w:sz w:val="24"/>
                <w:szCs w:val="24"/>
                <w:lang w:val="en-US" w:eastAsia="zh-CN"/>
              </w:rPr>
              <w:t>厂界南</w:t>
            </w:r>
            <w:r>
              <w:rPr>
                <w:rFonts w:hint="eastAsia" w:ascii="Times New Roman" w:hAnsi="Times New Roman" w:eastAsia="宋体" w:cs="Times New Roman"/>
                <w:sz w:val="24"/>
                <w:szCs w:val="24"/>
                <w:lang w:val="en-US" w:eastAsia="zh-CN"/>
              </w:rPr>
              <w:t>侧</w:t>
            </w:r>
            <w:r>
              <w:rPr>
                <w:rFonts w:hint="eastAsia" w:cs="Times New Roman"/>
                <w:sz w:val="24"/>
                <w:szCs w:val="24"/>
                <w:lang w:val="en-US" w:eastAsia="zh-CN"/>
              </w:rPr>
              <w:t>2.273k</w:t>
            </w:r>
            <w:r>
              <w:rPr>
                <w:rFonts w:hint="eastAsia" w:ascii="Times New Roman" w:hAnsi="Times New Roman" w:eastAsia="宋体" w:cs="Times New Roman"/>
                <w:sz w:val="24"/>
                <w:szCs w:val="24"/>
                <w:lang w:val="en-US" w:eastAsia="zh-CN"/>
              </w:rPr>
              <w:t>m</w:t>
            </w:r>
            <w:r>
              <w:rPr>
                <w:rFonts w:hint="eastAsia" w:cs="Times New Roman"/>
                <w:sz w:val="24"/>
                <w:szCs w:val="24"/>
                <w:lang w:val="en-US" w:eastAsia="zh-CN"/>
              </w:rPr>
              <w:t>处</w:t>
            </w:r>
            <w:r>
              <w:rPr>
                <w:rFonts w:hint="eastAsia" w:ascii="Times New Roman" w:hAnsi="Times New Roman" w:eastAsia="宋体" w:cs="Times New Roman"/>
                <w:sz w:val="24"/>
                <w:szCs w:val="24"/>
                <w:lang w:val="en-US" w:eastAsia="zh-CN"/>
              </w:rPr>
              <w:t>。为了解项目所在区域地表水环境质量现状</w:t>
            </w:r>
            <w:r>
              <w:rPr>
                <w:rFonts w:hint="eastAsia" w:cs="Times New Roman"/>
                <w:sz w:val="24"/>
                <w:szCs w:val="24"/>
                <w:lang w:val="en-US" w:eastAsia="zh-CN"/>
              </w:rPr>
              <w:t>，</w:t>
            </w:r>
            <w:r>
              <w:rPr>
                <w:rFonts w:hint="eastAsia" w:ascii="Times New Roman" w:hAnsi="Times New Roman" w:eastAsia="宋体" w:cs="Times New Roman"/>
                <w:sz w:val="24"/>
                <w:szCs w:val="24"/>
                <w:lang w:val="en-US" w:eastAsia="zh-CN"/>
              </w:rPr>
              <w:t>本次环评引用遂宁市污染防治攻坚战领导小组办公室2023年1月29日发布的遂污防攻坚办</w:t>
            </w:r>
            <w:r>
              <w:rPr>
                <w:rFonts w:hint="default" w:ascii="Times New Roman" w:hAnsi="Times New Roman" w:eastAsia="宋体" w:cs="Times New Roman"/>
                <w:color w:val="auto"/>
                <w:sz w:val="24"/>
                <w:szCs w:val="24"/>
                <w:lang w:val="en-US" w:eastAsia="zh-CN"/>
              </w:rPr>
              <w:t>〔20</w:t>
            </w:r>
            <w:r>
              <w:rPr>
                <w:rFonts w:hint="eastAsia" w:cs="Times New Roman"/>
                <w:color w:val="auto"/>
                <w:sz w:val="24"/>
                <w:szCs w:val="24"/>
                <w:lang w:val="en-US" w:eastAsia="zh-CN"/>
              </w:rPr>
              <w:t>23</w:t>
            </w:r>
            <w:r>
              <w:rPr>
                <w:rFonts w:hint="default" w:ascii="Times New Roman" w:hAnsi="Times New Roman" w:eastAsia="宋体" w:cs="Times New Roman"/>
                <w:color w:val="auto"/>
                <w:sz w:val="24"/>
                <w:szCs w:val="24"/>
                <w:lang w:val="en-US" w:eastAsia="zh-CN"/>
              </w:rPr>
              <w:t>〕2号</w:t>
            </w:r>
            <w:r>
              <w:rPr>
                <w:rFonts w:hint="eastAsia" w:ascii="Times New Roman" w:hAnsi="Times New Roman" w:eastAsia="宋体" w:cs="Times New Roman"/>
                <w:sz w:val="24"/>
                <w:szCs w:val="24"/>
                <w:lang w:val="en-US" w:eastAsia="zh-CN"/>
              </w:rPr>
              <w:t>中的数据。</w:t>
            </w:r>
          </w:p>
          <w:p w14:paraId="5E8E9AC3">
            <w:pPr>
              <w:numPr>
                <w:ilvl w:val="0"/>
                <w:numId w:val="0"/>
              </w:numPr>
              <w:bidi w:val="0"/>
              <w:spacing w:line="360" w:lineRule="auto"/>
              <w:jc w:val="center"/>
              <w:rPr>
                <w:rFonts w:hint="eastAsia" w:ascii="Times New Roman" w:hAnsi="Times New Roman" w:eastAsia="宋体" w:cs="Times New Roman"/>
                <w:sz w:val="24"/>
                <w:szCs w:val="24"/>
                <w:lang w:val="en-US" w:eastAsia="zh-CN"/>
              </w:rPr>
            </w:pPr>
            <w:r>
              <w:rPr>
                <w:rFonts w:hint="eastAsia" w:ascii="Times New Roman" w:hAnsi="Times New Roman" w:eastAsia="宋体" w:cs="Times New Roman"/>
                <w:b/>
                <w:bCs/>
                <w:sz w:val="21"/>
                <w:szCs w:val="21"/>
                <w:lang w:val="en-US" w:eastAsia="zh-CN"/>
              </w:rPr>
              <w:t>表3-</w:t>
            </w:r>
            <w:r>
              <w:rPr>
                <w:rFonts w:hint="eastAsia" w:cs="Times New Roman"/>
                <w:b/>
                <w:bCs/>
                <w:sz w:val="21"/>
                <w:szCs w:val="21"/>
                <w:lang w:val="en-US" w:eastAsia="zh-CN"/>
              </w:rPr>
              <w:t xml:space="preserve">2 </w:t>
            </w:r>
            <w:r>
              <w:rPr>
                <w:rFonts w:hint="eastAsia" w:ascii="Times New Roman" w:hAnsi="Times New Roman" w:eastAsia="宋体" w:cs="Times New Roman"/>
                <w:b/>
                <w:bCs/>
                <w:sz w:val="21"/>
                <w:szCs w:val="21"/>
                <w:lang w:val="en-US" w:eastAsia="zh-CN"/>
              </w:rPr>
              <w:t>2022年安居区地表水环境质量公告数据</w:t>
            </w:r>
          </w:p>
          <w:tbl>
            <w:tblPr>
              <w:tblStyle w:val="28"/>
              <w:tblW w:w="823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61"/>
              <w:gridCol w:w="1283"/>
              <w:gridCol w:w="909"/>
              <w:gridCol w:w="1091"/>
              <w:gridCol w:w="1334"/>
              <w:gridCol w:w="1375"/>
              <w:gridCol w:w="1385"/>
            </w:tblGrid>
            <w:tr w14:paraId="16EA33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61" w:type="dxa"/>
                  <w:vAlign w:val="center"/>
                </w:tcPr>
                <w:p w14:paraId="2467141F">
                  <w:pPr>
                    <w:numPr>
                      <w:ilvl w:val="0"/>
                      <w:numId w:val="0"/>
                    </w:numPr>
                    <w:bidi w:val="0"/>
                    <w:spacing w:line="240" w:lineRule="auto"/>
                    <w:jc w:val="center"/>
                    <w:rPr>
                      <w:rFonts w:hint="eastAsia" w:ascii="Times New Roman" w:hAnsi="Times New Roman" w:eastAsia="宋体" w:cs="Times New Roman"/>
                      <w:b/>
                      <w:bCs/>
                      <w:sz w:val="21"/>
                      <w:szCs w:val="21"/>
                      <w:vertAlign w:val="baseline"/>
                      <w:lang w:val="en-US" w:eastAsia="zh-CN"/>
                    </w:rPr>
                  </w:pPr>
                  <w:r>
                    <w:rPr>
                      <w:rFonts w:hint="eastAsia" w:ascii="Times New Roman" w:hAnsi="Times New Roman" w:eastAsia="宋体" w:cs="Times New Roman"/>
                      <w:b/>
                      <w:bCs/>
                      <w:sz w:val="21"/>
                      <w:szCs w:val="21"/>
                      <w:vertAlign w:val="baseline"/>
                      <w:lang w:val="en-US" w:eastAsia="zh-CN"/>
                    </w:rPr>
                    <w:t>河流</w:t>
                  </w:r>
                </w:p>
                <w:p w14:paraId="33C3DB1E">
                  <w:pPr>
                    <w:numPr>
                      <w:ilvl w:val="0"/>
                      <w:numId w:val="0"/>
                    </w:numPr>
                    <w:bidi w:val="0"/>
                    <w:spacing w:line="240" w:lineRule="auto"/>
                    <w:jc w:val="center"/>
                    <w:rPr>
                      <w:rFonts w:hint="eastAsia" w:ascii="Times New Roman" w:hAnsi="Times New Roman" w:eastAsia="宋体" w:cs="Times New Roman"/>
                      <w:b/>
                      <w:bCs/>
                      <w:sz w:val="21"/>
                      <w:szCs w:val="21"/>
                      <w:vertAlign w:val="baseline"/>
                      <w:lang w:val="en-US" w:eastAsia="zh-CN"/>
                    </w:rPr>
                  </w:pPr>
                  <w:r>
                    <w:rPr>
                      <w:rFonts w:hint="eastAsia" w:ascii="Times New Roman" w:hAnsi="Times New Roman" w:eastAsia="宋体" w:cs="Times New Roman"/>
                      <w:b/>
                      <w:bCs/>
                      <w:sz w:val="21"/>
                      <w:szCs w:val="21"/>
                      <w:vertAlign w:val="baseline"/>
                      <w:lang w:val="en-US" w:eastAsia="zh-CN"/>
                    </w:rPr>
                    <w:t>名称</w:t>
                  </w:r>
                </w:p>
              </w:tc>
              <w:tc>
                <w:tcPr>
                  <w:tcW w:w="1283" w:type="dxa"/>
                  <w:vAlign w:val="center"/>
                </w:tcPr>
                <w:p w14:paraId="59B193EE">
                  <w:pPr>
                    <w:numPr>
                      <w:ilvl w:val="0"/>
                      <w:numId w:val="0"/>
                    </w:numPr>
                    <w:bidi w:val="0"/>
                    <w:spacing w:line="240" w:lineRule="auto"/>
                    <w:jc w:val="center"/>
                    <w:rPr>
                      <w:rFonts w:hint="eastAsia" w:ascii="Times New Roman" w:hAnsi="Times New Roman" w:eastAsia="宋体" w:cs="Times New Roman"/>
                      <w:b/>
                      <w:bCs/>
                      <w:sz w:val="21"/>
                      <w:szCs w:val="21"/>
                      <w:vertAlign w:val="baseline"/>
                      <w:lang w:val="en-US" w:eastAsia="zh-CN"/>
                    </w:rPr>
                  </w:pPr>
                  <w:r>
                    <w:rPr>
                      <w:rFonts w:hint="eastAsia" w:ascii="Times New Roman" w:hAnsi="Times New Roman" w:eastAsia="宋体" w:cs="Times New Roman"/>
                      <w:b/>
                      <w:bCs/>
                      <w:sz w:val="21"/>
                      <w:szCs w:val="21"/>
                      <w:vertAlign w:val="baseline"/>
                      <w:lang w:val="en-US" w:eastAsia="zh-CN"/>
                    </w:rPr>
                    <w:t>断面名称</w:t>
                  </w:r>
                </w:p>
              </w:tc>
              <w:tc>
                <w:tcPr>
                  <w:tcW w:w="909" w:type="dxa"/>
                  <w:vAlign w:val="center"/>
                </w:tcPr>
                <w:p w14:paraId="6168A772">
                  <w:pPr>
                    <w:numPr>
                      <w:ilvl w:val="0"/>
                      <w:numId w:val="0"/>
                    </w:numPr>
                    <w:bidi w:val="0"/>
                    <w:spacing w:line="240" w:lineRule="auto"/>
                    <w:jc w:val="center"/>
                    <w:rPr>
                      <w:rFonts w:hint="eastAsia" w:ascii="Times New Roman" w:hAnsi="Times New Roman" w:eastAsia="宋体" w:cs="Times New Roman"/>
                      <w:b/>
                      <w:bCs/>
                      <w:sz w:val="21"/>
                      <w:szCs w:val="21"/>
                      <w:vertAlign w:val="baseline"/>
                      <w:lang w:val="en-US" w:eastAsia="zh-CN"/>
                    </w:rPr>
                  </w:pPr>
                  <w:r>
                    <w:rPr>
                      <w:rFonts w:hint="eastAsia" w:ascii="Times New Roman" w:hAnsi="Times New Roman" w:eastAsia="宋体" w:cs="Times New Roman"/>
                      <w:b/>
                      <w:bCs/>
                      <w:sz w:val="21"/>
                      <w:szCs w:val="21"/>
                      <w:vertAlign w:val="baseline"/>
                      <w:lang w:val="en-US" w:eastAsia="zh-CN"/>
                    </w:rPr>
                    <w:t>所在地</w:t>
                  </w:r>
                </w:p>
              </w:tc>
              <w:tc>
                <w:tcPr>
                  <w:tcW w:w="1091" w:type="dxa"/>
                  <w:vAlign w:val="center"/>
                </w:tcPr>
                <w:p w14:paraId="450CA96F">
                  <w:pPr>
                    <w:numPr>
                      <w:ilvl w:val="0"/>
                      <w:numId w:val="0"/>
                    </w:numPr>
                    <w:bidi w:val="0"/>
                    <w:spacing w:line="240" w:lineRule="auto"/>
                    <w:jc w:val="center"/>
                    <w:rPr>
                      <w:rFonts w:hint="eastAsia" w:ascii="Times New Roman" w:hAnsi="Times New Roman" w:eastAsia="宋体" w:cs="Times New Roman"/>
                      <w:b/>
                      <w:bCs/>
                      <w:sz w:val="21"/>
                      <w:szCs w:val="21"/>
                      <w:vertAlign w:val="baseline"/>
                      <w:lang w:val="en-US" w:eastAsia="zh-CN"/>
                    </w:rPr>
                  </w:pPr>
                  <w:r>
                    <w:rPr>
                      <w:rFonts w:hint="eastAsia" w:ascii="Times New Roman" w:hAnsi="Times New Roman" w:eastAsia="宋体" w:cs="Times New Roman"/>
                      <w:b/>
                      <w:bCs/>
                      <w:sz w:val="21"/>
                      <w:szCs w:val="21"/>
                      <w:vertAlign w:val="baseline"/>
                      <w:lang w:val="en-US" w:eastAsia="zh-CN"/>
                    </w:rPr>
                    <w:t>规定类别</w:t>
                  </w:r>
                </w:p>
              </w:tc>
              <w:tc>
                <w:tcPr>
                  <w:tcW w:w="1334" w:type="dxa"/>
                  <w:vAlign w:val="center"/>
                </w:tcPr>
                <w:p w14:paraId="192B677B">
                  <w:pPr>
                    <w:numPr>
                      <w:ilvl w:val="0"/>
                      <w:numId w:val="0"/>
                    </w:numPr>
                    <w:bidi w:val="0"/>
                    <w:spacing w:line="240" w:lineRule="auto"/>
                    <w:jc w:val="center"/>
                    <w:rPr>
                      <w:rFonts w:hint="eastAsia" w:ascii="Times New Roman" w:hAnsi="Times New Roman" w:eastAsia="宋体" w:cs="Times New Roman"/>
                      <w:b/>
                      <w:bCs/>
                      <w:sz w:val="21"/>
                      <w:szCs w:val="21"/>
                      <w:vertAlign w:val="baseline"/>
                      <w:lang w:val="en-US" w:eastAsia="zh-CN"/>
                    </w:rPr>
                  </w:pPr>
                  <w:r>
                    <w:rPr>
                      <w:rFonts w:hint="eastAsia" w:ascii="Times New Roman" w:hAnsi="Times New Roman" w:eastAsia="宋体" w:cs="Times New Roman"/>
                      <w:b/>
                      <w:bCs/>
                      <w:sz w:val="21"/>
                      <w:szCs w:val="21"/>
                      <w:vertAlign w:val="baseline"/>
                      <w:lang w:val="en-US" w:eastAsia="zh-CN"/>
                    </w:rPr>
                    <w:t>上年度类别</w:t>
                  </w:r>
                </w:p>
              </w:tc>
              <w:tc>
                <w:tcPr>
                  <w:tcW w:w="1375" w:type="dxa"/>
                  <w:vAlign w:val="center"/>
                </w:tcPr>
                <w:p w14:paraId="4EC6987D">
                  <w:pPr>
                    <w:numPr>
                      <w:ilvl w:val="0"/>
                      <w:numId w:val="0"/>
                    </w:numPr>
                    <w:bidi w:val="0"/>
                    <w:spacing w:line="240" w:lineRule="auto"/>
                    <w:jc w:val="center"/>
                    <w:rPr>
                      <w:rFonts w:hint="eastAsia" w:ascii="Times New Roman" w:hAnsi="Times New Roman" w:eastAsia="宋体" w:cs="Times New Roman"/>
                      <w:b/>
                      <w:bCs/>
                      <w:sz w:val="21"/>
                      <w:szCs w:val="21"/>
                      <w:vertAlign w:val="baseline"/>
                      <w:lang w:val="en-US" w:eastAsia="zh-CN"/>
                    </w:rPr>
                  </w:pPr>
                  <w:r>
                    <w:rPr>
                      <w:rFonts w:hint="eastAsia" w:ascii="Times New Roman" w:hAnsi="Times New Roman" w:eastAsia="宋体" w:cs="Times New Roman"/>
                      <w:b/>
                      <w:bCs/>
                      <w:sz w:val="21"/>
                      <w:szCs w:val="21"/>
                      <w:vertAlign w:val="baseline"/>
                      <w:lang w:val="en-US" w:eastAsia="zh-CN"/>
                    </w:rPr>
                    <w:t>本年度类别</w:t>
                  </w:r>
                </w:p>
              </w:tc>
              <w:tc>
                <w:tcPr>
                  <w:tcW w:w="1385" w:type="dxa"/>
                  <w:vAlign w:val="center"/>
                </w:tcPr>
                <w:p w14:paraId="5BC0FE30">
                  <w:pPr>
                    <w:numPr>
                      <w:ilvl w:val="0"/>
                      <w:numId w:val="0"/>
                    </w:numPr>
                    <w:bidi w:val="0"/>
                    <w:spacing w:line="240" w:lineRule="auto"/>
                    <w:jc w:val="center"/>
                    <w:rPr>
                      <w:rFonts w:hint="eastAsia" w:ascii="Times New Roman" w:hAnsi="Times New Roman" w:eastAsia="宋体" w:cs="Times New Roman"/>
                      <w:b/>
                      <w:bCs/>
                      <w:sz w:val="21"/>
                      <w:szCs w:val="21"/>
                      <w:vertAlign w:val="baseline"/>
                      <w:lang w:val="en-US" w:eastAsia="zh-CN"/>
                    </w:rPr>
                  </w:pPr>
                  <w:r>
                    <w:rPr>
                      <w:rFonts w:hint="eastAsia" w:ascii="Times New Roman" w:hAnsi="Times New Roman" w:eastAsia="宋体" w:cs="Times New Roman"/>
                      <w:b/>
                      <w:bCs/>
                      <w:sz w:val="21"/>
                      <w:szCs w:val="21"/>
                      <w:vertAlign w:val="baseline"/>
                      <w:lang w:val="en-US" w:eastAsia="zh-CN"/>
                    </w:rPr>
                    <w:t>主要污染指标/超标倍数</w:t>
                  </w:r>
                </w:p>
              </w:tc>
            </w:tr>
            <w:tr w14:paraId="78258F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861" w:type="dxa"/>
                  <w:vAlign w:val="center"/>
                </w:tcPr>
                <w:p w14:paraId="464A86F5">
                  <w:pPr>
                    <w:numPr>
                      <w:ilvl w:val="0"/>
                      <w:numId w:val="0"/>
                    </w:numPr>
                    <w:bidi w:val="0"/>
                    <w:spacing w:line="240" w:lineRule="auto"/>
                    <w:jc w:val="center"/>
                    <w:rPr>
                      <w:rFonts w:hint="eastAsia" w:ascii="Times New Roman" w:hAnsi="Times New Roman" w:eastAsia="宋体" w:cs="Times New Roman"/>
                      <w:sz w:val="21"/>
                      <w:szCs w:val="21"/>
                      <w:vertAlign w:val="baseline"/>
                      <w:lang w:val="en-US" w:eastAsia="zh-CN"/>
                    </w:rPr>
                  </w:pPr>
                  <w:r>
                    <w:rPr>
                      <w:rFonts w:hint="eastAsia" w:ascii="Times New Roman" w:hAnsi="Times New Roman" w:eastAsia="宋体" w:cs="Times New Roman"/>
                      <w:sz w:val="21"/>
                      <w:szCs w:val="21"/>
                      <w:vertAlign w:val="baseline"/>
                      <w:lang w:val="en-US" w:eastAsia="zh-CN"/>
                    </w:rPr>
                    <w:t>琼江</w:t>
                  </w:r>
                </w:p>
              </w:tc>
              <w:tc>
                <w:tcPr>
                  <w:tcW w:w="1283" w:type="dxa"/>
                  <w:vAlign w:val="center"/>
                </w:tcPr>
                <w:p w14:paraId="594056F5">
                  <w:pPr>
                    <w:numPr>
                      <w:ilvl w:val="0"/>
                      <w:numId w:val="0"/>
                    </w:numPr>
                    <w:bidi w:val="0"/>
                    <w:spacing w:line="240" w:lineRule="auto"/>
                    <w:jc w:val="center"/>
                    <w:rPr>
                      <w:rFonts w:hint="eastAsia" w:ascii="Times New Roman" w:hAnsi="Times New Roman" w:eastAsia="宋体" w:cs="Times New Roman"/>
                      <w:sz w:val="21"/>
                      <w:szCs w:val="21"/>
                      <w:vertAlign w:val="baseline"/>
                      <w:lang w:val="en-US" w:eastAsia="zh-CN"/>
                    </w:rPr>
                  </w:pPr>
                  <w:r>
                    <w:rPr>
                      <w:rFonts w:hint="eastAsia" w:cs="Times New Roman"/>
                      <w:sz w:val="21"/>
                      <w:szCs w:val="21"/>
                      <w:vertAlign w:val="baseline"/>
                      <w:lang w:val="en-US" w:eastAsia="zh-CN"/>
                    </w:rPr>
                    <w:t>大安</w:t>
                  </w:r>
                </w:p>
              </w:tc>
              <w:tc>
                <w:tcPr>
                  <w:tcW w:w="909" w:type="dxa"/>
                  <w:vAlign w:val="center"/>
                </w:tcPr>
                <w:p w14:paraId="23DFCFFE">
                  <w:pPr>
                    <w:numPr>
                      <w:ilvl w:val="0"/>
                      <w:numId w:val="0"/>
                    </w:numPr>
                    <w:bidi w:val="0"/>
                    <w:spacing w:line="240" w:lineRule="auto"/>
                    <w:jc w:val="center"/>
                    <w:rPr>
                      <w:rFonts w:hint="eastAsia" w:ascii="Times New Roman" w:hAnsi="Times New Roman" w:eastAsia="宋体" w:cs="Times New Roman"/>
                      <w:sz w:val="21"/>
                      <w:szCs w:val="21"/>
                      <w:vertAlign w:val="baseline"/>
                      <w:lang w:val="en-US" w:eastAsia="zh-CN"/>
                    </w:rPr>
                  </w:pPr>
                  <w:r>
                    <w:rPr>
                      <w:rFonts w:hint="eastAsia" w:ascii="Times New Roman" w:hAnsi="Times New Roman" w:eastAsia="宋体" w:cs="Times New Roman"/>
                      <w:sz w:val="21"/>
                      <w:szCs w:val="21"/>
                      <w:vertAlign w:val="baseline"/>
                      <w:lang w:val="en-US" w:eastAsia="zh-CN"/>
                    </w:rPr>
                    <w:t>安居区大安乡</w:t>
                  </w:r>
                </w:p>
              </w:tc>
              <w:tc>
                <w:tcPr>
                  <w:tcW w:w="1091" w:type="dxa"/>
                  <w:vAlign w:val="center"/>
                </w:tcPr>
                <w:p w14:paraId="6594CC5E">
                  <w:pPr>
                    <w:numPr>
                      <w:ilvl w:val="0"/>
                      <w:numId w:val="0"/>
                    </w:numPr>
                    <w:bidi w:val="0"/>
                    <w:spacing w:line="240" w:lineRule="auto"/>
                    <w:jc w:val="center"/>
                    <w:rPr>
                      <w:rFonts w:hint="eastAsia" w:ascii="Times New Roman" w:hAnsi="Times New Roman" w:eastAsia="宋体" w:cs="Times New Roman"/>
                      <w:sz w:val="21"/>
                      <w:szCs w:val="21"/>
                      <w:vertAlign w:val="baseline"/>
                      <w:lang w:val="en-US" w:eastAsia="zh-CN"/>
                    </w:rPr>
                  </w:pPr>
                  <w:r>
                    <w:rPr>
                      <w:rFonts w:hint="eastAsia" w:ascii="Times New Roman" w:hAnsi="Times New Roman" w:eastAsia="宋体" w:cs="Times New Roman"/>
                      <w:sz w:val="21"/>
                      <w:szCs w:val="21"/>
                      <w:vertAlign w:val="baseline"/>
                      <w:lang w:val="en-US" w:eastAsia="zh-CN"/>
                    </w:rPr>
                    <w:t>Ⅲ</w:t>
                  </w:r>
                </w:p>
              </w:tc>
              <w:tc>
                <w:tcPr>
                  <w:tcW w:w="1334" w:type="dxa"/>
                  <w:vAlign w:val="center"/>
                </w:tcPr>
                <w:p w14:paraId="6CD464E3">
                  <w:pPr>
                    <w:numPr>
                      <w:ilvl w:val="0"/>
                      <w:numId w:val="0"/>
                    </w:numPr>
                    <w:bidi w:val="0"/>
                    <w:spacing w:line="240" w:lineRule="auto"/>
                    <w:jc w:val="center"/>
                    <w:rPr>
                      <w:rFonts w:hint="eastAsia" w:ascii="Times New Roman" w:hAnsi="Times New Roman" w:eastAsia="宋体" w:cs="Times New Roman"/>
                      <w:sz w:val="21"/>
                      <w:szCs w:val="21"/>
                      <w:vertAlign w:val="baseline"/>
                      <w:lang w:val="en-US" w:eastAsia="zh-CN"/>
                    </w:rPr>
                  </w:pPr>
                  <w:r>
                    <w:rPr>
                      <w:rFonts w:hint="eastAsia" w:ascii="Times New Roman" w:hAnsi="Times New Roman" w:eastAsia="宋体" w:cs="Times New Roman"/>
                      <w:sz w:val="21"/>
                      <w:szCs w:val="21"/>
                      <w:vertAlign w:val="baseline"/>
                      <w:lang w:val="en-US" w:eastAsia="zh-CN"/>
                    </w:rPr>
                    <w:t>Ⅲ</w:t>
                  </w:r>
                </w:p>
              </w:tc>
              <w:tc>
                <w:tcPr>
                  <w:tcW w:w="1375" w:type="dxa"/>
                  <w:vAlign w:val="center"/>
                </w:tcPr>
                <w:p w14:paraId="0C8EE268">
                  <w:pPr>
                    <w:numPr>
                      <w:ilvl w:val="0"/>
                      <w:numId w:val="0"/>
                    </w:numPr>
                    <w:bidi w:val="0"/>
                    <w:spacing w:line="240" w:lineRule="auto"/>
                    <w:jc w:val="center"/>
                    <w:rPr>
                      <w:rFonts w:hint="eastAsia" w:ascii="Times New Roman" w:hAnsi="Times New Roman" w:eastAsia="宋体" w:cs="Times New Roman"/>
                      <w:sz w:val="21"/>
                      <w:szCs w:val="21"/>
                      <w:vertAlign w:val="baseline"/>
                      <w:lang w:val="en-US" w:eastAsia="zh-CN"/>
                    </w:rPr>
                  </w:pPr>
                  <w:r>
                    <w:rPr>
                      <w:rFonts w:hint="eastAsia" w:ascii="Times New Roman" w:hAnsi="Times New Roman" w:eastAsia="宋体" w:cs="Times New Roman"/>
                      <w:sz w:val="21"/>
                      <w:szCs w:val="21"/>
                      <w:vertAlign w:val="baseline"/>
                      <w:lang w:val="en-US" w:eastAsia="zh-CN"/>
                    </w:rPr>
                    <w:t>Ⅲ</w:t>
                  </w:r>
                </w:p>
              </w:tc>
              <w:tc>
                <w:tcPr>
                  <w:tcW w:w="1385" w:type="dxa"/>
                  <w:vAlign w:val="center"/>
                </w:tcPr>
                <w:p w14:paraId="46B21EF8">
                  <w:pPr>
                    <w:numPr>
                      <w:ilvl w:val="0"/>
                      <w:numId w:val="0"/>
                    </w:numPr>
                    <w:bidi w:val="0"/>
                    <w:spacing w:line="240" w:lineRule="auto"/>
                    <w:jc w:val="center"/>
                    <w:rPr>
                      <w:rFonts w:hint="eastAsia" w:ascii="Times New Roman" w:hAnsi="Times New Roman" w:eastAsia="宋体" w:cs="Times New Roman"/>
                      <w:sz w:val="21"/>
                      <w:szCs w:val="21"/>
                      <w:vertAlign w:val="baseline"/>
                      <w:lang w:val="en-US" w:eastAsia="zh-CN"/>
                    </w:rPr>
                  </w:pPr>
                  <w:r>
                    <w:rPr>
                      <w:rFonts w:hint="eastAsia" w:ascii="Times New Roman" w:hAnsi="Times New Roman" w:eastAsia="宋体" w:cs="Times New Roman"/>
                      <w:sz w:val="21"/>
                      <w:szCs w:val="21"/>
                      <w:vertAlign w:val="baseline"/>
                      <w:lang w:val="en-US" w:eastAsia="zh-CN"/>
                    </w:rPr>
                    <w:t>/</w:t>
                  </w:r>
                </w:p>
              </w:tc>
            </w:tr>
          </w:tbl>
          <w:p w14:paraId="1BB95405">
            <w:pPr>
              <w:numPr>
                <w:ilvl w:val="0"/>
                <w:numId w:val="0"/>
              </w:numPr>
              <w:bidi w:val="0"/>
              <w:spacing w:line="360" w:lineRule="auto"/>
              <w:ind w:firstLine="422" w:firstLineChars="200"/>
              <w:rPr>
                <w:rFonts w:hint="eastAsia" w:ascii="Times New Roman" w:hAnsi="Times New Roman" w:eastAsia="宋体" w:cs="Times New Roman"/>
                <w:b/>
                <w:bCs/>
                <w:sz w:val="21"/>
                <w:szCs w:val="21"/>
                <w:lang w:val="en-US" w:eastAsia="zh-CN"/>
              </w:rPr>
            </w:pPr>
            <w:r>
              <w:rPr>
                <w:rFonts w:hint="eastAsia" w:ascii="Times New Roman" w:hAnsi="Times New Roman" w:eastAsia="宋体" w:cs="Times New Roman"/>
                <w:b/>
                <w:bCs/>
                <w:sz w:val="21"/>
                <w:szCs w:val="21"/>
                <w:lang w:val="en-US" w:eastAsia="zh-CN"/>
              </w:rPr>
              <w:t>注：</w:t>
            </w:r>
          </w:p>
          <w:p w14:paraId="79D7763C">
            <w:pPr>
              <w:numPr>
                <w:ilvl w:val="0"/>
                <w:numId w:val="46"/>
              </w:numPr>
              <w:bidi w:val="0"/>
              <w:spacing w:line="360" w:lineRule="auto"/>
              <w:ind w:firstLine="420" w:firstLineChars="200"/>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地表水环境评价执行《地表水环境质量标准》（GB3838-2002）和《地表水环境质量评价办法（试行）》（环办〔2011〕22号）。</w:t>
            </w:r>
          </w:p>
          <w:p w14:paraId="42236D21">
            <w:pPr>
              <w:numPr>
                <w:ilvl w:val="0"/>
                <w:numId w:val="46"/>
              </w:numPr>
              <w:bidi w:val="0"/>
              <w:spacing w:line="360" w:lineRule="auto"/>
              <w:ind w:firstLine="420" w:firstLineChars="200"/>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21项评价指标为：pH、溶解氧、高锰酸盐指数、五日生化需氧量、氨氮、石油类、酚、汞、铅、镉、阴离子表面活性剂、铬（六价）、氟化物、总磷、氰化物、化学需氧量、硫化物、砷、铜、锌、硒。</w:t>
            </w:r>
          </w:p>
          <w:p w14:paraId="26BB8009">
            <w:pPr>
              <w:numPr>
                <w:ilvl w:val="0"/>
                <w:numId w:val="46"/>
              </w:numPr>
              <w:bidi w:val="0"/>
              <w:spacing w:line="360" w:lineRule="auto"/>
              <w:ind w:firstLine="420" w:firstLineChars="200"/>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超过Ⅲ类水质标准的指标为断面污染指标，取超标倍数最大的前三项为主要污染指标。</w:t>
            </w:r>
          </w:p>
          <w:p w14:paraId="104CD24B">
            <w:pPr>
              <w:numPr>
                <w:ilvl w:val="0"/>
                <w:numId w:val="45"/>
              </w:numPr>
              <w:bidi w:val="0"/>
              <w:spacing w:line="360" w:lineRule="auto"/>
              <w:ind w:left="0" w:leftChars="0" w:firstLine="482" w:firstLineChars="200"/>
              <w:rPr>
                <w:rFonts w:hint="default" w:ascii="Times New Roman" w:hAnsi="Times New Roman" w:eastAsia="宋体" w:cs="Times New Roman"/>
                <w:b/>
                <w:bCs/>
                <w:sz w:val="24"/>
                <w:szCs w:val="24"/>
                <w:lang w:val="en-US" w:eastAsia="zh-CN"/>
              </w:rPr>
            </w:pPr>
            <w:r>
              <w:rPr>
                <w:rFonts w:hint="default" w:ascii="Times New Roman" w:hAnsi="Times New Roman" w:eastAsia="宋体" w:cs="Times New Roman"/>
                <w:b/>
                <w:bCs/>
                <w:sz w:val="24"/>
                <w:szCs w:val="24"/>
                <w:lang w:val="en-US" w:eastAsia="zh-CN"/>
              </w:rPr>
              <w:t>评价结论</w:t>
            </w:r>
          </w:p>
          <w:p w14:paraId="0321345E">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eastAsia" w:cs="Times New Roman"/>
                <w:sz w:val="24"/>
                <w:szCs w:val="24"/>
                <w:lang w:val="en-US" w:eastAsia="zh-CN"/>
              </w:rPr>
              <w:t>根据环境质量公报数据进行分析，安居区琼江大安监测断面水质符合规定水质标准，琼江水质满足</w:t>
            </w:r>
            <w:r>
              <w:rPr>
                <w:rFonts w:hint="default" w:ascii="Times New Roman" w:hAnsi="Times New Roman" w:eastAsia="宋体" w:cs="Times New Roman"/>
                <w:sz w:val="24"/>
                <w:szCs w:val="24"/>
                <w:lang w:val="en-US" w:eastAsia="zh-CN"/>
              </w:rPr>
              <w:t>《地表水环境质量标准》（GB3838-2002）III类</w:t>
            </w:r>
            <w:r>
              <w:rPr>
                <w:rFonts w:hint="eastAsia" w:cs="Times New Roman"/>
                <w:sz w:val="24"/>
                <w:szCs w:val="24"/>
                <w:lang w:val="en-US" w:eastAsia="zh-CN"/>
              </w:rPr>
              <w:t>水质要求。</w:t>
            </w:r>
          </w:p>
          <w:p w14:paraId="4D86B7DB">
            <w:pPr>
              <w:numPr>
                <w:ilvl w:val="0"/>
                <w:numId w:val="43"/>
              </w:numPr>
              <w:bidi w:val="0"/>
              <w:spacing w:line="360" w:lineRule="auto"/>
              <w:ind w:left="0" w:leftChars="0" w:firstLine="482"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b/>
                <w:bCs/>
                <w:sz w:val="24"/>
                <w:szCs w:val="24"/>
                <w:lang w:val="en-US" w:eastAsia="zh-CN"/>
              </w:rPr>
              <w:t>声环境质量现状</w:t>
            </w:r>
          </w:p>
          <w:p w14:paraId="75E20954">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根据《建设项目环境影响报告表编制技术指南》（污染影响类</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（试行</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w:t>
            </w:r>
            <w:r>
              <w:rPr>
                <w:rFonts w:hint="eastAsia" w:ascii="Times New Roman" w:hAnsi="Times New Roman" w:eastAsia="宋体" w:cs="Times New Roman"/>
                <w:sz w:val="24"/>
                <w:szCs w:val="24"/>
                <w:lang w:val="en-US" w:eastAsia="zh-CN"/>
              </w:rPr>
              <w:t>“</w:t>
            </w:r>
            <w:r>
              <w:rPr>
                <w:rFonts w:hint="default" w:ascii="Times New Roman" w:hAnsi="Times New Roman" w:eastAsia="宋体" w:cs="Times New Roman"/>
                <w:sz w:val="24"/>
                <w:szCs w:val="24"/>
                <w:lang w:val="en-US" w:eastAsia="zh-CN"/>
              </w:rPr>
              <w:t>厂界外周边50米范围内存在声环境保护目标的建设项目，应监测保护目标声环境质量现状并评价达标情况</w:t>
            </w:r>
            <w:r>
              <w:rPr>
                <w:rFonts w:hint="eastAsia" w:ascii="Times New Roman" w:hAnsi="Times New Roman" w:eastAsia="宋体" w:cs="Times New Roman"/>
                <w:sz w:val="24"/>
                <w:szCs w:val="24"/>
                <w:lang w:val="en-US" w:eastAsia="zh-CN"/>
              </w:rPr>
              <w:t>”。</w:t>
            </w:r>
          </w:p>
          <w:p w14:paraId="1B202C3C">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根据现场踏勘，</w:t>
            </w:r>
            <w:r>
              <w:rPr>
                <w:rFonts w:hint="eastAsia" w:ascii="Times New Roman" w:hAnsi="Times New Roman" w:eastAsia="宋体" w:cs="Times New Roman"/>
                <w:sz w:val="24"/>
                <w:szCs w:val="24"/>
                <w:lang w:val="en-US" w:eastAsia="zh-CN"/>
              </w:rPr>
              <w:t>本</w:t>
            </w:r>
            <w:r>
              <w:rPr>
                <w:rFonts w:hint="default" w:ascii="Times New Roman" w:hAnsi="Times New Roman" w:eastAsia="宋体" w:cs="Times New Roman"/>
                <w:sz w:val="24"/>
                <w:szCs w:val="24"/>
                <w:lang w:val="en-US" w:eastAsia="zh-CN"/>
              </w:rPr>
              <w:t>项目厂界外周边50米范围内，不存在声环境保护目标；因此，无需对声环境质量现状达标情况进行监测评价。</w:t>
            </w:r>
          </w:p>
          <w:p w14:paraId="2E5A7379">
            <w:pPr>
              <w:numPr>
                <w:ilvl w:val="0"/>
                <w:numId w:val="43"/>
              </w:numPr>
              <w:bidi w:val="0"/>
              <w:spacing w:line="360" w:lineRule="auto"/>
              <w:ind w:left="0" w:leftChars="0" w:firstLine="482" w:firstLineChars="200"/>
              <w:rPr>
                <w:rFonts w:hint="default" w:ascii="Times New Roman" w:hAnsi="Times New Roman" w:eastAsia="宋体" w:cs="Times New Roman"/>
                <w:b/>
                <w:bCs/>
                <w:sz w:val="24"/>
                <w:szCs w:val="24"/>
                <w:lang w:val="en-US" w:eastAsia="zh-CN"/>
              </w:rPr>
            </w:pPr>
            <w:r>
              <w:rPr>
                <w:rFonts w:hint="default" w:ascii="Times New Roman" w:hAnsi="Times New Roman" w:eastAsia="宋体" w:cs="Times New Roman"/>
                <w:b/>
                <w:bCs/>
                <w:sz w:val="24"/>
                <w:szCs w:val="24"/>
                <w:lang w:val="en-US" w:eastAsia="zh-CN"/>
              </w:rPr>
              <w:t>生态环境</w:t>
            </w:r>
          </w:p>
          <w:p w14:paraId="367AA1DF">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根据《建设项目环境影响报告表编制技术指南》（污染影响类</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（试行</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w:t>
            </w:r>
            <w:r>
              <w:rPr>
                <w:rFonts w:hint="eastAsia" w:ascii="Times New Roman" w:hAnsi="Times New Roman" w:eastAsia="宋体" w:cs="Times New Roman"/>
                <w:sz w:val="24"/>
                <w:szCs w:val="24"/>
                <w:lang w:val="en-US" w:eastAsia="zh-CN"/>
              </w:rPr>
              <w:t>“</w:t>
            </w:r>
            <w:r>
              <w:rPr>
                <w:rFonts w:hint="default" w:ascii="Times New Roman" w:hAnsi="Times New Roman" w:eastAsia="宋体" w:cs="Times New Roman"/>
                <w:sz w:val="24"/>
                <w:szCs w:val="24"/>
                <w:lang w:val="en-US" w:eastAsia="zh-CN"/>
              </w:rPr>
              <w:t>产业园区外建设项目新增用地且用地范围内含有生态环境保护目标时，应进行生态现状调查</w:t>
            </w:r>
            <w:r>
              <w:rPr>
                <w:rFonts w:hint="eastAsia" w:ascii="Times New Roman" w:hAnsi="Times New Roman" w:eastAsia="宋体" w:cs="Times New Roman"/>
                <w:sz w:val="24"/>
                <w:szCs w:val="24"/>
                <w:lang w:val="en-US" w:eastAsia="zh-CN"/>
              </w:rPr>
              <w:t>”</w:t>
            </w:r>
            <w:r>
              <w:rPr>
                <w:rFonts w:hint="default" w:ascii="Times New Roman" w:hAnsi="Times New Roman" w:eastAsia="宋体" w:cs="Times New Roman"/>
                <w:sz w:val="24"/>
                <w:szCs w:val="24"/>
                <w:lang w:val="en-US" w:eastAsia="zh-CN"/>
              </w:rPr>
              <w:t>。</w:t>
            </w:r>
          </w:p>
          <w:p w14:paraId="3C0F4699">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本项目选址遂宁市安居区工业集中发展区（含经开区）</w:t>
            </w:r>
            <w:r>
              <w:rPr>
                <w:rFonts w:hint="default" w:ascii="Times New Roman" w:hAnsi="Times New Roman" w:eastAsia="宋体" w:cs="Times New Roman"/>
                <w:sz w:val="24"/>
                <w:szCs w:val="24"/>
                <w:lang w:val="en-US" w:eastAsia="zh-CN"/>
              </w:rPr>
              <w:t>内，</w:t>
            </w:r>
            <w:r>
              <w:rPr>
                <w:rFonts w:hint="eastAsia" w:cs="Times New Roman"/>
                <w:sz w:val="24"/>
                <w:szCs w:val="24"/>
                <w:lang w:val="en-US" w:eastAsia="zh-CN"/>
              </w:rPr>
              <w:t>不</w:t>
            </w:r>
            <w:r>
              <w:rPr>
                <w:rFonts w:hint="default" w:ascii="Times New Roman" w:hAnsi="Times New Roman" w:eastAsia="宋体" w:cs="Times New Roman"/>
                <w:sz w:val="24"/>
                <w:szCs w:val="24"/>
                <w:lang w:val="en-US" w:eastAsia="zh-CN"/>
              </w:rPr>
              <w:t>新增用地且用地范围内无生态环境保护目标存在</w:t>
            </w:r>
            <w:r>
              <w:rPr>
                <w:rFonts w:hint="eastAsia" w:ascii="Times New Roman" w:hAnsi="Times New Roman" w:eastAsia="宋体" w:cs="Times New Roman"/>
                <w:sz w:val="24"/>
                <w:szCs w:val="24"/>
                <w:lang w:val="en-US" w:eastAsia="zh-CN"/>
              </w:rPr>
              <w:t>；</w:t>
            </w:r>
            <w:r>
              <w:rPr>
                <w:rFonts w:hint="default" w:ascii="Times New Roman" w:hAnsi="Times New Roman" w:eastAsia="宋体" w:cs="Times New Roman"/>
                <w:sz w:val="24"/>
                <w:szCs w:val="24"/>
                <w:lang w:val="en-US" w:eastAsia="zh-CN"/>
              </w:rPr>
              <w:t>因此</w:t>
            </w:r>
            <w:r>
              <w:rPr>
                <w:rFonts w:hint="eastAsia" w:ascii="Times New Roman" w:hAnsi="Times New Roman" w:eastAsia="宋体" w:cs="Times New Roman"/>
                <w:sz w:val="24"/>
                <w:szCs w:val="24"/>
                <w:lang w:val="en-US" w:eastAsia="zh-CN"/>
              </w:rPr>
              <w:t>，</w:t>
            </w:r>
            <w:r>
              <w:rPr>
                <w:rFonts w:hint="default" w:ascii="Times New Roman" w:hAnsi="Times New Roman" w:eastAsia="宋体" w:cs="Times New Roman"/>
                <w:sz w:val="24"/>
                <w:szCs w:val="24"/>
                <w:lang w:val="en-US" w:eastAsia="zh-CN"/>
              </w:rPr>
              <w:t>可不进行生态现状调查。</w:t>
            </w:r>
          </w:p>
          <w:p w14:paraId="32238841">
            <w:pPr>
              <w:numPr>
                <w:ilvl w:val="0"/>
                <w:numId w:val="43"/>
              </w:numPr>
              <w:bidi w:val="0"/>
              <w:spacing w:line="360" w:lineRule="auto"/>
              <w:ind w:left="0" w:leftChars="0" w:firstLine="482" w:firstLineChars="200"/>
              <w:rPr>
                <w:rFonts w:hint="default" w:ascii="Times New Roman" w:hAnsi="Times New Roman" w:eastAsia="宋体" w:cs="Times New Roman"/>
                <w:b/>
                <w:bCs/>
                <w:sz w:val="24"/>
                <w:szCs w:val="24"/>
                <w:lang w:eastAsia="zh-CN"/>
              </w:rPr>
            </w:pPr>
            <w:r>
              <w:rPr>
                <w:rFonts w:hint="default" w:ascii="Times New Roman" w:hAnsi="Times New Roman" w:eastAsia="宋体" w:cs="Times New Roman"/>
                <w:b/>
                <w:bCs/>
                <w:sz w:val="24"/>
                <w:szCs w:val="24"/>
                <w:lang w:val="en-US" w:eastAsia="zh-CN"/>
              </w:rPr>
              <w:t>地下水、土壤环境</w:t>
            </w:r>
          </w:p>
          <w:p w14:paraId="128E9961">
            <w:pPr>
              <w:numPr>
                <w:ilvl w:val="0"/>
                <w:numId w:val="0"/>
              </w:numPr>
              <w:bidi w:val="0"/>
              <w:spacing w:line="360" w:lineRule="auto"/>
              <w:ind w:firstLine="480" w:firstLineChars="200"/>
              <w:rPr>
                <w:rFonts w:hint="default" w:ascii="Times New Roman" w:hAnsi="Times New Roman" w:eastAsia="宋体" w:cs="Times New Roman"/>
                <w:color w:val="auto"/>
                <w:sz w:val="24"/>
                <w:szCs w:val="24"/>
                <w:lang w:eastAsia="zh-CN"/>
              </w:rPr>
            </w:pPr>
            <w:r>
              <w:rPr>
                <w:rFonts w:hint="default" w:ascii="Times New Roman" w:hAnsi="Times New Roman" w:eastAsia="宋体" w:cs="Times New Roman"/>
                <w:sz w:val="24"/>
                <w:szCs w:val="24"/>
                <w:lang w:val="en-US" w:eastAsia="zh-CN"/>
              </w:rPr>
              <w:t>本项目车间内部均进行了地面硬化，废矿物油油罐贮存区四周设置1m高的钢混结构围堰墙</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油罐区库房墙体立面（距地面50cm高）及围堰涂刷防水后再涂刷乙烯基环氧树脂防腐防渗面涂</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项目储油罐体</w:t>
            </w:r>
            <w:r>
              <w:rPr>
                <w:rFonts w:hint="eastAsia" w:cs="Times New Roman"/>
                <w:sz w:val="24"/>
                <w:szCs w:val="24"/>
                <w:lang w:val="en-US" w:eastAsia="zh-CN"/>
              </w:rPr>
              <w:t>采取</w:t>
            </w:r>
            <w:r>
              <w:rPr>
                <w:rFonts w:hint="default" w:ascii="Times New Roman" w:hAnsi="Times New Roman" w:eastAsia="宋体" w:cs="Times New Roman"/>
                <w:sz w:val="24"/>
                <w:szCs w:val="24"/>
                <w:lang w:val="en-US" w:eastAsia="zh-CN"/>
              </w:rPr>
              <w:t>地上式，不与地面直接接触，</w:t>
            </w:r>
            <w:r>
              <w:rPr>
                <w:rFonts w:hint="eastAsia" w:cs="Times New Roman"/>
                <w:sz w:val="24"/>
                <w:szCs w:val="24"/>
                <w:lang w:val="en-US" w:eastAsia="zh-CN"/>
              </w:rPr>
              <w:t>碳钢</w:t>
            </w:r>
            <w:r>
              <w:rPr>
                <w:rFonts w:hint="default" w:ascii="Times New Roman" w:hAnsi="Times New Roman" w:eastAsia="宋体" w:cs="Times New Roman"/>
                <w:sz w:val="24"/>
                <w:szCs w:val="24"/>
                <w:lang w:val="en-US" w:eastAsia="zh-CN"/>
              </w:rPr>
              <w:t>储罐均有带腿，距离地面5cm，可视性较好，无地下水、土壤环境污染途径</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因此</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不开展地下水、土壤现状监测</w:t>
            </w:r>
            <w:r>
              <w:rPr>
                <w:rFonts w:hint="default" w:ascii="Times New Roman" w:hAnsi="Times New Roman" w:eastAsia="宋体" w:cs="Times New Roman"/>
                <w:color w:val="auto"/>
                <w:sz w:val="24"/>
                <w:szCs w:val="24"/>
                <w:lang w:val="en-US" w:eastAsia="zh-CN"/>
              </w:rPr>
              <w:t>。</w:t>
            </w:r>
          </w:p>
        </w:tc>
      </w:tr>
      <w:tr w14:paraId="4960C1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3" w:hRule="atLeast"/>
          <w:jc w:val="center"/>
        </w:trPr>
        <w:tc>
          <w:tcPr>
            <w:tcW w:w="1116" w:type="dxa"/>
            <w:noWrap w:val="0"/>
            <w:vAlign w:val="center"/>
          </w:tcPr>
          <w:p w14:paraId="07307712">
            <w:pPr>
              <w:bidi w:val="0"/>
              <w:spacing w:line="360" w:lineRule="auto"/>
              <w:jc w:val="center"/>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环境保护目标</w:t>
            </w:r>
          </w:p>
        </w:tc>
        <w:tc>
          <w:tcPr>
            <w:tcW w:w="8454" w:type="dxa"/>
            <w:noWrap w:val="0"/>
            <w:vAlign w:val="center"/>
          </w:tcPr>
          <w:p w14:paraId="24783661">
            <w:pPr>
              <w:bidi w:val="0"/>
              <w:spacing w:line="360" w:lineRule="auto"/>
              <w:rPr>
                <w:rFonts w:hint="default" w:ascii="Times New Roman" w:hAnsi="Times New Roman" w:eastAsia="宋体" w:cs="Times New Roman"/>
                <w:b/>
                <w:bCs/>
                <w:color w:val="auto"/>
                <w:sz w:val="24"/>
                <w:szCs w:val="24"/>
                <w:lang w:val="en-US" w:eastAsia="zh-CN"/>
              </w:rPr>
            </w:pPr>
            <w:r>
              <w:rPr>
                <w:rFonts w:hint="default" w:ascii="Times New Roman" w:hAnsi="Times New Roman" w:eastAsia="宋体" w:cs="Times New Roman"/>
                <w:b/>
                <w:bCs/>
                <w:color w:val="auto"/>
                <w:sz w:val="24"/>
                <w:szCs w:val="24"/>
                <w:lang w:val="en-US" w:eastAsia="zh-CN"/>
              </w:rPr>
              <w:t>主要环境保护目标（列出名单及保护级别</w:t>
            </w:r>
            <w:r>
              <w:rPr>
                <w:rFonts w:hint="eastAsia" w:cs="Times New Roman"/>
                <w:b/>
                <w:bCs/>
                <w:color w:val="auto"/>
                <w:sz w:val="24"/>
                <w:szCs w:val="24"/>
                <w:lang w:val="en-US" w:eastAsia="zh-CN"/>
              </w:rPr>
              <w:t>）</w:t>
            </w:r>
          </w:p>
          <w:p w14:paraId="4655E021">
            <w:pPr>
              <w:bidi w:val="0"/>
              <w:spacing w:line="360" w:lineRule="auto"/>
              <w:ind w:firstLine="480" w:firstLineChars="200"/>
              <w:rPr>
                <w:rFonts w:hint="eastAsia" w:cs="Times New Roman"/>
                <w:color w:val="auto"/>
                <w:sz w:val="24"/>
                <w:szCs w:val="24"/>
                <w:lang w:val="en-US" w:eastAsia="zh-CN"/>
              </w:rPr>
            </w:pPr>
            <w:r>
              <w:rPr>
                <w:rFonts w:hint="eastAsia" w:cs="Times New Roman"/>
                <w:color w:val="auto"/>
                <w:sz w:val="24"/>
                <w:szCs w:val="24"/>
                <w:lang w:val="en-US" w:eastAsia="zh-CN"/>
              </w:rPr>
              <w:t>根据本项目排污特点和外环境现状特征，确定环境保护目标为：</w:t>
            </w:r>
          </w:p>
          <w:p w14:paraId="0AB8E574">
            <w:pPr>
              <w:numPr>
                <w:ilvl w:val="0"/>
                <w:numId w:val="47"/>
              </w:numPr>
              <w:bidi w:val="0"/>
              <w:spacing w:line="360" w:lineRule="auto"/>
              <w:ind w:firstLine="482" w:firstLineChars="200"/>
              <w:rPr>
                <w:rFonts w:hint="eastAsia" w:cs="Times New Roman"/>
                <w:b/>
                <w:bCs/>
                <w:color w:val="auto"/>
                <w:sz w:val="24"/>
                <w:szCs w:val="24"/>
                <w:lang w:val="en-US" w:eastAsia="zh-CN"/>
              </w:rPr>
            </w:pPr>
            <w:r>
              <w:rPr>
                <w:rFonts w:hint="eastAsia" w:cs="Times New Roman"/>
                <w:b/>
                <w:bCs/>
                <w:color w:val="auto"/>
                <w:sz w:val="24"/>
                <w:szCs w:val="24"/>
                <w:lang w:val="en-US" w:eastAsia="zh-CN"/>
              </w:rPr>
              <w:t>大气环境保护目标</w:t>
            </w:r>
          </w:p>
          <w:p w14:paraId="3ABFEFA2">
            <w:pPr>
              <w:numPr>
                <w:ilvl w:val="0"/>
                <w:numId w:val="0"/>
              </w:numPr>
              <w:bidi w:val="0"/>
              <w:spacing w:line="360" w:lineRule="auto"/>
              <w:ind w:firstLine="480" w:firstLineChars="200"/>
              <w:rPr>
                <w:rFonts w:hint="eastAsia" w:cs="Times New Roman"/>
                <w:color w:val="auto"/>
                <w:sz w:val="24"/>
                <w:szCs w:val="24"/>
                <w:lang w:val="en-US" w:eastAsia="zh-CN"/>
              </w:rPr>
            </w:pPr>
            <w:r>
              <w:rPr>
                <w:rFonts w:hint="eastAsia" w:cs="Times New Roman"/>
                <w:color w:val="auto"/>
                <w:sz w:val="24"/>
                <w:szCs w:val="24"/>
                <w:lang w:val="en-US" w:eastAsia="zh-CN"/>
              </w:rPr>
              <w:t>本项目大气环境保护目标为所在区域大气环境，确保周边环境敏感点大气环境功能不因项目实施而改变，即周围500m范围内大气环境质量执行《环境空气质量标准》（GB3095-2012）中二类标准。根据调查，本项目厂界外500m范围内主要大气环境保护目标具体见下表：</w:t>
            </w:r>
          </w:p>
          <w:p w14:paraId="0E1DDC5B">
            <w:pPr>
              <w:numPr>
                <w:ilvl w:val="0"/>
                <w:numId w:val="0"/>
              </w:numPr>
              <w:bidi w:val="0"/>
              <w:spacing w:line="360" w:lineRule="auto"/>
              <w:jc w:val="center"/>
              <w:rPr>
                <w:rFonts w:hint="eastAsia" w:cs="Times New Roman"/>
                <w:b/>
                <w:bCs/>
                <w:color w:val="auto"/>
                <w:sz w:val="21"/>
                <w:szCs w:val="21"/>
                <w:lang w:val="en-US" w:eastAsia="zh-CN"/>
              </w:rPr>
            </w:pPr>
            <w:r>
              <w:rPr>
                <w:rFonts w:hint="eastAsia" w:cs="Times New Roman"/>
                <w:b/>
                <w:bCs/>
                <w:color w:val="auto"/>
                <w:sz w:val="21"/>
                <w:szCs w:val="21"/>
                <w:lang w:val="en-US" w:eastAsia="zh-CN"/>
              </w:rPr>
              <w:t>表3-3 项目环境敏感保护目标</w:t>
            </w:r>
          </w:p>
          <w:tbl>
            <w:tblPr>
              <w:tblStyle w:val="28"/>
              <w:tblW w:w="823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01"/>
              <w:gridCol w:w="696"/>
              <w:gridCol w:w="2824"/>
              <w:gridCol w:w="1084"/>
              <w:gridCol w:w="866"/>
              <w:gridCol w:w="773"/>
              <w:gridCol w:w="1294"/>
            </w:tblGrid>
            <w:tr w14:paraId="5C0565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701" w:type="dxa"/>
                  <w:noWrap w:val="0"/>
                  <w:vAlign w:val="center"/>
                </w:tcPr>
                <w:p w14:paraId="5FBFAF59">
                  <w:pPr>
                    <w:spacing w:line="240" w:lineRule="auto"/>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rPr>
                    <w:t>类别</w:t>
                  </w:r>
                </w:p>
              </w:tc>
              <w:tc>
                <w:tcPr>
                  <w:tcW w:w="696" w:type="dxa"/>
                  <w:noWrap w:val="0"/>
                  <w:vAlign w:val="center"/>
                </w:tcPr>
                <w:p w14:paraId="3140E01B">
                  <w:pPr>
                    <w:spacing w:line="240" w:lineRule="auto"/>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rPr>
                    <w:t>序号</w:t>
                  </w:r>
                </w:p>
              </w:tc>
              <w:tc>
                <w:tcPr>
                  <w:tcW w:w="2824" w:type="dxa"/>
                  <w:noWrap w:val="0"/>
                  <w:vAlign w:val="center"/>
                </w:tcPr>
                <w:p w14:paraId="47513748">
                  <w:pPr>
                    <w:spacing w:line="240" w:lineRule="auto"/>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rPr>
                    <w:t>敏感目标名称</w:t>
                  </w:r>
                </w:p>
              </w:tc>
              <w:tc>
                <w:tcPr>
                  <w:tcW w:w="1084" w:type="dxa"/>
                  <w:noWrap w:val="0"/>
                  <w:vAlign w:val="center"/>
                </w:tcPr>
                <w:p w14:paraId="267176FB">
                  <w:pPr>
                    <w:spacing w:line="240" w:lineRule="auto"/>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rPr>
                    <w:t>相对方位</w:t>
                  </w:r>
                </w:p>
              </w:tc>
              <w:tc>
                <w:tcPr>
                  <w:tcW w:w="866" w:type="dxa"/>
                  <w:noWrap w:val="0"/>
                  <w:vAlign w:val="center"/>
                </w:tcPr>
                <w:p w14:paraId="1929832D">
                  <w:pPr>
                    <w:spacing w:line="240" w:lineRule="auto"/>
                    <w:jc w:val="center"/>
                    <w:rPr>
                      <w:rFonts w:hint="eastAsia"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rPr>
                    <w:t>距离</w:t>
                  </w:r>
                </w:p>
              </w:tc>
              <w:tc>
                <w:tcPr>
                  <w:tcW w:w="773" w:type="dxa"/>
                  <w:noWrap w:val="0"/>
                  <w:vAlign w:val="center"/>
                </w:tcPr>
                <w:p w14:paraId="7618D6F3">
                  <w:pPr>
                    <w:spacing w:line="240" w:lineRule="auto"/>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rPr>
                    <w:t>属性</w:t>
                  </w:r>
                </w:p>
              </w:tc>
              <w:tc>
                <w:tcPr>
                  <w:tcW w:w="1294" w:type="dxa"/>
                  <w:noWrap w:val="0"/>
                  <w:vAlign w:val="center"/>
                </w:tcPr>
                <w:p w14:paraId="70319EF1">
                  <w:pPr>
                    <w:spacing w:line="240" w:lineRule="auto"/>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rPr>
                    <w:t>人口数</w:t>
                  </w:r>
                </w:p>
              </w:tc>
            </w:tr>
            <w:tr w14:paraId="300D3A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01" w:type="dxa"/>
                  <w:vMerge w:val="restart"/>
                  <w:noWrap w:val="0"/>
                  <w:vAlign w:val="center"/>
                </w:tcPr>
                <w:p w14:paraId="1A87B943">
                  <w:p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rPr>
                    <w:t>环境空气</w:t>
                  </w:r>
                </w:p>
              </w:tc>
              <w:tc>
                <w:tcPr>
                  <w:tcW w:w="696" w:type="dxa"/>
                  <w:noWrap w:val="0"/>
                  <w:vAlign w:val="center"/>
                </w:tcPr>
                <w:p w14:paraId="098F6814">
                  <w:p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rPr>
                    <w:t>1</w:t>
                  </w:r>
                </w:p>
              </w:tc>
              <w:tc>
                <w:tcPr>
                  <w:tcW w:w="2824" w:type="dxa"/>
                  <w:noWrap w:val="0"/>
                  <w:vAlign w:val="center"/>
                </w:tcPr>
                <w:p w14:paraId="1326CD15">
                  <w:pPr>
                    <w:bidi w:val="0"/>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lang w:val="en-US" w:eastAsia="zh-CN"/>
                    </w:rPr>
                    <w:t>解元社区居民</w:t>
                  </w:r>
                </w:p>
              </w:tc>
              <w:tc>
                <w:tcPr>
                  <w:tcW w:w="1084" w:type="dxa"/>
                  <w:noWrap w:val="0"/>
                  <w:vAlign w:val="center"/>
                </w:tcPr>
                <w:p w14:paraId="7B861A82">
                  <w:pPr>
                    <w:bidi w:val="0"/>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lang w:val="en-US" w:eastAsia="zh-CN"/>
                    </w:rPr>
                    <w:t>西北</w:t>
                  </w:r>
                </w:p>
              </w:tc>
              <w:tc>
                <w:tcPr>
                  <w:tcW w:w="866" w:type="dxa"/>
                  <w:noWrap w:val="0"/>
                  <w:vAlign w:val="center"/>
                </w:tcPr>
                <w:p w14:paraId="3A6263CE">
                  <w:pPr>
                    <w:bidi w:val="0"/>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lang w:val="en-US" w:eastAsia="zh-CN"/>
                    </w:rPr>
                    <w:t>170</w:t>
                  </w:r>
                  <w:r>
                    <w:rPr>
                      <w:rFonts w:hint="default" w:ascii="Times New Roman" w:hAnsi="Times New Roman" w:eastAsia="宋体" w:cs="Times New Roman"/>
                      <w:b w:val="0"/>
                      <w:bCs w:val="0"/>
                      <w:sz w:val="21"/>
                      <w:szCs w:val="21"/>
                      <w:vertAlign w:val="baseline"/>
                      <w:lang w:val="en-US" w:eastAsia="zh-CN"/>
                    </w:rPr>
                    <w:t>m</w:t>
                  </w:r>
                </w:p>
              </w:tc>
              <w:tc>
                <w:tcPr>
                  <w:tcW w:w="773" w:type="dxa"/>
                  <w:noWrap w:val="0"/>
                  <w:vAlign w:val="center"/>
                </w:tcPr>
                <w:p w14:paraId="71E7208C">
                  <w:pPr>
                    <w:bidi w:val="0"/>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cs="Times New Roman"/>
                      <w:b w:val="0"/>
                      <w:bCs w:val="0"/>
                      <w:sz w:val="21"/>
                      <w:szCs w:val="21"/>
                      <w:vertAlign w:val="baseline"/>
                      <w:lang w:val="en-US" w:eastAsia="zh-CN"/>
                    </w:rPr>
                    <w:t>居民</w:t>
                  </w:r>
                </w:p>
              </w:tc>
              <w:tc>
                <w:tcPr>
                  <w:tcW w:w="1294" w:type="dxa"/>
                  <w:noWrap w:val="0"/>
                  <w:vAlign w:val="center"/>
                </w:tcPr>
                <w:p w14:paraId="57862C42">
                  <w:pPr>
                    <w:bidi w:val="0"/>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cs="Times New Roman"/>
                      <w:b w:val="0"/>
                      <w:bCs w:val="0"/>
                      <w:sz w:val="21"/>
                      <w:szCs w:val="21"/>
                      <w:vertAlign w:val="baseline"/>
                      <w:lang w:val="en-US" w:eastAsia="zh-CN"/>
                    </w:rPr>
                    <w:t>5户；18人</w:t>
                  </w:r>
                </w:p>
              </w:tc>
            </w:tr>
            <w:tr w14:paraId="6C4995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01" w:type="dxa"/>
                  <w:vMerge w:val="continue"/>
                  <w:noWrap w:val="0"/>
                  <w:vAlign w:val="center"/>
                </w:tcPr>
                <w:p w14:paraId="58FED9C9">
                  <w:pPr>
                    <w:spacing w:line="240" w:lineRule="auto"/>
                    <w:jc w:val="center"/>
                    <w:rPr>
                      <w:rFonts w:hint="default" w:ascii="Times New Roman" w:hAnsi="Times New Roman" w:eastAsia="宋体" w:cs="Times New Roman"/>
                      <w:b w:val="0"/>
                      <w:bCs w:val="0"/>
                      <w:color w:val="auto"/>
                      <w:sz w:val="21"/>
                      <w:szCs w:val="21"/>
                    </w:rPr>
                  </w:pPr>
                </w:p>
              </w:tc>
              <w:tc>
                <w:tcPr>
                  <w:tcW w:w="696" w:type="dxa"/>
                  <w:noWrap w:val="0"/>
                  <w:vAlign w:val="center"/>
                </w:tcPr>
                <w:p w14:paraId="3C00025F">
                  <w:pPr>
                    <w:spacing w:line="240" w:lineRule="auto"/>
                    <w:jc w:val="center"/>
                    <w:rPr>
                      <w:rFonts w:hint="eastAsia" w:ascii="Times New Roman" w:hAnsi="Times New Roman" w:eastAsia="宋体" w:cs="Times New Roman"/>
                      <w:b w:val="0"/>
                      <w:bCs w:val="0"/>
                      <w:color w:val="auto"/>
                      <w:sz w:val="21"/>
                      <w:szCs w:val="21"/>
                      <w:lang w:val="en-US" w:eastAsia="zh-CN"/>
                    </w:rPr>
                  </w:pPr>
                  <w:r>
                    <w:rPr>
                      <w:rFonts w:hint="eastAsia" w:cs="Times New Roman"/>
                      <w:b w:val="0"/>
                      <w:bCs w:val="0"/>
                      <w:color w:val="auto"/>
                      <w:sz w:val="21"/>
                      <w:szCs w:val="21"/>
                      <w:lang w:val="en-US" w:eastAsia="zh-CN"/>
                    </w:rPr>
                    <w:t>2</w:t>
                  </w:r>
                </w:p>
              </w:tc>
              <w:tc>
                <w:tcPr>
                  <w:tcW w:w="2824" w:type="dxa"/>
                  <w:noWrap w:val="0"/>
                  <w:vAlign w:val="center"/>
                </w:tcPr>
                <w:p w14:paraId="3F8A4CA3">
                  <w:pPr>
                    <w:bidi w:val="0"/>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lang w:val="en-US" w:eastAsia="zh-CN"/>
                    </w:rPr>
                    <w:t>凤凰街道解元社区居民小区</w:t>
                  </w:r>
                </w:p>
              </w:tc>
              <w:tc>
                <w:tcPr>
                  <w:tcW w:w="1084" w:type="dxa"/>
                  <w:noWrap w:val="0"/>
                  <w:vAlign w:val="center"/>
                </w:tcPr>
                <w:p w14:paraId="20B8A3F5">
                  <w:pPr>
                    <w:bidi w:val="0"/>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lang w:val="en-US" w:eastAsia="zh-CN"/>
                    </w:rPr>
                    <w:t>西</w:t>
                  </w:r>
                </w:p>
              </w:tc>
              <w:tc>
                <w:tcPr>
                  <w:tcW w:w="866" w:type="dxa"/>
                  <w:noWrap w:val="0"/>
                  <w:vAlign w:val="center"/>
                </w:tcPr>
                <w:p w14:paraId="24021608">
                  <w:pPr>
                    <w:bidi w:val="0"/>
                    <w:spacing w:line="240" w:lineRule="auto"/>
                    <w:jc w:val="center"/>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lang w:val="en-US" w:eastAsia="zh-CN"/>
                    </w:rPr>
                    <w:t>305</w:t>
                  </w:r>
                  <w:r>
                    <w:rPr>
                      <w:rFonts w:hint="default" w:ascii="Times New Roman" w:hAnsi="Times New Roman" w:eastAsia="宋体" w:cs="Times New Roman"/>
                      <w:b w:val="0"/>
                      <w:bCs w:val="0"/>
                      <w:sz w:val="21"/>
                      <w:szCs w:val="21"/>
                      <w:vertAlign w:val="baseline"/>
                      <w:lang w:val="en-US" w:eastAsia="zh-CN"/>
                    </w:rPr>
                    <w:t>m</w:t>
                  </w:r>
                </w:p>
              </w:tc>
              <w:tc>
                <w:tcPr>
                  <w:tcW w:w="773" w:type="dxa"/>
                  <w:noWrap w:val="0"/>
                  <w:vAlign w:val="center"/>
                </w:tcPr>
                <w:p w14:paraId="3CF7EB7B">
                  <w:pPr>
                    <w:bidi w:val="0"/>
                    <w:spacing w:line="240" w:lineRule="auto"/>
                    <w:jc w:val="center"/>
                    <w:rPr>
                      <w:rFonts w:hint="eastAsia" w:cs="Times New Roman"/>
                      <w:b w:val="0"/>
                      <w:bCs w:val="0"/>
                      <w:color w:val="auto"/>
                      <w:sz w:val="21"/>
                      <w:szCs w:val="21"/>
                      <w:vertAlign w:val="baseline"/>
                      <w:lang w:val="en-US" w:eastAsia="zh-CN"/>
                    </w:rPr>
                  </w:pPr>
                  <w:r>
                    <w:rPr>
                      <w:rFonts w:hint="eastAsia" w:cs="Times New Roman"/>
                      <w:b w:val="0"/>
                      <w:bCs w:val="0"/>
                      <w:sz w:val="21"/>
                      <w:szCs w:val="21"/>
                      <w:vertAlign w:val="baseline"/>
                      <w:lang w:val="en-US" w:eastAsia="zh-CN"/>
                    </w:rPr>
                    <w:t>居民</w:t>
                  </w:r>
                </w:p>
              </w:tc>
              <w:tc>
                <w:tcPr>
                  <w:tcW w:w="1294" w:type="dxa"/>
                  <w:noWrap w:val="0"/>
                  <w:vAlign w:val="center"/>
                </w:tcPr>
                <w:p w14:paraId="611A967B">
                  <w:pPr>
                    <w:bidi w:val="0"/>
                    <w:spacing w:line="240" w:lineRule="auto"/>
                    <w:jc w:val="center"/>
                    <w:rPr>
                      <w:rFonts w:hint="default"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约1200人</w:t>
                  </w:r>
                </w:p>
              </w:tc>
            </w:tr>
          </w:tbl>
          <w:p w14:paraId="76DC841D">
            <w:pPr>
              <w:numPr>
                <w:ilvl w:val="0"/>
                <w:numId w:val="47"/>
              </w:numPr>
              <w:bidi w:val="0"/>
              <w:spacing w:line="360" w:lineRule="auto"/>
              <w:ind w:left="0" w:leftChars="0" w:firstLine="482" w:firstLineChars="200"/>
              <w:rPr>
                <w:rFonts w:hint="eastAsia" w:cs="Times New Roman"/>
                <w:b/>
                <w:bCs/>
                <w:color w:val="auto"/>
                <w:sz w:val="24"/>
                <w:szCs w:val="24"/>
                <w:lang w:val="en-US" w:eastAsia="zh-CN"/>
              </w:rPr>
            </w:pPr>
            <w:r>
              <w:rPr>
                <w:rFonts w:hint="eastAsia" w:cs="Times New Roman"/>
                <w:b/>
                <w:bCs/>
                <w:color w:val="auto"/>
                <w:sz w:val="24"/>
                <w:szCs w:val="24"/>
                <w:lang w:val="en-US" w:eastAsia="zh-CN"/>
              </w:rPr>
              <w:t>地表水环境保护目标</w:t>
            </w:r>
          </w:p>
          <w:p w14:paraId="3BE39D63">
            <w:pPr>
              <w:numPr>
                <w:ilvl w:val="0"/>
                <w:numId w:val="0"/>
              </w:numPr>
              <w:bidi w:val="0"/>
              <w:spacing w:line="360" w:lineRule="auto"/>
              <w:ind w:firstLine="480" w:firstLineChars="200"/>
              <w:rPr>
                <w:rFonts w:hint="eastAsia" w:cs="Times New Roman"/>
                <w:color w:val="000000" w:themeColor="text1"/>
                <w:sz w:val="24"/>
                <w:szCs w:val="24"/>
                <w:lang w:val="en-US" w:eastAsia="zh-CN"/>
                <w14:textFill>
                  <w14:solidFill>
                    <w14:schemeClr w14:val="tx1"/>
                  </w14:solidFill>
                </w14:textFill>
              </w:rPr>
            </w:pPr>
            <w:r>
              <w:rPr>
                <w:rFonts w:hint="eastAsia" w:cs="Times New Roman"/>
                <w:color w:val="000000" w:themeColor="text1"/>
                <w:sz w:val="24"/>
                <w:szCs w:val="24"/>
                <w:lang w:val="en-US" w:eastAsia="zh-CN"/>
                <w14:textFill>
                  <w14:solidFill>
                    <w14:schemeClr w14:val="tx1"/>
                  </w14:solidFill>
                </w14:textFill>
              </w:rPr>
              <w:t>本项目区域周围最近地表水体为南侧约52m处的玉丰河及约2.273km处的琼江，水质执行《地表水环境质量标准》（GB3838-2002）中Ⅲ类水域标准。</w:t>
            </w:r>
          </w:p>
          <w:p w14:paraId="3AB6038C">
            <w:pPr>
              <w:numPr>
                <w:ilvl w:val="0"/>
                <w:numId w:val="0"/>
              </w:numPr>
              <w:bidi w:val="0"/>
              <w:spacing w:line="360" w:lineRule="auto"/>
              <w:ind w:firstLine="480" w:firstLineChars="200"/>
              <w:rPr>
                <w:rFonts w:hint="eastAsia" w:cs="Times New Roman"/>
                <w:color w:val="000000" w:themeColor="text1"/>
                <w:sz w:val="24"/>
                <w:szCs w:val="24"/>
                <w:lang w:val="en-US" w:eastAsia="zh-CN"/>
                <w14:textFill>
                  <w14:solidFill>
                    <w14:schemeClr w14:val="tx1"/>
                  </w14:solidFill>
                </w14:textFill>
              </w:rPr>
            </w:pPr>
            <w:r>
              <w:rPr>
                <w:rFonts w:hint="eastAsia" w:cs="Times New Roman"/>
                <w:color w:val="000000" w:themeColor="text1"/>
                <w:sz w:val="24"/>
                <w:szCs w:val="24"/>
                <w:lang w:val="en-US" w:eastAsia="zh-CN"/>
                <w14:textFill>
                  <w14:solidFill>
                    <w14:schemeClr w14:val="tx1"/>
                  </w14:solidFill>
                </w14:textFill>
              </w:rPr>
              <w:t>本项目运营期废水排入园区市政污水管网，送入安居区龙眼井污水处理厂达标处理，对区域地表水环境功能无明显影响。</w:t>
            </w:r>
          </w:p>
          <w:p w14:paraId="1FA0A507">
            <w:pPr>
              <w:numPr>
                <w:ilvl w:val="0"/>
                <w:numId w:val="0"/>
              </w:numPr>
              <w:bidi w:val="0"/>
              <w:spacing w:line="360" w:lineRule="auto"/>
              <w:jc w:val="center"/>
              <w:rPr>
                <w:rFonts w:hint="eastAsia" w:cs="Times New Roman"/>
                <w:b/>
                <w:bCs/>
                <w:color w:val="000000" w:themeColor="text1"/>
                <w:sz w:val="21"/>
                <w:szCs w:val="21"/>
                <w:vertAlign w:val="baseline"/>
                <w:lang w:val="en-US" w:eastAsia="zh-CN"/>
                <w14:textFill>
                  <w14:solidFill>
                    <w14:schemeClr w14:val="tx1"/>
                  </w14:solidFill>
                </w14:textFill>
              </w:rPr>
            </w:pPr>
            <w:r>
              <w:rPr>
                <w:rFonts w:hint="eastAsia" w:cs="Times New Roman"/>
                <w:b/>
                <w:bCs/>
                <w:color w:val="000000" w:themeColor="text1"/>
                <w:sz w:val="21"/>
                <w:szCs w:val="21"/>
                <w:lang w:val="en-US" w:eastAsia="zh-CN"/>
                <w14:textFill>
                  <w14:solidFill>
                    <w14:schemeClr w14:val="tx1"/>
                  </w14:solidFill>
                </w14:textFill>
              </w:rPr>
              <w:t>表3-4 地表水环境敏感目标环境</w:t>
            </w:r>
          </w:p>
          <w:tbl>
            <w:tblPr>
              <w:tblStyle w:val="28"/>
              <w:tblW w:w="823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00"/>
              <w:gridCol w:w="500"/>
              <w:gridCol w:w="350"/>
              <w:gridCol w:w="337"/>
              <w:gridCol w:w="913"/>
              <w:gridCol w:w="925"/>
              <w:gridCol w:w="1262"/>
              <w:gridCol w:w="850"/>
              <w:gridCol w:w="1063"/>
              <w:gridCol w:w="1138"/>
            </w:tblGrid>
            <w:tr w14:paraId="210378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00" w:type="dxa"/>
                  <w:vMerge w:val="restart"/>
                  <w:vAlign w:val="center"/>
                </w:tcPr>
                <w:p w14:paraId="5EC6B4BA">
                  <w:pPr>
                    <w:numPr>
                      <w:ilvl w:val="0"/>
                      <w:numId w:val="0"/>
                    </w:numPr>
                    <w:bidi w:val="0"/>
                    <w:spacing w:line="240" w:lineRule="auto"/>
                    <w:jc w:val="center"/>
                    <w:rPr>
                      <w:rFonts w:hint="eastAsia" w:cs="Times New Roman"/>
                      <w:b/>
                      <w:bCs/>
                      <w:color w:val="000000" w:themeColor="text1"/>
                      <w:sz w:val="21"/>
                      <w:szCs w:val="21"/>
                      <w:vertAlign w:val="baseline"/>
                      <w:lang w:val="en-US" w:eastAsia="zh-CN"/>
                      <w14:textFill>
                        <w14:solidFill>
                          <w14:schemeClr w14:val="tx1"/>
                        </w14:solidFill>
                      </w14:textFill>
                    </w:rPr>
                  </w:pPr>
                  <w:r>
                    <w:rPr>
                      <w:rFonts w:hint="eastAsia" w:cs="Times New Roman"/>
                      <w:b/>
                      <w:bCs/>
                      <w:color w:val="000000" w:themeColor="text1"/>
                      <w:sz w:val="21"/>
                      <w:szCs w:val="21"/>
                      <w:lang w:val="en-US" w:eastAsia="zh-CN"/>
                      <w14:textFill>
                        <w14:solidFill>
                          <w14:schemeClr w14:val="tx1"/>
                        </w14:solidFill>
                      </w14:textFill>
                    </w:rPr>
                    <w:t>要素</w:t>
                  </w:r>
                </w:p>
              </w:tc>
              <w:tc>
                <w:tcPr>
                  <w:tcW w:w="500" w:type="dxa"/>
                  <w:vMerge w:val="restart"/>
                  <w:vAlign w:val="center"/>
                </w:tcPr>
                <w:p w14:paraId="1E509020">
                  <w:pPr>
                    <w:numPr>
                      <w:ilvl w:val="0"/>
                      <w:numId w:val="0"/>
                    </w:numPr>
                    <w:bidi w:val="0"/>
                    <w:spacing w:line="240" w:lineRule="auto"/>
                    <w:jc w:val="center"/>
                    <w:rPr>
                      <w:rFonts w:hint="eastAsia" w:cs="Times New Roman"/>
                      <w:b/>
                      <w:bCs/>
                      <w:color w:val="000000" w:themeColor="text1"/>
                      <w:sz w:val="21"/>
                      <w:szCs w:val="21"/>
                      <w:vertAlign w:val="baseline"/>
                      <w:lang w:val="en-US" w:eastAsia="zh-CN"/>
                      <w14:textFill>
                        <w14:solidFill>
                          <w14:schemeClr w14:val="tx1"/>
                        </w14:solidFill>
                      </w14:textFill>
                    </w:rPr>
                  </w:pPr>
                  <w:r>
                    <w:rPr>
                      <w:rFonts w:hint="eastAsia" w:cs="Times New Roman"/>
                      <w:b/>
                      <w:bCs/>
                      <w:color w:val="000000" w:themeColor="text1"/>
                      <w:sz w:val="21"/>
                      <w:szCs w:val="21"/>
                      <w:lang w:val="en-US" w:eastAsia="zh-CN"/>
                      <w14:textFill>
                        <w14:solidFill>
                          <w14:schemeClr w14:val="tx1"/>
                        </w14:solidFill>
                      </w14:textFill>
                    </w:rPr>
                    <w:t>名称</w:t>
                  </w:r>
                </w:p>
              </w:tc>
              <w:tc>
                <w:tcPr>
                  <w:tcW w:w="687" w:type="dxa"/>
                  <w:gridSpan w:val="2"/>
                  <w:vAlign w:val="center"/>
                </w:tcPr>
                <w:p w14:paraId="038896C5">
                  <w:pPr>
                    <w:numPr>
                      <w:ilvl w:val="0"/>
                      <w:numId w:val="0"/>
                    </w:numPr>
                    <w:bidi w:val="0"/>
                    <w:spacing w:line="240" w:lineRule="auto"/>
                    <w:jc w:val="center"/>
                    <w:rPr>
                      <w:rFonts w:hint="eastAsia" w:cs="Times New Roman"/>
                      <w:b/>
                      <w:bCs/>
                      <w:color w:val="000000" w:themeColor="text1"/>
                      <w:sz w:val="21"/>
                      <w:szCs w:val="21"/>
                      <w:vertAlign w:val="baseline"/>
                      <w:lang w:val="en-US" w:eastAsia="zh-CN"/>
                      <w14:textFill>
                        <w14:solidFill>
                          <w14:schemeClr w14:val="tx1"/>
                        </w14:solidFill>
                      </w14:textFill>
                    </w:rPr>
                  </w:pPr>
                  <w:r>
                    <w:rPr>
                      <w:rFonts w:hint="eastAsia" w:cs="Times New Roman"/>
                      <w:b/>
                      <w:bCs/>
                      <w:color w:val="000000" w:themeColor="text1"/>
                      <w:sz w:val="21"/>
                      <w:szCs w:val="21"/>
                      <w:lang w:val="en-US" w:eastAsia="zh-CN"/>
                      <w14:textFill>
                        <w14:solidFill>
                          <w14:schemeClr w14:val="tx1"/>
                        </w14:solidFill>
                      </w14:textFill>
                    </w:rPr>
                    <w:t>坐标</w:t>
                  </w:r>
                </w:p>
              </w:tc>
              <w:tc>
                <w:tcPr>
                  <w:tcW w:w="913" w:type="dxa"/>
                  <w:vMerge w:val="restart"/>
                  <w:vAlign w:val="center"/>
                </w:tcPr>
                <w:p w14:paraId="01B249BB">
                  <w:pPr>
                    <w:numPr>
                      <w:ilvl w:val="0"/>
                      <w:numId w:val="0"/>
                    </w:numPr>
                    <w:bidi w:val="0"/>
                    <w:spacing w:line="240" w:lineRule="auto"/>
                    <w:jc w:val="center"/>
                    <w:rPr>
                      <w:rFonts w:hint="eastAsia" w:cs="Times New Roman"/>
                      <w:b/>
                      <w:bCs/>
                      <w:color w:val="000000" w:themeColor="text1"/>
                      <w:sz w:val="21"/>
                      <w:szCs w:val="21"/>
                      <w:lang w:val="en-US" w:eastAsia="zh-CN"/>
                      <w14:textFill>
                        <w14:solidFill>
                          <w14:schemeClr w14:val="tx1"/>
                        </w14:solidFill>
                      </w14:textFill>
                    </w:rPr>
                  </w:pPr>
                  <w:r>
                    <w:rPr>
                      <w:rFonts w:hint="eastAsia" w:cs="Times New Roman"/>
                      <w:b/>
                      <w:bCs/>
                      <w:color w:val="000000" w:themeColor="text1"/>
                      <w:sz w:val="21"/>
                      <w:szCs w:val="21"/>
                      <w:lang w:val="en-US" w:eastAsia="zh-CN"/>
                      <w14:textFill>
                        <w14:solidFill>
                          <w14:schemeClr w14:val="tx1"/>
                        </w14:solidFill>
                      </w14:textFill>
                    </w:rPr>
                    <w:t>保护</w:t>
                  </w:r>
                </w:p>
                <w:p w14:paraId="6BD2CBAF">
                  <w:pPr>
                    <w:numPr>
                      <w:ilvl w:val="0"/>
                      <w:numId w:val="0"/>
                    </w:numPr>
                    <w:bidi w:val="0"/>
                    <w:spacing w:line="240" w:lineRule="auto"/>
                    <w:jc w:val="center"/>
                    <w:rPr>
                      <w:rFonts w:hint="eastAsia" w:cs="Times New Roman"/>
                      <w:b/>
                      <w:bCs/>
                      <w:color w:val="000000" w:themeColor="text1"/>
                      <w:sz w:val="21"/>
                      <w:szCs w:val="21"/>
                      <w:vertAlign w:val="baseline"/>
                      <w:lang w:val="en-US" w:eastAsia="zh-CN"/>
                      <w14:textFill>
                        <w14:solidFill>
                          <w14:schemeClr w14:val="tx1"/>
                        </w14:solidFill>
                      </w14:textFill>
                    </w:rPr>
                  </w:pPr>
                  <w:r>
                    <w:rPr>
                      <w:rFonts w:hint="eastAsia" w:cs="Times New Roman"/>
                      <w:b/>
                      <w:bCs/>
                      <w:color w:val="000000" w:themeColor="text1"/>
                      <w:sz w:val="21"/>
                      <w:szCs w:val="21"/>
                      <w:lang w:val="en-US" w:eastAsia="zh-CN"/>
                      <w14:textFill>
                        <w14:solidFill>
                          <w14:schemeClr w14:val="tx1"/>
                        </w14:solidFill>
                      </w14:textFill>
                    </w:rPr>
                    <w:t>对象</w:t>
                  </w:r>
                </w:p>
              </w:tc>
              <w:tc>
                <w:tcPr>
                  <w:tcW w:w="925" w:type="dxa"/>
                  <w:vMerge w:val="restart"/>
                  <w:vAlign w:val="center"/>
                </w:tcPr>
                <w:p w14:paraId="2B9F10DE">
                  <w:pPr>
                    <w:numPr>
                      <w:ilvl w:val="0"/>
                      <w:numId w:val="0"/>
                    </w:numPr>
                    <w:bidi w:val="0"/>
                    <w:spacing w:line="240" w:lineRule="auto"/>
                    <w:jc w:val="center"/>
                    <w:rPr>
                      <w:rFonts w:hint="eastAsia" w:cs="Times New Roman"/>
                      <w:b/>
                      <w:bCs/>
                      <w:color w:val="000000" w:themeColor="text1"/>
                      <w:sz w:val="21"/>
                      <w:szCs w:val="21"/>
                      <w:lang w:val="en-US" w:eastAsia="zh-CN"/>
                      <w14:textFill>
                        <w14:solidFill>
                          <w14:schemeClr w14:val="tx1"/>
                        </w14:solidFill>
                      </w14:textFill>
                    </w:rPr>
                  </w:pPr>
                  <w:r>
                    <w:rPr>
                      <w:rFonts w:hint="eastAsia" w:cs="Times New Roman"/>
                      <w:b/>
                      <w:bCs/>
                      <w:color w:val="000000" w:themeColor="text1"/>
                      <w:sz w:val="21"/>
                      <w:szCs w:val="21"/>
                      <w:lang w:val="en-US" w:eastAsia="zh-CN"/>
                      <w14:textFill>
                        <w14:solidFill>
                          <w14:schemeClr w14:val="tx1"/>
                        </w14:solidFill>
                      </w14:textFill>
                    </w:rPr>
                    <w:t>保护</w:t>
                  </w:r>
                </w:p>
                <w:p w14:paraId="5797C398">
                  <w:pPr>
                    <w:numPr>
                      <w:ilvl w:val="0"/>
                      <w:numId w:val="0"/>
                    </w:numPr>
                    <w:bidi w:val="0"/>
                    <w:spacing w:line="240" w:lineRule="auto"/>
                    <w:jc w:val="center"/>
                    <w:rPr>
                      <w:rFonts w:hint="eastAsia" w:cs="Times New Roman"/>
                      <w:b/>
                      <w:bCs/>
                      <w:color w:val="000000" w:themeColor="text1"/>
                      <w:sz w:val="21"/>
                      <w:szCs w:val="21"/>
                      <w:vertAlign w:val="baseline"/>
                      <w:lang w:val="en-US" w:eastAsia="zh-CN"/>
                      <w14:textFill>
                        <w14:solidFill>
                          <w14:schemeClr w14:val="tx1"/>
                        </w14:solidFill>
                      </w14:textFill>
                    </w:rPr>
                  </w:pPr>
                  <w:r>
                    <w:rPr>
                      <w:rFonts w:hint="eastAsia" w:cs="Times New Roman"/>
                      <w:b/>
                      <w:bCs/>
                      <w:color w:val="000000" w:themeColor="text1"/>
                      <w:sz w:val="21"/>
                      <w:szCs w:val="21"/>
                      <w:lang w:val="en-US" w:eastAsia="zh-CN"/>
                      <w14:textFill>
                        <w14:solidFill>
                          <w14:schemeClr w14:val="tx1"/>
                        </w14:solidFill>
                      </w14:textFill>
                    </w:rPr>
                    <w:t>内容</w:t>
                  </w:r>
                </w:p>
              </w:tc>
              <w:tc>
                <w:tcPr>
                  <w:tcW w:w="1262" w:type="dxa"/>
                  <w:vMerge w:val="restart"/>
                  <w:vAlign w:val="center"/>
                </w:tcPr>
                <w:p w14:paraId="002E31B0">
                  <w:pPr>
                    <w:numPr>
                      <w:ilvl w:val="0"/>
                      <w:numId w:val="0"/>
                    </w:numPr>
                    <w:bidi w:val="0"/>
                    <w:spacing w:line="240" w:lineRule="auto"/>
                    <w:jc w:val="center"/>
                    <w:rPr>
                      <w:rFonts w:hint="eastAsia" w:cs="Times New Roman"/>
                      <w:b/>
                      <w:bCs/>
                      <w:color w:val="000000" w:themeColor="text1"/>
                      <w:sz w:val="21"/>
                      <w:szCs w:val="21"/>
                      <w:vertAlign w:val="baseline"/>
                      <w:lang w:val="en-US" w:eastAsia="zh-CN"/>
                      <w14:textFill>
                        <w14:solidFill>
                          <w14:schemeClr w14:val="tx1"/>
                        </w14:solidFill>
                      </w14:textFill>
                    </w:rPr>
                  </w:pPr>
                  <w:r>
                    <w:rPr>
                      <w:rFonts w:hint="eastAsia" w:cs="Times New Roman"/>
                      <w:b/>
                      <w:bCs/>
                      <w:color w:val="000000" w:themeColor="text1"/>
                      <w:sz w:val="21"/>
                      <w:szCs w:val="21"/>
                      <w:lang w:val="en-US" w:eastAsia="zh-CN"/>
                      <w14:textFill>
                        <w14:solidFill>
                          <w14:schemeClr w14:val="tx1"/>
                        </w14:solidFill>
                      </w14:textFill>
                    </w:rPr>
                    <w:t>环境功能区划</w:t>
                  </w:r>
                </w:p>
              </w:tc>
              <w:tc>
                <w:tcPr>
                  <w:tcW w:w="850" w:type="dxa"/>
                  <w:vMerge w:val="restart"/>
                  <w:vAlign w:val="center"/>
                </w:tcPr>
                <w:p w14:paraId="619F3E47">
                  <w:pPr>
                    <w:numPr>
                      <w:ilvl w:val="0"/>
                      <w:numId w:val="0"/>
                    </w:numPr>
                    <w:bidi w:val="0"/>
                    <w:spacing w:line="240" w:lineRule="auto"/>
                    <w:jc w:val="center"/>
                    <w:rPr>
                      <w:rFonts w:hint="eastAsia" w:cs="Times New Roman"/>
                      <w:b/>
                      <w:bCs/>
                      <w:color w:val="000000" w:themeColor="text1"/>
                      <w:sz w:val="21"/>
                      <w:szCs w:val="21"/>
                      <w:vertAlign w:val="baseline"/>
                      <w:lang w:val="en-US" w:eastAsia="zh-CN"/>
                      <w14:textFill>
                        <w14:solidFill>
                          <w14:schemeClr w14:val="tx1"/>
                        </w14:solidFill>
                      </w14:textFill>
                    </w:rPr>
                  </w:pPr>
                  <w:r>
                    <w:rPr>
                      <w:rFonts w:hint="eastAsia" w:cs="Times New Roman"/>
                      <w:b/>
                      <w:bCs/>
                      <w:color w:val="000000" w:themeColor="text1"/>
                      <w:sz w:val="21"/>
                      <w:szCs w:val="21"/>
                      <w:lang w:val="en-US" w:eastAsia="zh-CN"/>
                      <w14:textFill>
                        <w14:solidFill>
                          <w14:schemeClr w14:val="tx1"/>
                        </w14:solidFill>
                      </w14:textFill>
                    </w:rPr>
                    <w:t>相对厂址方位</w:t>
                  </w:r>
                </w:p>
              </w:tc>
              <w:tc>
                <w:tcPr>
                  <w:tcW w:w="1063" w:type="dxa"/>
                  <w:vMerge w:val="restart"/>
                  <w:vAlign w:val="center"/>
                </w:tcPr>
                <w:p w14:paraId="19EE15D5">
                  <w:pPr>
                    <w:numPr>
                      <w:ilvl w:val="0"/>
                      <w:numId w:val="0"/>
                    </w:numPr>
                    <w:bidi w:val="0"/>
                    <w:spacing w:line="240" w:lineRule="auto"/>
                    <w:jc w:val="center"/>
                    <w:rPr>
                      <w:rFonts w:hint="eastAsia" w:cs="Times New Roman"/>
                      <w:b/>
                      <w:bCs/>
                      <w:color w:val="000000" w:themeColor="text1"/>
                      <w:sz w:val="21"/>
                      <w:szCs w:val="21"/>
                      <w:vertAlign w:val="baseline"/>
                      <w:lang w:val="en-US" w:eastAsia="zh-CN"/>
                      <w14:textFill>
                        <w14:solidFill>
                          <w14:schemeClr w14:val="tx1"/>
                        </w14:solidFill>
                      </w14:textFill>
                    </w:rPr>
                  </w:pPr>
                  <w:r>
                    <w:rPr>
                      <w:rFonts w:hint="eastAsia" w:cs="Times New Roman"/>
                      <w:b/>
                      <w:bCs/>
                      <w:color w:val="000000" w:themeColor="text1"/>
                      <w:sz w:val="21"/>
                      <w:szCs w:val="21"/>
                      <w:lang w:val="en-US" w:eastAsia="zh-CN"/>
                      <w14:textFill>
                        <w14:solidFill>
                          <w14:schemeClr w14:val="tx1"/>
                        </w14:solidFill>
                      </w14:textFill>
                    </w:rPr>
                    <w:t>相对距离</w:t>
                  </w:r>
                </w:p>
              </w:tc>
              <w:tc>
                <w:tcPr>
                  <w:tcW w:w="1138" w:type="dxa"/>
                  <w:vMerge w:val="restart"/>
                  <w:vAlign w:val="center"/>
                </w:tcPr>
                <w:p w14:paraId="05536429">
                  <w:pPr>
                    <w:numPr>
                      <w:ilvl w:val="0"/>
                      <w:numId w:val="0"/>
                    </w:numPr>
                    <w:bidi w:val="0"/>
                    <w:spacing w:line="240" w:lineRule="auto"/>
                    <w:jc w:val="center"/>
                    <w:rPr>
                      <w:rFonts w:hint="eastAsia" w:cs="Times New Roman"/>
                      <w:b/>
                      <w:bCs/>
                      <w:color w:val="000000" w:themeColor="text1"/>
                      <w:sz w:val="21"/>
                      <w:szCs w:val="21"/>
                      <w:vertAlign w:val="baseline"/>
                      <w:lang w:val="en-US" w:eastAsia="zh-CN"/>
                      <w14:textFill>
                        <w14:solidFill>
                          <w14:schemeClr w14:val="tx1"/>
                        </w14:solidFill>
                      </w14:textFill>
                    </w:rPr>
                  </w:pPr>
                  <w:r>
                    <w:rPr>
                      <w:rFonts w:hint="eastAsia" w:cs="Times New Roman"/>
                      <w:b/>
                      <w:bCs/>
                      <w:color w:val="000000" w:themeColor="text1"/>
                      <w:sz w:val="21"/>
                      <w:szCs w:val="21"/>
                      <w:lang w:val="en-US" w:eastAsia="zh-CN"/>
                      <w14:textFill>
                        <w14:solidFill>
                          <w14:schemeClr w14:val="tx1"/>
                        </w14:solidFill>
                      </w14:textFill>
                    </w:rPr>
                    <w:t>与本项目水利联系</w:t>
                  </w:r>
                </w:p>
              </w:tc>
            </w:tr>
            <w:tr w14:paraId="0C8500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00" w:type="dxa"/>
                  <w:vMerge w:val="continue"/>
                  <w:vAlign w:val="center"/>
                </w:tcPr>
                <w:p w14:paraId="05E2AD35">
                  <w:pPr>
                    <w:numPr>
                      <w:ilvl w:val="0"/>
                      <w:numId w:val="0"/>
                    </w:numPr>
                    <w:bidi w:val="0"/>
                    <w:spacing w:line="240" w:lineRule="auto"/>
                    <w:jc w:val="center"/>
                    <w:rPr>
                      <w:rFonts w:hint="eastAsia" w:cs="Times New Roman"/>
                      <w:color w:val="000000" w:themeColor="text1"/>
                      <w:sz w:val="21"/>
                      <w:szCs w:val="21"/>
                      <w:vertAlign w:val="baseline"/>
                      <w:lang w:val="en-US" w:eastAsia="zh-CN"/>
                      <w14:textFill>
                        <w14:solidFill>
                          <w14:schemeClr w14:val="tx1"/>
                        </w14:solidFill>
                      </w14:textFill>
                    </w:rPr>
                  </w:pPr>
                </w:p>
              </w:tc>
              <w:tc>
                <w:tcPr>
                  <w:tcW w:w="500" w:type="dxa"/>
                  <w:vMerge w:val="continue"/>
                  <w:vAlign w:val="center"/>
                </w:tcPr>
                <w:p w14:paraId="4F8C14B3">
                  <w:pPr>
                    <w:numPr>
                      <w:ilvl w:val="0"/>
                      <w:numId w:val="0"/>
                    </w:numPr>
                    <w:bidi w:val="0"/>
                    <w:spacing w:line="240" w:lineRule="auto"/>
                    <w:jc w:val="center"/>
                    <w:rPr>
                      <w:rFonts w:hint="eastAsia" w:cs="Times New Roman"/>
                      <w:color w:val="000000" w:themeColor="text1"/>
                      <w:sz w:val="21"/>
                      <w:szCs w:val="21"/>
                      <w:vertAlign w:val="baseline"/>
                      <w:lang w:val="en-US" w:eastAsia="zh-CN"/>
                      <w14:textFill>
                        <w14:solidFill>
                          <w14:schemeClr w14:val="tx1"/>
                        </w14:solidFill>
                      </w14:textFill>
                    </w:rPr>
                  </w:pPr>
                </w:p>
              </w:tc>
              <w:tc>
                <w:tcPr>
                  <w:tcW w:w="350" w:type="dxa"/>
                  <w:vAlign w:val="center"/>
                </w:tcPr>
                <w:p w14:paraId="18FC3FDD">
                  <w:pPr>
                    <w:numPr>
                      <w:ilvl w:val="0"/>
                      <w:numId w:val="0"/>
                    </w:numPr>
                    <w:bidi w:val="0"/>
                    <w:spacing w:line="240" w:lineRule="auto"/>
                    <w:jc w:val="center"/>
                    <w:rPr>
                      <w:rFonts w:hint="default" w:cs="Times New Roman"/>
                      <w:color w:val="000000" w:themeColor="text1"/>
                      <w:sz w:val="21"/>
                      <w:szCs w:val="21"/>
                      <w:vertAlign w:val="baseline"/>
                      <w:lang w:val="en-US" w:eastAsia="zh-CN"/>
                      <w14:textFill>
                        <w14:solidFill>
                          <w14:schemeClr w14:val="tx1"/>
                        </w14:solidFill>
                      </w14:textFill>
                    </w:rPr>
                  </w:pPr>
                  <w:r>
                    <w:rPr>
                      <w:rFonts w:hint="eastAsia" w:cs="Times New Roman"/>
                      <w:color w:val="000000" w:themeColor="text1"/>
                      <w:sz w:val="21"/>
                      <w:szCs w:val="21"/>
                      <w:vertAlign w:val="baseline"/>
                      <w:lang w:val="en-US" w:eastAsia="zh-CN"/>
                      <w14:textFill>
                        <w14:solidFill>
                          <w14:schemeClr w14:val="tx1"/>
                        </w14:solidFill>
                      </w14:textFill>
                    </w:rPr>
                    <w:t>X</w:t>
                  </w:r>
                </w:p>
              </w:tc>
              <w:tc>
                <w:tcPr>
                  <w:tcW w:w="337" w:type="dxa"/>
                  <w:vAlign w:val="center"/>
                </w:tcPr>
                <w:p w14:paraId="3816B0DF">
                  <w:pPr>
                    <w:numPr>
                      <w:ilvl w:val="0"/>
                      <w:numId w:val="0"/>
                    </w:numPr>
                    <w:bidi w:val="0"/>
                    <w:spacing w:line="240" w:lineRule="auto"/>
                    <w:jc w:val="center"/>
                    <w:rPr>
                      <w:rFonts w:hint="default" w:cs="Times New Roman"/>
                      <w:color w:val="000000" w:themeColor="text1"/>
                      <w:sz w:val="21"/>
                      <w:szCs w:val="21"/>
                      <w:vertAlign w:val="baseline"/>
                      <w:lang w:val="en-US" w:eastAsia="zh-CN"/>
                      <w14:textFill>
                        <w14:solidFill>
                          <w14:schemeClr w14:val="tx1"/>
                        </w14:solidFill>
                      </w14:textFill>
                    </w:rPr>
                  </w:pPr>
                  <w:r>
                    <w:rPr>
                      <w:rFonts w:hint="eastAsia" w:cs="Times New Roman"/>
                      <w:color w:val="000000" w:themeColor="text1"/>
                      <w:sz w:val="21"/>
                      <w:szCs w:val="21"/>
                      <w:vertAlign w:val="baseline"/>
                      <w:lang w:val="en-US" w:eastAsia="zh-CN"/>
                      <w14:textFill>
                        <w14:solidFill>
                          <w14:schemeClr w14:val="tx1"/>
                        </w14:solidFill>
                      </w14:textFill>
                    </w:rPr>
                    <w:t>Y</w:t>
                  </w:r>
                </w:p>
              </w:tc>
              <w:tc>
                <w:tcPr>
                  <w:tcW w:w="913" w:type="dxa"/>
                  <w:vMerge w:val="continue"/>
                  <w:vAlign w:val="center"/>
                </w:tcPr>
                <w:p w14:paraId="2EA73EBB">
                  <w:pPr>
                    <w:numPr>
                      <w:ilvl w:val="0"/>
                      <w:numId w:val="0"/>
                    </w:numPr>
                    <w:bidi w:val="0"/>
                    <w:spacing w:line="240" w:lineRule="auto"/>
                    <w:jc w:val="center"/>
                    <w:rPr>
                      <w:rFonts w:hint="eastAsia" w:cs="Times New Roman"/>
                      <w:color w:val="000000" w:themeColor="text1"/>
                      <w:sz w:val="21"/>
                      <w:szCs w:val="21"/>
                      <w:vertAlign w:val="baseline"/>
                      <w:lang w:val="en-US" w:eastAsia="zh-CN"/>
                      <w14:textFill>
                        <w14:solidFill>
                          <w14:schemeClr w14:val="tx1"/>
                        </w14:solidFill>
                      </w14:textFill>
                    </w:rPr>
                  </w:pPr>
                </w:p>
              </w:tc>
              <w:tc>
                <w:tcPr>
                  <w:tcW w:w="925" w:type="dxa"/>
                  <w:vMerge w:val="continue"/>
                  <w:vAlign w:val="center"/>
                </w:tcPr>
                <w:p w14:paraId="307332AD">
                  <w:pPr>
                    <w:numPr>
                      <w:ilvl w:val="0"/>
                      <w:numId w:val="0"/>
                    </w:numPr>
                    <w:bidi w:val="0"/>
                    <w:spacing w:line="240" w:lineRule="auto"/>
                    <w:jc w:val="center"/>
                    <w:rPr>
                      <w:rFonts w:hint="eastAsia" w:cs="Times New Roman"/>
                      <w:color w:val="000000" w:themeColor="text1"/>
                      <w:sz w:val="21"/>
                      <w:szCs w:val="21"/>
                      <w:vertAlign w:val="baseline"/>
                      <w:lang w:val="en-US" w:eastAsia="zh-CN"/>
                      <w14:textFill>
                        <w14:solidFill>
                          <w14:schemeClr w14:val="tx1"/>
                        </w14:solidFill>
                      </w14:textFill>
                    </w:rPr>
                  </w:pPr>
                </w:p>
              </w:tc>
              <w:tc>
                <w:tcPr>
                  <w:tcW w:w="1262" w:type="dxa"/>
                  <w:vMerge w:val="continue"/>
                  <w:vAlign w:val="center"/>
                </w:tcPr>
                <w:p w14:paraId="5636B473">
                  <w:pPr>
                    <w:numPr>
                      <w:ilvl w:val="0"/>
                      <w:numId w:val="0"/>
                    </w:numPr>
                    <w:bidi w:val="0"/>
                    <w:spacing w:line="240" w:lineRule="auto"/>
                    <w:jc w:val="center"/>
                    <w:rPr>
                      <w:rFonts w:hint="eastAsia" w:cs="Times New Roman"/>
                      <w:color w:val="000000" w:themeColor="text1"/>
                      <w:sz w:val="21"/>
                      <w:szCs w:val="21"/>
                      <w:vertAlign w:val="baseline"/>
                      <w:lang w:val="en-US" w:eastAsia="zh-CN"/>
                      <w14:textFill>
                        <w14:solidFill>
                          <w14:schemeClr w14:val="tx1"/>
                        </w14:solidFill>
                      </w14:textFill>
                    </w:rPr>
                  </w:pPr>
                </w:p>
              </w:tc>
              <w:tc>
                <w:tcPr>
                  <w:tcW w:w="850" w:type="dxa"/>
                  <w:vMerge w:val="continue"/>
                  <w:vAlign w:val="center"/>
                </w:tcPr>
                <w:p w14:paraId="2DC8C9CA">
                  <w:pPr>
                    <w:numPr>
                      <w:ilvl w:val="0"/>
                      <w:numId w:val="0"/>
                    </w:numPr>
                    <w:bidi w:val="0"/>
                    <w:spacing w:line="240" w:lineRule="auto"/>
                    <w:jc w:val="center"/>
                    <w:rPr>
                      <w:rFonts w:hint="eastAsia" w:cs="Times New Roman"/>
                      <w:color w:val="000000" w:themeColor="text1"/>
                      <w:sz w:val="21"/>
                      <w:szCs w:val="21"/>
                      <w:vertAlign w:val="baseline"/>
                      <w:lang w:val="en-US" w:eastAsia="zh-CN"/>
                      <w14:textFill>
                        <w14:solidFill>
                          <w14:schemeClr w14:val="tx1"/>
                        </w14:solidFill>
                      </w14:textFill>
                    </w:rPr>
                  </w:pPr>
                </w:p>
              </w:tc>
              <w:tc>
                <w:tcPr>
                  <w:tcW w:w="1063" w:type="dxa"/>
                  <w:vMerge w:val="continue"/>
                  <w:vAlign w:val="center"/>
                </w:tcPr>
                <w:p w14:paraId="78F5D4B3">
                  <w:pPr>
                    <w:numPr>
                      <w:ilvl w:val="0"/>
                      <w:numId w:val="0"/>
                    </w:numPr>
                    <w:bidi w:val="0"/>
                    <w:spacing w:line="240" w:lineRule="auto"/>
                    <w:jc w:val="center"/>
                    <w:rPr>
                      <w:rFonts w:hint="eastAsia" w:cs="Times New Roman"/>
                      <w:color w:val="000000" w:themeColor="text1"/>
                      <w:sz w:val="21"/>
                      <w:szCs w:val="21"/>
                      <w:vertAlign w:val="baseline"/>
                      <w:lang w:val="en-US" w:eastAsia="zh-CN"/>
                      <w14:textFill>
                        <w14:solidFill>
                          <w14:schemeClr w14:val="tx1"/>
                        </w14:solidFill>
                      </w14:textFill>
                    </w:rPr>
                  </w:pPr>
                </w:p>
              </w:tc>
              <w:tc>
                <w:tcPr>
                  <w:tcW w:w="1138" w:type="dxa"/>
                  <w:vMerge w:val="continue"/>
                  <w:vAlign w:val="center"/>
                </w:tcPr>
                <w:p w14:paraId="1867FAD0">
                  <w:pPr>
                    <w:numPr>
                      <w:ilvl w:val="0"/>
                      <w:numId w:val="0"/>
                    </w:numPr>
                    <w:bidi w:val="0"/>
                    <w:spacing w:line="240" w:lineRule="auto"/>
                    <w:jc w:val="center"/>
                    <w:rPr>
                      <w:rFonts w:hint="eastAsia" w:cs="Times New Roman"/>
                      <w:color w:val="000000" w:themeColor="text1"/>
                      <w:sz w:val="21"/>
                      <w:szCs w:val="21"/>
                      <w:vertAlign w:val="baseline"/>
                      <w:lang w:val="en-US" w:eastAsia="zh-CN"/>
                      <w14:textFill>
                        <w14:solidFill>
                          <w14:schemeClr w14:val="tx1"/>
                        </w14:solidFill>
                      </w14:textFill>
                    </w:rPr>
                  </w:pPr>
                </w:p>
              </w:tc>
            </w:tr>
            <w:tr w14:paraId="5EA03F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00" w:type="dxa"/>
                  <w:vMerge w:val="restart"/>
                  <w:vAlign w:val="center"/>
                </w:tcPr>
                <w:p w14:paraId="73F208EE">
                  <w:pPr>
                    <w:numPr>
                      <w:ilvl w:val="0"/>
                      <w:numId w:val="0"/>
                    </w:numPr>
                    <w:bidi w:val="0"/>
                    <w:spacing w:line="240" w:lineRule="auto"/>
                    <w:jc w:val="center"/>
                    <w:rPr>
                      <w:rFonts w:hint="default" w:cs="Times New Roman"/>
                      <w:color w:val="000000" w:themeColor="text1"/>
                      <w:sz w:val="21"/>
                      <w:szCs w:val="21"/>
                      <w:vertAlign w:val="baseline"/>
                      <w:lang w:val="en-US" w:eastAsia="zh-CN"/>
                      <w14:textFill>
                        <w14:solidFill>
                          <w14:schemeClr w14:val="tx1"/>
                        </w14:solidFill>
                      </w14:textFill>
                    </w:rPr>
                  </w:pPr>
                  <w:r>
                    <w:rPr>
                      <w:rFonts w:hint="eastAsia" w:cs="Times New Roman"/>
                      <w:color w:val="000000" w:themeColor="text1"/>
                      <w:sz w:val="21"/>
                      <w:szCs w:val="21"/>
                      <w:vertAlign w:val="baseline"/>
                      <w:lang w:val="en-US" w:eastAsia="zh-CN"/>
                      <w14:textFill>
                        <w14:solidFill>
                          <w14:schemeClr w14:val="tx1"/>
                        </w14:solidFill>
                      </w14:textFill>
                    </w:rPr>
                    <w:t>地表水</w:t>
                  </w:r>
                </w:p>
              </w:tc>
              <w:tc>
                <w:tcPr>
                  <w:tcW w:w="500" w:type="dxa"/>
                  <w:vAlign w:val="center"/>
                </w:tcPr>
                <w:p w14:paraId="5632D0BB">
                  <w:pPr>
                    <w:numPr>
                      <w:ilvl w:val="0"/>
                      <w:numId w:val="0"/>
                    </w:numPr>
                    <w:bidi w:val="0"/>
                    <w:spacing w:line="240" w:lineRule="auto"/>
                    <w:jc w:val="center"/>
                    <w:rPr>
                      <w:rFonts w:hint="eastAsia" w:cs="Times New Roman"/>
                      <w:color w:val="000000" w:themeColor="text1"/>
                      <w:sz w:val="21"/>
                      <w:szCs w:val="21"/>
                      <w:vertAlign w:val="baseline"/>
                      <w:lang w:val="en-US" w:eastAsia="zh-CN"/>
                      <w14:textFill>
                        <w14:solidFill>
                          <w14:schemeClr w14:val="tx1"/>
                        </w14:solidFill>
                      </w14:textFill>
                    </w:rPr>
                  </w:pPr>
                  <w:r>
                    <w:rPr>
                      <w:rFonts w:hint="eastAsia" w:cs="Times New Roman"/>
                      <w:color w:val="000000" w:themeColor="text1"/>
                      <w:sz w:val="21"/>
                      <w:szCs w:val="21"/>
                      <w:vertAlign w:val="baseline"/>
                      <w:lang w:val="en-US" w:eastAsia="zh-CN"/>
                      <w14:textFill>
                        <w14:solidFill>
                          <w14:schemeClr w14:val="tx1"/>
                        </w14:solidFill>
                      </w14:textFill>
                    </w:rPr>
                    <w:t>玉丰河</w:t>
                  </w:r>
                </w:p>
              </w:tc>
              <w:tc>
                <w:tcPr>
                  <w:tcW w:w="350" w:type="dxa"/>
                  <w:vAlign w:val="center"/>
                </w:tcPr>
                <w:p w14:paraId="012DB20F">
                  <w:pPr>
                    <w:numPr>
                      <w:ilvl w:val="0"/>
                      <w:numId w:val="0"/>
                    </w:numPr>
                    <w:bidi w:val="0"/>
                    <w:spacing w:line="240" w:lineRule="auto"/>
                    <w:jc w:val="center"/>
                    <w:rPr>
                      <w:rFonts w:hint="default" w:cs="Times New Roman"/>
                      <w:color w:val="000000" w:themeColor="text1"/>
                      <w:sz w:val="21"/>
                      <w:szCs w:val="21"/>
                      <w:vertAlign w:val="baseline"/>
                      <w:lang w:val="en-US" w:eastAsia="zh-CN"/>
                      <w14:textFill>
                        <w14:solidFill>
                          <w14:schemeClr w14:val="tx1"/>
                        </w14:solidFill>
                      </w14:textFill>
                    </w:rPr>
                  </w:pPr>
                  <w:r>
                    <w:rPr>
                      <w:rFonts w:hint="eastAsia" w:cs="Times New Roman"/>
                      <w:color w:val="000000" w:themeColor="text1"/>
                      <w:sz w:val="21"/>
                      <w:szCs w:val="21"/>
                      <w:vertAlign w:val="baseline"/>
                      <w:lang w:val="en-US" w:eastAsia="zh-CN"/>
                      <w14:textFill>
                        <w14:solidFill>
                          <w14:schemeClr w14:val="tx1"/>
                        </w14:solidFill>
                      </w14:textFill>
                    </w:rPr>
                    <w:t>/</w:t>
                  </w:r>
                </w:p>
              </w:tc>
              <w:tc>
                <w:tcPr>
                  <w:tcW w:w="337" w:type="dxa"/>
                  <w:vAlign w:val="center"/>
                </w:tcPr>
                <w:p w14:paraId="1B761AAC">
                  <w:pPr>
                    <w:numPr>
                      <w:ilvl w:val="0"/>
                      <w:numId w:val="0"/>
                    </w:numPr>
                    <w:bidi w:val="0"/>
                    <w:spacing w:line="240" w:lineRule="auto"/>
                    <w:jc w:val="center"/>
                    <w:rPr>
                      <w:rFonts w:hint="default" w:cs="Times New Roman"/>
                      <w:color w:val="000000" w:themeColor="text1"/>
                      <w:sz w:val="21"/>
                      <w:szCs w:val="21"/>
                      <w:vertAlign w:val="baseline"/>
                      <w:lang w:val="en-US" w:eastAsia="zh-CN"/>
                      <w14:textFill>
                        <w14:solidFill>
                          <w14:schemeClr w14:val="tx1"/>
                        </w14:solidFill>
                      </w14:textFill>
                    </w:rPr>
                  </w:pPr>
                  <w:r>
                    <w:rPr>
                      <w:rFonts w:hint="eastAsia" w:cs="Times New Roman"/>
                      <w:color w:val="000000" w:themeColor="text1"/>
                      <w:sz w:val="21"/>
                      <w:szCs w:val="21"/>
                      <w:vertAlign w:val="baseline"/>
                      <w:lang w:val="en-US" w:eastAsia="zh-CN"/>
                      <w14:textFill>
                        <w14:solidFill>
                          <w14:schemeClr w14:val="tx1"/>
                        </w14:solidFill>
                      </w14:textFill>
                    </w:rPr>
                    <w:t>/</w:t>
                  </w:r>
                </w:p>
              </w:tc>
              <w:tc>
                <w:tcPr>
                  <w:tcW w:w="913" w:type="dxa"/>
                  <w:vAlign w:val="center"/>
                </w:tcPr>
                <w:p w14:paraId="3DE31A53">
                  <w:pPr>
                    <w:numPr>
                      <w:ilvl w:val="0"/>
                      <w:numId w:val="0"/>
                    </w:numPr>
                    <w:bidi w:val="0"/>
                    <w:spacing w:line="240" w:lineRule="auto"/>
                    <w:ind w:left="0" w:leftChars="0" w:firstLine="0" w:firstLineChars="0"/>
                    <w:jc w:val="center"/>
                    <w:rPr>
                      <w:rFonts w:hint="eastAsia" w:cs="Times New Roman"/>
                      <w:color w:val="000000" w:themeColor="text1"/>
                      <w:sz w:val="21"/>
                      <w:szCs w:val="21"/>
                      <w:vertAlign w:val="baseline"/>
                      <w:lang w:val="en-US" w:eastAsia="zh-CN"/>
                      <w14:textFill>
                        <w14:solidFill>
                          <w14:schemeClr w14:val="tx1"/>
                        </w14:solidFill>
                      </w14:textFill>
                    </w:rPr>
                  </w:pPr>
                  <w:r>
                    <w:rPr>
                      <w:rFonts w:hint="eastAsia" w:cs="Times New Roman"/>
                      <w:color w:val="000000" w:themeColor="text1"/>
                      <w:sz w:val="21"/>
                      <w:szCs w:val="21"/>
                      <w:vertAlign w:val="baseline"/>
                      <w:lang w:val="en-US" w:eastAsia="zh-CN"/>
                      <w14:textFill>
                        <w14:solidFill>
                          <w14:schemeClr w14:val="tx1"/>
                        </w14:solidFill>
                      </w14:textFill>
                    </w:rPr>
                    <w:t>地表水</w:t>
                  </w:r>
                </w:p>
              </w:tc>
              <w:tc>
                <w:tcPr>
                  <w:tcW w:w="925" w:type="dxa"/>
                  <w:vAlign w:val="center"/>
                </w:tcPr>
                <w:p w14:paraId="2818EA30">
                  <w:pPr>
                    <w:numPr>
                      <w:ilvl w:val="0"/>
                      <w:numId w:val="0"/>
                    </w:numPr>
                    <w:bidi w:val="0"/>
                    <w:spacing w:line="240" w:lineRule="auto"/>
                    <w:ind w:left="0" w:leftChars="0" w:firstLine="0" w:firstLineChars="0"/>
                    <w:jc w:val="center"/>
                    <w:rPr>
                      <w:rFonts w:hint="eastAsia" w:cs="Times New Roman"/>
                      <w:color w:val="000000" w:themeColor="text1"/>
                      <w:sz w:val="21"/>
                      <w:szCs w:val="21"/>
                      <w:vertAlign w:val="baseline"/>
                      <w:lang w:val="en-US" w:eastAsia="zh-CN"/>
                      <w14:textFill>
                        <w14:solidFill>
                          <w14:schemeClr w14:val="tx1"/>
                        </w14:solidFill>
                      </w14:textFill>
                    </w:rPr>
                  </w:pPr>
                  <w:r>
                    <w:rPr>
                      <w:rFonts w:hint="eastAsia" w:cs="Times New Roman"/>
                      <w:color w:val="000000" w:themeColor="text1"/>
                      <w:sz w:val="21"/>
                      <w:szCs w:val="21"/>
                      <w:vertAlign w:val="baseline"/>
                      <w:lang w:val="en-US" w:eastAsia="zh-CN"/>
                      <w14:textFill>
                        <w14:solidFill>
                          <w14:schemeClr w14:val="tx1"/>
                        </w14:solidFill>
                      </w14:textFill>
                    </w:rPr>
                    <w:t>地表水环境</w:t>
                  </w:r>
                </w:p>
              </w:tc>
              <w:tc>
                <w:tcPr>
                  <w:tcW w:w="1262" w:type="dxa"/>
                  <w:vAlign w:val="center"/>
                </w:tcPr>
                <w:p w14:paraId="406A0006">
                  <w:pPr>
                    <w:numPr>
                      <w:ilvl w:val="0"/>
                      <w:numId w:val="0"/>
                    </w:numPr>
                    <w:bidi w:val="0"/>
                    <w:spacing w:line="240" w:lineRule="auto"/>
                    <w:ind w:left="0" w:leftChars="0" w:firstLine="0" w:firstLineChars="0"/>
                    <w:jc w:val="center"/>
                    <w:rPr>
                      <w:rFonts w:hint="eastAsia" w:cs="Times New Roman"/>
                      <w:color w:val="000000" w:themeColor="text1"/>
                      <w:sz w:val="21"/>
                      <w:szCs w:val="21"/>
                      <w:vertAlign w:val="baseline"/>
                      <w:lang w:val="en-US" w:eastAsia="zh-CN"/>
                      <w14:textFill>
                        <w14:solidFill>
                          <w14:schemeClr w14:val="tx1"/>
                        </w14:solidFill>
                      </w14:textFill>
                    </w:rPr>
                  </w:pPr>
                  <w:r>
                    <w:rPr>
                      <w:rFonts w:hint="eastAsia" w:cs="Times New Roman"/>
                      <w:color w:val="000000" w:themeColor="text1"/>
                      <w:sz w:val="21"/>
                      <w:szCs w:val="21"/>
                      <w:vertAlign w:val="baseline"/>
                      <w:lang w:val="en-US" w:eastAsia="zh-CN"/>
                      <w14:textFill>
                        <w14:solidFill>
                          <w14:schemeClr w14:val="tx1"/>
                        </w14:solidFill>
                      </w14:textFill>
                    </w:rPr>
                    <w:t>（GB3838-2002）Ⅲ类</w:t>
                  </w:r>
                </w:p>
              </w:tc>
              <w:tc>
                <w:tcPr>
                  <w:tcW w:w="850" w:type="dxa"/>
                  <w:vAlign w:val="center"/>
                </w:tcPr>
                <w:p w14:paraId="491C6A09">
                  <w:pPr>
                    <w:numPr>
                      <w:ilvl w:val="0"/>
                      <w:numId w:val="0"/>
                    </w:numPr>
                    <w:bidi w:val="0"/>
                    <w:spacing w:line="240" w:lineRule="auto"/>
                    <w:ind w:left="0" w:leftChars="0" w:firstLine="0" w:firstLineChars="0"/>
                    <w:jc w:val="center"/>
                    <w:rPr>
                      <w:rFonts w:hint="eastAsia" w:cs="Times New Roman"/>
                      <w:color w:val="000000" w:themeColor="text1"/>
                      <w:sz w:val="21"/>
                      <w:szCs w:val="21"/>
                      <w:vertAlign w:val="baseline"/>
                      <w:lang w:val="en-US" w:eastAsia="zh-CN"/>
                      <w14:textFill>
                        <w14:solidFill>
                          <w14:schemeClr w14:val="tx1"/>
                        </w14:solidFill>
                      </w14:textFill>
                    </w:rPr>
                  </w:pPr>
                  <w:r>
                    <w:rPr>
                      <w:rFonts w:hint="eastAsia" w:cs="Times New Roman"/>
                      <w:color w:val="000000" w:themeColor="text1"/>
                      <w:sz w:val="21"/>
                      <w:szCs w:val="21"/>
                      <w:vertAlign w:val="baseline"/>
                      <w:lang w:val="en-US" w:eastAsia="zh-CN"/>
                      <w14:textFill>
                        <w14:solidFill>
                          <w14:schemeClr w14:val="tx1"/>
                        </w14:solidFill>
                      </w14:textFill>
                    </w:rPr>
                    <w:t>南</w:t>
                  </w:r>
                </w:p>
              </w:tc>
              <w:tc>
                <w:tcPr>
                  <w:tcW w:w="1063" w:type="dxa"/>
                  <w:vAlign w:val="center"/>
                </w:tcPr>
                <w:p w14:paraId="4EBE1108">
                  <w:pPr>
                    <w:numPr>
                      <w:ilvl w:val="0"/>
                      <w:numId w:val="0"/>
                    </w:numPr>
                    <w:bidi w:val="0"/>
                    <w:spacing w:line="240" w:lineRule="auto"/>
                    <w:jc w:val="center"/>
                    <w:rPr>
                      <w:rFonts w:hint="default" w:cs="Times New Roman"/>
                      <w:color w:val="000000" w:themeColor="text1"/>
                      <w:sz w:val="21"/>
                      <w:szCs w:val="21"/>
                      <w:vertAlign w:val="baseline"/>
                      <w:lang w:val="en-US" w:eastAsia="zh-CN"/>
                      <w14:textFill>
                        <w14:solidFill>
                          <w14:schemeClr w14:val="tx1"/>
                        </w14:solidFill>
                      </w14:textFill>
                    </w:rPr>
                  </w:pPr>
                  <w:r>
                    <w:rPr>
                      <w:rFonts w:hint="eastAsia" w:cs="Times New Roman"/>
                      <w:color w:val="000000" w:themeColor="text1"/>
                      <w:sz w:val="21"/>
                      <w:szCs w:val="21"/>
                      <w:vertAlign w:val="baseline"/>
                      <w:lang w:val="en-US" w:eastAsia="zh-CN"/>
                      <w14:textFill>
                        <w14:solidFill>
                          <w14:schemeClr w14:val="tx1"/>
                        </w14:solidFill>
                      </w14:textFill>
                    </w:rPr>
                    <w:t>52m</w:t>
                  </w:r>
                </w:p>
              </w:tc>
              <w:tc>
                <w:tcPr>
                  <w:tcW w:w="1138" w:type="dxa"/>
                  <w:vAlign w:val="center"/>
                </w:tcPr>
                <w:p w14:paraId="728F81D2">
                  <w:pPr>
                    <w:numPr>
                      <w:ilvl w:val="0"/>
                      <w:numId w:val="0"/>
                    </w:numPr>
                    <w:bidi w:val="0"/>
                    <w:spacing w:line="240" w:lineRule="auto"/>
                    <w:jc w:val="center"/>
                    <w:rPr>
                      <w:rFonts w:hint="default" w:cs="Times New Roman"/>
                      <w:color w:val="000000" w:themeColor="text1"/>
                      <w:sz w:val="21"/>
                      <w:szCs w:val="21"/>
                      <w:vertAlign w:val="baseline"/>
                      <w:lang w:val="en-US" w:eastAsia="zh-CN"/>
                      <w14:textFill>
                        <w14:solidFill>
                          <w14:schemeClr w14:val="tx1"/>
                        </w14:solidFill>
                      </w14:textFill>
                    </w:rPr>
                  </w:pPr>
                  <w:r>
                    <w:rPr>
                      <w:rFonts w:hint="eastAsia" w:cs="Times New Roman"/>
                      <w:color w:val="000000" w:themeColor="text1"/>
                      <w:sz w:val="21"/>
                      <w:szCs w:val="21"/>
                      <w:vertAlign w:val="baseline"/>
                      <w:lang w:val="en-US" w:eastAsia="zh-CN"/>
                      <w14:textFill>
                        <w14:solidFill>
                          <w14:schemeClr w14:val="tx1"/>
                        </w14:solidFill>
                      </w14:textFill>
                    </w:rPr>
                    <w:t>/</w:t>
                  </w:r>
                </w:p>
              </w:tc>
            </w:tr>
            <w:tr w14:paraId="51BA53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00" w:type="dxa"/>
                  <w:vMerge w:val="continue"/>
                  <w:vAlign w:val="center"/>
                </w:tcPr>
                <w:p w14:paraId="598016B7">
                  <w:pPr>
                    <w:numPr>
                      <w:ilvl w:val="0"/>
                      <w:numId w:val="0"/>
                    </w:numPr>
                    <w:bidi w:val="0"/>
                    <w:spacing w:line="240" w:lineRule="auto"/>
                    <w:jc w:val="center"/>
                    <w:rPr>
                      <w:rFonts w:hint="default" w:cs="Times New Roman"/>
                      <w:color w:val="000000" w:themeColor="text1"/>
                      <w:sz w:val="21"/>
                      <w:szCs w:val="21"/>
                      <w:vertAlign w:val="baseline"/>
                      <w:lang w:val="en-US" w:eastAsia="zh-CN"/>
                      <w14:textFill>
                        <w14:solidFill>
                          <w14:schemeClr w14:val="tx1"/>
                        </w14:solidFill>
                      </w14:textFill>
                    </w:rPr>
                  </w:pPr>
                </w:p>
              </w:tc>
              <w:tc>
                <w:tcPr>
                  <w:tcW w:w="500" w:type="dxa"/>
                  <w:vAlign w:val="center"/>
                </w:tcPr>
                <w:p w14:paraId="77DE82F9">
                  <w:pPr>
                    <w:numPr>
                      <w:ilvl w:val="0"/>
                      <w:numId w:val="0"/>
                    </w:numPr>
                    <w:bidi w:val="0"/>
                    <w:spacing w:line="240" w:lineRule="auto"/>
                    <w:jc w:val="center"/>
                    <w:rPr>
                      <w:rFonts w:hint="default" w:cs="Times New Roman"/>
                      <w:color w:val="000000" w:themeColor="text1"/>
                      <w:sz w:val="21"/>
                      <w:szCs w:val="21"/>
                      <w:vertAlign w:val="baseline"/>
                      <w:lang w:val="en-US" w:eastAsia="zh-CN"/>
                      <w14:textFill>
                        <w14:solidFill>
                          <w14:schemeClr w14:val="tx1"/>
                        </w14:solidFill>
                      </w14:textFill>
                    </w:rPr>
                  </w:pPr>
                  <w:r>
                    <w:rPr>
                      <w:rFonts w:hint="eastAsia" w:cs="Times New Roman"/>
                      <w:color w:val="000000" w:themeColor="text1"/>
                      <w:sz w:val="21"/>
                      <w:szCs w:val="21"/>
                      <w:vertAlign w:val="baseline"/>
                      <w:lang w:val="en-US" w:eastAsia="zh-CN"/>
                      <w14:textFill>
                        <w14:solidFill>
                          <w14:schemeClr w14:val="tx1"/>
                        </w14:solidFill>
                      </w14:textFill>
                    </w:rPr>
                    <w:t>琼江</w:t>
                  </w:r>
                </w:p>
              </w:tc>
              <w:tc>
                <w:tcPr>
                  <w:tcW w:w="350" w:type="dxa"/>
                  <w:vAlign w:val="center"/>
                </w:tcPr>
                <w:p w14:paraId="292BB703">
                  <w:pPr>
                    <w:numPr>
                      <w:ilvl w:val="0"/>
                      <w:numId w:val="0"/>
                    </w:numPr>
                    <w:bidi w:val="0"/>
                    <w:spacing w:line="240" w:lineRule="auto"/>
                    <w:jc w:val="center"/>
                    <w:rPr>
                      <w:rFonts w:hint="default" w:cs="Times New Roman"/>
                      <w:color w:val="000000" w:themeColor="text1"/>
                      <w:sz w:val="21"/>
                      <w:szCs w:val="21"/>
                      <w:vertAlign w:val="baseline"/>
                      <w:lang w:val="en-US" w:eastAsia="zh-CN"/>
                      <w14:textFill>
                        <w14:solidFill>
                          <w14:schemeClr w14:val="tx1"/>
                        </w14:solidFill>
                      </w14:textFill>
                    </w:rPr>
                  </w:pPr>
                  <w:r>
                    <w:rPr>
                      <w:rFonts w:hint="eastAsia" w:cs="Times New Roman"/>
                      <w:color w:val="000000" w:themeColor="text1"/>
                      <w:sz w:val="21"/>
                      <w:szCs w:val="21"/>
                      <w:vertAlign w:val="baseline"/>
                      <w:lang w:val="en-US" w:eastAsia="zh-CN"/>
                      <w14:textFill>
                        <w14:solidFill>
                          <w14:schemeClr w14:val="tx1"/>
                        </w14:solidFill>
                      </w14:textFill>
                    </w:rPr>
                    <w:t>/</w:t>
                  </w:r>
                </w:p>
              </w:tc>
              <w:tc>
                <w:tcPr>
                  <w:tcW w:w="337" w:type="dxa"/>
                  <w:vAlign w:val="center"/>
                </w:tcPr>
                <w:p w14:paraId="7BFB5526">
                  <w:pPr>
                    <w:numPr>
                      <w:ilvl w:val="0"/>
                      <w:numId w:val="0"/>
                    </w:numPr>
                    <w:bidi w:val="0"/>
                    <w:spacing w:line="240" w:lineRule="auto"/>
                    <w:jc w:val="center"/>
                    <w:rPr>
                      <w:rFonts w:hint="default" w:cs="Times New Roman"/>
                      <w:color w:val="000000" w:themeColor="text1"/>
                      <w:sz w:val="21"/>
                      <w:szCs w:val="21"/>
                      <w:vertAlign w:val="baseline"/>
                      <w:lang w:val="en-US" w:eastAsia="zh-CN"/>
                      <w14:textFill>
                        <w14:solidFill>
                          <w14:schemeClr w14:val="tx1"/>
                        </w14:solidFill>
                      </w14:textFill>
                    </w:rPr>
                  </w:pPr>
                  <w:r>
                    <w:rPr>
                      <w:rFonts w:hint="eastAsia" w:cs="Times New Roman"/>
                      <w:color w:val="000000" w:themeColor="text1"/>
                      <w:sz w:val="21"/>
                      <w:szCs w:val="21"/>
                      <w:vertAlign w:val="baseline"/>
                      <w:lang w:val="en-US" w:eastAsia="zh-CN"/>
                      <w14:textFill>
                        <w14:solidFill>
                          <w14:schemeClr w14:val="tx1"/>
                        </w14:solidFill>
                      </w14:textFill>
                    </w:rPr>
                    <w:t>/</w:t>
                  </w:r>
                </w:p>
              </w:tc>
              <w:tc>
                <w:tcPr>
                  <w:tcW w:w="913" w:type="dxa"/>
                  <w:vAlign w:val="center"/>
                </w:tcPr>
                <w:p w14:paraId="005E6628">
                  <w:pPr>
                    <w:numPr>
                      <w:ilvl w:val="0"/>
                      <w:numId w:val="0"/>
                    </w:numPr>
                    <w:bidi w:val="0"/>
                    <w:spacing w:line="240" w:lineRule="auto"/>
                    <w:jc w:val="center"/>
                    <w:rPr>
                      <w:rFonts w:hint="eastAsia" w:cs="Times New Roman"/>
                      <w:color w:val="000000" w:themeColor="text1"/>
                      <w:sz w:val="21"/>
                      <w:szCs w:val="21"/>
                      <w:vertAlign w:val="baseline"/>
                      <w:lang w:val="en-US" w:eastAsia="zh-CN"/>
                      <w14:textFill>
                        <w14:solidFill>
                          <w14:schemeClr w14:val="tx1"/>
                        </w14:solidFill>
                      </w14:textFill>
                    </w:rPr>
                  </w:pPr>
                  <w:r>
                    <w:rPr>
                      <w:rFonts w:hint="eastAsia" w:cs="Times New Roman"/>
                      <w:color w:val="000000" w:themeColor="text1"/>
                      <w:sz w:val="21"/>
                      <w:szCs w:val="21"/>
                      <w:vertAlign w:val="baseline"/>
                      <w:lang w:val="en-US" w:eastAsia="zh-CN"/>
                      <w14:textFill>
                        <w14:solidFill>
                          <w14:schemeClr w14:val="tx1"/>
                        </w14:solidFill>
                      </w14:textFill>
                    </w:rPr>
                    <w:t>地表水</w:t>
                  </w:r>
                </w:p>
              </w:tc>
              <w:tc>
                <w:tcPr>
                  <w:tcW w:w="925" w:type="dxa"/>
                  <w:vAlign w:val="center"/>
                </w:tcPr>
                <w:p w14:paraId="3CD7FFA4">
                  <w:pPr>
                    <w:numPr>
                      <w:ilvl w:val="0"/>
                      <w:numId w:val="0"/>
                    </w:numPr>
                    <w:bidi w:val="0"/>
                    <w:spacing w:line="240" w:lineRule="auto"/>
                    <w:jc w:val="center"/>
                    <w:rPr>
                      <w:rFonts w:hint="default" w:cs="Times New Roman"/>
                      <w:color w:val="000000" w:themeColor="text1"/>
                      <w:sz w:val="21"/>
                      <w:szCs w:val="21"/>
                      <w:vertAlign w:val="baseline"/>
                      <w:lang w:val="en-US" w:eastAsia="zh-CN"/>
                      <w14:textFill>
                        <w14:solidFill>
                          <w14:schemeClr w14:val="tx1"/>
                        </w14:solidFill>
                      </w14:textFill>
                    </w:rPr>
                  </w:pPr>
                  <w:r>
                    <w:rPr>
                      <w:rFonts w:hint="eastAsia" w:cs="Times New Roman"/>
                      <w:color w:val="000000" w:themeColor="text1"/>
                      <w:sz w:val="21"/>
                      <w:szCs w:val="21"/>
                      <w:vertAlign w:val="baseline"/>
                      <w:lang w:val="en-US" w:eastAsia="zh-CN"/>
                      <w14:textFill>
                        <w14:solidFill>
                          <w14:schemeClr w14:val="tx1"/>
                        </w14:solidFill>
                      </w14:textFill>
                    </w:rPr>
                    <w:t>地表水环境</w:t>
                  </w:r>
                </w:p>
              </w:tc>
              <w:tc>
                <w:tcPr>
                  <w:tcW w:w="1262" w:type="dxa"/>
                  <w:vAlign w:val="center"/>
                </w:tcPr>
                <w:p w14:paraId="5F524E26">
                  <w:pPr>
                    <w:numPr>
                      <w:ilvl w:val="0"/>
                      <w:numId w:val="0"/>
                    </w:numPr>
                    <w:bidi w:val="0"/>
                    <w:spacing w:line="240" w:lineRule="auto"/>
                    <w:jc w:val="center"/>
                    <w:rPr>
                      <w:rFonts w:hint="eastAsia" w:cs="Times New Roman"/>
                      <w:color w:val="000000" w:themeColor="text1"/>
                      <w:sz w:val="21"/>
                      <w:szCs w:val="21"/>
                      <w:vertAlign w:val="baseline"/>
                      <w:lang w:val="en-US" w:eastAsia="zh-CN"/>
                      <w14:textFill>
                        <w14:solidFill>
                          <w14:schemeClr w14:val="tx1"/>
                        </w14:solidFill>
                      </w14:textFill>
                    </w:rPr>
                  </w:pPr>
                  <w:r>
                    <w:rPr>
                      <w:rFonts w:hint="eastAsia" w:cs="Times New Roman"/>
                      <w:color w:val="000000" w:themeColor="text1"/>
                      <w:sz w:val="21"/>
                      <w:szCs w:val="21"/>
                      <w:vertAlign w:val="baseline"/>
                      <w:lang w:val="en-US" w:eastAsia="zh-CN"/>
                      <w14:textFill>
                        <w14:solidFill>
                          <w14:schemeClr w14:val="tx1"/>
                        </w14:solidFill>
                      </w14:textFill>
                    </w:rPr>
                    <w:t>（GB3838-2002）Ⅲ类</w:t>
                  </w:r>
                </w:p>
              </w:tc>
              <w:tc>
                <w:tcPr>
                  <w:tcW w:w="850" w:type="dxa"/>
                  <w:vAlign w:val="center"/>
                </w:tcPr>
                <w:p w14:paraId="4499C617">
                  <w:pPr>
                    <w:numPr>
                      <w:ilvl w:val="0"/>
                      <w:numId w:val="0"/>
                    </w:numPr>
                    <w:bidi w:val="0"/>
                    <w:spacing w:line="240" w:lineRule="auto"/>
                    <w:jc w:val="center"/>
                    <w:rPr>
                      <w:rFonts w:hint="eastAsia" w:cs="Times New Roman"/>
                      <w:color w:val="000000" w:themeColor="text1"/>
                      <w:sz w:val="21"/>
                      <w:szCs w:val="21"/>
                      <w:vertAlign w:val="baseline"/>
                      <w:lang w:val="en-US" w:eastAsia="zh-CN"/>
                      <w14:textFill>
                        <w14:solidFill>
                          <w14:schemeClr w14:val="tx1"/>
                        </w14:solidFill>
                      </w14:textFill>
                    </w:rPr>
                  </w:pPr>
                  <w:r>
                    <w:rPr>
                      <w:rFonts w:hint="eastAsia" w:cs="Times New Roman"/>
                      <w:color w:val="000000" w:themeColor="text1"/>
                      <w:sz w:val="21"/>
                      <w:szCs w:val="21"/>
                      <w:vertAlign w:val="baseline"/>
                      <w:lang w:val="en-US" w:eastAsia="zh-CN"/>
                      <w14:textFill>
                        <w14:solidFill>
                          <w14:schemeClr w14:val="tx1"/>
                        </w14:solidFill>
                      </w14:textFill>
                    </w:rPr>
                    <w:t>南</w:t>
                  </w:r>
                </w:p>
              </w:tc>
              <w:tc>
                <w:tcPr>
                  <w:tcW w:w="1063" w:type="dxa"/>
                  <w:vAlign w:val="center"/>
                </w:tcPr>
                <w:p w14:paraId="58F8E9AF">
                  <w:pPr>
                    <w:numPr>
                      <w:ilvl w:val="0"/>
                      <w:numId w:val="0"/>
                    </w:numPr>
                    <w:bidi w:val="0"/>
                    <w:spacing w:line="240" w:lineRule="auto"/>
                    <w:jc w:val="center"/>
                    <w:rPr>
                      <w:rFonts w:hint="default" w:cs="Times New Roman"/>
                      <w:color w:val="000000" w:themeColor="text1"/>
                      <w:sz w:val="21"/>
                      <w:szCs w:val="21"/>
                      <w:vertAlign w:val="baseline"/>
                      <w:lang w:val="en-US" w:eastAsia="zh-CN"/>
                      <w14:textFill>
                        <w14:solidFill>
                          <w14:schemeClr w14:val="tx1"/>
                        </w14:solidFill>
                      </w14:textFill>
                    </w:rPr>
                  </w:pPr>
                  <w:r>
                    <w:rPr>
                      <w:rFonts w:hint="eastAsia" w:cs="Times New Roman"/>
                      <w:color w:val="000000" w:themeColor="text1"/>
                      <w:sz w:val="21"/>
                      <w:szCs w:val="21"/>
                      <w:vertAlign w:val="baseline"/>
                      <w:lang w:val="en-US" w:eastAsia="zh-CN"/>
                      <w14:textFill>
                        <w14:solidFill>
                          <w14:schemeClr w14:val="tx1"/>
                        </w14:solidFill>
                      </w14:textFill>
                    </w:rPr>
                    <w:t>2.273km</w:t>
                  </w:r>
                </w:p>
              </w:tc>
              <w:tc>
                <w:tcPr>
                  <w:tcW w:w="1138" w:type="dxa"/>
                  <w:vAlign w:val="center"/>
                </w:tcPr>
                <w:p w14:paraId="366B54C5">
                  <w:pPr>
                    <w:numPr>
                      <w:ilvl w:val="0"/>
                      <w:numId w:val="0"/>
                    </w:numPr>
                    <w:bidi w:val="0"/>
                    <w:spacing w:line="240" w:lineRule="auto"/>
                    <w:jc w:val="center"/>
                    <w:rPr>
                      <w:rFonts w:hint="eastAsia" w:cs="Times New Roman"/>
                      <w:color w:val="000000" w:themeColor="text1"/>
                      <w:sz w:val="21"/>
                      <w:szCs w:val="21"/>
                      <w:vertAlign w:val="baseline"/>
                      <w:lang w:val="en-US" w:eastAsia="zh-CN"/>
                      <w14:textFill>
                        <w14:solidFill>
                          <w14:schemeClr w14:val="tx1"/>
                        </w14:solidFill>
                      </w14:textFill>
                    </w:rPr>
                  </w:pPr>
                  <w:r>
                    <w:rPr>
                      <w:rFonts w:hint="eastAsia" w:cs="Times New Roman"/>
                      <w:color w:val="000000" w:themeColor="text1"/>
                      <w:sz w:val="21"/>
                      <w:szCs w:val="21"/>
                      <w:vertAlign w:val="baseline"/>
                      <w:lang w:val="en-US" w:eastAsia="zh-CN"/>
                      <w14:textFill>
                        <w14:solidFill>
                          <w14:schemeClr w14:val="tx1"/>
                        </w14:solidFill>
                      </w14:textFill>
                    </w:rPr>
                    <w:t>受纳</w:t>
                  </w:r>
                </w:p>
                <w:p w14:paraId="193FBCAE">
                  <w:pPr>
                    <w:numPr>
                      <w:ilvl w:val="0"/>
                      <w:numId w:val="0"/>
                    </w:numPr>
                    <w:bidi w:val="0"/>
                    <w:spacing w:line="240" w:lineRule="auto"/>
                    <w:jc w:val="center"/>
                    <w:rPr>
                      <w:rFonts w:hint="eastAsia" w:cs="Times New Roman"/>
                      <w:color w:val="000000" w:themeColor="text1"/>
                      <w:sz w:val="21"/>
                      <w:szCs w:val="21"/>
                      <w:vertAlign w:val="baseline"/>
                      <w:lang w:val="en-US" w:eastAsia="zh-CN"/>
                      <w14:textFill>
                        <w14:solidFill>
                          <w14:schemeClr w14:val="tx1"/>
                        </w14:solidFill>
                      </w14:textFill>
                    </w:rPr>
                  </w:pPr>
                  <w:r>
                    <w:rPr>
                      <w:rFonts w:hint="eastAsia" w:cs="Times New Roman"/>
                      <w:color w:val="000000" w:themeColor="text1"/>
                      <w:sz w:val="21"/>
                      <w:szCs w:val="21"/>
                      <w:vertAlign w:val="baseline"/>
                      <w:lang w:val="en-US" w:eastAsia="zh-CN"/>
                      <w14:textFill>
                        <w14:solidFill>
                          <w14:schemeClr w14:val="tx1"/>
                        </w14:solidFill>
                      </w14:textFill>
                    </w:rPr>
                    <w:t>水体</w:t>
                  </w:r>
                </w:p>
              </w:tc>
            </w:tr>
          </w:tbl>
          <w:p w14:paraId="17E30493">
            <w:pPr>
              <w:numPr>
                <w:ilvl w:val="0"/>
                <w:numId w:val="47"/>
              </w:numPr>
              <w:bidi w:val="0"/>
              <w:spacing w:line="360" w:lineRule="auto"/>
              <w:ind w:left="0" w:leftChars="0" w:firstLine="482" w:firstLineChars="200"/>
              <w:rPr>
                <w:rFonts w:hint="eastAsia" w:cs="Times New Roman"/>
                <w:b/>
                <w:bCs/>
                <w:color w:val="auto"/>
                <w:sz w:val="24"/>
                <w:szCs w:val="24"/>
                <w:lang w:val="en-US" w:eastAsia="zh-CN"/>
              </w:rPr>
            </w:pPr>
            <w:r>
              <w:rPr>
                <w:rFonts w:hint="eastAsia" w:cs="Times New Roman"/>
                <w:b/>
                <w:bCs/>
                <w:color w:val="auto"/>
                <w:sz w:val="24"/>
                <w:szCs w:val="24"/>
                <w:lang w:val="en-US" w:eastAsia="zh-CN"/>
              </w:rPr>
              <w:t>声环境保护目标</w:t>
            </w:r>
          </w:p>
          <w:p w14:paraId="3D04783D">
            <w:pPr>
              <w:numPr>
                <w:ilvl w:val="0"/>
                <w:numId w:val="0"/>
              </w:numPr>
              <w:bidi w:val="0"/>
              <w:spacing w:line="360" w:lineRule="auto"/>
              <w:ind w:firstLine="480" w:firstLineChars="200"/>
              <w:rPr>
                <w:rFonts w:hint="eastAsia" w:cs="Times New Roman"/>
                <w:color w:val="auto"/>
                <w:sz w:val="24"/>
                <w:szCs w:val="24"/>
                <w:lang w:val="en-US" w:eastAsia="zh-CN"/>
              </w:rPr>
            </w:pPr>
            <w:r>
              <w:rPr>
                <w:rFonts w:hint="eastAsia" w:cs="Times New Roman"/>
                <w:color w:val="auto"/>
                <w:sz w:val="24"/>
                <w:szCs w:val="24"/>
                <w:lang w:val="en-US" w:eastAsia="zh-CN"/>
              </w:rPr>
              <w:t>本项目声环境保护目标为以项目拟建地块为中心50m范围内的噪声敏感区，确保本项目实施后不产生噪声扰民现象。</w:t>
            </w:r>
          </w:p>
          <w:p w14:paraId="619DEBC5">
            <w:pPr>
              <w:numPr>
                <w:ilvl w:val="0"/>
                <w:numId w:val="0"/>
              </w:numPr>
              <w:bidi w:val="0"/>
              <w:spacing w:line="360" w:lineRule="auto"/>
              <w:ind w:firstLine="480" w:firstLineChars="200"/>
              <w:rPr>
                <w:rFonts w:hint="eastAsia" w:cs="Times New Roman"/>
                <w:color w:val="auto"/>
                <w:sz w:val="24"/>
                <w:szCs w:val="24"/>
                <w:lang w:val="en-US" w:eastAsia="zh-CN"/>
              </w:rPr>
            </w:pPr>
            <w:r>
              <w:rPr>
                <w:rFonts w:hint="eastAsia" w:cs="Times New Roman"/>
                <w:color w:val="auto"/>
                <w:sz w:val="24"/>
                <w:szCs w:val="24"/>
                <w:lang w:val="en-US" w:eastAsia="zh-CN"/>
              </w:rPr>
              <w:t>根据调查，本项目厂界外50m范围内不存在声环境保护目标。</w:t>
            </w:r>
          </w:p>
          <w:p w14:paraId="495A3576">
            <w:pPr>
              <w:numPr>
                <w:ilvl w:val="0"/>
                <w:numId w:val="47"/>
              </w:numPr>
              <w:bidi w:val="0"/>
              <w:spacing w:line="360" w:lineRule="auto"/>
              <w:ind w:left="0" w:leftChars="0" w:firstLine="482" w:firstLineChars="200"/>
              <w:rPr>
                <w:rFonts w:hint="eastAsia" w:cs="Times New Roman"/>
                <w:b/>
                <w:bCs/>
                <w:color w:val="auto"/>
                <w:sz w:val="24"/>
                <w:szCs w:val="24"/>
                <w:lang w:val="en-US" w:eastAsia="zh-CN"/>
              </w:rPr>
            </w:pPr>
            <w:r>
              <w:rPr>
                <w:rFonts w:hint="eastAsia" w:cs="Times New Roman"/>
                <w:b/>
                <w:bCs/>
                <w:color w:val="auto"/>
                <w:sz w:val="24"/>
                <w:szCs w:val="24"/>
                <w:lang w:val="en-US" w:eastAsia="zh-CN"/>
              </w:rPr>
              <w:t>地下水环境保护目标</w:t>
            </w:r>
          </w:p>
          <w:p w14:paraId="2F236D4E">
            <w:pPr>
              <w:numPr>
                <w:ilvl w:val="0"/>
                <w:numId w:val="0"/>
              </w:numPr>
              <w:bidi w:val="0"/>
              <w:spacing w:line="360" w:lineRule="auto"/>
              <w:ind w:firstLine="480" w:firstLineChars="200"/>
              <w:rPr>
                <w:rFonts w:hint="eastAsia" w:cs="Times New Roman"/>
                <w:color w:val="auto"/>
                <w:sz w:val="24"/>
                <w:szCs w:val="24"/>
                <w:lang w:val="en-US" w:eastAsia="zh-CN"/>
              </w:rPr>
            </w:pPr>
            <w:r>
              <w:rPr>
                <w:rFonts w:hint="eastAsia" w:cs="Times New Roman"/>
                <w:color w:val="auto"/>
                <w:sz w:val="24"/>
                <w:szCs w:val="24"/>
                <w:lang w:val="en-US" w:eastAsia="zh-CN"/>
              </w:rPr>
              <w:t>本项目厂界外500m范围内不存在的地下水集中式饮用水水源和热水、矿泉水、温泉等特殊地下水资源。</w:t>
            </w:r>
          </w:p>
          <w:p w14:paraId="7C54D166">
            <w:pPr>
              <w:numPr>
                <w:ilvl w:val="0"/>
                <w:numId w:val="47"/>
              </w:numPr>
              <w:bidi w:val="0"/>
              <w:spacing w:line="360" w:lineRule="auto"/>
              <w:ind w:left="0" w:leftChars="0" w:firstLine="482" w:firstLineChars="200"/>
              <w:rPr>
                <w:rFonts w:hint="eastAsia" w:cs="Times New Roman"/>
                <w:b/>
                <w:bCs/>
                <w:color w:val="auto"/>
                <w:sz w:val="24"/>
                <w:szCs w:val="24"/>
                <w:lang w:val="en-US" w:eastAsia="zh-CN"/>
              </w:rPr>
            </w:pPr>
            <w:r>
              <w:rPr>
                <w:rFonts w:hint="eastAsia" w:cs="Times New Roman"/>
                <w:b/>
                <w:bCs/>
                <w:color w:val="auto"/>
                <w:sz w:val="24"/>
                <w:szCs w:val="24"/>
                <w:lang w:val="en-US" w:eastAsia="zh-CN"/>
              </w:rPr>
              <w:t>土壤环境</w:t>
            </w:r>
          </w:p>
          <w:p w14:paraId="2EB991A0">
            <w:pPr>
              <w:numPr>
                <w:ilvl w:val="0"/>
                <w:numId w:val="0"/>
              </w:numPr>
              <w:bidi w:val="0"/>
              <w:spacing w:line="360" w:lineRule="auto"/>
              <w:ind w:firstLine="480" w:firstLineChars="200"/>
              <w:rPr>
                <w:rFonts w:hint="eastAsia" w:cs="Times New Roman"/>
                <w:color w:val="auto"/>
                <w:sz w:val="24"/>
                <w:szCs w:val="24"/>
                <w:lang w:val="en-US" w:eastAsia="zh-CN"/>
              </w:rPr>
            </w:pPr>
            <w:r>
              <w:rPr>
                <w:rFonts w:hint="eastAsia" w:cs="Times New Roman"/>
                <w:color w:val="auto"/>
                <w:sz w:val="24"/>
                <w:szCs w:val="24"/>
                <w:lang w:val="en-US" w:eastAsia="zh-CN"/>
              </w:rPr>
              <w:t>本项目位于工业园区，土壤环境不敏感。</w:t>
            </w:r>
          </w:p>
          <w:p w14:paraId="531F5C6E">
            <w:pPr>
              <w:numPr>
                <w:ilvl w:val="0"/>
                <w:numId w:val="47"/>
              </w:numPr>
              <w:bidi w:val="0"/>
              <w:spacing w:line="360" w:lineRule="auto"/>
              <w:ind w:left="0" w:leftChars="0" w:firstLine="482" w:firstLineChars="200"/>
              <w:rPr>
                <w:rFonts w:hint="eastAsia" w:cs="Times New Roman"/>
                <w:b/>
                <w:bCs/>
                <w:color w:val="auto"/>
                <w:sz w:val="24"/>
                <w:szCs w:val="24"/>
                <w:lang w:val="en-US" w:eastAsia="zh-CN"/>
              </w:rPr>
            </w:pPr>
            <w:r>
              <w:rPr>
                <w:rFonts w:hint="eastAsia" w:cs="Times New Roman"/>
                <w:b/>
                <w:bCs/>
                <w:color w:val="auto"/>
                <w:sz w:val="24"/>
                <w:szCs w:val="24"/>
                <w:lang w:val="en-US" w:eastAsia="zh-CN"/>
              </w:rPr>
              <w:t>生态环境保护目标</w:t>
            </w:r>
          </w:p>
          <w:p w14:paraId="53B8A74D">
            <w:pPr>
              <w:numPr>
                <w:ilvl w:val="0"/>
                <w:numId w:val="0"/>
              </w:numPr>
              <w:bidi w:val="0"/>
              <w:spacing w:line="360" w:lineRule="auto"/>
              <w:ind w:firstLine="480" w:firstLineChars="200"/>
              <w:rPr>
                <w:rFonts w:hint="default" w:ascii="Times New Roman" w:hAnsi="Times New Roman" w:eastAsia="宋体" w:cs="Times New Roman"/>
                <w:b/>
                <w:bCs/>
                <w:color w:val="auto"/>
                <w:sz w:val="24"/>
                <w:szCs w:val="24"/>
                <w:lang w:val="en-US" w:eastAsia="zh-CN"/>
              </w:rPr>
            </w:pPr>
            <w:r>
              <w:rPr>
                <w:rFonts w:hint="eastAsia" w:cs="Times New Roman"/>
                <w:color w:val="auto"/>
                <w:sz w:val="24"/>
                <w:szCs w:val="24"/>
                <w:lang w:val="en-US" w:eastAsia="zh-CN"/>
              </w:rPr>
              <w:t>根据场地周边现状、现场勘查及建设项目的特点，项目区及其评价范围内无自然保护区、风景名胜区、文物古迹等需要特殊保护的环境敏感目标。</w:t>
            </w:r>
          </w:p>
        </w:tc>
      </w:tr>
      <w:tr w14:paraId="54EF1B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116" w:type="dxa"/>
            <w:noWrap w:val="0"/>
            <w:vAlign w:val="center"/>
          </w:tcPr>
          <w:p w14:paraId="3A801957">
            <w:pPr>
              <w:bidi w:val="0"/>
              <w:spacing w:line="360" w:lineRule="auto"/>
              <w:jc w:val="center"/>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污染物排放控制标准</w:t>
            </w:r>
          </w:p>
        </w:tc>
        <w:tc>
          <w:tcPr>
            <w:tcW w:w="8454" w:type="dxa"/>
            <w:noWrap w:val="0"/>
            <w:vAlign w:val="center"/>
          </w:tcPr>
          <w:p w14:paraId="79AE8B8D">
            <w:pPr>
              <w:bidi w:val="0"/>
              <w:spacing w:line="360" w:lineRule="auto"/>
              <w:rPr>
                <w:rFonts w:hint="default" w:ascii="Times New Roman" w:hAnsi="Times New Roman" w:eastAsia="宋体" w:cs="Times New Roman"/>
                <w:b/>
                <w:bCs/>
                <w:sz w:val="24"/>
                <w:szCs w:val="24"/>
                <w:lang w:val="en-US" w:eastAsia="zh-CN"/>
              </w:rPr>
            </w:pPr>
            <w:r>
              <w:rPr>
                <w:rFonts w:hint="default" w:ascii="Times New Roman" w:hAnsi="Times New Roman" w:eastAsia="宋体" w:cs="Times New Roman"/>
                <w:b/>
                <w:bCs/>
                <w:sz w:val="24"/>
                <w:szCs w:val="24"/>
                <w:lang w:val="en-US" w:eastAsia="zh-CN"/>
              </w:rPr>
              <w:t>本项目污染物排放执行以下标准</w:t>
            </w:r>
            <w:r>
              <w:rPr>
                <w:rFonts w:hint="eastAsia" w:cs="Times New Roman"/>
                <w:b/>
                <w:bCs/>
                <w:sz w:val="24"/>
                <w:szCs w:val="24"/>
                <w:lang w:val="en-US" w:eastAsia="zh-CN"/>
              </w:rPr>
              <w:t>：</w:t>
            </w:r>
          </w:p>
          <w:p w14:paraId="2C1A4BA1">
            <w:pPr>
              <w:numPr>
                <w:ilvl w:val="0"/>
                <w:numId w:val="48"/>
              </w:numPr>
              <w:bidi w:val="0"/>
              <w:spacing w:line="360" w:lineRule="auto"/>
              <w:ind w:firstLine="482" w:firstLineChars="200"/>
              <w:rPr>
                <w:rFonts w:hint="eastAsia" w:ascii="Times New Roman" w:hAnsi="Times New Roman" w:eastAsia="宋体" w:cs="Times New Roman"/>
                <w:sz w:val="24"/>
                <w:szCs w:val="24"/>
                <w:lang w:val="en-US" w:eastAsia="zh-CN"/>
              </w:rPr>
            </w:pPr>
            <w:r>
              <w:rPr>
                <w:rFonts w:hint="default" w:ascii="Times New Roman" w:hAnsi="Times New Roman" w:eastAsia="宋体" w:cs="Times New Roman"/>
                <w:b/>
                <w:bCs/>
                <w:sz w:val="24"/>
                <w:szCs w:val="24"/>
                <w:lang w:val="en-US" w:eastAsia="zh-CN"/>
              </w:rPr>
              <w:t>大气污染物</w:t>
            </w:r>
          </w:p>
          <w:p w14:paraId="2825229E">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本项目</w:t>
            </w:r>
            <w:r>
              <w:rPr>
                <w:rFonts w:hint="eastAsia" w:eastAsia="宋体" w:cs="Times New Roman"/>
                <w:sz w:val="24"/>
                <w:szCs w:val="24"/>
                <w:lang w:val="en-US" w:eastAsia="zh-CN"/>
              </w:rPr>
              <w:t>运营期非甲烷总烃有组织和厂界排放浓度执行《四川省固定污染源大气挥发性有机物排放标准》（DB51/2377-2017）及《挥发性有机物无组织排放控制标准》（GB37822-2019）中的相关标准</w:t>
            </w:r>
            <w:r>
              <w:rPr>
                <w:rFonts w:hint="eastAsia" w:cs="Times New Roman"/>
                <w:sz w:val="24"/>
                <w:szCs w:val="24"/>
                <w:lang w:val="en-US" w:eastAsia="zh-CN"/>
              </w:rPr>
              <w:t>；</w:t>
            </w:r>
            <w:r>
              <w:rPr>
                <w:rFonts w:hint="eastAsia" w:ascii="Times New Roman" w:hAnsi="Times New Roman" w:eastAsia="宋体" w:cs="Times New Roman"/>
                <w:sz w:val="24"/>
                <w:szCs w:val="24"/>
                <w:lang w:val="en-US" w:eastAsia="zh-CN"/>
              </w:rPr>
              <w:t>具体标准值见下表</w:t>
            </w:r>
            <w:r>
              <w:rPr>
                <w:rFonts w:hint="default" w:ascii="Times New Roman" w:hAnsi="Times New Roman" w:eastAsia="宋体" w:cs="Times New Roman"/>
                <w:sz w:val="24"/>
                <w:szCs w:val="24"/>
                <w:lang w:val="en-US" w:eastAsia="zh-CN"/>
              </w:rPr>
              <w:t>。</w:t>
            </w:r>
          </w:p>
          <w:p w14:paraId="019A6CDF">
            <w:pPr>
              <w:bidi w:val="0"/>
              <w:spacing w:line="360" w:lineRule="auto"/>
              <w:jc w:val="center"/>
              <w:rPr>
                <w:rFonts w:hint="default" w:ascii="Times New Roman" w:hAnsi="Times New Roman" w:eastAsia="宋体" w:cs="Times New Roman"/>
                <w:b/>
                <w:bCs/>
                <w:sz w:val="21"/>
                <w:szCs w:val="21"/>
                <w:lang w:val="en-US" w:eastAsia="zh-CN"/>
              </w:rPr>
            </w:pPr>
            <w:r>
              <w:rPr>
                <w:rFonts w:hint="default" w:ascii="Times New Roman" w:hAnsi="Times New Roman" w:eastAsia="宋体" w:cs="Times New Roman"/>
                <w:b/>
                <w:bCs/>
                <w:sz w:val="21"/>
                <w:szCs w:val="21"/>
                <w:lang w:val="en-US" w:eastAsia="zh-CN"/>
              </w:rPr>
              <w:t>表3</w:t>
            </w:r>
            <w:r>
              <w:rPr>
                <w:rFonts w:hint="eastAsia" w:ascii="Times New Roman" w:hAnsi="Times New Roman" w:eastAsia="宋体" w:cs="Times New Roman"/>
                <w:b/>
                <w:bCs/>
                <w:sz w:val="21"/>
                <w:szCs w:val="21"/>
                <w:lang w:val="en-US" w:eastAsia="zh-CN"/>
              </w:rPr>
              <w:t>-</w:t>
            </w:r>
            <w:r>
              <w:rPr>
                <w:rFonts w:hint="eastAsia" w:cs="Times New Roman"/>
                <w:b/>
                <w:bCs/>
                <w:sz w:val="21"/>
                <w:szCs w:val="21"/>
                <w:lang w:val="en-US" w:eastAsia="zh-CN"/>
              </w:rPr>
              <w:t xml:space="preserve">5 </w:t>
            </w:r>
            <w:r>
              <w:rPr>
                <w:rFonts w:hint="default" w:ascii="Times New Roman" w:hAnsi="Times New Roman" w:eastAsia="宋体" w:cs="Times New Roman"/>
                <w:b/>
                <w:bCs/>
                <w:sz w:val="21"/>
                <w:szCs w:val="21"/>
                <w:lang w:val="en-US" w:eastAsia="zh-CN"/>
              </w:rPr>
              <w:t>项目废气排放执行的标准</w:t>
            </w:r>
          </w:p>
          <w:tbl>
            <w:tblPr>
              <w:tblStyle w:val="27"/>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1258"/>
              <w:gridCol w:w="1435"/>
              <w:gridCol w:w="1403"/>
              <w:gridCol w:w="1062"/>
              <w:gridCol w:w="1875"/>
              <w:gridCol w:w="1195"/>
            </w:tblGrid>
            <w:tr w14:paraId="76FC6C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90" w:hRule="atLeast"/>
                <w:jc w:val="center"/>
              </w:trPr>
              <w:tc>
                <w:tcPr>
                  <w:tcW w:w="764" w:type="pct"/>
                  <w:vMerge w:val="restart"/>
                  <w:noWrap w:val="0"/>
                  <w:vAlign w:val="center"/>
                </w:tcPr>
                <w:p w14:paraId="66101AD8">
                  <w:pPr>
                    <w:adjustRightInd w:val="0"/>
                    <w:snapToGrid w:val="0"/>
                    <w:spacing w:line="240" w:lineRule="auto"/>
                    <w:jc w:val="center"/>
                    <w:rPr>
                      <w:rFonts w:hint="default" w:ascii="Times New Roman" w:hAnsi="Times New Roman" w:eastAsia="宋体" w:cs="Times New Roman"/>
                      <w:b/>
                      <w:bCs/>
                      <w:sz w:val="21"/>
                      <w:szCs w:val="21"/>
                    </w:rPr>
                  </w:pPr>
                  <w:r>
                    <w:rPr>
                      <w:rFonts w:hint="default" w:ascii="Times New Roman" w:hAnsi="Times New Roman" w:eastAsia="宋体" w:cs="Times New Roman"/>
                      <w:b/>
                      <w:bCs/>
                      <w:sz w:val="21"/>
                      <w:szCs w:val="21"/>
                    </w:rPr>
                    <w:t>污染物</w:t>
                  </w:r>
                </w:p>
              </w:tc>
              <w:tc>
                <w:tcPr>
                  <w:tcW w:w="872" w:type="pct"/>
                  <w:vMerge w:val="restart"/>
                  <w:noWrap w:val="0"/>
                  <w:vAlign w:val="center"/>
                </w:tcPr>
                <w:p w14:paraId="7F0312CA">
                  <w:pPr>
                    <w:adjustRightInd w:val="0"/>
                    <w:snapToGrid w:val="0"/>
                    <w:spacing w:line="240" w:lineRule="auto"/>
                    <w:jc w:val="center"/>
                    <w:rPr>
                      <w:rFonts w:hint="default" w:ascii="Times New Roman" w:hAnsi="Times New Roman" w:eastAsia="宋体" w:cs="Times New Roman"/>
                      <w:b/>
                      <w:bCs/>
                      <w:sz w:val="21"/>
                      <w:szCs w:val="21"/>
                    </w:rPr>
                  </w:pPr>
                  <w:r>
                    <w:rPr>
                      <w:rFonts w:hint="default" w:ascii="Times New Roman" w:hAnsi="Times New Roman" w:eastAsia="宋体" w:cs="Times New Roman"/>
                      <w:b/>
                      <w:bCs/>
                      <w:sz w:val="21"/>
                      <w:szCs w:val="21"/>
                    </w:rPr>
                    <w:t>最高允许排放浓度mg/m</w:t>
                  </w:r>
                  <w:r>
                    <w:rPr>
                      <w:rFonts w:hint="default" w:ascii="Times New Roman" w:hAnsi="Times New Roman" w:eastAsia="宋体" w:cs="Times New Roman"/>
                      <w:b/>
                      <w:bCs/>
                      <w:sz w:val="21"/>
                      <w:szCs w:val="21"/>
                      <w:vertAlign w:val="superscript"/>
                    </w:rPr>
                    <w:t>3</w:t>
                  </w:r>
                </w:p>
              </w:tc>
              <w:tc>
                <w:tcPr>
                  <w:tcW w:w="1497" w:type="pct"/>
                  <w:gridSpan w:val="2"/>
                  <w:noWrap w:val="0"/>
                  <w:vAlign w:val="center"/>
                </w:tcPr>
                <w:p w14:paraId="51EB5549">
                  <w:pPr>
                    <w:adjustRightInd w:val="0"/>
                    <w:snapToGrid w:val="0"/>
                    <w:spacing w:line="240" w:lineRule="auto"/>
                    <w:jc w:val="center"/>
                    <w:rPr>
                      <w:rFonts w:hint="default" w:ascii="Times New Roman" w:hAnsi="Times New Roman" w:eastAsia="宋体" w:cs="Times New Roman"/>
                      <w:b/>
                      <w:bCs/>
                      <w:sz w:val="21"/>
                      <w:szCs w:val="21"/>
                    </w:rPr>
                  </w:pPr>
                  <w:r>
                    <w:rPr>
                      <w:rFonts w:hint="default" w:ascii="Times New Roman" w:hAnsi="Times New Roman" w:eastAsia="宋体" w:cs="Times New Roman"/>
                      <w:b/>
                      <w:bCs/>
                      <w:sz w:val="21"/>
                      <w:szCs w:val="21"/>
                    </w:rPr>
                    <w:t>最高允许排放速率</w:t>
                  </w:r>
                  <w:r>
                    <w:rPr>
                      <w:rFonts w:hint="default" w:ascii="Times New Roman" w:hAnsi="Times New Roman" w:eastAsia="宋体" w:cs="Times New Roman"/>
                      <w:b/>
                      <w:bCs/>
                      <w:sz w:val="21"/>
                      <w:szCs w:val="21"/>
                      <w:lang w:eastAsia="zh-CN"/>
                    </w:rPr>
                    <w:t>，</w:t>
                  </w:r>
                  <w:r>
                    <w:rPr>
                      <w:rFonts w:hint="default" w:ascii="Times New Roman" w:hAnsi="Times New Roman" w:eastAsia="宋体" w:cs="Times New Roman"/>
                      <w:b/>
                      <w:bCs/>
                      <w:sz w:val="21"/>
                      <w:szCs w:val="21"/>
                    </w:rPr>
                    <w:t>kg/h</w:t>
                  </w:r>
                </w:p>
              </w:tc>
              <w:tc>
                <w:tcPr>
                  <w:tcW w:w="1865" w:type="pct"/>
                  <w:gridSpan w:val="2"/>
                  <w:noWrap w:val="0"/>
                  <w:vAlign w:val="center"/>
                </w:tcPr>
                <w:p w14:paraId="0F594437">
                  <w:pPr>
                    <w:adjustRightInd w:val="0"/>
                    <w:snapToGrid w:val="0"/>
                    <w:spacing w:line="240" w:lineRule="auto"/>
                    <w:jc w:val="center"/>
                    <w:rPr>
                      <w:rFonts w:hint="default" w:ascii="Times New Roman" w:hAnsi="Times New Roman" w:eastAsia="宋体" w:cs="Times New Roman"/>
                      <w:b/>
                      <w:bCs/>
                      <w:sz w:val="21"/>
                      <w:szCs w:val="21"/>
                    </w:rPr>
                  </w:pPr>
                  <w:r>
                    <w:rPr>
                      <w:rFonts w:hint="default" w:ascii="Times New Roman" w:hAnsi="Times New Roman" w:eastAsia="宋体" w:cs="Times New Roman"/>
                      <w:b/>
                      <w:bCs/>
                      <w:sz w:val="21"/>
                      <w:szCs w:val="21"/>
                    </w:rPr>
                    <w:t>无组织排放监控浓度限值</w:t>
                  </w:r>
                </w:p>
              </w:tc>
            </w:tr>
            <w:tr w14:paraId="69F210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90" w:hRule="atLeast"/>
                <w:jc w:val="center"/>
              </w:trPr>
              <w:tc>
                <w:tcPr>
                  <w:tcW w:w="764" w:type="pct"/>
                  <w:vMerge w:val="continue"/>
                  <w:noWrap w:val="0"/>
                  <w:vAlign w:val="center"/>
                </w:tcPr>
                <w:p w14:paraId="43D36A26">
                  <w:pPr>
                    <w:spacing w:line="240" w:lineRule="auto"/>
                    <w:rPr>
                      <w:rFonts w:hint="default" w:ascii="Times New Roman" w:hAnsi="Times New Roman" w:eastAsia="宋体" w:cs="Times New Roman"/>
                      <w:b/>
                      <w:bCs/>
                      <w:sz w:val="21"/>
                      <w:szCs w:val="21"/>
                    </w:rPr>
                  </w:pPr>
                </w:p>
              </w:tc>
              <w:tc>
                <w:tcPr>
                  <w:tcW w:w="872" w:type="pct"/>
                  <w:vMerge w:val="continue"/>
                  <w:noWrap w:val="0"/>
                  <w:vAlign w:val="center"/>
                </w:tcPr>
                <w:p w14:paraId="305D6791">
                  <w:pPr>
                    <w:spacing w:line="240" w:lineRule="auto"/>
                    <w:rPr>
                      <w:rFonts w:hint="default" w:ascii="Times New Roman" w:hAnsi="Times New Roman" w:eastAsia="宋体" w:cs="Times New Roman"/>
                      <w:b/>
                      <w:bCs/>
                      <w:sz w:val="21"/>
                      <w:szCs w:val="21"/>
                    </w:rPr>
                  </w:pPr>
                </w:p>
              </w:tc>
              <w:tc>
                <w:tcPr>
                  <w:tcW w:w="852" w:type="pct"/>
                  <w:noWrap w:val="0"/>
                  <w:vAlign w:val="center"/>
                </w:tcPr>
                <w:p w14:paraId="46E2A540">
                  <w:pPr>
                    <w:adjustRightInd w:val="0"/>
                    <w:snapToGrid w:val="0"/>
                    <w:spacing w:line="240" w:lineRule="auto"/>
                    <w:jc w:val="center"/>
                    <w:rPr>
                      <w:rFonts w:hint="default" w:ascii="Times New Roman" w:hAnsi="Times New Roman" w:eastAsia="宋体" w:cs="Times New Roman"/>
                      <w:b/>
                      <w:bCs/>
                      <w:sz w:val="21"/>
                      <w:szCs w:val="21"/>
                    </w:rPr>
                  </w:pPr>
                  <w:r>
                    <w:rPr>
                      <w:rFonts w:hint="default" w:ascii="Times New Roman" w:hAnsi="Times New Roman" w:eastAsia="宋体" w:cs="Times New Roman"/>
                      <w:b/>
                      <w:bCs/>
                      <w:sz w:val="21"/>
                      <w:szCs w:val="21"/>
                    </w:rPr>
                    <w:t>排气筒高度</w:t>
                  </w:r>
                </w:p>
              </w:tc>
              <w:tc>
                <w:tcPr>
                  <w:tcW w:w="645" w:type="pct"/>
                  <w:noWrap w:val="0"/>
                  <w:vAlign w:val="center"/>
                </w:tcPr>
                <w:p w14:paraId="29D28187">
                  <w:pPr>
                    <w:adjustRightInd w:val="0"/>
                    <w:snapToGrid w:val="0"/>
                    <w:spacing w:line="240" w:lineRule="auto"/>
                    <w:jc w:val="center"/>
                    <w:rPr>
                      <w:rFonts w:hint="default" w:ascii="Times New Roman" w:hAnsi="Times New Roman" w:eastAsia="宋体" w:cs="Times New Roman"/>
                      <w:b/>
                      <w:bCs/>
                      <w:sz w:val="21"/>
                      <w:szCs w:val="21"/>
                    </w:rPr>
                  </w:pPr>
                  <w:r>
                    <w:rPr>
                      <w:rFonts w:hint="default" w:ascii="Times New Roman" w:hAnsi="Times New Roman" w:eastAsia="宋体" w:cs="Times New Roman"/>
                      <w:b/>
                      <w:bCs/>
                      <w:sz w:val="21"/>
                      <w:szCs w:val="21"/>
                    </w:rPr>
                    <w:t>二级</w:t>
                  </w:r>
                </w:p>
              </w:tc>
              <w:tc>
                <w:tcPr>
                  <w:tcW w:w="1139" w:type="pct"/>
                  <w:noWrap w:val="0"/>
                  <w:vAlign w:val="center"/>
                </w:tcPr>
                <w:p w14:paraId="2DBBEEE2">
                  <w:pPr>
                    <w:adjustRightInd w:val="0"/>
                    <w:snapToGrid w:val="0"/>
                    <w:spacing w:line="240" w:lineRule="auto"/>
                    <w:jc w:val="center"/>
                    <w:rPr>
                      <w:rFonts w:hint="default" w:ascii="Times New Roman" w:hAnsi="Times New Roman" w:eastAsia="宋体" w:cs="Times New Roman"/>
                      <w:b/>
                      <w:bCs/>
                      <w:sz w:val="21"/>
                      <w:szCs w:val="21"/>
                    </w:rPr>
                  </w:pPr>
                  <w:r>
                    <w:rPr>
                      <w:rFonts w:hint="default" w:ascii="Times New Roman" w:hAnsi="Times New Roman" w:eastAsia="宋体" w:cs="Times New Roman"/>
                      <w:b/>
                      <w:bCs/>
                      <w:sz w:val="21"/>
                      <w:szCs w:val="21"/>
                    </w:rPr>
                    <w:t>监控点</w:t>
                  </w:r>
                </w:p>
              </w:tc>
              <w:tc>
                <w:tcPr>
                  <w:tcW w:w="726" w:type="pct"/>
                  <w:noWrap w:val="0"/>
                  <w:vAlign w:val="center"/>
                </w:tcPr>
                <w:p w14:paraId="13DF9C8A">
                  <w:pPr>
                    <w:adjustRightInd w:val="0"/>
                    <w:snapToGrid w:val="0"/>
                    <w:spacing w:line="240" w:lineRule="auto"/>
                    <w:jc w:val="center"/>
                    <w:rPr>
                      <w:rFonts w:hint="default" w:ascii="Times New Roman" w:hAnsi="Times New Roman" w:eastAsia="宋体" w:cs="Times New Roman"/>
                      <w:b/>
                      <w:bCs/>
                      <w:sz w:val="21"/>
                      <w:szCs w:val="21"/>
                    </w:rPr>
                  </w:pPr>
                  <w:r>
                    <w:rPr>
                      <w:rFonts w:hint="default" w:ascii="Times New Roman" w:hAnsi="Times New Roman" w:eastAsia="宋体" w:cs="Times New Roman"/>
                      <w:b/>
                      <w:bCs/>
                      <w:sz w:val="21"/>
                      <w:szCs w:val="21"/>
                    </w:rPr>
                    <w:t>浓度mg/m</w:t>
                  </w:r>
                  <w:r>
                    <w:rPr>
                      <w:rFonts w:hint="default" w:ascii="Times New Roman" w:hAnsi="Times New Roman" w:eastAsia="宋体" w:cs="Times New Roman"/>
                      <w:b/>
                      <w:bCs/>
                      <w:sz w:val="21"/>
                      <w:szCs w:val="21"/>
                      <w:vertAlign w:val="superscript"/>
                    </w:rPr>
                    <w:t>3</w:t>
                  </w:r>
                </w:p>
              </w:tc>
            </w:tr>
            <w:tr w14:paraId="7CF027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90" w:hRule="atLeast"/>
                <w:jc w:val="center"/>
              </w:trPr>
              <w:tc>
                <w:tcPr>
                  <w:tcW w:w="5000" w:type="pct"/>
                  <w:gridSpan w:val="6"/>
                  <w:noWrap w:val="0"/>
                  <w:vAlign w:val="center"/>
                </w:tcPr>
                <w:p w14:paraId="2E8B1E3C">
                  <w:pPr>
                    <w:adjustRightInd w:val="0"/>
                    <w:snapToGrid w:val="0"/>
                    <w:spacing w:line="240" w:lineRule="auto"/>
                    <w:jc w:val="center"/>
                    <w:rPr>
                      <w:rFonts w:hint="default" w:ascii="Times New Roman" w:hAnsi="Times New Roman" w:eastAsia="宋体" w:cs="Times New Roman"/>
                      <w:b/>
                      <w:bCs/>
                      <w:sz w:val="21"/>
                      <w:szCs w:val="21"/>
                    </w:rPr>
                  </w:pPr>
                  <w:r>
                    <w:rPr>
                      <w:rFonts w:hint="default" w:ascii="Times New Roman" w:hAnsi="Times New Roman" w:eastAsia="宋体" w:cs="Times New Roman"/>
                      <w:b w:val="0"/>
                      <w:bCs w:val="0"/>
                      <w:sz w:val="21"/>
                      <w:szCs w:val="21"/>
                    </w:rPr>
                    <w:t>《四川省固定污染源大气挥发性有机物排放标准》</w:t>
                  </w:r>
                </w:p>
              </w:tc>
            </w:tr>
            <w:tr w14:paraId="45A68F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90" w:hRule="atLeast"/>
                <w:jc w:val="center"/>
              </w:trPr>
              <w:tc>
                <w:tcPr>
                  <w:tcW w:w="764" w:type="pct"/>
                  <w:noWrap w:val="0"/>
                  <w:vAlign w:val="center"/>
                </w:tcPr>
                <w:p w14:paraId="3197D062">
                  <w:pPr>
                    <w:adjustRightInd w:val="0"/>
                    <w:snapToGrid w:val="0"/>
                    <w:spacing w:line="240" w:lineRule="auto"/>
                    <w:jc w:val="center"/>
                    <w:rPr>
                      <w:rFonts w:hint="default" w:ascii="Times New Roman" w:hAnsi="Times New Roman" w:eastAsia="宋体" w:cs="Times New Roman"/>
                      <w:bCs/>
                      <w:sz w:val="21"/>
                      <w:szCs w:val="21"/>
                    </w:rPr>
                  </w:pPr>
                  <w:r>
                    <w:rPr>
                      <w:rFonts w:hint="default" w:ascii="Times New Roman" w:hAnsi="Times New Roman" w:eastAsia="宋体" w:cs="Times New Roman"/>
                      <w:color w:val="auto"/>
                      <w:sz w:val="21"/>
                      <w:szCs w:val="21"/>
                      <w:highlight w:val="none"/>
                    </w:rPr>
                    <w:t>VOCs</w:t>
                  </w:r>
                </w:p>
              </w:tc>
              <w:tc>
                <w:tcPr>
                  <w:tcW w:w="872" w:type="pct"/>
                  <w:noWrap w:val="0"/>
                  <w:vAlign w:val="center"/>
                </w:tcPr>
                <w:p w14:paraId="6A125971">
                  <w:pPr>
                    <w:adjustRightInd w:val="0"/>
                    <w:snapToGrid w:val="0"/>
                    <w:spacing w:line="240" w:lineRule="auto"/>
                    <w:jc w:val="center"/>
                    <w:rPr>
                      <w:rFonts w:hint="default" w:ascii="Times New Roman" w:hAnsi="Times New Roman" w:eastAsia="宋体" w:cs="Times New Roman"/>
                      <w:bCs/>
                      <w:sz w:val="21"/>
                      <w:szCs w:val="21"/>
                    </w:rPr>
                  </w:pPr>
                  <w:r>
                    <w:rPr>
                      <w:rFonts w:hint="default" w:ascii="Times New Roman" w:hAnsi="Times New Roman" w:eastAsia="宋体" w:cs="Times New Roman"/>
                      <w:color w:val="auto"/>
                      <w:sz w:val="21"/>
                      <w:szCs w:val="21"/>
                      <w:highlight w:val="none"/>
                    </w:rPr>
                    <w:t>60</w:t>
                  </w:r>
                </w:p>
              </w:tc>
              <w:tc>
                <w:tcPr>
                  <w:tcW w:w="852" w:type="pct"/>
                  <w:noWrap w:val="0"/>
                  <w:vAlign w:val="center"/>
                </w:tcPr>
                <w:p w14:paraId="26B737AD">
                  <w:pPr>
                    <w:adjustRightInd w:val="0"/>
                    <w:snapToGrid w:val="0"/>
                    <w:spacing w:line="240" w:lineRule="auto"/>
                    <w:jc w:val="center"/>
                    <w:rPr>
                      <w:rFonts w:hint="default" w:ascii="Times New Roman" w:hAnsi="Times New Roman" w:eastAsia="宋体" w:cs="Times New Roman"/>
                      <w:bCs/>
                      <w:sz w:val="21"/>
                      <w:szCs w:val="21"/>
                      <w:lang w:val="en-US" w:eastAsia="zh-CN"/>
                    </w:rPr>
                  </w:pPr>
                  <w:r>
                    <w:rPr>
                      <w:rFonts w:hint="default" w:ascii="Times New Roman" w:hAnsi="Times New Roman" w:eastAsia="宋体" w:cs="Times New Roman"/>
                      <w:color w:val="auto"/>
                      <w:sz w:val="21"/>
                      <w:szCs w:val="21"/>
                      <w:highlight w:val="none"/>
                    </w:rPr>
                    <w:t>15</w:t>
                  </w:r>
                  <w:r>
                    <w:rPr>
                      <w:rFonts w:hint="default" w:ascii="Times New Roman" w:hAnsi="Times New Roman" w:eastAsia="宋体" w:cs="Times New Roman"/>
                      <w:color w:val="auto"/>
                      <w:sz w:val="21"/>
                      <w:szCs w:val="21"/>
                      <w:highlight w:val="none"/>
                      <w:lang w:val="en-US" w:eastAsia="zh-CN"/>
                    </w:rPr>
                    <w:t>m</w:t>
                  </w:r>
                </w:p>
              </w:tc>
              <w:tc>
                <w:tcPr>
                  <w:tcW w:w="645" w:type="pct"/>
                  <w:noWrap w:val="0"/>
                  <w:vAlign w:val="center"/>
                </w:tcPr>
                <w:p w14:paraId="06BFA781">
                  <w:pPr>
                    <w:adjustRightInd w:val="0"/>
                    <w:snapToGrid w:val="0"/>
                    <w:spacing w:line="240" w:lineRule="auto"/>
                    <w:jc w:val="center"/>
                    <w:rPr>
                      <w:rFonts w:hint="default" w:ascii="Times New Roman" w:hAnsi="Times New Roman" w:eastAsia="宋体" w:cs="Times New Roman"/>
                      <w:bCs/>
                      <w:sz w:val="21"/>
                      <w:szCs w:val="21"/>
                      <w:lang w:val="en-US" w:eastAsia="zh-CN"/>
                    </w:rPr>
                  </w:pPr>
                  <w:r>
                    <w:rPr>
                      <w:rFonts w:hint="default" w:ascii="Times New Roman" w:hAnsi="Times New Roman" w:eastAsia="宋体" w:cs="Times New Roman"/>
                      <w:bCs/>
                      <w:sz w:val="21"/>
                      <w:szCs w:val="21"/>
                      <w:lang w:val="en-US" w:eastAsia="zh-CN"/>
                    </w:rPr>
                    <w:t>/</w:t>
                  </w:r>
                </w:p>
              </w:tc>
              <w:tc>
                <w:tcPr>
                  <w:tcW w:w="1139" w:type="pct"/>
                  <w:noWrap w:val="0"/>
                  <w:vAlign w:val="center"/>
                </w:tcPr>
                <w:p w14:paraId="3B1F0B50">
                  <w:pPr>
                    <w:adjustRightInd w:val="0"/>
                    <w:snapToGrid w:val="0"/>
                    <w:spacing w:line="240" w:lineRule="auto"/>
                    <w:jc w:val="center"/>
                    <w:rPr>
                      <w:rFonts w:hint="default" w:ascii="Times New Roman" w:hAnsi="Times New Roman" w:eastAsia="宋体" w:cs="Times New Roman"/>
                      <w:bCs/>
                      <w:sz w:val="21"/>
                      <w:szCs w:val="21"/>
                    </w:rPr>
                  </w:pPr>
                  <w:r>
                    <w:rPr>
                      <w:rFonts w:hint="default" w:ascii="Times New Roman" w:hAnsi="Times New Roman" w:eastAsia="宋体" w:cs="Times New Roman"/>
                      <w:color w:val="auto"/>
                      <w:sz w:val="21"/>
                      <w:szCs w:val="21"/>
                      <w:highlight w:val="none"/>
                    </w:rPr>
                    <w:t>厂界</w:t>
                  </w:r>
                </w:p>
              </w:tc>
              <w:tc>
                <w:tcPr>
                  <w:tcW w:w="726" w:type="pct"/>
                  <w:noWrap w:val="0"/>
                  <w:vAlign w:val="center"/>
                </w:tcPr>
                <w:p w14:paraId="463DCEB2">
                  <w:pPr>
                    <w:adjustRightInd w:val="0"/>
                    <w:snapToGrid w:val="0"/>
                    <w:spacing w:line="240" w:lineRule="auto"/>
                    <w:jc w:val="center"/>
                    <w:rPr>
                      <w:rFonts w:hint="default" w:ascii="Times New Roman" w:hAnsi="Times New Roman" w:eastAsia="宋体" w:cs="Times New Roman"/>
                      <w:bCs/>
                      <w:sz w:val="21"/>
                      <w:szCs w:val="21"/>
                    </w:rPr>
                  </w:pPr>
                  <w:r>
                    <w:rPr>
                      <w:rFonts w:hint="default" w:ascii="Times New Roman" w:hAnsi="Times New Roman" w:eastAsia="宋体" w:cs="Times New Roman"/>
                      <w:color w:val="auto"/>
                      <w:sz w:val="21"/>
                      <w:szCs w:val="21"/>
                      <w:highlight w:val="none"/>
                    </w:rPr>
                    <w:t>2.0</w:t>
                  </w:r>
                </w:p>
              </w:tc>
            </w:tr>
            <w:tr w14:paraId="5FDE80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90" w:hRule="atLeast"/>
                <w:jc w:val="center"/>
              </w:trPr>
              <w:tc>
                <w:tcPr>
                  <w:tcW w:w="5000" w:type="pct"/>
                  <w:gridSpan w:val="6"/>
                  <w:noWrap w:val="0"/>
                  <w:vAlign w:val="center"/>
                </w:tcPr>
                <w:p w14:paraId="36DD25A1">
                  <w:pPr>
                    <w:adjustRightInd w:val="0"/>
                    <w:snapToGrid w:val="0"/>
                    <w:spacing w:line="240" w:lineRule="auto"/>
                    <w:jc w:val="center"/>
                    <w:rPr>
                      <w:rFonts w:hint="default" w:ascii="Times New Roman" w:hAnsi="Times New Roman" w:eastAsia="宋体" w:cs="Times New Roman"/>
                      <w:bCs/>
                      <w:sz w:val="21"/>
                      <w:szCs w:val="21"/>
                      <w:lang w:val="en-US" w:eastAsia="zh-CN"/>
                    </w:rPr>
                  </w:pPr>
                  <w:r>
                    <w:rPr>
                      <w:rFonts w:hint="default" w:ascii="Times New Roman" w:hAnsi="Times New Roman" w:eastAsia="宋体" w:cs="Times New Roman"/>
                      <w:sz w:val="21"/>
                      <w:szCs w:val="21"/>
                    </w:rPr>
                    <w:t>《挥发性有机物无组织排放控制标准》</w:t>
                  </w:r>
                </w:p>
              </w:tc>
            </w:tr>
            <w:tr w14:paraId="1FB0C0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90" w:hRule="atLeast"/>
                <w:jc w:val="center"/>
              </w:trPr>
              <w:tc>
                <w:tcPr>
                  <w:tcW w:w="764" w:type="pct"/>
                  <w:vMerge w:val="restart"/>
                  <w:noWrap w:val="0"/>
                  <w:vAlign w:val="center"/>
                </w:tcPr>
                <w:p w14:paraId="63F4A83E">
                  <w:pPr>
                    <w:adjustRightInd w:val="0"/>
                    <w:snapToGrid w:val="0"/>
                    <w:spacing w:line="240" w:lineRule="auto"/>
                    <w:jc w:val="center"/>
                    <w:rPr>
                      <w:rFonts w:hint="default" w:ascii="Times New Roman" w:hAnsi="Times New Roman" w:eastAsia="宋体" w:cs="Times New Roman"/>
                      <w:bCs/>
                      <w:sz w:val="21"/>
                      <w:szCs w:val="21"/>
                    </w:rPr>
                  </w:pPr>
                  <w:r>
                    <w:rPr>
                      <w:rFonts w:hint="default" w:ascii="Times New Roman" w:hAnsi="Times New Roman" w:eastAsia="宋体" w:cs="Times New Roman"/>
                      <w:b/>
                      <w:bCs/>
                      <w:sz w:val="21"/>
                      <w:szCs w:val="21"/>
                    </w:rPr>
                    <w:t>污染物</w:t>
                  </w:r>
                </w:p>
              </w:tc>
              <w:tc>
                <w:tcPr>
                  <w:tcW w:w="872" w:type="pct"/>
                  <w:vMerge w:val="restart"/>
                  <w:noWrap w:val="0"/>
                  <w:vAlign w:val="center"/>
                </w:tcPr>
                <w:p w14:paraId="2F639B03">
                  <w:pPr>
                    <w:adjustRightInd w:val="0"/>
                    <w:snapToGrid w:val="0"/>
                    <w:jc w:val="center"/>
                    <w:rPr>
                      <w:rFonts w:hint="default" w:ascii="Times New Roman" w:hAnsi="Times New Roman" w:eastAsia="宋体" w:cs="Times New Roman"/>
                      <w:bCs/>
                      <w:sz w:val="21"/>
                      <w:szCs w:val="21"/>
                      <w:lang w:val="en-US" w:eastAsia="zh-CN"/>
                    </w:rPr>
                  </w:pPr>
                  <w:r>
                    <w:rPr>
                      <w:rFonts w:hint="default" w:ascii="Times New Roman" w:hAnsi="Times New Roman" w:eastAsia="宋体" w:cs="Times New Roman"/>
                      <w:b/>
                      <w:bCs/>
                      <w:sz w:val="21"/>
                      <w:szCs w:val="21"/>
                    </w:rPr>
                    <w:t>监控点</w:t>
                  </w:r>
                </w:p>
              </w:tc>
              <w:tc>
                <w:tcPr>
                  <w:tcW w:w="1497" w:type="pct"/>
                  <w:gridSpan w:val="2"/>
                  <w:noWrap w:val="0"/>
                  <w:vAlign w:val="center"/>
                </w:tcPr>
                <w:p w14:paraId="675EFB6B">
                  <w:pPr>
                    <w:adjustRightInd w:val="0"/>
                    <w:snapToGrid w:val="0"/>
                    <w:jc w:val="center"/>
                    <w:rPr>
                      <w:rFonts w:hint="default" w:ascii="Times New Roman" w:hAnsi="Times New Roman" w:eastAsia="宋体" w:cs="Times New Roman"/>
                      <w:bCs/>
                      <w:sz w:val="21"/>
                      <w:szCs w:val="21"/>
                      <w:lang w:val="en-US" w:eastAsia="zh-CN"/>
                    </w:rPr>
                  </w:pPr>
                  <w:r>
                    <w:rPr>
                      <w:rFonts w:hint="eastAsia" w:ascii="Times New Roman" w:hAnsi="Times New Roman" w:eastAsia="宋体" w:cs="Times New Roman"/>
                      <w:b/>
                      <w:bCs/>
                      <w:sz w:val="21"/>
                      <w:szCs w:val="21"/>
                      <w:lang w:val="en-US" w:eastAsia="zh-CN"/>
                    </w:rPr>
                    <w:t>排放限值</w:t>
                  </w:r>
                </w:p>
              </w:tc>
              <w:tc>
                <w:tcPr>
                  <w:tcW w:w="1865" w:type="pct"/>
                  <w:gridSpan w:val="2"/>
                  <w:noWrap w:val="0"/>
                  <w:vAlign w:val="center"/>
                </w:tcPr>
                <w:p w14:paraId="09CD59D4">
                  <w:pPr>
                    <w:adjustRightInd w:val="0"/>
                    <w:snapToGrid w:val="0"/>
                    <w:spacing w:line="240" w:lineRule="auto"/>
                    <w:jc w:val="center"/>
                    <w:rPr>
                      <w:rFonts w:hint="default" w:ascii="Times New Roman" w:hAnsi="Times New Roman" w:eastAsia="宋体" w:cs="Times New Roman"/>
                      <w:bCs/>
                      <w:sz w:val="21"/>
                      <w:szCs w:val="21"/>
                      <w:lang w:val="en-US" w:eastAsia="zh-CN"/>
                    </w:rPr>
                  </w:pPr>
                  <w:r>
                    <w:rPr>
                      <w:rFonts w:hint="default" w:ascii="Times New Roman" w:hAnsi="Times New Roman" w:eastAsia="宋体" w:cs="Times New Roman"/>
                      <w:b/>
                      <w:bCs/>
                      <w:sz w:val="21"/>
                      <w:szCs w:val="21"/>
                      <w:lang w:val="en-US" w:eastAsia="zh-CN"/>
                    </w:rPr>
                    <w:t>特别排放限值</w:t>
                  </w:r>
                </w:p>
              </w:tc>
            </w:tr>
            <w:tr w14:paraId="09D46B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90" w:hRule="atLeast"/>
                <w:jc w:val="center"/>
              </w:trPr>
              <w:tc>
                <w:tcPr>
                  <w:tcW w:w="764" w:type="pct"/>
                  <w:vMerge w:val="continue"/>
                  <w:noWrap w:val="0"/>
                  <w:vAlign w:val="center"/>
                </w:tcPr>
                <w:p w14:paraId="2A2D0E79">
                  <w:pPr>
                    <w:adjustRightInd w:val="0"/>
                    <w:snapToGrid w:val="0"/>
                    <w:spacing w:line="240" w:lineRule="auto"/>
                    <w:jc w:val="center"/>
                    <w:rPr>
                      <w:rFonts w:hint="default" w:ascii="Times New Roman" w:hAnsi="Times New Roman" w:eastAsia="宋体" w:cs="Times New Roman"/>
                      <w:bCs/>
                      <w:sz w:val="21"/>
                      <w:szCs w:val="21"/>
                    </w:rPr>
                  </w:pPr>
                </w:p>
              </w:tc>
              <w:tc>
                <w:tcPr>
                  <w:tcW w:w="872" w:type="pct"/>
                  <w:vMerge w:val="continue"/>
                  <w:noWrap w:val="0"/>
                  <w:vAlign w:val="center"/>
                </w:tcPr>
                <w:p w14:paraId="5C99F183">
                  <w:pPr>
                    <w:adjustRightInd w:val="0"/>
                    <w:snapToGrid w:val="0"/>
                    <w:spacing w:line="240" w:lineRule="auto"/>
                    <w:jc w:val="center"/>
                    <w:rPr>
                      <w:rFonts w:hint="default" w:ascii="Times New Roman" w:hAnsi="Times New Roman" w:eastAsia="宋体" w:cs="Times New Roman"/>
                      <w:bCs/>
                      <w:sz w:val="21"/>
                      <w:szCs w:val="21"/>
                      <w:lang w:val="en-US" w:eastAsia="zh-CN"/>
                    </w:rPr>
                  </w:pPr>
                </w:p>
              </w:tc>
              <w:tc>
                <w:tcPr>
                  <w:tcW w:w="1497" w:type="pct"/>
                  <w:gridSpan w:val="2"/>
                  <w:noWrap w:val="0"/>
                  <w:vAlign w:val="center"/>
                </w:tcPr>
                <w:p w14:paraId="2899EC9B">
                  <w:pPr>
                    <w:jc w:val="center"/>
                    <w:rPr>
                      <w:rFonts w:hint="default" w:ascii="Times New Roman" w:hAnsi="Times New Roman" w:eastAsia="宋体" w:cs="Times New Roman"/>
                      <w:bCs/>
                      <w:sz w:val="21"/>
                      <w:szCs w:val="21"/>
                      <w:lang w:val="en-US" w:eastAsia="zh-CN"/>
                    </w:rPr>
                  </w:pPr>
                  <w:r>
                    <w:rPr>
                      <w:rFonts w:hint="default" w:ascii="Times New Roman" w:hAnsi="Times New Roman" w:eastAsia="宋体" w:cs="Times New Roman"/>
                      <w:sz w:val="21"/>
                      <w:szCs w:val="21"/>
                    </w:rPr>
                    <w:t>10（1h平均）</w:t>
                  </w:r>
                </w:p>
              </w:tc>
              <w:tc>
                <w:tcPr>
                  <w:tcW w:w="1865" w:type="pct"/>
                  <w:gridSpan w:val="2"/>
                  <w:noWrap w:val="0"/>
                  <w:vAlign w:val="center"/>
                </w:tcPr>
                <w:p w14:paraId="212BC8AE">
                  <w:pPr>
                    <w:spacing w:line="240" w:lineRule="auto"/>
                    <w:jc w:val="center"/>
                    <w:rPr>
                      <w:rFonts w:hint="default" w:ascii="Times New Roman" w:hAnsi="Times New Roman" w:eastAsia="宋体" w:cs="Times New Roman"/>
                      <w:bCs/>
                      <w:sz w:val="21"/>
                      <w:szCs w:val="21"/>
                      <w:lang w:val="en-US" w:eastAsia="zh-CN"/>
                    </w:rPr>
                  </w:pPr>
                  <w:r>
                    <w:rPr>
                      <w:rFonts w:hint="default" w:ascii="Times New Roman" w:hAnsi="Times New Roman" w:eastAsia="宋体" w:cs="Times New Roman"/>
                      <w:sz w:val="21"/>
                      <w:szCs w:val="21"/>
                      <w:lang w:val="en-US" w:eastAsia="zh-CN"/>
                    </w:rPr>
                    <w:t>6</w:t>
                  </w:r>
                  <w:r>
                    <w:rPr>
                      <w:rFonts w:hint="default" w:ascii="Times New Roman" w:hAnsi="Times New Roman" w:eastAsia="宋体" w:cs="Times New Roman"/>
                      <w:sz w:val="21"/>
                      <w:szCs w:val="21"/>
                    </w:rPr>
                    <w:t>（1h平均）</w:t>
                  </w:r>
                </w:p>
              </w:tc>
            </w:tr>
            <w:tr w14:paraId="7D7AE16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90" w:hRule="atLeast"/>
                <w:jc w:val="center"/>
              </w:trPr>
              <w:tc>
                <w:tcPr>
                  <w:tcW w:w="764" w:type="pct"/>
                  <w:noWrap w:val="0"/>
                  <w:vAlign w:val="center"/>
                </w:tcPr>
                <w:p w14:paraId="3678F499">
                  <w:pPr>
                    <w:spacing w:line="240" w:lineRule="auto"/>
                    <w:jc w:val="center"/>
                    <w:rPr>
                      <w:rFonts w:hint="default" w:ascii="Times New Roman" w:hAnsi="Times New Roman" w:eastAsia="宋体" w:cs="Times New Roman"/>
                      <w:bCs/>
                      <w:sz w:val="21"/>
                      <w:szCs w:val="21"/>
                    </w:rPr>
                  </w:pPr>
                  <w:r>
                    <w:rPr>
                      <w:rFonts w:hint="default" w:ascii="Times New Roman" w:hAnsi="Times New Roman" w:eastAsia="宋体" w:cs="Times New Roman"/>
                      <w:color w:val="auto"/>
                      <w:sz w:val="21"/>
                      <w:szCs w:val="21"/>
                      <w:highlight w:val="none"/>
                    </w:rPr>
                    <w:t>VOCs</w:t>
                  </w:r>
                </w:p>
              </w:tc>
              <w:tc>
                <w:tcPr>
                  <w:tcW w:w="872" w:type="pct"/>
                  <w:noWrap w:val="0"/>
                  <w:vAlign w:val="center"/>
                </w:tcPr>
                <w:p w14:paraId="54A6B2BA">
                  <w:pPr>
                    <w:jc w:val="center"/>
                    <w:rPr>
                      <w:rFonts w:hint="default" w:ascii="Times New Roman" w:hAnsi="Times New Roman" w:eastAsia="宋体" w:cs="Times New Roman"/>
                      <w:bCs/>
                      <w:sz w:val="21"/>
                      <w:szCs w:val="21"/>
                      <w:lang w:val="en-US" w:eastAsia="zh-CN"/>
                    </w:rPr>
                  </w:pPr>
                  <w:r>
                    <w:rPr>
                      <w:rFonts w:hint="default" w:ascii="Times New Roman" w:hAnsi="Times New Roman" w:eastAsia="宋体" w:cs="Times New Roman"/>
                      <w:sz w:val="21"/>
                      <w:szCs w:val="21"/>
                    </w:rPr>
                    <w:t>在厂房外设置监控点</w:t>
                  </w:r>
                </w:p>
              </w:tc>
              <w:tc>
                <w:tcPr>
                  <w:tcW w:w="1497" w:type="pct"/>
                  <w:gridSpan w:val="2"/>
                  <w:noWrap w:val="0"/>
                  <w:vAlign w:val="center"/>
                </w:tcPr>
                <w:p w14:paraId="70FC9B7F">
                  <w:pPr>
                    <w:jc w:val="center"/>
                    <w:rPr>
                      <w:rFonts w:hint="default" w:ascii="Times New Roman" w:hAnsi="Times New Roman" w:eastAsia="宋体" w:cs="Times New Roman"/>
                      <w:bCs/>
                      <w:sz w:val="21"/>
                      <w:szCs w:val="21"/>
                      <w:lang w:val="en-US" w:eastAsia="zh-CN"/>
                    </w:rPr>
                  </w:pPr>
                  <w:r>
                    <w:rPr>
                      <w:rFonts w:hint="default" w:ascii="Times New Roman" w:hAnsi="Times New Roman" w:eastAsia="宋体" w:cs="Times New Roman"/>
                      <w:sz w:val="21"/>
                      <w:szCs w:val="21"/>
                    </w:rPr>
                    <w:t>30（任意1次）</w:t>
                  </w:r>
                </w:p>
              </w:tc>
              <w:tc>
                <w:tcPr>
                  <w:tcW w:w="1865" w:type="pct"/>
                  <w:gridSpan w:val="2"/>
                  <w:noWrap w:val="0"/>
                  <w:vAlign w:val="center"/>
                </w:tcPr>
                <w:p w14:paraId="3547D48E">
                  <w:pPr>
                    <w:spacing w:line="240" w:lineRule="auto"/>
                    <w:jc w:val="center"/>
                    <w:rPr>
                      <w:rFonts w:hint="default" w:ascii="Times New Roman" w:hAnsi="Times New Roman" w:eastAsia="宋体" w:cs="Times New Roman"/>
                      <w:bCs/>
                      <w:sz w:val="21"/>
                      <w:szCs w:val="21"/>
                      <w:lang w:val="en-US" w:eastAsia="zh-CN"/>
                    </w:rPr>
                  </w:pPr>
                  <w:r>
                    <w:rPr>
                      <w:rFonts w:hint="default" w:ascii="Times New Roman" w:hAnsi="Times New Roman" w:eastAsia="宋体" w:cs="Times New Roman"/>
                      <w:sz w:val="21"/>
                      <w:szCs w:val="21"/>
                      <w:lang w:val="en-US" w:eastAsia="zh-CN"/>
                    </w:rPr>
                    <w:t>20</w:t>
                  </w:r>
                  <w:r>
                    <w:rPr>
                      <w:rFonts w:hint="default" w:ascii="Times New Roman" w:hAnsi="Times New Roman" w:eastAsia="宋体" w:cs="Times New Roman"/>
                      <w:sz w:val="21"/>
                      <w:szCs w:val="21"/>
                    </w:rPr>
                    <w:t>（任意1次）</w:t>
                  </w:r>
                </w:p>
              </w:tc>
            </w:tr>
          </w:tbl>
          <w:p w14:paraId="2414FDD2">
            <w:pPr>
              <w:numPr>
                <w:ilvl w:val="0"/>
                <w:numId w:val="48"/>
              </w:numPr>
              <w:bidi w:val="0"/>
              <w:spacing w:line="360" w:lineRule="auto"/>
              <w:ind w:left="0" w:leftChars="0" w:firstLine="482" w:firstLineChars="200"/>
              <w:rPr>
                <w:rFonts w:hint="eastAsia" w:ascii="Times New Roman" w:hAnsi="Times New Roman" w:eastAsia="宋体" w:cs="Times New Roman"/>
                <w:sz w:val="24"/>
                <w:szCs w:val="24"/>
                <w:lang w:val="en-US" w:eastAsia="zh-CN"/>
              </w:rPr>
            </w:pPr>
            <w:r>
              <w:rPr>
                <w:rFonts w:hint="default" w:ascii="Times New Roman" w:hAnsi="Times New Roman" w:eastAsia="宋体" w:cs="Times New Roman"/>
                <w:b/>
                <w:bCs/>
                <w:sz w:val="24"/>
                <w:szCs w:val="24"/>
                <w:lang w:val="en-US" w:eastAsia="zh-CN"/>
              </w:rPr>
              <w:t>废水</w:t>
            </w:r>
          </w:p>
          <w:p w14:paraId="1197B73C">
            <w:pPr>
              <w:numPr>
                <w:ilvl w:val="0"/>
                <w:numId w:val="0"/>
              </w:numPr>
              <w:bidi w:val="0"/>
              <w:spacing w:line="360" w:lineRule="auto"/>
              <w:ind w:firstLine="480" w:firstLineChars="200"/>
              <w:rPr>
                <w:rFonts w:hint="eastAsia" w:cs="Times New Roman"/>
                <w:sz w:val="24"/>
                <w:szCs w:val="24"/>
                <w:lang w:val="en-US" w:eastAsia="zh-CN"/>
              </w:rPr>
            </w:pPr>
            <w:r>
              <w:rPr>
                <w:rFonts w:hint="eastAsia" w:cs="Times New Roman"/>
                <w:sz w:val="24"/>
                <w:szCs w:val="24"/>
                <w:lang w:val="en-US" w:eastAsia="zh-CN"/>
              </w:rPr>
              <w:t>本</w:t>
            </w:r>
            <w:r>
              <w:rPr>
                <w:rFonts w:hint="default" w:ascii="Times New Roman" w:hAnsi="Times New Roman" w:eastAsia="宋体" w:cs="Times New Roman"/>
                <w:sz w:val="24"/>
                <w:szCs w:val="24"/>
                <w:lang w:val="en-US" w:eastAsia="zh-CN"/>
              </w:rPr>
              <w:t>项目</w:t>
            </w:r>
            <w:r>
              <w:rPr>
                <w:rFonts w:hint="eastAsia" w:ascii="Times New Roman" w:hAnsi="Times New Roman" w:eastAsia="宋体" w:cs="Times New Roman"/>
                <w:sz w:val="24"/>
                <w:szCs w:val="24"/>
                <w:lang w:val="en-US" w:eastAsia="zh-CN"/>
              </w:rPr>
              <w:t>运营期废水执行《污水综合排放标准》（GB8978-1996</w:t>
            </w:r>
            <w:r>
              <w:rPr>
                <w:rFonts w:hint="eastAsia" w:cs="Times New Roman"/>
                <w:sz w:val="24"/>
                <w:szCs w:val="24"/>
                <w:lang w:val="en-US" w:eastAsia="zh-CN"/>
              </w:rPr>
              <w:t>）</w:t>
            </w:r>
            <w:r>
              <w:rPr>
                <w:rFonts w:hint="eastAsia" w:ascii="Times New Roman" w:hAnsi="Times New Roman" w:eastAsia="宋体" w:cs="Times New Roman"/>
                <w:sz w:val="24"/>
                <w:szCs w:val="24"/>
                <w:lang w:val="en-US" w:eastAsia="zh-CN"/>
              </w:rPr>
              <w:t>中的三级排放标准，</w:t>
            </w:r>
            <w:r>
              <w:rPr>
                <w:rFonts w:hint="eastAsia" w:cs="Times New Roman"/>
                <w:sz w:val="24"/>
                <w:szCs w:val="24"/>
                <w:lang w:val="en-US" w:eastAsia="zh-CN"/>
              </w:rPr>
              <w:t>其中</w:t>
            </w:r>
            <w:r>
              <w:rPr>
                <w:rFonts w:hint="eastAsia" w:ascii="Times New Roman" w:hAnsi="Times New Roman" w:eastAsia="宋体" w:cs="Times New Roman"/>
                <w:sz w:val="24"/>
                <w:szCs w:val="24"/>
                <w:lang w:val="en-US" w:eastAsia="zh-CN"/>
              </w:rPr>
              <w:t>氨氮、总磷执行</w:t>
            </w:r>
            <w:r>
              <w:rPr>
                <w:rFonts w:hint="eastAsia" w:cs="Times New Roman"/>
                <w:sz w:val="24"/>
                <w:szCs w:val="24"/>
                <w:lang w:val="en-US" w:eastAsia="zh-CN"/>
              </w:rPr>
              <w:t>（</w:t>
            </w:r>
            <w:r>
              <w:rPr>
                <w:rFonts w:hint="eastAsia" w:ascii="Times New Roman" w:hAnsi="Times New Roman" w:eastAsia="宋体" w:cs="Times New Roman"/>
                <w:sz w:val="24"/>
                <w:szCs w:val="24"/>
                <w:lang w:val="en-US" w:eastAsia="zh-CN"/>
              </w:rPr>
              <w:t>GB/T31962-2015</w:t>
            </w:r>
            <w:r>
              <w:rPr>
                <w:rFonts w:hint="eastAsia" w:cs="Times New Roman"/>
                <w:sz w:val="24"/>
                <w:szCs w:val="24"/>
                <w:lang w:val="en-US" w:eastAsia="zh-CN"/>
              </w:rPr>
              <w:t>）</w:t>
            </w:r>
            <w:r>
              <w:rPr>
                <w:rFonts w:hint="eastAsia" w:ascii="Times New Roman" w:hAnsi="Times New Roman" w:eastAsia="宋体" w:cs="Times New Roman"/>
                <w:sz w:val="24"/>
                <w:szCs w:val="24"/>
                <w:lang w:val="en-US" w:eastAsia="zh-CN"/>
              </w:rPr>
              <w:t>《污水排入城市下水道水质标准》</w:t>
            </w:r>
            <w:r>
              <w:rPr>
                <w:rFonts w:hint="eastAsia" w:cs="Times New Roman"/>
                <w:sz w:val="24"/>
                <w:szCs w:val="24"/>
                <w:lang w:val="en-US" w:eastAsia="zh-CN"/>
              </w:rPr>
              <w:t>中</w:t>
            </w:r>
            <w:r>
              <w:rPr>
                <w:rFonts w:hint="eastAsia" w:ascii="Times New Roman" w:hAnsi="Times New Roman" w:eastAsia="宋体" w:cs="Times New Roman"/>
                <w:sz w:val="24"/>
                <w:szCs w:val="24"/>
                <w:lang w:val="en-US" w:eastAsia="zh-CN"/>
              </w:rPr>
              <w:t>B级标准间接排放标准</w:t>
            </w:r>
            <w:r>
              <w:rPr>
                <w:rFonts w:hint="eastAsia" w:cs="Times New Roman"/>
                <w:sz w:val="24"/>
                <w:szCs w:val="24"/>
                <w:lang w:val="en-US" w:eastAsia="zh-CN"/>
              </w:rPr>
              <w:t>；</w:t>
            </w:r>
            <w:r>
              <w:rPr>
                <w:rFonts w:hint="eastAsia" w:ascii="Times New Roman" w:hAnsi="Times New Roman" w:eastAsia="宋体" w:cs="Times New Roman"/>
                <w:sz w:val="24"/>
                <w:szCs w:val="24"/>
                <w:lang w:val="en-US" w:eastAsia="zh-CN"/>
              </w:rPr>
              <w:t>具体标准见表3-</w:t>
            </w:r>
            <w:r>
              <w:rPr>
                <w:rFonts w:hint="eastAsia" w:cs="Times New Roman"/>
                <w:sz w:val="24"/>
                <w:szCs w:val="24"/>
                <w:lang w:val="en-US" w:eastAsia="zh-CN"/>
              </w:rPr>
              <w:t>9。</w:t>
            </w:r>
          </w:p>
          <w:p w14:paraId="4E09DFFF">
            <w:pPr>
              <w:numPr>
                <w:ilvl w:val="0"/>
                <w:numId w:val="0"/>
              </w:numPr>
              <w:bidi w:val="0"/>
              <w:spacing w:line="360" w:lineRule="auto"/>
              <w:jc w:val="center"/>
              <w:rPr>
                <w:rFonts w:hint="default" w:ascii="Times New Roman" w:hAnsi="Times New Roman" w:eastAsia="宋体" w:cs="Times New Roman"/>
                <w:b/>
                <w:bCs/>
                <w:sz w:val="21"/>
                <w:szCs w:val="21"/>
                <w:lang w:val="en-US" w:eastAsia="zh-CN"/>
              </w:rPr>
            </w:pPr>
            <w:r>
              <w:rPr>
                <w:rFonts w:hint="default" w:ascii="Times New Roman" w:hAnsi="Times New Roman" w:eastAsia="宋体" w:cs="Times New Roman"/>
                <w:b/>
                <w:bCs/>
                <w:sz w:val="21"/>
                <w:szCs w:val="21"/>
                <w:lang w:val="en-US" w:eastAsia="zh-CN"/>
              </w:rPr>
              <w:t>表3-</w:t>
            </w:r>
            <w:r>
              <w:rPr>
                <w:rFonts w:hint="eastAsia" w:cs="Times New Roman"/>
                <w:b/>
                <w:bCs/>
                <w:sz w:val="21"/>
                <w:szCs w:val="21"/>
                <w:lang w:val="en-US" w:eastAsia="zh-CN"/>
              </w:rPr>
              <w:t xml:space="preserve">6 </w:t>
            </w:r>
            <w:r>
              <w:rPr>
                <w:rFonts w:hint="default" w:ascii="Times New Roman" w:hAnsi="Times New Roman" w:eastAsia="宋体" w:cs="Times New Roman"/>
                <w:b/>
                <w:bCs/>
                <w:sz w:val="21"/>
                <w:szCs w:val="21"/>
                <w:lang w:val="en-US" w:eastAsia="zh-CN"/>
              </w:rPr>
              <w:t>污水排放标准   单位：mg/L，pH无量纲</w:t>
            </w:r>
          </w:p>
          <w:tbl>
            <w:tblPr>
              <w:tblStyle w:val="27"/>
              <w:tblW w:w="0" w:type="auto"/>
              <w:jc w:val="center"/>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
            <w:tblGrid>
              <w:gridCol w:w="2555"/>
              <w:gridCol w:w="805"/>
              <w:gridCol w:w="805"/>
              <w:gridCol w:w="805"/>
              <w:gridCol w:w="805"/>
              <w:gridCol w:w="805"/>
              <w:gridCol w:w="805"/>
              <w:gridCol w:w="809"/>
            </w:tblGrid>
            <w:tr w14:paraId="54A26FCF">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90" w:hRule="atLeast"/>
                <w:jc w:val="center"/>
              </w:trPr>
              <w:tc>
                <w:tcPr>
                  <w:tcW w:w="2555" w:type="dxa"/>
                  <w:tcBorders>
                    <w:tl2br w:val="nil"/>
                    <w:tr2bl w:val="nil"/>
                  </w:tcBorders>
                  <w:noWrap w:val="0"/>
                  <w:tcMar>
                    <w:left w:w="28" w:type="dxa"/>
                    <w:right w:w="28" w:type="dxa"/>
                  </w:tcMar>
                  <w:vAlign w:val="center"/>
                </w:tcPr>
                <w:p w14:paraId="79FC9D46">
                  <w:pPr>
                    <w:spacing w:line="240" w:lineRule="auto"/>
                    <w:jc w:val="center"/>
                    <w:rPr>
                      <w:rFonts w:hint="default" w:ascii="Times New Roman" w:hAnsi="Times New Roman" w:eastAsia="宋体" w:cs="Times New Roman"/>
                      <w:b/>
                      <w:bCs/>
                      <w:color w:val="auto"/>
                      <w:sz w:val="21"/>
                      <w:szCs w:val="21"/>
                      <w:highlight w:val="none"/>
                    </w:rPr>
                  </w:pPr>
                  <w:r>
                    <w:rPr>
                      <w:rFonts w:hint="default" w:ascii="Times New Roman" w:hAnsi="Times New Roman" w:eastAsia="宋体" w:cs="Times New Roman"/>
                      <w:b/>
                      <w:bCs/>
                      <w:color w:val="auto"/>
                      <w:sz w:val="21"/>
                      <w:szCs w:val="21"/>
                      <w:highlight w:val="none"/>
                    </w:rPr>
                    <w:t>污染物</w:t>
                  </w:r>
                </w:p>
              </w:tc>
              <w:tc>
                <w:tcPr>
                  <w:tcW w:w="805" w:type="dxa"/>
                  <w:tcBorders>
                    <w:tl2br w:val="nil"/>
                    <w:tr2bl w:val="nil"/>
                  </w:tcBorders>
                  <w:noWrap w:val="0"/>
                  <w:tcMar>
                    <w:left w:w="28" w:type="dxa"/>
                    <w:right w:w="28" w:type="dxa"/>
                  </w:tcMar>
                  <w:vAlign w:val="center"/>
                </w:tcPr>
                <w:p w14:paraId="2A95F9ED">
                  <w:pPr>
                    <w:spacing w:line="240" w:lineRule="auto"/>
                    <w:jc w:val="center"/>
                    <w:rPr>
                      <w:rFonts w:hint="default" w:ascii="Times New Roman" w:hAnsi="Times New Roman" w:eastAsia="宋体" w:cs="Times New Roman"/>
                      <w:b/>
                      <w:bCs/>
                      <w:color w:val="auto"/>
                      <w:sz w:val="21"/>
                      <w:szCs w:val="21"/>
                      <w:highlight w:val="none"/>
                    </w:rPr>
                  </w:pPr>
                  <w:r>
                    <w:rPr>
                      <w:rFonts w:hint="default" w:ascii="Times New Roman" w:hAnsi="Times New Roman" w:eastAsia="宋体" w:cs="Times New Roman"/>
                      <w:b/>
                      <w:bCs/>
                      <w:color w:val="auto"/>
                      <w:sz w:val="21"/>
                      <w:szCs w:val="21"/>
                      <w:highlight w:val="none"/>
                    </w:rPr>
                    <w:t>pH</w:t>
                  </w:r>
                </w:p>
              </w:tc>
              <w:tc>
                <w:tcPr>
                  <w:tcW w:w="805" w:type="dxa"/>
                  <w:tcBorders>
                    <w:tl2br w:val="nil"/>
                    <w:tr2bl w:val="nil"/>
                  </w:tcBorders>
                  <w:noWrap w:val="0"/>
                  <w:tcMar>
                    <w:left w:w="28" w:type="dxa"/>
                    <w:right w:w="28" w:type="dxa"/>
                  </w:tcMar>
                  <w:vAlign w:val="center"/>
                </w:tcPr>
                <w:p w14:paraId="06F33A71">
                  <w:pPr>
                    <w:spacing w:line="240" w:lineRule="auto"/>
                    <w:jc w:val="center"/>
                    <w:rPr>
                      <w:rFonts w:hint="default" w:ascii="Times New Roman" w:hAnsi="Times New Roman" w:eastAsia="宋体" w:cs="Times New Roman"/>
                      <w:b/>
                      <w:bCs/>
                      <w:color w:val="auto"/>
                      <w:sz w:val="21"/>
                      <w:szCs w:val="21"/>
                      <w:highlight w:val="none"/>
                    </w:rPr>
                  </w:pPr>
                  <w:r>
                    <w:rPr>
                      <w:rFonts w:hint="default" w:ascii="Times New Roman" w:hAnsi="Times New Roman" w:eastAsia="宋体" w:cs="Times New Roman"/>
                      <w:b/>
                      <w:bCs/>
                      <w:color w:val="auto"/>
                      <w:sz w:val="21"/>
                      <w:szCs w:val="21"/>
                      <w:highlight w:val="none"/>
                    </w:rPr>
                    <w:t>COD</w:t>
                  </w:r>
                </w:p>
              </w:tc>
              <w:tc>
                <w:tcPr>
                  <w:tcW w:w="805" w:type="dxa"/>
                  <w:tcBorders>
                    <w:tl2br w:val="nil"/>
                    <w:tr2bl w:val="nil"/>
                  </w:tcBorders>
                  <w:noWrap w:val="0"/>
                  <w:tcMar>
                    <w:left w:w="28" w:type="dxa"/>
                    <w:right w:w="28" w:type="dxa"/>
                  </w:tcMar>
                  <w:vAlign w:val="center"/>
                </w:tcPr>
                <w:p w14:paraId="0B49DA34">
                  <w:pPr>
                    <w:spacing w:line="240" w:lineRule="auto"/>
                    <w:jc w:val="center"/>
                    <w:rPr>
                      <w:rFonts w:hint="default" w:ascii="Times New Roman" w:hAnsi="Times New Roman" w:eastAsia="宋体" w:cs="Times New Roman"/>
                      <w:b/>
                      <w:bCs/>
                      <w:color w:val="auto"/>
                      <w:sz w:val="21"/>
                      <w:szCs w:val="21"/>
                      <w:highlight w:val="none"/>
                    </w:rPr>
                  </w:pPr>
                  <w:r>
                    <w:rPr>
                      <w:rFonts w:hint="default" w:ascii="Times New Roman" w:hAnsi="Times New Roman" w:eastAsia="宋体" w:cs="Times New Roman"/>
                      <w:b/>
                      <w:bCs/>
                      <w:color w:val="auto"/>
                      <w:sz w:val="21"/>
                      <w:szCs w:val="21"/>
                      <w:highlight w:val="none"/>
                    </w:rPr>
                    <w:t>SS</w:t>
                  </w:r>
                </w:p>
              </w:tc>
              <w:tc>
                <w:tcPr>
                  <w:tcW w:w="805" w:type="dxa"/>
                  <w:tcBorders>
                    <w:tl2br w:val="nil"/>
                    <w:tr2bl w:val="nil"/>
                  </w:tcBorders>
                  <w:noWrap w:val="0"/>
                  <w:tcMar>
                    <w:left w:w="28" w:type="dxa"/>
                    <w:right w:w="28" w:type="dxa"/>
                  </w:tcMar>
                  <w:vAlign w:val="center"/>
                </w:tcPr>
                <w:p w14:paraId="66554C62">
                  <w:pPr>
                    <w:spacing w:line="240" w:lineRule="auto"/>
                    <w:jc w:val="center"/>
                    <w:rPr>
                      <w:rFonts w:hint="default" w:ascii="Times New Roman" w:hAnsi="Times New Roman" w:eastAsia="宋体" w:cs="Times New Roman"/>
                      <w:b/>
                      <w:bCs/>
                      <w:color w:val="auto"/>
                      <w:sz w:val="21"/>
                      <w:szCs w:val="21"/>
                      <w:highlight w:val="none"/>
                    </w:rPr>
                  </w:pPr>
                  <w:r>
                    <w:rPr>
                      <w:rFonts w:hint="default" w:ascii="Times New Roman" w:hAnsi="Times New Roman" w:eastAsia="宋体" w:cs="Times New Roman"/>
                      <w:b/>
                      <w:bCs/>
                      <w:color w:val="auto"/>
                      <w:sz w:val="21"/>
                      <w:szCs w:val="21"/>
                      <w:highlight w:val="none"/>
                    </w:rPr>
                    <w:t>石油类</w:t>
                  </w:r>
                </w:p>
              </w:tc>
              <w:tc>
                <w:tcPr>
                  <w:tcW w:w="805" w:type="dxa"/>
                  <w:tcBorders>
                    <w:tl2br w:val="nil"/>
                    <w:tr2bl w:val="nil"/>
                  </w:tcBorders>
                  <w:noWrap w:val="0"/>
                  <w:tcMar>
                    <w:left w:w="28" w:type="dxa"/>
                    <w:right w:w="28" w:type="dxa"/>
                  </w:tcMar>
                  <w:vAlign w:val="center"/>
                </w:tcPr>
                <w:p w14:paraId="73D1F8AC">
                  <w:pPr>
                    <w:spacing w:line="240" w:lineRule="auto"/>
                    <w:jc w:val="center"/>
                    <w:rPr>
                      <w:rFonts w:hint="default" w:ascii="Times New Roman" w:hAnsi="Times New Roman" w:eastAsia="宋体" w:cs="Times New Roman"/>
                      <w:b/>
                      <w:bCs/>
                      <w:color w:val="auto"/>
                      <w:sz w:val="21"/>
                      <w:szCs w:val="21"/>
                      <w:highlight w:val="none"/>
                    </w:rPr>
                  </w:pPr>
                  <w:r>
                    <w:rPr>
                      <w:rFonts w:hint="default" w:ascii="Times New Roman" w:hAnsi="Times New Roman" w:eastAsia="宋体" w:cs="Times New Roman"/>
                      <w:b/>
                      <w:bCs/>
                      <w:color w:val="auto"/>
                      <w:sz w:val="21"/>
                      <w:szCs w:val="21"/>
                      <w:highlight w:val="none"/>
                    </w:rPr>
                    <w:t>氨氮</w:t>
                  </w:r>
                </w:p>
              </w:tc>
              <w:tc>
                <w:tcPr>
                  <w:tcW w:w="805" w:type="dxa"/>
                  <w:tcBorders>
                    <w:tl2br w:val="nil"/>
                    <w:tr2bl w:val="nil"/>
                  </w:tcBorders>
                  <w:noWrap w:val="0"/>
                  <w:tcMar>
                    <w:left w:w="28" w:type="dxa"/>
                    <w:right w:w="28" w:type="dxa"/>
                  </w:tcMar>
                  <w:vAlign w:val="center"/>
                </w:tcPr>
                <w:p w14:paraId="0661950C">
                  <w:pPr>
                    <w:spacing w:line="240" w:lineRule="auto"/>
                    <w:jc w:val="center"/>
                    <w:rPr>
                      <w:rFonts w:hint="default" w:ascii="Times New Roman" w:hAnsi="Times New Roman" w:eastAsia="宋体" w:cs="Times New Roman"/>
                      <w:b/>
                      <w:bCs/>
                      <w:color w:val="auto"/>
                      <w:sz w:val="21"/>
                      <w:szCs w:val="21"/>
                      <w:highlight w:val="none"/>
                    </w:rPr>
                  </w:pPr>
                  <w:r>
                    <w:rPr>
                      <w:rFonts w:hint="default" w:ascii="Times New Roman" w:hAnsi="Times New Roman" w:eastAsia="宋体" w:cs="Times New Roman"/>
                      <w:b/>
                      <w:bCs/>
                      <w:color w:val="auto"/>
                      <w:sz w:val="21"/>
                      <w:szCs w:val="21"/>
                      <w:highlight w:val="none"/>
                    </w:rPr>
                    <w:t>总磷</w:t>
                  </w:r>
                </w:p>
              </w:tc>
              <w:tc>
                <w:tcPr>
                  <w:tcW w:w="809" w:type="dxa"/>
                  <w:tcBorders>
                    <w:tl2br w:val="nil"/>
                    <w:tr2bl w:val="nil"/>
                  </w:tcBorders>
                  <w:noWrap w:val="0"/>
                  <w:tcMar>
                    <w:left w:w="28" w:type="dxa"/>
                    <w:right w:w="28" w:type="dxa"/>
                  </w:tcMar>
                  <w:vAlign w:val="center"/>
                </w:tcPr>
                <w:p w14:paraId="2B8C4EC1">
                  <w:pPr>
                    <w:spacing w:line="240" w:lineRule="auto"/>
                    <w:jc w:val="center"/>
                    <w:rPr>
                      <w:rFonts w:hint="default" w:ascii="Times New Roman" w:hAnsi="Times New Roman" w:eastAsia="宋体" w:cs="Times New Roman"/>
                      <w:b/>
                      <w:bCs/>
                      <w:color w:val="auto"/>
                      <w:sz w:val="21"/>
                      <w:szCs w:val="21"/>
                      <w:highlight w:val="none"/>
                    </w:rPr>
                  </w:pPr>
                  <w:r>
                    <w:rPr>
                      <w:rFonts w:hint="default" w:ascii="Times New Roman" w:hAnsi="Times New Roman" w:eastAsia="宋体" w:cs="Times New Roman"/>
                      <w:b/>
                      <w:bCs/>
                      <w:color w:val="auto"/>
                      <w:sz w:val="21"/>
                      <w:szCs w:val="21"/>
                      <w:highlight w:val="none"/>
                    </w:rPr>
                    <w:t>BOD</w:t>
                  </w:r>
                  <w:r>
                    <w:rPr>
                      <w:rFonts w:hint="default" w:ascii="Times New Roman" w:hAnsi="Times New Roman" w:eastAsia="宋体" w:cs="Times New Roman"/>
                      <w:b/>
                      <w:bCs/>
                      <w:color w:val="auto"/>
                      <w:sz w:val="21"/>
                      <w:szCs w:val="21"/>
                      <w:highlight w:val="none"/>
                      <w:vertAlign w:val="subscript"/>
                    </w:rPr>
                    <w:t>5</w:t>
                  </w:r>
                </w:p>
              </w:tc>
            </w:tr>
            <w:tr w14:paraId="706A2BBA">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90" w:hRule="atLeast"/>
                <w:jc w:val="center"/>
              </w:trPr>
              <w:tc>
                <w:tcPr>
                  <w:tcW w:w="2555" w:type="dxa"/>
                  <w:tcBorders>
                    <w:tl2br w:val="nil"/>
                    <w:tr2bl w:val="nil"/>
                  </w:tcBorders>
                  <w:noWrap w:val="0"/>
                  <w:tcMar>
                    <w:left w:w="28" w:type="dxa"/>
                    <w:right w:w="28" w:type="dxa"/>
                  </w:tcMar>
                  <w:vAlign w:val="center"/>
                </w:tcPr>
                <w:p w14:paraId="400EA2EC">
                  <w:pPr>
                    <w:spacing w:line="240" w:lineRule="auto"/>
                    <w:jc w:val="center"/>
                    <w:rPr>
                      <w:rFonts w:hint="default" w:ascii="Times New Roman" w:hAnsi="Times New Roman" w:eastAsia="宋体" w:cs="Times New Roman"/>
                      <w:bCs/>
                      <w:color w:val="auto"/>
                      <w:sz w:val="21"/>
                      <w:szCs w:val="21"/>
                      <w:highlight w:val="none"/>
                    </w:rPr>
                  </w:pPr>
                  <w:r>
                    <w:rPr>
                      <w:rFonts w:hint="default" w:ascii="Times New Roman" w:hAnsi="Times New Roman" w:eastAsia="宋体" w:cs="Times New Roman"/>
                      <w:bCs/>
                      <w:color w:val="auto"/>
                      <w:sz w:val="21"/>
                      <w:szCs w:val="21"/>
                      <w:highlight w:val="none"/>
                    </w:rPr>
                    <w:t>GB8978</w:t>
                  </w:r>
                  <w:r>
                    <w:rPr>
                      <w:rFonts w:hint="eastAsia" w:cs="Times New Roman"/>
                      <w:bCs/>
                      <w:color w:val="auto"/>
                      <w:sz w:val="21"/>
                      <w:szCs w:val="21"/>
                      <w:highlight w:val="none"/>
                      <w:lang w:val="en-US" w:eastAsia="zh-CN"/>
                    </w:rPr>
                    <w:t>-</w:t>
                  </w:r>
                  <w:r>
                    <w:rPr>
                      <w:rFonts w:hint="default" w:ascii="Times New Roman" w:hAnsi="Times New Roman" w:eastAsia="宋体" w:cs="Times New Roman"/>
                      <w:bCs/>
                      <w:color w:val="auto"/>
                      <w:sz w:val="21"/>
                      <w:szCs w:val="21"/>
                      <w:highlight w:val="none"/>
                    </w:rPr>
                    <w:t>1996三级标准</w:t>
                  </w:r>
                </w:p>
              </w:tc>
              <w:tc>
                <w:tcPr>
                  <w:tcW w:w="805" w:type="dxa"/>
                  <w:tcBorders>
                    <w:tl2br w:val="nil"/>
                    <w:tr2bl w:val="nil"/>
                  </w:tcBorders>
                  <w:noWrap w:val="0"/>
                  <w:tcMar>
                    <w:left w:w="28" w:type="dxa"/>
                    <w:right w:w="28" w:type="dxa"/>
                  </w:tcMar>
                  <w:vAlign w:val="center"/>
                </w:tcPr>
                <w:p w14:paraId="48676CF6">
                  <w:pPr>
                    <w:spacing w:line="240" w:lineRule="auto"/>
                    <w:jc w:val="center"/>
                    <w:rPr>
                      <w:rFonts w:hint="default" w:ascii="Times New Roman" w:hAnsi="Times New Roman" w:eastAsia="宋体" w:cs="Times New Roman"/>
                      <w:bCs/>
                      <w:color w:val="auto"/>
                      <w:sz w:val="21"/>
                      <w:szCs w:val="21"/>
                      <w:highlight w:val="none"/>
                    </w:rPr>
                  </w:pPr>
                  <w:r>
                    <w:rPr>
                      <w:rFonts w:hint="default" w:ascii="Times New Roman" w:hAnsi="Times New Roman" w:eastAsia="宋体" w:cs="Times New Roman"/>
                      <w:bCs/>
                      <w:color w:val="auto"/>
                      <w:sz w:val="21"/>
                      <w:szCs w:val="21"/>
                      <w:highlight w:val="none"/>
                    </w:rPr>
                    <w:t>6~9</w:t>
                  </w:r>
                </w:p>
              </w:tc>
              <w:tc>
                <w:tcPr>
                  <w:tcW w:w="805" w:type="dxa"/>
                  <w:tcBorders>
                    <w:tl2br w:val="nil"/>
                    <w:tr2bl w:val="nil"/>
                  </w:tcBorders>
                  <w:noWrap w:val="0"/>
                  <w:tcMar>
                    <w:left w:w="28" w:type="dxa"/>
                    <w:right w:w="28" w:type="dxa"/>
                  </w:tcMar>
                  <w:vAlign w:val="center"/>
                </w:tcPr>
                <w:p w14:paraId="01408EE3">
                  <w:pPr>
                    <w:spacing w:line="240" w:lineRule="auto"/>
                    <w:jc w:val="center"/>
                    <w:rPr>
                      <w:rFonts w:hint="default" w:ascii="Times New Roman" w:hAnsi="Times New Roman" w:eastAsia="宋体" w:cs="Times New Roman"/>
                      <w:bCs/>
                      <w:color w:val="auto"/>
                      <w:sz w:val="21"/>
                      <w:szCs w:val="21"/>
                      <w:highlight w:val="none"/>
                    </w:rPr>
                  </w:pPr>
                  <w:r>
                    <w:rPr>
                      <w:rFonts w:hint="default" w:ascii="Times New Roman" w:hAnsi="Times New Roman" w:eastAsia="宋体" w:cs="Times New Roman"/>
                      <w:bCs/>
                      <w:color w:val="auto"/>
                      <w:sz w:val="21"/>
                      <w:szCs w:val="21"/>
                      <w:highlight w:val="none"/>
                    </w:rPr>
                    <w:t>500</w:t>
                  </w:r>
                </w:p>
              </w:tc>
              <w:tc>
                <w:tcPr>
                  <w:tcW w:w="805" w:type="dxa"/>
                  <w:tcBorders>
                    <w:tl2br w:val="nil"/>
                    <w:tr2bl w:val="nil"/>
                  </w:tcBorders>
                  <w:noWrap w:val="0"/>
                  <w:tcMar>
                    <w:left w:w="28" w:type="dxa"/>
                    <w:right w:w="28" w:type="dxa"/>
                  </w:tcMar>
                  <w:vAlign w:val="center"/>
                </w:tcPr>
                <w:p w14:paraId="1B77B4F0">
                  <w:pPr>
                    <w:spacing w:line="240" w:lineRule="auto"/>
                    <w:jc w:val="center"/>
                    <w:rPr>
                      <w:rFonts w:hint="default" w:ascii="Times New Roman" w:hAnsi="Times New Roman" w:eastAsia="宋体" w:cs="Times New Roman"/>
                      <w:bCs/>
                      <w:color w:val="auto"/>
                      <w:sz w:val="21"/>
                      <w:szCs w:val="21"/>
                      <w:highlight w:val="none"/>
                    </w:rPr>
                  </w:pPr>
                  <w:r>
                    <w:rPr>
                      <w:rFonts w:hint="default" w:ascii="Times New Roman" w:hAnsi="Times New Roman" w:eastAsia="宋体" w:cs="Times New Roman"/>
                      <w:bCs/>
                      <w:color w:val="auto"/>
                      <w:sz w:val="21"/>
                      <w:szCs w:val="21"/>
                      <w:highlight w:val="none"/>
                    </w:rPr>
                    <w:t>400</w:t>
                  </w:r>
                </w:p>
              </w:tc>
              <w:tc>
                <w:tcPr>
                  <w:tcW w:w="805" w:type="dxa"/>
                  <w:tcBorders>
                    <w:tl2br w:val="nil"/>
                    <w:tr2bl w:val="nil"/>
                  </w:tcBorders>
                  <w:noWrap w:val="0"/>
                  <w:tcMar>
                    <w:left w:w="28" w:type="dxa"/>
                    <w:right w:w="28" w:type="dxa"/>
                  </w:tcMar>
                  <w:vAlign w:val="center"/>
                </w:tcPr>
                <w:p w14:paraId="0BDBC8A4">
                  <w:pPr>
                    <w:spacing w:line="240" w:lineRule="auto"/>
                    <w:jc w:val="center"/>
                    <w:rPr>
                      <w:rFonts w:hint="default" w:ascii="Times New Roman" w:hAnsi="Times New Roman" w:eastAsia="宋体" w:cs="Times New Roman"/>
                      <w:bCs/>
                      <w:color w:val="auto"/>
                      <w:sz w:val="21"/>
                      <w:szCs w:val="21"/>
                      <w:highlight w:val="none"/>
                    </w:rPr>
                  </w:pPr>
                  <w:r>
                    <w:rPr>
                      <w:rFonts w:hint="default" w:ascii="Times New Roman" w:hAnsi="Times New Roman" w:eastAsia="宋体" w:cs="Times New Roman"/>
                      <w:bCs/>
                      <w:color w:val="auto"/>
                      <w:sz w:val="21"/>
                      <w:szCs w:val="21"/>
                      <w:highlight w:val="none"/>
                    </w:rPr>
                    <w:t>20</w:t>
                  </w:r>
                </w:p>
              </w:tc>
              <w:tc>
                <w:tcPr>
                  <w:tcW w:w="805" w:type="dxa"/>
                  <w:tcBorders>
                    <w:tl2br w:val="nil"/>
                    <w:tr2bl w:val="nil"/>
                  </w:tcBorders>
                  <w:noWrap w:val="0"/>
                  <w:tcMar>
                    <w:left w:w="28" w:type="dxa"/>
                    <w:right w:w="28" w:type="dxa"/>
                  </w:tcMar>
                  <w:vAlign w:val="center"/>
                </w:tcPr>
                <w:p w14:paraId="0054FED6">
                  <w:pPr>
                    <w:spacing w:line="240" w:lineRule="auto"/>
                    <w:jc w:val="center"/>
                    <w:rPr>
                      <w:rFonts w:hint="default" w:ascii="Times New Roman" w:hAnsi="Times New Roman" w:eastAsia="宋体" w:cs="Times New Roman"/>
                      <w:bCs/>
                      <w:color w:val="auto"/>
                      <w:sz w:val="21"/>
                      <w:szCs w:val="21"/>
                      <w:highlight w:val="none"/>
                    </w:rPr>
                  </w:pPr>
                  <w:r>
                    <w:rPr>
                      <w:rFonts w:hint="default" w:ascii="Times New Roman" w:hAnsi="Times New Roman" w:eastAsia="宋体" w:cs="Times New Roman"/>
                      <w:bCs/>
                      <w:color w:val="auto"/>
                      <w:sz w:val="21"/>
                      <w:szCs w:val="21"/>
                      <w:highlight w:val="none"/>
                    </w:rPr>
                    <w:t>-</w:t>
                  </w:r>
                </w:p>
              </w:tc>
              <w:tc>
                <w:tcPr>
                  <w:tcW w:w="805" w:type="dxa"/>
                  <w:tcBorders>
                    <w:tl2br w:val="nil"/>
                    <w:tr2bl w:val="nil"/>
                  </w:tcBorders>
                  <w:noWrap w:val="0"/>
                  <w:tcMar>
                    <w:left w:w="28" w:type="dxa"/>
                    <w:right w:w="28" w:type="dxa"/>
                  </w:tcMar>
                  <w:vAlign w:val="center"/>
                </w:tcPr>
                <w:p w14:paraId="14CC56CA">
                  <w:pPr>
                    <w:spacing w:line="240" w:lineRule="auto"/>
                    <w:jc w:val="center"/>
                    <w:rPr>
                      <w:rFonts w:hint="default" w:ascii="Times New Roman" w:hAnsi="Times New Roman" w:eastAsia="宋体" w:cs="Times New Roman"/>
                      <w:bCs/>
                      <w:color w:val="auto"/>
                      <w:sz w:val="21"/>
                      <w:szCs w:val="21"/>
                      <w:highlight w:val="none"/>
                    </w:rPr>
                  </w:pPr>
                  <w:r>
                    <w:rPr>
                      <w:rFonts w:hint="default" w:ascii="Times New Roman" w:hAnsi="Times New Roman" w:eastAsia="宋体" w:cs="Times New Roman"/>
                      <w:bCs/>
                      <w:color w:val="auto"/>
                      <w:sz w:val="21"/>
                      <w:szCs w:val="21"/>
                      <w:highlight w:val="none"/>
                    </w:rPr>
                    <w:t>-</w:t>
                  </w:r>
                </w:p>
              </w:tc>
              <w:tc>
                <w:tcPr>
                  <w:tcW w:w="809" w:type="dxa"/>
                  <w:tcBorders>
                    <w:tl2br w:val="nil"/>
                    <w:tr2bl w:val="nil"/>
                  </w:tcBorders>
                  <w:noWrap w:val="0"/>
                  <w:tcMar>
                    <w:left w:w="28" w:type="dxa"/>
                    <w:right w:w="28" w:type="dxa"/>
                  </w:tcMar>
                  <w:vAlign w:val="center"/>
                </w:tcPr>
                <w:p w14:paraId="3B1A104E">
                  <w:pPr>
                    <w:spacing w:line="240" w:lineRule="auto"/>
                    <w:jc w:val="center"/>
                    <w:rPr>
                      <w:rFonts w:hint="default" w:ascii="Times New Roman" w:hAnsi="Times New Roman" w:eastAsia="宋体" w:cs="Times New Roman"/>
                      <w:bCs/>
                      <w:color w:val="auto"/>
                      <w:sz w:val="21"/>
                      <w:szCs w:val="21"/>
                      <w:highlight w:val="none"/>
                    </w:rPr>
                  </w:pPr>
                  <w:r>
                    <w:rPr>
                      <w:rFonts w:hint="default" w:ascii="Times New Roman" w:hAnsi="Times New Roman" w:eastAsia="宋体" w:cs="Times New Roman"/>
                      <w:bCs/>
                      <w:color w:val="auto"/>
                      <w:sz w:val="21"/>
                      <w:szCs w:val="21"/>
                      <w:highlight w:val="none"/>
                    </w:rPr>
                    <w:t>300</w:t>
                  </w:r>
                </w:p>
              </w:tc>
            </w:tr>
            <w:tr w14:paraId="32F1E2E6">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90" w:hRule="atLeast"/>
                <w:jc w:val="center"/>
              </w:trPr>
              <w:tc>
                <w:tcPr>
                  <w:tcW w:w="2555" w:type="dxa"/>
                  <w:tcBorders>
                    <w:tl2br w:val="nil"/>
                    <w:tr2bl w:val="nil"/>
                  </w:tcBorders>
                  <w:noWrap w:val="0"/>
                  <w:tcMar>
                    <w:left w:w="28" w:type="dxa"/>
                    <w:right w:w="28" w:type="dxa"/>
                  </w:tcMar>
                  <w:vAlign w:val="center"/>
                </w:tcPr>
                <w:p w14:paraId="188E5C3A">
                  <w:pPr>
                    <w:spacing w:line="240" w:lineRule="auto"/>
                    <w:jc w:val="center"/>
                    <w:rPr>
                      <w:rFonts w:hint="default" w:ascii="Times New Roman" w:hAnsi="Times New Roman" w:eastAsia="宋体" w:cs="Times New Roman"/>
                      <w:bCs/>
                      <w:color w:val="auto"/>
                      <w:sz w:val="21"/>
                      <w:szCs w:val="21"/>
                      <w:highlight w:val="none"/>
                    </w:rPr>
                  </w:pPr>
                  <w:r>
                    <w:rPr>
                      <w:rFonts w:hint="default" w:ascii="Times New Roman" w:hAnsi="Times New Roman" w:eastAsia="宋体" w:cs="Times New Roman"/>
                      <w:color w:val="auto"/>
                      <w:sz w:val="21"/>
                      <w:szCs w:val="21"/>
                      <w:highlight w:val="none"/>
                    </w:rPr>
                    <w:t>GB/T31962-2015 B级标准</w:t>
                  </w:r>
                </w:p>
              </w:tc>
              <w:tc>
                <w:tcPr>
                  <w:tcW w:w="805" w:type="dxa"/>
                  <w:tcBorders>
                    <w:tl2br w:val="nil"/>
                    <w:tr2bl w:val="nil"/>
                  </w:tcBorders>
                  <w:noWrap w:val="0"/>
                  <w:tcMar>
                    <w:left w:w="28" w:type="dxa"/>
                    <w:right w:w="28" w:type="dxa"/>
                  </w:tcMar>
                  <w:vAlign w:val="center"/>
                </w:tcPr>
                <w:p w14:paraId="76CFC17B">
                  <w:pPr>
                    <w:spacing w:line="240" w:lineRule="auto"/>
                    <w:jc w:val="center"/>
                    <w:rPr>
                      <w:rFonts w:hint="default" w:ascii="Times New Roman" w:hAnsi="Times New Roman" w:eastAsia="宋体" w:cs="Times New Roman"/>
                      <w:bCs/>
                      <w:color w:val="auto"/>
                      <w:sz w:val="21"/>
                      <w:szCs w:val="21"/>
                      <w:highlight w:val="none"/>
                    </w:rPr>
                  </w:pPr>
                  <w:r>
                    <w:rPr>
                      <w:rFonts w:hint="default" w:ascii="Times New Roman" w:hAnsi="Times New Roman" w:eastAsia="宋体" w:cs="Times New Roman"/>
                      <w:bCs/>
                      <w:color w:val="auto"/>
                      <w:sz w:val="21"/>
                      <w:szCs w:val="21"/>
                      <w:highlight w:val="none"/>
                    </w:rPr>
                    <w:t>-</w:t>
                  </w:r>
                </w:p>
              </w:tc>
              <w:tc>
                <w:tcPr>
                  <w:tcW w:w="805" w:type="dxa"/>
                  <w:tcBorders>
                    <w:tl2br w:val="nil"/>
                    <w:tr2bl w:val="nil"/>
                  </w:tcBorders>
                  <w:noWrap w:val="0"/>
                  <w:tcMar>
                    <w:left w:w="28" w:type="dxa"/>
                    <w:right w:w="28" w:type="dxa"/>
                  </w:tcMar>
                  <w:vAlign w:val="center"/>
                </w:tcPr>
                <w:p w14:paraId="33C7F1B9">
                  <w:pPr>
                    <w:spacing w:line="240" w:lineRule="auto"/>
                    <w:jc w:val="center"/>
                    <w:rPr>
                      <w:rFonts w:hint="default" w:ascii="Times New Roman" w:hAnsi="Times New Roman" w:eastAsia="宋体" w:cs="Times New Roman"/>
                      <w:bCs/>
                      <w:color w:val="auto"/>
                      <w:sz w:val="21"/>
                      <w:szCs w:val="21"/>
                      <w:highlight w:val="none"/>
                    </w:rPr>
                  </w:pPr>
                  <w:r>
                    <w:rPr>
                      <w:rFonts w:hint="default" w:ascii="Times New Roman" w:hAnsi="Times New Roman" w:eastAsia="宋体" w:cs="Times New Roman"/>
                      <w:bCs/>
                      <w:color w:val="auto"/>
                      <w:sz w:val="21"/>
                      <w:szCs w:val="21"/>
                      <w:highlight w:val="none"/>
                    </w:rPr>
                    <w:t>-</w:t>
                  </w:r>
                </w:p>
              </w:tc>
              <w:tc>
                <w:tcPr>
                  <w:tcW w:w="805" w:type="dxa"/>
                  <w:tcBorders>
                    <w:tl2br w:val="nil"/>
                    <w:tr2bl w:val="nil"/>
                  </w:tcBorders>
                  <w:noWrap w:val="0"/>
                  <w:tcMar>
                    <w:left w:w="28" w:type="dxa"/>
                    <w:right w:w="28" w:type="dxa"/>
                  </w:tcMar>
                  <w:vAlign w:val="center"/>
                </w:tcPr>
                <w:p w14:paraId="6748F0F1">
                  <w:pPr>
                    <w:spacing w:line="240" w:lineRule="auto"/>
                    <w:jc w:val="center"/>
                    <w:rPr>
                      <w:rFonts w:hint="default" w:ascii="Times New Roman" w:hAnsi="Times New Roman" w:eastAsia="宋体" w:cs="Times New Roman"/>
                      <w:bCs/>
                      <w:color w:val="auto"/>
                      <w:sz w:val="21"/>
                      <w:szCs w:val="21"/>
                      <w:highlight w:val="none"/>
                    </w:rPr>
                  </w:pPr>
                  <w:r>
                    <w:rPr>
                      <w:rFonts w:hint="default" w:ascii="Times New Roman" w:hAnsi="Times New Roman" w:eastAsia="宋体" w:cs="Times New Roman"/>
                      <w:bCs/>
                      <w:color w:val="auto"/>
                      <w:sz w:val="21"/>
                      <w:szCs w:val="21"/>
                      <w:highlight w:val="none"/>
                    </w:rPr>
                    <w:t>-</w:t>
                  </w:r>
                </w:p>
              </w:tc>
              <w:tc>
                <w:tcPr>
                  <w:tcW w:w="805" w:type="dxa"/>
                  <w:tcBorders>
                    <w:tl2br w:val="nil"/>
                    <w:tr2bl w:val="nil"/>
                  </w:tcBorders>
                  <w:noWrap w:val="0"/>
                  <w:tcMar>
                    <w:left w:w="28" w:type="dxa"/>
                    <w:right w:w="28" w:type="dxa"/>
                  </w:tcMar>
                  <w:vAlign w:val="center"/>
                </w:tcPr>
                <w:p w14:paraId="36A193B9">
                  <w:pPr>
                    <w:spacing w:line="240" w:lineRule="auto"/>
                    <w:jc w:val="center"/>
                    <w:rPr>
                      <w:rFonts w:hint="default" w:ascii="Times New Roman" w:hAnsi="Times New Roman" w:eastAsia="宋体" w:cs="Times New Roman"/>
                      <w:bCs/>
                      <w:color w:val="auto"/>
                      <w:sz w:val="21"/>
                      <w:szCs w:val="21"/>
                      <w:highlight w:val="none"/>
                    </w:rPr>
                  </w:pPr>
                  <w:r>
                    <w:rPr>
                      <w:rFonts w:hint="default" w:ascii="Times New Roman" w:hAnsi="Times New Roman" w:eastAsia="宋体" w:cs="Times New Roman"/>
                      <w:bCs/>
                      <w:color w:val="auto"/>
                      <w:sz w:val="21"/>
                      <w:szCs w:val="21"/>
                      <w:highlight w:val="none"/>
                    </w:rPr>
                    <w:t>-</w:t>
                  </w:r>
                </w:p>
              </w:tc>
              <w:tc>
                <w:tcPr>
                  <w:tcW w:w="805" w:type="dxa"/>
                  <w:tcBorders>
                    <w:tl2br w:val="nil"/>
                    <w:tr2bl w:val="nil"/>
                  </w:tcBorders>
                  <w:noWrap w:val="0"/>
                  <w:tcMar>
                    <w:left w:w="28" w:type="dxa"/>
                    <w:right w:w="28" w:type="dxa"/>
                  </w:tcMar>
                  <w:vAlign w:val="center"/>
                </w:tcPr>
                <w:p w14:paraId="2321970D">
                  <w:pPr>
                    <w:spacing w:line="240" w:lineRule="auto"/>
                    <w:jc w:val="center"/>
                    <w:rPr>
                      <w:rFonts w:hint="default" w:ascii="Times New Roman" w:hAnsi="Times New Roman" w:eastAsia="宋体" w:cs="Times New Roman"/>
                      <w:bCs/>
                      <w:color w:val="auto"/>
                      <w:sz w:val="21"/>
                      <w:szCs w:val="21"/>
                      <w:highlight w:val="none"/>
                    </w:rPr>
                  </w:pPr>
                  <w:r>
                    <w:rPr>
                      <w:rFonts w:hint="default" w:ascii="Times New Roman" w:hAnsi="Times New Roman" w:eastAsia="宋体" w:cs="Times New Roman"/>
                      <w:bCs/>
                      <w:color w:val="auto"/>
                      <w:sz w:val="21"/>
                      <w:szCs w:val="21"/>
                      <w:highlight w:val="none"/>
                    </w:rPr>
                    <w:t>45</w:t>
                  </w:r>
                </w:p>
              </w:tc>
              <w:tc>
                <w:tcPr>
                  <w:tcW w:w="805" w:type="dxa"/>
                  <w:tcBorders>
                    <w:tl2br w:val="nil"/>
                    <w:tr2bl w:val="nil"/>
                  </w:tcBorders>
                  <w:noWrap w:val="0"/>
                  <w:tcMar>
                    <w:left w:w="28" w:type="dxa"/>
                    <w:right w:w="28" w:type="dxa"/>
                  </w:tcMar>
                  <w:vAlign w:val="center"/>
                </w:tcPr>
                <w:p w14:paraId="2B75B09A">
                  <w:pPr>
                    <w:spacing w:line="240" w:lineRule="auto"/>
                    <w:jc w:val="center"/>
                    <w:rPr>
                      <w:rFonts w:hint="default" w:ascii="Times New Roman" w:hAnsi="Times New Roman" w:eastAsia="宋体" w:cs="Times New Roman"/>
                      <w:bCs/>
                      <w:color w:val="auto"/>
                      <w:sz w:val="21"/>
                      <w:szCs w:val="21"/>
                      <w:highlight w:val="none"/>
                    </w:rPr>
                  </w:pPr>
                  <w:r>
                    <w:rPr>
                      <w:rFonts w:hint="default" w:ascii="Times New Roman" w:hAnsi="Times New Roman" w:eastAsia="宋体" w:cs="Times New Roman"/>
                      <w:bCs/>
                      <w:color w:val="auto"/>
                      <w:sz w:val="21"/>
                      <w:szCs w:val="21"/>
                      <w:highlight w:val="none"/>
                    </w:rPr>
                    <w:t>8</w:t>
                  </w:r>
                </w:p>
              </w:tc>
              <w:tc>
                <w:tcPr>
                  <w:tcW w:w="809" w:type="dxa"/>
                  <w:tcBorders>
                    <w:tl2br w:val="nil"/>
                    <w:tr2bl w:val="nil"/>
                  </w:tcBorders>
                  <w:noWrap w:val="0"/>
                  <w:tcMar>
                    <w:left w:w="28" w:type="dxa"/>
                    <w:right w:w="28" w:type="dxa"/>
                  </w:tcMar>
                  <w:vAlign w:val="center"/>
                </w:tcPr>
                <w:p w14:paraId="5E2FAD06">
                  <w:pPr>
                    <w:spacing w:line="240" w:lineRule="auto"/>
                    <w:jc w:val="center"/>
                    <w:rPr>
                      <w:rFonts w:hint="default" w:ascii="Times New Roman" w:hAnsi="Times New Roman" w:eastAsia="宋体" w:cs="Times New Roman"/>
                      <w:bCs/>
                      <w:color w:val="auto"/>
                      <w:sz w:val="21"/>
                      <w:szCs w:val="21"/>
                      <w:highlight w:val="none"/>
                    </w:rPr>
                  </w:pPr>
                  <w:r>
                    <w:rPr>
                      <w:rFonts w:hint="default" w:ascii="Times New Roman" w:hAnsi="Times New Roman" w:eastAsia="宋体" w:cs="Times New Roman"/>
                      <w:bCs/>
                      <w:color w:val="auto"/>
                      <w:sz w:val="21"/>
                      <w:szCs w:val="21"/>
                      <w:highlight w:val="none"/>
                    </w:rPr>
                    <w:t>-</w:t>
                  </w:r>
                </w:p>
              </w:tc>
            </w:tr>
          </w:tbl>
          <w:p w14:paraId="74E512A2">
            <w:pPr>
              <w:numPr>
                <w:ilvl w:val="0"/>
                <w:numId w:val="48"/>
              </w:numPr>
              <w:bidi w:val="0"/>
              <w:spacing w:line="360" w:lineRule="auto"/>
              <w:ind w:left="0" w:leftChars="0" w:firstLine="482" w:firstLineChars="200"/>
              <w:rPr>
                <w:rFonts w:hint="default" w:ascii="Times New Roman" w:hAnsi="Times New Roman" w:eastAsia="宋体" w:cs="Times New Roman"/>
                <w:b/>
                <w:bCs/>
                <w:sz w:val="24"/>
                <w:szCs w:val="24"/>
                <w:lang w:val="en-US" w:eastAsia="zh-CN"/>
              </w:rPr>
            </w:pPr>
            <w:r>
              <w:rPr>
                <w:rFonts w:hint="default" w:ascii="Times New Roman" w:hAnsi="Times New Roman" w:eastAsia="宋体" w:cs="Times New Roman"/>
                <w:b/>
                <w:bCs/>
                <w:sz w:val="24"/>
                <w:szCs w:val="24"/>
                <w:lang w:val="en-US" w:eastAsia="zh-CN"/>
              </w:rPr>
              <w:t>噪声</w:t>
            </w:r>
          </w:p>
          <w:p w14:paraId="29B76361">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eastAsia" w:cs="Times New Roman"/>
                <w:sz w:val="24"/>
                <w:szCs w:val="24"/>
                <w:lang w:val="en-US" w:eastAsia="zh-CN"/>
              </w:rPr>
              <w:t>本</w:t>
            </w:r>
            <w:r>
              <w:rPr>
                <w:rFonts w:hint="default" w:ascii="Times New Roman" w:hAnsi="Times New Roman" w:eastAsia="宋体" w:cs="Times New Roman"/>
                <w:sz w:val="24"/>
                <w:szCs w:val="24"/>
                <w:lang w:val="en-US" w:eastAsia="zh-CN"/>
              </w:rPr>
              <w:t>项目</w:t>
            </w:r>
            <w:r>
              <w:rPr>
                <w:rFonts w:hint="eastAsia" w:ascii="Times New Roman" w:hAnsi="Times New Roman" w:eastAsia="宋体" w:cs="Times New Roman"/>
                <w:sz w:val="24"/>
                <w:szCs w:val="24"/>
                <w:lang w:val="en-US" w:eastAsia="zh-CN"/>
              </w:rPr>
              <w:t>运营期厂界噪声执行（GB12348-2008</w:t>
            </w:r>
            <w:r>
              <w:rPr>
                <w:rFonts w:hint="eastAsia" w:cs="Times New Roman"/>
                <w:sz w:val="24"/>
                <w:szCs w:val="24"/>
                <w:lang w:val="en-US" w:eastAsia="zh-CN"/>
              </w:rPr>
              <w:t>）</w:t>
            </w:r>
            <w:r>
              <w:rPr>
                <w:rFonts w:hint="eastAsia" w:ascii="Times New Roman" w:hAnsi="Times New Roman" w:eastAsia="宋体" w:cs="Times New Roman"/>
                <w:sz w:val="24"/>
                <w:szCs w:val="24"/>
                <w:lang w:val="en-US" w:eastAsia="zh-CN"/>
              </w:rPr>
              <w:t>《工业企业厂界环境噪声排放标准》3类标准</w:t>
            </w:r>
            <w:r>
              <w:rPr>
                <w:rFonts w:hint="eastAsia" w:cs="Times New Roman"/>
                <w:sz w:val="24"/>
                <w:szCs w:val="24"/>
                <w:lang w:val="en-US" w:eastAsia="zh-CN"/>
              </w:rPr>
              <w:t>；</w:t>
            </w:r>
            <w:r>
              <w:rPr>
                <w:rFonts w:hint="eastAsia" w:ascii="Times New Roman" w:hAnsi="Times New Roman" w:eastAsia="宋体" w:cs="Times New Roman"/>
                <w:sz w:val="24"/>
                <w:szCs w:val="24"/>
                <w:lang w:val="en-US" w:eastAsia="zh-CN"/>
              </w:rPr>
              <w:t>具体标准值见表3-</w:t>
            </w:r>
            <w:r>
              <w:rPr>
                <w:rFonts w:hint="eastAsia" w:cs="Times New Roman"/>
                <w:sz w:val="24"/>
                <w:szCs w:val="24"/>
                <w:lang w:val="en-US" w:eastAsia="zh-CN"/>
              </w:rPr>
              <w:t>7。</w:t>
            </w:r>
          </w:p>
          <w:p w14:paraId="4D87BB6E">
            <w:pPr>
              <w:numPr>
                <w:ilvl w:val="0"/>
                <w:numId w:val="0"/>
              </w:numPr>
              <w:bidi w:val="0"/>
              <w:spacing w:line="36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lang w:val="en-US" w:eastAsia="zh-CN"/>
              </w:rPr>
              <w:t>表</w:t>
            </w:r>
            <w:r>
              <w:rPr>
                <w:rFonts w:hint="eastAsia" w:ascii="Times New Roman" w:hAnsi="Times New Roman" w:eastAsia="宋体" w:cs="Times New Roman"/>
                <w:b/>
                <w:bCs/>
                <w:sz w:val="21"/>
                <w:szCs w:val="21"/>
                <w:lang w:val="en-US" w:eastAsia="zh-CN"/>
              </w:rPr>
              <w:t>3-</w:t>
            </w:r>
            <w:r>
              <w:rPr>
                <w:rFonts w:hint="eastAsia" w:cs="Times New Roman"/>
                <w:b/>
                <w:bCs/>
                <w:sz w:val="21"/>
                <w:szCs w:val="21"/>
                <w:lang w:val="en-US" w:eastAsia="zh-CN"/>
              </w:rPr>
              <w:t>7</w:t>
            </w:r>
            <w:r>
              <w:rPr>
                <w:rFonts w:hint="eastAsia" w:ascii="Times New Roman" w:hAnsi="Times New Roman" w:eastAsia="宋体" w:cs="Times New Roman"/>
                <w:b/>
                <w:bCs/>
                <w:sz w:val="21"/>
                <w:szCs w:val="21"/>
                <w:lang w:val="en-US" w:eastAsia="zh-CN"/>
              </w:rPr>
              <w:t xml:space="preserve"> </w:t>
            </w:r>
            <w:r>
              <w:rPr>
                <w:rFonts w:hint="default" w:ascii="Times New Roman" w:hAnsi="Times New Roman" w:eastAsia="宋体" w:cs="Times New Roman"/>
                <w:b/>
                <w:bCs/>
                <w:sz w:val="21"/>
                <w:szCs w:val="21"/>
                <w:lang w:val="en-US" w:eastAsia="zh-CN"/>
              </w:rPr>
              <w:t>工业企业厂界环境噪声排放标准值</w:t>
            </w:r>
            <w:r>
              <w:rPr>
                <w:rFonts w:hint="eastAsia" w:ascii="Times New Roman" w:hAnsi="Times New Roman" w:eastAsia="宋体" w:cs="Times New Roman"/>
                <w:b/>
                <w:bCs/>
                <w:sz w:val="21"/>
                <w:szCs w:val="21"/>
                <w:lang w:val="en-US" w:eastAsia="zh-CN"/>
              </w:rPr>
              <w:t xml:space="preserve">  </w:t>
            </w:r>
            <w:r>
              <w:rPr>
                <w:rFonts w:hint="default" w:ascii="Times New Roman" w:hAnsi="Times New Roman" w:eastAsia="宋体" w:cs="Times New Roman"/>
                <w:b/>
                <w:bCs/>
                <w:sz w:val="21"/>
                <w:szCs w:val="21"/>
                <w:lang w:val="en-US" w:eastAsia="zh-CN"/>
              </w:rPr>
              <w:t>单位</w:t>
            </w:r>
            <w:r>
              <w:rPr>
                <w:rFonts w:hint="eastAsia" w:cs="Times New Roman"/>
                <w:b/>
                <w:bCs/>
                <w:sz w:val="21"/>
                <w:szCs w:val="21"/>
                <w:lang w:val="en-US" w:eastAsia="zh-CN"/>
              </w:rPr>
              <w:t>：</w:t>
            </w:r>
            <w:r>
              <w:rPr>
                <w:rFonts w:hint="default" w:ascii="Times New Roman" w:hAnsi="Times New Roman" w:eastAsia="宋体" w:cs="Times New Roman"/>
                <w:b/>
                <w:bCs/>
                <w:sz w:val="21"/>
                <w:szCs w:val="21"/>
                <w:lang w:val="en-US" w:eastAsia="zh-CN"/>
              </w:rPr>
              <w:t>dB（A</w:t>
            </w:r>
            <w:r>
              <w:rPr>
                <w:rFonts w:hint="eastAsia" w:cs="Times New Roman"/>
                <w:b/>
                <w:bCs/>
                <w:sz w:val="21"/>
                <w:szCs w:val="21"/>
                <w:lang w:val="en-US" w:eastAsia="zh-CN"/>
              </w:rPr>
              <w:t>）</w:t>
            </w:r>
          </w:p>
          <w:tbl>
            <w:tblPr>
              <w:tblStyle w:val="28"/>
              <w:tblW w:w="823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04"/>
              <w:gridCol w:w="654"/>
              <w:gridCol w:w="718"/>
              <w:gridCol w:w="5962"/>
            </w:tblGrid>
            <w:tr w14:paraId="0F6079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04" w:type="dxa"/>
                  <w:noWrap w:val="0"/>
                  <w:vAlign w:val="center"/>
                </w:tcPr>
                <w:p w14:paraId="4C4F61DC">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lang w:val="en-US" w:eastAsia="zh-CN"/>
                    </w:rPr>
                    <w:t>类别</w:t>
                  </w:r>
                </w:p>
              </w:tc>
              <w:tc>
                <w:tcPr>
                  <w:tcW w:w="654" w:type="dxa"/>
                  <w:noWrap w:val="0"/>
                  <w:vAlign w:val="center"/>
                </w:tcPr>
                <w:p w14:paraId="5701BBAF">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lang w:val="en-US" w:eastAsia="zh-CN"/>
                    </w:rPr>
                    <w:t>昼间</w:t>
                  </w:r>
                </w:p>
              </w:tc>
              <w:tc>
                <w:tcPr>
                  <w:tcW w:w="718" w:type="dxa"/>
                  <w:noWrap w:val="0"/>
                  <w:vAlign w:val="center"/>
                </w:tcPr>
                <w:p w14:paraId="209EC682">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lang w:val="en-US" w:eastAsia="zh-CN"/>
                    </w:rPr>
                    <w:t>夜间</w:t>
                  </w:r>
                </w:p>
              </w:tc>
              <w:tc>
                <w:tcPr>
                  <w:tcW w:w="5962" w:type="dxa"/>
                  <w:noWrap w:val="0"/>
                  <w:vAlign w:val="center"/>
                </w:tcPr>
                <w:p w14:paraId="42AA90EF">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lang w:val="en-US" w:eastAsia="zh-CN"/>
                    </w:rPr>
                    <w:t>标准来源</w:t>
                  </w:r>
                </w:p>
              </w:tc>
            </w:tr>
            <w:tr w14:paraId="2BEC7F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04" w:type="dxa"/>
                  <w:noWrap w:val="0"/>
                  <w:vAlign w:val="center"/>
                </w:tcPr>
                <w:p w14:paraId="0A6C6DE2">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lang w:val="en-US" w:eastAsia="zh-CN"/>
                    </w:rPr>
                    <w:t>运营期</w:t>
                  </w:r>
                </w:p>
              </w:tc>
              <w:tc>
                <w:tcPr>
                  <w:tcW w:w="654" w:type="dxa"/>
                  <w:noWrap w:val="0"/>
                  <w:vAlign w:val="center"/>
                </w:tcPr>
                <w:p w14:paraId="21C74D31">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eastAsia" w:cs="Times New Roman"/>
                      <w:sz w:val="21"/>
                      <w:szCs w:val="21"/>
                      <w:lang w:val="en-US" w:eastAsia="zh-CN"/>
                    </w:rPr>
                    <w:t>65</w:t>
                  </w:r>
                </w:p>
              </w:tc>
              <w:tc>
                <w:tcPr>
                  <w:tcW w:w="718" w:type="dxa"/>
                  <w:noWrap w:val="0"/>
                  <w:vAlign w:val="center"/>
                </w:tcPr>
                <w:p w14:paraId="1C085E9F">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eastAsia" w:cs="Times New Roman"/>
                      <w:sz w:val="21"/>
                      <w:szCs w:val="21"/>
                      <w:lang w:val="en-US" w:eastAsia="zh-CN"/>
                    </w:rPr>
                    <w:t>55</w:t>
                  </w:r>
                </w:p>
              </w:tc>
              <w:tc>
                <w:tcPr>
                  <w:tcW w:w="5962" w:type="dxa"/>
                  <w:noWrap w:val="0"/>
                  <w:vAlign w:val="center"/>
                </w:tcPr>
                <w:p w14:paraId="779D5649">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lang w:val="en-US" w:eastAsia="zh-CN"/>
                    </w:rPr>
                    <w:t>《工业企业厂界环境噪声排放标准》（GB12348-2008</w:t>
                  </w:r>
                  <w:r>
                    <w:rPr>
                      <w:rFonts w:hint="eastAsia" w:cs="Times New Roman"/>
                      <w:sz w:val="21"/>
                      <w:szCs w:val="21"/>
                      <w:lang w:val="en-US" w:eastAsia="zh-CN"/>
                    </w:rPr>
                    <w:t>）</w:t>
                  </w:r>
                  <w:r>
                    <w:rPr>
                      <w:rFonts w:hint="default" w:ascii="Times New Roman" w:hAnsi="Times New Roman" w:eastAsia="宋体" w:cs="Times New Roman"/>
                      <w:sz w:val="21"/>
                      <w:szCs w:val="21"/>
                      <w:lang w:val="en-US" w:eastAsia="zh-CN"/>
                    </w:rPr>
                    <w:t>中</w:t>
                  </w:r>
                  <w:r>
                    <w:rPr>
                      <w:rFonts w:hint="eastAsia" w:cs="Times New Roman"/>
                      <w:sz w:val="21"/>
                      <w:szCs w:val="21"/>
                      <w:lang w:val="en-US" w:eastAsia="zh-CN"/>
                    </w:rPr>
                    <w:t>3</w:t>
                  </w:r>
                  <w:r>
                    <w:rPr>
                      <w:rFonts w:hint="default" w:ascii="Times New Roman" w:hAnsi="Times New Roman" w:eastAsia="宋体" w:cs="Times New Roman"/>
                      <w:sz w:val="21"/>
                      <w:szCs w:val="21"/>
                      <w:lang w:val="en-US" w:eastAsia="zh-CN"/>
                    </w:rPr>
                    <w:t>类</w:t>
                  </w:r>
                </w:p>
              </w:tc>
            </w:tr>
          </w:tbl>
          <w:p w14:paraId="7EE64E6B">
            <w:pPr>
              <w:numPr>
                <w:ilvl w:val="0"/>
                <w:numId w:val="48"/>
              </w:numPr>
              <w:bidi w:val="0"/>
              <w:spacing w:line="360" w:lineRule="auto"/>
              <w:ind w:left="0" w:leftChars="0" w:firstLine="482" w:firstLineChars="200"/>
              <w:rPr>
                <w:rFonts w:hint="default" w:ascii="Times New Roman" w:hAnsi="Times New Roman" w:eastAsia="宋体" w:cs="Times New Roman"/>
                <w:b/>
                <w:bCs/>
                <w:sz w:val="24"/>
                <w:szCs w:val="24"/>
                <w:lang w:val="en-US" w:eastAsia="zh-CN"/>
              </w:rPr>
            </w:pPr>
            <w:r>
              <w:rPr>
                <w:rFonts w:hint="default" w:ascii="Times New Roman" w:hAnsi="Times New Roman" w:eastAsia="宋体" w:cs="Times New Roman"/>
                <w:b/>
                <w:bCs/>
                <w:sz w:val="24"/>
                <w:szCs w:val="24"/>
                <w:lang w:val="en-US" w:eastAsia="zh-CN"/>
              </w:rPr>
              <w:t>固体废弃物</w:t>
            </w:r>
          </w:p>
          <w:p w14:paraId="350ADA43">
            <w:pPr>
              <w:numPr>
                <w:ilvl w:val="0"/>
                <w:numId w:val="0"/>
              </w:numPr>
              <w:bidi w:val="0"/>
              <w:spacing w:line="360" w:lineRule="auto"/>
              <w:ind w:firstLine="480" w:firstLineChars="200"/>
              <w:rPr>
                <w:rFonts w:hint="default" w:ascii="Times New Roman" w:hAnsi="Times New Roman" w:eastAsia="宋体" w:cs="Times New Roman"/>
                <w:color w:val="auto"/>
                <w:sz w:val="24"/>
                <w:szCs w:val="24"/>
                <w:lang w:val="en-US" w:eastAsia="zh-CN"/>
              </w:rPr>
            </w:pPr>
            <w:r>
              <w:rPr>
                <w:rFonts w:hint="eastAsia" w:ascii="Times New Roman" w:hAnsi="Times New Roman" w:eastAsia="宋体" w:cs="Times New Roman"/>
                <w:sz w:val="24"/>
                <w:szCs w:val="24"/>
                <w:lang w:val="en-US" w:eastAsia="zh-CN"/>
              </w:rPr>
              <w:t>本项目</w:t>
            </w:r>
            <w:r>
              <w:rPr>
                <w:rFonts w:hint="default" w:ascii="Times New Roman" w:hAnsi="Times New Roman" w:eastAsia="宋体" w:cs="Times New Roman"/>
                <w:sz w:val="24"/>
                <w:szCs w:val="24"/>
                <w:lang w:val="en-US" w:eastAsia="zh-CN"/>
              </w:rPr>
              <w:t>危险废物执行《危险废物转移管理办法》（2021年11月30日生态环境部、公安部、交通运输部令第23号公布）</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《危险废物收集贮存运输技术规范》（HJ2025-2012）</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《危险废物贮存污染控制标准》（</w:t>
            </w:r>
            <w:r>
              <w:rPr>
                <w:rFonts w:hint="eastAsia" w:cs="Times New Roman"/>
                <w:sz w:val="24"/>
                <w:szCs w:val="24"/>
                <w:lang w:val="en-US" w:eastAsia="zh-CN"/>
              </w:rPr>
              <w:t>GB18597-2023</w:t>
            </w:r>
            <w:r>
              <w:rPr>
                <w:rFonts w:hint="default" w:ascii="Times New Roman" w:hAnsi="Times New Roman" w:eastAsia="宋体" w:cs="Times New Roman"/>
                <w:sz w:val="24"/>
                <w:szCs w:val="24"/>
                <w:lang w:val="en-US" w:eastAsia="zh-CN"/>
              </w:rPr>
              <w:t>）及2013年修改单</w:t>
            </w:r>
            <w:r>
              <w:rPr>
                <w:rFonts w:hint="eastAsia" w:cs="Times New Roman"/>
                <w:sz w:val="24"/>
                <w:szCs w:val="24"/>
                <w:lang w:val="en-US" w:eastAsia="zh-CN"/>
              </w:rPr>
              <w:t>。</w:t>
            </w:r>
          </w:p>
        </w:tc>
      </w:tr>
      <w:tr w14:paraId="13E9B2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6" w:hRule="atLeast"/>
          <w:jc w:val="center"/>
        </w:trPr>
        <w:tc>
          <w:tcPr>
            <w:tcW w:w="1116" w:type="dxa"/>
            <w:noWrap w:val="0"/>
            <w:vAlign w:val="center"/>
          </w:tcPr>
          <w:p w14:paraId="6DA685A1">
            <w:pPr>
              <w:bidi w:val="0"/>
              <w:spacing w:line="360" w:lineRule="auto"/>
              <w:jc w:val="center"/>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b/>
                <w:bCs/>
                <w:color w:val="auto"/>
                <w:sz w:val="24"/>
                <w:szCs w:val="24"/>
                <w:lang w:val="en-US" w:eastAsia="zh-CN"/>
              </w:rPr>
              <w:t>总量控制指标</w:t>
            </w:r>
          </w:p>
        </w:tc>
        <w:tc>
          <w:tcPr>
            <w:tcW w:w="8454" w:type="dxa"/>
            <w:noWrap w:val="0"/>
            <w:vAlign w:val="center"/>
          </w:tcPr>
          <w:p w14:paraId="4C7388AC">
            <w:pPr>
              <w:bidi w:val="0"/>
              <w:spacing w:line="360" w:lineRule="auto"/>
              <w:ind w:firstLine="480" w:firstLineChars="200"/>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根据四川省环境保护厅《关于转发&lt;建设项目主要污染物排放总量指标审核及管理暂行办法&gt;的通知》中的相关要求</w:t>
            </w:r>
            <w:r>
              <w:rPr>
                <w:rFonts w:hint="eastAsia" w:cs="Times New Roman"/>
                <w:color w:val="auto"/>
                <w:sz w:val="24"/>
                <w:szCs w:val="24"/>
                <w:lang w:val="en-US" w:eastAsia="zh-CN"/>
              </w:rPr>
              <w:t>，</w:t>
            </w:r>
            <w:r>
              <w:rPr>
                <w:rFonts w:hint="default" w:ascii="Times New Roman" w:hAnsi="Times New Roman" w:eastAsia="宋体" w:cs="Times New Roman"/>
                <w:color w:val="auto"/>
                <w:sz w:val="24"/>
                <w:szCs w:val="24"/>
                <w:lang w:val="en-US" w:eastAsia="zh-CN"/>
              </w:rPr>
              <w:t>除火电、钢铁、水泥、造纸、印染行业外</w:t>
            </w:r>
            <w:r>
              <w:rPr>
                <w:rFonts w:hint="eastAsia" w:cs="Times New Roman"/>
                <w:color w:val="auto"/>
                <w:sz w:val="24"/>
                <w:szCs w:val="24"/>
                <w:lang w:val="en-US" w:eastAsia="zh-CN"/>
              </w:rPr>
              <w:t>，</w:t>
            </w:r>
            <w:r>
              <w:rPr>
                <w:rFonts w:hint="default" w:ascii="Times New Roman" w:hAnsi="Times New Roman" w:eastAsia="宋体" w:cs="Times New Roman"/>
                <w:color w:val="auto"/>
                <w:sz w:val="24"/>
                <w:szCs w:val="24"/>
                <w:lang w:val="en-US" w:eastAsia="zh-CN"/>
              </w:rPr>
              <w:t>其他行业污染物排放总量指标依照国家或地方污染物排放标准及单位产品基准排放量</w:t>
            </w:r>
            <w:r>
              <w:rPr>
                <w:rFonts w:hint="eastAsia" w:ascii="Times New Roman" w:hAnsi="Times New Roman" w:eastAsia="宋体" w:cs="Times New Roman"/>
                <w:color w:val="auto"/>
                <w:sz w:val="24"/>
                <w:szCs w:val="24"/>
                <w:lang w:val="en-US" w:eastAsia="zh-CN"/>
              </w:rPr>
              <w:t>（</w:t>
            </w:r>
            <w:r>
              <w:rPr>
                <w:rFonts w:hint="default" w:ascii="Times New Roman" w:hAnsi="Times New Roman" w:eastAsia="宋体" w:cs="Times New Roman"/>
                <w:color w:val="auto"/>
                <w:sz w:val="24"/>
                <w:szCs w:val="24"/>
                <w:lang w:val="en-US" w:eastAsia="zh-CN"/>
              </w:rPr>
              <w:t>行业最高允许排水量</w:t>
            </w:r>
            <w:r>
              <w:rPr>
                <w:rFonts w:hint="eastAsia" w:cs="Times New Roman"/>
                <w:color w:val="auto"/>
                <w:sz w:val="24"/>
                <w:szCs w:val="24"/>
                <w:lang w:val="en-US" w:eastAsia="zh-CN"/>
              </w:rPr>
              <w:t>）</w:t>
            </w:r>
            <w:r>
              <w:rPr>
                <w:rFonts w:hint="default" w:ascii="Times New Roman" w:hAnsi="Times New Roman" w:eastAsia="宋体" w:cs="Times New Roman"/>
                <w:color w:val="auto"/>
                <w:sz w:val="24"/>
                <w:szCs w:val="24"/>
                <w:lang w:val="en-US" w:eastAsia="zh-CN"/>
              </w:rPr>
              <w:t>、烟气量等予以核定。</w:t>
            </w:r>
          </w:p>
          <w:p w14:paraId="35F6C3E5">
            <w:pPr>
              <w:bidi w:val="0"/>
              <w:spacing w:line="360" w:lineRule="auto"/>
              <w:ind w:firstLine="480" w:firstLineChars="200"/>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依据《排污许可证申请与核发技术规范 总则》（HJ942-2018）及其他相关行业排污许可证申请与核发技术规范，同时根据项目特点和污染物排放情况，本次评价确定本项目涉及的污染物排放总量控制指标为挥发性有机物（非甲烷总烃）。</w:t>
            </w:r>
          </w:p>
          <w:p w14:paraId="3536F803">
            <w:pPr>
              <w:numPr>
                <w:ilvl w:val="0"/>
                <w:numId w:val="49"/>
              </w:numPr>
              <w:bidi w:val="0"/>
              <w:spacing w:line="360" w:lineRule="auto"/>
              <w:ind w:firstLine="482" w:firstLineChars="200"/>
              <w:rPr>
                <w:rFonts w:hint="default" w:ascii="Times New Roman" w:hAnsi="Times New Roman" w:eastAsia="宋体" w:cs="Times New Roman"/>
                <w:b/>
                <w:bCs/>
                <w:color w:val="auto"/>
                <w:sz w:val="24"/>
                <w:szCs w:val="24"/>
                <w:lang w:val="en-US" w:eastAsia="zh-CN"/>
              </w:rPr>
            </w:pPr>
            <w:r>
              <w:rPr>
                <w:rFonts w:hint="default" w:ascii="Times New Roman" w:hAnsi="Times New Roman" w:eastAsia="宋体" w:cs="Times New Roman"/>
                <w:b/>
                <w:bCs/>
                <w:color w:val="auto"/>
                <w:sz w:val="24"/>
                <w:szCs w:val="24"/>
                <w:lang w:val="en-US" w:eastAsia="zh-CN"/>
              </w:rPr>
              <w:t>废水</w:t>
            </w:r>
          </w:p>
          <w:p w14:paraId="7A238D90">
            <w:pPr>
              <w:numPr>
                <w:ilvl w:val="0"/>
                <w:numId w:val="0"/>
              </w:numPr>
              <w:bidi w:val="0"/>
              <w:spacing w:line="360" w:lineRule="auto"/>
              <w:ind w:firstLine="480" w:firstLineChars="200"/>
              <w:rPr>
                <w:rFonts w:hint="eastAsia"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根据本项目的排污特征，运营期废水排入</w:t>
            </w:r>
            <w:r>
              <w:rPr>
                <w:rFonts w:hint="eastAsia" w:cs="Times New Roman"/>
                <w:color w:val="auto"/>
                <w:sz w:val="24"/>
                <w:szCs w:val="24"/>
                <w:lang w:val="en-US" w:eastAsia="zh-CN"/>
              </w:rPr>
              <w:t>安居区龙眼井污水处理厂</w:t>
            </w:r>
            <w:r>
              <w:rPr>
                <w:rFonts w:hint="default" w:ascii="Times New Roman" w:hAnsi="Times New Roman" w:eastAsia="宋体" w:cs="Times New Roman"/>
                <w:color w:val="auto"/>
                <w:sz w:val="24"/>
                <w:szCs w:val="24"/>
                <w:lang w:val="en-US" w:eastAsia="zh-CN"/>
              </w:rPr>
              <w:t>，污染物总量纳入污水处理厂总量指标控制管理，CODcr和氨氮总量在污水处理厂总量中进行平衡</w:t>
            </w:r>
            <w:r>
              <w:rPr>
                <w:rFonts w:hint="eastAsia" w:cs="Times New Roman"/>
                <w:color w:val="auto"/>
                <w:sz w:val="24"/>
                <w:szCs w:val="24"/>
                <w:lang w:val="en-US" w:eastAsia="zh-CN"/>
              </w:rPr>
              <w:t>，</w:t>
            </w:r>
            <w:r>
              <w:rPr>
                <w:rFonts w:hint="eastAsia" w:ascii="Times New Roman" w:hAnsi="Times New Roman" w:eastAsia="宋体" w:cs="Times New Roman"/>
                <w:color w:val="auto"/>
                <w:sz w:val="24"/>
                <w:szCs w:val="24"/>
                <w:lang w:val="en-US" w:eastAsia="zh-CN"/>
              </w:rPr>
              <w:t>不再单独申请</w:t>
            </w:r>
            <w:r>
              <w:rPr>
                <w:rFonts w:hint="eastAsia" w:cs="Times New Roman"/>
                <w:color w:val="auto"/>
                <w:sz w:val="24"/>
                <w:szCs w:val="24"/>
                <w:lang w:val="en-US" w:eastAsia="zh-CN"/>
              </w:rPr>
              <w:t>。</w:t>
            </w:r>
          </w:p>
          <w:p w14:paraId="4BC05BC2">
            <w:pPr>
              <w:numPr>
                <w:ilvl w:val="0"/>
                <w:numId w:val="49"/>
              </w:numPr>
              <w:bidi w:val="0"/>
              <w:spacing w:line="360" w:lineRule="auto"/>
              <w:ind w:left="0" w:leftChars="0" w:firstLine="482" w:firstLineChars="200"/>
              <w:rPr>
                <w:rFonts w:hint="eastAsia" w:ascii="Times New Roman" w:hAnsi="Times New Roman" w:eastAsia="宋体" w:cs="Times New Roman"/>
                <w:b/>
                <w:bCs/>
                <w:color w:val="auto"/>
                <w:sz w:val="24"/>
                <w:szCs w:val="24"/>
                <w:lang w:val="en-US" w:eastAsia="zh-CN"/>
              </w:rPr>
            </w:pPr>
            <w:r>
              <w:rPr>
                <w:rFonts w:hint="default" w:ascii="Times New Roman" w:hAnsi="Times New Roman" w:eastAsia="宋体" w:cs="Times New Roman"/>
                <w:b/>
                <w:bCs/>
                <w:color w:val="auto"/>
                <w:sz w:val="24"/>
                <w:szCs w:val="24"/>
                <w:lang w:val="en-US" w:eastAsia="zh-CN"/>
              </w:rPr>
              <w:t>废气</w:t>
            </w:r>
          </w:p>
          <w:p w14:paraId="0343302E">
            <w:pPr>
              <w:numPr>
                <w:ilvl w:val="0"/>
                <w:numId w:val="0"/>
              </w:numPr>
              <w:bidi w:val="0"/>
              <w:spacing w:line="360" w:lineRule="auto"/>
              <w:ind w:firstLine="480" w:firstLineChars="200"/>
              <w:rPr>
                <w:rFonts w:hint="eastAsia"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根据工程分析核算</w:t>
            </w:r>
            <w:r>
              <w:rPr>
                <w:rFonts w:hint="eastAsia" w:cs="Times New Roman"/>
                <w:color w:val="auto"/>
                <w:sz w:val="24"/>
                <w:szCs w:val="24"/>
                <w:lang w:val="en-US" w:eastAsia="zh-CN"/>
              </w:rPr>
              <w:t>：</w:t>
            </w:r>
            <w:r>
              <w:rPr>
                <w:rFonts w:hint="eastAsia" w:ascii="Times New Roman" w:hAnsi="Times New Roman" w:eastAsia="宋体" w:cs="Times New Roman"/>
                <w:color w:val="auto"/>
                <w:sz w:val="24"/>
                <w:szCs w:val="24"/>
                <w:lang w:val="en-US" w:eastAsia="zh-CN"/>
              </w:rPr>
              <w:t>本项目</w:t>
            </w:r>
            <w:r>
              <w:rPr>
                <w:rFonts w:hint="eastAsia" w:cs="Times New Roman"/>
                <w:color w:val="auto"/>
                <w:sz w:val="24"/>
                <w:szCs w:val="24"/>
                <w:lang w:val="en-US" w:eastAsia="zh-CN"/>
              </w:rPr>
              <w:t>挥发性有机物（非甲烷总烃）：</w:t>
            </w:r>
          </w:p>
          <w:p w14:paraId="12FDC49A">
            <w:pPr>
              <w:numPr>
                <w:ilvl w:val="0"/>
                <w:numId w:val="0"/>
              </w:numPr>
              <w:bidi w:val="0"/>
              <w:spacing w:line="360" w:lineRule="auto"/>
              <w:ind w:firstLine="480" w:firstLineChars="200"/>
              <w:rPr>
                <w:rFonts w:hint="eastAsia" w:ascii="Times New Roman" w:hAnsi="Times New Roman" w:eastAsia="宋体" w:cs="Times New Roman"/>
                <w:b w:val="0"/>
                <w:bCs w:val="0"/>
                <w:color w:val="auto"/>
                <w:sz w:val="24"/>
                <w:szCs w:val="24"/>
                <w:lang w:val="en-US" w:eastAsia="zh-CN"/>
              </w:rPr>
            </w:pPr>
            <w:r>
              <w:rPr>
                <w:rFonts w:hint="eastAsia" w:ascii="Times New Roman" w:hAnsi="Times New Roman" w:eastAsia="宋体" w:cs="Times New Roman"/>
                <w:color w:val="auto"/>
                <w:sz w:val="24"/>
                <w:szCs w:val="24"/>
                <w:lang w:val="en-US" w:eastAsia="zh-CN"/>
              </w:rPr>
              <w:t>有组织</w:t>
            </w:r>
            <w:r>
              <w:rPr>
                <w:rFonts w:hint="eastAsia" w:cs="Times New Roman"/>
                <w:color w:val="auto"/>
                <w:sz w:val="24"/>
                <w:szCs w:val="24"/>
                <w:lang w:val="en-US" w:eastAsia="zh-CN"/>
              </w:rPr>
              <w:t>+</w:t>
            </w:r>
            <w:r>
              <w:rPr>
                <w:rFonts w:hint="eastAsia" w:ascii="Times New Roman" w:hAnsi="Times New Roman" w:eastAsia="宋体" w:cs="Times New Roman"/>
                <w:color w:val="auto"/>
                <w:sz w:val="24"/>
                <w:szCs w:val="24"/>
                <w:lang w:val="en-US" w:eastAsia="zh-CN"/>
              </w:rPr>
              <w:t>无组织排放量</w:t>
            </w:r>
            <w:r>
              <w:rPr>
                <w:rFonts w:hint="eastAsia" w:cs="Times New Roman"/>
                <w:color w:val="auto"/>
                <w:sz w:val="24"/>
                <w:szCs w:val="24"/>
                <w:lang w:val="en-US" w:eastAsia="zh-CN"/>
              </w:rPr>
              <w:t>=</w:t>
            </w:r>
            <w:r>
              <w:rPr>
                <w:rFonts w:hint="eastAsia" w:cs="Times New Roman"/>
                <w:b w:val="0"/>
                <w:bCs w:val="0"/>
                <w:color w:val="auto"/>
                <w:sz w:val="24"/>
                <w:szCs w:val="24"/>
                <w:vertAlign w:val="baseline"/>
                <w:lang w:val="en-US" w:eastAsia="zh-CN"/>
              </w:rPr>
              <w:t>0.026</w:t>
            </w:r>
            <w:r>
              <w:rPr>
                <w:rFonts w:hint="eastAsia" w:cs="Times New Roman"/>
                <w:b w:val="0"/>
                <w:bCs w:val="0"/>
                <w:color w:val="auto"/>
                <w:sz w:val="24"/>
                <w:szCs w:val="24"/>
                <w:lang w:val="en-US" w:eastAsia="zh-CN"/>
              </w:rPr>
              <w:t>t</w:t>
            </w:r>
            <w:r>
              <w:rPr>
                <w:rFonts w:hint="eastAsia" w:ascii="Times New Roman" w:hAnsi="Times New Roman" w:eastAsia="宋体" w:cs="Times New Roman"/>
                <w:b w:val="0"/>
                <w:bCs w:val="0"/>
                <w:color w:val="auto"/>
                <w:sz w:val="24"/>
                <w:szCs w:val="24"/>
                <w:lang w:val="en-US" w:eastAsia="zh-CN"/>
              </w:rPr>
              <w:t>/a；</w:t>
            </w:r>
          </w:p>
          <w:p w14:paraId="0020CF72">
            <w:pPr>
              <w:numPr>
                <w:ilvl w:val="0"/>
                <w:numId w:val="0"/>
              </w:numPr>
              <w:bidi w:val="0"/>
              <w:spacing w:line="360" w:lineRule="auto"/>
              <w:ind w:firstLine="480" w:firstLineChars="200"/>
              <w:rPr>
                <w:rFonts w:hint="eastAsia" w:ascii="Times New Roman" w:hAnsi="Times New Roman" w:eastAsia="宋体" w:cs="Times New Roman"/>
                <w:b w:val="0"/>
                <w:bCs w:val="0"/>
                <w:color w:val="auto"/>
                <w:sz w:val="24"/>
                <w:szCs w:val="24"/>
                <w:lang w:val="en-US" w:eastAsia="zh-CN"/>
              </w:rPr>
            </w:pPr>
            <w:r>
              <w:rPr>
                <w:rFonts w:hint="eastAsia" w:ascii="Times New Roman" w:hAnsi="Times New Roman" w:eastAsia="宋体" w:cs="Times New Roman"/>
                <w:b w:val="0"/>
                <w:bCs w:val="0"/>
                <w:color w:val="auto"/>
                <w:sz w:val="24"/>
                <w:szCs w:val="24"/>
                <w:lang w:val="en-US" w:eastAsia="zh-CN"/>
              </w:rPr>
              <w:t>则本项目总量控制指标及建议量如下</w:t>
            </w:r>
            <w:r>
              <w:rPr>
                <w:rFonts w:hint="eastAsia" w:cs="Times New Roman"/>
                <w:b w:val="0"/>
                <w:bCs w:val="0"/>
                <w:color w:val="auto"/>
                <w:sz w:val="24"/>
                <w:szCs w:val="24"/>
                <w:lang w:val="en-US" w:eastAsia="zh-CN"/>
              </w:rPr>
              <w:t>：</w:t>
            </w:r>
          </w:p>
          <w:p w14:paraId="7EF37C9D">
            <w:pPr>
              <w:numPr>
                <w:ilvl w:val="0"/>
                <w:numId w:val="0"/>
              </w:numPr>
              <w:bidi w:val="0"/>
              <w:spacing w:line="360" w:lineRule="auto"/>
              <w:jc w:val="center"/>
              <w:rPr>
                <w:rFonts w:hint="default" w:ascii="Times New Roman" w:hAnsi="Times New Roman" w:eastAsia="宋体" w:cs="Times New Roman"/>
                <w:b/>
                <w:bCs/>
                <w:color w:val="auto"/>
                <w:sz w:val="21"/>
                <w:szCs w:val="21"/>
                <w:lang w:val="en-US" w:eastAsia="zh-CN"/>
              </w:rPr>
            </w:pPr>
            <w:r>
              <w:rPr>
                <w:rFonts w:hint="eastAsia" w:ascii="Times New Roman" w:hAnsi="Times New Roman" w:eastAsia="宋体" w:cs="Times New Roman"/>
                <w:b/>
                <w:bCs/>
                <w:color w:val="auto"/>
                <w:sz w:val="21"/>
                <w:szCs w:val="21"/>
                <w:lang w:val="en-US" w:eastAsia="zh-CN"/>
              </w:rPr>
              <w:t>表3-</w:t>
            </w:r>
            <w:r>
              <w:rPr>
                <w:rFonts w:hint="eastAsia" w:cs="Times New Roman"/>
                <w:b/>
                <w:bCs/>
                <w:color w:val="auto"/>
                <w:sz w:val="21"/>
                <w:szCs w:val="21"/>
                <w:lang w:val="en-US" w:eastAsia="zh-CN"/>
              </w:rPr>
              <w:t>8</w:t>
            </w:r>
            <w:r>
              <w:rPr>
                <w:rFonts w:hint="eastAsia" w:ascii="Times New Roman" w:hAnsi="Times New Roman" w:eastAsia="宋体" w:cs="Times New Roman"/>
                <w:b/>
                <w:bCs/>
                <w:color w:val="auto"/>
                <w:sz w:val="21"/>
                <w:szCs w:val="21"/>
                <w:lang w:val="en-US" w:eastAsia="zh-CN"/>
              </w:rPr>
              <w:t xml:space="preserve"> 拟建项目</w:t>
            </w:r>
            <w:r>
              <w:rPr>
                <w:rFonts w:hint="eastAsia" w:cs="Times New Roman"/>
                <w:b/>
                <w:bCs/>
                <w:color w:val="auto"/>
                <w:sz w:val="21"/>
                <w:szCs w:val="21"/>
                <w:lang w:val="en-US" w:eastAsia="zh-CN"/>
              </w:rPr>
              <w:t>废气污染物</w:t>
            </w:r>
            <w:r>
              <w:rPr>
                <w:rFonts w:hint="eastAsia" w:ascii="Times New Roman" w:hAnsi="Times New Roman" w:eastAsia="宋体" w:cs="Times New Roman"/>
                <w:b/>
                <w:bCs/>
                <w:color w:val="auto"/>
                <w:sz w:val="21"/>
                <w:szCs w:val="21"/>
                <w:lang w:val="en-US" w:eastAsia="zh-CN"/>
              </w:rPr>
              <w:t>总量控制指标</w:t>
            </w:r>
          </w:p>
          <w:tbl>
            <w:tblPr>
              <w:tblStyle w:val="28"/>
              <w:tblW w:w="823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76"/>
              <w:gridCol w:w="3206"/>
              <w:gridCol w:w="1190"/>
              <w:gridCol w:w="2266"/>
            </w:tblGrid>
            <w:tr w14:paraId="55F9EC4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8" w:hRule="atLeast"/>
              </w:trPr>
              <w:tc>
                <w:tcPr>
                  <w:tcW w:w="1576" w:type="dxa"/>
                  <w:noWrap w:val="0"/>
                  <w:vAlign w:val="center"/>
                </w:tcPr>
                <w:p w14:paraId="0D657A0D">
                  <w:pPr>
                    <w:numPr>
                      <w:ilvl w:val="0"/>
                      <w:numId w:val="0"/>
                    </w:numPr>
                    <w:bidi w:val="0"/>
                    <w:spacing w:line="240" w:lineRule="auto"/>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类别</w:t>
                  </w:r>
                </w:p>
              </w:tc>
              <w:tc>
                <w:tcPr>
                  <w:tcW w:w="3206" w:type="dxa"/>
                  <w:noWrap w:val="0"/>
                  <w:vAlign w:val="center"/>
                </w:tcPr>
                <w:p w14:paraId="0D53A410">
                  <w:pPr>
                    <w:numPr>
                      <w:ilvl w:val="0"/>
                      <w:numId w:val="0"/>
                    </w:numPr>
                    <w:bidi w:val="0"/>
                    <w:spacing w:line="240" w:lineRule="auto"/>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污染物名称</w:t>
                  </w:r>
                </w:p>
              </w:tc>
              <w:tc>
                <w:tcPr>
                  <w:tcW w:w="1190" w:type="dxa"/>
                  <w:noWrap w:val="0"/>
                  <w:vAlign w:val="center"/>
                </w:tcPr>
                <w:p w14:paraId="11E34447">
                  <w:pPr>
                    <w:numPr>
                      <w:ilvl w:val="0"/>
                      <w:numId w:val="0"/>
                    </w:numPr>
                    <w:bidi w:val="0"/>
                    <w:spacing w:line="240" w:lineRule="auto"/>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单位</w:t>
                  </w:r>
                </w:p>
              </w:tc>
              <w:tc>
                <w:tcPr>
                  <w:tcW w:w="2266" w:type="dxa"/>
                  <w:noWrap w:val="0"/>
                  <w:vAlign w:val="center"/>
                </w:tcPr>
                <w:p w14:paraId="57FFCA21">
                  <w:pPr>
                    <w:numPr>
                      <w:ilvl w:val="0"/>
                      <w:numId w:val="0"/>
                    </w:numPr>
                    <w:bidi w:val="0"/>
                    <w:spacing w:line="240" w:lineRule="auto"/>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建议指标</w:t>
                  </w:r>
                </w:p>
              </w:tc>
            </w:tr>
            <w:tr w14:paraId="57B7FC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576" w:type="dxa"/>
                  <w:noWrap w:val="0"/>
                  <w:vAlign w:val="center"/>
                </w:tcPr>
                <w:p w14:paraId="3BDB0CEE">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大气污染物</w:t>
                  </w:r>
                </w:p>
              </w:tc>
              <w:tc>
                <w:tcPr>
                  <w:tcW w:w="3206" w:type="dxa"/>
                  <w:noWrap w:val="0"/>
                  <w:vAlign w:val="center"/>
                </w:tcPr>
                <w:p w14:paraId="38356244">
                  <w:pPr>
                    <w:numPr>
                      <w:ilvl w:val="0"/>
                      <w:numId w:val="0"/>
                    </w:numPr>
                    <w:bidi w:val="0"/>
                    <w:spacing w:line="240" w:lineRule="auto"/>
                    <w:ind w:left="0" w:leftChars="0" w:firstLine="0" w:firstLineChars="0"/>
                    <w:jc w:val="center"/>
                    <w:rPr>
                      <w:rFonts w:hint="default"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lang w:val="en-US" w:eastAsia="zh-CN"/>
                    </w:rPr>
                    <w:t>挥发性有机物（非甲烷总烃）</w:t>
                  </w:r>
                </w:p>
              </w:tc>
              <w:tc>
                <w:tcPr>
                  <w:tcW w:w="1190" w:type="dxa"/>
                  <w:noWrap w:val="0"/>
                  <w:vAlign w:val="center"/>
                </w:tcPr>
                <w:p w14:paraId="18C63BDA">
                  <w:pPr>
                    <w:numPr>
                      <w:ilvl w:val="0"/>
                      <w:numId w:val="0"/>
                    </w:numPr>
                    <w:bidi w:val="0"/>
                    <w:spacing w:line="240" w:lineRule="auto"/>
                    <w:ind w:left="0" w:leftChars="0" w:firstLine="0" w:firstLineChars="0"/>
                    <w:jc w:val="center"/>
                    <w:rPr>
                      <w:rFonts w:hint="default"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t/a</w:t>
                  </w:r>
                </w:p>
              </w:tc>
              <w:tc>
                <w:tcPr>
                  <w:tcW w:w="2266" w:type="dxa"/>
                  <w:noWrap w:val="0"/>
                  <w:vAlign w:val="center"/>
                </w:tcPr>
                <w:p w14:paraId="64AF1095">
                  <w:pPr>
                    <w:numPr>
                      <w:ilvl w:val="0"/>
                      <w:numId w:val="0"/>
                    </w:numPr>
                    <w:bidi w:val="0"/>
                    <w:spacing w:line="240" w:lineRule="auto"/>
                    <w:ind w:left="0" w:leftChars="0" w:firstLine="0" w:firstLineChars="0"/>
                    <w:jc w:val="center"/>
                    <w:rPr>
                      <w:rFonts w:hint="default" w:ascii="Times New Roman" w:hAnsi="Times New Roman" w:eastAsia="宋体" w:cs="Times New Roman"/>
                      <w:b w:val="0"/>
                      <w:bCs w:val="0"/>
                      <w:color w:val="auto"/>
                      <w:sz w:val="21"/>
                      <w:szCs w:val="21"/>
                      <w:vertAlign w:val="baseline"/>
                      <w:lang w:val="en-US" w:eastAsia="zh-CN"/>
                    </w:rPr>
                  </w:pPr>
                  <w:r>
                    <w:rPr>
                      <w:rFonts w:hint="eastAsia" w:cs="Times New Roman"/>
                      <w:i w:val="0"/>
                      <w:iCs w:val="0"/>
                      <w:color w:val="auto"/>
                      <w:kern w:val="0"/>
                      <w:sz w:val="21"/>
                      <w:szCs w:val="21"/>
                      <w:u w:val="none"/>
                      <w:lang w:val="en-US" w:eastAsia="zh-CN" w:bidi="ar"/>
                    </w:rPr>
                    <w:t>0.026</w:t>
                  </w:r>
                </w:p>
              </w:tc>
            </w:tr>
          </w:tbl>
          <w:p w14:paraId="5EE85015">
            <w:pPr>
              <w:bidi w:val="0"/>
              <w:spacing w:line="360" w:lineRule="auto"/>
              <w:rPr>
                <w:rFonts w:hint="default" w:ascii="Times New Roman" w:hAnsi="Times New Roman" w:eastAsia="宋体" w:cs="Times New Roman"/>
                <w:color w:val="auto"/>
                <w:sz w:val="24"/>
                <w:szCs w:val="24"/>
                <w:lang w:val="en-US" w:eastAsia="zh-CN"/>
              </w:rPr>
            </w:pPr>
          </w:p>
        </w:tc>
      </w:tr>
    </w:tbl>
    <w:p w14:paraId="1BC580AC">
      <w:pPr>
        <w:spacing w:line="360" w:lineRule="auto"/>
        <w:rPr>
          <w:rFonts w:hint="default" w:ascii="Times New Roman" w:hAnsi="Times New Roman" w:eastAsia="宋体" w:cs="Times New Roman"/>
          <w:b/>
          <w:bCs/>
          <w:color w:val="auto"/>
          <w:kern w:val="28"/>
          <w:sz w:val="28"/>
          <w:szCs w:val="28"/>
        </w:rPr>
        <w:sectPr>
          <w:pgSz w:w="11906" w:h="16838"/>
          <w:pgMar w:top="1587" w:right="1417" w:bottom="1587" w:left="1417" w:header="851" w:footer="992" w:gutter="0"/>
          <w:pgBorders>
            <w:top w:val="none" w:sz="0" w:space="0"/>
            <w:left w:val="none" w:sz="0" w:space="0"/>
            <w:bottom w:val="none" w:sz="0" w:space="0"/>
            <w:right w:val="none" w:sz="0" w:space="0"/>
          </w:pgBorders>
          <w:pgNumType w:fmt="decimal"/>
          <w:cols w:space="0" w:num="1"/>
          <w:rtlGutter w:val="0"/>
          <w:docGrid w:type="lines" w:linePitch="312" w:charSpace="0"/>
        </w:sectPr>
      </w:pPr>
    </w:p>
    <w:p w14:paraId="1544A012">
      <w:pPr>
        <w:spacing w:line="360" w:lineRule="auto"/>
        <w:jc w:val="center"/>
        <w:rPr>
          <w:rFonts w:hint="default" w:ascii="Times New Roman" w:hAnsi="Times New Roman" w:eastAsia="宋体" w:cs="Times New Roman"/>
          <w:b/>
          <w:bCs/>
          <w:color w:val="auto"/>
          <w:kern w:val="28"/>
          <w:sz w:val="28"/>
          <w:szCs w:val="28"/>
        </w:rPr>
      </w:pPr>
      <w:r>
        <w:rPr>
          <w:rFonts w:hint="eastAsia" w:ascii="Times New Roman" w:hAnsi="Times New Roman" w:eastAsia="宋体" w:cs="Times New Roman"/>
          <w:b/>
          <w:bCs/>
          <w:color w:val="auto"/>
          <w:kern w:val="28"/>
          <w:sz w:val="28"/>
          <w:szCs w:val="28"/>
          <w:lang w:val="en-US" w:eastAsia="zh-CN"/>
        </w:rPr>
        <w:t>四</w:t>
      </w:r>
      <w:r>
        <w:rPr>
          <w:rFonts w:hint="eastAsia" w:cs="Times New Roman"/>
          <w:b/>
          <w:bCs/>
          <w:color w:val="auto"/>
          <w:kern w:val="28"/>
          <w:sz w:val="28"/>
          <w:szCs w:val="28"/>
          <w:lang w:val="en-US" w:eastAsia="zh-CN"/>
        </w:rPr>
        <w:t>、</w:t>
      </w:r>
      <w:r>
        <w:rPr>
          <w:rFonts w:hint="eastAsia" w:ascii="Times New Roman" w:hAnsi="Times New Roman" w:eastAsia="宋体" w:cs="Times New Roman"/>
          <w:b/>
          <w:bCs/>
          <w:color w:val="auto"/>
          <w:kern w:val="28"/>
          <w:sz w:val="28"/>
          <w:szCs w:val="28"/>
          <w:lang w:val="en-US" w:eastAsia="zh-CN"/>
        </w:rPr>
        <w:t>主要环境影响和保护措施</w:t>
      </w:r>
    </w:p>
    <w:tbl>
      <w:tblPr>
        <w:tblStyle w:val="28"/>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16"/>
        <w:gridCol w:w="8539"/>
      </w:tblGrid>
      <w:tr w14:paraId="19F283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116" w:type="dxa"/>
            <w:noWrap w:val="0"/>
            <w:vAlign w:val="center"/>
          </w:tcPr>
          <w:p w14:paraId="11448D2A">
            <w:pPr>
              <w:bidi w:val="0"/>
              <w:spacing w:line="360" w:lineRule="auto"/>
              <w:jc w:val="center"/>
              <w:rPr>
                <w:rFonts w:hint="default" w:ascii="Times New Roman" w:hAnsi="Times New Roman" w:eastAsia="宋体" w:cs="Times New Roman"/>
                <w:sz w:val="24"/>
                <w:szCs w:val="24"/>
                <w:lang w:val="en-US" w:eastAsia="zh-CN"/>
              </w:rPr>
            </w:pPr>
            <w:r>
              <w:rPr>
                <w:rFonts w:hint="default" w:ascii="Times New Roman" w:hAnsi="Times New Roman" w:eastAsia="宋体" w:cs="Times New Roman"/>
                <w:b/>
                <w:bCs/>
                <w:sz w:val="24"/>
                <w:szCs w:val="24"/>
                <w:lang w:val="en-US" w:eastAsia="zh-CN"/>
              </w:rPr>
              <w:t>施工期环境保护措施</w:t>
            </w:r>
          </w:p>
        </w:tc>
        <w:tc>
          <w:tcPr>
            <w:tcW w:w="8539" w:type="dxa"/>
            <w:noWrap w:val="0"/>
            <w:vAlign w:val="center"/>
          </w:tcPr>
          <w:p w14:paraId="4C70BE28">
            <w:pPr>
              <w:numPr>
                <w:ilvl w:val="0"/>
                <w:numId w:val="0"/>
              </w:numPr>
              <w:spacing w:line="360" w:lineRule="auto"/>
              <w:ind w:firstLine="480" w:firstLineChars="200"/>
              <w:jc w:val="both"/>
              <w:rPr>
                <w:rFonts w:hint="default" w:ascii="Times New Roman" w:hAnsi="Times New Roman" w:eastAsia="宋体" w:cs="Times New Roman"/>
                <w:sz w:val="24"/>
                <w:szCs w:val="24"/>
                <w:lang w:val="en-US" w:eastAsia="zh-CN"/>
              </w:rPr>
            </w:pPr>
            <w:r>
              <w:rPr>
                <w:rFonts w:hint="eastAsia" w:ascii="Times New Roman" w:hAnsi="Times New Roman" w:eastAsia="宋体" w:cs="Times New Roman"/>
                <w:b w:val="0"/>
                <w:bCs w:val="0"/>
                <w:sz w:val="24"/>
                <w:szCs w:val="24"/>
                <w:lang w:val="en-US" w:eastAsia="zh-CN"/>
              </w:rPr>
              <w:t>本项目</w:t>
            </w:r>
            <w:r>
              <w:rPr>
                <w:rFonts w:hint="eastAsia" w:cs="Times New Roman"/>
                <w:b w:val="0"/>
                <w:bCs w:val="0"/>
                <w:sz w:val="24"/>
                <w:szCs w:val="24"/>
                <w:lang w:val="en-US" w:eastAsia="zh-CN"/>
              </w:rPr>
              <w:t>租赁</w:t>
            </w:r>
            <w:r>
              <w:rPr>
                <w:rFonts w:hint="eastAsia" w:ascii="Times New Roman" w:hAnsi="Times New Roman" w:eastAsia="宋体" w:cs="Times New Roman"/>
                <w:b w:val="0"/>
                <w:bCs w:val="0"/>
                <w:sz w:val="24"/>
                <w:szCs w:val="24"/>
                <w:lang w:val="en-US" w:eastAsia="zh-CN"/>
              </w:rPr>
              <w:t>已建厂房进行建设，厂房及配套设施均已建成，在已建厂房内进行生产车间的内部调整分区及购置安装生产设备，无其它土建及房建工程，不存在</w:t>
            </w:r>
            <w:r>
              <w:rPr>
                <w:rFonts w:hint="eastAsia" w:cs="Times New Roman"/>
                <w:b w:val="0"/>
                <w:bCs w:val="0"/>
                <w:sz w:val="24"/>
                <w:szCs w:val="24"/>
                <w:lang w:val="en-US" w:eastAsia="zh-CN"/>
              </w:rPr>
              <w:t>明显</w:t>
            </w:r>
            <w:r>
              <w:rPr>
                <w:rFonts w:hint="eastAsia" w:ascii="Times New Roman" w:hAnsi="Times New Roman" w:eastAsia="宋体" w:cs="Times New Roman"/>
                <w:b w:val="0"/>
                <w:bCs w:val="0"/>
                <w:sz w:val="24"/>
                <w:szCs w:val="24"/>
                <w:lang w:val="en-US" w:eastAsia="zh-CN"/>
              </w:rPr>
              <w:t>施工期环境影响，故本次评价不对施工期进行环境影响评价。</w:t>
            </w:r>
          </w:p>
        </w:tc>
      </w:tr>
      <w:tr w14:paraId="6D0FEF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98" w:hRule="atLeast"/>
          <w:jc w:val="center"/>
        </w:trPr>
        <w:tc>
          <w:tcPr>
            <w:tcW w:w="1116" w:type="dxa"/>
            <w:noWrap w:val="0"/>
            <w:vAlign w:val="center"/>
          </w:tcPr>
          <w:p w14:paraId="6A54BBB1">
            <w:pPr>
              <w:bidi w:val="0"/>
              <w:spacing w:line="360" w:lineRule="auto"/>
              <w:jc w:val="center"/>
              <w:rPr>
                <w:rFonts w:hint="default" w:ascii="Times New Roman" w:hAnsi="Times New Roman" w:eastAsia="宋体" w:cs="Times New Roman"/>
                <w:sz w:val="24"/>
                <w:szCs w:val="24"/>
                <w:lang w:val="en-US" w:eastAsia="zh-CN"/>
              </w:rPr>
            </w:pPr>
            <w:r>
              <w:rPr>
                <w:rFonts w:hint="default" w:ascii="Times New Roman" w:hAnsi="Times New Roman" w:eastAsia="宋体" w:cs="Times New Roman"/>
                <w:b/>
                <w:bCs/>
                <w:sz w:val="24"/>
                <w:szCs w:val="24"/>
                <w:lang w:val="en-US" w:eastAsia="zh-CN"/>
              </w:rPr>
              <w:t>运营期环境影响和保护措施</w:t>
            </w:r>
          </w:p>
        </w:tc>
        <w:tc>
          <w:tcPr>
            <w:tcW w:w="8539" w:type="dxa"/>
            <w:noWrap w:val="0"/>
            <w:vAlign w:val="center"/>
          </w:tcPr>
          <w:p w14:paraId="0BC93B4D">
            <w:pPr>
              <w:numPr>
                <w:ilvl w:val="0"/>
                <w:numId w:val="50"/>
              </w:numPr>
              <w:bidi w:val="0"/>
              <w:spacing w:line="360" w:lineRule="auto"/>
              <w:ind w:firstLine="482" w:firstLineChars="200"/>
              <w:rPr>
                <w:rFonts w:hint="default" w:ascii="Times New Roman" w:hAnsi="Times New Roman" w:eastAsia="宋体" w:cs="Times New Roman"/>
                <w:b/>
                <w:bCs/>
                <w:sz w:val="24"/>
                <w:szCs w:val="24"/>
                <w:lang w:val="en-US" w:eastAsia="zh-CN"/>
              </w:rPr>
            </w:pPr>
            <w:r>
              <w:rPr>
                <w:rFonts w:hint="default" w:ascii="Times New Roman" w:hAnsi="Times New Roman" w:eastAsia="宋体" w:cs="Times New Roman"/>
                <w:b/>
                <w:bCs/>
                <w:sz w:val="24"/>
                <w:szCs w:val="24"/>
                <w:lang w:val="en-US" w:eastAsia="zh-CN"/>
              </w:rPr>
              <w:t>营运期污染物治理及排放</w:t>
            </w:r>
          </w:p>
          <w:p w14:paraId="1A664A96">
            <w:pPr>
              <w:numPr>
                <w:ilvl w:val="0"/>
                <w:numId w:val="51"/>
              </w:numPr>
              <w:bidi w:val="0"/>
              <w:spacing w:line="360" w:lineRule="auto"/>
              <w:ind w:firstLine="482" w:firstLineChars="200"/>
              <w:rPr>
                <w:rFonts w:hint="eastAsia" w:ascii="Times New Roman" w:hAnsi="Times New Roman" w:eastAsia="宋体" w:cs="Times New Roman"/>
                <w:b/>
                <w:bCs/>
                <w:sz w:val="24"/>
                <w:szCs w:val="24"/>
                <w:lang w:val="en-US" w:eastAsia="zh-CN"/>
              </w:rPr>
            </w:pPr>
            <w:r>
              <w:rPr>
                <w:rFonts w:hint="default" w:ascii="Times New Roman" w:hAnsi="Times New Roman" w:eastAsia="宋体" w:cs="Times New Roman"/>
                <w:b/>
                <w:bCs/>
                <w:sz w:val="24"/>
                <w:szCs w:val="24"/>
                <w:lang w:val="en-US" w:eastAsia="zh-CN"/>
              </w:rPr>
              <w:t>废水</w:t>
            </w:r>
          </w:p>
          <w:p w14:paraId="6A7633FD">
            <w:pPr>
              <w:numPr>
                <w:ilvl w:val="0"/>
                <w:numId w:val="52"/>
              </w:numPr>
              <w:bidi w:val="0"/>
              <w:spacing w:line="360" w:lineRule="auto"/>
              <w:ind w:firstLine="482" w:firstLineChars="200"/>
              <w:rPr>
                <w:rFonts w:hint="eastAsia" w:ascii="Times New Roman" w:hAnsi="Times New Roman" w:eastAsia="宋体" w:cs="Times New Roman"/>
                <w:b/>
                <w:bCs/>
                <w:sz w:val="24"/>
                <w:szCs w:val="24"/>
                <w:lang w:val="en-US" w:eastAsia="zh-CN"/>
              </w:rPr>
            </w:pPr>
            <w:r>
              <w:rPr>
                <w:rFonts w:hint="eastAsia" w:ascii="Times New Roman" w:hAnsi="Times New Roman" w:eastAsia="宋体" w:cs="Times New Roman"/>
                <w:b/>
                <w:bCs/>
                <w:sz w:val="24"/>
                <w:szCs w:val="24"/>
                <w:lang w:val="en-US" w:eastAsia="zh-CN"/>
              </w:rPr>
              <w:t>废水类别及污染物种类</w:t>
            </w:r>
          </w:p>
          <w:p w14:paraId="5693CFFA">
            <w:pPr>
              <w:numPr>
                <w:ilvl w:val="0"/>
                <w:numId w:val="0"/>
              </w:numPr>
              <w:bidi w:val="0"/>
              <w:spacing w:line="360" w:lineRule="auto"/>
              <w:ind w:firstLine="480" w:firstLineChars="200"/>
              <w:rPr>
                <w:rFonts w:hint="eastAsia" w:cs="Times New Roman"/>
                <w:sz w:val="24"/>
                <w:szCs w:val="24"/>
                <w:lang w:val="en-US" w:eastAsia="zh-CN"/>
              </w:rPr>
            </w:pPr>
            <w:r>
              <w:rPr>
                <w:rFonts w:hint="eastAsia" w:ascii="Times New Roman" w:hAnsi="Times New Roman" w:eastAsia="宋体" w:cs="Times New Roman"/>
                <w:sz w:val="24"/>
                <w:szCs w:val="24"/>
                <w:lang w:val="en-US" w:eastAsia="zh-CN"/>
              </w:rPr>
              <w:t>根据废水处理“分类收集、分质处理”的原则；</w:t>
            </w:r>
            <w:r>
              <w:rPr>
                <w:rFonts w:hint="eastAsia" w:cs="Times New Roman"/>
                <w:sz w:val="24"/>
                <w:szCs w:val="24"/>
                <w:lang w:val="en-US" w:eastAsia="zh-CN"/>
              </w:rPr>
              <w:t>本</w:t>
            </w:r>
            <w:r>
              <w:rPr>
                <w:rFonts w:hint="eastAsia" w:ascii="Times New Roman" w:hAnsi="Times New Roman" w:eastAsia="宋体" w:cs="Times New Roman"/>
                <w:sz w:val="24"/>
                <w:szCs w:val="24"/>
                <w:lang w:val="en-US" w:eastAsia="zh-CN"/>
              </w:rPr>
              <w:t>项目</w:t>
            </w:r>
            <w:r>
              <w:rPr>
                <w:rFonts w:hint="eastAsia" w:cs="Times New Roman"/>
                <w:sz w:val="24"/>
                <w:szCs w:val="24"/>
                <w:lang w:val="en-US" w:eastAsia="zh-CN"/>
              </w:rPr>
              <w:t>无</w:t>
            </w:r>
            <w:r>
              <w:rPr>
                <w:rFonts w:hint="eastAsia" w:ascii="Times New Roman" w:hAnsi="Times New Roman" w:eastAsia="宋体" w:cs="Times New Roman"/>
                <w:sz w:val="24"/>
                <w:szCs w:val="24"/>
                <w:lang w:val="en-US" w:eastAsia="zh-CN"/>
              </w:rPr>
              <w:t>生产废水</w:t>
            </w:r>
            <w:r>
              <w:rPr>
                <w:rFonts w:hint="eastAsia" w:cs="Times New Roman"/>
                <w:sz w:val="24"/>
                <w:szCs w:val="24"/>
                <w:lang w:val="en-US" w:eastAsia="zh-CN"/>
              </w:rPr>
              <w:t>外排，运营期废水主要为生活废水，产生量为119.0t/a。参照《排放源统计调查产排污核算方法和系数手册》（生态环境部公告2021年第24号）其中的《生活污染源产排污系数手册》，污水水质情况见下表表4-1。</w:t>
            </w:r>
          </w:p>
          <w:p w14:paraId="61769F0A">
            <w:pPr>
              <w:numPr>
                <w:ilvl w:val="0"/>
                <w:numId w:val="0"/>
              </w:numPr>
              <w:bidi w:val="0"/>
              <w:spacing w:line="360" w:lineRule="auto"/>
              <w:jc w:val="center"/>
              <w:rPr>
                <w:rFonts w:hint="eastAsia" w:cs="Times New Roman"/>
                <w:b/>
                <w:bCs/>
                <w:sz w:val="21"/>
                <w:szCs w:val="21"/>
                <w:vertAlign w:val="baseline"/>
                <w:lang w:val="en-US" w:eastAsia="zh-CN"/>
              </w:rPr>
            </w:pPr>
            <w:r>
              <w:rPr>
                <w:rFonts w:hint="eastAsia" w:cs="Times New Roman"/>
                <w:b/>
                <w:bCs/>
                <w:sz w:val="21"/>
                <w:szCs w:val="21"/>
                <w:lang w:val="en-US" w:eastAsia="zh-CN"/>
              </w:rPr>
              <w:t>表4-1 项目污水水质一览表</w:t>
            </w:r>
          </w:p>
          <w:tbl>
            <w:tblPr>
              <w:tblStyle w:val="28"/>
              <w:tblW w:w="829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85"/>
              <w:gridCol w:w="1941"/>
              <w:gridCol w:w="944"/>
              <w:gridCol w:w="944"/>
              <w:gridCol w:w="944"/>
              <w:gridCol w:w="944"/>
              <w:gridCol w:w="944"/>
              <w:gridCol w:w="948"/>
            </w:tblGrid>
            <w:tr w14:paraId="3DAAFF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626" w:type="dxa"/>
                  <w:gridSpan w:val="2"/>
                  <w:vAlign w:val="center"/>
                </w:tcPr>
                <w:p w14:paraId="15F278C7">
                  <w:pPr>
                    <w:numPr>
                      <w:ilvl w:val="0"/>
                      <w:numId w:val="0"/>
                    </w:numPr>
                    <w:bidi w:val="0"/>
                    <w:spacing w:line="240" w:lineRule="auto"/>
                    <w:jc w:val="center"/>
                    <w:rPr>
                      <w:rFonts w:hint="eastAsia" w:cs="Times New Roman"/>
                      <w:b w:val="0"/>
                      <w:bCs w:val="0"/>
                      <w:sz w:val="21"/>
                      <w:szCs w:val="21"/>
                      <w:vertAlign w:val="baseline"/>
                      <w:lang w:val="en-US" w:eastAsia="zh-CN"/>
                    </w:rPr>
                  </w:pPr>
                  <w:r>
                    <w:rPr>
                      <w:rFonts w:hint="eastAsia" w:cs="Times New Roman"/>
                      <w:b w:val="0"/>
                      <w:bCs w:val="0"/>
                      <w:sz w:val="21"/>
                      <w:szCs w:val="21"/>
                      <w:vertAlign w:val="baseline"/>
                      <w:lang w:val="en-US" w:eastAsia="zh-CN"/>
                    </w:rPr>
                    <w:t>产排污环节</w:t>
                  </w:r>
                </w:p>
              </w:tc>
              <w:tc>
                <w:tcPr>
                  <w:tcW w:w="5668" w:type="dxa"/>
                  <w:gridSpan w:val="6"/>
                  <w:vAlign w:val="center"/>
                </w:tcPr>
                <w:p w14:paraId="5DB53035">
                  <w:pPr>
                    <w:numPr>
                      <w:ilvl w:val="0"/>
                      <w:numId w:val="0"/>
                    </w:numPr>
                    <w:bidi w:val="0"/>
                    <w:spacing w:line="240" w:lineRule="auto"/>
                    <w:jc w:val="center"/>
                    <w:rPr>
                      <w:rFonts w:hint="eastAsia" w:cs="Times New Roman"/>
                      <w:b w:val="0"/>
                      <w:bCs w:val="0"/>
                      <w:sz w:val="21"/>
                      <w:szCs w:val="21"/>
                      <w:vertAlign w:val="baseline"/>
                      <w:lang w:val="en-US" w:eastAsia="zh-CN"/>
                    </w:rPr>
                  </w:pPr>
                  <w:r>
                    <w:rPr>
                      <w:rFonts w:hint="eastAsia"/>
                      <w:b w:val="0"/>
                      <w:bCs w:val="0"/>
                    </w:rPr>
                    <w:t>员工工作</w:t>
                  </w:r>
                </w:p>
              </w:tc>
            </w:tr>
            <w:tr w14:paraId="1D5476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626" w:type="dxa"/>
                  <w:gridSpan w:val="2"/>
                  <w:vAlign w:val="center"/>
                </w:tcPr>
                <w:p w14:paraId="37159B33">
                  <w:pPr>
                    <w:numPr>
                      <w:ilvl w:val="0"/>
                      <w:numId w:val="0"/>
                    </w:numPr>
                    <w:bidi w:val="0"/>
                    <w:spacing w:line="240" w:lineRule="auto"/>
                    <w:jc w:val="center"/>
                    <w:rPr>
                      <w:rFonts w:hint="eastAsia" w:cs="Times New Roman"/>
                      <w:b w:val="0"/>
                      <w:bCs w:val="0"/>
                      <w:sz w:val="21"/>
                      <w:szCs w:val="21"/>
                      <w:vertAlign w:val="baseline"/>
                      <w:lang w:val="en-US" w:eastAsia="zh-CN"/>
                    </w:rPr>
                  </w:pPr>
                  <w:r>
                    <w:rPr>
                      <w:rFonts w:hint="eastAsia" w:cs="Times New Roman"/>
                      <w:b w:val="0"/>
                      <w:bCs w:val="0"/>
                      <w:sz w:val="21"/>
                      <w:szCs w:val="21"/>
                      <w:vertAlign w:val="baseline"/>
                      <w:lang w:val="en-US" w:eastAsia="zh-CN"/>
                    </w:rPr>
                    <w:t>类别</w:t>
                  </w:r>
                </w:p>
              </w:tc>
              <w:tc>
                <w:tcPr>
                  <w:tcW w:w="5668" w:type="dxa"/>
                  <w:gridSpan w:val="6"/>
                  <w:vAlign w:val="center"/>
                </w:tcPr>
                <w:p w14:paraId="1745D80A">
                  <w:pPr>
                    <w:numPr>
                      <w:ilvl w:val="0"/>
                      <w:numId w:val="0"/>
                    </w:numPr>
                    <w:bidi w:val="0"/>
                    <w:spacing w:line="240" w:lineRule="auto"/>
                    <w:jc w:val="center"/>
                    <w:rPr>
                      <w:rFonts w:hint="eastAsia" w:cs="Times New Roman"/>
                      <w:b w:val="0"/>
                      <w:bCs w:val="0"/>
                      <w:sz w:val="21"/>
                      <w:szCs w:val="21"/>
                      <w:vertAlign w:val="baseline"/>
                      <w:lang w:val="en-US" w:eastAsia="zh-CN"/>
                    </w:rPr>
                  </w:pPr>
                  <w:r>
                    <w:rPr>
                      <w:rFonts w:hint="eastAsia" w:cs="Times New Roman"/>
                      <w:b w:val="0"/>
                      <w:bCs w:val="0"/>
                      <w:sz w:val="21"/>
                      <w:szCs w:val="21"/>
                      <w:vertAlign w:val="baseline"/>
                      <w:lang w:val="en-US" w:eastAsia="zh-CN"/>
                    </w:rPr>
                    <w:t>生活污水</w:t>
                  </w:r>
                </w:p>
              </w:tc>
            </w:tr>
            <w:tr w14:paraId="5133A6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626" w:type="dxa"/>
                  <w:gridSpan w:val="2"/>
                  <w:vAlign w:val="center"/>
                </w:tcPr>
                <w:p w14:paraId="33EEA36B">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污染物种类</w:t>
                  </w:r>
                </w:p>
              </w:tc>
              <w:tc>
                <w:tcPr>
                  <w:tcW w:w="944" w:type="dxa"/>
                  <w:vAlign w:val="center"/>
                </w:tcPr>
                <w:p w14:paraId="701D92D7">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COD</w:t>
                  </w:r>
                  <w:r>
                    <w:rPr>
                      <w:rFonts w:hint="default" w:ascii="Times New Roman" w:hAnsi="Times New Roman" w:eastAsia="宋体" w:cs="Times New Roman"/>
                      <w:sz w:val="21"/>
                      <w:szCs w:val="21"/>
                      <w:vertAlign w:val="subscript"/>
                      <w:lang w:val="en-US" w:eastAsia="zh-CN"/>
                    </w:rPr>
                    <w:t>Cr</w:t>
                  </w:r>
                </w:p>
              </w:tc>
              <w:tc>
                <w:tcPr>
                  <w:tcW w:w="944" w:type="dxa"/>
                  <w:vAlign w:val="center"/>
                </w:tcPr>
                <w:p w14:paraId="1DAD36CA">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BOD</w:t>
                  </w:r>
                  <w:r>
                    <w:rPr>
                      <w:rFonts w:hint="default" w:ascii="Times New Roman" w:hAnsi="Times New Roman" w:eastAsia="宋体" w:cs="Times New Roman"/>
                      <w:sz w:val="21"/>
                      <w:szCs w:val="21"/>
                      <w:vertAlign w:val="subscript"/>
                      <w:lang w:val="en-US" w:eastAsia="zh-CN"/>
                    </w:rPr>
                    <w:t>5</w:t>
                  </w:r>
                </w:p>
              </w:tc>
              <w:tc>
                <w:tcPr>
                  <w:tcW w:w="944" w:type="dxa"/>
                  <w:vAlign w:val="center"/>
                </w:tcPr>
                <w:p w14:paraId="4BBA3DD5">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SS</w:t>
                  </w:r>
                </w:p>
              </w:tc>
              <w:tc>
                <w:tcPr>
                  <w:tcW w:w="944" w:type="dxa"/>
                  <w:vAlign w:val="center"/>
                </w:tcPr>
                <w:p w14:paraId="236087B7">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TN</w:t>
                  </w:r>
                </w:p>
              </w:tc>
              <w:tc>
                <w:tcPr>
                  <w:tcW w:w="944" w:type="dxa"/>
                  <w:vAlign w:val="center"/>
                </w:tcPr>
                <w:p w14:paraId="039D866F">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TP</w:t>
                  </w:r>
                </w:p>
              </w:tc>
              <w:tc>
                <w:tcPr>
                  <w:tcW w:w="948" w:type="dxa"/>
                  <w:vAlign w:val="center"/>
                </w:tcPr>
                <w:p w14:paraId="50FF57FD">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NH</w:t>
                  </w:r>
                  <w:r>
                    <w:rPr>
                      <w:rFonts w:hint="default" w:ascii="Times New Roman" w:hAnsi="Times New Roman" w:eastAsia="宋体" w:cs="Times New Roman"/>
                      <w:sz w:val="21"/>
                      <w:szCs w:val="21"/>
                      <w:vertAlign w:val="subscript"/>
                      <w:lang w:val="en-US" w:eastAsia="zh-CN"/>
                    </w:rPr>
                    <w:t>3</w:t>
                  </w:r>
                  <w:r>
                    <w:rPr>
                      <w:rFonts w:hint="default" w:ascii="Times New Roman" w:hAnsi="Times New Roman" w:eastAsia="宋体" w:cs="Times New Roman"/>
                      <w:sz w:val="21"/>
                      <w:szCs w:val="21"/>
                      <w:vertAlign w:val="baseline"/>
                      <w:lang w:val="en-US" w:eastAsia="zh-CN"/>
                    </w:rPr>
                    <w:t>-N</w:t>
                  </w:r>
                </w:p>
              </w:tc>
            </w:tr>
            <w:tr w14:paraId="343034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85" w:type="dxa"/>
                  <w:vMerge w:val="restart"/>
                  <w:vAlign w:val="center"/>
                </w:tcPr>
                <w:p w14:paraId="19514716">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污染物</w:t>
                  </w:r>
                </w:p>
                <w:p w14:paraId="20E6B84E">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产生</w:t>
                  </w:r>
                </w:p>
              </w:tc>
              <w:tc>
                <w:tcPr>
                  <w:tcW w:w="1941" w:type="dxa"/>
                  <w:vAlign w:val="center"/>
                </w:tcPr>
                <w:p w14:paraId="5F3BC1A1">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废水产生量（t/a</w:t>
                  </w:r>
                  <w:r>
                    <w:rPr>
                      <w:rFonts w:hint="eastAsia" w:cs="Times New Roman"/>
                      <w:sz w:val="21"/>
                      <w:szCs w:val="21"/>
                      <w:vertAlign w:val="baseline"/>
                      <w:lang w:val="en-US" w:eastAsia="zh-CN"/>
                    </w:rPr>
                    <w:t>）</w:t>
                  </w:r>
                </w:p>
              </w:tc>
              <w:tc>
                <w:tcPr>
                  <w:tcW w:w="5668" w:type="dxa"/>
                  <w:gridSpan w:val="6"/>
                  <w:vAlign w:val="center"/>
                </w:tcPr>
                <w:p w14:paraId="3AD6DCFA">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eastAsia" w:cs="Times New Roman"/>
                      <w:sz w:val="21"/>
                      <w:szCs w:val="21"/>
                      <w:vertAlign w:val="baseline"/>
                      <w:lang w:val="en-US" w:eastAsia="zh-CN"/>
                    </w:rPr>
                    <w:t>119.0</w:t>
                  </w:r>
                </w:p>
              </w:tc>
            </w:tr>
            <w:tr w14:paraId="14E0CD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85" w:type="dxa"/>
                  <w:vMerge w:val="continue"/>
                  <w:vAlign w:val="center"/>
                </w:tcPr>
                <w:p w14:paraId="0F15E6A1">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p>
              </w:tc>
              <w:tc>
                <w:tcPr>
                  <w:tcW w:w="1941" w:type="dxa"/>
                  <w:vAlign w:val="center"/>
                </w:tcPr>
                <w:p w14:paraId="2461792A">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产生浓度（mg/L</w:t>
                  </w:r>
                  <w:r>
                    <w:rPr>
                      <w:rFonts w:hint="eastAsia" w:cs="Times New Roman"/>
                      <w:sz w:val="21"/>
                      <w:szCs w:val="21"/>
                      <w:vertAlign w:val="baseline"/>
                      <w:lang w:val="en-US" w:eastAsia="zh-CN"/>
                    </w:rPr>
                    <w:t>）</w:t>
                  </w:r>
                </w:p>
              </w:tc>
              <w:tc>
                <w:tcPr>
                  <w:tcW w:w="944" w:type="dxa"/>
                  <w:vAlign w:val="center"/>
                </w:tcPr>
                <w:p w14:paraId="50D9ECCD">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285</w:t>
                  </w:r>
                </w:p>
              </w:tc>
              <w:tc>
                <w:tcPr>
                  <w:tcW w:w="944" w:type="dxa"/>
                  <w:vAlign w:val="center"/>
                </w:tcPr>
                <w:p w14:paraId="6C8EDE3E">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160</w:t>
                  </w:r>
                </w:p>
              </w:tc>
              <w:tc>
                <w:tcPr>
                  <w:tcW w:w="944" w:type="dxa"/>
                  <w:vAlign w:val="center"/>
                </w:tcPr>
                <w:p w14:paraId="1C62A031">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150</w:t>
                  </w:r>
                </w:p>
              </w:tc>
              <w:tc>
                <w:tcPr>
                  <w:tcW w:w="944" w:type="dxa"/>
                  <w:vAlign w:val="center"/>
                </w:tcPr>
                <w:p w14:paraId="4CF2DE41">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40</w:t>
                  </w:r>
                </w:p>
              </w:tc>
              <w:tc>
                <w:tcPr>
                  <w:tcW w:w="944" w:type="dxa"/>
                  <w:vAlign w:val="center"/>
                </w:tcPr>
                <w:p w14:paraId="5D3F2FD1">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4</w:t>
                  </w:r>
                </w:p>
              </w:tc>
              <w:tc>
                <w:tcPr>
                  <w:tcW w:w="948" w:type="dxa"/>
                  <w:vAlign w:val="center"/>
                </w:tcPr>
                <w:p w14:paraId="3CEAF92E">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28</w:t>
                  </w:r>
                </w:p>
              </w:tc>
            </w:tr>
            <w:tr w14:paraId="23F42F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85" w:type="dxa"/>
                  <w:vMerge w:val="continue"/>
                  <w:vAlign w:val="center"/>
                </w:tcPr>
                <w:p w14:paraId="2C136A07">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p>
              </w:tc>
              <w:tc>
                <w:tcPr>
                  <w:tcW w:w="1941" w:type="dxa"/>
                  <w:vAlign w:val="center"/>
                </w:tcPr>
                <w:p w14:paraId="135B9763">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产生量（t/a</w:t>
                  </w:r>
                  <w:r>
                    <w:rPr>
                      <w:rFonts w:hint="eastAsia" w:cs="Times New Roman"/>
                      <w:sz w:val="21"/>
                      <w:szCs w:val="21"/>
                      <w:vertAlign w:val="baseline"/>
                      <w:lang w:val="en-US" w:eastAsia="zh-CN"/>
                    </w:rPr>
                    <w:t>）</w:t>
                  </w:r>
                </w:p>
              </w:tc>
              <w:tc>
                <w:tcPr>
                  <w:tcW w:w="944" w:type="dxa"/>
                  <w:vAlign w:val="center"/>
                </w:tcPr>
                <w:p w14:paraId="4241B465">
                  <w:pPr>
                    <w:keepNext w:val="0"/>
                    <w:keepLines w:val="0"/>
                    <w:widowControl/>
                    <w:suppressLineNumbers w:val="0"/>
                    <w:jc w:val="center"/>
                    <w:textAlignment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0.034</w:t>
                  </w:r>
                </w:p>
              </w:tc>
              <w:tc>
                <w:tcPr>
                  <w:tcW w:w="944" w:type="dxa"/>
                  <w:vAlign w:val="center"/>
                </w:tcPr>
                <w:p w14:paraId="7C6C3CA6">
                  <w:pPr>
                    <w:keepNext w:val="0"/>
                    <w:keepLines w:val="0"/>
                    <w:widowControl/>
                    <w:suppressLineNumbers w:val="0"/>
                    <w:jc w:val="center"/>
                    <w:textAlignment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0.019</w:t>
                  </w:r>
                </w:p>
              </w:tc>
              <w:tc>
                <w:tcPr>
                  <w:tcW w:w="944" w:type="dxa"/>
                  <w:vAlign w:val="center"/>
                </w:tcPr>
                <w:p w14:paraId="0489791B">
                  <w:pPr>
                    <w:keepNext w:val="0"/>
                    <w:keepLines w:val="0"/>
                    <w:widowControl/>
                    <w:suppressLineNumbers w:val="0"/>
                    <w:jc w:val="center"/>
                    <w:textAlignment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0.018</w:t>
                  </w:r>
                </w:p>
              </w:tc>
              <w:tc>
                <w:tcPr>
                  <w:tcW w:w="944" w:type="dxa"/>
                  <w:vAlign w:val="center"/>
                </w:tcPr>
                <w:p w14:paraId="4E2B1354">
                  <w:pPr>
                    <w:keepNext w:val="0"/>
                    <w:keepLines w:val="0"/>
                    <w:widowControl/>
                    <w:suppressLineNumbers w:val="0"/>
                    <w:jc w:val="center"/>
                    <w:textAlignment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0.005</w:t>
                  </w:r>
                </w:p>
              </w:tc>
              <w:tc>
                <w:tcPr>
                  <w:tcW w:w="944" w:type="dxa"/>
                  <w:vAlign w:val="center"/>
                </w:tcPr>
                <w:p w14:paraId="4BD54672">
                  <w:pPr>
                    <w:keepNext w:val="0"/>
                    <w:keepLines w:val="0"/>
                    <w:widowControl/>
                    <w:suppressLineNumbers w:val="0"/>
                    <w:jc w:val="center"/>
                    <w:textAlignment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0.0005</w:t>
                  </w:r>
                </w:p>
              </w:tc>
              <w:tc>
                <w:tcPr>
                  <w:tcW w:w="948" w:type="dxa"/>
                  <w:vAlign w:val="center"/>
                </w:tcPr>
                <w:p w14:paraId="242132F4">
                  <w:pPr>
                    <w:keepNext w:val="0"/>
                    <w:keepLines w:val="0"/>
                    <w:widowControl/>
                    <w:suppressLineNumbers w:val="0"/>
                    <w:jc w:val="center"/>
                    <w:textAlignment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0.003</w:t>
                  </w:r>
                </w:p>
              </w:tc>
            </w:tr>
            <w:tr w14:paraId="44DC0F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85" w:type="dxa"/>
                  <w:vMerge w:val="restart"/>
                  <w:vAlign w:val="center"/>
                </w:tcPr>
                <w:p w14:paraId="4EC820CF">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治理措施</w:t>
                  </w:r>
                </w:p>
              </w:tc>
              <w:tc>
                <w:tcPr>
                  <w:tcW w:w="1941" w:type="dxa"/>
                  <w:vAlign w:val="center"/>
                </w:tcPr>
                <w:p w14:paraId="72751E12">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工艺</w:t>
                  </w:r>
                </w:p>
              </w:tc>
              <w:tc>
                <w:tcPr>
                  <w:tcW w:w="5668" w:type="dxa"/>
                  <w:gridSpan w:val="6"/>
                  <w:vAlign w:val="center"/>
                </w:tcPr>
                <w:p w14:paraId="24F06CFA">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预处理池</w:t>
                  </w:r>
                </w:p>
              </w:tc>
            </w:tr>
            <w:tr w14:paraId="1ABDAD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85" w:type="dxa"/>
                  <w:vMerge w:val="continue"/>
                  <w:vAlign w:val="center"/>
                </w:tcPr>
                <w:p w14:paraId="3D5DB61E">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p>
              </w:tc>
              <w:tc>
                <w:tcPr>
                  <w:tcW w:w="1941" w:type="dxa"/>
                  <w:vAlign w:val="center"/>
                </w:tcPr>
                <w:p w14:paraId="5FFBD74E">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是否为可行技术</w:t>
                  </w:r>
                </w:p>
              </w:tc>
              <w:tc>
                <w:tcPr>
                  <w:tcW w:w="5668" w:type="dxa"/>
                  <w:gridSpan w:val="6"/>
                  <w:vAlign w:val="center"/>
                </w:tcPr>
                <w:p w14:paraId="1A530560">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是</w:t>
                  </w:r>
                </w:p>
              </w:tc>
            </w:tr>
            <w:tr w14:paraId="31C044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626" w:type="dxa"/>
                  <w:gridSpan w:val="2"/>
                  <w:vAlign w:val="center"/>
                </w:tcPr>
                <w:p w14:paraId="2AF08BE8">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排放形式</w:t>
                  </w:r>
                </w:p>
              </w:tc>
              <w:tc>
                <w:tcPr>
                  <w:tcW w:w="5668" w:type="dxa"/>
                  <w:gridSpan w:val="6"/>
                  <w:vAlign w:val="center"/>
                </w:tcPr>
                <w:p w14:paraId="7C14C1B7">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间接排放</w:t>
                  </w:r>
                </w:p>
              </w:tc>
            </w:tr>
            <w:tr w14:paraId="1BF14C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85" w:type="dxa"/>
                  <w:vMerge w:val="restart"/>
                  <w:vAlign w:val="center"/>
                </w:tcPr>
                <w:p w14:paraId="289DE887">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污染物</w:t>
                  </w:r>
                </w:p>
                <w:p w14:paraId="3F186D18">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排放</w:t>
                  </w:r>
                </w:p>
              </w:tc>
              <w:tc>
                <w:tcPr>
                  <w:tcW w:w="1941" w:type="dxa"/>
                  <w:vAlign w:val="center"/>
                </w:tcPr>
                <w:p w14:paraId="5F874A13">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废水排放量（t/a</w:t>
                  </w:r>
                  <w:r>
                    <w:rPr>
                      <w:rFonts w:hint="eastAsia" w:cs="Times New Roman"/>
                      <w:sz w:val="21"/>
                      <w:szCs w:val="21"/>
                      <w:vertAlign w:val="baseline"/>
                      <w:lang w:val="en-US" w:eastAsia="zh-CN"/>
                    </w:rPr>
                    <w:t>）</w:t>
                  </w:r>
                </w:p>
              </w:tc>
              <w:tc>
                <w:tcPr>
                  <w:tcW w:w="5668" w:type="dxa"/>
                  <w:gridSpan w:val="6"/>
                  <w:vAlign w:val="center"/>
                </w:tcPr>
                <w:p w14:paraId="3E6BB816">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119.0</w:t>
                  </w:r>
                </w:p>
              </w:tc>
            </w:tr>
            <w:tr w14:paraId="4FAF08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85" w:type="dxa"/>
                  <w:vMerge w:val="continue"/>
                  <w:vAlign w:val="center"/>
                </w:tcPr>
                <w:p w14:paraId="5F5453F8">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p>
              </w:tc>
              <w:tc>
                <w:tcPr>
                  <w:tcW w:w="1941" w:type="dxa"/>
                  <w:vAlign w:val="center"/>
                </w:tcPr>
                <w:p w14:paraId="35984D8F">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排放浓度（mg/L</w:t>
                  </w:r>
                  <w:r>
                    <w:rPr>
                      <w:rFonts w:hint="eastAsia" w:cs="Times New Roman"/>
                      <w:sz w:val="21"/>
                      <w:szCs w:val="21"/>
                      <w:vertAlign w:val="baseline"/>
                      <w:lang w:val="en-US" w:eastAsia="zh-CN"/>
                    </w:rPr>
                    <w:t>）</w:t>
                  </w:r>
                </w:p>
              </w:tc>
              <w:tc>
                <w:tcPr>
                  <w:tcW w:w="944" w:type="dxa"/>
                  <w:vAlign w:val="center"/>
                </w:tcPr>
                <w:p w14:paraId="3EAAE20E">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185</w:t>
                  </w:r>
                </w:p>
              </w:tc>
              <w:tc>
                <w:tcPr>
                  <w:tcW w:w="944" w:type="dxa"/>
                  <w:vAlign w:val="center"/>
                </w:tcPr>
                <w:p w14:paraId="2174EA95">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125</w:t>
                  </w:r>
                </w:p>
              </w:tc>
              <w:tc>
                <w:tcPr>
                  <w:tcW w:w="944" w:type="dxa"/>
                  <w:vAlign w:val="center"/>
                </w:tcPr>
                <w:p w14:paraId="3B272663">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65</w:t>
                  </w:r>
                </w:p>
              </w:tc>
              <w:tc>
                <w:tcPr>
                  <w:tcW w:w="944" w:type="dxa"/>
                  <w:vAlign w:val="center"/>
                </w:tcPr>
                <w:p w14:paraId="5DE46784">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25</w:t>
                  </w:r>
                </w:p>
              </w:tc>
              <w:tc>
                <w:tcPr>
                  <w:tcW w:w="944" w:type="dxa"/>
                  <w:vAlign w:val="center"/>
                </w:tcPr>
                <w:p w14:paraId="1A877665">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2.5</w:t>
                  </w:r>
                </w:p>
              </w:tc>
              <w:tc>
                <w:tcPr>
                  <w:tcW w:w="948" w:type="dxa"/>
                  <w:vAlign w:val="center"/>
                </w:tcPr>
                <w:p w14:paraId="3BDD4856">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15</w:t>
                  </w:r>
                </w:p>
              </w:tc>
            </w:tr>
            <w:tr w14:paraId="7EAAB6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85" w:type="dxa"/>
                  <w:vMerge w:val="continue"/>
                  <w:vAlign w:val="center"/>
                </w:tcPr>
                <w:p w14:paraId="2B6DE5E8">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p>
              </w:tc>
              <w:tc>
                <w:tcPr>
                  <w:tcW w:w="1941" w:type="dxa"/>
                  <w:vAlign w:val="center"/>
                </w:tcPr>
                <w:p w14:paraId="3DA7892E">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排放量（t/a</w:t>
                  </w:r>
                  <w:r>
                    <w:rPr>
                      <w:rFonts w:hint="eastAsia" w:cs="Times New Roman"/>
                      <w:sz w:val="21"/>
                      <w:szCs w:val="21"/>
                      <w:vertAlign w:val="baseline"/>
                      <w:lang w:val="en-US" w:eastAsia="zh-CN"/>
                    </w:rPr>
                    <w:t>）</w:t>
                  </w:r>
                </w:p>
              </w:tc>
              <w:tc>
                <w:tcPr>
                  <w:tcW w:w="944" w:type="dxa"/>
                  <w:vAlign w:val="center"/>
                </w:tcPr>
                <w:p w14:paraId="4B7FA7D6">
                  <w:pPr>
                    <w:keepNext w:val="0"/>
                    <w:keepLines w:val="0"/>
                    <w:widowControl/>
                    <w:suppressLineNumbers w:val="0"/>
                    <w:jc w:val="center"/>
                    <w:textAlignment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0.022</w:t>
                  </w:r>
                </w:p>
              </w:tc>
              <w:tc>
                <w:tcPr>
                  <w:tcW w:w="944" w:type="dxa"/>
                  <w:vAlign w:val="center"/>
                </w:tcPr>
                <w:p w14:paraId="416DAB8C">
                  <w:pPr>
                    <w:keepNext w:val="0"/>
                    <w:keepLines w:val="0"/>
                    <w:widowControl/>
                    <w:suppressLineNumbers w:val="0"/>
                    <w:jc w:val="center"/>
                    <w:textAlignment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0.015</w:t>
                  </w:r>
                </w:p>
              </w:tc>
              <w:tc>
                <w:tcPr>
                  <w:tcW w:w="944" w:type="dxa"/>
                  <w:vAlign w:val="center"/>
                </w:tcPr>
                <w:p w14:paraId="44D8894E">
                  <w:pPr>
                    <w:keepNext w:val="0"/>
                    <w:keepLines w:val="0"/>
                    <w:widowControl/>
                    <w:suppressLineNumbers w:val="0"/>
                    <w:jc w:val="center"/>
                    <w:textAlignment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0.008</w:t>
                  </w:r>
                </w:p>
              </w:tc>
              <w:tc>
                <w:tcPr>
                  <w:tcW w:w="944" w:type="dxa"/>
                  <w:vAlign w:val="center"/>
                </w:tcPr>
                <w:p w14:paraId="2E10F650">
                  <w:pPr>
                    <w:keepNext w:val="0"/>
                    <w:keepLines w:val="0"/>
                    <w:widowControl/>
                    <w:suppressLineNumbers w:val="0"/>
                    <w:jc w:val="center"/>
                    <w:textAlignment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0.003</w:t>
                  </w:r>
                </w:p>
              </w:tc>
              <w:tc>
                <w:tcPr>
                  <w:tcW w:w="944" w:type="dxa"/>
                  <w:vAlign w:val="center"/>
                </w:tcPr>
                <w:p w14:paraId="7EBC71F2">
                  <w:pPr>
                    <w:keepNext w:val="0"/>
                    <w:keepLines w:val="0"/>
                    <w:widowControl/>
                    <w:suppressLineNumbers w:val="0"/>
                    <w:jc w:val="center"/>
                    <w:textAlignment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0.0003</w:t>
                  </w:r>
                </w:p>
              </w:tc>
              <w:tc>
                <w:tcPr>
                  <w:tcW w:w="948" w:type="dxa"/>
                  <w:vAlign w:val="center"/>
                </w:tcPr>
                <w:p w14:paraId="1491966D">
                  <w:pPr>
                    <w:keepNext w:val="0"/>
                    <w:keepLines w:val="0"/>
                    <w:widowControl/>
                    <w:suppressLineNumbers w:val="0"/>
                    <w:jc w:val="center"/>
                    <w:textAlignment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0.002</w:t>
                  </w:r>
                </w:p>
              </w:tc>
            </w:tr>
          </w:tbl>
          <w:p w14:paraId="16BA0294">
            <w:pPr>
              <w:numPr>
                <w:ilvl w:val="0"/>
                <w:numId w:val="0"/>
              </w:numPr>
              <w:bidi w:val="0"/>
              <w:spacing w:line="360" w:lineRule="auto"/>
              <w:ind w:firstLine="480" w:firstLineChars="200"/>
              <w:rPr>
                <w:rFonts w:hint="eastAsia" w:cs="Times New Roman"/>
                <w:sz w:val="24"/>
                <w:szCs w:val="24"/>
                <w:lang w:val="en-US" w:eastAsia="zh-CN"/>
              </w:rPr>
            </w:pPr>
            <w:r>
              <w:rPr>
                <w:rFonts w:hint="eastAsia" w:cs="Times New Roman"/>
                <w:sz w:val="24"/>
                <w:szCs w:val="24"/>
                <w:lang w:val="en-US" w:eastAsia="zh-CN"/>
              </w:rPr>
              <w:t>本项目生活污水进入厂区预处理池处理后，通过市政污水管网最终流入安居区龙眼井污水处理厂处理达（GB18918-2002）《城镇污水处理厂污染物排放标准》一级A标准后排入涪江。</w:t>
            </w:r>
          </w:p>
          <w:p w14:paraId="27F7ADF6">
            <w:pPr>
              <w:numPr>
                <w:ilvl w:val="0"/>
                <w:numId w:val="52"/>
              </w:numPr>
              <w:bidi w:val="0"/>
              <w:spacing w:line="360" w:lineRule="auto"/>
              <w:ind w:left="0" w:leftChars="0" w:firstLine="482" w:firstLineChars="200"/>
              <w:rPr>
                <w:rFonts w:hint="eastAsia" w:cs="Times New Roman"/>
                <w:b/>
                <w:bCs/>
                <w:sz w:val="24"/>
                <w:szCs w:val="24"/>
                <w:lang w:val="en-US" w:eastAsia="zh-CN"/>
              </w:rPr>
            </w:pPr>
            <w:r>
              <w:rPr>
                <w:rFonts w:hint="eastAsia" w:cs="Times New Roman"/>
                <w:b/>
                <w:bCs/>
                <w:sz w:val="24"/>
                <w:szCs w:val="24"/>
                <w:lang w:val="en-US" w:eastAsia="zh-CN"/>
              </w:rPr>
              <w:t>排放口情况</w:t>
            </w:r>
          </w:p>
          <w:p w14:paraId="22C5201D">
            <w:pPr>
              <w:numPr>
                <w:ilvl w:val="0"/>
                <w:numId w:val="0"/>
              </w:numPr>
              <w:bidi w:val="0"/>
              <w:spacing w:line="360" w:lineRule="auto"/>
              <w:ind w:firstLine="480" w:firstLineChars="200"/>
              <w:rPr>
                <w:rFonts w:hint="eastAsia" w:cs="Times New Roman"/>
                <w:sz w:val="24"/>
                <w:szCs w:val="24"/>
                <w:lang w:val="en-US" w:eastAsia="zh-CN"/>
              </w:rPr>
            </w:pPr>
            <w:r>
              <w:rPr>
                <w:rFonts w:hint="eastAsia" w:cs="Times New Roman"/>
                <w:sz w:val="24"/>
                <w:szCs w:val="24"/>
                <w:lang w:val="en-US" w:eastAsia="zh-CN"/>
              </w:rPr>
              <w:t>本项目主要外排废水为员工生活污水，属于间接排放，间接排放口基本情况如下表所示。</w:t>
            </w:r>
          </w:p>
          <w:p w14:paraId="41623F83">
            <w:pPr>
              <w:numPr>
                <w:ilvl w:val="0"/>
                <w:numId w:val="0"/>
              </w:numPr>
              <w:bidi w:val="0"/>
              <w:spacing w:line="360" w:lineRule="auto"/>
              <w:jc w:val="center"/>
              <w:rPr>
                <w:rFonts w:hint="eastAsia" w:cs="Times New Roman"/>
                <w:b/>
                <w:bCs/>
                <w:sz w:val="21"/>
                <w:szCs w:val="21"/>
                <w:vertAlign w:val="baseline"/>
                <w:lang w:val="en-US" w:eastAsia="zh-CN"/>
              </w:rPr>
            </w:pPr>
            <w:r>
              <w:rPr>
                <w:rFonts w:hint="eastAsia" w:cs="Times New Roman"/>
                <w:b/>
                <w:bCs/>
                <w:sz w:val="21"/>
                <w:szCs w:val="21"/>
                <w:lang w:val="en-US" w:eastAsia="zh-CN"/>
              </w:rPr>
              <w:t>表4-2 废水间接排放口基本情况表</w:t>
            </w:r>
          </w:p>
          <w:tbl>
            <w:tblPr>
              <w:tblStyle w:val="28"/>
              <w:tblW w:w="832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65"/>
              <w:gridCol w:w="2510"/>
              <w:gridCol w:w="830"/>
              <w:gridCol w:w="800"/>
              <w:gridCol w:w="750"/>
              <w:gridCol w:w="690"/>
              <w:gridCol w:w="810"/>
              <w:gridCol w:w="868"/>
            </w:tblGrid>
            <w:tr w14:paraId="5FD52D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3575" w:type="dxa"/>
                  <w:gridSpan w:val="2"/>
                  <w:vAlign w:val="center"/>
                </w:tcPr>
                <w:p w14:paraId="480D5255">
                  <w:pPr>
                    <w:numPr>
                      <w:ilvl w:val="0"/>
                      <w:numId w:val="0"/>
                    </w:numPr>
                    <w:bidi w:val="0"/>
                    <w:spacing w:line="240" w:lineRule="auto"/>
                    <w:jc w:val="center"/>
                    <w:rPr>
                      <w:rFonts w:hint="eastAsia" w:cs="Times New Roman"/>
                      <w:sz w:val="21"/>
                      <w:szCs w:val="21"/>
                      <w:vertAlign w:val="baseline"/>
                      <w:lang w:val="en-US" w:eastAsia="zh-CN"/>
                    </w:rPr>
                  </w:pPr>
                  <w:r>
                    <w:rPr>
                      <w:rFonts w:hint="eastAsia" w:cs="Times New Roman"/>
                      <w:sz w:val="21"/>
                      <w:szCs w:val="21"/>
                      <w:vertAlign w:val="baseline"/>
                      <w:lang w:val="en-US" w:eastAsia="zh-CN"/>
                    </w:rPr>
                    <w:t>序号</w:t>
                  </w:r>
                </w:p>
              </w:tc>
              <w:tc>
                <w:tcPr>
                  <w:tcW w:w="4748" w:type="dxa"/>
                  <w:gridSpan w:val="6"/>
                  <w:vAlign w:val="center"/>
                </w:tcPr>
                <w:p w14:paraId="48CB3DF4">
                  <w:pPr>
                    <w:numPr>
                      <w:ilvl w:val="0"/>
                      <w:numId w:val="0"/>
                    </w:numPr>
                    <w:bidi w:val="0"/>
                    <w:spacing w:line="240" w:lineRule="auto"/>
                    <w:jc w:val="center"/>
                    <w:rPr>
                      <w:rFonts w:hint="default" w:cs="Times New Roman"/>
                      <w:sz w:val="21"/>
                      <w:szCs w:val="21"/>
                      <w:vertAlign w:val="baseline"/>
                      <w:lang w:val="en-US" w:eastAsia="zh-CN"/>
                    </w:rPr>
                  </w:pPr>
                  <w:r>
                    <w:rPr>
                      <w:rFonts w:hint="eastAsia" w:cs="Times New Roman"/>
                      <w:sz w:val="21"/>
                      <w:szCs w:val="21"/>
                      <w:vertAlign w:val="baseline"/>
                      <w:lang w:val="en-US" w:eastAsia="zh-CN"/>
                    </w:rPr>
                    <w:t>1</w:t>
                  </w:r>
                </w:p>
              </w:tc>
            </w:tr>
            <w:tr w14:paraId="48CD1E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575" w:type="dxa"/>
                  <w:gridSpan w:val="2"/>
                  <w:vAlign w:val="center"/>
                </w:tcPr>
                <w:p w14:paraId="42CC5AFA">
                  <w:pPr>
                    <w:numPr>
                      <w:ilvl w:val="0"/>
                      <w:numId w:val="0"/>
                    </w:numPr>
                    <w:bidi w:val="0"/>
                    <w:spacing w:line="240" w:lineRule="auto"/>
                    <w:jc w:val="center"/>
                    <w:rPr>
                      <w:rFonts w:hint="eastAsia" w:cs="Times New Roman"/>
                      <w:sz w:val="21"/>
                      <w:szCs w:val="21"/>
                      <w:vertAlign w:val="baseline"/>
                      <w:lang w:val="en-US" w:eastAsia="zh-CN"/>
                    </w:rPr>
                  </w:pPr>
                  <w:r>
                    <w:rPr>
                      <w:rFonts w:hint="eastAsia" w:cs="Times New Roman"/>
                      <w:sz w:val="21"/>
                      <w:szCs w:val="21"/>
                      <w:vertAlign w:val="baseline"/>
                      <w:lang w:val="en-US" w:eastAsia="zh-CN"/>
                    </w:rPr>
                    <w:t>排放口编号</w:t>
                  </w:r>
                </w:p>
              </w:tc>
              <w:tc>
                <w:tcPr>
                  <w:tcW w:w="4748" w:type="dxa"/>
                  <w:gridSpan w:val="6"/>
                  <w:vAlign w:val="center"/>
                </w:tcPr>
                <w:p w14:paraId="7C503BF8">
                  <w:pPr>
                    <w:numPr>
                      <w:ilvl w:val="0"/>
                      <w:numId w:val="0"/>
                    </w:numPr>
                    <w:bidi w:val="0"/>
                    <w:spacing w:line="240" w:lineRule="auto"/>
                    <w:jc w:val="center"/>
                    <w:rPr>
                      <w:rFonts w:hint="eastAsia" w:cs="Times New Roman"/>
                      <w:sz w:val="21"/>
                      <w:szCs w:val="21"/>
                      <w:vertAlign w:val="baseline"/>
                      <w:lang w:val="en-US" w:eastAsia="zh-CN"/>
                    </w:rPr>
                  </w:pPr>
                  <w:r>
                    <w:rPr>
                      <w:rFonts w:hint="eastAsia"/>
                    </w:rPr>
                    <w:t>WS-0</w:t>
                  </w:r>
                  <w:r>
                    <w:rPr>
                      <w:rFonts w:hint="eastAsia"/>
                      <w:lang w:val="en-US" w:eastAsia="zh-CN"/>
                    </w:rPr>
                    <w:t>0</w:t>
                  </w:r>
                  <w:r>
                    <w:rPr>
                      <w:rFonts w:hint="eastAsia"/>
                    </w:rPr>
                    <w:t>1</w:t>
                  </w:r>
                </w:p>
              </w:tc>
            </w:tr>
            <w:tr w14:paraId="6B358E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3575" w:type="dxa"/>
                  <w:gridSpan w:val="2"/>
                  <w:vAlign w:val="center"/>
                </w:tcPr>
                <w:p w14:paraId="0CF7072E">
                  <w:pPr>
                    <w:numPr>
                      <w:ilvl w:val="0"/>
                      <w:numId w:val="0"/>
                    </w:numPr>
                    <w:bidi w:val="0"/>
                    <w:spacing w:line="240" w:lineRule="auto"/>
                    <w:jc w:val="center"/>
                    <w:rPr>
                      <w:rFonts w:hint="eastAsia" w:cs="Times New Roman"/>
                      <w:sz w:val="21"/>
                      <w:szCs w:val="21"/>
                      <w:vertAlign w:val="baseline"/>
                      <w:lang w:val="en-US" w:eastAsia="zh-CN"/>
                    </w:rPr>
                  </w:pPr>
                  <w:r>
                    <w:rPr>
                      <w:rFonts w:hint="eastAsia" w:cs="Times New Roman"/>
                      <w:sz w:val="21"/>
                      <w:szCs w:val="21"/>
                      <w:vertAlign w:val="baseline"/>
                      <w:lang w:val="en-US" w:eastAsia="zh-CN"/>
                    </w:rPr>
                    <w:t>排放口地理坐标</w:t>
                  </w:r>
                </w:p>
              </w:tc>
              <w:tc>
                <w:tcPr>
                  <w:tcW w:w="4748" w:type="dxa"/>
                  <w:gridSpan w:val="6"/>
                  <w:vAlign w:val="center"/>
                </w:tcPr>
                <w:p w14:paraId="182F2F5A">
                  <w:pPr>
                    <w:numPr>
                      <w:ilvl w:val="0"/>
                      <w:numId w:val="0"/>
                    </w:numPr>
                    <w:bidi w:val="0"/>
                    <w:spacing w:line="240" w:lineRule="auto"/>
                    <w:jc w:val="center"/>
                    <w:rPr>
                      <w:rFonts w:hint="eastAsia" w:cs="Times New Roman"/>
                      <w:sz w:val="21"/>
                      <w:szCs w:val="21"/>
                      <w:vertAlign w:val="baseline"/>
                      <w:lang w:val="en-US" w:eastAsia="zh-CN"/>
                    </w:rPr>
                  </w:pPr>
                  <w:r>
                    <w:rPr>
                      <w:rFonts w:hint="eastAsia" w:cs="Times New Roman"/>
                      <w:sz w:val="21"/>
                      <w:szCs w:val="21"/>
                      <w:vertAlign w:val="baseline"/>
                      <w:lang w:val="en-US" w:eastAsia="zh-CN"/>
                    </w:rPr>
                    <w:t>E 105.410407 ，N 30.82741</w:t>
                  </w:r>
                </w:p>
              </w:tc>
            </w:tr>
            <w:tr w14:paraId="15EDE0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3575" w:type="dxa"/>
                  <w:gridSpan w:val="2"/>
                  <w:vAlign w:val="center"/>
                </w:tcPr>
                <w:p w14:paraId="5A625233">
                  <w:pPr>
                    <w:numPr>
                      <w:ilvl w:val="0"/>
                      <w:numId w:val="0"/>
                    </w:numPr>
                    <w:bidi w:val="0"/>
                    <w:spacing w:line="240" w:lineRule="auto"/>
                    <w:jc w:val="center"/>
                    <w:rPr>
                      <w:rFonts w:hint="eastAsia" w:cs="Times New Roman"/>
                      <w:sz w:val="21"/>
                      <w:szCs w:val="21"/>
                      <w:vertAlign w:val="baseline"/>
                      <w:lang w:val="en-US" w:eastAsia="zh-CN"/>
                    </w:rPr>
                  </w:pPr>
                  <w:r>
                    <w:rPr>
                      <w:rFonts w:hint="eastAsia" w:cs="Times New Roman"/>
                      <w:sz w:val="21"/>
                      <w:szCs w:val="21"/>
                      <w:vertAlign w:val="baseline"/>
                      <w:lang w:val="en-US" w:eastAsia="zh-CN"/>
                    </w:rPr>
                    <w:t>废水排放量（t/a）</w:t>
                  </w:r>
                </w:p>
              </w:tc>
              <w:tc>
                <w:tcPr>
                  <w:tcW w:w="4748" w:type="dxa"/>
                  <w:gridSpan w:val="6"/>
                  <w:vAlign w:val="center"/>
                </w:tcPr>
                <w:p w14:paraId="5A649588">
                  <w:pPr>
                    <w:numPr>
                      <w:ilvl w:val="0"/>
                      <w:numId w:val="0"/>
                    </w:numPr>
                    <w:bidi w:val="0"/>
                    <w:spacing w:line="240" w:lineRule="auto"/>
                    <w:jc w:val="center"/>
                    <w:rPr>
                      <w:rFonts w:hint="default" w:cs="Times New Roman"/>
                      <w:sz w:val="21"/>
                      <w:szCs w:val="21"/>
                      <w:vertAlign w:val="baseline"/>
                      <w:lang w:val="en-US" w:eastAsia="zh-CN"/>
                    </w:rPr>
                  </w:pPr>
                  <w:r>
                    <w:rPr>
                      <w:rFonts w:hint="eastAsia" w:cs="Times New Roman"/>
                      <w:sz w:val="21"/>
                      <w:szCs w:val="21"/>
                      <w:vertAlign w:val="baseline"/>
                      <w:lang w:val="en-US" w:eastAsia="zh-CN"/>
                    </w:rPr>
                    <w:t>119.0</w:t>
                  </w:r>
                </w:p>
              </w:tc>
            </w:tr>
            <w:tr w14:paraId="657CA1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3575" w:type="dxa"/>
                  <w:gridSpan w:val="2"/>
                  <w:vAlign w:val="center"/>
                </w:tcPr>
                <w:p w14:paraId="185115F1">
                  <w:pPr>
                    <w:numPr>
                      <w:ilvl w:val="0"/>
                      <w:numId w:val="0"/>
                    </w:numPr>
                    <w:bidi w:val="0"/>
                    <w:spacing w:line="240" w:lineRule="auto"/>
                    <w:jc w:val="center"/>
                    <w:rPr>
                      <w:rFonts w:hint="eastAsia" w:cs="Times New Roman"/>
                      <w:sz w:val="21"/>
                      <w:szCs w:val="21"/>
                      <w:vertAlign w:val="baseline"/>
                      <w:lang w:val="en-US" w:eastAsia="zh-CN"/>
                    </w:rPr>
                  </w:pPr>
                  <w:r>
                    <w:rPr>
                      <w:rFonts w:hint="eastAsia" w:cs="Times New Roman"/>
                      <w:sz w:val="21"/>
                      <w:szCs w:val="21"/>
                      <w:vertAlign w:val="baseline"/>
                      <w:lang w:val="en-US" w:eastAsia="zh-CN"/>
                    </w:rPr>
                    <w:t>排放去向</w:t>
                  </w:r>
                </w:p>
              </w:tc>
              <w:tc>
                <w:tcPr>
                  <w:tcW w:w="4748" w:type="dxa"/>
                  <w:gridSpan w:val="6"/>
                  <w:vAlign w:val="center"/>
                </w:tcPr>
                <w:p w14:paraId="4ECCC598">
                  <w:pPr>
                    <w:numPr>
                      <w:ilvl w:val="0"/>
                      <w:numId w:val="0"/>
                    </w:numPr>
                    <w:bidi w:val="0"/>
                    <w:spacing w:line="240" w:lineRule="auto"/>
                    <w:jc w:val="center"/>
                    <w:rPr>
                      <w:rFonts w:hint="eastAsia" w:cs="Times New Roman"/>
                      <w:sz w:val="21"/>
                      <w:szCs w:val="21"/>
                      <w:vertAlign w:val="baseline"/>
                      <w:lang w:val="en-US" w:eastAsia="zh-CN"/>
                    </w:rPr>
                  </w:pPr>
                  <w:r>
                    <w:rPr>
                      <w:rFonts w:hint="eastAsia" w:cs="Times New Roman"/>
                      <w:sz w:val="21"/>
                      <w:szCs w:val="21"/>
                      <w:vertAlign w:val="baseline"/>
                      <w:lang w:val="en-US" w:eastAsia="zh-CN"/>
                    </w:rPr>
                    <w:t>进入城市污水处理厂</w:t>
                  </w:r>
                </w:p>
              </w:tc>
            </w:tr>
            <w:tr w14:paraId="26EFBE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3575" w:type="dxa"/>
                  <w:gridSpan w:val="2"/>
                  <w:vAlign w:val="center"/>
                </w:tcPr>
                <w:p w14:paraId="6BC1EC04">
                  <w:pPr>
                    <w:numPr>
                      <w:ilvl w:val="0"/>
                      <w:numId w:val="0"/>
                    </w:numPr>
                    <w:bidi w:val="0"/>
                    <w:spacing w:line="240" w:lineRule="auto"/>
                    <w:jc w:val="center"/>
                    <w:rPr>
                      <w:rFonts w:hint="eastAsia" w:cs="Times New Roman"/>
                      <w:sz w:val="21"/>
                      <w:szCs w:val="21"/>
                      <w:vertAlign w:val="baseline"/>
                      <w:lang w:val="en-US" w:eastAsia="zh-CN"/>
                    </w:rPr>
                  </w:pPr>
                  <w:r>
                    <w:rPr>
                      <w:rFonts w:hint="eastAsia" w:cs="Times New Roman"/>
                      <w:sz w:val="21"/>
                      <w:szCs w:val="21"/>
                      <w:vertAlign w:val="baseline"/>
                      <w:lang w:val="en-US" w:eastAsia="zh-CN"/>
                    </w:rPr>
                    <w:t>排放规律</w:t>
                  </w:r>
                </w:p>
              </w:tc>
              <w:tc>
                <w:tcPr>
                  <w:tcW w:w="4748" w:type="dxa"/>
                  <w:gridSpan w:val="6"/>
                  <w:vAlign w:val="center"/>
                </w:tcPr>
                <w:p w14:paraId="7DCD46D5">
                  <w:pPr>
                    <w:numPr>
                      <w:ilvl w:val="0"/>
                      <w:numId w:val="0"/>
                    </w:numPr>
                    <w:bidi w:val="0"/>
                    <w:spacing w:line="240" w:lineRule="auto"/>
                    <w:jc w:val="center"/>
                    <w:rPr>
                      <w:rFonts w:hint="eastAsia" w:cs="Times New Roman"/>
                      <w:sz w:val="21"/>
                      <w:szCs w:val="21"/>
                      <w:vertAlign w:val="baseline"/>
                      <w:lang w:val="en-US" w:eastAsia="zh-CN"/>
                    </w:rPr>
                  </w:pPr>
                  <w:r>
                    <w:rPr>
                      <w:rFonts w:hint="eastAsia" w:cs="Times New Roman"/>
                      <w:sz w:val="21"/>
                      <w:szCs w:val="21"/>
                      <w:vertAlign w:val="baseline"/>
                      <w:lang w:val="en-US" w:eastAsia="zh-CN"/>
                    </w:rPr>
                    <w:t>间断排放，排放期间流量不稳定且无规律，但不属于冲击型排放</w:t>
                  </w:r>
                </w:p>
              </w:tc>
            </w:tr>
            <w:tr w14:paraId="089349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3575" w:type="dxa"/>
                  <w:gridSpan w:val="2"/>
                  <w:vAlign w:val="center"/>
                </w:tcPr>
                <w:p w14:paraId="35026E41">
                  <w:pPr>
                    <w:numPr>
                      <w:ilvl w:val="0"/>
                      <w:numId w:val="0"/>
                    </w:numPr>
                    <w:bidi w:val="0"/>
                    <w:spacing w:line="240" w:lineRule="auto"/>
                    <w:jc w:val="center"/>
                    <w:rPr>
                      <w:rFonts w:hint="eastAsia" w:cs="Times New Roman"/>
                      <w:sz w:val="21"/>
                      <w:szCs w:val="21"/>
                      <w:vertAlign w:val="baseline"/>
                      <w:lang w:val="en-US" w:eastAsia="zh-CN"/>
                    </w:rPr>
                  </w:pPr>
                  <w:r>
                    <w:rPr>
                      <w:rFonts w:hint="eastAsia" w:cs="Times New Roman"/>
                      <w:sz w:val="21"/>
                      <w:szCs w:val="21"/>
                      <w:vertAlign w:val="baseline"/>
                      <w:lang w:val="en-US" w:eastAsia="zh-CN"/>
                    </w:rPr>
                    <w:t>间歇排放时段</w:t>
                  </w:r>
                </w:p>
              </w:tc>
              <w:tc>
                <w:tcPr>
                  <w:tcW w:w="4748" w:type="dxa"/>
                  <w:gridSpan w:val="6"/>
                  <w:vAlign w:val="center"/>
                </w:tcPr>
                <w:p w14:paraId="2BABD3D7">
                  <w:pPr>
                    <w:numPr>
                      <w:ilvl w:val="0"/>
                      <w:numId w:val="0"/>
                    </w:numPr>
                    <w:bidi w:val="0"/>
                    <w:spacing w:line="240" w:lineRule="auto"/>
                    <w:jc w:val="center"/>
                    <w:rPr>
                      <w:rFonts w:hint="eastAsia" w:cs="Times New Roman"/>
                      <w:sz w:val="21"/>
                      <w:szCs w:val="21"/>
                      <w:vertAlign w:val="baseline"/>
                      <w:lang w:val="en-US" w:eastAsia="zh-CN"/>
                    </w:rPr>
                  </w:pPr>
                  <w:r>
                    <w:rPr>
                      <w:rFonts w:hint="eastAsia" w:cs="Times New Roman"/>
                      <w:sz w:val="21"/>
                      <w:szCs w:val="21"/>
                      <w:vertAlign w:val="baseline"/>
                      <w:lang w:val="en-US" w:eastAsia="zh-CN"/>
                    </w:rPr>
                    <w:t>无固定时段</w:t>
                  </w:r>
                </w:p>
              </w:tc>
            </w:tr>
            <w:tr w14:paraId="0D4133B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65" w:type="dxa"/>
                  <w:vMerge w:val="restart"/>
                  <w:vAlign w:val="center"/>
                </w:tcPr>
                <w:p w14:paraId="77A93ADE">
                  <w:pPr>
                    <w:numPr>
                      <w:ilvl w:val="0"/>
                      <w:numId w:val="0"/>
                    </w:numPr>
                    <w:bidi w:val="0"/>
                    <w:spacing w:line="240" w:lineRule="auto"/>
                    <w:jc w:val="center"/>
                    <w:rPr>
                      <w:rFonts w:hint="eastAsia" w:cs="Times New Roman"/>
                      <w:color w:val="auto"/>
                      <w:sz w:val="21"/>
                      <w:szCs w:val="21"/>
                      <w:vertAlign w:val="baseline"/>
                      <w:lang w:val="en-US" w:eastAsia="zh-CN"/>
                    </w:rPr>
                  </w:pPr>
                  <w:r>
                    <w:rPr>
                      <w:rFonts w:hint="eastAsia" w:cs="Times New Roman"/>
                      <w:color w:val="auto"/>
                      <w:sz w:val="21"/>
                      <w:szCs w:val="21"/>
                      <w:vertAlign w:val="baseline"/>
                      <w:lang w:val="en-US" w:eastAsia="zh-CN"/>
                    </w:rPr>
                    <w:t>受纳污水处理设施信息</w:t>
                  </w:r>
                </w:p>
              </w:tc>
              <w:tc>
                <w:tcPr>
                  <w:tcW w:w="2510" w:type="dxa"/>
                  <w:vAlign w:val="center"/>
                </w:tcPr>
                <w:p w14:paraId="6B38F6F8">
                  <w:pPr>
                    <w:numPr>
                      <w:ilvl w:val="0"/>
                      <w:numId w:val="0"/>
                    </w:numPr>
                    <w:bidi w:val="0"/>
                    <w:spacing w:line="240" w:lineRule="auto"/>
                    <w:jc w:val="center"/>
                    <w:rPr>
                      <w:rFonts w:hint="eastAsia" w:cs="Times New Roman"/>
                      <w:color w:val="auto"/>
                      <w:sz w:val="21"/>
                      <w:szCs w:val="21"/>
                      <w:vertAlign w:val="baseline"/>
                      <w:lang w:val="en-US" w:eastAsia="zh-CN"/>
                    </w:rPr>
                  </w:pPr>
                  <w:r>
                    <w:rPr>
                      <w:rFonts w:hint="eastAsia" w:cs="Times New Roman"/>
                      <w:color w:val="auto"/>
                      <w:sz w:val="21"/>
                      <w:szCs w:val="21"/>
                      <w:vertAlign w:val="baseline"/>
                      <w:lang w:val="en-US" w:eastAsia="zh-CN"/>
                    </w:rPr>
                    <w:t>名称</w:t>
                  </w:r>
                </w:p>
              </w:tc>
              <w:tc>
                <w:tcPr>
                  <w:tcW w:w="4748" w:type="dxa"/>
                  <w:gridSpan w:val="6"/>
                  <w:vAlign w:val="center"/>
                </w:tcPr>
                <w:p w14:paraId="1D8F24C5">
                  <w:pPr>
                    <w:numPr>
                      <w:ilvl w:val="0"/>
                      <w:numId w:val="0"/>
                    </w:numPr>
                    <w:bidi w:val="0"/>
                    <w:spacing w:line="240" w:lineRule="auto"/>
                    <w:jc w:val="center"/>
                    <w:rPr>
                      <w:rFonts w:hint="eastAsia" w:eastAsia="宋体" w:cs="Times New Roman"/>
                      <w:color w:val="auto"/>
                      <w:sz w:val="21"/>
                      <w:szCs w:val="21"/>
                      <w:vertAlign w:val="baseline"/>
                      <w:lang w:val="en-US" w:eastAsia="zh-CN"/>
                    </w:rPr>
                  </w:pPr>
                  <w:r>
                    <w:rPr>
                      <w:rFonts w:hint="eastAsia"/>
                      <w:color w:val="auto"/>
                      <w:lang w:eastAsia="zh-CN"/>
                    </w:rPr>
                    <w:t>安居区龙眼井污水处理厂</w:t>
                  </w:r>
                </w:p>
              </w:tc>
            </w:tr>
            <w:tr w14:paraId="1FE43E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65" w:type="dxa"/>
                  <w:vMerge w:val="continue"/>
                  <w:vAlign w:val="center"/>
                </w:tcPr>
                <w:p w14:paraId="67B52328">
                  <w:pPr>
                    <w:numPr>
                      <w:ilvl w:val="0"/>
                      <w:numId w:val="0"/>
                    </w:numPr>
                    <w:bidi w:val="0"/>
                    <w:spacing w:line="240" w:lineRule="auto"/>
                    <w:jc w:val="center"/>
                    <w:rPr>
                      <w:rFonts w:hint="eastAsia" w:cs="Times New Roman"/>
                      <w:color w:val="auto"/>
                      <w:sz w:val="21"/>
                      <w:szCs w:val="21"/>
                      <w:vertAlign w:val="baseline"/>
                      <w:lang w:val="en-US" w:eastAsia="zh-CN"/>
                    </w:rPr>
                  </w:pPr>
                </w:p>
              </w:tc>
              <w:tc>
                <w:tcPr>
                  <w:tcW w:w="2510" w:type="dxa"/>
                  <w:vAlign w:val="center"/>
                </w:tcPr>
                <w:p w14:paraId="6CCC3FBC">
                  <w:pPr>
                    <w:numPr>
                      <w:ilvl w:val="0"/>
                      <w:numId w:val="0"/>
                    </w:numPr>
                    <w:bidi w:val="0"/>
                    <w:spacing w:line="240" w:lineRule="auto"/>
                    <w:jc w:val="center"/>
                    <w:rPr>
                      <w:rFonts w:hint="eastAsia" w:cs="Times New Roman"/>
                      <w:color w:val="auto"/>
                      <w:sz w:val="21"/>
                      <w:szCs w:val="21"/>
                      <w:vertAlign w:val="baseline"/>
                      <w:lang w:val="en-US" w:eastAsia="zh-CN"/>
                    </w:rPr>
                  </w:pPr>
                  <w:r>
                    <w:rPr>
                      <w:rFonts w:hint="eastAsia" w:cs="Times New Roman"/>
                      <w:color w:val="auto"/>
                      <w:sz w:val="21"/>
                      <w:szCs w:val="21"/>
                      <w:vertAlign w:val="baseline"/>
                      <w:lang w:val="en-US" w:eastAsia="zh-CN"/>
                    </w:rPr>
                    <w:t>污染物种类</w:t>
                  </w:r>
                </w:p>
              </w:tc>
              <w:tc>
                <w:tcPr>
                  <w:tcW w:w="830" w:type="dxa"/>
                  <w:vAlign w:val="center"/>
                </w:tcPr>
                <w:p w14:paraId="10A8E8D4">
                  <w:pPr>
                    <w:numPr>
                      <w:ilvl w:val="0"/>
                      <w:numId w:val="0"/>
                    </w:numPr>
                    <w:bidi w:val="0"/>
                    <w:spacing w:line="240" w:lineRule="auto"/>
                    <w:ind w:left="0" w:leftChars="0" w:firstLine="0" w:firstLineChars="0"/>
                    <w:jc w:val="center"/>
                    <w:rPr>
                      <w:rFonts w:hint="eastAsia" w:cs="Times New Roman"/>
                      <w:color w:val="auto"/>
                      <w:sz w:val="21"/>
                      <w:szCs w:val="21"/>
                      <w:vertAlign w:val="baseline"/>
                      <w:lang w:val="en-US" w:eastAsia="zh-CN"/>
                    </w:rPr>
                  </w:pPr>
                  <w:r>
                    <w:rPr>
                      <w:rFonts w:hint="default" w:ascii="Times New Roman" w:hAnsi="Times New Roman" w:eastAsia="宋体" w:cs="Times New Roman"/>
                      <w:color w:val="auto"/>
                      <w:sz w:val="21"/>
                      <w:szCs w:val="21"/>
                      <w:vertAlign w:val="baseline"/>
                      <w:lang w:val="en-US" w:eastAsia="zh-CN"/>
                    </w:rPr>
                    <w:t>COD</w:t>
                  </w:r>
                  <w:r>
                    <w:rPr>
                      <w:rFonts w:hint="default" w:ascii="Times New Roman" w:hAnsi="Times New Roman" w:eastAsia="宋体" w:cs="Times New Roman"/>
                      <w:color w:val="auto"/>
                      <w:sz w:val="21"/>
                      <w:szCs w:val="21"/>
                      <w:vertAlign w:val="subscript"/>
                      <w:lang w:val="en-US" w:eastAsia="zh-CN"/>
                    </w:rPr>
                    <w:t>Cr</w:t>
                  </w:r>
                </w:p>
              </w:tc>
              <w:tc>
                <w:tcPr>
                  <w:tcW w:w="800" w:type="dxa"/>
                  <w:vAlign w:val="center"/>
                </w:tcPr>
                <w:p w14:paraId="1043399C">
                  <w:pPr>
                    <w:numPr>
                      <w:ilvl w:val="0"/>
                      <w:numId w:val="0"/>
                    </w:numPr>
                    <w:bidi w:val="0"/>
                    <w:spacing w:line="240" w:lineRule="auto"/>
                    <w:ind w:left="0" w:leftChars="0" w:firstLine="0" w:firstLineChars="0"/>
                    <w:jc w:val="center"/>
                    <w:rPr>
                      <w:rFonts w:hint="eastAsia" w:cs="Times New Roman"/>
                      <w:color w:val="auto"/>
                      <w:sz w:val="21"/>
                      <w:szCs w:val="21"/>
                      <w:vertAlign w:val="baseline"/>
                      <w:lang w:val="en-US" w:eastAsia="zh-CN"/>
                    </w:rPr>
                  </w:pPr>
                  <w:r>
                    <w:rPr>
                      <w:rFonts w:hint="default" w:ascii="Times New Roman" w:hAnsi="Times New Roman" w:eastAsia="宋体" w:cs="Times New Roman"/>
                      <w:color w:val="auto"/>
                      <w:sz w:val="21"/>
                      <w:szCs w:val="21"/>
                      <w:vertAlign w:val="baseline"/>
                      <w:lang w:val="en-US" w:eastAsia="zh-CN"/>
                    </w:rPr>
                    <w:t>BOD</w:t>
                  </w:r>
                  <w:r>
                    <w:rPr>
                      <w:rFonts w:hint="default" w:ascii="Times New Roman" w:hAnsi="Times New Roman" w:eastAsia="宋体" w:cs="Times New Roman"/>
                      <w:color w:val="auto"/>
                      <w:sz w:val="21"/>
                      <w:szCs w:val="21"/>
                      <w:vertAlign w:val="subscript"/>
                      <w:lang w:val="en-US" w:eastAsia="zh-CN"/>
                    </w:rPr>
                    <w:t>5</w:t>
                  </w:r>
                </w:p>
              </w:tc>
              <w:tc>
                <w:tcPr>
                  <w:tcW w:w="750" w:type="dxa"/>
                  <w:vAlign w:val="center"/>
                </w:tcPr>
                <w:p w14:paraId="34E19B0E">
                  <w:pPr>
                    <w:numPr>
                      <w:ilvl w:val="0"/>
                      <w:numId w:val="0"/>
                    </w:numPr>
                    <w:bidi w:val="0"/>
                    <w:spacing w:line="240" w:lineRule="auto"/>
                    <w:ind w:left="0" w:leftChars="0" w:firstLine="0" w:firstLineChars="0"/>
                    <w:jc w:val="center"/>
                    <w:rPr>
                      <w:rFonts w:hint="eastAsia" w:cs="Times New Roman"/>
                      <w:color w:val="auto"/>
                      <w:sz w:val="21"/>
                      <w:szCs w:val="21"/>
                      <w:vertAlign w:val="baseline"/>
                      <w:lang w:val="en-US" w:eastAsia="zh-CN"/>
                    </w:rPr>
                  </w:pPr>
                  <w:r>
                    <w:rPr>
                      <w:rFonts w:hint="default" w:ascii="Times New Roman" w:hAnsi="Times New Roman" w:eastAsia="宋体" w:cs="Times New Roman"/>
                      <w:color w:val="auto"/>
                      <w:sz w:val="21"/>
                      <w:szCs w:val="21"/>
                      <w:vertAlign w:val="baseline"/>
                      <w:lang w:val="en-US" w:eastAsia="zh-CN"/>
                    </w:rPr>
                    <w:t>SS</w:t>
                  </w:r>
                </w:p>
              </w:tc>
              <w:tc>
                <w:tcPr>
                  <w:tcW w:w="690" w:type="dxa"/>
                  <w:vAlign w:val="center"/>
                </w:tcPr>
                <w:p w14:paraId="535FF1C8">
                  <w:pPr>
                    <w:numPr>
                      <w:ilvl w:val="0"/>
                      <w:numId w:val="0"/>
                    </w:numPr>
                    <w:bidi w:val="0"/>
                    <w:spacing w:line="240" w:lineRule="auto"/>
                    <w:ind w:left="0" w:leftChars="0" w:firstLine="0" w:firstLineChars="0"/>
                    <w:jc w:val="center"/>
                    <w:rPr>
                      <w:rFonts w:hint="eastAsia" w:cs="Times New Roman"/>
                      <w:color w:val="auto"/>
                      <w:sz w:val="21"/>
                      <w:szCs w:val="21"/>
                      <w:vertAlign w:val="baseline"/>
                      <w:lang w:val="en-US" w:eastAsia="zh-CN"/>
                    </w:rPr>
                  </w:pPr>
                  <w:r>
                    <w:rPr>
                      <w:rFonts w:hint="default" w:ascii="Times New Roman" w:hAnsi="Times New Roman" w:eastAsia="宋体" w:cs="Times New Roman"/>
                      <w:color w:val="auto"/>
                      <w:sz w:val="21"/>
                      <w:szCs w:val="21"/>
                      <w:vertAlign w:val="baseline"/>
                      <w:lang w:val="en-US" w:eastAsia="zh-CN"/>
                    </w:rPr>
                    <w:t>TN</w:t>
                  </w:r>
                </w:p>
              </w:tc>
              <w:tc>
                <w:tcPr>
                  <w:tcW w:w="810" w:type="dxa"/>
                  <w:vAlign w:val="center"/>
                </w:tcPr>
                <w:p w14:paraId="29D110AA">
                  <w:pPr>
                    <w:numPr>
                      <w:ilvl w:val="0"/>
                      <w:numId w:val="0"/>
                    </w:numPr>
                    <w:bidi w:val="0"/>
                    <w:spacing w:line="240" w:lineRule="auto"/>
                    <w:ind w:left="0" w:leftChars="0" w:firstLine="0" w:firstLineChars="0"/>
                    <w:jc w:val="center"/>
                    <w:rPr>
                      <w:rFonts w:hint="eastAsia" w:cs="Times New Roman"/>
                      <w:color w:val="auto"/>
                      <w:sz w:val="21"/>
                      <w:szCs w:val="21"/>
                      <w:vertAlign w:val="baseline"/>
                      <w:lang w:val="en-US" w:eastAsia="zh-CN"/>
                    </w:rPr>
                  </w:pPr>
                  <w:r>
                    <w:rPr>
                      <w:rFonts w:hint="default" w:ascii="Times New Roman" w:hAnsi="Times New Roman" w:eastAsia="宋体" w:cs="Times New Roman"/>
                      <w:color w:val="auto"/>
                      <w:sz w:val="21"/>
                      <w:szCs w:val="21"/>
                      <w:vertAlign w:val="baseline"/>
                      <w:lang w:val="en-US" w:eastAsia="zh-CN"/>
                    </w:rPr>
                    <w:t>TP</w:t>
                  </w:r>
                </w:p>
              </w:tc>
              <w:tc>
                <w:tcPr>
                  <w:tcW w:w="868" w:type="dxa"/>
                  <w:vAlign w:val="center"/>
                </w:tcPr>
                <w:p w14:paraId="0E3CB979">
                  <w:pPr>
                    <w:numPr>
                      <w:ilvl w:val="0"/>
                      <w:numId w:val="0"/>
                    </w:numPr>
                    <w:bidi w:val="0"/>
                    <w:spacing w:line="240" w:lineRule="auto"/>
                    <w:ind w:left="0" w:leftChars="0" w:firstLine="0" w:firstLineChars="0"/>
                    <w:jc w:val="center"/>
                    <w:rPr>
                      <w:rFonts w:hint="eastAsia" w:cs="Times New Roman"/>
                      <w:color w:val="auto"/>
                      <w:sz w:val="21"/>
                      <w:szCs w:val="21"/>
                      <w:vertAlign w:val="baseline"/>
                      <w:lang w:val="en-US" w:eastAsia="zh-CN"/>
                    </w:rPr>
                  </w:pPr>
                  <w:r>
                    <w:rPr>
                      <w:rFonts w:hint="default" w:ascii="Times New Roman" w:hAnsi="Times New Roman" w:eastAsia="宋体" w:cs="Times New Roman"/>
                      <w:color w:val="auto"/>
                      <w:sz w:val="21"/>
                      <w:szCs w:val="21"/>
                      <w:vertAlign w:val="baseline"/>
                      <w:lang w:val="en-US" w:eastAsia="zh-CN"/>
                    </w:rPr>
                    <w:t>NH</w:t>
                  </w:r>
                  <w:r>
                    <w:rPr>
                      <w:rFonts w:hint="default" w:ascii="Times New Roman" w:hAnsi="Times New Roman" w:eastAsia="宋体" w:cs="Times New Roman"/>
                      <w:color w:val="auto"/>
                      <w:sz w:val="21"/>
                      <w:szCs w:val="21"/>
                      <w:vertAlign w:val="subscript"/>
                      <w:lang w:val="en-US" w:eastAsia="zh-CN"/>
                    </w:rPr>
                    <w:t>3</w:t>
                  </w:r>
                  <w:r>
                    <w:rPr>
                      <w:rFonts w:hint="default" w:ascii="Times New Roman" w:hAnsi="Times New Roman" w:eastAsia="宋体" w:cs="Times New Roman"/>
                      <w:color w:val="auto"/>
                      <w:sz w:val="21"/>
                      <w:szCs w:val="21"/>
                      <w:vertAlign w:val="baseline"/>
                      <w:lang w:val="en-US" w:eastAsia="zh-CN"/>
                    </w:rPr>
                    <w:t>-N</w:t>
                  </w:r>
                </w:p>
              </w:tc>
            </w:tr>
            <w:tr w14:paraId="6ECA67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065" w:type="dxa"/>
                  <w:vMerge w:val="continue"/>
                  <w:vAlign w:val="center"/>
                </w:tcPr>
                <w:p w14:paraId="5CF0E1BB">
                  <w:pPr>
                    <w:numPr>
                      <w:ilvl w:val="0"/>
                      <w:numId w:val="0"/>
                    </w:numPr>
                    <w:bidi w:val="0"/>
                    <w:spacing w:line="240" w:lineRule="auto"/>
                    <w:jc w:val="center"/>
                    <w:rPr>
                      <w:rFonts w:hint="eastAsia" w:cs="Times New Roman"/>
                      <w:color w:val="auto"/>
                      <w:sz w:val="21"/>
                      <w:szCs w:val="21"/>
                      <w:vertAlign w:val="baseline"/>
                      <w:lang w:val="en-US" w:eastAsia="zh-CN"/>
                    </w:rPr>
                  </w:pPr>
                </w:p>
              </w:tc>
              <w:tc>
                <w:tcPr>
                  <w:tcW w:w="2510" w:type="dxa"/>
                  <w:vAlign w:val="center"/>
                </w:tcPr>
                <w:p w14:paraId="1EB997CE">
                  <w:pPr>
                    <w:numPr>
                      <w:ilvl w:val="0"/>
                      <w:numId w:val="0"/>
                    </w:numPr>
                    <w:bidi w:val="0"/>
                    <w:spacing w:line="240" w:lineRule="auto"/>
                    <w:jc w:val="center"/>
                    <w:rPr>
                      <w:rFonts w:hint="eastAsia" w:cs="Times New Roman"/>
                      <w:color w:val="auto"/>
                      <w:sz w:val="21"/>
                      <w:szCs w:val="21"/>
                      <w:vertAlign w:val="baseline"/>
                      <w:lang w:val="en-US" w:eastAsia="zh-CN"/>
                    </w:rPr>
                  </w:pPr>
                  <w:r>
                    <w:rPr>
                      <w:rFonts w:hint="eastAsia" w:cs="Times New Roman"/>
                      <w:color w:val="auto"/>
                      <w:sz w:val="21"/>
                      <w:szCs w:val="21"/>
                      <w:vertAlign w:val="baseline"/>
                      <w:lang w:val="en-US" w:eastAsia="zh-CN"/>
                    </w:rPr>
                    <w:t>国家或地方污染物排放标准浓度限值（mg/L）</w:t>
                  </w:r>
                </w:p>
              </w:tc>
              <w:tc>
                <w:tcPr>
                  <w:tcW w:w="830" w:type="dxa"/>
                  <w:vAlign w:val="center"/>
                </w:tcPr>
                <w:p w14:paraId="31234B48">
                  <w:pPr>
                    <w:numPr>
                      <w:ilvl w:val="0"/>
                      <w:numId w:val="0"/>
                    </w:numPr>
                    <w:bidi w:val="0"/>
                    <w:spacing w:line="240" w:lineRule="auto"/>
                    <w:jc w:val="center"/>
                    <w:rPr>
                      <w:rFonts w:hint="default" w:cs="Times New Roman"/>
                      <w:color w:val="auto"/>
                      <w:sz w:val="21"/>
                      <w:szCs w:val="21"/>
                      <w:vertAlign w:val="baseline"/>
                      <w:lang w:val="en-US" w:eastAsia="zh-CN"/>
                    </w:rPr>
                  </w:pPr>
                  <w:r>
                    <w:rPr>
                      <w:rFonts w:hint="eastAsia" w:cs="Times New Roman"/>
                      <w:color w:val="auto"/>
                      <w:sz w:val="21"/>
                      <w:szCs w:val="21"/>
                      <w:vertAlign w:val="baseline"/>
                      <w:lang w:val="en-US" w:eastAsia="zh-CN"/>
                    </w:rPr>
                    <w:t>50</w:t>
                  </w:r>
                </w:p>
              </w:tc>
              <w:tc>
                <w:tcPr>
                  <w:tcW w:w="800" w:type="dxa"/>
                  <w:vAlign w:val="center"/>
                </w:tcPr>
                <w:p w14:paraId="20106FBE">
                  <w:pPr>
                    <w:numPr>
                      <w:ilvl w:val="0"/>
                      <w:numId w:val="0"/>
                    </w:numPr>
                    <w:bidi w:val="0"/>
                    <w:spacing w:line="240" w:lineRule="auto"/>
                    <w:jc w:val="center"/>
                    <w:rPr>
                      <w:rFonts w:hint="eastAsia" w:cs="Times New Roman"/>
                      <w:color w:val="auto"/>
                      <w:sz w:val="21"/>
                      <w:szCs w:val="21"/>
                      <w:vertAlign w:val="baseline"/>
                      <w:lang w:val="en-US" w:eastAsia="zh-CN"/>
                    </w:rPr>
                  </w:pPr>
                  <w:r>
                    <w:rPr>
                      <w:rFonts w:hint="eastAsia" w:cs="Times New Roman"/>
                      <w:color w:val="auto"/>
                      <w:sz w:val="21"/>
                      <w:szCs w:val="21"/>
                      <w:vertAlign w:val="baseline"/>
                      <w:lang w:val="en-US" w:eastAsia="zh-CN"/>
                    </w:rPr>
                    <w:t>10</w:t>
                  </w:r>
                </w:p>
              </w:tc>
              <w:tc>
                <w:tcPr>
                  <w:tcW w:w="750" w:type="dxa"/>
                  <w:vAlign w:val="center"/>
                </w:tcPr>
                <w:p w14:paraId="76280F82">
                  <w:pPr>
                    <w:numPr>
                      <w:ilvl w:val="0"/>
                      <w:numId w:val="0"/>
                    </w:numPr>
                    <w:bidi w:val="0"/>
                    <w:spacing w:line="240" w:lineRule="auto"/>
                    <w:jc w:val="center"/>
                    <w:rPr>
                      <w:rFonts w:hint="eastAsia" w:cs="Times New Roman"/>
                      <w:color w:val="auto"/>
                      <w:sz w:val="21"/>
                      <w:szCs w:val="21"/>
                      <w:vertAlign w:val="baseline"/>
                      <w:lang w:val="en-US" w:eastAsia="zh-CN"/>
                    </w:rPr>
                  </w:pPr>
                  <w:r>
                    <w:rPr>
                      <w:rFonts w:hint="eastAsia" w:cs="Times New Roman"/>
                      <w:color w:val="auto"/>
                      <w:sz w:val="21"/>
                      <w:szCs w:val="21"/>
                      <w:vertAlign w:val="baseline"/>
                      <w:lang w:val="en-US" w:eastAsia="zh-CN"/>
                    </w:rPr>
                    <w:t>10</w:t>
                  </w:r>
                </w:p>
              </w:tc>
              <w:tc>
                <w:tcPr>
                  <w:tcW w:w="690" w:type="dxa"/>
                  <w:vAlign w:val="center"/>
                </w:tcPr>
                <w:p w14:paraId="627EFF9F">
                  <w:pPr>
                    <w:numPr>
                      <w:ilvl w:val="0"/>
                      <w:numId w:val="0"/>
                    </w:numPr>
                    <w:bidi w:val="0"/>
                    <w:spacing w:line="240" w:lineRule="auto"/>
                    <w:jc w:val="center"/>
                    <w:rPr>
                      <w:rFonts w:hint="eastAsia" w:cs="Times New Roman"/>
                      <w:color w:val="auto"/>
                      <w:sz w:val="21"/>
                      <w:szCs w:val="21"/>
                      <w:vertAlign w:val="baseline"/>
                      <w:lang w:val="en-US" w:eastAsia="zh-CN"/>
                    </w:rPr>
                  </w:pPr>
                  <w:r>
                    <w:rPr>
                      <w:rFonts w:hint="eastAsia" w:cs="Times New Roman"/>
                      <w:color w:val="auto"/>
                      <w:sz w:val="21"/>
                      <w:szCs w:val="21"/>
                      <w:vertAlign w:val="baseline"/>
                      <w:lang w:val="en-US" w:eastAsia="zh-CN"/>
                    </w:rPr>
                    <w:t>15</w:t>
                  </w:r>
                </w:p>
              </w:tc>
              <w:tc>
                <w:tcPr>
                  <w:tcW w:w="810" w:type="dxa"/>
                  <w:vAlign w:val="center"/>
                </w:tcPr>
                <w:p w14:paraId="46176D2E">
                  <w:pPr>
                    <w:numPr>
                      <w:ilvl w:val="0"/>
                      <w:numId w:val="0"/>
                    </w:numPr>
                    <w:bidi w:val="0"/>
                    <w:spacing w:line="240" w:lineRule="auto"/>
                    <w:jc w:val="center"/>
                    <w:rPr>
                      <w:rFonts w:hint="eastAsia" w:cs="Times New Roman"/>
                      <w:color w:val="auto"/>
                      <w:sz w:val="21"/>
                      <w:szCs w:val="21"/>
                      <w:vertAlign w:val="baseline"/>
                      <w:lang w:val="en-US" w:eastAsia="zh-CN"/>
                    </w:rPr>
                  </w:pPr>
                  <w:r>
                    <w:rPr>
                      <w:rFonts w:hint="eastAsia" w:cs="Times New Roman"/>
                      <w:color w:val="auto"/>
                      <w:sz w:val="21"/>
                      <w:szCs w:val="21"/>
                      <w:vertAlign w:val="baseline"/>
                      <w:lang w:val="en-US" w:eastAsia="zh-CN"/>
                    </w:rPr>
                    <w:t>0.5</w:t>
                  </w:r>
                </w:p>
              </w:tc>
              <w:tc>
                <w:tcPr>
                  <w:tcW w:w="868" w:type="dxa"/>
                  <w:vAlign w:val="center"/>
                </w:tcPr>
                <w:p w14:paraId="37DDCCFB">
                  <w:pPr>
                    <w:numPr>
                      <w:ilvl w:val="0"/>
                      <w:numId w:val="0"/>
                    </w:numPr>
                    <w:bidi w:val="0"/>
                    <w:spacing w:line="240" w:lineRule="auto"/>
                    <w:jc w:val="center"/>
                    <w:rPr>
                      <w:rFonts w:hint="default" w:cs="Times New Roman"/>
                      <w:color w:val="auto"/>
                      <w:sz w:val="21"/>
                      <w:szCs w:val="21"/>
                      <w:vertAlign w:val="baseline"/>
                      <w:lang w:val="en-US" w:eastAsia="zh-CN"/>
                    </w:rPr>
                  </w:pPr>
                  <w:r>
                    <w:rPr>
                      <w:rFonts w:hint="eastAsia" w:cs="Times New Roman"/>
                      <w:color w:val="auto"/>
                      <w:sz w:val="21"/>
                      <w:szCs w:val="21"/>
                      <w:vertAlign w:val="baseline"/>
                      <w:lang w:val="en-US" w:eastAsia="zh-CN"/>
                    </w:rPr>
                    <w:t>5.0</w:t>
                  </w:r>
                </w:p>
              </w:tc>
            </w:tr>
            <w:tr w14:paraId="786BE7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trPr>
              <w:tc>
                <w:tcPr>
                  <w:tcW w:w="1065" w:type="dxa"/>
                  <w:vMerge w:val="restart"/>
                  <w:vAlign w:val="center"/>
                </w:tcPr>
                <w:p w14:paraId="03C00989">
                  <w:pPr>
                    <w:numPr>
                      <w:ilvl w:val="0"/>
                      <w:numId w:val="0"/>
                    </w:numPr>
                    <w:bidi w:val="0"/>
                    <w:spacing w:line="240" w:lineRule="auto"/>
                    <w:ind w:left="0" w:leftChars="0" w:firstLine="0" w:firstLineChars="0"/>
                    <w:jc w:val="center"/>
                    <w:rPr>
                      <w:rFonts w:hint="default" w:ascii="Times New Roman" w:hAnsi="Times New Roman" w:eastAsia="宋体" w:cs="Times New Roman"/>
                      <w:color w:val="auto"/>
                      <w:sz w:val="21"/>
                      <w:szCs w:val="21"/>
                      <w:vertAlign w:val="baseline"/>
                      <w:lang w:val="en-US" w:eastAsia="zh-CN"/>
                    </w:rPr>
                  </w:pPr>
                  <w:r>
                    <w:rPr>
                      <w:rFonts w:hint="eastAsia" w:cs="Times New Roman"/>
                      <w:color w:val="auto"/>
                      <w:sz w:val="21"/>
                      <w:szCs w:val="21"/>
                      <w:vertAlign w:val="baseline"/>
                      <w:lang w:val="en-US" w:eastAsia="zh-CN"/>
                    </w:rPr>
                    <w:t>废水</w:t>
                  </w:r>
                  <w:r>
                    <w:rPr>
                      <w:rFonts w:hint="default" w:ascii="Times New Roman" w:hAnsi="Times New Roman" w:eastAsia="宋体" w:cs="Times New Roman"/>
                      <w:color w:val="auto"/>
                      <w:sz w:val="21"/>
                      <w:szCs w:val="21"/>
                      <w:vertAlign w:val="baseline"/>
                      <w:lang w:val="en-US" w:eastAsia="zh-CN"/>
                    </w:rPr>
                    <w:t>处理后污染物</w:t>
                  </w:r>
                </w:p>
                <w:p w14:paraId="142ADAF8">
                  <w:pPr>
                    <w:numPr>
                      <w:ilvl w:val="0"/>
                      <w:numId w:val="0"/>
                    </w:numPr>
                    <w:bidi w:val="0"/>
                    <w:spacing w:line="240" w:lineRule="auto"/>
                    <w:jc w:val="center"/>
                    <w:rPr>
                      <w:rFonts w:hint="eastAsia" w:cs="Times New Roman"/>
                      <w:color w:val="auto"/>
                      <w:sz w:val="21"/>
                      <w:szCs w:val="21"/>
                      <w:vertAlign w:val="baseline"/>
                      <w:lang w:val="en-US" w:eastAsia="zh-CN"/>
                    </w:rPr>
                  </w:pPr>
                  <w:r>
                    <w:rPr>
                      <w:rFonts w:hint="default" w:ascii="Times New Roman" w:hAnsi="Times New Roman" w:eastAsia="宋体" w:cs="Times New Roman"/>
                      <w:color w:val="auto"/>
                      <w:sz w:val="21"/>
                      <w:szCs w:val="21"/>
                      <w:vertAlign w:val="baseline"/>
                      <w:lang w:val="en-US" w:eastAsia="zh-CN"/>
                    </w:rPr>
                    <w:t>排放</w:t>
                  </w:r>
                </w:p>
              </w:tc>
              <w:tc>
                <w:tcPr>
                  <w:tcW w:w="2510" w:type="dxa"/>
                  <w:vAlign w:val="center"/>
                </w:tcPr>
                <w:p w14:paraId="18BB8BF6">
                  <w:pPr>
                    <w:numPr>
                      <w:ilvl w:val="0"/>
                      <w:numId w:val="0"/>
                    </w:numPr>
                    <w:bidi w:val="0"/>
                    <w:spacing w:line="240" w:lineRule="auto"/>
                    <w:ind w:left="0" w:leftChars="0" w:firstLine="0" w:firstLineChars="0"/>
                    <w:jc w:val="center"/>
                    <w:rPr>
                      <w:rFonts w:hint="eastAsia" w:cs="Times New Roman"/>
                      <w:color w:val="auto"/>
                      <w:sz w:val="21"/>
                      <w:szCs w:val="21"/>
                      <w:vertAlign w:val="baseline"/>
                      <w:lang w:val="en-US" w:eastAsia="zh-CN"/>
                    </w:rPr>
                  </w:pPr>
                  <w:r>
                    <w:rPr>
                      <w:rFonts w:hint="default" w:ascii="Times New Roman" w:hAnsi="Times New Roman" w:eastAsia="宋体" w:cs="Times New Roman"/>
                      <w:color w:val="auto"/>
                      <w:sz w:val="21"/>
                      <w:szCs w:val="21"/>
                      <w:vertAlign w:val="baseline"/>
                      <w:lang w:val="en-US" w:eastAsia="zh-CN"/>
                    </w:rPr>
                    <w:t>废水排放量（t/a</w:t>
                  </w:r>
                  <w:r>
                    <w:rPr>
                      <w:rFonts w:hint="eastAsia" w:cs="Times New Roman"/>
                      <w:color w:val="auto"/>
                      <w:sz w:val="21"/>
                      <w:szCs w:val="21"/>
                      <w:vertAlign w:val="baseline"/>
                      <w:lang w:val="en-US" w:eastAsia="zh-CN"/>
                    </w:rPr>
                    <w:t>）</w:t>
                  </w:r>
                </w:p>
              </w:tc>
              <w:tc>
                <w:tcPr>
                  <w:tcW w:w="4748" w:type="dxa"/>
                  <w:gridSpan w:val="6"/>
                  <w:vAlign w:val="center"/>
                </w:tcPr>
                <w:p w14:paraId="0BA97468">
                  <w:pPr>
                    <w:numPr>
                      <w:ilvl w:val="0"/>
                      <w:numId w:val="0"/>
                    </w:numPr>
                    <w:bidi w:val="0"/>
                    <w:spacing w:line="240" w:lineRule="auto"/>
                    <w:jc w:val="center"/>
                    <w:rPr>
                      <w:rFonts w:hint="eastAsia" w:cs="Times New Roman"/>
                      <w:color w:val="auto"/>
                      <w:sz w:val="21"/>
                      <w:szCs w:val="21"/>
                      <w:vertAlign w:val="baseline"/>
                      <w:lang w:val="en-US" w:eastAsia="zh-CN"/>
                    </w:rPr>
                  </w:pPr>
                  <w:r>
                    <w:rPr>
                      <w:rFonts w:hint="eastAsia" w:cs="Times New Roman"/>
                      <w:color w:val="auto"/>
                      <w:sz w:val="21"/>
                      <w:szCs w:val="21"/>
                      <w:vertAlign w:val="baseline"/>
                      <w:lang w:val="en-US" w:eastAsia="zh-CN"/>
                    </w:rPr>
                    <w:t>119.0</w:t>
                  </w:r>
                </w:p>
              </w:tc>
            </w:tr>
            <w:tr w14:paraId="767DD3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065" w:type="dxa"/>
                  <w:vMerge w:val="continue"/>
                  <w:vAlign w:val="center"/>
                </w:tcPr>
                <w:p w14:paraId="37B076AC">
                  <w:pPr>
                    <w:numPr>
                      <w:ilvl w:val="0"/>
                      <w:numId w:val="0"/>
                    </w:numPr>
                    <w:bidi w:val="0"/>
                    <w:spacing w:line="240" w:lineRule="auto"/>
                    <w:jc w:val="center"/>
                    <w:rPr>
                      <w:rFonts w:hint="eastAsia" w:cs="Times New Roman"/>
                      <w:color w:val="auto"/>
                      <w:sz w:val="21"/>
                      <w:szCs w:val="21"/>
                      <w:vertAlign w:val="baseline"/>
                      <w:lang w:val="en-US" w:eastAsia="zh-CN"/>
                    </w:rPr>
                  </w:pPr>
                </w:p>
              </w:tc>
              <w:tc>
                <w:tcPr>
                  <w:tcW w:w="2510" w:type="dxa"/>
                  <w:vAlign w:val="center"/>
                </w:tcPr>
                <w:p w14:paraId="2294728A">
                  <w:pPr>
                    <w:numPr>
                      <w:ilvl w:val="0"/>
                      <w:numId w:val="0"/>
                    </w:numPr>
                    <w:bidi w:val="0"/>
                    <w:spacing w:line="240" w:lineRule="auto"/>
                    <w:ind w:left="0" w:leftChars="0" w:firstLine="0" w:firstLineChars="0"/>
                    <w:jc w:val="center"/>
                    <w:rPr>
                      <w:rFonts w:hint="eastAsia" w:cs="Times New Roman"/>
                      <w:color w:val="auto"/>
                      <w:sz w:val="21"/>
                      <w:szCs w:val="21"/>
                      <w:vertAlign w:val="baseline"/>
                      <w:lang w:val="en-US" w:eastAsia="zh-CN"/>
                    </w:rPr>
                  </w:pPr>
                  <w:r>
                    <w:rPr>
                      <w:rFonts w:hint="default" w:ascii="Times New Roman" w:hAnsi="Times New Roman" w:eastAsia="宋体" w:cs="Times New Roman"/>
                      <w:color w:val="auto"/>
                      <w:sz w:val="21"/>
                      <w:szCs w:val="21"/>
                      <w:vertAlign w:val="baseline"/>
                      <w:lang w:val="en-US" w:eastAsia="zh-CN"/>
                    </w:rPr>
                    <w:t>排放量（t/a</w:t>
                  </w:r>
                  <w:r>
                    <w:rPr>
                      <w:rFonts w:hint="eastAsia" w:cs="Times New Roman"/>
                      <w:color w:val="auto"/>
                      <w:sz w:val="21"/>
                      <w:szCs w:val="21"/>
                      <w:vertAlign w:val="baseline"/>
                      <w:lang w:val="en-US" w:eastAsia="zh-CN"/>
                    </w:rPr>
                    <w:t>）</w:t>
                  </w:r>
                </w:p>
              </w:tc>
              <w:tc>
                <w:tcPr>
                  <w:tcW w:w="830" w:type="dxa"/>
                  <w:vAlign w:val="center"/>
                </w:tcPr>
                <w:p w14:paraId="6BF5DE1C">
                  <w:pPr>
                    <w:keepNext w:val="0"/>
                    <w:keepLines w:val="0"/>
                    <w:widowControl/>
                    <w:suppressLineNumbers w:val="0"/>
                    <w:jc w:val="center"/>
                    <w:textAlignment w:val="center"/>
                    <w:rPr>
                      <w:rFonts w:hint="default" w:ascii="Times New Roman" w:hAnsi="Times New Roman" w:eastAsia="宋体" w:cs="Times New Roman"/>
                      <w:color w:val="auto"/>
                      <w:sz w:val="21"/>
                      <w:szCs w:val="21"/>
                      <w:vertAlign w:val="baseline"/>
                      <w:lang w:val="en-US" w:eastAsia="zh-CN"/>
                    </w:rPr>
                  </w:pPr>
                  <w:r>
                    <w:rPr>
                      <w:rFonts w:hint="default" w:ascii="Times New Roman" w:hAnsi="Times New Roman" w:eastAsia="宋体" w:cs="Times New Roman"/>
                      <w:i w:val="0"/>
                      <w:iCs w:val="0"/>
                      <w:color w:val="auto"/>
                      <w:kern w:val="0"/>
                      <w:sz w:val="21"/>
                      <w:szCs w:val="21"/>
                      <w:u w:val="none"/>
                      <w:lang w:val="en-US" w:eastAsia="zh-CN" w:bidi="ar"/>
                    </w:rPr>
                    <w:t>0.019</w:t>
                  </w:r>
                </w:p>
              </w:tc>
              <w:tc>
                <w:tcPr>
                  <w:tcW w:w="800" w:type="dxa"/>
                  <w:vAlign w:val="center"/>
                </w:tcPr>
                <w:p w14:paraId="650662F2">
                  <w:pPr>
                    <w:keepNext w:val="0"/>
                    <w:keepLines w:val="0"/>
                    <w:widowControl/>
                    <w:suppressLineNumbers w:val="0"/>
                    <w:jc w:val="center"/>
                    <w:textAlignment w:val="center"/>
                    <w:rPr>
                      <w:rFonts w:hint="default" w:ascii="Times New Roman" w:hAnsi="Times New Roman" w:eastAsia="宋体" w:cs="Times New Roman"/>
                      <w:color w:val="auto"/>
                      <w:sz w:val="21"/>
                      <w:szCs w:val="21"/>
                      <w:vertAlign w:val="baseline"/>
                      <w:lang w:val="en-US" w:eastAsia="zh-CN"/>
                    </w:rPr>
                  </w:pPr>
                  <w:r>
                    <w:rPr>
                      <w:rFonts w:hint="default" w:ascii="Times New Roman" w:hAnsi="Times New Roman" w:eastAsia="宋体" w:cs="Times New Roman"/>
                      <w:i w:val="0"/>
                      <w:iCs w:val="0"/>
                      <w:color w:val="auto"/>
                      <w:kern w:val="0"/>
                      <w:sz w:val="21"/>
                      <w:szCs w:val="21"/>
                      <w:u w:val="none"/>
                      <w:lang w:val="en-US" w:eastAsia="zh-CN" w:bidi="ar"/>
                    </w:rPr>
                    <w:t>0.004</w:t>
                  </w:r>
                </w:p>
              </w:tc>
              <w:tc>
                <w:tcPr>
                  <w:tcW w:w="750" w:type="dxa"/>
                  <w:vAlign w:val="center"/>
                </w:tcPr>
                <w:p w14:paraId="2C252BF2">
                  <w:pPr>
                    <w:keepNext w:val="0"/>
                    <w:keepLines w:val="0"/>
                    <w:widowControl/>
                    <w:suppressLineNumbers w:val="0"/>
                    <w:jc w:val="center"/>
                    <w:textAlignment w:val="center"/>
                    <w:rPr>
                      <w:rFonts w:hint="default" w:ascii="Times New Roman" w:hAnsi="Times New Roman" w:eastAsia="宋体" w:cs="Times New Roman"/>
                      <w:color w:val="auto"/>
                      <w:sz w:val="21"/>
                      <w:szCs w:val="21"/>
                      <w:vertAlign w:val="baseline"/>
                      <w:lang w:val="en-US" w:eastAsia="zh-CN"/>
                    </w:rPr>
                  </w:pPr>
                  <w:r>
                    <w:rPr>
                      <w:rFonts w:hint="default" w:ascii="Times New Roman" w:hAnsi="Times New Roman" w:eastAsia="宋体" w:cs="Times New Roman"/>
                      <w:i w:val="0"/>
                      <w:iCs w:val="0"/>
                      <w:color w:val="auto"/>
                      <w:kern w:val="0"/>
                      <w:sz w:val="21"/>
                      <w:szCs w:val="21"/>
                      <w:u w:val="none"/>
                      <w:lang w:val="en-US" w:eastAsia="zh-CN" w:bidi="ar"/>
                    </w:rPr>
                    <w:t>0.004</w:t>
                  </w:r>
                </w:p>
              </w:tc>
              <w:tc>
                <w:tcPr>
                  <w:tcW w:w="690" w:type="dxa"/>
                  <w:vAlign w:val="center"/>
                </w:tcPr>
                <w:p w14:paraId="37998361">
                  <w:pPr>
                    <w:keepNext w:val="0"/>
                    <w:keepLines w:val="0"/>
                    <w:widowControl/>
                    <w:suppressLineNumbers w:val="0"/>
                    <w:jc w:val="center"/>
                    <w:textAlignment w:val="center"/>
                    <w:rPr>
                      <w:rFonts w:hint="default" w:ascii="Times New Roman" w:hAnsi="Times New Roman" w:eastAsia="宋体" w:cs="Times New Roman"/>
                      <w:color w:val="auto"/>
                      <w:sz w:val="21"/>
                      <w:szCs w:val="21"/>
                      <w:vertAlign w:val="baseline"/>
                      <w:lang w:val="en-US" w:eastAsia="zh-CN"/>
                    </w:rPr>
                  </w:pPr>
                  <w:r>
                    <w:rPr>
                      <w:rFonts w:hint="default" w:ascii="Times New Roman" w:hAnsi="Times New Roman" w:eastAsia="宋体" w:cs="Times New Roman"/>
                      <w:i w:val="0"/>
                      <w:iCs w:val="0"/>
                      <w:color w:val="auto"/>
                      <w:kern w:val="0"/>
                      <w:sz w:val="21"/>
                      <w:szCs w:val="21"/>
                      <w:u w:val="none"/>
                      <w:lang w:val="en-US" w:eastAsia="zh-CN" w:bidi="ar"/>
                    </w:rPr>
                    <w:t>0.006</w:t>
                  </w:r>
                </w:p>
              </w:tc>
              <w:tc>
                <w:tcPr>
                  <w:tcW w:w="810" w:type="dxa"/>
                  <w:vAlign w:val="center"/>
                </w:tcPr>
                <w:p w14:paraId="79830EF3">
                  <w:pPr>
                    <w:keepNext w:val="0"/>
                    <w:keepLines w:val="0"/>
                    <w:widowControl/>
                    <w:suppressLineNumbers w:val="0"/>
                    <w:jc w:val="center"/>
                    <w:textAlignment w:val="center"/>
                    <w:rPr>
                      <w:rFonts w:hint="default" w:ascii="Times New Roman" w:hAnsi="Times New Roman" w:eastAsia="宋体" w:cs="Times New Roman"/>
                      <w:color w:val="auto"/>
                      <w:sz w:val="21"/>
                      <w:szCs w:val="21"/>
                      <w:vertAlign w:val="baseline"/>
                      <w:lang w:val="en-US" w:eastAsia="zh-CN"/>
                    </w:rPr>
                  </w:pPr>
                  <w:r>
                    <w:rPr>
                      <w:rFonts w:hint="default" w:ascii="Times New Roman" w:hAnsi="Times New Roman" w:eastAsia="宋体" w:cs="Times New Roman"/>
                      <w:i w:val="0"/>
                      <w:iCs w:val="0"/>
                      <w:color w:val="auto"/>
                      <w:kern w:val="0"/>
                      <w:sz w:val="21"/>
                      <w:szCs w:val="21"/>
                      <w:u w:val="none"/>
                      <w:lang w:val="en-US" w:eastAsia="zh-CN" w:bidi="ar"/>
                    </w:rPr>
                    <w:t>0.000</w:t>
                  </w:r>
                  <w:r>
                    <w:rPr>
                      <w:rFonts w:hint="eastAsia" w:ascii="Times New Roman" w:hAnsi="Times New Roman" w:eastAsia="宋体" w:cs="Times New Roman"/>
                      <w:i w:val="0"/>
                      <w:iCs w:val="0"/>
                      <w:color w:val="auto"/>
                      <w:kern w:val="0"/>
                      <w:sz w:val="21"/>
                      <w:szCs w:val="21"/>
                      <w:u w:val="none"/>
                      <w:lang w:val="en-US" w:eastAsia="zh-CN" w:bidi="ar"/>
                    </w:rPr>
                    <w:t>2</w:t>
                  </w:r>
                </w:p>
              </w:tc>
              <w:tc>
                <w:tcPr>
                  <w:tcW w:w="868" w:type="dxa"/>
                  <w:vAlign w:val="center"/>
                </w:tcPr>
                <w:p w14:paraId="66C8CF87">
                  <w:pPr>
                    <w:keepNext w:val="0"/>
                    <w:keepLines w:val="0"/>
                    <w:widowControl/>
                    <w:suppressLineNumbers w:val="0"/>
                    <w:jc w:val="center"/>
                    <w:textAlignment w:val="center"/>
                    <w:rPr>
                      <w:rFonts w:hint="default" w:ascii="Times New Roman" w:hAnsi="Times New Roman" w:eastAsia="宋体" w:cs="Times New Roman"/>
                      <w:color w:val="auto"/>
                      <w:sz w:val="21"/>
                      <w:szCs w:val="21"/>
                      <w:vertAlign w:val="baseline"/>
                      <w:lang w:val="en-US" w:eastAsia="zh-CN"/>
                    </w:rPr>
                  </w:pPr>
                  <w:r>
                    <w:rPr>
                      <w:rFonts w:hint="default" w:ascii="Times New Roman" w:hAnsi="Times New Roman" w:eastAsia="宋体" w:cs="Times New Roman"/>
                      <w:i w:val="0"/>
                      <w:iCs w:val="0"/>
                      <w:color w:val="auto"/>
                      <w:kern w:val="0"/>
                      <w:sz w:val="21"/>
                      <w:szCs w:val="21"/>
                      <w:u w:val="none"/>
                      <w:lang w:val="en-US" w:eastAsia="zh-CN" w:bidi="ar"/>
                    </w:rPr>
                    <w:t>0.002</w:t>
                  </w:r>
                </w:p>
              </w:tc>
            </w:tr>
          </w:tbl>
          <w:p w14:paraId="166B3A02">
            <w:pPr>
              <w:numPr>
                <w:ilvl w:val="0"/>
                <w:numId w:val="52"/>
              </w:numPr>
              <w:bidi w:val="0"/>
              <w:spacing w:line="360" w:lineRule="auto"/>
              <w:ind w:left="0" w:leftChars="0" w:firstLine="482" w:firstLineChars="200"/>
              <w:rPr>
                <w:rFonts w:hint="eastAsia" w:cs="Times New Roman"/>
                <w:b/>
                <w:bCs/>
                <w:sz w:val="24"/>
                <w:szCs w:val="24"/>
                <w:lang w:val="en-US" w:eastAsia="zh-CN"/>
              </w:rPr>
            </w:pPr>
            <w:r>
              <w:rPr>
                <w:rFonts w:hint="eastAsia" w:cs="Times New Roman"/>
                <w:b/>
                <w:bCs/>
                <w:sz w:val="24"/>
                <w:szCs w:val="24"/>
                <w:lang w:val="en-US" w:eastAsia="zh-CN"/>
              </w:rPr>
              <w:t>废水影响分析</w:t>
            </w:r>
          </w:p>
          <w:p w14:paraId="72331C75">
            <w:pPr>
              <w:numPr>
                <w:ilvl w:val="0"/>
                <w:numId w:val="0"/>
              </w:numPr>
              <w:bidi w:val="0"/>
              <w:spacing w:line="360" w:lineRule="auto"/>
              <w:ind w:firstLine="480" w:firstLineChars="200"/>
              <w:rPr>
                <w:rFonts w:hint="eastAsia" w:cs="Times New Roman"/>
                <w:b w:val="0"/>
                <w:bCs w:val="0"/>
                <w:sz w:val="24"/>
                <w:szCs w:val="24"/>
                <w:lang w:val="en-US" w:eastAsia="zh-CN"/>
              </w:rPr>
            </w:pPr>
            <w:r>
              <w:rPr>
                <w:rFonts w:hint="eastAsia" w:cs="Times New Roman"/>
                <w:b w:val="0"/>
                <w:bCs w:val="0"/>
                <w:sz w:val="24"/>
                <w:szCs w:val="24"/>
                <w:lang w:val="en-US" w:eastAsia="zh-CN"/>
              </w:rPr>
              <w:t>评价主要从水污染控制和水环境影响减缓措施有效性评价及依托污水处理设施的环境可行性评价。</w:t>
            </w:r>
          </w:p>
          <w:p w14:paraId="6609779F">
            <w:pPr>
              <w:numPr>
                <w:ilvl w:val="0"/>
                <w:numId w:val="53"/>
              </w:numPr>
              <w:bidi w:val="0"/>
              <w:spacing w:line="360" w:lineRule="auto"/>
              <w:ind w:firstLine="482" w:firstLineChars="200"/>
              <w:rPr>
                <w:rFonts w:hint="eastAsia" w:cs="Times New Roman"/>
                <w:color w:val="auto"/>
                <w:sz w:val="24"/>
                <w:szCs w:val="24"/>
                <w:lang w:val="en-US" w:eastAsia="zh-CN"/>
              </w:rPr>
            </w:pPr>
            <w:r>
              <w:rPr>
                <w:rFonts w:hint="eastAsia" w:cs="Times New Roman"/>
                <w:b/>
                <w:bCs/>
                <w:sz w:val="24"/>
                <w:szCs w:val="24"/>
                <w:lang w:val="en-US" w:eastAsia="zh-CN"/>
              </w:rPr>
              <w:t>措施有效性分析</w:t>
            </w:r>
          </w:p>
          <w:p w14:paraId="49F21B9B">
            <w:pPr>
              <w:numPr>
                <w:ilvl w:val="0"/>
                <w:numId w:val="0"/>
              </w:numPr>
              <w:bidi w:val="0"/>
              <w:spacing w:line="360" w:lineRule="auto"/>
              <w:ind w:firstLine="480" w:firstLineChars="200"/>
              <w:rPr>
                <w:rFonts w:hint="eastAsia" w:cs="Times New Roman"/>
                <w:color w:val="auto"/>
                <w:sz w:val="24"/>
                <w:szCs w:val="24"/>
                <w:lang w:val="en-US" w:eastAsia="zh-CN"/>
              </w:rPr>
            </w:pPr>
            <w:r>
              <w:rPr>
                <w:rFonts w:hint="eastAsia" w:cs="Times New Roman"/>
                <w:sz w:val="24"/>
                <w:szCs w:val="24"/>
                <w:lang w:val="en-US" w:eastAsia="zh-CN"/>
              </w:rPr>
              <w:t>本项目生活污水来自厂区员工日常生活，属于典型的城市生活用水，主要污染物成分为COD</w:t>
            </w:r>
            <w:r>
              <w:rPr>
                <w:rFonts w:hint="eastAsia" w:cs="Times New Roman"/>
                <w:sz w:val="24"/>
                <w:szCs w:val="24"/>
                <w:vertAlign w:val="subscript"/>
                <w:lang w:val="en-US" w:eastAsia="zh-CN"/>
              </w:rPr>
              <w:t>Cr</w:t>
            </w:r>
            <w:r>
              <w:rPr>
                <w:rFonts w:hint="eastAsia" w:cs="Times New Roman"/>
                <w:sz w:val="24"/>
                <w:szCs w:val="24"/>
                <w:lang w:val="en-US" w:eastAsia="zh-CN"/>
              </w:rPr>
              <w:t>、BOD</w:t>
            </w:r>
            <w:r>
              <w:rPr>
                <w:rFonts w:hint="eastAsia" w:cs="Times New Roman"/>
                <w:sz w:val="24"/>
                <w:szCs w:val="24"/>
                <w:vertAlign w:val="subscript"/>
                <w:lang w:val="en-US" w:eastAsia="zh-CN"/>
              </w:rPr>
              <w:t>5</w:t>
            </w:r>
            <w:r>
              <w:rPr>
                <w:rFonts w:hint="eastAsia" w:cs="Times New Roman"/>
                <w:sz w:val="24"/>
                <w:szCs w:val="24"/>
                <w:lang w:val="en-US" w:eastAsia="zh-CN"/>
              </w:rPr>
              <w:t>、SS、氨氮等，经常规预处理池预处理后出水水质能满足安居区龙眼井污水处理厂的接</w:t>
            </w:r>
            <w:r>
              <w:rPr>
                <w:rFonts w:hint="eastAsia" w:cs="Times New Roman"/>
                <w:color w:val="auto"/>
                <w:sz w:val="24"/>
                <w:szCs w:val="24"/>
                <w:lang w:val="en-US" w:eastAsia="zh-CN"/>
              </w:rPr>
              <w:t>管要求。</w:t>
            </w:r>
          </w:p>
          <w:p w14:paraId="02FB57D7">
            <w:pPr>
              <w:numPr>
                <w:ilvl w:val="0"/>
                <w:numId w:val="53"/>
              </w:numPr>
              <w:bidi w:val="0"/>
              <w:spacing w:line="360" w:lineRule="auto"/>
              <w:ind w:left="0" w:leftChars="0" w:firstLine="482" w:firstLineChars="200"/>
              <w:rPr>
                <w:rFonts w:hint="eastAsia" w:cs="Times New Roman"/>
                <w:b/>
                <w:bCs/>
                <w:color w:val="auto"/>
                <w:sz w:val="24"/>
                <w:szCs w:val="24"/>
                <w:lang w:val="en-US" w:eastAsia="zh-CN"/>
              </w:rPr>
            </w:pPr>
            <w:r>
              <w:rPr>
                <w:rFonts w:hint="eastAsia" w:cs="Times New Roman"/>
                <w:b/>
                <w:bCs/>
                <w:color w:val="auto"/>
                <w:sz w:val="24"/>
                <w:szCs w:val="24"/>
                <w:lang w:val="en-US" w:eastAsia="zh-CN"/>
              </w:rPr>
              <w:t>依托可行性分析</w:t>
            </w:r>
          </w:p>
          <w:p w14:paraId="6EEBDB47">
            <w:pPr>
              <w:numPr>
                <w:ilvl w:val="0"/>
                <w:numId w:val="0"/>
              </w:numPr>
              <w:bidi w:val="0"/>
              <w:spacing w:line="360" w:lineRule="auto"/>
              <w:ind w:firstLine="482" w:firstLineChars="200"/>
              <w:rPr>
                <w:rFonts w:hint="eastAsia" w:cs="Times New Roman"/>
                <w:b/>
                <w:bCs/>
                <w:color w:val="auto"/>
                <w:sz w:val="24"/>
                <w:szCs w:val="24"/>
                <w:lang w:val="en-US" w:eastAsia="zh-CN"/>
              </w:rPr>
            </w:pPr>
            <w:r>
              <w:rPr>
                <w:rFonts w:hint="eastAsia" w:cs="Times New Roman"/>
                <w:b/>
                <w:bCs/>
                <w:color w:val="auto"/>
                <w:sz w:val="24"/>
                <w:szCs w:val="24"/>
                <w:lang w:val="en-US" w:eastAsia="zh-CN"/>
              </w:rPr>
              <w:t>①废水治理措施依托可行性分</w:t>
            </w:r>
          </w:p>
          <w:p w14:paraId="79BB2395">
            <w:pPr>
              <w:numPr>
                <w:ilvl w:val="0"/>
                <w:numId w:val="0"/>
              </w:numPr>
              <w:bidi w:val="0"/>
              <w:spacing w:line="360" w:lineRule="auto"/>
              <w:ind w:firstLine="480" w:firstLineChars="200"/>
              <w:rPr>
                <w:rFonts w:hint="eastAsia" w:cs="Times New Roman"/>
                <w:color w:val="auto"/>
                <w:sz w:val="24"/>
                <w:szCs w:val="24"/>
                <w:lang w:val="en-US" w:eastAsia="zh-CN"/>
              </w:rPr>
            </w:pPr>
            <w:r>
              <w:rPr>
                <w:rFonts w:hint="eastAsia" w:cs="Times New Roman"/>
                <w:color w:val="auto"/>
                <w:sz w:val="24"/>
                <w:szCs w:val="24"/>
                <w:lang w:val="en-US" w:eastAsia="zh-CN"/>
              </w:rPr>
              <w:t>根据现场调查，租赁遂宁柔刚投资集团有限公司厂区已建1个预处理池，容积为36m</w:t>
            </w:r>
            <w:r>
              <w:rPr>
                <w:rFonts w:hint="eastAsia" w:cs="Times New Roman"/>
                <w:color w:val="auto"/>
                <w:sz w:val="24"/>
                <w:szCs w:val="24"/>
                <w:vertAlign w:val="superscript"/>
                <w:lang w:val="en-US" w:eastAsia="zh-CN"/>
              </w:rPr>
              <w:t>3</w:t>
            </w:r>
            <w:r>
              <w:rPr>
                <w:rFonts w:hint="eastAsia" w:cs="Times New Roman"/>
                <w:color w:val="auto"/>
                <w:sz w:val="24"/>
                <w:szCs w:val="24"/>
                <w:lang w:val="en-US" w:eastAsia="zh-CN"/>
              </w:rPr>
              <w:t>，位于厂区西北侧。根据业主提供的资料，租赁厂区预处理池剩余容积约24m</w:t>
            </w:r>
            <w:r>
              <w:rPr>
                <w:rFonts w:hint="eastAsia" w:cs="Times New Roman"/>
                <w:color w:val="auto"/>
                <w:sz w:val="24"/>
                <w:szCs w:val="24"/>
                <w:vertAlign w:val="superscript"/>
                <w:lang w:val="en-US" w:eastAsia="zh-CN"/>
              </w:rPr>
              <w:t>3</w:t>
            </w:r>
            <w:r>
              <w:rPr>
                <w:rFonts w:hint="eastAsia" w:cs="Times New Roman"/>
                <w:color w:val="auto"/>
                <w:sz w:val="24"/>
                <w:szCs w:val="24"/>
                <w:lang w:val="en-US" w:eastAsia="zh-CN"/>
              </w:rPr>
              <w:t>，污水停留周期按24h计，污水变化系数按1.2计；经核算，本项目生活污水预处理所需处理池容积应不小于0.408m</w:t>
            </w:r>
            <w:r>
              <w:rPr>
                <w:rFonts w:hint="eastAsia" w:cs="Times New Roman"/>
                <w:color w:val="auto"/>
                <w:sz w:val="24"/>
                <w:szCs w:val="24"/>
                <w:vertAlign w:val="superscript"/>
                <w:lang w:val="en-US" w:eastAsia="zh-CN"/>
              </w:rPr>
              <w:t>3</w:t>
            </w:r>
            <w:r>
              <w:rPr>
                <w:rFonts w:hint="eastAsia" w:cs="Times New Roman"/>
                <w:color w:val="auto"/>
                <w:sz w:val="24"/>
                <w:szCs w:val="24"/>
                <w:lang w:val="en-US" w:eastAsia="zh-CN"/>
              </w:rPr>
              <w:t>。因此，厂区预处理池容量可满足本项目污水的处理要求。</w:t>
            </w:r>
          </w:p>
          <w:p w14:paraId="1085D23B">
            <w:pPr>
              <w:numPr>
                <w:ilvl w:val="0"/>
                <w:numId w:val="0"/>
              </w:numPr>
              <w:bidi w:val="0"/>
              <w:spacing w:line="360" w:lineRule="auto"/>
              <w:ind w:firstLine="480" w:firstLineChars="200"/>
              <w:rPr>
                <w:rFonts w:hint="eastAsia" w:cs="Times New Roman"/>
                <w:sz w:val="24"/>
                <w:szCs w:val="24"/>
                <w:lang w:val="en-US" w:eastAsia="zh-CN"/>
              </w:rPr>
            </w:pPr>
            <w:r>
              <w:rPr>
                <w:rFonts w:hint="eastAsia" w:cs="Times New Roman"/>
                <w:color w:val="auto"/>
                <w:sz w:val="24"/>
                <w:szCs w:val="24"/>
                <w:lang w:val="en-US" w:eastAsia="zh-CN"/>
              </w:rPr>
              <w:t>本项目废水种类只包括生活废水，经预处理池处理后污水主要污染物为化学需氧量和氨氮等，不存在有毒有害物质，能够满足（GB8978-1996）《污水综合排放标准》三级标准。因此，依托厂区现有预处理池处理废水可行</w:t>
            </w:r>
            <w:r>
              <w:rPr>
                <w:rFonts w:hint="eastAsia" w:cs="Times New Roman"/>
                <w:sz w:val="24"/>
                <w:szCs w:val="24"/>
                <w:lang w:val="en-US" w:eastAsia="zh-CN"/>
              </w:rPr>
              <w:t>。</w:t>
            </w:r>
          </w:p>
          <w:p w14:paraId="6C67BDF9">
            <w:pPr>
              <w:numPr>
                <w:ilvl w:val="0"/>
                <w:numId w:val="0"/>
              </w:numPr>
              <w:bidi w:val="0"/>
              <w:spacing w:line="360" w:lineRule="auto"/>
              <w:ind w:firstLine="482" w:firstLineChars="200"/>
              <w:rPr>
                <w:rFonts w:hint="eastAsia" w:cs="Times New Roman"/>
                <w:b/>
                <w:bCs/>
                <w:sz w:val="24"/>
                <w:szCs w:val="24"/>
                <w:lang w:val="en-US" w:eastAsia="zh-CN"/>
              </w:rPr>
            </w:pPr>
            <w:r>
              <w:rPr>
                <w:rFonts w:hint="eastAsia" w:cs="Times New Roman"/>
                <w:b/>
                <w:bCs/>
                <w:sz w:val="24"/>
                <w:szCs w:val="24"/>
                <w:lang w:val="en-US" w:eastAsia="zh-CN"/>
              </w:rPr>
              <w:t>②依托安居区龙眼井污水处理厂处理可行性分析</w:t>
            </w:r>
          </w:p>
          <w:p w14:paraId="2B5202F0">
            <w:pPr>
              <w:numPr>
                <w:ilvl w:val="0"/>
                <w:numId w:val="0"/>
              </w:numPr>
              <w:bidi w:val="0"/>
              <w:spacing w:line="360" w:lineRule="auto"/>
              <w:ind w:firstLine="480" w:firstLineChars="200"/>
              <w:rPr>
                <w:rFonts w:hint="eastAsia" w:cs="Times New Roman"/>
                <w:sz w:val="24"/>
                <w:szCs w:val="24"/>
                <w:lang w:val="en-US" w:eastAsia="zh-CN"/>
              </w:rPr>
            </w:pPr>
            <w:r>
              <w:rPr>
                <w:rFonts w:hint="eastAsia" w:cs="Times New Roman"/>
                <w:sz w:val="24"/>
                <w:szCs w:val="24"/>
                <w:lang w:val="en-US" w:eastAsia="zh-CN"/>
              </w:rPr>
              <w:t>龙眼井污水处理厂位于安居区龙眼井村，占地面积约50亩，设计废水处理规模为1.6万m</w:t>
            </w:r>
            <w:r>
              <w:rPr>
                <w:rFonts w:hint="eastAsia" w:cs="Times New Roman"/>
                <w:sz w:val="24"/>
                <w:szCs w:val="24"/>
                <w:vertAlign w:val="superscript"/>
                <w:lang w:val="en-US" w:eastAsia="zh-CN"/>
              </w:rPr>
              <w:t>3</w:t>
            </w:r>
            <w:r>
              <w:rPr>
                <w:rFonts w:hint="eastAsia" w:cs="Times New Roman"/>
                <w:sz w:val="24"/>
                <w:szCs w:val="24"/>
                <w:lang w:val="en-US" w:eastAsia="zh-CN"/>
              </w:rPr>
              <w:t>/d，采用CASS+D型滤池污水处理工艺，尾水达《城镇污水处理厂污染物排放标准》（GB18918-2002）中一级A标准排入琼江；龙眼井污水处理厂工程于2013年10月开工建设，已于2015年4月完工并投入运行。</w:t>
            </w:r>
          </w:p>
          <w:p w14:paraId="00ED3F15">
            <w:pPr>
              <w:numPr>
                <w:ilvl w:val="0"/>
                <w:numId w:val="54"/>
              </w:numPr>
              <w:bidi w:val="0"/>
              <w:spacing w:line="360" w:lineRule="auto"/>
              <w:ind w:firstLine="482" w:firstLineChars="200"/>
              <w:rPr>
                <w:rFonts w:hint="eastAsia" w:cs="Times New Roman"/>
                <w:b/>
                <w:bCs/>
                <w:sz w:val="24"/>
                <w:szCs w:val="24"/>
                <w:lang w:val="en-US" w:eastAsia="zh-CN"/>
              </w:rPr>
            </w:pPr>
            <w:r>
              <w:rPr>
                <w:rFonts w:hint="eastAsia" w:cs="Times New Roman"/>
                <w:b/>
                <w:bCs/>
                <w:sz w:val="24"/>
                <w:szCs w:val="24"/>
                <w:lang w:val="en-US" w:eastAsia="zh-CN"/>
              </w:rPr>
              <w:t>纳管可行性</w:t>
            </w:r>
          </w:p>
          <w:p w14:paraId="299264BF">
            <w:pPr>
              <w:numPr>
                <w:ilvl w:val="0"/>
                <w:numId w:val="0"/>
              </w:numPr>
              <w:bidi w:val="0"/>
              <w:spacing w:line="360" w:lineRule="auto"/>
              <w:ind w:firstLine="480" w:firstLineChars="200"/>
              <w:rPr>
                <w:rFonts w:hint="eastAsia" w:cs="Times New Roman"/>
                <w:sz w:val="24"/>
                <w:szCs w:val="24"/>
                <w:lang w:val="en-US" w:eastAsia="zh-CN"/>
              </w:rPr>
            </w:pPr>
            <w:r>
              <w:rPr>
                <w:rFonts w:hint="eastAsia" w:cs="Times New Roman"/>
                <w:sz w:val="24"/>
                <w:szCs w:val="24"/>
                <w:lang w:val="en-US" w:eastAsia="zh-CN"/>
              </w:rPr>
              <w:t>根据现场调查，本项目所在的梧桐北路污水管网已经全部建成，且与龙眼井污水处理厂相接；因此，本项目位于龙眼井污水处理厂的纳污范围内，生活污水经预处理达标后，在梧桐北路碰管后通过污水管网可排入龙眼井污水处理厂进行处理。</w:t>
            </w:r>
          </w:p>
          <w:p w14:paraId="35C0E91A">
            <w:pPr>
              <w:numPr>
                <w:ilvl w:val="0"/>
                <w:numId w:val="54"/>
              </w:numPr>
              <w:bidi w:val="0"/>
              <w:spacing w:line="360" w:lineRule="auto"/>
              <w:ind w:firstLine="482" w:firstLineChars="200"/>
              <w:rPr>
                <w:rFonts w:hint="eastAsia" w:cs="Times New Roman"/>
                <w:b/>
                <w:bCs/>
                <w:sz w:val="24"/>
                <w:szCs w:val="24"/>
                <w:lang w:val="en-US" w:eastAsia="zh-CN"/>
              </w:rPr>
            </w:pPr>
            <w:r>
              <w:rPr>
                <w:rFonts w:hint="eastAsia" w:cs="Times New Roman"/>
                <w:b/>
                <w:bCs/>
                <w:sz w:val="24"/>
                <w:szCs w:val="24"/>
                <w:lang w:val="en-US" w:eastAsia="zh-CN"/>
              </w:rPr>
              <w:t>水质可行性</w:t>
            </w:r>
          </w:p>
          <w:p w14:paraId="30EE7431">
            <w:pPr>
              <w:numPr>
                <w:ilvl w:val="0"/>
                <w:numId w:val="0"/>
              </w:numPr>
              <w:bidi w:val="0"/>
              <w:spacing w:line="360" w:lineRule="auto"/>
              <w:ind w:firstLine="480" w:firstLineChars="200"/>
              <w:rPr>
                <w:rFonts w:hint="eastAsia" w:cs="Times New Roman"/>
                <w:sz w:val="24"/>
                <w:szCs w:val="24"/>
                <w:lang w:val="en-US" w:eastAsia="zh-CN"/>
              </w:rPr>
            </w:pPr>
            <w:r>
              <w:rPr>
                <w:rFonts w:hint="eastAsia" w:cs="Times New Roman"/>
                <w:sz w:val="24"/>
                <w:szCs w:val="24"/>
                <w:lang w:val="en-US" w:eastAsia="zh-CN"/>
              </w:rPr>
              <w:t>为保证物龙眼井污水处理厂正常有效地运转，需严格控制污水处理厂接纳的工业、企业所排出的废水水质，其接纳水质必须达到（GB8978-1996）《污水综合排放标准》三级标准限值要求。根据工程分析，本项目外排废水污染物浓度均可达到《污水综合排放标准》（GB8978-1996）三级标准要求，满足污水处理厂进水水质要求，符合其纳管水质标准。</w:t>
            </w:r>
          </w:p>
          <w:p w14:paraId="78CA3673">
            <w:pPr>
              <w:numPr>
                <w:ilvl w:val="0"/>
                <w:numId w:val="54"/>
              </w:numPr>
              <w:bidi w:val="0"/>
              <w:spacing w:line="360" w:lineRule="auto"/>
              <w:ind w:firstLine="482" w:firstLineChars="200"/>
              <w:rPr>
                <w:rFonts w:hint="eastAsia" w:cs="Times New Roman"/>
                <w:b/>
                <w:bCs/>
                <w:sz w:val="24"/>
                <w:szCs w:val="24"/>
                <w:lang w:val="en-US" w:eastAsia="zh-CN"/>
              </w:rPr>
            </w:pPr>
            <w:r>
              <w:rPr>
                <w:rFonts w:hint="eastAsia" w:cs="Times New Roman"/>
                <w:b/>
                <w:bCs/>
                <w:sz w:val="24"/>
                <w:szCs w:val="24"/>
                <w:lang w:val="en-US" w:eastAsia="zh-CN"/>
              </w:rPr>
              <w:t>水量可行性</w:t>
            </w:r>
          </w:p>
          <w:p w14:paraId="76FCE20D">
            <w:pPr>
              <w:numPr>
                <w:ilvl w:val="0"/>
                <w:numId w:val="0"/>
              </w:numPr>
              <w:bidi w:val="0"/>
              <w:spacing w:line="360" w:lineRule="auto"/>
              <w:ind w:firstLine="480" w:firstLineChars="200"/>
              <w:rPr>
                <w:rFonts w:hint="eastAsia" w:cs="Times New Roman"/>
                <w:sz w:val="24"/>
                <w:szCs w:val="24"/>
                <w:lang w:val="en-US" w:eastAsia="zh-CN"/>
              </w:rPr>
            </w:pPr>
            <w:r>
              <w:rPr>
                <w:rFonts w:hint="eastAsia" w:cs="Times New Roman"/>
                <w:sz w:val="24"/>
                <w:szCs w:val="24"/>
                <w:lang w:val="en-US" w:eastAsia="zh-CN"/>
              </w:rPr>
              <w:t>龙眼井污水处理厂设计处理能力为1.6万m</w:t>
            </w:r>
            <w:r>
              <w:rPr>
                <w:rFonts w:hint="eastAsia" w:cs="Times New Roman"/>
                <w:sz w:val="24"/>
                <w:szCs w:val="24"/>
                <w:vertAlign w:val="superscript"/>
                <w:lang w:val="en-US" w:eastAsia="zh-CN"/>
              </w:rPr>
              <w:t>3</w:t>
            </w:r>
            <w:r>
              <w:rPr>
                <w:rFonts w:hint="eastAsia" w:cs="Times New Roman"/>
                <w:sz w:val="24"/>
                <w:szCs w:val="24"/>
                <w:lang w:val="en-US" w:eastAsia="zh-CN"/>
              </w:rPr>
              <w:t>/d，同时龙眼井污水处理厂现阶段处理量为1.54万m</w:t>
            </w:r>
            <w:r>
              <w:rPr>
                <w:rFonts w:hint="eastAsia" w:cs="Times New Roman"/>
                <w:sz w:val="24"/>
                <w:szCs w:val="24"/>
                <w:vertAlign w:val="superscript"/>
                <w:lang w:val="en-US" w:eastAsia="zh-CN"/>
              </w:rPr>
              <w:t>3</w:t>
            </w:r>
            <w:r>
              <w:rPr>
                <w:rFonts w:hint="eastAsia" w:cs="Times New Roman"/>
                <w:sz w:val="24"/>
                <w:szCs w:val="24"/>
                <w:lang w:val="en-US" w:eastAsia="zh-CN"/>
              </w:rPr>
              <w:t>/d，剩余约600m</w:t>
            </w:r>
            <w:r>
              <w:rPr>
                <w:rFonts w:hint="eastAsia" w:cs="Times New Roman"/>
                <w:sz w:val="24"/>
                <w:szCs w:val="24"/>
                <w:vertAlign w:val="superscript"/>
                <w:lang w:val="en-US" w:eastAsia="zh-CN"/>
              </w:rPr>
              <w:t>3</w:t>
            </w:r>
            <w:r>
              <w:rPr>
                <w:rFonts w:hint="eastAsia" w:cs="Times New Roman"/>
                <w:sz w:val="24"/>
                <w:szCs w:val="24"/>
                <w:lang w:val="en-US" w:eastAsia="zh-CN"/>
              </w:rPr>
              <w:t>/d处理量，有足够容量处理本项目外排废水（项目外排废水总量为0.34m</w:t>
            </w:r>
            <w:r>
              <w:rPr>
                <w:rFonts w:hint="eastAsia" w:cs="Times New Roman"/>
                <w:sz w:val="24"/>
                <w:szCs w:val="24"/>
                <w:vertAlign w:val="superscript"/>
                <w:lang w:val="en-US" w:eastAsia="zh-CN"/>
              </w:rPr>
              <w:t>3</w:t>
            </w:r>
            <w:r>
              <w:rPr>
                <w:rFonts w:hint="eastAsia" w:cs="Times New Roman"/>
                <w:sz w:val="24"/>
                <w:szCs w:val="24"/>
                <w:lang w:val="en-US" w:eastAsia="zh-CN"/>
              </w:rPr>
              <w:t>/d）。</w:t>
            </w:r>
          </w:p>
          <w:p w14:paraId="1F07F268">
            <w:pPr>
              <w:numPr>
                <w:ilvl w:val="0"/>
                <w:numId w:val="0"/>
              </w:numPr>
              <w:bidi w:val="0"/>
              <w:spacing w:line="360" w:lineRule="auto"/>
              <w:ind w:firstLine="480" w:firstLineChars="200"/>
              <w:rPr>
                <w:rFonts w:hint="eastAsia" w:cs="Times New Roman"/>
                <w:sz w:val="24"/>
                <w:szCs w:val="24"/>
                <w:lang w:val="en-US" w:eastAsia="zh-CN"/>
              </w:rPr>
            </w:pPr>
            <w:r>
              <w:rPr>
                <w:rFonts w:hint="eastAsia" w:cs="Times New Roman"/>
                <w:sz w:val="24"/>
                <w:szCs w:val="24"/>
                <w:lang w:val="en-US" w:eastAsia="zh-CN"/>
              </w:rPr>
              <w:t>综上，从纳管范围、水质达标以及处理能力而言，本项目废水排入安居区龙眼井污水处理厂进行处理是可行的。</w:t>
            </w:r>
          </w:p>
          <w:p w14:paraId="1A5497BB">
            <w:pPr>
              <w:numPr>
                <w:ilvl w:val="0"/>
                <w:numId w:val="0"/>
              </w:numPr>
              <w:bidi w:val="0"/>
              <w:spacing w:line="360" w:lineRule="auto"/>
              <w:ind w:firstLine="480" w:firstLineChars="200"/>
              <w:rPr>
                <w:rFonts w:hint="eastAsia" w:cs="Times New Roman"/>
                <w:sz w:val="24"/>
                <w:szCs w:val="24"/>
                <w:lang w:val="en-US" w:eastAsia="zh-CN"/>
              </w:rPr>
            </w:pPr>
            <w:r>
              <w:rPr>
                <w:rFonts w:hint="eastAsia" w:cs="Times New Roman"/>
                <w:sz w:val="24"/>
                <w:szCs w:val="24"/>
                <w:lang w:val="en-US" w:eastAsia="zh-CN"/>
              </w:rPr>
              <w:t>本项目营运期废水产生及排放统计情况见表4-3。</w:t>
            </w:r>
          </w:p>
          <w:p w14:paraId="1B784762">
            <w:pPr>
              <w:numPr>
                <w:ilvl w:val="0"/>
                <w:numId w:val="0"/>
              </w:numPr>
              <w:bidi w:val="0"/>
              <w:spacing w:line="360" w:lineRule="auto"/>
              <w:jc w:val="center"/>
              <w:rPr>
                <w:rFonts w:hint="eastAsia" w:cs="Times New Roman"/>
                <w:b/>
                <w:bCs/>
                <w:sz w:val="21"/>
                <w:szCs w:val="21"/>
                <w:vertAlign w:val="baseline"/>
                <w:lang w:val="en-US" w:eastAsia="zh-CN"/>
              </w:rPr>
            </w:pPr>
            <w:r>
              <w:rPr>
                <w:rFonts w:hint="eastAsia" w:cs="Times New Roman"/>
                <w:b/>
                <w:bCs/>
                <w:sz w:val="21"/>
                <w:szCs w:val="21"/>
                <w:lang w:val="en-US" w:eastAsia="zh-CN"/>
              </w:rPr>
              <w:t>表4-3 项目废水产生及排放情况表</w:t>
            </w:r>
          </w:p>
          <w:tbl>
            <w:tblPr>
              <w:tblStyle w:val="28"/>
              <w:tblW w:w="832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85"/>
              <w:gridCol w:w="1210"/>
              <w:gridCol w:w="3600"/>
              <w:gridCol w:w="2428"/>
            </w:tblGrid>
            <w:tr w14:paraId="02A340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85" w:type="dxa"/>
                  <w:vAlign w:val="center"/>
                </w:tcPr>
                <w:p w14:paraId="71ED9900">
                  <w:pPr>
                    <w:numPr>
                      <w:ilvl w:val="0"/>
                      <w:numId w:val="0"/>
                    </w:numPr>
                    <w:bidi w:val="0"/>
                    <w:spacing w:line="240" w:lineRule="auto"/>
                    <w:jc w:val="center"/>
                    <w:rPr>
                      <w:rFonts w:hint="eastAsia" w:cs="Times New Roman"/>
                      <w:b/>
                      <w:bCs/>
                      <w:sz w:val="21"/>
                      <w:szCs w:val="21"/>
                      <w:vertAlign w:val="baseline"/>
                      <w:lang w:val="en-US" w:eastAsia="zh-CN"/>
                    </w:rPr>
                  </w:pPr>
                  <w:r>
                    <w:rPr>
                      <w:rFonts w:hint="eastAsia" w:cs="Times New Roman"/>
                      <w:b/>
                      <w:bCs/>
                      <w:sz w:val="21"/>
                      <w:szCs w:val="21"/>
                      <w:vertAlign w:val="baseline"/>
                      <w:lang w:val="en-US" w:eastAsia="zh-CN"/>
                    </w:rPr>
                    <w:t>污染源</w:t>
                  </w:r>
                </w:p>
              </w:tc>
              <w:tc>
                <w:tcPr>
                  <w:tcW w:w="1210" w:type="dxa"/>
                  <w:vAlign w:val="center"/>
                </w:tcPr>
                <w:p w14:paraId="04F76F85">
                  <w:pPr>
                    <w:numPr>
                      <w:ilvl w:val="0"/>
                      <w:numId w:val="0"/>
                    </w:numPr>
                    <w:bidi w:val="0"/>
                    <w:spacing w:line="240" w:lineRule="auto"/>
                    <w:jc w:val="center"/>
                    <w:rPr>
                      <w:rFonts w:hint="eastAsia" w:cs="Times New Roman"/>
                      <w:b/>
                      <w:bCs/>
                      <w:sz w:val="21"/>
                      <w:szCs w:val="21"/>
                      <w:vertAlign w:val="baseline"/>
                      <w:lang w:val="en-US" w:eastAsia="zh-CN"/>
                    </w:rPr>
                  </w:pPr>
                  <w:r>
                    <w:rPr>
                      <w:rFonts w:hint="eastAsia" w:cs="Times New Roman"/>
                      <w:b/>
                      <w:bCs/>
                      <w:sz w:val="21"/>
                      <w:szCs w:val="21"/>
                      <w:vertAlign w:val="baseline"/>
                      <w:lang w:val="en-US" w:eastAsia="zh-CN"/>
                    </w:rPr>
                    <w:t>排放量</w:t>
                  </w:r>
                </w:p>
              </w:tc>
              <w:tc>
                <w:tcPr>
                  <w:tcW w:w="3600" w:type="dxa"/>
                  <w:vAlign w:val="center"/>
                </w:tcPr>
                <w:p w14:paraId="5071AD49">
                  <w:pPr>
                    <w:numPr>
                      <w:ilvl w:val="0"/>
                      <w:numId w:val="0"/>
                    </w:numPr>
                    <w:bidi w:val="0"/>
                    <w:spacing w:line="240" w:lineRule="auto"/>
                    <w:jc w:val="center"/>
                    <w:rPr>
                      <w:rFonts w:hint="eastAsia" w:cs="Times New Roman"/>
                      <w:b/>
                      <w:bCs/>
                      <w:sz w:val="21"/>
                      <w:szCs w:val="21"/>
                      <w:vertAlign w:val="baseline"/>
                      <w:lang w:val="en-US" w:eastAsia="zh-CN"/>
                    </w:rPr>
                  </w:pPr>
                  <w:r>
                    <w:rPr>
                      <w:rFonts w:hint="eastAsia" w:cs="Times New Roman"/>
                      <w:b/>
                      <w:bCs/>
                      <w:sz w:val="21"/>
                      <w:szCs w:val="21"/>
                      <w:vertAlign w:val="baseline"/>
                      <w:lang w:val="en-US" w:eastAsia="zh-CN"/>
                    </w:rPr>
                    <w:t>处理方式</w:t>
                  </w:r>
                </w:p>
              </w:tc>
              <w:tc>
                <w:tcPr>
                  <w:tcW w:w="2428" w:type="dxa"/>
                  <w:vAlign w:val="center"/>
                </w:tcPr>
                <w:p w14:paraId="343E2AFA">
                  <w:pPr>
                    <w:numPr>
                      <w:ilvl w:val="0"/>
                      <w:numId w:val="0"/>
                    </w:numPr>
                    <w:bidi w:val="0"/>
                    <w:spacing w:line="240" w:lineRule="auto"/>
                    <w:jc w:val="center"/>
                    <w:rPr>
                      <w:rFonts w:hint="eastAsia" w:cs="Times New Roman"/>
                      <w:b/>
                      <w:bCs/>
                      <w:sz w:val="21"/>
                      <w:szCs w:val="21"/>
                      <w:vertAlign w:val="baseline"/>
                      <w:lang w:val="en-US" w:eastAsia="zh-CN"/>
                    </w:rPr>
                  </w:pPr>
                  <w:r>
                    <w:rPr>
                      <w:rFonts w:hint="eastAsia" w:cs="Times New Roman"/>
                      <w:b/>
                      <w:bCs/>
                      <w:sz w:val="21"/>
                      <w:szCs w:val="21"/>
                      <w:vertAlign w:val="baseline"/>
                      <w:lang w:val="en-US" w:eastAsia="zh-CN"/>
                    </w:rPr>
                    <w:t>排放情况</w:t>
                  </w:r>
                </w:p>
              </w:tc>
            </w:tr>
            <w:tr w14:paraId="7FBD8E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85" w:type="dxa"/>
                  <w:vAlign w:val="center"/>
                </w:tcPr>
                <w:p w14:paraId="0EDD19B6">
                  <w:pPr>
                    <w:numPr>
                      <w:ilvl w:val="0"/>
                      <w:numId w:val="0"/>
                    </w:numPr>
                    <w:bidi w:val="0"/>
                    <w:spacing w:line="240" w:lineRule="auto"/>
                    <w:jc w:val="center"/>
                    <w:rPr>
                      <w:rFonts w:hint="eastAsia" w:cs="Times New Roman"/>
                      <w:sz w:val="21"/>
                      <w:szCs w:val="21"/>
                      <w:vertAlign w:val="baseline"/>
                      <w:lang w:val="en-US" w:eastAsia="zh-CN"/>
                    </w:rPr>
                  </w:pPr>
                  <w:r>
                    <w:rPr>
                      <w:rFonts w:hint="eastAsia" w:cs="Times New Roman"/>
                      <w:sz w:val="21"/>
                      <w:szCs w:val="21"/>
                      <w:vertAlign w:val="baseline"/>
                      <w:lang w:val="en-US" w:eastAsia="zh-CN"/>
                    </w:rPr>
                    <w:t>生活污水</w:t>
                  </w:r>
                </w:p>
              </w:tc>
              <w:tc>
                <w:tcPr>
                  <w:tcW w:w="1210" w:type="dxa"/>
                  <w:vAlign w:val="center"/>
                </w:tcPr>
                <w:p w14:paraId="14F87E04">
                  <w:pPr>
                    <w:numPr>
                      <w:ilvl w:val="0"/>
                      <w:numId w:val="0"/>
                    </w:numPr>
                    <w:bidi w:val="0"/>
                    <w:spacing w:line="240" w:lineRule="auto"/>
                    <w:jc w:val="center"/>
                    <w:rPr>
                      <w:rFonts w:hint="eastAsia" w:cs="Times New Roman"/>
                      <w:sz w:val="21"/>
                      <w:szCs w:val="21"/>
                      <w:vertAlign w:val="baseline"/>
                      <w:lang w:val="en-US" w:eastAsia="zh-CN"/>
                    </w:rPr>
                  </w:pPr>
                  <w:r>
                    <w:rPr>
                      <w:rFonts w:hint="eastAsia" w:cs="Times New Roman"/>
                      <w:sz w:val="21"/>
                      <w:szCs w:val="21"/>
                      <w:vertAlign w:val="baseline"/>
                      <w:lang w:val="en-US" w:eastAsia="zh-CN"/>
                    </w:rPr>
                    <w:t>0.34m</w:t>
                  </w:r>
                  <w:r>
                    <w:rPr>
                      <w:rFonts w:hint="eastAsia" w:cs="Times New Roman"/>
                      <w:sz w:val="21"/>
                      <w:szCs w:val="21"/>
                      <w:vertAlign w:val="superscript"/>
                      <w:lang w:val="en-US" w:eastAsia="zh-CN"/>
                    </w:rPr>
                    <w:t>3</w:t>
                  </w:r>
                  <w:r>
                    <w:rPr>
                      <w:rFonts w:hint="eastAsia" w:cs="Times New Roman"/>
                      <w:sz w:val="21"/>
                      <w:szCs w:val="21"/>
                      <w:vertAlign w:val="baseline"/>
                      <w:lang w:val="en-US" w:eastAsia="zh-CN"/>
                    </w:rPr>
                    <w:t>/d</w:t>
                  </w:r>
                </w:p>
              </w:tc>
              <w:tc>
                <w:tcPr>
                  <w:tcW w:w="3600" w:type="dxa"/>
                  <w:vAlign w:val="center"/>
                </w:tcPr>
                <w:p w14:paraId="6AB8B1BE">
                  <w:pPr>
                    <w:numPr>
                      <w:ilvl w:val="0"/>
                      <w:numId w:val="0"/>
                    </w:numPr>
                    <w:bidi w:val="0"/>
                    <w:spacing w:line="240" w:lineRule="auto"/>
                    <w:jc w:val="center"/>
                    <w:rPr>
                      <w:rFonts w:hint="eastAsia" w:cs="Times New Roman"/>
                      <w:sz w:val="21"/>
                      <w:szCs w:val="21"/>
                      <w:vertAlign w:val="baseline"/>
                      <w:lang w:val="en-US" w:eastAsia="zh-CN"/>
                    </w:rPr>
                  </w:pPr>
                  <w:r>
                    <w:rPr>
                      <w:rFonts w:hint="eastAsia" w:cs="Times New Roman"/>
                      <w:sz w:val="21"/>
                      <w:szCs w:val="21"/>
                      <w:vertAlign w:val="baseline"/>
                      <w:lang w:val="en-US" w:eastAsia="zh-CN"/>
                    </w:rPr>
                    <w:t>污水经厂区预处理池收集处理后，进入安居区龙眼井污水处理厂进行处理</w:t>
                  </w:r>
                </w:p>
              </w:tc>
              <w:tc>
                <w:tcPr>
                  <w:tcW w:w="2428" w:type="dxa"/>
                  <w:vAlign w:val="center"/>
                </w:tcPr>
                <w:p w14:paraId="3F55B0E4">
                  <w:pPr>
                    <w:numPr>
                      <w:ilvl w:val="0"/>
                      <w:numId w:val="0"/>
                    </w:numPr>
                    <w:bidi w:val="0"/>
                    <w:spacing w:line="240" w:lineRule="auto"/>
                    <w:jc w:val="center"/>
                    <w:rPr>
                      <w:rFonts w:hint="eastAsia" w:cs="Times New Roman"/>
                      <w:sz w:val="21"/>
                      <w:szCs w:val="21"/>
                      <w:vertAlign w:val="baseline"/>
                      <w:lang w:val="en-US" w:eastAsia="zh-CN"/>
                    </w:rPr>
                  </w:pPr>
                  <w:r>
                    <w:rPr>
                      <w:rFonts w:hint="eastAsia" w:cs="Times New Roman"/>
                      <w:sz w:val="21"/>
                      <w:szCs w:val="21"/>
                      <w:vertAlign w:val="baseline"/>
                      <w:lang w:val="en-US" w:eastAsia="zh-CN"/>
                    </w:rPr>
                    <w:t>安居区龙眼井污水处理厂处理后达标排入琼江</w:t>
                  </w:r>
                </w:p>
              </w:tc>
            </w:tr>
          </w:tbl>
          <w:p w14:paraId="7879300E">
            <w:pPr>
              <w:numPr>
                <w:ilvl w:val="0"/>
                <w:numId w:val="52"/>
              </w:numPr>
              <w:bidi w:val="0"/>
              <w:spacing w:line="360" w:lineRule="auto"/>
              <w:ind w:left="0" w:leftChars="0" w:firstLine="482" w:firstLineChars="200"/>
              <w:rPr>
                <w:rFonts w:hint="eastAsia" w:cs="Times New Roman"/>
                <w:b/>
                <w:bCs/>
                <w:sz w:val="24"/>
                <w:szCs w:val="24"/>
                <w:lang w:val="en-US" w:eastAsia="zh-CN"/>
              </w:rPr>
            </w:pPr>
            <w:r>
              <w:rPr>
                <w:rFonts w:hint="eastAsia" w:cs="Times New Roman"/>
                <w:b/>
                <w:bCs/>
                <w:sz w:val="24"/>
                <w:szCs w:val="24"/>
                <w:lang w:val="en-US" w:eastAsia="zh-CN"/>
              </w:rPr>
              <w:t>监测计划</w:t>
            </w:r>
          </w:p>
          <w:p w14:paraId="5BE4F982">
            <w:pPr>
              <w:numPr>
                <w:ilvl w:val="0"/>
                <w:numId w:val="0"/>
              </w:numPr>
              <w:bidi w:val="0"/>
              <w:spacing w:line="360" w:lineRule="auto"/>
              <w:ind w:firstLine="480" w:firstLineChars="200"/>
              <w:rPr>
                <w:rFonts w:hint="eastAsia" w:cs="Times New Roman"/>
                <w:sz w:val="24"/>
                <w:szCs w:val="24"/>
                <w:lang w:val="en-US" w:eastAsia="zh-CN"/>
              </w:rPr>
            </w:pPr>
            <w:r>
              <w:rPr>
                <w:rFonts w:hint="eastAsia" w:cs="Times New Roman"/>
                <w:sz w:val="24"/>
                <w:szCs w:val="24"/>
                <w:lang w:val="en-US" w:eastAsia="zh-CN"/>
              </w:rPr>
              <w:t>本项目无生产废水，外排废水主要为生活污水，参考《排污许可证申请与核发技术规范—工业固体废物和危险废物治理》（HJ1033-2019）7.3.2.3的规定：单独排向市政污水处理厂的生活污水不要求开展自行监测。</w:t>
            </w:r>
          </w:p>
          <w:p w14:paraId="024F984F">
            <w:pPr>
              <w:numPr>
                <w:ilvl w:val="0"/>
                <w:numId w:val="51"/>
              </w:numPr>
              <w:bidi w:val="0"/>
              <w:spacing w:line="360" w:lineRule="auto"/>
              <w:ind w:left="0" w:leftChars="0" w:firstLine="482" w:firstLineChars="200"/>
              <w:rPr>
                <w:rFonts w:hint="default" w:ascii="Times New Roman" w:hAnsi="Times New Roman" w:eastAsia="宋体" w:cs="Times New Roman"/>
                <w:b/>
                <w:bCs/>
                <w:sz w:val="24"/>
                <w:szCs w:val="24"/>
                <w:lang w:val="en-US" w:eastAsia="zh-CN"/>
              </w:rPr>
            </w:pPr>
            <w:r>
              <w:rPr>
                <w:rFonts w:hint="default" w:ascii="Times New Roman" w:hAnsi="Times New Roman" w:eastAsia="宋体" w:cs="Times New Roman"/>
                <w:b/>
                <w:bCs/>
                <w:sz w:val="24"/>
                <w:szCs w:val="24"/>
                <w:lang w:val="en-US" w:eastAsia="zh-CN"/>
              </w:rPr>
              <w:t>废气</w:t>
            </w:r>
          </w:p>
          <w:p w14:paraId="17DD851A">
            <w:pPr>
              <w:numPr>
                <w:ilvl w:val="0"/>
                <w:numId w:val="55"/>
              </w:numPr>
              <w:bidi w:val="0"/>
              <w:spacing w:line="360" w:lineRule="auto"/>
              <w:ind w:firstLine="482" w:firstLineChars="200"/>
              <w:rPr>
                <w:rFonts w:hint="eastAsia" w:cs="Times New Roman"/>
                <w:b/>
                <w:bCs/>
                <w:sz w:val="24"/>
                <w:szCs w:val="24"/>
                <w:lang w:val="en-US" w:eastAsia="zh-CN"/>
              </w:rPr>
            </w:pPr>
            <w:r>
              <w:rPr>
                <w:rFonts w:hint="eastAsia" w:ascii="Times New Roman" w:hAnsi="Times New Roman" w:eastAsia="宋体" w:cs="Times New Roman"/>
                <w:b/>
                <w:bCs/>
                <w:sz w:val="24"/>
                <w:szCs w:val="24"/>
                <w:lang w:val="en-US" w:eastAsia="zh-CN"/>
              </w:rPr>
              <w:t>产排污环节及污染物种类</w:t>
            </w:r>
          </w:p>
          <w:p w14:paraId="75D73C1C">
            <w:pPr>
              <w:numPr>
                <w:ilvl w:val="0"/>
                <w:numId w:val="0"/>
              </w:numPr>
              <w:bidi w:val="0"/>
              <w:spacing w:line="360" w:lineRule="auto"/>
              <w:ind w:firstLine="480" w:firstLineChars="200"/>
              <w:rPr>
                <w:rFonts w:hint="eastAsia" w:cs="Times New Roman"/>
                <w:sz w:val="24"/>
                <w:szCs w:val="24"/>
                <w:lang w:val="en-US" w:eastAsia="zh-CN"/>
              </w:rPr>
            </w:pPr>
            <w:r>
              <w:rPr>
                <w:rFonts w:hint="eastAsia" w:cs="Times New Roman"/>
                <w:sz w:val="24"/>
                <w:szCs w:val="24"/>
                <w:lang w:val="en-US" w:eastAsia="zh-CN"/>
              </w:rPr>
              <w:t>本项目收集的危险废物封装在密闭的容器内，且经专用车辆运至本项目贮存区，仅对废矿物油进行贮存，不对废矿物油进行加工。本项目利用油罐车、油桶收集废矿物油，运输至厂区后使用油泵灌装在油罐中进行贮存，产生的废气主要来自装卸过程逸散的油气以及油罐在储存过程中呼吸效应产生的油气。</w:t>
            </w:r>
          </w:p>
          <w:p w14:paraId="1414F31A">
            <w:pPr>
              <w:numPr>
                <w:ilvl w:val="0"/>
                <w:numId w:val="0"/>
              </w:numPr>
              <w:bidi w:val="0"/>
              <w:spacing w:line="360" w:lineRule="auto"/>
              <w:ind w:firstLine="480" w:firstLineChars="200"/>
              <w:rPr>
                <w:rFonts w:hint="eastAsia" w:ascii="Times New Roman" w:hAnsi="Times New Roman" w:eastAsia="宋体" w:cs="Times New Roman"/>
                <w:sz w:val="24"/>
                <w:szCs w:val="24"/>
                <w:lang w:val="en-US" w:eastAsia="zh-CN"/>
              </w:rPr>
            </w:pPr>
            <w:r>
              <w:rPr>
                <w:rFonts w:hint="eastAsia" w:cs="Times New Roman"/>
                <w:sz w:val="24"/>
                <w:szCs w:val="24"/>
                <w:lang w:val="en-US" w:eastAsia="zh-CN"/>
              </w:rPr>
              <w:t>储油罐在日常装卸、储罐转运、储存过程中会有“大小呼吸作用”，有呼吸废气排放。储油罐呼吸废气包括装车（储罐收油）、卸车（储罐发油）、储罐转运过程中的蒸发损耗（大呼吸）和储油罐静贮存时的蒸发损耗（小呼吸），主要污染物为VOCs（非甲烷总烃）；</w:t>
            </w:r>
            <w:r>
              <w:rPr>
                <w:rFonts w:hint="eastAsia" w:ascii="Times New Roman" w:hAnsi="Times New Roman" w:eastAsia="宋体" w:cs="Times New Roman"/>
                <w:sz w:val="24"/>
                <w:szCs w:val="24"/>
                <w:lang w:val="en-US" w:eastAsia="zh-CN"/>
              </w:rPr>
              <w:t>废气来源及主要污染物详见下表</w:t>
            </w:r>
            <w:r>
              <w:rPr>
                <w:rFonts w:hint="eastAsia" w:cs="Times New Roman"/>
                <w:sz w:val="24"/>
                <w:szCs w:val="24"/>
                <w:lang w:val="en-US" w:eastAsia="zh-CN"/>
              </w:rPr>
              <w:t>4-4：</w:t>
            </w:r>
          </w:p>
          <w:p w14:paraId="56A90827">
            <w:pPr>
              <w:numPr>
                <w:ilvl w:val="0"/>
                <w:numId w:val="0"/>
              </w:numPr>
              <w:bidi w:val="0"/>
              <w:spacing w:line="360" w:lineRule="auto"/>
              <w:jc w:val="center"/>
              <w:rPr>
                <w:rFonts w:hint="default" w:ascii="Times New Roman" w:hAnsi="Times New Roman" w:eastAsia="宋体" w:cs="Times New Roman"/>
                <w:b/>
                <w:bCs/>
                <w:sz w:val="21"/>
                <w:szCs w:val="21"/>
                <w:lang w:val="en-US" w:eastAsia="zh-CN"/>
              </w:rPr>
            </w:pPr>
            <w:r>
              <w:rPr>
                <w:rFonts w:hint="default" w:ascii="Times New Roman" w:hAnsi="Times New Roman" w:eastAsia="宋体" w:cs="Times New Roman"/>
                <w:b/>
                <w:bCs/>
                <w:sz w:val="21"/>
                <w:szCs w:val="21"/>
                <w:lang w:val="en-US" w:eastAsia="zh-CN"/>
              </w:rPr>
              <w:t>表4-</w:t>
            </w:r>
            <w:r>
              <w:rPr>
                <w:rFonts w:hint="eastAsia" w:cs="Times New Roman"/>
                <w:b/>
                <w:bCs/>
                <w:sz w:val="21"/>
                <w:szCs w:val="21"/>
                <w:lang w:val="en-US" w:eastAsia="zh-CN"/>
              </w:rPr>
              <w:t>4</w:t>
            </w:r>
            <w:r>
              <w:rPr>
                <w:rFonts w:hint="default" w:ascii="Times New Roman" w:hAnsi="Times New Roman" w:eastAsia="宋体" w:cs="Times New Roman"/>
                <w:b/>
                <w:bCs/>
                <w:sz w:val="21"/>
                <w:szCs w:val="21"/>
                <w:lang w:val="en-US" w:eastAsia="zh-CN"/>
              </w:rPr>
              <w:t xml:space="preserve"> 项目废气来源及主要污染物情况一览表</w:t>
            </w:r>
          </w:p>
          <w:tbl>
            <w:tblPr>
              <w:tblStyle w:val="27"/>
              <w:tblW w:w="498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89"/>
              <w:gridCol w:w="1897"/>
              <w:gridCol w:w="1897"/>
              <w:gridCol w:w="1897"/>
              <w:gridCol w:w="1900"/>
            </w:tblGrid>
            <w:tr w14:paraId="15D227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416" w:type="pct"/>
                  <w:vMerge w:val="restart"/>
                  <w:noWrap w:val="0"/>
                  <w:vAlign w:val="center"/>
                </w:tcPr>
                <w:p w14:paraId="32D89907">
                  <w:pPr>
                    <w:widowControl/>
                    <w:jc w:val="center"/>
                    <w:rPr>
                      <w:rFonts w:hint="default" w:ascii="Times New Roman" w:hAnsi="Times New Roman" w:eastAsia="宋体" w:cs="Times New Roman"/>
                      <w:b/>
                      <w:bCs/>
                      <w:color w:val="000000"/>
                      <w:kern w:val="0"/>
                      <w:sz w:val="21"/>
                      <w:szCs w:val="21"/>
                    </w:rPr>
                  </w:pPr>
                  <w:r>
                    <w:rPr>
                      <w:rFonts w:hint="default" w:ascii="Times New Roman" w:hAnsi="Times New Roman" w:eastAsia="宋体" w:cs="Times New Roman"/>
                      <w:b/>
                      <w:bCs/>
                      <w:color w:val="000000"/>
                      <w:kern w:val="0"/>
                      <w:sz w:val="21"/>
                      <w:szCs w:val="21"/>
                    </w:rPr>
                    <w:t>序号</w:t>
                  </w:r>
                </w:p>
              </w:tc>
              <w:tc>
                <w:tcPr>
                  <w:tcW w:w="3436" w:type="pct"/>
                  <w:gridSpan w:val="3"/>
                  <w:noWrap w:val="0"/>
                  <w:vAlign w:val="center"/>
                </w:tcPr>
                <w:p w14:paraId="3E977A80">
                  <w:pPr>
                    <w:widowControl/>
                    <w:jc w:val="center"/>
                    <w:rPr>
                      <w:rFonts w:hint="default" w:ascii="Times New Roman" w:hAnsi="Times New Roman" w:eastAsia="宋体" w:cs="Times New Roman"/>
                      <w:b/>
                      <w:bCs/>
                      <w:color w:val="000000"/>
                      <w:kern w:val="0"/>
                      <w:sz w:val="21"/>
                      <w:szCs w:val="21"/>
                    </w:rPr>
                  </w:pPr>
                  <w:r>
                    <w:rPr>
                      <w:rFonts w:hint="default" w:ascii="Times New Roman" w:hAnsi="Times New Roman" w:eastAsia="宋体" w:cs="Times New Roman"/>
                      <w:b/>
                      <w:bCs/>
                      <w:color w:val="000000"/>
                      <w:kern w:val="0"/>
                      <w:sz w:val="21"/>
                      <w:szCs w:val="21"/>
                    </w:rPr>
                    <w:t>污染来源</w:t>
                  </w:r>
                </w:p>
              </w:tc>
              <w:tc>
                <w:tcPr>
                  <w:tcW w:w="1147" w:type="pct"/>
                  <w:vMerge w:val="restart"/>
                  <w:noWrap w:val="0"/>
                  <w:vAlign w:val="center"/>
                </w:tcPr>
                <w:p w14:paraId="6F27FBCC">
                  <w:pPr>
                    <w:widowControl/>
                    <w:jc w:val="center"/>
                    <w:rPr>
                      <w:rFonts w:hint="default" w:ascii="Times New Roman" w:hAnsi="Times New Roman" w:eastAsia="宋体" w:cs="Times New Roman"/>
                      <w:b/>
                      <w:bCs/>
                      <w:color w:val="000000"/>
                      <w:kern w:val="0"/>
                      <w:sz w:val="21"/>
                      <w:szCs w:val="21"/>
                    </w:rPr>
                  </w:pPr>
                  <w:r>
                    <w:rPr>
                      <w:rFonts w:hint="default" w:ascii="Times New Roman" w:hAnsi="Times New Roman" w:eastAsia="宋体" w:cs="Times New Roman"/>
                      <w:b/>
                      <w:bCs/>
                      <w:color w:val="000000"/>
                      <w:kern w:val="0"/>
                      <w:sz w:val="21"/>
                      <w:szCs w:val="21"/>
                    </w:rPr>
                    <w:t>主要污染物</w:t>
                  </w:r>
                </w:p>
              </w:tc>
            </w:tr>
            <w:tr w14:paraId="7436351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416" w:type="pct"/>
                  <w:vMerge w:val="continue"/>
                  <w:noWrap w:val="0"/>
                  <w:vAlign w:val="center"/>
                </w:tcPr>
                <w:p w14:paraId="65B60173">
                  <w:pPr>
                    <w:widowControl/>
                    <w:jc w:val="center"/>
                    <w:rPr>
                      <w:rFonts w:hint="default" w:ascii="Times New Roman" w:hAnsi="Times New Roman" w:eastAsia="宋体" w:cs="Times New Roman"/>
                      <w:b/>
                      <w:bCs/>
                      <w:color w:val="000000"/>
                      <w:kern w:val="0"/>
                      <w:sz w:val="21"/>
                      <w:szCs w:val="21"/>
                    </w:rPr>
                  </w:pPr>
                </w:p>
              </w:tc>
              <w:tc>
                <w:tcPr>
                  <w:tcW w:w="1145" w:type="pct"/>
                  <w:noWrap w:val="0"/>
                  <w:vAlign w:val="center"/>
                </w:tcPr>
                <w:p w14:paraId="550629DA">
                  <w:pPr>
                    <w:widowControl/>
                    <w:jc w:val="center"/>
                    <w:rPr>
                      <w:rFonts w:hint="default" w:ascii="Times New Roman" w:hAnsi="Times New Roman" w:eastAsia="宋体" w:cs="Times New Roman"/>
                      <w:b/>
                      <w:bCs/>
                      <w:color w:val="000000"/>
                      <w:kern w:val="0"/>
                      <w:sz w:val="21"/>
                      <w:szCs w:val="21"/>
                    </w:rPr>
                  </w:pPr>
                  <w:r>
                    <w:rPr>
                      <w:rFonts w:hint="default" w:ascii="Times New Roman" w:hAnsi="Times New Roman" w:eastAsia="宋体" w:cs="Times New Roman"/>
                      <w:b/>
                      <w:bCs/>
                      <w:color w:val="000000"/>
                      <w:kern w:val="0"/>
                      <w:sz w:val="21"/>
                      <w:szCs w:val="21"/>
                    </w:rPr>
                    <w:t>工段名称</w:t>
                  </w:r>
                </w:p>
              </w:tc>
              <w:tc>
                <w:tcPr>
                  <w:tcW w:w="1145" w:type="pct"/>
                  <w:noWrap w:val="0"/>
                  <w:vAlign w:val="center"/>
                </w:tcPr>
                <w:p w14:paraId="54D803CC">
                  <w:pPr>
                    <w:widowControl/>
                    <w:jc w:val="center"/>
                    <w:rPr>
                      <w:rFonts w:hint="default" w:ascii="Times New Roman" w:hAnsi="Times New Roman" w:eastAsia="宋体" w:cs="Times New Roman"/>
                      <w:b/>
                      <w:bCs/>
                      <w:color w:val="000000"/>
                      <w:kern w:val="0"/>
                      <w:sz w:val="21"/>
                      <w:szCs w:val="21"/>
                    </w:rPr>
                  </w:pPr>
                  <w:r>
                    <w:rPr>
                      <w:rFonts w:hint="default" w:ascii="Times New Roman" w:hAnsi="Times New Roman" w:eastAsia="宋体" w:cs="Times New Roman"/>
                      <w:b/>
                      <w:bCs/>
                      <w:color w:val="000000"/>
                      <w:kern w:val="0"/>
                      <w:sz w:val="21"/>
                      <w:szCs w:val="21"/>
                    </w:rPr>
                    <w:t>工序名称</w:t>
                  </w:r>
                </w:p>
              </w:tc>
              <w:tc>
                <w:tcPr>
                  <w:tcW w:w="1145" w:type="pct"/>
                  <w:noWrap w:val="0"/>
                  <w:vAlign w:val="center"/>
                </w:tcPr>
                <w:p w14:paraId="2494D1E2">
                  <w:pPr>
                    <w:widowControl/>
                    <w:jc w:val="center"/>
                    <w:rPr>
                      <w:rFonts w:hint="default" w:ascii="Times New Roman" w:hAnsi="Times New Roman" w:eastAsia="宋体" w:cs="Times New Roman"/>
                      <w:b/>
                      <w:bCs/>
                      <w:color w:val="000000"/>
                      <w:kern w:val="0"/>
                      <w:sz w:val="21"/>
                      <w:szCs w:val="21"/>
                    </w:rPr>
                  </w:pPr>
                  <w:r>
                    <w:rPr>
                      <w:rFonts w:hint="default" w:ascii="Times New Roman" w:hAnsi="Times New Roman" w:eastAsia="宋体" w:cs="Times New Roman"/>
                      <w:b/>
                      <w:bCs/>
                      <w:color w:val="000000"/>
                      <w:kern w:val="0"/>
                      <w:sz w:val="21"/>
                      <w:szCs w:val="21"/>
                    </w:rPr>
                    <w:t>废气名称</w:t>
                  </w:r>
                </w:p>
              </w:tc>
              <w:tc>
                <w:tcPr>
                  <w:tcW w:w="1147" w:type="pct"/>
                  <w:vMerge w:val="continue"/>
                  <w:noWrap w:val="0"/>
                  <w:vAlign w:val="center"/>
                </w:tcPr>
                <w:p w14:paraId="00FF4467">
                  <w:pPr>
                    <w:widowControl/>
                    <w:jc w:val="center"/>
                    <w:rPr>
                      <w:rFonts w:hint="default" w:ascii="Times New Roman" w:hAnsi="Times New Roman" w:eastAsia="宋体" w:cs="Times New Roman"/>
                      <w:color w:val="000000"/>
                      <w:kern w:val="0"/>
                      <w:sz w:val="21"/>
                      <w:szCs w:val="21"/>
                    </w:rPr>
                  </w:pPr>
                </w:p>
              </w:tc>
            </w:tr>
            <w:tr w14:paraId="7EAB1D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5" w:hRule="atLeast"/>
                <w:jc w:val="center"/>
              </w:trPr>
              <w:tc>
                <w:tcPr>
                  <w:tcW w:w="416" w:type="pct"/>
                  <w:noWrap w:val="0"/>
                  <w:vAlign w:val="center"/>
                </w:tcPr>
                <w:p w14:paraId="2E0DE090">
                  <w:pPr>
                    <w:widowControl/>
                    <w:jc w:val="center"/>
                    <w:rPr>
                      <w:rFonts w:hint="default" w:ascii="Times New Roman" w:hAnsi="Times New Roman" w:eastAsia="宋体" w:cs="Times New Roman"/>
                      <w:color w:val="000000"/>
                      <w:kern w:val="0"/>
                      <w:sz w:val="21"/>
                      <w:szCs w:val="21"/>
                    </w:rPr>
                  </w:pPr>
                  <w:r>
                    <w:rPr>
                      <w:rFonts w:hint="default" w:ascii="Times New Roman" w:hAnsi="Times New Roman" w:eastAsia="宋体" w:cs="Times New Roman"/>
                      <w:color w:val="000000"/>
                      <w:kern w:val="0"/>
                      <w:sz w:val="21"/>
                      <w:szCs w:val="21"/>
                    </w:rPr>
                    <w:t>1</w:t>
                  </w:r>
                </w:p>
              </w:tc>
              <w:tc>
                <w:tcPr>
                  <w:tcW w:w="1145" w:type="pct"/>
                  <w:noWrap w:val="0"/>
                  <w:vAlign w:val="center"/>
                </w:tcPr>
                <w:p w14:paraId="52DEAEFC">
                  <w:pPr>
                    <w:pStyle w:val="82"/>
                    <w:adjustRightInd w:val="0"/>
                    <w:snapToGrid w:val="0"/>
                    <w:spacing w:line="240" w:lineRule="auto"/>
                    <w:jc w:val="center"/>
                    <w:rPr>
                      <w:rFonts w:hint="default" w:ascii="Times New Roman" w:hAnsi="Times New Roman" w:eastAsia="宋体" w:cs="Times New Roman"/>
                      <w:color w:val="000000"/>
                      <w:kern w:val="0"/>
                      <w:sz w:val="21"/>
                      <w:szCs w:val="21"/>
                      <w:lang w:val="en-US" w:eastAsia="zh-CN"/>
                    </w:rPr>
                  </w:pPr>
                  <w:r>
                    <w:rPr>
                      <w:rFonts w:hint="default" w:ascii="Times New Roman" w:hAnsi="Times New Roman" w:eastAsia="宋体" w:cs="Times New Roman"/>
                      <w:color w:val="auto"/>
                      <w:kern w:val="0"/>
                      <w:sz w:val="21"/>
                      <w:szCs w:val="21"/>
                      <w:lang w:val="en-US" w:eastAsia="zh-CN"/>
                    </w:rPr>
                    <w:t>卸车</w:t>
                  </w:r>
                </w:p>
              </w:tc>
              <w:tc>
                <w:tcPr>
                  <w:tcW w:w="1145" w:type="pct"/>
                  <w:noWrap w:val="0"/>
                  <w:vAlign w:val="center"/>
                </w:tcPr>
                <w:p w14:paraId="498E7C1F">
                  <w:pPr>
                    <w:pStyle w:val="82"/>
                    <w:adjustRightInd w:val="0"/>
                    <w:snapToGrid w:val="0"/>
                    <w:spacing w:line="240" w:lineRule="auto"/>
                    <w:jc w:val="center"/>
                    <w:rPr>
                      <w:rFonts w:hint="default" w:ascii="Times New Roman" w:hAnsi="Times New Roman" w:eastAsia="宋体" w:cs="Times New Roman"/>
                      <w:color w:val="000000"/>
                      <w:kern w:val="0"/>
                      <w:sz w:val="21"/>
                      <w:szCs w:val="21"/>
                      <w:lang w:val="en-US" w:eastAsia="zh-CN"/>
                    </w:rPr>
                  </w:pPr>
                  <w:r>
                    <w:rPr>
                      <w:rFonts w:hint="default" w:ascii="Times New Roman" w:hAnsi="Times New Roman" w:eastAsia="宋体" w:cs="Times New Roman"/>
                      <w:color w:val="auto"/>
                      <w:kern w:val="0"/>
                      <w:sz w:val="21"/>
                      <w:szCs w:val="21"/>
                      <w:lang w:val="en-US" w:eastAsia="zh-CN"/>
                    </w:rPr>
                    <w:t>储罐收油</w:t>
                  </w:r>
                </w:p>
              </w:tc>
              <w:tc>
                <w:tcPr>
                  <w:tcW w:w="1145" w:type="pct"/>
                  <w:noWrap w:val="0"/>
                  <w:vAlign w:val="center"/>
                </w:tcPr>
                <w:p w14:paraId="0175FF03">
                  <w:pPr>
                    <w:autoSpaceDE w:val="0"/>
                    <w:autoSpaceDN w:val="0"/>
                    <w:snapToGrid w:val="0"/>
                    <w:spacing w:line="240" w:lineRule="auto"/>
                    <w:jc w:val="center"/>
                    <w:rPr>
                      <w:rFonts w:hint="default" w:ascii="Times New Roman" w:hAnsi="Times New Roman" w:eastAsia="宋体" w:cs="Times New Roman"/>
                      <w:color w:val="000000"/>
                      <w:kern w:val="0"/>
                      <w:sz w:val="21"/>
                      <w:szCs w:val="21"/>
                      <w:lang w:val="en-US" w:eastAsia="zh-CN"/>
                    </w:rPr>
                  </w:pPr>
                  <w:r>
                    <w:rPr>
                      <w:rFonts w:hint="eastAsia"/>
                    </w:rPr>
                    <w:t>VOCs</w:t>
                  </w:r>
                </w:p>
              </w:tc>
              <w:tc>
                <w:tcPr>
                  <w:tcW w:w="1147" w:type="pct"/>
                  <w:noWrap w:val="0"/>
                  <w:vAlign w:val="center"/>
                </w:tcPr>
                <w:p w14:paraId="2A7F11E1">
                  <w:pPr>
                    <w:adjustRightInd w:val="0"/>
                    <w:snapToGrid w:val="0"/>
                    <w:spacing w:line="240" w:lineRule="auto"/>
                    <w:jc w:val="center"/>
                    <w:rPr>
                      <w:rFonts w:hint="default"/>
                      <w:lang w:val="en-US" w:eastAsia="zh-CN"/>
                    </w:rPr>
                  </w:pPr>
                  <w:r>
                    <w:rPr>
                      <w:rFonts w:hint="eastAsia" w:ascii="Times New Roman" w:hAnsi="Times New Roman" w:cs="Times New Roman"/>
                      <w:color w:val="auto"/>
                      <w:sz w:val="21"/>
                      <w:szCs w:val="21"/>
                      <w:lang w:val="en-US" w:eastAsia="zh-CN"/>
                    </w:rPr>
                    <w:t>非甲烷总烃</w:t>
                  </w:r>
                </w:p>
              </w:tc>
            </w:tr>
            <w:tr w14:paraId="1FB167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jc w:val="center"/>
              </w:trPr>
              <w:tc>
                <w:tcPr>
                  <w:tcW w:w="416" w:type="pct"/>
                  <w:noWrap w:val="0"/>
                  <w:vAlign w:val="center"/>
                </w:tcPr>
                <w:p w14:paraId="16D31D2A">
                  <w:pPr>
                    <w:widowControl/>
                    <w:jc w:val="center"/>
                    <w:rPr>
                      <w:rFonts w:hint="eastAsia" w:ascii="Times New Roman" w:hAnsi="Times New Roman" w:eastAsia="宋体" w:cs="Times New Roman"/>
                      <w:color w:val="000000"/>
                      <w:kern w:val="0"/>
                      <w:sz w:val="21"/>
                      <w:szCs w:val="21"/>
                      <w:lang w:val="en-US" w:eastAsia="zh-CN"/>
                    </w:rPr>
                  </w:pPr>
                  <w:r>
                    <w:rPr>
                      <w:rFonts w:hint="eastAsia" w:cs="Times New Roman"/>
                      <w:color w:val="000000"/>
                      <w:kern w:val="0"/>
                      <w:sz w:val="21"/>
                      <w:szCs w:val="21"/>
                      <w:lang w:val="en-US" w:eastAsia="zh-CN"/>
                    </w:rPr>
                    <w:t>2</w:t>
                  </w:r>
                </w:p>
              </w:tc>
              <w:tc>
                <w:tcPr>
                  <w:tcW w:w="1145" w:type="pct"/>
                  <w:noWrap w:val="0"/>
                  <w:vAlign w:val="center"/>
                </w:tcPr>
                <w:p w14:paraId="5ACE92D8">
                  <w:pPr>
                    <w:pStyle w:val="82"/>
                    <w:adjustRightInd w:val="0"/>
                    <w:snapToGrid w:val="0"/>
                    <w:spacing w:line="240" w:lineRule="auto"/>
                    <w:jc w:val="center"/>
                    <w:rPr>
                      <w:rFonts w:hint="default" w:ascii="Times New Roman" w:hAnsi="Times New Roman" w:eastAsia="宋体" w:cs="Times New Roman"/>
                      <w:color w:val="000000"/>
                      <w:kern w:val="0"/>
                      <w:sz w:val="21"/>
                      <w:szCs w:val="21"/>
                      <w:lang w:val="en-US" w:eastAsia="zh-CN"/>
                    </w:rPr>
                  </w:pPr>
                  <w:r>
                    <w:rPr>
                      <w:rFonts w:hint="default" w:ascii="Times New Roman" w:hAnsi="Times New Roman" w:eastAsia="宋体" w:cs="Times New Roman"/>
                      <w:color w:val="auto"/>
                      <w:kern w:val="0"/>
                      <w:sz w:val="21"/>
                      <w:szCs w:val="21"/>
                      <w:lang w:val="en-US" w:eastAsia="zh-CN"/>
                    </w:rPr>
                    <w:t>装车</w:t>
                  </w:r>
                </w:p>
              </w:tc>
              <w:tc>
                <w:tcPr>
                  <w:tcW w:w="1145" w:type="pct"/>
                  <w:noWrap w:val="0"/>
                  <w:vAlign w:val="center"/>
                </w:tcPr>
                <w:p w14:paraId="314B7593">
                  <w:pPr>
                    <w:pStyle w:val="82"/>
                    <w:adjustRightInd w:val="0"/>
                    <w:snapToGrid w:val="0"/>
                    <w:spacing w:line="240" w:lineRule="auto"/>
                    <w:jc w:val="center"/>
                    <w:rPr>
                      <w:rFonts w:hint="default" w:ascii="Times New Roman" w:hAnsi="Times New Roman" w:eastAsia="宋体" w:cs="Times New Roman"/>
                      <w:color w:val="000000"/>
                      <w:kern w:val="0"/>
                      <w:sz w:val="21"/>
                      <w:szCs w:val="21"/>
                      <w:lang w:val="en-US" w:eastAsia="zh-CN"/>
                    </w:rPr>
                  </w:pPr>
                  <w:r>
                    <w:rPr>
                      <w:rFonts w:hint="default" w:ascii="Times New Roman" w:hAnsi="Times New Roman" w:eastAsia="宋体" w:cs="Times New Roman"/>
                      <w:color w:val="auto"/>
                      <w:kern w:val="0"/>
                      <w:sz w:val="21"/>
                      <w:szCs w:val="21"/>
                      <w:lang w:val="en-US" w:eastAsia="zh-CN"/>
                    </w:rPr>
                    <w:t>储罐发油</w:t>
                  </w:r>
                </w:p>
              </w:tc>
              <w:tc>
                <w:tcPr>
                  <w:tcW w:w="1145" w:type="pct"/>
                  <w:noWrap w:val="0"/>
                  <w:vAlign w:val="center"/>
                </w:tcPr>
                <w:p w14:paraId="2C4F82C9">
                  <w:pPr>
                    <w:autoSpaceDE w:val="0"/>
                    <w:autoSpaceDN w:val="0"/>
                    <w:snapToGrid w:val="0"/>
                    <w:spacing w:line="240" w:lineRule="auto"/>
                    <w:jc w:val="center"/>
                    <w:rPr>
                      <w:rFonts w:hint="default" w:ascii="Times New Roman" w:hAnsi="Times New Roman" w:eastAsia="宋体" w:cs="Times New Roman"/>
                      <w:color w:val="000000"/>
                      <w:kern w:val="0"/>
                      <w:sz w:val="21"/>
                      <w:szCs w:val="21"/>
                      <w:lang w:val="en-US" w:eastAsia="zh-CN"/>
                    </w:rPr>
                  </w:pPr>
                  <w:r>
                    <w:rPr>
                      <w:rFonts w:hint="eastAsia"/>
                    </w:rPr>
                    <w:t>VOCs</w:t>
                  </w:r>
                </w:p>
              </w:tc>
              <w:tc>
                <w:tcPr>
                  <w:tcW w:w="1147" w:type="pct"/>
                  <w:noWrap w:val="0"/>
                  <w:vAlign w:val="center"/>
                </w:tcPr>
                <w:p w14:paraId="12130E85">
                  <w:pPr>
                    <w:adjustRightInd w:val="0"/>
                    <w:snapToGrid w:val="0"/>
                    <w:spacing w:line="240" w:lineRule="auto"/>
                    <w:jc w:val="center"/>
                    <w:rPr>
                      <w:rFonts w:hint="default" w:ascii="Times New Roman" w:hAnsi="Times New Roman" w:eastAsia="宋体" w:cs="Times New Roman"/>
                      <w:color w:val="000000"/>
                      <w:kern w:val="0"/>
                      <w:sz w:val="21"/>
                      <w:szCs w:val="21"/>
                      <w:lang w:val="en-US" w:eastAsia="zh-CN"/>
                    </w:rPr>
                  </w:pPr>
                  <w:r>
                    <w:rPr>
                      <w:rFonts w:hint="eastAsia" w:ascii="Times New Roman" w:hAnsi="Times New Roman" w:cs="Times New Roman"/>
                      <w:color w:val="auto"/>
                      <w:sz w:val="21"/>
                      <w:szCs w:val="21"/>
                      <w:lang w:val="en-US" w:eastAsia="zh-CN"/>
                    </w:rPr>
                    <w:t>非甲烷总烃</w:t>
                  </w:r>
                </w:p>
              </w:tc>
            </w:tr>
          </w:tbl>
          <w:p w14:paraId="61ABDDD0">
            <w:pPr>
              <w:keepNext w:val="0"/>
              <w:keepLines w:val="0"/>
              <w:pageBreakBefore w:val="0"/>
              <w:widowControl w:val="0"/>
              <w:numPr>
                <w:ilvl w:val="0"/>
                <w:numId w:val="55"/>
              </w:numPr>
              <w:kinsoku/>
              <w:wordWrap/>
              <w:overflowPunct/>
              <w:topLinePunct w:val="0"/>
              <w:autoSpaceDE/>
              <w:autoSpaceDN/>
              <w:bidi w:val="0"/>
              <w:adjustRightInd/>
              <w:snapToGrid/>
              <w:spacing w:line="360" w:lineRule="auto"/>
              <w:ind w:left="0" w:leftChars="0" w:firstLine="482" w:firstLineChars="200"/>
              <w:jc w:val="both"/>
              <w:textAlignment w:val="auto"/>
              <w:rPr>
                <w:rFonts w:hint="eastAsia" w:ascii="Times New Roman" w:hAnsi="Times New Roman" w:eastAsia="宋体" w:cs="Times New Roman"/>
                <w:sz w:val="24"/>
                <w:szCs w:val="24"/>
                <w:lang w:val="en-US" w:eastAsia="zh-CN"/>
              </w:rPr>
            </w:pPr>
            <w:r>
              <w:rPr>
                <w:rFonts w:hint="eastAsia" w:ascii="Times New Roman" w:hAnsi="Times New Roman" w:eastAsia="宋体" w:cs="Times New Roman"/>
                <w:b/>
                <w:bCs/>
                <w:sz w:val="24"/>
                <w:szCs w:val="24"/>
                <w:lang w:val="en-US" w:eastAsia="zh-CN"/>
              </w:rPr>
              <w:t>污染物源强核算</w:t>
            </w:r>
          </w:p>
          <w:p w14:paraId="2D54F6EE">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ascii="Times New Roman" w:hAnsi="Times New Roman" w:eastAsia="宋体" w:cs="Times New Roman"/>
                <w:b w:val="0"/>
                <w:bCs w:val="0"/>
                <w:sz w:val="24"/>
                <w:szCs w:val="24"/>
                <w:lang w:val="en-US" w:eastAsia="zh-CN"/>
              </w:rPr>
            </w:pPr>
            <w:r>
              <w:rPr>
                <w:rFonts w:hint="eastAsia" w:ascii="Times New Roman" w:hAnsi="Times New Roman" w:eastAsia="宋体" w:cs="Times New Roman"/>
                <w:b w:val="0"/>
                <w:bCs w:val="0"/>
                <w:sz w:val="24"/>
                <w:szCs w:val="24"/>
                <w:lang w:val="en-US" w:eastAsia="zh-CN"/>
              </w:rPr>
              <w:t>本项目蒸发损耗（大呼吸、小呼吸）参照（HJ884-2018）《污染源源强核算技术指南</w:t>
            </w:r>
            <w:r>
              <w:rPr>
                <w:rFonts w:hint="eastAsia" w:cs="Times New Roman"/>
                <w:b w:val="0"/>
                <w:bCs w:val="0"/>
                <w:sz w:val="24"/>
                <w:szCs w:val="24"/>
                <w:lang w:val="en-US" w:eastAsia="zh-CN"/>
              </w:rPr>
              <w:t xml:space="preserve"> </w:t>
            </w:r>
            <w:r>
              <w:rPr>
                <w:rFonts w:hint="eastAsia" w:ascii="Times New Roman" w:hAnsi="Times New Roman" w:eastAsia="宋体" w:cs="Times New Roman"/>
                <w:b w:val="0"/>
                <w:bCs w:val="0"/>
                <w:sz w:val="24"/>
                <w:szCs w:val="24"/>
                <w:lang w:val="en-US" w:eastAsia="zh-CN"/>
              </w:rPr>
              <w:t>准则》</w:t>
            </w:r>
            <w:r>
              <w:rPr>
                <w:rFonts w:hint="eastAsia" w:cs="Times New Roman"/>
                <w:b w:val="0"/>
                <w:bCs w:val="0"/>
                <w:sz w:val="24"/>
                <w:szCs w:val="24"/>
                <w:lang w:val="en-US" w:eastAsia="zh-CN"/>
              </w:rPr>
              <w:t>及</w:t>
            </w:r>
            <w:r>
              <w:rPr>
                <w:rFonts w:hint="eastAsia" w:ascii="Times New Roman" w:hAnsi="Times New Roman" w:eastAsia="宋体" w:cs="Times New Roman"/>
                <w:b w:val="0"/>
                <w:bCs w:val="0"/>
                <w:sz w:val="24"/>
                <w:szCs w:val="24"/>
                <w:lang w:val="en-US" w:eastAsia="zh-CN"/>
              </w:rPr>
              <w:t>《石油库节能设计导则》推荐的固定顶罐呼吸损耗量的计算公式进行核算</w:t>
            </w:r>
            <w:r>
              <w:rPr>
                <w:rFonts w:hint="eastAsia" w:cs="Times New Roman"/>
                <w:b w:val="0"/>
                <w:bCs w:val="0"/>
                <w:sz w:val="24"/>
                <w:szCs w:val="24"/>
                <w:lang w:val="en-US" w:eastAsia="zh-CN"/>
              </w:rPr>
              <w:t>。</w:t>
            </w:r>
          </w:p>
          <w:p w14:paraId="4C4499B1">
            <w:pPr>
              <w:keepNext w:val="0"/>
              <w:keepLines w:val="0"/>
              <w:pageBreakBefore w:val="0"/>
              <w:widowControl w:val="0"/>
              <w:numPr>
                <w:ilvl w:val="0"/>
                <w:numId w:val="56"/>
              </w:numPr>
              <w:kinsoku/>
              <w:wordWrap/>
              <w:overflowPunct/>
              <w:topLinePunct w:val="0"/>
              <w:autoSpaceDE/>
              <w:autoSpaceDN/>
              <w:bidi w:val="0"/>
              <w:adjustRightInd/>
              <w:snapToGrid/>
              <w:spacing w:line="360" w:lineRule="auto"/>
              <w:ind w:firstLine="482" w:firstLineChars="200"/>
              <w:jc w:val="both"/>
              <w:textAlignment w:val="auto"/>
              <w:rPr>
                <w:rFonts w:hint="eastAsia" w:cs="Times New Roman"/>
                <w:sz w:val="24"/>
                <w:szCs w:val="24"/>
                <w:lang w:val="en-US" w:eastAsia="zh-CN"/>
              </w:rPr>
            </w:pPr>
            <w:r>
              <w:rPr>
                <w:rFonts w:hint="eastAsia" w:cs="Times New Roman"/>
                <w:b/>
                <w:bCs/>
                <w:sz w:val="24"/>
                <w:szCs w:val="24"/>
                <w:lang w:val="en-US" w:eastAsia="zh-CN"/>
              </w:rPr>
              <w:t>“大呼吸”损耗</w:t>
            </w:r>
          </w:p>
          <w:p w14:paraId="13AD1DE8">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sz w:val="24"/>
                <w:szCs w:val="24"/>
                <w:lang w:val="en-US" w:eastAsia="zh-CN"/>
              </w:rPr>
            </w:pPr>
            <w:r>
              <w:rPr>
                <w:rFonts w:hint="eastAsia" w:cs="Times New Roman"/>
                <w:sz w:val="24"/>
                <w:szCs w:val="24"/>
                <w:lang w:val="en-US" w:eastAsia="zh-CN"/>
              </w:rPr>
              <w:t>本项目“大呼吸”损耗主要为卸车（储罐收油）、装车（储罐发油）过程中的蒸发损耗。</w:t>
            </w:r>
          </w:p>
          <w:p w14:paraId="06859C21">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sz w:val="24"/>
                <w:szCs w:val="24"/>
                <w:lang w:val="en-US" w:eastAsia="zh-CN"/>
              </w:rPr>
            </w:pPr>
            <w:r>
              <w:rPr>
                <w:rFonts w:hint="eastAsia" w:cs="Times New Roman"/>
                <w:sz w:val="24"/>
                <w:szCs w:val="24"/>
                <w:lang w:val="en-US" w:eastAsia="zh-CN"/>
              </w:rPr>
              <w:t>本项目收集的废矿物油进场后，泵入储罐储存，油品泵入储罐过程，随着液面的升高，气体空间体积变小，压力不断升高。当罐内气压升高到呼吸阀的控制压力时，压力阀盘开启，呼出气体会产生大呼吸废气。当从储罐输出油料时，罐内液体体积减少，罐内气体压力降低，储油罐开始吸进空气。这种由于输转油料致使油罐排出油蒸气和吸入空气所导致的损失叫“大呼吸”损失。</w:t>
            </w:r>
          </w:p>
          <w:p w14:paraId="055CEEBD">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cs="Times New Roman"/>
                <w:sz w:val="24"/>
                <w:szCs w:val="24"/>
                <w:lang w:val="en-US" w:eastAsia="zh-CN"/>
              </w:rPr>
            </w:pPr>
            <w:r>
              <w:rPr>
                <w:rFonts w:hint="eastAsia" w:cs="Times New Roman"/>
                <w:sz w:val="24"/>
                <w:szCs w:val="24"/>
                <w:lang w:val="en-US" w:eastAsia="zh-CN"/>
              </w:rPr>
              <w:t>计算公式如下：</w:t>
            </w:r>
          </w:p>
          <w:p w14:paraId="3B208F3F">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sz w:val="24"/>
                <w:szCs w:val="24"/>
                <w:vertAlign w:val="subscript"/>
                <w:lang w:val="en-US" w:eastAsia="zh-CN"/>
              </w:rPr>
            </w:pPr>
            <w:r>
              <w:rPr>
                <w:rFonts w:hint="eastAsia" w:cs="Times New Roman"/>
                <w:sz w:val="24"/>
                <w:szCs w:val="24"/>
                <w:lang w:val="en-US" w:eastAsia="zh-CN"/>
              </w:rPr>
              <w:t>Lw=4.188×10</w:t>
            </w:r>
            <w:r>
              <w:rPr>
                <w:rFonts w:hint="eastAsia" w:cs="Times New Roman"/>
                <w:sz w:val="24"/>
                <w:szCs w:val="24"/>
                <w:vertAlign w:val="superscript"/>
                <w:lang w:val="en-US" w:eastAsia="zh-CN"/>
              </w:rPr>
              <w:t>-7</w:t>
            </w:r>
            <w:r>
              <w:rPr>
                <w:rFonts w:hint="eastAsia" w:cs="Times New Roman"/>
                <w:sz w:val="24"/>
                <w:szCs w:val="24"/>
                <w:lang w:val="en-US" w:eastAsia="zh-CN"/>
              </w:rPr>
              <w:t>×M×P×K</w:t>
            </w:r>
            <w:r>
              <w:rPr>
                <w:rFonts w:hint="eastAsia" w:cs="Times New Roman"/>
                <w:sz w:val="24"/>
                <w:szCs w:val="24"/>
                <w:vertAlign w:val="subscript"/>
                <w:lang w:val="en-US" w:eastAsia="zh-CN"/>
              </w:rPr>
              <w:t>N</w:t>
            </w:r>
            <w:r>
              <w:rPr>
                <w:rFonts w:hint="eastAsia" w:cs="Times New Roman"/>
                <w:sz w:val="24"/>
                <w:szCs w:val="24"/>
                <w:lang w:val="en-US" w:eastAsia="zh-CN"/>
              </w:rPr>
              <w:t>×K</w:t>
            </w:r>
            <w:r>
              <w:rPr>
                <w:rFonts w:hint="eastAsia" w:cs="Times New Roman"/>
                <w:sz w:val="24"/>
                <w:szCs w:val="24"/>
                <w:vertAlign w:val="subscript"/>
                <w:lang w:val="en-US" w:eastAsia="zh-CN"/>
              </w:rPr>
              <w:t>C</w:t>
            </w:r>
          </w:p>
          <w:p w14:paraId="618266D6">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sz w:val="24"/>
                <w:szCs w:val="24"/>
                <w:lang w:val="en-US" w:eastAsia="zh-CN"/>
              </w:rPr>
            </w:pPr>
            <w:r>
              <w:rPr>
                <w:rFonts w:hint="eastAsia" w:cs="Times New Roman"/>
                <w:sz w:val="24"/>
                <w:szCs w:val="24"/>
                <w:lang w:val="en-US" w:eastAsia="zh-CN"/>
              </w:rPr>
              <w:t>式中：Lw—储罐工作损失（kg/m</w:t>
            </w:r>
            <w:r>
              <w:rPr>
                <w:rFonts w:hint="eastAsia" w:cs="Times New Roman"/>
                <w:sz w:val="24"/>
                <w:szCs w:val="24"/>
                <w:vertAlign w:val="superscript"/>
                <w:lang w:val="en-US" w:eastAsia="zh-CN"/>
              </w:rPr>
              <w:t>3</w:t>
            </w:r>
            <w:r>
              <w:rPr>
                <w:rFonts w:hint="eastAsia" w:cs="Times New Roman"/>
                <w:sz w:val="24"/>
                <w:szCs w:val="24"/>
                <w:lang w:val="en-US" w:eastAsia="zh-CN"/>
              </w:rPr>
              <w:t>投入量）；</w:t>
            </w:r>
          </w:p>
          <w:p w14:paraId="3FD7B11A">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sz w:val="24"/>
                <w:szCs w:val="24"/>
                <w:lang w:val="en-US" w:eastAsia="zh-CN"/>
              </w:rPr>
            </w:pPr>
            <w:r>
              <w:rPr>
                <w:rFonts w:hint="eastAsia" w:cs="Times New Roman"/>
                <w:sz w:val="24"/>
                <w:szCs w:val="24"/>
                <w:lang w:val="en-US" w:eastAsia="zh-CN"/>
              </w:rPr>
              <w:t>M—储罐内蒸气的分子量，取62（根据（SH/T3002-2019）《石油库节能设计导则》）；</w:t>
            </w:r>
          </w:p>
          <w:p w14:paraId="5BF5EEDC">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sz w:val="24"/>
                <w:szCs w:val="24"/>
                <w:lang w:val="en-US" w:eastAsia="zh-CN"/>
              </w:rPr>
            </w:pPr>
            <w:r>
              <w:rPr>
                <w:rFonts w:hint="eastAsia" w:cs="Times New Roman"/>
                <w:sz w:val="24"/>
                <w:szCs w:val="24"/>
                <w:lang w:val="en-US" w:eastAsia="zh-CN"/>
              </w:rPr>
              <w:t>P—在大量液体状态下，真实的蒸气压力（Pa）；</w:t>
            </w:r>
          </w:p>
          <w:p w14:paraId="47BD8C56">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sz w:val="24"/>
                <w:szCs w:val="24"/>
                <w:lang w:val="en-US" w:eastAsia="zh-CN"/>
              </w:rPr>
            </w:pPr>
            <w:r>
              <w:rPr>
                <w:rFonts w:hint="eastAsia" w:cs="Times New Roman"/>
                <w:sz w:val="24"/>
                <w:szCs w:val="24"/>
                <w:lang w:val="en-US" w:eastAsia="zh-CN"/>
              </w:rPr>
              <w:t>K</w:t>
            </w:r>
            <w:r>
              <w:rPr>
                <w:rFonts w:hint="eastAsia" w:cs="Times New Roman"/>
                <w:sz w:val="24"/>
                <w:szCs w:val="24"/>
                <w:vertAlign w:val="subscript"/>
                <w:lang w:val="en-US" w:eastAsia="zh-CN"/>
              </w:rPr>
              <w:t>N</w:t>
            </w:r>
            <w:r>
              <w:rPr>
                <w:rFonts w:hint="eastAsia" w:cs="Times New Roman"/>
                <w:sz w:val="24"/>
                <w:szCs w:val="24"/>
                <w:lang w:val="en-US" w:eastAsia="zh-CN"/>
              </w:rPr>
              <w:t>—周转因子（无量纲），取值按年周转次数（K）确定，K≤36，K</w:t>
            </w:r>
            <w:r>
              <w:rPr>
                <w:rFonts w:hint="eastAsia" w:cs="Times New Roman"/>
                <w:sz w:val="24"/>
                <w:szCs w:val="24"/>
                <w:vertAlign w:val="subscript"/>
                <w:lang w:val="en-US" w:eastAsia="zh-CN"/>
              </w:rPr>
              <w:t>N</w:t>
            </w:r>
            <w:r>
              <w:rPr>
                <w:rFonts w:hint="eastAsia" w:cs="Times New Roman"/>
                <w:sz w:val="24"/>
                <w:szCs w:val="24"/>
                <w:lang w:val="en-US" w:eastAsia="zh-CN"/>
              </w:rPr>
              <w:t>=1；36&lt;K≤220，K</w:t>
            </w:r>
            <w:r>
              <w:rPr>
                <w:rFonts w:hint="eastAsia" w:cs="Times New Roman"/>
                <w:sz w:val="24"/>
                <w:szCs w:val="24"/>
                <w:vertAlign w:val="subscript"/>
                <w:lang w:val="en-US" w:eastAsia="zh-CN"/>
              </w:rPr>
              <w:t>N</w:t>
            </w:r>
            <w:r>
              <w:rPr>
                <w:rFonts w:hint="eastAsia" w:cs="Times New Roman"/>
                <w:sz w:val="24"/>
                <w:szCs w:val="24"/>
                <w:lang w:val="en-US" w:eastAsia="zh-CN"/>
              </w:rPr>
              <w:t>=11.467×K</w:t>
            </w:r>
            <w:r>
              <w:rPr>
                <w:rFonts w:hint="eastAsia" w:cs="Times New Roman"/>
                <w:sz w:val="24"/>
                <w:szCs w:val="24"/>
                <w:vertAlign w:val="superscript"/>
                <w:lang w:val="en-US" w:eastAsia="zh-CN"/>
              </w:rPr>
              <w:t>-0.7026</w:t>
            </w:r>
            <w:r>
              <w:rPr>
                <w:rFonts w:hint="eastAsia" w:cs="Times New Roman"/>
                <w:sz w:val="24"/>
                <w:szCs w:val="24"/>
                <w:lang w:val="en-US" w:eastAsia="zh-CN"/>
              </w:rPr>
              <w:t>；K&gt;220，K</w:t>
            </w:r>
            <w:r>
              <w:rPr>
                <w:rFonts w:hint="eastAsia" w:cs="Times New Roman"/>
                <w:sz w:val="24"/>
                <w:szCs w:val="24"/>
                <w:vertAlign w:val="subscript"/>
                <w:lang w:val="en-US" w:eastAsia="zh-CN"/>
              </w:rPr>
              <w:t>N</w:t>
            </w:r>
            <w:r>
              <w:rPr>
                <w:rFonts w:hint="eastAsia" w:cs="Times New Roman"/>
                <w:sz w:val="24"/>
                <w:szCs w:val="24"/>
                <w:lang w:val="en-US" w:eastAsia="zh-CN"/>
              </w:rPr>
              <w:t>=0.26；</w:t>
            </w:r>
          </w:p>
          <w:p w14:paraId="1D8F25C9">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sz w:val="24"/>
                <w:szCs w:val="24"/>
                <w:lang w:val="en-US" w:eastAsia="zh-CN"/>
              </w:rPr>
            </w:pPr>
            <w:r>
              <w:rPr>
                <w:rFonts w:hint="eastAsia" w:cs="Times New Roman"/>
                <w:sz w:val="24"/>
                <w:szCs w:val="24"/>
                <w:lang w:val="en-US" w:eastAsia="zh-CN"/>
              </w:rPr>
              <w:t>K</w:t>
            </w:r>
            <w:r>
              <w:rPr>
                <w:rFonts w:hint="eastAsia" w:cs="Times New Roman"/>
                <w:sz w:val="24"/>
                <w:szCs w:val="24"/>
                <w:vertAlign w:val="subscript"/>
                <w:lang w:val="en-US" w:eastAsia="zh-CN"/>
              </w:rPr>
              <w:t>C</w:t>
            </w:r>
            <w:r>
              <w:rPr>
                <w:rFonts w:hint="eastAsia" w:cs="Times New Roman"/>
                <w:sz w:val="24"/>
                <w:szCs w:val="24"/>
                <w:lang w:val="en-US" w:eastAsia="zh-CN"/>
              </w:rPr>
              <w:t>—产品因子（石油原油Kc取0.75，其他的有机液体取1.0），本项目取值Kc=1.0。</w:t>
            </w:r>
          </w:p>
          <w:p w14:paraId="693B3E81">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sz w:val="24"/>
                <w:szCs w:val="24"/>
                <w:lang w:val="en-US" w:eastAsia="zh-CN"/>
              </w:rPr>
            </w:pPr>
            <w:r>
              <w:rPr>
                <w:rFonts w:hint="default" w:ascii="Times New Roman" w:hAnsi="Times New Roman" w:eastAsia="宋体" w:cs="Times New Roman"/>
                <w:sz w:val="24"/>
                <w:szCs w:val="24"/>
                <w:lang w:val="en-US" w:eastAsia="zh-CN"/>
              </w:rPr>
              <w:t>参考中国石油化工系统经验</w:t>
            </w:r>
            <w:r>
              <w:rPr>
                <w:rFonts w:hint="eastAsia" w:cs="Times New Roman"/>
                <w:sz w:val="24"/>
                <w:szCs w:val="24"/>
                <w:lang w:val="en-US" w:eastAsia="zh-CN"/>
              </w:rPr>
              <w:t>数据，本计算取P=338Pa。</w:t>
            </w:r>
          </w:p>
          <w:p w14:paraId="0998C7C0">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sz w:val="24"/>
                <w:szCs w:val="24"/>
                <w:lang w:val="en-US" w:eastAsia="zh-CN"/>
              </w:rPr>
            </w:pPr>
            <w:r>
              <w:rPr>
                <w:rFonts w:hint="eastAsia" w:cs="Times New Roman"/>
                <w:sz w:val="24"/>
                <w:szCs w:val="24"/>
                <w:lang w:val="en-US" w:eastAsia="zh-CN"/>
              </w:rPr>
              <w:t>根据建设单位提供的资料，2个50m</w:t>
            </w:r>
            <w:r>
              <w:rPr>
                <w:rFonts w:hint="eastAsia" w:cs="Times New Roman"/>
                <w:sz w:val="24"/>
                <w:szCs w:val="24"/>
                <w:vertAlign w:val="superscript"/>
                <w:lang w:val="en-US" w:eastAsia="zh-CN"/>
              </w:rPr>
              <w:t>3</w:t>
            </w:r>
            <w:r>
              <w:rPr>
                <w:rFonts w:hint="eastAsia" w:cs="Times New Roman"/>
                <w:sz w:val="24"/>
                <w:szCs w:val="24"/>
                <w:lang w:val="en-US" w:eastAsia="zh-CN"/>
              </w:rPr>
              <w:t>储罐的总周转次数约为17次/年，则取值K</w:t>
            </w:r>
            <w:r>
              <w:rPr>
                <w:rFonts w:hint="eastAsia" w:cs="Times New Roman"/>
                <w:sz w:val="24"/>
                <w:szCs w:val="24"/>
                <w:vertAlign w:val="subscript"/>
                <w:lang w:val="en-US" w:eastAsia="zh-CN"/>
              </w:rPr>
              <w:t>N</w:t>
            </w:r>
            <w:r>
              <w:rPr>
                <w:rFonts w:hint="eastAsia" w:cs="Times New Roman"/>
                <w:sz w:val="24"/>
                <w:szCs w:val="24"/>
                <w:lang w:val="en-US" w:eastAsia="zh-CN"/>
              </w:rPr>
              <w:t>=1.0。</w:t>
            </w:r>
          </w:p>
          <w:p w14:paraId="026019B2">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sz w:val="24"/>
                <w:szCs w:val="24"/>
                <w:lang w:val="en-US" w:eastAsia="zh-CN"/>
              </w:rPr>
            </w:pPr>
            <w:r>
              <w:rPr>
                <w:rFonts w:hint="eastAsia" w:cs="Times New Roman"/>
                <w:sz w:val="24"/>
                <w:szCs w:val="24"/>
                <w:lang w:val="en-US" w:eastAsia="zh-CN"/>
              </w:rPr>
              <w:t>根据上述公式计算得Lw=0.009（kg/m</w:t>
            </w:r>
            <w:r>
              <w:rPr>
                <w:rFonts w:hint="eastAsia" w:cs="Times New Roman"/>
                <w:sz w:val="24"/>
                <w:szCs w:val="24"/>
                <w:vertAlign w:val="superscript"/>
                <w:lang w:val="en-US" w:eastAsia="zh-CN"/>
              </w:rPr>
              <w:t>3</w:t>
            </w:r>
            <w:r>
              <w:rPr>
                <w:rFonts w:hint="eastAsia" w:cs="Times New Roman"/>
                <w:sz w:val="24"/>
                <w:szCs w:val="24"/>
                <w:lang w:val="en-US" w:eastAsia="zh-CN"/>
              </w:rPr>
              <w:t>投入量）。</w:t>
            </w:r>
          </w:p>
          <w:p w14:paraId="0288C22A">
            <w:pPr>
              <w:keepNext w:val="0"/>
              <w:keepLines w:val="0"/>
              <w:pageBreakBefore w:val="0"/>
              <w:widowControl w:val="0"/>
              <w:numPr>
                <w:ilvl w:val="0"/>
                <w:numId w:val="57"/>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sz w:val="24"/>
                <w:szCs w:val="24"/>
                <w:lang w:val="en-US" w:eastAsia="zh-CN"/>
              </w:rPr>
            </w:pPr>
            <w:r>
              <w:rPr>
                <w:rFonts w:hint="eastAsia" w:cs="Times New Roman"/>
                <w:sz w:val="24"/>
                <w:szCs w:val="24"/>
                <w:lang w:val="en-US" w:eastAsia="zh-CN"/>
              </w:rPr>
              <w:t>卸车（储罐收油）</w:t>
            </w:r>
          </w:p>
          <w:p w14:paraId="0E1F5145">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sz w:val="24"/>
                <w:szCs w:val="24"/>
                <w:lang w:val="en-US" w:eastAsia="zh-CN"/>
              </w:rPr>
            </w:pPr>
            <w:r>
              <w:rPr>
                <w:rFonts w:hint="eastAsia" w:cs="Times New Roman"/>
                <w:sz w:val="24"/>
                <w:szCs w:val="24"/>
                <w:lang w:val="en-US" w:eastAsia="zh-CN"/>
              </w:rPr>
              <w:t>本项目废矿物油的转运量为1500t/a，则投入量为1714.29m</w:t>
            </w:r>
            <w:r>
              <w:rPr>
                <w:rFonts w:hint="eastAsia" w:cs="Times New Roman"/>
                <w:sz w:val="24"/>
                <w:szCs w:val="24"/>
                <w:vertAlign w:val="superscript"/>
                <w:lang w:val="en-US" w:eastAsia="zh-CN"/>
              </w:rPr>
              <w:t>3</w:t>
            </w:r>
            <w:r>
              <w:rPr>
                <w:rFonts w:hint="eastAsia" w:cs="Times New Roman"/>
                <w:sz w:val="24"/>
                <w:szCs w:val="24"/>
                <w:lang w:val="en-US" w:eastAsia="zh-CN"/>
              </w:rPr>
              <w:t>，则本项目储罐大呼吸废气产生量约0.016t/a，年收油作业以85.72h计，则“大呼吸”非甲烷总烃产生速率为0.187kg/h。</w:t>
            </w:r>
          </w:p>
          <w:p w14:paraId="499AD18D">
            <w:pPr>
              <w:keepNext w:val="0"/>
              <w:keepLines w:val="0"/>
              <w:pageBreakBefore w:val="0"/>
              <w:widowControl w:val="0"/>
              <w:numPr>
                <w:ilvl w:val="0"/>
                <w:numId w:val="57"/>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sz w:val="24"/>
                <w:szCs w:val="24"/>
                <w:lang w:val="en-US" w:eastAsia="zh-CN"/>
              </w:rPr>
            </w:pPr>
            <w:r>
              <w:rPr>
                <w:rFonts w:hint="eastAsia" w:cs="Times New Roman"/>
                <w:sz w:val="24"/>
                <w:szCs w:val="24"/>
                <w:lang w:val="en-US" w:eastAsia="zh-CN"/>
              </w:rPr>
              <w:t>装车（储罐发油）</w:t>
            </w:r>
          </w:p>
          <w:p w14:paraId="612640B7">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sz w:val="24"/>
                <w:szCs w:val="24"/>
                <w:lang w:val="en-US" w:eastAsia="zh-CN"/>
              </w:rPr>
            </w:pPr>
            <w:r>
              <w:rPr>
                <w:rFonts w:hint="eastAsia" w:cs="Times New Roman"/>
                <w:sz w:val="24"/>
                <w:szCs w:val="24"/>
                <w:lang w:val="en-US" w:eastAsia="zh-CN"/>
              </w:rPr>
              <w:t>本项目废矿物油的转运量为1500t/a，则投入量为1714.29m</w:t>
            </w:r>
            <w:r>
              <w:rPr>
                <w:rFonts w:hint="eastAsia" w:cs="Times New Roman"/>
                <w:sz w:val="24"/>
                <w:szCs w:val="24"/>
                <w:vertAlign w:val="superscript"/>
                <w:lang w:val="en-US" w:eastAsia="zh-CN"/>
              </w:rPr>
              <w:t>3</w:t>
            </w:r>
            <w:r>
              <w:rPr>
                <w:rFonts w:hint="eastAsia" w:cs="Times New Roman"/>
                <w:sz w:val="24"/>
                <w:szCs w:val="24"/>
                <w:lang w:val="en-US" w:eastAsia="zh-CN"/>
              </w:rPr>
              <w:t>，则本项目储罐大呼吸废气产生量约0.016t/a，年发油作业以85.72h计，则“大呼吸”非甲烷总烃产生速率为0.187kg/h。</w:t>
            </w:r>
          </w:p>
          <w:p w14:paraId="747D855F">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lang w:val="en-US" w:eastAsia="zh-CN"/>
              </w:rPr>
              <w:t>表</w:t>
            </w:r>
            <w:r>
              <w:rPr>
                <w:rFonts w:hint="eastAsia" w:cs="Times New Roman"/>
                <w:b/>
                <w:bCs/>
                <w:sz w:val="21"/>
                <w:szCs w:val="21"/>
                <w:lang w:val="en-US" w:eastAsia="zh-CN"/>
              </w:rPr>
              <w:t>4-5</w:t>
            </w:r>
            <w:r>
              <w:rPr>
                <w:rFonts w:hint="default" w:ascii="Times New Roman" w:hAnsi="Times New Roman" w:eastAsia="宋体" w:cs="Times New Roman"/>
                <w:b/>
                <w:bCs/>
                <w:sz w:val="21"/>
                <w:szCs w:val="21"/>
                <w:lang w:val="en-US" w:eastAsia="zh-CN"/>
              </w:rPr>
              <w:t xml:space="preserve"> </w:t>
            </w:r>
            <w:r>
              <w:rPr>
                <w:rFonts w:hint="eastAsia" w:ascii="宋体" w:hAnsi="宋体" w:eastAsia="宋体" w:cs="宋体"/>
                <w:b/>
                <w:bCs/>
                <w:sz w:val="21"/>
                <w:szCs w:val="21"/>
                <w:lang w:val="en-US" w:eastAsia="zh-CN"/>
              </w:rPr>
              <w:t>油罐“大呼吸”损耗计算系数表</w:t>
            </w:r>
          </w:p>
          <w:tbl>
            <w:tblPr>
              <w:tblStyle w:val="28"/>
              <w:tblW w:w="832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080"/>
              <w:gridCol w:w="2467"/>
              <w:gridCol w:w="1888"/>
              <w:gridCol w:w="1888"/>
            </w:tblGrid>
            <w:tr w14:paraId="08529C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080" w:type="dxa"/>
                </w:tcPr>
                <w:p w14:paraId="69288340">
                  <w:pPr>
                    <w:keepNext w:val="0"/>
                    <w:keepLines w:val="0"/>
                    <w:pageBreakBefore w:val="0"/>
                    <w:widowControl w:val="0"/>
                    <w:numPr>
                      <w:ilvl w:val="0"/>
                      <w:numId w:val="0"/>
                    </w:numPr>
                    <w:tabs>
                      <w:tab w:val="center" w:pos="992"/>
                      <w:tab w:val="right" w:pos="1864"/>
                    </w:tabs>
                    <w:kinsoku/>
                    <w:wordWrap/>
                    <w:overflowPunct/>
                    <w:topLinePunct w:val="0"/>
                    <w:autoSpaceDE/>
                    <w:autoSpaceDN/>
                    <w:bidi w:val="0"/>
                    <w:adjustRightInd/>
                    <w:snapToGrid/>
                    <w:spacing w:line="240" w:lineRule="auto"/>
                    <w:jc w:val="left"/>
                    <w:textAlignment w:val="auto"/>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vertAlign w:val="baseline"/>
                      <w:lang w:val="en-US" w:eastAsia="zh-CN"/>
                    </w:rPr>
                    <w:tab/>
                  </w:r>
                  <w:r>
                    <w:rPr>
                      <w:rFonts w:hint="default" w:ascii="Times New Roman" w:hAnsi="Times New Roman" w:eastAsia="宋体" w:cs="Times New Roman"/>
                      <w:b/>
                      <w:bCs/>
                      <w:sz w:val="21"/>
                      <w:szCs w:val="21"/>
                      <w:vertAlign w:val="baseline"/>
                      <w:lang w:val="en-US" w:eastAsia="zh-CN"/>
                    </w:rPr>
                    <w:t>产生工序</w:t>
                  </w:r>
                  <w:r>
                    <w:rPr>
                      <w:rFonts w:hint="default" w:ascii="Times New Roman" w:hAnsi="Times New Roman" w:eastAsia="宋体" w:cs="Times New Roman"/>
                      <w:b/>
                      <w:bCs/>
                      <w:sz w:val="21"/>
                      <w:szCs w:val="21"/>
                      <w:vertAlign w:val="baseline"/>
                      <w:lang w:val="en-US" w:eastAsia="zh-CN"/>
                    </w:rPr>
                    <w:tab/>
                  </w:r>
                </w:p>
              </w:tc>
              <w:tc>
                <w:tcPr>
                  <w:tcW w:w="2467" w:type="dxa"/>
                </w:tcPr>
                <w:p w14:paraId="41C41BCD">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vertAlign w:val="baseline"/>
                      <w:lang w:val="en-US" w:eastAsia="zh-CN"/>
                    </w:rPr>
                    <w:t>污染因子</w:t>
                  </w:r>
                </w:p>
              </w:tc>
              <w:tc>
                <w:tcPr>
                  <w:tcW w:w="1888" w:type="dxa"/>
                </w:tcPr>
                <w:p w14:paraId="47BD6A0C">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vertAlign w:val="baseline"/>
                      <w:lang w:val="en-US" w:eastAsia="zh-CN"/>
                    </w:rPr>
                    <w:t>产生量t/a</w:t>
                  </w:r>
                </w:p>
              </w:tc>
              <w:tc>
                <w:tcPr>
                  <w:tcW w:w="1888" w:type="dxa"/>
                </w:tcPr>
                <w:p w14:paraId="54CEF8BA">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vertAlign w:val="baseline"/>
                      <w:lang w:val="en-US" w:eastAsia="zh-CN"/>
                    </w:rPr>
                    <w:t>产生速率kg/h</w:t>
                  </w:r>
                </w:p>
              </w:tc>
            </w:tr>
            <w:tr w14:paraId="5A9B6F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080" w:type="dxa"/>
                </w:tcPr>
                <w:p w14:paraId="0D3AD3D1">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卸车（储罐收油）</w:t>
                  </w:r>
                </w:p>
              </w:tc>
              <w:tc>
                <w:tcPr>
                  <w:tcW w:w="2467" w:type="dxa"/>
                  <w:vAlign w:val="top"/>
                </w:tcPr>
                <w:p w14:paraId="625D017E">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VOCs（非甲烷总烃）</w:t>
                  </w:r>
                </w:p>
              </w:tc>
              <w:tc>
                <w:tcPr>
                  <w:tcW w:w="1888" w:type="dxa"/>
                  <w:vAlign w:val="top"/>
                </w:tcPr>
                <w:p w14:paraId="114DE5F3">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lang w:val="en-US" w:eastAsia="zh-CN"/>
                    </w:rPr>
                    <w:t>0.016</w:t>
                  </w:r>
                </w:p>
              </w:tc>
              <w:tc>
                <w:tcPr>
                  <w:tcW w:w="1888" w:type="dxa"/>
                  <w:vAlign w:val="top"/>
                </w:tcPr>
                <w:p w14:paraId="11683086">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eastAsia" w:cs="Times New Roman"/>
                      <w:sz w:val="21"/>
                      <w:szCs w:val="21"/>
                      <w:lang w:val="en-US" w:eastAsia="zh-CN"/>
                    </w:rPr>
                    <w:t>0.187</w:t>
                  </w:r>
                </w:p>
              </w:tc>
            </w:tr>
            <w:tr w14:paraId="7F5E3A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080" w:type="dxa"/>
                </w:tcPr>
                <w:p w14:paraId="209D6907">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装车（储罐发油）</w:t>
                  </w:r>
                </w:p>
              </w:tc>
              <w:tc>
                <w:tcPr>
                  <w:tcW w:w="2467" w:type="dxa"/>
                  <w:vAlign w:val="top"/>
                </w:tcPr>
                <w:p w14:paraId="40D045BA">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VOCs（非甲烷总烃）</w:t>
                  </w:r>
                </w:p>
              </w:tc>
              <w:tc>
                <w:tcPr>
                  <w:tcW w:w="1888" w:type="dxa"/>
                  <w:vAlign w:val="top"/>
                </w:tcPr>
                <w:p w14:paraId="372A02EA">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lang w:val="en-US" w:eastAsia="zh-CN"/>
                    </w:rPr>
                    <w:t>0.016</w:t>
                  </w:r>
                </w:p>
              </w:tc>
              <w:tc>
                <w:tcPr>
                  <w:tcW w:w="1888" w:type="dxa"/>
                  <w:vAlign w:val="top"/>
                </w:tcPr>
                <w:p w14:paraId="004D9D15">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eastAsia" w:cs="Times New Roman"/>
                      <w:sz w:val="21"/>
                      <w:szCs w:val="21"/>
                      <w:lang w:val="en-US" w:eastAsia="zh-CN"/>
                    </w:rPr>
                    <w:t>0.187</w:t>
                  </w:r>
                </w:p>
              </w:tc>
            </w:tr>
          </w:tbl>
          <w:p w14:paraId="00852DF1">
            <w:pPr>
              <w:keepNext w:val="0"/>
              <w:keepLines w:val="0"/>
              <w:pageBreakBefore w:val="0"/>
              <w:widowControl w:val="0"/>
              <w:numPr>
                <w:ilvl w:val="0"/>
                <w:numId w:val="56"/>
              </w:numPr>
              <w:kinsoku/>
              <w:wordWrap/>
              <w:overflowPunct/>
              <w:topLinePunct w:val="0"/>
              <w:autoSpaceDE/>
              <w:autoSpaceDN/>
              <w:bidi w:val="0"/>
              <w:adjustRightInd/>
              <w:snapToGrid/>
              <w:spacing w:line="360" w:lineRule="auto"/>
              <w:ind w:left="0" w:leftChars="0" w:firstLine="482" w:firstLineChars="200"/>
              <w:jc w:val="both"/>
              <w:textAlignment w:val="auto"/>
              <w:rPr>
                <w:rFonts w:hint="eastAsia" w:cs="Times New Roman"/>
                <w:b/>
                <w:bCs/>
                <w:sz w:val="24"/>
                <w:szCs w:val="24"/>
                <w:lang w:val="en-US" w:eastAsia="zh-CN"/>
              </w:rPr>
            </w:pPr>
            <w:r>
              <w:rPr>
                <w:rFonts w:hint="eastAsia" w:cs="Times New Roman"/>
                <w:b/>
                <w:bCs/>
                <w:sz w:val="24"/>
                <w:szCs w:val="24"/>
                <w:lang w:val="en-US" w:eastAsia="zh-CN"/>
              </w:rPr>
              <w:t>“小呼吸”损耗</w:t>
            </w:r>
          </w:p>
          <w:p w14:paraId="43071CBA">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sz w:val="24"/>
                <w:szCs w:val="24"/>
                <w:lang w:val="en-US" w:eastAsia="zh-CN"/>
              </w:rPr>
            </w:pPr>
            <w:r>
              <w:rPr>
                <w:rFonts w:hint="eastAsia" w:cs="Times New Roman"/>
                <w:sz w:val="24"/>
                <w:szCs w:val="24"/>
                <w:lang w:val="en-US" w:eastAsia="zh-CN"/>
              </w:rPr>
              <w:t>本项目“小呼吸”损耗主要为储油罐静贮存过程的蒸发损耗；储油罐内静止储存的油品，白天受太阳辐射使油温升高，引起上部空间气体膨胀和油面蒸发加剧，罐内压力随之升高，油蒸汽就逸出罐外造成损耗。夜晚气温下降使罐内气体收缩，油气凝结，罐内压力随之下降，空气进入罐内，使气体空间的油气浓度降低，又为温度升高后油气蒸发创造条件。这样反复循环，就形成了油罐的“小呼吸”损失。</w:t>
            </w:r>
          </w:p>
          <w:p w14:paraId="5DB264DA">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sz w:val="24"/>
                <w:szCs w:val="24"/>
                <w:lang w:val="en-US" w:eastAsia="zh-CN"/>
              </w:rPr>
            </w:pPr>
            <w:r>
              <w:rPr>
                <w:rFonts w:hint="eastAsia" w:cs="Times New Roman"/>
                <w:sz w:val="24"/>
                <w:szCs w:val="24"/>
                <w:lang w:val="en-US" w:eastAsia="zh-CN"/>
              </w:rPr>
              <w:t>计算公式如下：</w:t>
            </w:r>
          </w:p>
          <w:p w14:paraId="0967D5B1">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sz w:val="24"/>
                <w:szCs w:val="24"/>
                <w:lang w:val="en-US" w:eastAsia="zh-CN"/>
              </w:rPr>
            </w:pPr>
            <w:r>
              <w:rPr>
                <w:rFonts w:hint="eastAsia" w:cs="Times New Roman"/>
                <w:sz w:val="24"/>
                <w:szCs w:val="24"/>
                <w:lang w:val="en-US" w:eastAsia="zh-CN"/>
              </w:rPr>
              <w:t>L</w:t>
            </w:r>
            <w:r>
              <w:rPr>
                <w:rFonts w:hint="eastAsia" w:cs="Times New Roman"/>
                <w:sz w:val="24"/>
                <w:szCs w:val="24"/>
                <w:vertAlign w:val="subscript"/>
                <w:lang w:val="en-US" w:eastAsia="zh-CN"/>
              </w:rPr>
              <w:t>B</w:t>
            </w:r>
            <w:r>
              <w:rPr>
                <w:rFonts w:hint="eastAsia" w:cs="Times New Roman"/>
                <w:sz w:val="24"/>
                <w:szCs w:val="24"/>
                <w:lang w:val="en-US" w:eastAsia="zh-CN"/>
              </w:rPr>
              <w:t>=0.191×M×（P/（100910-P））</w:t>
            </w:r>
            <w:r>
              <w:rPr>
                <w:rFonts w:hint="eastAsia" w:cs="Times New Roman"/>
                <w:sz w:val="24"/>
                <w:szCs w:val="24"/>
                <w:vertAlign w:val="superscript"/>
                <w:lang w:val="en-US" w:eastAsia="zh-CN"/>
              </w:rPr>
              <w:t>0.68</w:t>
            </w:r>
            <w:r>
              <w:rPr>
                <w:rFonts w:hint="eastAsia" w:cs="Times New Roman"/>
                <w:sz w:val="24"/>
                <w:szCs w:val="24"/>
                <w:lang w:val="en-US" w:eastAsia="zh-CN"/>
              </w:rPr>
              <w:t>×D</w:t>
            </w:r>
            <w:r>
              <w:rPr>
                <w:rFonts w:hint="eastAsia" w:cs="Times New Roman"/>
                <w:sz w:val="24"/>
                <w:szCs w:val="24"/>
                <w:vertAlign w:val="superscript"/>
                <w:lang w:val="en-US" w:eastAsia="zh-CN"/>
              </w:rPr>
              <w:t>1.73</w:t>
            </w:r>
            <w:r>
              <w:rPr>
                <w:rFonts w:hint="eastAsia" w:cs="Times New Roman"/>
                <w:sz w:val="24"/>
                <w:szCs w:val="24"/>
                <w:lang w:val="en-US" w:eastAsia="zh-CN"/>
              </w:rPr>
              <w:t>×H</w:t>
            </w:r>
            <w:r>
              <w:rPr>
                <w:rFonts w:hint="eastAsia" w:cs="Times New Roman"/>
                <w:sz w:val="24"/>
                <w:szCs w:val="24"/>
                <w:vertAlign w:val="superscript"/>
                <w:lang w:val="en-US" w:eastAsia="zh-CN"/>
              </w:rPr>
              <w:t>0.51</w:t>
            </w:r>
            <w:r>
              <w:rPr>
                <w:rFonts w:hint="eastAsia" w:cs="Times New Roman"/>
                <w:sz w:val="24"/>
                <w:szCs w:val="24"/>
                <w:lang w:val="en-US" w:eastAsia="zh-CN"/>
              </w:rPr>
              <w:t>×ΔT</w:t>
            </w:r>
            <w:r>
              <w:rPr>
                <w:rFonts w:hint="eastAsia" w:cs="Times New Roman"/>
                <w:sz w:val="24"/>
                <w:szCs w:val="24"/>
                <w:vertAlign w:val="superscript"/>
                <w:lang w:val="en-US" w:eastAsia="zh-CN"/>
              </w:rPr>
              <w:t>0.45</w:t>
            </w:r>
            <w:r>
              <w:rPr>
                <w:rFonts w:hint="eastAsia" w:cs="Times New Roman"/>
                <w:sz w:val="24"/>
                <w:szCs w:val="24"/>
                <w:lang w:val="en-US" w:eastAsia="zh-CN"/>
              </w:rPr>
              <w:t>×Fp×C×Kc</w:t>
            </w:r>
          </w:p>
          <w:p w14:paraId="314D5817">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sz w:val="24"/>
                <w:szCs w:val="24"/>
                <w:lang w:val="en-US" w:eastAsia="zh-CN"/>
              </w:rPr>
            </w:pPr>
            <w:r>
              <w:rPr>
                <w:rFonts w:hint="eastAsia" w:cs="Times New Roman"/>
                <w:sz w:val="24"/>
                <w:szCs w:val="24"/>
                <w:lang w:val="en-US" w:eastAsia="zh-CN"/>
              </w:rPr>
              <w:t>式中：L</w:t>
            </w:r>
            <w:r>
              <w:rPr>
                <w:rFonts w:hint="eastAsia" w:cs="Times New Roman"/>
                <w:sz w:val="24"/>
                <w:szCs w:val="24"/>
                <w:vertAlign w:val="subscript"/>
                <w:lang w:val="en-US" w:eastAsia="zh-CN"/>
              </w:rPr>
              <w:t>B</w:t>
            </w:r>
            <w:r>
              <w:rPr>
                <w:rFonts w:hint="eastAsia" w:cs="Times New Roman"/>
                <w:sz w:val="24"/>
                <w:szCs w:val="24"/>
                <w:lang w:val="en-US" w:eastAsia="zh-CN"/>
              </w:rPr>
              <w:t>—储罐小呼吸排放量，kg/a；</w:t>
            </w:r>
          </w:p>
          <w:p w14:paraId="26F8436D">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sz w:val="24"/>
                <w:szCs w:val="24"/>
                <w:lang w:val="en-US" w:eastAsia="zh-CN"/>
              </w:rPr>
            </w:pPr>
            <w:r>
              <w:rPr>
                <w:rFonts w:hint="eastAsia" w:cs="Times New Roman"/>
                <w:sz w:val="24"/>
                <w:szCs w:val="24"/>
                <w:lang w:val="en-US" w:eastAsia="zh-CN"/>
              </w:rPr>
              <w:t>M—储罐内蒸气的分子量，取92.14；</w:t>
            </w:r>
          </w:p>
          <w:p w14:paraId="4642A65B">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sz w:val="24"/>
                <w:szCs w:val="24"/>
                <w:lang w:val="en-US" w:eastAsia="zh-CN"/>
              </w:rPr>
            </w:pPr>
            <w:r>
              <w:rPr>
                <w:rFonts w:hint="eastAsia" w:cs="Times New Roman"/>
                <w:sz w:val="24"/>
                <w:szCs w:val="24"/>
                <w:lang w:val="en-US" w:eastAsia="zh-CN"/>
              </w:rPr>
              <w:t>P—在大量液体状态下，真实的蒸气压力（Pa）；Pa，取1590Pa；</w:t>
            </w:r>
          </w:p>
          <w:p w14:paraId="155C143A">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sz w:val="24"/>
                <w:szCs w:val="24"/>
                <w:lang w:val="en-US" w:eastAsia="zh-CN"/>
              </w:rPr>
            </w:pPr>
            <w:r>
              <w:rPr>
                <w:rFonts w:hint="eastAsia" w:cs="Times New Roman"/>
                <w:sz w:val="24"/>
                <w:szCs w:val="24"/>
                <w:lang w:val="en-US" w:eastAsia="zh-CN"/>
              </w:rPr>
              <w:t>D—罐的直径（m），本项目2个50m³储罐的直径均为3.0m；</w:t>
            </w:r>
          </w:p>
          <w:p w14:paraId="356A304D">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sz w:val="24"/>
                <w:szCs w:val="24"/>
                <w:lang w:val="en-US" w:eastAsia="zh-CN"/>
              </w:rPr>
            </w:pPr>
            <w:r>
              <w:rPr>
                <w:rFonts w:hint="eastAsia" w:cs="Times New Roman"/>
                <w:sz w:val="24"/>
                <w:szCs w:val="24"/>
                <w:lang w:val="en-US" w:eastAsia="zh-CN"/>
              </w:rPr>
              <w:t>H—平均蒸气空间高度（m），按平均1.5m计；</w:t>
            </w:r>
          </w:p>
          <w:p w14:paraId="36F26BDE">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sz w:val="24"/>
                <w:szCs w:val="24"/>
                <w:lang w:val="en-US" w:eastAsia="zh-CN"/>
              </w:rPr>
            </w:pPr>
            <w:r>
              <w:rPr>
                <w:rFonts w:hint="eastAsia" w:cs="Times New Roman"/>
                <w:sz w:val="24"/>
                <w:szCs w:val="24"/>
                <w:lang w:val="en-US" w:eastAsia="zh-CN"/>
              </w:rPr>
              <w:t>ΔT—一天之内的平均温度差，取10℃。Fp—涂层因子（无量纲），根据油漆状况取值在1~1.5之间，取1.5；C—用于小直径罐的调节因子（无量纲）；直径在0~9m之间的罐体，C=1-0.0123（D-9）</w:t>
            </w:r>
            <w:r>
              <w:rPr>
                <w:rFonts w:hint="eastAsia" w:cs="Times New Roman"/>
                <w:sz w:val="24"/>
                <w:szCs w:val="24"/>
                <w:vertAlign w:val="superscript"/>
                <w:lang w:val="en-US" w:eastAsia="zh-CN"/>
              </w:rPr>
              <w:t>2</w:t>
            </w:r>
            <w:r>
              <w:rPr>
                <w:rFonts w:hint="eastAsia" w:cs="Times New Roman"/>
                <w:sz w:val="24"/>
                <w:szCs w:val="24"/>
                <w:lang w:val="en-US" w:eastAsia="zh-CN"/>
              </w:rPr>
              <w:t>；罐径大于9m的罐体，C=1；</w:t>
            </w:r>
          </w:p>
          <w:p w14:paraId="584B4B2E">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sz w:val="24"/>
                <w:szCs w:val="24"/>
                <w:lang w:val="en-US" w:eastAsia="zh-CN"/>
              </w:rPr>
            </w:pPr>
            <w:r>
              <w:rPr>
                <w:rFonts w:hint="eastAsia" w:cs="Times New Roman"/>
                <w:sz w:val="24"/>
                <w:szCs w:val="24"/>
                <w:lang w:val="en-US" w:eastAsia="zh-CN"/>
              </w:rPr>
              <w:t>Kc—产品因子，石油原油Kc取0.65，其他油品取1.0，本项目取1.0。</w:t>
            </w:r>
          </w:p>
          <w:p w14:paraId="1516446D">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sz w:val="24"/>
                <w:szCs w:val="24"/>
                <w:lang w:val="en-US" w:eastAsia="zh-CN"/>
              </w:rPr>
            </w:pPr>
            <w:r>
              <w:rPr>
                <w:rFonts w:hint="eastAsia" w:cs="Times New Roman"/>
                <w:sz w:val="24"/>
                <w:szCs w:val="24"/>
                <w:lang w:val="en-US" w:eastAsia="zh-CN"/>
              </w:rPr>
              <w:t>根据上面公式，</w:t>
            </w:r>
            <w:r>
              <w:rPr>
                <w:rFonts w:hint="eastAsia" w:cs="Times New Roman"/>
                <w:color w:val="auto"/>
                <w:sz w:val="24"/>
                <w:szCs w:val="24"/>
                <w:lang w:val="en-US" w:eastAsia="zh-CN"/>
              </w:rPr>
              <w:t>单个50m³的卧式储罐小呼吸废气产生</w:t>
            </w:r>
            <w:r>
              <w:rPr>
                <w:rFonts w:hint="eastAsia" w:cs="Times New Roman"/>
                <w:sz w:val="24"/>
                <w:szCs w:val="24"/>
                <w:lang w:val="en-US" w:eastAsia="zh-CN"/>
              </w:rPr>
              <w:t>量约为36.72kg/a；项目有2个50m</w:t>
            </w:r>
            <w:r>
              <w:rPr>
                <w:rFonts w:hint="eastAsia" w:cs="Times New Roman"/>
                <w:sz w:val="24"/>
                <w:szCs w:val="24"/>
                <w:vertAlign w:val="superscript"/>
                <w:lang w:val="en-US" w:eastAsia="zh-CN"/>
              </w:rPr>
              <w:t>3</w:t>
            </w:r>
            <w:r>
              <w:rPr>
                <w:rFonts w:hint="eastAsia" w:cs="Times New Roman"/>
                <w:sz w:val="24"/>
                <w:szCs w:val="24"/>
                <w:lang w:val="en-US" w:eastAsia="zh-CN"/>
              </w:rPr>
              <w:t>的储罐，则小呼吸废气产生量为36.72×2=73.44kg/a=0.074t/a。由于储油罐静贮存时的排气时间不能确定，按年350天，每天24h计算，则储油罐静贮存时非甲烷总烃产生速率为0.009kg/h。</w:t>
            </w:r>
          </w:p>
          <w:p w14:paraId="59445245">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eastAsia" w:cs="Times New Roman"/>
                <w:b/>
                <w:bCs/>
                <w:sz w:val="21"/>
                <w:szCs w:val="21"/>
                <w:lang w:val="en-US" w:eastAsia="zh-CN"/>
              </w:rPr>
            </w:pPr>
            <w:r>
              <w:rPr>
                <w:rFonts w:hint="eastAsia" w:cs="Times New Roman"/>
                <w:b/>
                <w:bCs/>
                <w:sz w:val="21"/>
                <w:szCs w:val="21"/>
                <w:lang w:val="en-US" w:eastAsia="zh-CN"/>
              </w:rPr>
              <w:t>表4-6油罐“小呼吸”损耗计算系数表</w:t>
            </w:r>
          </w:p>
          <w:tbl>
            <w:tblPr>
              <w:tblStyle w:val="28"/>
              <w:tblW w:w="832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40"/>
              <w:gridCol w:w="1040"/>
              <w:gridCol w:w="2467"/>
              <w:gridCol w:w="1888"/>
              <w:gridCol w:w="1888"/>
            </w:tblGrid>
            <w:tr w14:paraId="6E00B1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080" w:type="dxa"/>
                  <w:gridSpan w:val="2"/>
                </w:tcPr>
                <w:p w14:paraId="162AED4D">
                  <w:pPr>
                    <w:keepNext w:val="0"/>
                    <w:keepLines w:val="0"/>
                    <w:pageBreakBefore w:val="0"/>
                    <w:widowControl w:val="0"/>
                    <w:numPr>
                      <w:ilvl w:val="0"/>
                      <w:numId w:val="0"/>
                    </w:numPr>
                    <w:tabs>
                      <w:tab w:val="center" w:pos="992"/>
                      <w:tab w:val="right" w:pos="1864"/>
                    </w:tabs>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vertAlign w:val="baseline"/>
                      <w:lang w:val="en-US" w:eastAsia="zh-CN"/>
                    </w:rPr>
                    <w:t>产生工序</w:t>
                  </w:r>
                </w:p>
              </w:tc>
              <w:tc>
                <w:tcPr>
                  <w:tcW w:w="2467" w:type="dxa"/>
                </w:tcPr>
                <w:p w14:paraId="58427AB8">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vertAlign w:val="baseline"/>
                      <w:lang w:val="en-US" w:eastAsia="zh-CN"/>
                    </w:rPr>
                    <w:t>污染因子</w:t>
                  </w:r>
                </w:p>
              </w:tc>
              <w:tc>
                <w:tcPr>
                  <w:tcW w:w="1888" w:type="dxa"/>
                </w:tcPr>
                <w:p w14:paraId="68F60910">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vertAlign w:val="baseline"/>
                      <w:lang w:val="en-US" w:eastAsia="zh-CN"/>
                    </w:rPr>
                    <w:t>产生量t/a</w:t>
                  </w:r>
                </w:p>
              </w:tc>
              <w:tc>
                <w:tcPr>
                  <w:tcW w:w="1888" w:type="dxa"/>
                </w:tcPr>
                <w:p w14:paraId="61AD652B">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vertAlign w:val="baseline"/>
                      <w:lang w:val="en-US" w:eastAsia="zh-CN"/>
                    </w:rPr>
                    <w:t>产生速率kg/h</w:t>
                  </w:r>
                </w:p>
              </w:tc>
            </w:tr>
            <w:tr w14:paraId="2E0DD7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40" w:type="dxa"/>
                </w:tcPr>
                <w:p w14:paraId="3FA23D26">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sz w:val="21"/>
                      <w:szCs w:val="21"/>
                      <w:vertAlign w:val="baseline"/>
                      <w:lang w:val="en-US" w:eastAsia="zh-CN"/>
                    </w:rPr>
                  </w:pPr>
                  <w:r>
                    <w:rPr>
                      <w:rFonts w:hint="eastAsia"/>
                    </w:rPr>
                    <w:t>储存</w:t>
                  </w:r>
                </w:p>
              </w:tc>
              <w:tc>
                <w:tcPr>
                  <w:tcW w:w="1040" w:type="dxa"/>
                </w:tcPr>
                <w:p w14:paraId="2E44094C">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sz w:val="21"/>
                      <w:szCs w:val="21"/>
                      <w:vertAlign w:val="baseline"/>
                      <w:lang w:val="en-US" w:eastAsia="zh-CN"/>
                    </w:rPr>
                  </w:pPr>
                  <w:r>
                    <w:rPr>
                      <w:rFonts w:hint="eastAsia"/>
                    </w:rPr>
                    <w:t>储罐</w:t>
                  </w:r>
                </w:p>
              </w:tc>
              <w:tc>
                <w:tcPr>
                  <w:tcW w:w="2467" w:type="dxa"/>
                  <w:vAlign w:val="top"/>
                </w:tcPr>
                <w:p w14:paraId="6698DA75">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VOCs（非甲烷总烃）</w:t>
                  </w:r>
                </w:p>
              </w:tc>
              <w:tc>
                <w:tcPr>
                  <w:tcW w:w="1888" w:type="dxa"/>
                  <w:vAlign w:val="top"/>
                </w:tcPr>
                <w:p w14:paraId="56815BEF">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eastAsia" w:cs="Times New Roman"/>
                      <w:sz w:val="21"/>
                      <w:szCs w:val="21"/>
                      <w:lang w:val="en-US" w:eastAsia="zh-CN"/>
                    </w:rPr>
                    <w:t>0.074</w:t>
                  </w:r>
                </w:p>
              </w:tc>
              <w:tc>
                <w:tcPr>
                  <w:tcW w:w="1888" w:type="dxa"/>
                  <w:vAlign w:val="top"/>
                </w:tcPr>
                <w:p w14:paraId="292B2779">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lang w:val="en-US" w:eastAsia="zh-CN"/>
                    </w:rPr>
                    <w:t>0.00</w:t>
                  </w:r>
                  <w:r>
                    <w:rPr>
                      <w:rFonts w:hint="eastAsia" w:cs="Times New Roman"/>
                      <w:sz w:val="21"/>
                      <w:szCs w:val="21"/>
                      <w:lang w:val="en-US" w:eastAsia="zh-CN"/>
                    </w:rPr>
                    <w:t>9</w:t>
                  </w:r>
                </w:p>
              </w:tc>
            </w:tr>
          </w:tbl>
          <w:p w14:paraId="0457928A">
            <w:pPr>
              <w:keepNext w:val="0"/>
              <w:keepLines w:val="0"/>
              <w:pageBreakBefore w:val="0"/>
              <w:widowControl w:val="0"/>
              <w:numPr>
                <w:ilvl w:val="0"/>
                <w:numId w:val="55"/>
              </w:numPr>
              <w:kinsoku/>
              <w:wordWrap/>
              <w:overflowPunct/>
              <w:topLinePunct w:val="0"/>
              <w:autoSpaceDE/>
              <w:autoSpaceDN/>
              <w:bidi w:val="0"/>
              <w:adjustRightInd/>
              <w:snapToGrid/>
              <w:spacing w:line="360" w:lineRule="auto"/>
              <w:ind w:left="0" w:leftChars="0" w:firstLine="482" w:firstLineChars="200"/>
              <w:jc w:val="both"/>
              <w:textAlignment w:val="auto"/>
              <w:rPr>
                <w:rFonts w:hint="eastAsia" w:ascii="Times New Roman" w:hAnsi="Times New Roman" w:eastAsia="宋体" w:cs="Times New Roman"/>
                <w:b/>
                <w:bCs/>
                <w:sz w:val="24"/>
                <w:szCs w:val="24"/>
                <w:lang w:val="en-US" w:eastAsia="zh-CN"/>
              </w:rPr>
            </w:pPr>
            <w:r>
              <w:rPr>
                <w:rFonts w:hint="eastAsia" w:ascii="Times New Roman" w:hAnsi="Times New Roman" w:eastAsia="宋体" w:cs="Times New Roman"/>
                <w:b/>
                <w:bCs/>
                <w:sz w:val="24"/>
                <w:szCs w:val="24"/>
                <w:lang w:val="en-US" w:eastAsia="zh-CN"/>
              </w:rPr>
              <w:t>废气治理措施及排放口基本情况</w:t>
            </w:r>
          </w:p>
          <w:p w14:paraId="1A442C56">
            <w:pPr>
              <w:keepNext w:val="0"/>
              <w:keepLines w:val="0"/>
              <w:pageBreakBefore w:val="0"/>
              <w:widowControl w:val="0"/>
              <w:numPr>
                <w:ilvl w:val="0"/>
                <w:numId w:val="58"/>
              </w:numPr>
              <w:kinsoku/>
              <w:wordWrap/>
              <w:overflowPunct/>
              <w:topLinePunct w:val="0"/>
              <w:autoSpaceDE/>
              <w:autoSpaceDN/>
              <w:bidi w:val="0"/>
              <w:adjustRightInd/>
              <w:snapToGrid/>
              <w:spacing w:line="360" w:lineRule="auto"/>
              <w:ind w:firstLine="480" w:firstLineChars="200"/>
              <w:jc w:val="both"/>
              <w:textAlignment w:val="auto"/>
              <w:rPr>
                <w:rFonts w:hint="eastAsia"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废气治理措施</w:t>
            </w:r>
          </w:p>
          <w:p w14:paraId="712FC31B">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本项目储油罐顶部设置呼吸孔，储存、转运、装卸过程中产生的有机废气通过呼吸孔上方</w:t>
            </w:r>
            <w:r>
              <w:rPr>
                <w:rFonts w:hint="eastAsia" w:cs="Times New Roman"/>
                <w:sz w:val="24"/>
                <w:szCs w:val="24"/>
                <w:lang w:val="en-US" w:eastAsia="zh-CN"/>
              </w:rPr>
              <w:t>设置的</w:t>
            </w:r>
            <w:r>
              <w:rPr>
                <w:rFonts w:hint="eastAsia" w:ascii="Times New Roman" w:hAnsi="Times New Roman" w:eastAsia="宋体" w:cs="Times New Roman"/>
                <w:sz w:val="24"/>
                <w:szCs w:val="24"/>
                <w:lang w:val="en-US" w:eastAsia="zh-CN"/>
              </w:rPr>
              <w:t>伞罩型集气罩收集</w:t>
            </w:r>
            <w:r>
              <w:rPr>
                <w:rFonts w:hint="eastAsia" w:cs="Times New Roman"/>
                <w:sz w:val="24"/>
                <w:szCs w:val="24"/>
                <w:lang w:val="en-US" w:eastAsia="zh-CN"/>
              </w:rPr>
              <w:t>（收集率为</w:t>
            </w:r>
            <w:r>
              <w:rPr>
                <w:rFonts w:hint="eastAsia" w:ascii="Times New Roman" w:hAnsi="Times New Roman" w:eastAsia="宋体" w:cs="Times New Roman"/>
                <w:sz w:val="24"/>
                <w:szCs w:val="24"/>
                <w:lang w:val="en-US" w:eastAsia="zh-CN"/>
              </w:rPr>
              <w:t>90%</w:t>
            </w:r>
            <w:r>
              <w:rPr>
                <w:rFonts w:hint="eastAsia" w:cs="Times New Roman"/>
                <w:sz w:val="24"/>
                <w:szCs w:val="24"/>
                <w:lang w:val="en-US" w:eastAsia="zh-CN"/>
              </w:rPr>
              <w:t>）</w:t>
            </w:r>
            <w:r>
              <w:rPr>
                <w:rFonts w:hint="eastAsia" w:ascii="Times New Roman" w:hAnsi="Times New Roman" w:eastAsia="宋体" w:cs="Times New Roman"/>
                <w:sz w:val="24"/>
                <w:szCs w:val="24"/>
                <w:lang w:val="en-US" w:eastAsia="zh-CN"/>
              </w:rPr>
              <w:t>。有机废气经收集后引入一套</w:t>
            </w:r>
            <w:r>
              <w:rPr>
                <w:rFonts w:hint="eastAsia" w:cs="Times New Roman"/>
                <w:sz w:val="24"/>
                <w:szCs w:val="24"/>
                <w:lang w:val="en-US" w:eastAsia="zh-CN"/>
              </w:rPr>
              <w:t>“两级</w:t>
            </w:r>
            <w:r>
              <w:rPr>
                <w:rFonts w:hint="eastAsia" w:ascii="Times New Roman" w:hAnsi="Times New Roman" w:eastAsia="宋体" w:cs="Times New Roman"/>
                <w:sz w:val="24"/>
                <w:szCs w:val="24"/>
                <w:lang w:val="en-US" w:eastAsia="zh-CN"/>
              </w:rPr>
              <w:t>活性炭吸附装置</w:t>
            </w:r>
            <w:r>
              <w:rPr>
                <w:rFonts w:hint="eastAsia" w:cs="Times New Roman"/>
                <w:sz w:val="24"/>
                <w:szCs w:val="24"/>
                <w:lang w:val="en-US" w:eastAsia="zh-CN"/>
              </w:rPr>
              <w:t>”</w:t>
            </w:r>
            <w:r>
              <w:rPr>
                <w:rFonts w:hint="eastAsia" w:ascii="Times New Roman" w:hAnsi="Times New Roman" w:eastAsia="宋体" w:cs="Times New Roman"/>
                <w:sz w:val="24"/>
                <w:szCs w:val="24"/>
                <w:lang w:val="en-US" w:eastAsia="zh-CN"/>
              </w:rPr>
              <w:t>处理后，通过1根15m的排气筒</w:t>
            </w:r>
            <w:r>
              <w:rPr>
                <w:rFonts w:hint="eastAsia" w:cs="Times New Roman"/>
                <w:sz w:val="24"/>
                <w:szCs w:val="24"/>
                <w:lang w:val="en-US" w:eastAsia="zh-CN"/>
              </w:rPr>
              <w:t>（DA001）</w:t>
            </w:r>
            <w:r>
              <w:rPr>
                <w:rFonts w:hint="eastAsia" w:ascii="Times New Roman" w:hAnsi="Times New Roman" w:eastAsia="宋体" w:cs="Times New Roman"/>
                <w:sz w:val="24"/>
                <w:szCs w:val="24"/>
                <w:lang w:val="en-US" w:eastAsia="zh-CN"/>
              </w:rPr>
              <w:t>排放，处理效率为</w:t>
            </w:r>
            <w:r>
              <w:rPr>
                <w:rFonts w:hint="eastAsia" w:cs="Times New Roman"/>
                <w:sz w:val="24"/>
                <w:szCs w:val="24"/>
                <w:lang w:val="en-US" w:eastAsia="zh-CN"/>
              </w:rPr>
              <w:t>85</w:t>
            </w:r>
            <w:r>
              <w:rPr>
                <w:rFonts w:hint="eastAsia" w:ascii="Times New Roman" w:hAnsi="Times New Roman" w:eastAsia="宋体" w:cs="Times New Roman"/>
                <w:sz w:val="24"/>
                <w:szCs w:val="24"/>
                <w:lang w:val="en-US" w:eastAsia="zh-CN"/>
              </w:rPr>
              <w:t>%，废气处理设施配备风机风量为</w:t>
            </w:r>
            <w:r>
              <w:rPr>
                <w:rFonts w:hint="eastAsia" w:cs="Times New Roman"/>
                <w:sz w:val="24"/>
                <w:szCs w:val="24"/>
                <w:lang w:val="en-US" w:eastAsia="zh-CN"/>
              </w:rPr>
              <w:t>20</w:t>
            </w:r>
            <w:r>
              <w:rPr>
                <w:rFonts w:hint="eastAsia" w:ascii="Times New Roman" w:hAnsi="Times New Roman" w:eastAsia="宋体" w:cs="Times New Roman"/>
                <w:sz w:val="24"/>
                <w:szCs w:val="24"/>
                <w:lang w:val="en-US" w:eastAsia="zh-CN"/>
              </w:rPr>
              <w:t>00m</w:t>
            </w:r>
            <w:r>
              <w:rPr>
                <w:rFonts w:hint="eastAsia" w:ascii="Times New Roman" w:hAnsi="Times New Roman" w:eastAsia="宋体" w:cs="Times New Roman"/>
                <w:sz w:val="24"/>
                <w:szCs w:val="24"/>
                <w:vertAlign w:val="superscript"/>
                <w:lang w:val="en-US" w:eastAsia="zh-CN"/>
              </w:rPr>
              <w:t>3</w:t>
            </w:r>
            <w:r>
              <w:rPr>
                <w:rFonts w:hint="eastAsia" w:ascii="Times New Roman" w:hAnsi="Times New Roman" w:eastAsia="宋体" w:cs="Times New Roman"/>
                <w:sz w:val="24"/>
                <w:szCs w:val="24"/>
                <w:lang w:val="en-US" w:eastAsia="zh-CN"/>
              </w:rPr>
              <w:t>/h。</w:t>
            </w:r>
          </w:p>
          <w:p w14:paraId="4EE0CD89">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本项目在检验室台上方设置万向集气罩（0.2</w:t>
            </w:r>
            <w:r>
              <w:rPr>
                <w:rFonts w:hint="eastAsia" w:cs="Times New Roman"/>
                <w:color w:val="auto"/>
                <w:sz w:val="24"/>
                <w:szCs w:val="24"/>
                <w:lang w:val="en-US" w:eastAsia="zh-CN"/>
              </w:rPr>
              <w:t>m</w:t>
            </w:r>
            <w:r>
              <w:rPr>
                <w:rFonts w:hint="eastAsia" w:ascii="Times New Roman" w:hAnsi="Times New Roman" w:eastAsia="宋体" w:cs="Times New Roman"/>
                <w:color w:val="auto"/>
                <w:sz w:val="24"/>
                <w:szCs w:val="24"/>
                <w:lang w:val="en-US" w:eastAsia="zh-CN"/>
              </w:rPr>
              <w:t>×0.2</w:t>
            </w:r>
            <w:r>
              <w:rPr>
                <w:rFonts w:hint="eastAsia" w:cs="Times New Roman"/>
                <w:color w:val="auto"/>
                <w:sz w:val="24"/>
                <w:szCs w:val="24"/>
                <w:lang w:val="en-US" w:eastAsia="zh-CN"/>
              </w:rPr>
              <w:t>m</w:t>
            </w:r>
            <w:r>
              <w:rPr>
                <w:rFonts w:hint="eastAsia" w:ascii="Times New Roman" w:hAnsi="Times New Roman" w:eastAsia="宋体" w:cs="Times New Roman"/>
                <w:color w:val="auto"/>
                <w:sz w:val="24"/>
                <w:szCs w:val="24"/>
                <w:lang w:val="en-US" w:eastAsia="zh-CN"/>
              </w:rPr>
              <w:t>），检验过程产生的</w:t>
            </w:r>
            <w:r>
              <w:rPr>
                <w:rFonts w:hint="eastAsia" w:cs="Times New Roman"/>
                <w:color w:val="auto"/>
                <w:sz w:val="24"/>
                <w:szCs w:val="24"/>
                <w:lang w:val="en-US" w:eastAsia="zh-CN"/>
              </w:rPr>
              <w:t>少量</w:t>
            </w:r>
            <w:r>
              <w:rPr>
                <w:rFonts w:hint="eastAsia" w:ascii="Times New Roman" w:hAnsi="Times New Roman" w:eastAsia="宋体" w:cs="Times New Roman"/>
                <w:color w:val="auto"/>
                <w:sz w:val="24"/>
                <w:szCs w:val="24"/>
                <w:lang w:val="en-US" w:eastAsia="zh-CN"/>
              </w:rPr>
              <w:t>有机废气经集气罩收集后通过管道进入“两级活性炭吸附装置”处理，处理后的废气通过15m高排气筒</w:t>
            </w:r>
            <w:r>
              <w:rPr>
                <w:rFonts w:hint="eastAsia" w:cs="Times New Roman"/>
                <w:color w:val="auto"/>
                <w:sz w:val="24"/>
                <w:szCs w:val="24"/>
                <w:lang w:val="en-US" w:eastAsia="zh-CN"/>
              </w:rPr>
              <w:t>（DA001）</w:t>
            </w:r>
            <w:r>
              <w:rPr>
                <w:rFonts w:hint="eastAsia" w:ascii="Times New Roman" w:hAnsi="Times New Roman" w:eastAsia="宋体" w:cs="Times New Roman"/>
                <w:color w:val="auto"/>
                <w:sz w:val="24"/>
                <w:szCs w:val="24"/>
                <w:lang w:val="en-US" w:eastAsia="zh-CN"/>
              </w:rPr>
              <w:t>进行排放。</w:t>
            </w:r>
          </w:p>
          <w:p w14:paraId="7C931377">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sz w:val="21"/>
                <w:szCs w:val="21"/>
                <w:lang w:val="en-US" w:eastAsia="zh-CN"/>
              </w:rPr>
              <w:t>表</w:t>
            </w:r>
            <w:r>
              <w:rPr>
                <w:rFonts w:hint="eastAsia" w:cs="Times New Roman"/>
                <w:b/>
                <w:bCs/>
                <w:sz w:val="21"/>
                <w:szCs w:val="21"/>
                <w:lang w:val="en-US" w:eastAsia="zh-CN"/>
              </w:rPr>
              <w:t xml:space="preserve">4-7 </w:t>
            </w:r>
            <w:r>
              <w:rPr>
                <w:rFonts w:hint="eastAsia" w:ascii="Times New Roman" w:hAnsi="Times New Roman" w:eastAsia="宋体" w:cs="Times New Roman"/>
                <w:b/>
                <w:bCs/>
                <w:sz w:val="21"/>
                <w:szCs w:val="21"/>
                <w:lang w:val="en-US" w:eastAsia="zh-CN"/>
              </w:rPr>
              <w:t>装卸、储存、储罐之间转运工序污染物产生及排放情况</w:t>
            </w:r>
            <w:r>
              <w:rPr>
                <w:rFonts w:hint="eastAsia" w:cs="Times New Roman"/>
                <w:b/>
                <w:bCs/>
                <w:color w:val="auto"/>
                <w:sz w:val="21"/>
                <w:szCs w:val="21"/>
                <w:lang w:val="en-US" w:eastAsia="zh-CN"/>
              </w:rPr>
              <w:t>汇总表</w:t>
            </w:r>
          </w:p>
          <w:tbl>
            <w:tblPr>
              <w:tblStyle w:val="28"/>
              <w:tblW w:w="832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97"/>
              <w:gridCol w:w="2294"/>
              <w:gridCol w:w="4632"/>
            </w:tblGrid>
            <w:tr w14:paraId="70A5FF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691" w:type="dxa"/>
                  <w:gridSpan w:val="2"/>
                  <w:vAlign w:val="center"/>
                </w:tcPr>
                <w:p w14:paraId="15196486">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cs="Times New Roman"/>
                      <w:b w:val="0"/>
                      <w:bCs w:val="0"/>
                      <w:color w:val="auto"/>
                      <w:sz w:val="21"/>
                      <w:szCs w:val="21"/>
                      <w:lang w:val="en-US" w:eastAsia="zh-CN"/>
                    </w:rPr>
                  </w:pPr>
                  <w:r>
                    <w:rPr>
                      <w:rFonts w:hint="eastAsia" w:ascii="Times New Roman" w:hAnsi="Times New Roman" w:eastAsia="宋体" w:cs="Times New Roman"/>
                      <w:b/>
                      <w:bCs/>
                      <w:color w:val="auto"/>
                      <w:sz w:val="21"/>
                      <w:szCs w:val="21"/>
                      <w:vertAlign w:val="baseline"/>
                      <w:lang w:val="en-US" w:eastAsia="zh-CN"/>
                    </w:rPr>
                    <w:t>产生工序</w:t>
                  </w:r>
                </w:p>
              </w:tc>
              <w:tc>
                <w:tcPr>
                  <w:tcW w:w="4632" w:type="dxa"/>
                  <w:vAlign w:val="center"/>
                </w:tcPr>
                <w:p w14:paraId="4FE1114A">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color w:val="auto"/>
                      <w:sz w:val="21"/>
                      <w:szCs w:val="21"/>
                      <w:lang w:val="en-US" w:eastAsia="zh-CN"/>
                    </w:rPr>
                  </w:pPr>
                  <w:r>
                    <w:rPr>
                      <w:rFonts w:hint="eastAsia" w:cs="Times New Roman"/>
                      <w:color w:val="auto"/>
                      <w:sz w:val="21"/>
                      <w:szCs w:val="21"/>
                      <w:lang w:val="en-US" w:eastAsia="zh-CN"/>
                    </w:rPr>
                    <w:t>装卸、储存</w:t>
                  </w:r>
                </w:p>
              </w:tc>
            </w:tr>
            <w:tr w14:paraId="6D7302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691" w:type="dxa"/>
                  <w:gridSpan w:val="2"/>
                  <w:vAlign w:val="center"/>
                </w:tcPr>
                <w:p w14:paraId="329D0DD2">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污染因子</w:t>
                  </w:r>
                </w:p>
              </w:tc>
              <w:tc>
                <w:tcPr>
                  <w:tcW w:w="4632" w:type="dxa"/>
                  <w:vAlign w:val="center"/>
                </w:tcPr>
                <w:p w14:paraId="498A8A50">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color w:val="auto"/>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VOCs（非甲烷总烃）</w:t>
                  </w:r>
                </w:p>
              </w:tc>
            </w:tr>
            <w:tr w14:paraId="238561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691" w:type="dxa"/>
                  <w:gridSpan w:val="2"/>
                  <w:vAlign w:val="center"/>
                </w:tcPr>
                <w:p w14:paraId="132253A6">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产生量t/a</w:t>
                  </w:r>
                </w:p>
              </w:tc>
              <w:tc>
                <w:tcPr>
                  <w:tcW w:w="4632" w:type="dxa"/>
                  <w:vAlign w:val="center"/>
                </w:tcPr>
                <w:p w14:paraId="0A9AC864">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color w:val="auto"/>
                      <w:sz w:val="21"/>
                      <w:szCs w:val="21"/>
                      <w:vertAlign w:val="baseline"/>
                      <w:lang w:val="en-US" w:eastAsia="zh-CN"/>
                    </w:rPr>
                  </w:pPr>
                  <w:r>
                    <w:rPr>
                      <w:rFonts w:hint="eastAsia" w:cs="Times New Roman"/>
                      <w:color w:val="auto"/>
                      <w:sz w:val="21"/>
                      <w:szCs w:val="21"/>
                      <w:vertAlign w:val="baseline"/>
                      <w:lang w:val="en-US" w:eastAsia="zh-CN"/>
                    </w:rPr>
                    <w:t>0.106</w:t>
                  </w:r>
                </w:p>
              </w:tc>
            </w:tr>
            <w:tr w14:paraId="287CEF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691" w:type="dxa"/>
                  <w:gridSpan w:val="2"/>
                  <w:vAlign w:val="center"/>
                </w:tcPr>
                <w:p w14:paraId="0193FAAD">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产生速率kg/h</w:t>
                  </w:r>
                </w:p>
              </w:tc>
              <w:tc>
                <w:tcPr>
                  <w:tcW w:w="4632" w:type="dxa"/>
                  <w:vAlign w:val="center"/>
                </w:tcPr>
                <w:p w14:paraId="346E9D8F">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cs="Times New Roman"/>
                      <w:color w:val="auto"/>
                      <w:sz w:val="21"/>
                      <w:szCs w:val="21"/>
                      <w:vertAlign w:val="baseline"/>
                      <w:lang w:val="en-US" w:eastAsia="zh-CN"/>
                    </w:rPr>
                  </w:pPr>
                  <w:r>
                    <w:rPr>
                      <w:rFonts w:hint="eastAsia" w:cs="Times New Roman"/>
                      <w:color w:val="auto"/>
                      <w:sz w:val="21"/>
                      <w:szCs w:val="21"/>
                      <w:vertAlign w:val="baseline"/>
                      <w:lang w:val="en-US" w:eastAsia="zh-CN"/>
                    </w:rPr>
                    <w:t>Max：0.187+0.009=0.196</w:t>
                  </w:r>
                </w:p>
              </w:tc>
            </w:tr>
            <w:tr w14:paraId="70BDF1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691" w:type="dxa"/>
                  <w:gridSpan w:val="2"/>
                  <w:vAlign w:val="center"/>
                </w:tcPr>
                <w:p w14:paraId="4D03937E">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sz w:val="21"/>
                      <w:szCs w:val="21"/>
                      <w:vertAlign w:val="baseline"/>
                      <w:lang w:val="en-US" w:eastAsia="zh-CN"/>
                    </w:rPr>
                    <w:t>治理措施</w:t>
                  </w:r>
                </w:p>
              </w:tc>
              <w:tc>
                <w:tcPr>
                  <w:tcW w:w="4632" w:type="dxa"/>
                  <w:vAlign w:val="center"/>
                </w:tcPr>
                <w:p w14:paraId="4D2AE540">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color w:val="auto"/>
                      <w:sz w:val="21"/>
                      <w:szCs w:val="21"/>
                      <w:vertAlign w:val="baseline"/>
                      <w:lang w:val="en-US" w:eastAsia="zh-CN"/>
                    </w:rPr>
                  </w:pPr>
                  <w:r>
                    <w:rPr>
                      <w:rFonts w:hint="eastAsia" w:ascii="宋体" w:hAnsi="宋体" w:eastAsia="宋体" w:cs="宋体"/>
                      <w:b w:val="0"/>
                      <w:bCs w:val="0"/>
                      <w:color w:val="000000"/>
                      <w:sz w:val="21"/>
                      <w:szCs w:val="21"/>
                    </w:rPr>
                    <w:t>“两级活性炭吸附装置”</w:t>
                  </w:r>
                </w:p>
              </w:tc>
            </w:tr>
            <w:tr w14:paraId="49C812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691" w:type="dxa"/>
                  <w:gridSpan w:val="2"/>
                  <w:vAlign w:val="center"/>
                </w:tcPr>
                <w:p w14:paraId="2616C910">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ascii="Times New Roman" w:hAnsi="Times New Roman" w:eastAsia="宋体" w:cs="Times New Roman"/>
                      <w:b/>
                      <w:bCs/>
                      <w:sz w:val="21"/>
                      <w:szCs w:val="21"/>
                      <w:vertAlign w:val="baseline"/>
                      <w:lang w:val="en-US" w:eastAsia="zh-CN"/>
                    </w:rPr>
                  </w:pPr>
                  <w:r>
                    <w:rPr>
                      <w:rFonts w:hint="eastAsia" w:ascii="Times New Roman" w:hAnsi="Times New Roman" w:eastAsia="宋体" w:cs="Times New Roman"/>
                      <w:b/>
                      <w:bCs/>
                      <w:sz w:val="21"/>
                      <w:szCs w:val="21"/>
                      <w:vertAlign w:val="baseline"/>
                      <w:lang w:val="en-US" w:eastAsia="zh-CN"/>
                    </w:rPr>
                    <w:t>风量m</w:t>
                  </w:r>
                  <w:r>
                    <w:rPr>
                      <w:rFonts w:hint="eastAsia" w:ascii="Times New Roman" w:hAnsi="Times New Roman" w:eastAsia="宋体" w:cs="Times New Roman"/>
                      <w:b/>
                      <w:bCs/>
                      <w:sz w:val="21"/>
                      <w:szCs w:val="21"/>
                      <w:vertAlign w:val="superscript"/>
                      <w:lang w:val="en-US" w:eastAsia="zh-CN"/>
                    </w:rPr>
                    <w:t>3</w:t>
                  </w:r>
                  <w:r>
                    <w:rPr>
                      <w:rFonts w:hint="eastAsia" w:ascii="Times New Roman" w:hAnsi="Times New Roman" w:eastAsia="宋体" w:cs="Times New Roman"/>
                      <w:b/>
                      <w:bCs/>
                      <w:sz w:val="21"/>
                      <w:szCs w:val="21"/>
                      <w:vertAlign w:val="baseline"/>
                      <w:lang w:val="en-US" w:eastAsia="zh-CN"/>
                    </w:rPr>
                    <w:t>/h</w:t>
                  </w:r>
                </w:p>
              </w:tc>
              <w:tc>
                <w:tcPr>
                  <w:tcW w:w="4632" w:type="dxa"/>
                  <w:vAlign w:val="center"/>
                </w:tcPr>
                <w:p w14:paraId="424E4914">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cs="Times New Roman"/>
                      <w:color w:val="auto"/>
                      <w:sz w:val="21"/>
                      <w:szCs w:val="21"/>
                      <w:vertAlign w:val="baseline"/>
                      <w:lang w:val="en-US" w:eastAsia="zh-CN"/>
                    </w:rPr>
                  </w:pPr>
                  <w:r>
                    <w:rPr>
                      <w:rFonts w:hint="eastAsia" w:cs="Times New Roman"/>
                      <w:color w:val="auto"/>
                      <w:sz w:val="21"/>
                      <w:szCs w:val="21"/>
                      <w:vertAlign w:val="baseline"/>
                      <w:lang w:val="en-US" w:eastAsia="zh-CN"/>
                    </w:rPr>
                    <w:t>2000</w:t>
                  </w:r>
                </w:p>
              </w:tc>
            </w:tr>
            <w:tr w14:paraId="16F1C9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691" w:type="dxa"/>
                  <w:gridSpan w:val="2"/>
                  <w:vAlign w:val="center"/>
                </w:tcPr>
                <w:p w14:paraId="2C571AFB">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sz w:val="21"/>
                      <w:szCs w:val="21"/>
                      <w:vertAlign w:val="baseline"/>
                      <w:lang w:val="en-US" w:eastAsia="zh-CN"/>
                    </w:rPr>
                    <w:t>治理工艺去除率</w:t>
                  </w:r>
                </w:p>
              </w:tc>
              <w:tc>
                <w:tcPr>
                  <w:tcW w:w="4632" w:type="dxa"/>
                  <w:vAlign w:val="center"/>
                </w:tcPr>
                <w:p w14:paraId="4AAFF359">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cs="Times New Roman"/>
                      <w:color w:val="auto"/>
                      <w:sz w:val="21"/>
                      <w:szCs w:val="21"/>
                      <w:vertAlign w:val="baseline"/>
                      <w:lang w:val="en-US" w:eastAsia="zh-CN"/>
                    </w:rPr>
                  </w:pPr>
                  <w:r>
                    <w:rPr>
                      <w:rFonts w:hint="eastAsia" w:cs="Times New Roman"/>
                      <w:color w:val="auto"/>
                      <w:sz w:val="21"/>
                      <w:szCs w:val="21"/>
                      <w:vertAlign w:val="baseline"/>
                      <w:lang w:val="en-US" w:eastAsia="zh-CN"/>
                    </w:rPr>
                    <w:t>85%</w:t>
                  </w:r>
                </w:p>
              </w:tc>
            </w:tr>
            <w:tr w14:paraId="2E3B9C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691" w:type="dxa"/>
                  <w:gridSpan w:val="2"/>
                  <w:vAlign w:val="center"/>
                </w:tcPr>
                <w:p w14:paraId="2D99CB3B">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sz w:val="21"/>
                      <w:szCs w:val="21"/>
                      <w:vertAlign w:val="baseline"/>
                      <w:lang w:val="en-US" w:eastAsia="zh-CN"/>
                    </w:rPr>
                    <w:t>是否为可行技术</w:t>
                  </w:r>
                </w:p>
              </w:tc>
              <w:tc>
                <w:tcPr>
                  <w:tcW w:w="4632" w:type="dxa"/>
                  <w:vAlign w:val="center"/>
                </w:tcPr>
                <w:p w14:paraId="03F9E926">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cs="Times New Roman"/>
                      <w:color w:val="auto"/>
                      <w:sz w:val="21"/>
                      <w:szCs w:val="21"/>
                      <w:vertAlign w:val="baseline"/>
                      <w:lang w:val="en-US" w:eastAsia="zh-CN"/>
                    </w:rPr>
                  </w:pPr>
                  <w:r>
                    <w:rPr>
                      <w:rFonts w:hint="eastAsia" w:cs="Times New Roman"/>
                      <w:color w:val="auto"/>
                      <w:sz w:val="21"/>
                      <w:szCs w:val="21"/>
                      <w:vertAlign w:val="baseline"/>
                      <w:lang w:val="en-US" w:eastAsia="zh-CN"/>
                    </w:rPr>
                    <w:t>是</w:t>
                  </w:r>
                </w:p>
              </w:tc>
            </w:tr>
            <w:tr w14:paraId="19669B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97" w:type="dxa"/>
                  <w:vMerge w:val="restart"/>
                  <w:vAlign w:val="center"/>
                </w:tcPr>
                <w:p w14:paraId="39DB3A28">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ascii="Times New Roman" w:hAnsi="Times New Roman" w:eastAsia="宋体" w:cs="Times New Roman"/>
                      <w:b/>
                      <w:bCs/>
                      <w:color w:val="auto"/>
                      <w:kern w:val="2"/>
                      <w:sz w:val="21"/>
                      <w:szCs w:val="21"/>
                      <w:vertAlign w:val="baseline"/>
                      <w:lang w:val="en-US" w:eastAsia="zh-CN" w:bidi="ar-SA"/>
                    </w:rPr>
                  </w:pPr>
                  <w:r>
                    <w:rPr>
                      <w:rFonts w:hint="eastAsia" w:ascii="Times New Roman" w:hAnsi="Times New Roman" w:eastAsia="宋体" w:cs="Times New Roman"/>
                      <w:b/>
                      <w:bCs/>
                      <w:color w:val="auto"/>
                      <w:sz w:val="21"/>
                      <w:szCs w:val="21"/>
                      <w:vertAlign w:val="baseline"/>
                      <w:lang w:val="en-US" w:eastAsia="zh-CN"/>
                    </w:rPr>
                    <w:t>有组织排放</w:t>
                  </w:r>
                </w:p>
              </w:tc>
              <w:tc>
                <w:tcPr>
                  <w:tcW w:w="2294" w:type="dxa"/>
                  <w:vAlign w:val="center"/>
                </w:tcPr>
                <w:p w14:paraId="0A309A38">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val="0"/>
                      <w:bCs w:val="0"/>
                      <w:color w:val="auto"/>
                      <w:kern w:val="2"/>
                      <w:sz w:val="21"/>
                      <w:szCs w:val="21"/>
                      <w:vertAlign w:val="baseline"/>
                      <w:lang w:val="en-US" w:eastAsia="zh-CN" w:bidi="ar-SA"/>
                    </w:rPr>
                  </w:pPr>
                  <w:r>
                    <w:rPr>
                      <w:rFonts w:hint="eastAsia" w:ascii="Times New Roman" w:hAnsi="Times New Roman" w:eastAsia="宋体" w:cs="Times New Roman"/>
                      <w:b w:val="0"/>
                      <w:bCs w:val="0"/>
                      <w:color w:val="auto"/>
                      <w:sz w:val="21"/>
                      <w:szCs w:val="21"/>
                      <w:vertAlign w:val="baseline"/>
                      <w:lang w:val="en-US" w:eastAsia="zh-CN"/>
                    </w:rPr>
                    <w:t>排放量t/a</w:t>
                  </w:r>
                </w:p>
              </w:tc>
              <w:tc>
                <w:tcPr>
                  <w:tcW w:w="4632" w:type="dxa"/>
                  <w:vAlign w:val="center"/>
                </w:tcPr>
                <w:p w14:paraId="7DDCD9B8">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color w:val="auto"/>
                      <w:sz w:val="21"/>
                      <w:szCs w:val="21"/>
                      <w:vertAlign w:val="baseline"/>
                      <w:lang w:val="en-US" w:eastAsia="zh-CN"/>
                    </w:rPr>
                  </w:pPr>
                  <w:r>
                    <w:rPr>
                      <w:rFonts w:hint="eastAsia" w:cs="Times New Roman"/>
                      <w:color w:val="auto"/>
                      <w:sz w:val="21"/>
                      <w:szCs w:val="21"/>
                      <w:vertAlign w:val="baseline"/>
                      <w:lang w:val="en-US" w:eastAsia="zh-CN"/>
                    </w:rPr>
                    <w:t>0.014</w:t>
                  </w:r>
                </w:p>
              </w:tc>
            </w:tr>
            <w:tr w14:paraId="3B0C83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397" w:type="dxa"/>
                  <w:vMerge w:val="continue"/>
                  <w:vAlign w:val="center"/>
                </w:tcPr>
                <w:p w14:paraId="1F91F69C">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bCs/>
                      <w:color w:val="auto"/>
                      <w:sz w:val="21"/>
                      <w:szCs w:val="21"/>
                      <w:vertAlign w:val="baseline"/>
                      <w:lang w:val="en-US" w:eastAsia="zh-CN"/>
                    </w:rPr>
                  </w:pPr>
                </w:p>
              </w:tc>
              <w:tc>
                <w:tcPr>
                  <w:tcW w:w="2294" w:type="dxa"/>
                  <w:vAlign w:val="center"/>
                </w:tcPr>
                <w:p w14:paraId="22078F39">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ascii="Times New Roman" w:hAnsi="Times New Roman" w:eastAsia="宋体" w:cs="Times New Roman"/>
                      <w:b w:val="0"/>
                      <w:bCs w:val="0"/>
                      <w:color w:val="auto"/>
                      <w:kern w:val="2"/>
                      <w:sz w:val="21"/>
                      <w:szCs w:val="21"/>
                      <w:vertAlign w:val="baseline"/>
                      <w:lang w:val="en-US" w:eastAsia="zh-CN" w:bidi="ar-SA"/>
                    </w:rPr>
                  </w:pPr>
                  <w:r>
                    <w:rPr>
                      <w:rFonts w:hint="eastAsia" w:ascii="Times New Roman" w:hAnsi="Times New Roman" w:eastAsia="宋体" w:cs="Times New Roman"/>
                      <w:b w:val="0"/>
                      <w:bCs w:val="0"/>
                      <w:color w:val="auto"/>
                      <w:sz w:val="21"/>
                      <w:szCs w:val="21"/>
                      <w:vertAlign w:val="baseline"/>
                      <w:lang w:val="en-US" w:eastAsia="zh-CN"/>
                    </w:rPr>
                    <w:t>排放速率kg/h</w:t>
                  </w:r>
                </w:p>
              </w:tc>
              <w:tc>
                <w:tcPr>
                  <w:tcW w:w="4632" w:type="dxa"/>
                  <w:vAlign w:val="center"/>
                </w:tcPr>
                <w:p w14:paraId="46761307">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color w:val="auto"/>
                      <w:sz w:val="21"/>
                      <w:szCs w:val="21"/>
                      <w:vertAlign w:val="baseline"/>
                      <w:lang w:val="en-US" w:eastAsia="zh-CN"/>
                    </w:rPr>
                  </w:pPr>
                  <w:r>
                    <w:rPr>
                      <w:rFonts w:hint="eastAsia" w:cs="Times New Roman"/>
                      <w:color w:val="auto"/>
                      <w:sz w:val="21"/>
                      <w:szCs w:val="21"/>
                      <w:vertAlign w:val="baseline"/>
                      <w:lang w:val="en-US" w:eastAsia="zh-CN"/>
                    </w:rPr>
                    <w:t>Max：0.026</w:t>
                  </w:r>
                </w:p>
              </w:tc>
            </w:tr>
            <w:tr w14:paraId="62B74B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97" w:type="dxa"/>
                  <w:vMerge w:val="continue"/>
                  <w:vAlign w:val="center"/>
                </w:tcPr>
                <w:p w14:paraId="44C02AFB">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bCs/>
                      <w:color w:val="auto"/>
                      <w:sz w:val="21"/>
                      <w:szCs w:val="21"/>
                      <w:vertAlign w:val="baseline"/>
                      <w:lang w:val="en-US" w:eastAsia="zh-CN"/>
                    </w:rPr>
                  </w:pPr>
                </w:p>
              </w:tc>
              <w:tc>
                <w:tcPr>
                  <w:tcW w:w="2294" w:type="dxa"/>
                  <w:vAlign w:val="center"/>
                </w:tcPr>
                <w:p w14:paraId="0C524707">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ascii="Times New Roman" w:hAnsi="Times New Roman" w:eastAsia="宋体" w:cs="Times New Roman"/>
                      <w:b w:val="0"/>
                      <w:bCs w:val="0"/>
                      <w:color w:val="auto"/>
                      <w:kern w:val="2"/>
                      <w:sz w:val="21"/>
                      <w:szCs w:val="21"/>
                      <w:vertAlign w:val="baseline"/>
                      <w:lang w:val="en-US" w:eastAsia="zh-CN" w:bidi="ar-SA"/>
                    </w:rPr>
                  </w:pPr>
                  <w:r>
                    <w:rPr>
                      <w:rFonts w:hint="eastAsia" w:ascii="Times New Roman" w:hAnsi="Times New Roman" w:eastAsia="宋体" w:cs="Times New Roman"/>
                      <w:b w:val="0"/>
                      <w:bCs w:val="0"/>
                      <w:color w:val="auto"/>
                      <w:sz w:val="21"/>
                      <w:szCs w:val="21"/>
                      <w:vertAlign w:val="baseline"/>
                      <w:lang w:val="en-US" w:eastAsia="zh-CN"/>
                    </w:rPr>
                    <w:t>排放浓度mg/m</w:t>
                  </w:r>
                  <w:r>
                    <w:rPr>
                      <w:rFonts w:hint="eastAsia" w:ascii="Times New Roman" w:hAnsi="Times New Roman" w:eastAsia="宋体" w:cs="Times New Roman"/>
                      <w:b w:val="0"/>
                      <w:bCs w:val="0"/>
                      <w:color w:val="auto"/>
                      <w:sz w:val="21"/>
                      <w:szCs w:val="21"/>
                      <w:vertAlign w:val="superscript"/>
                      <w:lang w:val="en-US" w:eastAsia="zh-CN"/>
                    </w:rPr>
                    <w:t>3</w:t>
                  </w:r>
                </w:p>
              </w:tc>
              <w:tc>
                <w:tcPr>
                  <w:tcW w:w="4632" w:type="dxa"/>
                  <w:vAlign w:val="center"/>
                </w:tcPr>
                <w:p w14:paraId="2BAFAF3A">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color w:val="auto"/>
                      <w:sz w:val="21"/>
                      <w:szCs w:val="21"/>
                      <w:vertAlign w:val="baseline"/>
                      <w:lang w:val="en-US" w:eastAsia="zh-CN"/>
                    </w:rPr>
                  </w:pPr>
                  <w:r>
                    <w:rPr>
                      <w:rFonts w:hint="eastAsia" w:cs="Times New Roman"/>
                      <w:color w:val="auto"/>
                      <w:sz w:val="21"/>
                      <w:szCs w:val="21"/>
                      <w:vertAlign w:val="baseline"/>
                      <w:lang w:val="en-US" w:eastAsia="zh-CN"/>
                    </w:rPr>
                    <w:t>Max：13.23</w:t>
                  </w:r>
                </w:p>
              </w:tc>
            </w:tr>
            <w:tr w14:paraId="4D9A2A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97" w:type="dxa"/>
                  <w:vMerge w:val="restart"/>
                  <w:vAlign w:val="center"/>
                </w:tcPr>
                <w:p w14:paraId="37E00E85">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ascii="Times New Roman" w:hAnsi="Times New Roman" w:eastAsia="宋体" w:cs="Times New Roman"/>
                      <w:b/>
                      <w:bCs/>
                      <w:color w:val="auto"/>
                      <w:kern w:val="2"/>
                      <w:sz w:val="21"/>
                      <w:szCs w:val="21"/>
                      <w:vertAlign w:val="baseline"/>
                      <w:lang w:val="en-US" w:eastAsia="zh-CN" w:bidi="ar-SA"/>
                    </w:rPr>
                  </w:pPr>
                  <w:r>
                    <w:rPr>
                      <w:rFonts w:hint="eastAsia" w:ascii="Times New Roman" w:hAnsi="Times New Roman" w:eastAsia="宋体" w:cs="Times New Roman"/>
                      <w:b/>
                      <w:bCs/>
                      <w:color w:val="auto"/>
                      <w:sz w:val="21"/>
                      <w:szCs w:val="21"/>
                      <w:vertAlign w:val="baseline"/>
                      <w:lang w:val="en-US" w:eastAsia="zh-CN"/>
                    </w:rPr>
                    <w:t>无组织排放</w:t>
                  </w:r>
                </w:p>
              </w:tc>
              <w:tc>
                <w:tcPr>
                  <w:tcW w:w="2294" w:type="dxa"/>
                  <w:vAlign w:val="center"/>
                </w:tcPr>
                <w:p w14:paraId="1FC97865">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color w:val="auto"/>
                      <w:kern w:val="2"/>
                      <w:sz w:val="21"/>
                      <w:szCs w:val="21"/>
                      <w:vertAlign w:val="baseline"/>
                      <w:lang w:val="en-US" w:eastAsia="zh-CN" w:bidi="ar-SA"/>
                    </w:rPr>
                  </w:pPr>
                  <w:r>
                    <w:rPr>
                      <w:rFonts w:hint="eastAsia" w:ascii="Times New Roman" w:hAnsi="Times New Roman" w:eastAsia="宋体" w:cs="Times New Roman"/>
                      <w:b w:val="0"/>
                      <w:bCs w:val="0"/>
                      <w:color w:val="auto"/>
                      <w:sz w:val="21"/>
                      <w:szCs w:val="21"/>
                      <w:vertAlign w:val="baseline"/>
                      <w:lang w:val="en-US" w:eastAsia="zh-CN"/>
                    </w:rPr>
                    <w:t>排放量t/a</w:t>
                  </w:r>
                </w:p>
              </w:tc>
              <w:tc>
                <w:tcPr>
                  <w:tcW w:w="4632" w:type="dxa"/>
                  <w:vAlign w:val="center"/>
                </w:tcPr>
                <w:p w14:paraId="5D3A7117">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cs="Times New Roman"/>
                      <w:color w:val="auto"/>
                      <w:sz w:val="21"/>
                      <w:szCs w:val="21"/>
                      <w:vertAlign w:val="baseline"/>
                      <w:lang w:val="en-US" w:eastAsia="zh-CN"/>
                    </w:rPr>
                  </w:pPr>
                  <w:r>
                    <w:rPr>
                      <w:rFonts w:hint="eastAsia" w:cs="Times New Roman"/>
                      <w:color w:val="auto"/>
                      <w:sz w:val="21"/>
                      <w:szCs w:val="21"/>
                      <w:vertAlign w:val="baseline"/>
                      <w:lang w:val="en-US" w:eastAsia="zh-CN"/>
                    </w:rPr>
                    <w:t>0.012</w:t>
                  </w:r>
                </w:p>
              </w:tc>
            </w:tr>
            <w:tr w14:paraId="155DAB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97" w:type="dxa"/>
                  <w:vMerge w:val="continue"/>
                  <w:vAlign w:val="center"/>
                </w:tcPr>
                <w:p w14:paraId="7A9B79A1">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ascii="Times New Roman" w:hAnsi="Times New Roman" w:eastAsia="宋体" w:cs="Times New Roman"/>
                      <w:b w:val="0"/>
                      <w:bCs w:val="0"/>
                      <w:color w:val="auto"/>
                      <w:sz w:val="21"/>
                      <w:szCs w:val="21"/>
                      <w:vertAlign w:val="baseline"/>
                      <w:lang w:val="en-US" w:eastAsia="zh-CN"/>
                    </w:rPr>
                  </w:pPr>
                </w:p>
              </w:tc>
              <w:tc>
                <w:tcPr>
                  <w:tcW w:w="2294" w:type="dxa"/>
                  <w:vAlign w:val="center"/>
                </w:tcPr>
                <w:p w14:paraId="2DE8E33E">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color w:val="auto"/>
                      <w:kern w:val="2"/>
                      <w:sz w:val="21"/>
                      <w:szCs w:val="21"/>
                      <w:vertAlign w:val="baseline"/>
                      <w:lang w:val="en-US" w:eastAsia="zh-CN" w:bidi="ar-SA"/>
                    </w:rPr>
                  </w:pPr>
                  <w:r>
                    <w:rPr>
                      <w:rFonts w:hint="eastAsia" w:ascii="Times New Roman" w:hAnsi="Times New Roman" w:eastAsia="宋体" w:cs="Times New Roman"/>
                      <w:b w:val="0"/>
                      <w:bCs w:val="0"/>
                      <w:color w:val="auto"/>
                      <w:sz w:val="21"/>
                      <w:szCs w:val="21"/>
                      <w:vertAlign w:val="baseline"/>
                      <w:lang w:val="en-US" w:eastAsia="zh-CN"/>
                    </w:rPr>
                    <w:t>排放速率kg/h</w:t>
                  </w:r>
                </w:p>
              </w:tc>
              <w:tc>
                <w:tcPr>
                  <w:tcW w:w="4632" w:type="dxa"/>
                  <w:vAlign w:val="center"/>
                </w:tcPr>
                <w:p w14:paraId="7910368A">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color w:val="auto"/>
                      <w:sz w:val="21"/>
                      <w:szCs w:val="21"/>
                      <w:lang w:val="en-US"/>
                    </w:rPr>
                  </w:pPr>
                  <w:r>
                    <w:rPr>
                      <w:rFonts w:hint="eastAsia" w:cs="Times New Roman"/>
                      <w:color w:val="auto"/>
                      <w:sz w:val="21"/>
                      <w:szCs w:val="21"/>
                      <w:vertAlign w:val="baseline"/>
                      <w:lang w:val="en-US" w:eastAsia="zh-CN"/>
                    </w:rPr>
                    <w:t>Max：0.02</w:t>
                  </w:r>
                </w:p>
              </w:tc>
            </w:tr>
            <w:tr w14:paraId="2B79D0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691" w:type="dxa"/>
                  <w:gridSpan w:val="2"/>
                  <w:vAlign w:val="center"/>
                </w:tcPr>
                <w:p w14:paraId="38E0CBC0">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bCs/>
                      <w:sz w:val="21"/>
                      <w:szCs w:val="21"/>
                      <w:vertAlign w:val="baseline"/>
                      <w:lang w:val="en-US" w:eastAsia="zh-CN"/>
                    </w:rPr>
                    <w:t>排放口编号</w:t>
                  </w:r>
                </w:p>
              </w:tc>
              <w:tc>
                <w:tcPr>
                  <w:tcW w:w="4632" w:type="dxa"/>
                  <w:vAlign w:val="center"/>
                </w:tcPr>
                <w:p w14:paraId="4AD00457">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color w:val="auto"/>
                      <w:sz w:val="21"/>
                      <w:szCs w:val="21"/>
                    </w:rPr>
                  </w:pPr>
                  <w:r>
                    <w:rPr>
                      <w:rFonts w:hint="eastAsia" w:cs="Times New Roman"/>
                      <w:b w:val="0"/>
                      <w:bCs w:val="0"/>
                      <w:color w:val="auto"/>
                      <w:sz w:val="21"/>
                      <w:szCs w:val="21"/>
                      <w:vertAlign w:val="baseline"/>
                      <w:lang w:val="en-US" w:eastAsia="zh-CN"/>
                    </w:rPr>
                    <w:t>DA001</w:t>
                  </w:r>
                </w:p>
              </w:tc>
            </w:tr>
            <w:tr w14:paraId="0C1318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691" w:type="dxa"/>
                  <w:gridSpan w:val="2"/>
                  <w:vAlign w:val="center"/>
                </w:tcPr>
                <w:p w14:paraId="70C80C46">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ascii="Times New Roman" w:hAnsi="Times New Roman" w:eastAsia="宋体" w:cs="Times New Roman"/>
                      <w:b w:val="0"/>
                      <w:bCs w:val="0"/>
                      <w:color w:val="auto"/>
                      <w:sz w:val="21"/>
                      <w:szCs w:val="21"/>
                      <w:vertAlign w:val="baseline"/>
                      <w:lang w:val="en-US" w:eastAsia="zh-CN"/>
                    </w:rPr>
                  </w:pPr>
                  <w:r>
                    <w:rPr>
                      <w:rFonts w:hint="eastAsia" w:cs="Times New Roman"/>
                      <w:b/>
                      <w:bCs/>
                      <w:color w:val="auto"/>
                      <w:sz w:val="21"/>
                      <w:szCs w:val="21"/>
                      <w:vertAlign w:val="baseline"/>
                      <w:lang w:val="en-US" w:eastAsia="zh-CN"/>
                    </w:rPr>
                    <w:t>执行标准</w:t>
                  </w:r>
                </w:p>
              </w:tc>
              <w:tc>
                <w:tcPr>
                  <w:tcW w:w="4632" w:type="dxa"/>
                  <w:vAlign w:val="center"/>
                </w:tcPr>
                <w:p w14:paraId="365A17A1">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color w:val="auto"/>
                      <w:sz w:val="21"/>
                      <w:szCs w:val="21"/>
                    </w:rPr>
                  </w:pPr>
                  <w:r>
                    <w:rPr>
                      <w:rFonts w:hint="eastAsia"/>
                    </w:rPr>
                    <w:t>《四川省固定污染源大气挥发性有机物排放标准》（DB51/2377-2017）</w:t>
                  </w:r>
                </w:p>
              </w:tc>
            </w:tr>
            <w:tr w14:paraId="5B3527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691" w:type="dxa"/>
                  <w:gridSpan w:val="2"/>
                  <w:vAlign w:val="center"/>
                </w:tcPr>
                <w:p w14:paraId="3F65BAA0">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cs="Times New Roman"/>
                      <w:b/>
                      <w:bCs/>
                      <w:color w:val="auto"/>
                      <w:sz w:val="21"/>
                      <w:szCs w:val="21"/>
                      <w:vertAlign w:val="baseline"/>
                      <w:lang w:val="en-US" w:eastAsia="zh-CN"/>
                    </w:rPr>
                  </w:pPr>
                  <w:r>
                    <w:rPr>
                      <w:rFonts w:hint="eastAsia" w:cs="Times New Roman"/>
                      <w:b/>
                      <w:bCs/>
                      <w:color w:val="auto"/>
                      <w:sz w:val="21"/>
                      <w:szCs w:val="21"/>
                      <w:vertAlign w:val="baseline"/>
                      <w:lang w:val="en-US" w:eastAsia="zh-CN"/>
                    </w:rPr>
                    <w:t>达标情况</w:t>
                  </w:r>
                </w:p>
              </w:tc>
              <w:tc>
                <w:tcPr>
                  <w:tcW w:w="4632" w:type="dxa"/>
                  <w:vAlign w:val="center"/>
                </w:tcPr>
                <w:p w14:paraId="70090D35">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color w:val="auto"/>
                      <w:sz w:val="21"/>
                      <w:szCs w:val="21"/>
                    </w:rPr>
                  </w:pPr>
                  <w:r>
                    <w:rPr>
                      <w:rFonts w:hint="eastAsia" w:cs="Times New Roman"/>
                      <w:b w:val="0"/>
                      <w:bCs w:val="0"/>
                      <w:color w:val="auto"/>
                      <w:sz w:val="21"/>
                      <w:szCs w:val="21"/>
                      <w:lang w:val="en-US" w:eastAsia="zh-CN"/>
                    </w:rPr>
                    <w:t>达标</w:t>
                  </w:r>
                </w:p>
              </w:tc>
            </w:tr>
          </w:tbl>
          <w:p w14:paraId="29D58722">
            <w:pPr>
              <w:keepNext w:val="0"/>
              <w:keepLines w:val="0"/>
              <w:pageBreakBefore w:val="0"/>
              <w:widowControl w:val="0"/>
              <w:numPr>
                <w:ilvl w:val="0"/>
                <w:numId w:val="58"/>
              </w:numPr>
              <w:kinsoku/>
              <w:wordWrap/>
              <w:overflowPunct/>
              <w:topLinePunct w:val="0"/>
              <w:autoSpaceDE/>
              <w:autoSpaceDN/>
              <w:bidi w:val="0"/>
              <w:adjustRightInd/>
              <w:snapToGrid/>
              <w:spacing w:line="360" w:lineRule="auto"/>
              <w:ind w:left="0" w:leftChars="0" w:firstLine="482" w:firstLineChars="200"/>
              <w:jc w:val="both"/>
              <w:textAlignment w:val="auto"/>
              <w:rPr>
                <w:rFonts w:hint="eastAsia" w:ascii="Times New Roman" w:hAnsi="Times New Roman" w:eastAsia="宋体" w:cs="Times New Roman"/>
                <w:b/>
                <w:bCs/>
                <w:sz w:val="24"/>
                <w:szCs w:val="24"/>
                <w:lang w:val="en-US" w:eastAsia="zh-CN"/>
              </w:rPr>
            </w:pPr>
            <w:r>
              <w:rPr>
                <w:rFonts w:hint="eastAsia" w:ascii="Times New Roman" w:hAnsi="Times New Roman" w:eastAsia="宋体" w:cs="Times New Roman"/>
                <w:b/>
                <w:bCs/>
                <w:sz w:val="24"/>
                <w:szCs w:val="24"/>
                <w:lang w:val="en-US" w:eastAsia="zh-CN"/>
              </w:rPr>
              <w:t>排放口情况</w:t>
            </w:r>
          </w:p>
          <w:p w14:paraId="3871287B">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sz w:val="24"/>
                <w:szCs w:val="24"/>
                <w:lang w:val="en-US" w:eastAsia="zh-CN"/>
              </w:rPr>
            </w:pPr>
            <w:r>
              <w:rPr>
                <w:rFonts w:hint="eastAsia" w:cs="Times New Roman"/>
                <w:sz w:val="24"/>
                <w:szCs w:val="24"/>
                <w:lang w:val="en-US" w:eastAsia="zh-CN"/>
              </w:rPr>
              <w:t>本</w:t>
            </w:r>
            <w:r>
              <w:rPr>
                <w:rFonts w:hint="eastAsia" w:ascii="Times New Roman" w:hAnsi="Times New Roman" w:eastAsia="宋体" w:cs="Times New Roman"/>
                <w:sz w:val="24"/>
                <w:szCs w:val="24"/>
                <w:lang w:val="en-US" w:eastAsia="zh-CN"/>
              </w:rPr>
              <w:t>项目废气处理系统参数见下表</w:t>
            </w:r>
            <w:r>
              <w:rPr>
                <w:rFonts w:hint="eastAsia" w:cs="Times New Roman"/>
                <w:sz w:val="24"/>
                <w:szCs w:val="24"/>
                <w:lang w:val="en-US" w:eastAsia="zh-CN"/>
              </w:rPr>
              <w:t>。</w:t>
            </w:r>
          </w:p>
          <w:p w14:paraId="7A9A5543">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eastAsia" w:ascii="Times New Roman" w:hAnsi="Times New Roman" w:eastAsia="宋体" w:cs="Times New Roman"/>
                <w:b/>
                <w:bCs/>
                <w:sz w:val="21"/>
                <w:szCs w:val="21"/>
                <w:vertAlign w:val="baseline"/>
                <w:lang w:val="en-US" w:eastAsia="zh-CN"/>
              </w:rPr>
            </w:pPr>
            <w:r>
              <w:rPr>
                <w:rFonts w:hint="eastAsia" w:ascii="Times New Roman" w:hAnsi="Times New Roman" w:eastAsia="宋体" w:cs="Times New Roman"/>
                <w:b/>
                <w:bCs/>
                <w:sz w:val="21"/>
                <w:szCs w:val="21"/>
                <w:lang w:val="en-US" w:eastAsia="zh-CN"/>
              </w:rPr>
              <w:t>表</w:t>
            </w:r>
            <w:r>
              <w:rPr>
                <w:rFonts w:hint="eastAsia" w:cs="Times New Roman"/>
                <w:b/>
                <w:bCs/>
                <w:sz w:val="21"/>
                <w:szCs w:val="21"/>
                <w:lang w:val="en-US" w:eastAsia="zh-CN"/>
              </w:rPr>
              <w:t>4-8 项目</w:t>
            </w:r>
            <w:r>
              <w:rPr>
                <w:rFonts w:hint="eastAsia" w:ascii="Times New Roman" w:hAnsi="Times New Roman" w:eastAsia="宋体" w:cs="Times New Roman"/>
                <w:b/>
                <w:bCs/>
                <w:sz w:val="21"/>
                <w:szCs w:val="21"/>
                <w:lang w:val="en-US" w:eastAsia="zh-CN"/>
              </w:rPr>
              <w:t>废气污染物排放口汇总表</w:t>
            </w:r>
          </w:p>
          <w:tbl>
            <w:tblPr>
              <w:tblStyle w:val="28"/>
              <w:tblW w:w="832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82"/>
              <w:gridCol w:w="2313"/>
              <w:gridCol w:w="2313"/>
              <w:gridCol w:w="2315"/>
            </w:tblGrid>
            <w:tr w14:paraId="735388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82" w:type="dxa"/>
                  <w:vAlign w:val="center"/>
                </w:tcPr>
                <w:p w14:paraId="24F6148B">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bCs/>
                      <w:sz w:val="21"/>
                      <w:szCs w:val="21"/>
                      <w:vertAlign w:val="baseline"/>
                      <w:lang w:val="en-US" w:eastAsia="zh-CN"/>
                    </w:rPr>
                  </w:pPr>
                  <w:r>
                    <w:rPr>
                      <w:rFonts w:hint="eastAsia" w:ascii="Times New Roman" w:hAnsi="Times New Roman" w:eastAsia="宋体" w:cs="Times New Roman"/>
                      <w:b/>
                      <w:bCs/>
                      <w:sz w:val="21"/>
                      <w:szCs w:val="21"/>
                      <w:vertAlign w:val="baseline"/>
                      <w:lang w:val="en-US" w:eastAsia="zh-CN"/>
                    </w:rPr>
                    <w:t>产排污环节</w:t>
                  </w:r>
                </w:p>
              </w:tc>
              <w:tc>
                <w:tcPr>
                  <w:tcW w:w="6941" w:type="dxa"/>
                  <w:gridSpan w:val="3"/>
                  <w:vAlign w:val="center"/>
                </w:tcPr>
                <w:p w14:paraId="58607114">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ascii="Times New Roman" w:hAnsi="Times New Roman" w:eastAsia="宋体" w:cs="Times New Roman"/>
                      <w:b w:val="0"/>
                      <w:bCs w:val="0"/>
                      <w:sz w:val="21"/>
                      <w:szCs w:val="21"/>
                      <w:vertAlign w:val="baseline"/>
                      <w:lang w:val="en-US" w:eastAsia="zh-CN"/>
                    </w:rPr>
                  </w:pPr>
                  <w:r>
                    <w:rPr>
                      <w:rFonts w:hint="eastAsia" w:cs="Times New Roman"/>
                      <w:color w:val="auto"/>
                      <w:sz w:val="21"/>
                      <w:szCs w:val="21"/>
                      <w:lang w:val="en-US" w:eastAsia="zh-CN"/>
                    </w:rPr>
                    <w:t>装卸、储存</w:t>
                  </w:r>
                </w:p>
              </w:tc>
            </w:tr>
            <w:tr w14:paraId="191A66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82" w:type="dxa"/>
                  <w:vAlign w:val="center"/>
                </w:tcPr>
                <w:p w14:paraId="0D035CE5">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bCs/>
                      <w:sz w:val="21"/>
                      <w:szCs w:val="21"/>
                      <w:vertAlign w:val="baseline"/>
                      <w:lang w:val="en-US" w:eastAsia="zh-CN"/>
                    </w:rPr>
                  </w:pPr>
                  <w:r>
                    <w:rPr>
                      <w:rFonts w:hint="eastAsia" w:ascii="Times New Roman" w:hAnsi="Times New Roman" w:eastAsia="宋体" w:cs="Times New Roman"/>
                      <w:b/>
                      <w:bCs/>
                      <w:sz w:val="21"/>
                      <w:szCs w:val="21"/>
                      <w:vertAlign w:val="baseline"/>
                      <w:lang w:val="en-US" w:eastAsia="zh-CN"/>
                    </w:rPr>
                    <w:t>污染物</w:t>
                  </w:r>
                </w:p>
              </w:tc>
              <w:tc>
                <w:tcPr>
                  <w:tcW w:w="6941" w:type="dxa"/>
                  <w:gridSpan w:val="3"/>
                  <w:vAlign w:val="center"/>
                </w:tcPr>
                <w:p w14:paraId="5B22C730">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VOCs（非甲烷总烃）</w:t>
                  </w:r>
                </w:p>
              </w:tc>
            </w:tr>
            <w:tr w14:paraId="7DA2BF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382" w:type="dxa"/>
                  <w:vMerge w:val="restart"/>
                  <w:vAlign w:val="center"/>
                </w:tcPr>
                <w:p w14:paraId="7A730A0B">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bCs/>
                      <w:sz w:val="21"/>
                      <w:szCs w:val="21"/>
                      <w:vertAlign w:val="baseline"/>
                      <w:lang w:val="en-US" w:eastAsia="zh-CN"/>
                    </w:rPr>
                  </w:pPr>
                  <w:r>
                    <w:rPr>
                      <w:rFonts w:hint="eastAsia" w:ascii="Times New Roman" w:hAnsi="Times New Roman" w:eastAsia="宋体" w:cs="Times New Roman"/>
                      <w:b/>
                      <w:bCs/>
                      <w:sz w:val="21"/>
                      <w:szCs w:val="21"/>
                      <w:vertAlign w:val="baseline"/>
                      <w:lang w:val="en-US" w:eastAsia="zh-CN"/>
                    </w:rPr>
                    <w:t>治理设施</w:t>
                  </w:r>
                </w:p>
              </w:tc>
              <w:tc>
                <w:tcPr>
                  <w:tcW w:w="6941" w:type="dxa"/>
                  <w:gridSpan w:val="3"/>
                  <w:vAlign w:val="center"/>
                </w:tcPr>
                <w:p w14:paraId="325D53B1">
                  <w:pPr>
                    <w:widowControl/>
                    <w:snapToGrid w:val="0"/>
                    <w:spacing w:line="240" w:lineRule="auto"/>
                    <w:ind w:firstLine="0" w:firstLineChars="0"/>
                    <w:jc w:val="center"/>
                    <w:rPr>
                      <w:rFonts w:hint="eastAsia" w:ascii="宋体" w:hAnsi="宋体" w:eastAsia="宋体" w:cs="宋体"/>
                      <w:b/>
                      <w:bCs/>
                      <w:color w:val="000000"/>
                      <w:sz w:val="21"/>
                      <w:szCs w:val="21"/>
                      <w:lang w:val="en-US" w:eastAsia="zh-CN"/>
                    </w:rPr>
                  </w:pPr>
                  <w:r>
                    <w:rPr>
                      <w:rFonts w:hint="eastAsia" w:ascii="宋体" w:hAnsi="宋体" w:eastAsia="宋体" w:cs="宋体"/>
                      <w:b/>
                      <w:bCs/>
                      <w:color w:val="000000"/>
                      <w:sz w:val="21"/>
                      <w:szCs w:val="21"/>
                      <w:lang w:val="en-US" w:eastAsia="zh-CN"/>
                    </w:rPr>
                    <w:t>治理工艺</w:t>
                  </w:r>
                </w:p>
              </w:tc>
            </w:tr>
            <w:tr w14:paraId="064FD2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82" w:type="dxa"/>
                  <w:vMerge w:val="continue"/>
                  <w:vAlign w:val="center"/>
                </w:tcPr>
                <w:p w14:paraId="5FB5DDDC">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bCs/>
                      <w:sz w:val="21"/>
                      <w:szCs w:val="21"/>
                      <w:vertAlign w:val="baseline"/>
                      <w:lang w:val="en-US" w:eastAsia="zh-CN"/>
                    </w:rPr>
                  </w:pPr>
                </w:p>
              </w:tc>
              <w:tc>
                <w:tcPr>
                  <w:tcW w:w="6941" w:type="dxa"/>
                  <w:gridSpan w:val="3"/>
                  <w:vAlign w:val="center"/>
                </w:tcPr>
                <w:p w14:paraId="5C439218">
                  <w:pPr>
                    <w:widowControl/>
                    <w:snapToGrid w:val="0"/>
                    <w:spacing w:line="240" w:lineRule="auto"/>
                    <w:ind w:firstLine="0" w:firstLineChars="0"/>
                    <w:jc w:val="center"/>
                    <w:rPr>
                      <w:rFonts w:hint="eastAsia" w:ascii="宋体" w:hAnsi="宋体" w:eastAsia="宋体" w:cs="宋体"/>
                      <w:b w:val="0"/>
                      <w:bCs w:val="0"/>
                      <w:color w:val="000000"/>
                      <w:sz w:val="21"/>
                      <w:szCs w:val="21"/>
                    </w:rPr>
                  </w:pPr>
                  <w:r>
                    <w:rPr>
                      <w:rFonts w:hint="eastAsia" w:ascii="宋体" w:hAnsi="宋体" w:eastAsia="宋体" w:cs="宋体"/>
                      <w:b w:val="0"/>
                      <w:bCs w:val="0"/>
                      <w:color w:val="000000"/>
                      <w:sz w:val="21"/>
                      <w:szCs w:val="21"/>
                    </w:rPr>
                    <w:t>“两级活性炭吸附装置”</w:t>
                  </w:r>
                </w:p>
              </w:tc>
            </w:tr>
            <w:tr w14:paraId="03DDBF8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82" w:type="dxa"/>
                  <w:vMerge w:val="continue"/>
                  <w:vAlign w:val="center"/>
                </w:tcPr>
                <w:p w14:paraId="1CAF39B6">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bCs/>
                      <w:sz w:val="21"/>
                      <w:szCs w:val="21"/>
                      <w:vertAlign w:val="baseline"/>
                      <w:lang w:val="en-US" w:eastAsia="zh-CN"/>
                    </w:rPr>
                  </w:pPr>
                </w:p>
              </w:tc>
              <w:tc>
                <w:tcPr>
                  <w:tcW w:w="2313" w:type="dxa"/>
                  <w:vAlign w:val="center"/>
                </w:tcPr>
                <w:p w14:paraId="4F5479EC">
                  <w:pPr>
                    <w:widowControl/>
                    <w:snapToGrid w:val="0"/>
                    <w:spacing w:line="240" w:lineRule="auto"/>
                    <w:ind w:firstLine="0" w:firstLineChars="0"/>
                    <w:jc w:val="center"/>
                    <w:rPr>
                      <w:rFonts w:hint="eastAsia"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b/>
                      <w:bCs/>
                      <w:color w:val="000000"/>
                      <w:kern w:val="0"/>
                      <w:sz w:val="21"/>
                      <w:szCs w:val="21"/>
                    </w:rPr>
                    <w:t>数量（套</w:t>
                  </w:r>
                  <w:r>
                    <w:rPr>
                      <w:rFonts w:hint="eastAsia" w:cs="Times New Roman"/>
                      <w:b/>
                      <w:bCs/>
                      <w:color w:val="000000"/>
                      <w:kern w:val="0"/>
                      <w:sz w:val="21"/>
                      <w:szCs w:val="21"/>
                      <w:lang w:eastAsia="zh-CN"/>
                    </w:rPr>
                    <w:t>）</w:t>
                  </w:r>
                </w:p>
              </w:tc>
              <w:tc>
                <w:tcPr>
                  <w:tcW w:w="2313" w:type="dxa"/>
                  <w:vAlign w:val="center"/>
                </w:tcPr>
                <w:p w14:paraId="238C44FA">
                  <w:pPr>
                    <w:widowControl/>
                    <w:snapToGrid w:val="0"/>
                    <w:spacing w:line="240" w:lineRule="auto"/>
                    <w:ind w:firstLine="0" w:firstLineChars="0"/>
                    <w:jc w:val="center"/>
                    <w:rPr>
                      <w:rFonts w:hint="default" w:ascii="Times New Roman" w:hAnsi="Times New Roman" w:eastAsia="宋体" w:cs="Times New Roman"/>
                      <w:b/>
                      <w:bCs/>
                      <w:color w:val="000000"/>
                      <w:kern w:val="0"/>
                      <w:sz w:val="21"/>
                      <w:szCs w:val="21"/>
                    </w:rPr>
                  </w:pPr>
                  <w:r>
                    <w:rPr>
                      <w:rFonts w:hint="default" w:ascii="Times New Roman" w:hAnsi="Times New Roman" w:eastAsia="宋体" w:cs="Times New Roman"/>
                      <w:b/>
                      <w:bCs/>
                      <w:color w:val="000000"/>
                      <w:sz w:val="21"/>
                      <w:szCs w:val="21"/>
                    </w:rPr>
                    <w:t>单台风量（m</w:t>
                  </w:r>
                  <w:r>
                    <w:rPr>
                      <w:rFonts w:hint="default" w:ascii="Times New Roman" w:hAnsi="Times New Roman" w:eastAsia="宋体" w:cs="Times New Roman"/>
                      <w:b/>
                      <w:bCs/>
                      <w:color w:val="000000"/>
                      <w:sz w:val="21"/>
                      <w:szCs w:val="21"/>
                      <w:vertAlign w:val="superscript"/>
                    </w:rPr>
                    <w:t>3</w:t>
                  </w:r>
                  <w:r>
                    <w:rPr>
                      <w:rFonts w:hint="default" w:ascii="Times New Roman" w:hAnsi="Times New Roman" w:eastAsia="宋体" w:cs="Times New Roman"/>
                      <w:b/>
                      <w:bCs/>
                      <w:color w:val="000000"/>
                      <w:sz w:val="21"/>
                      <w:szCs w:val="21"/>
                    </w:rPr>
                    <w:t>/h）</w:t>
                  </w:r>
                </w:p>
              </w:tc>
              <w:tc>
                <w:tcPr>
                  <w:tcW w:w="2315" w:type="dxa"/>
                  <w:vAlign w:val="center"/>
                </w:tcPr>
                <w:p w14:paraId="6DEE56B5">
                  <w:pPr>
                    <w:widowControl/>
                    <w:snapToGrid w:val="0"/>
                    <w:spacing w:line="240" w:lineRule="auto"/>
                    <w:ind w:firstLine="0" w:firstLineChars="0"/>
                    <w:jc w:val="center"/>
                    <w:rPr>
                      <w:rFonts w:hint="default" w:ascii="Times New Roman" w:hAnsi="Times New Roman" w:eastAsia="宋体" w:cs="Times New Roman"/>
                      <w:b/>
                      <w:bCs/>
                      <w:color w:val="000000"/>
                      <w:kern w:val="0"/>
                      <w:sz w:val="21"/>
                      <w:szCs w:val="21"/>
                    </w:rPr>
                  </w:pPr>
                  <w:r>
                    <w:rPr>
                      <w:rFonts w:hint="default" w:ascii="Times New Roman" w:hAnsi="Times New Roman" w:eastAsia="宋体" w:cs="Times New Roman"/>
                      <w:b/>
                      <w:bCs/>
                      <w:color w:val="000000"/>
                      <w:sz w:val="21"/>
                      <w:szCs w:val="21"/>
                    </w:rPr>
                    <w:t>系统总风量（m</w:t>
                  </w:r>
                  <w:r>
                    <w:rPr>
                      <w:rFonts w:hint="default" w:ascii="Times New Roman" w:hAnsi="Times New Roman" w:eastAsia="宋体" w:cs="Times New Roman"/>
                      <w:b/>
                      <w:bCs/>
                      <w:color w:val="000000"/>
                      <w:sz w:val="21"/>
                      <w:szCs w:val="21"/>
                      <w:vertAlign w:val="superscript"/>
                    </w:rPr>
                    <w:t>3</w:t>
                  </w:r>
                  <w:r>
                    <w:rPr>
                      <w:rFonts w:hint="default" w:ascii="Times New Roman" w:hAnsi="Times New Roman" w:eastAsia="宋体" w:cs="Times New Roman"/>
                      <w:b/>
                      <w:bCs/>
                      <w:color w:val="000000"/>
                      <w:sz w:val="21"/>
                      <w:szCs w:val="21"/>
                    </w:rPr>
                    <w:t>/h）</w:t>
                  </w:r>
                </w:p>
              </w:tc>
            </w:tr>
            <w:tr w14:paraId="24EDA04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82" w:type="dxa"/>
                  <w:vMerge w:val="continue"/>
                  <w:vAlign w:val="center"/>
                </w:tcPr>
                <w:p w14:paraId="5AC3B0A8">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bCs/>
                      <w:sz w:val="21"/>
                      <w:szCs w:val="21"/>
                      <w:vertAlign w:val="baseline"/>
                      <w:lang w:val="en-US" w:eastAsia="zh-CN"/>
                    </w:rPr>
                  </w:pPr>
                </w:p>
              </w:tc>
              <w:tc>
                <w:tcPr>
                  <w:tcW w:w="2313" w:type="dxa"/>
                  <w:vAlign w:val="center"/>
                </w:tcPr>
                <w:p w14:paraId="61A6371F">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sz w:val="21"/>
                      <w:szCs w:val="21"/>
                      <w:vertAlign w:val="baseline"/>
                      <w:lang w:val="en-US" w:eastAsia="zh-CN"/>
                    </w:rPr>
                  </w:pPr>
                  <w:r>
                    <w:rPr>
                      <w:rFonts w:hint="eastAsia" w:cs="Times New Roman"/>
                      <w:b w:val="0"/>
                      <w:bCs w:val="0"/>
                      <w:sz w:val="21"/>
                      <w:szCs w:val="21"/>
                      <w:vertAlign w:val="baseline"/>
                      <w:lang w:val="en-US" w:eastAsia="zh-CN"/>
                    </w:rPr>
                    <w:t>1</w:t>
                  </w:r>
                </w:p>
              </w:tc>
              <w:tc>
                <w:tcPr>
                  <w:tcW w:w="2313" w:type="dxa"/>
                  <w:vAlign w:val="center"/>
                </w:tcPr>
                <w:p w14:paraId="2142EF8C">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sz w:val="21"/>
                      <w:szCs w:val="21"/>
                      <w:vertAlign w:val="baseline"/>
                      <w:lang w:val="en-US" w:eastAsia="zh-CN"/>
                    </w:rPr>
                  </w:pPr>
                  <w:r>
                    <w:rPr>
                      <w:rFonts w:hint="eastAsia" w:cs="Times New Roman"/>
                      <w:b w:val="0"/>
                      <w:bCs w:val="0"/>
                      <w:sz w:val="21"/>
                      <w:szCs w:val="21"/>
                      <w:vertAlign w:val="baseline"/>
                      <w:lang w:val="en-US" w:eastAsia="zh-CN"/>
                    </w:rPr>
                    <w:t>2000</w:t>
                  </w:r>
                </w:p>
              </w:tc>
              <w:tc>
                <w:tcPr>
                  <w:tcW w:w="2315" w:type="dxa"/>
                  <w:vAlign w:val="center"/>
                </w:tcPr>
                <w:p w14:paraId="009ABD3D">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sz w:val="21"/>
                      <w:szCs w:val="21"/>
                      <w:vertAlign w:val="baseline"/>
                      <w:lang w:val="en-US" w:eastAsia="zh-CN"/>
                    </w:rPr>
                  </w:pPr>
                  <w:r>
                    <w:rPr>
                      <w:rFonts w:hint="eastAsia" w:cs="Times New Roman"/>
                      <w:b w:val="0"/>
                      <w:bCs w:val="0"/>
                      <w:sz w:val="21"/>
                      <w:szCs w:val="21"/>
                      <w:vertAlign w:val="baseline"/>
                      <w:lang w:val="en-US" w:eastAsia="zh-CN"/>
                    </w:rPr>
                    <w:t>2000</w:t>
                  </w:r>
                </w:p>
              </w:tc>
            </w:tr>
            <w:tr w14:paraId="41D53B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82" w:type="dxa"/>
                  <w:vMerge w:val="restart"/>
                  <w:vAlign w:val="center"/>
                </w:tcPr>
                <w:p w14:paraId="3AC8B83C">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bCs/>
                      <w:sz w:val="21"/>
                      <w:szCs w:val="21"/>
                      <w:vertAlign w:val="baseline"/>
                      <w:lang w:val="en-US" w:eastAsia="zh-CN"/>
                    </w:rPr>
                  </w:pPr>
                  <w:r>
                    <w:rPr>
                      <w:rFonts w:hint="eastAsia" w:ascii="Times New Roman" w:hAnsi="Times New Roman" w:eastAsia="宋体" w:cs="Times New Roman"/>
                      <w:b/>
                      <w:bCs/>
                      <w:sz w:val="21"/>
                      <w:szCs w:val="21"/>
                      <w:vertAlign w:val="baseline"/>
                      <w:lang w:val="en-US" w:eastAsia="zh-CN"/>
                    </w:rPr>
                    <w:t>排放口基本情况</w:t>
                  </w:r>
                </w:p>
              </w:tc>
              <w:tc>
                <w:tcPr>
                  <w:tcW w:w="2313" w:type="dxa"/>
                  <w:vAlign w:val="center"/>
                </w:tcPr>
                <w:p w14:paraId="2A368CFD">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bCs/>
                      <w:sz w:val="21"/>
                      <w:szCs w:val="21"/>
                      <w:vertAlign w:val="baseline"/>
                      <w:lang w:val="en-US" w:eastAsia="zh-CN"/>
                    </w:rPr>
                  </w:pPr>
                  <w:r>
                    <w:rPr>
                      <w:rFonts w:hint="eastAsia" w:ascii="Times New Roman" w:hAnsi="Times New Roman" w:eastAsia="宋体" w:cs="Times New Roman"/>
                      <w:b/>
                      <w:bCs/>
                      <w:sz w:val="21"/>
                      <w:szCs w:val="21"/>
                      <w:vertAlign w:val="baseline"/>
                      <w:lang w:val="en-US" w:eastAsia="zh-CN"/>
                    </w:rPr>
                    <w:t>数量（个）</w:t>
                  </w:r>
                </w:p>
              </w:tc>
              <w:tc>
                <w:tcPr>
                  <w:tcW w:w="2313" w:type="dxa"/>
                  <w:vAlign w:val="center"/>
                </w:tcPr>
                <w:p w14:paraId="67A526D8">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ascii="Times New Roman" w:hAnsi="Times New Roman" w:eastAsia="宋体" w:cs="Times New Roman"/>
                      <w:b/>
                      <w:bCs/>
                      <w:sz w:val="21"/>
                      <w:szCs w:val="21"/>
                      <w:vertAlign w:val="baseline"/>
                      <w:lang w:val="en-US" w:eastAsia="zh-CN"/>
                    </w:rPr>
                  </w:pPr>
                  <w:r>
                    <w:rPr>
                      <w:rFonts w:hint="eastAsia" w:ascii="Times New Roman" w:hAnsi="Times New Roman" w:eastAsia="宋体" w:cs="Times New Roman"/>
                      <w:b/>
                      <w:bCs/>
                      <w:sz w:val="21"/>
                      <w:szCs w:val="21"/>
                      <w:vertAlign w:val="baseline"/>
                      <w:lang w:val="en-US" w:eastAsia="zh-CN"/>
                    </w:rPr>
                    <w:t>高度（m）</w:t>
                  </w:r>
                </w:p>
              </w:tc>
              <w:tc>
                <w:tcPr>
                  <w:tcW w:w="2315" w:type="dxa"/>
                  <w:vAlign w:val="center"/>
                </w:tcPr>
                <w:p w14:paraId="7B028350">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ascii="Times New Roman" w:hAnsi="Times New Roman" w:eastAsia="宋体" w:cs="Times New Roman"/>
                      <w:b/>
                      <w:bCs/>
                      <w:sz w:val="21"/>
                      <w:szCs w:val="21"/>
                      <w:vertAlign w:val="baseline"/>
                      <w:lang w:val="en-US" w:eastAsia="zh-CN"/>
                    </w:rPr>
                  </w:pPr>
                  <w:r>
                    <w:rPr>
                      <w:rFonts w:hint="eastAsia" w:ascii="Times New Roman" w:hAnsi="Times New Roman" w:eastAsia="宋体" w:cs="Times New Roman"/>
                      <w:b/>
                      <w:bCs/>
                      <w:sz w:val="21"/>
                      <w:szCs w:val="21"/>
                      <w:vertAlign w:val="baseline"/>
                      <w:lang w:val="en-US" w:eastAsia="zh-CN"/>
                    </w:rPr>
                    <w:t>内径（m）</w:t>
                  </w:r>
                </w:p>
              </w:tc>
            </w:tr>
            <w:tr w14:paraId="6686974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82" w:type="dxa"/>
                  <w:vMerge w:val="continue"/>
                  <w:vAlign w:val="center"/>
                </w:tcPr>
                <w:p w14:paraId="17B2D268">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bCs/>
                      <w:sz w:val="21"/>
                      <w:szCs w:val="21"/>
                      <w:vertAlign w:val="baseline"/>
                      <w:lang w:val="en-US" w:eastAsia="zh-CN"/>
                    </w:rPr>
                  </w:pPr>
                </w:p>
              </w:tc>
              <w:tc>
                <w:tcPr>
                  <w:tcW w:w="2313" w:type="dxa"/>
                  <w:vAlign w:val="center"/>
                </w:tcPr>
                <w:p w14:paraId="3DA520D9">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sz w:val="21"/>
                      <w:szCs w:val="21"/>
                      <w:vertAlign w:val="baseline"/>
                      <w:lang w:val="en-US" w:eastAsia="zh-CN"/>
                    </w:rPr>
                  </w:pPr>
                  <w:r>
                    <w:rPr>
                      <w:rFonts w:hint="eastAsia" w:cs="Times New Roman"/>
                      <w:b w:val="0"/>
                      <w:bCs w:val="0"/>
                      <w:sz w:val="21"/>
                      <w:szCs w:val="21"/>
                      <w:vertAlign w:val="baseline"/>
                      <w:lang w:val="en-US" w:eastAsia="zh-CN"/>
                    </w:rPr>
                    <w:t>1</w:t>
                  </w:r>
                </w:p>
              </w:tc>
              <w:tc>
                <w:tcPr>
                  <w:tcW w:w="2313" w:type="dxa"/>
                  <w:vAlign w:val="center"/>
                </w:tcPr>
                <w:p w14:paraId="02AD2E1C">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sz w:val="21"/>
                      <w:szCs w:val="21"/>
                      <w:vertAlign w:val="baseline"/>
                      <w:lang w:val="en-US" w:eastAsia="zh-CN"/>
                    </w:rPr>
                  </w:pPr>
                  <w:r>
                    <w:rPr>
                      <w:rFonts w:hint="eastAsia" w:cs="Times New Roman"/>
                      <w:b w:val="0"/>
                      <w:bCs w:val="0"/>
                      <w:sz w:val="21"/>
                      <w:szCs w:val="21"/>
                      <w:vertAlign w:val="baseline"/>
                      <w:lang w:val="en-US" w:eastAsia="zh-CN"/>
                    </w:rPr>
                    <w:t>15</w:t>
                  </w:r>
                </w:p>
              </w:tc>
              <w:tc>
                <w:tcPr>
                  <w:tcW w:w="2315" w:type="dxa"/>
                  <w:vAlign w:val="center"/>
                </w:tcPr>
                <w:p w14:paraId="7F6EA16F">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sz w:val="21"/>
                      <w:szCs w:val="21"/>
                      <w:vertAlign w:val="baseline"/>
                      <w:lang w:val="en-US" w:eastAsia="zh-CN"/>
                    </w:rPr>
                  </w:pPr>
                  <w:r>
                    <w:rPr>
                      <w:rFonts w:hint="eastAsia" w:cs="Times New Roman"/>
                      <w:b w:val="0"/>
                      <w:bCs w:val="0"/>
                      <w:sz w:val="21"/>
                      <w:szCs w:val="21"/>
                      <w:vertAlign w:val="baseline"/>
                      <w:lang w:val="en-US" w:eastAsia="zh-CN"/>
                    </w:rPr>
                    <w:t>0.25</w:t>
                  </w:r>
                </w:p>
              </w:tc>
            </w:tr>
            <w:tr w14:paraId="7D7936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82" w:type="dxa"/>
                  <w:vMerge w:val="continue"/>
                  <w:vAlign w:val="center"/>
                </w:tcPr>
                <w:p w14:paraId="2908D4D4">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bCs/>
                      <w:sz w:val="21"/>
                      <w:szCs w:val="21"/>
                      <w:vertAlign w:val="baseline"/>
                      <w:lang w:val="en-US" w:eastAsia="zh-CN"/>
                    </w:rPr>
                  </w:pPr>
                </w:p>
              </w:tc>
              <w:tc>
                <w:tcPr>
                  <w:tcW w:w="2313" w:type="dxa"/>
                  <w:vAlign w:val="center"/>
                </w:tcPr>
                <w:p w14:paraId="0D9FD63D">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bCs/>
                      <w:sz w:val="21"/>
                      <w:szCs w:val="21"/>
                      <w:vertAlign w:val="baseline"/>
                      <w:lang w:val="en-US" w:eastAsia="zh-CN"/>
                    </w:rPr>
                  </w:pPr>
                  <w:r>
                    <w:rPr>
                      <w:rFonts w:hint="eastAsia" w:cs="Times New Roman"/>
                      <w:b/>
                      <w:bCs/>
                      <w:color w:val="000000"/>
                      <w:kern w:val="0"/>
                      <w:sz w:val="21"/>
                      <w:szCs w:val="21"/>
                      <w:lang w:val="en-US" w:eastAsia="zh-CN"/>
                    </w:rPr>
                    <w:t>温度</w:t>
                  </w:r>
                </w:p>
              </w:tc>
              <w:tc>
                <w:tcPr>
                  <w:tcW w:w="2313" w:type="dxa"/>
                  <w:vAlign w:val="center"/>
                </w:tcPr>
                <w:p w14:paraId="42DEE2BB">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color w:val="000000"/>
                      <w:kern w:val="0"/>
                      <w:sz w:val="21"/>
                      <w:szCs w:val="21"/>
                      <w:lang w:val="en-US" w:eastAsia="zh-CN"/>
                    </w:rPr>
                    <w:t>编号及名称</w:t>
                  </w:r>
                </w:p>
              </w:tc>
              <w:tc>
                <w:tcPr>
                  <w:tcW w:w="2315" w:type="dxa"/>
                  <w:vAlign w:val="center"/>
                </w:tcPr>
                <w:p w14:paraId="7F889FE8">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ascii="Times New Roman" w:hAnsi="Times New Roman" w:eastAsia="宋体" w:cs="Times New Roman"/>
                      <w:b/>
                      <w:bCs/>
                      <w:sz w:val="21"/>
                      <w:szCs w:val="21"/>
                      <w:vertAlign w:val="baseline"/>
                      <w:lang w:val="en-US" w:eastAsia="zh-CN"/>
                    </w:rPr>
                  </w:pPr>
                  <w:r>
                    <w:rPr>
                      <w:rFonts w:hint="eastAsia" w:cs="Times New Roman"/>
                      <w:b/>
                      <w:bCs/>
                      <w:color w:val="000000"/>
                      <w:kern w:val="0"/>
                      <w:sz w:val="21"/>
                      <w:szCs w:val="21"/>
                      <w:lang w:val="en-US" w:eastAsia="zh-CN"/>
                    </w:rPr>
                    <w:t>类型</w:t>
                  </w:r>
                </w:p>
              </w:tc>
            </w:tr>
            <w:tr w14:paraId="2ED35F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82" w:type="dxa"/>
                  <w:vMerge w:val="continue"/>
                  <w:vAlign w:val="center"/>
                </w:tcPr>
                <w:p w14:paraId="7599410F">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bCs/>
                      <w:sz w:val="21"/>
                      <w:szCs w:val="21"/>
                      <w:vertAlign w:val="baseline"/>
                      <w:lang w:val="en-US" w:eastAsia="zh-CN"/>
                    </w:rPr>
                  </w:pPr>
                </w:p>
              </w:tc>
              <w:tc>
                <w:tcPr>
                  <w:tcW w:w="2313" w:type="dxa"/>
                  <w:vAlign w:val="center"/>
                </w:tcPr>
                <w:p w14:paraId="711298F9">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sz w:val="21"/>
                      <w:szCs w:val="21"/>
                      <w:vertAlign w:val="baseline"/>
                      <w:lang w:val="en-US" w:eastAsia="zh-CN"/>
                    </w:rPr>
                  </w:pPr>
                  <w:r>
                    <w:rPr>
                      <w:rFonts w:hint="eastAsia" w:cs="Times New Roman"/>
                      <w:b w:val="0"/>
                      <w:bCs w:val="0"/>
                      <w:sz w:val="21"/>
                      <w:szCs w:val="21"/>
                      <w:vertAlign w:val="baseline"/>
                      <w:lang w:val="en-US" w:eastAsia="zh-CN"/>
                    </w:rPr>
                    <w:t>常温</w:t>
                  </w:r>
                </w:p>
              </w:tc>
              <w:tc>
                <w:tcPr>
                  <w:tcW w:w="2313" w:type="dxa"/>
                  <w:vAlign w:val="center"/>
                </w:tcPr>
                <w:p w14:paraId="03DFB322">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val="0"/>
                      <w:bCs w:val="0"/>
                      <w:sz w:val="21"/>
                      <w:szCs w:val="21"/>
                      <w:vertAlign w:val="baseline"/>
                      <w:lang w:val="en-US" w:eastAsia="zh-CN"/>
                    </w:rPr>
                  </w:pPr>
                  <w:r>
                    <w:rPr>
                      <w:rFonts w:hint="eastAsia" w:ascii="Times New Roman" w:hAnsi="Times New Roman" w:eastAsia="宋体" w:cs="Times New Roman"/>
                      <w:b w:val="0"/>
                      <w:bCs w:val="0"/>
                      <w:sz w:val="21"/>
                      <w:szCs w:val="21"/>
                      <w:vertAlign w:val="baseline"/>
                      <w:lang w:val="en-US" w:eastAsia="zh-CN"/>
                    </w:rPr>
                    <w:t>DA001废油贮存库</w:t>
                  </w:r>
                  <w:r>
                    <w:rPr>
                      <w:rFonts w:hint="eastAsia" w:cs="Times New Roman"/>
                      <w:b w:val="0"/>
                      <w:bCs w:val="0"/>
                      <w:sz w:val="21"/>
                      <w:szCs w:val="21"/>
                      <w:vertAlign w:val="baseline"/>
                      <w:lang w:val="en-US" w:eastAsia="zh-CN"/>
                    </w:rPr>
                    <w:t>废气</w:t>
                  </w:r>
                  <w:r>
                    <w:rPr>
                      <w:rFonts w:hint="eastAsia" w:ascii="Times New Roman" w:hAnsi="Times New Roman" w:eastAsia="宋体" w:cs="Times New Roman"/>
                      <w:b w:val="0"/>
                      <w:bCs w:val="0"/>
                      <w:sz w:val="21"/>
                      <w:szCs w:val="21"/>
                      <w:vertAlign w:val="baseline"/>
                      <w:lang w:val="en-US" w:eastAsia="zh-CN"/>
                    </w:rPr>
                    <w:t>排放口</w:t>
                  </w:r>
                </w:p>
              </w:tc>
              <w:tc>
                <w:tcPr>
                  <w:tcW w:w="2315" w:type="dxa"/>
                  <w:vAlign w:val="center"/>
                </w:tcPr>
                <w:p w14:paraId="78CCFC3D">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ascii="Times New Roman" w:hAnsi="Times New Roman" w:eastAsia="宋体" w:cs="Times New Roman"/>
                      <w:b w:val="0"/>
                      <w:bCs w:val="0"/>
                      <w:sz w:val="21"/>
                      <w:szCs w:val="21"/>
                      <w:vertAlign w:val="baseline"/>
                      <w:lang w:val="en-US" w:eastAsia="zh-CN"/>
                    </w:rPr>
                  </w:pPr>
                  <w:r>
                    <w:rPr>
                      <w:rFonts w:hint="eastAsia" w:ascii="Times New Roman" w:hAnsi="Times New Roman" w:eastAsia="宋体" w:cs="Times New Roman"/>
                      <w:b w:val="0"/>
                      <w:bCs w:val="0"/>
                      <w:sz w:val="21"/>
                      <w:szCs w:val="21"/>
                      <w:vertAlign w:val="baseline"/>
                      <w:lang w:val="en-US" w:eastAsia="zh-CN"/>
                    </w:rPr>
                    <w:t>一般排放口</w:t>
                  </w:r>
                </w:p>
              </w:tc>
            </w:tr>
            <w:tr w14:paraId="6F7E70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82" w:type="dxa"/>
                  <w:vMerge w:val="continue"/>
                  <w:vAlign w:val="center"/>
                </w:tcPr>
                <w:p w14:paraId="280AF70E">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bCs/>
                      <w:sz w:val="21"/>
                      <w:szCs w:val="21"/>
                      <w:vertAlign w:val="baseline"/>
                      <w:lang w:val="en-US" w:eastAsia="zh-CN"/>
                    </w:rPr>
                  </w:pPr>
                </w:p>
              </w:tc>
              <w:tc>
                <w:tcPr>
                  <w:tcW w:w="6941" w:type="dxa"/>
                  <w:gridSpan w:val="3"/>
                  <w:vAlign w:val="center"/>
                </w:tcPr>
                <w:p w14:paraId="18635738">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val="0"/>
                      <w:bCs w:val="0"/>
                      <w:sz w:val="21"/>
                      <w:szCs w:val="21"/>
                      <w:vertAlign w:val="baseline"/>
                      <w:lang w:val="en-US" w:eastAsia="zh-CN"/>
                    </w:rPr>
                  </w:pPr>
                  <w:r>
                    <w:rPr>
                      <w:rFonts w:hint="eastAsia" w:ascii="Times New Roman" w:hAnsi="Times New Roman" w:eastAsia="宋体" w:cs="Times New Roman"/>
                      <w:b/>
                      <w:bCs/>
                      <w:sz w:val="21"/>
                      <w:szCs w:val="21"/>
                      <w:vertAlign w:val="baseline"/>
                      <w:lang w:val="en-US" w:eastAsia="zh-CN"/>
                    </w:rPr>
                    <w:t>地理坐标</w:t>
                  </w:r>
                </w:p>
              </w:tc>
            </w:tr>
            <w:tr w14:paraId="7B1815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82" w:type="dxa"/>
                  <w:vMerge w:val="continue"/>
                  <w:vAlign w:val="center"/>
                </w:tcPr>
                <w:p w14:paraId="1035B0F0">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bCs/>
                      <w:sz w:val="21"/>
                      <w:szCs w:val="21"/>
                      <w:vertAlign w:val="baseline"/>
                      <w:lang w:val="en-US" w:eastAsia="zh-CN"/>
                    </w:rPr>
                  </w:pPr>
                </w:p>
              </w:tc>
              <w:tc>
                <w:tcPr>
                  <w:tcW w:w="6941" w:type="dxa"/>
                  <w:gridSpan w:val="3"/>
                  <w:vAlign w:val="center"/>
                </w:tcPr>
                <w:p w14:paraId="6F178717">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kern w:val="2"/>
                      <w:sz w:val="21"/>
                      <w:szCs w:val="21"/>
                      <w:vertAlign w:val="baseline"/>
                      <w:lang w:val="en-US" w:eastAsia="zh-CN" w:bidi="ar-SA"/>
                    </w:rPr>
                  </w:pPr>
                  <w:r>
                    <w:rPr>
                      <w:rFonts w:hint="eastAsia" w:ascii="Times New Roman" w:hAnsi="Times New Roman" w:eastAsia="宋体" w:cs="Times New Roman"/>
                      <w:b w:val="0"/>
                      <w:bCs w:val="0"/>
                      <w:sz w:val="21"/>
                      <w:szCs w:val="21"/>
                      <w:vertAlign w:val="baseline"/>
                      <w:lang w:val="en-US" w:eastAsia="zh-CN"/>
                    </w:rPr>
                    <w:t>经度</w:t>
                  </w:r>
                  <w:r>
                    <w:rPr>
                      <w:rFonts w:hint="eastAsia" w:cs="Times New Roman"/>
                      <w:b w:val="0"/>
                      <w:bCs w:val="0"/>
                      <w:sz w:val="21"/>
                      <w:szCs w:val="21"/>
                      <w:vertAlign w:val="baseline"/>
                      <w:lang w:val="en-US" w:eastAsia="zh-CN"/>
                    </w:rPr>
                    <w:t>：105.480997 ，</w:t>
                  </w:r>
                  <w:r>
                    <w:rPr>
                      <w:rFonts w:hint="eastAsia" w:ascii="Times New Roman" w:hAnsi="Times New Roman" w:eastAsia="宋体" w:cs="Times New Roman"/>
                      <w:b w:val="0"/>
                      <w:bCs w:val="0"/>
                      <w:sz w:val="21"/>
                      <w:szCs w:val="21"/>
                      <w:vertAlign w:val="baseline"/>
                      <w:lang w:val="en-US" w:eastAsia="zh-CN"/>
                    </w:rPr>
                    <w:t>纬度</w:t>
                  </w:r>
                  <w:r>
                    <w:rPr>
                      <w:rFonts w:hint="eastAsia" w:cs="Times New Roman"/>
                      <w:b w:val="0"/>
                      <w:bCs w:val="0"/>
                      <w:sz w:val="21"/>
                      <w:szCs w:val="21"/>
                      <w:vertAlign w:val="baseline"/>
                      <w:lang w:val="en-US" w:eastAsia="zh-CN"/>
                    </w:rPr>
                    <w:t>：30.366776</w:t>
                  </w:r>
                </w:p>
              </w:tc>
            </w:tr>
          </w:tbl>
          <w:p w14:paraId="2FB7D26F">
            <w:pPr>
              <w:keepNext w:val="0"/>
              <w:keepLines w:val="0"/>
              <w:pageBreakBefore w:val="0"/>
              <w:widowControl w:val="0"/>
              <w:numPr>
                <w:ilvl w:val="0"/>
                <w:numId w:val="55"/>
              </w:numPr>
              <w:kinsoku/>
              <w:wordWrap/>
              <w:overflowPunct/>
              <w:topLinePunct w:val="0"/>
              <w:autoSpaceDE/>
              <w:autoSpaceDN/>
              <w:bidi w:val="0"/>
              <w:adjustRightInd/>
              <w:snapToGrid/>
              <w:spacing w:line="360" w:lineRule="auto"/>
              <w:ind w:left="0" w:leftChars="0" w:firstLine="482" w:firstLineChars="200"/>
              <w:jc w:val="both"/>
              <w:textAlignment w:val="auto"/>
              <w:rPr>
                <w:rFonts w:hint="eastAsia" w:ascii="Times New Roman" w:hAnsi="Times New Roman" w:eastAsia="宋体" w:cs="Times New Roman"/>
                <w:b/>
                <w:bCs/>
                <w:sz w:val="24"/>
                <w:szCs w:val="24"/>
                <w:lang w:val="en-US" w:eastAsia="zh-CN"/>
              </w:rPr>
            </w:pPr>
            <w:r>
              <w:rPr>
                <w:rFonts w:hint="eastAsia" w:ascii="Times New Roman" w:hAnsi="Times New Roman" w:eastAsia="宋体" w:cs="Times New Roman"/>
                <w:b/>
                <w:bCs/>
                <w:sz w:val="24"/>
                <w:szCs w:val="24"/>
                <w:lang w:val="en-US" w:eastAsia="zh-CN"/>
              </w:rPr>
              <w:t>废气污染防治技术可行性分析</w:t>
            </w:r>
          </w:p>
          <w:p w14:paraId="54BB4826">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本项目废矿物油装卸、储存、检验过程产生的VOC</w:t>
            </w:r>
            <w:r>
              <w:rPr>
                <w:rFonts w:hint="eastAsia" w:cs="Times New Roman"/>
                <w:sz w:val="24"/>
                <w:szCs w:val="24"/>
                <w:lang w:val="en-US" w:eastAsia="zh-CN"/>
              </w:rPr>
              <w:t>s（</w:t>
            </w:r>
            <w:r>
              <w:rPr>
                <w:rFonts w:hint="eastAsia" w:ascii="Times New Roman" w:hAnsi="Times New Roman" w:eastAsia="宋体" w:cs="Times New Roman"/>
                <w:sz w:val="24"/>
                <w:szCs w:val="24"/>
                <w:lang w:val="en-US" w:eastAsia="zh-CN"/>
              </w:rPr>
              <w:t>非甲烷总烃</w:t>
            </w:r>
            <w:r>
              <w:rPr>
                <w:rFonts w:hint="eastAsia" w:cs="Times New Roman"/>
                <w:sz w:val="24"/>
                <w:szCs w:val="24"/>
                <w:lang w:val="en-US" w:eastAsia="zh-CN"/>
              </w:rPr>
              <w:t>）</w:t>
            </w:r>
            <w:r>
              <w:rPr>
                <w:rFonts w:hint="eastAsia" w:ascii="Times New Roman" w:hAnsi="Times New Roman" w:eastAsia="宋体" w:cs="Times New Roman"/>
                <w:sz w:val="24"/>
                <w:szCs w:val="24"/>
                <w:lang w:val="en-US" w:eastAsia="zh-CN"/>
              </w:rPr>
              <w:t>经伞罩型集气罩收集至</w:t>
            </w:r>
            <w:r>
              <w:rPr>
                <w:rFonts w:hint="eastAsia" w:cs="Times New Roman"/>
                <w:sz w:val="24"/>
                <w:szCs w:val="24"/>
                <w:lang w:val="en-US" w:eastAsia="zh-CN"/>
              </w:rPr>
              <w:t>“两级</w:t>
            </w:r>
            <w:r>
              <w:rPr>
                <w:rFonts w:hint="eastAsia" w:ascii="Times New Roman" w:hAnsi="Times New Roman" w:eastAsia="宋体" w:cs="Times New Roman"/>
                <w:sz w:val="24"/>
                <w:szCs w:val="24"/>
                <w:lang w:val="en-US" w:eastAsia="zh-CN"/>
              </w:rPr>
              <w:t>活性炭吸附装置</w:t>
            </w:r>
            <w:r>
              <w:rPr>
                <w:rFonts w:hint="eastAsia" w:cs="Times New Roman"/>
                <w:sz w:val="24"/>
                <w:szCs w:val="24"/>
                <w:lang w:val="en-US" w:eastAsia="zh-CN"/>
              </w:rPr>
              <w:t>”</w:t>
            </w:r>
            <w:r>
              <w:rPr>
                <w:rFonts w:hint="eastAsia" w:ascii="Times New Roman" w:hAnsi="Times New Roman" w:eastAsia="宋体" w:cs="Times New Roman"/>
                <w:sz w:val="24"/>
                <w:szCs w:val="24"/>
                <w:lang w:val="en-US" w:eastAsia="zh-CN"/>
              </w:rPr>
              <w:t>进行吸附净化，</w:t>
            </w:r>
            <w:r>
              <w:rPr>
                <w:rFonts w:hint="eastAsia" w:cs="Times New Roman"/>
                <w:sz w:val="24"/>
                <w:szCs w:val="24"/>
                <w:lang w:val="en-US" w:eastAsia="zh-CN"/>
              </w:rPr>
              <w:t>处理</w:t>
            </w:r>
            <w:r>
              <w:rPr>
                <w:rFonts w:hint="eastAsia" w:ascii="Times New Roman" w:hAnsi="Times New Roman" w:eastAsia="宋体" w:cs="Times New Roman"/>
                <w:sz w:val="24"/>
                <w:szCs w:val="24"/>
                <w:lang w:val="en-US" w:eastAsia="zh-CN"/>
              </w:rPr>
              <w:t>后由</w:t>
            </w:r>
            <w:r>
              <w:rPr>
                <w:rFonts w:hint="eastAsia" w:cs="Times New Roman"/>
                <w:sz w:val="24"/>
                <w:szCs w:val="24"/>
                <w:lang w:val="en-US" w:eastAsia="zh-CN"/>
              </w:rPr>
              <w:t>15m高</w:t>
            </w:r>
            <w:r>
              <w:rPr>
                <w:rFonts w:hint="eastAsia" w:ascii="Times New Roman" w:hAnsi="Times New Roman" w:eastAsia="宋体" w:cs="Times New Roman"/>
                <w:sz w:val="24"/>
                <w:szCs w:val="24"/>
                <w:lang w:val="en-US" w:eastAsia="zh-CN"/>
              </w:rPr>
              <w:t>排气筒</w:t>
            </w:r>
            <w:r>
              <w:rPr>
                <w:rFonts w:hint="eastAsia" w:cs="Times New Roman"/>
                <w:sz w:val="24"/>
                <w:szCs w:val="24"/>
                <w:lang w:val="en-US" w:eastAsia="zh-CN"/>
              </w:rPr>
              <w:t>（DA001）排放</w:t>
            </w:r>
            <w:r>
              <w:rPr>
                <w:rFonts w:hint="eastAsia" w:ascii="Times New Roman" w:hAnsi="Times New Roman" w:eastAsia="宋体" w:cs="Times New Roman"/>
                <w:sz w:val="24"/>
                <w:szCs w:val="24"/>
                <w:lang w:val="en-US" w:eastAsia="zh-CN"/>
              </w:rPr>
              <w:t>。</w:t>
            </w:r>
          </w:p>
          <w:p w14:paraId="05307EC1">
            <w:pPr>
              <w:keepNext w:val="0"/>
              <w:keepLines w:val="0"/>
              <w:pageBreakBefore w:val="0"/>
              <w:widowControl w:val="0"/>
              <w:numPr>
                <w:ilvl w:val="0"/>
                <w:numId w:val="59"/>
              </w:numPr>
              <w:kinsoku/>
              <w:wordWrap/>
              <w:overflowPunct/>
              <w:topLinePunct w:val="0"/>
              <w:autoSpaceDE/>
              <w:autoSpaceDN/>
              <w:bidi w:val="0"/>
              <w:adjustRightInd/>
              <w:snapToGrid/>
              <w:spacing w:line="360" w:lineRule="auto"/>
              <w:ind w:firstLine="482" w:firstLineChars="200"/>
              <w:jc w:val="both"/>
              <w:textAlignment w:val="auto"/>
              <w:rPr>
                <w:rFonts w:hint="eastAsia" w:ascii="Times New Roman" w:hAnsi="Times New Roman" w:eastAsia="宋体" w:cs="Times New Roman"/>
                <w:b/>
                <w:bCs/>
                <w:sz w:val="24"/>
                <w:szCs w:val="24"/>
                <w:lang w:val="en-US" w:eastAsia="zh-CN"/>
              </w:rPr>
            </w:pPr>
            <w:r>
              <w:rPr>
                <w:rFonts w:hint="eastAsia" w:ascii="Times New Roman" w:hAnsi="Times New Roman" w:eastAsia="宋体" w:cs="Times New Roman"/>
                <w:b/>
                <w:bCs/>
                <w:sz w:val="24"/>
                <w:szCs w:val="24"/>
                <w:lang w:val="en-US" w:eastAsia="zh-CN"/>
              </w:rPr>
              <w:t>收集措施可行性论证</w:t>
            </w:r>
          </w:p>
          <w:p w14:paraId="44373F68">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sz w:val="24"/>
                <w:szCs w:val="24"/>
                <w:lang w:val="en-US" w:eastAsia="zh-CN"/>
              </w:rPr>
            </w:pPr>
            <w:r>
              <w:rPr>
                <w:rFonts w:hint="eastAsia" w:ascii="Times New Roman" w:hAnsi="Times New Roman" w:eastAsia="宋体" w:cs="Times New Roman"/>
                <w:sz w:val="24"/>
                <w:szCs w:val="24"/>
                <w:lang w:val="en-US" w:eastAsia="zh-CN"/>
              </w:rPr>
              <w:t>本项目拟采取的收集措施为在储油罐呼吸孔上方0.2m处设置0.15×0.15</w:t>
            </w:r>
            <w:r>
              <w:rPr>
                <w:rFonts w:hint="eastAsia" w:cs="Times New Roman"/>
                <w:sz w:val="24"/>
                <w:szCs w:val="24"/>
                <w:lang w:val="en-US" w:eastAsia="zh-CN"/>
              </w:rPr>
              <w:t>m</w:t>
            </w:r>
            <w:r>
              <w:rPr>
                <w:rFonts w:hint="eastAsia" w:ascii="Times New Roman" w:hAnsi="Times New Roman" w:eastAsia="宋体" w:cs="Times New Roman"/>
                <w:sz w:val="24"/>
                <w:szCs w:val="24"/>
                <w:lang w:val="en-US" w:eastAsia="zh-CN"/>
              </w:rPr>
              <w:t>的伞罩型集气罩，本项目伞形集气罩尽量靠近呼吸口设置，集气罩尺寸大于废气排放口尺寸</w:t>
            </w:r>
            <w:r>
              <w:rPr>
                <w:rFonts w:hint="eastAsia" w:cs="Times New Roman"/>
                <w:sz w:val="24"/>
                <w:szCs w:val="24"/>
                <w:lang w:val="en-US" w:eastAsia="zh-CN"/>
              </w:rPr>
              <w:t>，</w:t>
            </w:r>
            <w:r>
              <w:rPr>
                <w:rFonts w:hint="eastAsia" w:ascii="Times New Roman" w:hAnsi="Times New Roman" w:eastAsia="宋体" w:cs="Times New Roman"/>
                <w:sz w:val="24"/>
                <w:szCs w:val="24"/>
                <w:lang w:val="en-US" w:eastAsia="zh-CN"/>
              </w:rPr>
              <w:t>使集气罩可以完全覆盖于废气污染源上方，收集效率按90%；本项目生产车间共有</w:t>
            </w:r>
            <w:r>
              <w:rPr>
                <w:rFonts w:hint="eastAsia" w:cs="Times New Roman"/>
                <w:sz w:val="24"/>
                <w:szCs w:val="24"/>
                <w:lang w:val="en-US" w:eastAsia="zh-CN"/>
              </w:rPr>
              <w:t>2个</w:t>
            </w:r>
            <w:r>
              <w:rPr>
                <w:rFonts w:hint="eastAsia" w:ascii="Times New Roman" w:hAnsi="Times New Roman" w:eastAsia="宋体" w:cs="Times New Roman"/>
                <w:sz w:val="24"/>
                <w:szCs w:val="24"/>
                <w:lang w:val="en-US" w:eastAsia="zh-CN"/>
              </w:rPr>
              <w:t>储油罐</w:t>
            </w:r>
            <w:r>
              <w:rPr>
                <w:rFonts w:hint="eastAsia" w:cs="Times New Roman"/>
                <w:sz w:val="24"/>
                <w:szCs w:val="24"/>
                <w:lang w:val="en-US" w:eastAsia="zh-CN"/>
              </w:rPr>
              <w:t>。</w:t>
            </w:r>
          </w:p>
          <w:p w14:paraId="524A2784">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根据《工业通风与除尘》（北京：冶金工业出版社，2010.8），有边板的自由悬挂矩形罩排风量与控制距离处控制风速的经验公式如下：</w:t>
            </w:r>
          </w:p>
          <w:p w14:paraId="5454E0B4">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Q＝0.75（10X</w:t>
            </w:r>
            <w:r>
              <w:rPr>
                <w:rFonts w:hint="eastAsia" w:ascii="Times New Roman" w:hAnsi="Times New Roman" w:eastAsia="宋体" w:cs="Times New Roman"/>
                <w:sz w:val="24"/>
                <w:szCs w:val="24"/>
                <w:vertAlign w:val="superscript"/>
                <w:lang w:val="en-US" w:eastAsia="zh-CN"/>
              </w:rPr>
              <w:t>2</w:t>
            </w:r>
            <w:r>
              <w:rPr>
                <w:rFonts w:hint="eastAsia" w:ascii="Times New Roman" w:hAnsi="Times New Roman" w:eastAsia="宋体" w:cs="Times New Roman"/>
                <w:sz w:val="24"/>
                <w:szCs w:val="24"/>
                <w:lang w:val="en-US" w:eastAsia="zh-CN"/>
              </w:rPr>
              <w:t>+F）Vx×3600</w:t>
            </w:r>
          </w:p>
          <w:p w14:paraId="270B14B0">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式中：Q</w:t>
            </w:r>
            <w:r>
              <w:rPr>
                <w:rFonts w:hint="eastAsia" w:cs="Times New Roman"/>
                <w:sz w:val="24"/>
                <w:szCs w:val="24"/>
                <w:lang w:val="en-US" w:eastAsia="zh-CN"/>
              </w:rPr>
              <w:t>—</w:t>
            </w:r>
            <w:r>
              <w:rPr>
                <w:rFonts w:hint="eastAsia" w:ascii="Times New Roman" w:hAnsi="Times New Roman" w:eastAsia="宋体" w:cs="Times New Roman"/>
                <w:sz w:val="24"/>
                <w:szCs w:val="24"/>
                <w:lang w:val="en-US" w:eastAsia="zh-CN"/>
              </w:rPr>
              <w:t>基本风量（m</w:t>
            </w:r>
            <w:r>
              <w:rPr>
                <w:rFonts w:hint="eastAsia" w:ascii="Times New Roman" w:hAnsi="Times New Roman" w:eastAsia="宋体" w:cs="Times New Roman"/>
                <w:sz w:val="24"/>
                <w:szCs w:val="24"/>
                <w:vertAlign w:val="superscript"/>
                <w:lang w:val="en-US" w:eastAsia="zh-CN"/>
              </w:rPr>
              <w:t>3</w:t>
            </w:r>
            <w:r>
              <w:rPr>
                <w:rFonts w:hint="eastAsia" w:ascii="Times New Roman" w:hAnsi="Times New Roman" w:eastAsia="宋体" w:cs="Times New Roman"/>
                <w:sz w:val="24"/>
                <w:szCs w:val="24"/>
                <w:lang w:val="en-US" w:eastAsia="zh-CN"/>
              </w:rPr>
              <w:t>/h）；</w:t>
            </w:r>
          </w:p>
          <w:p w14:paraId="6E038EDF">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X</w:t>
            </w:r>
            <w:r>
              <w:rPr>
                <w:rFonts w:hint="eastAsia" w:cs="Times New Roman"/>
                <w:sz w:val="24"/>
                <w:szCs w:val="24"/>
                <w:lang w:val="en-US" w:eastAsia="zh-CN"/>
              </w:rPr>
              <w:t>—</w:t>
            </w:r>
            <w:r>
              <w:rPr>
                <w:rFonts w:hint="eastAsia" w:ascii="Times New Roman" w:hAnsi="Times New Roman" w:eastAsia="宋体" w:cs="Times New Roman"/>
                <w:sz w:val="24"/>
                <w:szCs w:val="24"/>
                <w:lang w:val="en-US" w:eastAsia="zh-CN"/>
              </w:rPr>
              <w:t>与工位的距离（m）；</w:t>
            </w:r>
          </w:p>
          <w:p w14:paraId="12CDD6DD">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F</w:t>
            </w:r>
            <w:r>
              <w:rPr>
                <w:rFonts w:hint="eastAsia" w:cs="Times New Roman"/>
                <w:sz w:val="24"/>
                <w:szCs w:val="24"/>
                <w:lang w:val="en-US" w:eastAsia="zh-CN"/>
              </w:rPr>
              <w:t>—</w:t>
            </w:r>
            <w:r>
              <w:rPr>
                <w:rFonts w:hint="eastAsia" w:ascii="Times New Roman" w:hAnsi="Times New Roman" w:eastAsia="宋体" w:cs="Times New Roman"/>
                <w:sz w:val="24"/>
                <w:szCs w:val="24"/>
                <w:lang w:val="en-US" w:eastAsia="zh-CN"/>
              </w:rPr>
              <w:t>伞罩型集气罩的面积（m</w:t>
            </w:r>
            <w:r>
              <w:rPr>
                <w:rFonts w:hint="eastAsia" w:ascii="Times New Roman" w:hAnsi="Times New Roman" w:eastAsia="宋体" w:cs="Times New Roman"/>
                <w:sz w:val="24"/>
                <w:szCs w:val="24"/>
                <w:vertAlign w:val="superscript"/>
                <w:lang w:val="en-US" w:eastAsia="zh-CN"/>
              </w:rPr>
              <w:t>2</w:t>
            </w:r>
            <w:r>
              <w:rPr>
                <w:rFonts w:hint="eastAsia" w:ascii="Times New Roman" w:hAnsi="Times New Roman" w:eastAsia="宋体" w:cs="Times New Roman"/>
                <w:sz w:val="24"/>
                <w:szCs w:val="24"/>
                <w:lang w:val="en-US" w:eastAsia="zh-CN"/>
              </w:rPr>
              <w:t>）；</w:t>
            </w:r>
          </w:p>
          <w:p w14:paraId="50D1F35B">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Vx—伞罩型集气罩所需的风速（m/s）</w:t>
            </w:r>
            <w:r>
              <w:rPr>
                <w:rFonts w:hint="eastAsia" w:cs="Times New Roman"/>
                <w:sz w:val="24"/>
                <w:szCs w:val="24"/>
                <w:lang w:val="en-US" w:eastAsia="zh-CN"/>
              </w:rPr>
              <w:t>。</w:t>
            </w:r>
          </w:p>
          <w:p w14:paraId="772F3FE7">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本项目排风量计算过程见下表。</w:t>
            </w:r>
          </w:p>
          <w:p w14:paraId="350784ED">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eastAsia" w:ascii="Times New Roman" w:hAnsi="Times New Roman" w:eastAsia="宋体" w:cs="Times New Roman"/>
                <w:b/>
                <w:bCs/>
                <w:sz w:val="21"/>
                <w:szCs w:val="21"/>
                <w:vertAlign w:val="baseline"/>
                <w:lang w:val="en-US" w:eastAsia="zh-CN"/>
              </w:rPr>
            </w:pPr>
            <w:r>
              <w:rPr>
                <w:rFonts w:hint="eastAsia" w:ascii="Times New Roman" w:hAnsi="Times New Roman" w:eastAsia="宋体" w:cs="Times New Roman"/>
                <w:b/>
                <w:bCs/>
                <w:sz w:val="21"/>
                <w:szCs w:val="21"/>
                <w:lang w:val="en-US" w:eastAsia="zh-CN"/>
              </w:rPr>
              <w:t>表</w:t>
            </w:r>
            <w:r>
              <w:rPr>
                <w:rFonts w:hint="eastAsia" w:cs="Times New Roman"/>
                <w:b/>
                <w:bCs/>
                <w:sz w:val="21"/>
                <w:szCs w:val="21"/>
                <w:lang w:val="en-US" w:eastAsia="zh-CN"/>
              </w:rPr>
              <w:t xml:space="preserve">4-9 </w:t>
            </w:r>
            <w:r>
              <w:rPr>
                <w:rFonts w:hint="eastAsia" w:ascii="Times New Roman" w:hAnsi="Times New Roman" w:eastAsia="宋体" w:cs="Times New Roman"/>
                <w:b/>
                <w:bCs/>
                <w:sz w:val="21"/>
                <w:szCs w:val="21"/>
                <w:lang w:val="en-US" w:eastAsia="zh-CN"/>
              </w:rPr>
              <w:t>排风量计算</w:t>
            </w:r>
          </w:p>
          <w:tbl>
            <w:tblPr>
              <w:tblStyle w:val="28"/>
              <w:tblW w:w="832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934"/>
              <w:gridCol w:w="3194"/>
              <w:gridCol w:w="3195"/>
            </w:tblGrid>
            <w:tr w14:paraId="54B8E7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34" w:type="dxa"/>
                </w:tcPr>
                <w:p w14:paraId="6F2F3B70">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bCs/>
                      <w:sz w:val="21"/>
                      <w:szCs w:val="21"/>
                      <w:vertAlign w:val="baseline"/>
                      <w:lang w:val="en-US" w:eastAsia="zh-CN"/>
                    </w:rPr>
                  </w:pPr>
                  <w:r>
                    <w:rPr>
                      <w:rFonts w:hint="eastAsia" w:ascii="Times New Roman" w:hAnsi="Times New Roman" w:eastAsia="宋体" w:cs="Times New Roman"/>
                      <w:b/>
                      <w:bCs/>
                      <w:sz w:val="21"/>
                      <w:szCs w:val="21"/>
                      <w:vertAlign w:val="baseline"/>
                      <w:lang w:val="en-US" w:eastAsia="zh-CN"/>
                    </w:rPr>
                    <w:t>集气罩位置</w:t>
                  </w:r>
                </w:p>
              </w:tc>
              <w:tc>
                <w:tcPr>
                  <w:tcW w:w="3194" w:type="dxa"/>
                </w:tcPr>
                <w:p w14:paraId="243891EF">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bCs/>
                      <w:sz w:val="21"/>
                      <w:szCs w:val="21"/>
                      <w:vertAlign w:val="baseline"/>
                      <w:lang w:val="en-US" w:eastAsia="zh-CN"/>
                    </w:rPr>
                  </w:pPr>
                  <w:r>
                    <w:rPr>
                      <w:rFonts w:hint="eastAsia" w:ascii="Times New Roman" w:hAnsi="Times New Roman" w:eastAsia="宋体" w:cs="Times New Roman"/>
                      <w:b/>
                      <w:bCs/>
                      <w:sz w:val="21"/>
                      <w:szCs w:val="21"/>
                      <w:vertAlign w:val="baseline"/>
                      <w:lang w:val="en-US" w:eastAsia="zh-CN"/>
                    </w:rPr>
                    <w:t>储油罐（灌顶呼吸口）</w:t>
                  </w:r>
                </w:p>
              </w:tc>
              <w:tc>
                <w:tcPr>
                  <w:tcW w:w="3195" w:type="dxa"/>
                </w:tcPr>
                <w:p w14:paraId="7E6B3DFA">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bCs/>
                      <w:sz w:val="21"/>
                      <w:szCs w:val="21"/>
                      <w:vertAlign w:val="baseline"/>
                      <w:lang w:val="en-US" w:eastAsia="zh-CN"/>
                    </w:rPr>
                  </w:pPr>
                  <w:r>
                    <w:rPr>
                      <w:rFonts w:hint="eastAsia" w:ascii="Times New Roman" w:hAnsi="Times New Roman" w:eastAsia="宋体" w:cs="Times New Roman"/>
                      <w:b/>
                      <w:bCs/>
                      <w:sz w:val="21"/>
                      <w:szCs w:val="21"/>
                      <w:vertAlign w:val="baseline"/>
                      <w:lang w:val="en-US" w:eastAsia="zh-CN"/>
                    </w:rPr>
                    <w:t>检验室</w:t>
                  </w:r>
                </w:p>
              </w:tc>
            </w:tr>
            <w:tr w14:paraId="6F45AC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34" w:type="dxa"/>
                </w:tcPr>
                <w:p w14:paraId="52E166E2">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sz w:val="21"/>
                      <w:szCs w:val="21"/>
                      <w:vertAlign w:val="baseline"/>
                      <w:lang w:val="en-US" w:eastAsia="zh-CN"/>
                    </w:rPr>
                  </w:pPr>
                  <w:r>
                    <w:rPr>
                      <w:rFonts w:hint="eastAsia" w:ascii="Times New Roman" w:hAnsi="Times New Roman" w:eastAsia="宋体" w:cs="Times New Roman"/>
                      <w:sz w:val="21"/>
                      <w:szCs w:val="21"/>
                      <w:vertAlign w:val="baseline"/>
                      <w:lang w:val="en-US" w:eastAsia="zh-CN"/>
                    </w:rPr>
                    <w:t>集气罩类型</w:t>
                  </w:r>
                </w:p>
              </w:tc>
              <w:tc>
                <w:tcPr>
                  <w:tcW w:w="3194" w:type="dxa"/>
                </w:tcPr>
                <w:p w14:paraId="7FA44BB4">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sz w:val="21"/>
                      <w:szCs w:val="21"/>
                      <w:vertAlign w:val="baseline"/>
                      <w:lang w:val="en-US" w:eastAsia="zh-CN"/>
                    </w:rPr>
                  </w:pPr>
                  <w:r>
                    <w:rPr>
                      <w:rFonts w:hint="eastAsia" w:ascii="Times New Roman" w:hAnsi="Times New Roman" w:eastAsia="宋体" w:cs="Times New Roman"/>
                      <w:sz w:val="21"/>
                      <w:szCs w:val="21"/>
                      <w:vertAlign w:val="baseline"/>
                      <w:lang w:val="en-US" w:eastAsia="zh-CN"/>
                    </w:rPr>
                    <w:t>伞罩型集气罩</w:t>
                  </w:r>
                </w:p>
              </w:tc>
              <w:tc>
                <w:tcPr>
                  <w:tcW w:w="3195" w:type="dxa"/>
                </w:tcPr>
                <w:p w14:paraId="094ADF63">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sz w:val="21"/>
                      <w:szCs w:val="21"/>
                      <w:vertAlign w:val="baseline"/>
                      <w:lang w:val="en-US" w:eastAsia="zh-CN"/>
                    </w:rPr>
                  </w:pPr>
                  <w:r>
                    <w:rPr>
                      <w:rFonts w:hint="eastAsia" w:ascii="Times New Roman" w:hAnsi="Times New Roman" w:eastAsia="宋体" w:cs="Times New Roman"/>
                      <w:sz w:val="21"/>
                      <w:szCs w:val="21"/>
                      <w:vertAlign w:val="baseline"/>
                      <w:lang w:val="en-US" w:eastAsia="zh-CN"/>
                    </w:rPr>
                    <w:t>万向集气罩</w:t>
                  </w:r>
                </w:p>
              </w:tc>
            </w:tr>
            <w:tr w14:paraId="14D16E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34" w:type="dxa"/>
                </w:tcPr>
                <w:p w14:paraId="35EFC400">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sz w:val="21"/>
                      <w:szCs w:val="21"/>
                      <w:vertAlign w:val="baseline"/>
                      <w:lang w:val="en-US" w:eastAsia="zh-CN"/>
                    </w:rPr>
                  </w:pPr>
                  <w:r>
                    <w:rPr>
                      <w:rFonts w:hint="eastAsia" w:ascii="Times New Roman" w:hAnsi="Times New Roman" w:eastAsia="宋体" w:cs="Times New Roman"/>
                      <w:sz w:val="21"/>
                      <w:szCs w:val="21"/>
                      <w:vertAlign w:val="baseline"/>
                      <w:lang w:val="en-US" w:eastAsia="zh-CN"/>
                    </w:rPr>
                    <w:t>集气罩个数</w:t>
                  </w:r>
                </w:p>
              </w:tc>
              <w:tc>
                <w:tcPr>
                  <w:tcW w:w="3194" w:type="dxa"/>
                </w:tcPr>
                <w:p w14:paraId="58E6D941">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sz w:val="21"/>
                      <w:szCs w:val="21"/>
                      <w:vertAlign w:val="baseline"/>
                      <w:lang w:val="en-US" w:eastAsia="zh-CN"/>
                    </w:rPr>
                  </w:pPr>
                  <w:r>
                    <w:rPr>
                      <w:rFonts w:hint="eastAsia" w:cs="Times New Roman"/>
                      <w:sz w:val="21"/>
                      <w:szCs w:val="21"/>
                      <w:vertAlign w:val="baseline"/>
                      <w:lang w:val="en-US" w:eastAsia="zh-CN"/>
                    </w:rPr>
                    <w:t>2</w:t>
                  </w:r>
                </w:p>
              </w:tc>
              <w:tc>
                <w:tcPr>
                  <w:tcW w:w="3195" w:type="dxa"/>
                </w:tcPr>
                <w:p w14:paraId="762134D5">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sz w:val="21"/>
                      <w:szCs w:val="21"/>
                      <w:vertAlign w:val="baseline"/>
                      <w:lang w:val="en-US" w:eastAsia="zh-CN"/>
                    </w:rPr>
                  </w:pPr>
                  <w:r>
                    <w:rPr>
                      <w:rFonts w:hint="eastAsia" w:cs="Times New Roman"/>
                      <w:sz w:val="21"/>
                      <w:szCs w:val="21"/>
                      <w:vertAlign w:val="baseline"/>
                      <w:lang w:val="en-US" w:eastAsia="zh-CN"/>
                    </w:rPr>
                    <w:t>1</w:t>
                  </w:r>
                </w:p>
              </w:tc>
            </w:tr>
            <w:tr w14:paraId="40F5DA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34" w:type="dxa"/>
                </w:tcPr>
                <w:p w14:paraId="2D5F6912">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sz w:val="21"/>
                      <w:szCs w:val="21"/>
                      <w:vertAlign w:val="baseline"/>
                      <w:lang w:val="en-US" w:eastAsia="zh-CN"/>
                    </w:rPr>
                  </w:pPr>
                  <w:r>
                    <w:rPr>
                      <w:rFonts w:hint="eastAsia" w:ascii="Times New Roman" w:hAnsi="Times New Roman" w:eastAsia="宋体" w:cs="Times New Roman"/>
                      <w:sz w:val="21"/>
                      <w:szCs w:val="21"/>
                      <w:vertAlign w:val="baseline"/>
                      <w:lang w:val="en-US" w:eastAsia="zh-CN"/>
                    </w:rPr>
                    <w:t>罩口尺寸</w:t>
                  </w:r>
                </w:p>
              </w:tc>
              <w:tc>
                <w:tcPr>
                  <w:tcW w:w="3194" w:type="dxa"/>
                </w:tcPr>
                <w:p w14:paraId="067F1C0C">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sz w:val="21"/>
                      <w:szCs w:val="21"/>
                      <w:vertAlign w:val="baseline"/>
                      <w:lang w:val="en-US" w:eastAsia="zh-CN"/>
                    </w:rPr>
                  </w:pPr>
                  <w:r>
                    <w:rPr>
                      <w:rFonts w:hint="eastAsia" w:ascii="Times New Roman" w:hAnsi="Times New Roman" w:eastAsia="宋体" w:cs="Times New Roman"/>
                      <w:sz w:val="21"/>
                      <w:szCs w:val="21"/>
                      <w:vertAlign w:val="baseline"/>
                      <w:lang w:val="en-US" w:eastAsia="zh-CN"/>
                    </w:rPr>
                    <w:t>0.15m×0.15m</w:t>
                  </w:r>
                </w:p>
              </w:tc>
              <w:tc>
                <w:tcPr>
                  <w:tcW w:w="3195" w:type="dxa"/>
                </w:tcPr>
                <w:p w14:paraId="47CD9A13">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sz w:val="21"/>
                      <w:szCs w:val="21"/>
                      <w:vertAlign w:val="baseline"/>
                      <w:lang w:val="en-US" w:eastAsia="zh-CN"/>
                    </w:rPr>
                  </w:pPr>
                  <w:r>
                    <w:rPr>
                      <w:rFonts w:hint="eastAsia" w:ascii="Times New Roman" w:hAnsi="Times New Roman" w:eastAsia="宋体" w:cs="Times New Roman"/>
                      <w:sz w:val="21"/>
                      <w:szCs w:val="21"/>
                      <w:vertAlign w:val="baseline"/>
                      <w:lang w:val="en-US" w:eastAsia="zh-CN"/>
                    </w:rPr>
                    <w:t>0.2m×0.2m</w:t>
                  </w:r>
                </w:p>
              </w:tc>
            </w:tr>
            <w:tr w14:paraId="3CE278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34" w:type="dxa"/>
                </w:tcPr>
                <w:p w14:paraId="42C05A87">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sz w:val="21"/>
                      <w:szCs w:val="21"/>
                      <w:vertAlign w:val="baseline"/>
                      <w:lang w:val="en-US" w:eastAsia="zh-CN"/>
                    </w:rPr>
                  </w:pPr>
                  <w:r>
                    <w:rPr>
                      <w:rFonts w:hint="eastAsia" w:ascii="Times New Roman" w:hAnsi="Times New Roman" w:eastAsia="宋体" w:cs="Times New Roman"/>
                      <w:sz w:val="21"/>
                      <w:szCs w:val="21"/>
                      <w:vertAlign w:val="baseline"/>
                      <w:lang w:val="en-US" w:eastAsia="zh-CN"/>
                    </w:rPr>
                    <w:t>单个罩口面积</w:t>
                  </w:r>
                </w:p>
              </w:tc>
              <w:tc>
                <w:tcPr>
                  <w:tcW w:w="3194" w:type="dxa"/>
                </w:tcPr>
                <w:p w14:paraId="3789C116">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sz w:val="21"/>
                      <w:szCs w:val="21"/>
                      <w:vertAlign w:val="baseline"/>
                      <w:lang w:val="en-US" w:eastAsia="zh-CN"/>
                    </w:rPr>
                  </w:pPr>
                  <w:r>
                    <w:rPr>
                      <w:rFonts w:hint="eastAsia" w:ascii="Times New Roman" w:hAnsi="Times New Roman" w:eastAsia="宋体" w:cs="Times New Roman"/>
                      <w:sz w:val="21"/>
                      <w:szCs w:val="21"/>
                      <w:vertAlign w:val="baseline"/>
                      <w:lang w:val="en-US" w:eastAsia="zh-CN"/>
                    </w:rPr>
                    <w:t>0.0225m</w:t>
                  </w:r>
                  <w:r>
                    <w:rPr>
                      <w:rFonts w:hint="eastAsia" w:ascii="Times New Roman" w:hAnsi="Times New Roman" w:eastAsia="宋体" w:cs="Times New Roman"/>
                      <w:sz w:val="21"/>
                      <w:szCs w:val="21"/>
                      <w:vertAlign w:val="superscript"/>
                      <w:lang w:val="en-US" w:eastAsia="zh-CN"/>
                    </w:rPr>
                    <w:t>2</w:t>
                  </w:r>
                </w:p>
              </w:tc>
              <w:tc>
                <w:tcPr>
                  <w:tcW w:w="3195" w:type="dxa"/>
                </w:tcPr>
                <w:p w14:paraId="41C23149">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sz w:val="21"/>
                      <w:szCs w:val="21"/>
                      <w:vertAlign w:val="baseline"/>
                      <w:lang w:val="en-US" w:eastAsia="zh-CN"/>
                    </w:rPr>
                  </w:pPr>
                  <w:r>
                    <w:rPr>
                      <w:rFonts w:hint="eastAsia" w:ascii="Times New Roman" w:hAnsi="Times New Roman" w:eastAsia="宋体" w:cs="Times New Roman"/>
                      <w:sz w:val="21"/>
                      <w:szCs w:val="21"/>
                      <w:vertAlign w:val="baseline"/>
                      <w:lang w:val="en-US" w:eastAsia="zh-CN"/>
                    </w:rPr>
                    <w:t>0.04m</w:t>
                  </w:r>
                  <w:r>
                    <w:rPr>
                      <w:rFonts w:hint="eastAsia" w:ascii="Times New Roman" w:hAnsi="Times New Roman" w:eastAsia="宋体" w:cs="Times New Roman"/>
                      <w:sz w:val="21"/>
                      <w:szCs w:val="21"/>
                      <w:vertAlign w:val="superscript"/>
                      <w:lang w:val="en-US" w:eastAsia="zh-CN"/>
                    </w:rPr>
                    <w:t>2</w:t>
                  </w:r>
                </w:p>
              </w:tc>
            </w:tr>
            <w:tr w14:paraId="2661DA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34" w:type="dxa"/>
                </w:tcPr>
                <w:p w14:paraId="6C978952">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sz w:val="21"/>
                      <w:szCs w:val="21"/>
                      <w:vertAlign w:val="baseline"/>
                      <w:lang w:val="en-US" w:eastAsia="zh-CN"/>
                    </w:rPr>
                  </w:pPr>
                  <w:r>
                    <w:rPr>
                      <w:rFonts w:hint="eastAsia" w:ascii="Times New Roman" w:hAnsi="Times New Roman" w:eastAsia="宋体" w:cs="Times New Roman"/>
                      <w:sz w:val="21"/>
                      <w:szCs w:val="21"/>
                      <w:vertAlign w:val="baseline"/>
                      <w:lang w:val="en-US" w:eastAsia="zh-CN"/>
                    </w:rPr>
                    <w:t>控制风速</w:t>
                  </w:r>
                </w:p>
              </w:tc>
              <w:tc>
                <w:tcPr>
                  <w:tcW w:w="3194" w:type="dxa"/>
                </w:tcPr>
                <w:p w14:paraId="4D2A4029">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sz w:val="21"/>
                      <w:szCs w:val="21"/>
                      <w:vertAlign w:val="baseline"/>
                      <w:lang w:val="en-US" w:eastAsia="zh-CN"/>
                    </w:rPr>
                  </w:pPr>
                  <w:r>
                    <w:rPr>
                      <w:rFonts w:hint="eastAsia" w:ascii="Times New Roman" w:hAnsi="Times New Roman" w:eastAsia="宋体" w:cs="Times New Roman"/>
                      <w:sz w:val="21"/>
                      <w:szCs w:val="21"/>
                      <w:vertAlign w:val="baseline"/>
                      <w:lang w:val="en-US" w:eastAsia="zh-CN"/>
                    </w:rPr>
                    <w:t>0.5m/s</w:t>
                  </w:r>
                </w:p>
              </w:tc>
              <w:tc>
                <w:tcPr>
                  <w:tcW w:w="3195" w:type="dxa"/>
                </w:tcPr>
                <w:p w14:paraId="78601681">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sz w:val="21"/>
                      <w:szCs w:val="21"/>
                      <w:vertAlign w:val="baseline"/>
                      <w:lang w:val="en-US" w:eastAsia="zh-CN"/>
                    </w:rPr>
                  </w:pPr>
                  <w:r>
                    <w:rPr>
                      <w:rFonts w:hint="eastAsia" w:ascii="Times New Roman" w:hAnsi="Times New Roman" w:eastAsia="宋体" w:cs="Times New Roman"/>
                      <w:sz w:val="21"/>
                      <w:szCs w:val="21"/>
                      <w:vertAlign w:val="baseline"/>
                      <w:lang w:val="en-US" w:eastAsia="zh-CN"/>
                    </w:rPr>
                    <w:t>0.3m/s</w:t>
                  </w:r>
                </w:p>
              </w:tc>
            </w:tr>
            <w:tr w14:paraId="772FB7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34" w:type="dxa"/>
                </w:tcPr>
                <w:p w14:paraId="5DA5CCFE">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sz w:val="21"/>
                      <w:szCs w:val="21"/>
                      <w:vertAlign w:val="baseline"/>
                      <w:lang w:val="en-US" w:eastAsia="zh-CN"/>
                    </w:rPr>
                  </w:pPr>
                  <w:r>
                    <w:rPr>
                      <w:rFonts w:hint="eastAsia" w:ascii="Times New Roman" w:hAnsi="Times New Roman" w:eastAsia="宋体" w:cs="Times New Roman"/>
                      <w:sz w:val="21"/>
                      <w:szCs w:val="21"/>
                      <w:vertAlign w:val="baseline"/>
                      <w:lang w:val="en-US" w:eastAsia="zh-CN"/>
                    </w:rPr>
                    <w:t>总排风量</w:t>
                  </w:r>
                </w:p>
              </w:tc>
              <w:tc>
                <w:tcPr>
                  <w:tcW w:w="3194" w:type="dxa"/>
                </w:tcPr>
                <w:p w14:paraId="43EC3E68">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sz w:val="21"/>
                      <w:szCs w:val="21"/>
                      <w:vertAlign w:val="baseline"/>
                      <w:lang w:val="en-US" w:eastAsia="zh-CN"/>
                    </w:rPr>
                  </w:pPr>
                  <w:r>
                    <w:rPr>
                      <w:rFonts w:hint="eastAsia" w:cs="Times New Roman"/>
                      <w:sz w:val="21"/>
                      <w:szCs w:val="21"/>
                      <w:vertAlign w:val="baseline"/>
                      <w:lang w:val="en-US" w:eastAsia="zh-CN"/>
                    </w:rPr>
                    <w:t>1140.67</w:t>
                  </w:r>
                  <w:r>
                    <w:rPr>
                      <w:rFonts w:hint="eastAsia" w:ascii="Times New Roman" w:hAnsi="Times New Roman" w:eastAsia="宋体" w:cs="Times New Roman"/>
                      <w:sz w:val="21"/>
                      <w:szCs w:val="21"/>
                      <w:vertAlign w:val="baseline"/>
                      <w:lang w:val="en-US" w:eastAsia="zh-CN"/>
                    </w:rPr>
                    <w:t>m</w:t>
                  </w:r>
                  <w:r>
                    <w:rPr>
                      <w:rFonts w:hint="eastAsia" w:ascii="Times New Roman" w:hAnsi="Times New Roman" w:eastAsia="宋体" w:cs="Times New Roman"/>
                      <w:sz w:val="21"/>
                      <w:szCs w:val="21"/>
                      <w:vertAlign w:val="superscript"/>
                      <w:lang w:val="en-US" w:eastAsia="zh-CN"/>
                    </w:rPr>
                    <w:t>3</w:t>
                  </w:r>
                  <w:r>
                    <w:rPr>
                      <w:rFonts w:hint="eastAsia" w:ascii="Times New Roman" w:hAnsi="Times New Roman" w:eastAsia="宋体" w:cs="Times New Roman"/>
                      <w:sz w:val="21"/>
                      <w:szCs w:val="21"/>
                      <w:vertAlign w:val="baseline"/>
                      <w:lang w:val="en-US" w:eastAsia="zh-CN"/>
                    </w:rPr>
                    <w:t>/h</w:t>
                  </w:r>
                </w:p>
              </w:tc>
              <w:tc>
                <w:tcPr>
                  <w:tcW w:w="3195" w:type="dxa"/>
                </w:tcPr>
                <w:p w14:paraId="6D197D8F">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sz w:val="21"/>
                      <w:szCs w:val="21"/>
                      <w:vertAlign w:val="baseline"/>
                      <w:lang w:val="en-US" w:eastAsia="zh-CN"/>
                    </w:rPr>
                  </w:pPr>
                  <w:r>
                    <w:rPr>
                      <w:rFonts w:hint="eastAsia" w:ascii="Times New Roman" w:hAnsi="Times New Roman" w:eastAsia="宋体" w:cs="Times New Roman"/>
                      <w:sz w:val="21"/>
                      <w:szCs w:val="21"/>
                      <w:vertAlign w:val="baseline"/>
                      <w:lang w:val="en-US" w:eastAsia="zh-CN"/>
                    </w:rPr>
                    <w:t>587.25m</w:t>
                  </w:r>
                  <w:r>
                    <w:rPr>
                      <w:rFonts w:hint="eastAsia" w:ascii="Times New Roman" w:hAnsi="Times New Roman" w:eastAsia="宋体" w:cs="Times New Roman"/>
                      <w:sz w:val="21"/>
                      <w:szCs w:val="21"/>
                      <w:vertAlign w:val="superscript"/>
                      <w:lang w:val="en-US" w:eastAsia="zh-CN"/>
                    </w:rPr>
                    <w:t>3</w:t>
                  </w:r>
                  <w:r>
                    <w:rPr>
                      <w:rFonts w:hint="eastAsia" w:ascii="Times New Roman" w:hAnsi="Times New Roman" w:eastAsia="宋体" w:cs="Times New Roman"/>
                      <w:sz w:val="21"/>
                      <w:szCs w:val="21"/>
                      <w:vertAlign w:val="baseline"/>
                      <w:lang w:val="en-US" w:eastAsia="zh-CN"/>
                    </w:rPr>
                    <w:t>/h</w:t>
                  </w:r>
                </w:p>
              </w:tc>
            </w:tr>
            <w:tr w14:paraId="52D7FB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34" w:type="dxa"/>
                </w:tcPr>
                <w:p w14:paraId="475F659D">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sz w:val="21"/>
                      <w:szCs w:val="21"/>
                      <w:vertAlign w:val="baseline"/>
                      <w:lang w:val="en-US" w:eastAsia="zh-CN"/>
                    </w:rPr>
                  </w:pPr>
                  <w:r>
                    <w:rPr>
                      <w:rFonts w:hint="eastAsia" w:ascii="Times New Roman" w:hAnsi="Times New Roman" w:eastAsia="宋体" w:cs="Times New Roman"/>
                      <w:sz w:val="21"/>
                      <w:szCs w:val="21"/>
                      <w:vertAlign w:val="baseline"/>
                      <w:lang w:val="en-US" w:eastAsia="zh-CN"/>
                    </w:rPr>
                    <w:t>风机风量</w:t>
                  </w:r>
                </w:p>
              </w:tc>
              <w:tc>
                <w:tcPr>
                  <w:tcW w:w="6389" w:type="dxa"/>
                  <w:gridSpan w:val="2"/>
                </w:tcPr>
                <w:p w14:paraId="3AECB282">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sz w:val="21"/>
                      <w:szCs w:val="21"/>
                      <w:vertAlign w:val="baseline"/>
                      <w:lang w:val="en-US" w:eastAsia="zh-CN"/>
                    </w:rPr>
                  </w:pPr>
                  <w:r>
                    <w:rPr>
                      <w:rFonts w:hint="eastAsia" w:cs="Times New Roman"/>
                      <w:sz w:val="21"/>
                      <w:szCs w:val="21"/>
                      <w:vertAlign w:val="baseline"/>
                      <w:lang w:val="en-US" w:eastAsia="zh-CN"/>
                    </w:rPr>
                    <w:t>2000</w:t>
                  </w:r>
                  <w:r>
                    <w:rPr>
                      <w:rFonts w:hint="eastAsia" w:ascii="Times New Roman" w:hAnsi="Times New Roman" w:eastAsia="宋体" w:cs="Times New Roman"/>
                      <w:sz w:val="21"/>
                      <w:szCs w:val="21"/>
                      <w:vertAlign w:val="baseline"/>
                      <w:lang w:val="en-US" w:eastAsia="zh-CN"/>
                    </w:rPr>
                    <w:t>m</w:t>
                  </w:r>
                  <w:r>
                    <w:rPr>
                      <w:rFonts w:hint="eastAsia" w:ascii="Times New Roman" w:hAnsi="Times New Roman" w:eastAsia="宋体" w:cs="Times New Roman"/>
                      <w:sz w:val="21"/>
                      <w:szCs w:val="21"/>
                      <w:vertAlign w:val="superscript"/>
                      <w:lang w:val="en-US" w:eastAsia="zh-CN"/>
                    </w:rPr>
                    <w:t>3</w:t>
                  </w:r>
                  <w:r>
                    <w:rPr>
                      <w:rFonts w:hint="eastAsia" w:ascii="Times New Roman" w:hAnsi="Times New Roman" w:eastAsia="宋体" w:cs="Times New Roman"/>
                      <w:sz w:val="21"/>
                      <w:szCs w:val="21"/>
                      <w:vertAlign w:val="baseline"/>
                      <w:lang w:val="en-US" w:eastAsia="zh-CN"/>
                    </w:rPr>
                    <w:t>/h</w:t>
                  </w:r>
                </w:p>
              </w:tc>
            </w:tr>
          </w:tbl>
          <w:p w14:paraId="23404ED4">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ascii="Times New Roman" w:hAnsi="Times New Roman" w:eastAsia="宋体" w:cs="Times New Roman"/>
                <w:b w:val="0"/>
                <w:bCs w:val="0"/>
                <w:sz w:val="24"/>
                <w:szCs w:val="24"/>
                <w:lang w:val="en-US" w:eastAsia="zh-CN"/>
              </w:rPr>
            </w:pPr>
            <w:r>
              <w:rPr>
                <w:rFonts w:hint="eastAsia" w:ascii="Times New Roman" w:hAnsi="Times New Roman" w:eastAsia="宋体" w:cs="Times New Roman"/>
                <w:b w:val="0"/>
                <w:bCs w:val="0"/>
                <w:sz w:val="24"/>
                <w:szCs w:val="24"/>
                <w:lang w:val="en-US" w:eastAsia="zh-CN"/>
              </w:rPr>
              <w:t>由上表可知，若要满足控制风速不低于0.3米/秒的要求，本项目活性炭吸附装置总排风量不低于</w:t>
            </w:r>
            <w:r>
              <w:rPr>
                <w:rFonts w:hint="eastAsia" w:cs="Times New Roman"/>
                <w:b w:val="0"/>
                <w:bCs w:val="0"/>
                <w:sz w:val="24"/>
                <w:szCs w:val="24"/>
                <w:lang w:val="en-US" w:eastAsia="zh-CN"/>
              </w:rPr>
              <w:t>1727.92</w:t>
            </w:r>
            <w:r>
              <w:rPr>
                <w:rFonts w:hint="eastAsia" w:ascii="Times New Roman" w:hAnsi="Times New Roman" w:eastAsia="宋体" w:cs="Times New Roman"/>
                <w:b w:val="0"/>
                <w:bCs w:val="0"/>
                <w:sz w:val="24"/>
                <w:szCs w:val="24"/>
                <w:lang w:val="en-US" w:eastAsia="zh-CN"/>
              </w:rPr>
              <w:t>m</w:t>
            </w:r>
            <w:r>
              <w:rPr>
                <w:rFonts w:hint="eastAsia" w:ascii="Times New Roman" w:hAnsi="Times New Roman" w:eastAsia="宋体" w:cs="Times New Roman"/>
                <w:b w:val="0"/>
                <w:bCs w:val="0"/>
                <w:sz w:val="24"/>
                <w:szCs w:val="24"/>
                <w:vertAlign w:val="superscript"/>
                <w:lang w:val="en-US" w:eastAsia="zh-CN"/>
              </w:rPr>
              <w:t>3</w:t>
            </w:r>
            <w:r>
              <w:rPr>
                <w:rFonts w:hint="eastAsia" w:ascii="Times New Roman" w:hAnsi="Times New Roman" w:eastAsia="宋体" w:cs="Times New Roman"/>
                <w:b w:val="0"/>
                <w:bCs w:val="0"/>
                <w:sz w:val="24"/>
                <w:szCs w:val="24"/>
                <w:lang w:val="en-US" w:eastAsia="zh-CN"/>
              </w:rPr>
              <w:t>/h，本项目配套风机风量为</w:t>
            </w:r>
            <w:r>
              <w:rPr>
                <w:rFonts w:hint="eastAsia" w:cs="Times New Roman"/>
                <w:b w:val="0"/>
                <w:bCs w:val="0"/>
                <w:sz w:val="24"/>
                <w:szCs w:val="24"/>
                <w:lang w:val="en-US" w:eastAsia="zh-CN"/>
              </w:rPr>
              <w:t>2</w:t>
            </w:r>
            <w:r>
              <w:rPr>
                <w:rFonts w:hint="eastAsia" w:ascii="Times New Roman" w:hAnsi="Times New Roman" w:eastAsia="宋体" w:cs="Times New Roman"/>
                <w:b w:val="0"/>
                <w:bCs w:val="0"/>
                <w:sz w:val="24"/>
                <w:szCs w:val="24"/>
                <w:lang w:val="en-US" w:eastAsia="zh-CN"/>
              </w:rPr>
              <w:t>000m</w:t>
            </w:r>
            <w:r>
              <w:rPr>
                <w:rFonts w:hint="eastAsia" w:ascii="Times New Roman" w:hAnsi="Times New Roman" w:eastAsia="宋体" w:cs="Times New Roman"/>
                <w:b w:val="0"/>
                <w:bCs w:val="0"/>
                <w:sz w:val="24"/>
                <w:szCs w:val="24"/>
                <w:vertAlign w:val="superscript"/>
                <w:lang w:val="en-US" w:eastAsia="zh-CN"/>
              </w:rPr>
              <w:t>3</w:t>
            </w:r>
            <w:r>
              <w:rPr>
                <w:rFonts w:hint="eastAsia" w:ascii="Times New Roman" w:hAnsi="Times New Roman" w:eastAsia="宋体" w:cs="Times New Roman"/>
                <w:b w:val="0"/>
                <w:bCs w:val="0"/>
                <w:sz w:val="24"/>
                <w:szCs w:val="24"/>
                <w:lang w:val="en-US" w:eastAsia="zh-CN"/>
              </w:rPr>
              <w:t>/h，高于风量要求，故本项目收集措施可行</w:t>
            </w:r>
            <w:r>
              <w:rPr>
                <w:rFonts w:hint="eastAsia" w:cs="Times New Roman"/>
                <w:b w:val="0"/>
                <w:bCs w:val="0"/>
                <w:sz w:val="24"/>
                <w:szCs w:val="24"/>
                <w:lang w:val="en-US" w:eastAsia="zh-CN"/>
              </w:rPr>
              <w:t>。</w:t>
            </w:r>
          </w:p>
          <w:p w14:paraId="5C28B750">
            <w:pPr>
              <w:keepNext w:val="0"/>
              <w:keepLines w:val="0"/>
              <w:pageBreakBefore w:val="0"/>
              <w:widowControl w:val="0"/>
              <w:numPr>
                <w:ilvl w:val="0"/>
                <w:numId w:val="59"/>
              </w:numPr>
              <w:kinsoku/>
              <w:wordWrap/>
              <w:overflowPunct/>
              <w:topLinePunct w:val="0"/>
              <w:autoSpaceDE/>
              <w:autoSpaceDN/>
              <w:bidi w:val="0"/>
              <w:adjustRightInd/>
              <w:snapToGrid/>
              <w:spacing w:line="360" w:lineRule="auto"/>
              <w:ind w:left="0" w:leftChars="0" w:firstLine="482" w:firstLineChars="200"/>
              <w:jc w:val="both"/>
              <w:textAlignment w:val="auto"/>
              <w:rPr>
                <w:rFonts w:hint="eastAsia" w:ascii="Times New Roman" w:hAnsi="Times New Roman" w:eastAsia="宋体" w:cs="Times New Roman"/>
                <w:b/>
                <w:bCs/>
                <w:sz w:val="24"/>
                <w:szCs w:val="24"/>
                <w:lang w:val="en-US" w:eastAsia="zh-CN"/>
              </w:rPr>
            </w:pPr>
            <w:r>
              <w:rPr>
                <w:rFonts w:hint="eastAsia" w:ascii="Times New Roman" w:hAnsi="Times New Roman" w:eastAsia="宋体" w:cs="Times New Roman"/>
                <w:b/>
                <w:bCs/>
                <w:sz w:val="24"/>
                <w:szCs w:val="24"/>
                <w:lang w:val="en-US" w:eastAsia="zh-CN"/>
              </w:rPr>
              <w:t>防治技术可行性分析</w:t>
            </w:r>
          </w:p>
          <w:p w14:paraId="0095EB9B">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本项目</w:t>
            </w:r>
            <w:r>
              <w:rPr>
                <w:rFonts w:hint="eastAsia" w:cs="Times New Roman"/>
                <w:sz w:val="24"/>
                <w:szCs w:val="24"/>
                <w:lang w:val="en-US" w:eastAsia="zh-CN"/>
              </w:rPr>
              <w:t>“两级</w:t>
            </w:r>
            <w:r>
              <w:rPr>
                <w:rFonts w:hint="eastAsia" w:ascii="Times New Roman" w:hAnsi="Times New Roman" w:eastAsia="宋体" w:cs="Times New Roman"/>
                <w:sz w:val="24"/>
                <w:szCs w:val="24"/>
                <w:lang w:val="en-US" w:eastAsia="zh-CN"/>
              </w:rPr>
              <w:t>活性炭吸附装置</w:t>
            </w:r>
            <w:r>
              <w:rPr>
                <w:rFonts w:hint="eastAsia" w:cs="Times New Roman"/>
                <w:sz w:val="24"/>
                <w:szCs w:val="24"/>
                <w:lang w:val="en-US" w:eastAsia="zh-CN"/>
              </w:rPr>
              <w:t>”</w:t>
            </w:r>
            <w:r>
              <w:rPr>
                <w:rFonts w:hint="eastAsia" w:ascii="Times New Roman" w:hAnsi="Times New Roman" w:eastAsia="宋体" w:cs="Times New Roman"/>
                <w:sz w:val="24"/>
                <w:szCs w:val="24"/>
                <w:lang w:val="en-US" w:eastAsia="zh-CN"/>
              </w:rPr>
              <w:t>拟采用蜂窝活性炭，根据设计单位提供的设计方案，活性炭的横向强度不低于0.3MPa，纵向强度不低于0.9MPa，BET比表面积不低于800m</w:t>
            </w:r>
            <w:r>
              <w:rPr>
                <w:rFonts w:hint="eastAsia" w:ascii="Times New Roman" w:hAnsi="Times New Roman" w:eastAsia="宋体" w:cs="Times New Roman"/>
                <w:sz w:val="24"/>
                <w:szCs w:val="24"/>
                <w:vertAlign w:val="superscript"/>
                <w:lang w:val="en-US" w:eastAsia="zh-CN"/>
              </w:rPr>
              <w:t>2</w:t>
            </w:r>
            <w:r>
              <w:rPr>
                <w:rFonts w:hint="eastAsia" w:ascii="Times New Roman" w:hAnsi="Times New Roman" w:eastAsia="宋体" w:cs="Times New Roman"/>
                <w:sz w:val="24"/>
                <w:szCs w:val="24"/>
                <w:lang w:val="en-US" w:eastAsia="zh-CN"/>
              </w:rPr>
              <w:t>/g</w:t>
            </w:r>
            <w:r>
              <w:rPr>
                <w:rFonts w:hint="eastAsia" w:cs="Times New Roman"/>
                <w:sz w:val="24"/>
                <w:szCs w:val="24"/>
                <w:lang w:val="en-US" w:eastAsia="zh-CN"/>
              </w:rPr>
              <w:t>，</w:t>
            </w:r>
            <w:r>
              <w:rPr>
                <w:rFonts w:hint="eastAsia" w:ascii="Times New Roman" w:hAnsi="Times New Roman" w:eastAsia="宋体" w:cs="Times New Roman"/>
                <w:sz w:val="24"/>
                <w:szCs w:val="24"/>
                <w:lang w:val="en-US" w:eastAsia="zh-CN"/>
              </w:rPr>
              <w:t>活性炭吸附床设计参数：吸附温度宜低于40℃，过滤风速为1.0m/s，停留时间为0.5s。其吸附原理如下：固体表面上存在着未平衡饱和的分子力或化学键力，因此当此固体表面与气体接触时，就能吸引气体分子，使其浓集并保持在固体表面，这种现象就是吸附现象。本工艺所采用的活性炭吸附法就是利用固体表面的这种性质，当废气与大表面积的多孔性活性炭相接触，废气中的污染物被吸附在活性炭固体表面，从而与气体混合物分离，达到净化废气的目的。活性炭微孔结构发达，具有很大的比表面积，由表面效应所产生的吸附作用是活性炭吸附最明显的特征之一。</w:t>
            </w:r>
          </w:p>
          <w:p w14:paraId="1160594D">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参考（HJ1033-2019）《排污许可证申请与核发技术规范—工业固体废物和危险废物治理》中相关废气防治可行技术参考表，挥发性有机物采用活性炭吸附为可行技术。</w:t>
            </w:r>
          </w:p>
          <w:p w14:paraId="36B2FE25">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综上，本项目采取的废气污染防治技术可行。</w:t>
            </w:r>
          </w:p>
          <w:p w14:paraId="30256983">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2" w:firstLineChars="200"/>
              <w:jc w:val="both"/>
              <w:textAlignment w:val="auto"/>
              <w:rPr>
                <w:rFonts w:hint="eastAsia" w:ascii="Times New Roman" w:hAnsi="Times New Roman" w:eastAsia="宋体" w:cs="Times New Roman"/>
                <w:sz w:val="24"/>
                <w:szCs w:val="24"/>
                <w:lang w:val="en-US" w:eastAsia="zh-CN"/>
              </w:rPr>
            </w:pPr>
            <w:r>
              <w:rPr>
                <w:rFonts w:hint="eastAsia" w:cs="Times New Roman"/>
                <w:b/>
                <w:bCs/>
                <w:sz w:val="24"/>
                <w:szCs w:val="24"/>
                <w:lang w:val="en-US" w:eastAsia="zh-CN"/>
              </w:rPr>
              <w:t>环评建议：</w:t>
            </w:r>
            <w:r>
              <w:rPr>
                <w:rFonts w:hint="eastAsia" w:ascii="Times New Roman" w:hAnsi="Times New Roman" w:eastAsia="宋体" w:cs="Times New Roman"/>
                <w:sz w:val="24"/>
                <w:szCs w:val="24"/>
                <w:lang w:val="en-US" w:eastAsia="zh-CN"/>
              </w:rPr>
              <w:t>选择与碘值800毫克/克颗粒状、柱状等活性炭吸附效率相当的蜂窝状活性炭，并按照设计要求足量添加及时更换。</w:t>
            </w:r>
          </w:p>
          <w:p w14:paraId="1A772C42">
            <w:pPr>
              <w:keepNext w:val="0"/>
              <w:keepLines w:val="0"/>
              <w:pageBreakBefore w:val="0"/>
              <w:widowControl w:val="0"/>
              <w:numPr>
                <w:ilvl w:val="0"/>
                <w:numId w:val="59"/>
              </w:numPr>
              <w:kinsoku/>
              <w:wordWrap/>
              <w:overflowPunct/>
              <w:topLinePunct w:val="0"/>
              <w:autoSpaceDE/>
              <w:autoSpaceDN/>
              <w:bidi w:val="0"/>
              <w:adjustRightInd/>
              <w:snapToGrid/>
              <w:spacing w:line="360" w:lineRule="auto"/>
              <w:ind w:left="0" w:leftChars="0" w:firstLine="482" w:firstLineChars="200"/>
              <w:jc w:val="both"/>
              <w:textAlignment w:val="auto"/>
              <w:rPr>
                <w:rFonts w:hint="eastAsia" w:ascii="Times New Roman" w:hAnsi="Times New Roman" w:eastAsia="宋体" w:cs="Times New Roman"/>
                <w:b/>
                <w:bCs/>
                <w:sz w:val="24"/>
                <w:szCs w:val="24"/>
                <w:lang w:val="en-US" w:eastAsia="zh-CN"/>
              </w:rPr>
            </w:pPr>
            <w:r>
              <w:rPr>
                <w:rFonts w:hint="eastAsia" w:ascii="Times New Roman" w:hAnsi="Times New Roman" w:eastAsia="宋体" w:cs="Times New Roman"/>
                <w:b/>
                <w:bCs/>
                <w:sz w:val="24"/>
                <w:szCs w:val="24"/>
                <w:lang w:val="en-US" w:eastAsia="zh-CN"/>
              </w:rPr>
              <w:t>排气筒高度符合性分析</w:t>
            </w:r>
          </w:p>
          <w:p w14:paraId="29EF4D80">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根据《四川省固定污染源大气挥发性有机物排放标准》</w:t>
            </w:r>
            <w:r>
              <w:rPr>
                <w:rFonts w:hint="eastAsia" w:cs="Times New Roman"/>
                <w:sz w:val="24"/>
                <w:szCs w:val="24"/>
                <w:lang w:val="en-US" w:eastAsia="zh-CN"/>
              </w:rPr>
              <w:t>中</w:t>
            </w:r>
            <w:r>
              <w:rPr>
                <w:rFonts w:hint="eastAsia" w:ascii="Times New Roman" w:hAnsi="Times New Roman" w:eastAsia="宋体" w:cs="Times New Roman"/>
                <w:sz w:val="24"/>
                <w:szCs w:val="24"/>
                <w:lang w:val="en-US" w:eastAsia="zh-CN"/>
              </w:rPr>
              <w:t>关于排气筒高度要求，</w:t>
            </w:r>
            <w:r>
              <w:rPr>
                <w:rFonts w:hint="eastAsia" w:cs="Times New Roman"/>
                <w:sz w:val="24"/>
                <w:szCs w:val="24"/>
                <w:lang w:val="en-US" w:eastAsia="zh-CN"/>
              </w:rPr>
              <w:t>有组织排放</w:t>
            </w:r>
            <w:r>
              <w:rPr>
                <w:rFonts w:hint="eastAsia" w:ascii="Times New Roman" w:hAnsi="Times New Roman" w:eastAsia="宋体" w:cs="Times New Roman"/>
                <w:sz w:val="24"/>
                <w:szCs w:val="24"/>
                <w:lang w:val="en-US" w:eastAsia="zh-CN"/>
              </w:rPr>
              <w:t>排气筒高度不应低于15m，相应排放高度和具体控制要求应根据环境影响评价文件确定</w:t>
            </w:r>
            <w:r>
              <w:rPr>
                <w:rFonts w:hint="eastAsia" w:cs="Times New Roman"/>
                <w:sz w:val="24"/>
                <w:szCs w:val="24"/>
                <w:lang w:val="en-US" w:eastAsia="zh-CN"/>
              </w:rPr>
              <w:t>；</w:t>
            </w:r>
            <w:r>
              <w:rPr>
                <w:rFonts w:hint="eastAsia" w:ascii="Times New Roman" w:hAnsi="Times New Roman" w:eastAsia="宋体" w:cs="Times New Roman"/>
                <w:sz w:val="24"/>
                <w:szCs w:val="24"/>
                <w:lang w:val="en-US" w:eastAsia="zh-CN"/>
              </w:rPr>
              <w:t>企业排气筒</w:t>
            </w:r>
            <w:r>
              <w:rPr>
                <w:rFonts w:hint="eastAsia" w:cs="Times New Roman"/>
                <w:sz w:val="24"/>
                <w:szCs w:val="24"/>
                <w:lang w:val="en-US" w:eastAsia="zh-CN"/>
              </w:rPr>
              <w:t>DA001</w:t>
            </w:r>
            <w:r>
              <w:rPr>
                <w:rFonts w:hint="eastAsia" w:ascii="Times New Roman" w:hAnsi="Times New Roman" w:eastAsia="宋体" w:cs="Times New Roman"/>
                <w:sz w:val="24"/>
                <w:szCs w:val="24"/>
                <w:lang w:val="en-US" w:eastAsia="zh-CN"/>
              </w:rPr>
              <w:t>为15m</w:t>
            </w:r>
            <w:r>
              <w:rPr>
                <w:rFonts w:hint="eastAsia" w:cs="Times New Roman"/>
                <w:sz w:val="24"/>
                <w:szCs w:val="24"/>
                <w:lang w:val="en-US" w:eastAsia="zh-CN"/>
              </w:rPr>
              <w:t>，</w:t>
            </w:r>
            <w:r>
              <w:rPr>
                <w:rFonts w:hint="eastAsia" w:ascii="Times New Roman" w:hAnsi="Times New Roman" w:eastAsia="宋体" w:cs="Times New Roman"/>
                <w:sz w:val="24"/>
                <w:szCs w:val="24"/>
                <w:lang w:val="en-US" w:eastAsia="zh-CN"/>
              </w:rPr>
              <w:t>满足要求。</w:t>
            </w:r>
          </w:p>
          <w:p w14:paraId="0F9EF160">
            <w:pPr>
              <w:keepNext w:val="0"/>
              <w:keepLines w:val="0"/>
              <w:pageBreakBefore w:val="0"/>
              <w:widowControl w:val="0"/>
              <w:numPr>
                <w:ilvl w:val="0"/>
                <w:numId w:val="55"/>
              </w:numPr>
              <w:kinsoku/>
              <w:wordWrap/>
              <w:overflowPunct/>
              <w:topLinePunct w:val="0"/>
              <w:autoSpaceDE/>
              <w:autoSpaceDN/>
              <w:bidi w:val="0"/>
              <w:adjustRightInd/>
              <w:snapToGrid/>
              <w:spacing w:line="360" w:lineRule="auto"/>
              <w:ind w:left="0" w:leftChars="0" w:firstLine="482" w:firstLineChars="200"/>
              <w:jc w:val="both"/>
              <w:textAlignment w:val="auto"/>
              <w:rPr>
                <w:rFonts w:hint="eastAsia" w:ascii="Times New Roman" w:hAnsi="Times New Roman" w:eastAsia="宋体" w:cs="Times New Roman"/>
                <w:b/>
                <w:bCs/>
                <w:sz w:val="24"/>
                <w:szCs w:val="24"/>
                <w:lang w:val="en-US" w:eastAsia="zh-CN"/>
              </w:rPr>
            </w:pPr>
            <w:r>
              <w:rPr>
                <w:rFonts w:hint="eastAsia" w:ascii="Times New Roman" w:hAnsi="Times New Roman" w:eastAsia="宋体" w:cs="Times New Roman"/>
                <w:b/>
                <w:bCs/>
                <w:sz w:val="24"/>
                <w:szCs w:val="24"/>
                <w:lang w:val="en-US" w:eastAsia="zh-CN"/>
              </w:rPr>
              <w:t>非正常工况源强分析</w:t>
            </w:r>
          </w:p>
          <w:p w14:paraId="3F3196E8">
            <w:pPr>
              <w:keepNext w:val="0"/>
              <w:keepLines w:val="0"/>
              <w:pageBreakBefore w:val="0"/>
              <w:widowControl w:val="0"/>
              <w:numPr>
                <w:ilvl w:val="0"/>
                <w:numId w:val="60"/>
              </w:numPr>
              <w:kinsoku/>
              <w:wordWrap/>
              <w:overflowPunct/>
              <w:topLinePunct w:val="0"/>
              <w:autoSpaceDE/>
              <w:autoSpaceDN/>
              <w:bidi w:val="0"/>
              <w:adjustRightInd/>
              <w:snapToGrid/>
              <w:spacing w:line="360" w:lineRule="auto"/>
              <w:ind w:firstLine="480" w:firstLineChars="200"/>
              <w:jc w:val="both"/>
              <w:textAlignment w:val="auto"/>
              <w:rPr>
                <w:rFonts w:hint="eastAsia"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非正常工况源强分析</w:t>
            </w:r>
          </w:p>
          <w:p w14:paraId="7D05A65D">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设备开停机、设备检修、污染物排放控制措施达不到应有效率、工艺设备运转异常等情况下的污染排放归为非正常排放。</w:t>
            </w:r>
          </w:p>
          <w:p w14:paraId="2AD7CD42">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本项目非正常工况分析主要选择废气净化措施且通过排气筒排放的废气污染源，本着最不利原则，主要考虑储罐要进行检修处理。生产装置储罐每一年检修一次，检修时首先要停工，对各生产装置等设备进行检修、保养后，再开工生产</w:t>
            </w:r>
            <w:r>
              <w:rPr>
                <w:rFonts w:hint="eastAsia" w:cs="Times New Roman"/>
                <w:sz w:val="24"/>
                <w:szCs w:val="24"/>
                <w:lang w:val="en-US" w:eastAsia="zh-CN"/>
              </w:rPr>
              <w:t>；</w:t>
            </w:r>
            <w:r>
              <w:rPr>
                <w:rFonts w:hint="eastAsia" w:ascii="Times New Roman" w:hAnsi="Times New Roman" w:eastAsia="宋体" w:cs="Times New Roman"/>
                <w:sz w:val="24"/>
                <w:szCs w:val="24"/>
                <w:lang w:val="en-US" w:eastAsia="zh-CN"/>
              </w:rPr>
              <w:t>排放情况与开停车相同。</w:t>
            </w:r>
          </w:p>
          <w:p w14:paraId="3A800E6C">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经计算，在非正常工况下，各污染物有组织排放情况见下表。</w:t>
            </w:r>
          </w:p>
          <w:p w14:paraId="2EC008D7">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eastAsia" w:ascii="Times New Roman" w:hAnsi="Times New Roman" w:eastAsia="宋体" w:cs="Times New Roman"/>
                <w:b/>
                <w:bCs/>
                <w:sz w:val="21"/>
                <w:szCs w:val="21"/>
                <w:vertAlign w:val="baseline"/>
                <w:lang w:val="en-US" w:eastAsia="zh-CN"/>
              </w:rPr>
            </w:pPr>
            <w:r>
              <w:rPr>
                <w:rFonts w:hint="eastAsia" w:ascii="Times New Roman" w:hAnsi="Times New Roman" w:eastAsia="宋体" w:cs="Times New Roman"/>
                <w:b/>
                <w:bCs/>
                <w:sz w:val="21"/>
                <w:szCs w:val="21"/>
                <w:lang w:val="en-US" w:eastAsia="zh-CN"/>
              </w:rPr>
              <w:t>表</w:t>
            </w:r>
            <w:r>
              <w:rPr>
                <w:rFonts w:hint="eastAsia" w:cs="Times New Roman"/>
                <w:b/>
                <w:bCs/>
                <w:sz w:val="21"/>
                <w:szCs w:val="21"/>
                <w:lang w:val="en-US" w:eastAsia="zh-CN"/>
              </w:rPr>
              <w:t xml:space="preserve">4-10 </w:t>
            </w:r>
            <w:r>
              <w:rPr>
                <w:rFonts w:hint="eastAsia" w:ascii="Times New Roman" w:hAnsi="Times New Roman" w:eastAsia="宋体" w:cs="Times New Roman"/>
                <w:b/>
                <w:bCs/>
                <w:sz w:val="21"/>
                <w:szCs w:val="21"/>
                <w:lang w:val="en-US" w:eastAsia="zh-CN"/>
              </w:rPr>
              <w:t>污染源非正常排放量核算表</w:t>
            </w:r>
          </w:p>
          <w:tbl>
            <w:tblPr>
              <w:tblStyle w:val="28"/>
              <w:tblW w:w="832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161"/>
              <w:gridCol w:w="4162"/>
            </w:tblGrid>
            <w:tr w14:paraId="47269C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161" w:type="dxa"/>
                </w:tcPr>
                <w:p w14:paraId="7722C1F9">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bCs/>
                      <w:sz w:val="21"/>
                      <w:szCs w:val="21"/>
                      <w:vertAlign w:val="baseline"/>
                      <w:lang w:val="en-US" w:eastAsia="zh-CN"/>
                    </w:rPr>
                  </w:pPr>
                  <w:r>
                    <w:rPr>
                      <w:rFonts w:hint="eastAsia" w:ascii="Times New Roman" w:hAnsi="Times New Roman" w:eastAsia="宋体" w:cs="Times New Roman"/>
                      <w:b/>
                      <w:bCs/>
                      <w:sz w:val="21"/>
                      <w:szCs w:val="21"/>
                      <w:vertAlign w:val="baseline"/>
                      <w:lang w:val="en-US" w:eastAsia="zh-CN"/>
                    </w:rPr>
                    <w:t>序号</w:t>
                  </w:r>
                </w:p>
              </w:tc>
              <w:tc>
                <w:tcPr>
                  <w:tcW w:w="4162" w:type="dxa"/>
                </w:tcPr>
                <w:p w14:paraId="1ECE5BFC">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bCs/>
                      <w:sz w:val="21"/>
                      <w:szCs w:val="21"/>
                      <w:vertAlign w:val="baseline"/>
                      <w:lang w:val="en-US" w:eastAsia="zh-CN"/>
                    </w:rPr>
                  </w:pPr>
                  <w:r>
                    <w:rPr>
                      <w:rFonts w:hint="eastAsia" w:cs="Times New Roman"/>
                      <w:b/>
                      <w:bCs/>
                      <w:sz w:val="21"/>
                      <w:szCs w:val="21"/>
                      <w:vertAlign w:val="baseline"/>
                      <w:lang w:val="en-US" w:eastAsia="zh-CN"/>
                    </w:rPr>
                    <w:t>1</w:t>
                  </w:r>
                </w:p>
              </w:tc>
            </w:tr>
            <w:tr w14:paraId="544D41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161" w:type="dxa"/>
                </w:tcPr>
                <w:p w14:paraId="0675D45B">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sz w:val="21"/>
                      <w:szCs w:val="21"/>
                      <w:vertAlign w:val="baseline"/>
                      <w:lang w:val="en-US" w:eastAsia="zh-CN"/>
                    </w:rPr>
                  </w:pPr>
                  <w:r>
                    <w:rPr>
                      <w:rFonts w:hint="eastAsia" w:ascii="Times New Roman" w:hAnsi="Times New Roman" w:eastAsia="宋体" w:cs="Times New Roman"/>
                      <w:sz w:val="21"/>
                      <w:szCs w:val="21"/>
                      <w:vertAlign w:val="baseline"/>
                      <w:lang w:val="en-US" w:eastAsia="zh-CN"/>
                    </w:rPr>
                    <w:t>污染源</w:t>
                  </w:r>
                </w:p>
              </w:tc>
              <w:tc>
                <w:tcPr>
                  <w:tcW w:w="4162" w:type="dxa"/>
                </w:tcPr>
                <w:p w14:paraId="4D63993B">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color w:val="auto"/>
                      <w:sz w:val="21"/>
                      <w:szCs w:val="21"/>
                      <w:vertAlign w:val="baseline"/>
                      <w:lang w:val="en-US" w:eastAsia="zh-CN"/>
                    </w:rPr>
                  </w:pPr>
                  <w:r>
                    <w:rPr>
                      <w:rFonts w:hint="eastAsia" w:cs="Times New Roman"/>
                      <w:color w:val="auto"/>
                      <w:sz w:val="21"/>
                      <w:szCs w:val="21"/>
                      <w:vertAlign w:val="baseline"/>
                      <w:lang w:val="en-US" w:eastAsia="zh-CN"/>
                    </w:rPr>
                    <w:t>DA001</w:t>
                  </w:r>
                </w:p>
              </w:tc>
            </w:tr>
            <w:tr w14:paraId="48A7B45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161" w:type="dxa"/>
                </w:tcPr>
                <w:p w14:paraId="7E4C000E">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sz w:val="21"/>
                      <w:szCs w:val="21"/>
                      <w:vertAlign w:val="baseline"/>
                      <w:lang w:val="en-US" w:eastAsia="zh-CN"/>
                    </w:rPr>
                  </w:pPr>
                  <w:r>
                    <w:rPr>
                      <w:rFonts w:hint="eastAsia" w:ascii="Times New Roman" w:hAnsi="Times New Roman" w:eastAsia="宋体" w:cs="Times New Roman"/>
                      <w:sz w:val="21"/>
                      <w:szCs w:val="21"/>
                      <w:vertAlign w:val="baseline"/>
                      <w:lang w:val="en-US" w:eastAsia="zh-CN"/>
                    </w:rPr>
                    <w:t>非正常排放原因</w:t>
                  </w:r>
                </w:p>
              </w:tc>
              <w:tc>
                <w:tcPr>
                  <w:tcW w:w="4162" w:type="dxa"/>
                </w:tcPr>
                <w:p w14:paraId="59BEA5C4">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color w:val="auto"/>
                      <w:sz w:val="21"/>
                      <w:szCs w:val="21"/>
                      <w:vertAlign w:val="baseline"/>
                      <w:lang w:val="en-US" w:eastAsia="zh-CN"/>
                    </w:rPr>
                  </w:pPr>
                  <w:r>
                    <w:rPr>
                      <w:rFonts w:hint="eastAsia" w:ascii="Times New Roman" w:hAnsi="Times New Roman" w:eastAsia="宋体" w:cs="Times New Roman"/>
                      <w:color w:val="auto"/>
                      <w:sz w:val="21"/>
                      <w:szCs w:val="21"/>
                      <w:vertAlign w:val="baseline"/>
                      <w:lang w:val="en-US" w:eastAsia="zh-CN"/>
                    </w:rPr>
                    <w:t>储罐进行检修</w:t>
                  </w:r>
                </w:p>
              </w:tc>
            </w:tr>
            <w:tr w14:paraId="51A479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161" w:type="dxa"/>
                </w:tcPr>
                <w:p w14:paraId="453CD9A8">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sz w:val="21"/>
                      <w:szCs w:val="21"/>
                      <w:vertAlign w:val="baseline"/>
                      <w:lang w:val="en-US" w:eastAsia="zh-CN"/>
                    </w:rPr>
                  </w:pPr>
                  <w:r>
                    <w:rPr>
                      <w:rFonts w:hint="eastAsia" w:ascii="Times New Roman" w:hAnsi="Times New Roman" w:eastAsia="宋体" w:cs="Times New Roman"/>
                      <w:sz w:val="21"/>
                      <w:szCs w:val="21"/>
                      <w:vertAlign w:val="baseline"/>
                      <w:lang w:val="en-US" w:eastAsia="zh-CN"/>
                    </w:rPr>
                    <w:t>污染物</w:t>
                  </w:r>
                </w:p>
              </w:tc>
              <w:tc>
                <w:tcPr>
                  <w:tcW w:w="4162" w:type="dxa"/>
                  <w:vAlign w:val="top"/>
                </w:tcPr>
                <w:p w14:paraId="7ABCB53C">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ascii="Times New Roman" w:hAnsi="Times New Roman" w:eastAsia="宋体" w:cs="Times New Roman"/>
                      <w:color w:val="auto"/>
                      <w:kern w:val="2"/>
                      <w:sz w:val="21"/>
                      <w:szCs w:val="21"/>
                      <w:vertAlign w:val="baseline"/>
                      <w:lang w:val="en-US" w:eastAsia="zh-CN" w:bidi="ar-SA"/>
                    </w:rPr>
                  </w:pPr>
                  <w:r>
                    <w:rPr>
                      <w:rFonts w:hint="eastAsia" w:ascii="Times New Roman" w:hAnsi="Times New Roman" w:eastAsia="宋体" w:cs="Times New Roman"/>
                      <w:color w:val="auto"/>
                      <w:sz w:val="21"/>
                      <w:szCs w:val="21"/>
                      <w:vertAlign w:val="baseline"/>
                      <w:lang w:val="en-US" w:eastAsia="zh-CN"/>
                    </w:rPr>
                    <w:t>VOCs（非甲烷总烃）</w:t>
                  </w:r>
                </w:p>
              </w:tc>
            </w:tr>
            <w:tr w14:paraId="6BC01E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161" w:type="dxa"/>
                </w:tcPr>
                <w:p w14:paraId="2A9F8491">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sz w:val="21"/>
                      <w:szCs w:val="21"/>
                      <w:vertAlign w:val="baseline"/>
                      <w:lang w:val="en-US" w:eastAsia="zh-CN"/>
                    </w:rPr>
                  </w:pPr>
                  <w:r>
                    <w:rPr>
                      <w:rFonts w:hint="eastAsia" w:ascii="Times New Roman" w:hAnsi="Times New Roman" w:eastAsia="宋体" w:cs="Times New Roman"/>
                      <w:sz w:val="21"/>
                      <w:szCs w:val="21"/>
                      <w:vertAlign w:val="baseline"/>
                      <w:lang w:val="en-US" w:eastAsia="zh-CN"/>
                    </w:rPr>
                    <w:t>非正常排放速率/</w:t>
                  </w:r>
                  <w:r>
                    <w:rPr>
                      <w:rFonts w:hint="eastAsia" w:cs="Times New Roman"/>
                      <w:sz w:val="21"/>
                      <w:szCs w:val="21"/>
                      <w:vertAlign w:val="baseline"/>
                      <w:lang w:val="en-US" w:eastAsia="zh-CN"/>
                    </w:rPr>
                    <w:t>（</w:t>
                  </w:r>
                  <w:r>
                    <w:rPr>
                      <w:rFonts w:hint="eastAsia" w:ascii="Times New Roman" w:hAnsi="Times New Roman" w:eastAsia="宋体" w:cs="Times New Roman"/>
                      <w:sz w:val="21"/>
                      <w:szCs w:val="21"/>
                      <w:vertAlign w:val="baseline"/>
                      <w:lang w:val="en-US" w:eastAsia="zh-CN"/>
                    </w:rPr>
                    <w:t>kg/h</w:t>
                  </w:r>
                  <w:r>
                    <w:rPr>
                      <w:rFonts w:hint="eastAsia" w:cs="Times New Roman"/>
                      <w:sz w:val="21"/>
                      <w:szCs w:val="21"/>
                      <w:vertAlign w:val="baseline"/>
                      <w:lang w:val="en-US" w:eastAsia="zh-CN"/>
                    </w:rPr>
                    <w:t>）</w:t>
                  </w:r>
                </w:p>
              </w:tc>
              <w:tc>
                <w:tcPr>
                  <w:tcW w:w="4162" w:type="dxa"/>
                  <w:vAlign w:val="top"/>
                </w:tcPr>
                <w:p w14:paraId="345CBC8B">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ascii="Times New Roman" w:hAnsi="Times New Roman" w:eastAsia="宋体" w:cs="Times New Roman"/>
                      <w:color w:val="auto"/>
                      <w:kern w:val="2"/>
                      <w:sz w:val="21"/>
                      <w:szCs w:val="21"/>
                      <w:vertAlign w:val="baseline"/>
                      <w:lang w:val="en-US" w:eastAsia="zh-CN" w:bidi="ar-SA"/>
                    </w:rPr>
                  </w:pPr>
                  <w:r>
                    <w:rPr>
                      <w:rFonts w:hint="eastAsia" w:cs="Times New Roman"/>
                      <w:color w:val="auto"/>
                      <w:sz w:val="21"/>
                      <w:szCs w:val="21"/>
                      <w:vertAlign w:val="baseline"/>
                      <w:lang w:val="en-US" w:eastAsia="zh-CN"/>
                    </w:rPr>
                    <w:t>0.196</w:t>
                  </w:r>
                  <w:r>
                    <w:rPr>
                      <w:rFonts w:hint="eastAsia" w:ascii="Times New Roman" w:hAnsi="Times New Roman" w:eastAsia="宋体" w:cs="Times New Roman"/>
                      <w:color w:val="auto"/>
                      <w:sz w:val="21"/>
                      <w:szCs w:val="21"/>
                      <w:vertAlign w:val="baseline"/>
                      <w:lang w:val="en-US" w:eastAsia="zh-CN"/>
                    </w:rPr>
                    <w:t xml:space="preserve"> </w:t>
                  </w:r>
                </w:p>
              </w:tc>
            </w:tr>
            <w:tr w14:paraId="39934C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161" w:type="dxa"/>
                </w:tcPr>
                <w:p w14:paraId="7E65E707">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sz w:val="21"/>
                      <w:szCs w:val="21"/>
                      <w:vertAlign w:val="baseline"/>
                      <w:lang w:val="en-US" w:eastAsia="zh-CN"/>
                    </w:rPr>
                  </w:pPr>
                  <w:r>
                    <w:rPr>
                      <w:rFonts w:hint="eastAsia" w:ascii="Times New Roman" w:hAnsi="Times New Roman" w:eastAsia="宋体" w:cs="Times New Roman"/>
                      <w:sz w:val="21"/>
                      <w:szCs w:val="21"/>
                      <w:vertAlign w:val="baseline"/>
                      <w:lang w:val="en-US" w:eastAsia="zh-CN"/>
                    </w:rPr>
                    <w:t>非正常排放浓度/</w:t>
                  </w:r>
                  <w:r>
                    <w:rPr>
                      <w:rFonts w:hint="eastAsia" w:cs="Times New Roman"/>
                      <w:sz w:val="21"/>
                      <w:szCs w:val="21"/>
                      <w:vertAlign w:val="baseline"/>
                      <w:lang w:val="en-US" w:eastAsia="zh-CN"/>
                    </w:rPr>
                    <w:t>（</w:t>
                  </w:r>
                  <w:r>
                    <w:rPr>
                      <w:rFonts w:hint="eastAsia" w:ascii="Times New Roman" w:hAnsi="Times New Roman" w:eastAsia="宋体" w:cs="Times New Roman"/>
                      <w:sz w:val="21"/>
                      <w:szCs w:val="21"/>
                      <w:vertAlign w:val="baseline"/>
                      <w:lang w:val="en-US" w:eastAsia="zh-CN"/>
                    </w:rPr>
                    <w:t>mg/m</w:t>
                  </w:r>
                  <w:r>
                    <w:rPr>
                      <w:rFonts w:hint="eastAsia" w:ascii="Times New Roman" w:hAnsi="Times New Roman" w:eastAsia="宋体" w:cs="Times New Roman"/>
                      <w:sz w:val="21"/>
                      <w:szCs w:val="21"/>
                      <w:vertAlign w:val="superscript"/>
                      <w:lang w:val="en-US" w:eastAsia="zh-CN"/>
                    </w:rPr>
                    <w:t>3</w:t>
                  </w:r>
                  <w:r>
                    <w:rPr>
                      <w:rFonts w:hint="eastAsia" w:cs="Times New Roman"/>
                      <w:sz w:val="21"/>
                      <w:szCs w:val="21"/>
                      <w:vertAlign w:val="baseline"/>
                      <w:lang w:val="en-US" w:eastAsia="zh-CN"/>
                    </w:rPr>
                    <w:t>）</w:t>
                  </w:r>
                </w:p>
              </w:tc>
              <w:tc>
                <w:tcPr>
                  <w:tcW w:w="4162" w:type="dxa"/>
                  <w:vAlign w:val="top"/>
                </w:tcPr>
                <w:p w14:paraId="2E70A0B6">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color w:val="auto"/>
                      <w:kern w:val="2"/>
                      <w:sz w:val="21"/>
                      <w:szCs w:val="21"/>
                      <w:vertAlign w:val="baseline"/>
                      <w:lang w:val="en-US" w:eastAsia="zh-CN" w:bidi="ar-SA"/>
                    </w:rPr>
                  </w:pPr>
                  <w:r>
                    <w:rPr>
                      <w:rFonts w:hint="eastAsia" w:cs="Times New Roman"/>
                      <w:color w:val="auto"/>
                      <w:sz w:val="21"/>
                      <w:szCs w:val="21"/>
                      <w:vertAlign w:val="baseline"/>
                      <w:lang w:val="en-US" w:eastAsia="zh-CN"/>
                    </w:rPr>
                    <w:t>88.2</w:t>
                  </w:r>
                </w:p>
              </w:tc>
            </w:tr>
            <w:tr w14:paraId="09CA0F1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161" w:type="dxa"/>
                </w:tcPr>
                <w:p w14:paraId="7E230E68">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sz w:val="21"/>
                      <w:szCs w:val="21"/>
                      <w:vertAlign w:val="baseline"/>
                      <w:lang w:val="en-US" w:eastAsia="zh-CN"/>
                    </w:rPr>
                  </w:pPr>
                  <w:r>
                    <w:rPr>
                      <w:rFonts w:hint="eastAsia" w:ascii="Times New Roman" w:hAnsi="Times New Roman" w:eastAsia="宋体" w:cs="Times New Roman"/>
                      <w:sz w:val="21"/>
                      <w:szCs w:val="21"/>
                      <w:vertAlign w:val="baseline"/>
                      <w:lang w:val="en-US" w:eastAsia="zh-CN"/>
                    </w:rPr>
                    <w:t>非正常排放量/</w:t>
                  </w:r>
                  <w:r>
                    <w:rPr>
                      <w:rFonts w:hint="eastAsia" w:cs="Times New Roman"/>
                      <w:sz w:val="21"/>
                      <w:szCs w:val="21"/>
                      <w:vertAlign w:val="baseline"/>
                      <w:lang w:val="en-US" w:eastAsia="zh-CN"/>
                    </w:rPr>
                    <w:t>（kg）</w:t>
                  </w:r>
                </w:p>
              </w:tc>
              <w:tc>
                <w:tcPr>
                  <w:tcW w:w="4162" w:type="dxa"/>
                  <w:vAlign w:val="top"/>
                </w:tcPr>
                <w:p w14:paraId="09064DC4">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color w:val="auto"/>
                      <w:kern w:val="2"/>
                      <w:sz w:val="21"/>
                      <w:szCs w:val="21"/>
                      <w:vertAlign w:val="baseline"/>
                      <w:lang w:val="en-US" w:eastAsia="zh-CN" w:bidi="ar-SA"/>
                    </w:rPr>
                  </w:pPr>
                  <w:r>
                    <w:rPr>
                      <w:rFonts w:hint="eastAsia" w:cs="Times New Roman"/>
                      <w:color w:val="auto"/>
                      <w:sz w:val="21"/>
                      <w:szCs w:val="21"/>
                      <w:vertAlign w:val="baseline"/>
                      <w:lang w:val="en-US" w:eastAsia="zh-CN"/>
                    </w:rPr>
                    <w:t>0.098</w:t>
                  </w:r>
                </w:p>
              </w:tc>
            </w:tr>
            <w:tr w14:paraId="29F8EB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161" w:type="dxa"/>
                </w:tcPr>
                <w:p w14:paraId="011F0C23">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sz w:val="21"/>
                      <w:szCs w:val="21"/>
                      <w:vertAlign w:val="baseline"/>
                      <w:lang w:val="en-US" w:eastAsia="zh-CN"/>
                    </w:rPr>
                  </w:pPr>
                  <w:r>
                    <w:rPr>
                      <w:rFonts w:hint="eastAsia" w:ascii="Times New Roman" w:hAnsi="Times New Roman" w:eastAsia="宋体" w:cs="Times New Roman"/>
                      <w:sz w:val="21"/>
                      <w:szCs w:val="21"/>
                      <w:vertAlign w:val="baseline"/>
                      <w:lang w:val="en-US" w:eastAsia="zh-CN"/>
                    </w:rPr>
                    <w:t>单次持续时间/min</w:t>
                  </w:r>
                </w:p>
              </w:tc>
              <w:tc>
                <w:tcPr>
                  <w:tcW w:w="4162" w:type="dxa"/>
                </w:tcPr>
                <w:p w14:paraId="52E70FF3">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color w:val="auto"/>
                      <w:sz w:val="21"/>
                      <w:szCs w:val="21"/>
                      <w:vertAlign w:val="baseline"/>
                      <w:lang w:val="en-US" w:eastAsia="zh-CN"/>
                    </w:rPr>
                  </w:pPr>
                  <w:r>
                    <w:rPr>
                      <w:rFonts w:hint="eastAsia" w:ascii="Times New Roman" w:hAnsi="Times New Roman" w:eastAsia="宋体" w:cs="Times New Roman"/>
                      <w:color w:val="auto"/>
                      <w:sz w:val="21"/>
                      <w:szCs w:val="21"/>
                      <w:vertAlign w:val="baseline"/>
                      <w:lang w:val="en-US" w:eastAsia="zh-CN"/>
                    </w:rPr>
                    <w:t>5~30</w:t>
                  </w:r>
                </w:p>
              </w:tc>
            </w:tr>
            <w:tr w14:paraId="0F3E3B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161" w:type="dxa"/>
                </w:tcPr>
                <w:p w14:paraId="191F08EA">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sz w:val="21"/>
                      <w:szCs w:val="21"/>
                      <w:vertAlign w:val="baseline"/>
                      <w:lang w:val="en-US" w:eastAsia="zh-CN"/>
                    </w:rPr>
                  </w:pPr>
                  <w:r>
                    <w:rPr>
                      <w:rFonts w:hint="eastAsia" w:ascii="Times New Roman" w:hAnsi="Times New Roman" w:eastAsia="宋体" w:cs="Times New Roman"/>
                      <w:sz w:val="21"/>
                      <w:szCs w:val="21"/>
                      <w:vertAlign w:val="baseline"/>
                      <w:lang w:val="en-US" w:eastAsia="zh-CN"/>
                    </w:rPr>
                    <w:t>年发生频次</w:t>
                  </w:r>
                </w:p>
              </w:tc>
              <w:tc>
                <w:tcPr>
                  <w:tcW w:w="4162" w:type="dxa"/>
                </w:tcPr>
                <w:p w14:paraId="7B0E9C78">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color w:val="auto"/>
                      <w:sz w:val="21"/>
                      <w:szCs w:val="21"/>
                      <w:vertAlign w:val="baseline"/>
                      <w:lang w:val="en-US" w:eastAsia="zh-CN"/>
                    </w:rPr>
                  </w:pPr>
                  <w:r>
                    <w:rPr>
                      <w:rFonts w:hint="eastAsia" w:ascii="Times New Roman" w:hAnsi="Times New Roman" w:eastAsia="宋体" w:cs="Times New Roman"/>
                      <w:color w:val="auto"/>
                      <w:sz w:val="21"/>
                      <w:szCs w:val="21"/>
                      <w:vertAlign w:val="baseline"/>
                      <w:lang w:val="en-US" w:eastAsia="zh-CN"/>
                    </w:rPr>
                    <w:t>≤1</w:t>
                  </w:r>
                </w:p>
              </w:tc>
            </w:tr>
          </w:tbl>
          <w:p w14:paraId="1E407F4E">
            <w:pPr>
              <w:keepNext w:val="0"/>
              <w:keepLines w:val="0"/>
              <w:pageBreakBefore w:val="0"/>
              <w:widowControl w:val="0"/>
              <w:numPr>
                <w:ilvl w:val="0"/>
                <w:numId w:val="60"/>
              </w:numPr>
              <w:kinsoku/>
              <w:wordWrap/>
              <w:overflowPunct/>
              <w:topLinePunct w:val="0"/>
              <w:autoSpaceDE/>
              <w:autoSpaceDN/>
              <w:bidi w:val="0"/>
              <w:adjustRightInd/>
              <w:snapToGrid/>
              <w:spacing w:line="360" w:lineRule="auto"/>
              <w:ind w:left="0" w:leftChars="0" w:firstLine="482" w:firstLineChars="200"/>
              <w:jc w:val="both"/>
              <w:textAlignment w:val="auto"/>
              <w:rPr>
                <w:rFonts w:hint="eastAsia" w:ascii="Times New Roman" w:hAnsi="Times New Roman" w:eastAsia="宋体" w:cs="Times New Roman"/>
                <w:b/>
                <w:bCs/>
                <w:sz w:val="24"/>
                <w:szCs w:val="24"/>
                <w:lang w:val="en-US" w:eastAsia="zh-CN"/>
              </w:rPr>
            </w:pPr>
            <w:r>
              <w:rPr>
                <w:rFonts w:hint="eastAsia" w:ascii="Times New Roman" w:hAnsi="Times New Roman" w:eastAsia="宋体" w:cs="Times New Roman"/>
                <w:b/>
                <w:bCs/>
                <w:sz w:val="24"/>
                <w:szCs w:val="24"/>
                <w:lang w:val="en-US" w:eastAsia="zh-CN"/>
              </w:rPr>
              <w:t>非正常工况的控制措施</w:t>
            </w:r>
          </w:p>
          <w:p w14:paraId="1C3DC216">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①建设单位应加强日常的环保管理，密切关注废气处理装置的运行情况。在项目运营期间，建设单位应保持设备净化能力和净化容量，确保环保设施的正常高效运行，将废气对大气环境的影响降到最低。</w:t>
            </w:r>
          </w:p>
          <w:p w14:paraId="352D1CA2">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b w:val="0"/>
                <w:bCs w:val="0"/>
                <w:color w:val="FF0000"/>
                <w:sz w:val="24"/>
                <w:szCs w:val="24"/>
                <w:lang w:val="en-US" w:eastAsia="zh-CN"/>
              </w:rPr>
            </w:pPr>
            <w:r>
              <w:rPr>
                <w:rFonts w:hint="eastAsia" w:ascii="Times New Roman" w:hAnsi="Times New Roman" w:eastAsia="宋体" w:cs="Times New Roman"/>
                <w:sz w:val="24"/>
                <w:szCs w:val="24"/>
                <w:lang w:val="en-US" w:eastAsia="zh-CN"/>
              </w:rPr>
              <w:t>②加强厂区环保设施及配套机泵等的检修工作，分时段对环保设施进行现场检查并做好记录，确保环保设施正常运行，防止非正常工况现象发生。③加强对生产及储存设备的维护管理，避免泄露事故发生；在储存区等设置易燃物质泄漏报警仪，一但发生泄漏事故及时处理，避免火灾或爆炸事故的发生。④安排专人负责环保设备的日常维护和管理，每隔固定时间检查、汇报情况。为尽量减少非正常排放工况产生，企业应严格环保管理，建立净化装置运行台账，避免废气净化装置失效情况的发生</w:t>
            </w:r>
            <w:r>
              <w:rPr>
                <w:rFonts w:hint="eastAsia" w:cs="Times New Roman"/>
                <w:b w:val="0"/>
                <w:bCs w:val="0"/>
                <w:color w:val="auto"/>
                <w:sz w:val="24"/>
                <w:szCs w:val="24"/>
                <w:lang w:val="en-US" w:eastAsia="zh-CN"/>
              </w:rPr>
              <w:t>。</w:t>
            </w:r>
          </w:p>
          <w:p w14:paraId="7BB21F54">
            <w:pPr>
              <w:keepNext w:val="0"/>
              <w:keepLines w:val="0"/>
              <w:pageBreakBefore w:val="0"/>
              <w:widowControl w:val="0"/>
              <w:numPr>
                <w:ilvl w:val="0"/>
                <w:numId w:val="55"/>
              </w:numPr>
              <w:kinsoku/>
              <w:wordWrap/>
              <w:overflowPunct/>
              <w:topLinePunct w:val="0"/>
              <w:autoSpaceDE/>
              <w:autoSpaceDN/>
              <w:bidi w:val="0"/>
              <w:adjustRightInd/>
              <w:snapToGrid/>
              <w:spacing w:line="360" w:lineRule="auto"/>
              <w:ind w:left="0" w:leftChars="0" w:firstLine="482" w:firstLineChars="200"/>
              <w:jc w:val="both"/>
              <w:textAlignment w:val="auto"/>
              <w:rPr>
                <w:rFonts w:hint="eastAsia" w:ascii="Times New Roman" w:hAnsi="Times New Roman" w:eastAsia="宋体" w:cs="Times New Roman"/>
                <w:b/>
                <w:bCs/>
                <w:sz w:val="24"/>
                <w:szCs w:val="24"/>
                <w:lang w:val="en-US" w:eastAsia="zh-CN"/>
              </w:rPr>
            </w:pPr>
            <w:r>
              <w:rPr>
                <w:rFonts w:hint="eastAsia" w:ascii="Times New Roman" w:hAnsi="Times New Roman" w:eastAsia="宋体" w:cs="Times New Roman"/>
                <w:b/>
                <w:bCs/>
                <w:sz w:val="24"/>
                <w:szCs w:val="24"/>
                <w:lang w:val="en-US" w:eastAsia="zh-CN"/>
              </w:rPr>
              <w:t>废气排放环境影响</w:t>
            </w:r>
          </w:p>
          <w:p w14:paraId="4E97793D">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ascii="Times New Roman" w:hAnsi="Times New Roman" w:eastAsia="宋体" w:cs="Times New Roman"/>
                <w:color w:val="auto"/>
                <w:sz w:val="24"/>
                <w:szCs w:val="24"/>
                <w:lang w:val="en-US" w:eastAsia="zh-CN"/>
              </w:rPr>
            </w:pPr>
            <w:r>
              <w:rPr>
                <w:rFonts w:hint="eastAsia" w:cs="Times New Roman"/>
                <w:sz w:val="24"/>
                <w:szCs w:val="24"/>
                <w:lang w:val="en-US" w:eastAsia="zh-CN"/>
              </w:rPr>
              <w:t>本</w:t>
            </w:r>
            <w:r>
              <w:rPr>
                <w:rFonts w:hint="eastAsia" w:ascii="Times New Roman" w:hAnsi="Times New Roman" w:eastAsia="宋体" w:cs="Times New Roman"/>
                <w:sz w:val="24"/>
                <w:szCs w:val="24"/>
                <w:lang w:val="en-US" w:eastAsia="zh-CN"/>
              </w:rPr>
              <w:t>项目所在区域大气环境质量现状均能达到所属功能区的标准要求，属于环境空气</w:t>
            </w:r>
            <w:r>
              <w:rPr>
                <w:rFonts w:hint="eastAsia" w:ascii="Times New Roman" w:hAnsi="Times New Roman" w:eastAsia="宋体" w:cs="Times New Roman"/>
                <w:color w:val="auto"/>
                <w:sz w:val="24"/>
                <w:szCs w:val="24"/>
                <w:lang w:val="en-US" w:eastAsia="zh-CN"/>
              </w:rPr>
              <w:t>达标区，所在区域大气环境质量良好。</w:t>
            </w:r>
          </w:p>
          <w:p w14:paraId="21455BC6">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ascii="Times New Roman" w:hAnsi="Times New Roman" w:eastAsia="宋体" w:cs="Times New Roman"/>
                <w:color w:val="auto"/>
                <w:sz w:val="24"/>
                <w:szCs w:val="24"/>
                <w:lang w:val="en-US" w:eastAsia="zh-CN"/>
              </w:rPr>
            </w:pPr>
            <w:r>
              <w:rPr>
                <w:rFonts w:hint="eastAsia" w:cs="Times New Roman"/>
                <w:color w:val="auto"/>
                <w:sz w:val="24"/>
                <w:szCs w:val="24"/>
                <w:lang w:val="en-US" w:eastAsia="zh-CN"/>
              </w:rPr>
              <w:t>本</w:t>
            </w:r>
            <w:r>
              <w:rPr>
                <w:rFonts w:hint="eastAsia" w:ascii="Times New Roman" w:hAnsi="Times New Roman" w:eastAsia="宋体" w:cs="Times New Roman"/>
                <w:color w:val="auto"/>
                <w:sz w:val="24"/>
                <w:szCs w:val="24"/>
                <w:lang w:val="en-US" w:eastAsia="zh-CN"/>
              </w:rPr>
              <w:t>项目</w:t>
            </w:r>
            <w:r>
              <w:rPr>
                <w:rFonts w:hint="eastAsia" w:cs="Times New Roman"/>
                <w:color w:val="auto"/>
                <w:sz w:val="24"/>
                <w:szCs w:val="24"/>
                <w:lang w:val="en-US" w:eastAsia="zh-CN"/>
              </w:rPr>
              <w:t>产生的VOCs（非甲烷总烃）经伞罩型集气罩收集至“两级活性炭吸附装置”进行吸附净化；</w:t>
            </w:r>
            <w:r>
              <w:rPr>
                <w:rFonts w:hint="eastAsia" w:ascii="Times New Roman" w:hAnsi="Times New Roman" w:eastAsia="宋体" w:cs="Times New Roman"/>
                <w:color w:val="auto"/>
                <w:sz w:val="24"/>
                <w:szCs w:val="24"/>
                <w:lang w:val="en-US" w:eastAsia="zh-CN"/>
              </w:rPr>
              <w:t>经处理后，非甲烷总烃排放量为</w:t>
            </w:r>
            <w:r>
              <w:rPr>
                <w:rFonts w:hint="eastAsia" w:cs="Times New Roman"/>
                <w:color w:val="auto"/>
                <w:sz w:val="24"/>
                <w:szCs w:val="24"/>
                <w:lang w:val="en-US" w:eastAsia="zh-CN"/>
              </w:rPr>
              <w:t>0.014</w:t>
            </w:r>
            <w:r>
              <w:rPr>
                <w:rFonts w:hint="eastAsia" w:ascii="Times New Roman" w:hAnsi="Times New Roman" w:eastAsia="宋体" w:cs="Times New Roman"/>
                <w:color w:val="auto"/>
                <w:sz w:val="24"/>
                <w:szCs w:val="24"/>
                <w:lang w:val="en-US" w:eastAsia="zh-CN"/>
              </w:rPr>
              <w:t>t/a</w:t>
            </w:r>
            <w:r>
              <w:rPr>
                <w:rFonts w:hint="eastAsia" w:cs="Times New Roman"/>
                <w:color w:val="auto"/>
                <w:sz w:val="24"/>
                <w:szCs w:val="24"/>
                <w:lang w:val="en-US" w:eastAsia="zh-CN"/>
              </w:rPr>
              <w:t>，</w:t>
            </w:r>
            <w:r>
              <w:rPr>
                <w:rFonts w:hint="eastAsia" w:ascii="Times New Roman" w:hAnsi="Times New Roman" w:eastAsia="宋体" w:cs="Times New Roman"/>
                <w:color w:val="auto"/>
                <w:sz w:val="24"/>
                <w:szCs w:val="24"/>
                <w:lang w:val="en-US" w:eastAsia="zh-CN"/>
              </w:rPr>
              <w:t>排放速率</w:t>
            </w:r>
            <w:r>
              <w:rPr>
                <w:rFonts w:hint="eastAsia" w:cs="Times New Roman"/>
                <w:color w:val="auto"/>
                <w:sz w:val="24"/>
                <w:szCs w:val="24"/>
                <w:lang w:val="en-US" w:eastAsia="zh-CN"/>
              </w:rPr>
              <w:t>最大约</w:t>
            </w:r>
            <w:r>
              <w:rPr>
                <w:rFonts w:hint="eastAsia" w:ascii="Times New Roman" w:hAnsi="Times New Roman" w:eastAsia="宋体" w:cs="Times New Roman"/>
                <w:color w:val="auto"/>
                <w:sz w:val="24"/>
                <w:szCs w:val="24"/>
                <w:lang w:val="en-US" w:eastAsia="zh-CN"/>
              </w:rPr>
              <w:t>为</w:t>
            </w:r>
            <w:r>
              <w:rPr>
                <w:rFonts w:hint="eastAsia" w:cs="Times New Roman"/>
                <w:color w:val="auto"/>
                <w:sz w:val="24"/>
                <w:szCs w:val="24"/>
                <w:lang w:val="en-US" w:eastAsia="zh-CN"/>
              </w:rPr>
              <w:t>0.026</w:t>
            </w:r>
            <w:r>
              <w:rPr>
                <w:rFonts w:hint="eastAsia" w:ascii="Times New Roman" w:hAnsi="Times New Roman" w:eastAsia="宋体" w:cs="Times New Roman"/>
                <w:color w:val="auto"/>
                <w:sz w:val="24"/>
                <w:szCs w:val="24"/>
                <w:lang w:val="en-US" w:eastAsia="zh-CN"/>
              </w:rPr>
              <w:t>kg/h</w:t>
            </w:r>
            <w:r>
              <w:rPr>
                <w:rFonts w:hint="eastAsia" w:cs="Times New Roman"/>
                <w:color w:val="auto"/>
                <w:sz w:val="24"/>
                <w:szCs w:val="24"/>
                <w:lang w:val="en-US" w:eastAsia="zh-CN"/>
              </w:rPr>
              <w:t>，</w:t>
            </w:r>
            <w:r>
              <w:rPr>
                <w:rFonts w:hint="eastAsia" w:ascii="Times New Roman" w:hAnsi="Times New Roman" w:eastAsia="宋体" w:cs="Times New Roman"/>
                <w:color w:val="auto"/>
                <w:sz w:val="24"/>
                <w:szCs w:val="24"/>
                <w:lang w:val="en-US" w:eastAsia="zh-CN"/>
              </w:rPr>
              <w:t>排放浓度</w:t>
            </w:r>
            <w:r>
              <w:rPr>
                <w:rFonts w:hint="eastAsia" w:cs="Times New Roman"/>
                <w:color w:val="auto"/>
                <w:sz w:val="24"/>
                <w:szCs w:val="24"/>
                <w:lang w:val="en-US" w:eastAsia="zh-CN"/>
              </w:rPr>
              <w:t>最大</w:t>
            </w:r>
            <w:r>
              <w:rPr>
                <w:rFonts w:hint="eastAsia" w:ascii="Times New Roman" w:hAnsi="Times New Roman" w:eastAsia="宋体" w:cs="Times New Roman"/>
                <w:color w:val="auto"/>
                <w:sz w:val="24"/>
                <w:szCs w:val="24"/>
                <w:lang w:val="en-US" w:eastAsia="zh-CN"/>
              </w:rPr>
              <w:t>约为</w:t>
            </w:r>
            <w:r>
              <w:rPr>
                <w:rFonts w:hint="eastAsia" w:cs="Times New Roman"/>
                <w:color w:val="auto"/>
                <w:sz w:val="24"/>
                <w:szCs w:val="24"/>
                <w:lang w:val="en-US" w:eastAsia="zh-CN"/>
              </w:rPr>
              <w:t>13.23</w:t>
            </w:r>
            <w:r>
              <w:rPr>
                <w:rFonts w:hint="eastAsia" w:ascii="Times New Roman" w:hAnsi="Times New Roman" w:eastAsia="宋体" w:cs="Times New Roman"/>
                <w:color w:val="auto"/>
                <w:sz w:val="24"/>
                <w:szCs w:val="24"/>
                <w:lang w:val="en-US" w:eastAsia="zh-CN"/>
              </w:rPr>
              <w:t>mg/m</w:t>
            </w:r>
            <w:r>
              <w:rPr>
                <w:rFonts w:hint="eastAsia" w:ascii="Times New Roman" w:hAnsi="Times New Roman" w:eastAsia="宋体" w:cs="Times New Roman"/>
                <w:color w:val="auto"/>
                <w:sz w:val="24"/>
                <w:szCs w:val="24"/>
                <w:vertAlign w:val="superscript"/>
                <w:lang w:val="en-US" w:eastAsia="zh-CN"/>
              </w:rPr>
              <w:t>3</w:t>
            </w:r>
            <w:r>
              <w:rPr>
                <w:rFonts w:hint="eastAsia" w:cs="Times New Roman"/>
                <w:color w:val="auto"/>
                <w:sz w:val="24"/>
                <w:szCs w:val="24"/>
                <w:lang w:val="en-US" w:eastAsia="zh-CN"/>
              </w:rPr>
              <w:t>，满足《四川省固定污染源大气挥发性有机物排放标准》（DB51/2377-2017）中相关标准限值。储油罐装卸、储存</w:t>
            </w:r>
            <w:r>
              <w:rPr>
                <w:rFonts w:hint="eastAsia" w:ascii="Times New Roman" w:hAnsi="Times New Roman" w:eastAsia="宋体" w:cs="Times New Roman"/>
                <w:color w:val="auto"/>
                <w:sz w:val="24"/>
                <w:szCs w:val="24"/>
                <w:lang w:val="en-US" w:eastAsia="zh-CN"/>
              </w:rPr>
              <w:t>未被收集的</w:t>
            </w:r>
            <w:r>
              <w:rPr>
                <w:rFonts w:hint="eastAsia" w:cs="Times New Roman"/>
                <w:color w:val="auto"/>
                <w:sz w:val="24"/>
                <w:szCs w:val="24"/>
                <w:lang w:val="en-US" w:eastAsia="zh-CN"/>
              </w:rPr>
              <w:t>VOCs</w:t>
            </w:r>
            <w:r>
              <w:rPr>
                <w:rFonts w:hint="eastAsia" w:ascii="Times New Roman" w:hAnsi="Times New Roman" w:eastAsia="宋体" w:cs="Times New Roman"/>
                <w:color w:val="auto"/>
                <w:sz w:val="24"/>
                <w:szCs w:val="24"/>
                <w:lang w:val="en-US" w:eastAsia="zh-CN"/>
              </w:rPr>
              <w:t>无组织排放量为</w:t>
            </w:r>
            <w:r>
              <w:rPr>
                <w:rFonts w:hint="eastAsia" w:cs="Times New Roman"/>
                <w:color w:val="auto"/>
                <w:sz w:val="24"/>
                <w:szCs w:val="24"/>
                <w:lang w:val="en-US" w:eastAsia="zh-CN"/>
              </w:rPr>
              <w:t>0.012</w:t>
            </w:r>
            <w:r>
              <w:rPr>
                <w:rFonts w:hint="eastAsia" w:ascii="Times New Roman" w:hAnsi="Times New Roman" w:eastAsia="宋体" w:cs="Times New Roman"/>
                <w:color w:val="auto"/>
                <w:sz w:val="24"/>
                <w:szCs w:val="24"/>
                <w:lang w:val="en-US" w:eastAsia="zh-CN"/>
              </w:rPr>
              <w:t>t/a，</w:t>
            </w:r>
            <w:r>
              <w:rPr>
                <w:rFonts w:hint="eastAsia" w:cs="Times New Roman"/>
                <w:color w:val="auto"/>
                <w:sz w:val="24"/>
                <w:szCs w:val="24"/>
                <w:lang w:val="en-US" w:eastAsia="zh-CN"/>
              </w:rPr>
              <w:t>排放量较小，</w:t>
            </w:r>
            <w:r>
              <w:rPr>
                <w:rFonts w:hint="eastAsia" w:ascii="Times New Roman" w:hAnsi="Times New Roman" w:eastAsia="宋体" w:cs="Times New Roman"/>
                <w:color w:val="auto"/>
                <w:sz w:val="24"/>
                <w:szCs w:val="24"/>
                <w:lang w:val="en-US" w:eastAsia="zh-CN"/>
              </w:rPr>
              <w:t>通过加强车间</w:t>
            </w:r>
            <w:r>
              <w:rPr>
                <w:rFonts w:hint="eastAsia" w:cs="Times New Roman"/>
                <w:color w:val="auto"/>
                <w:sz w:val="24"/>
                <w:szCs w:val="24"/>
                <w:lang w:val="en-US" w:eastAsia="zh-CN"/>
              </w:rPr>
              <w:t>通风排气</w:t>
            </w:r>
            <w:r>
              <w:rPr>
                <w:rFonts w:hint="eastAsia" w:ascii="Times New Roman" w:hAnsi="Times New Roman" w:eastAsia="宋体" w:cs="Times New Roman"/>
                <w:color w:val="auto"/>
                <w:sz w:val="24"/>
                <w:szCs w:val="24"/>
                <w:lang w:val="en-US" w:eastAsia="zh-CN"/>
              </w:rPr>
              <w:t>，不会对周围空气环境产生明显影响。</w:t>
            </w:r>
          </w:p>
          <w:p w14:paraId="42D89266">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ascii="Times New Roman" w:hAnsi="Times New Roman" w:eastAsia="宋体" w:cs="Times New Roman"/>
                <w:color w:val="0000FF"/>
                <w:sz w:val="24"/>
                <w:szCs w:val="24"/>
                <w:lang w:val="en-US" w:eastAsia="zh-CN"/>
              </w:rPr>
            </w:pPr>
            <w:r>
              <w:rPr>
                <w:rFonts w:hint="eastAsia" w:ascii="Times New Roman" w:hAnsi="Times New Roman" w:eastAsia="宋体" w:cs="Times New Roman"/>
                <w:color w:val="auto"/>
                <w:sz w:val="24"/>
                <w:szCs w:val="24"/>
                <w:lang w:val="en-US" w:eastAsia="zh-CN"/>
              </w:rPr>
              <w:t>综上，本项目大气环境影响可接受</w:t>
            </w:r>
            <w:r>
              <w:rPr>
                <w:rFonts w:hint="eastAsia" w:cs="Times New Roman"/>
                <w:color w:val="auto"/>
                <w:sz w:val="24"/>
                <w:szCs w:val="24"/>
                <w:lang w:val="en-US" w:eastAsia="zh-CN"/>
              </w:rPr>
              <w:t>。</w:t>
            </w:r>
          </w:p>
          <w:p w14:paraId="04877F7B">
            <w:pPr>
              <w:keepNext w:val="0"/>
              <w:keepLines w:val="0"/>
              <w:pageBreakBefore w:val="0"/>
              <w:widowControl w:val="0"/>
              <w:numPr>
                <w:ilvl w:val="0"/>
                <w:numId w:val="55"/>
              </w:numPr>
              <w:kinsoku/>
              <w:wordWrap/>
              <w:overflowPunct/>
              <w:topLinePunct w:val="0"/>
              <w:autoSpaceDE/>
              <w:autoSpaceDN/>
              <w:bidi w:val="0"/>
              <w:adjustRightInd/>
              <w:snapToGrid/>
              <w:spacing w:line="360" w:lineRule="auto"/>
              <w:ind w:left="0" w:leftChars="0" w:firstLine="482" w:firstLineChars="200"/>
              <w:jc w:val="both"/>
              <w:textAlignment w:val="auto"/>
              <w:rPr>
                <w:rFonts w:hint="eastAsia" w:ascii="Times New Roman" w:hAnsi="Times New Roman" w:eastAsia="宋体" w:cs="Times New Roman"/>
                <w:b/>
                <w:bCs/>
                <w:sz w:val="24"/>
                <w:szCs w:val="24"/>
                <w:lang w:val="en-US" w:eastAsia="zh-CN"/>
              </w:rPr>
            </w:pPr>
            <w:r>
              <w:rPr>
                <w:rFonts w:hint="eastAsia" w:ascii="Times New Roman" w:hAnsi="Times New Roman" w:eastAsia="宋体" w:cs="Times New Roman"/>
                <w:b/>
                <w:bCs/>
                <w:sz w:val="24"/>
                <w:szCs w:val="24"/>
                <w:lang w:val="en-US" w:eastAsia="zh-CN"/>
              </w:rPr>
              <w:t>自行监测要求</w:t>
            </w:r>
          </w:p>
          <w:p w14:paraId="699B1AB7">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ascii="Times New Roman" w:hAnsi="Times New Roman" w:eastAsia="宋体" w:cs="Times New Roman"/>
                <w:sz w:val="24"/>
                <w:szCs w:val="24"/>
                <w:lang w:val="en-US" w:eastAsia="zh-CN"/>
              </w:rPr>
            </w:pPr>
            <w:r>
              <w:rPr>
                <w:rFonts w:hint="eastAsia" w:cs="Times New Roman"/>
                <w:sz w:val="24"/>
                <w:szCs w:val="24"/>
                <w:lang w:val="en-US" w:eastAsia="zh-CN"/>
              </w:rPr>
              <w:t>参考</w:t>
            </w:r>
            <w:r>
              <w:rPr>
                <w:rFonts w:hint="eastAsia" w:ascii="Times New Roman" w:hAnsi="Times New Roman" w:eastAsia="宋体" w:cs="Times New Roman"/>
                <w:sz w:val="24"/>
                <w:szCs w:val="24"/>
                <w:lang w:val="en-US" w:eastAsia="zh-CN"/>
              </w:rPr>
              <w:t>《排污单位自行监测技术指南</w:t>
            </w:r>
            <w:r>
              <w:rPr>
                <w:rFonts w:hint="eastAsia" w:cs="Times New Roman"/>
                <w:sz w:val="24"/>
                <w:szCs w:val="24"/>
                <w:lang w:val="en-US" w:eastAsia="zh-CN"/>
              </w:rPr>
              <w:t xml:space="preserve"> </w:t>
            </w:r>
            <w:r>
              <w:rPr>
                <w:rFonts w:hint="eastAsia" w:ascii="Times New Roman" w:hAnsi="Times New Roman" w:eastAsia="宋体" w:cs="Times New Roman"/>
                <w:sz w:val="24"/>
                <w:szCs w:val="24"/>
                <w:lang w:val="en-US" w:eastAsia="zh-CN"/>
              </w:rPr>
              <w:t>总则》（HJ819-2017）</w:t>
            </w:r>
            <w:r>
              <w:rPr>
                <w:rFonts w:hint="eastAsia" w:cs="Times New Roman"/>
                <w:sz w:val="24"/>
                <w:szCs w:val="24"/>
                <w:lang w:val="en-US" w:eastAsia="zh-CN"/>
              </w:rPr>
              <w:t>、</w:t>
            </w:r>
            <w:r>
              <w:rPr>
                <w:rFonts w:hint="eastAsia" w:ascii="Times New Roman" w:hAnsi="Times New Roman" w:eastAsia="宋体" w:cs="Times New Roman"/>
                <w:sz w:val="24"/>
                <w:szCs w:val="24"/>
                <w:lang w:val="en-US" w:eastAsia="zh-CN"/>
              </w:rPr>
              <w:t>《排污许可证申请与核发技术规范—工业固体废物和危险废物治理》（HJ1033-2019），</w:t>
            </w:r>
            <w:r>
              <w:rPr>
                <w:rFonts w:hint="eastAsia" w:cs="Times New Roman"/>
                <w:sz w:val="24"/>
                <w:szCs w:val="24"/>
                <w:lang w:val="en-US" w:eastAsia="zh-CN"/>
              </w:rPr>
              <w:t>本</w:t>
            </w:r>
            <w:r>
              <w:rPr>
                <w:rFonts w:hint="eastAsia" w:ascii="Times New Roman" w:hAnsi="Times New Roman" w:eastAsia="宋体" w:cs="Times New Roman"/>
                <w:sz w:val="24"/>
                <w:szCs w:val="24"/>
                <w:lang w:val="en-US" w:eastAsia="zh-CN"/>
              </w:rPr>
              <w:t>项目监测要求如下表所示。</w:t>
            </w:r>
          </w:p>
          <w:p w14:paraId="5144BF44">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lang w:val="en-US" w:eastAsia="zh-CN"/>
              </w:rPr>
              <w:t>表4-</w:t>
            </w:r>
            <w:r>
              <w:rPr>
                <w:rFonts w:hint="eastAsia" w:cs="Times New Roman"/>
                <w:b/>
                <w:bCs/>
                <w:sz w:val="21"/>
                <w:szCs w:val="21"/>
                <w:lang w:val="en-US" w:eastAsia="zh-CN"/>
              </w:rPr>
              <w:t>12</w:t>
            </w:r>
            <w:r>
              <w:rPr>
                <w:rFonts w:hint="default" w:ascii="Times New Roman" w:hAnsi="Times New Roman" w:eastAsia="宋体" w:cs="Times New Roman"/>
                <w:b/>
                <w:bCs/>
                <w:sz w:val="21"/>
                <w:szCs w:val="21"/>
                <w:lang w:val="en-US" w:eastAsia="zh-CN"/>
              </w:rPr>
              <w:t xml:space="preserve"> 自行监测要求</w:t>
            </w:r>
          </w:p>
          <w:tbl>
            <w:tblPr>
              <w:tblStyle w:val="28"/>
              <w:tblW w:w="832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774"/>
              <w:gridCol w:w="2774"/>
              <w:gridCol w:w="2775"/>
            </w:tblGrid>
            <w:tr w14:paraId="571556E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2774" w:type="dxa"/>
                  <w:vAlign w:val="center"/>
                </w:tcPr>
                <w:p w14:paraId="73A70C71">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lang w:val="en-US" w:eastAsia="zh-CN"/>
                    </w:rPr>
                    <w:t>序号</w:t>
                  </w:r>
                </w:p>
              </w:tc>
              <w:tc>
                <w:tcPr>
                  <w:tcW w:w="2774" w:type="dxa"/>
                  <w:vAlign w:val="center"/>
                </w:tcPr>
                <w:p w14:paraId="126481A8">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lang w:val="en-US" w:eastAsia="zh-CN"/>
                    </w:rPr>
                    <w:t>1</w:t>
                  </w:r>
                </w:p>
              </w:tc>
              <w:tc>
                <w:tcPr>
                  <w:tcW w:w="2775" w:type="dxa"/>
                  <w:vAlign w:val="center"/>
                </w:tcPr>
                <w:p w14:paraId="705C97B7">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sz w:val="21"/>
                      <w:szCs w:val="21"/>
                      <w:vertAlign w:val="baseline"/>
                      <w:lang w:val="en-US" w:eastAsia="zh-CN"/>
                    </w:rPr>
                  </w:pPr>
                  <w:r>
                    <w:rPr>
                      <w:rFonts w:hint="eastAsia" w:cs="Times New Roman"/>
                      <w:sz w:val="21"/>
                      <w:szCs w:val="21"/>
                      <w:vertAlign w:val="baseline"/>
                      <w:lang w:val="en-US" w:eastAsia="zh-CN"/>
                    </w:rPr>
                    <w:t>3</w:t>
                  </w:r>
                </w:p>
              </w:tc>
            </w:tr>
            <w:tr w14:paraId="4E923F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0" w:hRule="atLeast"/>
              </w:trPr>
              <w:tc>
                <w:tcPr>
                  <w:tcW w:w="2774" w:type="dxa"/>
                  <w:vAlign w:val="center"/>
                </w:tcPr>
                <w:p w14:paraId="1000F2AF">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lang w:val="en-US" w:eastAsia="zh-CN"/>
                    </w:rPr>
                    <w:t>排放口编号/监测点位</w:t>
                  </w:r>
                </w:p>
              </w:tc>
              <w:tc>
                <w:tcPr>
                  <w:tcW w:w="2774" w:type="dxa"/>
                  <w:vAlign w:val="center"/>
                </w:tcPr>
                <w:p w14:paraId="086181F8">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lang w:val="en-US" w:eastAsia="zh-CN"/>
                    </w:rPr>
                    <w:t>DA001</w:t>
                  </w:r>
                </w:p>
              </w:tc>
              <w:tc>
                <w:tcPr>
                  <w:tcW w:w="2775" w:type="dxa"/>
                  <w:vAlign w:val="center"/>
                </w:tcPr>
                <w:p w14:paraId="286CD56E">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w:t>
                  </w:r>
                </w:p>
              </w:tc>
            </w:tr>
            <w:tr w14:paraId="4FDA10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0" w:hRule="atLeast"/>
              </w:trPr>
              <w:tc>
                <w:tcPr>
                  <w:tcW w:w="2774" w:type="dxa"/>
                  <w:vAlign w:val="center"/>
                </w:tcPr>
                <w:p w14:paraId="179BC917">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lang w:val="en-US" w:eastAsia="zh-CN"/>
                    </w:rPr>
                    <w:t>排放口名称/监测点位名称</w:t>
                  </w:r>
                </w:p>
              </w:tc>
              <w:tc>
                <w:tcPr>
                  <w:tcW w:w="2774" w:type="dxa"/>
                  <w:vAlign w:val="center"/>
                </w:tcPr>
                <w:p w14:paraId="067A85BF">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sz w:val="21"/>
                      <w:szCs w:val="21"/>
                      <w:vertAlign w:val="baseline"/>
                      <w:lang w:val="en-US" w:eastAsia="zh-CN"/>
                    </w:rPr>
                  </w:pPr>
                  <w:r>
                    <w:rPr>
                      <w:rFonts w:hint="eastAsia" w:cs="Times New Roman"/>
                      <w:sz w:val="21"/>
                      <w:szCs w:val="21"/>
                      <w:lang w:val="en-US" w:eastAsia="zh-CN"/>
                    </w:rPr>
                    <w:t>废油贮存库废气排放口</w:t>
                  </w:r>
                </w:p>
              </w:tc>
              <w:tc>
                <w:tcPr>
                  <w:tcW w:w="2775" w:type="dxa"/>
                  <w:vAlign w:val="center"/>
                </w:tcPr>
                <w:p w14:paraId="18994076">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lang w:val="en-US" w:eastAsia="zh-CN"/>
                    </w:rPr>
                    <w:t>无组织（厂界）</w:t>
                  </w:r>
                </w:p>
              </w:tc>
            </w:tr>
            <w:tr w14:paraId="2F635A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0" w:hRule="atLeast"/>
              </w:trPr>
              <w:tc>
                <w:tcPr>
                  <w:tcW w:w="2774" w:type="dxa"/>
                  <w:vAlign w:val="center"/>
                </w:tcPr>
                <w:p w14:paraId="05921815">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lang w:val="en-US" w:eastAsia="zh-CN"/>
                    </w:rPr>
                    <w:t>监测内容</w:t>
                  </w:r>
                </w:p>
              </w:tc>
              <w:tc>
                <w:tcPr>
                  <w:tcW w:w="2774" w:type="dxa"/>
                  <w:vAlign w:val="center"/>
                </w:tcPr>
                <w:p w14:paraId="7CF28B81">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lang w:val="en-US" w:eastAsia="zh-CN"/>
                    </w:rPr>
                    <w:t>烟气流量、浓度</w:t>
                  </w:r>
                </w:p>
              </w:tc>
              <w:tc>
                <w:tcPr>
                  <w:tcW w:w="2775" w:type="dxa"/>
                  <w:vAlign w:val="center"/>
                </w:tcPr>
                <w:p w14:paraId="44ABF84C">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lang w:val="en-US" w:eastAsia="zh-CN"/>
                    </w:rPr>
                    <w:t>风速、浓度</w:t>
                  </w:r>
                </w:p>
              </w:tc>
            </w:tr>
            <w:tr w14:paraId="68DEA1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0" w:hRule="atLeast"/>
              </w:trPr>
              <w:tc>
                <w:tcPr>
                  <w:tcW w:w="2774" w:type="dxa"/>
                  <w:vAlign w:val="center"/>
                </w:tcPr>
                <w:p w14:paraId="092E99F1">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lang w:val="en-US" w:eastAsia="zh-CN"/>
                    </w:rPr>
                    <w:t>污染物名称</w:t>
                  </w:r>
                </w:p>
              </w:tc>
              <w:tc>
                <w:tcPr>
                  <w:tcW w:w="2774" w:type="dxa"/>
                  <w:vAlign w:val="center"/>
                </w:tcPr>
                <w:p w14:paraId="2B2ADC1B">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sz w:val="21"/>
                      <w:szCs w:val="21"/>
                      <w:vertAlign w:val="baseline"/>
                      <w:lang w:val="en-US" w:eastAsia="zh-CN"/>
                    </w:rPr>
                  </w:pPr>
                  <w:r>
                    <w:rPr>
                      <w:rFonts w:hint="eastAsia"/>
                    </w:rPr>
                    <w:t>VOCs（非甲烷总烃）</w:t>
                  </w:r>
                </w:p>
              </w:tc>
              <w:tc>
                <w:tcPr>
                  <w:tcW w:w="2775" w:type="dxa"/>
                  <w:vAlign w:val="center"/>
                </w:tcPr>
                <w:p w14:paraId="6F831B8F">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ascii="Times New Roman" w:hAnsi="Times New Roman" w:eastAsia="宋体" w:cs="Times New Roman"/>
                      <w:b w:val="0"/>
                      <w:bCs w:val="0"/>
                      <w:kern w:val="2"/>
                      <w:sz w:val="21"/>
                      <w:szCs w:val="21"/>
                      <w:vertAlign w:val="baseline"/>
                      <w:lang w:val="en-US" w:eastAsia="zh-CN" w:bidi="ar-SA"/>
                    </w:rPr>
                  </w:pPr>
                  <w:r>
                    <w:rPr>
                      <w:rFonts w:hint="eastAsia"/>
                    </w:rPr>
                    <w:t>VOCs（非甲烷总烃）</w:t>
                  </w:r>
                </w:p>
              </w:tc>
            </w:tr>
            <w:tr w14:paraId="0A1E01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0" w:hRule="atLeast"/>
              </w:trPr>
              <w:tc>
                <w:tcPr>
                  <w:tcW w:w="2774" w:type="dxa"/>
                  <w:vAlign w:val="center"/>
                </w:tcPr>
                <w:p w14:paraId="7C10E95B">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lang w:val="en-US" w:eastAsia="zh-CN"/>
                    </w:rPr>
                    <w:t>手工监测采样方法及个数</w:t>
                  </w:r>
                </w:p>
              </w:tc>
              <w:tc>
                <w:tcPr>
                  <w:tcW w:w="2774" w:type="dxa"/>
                  <w:vAlign w:val="center"/>
                </w:tcPr>
                <w:p w14:paraId="7028E7A4">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kern w:val="2"/>
                      <w:sz w:val="21"/>
                      <w:szCs w:val="21"/>
                      <w:vertAlign w:val="baseline"/>
                      <w:lang w:val="en-US" w:eastAsia="zh-CN" w:bidi="ar-SA"/>
                    </w:rPr>
                  </w:pPr>
                  <w:r>
                    <w:rPr>
                      <w:rFonts w:hint="default" w:ascii="Times New Roman" w:hAnsi="Times New Roman" w:eastAsia="宋体" w:cs="Times New Roman"/>
                      <w:sz w:val="21"/>
                      <w:szCs w:val="21"/>
                      <w:lang w:val="en-US" w:eastAsia="zh-CN"/>
                    </w:rPr>
                    <w:t>连续1h采样</w:t>
                  </w:r>
                </w:p>
              </w:tc>
              <w:tc>
                <w:tcPr>
                  <w:tcW w:w="2775" w:type="dxa"/>
                  <w:vAlign w:val="center"/>
                </w:tcPr>
                <w:p w14:paraId="10FF5999">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kern w:val="2"/>
                      <w:sz w:val="21"/>
                      <w:szCs w:val="21"/>
                      <w:vertAlign w:val="baseline"/>
                      <w:lang w:val="en-US" w:eastAsia="zh-CN" w:bidi="ar-SA"/>
                    </w:rPr>
                  </w:pPr>
                  <w:r>
                    <w:rPr>
                      <w:rFonts w:hint="default" w:ascii="Times New Roman" w:hAnsi="Times New Roman" w:eastAsia="宋体" w:cs="Times New Roman"/>
                      <w:sz w:val="21"/>
                      <w:szCs w:val="21"/>
                      <w:lang w:val="en-US" w:eastAsia="zh-CN"/>
                    </w:rPr>
                    <w:t>瞬时采样至少3个瞬时样</w:t>
                  </w:r>
                </w:p>
              </w:tc>
            </w:tr>
            <w:tr w14:paraId="30A02C3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0" w:hRule="atLeast"/>
              </w:trPr>
              <w:tc>
                <w:tcPr>
                  <w:tcW w:w="2774" w:type="dxa"/>
                  <w:vAlign w:val="center"/>
                </w:tcPr>
                <w:p w14:paraId="0A1D1553">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lang w:val="en-US" w:eastAsia="zh-CN"/>
                    </w:rPr>
                    <w:t>手工监测频次</w:t>
                  </w:r>
                </w:p>
              </w:tc>
              <w:tc>
                <w:tcPr>
                  <w:tcW w:w="2774" w:type="dxa"/>
                  <w:vAlign w:val="center"/>
                </w:tcPr>
                <w:p w14:paraId="42FD9CBE">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kern w:val="2"/>
                      <w:sz w:val="21"/>
                      <w:szCs w:val="21"/>
                      <w:vertAlign w:val="baseline"/>
                      <w:lang w:val="en-US" w:eastAsia="zh-CN" w:bidi="ar-SA"/>
                    </w:rPr>
                  </w:pPr>
                  <w:r>
                    <w:rPr>
                      <w:rFonts w:hint="default" w:ascii="Times New Roman" w:hAnsi="Times New Roman" w:eastAsia="宋体" w:cs="Times New Roman"/>
                      <w:sz w:val="21"/>
                      <w:szCs w:val="21"/>
                      <w:lang w:val="en-US" w:eastAsia="zh-CN"/>
                    </w:rPr>
                    <w:t>1季度/次</w:t>
                  </w:r>
                </w:p>
              </w:tc>
              <w:tc>
                <w:tcPr>
                  <w:tcW w:w="2775" w:type="dxa"/>
                  <w:vAlign w:val="center"/>
                </w:tcPr>
                <w:p w14:paraId="5D90F4B7">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kern w:val="2"/>
                      <w:sz w:val="21"/>
                      <w:szCs w:val="21"/>
                      <w:vertAlign w:val="baseline"/>
                      <w:lang w:val="en-US" w:eastAsia="zh-CN" w:bidi="ar-SA"/>
                    </w:rPr>
                  </w:pPr>
                  <w:r>
                    <w:rPr>
                      <w:rFonts w:hint="default" w:ascii="Times New Roman" w:hAnsi="Times New Roman" w:eastAsia="宋体" w:cs="Times New Roman"/>
                      <w:sz w:val="21"/>
                      <w:szCs w:val="21"/>
                      <w:lang w:val="en-US" w:eastAsia="zh-CN"/>
                    </w:rPr>
                    <w:t>1季度/次</w:t>
                  </w:r>
                </w:p>
              </w:tc>
            </w:tr>
            <w:tr w14:paraId="3C2075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0" w:hRule="atLeast"/>
              </w:trPr>
              <w:tc>
                <w:tcPr>
                  <w:tcW w:w="2774" w:type="dxa"/>
                  <w:vAlign w:val="center"/>
                </w:tcPr>
                <w:p w14:paraId="534F8B81">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bCs/>
                      <w:sz w:val="21"/>
                      <w:szCs w:val="21"/>
                      <w:lang w:val="en-US" w:eastAsia="zh-CN"/>
                    </w:rPr>
                  </w:pPr>
                  <w:r>
                    <w:rPr>
                      <w:rFonts w:hint="eastAsia" w:cs="Times New Roman"/>
                      <w:b/>
                      <w:bCs/>
                      <w:sz w:val="21"/>
                      <w:szCs w:val="21"/>
                      <w:vertAlign w:val="baseline"/>
                      <w:lang w:val="en-US" w:eastAsia="zh-CN"/>
                    </w:rPr>
                    <w:t>执行标准</w:t>
                  </w:r>
                </w:p>
              </w:tc>
              <w:tc>
                <w:tcPr>
                  <w:tcW w:w="5549" w:type="dxa"/>
                  <w:gridSpan w:val="2"/>
                  <w:vAlign w:val="center"/>
                </w:tcPr>
                <w:p w14:paraId="1A3255EC">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sz w:val="21"/>
                      <w:szCs w:val="21"/>
                      <w:lang w:val="en-US" w:eastAsia="zh-CN"/>
                    </w:rPr>
                  </w:pPr>
                  <w:r>
                    <w:rPr>
                      <w:rFonts w:hint="eastAsia"/>
                    </w:rPr>
                    <w:t>（DB51/2377-2017）《四川省固定污染源大气挥发性有机物排放标准》及（GB37822-2019）《挥发性有机物无组织排放控制标准》</w:t>
                  </w:r>
                </w:p>
              </w:tc>
            </w:tr>
          </w:tbl>
          <w:p w14:paraId="285415F7">
            <w:pPr>
              <w:keepNext w:val="0"/>
              <w:keepLines w:val="0"/>
              <w:pageBreakBefore w:val="0"/>
              <w:widowControl w:val="0"/>
              <w:numPr>
                <w:ilvl w:val="0"/>
                <w:numId w:val="51"/>
              </w:numPr>
              <w:kinsoku/>
              <w:wordWrap/>
              <w:overflowPunct/>
              <w:topLinePunct w:val="0"/>
              <w:autoSpaceDE/>
              <w:autoSpaceDN/>
              <w:bidi w:val="0"/>
              <w:adjustRightInd/>
              <w:snapToGrid/>
              <w:spacing w:line="360" w:lineRule="auto"/>
              <w:ind w:left="0" w:leftChars="0" w:firstLine="482" w:firstLineChars="200"/>
              <w:jc w:val="both"/>
              <w:textAlignment w:val="auto"/>
              <w:rPr>
                <w:rFonts w:hint="eastAsia" w:ascii="Times New Roman" w:hAnsi="Times New Roman" w:eastAsia="宋体" w:cs="Times New Roman"/>
                <w:sz w:val="24"/>
                <w:szCs w:val="24"/>
                <w:lang w:val="en-US" w:eastAsia="zh-CN"/>
              </w:rPr>
            </w:pPr>
            <w:r>
              <w:rPr>
                <w:rFonts w:hint="eastAsia" w:ascii="Times New Roman" w:hAnsi="Times New Roman" w:eastAsia="宋体" w:cs="Times New Roman"/>
                <w:b/>
                <w:bCs/>
                <w:sz w:val="24"/>
                <w:szCs w:val="24"/>
                <w:lang w:val="en-US" w:eastAsia="zh-CN"/>
              </w:rPr>
              <w:t>噪声</w:t>
            </w:r>
          </w:p>
          <w:p w14:paraId="16EDD63F">
            <w:pPr>
              <w:keepNext w:val="0"/>
              <w:keepLines w:val="0"/>
              <w:pageBreakBefore w:val="0"/>
              <w:widowControl w:val="0"/>
              <w:numPr>
                <w:ilvl w:val="0"/>
                <w:numId w:val="61"/>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sz w:val="24"/>
                <w:szCs w:val="24"/>
                <w:lang w:val="en-US" w:eastAsia="zh-CN"/>
              </w:rPr>
            </w:pPr>
            <w:r>
              <w:rPr>
                <w:rFonts w:hint="eastAsia" w:ascii="Times New Roman" w:hAnsi="Times New Roman" w:eastAsia="宋体" w:cs="Times New Roman"/>
                <w:sz w:val="24"/>
                <w:szCs w:val="24"/>
                <w:lang w:val="en-US" w:eastAsia="zh-CN"/>
              </w:rPr>
              <w:t>噪声源强</w:t>
            </w:r>
          </w:p>
          <w:p w14:paraId="2D64A896">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ascii="Times New Roman" w:hAnsi="Times New Roman" w:eastAsia="宋体" w:cs="Times New Roman"/>
                <w:sz w:val="24"/>
                <w:szCs w:val="24"/>
                <w:lang w:val="en-US" w:eastAsia="zh-CN"/>
              </w:rPr>
            </w:pPr>
            <w:r>
              <w:rPr>
                <w:rFonts w:hint="eastAsia" w:cs="Times New Roman"/>
                <w:sz w:val="24"/>
                <w:szCs w:val="24"/>
                <w:lang w:val="en-US" w:eastAsia="zh-CN"/>
              </w:rPr>
              <w:t>本项目主要噪声来源于油泵、环保设备配套风机等设备运行噪声。</w:t>
            </w:r>
            <w:r>
              <w:rPr>
                <w:rFonts w:hint="eastAsia" w:ascii="Times New Roman" w:hAnsi="Times New Roman" w:eastAsia="宋体" w:cs="Times New Roman"/>
                <w:sz w:val="24"/>
                <w:szCs w:val="24"/>
                <w:lang w:val="en-US" w:eastAsia="zh-CN"/>
              </w:rPr>
              <w:t>经查询相关资料及类比同类企业数据，各类设备噪声声级一般为7</w:t>
            </w:r>
            <w:r>
              <w:rPr>
                <w:rFonts w:hint="eastAsia" w:cs="Times New Roman"/>
                <w:sz w:val="24"/>
                <w:szCs w:val="24"/>
                <w:lang w:val="en-US" w:eastAsia="zh-CN"/>
              </w:rPr>
              <w:t>0</w:t>
            </w:r>
            <w:r>
              <w:rPr>
                <w:rFonts w:hint="eastAsia" w:ascii="Times New Roman" w:hAnsi="Times New Roman" w:eastAsia="宋体" w:cs="Times New Roman"/>
                <w:sz w:val="24"/>
                <w:szCs w:val="24"/>
                <w:lang w:val="en-US" w:eastAsia="zh-CN"/>
              </w:rPr>
              <w:t>~</w:t>
            </w:r>
            <w:r>
              <w:rPr>
                <w:rFonts w:hint="eastAsia" w:cs="Times New Roman"/>
                <w:sz w:val="24"/>
                <w:szCs w:val="24"/>
                <w:lang w:val="en-US" w:eastAsia="zh-CN"/>
              </w:rPr>
              <w:t>80</w:t>
            </w:r>
            <w:r>
              <w:rPr>
                <w:rFonts w:hint="default" w:ascii="Times New Roman" w:hAnsi="Times New Roman" w:eastAsia="宋体" w:cs="Times New Roman"/>
                <w:color w:val="auto"/>
                <w:sz w:val="24"/>
                <w:szCs w:val="24"/>
                <w:lang w:val="en-US" w:eastAsia="zh-CN"/>
              </w:rPr>
              <w:t>dB（A</w:t>
            </w:r>
            <w:r>
              <w:rPr>
                <w:rFonts w:hint="eastAsia" w:cs="Times New Roman"/>
                <w:color w:val="auto"/>
                <w:sz w:val="24"/>
                <w:szCs w:val="24"/>
                <w:lang w:val="en-US" w:eastAsia="zh-CN"/>
              </w:rPr>
              <w:t>）</w:t>
            </w:r>
            <w:r>
              <w:rPr>
                <w:rFonts w:hint="default" w:ascii="Times New Roman" w:hAnsi="Times New Roman" w:eastAsia="宋体" w:cs="Times New Roman"/>
                <w:color w:val="auto"/>
                <w:sz w:val="24"/>
                <w:szCs w:val="24"/>
                <w:lang w:val="en-US" w:eastAsia="zh-CN"/>
              </w:rPr>
              <w:t>之间</w:t>
            </w:r>
            <w:r>
              <w:rPr>
                <w:rFonts w:hint="eastAsia" w:cs="Times New Roman"/>
                <w:sz w:val="24"/>
                <w:szCs w:val="24"/>
                <w:lang w:val="en-US" w:eastAsia="zh-CN"/>
              </w:rPr>
              <w:t>，为非稳态噪声，</w:t>
            </w:r>
            <w:r>
              <w:rPr>
                <w:rFonts w:hint="eastAsia" w:ascii="Times New Roman" w:hAnsi="Times New Roman" w:eastAsia="宋体" w:cs="Times New Roman"/>
                <w:sz w:val="24"/>
                <w:szCs w:val="24"/>
                <w:lang w:val="en-US" w:eastAsia="zh-CN"/>
              </w:rPr>
              <w:t>主要噪声源特性及源强见下表。</w:t>
            </w:r>
          </w:p>
          <w:p w14:paraId="1B367802">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eastAsia" w:ascii="Times New Roman" w:hAnsi="Times New Roman" w:eastAsia="宋体" w:cs="Times New Roman"/>
                <w:b/>
                <w:bCs/>
                <w:sz w:val="21"/>
                <w:szCs w:val="21"/>
                <w:lang w:val="en-US" w:eastAsia="zh-CN"/>
              </w:rPr>
            </w:pPr>
            <w:r>
              <w:rPr>
                <w:rFonts w:hint="eastAsia" w:ascii="Times New Roman" w:hAnsi="Times New Roman" w:eastAsia="宋体" w:cs="Times New Roman"/>
                <w:b/>
                <w:bCs/>
                <w:sz w:val="21"/>
                <w:szCs w:val="21"/>
                <w:lang w:val="en-US" w:eastAsia="zh-CN"/>
              </w:rPr>
              <w:t>表</w:t>
            </w:r>
            <w:r>
              <w:rPr>
                <w:rFonts w:hint="eastAsia" w:cs="Times New Roman"/>
                <w:b/>
                <w:bCs/>
                <w:sz w:val="21"/>
                <w:szCs w:val="21"/>
                <w:lang w:val="en-US" w:eastAsia="zh-CN"/>
              </w:rPr>
              <w:t xml:space="preserve">4-13 </w:t>
            </w:r>
            <w:r>
              <w:rPr>
                <w:rFonts w:hint="eastAsia" w:ascii="Times New Roman" w:hAnsi="Times New Roman" w:eastAsia="宋体" w:cs="Times New Roman"/>
                <w:b/>
                <w:bCs/>
                <w:sz w:val="21"/>
                <w:szCs w:val="21"/>
                <w:lang w:val="en-US" w:eastAsia="zh-CN"/>
              </w:rPr>
              <w:t>项目主要噪声源特性及源强一览表</w:t>
            </w:r>
          </w:p>
          <w:tbl>
            <w:tblPr>
              <w:tblStyle w:val="28"/>
              <w:tblW w:w="832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66"/>
              <w:gridCol w:w="653"/>
              <w:gridCol w:w="1542"/>
              <w:gridCol w:w="455"/>
              <w:gridCol w:w="870"/>
              <w:gridCol w:w="1050"/>
              <w:gridCol w:w="892"/>
              <w:gridCol w:w="1217"/>
              <w:gridCol w:w="1178"/>
            </w:tblGrid>
            <w:tr w14:paraId="3803DD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7" w:hRule="atLeast"/>
              </w:trPr>
              <w:tc>
                <w:tcPr>
                  <w:tcW w:w="466" w:type="dxa"/>
                  <w:vMerge w:val="restart"/>
                  <w:vAlign w:val="center"/>
                </w:tcPr>
                <w:p w14:paraId="31B2C096">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bCs/>
                      <w:sz w:val="21"/>
                      <w:szCs w:val="21"/>
                      <w:vertAlign w:val="baseline"/>
                      <w:lang w:val="en-US" w:eastAsia="zh-CN"/>
                    </w:rPr>
                  </w:pPr>
                  <w:r>
                    <w:rPr>
                      <w:rFonts w:hint="eastAsia" w:ascii="Times New Roman" w:hAnsi="Times New Roman" w:eastAsia="宋体" w:cs="Times New Roman"/>
                      <w:b/>
                      <w:bCs/>
                      <w:sz w:val="21"/>
                      <w:szCs w:val="21"/>
                      <w:lang w:val="en-US" w:eastAsia="zh-CN"/>
                    </w:rPr>
                    <w:t>序号</w:t>
                  </w:r>
                </w:p>
              </w:tc>
              <w:tc>
                <w:tcPr>
                  <w:tcW w:w="653" w:type="dxa"/>
                  <w:vMerge w:val="restart"/>
                  <w:vAlign w:val="center"/>
                </w:tcPr>
                <w:p w14:paraId="51A8CAC3">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bCs/>
                      <w:sz w:val="21"/>
                      <w:szCs w:val="21"/>
                      <w:vertAlign w:val="baseline"/>
                      <w:lang w:val="en-US" w:eastAsia="zh-CN"/>
                    </w:rPr>
                  </w:pPr>
                  <w:r>
                    <w:rPr>
                      <w:rFonts w:hint="eastAsia" w:ascii="Times New Roman" w:hAnsi="Times New Roman" w:eastAsia="宋体" w:cs="Times New Roman"/>
                      <w:b/>
                      <w:bCs/>
                      <w:sz w:val="21"/>
                      <w:szCs w:val="21"/>
                      <w:lang w:val="en-US" w:eastAsia="zh-CN"/>
                    </w:rPr>
                    <w:t>建筑物名称</w:t>
                  </w:r>
                </w:p>
              </w:tc>
              <w:tc>
                <w:tcPr>
                  <w:tcW w:w="1542" w:type="dxa"/>
                  <w:vMerge w:val="restart"/>
                  <w:vAlign w:val="center"/>
                </w:tcPr>
                <w:p w14:paraId="6D6DAD9D">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bCs/>
                      <w:sz w:val="21"/>
                      <w:szCs w:val="21"/>
                      <w:vertAlign w:val="baseline"/>
                      <w:lang w:val="en-US" w:eastAsia="zh-CN"/>
                    </w:rPr>
                  </w:pPr>
                  <w:r>
                    <w:rPr>
                      <w:rFonts w:hint="eastAsia" w:ascii="Times New Roman" w:hAnsi="Times New Roman" w:eastAsia="宋体" w:cs="Times New Roman"/>
                      <w:b/>
                      <w:bCs/>
                      <w:sz w:val="21"/>
                      <w:szCs w:val="21"/>
                      <w:lang w:val="en-US" w:eastAsia="zh-CN"/>
                    </w:rPr>
                    <w:t>声源名称</w:t>
                  </w:r>
                </w:p>
              </w:tc>
              <w:tc>
                <w:tcPr>
                  <w:tcW w:w="455" w:type="dxa"/>
                  <w:vMerge w:val="restart"/>
                  <w:vAlign w:val="center"/>
                </w:tcPr>
                <w:p w14:paraId="3AFA2170">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bCs/>
                      <w:sz w:val="21"/>
                      <w:szCs w:val="21"/>
                      <w:vertAlign w:val="baseline"/>
                      <w:lang w:val="en-US" w:eastAsia="zh-CN"/>
                    </w:rPr>
                  </w:pPr>
                  <w:r>
                    <w:rPr>
                      <w:rFonts w:hint="eastAsia" w:ascii="Times New Roman" w:hAnsi="Times New Roman" w:eastAsia="宋体" w:cs="Times New Roman"/>
                      <w:b/>
                      <w:bCs/>
                      <w:sz w:val="21"/>
                      <w:szCs w:val="21"/>
                      <w:lang w:val="en-US" w:eastAsia="zh-CN"/>
                    </w:rPr>
                    <w:t>数量</w:t>
                  </w:r>
                </w:p>
              </w:tc>
              <w:tc>
                <w:tcPr>
                  <w:tcW w:w="1920" w:type="dxa"/>
                  <w:gridSpan w:val="2"/>
                  <w:vAlign w:val="center"/>
                </w:tcPr>
                <w:p w14:paraId="274F73CF">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bCs/>
                      <w:sz w:val="21"/>
                      <w:szCs w:val="21"/>
                      <w:lang w:val="en-US" w:eastAsia="zh-CN"/>
                    </w:rPr>
                  </w:pPr>
                  <w:r>
                    <w:rPr>
                      <w:rFonts w:hint="eastAsia" w:ascii="Times New Roman" w:hAnsi="Times New Roman" w:eastAsia="宋体" w:cs="Times New Roman"/>
                      <w:b/>
                      <w:bCs/>
                      <w:sz w:val="21"/>
                      <w:szCs w:val="21"/>
                      <w:lang w:val="en-US" w:eastAsia="zh-CN"/>
                    </w:rPr>
                    <w:t>声源源强</w:t>
                  </w:r>
                </w:p>
              </w:tc>
              <w:tc>
                <w:tcPr>
                  <w:tcW w:w="892" w:type="dxa"/>
                  <w:vMerge w:val="restart"/>
                  <w:vAlign w:val="center"/>
                </w:tcPr>
                <w:p w14:paraId="2261A44C">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bCs/>
                      <w:sz w:val="21"/>
                      <w:szCs w:val="21"/>
                      <w:vertAlign w:val="baseline"/>
                      <w:lang w:val="en-US" w:eastAsia="zh-CN"/>
                    </w:rPr>
                  </w:pPr>
                  <w:r>
                    <w:rPr>
                      <w:rFonts w:hint="eastAsia" w:ascii="Times New Roman" w:hAnsi="Times New Roman" w:eastAsia="宋体" w:cs="Times New Roman"/>
                      <w:b/>
                      <w:bCs/>
                      <w:sz w:val="21"/>
                      <w:szCs w:val="21"/>
                      <w:lang w:val="en-US" w:eastAsia="zh-CN"/>
                    </w:rPr>
                    <w:t>声源控制措施</w:t>
                  </w:r>
                </w:p>
              </w:tc>
              <w:tc>
                <w:tcPr>
                  <w:tcW w:w="1217" w:type="dxa"/>
                  <w:vMerge w:val="restart"/>
                  <w:vAlign w:val="center"/>
                </w:tcPr>
                <w:p w14:paraId="1B861BB5">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bCs/>
                      <w:sz w:val="21"/>
                      <w:szCs w:val="21"/>
                      <w:vertAlign w:val="baseline"/>
                      <w:lang w:val="en-US" w:eastAsia="zh-CN"/>
                    </w:rPr>
                  </w:pPr>
                  <w:r>
                    <w:rPr>
                      <w:rFonts w:hint="eastAsia" w:ascii="Times New Roman" w:hAnsi="Times New Roman" w:eastAsia="宋体" w:cs="Times New Roman"/>
                      <w:b/>
                      <w:bCs/>
                      <w:sz w:val="21"/>
                      <w:szCs w:val="21"/>
                      <w:lang w:val="en-US" w:eastAsia="zh-CN"/>
                    </w:rPr>
                    <w:t>运行时段</w:t>
                  </w:r>
                </w:p>
              </w:tc>
              <w:tc>
                <w:tcPr>
                  <w:tcW w:w="1178" w:type="dxa"/>
                  <w:vMerge w:val="restart"/>
                  <w:vAlign w:val="center"/>
                </w:tcPr>
                <w:p w14:paraId="4AA4D1DC">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bCs/>
                      <w:sz w:val="21"/>
                      <w:szCs w:val="21"/>
                      <w:vertAlign w:val="baseline"/>
                      <w:lang w:val="en-US" w:eastAsia="zh-CN"/>
                    </w:rPr>
                  </w:pPr>
                  <w:r>
                    <w:rPr>
                      <w:rFonts w:hint="eastAsia" w:ascii="Times New Roman" w:hAnsi="Times New Roman" w:eastAsia="宋体" w:cs="Times New Roman"/>
                      <w:b/>
                      <w:bCs/>
                      <w:sz w:val="21"/>
                      <w:szCs w:val="21"/>
                      <w:lang w:val="en-US" w:eastAsia="zh-CN"/>
                    </w:rPr>
                    <w:t>建筑物插入损失</w:t>
                  </w:r>
                </w:p>
              </w:tc>
            </w:tr>
            <w:tr w14:paraId="2FD589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7" w:hRule="atLeast"/>
              </w:trPr>
              <w:tc>
                <w:tcPr>
                  <w:tcW w:w="466" w:type="dxa"/>
                  <w:vMerge w:val="continue"/>
                  <w:vAlign w:val="center"/>
                </w:tcPr>
                <w:p w14:paraId="547879C3">
                  <w:pPr>
                    <w:keepNext w:val="0"/>
                    <w:keepLines w:val="0"/>
                    <w:pageBreakBefore w:val="0"/>
                    <w:widowControl w:val="0"/>
                    <w:kinsoku/>
                    <w:wordWrap/>
                    <w:overflowPunct/>
                    <w:topLinePunct w:val="0"/>
                    <w:autoSpaceDE/>
                    <w:autoSpaceDN/>
                    <w:bidi w:val="0"/>
                    <w:adjustRightInd/>
                    <w:snapToGrid/>
                    <w:spacing w:line="240" w:lineRule="auto"/>
                    <w:jc w:val="center"/>
                    <w:textAlignment w:val="auto"/>
                  </w:pPr>
                </w:p>
              </w:tc>
              <w:tc>
                <w:tcPr>
                  <w:tcW w:w="653" w:type="dxa"/>
                  <w:vMerge w:val="continue"/>
                  <w:vAlign w:val="center"/>
                </w:tcPr>
                <w:p w14:paraId="1A743241">
                  <w:pPr>
                    <w:keepNext w:val="0"/>
                    <w:keepLines w:val="0"/>
                    <w:pageBreakBefore w:val="0"/>
                    <w:widowControl w:val="0"/>
                    <w:kinsoku/>
                    <w:wordWrap/>
                    <w:overflowPunct/>
                    <w:topLinePunct w:val="0"/>
                    <w:autoSpaceDE/>
                    <w:autoSpaceDN/>
                    <w:bidi w:val="0"/>
                    <w:adjustRightInd/>
                    <w:snapToGrid/>
                    <w:spacing w:line="240" w:lineRule="auto"/>
                    <w:jc w:val="center"/>
                    <w:textAlignment w:val="auto"/>
                  </w:pPr>
                </w:p>
              </w:tc>
              <w:tc>
                <w:tcPr>
                  <w:tcW w:w="1542" w:type="dxa"/>
                  <w:vMerge w:val="continue"/>
                  <w:vAlign w:val="center"/>
                </w:tcPr>
                <w:p w14:paraId="2D3ACCAE">
                  <w:pPr>
                    <w:keepNext w:val="0"/>
                    <w:keepLines w:val="0"/>
                    <w:pageBreakBefore w:val="0"/>
                    <w:widowControl w:val="0"/>
                    <w:kinsoku/>
                    <w:wordWrap/>
                    <w:overflowPunct/>
                    <w:topLinePunct w:val="0"/>
                    <w:autoSpaceDE/>
                    <w:autoSpaceDN/>
                    <w:bidi w:val="0"/>
                    <w:adjustRightInd/>
                    <w:snapToGrid/>
                    <w:spacing w:line="240" w:lineRule="auto"/>
                    <w:jc w:val="center"/>
                    <w:textAlignment w:val="auto"/>
                  </w:pPr>
                </w:p>
              </w:tc>
              <w:tc>
                <w:tcPr>
                  <w:tcW w:w="455" w:type="dxa"/>
                  <w:vMerge w:val="continue"/>
                  <w:vAlign w:val="center"/>
                </w:tcPr>
                <w:p w14:paraId="2964DFB4">
                  <w:pPr>
                    <w:keepNext w:val="0"/>
                    <w:keepLines w:val="0"/>
                    <w:pageBreakBefore w:val="0"/>
                    <w:widowControl w:val="0"/>
                    <w:kinsoku/>
                    <w:wordWrap/>
                    <w:overflowPunct/>
                    <w:topLinePunct w:val="0"/>
                    <w:autoSpaceDE/>
                    <w:autoSpaceDN/>
                    <w:bidi w:val="0"/>
                    <w:adjustRightInd/>
                    <w:snapToGrid/>
                    <w:spacing w:line="240" w:lineRule="auto"/>
                    <w:jc w:val="center"/>
                    <w:textAlignment w:val="auto"/>
                  </w:pPr>
                </w:p>
              </w:tc>
              <w:tc>
                <w:tcPr>
                  <w:tcW w:w="870" w:type="dxa"/>
                  <w:vAlign w:val="center"/>
                </w:tcPr>
                <w:p w14:paraId="274CB238">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声压级</w:t>
                  </w:r>
                </w:p>
                <w:p w14:paraId="364C7004">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pPr>
                  <w:r>
                    <w:rPr>
                      <w:rFonts w:hint="eastAsia" w:ascii="Times New Roman" w:hAnsi="Times New Roman" w:eastAsia="宋体" w:cs="Times New Roman"/>
                      <w:sz w:val="21"/>
                      <w:szCs w:val="21"/>
                      <w:lang w:val="en-US" w:eastAsia="zh-CN"/>
                    </w:rPr>
                    <w:t>（dB）</w:t>
                  </w:r>
                </w:p>
              </w:tc>
              <w:tc>
                <w:tcPr>
                  <w:tcW w:w="1050" w:type="dxa"/>
                  <w:vAlign w:val="center"/>
                </w:tcPr>
                <w:p w14:paraId="4B585FFB">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pPr>
                  <w:r>
                    <w:rPr>
                      <w:rFonts w:hint="eastAsia" w:ascii="Times New Roman" w:hAnsi="Times New Roman" w:eastAsia="宋体" w:cs="Times New Roman"/>
                      <w:sz w:val="21"/>
                      <w:szCs w:val="21"/>
                      <w:lang w:val="en-US" w:eastAsia="zh-CN"/>
                    </w:rPr>
                    <w:t>距声源距离（m）</w:t>
                  </w:r>
                </w:p>
              </w:tc>
              <w:tc>
                <w:tcPr>
                  <w:tcW w:w="892" w:type="dxa"/>
                  <w:vMerge w:val="continue"/>
                  <w:vAlign w:val="center"/>
                </w:tcPr>
                <w:p w14:paraId="470DB0EB">
                  <w:pPr>
                    <w:keepNext w:val="0"/>
                    <w:keepLines w:val="0"/>
                    <w:pageBreakBefore w:val="0"/>
                    <w:widowControl w:val="0"/>
                    <w:kinsoku/>
                    <w:wordWrap/>
                    <w:overflowPunct/>
                    <w:topLinePunct w:val="0"/>
                    <w:autoSpaceDE/>
                    <w:autoSpaceDN/>
                    <w:bidi w:val="0"/>
                    <w:adjustRightInd/>
                    <w:snapToGrid/>
                    <w:spacing w:line="240" w:lineRule="auto"/>
                    <w:jc w:val="center"/>
                    <w:textAlignment w:val="auto"/>
                  </w:pPr>
                </w:p>
              </w:tc>
              <w:tc>
                <w:tcPr>
                  <w:tcW w:w="1217" w:type="dxa"/>
                  <w:vMerge w:val="continue"/>
                  <w:vAlign w:val="center"/>
                </w:tcPr>
                <w:p w14:paraId="5D6C1082">
                  <w:pPr>
                    <w:keepNext w:val="0"/>
                    <w:keepLines w:val="0"/>
                    <w:pageBreakBefore w:val="0"/>
                    <w:widowControl w:val="0"/>
                    <w:kinsoku/>
                    <w:wordWrap/>
                    <w:overflowPunct/>
                    <w:topLinePunct w:val="0"/>
                    <w:autoSpaceDE/>
                    <w:autoSpaceDN/>
                    <w:bidi w:val="0"/>
                    <w:adjustRightInd/>
                    <w:snapToGrid/>
                    <w:spacing w:line="240" w:lineRule="auto"/>
                    <w:jc w:val="center"/>
                    <w:textAlignment w:val="auto"/>
                  </w:pPr>
                </w:p>
              </w:tc>
              <w:tc>
                <w:tcPr>
                  <w:tcW w:w="1178" w:type="dxa"/>
                  <w:vMerge w:val="continue"/>
                  <w:vAlign w:val="center"/>
                </w:tcPr>
                <w:p w14:paraId="2F934412">
                  <w:pPr>
                    <w:keepNext w:val="0"/>
                    <w:keepLines w:val="0"/>
                    <w:pageBreakBefore w:val="0"/>
                    <w:widowControl w:val="0"/>
                    <w:kinsoku/>
                    <w:wordWrap/>
                    <w:overflowPunct/>
                    <w:topLinePunct w:val="0"/>
                    <w:autoSpaceDE/>
                    <w:autoSpaceDN/>
                    <w:bidi w:val="0"/>
                    <w:adjustRightInd/>
                    <w:snapToGrid/>
                    <w:spacing w:line="240" w:lineRule="auto"/>
                    <w:jc w:val="center"/>
                    <w:textAlignment w:val="auto"/>
                  </w:pPr>
                </w:p>
              </w:tc>
            </w:tr>
            <w:tr w14:paraId="747FF1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2" w:hRule="atLeast"/>
              </w:trPr>
              <w:tc>
                <w:tcPr>
                  <w:tcW w:w="466" w:type="dxa"/>
                  <w:vAlign w:val="center"/>
                </w:tcPr>
                <w:p w14:paraId="13644200">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sz w:val="21"/>
                      <w:szCs w:val="21"/>
                      <w:vertAlign w:val="baseline"/>
                      <w:lang w:val="en-US" w:eastAsia="zh-CN"/>
                    </w:rPr>
                  </w:pPr>
                  <w:r>
                    <w:rPr>
                      <w:rFonts w:hint="eastAsia" w:cs="Times New Roman"/>
                      <w:sz w:val="21"/>
                      <w:szCs w:val="21"/>
                      <w:vertAlign w:val="baseline"/>
                      <w:lang w:val="en-US" w:eastAsia="zh-CN"/>
                    </w:rPr>
                    <w:t>1</w:t>
                  </w:r>
                </w:p>
              </w:tc>
              <w:tc>
                <w:tcPr>
                  <w:tcW w:w="653" w:type="dxa"/>
                  <w:vMerge w:val="restart"/>
                  <w:vAlign w:val="center"/>
                </w:tcPr>
                <w:p w14:paraId="3280D29C">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sz w:val="21"/>
                      <w:szCs w:val="21"/>
                      <w:vertAlign w:val="baseline"/>
                      <w:lang w:val="en-US" w:eastAsia="zh-CN"/>
                    </w:rPr>
                  </w:pPr>
                  <w:r>
                    <w:rPr>
                      <w:rFonts w:hint="eastAsia" w:cs="Times New Roman"/>
                      <w:sz w:val="21"/>
                      <w:szCs w:val="21"/>
                      <w:vertAlign w:val="baseline"/>
                      <w:lang w:val="en-US" w:eastAsia="zh-CN"/>
                    </w:rPr>
                    <w:t>生产</w:t>
                  </w:r>
                </w:p>
                <w:p w14:paraId="586A3997">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sz w:val="21"/>
                      <w:szCs w:val="21"/>
                      <w:vertAlign w:val="baseline"/>
                      <w:lang w:val="en-US" w:eastAsia="zh-CN"/>
                    </w:rPr>
                  </w:pPr>
                  <w:r>
                    <w:rPr>
                      <w:rFonts w:hint="eastAsia" w:cs="Times New Roman"/>
                      <w:sz w:val="21"/>
                      <w:szCs w:val="21"/>
                      <w:vertAlign w:val="baseline"/>
                      <w:lang w:val="en-US" w:eastAsia="zh-CN"/>
                    </w:rPr>
                    <w:t>车间</w:t>
                  </w:r>
                </w:p>
              </w:tc>
              <w:tc>
                <w:tcPr>
                  <w:tcW w:w="1542" w:type="dxa"/>
                  <w:vAlign w:val="center"/>
                </w:tcPr>
                <w:p w14:paraId="11735134">
                  <w:pPr>
                    <w:widowControl/>
                    <w:adjustRightInd w:val="0"/>
                    <w:snapToGrid w:val="0"/>
                    <w:spacing w:line="240" w:lineRule="auto"/>
                    <w:jc w:val="center"/>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000000"/>
                      <w:kern w:val="0"/>
                      <w:sz w:val="21"/>
                      <w:szCs w:val="21"/>
                      <w:lang w:val="en-US" w:eastAsia="zh-CN"/>
                    </w:rPr>
                    <w:t>圆弧齿轮油泵</w:t>
                  </w:r>
                </w:p>
              </w:tc>
              <w:tc>
                <w:tcPr>
                  <w:tcW w:w="455" w:type="dxa"/>
                  <w:vAlign w:val="center"/>
                </w:tcPr>
                <w:p w14:paraId="7DB8C7EA">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sz w:val="21"/>
                      <w:szCs w:val="21"/>
                      <w:vertAlign w:val="baseline"/>
                      <w:lang w:val="en-US" w:eastAsia="zh-CN"/>
                    </w:rPr>
                  </w:pPr>
                  <w:r>
                    <w:rPr>
                      <w:rFonts w:hint="eastAsia" w:cs="Times New Roman"/>
                      <w:sz w:val="21"/>
                      <w:szCs w:val="21"/>
                      <w:vertAlign w:val="baseline"/>
                      <w:lang w:val="en-US" w:eastAsia="zh-CN"/>
                    </w:rPr>
                    <w:t>2</w:t>
                  </w:r>
                </w:p>
              </w:tc>
              <w:tc>
                <w:tcPr>
                  <w:tcW w:w="870" w:type="dxa"/>
                  <w:vAlign w:val="center"/>
                </w:tcPr>
                <w:p w14:paraId="5EC95F13">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sz w:val="21"/>
                      <w:szCs w:val="21"/>
                      <w:vertAlign w:val="baseline"/>
                      <w:lang w:val="en-US" w:eastAsia="zh-CN"/>
                    </w:rPr>
                  </w:pPr>
                  <w:r>
                    <w:rPr>
                      <w:rFonts w:hint="eastAsia" w:cs="Times New Roman"/>
                      <w:sz w:val="21"/>
                      <w:szCs w:val="21"/>
                      <w:vertAlign w:val="baseline"/>
                      <w:lang w:val="en-US" w:eastAsia="zh-CN"/>
                    </w:rPr>
                    <w:t>70</w:t>
                  </w:r>
                </w:p>
              </w:tc>
              <w:tc>
                <w:tcPr>
                  <w:tcW w:w="1050" w:type="dxa"/>
                  <w:vAlign w:val="center"/>
                </w:tcPr>
                <w:p w14:paraId="12F6B320">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sz w:val="21"/>
                      <w:szCs w:val="21"/>
                      <w:vertAlign w:val="baseline"/>
                      <w:lang w:val="en-US" w:eastAsia="zh-CN"/>
                    </w:rPr>
                  </w:pPr>
                  <w:r>
                    <w:rPr>
                      <w:rFonts w:hint="eastAsia" w:cs="Times New Roman"/>
                      <w:sz w:val="21"/>
                      <w:szCs w:val="21"/>
                      <w:vertAlign w:val="baseline"/>
                      <w:lang w:val="en-US" w:eastAsia="zh-CN"/>
                    </w:rPr>
                    <w:t>1</w:t>
                  </w:r>
                </w:p>
              </w:tc>
              <w:tc>
                <w:tcPr>
                  <w:tcW w:w="892" w:type="dxa"/>
                  <w:vMerge w:val="restart"/>
                  <w:vAlign w:val="center"/>
                </w:tcPr>
                <w:p w14:paraId="2DF6BF47">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sz w:val="21"/>
                      <w:szCs w:val="21"/>
                      <w:vertAlign w:val="baseline"/>
                      <w:lang w:val="en-US" w:eastAsia="zh-CN"/>
                    </w:rPr>
                  </w:pPr>
                  <w:r>
                    <w:rPr>
                      <w:rFonts w:hint="eastAsia" w:ascii="Times New Roman" w:hAnsi="Times New Roman" w:eastAsia="宋体" w:cs="Times New Roman"/>
                      <w:sz w:val="21"/>
                      <w:szCs w:val="21"/>
                      <w:vertAlign w:val="baseline"/>
                      <w:lang w:val="en-US" w:eastAsia="zh-CN"/>
                    </w:rPr>
                    <w:t>设备减震隔声、厂房隔声</w:t>
                  </w:r>
                </w:p>
              </w:tc>
              <w:tc>
                <w:tcPr>
                  <w:tcW w:w="1217" w:type="dxa"/>
                  <w:vAlign w:val="center"/>
                </w:tcPr>
                <w:p w14:paraId="32978A7C">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sz w:val="21"/>
                      <w:szCs w:val="21"/>
                      <w:vertAlign w:val="baseline"/>
                      <w:lang w:val="en-US" w:eastAsia="zh-CN"/>
                    </w:rPr>
                  </w:pPr>
                  <w:r>
                    <w:rPr>
                      <w:rFonts w:hint="eastAsia" w:ascii="Times New Roman" w:hAnsi="Times New Roman" w:eastAsia="宋体" w:cs="Times New Roman"/>
                      <w:sz w:val="21"/>
                      <w:szCs w:val="21"/>
                      <w:vertAlign w:val="baseline"/>
                      <w:lang w:val="en-US" w:eastAsia="zh-CN"/>
                    </w:rPr>
                    <w:t>非稳态</w:t>
                  </w:r>
                </w:p>
              </w:tc>
              <w:tc>
                <w:tcPr>
                  <w:tcW w:w="1178" w:type="dxa"/>
                  <w:vMerge w:val="restart"/>
                  <w:vAlign w:val="center"/>
                </w:tcPr>
                <w:p w14:paraId="74A3E6B0">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sz w:val="21"/>
                      <w:szCs w:val="21"/>
                      <w:vertAlign w:val="baseline"/>
                      <w:lang w:val="en-US" w:eastAsia="zh-CN"/>
                    </w:rPr>
                  </w:pPr>
                  <w:r>
                    <w:rPr>
                      <w:rFonts w:hint="eastAsia" w:ascii="Times New Roman" w:hAnsi="Times New Roman" w:eastAsia="宋体" w:cs="Times New Roman"/>
                      <w:sz w:val="21"/>
                      <w:szCs w:val="21"/>
                      <w:vertAlign w:val="baseline"/>
                      <w:lang w:val="en-US" w:eastAsia="zh-CN"/>
                    </w:rPr>
                    <w:t>墙体隔音的方式噪声效果降低</w:t>
                  </w:r>
                  <w:r>
                    <w:rPr>
                      <w:rFonts w:hint="eastAsia" w:cs="Times New Roman"/>
                      <w:sz w:val="21"/>
                      <w:szCs w:val="21"/>
                      <w:vertAlign w:val="baseline"/>
                      <w:lang w:val="en-US" w:eastAsia="zh-CN"/>
                    </w:rPr>
                    <w:t>约</w:t>
                  </w:r>
                </w:p>
                <w:p w14:paraId="6FD7B686">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sz w:val="21"/>
                      <w:szCs w:val="21"/>
                      <w:vertAlign w:val="baseline"/>
                      <w:lang w:val="en-US" w:eastAsia="zh-CN"/>
                    </w:rPr>
                  </w:pPr>
                  <w:r>
                    <w:rPr>
                      <w:rFonts w:hint="eastAsia" w:cs="Times New Roman"/>
                      <w:sz w:val="21"/>
                      <w:szCs w:val="21"/>
                      <w:vertAlign w:val="baseline"/>
                      <w:lang w:val="en-US" w:eastAsia="zh-CN"/>
                    </w:rPr>
                    <w:t>25</w:t>
                  </w:r>
                  <w:r>
                    <w:rPr>
                      <w:rFonts w:hint="eastAsia" w:ascii="Times New Roman" w:hAnsi="Times New Roman" w:eastAsia="宋体" w:cs="Times New Roman"/>
                      <w:sz w:val="21"/>
                      <w:szCs w:val="21"/>
                      <w:vertAlign w:val="baseline"/>
                      <w:lang w:val="en-US" w:eastAsia="zh-CN"/>
                    </w:rPr>
                    <w:t>dB（A）</w:t>
                  </w:r>
                </w:p>
              </w:tc>
            </w:tr>
            <w:tr w14:paraId="6751AB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90" w:hRule="atLeast"/>
              </w:trPr>
              <w:tc>
                <w:tcPr>
                  <w:tcW w:w="466" w:type="dxa"/>
                  <w:vAlign w:val="center"/>
                </w:tcPr>
                <w:p w14:paraId="1342CE85">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sz w:val="21"/>
                      <w:szCs w:val="21"/>
                      <w:vertAlign w:val="baseline"/>
                      <w:lang w:val="en-US" w:eastAsia="zh-CN"/>
                    </w:rPr>
                  </w:pPr>
                  <w:r>
                    <w:rPr>
                      <w:rFonts w:hint="eastAsia" w:cs="Times New Roman"/>
                      <w:sz w:val="21"/>
                      <w:szCs w:val="21"/>
                      <w:vertAlign w:val="baseline"/>
                      <w:lang w:val="en-US" w:eastAsia="zh-CN"/>
                    </w:rPr>
                    <w:t>2</w:t>
                  </w:r>
                </w:p>
              </w:tc>
              <w:tc>
                <w:tcPr>
                  <w:tcW w:w="653" w:type="dxa"/>
                  <w:vMerge w:val="continue"/>
                  <w:vAlign w:val="center"/>
                </w:tcPr>
                <w:p w14:paraId="6A1712E3">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sz w:val="21"/>
                      <w:szCs w:val="21"/>
                      <w:vertAlign w:val="baseline"/>
                      <w:lang w:val="en-US" w:eastAsia="zh-CN"/>
                    </w:rPr>
                  </w:pPr>
                </w:p>
              </w:tc>
              <w:tc>
                <w:tcPr>
                  <w:tcW w:w="1542" w:type="dxa"/>
                  <w:vAlign w:val="center"/>
                </w:tcPr>
                <w:p w14:paraId="3355A3E2">
                  <w:pPr>
                    <w:widowControl/>
                    <w:adjustRightInd w:val="0"/>
                    <w:snapToGrid w:val="0"/>
                    <w:spacing w:line="240" w:lineRule="auto"/>
                    <w:jc w:val="center"/>
                    <w:rPr>
                      <w:rFonts w:hint="eastAsia" w:ascii="Times New Roman" w:hAnsi="Times New Roman" w:eastAsia="宋体" w:cs="Times New Roman"/>
                      <w:color w:val="000000"/>
                      <w:kern w:val="0"/>
                      <w:sz w:val="21"/>
                      <w:szCs w:val="21"/>
                      <w:lang w:val="en-US" w:eastAsia="zh-CN" w:bidi="ar-SA"/>
                    </w:rPr>
                  </w:pPr>
                  <w:r>
                    <w:rPr>
                      <w:rFonts w:hint="eastAsia" w:cs="Times New Roman"/>
                      <w:color w:val="000000"/>
                      <w:kern w:val="0"/>
                      <w:sz w:val="21"/>
                      <w:szCs w:val="21"/>
                      <w:lang w:val="en-US" w:eastAsia="zh-CN"/>
                    </w:rPr>
                    <w:t>废气处理</w:t>
                  </w:r>
                  <w:r>
                    <w:rPr>
                      <w:rFonts w:hint="eastAsia" w:ascii="Times New Roman" w:hAnsi="Times New Roman" w:eastAsia="宋体" w:cs="Times New Roman"/>
                      <w:color w:val="000000"/>
                      <w:kern w:val="0"/>
                      <w:sz w:val="21"/>
                      <w:szCs w:val="21"/>
                      <w:lang w:val="en-US" w:eastAsia="zh-CN"/>
                    </w:rPr>
                    <w:t>装置风机</w:t>
                  </w:r>
                </w:p>
              </w:tc>
              <w:tc>
                <w:tcPr>
                  <w:tcW w:w="455" w:type="dxa"/>
                  <w:vAlign w:val="center"/>
                </w:tcPr>
                <w:p w14:paraId="229A553A">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sz w:val="21"/>
                      <w:szCs w:val="21"/>
                      <w:vertAlign w:val="baseline"/>
                      <w:lang w:val="en-US" w:eastAsia="zh-CN"/>
                    </w:rPr>
                  </w:pPr>
                  <w:r>
                    <w:rPr>
                      <w:rFonts w:hint="eastAsia" w:cs="Times New Roman"/>
                      <w:sz w:val="21"/>
                      <w:szCs w:val="21"/>
                      <w:vertAlign w:val="baseline"/>
                      <w:lang w:val="en-US" w:eastAsia="zh-CN"/>
                    </w:rPr>
                    <w:t>1</w:t>
                  </w:r>
                </w:p>
              </w:tc>
              <w:tc>
                <w:tcPr>
                  <w:tcW w:w="870" w:type="dxa"/>
                  <w:vAlign w:val="center"/>
                </w:tcPr>
                <w:p w14:paraId="05AC34D3">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sz w:val="21"/>
                      <w:szCs w:val="21"/>
                      <w:vertAlign w:val="baseline"/>
                      <w:lang w:val="en-US" w:eastAsia="zh-CN"/>
                    </w:rPr>
                  </w:pPr>
                  <w:r>
                    <w:rPr>
                      <w:rFonts w:hint="eastAsia" w:cs="Times New Roman"/>
                      <w:sz w:val="21"/>
                      <w:szCs w:val="21"/>
                      <w:vertAlign w:val="baseline"/>
                      <w:lang w:val="en-US" w:eastAsia="zh-CN"/>
                    </w:rPr>
                    <w:t>80</w:t>
                  </w:r>
                </w:p>
              </w:tc>
              <w:tc>
                <w:tcPr>
                  <w:tcW w:w="1050" w:type="dxa"/>
                  <w:vAlign w:val="center"/>
                </w:tcPr>
                <w:p w14:paraId="2A573A87">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sz w:val="21"/>
                      <w:szCs w:val="21"/>
                      <w:vertAlign w:val="baseline"/>
                      <w:lang w:val="en-US" w:eastAsia="zh-CN"/>
                    </w:rPr>
                  </w:pPr>
                  <w:r>
                    <w:rPr>
                      <w:rFonts w:hint="eastAsia" w:cs="Times New Roman"/>
                      <w:sz w:val="21"/>
                      <w:szCs w:val="21"/>
                      <w:vertAlign w:val="baseline"/>
                      <w:lang w:val="en-US" w:eastAsia="zh-CN"/>
                    </w:rPr>
                    <w:t>1</w:t>
                  </w:r>
                </w:p>
              </w:tc>
              <w:tc>
                <w:tcPr>
                  <w:tcW w:w="892" w:type="dxa"/>
                  <w:vMerge w:val="continue"/>
                  <w:vAlign w:val="center"/>
                </w:tcPr>
                <w:p w14:paraId="7060A47D">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sz w:val="21"/>
                      <w:szCs w:val="21"/>
                      <w:vertAlign w:val="baseline"/>
                      <w:lang w:val="en-US" w:eastAsia="zh-CN"/>
                    </w:rPr>
                  </w:pPr>
                </w:p>
              </w:tc>
              <w:tc>
                <w:tcPr>
                  <w:tcW w:w="1217" w:type="dxa"/>
                  <w:vAlign w:val="center"/>
                </w:tcPr>
                <w:p w14:paraId="4BF8BABA">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both"/>
                    <w:textAlignment w:val="auto"/>
                    <w:rPr>
                      <w:rFonts w:hint="eastAsia" w:ascii="Times New Roman" w:hAnsi="Times New Roman" w:eastAsia="宋体" w:cs="Times New Roman"/>
                      <w:sz w:val="21"/>
                      <w:szCs w:val="21"/>
                      <w:vertAlign w:val="baseline"/>
                      <w:lang w:val="en-US" w:eastAsia="zh-CN"/>
                    </w:rPr>
                  </w:pPr>
                  <w:r>
                    <w:rPr>
                      <w:rFonts w:hint="eastAsia" w:cs="Times New Roman"/>
                      <w:sz w:val="21"/>
                      <w:szCs w:val="21"/>
                      <w:vertAlign w:val="baseline"/>
                      <w:lang w:val="en-US" w:eastAsia="zh-CN"/>
                    </w:rPr>
                    <w:t>0：</w:t>
                  </w:r>
                  <w:r>
                    <w:rPr>
                      <w:rFonts w:hint="eastAsia" w:ascii="Times New Roman" w:hAnsi="Times New Roman" w:eastAsia="宋体" w:cs="Times New Roman"/>
                      <w:sz w:val="21"/>
                      <w:szCs w:val="21"/>
                      <w:vertAlign w:val="baseline"/>
                      <w:lang w:val="en-US" w:eastAsia="zh-CN"/>
                    </w:rPr>
                    <w:t>00~</w:t>
                  </w:r>
                  <w:r>
                    <w:rPr>
                      <w:rFonts w:hint="eastAsia" w:cs="Times New Roman"/>
                      <w:sz w:val="21"/>
                      <w:szCs w:val="21"/>
                      <w:vertAlign w:val="baseline"/>
                      <w:lang w:val="en-US" w:eastAsia="zh-CN"/>
                    </w:rPr>
                    <w:t>24：</w:t>
                  </w:r>
                  <w:r>
                    <w:rPr>
                      <w:rFonts w:hint="eastAsia" w:ascii="Times New Roman" w:hAnsi="Times New Roman" w:eastAsia="宋体" w:cs="Times New Roman"/>
                      <w:sz w:val="21"/>
                      <w:szCs w:val="21"/>
                      <w:vertAlign w:val="baseline"/>
                      <w:lang w:val="en-US" w:eastAsia="zh-CN"/>
                    </w:rPr>
                    <w:t>00</w:t>
                  </w:r>
                </w:p>
              </w:tc>
              <w:tc>
                <w:tcPr>
                  <w:tcW w:w="1178" w:type="dxa"/>
                  <w:vMerge w:val="continue"/>
                  <w:vAlign w:val="center"/>
                </w:tcPr>
                <w:p w14:paraId="03F9E9FD">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sz w:val="21"/>
                      <w:szCs w:val="21"/>
                      <w:vertAlign w:val="baseline"/>
                      <w:lang w:val="en-US" w:eastAsia="zh-CN"/>
                    </w:rPr>
                  </w:pPr>
                </w:p>
              </w:tc>
            </w:tr>
          </w:tbl>
          <w:p w14:paraId="40063208">
            <w:pPr>
              <w:keepNext w:val="0"/>
              <w:keepLines w:val="0"/>
              <w:pageBreakBefore w:val="0"/>
              <w:widowControl w:val="0"/>
              <w:numPr>
                <w:ilvl w:val="0"/>
                <w:numId w:val="61"/>
              </w:numPr>
              <w:kinsoku/>
              <w:wordWrap/>
              <w:overflowPunct/>
              <w:topLinePunct w:val="0"/>
              <w:autoSpaceDE/>
              <w:autoSpaceDN/>
              <w:bidi w:val="0"/>
              <w:adjustRightInd/>
              <w:snapToGrid/>
              <w:spacing w:line="360" w:lineRule="auto"/>
              <w:ind w:left="0" w:leftChars="0" w:firstLine="482" w:firstLineChars="200"/>
              <w:jc w:val="both"/>
              <w:textAlignment w:val="auto"/>
              <w:rPr>
                <w:rFonts w:hint="eastAsia" w:ascii="Times New Roman" w:hAnsi="Times New Roman" w:eastAsia="宋体" w:cs="Times New Roman"/>
                <w:b/>
                <w:bCs/>
                <w:sz w:val="24"/>
                <w:szCs w:val="24"/>
                <w:lang w:val="en-US" w:eastAsia="zh-CN"/>
              </w:rPr>
            </w:pPr>
            <w:r>
              <w:rPr>
                <w:rFonts w:hint="eastAsia" w:ascii="Times New Roman" w:hAnsi="Times New Roman" w:eastAsia="宋体" w:cs="Times New Roman"/>
                <w:b/>
                <w:bCs/>
                <w:sz w:val="24"/>
                <w:szCs w:val="24"/>
                <w:lang w:val="en-US" w:eastAsia="zh-CN"/>
              </w:rPr>
              <w:t>噪声防治措施</w:t>
            </w:r>
          </w:p>
          <w:p w14:paraId="1B40FD12">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sz w:val="24"/>
                <w:szCs w:val="24"/>
                <w:lang w:val="en-US" w:eastAsia="zh-CN"/>
              </w:rPr>
            </w:pPr>
            <w:r>
              <w:rPr>
                <w:rFonts w:hint="eastAsia" w:cs="Times New Roman"/>
                <w:sz w:val="24"/>
                <w:szCs w:val="24"/>
                <w:lang w:val="en-US" w:eastAsia="zh-CN"/>
              </w:rPr>
              <w:t>为了减少项目噪声对周围声环境的影响，根据噪声源—传播—易感人群的噪声作用机理为依据，本项目采取的噪声防治措施，分别从源头、传播等环节进行噪声防治，建设单位采取下列措施：</w:t>
            </w:r>
          </w:p>
          <w:p w14:paraId="33A3C1A6">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sz w:val="24"/>
                <w:szCs w:val="24"/>
                <w:lang w:val="en-US" w:eastAsia="zh-CN"/>
              </w:rPr>
            </w:pPr>
            <w:r>
              <w:rPr>
                <w:rFonts w:hint="eastAsia" w:cs="Times New Roman"/>
                <w:sz w:val="24"/>
                <w:szCs w:val="24"/>
                <w:lang w:val="en-US" w:eastAsia="zh-CN"/>
              </w:rPr>
              <w:t>①对车间进行合理布局，将高噪声的生产设备放置在远离敏感点一侧，利用厂房墙壁来阻隔声波的传播。</w:t>
            </w:r>
          </w:p>
          <w:p w14:paraId="13D6BC66">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sz w:val="24"/>
                <w:szCs w:val="24"/>
                <w:lang w:val="en-US" w:eastAsia="zh-CN"/>
              </w:rPr>
            </w:pPr>
            <w:r>
              <w:rPr>
                <w:rFonts w:hint="eastAsia" w:cs="Times New Roman"/>
                <w:sz w:val="24"/>
                <w:szCs w:val="24"/>
                <w:lang w:val="en-US" w:eastAsia="zh-CN"/>
              </w:rPr>
              <w:t>②在设备选型方面，在满足工艺生产的前提下，选用噪声低的设备；对于某些设备运行时由振动产生的噪声，应对设备基础进行减振。</w:t>
            </w:r>
          </w:p>
          <w:p w14:paraId="3CC62957">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sz w:val="24"/>
                <w:szCs w:val="24"/>
                <w:lang w:val="en-US" w:eastAsia="zh-CN"/>
              </w:rPr>
            </w:pPr>
            <w:r>
              <w:rPr>
                <w:rFonts w:hint="eastAsia" w:cs="Times New Roman"/>
                <w:sz w:val="24"/>
                <w:szCs w:val="24"/>
                <w:lang w:val="en-US" w:eastAsia="zh-CN"/>
              </w:rPr>
              <w:t>③对于高噪声设备必要时可加设减震底座（噪声效果降低约15dB（A））和墙壁吸声材料。</w:t>
            </w:r>
          </w:p>
          <w:p w14:paraId="7A1204C0">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sz w:val="24"/>
                <w:szCs w:val="24"/>
                <w:lang w:val="en-US" w:eastAsia="zh-CN"/>
              </w:rPr>
            </w:pPr>
            <w:r>
              <w:rPr>
                <w:rFonts w:hint="eastAsia" w:cs="Times New Roman"/>
                <w:sz w:val="24"/>
                <w:szCs w:val="24"/>
                <w:lang w:val="en-US" w:eastAsia="zh-CN"/>
              </w:rPr>
              <w:t>④加强管理建立设备定期维护、保养的管理制度，以防止设备故障形成的非生产噪声，同时确保环保措施发挥最有效的功能；加强职工环保意识教育，提倡文明生产，防止人为噪声。</w:t>
            </w:r>
          </w:p>
          <w:p w14:paraId="24947392">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sz w:val="24"/>
                <w:szCs w:val="24"/>
                <w:lang w:val="en-US" w:eastAsia="zh-CN"/>
              </w:rPr>
            </w:pPr>
            <w:r>
              <w:rPr>
                <w:rFonts w:hint="eastAsia" w:cs="Times New Roman"/>
                <w:sz w:val="24"/>
                <w:szCs w:val="24"/>
                <w:lang w:val="en-US" w:eastAsia="zh-CN"/>
              </w:rPr>
              <w:t>本项目生产车间为钢结构，其噪声削减能力在15~40dB（A）之间，本评价按照噪声削减25dB（A）进行计算；风机设有隔声罩、加装减振垫、吸声棉、采用软管连接等措施，其噪声削减能力以15dB（A）进行计算，均建设在室内。</w:t>
            </w:r>
          </w:p>
          <w:p w14:paraId="75A147CB">
            <w:pPr>
              <w:keepNext w:val="0"/>
              <w:keepLines w:val="0"/>
              <w:pageBreakBefore w:val="0"/>
              <w:widowControl w:val="0"/>
              <w:numPr>
                <w:ilvl w:val="0"/>
                <w:numId w:val="61"/>
              </w:numPr>
              <w:kinsoku/>
              <w:wordWrap/>
              <w:overflowPunct/>
              <w:topLinePunct w:val="0"/>
              <w:autoSpaceDE/>
              <w:autoSpaceDN/>
              <w:bidi w:val="0"/>
              <w:adjustRightInd/>
              <w:snapToGrid/>
              <w:spacing w:line="360" w:lineRule="auto"/>
              <w:ind w:left="0" w:leftChars="0" w:firstLine="482" w:firstLineChars="200"/>
              <w:jc w:val="both"/>
              <w:textAlignment w:val="auto"/>
              <w:rPr>
                <w:rFonts w:hint="eastAsia" w:ascii="Times New Roman" w:hAnsi="Times New Roman" w:eastAsia="宋体" w:cs="Times New Roman"/>
                <w:b/>
                <w:bCs/>
                <w:sz w:val="24"/>
                <w:szCs w:val="24"/>
                <w:lang w:val="en-US" w:eastAsia="zh-CN"/>
              </w:rPr>
            </w:pPr>
            <w:r>
              <w:rPr>
                <w:rFonts w:hint="eastAsia" w:ascii="Times New Roman" w:hAnsi="Times New Roman" w:eastAsia="宋体" w:cs="Times New Roman"/>
                <w:b/>
                <w:bCs/>
                <w:sz w:val="24"/>
                <w:szCs w:val="24"/>
                <w:lang w:val="en-US" w:eastAsia="zh-CN"/>
              </w:rPr>
              <w:t>预测模式</w:t>
            </w:r>
          </w:p>
          <w:p w14:paraId="67FE420F">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固定声源的噪声向周围传播过程中，会发生反射、折射、衍射</w:t>
            </w:r>
            <w:r>
              <w:rPr>
                <w:rFonts w:hint="eastAsia" w:cs="Times New Roman"/>
                <w:sz w:val="24"/>
                <w:szCs w:val="24"/>
                <w:lang w:val="en-US" w:eastAsia="zh-CN"/>
              </w:rPr>
              <w:t>以及</w:t>
            </w:r>
            <w:r>
              <w:rPr>
                <w:rFonts w:hint="eastAsia" w:ascii="Times New Roman" w:hAnsi="Times New Roman" w:eastAsia="宋体" w:cs="Times New Roman"/>
                <w:sz w:val="24"/>
                <w:szCs w:val="24"/>
                <w:lang w:val="en-US" w:eastAsia="zh-CN"/>
              </w:rPr>
              <w:t>吸收等现象。因此，随传播距离的增加而产生的衰减量并不按简单的几何规律计算。</w:t>
            </w:r>
          </w:p>
          <w:p w14:paraId="0D958C2F">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sz w:val="24"/>
                <w:szCs w:val="24"/>
                <w:lang w:val="en-US" w:eastAsia="zh-CN"/>
              </w:rPr>
            </w:pPr>
            <w:r>
              <w:rPr>
                <w:rFonts w:hint="eastAsia" w:ascii="Times New Roman" w:hAnsi="Times New Roman" w:eastAsia="宋体" w:cs="Times New Roman"/>
                <w:sz w:val="24"/>
                <w:szCs w:val="24"/>
                <w:lang w:val="en-US" w:eastAsia="zh-CN"/>
              </w:rPr>
              <w:t>根据</w:t>
            </w:r>
            <w:r>
              <w:rPr>
                <w:rFonts w:hint="default" w:ascii="Times New Roman" w:hAnsi="Times New Roman" w:eastAsia="宋体" w:cs="Times New Roman"/>
                <w:sz w:val="24"/>
                <w:szCs w:val="24"/>
                <w:lang w:val="en-US" w:eastAsia="zh-CN"/>
              </w:rPr>
              <w:t>《环境影响评价技术导则</w:t>
            </w:r>
            <w:r>
              <w:rPr>
                <w:rFonts w:hint="eastAsia" w:ascii="Times New Roman" w:hAnsi="Times New Roman" w:eastAsia="宋体" w:cs="Times New Roman"/>
                <w:sz w:val="24"/>
                <w:szCs w:val="24"/>
                <w:lang w:val="en-US" w:eastAsia="zh-CN"/>
              </w:rPr>
              <w:t xml:space="preserve"> </w:t>
            </w:r>
            <w:r>
              <w:rPr>
                <w:rFonts w:hint="default" w:ascii="Times New Roman" w:hAnsi="Times New Roman" w:eastAsia="宋体" w:cs="Times New Roman"/>
                <w:sz w:val="24"/>
                <w:szCs w:val="24"/>
                <w:lang w:val="en-US" w:eastAsia="zh-CN"/>
              </w:rPr>
              <w:t>声环境》（HJ2.4-2021</w:t>
            </w:r>
            <w:r>
              <w:rPr>
                <w:rFonts w:hint="eastAsia" w:cs="Times New Roman"/>
                <w:sz w:val="24"/>
                <w:szCs w:val="24"/>
                <w:lang w:val="en-US" w:eastAsia="zh-CN"/>
              </w:rPr>
              <w:t>）</w:t>
            </w:r>
            <w:r>
              <w:rPr>
                <w:rFonts w:hint="eastAsia" w:ascii="Times New Roman" w:hAnsi="Times New Roman" w:eastAsia="宋体" w:cs="Times New Roman"/>
                <w:sz w:val="24"/>
                <w:szCs w:val="24"/>
                <w:lang w:val="en-US" w:eastAsia="zh-CN"/>
              </w:rPr>
              <w:t>对室内声源的预测方法，声源位于室内，室内声源可采用等效室外声源声功率级法进行计算</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在不考虑空气吸收、声波反射</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而只考虑声能随距离衰减的情况下</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其噪声衰减公式如下</w:t>
            </w:r>
            <w:r>
              <w:rPr>
                <w:rFonts w:hint="eastAsia" w:cs="Times New Roman"/>
                <w:sz w:val="24"/>
                <w:szCs w:val="24"/>
                <w:lang w:val="en-US" w:eastAsia="zh-CN"/>
              </w:rPr>
              <w:t>：</w:t>
            </w:r>
          </w:p>
          <w:p w14:paraId="1810E42D">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sz w:val="24"/>
                <w:szCs w:val="24"/>
                <w:lang w:val="en-US" w:eastAsia="zh-CN"/>
              </w:rPr>
            </w:pPr>
            <w:r>
              <w:rPr>
                <w:rFonts w:hint="eastAsia" w:cs="Times New Roman"/>
                <w:sz w:val="24"/>
                <w:szCs w:val="24"/>
                <w:lang w:val="en-US" w:eastAsia="zh-CN"/>
              </w:rPr>
              <w:t>①对于室内点声源，先按下式计算其等效室外声源声功率级，然后按室外点声源预测方法计算预测点的A声级。</w:t>
            </w:r>
          </w:p>
          <w:p w14:paraId="474F875F">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sz w:val="24"/>
                <w:szCs w:val="24"/>
                <w:lang w:val="en-US" w:eastAsia="zh-CN"/>
              </w:rPr>
            </w:pPr>
            <w:r>
              <w:rPr>
                <w:rFonts w:hint="eastAsia" w:cs="Times New Roman"/>
                <w:sz w:val="24"/>
                <w:szCs w:val="24"/>
                <w:lang w:val="en-US" w:eastAsia="zh-CN"/>
              </w:rPr>
              <w:t>L</w:t>
            </w:r>
            <w:r>
              <w:rPr>
                <w:rFonts w:hint="eastAsia" w:cs="Times New Roman"/>
                <w:sz w:val="24"/>
                <w:szCs w:val="24"/>
                <w:vertAlign w:val="subscript"/>
                <w:lang w:val="en-US" w:eastAsia="zh-CN"/>
              </w:rPr>
              <w:t>W</w:t>
            </w:r>
            <w:r>
              <w:rPr>
                <w:rFonts w:hint="eastAsia" w:cs="Times New Roman"/>
                <w:sz w:val="24"/>
                <w:szCs w:val="24"/>
                <w:lang w:val="en-US" w:eastAsia="zh-CN"/>
              </w:rPr>
              <w:t>＝L</w:t>
            </w:r>
            <w:r>
              <w:rPr>
                <w:rFonts w:hint="eastAsia" w:cs="Times New Roman"/>
                <w:sz w:val="24"/>
                <w:szCs w:val="24"/>
                <w:vertAlign w:val="subscript"/>
                <w:lang w:val="en-US" w:eastAsia="zh-CN"/>
              </w:rPr>
              <w:t>P2</w:t>
            </w:r>
            <w:r>
              <w:rPr>
                <w:rFonts w:hint="eastAsia" w:cs="Times New Roman"/>
                <w:sz w:val="24"/>
                <w:szCs w:val="24"/>
                <w:lang w:val="en-US" w:eastAsia="zh-CN"/>
              </w:rPr>
              <w:t>+10lgS</w:t>
            </w:r>
          </w:p>
          <w:p w14:paraId="5AE70260">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sz w:val="24"/>
                <w:szCs w:val="24"/>
                <w:lang w:val="en-US" w:eastAsia="zh-CN"/>
              </w:rPr>
            </w:pPr>
            <w:r>
              <w:rPr>
                <w:rFonts w:hint="eastAsia" w:cs="Times New Roman"/>
                <w:sz w:val="24"/>
                <w:szCs w:val="24"/>
                <w:lang w:val="en-US" w:eastAsia="zh-CN"/>
              </w:rPr>
              <w:t>L</w:t>
            </w:r>
            <w:r>
              <w:rPr>
                <w:rFonts w:hint="eastAsia" w:cs="Times New Roman"/>
                <w:sz w:val="24"/>
                <w:szCs w:val="24"/>
                <w:vertAlign w:val="subscript"/>
                <w:lang w:val="en-US" w:eastAsia="zh-CN"/>
              </w:rPr>
              <w:t>P2</w:t>
            </w:r>
            <w:r>
              <w:rPr>
                <w:rFonts w:hint="eastAsia" w:cs="Times New Roman"/>
                <w:sz w:val="24"/>
                <w:szCs w:val="24"/>
                <w:lang w:val="en-US" w:eastAsia="zh-CN"/>
              </w:rPr>
              <w:t>＝L</w:t>
            </w:r>
            <w:r>
              <w:rPr>
                <w:rFonts w:hint="eastAsia" w:cs="Times New Roman"/>
                <w:sz w:val="24"/>
                <w:szCs w:val="24"/>
                <w:vertAlign w:val="subscript"/>
                <w:lang w:val="en-US" w:eastAsia="zh-CN"/>
              </w:rPr>
              <w:t>P1</w:t>
            </w:r>
            <w:r>
              <w:rPr>
                <w:rFonts w:hint="eastAsia" w:cs="Times New Roman"/>
                <w:sz w:val="24"/>
                <w:szCs w:val="24"/>
                <w:lang w:val="en-US" w:eastAsia="zh-CN"/>
              </w:rPr>
              <w:t>-（TL+6）</w:t>
            </w:r>
          </w:p>
          <w:p w14:paraId="67C9897D">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sz w:val="24"/>
                <w:szCs w:val="24"/>
                <w:lang w:val="en-US" w:eastAsia="zh-CN"/>
              </w:rPr>
            </w:pPr>
            <w:r>
              <w:rPr>
                <w:rFonts w:hint="eastAsia" w:cs="Times New Roman"/>
                <w:sz w:val="24"/>
                <w:szCs w:val="24"/>
                <w:lang w:val="en-US" w:eastAsia="zh-CN"/>
              </w:rPr>
              <w:t>L</w:t>
            </w:r>
            <w:r>
              <w:rPr>
                <w:rFonts w:hint="eastAsia" w:cs="Times New Roman"/>
                <w:sz w:val="24"/>
                <w:szCs w:val="24"/>
                <w:vertAlign w:val="subscript"/>
                <w:lang w:val="en-US" w:eastAsia="zh-CN"/>
              </w:rPr>
              <w:t>P1</w:t>
            </w:r>
            <w:r>
              <w:rPr>
                <w:rFonts w:hint="eastAsia" w:cs="Times New Roman"/>
                <w:sz w:val="24"/>
                <w:szCs w:val="24"/>
                <w:lang w:val="en-US" w:eastAsia="zh-CN"/>
              </w:rPr>
              <w:t>＝L</w:t>
            </w:r>
            <w:r>
              <w:rPr>
                <w:rFonts w:hint="eastAsia" w:cs="Times New Roman"/>
                <w:sz w:val="24"/>
                <w:szCs w:val="24"/>
                <w:vertAlign w:val="subscript"/>
                <w:lang w:val="en-US" w:eastAsia="zh-CN"/>
              </w:rPr>
              <w:t>e</w:t>
            </w:r>
            <w:r>
              <w:rPr>
                <w:rFonts w:hint="eastAsia" w:cs="Times New Roman"/>
                <w:sz w:val="24"/>
                <w:szCs w:val="24"/>
                <w:lang w:val="en-US" w:eastAsia="zh-CN"/>
              </w:rPr>
              <w:t>+10lg（</w:t>
            </w:r>
            <w:r>
              <w:rPr>
                <w:rFonts w:hint="eastAsia" w:cs="Times New Roman"/>
                <w:position w:val="-24"/>
                <w:sz w:val="24"/>
                <w:szCs w:val="24"/>
                <w:lang w:val="en-US" w:eastAsia="zh-CN"/>
              </w:rPr>
              <w:object>
                <v:shape id="_x0000_i1025" o:spt="75" type="#_x0000_t75" style="height:31pt;width:52pt;" o:ole="t" filled="f" o:preferrelative="t" stroked="f" coordsize="21600,21600">
                  <v:path/>
                  <v:fill on="f" focussize="0,0"/>
                  <v:stroke on="f"/>
                  <v:imagedata r:id="rId22" o:title=""/>
                  <o:lock v:ext="edit" aspectratio="t"/>
                  <w10:wrap type="none"/>
                  <w10:anchorlock/>
                </v:shape>
                <o:OLEObject Type="Embed" ProgID="Equation.KSEE3" ShapeID="_x0000_i1025" DrawAspect="Content" ObjectID="_1468075725" r:id="rId21">
                  <o:LockedField>false</o:LockedField>
                </o:OLEObject>
              </w:object>
            </w:r>
            <w:r>
              <w:rPr>
                <w:rFonts w:hint="eastAsia" w:cs="Times New Roman"/>
                <w:sz w:val="24"/>
                <w:szCs w:val="24"/>
                <w:lang w:val="en-US" w:eastAsia="zh-CN"/>
              </w:rPr>
              <w:t>）</w:t>
            </w:r>
          </w:p>
          <w:p w14:paraId="5FF9F09E">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式中：L</w:t>
            </w:r>
            <w:r>
              <w:rPr>
                <w:rFonts w:hint="default" w:ascii="Times New Roman" w:hAnsi="Times New Roman" w:eastAsia="宋体" w:cs="Times New Roman"/>
                <w:sz w:val="24"/>
                <w:szCs w:val="24"/>
                <w:vertAlign w:val="subscript"/>
                <w:lang w:val="en-US" w:eastAsia="zh-CN"/>
              </w:rPr>
              <w:t>w</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等效室外声源的声功率级；</w:t>
            </w:r>
          </w:p>
          <w:p w14:paraId="0594D273">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L</w:t>
            </w:r>
            <w:r>
              <w:rPr>
                <w:rFonts w:hint="default" w:ascii="Times New Roman" w:hAnsi="Times New Roman" w:eastAsia="宋体" w:cs="Times New Roman"/>
                <w:sz w:val="24"/>
                <w:szCs w:val="24"/>
                <w:vertAlign w:val="subscript"/>
                <w:lang w:val="en-US" w:eastAsia="zh-CN"/>
              </w:rPr>
              <w:t>e</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室内声源的声功率级；</w:t>
            </w:r>
          </w:p>
          <w:p w14:paraId="76113921">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s</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透声面积；</w:t>
            </w:r>
          </w:p>
          <w:p w14:paraId="43DA74C3">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L</w:t>
            </w:r>
            <w:r>
              <w:rPr>
                <w:rFonts w:hint="default" w:ascii="Times New Roman" w:hAnsi="Times New Roman" w:eastAsia="宋体" w:cs="Times New Roman"/>
                <w:sz w:val="24"/>
                <w:szCs w:val="24"/>
                <w:vertAlign w:val="subscript"/>
                <w:lang w:val="en-US" w:eastAsia="zh-CN"/>
              </w:rPr>
              <w:t>P1</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室内靠近围护结构处的声压级；</w:t>
            </w:r>
          </w:p>
          <w:p w14:paraId="62061832">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L</w:t>
            </w:r>
            <w:r>
              <w:rPr>
                <w:rFonts w:hint="default" w:ascii="Times New Roman" w:hAnsi="Times New Roman" w:eastAsia="宋体" w:cs="Times New Roman"/>
                <w:sz w:val="24"/>
                <w:szCs w:val="24"/>
                <w:vertAlign w:val="subscript"/>
                <w:lang w:val="en-US" w:eastAsia="zh-CN"/>
              </w:rPr>
              <w:t>P2</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室外靠近围护结构处的声压级；</w:t>
            </w:r>
          </w:p>
          <w:p w14:paraId="131D76F5">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TL</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隔墙（或窗户）隔离声量；</w:t>
            </w:r>
          </w:p>
          <w:p w14:paraId="62878F5E">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r</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声源到靠近围护结构某点处的距离；</w:t>
            </w:r>
          </w:p>
          <w:p w14:paraId="159D22D0">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R</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房间常数；</w:t>
            </w:r>
          </w:p>
          <w:p w14:paraId="2F449237">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Q</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指向性因数。</w:t>
            </w:r>
          </w:p>
          <w:p w14:paraId="3F437CA0">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②噪声源至某一预测点的计算公式：</w:t>
            </w:r>
          </w:p>
          <w:p w14:paraId="77BAF75F">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LA</w:t>
            </w:r>
            <w:r>
              <w:rPr>
                <w:rFonts w:hint="default" w:ascii="Times New Roman" w:hAnsi="Times New Roman" w:eastAsia="宋体" w:cs="Times New Roman"/>
                <w:sz w:val="24"/>
                <w:szCs w:val="24"/>
                <w:vertAlign w:val="subscript"/>
                <w:lang w:val="en-US" w:eastAsia="zh-CN"/>
              </w:rPr>
              <w:t>（r）</w:t>
            </w:r>
            <w:r>
              <w:rPr>
                <w:rFonts w:hint="default" w:ascii="Times New Roman" w:hAnsi="Times New Roman" w:eastAsia="宋体" w:cs="Times New Roman"/>
                <w:sz w:val="24"/>
                <w:szCs w:val="24"/>
                <w:lang w:val="en-US" w:eastAsia="zh-CN"/>
              </w:rPr>
              <w:t>=LA</w:t>
            </w:r>
            <w:r>
              <w:rPr>
                <w:rFonts w:hint="default" w:ascii="Times New Roman" w:hAnsi="Times New Roman" w:eastAsia="宋体" w:cs="Times New Roman"/>
                <w:sz w:val="24"/>
                <w:szCs w:val="24"/>
                <w:vertAlign w:val="subscript"/>
                <w:lang w:val="en-US" w:eastAsia="zh-CN"/>
              </w:rPr>
              <w:t>（r0）</w:t>
            </w:r>
            <w:r>
              <w:rPr>
                <w:rFonts w:hint="default" w:ascii="Times New Roman" w:hAnsi="Times New Roman" w:eastAsia="宋体" w:cs="Times New Roman"/>
                <w:sz w:val="24"/>
                <w:szCs w:val="24"/>
                <w:lang w:val="en-US" w:eastAsia="zh-CN"/>
              </w:rPr>
              <w:t>-20lg（r/r0）-△L</w:t>
            </w:r>
          </w:p>
          <w:p w14:paraId="18D964F5">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式中：LA</w:t>
            </w:r>
            <w:r>
              <w:rPr>
                <w:rFonts w:hint="eastAsia" w:cs="Times New Roman"/>
                <w:sz w:val="24"/>
                <w:szCs w:val="24"/>
                <w:vertAlign w:val="subscript"/>
                <w:lang w:val="en-US" w:eastAsia="zh-CN"/>
              </w:rPr>
              <w:t>（</w:t>
            </w:r>
            <w:r>
              <w:rPr>
                <w:rFonts w:hint="default" w:ascii="Times New Roman" w:hAnsi="Times New Roman" w:eastAsia="宋体" w:cs="Times New Roman"/>
                <w:sz w:val="24"/>
                <w:szCs w:val="24"/>
                <w:vertAlign w:val="subscript"/>
                <w:lang w:val="en-US" w:eastAsia="zh-CN"/>
              </w:rPr>
              <w:t>r</w:t>
            </w:r>
            <w:r>
              <w:rPr>
                <w:rFonts w:hint="eastAsia" w:cs="Times New Roman"/>
                <w:sz w:val="24"/>
                <w:szCs w:val="24"/>
                <w:vertAlign w:val="subscript"/>
                <w:lang w:val="en-US" w:eastAsia="zh-CN"/>
              </w:rPr>
              <w:t>）</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距声源r</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m</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处声级，dB</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A</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w:t>
            </w:r>
          </w:p>
          <w:p w14:paraId="57F63010">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LA</w:t>
            </w:r>
            <w:r>
              <w:rPr>
                <w:rFonts w:hint="eastAsia" w:cs="Times New Roman"/>
                <w:sz w:val="24"/>
                <w:szCs w:val="24"/>
                <w:vertAlign w:val="subscript"/>
                <w:lang w:val="en-US" w:eastAsia="zh-CN"/>
              </w:rPr>
              <w:t>（</w:t>
            </w:r>
            <w:r>
              <w:rPr>
                <w:rFonts w:hint="default" w:ascii="Times New Roman" w:hAnsi="Times New Roman" w:eastAsia="宋体" w:cs="Times New Roman"/>
                <w:sz w:val="24"/>
                <w:szCs w:val="24"/>
                <w:vertAlign w:val="subscript"/>
                <w:lang w:val="en-US" w:eastAsia="zh-CN"/>
              </w:rPr>
              <w:t>r0</w:t>
            </w:r>
            <w:r>
              <w:rPr>
                <w:rFonts w:hint="eastAsia" w:cs="Times New Roman"/>
                <w:sz w:val="24"/>
                <w:szCs w:val="24"/>
                <w:vertAlign w:val="subscript"/>
                <w:lang w:val="en-US" w:eastAsia="zh-CN"/>
              </w:rPr>
              <w:t>）</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距声源r0</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m</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处声级，dB</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A</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w:t>
            </w:r>
          </w:p>
          <w:p w14:paraId="1CC1D36E">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r</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距声源的距离，m；</w:t>
            </w:r>
          </w:p>
          <w:p w14:paraId="5163A108">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r0</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距声源1m；</w:t>
            </w:r>
          </w:p>
          <w:p w14:paraId="00954571">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△L</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各种因素引起的衰减量（包括声屏障、空气吸收等），dB</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A</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w:t>
            </w:r>
          </w:p>
          <w:p w14:paraId="4C5B376F">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③多个噪声源叠加的影响预测模式：</w:t>
            </w:r>
          </w:p>
          <w:p w14:paraId="32185231">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现场有多台设备同时运转，其噪声情况应是这些设备总叠加。多个噪声源叠加后的总声压级，按下式计算：</w:t>
            </w:r>
          </w:p>
          <w:p w14:paraId="2F67B0AA">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sz w:val="24"/>
                <w:szCs w:val="24"/>
                <w:lang w:val="en-US" w:eastAsia="zh-CN"/>
              </w:rPr>
            </w:pPr>
            <w:r>
              <w:rPr>
                <w:rFonts w:hint="default" w:ascii="Times New Roman" w:hAnsi="Times New Roman" w:eastAsia="宋体" w:cs="Times New Roman"/>
                <w:sz w:val="24"/>
                <w:szCs w:val="24"/>
                <w:lang w:val="en-US" w:eastAsia="zh-CN"/>
              </w:rPr>
              <w:t>L</w:t>
            </w:r>
            <w:r>
              <w:rPr>
                <w:rFonts w:hint="eastAsia" w:cs="Times New Roman"/>
                <w:sz w:val="24"/>
                <w:szCs w:val="24"/>
                <w:vertAlign w:val="subscript"/>
                <w:lang w:val="en-US" w:eastAsia="zh-CN"/>
              </w:rPr>
              <w:t>t</w:t>
            </w:r>
            <w:r>
              <w:rPr>
                <w:rFonts w:hint="default" w:ascii="Times New Roman" w:hAnsi="Times New Roman" w:eastAsia="宋体" w:cs="Times New Roman"/>
                <w:sz w:val="24"/>
                <w:szCs w:val="24"/>
                <w:lang w:val="en-US" w:eastAsia="zh-CN"/>
              </w:rPr>
              <w:t>=10lg（</w:t>
            </w:r>
            <w:r>
              <w:rPr>
                <w:rFonts w:hint="default" w:ascii="Times New Roman" w:hAnsi="Times New Roman" w:eastAsia="宋体" w:cs="Times New Roman"/>
                <w:position w:val="-28"/>
                <w:sz w:val="24"/>
                <w:szCs w:val="24"/>
                <w:lang w:val="en-US" w:eastAsia="zh-CN"/>
              </w:rPr>
              <w:object>
                <v:shape id="_x0000_i1026" o:spt="75" type="#_x0000_t75" style="height:34pt;width:49pt;" o:ole="t" filled="f" o:preferrelative="t" stroked="f" coordsize="21600,21600">
                  <v:path/>
                  <v:fill on="f" focussize="0,0"/>
                  <v:stroke on="f"/>
                  <v:imagedata r:id="rId24" o:title=""/>
                  <o:lock v:ext="edit" aspectratio="t"/>
                  <w10:wrap type="none"/>
                  <w10:anchorlock/>
                </v:shape>
                <o:OLEObject Type="Embed" ProgID="Equation.KSEE3" ShapeID="_x0000_i1026" DrawAspect="Content" ObjectID="_1468075726" r:id="rId23">
                  <o:LockedField>false</o:LockedField>
                </o:OLEObject>
              </w:object>
            </w:r>
            <w:r>
              <w:rPr>
                <w:rFonts w:hint="eastAsia" w:cs="Times New Roman"/>
                <w:sz w:val="24"/>
                <w:szCs w:val="24"/>
                <w:lang w:val="en-US" w:eastAsia="zh-CN"/>
              </w:rPr>
              <w:t>）</w:t>
            </w:r>
          </w:p>
          <w:p w14:paraId="07399446">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式中：n</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声源总数；</w:t>
            </w:r>
          </w:p>
          <w:p w14:paraId="0CB7A8A8">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LPi</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第i个声源对某点产生的声压级dB</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A</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w:t>
            </w:r>
          </w:p>
          <w:p w14:paraId="4CD848C0">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sz w:val="24"/>
                <w:szCs w:val="24"/>
                <w:lang w:val="en-US" w:eastAsia="zh-CN"/>
              </w:rPr>
            </w:pPr>
            <w:r>
              <w:rPr>
                <w:rFonts w:hint="default" w:ascii="Times New Roman" w:hAnsi="Times New Roman" w:eastAsia="宋体" w:cs="Times New Roman"/>
                <w:sz w:val="24"/>
                <w:szCs w:val="24"/>
                <w:lang w:val="en-US" w:eastAsia="zh-CN"/>
              </w:rPr>
              <w:t>Lt</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某点总的声压级dB（A）</w:t>
            </w:r>
            <w:r>
              <w:rPr>
                <w:rFonts w:hint="eastAsia" w:cs="Times New Roman"/>
                <w:sz w:val="24"/>
                <w:szCs w:val="24"/>
                <w:lang w:val="en-US" w:eastAsia="zh-CN"/>
              </w:rPr>
              <w:t>。</w:t>
            </w:r>
          </w:p>
          <w:p w14:paraId="425F6DA5">
            <w:pPr>
              <w:keepNext w:val="0"/>
              <w:keepLines w:val="0"/>
              <w:pageBreakBefore w:val="0"/>
              <w:widowControl w:val="0"/>
              <w:numPr>
                <w:ilvl w:val="0"/>
                <w:numId w:val="61"/>
              </w:numPr>
              <w:kinsoku/>
              <w:wordWrap/>
              <w:overflowPunct/>
              <w:topLinePunct w:val="0"/>
              <w:autoSpaceDE/>
              <w:autoSpaceDN/>
              <w:bidi w:val="0"/>
              <w:adjustRightInd/>
              <w:snapToGrid/>
              <w:spacing w:line="360" w:lineRule="auto"/>
              <w:ind w:left="0" w:leftChars="0" w:firstLine="482" w:firstLineChars="200"/>
              <w:jc w:val="both"/>
              <w:textAlignment w:val="auto"/>
              <w:rPr>
                <w:rFonts w:hint="default" w:ascii="Times New Roman" w:hAnsi="Times New Roman" w:eastAsia="宋体" w:cs="Times New Roman"/>
                <w:b/>
                <w:bCs/>
                <w:sz w:val="24"/>
                <w:szCs w:val="24"/>
                <w:lang w:val="en-US" w:eastAsia="zh-CN"/>
              </w:rPr>
            </w:pPr>
            <w:r>
              <w:rPr>
                <w:rFonts w:hint="default" w:ascii="Times New Roman" w:hAnsi="Times New Roman" w:eastAsia="宋体" w:cs="Times New Roman"/>
                <w:b/>
                <w:bCs/>
                <w:sz w:val="24"/>
                <w:szCs w:val="24"/>
                <w:lang w:val="en-US" w:eastAsia="zh-CN"/>
              </w:rPr>
              <w:t>噪声预测结果及影响分析</w:t>
            </w:r>
          </w:p>
          <w:p w14:paraId="500D0E18">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sz w:val="24"/>
                <w:szCs w:val="24"/>
                <w:lang w:val="en-US" w:eastAsia="zh-CN"/>
              </w:rPr>
            </w:pPr>
            <w:r>
              <w:rPr>
                <w:rFonts w:hint="eastAsia" w:cs="Times New Roman"/>
                <w:sz w:val="24"/>
                <w:szCs w:val="24"/>
                <w:lang w:val="en-US" w:eastAsia="zh-CN"/>
              </w:rPr>
              <w:t>经计算，</w:t>
            </w:r>
            <w:r>
              <w:rPr>
                <w:rFonts w:hint="default" w:ascii="Times New Roman" w:hAnsi="Times New Roman" w:eastAsia="宋体" w:cs="Times New Roman"/>
                <w:sz w:val="24"/>
                <w:szCs w:val="24"/>
                <w:lang w:val="en-US" w:eastAsia="zh-CN"/>
              </w:rPr>
              <w:t>厂房降噪</w:t>
            </w:r>
            <w:r>
              <w:rPr>
                <w:rFonts w:hint="eastAsia" w:cs="Times New Roman"/>
                <w:sz w:val="24"/>
                <w:szCs w:val="24"/>
                <w:lang w:val="en-US" w:eastAsia="zh-CN"/>
              </w:rPr>
              <w:t>25</w:t>
            </w:r>
            <w:r>
              <w:rPr>
                <w:rFonts w:hint="default" w:ascii="Times New Roman" w:hAnsi="Times New Roman" w:eastAsia="宋体" w:cs="Times New Roman"/>
                <w:sz w:val="24"/>
                <w:szCs w:val="24"/>
                <w:lang w:val="en-US" w:eastAsia="zh-CN"/>
              </w:rPr>
              <w:t>dB（A），</w:t>
            </w:r>
            <w:r>
              <w:rPr>
                <w:rFonts w:hint="eastAsia" w:cs="Times New Roman"/>
                <w:sz w:val="24"/>
                <w:szCs w:val="24"/>
                <w:lang w:val="en-US" w:eastAsia="zh-CN"/>
              </w:rPr>
              <w:t>昼间噪声源</w:t>
            </w:r>
            <w:r>
              <w:rPr>
                <w:rFonts w:hint="default" w:ascii="Times New Roman" w:hAnsi="Times New Roman" w:eastAsia="宋体" w:cs="Times New Roman"/>
                <w:sz w:val="24"/>
                <w:szCs w:val="24"/>
                <w:lang w:val="en-US" w:eastAsia="zh-CN"/>
              </w:rPr>
              <w:t>叠加噪声</w:t>
            </w:r>
            <w:r>
              <w:rPr>
                <w:rFonts w:hint="eastAsia" w:cs="Times New Roman"/>
                <w:sz w:val="24"/>
                <w:szCs w:val="24"/>
                <w:lang w:val="en-US" w:eastAsia="zh-CN"/>
              </w:rPr>
              <w:t>77.45</w:t>
            </w:r>
            <w:r>
              <w:rPr>
                <w:rFonts w:hint="default" w:ascii="Times New Roman" w:hAnsi="Times New Roman" w:eastAsia="宋体" w:cs="Times New Roman"/>
                <w:sz w:val="24"/>
                <w:szCs w:val="24"/>
                <w:lang w:val="en-US" w:eastAsia="zh-CN"/>
              </w:rPr>
              <w:t>dB（A）</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降噪后噪声</w:t>
            </w:r>
            <w:r>
              <w:rPr>
                <w:rFonts w:hint="eastAsia" w:cs="Times New Roman"/>
                <w:sz w:val="24"/>
                <w:szCs w:val="24"/>
                <w:lang w:val="en-US" w:eastAsia="zh-CN"/>
              </w:rPr>
              <w:t>57.45</w:t>
            </w:r>
            <w:r>
              <w:rPr>
                <w:rFonts w:hint="default" w:ascii="Times New Roman" w:hAnsi="Times New Roman" w:eastAsia="宋体" w:cs="Times New Roman"/>
                <w:sz w:val="24"/>
                <w:szCs w:val="24"/>
                <w:lang w:val="en-US" w:eastAsia="zh-CN"/>
              </w:rPr>
              <w:t>dB（A）</w:t>
            </w:r>
            <w:r>
              <w:rPr>
                <w:rFonts w:hint="eastAsia" w:cs="Times New Roman"/>
                <w:sz w:val="24"/>
                <w:szCs w:val="24"/>
                <w:lang w:val="en-US" w:eastAsia="zh-CN"/>
              </w:rPr>
              <w:t>；夜间仅风机工作，噪声源</w:t>
            </w:r>
            <w:r>
              <w:rPr>
                <w:rFonts w:hint="default" w:ascii="Times New Roman" w:hAnsi="Times New Roman" w:eastAsia="宋体" w:cs="Times New Roman"/>
                <w:sz w:val="24"/>
                <w:szCs w:val="24"/>
                <w:lang w:val="en-US" w:eastAsia="zh-CN"/>
              </w:rPr>
              <w:t>叠加噪声</w:t>
            </w:r>
            <w:r>
              <w:rPr>
                <w:rFonts w:hint="eastAsia" w:cs="Times New Roman"/>
                <w:sz w:val="24"/>
                <w:szCs w:val="24"/>
                <w:lang w:val="en-US" w:eastAsia="zh-CN"/>
              </w:rPr>
              <w:t>63</w:t>
            </w:r>
            <w:r>
              <w:rPr>
                <w:rFonts w:hint="default" w:ascii="Times New Roman" w:hAnsi="Times New Roman" w:eastAsia="宋体" w:cs="Times New Roman"/>
                <w:sz w:val="24"/>
                <w:szCs w:val="24"/>
                <w:lang w:val="en-US" w:eastAsia="zh-CN"/>
              </w:rPr>
              <w:t>dB（A）</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降噪后噪声</w:t>
            </w:r>
            <w:r>
              <w:rPr>
                <w:rFonts w:hint="eastAsia" w:cs="Times New Roman"/>
                <w:sz w:val="24"/>
                <w:szCs w:val="24"/>
                <w:lang w:val="en-US" w:eastAsia="zh-CN"/>
              </w:rPr>
              <w:t>43</w:t>
            </w:r>
            <w:r>
              <w:rPr>
                <w:rFonts w:hint="default" w:ascii="Times New Roman" w:hAnsi="Times New Roman" w:eastAsia="宋体" w:cs="Times New Roman"/>
                <w:sz w:val="24"/>
                <w:szCs w:val="24"/>
                <w:lang w:val="en-US" w:eastAsia="zh-CN"/>
              </w:rPr>
              <w:t>dB（A），具体预测结果如下所示：</w:t>
            </w:r>
          </w:p>
          <w:p w14:paraId="1CD4B640">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default" w:ascii="Times New Roman" w:hAnsi="Times New Roman" w:eastAsia="宋体" w:cs="Times New Roman"/>
                <w:b/>
                <w:bCs/>
                <w:sz w:val="21"/>
                <w:szCs w:val="21"/>
                <w:lang w:val="en-US" w:eastAsia="zh-CN"/>
              </w:rPr>
            </w:pPr>
            <w:r>
              <w:rPr>
                <w:rFonts w:hint="default" w:ascii="Times New Roman" w:hAnsi="Times New Roman" w:eastAsia="宋体" w:cs="Times New Roman"/>
                <w:b/>
                <w:bCs/>
                <w:sz w:val="21"/>
                <w:szCs w:val="21"/>
                <w:lang w:val="en-US" w:eastAsia="zh-CN"/>
              </w:rPr>
              <w:t>表4-</w:t>
            </w:r>
            <w:r>
              <w:rPr>
                <w:rFonts w:hint="eastAsia" w:ascii="Times New Roman" w:hAnsi="Times New Roman" w:eastAsia="宋体" w:cs="Times New Roman"/>
                <w:b/>
                <w:bCs/>
                <w:sz w:val="21"/>
                <w:szCs w:val="21"/>
                <w:lang w:val="en-US" w:eastAsia="zh-CN"/>
              </w:rPr>
              <w:t>1</w:t>
            </w:r>
            <w:r>
              <w:rPr>
                <w:rFonts w:hint="eastAsia" w:cs="Times New Roman"/>
                <w:b/>
                <w:bCs/>
                <w:sz w:val="21"/>
                <w:szCs w:val="21"/>
                <w:lang w:val="en-US" w:eastAsia="zh-CN"/>
              </w:rPr>
              <w:t>4</w:t>
            </w:r>
            <w:r>
              <w:rPr>
                <w:rFonts w:hint="eastAsia" w:ascii="Times New Roman" w:hAnsi="Times New Roman" w:eastAsia="宋体" w:cs="Times New Roman"/>
                <w:b/>
                <w:bCs/>
                <w:sz w:val="21"/>
                <w:szCs w:val="21"/>
                <w:lang w:val="en-US" w:eastAsia="zh-CN"/>
              </w:rPr>
              <w:t xml:space="preserve"> </w:t>
            </w:r>
            <w:r>
              <w:rPr>
                <w:rFonts w:hint="default" w:ascii="Times New Roman" w:hAnsi="Times New Roman" w:eastAsia="宋体" w:cs="Times New Roman"/>
                <w:b/>
                <w:bCs/>
                <w:sz w:val="21"/>
                <w:szCs w:val="21"/>
                <w:lang w:val="en-US" w:eastAsia="zh-CN"/>
              </w:rPr>
              <w:t>厂界噪声预测结果</w:t>
            </w:r>
            <w:r>
              <w:rPr>
                <w:rFonts w:hint="eastAsia" w:ascii="Times New Roman" w:hAnsi="Times New Roman" w:eastAsia="宋体" w:cs="Times New Roman"/>
                <w:b/>
                <w:bCs/>
                <w:sz w:val="21"/>
                <w:szCs w:val="21"/>
                <w:lang w:val="en-US" w:eastAsia="zh-CN"/>
              </w:rPr>
              <w:t xml:space="preserve"> </w:t>
            </w:r>
            <w:r>
              <w:rPr>
                <w:rFonts w:hint="default" w:ascii="Times New Roman" w:hAnsi="Times New Roman" w:eastAsia="宋体" w:cs="Times New Roman"/>
                <w:b/>
                <w:bCs/>
                <w:sz w:val="21"/>
                <w:szCs w:val="21"/>
                <w:lang w:val="en-US" w:eastAsia="zh-CN"/>
              </w:rPr>
              <w:t>单位</w:t>
            </w:r>
            <w:r>
              <w:rPr>
                <w:rFonts w:hint="eastAsia" w:cs="Times New Roman"/>
                <w:b/>
                <w:bCs/>
                <w:sz w:val="21"/>
                <w:szCs w:val="21"/>
                <w:lang w:val="en-US" w:eastAsia="zh-CN"/>
              </w:rPr>
              <w:t>：</w:t>
            </w:r>
            <w:r>
              <w:rPr>
                <w:rFonts w:hint="default" w:ascii="Times New Roman" w:hAnsi="Times New Roman" w:eastAsia="宋体" w:cs="Times New Roman"/>
                <w:b/>
                <w:bCs/>
                <w:sz w:val="21"/>
                <w:szCs w:val="21"/>
                <w:lang w:val="en-US" w:eastAsia="zh-CN"/>
              </w:rPr>
              <w:t>dB（A</w:t>
            </w:r>
            <w:r>
              <w:rPr>
                <w:rFonts w:hint="eastAsia" w:cs="Times New Roman"/>
                <w:b/>
                <w:bCs/>
                <w:sz w:val="21"/>
                <w:szCs w:val="21"/>
                <w:lang w:val="en-US" w:eastAsia="zh-CN"/>
              </w:rPr>
              <w:t>）</w:t>
            </w:r>
          </w:p>
          <w:tbl>
            <w:tblPr>
              <w:tblStyle w:val="28"/>
              <w:tblW w:w="831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104"/>
              <w:gridCol w:w="1730"/>
              <w:gridCol w:w="1119"/>
              <w:gridCol w:w="1111"/>
              <w:gridCol w:w="1060"/>
              <w:gridCol w:w="1189"/>
            </w:tblGrid>
            <w:tr w14:paraId="2B7FF7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04" w:type="dxa"/>
                  <w:vMerge w:val="restart"/>
                  <w:noWrap w:val="0"/>
                  <w:vAlign w:val="center"/>
                </w:tcPr>
                <w:p w14:paraId="4E9E5944">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vertAlign w:val="baseline"/>
                      <w:lang w:val="en-US" w:eastAsia="zh-CN"/>
                    </w:rPr>
                    <w:t>设备名称</w:t>
                  </w:r>
                  <w:r>
                    <w:rPr>
                      <w:rFonts w:hint="eastAsia" w:cs="Times New Roman"/>
                      <w:b/>
                      <w:bCs/>
                      <w:sz w:val="21"/>
                      <w:szCs w:val="21"/>
                      <w:vertAlign w:val="baseline"/>
                      <w:lang w:val="en-US" w:eastAsia="zh-CN"/>
                    </w:rPr>
                    <w:t>以及源强</w:t>
                  </w:r>
                </w:p>
              </w:tc>
              <w:tc>
                <w:tcPr>
                  <w:tcW w:w="1730" w:type="dxa"/>
                  <w:vMerge w:val="restart"/>
                  <w:noWrap w:val="0"/>
                  <w:vAlign w:val="center"/>
                </w:tcPr>
                <w:p w14:paraId="37A381D8">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vertAlign w:val="baseline"/>
                      <w:lang w:val="en-US" w:eastAsia="zh-CN"/>
                    </w:rPr>
                    <w:t>隔声减振处理后</w:t>
                  </w:r>
                  <w:r>
                    <w:rPr>
                      <w:rFonts w:hint="eastAsia" w:cs="Times New Roman"/>
                      <w:b/>
                      <w:bCs/>
                      <w:sz w:val="21"/>
                      <w:szCs w:val="21"/>
                      <w:vertAlign w:val="baseline"/>
                      <w:lang w:val="en-US" w:eastAsia="zh-CN"/>
                    </w:rPr>
                    <w:t>的</w:t>
                  </w:r>
                  <w:r>
                    <w:rPr>
                      <w:rFonts w:hint="default" w:ascii="Times New Roman" w:hAnsi="Times New Roman" w:eastAsia="宋体" w:cs="Times New Roman"/>
                      <w:b/>
                      <w:bCs/>
                      <w:sz w:val="21"/>
                      <w:szCs w:val="21"/>
                      <w:vertAlign w:val="baseline"/>
                      <w:lang w:val="en-US" w:eastAsia="zh-CN"/>
                    </w:rPr>
                    <w:t>叠加噪声源强</w:t>
                  </w:r>
                </w:p>
              </w:tc>
              <w:tc>
                <w:tcPr>
                  <w:tcW w:w="4479" w:type="dxa"/>
                  <w:gridSpan w:val="4"/>
                  <w:noWrap w:val="0"/>
                  <w:vAlign w:val="center"/>
                </w:tcPr>
                <w:p w14:paraId="2DB47186">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eastAsia"/>
                      <w:b/>
                      <w:bCs/>
                    </w:rPr>
                    <w:t>厂界距声源距离</w:t>
                  </w:r>
                </w:p>
              </w:tc>
            </w:tr>
            <w:tr w14:paraId="74E701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04" w:type="dxa"/>
                  <w:vMerge w:val="continue"/>
                  <w:noWrap w:val="0"/>
                  <w:vAlign w:val="center"/>
                </w:tcPr>
                <w:p w14:paraId="4577AE60">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p>
              </w:tc>
              <w:tc>
                <w:tcPr>
                  <w:tcW w:w="1730" w:type="dxa"/>
                  <w:vMerge w:val="continue"/>
                  <w:noWrap w:val="0"/>
                  <w:vAlign w:val="center"/>
                </w:tcPr>
                <w:p w14:paraId="77C2FCB1">
                  <w:pPr>
                    <w:numPr>
                      <w:ilvl w:val="0"/>
                      <w:numId w:val="0"/>
                    </w:numPr>
                    <w:bidi w:val="0"/>
                    <w:spacing w:line="240" w:lineRule="auto"/>
                    <w:ind w:left="0" w:leftChars="0" w:firstLine="0" w:firstLineChars="0"/>
                    <w:jc w:val="center"/>
                    <w:rPr>
                      <w:rFonts w:hint="default" w:ascii="Times New Roman" w:hAnsi="Times New Roman" w:eastAsia="宋体" w:cs="Times New Roman"/>
                      <w:b/>
                      <w:bCs/>
                      <w:sz w:val="21"/>
                      <w:szCs w:val="21"/>
                      <w:vertAlign w:val="baseline"/>
                      <w:lang w:val="en-US" w:eastAsia="zh-CN"/>
                    </w:rPr>
                  </w:pPr>
                </w:p>
              </w:tc>
              <w:tc>
                <w:tcPr>
                  <w:tcW w:w="1119" w:type="dxa"/>
                  <w:noWrap w:val="0"/>
                  <w:vAlign w:val="center"/>
                </w:tcPr>
                <w:p w14:paraId="7F8D0DBD">
                  <w:pPr>
                    <w:numPr>
                      <w:ilvl w:val="0"/>
                      <w:numId w:val="0"/>
                    </w:numPr>
                    <w:bidi w:val="0"/>
                    <w:spacing w:line="240" w:lineRule="auto"/>
                    <w:ind w:left="0" w:leftChars="0" w:firstLine="0" w:firstLineChars="0"/>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vertAlign w:val="baseline"/>
                      <w:lang w:val="en-US" w:eastAsia="zh-CN"/>
                    </w:rPr>
                    <w:t>东面</w:t>
                  </w:r>
                  <w:r>
                    <w:rPr>
                      <w:rFonts w:hint="eastAsia" w:cs="Times New Roman"/>
                      <w:b/>
                      <w:bCs/>
                      <w:sz w:val="21"/>
                      <w:szCs w:val="21"/>
                      <w:vertAlign w:val="baseline"/>
                      <w:lang w:val="en-US" w:eastAsia="zh-CN"/>
                    </w:rPr>
                    <w:t>82</w:t>
                  </w:r>
                  <w:r>
                    <w:rPr>
                      <w:rFonts w:hint="default" w:ascii="Times New Roman" w:hAnsi="Times New Roman" w:eastAsia="宋体" w:cs="Times New Roman"/>
                      <w:b/>
                      <w:bCs/>
                      <w:sz w:val="21"/>
                      <w:szCs w:val="21"/>
                      <w:vertAlign w:val="baseline"/>
                      <w:lang w:val="en-US" w:eastAsia="zh-CN"/>
                    </w:rPr>
                    <w:t xml:space="preserve">m   </w:t>
                  </w:r>
                </w:p>
              </w:tc>
              <w:tc>
                <w:tcPr>
                  <w:tcW w:w="1111" w:type="dxa"/>
                  <w:noWrap w:val="0"/>
                  <w:vAlign w:val="center"/>
                </w:tcPr>
                <w:p w14:paraId="022E1BD4">
                  <w:pPr>
                    <w:numPr>
                      <w:ilvl w:val="0"/>
                      <w:numId w:val="0"/>
                    </w:numPr>
                    <w:bidi w:val="0"/>
                    <w:spacing w:line="240" w:lineRule="auto"/>
                    <w:ind w:left="0" w:leftChars="0" w:firstLine="0" w:firstLineChars="0"/>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vertAlign w:val="baseline"/>
                      <w:lang w:val="en-US" w:eastAsia="zh-CN"/>
                    </w:rPr>
                    <w:t>南面</w:t>
                  </w:r>
                  <w:r>
                    <w:rPr>
                      <w:rFonts w:hint="eastAsia" w:cs="Times New Roman"/>
                      <w:b/>
                      <w:bCs/>
                      <w:sz w:val="21"/>
                      <w:szCs w:val="21"/>
                      <w:vertAlign w:val="baseline"/>
                      <w:lang w:val="en-US" w:eastAsia="zh-CN"/>
                    </w:rPr>
                    <w:t>10</w:t>
                  </w:r>
                  <w:r>
                    <w:rPr>
                      <w:rFonts w:hint="default" w:ascii="Times New Roman" w:hAnsi="Times New Roman" w:eastAsia="宋体" w:cs="Times New Roman"/>
                      <w:b/>
                      <w:bCs/>
                      <w:sz w:val="21"/>
                      <w:szCs w:val="21"/>
                      <w:vertAlign w:val="baseline"/>
                      <w:lang w:val="en-US" w:eastAsia="zh-CN"/>
                    </w:rPr>
                    <w:t>m</w:t>
                  </w:r>
                </w:p>
              </w:tc>
              <w:tc>
                <w:tcPr>
                  <w:tcW w:w="1060" w:type="dxa"/>
                  <w:noWrap w:val="0"/>
                  <w:vAlign w:val="center"/>
                </w:tcPr>
                <w:p w14:paraId="277E8012">
                  <w:pPr>
                    <w:numPr>
                      <w:ilvl w:val="0"/>
                      <w:numId w:val="0"/>
                    </w:numPr>
                    <w:bidi w:val="0"/>
                    <w:spacing w:line="240" w:lineRule="auto"/>
                    <w:ind w:left="0" w:leftChars="0" w:firstLine="0" w:firstLineChars="0"/>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vertAlign w:val="baseline"/>
                      <w:lang w:val="en-US" w:eastAsia="zh-CN"/>
                    </w:rPr>
                    <w:t>西面</w:t>
                  </w:r>
                  <w:r>
                    <w:rPr>
                      <w:rFonts w:hint="eastAsia" w:cs="Times New Roman"/>
                      <w:b/>
                      <w:bCs/>
                      <w:sz w:val="21"/>
                      <w:szCs w:val="21"/>
                      <w:vertAlign w:val="baseline"/>
                      <w:lang w:val="en-US" w:eastAsia="zh-CN"/>
                    </w:rPr>
                    <w:t>26</w:t>
                  </w:r>
                  <w:r>
                    <w:rPr>
                      <w:rFonts w:hint="default" w:ascii="Times New Roman" w:hAnsi="Times New Roman" w:eastAsia="宋体" w:cs="Times New Roman"/>
                      <w:b/>
                      <w:bCs/>
                      <w:sz w:val="21"/>
                      <w:szCs w:val="21"/>
                      <w:vertAlign w:val="baseline"/>
                      <w:lang w:val="en-US" w:eastAsia="zh-CN"/>
                    </w:rPr>
                    <w:t>m</w:t>
                  </w:r>
                </w:p>
              </w:tc>
              <w:tc>
                <w:tcPr>
                  <w:tcW w:w="1189" w:type="dxa"/>
                  <w:noWrap w:val="0"/>
                  <w:vAlign w:val="center"/>
                </w:tcPr>
                <w:p w14:paraId="792FFEBF">
                  <w:pPr>
                    <w:numPr>
                      <w:ilvl w:val="0"/>
                      <w:numId w:val="0"/>
                    </w:numPr>
                    <w:bidi w:val="0"/>
                    <w:spacing w:line="240" w:lineRule="auto"/>
                    <w:ind w:left="0" w:leftChars="0" w:firstLine="0" w:firstLineChars="0"/>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vertAlign w:val="baseline"/>
                      <w:lang w:val="en-US" w:eastAsia="zh-CN"/>
                    </w:rPr>
                    <w:t>北面</w:t>
                  </w:r>
                  <w:r>
                    <w:rPr>
                      <w:rFonts w:hint="eastAsia" w:cs="Times New Roman"/>
                      <w:b/>
                      <w:bCs/>
                      <w:sz w:val="21"/>
                      <w:szCs w:val="21"/>
                      <w:vertAlign w:val="baseline"/>
                      <w:lang w:val="en-US" w:eastAsia="zh-CN"/>
                    </w:rPr>
                    <w:t>145</w:t>
                  </w:r>
                  <w:r>
                    <w:rPr>
                      <w:rFonts w:hint="default" w:ascii="Times New Roman" w:hAnsi="Times New Roman" w:eastAsia="宋体" w:cs="Times New Roman"/>
                      <w:b/>
                      <w:bCs/>
                      <w:sz w:val="21"/>
                      <w:szCs w:val="21"/>
                      <w:vertAlign w:val="baseline"/>
                      <w:lang w:val="en-US" w:eastAsia="zh-CN"/>
                    </w:rPr>
                    <w:t>m</w:t>
                  </w:r>
                </w:p>
              </w:tc>
            </w:tr>
            <w:tr w14:paraId="68EA8E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04" w:type="dxa"/>
                  <w:noWrap w:val="0"/>
                  <w:vAlign w:val="center"/>
                </w:tcPr>
                <w:p w14:paraId="13E47B87">
                  <w:pPr>
                    <w:numPr>
                      <w:ilvl w:val="0"/>
                      <w:numId w:val="0"/>
                    </w:numPr>
                    <w:bidi w:val="0"/>
                    <w:spacing w:line="240" w:lineRule="auto"/>
                    <w:jc w:val="left"/>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设备噪声</w:t>
                  </w:r>
                  <w:r>
                    <w:rPr>
                      <w:rFonts w:hint="eastAsia" w:cs="Times New Roman"/>
                      <w:sz w:val="21"/>
                      <w:szCs w:val="21"/>
                      <w:lang w:val="en-US" w:eastAsia="zh-CN"/>
                    </w:rPr>
                    <w:t>80.79（昼）</w:t>
                  </w:r>
                </w:p>
              </w:tc>
              <w:tc>
                <w:tcPr>
                  <w:tcW w:w="1730" w:type="dxa"/>
                  <w:noWrap w:val="0"/>
                  <w:vAlign w:val="center"/>
                </w:tcPr>
                <w:p w14:paraId="47AFAD19">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eastAsia" w:cs="Times New Roman"/>
                      <w:sz w:val="21"/>
                      <w:szCs w:val="21"/>
                      <w:lang w:val="en-US" w:eastAsia="zh-CN"/>
                    </w:rPr>
                    <w:t>40.79</w:t>
                  </w:r>
                </w:p>
              </w:tc>
              <w:tc>
                <w:tcPr>
                  <w:tcW w:w="1119" w:type="dxa"/>
                  <w:noWrap w:val="0"/>
                  <w:vAlign w:val="center"/>
                </w:tcPr>
                <w:p w14:paraId="4E91CCCA">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eastAsia" w:cs="Times New Roman"/>
                      <w:sz w:val="21"/>
                      <w:szCs w:val="21"/>
                      <w:vertAlign w:val="baseline"/>
                      <w:lang w:val="en-US" w:eastAsia="zh-CN"/>
                    </w:rPr>
                    <w:t>21.65</w:t>
                  </w:r>
                </w:p>
              </w:tc>
              <w:tc>
                <w:tcPr>
                  <w:tcW w:w="1111" w:type="dxa"/>
                  <w:noWrap w:val="0"/>
                  <w:vAlign w:val="center"/>
                </w:tcPr>
                <w:p w14:paraId="0FD509BC">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eastAsia" w:cs="Times New Roman"/>
                      <w:sz w:val="21"/>
                      <w:szCs w:val="21"/>
                      <w:vertAlign w:val="baseline"/>
                      <w:lang w:val="en-US" w:eastAsia="zh-CN"/>
                    </w:rPr>
                    <w:t>30.79</w:t>
                  </w:r>
                </w:p>
              </w:tc>
              <w:tc>
                <w:tcPr>
                  <w:tcW w:w="1060" w:type="dxa"/>
                  <w:noWrap w:val="0"/>
                  <w:vAlign w:val="center"/>
                </w:tcPr>
                <w:p w14:paraId="702A5BCA">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eastAsia" w:cs="Times New Roman"/>
                      <w:sz w:val="21"/>
                      <w:szCs w:val="21"/>
                      <w:vertAlign w:val="baseline"/>
                      <w:lang w:val="en-US" w:eastAsia="zh-CN"/>
                    </w:rPr>
                    <w:t>26.64</w:t>
                  </w:r>
                </w:p>
              </w:tc>
              <w:tc>
                <w:tcPr>
                  <w:tcW w:w="1189" w:type="dxa"/>
                  <w:noWrap w:val="0"/>
                  <w:vAlign w:val="center"/>
                </w:tcPr>
                <w:p w14:paraId="0B9EEAC1">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eastAsia" w:cs="Times New Roman"/>
                      <w:sz w:val="21"/>
                      <w:szCs w:val="21"/>
                      <w:vertAlign w:val="baseline"/>
                      <w:lang w:val="en-US" w:eastAsia="zh-CN"/>
                    </w:rPr>
                    <w:t>19.18</w:t>
                  </w:r>
                </w:p>
              </w:tc>
            </w:tr>
            <w:tr w14:paraId="20437C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04" w:type="dxa"/>
                  <w:noWrap w:val="0"/>
                  <w:vAlign w:val="center"/>
                </w:tcPr>
                <w:p w14:paraId="67194309">
                  <w:pPr>
                    <w:numPr>
                      <w:ilvl w:val="0"/>
                      <w:numId w:val="0"/>
                    </w:numPr>
                    <w:bidi w:val="0"/>
                    <w:spacing w:line="240" w:lineRule="auto"/>
                    <w:jc w:val="left"/>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设备噪声</w:t>
                  </w:r>
                  <w:r>
                    <w:rPr>
                      <w:rFonts w:hint="eastAsia" w:cs="Times New Roman"/>
                      <w:sz w:val="21"/>
                      <w:szCs w:val="21"/>
                      <w:lang w:val="en-US" w:eastAsia="zh-CN"/>
                    </w:rPr>
                    <w:t>80.00（夜）</w:t>
                  </w:r>
                </w:p>
              </w:tc>
              <w:tc>
                <w:tcPr>
                  <w:tcW w:w="1730" w:type="dxa"/>
                  <w:noWrap w:val="0"/>
                  <w:vAlign w:val="center"/>
                </w:tcPr>
                <w:p w14:paraId="5B248CAA">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eastAsia" w:cs="Times New Roman"/>
                      <w:sz w:val="21"/>
                      <w:szCs w:val="21"/>
                      <w:lang w:val="en-US" w:eastAsia="zh-CN"/>
                    </w:rPr>
                    <w:t>40.00</w:t>
                  </w:r>
                </w:p>
              </w:tc>
              <w:tc>
                <w:tcPr>
                  <w:tcW w:w="1119" w:type="dxa"/>
                  <w:noWrap w:val="0"/>
                  <w:vAlign w:val="center"/>
                </w:tcPr>
                <w:p w14:paraId="72CDE0B5">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eastAsia" w:cs="Times New Roman"/>
                      <w:sz w:val="21"/>
                      <w:szCs w:val="21"/>
                      <w:vertAlign w:val="baseline"/>
                      <w:lang w:val="en-US" w:eastAsia="zh-CN"/>
                    </w:rPr>
                    <w:t>20.86</w:t>
                  </w:r>
                </w:p>
              </w:tc>
              <w:tc>
                <w:tcPr>
                  <w:tcW w:w="1111" w:type="dxa"/>
                  <w:noWrap w:val="0"/>
                  <w:vAlign w:val="center"/>
                </w:tcPr>
                <w:p w14:paraId="632F0981">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eastAsia" w:cs="Times New Roman"/>
                      <w:sz w:val="21"/>
                      <w:szCs w:val="21"/>
                      <w:vertAlign w:val="baseline"/>
                      <w:lang w:val="en-US" w:eastAsia="zh-CN"/>
                    </w:rPr>
                    <w:t>30.00</w:t>
                  </w:r>
                </w:p>
              </w:tc>
              <w:tc>
                <w:tcPr>
                  <w:tcW w:w="1060" w:type="dxa"/>
                  <w:noWrap w:val="0"/>
                  <w:vAlign w:val="center"/>
                </w:tcPr>
                <w:p w14:paraId="1FB03DEF">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eastAsia" w:cs="Times New Roman"/>
                      <w:sz w:val="21"/>
                      <w:szCs w:val="21"/>
                      <w:vertAlign w:val="baseline"/>
                      <w:lang w:val="en-US" w:eastAsia="zh-CN"/>
                    </w:rPr>
                    <w:t>25.85</w:t>
                  </w:r>
                </w:p>
              </w:tc>
              <w:tc>
                <w:tcPr>
                  <w:tcW w:w="1189" w:type="dxa"/>
                  <w:noWrap w:val="0"/>
                  <w:vAlign w:val="center"/>
                </w:tcPr>
                <w:p w14:paraId="2DA02012">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eastAsia" w:cs="Times New Roman"/>
                      <w:sz w:val="21"/>
                      <w:szCs w:val="21"/>
                      <w:vertAlign w:val="baseline"/>
                      <w:lang w:val="en-US" w:eastAsia="zh-CN"/>
                    </w:rPr>
                    <w:t>18.39</w:t>
                  </w:r>
                </w:p>
              </w:tc>
            </w:tr>
          </w:tbl>
          <w:p w14:paraId="62A9AE7D">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由表4-1</w:t>
            </w:r>
            <w:r>
              <w:rPr>
                <w:rFonts w:hint="eastAsia" w:cs="Times New Roman"/>
                <w:sz w:val="24"/>
                <w:szCs w:val="24"/>
                <w:lang w:val="en-US" w:eastAsia="zh-CN"/>
              </w:rPr>
              <w:t>4</w:t>
            </w:r>
            <w:r>
              <w:rPr>
                <w:rFonts w:hint="default" w:ascii="Times New Roman" w:hAnsi="Times New Roman" w:eastAsia="宋体" w:cs="Times New Roman"/>
                <w:sz w:val="24"/>
                <w:szCs w:val="24"/>
                <w:lang w:val="en-US" w:eastAsia="zh-CN"/>
              </w:rPr>
              <w:t>预测结果可知，</w:t>
            </w:r>
            <w:r>
              <w:rPr>
                <w:rFonts w:hint="eastAsia" w:cs="Times New Roman"/>
                <w:sz w:val="24"/>
                <w:szCs w:val="24"/>
                <w:lang w:val="en-US" w:eastAsia="zh-CN"/>
              </w:rPr>
              <w:t>本</w:t>
            </w:r>
            <w:r>
              <w:rPr>
                <w:rFonts w:hint="default" w:ascii="Times New Roman" w:hAnsi="Times New Roman" w:eastAsia="宋体" w:cs="Times New Roman"/>
                <w:sz w:val="24"/>
                <w:szCs w:val="24"/>
                <w:lang w:val="en-US" w:eastAsia="zh-CN"/>
              </w:rPr>
              <w:t>项目投入运营后</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通过选用低噪声设备，设备均设置于室内</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加强设备</w:t>
            </w:r>
            <w:r>
              <w:rPr>
                <w:rFonts w:hint="eastAsia" w:cs="Times New Roman"/>
                <w:sz w:val="24"/>
                <w:szCs w:val="24"/>
                <w:lang w:val="en-US" w:eastAsia="zh-CN"/>
              </w:rPr>
              <w:t>保养</w:t>
            </w:r>
            <w:r>
              <w:rPr>
                <w:rFonts w:hint="default" w:ascii="Times New Roman" w:hAnsi="Times New Roman" w:eastAsia="宋体" w:cs="Times New Roman"/>
                <w:sz w:val="24"/>
                <w:szCs w:val="24"/>
                <w:lang w:val="en-US" w:eastAsia="zh-CN"/>
              </w:rPr>
              <w:t>维修</w:t>
            </w:r>
            <w:r>
              <w:rPr>
                <w:rFonts w:hint="eastAsia" w:cs="Times New Roman"/>
                <w:sz w:val="24"/>
                <w:szCs w:val="24"/>
                <w:lang w:val="en-US" w:eastAsia="zh-CN"/>
              </w:rPr>
              <w:t>以及</w:t>
            </w:r>
            <w:r>
              <w:rPr>
                <w:rFonts w:hint="default" w:ascii="Times New Roman" w:hAnsi="Times New Roman" w:eastAsia="宋体" w:cs="Times New Roman"/>
                <w:sz w:val="24"/>
                <w:szCs w:val="24"/>
                <w:lang w:val="en-US" w:eastAsia="zh-CN"/>
              </w:rPr>
              <w:t>对各种机械设备运行噪声采取相应的消声、隔声、减振等防护措施</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经室内墙壁屏蔽和吸声处理后，</w:t>
            </w:r>
            <w:r>
              <w:rPr>
                <w:rFonts w:hint="eastAsia" w:cs="Times New Roman"/>
                <w:sz w:val="24"/>
                <w:szCs w:val="24"/>
                <w:lang w:val="en-US" w:eastAsia="zh-CN"/>
              </w:rPr>
              <w:t>四周</w:t>
            </w:r>
            <w:r>
              <w:rPr>
                <w:rFonts w:hint="default" w:ascii="Times New Roman" w:hAnsi="Times New Roman" w:eastAsia="宋体" w:cs="Times New Roman"/>
                <w:sz w:val="24"/>
                <w:szCs w:val="24"/>
                <w:lang w:val="en-US" w:eastAsia="zh-CN"/>
              </w:rPr>
              <w:t>厂界昼间噪声排放能满足《工业企业厂界环境噪声排放标准》（GB12348-2008）中3类标准值类标准（昼间≤65dB（A）</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夜间≤55dB（A）），可以做到厂界达标且项目周边50米范围内无声环境敏感点</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因此</w:t>
            </w:r>
            <w:r>
              <w:rPr>
                <w:rFonts w:hint="eastAsia" w:cs="Times New Roman"/>
                <w:sz w:val="24"/>
                <w:szCs w:val="24"/>
                <w:lang w:val="en-US" w:eastAsia="zh-CN"/>
              </w:rPr>
              <w:t>本</w:t>
            </w:r>
            <w:r>
              <w:rPr>
                <w:rFonts w:hint="default" w:ascii="Times New Roman" w:hAnsi="Times New Roman" w:eastAsia="宋体" w:cs="Times New Roman"/>
                <w:sz w:val="24"/>
                <w:szCs w:val="24"/>
                <w:lang w:val="en-US" w:eastAsia="zh-CN"/>
              </w:rPr>
              <w:t>项目运行后产生的噪声不会对区域声环境产生明显不利影响。</w:t>
            </w:r>
          </w:p>
          <w:p w14:paraId="2919B5D6">
            <w:pPr>
              <w:numPr>
                <w:ilvl w:val="0"/>
                <w:numId w:val="61"/>
              </w:numPr>
              <w:bidi w:val="0"/>
              <w:spacing w:line="360" w:lineRule="auto"/>
              <w:ind w:left="0" w:leftChars="0" w:firstLine="482" w:firstLineChars="200"/>
              <w:rPr>
                <w:rFonts w:hint="default" w:ascii="Times New Roman" w:hAnsi="Times New Roman" w:eastAsia="宋体" w:cs="Times New Roman"/>
                <w:b/>
                <w:bCs/>
                <w:sz w:val="24"/>
                <w:szCs w:val="24"/>
                <w:lang w:val="en-US" w:eastAsia="zh-CN"/>
              </w:rPr>
            </w:pPr>
            <w:r>
              <w:rPr>
                <w:rFonts w:hint="default" w:ascii="Times New Roman" w:hAnsi="Times New Roman" w:eastAsia="宋体" w:cs="Times New Roman"/>
                <w:b/>
                <w:bCs/>
                <w:sz w:val="24"/>
                <w:szCs w:val="24"/>
                <w:lang w:val="en-US" w:eastAsia="zh-CN"/>
              </w:rPr>
              <w:t>监测要求</w:t>
            </w:r>
          </w:p>
          <w:p w14:paraId="3C48A1AA">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根据《排污单位自行监测技术指南总则》（HJ819-2017）、《排污许可证申请与核发技术规范总则》（HJ942-2018）</w:t>
            </w:r>
            <w:r>
              <w:rPr>
                <w:rFonts w:hint="eastAsia" w:cs="Times New Roman"/>
                <w:sz w:val="24"/>
                <w:szCs w:val="24"/>
                <w:lang w:val="en-US" w:eastAsia="zh-CN"/>
              </w:rPr>
              <w:t>，本</w:t>
            </w:r>
            <w:r>
              <w:rPr>
                <w:rFonts w:hint="default" w:ascii="Times New Roman" w:hAnsi="Times New Roman" w:eastAsia="宋体" w:cs="Times New Roman"/>
                <w:sz w:val="24"/>
                <w:szCs w:val="24"/>
                <w:lang w:val="en-US" w:eastAsia="zh-CN"/>
              </w:rPr>
              <w:t>项目营运期噪声日常监测要求如下表所示。</w:t>
            </w:r>
          </w:p>
          <w:p w14:paraId="268302A1">
            <w:pPr>
              <w:numPr>
                <w:ilvl w:val="0"/>
                <w:numId w:val="0"/>
              </w:numPr>
              <w:bidi w:val="0"/>
              <w:spacing w:line="360" w:lineRule="auto"/>
              <w:jc w:val="center"/>
              <w:rPr>
                <w:rFonts w:hint="default" w:ascii="Times New Roman" w:hAnsi="Times New Roman" w:eastAsia="宋体" w:cs="Times New Roman"/>
                <w:b/>
                <w:bCs/>
                <w:sz w:val="21"/>
                <w:szCs w:val="21"/>
                <w:lang w:val="en-US" w:eastAsia="zh-CN"/>
              </w:rPr>
            </w:pPr>
          </w:p>
          <w:p w14:paraId="3B5BF5D6">
            <w:pPr>
              <w:numPr>
                <w:ilvl w:val="0"/>
                <w:numId w:val="0"/>
              </w:numPr>
              <w:bidi w:val="0"/>
              <w:spacing w:line="36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lang w:val="en-US" w:eastAsia="zh-CN"/>
              </w:rPr>
              <w:t>表4-</w:t>
            </w:r>
            <w:r>
              <w:rPr>
                <w:rFonts w:hint="eastAsia" w:ascii="Times New Roman" w:hAnsi="Times New Roman" w:eastAsia="宋体" w:cs="Times New Roman"/>
                <w:b/>
                <w:bCs/>
                <w:sz w:val="21"/>
                <w:szCs w:val="21"/>
                <w:lang w:val="en-US" w:eastAsia="zh-CN"/>
              </w:rPr>
              <w:t>1</w:t>
            </w:r>
            <w:r>
              <w:rPr>
                <w:rFonts w:hint="eastAsia" w:cs="Times New Roman"/>
                <w:b/>
                <w:bCs/>
                <w:sz w:val="21"/>
                <w:szCs w:val="21"/>
                <w:lang w:val="en-US" w:eastAsia="zh-CN"/>
              </w:rPr>
              <w:t>5</w:t>
            </w:r>
            <w:r>
              <w:rPr>
                <w:rFonts w:hint="eastAsia" w:ascii="Times New Roman" w:hAnsi="Times New Roman" w:eastAsia="宋体" w:cs="Times New Roman"/>
                <w:b/>
                <w:bCs/>
                <w:sz w:val="21"/>
                <w:szCs w:val="21"/>
                <w:lang w:val="en-US" w:eastAsia="zh-CN"/>
              </w:rPr>
              <w:t xml:space="preserve"> </w:t>
            </w:r>
            <w:r>
              <w:rPr>
                <w:rFonts w:hint="default" w:ascii="Times New Roman" w:hAnsi="Times New Roman" w:eastAsia="宋体" w:cs="Times New Roman"/>
                <w:b/>
                <w:bCs/>
                <w:sz w:val="21"/>
                <w:szCs w:val="21"/>
                <w:lang w:val="en-US" w:eastAsia="zh-CN"/>
              </w:rPr>
              <w:t>噪声监测计划表</w:t>
            </w:r>
          </w:p>
          <w:tbl>
            <w:tblPr>
              <w:tblStyle w:val="28"/>
              <w:tblW w:w="823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17"/>
              <w:gridCol w:w="1283"/>
              <w:gridCol w:w="1684"/>
              <w:gridCol w:w="1308"/>
              <w:gridCol w:w="2846"/>
            </w:tblGrid>
            <w:tr w14:paraId="606472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117" w:type="dxa"/>
                  <w:noWrap w:val="0"/>
                  <w:vAlign w:val="center"/>
                </w:tcPr>
                <w:p w14:paraId="7B8576EE">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lang w:val="en-US" w:eastAsia="zh-CN"/>
                    </w:rPr>
                    <w:t>类别</w:t>
                  </w:r>
                </w:p>
              </w:tc>
              <w:tc>
                <w:tcPr>
                  <w:tcW w:w="1283" w:type="dxa"/>
                  <w:noWrap w:val="0"/>
                  <w:vAlign w:val="center"/>
                </w:tcPr>
                <w:p w14:paraId="27B22BE8">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lang w:val="en-US" w:eastAsia="zh-CN"/>
                    </w:rPr>
                    <w:t>监测点位</w:t>
                  </w:r>
                </w:p>
              </w:tc>
              <w:tc>
                <w:tcPr>
                  <w:tcW w:w="1684" w:type="dxa"/>
                  <w:noWrap w:val="0"/>
                  <w:vAlign w:val="center"/>
                </w:tcPr>
                <w:p w14:paraId="71987B88">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lang w:val="en-US" w:eastAsia="zh-CN"/>
                    </w:rPr>
                    <w:t>监测项目</w:t>
                  </w:r>
                </w:p>
              </w:tc>
              <w:tc>
                <w:tcPr>
                  <w:tcW w:w="1308" w:type="dxa"/>
                  <w:noWrap w:val="0"/>
                  <w:vAlign w:val="center"/>
                </w:tcPr>
                <w:p w14:paraId="44AC6B9F">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lang w:val="en-US" w:eastAsia="zh-CN"/>
                    </w:rPr>
                    <w:t>监测频次</w:t>
                  </w:r>
                </w:p>
              </w:tc>
              <w:tc>
                <w:tcPr>
                  <w:tcW w:w="2846" w:type="dxa"/>
                  <w:noWrap w:val="0"/>
                  <w:vAlign w:val="center"/>
                </w:tcPr>
                <w:p w14:paraId="216E74B8">
                  <w:pPr>
                    <w:numPr>
                      <w:ilvl w:val="0"/>
                      <w:numId w:val="0"/>
                    </w:numPr>
                    <w:bidi w:val="0"/>
                    <w:spacing w:line="240" w:lineRule="auto"/>
                    <w:jc w:val="center"/>
                    <w:rPr>
                      <w:rFonts w:hint="default" w:ascii="Times New Roman" w:hAnsi="Times New Roman" w:eastAsia="宋体" w:cs="Times New Roman"/>
                      <w:b/>
                      <w:bCs/>
                      <w:sz w:val="21"/>
                      <w:szCs w:val="21"/>
                      <w:lang w:val="en-US" w:eastAsia="zh-CN"/>
                    </w:rPr>
                  </w:pPr>
                  <w:r>
                    <w:rPr>
                      <w:rFonts w:hint="default" w:ascii="Times New Roman" w:hAnsi="Times New Roman" w:eastAsia="宋体" w:cs="Times New Roman"/>
                      <w:b/>
                      <w:bCs/>
                      <w:sz w:val="21"/>
                      <w:szCs w:val="21"/>
                      <w:lang w:val="en-US" w:eastAsia="zh-CN"/>
                    </w:rPr>
                    <w:t>执行标准</w:t>
                  </w:r>
                </w:p>
              </w:tc>
            </w:tr>
            <w:tr w14:paraId="5E0888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117" w:type="dxa"/>
                  <w:noWrap w:val="0"/>
                  <w:vAlign w:val="center"/>
                </w:tcPr>
                <w:p w14:paraId="1FADAD5D">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lang w:val="en-US" w:eastAsia="zh-CN"/>
                    </w:rPr>
                    <w:t>噪声监测</w:t>
                  </w:r>
                </w:p>
              </w:tc>
              <w:tc>
                <w:tcPr>
                  <w:tcW w:w="1283" w:type="dxa"/>
                  <w:noWrap w:val="0"/>
                  <w:vAlign w:val="center"/>
                </w:tcPr>
                <w:p w14:paraId="2B666FE9">
                  <w:pPr>
                    <w:numPr>
                      <w:ilvl w:val="0"/>
                      <w:numId w:val="0"/>
                    </w:numPr>
                    <w:bidi w:val="0"/>
                    <w:spacing w:line="240" w:lineRule="auto"/>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项目</w:t>
                  </w:r>
                  <w:r>
                    <w:rPr>
                      <w:rFonts w:hint="default" w:ascii="Times New Roman" w:hAnsi="Times New Roman" w:eastAsia="宋体" w:cs="Times New Roman"/>
                      <w:sz w:val="21"/>
                      <w:szCs w:val="21"/>
                      <w:lang w:val="en-US" w:eastAsia="zh-CN"/>
                    </w:rPr>
                    <w:t>厂</w:t>
                  </w:r>
                </w:p>
                <w:p w14:paraId="52653479">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lang w:val="en-US" w:eastAsia="zh-CN"/>
                    </w:rPr>
                    <w:t>界外1m</w:t>
                  </w:r>
                </w:p>
              </w:tc>
              <w:tc>
                <w:tcPr>
                  <w:tcW w:w="1684" w:type="dxa"/>
                  <w:noWrap w:val="0"/>
                  <w:vAlign w:val="center"/>
                </w:tcPr>
                <w:p w14:paraId="4540F23A">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lang w:val="en-US" w:eastAsia="zh-CN"/>
                    </w:rPr>
                    <w:t>等效连续A声级</w:t>
                  </w:r>
                </w:p>
              </w:tc>
              <w:tc>
                <w:tcPr>
                  <w:tcW w:w="1308" w:type="dxa"/>
                  <w:noWrap w:val="0"/>
                  <w:vAlign w:val="center"/>
                </w:tcPr>
                <w:p w14:paraId="555BE2EE">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lang w:val="en-US" w:eastAsia="zh-CN"/>
                    </w:rPr>
                    <w:t>1季度/次</w:t>
                  </w:r>
                </w:p>
              </w:tc>
              <w:tc>
                <w:tcPr>
                  <w:tcW w:w="2846" w:type="dxa"/>
                  <w:noWrap w:val="0"/>
                  <w:vAlign w:val="center"/>
                </w:tcPr>
                <w:p w14:paraId="24679123">
                  <w:pPr>
                    <w:numPr>
                      <w:ilvl w:val="0"/>
                      <w:numId w:val="0"/>
                    </w:numPr>
                    <w:bidi w:val="0"/>
                    <w:spacing w:line="240" w:lineRule="auto"/>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（GB12348-2008）3 类标准</w:t>
                  </w:r>
                </w:p>
              </w:tc>
            </w:tr>
          </w:tbl>
          <w:p w14:paraId="31DDB671">
            <w:pPr>
              <w:numPr>
                <w:ilvl w:val="0"/>
                <w:numId w:val="51"/>
              </w:numPr>
              <w:bidi w:val="0"/>
              <w:spacing w:line="360" w:lineRule="auto"/>
              <w:ind w:left="0" w:leftChars="0" w:firstLine="482" w:firstLineChars="200"/>
              <w:rPr>
                <w:rFonts w:hint="default" w:ascii="Times New Roman" w:hAnsi="Times New Roman" w:eastAsia="宋体" w:cs="Times New Roman"/>
                <w:b/>
                <w:bCs/>
                <w:sz w:val="24"/>
                <w:szCs w:val="24"/>
                <w:lang w:val="en-US" w:eastAsia="zh-CN"/>
              </w:rPr>
            </w:pPr>
            <w:r>
              <w:rPr>
                <w:rFonts w:hint="default" w:ascii="Times New Roman" w:hAnsi="Times New Roman" w:eastAsia="宋体" w:cs="Times New Roman"/>
                <w:b/>
                <w:bCs/>
                <w:sz w:val="24"/>
                <w:szCs w:val="24"/>
                <w:lang w:val="en-US" w:eastAsia="zh-CN"/>
              </w:rPr>
              <w:t>固废</w:t>
            </w:r>
          </w:p>
          <w:p w14:paraId="175839A1">
            <w:pPr>
              <w:numPr>
                <w:ilvl w:val="0"/>
                <w:numId w:val="62"/>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废物类别和处置情况</w:t>
            </w:r>
          </w:p>
          <w:p w14:paraId="77B2765E">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本项目运营期产生的固体废物主要为一般工业固体废物、危险废物</w:t>
            </w:r>
            <w:r>
              <w:rPr>
                <w:rFonts w:hint="eastAsia" w:cs="Times New Roman"/>
                <w:sz w:val="24"/>
                <w:szCs w:val="24"/>
                <w:lang w:val="en-US" w:eastAsia="zh-CN"/>
              </w:rPr>
              <w:t>以及</w:t>
            </w:r>
            <w:r>
              <w:rPr>
                <w:rFonts w:hint="default" w:ascii="Times New Roman" w:hAnsi="Times New Roman" w:eastAsia="宋体" w:cs="Times New Roman"/>
                <w:sz w:val="24"/>
                <w:szCs w:val="24"/>
                <w:lang w:val="en-US" w:eastAsia="zh-CN"/>
              </w:rPr>
              <w:t>生活垃圾</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其中一般工业固废有废包装材料</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危险废物有废活性炭、废棉纱手套、实验废液、废试剂瓶、油泥、废油桶等</w:t>
            </w:r>
            <w:r>
              <w:rPr>
                <w:rFonts w:hint="eastAsia" w:cs="Times New Roman"/>
                <w:sz w:val="24"/>
                <w:szCs w:val="24"/>
                <w:lang w:val="en-US" w:eastAsia="zh-CN"/>
              </w:rPr>
              <w:t>。</w:t>
            </w:r>
          </w:p>
          <w:p w14:paraId="17C614E6">
            <w:pPr>
              <w:numPr>
                <w:ilvl w:val="0"/>
                <w:numId w:val="63"/>
              </w:numPr>
              <w:bidi w:val="0"/>
              <w:spacing w:line="360" w:lineRule="auto"/>
              <w:ind w:firstLine="482" w:firstLineChars="200"/>
              <w:rPr>
                <w:rFonts w:hint="default" w:ascii="Times New Roman" w:hAnsi="Times New Roman" w:eastAsia="宋体" w:cs="Times New Roman"/>
                <w:b/>
                <w:bCs/>
                <w:sz w:val="24"/>
                <w:szCs w:val="24"/>
                <w:lang w:val="en-US" w:eastAsia="zh-CN"/>
              </w:rPr>
            </w:pPr>
            <w:r>
              <w:rPr>
                <w:rFonts w:hint="default" w:ascii="Times New Roman" w:hAnsi="Times New Roman" w:eastAsia="宋体" w:cs="Times New Roman"/>
                <w:b/>
                <w:bCs/>
                <w:sz w:val="24"/>
                <w:szCs w:val="24"/>
                <w:lang w:val="en-US" w:eastAsia="zh-CN"/>
              </w:rPr>
              <w:t>一般工业固废</w:t>
            </w:r>
          </w:p>
          <w:p w14:paraId="3B6B2DCB">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①废包装材料</w:t>
            </w:r>
          </w:p>
          <w:p w14:paraId="2EBE0DB9">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本项目</w:t>
            </w:r>
            <w:r>
              <w:rPr>
                <w:rFonts w:hint="eastAsia" w:cs="Times New Roman"/>
                <w:sz w:val="24"/>
                <w:szCs w:val="24"/>
                <w:lang w:val="en-US" w:eastAsia="zh-CN"/>
              </w:rPr>
              <w:t>原辅</w:t>
            </w:r>
            <w:r>
              <w:rPr>
                <w:rFonts w:hint="default" w:ascii="Times New Roman" w:hAnsi="Times New Roman" w:eastAsia="宋体" w:cs="Times New Roman"/>
                <w:sz w:val="24"/>
                <w:szCs w:val="24"/>
                <w:lang w:val="en-US" w:eastAsia="zh-CN"/>
              </w:rPr>
              <w:t>料使用后产生</w:t>
            </w:r>
            <w:r>
              <w:rPr>
                <w:rFonts w:hint="eastAsia" w:cs="Times New Roman"/>
                <w:sz w:val="24"/>
                <w:szCs w:val="24"/>
                <w:lang w:val="en-US" w:eastAsia="zh-CN"/>
              </w:rPr>
              <w:t>少量</w:t>
            </w:r>
            <w:r>
              <w:rPr>
                <w:rFonts w:hint="default" w:ascii="Times New Roman" w:hAnsi="Times New Roman" w:eastAsia="宋体" w:cs="Times New Roman"/>
                <w:sz w:val="24"/>
                <w:szCs w:val="24"/>
                <w:lang w:val="en-US" w:eastAsia="zh-CN"/>
              </w:rPr>
              <w:t>废包装材料</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废物代码292-001-07</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，产生量约为0.02t/a，经收集后由由物资回收部门处理。</w:t>
            </w:r>
          </w:p>
          <w:p w14:paraId="40CD262B">
            <w:pPr>
              <w:numPr>
                <w:ilvl w:val="0"/>
                <w:numId w:val="63"/>
              </w:numPr>
              <w:bidi w:val="0"/>
              <w:spacing w:line="360" w:lineRule="auto"/>
              <w:ind w:left="0" w:leftChars="0" w:firstLine="482" w:firstLineChars="200"/>
              <w:rPr>
                <w:rFonts w:hint="default" w:ascii="Times New Roman" w:hAnsi="Times New Roman" w:eastAsia="宋体" w:cs="Times New Roman"/>
                <w:b/>
                <w:bCs/>
                <w:sz w:val="24"/>
                <w:szCs w:val="24"/>
                <w:lang w:val="en-US" w:eastAsia="zh-CN"/>
              </w:rPr>
            </w:pPr>
            <w:r>
              <w:rPr>
                <w:rFonts w:hint="default" w:ascii="Times New Roman" w:hAnsi="Times New Roman" w:eastAsia="宋体" w:cs="Times New Roman"/>
                <w:b/>
                <w:bCs/>
                <w:sz w:val="24"/>
                <w:szCs w:val="24"/>
                <w:lang w:val="en-US" w:eastAsia="zh-CN"/>
              </w:rPr>
              <w:t>危险废物</w:t>
            </w:r>
          </w:p>
          <w:p w14:paraId="3665453E">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①废活性炭</w:t>
            </w:r>
          </w:p>
          <w:p w14:paraId="7F874AE1">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根据《现代涂装手册》（化学工业出版社，2010年出版），活性炭对有机废气等各成分的吸收量约为0.25g废气/g活性炭。</w:t>
            </w:r>
            <w:r>
              <w:rPr>
                <w:rFonts w:hint="eastAsia" w:cs="Times New Roman"/>
                <w:sz w:val="24"/>
                <w:szCs w:val="24"/>
                <w:lang w:val="en-US" w:eastAsia="zh-CN"/>
              </w:rPr>
              <w:t>本项目</w:t>
            </w:r>
            <w:r>
              <w:rPr>
                <w:rFonts w:hint="default" w:ascii="Times New Roman" w:hAnsi="Times New Roman" w:eastAsia="宋体" w:cs="Times New Roman"/>
                <w:sz w:val="24"/>
                <w:szCs w:val="24"/>
                <w:lang w:val="en-US" w:eastAsia="zh-CN"/>
              </w:rPr>
              <w:t>废气处理设备中共有</w:t>
            </w:r>
            <w:r>
              <w:rPr>
                <w:rFonts w:hint="eastAsia" w:cs="Times New Roman"/>
                <w:sz w:val="24"/>
                <w:szCs w:val="24"/>
                <w:lang w:val="en-US" w:eastAsia="zh-CN"/>
              </w:rPr>
              <w:t>两</w:t>
            </w:r>
            <w:r>
              <w:rPr>
                <w:rFonts w:hint="default" w:ascii="Times New Roman" w:hAnsi="Times New Roman" w:eastAsia="宋体" w:cs="Times New Roman"/>
                <w:sz w:val="24"/>
                <w:szCs w:val="24"/>
                <w:lang w:val="en-US" w:eastAsia="zh-CN"/>
              </w:rPr>
              <w:t>个碳箱，每个活性炭吸附箱装填量为0.</w:t>
            </w:r>
            <w:r>
              <w:rPr>
                <w:rFonts w:hint="eastAsia" w:cs="Times New Roman"/>
                <w:sz w:val="24"/>
                <w:szCs w:val="24"/>
                <w:lang w:val="en-US" w:eastAsia="zh-CN"/>
              </w:rPr>
              <w:t>2</w:t>
            </w:r>
            <w:r>
              <w:rPr>
                <w:rFonts w:hint="default" w:ascii="Times New Roman" w:hAnsi="Times New Roman" w:eastAsia="宋体" w:cs="Times New Roman"/>
                <w:sz w:val="24"/>
                <w:szCs w:val="24"/>
                <w:lang w:val="en-US" w:eastAsia="zh-CN"/>
              </w:rPr>
              <w:t>m</w:t>
            </w:r>
            <w:r>
              <w:rPr>
                <w:rFonts w:hint="default" w:ascii="Times New Roman" w:hAnsi="Times New Roman" w:eastAsia="宋体" w:cs="Times New Roman"/>
                <w:sz w:val="24"/>
                <w:szCs w:val="24"/>
                <w:vertAlign w:val="superscript"/>
                <w:lang w:val="en-US" w:eastAsia="zh-CN"/>
              </w:rPr>
              <w:t>3</w:t>
            </w:r>
            <w:r>
              <w:rPr>
                <w:rFonts w:hint="default" w:ascii="Times New Roman" w:hAnsi="Times New Roman" w:eastAsia="宋体" w:cs="Times New Roman"/>
                <w:sz w:val="24"/>
                <w:szCs w:val="24"/>
                <w:lang w:val="en-US" w:eastAsia="zh-CN"/>
              </w:rPr>
              <w:t>，活性炭装填密度均为0.</w:t>
            </w:r>
            <w:r>
              <w:rPr>
                <w:rFonts w:hint="eastAsia" w:cs="Times New Roman"/>
                <w:sz w:val="24"/>
                <w:szCs w:val="24"/>
                <w:lang w:val="en-US" w:eastAsia="zh-CN"/>
              </w:rPr>
              <w:t>6</w:t>
            </w:r>
            <w:r>
              <w:rPr>
                <w:rFonts w:hint="default" w:ascii="Times New Roman" w:hAnsi="Times New Roman" w:eastAsia="宋体" w:cs="Times New Roman"/>
                <w:sz w:val="24"/>
                <w:szCs w:val="24"/>
                <w:lang w:val="en-US" w:eastAsia="zh-CN"/>
              </w:rPr>
              <w:t>t/m</w:t>
            </w:r>
            <w:r>
              <w:rPr>
                <w:rFonts w:hint="default" w:ascii="Times New Roman" w:hAnsi="Times New Roman" w:eastAsia="宋体" w:cs="Times New Roman"/>
                <w:sz w:val="24"/>
                <w:szCs w:val="24"/>
                <w:vertAlign w:val="superscript"/>
                <w:lang w:val="en-US" w:eastAsia="zh-CN"/>
              </w:rPr>
              <w:t>3</w:t>
            </w:r>
            <w:r>
              <w:rPr>
                <w:rFonts w:hint="default" w:ascii="Times New Roman" w:hAnsi="Times New Roman" w:eastAsia="宋体" w:cs="Times New Roman"/>
                <w:sz w:val="24"/>
                <w:szCs w:val="24"/>
                <w:lang w:val="en-US" w:eastAsia="zh-CN"/>
              </w:rPr>
              <w:t>，活性炭总量为</w:t>
            </w:r>
            <w:r>
              <w:rPr>
                <w:rFonts w:hint="eastAsia" w:cs="Times New Roman"/>
                <w:sz w:val="24"/>
                <w:szCs w:val="24"/>
                <w:lang w:val="en-US" w:eastAsia="zh-CN"/>
              </w:rPr>
              <w:t>2*</w:t>
            </w:r>
            <w:r>
              <w:rPr>
                <w:rFonts w:hint="default" w:ascii="Times New Roman" w:hAnsi="Times New Roman" w:eastAsia="宋体" w:cs="Times New Roman"/>
                <w:sz w:val="24"/>
                <w:szCs w:val="24"/>
                <w:lang w:val="en-US" w:eastAsia="zh-CN"/>
              </w:rPr>
              <w:t>0.</w:t>
            </w:r>
            <w:r>
              <w:rPr>
                <w:rFonts w:hint="eastAsia" w:cs="Times New Roman"/>
                <w:sz w:val="24"/>
                <w:szCs w:val="24"/>
                <w:lang w:val="en-US" w:eastAsia="zh-CN"/>
              </w:rPr>
              <w:t>2</w:t>
            </w:r>
            <w:r>
              <w:rPr>
                <w:rFonts w:hint="default" w:ascii="Times New Roman" w:hAnsi="Times New Roman" w:eastAsia="宋体" w:cs="Times New Roman"/>
                <w:sz w:val="24"/>
                <w:szCs w:val="24"/>
                <w:lang w:val="en-US" w:eastAsia="zh-CN"/>
              </w:rPr>
              <w:t>m</w:t>
            </w:r>
            <w:r>
              <w:rPr>
                <w:rFonts w:hint="default" w:ascii="Times New Roman" w:hAnsi="Times New Roman" w:eastAsia="宋体" w:cs="Times New Roman"/>
                <w:sz w:val="24"/>
                <w:szCs w:val="24"/>
                <w:vertAlign w:val="superscript"/>
                <w:lang w:val="en-US" w:eastAsia="zh-CN"/>
              </w:rPr>
              <w:t>3</w:t>
            </w:r>
            <w:r>
              <w:rPr>
                <w:rFonts w:hint="default" w:ascii="Times New Roman" w:hAnsi="Times New Roman" w:eastAsia="宋体" w:cs="Times New Roman"/>
                <w:sz w:val="24"/>
                <w:szCs w:val="24"/>
                <w:lang w:val="en-US" w:eastAsia="zh-CN"/>
              </w:rPr>
              <w:t>×0.</w:t>
            </w:r>
            <w:r>
              <w:rPr>
                <w:rFonts w:hint="eastAsia" w:cs="Times New Roman"/>
                <w:sz w:val="24"/>
                <w:szCs w:val="24"/>
                <w:lang w:val="en-US" w:eastAsia="zh-CN"/>
              </w:rPr>
              <w:t>6</w:t>
            </w:r>
            <w:r>
              <w:rPr>
                <w:rFonts w:hint="default" w:ascii="Times New Roman" w:hAnsi="Times New Roman" w:eastAsia="宋体" w:cs="Times New Roman"/>
                <w:sz w:val="24"/>
                <w:szCs w:val="24"/>
                <w:lang w:val="en-US" w:eastAsia="zh-CN"/>
              </w:rPr>
              <w:t>t/m</w:t>
            </w:r>
            <w:r>
              <w:rPr>
                <w:rFonts w:hint="default" w:ascii="Times New Roman" w:hAnsi="Times New Roman" w:eastAsia="宋体" w:cs="Times New Roman"/>
                <w:sz w:val="24"/>
                <w:szCs w:val="24"/>
                <w:vertAlign w:val="superscript"/>
                <w:lang w:val="en-US" w:eastAsia="zh-CN"/>
              </w:rPr>
              <w:t>3</w:t>
            </w:r>
            <w:r>
              <w:rPr>
                <w:rFonts w:hint="default" w:ascii="Times New Roman" w:hAnsi="Times New Roman" w:eastAsia="宋体" w:cs="Times New Roman"/>
                <w:sz w:val="24"/>
                <w:szCs w:val="24"/>
                <w:lang w:val="en-US" w:eastAsia="zh-CN"/>
              </w:rPr>
              <w:t>=0.</w:t>
            </w:r>
            <w:r>
              <w:rPr>
                <w:rFonts w:hint="eastAsia" w:cs="Times New Roman"/>
                <w:sz w:val="24"/>
                <w:szCs w:val="24"/>
                <w:lang w:val="en-US" w:eastAsia="zh-CN"/>
              </w:rPr>
              <w:t>24</w:t>
            </w:r>
            <w:r>
              <w:rPr>
                <w:rFonts w:hint="default" w:ascii="Times New Roman" w:hAnsi="Times New Roman" w:eastAsia="宋体" w:cs="Times New Roman"/>
                <w:sz w:val="24"/>
                <w:szCs w:val="24"/>
                <w:lang w:val="en-US" w:eastAsia="zh-CN"/>
              </w:rPr>
              <w:t>t。</w:t>
            </w:r>
          </w:p>
          <w:p w14:paraId="09F4F411">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项目</w:t>
            </w:r>
            <w:r>
              <w:rPr>
                <w:rFonts w:hint="eastAsia" w:cs="Times New Roman"/>
                <w:sz w:val="24"/>
                <w:szCs w:val="24"/>
                <w:lang w:val="en-US" w:eastAsia="zh-CN"/>
              </w:rPr>
              <w:t>有机废气处理</w:t>
            </w:r>
            <w:r>
              <w:rPr>
                <w:rFonts w:hint="default" w:ascii="Times New Roman" w:hAnsi="Times New Roman" w:eastAsia="宋体" w:cs="Times New Roman"/>
                <w:sz w:val="24"/>
                <w:szCs w:val="24"/>
                <w:lang w:val="en-US" w:eastAsia="zh-CN"/>
              </w:rPr>
              <w:t>环保设施活性炭装填量约为0.</w:t>
            </w:r>
            <w:r>
              <w:rPr>
                <w:rFonts w:hint="eastAsia" w:cs="Times New Roman"/>
                <w:sz w:val="24"/>
                <w:szCs w:val="24"/>
                <w:lang w:val="en-US" w:eastAsia="zh-CN"/>
              </w:rPr>
              <w:t>24</w:t>
            </w:r>
            <w:r>
              <w:rPr>
                <w:rFonts w:hint="default" w:ascii="Times New Roman" w:hAnsi="Times New Roman" w:eastAsia="宋体" w:cs="Times New Roman"/>
                <w:sz w:val="24"/>
                <w:szCs w:val="24"/>
                <w:lang w:val="en-US" w:eastAsia="zh-CN"/>
              </w:rPr>
              <w:t>t，则活性炭</w:t>
            </w:r>
            <w:r>
              <w:rPr>
                <w:rFonts w:hint="eastAsia" w:cs="Times New Roman"/>
                <w:sz w:val="24"/>
                <w:szCs w:val="24"/>
                <w:lang w:val="en-US" w:eastAsia="zh-CN"/>
              </w:rPr>
              <w:t>可</w:t>
            </w:r>
            <w:r>
              <w:rPr>
                <w:rFonts w:hint="default" w:ascii="Times New Roman" w:hAnsi="Times New Roman" w:eastAsia="宋体" w:cs="Times New Roman"/>
                <w:sz w:val="24"/>
                <w:szCs w:val="24"/>
                <w:lang w:val="en-US" w:eastAsia="zh-CN"/>
              </w:rPr>
              <w:t>吸附量约为0.</w:t>
            </w:r>
            <w:r>
              <w:rPr>
                <w:rFonts w:hint="eastAsia" w:cs="Times New Roman"/>
                <w:sz w:val="24"/>
                <w:szCs w:val="24"/>
                <w:lang w:val="en-US" w:eastAsia="zh-CN"/>
              </w:rPr>
              <w:t>24</w:t>
            </w:r>
            <w:r>
              <w:rPr>
                <w:rFonts w:hint="default" w:ascii="Times New Roman" w:hAnsi="Times New Roman" w:eastAsia="宋体" w:cs="Times New Roman"/>
                <w:sz w:val="24"/>
                <w:szCs w:val="24"/>
                <w:lang w:val="en-US" w:eastAsia="zh-CN"/>
              </w:rPr>
              <w:t>×0.25=0.0</w:t>
            </w:r>
            <w:r>
              <w:rPr>
                <w:rFonts w:hint="eastAsia" w:cs="Times New Roman"/>
                <w:sz w:val="24"/>
                <w:szCs w:val="24"/>
                <w:lang w:val="en-US" w:eastAsia="zh-CN"/>
              </w:rPr>
              <w:t>6</w:t>
            </w:r>
            <w:r>
              <w:rPr>
                <w:rFonts w:hint="default" w:ascii="Times New Roman" w:hAnsi="Times New Roman" w:eastAsia="宋体" w:cs="Times New Roman"/>
                <w:sz w:val="24"/>
                <w:szCs w:val="24"/>
                <w:lang w:val="en-US" w:eastAsia="zh-CN"/>
              </w:rPr>
              <w:t>t。根据本项目工程分析，VOC</w:t>
            </w:r>
            <w:r>
              <w:rPr>
                <w:rFonts w:hint="eastAsia" w:cs="Times New Roman"/>
                <w:sz w:val="24"/>
                <w:szCs w:val="24"/>
                <w:lang w:val="en-US" w:eastAsia="zh-CN"/>
              </w:rPr>
              <w:t>s</w:t>
            </w:r>
            <w:r>
              <w:rPr>
                <w:rFonts w:hint="default" w:ascii="Times New Roman" w:hAnsi="Times New Roman" w:eastAsia="宋体" w:cs="Times New Roman"/>
                <w:sz w:val="24"/>
                <w:szCs w:val="24"/>
                <w:lang w:val="en-US" w:eastAsia="zh-CN"/>
              </w:rPr>
              <w:t>产生量</w:t>
            </w:r>
            <w:r>
              <w:rPr>
                <w:rFonts w:hint="eastAsia" w:cs="Times New Roman"/>
                <w:sz w:val="24"/>
                <w:szCs w:val="24"/>
                <w:lang w:val="en-US" w:eastAsia="zh-CN"/>
              </w:rPr>
              <w:t>0.106</w:t>
            </w:r>
            <w:r>
              <w:rPr>
                <w:rFonts w:hint="default" w:ascii="Times New Roman" w:hAnsi="Times New Roman" w:eastAsia="宋体" w:cs="Times New Roman"/>
                <w:sz w:val="24"/>
                <w:szCs w:val="24"/>
                <w:lang w:val="en-US" w:eastAsia="zh-CN"/>
              </w:rPr>
              <w:t>t/a，有组织收集量为0.</w:t>
            </w:r>
            <w:r>
              <w:rPr>
                <w:rFonts w:hint="eastAsia" w:cs="Times New Roman"/>
                <w:sz w:val="24"/>
                <w:szCs w:val="24"/>
                <w:lang w:val="en-US" w:eastAsia="zh-CN"/>
              </w:rPr>
              <w:t>094</w:t>
            </w:r>
            <w:r>
              <w:rPr>
                <w:rFonts w:hint="default" w:ascii="Times New Roman" w:hAnsi="Times New Roman" w:eastAsia="宋体" w:cs="Times New Roman"/>
                <w:sz w:val="24"/>
                <w:szCs w:val="24"/>
                <w:lang w:val="en-US" w:eastAsia="zh-CN"/>
              </w:rPr>
              <w:t>t/a，去除量为0.0</w:t>
            </w:r>
            <w:r>
              <w:rPr>
                <w:rFonts w:hint="eastAsia" w:cs="Times New Roman"/>
                <w:sz w:val="24"/>
                <w:szCs w:val="24"/>
                <w:lang w:val="en-US" w:eastAsia="zh-CN"/>
              </w:rPr>
              <w:t>14</w:t>
            </w:r>
            <w:r>
              <w:rPr>
                <w:rFonts w:hint="default" w:ascii="Times New Roman" w:hAnsi="Times New Roman" w:eastAsia="宋体" w:cs="Times New Roman"/>
                <w:sz w:val="24"/>
                <w:szCs w:val="24"/>
                <w:lang w:val="en-US" w:eastAsia="zh-CN"/>
              </w:rPr>
              <w:t>t/a</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活性炭吸附量0.0</w:t>
            </w:r>
            <w:r>
              <w:rPr>
                <w:rFonts w:hint="eastAsia" w:cs="Times New Roman"/>
                <w:sz w:val="24"/>
                <w:szCs w:val="24"/>
                <w:lang w:val="en-US" w:eastAsia="zh-CN"/>
              </w:rPr>
              <w:t>8</w:t>
            </w:r>
            <w:r>
              <w:rPr>
                <w:rFonts w:hint="default" w:ascii="Times New Roman" w:hAnsi="Times New Roman" w:eastAsia="宋体" w:cs="Times New Roman"/>
                <w:sz w:val="24"/>
                <w:szCs w:val="24"/>
                <w:lang w:val="en-US" w:eastAsia="zh-CN"/>
              </w:rPr>
              <w:t>t，每</w:t>
            </w:r>
            <w:r>
              <w:rPr>
                <w:rFonts w:hint="eastAsia" w:cs="Times New Roman"/>
                <w:sz w:val="24"/>
                <w:szCs w:val="24"/>
                <w:lang w:val="en-US" w:eastAsia="zh-CN"/>
              </w:rPr>
              <w:t>半</w:t>
            </w:r>
            <w:r>
              <w:rPr>
                <w:rFonts w:hint="default" w:ascii="Times New Roman" w:hAnsi="Times New Roman" w:eastAsia="宋体" w:cs="Times New Roman"/>
                <w:sz w:val="24"/>
                <w:szCs w:val="24"/>
                <w:lang w:val="en-US" w:eastAsia="zh-CN"/>
              </w:rPr>
              <w:t>年更换</w:t>
            </w:r>
            <w:r>
              <w:rPr>
                <w:rFonts w:hint="eastAsia" w:cs="Times New Roman"/>
                <w:sz w:val="24"/>
                <w:szCs w:val="24"/>
                <w:lang w:val="en-US" w:eastAsia="zh-CN"/>
              </w:rPr>
              <w:t>一</w:t>
            </w:r>
            <w:r>
              <w:rPr>
                <w:rFonts w:hint="default" w:ascii="Times New Roman" w:hAnsi="Times New Roman" w:eastAsia="宋体" w:cs="Times New Roman"/>
                <w:sz w:val="24"/>
                <w:szCs w:val="24"/>
                <w:lang w:val="en-US" w:eastAsia="zh-CN"/>
              </w:rPr>
              <w:t>次活性炭，可以满足</w:t>
            </w:r>
            <w:r>
              <w:rPr>
                <w:rFonts w:hint="eastAsia" w:cs="Times New Roman"/>
                <w:sz w:val="24"/>
                <w:szCs w:val="24"/>
                <w:lang w:val="en-US" w:eastAsia="zh-CN"/>
              </w:rPr>
              <w:t>有机</w:t>
            </w:r>
            <w:r>
              <w:rPr>
                <w:rFonts w:hint="default" w:ascii="Times New Roman" w:hAnsi="Times New Roman" w:eastAsia="宋体" w:cs="Times New Roman"/>
                <w:sz w:val="24"/>
                <w:szCs w:val="24"/>
                <w:lang w:val="en-US" w:eastAsia="zh-CN"/>
              </w:rPr>
              <w:t>废气的</w:t>
            </w:r>
            <w:r>
              <w:rPr>
                <w:rFonts w:hint="eastAsia" w:cs="Times New Roman"/>
                <w:sz w:val="24"/>
                <w:szCs w:val="24"/>
                <w:lang w:val="en-US" w:eastAsia="zh-CN"/>
              </w:rPr>
              <w:t>净化</w:t>
            </w:r>
            <w:r>
              <w:rPr>
                <w:rFonts w:hint="default" w:ascii="Times New Roman" w:hAnsi="Times New Roman" w:eastAsia="宋体" w:cs="Times New Roman"/>
                <w:sz w:val="24"/>
                <w:szCs w:val="24"/>
                <w:lang w:val="en-US" w:eastAsia="zh-CN"/>
              </w:rPr>
              <w:t>去除要求。根据上述公式计算，本项目活性炭箱活性炭需每</w:t>
            </w:r>
            <w:r>
              <w:rPr>
                <w:rFonts w:hint="eastAsia" w:cs="Times New Roman"/>
                <w:sz w:val="24"/>
                <w:szCs w:val="24"/>
                <w:lang w:val="en-US" w:eastAsia="zh-CN"/>
              </w:rPr>
              <w:t>半</w:t>
            </w:r>
            <w:r>
              <w:rPr>
                <w:rFonts w:hint="default" w:ascii="Times New Roman" w:hAnsi="Times New Roman" w:eastAsia="宋体" w:cs="Times New Roman"/>
                <w:sz w:val="24"/>
                <w:szCs w:val="24"/>
                <w:lang w:val="en-US" w:eastAsia="zh-CN"/>
              </w:rPr>
              <w:t>年更换一次，废活性炭年产生量为</w:t>
            </w:r>
            <w:r>
              <w:rPr>
                <w:rFonts w:hint="eastAsia" w:cs="Times New Roman"/>
                <w:sz w:val="24"/>
                <w:szCs w:val="24"/>
                <w:lang w:val="en-US" w:eastAsia="zh-CN"/>
              </w:rPr>
              <w:t>0.56</w:t>
            </w:r>
            <w:r>
              <w:rPr>
                <w:rFonts w:hint="default" w:ascii="Times New Roman" w:hAnsi="Times New Roman" w:eastAsia="宋体" w:cs="Times New Roman"/>
                <w:sz w:val="24"/>
                <w:szCs w:val="24"/>
                <w:lang w:val="en-US" w:eastAsia="zh-CN"/>
              </w:rPr>
              <w:t>t/a</w:t>
            </w:r>
            <w:r>
              <w:rPr>
                <w:rFonts w:hint="eastAsia" w:cs="Times New Roman"/>
                <w:sz w:val="24"/>
                <w:szCs w:val="24"/>
                <w:lang w:val="en-US" w:eastAsia="zh-CN"/>
              </w:rPr>
              <w:t>（0.24*2+0.08）</w:t>
            </w:r>
            <w:r>
              <w:rPr>
                <w:rFonts w:hint="default" w:ascii="Times New Roman" w:hAnsi="Times New Roman" w:eastAsia="宋体" w:cs="Times New Roman"/>
                <w:sz w:val="24"/>
                <w:szCs w:val="24"/>
                <w:lang w:val="en-US" w:eastAsia="zh-CN"/>
              </w:rPr>
              <w:t>。</w:t>
            </w:r>
          </w:p>
          <w:p w14:paraId="74F04B25">
            <w:pPr>
              <w:numPr>
                <w:ilvl w:val="0"/>
                <w:numId w:val="0"/>
              </w:numPr>
              <w:bidi w:val="0"/>
              <w:spacing w:line="360" w:lineRule="auto"/>
              <w:ind w:firstLine="480" w:firstLineChars="200"/>
              <w:rPr>
                <w:rFonts w:hint="eastAsia" w:ascii="宋体" w:hAnsi="宋体" w:eastAsia="宋体" w:cs="宋体"/>
                <w:sz w:val="24"/>
                <w:szCs w:val="24"/>
                <w:lang w:val="en-US" w:eastAsia="zh-CN"/>
              </w:rPr>
            </w:pPr>
            <w:r>
              <w:rPr>
                <w:rFonts w:hint="default" w:ascii="Times New Roman" w:hAnsi="Times New Roman" w:eastAsia="宋体" w:cs="Times New Roman"/>
                <w:sz w:val="24"/>
                <w:szCs w:val="24"/>
                <w:lang w:val="en-US" w:eastAsia="zh-CN"/>
              </w:rPr>
              <w:t>根据《国家危险废物名录（2021）》，</w:t>
            </w:r>
            <w:r>
              <w:rPr>
                <w:rFonts w:hint="eastAsia" w:ascii="宋体" w:hAnsi="宋体" w:eastAsia="宋体" w:cs="宋体"/>
                <w:sz w:val="24"/>
                <w:szCs w:val="24"/>
                <w:lang w:val="en-US" w:eastAsia="zh-CN"/>
              </w:rPr>
              <w:t>废活性炭废物类别为“</w:t>
            </w:r>
            <w:r>
              <w:rPr>
                <w:rFonts w:hint="default" w:ascii="Times New Roman" w:hAnsi="Times New Roman" w:eastAsia="宋体" w:cs="Times New Roman"/>
                <w:sz w:val="24"/>
                <w:szCs w:val="24"/>
                <w:lang w:val="en-US" w:eastAsia="zh-CN"/>
              </w:rPr>
              <w:t>HW49其他废物</w:t>
            </w:r>
            <w:r>
              <w:rPr>
                <w:rFonts w:hint="eastAsia" w:ascii="宋体" w:hAnsi="宋体" w:eastAsia="宋体" w:cs="宋体"/>
                <w:sz w:val="24"/>
                <w:szCs w:val="24"/>
                <w:lang w:val="en-US" w:eastAsia="zh-CN"/>
              </w:rPr>
              <w:t>”，废物代码为“</w:t>
            </w:r>
            <w:r>
              <w:rPr>
                <w:rFonts w:hint="default" w:ascii="Times New Roman" w:hAnsi="Times New Roman" w:eastAsia="宋体" w:cs="Times New Roman"/>
                <w:sz w:val="24"/>
                <w:szCs w:val="24"/>
                <w:lang w:val="en-US" w:eastAsia="zh-CN"/>
              </w:rPr>
              <w:t>900-039-49</w:t>
            </w:r>
            <w:r>
              <w:rPr>
                <w:rFonts w:hint="eastAsia" w:ascii="宋体" w:hAnsi="宋体" w:eastAsia="宋体" w:cs="宋体"/>
                <w:sz w:val="24"/>
                <w:szCs w:val="24"/>
                <w:lang w:val="en-US" w:eastAsia="zh-CN"/>
              </w:rPr>
              <w:t>”。</w:t>
            </w:r>
          </w:p>
          <w:p w14:paraId="46B5C337">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②废棉纱手套</w:t>
            </w:r>
          </w:p>
          <w:p w14:paraId="50B52CDA">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本项目使用棉纱等作为擦拭物，使用后沾染油等危险废物，根据企业工程经验，预测产生量为0.02t/a，收集后暂存于危废暂存间，定期委托有资质的单位处理。</w:t>
            </w:r>
          </w:p>
          <w:p w14:paraId="748FEDB8">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③废试剂瓶</w:t>
            </w:r>
          </w:p>
          <w:p w14:paraId="4409B785">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本项目在油品检验工序中会产生废试剂瓶</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根据建设单位提供，预测废试剂瓶产生量为0.</w:t>
            </w:r>
            <w:r>
              <w:rPr>
                <w:rFonts w:hint="eastAsia" w:cs="Times New Roman"/>
                <w:sz w:val="24"/>
                <w:szCs w:val="24"/>
                <w:lang w:val="en-US" w:eastAsia="zh-CN"/>
              </w:rPr>
              <w:t>02</w:t>
            </w:r>
            <w:r>
              <w:rPr>
                <w:rFonts w:hint="default" w:ascii="Times New Roman" w:hAnsi="Times New Roman" w:eastAsia="宋体" w:cs="Times New Roman"/>
                <w:sz w:val="24"/>
                <w:szCs w:val="24"/>
                <w:lang w:val="en-US" w:eastAsia="zh-CN"/>
              </w:rPr>
              <w:t>t/a，收集后暂存于危废暂存间，定期委托有资质的单位处理。</w:t>
            </w:r>
          </w:p>
          <w:p w14:paraId="104BFA74">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④实验废液</w:t>
            </w:r>
          </w:p>
          <w:p w14:paraId="34FF3283">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本项目在油品检验工序中会产生实验废液</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根据建设单位提供</w:t>
            </w:r>
            <w:r>
              <w:rPr>
                <w:rFonts w:hint="eastAsia" w:cs="Times New Roman"/>
                <w:sz w:val="24"/>
                <w:szCs w:val="24"/>
                <w:lang w:val="en-US" w:eastAsia="zh-CN"/>
              </w:rPr>
              <w:t>资料</w:t>
            </w:r>
            <w:r>
              <w:rPr>
                <w:rFonts w:hint="default" w:ascii="Times New Roman" w:hAnsi="Times New Roman" w:eastAsia="宋体" w:cs="Times New Roman"/>
                <w:sz w:val="24"/>
                <w:szCs w:val="24"/>
                <w:lang w:val="en-US" w:eastAsia="zh-CN"/>
              </w:rPr>
              <w:t>，预测产生量为</w:t>
            </w:r>
            <w:r>
              <w:rPr>
                <w:rFonts w:hint="eastAsia" w:cs="Times New Roman"/>
                <w:sz w:val="24"/>
                <w:szCs w:val="24"/>
                <w:lang w:val="en-US" w:eastAsia="zh-CN"/>
              </w:rPr>
              <w:t>3.65</w:t>
            </w:r>
            <w:r>
              <w:rPr>
                <w:rFonts w:hint="default" w:ascii="Times New Roman" w:hAnsi="Times New Roman" w:eastAsia="宋体" w:cs="Times New Roman"/>
                <w:sz w:val="24"/>
                <w:szCs w:val="24"/>
                <w:lang w:val="en-US" w:eastAsia="zh-CN"/>
              </w:rPr>
              <w:t>t/a，收集后暂存于危废暂存间，定期委托有资质的单位处理。</w:t>
            </w:r>
          </w:p>
          <w:p w14:paraId="397AF0C7">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⑤油泥</w:t>
            </w:r>
          </w:p>
          <w:p w14:paraId="1259E298">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随着废油储罐的使用，罐底会产生油污泥</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沉淀的油污泥约占年总储存油量的0.02%，年储存废润滑油1500t，则产生油泥为</w:t>
            </w:r>
            <w:r>
              <w:rPr>
                <w:rFonts w:hint="eastAsia" w:cs="Times New Roman"/>
                <w:sz w:val="24"/>
                <w:szCs w:val="24"/>
                <w:lang w:val="en-US" w:eastAsia="zh-CN"/>
              </w:rPr>
              <w:t>0.</w:t>
            </w:r>
            <w:r>
              <w:rPr>
                <w:rFonts w:hint="default" w:ascii="Times New Roman" w:hAnsi="Times New Roman" w:eastAsia="宋体" w:cs="Times New Roman"/>
                <w:sz w:val="24"/>
                <w:szCs w:val="24"/>
                <w:lang w:val="en-US" w:eastAsia="zh-CN"/>
              </w:rPr>
              <w:t>3t/a，</w:t>
            </w:r>
            <w:r>
              <w:rPr>
                <w:rFonts w:hint="eastAsia" w:cs="Times New Roman"/>
                <w:sz w:val="24"/>
                <w:szCs w:val="24"/>
                <w:lang w:val="en-US" w:eastAsia="zh-CN"/>
              </w:rPr>
              <w:t>每</w:t>
            </w:r>
            <w:r>
              <w:rPr>
                <w:rFonts w:hint="default" w:ascii="Times New Roman" w:hAnsi="Times New Roman" w:eastAsia="宋体" w:cs="Times New Roman"/>
                <w:sz w:val="24"/>
                <w:szCs w:val="24"/>
                <w:lang w:val="en-US" w:eastAsia="zh-CN"/>
              </w:rPr>
              <w:t>年清理一次。罐底油污泥属于《国家危险废物名录》（2021年版）中</w:t>
            </w:r>
            <w:r>
              <w:rPr>
                <w:rFonts w:hint="eastAsia" w:ascii="宋体" w:hAnsi="宋体" w:eastAsia="宋体" w:cs="宋体"/>
                <w:sz w:val="24"/>
                <w:szCs w:val="24"/>
                <w:lang w:val="en-US" w:eastAsia="zh-CN"/>
              </w:rPr>
              <w:t>“</w:t>
            </w:r>
            <w:r>
              <w:rPr>
                <w:rFonts w:hint="default" w:ascii="Times New Roman" w:hAnsi="Times New Roman" w:eastAsia="宋体" w:cs="Times New Roman"/>
                <w:sz w:val="24"/>
                <w:szCs w:val="24"/>
                <w:lang w:val="en-US" w:eastAsia="zh-CN"/>
              </w:rPr>
              <w:t>HW08废矿物油与含矿物油废物</w:t>
            </w:r>
            <w:r>
              <w:rPr>
                <w:rFonts w:hint="eastAsia" w:ascii="宋体" w:hAnsi="宋体" w:eastAsia="宋体" w:cs="宋体"/>
                <w:sz w:val="24"/>
                <w:szCs w:val="24"/>
                <w:lang w:val="en-US" w:eastAsia="zh-CN"/>
              </w:rPr>
              <w:t>”</w:t>
            </w:r>
            <w:r>
              <w:rPr>
                <w:rFonts w:hint="default" w:ascii="Times New Roman" w:hAnsi="Times New Roman" w:eastAsia="宋体" w:cs="Times New Roman"/>
                <w:sz w:val="24"/>
                <w:szCs w:val="24"/>
                <w:lang w:val="en-US" w:eastAsia="zh-CN"/>
              </w:rPr>
              <w:t>，废物代码为900-221-08，收集后暂存于危废间，定期委托有资质单位统一处理。</w:t>
            </w:r>
          </w:p>
          <w:p w14:paraId="0726622D">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⑥废油桶</w:t>
            </w:r>
          </w:p>
          <w:p w14:paraId="66914008">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本项目在废矿物油装卸</w:t>
            </w:r>
            <w:r>
              <w:rPr>
                <w:rFonts w:hint="eastAsia" w:cs="Times New Roman"/>
                <w:sz w:val="24"/>
                <w:szCs w:val="24"/>
                <w:lang w:val="en-US" w:eastAsia="zh-CN"/>
              </w:rPr>
              <w:t>过程</w:t>
            </w:r>
            <w:r>
              <w:rPr>
                <w:rFonts w:hint="default" w:ascii="Times New Roman" w:hAnsi="Times New Roman" w:eastAsia="宋体" w:cs="Times New Roman"/>
                <w:sz w:val="24"/>
                <w:szCs w:val="24"/>
                <w:lang w:val="en-US" w:eastAsia="zh-CN"/>
              </w:rPr>
              <w:t>会产生一定量的废油桶，产生量约为</w:t>
            </w:r>
            <w:r>
              <w:rPr>
                <w:rFonts w:hint="eastAsia" w:cs="Times New Roman"/>
                <w:sz w:val="24"/>
                <w:szCs w:val="24"/>
                <w:lang w:val="en-US" w:eastAsia="zh-CN"/>
              </w:rPr>
              <w:t>0.15</w:t>
            </w:r>
            <w:r>
              <w:rPr>
                <w:rFonts w:hint="default" w:ascii="Times New Roman" w:hAnsi="Times New Roman" w:eastAsia="宋体" w:cs="Times New Roman"/>
                <w:sz w:val="24"/>
                <w:szCs w:val="24"/>
                <w:lang w:val="en-US" w:eastAsia="zh-CN"/>
              </w:rPr>
              <w:t>t/a，对照《国家危险废物名录（2021年版）》可知，废矿物油桶属于危险废物，废物类别为HW08，危废代码为900-249-08，收集后暂存在危废间，委托有资质单位统一处理。</w:t>
            </w:r>
          </w:p>
          <w:p w14:paraId="526E6433">
            <w:pPr>
              <w:numPr>
                <w:ilvl w:val="0"/>
                <w:numId w:val="63"/>
              </w:numPr>
              <w:bidi w:val="0"/>
              <w:spacing w:line="360" w:lineRule="auto"/>
              <w:ind w:left="0" w:leftChars="0" w:firstLine="482" w:firstLineChars="200"/>
              <w:rPr>
                <w:rFonts w:hint="default" w:ascii="Times New Roman" w:hAnsi="Times New Roman" w:eastAsia="宋体" w:cs="Times New Roman"/>
                <w:b/>
                <w:bCs/>
                <w:sz w:val="24"/>
                <w:szCs w:val="24"/>
                <w:lang w:val="en-US" w:eastAsia="zh-CN"/>
              </w:rPr>
            </w:pPr>
            <w:r>
              <w:rPr>
                <w:rFonts w:hint="default" w:ascii="Times New Roman" w:hAnsi="Times New Roman" w:eastAsia="宋体" w:cs="Times New Roman"/>
                <w:b/>
                <w:bCs/>
                <w:sz w:val="24"/>
                <w:szCs w:val="24"/>
                <w:lang w:val="en-US" w:eastAsia="zh-CN"/>
              </w:rPr>
              <w:t>生活垃圾</w:t>
            </w:r>
          </w:p>
          <w:p w14:paraId="44B7AAFA">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eastAsia" w:cs="Times New Roman"/>
                <w:sz w:val="24"/>
                <w:szCs w:val="24"/>
                <w:lang w:val="en-US" w:eastAsia="zh-CN"/>
              </w:rPr>
              <w:t>本</w:t>
            </w:r>
            <w:r>
              <w:rPr>
                <w:rFonts w:hint="default" w:ascii="Times New Roman" w:hAnsi="Times New Roman" w:eastAsia="宋体" w:cs="Times New Roman"/>
                <w:sz w:val="24"/>
                <w:szCs w:val="24"/>
                <w:lang w:val="en-US" w:eastAsia="zh-CN"/>
              </w:rPr>
              <w:t>项目员工人数</w:t>
            </w:r>
            <w:r>
              <w:rPr>
                <w:rFonts w:hint="eastAsia" w:cs="Times New Roman"/>
                <w:sz w:val="24"/>
                <w:szCs w:val="24"/>
                <w:lang w:val="en-US" w:eastAsia="zh-CN"/>
              </w:rPr>
              <w:t>6</w:t>
            </w:r>
            <w:r>
              <w:rPr>
                <w:rFonts w:hint="default" w:ascii="Times New Roman" w:hAnsi="Times New Roman" w:eastAsia="宋体" w:cs="Times New Roman"/>
                <w:sz w:val="24"/>
                <w:szCs w:val="24"/>
                <w:lang w:val="en-US" w:eastAsia="zh-CN"/>
              </w:rPr>
              <w:t>人，不</w:t>
            </w:r>
            <w:r>
              <w:rPr>
                <w:rFonts w:hint="eastAsia" w:cs="Times New Roman"/>
                <w:sz w:val="24"/>
                <w:szCs w:val="24"/>
                <w:lang w:val="en-US" w:eastAsia="zh-CN"/>
              </w:rPr>
              <w:t>设</w:t>
            </w:r>
            <w:r>
              <w:rPr>
                <w:rFonts w:hint="default" w:ascii="Times New Roman" w:hAnsi="Times New Roman" w:eastAsia="宋体" w:cs="Times New Roman"/>
                <w:sz w:val="24"/>
                <w:szCs w:val="24"/>
                <w:lang w:val="en-US" w:eastAsia="zh-CN"/>
              </w:rPr>
              <w:t>食宿，生活垃圾按0.5kg/d每人计算</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则产生生活垃圾约为</w:t>
            </w:r>
            <w:r>
              <w:rPr>
                <w:rFonts w:hint="eastAsia" w:cs="Times New Roman"/>
                <w:sz w:val="24"/>
                <w:szCs w:val="24"/>
                <w:lang w:val="en-US" w:eastAsia="zh-CN"/>
              </w:rPr>
              <w:t>1.05</w:t>
            </w:r>
            <w:r>
              <w:rPr>
                <w:rFonts w:hint="default" w:ascii="Times New Roman" w:hAnsi="Times New Roman" w:eastAsia="宋体" w:cs="Times New Roman"/>
                <w:sz w:val="24"/>
                <w:szCs w:val="24"/>
                <w:lang w:val="en-US" w:eastAsia="zh-CN"/>
              </w:rPr>
              <w:t>t/a（以</w:t>
            </w:r>
            <w:r>
              <w:rPr>
                <w:rFonts w:hint="eastAsia" w:cs="Times New Roman"/>
                <w:sz w:val="24"/>
                <w:szCs w:val="24"/>
                <w:lang w:val="en-US" w:eastAsia="zh-CN"/>
              </w:rPr>
              <w:t>35</w:t>
            </w:r>
            <w:r>
              <w:rPr>
                <w:rFonts w:hint="default" w:ascii="Times New Roman" w:hAnsi="Times New Roman" w:eastAsia="宋体" w:cs="Times New Roman"/>
                <w:sz w:val="24"/>
                <w:szCs w:val="24"/>
                <w:lang w:val="en-US" w:eastAsia="zh-CN"/>
              </w:rPr>
              <w:t>0天计算）</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分类收集后交由环卫部门统一清运。</w:t>
            </w:r>
          </w:p>
          <w:p w14:paraId="7548A890">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本项目固体废物具体产生及处置情况如下：</w:t>
            </w:r>
          </w:p>
          <w:p w14:paraId="239BD73C">
            <w:pPr>
              <w:numPr>
                <w:ilvl w:val="0"/>
                <w:numId w:val="0"/>
              </w:numPr>
              <w:bidi w:val="0"/>
              <w:spacing w:line="360" w:lineRule="auto"/>
              <w:jc w:val="center"/>
              <w:rPr>
                <w:rFonts w:hint="eastAsia" w:cs="Times New Roman"/>
                <w:b/>
                <w:bCs/>
                <w:sz w:val="21"/>
                <w:szCs w:val="21"/>
                <w:lang w:val="en-US" w:eastAsia="zh-CN"/>
              </w:rPr>
            </w:pPr>
            <w:r>
              <w:rPr>
                <w:rFonts w:hint="default" w:ascii="Times New Roman" w:hAnsi="Times New Roman" w:eastAsia="宋体" w:cs="Times New Roman"/>
                <w:b/>
                <w:bCs/>
                <w:sz w:val="21"/>
                <w:szCs w:val="21"/>
                <w:lang w:val="en-US" w:eastAsia="zh-CN"/>
              </w:rPr>
              <w:t>表</w:t>
            </w:r>
            <w:r>
              <w:rPr>
                <w:rFonts w:hint="eastAsia" w:cs="Times New Roman"/>
                <w:b/>
                <w:bCs/>
                <w:sz w:val="21"/>
                <w:szCs w:val="21"/>
                <w:lang w:val="en-US" w:eastAsia="zh-CN"/>
              </w:rPr>
              <w:t>4-16</w:t>
            </w:r>
            <w:r>
              <w:rPr>
                <w:rFonts w:hint="default" w:ascii="Times New Roman" w:hAnsi="Times New Roman" w:eastAsia="宋体" w:cs="Times New Roman"/>
                <w:b/>
                <w:bCs/>
                <w:sz w:val="21"/>
                <w:szCs w:val="21"/>
                <w:lang w:val="en-US" w:eastAsia="zh-CN"/>
              </w:rPr>
              <w:t xml:space="preserve"> 固废产生量及处置方案一览表</w:t>
            </w:r>
          </w:p>
          <w:tbl>
            <w:tblPr>
              <w:tblStyle w:val="27"/>
              <w:tblW w:w="8304"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94"/>
              <w:gridCol w:w="1310"/>
              <w:gridCol w:w="1430"/>
              <w:gridCol w:w="2250"/>
              <w:gridCol w:w="2620"/>
            </w:tblGrid>
            <w:tr w14:paraId="0676DB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3" w:hRule="atLeast"/>
                <w:tblHeader/>
              </w:trPr>
              <w:tc>
                <w:tcPr>
                  <w:tcW w:w="694" w:type="dxa"/>
                  <w:tcBorders>
                    <w:tl2br w:val="nil"/>
                    <w:tr2bl w:val="nil"/>
                  </w:tcBorders>
                  <w:shd w:val="clear" w:color="000000" w:fill="FFFFFF"/>
                  <w:noWrap w:val="0"/>
                  <w:vAlign w:val="center"/>
                </w:tcPr>
                <w:p w14:paraId="5BB01698">
                  <w:pPr>
                    <w:widowControl/>
                    <w:jc w:val="center"/>
                    <w:rPr>
                      <w:rFonts w:hint="default" w:ascii="Times New Roman" w:hAnsi="Times New Roman" w:cs="Times New Roman"/>
                      <w:b/>
                      <w:bCs/>
                      <w:color w:val="000000"/>
                      <w:kern w:val="0"/>
                      <w:sz w:val="21"/>
                      <w:szCs w:val="21"/>
                    </w:rPr>
                  </w:pPr>
                  <w:r>
                    <w:rPr>
                      <w:rFonts w:hint="default" w:ascii="Times New Roman" w:hAnsi="Times New Roman" w:eastAsia="宋体" w:cs="Times New Roman"/>
                      <w:b/>
                      <w:bCs/>
                      <w:color w:val="000000"/>
                      <w:kern w:val="0"/>
                      <w:szCs w:val="21"/>
                      <w:lang w:eastAsia="zh-CN"/>
                    </w:rPr>
                    <w:t>序号</w:t>
                  </w:r>
                </w:p>
              </w:tc>
              <w:tc>
                <w:tcPr>
                  <w:tcW w:w="1310" w:type="dxa"/>
                  <w:tcBorders>
                    <w:tl2br w:val="nil"/>
                    <w:tr2bl w:val="nil"/>
                  </w:tcBorders>
                  <w:shd w:val="clear" w:color="000000" w:fill="FFFFFF"/>
                  <w:noWrap w:val="0"/>
                  <w:vAlign w:val="center"/>
                </w:tcPr>
                <w:p w14:paraId="4053C7C9">
                  <w:pPr>
                    <w:widowControl/>
                    <w:jc w:val="center"/>
                    <w:rPr>
                      <w:rFonts w:hint="default" w:ascii="Times New Roman" w:hAnsi="Times New Roman" w:cs="Times New Roman"/>
                      <w:b/>
                      <w:bCs/>
                      <w:color w:val="000000"/>
                      <w:kern w:val="0"/>
                      <w:sz w:val="21"/>
                      <w:szCs w:val="21"/>
                    </w:rPr>
                  </w:pPr>
                  <w:r>
                    <w:rPr>
                      <w:rFonts w:hint="default" w:ascii="Times New Roman" w:hAnsi="Times New Roman" w:eastAsia="宋体" w:cs="Times New Roman"/>
                      <w:b/>
                      <w:bCs/>
                      <w:color w:val="000000"/>
                      <w:kern w:val="0"/>
                      <w:szCs w:val="21"/>
                      <w:lang w:eastAsia="zh-CN"/>
                    </w:rPr>
                    <w:t>污染物名称</w:t>
                  </w:r>
                </w:p>
              </w:tc>
              <w:tc>
                <w:tcPr>
                  <w:tcW w:w="1430" w:type="dxa"/>
                  <w:tcBorders>
                    <w:tl2br w:val="nil"/>
                    <w:tr2bl w:val="nil"/>
                  </w:tcBorders>
                  <w:shd w:val="clear" w:color="000000" w:fill="FFFFFF"/>
                  <w:noWrap w:val="0"/>
                  <w:vAlign w:val="center"/>
                </w:tcPr>
                <w:p w14:paraId="211F36E9">
                  <w:pPr>
                    <w:widowControl/>
                    <w:jc w:val="center"/>
                    <w:rPr>
                      <w:rFonts w:hint="default" w:ascii="Times New Roman" w:hAnsi="Times New Roman" w:cs="Times New Roman"/>
                      <w:b/>
                      <w:bCs/>
                      <w:color w:val="000000"/>
                      <w:kern w:val="0"/>
                      <w:sz w:val="21"/>
                      <w:szCs w:val="21"/>
                    </w:rPr>
                  </w:pPr>
                  <w:r>
                    <w:rPr>
                      <w:rFonts w:hint="default" w:ascii="Times New Roman" w:hAnsi="Times New Roman" w:eastAsia="宋体" w:cs="Times New Roman"/>
                      <w:b/>
                      <w:bCs/>
                      <w:color w:val="000000"/>
                      <w:kern w:val="0"/>
                      <w:szCs w:val="21"/>
                      <w:lang w:eastAsia="zh-CN"/>
                    </w:rPr>
                    <w:t>产生量（t/a）</w:t>
                  </w:r>
                </w:p>
              </w:tc>
              <w:tc>
                <w:tcPr>
                  <w:tcW w:w="2250" w:type="dxa"/>
                  <w:tcBorders>
                    <w:tl2br w:val="nil"/>
                    <w:tr2bl w:val="nil"/>
                  </w:tcBorders>
                  <w:shd w:val="clear" w:color="000000" w:fill="FFFFFF"/>
                  <w:noWrap w:val="0"/>
                  <w:vAlign w:val="center"/>
                </w:tcPr>
                <w:p w14:paraId="47DC536B">
                  <w:pPr>
                    <w:widowControl/>
                    <w:jc w:val="center"/>
                    <w:rPr>
                      <w:rFonts w:hint="default" w:ascii="Times New Roman" w:hAnsi="Times New Roman" w:cs="Times New Roman"/>
                      <w:b/>
                      <w:bCs/>
                      <w:color w:val="000000"/>
                      <w:kern w:val="0"/>
                      <w:sz w:val="21"/>
                      <w:szCs w:val="21"/>
                    </w:rPr>
                  </w:pPr>
                  <w:r>
                    <w:rPr>
                      <w:rFonts w:hint="default" w:ascii="Times New Roman" w:hAnsi="Times New Roman" w:eastAsia="宋体" w:cs="Times New Roman"/>
                      <w:b/>
                      <w:bCs/>
                      <w:color w:val="000000"/>
                      <w:kern w:val="0"/>
                      <w:szCs w:val="21"/>
                      <w:lang w:eastAsia="zh-CN"/>
                    </w:rPr>
                    <w:t>废物类别</w:t>
                  </w:r>
                </w:p>
              </w:tc>
              <w:tc>
                <w:tcPr>
                  <w:tcW w:w="2620" w:type="dxa"/>
                  <w:tcBorders>
                    <w:tl2br w:val="nil"/>
                    <w:tr2bl w:val="nil"/>
                  </w:tcBorders>
                  <w:shd w:val="clear" w:color="000000" w:fill="FFFFFF"/>
                  <w:noWrap w:val="0"/>
                  <w:vAlign w:val="center"/>
                </w:tcPr>
                <w:p w14:paraId="402C6F72">
                  <w:pPr>
                    <w:widowControl/>
                    <w:jc w:val="center"/>
                    <w:rPr>
                      <w:rFonts w:hint="default" w:ascii="Times New Roman" w:hAnsi="Times New Roman" w:cs="Times New Roman"/>
                      <w:b/>
                      <w:bCs/>
                      <w:color w:val="000000"/>
                      <w:kern w:val="0"/>
                      <w:sz w:val="21"/>
                      <w:szCs w:val="21"/>
                    </w:rPr>
                  </w:pPr>
                  <w:r>
                    <w:rPr>
                      <w:rFonts w:hint="default" w:ascii="Times New Roman" w:hAnsi="Times New Roman" w:eastAsia="宋体" w:cs="Times New Roman"/>
                      <w:b/>
                      <w:bCs/>
                      <w:color w:val="000000"/>
                      <w:kern w:val="0"/>
                      <w:szCs w:val="21"/>
                      <w:lang w:eastAsia="zh-CN"/>
                    </w:rPr>
                    <w:t>治理方案</w:t>
                  </w:r>
                </w:p>
              </w:tc>
            </w:tr>
            <w:tr w14:paraId="53F66F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3" w:hRule="atLeast"/>
              </w:trPr>
              <w:tc>
                <w:tcPr>
                  <w:tcW w:w="694" w:type="dxa"/>
                  <w:tcBorders>
                    <w:tl2br w:val="nil"/>
                    <w:tr2bl w:val="nil"/>
                  </w:tcBorders>
                  <w:noWrap w:val="0"/>
                  <w:vAlign w:val="center"/>
                </w:tcPr>
                <w:p w14:paraId="1CB23419">
                  <w:pPr>
                    <w:widowControl/>
                    <w:jc w:val="center"/>
                    <w:rPr>
                      <w:rFonts w:hint="default" w:ascii="Times New Roman" w:hAnsi="Times New Roman" w:cs="Times New Roman"/>
                      <w:color w:val="000000"/>
                      <w:kern w:val="0"/>
                      <w:szCs w:val="21"/>
                    </w:rPr>
                  </w:pPr>
                  <w:r>
                    <w:rPr>
                      <w:rFonts w:hint="default" w:ascii="Times New Roman" w:hAnsi="Times New Roman" w:eastAsia="宋体" w:cs="Times New Roman"/>
                      <w:b w:val="0"/>
                      <w:bCs w:val="0"/>
                      <w:color w:val="000000"/>
                      <w:kern w:val="0"/>
                      <w:szCs w:val="21"/>
                      <w:lang w:eastAsia="zh-CN"/>
                    </w:rPr>
                    <w:t>1</w:t>
                  </w:r>
                </w:p>
              </w:tc>
              <w:tc>
                <w:tcPr>
                  <w:tcW w:w="1310" w:type="dxa"/>
                  <w:tcBorders>
                    <w:tl2br w:val="nil"/>
                    <w:tr2bl w:val="nil"/>
                  </w:tcBorders>
                  <w:noWrap w:val="0"/>
                  <w:vAlign w:val="center"/>
                </w:tcPr>
                <w:p w14:paraId="08988EF1">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000000"/>
                      <w:kern w:val="0"/>
                      <w:szCs w:val="21"/>
                      <w:lang w:eastAsia="zh-CN"/>
                    </w:rPr>
                  </w:pPr>
                  <w:r>
                    <w:rPr>
                      <w:rFonts w:hint="default" w:ascii="Times New Roman" w:hAnsi="Times New Roman" w:eastAsia="宋体" w:cs="Times New Roman"/>
                      <w:b w:val="0"/>
                      <w:bCs w:val="0"/>
                      <w:color w:val="000000"/>
                      <w:kern w:val="0"/>
                      <w:szCs w:val="21"/>
                      <w:lang w:eastAsia="zh-CN"/>
                    </w:rPr>
                    <w:t>废包装材料</w:t>
                  </w:r>
                </w:p>
              </w:tc>
              <w:tc>
                <w:tcPr>
                  <w:tcW w:w="1430" w:type="dxa"/>
                  <w:tcBorders>
                    <w:tl2br w:val="nil"/>
                    <w:tr2bl w:val="nil"/>
                  </w:tcBorders>
                  <w:noWrap w:val="0"/>
                  <w:vAlign w:val="center"/>
                </w:tcPr>
                <w:p w14:paraId="69587901">
                  <w:pPr>
                    <w:widowControl/>
                    <w:spacing w:line="240" w:lineRule="auto"/>
                    <w:jc w:val="center"/>
                    <w:rPr>
                      <w:rFonts w:hint="eastAsia" w:ascii="Times New Roman" w:hAnsi="Times New Roman" w:eastAsia="宋体" w:cs="Times New Roman"/>
                      <w:color w:val="000000"/>
                      <w:kern w:val="0"/>
                      <w:szCs w:val="21"/>
                      <w:lang w:eastAsia="zh-CN"/>
                    </w:rPr>
                  </w:pPr>
                  <w:r>
                    <w:rPr>
                      <w:rFonts w:hint="default" w:ascii="Times New Roman" w:hAnsi="Times New Roman" w:eastAsia="宋体" w:cs="Times New Roman"/>
                      <w:b w:val="0"/>
                      <w:bCs w:val="0"/>
                      <w:color w:val="000000"/>
                      <w:kern w:val="0"/>
                      <w:szCs w:val="21"/>
                      <w:lang w:eastAsia="zh-CN"/>
                    </w:rPr>
                    <w:t>0.02</w:t>
                  </w:r>
                </w:p>
              </w:tc>
              <w:tc>
                <w:tcPr>
                  <w:tcW w:w="2250" w:type="dxa"/>
                  <w:tcBorders>
                    <w:tl2br w:val="nil"/>
                    <w:tr2bl w:val="nil"/>
                  </w:tcBorders>
                  <w:noWrap w:val="0"/>
                  <w:vAlign w:val="center"/>
                </w:tcPr>
                <w:p w14:paraId="6CEAE41E">
                  <w:pPr>
                    <w:spacing w:line="240" w:lineRule="auto"/>
                    <w:jc w:val="center"/>
                    <w:rPr>
                      <w:rFonts w:hint="default" w:ascii="Times New Roman" w:hAnsi="Times New Roman" w:eastAsia="宋体" w:cs="Times New Roman"/>
                      <w:color w:val="000000"/>
                      <w:szCs w:val="21"/>
                      <w:lang w:val="en-US" w:eastAsia="zh-CN"/>
                    </w:rPr>
                  </w:pPr>
                  <w:r>
                    <w:rPr>
                      <w:rFonts w:hint="default" w:ascii="Times New Roman" w:hAnsi="Times New Roman" w:eastAsia="宋体" w:cs="Times New Roman"/>
                      <w:b w:val="0"/>
                      <w:bCs w:val="0"/>
                      <w:color w:val="000000"/>
                      <w:kern w:val="0"/>
                      <w:szCs w:val="21"/>
                      <w:lang w:eastAsia="zh-CN"/>
                    </w:rPr>
                    <w:t>292-001-07</w:t>
                  </w:r>
                </w:p>
              </w:tc>
              <w:tc>
                <w:tcPr>
                  <w:tcW w:w="2620" w:type="dxa"/>
                  <w:tcBorders>
                    <w:tl2br w:val="nil"/>
                    <w:tr2bl w:val="nil"/>
                  </w:tcBorders>
                  <w:noWrap w:val="0"/>
                  <w:vAlign w:val="center"/>
                </w:tcPr>
                <w:p w14:paraId="189DA021">
                  <w:pPr>
                    <w:numPr>
                      <w:ilvl w:val="0"/>
                      <w:numId w:val="0"/>
                    </w:numPr>
                    <w:spacing w:line="240" w:lineRule="auto"/>
                    <w:ind w:left="0" w:leftChars="0" w:firstLine="0" w:firstLineChars="0"/>
                    <w:jc w:val="both"/>
                    <w:rPr>
                      <w:rFonts w:hint="default" w:ascii="Times New Roman" w:hAnsi="Times New Roman" w:cs="Times New Roman"/>
                      <w:color w:val="000000"/>
                      <w:kern w:val="0"/>
                      <w:szCs w:val="21"/>
                      <w:lang w:eastAsia="zh-CN"/>
                    </w:rPr>
                  </w:pPr>
                  <w:r>
                    <w:rPr>
                      <w:rFonts w:hint="default" w:ascii="Times New Roman" w:hAnsi="Times New Roman" w:eastAsia="宋体" w:cs="Times New Roman"/>
                      <w:b w:val="0"/>
                      <w:bCs w:val="0"/>
                      <w:color w:val="000000"/>
                      <w:kern w:val="0"/>
                      <w:szCs w:val="21"/>
                      <w:lang w:eastAsia="zh-CN"/>
                    </w:rPr>
                    <w:t>存放于一般工业固体废物暂存处，由由物资回收部门处理</w:t>
                  </w:r>
                  <w:r>
                    <w:rPr>
                      <w:rFonts w:hint="eastAsia" w:cs="Times New Roman"/>
                      <w:b w:val="0"/>
                      <w:bCs w:val="0"/>
                      <w:color w:val="000000"/>
                      <w:kern w:val="0"/>
                      <w:szCs w:val="21"/>
                      <w:lang w:eastAsia="zh-CN"/>
                    </w:rPr>
                    <w:t>；</w:t>
                  </w:r>
                </w:p>
              </w:tc>
            </w:tr>
            <w:tr w14:paraId="73A99A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3" w:hRule="atLeast"/>
              </w:trPr>
              <w:tc>
                <w:tcPr>
                  <w:tcW w:w="694" w:type="dxa"/>
                  <w:tcBorders>
                    <w:tl2br w:val="nil"/>
                    <w:tr2bl w:val="nil"/>
                  </w:tcBorders>
                  <w:noWrap w:val="0"/>
                  <w:vAlign w:val="center"/>
                </w:tcPr>
                <w:p w14:paraId="41EAFF51">
                  <w:pPr>
                    <w:widowControl/>
                    <w:jc w:val="center"/>
                    <w:rPr>
                      <w:rFonts w:hint="eastAsia" w:ascii="Times New Roman" w:hAnsi="Times New Roman" w:eastAsia="宋体" w:cs="Times New Roman"/>
                      <w:color w:val="000000"/>
                      <w:kern w:val="0"/>
                      <w:szCs w:val="21"/>
                      <w:lang w:val="en-US" w:eastAsia="zh-CN"/>
                    </w:rPr>
                  </w:pPr>
                  <w:r>
                    <w:rPr>
                      <w:rFonts w:hint="eastAsia" w:cs="Times New Roman"/>
                      <w:color w:val="000000"/>
                      <w:kern w:val="0"/>
                      <w:szCs w:val="21"/>
                      <w:lang w:val="en-US" w:eastAsia="zh-CN"/>
                    </w:rPr>
                    <w:t>2</w:t>
                  </w:r>
                </w:p>
              </w:tc>
              <w:tc>
                <w:tcPr>
                  <w:tcW w:w="1310" w:type="dxa"/>
                  <w:tcBorders>
                    <w:tl2br w:val="nil"/>
                    <w:tr2bl w:val="nil"/>
                  </w:tcBorders>
                  <w:noWrap w:val="0"/>
                  <w:vAlign w:val="center"/>
                </w:tcPr>
                <w:p w14:paraId="34544338">
                  <w:pPr>
                    <w:widowControl/>
                    <w:spacing w:line="240" w:lineRule="auto"/>
                    <w:jc w:val="center"/>
                    <w:rPr>
                      <w:rFonts w:hint="default" w:ascii="Times New Roman" w:hAnsi="Times New Roman" w:eastAsia="宋体" w:cs="Times New Roman"/>
                      <w:b w:val="0"/>
                      <w:bCs w:val="0"/>
                      <w:color w:val="000000"/>
                      <w:kern w:val="0"/>
                      <w:szCs w:val="21"/>
                      <w:lang w:eastAsia="zh-CN"/>
                    </w:rPr>
                  </w:pPr>
                  <w:r>
                    <w:rPr>
                      <w:rFonts w:hint="default" w:ascii="Times New Roman" w:hAnsi="Times New Roman" w:eastAsia="宋体" w:cs="Times New Roman"/>
                      <w:b w:val="0"/>
                      <w:bCs w:val="0"/>
                      <w:color w:val="000000"/>
                      <w:kern w:val="0"/>
                      <w:szCs w:val="21"/>
                      <w:lang w:eastAsia="zh-CN"/>
                    </w:rPr>
                    <w:t>废棉纱手套</w:t>
                  </w:r>
                </w:p>
              </w:tc>
              <w:tc>
                <w:tcPr>
                  <w:tcW w:w="1430" w:type="dxa"/>
                  <w:tcBorders>
                    <w:tl2br w:val="nil"/>
                    <w:tr2bl w:val="nil"/>
                  </w:tcBorders>
                  <w:noWrap w:val="0"/>
                  <w:vAlign w:val="center"/>
                </w:tcPr>
                <w:p w14:paraId="73C76804">
                  <w:pPr>
                    <w:widowControl/>
                    <w:spacing w:line="240" w:lineRule="auto"/>
                    <w:jc w:val="center"/>
                    <w:rPr>
                      <w:rFonts w:hint="eastAsia" w:ascii="Times New Roman" w:hAnsi="Times New Roman" w:eastAsia="宋体" w:cs="Times New Roman"/>
                      <w:color w:val="000000"/>
                      <w:kern w:val="0"/>
                      <w:szCs w:val="21"/>
                      <w:lang w:val="en-US" w:eastAsia="zh-CN"/>
                    </w:rPr>
                  </w:pPr>
                  <w:r>
                    <w:rPr>
                      <w:rFonts w:hint="default" w:ascii="Times New Roman" w:hAnsi="Times New Roman" w:eastAsia="宋体" w:cs="Times New Roman"/>
                      <w:b w:val="0"/>
                      <w:bCs w:val="0"/>
                      <w:color w:val="000000"/>
                      <w:kern w:val="0"/>
                      <w:szCs w:val="21"/>
                      <w:lang w:eastAsia="zh-CN"/>
                    </w:rPr>
                    <w:t>0.02</w:t>
                  </w:r>
                </w:p>
              </w:tc>
              <w:tc>
                <w:tcPr>
                  <w:tcW w:w="2250" w:type="dxa"/>
                  <w:tcBorders>
                    <w:tl2br w:val="nil"/>
                    <w:tr2bl w:val="nil"/>
                  </w:tcBorders>
                  <w:noWrap w:val="0"/>
                  <w:vAlign w:val="center"/>
                </w:tcPr>
                <w:p w14:paraId="2B5CC8A0">
                  <w:pPr>
                    <w:spacing w:line="240" w:lineRule="auto"/>
                    <w:jc w:val="center"/>
                    <w:rPr>
                      <w:rFonts w:hint="default" w:ascii="Times New Roman" w:hAnsi="Times New Roman" w:cs="Times New Roman"/>
                      <w:color w:val="000000"/>
                      <w:szCs w:val="21"/>
                      <w:lang w:val="en-US" w:eastAsia="zh-CN"/>
                    </w:rPr>
                  </w:pPr>
                  <w:r>
                    <w:rPr>
                      <w:rFonts w:hint="default" w:ascii="Times New Roman" w:hAnsi="Times New Roman" w:eastAsia="宋体" w:cs="Times New Roman"/>
                      <w:b w:val="0"/>
                      <w:bCs w:val="0"/>
                      <w:color w:val="000000"/>
                      <w:kern w:val="0"/>
                      <w:szCs w:val="21"/>
                      <w:lang w:eastAsia="zh-CN"/>
                    </w:rPr>
                    <w:t>HW49（900-041-49）</w:t>
                  </w:r>
                </w:p>
              </w:tc>
              <w:tc>
                <w:tcPr>
                  <w:tcW w:w="2620" w:type="dxa"/>
                  <w:vMerge w:val="restart"/>
                  <w:tcBorders>
                    <w:tl2br w:val="nil"/>
                    <w:tr2bl w:val="nil"/>
                  </w:tcBorders>
                  <w:noWrap w:val="0"/>
                  <w:vAlign w:val="center"/>
                </w:tcPr>
                <w:p w14:paraId="4D89C263">
                  <w:pPr>
                    <w:widowControl/>
                    <w:jc w:val="both"/>
                    <w:rPr>
                      <w:rFonts w:hint="default" w:ascii="Times New Roman" w:hAnsi="Times New Roman" w:cs="Times New Roman"/>
                      <w:color w:val="000000"/>
                      <w:kern w:val="0"/>
                      <w:szCs w:val="21"/>
                      <w:lang w:eastAsia="zh-CN"/>
                    </w:rPr>
                  </w:pPr>
                  <w:r>
                    <w:rPr>
                      <w:rFonts w:hint="default" w:ascii="Times New Roman" w:hAnsi="Times New Roman" w:eastAsia="宋体" w:cs="Times New Roman"/>
                      <w:b w:val="0"/>
                      <w:bCs w:val="0"/>
                      <w:color w:val="000000"/>
                      <w:kern w:val="0"/>
                      <w:szCs w:val="21"/>
                      <w:lang w:eastAsia="zh-CN"/>
                    </w:rPr>
                    <w:t>在厂内危险废物暂存间暂存，定期由有资质单位接收处置</w:t>
                  </w:r>
                  <w:r>
                    <w:rPr>
                      <w:rFonts w:hint="eastAsia" w:cs="Times New Roman"/>
                      <w:b w:val="0"/>
                      <w:bCs w:val="0"/>
                      <w:color w:val="000000"/>
                      <w:kern w:val="0"/>
                      <w:szCs w:val="21"/>
                      <w:lang w:eastAsia="zh-CN"/>
                    </w:rPr>
                    <w:t>；</w:t>
                  </w:r>
                </w:p>
              </w:tc>
            </w:tr>
            <w:tr w14:paraId="5DD09B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3" w:hRule="atLeast"/>
              </w:trPr>
              <w:tc>
                <w:tcPr>
                  <w:tcW w:w="694" w:type="dxa"/>
                  <w:tcBorders>
                    <w:tl2br w:val="nil"/>
                    <w:tr2bl w:val="nil"/>
                  </w:tcBorders>
                  <w:noWrap w:val="0"/>
                  <w:vAlign w:val="center"/>
                </w:tcPr>
                <w:p w14:paraId="2525B465">
                  <w:pPr>
                    <w:widowControl/>
                    <w:jc w:val="center"/>
                    <w:rPr>
                      <w:rFonts w:hint="eastAsia" w:ascii="Times New Roman" w:hAnsi="Times New Roman" w:eastAsia="宋体" w:cs="Times New Roman"/>
                      <w:color w:val="000000"/>
                      <w:kern w:val="0"/>
                      <w:szCs w:val="21"/>
                      <w:lang w:val="en-US" w:eastAsia="zh-CN"/>
                    </w:rPr>
                  </w:pPr>
                  <w:r>
                    <w:rPr>
                      <w:rFonts w:hint="eastAsia" w:cs="Times New Roman"/>
                      <w:color w:val="000000"/>
                      <w:kern w:val="0"/>
                      <w:szCs w:val="21"/>
                      <w:lang w:val="en-US" w:eastAsia="zh-CN"/>
                    </w:rPr>
                    <w:t>3</w:t>
                  </w:r>
                </w:p>
              </w:tc>
              <w:tc>
                <w:tcPr>
                  <w:tcW w:w="1310" w:type="dxa"/>
                  <w:tcBorders>
                    <w:tl2br w:val="nil"/>
                    <w:tr2bl w:val="nil"/>
                  </w:tcBorders>
                  <w:noWrap w:val="0"/>
                  <w:vAlign w:val="center"/>
                </w:tcPr>
                <w:p w14:paraId="05DEC354">
                  <w:pPr>
                    <w:widowControl/>
                    <w:spacing w:line="240" w:lineRule="auto"/>
                    <w:jc w:val="center"/>
                    <w:rPr>
                      <w:rFonts w:hint="eastAsia" w:ascii="Times New Roman" w:hAnsi="Times New Roman" w:eastAsia="宋体" w:cs="Times New Roman"/>
                      <w:color w:val="000000"/>
                      <w:kern w:val="0"/>
                      <w:szCs w:val="21"/>
                      <w:lang w:eastAsia="zh-CN"/>
                    </w:rPr>
                  </w:pPr>
                  <w:r>
                    <w:rPr>
                      <w:rFonts w:hint="eastAsia" w:ascii="Times New Roman" w:hAnsi="Times New Roman" w:eastAsia="宋体" w:cs="Times New Roman"/>
                      <w:color w:val="000000"/>
                      <w:kern w:val="0"/>
                      <w:szCs w:val="21"/>
                      <w:lang w:eastAsia="zh-CN"/>
                    </w:rPr>
                    <w:t>废试剂瓶</w:t>
                  </w:r>
                </w:p>
              </w:tc>
              <w:tc>
                <w:tcPr>
                  <w:tcW w:w="1430" w:type="dxa"/>
                  <w:tcBorders>
                    <w:tl2br w:val="nil"/>
                    <w:tr2bl w:val="nil"/>
                  </w:tcBorders>
                  <w:noWrap w:val="0"/>
                  <w:vAlign w:val="center"/>
                </w:tcPr>
                <w:p w14:paraId="5734B88E">
                  <w:pPr>
                    <w:widowControl/>
                    <w:spacing w:line="240" w:lineRule="auto"/>
                    <w:jc w:val="center"/>
                    <w:rPr>
                      <w:rFonts w:hint="default" w:ascii="Times New Roman" w:hAnsi="Times New Roman" w:eastAsia="宋体" w:cs="Times New Roman"/>
                      <w:color w:val="000000"/>
                      <w:kern w:val="0"/>
                      <w:szCs w:val="21"/>
                      <w:lang w:val="en-US" w:eastAsia="zh-CN"/>
                    </w:rPr>
                  </w:pPr>
                  <w:r>
                    <w:rPr>
                      <w:rFonts w:hint="eastAsia" w:ascii="Times New Roman" w:hAnsi="Times New Roman" w:eastAsia="宋体" w:cs="Times New Roman"/>
                      <w:color w:val="000000"/>
                      <w:kern w:val="0"/>
                      <w:szCs w:val="21"/>
                      <w:lang w:eastAsia="zh-CN"/>
                    </w:rPr>
                    <w:t>0.</w:t>
                  </w:r>
                  <w:r>
                    <w:rPr>
                      <w:rFonts w:hint="eastAsia" w:cs="Times New Roman"/>
                      <w:color w:val="000000"/>
                      <w:kern w:val="0"/>
                      <w:szCs w:val="21"/>
                      <w:lang w:val="en-US" w:eastAsia="zh-CN"/>
                    </w:rPr>
                    <w:t>02</w:t>
                  </w:r>
                </w:p>
              </w:tc>
              <w:tc>
                <w:tcPr>
                  <w:tcW w:w="2250" w:type="dxa"/>
                  <w:tcBorders>
                    <w:tl2br w:val="nil"/>
                    <w:tr2bl w:val="nil"/>
                  </w:tcBorders>
                  <w:noWrap w:val="0"/>
                  <w:vAlign w:val="center"/>
                </w:tcPr>
                <w:p w14:paraId="3B81EFF0">
                  <w:pPr>
                    <w:spacing w:line="240" w:lineRule="auto"/>
                    <w:jc w:val="center"/>
                    <w:rPr>
                      <w:rFonts w:hint="default" w:ascii="Times New Roman" w:hAnsi="Times New Roman" w:cs="Times New Roman"/>
                      <w:color w:val="000000"/>
                      <w:szCs w:val="21"/>
                      <w:lang w:val="en-US" w:eastAsia="zh-CN"/>
                    </w:rPr>
                  </w:pPr>
                  <w:r>
                    <w:rPr>
                      <w:rFonts w:hint="eastAsia" w:ascii="Times New Roman" w:hAnsi="Times New Roman" w:eastAsia="宋体" w:cs="Times New Roman"/>
                      <w:color w:val="000000"/>
                      <w:kern w:val="0"/>
                      <w:szCs w:val="21"/>
                      <w:lang w:eastAsia="zh-CN"/>
                    </w:rPr>
                    <w:t>HW49（900-041-49）</w:t>
                  </w:r>
                </w:p>
              </w:tc>
              <w:tc>
                <w:tcPr>
                  <w:tcW w:w="2620" w:type="dxa"/>
                  <w:vMerge w:val="continue"/>
                  <w:tcBorders>
                    <w:tl2br w:val="nil"/>
                    <w:tr2bl w:val="nil"/>
                  </w:tcBorders>
                  <w:noWrap w:val="0"/>
                  <w:vAlign w:val="center"/>
                </w:tcPr>
                <w:p w14:paraId="6F8176AB">
                  <w:pPr>
                    <w:widowControl/>
                    <w:spacing w:line="240" w:lineRule="auto"/>
                    <w:jc w:val="both"/>
                    <w:rPr>
                      <w:rFonts w:hint="default" w:ascii="Times New Roman" w:hAnsi="Times New Roman" w:cs="Times New Roman"/>
                      <w:color w:val="000000"/>
                      <w:kern w:val="0"/>
                      <w:szCs w:val="21"/>
                      <w:lang w:eastAsia="zh-CN"/>
                    </w:rPr>
                  </w:pPr>
                </w:p>
              </w:tc>
            </w:tr>
            <w:tr w14:paraId="605251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3" w:hRule="atLeast"/>
              </w:trPr>
              <w:tc>
                <w:tcPr>
                  <w:tcW w:w="694" w:type="dxa"/>
                  <w:tcBorders>
                    <w:tl2br w:val="nil"/>
                    <w:tr2bl w:val="nil"/>
                  </w:tcBorders>
                  <w:noWrap w:val="0"/>
                  <w:vAlign w:val="center"/>
                </w:tcPr>
                <w:p w14:paraId="7256CF3A">
                  <w:pPr>
                    <w:widowControl/>
                    <w:spacing w:line="240" w:lineRule="auto"/>
                    <w:jc w:val="center"/>
                    <w:rPr>
                      <w:rFonts w:hint="eastAsia" w:ascii="Times New Roman" w:hAnsi="Times New Roman" w:eastAsia="宋体" w:cs="Times New Roman"/>
                      <w:color w:val="000000"/>
                      <w:kern w:val="0"/>
                      <w:sz w:val="21"/>
                      <w:szCs w:val="21"/>
                      <w:lang w:val="en-US" w:eastAsia="zh-CN"/>
                    </w:rPr>
                  </w:pPr>
                  <w:r>
                    <w:rPr>
                      <w:rFonts w:hint="eastAsia" w:cs="Times New Roman"/>
                      <w:color w:val="000000"/>
                      <w:kern w:val="0"/>
                      <w:sz w:val="21"/>
                      <w:szCs w:val="21"/>
                      <w:lang w:val="en-US" w:eastAsia="zh-CN"/>
                    </w:rPr>
                    <w:t>4</w:t>
                  </w:r>
                </w:p>
              </w:tc>
              <w:tc>
                <w:tcPr>
                  <w:tcW w:w="1310" w:type="dxa"/>
                  <w:tcBorders>
                    <w:tl2br w:val="nil"/>
                    <w:tr2bl w:val="nil"/>
                  </w:tcBorders>
                  <w:noWrap w:val="0"/>
                  <w:vAlign w:val="center"/>
                </w:tcPr>
                <w:p w14:paraId="2D2589BB">
                  <w:pPr>
                    <w:widowControl/>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实验废液</w:t>
                  </w:r>
                </w:p>
              </w:tc>
              <w:tc>
                <w:tcPr>
                  <w:tcW w:w="1430" w:type="dxa"/>
                  <w:tcBorders>
                    <w:tl2br w:val="nil"/>
                    <w:tr2bl w:val="nil"/>
                  </w:tcBorders>
                  <w:noWrap w:val="0"/>
                  <w:vAlign w:val="center"/>
                </w:tcPr>
                <w:p w14:paraId="3C652856">
                  <w:pPr>
                    <w:widowControl/>
                    <w:spacing w:line="240" w:lineRule="auto"/>
                    <w:jc w:val="center"/>
                    <w:rPr>
                      <w:rFonts w:hint="default" w:ascii="Times New Roman" w:hAnsi="Times New Roman" w:eastAsia="宋体" w:cs="Times New Roman"/>
                      <w:color w:val="000000"/>
                      <w:sz w:val="21"/>
                      <w:szCs w:val="21"/>
                      <w:lang w:val="en-US" w:eastAsia="zh-CN"/>
                    </w:rPr>
                  </w:pPr>
                  <w:r>
                    <w:rPr>
                      <w:rFonts w:hint="eastAsia" w:cs="Times New Roman"/>
                      <w:sz w:val="21"/>
                      <w:szCs w:val="21"/>
                      <w:vertAlign w:val="baseline"/>
                      <w:lang w:val="en-US" w:eastAsia="zh-CN"/>
                    </w:rPr>
                    <w:t>3.65</w:t>
                  </w:r>
                </w:p>
              </w:tc>
              <w:tc>
                <w:tcPr>
                  <w:tcW w:w="2250" w:type="dxa"/>
                  <w:tcBorders>
                    <w:tl2br w:val="nil"/>
                    <w:tr2bl w:val="nil"/>
                  </w:tcBorders>
                  <w:noWrap w:val="0"/>
                  <w:vAlign w:val="center"/>
                </w:tcPr>
                <w:p w14:paraId="78446B6C">
                  <w:pPr>
                    <w:widowControl/>
                    <w:spacing w:line="240" w:lineRule="auto"/>
                    <w:jc w:val="center"/>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sz w:val="21"/>
                      <w:szCs w:val="21"/>
                      <w:vertAlign w:val="baseline"/>
                      <w:lang w:val="en-US" w:eastAsia="zh-CN"/>
                    </w:rPr>
                    <w:t>HW49（900-041-49）</w:t>
                  </w:r>
                </w:p>
              </w:tc>
              <w:tc>
                <w:tcPr>
                  <w:tcW w:w="2620" w:type="dxa"/>
                  <w:vMerge w:val="continue"/>
                  <w:tcBorders>
                    <w:tl2br w:val="nil"/>
                    <w:tr2bl w:val="nil"/>
                  </w:tcBorders>
                  <w:noWrap w:val="0"/>
                  <w:vAlign w:val="center"/>
                </w:tcPr>
                <w:p w14:paraId="438FACFD">
                  <w:pPr>
                    <w:widowControl/>
                    <w:spacing w:line="240" w:lineRule="auto"/>
                    <w:jc w:val="both"/>
                    <w:rPr>
                      <w:rFonts w:hint="default" w:ascii="Times New Roman" w:hAnsi="Times New Roman" w:eastAsia="宋体" w:cs="Times New Roman"/>
                      <w:color w:val="000000"/>
                      <w:kern w:val="0"/>
                      <w:sz w:val="21"/>
                      <w:szCs w:val="21"/>
                      <w:lang w:val="en-US" w:eastAsia="zh-CN" w:bidi="ar-SA"/>
                    </w:rPr>
                  </w:pPr>
                </w:p>
              </w:tc>
            </w:tr>
            <w:tr w14:paraId="079CC8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3" w:hRule="atLeast"/>
              </w:trPr>
              <w:tc>
                <w:tcPr>
                  <w:tcW w:w="694" w:type="dxa"/>
                  <w:tcBorders>
                    <w:tl2br w:val="nil"/>
                    <w:tr2bl w:val="nil"/>
                  </w:tcBorders>
                  <w:noWrap w:val="0"/>
                  <w:vAlign w:val="center"/>
                </w:tcPr>
                <w:p w14:paraId="5D715A53">
                  <w:pPr>
                    <w:widowControl/>
                    <w:spacing w:line="240" w:lineRule="auto"/>
                    <w:jc w:val="center"/>
                    <w:rPr>
                      <w:rFonts w:hint="default" w:ascii="Times New Roman" w:hAnsi="Times New Roman" w:eastAsia="宋体" w:cs="Times New Roman"/>
                      <w:color w:val="000000"/>
                      <w:kern w:val="0"/>
                      <w:sz w:val="21"/>
                      <w:szCs w:val="21"/>
                      <w:lang w:val="en-US" w:eastAsia="zh-CN"/>
                    </w:rPr>
                  </w:pPr>
                  <w:r>
                    <w:rPr>
                      <w:rFonts w:hint="eastAsia" w:cs="Times New Roman"/>
                      <w:color w:val="000000"/>
                      <w:kern w:val="0"/>
                      <w:sz w:val="21"/>
                      <w:szCs w:val="21"/>
                      <w:lang w:val="en-US" w:eastAsia="zh-CN"/>
                    </w:rPr>
                    <w:t>5</w:t>
                  </w:r>
                </w:p>
              </w:tc>
              <w:tc>
                <w:tcPr>
                  <w:tcW w:w="1310" w:type="dxa"/>
                  <w:tcBorders>
                    <w:tl2br w:val="nil"/>
                    <w:tr2bl w:val="nil"/>
                  </w:tcBorders>
                  <w:noWrap w:val="0"/>
                  <w:vAlign w:val="center"/>
                </w:tcPr>
                <w:p w14:paraId="59774ACA">
                  <w:pPr>
                    <w:widowControl/>
                    <w:spacing w:line="240" w:lineRule="auto"/>
                    <w:jc w:val="center"/>
                    <w:rPr>
                      <w:rFonts w:hint="default" w:ascii="Times New Roman" w:hAnsi="Times New Roman" w:eastAsia="宋体" w:cs="Times New Roman"/>
                      <w:color w:val="000000"/>
                      <w:kern w:val="0"/>
                      <w:sz w:val="21"/>
                      <w:szCs w:val="21"/>
                    </w:rPr>
                  </w:pPr>
                  <w:r>
                    <w:rPr>
                      <w:rFonts w:hint="default" w:ascii="Times New Roman" w:hAnsi="Times New Roman" w:eastAsia="宋体" w:cs="Times New Roman"/>
                      <w:color w:val="000000"/>
                      <w:kern w:val="0"/>
                      <w:sz w:val="21"/>
                      <w:szCs w:val="21"/>
                    </w:rPr>
                    <w:t>废活性炭</w:t>
                  </w:r>
                </w:p>
              </w:tc>
              <w:tc>
                <w:tcPr>
                  <w:tcW w:w="1430" w:type="dxa"/>
                  <w:tcBorders>
                    <w:tl2br w:val="nil"/>
                    <w:tr2bl w:val="nil"/>
                  </w:tcBorders>
                  <w:noWrap w:val="0"/>
                  <w:vAlign w:val="center"/>
                </w:tcPr>
                <w:p w14:paraId="1D8C283D">
                  <w:pPr>
                    <w:widowControl/>
                    <w:spacing w:line="240" w:lineRule="auto"/>
                    <w:jc w:val="center"/>
                    <w:rPr>
                      <w:rFonts w:hint="default" w:ascii="Times New Roman" w:hAnsi="Times New Roman" w:eastAsia="宋体" w:cs="Times New Roman"/>
                      <w:color w:val="000000"/>
                      <w:kern w:val="0"/>
                      <w:sz w:val="21"/>
                      <w:szCs w:val="21"/>
                      <w:lang w:val="en-US" w:eastAsia="zh-CN"/>
                    </w:rPr>
                  </w:pPr>
                  <w:r>
                    <w:rPr>
                      <w:rFonts w:hint="eastAsia" w:cs="Times New Roman"/>
                      <w:color w:val="000000"/>
                      <w:kern w:val="0"/>
                      <w:sz w:val="21"/>
                      <w:szCs w:val="21"/>
                      <w:lang w:val="en-US" w:eastAsia="zh-CN"/>
                    </w:rPr>
                    <w:t>0.56</w:t>
                  </w:r>
                </w:p>
              </w:tc>
              <w:tc>
                <w:tcPr>
                  <w:tcW w:w="2250" w:type="dxa"/>
                  <w:tcBorders>
                    <w:tl2br w:val="nil"/>
                    <w:tr2bl w:val="nil"/>
                  </w:tcBorders>
                  <w:noWrap w:val="0"/>
                  <w:vAlign w:val="center"/>
                </w:tcPr>
                <w:p w14:paraId="0631C55E">
                  <w:pPr>
                    <w:widowControl/>
                    <w:spacing w:line="240" w:lineRule="auto"/>
                    <w:jc w:val="center"/>
                    <w:rPr>
                      <w:rFonts w:hint="default" w:ascii="Times New Roman" w:hAnsi="Times New Roman" w:eastAsia="宋体" w:cs="Times New Roman"/>
                      <w:color w:val="000000"/>
                      <w:kern w:val="0"/>
                      <w:sz w:val="21"/>
                      <w:szCs w:val="21"/>
                    </w:rPr>
                  </w:pPr>
                  <w:r>
                    <w:rPr>
                      <w:rFonts w:hint="default" w:ascii="Times New Roman" w:hAnsi="Times New Roman" w:eastAsia="宋体" w:cs="Times New Roman"/>
                      <w:color w:val="000000"/>
                      <w:kern w:val="0"/>
                      <w:sz w:val="21"/>
                      <w:szCs w:val="21"/>
                    </w:rPr>
                    <w:t>HW49（900-039-49）</w:t>
                  </w:r>
                </w:p>
              </w:tc>
              <w:tc>
                <w:tcPr>
                  <w:tcW w:w="2620" w:type="dxa"/>
                  <w:vMerge w:val="continue"/>
                  <w:tcBorders>
                    <w:tl2br w:val="nil"/>
                    <w:tr2bl w:val="nil"/>
                  </w:tcBorders>
                  <w:noWrap w:val="0"/>
                  <w:vAlign w:val="center"/>
                </w:tcPr>
                <w:p w14:paraId="2035E384">
                  <w:pPr>
                    <w:widowControl/>
                    <w:spacing w:line="240" w:lineRule="auto"/>
                    <w:jc w:val="both"/>
                    <w:rPr>
                      <w:rFonts w:hint="default" w:ascii="Times New Roman" w:hAnsi="Times New Roman" w:eastAsia="宋体" w:cs="Times New Roman"/>
                      <w:color w:val="000000"/>
                      <w:kern w:val="0"/>
                      <w:sz w:val="21"/>
                      <w:szCs w:val="21"/>
                    </w:rPr>
                  </w:pPr>
                </w:p>
              </w:tc>
            </w:tr>
            <w:tr w14:paraId="4E02DA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3" w:hRule="atLeast"/>
              </w:trPr>
              <w:tc>
                <w:tcPr>
                  <w:tcW w:w="694" w:type="dxa"/>
                  <w:tcBorders>
                    <w:tl2br w:val="nil"/>
                    <w:tr2bl w:val="nil"/>
                  </w:tcBorders>
                  <w:noWrap w:val="0"/>
                  <w:vAlign w:val="center"/>
                </w:tcPr>
                <w:p w14:paraId="4CF47BF7">
                  <w:pPr>
                    <w:widowControl/>
                    <w:spacing w:line="240" w:lineRule="auto"/>
                    <w:jc w:val="center"/>
                    <w:rPr>
                      <w:rFonts w:hint="eastAsia" w:ascii="Times New Roman" w:hAnsi="Times New Roman" w:eastAsia="宋体" w:cs="Times New Roman"/>
                      <w:color w:val="000000"/>
                      <w:kern w:val="0"/>
                      <w:sz w:val="21"/>
                      <w:szCs w:val="21"/>
                      <w:lang w:val="en-US" w:eastAsia="zh-CN"/>
                    </w:rPr>
                  </w:pPr>
                  <w:r>
                    <w:rPr>
                      <w:rFonts w:hint="eastAsia" w:cs="Times New Roman"/>
                      <w:color w:val="000000"/>
                      <w:kern w:val="0"/>
                      <w:sz w:val="21"/>
                      <w:szCs w:val="21"/>
                      <w:lang w:val="en-US" w:eastAsia="zh-CN"/>
                    </w:rPr>
                    <w:t>6</w:t>
                  </w:r>
                </w:p>
              </w:tc>
              <w:tc>
                <w:tcPr>
                  <w:tcW w:w="1310" w:type="dxa"/>
                  <w:tcBorders>
                    <w:tl2br w:val="nil"/>
                    <w:tr2bl w:val="nil"/>
                  </w:tcBorders>
                  <w:noWrap w:val="0"/>
                  <w:vAlign w:val="center"/>
                </w:tcPr>
                <w:p w14:paraId="06F3DD97">
                  <w:pPr>
                    <w:widowControl/>
                    <w:spacing w:line="240" w:lineRule="auto"/>
                    <w:jc w:val="center"/>
                    <w:rPr>
                      <w:rFonts w:hint="default" w:ascii="Times New Roman" w:hAnsi="Times New Roman" w:eastAsia="宋体" w:cs="Times New Roman"/>
                      <w:color w:val="000000"/>
                      <w:kern w:val="0"/>
                      <w:sz w:val="21"/>
                      <w:szCs w:val="21"/>
                    </w:rPr>
                  </w:pPr>
                  <w:r>
                    <w:rPr>
                      <w:rFonts w:hint="default" w:ascii="Times New Roman" w:hAnsi="Times New Roman" w:eastAsia="宋体" w:cs="Times New Roman"/>
                      <w:color w:val="000000"/>
                      <w:kern w:val="0"/>
                      <w:sz w:val="21"/>
                      <w:szCs w:val="21"/>
                    </w:rPr>
                    <w:t>油泥</w:t>
                  </w:r>
                </w:p>
              </w:tc>
              <w:tc>
                <w:tcPr>
                  <w:tcW w:w="1430" w:type="dxa"/>
                  <w:tcBorders>
                    <w:tl2br w:val="nil"/>
                    <w:tr2bl w:val="nil"/>
                  </w:tcBorders>
                  <w:noWrap w:val="0"/>
                  <w:vAlign w:val="center"/>
                </w:tcPr>
                <w:p w14:paraId="66710043">
                  <w:pPr>
                    <w:widowControl/>
                    <w:spacing w:line="240" w:lineRule="auto"/>
                    <w:jc w:val="center"/>
                    <w:rPr>
                      <w:rFonts w:hint="default" w:ascii="Times New Roman" w:hAnsi="Times New Roman" w:eastAsia="宋体" w:cs="Times New Roman"/>
                      <w:color w:val="000000"/>
                      <w:kern w:val="0"/>
                      <w:sz w:val="21"/>
                      <w:szCs w:val="21"/>
                      <w:lang w:val="en-US" w:eastAsia="zh-CN"/>
                    </w:rPr>
                  </w:pPr>
                  <w:r>
                    <w:rPr>
                      <w:rFonts w:hint="eastAsia" w:cs="Times New Roman"/>
                      <w:color w:val="000000"/>
                      <w:kern w:val="0"/>
                      <w:sz w:val="21"/>
                      <w:szCs w:val="21"/>
                      <w:lang w:val="en-US" w:eastAsia="zh-CN"/>
                    </w:rPr>
                    <w:t>0.3</w:t>
                  </w:r>
                </w:p>
              </w:tc>
              <w:tc>
                <w:tcPr>
                  <w:tcW w:w="2250" w:type="dxa"/>
                  <w:tcBorders>
                    <w:tl2br w:val="nil"/>
                    <w:tr2bl w:val="nil"/>
                  </w:tcBorders>
                  <w:noWrap w:val="0"/>
                  <w:vAlign w:val="center"/>
                </w:tcPr>
                <w:p w14:paraId="17FBA3DE">
                  <w:pPr>
                    <w:widowControl/>
                    <w:spacing w:line="240" w:lineRule="auto"/>
                    <w:jc w:val="center"/>
                    <w:rPr>
                      <w:rFonts w:hint="default" w:ascii="Times New Roman" w:hAnsi="Times New Roman" w:eastAsia="宋体" w:cs="Times New Roman"/>
                      <w:color w:val="000000"/>
                      <w:kern w:val="0"/>
                      <w:sz w:val="21"/>
                      <w:szCs w:val="21"/>
                    </w:rPr>
                  </w:pPr>
                  <w:r>
                    <w:rPr>
                      <w:rFonts w:hint="default" w:ascii="Times New Roman" w:hAnsi="Times New Roman" w:eastAsia="宋体" w:cs="Times New Roman"/>
                      <w:color w:val="000000"/>
                      <w:kern w:val="0"/>
                      <w:sz w:val="21"/>
                      <w:szCs w:val="21"/>
                    </w:rPr>
                    <w:t>HW08（900-221-08）</w:t>
                  </w:r>
                </w:p>
              </w:tc>
              <w:tc>
                <w:tcPr>
                  <w:tcW w:w="2620" w:type="dxa"/>
                  <w:vMerge w:val="continue"/>
                  <w:tcBorders>
                    <w:tl2br w:val="nil"/>
                    <w:tr2bl w:val="nil"/>
                  </w:tcBorders>
                  <w:noWrap w:val="0"/>
                  <w:vAlign w:val="center"/>
                </w:tcPr>
                <w:p w14:paraId="1EF3E965">
                  <w:pPr>
                    <w:widowControl/>
                    <w:spacing w:line="240" w:lineRule="auto"/>
                    <w:jc w:val="both"/>
                    <w:rPr>
                      <w:rFonts w:hint="default" w:ascii="Times New Roman" w:hAnsi="Times New Roman" w:eastAsia="宋体" w:cs="Times New Roman"/>
                      <w:color w:val="000000"/>
                      <w:kern w:val="0"/>
                      <w:sz w:val="21"/>
                      <w:szCs w:val="21"/>
                    </w:rPr>
                  </w:pPr>
                </w:p>
              </w:tc>
            </w:tr>
            <w:tr w14:paraId="44C4F6D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3" w:hRule="atLeast"/>
              </w:trPr>
              <w:tc>
                <w:tcPr>
                  <w:tcW w:w="694" w:type="dxa"/>
                  <w:tcBorders>
                    <w:tl2br w:val="nil"/>
                    <w:tr2bl w:val="nil"/>
                  </w:tcBorders>
                  <w:noWrap w:val="0"/>
                  <w:vAlign w:val="center"/>
                </w:tcPr>
                <w:p w14:paraId="7C2614C1">
                  <w:pPr>
                    <w:widowControl/>
                    <w:spacing w:line="240" w:lineRule="auto"/>
                    <w:jc w:val="center"/>
                    <w:rPr>
                      <w:rFonts w:hint="eastAsia" w:ascii="Times New Roman" w:hAnsi="Times New Roman" w:eastAsia="宋体" w:cs="Times New Roman"/>
                      <w:color w:val="000000"/>
                      <w:kern w:val="0"/>
                      <w:sz w:val="21"/>
                      <w:szCs w:val="21"/>
                      <w:lang w:val="en-US" w:eastAsia="zh-CN"/>
                    </w:rPr>
                  </w:pPr>
                  <w:r>
                    <w:rPr>
                      <w:rFonts w:hint="eastAsia" w:cs="Times New Roman"/>
                      <w:color w:val="000000"/>
                      <w:kern w:val="0"/>
                      <w:sz w:val="21"/>
                      <w:szCs w:val="21"/>
                      <w:lang w:val="en-US" w:eastAsia="zh-CN"/>
                    </w:rPr>
                    <w:t>7</w:t>
                  </w:r>
                </w:p>
              </w:tc>
              <w:tc>
                <w:tcPr>
                  <w:tcW w:w="1310" w:type="dxa"/>
                  <w:tcBorders>
                    <w:tl2br w:val="nil"/>
                    <w:tr2bl w:val="nil"/>
                  </w:tcBorders>
                  <w:noWrap w:val="0"/>
                  <w:vAlign w:val="center"/>
                </w:tcPr>
                <w:p w14:paraId="3B827205">
                  <w:pPr>
                    <w:widowControl/>
                    <w:spacing w:line="240" w:lineRule="auto"/>
                    <w:jc w:val="center"/>
                    <w:rPr>
                      <w:rFonts w:hint="default" w:ascii="Times New Roman" w:hAnsi="Times New Roman" w:eastAsia="宋体" w:cs="Times New Roman"/>
                      <w:color w:val="000000"/>
                      <w:kern w:val="0"/>
                      <w:sz w:val="21"/>
                      <w:szCs w:val="21"/>
                    </w:rPr>
                  </w:pPr>
                  <w:r>
                    <w:rPr>
                      <w:rFonts w:hint="default" w:ascii="Times New Roman" w:hAnsi="Times New Roman" w:eastAsia="宋体" w:cs="Times New Roman"/>
                      <w:color w:val="000000"/>
                      <w:kern w:val="0"/>
                      <w:sz w:val="21"/>
                      <w:szCs w:val="21"/>
                    </w:rPr>
                    <w:t>废油桶</w:t>
                  </w:r>
                </w:p>
              </w:tc>
              <w:tc>
                <w:tcPr>
                  <w:tcW w:w="1430" w:type="dxa"/>
                  <w:tcBorders>
                    <w:tl2br w:val="nil"/>
                    <w:tr2bl w:val="nil"/>
                  </w:tcBorders>
                  <w:noWrap w:val="0"/>
                  <w:vAlign w:val="center"/>
                </w:tcPr>
                <w:p w14:paraId="0474757D">
                  <w:pPr>
                    <w:widowControl/>
                    <w:spacing w:line="240" w:lineRule="auto"/>
                    <w:jc w:val="center"/>
                    <w:rPr>
                      <w:rFonts w:hint="default" w:ascii="Times New Roman" w:hAnsi="Times New Roman" w:eastAsia="宋体" w:cs="Times New Roman"/>
                      <w:color w:val="000000"/>
                      <w:kern w:val="0"/>
                      <w:sz w:val="21"/>
                      <w:szCs w:val="21"/>
                      <w:lang w:val="en-US" w:eastAsia="zh-CN"/>
                    </w:rPr>
                  </w:pPr>
                  <w:r>
                    <w:rPr>
                      <w:rFonts w:hint="eastAsia" w:cs="Times New Roman"/>
                      <w:color w:val="000000"/>
                      <w:kern w:val="0"/>
                      <w:sz w:val="21"/>
                      <w:szCs w:val="21"/>
                      <w:lang w:val="en-US" w:eastAsia="zh-CN"/>
                    </w:rPr>
                    <w:t>0.15</w:t>
                  </w:r>
                </w:p>
              </w:tc>
              <w:tc>
                <w:tcPr>
                  <w:tcW w:w="2250" w:type="dxa"/>
                  <w:tcBorders>
                    <w:tl2br w:val="nil"/>
                    <w:tr2bl w:val="nil"/>
                  </w:tcBorders>
                  <w:noWrap w:val="0"/>
                  <w:vAlign w:val="center"/>
                </w:tcPr>
                <w:p w14:paraId="2F949C98">
                  <w:pPr>
                    <w:widowControl/>
                    <w:spacing w:line="240" w:lineRule="auto"/>
                    <w:jc w:val="center"/>
                    <w:rPr>
                      <w:rFonts w:hint="default" w:ascii="Times New Roman" w:hAnsi="Times New Roman" w:eastAsia="宋体" w:cs="Times New Roman"/>
                      <w:color w:val="000000"/>
                      <w:kern w:val="0"/>
                      <w:sz w:val="21"/>
                      <w:szCs w:val="21"/>
                    </w:rPr>
                  </w:pPr>
                  <w:r>
                    <w:rPr>
                      <w:rFonts w:hint="default" w:ascii="Times New Roman" w:hAnsi="Times New Roman" w:eastAsia="宋体" w:cs="Times New Roman"/>
                      <w:color w:val="000000"/>
                      <w:kern w:val="0"/>
                      <w:sz w:val="21"/>
                      <w:szCs w:val="21"/>
                    </w:rPr>
                    <w:t>HW49（900-249-08）</w:t>
                  </w:r>
                </w:p>
              </w:tc>
              <w:tc>
                <w:tcPr>
                  <w:tcW w:w="2620" w:type="dxa"/>
                  <w:vMerge w:val="continue"/>
                  <w:tcBorders>
                    <w:tl2br w:val="nil"/>
                    <w:tr2bl w:val="nil"/>
                  </w:tcBorders>
                  <w:noWrap w:val="0"/>
                  <w:vAlign w:val="center"/>
                </w:tcPr>
                <w:p w14:paraId="10BAFD0B">
                  <w:pPr>
                    <w:widowControl/>
                    <w:spacing w:line="240" w:lineRule="auto"/>
                    <w:jc w:val="both"/>
                    <w:rPr>
                      <w:rFonts w:hint="default" w:ascii="Times New Roman" w:hAnsi="Times New Roman" w:eastAsia="宋体" w:cs="Times New Roman"/>
                      <w:color w:val="000000"/>
                      <w:kern w:val="0"/>
                      <w:sz w:val="21"/>
                      <w:szCs w:val="21"/>
                    </w:rPr>
                  </w:pPr>
                </w:p>
              </w:tc>
            </w:tr>
            <w:tr w14:paraId="117772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3" w:hRule="atLeast"/>
              </w:trPr>
              <w:tc>
                <w:tcPr>
                  <w:tcW w:w="694" w:type="dxa"/>
                  <w:tcBorders>
                    <w:tl2br w:val="nil"/>
                    <w:tr2bl w:val="nil"/>
                  </w:tcBorders>
                  <w:noWrap w:val="0"/>
                  <w:vAlign w:val="center"/>
                </w:tcPr>
                <w:p w14:paraId="5D654359">
                  <w:pPr>
                    <w:widowControl/>
                    <w:spacing w:line="240" w:lineRule="auto"/>
                    <w:jc w:val="center"/>
                    <w:rPr>
                      <w:rFonts w:hint="eastAsia" w:ascii="Times New Roman" w:hAnsi="Times New Roman" w:eastAsia="宋体" w:cs="Times New Roman"/>
                      <w:color w:val="000000"/>
                      <w:kern w:val="0"/>
                      <w:sz w:val="21"/>
                      <w:szCs w:val="21"/>
                      <w:lang w:val="en-US" w:eastAsia="zh-CN"/>
                    </w:rPr>
                  </w:pPr>
                  <w:r>
                    <w:rPr>
                      <w:rFonts w:hint="eastAsia" w:cs="Times New Roman"/>
                      <w:color w:val="000000"/>
                      <w:kern w:val="0"/>
                      <w:sz w:val="21"/>
                      <w:szCs w:val="21"/>
                      <w:lang w:val="en-US" w:eastAsia="zh-CN"/>
                    </w:rPr>
                    <w:t>8</w:t>
                  </w:r>
                </w:p>
              </w:tc>
              <w:tc>
                <w:tcPr>
                  <w:tcW w:w="1310" w:type="dxa"/>
                  <w:tcBorders>
                    <w:tl2br w:val="nil"/>
                    <w:tr2bl w:val="nil"/>
                  </w:tcBorders>
                  <w:noWrap w:val="0"/>
                  <w:vAlign w:val="center"/>
                </w:tcPr>
                <w:p w14:paraId="12B9AE7E">
                  <w:pPr>
                    <w:widowControl/>
                    <w:spacing w:line="240" w:lineRule="auto"/>
                    <w:jc w:val="center"/>
                    <w:rPr>
                      <w:rFonts w:hint="default" w:ascii="Times New Roman" w:hAnsi="Times New Roman" w:eastAsia="宋体" w:cs="Times New Roman"/>
                      <w:color w:val="000000"/>
                      <w:kern w:val="0"/>
                      <w:sz w:val="21"/>
                      <w:szCs w:val="21"/>
                    </w:rPr>
                  </w:pPr>
                  <w:r>
                    <w:rPr>
                      <w:rFonts w:hint="default" w:ascii="Times New Roman" w:hAnsi="Times New Roman" w:eastAsia="宋体" w:cs="Times New Roman"/>
                      <w:color w:val="000000"/>
                      <w:kern w:val="0"/>
                      <w:sz w:val="21"/>
                      <w:szCs w:val="21"/>
                    </w:rPr>
                    <w:t>生活垃圾</w:t>
                  </w:r>
                </w:p>
              </w:tc>
              <w:tc>
                <w:tcPr>
                  <w:tcW w:w="1430" w:type="dxa"/>
                  <w:tcBorders>
                    <w:tl2br w:val="nil"/>
                    <w:tr2bl w:val="nil"/>
                  </w:tcBorders>
                  <w:noWrap w:val="0"/>
                  <w:vAlign w:val="center"/>
                </w:tcPr>
                <w:p w14:paraId="26219441">
                  <w:pPr>
                    <w:widowControl/>
                    <w:spacing w:line="240" w:lineRule="auto"/>
                    <w:jc w:val="center"/>
                    <w:rPr>
                      <w:rFonts w:hint="default" w:ascii="Times New Roman" w:hAnsi="Times New Roman" w:eastAsia="宋体" w:cs="Times New Roman"/>
                      <w:color w:val="000000"/>
                      <w:kern w:val="0"/>
                      <w:sz w:val="21"/>
                      <w:szCs w:val="21"/>
                      <w:lang w:val="en-US" w:eastAsia="zh-CN"/>
                    </w:rPr>
                  </w:pPr>
                  <w:r>
                    <w:rPr>
                      <w:rFonts w:hint="eastAsia" w:cs="Times New Roman"/>
                      <w:color w:val="000000"/>
                      <w:kern w:val="0"/>
                      <w:sz w:val="21"/>
                      <w:szCs w:val="21"/>
                      <w:lang w:val="en-US" w:eastAsia="zh-CN"/>
                    </w:rPr>
                    <w:t>1.05</w:t>
                  </w:r>
                </w:p>
              </w:tc>
              <w:tc>
                <w:tcPr>
                  <w:tcW w:w="2250" w:type="dxa"/>
                  <w:tcBorders>
                    <w:tl2br w:val="nil"/>
                    <w:tr2bl w:val="nil"/>
                  </w:tcBorders>
                  <w:noWrap w:val="0"/>
                  <w:vAlign w:val="center"/>
                </w:tcPr>
                <w:p w14:paraId="47F89309">
                  <w:pPr>
                    <w:widowControl/>
                    <w:spacing w:line="240" w:lineRule="auto"/>
                    <w:jc w:val="center"/>
                    <w:rPr>
                      <w:rFonts w:hint="eastAsia" w:ascii="Times New Roman" w:hAnsi="Times New Roman" w:eastAsia="宋体" w:cs="Times New Roman"/>
                      <w:color w:val="000000"/>
                      <w:kern w:val="0"/>
                      <w:sz w:val="21"/>
                      <w:szCs w:val="21"/>
                      <w:lang w:val="en-US" w:eastAsia="zh-CN"/>
                    </w:rPr>
                  </w:pPr>
                  <w:r>
                    <w:rPr>
                      <w:rFonts w:hint="eastAsia" w:cs="Times New Roman"/>
                      <w:color w:val="000000"/>
                      <w:kern w:val="0"/>
                      <w:sz w:val="21"/>
                      <w:szCs w:val="21"/>
                      <w:lang w:val="en-US" w:eastAsia="zh-CN"/>
                    </w:rPr>
                    <w:t>/</w:t>
                  </w:r>
                </w:p>
              </w:tc>
              <w:tc>
                <w:tcPr>
                  <w:tcW w:w="2620" w:type="dxa"/>
                  <w:tcBorders>
                    <w:tl2br w:val="nil"/>
                    <w:tr2bl w:val="nil"/>
                  </w:tcBorders>
                  <w:noWrap w:val="0"/>
                  <w:vAlign w:val="center"/>
                </w:tcPr>
                <w:p w14:paraId="35515A0A">
                  <w:pPr>
                    <w:widowControl/>
                    <w:spacing w:line="240" w:lineRule="auto"/>
                    <w:jc w:val="both"/>
                    <w:rPr>
                      <w:rFonts w:hint="eastAsia" w:ascii="Times New Roman" w:hAnsi="Times New Roman" w:eastAsia="宋体" w:cs="Times New Roman"/>
                      <w:color w:val="000000"/>
                      <w:kern w:val="0"/>
                      <w:sz w:val="21"/>
                      <w:szCs w:val="21"/>
                      <w:lang w:eastAsia="zh-CN"/>
                    </w:rPr>
                  </w:pPr>
                  <w:r>
                    <w:rPr>
                      <w:rFonts w:hint="default" w:ascii="Times New Roman" w:hAnsi="Times New Roman" w:eastAsia="宋体" w:cs="Times New Roman"/>
                      <w:color w:val="000000"/>
                      <w:kern w:val="0"/>
                      <w:sz w:val="21"/>
                      <w:szCs w:val="21"/>
                    </w:rPr>
                    <w:t>存放垃圾桶，交由环卫部门统一清运</w:t>
                  </w:r>
                  <w:r>
                    <w:rPr>
                      <w:rFonts w:hint="eastAsia" w:cs="Times New Roman"/>
                      <w:color w:val="000000"/>
                      <w:kern w:val="0"/>
                      <w:sz w:val="21"/>
                      <w:szCs w:val="21"/>
                      <w:lang w:eastAsia="zh-CN"/>
                    </w:rPr>
                    <w:t>；</w:t>
                  </w:r>
                </w:p>
              </w:tc>
            </w:tr>
          </w:tbl>
          <w:p w14:paraId="641CB2D3">
            <w:pPr>
              <w:numPr>
                <w:ilvl w:val="0"/>
                <w:numId w:val="62"/>
              </w:numPr>
              <w:bidi w:val="0"/>
              <w:spacing w:line="360" w:lineRule="auto"/>
              <w:ind w:left="0" w:leftChars="0" w:firstLine="482" w:firstLineChars="200"/>
              <w:rPr>
                <w:rFonts w:hint="default" w:ascii="Times New Roman" w:hAnsi="Times New Roman" w:eastAsia="宋体" w:cs="Times New Roman"/>
                <w:b w:val="0"/>
                <w:bCs w:val="0"/>
                <w:sz w:val="24"/>
                <w:szCs w:val="24"/>
                <w:lang w:val="en-US" w:eastAsia="zh-CN"/>
              </w:rPr>
            </w:pPr>
            <w:r>
              <w:rPr>
                <w:rFonts w:hint="default" w:ascii="Times New Roman" w:hAnsi="Times New Roman" w:eastAsia="宋体" w:cs="Times New Roman"/>
                <w:b/>
                <w:bCs/>
                <w:sz w:val="24"/>
                <w:szCs w:val="24"/>
                <w:lang w:val="en-US" w:eastAsia="zh-CN"/>
              </w:rPr>
              <w:t>固体废物处置及可行性分析</w:t>
            </w:r>
          </w:p>
          <w:p w14:paraId="12A2730D">
            <w:pPr>
              <w:numPr>
                <w:ilvl w:val="0"/>
                <w:numId w:val="64"/>
              </w:numPr>
              <w:bidi w:val="0"/>
              <w:spacing w:line="360" w:lineRule="auto"/>
              <w:ind w:firstLine="480" w:firstLineChars="200"/>
              <w:rPr>
                <w:rFonts w:hint="default" w:ascii="Times New Roman" w:hAnsi="Times New Roman" w:eastAsia="宋体" w:cs="Times New Roman"/>
                <w:b w:val="0"/>
                <w:bCs w:val="0"/>
                <w:sz w:val="24"/>
                <w:szCs w:val="24"/>
                <w:lang w:val="en-US" w:eastAsia="zh-CN"/>
              </w:rPr>
            </w:pPr>
            <w:r>
              <w:rPr>
                <w:rFonts w:hint="default" w:ascii="Times New Roman" w:hAnsi="Times New Roman" w:eastAsia="宋体" w:cs="Times New Roman"/>
                <w:b w:val="0"/>
                <w:bCs w:val="0"/>
                <w:sz w:val="24"/>
                <w:szCs w:val="24"/>
                <w:lang w:val="en-US" w:eastAsia="zh-CN"/>
              </w:rPr>
              <w:t>一般工业固体废物</w:t>
            </w:r>
          </w:p>
          <w:p w14:paraId="3BF6AD4B">
            <w:pPr>
              <w:numPr>
                <w:ilvl w:val="0"/>
                <w:numId w:val="0"/>
              </w:numPr>
              <w:bidi w:val="0"/>
              <w:spacing w:line="360" w:lineRule="auto"/>
              <w:ind w:firstLine="480" w:firstLineChars="200"/>
              <w:rPr>
                <w:rFonts w:hint="default" w:ascii="Times New Roman" w:hAnsi="Times New Roman" w:eastAsia="宋体" w:cs="Times New Roman"/>
                <w:b w:val="0"/>
                <w:bCs w:val="0"/>
                <w:sz w:val="24"/>
                <w:szCs w:val="24"/>
                <w:lang w:val="en-US" w:eastAsia="zh-CN"/>
              </w:rPr>
            </w:pPr>
            <w:r>
              <w:rPr>
                <w:rFonts w:hint="default" w:ascii="Times New Roman" w:hAnsi="Times New Roman" w:eastAsia="宋体" w:cs="Times New Roman"/>
                <w:b w:val="0"/>
                <w:bCs w:val="0"/>
                <w:sz w:val="24"/>
                <w:szCs w:val="24"/>
                <w:lang w:val="en-US" w:eastAsia="zh-CN"/>
              </w:rPr>
              <w:t>本项目不自行处置固废，设置一间固体废物暂存间（</w:t>
            </w:r>
            <w:r>
              <w:rPr>
                <w:rFonts w:hint="eastAsia" w:cs="Times New Roman"/>
                <w:b w:val="0"/>
                <w:bCs w:val="0"/>
                <w:sz w:val="24"/>
                <w:szCs w:val="24"/>
                <w:lang w:val="en-US" w:eastAsia="zh-CN"/>
              </w:rPr>
              <w:t>5.0</w:t>
            </w:r>
            <w:r>
              <w:rPr>
                <w:rFonts w:hint="default" w:ascii="Times New Roman" w:hAnsi="Times New Roman" w:eastAsia="宋体" w:cs="Times New Roman"/>
                <w:b w:val="0"/>
                <w:bCs w:val="0"/>
                <w:sz w:val="24"/>
                <w:szCs w:val="24"/>
                <w:lang w:val="en-US" w:eastAsia="zh-CN"/>
              </w:rPr>
              <w:t>m</w:t>
            </w:r>
            <w:r>
              <w:rPr>
                <w:rFonts w:hint="default" w:ascii="Times New Roman" w:hAnsi="Times New Roman" w:eastAsia="宋体" w:cs="Times New Roman"/>
                <w:b w:val="0"/>
                <w:bCs w:val="0"/>
                <w:sz w:val="24"/>
                <w:szCs w:val="24"/>
                <w:vertAlign w:val="superscript"/>
                <w:lang w:val="en-US" w:eastAsia="zh-CN"/>
              </w:rPr>
              <w:t>3</w:t>
            </w:r>
            <w:r>
              <w:rPr>
                <w:rFonts w:hint="default" w:ascii="Times New Roman" w:hAnsi="Times New Roman" w:eastAsia="宋体" w:cs="Times New Roman"/>
                <w:b w:val="0"/>
                <w:bCs w:val="0"/>
                <w:sz w:val="24"/>
                <w:szCs w:val="24"/>
                <w:lang w:val="en-US" w:eastAsia="zh-CN"/>
              </w:rPr>
              <w:t>），对于需要在厂内暂存的一般工业固体废物，均由公司统一布置，在车间内的一般工业固体废物暂存区暂存并及时外运。建设单位应严格按照《一般工业固体废物贮存和填埋污染控制标准》（GB18599-2020）中的相关规定进行管理与设计。</w:t>
            </w:r>
          </w:p>
          <w:p w14:paraId="76559921">
            <w:pPr>
              <w:numPr>
                <w:ilvl w:val="0"/>
                <w:numId w:val="0"/>
              </w:numPr>
              <w:bidi w:val="0"/>
              <w:spacing w:line="360" w:lineRule="auto"/>
              <w:ind w:firstLine="480" w:firstLineChars="200"/>
              <w:rPr>
                <w:rFonts w:hint="default" w:ascii="Times New Roman" w:hAnsi="Times New Roman" w:eastAsia="宋体" w:cs="Times New Roman"/>
                <w:b w:val="0"/>
                <w:bCs w:val="0"/>
                <w:sz w:val="24"/>
                <w:szCs w:val="24"/>
                <w:lang w:val="en-US" w:eastAsia="zh-CN"/>
              </w:rPr>
            </w:pPr>
            <w:r>
              <w:rPr>
                <w:rFonts w:hint="default" w:ascii="Times New Roman" w:hAnsi="Times New Roman" w:eastAsia="宋体" w:cs="Times New Roman"/>
                <w:b w:val="0"/>
                <w:bCs w:val="0"/>
                <w:sz w:val="24"/>
                <w:szCs w:val="24"/>
                <w:lang w:val="en-US" w:eastAsia="zh-CN"/>
              </w:rPr>
              <w:t>综上所述，建设单位在严格执行并落实《一般工业固体废物贮存和填埋污染控制标准》（GB18599-2020）对一般工业固废暂存的要求后，一般工业固体废物不会对周围环境产生二次污染。</w:t>
            </w:r>
          </w:p>
          <w:p w14:paraId="61240715">
            <w:pPr>
              <w:numPr>
                <w:ilvl w:val="0"/>
                <w:numId w:val="64"/>
              </w:numPr>
              <w:bidi w:val="0"/>
              <w:spacing w:line="360" w:lineRule="auto"/>
              <w:ind w:left="0" w:leftChars="0" w:firstLine="482" w:firstLineChars="200"/>
              <w:rPr>
                <w:rFonts w:hint="default" w:ascii="Times New Roman" w:hAnsi="Times New Roman" w:eastAsia="宋体" w:cs="Times New Roman"/>
                <w:b/>
                <w:bCs/>
                <w:sz w:val="24"/>
                <w:szCs w:val="24"/>
                <w:lang w:val="en-US" w:eastAsia="zh-CN"/>
              </w:rPr>
            </w:pPr>
            <w:r>
              <w:rPr>
                <w:rFonts w:hint="default" w:ascii="Times New Roman" w:hAnsi="Times New Roman" w:eastAsia="宋体" w:cs="Times New Roman"/>
                <w:b/>
                <w:bCs/>
                <w:sz w:val="24"/>
                <w:szCs w:val="24"/>
                <w:lang w:val="en-US" w:eastAsia="zh-CN"/>
              </w:rPr>
              <w:t>危险废物</w:t>
            </w:r>
          </w:p>
          <w:p w14:paraId="66602231">
            <w:pPr>
              <w:numPr>
                <w:ilvl w:val="0"/>
                <w:numId w:val="0"/>
              </w:numPr>
              <w:bidi w:val="0"/>
              <w:spacing w:line="360" w:lineRule="auto"/>
              <w:ind w:firstLine="480" w:firstLineChars="200"/>
              <w:rPr>
                <w:rFonts w:hint="default" w:ascii="Times New Roman" w:hAnsi="Times New Roman" w:eastAsia="宋体" w:cs="Times New Roman"/>
                <w:b w:val="0"/>
                <w:bCs w:val="0"/>
                <w:sz w:val="24"/>
                <w:szCs w:val="24"/>
                <w:lang w:val="en-US" w:eastAsia="zh-CN"/>
              </w:rPr>
            </w:pPr>
            <w:r>
              <w:rPr>
                <w:rFonts w:hint="default" w:ascii="Times New Roman" w:hAnsi="Times New Roman" w:eastAsia="宋体" w:cs="Times New Roman"/>
                <w:b w:val="0"/>
                <w:bCs w:val="0"/>
                <w:sz w:val="24"/>
                <w:szCs w:val="24"/>
                <w:lang w:val="en-US" w:eastAsia="zh-CN"/>
              </w:rPr>
              <w:t>①危险废物基本情况</w:t>
            </w:r>
          </w:p>
          <w:p w14:paraId="0BB402AB">
            <w:pPr>
              <w:numPr>
                <w:ilvl w:val="0"/>
                <w:numId w:val="0"/>
              </w:numPr>
              <w:bidi w:val="0"/>
              <w:spacing w:line="360" w:lineRule="auto"/>
              <w:ind w:firstLine="480" w:firstLineChars="200"/>
              <w:rPr>
                <w:rFonts w:hint="default" w:ascii="Times New Roman" w:hAnsi="Times New Roman" w:eastAsia="宋体" w:cs="Times New Roman"/>
                <w:b w:val="0"/>
                <w:bCs w:val="0"/>
                <w:sz w:val="24"/>
                <w:szCs w:val="24"/>
                <w:lang w:val="en-US" w:eastAsia="zh-CN"/>
              </w:rPr>
            </w:pPr>
            <w:r>
              <w:rPr>
                <w:rFonts w:hint="default" w:ascii="Times New Roman" w:hAnsi="Times New Roman" w:eastAsia="宋体" w:cs="Times New Roman"/>
                <w:b w:val="0"/>
                <w:bCs w:val="0"/>
                <w:sz w:val="24"/>
                <w:szCs w:val="24"/>
                <w:lang w:val="en-US" w:eastAsia="zh-CN"/>
              </w:rPr>
              <w:t>根据《建设项目危险废物环境影响评价指南》要求，本评价明确危险废物的名称、数量、形态、类别、危险特性和污染防治措施等内容，本项目危险废物基本情况见下表。</w:t>
            </w:r>
          </w:p>
          <w:p w14:paraId="7F6C5DD5">
            <w:pPr>
              <w:numPr>
                <w:ilvl w:val="0"/>
                <w:numId w:val="0"/>
              </w:numPr>
              <w:bidi w:val="0"/>
              <w:spacing w:line="36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lang w:val="en-US" w:eastAsia="zh-CN"/>
              </w:rPr>
              <w:t>表4</w:t>
            </w:r>
            <w:r>
              <w:rPr>
                <w:rFonts w:hint="eastAsia" w:cs="Times New Roman"/>
                <w:b/>
                <w:bCs/>
                <w:sz w:val="21"/>
                <w:szCs w:val="21"/>
                <w:lang w:val="en-US" w:eastAsia="zh-CN"/>
              </w:rPr>
              <w:t xml:space="preserve">-17 </w:t>
            </w:r>
            <w:r>
              <w:rPr>
                <w:rFonts w:hint="default" w:ascii="Times New Roman" w:hAnsi="Times New Roman" w:eastAsia="宋体" w:cs="Times New Roman"/>
                <w:b/>
                <w:bCs/>
                <w:sz w:val="21"/>
                <w:szCs w:val="21"/>
                <w:lang w:val="en-US" w:eastAsia="zh-CN"/>
              </w:rPr>
              <w:t>危险废物基本情况汇总表</w:t>
            </w:r>
          </w:p>
          <w:tbl>
            <w:tblPr>
              <w:tblStyle w:val="28"/>
              <w:tblW w:w="832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14"/>
              <w:gridCol w:w="1140"/>
              <w:gridCol w:w="1060"/>
              <w:gridCol w:w="1070"/>
              <w:gridCol w:w="1179"/>
              <w:gridCol w:w="1179"/>
              <w:gridCol w:w="1181"/>
            </w:tblGrid>
            <w:tr w14:paraId="326F39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14" w:type="dxa"/>
                  <w:vAlign w:val="center"/>
                </w:tcPr>
                <w:p w14:paraId="33D7C2EA">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vertAlign w:val="baseline"/>
                      <w:lang w:val="en-US" w:eastAsia="zh-CN"/>
                    </w:rPr>
                    <w:t>危险废物名称</w:t>
                  </w:r>
                </w:p>
              </w:tc>
              <w:tc>
                <w:tcPr>
                  <w:tcW w:w="1140" w:type="dxa"/>
                  <w:vAlign w:val="center"/>
                </w:tcPr>
                <w:p w14:paraId="40B8E84F">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18"/>
                      <w:szCs w:val="18"/>
                      <w:vertAlign w:val="baseline"/>
                      <w:lang w:val="en-US" w:eastAsia="zh-CN"/>
                    </w:rPr>
                    <w:t>废棉纱手套</w:t>
                  </w:r>
                </w:p>
              </w:tc>
              <w:tc>
                <w:tcPr>
                  <w:tcW w:w="1060" w:type="dxa"/>
                  <w:vAlign w:val="center"/>
                </w:tcPr>
                <w:p w14:paraId="137D35D2">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vertAlign w:val="baseline"/>
                      <w:lang w:val="en-US" w:eastAsia="zh-CN"/>
                    </w:rPr>
                    <w:t>废试剂瓶</w:t>
                  </w:r>
                </w:p>
              </w:tc>
              <w:tc>
                <w:tcPr>
                  <w:tcW w:w="1070" w:type="dxa"/>
                  <w:vAlign w:val="center"/>
                </w:tcPr>
                <w:p w14:paraId="0A2A3168">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vertAlign w:val="baseline"/>
                      <w:lang w:val="en-US" w:eastAsia="zh-CN"/>
                    </w:rPr>
                    <w:t>实验废液</w:t>
                  </w:r>
                </w:p>
              </w:tc>
              <w:tc>
                <w:tcPr>
                  <w:tcW w:w="1179" w:type="dxa"/>
                  <w:vAlign w:val="center"/>
                </w:tcPr>
                <w:p w14:paraId="10820416">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vertAlign w:val="baseline"/>
                      <w:lang w:val="en-US" w:eastAsia="zh-CN"/>
                    </w:rPr>
                    <w:t>废活性炭</w:t>
                  </w:r>
                </w:p>
              </w:tc>
              <w:tc>
                <w:tcPr>
                  <w:tcW w:w="1179" w:type="dxa"/>
                  <w:vAlign w:val="center"/>
                </w:tcPr>
                <w:p w14:paraId="0AB792C0">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vertAlign w:val="baseline"/>
                      <w:lang w:val="en-US" w:eastAsia="zh-CN"/>
                    </w:rPr>
                    <w:t>油泥</w:t>
                  </w:r>
                </w:p>
              </w:tc>
              <w:tc>
                <w:tcPr>
                  <w:tcW w:w="1181" w:type="dxa"/>
                  <w:vAlign w:val="center"/>
                </w:tcPr>
                <w:p w14:paraId="13B27E8E">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vertAlign w:val="baseline"/>
                      <w:lang w:val="en-US" w:eastAsia="zh-CN"/>
                    </w:rPr>
                    <w:t>废油桶</w:t>
                  </w:r>
                </w:p>
              </w:tc>
            </w:tr>
            <w:tr w14:paraId="501299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14" w:type="dxa"/>
                  <w:vAlign w:val="center"/>
                </w:tcPr>
                <w:p w14:paraId="7639C0BB">
                  <w:pPr>
                    <w:numPr>
                      <w:ilvl w:val="0"/>
                      <w:numId w:val="0"/>
                    </w:numPr>
                    <w:bidi w:val="0"/>
                    <w:spacing w:line="240" w:lineRule="auto"/>
                    <w:jc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b w:val="0"/>
                      <w:bCs w:val="0"/>
                      <w:sz w:val="21"/>
                      <w:szCs w:val="21"/>
                      <w:vertAlign w:val="baseline"/>
                      <w:lang w:val="en-US" w:eastAsia="zh-CN"/>
                    </w:rPr>
                    <w:t>危险废物类别</w:t>
                  </w:r>
                </w:p>
              </w:tc>
              <w:tc>
                <w:tcPr>
                  <w:tcW w:w="1140" w:type="dxa"/>
                  <w:vAlign w:val="center"/>
                </w:tcPr>
                <w:p w14:paraId="6CEAAD0D">
                  <w:pPr>
                    <w:numPr>
                      <w:ilvl w:val="0"/>
                      <w:numId w:val="0"/>
                    </w:numPr>
                    <w:bidi w:val="0"/>
                    <w:spacing w:line="240" w:lineRule="auto"/>
                    <w:jc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b w:val="0"/>
                      <w:bCs w:val="0"/>
                      <w:sz w:val="21"/>
                      <w:szCs w:val="21"/>
                      <w:vertAlign w:val="baseline"/>
                      <w:lang w:val="en-US" w:eastAsia="zh-CN"/>
                    </w:rPr>
                    <w:t>HW49</w:t>
                  </w:r>
                </w:p>
              </w:tc>
              <w:tc>
                <w:tcPr>
                  <w:tcW w:w="1060" w:type="dxa"/>
                  <w:vAlign w:val="center"/>
                </w:tcPr>
                <w:p w14:paraId="48150313">
                  <w:pPr>
                    <w:numPr>
                      <w:ilvl w:val="0"/>
                      <w:numId w:val="0"/>
                    </w:numPr>
                    <w:bidi w:val="0"/>
                    <w:spacing w:line="240" w:lineRule="auto"/>
                    <w:jc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b w:val="0"/>
                      <w:bCs w:val="0"/>
                      <w:sz w:val="21"/>
                      <w:szCs w:val="21"/>
                      <w:vertAlign w:val="baseline"/>
                      <w:lang w:val="en-US" w:eastAsia="zh-CN"/>
                    </w:rPr>
                    <w:t>HW49</w:t>
                  </w:r>
                </w:p>
              </w:tc>
              <w:tc>
                <w:tcPr>
                  <w:tcW w:w="1070" w:type="dxa"/>
                  <w:vAlign w:val="center"/>
                </w:tcPr>
                <w:p w14:paraId="777E8A6F">
                  <w:pPr>
                    <w:numPr>
                      <w:ilvl w:val="0"/>
                      <w:numId w:val="0"/>
                    </w:numPr>
                    <w:bidi w:val="0"/>
                    <w:spacing w:line="240" w:lineRule="auto"/>
                    <w:jc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b w:val="0"/>
                      <w:bCs w:val="0"/>
                      <w:sz w:val="21"/>
                      <w:szCs w:val="21"/>
                      <w:vertAlign w:val="baseline"/>
                      <w:lang w:val="en-US" w:eastAsia="zh-CN"/>
                    </w:rPr>
                    <w:t>HW49</w:t>
                  </w:r>
                </w:p>
              </w:tc>
              <w:tc>
                <w:tcPr>
                  <w:tcW w:w="1179" w:type="dxa"/>
                  <w:vAlign w:val="center"/>
                </w:tcPr>
                <w:p w14:paraId="3BB2B0EB">
                  <w:pPr>
                    <w:numPr>
                      <w:ilvl w:val="0"/>
                      <w:numId w:val="0"/>
                    </w:numPr>
                    <w:bidi w:val="0"/>
                    <w:spacing w:line="240" w:lineRule="auto"/>
                    <w:jc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b w:val="0"/>
                      <w:bCs w:val="0"/>
                      <w:sz w:val="21"/>
                      <w:szCs w:val="21"/>
                      <w:vertAlign w:val="baseline"/>
                      <w:lang w:val="en-US" w:eastAsia="zh-CN"/>
                    </w:rPr>
                    <w:t>HW49</w:t>
                  </w:r>
                </w:p>
              </w:tc>
              <w:tc>
                <w:tcPr>
                  <w:tcW w:w="1179" w:type="dxa"/>
                  <w:vAlign w:val="center"/>
                </w:tcPr>
                <w:p w14:paraId="454F5380">
                  <w:pPr>
                    <w:numPr>
                      <w:ilvl w:val="0"/>
                      <w:numId w:val="0"/>
                    </w:numPr>
                    <w:bidi w:val="0"/>
                    <w:spacing w:line="240" w:lineRule="auto"/>
                    <w:jc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b w:val="0"/>
                      <w:bCs w:val="0"/>
                      <w:sz w:val="21"/>
                      <w:szCs w:val="21"/>
                      <w:vertAlign w:val="baseline"/>
                      <w:lang w:val="en-US" w:eastAsia="zh-CN"/>
                    </w:rPr>
                    <w:t>HW08</w:t>
                  </w:r>
                </w:p>
              </w:tc>
              <w:tc>
                <w:tcPr>
                  <w:tcW w:w="1181" w:type="dxa"/>
                  <w:vAlign w:val="center"/>
                </w:tcPr>
                <w:p w14:paraId="59060308">
                  <w:pPr>
                    <w:numPr>
                      <w:ilvl w:val="0"/>
                      <w:numId w:val="0"/>
                    </w:numPr>
                    <w:bidi w:val="0"/>
                    <w:spacing w:line="240" w:lineRule="auto"/>
                    <w:jc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b w:val="0"/>
                      <w:bCs w:val="0"/>
                      <w:sz w:val="21"/>
                      <w:szCs w:val="21"/>
                      <w:vertAlign w:val="baseline"/>
                      <w:lang w:val="en-US" w:eastAsia="zh-CN"/>
                    </w:rPr>
                    <w:t>HW08</w:t>
                  </w:r>
                </w:p>
              </w:tc>
            </w:tr>
            <w:tr w14:paraId="087C25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14" w:type="dxa"/>
                  <w:vAlign w:val="center"/>
                </w:tcPr>
                <w:p w14:paraId="31E1C701">
                  <w:pPr>
                    <w:numPr>
                      <w:ilvl w:val="0"/>
                      <w:numId w:val="0"/>
                    </w:numPr>
                    <w:bidi w:val="0"/>
                    <w:spacing w:line="240" w:lineRule="auto"/>
                    <w:jc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b w:val="0"/>
                      <w:bCs w:val="0"/>
                      <w:sz w:val="21"/>
                      <w:szCs w:val="21"/>
                      <w:vertAlign w:val="baseline"/>
                      <w:lang w:val="en-US" w:eastAsia="zh-CN"/>
                    </w:rPr>
                    <w:t>危险废物代码</w:t>
                  </w:r>
                </w:p>
              </w:tc>
              <w:tc>
                <w:tcPr>
                  <w:tcW w:w="1140" w:type="dxa"/>
                  <w:vAlign w:val="center"/>
                </w:tcPr>
                <w:p w14:paraId="3231D764">
                  <w:pPr>
                    <w:numPr>
                      <w:ilvl w:val="0"/>
                      <w:numId w:val="0"/>
                    </w:numPr>
                    <w:bidi w:val="0"/>
                    <w:spacing w:line="240" w:lineRule="auto"/>
                    <w:jc w:val="center"/>
                    <w:rPr>
                      <w:rFonts w:hint="default" w:ascii="Times New Roman" w:hAnsi="Times New Roman" w:eastAsia="宋体" w:cs="Times New Roman"/>
                      <w:b w:val="0"/>
                      <w:bCs w:val="0"/>
                      <w:sz w:val="18"/>
                      <w:szCs w:val="18"/>
                      <w:vertAlign w:val="baseline"/>
                      <w:lang w:val="en-US" w:eastAsia="zh-CN"/>
                    </w:rPr>
                  </w:pPr>
                  <w:r>
                    <w:rPr>
                      <w:rFonts w:hint="default" w:ascii="Times New Roman" w:hAnsi="Times New Roman" w:eastAsia="宋体" w:cs="Times New Roman"/>
                      <w:b w:val="0"/>
                      <w:bCs w:val="0"/>
                      <w:sz w:val="18"/>
                      <w:szCs w:val="18"/>
                      <w:vertAlign w:val="baseline"/>
                      <w:lang w:val="en-US" w:eastAsia="zh-CN"/>
                    </w:rPr>
                    <w:t>900-041-49</w:t>
                  </w:r>
                </w:p>
              </w:tc>
              <w:tc>
                <w:tcPr>
                  <w:tcW w:w="1060" w:type="dxa"/>
                  <w:vAlign w:val="center"/>
                </w:tcPr>
                <w:p w14:paraId="0E5FF9FF">
                  <w:pPr>
                    <w:numPr>
                      <w:ilvl w:val="0"/>
                      <w:numId w:val="0"/>
                    </w:numPr>
                    <w:bidi w:val="0"/>
                    <w:spacing w:line="240" w:lineRule="auto"/>
                    <w:jc w:val="center"/>
                    <w:rPr>
                      <w:rFonts w:hint="default" w:ascii="Times New Roman" w:hAnsi="Times New Roman" w:eastAsia="宋体" w:cs="Times New Roman"/>
                      <w:b w:val="0"/>
                      <w:bCs w:val="0"/>
                      <w:sz w:val="18"/>
                      <w:szCs w:val="18"/>
                      <w:vertAlign w:val="baseline"/>
                      <w:lang w:val="en-US" w:eastAsia="zh-CN"/>
                    </w:rPr>
                  </w:pPr>
                  <w:r>
                    <w:rPr>
                      <w:rFonts w:hint="default" w:ascii="Times New Roman" w:hAnsi="Times New Roman" w:eastAsia="宋体" w:cs="Times New Roman"/>
                      <w:b w:val="0"/>
                      <w:bCs w:val="0"/>
                      <w:sz w:val="18"/>
                      <w:szCs w:val="18"/>
                      <w:vertAlign w:val="baseline"/>
                      <w:lang w:val="en-US" w:eastAsia="zh-CN"/>
                    </w:rPr>
                    <w:t>900-041-49</w:t>
                  </w:r>
                </w:p>
              </w:tc>
              <w:tc>
                <w:tcPr>
                  <w:tcW w:w="1070" w:type="dxa"/>
                  <w:vAlign w:val="center"/>
                </w:tcPr>
                <w:p w14:paraId="530B7AAB">
                  <w:pPr>
                    <w:numPr>
                      <w:ilvl w:val="0"/>
                      <w:numId w:val="0"/>
                    </w:numPr>
                    <w:bidi w:val="0"/>
                    <w:spacing w:line="240" w:lineRule="auto"/>
                    <w:jc w:val="center"/>
                    <w:rPr>
                      <w:rFonts w:hint="default" w:ascii="Times New Roman" w:hAnsi="Times New Roman" w:eastAsia="宋体" w:cs="Times New Roman"/>
                      <w:b w:val="0"/>
                      <w:bCs w:val="0"/>
                      <w:sz w:val="18"/>
                      <w:szCs w:val="18"/>
                      <w:vertAlign w:val="baseline"/>
                      <w:lang w:val="en-US" w:eastAsia="zh-CN"/>
                    </w:rPr>
                  </w:pPr>
                  <w:r>
                    <w:rPr>
                      <w:rFonts w:hint="default" w:ascii="Times New Roman" w:hAnsi="Times New Roman" w:eastAsia="宋体" w:cs="Times New Roman"/>
                      <w:b w:val="0"/>
                      <w:bCs w:val="0"/>
                      <w:sz w:val="18"/>
                      <w:szCs w:val="18"/>
                      <w:vertAlign w:val="baseline"/>
                      <w:lang w:val="en-US" w:eastAsia="zh-CN"/>
                    </w:rPr>
                    <w:t>900-041-49</w:t>
                  </w:r>
                </w:p>
              </w:tc>
              <w:tc>
                <w:tcPr>
                  <w:tcW w:w="1179" w:type="dxa"/>
                  <w:vAlign w:val="center"/>
                </w:tcPr>
                <w:p w14:paraId="4724697E">
                  <w:pPr>
                    <w:numPr>
                      <w:ilvl w:val="0"/>
                      <w:numId w:val="0"/>
                    </w:numPr>
                    <w:bidi w:val="0"/>
                    <w:spacing w:line="240" w:lineRule="auto"/>
                    <w:jc w:val="center"/>
                    <w:rPr>
                      <w:rFonts w:hint="default" w:ascii="Times New Roman" w:hAnsi="Times New Roman" w:eastAsia="宋体" w:cs="Times New Roman"/>
                      <w:b w:val="0"/>
                      <w:bCs w:val="0"/>
                      <w:sz w:val="18"/>
                      <w:szCs w:val="18"/>
                      <w:vertAlign w:val="baseline"/>
                      <w:lang w:val="en-US" w:eastAsia="zh-CN"/>
                    </w:rPr>
                  </w:pPr>
                  <w:r>
                    <w:rPr>
                      <w:rFonts w:hint="default" w:ascii="Times New Roman" w:hAnsi="Times New Roman" w:eastAsia="宋体" w:cs="Times New Roman"/>
                      <w:b w:val="0"/>
                      <w:bCs w:val="0"/>
                      <w:sz w:val="18"/>
                      <w:szCs w:val="18"/>
                      <w:vertAlign w:val="baseline"/>
                      <w:lang w:val="en-US" w:eastAsia="zh-CN"/>
                    </w:rPr>
                    <w:t>900-039-49</w:t>
                  </w:r>
                </w:p>
              </w:tc>
              <w:tc>
                <w:tcPr>
                  <w:tcW w:w="1179" w:type="dxa"/>
                  <w:vAlign w:val="center"/>
                </w:tcPr>
                <w:p w14:paraId="7F0C897B">
                  <w:pPr>
                    <w:numPr>
                      <w:ilvl w:val="0"/>
                      <w:numId w:val="0"/>
                    </w:numPr>
                    <w:bidi w:val="0"/>
                    <w:spacing w:line="240" w:lineRule="auto"/>
                    <w:jc w:val="center"/>
                    <w:rPr>
                      <w:rFonts w:hint="default" w:ascii="Times New Roman" w:hAnsi="Times New Roman" w:eastAsia="宋体" w:cs="Times New Roman"/>
                      <w:b w:val="0"/>
                      <w:bCs w:val="0"/>
                      <w:sz w:val="18"/>
                      <w:szCs w:val="18"/>
                      <w:vertAlign w:val="baseline"/>
                      <w:lang w:val="en-US" w:eastAsia="zh-CN"/>
                    </w:rPr>
                  </w:pPr>
                  <w:r>
                    <w:rPr>
                      <w:rFonts w:hint="default" w:ascii="Times New Roman" w:hAnsi="Times New Roman" w:eastAsia="宋体" w:cs="Times New Roman"/>
                      <w:b w:val="0"/>
                      <w:bCs w:val="0"/>
                      <w:sz w:val="18"/>
                      <w:szCs w:val="18"/>
                      <w:vertAlign w:val="baseline"/>
                      <w:lang w:val="en-US" w:eastAsia="zh-CN"/>
                    </w:rPr>
                    <w:t>900-221-08</w:t>
                  </w:r>
                </w:p>
              </w:tc>
              <w:tc>
                <w:tcPr>
                  <w:tcW w:w="1181" w:type="dxa"/>
                  <w:vAlign w:val="center"/>
                </w:tcPr>
                <w:p w14:paraId="4483683B">
                  <w:pPr>
                    <w:numPr>
                      <w:ilvl w:val="0"/>
                      <w:numId w:val="0"/>
                    </w:numPr>
                    <w:bidi w:val="0"/>
                    <w:spacing w:line="240" w:lineRule="auto"/>
                    <w:jc w:val="center"/>
                    <w:rPr>
                      <w:rFonts w:hint="default" w:ascii="Times New Roman" w:hAnsi="Times New Roman" w:eastAsia="宋体" w:cs="Times New Roman"/>
                      <w:b w:val="0"/>
                      <w:bCs w:val="0"/>
                      <w:sz w:val="18"/>
                      <w:szCs w:val="18"/>
                      <w:vertAlign w:val="baseline"/>
                      <w:lang w:val="en-US" w:eastAsia="zh-CN"/>
                    </w:rPr>
                  </w:pPr>
                  <w:r>
                    <w:rPr>
                      <w:rFonts w:hint="default" w:ascii="Times New Roman" w:hAnsi="Times New Roman" w:eastAsia="宋体" w:cs="Times New Roman"/>
                      <w:b w:val="0"/>
                      <w:bCs w:val="0"/>
                      <w:sz w:val="18"/>
                      <w:szCs w:val="18"/>
                      <w:vertAlign w:val="baseline"/>
                      <w:lang w:val="en-US" w:eastAsia="zh-CN"/>
                    </w:rPr>
                    <w:t>900-249-08</w:t>
                  </w:r>
                </w:p>
              </w:tc>
            </w:tr>
            <w:tr w14:paraId="4BE2EE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14" w:type="dxa"/>
                  <w:vAlign w:val="center"/>
                </w:tcPr>
                <w:p w14:paraId="2D7428C0">
                  <w:pPr>
                    <w:numPr>
                      <w:ilvl w:val="0"/>
                      <w:numId w:val="0"/>
                    </w:numPr>
                    <w:bidi w:val="0"/>
                    <w:spacing w:line="240" w:lineRule="auto"/>
                    <w:jc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b w:val="0"/>
                      <w:bCs w:val="0"/>
                      <w:sz w:val="21"/>
                      <w:szCs w:val="21"/>
                      <w:vertAlign w:val="baseline"/>
                      <w:lang w:val="en-US" w:eastAsia="zh-CN"/>
                    </w:rPr>
                    <w:t>产生量（t/a）</w:t>
                  </w:r>
                </w:p>
              </w:tc>
              <w:tc>
                <w:tcPr>
                  <w:tcW w:w="1140" w:type="dxa"/>
                  <w:vAlign w:val="center"/>
                </w:tcPr>
                <w:p w14:paraId="4731D3C5">
                  <w:pPr>
                    <w:numPr>
                      <w:ilvl w:val="0"/>
                      <w:numId w:val="0"/>
                    </w:numPr>
                    <w:bidi w:val="0"/>
                    <w:spacing w:line="240" w:lineRule="auto"/>
                    <w:jc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b w:val="0"/>
                      <w:bCs w:val="0"/>
                      <w:sz w:val="21"/>
                      <w:szCs w:val="21"/>
                      <w:vertAlign w:val="baseline"/>
                      <w:lang w:val="en-US" w:eastAsia="zh-CN"/>
                    </w:rPr>
                    <w:t>0.02</w:t>
                  </w:r>
                </w:p>
              </w:tc>
              <w:tc>
                <w:tcPr>
                  <w:tcW w:w="1060" w:type="dxa"/>
                  <w:vAlign w:val="center"/>
                </w:tcPr>
                <w:p w14:paraId="1567A270">
                  <w:pPr>
                    <w:numPr>
                      <w:ilvl w:val="0"/>
                      <w:numId w:val="0"/>
                    </w:numPr>
                    <w:bidi w:val="0"/>
                    <w:spacing w:line="240" w:lineRule="auto"/>
                    <w:jc w:val="center"/>
                    <w:rPr>
                      <w:rFonts w:hint="default" w:ascii="Times New Roman" w:hAnsi="Times New Roman" w:eastAsia="宋体" w:cs="Times New Roman"/>
                      <w:b w:val="0"/>
                      <w:bCs w:val="0"/>
                      <w:sz w:val="21"/>
                      <w:szCs w:val="21"/>
                      <w:vertAlign w:val="baseline"/>
                      <w:lang w:val="en-US" w:eastAsia="zh-CN"/>
                    </w:rPr>
                  </w:pPr>
                  <w:r>
                    <w:rPr>
                      <w:rFonts w:hint="eastAsia" w:cs="Times New Roman"/>
                      <w:b w:val="0"/>
                      <w:bCs w:val="0"/>
                      <w:sz w:val="21"/>
                      <w:szCs w:val="21"/>
                      <w:vertAlign w:val="baseline"/>
                      <w:lang w:val="en-US" w:eastAsia="zh-CN"/>
                    </w:rPr>
                    <w:t>0.02</w:t>
                  </w:r>
                </w:p>
              </w:tc>
              <w:tc>
                <w:tcPr>
                  <w:tcW w:w="1070" w:type="dxa"/>
                  <w:vAlign w:val="center"/>
                </w:tcPr>
                <w:p w14:paraId="7A53795B">
                  <w:pPr>
                    <w:numPr>
                      <w:ilvl w:val="0"/>
                      <w:numId w:val="0"/>
                    </w:numPr>
                    <w:bidi w:val="0"/>
                    <w:spacing w:line="240" w:lineRule="auto"/>
                    <w:jc w:val="center"/>
                    <w:rPr>
                      <w:rFonts w:hint="default" w:ascii="Times New Roman" w:hAnsi="Times New Roman" w:eastAsia="宋体" w:cs="Times New Roman"/>
                      <w:b w:val="0"/>
                      <w:bCs w:val="0"/>
                      <w:sz w:val="21"/>
                      <w:szCs w:val="21"/>
                      <w:vertAlign w:val="baseline"/>
                      <w:lang w:val="en-US" w:eastAsia="zh-CN"/>
                    </w:rPr>
                  </w:pPr>
                  <w:r>
                    <w:rPr>
                      <w:rFonts w:hint="eastAsia" w:cs="Times New Roman"/>
                      <w:b w:val="0"/>
                      <w:bCs w:val="0"/>
                      <w:sz w:val="21"/>
                      <w:szCs w:val="21"/>
                      <w:vertAlign w:val="baseline"/>
                      <w:lang w:val="en-US" w:eastAsia="zh-CN"/>
                    </w:rPr>
                    <w:t>3.65</w:t>
                  </w:r>
                </w:p>
              </w:tc>
              <w:tc>
                <w:tcPr>
                  <w:tcW w:w="1179" w:type="dxa"/>
                  <w:vAlign w:val="center"/>
                </w:tcPr>
                <w:p w14:paraId="24AC5ABA">
                  <w:pPr>
                    <w:numPr>
                      <w:ilvl w:val="0"/>
                      <w:numId w:val="0"/>
                    </w:numPr>
                    <w:bidi w:val="0"/>
                    <w:spacing w:line="240" w:lineRule="auto"/>
                    <w:jc w:val="center"/>
                    <w:rPr>
                      <w:rFonts w:hint="default" w:ascii="Times New Roman" w:hAnsi="Times New Roman" w:eastAsia="宋体" w:cs="Times New Roman"/>
                      <w:b w:val="0"/>
                      <w:bCs w:val="0"/>
                      <w:sz w:val="21"/>
                      <w:szCs w:val="21"/>
                      <w:vertAlign w:val="baseline"/>
                      <w:lang w:val="en-US" w:eastAsia="zh-CN"/>
                    </w:rPr>
                  </w:pPr>
                  <w:r>
                    <w:rPr>
                      <w:rFonts w:hint="eastAsia" w:cs="Times New Roman"/>
                      <w:b w:val="0"/>
                      <w:bCs w:val="0"/>
                      <w:sz w:val="21"/>
                      <w:szCs w:val="21"/>
                      <w:vertAlign w:val="baseline"/>
                      <w:lang w:val="en-US" w:eastAsia="zh-CN"/>
                    </w:rPr>
                    <w:t>0.56</w:t>
                  </w:r>
                </w:p>
              </w:tc>
              <w:tc>
                <w:tcPr>
                  <w:tcW w:w="1179" w:type="dxa"/>
                  <w:vAlign w:val="center"/>
                </w:tcPr>
                <w:p w14:paraId="54818161">
                  <w:pPr>
                    <w:numPr>
                      <w:ilvl w:val="0"/>
                      <w:numId w:val="0"/>
                    </w:numPr>
                    <w:bidi w:val="0"/>
                    <w:spacing w:line="240" w:lineRule="auto"/>
                    <w:jc w:val="center"/>
                    <w:rPr>
                      <w:rFonts w:hint="default" w:ascii="Times New Roman" w:hAnsi="Times New Roman" w:eastAsia="宋体" w:cs="Times New Roman"/>
                      <w:b w:val="0"/>
                      <w:bCs w:val="0"/>
                      <w:sz w:val="21"/>
                      <w:szCs w:val="21"/>
                      <w:vertAlign w:val="baseline"/>
                      <w:lang w:val="en-US" w:eastAsia="zh-CN"/>
                    </w:rPr>
                  </w:pPr>
                  <w:r>
                    <w:rPr>
                      <w:rFonts w:hint="eastAsia" w:cs="Times New Roman"/>
                      <w:b w:val="0"/>
                      <w:bCs w:val="0"/>
                      <w:sz w:val="21"/>
                      <w:szCs w:val="21"/>
                      <w:vertAlign w:val="baseline"/>
                      <w:lang w:val="en-US" w:eastAsia="zh-CN"/>
                    </w:rPr>
                    <w:t>0.</w:t>
                  </w:r>
                  <w:r>
                    <w:rPr>
                      <w:rFonts w:hint="default" w:ascii="Times New Roman" w:hAnsi="Times New Roman" w:eastAsia="宋体" w:cs="Times New Roman"/>
                      <w:b w:val="0"/>
                      <w:bCs w:val="0"/>
                      <w:sz w:val="21"/>
                      <w:szCs w:val="21"/>
                      <w:vertAlign w:val="baseline"/>
                      <w:lang w:val="en-US" w:eastAsia="zh-CN"/>
                    </w:rPr>
                    <w:t>3</w:t>
                  </w:r>
                </w:p>
              </w:tc>
              <w:tc>
                <w:tcPr>
                  <w:tcW w:w="1181" w:type="dxa"/>
                  <w:vAlign w:val="center"/>
                </w:tcPr>
                <w:p w14:paraId="0333C7FF">
                  <w:pPr>
                    <w:numPr>
                      <w:ilvl w:val="0"/>
                      <w:numId w:val="0"/>
                    </w:numPr>
                    <w:bidi w:val="0"/>
                    <w:spacing w:line="240" w:lineRule="auto"/>
                    <w:jc w:val="center"/>
                    <w:rPr>
                      <w:rFonts w:hint="default" w:ascii="Times New Roman" w:hAnsi="Times New Roman" w:eastAsia="宋体" w:cs="Times New Roman"/>
                      <w:b w:val="0"/>
                      <w:bCs w:val="0"/>
                      <w:sz w:val="21"/>
                      <w:szCs w:val="21"/>
                      <w:vertAlign w:val="baseline"/>
                      <w:lang w:val="en-US" w:eastAsia="zh-CN"/>
                    </w:rPr>
                  </w:pPr>
                  <w:r>
                    <w:rPr>
                      <w:rFonts w:hint="eastAsia" w:cs="Times New Roman"/>
                      <w:b w:val="0"/>
                      <w:bCs w:val="0"/>
                      <w:sz w:val="21"/>
                      <w:szCs w:val="21"/>
                      <w:vertAlign w:val="baseline"/>
                      <w:lang w:val="en-US" w:eastAsia="zh-CN"/>
                    </w:rPr>
                    <w:t>0.1</w:t>
                  </w:r>
                  <w:r>
                    <w:rPr>
                      <w:rFonts w:hint="default" w:ascii="Times New Roman" w:hAnsi="Times New Roman" w:eastAsia="宋体" w:cs="Times New Roman"/>
                      <w:b w:val="0"/>
                      <w:bCs w:val="0"/>
                      <w:sz w:val="21"/>
                      <w:szCs w:val="21"/>
                      <w:vertAlign w:val="baseline"/>
                      <w:lang w:val="en-US" w:eastAsia="zh-CN"/>
                    </w:rPr>
                    <w:t>5</w:t>
                  </w:r>
                </w:p>
              </w:tc>
            </w:tr>
            <w:tr w14:paraId="4123D62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14" w:type="dxa"/>
                  <w:vAlign w:val="center"/>
                </w:tcPr>
                <w:p w14:paraId="439F3E04">
                  <w:pPr>
                    <w:numPr>
                      <w:ilvl w:val="0"/>
                      <w:numId w:val="0"/>
                    </w:numPr>
                    <w:bidi w:val="0"/>
                    <w:spacing w:line="240" w:lineRule="auto"/>
                    <w:jc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b w:val="0"/>
                      <w:bCs w:val="0"/>
                      <w:sz w:val="21"/>
                      <w:szCs w:val="21"/>
                      <w:vertAlign w:val="baseline"/>
                      <w:lang w:val="en-US" w:eastAsia="zh-CN"/>
                    </w:rPr>
                    <w:t>产生工序装置</w:t>
                  </w:r>
                </w:p>
              </w:tc>
              <w:tc>
                <w:tcPr>
                  <w:tcW w:w="1140" w:type="dxa"/>
                  <w:vAlign w:val="center"/>
                </w:tcPr>
                <w:p w14:paraId="605261F9">
                  <w:pPr>
                    <w:numPr>
                      <w:ilvl w:val="0"/>
                      <w:numId w:val="0"/>
                    </w:numPr>
                    <w:bidi w:val="0"/>
                    <w:spacing w:line="240" w:lineRule="auto"/>
                    <w:jc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b w:val="0"/>
                      <w:bCs w:val="0"/>
                      <w:sz w:val="18"/>
                      <w:szCs w:val="18"/>
                      <w:vertAlign w:val="baseline"/>
                      <w:lang w:val="en-US" w:eastAsia="zh-CN"/>
                    </w:rPr>
                    <w:t>装卸及检验</w:t>
                  </w:r>
                </w:p>
              </w:tc>
              <w:tc>
                <w:tcPr>
                  <w:tcW w:w="2130" w:type="dxa"/>
                  <w:gridSpan w:val="2"/>
                  <w:vAlign w:val="center"/>
                </w:tcPr>
                <w:p w14:paraId="2697B6DC">
                  <w:pPr>
                    <w:numPr>
                      <w:ilvl w:val="0"/>
                      <w:numId w:val="0"/>
                    </w:numPr>
                    <w:bidi w:val="0"/>
                    <w:spacing w:line="240" w:lineRule="auto"/>
                    <w:jc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b w:val="0"/>
                      <w:bCs w:val="0"/>
                      <w:sz w:val="18"/>
                      <w:szCs w:val="18"/>
                      <w:vertAlign w:val="baseline"/>
                      <w:lang w:val="en-US" w:eastAsia="zh-CN"/>
                    </w:rPr>
                    <w:t>油品检验工序</w:t>
                  </w:r>
                </w:p>
              </w:tc>
              <w:tc>
                <w:tcPr>
                  <w:tcW w:w="1179" w:type="dxa"/>
                  <w:vAlign w:val="center"/>
                </w:tcPr>
                <w:p w14:paraId="05EFF0C1">
                  <w:pPr>
                    <w:numPr>
                      <w:ilvl w:val="0"/>
                      <w:numId w:val="0"/>
                    </w:numPr>
                    <w:bidi w:val="0"/>
                    <w:spacing w:line="240" w:lineRule="auto"/>
                    <w:jc w:val="center"/>
                    <w:rPr>
                      <w:rFonts w:hint="default" w:ascii="Times New Roman" w:hAnsi="Times New Roman" w:eastAsia="宋体" w:cs="Times New Roman"/>
                      <w:b w:val="0"/>
                      <w:bCs w:val="0"/>
                      <w:sz w:val="16"/>
                      <w:szCs w:val="16"/>
                      <w:vertAlign w:val="baseline"/>
                      <w:lang w:val="en-US" w:eastAsia="zh-CN"/>
                    </w:rPr>
                  </w:pPr>
                  <w:r>
                    <w:rPr>
                      <w:rFonts w:hint="default" w:ascii="Times New Roman" w:hAnsi="Times New Roman" w:eastAsia="宋体" w:cs="Times New Roman"/>
                      <w:b w:val="0"/>
                      <w:bCs w:val="0"/>
                      <w:sz w:val="16"/>
                      <w:szCs w:val="16"/>
                      <w:vertAlign w:val="baseline"/>
                      <w:lang w:val="en-US" w:eastAsia="zh-CN"/>
                    </w:rPr>
                    <w:t>废气治理设施</w:t>
                  </w:r>
                </w:p>
              </w:tc>
              <w:tc>
                <w:tcPr>
                  <w:tcW w:w="1179" w:type="dxa"/>
                  <w:vAlign w:val="center"/>
                </w:tcPr>
                <w:p w14:paraId="693BA5B4">
                  <w:pPr>
                    <w:numPr>
                      <w:ilvl w:val="0"/>
                      <w:numId w:val="0"/>
                    </w:numPr>
                    <w:bidi w:val="0"/>
                    <w:spacing w:line="240" w:lineRule="auto"/>
                    <w:jc w:val="center"/>
                    <w:rPr>
                      <w:rFonts w:hint="default" w:ascii="Times New Roman" w:hAnsi="Times New Roman" w:eastAsia="宋体" w:cs="Times New Roman"/>
                      <w:b w:val="0"/>
                      <w:bCs w:val="0"/>
                      <w:sz w:val="16"/>
                      <w:szCs w:val="16"/>
                      <w:vertAlign w:val="baseline"/>
                      <w:lang w:val="en-US" w:eastAsia="zh-CN"/>
                    </w:rPr>
                  </w:pPr>
                  <w:r>
                    <w:rPr>
                      <w:rFonts w:hint="default" w:ascii="Times New Roman" w:hAnsi="Times New Roman" w:eastAsia="宋体" w:cs="Times New Roman"/>
                      <w:b w:val="0"/>
                      <w:bCs w:val="0"/>
                      <w:sz w:val="16"/>
                      <w:szCs w:val="16"/>
                      <w:vertAlign w:val="baseline"/>
                      <w:lang w:val="en-US" w:eastAsia="zh-CN"/>
                    </w:rPr>
                    <w:t>废矿物油储存</w:t>
                  </w:r>
                </w:p>
              </w:tc>
              <w:tc>
                <w:tcPr>
                  <w:tcW w:w="1181" w:type="dxa"/>
                  <w:vAlign w:val="center"/>
                </w:tcPr>
                <w:p w14:paraId="62081D29">
                  <w:pPr>
                    <w:numPr>
                      <w:ilvl w:val="0"/>
                      <w:numId w:val="0"/>
                    </w:numPr>
                    <w:bidi w:val="0"/>
                    <w:spacing w:line="240" w:lineRule="auto"/>
                    <w:jc w:val="center"/>
                    <w:rPr>
                      <w:rFonts w:hint="default" w:ascii="Times New Roman" w:hAnsi="Times New Roman" w:eastAsia="宋体" w:cs="Times New Roman"/>
                      <w:b w:val="0"/>
                      <w:bCs w:val="0"/>
                      <w:sz w:val="16"/>
                      <w:szCs w:val="16"/>
                      <w:vertAlign w:val="baseline"/>
                      <w:lang w:val="en-US" w:eastAsia="zh-CN"/>
                    </w:rPr>
                  </w:pPr>
                  <w:r>
                    <w:rPr>
                      <w:rFonts w:hint="default" w:ascii="Times New Roman" w:hAnsi="Times New Roman" w:eastAsia="宋体" w:cs="Times New Roman"/>
                      <w:b w:val="0"/>
                      <w:bCs w:val="0"/>
                      <w:sz w:val="16"/>
                      <w:szCs w:val="16"/>
                      <w:vertAlign w:val="baseline"/>
                      <w:lang w:val="en-US" w:eastAsia="zh-CN"/>
                    </w:rPr>
                    <w:t>废矿物油装卸</w:t>
                  </w:r>
                </w:p>
              </w:tc>
            </w:tr>
            <w:tr w14:paraId="6CE6F6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14" w:type="dxa"/>
                  <w:vAlign w:val="center"/>
                </w:tcPr>
                <w:p w14:paraId="45EB6ABD">
                  <w:pPr>
                    <w:numPr>
                      <w:ilvl w:val="0"/>
                      <w:numId w:val="0"/>
                    </w:numPr>
                    <w:bidi w:val="0"/>
                    <w:spacing w:line="240" w:lineRule="auto"/>
                    <w:jc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b w:val="0"/>
                      <w:bCs w:val="0"/>
                      <w:sz w:val="21"/>
                      <w:szCs w:val="21"/>
                      <w:vertAlign w:val="baseline"/>
                      <w:lang w:val="en-US" w:eastAsia="zh-CN"/>
                    </w:rPr>
                    <w:t>形态</w:t>
                  </w:r>
                </w:p>
              </w:tc>
              <w:tc>
                <w:tcPr>
                  <w:tcW w:w="1140" w:type="dxa"/>
                  <w:vAlign w:val="center"/>
                </w:tcPr>
                <w:p w14:paraId="5FF6867F">
                  <w:pPr>
                    <w:numPr>
                      <w:ilvl w:val="0"/>
                      <w:numId w:val="0"/>
                    </w:numPr>
                    <w:bidi w:val="0"/>
                    <w:spacing w:line="240" w:lineRule="auto"/>
                    <w:jc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b w:val="0"/>
                      <w:bCs w:val="0"/>
                      <w:sz w:val="21"/>
                      <w:szCs w:val="21"/>
                      <w:vertAlign w:val="baseline"/>
                      <w:lang w:val="en-US" w:eastAsia="zh-CN"/>
                    </w:rPr>
                    <w:t>固</w:t>
                  </w:r>
                </w:p>
              </w:tc>
              <w:tc>
                <w:tcPr>
                  <w:tcW w:w="1060" w:type="dxa"/>
                  <w:vAlign w:val="center"/>
                </w:tcPr>
                <w:p w14:paraId="40219885">
                  <w:pPr>
                    <w:numPr>
                      <w:ilvl w:val="0"/>
                      <w:numId w:val="0"/>
                    </w:numPr>
                    <w:bidi w:val="0"/>
                    <w:spacing w:line="240" w:lineRule="auto"/>
                    <w:jc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b w:val="0"/>
                      <w:bCs w:val="0"/>
                      <w:sz w:val="21"/>
                      <w:szCs w:val="21"/>
                      <w:vertAlign w:val="baseline"/>
                      <w:lang w:val="en-US" w:eastAsia="zh-CN"/>
                    </w:rPr>
                    <w:t>固</w:t>
                  </w:r>
                </w:p>
              </w:tc>
              <w:tc>
                <w:tcPr>
                  <w:tcW w:w="1070" w:type="dxa"/>
                  <w:vAlign w:val="center"/>
                </w:tcPr>
                <w:p w14:paraId="22153124">
                  <w:pPr>
                    <w:numPr>
                      <w:ilvl w:val="0"/>
                      <w:numId w:val="0"/>
                    </w:numPr>
                    <w:bidi w:val="0"/>
                    <w:spacing w:line="240" w:lineRule="auto"/>
                    <w:jc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b w:val="0"/>
                      <w:bCs w:val="0"/>
                      <w:sz w:val="21"/>
                      <w:szCs w:val="21"/>
                      <w:vertAlign w:val="baseline"/>
                      <w:lang w:val="en-US" w:eastAsia="zh-CN"/>
                    </w:rPr>
                    <w:t>液</w:t>
                  </w:r>
                </w:p>
              </w:tc>
              <w:tc>
                <w:tcPr>
                  <w:tcW w:w="1179" w:type="dxa"/>
                  <w:vAlign w:val="center"/>
                </w:tcPr>
                <w:p w14:paraId="2A64F052">
                  <w:pPr>
                    <w:numPr>
                      <w:ilvl w:val="0"/>
                      <w:numId w:val="0"/>
                    </w:numPr>
                    <w:bidi w:val="0"/>
                    <w:spacing w:line="240" w:lineRule="auto"/>
                    <w:jc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b w:val="0"/>
                      <w:bCs w:val="0"/>
                      <w:sz w:val="21"/>
                      <w:szCs w:val="21"/>
                      <w:vertAlign w:val="baseline"/>
                      <w:lang w:val="en-US" w:eastAsia="zh-CN"/>
                    </w:rPr>
                    <w:t>固</w:t>
                  </w:r>
                </w:p>
              </w:tc>
              <w:tc>
                <w:tcPr>
                  <w:tcW w:w="1179" w:type="dxa"/>
                  <w:vAlign w:val="center"/>
                </w:tcPr>
                <w:p w14:paraId="6B7B9D18">
                  <w:pPr>
                    <w:numPr>
                      <w:ilvl w:val="0"/>
                      <w:numId w:val="0"/>
                    </w:numPr>
                    <w:bidi w:val="0"/>
                    <w:spacing w:line="240" w:lineRule="auto"/>
                    <w:jc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b w:val="0"/>
                      <w:bCs w:val="0"/>
                      <w:sz w:val="21"/>
                      <w:szCs w:val="21"/>
                      <w:vertAlign w:val="baseline"/>
                      <w:lang w:val="en-US" w:eastAsia="zh-CN"/>
                    </w:rPr>
                    <w:t>固</w:t>
                  </w:r>
                </w:p>
              </w:tc>
              <w:tc>
                <w:tcPr>
                  <w:tcW w:w="1181" w:type="dxa"/>
                  <w:vAlign w:val="center"/>
                </w:tcPr>
                <w:p w14:paraId="04DE1268">
                  <w:pPr>
                    <w:numPr>
                      <w:ilvl w:val="0"/>
                      <w:numId w:val="0"/>
                    </w:numPr>
                    <w:bidi w:val="0"/>
                    <w:spacing w:line="240" w:lineRule="auto"/>
                    <w:jc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b w:val="0"/>
                      <w:bCs w:val="0"/>
                      <w:sz w:val="21"/>
                      <w:szCs w:val="21"/>
                      <w:vertAlign w:val="baseline"/>
                      <w:lang w:val="en-US" w:eastAsia="zh-CN"/>
                    </w:rPr>
                    <w:t>固</w:t>
                  </w:r>
                </w:p>
              </w:tc>
            </w:tr>
            <w:tr w14:paraId="5E0A0A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14" w:type="dxa"/>
                  <w:vAlign w:val="center"/>
                </w:tcPr>
                <w:p w14:paraId="47E1D737">
                  <w:pPr>
                    <w:numPr>
                      <w:ilvl w:val="0"/>
                      <w:numId w:val="0"/>
                    </w:numPr>
                    <w:bidi w:val="0"/>
                    <w:spacing w:line="240" w:lineRule="auto"/>
                    <w:jc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b w:val="0"/>
                      <w:bCs w:val="0"/>
                      <w:sz w:val="21"/>
                      <w:szCs w:val="21"/>
                      <w:vertAlign w:val="baseline"/>
                      <w:lang w:val="en-US" w:eastAsia="zh-CN"/>
                    </w:rPr>
                    <w:t>主要成分</w:t>
                  </w:r>
                </w:p>
              </w:tc>
              <w:tc>
                <w:tcPr>
                  <w:tcW w:w="1140" w:type="dxa"/>
                  <w:vAlign w:val="center"/>
                </w:tcPr>
                <w:p w14:paraId="603F8FDB">
                  <w:pPr>
                    <w:numPr>
                      <w:ilvl w:val="0"/>
                      <w:numId w:val="0"/>
                    </w:numPr>
                    <w:bidi w:val="0"/>
                    <w:spacing w:line="240" w:lineRule="auto"/>
                    <w:jc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b w:val="0"/>
                      <w:bCs w:val="0"/>
                      <w:sz w:val="21"/>
                      <w:szCs w:val="21"/>
                      <w:vertAlign w:val="baseline"/>
                      <w:lang w:val="en-US" w:eastAsia="zh-CN"/>
                    </w:rPr>
                    <w:t>油</w:t>
                  </w:r>
                </w:p>
              </w:tc>
              <w:tc>
                <w:tcPr>
                  <w:tcW w:w="1060" w:type="dxa"/>
                  <w:vAlign w:val="center"/>
                </w:tcPr>
                <w:p w14:paraId="0C6B0C7D">
                  <w:pPr>
                    <w:numPr>
                      <w:ilvl w:val="0"/>
                      <w:numId w:val="0"/>
                    </w:numPr>
                    <w:bidi w:val="0"/>
                    <w:spacing w:line="240" w:lineRule="auto"/>
                    <w:jc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b w:val="0"/>
                      <w:bCs w:val="0"/>
                      <w:sz w:val="21"/>
                      <w:szCs w:val="21"/>
                      <w:vertAlign w:val="baseline"/>
                      <w:lang w:val="en-US" w:eastAsia="zh-CN"/>
                    </w:rPr>
                    <w:t>油</w:t>
                  </w:r>
                </w:p>
              </w:tc>
              <w:tc>
                <w:tcPr>
                  <w:tcW w:w="1070" w:type="dxa"/>
                  <w:vAlign w:val="center"/>
                </w:tcPr>
                <w:p w14:paraId="60AE2D59">
                  <w:pPr>
                    <w:numPr>
                      <w:ilvl w:val="0"/>
                      <w:numId w:val="0"/>
                    </w:numPr>
                    <w:bidi w:val="0"/>
                    <w:spacing w:line="240" w:lineRule="auto"/>
                    <w:jc w:val="center"/>
                    <w:rPr>
                      <w:rFonts w:hint="default" w:ascii="Times New Roman" w:hAnsi="Times New Roman" w:eastAsia="宋体" w:cs="Times New Roman"/>
                      <w:b w:val="0"/>
                      <w:bCs w:val="0"/>
                      <w:sz w:val="18"/>
                      <w:szCs w:val="18"/>
                      <w:vertAlign w:val="baseline"/>
                      <w:lang w:val="en-US" w:eastAsia="zh-CN"/>
                    </w:rPr>
                  </w:pPr>
                  <w:r>
                    <w:rPr>
                      <w:rFonts w:hint="default" w:ascii="Times New Roman" w:hAnsi="Times New Roman" w:eastAsia="宋体" w:cs="Times New Roman"/>
                      <w:b w:val="0"/>
                      <w:bCs w:val="0"/>
                      <w:sz w:val="18"/>
                      <w:szCs w:val="18"/>
                      <w:vertAlign w:val="baseline"/>
                      <w:lang w:val="en-US" w:eastAsia="zh-CN"/>
                    </w:rPr>
                    <w:t>有机物、油</w:t>
                  </w:r>
                </w:p>
              </w:tc>
              <w:tc>
                <w:tcPr>
                  <w:tcW w:w="1179" w:type="dxa"/>
                  <w:vAlign w:val="center"/>
                </w:tcPr>
                <w:p w14:paraId="39E24699">
                  <w:pPr>
                    <w:numPr>
                      <w:ilvl w:val="0"/>
                      <w:numId w:val="0"/>
                    </w:numPr>
                    <w:bidi w:val="0"/>
                    <w:spacing w:line="240" w:lineRule="auto"/>
                    <w:jc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b w:val="0"/>
                      <w:bCs w:val="0"/>
                      <w:sz w:val="21"/>
                      <w:szCs w:val="21"/>
                      <w:vertAlign w:val="baseline"/>
                      <w:lang w:val="en-US" w:eastAsia="zh-CN"/>
                    </w:rPr>
                    <w:t>有机物</w:t>
                  </w:r>
                </w:p>
              </w:tc>
              <w:tc>
                <w:tcPr>
                  <w:tcW w:w="1179" w:type="dxa"/>
                  <w:vAlign w:val="center"/>
                </w:tcPr>
                <w:p w14:paraId="18672455">
                  <w:pPr>
                    <w:numPr>
                      <w:ilvl w:val="0"/>
                      <w:numId w:val="0"/>
                    </w:numPr>
                    <w:bidi w:val="0"/>
                    <w:spacing w:line="240" w:lineRule="auto"/>
                    <w:jc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b w:val="0"/>
                      <w:bCs w:val="0"/>
                      <w:sz w:val="21"/>
                      <w:szCs w:val="21"/>
                      <w:vertAlign w:val="baseline"/>
                      <w:lang w:val="en-US" w:eastAsia="zh-CN"/>
                    </w:rPr>
                    <w:t>油</w:t>
                  </w:r>
                </w:p>
              </w:tc>
              <w:tc>
                <w:tcPr>
                  <w:tcW w:w="1181" w:type="dxa"/>
                  <w:vAlign w:val="center"/>
                </w:tcPr>
                <w:p w14:paraId="6876A196">
                  <w:pPr>
                    <w:numPr>
                      <w:ilvl w:val="0"/>
                      <w:numId w:val="0"/>
                    </w:numPr>
                    <w:bidi w:val="0"/>
                    <w:spacing w:line="240" w:lineRule="auto"/>
                    <w:jc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b w:val="0"/>
                      <w:bCs w:val="0"/>
                      <w:sz w:val="21"/>
                      <w:szCs w:val="21"/>
                      <w:vertAlign w:val="baseline"/>
                      <w:lang w:val="en-US" w:eastAsia="zh-CN"/>
                    </w:rPr>
                    <w:t>油</w:t>
                  </w:r>
                </w:p>
              </w:tc>
            </w:tr>
            <w:tr w14:paraId="21A06B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14" w:type="dxa"/>
                  <w:vAlign w:val="center"/>
                </w:tcPr>
                <w:p w14:paraId="25A17736">
                  <w:pPr>
                    <w:numPr>
                      <w:ilvl w:val="0"/>
                      <w:numId w:val="0"/>
                    </w:numPr>
                    <w:bidi w:val="0"/>
                    <w:spacing w:line="240" w:lineRule="auto"/>
                    <w:jc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b w:val="0"/>
                      <w:bCs w:val="0"/>
                      <w:sz w:val="21"/>
                      <w:szCs w:val="21"/>
                      <w:vertAlign w:val="baseline"/>
                      <w:lang w:val="en-US" w:eastAsia="zh-CN"/>
                    </w:rPr>
                    <w:t>有害成分</w:t>
                  </w:r>
                </w:p>
              </w:tc>
              <w:tc>
                <w:tcPr>
                  <w:tcW w:w="1140" w:type="dxa"/>
                  <w:vAlign w:val="center"/>
                </w:tcPr>
                <w:p w14:paraId="16525582">
                  <w:pPr>
                    <w:numPr>
                      <w:ilvl w:val="0"/>
                      <w:numId w:val="0"/>
                    </w:numPr>
                    <w:bidi w:val="0"/>
                    <w:spacing w:line="240" w:lineRule="auto"/>
                    <w:jc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b w:val="0"/>
                      <w:bCs w:val="0"/>
                      <w:sz w:val="21"/>
                      <w:szCs w:val="21"/>
                      <w:vertAlign w:val="baseline"/>
                      <w:lang w:val="en-US" w:eastAsia="zh-CN"/>
                    </w:rPr>
                    <w:t>油</w:t>
                  </w:r>
                </w:p>
              </w:tc>
              <w:tc>
                <w:tcPr>
                  <w:tcW w:w="1060" w:type="dxa"/>
                  <w:vAlign w:val="center"/>
                </w:tcPr>
                <w:p w14:paraId="2C1C042F">
                  <w:pPr>
                    <w:numPr>
                      <w:ilvl w:val="0"/>
                      <w:numId w:val="0"/>
                    </w:numPr>
                    <w:bidi w:val="0"/>
                    <w:spacing w:line="240" w:lineRule="auto"/>
                    <w:jc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b w:val="0"/>
                      <w:bCs w:val="0"/>
                      <w:sz w:val="21"/>
                      <w:szCs w:val="21"/>
                      <w:vertAlign w:val="baseline"/>
                      <w:lang w:val="en-US" w:eastAsia="zh-CN"/>
                    </w:rPr>
                    <w:t>油</w:t>
                  </w:r>
                </w:p>
              </w:tc>
              <w:tc>
                <w:tcPr>
                  <w:tcW w:w="1070" w:type="dxa"/>
                  <w:vAlign w:val="center"/>
                </w:tcPr>
                <w:p w14:paraId="281B3B2C">
                  <w:pPr>
                    <w:numPr>
                      <w:ilvl w:val="0"/>
                      <w:numId w:val="0"/>
                    </w:numPr>
                    <w:bidi w:val="0"/>
                    <w:spacing w:line="240" w:lineRule="auto"/>
                    <w:jc w:val="center"/>
                    <w:rPr>
                      <w:rFonts w:hint="default" w:ascii="Times New Roman" w:hAnsi="Times New Roman" w:eastAsia="宋体" w:cs="Times New Roman"/>
                      <w:b w:val="0"/>
                      <w:bCs w:val="0"/>
                      <w:sz w:val="18"/>
                      <w:szCs w:val="18"/>
                      <w:vertAlign w:val="baseline"/>
                      <w:lang w:val="en-US" w:eastAsia="zh-CN"/>
                    </w:rPr>
                  </w:pPr>
                  <w:r>
                    <w:rPr>
                      <w:rFonts w:hint="default" w:ascii="Times New Roman" w:hAnsi="Times New Roman" w:eastAsia="宋体" w:cs="Times New Roman"/>
                      <w:b w:val="0"/>
                      <w:bCs w:val="0"/>
                      <w:sz w:val="18"/>
                      <w:szCs w:val="18"/>
                      <w:vertAlign w:val="baseline"/>
                      <w:lang w:val="en-US" w:eastAsia="zh-CN"/>
                    </w:rPr>
                    <w:t>有机物、油</w:t>
                  </w:r>
                </w:p>
              </w:tc>
              <w:tc>
                <w:tcPr>
                  <w:tcW w:w="1179" w:type="dxa"/>
                  <w:vAlign w:val="center"/>
                </w:tcPr>
                <w:p w14:paraId="626153A5">
                  <w:pPr>
                    <w:numPr>
                      <w:ilvl w:val="0"/>
                      <w:numId w:val="0"/>
                    </w:numPr>
                    <w:bidi w:val="0"/>
                    <w:spacing w:line="240" w:lineRule="auto"/>
                    <w:jc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b w:val="0"/>
                      <w:bCs w:val="0"/>
                      <w:sz w:val="21"/>
                      <w:szCs w:val="21"/>
                      <w:vertAlign w:val="baseline"/>
                      <w:lang w:val="en-US" w:eastAsia="zh-CN"/>
                    </w:rPr>
                    <w:t>有机物</w:t>
                  </w:r>
                </w:p>
              </w:tc>
              <w:tc>
                <w:tcPr>
                  <w:tcW w:w="1179" w:type="dxa"/>
                  <w:vAlign w:val="center"/>
                </w:tcPr>
                <w:p w14:paraId="6C5E98F7">
                  <w:pPr>
                    <w:numPr>
                      <w:ilvl w:val="0"/>
                      <w:numId w:val="0"/>
                    </w:numPr>
                    <w:bidi w:val="0"/>
                    <w:spacing w:line="240" w:lineRule="auto"/>
                    <w:jc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b w:val="0"/>
                      <w:bCs w:val="0"/>
                      <w:sz w:val="21"/>
                      <w:szCs w:val="21"/>
                      <w:vertAlign w:val="baseline"/>
                      <w:lang w:val="en-US" w:eastAsia="zh-CN"/>
                    </w:rPr>
                    <w:t>油</w:t>
                  </w:r>
                </w:p>
              </w:tc>
              <w:tc>
                <w:tcPr>
                  <w:tcW w:w="1181" w:type="dxa"/>
                  <w:vAlign w:val="center"/>
                </w:tcPr>
                <w:p w14:paraId="69BE6AC2">
                  <w:pPr>
                    <w:numPr>
                      <w:ilvl w:val="0"/>
                      <w:numId w:val="0"/>
                    </w:numPr>
                    <w:bidi w:val="0"/>
                    <w:spacing w:line="240" w:lineRule="auto"/>
                    <w:jc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b w:val="0"/>
                      <w:bCs w:val="0"/>
                      <w:sz w:val="21"/>
                      <w:szCs w:val="21"/>
                      <w:vertAlign w:val="baseline"/>
                      <w:lang w:val="en-US" w:eastAsia="zh-CN"/>
                    </w:rPr>
                    <w:t>油</w:t>
                  </w:r>
                </w:p>
              </w:tc>
            </w:tr>
            <w:tr w14:paraId="417BE6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14" w:type="dxa"/>
                  <w:vAlign w:val="center"/>
                </w:tcPr>
                <w:p w14:paraId="0A4DE465">
                  <w:pPr>
                    <w:numPr>
                      <w:ilvl w:val="0"/>
                      <w:numId w:val="0"/>
                    </w:numPr>
                    <w:bidi w:val="0"/>
                    <w:spacing w:line="240" w:lineRule="auto"/>
                    <w:jc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b w:val="0"/>
                      <w:bCs w:val="0"/>
                      <w:sz w:val="21"/>
                      <w:szCs w:val="21"/>
                      <w:vertAlign w:val="baseline"/>
                      <w:lang w:val="en-US" w:eastAsia="zh-CN"/>
                    </w:rPr>
                    <w:t>产废周期</w:t>
                  </w:r>
                </w:p>
              </w:tc>
              <w:tc>
                <w:tcPr>
                  <w:tcW w:w="1140" w:type="dxa"/>
                  <w:vAlign w:val="center"/>
                </w:tcPr>
                <w:p w14:paraId="11840593">
                  <w:pPr>
                    <w:numPr>
                      <w:ilvl w:val="0"/>
                      <w:numId w:val="0"/>
                    </w:numPr>
                    <w:bidi w:val="0"/>
                    <w:spacing w:line="240" w:lineRule="auto"/>
                    <w:jc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b w:val="0"/>
                      <w:bCs w:val="0"/>
                      <w:sz w:val="21"/>
                      <w:szCs w:val="21"/>
                      <w:vertAlign w:val="baseline"/>
                      <w:lang w:val="en-US" w:eastAsia="zh-CN"/>
                    </w:rPr>
                    <w:t>随时</w:t>
                  </w:r>
                </w:p>
              </w:tc>
              <w:tc>
                <w:tcPr>
                  <w:tcW w:w="1060" w:type="dxa"/>
                  <w:vAlign w:val="center"/>
                </w:tcPr>
                <w:p w14:paraId="553D0410">
                  <w:pPr>
                    <w:numPr>
                      <w:ilvl w:val="0"/>
                      <w:numId w:val="0"/>
                    </w:numPr>
                    <w:bidi w:val="0"/>
                    <w:spacing w:line="240" w:lineRule="auto"/>
                    <w:jc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b w:val="0"/>
                      <w:bCs w:val="0"/>
                      <w:sz w:val="21"/>
                      <w:szCs w:val="21"/>
                      <w:vertAlign w:val="baseline"/>
                      <w:lang w:val="en-US" w:eastAsia="zh-CN"/>
                    </w:rPr>
                    <w:t>随时</w:t>
                  </w:r>
                </w:p>
              </w:tc>
              <w:tc>
                <w:tcPr>
                  <w:tcW w:w="1070" w:type="dxa"/>
                  <w:vAlign w:val="center"/>
                </w:tcPr>
                <w:p w14:paraId="0559247D">
                  <w:pPr>
                    <w:numPr>
                      <w:ilvl w:val="0"/>
                      <w:numId w:val="0"/>
                    </w:numPr>
                    <w:bidi w:val="0"/>
                    <w:spacing w:line="240" w:lineRule="auto"/>
                    <w:jc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b w:val="0"/>
                      <w:bCs w:val="0"/>
                      <w:sz w:val="21"/>
                      <w:szCs w:val="21"/>
                      <w:vertAlign w:val="baseline"/>
                      <w:lang w:val="en-US" w:eastAsia="zh-CN"/>
                    </w:rPr>
                    <w:t>随时</w:t>
                  </w:r>
                </w:p>
              </w:tc>
              <w:tc>
                <w:tcPr>
                  <w:tcW w:w="1179" w:type="dxa"/>
                  <w:vAlign w:val="center"/>
                </w:tcPr>
                <w:p w14:paraId="0FBA70D5">
                  <w:pPr>
                    <w:numPr>
                      <w:ilvl w:val="0"/>
                      <w:numId w:val="0"/>
                    </w:numPr>
                    <w:bidi w:val="0"/>
                    <w:spacing w:line="240" w:lineRule="auto"/>
                    <w:jc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b w:val="0"/>
                      <w:bCs w:val="0"/>
                      <w:sz w:val="21"/>
                      <w:szCs w:val="21"/>
                      <w:vertAlign w:val="baseline"/>
                      <w:lang w:val="en-US" w:eastAsia="zh-CN"/>
                    </w:rPr>
                    <w:t>一年</w:t>
                  </w:r>
                </w:p>
              </w:tc>
              <w:tc>
                <w:tcPr>
                  <w:tcW w:w="1179" w:type="dxa"/>
                  <w:vAlign w:val="center"/>
                </w:tcPr>
                <w:p w14:paraId="3C4230A0">
                  <w:pPr>
                    <w:numPr>
                      <w:ilvl w:val="0"/>
                      <w:numId w:val="0"/>
                    </w:numPr>
                    <w:bidi w:val="0"/>
                    <w:spacing w:line="240" w:lineRule="auto"/>
                    <w:jc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b w:val="0"/>
                      <w:bCs w:val="0"/>
                      <w:sz w:val="21"/>
                      <w:szCs w:val="21"/>
                      <w:vertAlign w:val="baseline"/>
                      <w:lang w:val="en-US" w:eastAsia="zh-CN"/>
                    </w:rPr>
                    <w:t>半年</w:t>
                  </w:r>
                </w:p>
              </w:tc>
              <w:tc>
                <w:tcPr>
                  <w:tcW w:w="1181" w:type="dxa"/>
                  <w:vAlign w:val="center"/>
                </w:tcPr>
                <w:p w14:paraId="44A5EFD7">
                  <w:pPr>
                    <w:numPr>
                      <w:ilvl w:val="0"/>
                      <w:numId w:val="0"/>
                    </w:numPr>
                    <w:bidi w:val="0"/>
                    <w:spacing w:line="240" w:lineRule="auto"/>
                    <w:jc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b w:val="0"/>
                      <w:bCs w:val="0"/>
                      <w:sz w:val="21"/>
                      <w:szCs w:val="21"/>
                      <w:vertAlign w:val="baseline"/>
                      <w:lang w:val="en-US" w:eastAsia="zh-CN"/>
                    </w:rPr>
                    <w:t>随时</w:t>
                  </w:r>
                </w:p>
              </w:tc>
            </w:tr>
            <w:tr w14:paraId="2CFA13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14" w:type="dxa"/>
                  <w:vAlign w:val="center"/>
                </w:tcPr>
                <w:p w14:paraId="1635E3EC">
                  <w:pPr>
                    <w:numPr>
                      <w:ilvl w:val="0"/>
                      <w:numId w:val="0"/>
                    </w:numPr>
                    <w:bidi w:val="0"/>
                    <w:spacing w:line="240" w:lineRule="auto"/>
                    <w:jc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b w:val="0"/>
                      <w:bCs w:val="0"/>
                      <w:sz w:val="21"/>
                      <w:szCs w:val="21"/>
                      <w:vertAlign w:val="baseline"/>
                      <w:lang w:val="en-US" w:eastAsia="zh-CN"/>
                    </w:rPr>
                    <w:t>危险特性</w:t>
                  </w:r>
                </w:p>
              </w:tc>
              <w:tc>
                <w:tcPr>
                  <w:tcW w:w="1140" w:type="dxa"/>
                  <w:vAlign w:val="center"/>
                </w:tcPr>
                <w:p w14:paraId="3D7A94E6">
                  <w:pPr>
                    <w:numPr>
                      <w:ilvl w:val="0"/>
                      <w:numId w:val="0"/>
                    </w:numPr>
                    <w:bidi w:val="0"/>
                    <w:spacing w:line="240" w:lineRule="auto"/>
                    <w:jc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b w:val="0"/>
                      <w:bCs w:val="0"/>
                      <w:sz w:val="21"/>
                      <w:szCs w:val="21"/>
                      <w:vertAlign w:val="baseline"/>
                      <w:lang w:val="en-US" w:eastAsia="zh-CN"/>
                    </w:rPr>
                    <w:t>T</w:t>
                  </w:r>
                </w:p>
              </w:tc>
              <w:tc>
                <w:tcPr>
                  <w:tcW w:w="1060" w:type="dxa"/>
                  <w:vAlign w:val="center"/>
                </w:tcPr>
                <w:p w14:paraId="23DD35F9">
                  <w:pPr>
                    <w:numPr>
                      <w:ilvl w:val="0"/>
                      <w:numId w:val="0"/>
                    </w:numPr>
                    <w:bidi w:val="0"/>
                    <w:spacing w:line="240" w:lineRule="auto"/>
                    <w:jc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b w:val="0"/>
                      <w:bCs w:val="0"/>
                      <w:sz w:val="21"/>
                      <w:szCs w:val="21"/>
                      <w:vertAlign w:val="baseline"/>
                      <w:lang w:val="en-US" w:eastAsia="zh-CN"/>
                    </w:rPr>
                    <w:t>T</w:t>
                  </w:r>
                </w:p>
              </w:tc>
              <w:tc>
                <w:tcPr>
                  <w:tcW w:w="1070" w:type="dxa"/>
                  <w:vAlign w:val="center"/>
                </w:tcPr>
                <w:p w14:paraId="5668CE3E">
                  <w:pPr>
                    <w:numPr>
                      <w:ilvl w:val="0"/>
                      <w:numId w:val="0"/>
                    </w:numPr>
                    <w:bidi w:val="0"/>
                    <w:spacing w:line="240" w:lineRule="auto"/>
                    <w:jc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b w:val="0"/>
                      <w:bCs w:val="0"/>
                      <w:sz w:val="21"/>
                      <w:szCs w:val="21"/>
                      <w:vertAlign w:val="baseline"/>
                      <w:lang w:val="en-US" w:eastAsia="zh-CN"/>
                    </w:rPr>
                    <w:t>T</w:t>
                  </w:r>
                </w:p>
              </w:tc>
              <w:tc>
                <w:tcPr>
                  <w:tcW w:w="1179" w:type="dxa"/>
                  <w:vAlign w:val="center"/>
                </w:tcPr>
                <w:p w14:paraId="42FB65F5">
                  <w:pPr>
                    <w:numPr>
                      <w:ilvl w:val="0"/>
                      <w:numId w:val="0"/>
                    </w:numPr>
                    <w:bidi w:val="0"/>
                    <w:spacing w:line="240" w:lineRule="auto"/>
                    <w:jc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b w:val="0"/>
                      <w:bCs w:val="0"/>
                      <w:sz w:val="21"/>
                      <w:szCs w:val="21"/>
                      <w:vertAlign w:val="baseline"/>
                      <w:lang w:val="en-US" w:eastAsia="zh-CN"/>
                    </w:rPr>
                    <w:t>T</w:t>
                  </w:r>
                </w:p>
              </w:tc>
              <w:tc>
                <w:tcPr>
                  <w:tcW w:w="1179" w:type="dxa"/>
                  <w:vAlign w:val="center"/>
                </w:tcPr>
                <w:p w14:paraId="021A663A">
                  <w:pPr>
                    <w:numPr>
                      <w:ilvl w:val="0"/>
                      <w:numId w:val="0"/>
                    </w:numPr>
                    <w:bidi w:val="0"/>
                    <w:spacing w:line="240" w:lineRule="auto"/>
                    <w:jc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b w:val="0"/>
                      <w:bCs w:val="0"/>
                      <w:sz w:val="21"/>
                      <w:szCs w:val="21"/>
                      <w:vertAlign w:val="baseline"/>
                      <w:lang w:val="en-US" w:eastAsia="zh-CN"/>
                    </w:rPr>
                    <w:t>T/I</w:t>
                  </w:r>
                </w:p>
              </w:tc>
              <w:tc>
                <w:tcPr>
                  <w:tcW w:w="1181" w:type="dxa"/>
                  <w:vAlign w:val="center"/>
                </w:tcPr>
                <w:p w14:paraId="694311D6">
                  <w:pPr>
                    <w:numPr>
                      <w:ilvl w:val="0"/>
                      <w:numId w:val="0"/>
                    </w:numPr>
                    <w:bidi w:val="0"/>
                    <w:spacing w:line="240" w:lineRule="auto"/>
                    <w:jc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b w:val="0"/>
                      <w:bCs w:val="0"/>
                      <w:sz w:val="21"/>
                      <w:szCs w:val="21"/>
                      <w:vertAlign w:val="baseline"/>
                      <w:lang w:val="en-US" w:eastAsia="zh-CN"/>
                    </w:rPr>
                    <w:t>T/I</w:t>
                  </w:r>
                </w:p>
              </w:tc>
            </w:tr>
            <w:tr w14:paraId="6C5DE8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14" w:type="dxa"/>
                  <w:vAlign w:val="center"/>
                </w:tcPr>
                <w:p w14:paraId="45EC6267">
                  <w:pPr>
                    <w:numPr>
                      <w:ilvl w:val="0"/>
                      <w:numId w:val="0"/>
                    </w:numPr>
                    <w:bidi w:val="0"/>
                    <w:spacing w:line="240" w:lineRule="auto"/>
                    <w:jc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b w:val="0"/>
                      <w:bCs w:val="0"/>
                      <w:sz w:val="21"/>
                      <w:szCs w:val="21"/>
                      <w:vertAlign w:val="baseline"/>
                      <w:lang w:val="en-US" w:eastAsia="zh-CN"/>
                    </w:rPr>
                    <w:t>污染防治措施</w:t>
                  </w:r>
                </w:p>
              </w:tc>
              <w:tc>
                <w:tcPr>
                  <w:tcW w:w="6809" w:type="dxa"/>
                  <w:gridSpan w:val="6"/>
                  <w:vAlign w:val="center"/>
                </w:tcPr>
                <w:p w14:paraId="55B7EA78">
                  <w:pPr>
                    <w:numPr>
                      <w:ilvl w:val="0"/>
                      <w:numId w:val="0"/>
                    </w:numPr>
                    <w:bidi w:val="0"/>
                    <w:spacing w:line="240" w:lineRule="auto"/>
                    <w:jc w:val="left"/>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b w:val="0"/>
                      <w:bCs w:val="0"/>
                      <w:sz w:val="21"/>
                      <w:szCs w:val="21"/>
                      <w:vertAlign w:val="baseline"/>
                      <w:lang w:val="en-US" w:eastAsia="zh-CN"/>
                    </w:rPr>
                    <w:t>贮存于危废暂存间，并定期委托有资质的单位进行处理。</w:t>
                  </w:r>
                </w:p>
              </w:tc>
            </w:tr>
          </w:tbl>
          <w:p w14:paraId="5F4FDE00">
            <w:pPr>
              <w:numPr>
                <w:ilvl w:val="0"/>
                <w:numId w:val="0"/>
              </w:numPr>
              <w:bidi w:val="0"/>
              <w:spacing w:line="360" w:lineRule="auto"/>
              <w:ind w:firstLine="480" w:firstLineChars="200"/>
              <w:rPr>
                <w:rFonts w:hint="eastAsia" w:cs="Times New Roman"/>
                <w:sz w:val="24"/>
                <w:szCs w:val="24"/>
                <w:lang w:val="en-US" w:eastAsia="zh-CN"/>
              </w:rPr>
            </w:pPr>
            <w:r>
              <w:rPr>
                <w:rFonts w:hint="eastAsia" w:cs="Times New Roman"/>
                <w:sz w:val="24"/>
                <w:szCs w:val="24"/>
                <w:lang w:val="en-US" w:eastAsia="zh-CN"/>
              </w:rPr>
              <w:t>②危险废物暂存要求</w:t>
            </w:r>
          </w:p>
          <w:p w14:paraId="29C67E01">
            <w:pPr>
              <w:numPr>
                <w:ilvl w:val="0"/>
                <w:numId w:val="0"/>
              </w:numPr>
              <w:bidi w:val="0"/>
              <w:spacing w:line="360" w:lineRule="auto"/>
              <w:ind w:firstLine="480" w:firstLineChars="200"/>
              <w:rPr>
                <w:rFonts w:hint="eastAsia" w:cs="Times New Roman"/>
                <w:sz w:val="24"/>
                <w:szCs w:val="24"/>
                <w:lang w:val="en-US" w:eastAsia="zh-CN"/>
              </w:rPr>
            </w:pPr>
            <w:r>
              <w:rPr>
                <w:rFonts w:hint="eastAsia" w:cs="Times New Roman"/>
                <w:sz w:val="24"/>
                <w:szCs w:val="24"/>
                <w:lang w:val="en-US" w:eastAsia="zh-CN"/>
              </w:rPr>
              <w:t>本项目设置一处危险废物暂存（6m</w:t>
            </w:r>
            <w:r>
              <w:rPr>
                <w:rFonts w:hint="eastAsia" w:cs="Times New Roman"/>
                <w:sz w:val="24"/>
                <w:szCs w:val="24"/>
                <w:vertAlign w:val="superscript"/>
                <w:lang w:val="en-US" w:eastAsia="zh-CN"/>
              </w:rPr>
              <w:t>3</w:t>
            </w:r>
            <w:r>
              <w:rPr>
                <w:rFonts w:hint="eastAsia" w:cs="Times New Roman"/>
                <w:sz w:val="24"/>
                <w:szCs w:val="24"/>
                <w:lang w:val="en-US" w:eastAsia="zh-CN"/>
              </w:rPr>
              <w:t>）用于危险废物暂存。为保证暂存的危险废物不对环境产生污染，依据《危险废物转移管理办法》（2022年1月1日实施）、《危险废物收集贮存运输技术规范》（HJ2025-2012）、《危险废物贮存污染控制标准》（GB18597-2023及2013年修改单）及相关法律法规，对危险废物暂存场地提出如下安全措施：</w:t>
            </w:r>
          </w:p>
          <w:p w14:paraId="5908DA70">
            <w:pPr>
              <w:numPr>
                <w:ilvl w:val="0"/>
                <w:numId w:val="65"/>
              </w:numPr>
              <w:bidi w:val="0"/>
              <w:spacing w:line="360" w:lineRule="auto"/>
              <w:ind w:firstLine="480" w:firstLineChars="200"/>
              <w:rPr>
                <w:rFonts w:hint="eastAsia" w:cs="Times New Roman"/>
                <w:sz w:val="24"/>
                <w:szCs w:val="24"/>
                <w:lang w:val="en-US" w:eastAsia="zh-CN"/>
              </w:rPr>
            </w:pPr>
            <w:r>
              <w:rPr>
                <w:rFonts w:hint="eastAsia" w:cs="Times New Roman"/>
                <w:sz w:val="24"/>
                <w:szCs w:val="24"/>
                <w:lang w:val="en-US" w:eastAsia="zh-CN"/>
              </w:rPr>
              <w:t>应设置单独的危险废物暂存地点，该暂存地点地面及裙角应做、耐腐蚀硬化、防渗漏处理，且表面无裂痕，所使用的材料要与危险废物不相容。</w:t>
            </w:r>
          </w:p>
          <w:p w14:paraId="0E43B7F1">
            <w:pPr>
              <w:numPr>
                <w:ilvl w:val="0"/>
                <w:numId w:val="65"/>
              </w:numPr>
              <w:bidi w:val="0"/>
              <w:spacing w:line="360" w:lineRule="auto"/>
              <w:ind w:firstLine="480" w:firstLineChars="200"/>
              <w:rPr>
                <w:rFonts w:hint="eastAsia" w:cs="Times New Roman"/>
                <w:sz w:val="24"/>
                <w:szCs w:val="24"/>
                <w:lang w:val="en-US" w:eastAsia="zh-CN"/>
              </w:rPr>
            </w:pPr>
            <w:r>
              <w:rPr>
                <w:rFonts w:hint="eastAsia" w:cs="Times New Roman"/>
                <w:sz w:val="24"/>
                <w:szCs w:val="24"/>
                <w:lang w:val="en-US" w:eastAsia="zh-CN"/>
              </w:rPr>
              <w:t>危险废物应存储于容器中，并在容器外表设置环境保护图形标志和警示标志。</w:t>
            </w:r>
          </w:p>
          <w:p w14:paraId="51B4D939">
            <w:pPr>
              <w:numPr>
                <w:ilvl w:val="0"/>
                <w:numId w:val="65"/>
              </w:numPr>
              <w:bidi w:val="0"/>
              <w:spacing w:line="360" w:lineRule="auto"/>
              <w:ind w:firstLine="480" w:firstLineChars="200"/>
              <w:rPr>
                <w:rFonts w:hint="eastAsia" w:cs="Times New Roman"/>
                <w:sz w:val="24"/>
                <w:szCs w:val="24"/>
                <w:lang w:val="en-US" w:eastAsia="zh-CN"/>
              </w:rPr>
            </w:pPr>
            <w:r>
              <w:rPr>
                <w:rFonts w:hint="eastAsia" w:cs="Times New Roman"/>
                <w:sz w:val="24"/>
                <w:szCs w:val="24"/>
                <w:lang w:val="en-US" w:eastAsia="zh-CN"/>
              </w:rPr>
              <w:t>危险废物应选择具有防腐、防漏、防磕碰、密封严密的容器进行贮存和运输，储存于阴凉、通风良好的房间，远离火种、热源，应有专门人员看管；看管人员和危险废物运输人员在工作中应佩戴防护用具，并配备医疗急救用品。</w:t>
            </w:r>
          </w:p>
          <w:p w14:paraId="504473BB">
            <w:pPr>
              <w:numPr>
                <w:ilvl w:val="0"/>
                <w:numId w:val="65"/>
              </w:numPr>
              <w:bidi w:val="0"/>
              <w:spacing w:line="360" w:lineRule="auto"/>
              <w:ind w:firstLine="480" w:firstLineChars="200"/>
              <w:rPr>
                <w:rFonts w:hint="eastAsia" w:cs="Times New Roman"/>
                <w:sz w:val="24"/>
                <w:szCs w:val="24"/>
                <w:lang w:val="en-US" w:eastAsia="zh-CN"/>
              </w:rPr>
            </w:pPr>
            <w:r>
              <w:rPr>
                <w:rFonts w:hint="eastAsia" w:cs="Times New Roman"/>
                <w:sz w:val="24"/>
                <w:szCs w:val="24"/>
                <w:lang w:val="en-US" w:eastAsia="zh-CN"/>
              </w:rPr>
              <w:t>建立档案制度，对暂存的废物种类、数量、特性、包装容器类别、存放库位、存入日期、运出日期等详细记录在案并长期保存。</w:t>
            </w:r>
          </w:p>
          <w:p w14:paraId="178E7BA2">
            <w:pPr>
              <w:numPr>
                <w:ilvl w:val="0"/>
                <w:numId w:val="65"/>
              </w:numPr>
              <w:bidi w:val="0"/>
              <w:spacing w:line="360" w:lineRule="auto"/>
              <w:ind w:firstLine="480" w:firstLineChars="200"/>
              <w:rPr>
                <w:rFonts w:hint="eastAsia" w:cs="Times New Roman"/>
                <w:sz w:val="24"/>
                <w:szCs w:val="24"/>
                <w:lang w:val="en-US" w:eastAsia="zh-CN"/>
              </w:rPr>
            </w:pPr>
            <w:r>
              <w:rPr>
                <w:rFonts w:hint="eastAsia" w:cs="Times New Roman"/>
                <w:sz w:val="24"/>
                <w:szCs w:val="24"/>
                <w:lang w:val="en-US" w:eastAsia="zh-CN"/>
              </w:rPr>
              <w:t>建立定期巡查、维护制度。危险废物场所室内地面硬化和防渗处理。一旦出现盛装液态固体废物的容器发生破裂和渗漏情况，马上修复或更换破损容器，地面残留液体用布擦拭干净。出现泄露事故及时向有关部门通报。</w:t>
            </w:r>
          </w:p>
          <w:p w14:paraId="2215F4E8">
            <w:pPr>
              <w:numPr>
                <w:ilvl w:val="0"/>
                <w:numId w:val="0"/>
              </w:numPr>
              <w:bidi w:val="0"/>
              <w:spacing w:line="360" w:lineRule="auto"/>
              <w:ind w:firstLine="480" w:firstLineChars="200"/>
              <w:rPr>
                <w:rFonts w:hint="eastAsia" w:cs="Times New Roman"/>
                <w:sz w:val="24"/>
                <w:szCs w:val="24"/>
                <w:lang w:val="en-US" w:eastAsia="zh-CN"/>
              </w:rPr>
            </w:pPr>
            <w:r>
              <w:rPr>
                <w:rFonts w:hint="eastAsia" w:cs="Times New Roman"/>
                <w:sz w:val="24"/>
                <w:szCs w:val="24"/>
                <w:lang w:val="en-US" w:eastAsia="zh-CN"/>
              </w:rPr>
              <w:t>本项目危险废物贮存场所（设施）基本情况详见下表。</w:t>
            </w:r>
          </w:p>
          <w:p w14:paraId="0872A553">
            <w:pPr>
              <w:numPr>
                <w:ilvl w:val="0"/>
                <w:numId w:val="0"/>
              </w:numPr>
              <w:bidi w:val="0"/>
              <w:spacing w:line="360" w:lineRule="auto"/>
              <w:jc w:val="center"/>
              <w:rPr>
                <w:rFonts w:hint="eastAsia" w:cs="Times New Roman"/>
                <w:b/>
                <w:bCs/>
                <w:sz w:val="21"/>
                <w:szCs w:val="21"/>
                <w:lang w:val="en-US" w:eastAsia="zh-CN"/>
              </w:rPr>
            </w:pPr>
            <w:r>
              <w:rPr>
                <w:rFonts w:hint="eastAsia" w:cs="Times New Roman"/>
                <w:b/>
                <w:bCs/>
                <w:sz w:val="21"/>
                <w:szCs w:val="21"/>
                <w:lang w:val="en-US" w:eastAsia="zh-CN"/>
              </w:rPr>
              <w:t>表4-18 建设项目危险废物产生及暂存场所基本情况</w:t>
            </w:r>
          </w:p>
          <w:tbl>
            <w:tblPr>
              <w:tblStyle w:val="28"/>
              <w:tblW w:w="832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14"/>
              <w:gridCol w:w="1140"/>
              <w:gridCol w:w="1060"/>
              <w:gridCol w:w="1070"/>
              <w:gridCol w:w="1179"/>
              <w:gridCol w:w="1179"/>
              <w:gridCol w:w="1181"/>
            </w:tblGrid>
            <w:tr w14:paraId="0B682F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14" w:type="dxa"/>
                  <w:vAlign w:val="center"/>
                </w:tcPr>
                <w:p w14:paraId="546719CF">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vertAlign w:val="baseline"/>
                      <w:lang w:val="en-US" w:eastAsia="zh-CN"/>
                    </w:rPr>
                    <w:t>贮存场所名称</w:t>
                  </w:r>
                </w:p>
              </w:tc>
              <w:tc>
                <w:tcPr>
                  <w:tcW w:w="6809" w:type="dxa"/>
                  <w:gridSpan w:val="6"/>
                  <w:vAlign w:val="center"/>
                </w:tcPr>
                <w:p w14:paraId="408D99FB">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vertAlign w:val="baseline"/>
                      <w:lang w:val="en-US" w:eastAsia="zh-CN"/>
                    </w:rPr>
                    <w:t>危废暂存间</w:t>
                  </w:r>
                </w:p>
              </w:tc>
            </w:tr>
            <w:tr w14:paraId="4760DD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14" w:type="dxa"/>
                  <w:vAlign w:val="center"/>
                </w:tcPr>
                <w:p w14:paraId="2CEC8F00">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vertAlign w:val="baseline"/>
                      <w:lang w:val="en-US" w:eastAsia="zh-CN"/>
                    </w:rPr>
                    <w:t>危险废物名称</w:t>
                  </w:r>
                </w:p>
              </w:tc>
              <w:tc>
                <w:tcPr>
                  <w:tcW w:w="1140" w:type="dxa"/>
                  <w:vAlign w:val="center"/>
                </w:tcPr>
                <w:p w14:paraId="7DF19595">
                  <w:pPr>
                    <w:numPr>
                      <w:ilvl w:val="0"/>
                      <w:numId w:val="0"/>
                    </w:numPr>
                    <w:bidi w:val="0"/>
                    <w:spacing w:line="240" w:lineRule="auto"/>
                    <w:jc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b w:val="0"/>
                      <w:bCs w:val="0"/>
                      <w:sz w:val="18"/>
                      <w:szCs w:val="18"/>
                      <w:vertAlign w:val="baseline"/>
                      <w:lang w:val="en-US" w:eastAsia="zh-CN"/>
                    </w:rPr>
                    <w:t>废棉纱手套</w:t>
                  </w:r>
                </w:p>
              </w:tc>
              <w:tc>
                <w:tcPr>
                  <w:tcW w:w="1060" w:type="dxa"/>
                  <w:vAlign w:val="center"/>
                </w:tcPr>
                <w:p w14:paraId="59DFCDE3">
                  <w:pPr>
                    <w:numPr>
                      <w:ilvl w:val="0"/>
                      <w:numId w:val="0"/>
                    </w:numPr>
                    <w:bidi w:val="0"/>
                    <w:spacing w:line="240" w:lineRule="auto"/>
                    <w:jc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b w:val="0"/>
                      <w:bCs w:val="0"/>
                      <w:sz w:val="21"/>
                      <w:szCs w:val="21"/>
                      <w:vertAlign w:val="baseline"/>
                      <w:lang w:val="en-US" w:eastAsia="zh-CN"/>
                    </w:rPr>
                    <w:t>废试剂瓶</w:t>
                  </w:r>
                </w:p>
              </w:tc>
              <w:tc>
                <w:tcPr>
                  <w:tcW w:w="1070" w:type="dxa"/>
                  <w:vAlign w:val="center"/>
                </w:tcPr>
                <w:p w14:paraId="6D382C2E">
                  <w:pPr>
                    <w:numPr>
                      <w:ilvl w:val="0"/>
                      <w:numId w:val="0"/>
                    </w:numPr>
                    <w:bidi w:val="0"/>
                    <w:spacing w:line="240" w:lineRule="auto"/>
                    <w:jc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b w:val="0"/>
                      <w:bCs w:val="0"/>
                      <w:sz w:val="21"/>
                      <w:szCs w:val="21"/>
                      <w:vertAlign w:val="baseline"/>
                      <w:lang w:val="en-US" w:eastAsia="zh-CN"/>
                    </w:rPr>
                    <w:t>实验废液</w:t>
                  </w:r>
                </w:p>
              </w:tc>
              <w:tc>
                <w:tcPr>
                  <w:tcW w:w="1179" w:type="dxa"/>
                  <w:vAlign w:val="center"/>
                </w:tcPr>
                <w:p w14:paraId="473FE5EC">
                  <w:pPr>
                    <w:numPr>
                      <w:ilvl w:val="0"/>
                      <w:numId w:val="0"/>
                    </w:numPr>
                    <w:bidi w:val="0"/>
                    <w:spacing w:line="240" w:lineRule="auto"/>
                    <w:jc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b w:val="0"/>
                      <w:bCs w:val="0"/>
                      <w:sz w:val="21"/>
                      <w:szCs w:val="21"/>
                      <w:vertAlign w:val="baseline"/>
                      <w:lang w:val="en-US" w:eastAsia="zh-CN"/>
                    </w:rPr>
                    <w:t>废活性炭</w:t>
                  </w:r>
                </w:p>
              </w:tc>
              <w:tc>
                <w:tcPr>
                  <w:tcW w:w="1179" w:type="dxa"/>
                  <w:vAlign w:val="center"/>
                </w:tcPr>
                <w:p w14:paraId="40C1717A">
                  <w:pPr>
                    <w:numPr>
                      <w:ilvl w:val="0"/>
                      <w:numId w:val="0"/>
                    </w:numPr>
                    <w:bidi w:val="0"/>
                    <w:spacing w:line="240" w:lineRule="auto"/>
                    <w:jc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b w:val="0"/>
                      <w:bCs w:val="0"/>
                      <w:sz w:val="21"/>
                      <w:szCs w:val="21"/>
                      <w:vertAlign w:val="baseline"/>
                      <w:lang w:val="en-US" w:eastAsia="zh-CN"/>
                    </w:rPr>
                    <w:t>油泥</w:t>
                  </w:r>
                </w:p>
              </w:tc>
              <w:tc>
                <w:tcPr>
                  <w:tcW w:w="1181" w:type="dxa"/>
                  <w:vAlign w:val="center"/>
                </w:tcPr>
                <w:p w14:paraId="717EDB6E">
                  <w:pPr>
                    <w:numPr>
                      <w:ilvl w:val="0"/>
                      <w:numId w:val="0"/>
                    </w:numPr>
                    <w:bidi w:val="0"/>
                    <w:spacing w:line="240" w:lineRule="auto"/>
                    <w:jc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b w:val="0"/>
                      <w:bCs w:val="0"/>
                      <w:sz w:val="21"/>
                      <w:szCs w:val="21"/>
                      <w:vertAlign w:val="baseline"/>
                      <w:lang w:val="en-US" w:eastAsia="zh-CN"/>
                    </w:rPr>
                    <w:t>废油桶</w:t>
                  </w:r>
                </w:p>
              </w:tc>
            </w:tr>
            <w:tr w14:paraId="05446F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14" w:type="dxa"/>
                  <w:vAlign w:val="center"/>
                </w:tcPr>
                <w:p w14:paraId="08C42492">
                  <w:pPr>
                    <w:numPr>
                      <w:ilvl w:val="0"/>
                      <w:numId w:val="0"/>
                    </w:numPr>
                    <w:bidi w:val="0"/>
                    <w:spacing w:line="240" w:lineRule="auto"/>
                    <w:jc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b w:val="0"/>
                      <w:bCs w:val="0"/>
                      <w:sz w:val="21"/>
                      <w:szCs w:val="21"/>
                      <w:vertAlign w:val="baseline"/>
                      <w:lang w:val="en-US" w:eastAsia="zh-CN"/>
                    </w:rPr>
                    <w:t>危险废物类别</w:t>
                  </w:r>
                </w:p>
              </w:tc>
              <w:tc>
                <w:tcPr>
                  <w:tcW w:w="1140" w:type="dxa"/>
                  <w:vAlign w:val="center"/>
                </w:tcPr>
                <w:p w14:paraId="02EA1A6C">
                  <w:pPr>
                    <w:numPr>
                      <w:ilvl w:val="0"/>
                      <w:numId w:val="0"/>
                    </w:numPr>
                    <w:bidi w:val="0"/>
                    <w:spacing w:line="240" w:lineRule="auto"/>
                    <w:jc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b w:val="0"/>
                      <w:bCs w:val="0"/>
                      <w:sz w:val="21"/>
                      <w:szCs w:val="21"/>
                      <w:vertAlign w:val="baseline"/>
                      <w:lang w:val="en-US" w:eastAsia="zh-CN"/>
                    </w:rPr>
                    <w:t>HW49</w:t>
                  </w:r>
                </w:p>
              </w:tc>
              <w:tc>
                <w:tcPr>
                  <w:tcW w:w="1060" w:type="dxa"/>
                  <w:vAlign w:val="center"/>
                </w:tcPr>
                <w:p w14:paraId="1583B89D">
                  <w:pPr>
                    <w:numPr>
                      <w:ilvl w:val="0"/>
                      <w:numId w:val="0"/>
                    </w:numPr>
                    <w:bidi w:val="0"/>
                    <w:spacing w:line="240" w:lineRule="auto"/>
                    <w:jc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b w:val="0"/>
                      <w:bCs w:val="0"/>
                      <w:sz w:val="21"/>
                      <w:szCs w:val="21"/>
                      <w:vertAlign w:val="baseline"/>
                      <w:lang w:val="en-US" w:eastAsia="zh-CN"/>
                    </w:rPr>
                    <w:t>HW49</w:t>
                  </w:r>
                </w:p>
              </w:tc>
              <w:tc>
                <w:tcPr>
                  <w:tcW w:w="1070" w:type="dxa"/>
                  <w:vAlign w:val="center"/>
                </w:tcPr>
                <w:p w14:paraId="2CFC3C8F">
                  <w:pPr>
                    <w:numPr>
                      <w:ilvl w:val="0"/>
                      <w:numId w:val="0"/>
                    </w:numPr>
                    <w:bidi w:val="0"/>
                    <w:spacing w:line="240" w:lineRule="auto"/>
                    <w:jc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b w:val="0"/>
                      <w:bCs w:val="0"/>
                      <w:sz w:val="21"/>
                      <w:szCs w:val="21"/>
                      <w:vertAlign w:val="baseline"/>
                      <w:lang w:val="en-US" w:eastAsia="zh-CN"/>
                    </w:rPr>
                    <w:t>HW49</w:t>
                  </w:r>
                </w:p>
              </w:tc>
              <w:tc>
                <w:tcPr>
                  <w:tcW w:w="1179" w:type="dxa"/>
                  <w:vAlign w:val="center"/>
                </w:tcPr>
                <w:p w14:paraId="43488B24">
                  <w:pPr>
                    <w:numPr>
                      <w:ilvl w:val="0"/>
                      <w:numId w:val="0"/>
                    </w:numPr>
                    <w:bidi w:val="0"/>
                    <w:spacing w:line="240" w:lineRule="auto"/>
                    <w:jc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b w:val="0"/>
                      <w:bCs w:val="0"/>
                      <w:sz w:val="21"/>
                      <w:szCs w:val="21"/>
                      <w:vertAlign w:val="baseline"/>
                      <w:lang w:val="en-US" w:eastAsia="zh-CN"/>
                    </w:rPr>
                    <w:t>HW49</w:t>
                  </w:r>
                </w:p>
              </w:tc>
              <w:tc>
                <w:tcPr>
                  <w:tcW w:w="1179" w:type="dxa"/>
                  <w:vAlign w:val="center"/>
                </w:tcPr>
                <w:p w14:paraId="5B6C9B35">
                  <w:pPr>
                    <w:numPr>
                      <w:ilvl w:val="0"/>
                      <w:numId w:val="0"/>
                    </w:numPr>
                    <w:bidi w:val="0"/>
                    <w:spacing w:line="240" w:lineRule="auto"/>
                    <w:jc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b w:val="0"/>
                      <w:bCs w:val="0"/>
                      <w:sz w:val="21"/>
                      <w:szCs w:val="21"/>
                      <w:vertAlign w:val="baseline"/>
                      <w:lang w:val="en-US" w:eastAsia="zh-CN"/>
                    </w:rPr>
                    <w:t>HW08</w:t>
                  </w:r>
                </w:p>
              </w:tc>
              <w:tc>
                <w:tcPr>
                  <w:tcW w:w="1181" w:type="dxa"/>
                  <w:vAlign w:val="center"/>
                </w:tcPr>
                <w:p w14:paraId="517B28D6">
                  <w:pPr>
                    <w:numPr>
                      <w:ilvl w:val="0"/>
                      <w:numId w:val="0"/>
                    </w:numPr>
                    <w:bidi w:val="0"/>
                    <w:spacing w:line="240" w:lineRule="auto"/>
                    <w:jc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b w:val="0"/>
                      <w:bCs w:val="0"/>
                      <w:sz w:val="21"/>
                      <w:szCs w:val="21"/>
                      <w:vertAlign w:val="baseline"/>
                      <w:lang w:val="en-US" w:eastAsia="zh-CN"/>
                    </w:rPr>
                    <w:t>HW08</w:t>
                  </w:r>
                </w:p>
              </w:tc>
            </w:tr>
            <w:tr w14:paraId="69ED17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14" w:type="dxa"/>
                  <w:vAlign w:val="center"/>
                </w:tcPr>
                <w:p w14:paraId="5EC7C9E4">
                  <w:pPr>
                    <w:numPr>
                      <w:ilvl w:val="0"/>
                      <w:numId w:val="0"/>
                    </w:numPr>
                    <w:bidi w:val="0"/>
                    <w:spacing w:line="240" w:lineRule="auto"/>
                    <w:jc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b w:val="0"/>
                      <w:bCs w:val="0"/>
                      <w:sz w:val="21"/>
                      <w:szCs w:val="21"/>
                      <w:vertAlign w:val="baseline"/>
                      <w:lang w:val="en-US" w:eastAsia="zh-CN"/>
                    </w:rPr>
                    <w:t>危险废物代码</w:t>
                  </w:r>
                </w:p>
              </w:tc>
              <w:tc>
                <w:tcPr>
                  <w:tcW w:w="1140" w:type="dxa"/>
                  <w:vAlign w:val="center"/>
                </w:tcPr>
                <w:p w14:paraId="7898354A">
                  <w:pPr>
                    <w:numPr>
                      <w:ilvl w:val="0"/>
                      <w:numId w:val="0"/>
                    </w:numPr>
                    <w:bidi w:val="0"/>
                    <w:spacing w:line="240" w:lineRule="auto"/>
                    <w:jc w:val="center"/>
                    <w:rPr>
                      <w:rFonts w:hint="default" w:ascii="Times New Roman" w:hAnsi="Times New Roman" w:eastAsia="宋体" w:cs="Times New Roman"/>
                      <w:b w:val="0"/>
                      <w:bCs w:val="0"/>
                      <w:sz w:val="18"/>
                      <w:szCs w:val="18"/>
                      <w:vertAlign w:val="baseline"/>
                      <w:lang w:val="en-US" w:eastAsia="zh-CN"/>
                    </w:rPr>
                  </w:pPr>
                  <w:r>
                    <w:rPr>
                      <w:rFonts w:hint="default" w:ascii="Times New Roman" w:hAnsi="Times New Roman" w:eastAsia="宋体" w:cs="Times New Roman"/>
                      <w:b w:val="0"/>
                      <w:bCs w:val="0"/>
                      <w:sz w:val="18"/>
                      <w:szCs w:val="18"/>
                      <w:vertAlign w:val="baseline"/>
                      <w:lang w:val="en-US" w:eastAsia="zh-CN"/>
                    </w:rPr>
                    <w:t>900-041-49</w:t>
                  </w:r>
                </w:p>
              </w:tc>
              <w:tc>
                <w:tcPr>
                  <w:tcW w:w="1060" w:type="dxa"/>
                  <w:vAlign w:val="center"/>
                </w:tcPr>
                <w:p w14:paraId="7F3E56EF">
                  <w:pPr>
                    <w:numPr>
                      <w:ilvl w:val="0"/>
                      <w:numId w:val="0"/>
                    </w:numPr>
                    <w:bidi w:val="0"/>
                    <w:spacing w:line="240" w:lineRule="auto"/>
                    <w:jc w:val="center"/>
                    <w:rPr>
                      <w:rFonts w:hint="default" w:ascii="Times New Roman" w:hAnsi="Times New Roman" w:eastAsia="宋体" w:cs="Times New Roman"/>
                      <w:b w:val="0"/>
                      <w:bCs w:val="0"/>
                      <w:sz w:val="18"/>
                      <w:szCs w:val="18"/>
                      <w:vertAlign w:val="baseline"/>
                      <w:lang w:val="en-US" w:eastAsia="zh-CN"/>
                    </w:rPr>
                  </w:pPr>
                  <w:r>
                    <w:rPr>
                      <w:rFonts w:hint="default" w:ascii="Times New Roman" w:hAnsi="Times New Roman" w:eastAsia="宋体" w:cs="Times New Roman"/>
                      <w:b w:val="0"/>
                      <w:bCs w:val="0"/>
                      <w:sz w:val="18"/>
                      <w:szCs w:val="18"/>
                      <w:vertAlign w:val="baseline"/>
                      <w:lang w:val="en-US" w:eastAsia="zh-CN"/>
                    </w:rPr>
                    <w:t>900-041-49</w:t>
                  </w:r>
                </w:p>
              </w:tc>
              <w:tc>
                <w:tcPr>
                  <w:tcW w:w="1070" w:type="dxa"/>
                  <w:vAlign w:val="center"/>
                </w:tcPr>
                <w:p w14:paraId="6D153D7B">
                  <w:pPr>
                    <w:numPr>
                      <w:ilvl w:val="0"/>
                      <w:numId w:val="0"/>
                    </w:numPr>
                    <w:bidi w:val="0"/>
                    <w:spacing w:line="240" w:lineRule="auto"/>
                    <w:jc w:val="center"/>
                    <w:rPr>
                      <w:rFonts w:hint="default" w:ascii="Times New Roman" w:hAnsi="Times New Roman" w:eastAsia="宋体" w:cs="Times New Roman"/>
                      <w:b w:val="0"/>
                      <w:bCs w:val="0"/>
                      <w:sz w:val="18"/>
                      <w:szCs w:val="18"/>
                      <w:vertAlign w:val="baseline"/>
                      <w:lang w:val="en-US" w:eastAsia="zh-CN"/>
                    </w:rPr>
                  </w:pPr>
                  <w:r>
                    <w:rPr>
                      <w:rFonts w:hint="default" w:ascii="Times New Roman" w:hAnsi="Times New Roman" w:eastAsia="宋体" w:cs="Times New Roman"/>
                      <w:b w:val="0"/>
                      <w:bCs w:val="0"/>
                      <w:sz w:val="18"/>
                      <w:szCs w:val="18"/>
                      <w:vertAlign w:val="baseline"/>
                      <w:lang w:val="en-US" w:eastAsia="zh-CN"/>
                    </w:rPr>
                    <w:t>900-041-49</w:t>
                  </w:r>
                </w:p>
              </w:tc>
              <w:tc>
                <w:tcPr>
                  <w:tcW w:w="1179" w:type="dxa"/>
                  <w:vAlign w:val="center"/>
                </w:tcPr>
                <w:p w14:paraId="7120E4DA">
                  <w:pPr>
                    <w:numPr>
                      <w:ilvl w:val="0"/>
                      <w:numId w:val="0"/>
                    </w:numPr>
                    <w:bidi w:val="0"/>
                    <w:spacing w:line="240" w:lineRule="auto"/>
                    <w:jc w:val="center"/>
                    <w:rPr>
                      <w:rFonts w:hint="default" w:ascii="Times New Roman" w:hAnsi="Times New Roman" w:eastAsia="宋体" w:cs="Times New Roman"/>
                      <w:b w:val="0"/>
                      <w:bCs w:val="0"/>
                      <w:sz w:val="18"/>
                      <w:szCs w:val="18"/>
                      <w:vertAlign w:val="baseline"/>
                      <w:lang w:val="en-US" w:eastAsia="zh-CN"/>
                    </w:rPr>
                  </w:pPr>
                  <w:r>
                    <w:rPr>
                      <w:rFonts w:hint="default" w:ascii="Times New Roman" w:hAnsi="Times New Roman" w:eastAsia="宋体" w:cs="Times New Roman"/>
                      <w:b w:val="0"/>
                      <w:bCs w:val="0"/>
                      <w:sz w:val="18"/>
                      <w:szCs w:val="18"/>
                      <w:vertAlign w:val="baseline"/>
                      <w:lang w:val="en-US" w:eastAsia="zh-CN"/>
                    </w:rPr>
                    <w:t>900-039-49</w:t>
                  </w:r>
                </w:p>
              </w:tc>
              <w:tc>
                <w:tcPr>
                  <w:tcW w:w="1179" w:type="dxa"/>
                  <w:vAlign w:val="center"/>
                </w:tcPr>
                <w:p w14:paraId="2613844A">
                  <w:pPr>
                    <w:numPr>
                      <w:ilvl w:val="0"/>
                      <w:numId w:val="0"/>
                    </w:numPr>
                    <w:bidi w:val="0"/>
                    <w:spacing w:line="240" w:lineRule="auto"/>
                    <w:jc w:val="center"/>
                    <w:rPr>
                      <w:rFonts w:hint="default" w:ascii="Times New Roman" w:hAnsi="Times New Roman" w:eastAsia="宋体" w:cs="Times New Roman"/>
                      <w:b w:val="0"/>
                      <w:bCs w:val="0"/>
                      <w:sz w:val="18"/>
                      <w:szCs w:val="18"/>
                      <w:vertAlign w:val="baseline"/>
                      <w:lang w:val="en-US" w:eastAsia="zh-CN"/>
                    </w:rPr>
                  </w:pPr>
                  <w:r>
                    <w:rPr>
                      <w:rFonts w:hint="default" w:ascii="Times New Roman" w:hAnsi="Times New Roman" w:eastAsia="宋体" w:cs="Times New Roman"/>
                      <w:b w:val="0"/>
                      <w:bCs w:val="0"/>
                      <w:sz w:val="18"/>
                      <w:szCs w:val="18"/>
                      <w:vertAlign w:val="baseline"/>
                      <w:lang w:val="en-US" w:eastAsia="zh-CN"/>
                    </w:rPr>
                    <w:t>900-221-08</w:t>
                  </w:r>
                </w:p>
              </w:tc>
              <w:tc>
                <w:tcPr>
                  <w:tcW w:w="1181" w:type="dxa"/>
                  <w:vAlign w:val="center"/>
                </w:tcPr>
                <w:p w14:paraId="038A5BB3">
                  <w:pPr>
                    <w:numPr>
                      <w:ilvl w:val="0"/>
                      <w:numId w:val="0"/>
                    </w:numPr>
                    <w:bidi w:val="0"/>
                    <w:spacing w:line="240" w:lineRule="auto"/>
                    <w:jc w:val="center"/>
                    <w:rPr>
                      <w:rFonts w:hint="default" w:ascii="Times New Roman" w:hAnsi="Times New Roman" w:eastAsia="宋体" w:cs="Times New Roman"/>
                      <w:b w:val="0"/>
                      <w:bCs w:val="0"/>
                      <w:sz w:val="18"/>
                      <w:szCs w:val="18"/>
                      <w:vertAlign w:val="baseline"/>
                      <w:lang w:val="en-US" w:eastAsia="zh-CN"/>
                    </w:rPr>
                  </w:pPr>
                  <w:r>
                    <w:rPr>
                      <w:rFonts w:hint="default" w:ascii="Times New Roman" w:hAnsi="Times New Roman" w:eastAsia="宋体" w:cs="Times New Roman"/>
                      <w:b w:val="0"/>
                      <w:bCs w:val="0"/>
                      <w:sz w:val="18"/>
                      <w:szCs w:val="18"/>
                      <w:vertAlign w:val="baseline"/>
                      <w:lang w:val="en-US" w:eastAsia="zh-CN"/>
                    </w:rPr>
                    <w:t>900-249-08</w:t>
                  </w:r>
                </w:p>
              </w:tc>
            </w:tr>
            <w:tr w14:paraId="1FDCF6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14" w:type="dxa"/>
                  <w:vAlign w:val="center"/>
                </w:tcPr>
                <w:p w14:paraId="407FF550">
                  <w:pPr>
                    <w:numPr>
                      <w:ilvl w:val="0"/>
                      <w:numId w:val="0"/>
                    </w:numPr>
                    <w:bidi w:val="0"/>
                    <w:spacing w:line="240" w:lineRule="auto"/>
                    <w:jc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b w:val="0"/>
                      <w:bCs w:val="0"/>
                      <w:sz w:val="21"/>
                      <w:szCs w:val="21"/>
                      <w:vertAlign w:val="baseline"/>
                      <w:lang w:val="en-US" w:eastAsia="zh-CN"/>
                    </w:rPr>
                    <w:t>位置</w:t>
                  </w:r>
                </w:p>
              </w:tc>
              <w:tc>
                <w:tcPr>
                  <w:tcW w:w="6809" w:type="dxa"/>
                  <w:gridSpan w:val="6"/>
                  <w:vAlign w:val="center"/>
                </w:tcPr>
                <w:p w14:paraId="52B81FAA">
                  <w:pPr>
                    <w:numPr>
                      <w:ilvl w:val="0"/>
                      <w:numId w:val="0"/>
                    </w:numPr>
                    <w:bidi w:val="0"/>
                    <w:spacing w:line="240" w:lineRule="auto"/>
                    <w:jc w:val="center"/>
                    <w:rPr>
                      <w:rFonts w:hint="default" w:ascii="Times New Roman" w:hAnsi="Times New Roman" w:eastAsia="宋体" w:cs="Times New Roman"/>
                      <w:b w:val="0"/>
                      <w:bCs w:val="0"/>
                      <w:sz w:val="21"/>
                      <w:szCs w:val="21"/>
                      <w:vertAlign w:val="baseline"/>
                      <w:lang w:val="en-US" w:eastAsia="zh-CN"/>
                    </w:rPr>
                  </w:pPr>
                  <w:r>
                    <w:rPr>
                      <w:rFonts w:hint="eastAsia"/>
                    </w:rPr>
                    <w:t>生产车间外西侧</w:t>
                  </w:r>
                </w:p>
              </w:tc>
            </w:tr>
            <w:tr w14:paraId="698892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14" w:type="dxa"/>
                  <w:vAlign w:val="center"/>
                </w:tcPr>
                <w:p w14:paraId="561A0F7B">
                  <w:pPr>
                    <w:numPr>
                      <w:ilvl w:val="0"/>
                      <w:numId w:val="0"/>
                    </w:numPr>
                    <w:bidi w:val="0"/>
                    <w:spacing w:line="240" w:lineRule="auto"/>
                    <w:jc w:val="center"/>
                    <w:rPr>
                      <w:rFonts w:hint="default" w:ascii="Times New Roman" w:hAnsi="Times New Roman" w:eastAsia="宋体" w:cs="Times New Roman"/>
                      <w:b w:val="0"/>
                      <w:bCs w:val="0"/>
                      <w:sz w:val="21"/>
                      <w:szCs w:val="21"/>
                      <w:vertAlign w:val="baseline"/>
                      <w:lang w:val="en-US" w:eastAsia="zh-CN"/>
                    </w:rPr>
                  </w:pPr>
                  <w:r>
                    <w:rPr>
                      <w:rFonts w:hint="eastAsia"/>
                    </w:rPr>
                    <w:t>面积</w:t>
                  </w:r>
                </w:p>
              </w:tc>
              <w:tc>
                <w:tcPr>
                  <w:tcW w:w="6809" w:type="dxa"/>
                  <w:gridSpan w:val="6"/>
                  <w:vAlign w:val="center"/>
                </w:tcPr>
                <w:p w14:paraId="506E72A8">
                  <w:pPr>
                    <w:numPr>
                      <w:ilvl w:val="0"/>
                      <w:numId w:val="0"/>
                    </w:numPr>
                    <w:bidi w:val="0"/>
                    <w:spacing w:line="240" w:lineRule="auto"/>
                    <w:jc w:val="center"/>
                    <w:rPr>
                      <w:rFonts w:hint="default" w:ascii="Times New Roman" w:hAnsi="Times New Roman" w:eastAsia="宋体" w:cs="Times New Roman"/>
                      <w:b w:val="0"/>
                      <w:bCs w:val="0"/>
                      <w:sz w:val="16"/>
                      <w:szCs w:val="16"/>
                      <w:vertAlign w:val="baseline"/>
                      <w:lang w:val="en-US" w:eastAsia="zh-CN"/>
                    </w:rPr>
                  </w:pPr>
                  <w:r>
                    <w:rPr>
                      <w:rFonts w:hint="eastAsia"/>
                      <w:lang w:val="en-US" w:eastAsia="zh-CN"/>
                    </w:rPr>
                    <w:t>6</w:t>
                  </w:r>
                  <w:r>
                    <w:rPr>
                      <w:rFonts w:hint="eastAsia"/>
                    </w:rPr>
                    <w:t>m</w:t>
                  </w:r>
                  <w:r>
                    <w:rPr>
                      <w:rFonts w:hint="eastAsia"/>
                      <w:vertAlign w:val="superscript"/>
                    </w:rPr>
                    <w:t>3</w:t>
                  </w:r>
                </w:p>
              </w:tc>
            </w:tr>
            <w:tr w14:paraId="60A265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14" w:type="dxa"/>
                  <w:vAlign w:val="center"/>
                </w:tcPr>
                <w:p w14:paraId="4678E68A">
                  <w:pPr>
                    <w:numPr>
                      <w:ilvl w:val="0"/>
                      <w:numId w:val="0"/>
                    </w:numPr>
                    <w:bidi w:val="0"/>
                    <w:spacing w:line="240" w:lineRule="auto"/>
                    <w:jc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b w:val="0"/>
                      <w:bCs w:val="0"/>
                      <w:sz w:val="21"/>
                      <w:szCs w:val="21"/>
                      <w:vertAlign w:val="baseline"/>
                      <w:lang w:val="en-US" w:eastAsia="zh-CN"/>
                    </w:rPr>
                    <w:t>贮存方式</w:t>
                  </w:r>
                </w:p>
              </w:tc>
              <w:tc>
                <w:tcPr>
                  <w:tcW w:w="1140" w:type="dxa"/>
                  <w:vAlign w:val="center"/>
                </w:tcPr>
                <w:p w14:paraId="4F812FDD">
                  <w:pPr>
                    <w:numPr>
                      <w:ilvl w:val="0"/>
                      <w:numId w:val="0"/>
                    </w:numPr>
                    <w:bidi w:val="0"/>
                    <w:spacing w:line="240" w:lineRule="auto"/>
                    <w:jc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b w:val="0"/>
                      <w:bCs w:val="0"/>
                      <w:sz w:val="21"/>
                      <w:szCs w:val="21"/>
                      <w:vertAlign w:val="baseline"/>
                      <w:lang w:val="en-US" w:eastAsia="zh-CN"/>
                    </w:rPr>
                    <w:t>200L铁桶</w:t>
                  </w:r>
                </w:p>
              </w:tc>
              <w:tc>
                <w:tcPr>
                  <w:tcW w:w="2130" w:type="dxa"/>
                  <w:gridSpan w:val="2"/>
                  <w:vAlign w:val="center"/>
                </w:tcPr>
                <w:p w14:paraId="69A4BFF8">
                  <w:pPr>
                    <w:numPr>
                      <w:ilvl w:val="0"/>
                      <w:numId w:val="0"/>
                    </w:numPr>
                    <w:bidi w:val="0"/>
                    <w:spacing w:line="240" w:lineRule="auto"/>
                    <w:jc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b w:val="0"/>
                      <w:bCs w:val="0"/>
                      <w:sz w:val="21"/>
                      <w:szCs w:val="21"/>
                      <w:vertAlign w:val="baseline"/>
                      <w:lang w:val="en-US" w:eastAsia="zh-CN"/>
                    </w:rPr>
                    <w:t>200L铁桶</w:t>
                  </w:r>
                </w:p>
              </w:tc>
              <w:tc>
                <w:tcPr>
                  <w:tcW w:w="1179" w:type="dxa"/>
                  <w:vAlign w:val="center"/>
                </w:tcPr>
                <w:p w14:paraId="0F3F1D3A">
                  <w:pPr>
                    <w:numPr>
                      <w:ilvl w:val="0"/>
                      <w:numId w:val="0"/>
                    </w:numPr>
                    <w:bidi w:val="0"/>
                    <w:spacing w:line="240" w:lineRule="auto"/>
                    <w:jc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b w:val="0"/>
                      <w:bCs w:val="0"/>
                      <w:sz w:val="21"/>
                      <w:szCs w:val="21"/>
                      <w:vertAlign w:val="baseline"/>
                      <w:lang w:val="en-US" w:eastAsia="zh-CN"/>
                    </w:rPr>
                    <w:t>托盘</w:t>
                  </w:r>
                </w:p>
              </w:tc>
              <w:tc>
                <w:tcPr>
                  <w:tcW w:w="1179" w:type="dxa"/>
                  <w:vAlign w:val="center"/>
                </w:tcPr>
                <w:p w14:paraId="6C7D875B">
                  <w:pPr>
                    <w:numPr>
                      <w:ilvl w:val="0"/>
                      <w:numId w:val="0"/>
                    </w:numPr>
                    <w:bidi w:val="0"/>
                    <w:spacing w:line="240" w:lineRule="auto"/>
                    <w:ind w:left="0" w:leftChars="0" w:firstLine="0" w:firstLineChars="0"/>
                    <w:jc w:val="center"/>
                    <w:rPr>
                      <w:rFonts w:hint="default" w:ascii="Times New Roman" w:hAnsi="Times New Roman" w:eastAsia="宋体" w:cs="Times New Roman"/>
                      <w:b w:val="0"/>
                      <w:bCs w:val="0"/>
                      <w:kern w:val="2"/>
                      <w:sz w:val="21"/>
                      <w:szCs w:val="21"/>
                      <w:vertAlign w:val="baseline"/>
                      <w:lang w:val="en-US" w:eastAsia="zh-CN" w:bidi="ar-SA"/>
                    </w:rPr>
                  </w:pPr>
                  <w:r>
                    <w:rPr>
                      <w:rFonts w:hint="default" w:ascii="Times New Roman" w:hAnsi="Times New Roman" w:eastAsia="宋体" w:cs="Times New Roman"/>
                      <w:b w:val="0"/>
                      <w:bCs w:val="0"/>
                      <w:sz w:val="21"/>
                      <w:szCs w:val="21"/>
                      <w:vertAlign w:val="baseline"/>
                      <w:lang w:val="en-US" w:eastAsia="zh-CN"/>
                    </w:rPr>
                    <w:t>200L铁桶</w:t>
                  </w:r>
                </w:p>
              </w:tc>
              <w:tc>
                <w:tcPr>
                  <w:tcW w:w="1181" w:type="dxa"/>
                  <w:vAlign w:val="center"/>
                </w:tcPr>
                <w:p w14:paraId="37F78F0C">
                  <w:pPr>
                    <w:numPr>
                      <w:ilvl w:val="0"/>
                      <w:numId w:val="0"/>
                    </w:numPr>
                    <w:bidi w:val="0"/>
                    <w:spacing w:line="240" w:lineRule="auto"/>
                    <w:jc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b w:val="0"/>
                      <w:bCs w:val="0"/>
                      <w:sz w:val="21"/>
                      <w:szCs w:val="21"/>
                      <w:vertAlign w:val="baseline"/>
                      <w:lang w:val="en-US" w:eastAsia="zh-CN"/>
                    </w:rPr>
                    <w:t>托盘</w:t>
                  </w:r>
                </w:p>
              </w:tc>
            </w:tr>
            <w:tr w14:paraId="2292A3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14" w:type="dxa"/>
                  <w:vAlign w:val="center"/>
                </w:tcPr>
                <w:p w14:paraId="2DA0173B">
                  <w:pPr>
                    <w:numPr>
                      <w:ilvl w:val="0"/>
                      <w:numId w:val="0"/>
                    </w:numPr>
                    <w:bidi w:val="0"/>
                    <w:spacing w:line="240" w:lineRule="auto"/>
                    <w:jc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b w:val="0"/>
                      <w:bCs w:val="0"/>
                      <w:sz w:val="21"/>
                      <w:szCs w:val="21"/>
                      <w:vertAlign w:val="baseline"/>
                      <w:lang w:val="en-US" w:eastAsia="zh-CN"/>
                    </w:rPr>
                    <w:t>贮存能力</w:t>
                  </w:r>
                </w:p>
              </w:tc>
              <w:tc>
                <w:tcPr>
                  <w:tcW w:w="1140" w:type="dxa"/>
                  <w:vAlign w:val="center"/>
                </w:tcPr>
                <w:p w14:paraId="0C7902A1">
                  <w:pPr>
                    <w:numPr>
                      <w:ilvl w:val="0"/>
                      <w:numId w:val="0"/>
                    </w:numPr>
                    <w:bidi w:val="0"/>
                    <w:spacing w:line="240" w:lineRule="auto"/>
                    <w:jc w:val="center"/>
                    <w:rPr>
                      <w:rFonts w:hint="default" w:ascii="Times New Roman" w:hAnsi="Times New Roman" w:eastAsia="宋体" w:cs="Times New Roman"/>
                      <w:b w:val="0"/>
                      <w:bCs w:val="0"/>
                      <w:sz w:val="21"/>
                      <w:szCs w:val="21"/>
                      <w:vertAlign w:val="baseline"/>
                      <w:lang w:val="en-US" w:eastAsia="zh-CN"/>
                    </w:rPr>
                  </w:pPr>
                  <w:r>
                    <w:rPr>
                      <w:rFonts w:hint="eastAsia" w:cs="Times New Roman"/>
                      <w:b w:val="0"/>
                      <w:bCs w:val="0"/>
                      <w:sz w:val="21"/>
                      <w:szCs w:val="21"/>
                      <w:vertAlign w:val="baseline"/>
                      <w:lang w:val="en-US" w:eastAsia="zh-CN"/>
                    </w:rPr>
                    <w:t>0.1t</w:t>
                  </w:r>
                </w:p>
              </w:tc>
              <w:tc>
                <w:tcPr>
                  <w:tcW w:w="1060" w:type="dxa"/>
                  <w:vAlign w:val="center"/>
                </w:tcPr>
                <w:p w14:paraId="3910B243">
                  <w:pPr>
                    <w:numPr>
                      <w:ilvl w:val="0"/>
                      <w:numId w:val="0"/>
                    </w:numPr>
                    <w:bidi w:val="0"/>
                    <w:spacing w:line="240" w:lineRule="auto"/>
                    <w:jc w:val="center"/>
                    <w:rPr>
                      <w:rFonts w:hint="default" w:ascii="Times New Roman" w:hAnsi="Times New Roman" w:eastAsia="宋体" w:cs="Times New Roman"/>
                      <w:b w:val="0"/>
                      <w:bCs w:val="0"/>
                      <w:sz w:val="21"/>
                      <w:szCs w:val="21"/>
                      <w:vertAlign w:val="baseline"/>
                      <w:lang w:val="en-US" w:eastAsia="zh-CN"/>
                    </w:rPr>
                  </w:pPr>
                  <w:r>
                    <w:rPr>
                      <w:rFonts w:hint="eastAsia" w:cs="Times New Roman"/>
                      <w:b w:val="0"/>
                      <w:bCs w:val="0"/>
                      <w:sz w:val="21"/>
                      <w:szCs w:val="21"/>
                      <w:vertAlign w:val="baseline"/>
                      <w:lang w:val="en-US" w:eastAsia="zh-CN"/>
                    </w:rPr>
                    <w:t>0.1t</w:t>
                  </w:r>
                </w:p>
              </w:tc>
              <w:tc>
                <w:tcPr>
                  <w:tcW w:w="1070" w:type="dxa"/>
                  <w:vAlign w:val="center"/>
                </w:tcPr>
                <w:p w14:paraId="04AF337F">
                  <w:pPr>
                    <w:numPr>
                      <w:ilvl w:val="0"/>
                      <w:numId w:val="0"/>
                    </w:numPr>
                    <w:bidi w:val="0"/>
                    <w:spacing w:line="240" w:lineRule="auto"/>
                    <w:jc w:val="center"/>
                    <w:rPr>
                      <w:rFonts w:hint="default" w:ascii="Times New Roman" w:hAnsi="Times New Roman" w:eastAsia="宋体" w:cs="Times New Roman"/>
                      <w:b w:val="0"/>
                      <w:bCs w:val="0"/>
                      <w:sz w:val="18"/>
                      <w:szCs w:val="18"/>
                      <w:vertAlign w:val="baseline"/>
                      <w:lang w:val="en-US" w:eastAsia="zh-CN"/>
                    </w:rPr>
                  </w:pPr>
                  <w:r>
                    <w:rPr>
                      <w:rFonts w:hint="eastAsia" w:cs="Times New Roman"/>
                      <w:b w:val="0"/>
                      <w:bCs w:val="0"/>
                      <w:sz w:val="21"/>
                      <w:szCs w:val="21"/>
                      <w:vertAlign w:val="baseline"/>
                      <w:lang w:val="en-US" w:eastAsia="zh-CN"/>
                    </w:rPr>
                    <w:t>0.1t</w:t>
                  </w:r>
                </w:p>
              </w:tc>
              <w:tc>
                <w:tcPr>
                  <w:tcW w:w="1179" w:type="dxa"/>
                  <w:vAlign w:val="center"/>
                </w:tcPr>
                <w:p w14:paraId="527FD694">
                  <w:pPr>
                    <w:numPr>
                      <w:ilvl w:val="0"/>
                      <w:numId w:val="0"/>
                    </w:numPr>
                    <w:bidi w:val="0"/>
                    <w:spacing w:line="240" w:lineRule="auto"/>
                    <w:jc w:val="center"/>
                    <w:rPr>
                      <w:rFonts w:hint="default" w:ascii="Times New Roman" w:hAnsi="Times New Roman" w:eastAsia="宋体" w:cs="Times New Roman"/>
                      <w:b w:val="0"/>
                      <w:bCs w:val="0"/>
                      <w:sz w:val="21"/>
                      <w:szCs w:val="21"/>
                      <w:vertAlign w:val="baseline"/>
                      <w:lang w:val="en-US" w:eastAsia="zh-CN"/>
                    </w:rPr>
                  </w:pPr>
                  <w:r>
                    <w:rPr>
                      <w:rFonts w:hint="eastAsia" w:cs="Times New Roman"/>
                      <w:b w:val="0"/>
                      <w:bCs w:val="0"/>
                      <w:sz w:val="21"/>
                      <w:szCs w:val="21"/>
                      <w:vertAlign w:val="baseline"/>
                      <w:lang w:val="en-US" w:eastAsia="zh-CN"/>
                    </w:rPr>
                    <w:t>0.5t</w:t>
                  </w:r>
                </w:p>
              </w:tc>
              <w:tc>
                <w:tcPr>
                  <w:tcW w:w="1179" w:type="dxa"/>
                  <w:vAlign w:val="center"/>
                </w:tcPr>
                <w:p w14:paraId="6EABA77D">
                  <w:pPr>
                    <w:numPr>
                      <w:ilvl w:val="0"/>
                      <w:numId w:val="0"/>
                    </w:numPr>
                    <w:bidi w:val="0"/>
                    <w:spacing w:line="240" w:lineRule="auto"/>
                    <w:jc w:val="center"/>
                    <w:rPr>
                      <w:rFonts w:hint="default" w:ascii="Times New Roman" w:hAnsi="Times New Roman" w:eastAsia="宋体" w:cs="Times New Roman"/>
                      <w:b w:val="0"/>
                      <w:bCs w:val="0"/>
                      <w:sz w:val="21"/>
                      <w:szCs w:val="21"/>
                      <w:vertAlign w:val="baseline"/>
                      <w:lang w:val="en-US" w:eastAsia="zh-CN"/>
                    </w:rPr>
                  </w:pPr>
                  <w:r>
                    <w:rPr>
                      <w:rFonts w:hint="eastAsia" w:cs="Times New Roman"/>
                      <w:b w:val="0"/>
                      <w:bCs w:val="0"/>
                      <w:sz w:val="21"/>
                      <w:szCs w:val="21"/>
                      <w:vertAlign w:val="baseline"/>
                      <w:lang w:val="en-US" w:eastAsia="zh-CN"/>
                    </w:rPr>
                    <w:t>0.15t</w:t>
                  </w:r>
                </w:p>
              </w:tc>
              <w:tc>
                <w:tcPr>
                  <w:tcW w:w="1181" w:type="dxa"/>
                  <w:vAlign w:val="center"/>
                </w:tcPr>
                <w:p w14:paraId="7F36101E">
                  <w:pPr>
                    <w:numPr>
                      <w:ilvl w:val="0"/>
                      <w:numId w:val="0"/>
                    </w:numPr>
                    <w:bidi w:val="0"/>
                    <w:spacing w:line="240" w:lineRule="auto"/>
                    <w:jc w:val="center"/>
                    <w:rPr>
                      <w:rFonts w:hint="default" w:ascii="Times New Roman" w:hAnsi="Times New Roman" w:eastAsia="宋体" w:cs="Times New Roman"/>
                      <w:b w:val="0"/>
                      <w:bCs w:val="0"/>
                      <w:sz w:val="21"/>
                      <w:szCs w:val="21"/>
                      <w:vertAlign w:val="baseline"/>
                      <w:lang w:val="en-US" w:eastAsia="zh-CN"/>
                    </w:rPr>
                  </w:pPr>
                  <w:r>
                    <w:rPr>
                      <w:rFonts w:hint="eastAsia" w:cs="Times New Roman"/>
                      <w:b w:val="0"/>
                      <w:bCs w:val="0"/>
                      <w:sz w:val="21"/>
                      <w:szCs w:val="21"/>
                      <w:vertAlign w:val="baseline"/>
                      <w:lang w:val="en-US" w:eastAsia="zh-CN"/>
                    </w:rPr>
                    <w:t>0.5t</w:t>
                  </w:r>
                </w:p>
              </w:tc>
            </w:tr>
            <w:tr w14:paraId="0EB547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14" w:type="dxa"/>
                  <w:vAlign w:val="center"/>
                </w:tcPr>
                <w:p w14:paraId="7726F0D4">
                  <w:pPr>
                    <w:numPr>
                      <w:ilvl w:val="0"/>
                      <w:numId w:val="0"/>
                    </w:numPr>
                    <w:bidi w:val="0"/>
                    <w:spacing w:line="240" w:lineRule="auto"/>
                    <w:jc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b w:val="0"/>
                      <w:bCs w:val="0"/>
                      <w:sz w:val="21"/>
                      <w:szCs w:val="21"/>
                      <w:vertAlign w:val="baseline"/>
                      <w:lang w:val="en-US" w:eastAsia="zh-CN"/>
                    </w:rPr>
                    <w:t>贮存周期</w:t>
                  </w:r>
                </w:p>
              </w:tc>
              <w:tc>
                <w:tcPr>
                  <w:tcW w:w="1140" w:type="dxa"/>
                  <w:vAlign w:val="center"/>
                </w:tcPr>
                <w:p w14:paraId="4E906A86">
                  <w:pPr>
                    <w:numPr>
                      <w:ilvl w:val="0"/>
                      <w:numId w:val="0"/>
                    </w:numPr>
                    <w:bidi w:val="0"/>
                    <w:spacing w:line="240" w:lineRule="auto"/>
                    <w:jc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b w:val="0"/>
                      <w:bCs w:val="0"/>
                      <w:sz w:val="21"/>
                      <w:szCs w:val="21"/>
                      <w:vertAlign w:val="baseline"/>
                      <w:lang w:val="en-US" w:eastAsia="zh-CN"/>
                    </w:rPr>
                    <w:t>半年</w:t>
                  </w:r>
                </w:p>
              </w:tc>
              <w:tc>
                <w:tcPr>
                  <w:tcW w:w="1060" w:type="dxa"/>
                  <w:vAlign w:val="center"/>
                </w:tcPr>
                <w:p w14:paraId="2681E82B">
                  <w:pPr>
                    <w:numPr>
                      <w:ilvl w:val="0"/>
                      <w:numId w:val="0"/>
                    </w:numPr>
                    <w:bidi w:val="0"/>
                    <w:spacing w:line="240" w:lineRule="auto"/>
                    <w:jc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b w:val="0"/>
                      <w:bCs w:val="0"/>
                      <w:sz w:val="21"/>
                      <w:szCs w:val="21"/>
                      <w:vertAlign w:val="baseline"/>
                      <w:lang w:val="en-US" w:eastAsia="zh-CN"/>
                    </w:rPr>
                    <w:t>半年</w:t>
                  </w:r>
                </w:p>
              </w:tc>
              <w:tc>
                <w:tcPr>
                  <w:tcW w:w="1070" w:type="dxa"/>
                  <w:vAlign w:val="center"/>
                </w:tcPr>
                <w:p w14:paraId="06018EBA">
                  <w:pPr>
                    <w:numPr>
                      <w:ilvl w:val="0"/>
                      <w:numId w:val="0"/>
                    </w:numPr>
                    <w:bidi w:val="0"/>
                    <w:spacing w:line="240" w:lineRule="auto"/>
                    <w:jc w:val="center"/>
                    <w:rPr>
                      <w:rFonts w:hint="default" w:ascii="Times New Roman" w:hAnsi="Times New Roman" w:eastAsia="宋体" w:cs="Times New Roman"/>
                      <w:b w:val="0"/>
                      <w:bCs w:val="0"/>
                      <w:sz w:val="18"/>
                      <w:szCs w:val="18"/>
                      <w:vertAlign w:val="baseline"/>
                      <w:lang w:val="en-US" w:eastAsia="zh-CN"/>
                    </w:rPr>
                  </w:pPr>
                  <w:r>
                    <w:rPr>
                      <w:rFonts w:hint="default" w:ascii="Times New Roman" w:hAnsi="Times New Roman" w:eastAsia="宋体" w:cs="Times New Roman"/>
                      <w:b w:val="0"/>
                      <w:bCs w:val="0"/>
                      <w:sz w:val="21"/>
                      <w:szCs w:val="21"/>
                      <w:vertAlign w:val="baseline"/>
                      <w:lang w:val="en-US" w:eastAsia="zh-CN"/>
                    </w:rPr>
                    <w:t>半年</w:t>
                  </w:r>
                </w:p>
              </w:tc>
              <w:tc>
                <w:tcPr>
                  <w:tcW w:w="1179" w:type="dxa"/>
                  <w:vAlign w:val="center"/>
                </w:tcPr>
                <w:p w14:paraId="7E07DDC7">
                  <w:pPr>
                    <w:numPr>
                      <w:ilvl w:val="0"/>
                      <w:numId w:val="0"/>
                    </w:numPr>
                    <w:bidi w:val="0"/>
                    <w:spacing w:line="240" w:lineRule="auto"/>
                    <w:jc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b w:val="0"/>
                      <w:bCs w:val="0"/>
                      <w:sz w:val="21"/>
                      <w:szCs w:val="21"/>
                      <w:vertAlign w:val="baseline"/>
                      <w:lang w:val="en-US" w:eastAsia="zh-CN"/>
                    </w:rPr>
                    <w:t>随时</w:t>
                  </w:r>
                </w:p>
              </w:tc>
              <w:tc>
                <w:tcPr>
                  <w:tcW w:w="1179" w:type="dxa"/>
                  <w:vAlign w:val="center"/>
                </w:tcPr>
                <w:p w14:paraId="2C7A89F9">
                  <w:pPr>
                    <w:numPr>
                      <w:ilvl w:val="0"/>
                      <w:numId w:val="0"/>
                    </w:numPr>
                    <w:bidi w:val="0"/>
                    <w:spacing w:line="240" w:lineRule="auto"/>
                    <w:jc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b w:val="0"/>
                      <w:bCs w:val="0"/>
                      <w:sz w:val="21"/>
                      <w:szCs w:val="21"/>
                      <w:vertAlign w:val="baseline"/>
                      <w:lang w:val="en-US" w:eastAsia="zh-CN"/>
                    </w:rPr>
                    <w:t>半年</w:t>
                  </w:r>
                </w:p>
              </w:tc>
              <w:tc>
                <w:tcPr>
                  <w:tcW w:w="1181" w:type="dxa"/>
                  <w:vAlign w:val="center"/>
                </w:tcPr>
                <w:p w14:paraId="748C1888">
                  <w:pPr>
                    <w:numPr>
                      <w:ilvl w:val="0"/>
                      <w:numId w:val="0"/>
                    </w:numPr>
                    <w:bidi w:val="0"/>
                    <w:spacing w:line="240" w:lineRule="auto"/>
                    <w:jc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b w:val="0"/>
                      <w:bCs w:val="0"/>
                      <w:sz w:val="21"/>
                      <w:szCs w:val="21"/>
                      <w:vertAlign w:val="baseline"/>
                      <w:lang w:val="en-US" w:eastAsia="zh-CN"/>
                    </w:rPr>
                    <w:t>半年</w:t>
                  </w:r>
                </w:p>
              </w:tc>
            </w:tr>
          </w:tbl>
          <w:p w14:paraId="5B070F3C">
            <w:pPr>
              <w:numPr>
                <w:ilvl w:val="0"/>
                <w:numId w:val="0"/>
              </w:numPr>
              <w:bidi w:val="0"/>
              <w:spacing w:line="360" w:lineRule="auto"/>
              <w:ind w:firstLine="482" w:firstLineChars="200"/>
              <w:rPr>
                <w:rFonts w:hint="eastAsia" w:cs="Times New Roman"/>
                <w:b/>
                <w:bCs/>
                <w:sz w:val="24"/>
                <w:szCs w:val="24"/>
                <w:lang w:val="en-US" w:eastAsia="zh-CN"/>
              </w:rPr>
            </w:pPr>
            <w:r>
              <w:rPr>
                <w:rFonts w:hint="eastAsia" w:cs="Times New Roman"/>
                <w:b/>
                <w:bCs/>
                <w:sz w:val="24"/>
                <w:szCs w:val="24"/>
                <w:lang w:val="en-US" w:eastAsia="zh-CN"/>
              </w:rPr>
              <w:t>③危险废物环境影响分析</w:t>
            </w:r>
          </w:p>
          <w:p w14:paraId="60320AEF">
            <w:pPr>
              <w:numPr>
                <w:ilvl w:val="0"/>
                <w:numId w:val="66"/>
              </w:numPr>
              <w:bidi w:val="0"/>
              <w:spacing w:line="360" w:lineRule="auto"/>
              <w:ind w:firstLine="480" w:firstLineChars="200"/>
              <w:rPr>
                <w:rFonts w:hint="eastAsia" w:cs="Times New Roman"/>
                <w:sz w:val="24"/>
                <w:szCs w:val="24"/>
                <w:lang w:val="en-US" w:eastAsia="zh-CN"/>
              </w:rPr>
            </w:pPr>
            <w:r>
              <w:rPr>
                <w:rFonts w:hint="eastAsia" w:cs="Times New Roman"/>
                <w:sz w:val="24"/>
                <w:szCs w:val="24"/>
                <w:lang w:val="en-US" w:eastAsia="zh-CN"/>
              </w:rPr>
              <w:t>贮存场所环境影响分析</w:t>
            </w:r>
          </w:p>
          <w:p w14:paraId="577A1C10">
            <w:pPr>
              <w:numPr>
                <w:ilvl w:val="0"/>
                <w:numId w:val="0"/>
              </w:numPr>
              <w:bidi w:val="0"/>
              <w:spacing w:line="360" w:lineRule="auto"/>
              <w:ind w:firstLine="480" w:firstLineChars="200"/>
              <w:rPr>
                <w:rFonts w:hint="eastAsia" w:cs="Times New Roman"/>
                <w:sz w:val="24"/>
                <w:szCs w:val="24"/>
                <w:lang w:val="en-US" w:eastAsia="zh-CN"/>
              </w:rPr>
            </w:pPr>
            <w:r>
              <w:rPr>
                <w:rFonts w:hint="eastAsia" w:cs="Times New Roman"/>
                <w:sz w:val="24"/>
                <w:szCs w:val="24"/>
                <w:lang w:val="en-US" w:eastAsia="zh-CN"/>
              </w:rPr>
              <w:t>危险废物暂存场所（危废暂存间）设置于车间南侧，面积为6m</w:t>
            </w:r>
            <w:r>
              <w:rPr>
                <w:rFonts w:hint="eastAsia" w:cs="Times New Roman"/>
                <w:sz w:val="24"/>
                <w:szCs w:val="24"/>
                <w:vertAlign w:val="superscript"/>
                <w:lang w:val="en-US" w:eastAsia="zh-CN"/>
              </w:rPr>
              <w:t>2</w:t>
            </w:r>
            <w:r>
              <w:rPr>
                <w:rFonts w:hint="eastAsia" w:cs="Times New Roman"/>
                <w:sz w:val="24"/>
                <w:szCs w:val="24"/>
                <w:lang w:val="en-US" w:eastAsia="zh-CN"/>
              </w:rPr>
              <w:t>，应满足“四防”（防风、防雨、防晒、防渗漏）要求，采取防渗漏措施和渗漏收集措施，并设置警示标志，在采取严格防治措施的前提下，危险废物贮存场所不会造成不利环境影响。</w:t>
            </w:r>
          </w:p>
          <w:p w14:paraId="519CD752">
            <w:pPr>
              <w:numPr>
                <w:ilvl w:val="0"/>
                <w:numId w:val="66"/>
              </w:numPr>
              <w:bidi w:val="0"/>
              <w:spacing w:line="360" w:lineRule="auto"/>
              <w:ind w:firstLine="480" w:firstLineChars="200"/>
              <w:rPr>
                <w:rFonts w:hint="eastAsia" w:cs="Times New Roman"/>
                <w:sz w:val="24"/>
                <w:szCs w:val="24"/>
                <w:lang w:val="en-US" w:eastAsia="zh-CN"/>
              </w:rPr>
            </w:pPr>
            <w:r>
              <w:rPr>
                <w:rFonts w:hint="eastAsia" w:cs="Times New Roman"/>
                <w:sz w:val="24"/>
                <w:szCs w:val="24"/>
                <w:lang w:val="en-US" w:eastAsia="zh-CN"/>
              </w:rPr>
              <w:t>运输过程的环境影响分析</w:t>
            </w:r>
          </w:p>
          <w:p w14:paraId="35A659A5">
            <w:pPr>
              <w:numPr>
                <w:ilvl w:val="0"/>
                <w:numId w:val="0"/>
              </w:numPr>
              <w:bidi w:val="0"/>
              <w:spacing w:line="360" w:lineRule="auto"/>
              <w:ind w:firstLine="480" w:firstLineChars="200"/>
              <w:rPr>
                <w:rFonts w:hint="eastAsia" w:cs="Times New Roman"/>
                <w:sz w:val="24"/>
                <w:szCs w:val="24"/>
                <w:lang w:val="en-US" w:eastAsia="zh-CN"/>
              </w:rPr>
            </w:pPr>
            <w:r>
              <w:rPr>
                <w:rFonts w:hint="eastAsia" w:cs="Times New Roman"/>
                <w:sz w:val="24"/>
                <w:szCs w:val="24"/>
                <w:lang w:val="en-US" w:eastAsia="zh-CN"/>
              </w:rPr>
              <w:t>本项目危险废物贮存在危废暂存间内，生产车间地面及通道采取硬化和防腐防渗措施，因此危险废物从产生工艺环节运输到暂存场所的过程中产生散落和泄露均会将影响控制在厂房内，不会对周围环境敏感点及地下水环境产生不利影响；</w:t>
            </w:r>
          </w:p>
          <w:p w14:paraId="1B9D4CFA">
            <w:pPr>
              <w:numPr>
                <w:ilvl w:val="0"/>
                <w:numId w:val="66"/>
              </w:numPr>
              <w:bidi w:val="0"/>
              <w:spacing w:line="360" w:lineRule="auto"/>
              <w:ind w:firstLine="480" w:firstLineChars="200"/>
              <w:rPr>
                <w:rFonts w:hint="eastAsia" w:cs="Times New Roman"/>
                <w:sz w:val="24"/>
                <w:szCs w:val="24"/>
                <w:lang w:val="en-US" w:eastAsia="zh-CN"/>
              </w:rPr>
            </w:pPr>
            <w:r>
              <w:rPr>
                <w:rFonts w:hint="eastAsia" w:cs="Times New Roman"/>
                <w:sz w:val="24"/>
                <w:szCs w:val="24"/>
                <w:lang w:val="en-US" w:eastAsia="zh-CN"/>
              </w:rPr>
              <w:t>委托利用或者处置的环境影响分析</w:t>
            </w:r>
          </w:p>
          <w:p w14:paraId="377F5FED">
            <w:pPr>
              <w:numPr>
                <w:ilvl w:val="0"/>
                <w:numId w:val="0"/>
              </w:numPr>
              <w:bidi w:val="0"/>
              <w:spacing w:line="360" w:lineRule="auto"/>
              <w:ind w:firstLine="480" w:firstLineChars="200"/>
              <w:rPr>
                <w:rFonts w:hint="eastAsia" w:cs="Times New Roman"/>
                <w:sz w:val="24"/>
                <w:szCs w:val="24"/>
                <w:lang w:val="en-US" w:eastAsia="zh-CN"/>
              </w:rPr>
            </w:pPr>
            <w:r>
              <w:rPr>
                <w:rFonts w:hint="eastAsia" w:cs="Times New Roman"/>
                <w:sz w:val="24"/>
                <w:szCs w:val="24"/>
                <w:lang w:val="en-US" w:eastAsia="zh-CN"/>
              </w:rPr>
              <w:t>本项目危险废物均委托有资质的单位进行处置，不会产生显著的环境影响。</w:t>
            </w:r>
          </w:p>
          <w:p w14:paraId="0790021C">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综上所述，拟建项目针对营运期产生的固废进行分类收集，根据其类型采取相应的处置措施后，固废均可得到合理处置，去向明确，不会对环境造成二次污染。</w:t>
            </w:r>
          </w:p>
          <w:p w14:paraId="5A6987E7">
            <w:pPr>
              <w:numPr>
                <w:ilvl w:val="0"/>
                <w:numId w:val="51"/>
              </w:numPr>
              <w:bidi w:val="0"/>
              <w:spacing w:line="360" w:lineRule="auto"/>
              <w:ind w:left="0" w:leftChars="0" w:firstLine="482"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b/>
                <w:bCs/>
                <w:sz w:val="24"/>
                <w:szCs w:val="24"/>
                <w:lang w:val="en-US" w:eastAsia="zh-CN"/>
              </w:rPr>
              <w:t>地下水、土壤影响分析</w:t>
            </w:r>
          </w:p>
          <w:p w14:paraId="04210457">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本项目施工期和营运期均不涉及地下水开采，均不会对地下水水位造成影响。一般情况下对地下水的污染主要是由于污染物迁移穿过包气带进入含水层造成，本项目无生产废水排放，对地下水可能造成的影响来自非正常情况下，油罐破损导致废矿物油泄漏，在未及时处理的情况下，废液渗漏到地下。</w:t>
            </w:r>
          </w:p>
          <w:p w14:paraId="796AEF1D">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针对本项目可能对地下水环境造成的影响，本次评价将项目区域划为重点防渗区和一般防渗区，并根据不同防渗区防渗技术要求，采取以下措施：</w:t>
            </w:r>
          </w:p>
          <w:p w14:paraId="517F9DA4">
            <w:pPr>
              <w:numPr>
                <w:ilvl w:val="0"/>
                <w:numId w:val="67"/>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重点防渗区：危险废物贮存区域按重点防渗区要求进行，即：要求在库房地面基础防渗层上，铺设厚度不小于2mm的HDPE防渗层或其他防渗材料，防渗结构层渗透系数不应大于1.0×10</w:t>
            </w:r>
            <w:r>
              <w:rPr>
                <w:rFonts w:hint="default" w:ascii="Times New Roman" w:hAnsi="Times New Roman" w:eastAsia="宋体" w:cs="Times New Roman"/>
                <w:sz w:val="24"/>
                <w:szCs w:val="24"/>
                <w:vertAlign w:val="superscript"/>
                <w:lang w:val="en-US" w:eastAsia="zh-CN"/>
              </w:rPr>
              <w:t>-10</w:t>
            </w:r>
            <w:r>
              <w:rPr>
                <w:rFonts w:hint="default" w:ascii="Times New Roman" w:hAnsi="Times New Roman" w:eastAsia="宋体" w:cs="Times New Roman"/>
                <w:sz w:val="24"/>
                <w:szCs w:val="24"/>
                <w:lang w:val="en-US" w:eastAsia="zh-CN"/>
              </w:rPr>
              <w:t>cm/s，并采取防腐措施。</w:t>
            </w:r>
          </w:p>
          <w:p w14:paraId="496C1F8E">
            <w:pPr>
              <w:numPr>
                <w:ilvl w:val="0"/>
                <w:numId w:val="67"/>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一般防渗区：不直接涉及危险废物贮存的区域，包括办公区、检验室等，进行地面基础防渗，防渗结构层渗透系数不应大于1.0×10</w:t>
            </w:r>
            <w:r>
              <w:rPr>
                <w:rFonts w:hint="default" w:ascii="Times New Roman" w:hAnsi="Times New Roman" w:eastAsia="宋体" w:cs="Times New Roman"/>
                <w:sz w:val="24"/>
                <w:szCs w:val="24"/>
                <w:vertAlign w:val="superscript"/>
                <w:lang w:val="en-US" w:eastAsia="zh-CN"/>
              </w:rPr>
              <w:t>-7</w:t>
            </w:r>
            <w:r>
              <w:rPr>
                <w:rFonts w:hint="default" w:ascii="Times New Roman" w:hAnsi="Times New Roman" w:eastAsia="宋体" w:cs="Times New Roman"/>
                <w:sz w:val="24"/>
                <w:szCs w:val="24"/>
                <w:lang w:val="en-US" w:eastAsia="zh-CN"/>
              </w:rPr>
              <w:t>cm/s。</w:t>
            </w:r>
          </w:p>
          <w:p w14:paraId="5A8018C5">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本项目采取分区防渗措施，具体防渗措施见下表。</w:t>
            </w:r>
          </w:p>
          <w:p w14:paraId="7261CE3D">
            <w:pPr>
              <w:numPr>
                <w:ilvl w:val="0"/>
                <w:numId w:val="0"/>
              </w:numPr>
              <w:bidi w:val="0"/>
              <w:spacing w:line="360" w:lineRule="auto"/>
              <w:jc w:val="center"/>
              <w:rPr>
                <w:rFonts w:hint="default" w:ascii="Times New Roman" w:hAnsi="Times New Roman" w:eastAsia="宋体" w:cs="Times New Roman"/>
                <w:b/>
                <w:bCs/>
                <w:sz w:val="21"/>
                <w:szCs w:val="21"/>
                <w:lang w:val="en-US" w:eastAsia="zh-CN"/>
              </w:rPr>
            </w:pPr>
            <w:r>
              <w:rPr>
                <w:rFonts w:hint="default" w:ascii="Times New Roman" w:hAnsi="Times New Roman" w:eastAsia="宋体" w:cs="Times New Roman"/>
                <w:b/>
                <w:bCs/>
                <w:sz w:val="21"/>
                <w:szCs w:val="21"/>
                <w:lang w:val="en-US" w:eastAsia="zh-CN"/>
              </w:rPr>
              <w:t>表4-1</w:t>
            </w:r>
            <w:r>
              <w:rPr>
                <w:rFonts w:hint="eastAsia" w:cs="Times New Roman"/>
                <w:b/>
                <w:bCs/>
                <w:sz w:val="21"/>
                <w:szCs w:val="21"/>
                <w:lang w:val="en-US" w:eastAsia="zh-CN"/>
              </w:rPr>
              <w:t>9</w:t>
            </w:r>
            <w:r>
              <w:rPr>
                <w:rFonts w:hint="default" w:ascii="Times New Roman" w:hAnsi="Times New Roman" w:eastAsia="宋体" w:cs="Times New Roman"/>
                <w:b/>
                <w:bCs/>
                <w:sz w:val="21"/>
                <w:szCs w:val="21"/>
                <w:lang w:val="en-US" w:eastAsia="zh-CN"/>
              </w:rPr>
              <w:t xml:space="preserve"> 地下水污染防治措施</w:t>
            </w:r>
          </w:p>
          <w:tbl>
            <w:tblPr>
              <w:tblStyle w:val="28"/>
              <w:tblW w:w="832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29"/>
              <w:gridCol w:w="2716"/>
              <w:gridCol w:w="4278"/>
            </w:tblGrid>
            <w:tr w14:paraId="65B474E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045" w:type="dxa"/>
                  <w:gridSpan w:val="2"/>
                  <w:vAlign w:val="center"/>
                </w:tcPr>
                <w:p w14:paraId="1454C449">
                  <w:pPr>
                    <w:numPr>
                      <w:ilvl w:val="0"/>
                      <w:numId w:val="0"/>
                    </w:numPr>
                    <w:bidi w:val="0"/>
                    <w:spacing w:line="240" w:lineRule="auto"/>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防渗分区</w:t>
                  </w:r>
                </w:p>
              </w:tc>
              <w:tc>
                <w:tcPr>
                  <w:tcW w:w="4278" w:type="dxa"/>
                  <w:vAlign w:val="center"/>
                </w:tcPr>
                <w:p w14:paraId="10497AC0">
                  <w:pPr>
                    <w:numPr>
                      <w:ilvl w:val="0"/>
                      <w:numId w:val="0"/>
                    </w:numPr>
                    <w:bidi w:val="0"/>
                    <w:spacing w:line="240" w:lineRule="auto"/>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防渗技术要求</w:t>
                  </w:r>
                </w:p>
              </w:tc>
            </w:tr>
            <w:tr w14:paraId="0F4A3E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29" w:type="dxa"/>
                  <w:vAlign w:val="center"/>
                </w:tcPr>
                <w:p w14:paraId="1E769938">
                  <w:pPr>
                    <w:numPr>
                      <w:ilvl w:val="0"/>
                      <w:numId w:val="0"/>
                    </w:numPr>
                    <w:bidi w:val="0"/>
                    <w:spacing w:line="240" w:lineRule="auto"/>
                    <w:jc w:val="center"/>
                    <w:rPr>
                      <w:rFonts w:hint="default" w:ascii="Times New Roman" w:hAnsi="Times New Roman" w:eastAsia="宋体" w:cs="Times New Roman"/>
                      <w:color w:val="auto"/>
                      <w:sz w:val="21"/>
                      <w:szCs w:val="21"/>
                      <w:vertAlign w:val="baseline"/>
                      <w:lang w:val="en-US" w:eastAsia="zh-CN"/>
                    </w:rPr>
                  </w:pPr>
                  <w:r>
                    <w:rPr>
                      <w:rFonts w:hint="eastAsia"/>
                      <w:color w:val="auto"/>
                    </w:rPr>
                    <w:t>重点防渗区</w:t>
                  </w:r>
                </w:p>
              </w:tc>
              <w:tc>
                <w:tcPr>
                  <w:tcW w:w="2716" w:type="dxa"/>
                  <w:vAlign w:val="center"/>
                </w:tcPr>
                <w:p w14:paraId="666C885B">
                  <w:pPr>
                    <w:numPr>
                      <w:ilvl w:val="0"/>
                      <w:numId w:val="0"/>
                    </w:numPr>
                    <w:bidi w:val="0"/>
                    <w:spacing w:line="240" w:lineRule="auto"/>
                    <w:jc w:val="center"/>
                    <w:rPr>
                      <w:rFonts w:hint="default" w:ascii="Times New Roman" w:hAnsi="Times New Roman" w:eastAsia="宋体" w:cs="Times New Roman"/>
                      <w:color w:val="auto"/>
                      <w:sz w:val="21"/>
                      <w:szCs w:val="21"/>
                      <w:vertAlign w:val="baseline"/>
                      <w:lang w:val="en-US" w:eastAsia="zh-CN"/>
                    </w:rPr>
                  </w:pPr>
                  <w:r>
                    <w:rPr>
                      <w:rFonts w:hint="eastAsia"/>
                      <w:color w:val="auto"/>
                    </w:rPr>
                    <w:t>危险废物贮存区域</w:t>
                  </w:r>
                </w:p>
              </w:tc>
              <w:tc>
                <w:tcPr>
                  <w:tcW w:w="4278" w:type="dxa"/>
                  <w:vAlign w:val="center"/>
                </w:tcPr>
                <w:p w14:paraId="2C3CDA5E">
                  <w:pPr>
                    <w:numPr>
                      <w:ilvl w:val="0"/>
                      <w:numId w:val="0"/>
                    </w:numPr>
                    <w:bidi w:val="0"/>
                    <w:spacing w:line="240" w:lineRule="auto"/>
                    <w:jc w:val="both"/>
                    <w:rPr>
                      <w:rFonts w:hint="default" w:ascii="Times New Roman" w:hAnsi="Times New Roman" w:eastAsia="宋体" w:cs="Times New Roman"/>
                      <w:color w:val="auto"/>
                      <w:sz w:val="21"/>
                      <w:szCs w:val="21"/>
                      <w:vertAlign w:val="baseline"/>
                      <w:lang w:val="en-US" w:eastAsia="zh-CN"/>
                    </w:rPr>
                  </w:pPr>
                  <w:r>
                    <w:rPr>
                      <w:rFonts w:hint="eastAsia" w:cs="Times New Roman"/>
                      <w:color w:val="auto"/>
                      <w:sz w:val="21"/>
                      <w:szCs w:val="21"/>
                      <w:vertAlign w:val="baseline"/>
                      <w:lang w:val="en-US" w:eastAsia="zh-CN"/>
                    </w:rPr>
                    <w:t>车间</w:t>
                  </w:r>
                  <w:r>
                    <w:rPr>
                      <w:rFonts w:hint="default" w:ascii="Times New Roman" w:hAnsi="Times New Roman" w:eastAsia="宋体" w:cs="Times New Roman"/>
                      <w:color w:val="auto"/>
                      <w:sz w:val="21"/>
                      <w:szCs w:val="21"/>
                      <w:vertAlign w:val="baseline"/>
                      <w:lang w:val="en-US" w:eastAsia="zh-CN"/>
                    </w:rPr>
                    <w:t>库房地面基础防渗层上，铺设厚度不小于2mm的HDPE防渗层或其他防渗材料，防渗结构层渗透系数不应大于1.0×10</w:t>
                  </w:r>
                  <w:r>
                    <w:rPr>
                      <w:rFonts w:hint="default" w:ascii="Times New Roman" w:hAnsi="Times New Roman" w:eastAsia="宋体" w:cs="Times New Roman"/>
                      <w:color w:val="auto"/>
                      <w:sz w:val="21"/>
                      <w:szCs w:val="21"/>
                      <w:vertAlign w:val="superscript"/>
                      <w:lang w:val="en-US" w:eastAsia="zh-CN"/>
                    </w:rPr>
                    <w:t>-10</w:t>
                  </w:r>
                  <w:r>
                    <w:rPr>
                      <w:rFonts w:hint="default" w:ascii="Times New Roman" w:hAnsi="Times New Roman" w:eastAsia="宋体" w:cs="Times New Roman"/>
                      <w:color w:val="auto"/>
                      <w:sz w:val="21"/>
                      <w:szCs w:val="21"/>
                      <w:vertAlign w:val="baseline"/>
                      <w:lang w:val="en-US" w:eastAsia="zh-CN"/>
                    </w:rPr>
                    <w:t>cm/s</w:t>
                  </w:r>
                </w:p>
              </w:tc>
            </w:tr>
            <w:tr w14:paraId="5277E4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29" w:type="dxa"/>
                  <w:vAlign w:val="center"/>
                </w:tcPr>
                <w:p w14:paraId="336F3A08">
                  <w:pPr>
                    <w:numPr>
                      <w:ilvl w:val="0"/>
                      <w:numId w:val="0"/>
                    </w:numPr>
                    <w:bidi w:val="0"/>
                    <w:spacing w:line="240" w:lineRule="auto"/>
                    <w:jc w:val="center"/>
                    <w:rPr>
                      <w:rFonts w:hint="default" w:ascii="Times New Roman" w:hAnsi="Times New Roman" w:eastAsia="宋体" w:cs="Times New Roman"/>
                      <w:color w:val="auto"/>
                      <w:sz w:val="21"/>
                      <w:szCs w:val="21"/>
                      <w:vertAlign w:val="baseline"/>
                      <w:lang w:val="en-US" w:eastAsia="zh-CN"/>
                    </w:rPr>
                  </w:pPr>
                  <w:r>
                    <w:rPr>
                      <w:rFonts w:hint="default" w:ascii="Times New Roman" w:hAnsi="Times New Roman" w:eastAsia="宋体" w:cs="Times New Roman"/>
                      <w:color w:val="auto"/>
                      <w:sz w:val="21"/>
                      <w:szCs w:val="21"/>
                      <w:vertAlign w:val="baseline"/>
                      <w:lang w:val="en-US" w:eastAsia="zh-CN"/>
                    </w:rPr>
                    <w:t>一般防渗区</w:t>
                  </w:r>
                </w:p>
              </w:tc>
              <w:tc>
                <w:tcPr>
                  <w:tcW w:w="2716" w:type="dxa"/>
                  <w:vAlign w:val="center"/>
                </w:tcPr>
                <w:p w14:paraId="27113BCD">
                  <w:pPr>
                    <w:numPr>
                      <w:ilvl w:val="0"/>
                      <w:numId w:val="0"/>
                    </w:numPr>
                    <w:bidi w:val="0"/>
                    <w:spacing w:line="240" w:lineRule="auto"/>
                    <w:jc w:val="center"/>
                    <w:rPr>
                      <w:rFonts w:hint="default" w:ascii="Times New Roman" w:hAnsi="Times New Roman" w:eastAsia="宋体" w:cs="Times New Roman"/>
                      <w:color w:val="auto"/>
                      <w:sz w:val="21"/>
                      <w:szCs w:val="21"/>
                      <w:vertAlign w:val="baseline"/>
                      <w:lang w:val="en-US" w:eastAsia="zh-CN"/>
                    </w:rPr>
                  </w:pPr>
                  <w:r>
                    <w:rPr>
                      <w:rFonts w:hint="eastAsia"/>
                      <w:color w:val="auto"/>
                    </w:rPr>
                    <w:t>办公区、检验室等</w:t>
                  </w:r>
                </w:p>
              </w:tc>
              <w:tc>
                <w:tcPr>
                  <w:tcW w:w="4278" w:type="dxa"/>
                  <w:vAlign w:val="center"/>
                </w:tcPr>
                <w:p w14:paraId="2C67429B">
                  <w:pPr>
                    <w:numPr>
                      <w:ilvl w:val="0"/>
                      <w:numId w:val="0"/>
                    </w:numPr>
                    <w:bidi w:val="0"/>
                    <w:spacing w:line="240" w:lineRule="auto"/>
                    <w:jc w:val="both"/>
                    <w:rPr>
                      <w:rFonts w:hint="default" w:ascii="Times New Roman" w:hAnsi="Times New Roman" w:eastAsia="宋体" w:cs="Times New Roman"/>
                      <w:color w:val="auto"/>
                      <w:sz w:val="21"/>
                      <w:szCs w:val="21"/>
                      <w:vertAlign w:val="baseline"/>
                      <w:lang w:val="en-US" w:eastAsia="zh-CN"/>
                    </w:rPr>
                  </w:pPr>
                  <w:r>
                    <w:rPr>
                      <w:rFonts w:hint="eastAsia"/>
                      <w:color w:val="auto"/>
                    </w:rPr>
                    <w:t>等效黏土防渗层 Mb≥1.5m，K≤1×10</w:t>
                  </w:r>
                  <w:r>
                    <w:rPr>
                      <w:rFonts w:hint="eastAsia"/>
                      <w:color w:val="auto"/>
                      <w:vertAlign w:val="superscript"/>
                    </w:rPr>
                    <w:t>-7</w:t>
                  </w:r>
                  <w:r>
                    <w:rPr>
                      <w:rFonts w:hint="eastAsia"/>
                      <w:color w:val="auto"/>
                    </w:rPr>
                    <w:t>cm/s</w:t>
                  </w:r>
                </w:p>
              </w:tc>
            </w:tr>
          </w:tbl>
          <w:p w14:paraId="5430F057">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根据建设单位提供的施工设计方案，具体施工方法如下：</w:t>
            </w:r>
          </w:p>
          <w:p w14:paraId="72D190A0">
            <w:pPr>
              <w:numPr>
                <w:ilvl w:val="0"/>
                <w:numId w:val="0"/>
              </w:numPr>
              <w:bidi w:val="0"/>
              <w:spacing w:line="360" w:lineRule="auto"/>
              <w:ind w:firstLine="480" w:firstLineChars="200"/>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sz w:val="24"/>
                <w:szCs w:val="24"/>
                <w:lang w:val="en-US" w:eastAsia="zh-CN"/>
              </w:rPr>
              <w:t>①在混凝土硬化地面上采用5布（玻璃钢纤维布）7涂（乙烯基环氧树脂）方法铺设3mm厚防腐防渗层，表层为玻璃钢纤维环氧树脂面涂。具有耐磨、耐</w:t>
            </w:r>
            <w:r>
              <w:rPr>
                <w:rFonts w:hint="default" w:ascii="Times New Roman" w:hAnsi="Times New Roman" w:eastAsia="宋体" w:cs="Times New Roman"/>
                <w:color w:val="auto"/>
                <w:sz w:val="24"/>
                <w:szCs w:val="24"/>
                <w:lang w:val="en-US" w:eastAsia="zh-CN"/>
              </w:rPr>
              <w:t>压、耐冲击、防滑、防油渗、耐酸碱腐蚀等特性。库房裙脚涂刷高20cm的防水和乙烯基环氧树脂防腐防渗面涂。</w:t>
            </w:r>
          </w:p>
          <w:p w14:paraId="411BA84A">
            <w:pPr>
              <w:numPr>
                <w:ilvl w:val="0"/>
                <w:numId w:val="0"/>
              </w:numPr>
              <w:bidi w:val="0"/>
              <w:spacing w:line="360" w:lineRule="auto"/>
              <w:ind w:firstLine="480" w:firstLineChars="200"/>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②废矿物油罐贮存区占地面积</w:t>
            </w:r>
            <w:r>
              <w:rPr>
                <w:rFonts w:hint="eastAsia" w:cs="Times New Roman"/>
                <w:color w:val="auto"/>
                <w:sz w:val="24"/>
                <w:szCs w:val="24"/>
                <w:lang w:val="en-US" w:eastAsia="zh-CN"/>
              </w:rPr>
              <w:t>100</w:t>
            </w:r>
            <w:r>
              <w:rPr>
                <w:rFonts w:hint="default" w:ascii="Times New Roman" w:hAnsi="Times New Roman" w:eastAsia="宋体" w:cs="Times New Roman"/>
                <w:color w:val="auto"/>
                <w:sz w:val="24"/>
                <w:szCs w:val="24"/>
                <w:lang w:val="en-US" w:eastAsia="zh-CN"/>
              </w:rPr>
              <w:t>m</w:t>
            </w:r>
            <w:r>
              <w:rPr>
                <w:rFonts w:hint="default" w:ascii="Times New Roman" w:hAnsi="Times New Roman" w:eastAsia="宋体" w:cs="Times New Roman"/>
                <w:color w:val="auto"/>
                <w:sz w:val="24"/>
                <w:szCs w:val="24"/>
                <w:vertAlign w:val="superscript"/>
                <w:lang w:val="en-US" w:eastAsia="zh-CN"/>
              </w:rPr>
              <w:t>2</w:t>
            </w:r>
            <w:r>
              <w:rPr>
                <w:rFonts w:hint="default" w:ascii="Times New Roman" w:hAnsi="Times New Roman" w:eastAsia="宋体" w:cs="Times New Roman"/>
                <w:color w:val="auto"/>
                <w:sz w:val="24"/>
                <w:szCs w:val="24"/>
                <w:lang w:val="en-US" w:eastAsia="zh-CN"/>
              </w:rPr>
              <w:t>，</w:t>
            </w:r>
            <w:r>
              <w:rPr>
                <w:rFonts w:hint="eastAsia" w:cs="Times New Roman"/>
                <w:color w:val="auto"/>
                <w:sz w:val="24"/>
                <w:szCs w:val="24"/>
                <w:lang w:val="en-US" w:eastAsia="zh-CN"/>
              </w:rPr>
              <w:t>四周建设</w:t>
            </w:r>
            <w:r>
              <w:rPr>
                <w:rFonts w:hint="default" w:ascii="Times New Roman" w:hAnsi="Times New Roman" w:eastAsia="宋体" w:cs="Times New Roman"/>
                <w:color w:val="auto"/>
                <w:sz w:val="24"/>
                <w:szCs w:val="24"/>
                <w:lang w:val="en-US" w:eastAsia="zh-CN"/>
              </w:rPr>
              <w:t>高1m砖混结构围堰墙</w:t>
            </w:r>
            <w:r>
              <w:rPr>
                <w:rFonts w:hint="eastAsia" w:cs="Times New Roman"/>
                <w:color w:val="auto"/>
                <w:sz w:val="24"/>
                <w:szCs w:val="24"/>
                <w:lang w:val="en-US" w:eastAsia="zh-CN"/>
              </w:rPr>
              <w:t>，则</w:t>
            </w:r>
            <w:r>
              <w:rPr>
                <w:rFonts w:hint="default" w:ascii="Times New Roman" w:hAnsi="Times New Roman" w:eastAsia="宋体" w:cs="Times New Roman"/>
                <w:color w:val="auto"/>
                <w:sz w:val="24"/>
                <w:szCs w:val="24"/>
                <w:lang w:val="en-US" w:eastAsia="zh-CN"/>
              </w:rPr>
              <w:t>围堰容积10</w:t>
            </w:r>
            <w:r>
              <w:rPr>
                <w:rFonts w:hint="eastAsia" w:cs="Times New Roman"/>
                <w:color w:val="auto"/>
                <w:sz w:val="24"/>
                <w:szCs w:val="24"/>
                <w:lang w:val="en-US" w:eastAsia="zh-CN"/>
              </w:rPr>
              <w:t>0</w:t>
            </w:r>
            <w:r>
              <w:rPr>
                <w:rFonts w:hint="default" w:ascii="Times New Roman" w:hAnsi="Times New Roman" w:eastAsia="宋体" w:cs="Times New Roman"/>
                <w:color w:val="auto"/>
                <w:sz w:val="24"/>
                <w:szCs w:val="24"/>
                <w:lang w:val="en-US" w:eastAsia="zh-CN"/>
              </w:rPr>
              <w:t>m</w:t>
            </w:r>
            <w:r>
              <w:rPr>
                <w:rFonts w:hint="default" w:ascii="Times New Roman" w:hAnsi="Times New Roman" w:eastAsia="宋体" w:cs="Times New Roman"/>
                <w:color w:val="auto"/>
                <w:sz w:val="24"/>
                <w:szCs w:val="24"/>
                <w:vertAlign w:val="superscript"/>
                <w:lang w:val="en-US" w:eastAsia="zh-CN"/>
              </w:rPr>
              <w:t>3</w:t>
            </w:r>
            <w:r>
              <w:rPr>
                <w:rFonts w:hint="default" w:ascii="Times New Roman" w:hAnsi="Times New Roman" w:eastAsia="宋体" w:cs="Times New Roman"/>
                <w:color w:val="auto"/>
                <w:sz w:val="24"/>
                <w:szCs w:val="24"/>
                <w:lang w:val="en-US" w:eastAsia="zh-CN"/>
              </w:rPr>
              <w:t>，有效容积为</w:t>
            </w:r>
            <w:r>
              <w:rPr>
                <w:rFonts w:hint="eastAsia" w:cs="Times New Roman"/>
                <w:color w:val="auto"/>
                <w:sz w:val="24"/>
                <w:szCs w:val="24"/>
                <w:lang w:val="en-US" w:eastAsia="zh-CN"/>
              </w:rPr>
              <w:t>90</w:t>
            </w:r>
            <w:r>
              <w:rPr>
                <w:rFonts w:hint="default" w:ascii="Times New Roman" w:hAnsi="Times New Roman" w:eastAsia="宋体" w:cs="Times New Roman"/>
                <w:color w:val="auto"/>
                <w:sz w:val="24"/>
                <w:szCs w:val="24"/>
                <w:lang w:val="en-US" w:eastAsia="zh-CN"/>
              </w:rPr>
              <w:t>m</w:t>
            </w:r>
            <w:r>
              <w:rPr>
                <w:rFonts w:hint="default" w:ascii="Times New Roman" w:hAnsi="Times New Roman" w:eastAsia="宋体" w:cs="Times New Roman"/>
                <w:color w:val="auto"/>
                <w:sz w:val="24"/>
                <w:szCs w:val="24"/>
                <w:vertAlign w:val="superscript"/>
                <w:lang w:val="en-US" w:eastAsia="zh-CN"/>
              </w:rPr>
              <w:t>3</w:t>
            </w:r>
            <w:r>
              <w:rPr>
                <w:rFonts w:hint="eastAsia" w:cs="Times New Roman"/>
                <w:color w:val="auto"/>
                <w:sz w:val="24"/>
                <w:szCs w:val="24"/>
                <w:lang w:val="en-US" w:eastAsia="zh-CN"/>
              </w:rPr>
              <w:t>；</w:t>
            </w:r>
            <w:r>
              <w:rPr>
                <w:rFonts w:hint="default" w:ascii="Times New Roman" w:hAnsi="Times New Roman" w:eastAsia="宋体" w:cs="Times New Roman"/>
                <w:color w:val="auto"/>
                <w:sz w:val="24"/>
                <w:szCs w:val="24"/>
                <w:lang w:val="en-US" w:eastAsia="zh-CN"/>
              </w:rPr>
              <w:t>废矿物油罐区混凝土硬化地面铺设防腐防渗材料和方法与库房地面做法相同，油罐区库房墙体立面（距地面50cm高）及围堰涂刷防水后再涂刷乙烯基环氧树脂防腐防渗面涂。</w:t>
            </w:r>
          </w:p>
          <w:p w14:paraId="52DAD3A3">
            <w:pPr>
              <w:numPr>
                <w:ilvl w:val="0"/>
                <w:numId w:val="67"/>
              </w:numPr>
              <w:bidi w:val="0"/>
              <w:spacing w:line="360" w:lineRule="auto"/>
              <w:ind w:left="0" w:leftChars="0"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建设单位在日常运营过程中应留有地下水日常监测井，在监测井运行维护中要以防因井口外漏、管壁破裂或者其他原因造成废水与废液或者是地面清洁废水倒灌或渗入井内而造成地下水污染。</w:t>
            </w:r>
          </w:p>
          <w:p w14:paraId="4B416BCC">
            <w:pPr>
              <w:numPr>
                <w:ilvl w:val="0"/>
                <w:numId w:val="50"/>
              </w:numPr>
              <w:bidi w:val="0"/>
              <w:spacing w:line="360" w:lineRule="auto"/>
              <w:ind w:left="0" w:leftChars="0" w:firstLine="482" w:firstLineChars="200"/>
              <w:rPr>
                <w:rFonts w:hint="default" w:ascii="Times New Roman" w:hAnsi="Times New Roman" w:eastAsia="宋体" w:cs="Times New Roman"/>
                <w:b/>
                <w:bCs/>
                <w:sz w:val="24"/>
                <w:szCs w:val="24"/>
                <w:lang w:val="en-US" w:eastAsia="zh-CN"/>
              </w:rPr>
            </w:pPr>
            <w:r>
              <w:rPr>
                <w:rFonts w:hint="default" w:ascii="Times New Roman" w:hAnsi="Times New Roman" w:eastAsia="宋体" w:cs="Times New Roman"/>
                <w:b/>
                <w:bCs/>
                <w:sz w:val="24"/>
                <w:szCs w:val="24"/>
                <w:lang w:val="en-US" w:eastAsia="zh-CN"/>
              </w:rPr>
              <w:t>环境风险</w:t>
            </w:r>
          </w:p>
          <w:p w14:paraId="43B9518D">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环境风险评价的目的是分析和预测建设项目存在的潜在危险、有害因素、建设项目建设和运行期间可能发生的突发性事件和事故，引起有毒有害和易燃易爆等物质泄漏，所造成的人身安全与环境影响和损害程度，提出合理可行的环境风险预防、控制、减缓措施，以使建设项目事故、损失和环境影响降低到可接受的水平，为建设项目环境风险防控提供科学依据</w:t>
            </w:r>
          </w:p>
          <w:p w14:paraId="4FA148FC">
            <w:pPr>
              <w:numPr>
                <w:ilvl w:val="0"/>
                <w:numId w:val="68"/>
              </w:numPr>
              <w:bidi w:val="0"/>
              <w:spacing w:line="360" w:lineRule="auto"/>
              <w:ind w:firstLine="482" w:firstLineChars="200"/>
              <w:rPr>
                <w:rFonts w:hint="default" w:ascii="Times New Roman" w:hAnsi="Times New Roman" w:eastAsia="宋体" w:cs="Times New Roman"/>
                <w:b/>
                <w:bCs/>
                <w:sz w:val="24"/>
                <w:szCs w:val="24"/>
                <w:lang w:val="en-US" w:eastAsia="zh-CN"/>
              </w:rPr>
            </w:pPr>
            <w:r>
              <w:rPr>
                <w:rFonts w:hint="default" w:ascii="Times New Roman" w:hAnsi="Times New Roman" w:eastAsia="宋体" w:cs="Times New Roman"/>
                <w:b/>
                <w:bCs/>
                <w:sz w:val="24"/>
                <w:szCs w:val="24"/>
                <w:lang w:val="en-US" w:eastAsia="zh-CN"/>
              </w:rPr>
              <w:t>环境风险识别及分析</w:t>
            </w:r>
          </w:p>
          <w:p w14:paraId="59890615">
            <w:pPr>
              <w:numPr>
                <w:ilvl w:val="0"/>
                <w:numId w:val="69"/>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危险物质识别</w:t>
            </w:r>
          </w:p>
          <w:p w14:paraId="56E71BFE">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根据《建设项目环境风险评价技术导则（HJ169-2018）》中附录B和《危险化学品重大危险源辨识》（GB18218-2018）识别危险物质数量和分布，本项目生产过程涉及的有毒有害和易燃易爆的风险物质主要为废矿物油。</w:t>
            </w:r>
          </w:p>
          <w:p w14:paraId="612AAC15">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本项目涉及的风险物质数量、分布情况如下表所示。</w:t>
            </w:r>
          </w:p>
          <w:p w14:paraId="70CE3251">
            <w:pPr>
              <w:numPr>
                <w:ilvl w:val="0"/>
                <w:numId w:val="0"/>
              </w:numPr>
              <w:bidi w:val="0"/>
              <w:spacing w:line="36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lang w:val="en-US" w:eastAsia="zh-CN"/>
              </w:rPr>
              <w:t>表</w:t>
            </w:r>
            <w:r>
              <w:rPr>
                <w:rFonts w:hint="eastAsia" w:cs="Times New Roman"/>
                <w:b/>
                <w:bCs/>
                <w:sz w:val="21"/>
                <w:szCs w:val="21"/>
                <w:lang w:val="en-US" w:eastAsia="zh-CN"/>
              </w:rPr>
              <w:t>4-20</w:t>
            </w:r>
            <w:r>
              <w:rPr>
                <w:rFonts w:hint="default" w:ascii="Times New Roman" w:hAnsi="Times New Roman" w:eastAsia="宋体" w:cs="Times New Roman"/>
                <w:b/>
                <w:bCs/>
                <w:sz w:val="21"/>
                <w:szCs w:val="21"/>
                <w:lang w:val="en-US" w:eastAsia="zh-CN"/>
              </w:rPr>
              <w:t xml:space="preserve"> 危险物质数量和分布情况</w:t>
            </w:r>
          </w:p>
          <w:tbl>
            <w:tblPr>
              <w:tblStyle w:val="28"/>
              <w:tblW w:w="832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080"/>
              <w:gridCol w:w="2080"/>
              <w:gridCol w:w="2080"/>
              <w:gridCol w:w="2083"/>
            </w:tblGrid>
            <w:tr w14:paraId="74D91A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160" w:type="dxa"/>
                  <w:gridSpan w:val="2"/>
                  <w:vAlign w:val="center"/>
                </w:tcPr>
                <w:p w14:paraId="4A8939B0">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rPr>
                    <w:t>危险物质</w:t>
                  </w:r>
                </w:p>
              </w:tc>
              <w:tc>
                <w:tcPr>
                  <w:tcW w:w="2080" w:type="dxa"/>
                  <w:vAlign w:val="center"/>
                </w:tcPr>
                <w:p w14:paraId="4FB49A1F">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rPr>
                    <w:t>CAS号</w:t>
                  </w:r>
                </w:p>
              </w:tc>
              <w:tc>
                <w:tcPr>
                  <w:tcW w:w="2083" w:type="dxa"/>
                  <w:vAlign w:val="center"/>
                </w:tcPr>
                <w:p w14:paraId="3EC3F02A">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rPr>
                    <w:t>最大储存量（t）</w:t>
                  </w:r>
                </w:p>
              </w:tc>
            </w:tr>
            <w:tr w14:paraId="27DA83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080" w:type="dxa"/>
                  <w:vAlign w:val="center"/>
                </w:tcPr>
                <w:p w14:paraId="4C5A4396">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lang w:val="en-US" w:eastAsia="zh-CN"/>
                    </w:rPr>
                    <w:t>油类物质</w:t>
                  </w:r>
                </w:p>
              </w:tc>
              <w:tc>
                <w:tcPr>
                  <w:tcW w:w="2080" w:type="dxa"/>
                  <w:vAlign w:val="center"/>
                </w:tcPr>
                <w:p w14:paraId="2595DEAB">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lang w:val="en-US" w:eastAsia="zh-CN"/>
                    </w:rPr>
                    <w:t>矿物油</w:t>
                  </w:r>
                </w:p>
              </w:tc>
              <w:tc>
                <w:tcPr>
                  <w:tcW w:w="2080" w:type="dxa"/>
                  <w:vAlign w:val="center"/>
                </w:tcPr>
                <w:p w14:paraId="6B373FB6">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lang w:val="en-US" w:eastAsia="zh-CN"/>
                    </w:rPr>
                    <w:t>/</w:t>
                  </w:r>
                </w:p>
              </w:tc>
              <w:tc>
                <w:tcPr>
                  <w:tcW w:w="2083" w:type="dxa"/>
                  <w:vAlign w:val="center"/>
                </w:tcPr>
                <w:p w14:paraId="2E7DA118">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p>
              </w:tc>
            </w:tr>
            <w:tr w14:paraId="3654D9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080" w:type="dxa"/>
                  <w:vAlign w:val="center"/>
                </w:tcPr>
                <w:p w14:paraId="7D7991D6">
                  <w:pPr>
                    <w:numPr>
                      <w:ilvl w:val="0"/>
                      <w:numId w:val="0"/>
                    </w:numPr>
                    <w:bidi w:val="0"/>
                    <w:spacing w:line="240" w:lineRule="auto"/>
                    <w:ind w:left="0" w:leftChars="0" w:firstLine="0" w:firstLineChars="0"/>
                    <w:jc w:val="center"/>
                    <w:rPr>
                      <w:rFonts w:hint="default" w:ascii="Times New Roman" w:hAnsi="Times New Roman" w:eastAsia="宋体" w:cs="Times New Roman"/>
                      <w:kern w:val="2"/>
                      <w:sz w:val="21"/>
                      <w:szCs w:val="21"/>
                      <w:vertAlign w:val="baseline"/>
                      <w:lang w:val="en-US" w:eastAsia="zh-CN" w:bidi="ar-SA"/>
                    </w:rPr>
                  </w:pPr>
                  <w:r>
                    <w:rPr>
                      <w:rFonts w:hint="default" w:ascii="Times New Roman" w:hAnsi="Times New Roman" w:eastAsia="宋体" w:cs="Times New Roman"/>
                      <w:sz w:val="21"/>
                      <w:szCs w:val="21"/>
                    </w:rPr>
                    <w:t>存储方式</w:t>
                  </w:r>
                </w:p>
              </w:tc>
              <w:tc>
                <w:tcPr>
                  <w:tcW w:w="2080" w:type="dxa"/>
                  <w:vAlign w:val="center"/>
                </w:tcPr>
                <w:p w14:paraId="7910B6E8">
                  <w:pPr>
                    <w:numPr>
                      <w:ilvl w:val="0"/>
                      <w:numId w:val="0"/>
                    </w:numPr>
                    <w:bidi w:val="0"/>
                    <w:spacing w:line="240" w:lineRule="auto"/>
                    <w:ind w:left="0" w:leftChars="0" w:firstLine="0" w:firstLineChars="0"/>
                    <w:jc w:val="center"/>
                    <w:rPr>
                      <w:rFonts w:hint="default" w:ascii="Times New Roman" w:hAnsi="Times New Roman" w:eastAsia="宋体" w:cs="Times New Roman"/>
                      <w:kern w:val="2"/>
                      <w:sz w:val="21"/>
                      <w:szCs w:val="21"/>
                      <w:vertAlign w:val="baseline"/>
                      <w:lang w:val="en-US" w:eastAsia="zh-CN" w:bidi="ar-SA"/>
                    </w:rPr>
                  </w:pPr>
                  <w:r>
                    <w:rPr>
                      <w:rFonts w:hint="default" w:ascii="Times New Roman" w:hAnsi="Times New Roman" w:eastAsia="宋体" w:cs="Times New Roman"/>
                      <w:sz w:val="21"/>
                      <w:szCs w:val="21"/>
                    </w:rPr>
                    <w:t>储存位置</w:t>
                  </w:r>
                </w:p>
              </w:tc>
              <w:tc>
                <w:tcPr>
                  <w:tcW w:w="2080" w:type="dxa"/>
                  <w:vAlign w:val="center"/>
                </w:tcPr>
                <w:p w14:paraId="06EA02B2">
                  <w:pPr>
                    <w:numPr>
                      <w:ilvl w:val="0"/>
                      <w:numId w:val="0"/>
                    </w:numPr>
                    <w:bidi w:val="0"/>
                    <w:spacing w:line="240" w:lineRule="auto"/>
                    <w:ind w:left="0" w:leftChars="0" w:firstLine="0" w:firstLineChars="0"/>
                    <w:jc w:val="center"/>
                    <w:rPr>
                      <w:rFonts w:hint="default" w:ascii="Times New Roman" w:hAnsi="Times New Roman" w:eastAsia="宋体" w:cs="Times New Roman"/>
                      <w:kern w:val="2"/>
                      <w:sz w:val="21"/>
                      <w:szCs w:val="21"/>
                      <w:vertAlign w:val="baseline"/>
                      <w:lang w:val="en-US" w:eastAsia="zh-CN" w:bidi="ar-SA"/>
                    </w:rPr>
                  </w:pPr>
                  <w:r>
                    <w:rPr>
                      <w:rFonts w:hint="default" w:ascii="Times New Roman" w:hAnsi="Times New Roman" w:eastAsia="宋体" w:cs="Times New Roman"/>
                      <w:sz w:val="21"/>
                      <w:szCs w:val="21"/>
                    </w:rPr>
                    <w:t>临界量Qn/t</w:t>
                  </w:r>
                </w:p>
              </w:tc>
              <w:tc>
                <w:tcPr>
                  <w:tcW w:w="2083" w:type="dxa"/>
                  <w:vAlign w:val="center"/>
                </w:tcPr>
                <w:p w14:paraId="766C8FF0">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rPr>
                    <w:t>qi/Qi</w:t>
                  </w:r>
                </w:p>
              </w:tc>
            </w:tr>
            <w:tr w14:paraId="6F6060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080" w:type="dxa"/>
                  <w:vAlign w:val="center"/>
                </w:tcPr>
                <w:p w14:paraId="38821771">
                  <w:pPr>
                    <w:numPr>
                      <w:ilvl w:val="0"/>
                      <w:numId w:val="0"/>
                    </w:numPr>
                    <w:bidi w:val="0"/>
                    <w:spacing w:line="240" w:lineRule="auto"/>
                    <w:ind w:left="0" w:leftChars="0" w:firstLine="0" w:firstLineChars="0"/>
                    <w:jc w:val="center"/>
                    <w:rPr>
                      <w:rFonts w:hint="default" w:ascii="Times New Roman" w:hAnsi="Times New Roman" w:eastAsia="宋体" w:cs="Times New Roman"/>
                      <w:kern w:val="2"/>
                      <w:sz w:val="21"/>
                      <w:szCs w:val="21"/>
                      <w:vertAlign w:val="baseline"/>
                      <w:lang w:val="en-US" w:eastAsia="zh-CN" w:bidi="ar-SA"/>
                    </w:rPr>
                  </w:pPr>
                  <w:r>
                    <w:rPr>
                      <w:rFonts w:hint="default" w:ascii="Times New Roman" w:hAnsi="Times New Roman" w:eastAsia="宋体" w:cs="Times New Roman"/>
                      <w:sz w:val="21"/>
                      <w:szCs w:val="21"/>
                      <w:vertAlign w:val="baseline"/>
                      <w:lang w:val="en-US" w:eastAsia="zh-CN"/>
                    </w:rPr>
                    <w:t>50m</w:t>
                  </w:r>
                  <w:r>
                    <w:rPr>
                      <w:rFonts w:hint="default" w:ascii="Times New Roman" w:hAnsi="Times New Roman" w:eastAsia="宋体" w:cs="Times New Roman"/>
                      <w:sz w:val="21"/>
                      <w:szCs w:val="21"/>
                      <w:vertAlign w:val="superscript"/>
                      <w:lang w:val="en-US" w:eastAsia="zh-CN"/>
                    </w:rPr>
                    <w:t>3</w:t>
                  </w:r>
                  <w:r>
                    <w:rPr>
                      <w:rFonts w:hint="default" w:ascii="Times New Roman" w:hAnsi="Times New Roman" w:eastAsia="宋体" w:cs="Times New Roman"/>
                      <w:sz w:val="21"/>
                      <w:szCs w:val="21"/>
                      <w:vertAlign w:val="baseline"/>
                      <w:lang w:val="en-US" w:eastAsia="zh-CN"/>
                    </w:rPr>
                    <w:t>储油罐2个</w:t>
                  </w:r>
                </w:p>
              </w:tc>
              <w:tc>
                <w:tcPr>
                  <w:tcW w:w="2080" w:type="dxa"/>
                  <w:vAlign w:val="center"/>
                </w:tcPr>
                <w:p w14:paraId="3372548D">
                  <w:pPr>
                    <w:numPr>
                      <w:ilvl w:val="0"/>
                      <w:numId w:val="0"/>
                    </w:numPr>
                    <w:bidi w:val="0"/>
                    <w:spacing w:line="240" w:lineRule="auto"/>
                    <w:ind w:left="0" w:leftChars="0" w:firstLine="0" w:firstLineChars="0"/>
                    <w:jc w:val="center"/>
                    <w:rPr>
                      <w:rFonts w:hint="default" w:ascii="Times New Roman" w:hAnsi="Times New Roman" w:eastAsia="宋体" w:cs="Times New Roman"/>
                      <w:kern w:val="2"/>
                      <w:sz w:val="21"/>
                      <w:szCs w:val="21"/>
                      <w:vertAlign w:val="baseline"/>
                      <w:lang w:val="en-US" w:eastAsia="zh-CN" w:bidi="ar-SA"/>
                    </w:rPr>
                  </w:pPr>
                  <w:r>
                    <w:rPr>
                      <w:rFonts w:hint="default" w:ascii="Times New Roman" w:hAnsi="Times New Roman" w:eastAsia="宋体" w:cs="Times New Roman"/>
                      <w:sz w:val="21"/>
                      <w:szCs w:val="21"/>
                      <w:vertAlign w:val="baseline"/>
                      <w:lang w:val="en-US" w:eastAsia="zh-CN"/>
                    </w:rPr>
                    <w:t>油罐贮存区</w:t>
                  </w:r>
                </w:p>
              </w:tc>
              <w:tc>
                <w:tcPr>
                  <w:tcW w:w="2080" w:type="dxa"/>
                  <w:vAlign w:val="center"/>
                </w:tcPr>
                <w:p w14:paraId="49A9A1EA">
                  <w:pPr>
                    <w:numPr>
                      <w:ilvl w:val="0"/>
                      <w:numId w:val="0"/>
                    </w:numPr>
                    <w:bidi w:val="0"/>
                    <w:spacing w:line="240" w:lineRule="auto"/>
                    <w:ind w:left="0" w:leftChars="0" w:firstLine="0" w:firstLineChars="0"/>
                    <w:jc w:val="center"/>
                    <w:rPr>
                      <w:rFonts w:hint="default" w:ascii="Times New Roman" w:hAnsi="Times New Roman" w:eastAsia="宋体" w:cs="Times New Roman"/>
                      <w:kern w:val="2"/>
                      <w:sz w:val="21"/>
                      <w:szCs w:val="21"/>
                      <w:vertAlign w:val="baseline"/>
                      <w:lang w:val="en-US" w:eastAsia="zh-CN" w:bidi="ar-SA"/>
                    </w:rPr>
                  </w:pPr>
                  <w:r>
                    <w:rPr>
                      <w:rFonts w:hint="default" w:ascii="Times New Roman" w:hAnsi="Times New Roman" w:eastAsia="宋体" w:cs="Times New Roman"/>
                      <w:sz w:val="21"/>
                      <w:szCs w:val="21"/>
                      <w:vertAlign w:val="baseline"/>
                      <w:lang w:val="en-US" w:eastAsia="zh-CN"/>
                    </w:rPr>
                    <w:t>2500</w:t>
                  </w:r>
                </w:p>
              </w:tc>
              <w:tc>
                <w:tcPr>
                  <w:tcW w:w="2083" w:type="dxa"/>
                  <w:vAlign w:val="center"/>
                </w:tcPr>
                <w:p w14:paraId="7D2E1B6F">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eastAsia" w:cs="Times New Roman"/>
                      <w:sz w:val="21"/>
                      <w:szCs w:val="21"/>
                      <w:vertAlign w:val="baseline"/>
                      <w:lang w:val="en-US" w:eastAsia="zh-CN"/>
                    </w:rPr>
                    <w:t>0.03</w:t>
                  </w:r>
                </w:p>
              </w:tc>
            </w:tr>
          </w:tbl>
          <w:p w14:paraId="6B32A4E9">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由上表可知，本项目的Q值为0.</w:t>
            </w:r>
            <w:r>
              <w:rPr>
                <w:rFonts w:hint="eastAsia" w:cs="Times New Roman"/>
                <w:sz w:val="24"/>
                <w:szCs w:val="24"/>
                <w:lang w:val="en-US" w:eastAsia="zh-CN"/>
              </w:rPr>
              <w:t>03</w:t>
            </w:r>
            <w:r>
              <w:rPr>
                <w:rFonts w:hint="default" w:ascii="Times New Roman" w:hAnsi="Times New Roman" w:eastAsia="宋体" w:cs="Times New Roman"/>
                <w:sz w:val="24"/>
                <w:szCs w:val="24"/>
                <w:lang w:val="en-US" w:eastAsia="zh-CN"/>
              </w:rPr>
              <w:t>＜1。</w:t>
            </w:r>
          </w:p>
          <w:p w14:paraId="3125AC9C">
            <w:pPr>
              <w:numPr>
                <w:ilvl w:val="0"/>
                <w:numId w:val="69"/>
              </w:numPr>
              <w:bidi w:val="0"/>
              <w:spacing w:line="360" w:lineRule="auto"/>
              <w:ind w:left="0" w:leftChars="0"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危险物质影响环境的途径</w:t>
            </w:r>
          </w:p>
          <w:p w14:paraId="67DED2C0">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根据《建设项目环境风险评价技术导则》（HJ169-2018），对本项目产品以及生产过程中排放的污染物、生产工艺等进行调查，项目涉及的主要风险物质为由于储油罐损坏，未能及时发现而造成废矿物油泄漏；转运过程中由于输送管道破裂造成危废泄漏。本项目的环境风险识别情况见下表。</w:t>
            </w:r>
          </w:p>
          <w:p w14:paraId="45B7BB20">
            <w:pPr>
              <w:numPr>
                <w:ilvl w:val="0"/>
                <w:numId w:val="0"/>
              </w:numPr>
              <w:bidi w:val="0"/>
              <w:spacing w:line="36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lang w:val="en-US" w:eastAsia="zh-CN"/>
              </w:rPr>
              <w:t>表</w:t>
            </w:r>
            <w:r>
              <w:rPr>
                <w:rFonts w:hint="eastAsia" w:cs="Times New Roman"/>
                <w:b/>
                <w:bCs/>
                <w:sz w:val="21"/>
                <w:szCs w:val="21"/>
                <w:lang w:val="en-US" w:eastAsia="zh-CN"/>
              </w:rPr>
              <w:t>4-2</w:t>
            </w:r>
            <w:r>
              <w:rPr>
                <w:rFonts w:hint="default" w:ascii="Times New Roman" w:hAnsi="Times New Roman" w:eastAsia="宋体" w:cs="Times New Roman"/>
                <w:b/>
                <w:bCs/>
                <w:sz w:val="21"/>
                <w:szCs w:val="21"/>
                <w:lang w:val="en-US" w:eastAsia="zh-CN"/>
              </w:rPr>
              <w:t>1本项目可能出现的风险类型及危害</w:t>
            </w:r>
          </w:p>
          <w:tbl>
            <w:tblPr>
              <w:tblStyle w:val="28"/>
              <w:tblW w:w="832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4"/>
              <w:gridCol w:w="1570"/>
              <w:gridCol w:w="1320"/>
              <w:gridCol w:w="1240"/>
              <w:gridCol w:w="710"/>
              <w:gridCol w:w="1999"/>
            </w:tblGrid>
            <w:tr w14:paraId="46B5A7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84" w:type="dxa"/>
                  <w:vAlign w:val="center"/>
                </w:tcPr>
                <w:p w14:paraId="73275D01">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lang w:val="en-US" w:eastAsia="zh-CN"/>
                    </w:rPr>
                    <w:t>生产工序</w:t>
                  </w:r>
                </w:p>
              </w:tc>
              <w:tc>
                <w:tcPr>
                  <w:tcW w:w="1570" w:type="dxa"/>
                  <w:vAlign w:val="center"/>
                </w:tcPr>
                <w:p w14:paraId="0032C576">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lang w:val="en-US" w:eastAsia="zh-CN"/>
                    </w:rPr>
                    <w:t>危险单元</w:t>
                  </w:r>
                </w:p>
              </w:tc>
              <w:tc>
                <w:tcPr>
                  <w:tcW w:w="1320" w:type="dxa"/>
                  <w:vAlign w:val="center"/>
                </w:tcPr>
                <w:p w14:paraId="34BF26D0">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lang w:val="en-US" w:eastAsia="zh-CN"/>
                    </w:rPr>
                    <w:t>事故情景</w:t>
                  </w:r>
                </w:p>
              </w:tc>
              <w:tc>
                <w:tcPr>
                  <w:tcW w:w="1240" w:type="dxa"/>
                  <w:vAlign w:val="center"/>
                </w:tcPr>
                <w:p w14:paraId="2D0E2418">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lang w:val="en-US" w:eastAsia="zh-CN"/>
                    </w:rPr>
                    <w:t>发生风险</w:t>
                  </w:r>
                  <w:r>
                    <w:rPr>
                      <w:rFonts w:hint="eastAsia" w:cs="Times New Roman"/>
                      <w:b/>
                      <w:bCs/>
                      <w:sz w:val="21"/>
                      <w:szCs w:val="21"/>
                      <w:lang w:val="en-US" w:eastAsia="zh-CN"/>
                    </w:rPr>
                    <w:t>的</w:t>
                  </w:r>
                  <w:r>
                    <w:rPr>
                      <w:rFonts w:hint="default" w:ascii="Times New Roman" w:hAnsi="Times New Roman" w:eastAsia="宋体" w:cs="Times New Roman"/>
                      <w:b/>
                      <w:bCs/>
                      <w:sz w:val="21"/>
                      <w:szCs w:val="21"/>
                      <w:lang w:val="en-US" w:eastAsia="zh-CN"/>
                    </w:rPr>
                    <w:t>原因</w:t>
                  </w:r>
                </w:p>
              </w:tc>
              <w:tc>
                <w:tcPr>
                  <w:tcW w:w="710" w:type="dxa"/>
                  <w:vAlign w:val="center"/>
                </w:tcPr>
                <w:p w14:paraId="74D6A95C">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vertAlign w:val="baseline"/>
                      <w:lang w:val="en-US" w:eastAsia="zh-CN"/>
                    </w:rPr>
                    <w:t>危险物质</w:t>
                  </w:r>
                </w:p>
              </w:tc>
              <w:tc>
                <w:tcPr>
                  <w:tcW w:w="1999" w:type="dxa"/>
                  <w:vAlign w:val="center"/>
                </w:tcPr>
                <w:p w14:paraId="5CB1CC37">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vertAlign w:val="baseline"/>
                      <w:lang w:val="en-US" w:eastAsia="zh-CN"/>
                    </w:rPr>
                    <w:t>危害对象</w:t>
                  </w:r>
                </w:p>
              </w:tc>
            </w:tr>
            <w:tr w14:paraId="6CFD7BE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84" w:type="dxa"/>
                  <w:vAlign w:val="center"/>
                </w:tcPr>
                <w:p w14:paraId="1C7B647A">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储存、转运</w:t>
                  </w:r>
                </w:p>
              </w:tc>
              <w:tc>
                <w:tcPr>
                  <w:tcW w:w="1570" w:type="dxa"/>
                  <w:vAlign w:val="center"/>
                </w:tcPr>
                <w:p w14:paraId="15512FBF">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储油罐及管道</w:t>
                  </w:r>
                </w:p>
              </w:tc>
              <w:tc>
                <w:tcPr>
                  <w:tcW w:w="1320" w:type="dxa"/>
                  <w:vAlign w:val="center"/>
                </w:tcPr>
                <w:p w14:paraId="26FA4234">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泄漏、火灾</w:t>
                  </w:r>
                </w:p>
              </w:tc>
              <w:tc>
                <w:tcPr>
                  <w:tcW w:w="1240" w:type="dxa"/>
                  <w:vAlign w:val="center"/>
                </w:tcPr>
                <w:p w14:paraId="2BA94603">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泄漏</w:t>
                  </w:r>
                </w:p>
              </w:tc>
              <w:tc>
                <w:tcPr>
                  <w:tcW w:w="710" w:type="dxa"/>
                  <w:vAlign w:val="center"/>
                </w:tcPr>
                <w:p w14:paraId="1E1BEAEF">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废矿物油</w:t>
                  </w:r>
                </w:p>
              </w:tc>
              <w:tc>
                <w:tcPr>
                  <w:tcW w:w="1999" w:type="dxa"/>
                  <w:vAlign w:val="center"/>
                </w:tcPr>
                <w:p w14:paraId="7CA8715C">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大气、地表水、地下水</w:t>
                  </w:r>
                  <w:r>
                    <w:rPr>
                      <w:rFonts w:hint="eastAsia" w:cs="Times New Roman"/>
                      <w:sz w:val="21"/>
                      <w:szCs w:val="21"/>
                      <w:vertAlign w:val="baseline"/>
                      <w:lang w:val="en-US" w:eastAsia="zh-CN"/>
                    </w:rPr>
                    <w:t>以及</w:t>
                  </w:r>
                  <w:r>
                    <w:rPr>
                      <w:rFonts w:hint="default" w:ascii="Times New Roman" w:hAnsi="Times New Roman" w:eastAsia="宋体" w:cs="Times New Roman"/>
                      <w:sz w:val="21"/>
                      <w:szCs w:val="21"/>
                      <w:vertAlign w:val="baseline"/>
                      <w:lang w:val="en-US" w:eastAsia="zh-CN"/>
                    </w:rPr>
                    <w:t>土壤环境</w:t>
                  </w:r>
                </w:p>
              </w:tc>
            </w:tr>
          </w:tbl>
          <w:p w14:paraId="27FCBD74">
            <w:pPr>
              <w:numPr>
                <w:ilvl w:val="0"/>
                <w:numId w:val="68"/>
              </w:numPr>
              <w:bidi w:val="0"/>
              <w:spacing w:line="360" w:lineRule="auto"/>
              <w:ind w:left="0" w:leftChars="0"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环境风险影响途径</w:t>
            </w:r>
          </w:p>
          <w:p w14:paraId="77A6FBEE">
            <w:pPr>
              <w:numPr>
                <w:ilvl w:val="0"/>
                <w:numId w:val="7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泄漏事故</w:t>
            </w:r>
          </w:p>
          <w:p w14:paraId="14062E21">
            <w:pPr>
              <w:numPr>
                <w:ilvl w:val="0"/>
                <w:numId w:val="0"/>
              </w:numPr>
              <w:bidi w:val="0"/>
              <w:spacing w:line="360" w:lineRule="auto"/>
              <w:ind w:firstLine="482" w:firstLineChars="200"/>
              <w:rPr>
                <w:rFonts w:hint="default" w:ascii="Times New Roman" w:hAnsi="Times New Roman" w:eastAsia="宋体" w:cs="Times New Roman"/>
                <w:b/>
                <w:bCs/>
                <w:sz w:val="24"/>
                <w:szCs w:val="24"/>
                <w:lang w:val="en-US" w:eastAsia="zh-CN"/>
              </w:rPr>
            </w:pPr>
            <w:r>
              <w:rPr>
                <w:rFonts w:hint="default" w:ascii="Times New Roman" w:hAnsi="Times New Roman" w:eastAsia="宋体" w:cs="Times New Roman"/>
                <w:b/>
                <w:bCs/>
                <w:sz w:val="24"/>
                <w:szCs w:val="24"/>
                <w:lang w:val="en-US" w:eastAsia="zh-CN"/>
              </w:rPr>
              <w:t>①储油罐泄露</w:t>
            </w:r>
          </w:p>
          <w:p w14:paraId="344AD0AB">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废矿物油贮存区域设置围堰，安全围堰有效容积不小于</w:t>
            </w:r>
            <w:r>
              <w:rPr>
                <w:rFonts w:hint="eastAsia" w:cs="Times New Roman"/>
                <w:sz w:val="24"/>
                <w:szCs w:val="24"/>
                <w:lang w:val="en-US" w:eastAsia="zh-CN"/>
              </w:rPr>
              <w:t>90.0</w:t>
            </w:r>
            <w:r>
              <w:rPr>
                <w:rFonts w:hint="default" w:ascii="Times New Roman" w:hAnsi="Times New Roman" w:eastAsia="宋体" w:cs="Times New Roman"/>
                <w:sz w:val="24"/>
                <w:szCs w:val="24"/>
                <w:lang w:val="en-US" w:eastAsia="zh-CN"/>
              </w:rPr>
              <w:t>m</w:t>
            </w:r>
            <w:r>
              <w:rPr>
                <w:rFonts w:hint="default" w:ascii="Times New Roman" w:hAnsi="Times New Roman" w:eastAsia="宋体" w:cs="Times New Roman"/>
                <w:sz w:val="24"/>
                <w:szCs w:val="24"/>
                <w:vertAlign w:val="superscript"/>
                <w:lang w:val="en-US" w:eastAsia="zh-CN"/>
              </w:rPr>
              <w:t>3</w:t>
            </w:r>
            <w:r>
              <w:rPr>
                <w:rFonts w:hint="default" w:ascii="Times New Roman" w:hAnsi="Times New Roman" w:eastAsia="宋体" w:cs="Times New Roman"/>
                <w:sz w:val="24"/>
                <w:szCs w:val="24"/>
                <w:lang w:val="en-US" w:eastAsia="zh-CN"/>
              </w:rPr>
              <w:t>，在储罐发生泄漏的事故状态下，废油可以临时暂存于贮存区事故围堰内，可保证泄漏的废油能够得到收集，不溢出项目场地内，避免对周边大气环境、水环境、土壤环境造成影响。</w:t>
            </w:r>
          </w:p>
          <w:p w14:paraId="4A7BFBAA">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②装卸过程中管道泄露</w:t>
            </w:r>
          </w:p>
          <w:p w14:paraId="25D1B205">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在项目运营过程中，如果发现输送管道破损，应立即关上阀门，停止废油的输送，并使用金属桶对管道内的废油进行收集，地面泄漏的废油使用砂土或其它不燃材料吸附或吸收，及时处理。日常运营过程中也应加强管道设备、阀门、油罐等的检修，降低发生风险事故的概率。</w:t>
            </w:r>
          </w:p>
          <w:p w14:paraId="6170A072">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在采取上述防治措施后，因废矿物油造成的环境风险影响是可以得到控制和减轻的。</w:t>
            </w:r>
          </w:p>
          <w:p w14:paraId="342650CC">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进入泄漏现场进行处理时，应注意以下几项：</w:t>
            </w:r>
          </w:p>
          <w:p w14:paraId="417212EA">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①进入现场人员应根据泄漏物质性质必须配备必要的个人防护器具；</w:t>
            </w:r>
          </w:p>
          <w:p w14:paraId="4B78944B">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②应急处理人员严禁单独行动，至少两人一组进出泄漏区域；</w:t>
            </w:r>
          </w:p>
          <w:p w14:paraId="783C0FD6">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③应从上风、上坡处或侧风处接近现场，严禁盲目进入。</w:t>
            </w:r>
          </w:p>
          <w:p w14:paraId="21F0B363">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③危废暂存间</w:t>
            </w:r>
          </w:p>
          <w:p w14:paraId="4A8C6E89">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本项目水环境危险物质实验废液，在危废暂存间内在储存时，若包装容器破损、倾覆造成泄漏，危废暂存间有可靠防流散措施和防渗措施，泄漏后不会流出室外或下渗，故不会有地表水及地下水危害后果；危险物质泄漏量不大，有机物挥发会引起局部轻微空气污染，但不会造成厂外人群明显的吸入危害。</w:t>
            </w:r>
          </w:p>
          <w:p w14:paraId="76672B8F">
            <w:pPr>
              <w:numPr>
                <w:ilvl w:val="0"/>
                <w:numId w:val="70"/>
              </w:numPr>
              <w:bidi w:val="0"/>
              <w:spacing w:line="360" w:lineRule="auto"/>
              <w:ind w:left="0" w:leftChars="0"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火灾爆炸次生/伴生环境影响分析</w:t>
            </w:r>
          </w:p>
          <w:p w14:paraId="49E66BDE">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本项目废矿物油能与空气混合能形成爆炸性混合物，遇明火有燃烧爆炸的危险。易燃物在发生火灾爆炸时，除爆炸冲击波和热辐射伤害之外，火灾和爆炸过程中还会产生大量烟雾。烟雾是物质在燃烧反应过程中生成的含有气态、液态和固态物质与空气的混合物。通常它由极小的炭黑粒子完全燃烧或不完全燃烧产物、水分以及可燃物的燃烧分解产物所组成。废矿物油燃烧会产生NOx、金属氧化物</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CO、CO</w:t>
            </w:r>
            <w:r>
              <w:rPr>
                <w:rFonts w:hint="default" w:ascii="Times New Roman" w:hAnsi="Times New Roman" w:eastAsia="宋体" w:cs="Times New Roman"/>
                <w:sz w:val="24"/>
                <w:szCs w:val="24"/>
                <w:vertAlign w:val="subscript"/>
                <w:lang w:val="en-US" w:eastAsia="zh-CN"/>
              </w:rPr>
              <w:t>2</w:t>
            </w:r>
            <w:r>
              <w:rPr>
                <w:rFonts w:hint="default" w:ascii="Times New Roman" w:hAnsi="Times New Roman" w:eastAsia="宋体" w:cs="Times New Roman"/>
                <w:sz w:val="24"/>
                <w:szCs w:val="24"/>
                <w:lang w:val="en-US" w:eastAsia="zh-CN"/>
              </w:rPr>
              <w:t>等毒性较大的物质，火灾爆炸后产生的次生烟雾、NOx等物质会对厂址下风向人员产生一定影响，受影响的人员主要是本公司及相邻公司员工。在发生火灾爆炸时，应急人员戴全面式呼吸罩，并及时疏导下风向人员，降低有害物质对环境的影响。</w:t>
            </w:r>
          </w:p>
          <w:p w14:paraId="7FAFD831">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当发生大规模泄漏并伴随火灾时，可能会产生消防废水，消防废水一旦随着地表径流排放到地表水体，对地表水体生态环境的影响是不可逆的，消防废水中的可能含有的石油类等污染物具有致癌变、致畸变、致突变作用，</w:t>
            </w:r>
            <w:r>
              <w:rPr>
                <w:rFonts w:hint="eastAsia" w:cs="Times New Roman"/>
                <w:sz w:val="24"/>
                <w:szCs w:val="24"/>
                <w:lang w:val="en-US" w:eastAsia="zh-CN"/>
              </w:rPr>
              <w:t>可能</w:t>
            </w:r>
            <w:r>
              <w:rPr>
                <w:rFonts w:hint="default" w:ascii="Times New Roman" w:hAnsi="Times New Roman" w:eastAsia="宋体" w:cs="Times New Roman"/>
                <w:sz w:val="24"/>
                <w:szCs w:val="24"/>
                <w:lang w:val="en-US" w:eastAsia="zh-CN"/>
              </w:rPr>
              <w:t>对水生生物、水生植物、浮游动物伤害较大。首先使用消防沙袋等围堵物品实行泄漏车间出口封堵，同时通知园区将本项目附近的雨水排口进行封堵或关闭园区雨水管网节流阀，尽量将消防废水控制截流在车间内。</w:t>
            </w:r>
          </w:p>
          <w:p w14:paraId="304A2A27">
            <w:pPr>
              <w:numPr>
                <w:ilvl w:val="0"/>
                <w:numId w:val="70"/>
              </w:numPr>
              <w:bidi w:val="0"/>
              <w:spacing w:line="360" w:lineRule="auto"/>
              <w:ind w:left="0" w:leftChars="0"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土壤及地下水环境风险分析</w:t>
            </w:r>
          </w:p>
          <w:p w14:paraId="481E7F6D">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在日常运行过程中，由于设备损坏以及操作不当，容易引起危险物质的溢出或泄露事故。本项目危险物质贮存量较少，工作人员应每天定时巡查，及时发现泄漏事故，如发生泄漏情况，应及时进行堵漏措施，并清理泄漏物，预计不会对周围土壤及地下水环境产生明显影响。</w:t>
            </w:r>
          </w:p>
          <w:p w14:paraId="6B01DDF6">
            <w:pPr>
              <w:numPr>
                <w:ilvl w:val="0"/>
                <w:numId w:val="68"/>
              </w:numPr>
              <w:bidi w:val="0"/>
              <w:spacing w:line="360" w:lineRule="auto"/>
              <w:ind w:left="0" w:leftChars="0" w:firstLine="482" w:firstLineChars="200"/>
              <w:rPr>
                <w:rFonts w:hint="default" w:ascii="Times New Roman" w:hAnsi="Times New Roman" w:eastAsia="宋体" w:cs="Times New Roman"/>
                <w:b/>
                <w:bCs/>
                <w:sz w:val="24"/>
                <w:szCs w:val="24"/>
                <w:lang w:val="en-US" w:eastAsia="zh-CN"/>
              </w:rPr>
            </w:pPr>
            <w:r>
              <w:rPr>
                <w:rFonts w:hint="default" w:ascii="Times New Roman" w:hAnsi="Times New Roman" w:eastAsia="宋体" w:cs="Times New Roman"/>
                <w:b/>
                <w:bCs/>
                <w:sz w:val="24"/>
                <w:szCs w:val="24"/>
                <w:lang w:val="en-US" w:eastAsia="zh-CN"/>
              </w:rPr>
              <w:t>环境风险防范措施及应急要求</w:t>
            </w:r>
          </w:p>
          <w:p w14:paraId="747754DC">
            <w:pPr>
              <w:numPr>
                <w:ilvl w:val="0"/>
                <w:numId w:val="71"/>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环境风险防范措施</w:t>
            </w:r>
          </w:p>
          <w:p w14:paraId="26F18500">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①危废暂存间地面及裙角做耐腐蚀硬化、防渗漏处理，且表面无裂隙，所使用的材料要与危险废物相容；</w:t>
            </w:r>
          </w:p>
          <w:p w14:paraId="7A658B87">
            <w:pPr>
              <w:numPr>
                <w:ilvl w:val="0"/>
                <w:numId w:val="72"/>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危险废物应储存于密闭容器中，并在容器外表设置环境保护图形标志和警示标志；</w:t>
            </w:r>
          </w:p>
          <w:p w14:paraId="7E0CA16A">
            <w:pPr>
              <w:numPr>
                <w:ilvl w:val="0"/>
                <w:numId w:val="72"/>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危险废物应选择防腐、防漏、防磕碰、密封严密的容器进行贮存和运输，储存于阴凉、通风良好的库房，远离火种、热源，库房应有专门人员看管。贮存库看管人员和危险废物运输人员工作中应佩带防护用具，并配备医疗急救用品。</w:t>
            </w:r>
          </w:p>
          <w:p w14:paraId="62338F9A">
            <w:pPr>
              <w:numPr>
                <w:ilvl w:val="0"/>
                <w:numId w:val="72"/>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危废暂存间应在出入口设置缓坡或防流散措施，防止危废物质泄漏至室外。</w:t>
            </w:r>
          </w:p>
          <w:p w14:paraId="669CEDA1">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②根据本项目目前的厂区平面布置及生产规划，建设单位在贮油罐四周、宿舍、办公区、危废暂存间设置灭火器等消防设施，建设单位还应结合本评价提出的环境风险防范措施，完善自身事故风险防范措施。具体防范措施如下：</w:t>
            </w:r>
          </w:p>
          <w:p w14:paraId="4E52E56B">
            <w:pPr>
              <w:numPr>
                <w:ilvl w:val="0"/>
                <w:numId w:val="73"/>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做好地面防渗措施，废矿物油以及厂内危险废物的存储运输做好专人规范化管理。</w:t>
            </w:r>
          </w:p>
          <w:p w14:paraId="2918B1C0">
            <w:pPr>
              <w:numPr>
                <w:ilvl w:val="0"/>
                <w:numId w:val="73"/>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对危险废物承运单位资质、运输人员资质、货物装载、运输线路等严格把关，减少风险发生的因素。</w:t>
            </w:r>
          </w:p>
          <w:p w14:paraId="7DF0E965">
            <w:pPr>
              <w:numPr>
                <w:ilvl w:val="0"/>
                <w:numId w:val="73"/>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在运输过程中，一旦发生意外，在采取应急处理的同时，迅速报告环保等有关部门，并积极采取相应措施，使损失降低到最小范围。</w:t>
            </w:r>
          </w:p>
          <w:p w14:paraId="3E05280E">
            <w:pPr>
              <w:numPr>
                <w:ilvl w:val="0"/>
                <w:numId w:val="73"/>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用于覆盖、混合吸附泄漏物料后的受污染沙土应置于指定固定桶内收集，及时清扫处理，禁止随意堆放，避免二次污染。</w:t>
            </w:r>
          </w:p>
          <w:p w14:paraId="5DC2737C">
            <w:pPr>
              <w:numPr>
                <w:ilvl w:val="0"/>
                <w:numId w:val="73"/>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定期对消防设置进行维护管理，定期检查灭火器材的有效性；建立本公司的火灾报警及应急体系，确保火灾等事故状态下的连续报警反馈体系有效及时，降低事故状态下的不利环境影响。若遇极端天气情况，泄漏物混入雨水中，应及时用沙袋封堵雨水排口，防止污染收纳水体。</w:t>
            </w:r>
          </w:p>
          <w:p w14:paraId="5CE07467">
            <w:pPr>
              <w:numPr>
                <w:ilvl w:val="0"/>
                <w:numId w:val="73"/>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定期检查贮油罐是否有泄漏，若发生泄漏，应立即转移罐内材料。</w:t>
            </w:r>
          </w:p>
          <w:p w14:paraId="359E4A1C">
            <w:pPr>
              <w:numPr>
                <w:ilvl w:val="0"/>
                <w:numId w:val="73"/>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定期进行安全环保宣传教育以及紧急事故模拟演习，提高事故应变能力。</w:t>
            </w:r>
          </w:p>
          <w:p w14:paraId="7CEB3DE5">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事故废水量估算按中国石油和化学工业联合会团体标准</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《化工园区事故应急设施（池）建设标准》（T/CPCIF0049-2020）中计算公式：</w:t>
            </w:r>
          </w:p>
          <w:p w14:paraId="2D22DA7D">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V总=（V</w:t>
            </w:r>
            <w:r>
              <w:rPr>
                <w:rFonts w:hint="default" w:ascii="Times New Roman" w:hAnsi="Times New Roman" w:eastAsia="宋体" w:cs="Times New Roman"/>
                <w:sz w:val="24"/>
                <w:szCs w:val="24"/>
                <w:vertAlign w:val="subscript"/>
                <w:lang w:val="en-US" w:eastAsia="zh-CN"/>
              </w:rPr>
              <w:t>1</w:t>
            </w:r>
            <w:r>
              <w:rPr>
                <w:rFonts w:hint="default" w:ascii="Times New Roman" w:hAnsi="Times New Roman" w:eastAsia="宋体" w:cs="Times New Roman"/>
                <w:sz w:val="24"/>
                <w:szCs w:val="24"/>
                <w:lang w:val="en-US" w:eastAsia="zh-CN"/>
              </w:rPr>
              <w:t>+V</w:t>
            </w:r>
            <w:r>
              <w:rPr>
                <w:rFonts w:hint="default" w:ascii="Times New Roman" w:hAnsi="Times New Roman" w:eastAsia="宋体" w:cs="Times New Roman"/>
                <w:sz w:val="24"/>
                <w:szCs w:val="24"/>
                <w:vertAlign w:val="subscript"/>
                <w:lang w:val="en-US" w:eastAsia="zh-CN"/>
              </w:rPr>
              <w:t>2</w:t>
            </w:r>
            <w:r>
              <w:rPr>
                <w:rFonts w:hint="default" w:ascii="Times New Roman" w:hAnsi="Times New Roman" w:eastAsia="宋体" w:cs="Times New Roman"/>
                <w:sz w:val="24"/>
                <w:szCs w:val="24"/>
                <w:lang w:val="en-US" w:eastAsia="zh-CN"/>
              </w:rPr>
              <w:t>-V</w:t>
            </w:r>
            <w:r>
              <w:rPr>
                <w:rFonts w:hint="default" w:ascii="Times New Roman" w:hAnsi="Times New Roman" w:eastAsia="宋体" w:cs="Times New Roman"/>
                <w:sz w:val="24"/>
                <w:szCs w:val="24"/>
                <w:vertAlign w:val="subscript"/>
                <w:lang w:val="en-US" w:eastAsia="zh-CN"/>
              </w:rPr>
              <w:t>3</w:t>
            </w:r>
            <w:r>
              <w:rPr>
                <w:rFonts w:hint="default" w:ascii="Times New Roman" w:hAnsi="Times New Roman" w:eastAsia="宋体" w:cs="Times New Roman"/>
                <w:sz w:val="24"/>
                <w:szCs w:val="24"/>
                <w:lang w:val="en-US" w:eastAsia="zh-CN"/>
              </w:rPr>
              <w:t>）max+V</w:t>
            </w:r>
            <w:r>
              <w:rPr>
                <w:rFonts w:hint="default" w:ascii="Times New Roman" w:hAnsi="Times New Roman" w:eastAsia="宋体" w:cs="Times New Roman"/>
                <w:sz w:val="24"/>
                <w:szCs w:val="24"/>
                <w:vertAlign w:val="subscript"/>
                <w:lang w:val="en-US" w:eastAsia="zh-CN"/>
              </w:rPr>
              <w:t>4</w:t>
            </w:r>
            <w:r>
              <w:rPr>
                <w:rFonts w:hint="default" w:ascii="Times New Roman" w:hAnsi="Times New Roman" w:eastAsia="宋体" w:cs="Times New Roman"/>
                <w:sz w:val="24"/>
                <w:szCs w:val="24"/>
                <w:lang w:val="en-US" w:eastAsia="zh-CN"/>
              </w:rPr>
              <w:t>+V</w:t>
            </w:r>
            <w:r>
              <w:rPr>
                <w:rFonts w:hint="default" w:ascii="Times New Roman" w:hAnsi="Times New Roman" w:eastAsia="宋体" w:cs="Times New Roman"/>
                <w:sz w:val="24"/>
                <w:szCs w:val="24"/>
                <w:vertAlign w:val="subscript"/>
                <w:lang w:val="en-US" w:eastAsia="zh-CN"/>
              </w:rPr>
              <w:t>5</w:t>
            </w:r>
          </w:p>
          <w:p w14:paraId="34ADE110">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式中：V总</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事故排水储存设施的总有效容积（即事故排水总量）</w:t>
            </w:r>
          </w:p>
          <w:p w14:paraId="22600297">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（V</w:t>
            </w:r>
            <w:r>
              <w:rPr>
                <w:rFonts w:hint="default" w:ascii="Times New Roman" w:hAnsi="Times New Roman" w:eastAsia="宋体" w:cs="Times New Roman"/>
                <w:sz w:val="24"/>
                <w:szCs w:val="24"/>
                <w:vertAlign w:val="subscript"/>
                <w:lang w:val="en-US" w:eastAsia="zh-CN"/>
              </w:rPr>
              <w:t>1</w:t>
            </w:r>
            <w:r>
              <w:rPr>
                <w:rFonts w:hint="default" w:ascii="Times New Roman" w:hAnsi="Times New Roman" w:eastAsia="宋体" w:cs="Times New Roman"/>
                <w:sz w:val="24"/>
                <w:szCs w:val="24"/>
                <w:lang w:val="en-US" w:eastAsia="zh-CN"/>
              </w:rPr>
              <w:t>+V</w:t>
            </w:r>
            <w:r>
              <w:rPr>
                <w:rFonts w:hint="default" w:ascii="Times New Roman" w:hAnsi="Times New Roman" w:eastAsia="宋体" w:cs="Times New Roman"/>
                <w:sz w:val="24"/>
                <w:szCs w:val="24"/>
                <w:vertAlign w:val="subscript"/>
                <w:lang w:val="en-US" w:eastAsia="zh-CN"/>
              </w:rPr>
              <w:t>2</w:t>
            </w:r>
            <w:r>
              <w:rPr>
                <w:rFonts w:hint="default" w:ascii="Times New Roman" w:hAnsi="Times New Roman" w:eastAsia="宋体" w:cs="Times New Roman"/>
                <w:sz w:val="24"/>
                <w:szCs w:val="24"/>
                <w:lang w:val="en-US" w:eastAsia="zh-CN"/>
              </w:rPr>
              <w:t>-V</w:t>
            </w:r>
            <w:r>
              <w:rPr>
                <w:rFonts w:hint="default" w:ascii="Times New Roman" w:hAnsi="Times New Roman" w:eastAsia="宋体" w:cs="Times New Roman"/>
                <w:sz w:val="24"/>
                <w:szCs w:val="24"/>
                <w:vertAlign w:val="subscript"/>
                <w:lang w:val="en-US" w:eastAsia="zh-CN"/>
              </w:rPr>
              <w:t>3</w:t>
            </w:r>
            <w:r>
              <w:rPr>
                <w:rFonts w:hint="default" w:ascii="Times New Roman" w:hAnsi="Times New Roman" w:eastAsia="宋体" w:cs="Times New Roman"/>
                <w:sz w:val="24"/>
                <w:szCs w:val="24"/>
                <w:lang w:val="en-US" w:eastAsia="zh-CN"/>
              </w:rPr>
              <w:t>）max</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对收集系统范围内不同罐组或装置分别计算V</w:t>
            </w:r>
            <w:r>
              <w:rPr>
                <w:rFonts w:hint="default" w:ascii="Times New Roman" w:hAnsi="Times New Roman" w:eastAsia="宋体" w:cs="Times New Roman"/>
                <w:sz w:val="24"/>
                <w:szCs w:val="24"/>
                <w:vertAlign w:val="subscript"/>
                <w:lang w:val="en-US" w:eastAsia="zh-CN"/>
              </w:rPr>
              <w:t>1</w:t>
            </w:r>
            <w:r>
              <w:rPr>
                <w:rFonts w:hint="default" w:ascii="Times New Roman" w:hAnsi="Times New Roman" w:eastAsia="宋体" w:cs="Times New Roman"/>
                <w:sz w:val="24"/>
                <w:szCs w:val="24"/>
                <w:lang w:val="en-US" w:eastAsia="zh-CN"/>
              </w:rPr>
              <w:t>+V</w:t>
            </w:r>
            <w:r>
              <w:rPr>
                <w:rFonts w:hint="default" w:ascii="Times New Roman" w:hAnsi="Times New Roman" w:eastAsia="宋体" w:cs="Times New Roman"/>
                <w:sz w:val="24"/>
                <w:szCs w:val="24"/>
                <w:vertAlign w:val="subscript"/>
                <w:lang w:val="en-US" w:eastAsia="zh-CN"/>
              </w:rPr>
              <w:t>2</w:t>
            </w:r>
            <w:r>
              <w:rPr>
                <w:rFonts w:hint="default" w:ascii="Times New Roman" w:hAnsi="Times New Roman" w:eastAsia="宋体" w:cs="Times New Roman"/>
                <w:sz w:val="24"/>
                <w:szCs w:val="24"/>
                <w:lang w:val="en-US" w:eastAsia="zh-CN"/>
              </w:rPr>
              <w:t>-V</w:t>
            </w:r>
            <w:r>
              <w:rPr>
                <w:rFonts w:hint="default" w:ascii="Times New Roman" w:hAnsi="Times New Roman" w:eastAsia="宋体" w:cs="Times New Roman"/>
                <w:sz w:val="24"/>
                <w:szCs w:val="24"/>
                <w:vertAlign w:val="subscript"/>
                <w:lang w:val="en-US" w:eastAsia="zh-CN"/>
              </w:rPr>
              <w:t>3</w:t>
            </w:r>
            <w:r>
              <w:rPr>
                <w:rFonts w:hint="default" w:ascii="Times New Roman" w:hAnsi="Times New Roman" w:eastAsia="宋体" w:cs="Times New Roman"/>
                <w:sz w:val="24"/>
                <w:szCs w:val="24"/>
                <w:lang w:val="en-US" w:eastAsia="zh-CN"/>
              </w:rPr>
              <w:t>，取其中最大值。</w:t>
            </w:r>
          </w:p>
          <w:p w14:paraId="67119855">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V1</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收集系统范围内发生事故的一个罐组或一套装置的物料量最大储罐物料量，m</w:t>
            </w:r>
            <w:r>
              <w:rPr>
                <w:rFonts w:hint="default" w:ascii="Times New Roman" w:hAnsi="Times New Roman" w:eastAsia="宋体" w:cs="Times New Roman"/>
                <w:sz w:val="24"/>
                <w:szCs w:val="24"/>
                <w:vertAlign w:val="superscript"/>
                <w:lang w:val="en-US" w:eastAsia="zh-CN"/>
              </w:rPr>
              <w:t>3</w:t>
            </w:r>
            <w:r>
              <w:rPr>
                <w:rFonts w:hint="default" w:ascii="Times New Roman" w:hAnsi="Times New Roman" w:eastAsia="宋体" w:cs="Times New Roman"/>
                <w:sz w:val="24"/>
                <w:szCs w:val="24"/>
                <w:lang w:val="en-US" w:eastAsia="zh-CN"/>
              </w:rPr>
              <w:t>；储存相同物料的罐组按一个最大储罐计，装置物料量按存留最大物料量的一台反应器或中间储罐计。</w:t>
            </w:r>
          </w:p>
          <w:p w14:paraId="7A1F7DF5">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V</w:t>
            </w:r>
            <w:r>
              <w:rPr>
                <w:rFonts w:hint="default" w:ascii="Times New Roman" w:hAnsi="Times New Roman" w:eastAsia="宋体" w:cs="Times New Roman"/>
                <w:sz w:val="24"/>
                <w:szCs w:val="24"/>
                <w:vertAlign w:val="subscript"/>
                <w:lang w:val="en-US" w:eastAsia="zh-CN"/>
              </w:rPr>
              <w:t>2</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火灾延续时间内，事故发生区域范围内的消防用水量，m</w:t>
            </w:r>
            <w:r>
              <w:rPr>
                <w:rFonts w:hint="default" w:ascii="Times New Roman" w:hAnsi="Times New Roman" w:eastAsia="宋体" w:cs="Times New Roman"/>
                <w:sz w:val="24"/>
                <w:szCs w:val="24"/>
                <w:vertAlign w:val="superscript"/>
                <w:lang w:val="en-US" w:eastAsia="zh-CN"/>
              </w:rPr>
              <w:t>3</w:t>
            </w:r>
            <w:r>
              <w:rPr>
                <w:rFonts w:hint="default" w:ascii="Times New Roman" w:hAnsi="Times New Roman" w:eastAsia="宋体" w:cs="Times New Roman"/>
                <w:sz w:val="24"/>
                <w:szCs w:val="24"/>
                <w:lang w:val="en-US" w:eastAsia="zh-CN"/>
              </w:rPr>
              <w:t>；消防用水量公式：V</w:t>
            </w:r>
            <w:r>
              <w:rPr>
                <w:rFonts w:hint="default" w:ascii="Times New Roman" w:hAnsi="Times New Roman" w:eastAsia="宋体" w:cs="Times New Roman"/>
                <w:sz w:val="24"/>
                <w:szCs w:val="24"/>
                <w:vertAlign w:val="subscript"/>
                <w:lang w:val="en-US" w:eastAsia="zh-CN"/>
              </w:rPr>
              <w:t>2</w:t>
            </w:r>
            <w:r>
              <w:rPr>
                <w:rFonts w:hint="default" w:ascii="Times New Roman" w:hAnsi="Times New Roman" w:eastAsia="宋体" w:cs="Times New Roman"/>
                <w:sz w:val="24"/>
                <w:szCs w:val="24"/>
                <w:lang w:val="en-US" w:eastAsia="zh-CN"/>
              </w:rPr>
              <w:t>=∑Q消·t消</w:t>
            </w:r>
          </w:p>
          <w:p w14:paraId="7EF99A77">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式中：Q消</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发生事故的罐区或装置区同时使用的消防设施给水流量，m</w:t>
            </w:r>
            <w:r>
              <w:rPr>
                <w:rFonts w:hint="default" w:ascii="Times New Roman" w:hAnsi="Times New Roman" w:eastAsia="宋体" w:cs="Times New Roman"/>
                <w:sz w:val="24"/>
                <w:szCs w:val="24"/>
                <w:vertAlign w:val="superscript"/>
                <w:lang w:val="en-US" w:eastAsia="zh-CN"/>
              </w:rPr>
              <w:t>3</w:t>
            </w:r>
            <w:r>
              <w:rPr>
                <w:rFonts w:hint="default" w:ascii="Times New Roman" w:hAnsi="Times New Roman" w:eastAsia="宋体" w:cs="Times New Roman"/>
                <w:sz w:val="24"/>
                <w:szCs w:val="24"/>
                <w:lang w:val="en-US" w:eastAsia="zh-CN"/>
              </w:rPr>
              <w:t>/h；</w:t>
            </w:r>
          </w:p>
          <w:p w14:paraId="66ADCBEA">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t消</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消防设施对应的设计消防历时，h</w:t>
            </w:r>
          </w:p>
          <w:p w14:paraId="1C4643DC">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V</w:t>
            </w:r>
            <w:r>
              <w:rPr>
                <w:rFonts w:hint="default" w:ascii="Times New Roman" w:hAnsi="Times New Roman" w:eastAsia="宋体" w:cs="Times New Roman"/>
                <w:sz w:val="24"/>
                <w:szCs w:val="24"/>
                <w:vertAlign w:val="subscript"/>
                <w:lang w:val="en-US" w:eastAsia="zh-CN"/>
              </w:rPr>
              <w:t>3</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发生事故时可以储存、转运到其它储存或处理设施的物料量，m</w:t>
            </w:r>
            <w:r>
              <w:rPr>
                <w:rFonts w:hint="default" w:ascii="Times New Roman" w:hAnsi="Times New Roman" w:eastAsia="宋体" w:cs="Times New Roman"/>
                <w:sz w:val="24"/>
                <w:szCs w:val="24"/>
                <w:vertAlign w:val="superscript"/>
                <w:lang w:val="en-US" w:eastAsia="zh-CN"/>
              </w:rPr>
              <w:t>3</w:t>
            </w:r>
            <w:r>
              <w:rPr>
                <w:rFonts w:hint="default" w:ascii="Times New Roman" w:hAnsi="Times New Roman" w:eastAsia="宋体" w:cs="Times New Roman"/>
                <w:sz w:val="24"/>
                <w:szCs w:val="24"/>
                <w:lang w:val="en-US" w:eastAsia="zh-CN"/>
              </w:rPr>
              <w:t>；</w:t>
            </w:r>
          </w:p>
          <w:p w14:paraId="5968BB62">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V</w:t>
            </w:r>
            <w:r>
              <w:rPr>
                <w:rFonts w:hint="default" w:ascii="Times New Roman" w:hAnsi="Times New Roman" w:eastAsia="宋体" w:cs="Times New Roman"/>
                <w:sz w:val="24"/>
                <w:szCs w:val="24"/>
                <w:vertAlign w:val="subscript"/>
                <w:lang w:val="en-US" w:eastAsia="zh-CN"/>
              </w:rPr>
              <w:t>4</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发生事故时必须进入该事故排水收集系统的生产废水量，m</w:t>
            </w:r>
            <w:r>
              <w:rPr>
                <w:rFonts w:hint="default" w:ascii="Times New Roman" w:hAnsi="Times New Roman" w:eastAsia="宋体" w:cs="Times New Roman"/>
                <w:sz w:val="24"/>
                <w:szCs w:val="24"/>
                <w:vertAlign w:val="superscript"/>
                <w:lang w:val="en-US" w:eastAsia="zh-CN"/>
              </w:rPr>
              <w:t>3</w:t>
            </w:r>
            <w:r>
              <w:rPr>
                <w:rFonts w:hint="default" w:ascii="Times New Roman" w:hAnsi="Times New Roman" w:eastAsia="宋体" w:cs="Times New Roman"/>
                <w:sz w:val="24"/>
                <w:szCs w:val="24"/>
                <w:lang w:val="en-US" w:eastAsia="zh-CN"/>
              </w:rPr>
              <w:t>；</w:t>
            </w:r>
          </w:p>
          <w:p w14:paraId="327BA92A">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V</w:t>
            </w:r>
            <w:r>
              <w:rPr>
                <w:rFonts w:hint="default" w:ascii="Times New Roman" w:hAnsi="Times New Roman" w:eastAsia="宋体" w:cs="Times New Roman"/>
                <w:sz w:val="24"/>
                <w:szCs w:val="24"/>
                <w:vertAlign w:val="subscript"/>
                <w:lang w:val="en-US" w:eastAsia="zh-CN"/>
              </w:rPr>
              <w:t>5</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发生事故时可能进入该收集系统的降雨量，m</w:t>
            </w:r>
            <w:r>
              <w:rPr>
                <w:rFonts w:hint="default" w:ascii="Times New Roman" w:hAnsi="Times New Roman" w:eastAsia="宋体" w:cs="Times New Roman"/>
                <w:sz w:val="24"/>
                <w:szCs w:val="24"/>
                <w:vertAlign w:val="superscript"/>
                <w:lang w:val="en-US" w:eastAsia="zh-CN"/>
              </w:rPr>
              <w:t>3</w:t>
            </w:r>
            <w:r>
              <w:rPr>
                <w:rFonts w:hint="default" w:ascii="Times New Roman" w:hAnsi="Times New Roman" w:eastAsia="宋体" w:cs="Times New Roman"/>
                <w:sz w:val="24"/>
                <w:szCs w:val="24"/>
                <w:lang w:val="en-US" w:eastAsia="zh-CN"/>
              </w:rPr>
              <w:t>。</w:t>
            </w:r>
          </w:p>
          <w:p w14:paraId="45AA473B">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根据建设单位提供的资料，综合以上公式要求，具体核算如下：</w:t>
            </w:r>
          </w:p>
          <w:p w14:paraId="376738EC">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V</w:t>
            </w:r>
            <w:r>
              <w:rPr>
                <w:rFonts w:hint="default" w:ascii="Times New Roman" w:hAnsi="Times New Roman" w:eastAsia="宋体" w:cs="Times New Roman"/>
                <w:sz w:val="24"/>
                <w:szCs w:val="24"/>
                <w:vertAlign w:val="subscript"/>
                <w:lang w:val="en-US" w:eastAsia="zh-CN"/>
              </w:rPr>
              <w:t>1</w:t>
            </w:r>
            <w:r>
              <w:rPr>
                <w:rFonts w:hint="default" w:ascii="Times New Roman" w:hAnsi="Times New Roman" w:eastAsia="宋体" w:cs="Times New Roman"/>
                <w:sz w:val="24"/>
                <w:szCs w:val="24"/>
                <w:lang w:val="en-US" w:eastAsia="zh-CN"/>
              </w:rPr>
              <w:t>：建设项目</w:t>
            </w:r>
            <w:r>
              <w:rPr>
                <w:rFonts w:hint="eastAsia" w:cs="Times New Roman"/>
                <w:sz w:val="24"/>
                <w:szCs w:val="24"/>
                <w:lang w:val="en-US" w:eastAsia="zh-CN"/>
              </w:rPr>
              <w:t>单个</w:t>
            </w:r>
            <w:r>
              <w:rPr>
                <w:rFonts w:hint="default" w:ascii="Times New Roman" w:hAnsi="Times New Roman" w:eastAsia="宋体" w:cs="Times New Roman"/>
                <w:sz w:val="24"/>
                <w:szCs w:val="24"/>
                <w:lang w:val="en-US" w:eastAsia="zh-CN"/>
              </w:rPr>
              <w:t>储罐最大</w:t>
            </w:r>
            <w:r>
              <w:rPr>
                <w:rFonts w:hint="eastAsia" w:cs="Times New Roman"/>
                <w:sz w:val="24"/>
                <w:szCs w:val="24"/>
                <w:lang w:val="en-US" w:eastAsia="zh-CN"/>
              </w:rPr>
              <w:t>有效</w:t>
            </w:r>
            <w:r>
              <w:rPr>
                <w:rFonts w:hint="default" w:ascii="Times New Roman" w:hAnsi="Times New Roman" w:eastAsia="宋体" w:cs="Times New Roman"/>
                <w:sz w:val="24"/>
                <w:szCs w:val="24"/>
                <w:lang w:val="en-US" w:eastAsia="zh-CN"/>
              </w:rPr>
              <w:t>容积为</w:t>
            </w:r>
            <w:r>
              <w:rPr>
                <w:rFonts w:hint="eastAsia" w:cs="Times New Roman"/>
                <w:sz w:val="24"/>
                <w:szCs w:val="24"/>
                <w:lang w:val="en-US" w:eastAsia="zh-CN"/>
              </w:rPr>
              <w:t>45</w:t>
            </w:r>
            <w:r>
              <w:rPr>
                <w:rFonts w:hint="default" w:ascii="Times New Roman" w:hAnsi="Times New Roman" w:eastAsia="宋体" w:cs="Times New Roman"/>
                <w:sz w:val="24"/>
                <w:szCs w:val="24"/>
                <w:lang w:val="en-US" w:eastAsia="zh-CN"/>
              </w:rPr>
              <w:t>m</w:t>
            </w:r>
            <w:r>
              <w:rPr>
                <w:rFonts w:hint="default" w:ascii="Times New Roman" w:hAnsi="Times New Roman" w:eastAsia="宋体" w:cs="Times New Roman"/>
                <w:sz w:val="24"/>
                <w:szCs w:val="24"/>
                <w:vertAlign w:val="superscript"/>
                <w:lang w:val="en-US" w:eastAsia="zh-CN"/>
              </w:rPr>
              <w:t>3</w:t>
            </w:r>
            <w:r>
              <w:rPr>
                <w:rFonts w:hint="default" w:ascii="Times New Roman" w:hAnsi="Times New Roman" w:eastAsia="宋体" w:cs="Times New Roman"/>
                <w:sz w:val="24"/>
                <w:szCs w:val="24"/>
                <w:lang w:val="en-US" w:eastAsia="zh-CN"/>
              </w:rPr>
              <w:t>，即V</w:t>
            </w:r>
            <w:r>
              <w:rPr>
                <w:rFonts w:hint="default" w:ascii="Times New Roman" w:hAnsi="Times New Roman" w:eastAsia="宋体" w:cs="Times New Roman"/>
                <w:sz w:val="24"/>
                <w:szCs w:val="24"/>
                <w:vertAlign w:val="subscript"/>
                <w:lang w:val="en-US" w:eastAsia="zh-CN"/>
              </w:rPr>
              <w:t>1</w:t>
            </w:r>
            <w:r>
              <w:rPr>
                <w:rFonts w:hint="default" w:ascii="Times New Roman" w:hAnsi="Times New Roman" w:eastAsia="宋体" w:cs="Times New Roman"/>
                <w:sz w:val="24"/>
                <w:szCs w:val="24"/>
                <w:lang w:val="en-US" w:eastAsia="zh-CN"/>
              </w:rPr>
              <w:t>=4</w:t>
            </w:r>
            <w:r>
              <w:rPr>
                <w:rFonts w:hint="eastAsia" w:cs="Times New Roman"/>
                <w:sz w:val="24"/>
                <w:szCs w:val="24"/>
                <w:lang w:val="en-US" w:eastAsia="zh-CN"/>
              </w:rPr>
              <w:t>5</w:t>
            </w:r>
            <w:r>
              <w:rPr>
                <w:rFonts w:hint="default" w:ascii="Times New Roman" w:hAnsi="Times New Roman" w:eastAsia="宋体" w:cs="Times New Roman"/>
                <w:sz w:val="24"/>
                <w:szCs w:val="24"/>
                <w:lang w:val="en-US" w:eastAsia="zh-CN"/>
              </w:rPr>
              <w:t>m</w:t>
            </w:r>
            <w:r>
              <w:rPr>
                <w:rFonts w:hint="default" w:ascii="Times New Roman" w:hAnsi="Times New Roman" w:eastAsia="宋体" w:cs="Times New Roman"/>
                <w:sz w:val="24"/>
                <w:szCs w:val="24"/>
                <w:vertAlign w:val="superscript"/>
                <w:lang w:val="en-US" w:eastAsia="zh-CN"/>
              </w:rPr>
              <w:t>3</w:t>
            </w:r>
            <w:r>
              <w:rPr>
                <w:rFonts w:hint="default" w:ascii="Times New Roman" w:hAnsi="Times New Roman" w:eastAsia="宋体" w:cs="Times New Roman"/>
                <w:sz w:val="24"/>
                <w:szCs w:val="24"/>
                <w:lang w:val="en-US" w:eastAsia="zh-CN"/>
              </w:rPr>
              <w:t>；</w:t>
            </w:r>
          </w:p>
          <w:p w14:paraId="41282E4C">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V</w:t>
            </w:r>
            <w:r>
              <w:rPr>
                <w:rFonts w:hint="default" w:ascii="Times New Roman" w:hAnsi="Times New Roman" w:eastAsia="宋体" w:cs="Times New Roman"/>
                <w:sz w:val="24"/>
                <w:szCs w:val="24"/>
                <w:vertAlign w:val="subscript"/>
                <w:lang w:val="en-US" w:eastAsia="zh-CN"/>
              </w:rPr>
              <w:t>2</w:t>
            </w:r>
            <w:r>
              <w:rPr>
                <w:rFonts w:hint="default" w:ascii="Times New Roman" w:hAnsi="Times New Roman" w:eastAsia="宋体" w:cs="Times New Roman"/>
                <w:sz w:val="24"/>
                <w:szCs w:val="24"/>
                <w:lang w:val="en-US" w:eastAsia="zh-CN"/>
              </w:rPr>
              <w:t>：消防设施给水量5m</w:t>
            </w:r>
            <w:r>
              <w:rPr>
                <w:rFonts w:hint="default" w:ascii="Times New Roman" w:hAnsi="Times New Roman" w:eastAsia="宋体" w:cs="Times New Roman"/>
                <w:sz w:val="24"/>
                <w:szCs w:val="24"/>
                <w:vertAlign w:val="superscript"/>
                <w:lang w:val="en-US" w:eastAsia="zh-CN"/>
              </w:rPr>
              <w:t>3</w:t>
            </w:r>
            <w:r>
              <w:rPr>
                <w:rFonts w:hint="default" w:ascii="Times New Roman" w:hAnsi="Times New Roman" w:eastAsia="宋体" w:cs="Times New Roman"/>
                <w:sz w:val="24"/>
                <w:szCs w:val="24"/>
                <w:lang w:val="en-US" w:eastAsia="zh-CN"/>
              </w:rPr>
              <w:t>/h计，设计消防历时为6h，则发生一次火灾时消防用水量为：5×6=30m</w:t>
            </w:r>
            <w:r>
              <w:rPr>
                <w:rFonts w:hint="default" w:ascii="Times New Roman" w:hAnsi="Times New Roman" w:eastAsia="宋体" w:cs="Times New Roman"/>
                <w:sz w:val="24"/>
                <w:szCs w:val="24"/>
                <w:vertAlign w:val="superscript"/>
                <w:lang w:val="en-US" w:eastAsia="zh-CN"/>
              </w:rPr>
              <w:t>3</w:t>
            </w:r>
            <w:r>
              <w:rPr>
                <w:rFonts w:hint="default" w:ascii="Times New Roman" w:hAnsi="Times New Roman" w:eastAsia="宋体" w:cs="Times New Roman"/>
                <w:sz w:val="24"/>
                <w:szCs w:val="24"/>
                <w:lang w:val="en-US" w:eastAsia="zh-CN"/>
              </w:rPr>
              <w:t>，V</w:t>
            </w:r>
            <w:r>
              <w:rPr>
                <w:rFonts w:hint="default" w:ascii="Times New Roman" w:hAnsi="Times New Roman" w:eastAsia="宋体" w:cs="Times New Roman"/>
                <w:sz w:val="24"/>
                <w:szCs w:val="24"/>
                <w:vertAlign w:val="subscript"/>
                <w:lang w:val="en-US" w:eastAsia="zh-CN"/>
              </w:rPr>
              <w:t>2</w:t>
            </w:r>
            <w:r>
              <w:rPr>
                <w:rFonts w:hint="default" w:ascii="Times New Roman" w:hAnsi="Times New Roman" w:eastAsia="宋体" w:cs="Times New Roman"/>
                <w:sz w:val="24"/>
                <w:szCs w:val="24"/>
                <w:lang w:val="en-US" w:eastAsia="zh-CN"/>
              </w:rPr>
              <w:t>=30m</w:t>
            </w:r>
            <w:r>
              <w:rPr>
                <w:rFonts w:hint="default" w:ascii="Times New Roman" w:hAnsi="Times New Roman" w:eastAsia="宋体" w:cs="Times New Roman"/>
                <w:sz w:val="24"/>
                <w:szCs w:val="24"/>
                <w:vertAlign w:val="superscript"/>
                <w:lang w:val="en-US" w:eastAsia="zh-CN"/>
              </w:rPr>
              <w:t>3</w:t>
            </w:r>
            <w:r>
              <w:rPr>
                <w:rFonts w:hint="default" w:ascii="Times New Roman" w:hAnsi="Times New Roman" w:eastAsia="宋体" w:cs="Times New Roman"/>
                <w:sz w:val="24"/>
                <w:szCs w:val="24"/>
                <w:lang w:val="en-US" w:eastAsia="zh-CN"/>
              </w:rPr>
              <w:t>。</w:t>
            </w:r>
          </w:p>
          <w:p w14:paraId="3EEE7C67">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V</w:t>
            </w:r>
            <w:r>
              <w:rPr>
                <w:rFonts w:hint="default" w:ascii="Times New Roman" w:hAnsi="Times New Roman" w:eastAsia="宋体" w:cs="Times New Roman"/>
                <w:sz w:val="24"/>
                <w:szCs w:val="24"/>
                <w:vertAlign w:val="subscript"/>
                <w:lang w:val="en-US" w:eastAsia="zh-CN"/>
              </w:rPr>
              <w:t>3</w:t>
            </w:r>
            <w:r>
              <w:rPr>
                <w:rFonts w:hint="default" w:ascii="Times New Roman" w:hAnsi="Times New Roman" w:eastAsia="宋体" w:cs="Times New Roman"/>
                <w:sz w:val="24"/>
                <w:szCs w:val="24"/>
                <w:lang w:val="en-US" w:eastAsia="zh-CN"/>
              </w:rPr>
              <w:t>：本项目无可以转输到其它储存或处理设施的物料量，故生产车间V</w:t>
            </w:r>
            <w:r>
              <w:rPr>
                <w:rFonts w:hint="default" w:ascii="Times New Roman" w:hAnsi="Times New Roman" w:eastAsia="宋体" w:cs="Times New Roman"/>
                <w:sz w:val="24"/>
                <w:szCs w:val="24"/>
                <w:vertAlign w:val="subscript"/>
                <w:lang w:val="en-US" w:eastAsia="zh-CN"/>
              </w:rPr>
              <w:t>3</w:t>
            </w:r>
            <w:r>
              <w:rPr>
                <w:rFonts w:hint="default" w:ascii="Times New Roman" w:hAnsi="Times New Roman" w:eastAsia="宋体" w:cs="Times New Roman"/>
                <w:sz w:val="24"/>
                <w:szCs w:val="24"/>
                <w:lang w:val="en-US" w:eastAsia="zh-CN"/>
              </w:rPr>
              <w:t>=0m</w:t>
            </w:r>
            <w:r>
              <w:rPr>
                <w:rFonts w:hint="default" w:ascii="Times New Roman" w:hAnsi="Times New Roman" w:eastAsia="宋体" w:cs="Times New Roman"/>
                <w:sz w:val="24"/>
                <w:szCs w:val="24"/>
                <w:vertAlign w:val="superscript"/>
                <w:lang w:val="en-US" w:eastAsia="zh-CN"/>
              </w:rPr>
              <w:t>3</w:t>
            </w:r>
            <w:r>
              <w:rPr>
                <w:rFonts w:hint="default" w:ascii="Times New Roman" w:hAnsi="Times New Roman" w:eastAsia="宋体" w:cs="Times New Roman"/>
                <w:sz w:val="24"/>
                <w:szCs w:val="24"/>
                <w:lang w:val="en-US" w:eastAsia="zh-CN"/>
              </w:rPr>
              <w:t>。</w:t>
            </w:r>
          </w:p>
          <w:p w14:paraId="2022A58D">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V</w:t>
            </w:r>
            <w:r>
              <w:rPr>
                <w:rFonts w:hint="default" w:ascii="Times New Roman" w:hAnsi="Times New Roman" w:eastAsia="宋体" w:cs="Times New Roman"/>
                <w:sz w:val="24"/>
                <w:szCs w:val="24"/>
                <w:vertAlign w:val="subscript"/>
                <w:lang w:val="en-US" w:eastAsia="zh-CN"/>
              </w:rPr>
              <w:t>4</w:t>
            </w:r>
            <w:r>
              <w:rPr>
                <w:rFonts w:hint="default" w:ascii="Times New Roman" w:hAnsi="Times New Roman" w:eastAsia="宋体" w:cs="Times New Roman"/>
                <w:sz w:val="24"/>
                <w:szCs w:val="24"/>
                <w:lang w:val="en-US" w:eastAsia="zh-CN"/>
              </w:rPr>
              <w:t>：发生事故时进入收集系统的生产废水量为0m</w:t>
            </w:r>
            <w:r>
              <w:rPr>
                <w:rFonts w:hint="default" w:ascii="Times New Roman" w:hAnsi="Times New Roman" w:eastAsia="宋体" w:cs="Times New Roman"/>
                <w:sz w:val="24"/>
                <w:szCs w:val="24"/>
                <w:vertAlign w:val="superscript"/>
                <w:lang w:val="en-US" w:eastAsia="zh-CN"/>
              </w:rPr>
              <w:t>3</w:t>
            </w:r>
            <w:r>
              <w:rPr>
                <w:rFonts w:hint="default" w:ascii="Times New Roman" w:hAnsi="Times New Roman" w:eastAsia="宋体" w:cs="Times New Roman"/>
                <w:sz w:val="24"/>
                <w:szCs w:val="24"/>
                <w:lang w:val="en-US" w:eastAsia="zh-CN"/>
              </w:rPr>
              <w:t>，V</w:t>
            </w:r>
            <w:r>
              <w:rPr>
                <w:rFonts w:hint="default" w:ascii="Times New Roman" w:hAnsi="Times New Roman" w:eastAsia="宋体" w:cs="Times New Roman"/>
                <w:sz w:val="24"/>
                <w:szCs w:val="24"/>
                <w:vertAlign w:val="subscript"/>
                <w:lang w:val="en-US" w:eastAsia="zh-CN"/>
              </w:rPr>
              <w:t>4</w:t>
            </w:r>
            <w:r>
              <w:rPr>
                <w:rFonts w:hint="default" w:ascii="Times New Roman" w:hAnsi="Times New Roman" w:eastAsia="宋体" w:cs="Times New Roman"/>
                <w:sz w:val="24"/>
                <w:szCs w:val="24"/>
                <w:lang w:val="en-US" w:eastAsia="zh-CN"/>
              </w:rPr>
              <w:t>=0m</w:t>
            </w:r>
            <w:r>
              <w:rPr>
                <w:rFonts w:hint="default" w:ascii="Times New Roman" w:hAnsi="Times New Roman" w:eastAsia="宋体" w:cs="Times New Roman"/>
                <w:sz w:val="24"/>
                <w:szCs w:val="24"/>
                <w:vertAlign w:val="superscript"/>
                <w:lang w:val="en-US" w:eastAsia="zh-CN"/>
              </w:rPr>
              <w:t>3</w:t>
            </w:r>
            <w:r>
              <w:rPr>
                <w:rFonts w:hint="default" w:ascii="Times New Roman" w:hAnsi="Times New Roman" w:eastAsia="宋体" w:cs="Times New Roman"/>
                <w:sz w:val="24"/>
                <w:szCs w:val="24"/>
                <w:lang w:val="en-US" w:eastAsia="zh-CN"/>
              </w:rPr>
              <w:t>。</w:t>
            </w:r>
          </w:p>
          <w:p w14:paraId="57C70444">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V5：发生事故时可能进入事故池的降雨量，m</w:t>
            </w:r>
            <w:r>
              <w:rPr>
                <w:rFonts w:hint="default" w:ascii="Times New Roman" w:hAnsi="Times New Roman" w:eastAsia="宋体" w:cs="Times New Roman"/>
                <w:sz w:val="24"/>
                <w:szCs w:val="24"/>
                <w:vertAlign w:val="superscript"/>
                <w:lang w:val="en-US" w:eastAsia="zh-CN"/>
              </w:rPr>
              <w:t>3</w:t>
            </w:r>
            <w:r>
              <w:rPr>
                <w:rFonts w:hint="default" w:ascii="Times New Roman" w:hAnsi="Times New Roman" w:eastAsia="宋体" w:cs="Times New Roman"/>
                <w:sz w:val="24"/>
                <w:szCs w:val="24"/>
                <w:lang w:val="en-US" w:eastAsia="zh-CN"/>
              </w:rPr>
              <w:t>。根据公式计算可得V</w:t>
            </w:r>
            <w:r>
              <w:rPr>
                <w:rFonts w:hint="default" w:ascii="Times New Roman" w:hAnsi="Times New Roman" w:eastAsia="宋体" w:cs="Times New Roman"/>
                <w:sz w:val="24"/>
                <w:szCs w:val="24"/>
                <w:vertAlign w:val="subscript"/>
                <w:lang w:val="en-US" w:eastAsia="zh-CN"/>
              </w:rPr>
              <w:t>5</w:t>
            </w:r>
            <w:r>
              <w:rPr>
                <w:rFonts w:hint="default" w:ascii="Times New Roman" w:hAnsi="Times New Roman" w:eastAsia="宋体" w:cs="Times New Roman"/>
                <w:sz w:val="24"/>
                <w:szCs w:val="24"/>
                <w:lang w:val="en-US" w:eastAsia="zh-CN"/>
              </w:rPr>
              <w:t>=10qF（其中，q为平均日降雨深度，mm；F为必须进入事故池的雨水汇水面积hm</w:t>
            </w:r>
            <w:r>
              <w:rPr>
                <w:rFonts w:hint="default" w:ascii="Times New Roman" w:hAnsi="Times New Roman" w:eastAsia="宋体" w:cs="Times New Roman"/>
                <w:sz w:val="24"/>
                <w:szCs w:val="24"/>
                <w:vertAlign w:val="superscript"/>
                <w:lang w:val="en-US" w:eastAsia="zh-CN"/>
              </w:rPr>
              <w:t>2</w:t>
            </w:r>
            <w:r>
              <w:rPr>
                <w:rFonts w:hint="default" w:ascii="Times New Roman" w:hAnsi="Times New Roman" w:eastAsia="宋体" w:cs="Times New Roman"/>
                <w:sz w:val="24"/>
                <w:szCs w:val="24"/>
                <w:lang w:val="en-US" w:eastAsia="zh-CN"/>
              </w:rPr>
              <w:t>）；天津市年降雨量</w:t>
            </w:r>
            <w:r>
              <w:rPr>
                <w:rFonts w:hint="eastAsia" w:cs="Times New Roman"/>
                <w:sz w:val="24"/>
                <w:szCs w:val="24"/>
                <w:lang w:val="en-US" w:eastAsia="zh-CN"/>
              </w:rPr>
              <w:t>638</w:t>
            </w:r>
            <w:r>
              <w:rPr>
                <w:rFonts w:hint="default" w:ascii="Times New Roman" w:hAnsi="Times New Roman" w:eastAsia="宋体" w:cs="Times New Roman"/>
                <w:sz w:val="24"/>
                <w:szCs w:val="24"/>
                <w:lang w:val="en-US" w:eastAsia="zh-CN"/>
              </w:rPr>
              <w:t>mm，年平均降雨日数为</w:t>
            </w:r>
            <w:r>
              <w:rPr>
                <w:rFonts w:hint="eastAsia" w:cs="Times New Roman"/>
                <w:sz w:val="24"/>
                <w:szCs w:val="24"/>
                <w:lang w:val="en-US" w:eastAsia="zh-CN"/>
              </w:rPr>
              <w:t>50</w:t>
            </w:r>
            <w:r>
              <w:rPr>
                <w:rFonts w:hint="default" w:ascii="Times New Roman" w:hAnsi="Times New Roman" w:eastAsia="宋体" w:cs="Times New Roman"/>
                <w:sz w:val="24"/>
                <w:szCs w:val="24"/>
                <w:lang w:val="en-US" w:eastAsia="zh-CN"/>
              </w:rPr>
              <w:t>天，平均日降雨深度</w:t>
            </w:r>
            <w:r>
              <w:rPr>
                <w:rFonts w:hint="eastAsia" w:cs="Times New Roman"/>
                <w:sz w:val="24"/>
                <w:szCs w:val="24"/>
                <w:lang w:val="en-US" w:eastAsia="zh-CN"/>
              </w:rPr>
              <w:t>12.76</w:t>
            </w:r>
            <w:r>
              <w:rPr>
                <w:rFonts w:hint="default" w:ascii="Times New Roman" w:hAnsi="Times New Roman" w:eastAsia="宋体" w:cs="Times New Roman"/>
                <w:sz w:val="24"/>
                <w:szCs w:val="24"/>
                <w:lang w:val="en-US" w:eastAsia="zh-CN"/>
              </w:rPr>
              <w:t>mm，本项目最大雨水汇水面积为</w:t>
            </w:r>
            <w:r>
              <w:rPr>
                <w:rFonts w:hint="eastAsia" w:cs="Times New Roman"/>
                <w:sz w:val="24"/>
                <w:szCs w:val="24"/>
                <w:lang w:val="en-US" w:eastAsia="zh-CN"/>
              </w:rPr>
              <w:t>145</w:t>
            </w:r>
            <w:r>
              <w:rPr>
                <w:rFonts w:hint="default" w:ascii="Times New Roman" w:hAnsi="Times New Roman" w:eastAsia="宋体" w:cs="Times New Roman"/>
                <w:sz w:val="24"/>
                <w:szCs w:val="24"/>
                <w:lang w:val="en-US" w:eastAsia="zh-CN"/>
              </w:rPr>
              <w:t>m</w:t>
            </w:r>
            <w:r>
              <w:rPr>
                <w:rFonts w:hint="default" w:ascii="Times New Roman" w:hAnsi="Times New Roman" w:eastAsia="宋体" w:cs="Times New Roman"/>
                <w:sz w:val="24"/>
                <w:szCs w:val="24"/>
                <w:vertAlign w:val="superscript"/>
                <w:lang w:val="en-US" w:eastAsia="zh-CN"/>
              </w:rPr>
              <w:t>2</w:t>
            </w:r>
            <w:r>
              <w:rPr>
                <w:rFonts w:hint="default" w:ascii="Times New Roman" w:hAnsi="Times New Roman" w:eastAsia="宋体" w:cs="Times New Roman"/>
                <w:sz w:val="24"/>
                <w:szCs w:val="24"/>
                <w:lang w:val="en-US" w:eastAsia="zh-CN"/>
              </w:rPr>
              <w:t>，本项目初期雨水量V</w:t>
            </w:r>
            <w:r>
              <w:rPr>
                <w:rFonts w:hint="default" w:ascii="Times New Roman" w:hAnsi="Times New Roman" w:eastAsia="宋体" w:cs="Times New Roman"/>
                <w:sz w:val="24"/>
                <w:szCs w:val="24"/>
                <w:vertAlign w:val="subscript"/>
                <w:lang w:val="en-US" w:eastAsia="zh-CN"/>
              </w:rPr>
              <w:t>5</w:t>
            </w:r>
            <w:r>
              <w:rPr>
                <w:rFonts w:hint="default" w:ascii="Times New Roman" w:hAnsi="Times New Roman" w:eastAsia="宋体" w:cs="Times New Roman"/>
                <w:sz w:val="24"/>
                <w:szCs w:val="24"/>
                <w:lang w:val="en-US" w:eastAsia="zh-CN"/>
              </w:rPr>
              <w:t>=</w:t>
            </w:r>
            <w:r>
              <w:rPr>
                <w:rFonts w:hint="eastAsia" w:cs="Times New Roman"/>
                <w:sz w:val="24"/>
                <w:szCs w:val="24"/>
                <w:lang w:val="en-US" w:eastAsia="zh-CN"/>
              </w:rPr>
              <w:t>1.85</w:t>
            </w:r>
            <w:r>
              <w:rPr>
                <w:rFonts w:hint="default" w:ascii="Times New Roman" w:hAnsi="Times New Roman" w:eastAsia="宋体" w:cs="Times New Roman"/>
                <w:sz w:val="24"/>
                <w:szCs w:val="24"/>
                <w:lang w:val="en-US" w:eastAsia="zh-CN"/>
              </w:rPr>
              <w:t>m</w:t>
            </w:r>
            <w:r>
              <w:rPr>
                <w:rFonts w:hint="default" w:ascii="Times New Roman" w:hAnsi="Times New Roman" w:eastAsia="宋体" w:cs="Times New Roman"/>
                <w:sz w:val="24"/>
                <w:szCs w:val="24"/>
                <w:vertAlign w:val="superscript"/>
                <w:lang w:val="en-US" w:eastAsia="zh-CN"/>
              </w:rPr>
              <w:t>3</w:t>
            </w:r>
            <w:r>
              <w:rPr>
                <w:rFonts w:hint="default" w:ascii="Times New Roman" w:hAnsi="Times New Roman" w:eastAsia="宋体" w:cs="Times New Roman"/>
                <w:sz w:val="24"/>
                <w:szCs w:val="24"/>
                <w:lang w:val="en-US" w:eastAsia="zh-CN"/>
              </w:rPr>
              <w:t>。</w:t>
            </w:r>
          </w:p>
          <w:p w14:paraId="138DB1CE">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eastAsia" w:cs="Times New Roman"/>
                <w:sz w:val="24"/>
                <w:szCs w:val="24"/>
                <w:lang w:val="en-US" w:eastAsia="zh-CN"/>
              </w:rPr>
              <w:t>综上</w:t>
            </w:r>
            <w:r>
              <w:rPr>
                <w:rFonts w:hint="default" w:ascii="Times New Roman" w:hAnsi="Times New Roman" w:eastAsia="宋体" w:cs="Times New Roman"/>
                <w:sz w:val="24"/>
                <w:szCs w:val="24"/>
                <w:lang w:val="en-US" w:eastAsia="zh-CN"/>
              </w:rPr>
              <w:t>，（V</w:t>
            </w:r>
            <w:r>
              <w:rPr>
                <w:rFonts w:hint="default" w:ascii="Times New Roman" w:hAnsi="Times New Roman" w:eastAsia="宋体" w:cs="Times New Roman"/>
                <w:sz w:val="24"/>
                <w:szCs w:val="24"/>
                <w:vertAlign w:val="subscript"/>
                <w:lang w:val="en-US" w:eastAsia="zh-CN"/>
              </w:rPr>
              <w:t>1</w:t>
            </w:r>
            <w:r>
              <w:rPr>
                <w:rFonts w:hint="default" w:ascii="Times New Roman" w:hAnsi="Times New Roman" w:eastAsia="宋体" w:cs="Times New Roman"/>
                <w:sz w:val="24"/>
                <w:szCs w:val="24"/>
                <w:lang w:val="en-US" w:eastAsia="zh-CN"/>
              </w:rPr>
              <w:t>+V</w:t>
            </w:r>
            <w:r>
              <w:rPr>
                <w:rFonts w:hint="default" w:ascii="Times New Roman" w:hAnsi="Times New Roman" w:eastAsia="宋体" w:cs="Times New Roman"/>
                <w:sz w:val="24"/>
                <w:szCs w:val="24"/>
                <w:vertAlign w:val="subscript"/>
                <w:lang w:val="en-US" w:eastAsia="zh-CN"/>
              </w:rPr>
              <w:t>2</w:t>
            </w:r>
            <w:r>
              <w:rPr>
                <w:rFonts w:hint="default" w:ascii="Times New Roman" w:hAnsi="Times New Roman" w:eastAsia="宋体" w:cs="Times New Roman"/>
                <w:sz w:val="24"/>
                <w:szCs w:val="24"/>
                <w:lang w:val="en-US" w:eastAsia="zh-CN"/>
              </w:rPr>
              <w:t>-V</w:t>
            </w:r>
            <w:r>
              <w:rPr>
                <w:rFonts w:hint="default" w:ascii="Times New Roman" w:hAnsi="Times New Roman" w:eastAsia="宋体" w:cs="Times New Roman"/>
                <w:sz w:val="24"/>
                <w:szCs w:val="24"/>
                <w:vertAlign w:val="subscript"/>
                <w:lang w:val="en-US" w:eastAsia="zh-CN"/>
              </w:rPr>
              <w:t>3</w:t>
            </w:r>
            <w:r>
              <w:rPr>
                <w:rFonts w:hint="default" w:ascii="Times New Roman" w:hAnsi="Times New Roman" w:eastAsia="宋体" w:cs="Times New Roman"/>
                <w:sz w:val="24"/>
                <w:szCs w:val="24"/>
                <w:lang w:val="en-US" w:eastAsia="zh-CN"/>
              </w:rPr>
              <w:t>）max=</w:t>
            </w:r>
            <w:r>
              <w:rPr>
                <w:rFonts w:hint="eastAsia" w:cs="Times New Roman"/>
                <w:sz w:val="24"/>
                <w:szCs w:val="24"/>
                <w:lang w:val="en-US" w:eastAsia="zh-CN"/>
              </w:rPr>
              <w:t>75</w:t>
            </w:r>
            <w:r>
              <w:rPr>
                <w:rFonts w:hint="default" w:ascii="Times New Roman" w:hAnsi="Times New Roman" w:eastAsia="宋体" w:cs="Times New Roman"/>
                <w:sz w:val="24"/>
                <w:szCs w:val="24"/>
                <w:lang w:val="en-US" w:eastAsia="zh-CN"/>
              </w:rPr>
              <w:t>m</w:t>
            </w:r>
            <w:r>
              <w:rPr>
                <w:rFonts w:hint="default" w:ascii="Times New Roman" w:hAnsi="Times New Roman" w:eastAsia="宋体" w:cs="Times New Roman"/>
                <w:sz w:val="24"/>
                <w:szCs w:val="24"/>
                <w:vertAlign w:val="superscript"/>
                <w:lang w:val="en-US" w:eastAsia="zh-CN"/>
              </w:rPr>
              <w:t>3</w:t>
            </w:r>
            <w:r>
              <w:rPr>
                <w:rFonts w:hint="default" w:ascii="Times New Roman" w:hAnsi="Times New Roman" w:eastAsia="宋体" w:cs="Times New Roman"/>
                <w:sz w:val="24"/>
                <w:szCs w:val="24"/>
                <w:lang w:val="en-US" w:eastAsia="zh-CN"/>
              </w:rPr>
              <w:t>，V总=（V</w:t>
            </w:r>
            <w:r>
              <w:rPr>
                <w:rFonts w:hint="default" w:ascii="Times New Roman" w:hAnsi="Times New Roman" w:eastAsia="宋体" w:cs="Times New Roman"/>
                <w:sz w:val="24"/>
                <w:szCs w:val="24"/>
                <w:vertAlign w:val="subscript"/>
                <w:lang w:val="en-US" w:eastAsia="zh-CN"/>
              </w:rPr>
              <w:t>1</w:t>
            </w:r>
            <w:r>
              <w:rPr>
                <w:rFonts w:hint="default" w:ascii="Times New Roman" w:hAnsi="Times New Roman" w:eastAsia="宋体" w:cs="Times New Roman"/>
                <w:sz w:val="24"/>
                <w:szCs w:val="24"/>
                <w:lang w:val="en-US" w:eastAsia="zh-CN"/>
              </w:rPr>
              <w:t>+V</w:t>
            </w:r>
            <w:r>
              <w:rPr>
                <w:rFonts w:hint="default" w:ascii="Times New Roman" w:hAnsi="Times New Roman" w:eastAsia="宋体" w:cs="Times New Roman"/>
                <w:sz w:val="24"/>
                <w:szCs w:val="24"/>
                <w:vertAlign w:val="subscript"/>
                <w:lang w:val="en-US" w:eastAsia="zh-CN"/>
              </w:rPr>
              <w:t>2</w:t>
            </w:r>
            <w:r>
              <w:rPr>
                <w:rFonts w:hint="default" w:ascii="Times New Roman" w:hAnsi="Times New Roman" w:eastAsia="宋体" w:cs="Times New Roman"/>
                <w:sz w:val="24"/>
                <w:szCs w:val="24"/>
                <w:lang w:val="en-US" w:eastAsia="zh-CN"/>
              </w:rPr>
              <w:t>-V</w:t>
            </w:r>
            <w:r>
              <w:rPr>
                <w:rFonts w:hint="default" w:ascii="Times New Roman" w:hAnsi="Times New Roman" w:eastAsia="宋体" w:cs="Times New Roman"/>
                <w:sz w:val="24"/>
                <w:szCs w:val="24"/>
                <w:vertAlign w:val="subscript"/>
                <w:lang w:val="en-US" w:eastAsia="zh-CN"/>
              </w:rPr>
              <w:t>3</w:t>
            </w:r>
            <w:r>
              <w:rPr>
                <w:rFonts w:hint="default" w:ascii="Times New Roman" w:hAnsi="Times New Roman" w:eastAsia="宋体" w:cs="Times New Roman"/>
                <w:sz w:val="24"/>
                <w:szCs w:val="24"/>
                <w:lang w:val="en-US" w:eastAsia="zh-CN"/>
              </w:rPr>
              <w:t>）max+V</w:t>
            </w:r>
            <w:r>
              <w:rPr>
                <w:rFonts w:hint="default" w:ascii="Times New Roman" w:hAnsi="Times New Roman" w:eastAsia="宋体" w:cs="Times New Roman"/>
                <w:sz w:val="24"/>
                <w:szCs w:val="24"/>
                <w:vertAlign w:val="subscript"/>
                <w:lang w:val="en-US" w:eastAsia="zh-CN"/>
              </w:rPr>
              <w:t>4</w:t>
            </w:r>
            <w:r>
              <w:rPr>
                <w:rFonts w:hint="default" w:ascii="Times New Roman" w:hAnsi="Times New Roman" w:eastAsia="宋体" w:cs="Times New Roman"/>
                <w:sz w:val="24"/>
                <w:szCs w:val="24"/>
                <w:lang w:val="en-US" w:eastAsia="zh-CN"/>
              </w:rPr>
              <w:t>+V</w:t>
            </w:r>
            <w:r>
              <w:rPr>
                <w:rFonts w:hint="default" w:ascii="Times New Roman" w:hAnsi="Times New Roman" w:eastAsia="宋体" w:cs="Times New Roman"/>
                <w:sz w:val="24"/>
                <w:szCs w:val="24"/>
                <w:vertAlign w:val="subscript"/>
                <w:lang w:val="en-US" w:eastAsia="zh-CN"/>
              </w:rPr>
              <w:t>5</w:t>
            </w:r>
            <w:r>
              <w:rPr>
                <w:rFonts w:hint="default" w:ascii="Times New Roman" w:hAnsi="Times New Roman" w:eastAsia="宋体" w:cs="Times New Roman"/>
                <w:sz w:val="24"/>
                <w:szCs w:val="24"/>
                <w:lang w:val="en-US" w:eastAsia="zh-CN"/>
              </w:rPr>
              <w:t>=</w:t>
            </w:r>
            <w:r>
              <w:rPr>
                <w:rFonts w:hint="eastAsia" w:cs="Times New Roman"/>
                <w:sz w:val="24"/>
                <w:szCs w:val="24"/>
                <w:lang w:val="en-US" w:eastAsia="zh-CN"/>
              </w:rPr>
              <w:t>71.85</w:t>
            </w:r>
            <w:r>
              <w:rPr>
                <w:rFonts w:hint="default" w:ascii="Times New Roman" w:hAnsi="Times New Roman" w:eastAsia="宋体" w:cs="Times New Roman"/>
                <w:sz w:val="24"/>
                <w:szCs w:val="24"/>
                <w:lang w:val="en-US" w:eastAsia="zh-CN"/>
              </w:rPr>
              <w:t>m</w:t>
            </w:r>
            <w:r>
              <w:rPr>
                <w:rFonts w:hint="default" w:ascii="Times New Roman" w:hAnsi="Times New Roman" w:eastAsia="宋体" w:cs="Times New Roman"/>
                <w:strike w:val="0"/>
                <w:dstrike w:val="0"/>
                <w:sz w:val="24"/>
                <w:szCs w:val="24"/>
                <w:vertAlign w:val="superscript"/>
                <w:lang w:val="en-US" w:eastAsia="zh-CN"/>
              </w:rPr>
              <w:t>3</w:t>
            </w:r>
            <w:r>
              <w:rPr>
                <w:rFonts w:hint="default" w:ascii="Times New Roman" w:hAnsi="Times New Roman" w:eastAsia="宋体" w:cs="Times New Roman"/>
                <w:sz w:val="24"/>
                <w:szCs w:val="24"/>
                <w:lang w:val="en-US" w:eastAsia="zh-CN"/>
              </w:rPr>
              <w:t>。</w:t>
            </w:r>
          </w:p>
          <w:p w14:paraId="0B223E4F">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结合本项目租赁范围和功能分区和布局，用地范围内不具备建设事故水池的条件，故项目拟</w:t>
            </w:r>
            <w:r>
              <w:rPr>
                <w:rFonts w:hint="eastAsia" w:cs="Times New Roman"/>
                <w:sz w:val="24"/>
                <w:szCs w:val="24"/>
                <w:lang w:val="en-US" w:eastAsia="zh-CN"/>
              </w:rPr>
              <w:t>将</w:t>
            </w:r>
            <w:r>
              <w:rPr>
                <w:rFonts w:hint="default" w:ascii="Times New Roman" w:hAnsi="Times New Roman" w:eastAsia="宋体" w:cs="Times New Roman"/>
                <w:sz w:val="24"/>
                <w:szCs w:val="24"/>
                <w:lang w:val="en-US" w:eastAsia="zh-CN"/>
              </w:rPr>
              <w:t>储罐区的围堰设置</w:t>
            </w:r>
            <w:r>
              <w:rPr>
                <w:rFonts w:hint="eastAsia" w:cs="Times New Roman"/>
                <w:sz w:val="24"/>
                <w:szCs w:val="24"/>
                <w:lang w:val="en-US" w:eastAsia="zh-CN"/>
              </w:rPr>
              <w:t>为</w:t>
            </w:r>
            <w:r>
              <w:rPr>
                <w:rFonts w:hint="default" w:ascii="Times New Roman" w:hAnsi="Times New Roman" w:eastAsia="宋体" w:cs="Times New Roman"/>
                <w:sz w:val="24"/>
                <w:szCs w:val="24"/>
                <w:lang w:val="en-US" w:eastAsia="zh-CN"/>
              </w:rPr>
              <w:t>事故水</w:t>
            </w:r>
            <w:r>
              <w:rPr>
                <w:rFonts w:hint="eastAsia" w:cs="Times New Roman"/>
                <w:sz w:val="24"/>
                <w:szCs w:val="24"/>
                <w:lang w:val="en-US" w:eastAsia="zh-CN"/>
              </w:rPr>
              <w:t>收集装置</w:t>
            </w:r>
            <w:r>
              <w:rPr>
                <w:rFonts w:hint="default" w:ascii="Times New Roman" w:hAnsi="Times New Roman" w:eastAsia="宋体" w:cs="Times New Roman"/>
                <w:sz w:val="24"/>
                <w:szCs w:val="24"/>
                <w:lang w:val="en-US" w:eastAsia="zh-CN"/>
              </w:rPr>
              <w:t>，总容积为</w:t>
            </w:r>
            <w:r>
              <w:rPr>
                <w:rFonts w:hint="eastAsia" w:cs="Times New Roman"/>
                <w:sz w:val="24"/>
                <w:szCs w:val="24"/>
                <w:lang w:val="en-US" w:eastAsia="zh-CN"/>
              </w:rPr>
              <w:t>100</w:t>
            </w:r>
            <w:r>
              <w:rPr>
                <w:rFonts w:hint="default" w:ascii="Times New Roman" w:hAnsi="Times New Roman" w:eastAsia="宋体" w:cs="Times New Roman"/>
                <w:sz w:val="24"/>
                <w:szCs w:val="24"/>
                <w:lang w:val="en-US" w:eastAsia="zh-CN"/>
              </w:rPr>
              <w:t>m</w:t>
            </w:r>
            <w:r>
              <w:rPr>
                <w:rFonts w:hint="default" w:ascii="Times New Roman" w:hAnsi="Times New Roman" w:eastAsia="宋体" w:cs="Times New Roman"/>
                <w:sz w:val="24"/>
                <w:szCs w:val="24"/>
                <w:vertAlign w:val="superscript"/>
                <w:lang w:val="en-US" w:eastAsia="zh-CN"/>
              </w:rPr>
              <w:t>3</w:t>
            </w:r>
            <w:r>
              <w:rPr>
                <w:rFonts w:hint="default" w:ascii="Times New Roman" w:hAnsi="Times New Roman" w:eastAsia="宋体" w:cs="Times New Roman"/>
                <w:sz w:val="24"/>
                <w:szCs w:val="24"/>
                <w:lang w:val="en-US" w:eastAsia="zh-CN"/>
              </w:rPr>
              <w:t>，</w:t>
            </w:r>
            <w:r>
              <w:rPr>
                <w:rFonts w:hint="eastAsia" w:cs="Times New Roman"/>
                <w:sz w:val="24"/>
                <w:szCs w:val="24"/>
                <w:lang w:val="en-US" w:eastAsia="zh-CN"/>
              </w:rPr>
              <w:t>采取</w:t>
            </w:r>
            <w:r>
              <w:rPr>
                <w:rFonts w:hint="default" w:ascii="Times New Roman" w:hAnsi="Times New Roman" w:eastAsia="宋体" w:cs="Times New Roman"/>
                <w:sz w:val="24"/>
                <w:szCs w:val="24"/>
                <w:lang w:val="en-US" w:eastAsia="zh-CN"/>
              </w:rPr>
              <w:t>重点防渗</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要求围堰铺设厚度不小于2mm的HDPE防渗层或其他防渗材料，防渗结构层渗透系数不应大于1.0×10</w:t>
            </w:r>
            <w:r>
              <w:rPr>
                <w:rFonts w:hint="default" w:ascii="Times New Roman" w:hAnsi="Times New Roman" w:eastAsia="宋体" w:cs="Times New Roman"/>
                <w:sz w:val="24"/>
                <w:szCs w:val="24"/>
                <w:vertAlign w:val="superscript"/>
                <w:lang w:val="en-US" w:eastAsia="zh-CN"/>
              </w:rPr>
              <w:t>-10</w:t>
            </w:r>
            <w:r>
              <w:rPr>
                <w:rFonts w:hint="default" w:ascii="Times New Roman" w:hAnsi="Times New Roman" w:eastAsia="宋体" w:cs="Times New Roman"/>
                <w:sz w:val="24"/>
                <w:szCs w:val="24"/>
                <w:lang w:val="en-US" w:eastAsia="zh-CN"/>
              </w:rPr>
              <w:t>cm/s，并采取防腐措施。并配备应急泵、应急发电机、临时管带以确保事故水收集装置在雨天或事故发生时起到贮存雨水或事故水的作用。</w:t>
            </w:r>
          </w:p>
          <w:p w14:paraId="1CB466E6">
            <w:pPr>
              <w:numPr>
                <w:ilvl w:val="0"/>
                <w:numId w:val="68"/>
              </w:numPr>
              <w:bidi w:val="0"/>
              <w:spacing w:line="360" w:lineRule="auto"/>
              <w:ind w:left="0" w:leftChars="0" w:firstLine="482" w:firstLineChars="200"/>
              <w:rPr>
                <w:rFonts w:hint="default" w:ascii="Times New Roman" w:hAnsi="Times New Roman" w:eastAsia="宋体" w:cs="Times New Roman"/>
                <w:b/>
                <w:bCs/>
                <w:sz w:val="24"/>
                <w:szCs w:val="24"/>
                <w:lang w:val="en-US" w:eastAsia="zh-CN"/>
              </w:rPr>
            </w:pPr>
            <w:r>
              <w:rPr>
                <w:rFonts w:hint="default" w:ascii="Times New Roman" w:hAnsi="Times New Roman" w:eastAsia="宋体" w:cs="Times New Roman"/>
                <w:b/>
                <w:bCs/>
                <w:sz w:val="24"/>
                <w:szCs w:val="24"/>
                <w:lang w:val="en-US" w:eastAsia="zh-CN"/>
              </w:rPr>
              <w:t>突发环境事件应急预案要求</w:t>
            </w:r>
          </w:p>
          <w:p w14:paraId="5FB3D91E">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通过对污染事故的风险评价，建设单位和各有关部门应制定实施突发性事故应急预案，降低重大环境污染事故发生的概率，消除事故风险隐患。</w:t>
            </w:r>
          </w:p>
          <w:p w14:paraId="1DC40515">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建设单位根据</w:t>
            </w:r>
            <w:r>
              <w:rPr>
                <w:rFonts w:hint="eastAsia" w:cs="Times New Roman"/>
                <w:sz w:val="24"/>
                <w:szCs w:val="24"/>
                <w:lang w:val="en-US" w:eastAsia="zh-CN"/>
              </w:rPr>
              <w:t>生态环境</w:t>
            </w:r>
            <w:r>
              <w:rPr>
                <w:rFonts w:hint="default" w:ascii="Times New Roman" w:hAnsi="Times New Roman" w:eastAsia="宋体" w:cs="Times New Roman"/>
                <w:sz w:val="24"/>
                <w:szCs w:val="24"/>
                <w:lang w:val="en-US" w:eastAsia="zh-CN"/>
              </w:rPr>
              <w:t>部《企业事业单位突发环境事件应急预案备案管理办法（试行）》（环发〔201</w:t>
            </w:r>
            <w:r>
              <w:rPr>
                <w:rFonts w:hint="eastAsia" w:cs="Times New Roman"/>
                <w:sz w:val="24"/>
                <w:szCs w:val="24"/>
                <w:lang w:val="en-US" w:eastAsia="zh-CN"/>
              </w:rPr>
              <w:t>5</w:t>
            </w:r>
            <w:r>
              <w:rPr>
                <w:rFonts w:hint="default" w:ascii="Times New Roman" w:hAnsi="Times New Roman" w:eastAsia="宋体" w:cs="Times New Roman"/>
                <w:sz w:val="24"/>
                <w:szCs w:val="24"/>
                <w:lang w:val="en-US" w:eastAsia="zh-CN"/>
              </w:rPr>
              <w:t>〕4号）</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《关于进一步加强环境影响评价管理防范环境风险的通知》（环发〔201</w:t>
            </w:r>
            <w:r>
              <w:rPr>
                <w:rFonts w:hint="eastAsia" w:cs="Times New Roman"/>
                <w:sz w:val="24"/>
                <w:szCs w:val="24"/>
                <w:lang w:val="en-US" w:eastAsia="zh-CN"/>
              </w:rPr>
              <w:t>2</w:t>
            </w:r>
            <w:r>
              <w:rPr>
                <w:rFonts w:hint="default" w:ascii="Times New Roman" w:hAnsi="Times New Roman" w:eastAsia="宋体" w:cs="Times New Roman"/>
                <w:sz w:val="24"/>
                <w:szCs w:val="24"/>
                <w:lang w:val="en-US" w:eastAsia="zh-CN"/>
              </w:rPr>
              <w:t>〕77号）《突发环境事件应急管理办法》（环境保护部令第34号）等的规定和所在地环境保护部门主管部门管理要求，编制应急预案。企业突发环境事件应急预案的主要编制内容如下表所示。</w:t>
            </w:r>
          </w:p>
          <w:p w14:paraId="657C38BC">
            <w:pPr>
              <w:numPr>
                <w:ilvl w:val="0"/>
                <w:numId w:val="0"/>
              </w:numPr>
              <w:bidi w:val="0"/>
              <w:spacing w:line="360" w:lineRule="auto"/>
              <w:jc w:val="center"/>
              <w:rPr>
                <w:rFonts w:hint="default" w:ascii="Times New Roman" w:hAnsi="Times New Roman" w:eastAsia="宋体" w:cs="Times New Roman"/>
                <w:b/>
                <w:bCs/>
                <w:color w:val="auto"/>
                <w:sz w:val="21"/>
                <w:szCs w:val="21"/>
                <w:lang w:val="en-US" w:eastAsia="zh-CN"/>
              </w:rPr>
            </w:pPr>
            <w:r>
              <w:rPr>
                <w:rFonts w:hint="default" w:ascii="Times New Roman" w:hAnsi="Times New Roman" w:eastAsia="宋体" w:cs="Times New Roman"/>
                <w:b/>
                <w:bCs/>
                <w:color w:val="auto"/>
                <w:sz w:val="21"/>
                <w:szCs w:val="21"/>
                <w:lang w:val="en-US" w:eastAsia="zh-CN"/>
              </w:rPr>
              <w:t>表4-</w:t>
            </w:r>
            <w:r>
              <w:rPr>
                <w:rFonts w:hint="eastAsia" w:cs="Times New Roman"/>
                <w:b/>
                <w:bCs/>
                <w:color w:val="auto"/>
                <w:sz w:val="21"/>
                <w:szCs w:val="21"/>
                <w:lang w:val="en-US" w:eastAsia="zh-CN"/>
              </w:rPr>
              <w:t>22</w:t>
            </w:r>
            <w:r>
              <w:rPr>
                <w:rFonts w:hint="default" w:ascii="Times New Roman" w:hAnsi="Times New Roman" w:eastAsia="宋体" w:cs="Times New Roman"/>
                <w:b/>
                <w:bCs/>
                <w:color w:val="auto"/>
                <w:sz w:val="21"/>
                <w:szCs w:val="21"/>
                <w:lang w:val="en-US" w:eastAsia="zh-CN"/>
              </w:rPr>
              <w:t xml:space="preserve"> 突发环境事件应急预案的主要编制内容</w:t>
            </w:r>
          </w:p>
          <w:tbl>
            <w:tblPr>
              <w:tblStyle w:val="27"/>
              <w:tblW w:w="828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77"/>
              <w:gridCol w:w="2352"/>
              <w:gridCol w:w="5254"/>
            </w:tblGrid>
            <w:tr w14:paraId="38E9D6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677" w:type="dxa"/>
                  <w:tcBorders>
                    <w:tl2br w:val="nil"/>
                    <w:tr2bl w:val="nil"/>
                  </w:tcBorders>
                  <w:noWrap w:val="0"/>
                  <w:vAlign w:val="center"/>
                </w:tcPr>
                <w:p w14:paraId="6D4759CB">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序号</w:t>
                  </w:r>
                </w:p>
              </w:tc>
              <w:tc>
                <w:tcPr>
                  <w:tcW w:w="2352" w:type="dxa"/>
                  <w:tcBorders>
                    <w:tl2br w:val="nil"/>
                    <w:tr2bl w:val="nil"/>
                  </w:tcBorders>
                  <w:noWrap w:val="0"/>
                  <w:vAlign w:val="center"/>
                </w:tcPr>
                <w:p w14:paraId="4D56E9FE">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项目</w:t>
                  </w:r>
                </w:p>
              </w:tc>
              <w:tc>
                <w:tcPr>
                  <w:tcW w:w="5254" w:type="dxa"/>
                  <w:tcBorders>
                    <w:tl2br w:val="nil"/>
                    <w:tr2bl w:val="nil"/>
                  </w:tcBorders>
                  <w:noWrap w:val="0"/>
                  <w:vAlign w:val="center"/>
                </w:tcPr>
                <w:p w14:paraId="4802A367">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内容及要求</w:t>
                  </w:r>
                </w:p>
              </w:tc>
            </w:tr>
            <w:tr w14:paraId="752250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677" w:type="dxa"/>
                  <w:tcBorders>
                    <w:tl2br w:val="nil"/>
                    <w:tr2bl w:val="nil"/>
                  </w:tcBorders>
                  <w:noWrap w:val="0"/>
                  <w:vAlign w:val="center"/>
                </w:tcPr>
                <w:p w14:paraId="3384166A">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rPr>
                  </w:pPr>
                  <w:r>
                    <w:rPr>
                      <w:rFonts w:hint="default" w:ascii="Times New Roman" w:hAnsi="Times New Roman" w:eastAsia="宋体" w:cs="Times New Roman"/>
                      <w:b w:val="0"/>
                      <w:bCs w:val="0"/>
                      <w:color w:val="auto"/>
                      <w:sz w:val="21"/>
                      <w:szCs w:val="21"/>
                    </w:rPr>
                    <w:t>1</w:t>
                  </w:r>
                </w:p>
              </w:tc>
              <w:tc>
                <w:tcPr>
                  <w:tcW w:w="2352" w:type="dxa"/>
                  <w:tcBorders>
                    <w:tl2br w:val="nil"/>
                    <w:tr2bl w:val="nil"/>
                  </w:tcBorders>
                  <w:noWrap w:val="0"/>
                  <w:vAlign w:val="center"/>
                </w:tcPr>
                <w:p w14:paraId="38D8DE8F">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rPr>
                  </w:pPr>
                  <w:r>
                    <w:rPr>
                      <w:rFonts w:hint="default" w:ascii="Times New Roman" w:hAnsi="Times New Roman" w:eastAsia="宋体" w:cs="Times New Roman"/>
                      <w:b w:val="0"/>
                      <w:bCs w:val="0"/>
                      <w:color w:val="auto"/>
                      <w:sz w:val="21"/>
                      <w:szCs w:val="21"/>
                    </w:rPr>
                    <w:t>总则</w:t>
                  </w:r>
                </w:p>
              </w:tc>
              <w:tc>
                <w:tcPr>
                  <w:tcW w:w="5254" w:type="dxa"/>
                  <w:tcBorders>
                    <w:tl2br w:val="nil"/>
                    <w:tr2bl w:val="nil"/>
                  </w:tcBorders>
                  <w:noWrap w:val="0"/>
                  <w:vAlign w:val="center"/>
                </w:tcPr>
                <w:p w14:paraId="21CF9C18">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val="0"/>
                      <w:bCs w:val="0"/>
                      <w:color w:val="auto"/>
                      <w:sz w:val="21"/>
                      <w:szCs w:val="21"/>
                      <w:lang w:val="en-US" w:eastAsia="zh-CN"/>
                    </w:rPr>
                  </w:pPr>
                  <w:r>
                    <w:rPr>
                      <w:rFonts w:hint="eastAsia" w:ascii="Times New Roman" w:hAnsi="Times New Roman" w:eastAsia="宋体" w:cs="Times New Roman"/>
                      <w:b w:val="0"/>
                      <w:bCs w:val="0"/>
                      <w:color w:val="auto"/>
                      <w:sz w:val="21"/>
                      <w:szCs w:val="21"/>
                      <w:lang w:val="en-US" w:eastAsia="zh-CN"/>
                    </w:rPr>
                    <w:t>/</w:t>
                  </w:r>
                </w:p>
              </w:tc>
            </w:tr>
            <w:tr w14:paraId="4C6119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677" w:type="dxa"/>
                  <w:tcBorders>
                    <w:tl2br w:val="nil"/>
                    <w:tr2bl w:val="nil"/>
                  </w:tcBorders>
                  <w:noWrap w:val="0"/>
                  <w:vAlign w:val="center"/>
                </w:tcPr>
                <w:p w14:paraId="5BF8D19A">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rPr>
                  </w:pPr>
                  <w:r>
                    <w:rPr>
                      <w:rFonts w:hint="default" w:ascii="Times New Roman" w:hAnsi="Times New Roman" w:eastAsia="宋体" w:cs="Times New Roman"/>
                      <w:b w:val="0"/>
                      <w:bCs w:val="0"/>
                      <w:color w:val="auto"/>
                      <w:sz w:val="21"/>
                      <w:szCs w:val="21"/>
                    </w:rPr>
                    <w:t>2</w:t>
                  </w:r>
                </w:p>
              </w:tc>
              <w:tc>
                <w:tcPr>
                  <w:tcW w:w="2352" w:type="dxa"/>
                  <w:tcBorders>
                    <w:tl2br w:val="nil"/>
                    <w:tr2bl w:val="nil"/>
                  </w:tcBorders>
                  <w:noWrap w:val="0"/>
                  <w:vAlign w:val="center"/>
                </w:tcPr>
                <w:p w14:paraId="6E15CA30">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rPr>
                  </w:pPr>
                  <w:r>
                    <w:rPr>
                      <w:rFonts w:hint="default" w:ascii="Times New Roman" w:hAnsi="Times New Roman" w:eastAsia="宋体" w:cs="Times New Roman"/>
                      <w:b w:val="0"/>
                      <w:bCs w:val="0"/>
                      <w:color w:val="auto"/>
                      <w:sz w:val="21"/>
                      <w:szCs w:val="21"/>
                    </w:rPr>
                    <w:t>应急计划区</w:t>
                  </w:r>
                </w:p>
              </w:tc>
              <w:tc>
                <w:tcPr>
                  <w:tcW w:w="5254" w:type="dxa"/>
                  <w:tcBorders>
                    <w:tl2br w:val="nil"/>
                    <w:tr2bl w:val="nil"/>
                  </w:tcBorders>
                  <w:noWrap w:val="0"/>
                  <w:vAlign w:val="center"/>
                </w:tcPr>
                <w:p w14:paraId="01676CC8">
                  <w:pPr>
                    <w:keepNext w:val="0"/>
                    <w:keepLines w:val="0"/>
                    <w:pageBreakBefore w:val="0"/>
                    <w:widowControl w:val="0"/>
                    <w:kinsoku/>
                    <w:wordWrap/>
                    <w:overflowPunct/>
                    <w:topLinePunct w:val="0"/>
                    <w:autoSpaceDE/>
                    <w:autoSpaceDN/>
                    <w:bidi w:val="0"/>
                    <w:adjustRightInd/>
                    <w:snapToGrid/>
                    <w:spacing w:line="240" w:lineRule="auto"/>
                    <w:jc w:val="left"/>
                    <w:textAlignment w:val="auto"/>
                    <w:rPr>
                      <w:rFonts w:hint="default" w:ascii="Times New Roman" w:hAnsi="Times New Roman" w:eastAsia="宋体" w:cs="Times New Roman"/>
                      <w:b w:val="0"/>
                      <w:bCs w:val="0"/>
                      <w:color w:val="auto"/>
                      <w:sz w:val="21"/>
                      <w:szCs w:val="21"/>
                    </w:rPr>
                  </w:pPr>
                  <w:r>
                    <w:rPr>
                      <w:rFonts w:hint="default" w:ascii="Times New Roman" w:hAnsi="Times New Roman" w:eastAsia="宋体" w:cs="Times New Roman"/>
                      <w:b w:val="0"/>
                      <w:bCs w:val="0"/>
                      <w:color w:val="auto"/>
                      <w:sz w:val="21"/>
                      <w:szCs w:val="21"/>
                    </w:rPr>
                    <w:t>危险目标</w:t>
                  </w:r>
                  <w:r>
                    <w:rPr>
                      <w:rFonts w:hint="eastAsia" w:cs="Times New Roman"/>
                      <w:b w:val="0"/>
                      <w:bCs w:val="0"/>
                      <w:color w:val="auto"/>
                      <w:sz w:val="21"/>
                      <w:szCs w:val="21"/>
                      <w:lang w:eastAsia="zh-CN"/>
                    </w:rPr>
                    <w:t>：</w:t>
                  </w:r>
                  <w:r>
                    <w:rPr>
                      <w:rFonts w:hint="default" w:ascii="Times New Roman" w:hAnsi="Times New Roman" w:eastAsia="宋体" w:cs="Times New Roman"/>
                      <w:b w:val="0"/>
                      <w:bCs w:val="0"/>
                      <w:color w:val="auto"/>
                      <w:sz w:val="21"/>
                      <w:szCs w:val="21"/>
                    </w:rPr>
                    <w:t>生产区、环境保护目标</w:t>
                  </w:r>
                </w:p>
              </w:tc>
            </w:tr>
            <w:tr w14:paraId="2199E3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9" w:hRule="atLeast"/>
                <w:jc w:val="center"/>
              </w:trPr>
              <w:tc>
                <w:tcPr>
                  <w:tcW w:w="677" w:type="dxa"/>
                  <w:tcBorders>
                    <w:tl2br w:val="nil"/>
                    <w:tr2bl w:val="nil"/>
                  </w:tcBorders>
                  <w:noWrap w:val="0"/>
                  <w:vAlign w:val="center"/>
                </w:tcPr>
                <w:p w14:paraId="349E0177">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rPr>
                  </w:pPr>
                  <w:r>
                    <w:rPr>
                      <w:rFonts w:hint="default" w:ascii="Times New Roman" w:hAnsi="Times New Roman" w:eastAsia="宋体" w:cs="Times New Roman"/>
                      <w:b w:val="0"/>
                      <w:bCs w:val="0"/>
                      <w:color w:val="auto"/>
                      <w:sz w:val="21"/>
                      <w:szCs w:val="21"/>
                    </w:rPr>
                    <w:t>3</w:t>
                  </w:r>
                </w:p>
              </w:tc>
              <w:tc>
                <w:tcPr>
                  <w:tcW w:w="2352" w:type="dxa"/>
                  <w:tcBorders>
                    <w:tl2br w:val="nil"/>
                    <w:tr2bl w:val="nil"/>
                  </w:tcBorders>
                  <w:noWrap w:val="0"/>
                  <w:vAlign w:val="center"/>
                </w:tcPr>
                <w:p w14:paraId="36EEB37C">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rPr>
                  </w:pPr>
                  <w:r>
                    <w:rPr>
                      <w:rFonts w:hint="default" w:ascii="Times New Roman" w:hAnsi="Times New Roman" w:eastAsia="宋体" w:cs="Times New Roman"/>
                      <w:b w:val="0"/>
                      <w:bCs w:val="0"/>
                      <w:color w:val="auto"/>
                      <w:sz w:val="21"/>
                      <w:szCs w:val="21"/>
                    </w:rPr>
                    <w:t xml:space="preserve">应急组织                                            </w:t>
                  </w:r>
                </w:p>
              </w:tc>
              <w:tc>
                <w:tcPr>
                  <w:tcW w:w="5254" w:type="dxa"/>
                  <w:tcBorders>
                    <w:tl2br w:val="nil"/>
                    <w:tr2bl w:val="nil"/>
                  </w:tcBorders>
                  <w:noWrap w:val="0"/>
                  <w:vAlign w:val="center"/>
                </w:tcPr>
                <w:p w14:paraId="0A3CC31F">
                  <w:pPr>
                    <w:keepNext w:val="0"/>
                    <w:keepLines w:val="0"/>
                    <w:pageBreakBefore w:val="0"/>
                    <w:widowControl w:val="0"/>
                    <w:kinsoku/>
                    <w:wordWrap/>
                    <w:overflowPunct/>
                    <w:topLinePunct w:val="0"/>
                    <w:autoSpaceDE/>
                    <w:autoSpaceDN/>
                    <w:bidi w:val="0"/>
                    <w:adjustRightInd/>
                    <w:snapToGrid/>
                    <w:spacing w:line="240" w:lineRule="auto"/>
                    <w:jc w:val="left"/>
                    <w:textAlignment w:val="auto"/>
                    <w:rPr>
                      <w:rFonts w:hint="default" w:ascii="Times New Roman" w:hAnsi="Times New Roman" w:eastAsia="宋体" w:cs="Times New Roman"/>
                      <w:b w:val="0"/>
                      <w:bCs w:val="0"/>
                      <w:color w:val="auto"/>
                      <w:sz w:val="21"/>
                      <w:szCs w:val="21"/>
                    </w:rPr>
                  </w:pPr>
                  <w:r>
                    <w:rPr>
                      <w:rFonts w:hint="default" w:ascii="Times New Roman" w:hAnsi="Times New Roman" w:eastAsia="宋体" w:cs="Times New Roman"/>
                      <w:b w:val="0"/>
                      <w:bCs w:val="0"/>
                      <w:color w:val="auto"/>
                      <w:sz w:val="21"/>
                      <w:szCs w:val="21"/>
                    </w:rPr>
                    <w:t>由厂内专人负责</w:t>
                  </w:r>
                  <w:r>
                    <w:rPr>
                      <w:rFonts w:hint="eastAsia" w:cs="Times New Roman"/>
                      <w:b w:val="0"/>
                      <w:bCs w:val="0"/>
                      <w:color w:val="auto"/>
                      <w:sz w:val="21"/>
                      <w:szCs w:val="21"/>
                      <w:lang w:eastAsia="zh-CN"/>
                    </w:rPr>
                    <w:t>—</w:t>
                  </w:r>
                  <w:r>
                    <w:rPr>
                      <w:rFonts w:hint="default" w:ascii="Times New Roman" w:hAnsi="Times New Roman" w:eastAsia="宋体" w:cs="Times New Roman"/>
                      <w:b w:val="0"/>
                      <w:bCs w:val="0"/>
                      <w:color w:val="auto"/>
                      <w:sz w:val="21"/>
                      <w:szCs w:val="21"/>
                    </w:rPr>
                    <w:t>负责现场全面指挥</w:t>
                  </w:r>
                  <w:r>
                    <w:rPr>
                      <w:rFonts w:hint="eastAsia" w:cs="Times New Roman"/>
                      <w:b w:val="0"/>
                      <w:bCs w:val="0"/>
                      <w:color w:val="auto"/>
                      <w:sz w:val="21"/>
                      <w:szCs w:val="21"/>
                      <w:lang w:eastAsia="zh-CN"/>
                    </w:rPr>
                    <w:t>，</w:t>
                  </w:r>
                  <w:r>
                    <w:rPr>
                      <w:rFonts w:hint="default" w:ascii="Times New Roman" w:hAnsi="Times New Roman" w:eastAsia="宋体" w:cs="Times New Roman"/>
                      <w:b w:val="0"/>
                      <w:bCs w:val="0"/>
                      <w:color w:val="auto"/>
                      <w:sz w:val="21"/>
                      <w:szCs w:val="21"/>
                    </w:rPr>
                    <w:t>专业救援队伍</w:t>
                  </w:r>
                  <w:r>
                    <w:rPr>
                      <w:rFonts w:hint="eastAsia" w:cs="Times New Roman"/>
                      <w:b w:val="0"/>
                      <w:bCs w:val="0"/>
                      <w:color w:val="auto"/>
                      <w:sz w:val="21"/>
                      <w:szCs w:val="21"/>
                      <w:lang w:eastAsia="zh-CN"/>
                    </w:rPr>
                    <w:t>—</w:t>
                  </w:r>
                  <w:r>
                    <w:rPr>
                      <w:rFonts w:hint="default" w:ascii="Times New Roman" w:hAnsi="Times New Roman" w:eastAsia="宋体" w:cs="Times New Roman"/>
                      <w:b w:val="0"/>
                      <w:bCs w:val="0"/>
                      <w:color w:val="auto"/>
                      <w:sz w:val="21"/>
                      <w:szCs w:val="21"/>
                    </w:rPr>
                    <w:t>负责事故控制、救援和善后处理临近地区</w:t>
                  </w:r>
                  <w:r>
                    <w:rPr>
                      <w:rFonts w:hint="eastAsia" w:cs="Times New Roman"/>
                      <w:b w:val="0"/>
                      <w:bCs w:val="0"/>
                      <w:color w:val="auto"/>
                      <w:sz w:val="21"/>
                      <w:szCs w:val="21"/>
                      <w:lang w:eastAsia="zh-CN"/>
                    </w:rPr>
                    <w:t>：</w:t>
                  </w:r>
                  <w:r>
                    <w:rPr>
                      <w:rFonts w:hint="default" w:ascii="Times New Roman" w:hAnsi="Times New Roman" w:eastAsia="宋体" w:cs="Times New Roman"/>
                      <w:b w:val="0"/>
                      <w:bCs w:val="0"/>
                      <w:color w:val="auto"/>
                      <w:sz w:val="21"/>
                      <w:szCs w:val="21"/>
                    </w:rPr>
                    <w:t>由专人负责</w:t>
                  </w:r>
                  <w:r>
                    <w:rPr>
                      <w:rFonts w:hint="eastAsia" w:cs="Times New Roman"/>
                      <w:b w:val="0"/>
                      <w:bCs w:val="0"/>
                      <w:color w:val="auto"/>
                      <w:sz w:val="21"/>
                      <w:szCs w:val="21"/>
                      <w:lang w:eastAsia="zh-CN"/>
                    </w:rPr>
                    <w:t>—</w:t>
                  </w:r>
                  <w:r>
                    <w:rPr>
                      <w:rFonts w:hint="default" w:ascii="Times New Roman" w:hAnsi="Times New Roman" w:eastAsia="宋体" w:cs="Times New Roman"/>
                      <w:b w:val="0"/>
                      <w:bCs w:val="0"/>
                      <w:color w:val="auto"/>
                      <w:sz w:val="21"/>
                      <w:szCs w:val="21"/>
                    </w:rPr>
                    <w:t>负责附近地区全面指挥</w:t>
                  </w:r>
                  <w:r>
                    <w:rPr>
                      <w:rFonts w:hint="eastAsia" w:cs="Times New Roman"/>
                      <w:b w:val="0"/>
                      <w:bCs w:val="0"/>
                      <w:color w:val="auto"/>
                      <w:sz w:val="21"/>
                      <w:szCs w:val="21"/>
                      <w:lang w:eastAsia="zh-CN"/>
                    </w:rPr>
                    <w:t>，</w:t>
                  </w:r>
                  <w:r>
                    <w:rPr>
                      <w:rFonts w:hint="default" w:ascii="Times New Roman" w:hAnsi="Times New Roman" w:eastAsia="宋体" w:cs="Times New Roman"/>
                      <w:b w:val="0"/>
                      <w:bCs w:val="0"/>
                      <w:color w:val="auto"/>
                      <w:sz w:val="21"/>
                      <w:szCs w:val="21"/>
                    </w:rPr>
                    <w:t xml:space="preserve">救援、管制和疏散 </w:t>
                  </w:r>
                </w:p>
              </w:tc>
            </w:tr>
            <w:tr w14:paraId="24E208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4" w:hRule="atLeast"/>
                <w:jc w:val="center"/>
              </w:trPr>
              <w:tc>
                <w:tcPr>
                  <w:tcW w:w="677" w:type="dxa"/>
                  <w:tcBorders>
                    <w:tl2br w:val="nil"/>
                    <w:tr2bl w:val="nil"/>
                  </w:tcBorders>
                  <w:noWrap w:val="0"/>
                  <w:vAlign w:val="center"/>
                </w:tcPr>
                <w:p w14:paraId="0DD6CF53">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rPr>
                  </w:pPr>
                  <w:r>
                    <w:rPr>
                      <w:rFonts w:hint="default" w:ascii="Times New Roman" w:hAnsi="Times New Roman" w:eastAsia="宋体" w:cs="Times New Roman"/>
                      <w:b w:val="0"/>
                      <w:bCs w:val="0"/>
                      <w:color w:val="auto"/>
                      <w:sz w:val="21"/>
                      <w:szCs w:val="21"/>
                    </w:rPr>
                    <w:t>4</w:t>
                  </w:r>
                </w:p>
              </w:tc>
              <w:tc>
                <w:tcPr>
                  <w:tcW w:w="2352" w:type="dxa"/>
                  <w:tcBorders>
                    <w:tl2br w:val="nil"/>
                    <w:tr2bl w:val="nil"/>
                  </w:tcBorders>
                  <w:noWrap w:val="0"/>
                  <w:vAlign w:val="center"/>
                </w:tcPr>
                <w:p w14:paraId="6150F441">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rPr>
                  </w:pPr>
                  <w:r>
                    <w:rPr>
                      <w:rFonts w:hint="default" w:ascii="Times New Roman" w:hAnsi="Times New Roman" w:eastAsia="宋体" w:cs="Times New Roman"/>
                      <w:b w:val="0"/>
                      <w:bCs w:val="0"/>
                      <w:color w:val="auto"/>
                      <w:sz w:val="21"/>
                      <w:szCs w:val="21"/>
                    </w:rPr>
                    <w:t>应急状态分类应急响应程序</w:t>
                  </w:r>
                </w:p>
              </w:tc>
              <w:tc>
                <w:tcPr>
                  <w:tcW w:w="5254" w:type="dxa"/>
                  <w:tcBorders>
                    <w:tl2br w:val="nil"/>
                    <w:tr2bl w:val="nil"/>
                  </w:tcBorders>
                  <w:noWrap w:val="0"/>
                  <w:vAlign w:val="center"/>
                </w:tcPr>
                <w:p w14:paraId="71A6B718">
                  <w:pPr>
                    <w:keepNext w:val="0"/>
                    <w:keepLines w:val="0"/>
                    <w:pageBreakBefore w:val="0"/>
                    <w:widowControl w:val="0"/>
                    <w:kinsoku/>
                    <w:wordWrap/>
                    <w:overflowPunct/>
                    <w:topLinePunct w:val="0"/>
                    <w:autoSpaceDE/>
                    <w:autoSpaceDN/>
                    <w:bidi w:val="0"/>
                    <w:adjustRightInd/>
                    <w:snapToGrid/>
                    <w:spacing w:line="240" w:lineRule="auto"/>
                    <w:jc w:val="left"/>
                    <w:textAlignment w:val="auto"/>
                    <w:rPr>
                      <w:rFonts w:hint="default" w:ascii="Times New Roman" w:hAnsi="Times New Roman" w:eastAsia="宋体" w:cs="Times New Roman"/>
                      <w:b w:val="0"/>
                      <w:bCs w:val="0"/>
                      <w:color w:val="auto"/>
                      <w:sz w:val="21"/>
                      <w:szCs w:val="21"/>
                    </w:rPr>
                  </w:pPr>
                  <w:r>
                    <w:rPr>
                      <w:rFonts w:hint="default" w:ascii="Times New Roman" w:hAnsi="Times New Roman" w:eastAsia="宋体" w:cs="Times New Roman"/>
                      <w:b w:val="0"/>
                      <w:bCs w:val="0"/>
                      <w:color w:val="auto"/>
                      <w:sz w:val="21"/>
                      <w:szCs w:val="21"/>
                    </w:rPr>
                    <w:t>规定环境风险事故的级别及相应的应急状态分类</w:t>
                  </w:r>
                  <w:r>
                    <w:rPr>
                      <w:rFonts w:hint="eastAsia" w:cs="Times New Roman"/>
                      <w:b w:val="0"/>
                      <w:bCs w:val="0"/>
                      <w:color w:val="auto"/>
                      <w:sz w:val="21"/>
                      <w:szCs w:val="21"/>
                      <w:lang w:eastAsia="zh-CN"/>
                    </w:rPr>
                    <w:t>，</w:t>
                  </w:r>
                  <w:r>
                    <w:rPr>
                      <w:rFonts w:hint="default" w:ascii="Times New Roman" w:hAnsi="Times New Roman" w:eastAsia="宋体" w:cs="Times New Roman"/>
                      <w:b w:val="0"/>
                      <w:bCs w:val="0"/>
                      <w:color w:val="auto"/>
                      <w:sz w:val="21"/>
                      <w:szCs w:val="21"/>
                    </w:rPr>
                    <w:t>以此制定相应的应急响应程序</w:t>
                  </w:r>
                </w:p>
              </w:tc>
            </w:tr>
            <w:tr w14:paraId="5E5666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4" w:hRule="atLeast"/>
                <w:jc w:val="center"/>
              </w:trPr>
              <w:tc>
                <w:tcPr>
                  <w:tcW w:w="677" w:type="dxa"/>
                  <w:tcBorders>
                    <w:tl2br w:val="nil"/>
                    <w:tr2bl w:val="nil"/>
                  </w:tcBorders>
                  <w:noWrap w:val="0"/>
                  <w:vAlign w:val="center"/>
                </w:tcPr>
                <w:p w14:paraId="168B74BD">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rPr>
                  </w:pPr>
                  <w:r>
                    <w:rPr>
                      <w:rFonts w:hint="default" w:ascii="Times New Roman" w:hAnsi="Times New Roman" w:eastAsia="宋体" w:cs="Times New Roman"/>
                      <w:b w:val="0"/>
                      <w:bCs w:val="0"/>
                      <w:color w:val="auto"/>
                      <w:sz w:val="21"/>
                      <w:szCs w:val="21"/>
                    </w:rPr>
                    <w:t>5</w:t>
                  </w:r>
                </w:p>
              </w:tc>
              <w:tc>
                <w:tcPr>
                  <w:tcW w:w="2352" w:type="dxa"/>
                  <w:tcBorders>
                    <w:tl2br w:val="nil"/>
                    <w:tr2bl w:val="nil"/>
                  </w:tcBorders>
                  <w:noWrap w:val="0"/>
                  <w:vAlign w:val="center"/>
                </w:tcPr>
                <w:p w14:paraId="285D8881">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rPr>
                  </w:pPr>
                  <w:r>
                    <w:rPr>
                      <w:rFonts w:hint="default" w:ascii="Times New Roman" w:hAnsi="Times New Roman" w:eastAsia="宋体" w:cs="Times New Roman"/>
                      <w:b w:val="0"/>
                      <w:bCs w:val="0"/>
                      <w:color w:val="auto"/>
                      <w:sz w:val="21"/>
                      <w:szCs w:val="21"/>
                    </w:rPr>
                    <w:t xml:space="preserve">应急设施设备与材料     </w:t>
                  </w:r>
                </w:p>
              </w:tc>
              <w:tc>
                <w:tcPr>
                  <w:tcW w:w="5254" w:type="dxa"/>
                  <w:tcBorders>
                    <w:tl2br w:val="nil"/>
                    <w:tr2bl w:val="nil"/>
                  </w:tcBorders>
                  <w:noWrap w:val="0"/>
                  <w:vAlign w:val="center"/>
                </w:tcPr>
                <w:p w14:paraId="148EB591">
                  <w:pPr>
                    <w:keepNext w:val="0"/>
                    <w:keepLines w:val="0"/>
                    <w:pageBreakBefore w:val="0"/>
                    <w:widowControl w:val="0"/>
                    <w:kinsoku/>
                    <w:wordWrap/>
                    <w:overflowPunct/>
                    <w:topLinePunct w:val="0"/>
                    <w:autoSpaceDE/>
                    <w:autoSpaceDN/>
                    <w:bidi w:val="0"/>
                    <w:adjustRightInd/>
                    <w:snapToGrid/>
                    <w:spacing w:line="240" w:lineRule="auto"/>
                    <w:jc w:val="left"/>
                    <w:textAlignment w:val="auto"/>
                    <w:rPr>
                      <w:rFonts w:hint="default" w:ascii="Times New Roman" w:hAnsi="Times New Roman" w:eastAsia="宋体" w:cs="Times New Roman"/>
                      <w:b w:val="0"/>
                      <w:bCs w:val="0"/>
                      <w:color w:val="auto"/>
                      <w:sz w:val="21"/>
                      <w:szCs w:val="21"/>
                    </w:rPr>
                  </w:pPr>
                  <w:r>
                    <w:rPr>
                      <w:rFonts w:hint="default" w:ascii="Times New Roman" w:hAnsi="Times New Roman" w:eastAsia="宋体" w:cs="Times New Roman"/>
                      <w:b w:val="0"/>
                      <w:bCs w:val="0"/>
                      <w:color w:val="auto"/>
                      <w:sz w:val="21"/>
                      <w:szCs w:val="21"/>
                    </w:rPr>
                    <w:t>消防栓、灭火器等</w:t>
                  </w:r>
                </w:p>
              </w:tc>
            </w:tr>
            <w:tr w14:paraId="3BE8B3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4" w:hRule="atLeast"/>
                <w:jc w:val="center"/>
              </w:trPr>
              <w:tc>
                <w:tcPr>
                  <w:tcW w:w="677" w:type="dxa"/>
                  <w:tcBorders>
                    <w:tl2br w:val="nil"/>
                    <w:tr2bl w:val="nil"/>
                  </w:tcBorders>
                  <w:noWrap w:val="0"/>
                  <w:vAlign w:val="center"/>
                </w:tcPr>
                <w:p w14:paraId="78FF6468">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rPr>
                  </w:pPr>
                  <w:r>
                    <w:rPr>
                      <w:rFonts w:hint="default" w:ascii="Times New Roman" w:hAnsi="Times New Roman" w:eastAsia="宋体" w:cs="Times New Roman"/>
                      <w:b w:val="0"/>
                      <w:bCs w:val="0"/>
                      <w:color w:val="auto"/>
                      <w:sz w:val="21"/>
                      <w:szCs w:val="21"/>
                    </w:rPr>
                    <w:t>6</w:t>
                  </w:r>
                </w:p>
              </w:tc>
              <w:tc>
                <w:tcPr>
                  <w:tcW w:w="2352" w:type="dxa"/>
                  <w:tcBorders>
                    <w:tl2br w:val="nil"/>
                    <w:tr2bl w:val="nil"/>
                  </w:tcBorders>
                  <w:noWrap w:val="0"/>
                  <w:vAlign w:val="center"/>
                </w:tcPr>
                <w:p w14:paraId="6B82E743">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rPr>
                  </w:pPr>
                  <w:r>
                    <w:rPr>
                      <w:rFonts w:hint="default" w:ascii="Times New Roman" w:hAnsi="Times New Roman" w:eastAsia="宋体" w:cs="Times New Roman"/>
                      <w:b w:val="0"/>
                      <w:bCs w:val="0"/>
                      <w:color w:val="auto"/>
                      <w:sz w:val="21"/>
                      <w:szCs w:val="21"/>
                    </w:rPr>
                    <w:t>应急通讯</w:t>
                  </w:r>
                </w:p>
                <w:p w14:paraId="1B2D63F6">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rPr>
                  </w:pPr>
                  <w:r>
                    <w:rPr>
                      <w:rFonts w:hint="default" w:ascii="Times New Roman" w:hAnsi="Times New Roman" w:eastAsia="宋体" w:cs="Times New Roman"/>
                      <w:b w:val="0"/>
                      <w:bCs w:val="0"/>
                      <w:color w:val="auto"/>
                      <w:sz w:val="21"/>
                      <w:szCs w:val="21"/>
                    </w:rPr>
                    <w:t xml:space="preserve">通告与交通   </w:t>
                  </w:r>
                </w:p>
              </w:tc>
              <w:tc>
                <w:tcPr>
                  <w:tcW w:w="5254" w:type="dxa"/>
                  <w:tcBorders>
                    <w:tl2br w:val="nil"/>
                    <w:tr2bl w:val="nil"/>
                  </w:tcBorders>
                  <w:noWrap w:val="0"/>
                  <w:vAlign w:val="center"/>
                </w:tcPr>
                <w:p w14:paraId="4618AD73">
                  <w:pPr>
                    <w:keepNext w:val="0"/>
                    <w:keepLines w:val="0"/>
                    <w:pageBreakBefore w:val="0"/>
                    <w:widowControl w:val="0"/>
                    <w:kinsoku/>
                    <w:wordWrap/>
                    <w:overflowPunct/>
                    <w:topLinePunct w:val="0"/>
                    <w:autoSpaceDE/>
                    <w:autoSpaceDN/>
                    <w:bidi w:val="0"/>
                    <w:adjustRightInd/>
                    <w:snapToGrid/>
                    <w:spacing w:line="240" w:lineRule="auto"/>
                    <w:jc w:val="left"/>
                    <w:textAlignment w:val="auto"/>
                    <w:rPr>
                      <w:rFonts w:hint="default" w:ascii="Times New Roman" w:hAnsi="Times New Roman" w:eastAsia="宋体" w:cs="Times New Roman"/>
                      <w:b w:val="0"/>
                      <w:bCs w:val="0"/>
                      <w:color w:val="auto"/>
                      <w:sz w:val="21"/>
                      <w:szCs w:val="21"/>
                    </w:rPr>
                  </w:pPr>
                  <w:r>
                    <w:rPr>
                      <w:rFonts w:hint="default" w:ascii="Times New Roman" w:hAnsi="Times New Roman" w:eastAsia="宋体" w:cs="Times New Roman"/>
                      <w:b w:val="0"/>
                      <w:bCs w:val="0"/>
                      <w:color w:val="auto"/>
                      <w:sz w:val="21"/>
                      <w:szCs w:val="21"/>
                    </w:rPr>
                    <w:t>规定应急状态下的通讯、通告方式和交通保障、管制等事项</w:t>
                  </w:r>
                </w:p>
              </w:tc>
            </w:tr>
            <w:tr w14:paraId="1D64C0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77" w:type="dxa"/>
                  <w:tcBorders>
                    <w:tl2br w:val="nil"/>
                    <w:tr2bl w:val="nil"/>
                  </w:tcBorders>
                  <w:noWrap w:val="0"/>
                  <w:vAlign w:val="center"/>
                </w:tcPr>
                <w:p w14:paraId="6A6D8762">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rPr>
                  </w:pPr>
                  <w:r>
                    <w:rPr>
                      <w:rFonts w:hint="default" w:ascii="Times New Roman" w:hAnsi="Times New Roman" w:eastAsia="宋体" w:cs="Times New Roman"/>
                      <w:b w:val="0"/>
                      <w:bCs w:val="0"/>
                      <w:color w:val="auto"/>
                      <w:sz w:val="21"/>
                      <w:szCs w:val="21"/>
                    </w:rPr>
                    <w:t>7</w:t>
                  </w:r>
                </w:p>
              </w:tc>
              <w:tc>
                <w:tcPr>
                  <w:tcW w:w="2352" w:type="dxa"/>
                  <w:tcBorders>
                    <w:tl2br w:val="nil"/>
                    <w:tr2bl w:val="nil"/>
                  </w:tcBorders>
                  <w:noWrap w:val="0"/>
                  <w:vAlign w:val="center"/>
                </w:tcPr>
                <w:p w14:paraId="15655FD2">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rPr>
                  </w:pPr>
                  <w:r>
                    <w:rPr>
                      <w:rFonts w:hint="default" w:ascii="Times New Roman" w:hAnsi="Times New Roman" w:eastAsia="宋体" w:cs="Times New Roman"/>
                      <w:b w:val="0"/>
                      <w:bCs w:val="0"/>
                      <w:color w:val="auto"/>
                      <w:sz w:val="21"/>
                      <w:szCs w:val="21"/>
                    </w:rPr>
                    <w:t>应急环境监测及事故后评估</w:t>
                  </w:r>
                </w:p>
              </w:tc>
              <w:tc>
                <w:tcPr>
                  <w:tcW w:w="5254" w:type="dxa"/>
                  <w:tcBorders>
                    <w:tl2br w:val="nil"/>
                    <w:tr2bl w:val="nil"/>
                  </w:tcBorders>
                  <w:noWrap w:val="0"/>
                  <w:vAlign w:val="center"/>
                </w:tcPr>
                <w:p w14:paraId="4AD27FC1">
                  <w:pPr>
                    <w:keepNext w:val="0"/>
                    <w:keepLines w:val="0"/>
                    <w:pageBreakBefore w:val="0"/>
                    <w:widowControl w:val="0"/>
                    <w:kinsoku/>
                    <w:wordWrap/>
                    <w:overflowPunct/>
                    <w:topLinePunct w:val="0"/>
                    <w:autoSpaceDE/>
                    <w:autoSpaceDN/>
                    <w:bidi w:val="0"/>
                    <w:adjustRightInd/>
                    <w:snapToGrid/>
                    <w:spacing w:line="240" w:lineRule="auto"/>
                    <w:jc w:val="left"/>
                    <w:textAlignment w:val="auto"/>
                    <w:rPr>
                      <w:rFonts w:hint="default" w:ascii="Times New Roman" w:hAnsi="Times New Roman" w:eastAsia="宋体" w:cs="Times New Roman"/>
                      <w:b w:val="0"/>
                      <w:bCs w:val="0"/>
                      <w:color w:val="auto"/>
                      <w:sz w:val="21"/>
                      <w:szCs w:val="21"/>
                    </w:rPr>
                  </w:pPr>
                  <w:r>
                    <w:rPr>
                      <w:rFonts w:hint="default" w:ascii="Times New Roman" w:hAnsi="Times New Roman" w:eastAsia="宋体" w:cs="Times New Roman"/>
                      <w:b w:val="0"/>
                      <w:bCs w:val="0"/>
                      <w:color w:val="auto"/>
                      <w:sz w:val="21"/>
                      <w:szCs w:val="21"/>
                    </w:rPr>
                    <w:t>由专业人员对环境风险事故现场进行应急监测</w:t>
                  </w:r>
                  <w:r>
                    <w:rPr>
                      <w:rFonts w:hint="eastAsia" w:cs="Times New Roman"/>
                      <w:b w:val="0"/>
                      <w:bCs w:val="0"/>
                      <w:color w:val="auto"/>
                      <w:sz w:val="21"/>
                      <w:szCs w:val="21"/>
                      <w:lang w:eastAsia="zh-CN"/>
                    </w:rPr>
                    <w:t>，</w:t>
                  </w:r>
                  <w:r>
                    <w:rPr>
                      <w:rFonts w:hint="default" w:ascii="Times New Roman" w:hAnsi="Times New Roman" w:eastAsia="宋体" w:cs="Times New Roman"/>
                      <w:b w:val="0"/>
                      <w:bCs w:val="0"/>
                      <w:color w:val="auto"/>
                      <w:sz w:val="21"/>
                      <w:szCs w:val="21"/>
                    </w:rPr>
                    <w:t>对事故性质、严重程度等所造成的环境危害后果进行评估</w:t>
                  </w:r>
                  <w:r>
                    <w:rPr>
                      <w:rFonts w:hint="eastAsia" w:cs="Times New Roman"/>
                      <w:b w:val="0"/>
                      <w:bCs w:val="0"/>
                      <w:color w:val="auto"/>
                      <w:sz w:val="21"/>
                      <w:szCs w:val="21"/>
                      <w:lang w:eastAsia="zh-CN"/>
                    </w:rPr>
                    <w:t>，</w:t>
                  </w:r>
                  <w:r>
                    <w:rPr>
                      <w:rFonts w:hint="default" w:ascii="Times New Roman" w:hAnsi="Times New Roman" w:eastAsia="宋体" w:cs="Times New Roman"/>
                      <w:b w:val="0"/>
                      <w:bCs w:val="0"/>
                      <w:color w:val="auto"/>
                      <w:sz w:val="21"/>
                      <w:szCs w:val="21"/>
                    </w:rPr>
                    <w:t>吸取经验教训免再次发生事故</w:t>
                  </w:r>
                  <w:r>
                    <w:rPr>
                      <w:rFonts w:hint="eastAsia" w:cs="Times New Roman"/>
                      <w:b w:val="0"/>
                      <w:bCs w:val="0"/>
                      <w:color w:val="auto"/>
                      <w:sz w:val="21"/>
                      <w:szCs w:val="21"/>
                      <w:lang w:eastAsia="zh-CN"/>
                    </w:rPr>
                    <w:t>，</w:t>
                  </w:r>
                  <w:r>
                    <w:rPr>
                      <w:rFonts w:hint="default" w:ascii="Times New Roman" w:hAnsi="Times New Roman" w:eastAsia="宋体" w:cs="Times New Roman"/>
                      <w:b w:val="0"/>
                      <w:bCs w:val="0"/>
                      <w:color w:val="auto"/>
                      <w:sz w:val="21"/>
                      <w:szCs w:val="21"/>
                    </w:rPr>
                    <w:t>为指挥部门提供决策依据</w:t>
                  </w:r>
                </w:p>
              </w:tc>
            </w:tr>
            <w:tr w14:paraId="4689AE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94" w:hRule="atLeast"/>
                <w:jc w:val="center"/>
              </w:trPr>
              <w:tc>
                <w:tcPr>
                  <w:tcW w:w="677" w:type="dxa"/>
                  <w:tcBorders>
                    <w:tl2br w:val="nil"/>
                    <w:tr2bl w:val="nil"/>
                  </w:tcBorders>
                  <w:noWrap w:val="0"/>
                  <w:vAlign w:val="center"/>
                </w:tcPr>
                <w:p w14:paraId="70D0AC5F">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rPr>
                  </w:pPr>
                  <w:r>
                    <w:rPr>
                      <w:rFonts w:hint="default" w:ascii="Times New Roman" w:hAnsi="Times New Roman" w:eastAsia="宋体" w:cs="Times New Roman"/>
                      <w:b w:val="0"/>
                      <w:bCs w:val="0"/>
                      <w:color w:val="auto"/>
                      <w:sz w:val="21"/>
                      <w:szCs w:val="21"/>
                    </w:rPr>
                    <w:t>8</w:t>
                  </w:r>
                </w:p>
              </w:tc>
              <w:tc>
                <w:tcPr>
                  <w:tcW w:w="2352" w:type="dxa"/>
                  <w:tcBorders>
                    <w:tl2br w:val="nil"/>
                    <w:tr2bl w:val="nil"/>
                  </w:tcBorders>
                  <w:noWrap w:val="0"/>
                  <w:vAlign w:val="center"/>
                </w:tcPr>
                <w:p w14:paraId="3E16ADB7">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rPr>
                  </w:pPr>
                  <w:r>
                    <w:rPr>
                      <w:rFonts w:hint="default" w:ascii="Times New Roman" w:hAnsi="Times New Roman" w:eastAsia="宋体" w:cs="Times New Roman"/>
                      <w:b w:val="0"/>
                      <w:bCs w:val="0"/>
                      <w:color w:val="auto"/>
                      <w:sz w:val="21"/>
                      <w:szCs w:val="21"/>
                    </w:rPr>
                    <w:t>应急剂量控制撤离组织计划医疗救护与保护公众健康</w:t>
                  </w:r>
                </w:p>
              </w:tc>
              <w:tc>
                <w:tcPr>
                  <w:tcW w:w="5254" w:type="dxa"/>
                  <w:tcBorders>
                    <w:tl2br w:val="nil"/>
                    <w:tr2bl w:val="nil"/>
                  </w:tcBorders>
                  <w:noWrap w:val="0"/>
                  <w:vAlign w:val="center"/>
                </w:tcPr>
                <w:p w14:paraId="430A10BC">
                  <w:pPr>
                    <w:keepNext w:val="0"/>
                    <w:keepLines w:val="0"/>
                    <w:pageBreakBefore w:val="0"/>
                    <w:widowControl w:val="0"/>
                    <w:kinsoku/>
                    <w:wordWrap/>
                    <w:overflowPunct/>
                    <w:topLinePunct w:val="0"/>
                    <w:autoSpaceDE/>
                    <w:autoSpaceDN/>
                    <w:bidi w:val="0"/>
                    <w:adjustRightInd/>
                    <w:snapToGrid/>
                    <w:spacing w:line="240" w:lineRule="auto"/>
                    <w:jc w:val="left"/>
                    <w:textAlignment w:val="auto"/>
                    <w:rPr>
                      <w:rFonts w:hint="default" w:ascii="Times New Roman" w:hAnsi="Times New Roman" w:eastAsia="宋体" w:cs="Times New Roman"/>
                      <w:b w:val="0"/>
                      <w:bCs w:val="0"/>
                      <w:color w:val="auto"/>
                      <w:sz w:val="21"/>
                      <w:szCs w:val="21"/>
                    </w:rPr>
                  </w:pPr>
                  <w:r>
                    <w:rPr>
                      <w:rFonts w:hint="default" w:ascii="Times New Roman" w:hAnsi="Times New Roman" w:eastAsia="宋体" w:cs="Times New Roman"/>
                      <w:b w:val="0"/>
                      <w:bCs w:val="0"/>
                      <w:color w:val="auto"/>
                      <w:sz w:val="21"/>
                      <w:szCs w:val="21"/>
                    </w:rPr>
                    <w:t>事故现场</w:t>
                  </w:r>
                  <w:r>
                    <w:rPr>
                      <w:rFonts w:hint="eastAsia" w:cs="Times New Roman"/>
                      <w:b w:val="0"/>
                      <w:bCs w:val="0"/>
                      <w:color w:val="auto"/>
                      <w:sz w:val="21"/>
                      <w:szCs w:val="21"/>
                      <w:lang w:eastAsia="zh-CN"/>
                    </w:rPr>
                    <w:t>：</w:t>
                  </w:r>
                  <w:r>
                    <w:rPr>
                      <w:rFonts w:hint="default" w:ascii="Times New Roman" w:hAnsi="Times New Roman" w:eastAsia="宋体" w:cs="Times New Roman"/>
                      <w:b w:val="0"/>
                      <w:bCs w:val="0"/>
                      <w:color w:val="auto"/>
                      <w:sz w:val="21"/>
                      <w:szCs w:val="21"/>
                    </w:rPr>
                    <w:t>事故处理人员现场及临近装置人员的撤离组织计划和紧急救护方案临近地区</w:t>
                  </w:r>
                  <w:r>
                    <w:rPr>
                      <w:rFonts w:hint="eastAsia" w:cs="Times New Roman"/>
                      <w:b w:val="0"/>
                      <w:bCs w:val="0"/>
                      <w:color w:val="auto"/>
                      <w:sz w:val="21"/>
                      <w:szCs w:val="21"/>
                      <w:lang w:eastAsia="zh-CN"/>
                    </w:rPr>
                    <w:t>：</w:t>
                  </w:r>
                  <w:r>
                    <w:rPr>
                      <w:rFonts w:hint="default" w:ascii="Times New Roman" w:hAnsi="Times New Roman" w:eastAsia="宋体" w:cs="Times New Roman"/>
                      <w:b w:val="0"/>
                      <w:bCs w:val="0"/>
                      <w:color w:val="auto"/>
                      <w:sz w:val="21"/>
                      <w:szCs w:val="21"/>
                    </w:rPr>
                    <w:t>制定受事故影响的临近地区内人员对公众的疏散组织计划和紧急救护方案</w:t>
                  </w:r>
                </w:p>
              </w:tc>
            </w:tr>
            <w:tr w14:paraId="581650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24" w:hRule="atLeast"/>
                <w:jc w:val="center"/>
              </w:trPr>
              <w:tc>
                <w:tcPr>
                  <w:tcW w:w="677" w:type="dxa"/>
                  <w:tcBorders>
                    <w:tl2br w:val="nil"/>
                    <w:tr2bl w:val="nil"/>
                  </w:tcBorders>
                  <w:noWrap w:val="0"/>
                  <w:vAlign w:val="center"/>
                </w:tcPr>
                <w:p w14:paraId="59462789">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rPr>
                  </w:pPr>
                  <w:r>
                    <w:rPr>
                      <w:rFonts w:hint="default" w:ascii="Times New Roman" w:hAnsi="Times New Roman" w:eastAsia="宋体" w:cs="Times New Roman"/>
                      <w:b w:val="0"/>
                      <w:bCs w:val="0"/>
                      <w:color w:val="auto"/>
                      <w:sz w:val="21"/>
                      <w:szCs w:val="21"/>
                    </w:rPr>
                    <w:t>9</w:t>
                  </w:r>
                </w:p>
              </w:tc>
              <w:tc>
                <w:tcPr>
                  <w:tcW w:w="2352" w:type="dxa"/>
                  <w:tcBorders>
                    <w:tl2br w:val="nil"/>
                    <w:tr2bl w:val="nil"/>
                  </w:tcBorders>
                  <w:noWrap w:val="0"/>
                  <w:vAlign w:val="center"/>
                </w:tcPr>
                <w:p w14:paraId="13E8420F">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rPr>
                  </w:pPr>
                  <w:r>
                    <w:rPr>
                      <w:rFonts w:hint="default" w:ascii="Times New Roman" w:hAnsi="Times New Roman" w:eastAsia="宋体" w:cs="Times New Roman"/>
                      <w:b w:val="0"/>
                      <w:bCs w:val="0"/>
                      <w:color w:val="auto"/>
                      <w:sz w:val="21"/>
                      <w:szCs w:val="21"/>
                    </w:rPr>
                    <w:t xml:space="preserve">应急状态中止恢复措施 </w:t>
                  </w:r>
                </w:p>
              </w:tc>
              <w:tc>
                <w:tcPr>
                  <w:tcW w:w="5254" w:type="dxa"/>
                  <w:tcBorders>
                    <w:tl2br w:val="nil"/>
                    <w:tr2bl w:val="nil"/>
                  </w:tcBorders>
                  <w:noWrap w:val="0"/>
                  <w:vAlign w:val="center"/>
                </w:tcPr>
                <w:p w14:paraId="0587858C">
                  <w:pPr>
                    <w:keepNext w:val="0"/>
                    <w:keepLines w:val="0"/>
                    <w:pageBreakBefore w:val="0"/>
                    <w:widowControl w:val="0"/>
                    <w:kinsoku/>
                    <w:wordWrap/>
                    <w:overflowPunct/>
                    <w:topLinePunct w:val="0"/>
                    <w:autoSpaceDE/>
                    <w:autoSpaceDN/>
                    <w:bidi w:val="0"/>
                    <w:adjustRightInd/>
                    <w:snapToGrid/>
                    <w:spacing w:line="240" w:lineRule="auto"/>
                    <w:jc w:val="left"/>
                    <w:textAlignment w:val="auto"/>
                    <w:rPr>
                      <w:rFonts w:hint="default" w:ascii="Times New Roman" w:hAnsi="Times New Roman" w:eastAsia="宋体" w:cs="Times New Roman"/>
                      <w:b w:val="0"/>
                      <w:bCs w:val="0"/>
                      <w:color w:val="auto"/>
                      <w:sz w:val="21"/>
                      <w:szCs w:val="21"/>
                    </w:rPr>
                  </w:pPr>
                  <w:r>
                    <w:rPr>
                      <w:rFonts w:hint="default" w:ascii="Times New Roman" w:hAnsi="Times New Roman" w:eastAsia="宋体" w:cs="Times New Roman"/>
                      <w:b w:val="0"/>
                      <w:bCs w:val="0"/>
                      <w:color w:val="auto"/>
                      <w:sz w:val="21"/>
                      <w:szCs w:val="21"/>
                    </w:rPr>
                    <w:t>事故现场</w:t>
                  </w:r>
                  <w:r>
                    <w:rPr>
                      <w:rFonts w:hint="eastAsia" w:cs="Times New Roman"/>
                      <w:b w:val="0"/>
                      <w:bCs w:val="0"/>
                      <w:color w:val="auto"/>
                      <w:sz w:val="21"/>
                      <w:szCs w:val="21"/>
                      <w:lang w:eastAsia="zh-CN"/>
                    </w:rPr>
                    <w:t>：</w:t>
                  </w:r>
                  <w:r>
                    <w:rPr>
                      <w:rFonts w:hint="default" w:ascii="Times New Roman" w:hAnsi="Times New Roman" w:eastAsia="宋体" w:cs="Times New Roman"/>
                      <w:b w:val="0"/>
                      <w:bCs w:val="0"/>
                      <w:color w:val="auto"/>
                      <w:sz w:val="21"/>
                      <w:szCs w:val="21"/>
                    </w:rPr>
                    <w:t>规定应急状态终止秩序</w:t>
                  </w:r>
                  <w:r>
                    <w:rPr>
                      <w:rFonts w:hint="eastAsia" w:cs="Times New Roman"/>
                      <w:b w:val="0"/>
                      <w:bCs w:val="0"/>
                      <w:color w:val="auto"/>
                      <w:sz w:val="21"/>
                      <w:szCs w:val="21"/>
                      <w:lang w:eastAsia="zh-CN"/>
                    </w:rPr>
                    <w:t>：</w:t>
                  </w:r>
                  <w:r>
                    <w:rPr>
                      <w:rFonts w:hint="default" w:ascii="Times New Roman" w:hAnsi="Times New Roman" w:eastAsia="宋体" w:cs="Times New Roman"/>
                      <w:b w:val="0"/>
                      <w:bCs w:val="0"/>
                      <w:color w:val="auto"/>
                      <w:sz w:val="21"/>
                      <w:szCs w:val="21"/>
                    </w:rPr>
                    <w:t>事故现场善后处理</w:t>
                  </w:r>
                  <w:r>
                    <w:rPr>
                      <w:rFonts w:hint="eastAsia" w:cs="Times New Roman"/>
                      <w:b w:val="0"/>
                      <w:bCs w:val="0"/>
                      <w:color w:val="auto"/>
                      <w:sz w:val="21"/>
                      <w:szCs w:val="21"/>
                      <w:lang w:eastAsia="zh-CN"/>
                    </w:rPr>
                    <w:t>，</w:t>
                  </w:r>
                  <w:r>
                    <w:rPr>
                      <w:rFonts w:hint="default" w:ascii="Times New Roman" w:hAnsi="Times New Roman" w:eastAsia="宋体" w:cs="Times New Roman"/>
                      <w:b w:val="0"/>
                      <w:bCs w:val="0"/>
                      <w:color w:val="auto"/>
                      <w:sz w:val="21"/>
                      <w:szCs w:val="21"/>
                    </w:rPr>
                    <w:t>恢复生产措施；临近地区</w:t>
                  </w:r>
                  <w:r>
                    <w:rPr>
                      <w:rFonts w:hint="eastAsia" w:cs="Times New Roman"/>
                      <w:b w:val="0"/>
                      <w:bCs w:val="0"/>
                      <w:color w:val="auto"/>
                      <w:sz w:val="21"/>
                      <w:szCs w:val="21"/>
                      <w:lang w:eastAsia="zh-CN"/>
                    </w:rPr>
                    <w:t>：</w:t>
                  </w:r>
                  <w:r>
                    <w:rPr>
                      <w:rFonts w:hint="default" w:ascii="Times New Roman" w:hAnsi="Times New Roman" w:eastAsia="宋体" w:cs="Times New Roman"/>
                      <w:b w:val="0"/>
                      <w:bCs w:val="0"/>
                      <w:color w:val="auto"/>
                      <w:sz w:val="21"/>
                      <w:szCs w:val="21"/>
                    </w:rPr>
                    <w:t>解除事故警戒、公众返回和善后恢复措施</w:t>
                  </w:r>
                </w:p>
              </w:tc>
            </w:tr>
            <w:tr w14:paraId="6AD794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24" w:hRule="atLeast"/>
                <w:jc w:val="center"/>
              </w:trPr>
              <w:tc>
                <w:tcPr>
                  <w:tcW w:w="677" w:type="dxa"/>
                  <w:tcBorders>
                    <w:tl2br w:val="nil"/>
                    <w:tr2bl w:val="nil"/>
                  </w:tcBorders>
                  <w:noWrap w:val="0"/>
                  <w:vAlign w:val="center"/>
                </w:tcPr>
                <w:p w14:paraId="73D2EA30">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rPr>
                  </w:pPr>
                  <w:r>
                    <w:rPr>
                      <w:rFonts w:hint="default" w:ascii="Times New Roman" w:hAnsi="Times New Roman" w:eastAsia="宋体" w:cs="Times New Roman"/>
                      <w:b w:val="0"/>
                      <w:bCs w:val="0"/>
                      <w:color w:val="auto"/>
                      <w:sz w:val="21"/>
                      <w:szCs w:val="21"/>
                    </w:rPr>
                    <w:t>10</w:t>
                  </w:r>
                </w:p>
              </w:tc>
              <w:tc>
                <w:tcPr>
                  <w:tcW w:w="2352" w:type="dxa"/>
                  <w:tcBorders>
                    <w:tl2br w:val="nil"/>
                    <w:tr2bl w:val="nil"/>
                  </w:tcBorders>
                  <w:noWrap w:val="0"/>
                  <w:vAlign w:val="center"/>
                </w:tcPr>
                <w:p w14:paraId="36A3D6B6">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rPr>
                  </w:pPr>
                  <w:r>
                    <w:rPr>
                      <w:rFonts w:hint="default" w:ascii="Times New Roman" w:hAnsi="Times New Roman" w:eastAsia="宋体" w:cs="Times New Roman"/>
                      <w:b w:val="0"/>
                      <w:bCs w:val="0"/>
                      <w:color w:val="auto"/>
                      <w:sz w:val="21"/>
                      <w:szCs w:val="21"/>
                    </w:rPr>
                    <w:t>人员培训与演习</w:t>
                  </w:r>
                </w:p>
              </w:tc>
              <w:tc>
                <w:tcPr>
                  <w:tcW w:w="5254" w:type="dxa"/>
                  <w:tcBorders>
                    <w:tl2br w:val="nil"/>
                    <w:tr2bl w:val="nil"/>
                  </w:tcBorders>
                  <w:noWrap w:val="0"/>
                  <w:vAlign w:val="center"/>
                </w:tcPr>
                <w:p w14:paraId="666BD75B">
                  <w:pPr>
                    <w:keepNext w:val="0"/>
                    <w:keepLines w:val="0"/>
                    <w:pageBreakBefore w:val="0"/>
                    <w:widowControl w:val="0"/>
                    <w:kinsoku/>
                    <w:wordWrap/>
                    <w:overflowPunct/>
                    <w:topLinePunct w:val="0"/>
                    <w:autoSpaceDE/>
                    <w:autoSpaceDN/>
                    <w:bidi w:val="0"/>
                    <w:adjustRightInd/>
                    <w:snapToGrid/>
                    <w:spacing w:line="240" w:lineRule="auto"/>
                    <w:jc w:val="left"/>
                    <w:textAlignment w:val="auto"/>
                    <w:rPr>
                      <w:rFonts w:hint="default" w:ascii="Times New Roman" w:hAnsi="Times New Roman" w:eastAsia="宋体" w:cs="Times New Roman"/>
                      <w:b w:val="0"/>
                      <w:bCs w:val="0"/>
                      <w:color w:val="auto"/>
                      <w:sz w:val="21"/>
                      <w:szCs w:val="21"/>
                    </w:rPr>
                  </w:pPr>
                  <w:r>
                    <w:rPr>
                      <w:rFonts w:hint="default" w:ascii="Times New Roman" w:hAnsi="Times New Roman" w:eastAsia="宋体" w:cs="Times New Roman"/>
                      <w:b w:val="0"/>
                      <w:bCs w:val="0"/>
                      <w:color w:val="auto"/>
                      <w:sz w:val="21"/>
                      <w:szCs w:val="21"/>
                    </w:rPr>
                    <w:t>应急计划制定后</w:t>
                  </w:r>
                  <w:r>
                    <w:rPr>
                      <w:rFonts w:hint="eastAsia" w:cs="Times New Roman"/>
                      <w:b w:val="0"/>
                      <w:bCs w:val="0"/>
                      <w:color w:val="auto"/>
                      <w:sz w:val="21"/>
                      <w:szCs w:val="21"/>
                      <w:lang w:eastAsia="zh-CN"/>
                    </w:rPr>
                    <w:t>，</w:t>
                  </w:r>
                  <w:r>
                    <w:rPr>
                      <w:rFonts w:hint="default" w:ascii="Times New Roman" w:hAnsi="Times New Roman" w:eastAsia="宋体" w:cs="Times New Roman"/>
                      <w:b w:val="0"/>
                      <w:bCs w:val="0"/>
                      <w:color w:val="auto"/>
                      <w:sz w:val="21"/>
                      <w:szCs w:val="21"/>
                    </w:rPr>
                    <w:t>平时安排事故处理人员进行相关知识培训进行事故应急处理演习；对厂区内工人进行安全卫生教育</w:t>
                  </w:r>
                </w:p>
              </w:tc>
            </w:tr>
            <w:tr w14:paraId="3B61D5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4" w:hRule="atLeast"/>
                <w:jc w:val="center"/>
              </w:trPr>
              <w:tc>
                <w:tcPr>
                  <w:tcW w:w="677" w:type="dxa"/>
                  <w:tcBorders>
                    <w:tl2br w:val="nil"/>
                    <w:tr2bl w:val="nil"/>
                  </w:tcBorders>
                  <w:noWrap w:val="0"/>
                  <w:vAlign w:val="center"/>
                </w:tcPr>
                <w:p w14:paraId="03708C85">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rPr>
                  </w:pPr>
                  <w:r>
                    <w:rPr>
                      <w:rFonts w:hint="default" w:ascii="Times New Roman" w:hAnsi="Times New Roman" w:eastAsia="宋体" w:cs="Times New Roman"/>
                      <w:b w:val="0"/>
                      <w:bCs w:val="0"/>
                      <w:color w:val="auto"/>
                      <w:sz w:val="21"/>
                      <w:szCs w:val="21"/>
                    </w:rPr>
                    <w:t>11</w:t>
                  </w:r>
                </w:p>
              </w:tc>
              <w:tc>
                <w:tcPr>
                  <w:tcW w:w="2352" w:type="dxa"/>
                  <w:tcBorders>
                    <w:tl2br w:val="nil"/>
                    <w:tr2bl w:val="nil"/>
                  </w:tcBorders>
                  <w:noWrap w:val="0"/>
                  <w:vAlign w:val="center"/>
                </w:tcPr>
                <w:p w14:paraId="181BCD6B">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rPr>
                  </w:pPr>
                  <w:r>
                    <w:rPr>
                      <w:rFonts w:hint="default" w:ascii="Times New Roman" w:hAnsi="Times New Roman" w:eastAsia="宋体" w:cs="Times New Roman"/>
                      <w:b w:val="0"/>
                      <w:bCs w:val="0"/>
                      <w:color w:val="auto"/>
                      <w:sz w:val="21"/>
                      <w:szCs w:val="21"/>
                    </w:rPr>
                    <w:t>公众教育信息发布</w:t>
                  </w:r>
                </w:p>
              </w:tc>
              <w:tc>
                <w:tcPr>
                  <w:tcW w:w="5254" w:type="dxa"/>
                  <w:tcBorders>
                    <w:tl2br w:val="nil"/>
                    <w:tr2bl w:val="nil"/>
                  </w:tcBorders>
                  <w:noWrap w:val="0"/>
                  <w:vAlign w:val="center"/>
                </w:tcPr>
                <w:p w14:paraId="03531E92">
                  <w:pPr>
                    <w:keepNext w:val="0"/>
                    <w:keepLines w:val="0"/>
                    <w:pageBreakBefore w:val="0"/>
                    <w:widowControl w:val="0"/>
                    <w:kinsoku/>
                    <w:wordWrap/>
                    <w:overflowPunct/>
                    <w:topLinePunct w:val="0"/>
                    <w:autoSpaceDE/>
                    <w:autoSpaceDN/>
                    <w:bidi w:val="0"/>
                    <w:adjustRightInd/>
                    <w:snapToGrid/>
                    <w:spacing w:line="240" w:lineRule="auto"/>
                    <w:jc w:val="left"/>
                    <w:textAlignment w:val="auto"/>
                    <w:rPr>
                      <w:rFonts w:hint="default" w:ascii="Times New Roman" w:hAnsi="Times New Roman" w:eastAsia="宋体" w:cs="Times New Roman"/>
                      <w:b w:val="0"/>
                      <w:bCs w:val="0"/>
                      <w:color w:val="auto"/>
                      <w:sz w:val="21"/>
                      <w:szCs w:val="21"/>
                    </w:rPr>
                  </w:pPr>
                  <w:r>
                    <w:rPr>
                      <w:rFonts w:hint="default" w:ascii="Times New Roman" w:hAnsi="Times New Roman" w:eastAsia="宋体" w:cs="Times New Roman"/>
                      <w:b w:val="0"/>
                      <w:bCs w:val="0"/>
                      <w:color w:val="auto"/>
                      <w:sz w:val="21"/>
                      <w:szCs w:val="21"/>
                    </w:rPr>
                    <w:t>对厂区临近地区公众开展环境风险事故预防教育、应急知识培训并定期发布相关信息</w:t>
                  </w:r>
                </w:p>
              </w:tc>
            </w:tr>
            <w:tr w14:paraId="3244FC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4" w:hRule="atLeast"/>
                <w:jc w:val="center"/>
              </w:trPr>
              <w:tc>
                <w:tcPr>
                  <w:tcW w:w="677" w:type="dxa"/>
                  <w:tcBorders>
                    <w:tl2br w:val="nil"/>
                    <w:tr2bl w:val="nil"/>
                  </w:tcBorders>
                  <w:noWrap w:val="0"/>
                  <w:vAlign w:val="center"/>
                </w:tcPr>
                <w:p w14:paraId="3DFE71B1">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rPr>
                  </w:pPr>
                  <w:r>
                    <w:rPr>
                      <w:rFonts w:hint="default" w:ascii="Times New Roman" w:hAnsi="Times New Roman" w:eastAsia="宋体" w:cs="Times New Roman"/>
                      <w:b w:val="0"/>
                      <w:bCs w:val="0"/>
                      <w:color w:val="auto"/>
                      <w:sz w:val="21"/>
                      <w:szCs w:val="21"/>
                    </w:rPr>
                    <w:t>12</w:t>
                  </w:r>
                </w:p>
              </w:tc>
              <w:tc>
                <w:tcPr>
                  <w:tcW w:w="2352" w:type="dxa"/>
                  <w:tcBorders>
                    <w:tl2br w:val="nil"/>
                    <w:tr2bl w:val="nil"/>
                  </w:tcBorders>
                  <w:noWrap w:val="0"/>
                  <w:vAlign w:val="center"/>
                </w:tcPr>
                <w:p w14:paraId="57671814">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rPr>
                  </w:pPr>
                  <w:r>
                    <w:rPr>
                      <w:rFonts w:hint="default" w:ascii="Times New Roman" w:hAnsi="Times New Roman" w:eastAsia="宋体" w:cs="Times New Roman"/>
                      <w:b w:val="0"/>
                      <w:bCs w:val="0"/>
                      <w:color w:val="auto"/>
                      <w:sz w:val="21"/>
                      <w:szCs w:val="21"/>
                    </w:rPr>
                    <w:t xml:space="preserve">记录和报告                                                </w:t>
                  </w:r>
                </w:p>
              </w:tc>
              <w:tc>
                <w:tcPr>
                  <w:tcW w:w="5254" w:type="dxa"/>
                  <w:tcBorders>
                    <w:tl2br w:val="nil"/>
                    <w:tr2bl w:val="nil"/>
                  </w:tcBorders>
                  <w:noWrap w:val="0"/>
                  <w:vAlign w:val="center"/>
                </w:tcPr>
                <w:p w14:paraId="6F87B0C5">
                  <w:pPr>
                    <w:keepNext w:val="0"/>
                    <w:keepLines w:val="0"/>
                    <w:pageBreakBefore w:val="0"/>
                    <w:widowControl w:val="0"/>
                    <w:kinsoku/>
                    <w:wordWrap/>
                    <w:overflowPunct/>
                    <w:topLinePunct w:val="0"/>
                    <w:autoSpaceDE/>
                    <w:autoSpaceDN/>
                    <w:bidi w:val="0"/>
                    <w:adjustRightInd/>
                    <w:snapToGrid/>
                    <w:spacing w:line="240" w:lineRule="auto"/>
                    <w:jc w:val="left"/>
                    <w:textAlignment w:val="auto"/>
                    <w:rPr>
                      <w:rFonts w:hint="default" w:ascii="Times New Roman" w:hAnsi="Times New Roman" w:eastAsia="宋体" w:cs="Times New Roman"/>
                      <w:b w:val="0"/>
                      <w:bCs w:val="0"/>
                      <w:color w:val="auto"/>
                      <w:sz w:val="21"/>
                      <w:szCs w:val="21"/>
                    </w:rPr>
                  </w:pPr>
                  <w:r>
                    <w:rPr>
                      <w:rFonts w:hint="default" w:ascii="Times New Roman" w:hAnsi="Times New Roman" w:eastAsia="宋体" w:cs="Times New Roman"/>
                      <w:b w:val="0"/>
                      <w:bCs w:val="0"/>
                      <w:color w:val="auto"/>
                      <w:sz w:val="21"/>
                      <w:szCs w:val="21"/>
                    </w:rPr>
                    <w:t>设应急事故专门记录</w:t>
                  </w:r>
                  <w:r>
                    <w:rPr>
                      <w:rFonts w:hint="eastAsia" w:cs="Times New Roman"/>
                      <w:b w:val="0"/>
                      <w:bCs w:val="0"/>
                      <w:color w:val="auto"/>
                      <w:sz w:val="21"/>
                      <w:szCs w:val="21"/>
                      <w:lang w:eastAsia="zh-CN"/>
                    </w:rPr>
                    <w:t>，</w:t>
                  </w:r>
                  <w:r>
                    <w:rPr>
                      <w:rFonts w:hint="default" w:ascii="Times New Roman" w:hAnsi="Times New Roman" w:eastAsia="宋体" w:cs="Times New Roman"/>
                      <w:b w:val="0"/>
                      <w:bCs w:val="0"/>
                      <w:color w:val="auto"/>
                      <w:sz w:val="21"/>
                      <w:szCs w:val="21"/>
                    </w:rPr>
                    <w:t>建立档案和报告制度</w:t>
                  </w:r>
                  <w:r>
                    <w:rPr>
                      <w:rFonts w:hint="eastAsia" w:cs="Times New Roman"/>
                      <w:b w:val="0"/>
                      <w:bCs w:val="0"/>
                      <w:color w:val="auto"/>
                      <w:sz w:val="21"/>
                      <w:szCs w:val="21"/>
                      <w:lang w:eastAsia="zh-CN"/>
                    </w:rPr>
                    <w:t>，</w:t>
                  </w:r>
                  <w:r>
                    <w:rPr>
                      <w:rFonts w:hint="default" w:ascii="Times New Roman" w:hAnsi="Times New Roman" w:eastAsia="宋体" w:cs="Times New Roman"/>
                      <w:b w:val="0"/>
                      <w:bCs w:val="0"/>
                      <w:color w:val="auto"/>
                      <w:sz w:val="21"/>
                      <w:szCs w:val="21"/>
                    </w:rPr>
                    <w:t>设专门部门负责管理</w:t>
                  </w:r>
                </w:p>
              </w:tc>
            </w:tr>
          </w:tbl>
          <w:p w14:paraId="34791DB6">
            <w:pPr>
              <w:numPr>
                <w:ilvl w:val="0"/>
                <w:numId w:val="68"/>
              </w:numPr>
              <w:bidi w:val="0"/>
              <w:spacing w:line="360" w:lineRule="auto"/>
              <w:ind w:left="0" w:leftChars="0" w:firstLine="482" w:firstLineChars="200"/>
              <w:rPr>
                <w:rFonts w:hint="default" w:ascii="Times New Roman" w:hAnsi="Times New Roman" w:eastAsia="宋体" w:cs="Times New Roman"/>
                <w:b/>
                <w:bCs/>
                <w:sz w:val="24"/>
                <w:szCs w:val="24"/>
                <w:lang w:val="en-US" w:eastAsia="zh-CN"/>
              </w:rPr>
            </w:pPr>
            <w:r>
              <w:rPr>
                <w:rFonts w:hint="default" w:ascii="Times New Roman" w:hAnsi="Times New Roman" w:eastAsia="宋体" w:cs="Times New Roman"/>
                <w:b/>
                <w:bCs/>
                <w:sz w:val="24"/>
                <w:szCs w:val="24"/>
                <w:lang w:val="en-US" w:eastAsia="zh-CN"/>
              </w:rPr>
              <w:t>环境风险分析结论</w:t>
            </w:r>
          </w:p>
          <w:p w14:paraId="2315B5B6">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经过风险分析和评价得出结论：本项目事故风险水平较低，在进一步采取安全防范措施和事故应急预案后，满足国家相关规定。项目对厂外环境的风险影响处于可以接受的范围内，但企业仍需要提高风险管理水平和强化风险防范措施。</w:t>
            </w:r>
          </w:p>
          <w:p w14:paraId="6617CAEF">
            <w:pPr>
              <w:numPr>
                <w:ilvl w:val="0"/>
                <w:numId w:val="0"/>
              </w:numPr>
              <w:bidi w:val="0"/>
              <w:spacing w:line="360" w:lineRule="auto"/>
              <w:ind w:firstLine="480" w:firstLineChars="200"/>
              <w:rPr>
                <w:rFonts w:hint="default" w:ascii="Times New Roman" w:hAnsi="Times New Roman" w:eastAsia="宋体" w:cs="Times New Roman"/>
                <w:b/>
                <w:bCs/>
                <w:color w:val="FF0000"/>
                <w:sz w:val="24"/>
                <w:szCs w:val="24"/>
                <w:lang w:val="en-US" w:eastAsia="zh-CN"/>
              </w:rPr>
            </w:pPr>
            <w:r>
              <w:rPr>
                <w:rFonts w:hint="default" w:ascii="Times New Roman" w:hAnsi="Times New Roman" w:eastAsia="宋体" w:cs="Times New Roman"/>
                <w:sz w:val="24"/>
                <w:szCs w:val="24"/>
                <w:lang w:val="en-US" w:eastAsia="zh-CN"/>
              </w:rPr>
              <w:t>因此，只要严格遵守各项安全操作规程和制度，加强安全管理，在落实一系列事故防范措施，制定完备</w:t>
            </w:r>
            <w:r>
              <w:rPr>
                <w:rFonts w:hint="default" w:ascii="Times New Roman" w:hAnsi="Times New Roman" w:eastAsia="宋体" w:cs="Times New Roman"/>
                <w:color w:val="auto"/>
                <w:sz w:val="24"/>
                <w:szCs w:val="24"/>
                <w:lang w:val="en-US" w:eastAsia="zh-CN"/>
              </w:rPr>
              <w:t>的环境风险应急预案和应急组织结构，保证事故防范措施等的前提下，本项目环境风险可防控</w:t>
            </w:r>
            <w:r>
              <w:rPr>
                <w:rFonts w:hint="eastAsia" w:ascii="Times New Roman" w:hAnsi="Times New Roman" w:eastAsia="宋体" w:cs="Times New Roman"/>
                <w:color w:val="auto"/>
                <w:sz w:val="24"/>
                <w:szCs w:val="24"/>
                <w:lang w:val="en-US" w:eastAsia="zh-CN"/>
              </w:rPr>
              <w:t>。</w:t>
            </w:r>
          </w:p>
          <w:p w14:paraId="180CCB9F">
            <w:pPr>
              <w:numPr>
                <w:ilvl w:val="0"/>
                <w:numId w:val="50"/>
              </w:numPr>
              <w:bidi w:val="0"/>
              <w:spacing w:line="360" w:lineRule="auto"/>
              <w:ind w:left="0" w:leftChars="0" w:firstLine="482" w:firstLineChars="200"/>
              <w:rPr>
                <w:rFonts w:hint="default" w:ascii="Times New Roman" w:hAnsi="Times New Roman" w:eastAsia="宋体" w:cs="Times New Roman"/>
                <w:b/>
                <w:bCs/>
                <w:sz w:val="24"/>
                <w:szCs w:val="24"/>
                <w:lang w:val="en-US" w:eastAsia="zh-CN"/>
              </w:rPr>
            </w:pPr>
            <w:r>
              <w:rPr>
                <w:rFonts w:hint="default" w:ascii="Times New Roman" w:hAnsi="Times New Roman" w:eastAsia="宋体" w:cs="Times New Roman"/>
                <w:b/>
                <w:bCs/>
                <w:sz w:val="24"/>
                <w:szCs w:val="24"/>
                <w:lang w:val="en-US" w:eastAsia="zh-CN"/>
              </w:rPr>
              <w:t>生态环境</w:t>
            </w:r>
          </w:p>
          <w:p w14:paraId="2EEA4112">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eastAsia" w:cs="Times New Roman"/>
                <w:sz w:val="24"/>
                <w:szCs w:val="24"/>
                <w:lang w:val="en-US" w:eastAsia="zh-CN"/>
              </w:rPr>
              <w:t>本</w:t>
            </w:r>
            <w:r>
              <w:rPr>
                <w:rFonts w:hint="default" w:ascii="Times New Roman" w:hAnsi="Times New Roman" w:eastAsia="宋体" w:cs="Times New Roman"/>
                <w:sz w:val="24"/>
                <w:szCs w:val="24"/>
                <w:lang w:val="en-US" w:eastAsia="zh-CN"/>
              </w:rPr>
              <w:t>项目所在地主要为城市生态环境</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区域内人员、工业企业活动频繁</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不存在原生植被</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所在区域内无野生动物及珍稀植物</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无生态环境保护目标存在。</w:t>
            </w:r>
          </w:p>
          <w:p w14:paraId="7002A847">
            <w:pPr>
              <w:numPr>
                <w:ilvl w:val="0"/>
                <w:numId w:val="50"/>
              </w:numPr>
              <w:bidi w:val="0"/>
              <w:spacing w:line="360" w:lineRule="auto"/>
              <w:ind w:left="0" w:leftChars="0" w:firstLine="482" w:firstLineChars="200"/>
              <w:rPr>
                <w:rFonts w:hint="default" w:ascii="Times New Roman" w:hAnsi="Times New Roman" w:eastAsia="宋体" w:cs="Times New Roman"/>
                <w:b/>
                <w:bCs/>
                <w:sz w:val="24"/>
                <w:szCs w:val="24"/>
                <w:lang w:val="en-US" w:eastAsia="zh-CN"/>
              </w:rPr>
            </w:pPr>
            <w:r>
              <w:rPr>
                <w:rFonts w:hint="default" w:ascii="Times New Roman" w:hAnsi="Times New Roman" w:eastAsia="宋体" w:cs="Times New Roman"/>
                <w:b/>
                <w:bCs/>
                <w:sz w:val="24"/>
                <w:szCs w:val="24"/>
                <w:lang w:val="en-US" w:eastAsia="zh-CN"/>
              </w:rPr>
              <w:t>环境管理和环保标识牌要求</w:t>
            </w:r>
          </w:p>
          <w:p w14:paraId="1C9B09BB">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环境管理是组成落实、检查和监督</w:t>
            </w:r>
            <w:r>
              <w:rPr>
                <w:rFonts w:hint="eastAsia" w:cs="Times New Roman"/>
                <w:sz w:val="24"/>
                <w:szCs w:val="24"/>
                <w:lang w:val="en-US" w:eastAsia="zh-CN"/>
              </w:rPr>
              <w:t>本</w:t>
            </w:r>
            <w:r>
              <w:rPr>
                <w:rFonts w:hint="default" w:ascii="Times New Roman" w:hAnsi="Times New Roman" w:eastAsia="宋体" w:cs="Times New Roman"/>
                <w:sz w:val="24"/>
                <w:szCs w:val="24"/>
                <w:lang w:val="en-US" w:eastAsia="zh-CN"/>
              </w:rPr>
              <w:t>项目的一项生产监督活动，必须纳入日常性的生产管理轨道和重要的议事日程。建设项目在投产营运期间</w:t>
            </w:r>
            <w:r>
              <w:rPr>
                <w:rFonts w:hint="eastAsia" w:cs="Times New Roman"/>
                <w:sz w:val="24"/>
                <w:szCs w:val="24"/>
                <w:lang w:val="en-US" w:eastAsia="zh-CN"/>
              </w:rPr>
              <w:t>会</w:t>
            </w:r>
            <w:r>
              <w:rPr>
                <w:rFonts w:hint="default" w:ascii="Times New Roman" w:hAnsi="Times New Roman" w:eastAsia="宋体" w:cs="Times New Roman"/>
                <w:sz w:val="24"/>
                <w:szCs w:val="24"/>
                <w:lang w:val="en-US" w:eastAsia="zh-CN"/>
              </w:rPr>
              <w:t>对周围环境产生一定的影响，因此必须采取一定措施将不利影响减轻或消除，为此需要建立环境保护管理机构，及时掌握项目的施工或运行所造成的环境影响程度，了解环境保护措施所获取的效益，以便进行必要的调整和补充。</w:t>
            </w:r>
          </w:p>
          <w:p w14:paraId="476B096F">
            <w:pPr>
              <w:numPr>
                <w:ilvl w:val="0"/>
                <w:numId w:val="74"/>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环境管理</w:t>
            </w:r>
          </w:p>
          <w:p w14:paraId="24A87260">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本工程在整个工程的生产过程中会产生废气、噪声、固废等污染因素，会对周围环境造成一定的影响，因此除工程本身配套的污染防治措施之外，必须把环境保护工作纳入正常的生产管理之中，建立健全各项管理和监测制度，设置环境保护管理机构和制定科学的监控计划，确保项目在工程施工和运行期间各项环保治理措施自行认真落实，做到最大限度地减少污染。</w:t>
            </w:r>
          </w:p>
          <w:p w14:paraId="463270F8">
            <w:pPr>
              <w:numPr>
                <w:ilvl w:val="0"/>
                <w:numId w:val="75"/>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环境管理的原则</w:t>
            </w:r>
          </w:p>
          <w:p w14:paraId="18002EC0">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项目建设中，是以保护环境和资源、同时实施环境保护建设与改善、实现区域经济可持续发展为目标。在项目实施的各阶段，将遵循下述基本原则。</w:t>
            </w:r>
          </w:p>
          <w:p w14:paraId="7447CCB6">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①符合区域建设总体规划及区域与企业长远利益；</w:t>
            </w:r>
          </w:p>
          <w:p w14:paraId="64BC56E6">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②国家有关污染控制的法律、法规标准；</w:t>
            </w:r>
          </w:p>
          <w:p w14:paraId="2016D77F">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③国家和当地保护矿产资源、水资源、改善生态环境的要求；</w:t>
            </w:r>
          </w:p>
          <w:p w14:paraId="759DB9B8">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④国家和当地环境管理的政策要求；</w:t>
            </w:r>
          </w:p>
          <w:p w14:paraId="49C7BD5F">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⑤国家和当地环境可持续发展要求。</w:t>
            </w:r>
          </w:p>
          <w:p w14:paraId="7E785E27">
            <w:pPr>
              <w:numPr>
                <w:ilvl w:val="0"/>
                <w:numId w:val="75"/>
              </w:numPr>
              <w:bidi w:val="0"/>
              <w:spacing w:line="360" w:lineRule="auto"/>
              <w:ind w:left="0" w:leftChars="0"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环境管理体系</w:t>
            </w:r>
          </w:p>
          <w:p w14:paraId="1C439F4B">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为加强环境保护管理工作，</w:t>
            </w:r>
            <w:r>
              <w:rPr>
                <w:rFonts w:hint="eastAsia" w:cs="Times New Roman"/>
                <w:sz w:val="24"/>
                <w:szCs w:val="24"/>
                <w:lang w:val="en-US" w:eastAsia="zh-CN"/>
              </w:rPr>
              <w:t>企业</w:t>
            </w:r>
            <w:r>
              <w:rPr>
                <w:rFonts w:hint="default" w:ascii="Times New Roman" w:hAnsi="Times New Roman" w:eastAsia="宋体" w:cs="Times New Roman"/>
                <w:sz w:val="24"/>
                <w:szCs w:val="24"/>
                <w:lang w:val="en-US" w:eastAsia="zh-CN"/>
              </w:rPr>
              <w:t>在生产过程中应设置专门的环境保护管理科室，负责组织、落实、监督本项目的环境保护管理工作，并在主要污染工序设专门兼职环保管理员。企业应制定《环境保护管理制度》，对环保工作要有明确的职责分工。</w:t>
            </w:r>
          </w:p>
          <w:p w14:paraId="2B47AF88">
            <w:pPr>
              <w:numPr>
                <w:ilvl w:val="0"/>
                <w:numId w:val="74"/>
              </w:numPr>
              <w:bidi w:val="0"/>
              <w:spacing w:line="360" w:lineRule="auto"/>
              <w:ind w:left="0" w:leftChars="0"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排污口规范化设置</w:t>
            </w:r>
          </w:p>
          <w:p w14:paraId="7297F6C1">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根据国家标准《环境保护图形标志</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排放口</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源</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》和国家环保总局《排污口规范化整治要求</w:t>
            </w:r>
            <w:r>
              <w:rPr>
                <w:rFonts w:hint="eastAsia" w:cs="Times New Roman"/>
                <w:sz w:val="24"/>
                <w:szCs w:val="24"/>
                <w:lang w:val="en-US" w:eastAsia="zh-CN"/>
              </w:rPr>
              <w:t>（试行）》</w:t>
            </w:r>
            <w:r>
              <w:rPr>
                <w:rFonts w:hint="default" w:ascii="Times New Roman" w:hAnsi="Times New Roman" w:eastAsia="宋体" w:cs="Times New Roman"/>
                <w:sz w:val="24"/>
                <w:szCs w:val="24"/>
                <w:lang w:val="en-US" w:eastAsia="zh-CN"/>
              </w:rPr>
              <w:t>的技术要求，企业所有排放口</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包括水、气、声</w:t>
            </w:r>
            <w:r>
              <w:rPr>
                <w:rFonts w:hint="eastAsia" w:cs="Times New Roman"/>
                <w:sz w:val="24"/>
                <w:szCs w:val="24"/>
                <w:lang w:val="en-US" w:eastAsia="zh-CN"/>
              </w:rPr>
              <w:t>及</w:t>
            </w:r>
            <w:r>
              <w:rPr>
                <w:rFonts w:hint="default" w:ascii="Times New Roman" w:hAnsi="Times New Roman" w:eastAsia="宋体" w:cs="Times New Roman"/>
                <w:sz w:val="24"/>
                <w:szCs w:val="24"/>
                <w:lang w:val="en-US" w:eastAsia="zh-CN"/>
              </w:rPr>
              <w:t>渣</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必须</w:t>
            </w:r>
            <w:r>
              <w:rPr>
                <w:rFonts w:hint="eastAsia" w:ascii="宋体" w:hAnsi="宋体" w:eastAsia="宋体" w:cs="宋体"/>
                <w:sz w:val="24"/>
                <w:szCs w:val="24"/>
                <w:lang w:val="en-US" w:eastAsia="zh-CN"/>
              </w:rPr>
              <w:t>按照“</w:t>
            </w:r>
            <w:r>
              <w:rPr>
                <w:rFonts w:hint="default" w:ascii="Times New Roman" w:hAnsi="Times New Roman" w:eastAsia="宋体" w:cs="Times New Roman"/>
                <w:sz w:val="24"/>
                <w:szCs w:val="24"/>
                <w:lang w:val="en-US" w:eastAsia="zh-CN"/>
              </w:rPr>
              <w:t>便于采样、便于计量检测、便于日常现场监督检查</w:t>
            </w:r>
            <w:r>
              <w:rPr>
                <w:rFonts w:hint="eastAsia" w:ascii="宋体" w:hAnsi="宋体" w:eastAsia="宋体" w:cs="宋体"/>
                <w:sz w:val="24"/>
                <w:szCs w:val="24"/>
                <w:lang w:val="en-US" w:eastAsia="zh-CN"/>
              </w:rPr>
              <w:t>”的原</w:t>
            </w:r>
            <w:r>
              <w:rPr>
                <w:rFonts w:hint="default" w:ascii="Times New Roman" w:hAnsi="Times New Roman" w:eastAsia="宋体" w:cs="Times New Roman"/>
                <w:sz w:val="24"/>
                <w:szCs w:val="24"/>
                <w:lang w:val="en-US" w:eastAsia="zh-CN"/>
              </w:rPr>
              <w:t>则和规范化要求，设置与之相适应的环境保护图形标志牌，绘制企业排污口分布图，同时对污水排放口安装流量计，对治理设施安装运行监控装置、排污口规范化要符合有关要求。</w:t>
            </w:r>
          </w:p>
          <w:p w14:paraId="12D53FD3">
            <w:pPr>
              <w:numPr>
                <w:ilvl w:val="0"/>
                <w:numId w:val="76"/>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废水排放口</w:t>
            </w:r>
          </w:p>
          <w:p w14:paraId="2C7C9B2D">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根据《排污口设置及规范化整治管理办法》第十二条规定，对排污口进行规范化整治，以满足当地环境主管部门的管理要求。企业必须做好地下管网的铺设工作，实现雨污分流。本项目建成后，设置一个污水总排放口，应将废水集中后通过厂内废水处理站处理后达标排放。</w:t>
            </w:r>
          </w:p>
          <w:p w14:paraId="06EBF50E">
            <w:pPr>
              <w:numPr>
                <w:ilvl w:val="0"/>
                <w:numId w:val="76"/>
              </w:numPr>
              <w:bidi w:val="0"/>
              <w:spacing w:line="360" w:lineRule="auto"/>
              <w:ind w:left="0" w:leftChars="0"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废气排放口</w:t>
            </w:r>
          </w:p>
          <w:p w14:paraId="5E342E31">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建设单位需按《排污口设置及规范化整治管理办法》要求进行废水排污口规范化设计。排气筒</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烟囱</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应设置便于采样、监测的采样口和采样监测平台。有净化设施的，应在其进出口分别设置采样口。环境保护图形标志牌应设在排气筒附近地面醒目处。</w:t>
            </w:r>
          </w:p>
          <w:p w14:paraId="3F87C2C0">
            <w:pPr>
              <w:numPr>
                <w:ilvl w:val="0"/>
                <w:numId w:val="76"/>
              </w:numPr>
              <w:bidi w:val="0"/>
              <w:spacing w:line="360" w:lineRule="auto"/>
              <w:ind w:left="0" w:leftChars="0"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固定噪声污染源扰民处规范化整治</w:t>
            </w:r>
          </w:p>
          <w:p w14:paraId="46B6F056">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对固定噪声污染源（即其产生的噪声超标国家标准并干扰他人正常生活、工作和学习的固定噪声源）对边界影响最大处，设置环境噪声监测点，并在该处附近醒目处设置环境保护图形标志牌；边界上有若干个在声环境中相对独立的固定噪声污染源扰民处，应分别设置环境噪声监测点和环境保护图形标志牌。</w:t>
            </w:r>
          </w:p>
          <w:p w14:paraId="0F53C26D">
            <w:pPr>
              <w:numPr>
                <w:ilvl w:val="0"/>
                <w:numId w:val="76"/>
              </w:numPr>
              <w:bidi w:val="0"/>
              <w:spacing w:line="360" w:lineRule="auto"/>
              <w:ind w:left="0" w:leftChars="0"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固废堆放规范化整治</w:t>
            </w:r>
          </w:p>
          <w:p w14:paraId="38B575A7">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固废堆场应设置环境保护图形标志牌，将</w:t>
            </w:r>
            <w:r>
              <w:rPr>
                <w:rFonts w:hint="eastAsia" w:cs="Times New Roman"/>
                <w:sz w:val="24"/>
                <w:szCs w:val="24"/>
                <w:lang w:val="en-US" w:eastAsia="zh-CN"/>
              </w:rPr>
              <w:t>产生的</w:t>
            </w:r>
            <w:r>
              <w:rPr>
                <w:rFonts w:hint="default" w:ascii="Times New Roman" w:hAnsi="Times New Roman" w:eastAsia="宋体" w:cs="Times New Roman"/>
                <w:sz w:val="24"/>
                <w:szCs w:val="24"/>
                <w:lang w:val="en-US" w:eastAsia="zh-CN"/>
              </w:rPr>
              <w:t>生活垃圾、工业固废等分开堆放，做到防火、防扬散、防渗漏，确保不对周围环境形成二次污染。一般工业固废暂存库及危险废物暂存库应根据（GB15562.2-1995）《环境保护图形标志—固体废物贮存（处置）场》修改单（2023-07-01）的要求设置</w:t>
            </w:r>
            <w:r>
              <w:rPr>
                <w:rFonts w:hint="eastAsia" w:cs="Times New Roman"/>
                <w:sz w:val="24"/>
                <w:szCs w:val="24"/>
                <w:lang w:val="en-US" w:eastAsia="zh-CN"/>
              </w:rPr>
              <w:t>相应</w:t>
            </w:r>
            <w:r>
              <w:rPr>
                <w:rFonts w:hint="default" w:ascii="Times New Roman" w:hAnsi="Times New Roman" w:eastAsia="宋体" w:cs="Times New Roman"/>
                <w:sz w:val="24"/>
                <w:szCs w:val="24"/>
                <w:lang w:val="en-US" w:eastAsia="zh-CN"/>
              </w:rPr>
              <w:t>环境保护图形标志，标志牌应设在与之功能相应的醒目处，标志牌必须保护持清晰、完整。当发现形象损坏、颜色污染或有变化、退色等不符合本标准的情况，应及时修复或更换。检查时间至少每半年一次。</w:t>
            </w:r>
          </w:p>
          <w:p w14:paraId="76CA0543">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eastAsia" w:cs="Times New Roman"/>
                <w:sz w:val="24"/>
                <w:szCs w:val="24"/>
                <w:lang w:val="en-US" w:eastAsia="zh-CN"/>
              </w:rPr>
              <w:t>本</w:t>
            </w:r>
            <w:r>
              <w:rPr>
                <w:rFonts w:hint="default" w:ascii="Times New Roman" w:hAnsi="Times New Roman" w:eastAsia="宋体" w:cs="Times New Roman"/>
                <w:sz w:val="24"/>
                <w:szCs w:val="24"/>
                <w:lang w:val="en-US" w:eastAsia="zh-CN"/>
              </w:rPr>
              <w:t>项</w:t>
            </w:r>
            <w:r>
              <w:rPr>
                <w:rFonts w:hint="eastAsia" w:ascii="宋体" w:hAnsi="宋体" w:eastAsia="宋体" w:cs="宋体"/>
                <w:sz w:val="24"/>
                <w:szCs w:val="24"/>
                <w:lang w:val="en-US" w:eastAsia="zh-CN"/>
              </w:rPr>
              <w:t>目区“三废”及</w:t>
            </w:r>
            <w:r>
              <w:rPr>
                <w:rFonts w:hint="default" w:ascii="Times New Roman" w:hAnsi="Times New Roman" w:eastAsia="宋体" w:cs="Times New Roman"/>
                <w:sz w:val="24"/>
                <w:szCs w:val="24"/>
                <w:lang w:val="en-US" w:eastAsia="zh-CN"/>
              </w:rPr>
              <w:t>噪声排放点应设置明显标志，标志的设置应执行《环境保护图形标志排放口（源）》（GBl5562.1-1995）的有关规定。排污口规范化整治应符合国家、省、市有关规定，并通过主管环保部门认证和验收。排放口图形标志见表4-</w:t>
            </w:r>
            <w:r>
              <w:rPr>
                <w:rFonts w:hint="eastAsia" w:cs="Times New Roman"/>
                <w:sz w:val="24"/>
                <w:szCs w:val="24"/>
                <w:lang w:val="en-US" w:eastAsia="zh-CN"/>
              </w:rPr>
              <w:t>23</w:t>
            </w:r>
            <w:r>
              <w:rPr>
                <w:rFonts w:hint="default" w:ascii="Times New Roman" w:hAnsi="Times New Roman" w:eastAsia="宋体" w:cs="Times New Roman"/>
                <w:sz w:val="24"/>
                <w:szCs w:val="24"/>
                <w:lang w:val="en-US" w:eastAsia="zh-CN"/>
              </w:rPr>
              <w:t>。</w:t>
            </w:r>
          </w:p>
          <w:p w14:paraId="110C1D98">
            <w:pPr>
              <w:numPr>
                <w:ilvl w:val="0"/>
                <w:numId w:val="0"/>
              </w:numPr>
              <w:bidi w:val="0"/>
              <w:spacing w:line="36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lang w:val="en-US" w:eastAsia="zh-CN"/>
              </w:rPr>
              <w:t>表4-</w:t>
            </w:r>
            <w:r>
              <w:rPr>
                <w:rFonts w:hint="eastAsia" w:cs="Times New Roman"/>
                <w:b/>
                <w:bCs/>
                <w:sz w:val="21"/>
                <w:szCs w:val="21"/>
                <w:lang w:val="en-US" w:eastAsia="zh-CN"/>
              </w:rPr>
              <w:t xml:space="preserve">23 </w:t>
            </w:r>
            <w:r>
              <w:rPr>
                <w:rFonts w:hint="default" w:ascii="Times New Roman" w:hAnsi="Times New Roman" w:eastAsia="宋体" w:cs="Times New Roman"/>
                <w:b/>
                <w:bCs/>
                <w:sz w:val="21"/>
                <w:szCs w:val="21"/>
                <w:lang w:val="en-US" w:eastAsia="zh-CN"/>
              </w:rPr>
              <w:t>排放口图形标志</w:t>
            </w:r>
          </w:p>
          <w:tbl>
            <w:tblPr>
              <w:tblStyle w:val="28"/>
              <w:tblW w:w="832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30"/>
              <w:gridCol w:w="1955"/>
              <w:gridCol w:w="1955"/>
              <w:gridCol w:w="1700"/>
              <w:gridCol w:w="1983"/>
            </w:tblGrid>
            <w:tr w14:paraId="1E571E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0" w:type="dxa"/>
                  <w:vAlign w:val="center"/>
                </w:tcPr>
                <w:p w14:paraId="27258FC4">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vertAlign w:val="baseline"/>
                      <w:lang w:val="en-US" w:eastAsia="zh-CN"/>
                    </w:rPr>
                    <w:t>序号</w:t>
                  </w:r>
                </w:p>
              </w:tc>
              <w:tc>
                <w:tcPr>
                  <w:tcW w:w="1955" w:type="dxa"/>
                  <w:vAlign w:val="center"/>
                </w:tcPr>
                <w:p w14:paraId="5014A135">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vertAlign w:val="baseline"/>
                      <w:lang w:val="en-US" w:eastAsia="zh-CN"/>
                    </w:rPr>
                    <w:t>提示图形符号</w:t>
                  </w:r>
                </w:p>
              </w:tc>
              <w:tc>
                <w:tcPr>
                  <w:tcW w:w="1955" w:type="dxa"/>
                  <w:vAlign w:val="center"/>
                </w:tcPr>
                <w:p w14:paraId="7DEA995B">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vertAlign w:val="baseline"/>
                      <w:lang w:val="en-US" w:eastAsia="zh-CN"/>
                    </w:rPr>
                    <w:t>警告图形符号</w:t>
                  </w:r>
                </w:p>
              </w:tc>
              <w:tc>
                <w:tcPr>
                  <w:tcW w:w="1700" w:type="dxa"/>
                  <w:vAlign w:val="center"/>
                </w:tcPr>
                <w:p w14:paraId="40F680B1">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vertAlign w:val="baseline"/>
                      <w:lang w:val="en-US" w:eastAsia="zh-CN"/>
                    </w:rPr>
                    <w:t>名称</w:t>
                  </w:r>
                </w:p>
              </w:tc>
              <w:tc>
                <w:tcPr>
                  <w:tcW w:w="1983" w:type="dxa"/>
                  <w:vAlign w:val="center"/>
                </w:tcPr>
                <w:p w14:paraId="3314E816">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vertAlign w:val="baseline"/>
                      <w:lang w:val="en-US" w:eastAsia="zh-CN"/>
                    </w:rPr>
                    <w:t>功能</w:t>
                  </w:r>
                </w:p>
              </w:tc>
            </w:tr>
            <w:tr w14:paraId="100C186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0" w:type="dxa"/>
                  <w:vAlign w:val="center"/>
                </w:tcPr>
                <w:p w14:paraId="177CC2CB">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eastAsia" w:cs="Times New Roman"/>
                      <w:sz w:val="21"/>
                      <w:szCs w:val="21"/>
                      <w:vertAlign w:val="baseline"/>
                      <w:lang w:val="en-US" w:eastAsia="zh-CN"/>
                    </w:rPr>
                    <w:t>1</w:t>
                  </w:r>
                </w:p>
              </w:tc>
              <w:tc>
                <w:tcPr>
                  <w:tcW w:w="1955" w:type="dxa"/>
                  <w:vAlign w:val="center"/>
                </w:tcPr>
                <w:p w14:paraId="4EF0D63D">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sz w:val="21"/>
                      <w:szCs w:val="21"/>
                    </w:rPr>
                    <w:drawing>
                      <wp:inline distT="0" distB="0" distL="114300" distR="114300">
                        <wp:extent cx="918845" cy="918845"/>
                        <wp:effectExtent l="0" t="0" r="14605" b="14605"/>
                        <wp:docPr id="6"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5"/>
                                <pic:cNvPicPr>
                                  <a:picLocks noChangeAspect="1"/>
                                </pic:cNvPicPr>
                              </pic:nvPicPr>
                              <pic:blipFill>
                                <a:blip r:embed="rId25"/>
                                <a:stretch>
                                  <a:fillRect/>
                                </a:stretch>
                              </pic:blipFill>
                              <pic:spPr>
                                <a:xfrm>
                                  <a:off x="0" y="0"/>
                                  <a:ext cx="918845" cy="918845"/>
                                </a:xfrm>
                                <a:prstGeom prst="rect">
                                  <a:avLst/>
                                </a:prstGeom>
                                <a:noFill/>
                                <a:ln>
                                  <a:noFill/>
                                </a:ln>
                              </pic:spPr>
                            </pic:pic>
                          </a:graphicData>
                        </a:graphic>
                      </wp:inline>
                    </w:drawing>
                  </w:r>
                </w:p>
              </w:tc>
              <w:tc>
                <w:tcPr>
                  <w:tcW w:w="1955" w:type="dxa"/>
                  <w:vAlign w:val="center"/>
                </w:tcPr>
                <w:p w14:paraId="69EA0E81">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sz w:val="21"/>
                      <w:szCs w:val="21"/>
                    </w:rPr>
                    <w:drawing>
                      <wp:inline distT="0" distB="0" distL="114300" distR="114300">
                        <wp:extent cx="918210" cy="744220"/>
                        <wp:effectExtent l="0" t="0" r="15240" b="17780"/>
                        <wp:docPr id="86"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图片 9"/>
                                <pic:cNvPicPr>
                                  <a:picLocks noChangeAspect="1"/>
                                </pic:cNvPicPr>
                              </pic:nvPicPr>
                              <pic:blipFill>
                                <a:blip r:embed="rId26"/>
                                <a:stretch>
                                  <a:fillRect/>
                                </a:stretch>
                              </pic:blipFill>
                              <pic:spPr>
                                <a:xfrm>
                                  <a:off x="0" y="0"/>
                                  <a:ext cx="918210" cy="744220"/>
                                </a:xfrm>
                                <a:prstGeom prst="rect">
                                  <a:avLst/>
                                </a:prstGeom>
                                <a:noFill/>
                                <a:ln>
                                  <a:noFill/>
                                </a:ln>
                              </pic:spPr>
                            </pic:pic>
                          </a:graphicData>
                        </a:graphic>
                      </wp:inline>
                    </w:drawing>
                  </w:r>
                </w:p>
              </w:tc>
              <w:tc>
                <w:tcPr>
                  <w:tcW w:w="1700" w:type="dxa"/>
                  <w:vAlign w:val="center"/>
                </w:tcPr>
                <w:p w14:paraId="09BEABEA">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废气排放口</w:t>
                  </w:r>
                </w:p>
              </w:tc>
              <w:tc>
                <w:tcPr>
                  <w:tcW w:w="1983" w:type="dxa"/>
                  <w:vAlign w:val="center"/>
                </w:tcPr>
                <w:p w14:paraId="40AE1A74">
                  <w:pPr>
                    <w:numPr>
                      <w:ilvl w:val="0"/>
                      <w:numId w:val="0"/>
                    </w:numPr>
                    <w:bidi w:val="0"/>
                    <w:spacing w:line="240" w:lineRule="auto"/>
                    <w:jc w:val="both"/>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表示废气向大气环境排放</w:t>
                  </w:r>
                </w:p>
              </w:tc>
            </w:tr>
            <w:tr w14:paraId="16FAB5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0" w:type="dxa"/>
                  <w:vAlign w:val="center"/>
                </w:tcPr>
                <w:p w14:paraId="30C1648C">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eastAsia" w:cs="Times New Roman"/>
                      <w:sz w:val="21"/>
                      <w:szCs w:val="21"/>
                      <w:vertAlign w:val="baseline"/>
                      <w:lang w:val="en-US" w:eastAsia="zh-CN"/>
                    </w:rPr>
                    <w:t>2</w:t>
                  </w:r>
                </w:p>
              </w:tc>
              <w:tc>
                <w:tcPr>
                  <w:tcW w:w="1955" w:type="dxa"/>
                  <w:vAlign w:val="center"/>
                </w:tcPr>
                <w:p w14:paraId="63E4B73C">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sz w:val="21"/>
                      <w:szCs w:val="21"/>
                    </w:rPr>
                    <w:drawing>
                      <wp:inline distT="0" distB="0" distL="114300" distR="114300">
                        <wp:extent cx="913130" cy="909955"/>
                        <wp:effectExtent l="0" t="0" r="1270" b="4445"/>
                        <wp:docPr id="8"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6"/>
                                <pic:cNvPicPr>
                                  <a:picLocks noChangeAspect="1"/>
                                </pic:cNvPicPr>
                              </pic:nvPicPr>
                              <pic:blipFill>
                                <a:blip r:embed="rId27"/>
                                <a:stretch>
                                  <a:fillRect/>
                                </a:stretch>
                              </pic:blipFill>
                              <pic:spPr>
                                <a:xfrm>
                                  <a:off x="0" y="0"/>
                                  <a:ext cx="913130" cy="909955"/>
                                </a:xfrm>
                                <a:prstGeom prst="rect">
                                  <a:avLst/>
                                </a:prstGeom>
                                <a:noFill/>
                                <a:ln>
                                  <a:noFill/>
                                </a:ln>
                              </pic:spPr>
                            </pic:pic>
                          </a:graphicData>
                        </a:graphic>
                      </wp:inline>
                    </w:drawing>
                  </w:r>
                </w:p>
              </w:tc>
              <w:tc>
                <w:tcPr>
                  <w:tcW w:w="1955" w:type="dxa"/>
                  <w:vAlign w:val="center"/>
                </w:tcPr>
                <w:p w14:paraId="76948973">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sz w:val="21"/>
                      <w:szCs w:val="21"/>
                    </w:rPr>
                    <w:drawing>
                      <wp:inline distT="0" distB="0" distL="114300" distR="114300">
                        <wp:extent cx="918210" cy="703580"/>
                        <wp:effectExtent l="0" t="0" r="15240" b="1270"/>
                        <wp:docPr id="87"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图片 10"/>
                                <pic:cNvPicPr>
                                  <a:picLocks noChangeAspect="1"/>
                                </pic:cNvPicPr>
                              </pic:nvPicPr>
                              <pic:blipFill>
                                <a:blip r:embed="rId28"/>
                                <a:stretch>
                                  <a:fillRect/>
                                </a:stretch>
                              </pic:blipFill>
                              <pic:spPr>
                                <a:xfrm>
                                  <a:off x="0" y="0"/>
                                  <a:ext cx="918210" cy="703580"/>
                                </a:xfrm>
                                <a:prstGeom prst="rect">
                                  <a:avLst/>
                                </a:prstGeom>
                                <a:noFill/>
                                <a:ln>
                                  <a:noFill/>
                                </a:ln>
                              </pic:spPr>
                            </pic:pic>
                          </a:graphicData>
                        </a:graphic>
                      </wp:inline>
                    </w:drawing>
                  </w:r>
                </w:p>
              </w:tc>
              <w:tc>
                <w:tcPr>
                  <w:tcW w:w="1700" w:type="dxa"/>
                  <w:vAlign w:val="center"/>
                </w:tcPr>
                <w:p w14:paraId="4FF97928">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一般固体废物</w:t>
                  </w:r>
                </w:p>
              </w:tc>
              <w:tc>
                <w:tcPr>
                  <w:tcW w:w="1983" w:type="dxa"/>
                  <w:vAlign w:val="center"/>
                </w:tcPr>
                <w:p w14:paraId="3EC06081">
                  <w:pPr>
                    <w:numPr>
                      <w:ilvl w:val="0"/>
                      <w:numId w:val="0"/>
                    </w:numPr>
                    <w:bidi w:val="0"/>
                    <w:spacing w:line="240" w:lineRule="auto"/>
                    <w:jc w:val="both"/>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表示一般固体废物贮存、处置场</w:t>
                  </w:r>
                </w:p>
              </w:tc>
            </w:tr>
            <w:tr w14:paraId="4581C7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0" w:type="dxa"/>
                  <w:vAlign w:val="center"/>
                </w:tcPr>
                <w:p w14:paraId="51B4D2AD">
                  <w:pPr>
                    <w:numPr>
                      <w:ilvl w:val="0"/>
                      <w:numId w:val="0"/>
                    </w:numPr>
                    <w:bidi w:val="0"/>
                    <w:spacing w:line="240" w:lineRule="auto"/>
                    <w:jc w:val="center"/>
                    <w:rPr>
                      <w:rFonts w:hint="default" w:cs="Times New Roman"/>
                      <w:sz w:val="21"/>
                      <w:szCs w:val="21"/>
                      <w:vertAlign w:val="baseline"/>
                      <w:lang w:val="en-US" w:eastAsia="zh-CN"/>
                    </w:rPr>
                  </w:pPr>
                  <w:r>
                    <w:rPr>
                      <w:rFonts w:hint="eastAsia" w:cs="Times New Roman"/>
                      <w:sz w:val="21"/>
                      <w:szCs w:val="21"/>
                      <w:vertAlign w:val="baseline"/>
                      <w:lang w:val="en-US" w:eastAsia="zh-CN"/>
                    </w:rPr>
                    <w:t>3</w:t>
                  </w:r>
                </w:p>
              </w:tc>
              <w:tc>
                <w:tcPr>
                  <w:tcW w:w="1955" w:type="dxa"/>
                  <w:vAlign w:val="center"/>
                </w:tcPr>
                <w:p w14:paraId="27D80E09">
                  <w:pPr>
                    <w:numPr>
                      <w:ilvl w:val="0"/>
                      <w:numId w:val="0"/>
                    </w:numPr>
                    <w:bidi w:val="0"/>
                    <w:spacing w:line="240" w:lineRule="auto"/>
                    <w:jc w:val="center"/>
                    <w:rPr>
                      <w:rFonts w:hint="eastAsia" w:eastAsia="宋体"/>
                      <w:sz w:val="21"/>
                      <w:szCs w:val="21"/>
                      <w:lang w:val="en-US" w:eastAsia="zh-CN"/>
                    </w:rPr>
                  </w:pPr>
                  <w:r>
                    <w:drawing>
                      <wp:inline distT="0" distB="0" distL="114300" distR="114300">
                        <wp:extent cx="1103630" cy="670560"/>
                        <wp:effectExtent l="0" t="0" r="1270" b="15240"/>
                        <wp:docPr id="33"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4"/>
                                <pic:cNvPicPr>
                                  <a:picLocks noChangeAspect="1"/>
                                </pic:cNvPicPr>
                              </pic:nvPicPr>
                              <pic:blipFill>
                                <a:blip r:embed="rId29"/>
                                <a:stretch>
                                  <a:fillRect/>
                                </a:stretch>
                              </pic:blipFill>
                              <pic:spPr>
                                <a:xfrm>
                                  <a:off x="0" y="0"/>
                                  <a:ext cx="1103630" cy="670560"/>
                                </a:xfrm>
                                <a:prstGeom prst="rect">
                                  <a:avLst/>
                                </a:prstGeom>
                                <a:noFill/>
                                <a:ln>
                                  <a:noFill/>
                                </a:ln>
                              </pic:spPr>
                            </pic:pic>
                          </a:graphicData>
                        </a:graphic>
                      </wp:inline>
                    </w:drawing>
                  </w:r>
                </w:p>
              </w:tc>
              <w:tc>
                <w:tcPr>
                  <w:tcW w:w="1955" w:type="dxa"/>
                  <w:vAlign w:val="center"/>
                </w:tcPr>
                <w:p w14:paraId="3CA815DE">
                  <w:pPr>
                    <w:numPr>
                      <w:ilvl w:val="0"/>
                      <w:numId w:val="0"/>
                    </w:numPr>
                    <w:bidi w:val="0"/>
                    <w:spacing w:line="240" w:lineRule="auto"/>
                    <w:jc w:val="center"/>
                    <w:rPr>
                      <w:sz w:val="21"/>
                      <w:szCs w:val="21"/>
                    </w:rPr>
                  </w:pPr>
                  <w:r>
                    <w:drawing>
                      <wp:inline distT="0" distB="0" distL="114300" distR="114300">
                        <wp:extent cx="827405" cy="953135"/>
                        <wp:effectExtent l="0" t="0" r="10795" b="18415"/>
                        <wp:docPr id="31"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
                                <pic:cNvPicPr>
                                  <a:picLocks noChangeAspect="1"/>
                                </pic:cNvPicPr>
                              </pic:nvPicPr>
                              <pic:blipFill>
                                <a:blip r:embed="rId30"/>
                                <a:stretch>
                                  <a:fillRect/>
                                </a:stretch>
                              </pic:blipFill>
                              <pic:spPr>
                                <a:xfrm>
                                  <a:off x="0" y="0"/>
                                  <a:ext cx="827405" cy="953135"/>
                                </a:xfrm>
                                <a:prstGeom prst="rect">
                                  <a:avLst/>
                                </a:prstGeom>
                                <a:noFill/>
                                <a:ln>
                                  <a:noFill/>
                                </a:ln>
                              </pic:spPr>
                            </pic:pic>
                          </a:graphicData>
                        </a:graphic>
                      </wp:inline>
                    </w:drawing>
                  </w:r>
                </w:p>
              </w:tc>
              <w:tc>
                <w:tcPr>
                  <w:tcW w:w="1700" w:type="dxa"/>
                  <w:vAlign w:val="center"/>
                </w:tcPr>
                <w:p w14:paraId="2EE02DA0">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危险废物</w:t>
                  </w:r>
                </w:p>
              </w:tc>
              <w:tc>
                <w:tcPr>
                  <w:tcW w:w="1983" w:type="dxa"/>
                  <w:vAlign w:val="center"/>
                </w:tcPr>
                <w:p w14:paraId="43086B5F">
                  <w:pPr>
                    <w:numPr>
                      <w:ilvl w:val="0"/>
                      <w:numId w:val="0"/>
                    </w:numPr>
                    <w:bidi w:val="0"/>
                    <w:spacing w:line="240" w:lineRule="auto"/>
                    <w:jc w:val="both"/>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表示危险废物贮存、处置场</w:t>
                  </w:r>
                </w:p>
              </w:tc>
            </w:tr>
            <w:tr w14:paraId="799144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0" w:type="dxa"/>
                  <w:vAlign w:val="center"/>
                </w:tcPr>
                <w:p w14:paraId="39F4E32E">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eastAsia" w:cs="Times New Roman"/>
                      <w:sz w:val="21"/>
                      <w:szCs w:val="21"/>
                      <w:vertAlign w:val="baseline"/>
                      <w:lang w:val="en-US" w:eastAsia="zh-CN"/>
                    </w:rPr>
                    <w:t>4</w:t>
                  </w:r>
                </w:p>
              </w:tc>
              <w:tc>
                <w:tcPr>
                  <w:tcW w:w="1955" w:type="dxa"/>
                  <w:vAlign w:val="center"/>
                </w:tcPr>
                <w:p w14:paraId="2D33BE6C">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sz w:val="21"/>
                      <w:szCs w:val="21"/>
                    </w:rPr>
                    <w:drawing>
                      <wp:inline distT="0" distB="0" distL="114300" distR="114300">
                        <wp:extent cx="908685" cy="908685"/>
                        <wp:effectExtent l="0" t="0" r="5715" b="5715"/>
                        <wp:docPr id="61"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图片 7"/>
                                <pic:cNvPicPr>
                                  <a:picLocks noChangeAspect="1"/>
                                </pic:cNvPicPr>
                              </pic:nvPicPr>
                              <pic:blipFill>
                                <a:blip r:embed="rId31"/>
                                <a:stretch>
                                  <a:fillRect/>
                                </a:stretch>
                              </pic:blipFill>
                              <pic:spPr>
                                <a:xfrm>
                                  <a:off x="0" y="0"/>
                                  <a:ext cx="908685" cy="908685"/>
                                </a:xfrm>
                                <a:prstGeom prst="rect">
                                  <a:avLst/>
                                </a:prstGeom>
                                <a:noFill/>
                                <a:ln>
                                  <a:noFill/>
                                </a:ln>
                              </pic:spPr>
                            </pic:pic>
                          </a:graphicData>
                        </a:graphic>
                      </wp:inline>
                    </w:drawing>
                  </w:r>
                </w:p>
              </w:tc>
              <w:tc>
                <w:tcPr>
                  <w:tcW w:w="1955" w:type="dxa"/>
                  <w:vAlign w:val="center"/>
                </w:tcPr>
                <w:p w14:paraId="18A5DA32">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sz w:val="21"/>
                      <w:szCs w:val="21"/>
                    </w:rPr>
                    <w:drawing>
                      <wp:inline distT="0" distB="0" distL="114300" distR="114300">
                        <wp:extent cx="917575" cy="749300"/>
                        <wp:effectExtent l="0" t="0" r="15875" b="12700"/>
                        <wp:docPr id="88"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图片 11"/>
                                <pic:cNvPicPr>
                                  <a:picLocks noChangeAspect="1"/>
                                </pic:cNvPicPr>
                              </pic:nvPicPr>
                              <pic:blipFill>
                                <a:blip r:embed="rId32"/>
                                <a:stretch>
                                  <a:fillRect/>
                                </a:stretch>
                              </pic:blipFill>
                              <pic:spPr>
                                <a:xfrm>
                                  <a:off x="0" y="0"/>
                                  <a:ext cx="917575" cy="749300"/>
                                </a:xfrm>
                                <a:prstGeom prst="rect">
                                  <a:avLst/>
                                </a:prstGeom>
                                <a:noFill/>
                                <a:ln>
                                  <a:noFill/>
                                </a:ln>
                              </pic:spPr>
                            </pic:pic>
                          </a:graphicData>
                        </a:graphic>
                      </wp:inline>
                    </w:drawing>
                  </w:r>
                </w:p>
              </w:tc>
              <w:tc>
                <w:tcPr>
                  <w:tcW w:w="1700" w:type="dxa"/>
                  <w:vAlign w:val="center"/>
                </w:tcPr>
                <w:p w14:paraId="6C188166">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噪声排放源</w:t>
                  </w:r>
                </w:p>
              </w:tc>
              <w:tc>
                <w:tcPr>
                  <w:tcW w:w="1983" w:type="dxa"/>
                  <w:vAlign w:val="center"/>
                </w:tcPr>
                <w:p w14:paraId="45B65BF9">
                  <w:pPr>
                    <w:numPr>
                      <w:ilvl w:val="0"/>
                      <w:numId w:val="0"/>
                    </w:numPr>
                    <w:bidi w:val="0"/>
                    <w:spacing w:line="240" w:lineRule="auto"/>
                    <w:jc w:val="both"/>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表示噪声向外环境排放</w:t>
                  </w:r>
                </w:p>
              </w:tc>
            </w:tr>
            <w:tr w14:paraId="7C07ED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2" w:hRule="atLeast"/>
              </w:trPr>
              <w:tc>
                <w:tcPr>
                  <w:tcW w:w="730" w:type="dxa"/>
                  <w:vAlign w:val="center"/>
                </w:tcPr>
                <w:p w14:paraId="20D8D148">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eastAsia" w:cs="Times New Roman"/>
                      <w:sz w:val="21"/>
                      <w:szCs w:val="21"/>
                      <w:vertAlign w:val="baseline"/>
                      <w:lang w:val="en-US" w:eastAsia="zh-CN"/>
                    </w:rPr>
                    <w:t>5</w:t>
                  </w:r>
                </w:p>
              </w:tc>
              <w:tc>
                <w:tcPr>
                  <w:tcW w:w="1955" w:type="dxa"/>
                  <w:vAlign w:val="center"/>
                </w:tcPr>
                <w:p w14:paraId="6C5734C7">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sz w:val="21"/>
                      <w:szCs w:val="21"/>
                    </w:rPr>
                    <w:drawing>
                      <wp:inline distT="0" distB="0" distL="114300" distR="114300">
                        <wp:extent cx="871855" cy="888365"/>
                        <wp:effectExtent l="0" t="0" r="4445" b="6985"/>
                        <wp:docPr id="85"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图片 8"/>
                                <pic:cNvPicPr>
                                  <a:picLocks noChangeAspect="1"/>
                                </pic:cNvPicPr>
                              </pic:nvPicPr>
                              <pic:blipFill>
                                <a:blip r:embed="rId33"/>
                                <a:stretch>
                                  <a:fillRect/>
                                </a:stretch>
                              </pic:blipFill>
                              <pic:spPr>
                                <a:xfrm>
                                  <a:off x="0" y="0"/>
                                  <a:ext cx="871855" cy="888365"/>
                                </a:xfrm>
                                <a:prstGeom prst="rect">
                                  <a:avLst/>
                                </a:prstGeom>
                                <a:noFill/>
                                <a:ln>
                                  <a:noFill/>
                                </a:ln>
                              </pic:spPr>
                            </pic:pic>
                          </a:graphicData>
                        </a:graphic>
                      </wp:inline>
                    </w:drawing>
                  </w:r>
                </w:p>
              </w:tc>
              <w:tc>
                <w:tcPr>
                  <w:tcW w:w="1955" w:type="dxa"/>
                  <w:vAlign w:val="center"/>
                </w:tcPr>
                <w:p w14:paraId="0A08B23E">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sz w:val="21"/>
                      <w:szCs w:val="21"/>
                    </w:rPr>
                    <w:drawing>
                      <wp:inline distT="0" distB="0" distL="114300" distR="114300">
                        <wp:extent cx="917575" cy="784225"/>
                        <wp:effectExtent l="0" t="0" r="15875" b="15875"/>
                        <wp:docPr id="89"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图片 12"/>
                                <pic:cNvPicPr>
                                  <a:picLocks noChangeAspect="1"/>
                                </pic:cNvPicPr>
                              </pic:nvPicPr>
                              <pic:blipFill>
                                <a:blip r:embed="rId34"/>
                                <a:stretch>
                                  <a:fillRect/>
                                </a:stretch>
                              </pic:blipFill>
                              <pic:spPr>
                                <a:xfrm>
                                  <a:off x="0" y="0"/>
                                  <a:ext cx="917575" cy="784225"/>
                                </a:xfrm>
                                <a:prstGeom prst="rect">
                                  <a:avLst/>
                                </a:prstGeom>
                                <a:noFill/>
                                <a:ln>
                                  <a:noFill/>
                                </a:ln>
                              </pic:spPr>
                            </pic:pic>
                          </a:graphicData>
                        </a:graphic>
                      </wp:inline>
                    </w:drawing>
                  </w:r>
                </w:p>
              </w:tc>
              <w:tc>
                <w:tcPr>
                  <w:tcW w:w="1700" w:type="dxa"/>
                  <w:vAlign w:val="center"/>
                </w:tcPr>
                <w:p w14:paraId="24083EB8">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废水排放口</w:t>
                  </w:r>
                </w:p>
              </w:tc>
              <w:tc>
                <w:tcPr>
                  <w:tcW w:w="1983" w:type="dxa"/>
                  <w:vAlign w:val="center"/>
                </w:tcPr>
                <w:p w14:paraId="1AFF48B4">
                  <w:pPr>
                    <w:numPr>
                      <w:ilvl w:val="0"/>
                      <w:numId w:val="0"/>
                    </w:numPr>
                    <w:bidi w:val="0"/>
                    <w:spacing w:line="240" w:lineRule="auto"/>
                    <w:jc w:val="both"/>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表示废水向外环境排放</w:t>
                  </w:r>
                </w:p>
              </w:tc>
            </w:tr>
          </w:tbl>
          <w:p w14:paraId="5209E159">
            <w:pPr>
              <w:numPr>
                <w:ilvl w:val="0"/>
                <w:numId w:val="50"/>
              </w:numPr>
              <w:bidi w:val="0"/>
              <w:spacing w:line="360" w:lineRule="auto"/>
              <w:ind w:left="0" w:leftChars="0" w:firstLine="482" w:firstLineChars="200"/>
              <w:rPr>
                <w:rFonts w:hint="eastAsia" w:cs="Times New Roman"/>
                <w:b/>
                <w:bCs/>
                <w:sz w:val="24"/>
                <w:szCs w:val="24"/>
                <w:lang w:val="en-US" w:eastAsia="zh-CN"/>
              </w:rPr>
            </w:pPr>
            <w:r>
              <w:rPr>
                <w:rFonts w:hint="eastAsia" w:cs="Times New Roman"/>
                <w:b/>
                <w:bCs/>
                <w:sz w:val="24"/>
                <w:szCs w:val="24"/>
                <w:lang w:val="en-US" w:eastAsia="zh-CN"/>
              </w:rPr>
              <w:t>与排污许可制度衔接性分析</w:t>
            </w:r>
          </w:p>
          <w:p w14:paraId="23C51983">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eastAsia" w:cs="Times New Roman"/>
                <w:sz w:val="24"/>
                <w:szCs w:val="24"/>
                <w:lang w:val="en-US" w:eastAsia="zh-CN"/>
              </w:rPr>
              <w:t>建设单位应当在项目投入生产或使用并产生实际排污行为之前申请领取排污许可证，按照《排污许可管理办法（试行）》、《固定污染源排污许可分类管理名录》依法取得排污许可证，依法按照排污许可证申请与核发技术规范提交排污许可申请，申报排放污染物种类、排放浓度等，测算并申报污染物排放量。建设单位应当严格执行排污许可证的规定，禁止无证排污或不按证排污，并按照排污许可证的规定排放污染物，落实相关环境管理要求。</w:t>
            </w:r>
          </w:p>
        </w:tc>
      </w:tr>
      <w:tr w14:paraId="0C9516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3" w:hRule="atLeast"/>
          <w:jc w:val="center"/>
        </w:trPr>
        <w:tc>
          <w:tcPr>
            <w:tcW w:w="1116" w:type="dxa"/>
            <w:noWrap w:val="0"/>
            <w:vAlign w:val="center"/>
          </w:tcPr>
          <w:p w14:paraId="680717BB">
            <w:pPr>
              <w:bidi w:val="0"/>
              <w:spacing w:line="360" w:lineRule="auto"/>
              <w:jc w:val="center"/>
              <w:rPr>
                <w:rFonts w:hint="default" w:ascii="Times New Roman" w:hAnsi="Times New Roman" w:eastAsia="宋体" w:cs="Times New Roman"/>
                <w:b/>
                <w:bCs/>
                <w:sz w:val="24"/>
                <w:szCs w:val="24"/>
                <w:lang w:val="en-US" w:eastAsia="zh-CN"/>
              </w:rPr>
            </w:pPr>
            <w:r>
              <w:rPr>
                <w:rFonts w:hint="default" w:ascii="Times New Roman" w:hAnsi="Times New Roman" w:eastAsia="宋体" w:cs="Times New Roman"/>
                <w:b/>
                <w:bCs/>
                <w:sz w:val="24"/>
                <w:szCs w:val="24"/>
                <w:lang w:val="en-US" w:eastAsia="zh-CN"/>
              </w:rPr>
              <w:t>环保</w:t>
            </w:r>
          </w:p>
          <w:p w14:paraId="0C6CCB21">
            <w:pPr>
              <w:bidi w:val="0"/>
              <w:spacing w:line="360" w:lineRule="auto"/>
              <w:jc w:val="center"/>
              <w:rPr>
                <w:rFonts w:hint="default" w:ascii="Times New Roman" w:hAnsi="Times New Roman" w:eastAsia="宋体" w:cs="Times New Roman"/>
                <w:b/>
                <w:bCs/>
                <w:sz w:val="24"/>
                <w:szCs w:val="24"/>
                <w:lang w:val="en-US" w:eastAsia="zh-CN"/>
              </w:rPr>
            </w:pPr>
            <w:r>
              <w:rPr>
                <w:rFonts w:hint="default" w:ascii="Times New Roman" w:hAnsi="Times New Roman" w:eastAsia="宋体" w:cs="Times New Roman"/>
                <w:b/>
                <w:bCs/>
                <w:sz w:val="24"/>
                <w:szCs w:val="24"/>
                <w:lang w:val="en-US" w:eastAsia="zh-CN"/>
              </w:rPr>
              <w:t>投资</w:t>
            </w:r>
          </w:p>
        </w:tc>
        <w:tc>
          <w:tcPr>
            <w:tcW w:w="8539" w:type="dxa"/>
            <w:noWrap w:val="0"/>
            <w:vAlign w:val="center"/>
          </w:tcPr>
          <w:p w14:paraId="688603B2">
            <w:pPr>
              <w:numPr>
                <w:ilvl w:val="0"/>
                <w:numId w:val="0"/>
              </w:numPr>
              <w:bidi w:val="0"/>
              <w:spacing w:line="360" w:lineRule="auto"/>
              <w:ind w:firstLine="480" w:firstLineChars="200"/>
              <w:rPr>
                <w:rFonts w:hint="default"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本项目建设总投资</w:t>
            </w:r>
            <w:r>
              <w:rPr>
                <w:rFonts w:hint="eastAsia" w:cs="Times New Roman"/>
                <w:color w:val="auto"/>
                <w:sz w:val="24"/>
                <w:szCs w:val="24"/>
                <w:lang w:val="en-US" w:eastAsia="zh-CN"/>
              </w:rPr>
              <w:t>100</w:t>
            </w:r>
            <w:r>
              <w:rPr>
                <w:rFonts w:hint="eastAsia" w:ascii="Times New Roman" w:hAnsi="Times New Roman" w:eastAsia="宋体" w:cs="Times New Roman"/>
                <w:color w:val="auto"/>
                <w:sz w:val="24"/>
                <w:szCs w:val="24"/>
                <w:lang w:val="en-US" w:eastAsia="zh-CN"/>
              </w:rPr>
              <w:t>万元</w:t>
            </w:r>
            <w:r>
              <w:rPr>
                <w:rFonts w:hint="eastAsia" w:cs="Times New Roman"/>
                <w:color w:val="auto"/>
                <w:sz w:val="24"/>
                <w:szCs w:val="24"/>
                <w:lang w:val="en-US" w:eastAsia="zh-CN"/>
              </w:rPr>
              <w:t>，其中</w:t>
            </w:r>
            <w:r>
              <w:rPr>
                <w:rFonts w:hint="eastAsia" w:ascii="Times New Roman" w:hAnsi="Times New Roman" w:eastAsia="宋体" w:cs="Times New Roman"/>
                <w:color w:val="auto"/>
                <w:sz w:val="24"/>
                <w:szCs w:val="24"/>
                <w:lang w:val="en-US" w:eastAsia="zh-CN"/>
              </w:rPr>
              <w:t>环保投资</w:t>
            </w:r>
            <w:r>
              <w:rPr>
                <w:rFonts w:hint="default" w:ascii="Times New Roman" w:hAnsi="Times New Roman" w:eastAsia="宋体" w:cs="Times New Roman"/>
                <w:color w:val="auto"/>
                <w:sz w:val="24"/>
                <w:szCs w:val="24"/>
                <w:lang w:val="en-US" w:eastAsia="zh-CN"/>
              </w:rPr>
              <w:t>估算约</w:t>
            </w:r>
            <w:r>
              <w:rPr>
                <w:rFonts w:hint="eastAsia" w:cs="Times New Roman"/>
                <w:color w:val="auto"/>
                <w:sz w:val="24"/>
                <w:szCs w:val="24"/>
                <w:lang w:val="en-US" w:eastAsia="zh-CN"/>
              </w:rPr>
              <w:t>10.0</w:t>
            </w:r>
            <w:r>
              <w:rPr>
                <w:rFonts w:hint="eastAsia" w:ascii="Times New Roman" w:hAnsi="Times New Roman" w:eastAsia="宋体" w:cs="Times New Roman"/>
                <w:color w:val="auto"/>
                <w:sz w:val="24"/>
                <w:szCs w:val="24"/>
                <w:lang w:val="en-US" w:eastAsia="zh-CN"/>
              </w:rPr>
              <w:t>万元</w:t>
            </w:r>
            <w:r>
              <w:rPr>
                <w:rFonts w:hint="eastAsia" w:cs="Times New Roman"/>
                <w:color w:val="auto"/>
                <w:sz w:val="24"/>
                <w:szCs w:val="24"/>
                <w:lang w:val="en-US" w:eastAsia="zh-CN"/>
              </w:rPr>
              <w:t>，</w:t>
            </w:r>
            <w:r>
              <w:rPr>
                <w:rFonts w:hint="eastAsia" w:ascii="Times New Roman" w:hAnsi="Times New Roman" w:eastAsia="宋体" w:cs="Times New Roman"/>
                <w:color w:val="auto"/>
                <w:sz w:val="24"/>
                <w:szCs w:val="24"/>
                <w:lang w:val="en-US" w:eastAsia="zh-CN"/>
              </w:rPr>
              <w:t>占项目总投资的</w:t>
            </w:r>
            <w:r>
              <w:rPr>
                <w:rFonts w:hint="eastAsia" w:cs="Times New Roman"/>
                <w:color w:val="auto"/>
                <w:sz w:val="24"/>
                <w:szCs w:val="24"/>
                <w:lang w:val="en-US" w:eastAsia="zh-CN"/>
              </w:rPr>
              <w:t>10.0</w:t>
            </w:r>
            <w:r>
              <w:rPr>
                <w:rFonts w:hint="eastAsia" w:ascii="Times New Roman" w:hAnsi="Times New Roman" w:eastAsia="宋体" w:cs="Times New Roman"/>
                <w:color w:val="auto"/>
                <w:sz w:val="24"/>
                <w:szCs w:val="24"/>
                <w:lang w:val="en-US" w:eastAsia="zh-CN"/>
              </w:rPr>
              <w:t>%</w:t>
            </w:r>
            <w:r>
              <w:rPr>
                <w:rFonts w:hint="eastAsia" w:cs="Times New Roman"/>
                <w:color w:val="auto"/>
                <w:sz w:val="24"/>
                <w:szCs w:val="24"/>
                <w:lang w:val="en-US" w:eastAsia="zh-CN"/>
              </w:rPr>
              <w:t>；</w:t>
            </w:r>
            <w:r>
              <w:rPr>
                <w:rFonts w:hint="eastAsia" w:ascii="Times New Roman" w:hAnsi="Times New Roman" w:eastAsia="宋体" w:cs="Times New Roman"/>
                <w:color w:val="auto"/>
                <w:sz w:val="24"/>
                <w:szCs w:val="24"/>
                <w:lang w:val="en-US" w:eastAsia="zh-CN"/>
              </w:rPr>
              <w:t>环保设施及投资详见下表</w:t>
            </w:r>
            <w:r>
              <w:rPr>
                <w:rFonts w:hint="default" w:ascii="Times New Roman" w:hAnsi="Times New Roman" w:eastAsia="宋体" w:cs="Times New Roman"/>
                <w:color w:val="auto"/>
                <w:sz w:val="24"/>
                <w:szCs w:val="24"/>
                <w:lang w:val="en-US" w:eastAsia="zh-CN"/>
              </w:rPr>
              <w:t>。</w:t>
            </w:r>
          </w:p>
          <w:p w14:paraId="1CDC6504">
            <w:pPr>
              <w:numPr>
                <w:ilvl w:val="0"/>
                <w:numId w:val="0"/>
              </w:numPr>
              <w:bidi w:val="0"/>
              <w:spacing w:line="360" w:lineRule="auto"/>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lang w:val="en-US" w:eastAsia="zh-CN"/>
              </w:rPr>
              <w:t>表4-</w:t>
            </w:r>
            <w:r>
              <w:rPr>
                <w:rFonts w:hint="eastAsia" w:ascii="Times New Roman" w:hAnsi="Times New Roman" w:eastAsia="宋体" w:cs="Times New Roman"/>
                <w:b/>
                <w:bCs/>
                <w:color w:val="auto"/>
                <w:sz w:val="21"/>
                <w:szCs w:val="21"/>
                <w:lang w:val="en-US" w:eastAsia="zh-CN"/>
              </w:rPr>
              <w:t>2</w:t>
            </w:r>
            <w:r>
              <w:rPr>
                <w:rFonts w:hint="eastAsia" w:cs="Times New Roman"/>
                <w:b/>
                <w:bCs/>
                <w:color w:val="auto"/>
                <w:sz w:val="21"/>
                <w:szCs w:val="21"/>
                <w:lang w:val="en-US" w:eastAsia="zh-CN"/>
              </w:rPr>
              <w:t>4</w:t>
            </w:r>
            <w:r>
              <w:rPr>
                <w:rFonts w:hint="eastAsia" w:ascii="Times New Roman" w:hAnsi="Times New Roman" w:eastAsia="宋体" w:cs="Times New Roman"/>
                <w:b/>
                <w:bCs/>
                <w:color w:val="auto"/>
                <w:sz w:val="21"/>
                <w:szCs w:val="21"/>
                <w:lang w:val="en-US" w:eastAsia="zh-CN"/>
              </w:rPr>
              <w:t xml:space="preserve"> </w:t>
            </w:r>
            <w:r>
              <w:rPr>
                <w:rFonts w:hint="default" w:ascii="Times New Roman" w:hAnsi="Times New Roman" w:eastAsia="宋体" w:cs="Times New Roman"/>
                <w:b/>
                <w:bCs/>
                <w:color w:val="auto"/>
                <w:sz w:val="21"/>
                <w:szCs w:val="21"/>
                <w:lang w:val="en-US" w:eastAsia="zh-CN"/>
              </w:rPr>
              <w:t>项目环保投资估算情况一览表</w:t>
            </w:r>
          </w:p>
          <w:tbl>
            <w:tblPr>
              <w:tblStyle w:val="27"/>
              <w:tblW w:w="499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66"/>
              <w:gridCol w:w="1407"/>
              <w:gridCol w:w="4050"/>
              <w:gridCol w:w="1235"/>
              <w:gridCol w:w="852"/>
            </w:tblGrid>
            <w:tr w14:paraId="49C6AD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60" w:type="pct"/>
                  <w:noWrap w:val="0"/>
                  <w:vAlign w:val="center"/>
                </w:tcPr>
                <w:p w14:paraId="43DF544A">
                  <w:pPr>
                    <w:jc w:val="center"/>
                    <w:rPr>
                      <w:b/>
                      <w:bCs/>
                      <w:szCs w:val="21"/>
                    </w:rPr>
                  </w:pPr>
                  <w:r>
                    <w:rPr>
                      <w:b/>
                      <w:bCs/>
                    </w:rPr>
                    <w:t>序号</w:t>
                  </w:r>
                </w:p>
              </w:tc>
              <w:tc>
                <w:tcPr>
                  <w:tcW w:w="3283" w:type="pct"/>
                  <w:gridSpan w:val="2"/>
                  <w:noWrap w:val="0"/>
                  <w:vAlign w:val="center"/>
                </w:tcPr>
                <w:p w14:paraId="5F0E9A81">
                  <w:pPr>
                    <w:jc w:val="center"/>
                    <w:rPr>
                      <w:b/>
                      <w:bCs/>
                      <w:szCs w:val="21"/>
                    </w:rPr>
                  </w:pPr>
                  <w:r>
                    <w:rPr>
                      <w:b/>
                      <w:bCs/>
                    </w:rPr>
                    <w:t>项目</w:t>
                  </w:r>
                </w:p>
              </w:tc>
              <w:tc>
                <w:tcPr>
                  <w:tcW w:w="743" w:type="pct"/>
                  <w:noWrap w:val="0"/>
                  <w:vAlign w:val="center"/>
                </w:tcPr>
                <w:p w14:paraId="79258692">
                  <w:pPr>
                    <w:jc w:val="center"/>
                    <w:rPr>
                      <w:b/>
                      <w:bCs/>
                    </w:rPr>
                  </w:pPr>
                  <w:r>
                    <w:rPr>
                      <w:b/>
                      <w:bCs/>
                    </w:rPr>
                    <w:t>投资估算</w:t>
                  </w:r>
                </w:p>
                <w:p w14:paraId="237364EF">
                  <w:pPr>
                    <w:jc w:val="center"/>
                    <w:rPr>
                      <w:rFonts w:hint="eastAsia" w:eastAsia="宋体"/>
                      <w:b/>
                      <w:bCs/>
                      <w:szCs w:val="21"/>
                      <w:lang w:eastAsia="zh-CN"/>
                    </w:rPr>
                  </w:pPr>
                  <w:r>
                    <w:rPr>
                      <w:b/>
                      <w:bCs/>
                    </w:rPr>
                    <w:t>（万元</w:t>
                  </w:r>
                  <w:r>
                    <w:rPr>
                      <w:rFonts w:hint="eastAsia"/>
                      <w:b/>
                      <w:bCs/>
                      <w:lang w:eastAsia="zh-CN"/>
                    </w:rPr>
                    <w:t>）</w:t>
                  </w:r>
                </w:p>
              </w:tc>
              <w:tc>
                <w:tcPr>
                  <w:tcW w:w="512" w:type="pct"/>
                  <w:noWrap w:val="0"/>
                  <w:vAlign w:val="center"/>
                </w:tcPr>
                <w:p w14:paraId="0B8F8DD9">
                  <w:pPr>
                    <w:jc w:val="center"/>
                    <w:rPr>
                      <w:b/>
                      <w:bCs/>
                      <w:szCs w:val="21"/>
                    </w:rPr>
                  </w:pPr>
                  <w:r>
                    <w:rPr>
                      <w:b/>
                      <w:bCs/>
                    </w:rPr>
                    <w:t>备注</w:t>
                  </w:r>
                </w:p>
              </w:tc>
            </w:tr>
            <w:tr w14:paraId="05FA6E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460" w:type="pct"/>
                  <w:noWrap w:val="0"/>
                  <w:vAlign w:val="center"/>
                </w:tcPr>
                <w:p w14:paraId="57FC5816">
                  <w:pPr>
                    <w:jc w:val="center"/>
                    <w:rPr>
                      <w:szCs w:val="21"/>
                    </w:rPr>
                  </w:pPr>
                  <w:r>
                    <w:t>废水</w:t>
                  </w:r>
                </w:p>
              </w:tc>
              <w:tc>
                <w:tcPr>
                  <w:tcW w:w="846" w:type="pct"/>
                  <w:noWrap w:val="0"/>
                  <w:vAlign w:val="center"/>
                </w:tcPr>
                <w:p w14:paraId="4018740F">
                  <w:pPr>
                    <w:jc w:val="center"/>
                    <w:rPr>
                      <w:szCs w:val="21"/>
                    </w:rPr>
                  </w:pPr>
                  <w:r>
                    <w:t>生活污水</w:t>
                  </w:r>
                </w:p>
              </w:tc>
              <w:tc>
                <w:tcPr>
                  <w:tcW w:w="2436" w:type="pct"/>
                  <w:noWrap w:val="0"/>
                  <w:vAlign w:val="center"/>
                </w:tcPr>
                <w:p w14:paraId="657724C5">
                  <w:pPr>
                    <w:jc w:val="both"/>
                    <w:rPr>
                      <w:rFonts w:hint="eastAsia" w:eastAsia="宋体"/>
                      <w:szCs w:val="21"/>
                      <w:lang w:eastAsia="zh-CN"/>
                    </w:rPr>
                  </w:pPr>
                  <w:r>
                    <w:rPr>
                      <w:rFonts w:hint="eastAsia"/>
                      <w:lang w:val="en-US" w:eastAsia="zh-CN"/>
                    </w:rPr>
                    <w:t>依托厂区</w:t>
                  </w:r>
                  <w:r>
                    <w:rPr>
                      <w:rFonts w:hint="eastAsia"/>
                    </w:rPr>
                    <w:t>现有预处理池处理达标后排入园区污水管网</w:t>
                  </w:r>
                  <w:r>
                    <w:rPr>
                      <w:rFonts w:hint="eastAsia"/>
                      <w:lang w:eastAsia="zh-CN"/>
                    </w:rPr>
                    <w:t>；</w:t>
                  </w:r>
                </w:p>
              </w:tc>
              <w:tc>
                <w:tcPr>
                  <w:tcW w:w="743" w:type="pct"/>
                  <w:noWrap w:val="0"/>
                  <w:vAlign w:val="center"/>
                </w:tcPr>
                <w:p w14:paraId="5FC6F959">
                  <w:pPr>
                    <w:jc w:val="center"/>
                    <w:rPr>
                      <w:rFonts w:hint="default" w:eastAsia="宋体"/>
                      <w:szCs w:val="21"/>
                      <w:lang w:val="en-US" w:eastAsia="zh-CN"/>
                    </w:rPr>
                  </w:pPr>
                  <w:r>
                    <w:rPr>
                      <w:rFonts w:hint="eastAsia"/>
                      <w:lang w:val="en-US" w:eastAsia="zh-CN"/>
                    </w:rPr>
                    <w:t>/</w:t>
                  </w:r>
                </w:p>
              </w:tc>
              <w:tc>
                <w:tcPr>
                  <w:tcW w:w="512" w:type="pct"/>
                  <w:noWrap w:val="0"/>
                  <w:vAlign w:val="center"/>
                </w:tcPr>
                <w:p w14:paraId="67880180">
                  <w:pPr>
                    <w:jc w:val="center"/>
                    <w:rPr>
                      <w:rFonts w:hint="eastAsia" w:eastAsia="宋体"/>
                      <w:szCs w:val="21"/>
                      <w:lang w:val="en-US" w:eastAsia="zh-CN"/>
                    </w:rPr>
                  </w:pPr>
                  <w:r>
                    <w:rPr>
                      <w:rFonts w:hint="eastAsia"/>
                      <w:lang w:val="en-US" w:eastAsia="zh-CN"/>
                    </w:rPr>
                    <w:t>依托</w:t>
                  </w:r>
                </w:p>
              </w:tc>
            </w:tr>
            <w:tr w14:paraId="1B5149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2" w:hRule="atLeast"/>
                <w:jc w:val="center"/>
              </w:trPr>
              <w:tc>
                <w:tcPr>
                  <w:tcW w:w="460" w:type="pct"/>
                  <w:noWrap w:val="0"/>
                  <w:vAlign w:val="center"/>
                </w:tcPr>
                <w:p w14:paraId="5055E787">
                  <w:pPr>
                    <w:jc w:val="center"/>
                    <w:rPr>
                      <w:szCs w:val="21"/>
                    </w:rPr>
                  </w:pPr>
                  <w:r>
                    <w:t>废气</w:t>
                  </w:r>
                </w:p>
              </w:tc>
              <w:tc>
                <w:tcPr>
                  <w:tcW w:w="846" w:type="pct"/>
                  <w:noWrap w:val="0"/>
                  <w:vAlign w:val="center"/>
                </w:tcPr>
                <w:p w14:paraId="4635EC1D">
                  <w:pPr>
                    <w:jc w:val="center"/>
                    <w:rPr>
                      <w:rFonts w:hint="eastAsia"/>
                      <w:lang w:val="en-US" w:eastAsia="zh-CN"/>
                    </w:rPr>
                  </w:pPr>
                  <w:r>
                    <w:rPr>
                      <w:rFonts w:hint="eastAsia"/>
                      <w:lang w:val="en-US" w:eastAsia="zh-CN"/>
                    </w:rPr>
                    <w:t>VOCs</w:t>
                  </w:r>
                </w:p>
                <w:p w14:paraId="5D51FB62">
                  <w:pPr>
                    <w:jc w:val="center"/>
                    <w:rPr>
                      <w:rFonts w:hint="eastAsia" w:eastAsia="宋体"/>
                      <w:szCs w:val="21"/>
                      <w:lang w:eastAsia="zh-CN"/>
                    </w:rPr>
                  </w:pPr>
                  <w:r>
                    <w:rPr>
                      <w:rFonts w:hint="eastAsia"/>
                      <w:sz w:val="18"/>
                      <w:szCs w:val="21"/>
                      <w:lang w:val="en-US" w:eastAsia="zh-CN"/>
                    </w:rPr>
                    <w:t>（非甲烷总烃）</w:t>
                  </w:r>
                </w:p>
              </w:tc>
              <w:tc>
                <w:tcPr>
                  <w:tcW w:w="2436" w:type="pct"/>
                  <w:noWrap w:val="0"/>
                  <w:vAlign w:val="center"/>
                </w:tcPr>
                <w:p w14:paraId="7127C655">
                  <w:pPr>
                    <w:jc w:val="both"/>
                    <w:rPr>
                      <w:rFonts w:hint="eastAsia" w:eastAsia="宋体"/>
                      <w:szCs w:val="21"/>
                      <w:lang w:eastAsia="zh-CN"/>
                    </w:rPr>
                  </w:pPr>
                  <w:r>
                    <w:rPr>
                      <w:rFonts w:hint="eastAsia"/>
                    </w:rPr>
                    <w:t>活性炭吸附装置+15m 排气筒</w:t>
                  </w:r>
                  <w:r>
                    <w:rPr>
                      <w:rFonts w:hint="eastAsia"/>
                      <w:lang w:eastAsia="zh-CN"/>
                    </w:rPr>
                    <w:t>；</w:t>
                  </w:r>
                </w:p>
              </w:tc>
              <w:tc>
                <w:tcPr>
                  <w:tcW w:w="743" w:type="pct"/>
                  <w:noWrap w:val="0"/>
                  <w:vAlign w:val="center"/>
                </w:tcPr>
                <w:p w14:paraId="29C71F8F">
                  <w:pPr>
                    <w:jc w:val="center"/>
                    <w:rPr>
                      <w:rFonts w:hint="default" w:eastAsia="宋体"/>
                      <w:szCs w:val="21"/>
                      <w:lang w:val="en-US" w:eastAsia="zh-CN"/>
                    </w:rPr>
                  </w:pPr>
                  <w:r>
                    <w:rPr>
                      <w:rFonts w:hint="eastAsia"/>
                      <w:lang w:val="en-US" w:eastAsia="zh-CN"/>
                    </w:rPr>
                    <w:t>5.0</w:t>
                  </w:r>
                </w:p>
              </w:tc>
              <w:tc>
                <w:tcPr>
                  <w:tcW w:w="512" w:type="pct"/>
                  <w:noWrap w:val="0"/>
                  <w:vAlign w:val="center"/>
                </w:tcPr>
                <w:p w14:paraId="16558982">
                  <w:pPr>
                    <w:jc w:val="center"/>
                    <w:rPr>
                      <w:rFonts w:hint="eastAsia" w:eastAsia="宋体"/>
                      <w:szCs w:val="21"/>
                      <w:lang w:val="en-US" w:eastAsia="zh-CN"/>
                    </w:rPr>
                  </w:pPr>
                  <w:r>
                    <w:rPr>
                      <w:rFonts w:hint="eastAsia"/>
                      <w:szCs w:val="21"/>
                      <w:lang w:val="en-US" w:eastAsia="zh-CN"/>
                    </w:rPr>
                    <w:t>新建</w:t>
                  </w:r>
                </w:p>
              </w:tc>
            </w:tr>
            <w:tr w14:paraId="6DE1FC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60" w:type="pct"/>
                  <w:noWrap w:val="0"/>
                  <w:vAlign w:val="center"/>
                </w:tcPr>
                <w:p w14:paraId="7FB1880C">
                  <w:pPr>
                    <w:widowControl/>
                    <w:jc w:val="center"/>
                    <w:rPr>
                      <w:szCs w:val="21"/>
                    </w:rPr>
                  </w:pPr>
                  <w:r>
                    <w:t>噪声防治</w:t>
                  </w:r>
                </w:p>
              </w:tc>
              <w:tc>
                <w:tcPr>
                  <w:tcW w:w="3283" w:type="pct"/>
                  <w:gridSpan w:val="2"/>
                  <w:noWrap w:val="0"/>
                  <w:vAlign w:val="center"/>
                </w:tcPr>
                <w:p w14:paraId="1A656B84">
                  <w:pPr>
                    <w:jc w:val="both"/>
                    <w:rPr>
                      <w:rFonts w:hint="eastAsia" w:eastAsia="宋体"/>
                      <w:lang w:eastAsia="zh-CN"/>
                    </w:rPr>
                  </w:pPr>
                  <w:r>
                    <w:rPr>
                      <w:rFonts w:hint="eastAsia"/>
                    </w:rPr>
                    <w:t>选用低噪声设备、</w:t>
                  </w:r>
                  <w:r>
                    <w:rPr>
                      <w:rFonts w:hint="eastAsia"/>
                      <w:lang w:eastAsia="zh-CN"/>
                    </w:rPr>
                    <w:t>装置</w:t>
                  </w:r>
                  <w:r>
                    <w:rPr>
                      <w:rFonts w:hint="eastAsia"/>
                    </w:rPr>
                    <w:t>风机设隔声罩、加装减振垫、吸声棉</w:t>
                  </w:r>
                  <w:r>
                    <w:rPr>
                      <w:rFonts w:hint="eastAsia"/>
                      <w:lang w:eastAsia="zh-CN"/>
                    </w:rPr>
                    <w:t>、</w:t>
                  </w:r>
                  <w:r>
                    <w:rPr>
                      <w:rFonts w:hint="eastAsia"/>
                    </w:rPr>
                    <w:t>采用软管连接等措施</w:t>
                  </w:r>
                  <w:r>
                    <w:rPr>
                      <w:rFonts w:hint="eastAsia"/>
                      <w:lang w:eastAsia="zh-CN"/>
                    </w:rPr>
                    <w:t>；</w:t>
                  </w:r>
                </w:p>
              </w:tc>
              <w:tc>
                <w:tcPr>
                  <w:tcW w:w="743" w:type="pct"/>
                  <w:noWrap w:val="0"/>
                  <w:vAlign w:val="center"/>
                </w:tcPr>
                <w:p w14:paraId="208A1AE1">
                  <w:pPr>
                    <w:jc w:val="center"/>
                    <w:rPr>
                      <w:rFonts w:hint="default"/>
                      <w:lang w:val="en-US" w:eastAsia="zh-CN"/>
                    </w:rPr>
                  </w:pPr>
                  <w:r>
                    <w:rPr>
                      <w:rFonts w:hint="eastAsia"/>
                      <w:lang w:val="en-US" w:eastAsia="zh-CN"/>
                    </w:rPr>
                    <w:t>0.5</w:t>
                  </w:r>
                </w:p>
              </w:tc>
              <w:tc>
                <w:tcPr>
                  <w:tcW w:w="512" w:type="pct"/>
                  <w:noWrap w:val="0"/>
                  <w:vAlign w:val="center"/>
                </w:tcPr>
                <w:p w14:paraId="4B70AF5F">
                  <w:pPr>
                    <w:jc w:val="center"/>
                  </w:pPr>
                  <w:r>
                    <w:rPr>
                      <w:rFonts w:hint="eastAsia"/>
                      <w:szCs w:val="21"/>
                      <w:lang w:val="en-US" w:eastAsia="zh-CN"/>
                    </w:rPr>
                    <w:t>新建</w:t>
                  </w:r>
                </w:p>
              </w:tc>
            </w:tr>
            <w:tr w14:paraId="666885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60" w:type="pct"/>
                  <w:vMerge w:val="restart"/>
                  <w:noWrap w:val="0"/>
                  <w:vAlign w:val="center"/>
                </w:tcPr>
                <w:p w14:paraId="00C2943D">
                  <w:pPr>
                    <w:jc w:val="center"/>
                    <w:rPr>
                      <w:szCs w:val="21"/>
                    </w:rPr>
                  </w:pPr>
                  <w:r>
                    <w:t>固废</w:t>
                  </w:r>
                </w:p>
              </w:tc>
              <w:tc>
                <w:tcPr>
                  <w:tcW w:w="846" w:type="pct"/>
                  <w:noWrap w:val="0"/>
                  <w:vAlign w:val="center"/>
                </w:tcPr>
                <w:p w14:paraId="6115FD78">
                  <w:pPr>
                    <w:jc w:val="center"/>
                    <w:rPr>
                      <w:szCs w:val="21"/>
                    </w:rPr>
                  </w:pPr>
                  <w:r>
                    <w:rPr>
                      <w:rFonts w:hint="eastAsia"/>
                    </w:rPr>
                    <w:t>生活垃圾</w:t>
                  </w:r>
                </w:p>
              </w:tc>
              <w:tc>
                <w:tcPr>
                  <w:tcW w:w="2436" w:type="pct"/>
                  <w:noWrap w:val="0"/>
                  <w:vAlign w:val="center"/>
                </w:tcPr>
                <w:p w14:paraId="146009EA">
                  <w:pPr>
                    <w:jc w:val="both"/>
                    <w:rPr>
                      <w:rFonts w:hint="default" w:eastAsia="宋体"/>
                      <w:szCs w:val="21"/>
                      <w:lang w:val="en-US" w:eastAsia="zh-CN"/>
                    </w:rPr>
                  </w:pPr>
                  <w:r>
                    <w:rPr>
                      <w:rFonts w:hint="eastAsia"/>
                      <w:szCs w:val="21"/>
                      <w:lang w:val="en-US" w:eastAsia="zh-CN"/>
                    </w:rPr>
                    <w:t>集中收集后交由环卫部门统一清运处理；</w:t>
                  </w:r>
                </w:p>
              </w:tc>
              <w:tc>
                <w:tcPr>
                  <w:tcW w:w="743" w:type="pct"/>
                  <w:vMerge w:val="restart"/>
                  <w:noWrap w:val="0"/>
                  <w:vAlign w:val="center"/>
                </w:tcPr>
                <w:p w14:paraId="3014D94E">
                  <w:pPr>
                    <w:jc w:val="center"/>
                    <w:rPr>
                      <w:rFonts w:hint="default" w:eastAsia="宋体"/>
                      <w:szCs w:val="21"/>
                      <w:lang w:val="en-US" w:eastAsia="zh-CN"/>
                    </w:rPr>
                  </w:pPr>
                  <w:r>
                    <w:rPr>
                      <w:rFonts w:hint="eastAsia"/>
                      <w:lang w:val="en-US" w:eastAsia="zh-CN"/>
                    </w:rPr>
                    <w:t>0.2</w:t>
                  </w:r>
                </w:p>
              </w:tc>
              <w:tc>
                <w:tcPr>
                  <w:tcW w:w="512" w:type="pct"/>
                  <w:vMerge w:val="restart"/>
                  <w:noWrap w:val="0"/>
                  <w:vAlign w:val="center"/>
                </w:tcPr>
                <w:p w14:paraId="2489B28B">
                  <w:pPr>
                    <w:pStyle w:val="24"/>
                    <w:widowControl w:val="0"/>
                    <w:jc w:val="center"/>
                    <w:rPr>
                      <w:rFonts w:ascii="Times New Roman" w:hAnsi="Times New Roman"/>
                      <w:color w:val="auto"/>
                      <w:sz w:val="21"/>
                      <w:szCs w:val="21"/>
                    </w:rPr>
                  </w:pPr>
                  <w:r>
                    <w:rPr>
                      <w:rFonts w:ascii="Times New Roman" w:hAnsi="Times New Roman"/>
                      <w:color w:val="auto"/>
                      <w:sz w:val="21"/>
                      <w:szCs w:val="21"/>
                    </w:rPr>
                    <w:t>新建</w:t>
                  </w:r>
                </w:p>
              </w:tc>
            </w:tr>
            <w:tr w14:paraId="4873E1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60" w:type="pct"/>
                  <w:vMerge w:val="continue"/>
                  <w:noWrap w:val="0"/>
                  <w:vAlign w:val="center"/>
                </w:tcPr>
                <w:p w14:paraId="0AE5C0C7">
                  <w:pPr>
                    <w:jc w:val="center"/>
                  </w:pPr>
                </w:p>
              </w:tc>
              <w:tc>
                <w:tcPr>
                  <w:tcW w:w="846" w:type="pct"/>
                  <w:noWrap w:val="0"/>
                  <w:vAlign w:val="center"/>
                </w:tcPr>
                <w:p w14:paraId="6E9DA110">
                  <w:pPr>
                    <w:numPr>
                      <w:ilvl w:val="0"/>
                      <w:numId w:val="0"/>
                    </w:numPr>
                    <w:spacing w:line="240" w:lineRule="auto"/>
                    <w:ind w:left="0" w:leftChars="0" w:firstLine="0" w:firstLineChars="0"/>
                    <w:jc w:val="center"/>
                    <w:rPr>
                      <w:rFonts w:hint="eastAsia"/>
                    </w:rPr>
                  </w:pPr>
                  <w:r>
                    <w:rPr>
                      <w:rFonts w:hint="default" w:ascii="Times New Roman" w:hAnsi="Times New Roman" w:eastAsia="宋体" w:cs="Times New Roman"/>
                      <w:b w:val="0"/>
                      <w:bCs w:val="0"/>
                      <w:color w:val="000000"/>
                      <w:kern w:val="0"/>
                      <w:szCs w:val="21"/>
                      <w:lang w:eastAsia="zh-CN"/>
                    </w:rPr>
                    <w:t>废包装材料</w:t>
                  </w:r>
                </w:p>
              </w:tc>
              <w:tc>
                <w:tcPr>
                  <w:tcW w:w="2436" w:type="pct"/>
                  <w:noWrap w:val="0"/>
                  <w:vAlign w:val="center"/>
                </w:tcPr>
                <w:p w14:paraId="4AF5608F">
                  <w:pPr>
                    <w:widowControl/>
                    <w:spacing w:line="240" w:lineRule="auto"/>
                    <w:jc w:val="both"/>
                    <w:rPr>
                      <w:rFonts w:hint="eastAsia"/>
                      <w:szCs w:val="21"/>
                      <w:lang w:val="en-US" w:eastAsia="zh-CN"/>
                    </w:rPr>
                  </w:pPr>
                  <w:r>
                    <w:rPr>
                      <w:rFonts w:hint="default"/>
                      <w:szCs w:val="21"/>
                      <w:lang w:val="en-US"/>
                    </w:rPr>
                    <w:t>存放于一般工业固体废物暂存处，由由物资回收部门处理；</w:t>
                  </w:r>
                </w:p>
              </w:tc>
              <w:tc>
                <w:tcPr>
                  <w:tcW w:w="743" w:type="pct"/>
                  <w:vMerge w:val="continue"/>
                  <w:noWrap w:val="0"/>
                  <w:vAlign w:val="center"/>
                </w:tcPr>
                <w:p w14:paraId="72D03203">
                  <w:pPr>
                    <w:jc w:val="center"/>
                    <w:rPr>
                      <w:rFonts w:hint="eastAsia"/>
                      <w:lang w:val="en-US" w:eastAsia="zh-CN"/>
                    </w:rPr>
                  </w:pPr>
                </w:p>
              </w:tc>
              <w:tc>
                <w:tcPr>
                  <w:tcW w:w="512" w:type="pct"/>
                  <w:vMerge w:val="continue"/>
                  <w:noWrap w:val="0"/>
                  <w:vAlign w:val="center"/>
                </w:tcPr>
                <w:p w14:paraId="1E8FD6D2">
                  <w:pPr>
                    <w:pStyle w:val="24"/>
                    <w:widowControl w:val="0"/>
                    <w:jc w:val="center"/>
                    <w:rPr>
                      <w:rFonts w:ascii="Times New Roman" w:hAnsi="Times New Roman"/>
                      <w:color w:val="auto"/>
                      <w:sz w:val="21"/>
                      <w:szCs w:val="21"/>
                    </w:rPr>
                  </w:pPr>
                </w:p>
              </w:tc>
            </w:tr>
            <w:tr w14:paraId="5A294D3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60" w:type="pct"/>
                  <w:vMerge w:val="continue"/>
                  <w:noWrap w:val="0"/>
                  <w:vAlign w:val="center"/>
                </w:tcPr>
                <w:p w14:paraId="1E264071">
                  <w:pPr>
                    <w:jc w:val="center"/>
                  </w:pPr>
                </w:p>
              </w:tc>
              <w:tc>
                <w:tcPr>
                  <w:tcW w:w="846" w:type="pct"/>
                  <w:noWrap w:val="0"/>
                  <w:vAlign w:val="center"/>
                </w:tcPr>
                <w:p w14:paraId="7DFAFB94">
                  <w:pPr>
                    <w:widowControl/>
                    <w:spacing w:line="240" w:lineRule="auto"/>
                    <w:jc w:val="center"/>
                    <w:rPr>
                      <w:rFonts w:hint="eastAsia"/>
                      <w:lang w:val="en-US" w:eastAsia="zh-CN"/>
                    </w:rPr>
                  </w:pPr>
                  <w:r>
                    <w:rPr>
                      <w:rFonts w:hint="default" w:ascii="Times New Roman" w:hAnsi="Times New Roman" w:eastAsia="宋体" w:cs="Times New Roman"/>
                      <w:b w:val="0"/>
                      <w:bCs w:val="0"/>
                      <w:color w:val="000000"/>
                      <w:kern w:val="0"/>
                      <w:szCs w:val="21"/>
                      <w:lang w:eastAsia="zh-CN"/>
                    </w:rPr>
                    <w:t>废棉纱手套</w:t>
                  </w:r>
                </w:p>
              </w:tc>
              <w:tc>
                <w:tcPr>
                  <w:tcW w:w="2436" w:type="pct"/>
                  <w:vMerge w:val="restart"/>
                  <w:noWrap w:val="0"/>
                  <w:vAlign w:val="center"/>
                </w:tcPr>
                <w:p w14:paraId="3CFEA2F8">
                  <w:pPr>
                    <w:jc w:val="both"/>
                    <w:rPr>
                      <w:rFonts w:hint="default" w:eastAsia="宋体"/>
                      <w:szCs w:val="21"/>
                      <w:lang w:val="en-US" w:eastAsia="zh-CN"/>
                    </w:rPr>
                  </w:pPr>
                  <w:r>
                    <w:rPr>
                      <w:rFonts w:hint="eastAsia"/>
                      <w:szCs w:val="21"/>
                      <w:lang w:val="en-US" w:eastAsia="zh-CN"/>
                    </w:rPr>
                    <w:t>在厂内危险废物暂存间暂存，定期由有资质单位接收处置；</w:t>
                  </w:r>
                </w:p>
              </w:tc>
              <w:tc>
                <w:tcPr>
                  <w:tcW w:w="743" w:type="pct"/>
                  <w:vMerge w:val="restart"/>
                  <w:noWrap w:val="0"/>
                  <w:vAlign w:val="center"/>
                </w:tcPr>
                <w:p w14:paraId="2E1BF97F">
                  <w:pPr>
                    <w:jc w:val="center"/>
                    <w:rPr>
                      <w:rFonts w:hint="default" w:eastAsia="宋体"/>
                      <w:szCs w:val="21"/>
                      <w:lang w:val="en-US" w:eastAsia="zh-CN"/>
                    </w:rPr>
                  </w:pPr>
                  <w:r>
                    <w:rPr>
                      <w:rFonts w:hint="eastAsia"/>
                      <w:szCs w:val="21"/>
                      <w:lang w:val="en-US" w:eastAsia="zh-CN"/>
                    </w:rPr>
                    <w:t>1.3</w:t>
                  </w:r>
                </w:p>
              </w:tc>
              <w:tc>
                <w:tcPr>
                  <w:tcW w:w="512" w:type="pct"/>
                  <w:vMerge w:val="continue"/>
                  <w:noWrap w:val="0"/>
                  <w:vAlign w:val="center"/>
                </w:tcPr>
                <w:p w14:paraId="2613073E">
                  <w:pPr>
                    <w:pStyle w:val="24"/>
                    <w:widowControl w:val="0"/>
                    <w:jc w:val="center"/>
                    <w:rPr>
                      <w:rFonts w:ascii="Times New Roman" w:hAnsi="Times New Roman"/>
                      <w:color w:val="auto"/>
                      <w:sz w:val="21"/>
                      <w:szCs w:val="21"/>
                    </w:rPr>
                  </w:pPr>
                </w:p>
              </w:tc>
            </w:tr>
            <w:tr w14:paraId="2138D1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60" w:type="pct"/>
                  <w:vMerge w:val="continue"/>
                  <w:noWrap w:val="0"/>
                  <w:vAlign w:val="center"/>
                </w:tcPr>
                <w:p w14:paraId="5C2A283F">
                  <w:pPr>
                    <w:jc w:val="center"/>
                  </w:pPr>
                </w:p>
              </w:tc>
              <w:tc>
                <w:tcPr>
                  <w:tcW w:w="846" w:type="pct"/>
                  <w:noWrap w:val="0"/>
                  <w:vAlign w:val="center"/>
                </w:tcPr>
                <w:p w14:paraId="60A3EFE8">
                  <w:pPr>
                    <w:widowControl/>
                    <w:spacing w:line="240" w:lineRule="auto"/>
                    <w:jc w:val="center"/>
                    <w:rPr>
                      <w:rFonts w:hint="eastAsia"/>
                      <w:lang w:val="en-US" w:eastAsia="zh-CN"/>
                    </w:rPr>
                  </w:pPr>
                  <w:r>
                    <w:rPr>
                      <w:rFonts w:hint="eastAsia" w:ascii="Times New Roman" w:hAnsi="Times New Roman" w:eastAsia="宋体" w:cs="Times New Roman"/>
                      <w:color w:val="000000"/>
                      <w:kern w:val="0"/>
                      <w:szCs w:val="21"/>
                      <w:lang w:eastAsia="zh-CN"/>
                    </w:rPr>
                    <w:t>废试剂瓶</w:t>
                  </w:r>
                </w:p>
              </w:tc>
              <w:tc>
                <w:tcPr>
                  <w:tcW w:w="2436" w:type="pct"/>
                  <w:vMerge w:val="continue"/>
                  <w:noWrap w:val="0"/>
                  <w:vAlign w:val="center"/>
                </w:tcPr>
                <w:p w14:paraId="315FD26D">
                  <w:pPr>
                    <w:jc w:val="both"/>
                    <w:rPr>
                      <w:rFonts w:hint="eastAsia"/>
                      <w:szCs w:val="21"/>
                      <w:lang w:val="en-US" w:eastAsia="zh-CN"/>
                    </w:rPr>
                  </w:pPr>
                </w:p>
              </w:tc>
              <w:tc>
                <w:tcPr>
                  <w:tcW w:w="743" w:type="pct"/>
                  <w:vMerge w:val="continue"/>
                  <w:noWrap w:val="0"/>
                  <w:vAlign w:val="center"/>
                </w:tcPr>
                <w:p w14:paraId="5BAF6385">
                  <w:pPr>
                    <w:jc w:val="center"/>
                    <w:rPr>
                      <w:rFonts w:hint="eastAsia"/>
                      <w:lang w:val="en-US" w:eastAsia="zh-CN"/>
                    </w:rPr>
                  </w:pPr>
                </w:p>
              </w:tc>
              <w:tc>
                <w:tcPr>
                  <w:tcW w:w="512" w:type="pct"/>
                  <w:vMerge w:val="continue"/>
                  <w:noWrap w:val="0"/>
                  <w:vAlign w:val="center"/>
                </w:tcPr>
                <w:p w14:paraId="1A2547E8">
                  <w:pPr>
                    <w:pStyle w:val="24"/>
                    <w:widowControl w:val="0"/>
                    <w:jc w:val="center"/>
                    <w:rPr>
                      <w:rFonts w:ascii="Times New Roman" w:hAnsi="Times New Roman"/>
                      <w:color w:val="auto"/>
                      <w:sz w:val="21"/>
                      <w:szCs w:val="21"/>
                    </w:rPr>
                  </w:pPr>
                </w:p>
              </w:tc>
            </w:tr>
            <w:tr w14:paraId="363455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60" w:type="pct"/>
                  <w:vMerge w:val="continue"/>
                  <w:noWrap w:val="0"/>
                  <w:vAlign w:val="center"/>
                </w:tcPr>
                <w:p w14:paraId="2C4E7E97">
                  <w:pPr>
                    <w:jc w:val="center"/>
                  </w:pPr>
                </w:p>
              </w:tc>
              <w:tc>
                <w:tcPr>
                  <w:tcW w:w="846" w:type="pct"/>
                  <w:noWrap w:val="0"/>
                  <w:vAlign w:val="center"/>
                </w:tcPr>
                <w:p w14:paraId="097E3199">
                  <w:pPr>
                    <w:widowControl/>
                    <w:spacing w:line="240" w:lineRule="auto"/>
                    <w:jc w:val="center"/>
                    <w:rPr>
                      <w:rFonts w:hint="eastAsia"/>
                      <w:lang w:val="en-US" w:eastAsia="zh-CN"/>
                    </w:rPr>
                  </w:pPr>
                  <w:r>
                    <w:rPr>
                      <w:rFonts w:hint="default" w:ascii="Times New Roman" w:hAnsi="Times New Roman" w:eastAsia="宋体" w:cs="Times New Roman"/>
                      <w:sz w:val="21"/>
                      <w:szCs w:val="21"/>
                      <w:vertAlign w:val="baseline"/>
                      <w:lang w:val="en-US" w:eastAsia="zh-CN"/>
                    </w:rPr>
                    <w:t>实验废液</w:t>
                  </w:r>
                </w:p>
              </w:tc>
              <w:tc>
                <w:tcPr>
                  <w:tcW w:w="2436" w:type="pct"/>
                  <w:vMerge w:val="continue"/>
                  <w:noWrap w:val="0"/>
                  <w:vAlign w:val="center"/>
                </w:tcPr>
                <w:p w14:paraId="0AE11C8A">
                  <w:pPr>
                    <w:jc w:val="both"/>
                    <w:rPr>
                      <w:rFonts w:hint="eastAsia"/>
                      <w:szCs w:val="21"/>
                      <w:lang w:val="en-US" w:eastAsia="zh-CN"/>
                    </w:rPr>
                  </w:pPr>
                </w:p>
              </w:tc>
              <w:tc>
                <w:tcPr>
                  <w:tcW w:w="743" w:type="pct"/>
                  <w:vMerge w:val="continue"/>
                  <w:noWrap w:val="0"/>
                  <w:vAlign w:val="center"/>
                </w:tcPr>
                <w:p w14:paraId="4FA13F81">
                  <w:pPr>
                    <w:jc w:val="center"/>
                    <w:rPr>
                      <w:rFonts w:hint="eastAsia"/>
                      <w:lang w:val="en-US" w:eastAsia="zh-CN"/>
                    </w:rPr>
                  </w:pPr>
                </w:p>
              </w:tc>
              <w:tc>
                <w:tcPr>
                  <w:tcW w:w="512" w:type="pct"/>
                  <w:vMerge w:val="continue"/>
                  <w:noWrap w:val="0"/>
                  <w:vAlign w:val="center"/>
                </w:tcPr>
                <w:p w14:paraId="24C31052">
                  <w:pPr>
                    <w:pStyle w:val="24"/>
                    <w:widowControl w:val="0"/>
                    <w:jc w:val="center"/>
                    <w:rPr>
                      <w:rFonts w:ascii="Times New Roman" w:hAnsi="Times New Roman"/>
                      <w:color w:val="auto"/>
                      <w:sz w:val="21"/>
                      <w:szCs w:val="21"/>
                    </w:rPr>
                  </w:pPr>
                </w:p>
              </w:tc>
            </w:tr>
            <w:tr w14:paraId="1ABE02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60" w:type="pct"/>
                  <w:vMerge w:val="continue"/>
                  <w:noWrap w:val="0"/>
                  <w:vAlign w:val="center"/>
                </w:tcPr>
                <w:p w14:paraId="1B487F5F">
                  <w:pPr>
                    <w:jc w:val="center"/>
                  </w:pPr>
                </w:p>
              </w:tc>
              <w:tc>
                <w:tcPr>
                  <w:tcW w:w="846" w:type="pct"/>
                  <w:noWrap w:val="0"/>
                  <w:vAlign w:val="center"/>
                </w:tcPr>
                <w:p w14:paraId="4B2E2B1D">
                  <w:pPr>
                    <w:widowControl/>
                    <w:spacing w:line="240" w:lineRule="auto"/>
                    <w:jc w:val="center"/>
                    <w:rPr>
                      <w:rFonts w:hint="eastAsia"/>
                      <w:lang w:val="en-US" w:eastAsia="zh-CN"/>
                    </w:rPr>
                  </w:pPr>
                  <w:r>
                    <w:rPr>
                      <w:rFonts w:hint="default" w:ascii="Times New Roman" w:hAnsi="Times New Roman" w:eastAsia="宋体" w:cs="Times New Roman"/>
                      <w:color w:val="000000"/>
                      <w:kern w:val="0"/>
                      <w:sz w:val="21"/>
                      <w:szCs w:val="21"/>
                    </w:rPr>
                    <w:t>废活性炭</w:t>
                  </w:r>
                </w:p>
              </w:tc>
              <w:tc>
                <w:tcPr>
                  <w:tcW w:w="2436" w:type="pct"/>
                  <w:vMerge w:val="continue"/>
                  <w:noWrap w:val="0"/>
                  <w:vAlign w:val="center"/>
                </w:tcPr>
                <w:p w14:paraId="0FFB9A6A">
                  <w:pPr>
                    <w:jc w:val="both"/>
                    <w:rPr>
                      <w:rFonts w:hint="eastAsia"/>
                      <w:szCs w:val="21"/>
                      <w:lang w:val="en-US" w:eastAsia="zh-CN"/>
                    </w:rPr>
                  </w:pPr>
                </w:p>
              </w:tc>
              <w:tc>
                <w:tcPr>
                  <w:tcW w:w="743" w:type="pct"/>
                  <w:vMerge w:val="continue"/>
                  <w:noWrap w:val="0"/>
                  <w:vAlign w:val="center"/>
                </w:tcPr>
                <w:p w14:paraId="4715BCDE">
                  <w:pPr>
                    <w:jc w:val="center"/>
                    <w:rPr>
                      <w:rFonts w:hint="eastAsia"/>
                      <w:lang w:val="en-US" w:eastAsia="zh-CN"/>
                    </w:rPr>
                  </w:pPr>
                </w:p>
              </w:tc>
              <w:tc>
                <w:tcPr>
                  <w:tcW w:w="512" w:type="pct"/>
                  <w:vMerge w:val="continue"/>
                  <w:noWrap w:val="0"/>
                  <w:vAlign w:val="center"/>
                </w:tcPr>
                <w:p w14:paraId="0DAC1635">
                  <w:pPr>
                    <w:pStyle w:val="24"/>
                    <w:widowControl w:val="0"/>
                    <w:jc w:val="center"/>
                    <w:rPr>
                      <w:rFonts w:ascii="Times New Roman" w:hAnsi="Times New Roman"/>
                      <w:color w:val="auto"/>
                      <w:sz w:val="21"/>
                      <w:szCs w:val="21"/>
                    </w:rPr>
                  </w:pPr>
                </w:p>
              </w:tc>
            </w:tr>
            <w:tr w14:paraId="58F4F6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60" w:type="pct"/>
                  <w:vMerge w:val="continue"/>
                  <w:noWrap w:val="0"/>
                  <w:vAlign w:val="center"/>
                </w:tcPr>
                <w:p w14:paraId="5A6619E6">
                  <w:pPr>
                    <w:jc w:val="center"/>
                  </w:pPr>
                </w:p>
              </w:tc>
              <w:tc>
                <w:tcPr>
                  <w:tcW w:w="846" w:type="pct"/>
                  <w:noWrap w:val="0"/>
                  <w:vAlign w:val="center"/>
                </w:tcPr>
                <w:p w14:paraId="28F39002">
                  <w:pPr>
                    <w:widowControl/>
                    <w:spacing w:line="240" w:lineRule="auto"/>
                    <w:jc w:val="center"/>
                    <w:rPr>
                      <w:rFonts w:hint="eastAsia" w:eastAsia="宋体"/>
                      <w:lang w:val="en-US" w:eastAsia="zh-CN"/>
                    </w:rPr>
                  </w:pPr>
                  <w:r>
                    <w:rPr>
                      <w:rFonts w:hint="default" w:ascii="Times New Roman" w:hAnsi="Times New Roman" w:eastAsia="宋体" w:cs="Times New Roman"/>
                      <w:color w:val="000000"/>
                      <w:kern w:val="0"/>
                      <w:sz w:val="21"/>
                      <w:szCs w:val="21"/>
                    </w:rPr>
                    <w:t>油泥</w:t>
                  </w:r>
                </w:p>
              </w:tc>
              <w:tc>
                <w:tcPr>
                  <w:tcW w:w="2436" w:type="pct"/>
                  <w:vMerge w:val="continue"/>
                  <w:noWrap w:val="0"/>
                  <w:vAlign w:val="center"/>
                </w:tcPr>
                <w:p w14:paraId="6620E4B4">
                  <w:pPr>
                    <w:jc w:val="both"/>
                    <w:rPr>
                      <w:rFonts w:hint="eastAsia"/>
                      <w:szCs w:val="21"/>
                      <w:lang w:val="en-US" w:eastAsia="zh-CN"/>
                    </w:rPr>
                  </w:pPr>
                </w:p>
              </w:tc>
              <w:tc>
                <w:tcPr>
                  <w:tcW w:w="743" w:type="pct"/>
                  <w:vMerge w:val="continue"/>
                  <w:noWrap w:val="0"/>
                  <w:vAlign w:val="center"/>
                </w:tcPr>
                <w:p w14:paraId="66DEEE3A">
                  <w:pPr>
                    <w:jc w:val="center"/>
                    <w:rPr>
                      <w:rFonts w:hint="default"/>
                      <w:lang w:val="en-US" w:eastAsia="zh-CN"/>
                    </w:rPr>
                  </w:pPr>
                </w:p>
              </w:tc>
              <w:tc>
                <w:tcPr>
                  <w:tcW w:w="512" w:type="pct"/>
                  <w:vMerge w:val="continue"/>
                  <w:noWrap w:val="0"/>
                  <w:vAlign w:val="center"/>
                </w:tcPr>
                <w:p w14:paraId="62E2CC34">
                  <w:pPr>
                    <w:pStyle w:val="24"/>
                    <w:widowControl w:val="0"/>
                    <w:jc w:val="center"/>
                    <w:rPr>
                      <w:rFonts w:ascii="Times New Roman" w:hAnsi="Times New Roman"/>
                      <w:color w:val="auto"/>
                      <w:sz w:val="21"/>
                      <w:szCs w:val="21"/>
                    </w:rPr>
                  </w:pPr>
                </w:p>
              </w:tc>
            </w:tr>
            <w:tr w14:paraId="1AD544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3" w:hRule="atLeast"/>
                <w:jc w:val="center"/>
              </w:trPr>
              <w:tc>
                <w:tcPr>
                  <w:tcW w:w="460" w:type="pct"/>
                  <w:vMerge w:val="continue"/>
                  <w:noWrap w:val="0"/>
                  <w:vAlign w:val="center"/>
                </w:tcPr>
                <w:p w14:paraId="73202D4A">
                  <w:pPr>
                    <w:widowControl/>
                    <w:jc w:val="center"/>
                    <w:rPr>
                      <w:szCs w:val="21"/>
                    </w:rPr>
                  </w:pPr>
                </w:p>
              </w:tc>
              <w:tc>
                <w:tcPr>
                  <w:tcW w:w="846" w:type="pct"/>
                  <w:noWrap w:val="0"/>
                  <w:vAlign w:val="center"/>
                </w:tcPr>
                <w:p w14:paraId="307BEB76">
                  <w:pPr>
                    <w:widowControl/>
                    <w:spacing w:line="240" w:lineRule="auto"/>
                    <w:jc w:val="center"/>
                    <w:rPr>
                      <w:rFonts w:hint="eastAsia" w:ascii="宋体" w:hAnsi="宋体" w:eastAsia="宋体" w:cs="Times New Roman"/>
                      <w:kern w:val="2"/>
                      <w:sz w:val="21"/>
                      <w:szCs w:val="24"/>
                      <w:lang w:val="en-US" w:eastAsia="zh-CN" w:bidi="ar-SA"/>
                    </w:rPr>
                  </w:pPr>
                  <w:r>
                    <w:rPr>
                      <w:rFonts w:hint="default" w:ascii="Times New Roman" w:hAnsi="Times New Roman" w:eastAsia="宋体" w:cs="Times New Roman"/>
                      <w:color w:val="000000"/>
                      <w:kern w:val="0"/>
                      <w:sz w:val="21"/>
                      <w:szCs w:val="21"/>
                    </w:rPr>
                    <w:t>废油桶</w:t>
                  </w:r>
                </w:p>
              </w:tc>
              <w:tc>
                <w:tcPr>
                  <w:tcW w:w="2436" w:type="pct"/>
                  <w:vMerge w:val="continue"/>
                  <w:noWrap w:val="0"/>
                  <w:vAlign w:val="center"/>
                </w:tcPr>
                <w:p w14:paraId="691D1306">
                  <w:pPr>
                    <w:jc w:val="both"/>
                    <w:rPr>
                      <w:rFonts w:hint="default" w:eastAsia="宋体"/>
                      <w:szCs w:val="21"/>
                      <w:lang w:val="en-US" w:eastAsia="zh-CN"/>
                    </w:rPr>
                  </w:pPr>
                </w:p>
              </w:tc>
              <w:tc>
                <w:tcPr>
                  <w:tcW w:w="743" w:type="pct"/>
                  <w:vMerge w:val="continue"/>
                  <w:noWrap w:val="0"/>
                  <w:vAlign w:val="center"/>
                </w:tcPr>
                <w:p w14:paraId="5AB50792">
                  <w:pPr>
                    <w:jc w:val="center"/>
                    <w:rPr>
                      <w:rFonts w:hint="default" w:eastAsia="宋体"/>
                      <w:szCs w:val="21"/>
                      <w:lang w:val="en-US" w:eastAsia="zh-CN"/>
                    </w:rPr>
                  </w:pPr>
                </w:p>
              </w:tc>
              <w:tc>
                <w:tcPr>
                  <w:tcW w:w="512" w:type="pct"/>
                  <w:vMerge w:val="continue"/>
                  <w:noWrap w:val="0"/>
                  <w:vAlign w:val="center"/>
                </w:tcPr>
                <w:p w14:paraId="28729380">
                  <w:pPr>
                    <w:widowControl/>
                    <w:jc w:val="center"/>
                    <w:rPr>
                      <w:kern w:val="0"/>
                      <w:szCs w:val="21"/>
                    </w:rPr>
                  </w:pPr>
                </w:p>
              </w:tc>
            </w:tr>
            <w:tr w14:paraId="7CF992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3" w:hRule="atLeast"/>
                <w:jc w:val="center"/>
              </w:trPr>
              <w:tc>
                <w:tcPr>
                  <w:tcW w:w="3744" w:type="pct"/>
                  <w:gridSpan w:val="3"/>
                  <w:noWrap w:val="0"/>
                  <w:vAlign w:val="center"/>
                </w:tcPr>
                <w:p w14:paraId="47B381DE">
                  <w:pPr>
                    <w:widowControl/>
                    <w:spacing w:line="240" w:lineRule="auto"/>
                    <w:jc w:val="center"/>
                    <w:rPr>
                      <w:rFonts w:hint="default"/>
                      <w:szCs w:val="21"/>
                      <w:lang w:val="en-US"/>
                    </w:rPr>
                  </w:pPr>
                  <w:r>
                    <w:rPr>
                      <w:rFonts w:hint="eastAsia"/>
                    </w:rPr>
                    <w:t>排污口规范化建设</w:t>
                  </w:r>
                </w:p>
              </w:tc>
              <w:tc>
                <w:tcPr>
                  <w:tcW w:w="743" w:type="pct"/>
                  <w:noWrap w:val="0"/>
                  <w:vAlign w:val="center"/>
                </w:tcPr>
                <w:p w14:paraId="6D5B78D8">
                  <w:pPr>
                    <w:jc w:val="center"/>
                    <w:rPr>
                      <w:rFonts w:hint="default"/>
                      <w:szCs w:val="21"/>
                      <w:lang w:val="en-US" w:eastAsia="zh-CN"/>
                    </w:rPr>
                  </w:pPr>
                  <w:r>
                    <w:rPr>
                      <w:rFonts w:hint="eastAsia"/>
                      <w:szCs w:val="21"/>
                      <w:lang w:val="en-US" w:eastAsia="zh-CN"/>
                    </w:rPr>
                    <w:t>0.1</w:t>
                  </w:r>
                </w:p>
              </w:tc>
              <w:tc>
                <w:tcPr>
                  <w:tcW w:w="512" w:type="pct"/>
                  <w:vMerge w:val="restart"/>
                  <w:noWrap w:val="0"/>
                  <w:vAlign w:val="center"/>
                </w:tcPr>
                <w:p w14:paraId="10869E08">
                  <w:pPr>
                    <w:widowControl/>
                    <w:jc w:val="center"/>
                    <w:rPr>
                      <w:kern w:val="0"/>
                      <w:szCs w:val="21"/>
                    </w:rPr>
                  </w:pPr>
                  <w:r>
                    <w:rPr>
                      <w:rFonts w:ascii="Times New Roman" w:hAnsi="Times New Roman"/>
                      <w:color w:val="auto"/>
                      <w:sz w:val="21"/>
                      <w:szCs w:val="21"/>
                    </w:rPr>
                    <w:t>新建</w:t>
                  </w:r>
                </w:p>
              </w:tc>
            </w:tr>
            <w:tr w14:paraId="0AA503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3" w:hRule="atLeast"/>
                <w:jc w:val="center"/>
              </w:trPr>
              <w:tc>
                <w:tcPr>
                  <w:tcW w:w="3744" w:type="pct"/>
                  <w:gridSpan w:val="3"/>
                  <w:noWrap w:val="0"/>
                  <w:vAlign w:val="center"/>
                </w:tcPr>
                <w:p w14:paraId="3B8A71D6">
                  <w:pPr>
                    <w:widowControl/>
                    <w:spacing w:line="240" w:lineRule="auto"/>
                    <w:jc w:val="center"/>
                    <w:rPr>
                      <w:rFonts w:hint="eastAsia"/>
                    </w:rPr>
                  </w:pPr>
                  <w:r>
                    <w:rPr>
                      <w:rFonts w:hint="eastAsia"/>
                    </w:rPr>
                    <w:t>防范泄露、火灾的措施及应急设施</w:t>
                  </w:r>
                </w:p>
              </w:tc>
              <w:tc>
                <w:tcPr>
                  <w:tcW w:w="743" w:type="pct"/>
                  <w:noWrap w:val="0"/>
                  <w:vAlign w:val="center"/>
                </w:tcPr>
                <w:p w14:paraId="4C02D256">
                  <w:pPr>
                    <w:jc w:val="center"/>
                    <w:rPr>
                      <w:rFonts w:hint="default"/>
                      <w:szCs w:val="21"/>
                      <w:lang w:val="en-US" w:eastAsia="zh-CN"/>
                    </w:rPr>
                  </w:pPr>
                  <w:r>
                    <w:rPr>
                      <w:rFonts w:hint="eastAsia"/>
                      <w:szCs w:val="21"/>
                      <w:lang w:val="en-US" w:eastAsia="zh-CN"/>
                    </w:rPr>
                    <w:t>0.5</w:t>
                  </w:r>
                </w:p>
              </w:tc>
              <w:tc>
                <w:tcPr>
                  <w:tcW w:w="512" w:type="pct"/>
                  <w:vMerge w:val="continue"/>
                  <w:noWrap w:val="0"/>
                  <w:vAlign w:val="center"/>
                </w:tcPr>
                <w:p w14:paraId="3697C459">
                  <w:pPr>
                    <w:widowControl/>
                    <w:jc w:val="center"/>
                    <w:rPr>
                      <w:kern w:val="0"/>
                      <w:szCs w:val="21"/>
                    </w:rPr>
                  </w:pPr>
                </w:p>
              </w:tc>
            </w:tr>
            <w:tr w14:paraId="4A1D9A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3" w:hRule="atLeast"/>
                <w:jc w:val="center"/>
              </w:trPr>
              <w:tc>
                <w:tcPr>
                  <w:tcW w:w="3744" w:type="pct"/>
                  <w:gridSpan w:val="3"/>
                  <w:noWrap w:val="0"/>
                  <w:vAlign w:val="center"/>
                </w:tcPr>
                <w:p w14:paraId="2F65420D">
                  <w:pPr>
                    <w:widowControl/>
                    <w:spacing w:line="240" w:lineRule="auto"/>
                    <w:jc w:val="center"/>
                    <w:rPr>
                      <w:rFonts w:hint="eastAsia"/>
                    </w:rPr>
                  </w:pPr>
                  <w:r>
                    <w:rPr>
                      <w:rFonts w:hint="eastAsia"/>
                    </w:rPr>
                    <w:t>地下水防控措施</w:t>
                  </w:r>
                </w:p>
              </w:tc>
              <w:tc>
                <w:tcPr>
                  <w:tcW w:w="743" w:type="pct"/>
                  <w:noWrap w:val="0"/>
                  <w:vAlign w:val="center"/>
                </w:tcPr>
                <w:p w14:paraId="3A0FF685">
                  <w:pPr>
                    <w:jc w:val="center"/>
                    <w:rPr>
                      <w:rFonts w:hint="default"/>
                      <w:szCs w:val="21"/>
                      <w:lang w:val="en-US" w:eastAsia="zh-CN"/>
                    </w:rPr>
                  </w:pPr>
                  <w:r>
                    <w:rPr>
                      <w:rFonts w:hint="eastAsia"/>
                      <w:szCs w:val="21"/>
                      <w:lang w:val="en-US" w:eastAsia="zh-CN"/>
                    </w:rPr>
                    <w:t>2.0</w:t>
                  </w:r>
                </w:p>
              </w:tc>
              <w:tc>
                <w:tcPr>
                  <w:tcW w:w="512" w:type="pct"/>
                  <w:vMerge w:val="continue"/>
                  <w:noWrap w:val="0"/>
                  <w:vAlign w:val="center"/>
                </w:tcPr>
                <w:p w14:paraId="5E6C3A64">
                  <w:pPr>
                    <w:widowControl/>
                    <w:jc w:val="center"/>
                    <w:rPr>
                      <w:kern w:val="0"/>
                      <w:szCs w:val="21"/>
                    </w:rPr>
                  </w:pPr>
                </w:p>
              </w:tc>
            </w:tr>
            <w:tr w14:paraId="197247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3" w:hRule="atLeast"/>
                <w:jc w:val="center"/>
              </w:trPr>
              <w:tc>
                <w:tcPr>
                  <w:tcW w:w="3744" w:type="pct"/>
                  <w:gridSpan w:val="3"/>
                  <w:noWrap w:val="0"/>
                  <w:vAlign w:val="center"/>
                </w:tcPr>
                <w:p w14:paraId="37F92498">
                  <w:pPr>
                    <w:jc w:val="center"/>
                    <w:rPr>
                      <w:rFonts w:hint="default" w:ascii="Times New Roman" w:hAnsi="Times New Roman" w:eastAsia="宋体" w:cs="Times New Roman"/>
                      <w:color w:val="000000"/>
                      <w:kern w:val="0"/>
                      <w:sz w:val="21"/>
                      <w:szCs w:val="21"/>
                      <w:lang w:eastAsia="zh-CN"/>
                    </w:rPr>
                  </w:pPr>
                  <w:r>
                    <w:rPr>
                      <w:rFonts w:hint="eastAsia"/>
                      <w:szCs w:val="21"/>
                      <w:lang w:val="en-US" w:eastAsia="zh-CN"/>
                    </w:rPr>
                    <w:t>例行环境监测</w:t>
                  </w:r>
                </w:p>
              </w:tc>
              <w:tc>
                <w:tcPr>
                  <w:tcW w:w="743" w:type="pct"/>
                  <w:noWrap w:val="0"/>
                  <w:vAlign w:val="center"/>
                </w:tcPr>
                <w:p w14:paraId="64E5FCD5">
                  <w:pPr>
                    <w:jc w:val="center"/>
                    <w:rPr>
                      <w:rFonts w:hint="default"/>
                      <w:szCs w:val="21"/>
                      <w:lang w:val="en-US" w:eastAsia="zh-CN"/>
                    </w:rPr>
                  </w:pPr>
                  <w:r>
                    <w:rPr>
                      <w:rFonts w:hint="eastAsia"/>
                      <w:szCs w:val="21"/>
                      <w:lang w:val="en-US" w:eastAsia="zh-CN"/>
                    </w:rPr>
                    <w:t>0.4</w:t>
                  </w:r>
                </w:p>
              </w:tc>
              <w:tc>
                <w:tcPr>
                  <w:tcW w:w="512" w:type="pct"/>
                  <w:vMerge w:val="continue"/>
                  <w:noWrap w:val="0"/>
                  <w:vAlign w:val="center"/>
                </w:tcPr>
                <w:p w14:paraId="0D20F4C7">
                  <w:pPr>
                    <w:widowControl/>
                    <w:jc w:val="center"/>
                    <w:rPr>
                      <w:kern w:val="0"/>
                      <w:szCs w:val="21"/>
                    </w:rPr>
                  </w:pPr>
                </w:p>
              </w:tc>
            </w:tr>
            <w:tr w14:paraId="79DFF6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3744" w:type="pct"/>
                  <w:gridSpan w:val="3"/>
                  <w:noWrap w:val="0"/>
                  <w:vAlign w:val="center"/>
                </w:tcPr>
                <w:p w14:paraId="4B91FC66">
                  <w:pPr>
                    <w:jc w:val="center"/>
                    <w:rPr>
                      <w:szCs w:val="21"/>
                    </w:rPr>
                  </w:pPr>
                  <w:r>
                    <w:t>合计</w:t>
                  </w:r>
                </w:p>
              </w:tc>
              <w:tc>
                <w:tcPr>
                  <w:tcW w:w="743" w:type="pct"/>
                  <w:noWrap w:val="0"/>
                  <w:vAlign w:val="center"/>
                </w:tcPr>
                <w:p w14:paraId="25627E3E">
                  <w:pPr>
                    <w:jc w:val="center"/>
                    <w:rPr>
                      <w:rFonts w:hint="default" w:eastAsia="宋体"/>
                      <w:szCs w:val="21"/>
                      <w:lang w:val="en-US" w:eastAsia="zh-CN"/>
                    </w:rPr>
                  </w:pPr>
                  <w:r>
                    <w:rPr>
                      <w:rFonts w:hint="eastAsia"/>
                      <w:lang w:val="en-US" w:eastAsia="zh-CN"/>
                    </w:rPr>
                    <w:t>10.0</w:t>
                  </w:r>
                </w:p>
              </w:tc>
              <w:tc>
                <w:tcPr>
                  <w:tcW w:w="512" w:type="pct"/>
                  <w:noWrap w:val="0"/>
                  <w:vAlign w:val="center"/>
                </w:tcPr>
                <w:p w14:paraId="20767D7E">
                  <w:pPr>
                    <w:jc w:val="center"/>
                    <w:rPr>
                      <w:rFonts w:hint="eastAsia" w:eastAsia="宋体"/>
                      <w:szCs w:val="21"/>
                      <w:lang w:val="en-US" w:eastAsia="zh-CN"/>
                    </w:rPr>
                  </w:pPr>
                  <w:r>
                    <w:rPr>
                      <w:rFonts w:hint="eastAsia"/>
                      <w:szCs w:val="21"/>
                      <w:lang w:val="en-US" w:eastAsia="zh-CN"/>
                    </w:rPr>
                    <w:t>/</w:t>
                  </w:r>
                </w:p>
              </w:tc>
            </w:tr>
          </w:tbl>
          <w:p w14:paraId="268B41BD">
            <w:pPr>
              <w:numPr>
                <w:ilvl w:val="0"/>
                <w:numId w:val="0"/>
              </w:numPr>
              <w:bidi w:val="0"/>
              <w:spacing w:line="360" w:lineRule="auto"/>
              <w:jc w:val="center"/>
              <w:rPr>
                <w:rFonts w:hint="eastAsia" w:cs="Times New Roman"/>
                <w:b/>
                <w:bCs/>
                <w:color w:val="auto"/>
                <w:sz w:val="21"/>
                <w:szCs w:val="21"/>
                <w:vertAlign w:val="baseline"/>
                <w:lang w:val="en-US" w:eastAsia="zh-CN"/>
              </w:rPr>
            </w:pPr>
          </w:p>
          <w:p w14:paraId="5D5D5A9B">
            <w:pPr>
              <w:numPr>
                <w:ilvl w:val="0"/>
                <w:numId w:val="0"/>
              </w:numPr>
              <w:bidi w:val="0"/>
              <w:spacing w:line="360" w:lineRule="auto"/>
              <w:jc w:val="center"/>
              <w:rPr>
                <w:rFonts w:hint="eastAsia" w:cs="Times New Roman"/>
                <w:b/>
                <w:bCs/>
                <w:color w:val="auto"/>
                <w:sz w:val="21"/>
                <w:szCs w:val="21"/>
                <w:vertAlign w:val="baseline"/>
                <w:lang w:val="en-US" w:eastAsia="zh-CN"/>
              </w:rPr>
            </w:pPr>
          </w:p>
          <w:p w14:paraId="53A13546">
            <w:pPr>
              <w:numPr>
                <w:ilvl w:val="0"/>
                <w:numId w:val="0"/>
              </w:numPr>
              <w:bidi w:val="0"/>
              <w:spacing w:line="360" w:lineRule="auto"/>
              <w:jc w:val="both"/>
              <w:rPr>
                <w:rFonts w:hint="eastAsia" w:cs="Times New Roman"/>
                <w:b/>
                <w:bCs/>
                <w:color w:val="auto"/>
                <w:sz w:val="21"/>
                <w:szCs w:val="21"/>
                <w:vertAlign w:val="baseline"/>
                <w:lang w:val="en-US" w:eastAsia="zh-CN"/>
              </w:rPr>
            </w:pPr>
          </w:p>
          <w:p w14:paraId="56E3D92B">
            <w:pPr>
              <w:numPr>
                <w:ilvl w:val="0"/>
                <w:numId w:val="0"/>
              </w:numPr>
              <w:bidi w:val="0"/>
              <w:spacing w:line="360" w:lineRule="auto"/>
              <w:jc w:val="both"/>
              <w:rPr>
                <w:rFonts w:hint="eastAsia" w:cs="Times New Roman"/>
                <w:b/>
                <w:bCs/>
                <w:color w:val="auto"/>
                <w:sz w:val="21"/>
                <w:szCs w:val="21"/>
                <w:vertAlign w:val="baseline"/>
                <w:lang w:val="en-US" w:eastAsia="zh-CN"/>
              </w:rPr>
            </w:pPr>
          </w:p>
          <w:p w14:paraId="32A00874">
            <w:pPr>
              <w:numPr>
                <w:ilvl w:val="0"/>
                <w:numId w:val="0"/>
              </w:numPr>
              <w:bidi w:val="0"/>
              <w:spacing w:line="360" w:lineRule="auto"/>
              <w:jc w:val="both"/>
              <w:rPr>
                <w:rFonts w:hint="eastAsia" w:cs="Times New Roman"/>
                <w:b/>
                <w:bCs/>
                <w:color w:val="auto"/>
                <w:sz w:val="21"/>
                <w:szCs w:val="21"/>
                <w:vertAlign w:val="baseline"/>
                <w:lang w:val="en-US" w:eastAsia="zh-CN"/>
              </w:rPr>
            </w:pPr>
          </w:p>
          <w:p w14:paraId="6D9D1219">
            <w:pPr>
              <w:numPr>
                <w:ilvl w:val="0"/>
                <w:numId w:val="0"/>
              </w:numPr>
              <w:bidi w:val="0"/>
              <w:spacing w:line="360" w:lineRule="auto"/>
              <w:jc w:val="both"/>
              <w:rPr>
                <w:rFonts w:hint="default" w:ascii="Times New Roman" w:hAnsi="Times New Roman" w:eastAsia="宋体" w:cs="Times New Roman"/>
                <w:sz w:val="24"/>
                <w:szCs w:val="24"/>
                <w:lang w:val="en-US" w:eastAsia="zh-CN"/>
              </w:rPr>
            </w:pPr>
          </w:p>
        </w:tc>
      </w:tr>
    </w:tbl>
    <w:p w14:paraId="2E281648">
      <w:pPr>
        <w:spacing w:line="360" w:lineRule="auto"/>
        <w:jc w:val="center"/>
        <w:rPr>
          <w:rFonts w:hint="default" w:ascii="Times New Roman" w:hAnsi="Times New Roman" w:eastAsia="宋体" w:cs="Times New Roman"/>
          <w:b/>
          <w:bCs/>
          <w:color w:val="auto"/>
          <w:sz w:val="24"/>
        </w:rPr>
      </w:pPr>
      <w:r>
        <w:rPr>
          <w:rFonts w:hint="eastAsia" w:ascii="Times New Roman" w:hAnsi="Times New Roman" w:eastAsia="宋体" w:cs="Times New Roman"/>
          <w:b/>
          <w:bCs/>
          <w:color w:val="auto"/>
          <w:sz w:val="28"/>
          <w:szCs w:val="28"/>
          <w:lang w:val="en-US" w:eastAsia="zh-CN"/>
        </w:rPr>
        <w:t>五</w:t>
      </w:r>
      <w:r>
        <w:rPr>
          <w:rFonts w:hint="eastAsia" w:cs="Times New Roman"/>
          <w:b/>
          <w:bCs/>
          <w:color w:val="auto"/>
          <w:sz w:val="28"/>
          <w:szCs w:val="28"/>
          <w:lang w:val="en-US" w:eastAsia="zh-CN"/>
        </w:rPr>
        <w:t>、</w:t>
      </w:r>
      <w:r>
        <w:rPr>
          <w:rFonts w:hint="eastAsia" w:ascii="Times New Roman" w:hAnsi="Times New Roman" w:eastAsia="宋体" w:cs="Times New Roman"/>
          <w:b/>
          <w:bCs/>
          <w:color w:val="auto"/>
          <w:sz w:val="28"/>
          <w:szCs w:val="28"/>
          <w:lang w:val="en-US" w:eastAsia="zh-CN"/>
        </w:rPr>
        <w:t>环境保护措施监督检查清单</w:t>
      </w:r>
    </w:p>
    <w:tbl>
      <w:tblPr>
        <w:tblStyle w:val="27"/>
        <w:tblW w:w="963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41"/>
        <w:gridCol w:w="1823"/>
        <w:gridCol w:w="1817"/>
        <w:gridCol w:w="2500"/>
        <w:gridCol w:w="2350"/>
      </w:tblGrid>
      <w:tr w14:paraId="730506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141" w:type="dxa"/>
            <w:tcBorders>
              <w:tl2br w:val="nil"/>
              <w:tr2bl w:val="nil"/>
            </w:tcBorders>
            <w:noWrap w:val="0"/>
            <w:vAlign w:val="top"/>
          </w:tcPr>
          <w:p w14:paraId="0A083589">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right"/>
              <w:textAlignment w:val="auto"/>
              <w:rPr>
                <w:rFonts w:hint="default" w:ascii="Times New Roman" w:hAnsi="Times New Roman" w:eastAsia="宋体" w:cs="Times New Roman"/>
                <w:b/>
                <w:bCs/>
                <w:sz w:val="21"/>
                <w:szCs w:val="21"/>
              </w:rPr>
            </w:pPr>
            <w:r>
              <w:rPr>
                <w:rFonts w:hint="default" w:ascii="Times New Roman" w:hAnsi="Times New Roman" w:eastAsia="宋体" w:cs="Times New Roman"/>
                <w:b/>
                <w:bCs/>
                <w:sz w:val="21"/>
                <w:szCs w:val="21"/>
                <w:lang w:eastAsia="zh-CN"/>
              </w:rPr>
              <w:t>　</w:t>
            </w:r>
            <w:r>
              <w:rPr>
                <w:rFonts w:hint="default" w:ascii="Times New Roman" w:hAnsi="Times New Roman" w:eastAsia="宋体" w:cs="Times New Roman"/>
                <w:b/>
                <w:bCs/>
                <w:sz w:val="21"/>
                <w:szCs w:val="21"/>
              </w:rPr>
              <w:t>内容</w:t>
            </w:r>
          </w:p>
          <w:p w14:paraId="69F40EAC">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left"/>
              <w:textAlignment w:val="auto"/>
              <w:rPr>
                <w:rFonts w:hint="default" w:ascii="Times New Roman" w:hAnsi="Times New Roman" w:eastAsia="宋体" w:cs="Times New Roman"/>
                <w:b/>
                <w:bCs/>
                <w:sz w:val="21"/>
                <w:szCs w:val="21"/>
              </w:rPr>
            </w:pPr>
            <w:r>
              <w:rPr>
                <w:rFonts w:hint="default" w:ascii="Times New Roman" w:hAnsi="Times New Roman" w:eastAsia="宋体" w:cs="Times New Roman"/>
                <w:b/>
                <w:bCs/>
                <w:sz w:val="21"/>
                <w:szCs w:val="21"/>
              </w:rPr>
              <w:t>要素</w:t>
            </w:r>
          </w:p>
        </w:tc>
        <w:tc>
          <w:tcPr>
            <w:tcW w:w="1823" w:type="dxa"/>
            <w:tcBorders>
              <w:tl2br w:val="nil"/>
              <w:tr2bl w:val="nil"/>
            </w:tcBorders>
            <w:noWrap w:val="0"/>
            <w:vAlign w:val="center"/>
          </w:tcPr>
          <w:p w14:paraId="41C9C0CB">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eastAsia="宋体" w:cs="Times New Roman"/>
                <w:b/>
                <w:bCs/>
                <w:sz w:val="21"/>
                <w:szCs w:val="21"/>
              </w:rPr>
            </w:pPr>
            <w:r>
              <w:rPr>
                <w:rFonts w:hint="default" w:ascii="Times New Roman" w:hAnsi="Times New Roman" w:eastAsia="宋体" w:cs="Times New Roman"/>
                <w:b/>
                <w:bCs/>
                <w:sz w:val="21"/>
                <w:szCs w:val="21"/>
              </w:rPr>
              <w:t>排放口</w:t>
            </w:r>
            <w:r>
              <w:rPr>
                <w:rFonts w:hint="eastAsia" w:ascii="Times New Roman" w:hAnsi="Times New Roman" w:eastAsia="宋体" w:cs="Times New Roman"/>
                <w:b/>
                <w:bCs/>
                <w:sz w:val="21"/>
                <w:szCs w:val="21"/>
                <w:lang w:eastAsia="zh-CN"/>
              </w:rPr>
              <w:t>（</w:t>
            </w:r>
            <w:r>
              <w:rPr>
                <w:rFonts w:hint="default" w:ascii="Times New Roman" w:hAnsi="Times New Roman" w:eastAsia="宋体" w:cs="Times New Roman"/>
                <w:b/>
                <w:bCs/>
                <w:sz w:val="21"/>
                <w:szCs w:val="21"/>
              </w:rPr>
              <w:t>编号、名称</w:t>
            </w:r>
            <w:r>
              <w:rPr>
                <w:rFonts w:hint="eastAsia" w:cs="Times New Roman"/>
                <w:b/>
                <w:bCs/>
                <w:sz w:val="21"/>
                <w:szCs w:val="21"/>
                <w:lang w:eastAsia="zh-CN"/>
              </w:rPr>
              <w:t>）</w:t>
            </w:r>
            <w:r>
              <w:rPr>
                <w:rFonts w:hint="default" w:ascii="Times New Roman" w:hAnsi="Times New Roman" w:eastAsia="宋体" w:cs="Times New Roman"/>
                <w:b/>
                <w:bCs/>
                <w:sz w:val="21"/>
                <w:szCs w:val="21"/>
              </w:rPr>
              <w:t>/污染源</w:t>
            </w:r>
          </w:p>
        </w:tc>
        <w:tc>
          <w:tcPr>
            <w:tcW w:w="1817" w:type="dxa"/>
            <w:tcBorders>
              <w:tl2br w:val="nil"/>
              <w:tr2bl w:val="nil"/>
            </w:tcBorders>
            <w:noWrap w:val="0"/>
            <w:vAlign w:val="center"/>
          </w:tcPr>
          <w:p w14:paraId="2A787F3F">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eastAsia="宋体" w:cs="Times New Roman"/>
                <w:b/>
                <w:bCs/>
                <w:sz w:val="21"/>
                <w:szCs w:val="21"/>
              </w:rPr>
            </w:pPr>
            <w:r>
              <w:rPr>
                <w:rFonts w:hint="default" w:ascii="Times New Roman" w:hAnsi="Times New Roman" w:eastAsia="宋体" w:cs="Times New Roman"/>
                <w:b/>
                <w:bCs/>
                <w:sz w:val="21"/>
                <w:szCs w:val="21"/>
              </w:rPr>
              <w:t>污染物项目</w:t>
            </w:r>
          </w:p>
        </w:tc>
        <w:tc>
          <w:tcPr>
            <w:tcW w:w="2500" w:type="dxa"/>
            <w:tcBorders>
              <w:tl2br w:val="nil"/>
              <w:tr2bl w:val="nil"/>
            </w:tcBorders>
            <w:noWrap w:val="0"/>
            <w:vAlign w:val="center"/>
          </w:tcPr>
          <w:p w14:paraId="47D0C97C">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eastAsia="宋体" w:cs="Times New Roman"/>
                <w:b/>
                <w:bCs/>
                <w:sz w:val="21"/>
                <w:szCs w:val="21"/>
              </w:rPr>
            </w:pPr>
            <w:r>
              <w:rPr>
                <w:rFonts w:hint="default" w:ascii="Times New Roman" w:hAnsi="Times New Roman" w:eastAsia="宋体" w:cs="Times New Roman"/>
                <w:b/>
                <w:bCs/>
                <w:sz w:val="21"/>
                <w:szCs w:val="21"/>
              </w:rPr>
              <w:t>环境保护措施</w:t>
            </w:r>
          </w:p>
        </w:tc>
        <w:tc>
          <w:tcPr>
            <w:tcW w:w="2350" w:type="dxa"/>
            <w:tcBorders>
              <w:tl2br w:val="nil"/>
              <w:tr2bl w:val="nil"/>
            </w:tcBorders>
            <w:noWrap w:val="0"/>
            <w:vAlign w:val="center"/>
          </w:tcPr>
          <w:p w14:paraId="75A4E8B2">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eastAsia="宋体" w:cs="Times New Roman"/>
                <w:b/>
                <w:bCs/>
                <w:sz w:val="21"/>
                <w:szCs w:val="21"/>
              </w:rPr>
            </w:pPr>
            <w:r>
              <w:rPr>
                <w:rFonts w:hint="default" w:ascii="Times New Roman" w:hAnsi="Times New Roman" w:eastAsia="宋体" w:cs="Times New Roman"/>
                <w:b/>
                <w:bCs/>
                <w:sz w:val="21"/>
                <w:szCs w:val="21"/>
              </w:rPr>
              <w:t>执行标准</w:t>
            </w:r>
          </w:p>
        </w:tc>
      </w:tr>
      <w:tr w14:paraId="1C5324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141" w:type="dxa"/>
            <w:vMerge w:val="restart"/>
            <w:tcBorders>
              <w:tl2br w:val="nil"/>
              <w:tr2bl w:val="nil"/>
            </w:tcBorders>
            <w:noWrap w:val="0"/>
            <w:vAlign w:val="center"/>
          </w:tcPr>
          <w:p w14:paraId="38B9F44E">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大气</w:t>
            </w:r>
          </w:p>
          <w:p w14:paraId="46EEB2F2">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环境</w:t>
            </w:r>
          </w:p>
        </w:tc>
        <w:tc>
          <w:tcPr>
            <w:tcW w:w="1823" w:type="dxa"/>
            <w:tcBorders>
              <w:tl2br w:val="nil"/>
              <w:tr2bl w:val="nil"/>
            </w:tcBorders>
            <w:noWrap w:val="0"/>
            <w:vAlign w:val="center"/>
          </w:tcPr>
          <w:p w14:paraId="675AC15C">
            <w:pPr>
              <w:widowControl/>
              <w:adjustRightInd w:val="0"/>
              <w:snapToGrid w:val="0"/>
              <w:spacing w:line="240" w:lineRule="auto"/>
              <w:jc w:val="center"/>
              <w:textAlignment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color w:val="000000"/>
                <w:kern w:val="0"/>
                <w:sz w:val="21"/>
                <w:szCs w:val="21"/>
                <w:lang w:bidi="ar"/>
              </w:rPr>
              <w:t>DA0</w:t>
            </w:r>
            <w:r>
              <w:rPr>
                <w:rFonts w:hint="eastAsia" w:cs="Times New Roman"/>
                <w:color w:val="000000"/>
                <w:kern w:val="0"/>
                <w:sz w:val="21"/>
                <w:szCs w:val="21"/>
                <w:lang w:val="en-US" w:eastAsia="zh-CN" w:bidi="ar"/>
              </w:rPr>
              <w:t>0</w:t>
            </w:r>
            <w:r>
              <w:rPr>
                <w:rFonts w:hint="default" w:ascii="Times New Roman" w:hAnsi="Times New Roman" w:eastAsia="宋体" w:cs="Times New Roman"/>
                <w:color w:val="000000"/>
                <w:kern w:val="0"/>
                <w:sz w:val="21"/>
                <w:szCs w:val="21"/>
                <w:lang w:bidi="ar"/>
              </w:rPr>
              <w:t>1</w:t>
            </w:r>
            <w:r>
              <w:rPr>
                <w:rFonts w:hint="default" w:ascii="Times New Roman" w:hAnsi="Times New Roman" w:eastAsia="宋体" w:cs="Times New Roman"/>
                <w:color w:val="000000"/>
                <w:kern w:val="0"/>
                <w:sz w:val="21"/>
                <w:szCs w:val="21"/>
                <w:lang w:val="en-US" w:eastAsia="zh-CN" w:bidi="ar"/>
              </w:rPr>
              <w:t>废油贮存库废气排放口</w:t>
            </w:r>
          </w:p>
        </w:tc>
        <w:tc>
          <w:tcPr>
            <w:tcW w:w="1817" w:type="dxa"/>
            <w:tcBorders>
              <w:tl2br w:val="nil"/>
              <w:tr2bl w:val="nil"/>
            </w:tcBorders>
            <w:noWrap w:val="0"/>
            <w:vAlign w:val="center"/>
          </w:tcPr>
          <w:p w14:paraId="5529DF8F">
            <w:pPr>
              <w:spacing w:line="240" w:lineRule="auto"/>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kern w:val="0"/>
                <w:sz w:val="21"/>
                <w:szCs w:val="21"/>
                <w:lang w:val="en-US" w:eastAsia="zh-CN"/>
              </w:rPr>
              <w:t>非甲烷总烃</w:t>
            </w:r>
          </w:p>
        </w:tc>
        <w:tc>
          <w:tcPr>
            <w:tcW w:w="2500" w:type="dxa"/>
            <w:tcBorders>
              <w:tl2br w:val="nil"/>
              <w:tr2bl w:val="nil"/>
            </w:tcBorders>
            <w:noWrap w:val="0"/>
            <w:vAlign w:val="center"/>
          </w:tcPr>
          <w:p w14:paraId="24ECF50B">
            <w:pPr>
              <w:spacing w:line="240" w:lineRule="auto"/>
              <w:jc w:val="both"/>
              <w:rPr>
                <w:rFonts w:hint="eastAsia" w:ascii="Times New Roman" w:hAnsi="Times New Roman" w:eastAsia="宋体" w:cs="Times New Roman"/>
                <w:sz w:val="21"/>
                <w:szCs w:val="21"/>
                <w:lang w:val="en-US" w:eastAsia="zh-CN"/>
              </w:rPr>
            </w:pPr>
            <w:r>
              <w:rPr>
                <w:rFonts w:hint="default" w:ascii="Times New Roman" w:hAnsi="Times New Roman" w:eastAsia="宋体" w:cs="Times New Roman"/>
              </w:rPr>
              <w:t>伞罩型集气罩+</w:t>
            </w:r>
            <w:r>
              <w:rPr>
                <w:rFonts w:hint="eastAsia" w:ascii="宋体" w:hAnsi="宋体" w:eastAsia="宋体" w:cs="宋体"/>
              </w:rPr>
              <w:t>“活性炭吸附”处</w:t>
            </w:r>
            <w:r>
              <w:rPr>
                <w:rFonts w:hint="default" w:ascii="Times New Roman" w:hAnsi="Times New Roman" w:eastAsia="宋体" w:cs="Times New Roman"/>
              </w:rPr>
              <w:t>理装置15m高排气筒排放</w:t>
            </w:r>
            <w:r>
              <w:rPr>
                <w:rFonts w:hint="default" w:ascii="Times New Roman" w:hAnsi="Times New Roman" w:eastAsia="宋体" w:cs="Times New Roman"/>
                <w:lang w:val="en-US" w:eastAsia="zh-CN"/>
              </w:rPr>
              <w:t>；</w:t>
            </w:r>
          </w:p>
        </w:tc>
        <w:tc>
          <w:tcPr>
            <w:tcW w:w="2350" w:type="dxa"/>
            <w:vMerge w:val="restart"/>
            <w:tcBorders>
              <w:tl2br w:val="nil"/>
              <w:tr2bl w:val="nil"/>
            </w:tcBorders>
            <w:noWrap w:val="0"/>
            <w:vAlign w:val="center"/>
          </w:tcPr>
          <w:p w14:paraId="5DE92B77">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both"/>
              <w:textAlignment w:val="auto"/>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《四川省固定污染源大气挥发性有机物排放标准》（DB51/2377-2017）</w:t>
            </w:r>
            <w:r>
              <w:rPr>
                <w:rFonts w:hint="eastAsia" w:cs="Times New Roman"/>
                <w:kern w:val="0"/>
                <w:sz w:val="21"/>
                <w:szCs w:val="21"/>
                <w:lang w:val="en-US" w:eastAsia="zh-CN"/>
              </w:rPr>
              <w:t>中</w:t>
            </w:r>
            <w:r>
              <w:rPr>
                <w:rFonts w:hint="default" w:ascii="Times New Roman" w:hAnsi="Times New Roman" w:eastAsia="宋体" w:cs="Times New Roman"/>
                <w:kern w:val="0"/>
                <w:sz w:val="21"/>
                <w:szCs w:val="21"/>
              </w:rPr>
              <w:t>标准</w:t>
            </w:r>
          </w:p>
        </w:tc>
      </w:tr>
      <w:tr w14:paraId="66828AB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141" w:type="dxa"/>
            <w:vMerge w:val="continue"/>
            <w:tcBorders>
              <w:tl2br w:val="nil"/>
              <w:tr2bl w:val="nil"/>
            </w:tcBorders>
            <w:noWrap w:val="0"/>
            <w:vAlign w:val="center"/>
          </w:tcPr>
          <w:p w14:paraId="22672FC2">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eastAsia="宋体" w:cs="Times New Roman"/>
                <w:sz w:val="21"/>
                <w:szCs w:val="21"/>
              </w:rPr>
            </w:pPr>
          </w:p>
        </w:tc>
        <w:tc>
          <w:tcPr>
            <w:tcW w:w="1823" w:type="dxa"/>
            <w:tcBorders>
              <w:tl2br w:val="nil"/>
              <w:tr2bl w:val="nil"/>
            </w:tcBorders>
            <w:noWrap w:val="0"/>
            <w:vAlign w:val="center"/>
          </w:tcPr>
          <w:p w14:paraId="5911BEB5">
            <w:pPr>
              <w:widowControl/>
              <w:adjustRightInd w:val="0"/>
              <w:snapToGrid w:val="0"/>
              <w:spacing w:line="240" w:lineRule="auto"/>
              <w:jc w:val="center"/>
              <w:textAlignment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厂界设置监控点</w:t>
            </w:r>
          </w:p>
        </w:tc>
        <w:tc>
          <w:tcPr>
            <w:tcW w:w="1817" w:type="dxa"/>
            <w:tcBorders>
              <w:tl2br w:val="nil"/>
              <w:tr2bl w:val="nil"/>
            </w:tcBorders>
            <w:noWrap w:val="0"/>
            <w:vAlign w:val="center"/>
          </w:tcPr>
          <w:p w14:paraId="13625D8E">
            <w:pPr>
              <w:adjustRightInd w:val="0"/>
              <w:snapToGrid w:val="0"/>
              <w:spacing w:line="240" w:lineRule="auto"/>
              <w:jc w:val="center"/>
              <w:rPr>
                <w:rFonts w:hint="default" w:ascii="Times New Roman" w:hAnsi="Times New Roman" w:eastAsia="宋体" w:cs="Times New Roman"/>
                <w:color w:val="000000"/>
                <w:sz w:val="21"/>
                <w:szCs w:val="21"/>
                <w:lang w:val="en-US" w:eastAsia="zh-CN"/>
              </w:rPr>
            </w:pPr>
            <w:r>
              <w:rPr>
                <w:rFonts w:hint="default" w:ascii="Times New Roman" w:hAnsi="Times New Roman" w:eastAsia="宋体" w:cs="Times New Roman"/>
                <w:kern w:val="0"/>
                <w:sz w:val="21"/>
                <w:szCs w:val="21"/>
                <w:lang w:val="en-US" w:eastAsia="zh-CN"/>
              </w:rPr>
              <w:t>非甲烷总烃</w:t>
            </w:r>
          </w:p>
        </w:tc>
        <w:tc>
          <w:tcPr>
            <w:tcW w:w="2500" w:type="dxa"/>
            <w:tcBorders>
              <w:tl2br w:val="nil"/>
              <w:tr2bl w:val="nil"/>
            </w:tcBorders>
            <w:noWrap w:val="0"/>
            <w:vAlign w:val="center"/>
          </w:tcPr>
          <w:p w14:paraId="0704FC44">
            <w:pPr>
              <w:spacing w:line="240" w:lineRule="auto"/>
              <w:jc w:val="center"/>
              <w:rPr>
                <w:rFonts w:hint="default" w:ascii="Times New Roman" w:hAnsi="Times New Roman" w:eastAsia="宋体" w:cs="Times New Roman"/>
                <w:color w:val="000000"/>
                <w:sz w:val="21"/>
                <w:szCs w:val="21"/>
                <w:lang w:val="en-US" w:eastAsia="zh-CN"/>
              </w:rPr>
            </w:pPr>
            <w:r>
              <w:rPr>
                <w:rFonts w:hint="eastAsia" w:cs="Times New Roman"/>
                <w:color w:val="000000"/>
                <w:sz w:val="21"/>
                <w:szCs w:val="21"/>
                <w:lang w:val="en-US" w:eastAsia="zh-CN"/>
              </w:rPr>
              <w:t>/</w:t>
            </w:r>
          </w:p>
        </w:tc>
        <w:tc>
          <w:tcPr>
            <w:tcW w:w="2350" w:type="dxa"/>
            <w:vMerge w:val="continue"/>
            <w:tcBorders>
              <w:tl2br w:val="nil"/>
              <w:tr2bl w:val="nil"/>
            </w:tcBorders>
            <w:noWrap w:val="0"/>
            <w:vAlign w:val="center"/>
          </w:tcPr>
          <w:p w14:paraId="55B34F4D">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both"/>
              <w:textAlignment w:val="auto"/>
              <w:rPr>
                <w:rFonts w:hint="default" w:ascii="Times New Roman" w:hAnsi="Times New Roman" w:eastAsia="宋体" w:cs="Times New Roman"/>
                <w:color w:val="000000"/>
                <w:sz w:val="21"/>
                <w:szCs w:val="21"/>
              </w:rPr>
            </w:pPr>
          </w:p>
        </w:tc>
      </w:tr>
      <w:tr w14:paraId="0666A8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8" w:hRule="atLeast"/>
          <w:jc w:val="center"/>
        </w:trPr>
        <w:tc>
          <w:tcPr>
            <w:tcW w:w="1141" w:type="dxa"/>
            <w:tcBorders>
              <w:tl2br w:val="nil"/>
              <w:tr2bl w:val="nil"/>
            </w:tcBorders>
            <w:noWrap w:val="0"/>
            <w:vAlign w:val="center"/>
          </w:tcPr>
          <w:p w14:paraId="0867A19B">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地表水</w:t>
            </w:r>
          </w:p>
          <w:p w14:paraId="1A0811F4">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环境</w:t>
            </w:r>
          </w:p>
        </w:tc>
        <w:tc>
          <w:tcPr>
            <w:tcW w:w="1823" w:type="dxa"/>
            <w:tcBorders>
              <w:tl2br w:val="nil"/>
              <w:tr2bl w:val="nil"/>
            </w:tcBorders>
            <w:noWrap w:val="0"/>
            <w:vAlign w:val="center"/>
          </w:tcPr>
          <w:p w14:paraId="21D3EA87">
            <w:pPr>
              <w:keepNext w:val="0"/>
              <w:keepLines w:val="0"/>
              <w:pageBreakBefore w:val="0"/>
              <w:widowControl w:val="0"/>
              <w:kinsoku/>
              <w:overflowPunct/>
              <w:topLinePunct w:val="0"/>
              <w:autoSpaceDE/>
              <w:autoSpaceDN/>
              <w:bidi w:val="0"/>
              <w:spacing w:beforeAutospacing="0" w:afterAutospacing="0" w:line="240" w:lineRule="auto"/>
              <w:jc w:val="center"/>
              <w:textAlignment w:val="auto"/>
              <w:rPr>
                <w:rFonts w:hint="default" w:ascii="Times New Roman" w:hAnsi="Times New Roman" w:eastAsia="宋体" w:cs="Times New Roman"/>
                <w:color w:val="000000"/>
                <w:sz w:val="21"/>
                <w:szCs w:val="21"/>
                <w:lang w:val="en-US" w:eastAsia="zh-CN"/>
              </w:rPr>
            </w:pPr>
            <w:r>
              <w:rPr>
                <w:rFonts w:hint="default" w:ascii="Times New Roman" w:hAnsi="Times New Roman" w:eastAsia="宋体" w:cs="Times New Roman"/>
                <w:color w:val="000000"/>
                <w:sz w:val="21"/>
                <w:szCs w:val="21"/>
                <w:lang w:val="en-US" w:eastAsia="zh-CN"/>
              </w:rPr>
              <w:t>生活污水</w:t>
            </w:r>
          </w:p>
        </w:tc>
        <w:tc>
          <w:tcPr>
            <w:tcW w:w="1817" w:type="dxa"/>
            <w:tcBorders>
              <w:tl2br w:val="nil"/>
              <w:tr2bl w:val="nil"/>
            </w:tcBorders>
            <w:noWrap w:val="0"/>
            <w:vAlign w:val="center"/>
          </w:tcPr>
          <w:p w14:paraId="5EB78250">
            <w:pPr>
              <w:keepNext w:val="0"/>
              <w:keepLines w:val="0"/>
              <w:pageBreakBefore w:val="0"/>
              <w:widowControl w:val="0"/>
              <w:kinsoku/>
              <w:overflowPunct/>
              <w:topLinePunct w:val="0"/>
              <w:autoSpaceDE/>
              <w:autoSpaceDN/>
              <w:bidi w:val="0"/>
              <w:spacing w:beforeAutospacing="0" w:afterAutospacing="0" w:line="240" w:lineRule="auto"/>
              <w:jc w:val="center"/>
              <w:textAlignment w:val="auto"/>
              <w:rPr>
                <w:rFonts w:hint="default" w:ascii="Times New Roman" w:hAnsi="Times New Roman" w:eastAsia="宋体" w:cs="Times New Roman"/>
                <w:color w:val="000000"/>
                <w:sz w:val="21"/>
                <w:szCs w:val="21"/>
                <w:lang w:val="en-US" w:eastAsia="zh-CN"/>
              </w:rPr>
            </w:pPr>
            <w:r>
              <w:rPr>
                <w:rFonts w:hint="default" w:ascii="Times New Roman" w:hAnsi="Times New Roman" w:eastAsia="宋体" w:cs="Times New Roman"/>
                <w:color w:val="000000"/>
                <w:kern w:val="0"/>
                <w:sz w:val="21"/>
                <w:szCs w:val="21"/>
                <w:lang w:val="en-US" w:eastAsia="zh-CN"/>
              </w:rPr>
              <w:t>COD、BOD</w:t>
            </w:r>
            <w:r>
              <w:rPr>
                <w:rFonts w:hint="default" w:ascii="Times New Roman" w:hAnsi="Times New Roman" w:eastAsia="宋体" w:cs="Times New Roman"/>
                <w:color w:val="000000"/>
                <w:kern w:val="0"/>
                <w:sz w:val="21"/>
                <w:szCs w:val="21"/>
                <w:vertAlign w:val="subscript"/>
                <w:lang w:val="en-US" w:eastAsia="zh-CN"/>
              </w:rPr>
              <w:t>5</w:t>
            </w:r>
            <w:r>
              <w:rPr>
                <w:rFonts w:hint="default" w:ascii="Times New Roman" w:hAnsi="Times New Roman" w:eastAsia="宋体" w:cs="Times New Roman"/>
                <w:color w:val="000000"/>
                <w:kern w:val="0"/>
                <w:sz w:val="21"/>
                <w:szCs w:val="21"/>
                <w:lang w:val="en-US" w:eastAsia="zh-CN"/>
              </w:rPr>
              <w:t>、</w:t>
            </w:r>
            <w:r>
              <w:rPr>
                <w:rFonts w:hint="eastAsia" w:cs="Times New Roman"/>
                <w:color w:val="000000"/>
                <w:kern w:val="0"/>
                <w:sz w:val="21"/>
                <w:szCs w:val="21"/>
                <w:lang w:val="en-US" w:eastAsia="zh-CN"/>
              </w:rPr>
              <w:t>悬浮物、</w:t>
            </w:r>
            <w:r>
              <w:rPr>
                <w:rFonts w:hint="default" w:ascii="Times New Roman" w:hAnsi="Times New Roman" w:eastAsia="宋体" w:cs="Times New Roman"/>
                <w:color w:val="000000"/>
                <w:kern w:val="0"/>
                <w:sz w:val="21"/>
                <w:szCs w:val="21"/>
                <w:lang w:val="en-US" w:eastAsia="zh-CN"/>
              </w:rPr>
              <w:t>NH</w:t>
            </w:r>
            <w:r>
              <w:rPr>
                <w:rFonts w:hint="default" w:ascii="Times New Roman" w:hAnsi="Times New Roman" w:eastAsia="宋体" w:cs="Times New Roman"/>
                <w:color w:val="000000"/>
                <w:kern w:val="0"/>
                <w:sz w:val="21"/>
                <w:szCs w:val="21"/>
                <w:vertAlign w:val="subscript"/>
                <w:lang w:val="en-US" w:eastAsia="zh-CN"/>
              </w:rPr>
              <w:t>3</w:t>
            </w:r>
            <w:r>
              <w:rPr>
                <w:rFonts w:hint="default" w:ascii="Times New Roman" w:hAnsi="Times New Roman" w:eastAsia="宋体" w:cs="Times New Roman"/>
                <w:color w:val="000000"/>
                <w:kern w:val="0"/>
                <w:sz w:val="21"/>
                <w:szCs w:val="21"/>
                <w:lang w:val="en-US" w:eastAsia="zh-CN"/>
              </w:rPr>
              <w:t>-N</w:t>
            </w:r>
          </w:p>
        </w:tc>
        <w:tc>
          <w:tcPr>
            <w:tcW w:w="2500" w:type="dxa"/>
            <w:tcBorders>
              <w:tl2br w:val="nil"/>
              <w:tr2bl w:val="nil"/>
            </w:tcBorders>
            <w:noWrap w:val="0"/>
            <w:vAlign w:val="center"/>
          </w:tcPr>
          <w:p w14:paraId="0419F91D">
            <w:pPr>
              <w:keepNext w:val="0"/>
              <w:keepLines w:val="0"/>
              <w:pageBreakBefore w:val="0"/>
              <w:widowControl w:val="0"/>
              <w:kinsoku/>
              <w:overflowPunct/>
              <w:topLinePunct w:val="0"/>
              <w:autoSpaceDE/>
              <w:autoSpaceDN/>
              <w:bidi w:val="0"/>
              <w:spacing w:beforeAutospacing="0" w:afterAutospacing="0" w:line="240" w:lineRule="auto"/>
              <w:jc w:val="both"/>
              <w:textAlignment w:val="auto"/>
              <w:rPr>
                <w:rFonts w:hint="eastAsia" w:ascii="Times New Roman" w:hAnsi="Times New Roman" w:eastAsia="宋体" w:cs="Times New Roman"/>
                <w:color w:val="000000"/>
                <w:sz w:val="21"/>
                <w:szCs w:val="21"/>
                <w:lang w:val="en-US" w:eastAsia="zh-CN"/>
              </w:rPr>
            </w:pPr>
            <w:r>
              <w:rPr>
                <w:rFonts w:hint="default" w:ascii="Times New Roman" w:hAnsi="Times New Roman" w:eastAsia="宋体" w:cs="Times New Roman"/>
                <w:color w:val="auto"/>
                <w:sz w:val="21"/>
                <w:szCs w:val="21"/>
              </w:rPr>
              <w:t>经</w:t>
            </w:r>
            <w:r>
              <w:rPr>
                <w:rFonts w:hint="eastAsia" w:cs="Times New Roman"/>
                <w:color w:val="auto"/>
                <w:sz w:val="21"/>
                <w:szCs w:val="21"/>
                <w:lang w:val="en-US" w:eastAsia="zh-CN"/>
              </w:rPr>
              <w:t>厂区</w:t>
            </w:r>
            <w:r>
              <w:rPr>
                <w:rFonts w:hint="eastAsia" w:cs="Times New Roman"/>
                <w:color w:val="auto"/>
                <w:sz w:val="21"/>
                <w:szCs w:val="21"/>
                <w:lang w:eastAsia="zh-CN"/>
              </w:rPr>
              <w:t>预处理池</w:t>
            </w:r>
            <w:r>
              <w:rPr>
                <w:rFonts w:hint="default" w:ascii="Times New Roman" w:hAnsi="Times New Roman" w:eastAsia="宋体" w:cs="Times New Roman"/>
                <w:color w:val="auto"/>
                <w:sz w:val="21"/>
                <w:szCs w:val="21"/>
              </w:rPr>
              <w:t>预处理后</w:t>
            </w:r>
            <w:r>
              <w:rPr>
                <w:rFonts w:hint="eastAsia" w:cs="Times New Roman"/>
                <w:color w:val="auto"/>
                <w:sz w:val="21"/>
                <w:szCs w:val="21"/>
                <w:lang w:val="en-US" w:eastAsia="zh-CN"/>
              </w:rPr>
              <w:t>通过</w:t>
            </w:r>
            <w:r>
              <w:rPr>
                <w:rFonts w:hint="default" w:ascii="Times New Roman" w:hAnsi="Times New Roman" w:eastAsia="宋体" w:cs="Times New Roman"/>
                <w:color w:val="auto"/>
                <w:sz w:val="21"/>
                <w:szCs w:val="21"/>
              </w:rPr>
              <w:t>市政管网排入进入</w:t>
            </w:r>
            <w:r>
              <w:rPr>
                <w:rFonts w:hint="eastAsia" w:cs="Times New Roman"/>
                <w:color w:val="auto"/>
                <w:sz w:val="21"/>
                <w:szCs w:val="21"/>
                <w:lang w:eastAsia="zh-CN"/>
              </w:rPr>
              <w:t>安居区龙眼井污水处理厂</w:t>
            </w:r>
            <w:r>
              <w:rPr>
                <w:rFonts w:hint="default" w:ascii="Times New Roman" w:hAnsi="Times New Roman" w:eastAsia="宋体" w:cs="Times New Roman"/>
                <w:color w:val="auto"/>
                <w:sz w:val="21"/>
                <w:szCs w:val="21"/>
              </w:rPr>
              <w:t>处理</w:t>
            </w:r>
            <w:r>
              <w:rPr>
                <w:rFonts w:hint="eastAsia" w:cs="Times New Roman"/>
                <w:color w:val="auto"/>
                <w:sz w:val="21"/>
                <w:szCs w:val="21"/>
                <w:lang w:eastAsia="zh-CN"/>
              </w:rPr>
              <w:t>；</w:t>
            </w:r>
          </w:p>
        </w:tc>
        <w:tc>
          <w:tcPr>
            <w:tcW w:w="2350" w:type="dxa"/>
            <w:tcBorders>
              <w:tl2br w:val="nil"/>
              <w:tr2bl w:val="nil"/>
            </w:tcBorders>
            <w:noWrap w:val="0"/>
            <w:vAlign w:val="center"/>
          </w:tcPr>
          <w:p w14:paraId="65E00C1E">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both"/>
              <w:textAlignment w:val="auto"/>
              <w:rPr>
                <w:rFonts w:hint="default" w:ascii="Times New Roman" w:hAnsi="Times New Roman" w:eastAsia="宋体" w:cs="Times New Roman"/>
                <w:kern w:val="0"/>
                <w:sz w:val="21"/>
                <w:szCs w:val="21"/>
                <w:lang w:val="en-US" w:eastAsia="zh-CN"/>
              </w:rPr>
            </w:pPr>
            <w:r>
              <w:rPr>
                <w:rFonts w:hint="eastAsia" w:ascii="Times New Roman" w:hAnsi="Times New Roman" w:eastAsia="宋体" w:cs="Times New Roman"/>
                <w:kern w:val="0"/>
                <w:sz w:val="21"/>
                <w:szCs w:val="21"/>
                <w:lang w:val="en-US" w:eastAsia="zh-CN"/>
              </w:rPr>
              <w:t>（GB8978-1996）《污水综合排放标准》表4中三级标准</w:t>
            </w:r>
          </w:p>
        </w:tc>
      </w:tr>
      <w:tr w14:paraId="615F5F9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1141" w:type="dxa"/>
            <w:tcBorders>
              <w:tl2br w:val="nil"/>
              <w:tr2bl w:val="nil"/>
            </w:tcBorders>
            <w:noWrap w:val="0"/>
            <w:vAlign w:val="center"/>
          </w:tcPr>
          <w:p w14:paraId="5C6F0AEB">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声环境</w:t>
            </w:r>
          </w:p>
        </w:tc>
        <w:tc>
          <w:tcPr>
            <w:tcW w:w="1823" w:type="dxa"/>
            <w:tcBorders>
              <w:tl2br w:val="nil"/>
              <w:tr2bl w:val="nil"/>
            </w:tcBorders>
            <w:noWrap w:val="0"/>
            <w:vAlign w:val="center"/>
          </w:tcPr>
          <w:p w14:paraId="1FD9B9AF">
            <w:pPr>
              <w:keepNext w:val="0"/>
              <w:keepLines w:val="0"/>
              <w:pageBreakBefore w:val="0"/>
              <w:widowControl w:val="0"/>
              <w:kinsoku/>
              <w:overflowPunct/>
              <w:topLinePunct w:val="0"/>
              <w:autoSpaceDE/>
              <w:autoSpaceDN/>
              <w:bidi w:val="0"/>
              <w:spacing w:beforeAutospacing="0" w:afterAutospacing="0" w:line="240" w:lineRule="auto"/>
              <w:jc w:val="center"/>
              <w:textAlignment w:val="auto"/>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kern w:val="2"/>
                <w:sz w:val="21"/>
                <w:szCs w:val="21"/>
                <w:lang w:val="en-US" w:eastAsia="zh-CN" w:bidi="ar-SA"/>
              </w:rPr>
              <w:t>机械设备</w:t>
            </w:r>
          </w:p>
        </w:tc>
        <w:tc>
          <w:tcPr>
            <w:tcW w:w="1817" w:type="dxa"/>
            <w:tcBorders>
              <w:tl2br w:val="nil"/>
              <w:tr2bl w:val="nil"/>
            </w:tcBorders>
            <w:noWrap w:val="0"/>
            <w:vAlign w:val="center"/>
          </w:tcPr>
          <w:p w14:paraId="7538C7A6">
            <w:pPr>
              <w:keepNext w:val="0"/>
              <w:keepLines w:val="0"/>
              <w:pageBreakBefore w:val="0"/>
              <w:widowControl w:val="0"/>
              <w:kinsoku/>
              <w:overflowPunct/>
              <w:topLinePunct w:val="0"/>
              <w:autoSpaceDE/>
              <w:autoSpaceDN/>
              <w:bidi w:val="0"/>
              <w:spacing w:beforeAutospacing="0" w:afterAutospacing="0" w:line="240" w:lineRule="auto"/>
              <w:jc w:val="center"/>
              <w:textAlignment w:val="auto"/>
              <w:rPr>
                <w:rFonts w:hint="default" w:ascii="Times New Roman" w:hAnsi="Times New Roman" w:eastAsia="宋体" w:cs="Times New Roman"/>
                <w:spacing w:val="8"/>
                <w:kern w:val="2"/>
                <w:sz w:val="21"/>
                <w:szCs w:val="21"/>
                <w:lang w:val="en-US" w:eastAsia="zh-CN" w:bidi="ar-SA"/>
              </w:rPr>
            </w:pPr>
            <w:r>
              <w:rPr>
                <w:rFonts w:hint="default" w:ascii="Times New Roman" w:hAnsi="Times New Roman" w:eastAsia="宋体" w:cs="Times New Roman"/>
                <w:spacing w:val="8"/>
                <w:kern w:val="2"/>
                <w:sz w:val="21"/>
                <w:szCs w:val="21"/>
                <w:lang w:val="en-US" w:eastAsia="zh-CN" w:bidi="ar-SA"/>
              </w:rPr>
              <w:t>厂界噪声</w:t>
            </w:r>
          </w:p>
        </w:tc>
        <w:tc>
          <w:tcPr>
            <w:tcW w:w="2500" w:type="dxa"/>
            <w:tcBorders>
              <w:tl2br w:val="nil"/>
              <w:tr2bl w:val="nil"/>
            </w:tcBorders>
            <w:noWrap w:val="0"/>
            <w:vAlign w:val="center"/>
          </w:tcPr>
          <w:p w14:paraId="153F7BDC">
            <w:pPr>
              <w:keepNext w:val="0"/>
              <w:keepLines w:val="0"/>
              <w:pageBreakBefore w:val="0"/>
              <w:widowControl w:val="0"/>
              <w:kinsoku/>
              <w:overflowPunct/>
              <w:topLinePunct w:val="0"/>
              <w:autoSpaceDE/>
              <w:autoSpaceDN/>
              <w:bidi w:val="0"/>
              <w:spacing w:beforeAutospacing="0" w:afterAutospacing="0" w:line="240" w:lineRule="auto"/>
              <w:textAlignment w:val="auto"/>
              <w:rPr>
                <w:rFonts w:hint="eastAsia" w:ascii="Times New Roman" w:hAnsi="Times New Roman" w:eastAsia="宋体" w:cs="Times New Roman"/>
                <w:bCs/>
                <w:kern w:val="2"/>
                <w:sz w:val="21"/>
                <w:szCs w:val="21"/>
                <w:lang w:val="en-US" w:eastAsia="zh-CN" w:bidi="ar-SA"/>
              </w:rPr>
            </w:pPr>
            <w:r>
              <w:rPr>
                <w:rFonts w:hint="default" w:ascii="Times New Roman" w:hAnsi="Times New Roman" w:eastAsia="宋体" w:cs="Times New Roman"/>
                <w:color w:val="000000"/>
                <w:sz w:val="21"/>
                <w:szCs w:val="21"/>
              </w:rPr>
              <w:t>优化布局</w:t>
            </w:r>
            <w:r>
              <w:rPr>
                <w:rFonts w:hint="eastAsia" w:cs="Times New Roman"/>
                <w:color w:val="000000"/>
                <w:sz w:val="21"/>
                <w:szCs w:val="21"/>
                <w:lang w:eastAsia="zh-CN"/>
              </w:rPr>
              <w:t>，</w:t>
            </w:r>
            <w:r>
              <w:rPr>
                <w:rFonts w:hint="default" w:ascii="Times New Roman" w:hAnsi="Times New Roman" w:eastAsia="宋体" w:cs="Times New Roman"/>
                <w:color w:val="000000"/>
                <w:sz w:val="21"/>
                <w:szCs w:val="21"/>
              </w:rPr>
              <w:t>选用低噪声设备</w:t>
            </w:r>
            <w:r>
              <w:rPr>
                <w:rFonts w:hint="eastAsia" w:cs="Times New Roman"/>
                <w:color w:val="000000"/>
                <w:sz w:val="21"/>
                <w:szCs w:val="21"/>
                <w:lang w:eastAsia="zh-CN"/>
              </w:rPr>
              <w:t>，</w:t>
            </w:r>
            <w:r>
              <w:rPr>
                <w:rFonts w:hint="default" w:ascii="Times New Roman" w:hAnsi="Times New Roman" w:eastAsia="宋体" w:cs="Times New Roman"/>
                <w:color w:val="000000"/>
                <w:sz w:val="21"/>
                <w:szCs w:val="21"/>
              </w:rPr>
              <w:t>并采取隔声、减振、消声等降噪措施</w:t>
            </w:r>
            <w:r>
              <w:rPr>
                <w:rFonts w:hint="eastAsia" w:cs="Times New Roman"/>
                <w:color w:val="000000"/>
                <w:sz w:val="21"/>
                <w:szCs w:val="21"/>
                <w:lang w:eastAsia="zh-CN"/>
              </w:rPr>
              <w:t>；</w:t>
            </w:r>
          </w:p>
        </w:tc>
        <w:tc>
          <w:tcPr>
            <w:tcW w:w="2350" w:type="dxa"/>
            <w:tcBorders>
              <w:tl2br w:val="nil"/>
              <w:tr2bl w:val="nil"/>
            </w:tcBorders>
            <w:noWrap w:val="0"/>
            <w:vAlign w:val="center"/>
          </w:tcPr>
          <w:p w14:paraId="133C23C5">
            <w:pPr>
              <w:keepNext w:val="0"/>
              <w:keepLines w:val="0"/>
              <w:pageBreakBefore w:val="0"/>
              <w:widowControl w:val="0"/>
              <w:kinsoku/>
              <w:wordWrap w:val="0"/>
              <w:overflowPunct/>
              <w:topLinePunct w:val="0"/>
              <w:autoSpaceDE/>
              <w:autoSpaceDN/>
              <w:bidi w:val="0"/>
              <w:adjustRightInd w:val="0"/>
              <w:snapToGrid w:val="0"/>
              <w:spacing w:beforeAutospacing="0" w:afterAutospacing="0" w:line="240" w:lineRule="auto"/>
              <w:jc w:val="both"/>
              <w:textAlignment w:val="auto"/>
              <w:rPr>
                <w:rFonts w:hint="default" w:ascii="Times New Roman" w:hAnsi="Times New Roman" w:eastAsia="宋体" w:cs="Times New Roman"/>
                <w:color w:val="000000"/>
                <w:sz w:val="21"/>
                <w:szCs w:val="21"/>
                <w:lang w:val="en-US" w:eastAsia="zh-CN"/>
              </w:rPr>
            </w:pPr>
            <w:r>
              <w:rPr>
                <w:rFonts w:hint="default" w:ascii="Times New Roman" w:hAnsi="Times New Roman" w:eastAsia="宋体" w:cs="Times New Roman"/>
                <w:color w:val="000000"/>
                <w:sz w:val="21"/>
                <w:szCs w:val="21"/>
                <w:lang w:val="en-US" w:eastAsia="zh-CN"/>
              </w:rPr>
              <w:t>《工业企业厂界环境噪声排放标准》</w:t>
            </w:r>
            <w:r>
              <w:rPr>
                <w:rFonts w:hint="eastAsia" w:ascii="Times New Roman" w:hAnsi="Times New Roman" w:eastAsia="宋体" w:cs="Times New Roman"/>
                <w:color w:val="000000"/>
                <w:sz w:val="21"/>
                <w:szCs w:val="21"/>
                <w:lang w:val="en-US" w:eastAsia="zh-CN"/>
              </w:rPr>
              <w:t>（</w:t>
            </w:r>
            <w:r>
              <w:rPr>
                <w:rFonts w:hint="default" w:ascii="Times New Roman" w:hAnsi="Times New Roman" w:eastAsia="宋体" w:cs="Times New Roman"/>
                <w:color w:val="000000"/>
                <w:sz w:val="21"/>
                <w:szCs w:val="21"/>
                <w:lang w:val="en-US" w:eastAsia="zh-CN"/>
              </w:rPr>
              <w:t>GB12348</w:t>
            </w:r>
            <w:r>
              <w:rPr>
                <w:rFonts w:hint="eastAsia" w:ascii="Times New Roman" w:hAnsi="Times New Roman" w:eastAsia="宋体" w:cs="Times New Roman"/>
                <w:color w:val="000000"/>
                <w:sz w:val="21"/>
                <w:szCs w:val="21"/>
                <w:lang w:val="en-US" w:eastAsia="zh-CN"/>
              </w:rPr>
              <w:t>-</w:t>
            </w:r>
            <w:r>
              <w:rPr>
                <w:rFonts w:hint="default" w:ascii="Times New Roman" w:hAnsi="Times New Roman" w:eastAsia="宋体" w:cs="Times New Roman"/>
                <w:color w:val="000000"/>
                <w:sz w:val="21"/>
                <w:szCs w:val="21"/>
                <w:lang w:val="en-US" w:eastAsia="zh-CN"/>
              </w:rPr>
              <w:t>2008</w:t>
            </w:r>
            <w:r>
              <w:rPr>
                <w:rFonts w:hint="eastAsia" w:cs="Times New Roman"/>
                <w:color w:val="000000"/>
                <w:sz w:val="21"/>
                <w:szCs w:val="21"/>
                <w:lang w:val="en-US" w:eastAsia="zh-CN"/>
              </w:rPr>
              <w:t>）</w:t>
            </w:r>
            <w:r>
              <w:rPr>
                <w:rFonts w:hint="default" w:ascii="Times New Roman" w:hAnsi="Times New Roman" w:eastAsia="宋体" w:cs="Times New Roman"/>
                <w:color w:val="000000"/>
                <w:sz w:val="21"/>
                <w:szCs w:val="21"/>
                <w:lang w:val="en-US" w:eastAsia="zh-CN"/>
              </w:rPr>
              <w:t>中的</w:t>
            </w:r>
            <w:r>
              <w:rPr>
                <w:rFonts w:hint="eastAsia" w:cs="Times New Roman"/>
                <w:color w:val="000000"/>
                <w:sz w:val="21"/>
                <w:szCs w:val="21"/>
                <w:lang w:val="en-US" w:eastAsia="zh-CN"/>
              </w:rPr>
              <w:t>3</w:t>
            </w:r>
            <w:r>
              <w:rPr>
                <w:rFonts w:hint="default" w:ascii="Times New Roman" w:hAnsi="Times New Roman" w:eastAsia="宋体" w:cs="Times New Roman"/>
                <w:color w:val="000000"/>
                <w:sz w:val="21"/>
                <w:szCs w:val="21"/>
                <w:lang w:val="en-US" w:eastAsia="zh-CN"/>
              </w:rPr>
              <w:t>类标准</w:t>
            </w:r>
          </w:p>
          <w:p w14:paraId="08FE4370">
            <w:pPr>
              <w:keepNext w:val="0"/>
              <w:keepLines w:val="0"/>
              <w:pageBreakBefore w:val="0"/>
              <w:widowControl w:val="0"/>
              <w:kinsoku/>
              <w:wordWrap w:val="0"/>
              <w:overflowPunct/>
              <w:topLinePunct w:val="0"/>
              <w:autoSpaceDE/>
              <w:autoSpaceDN/>
              <w:bidi w:val="0"/>
              <w:adjustRightInd w:val="0"/>
              <w:snapToGrid w:val="0"/>
              <w:spacing w:beforeAutospacing="0" w:afterAutospacing="0" w:line="240" w:lineRule="auto"/>
              <w:jc w:val="both"/>
              <w:textAlignment w:val="auto"/>
              <w:rPr>
                <w:rFonts w:hint="default" w:ascii="Times New Roman" w:hAnsi="Times New Roman" w:eastAsia="宋体" w:cs="Times New Roman"/>
                <w:color w:val="000000"/>
                <w:sz w:val="21"/>
                <w:szCs w:val="21"/>
                <w:lang w:val="en-US" w:eastAsia="zh-CN"/>
              </w:rPr>
            </w:pPr>
            <w:r>
              <w:rPr>
                <w:rFonts w:hint="default" w:ascii="Times New Roman" w:hAnsi="Times New Roman" w:eastAsia="宋体" w:cs="Times New Roman"/>
                <w:color w:val="000000"/>
                <w:sz w:val="21"/>
                <w:szCs w:val="21"/>
                <w:lang w:val="en-US" w:eastAsia="zh-CN"/>
              </w:rPr>
              <w:t>限值</w:t>
            </w:r>
          </w:p>
        </w:tc>
      </w:tr>
      <w:tr w14:paraId="77D403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141" w:type="dxa"/>
            <w:vMerge w:val="restart"/>
            <w:tcBorders>
              <w:tl2br w:val="nil"/>
              <w:tr2bl w:val="nil"/>
            </w:tcBorders>
            <w:noWrap w:val="0"/>
            <w:vAlign w:val="center"/>
          </w:tcPr>
          <w:p w14:paraId="27978EA0">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固体</w:t>
            </w:r>
          </w:p>
          <w:p w14:paraId="3737F1C0">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废物</w:t>
            </w:r>
          </w:p>
        </w:tc>
        <w:tc>
          <w:tcPr>
            <w:tcW w:w="1823" w:type="dxa"/>
            <w:tcBorders>
              <w:tl2br w:val="nil"/>
              <w:tr2bl w:val="nil"/>
            </w:tcBorders>
            <w:noWrap w:val="0"/>
            <w:vAlign w:val="center"/>
          </w:tcPr>
          <w:p w14:paraId="725DEED8">
            <w:pPr>
              <w:keepNext w:val="0"/>
              <w:keepLines w:val="0"/>
              <w:pageBreakBefore w:val="0"/>
              <w:widowControl w:val="0"/>
              <w:kinsoku/>
              <w:overflowPunct/>
              <w:topLinePunct w:val="0"/>
              <w:autoSpaceDE/>
              <w:autoSpaceDN/>
              <w:bidi w:val="0"/>
              <w:spacing w:beforeAutospacing="0" w:afterAutospacing="0" w:line="240" w:lineRule="auto"/>
              <w:jc w:val="center"/>
              <w:textAlignment w:val="auto"/>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color w:val="000000"/>
                <w:sz w:val="21"/>
                <w:szCs w:val="21"/>
                <w:lang w:val="en-US" w:eastAsia="zh-CN"/>
              </w:rPr>
              <w:t>一般固废</w:t>
            </w:r>
          </w:p>
        </w:tc>
        <w:tc>
          <w:tcPr>
            <w:tcW w:w="4317" w:type="dxa"/>
            <w:gridSpan w:val="2"/>
            <w:tcBorders>
              <w:tl2br w:val="nil"/>
              <w:tr2bl w:val="nil"/>
            </w:tcBorders>
            <w:noWrap w:val="0"/>
            <w:vAlign w:val="center"/>
          </w:tcPr>
          <w:p w14:paraId="085857BD">
            <w:pPr>
              <w:widowControl/>
              <w:spacing w:line="240" w:lineRule="auto"/>
              <w:jc w:val="both"/>
              <w:rPr>
                <w:rFonts w:hint="default" w:ascii="Times New Roman" w:hAnsi="Times New Roman" w:eastAsia="宋体" w:cs="Times New Roman"/>
                <w:color w:val="000000"/>
                <w:sz w:val="21"/>
                <w:szCs w:val="21"/>
                <w:lang w:val="en-US"/>
              </w:rPr>
            </w:pPr>
            <w:r>
              <w:rPr>
                <w:rFonts w:hint="default" w:ascii="Times New Roman" w:hAnsi="Times New Roman" w:eastAsia="宋体" w:cs="Times New Roman"/>
                <w:color w:val="000000"/>
                <w:sz w:val="21"/>
                <w:szCs w:val="21"/>
                <w:lang w:val="en-US" w:eastAsia="zh-CN"/>
              </w:rPr>
              <w:t>生活垃圾集中收集后交由环卫部门统一清运处理；废包装材料存放于一般工业固体废物暂存处，由由物资回收部门处理</w:t>
            </w:r>
            <w:r>
              <w:rPr>
                <w:rFonts w:hint="eastAsia" w:cs="Times New Roman"/>
                <w:color w:val="000000"/>
                <w:sz w:val="21"/>
                <w:szCs w:val="21"/>
                <w:lang w:val="en-US" w:eastAsia="zh-CN"/>
              </w:rPr>
              <w:t>；</w:t>
            </w:r>
          </w:p>
        </w:tc>
        <w:tc>
          <w:tcPr>
            <w:tcW w:w="2350" w:type="dxa"/>
            <w:tcBorders>
              <w:tl2br w:val="nil"/>
              <w:tr2bl w:val="nil"/>
            </w:tcBorders>
            <w:noWrap w:val="0"/>
            <w:vAlign w:val="center"/>
          </w:tcPr>
          <w:p w14:paraId="07C13F02">
            <w:pPr>
              <w:keepNext w:val="0"/>
              <w:keepLines w:val="0"/>
              <w:pageBreakBefore w:val="0"/>
              <w:widowControl w:val="0"/>
              <w:kinsoku/>
              <w:wordWrap w:val="0"/>
              <w:overflowPunct/>
              <w:topLinePunct w:val="0"/>
              <w:autoSpaceDE/>
              <w:autoSpaceDN/>
              <w:bidi w:val="0"/>
              <w:adjustRightInd w:val="0"/>
              <w:snapToGrid w:val="0"/>
              <w:spacing w:beforeAutospacing="0" w:afterAutospacing="0" w:line="240" w:lineRule="auto"/>
              <w:jc w:val="both"/>
              <w:textAlignment w:val="auto"/>
              <w:rPr>
                <w:rFonts w:hint="default" w:ascii="Times New Roman" w:hAnsi="Times New Roman" w:eastAsia="宋体" w:cs="Times New Roman"/>
                <w:color w:val="000000"/>
                <w:sz w:val="21"/>
                <w:szCs w:val="21"/>
                <w:lang w:val="en-US" w:eastAsia="zh-CN"/>
              </w:rPr>
            </w:pPr>
            <w:r>
              <w:rPr>
                <w:rFonts w:hint="default" w:ascii="Times New Roman" w:hAnsi="Times New Roman" w:eastAsia="宋体" w:cs="Times New Roman"/>
                <w:color w:val="000000"/>
                <w:sz w:val="21"/>
                <w:szCs w:val="21"/>
                <w:lang w:val="en-US" w:eastAsia="zh-CN"/>
              </w:rPr>
              <w:t>执行《一般工业固体废物贮存、处置场污染控制标准》（GB18599-2020</w:t>
            </w:r>
            <w:r>
              <w:rPr>
                <w:rFonts w:hint="eastAsia" w:cs="Times New Roman"/>
                <w:color w:val="000000"/>
                <w:sz w:val="21"/>
                <w:szCs w:val="21"/>
                <w:lang w:val="en-US" w:eastAsia="zh-CN"/>
              </w:rPr>
              <w:t>）</w:t>
            </w:r>
          </w:p>
        </w:tc>
      </w:tr>
      <w:tr w14:paraId="42746B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141" w:type="dxa"/>
            <w:vMerge w:val="continue"/>
            <w:tcBorders>
              <w:tl2br w:val="nil"/>
              <w:tr2bl w:val="nil"/>
            </w:tcBorders>
            <w:noWrap w:val="0"/>
            <w:vAlign w:val="center"/>
          </w:tcPr>
          <w:p w14:paraId="3C6604B2">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eastAsia="宋体" w:cs="Times New Roman"/>
                <w:sz w:val="21"/>
                <w:szCs w:val="21"/>
              </w:rPr>
            </w:pPr>
          </w:p>
        </w:tc>
        <w:tc>
          <w:tcPr>
            <w:tcW w:w="1823" w:type="dxa"/>
            <w:tcBorders>
              <w:tl2br w:val="nil"/>
              <w:tr2bl w:val="nil"/>
            </w:tcBorders>
            <w:noWrap w:val="0"/>
            <w:vAlign w:val="center"/>
          </w:tcPr>
          <w:p w14:paraId="344FD2F0">
            <w:pPr>
              <w:keepNext w:val="0"/>
              <w:keepLines w:val="0"/>
              <w:pageBreakBefore w:val="0"/>
              <w:widowControl w:val="0"/>
              <w:kinsoku/>
              <w:overflowPunct/>
              <w:topLinePunct w:val="0"/>
              <w:autoSpaceDE/>
              <w:autoSpaceDN/>
              <w:bidi w:val="0"/>
              <w:spacing w:beforeAutospacing="0" w:afterAutospacing="0" w:line="240" w:lineRule="auto"/>
              <w:jc w:val="center"/>
              <w:textAlignment w:val="auto"/>
              <w:rPr>
                <w:rFonts w:hint="default" w:ascii="Times New Roman" w:hAnsi="Times New Roman" w:eastAsia="宋体" w:cs="Times New Roman"/>
                <w:color w:val="000000"/>
                <w:sz w:val="21"/>
                <w:szCs w:val="21"/>
                <w:lang w:val="en-US" w:eastAsia="zh-CN"/>
              </w:rPr>
            </w:pPr>
            <w:r>
              <w:rPr>
                <w:rFonts w:hint="default" w:ascii="Times New Roman" w:hAnsi="Times New Roman" w:eastAsia="宋体" w:cs="Times New Roman"/>
                <w:color w:val="000000"/>
                <w:sz w:val="21"/>
                <w:szCs w:val="21"/>
                <w:lang w:val="en-US" w:eastAsia="zh-CN"/>
              </w:rPr>
              <w:t>危险废物</w:t>
            </w:r>
          </w:p>
        </w:tc>
        <w:tc>
          <w:tcPr>
            <w:tcW w:w="4317" w:type="dxa"/>
            <w:gridSpan w:val="2"/>
            <w:tcBorders>
              <w:tl2br w:val="nil"/>
              <w:tr2bl w:val="nil"/>
            </w:tcBorders>
            <w:noWrap w:val="0"/>
            <w:vAlign w:val="center"/>
          </w:tcPr>
          <w:p w14:paraId="262601F6">
            <w:pPr>
              <w:widowControl/>
              <w:spacing w:line="240" w:lineRule="auto"/>
              <w:jc w:val="both"/>
              <w:rPr>
                <w:rFonts w:hint="default" w:ascii="Times New Roman" w:hAnsi="Times New Roman" w:eastAsia="宋体" w:cs="Times New Roman"/>
                <w:color w:val="000000"/>
                <w:sz w:val="21"/>
                <w:szCs w:val="21"/>
                <w:lang w:val="en-US" w:eastAsia="zh-CN"/>
              </w:rPr>
            </w:pPr>
            <w:r>
              <w:rPr>
                <w:rFonts w:hint="default" w:ascii="Times New Roman" w:hAnsi="Times New Roman" w:eastAsia="宋体" w:cs="Times New Roman"/>
                <w:color w:val="000000"/>
                <w:sz w:val="21"/>
                <w:szCs w:val="21"/>
                <w:lang w:val="en-US" w:eastAsia="zh-CN"/>
              </w:rPr>
              <w:t>废棉纱手套</w:t>
            </w:r>
            <w:r>
              <w:rPr>
                <w:rFonts w:hint="eastAsia" w:cs="Times New Roman"/>
                <w:color w:val="000000"/>
                <w:sz w:val="21"/>
                <w:szCs w:val="21"/>
                <w:lang w:val="en-US" w:eastAsia="zh-CN"/>
              </w:rPr>
              <w:t>、</w:t>
            </w:r>
            <w:r>
              <w:rPr>
                <w:rFonts w:hint="default" w:ascii="Times New Roman" w:hAnsi="Times New Roman" w:eastAsia="宋体" w:cs="Times New Roman"/>
                <w:color w:val="000000"/>
                <w:sz w:val="21"/>
                <w:szCs w:val="21"/>
                <w:lang w:val="en-US" w:eastAsia="zh-CN"/>
              </w:rPr>
              <w:t>废活性炭</w:t>
            </w:r>
            <w:r>
              <w:rPr>
                <w:rFonts w:hint="eastAsia" w:cs="Times New Roman"/>
                <w:color w:val="000000"/>
                <w:sz w:val="21"/>
                <w:szCs w:val="21"/>
                <w:lang w:val="en-US" w:eastAsia="zh-CN"/>
              </w:rPr>
              <w:t>、</w:t>
            </w:r>
            <w:r>
              <w:rPr>
                <w:rFonts w:hint="default" w:ascii="Times New Roman" w:hAnsi="Times New Roman" w:eastAsia="宋体" w:cs="Times New Roman"/>
                <w:color w:val="000000"/>
                <w:sz w:val="21"/>
                <w:szCs w:val="21"/>
                <w:lang w:val="en-US" w:eastAsia="zh-CN"/>
              </w:rPr>
              <w:t>油泥</w:t>
            </w:r>
            <w:r>
              <w:rPr>
                <w:rFonts w:hint="eastAsia" w:cs="Times New Roman"/>
                <w:color w:val="000000"/>
                <w:sz w:val="21"/>
                <w:szCs w:val="21"/>
                <w:lang w:val="en-US" w:eastAsia="zh-CN"/>
              </w:rPr>
              <w:t>、</w:t>
            </w:r>
            <w:r>
              <w:rPr>
                <w:rFonts w:hint="default" w:ascii="Times New Roman" w:hAnsi="Times New Roman" w:eastAsia="宋体" w:cs="Times New Roman"/>
                <w:color w:val="000000"/>
                <w:sz w:val="21"/>
                <w:szCs w:val="21"/>
                <w:lang w:val="en-US" w:eastAsia="zh-CN"/>
              </w:rPr>
              <w:t>废油桶</w:t>
            </w:r>
            <w:r>
              <w:rPr>
                <w:rFonts w:hint="eastAsia" w:cs="Times New Roman"/>
                <w:color w:val="000000"/>
                <w:sz w:val="21"/>
                <w:szCs w:val="21"/>
                <w:lang w:val="en-US" w:eastAsia="zh-CN"/>
              </w:rPr>
              <w:t>、</w:t>
            </w:r>
            <w:r>
              <w:rPr>
                <w:rFonts w:hint="default" w:ascii="Times New Roman" w:hAnsi="Times New Roman" w:eastAsia="宋体" w:cs="Times New Roman"/>
                <w:color w:val="000000"/>
                <w:sz w:val="21"/>
                <w:szCs w:val="21"/>
                <w:lang w:val="en-US" w:eastAsia="zh-CN"/>
              </w:rPr>
              <w:t>废试剂瓶</w:t>
            </w:r>
            <w:r>
              <w:rPr>
                <w:rFonts w:hint="eastAsia" w:cs="Times New Roman"/>
                <w:color w:val="000000"/>
                <w:sz w:val="21"/>
                <w:szCs w:val="21"/>
                <w:lang w:val="en-US" w:eastAsia="zh-CN"/>
              </w:rPr>
              <w:t>、</w:t>
            </w:r>
            <w:r>
              <w:rPr>
                <w:rFonts w:hint="default" w:ascii="Times New Roman" w:hAnsi="Times New Roman" w:eastAsia="宋体" w:cs="Times New Roman"/>
                <w:color w:val="000000"/>
                <w:sz w:val="21"/>
                <w:szCs w:val="21"/>
                <w:lang w:val="en-US" w:eastAsia="zh-CN"/>
              </w:rPr>
              <w:t>实验废液</w:t>
            </w:r>
            <w:r>
              <w:rPr>
                <w:rFonts w:hint="eastAsia" w:cs="Times New Roman"/>
                <w:color w:val="000000"/>
                <w:sz w:val="21"/>
                <w:szCs w:val="21"/>
                <w:lang w:val="en-US" w:eastAsia="zh-CN"/>
              </w:rPr>
              <w:t>厂内危险废物暂存间暂存，定期由有资质单位接收处置；</w:t>
            </w:r>
          </w:p>
        </w:tc>
        <w:tc>
          <w:tcPr>
            <w:tcW w:w="2350" w:type="dxa"/>
            <w:tcBorders>
              <w:tl2br w:val="nil"/>
              <w:tr2bl w:val="nil"/>
            </w:tcBorders>
            <w:noWrap w:val="0"/>
            <w:vAlign w:val="center"/>
          </w:tcPr>
          <w:p w14:paraId="452E9081">
            <w:pPr>
              <w:keepNext w:val="0"/>
              <w:keepLines w:val="0"/>
              <w:pageBreakBefore w:val="0"/>
              <w:widowControl w:val="0"/>
              <w:kinsoku/>
              <w:wordWrap w:val="0"/>
              <w:overflowPunct/>
              <w:topLinePunct w:val="0"/>
              <w:autoSpaceDE/>
              <w:autoSpaceDN/>
              <w:bidi w:val="0"/>
              <w:adjustRightInd w:val="0"/>
              <w:snapToGrid w:val="0"/>
              <w:spacing w:beforeAutospacing="0" w:afterAutospacing="0" w:line="240" w:lineRule="auto"/>
              <w:jc w:val="both"/>
              <w:textAlignment w:val="auto"/>
              <w:rPr>
                <w:rFonts w:hint="default" w:ascii="Times New Roman" w:hAnsi="Times New Roman" w:eastAsia="宋体" w:cs="Times New Roman"/>
                <w:color w:val="000000"/>
                <w:sz w:val="21"/>
                <w:szCs w:val="21"/>
                <w:lang w:val="en-US" w:eastAsia="zh-CN"/>
              </w:rPr>
            </w:pPr>
            <w:r>
              <w:rPr>
                <w:rFonts w:hint="default" w:ascii="Times New Roman" w:hAnsi="Times New Roman" w:eastAsia="宋体" w:cs="Times New Roman"/>
                <w:color w:val="000000"/>
                <w:sz w:val="21"/>
                <w:szCs w:val="21"/>
                <w:lang w:val="en-US" w:eastAsia="zh-CN"/>
              </w:rPr>
              <w:t>执行（</w:t>
            </w:r>
            <w:r>
              <w:rPr>
                <w:rFonts w:hint="eastAsia" w:cs="Times New Roman"/>
                <w:color w:val="000000"/>
                <w:sz w:val="21"/>
                <w:szCs w:val="21"/>
                <w:lang w:val="en-US" w:eastAsia="zh-CN"/>
              </w:rPr>
              <w:t>GB18597-2023</w:t>
            </w:r>
            <w:r>
              <w:rPr>
                <w:rFonts w:hint="default" w:ascii="Times New Roman" w:hAnsi="Times New Roman" w:eastAsia="宋体" w:cs="Times New Roman"/>
                <w:color w:val="000000"/>
                <w:sz w:val="21"/>
                <w:szCs w:val="21"/>
                <w:lang w:val="en-US" w:eastAsia="zh-CN"/>
              </w:rPr>
              <w:t>）及其修改单</w:t>
            </w:r>
          </w:p>
        </w:tc>
      </w:tr>
      <w:tr w14:paraId="43221D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141" w:type="dxa"/>
            <w:tcBorders>
              <w:tl2br w:val="nil"/>
              <w:tr2bl w:val="nil"/>
            </w:tcBorders>
            <w:noWrap w:val="0"/>
            <w:vAlign w:val="center"/>
          </w:tcPr>
          <w:p w14:paraId="719D44F4">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土壤及地下水污染防治措施</w:t>
            </w:r>
          </w:p>
        </w:tc>
        <w:tc>
          <w:tcPr>
            <w:tcW w:w="8490" w:type="dxa"/>
            <w:gridSpan w:val="4"/>
            <w:tcBorders>
              <w:tl2br w:val="nil"/>
              <w:tr2bl w:val="nil"/>
            </w:tcBorders>
            <w:noWrap w:val="0"/>
            <w:vAlign w:val="center"/>
          </w:tcPr>
          <w:p w14:paraId="6A248DD3">
            <w:pPr>
              <w:keepNext w:val="0"/>
              <w:keepLines w:val="0"/>
              <w:pageBreakBefore w:val="0"/>
              <w:widowControl w:val="0"/>
              <w:numPr>
                <w:ilvl w:val="0"/>
                <w:numId w:val="0"/>
              </w:numPr>
              <w:kinsoku/>
              <w:wordWrap/>
              <w:overflowPunct/>
              <w:topLinePunct w:val="0"/>
              <w:autoSpaceDE/>
              <w:autoSpaceDN/>
              <w:bidi w:val="0"/>
              <w:adjustRightInd/>
              <w:snapToGrid/>
              <w:spacing w:line="240" w:lineRule="auto"/>
              <w:ind w:firstLine="420" w:firstLineChars="200"/>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厂区内按要求做好防渗措施；生产车间按重点防渗区要求采取防渗措施</w:t>
            </w:r>
            <w:r>
              <w:rPr>
                <w:rFonts w:hint="eastAsia" w:cs="Times New Roman"/>
                <w:sz w:val="21"/>
                <w:szCs w:val="21"/>
                <w:lang w:val="en-US" w:eastAsia="zh-CN"/>
              </w:rPr>
              <w:t>；办公区、检验室</w:t>
            </w:r>
            <w:r>
              <w:rPr>
                <w:rFonts w:hint="default" w:ascii="Times New Roman" w:hAnsi="Times New Roman" w:eastAsia="宋体" w:cs="Times New Roman"/>
                <w:sz w:val="21"/>
                <w:szCs w:val="21"/>
                <w:lang w:val="en-US" w:eastAsia="zh-CN"/>
              </w:rPr>
              <w:t>按一般防渗区要求采取防渗措施</w:t>
            </w:r>
            <w:r>
              <w:rPr>
                <w:rFonts w:hint="eastAsia" w:cs="Times New Roman"/>
                <w:sz w:val="21"/>
                <w:szCs w:val="21"/>
                <w:lang w:val="en-US" w:eastAsia="zh-CN"/>
              </w:rPr>
              <w:t>。</w:t>
            </w:r>
          </w:p>
        </w:tc>
      </w:tr>
      <w:tr w14:paraId="1AEB8D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6" w:hRule="atLeast"/>
          <w:jc w:val="center"/>
        </w:trPr>
        <w:tc>
          <w:tcPr>
            <w:tcW w:w="1141" w:type="dxa"/>
            <w:tcBorders>
              <w:tl2br w:val="nil"/>
              <w:tr2bl w:val="nil"/>
            </w:tcBorders>
            <w:noWrap w:val="0"/>
            <w:vAlign w:val="center"/>
          </w:tcPr>
          <w:p w14:paraId="22087500">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生态保护措施</w:t>
            </w:r>
          </w:p>
        </w:tc>
        <w:tc>
          <w:tcPr>
            <w:tcW w:w="8490" w:type="dxa"/>
            <w:gridSpan w:val="4"/>
            <w:tcBorders>
              <w:tl2br w:val="nil"/>
              <w:tr2bl w:val="nil"/>
            </w:tcBorders>
            <w:noWrap w:val="0"/>
            <w:vAlign w:val="center"/>
          </w:tcPr>
          <w:p w14:paraId="495971CE">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无</w:t>
            </w:r>
          </w:p>
        </w:tc>
      </w:tr>
      <w:tr w14:paraId="0D6AFE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6" w:hRule="atLeast"/>
          <w:jc w:val="center"/>
        </w:trPr>
        <w:tc>
          <w:tcPr>
            <w:tcW w:w="1141" w:type="dxa"/>
            <w:tcBorders>
              <w:tl2br w:val="nil"/>
              <w:tr2bl w:val="nil"/>
            </w:tcBorders>
            <w:noWrap w:val="0"/>
            <w:vAlign w:val="center"/>
          </w:tcPr>
          <w:p w14:paraId="4AE8AA12">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eastAsia="宋体" w:cs="Times New Roman"/>
                <w:spacing w:val="-8"/>
                <w:sz w:val="21"/>
                <w:szCs w:val="21"/>
              </w:rPr>
            </w:pPr>
            <w:r>
              <w:rPr>
                <w:rFonts w:hint="default" w:ascii="Times New Roman" w:hAnsi="Times New Roman" w:eastAsia="宋体" w:cs="Times New Roman"/>
                <w:spacing w:val="-8"/>
                <w:sz w:val="21"/>
                <w:szCs w:val="21"/>
              </w:rPr>
              <w:t>环境风险</w:t>
            </w:r>
          </w:p>
          <w:p w14:paraId="2ACECEBA">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eastAsia="宋体" w:cs="Times New Roman"/>
                <w:spacing w:val="-8"/>
                <w:sz w:val="21"/>
                <w:szCs w:val="21"/>
              </w:rPr>
            </w:pPr>
            <w:r>
              <w:rPr>
                <w:rFonts w:hint="default" w:ascii="Times New Roman" w:hAnsi="Times New Roman" w:eastAsia="宋体" w:cs="Times New Roman"/>
                <w:spacing w:val="-8"/>
                <w:sz w:val="21"/>
                <w:szCs w:val="21"/>
              </w:rPr>
              <w:t>防范措施</w:t>
            </w:r>
          </w:p>
        </w:tc>
        <w:tc>
          <w:tcPr>
            <w:tcW w:w="8490" w:type="dxa"/>
            <w:gridSpan w:val="4"/>
            <w:tcBorders>
              <w:tl2br w:val="nil"/>
              <w:tr2bl w:val="nil"/>
            </w:tcBorders>
            <w:noWrap w:val="0"/>
            <w:vAlign w:val="center"/>
          </w:tcPr>
          <w:p w14:paraId="51D54380">
            <w:pPr>
              <w:keepNext w:val="0"/>
              <w:keepLines w:val="0"/>
              <w:pageBreakBefore w:val="0"/>
              <w:widowControl w:val="0"/>
              <w:kinsoku/>
              <w:overflowPunct/>
              <w:topLinePunct w:val="0"/>
              <w:autoSpaceDE/>
              <w:autoSpaceDN/>
              <w:bidi w:val="0"/>
              <w:adjustRightInd w:val="0"/>
              <w:snapToGrid w:val="0"/>
              <w:spacing w:beforeAutospacing="0" w:afterAutospacing="0" w:line="240" w:lineRule="auto"/>
              <w:ind w:firstLine="420" w:firstLineChars="200"/>
              <w:jc w:val="both"/>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强化防火主观意识、建立健全防火安全规章制度并严格执行、消除着火源、</w:t>
            </w:r>
            <w:r>
              <w:rPr>
                <w:rFonts w:hint="eastAsia" w:cs="Times New Roman"/>
                <w:sz w:val="21"/>
                <w:szCs w:val="21"/>
                <w:lang w:val="en-US" w:eastAsia="zh-CN"/>
              </w:rPr>
              <w:t>原辅</w:t>
            </w:r>
            <w:r>
              <w:rPr>
                <w:rFonts w:hint="default" w:ascii="Times New Roman" w:hAnsi="Times New Roman" w:eastAsia="宋体" w:cs="Times New Roman"/>
                <w:sz w:val="21"/>
                <w:szCs w:val="21"/>
                <w:lang w:val="en-US" w:eastAsia="zh-CN"/>
              </w:rPr>
              <w:t>材料的贮存要符合消防安全要求。防范火灾环境事故的发生。</w:t>
            </w:r>
          </w:p>
          <w:p w14:paraId="11C9A14B">
            <w:pPr>
              <w:keepNext w:val="0"/>
              <w:keepLines w:val="0"/>
              <w:pageBreakBefore w:val="0"/>
              <w:widowControl w:val="0"/>
              <w:kinsoku/>
              <w:overflowPunct/>
              <w:topLinePunct w:val="0"/>
              <w:autoSpaceDE/>
              <w:autoSpaceDN/>
              <w:bidi w:val="0"/>
              <w:adjustRightInd w:val="0"/>
              <w:snapToGrid w:val="0"/>
              <w:spacing w:beforeAutospacing="0" w:afterAutospacing="0" w:line="240" w:lineRule="auto"/>
              <w:ind w:firstLine="420" w:firstLineChars="200"/>
              <w:jc w:val="both"/>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强化安全生产及环境保护意识的教育，提高职工的素质，加强操作人员的上岗前的培训，进行安全生产、消防、环保、工业卫生等方面的技术培训教育；定期检查安全消防设施的完好性，确保其处于即用状态，以备在事故发生时，能及时、高效率的发挥作用</w:t>
            </w:r>
            <w:r>
              <w:rPr>
                <w:rFonts w:hint="eastAsia" w:cs="Times New Roman"/>
                <w:sz w:val="21"/>
                <w:szCs w:val="21"/>
                <w:lang w:val="en-US" w:eastAsia="zh-CN"/>
              </w:rPr>
              <w:t>。</w:t>
            </w:r>
          </w:p>
          <w:p w14:paraId="68983C84">
            <w:pPr>
              <w:keepNext w:val="0"/>
              <w:keepLines w:val="0"/>
              <w:pageBreakBefore w:val="0"/>
              <w:widowControl w:val="0"/>
              <w:kinsoku/>
              <w:overflowPunct/>
              <w:topLinePunct w:val="0"/>
              <w:autoSpaceDE/>
              <w:autoSpaceDN/>
              <w:bidi w:val="0"/>
              <w:adjustRightInd w:val="0"/>
              <w:snapToGrid w:val="0"/>
              <w:spacing w:beforeAutospacing="0" w:afterAutospacing="0" w:line="240" w:lineRule="auto"/>
              <w:ind w:firstLine="420" w:firstLineChars="200"/>
              <w:jc w:val="both"/>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定期维护废气治理设施</w:t>
            </w:r>
            <w:r>
              <w:rPr>
                <w:rFonts w:hint="eastAsia" w:cs="Times New Roman"/>
                <w:sz w:val="21"/>
                <w:szCs w:val="21"/>
                <w:lang w:val="en-US" w:eastAsia="zh-CN"/>
              </w:rPr>
              <w:t>。</w:t>
            </w:r>
          </w:p>
        </w:tc>
      </w:tr>
      <w:tr w14:paraId="525B66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82" w:hRule="atLeast"/>
          <w:jc w:val="center"/>
        </w:trPr>
        <w:tc>
          <w:tcPr>
            <w:tcW w:w="1141" w:type="dxa"/>
            <w:tcBorders>
              <w:tl2br w:val="nil"/>
              <w:tr2bl w:val="nil"/>
            </w:tcBorders>
            <w:noWrap w:val="0"/>
            <w:vAlign w:val="center"/>
          </w:tcPr>
          <w:p w14:paraId="0BB57EC9">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eastAsia="宋体" w:cs="Times New Roman"/>
                <w:spacing w:val="-8"/>
                <w:sz w:val="21"/>
                <w:szCs w:val="21"/>
              </w:rPr>
            </w:pPr>
            <w:r>
              <w:rPr>
                <w:rFonts w:hint="default" w:ascii="Times New Roman" w:hAnsi="Times New Roman" w:eastAsia="宋体" w:cs="Times New Roman"/>
                <w:spacing w:val="-8"/>
                <w:sz w:val="21"/>
                <w:szCs w:val="21"/>
              </w:rPr>
              <w:t>其他环境</w:t>
            </w:r>
          </w:p>
          <w:p w14:paraId="3A2EE89D">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eastAsia="宋体" w:cs="Times New Roman"/>
                <w:spacing w:val="-8"/>
                <w:sz w:val="21"/>
                <w:szCs w:val="21"/>
              </w:rPr>
            </w:pPr>
            <w:r>
              <w:rPr>
                <w:rFonts w:hint="default" w:ascii="Times New Roman" w:hAnsi="Times New Roman" w:eastAsia="宋体" w:cs="Times New Roman"/>
                <w:spacing w:val="-8"/>
                <w:sz w:val="21"/>
                <w:szCs w:val="21"/>
              </w:rPr>
              <w:t>管理要求</w:t>
            </w:r>
          </w:p>
        </w:tc>
        <w:tc>
          <w:tcPr>
            <w:tcW w:w="8490" w:type="dxa"/>
            <w:gridSpan w:val="4"/>
            <w:tcBorders>
              <w:tl2br w:val="nil"/>
              <w:tr2bl w:val="nil"/>
            </w:tcBorders>
            <w:noWrap w:val="0"/>
            <w:vAlign w:val="center"/>
          </w:tcPr>
          <w:p w14:paraId="668B7EC9">
            <w:pPr>
              <w:keepNext w:val="0"/>
              <w:keepLines w:val="0"/>
              <w:pageBreakBefore w:val="0"/>
              <w:widowControl w:val="0"/>
              <w:kinsoku/>
              <w:overflowPunct/>
              <w:topLinePunct w:val="0"/>
              <w:autoSpaceDE/>
              <w:autoSpaceDN/>
              <w:bidi w:val="0"/>
              <w:adjustRightInd w:val="0"/>
              <w:snapToGrid w:val="0"/>
              <w:spacing w:beforeAutospacing="0" w:afterAutospacing="0" w:line="240" w:lineRule="auto"/>
              <w:ind w:firstLine="420" w:firstLineChars="200"/>
              <w:jc w:val="both"/>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要求建设单位严格按报告表提出的污染治理设施及环保对策措施逐项实施，做到达标排放</w:t>
            </w:r>
            <w:r>
              <w:rPr>
                <w:rFonts w:hint="eastAsia" w:cs="Times New Roman"/>
                <w:sz w:val="21"/>
                <w:szCs w:val="21"/>
                <w:lang w:val="en-US" w:eastAsia="zh-CN"/>
              </w:rPr>
              <w:t>；</w:t>
            </w:r>
            <w:r>
              <w:rPr>
                <w:rFonts w:hint="default" w:ascii="Times New Roman" w:hAnsi="Times New Roman" w:eastAsia="宋体" w:cs="Times New Roman"/>
                <w:sz w:val="21"/>
                <w:szCs w:val="21"/>
                <w:lang w:val="en-US" w:eastAsia="zh-CN"/>
              </w:rPr>
              <w:t>项目建成后，及时进行环境保护验收</w:t>
            </w:r>
            <w:r>
              <w:rPr>
                <w:rFonts w:hint="eastAsia" w:cs="Times New Roman"/>
                <w:sz w:val="21"/>
                <w:szCs w:val="21"/>
                <w:lang w:val="en-US" w:eastAsia="zh-CN"/>
              </w:rPr>
              <w:t>。严格执行排污许可证的规定，禁止无证排污或不按证排污。</w:t>
            </w:r>
            <w:r>
              <w:rPr>
                <w:rFonts w:hint="default" w:ascii="Times New Roman" w:hAnsi="Times New Roman" w:eastAsia="宋体" w:cs="Times New Roman"/>
                <w:sz w:val="21"/>
                <w:szCs w:val="21"/>
                <w:lang w:val="en-US" w:eastAsia="zh-CN"/>
              </w:rPr>
              <w:t>制订突发环境事件应急预案</w:t>
            </w:r>
            <w:r>
              <w:rPr>
                <w:rFonts w:hint="eastAsia" w:cs="Times New Roman"/>
                <w:sz w:val="21"/>
                <w:szCs w:val="21"/>
                <w:lang w:val="en-US" w:eastAsia="zh-CN"/>
              </w:rPr>
              <w:t>。</w:t>
            </w:r>
          </w:p>
        </w:tc>
      </w:tr>
    </w:tbl>
    <w:p w14:paraId="07CF4F4E">
      <w:pPr>
        <w:spacing w:line="360" w:lineRule="auto"/>
        <w:jc w:val="center"/>
        <w:rPr>
          <w:rFonts w:hint="default" w:ascii="Times New Roman" w:hAnsi="Times New Roman" w:eastAsia="宋体" w:cs="Times New Roman"/>
          <w:b/>
          <w:bCs/>
          <w:color w:val="auto"/>
          <w:sz w:val="24"/>
        </w:rPr>
      </w:pPr>
    </w:p>
    <w:p w14:paraId="216BBC33">
      <w:pPr>
        <w:pStyle w:val="37"/>
        <w:spacing w:line="360" w:lineRule="auto"/>
        <w:rPr>
          <w:rFonts w:hint="default" w:ascii="Times New Roman" w:hAnsi="Times New Roman" w:eastAsia="宋体" w:cs="Times New Roman"/>
          <w:b w:val="0"/>
          <w:snapToGrid w:val="0"/>
          <w:color w:val="auto"/>
          <w:sz w:val="28"/>
          <w:szCs w:val="28"/>
        </w:rPr>
        <w:sectPr>
          <w:headerReference r:id="rId10" w:type="default"/>
          <w:pgSz w:w="11906" w:h="16838"/>
          <w:pgMar w:top="1587" w:right="1134" w:bottom="1587" w:left="1134" w:header="851" w:footer="992" w:gutter="0"/>
          <w:pgBorders>
            <w:top w:val="none" w:sz="0" w:space="0"/>
            <w:left w:val="none" w:sz="0" w:space="0"/>
            <w:bottom w:val="none" w:sz="0" w:space="0"/>
            <w:right w:val="none" w:sz="0" w:space="0"/>
          </w:pgBorders>
          <w:pgNumType w:fmt="decimal"/>
          <w:cols w:space="720" w:num="1"/>
          <w:rtlGutter w:val="0"/>
          <w:docGrid w:type="lines" w:linePitch="312" w:charSpace="0"/>
        </w:sectPr>
      </w:pPr>
    </w:p>
    <w:p w14:paraId="22BCDEFE">
      <w:pPr>
        <w:spacing w:line="360" w:lineRule="auto"/>
        <w:jc w:val="center"/>
        <w:rPr>
          <w:rFonts w:hint="default" w:ascii="Times New Roman" w:hAnsi="Times New Roman" w:eastAsia="宋体" w:cs="Times New Roman"/>
          <w:b/>
          <w:bCs/>
          <w:color w:val="auto"/>
          <w:sz w:val="28"/>
          <w:szCs w:val="28"/>
          <w:lang w:val="en-US" w:eastAsia="zh-CN"/>
        </w:rPr>
      </w:pPr>
      <w:r>
        <w:rPr>
          <w:rFonts w:hint="eastAsia" w:ascii="Times New Roman" w:hAnsi="Times New Roman" w:eastAsia="宋体" w:cs="Times New Roman"/>
          <w:b/>
          <w:bCs/>
          <w:color w:val="auto"/>
          <w:sz w:val="28"/>
          <w:szCs w:val="28"/>
          <w:lang w:val="en-US" w:eastAsia="zh-CN"/>
        </w:rPr>
        <w:t>六</w:t>
      </w:r>
      <w:r>
        <w:rPr>
          <w:rFonts w:hint="eastAsia" w:cs="Times New Roman"/>
          <w:b/>
          <w:bCs/>
          <w:color w:val="auto"/>
          <w:sz w:val="28"/>
          <w:szCs w:val="28"/>
          <w:lang w:val="en-US" w:eastAsia="zh-CN"/>
        </w:rPr>
        <w:t>、</w:t>
      </w:r>
      <w:r>
        <w:rPr>
          <w:rFonts w:hint="eastAsia" w:ascii="Times New Roman" w:hAnsi="Times New Roman" w:eastAsia="宋体" w:cs="Times New Roman"/>
          <w:b/>
          <w:bCs/>
          <w:color w:val="auto"/>
          <w:sz w:val="28"/>
          <w:szCs w:val="28"/>
          <w:lang w:val="en-US" w:eastAsia="zh-CN"/>
        </w:rPr>
        <w:t>结论</w:t>
      </w:r>
    </w:p>
    <w:tbl>
      <w:tblPr>
        <w:tblStyle w:val="28"/>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570"/>
      </w:tblGrid>
      <w:tr w14:paraId="471D67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 w:hRule="atLeast"/>
          <w:jc w:val="center"/>
        </w:trPr>
        <w:tc>
          <w:tcPr>
            <w:tcW w:w="9570" w:type="dxa"/>
            <w:noWrap w:val="0"/>
            <w:vAlign w:val="center"/>
          </w:tcPr>
          <w:p w14:paraId="48B725E7">
            <w:pPr>
              <w:bidi w:val="0"/>
              <w:spacing w:line="360" w:lineRule="auto"/>
              <w:ind w:firstLine="482" w:firstLineChars="200"/>
              <w:rPr>
                <w:rFonts w:hint="eastAsia" w:ascii="Times New Roman" w:hAnsi="Times New Roman" w:eastAsia="宋体" w:cs="Times New Roman"/>
                <w:b/>
                <w:bCs/>
                <w:color w:val="auto"/>
                <w:sz w:val="24"/>
                <w:szCs w:val="24"/>
                <w:lang w:val="en-US" w:eastAsia="zh-CN"/>
              </w:rPr>
            </w:pPr>
            <w:r>
              <w:rPr>
                <w:rFonts w:hint="eastAsia" w:ascii="Times New Roman" w:hAnsi="Times New Roman" w:eastAsia="宋体" w:cs="Times New Roman"/>
                <w:b/>
                <w:bCs/>
                <w:color w:val="auto"/>
                <w:sz w:val="24"/>
                <w:szCs w:val="24"/>
                <w:lang w:val="en-US" w:eastAsia="zh-CN"/>
              </w:rPr>
              <w:t>根据前文分析可知</w:t>
            </w:r>
            <w:r>
              <w:rPr>
                <w:rFonts w:hint="eastAsia" w:cs="Times New Roman"/>
                <w:b/>
                <w:bCs/>
                <w:color w:val="auto"/>
                <w:sz w:val="24"/>
                <w:szCs w:val="24"/>
                <w:lang w:val="en-US" w:eastAsia="zh-CN"/>
              </w:rPr>
              <w:t>，</w:t>
            </w:r>
            <w:r>
              <w:rPr>
                <w:rFonts w:hint="eastAsia" w:ascii="Times New Roman" w:hAnsi="Times New Roman" w:eastAsia="宋体" w:cs="Times New Roman"/>
                <w:b/>
                <w:bCs/>
                <w:color w:val="auto"/>
                <w:sz w:val="24"/>
                <w:szCs w:val="24"/>
                <w:lang w:val="en-US" w:eastAsia="zh-CN"/>
              </w:rPr>
              <w:t>本次评价结论如下</w:t>
            </w:r>
            <w:r>
              <w:rPr>
                <w:rFonts w:hint="eastAsia" w:cs="Times New Roman"/>
                <w:b/>
                <w:bCs/>
                <w:color w:val="auto"/>
                <w:sz w:val="24"/>
                <w:szCs w:val="24"/>
                <w:lang w:val="en-US" w:eastAsia="zh-CN"/>
              </w:rPr>
              <w:t>：</w:t>
            </w:r>
          </w:p>
          <w:p w14:paraId="3CC05B0A">
            <w:pPr>
              <w:bidi w:val="0"/>
              <w:spacing w:line="360" w:lineRule="auto"/>
              <w:ind w:firstLine="480" w:firstLineChars="200"/>
              <w:rPr>
                <w:rFonts w:hint="eastAsia"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从环境角度而言</w:t>
            </w:r>
            <w:r>
              <w:rPr>
                <w:rFonts w:hint="eastAsia" w:cs="Times New Roman"/>
                <w:color w:val="auto"/>
                <w:sz w:val="24"/>
                <w:szCs w:val="24"/>
                <w:lang w:val="en-US" w:eastAsia="zh-CN"/>
              </w:rPr>
              <w:t>，</w:t>
            </w:r>
            <w:r>
              <w:rPr>
                <w:rFonts w:hint="eastAsia" w:ascii="Times New Roman" w:hAnsi="Times New Roman" w:eastAsia="宋体" w:cs="Times New Roman"/>
                <w:color w:val="auto"/>
                <w:sz w:val="24"/>
                <w:szCs w:val="24"/>
                <w:lang w:val="en-US" w:eastAsia="zh-CN"/>
              </w:rPr>
              <w:t>“</w:t>
            </w:r>
            <w:r>
              <w:rPr>
                <w:rFonts w:hint="eastAsia" w:cs="Times New Roman"/>
                <w:color w:val="auto"/>
                <w:sz w:val="24"/>
                <w:szCs w:val="24"/>
                <w:lang w:val="en-US" w:eastAsia="zh-CN"/>
              </w:rPr>
              <w:t>遂宁市安居区废矿物油收集及转运建设项目</w:t>
            </w:r>
            <w:r>
              <w:rPr>
                <w:rFonts w:hint="eastAsia" w:ascii="Times New Roman" w:hAnsi="Times New Roman" w:eastAsia="宋体" w:cs="Times New Roman"/>
                <w:color w:val="auto"/>
                <w:sz w:val="24"/>
                <w:szCs w:val="24"/>
                <w:lang w:val="en-US" w:eastAsia="zh-CN"/>
              </w:rPr>
              <w:t>”选址</w:t>
            </w:r>
            <w:r>
              <w:rPr>
                <w:rFonts w:hint="eastAsia" w:cs="Times New Roman"/>
                <w:color w:val="auto"/>
                <w:sz w:val="24"/>
                <w:szCs w:val="24"/>
                <w:lang w:val="en-US" w:eastAsia="zh-CN"/>
              </w:rPr>
              <w:t>遂宁市安居区演化寺机械工业园红卫桥段（1号仓库），租赁遂宁柔刚投资集团有限公司所属已建标准厂房</w:t>
            </w:r>
            <w:r>
              <w:rPr>
                <w:rFonts w:hint="eastAsia" w:ascii="Times New Roman" w:hAnsi="Times New Roman" w:eastAsia="宋体" w:cs="Times New Roman"/>
                <w:color w:val="auto"/>
                <w:sz w:val="24"/>
                <w:szCs w:val="24"/>
                <w:lang w:val="en-US" w:eastAsia="zh-CN"/>
              </w:rPr>
              <w:t>实施建设是可行的</w:t>
            </w:r>
            <w:r>
              <w:rPr>
                <w:rFonts w:hint="eastAsia" w:cs="Times New Roman"/>
                <w:color w:val="auto"/>
                <w:sz w:val="24"/>
                <w:szCs w:val="24"/>
                <w:lang w:val="en-US" w:eastAsia="zh-CN"/>
              </w:rPr>
              <w:t>。</w:t>
            </w:r>
          </w:p>
          <w:p w14:paraId="0621693E">
            <w:pPr>
              <w:bidi w:val="0"/>
              <w:spacing w:line="360" w:lineRule="auto"/>
              <w:ind w:firstLine="480" w:firstLineChars="200"/>
              <w:rPr>
                <w:rFonts w:hint="eastAsia" w:cs="Times New Roman"/>
                <w:color w:val="auto"/>
                <w:sz w:val="24"/>
                <w:szCs w:val="24"/>
                <w:lang w:val="en-US" w:eastAsia="zh-CN"/>
              </w:rPr>
            </w:pPr>
          </w:p>
          <w:p w14:paraId="4844D4FE">
            <w:pPr>
              <w:bidi w:val="0"/>
              <w:spacing w:line="360" w:lineRule="auto"/>
              <w:ind w:firstLine="480" w:firstLineChars="200"/>
              <w:rPr>
                <w:rFonts w:hint="eastAsia" w:cs="Times New Roman"/>
                <w:color w:val="auto"/>
                <w:sz w:val="24"/>
                <w:szCs w:val="24"/>
                <w:lang w:val="en-US" w:eastAsia="zh-CN"/>
              </w:rPr>
            </w:pPr>
          </w:p>
          <w:p w14:paraId="541FC231">
            <w:pPr>
              <w:bidi w:val="0"/>
              <w:spacing w:line="360" w:lineRule="auto"/>
              <w:rPr>
                <w:rFonts w:hint="default" w:cs="Times New Roman"/>
                <w:color w:val="auto"/>
                <w:sz w:val="24"/>
                <w:szCs w:val="24"/>
                <w:lang w:val="en-US" w:eastAsia="zh-CN"/>
              </w:rPr>
            </w:pPr>
          </w:p>
          <w:p w14:paraId="2926BA17">
            <w:pPr>
              <w:bidi w:val="0"/>
              <w:spacing w:line="360" w:lineRule="auto"/>
              <w:ind w:firstLine="480" w:firstLineChars="200"/>
              <w:rPr>
                <w:rFonts w:hint="eastAsia" w:cs="Times New Roman"/>
                <w:color w:val="auto"/>
                <w:sz w:val="24"/>
                <w:szCs w:val="24"/>
                <w:lang w:val="en-US" w:eastAsia="zh-CN"/>
              </w:rPr>
            </w:pPr>
          </w:p>
          <w:p w14:paraId="1DE03C8D">
            <w:pPr>
              <w:bidi w:val="0"/>
              <w:spacing w:line="360" w:lineRule="auto"/>
              <w:ind w:firstLine="480" w:firstLineChars="200"/>
              <w:rPr>
                <w:rFonts w:hint="eastAsia" w:cs="Times New Roman"/>
                <w:color w:val="auto"/>
                <w:sz w:val="24"/>
                <w:szCs w:val="24"/>
                <w:lang w:val="en-US" w:eastAsia="zh-CN"/>
              </w:rPr>
            </w:pPr>
          </w:p>
          <w:p w14:paraId="153642C9">
            <w:pPr>
              <w:bidi w:val="0"/>
              <w:spacing w:line="360" w:lineRule="auto"/>
              <w:ind w:firstLine="480" w:firstLineChars="200"/>
              <w:rPr>
                <w:rFonts w:hint="eastAsia" w:cs="Times New Roman"/>
                <w:color w:val="auto"/>
                <w:sz w:val="24"/>
                <w:szCs w:val="24"/>
                <w:lang w:val="en-US" w:eastAsia="zh-CN"/>
              </w:rPr>
            </w:pPr>
          </w:p>
          <w:p w14:paraId="406CE545">
            <w:pPr>
              <w:bidi w:val="0"/>
              <w:spacing w:line="360" w:lineRule="auto"/>
              <w:ind w:firstLine="480" w:firstLineChars="200"/>
              <w:rPr>
                <w:rFonts w:hint="eastAsia" w:cs="Times New Roman"/>
                <w:color w:val="auto"/>
                <w:sz w:val="24"/>
                <w:szCs w:val="24"/>
                <w:lang w:val="en-US" w:eastAsia="zh-CN"/>
              </w:rPr>
            </w:pPr>
          </w:p>
          <w:p w14:paraId="1DAC4454">
            <w:pPr>
              <w:bidi w:val="0"/>
              <w:spacing w:line="360" w:lineRule="auto"/>
              <w:ind w:firstLine="480" w:firstLineChars="200"/>
              <w:rPr>
                <w:rFonts w:hint="eastAsia" w:cs="Times New Roman"/>
                <w:color w:val="auto"/>
                <w:sz w:val="24"/>
                <w:szCs w:val="24"/>
                <w:lang w:val="en-US" w:eastAsia="zh-CN"/>
              </w:rPr>
            </w:pPr>
          </w:p>
          <w:p w14:paraId="3DCE5B84">
            <w:pPr>
              <w:bidi w:val="0"/>
              <w:spacing w:line="360" w:lineRule="auto"/>
              <w:ind w:firstLine="480" w:firstLineChars="200"/>
              <w:rPr>
                <w:rFonts w:hint="eastAsia" w:cs="Times New Roman"/>
                <w:color w:val="auto"/>
                <w:sz w:val="24"/>
                <w:szCs w:val="24"/>
                <w:lang w:val="en-US" w:eastAsia="zh-CN"/>
              </w:rPr>
            </w:pPr>
          </w:p>
          <w:p w14:paraId="5CD35E99">
            <w:pPr>
              <w:bidi w:val="0"/>
              <w:spacing w:line="360" w:lineRule="auto"/>
              <w:ind w:firstLine="480" w:firstLineChars="200"/>
              <w:rPr>
                <w:rFonts w:hint="eastAsia" w:cs="Times New Roman"/>
                <w:color w:val="auto"/>
                <w:sz w:val="24"/>
                <w:szCs w:val="24"/>
                <w:lang w:val="en-US" w:eastAsia="zh-CN"/>
              </w:rPr>
            </w:pPr>
          </w:p>
          <w:p w14:paraId="29AD603D">
            <w:pPr>
              <w:bidi w:val="0"/>
              <w:spacing w:line="360" w:lineRule="auto"/>
              <w:ind w:firstLine="480" w:firstLineChars="200"/>
              <w:rPr>
                <w:rFonts w:hint="eastAsia" w:cs="Times New Roman"/>
                <w:color w:val="auto"/>
                <w:sz w:val="24"/>
                <w:szCs w:val="24"/>
                <w:lang w:val="en-US" w:eastAsia="zh-CN"/>
              </w:rPr>
            </w:pPr>
          </w:p>
          <w:p w14:paraId="4BE43A60">
            <w:pPr>
              <w:bidi w:val="0"/>
              <w:spacing w:line="360" w:lineRule="auto"/>
              <w:ind w:firstLine="480" w:firstLineChars="200"/>
              <w:rPr>
                <w:rFonts w:hint="eastAsia" w:cs="Times New Roman"/>
                <w:color w:val="auto"/>
                <w:sz w:val="24"/>
                <w:szCs w:val="24"/>
                <w:lang w:val="en-US" w:eastAsia="zh-CN"/>
              </w:rPr>
            </w:pPr>
          </w:p>
          <w:p w14:paraId="6DCAA1E9">
            <w:pPr>
              <w:bidi w:val="0"/>
              <w:spacing w:line="360" w:lineRule="auto"/>
              <w:ind w:firstLine="480" w:firstLineChars="200"/>
              <w:rPr>
                <w:rFonts w:hint="eastAsia" w:cs="Times New Roman"/>
                <w:color w:val="auto"/>
                <w:sz w:val="24"/>
                <w:szCs w:val="24"/>
                <w:lang w:val="en-US" w:eastAsia="zh-CN"/>
              </w:rPr>
            </w:pPr>
          </w:p>
          <w:p w14:paraId="5BEDEA67">
            <w:pPr>
              <w:bidi w:val="0"/>
              <w:spacing w:line="360" w:lineRule="auto"/>
              <w:ind w:firstLine="480" w:firstLineChars="200"/>
              <w:rPr>
                <w:rFonts w:hint="eastAsia" w:cs="Times New Roman"/>
                <w:color w:val="auto"/>
                <w:sz w:val="24"/>
                <w:szCs w:val="24"/>
                <w:lang w:val="en-US" w:eastAsia="zh-CN"/>
              </w:rPr>
            </w:pPr>
          </w:p>
          <w:p w14:paraId="2A1E0937">
            <w:pPr>
              <w:bidi w:val="0"/>
              <w:spacing w:line="360" w:lineRule="auto"/>
              <w:ind w:firstLine="480" w:firstLineChars="200"/>
              <w:rPr>
                <w:rFonts w:hint="eastAsia" w:cs="Times New Roman"/>
                <w:color w:val="auto"/>
                <w:sz w:val="24"/>
                <w:szCs w:val="24"/>
                <w:lang w:val="en-US" w:eastAsia="zh-CN"/>
              </w:rPr>
            </w:pPr>
          </w:p>
          <w:p w14:paraId="132B7D49">
            <w:pPr>
              <w:bidi w:val="0"/>
              <w:spacing w:line="360" w:lineRule="auto"/>
              <w:ind w:firstLine="480" w:firstLineChars="200"/>
              <w:rPr>
                <w:rFonts w:hint="eastAsia" w:cs="Times New Roman"/>
                <w:color w:val="auto"/>
                <w:sz w:val="24"/>
                <w:szCs w:val="24"/>
                <w:lang w:val="en-US" w:eastAsia="zh-CN"/>
              </w:rPr>
            </w:pPr>
          </w:p>
          <w:p w14:paraId="0C883D42">
            <w:pPr>
              <w:bidi w:val="0"/>
              <w:spacing w:line="360" w:lineRule="auto"/>
              <w:ind w:firstLine="480" w:firstLineChars="200"/>
              <w:rPr>
                <w:rFonts w:hint="eastAsia" w:cs="Times New Roman"/>
                <w:color w:val="auto"/>
                <w:sz w:val="24"/>
                <w:szCs w:val="24"/>
                <w:lang w:val="en-US" w:eastAsia="zh-CN"/>
              </w:rPr>
            </w:pPr>
          </w:p>
          <w:p w14:paraId="132FAAE8">
            <w:pPr>
              <w:bidi w:val="0"/>
              <w:spacing w:line="360" w:lineRule="auto"/>
              <w:ind w:firstLine="480" w:firstLineChars="200"/>
              <w:rPr>
                <w:rFonts w:hint="eastAsia" w:cs="Times New Roman"/>
                <w:color w:val="auto"/>
                <w:sz w:val="24"/>
                <w:szCs w:val="24"/>
                <w:lang w:val="en-US" w:eastAsia="zh-CN"/>
              </w:rPr>
            </w:pPr>
          </w:p>
          <w:p w14:paraId="6DA4F249">
            <w:pPr>
              <w:bidi w:val="0"/>
              <w:spacing w:line="360" w:lineRule="auto"/>
              <w:ind w:firstLine="480" w:firstLineChars="200"/>
              <w:rPr>
                <w:rFonts w:hint="eastAsia" w:cs="Times New Roman"/>
                <w:color w:val="auto"/>
                <w:sz w:val="24"/>
                <w:szCs w:val="24"/>
                <w:lang w:val="en-US" w:eastAsia="zh-CN"/>
              </w:rPr>
            </w:pPr>
          </w:p>
          <w:p w14:paraId="6B1DACC6">
            <w:pPr>
              <w:bidi w:val="0"/>
              <w:spacing w:line="360" w:lineRule="auto"/>
              <w:ind w:firstLine="480" w:firstLineChars="200"/>
              <w:rPr>
                <w:rFonts w:hint="eastAsia" w:cs="Times New Roman"/>
                <w:color w:val="auto"/>
                <w:sz w:val="24"/>
                <w:szCs w:val="24"/>
                <w:lang w:val="en-US" w:eastAsia="zh-CN"/>
              </w:rPr>
            </w:pPr>
          </w:p>
          <w:p w14:paraId="28A8B956">
            <w:pPr>
              <w:bidi w:val="0"/>
              <w:spacing w:line="360" w:lineRule="auto"/>
              <w:ind w:firstLine="480" w:firstLineChars="200"/>
              <w:rPr>
                <w:rFonts w:hint="eastAsia" w:cs="Times New Roman"/>
                <w:color w:val="auto"/>
                <w:sz w:val="24"/>
                <w:szCs w:val="24"/>
                <w:lang w:val="en-US" w:eastAsia="zh-CN"/>
              </w:rPr>
            </w:pPr>
          </w:p>
          <w:p w14:paraId="2EEFA10A">
            <w:pPr>
              <w:bidi w:val="0"/>
              <w:spacing w:line="360" w:lineRule="auto"/>
              <w:ind w:firstLine="480" w:firstLineChars="200"/>
              <w:rPr>
                <w:rFonts w:hint="eastAsia" w:cs="Times New Roman"/>
                <w:color w:val="auto"/>
                <w:sz w:val="24"/>
                <w:szCs w:val="24"/>
                <w:lang w:val="en-US" w:eastAsia="zh-CN"/>
              </w:rPr>
            </w:pPr>
          </w:p>
          <w:p w14:paraId="1960AEB1">
            <w:pPr>
              <w:bidi w:val="0"/>
              <w:spacing w:line="360" w:lineRule="auto"/>
              <w:rPr>
                <w:rFonts w:hint="default" w:ascii="Times New Roman" w:hAnsi="Times New Roman" w:eastAsia="宋体" w:cs="Times New Roman"/>
                <w:color w:val="auto"/>
                <w:sz w:val="24"/>
                <w:szCs w:val="24"/>
                <w:lang w:val="en-US" w:eastAsia="zh-CN"/>
              </w:rPr>
            </w:pPr>
          </w:p>
        </w:tc>
      </w:tr>
    </w:tbl>
    <w:p w14:paraId="68FF72FC">
      <w:pPr>
        <w:spacing w:line="360" w:lineRule="auto"/>
        <w:rPr>
          <w:rFonts w:hint="default" w:ascii="Times New Roman" w:hAnsi="Times New Roman" w:eastAsia="宋体" w:cs="Times New Roman"/>
          <w:color w:val="auto"/>
        </w:rPr>
      </w:pPr>
    </w:p>
    <w:sectPr>
      <w:headerReference r:id="rId11" w:type="default"/>
      <w:pgSz w:w="11906" w:h="16838"/>
      <w:pgMar w:top="1587" w:right="1134" w:bottom="1587" w:left="1134" w:header="851" w:footer="992" w:gutter="0"/>
      <w:pgBorders>
        <w:top w:val="none" w:sz="0" w:space="0"/>
        <w:left w:val="none" w:sz="0" w:space="0"/>
        <w:bottom w:val="none" w:sz="0" w:space="0"/>
        <w:right w:val="none" w:sz="0" w:space="0"/>
      </w:pgBorders>
      <w:pgNumType w:fmt="decimal"/>
      <w:cols w:space="720" w:num="1"/>
      <w:rtlGutter w:val="0"/>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AFF" w:usb1="C0007841" w:usb2="00000009" w:usb3="00000000" w:csb0="400001FF" w:csb1="FFFF0000"/>
  </w:font>
  <w:font w:name="宋体">
    <w:panose1 w:val="02010600030101010101"/>
    <w:charset w:val="7F"/>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仿宋_GB2312">
    <w:altName w:val="仿宋"/>
    <w:panose1 w:val="02010609030101010101"/>
    <w:charset w:val="86"/>
    <w:family w:val="modern"/>
    <w:pitch w:val="default"/>
    <w:sig w:usb0="00000000" w:usb1="00000000" w:usb2="00000000" w:usb3="00000000" w:csb0="00040000" w:csb1="00000000"/>
  </w:font>
  <w:font w:name="仿宋">
    <w:panose1 w:val="02010609060101010101"/>
    <w:charset w:val="86"/>
    <w:family w:val="auto"/>
    <w:pitch w:val="default"/>
    <w:sig w:usb0="800002BF" w:usb1="38CF7CFA" w:usb2="00000016" w:usb3="00000000" w:csb0="00040001" w:csb1="00000000"/>
  </w:font>
  <w:font w:name="Plotter">
    <w:altName w:val="Lucida Console"/>
    <w:panose1 w:val="00000000000000000000"/>
    <w:charset w:val="00"/>
    <w:family w:val="modern"/>
    <w:pitch w:val="default"/>
    <w:sig w:usb0="00000000" w:usb1="00000000" w:usb2="00000000" w:usb3="00000000" w:csb0="00000001" w:csb1="00000000"/>
  </w:font>
  <w:font w:name="Lucida Console">
    <w:panose1 w:val="020B0609040504020204"/>
    <w:charset w:val="00"/>
    <w:family w:val="auto"/>
    <w:pitch w:val="default"/>
    <w:sig w:usb0="8000028F" w:usb1="00001800" w:usb2="00000000" w:usb3="00000000" w:csb0="0000001F" w:csb1="D7D70000"/>
  </w:font>
  <w:font w:name="Wingdings 2">
    <w:altName w:val="Wingdings"/>
    <w:panose1 w:val="05020102010507070707"/>
    <w:charset w:val="02"/>
    <w:family w:val="auto"/>
    <w:pitch w:val="default"/>
    <w:sig w:usb0="00000000" w:usb1="00000000" w:usb2="00000000" w:usb3="00000000" w:csb0="80000000" w:csb1="00000000"/>
  </w:font>
  <w:font w:name="TimesNewRoman">
    <w:altName w:val="Times New Roman"/>
    <w:panose1 w:val="00000000000000000000"/>
    <w:charset w:val="00"/>
    <w:family w:val="roman"/>
    <w:pitch w:val="default"/>
    <w:sig w:usb0="00000000" w:usb1="00000000" w:usb2="00000000" w:usb3="00000000" w:csb0="00000001" w:csb1="00000000"/>
  </w:font>
  <w:font w:name="华文中宋">
    <w:altName w:val="宋体"/>
    <w:panose1 w:val="02010600040101010101"/>
    <w:charset w:val="86"/>
    <w:family w:val="auto"/>
    <w:pitch w:val="default"/>
    <w:sig w:usb0="00000000" w:usb1="00000000" w:usb2="00000000" w:usb3="00000000" w:csb0="0004009F" w:csb1="DFD70000"/>
  </w:font>
  <w:font w:name="方正仿宋简体">
    <w:altName w:val="微软雅黑"/>
    <w:panose1 w:val="02010601030101010101"/>
    <w:charset w:val="86"/>
    <w:family w:val="auto"/>
    <w:pitch w:val="default"/>
    <w:sig w:usb0="00000000" w:usb1="00000000" w:usb2="00000000" w:usb3="00000000" w:csb0="00040000" w:csb1="00000000"/>
  </w:font>
  <w:font w:name="微软雅黑">
    <w:panose1 w:val="020B0503020204020204"/>
    <w:charset w:val="86"/>
    <w:family w:val="auto"/>
    <w:pitch w:val="default"/>
    <w:sig w:usb0="80000287" w:usb1="280F3C52" w:usb2="00000016" w:usb3="00000000" w:csb0="0004001F" w:csb1="00000000"/>
  </w:font>
  <w:font w:name="Helvetica">
    <w:altName w:val="Arial"/>
    <w:panose1 w:val="00000000000000000000"/>
    <w:charset w:val="00"/>
    <w:family w:val="roman"/>
    <w:pitch w:val="default"/>
    <w:sig w:usb0="00000000"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1E00F12">
    <w:pPr>
      <w:pStyle w:val="19"/>
      <w:framePr w:wrap="around" w:vAnchor="text" w:hAnchor="margin" w:xAlign="center" w:y="1"/>
      <w:rPr>
        <w:rStyle w:val="33"/>
      </w:rPr>
    </w:pPr>
    <w:r>
      <w:fldChar w:fldCharType="begin"/>
    </w:r>
    <w:r>
      <w:rPr>
        <w:rStyle w:val="33"/>
      </w:rPr>
      <w:instrText xml:space="preserve">PAGE  </w:instrText>
    </w:r>
    <w:r>
      <w:fldChar w:fldCharType="end"/>
    </w:r>
  </w:p>
  <w:p w14:paraId="6618E867">
    <w:pPr>
      <w:pStyle w:val="19"/>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F19B306">
    <w:pPr>
      <w:pStyle w:val="19"/>
    </w:pPr>
    <w:r>
      <w:br w:type="textWrapping"/>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C627B4C">
    <w:pPr>
      <w:pStyle w:val="19"/>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73" name="文本框 7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300C1B69">
                          <w:pPr>
                            <w:pStyle w:val="19"/>
                          </w:pPr>
                          <w:r>
                            <w:fldChar w:fldCharType="begin"/>
                          </w:r>
                          <w:r>
                            <w:instrText xml:space="preserve"> PAGE  \* MERGEFORMAT </w:instrText>
                          </w:r>
                          <w:r>
                            <w:fldChar w:fldCharType="separate"/>
                          </w:r>
                          <w:r>
                            <w:t>- 1 -</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NToCZgzAgAAYwQAAA4AAABkcnMvZTJvRG9jLnhtbK1UzY7TMBC+I/EO&#10;lu80aVcsVdV0VbYqQqrYlRbE2XWcxpL/ZLtNygPAG3Diwp3n6nPwOWm6aOGwBy7O2DP+xt83M5nf&#10;tFqRg/BBWlPQ8SinRBhuS2l2Bf30cf1qSkmIzJRMWSMKehSB3ixevpg3biYmtraqFJ4AxIRZ4wpa&#10;x+hmWRZ4LTQLI+uEgbOyXrOIrd9lpWcN0LXKJnl+nTXWl85bLkLA6ap30jOifw6grSrJxcryvRYm&#10;9qheKBZBKdTSBbroXltVgse7qgoiElVQMI3diiSwt2nNFnM223nmasnPT2DPecITTppJg6QXqBWL&#10;jOy9/AtKS+5tsFUccauznkinCFiM8yfaPNTMiY4LpA7uInr4f7D8w+HeE1kW9M0VJYZpVPz0/dvp&#10;x6/Tz68EZxCocWGGuAeHyNi+tS3aZjgPOEy828rr9AUjAj/kPV7kFW0kPF2aTqbTHC4O37ABfvZ4&#10;3fkQ3wmrSTIK6lG/TlZ22ITYhw4hKZuxa6lUV0NlSFPQ66vXeXfh4gG4MsiRSPSPTVZst+2Z2daW&#10;RxDztu+N4PhaIvmGhXjPPJoBD8a4xDsslbJIYs8WJbX1X/51nuJRI3gpadBcBTWYJUrUe4PaATAO&#10;hh+M7WCYvb616NYxxtDxzsQFH9VgVt7qz5ihZcoBFzMcmQoaB/M29g2OGeRiueyC9s7LXd1fQOc5&#10;FjfmwfGUJgkZ3HIfIWancRKoV+WsG3qvq9J5TlJz/7nvoh7/DYvf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NToCZgzAgAAYwQAAA4AAAAAAAAAAQAgAAAAHwEAAGRycy9lMm9Eb2MueG1sUEsF&#10;BgAAAAAGAAYAWQEAAMQFAAAAAA==&#10;">
              <v:fill on="f" focussize="0,0"/>
              <v:stroke on="f" weight="0.5pt"/>
              <v:imagedata o:title=""/>
              <o:lock v:ext="edit" aspectratio="f"/>
              <v:textbox inset="0mm,0mm,0mm,0mm" style="mso-fit-shape-to-text:t;">
                <w:txbxContent>
                  <w:p w14:paraId="300C1B69">
                    <w:pPr>
                      <w:pStyle w:val="19"/>
                    </w:pPr>
                    <w:r>
                      <w:fldChar w:fldCharType="begin"/>
                    </w:r>
                    <w:r>
                      <w:instrText xml:space="preserve"> PAGE  \* MERGEFORMAT </w:instrText>
                    </w:r>
                    <w:r>
                      <w:fldChar w:fldCharType="separate"/>
                    </w:r>
                    <w:r>
                      <w:t>- 1 -</w:t>
                    </w:r>
                    <w: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D6EFFF0">
    <w:pPr>
      <w:pStyle w:val="11"/>
      <w:pBdr>
        <w:bottom w:val="none" w:color="auto" w:sz="0" w:space="0"/>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6463DC8">
    <w:pPr>
      <w:pStyle w:val="11"/>
      <w:pBdr>
        <w:bottom w:val="none" w:color="auto" w:sz="0" w:space="0"/>
      </w:pBd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B5C1FA6">
    <w:pPr>
      <w:pStyle w:val="11"/>
      <w:pBdr>
        <w:bottom w:val="none" w:color="auto" w:sz="0" w:space="0"/>
      </w:pBdr>
      <w:snapToGrid/>
      <w:jc w:val="both"/>
      <w:rPr>
        <w:rFonts w:hint="eastAsia"/>
      </w:rPr>
    </w:pPr>
    <w:r>
      <w:rPr>
        <w:rFonts w:hint="eastAsia"/>
      </w:rPr>
      <w:t xml:space="preserve">  </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0DA046F">
    <w:pPr>
      <w:pStyle w:val="11"/>
      <w:pBdr>
        <w:bottom w:val="none" w:color="auto" w:sz="0" w:space="0"/>
      </w:pBdr>
      <w:jc w:val="both"/>
      <w:rPr>
        <w:rFonts w:hint="eastAsia"/>
      </w:rPr>
    </w:pPr>
    <w:r>
      <w:rPr>
        <w:rFonts w:hint="eastAsia"/>
      </w:rPr>
      <w:t xml:space="preserve">                     </w:t>
    </w:r>
    <w:r>
      <w:rPr>
        <w:rFonts w:hint="eastAsia"/>
        <w:lang w:val="en-US" w:eastAsia="zh-CN"/>
      </w:rPr>
      <w:t xml:space="preserve"> </w:t>
    </w:r>
    <w:r>
      <w:rPr>
        <w:rFonts w:hint="eastAsia"/>
      </w:rPr>
      <w:t xml:space="preserve">          </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56C7DC5">
    <w:pPr>
      <w:pStyle w:val="11"/>
      <w:pBdr>
        <w:bottom w:val="none" w:color="auto" w:sz="0" w:space="0"/>
      </w:pBdr>
      <w:jc w:val="both"/>
      <w:rPr>
        <w:rFonts w:hint="eastAsia"/>
      </w:rPr>
    </w:pPr>
    <w:r>
      <w:rPr>
        <w:rFonts w:hint="eastAsia"/>
      </w:rPr>
      <w:t xml:space="preserve">    </w:t>
    </w:r>
    <w:r>
      <w:rPr>
        <w:rFonts w:hint="eastAsia"/>
        <w:lang w:val="en-US" w:eastAsia="zh-CN"/>
      </w:rPr>
      <w:t xml:space="preserve"> </w:t>
    </w:r>
    <w:r>
      <w:rPr>
        <w:rFonts w:hint="eastAsia"/>
      </w:rPr>
      <w:t xml:space="preserve">    </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DD360CB">
    <w:pPr>
      <w:pStyle w:val="11"/>
      <w:pBdr>
        <w:bottom w:val="none" w:color="auto" w:sz="0" w:space="0"/>
      </w:pBdr>
      <w:jc w:val="both"/>
      <w:rPr>
        <w:rFonts w:hint="eastAsia"/>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5931908"/>
    <w:multiLevelType w:val="singleLevel"/>
    <w:tmpl w:val="85931908"/>
    <w:lvl w:ilvl="0" w:tentative="0">
      <w:start w:val="1"/>
      <w:numFmt w:val="decimal"/>
      <w:suff w:val="nothing"/>
      <w:lvlText w:val="%1、"/>
      <w:lvlJc w:val="left"/>
    </w:lvl>
  </w:abstractNum>
  <w:abstractNum w:abstractNumId="1">
    <w:nsid w:val="861602D6"/>
    <w:multiLevelType w:val="singleLevel"/>
    <w:tmpl w:val="861602D6"/>
    <w:lvl w:ilvl="0" w:tentative="0">
      <w:start w:val="1"/>
      <w:numFmt w:val="upperLetter"/>
      <w:suff w:val="nothing"/>
      <w:lvlText w:val="%1、"/>
      <w:lvlJc w:val="left"/>
    </w:lvl>
  </w:abstractNum>
  <w:abstractNum w:abstractNumId="2">
    <w:nsid w:val="891051DC"/>
    <w:multiLevelType w:val="singleLevel"/>
    <w:tmpl w:val="891051DC"/>
    <w:lvl w:ilvl="0" w:tentative="0">
      <w:start w:val="1"/>
      <w:numFmt w:val="decimal"/>
      <w:suff w:val="nothing"/>
      <w:lvlText w:val="（%1）"/>
      <w:lvlJc w:val="left"/>
    </w:lvl>
  </w:abstractNum>
  <w:abstractNum w:abstractNumId="3">
    <w:nsid w:val="8F5E3CBA"/>
    <w:multiLevelType w:val="singleLevel"/>
    <w:tmpl w:val="8F5E3CBA"/>
    <w:lvl w:ilvl="0" w:tentative="0">
      <w:start w:val="1"/>
      <w:numFmt w:val="decimal"/>
      <w:suff w:val="nothing"/>
      <w:lvlText w:val="（%1）"/>
      <w:lvlJc w:val="left"/>
    </w:lvl>
  </w:abstractNum>
  <w:abstractNum w:abstractNumId="4">
    <w:nsid w:val="9161D469"/>
    <w:multiLevelType w:val="singleLevel"/>
    <w:tmpl w:val="9161D469"/>
    <w:lvl w:ilvl="0" w:tentative="0">
      <w:start w:val="1"/>
      <w:numFmt w:val="decimal"/>
      <w:suff w:val="nothing"/>
      <w:lvlText w:val="%1、"/>
      <w:lvlJc w:val="left"/>
    </w:lvl>
  </w:abstractNum>
  <w:abstractNum w:abstractNumId="5">
    <w:nsid w:val="936152DB"/>
    <w:multiLevelType w:val="singleLevel"/>
    <w:tmpl w:val="936152DB"/>
    <w:lvl w:ilvl="0" w:tentative="0">
      <w:start w:val="1"/>
      <w:numFmt w:val="decimal"/>
      <w:suff w:val="nothing"/>
      <w:lvlText w:val="%1、"/>
      <w:lvlJc w:val="left"/>
    </w:lvl>
  </w:abstractNum>
  <w:abstractNum w:abstractNumId="6">
    <w:nsid w:val="9483CD90"/>
    <w:multiLevelType w:val="singleLevel"/>
    <w:tmpl w:val="9483CD90"/>
    <w:lvl w:ilvl="0" w:tentative="0">
      <w:start w:val="1"/>
      <w:numFmt w:val="decimal"/>
      <w:suff w:val="nothing"/>
      <w:lvlText w:val="（%1）"/>
      <w:lvlJc w:val="left"/>
    </w:lvl>
  </w:abstractNum>
  <w:abstractNum w:abstractNumId="7">
    <w:nsid w:val="98F09D24"/>
    <w:multiLevelType w:val="singleLevel"/>
    <w:tmpl w:val="98F09D24"/>
    <w:lvl w:ilvl="0" w:tentative="0">
      <w:start w:val="1"/>
      <w:numFmt w:val="decimal"/>
      <w:suff w:val="nothing"/>
      <w:lvlText w:val="（%1）"/>
      <w:lvlJc w:val="left"/>
    </w:lvl>
  </w:abstractNum>
  <w:abstractNum w:abstractNumId="8">
    <w:nsid w:val="9AD768D0"/>
    <w:multiLevelType w:val="singleLevel"/>
    <w:tmpl w:val="9AD768D0"/>
    <w:lvl w:ilvl="0" w:tentative="0">
      <w:start w:val="1"/>
      <w:numFmt w:val="decimal"/>
      <w:suff w:val="nothing"/>
      <w:lvlText w:val="%1）"/>
      <w:lvlJc w:val="left"/>
    </w:lvl>
  </w:abstractNum>
  <w:abstractNum w:abstractNumId="9">
    <w:nsid w:val="9C007066"/>
    <w:multiLevelType w:val="singleLevel"/>
    <w:tmpl w:val="9C007066"/>
    <w:lvl w:ilvl="0" w:tentative="0">
      <w:start w:val="1"/>
      <w:numFmt w:val="decimal"/>
      <w:suff w:val="nothing"/>
      <w:lvlText w:val="%1、"/>
      <w:lvlJc w:val="left"/>
    </w:lvl>
  </w:abstractNum>
  <w:abstractNum w:abstractNumId="10">
    <w:nsid w:val="9D985F0C"/>
    <w:multiLevelType w:val="singleLevel"/>
    <w:tmpl w:val="9D985F0C"/>
    <w:lvl w:ilvl="0" w:tentative="0">
      <w:start w:val="1"/>
      <w:numFmt w:val="chineseCounting"/>
      <w:suff w:val="nothing"/>
      <w:lvlText w:val="%1、"/>
      <w:lvlJc w:val="left"/>
      <w:rPr>
        <w:rFonts w:hint="eastAsia"/>
      </w:rPr>
    </w:lvl>
  </w:abstractNum>
  <w:abstractNum w:abstractNumId="11">
    <w:nsid w:val="9DB5ACCD"/>
    <w:multiLevelType w:val="singleLevel"/>
    <w:tmpl w:val="9DB5ACCD"/>
    <w:lvl w:ilvl="0" w:tentative="0">
      <w:start w:val="1"/>
      <w:numFmt w:val="decimal"/>
      <w:suff w:val="nothing"/>
      <w:lvlText w:val="%1、"/>
      <w:lvlJc w:val="left"/>
    </w:lvl>
  </w:abstractNum>
  <w:abstractNum w:abstractNumId="12">
    <w:nsid w:val="9EA70EFB"/>
    <w:multiLevelType w:val="singleLevel"/>
    <w:tmpl w:val="9EA70EFB"/>
    <w:lvl w:ilvl="0" w:tentative="0">
      <w:start w:val="1"/>
      <w:numFmt w:val="decimal"/>
      <w:suff w:val="nothing"/>
      <w:lvlText w:val="（%1）"/>
      <w:lvlJc w:val="left"/>
    </w:lvl>
  </w:abstractNum>
  <w:abstractNum w:abstractNumId="13">
    <w:nsid w:val="9F869FA5"/>
    <w:multiLevelType w:val="singleLevel"/>
    <w:tmpl w:val="9F869FA5"/>
    <w:lvl w:ilvl="0" w:tentative="0">
      <w:start w:val="1"/>
      <w:numFmt w:val="chineseCounting"/>
      <w:suff w:val="nothing"/>
      <w:lvlText w:val="%1、"/>
      <w:lvlJc w:val="left"/>
      <w:rPr>
        <w:rFonts w:hint="eastAsia"/>
      </w:rPr>
    </w:lvl>
  </w:abstractNum>
  <w:abstractNum w:abstractNumId="14">
    <w:nsid w:val="A1394EF4"/>
    <w:multiLevelType w:val="singleLevel"/>
    <w:tmpl w:val="A1394EF4"/>
    <w:lvl w:ilvl="0" w:tentative="0">
      <w:start w:val="1"/>
      <w:numFmt w:val="decimal"/>
      <w:suff w:val="nothing"/>
      <w:lvlText w:val="%1、"/>
      <w:lvlJc w:val="left"/>
    </w:lvl>
  </w:abstractNum>
  <w:abstractNum w:abstractNumId="15">
    <w:nsid w:val="A286047B"/>
    <w:multiLevelType w:val="singleLevel"/>
    <w:tmpl w:val="A286047B"/>
    <w:lvl w:ilvl="0" w:tentative="0">
      <w:start w:val="1"/>
      <w:numFmt w:val="decimal"/>
      <w:suff w:val="nothing"/>
      <w:lvlText w:val="%1）"/>
      <w:lvlJc w:val="left"/>
    </w:lvl>
  </w:abstractNum>
  <w:abstractNum w:abstractNumId="16">
    <w:nsid w:val="A6450AC5"/>
    <w:multiLevelType w:val="singleLevel"/>
    <w:tmpl w:val="A6450AC5"/>
    <w:lvl w:ilvl="0" w:tentative="0">
      <w:start w:val="1"/>
      <w:numFmt w:val="decimal"/>
      <w:suff w:val="nothing"/>
      <w:lvlText w:val="（%1）"/>
      <w:lvlJc w:val="left"/>
    </w:lvl>
  </w:abstractNum>
  <w:abstractNum w:abstractNumId="17">
    <w:nsid w:val="AA54A175"/>
    <w:multiLevelType w:val="singleLevel"/>
    <w:tmpl w:val="AA54A175"/>
    <w:lvl w:ilvl="0" w:tentative="0">
      <w:start w:val="1"/>
      <w:numFmt w:val="decimal"/>
      <w:suff w:val="nothing"/>
      <w:lvlText w:val="（%1）"/>
      <w:lvlJc w:val="left"/>
    </w:lvl>
  </w:abstractNum>
  <w:abstractNum w:abstractNumId="18">
    <w:nsid w:val="AC3AD894"/>
    <w:multiLevelType w:val="singleLevel"/>
    <w:tmpl w:val="AC3AD894"/>
    <w:lvl w:ilvl="0" w:tentative="0">
      <w:start w:val="1"/>
      <w:numFmt w:val="decimal"/>
      <w:suff w:val="nothing"/>
      <w:lvlText w:val="%1、"/>
      <w:lvlJc w:val="left"/>
    </w:lvl>
  </w:abstractNum>
  <w:abstractNum w:abstractNumId="19">
    <w:nsid w:val="ADCC212B"/>
    <w:multiLevelType w:val="singleLevel"/>
    <w:tmpl w:val="ADCC212B"/>
    <w:lvl w:ilvl="0" w:tentative="0">
      <w:start w:val="1"/>
      <w:numFmt w:val="decimal"/>
      <w:suff w:val="nothing"/>
      <w:lvlText w:val="%1、"/>
      <w:lvlJc w:val="left"/>
    </w:lvl>
  </w:abstractNum>
  <w:abstractNum w:abstractNumId="20">
    <w:nsid w:val="B3706803"/>
    <w:multiLevelType w:val="singleLevel"/>
    <w:tmpl w:val="B3706803"/>
    <w:lvl w:ilvl="0" w:tentative="0">
      <w:start w:val="1"/>
      <w:numFmt w:val="decimal"/>
      <w:suff w:val="nothing"/>
      <w:lvlText w:val="（%1）"/>
      <w:lvlJc w:val="left"/>
    </w:lvl>
  </w:abstractNum>
  <w:abstractNum w:abstractNumId="21">
    <w:nsid w:val="B3954680"/>
    <w:multiLevelType w:val="singleLevel"/>
    <w:tmpl w:val="B3954680"/>
    <w:lvl w:ilvl="0" w:tentative="0">
      <w:start w:val="1"/>
      <w:numFmt w:val="decimal"/>
      <w:suff w:val="nothing"/>
      <w:lvlText w:val="%1、"/>
      <w:lvlJc w:val="left"/>
    </w:lvl>
  </w:abstractNum>
  <w:abstractNum w:abstractNumId="22">
    <w:nsid w:val="B6F3B86D"/>
    <w:multiLevelType w:val="singleLevel"/>
    <w:tmpl w:val="B6F3B86D"/>
    <w:lvl w:ilvl="0" w:tentative="0">
      <w:start w:val="1"/>
      <w:numFmt w:val="bullet"/>
      <w:pStyle w:val="17"/>
      <w:lvlText w:val=""/>
      <w:lvlJc w:val="left"/>
      <w:pPr>
        <w:tabs>
          <w:tab w:val="left" w:pos="2040"/>
        </w:tabs>
        <w:ind w:left="2040" w:hanging="360"/>
      </w:pPr>
      <w:rPr>
        <w:rFonts w:hint="default" w:ascii="Wingdings" w:hAnsi="Wingdings"/>
      </w:rPr>
    </w:lvl>
  </w:abstractNum>
  <w:abstractNum w:abstractNumId="23">
    <w:nsid w:val="C6E7735D"/>
    <w:multiLevelType w:val="singleLevel"/>
    <w:tmpl w:val="C6E7735D"/>
    <w:lvl w:ilvl="0" w:tentative="0">
      <w:start w:val="1"/>
      <w:numFmt w:val="decimal"/>
      <w:suff w:val="nothing"/>
      <w:lvlText w:val="%1）"/>
      <w:lvlJc w:val="left"/>
    </w:lvl>
  </w:abstractNum>
  <w:abstractNum w:abstractNumId="24">
    <w:nsid w:val="C996541B"/>
    <w:multiLevelType w:val="singleLevel"/>
    <w:tmpl w:val="C996541B"/>
    <w:lvl w:ilvl="0" w:tentative="0">
      <w:start w:val="1"/>
      <w:numFmt w:val="decimal"/>
      <w:suff w:val="nothing"/>
      <w:lvlText w:val="%1、"/>
      <w:lvlJc w:val="left"/>
    </w:lvl>
  </w:abstractNum>
  <w:abstractNum w:abstractNumId="25">
    <w:nsid w:val="D61EC91A"/>
    <w:multiLevelType w:val="singleLevel"/>
    <w:tmpl w:val="D61EC91A"/>
    <w:lvl w:ilvl="0" w:tentative="0">
      <w:start w:val="1"/>
      <w:numFmt w:val="decimal"/>
      <w:suff w:val="nothing"/>
      <w:lvlText w:val="（%1）"/>
      <w:lvlJc w:val="left"/>
    </w:lvl>
  </w:abstractNum>
  <w:abstractNum w:abstractNumId="26">
    <w:nsid w:val="D7EEE5C4"/>
    <w:multiLevelType w:val="singleLevel"/>
    <w:tmpl w:val="D7EEE5C4"/>
    <w:lvl w:ilvl="0" w:tentative="0">
      <w:start w:val="1"/>
      <w:numFmt w:val="decimal"/>
      <w:suff w:val="nothing"/>
      <w:lvlText w:val="（%1）"/>
      <w:lvlJc w:val="left"/>
    </w:lvl>
  </w:abstractNum>
  <w:abstractNum w:abstractNumId="27">
    <w:nsid w:val="DACE34C5"/>
    <w:multiLevelType w:val="singleLevel"/>
    <w:tmpl w:val="DACE34C5"/>
    <w:lvl w:ilvl="0" w:tentative="0">
      <w:start w:val="1"/>
      <w:numFmt w:val="upperLetter"/>
      <w:suff w:val="nothing"/>
      <w:lvlText w:val="%1、"/>
      <w:lvlJc w:val="left"/>
    </w:lvl>
  </w:abstractNum>
  <w:abstractNum w:abstractNumId="28">
    <w:nsid w:val="DB0862EB"/>
    <w:multiLevelType w:val="singleLevel"/>
    <w:tmpl w:val="DB0862EB"/>
    <w:lvl w:ilvl="0" w:tentative="0">
      <w:start w:val="1"/>
      <w:numFmt w:val="decimal"/>
      <w:suff w:val="nothing"/>
      <w:lvlText w:val="%1）"/>
      <w:lvlJc w:val="left"/>
    </w:lvl>
  </w:abstractNum>
  <w:abstractNum w:abstractNumId="29">
    <w:nsid w:val="DD359D03"/>
    <w:multiLevelType w:val="singleLevel"/>
    <w:tmpl w:val="DD359D03"/>
    <w:lvl w:ilvl="0" w:tentative="0">
      <w:start w:val="1"/>
      <w:numFmt w:val="chineseCounting"/>
      <w:suff w:val="nothing"/>
      <w:lvlText w:val="（%1）"/>
      <w:lvlJc w:val="left"/>
      <w:rPr>
        <w:rFonts w:hint="eastAsia"/>
      </w:rPr>
    </w:lvl>
  </w:abstractNum>
  <w:abstractNum w:abstractNumId="30">
    <w:nsid w:val="E0F6CB09"/>
    <w:multiLevelType w:val="singleLevel"/>
    <w:tmpl w:val="E0F6CB09"/>
    <w:lvl w:ilvl="0" w:tentative="0">
      <w:start w:val="1"/>
      <w:numFmt w:val="decimal"/>
      <w:suff w:val="nothing"/>
      <w:lvlText w:val="%1、"/>
      <w:lvlJc w:val="left"/>
    </w:lvl>
  </w:abstractNum>
  <w:abstractNum w:abstractNumId="31">
    <w:nsid w:val="E2255CA8"/>
    <w:multiLevelType w:val="singleLevel"/>
    <w:tmpl w:val="E2255CA8"/>
    <w:lvl w:ilvl="0" w:tentative="0">
      <w:start w:val="1"/>
      <w:numFmt w:val="decimal"/>
      <w:suff w:val="nothing"/>
      <w:lvlText w:val="%1、"/>
      <w:lvlJc w:val="left"/>
    </w:lvl>
  </w:abstractNum>
  <w:abstractNum w:abstractNumId="32">
    <w:nsid w:val="E513FDF1"/>
    <w:multiLevelType w:val="singleLevel"/>
    <w:tmpl w:val="E513FDF1"/>
    <w:lvl w:ilvl="0" w:tentative="0">
      <w:start w:val="1"/>
      <w:numFmt w:val="decimal"/>
      <w:suff w:val="nothing"/>
      <w:lvlText w:val="%1、"/>
      <w:lvlJc w:val="left"/>
    </w:lvl>
  </w:abstractNum>
  <w:abstractNum w:abstractNumId="33">
    <w:nsid w:val="E895467D"/>
    <w:multiLevelType w:val="singleLevel"/>
    <w:tmpl w:val="E895467D"/>
    <w:lvl w:ilvl="0" w:tentative="0">
      <w:start w:val="1"/>
      <w:numFmt w:val="decimal"/>
      <w:suff w:val="nothing"/>
      <w:lvlText w:val="%1、"/>
      <w:lvlJc w:val="left"/>
    </w:lvl>
  </w:abstractNum>
  <w:abstractNum w:abstractNumId="34">
    <w:nsid w:val="EDED75F6"/>
    <w:multiLevelType w:val="singleLevel"/>
    <w:tmpl w:val="EDED75F6"/>
    <w:lvl w:ilvl="0" w:tentative="0">
      <w:start w:val="1"/>
      <w:numFmt w:val="decimal"/>
      <w:suff w:val="nothing"/>
      <w:lvlText w:val="%1）"/>
      <w:lvlJc w:val="left"/>
    </w:lvl>
  </w:abstractNum>
  <w:abstractNum w:abstractNumId="35">
    <w:nsid w:val="EE56A0F6"/>
    <w:multiLevelType w:val="singleLevel"/>
    <w:tmpl w:val="EE56A0F6"/>
    <w:lvl w:ilvl="0" w:tentative="0">
      <w:start w:val="1"/>
      <w:numFmt w:val="decimal"/>
      <w:suff w:val="nothing"/>
      <w:lvlText w:val="%1、"/>
      <w:lvlJc w:val="left"/>
    </w:lvl>
  </w:abstractNum>
  <w:abstractNum w:abstractNumId="36">
    <w:nsid w:val="EFEAA6C9"/>
    <w:multiLevelType w:val="singleLevel"/>
    <w:tmpl w:val="EFEAA6C9"/>
    <w:lvl w:ilvl="0" w:tentative="0">
      <w:start w:val="1"/>
      <w:numFmt w:val="decimal"/>
      <w:suff w:val="nothing"/>
      <w:lvlText w:val="%1、"/>
      <w:lvlJc w:val="left"/>
    </w:lvl>
  </w:abstractNum>
  <w:abstractNum w:abstractNumId="37">
    <w:nsid w:val="F1928F04"/>
    <w:multiLevelType w:val="singleLevel"/>
    <w:tmpl w:val="F1928F04"/>
    <w:lvl w:ilvl="0" w:tentative="0">
      <w:start w:val="1"/>
      <w:numFmt w:val="decimal"/>
      <w:suff w:val="nothing"/>
      <w:lvlText w:val="%1、"/>
      <w:lvlJc w:val="left"/>
    </w:lvl>
  </w:abstractNum>
  <w:abstractNum w:abstractNumId="38">
    <w:nsid w:val="F9EDB187"/>
    <w:multiLevelType w:val="singleLevel"/>
    <w:tmpl w:val="F9EDB187"/>
    <w:lvl w:ilvl="0" w:tentative="0">
      <w:start w:val="1"/>
      <w:numFmt w:val="decimal"/>
      <w:suff w:val="nothing"/>
      <w:lvlText w:val="%1、"/>
      <w:lvlJc w:val="left"/>
    </w:lvl>
  </w:abstractNum>
  <w:abstractNum w:abstractNumId="39">
    <w:nsid w:val="FAF0FCA9"/>
    <w:multiLevelType w:val="singleLevel"/>
    <w:tmpl w:val="FAF0FCA9"/>
    <w:lvl w:ilvl="0" w:tentative="0">
      <w:start w:val="1"/>
      <w:numFmt w:val="decimal"/>
      <w:suff w:val="nothing"/>
      <w:lvlText w:val="%1）"/>
      <w:lvlJc w:val="left"/>
    </w:lvl>
  </w:abstractNum>
  <w:abstractNum w:abstractNumId="40">
    <w:nsid w:val="FBD59AA7"/>
    <w:multiLevelType w:val="singleLevel"/>
    <w:tmpl w:val="FBD59AA7"/>
    <w:lvl w:ilvl="0" w:tentative="0">
      <w:start w:val="1"/>
      <w:numFmt w:val="decimal"/>
      <w:suff w:val="nothing"/>
      <w:lvlText w:val="%1、"/>
      <w:lvlJc w:val="left"/>
    </w:lvl>
  </w:abstractNum>
  <w:abstractNum w:abstractNumId="41">
    <w:nsid w:val="004E1229"/>
    <w:multiLevelType w:val="singleLevel"/>
    <w:tmpl w:val="004E1229"/>
    <w:lvl w:ilvl="0" w:tentative="0">
      <w:start w:val="1"/>
      <w:numFmt w:val="decimal"/>
      <w:suff w:val="nothing"/>
      <w:lvlText w:val="%1、"/>
      <w:lvlJc w:val="left"/>
    </w:lvl>
  </w:abstractNum>
  <w:abstractNum w:abstractNumId="42">
    <w:nsid w:val="0167E8AA"/>
    <w:multiLevelType w:val="singleLevel"/>
    <w:tmpl w:val="0167E8AA"/>
    <w:lvl w:ilvl="0" w:tentative="0">
      <w:start w:val="1"/>
      <w:numFmt w:val="decimal"/>
      <w:suff w:val="nothing"/>
      <w:lvlText w:val="（%1）"/>
      <w:lvlJc w:val="left"/>
    </w:lvl>
  </w:abstractNum>
  <w:abstractNum w:abstractNumId="43">
    <w:nsid w:val="03523BFF"/>
    <w:multiLevelType w:val="singleLevel"/>
    <w:tmpl w:val="03523BFF"/>
    <w:lvl w:ilvl="0" w:tentative="0">
      <w:start w:val="1"/>
      <w:numFmt w:val="decimal"/>
      <w:suff w:val="nothing"/>
      <w:lvlText w:val="%1、"/>
      <w:lvlJc w:val="left"/>
    </w:lvl>
  </w:abstractNum>
  <w:abstractNum w:abstractNumId="44">
    <w:nsid w:val="0AEA7406"/>
    <w:multiLevelType w:val="singleLevel"/>
    <w:tmpl w:val="0AEA7406"/>
    <w:lvl w:ilvl="0" w:tentative="0">
      <w:start w:val="1"/>
      <w:numFmt w:val="decimal"/>
      <w:suff w:val="nothing"/>
      <w:lvlText w:val="%1）"/>
      <w:lvlJc w:val="left"/>
    </w:lvl>
  </w:abstractNum>
  <w:abstractNum w:abstractNumId="45">
    <w:nsid w:val="11EAD85D"/>
    <w:multiLevelType w:val="singleLevel"/>
    <w:tmpl w:val="11EAD85D"/>
    <w:lvl w:ilvl="0" w:tentative="0">
      <w:start w:val="1"/>
      <w:numFmt w:val="upperLetter"/>
      <w:suff w:val="nothing"/>
      <w:lvlText w:val="%1、"/>
      <w:lvlJc w:val="left"/>
    </w:lvl>
  </w:abstractNum>
  <w:abstractNum w:abstractNumId="46">
    <w:nsid w:val="12558335"/>
    <w:multiLevelType w:val="singleLevel"/>
    <w:tmpl w:val="12558335"/>
    <w:lvl w:ilvl="0" w:tentative="0">
      <w:start w:val="1"/>
      <w:numFmt w:val="decimal"/>
      <w:suff w:val="nothing"/>
      <w:lvlText w:val="（%1）"/>
      <w:lvlJc w:val="left"/>
    </w:lvl>
  </w:abstractNum>
  <w:abstractNum w:abstractNumId="47">
    <w:nsid w:val="1B159ACB"/>
    <w:multiLevelType w:val="singleLevel"/>
    <w:tmpl w:val="1B159ACB"/>
    <w:lvl w:ilvl="0" w:tentative="0">
      <w:start w:val="1"/>
      <w:numFmt w:val="upperLetter"/>
      <w:suff w:val="nothing"/>
      <w:lvlText w:val="%1、"/>
      <w:lvlJc w:val="left"/>
    </w:lvl>
  </w:abstractNum>
  <w:abstractNum w:abstractNumId="48">
    <w:nsid w:val="20D408D9"/>
    <w:multiLevelType w:val="singleLevel"/>
    <w:tmpl w:val="20D408D9"/>
    <w:lvl w:ilvl="0" w:tentative="0">
      <w:start w:val="1"/>
      <w:numFmt w:val="decimal"/>
      <w:suff w:val="nothing"/>
      <w:lvlText w:val="%1、"/>
      <w:lvlJc w:val="left"/>
    </w:lvl>
  </w:abstractNum>
  <w:abstractNum w:abstractNumId="49">
    <w:nsid w:val="2849F5C3"/>
    <w:multiLevelType w:val="singleLevel"/>
    <w:tmpl w:val="2849F5C3"/>
    <w:lvl w:ilvl="0" w:tentative="0">
      <w:start w:val="1"/>
      <w:numFmt w:val="decimal"/>
      <w:suff w:val="nothing"/>
      <w:lvlText w:val="%1、"/>
      <w:lvlJc w:val="left"/>
    </w:lvl>
  </w:abstractNum>
  <w:abstractNum w:abstractNumId="50">
    <w:nsid w:val="2AB73EC3"/>
    <w:multiLevelType w:val="singleLevel"/>
    <w:tmpl w:val="2AB73EC3"/>
    <w:lvl w:ilvl="0" w:tentative="0">
      <w:start w:val="1"/>
      <w:numFmt w:val="decimal"/>
      <w:suff w:val="nothing"/>
      <w:lvlText w:val="%1、"/>
      <w:lvlJc w:val="left"/>
    </w:lvl>
  </w:abstractNum>
  <w:abstractNum w:abstractNumId="51">
    <w:nsid w:val="2D00EFD4"/>
    <w:multiLevelType w:val="singleLevel"/>
    <w:tmpl w:val="2D00EFD4"/>
    <w:lvl w:ilvl="0" w:tentative="0">
      <w:start w:val="1"/>
      <w:numFmt w:val="upperLetter"/>
      <w:suff w:val="nothing"/>
      <w:lvlText w:val="%1、"/>
      <w:lvlJc w:val="left"/>
    </w:lvl>
  </w:abstractNum>
  <w:abstractNum w:abstractNumId="52">
    <w:nsid w:val="2DB8985C"/>
    <w:multiLevelType w:val="singleLevel"/>
    <w:tmpl w:val="2DB8985C"/>
    <w:lvl w:ilvl="0" w:tentative="0">
      <w:start w:val="1"/>
      <w:numFmt w:val="decimal"/>
      <w:suff w:val="nothing"/>
      <w:lvlText w:val="%1、"/>
      <w:lvlJc w:val="left"/>
    </w:lvl>
  </w:abstractNum>
  <w:abstractNum w:abstractNumId="53">
    <w:nsid w:val="31978DDC"/>
    <w:multiLevelType w:val="singleLevel"/>
    <w:tmpl w:val="31978DDC"/>
    <w:lvl w:ilvl="0" w:tentative="0">
      <w:start w:val="1"/>
      <w:numFmt w:val="decimal"/>
      <w:suff w:val="nothing"/>
      <w:lvlText w:val="（%1）"/>
      <w:lvlJc w:val="left"/>
    </w:lvl>
  </w:abstractNum>
  <w:abstractNum w:abstractNumId="54">
    <w:nsid w:val="32194F76"/>
    <w:multiLevelType w:val="singleLevel"/>
    <w:tmpl w:val="32194F76"/>
    <w:lvl w:ilvl="0" w:tentative="0">
      <w:start w:val="1"/>
      <w:numFmt w:val="decimal"/>
      <w:suff w:val="nothing"/>
      <w:lvlText w:val="%1、"/>
      <w:lvlJc w:val="left"/>
    </w:lvl>
  </w:abstractNum>
  <w:abstractNum w:abstractNumId="55">
    <w:nsid w:val="35E2ED27"/>
    <w:multiLevelType w:val="singleLevel"/>
    <w:tmpl w:val="35E2ED27"/>
    <w:lvl w:ilvl="0" w:tentative="0">
      <w:start w:val="1"/>
      <w:numFmt w:val="decimal"/>
      <w:suff w:val="nothing"/>
      <w:lvlText w:val="（%1）"/>
      <w:lvlJc w:val="left"/>
    </w:lvl>
  </w:abstractNum>
  <w:abstractNum w:abstractNumId="56">
    <w:nsid w:val="389405D7"/>
    <w:multiLevelType w:val="singleLevel"/>
    <w:tmpl w:val="389405D7"/>
    <w:lvl w:ilvl="0" w:tentative="0">
      <w:start w:val="1"/>
      <w:numFmt w:val="decimal"/>
      <w:suff w:val="nothing"/>
      <w:lvlText w:val="%1、"/>
      <w:lvlJc w:val="left"/>
    </w:lvl>
  </w:abstractNum>
  <w:abstractNum w:abstractNumId="57">
    <w:nsid w:val="39456CC2"/>
    <w:multiLevelType w:val="singleLevel"/>
    <w:tmpl w:val="39456CC2"/>
    <w:lvl w:ilvl="0" w:tentative="0">
      <w:start w:val="1"/>
      <w:numFmt w:val="chineseCounting"/>
      <w:suff w:val="nothing"/>
      <w:lvlText w:val="（%1）"/>
      <w:lvlJc w:val="left"/>
      <w:rPr>
        <w:rFonts w:hint="eastAsia"/>
      </w:rPr>
    </w:lvl>
  </w:abstractNum>
  <w:abstractNum w:abstractNumId="58">
    <w:nsid w:val="3A10F55C"/>
    <w:multiLevelType w:val="singleLevel"/>
    <w:tmpl w:val="3A10F55C"/>
    <w:lvl w:ilvl="0" w:tentative="0">
      <w:start w:val="1"/>
      <w:numFmt w:val="decimal"/>
      <w:suff w:val="nothing"/>
      <w:lvlText w:val="（%1）"/>
      <w:lvlJc w:val="left"/>
    </w:lvl>
  </w:abstractNum>
  <w:abstractNum w:abstractNumId="59">
    <w:nsid w:val="3EC2F084"/>
    <w:multiLevelType w:val="singleLevel"/>
    <w:tmpl w:val="3EC2F084"/>
    <w:lvl w:ilvl="0" w:tentative="0">
      <w:start w:val="1"/>
      <w:numFmt w:val="decimal"/>
      <w:suff w:val="nothing"/>
      <w:lvlText w:val="%1）"/>
      <w:lvlJc w:val="left"/>
    </w:lvl>
  </w:abstractNum>
  <w:abstractNum w:abstractNumId="60">
    <w:nsid w:val="3FBB9375"/>
    <w:multiLevelType w:val="singleLevel"/>
    <w:tmpl w:val="3FBB9375"/>
    <w:lvl w:ilvl="0" w:tentative="0">
      <w:start w:val="1"/>
      <w:numFmt w:val="decimal"/>
      <w:suff w:val="nothing"/>
      <w:lvlText w:val="（%1）"/>
      <w:lvlJc w:val="left"/>
    </w:lvl>
  </w:abstractNum>
  <w:abstractNum w:abstractNumId="61">
    <w:nsid w:val="52A93480"/>
    <w:multiLevelType w:val="singleLevel"/>
    <w:tmpl w:val="52A93480"/>
    <w:lvl w:ilvl="0" w:tentative="0">
      <w:start w:val="1"/>
      <w:numFmt w:val="chineseCounting"/>
      <w:suff w:val="nothing"/>
      <w:lvlText w:val="%1、"/>
      <w:lvlJc w:val="left"/>
      <w:rPr>
        <w:rFonts w:hint="eastAsia"/>
      </w:rPr>
    </w:lvl>
  </w:abstractNum>
  <w:abstractNum w:abstractNumId="62">
    <w:nsid w:val="58107342"/>
    <w:multiLevelType w:val="multilevel"/>
    <w:tmpl w:val="58107342"/>
    <w:lvl w:ilvl="0" w:tentative="0">
      <w:start w:val="1"/>
      <w:numFmt w:val="chineseCounting"/>
      <w:suff w:val="space"/>
      <w:lvlText w:val="第%1章"/>
      <w:lvlJc w:val="center"/>
      <w:pPr>
        <w:tabs>
          <w:tab w:val="left" w:pos="420"/>
        </w:tabs>
        <w:ind w:left="0" w:firstLine="0"/>
      </w:pPr>
      <w:rPr>
        <w:rFonts w:hint="eastAsia" w:ascii="宋体" w:hAnsi="宋体" w:eastAsia="宋体" w:cs="宋体"/>
      </w:rPr>
    </w:lvl>
    <w:lvl w:ilvl="1" w:tentative="0">
      <w:start w:val="1"/>
      <w:numFmt w:val="decimal"/>
      <w:isLgl/>
      <w:suff w:val="space"/>
      <w:lvlText w:val="%1.%2"/>
      <w:lvlJc w:val="left"/>
      <w:pPr>
        <w:tabs>
          <w:tab w:val="left" w:pos="420"/>
        </w:tabs>
        <w:ind w:left="0" w:firstLine="0"/>
      </w:pPr>
      <w:rPr>
        <w:rFonts w:hint="eastAsia" w:ascii="宋体" w:hAnsi="宋体" w:eastAsia="宋体" w:cs="宋体"/>
        <w:b/>
        <w:bCs/>
        <w:sz w:val="30"/>
        <w:szCs w:val="30"/>
      </w:rPr>
    </w:lvl>
    <w:lvl w:ilvl="2" w:tentative="0">
      <w:start w:val="1"/>
      <w:numFmt w:val="decimal"/>
      <w:isLgl/>
      <w:suff w:val="space"/>
      <w:lvlText w:val="%1.%2.%3"/>
      <w:lvlJc w:val="left"/>
      <w:pPr>
        <w:tabs>
          <w:tab w:val="left" w:pos="420"/>
        </w:tabs>
        <w:ind w:left="0" w:firstLine="0"/>
      </w:pPr>
      <w:rPr>
        <w:rFonts w:hint="eastAsia" w:ascii="宋体" w:hAnsi="宋体" w:eastAsia="宋体" w:cs="宋体"/>
        <w:b/>
        <w:bCs/>
        <w:sz w:val="28"/>
        <w:szCs w:val="28"/>
      </w:rPr>
    </w:lvl>
    <w:lvl w:ilvl="3" w:tentative="0">
      <w:start w:val="1"/>
      <w:numFmt w:val="decimal"/>
      <w:pStyle w:val="70"/>
      <w:isLgl/>
      <w:suff w:val="space"/>
      <w:lvlText w:val="%1.%2.%3.%4"/>
      <w:lvlJc w:val="left"/>
      <w:pPr>
        <w:tabs>
          <w:tab w:val="left" w:pos="420"/>
        </w:tabs>
        <w:ind w:left="0" w:firstLine="0"/>
      </w:pPr>
      <w:rPr>
        <w:rFonts w:hint="eastAsia" w:ascii="宋体" w:hAnsi="宋体" w:eastAsia="宋体" w:cs="宋体"/>
        <w:b/>
        <w:bCs/>
        <w:sz w:val="24"/>
        <w:szCs w:val="24"/>
      </w:rPr>
    </w:lvl>
    <w:lvl w:ilvl="4" w:tentative="0">
      <w:start w:val="1"/>
      <w:numFmt w:val="decimal"/>
      <w:isLgl/>
      <w:suff w:val="space"/>
      <w:lvlText w:val="%1.%2.%3.%4.%5"/>
      <w:lvlJc w:val="left"/>
      <w:pPr>
        <w:tabs>
          <w:tab w:val="left" w:pos="420"/>
        </w:tabs>
        <w:ind w:left="0" w:firstLine="0"/>
      </w:pPr>
      <w:rPr>
        <w:rFonts w:hint="eastAsia" w:ascii="宋体" w:hAnsi="宋体" w:eastAsia="宋体" w:cs="宋体"/>
        <w:sz w:val="24"/>
        <w:szCs w:val="24"/>
      </w:rPr>
    </w:lvl>
    <w:lvl w:ilvl="5" w:tentative="0">
      <w:start w:val="1"/>
      <w:numFmt w:val="decimal"/>
      <w:isLgl/>
      <w:suff w:val="space"/>
      <w:lvlText w:val="%1.%2.%3.%4.%5.%6"/>
      <w:lvlJc w:val="left"/>
      <w:pPr>
        <w:tabs>
          <w:tab w:val="left" w:pos="420"/>
        </w:tabs>
        <w:ind w:left="0" w:firstLine="0"/>
      </w:pPr>
      <w:rPr>
        <w:rFonts w:hint="eastAsia" w:ascii="宋体" w:hAnsi="宋体" w:eastAsia="宋体" w:cs="宋体"/>
      </w:rPr>
    </w:lvl>
    <w:lvl w:ilvl="6" w:tentative="0">
      <w:start w:val="1"/>
      <w:numFmt w:val="decimal"/>
      <w:isLgl/>
      <w:lvlText w:val="%1.%2.%3.%4.%5.%6.%7."/>
      <w:lvlJc w:val="left"/>
      <w:pPr>
        <w:tabs>
          <w:tab w:val="left" w:pos="420"/>
        </w:tabs>
        <w:ind w:left="1275" w:hanging="1275"/>
      </w:pPr>
      <w:rPr>
        <w:rFonts w:hint="eastAsia" w:ascii="宋体" w:hAnsi="宋体" w:eastAsia="宋体" w:cs="宋体"/>
      </w:rPr>
    </w:lvl>
    <w:lvl w:ilvl="7" w:tentative="0">
      <w:start w:val="1"/>
      <w:numFmt w:val="decimal"/>
      <w:isLgl/>
      <w:lvlText w:val="%1.%2.%3.%4.%5.%6.%7.%8."/>
      <w:lvlJc w:val="left"/>
      <w:pPr>
        <w:ind w:left="1418" w:hanging="1418"/>
      </w:pPr>
      <w:rPr>
        <w:rFonts w:hint="eastAsia" w:ascii="宋体" w:hAnsi="宋体" w:eastAsia="宋体" w:cs="宋体"/>
      </w:rPr>
    </w:lvl>
    <w:lvl w:ilvl="8" w:tentative="0">
      <w:start w:val="1"/>
      <w:numFmt w:val="decimal"/>
      <w:isLgl/>
      <w:lvlText w:val="%1.%2.%3.%4.%5.%6.%7.%8.%9."/>
      <w:lvlJc w:val="left"/>
      <w:pPr>
        <w:ind w:left="1558" w:hanging="1558"/>
      </w:pPr>
      <w:rPr>
        <w:rFonts w:hint="eastAsia" w:ascii="宋体" w:hAnsi="宋体" w:eastAsia="宋体" w:cs="宋体"/>
      </w:rPr>
    </w:lvl>
  </w:abstractNum>
  <w:abstractNum w:abstractNumId="63">
    <w:nsid w:val="5A961364"/>
    <w:multiLevelType w:val="singleLevel"/>
    <w:tmpl w:val="5A961364"/>
    <w:lvl w:ilvl="0" w:tentative="0">
      <w:start w:val="1"/>
      <w:numFmt w:val="decimal"/>
      <w:suff w:val="nothing"/>
      <w:lvlText w:val="（%1）"/>
      <w:lvlJc w:val="left"/>
    </w:lvl>
  </w:abstractNum>
  <w:abstractNum w:abstractNumId="64">
    <w:nsid w:val="5B8DCCE5"/>
    <w:multiLevelType w:val="singleLevel"/>
    <w:tmpl w:val="5B8DCCE5"/>
    <w:lvl w:ilvl="0" w:tentative="0">
      <w:start w:val="1"/>
      <w:numFmt w:val="chineseCounting"/>
      <w:suff w:val="nothing"/>
      <w:lvlText w:val="（%1）"/>
      <w:lvlJc w:val="left"/>
      <w:rPr>
        <w:rFonts w:hint="eastAsia"/>
      </w:rPr>
    </w:lvl>
  </w:abstractNum>
  <w:abstractNum w:abstractNumId="65">
    <w:nsid w:val="5D29763C"/>
    <w:multiLevelType w:val="singleLevel"/>
    <w:tmpl w:val="5D29763C"/>
    <w:lvl w:ilvl="0" w:tentative="0">
      <w:start w:val="1"/>
      <w:numFmt w:val="chineseCounting"/>
      <w:suff w:val="nothing"/>
      <w:lvlText w:val="（%1）"/>
      <w:lvlJc w:val="left"/>
      <w:rPr>
        <w:rFonts w:hint="eastAsia"/>
        <w:b/>
        <w:bCs/>
      </w:rPr>
    </w:lvl>
  </w:abstractNum>
  <w:abstractNum w:abstractNumId="66">
    <w:nsid w:val="628A5334"/>
    <w:multiLevelType w:val="singleLevel"/>
    <w:tmpl w:val="628A5334"/>
    <w:lvl w:ilvl="0" w:tentative="0">
      <w:start w:val="1"/>
      <w:numFmt w:val="decimal"/>
      <w:suff w:val="nothing"/>
      <w:lvlText w:val="%1、"/>
      <w:lvlJc w:val="left"/>
    </w:lvl>
  </w:abstractNum>
  <w:abstractNum w:abstractNumId="67">
    <w:nsid w:val="675B6EA6"/>
    <w:multiLevelType w:val="singleLevel"/>
    <w:tmpl w:val="675B6EA6"/>
    <w:lvl w:ilvl="0" w:tentative="0">
      <w:start w:val="1"/>
      <w:numFmt w:val="decimal"/>
      <w:suff w:val="nothing"/>
      <w:lvlText w:val="（%1）"/>
      <w:lvlJc w:val="left"/>
    </w:lvl>
  </w:abstractNum>
  <w:abstractNum w:abstractNumId="68">
    <w:nsid w:val="6E94F85A"/>
    <w:multiLevelType w:val="singleLevel"/>
    <w:tmpl w:val="6E94F85A"/>
    <w:lvl w:ilvl="0" w:tentative="0">
      <w:start w:val="1"/>
      <w:numFmt w:val="decimal"/>
      <w:suff w:val="nothing"/>
      <w:lvlText w:val="%1、"/>
      <w:lvlJc w:val="left"/>
    </w:lvl>
  </w:abstractNum>
  <w:abstractNum w:abstractNumId="69">
    <w:nsid w:val="707F702E"/>
    <w:multiLevelType w:val="singleLevel"/>
    <w:tmpl w:val="707F702E"/>
    <w:lvl w:ilvl="0" w:tentative="0">
      <w:start w:val="1"/>
      <w:numFmt w:val="upperLetter"/>
      <w:suff w:val="nothing"/>
      <w:lvlText w:val="%1、"/>
      <w:lvlJc w:val="left"/>
    </w:lvl>
  </w:abstractNum>
  <w:abstractNum w:abstractNumId="70">
    <w:nsid w:val="73813568"/>
    <w:multiLevelType w:val="singleLevel"/>
    <w:tmpl w:val="73813568"/>
    <w:lvl w:ilvl="0" w:tentative="0">
      <w:start w:val="1"/>
      <w:numFmt w:val="decimal"/>
      <w:suff w:val="nothing"/>
      <w:lvlText w:val="%1、"/>
      <w:lvlJc w:val="left"/>
    </w:lvl>
  </w:abstractNum>
  <w:abstractNum w:abstractNumId="71">
    <w:nsid w:val="7659E59A"/>
    <w:multiLevelType w:val="singleLevel"/>
    <w:tmpl w:val="7659E59A"/>
    <w:lvl w:ilvl="0" w:tentative="0">
      <w:start w:val="1"/>
      <w:numFmt w:val="decimal"/>
      <w:suff w:val="nothing"/>
      <w:lvlText w:val="（%1）"/>
      <w:lvlJc w:val="left"/>
    </w:lvl>
  </w:abstractNum>
  <w:abstractNum w:abstractNumId="72">
    <w:nsid w:val="76BDE7B7"/>
    <w:multiLevelType w:val="singleLevel"/>
    <w:tmpl w:val="76BDE7B7"/>
    <w:lvl w:ilvl="0" w:tentative="0">
      <w:start w:val="1"/>
      <w:numFmt w:val="upperLetter"/>
      <w:suff w:val="nothing"/>
      <w:lvlText w:val="%1、"/>
      <w:lvlJc w:val="left"/>
    </w:lvl>
  </w:abstractNum>
  <w:abstractNum w:abstractNumId="73">
    <w:nsid w:val="76E60627"/>
    <w:multiLevelType w:val="singleLevel"/>
    <w:tmpl w:val="76E60627"/>
    <w:lvl w:ilvl="0" w:tentative="0">
      <w:start w:val="1"/>
      <w:numFmt w:val="decimal"/>
      <w:suff w:val="nothing"/>
      <w:lvlText w:val="%1、"/>
      <w:lvlJc w:val="left"/>
    </w:lvl>
  </w:abstractNum>
  <w:abstractNum w:abstractNumId="74">
    <w:nsid w:val="7713208C"/>
    <w:multiLevelType w:val="singleLevel"/>
    <w:tmpl w:val="7713208C"/>
    <w:lvl w:ilvl="0" w:tentative="0">
      <w:start w:val="1"/>
      <w:numFmt w:val="decimal"/>
      <w:suff w:val="nothing"/>
      <w:lvlText w:val="%1）"/>
      <w:lvlJc w:val="left"/>
    </w:lvl>
  </w:abstractNum>
  <w:abstractNum w:abstractNumId="75">
    <w:nsid w:val="77FFDD47"/>
    <w:multiLevelType w:val="singleLevel"/>
    <w:tmpl w:val="77FFDD47"/>
    <w:lvl w:ilvl="0" w:tentative="0">
      <w:start w:val="1"/>
      <w:numFmt w:val="decimal"/>
      <w:suff w:val="nothing"/>
      <w:lvlText w:val="%1、"/>
      <w:lvlJc w:val="left"/>
    </w:lvl>
  </w:abstractNum>
  <w:num w:numId="1">
    <w:abstractNumId w:val="22"/>
  </w:num>
  <w:num w:numId="2">
    <w:abstractNumId w:val="62"/>
  </w:num>
  <w:num w:numId="3">
    <w:abstractNumId w:val="65"/>
  </w:num>
  <w:num w:numId="4">
    <w:abstractNumId w:val="50"/>
  </w:num>
  <w:num w:numId="5">
    <w:abstractNumId w:val="40"/>
  </w:num>
  <w:num w:numId="6">
    <w:abstractNumId w:val="29"/>
  </w:num>
  <w:num w:numId="7">
    <w:abstractNumId w:val="36"/>
  </w:num>
  <w:num w:numId="8">
    <w:abstractNumId w:val="30"/>
  </w:num>
  <w:num w:numId="9">
    <w:abstractNumId w:val="70"/>
  </w:num>
  <w:num w:numId="10">
    <w:abstractNumId w:val="25"/>
  </w:num>
  <w:num w:numId="11">
    <w:abstractNumId w:val="31"/>
  </w:num>
  <w:num w:numId="12">
    <w:abstractNumId w:val="48"/>
  </w:num>
  <w:num w:numId="13">
    <w:abstractNumId w:val="68"/>
  </w:num>
  <w:num w:numId="14">
    <w:abstractNumId w:val="66"/>
  </w:num>
  <w:num w:numId="15">
    <w:abstractNumId w:val="6"/>
  </w:num>
  <w:num w:numId="16">
    <w:abstractNumId w:val="54"/>
  </w:num>
  <w:num w:numId="17">
    <w:abstractNumId w:val="4"/>
  </w:num>
  <w:num w:numId="18">
    <w:abstractNumId w:val="56"/>
  </w:num>
  <w:num w:numId="19">
    <w:abstractNumId w:val="35"/>
  </w:num>
  <w:num w:numId="20">
    <w:abstractNumId w:val="67"/>
  </w:num>
  <w:num w:numId="21">
    <w:abstractNumId w:val="5"/>
  </w:num>
  <w:num w:numId="22">
    <w:abstractNumId w:val="38"/>
  </w:num>
  <w:num w:numId="23">
    <w:abstractNumId w:val="37"/>
  </w:num>
  <w:num w:numId="24">
    <w:abstractNumId w:val="32"/>
  </w:num>
  <w:num w:numId="25">
    <w:abstractNumId w:val="41"/>
  </w:num>
  <w:num w:numId="26">
    <w:abstractNumId w:val="33"/>
  </w:num>
  <w:num w:numId="27">
    <w:abstractNumId w:val="64"/>
  </w:num>
  <w:num w:numId="28">
    <w:abstractNumId w:val="18"/>
  </w:num>
  <w:num w:numId="29">
    <w:abstractNumId w:val="46"/>
  </w:num>
  <w:num w:numId="30">
    <w:abstractNumId w:val="9"/>
  </w:num>
  <w:num w:numId="31">
    <w:abstractNumId w:val="0"/>
  </w:num>
  <w:num w:numId="32">
    <w:abstractNumId w:val="17"/>
  </w:num>
  <w:num w:numId="33">
    <w:abstractNumId w:val="52"/>
  </w:num>
  <w:num w:numId="34">
    <w:abstractNumId w:val="7"/>
  </w:num>
  <w:num w:numId="35">
    <w:abstractNumId w:val="12"/>
  </w:num>
  <w:num w:numId="36">
    <w:abstractNumId w:val="10"/>
  </w:num>
  <w:num w:numId="37">
    <w:abstractNumId w:val="57"/>
  </w:num>
  <w:num w:numId="38">
    <w:abstractNumId w:val="11"/>
  </w:num>
  <w:num w:numId="39">
    <w:abstractNumId w:val="3"/>
  </w:num>
  <w:num w:numId="40">
    <w:abstractNumId w:val="74"/>
  </w:num>
  <w:num w:numId="41">
    <w:abstractNumId w:val="27"/>
  </w:num>
  <w:num w:numId="42">
    <w:abstractNumId w:val="39"/>
  </w:num>
  <w:num w:numId="43">
    <w:abstractNumId w:val="13"/>
  </w:num>
  <w:num w:numId="44">
    <w:abstractNumId w:val="24"/>
  </w:num>
  <w:num w:numId="45">
    <w:abstractNumId w:val="43"/>
  </w:num>
  <w:num w:numId="46">
    <w:abstractNumId w:val="71"/>
  </w:num>
  <w:num w:numId="47">
    <w:abstractNumId w:val="75"/>
  </w:num>
  <w:num w:numId="48">
    <w:abstractNumId w:val="49"/>
  </w:num>
  <w:num w:numId="49">
    <w:abstractNumId w:val="19"/>
  </w:num>
  <w:num w:numId="50">
    <w:abstractNumId w:val="61"/>
  </w:num>
  <w:num w:numId="51">
    <w:abstractNumId w:val="14"/>
  </w:num>
  <w:num w:numId="52">
    <w:abstractNumId w:val="2"/>
  </w:num>
  <w:num w:numId="53">
    <w:abstractNumId w:val="23"/>
  </w:num>
  <w:num w:numId="54">
    <w:abstractNumId w:val="69"/>
  </w:num>
  <w:num w:numId="55">
    <w:abstractNumId w:val="42"/>
  </w:num>
  <w:num w:numId="56">
    <w:abstractNumId w:val="8"/>
  </w:num>
  <w:num w:numId="57">
    <w:abstractNumId w:val="47"/>
  </w:num>
  <w:num w:numId="58">
    <w:abstractNumId w:val="28"/>
  </w:num>
  <w:num w:numId="59">
    <w:abstractNumId w:val="59"/>
  </w:num>
  <w:num w:numId="60">
    <w:abstractNumId w:val="44"/>
  </w:num>
  <w:num w:numId="61">
    <w:abstractNumId w:val="63"/>
  </w:num>
  <w:num w:numId="62">
    <w:abstractNumId w:val="55"/>
  </w:num>
  <w:num w:numId="63">
    <w:abstractNumId w:val="34"/>
  </w:num>
  <w:num w:numId="64">
    <w:abstractNumId w:val="15"/>
  </w:num>
  <w:num w:numId="65">
    <w:abstractNumId w:val="45"/>
  </w:num>
  <w:num w:numId="66">
    <w:abstractNumId w:val="1"/>
  </w:num>
  <w:num w:numId="67">
    <w:abstractNumId w:val="58"/>
  </w:num>
  <w:num w:numId="68">
    <w:abstractNumId w:val="73"/>
  </w:num>
  <w:num w:numId="69">
    <w:abstractNumId w:val="60"/>
  </w:num>
  <w:num w:numId="70">
    <w:abstractNumId w:val="53"/>
  </w:num>
  <w:num w:numId="71">
    <w:abstractNumId w:val="20"/>
  </w:num>
  <w:num w:numId="72">
    <w:abstractNumId w:val="51"/>
  </w:num>
  <w:num w:numId="73">
    <w:abstractNumId w:val="72"/>
  </w:num>
  <w:num w:numId="74">
    <w:abstractNumId w:val="21"/>
  </w:num>
  <w:num w:numId="75">
    <w:abstractNumId w:val="26"/>
  </w:num>
  <w:num w:numId="76">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0"/>
  <w:bordersDoNotSurroundFooter w:val="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nforcement="0"/>
  <w:defaultTabStop w:val="420"/>
  <w:hyphenationZone w:val="36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DY2MmIyYThlZGRiZjI4MDljNzNlNmM0NWFhOTU1Y2QifQ=="/>
  </w:docVars>
  <w:rsids>
    <w:rsidRoot w:val="00172A27"/>
    <w:rsid w:val="000001C9"/>
    <w:rsid w:val="00000A3D"/>
    <w:rsid w:val="00000AF1"/>
    <w:rsid w:val="00000E23"/>
    <w:rsid w:val="00001D10"/>
    <w:rsid w:val="00001EB0"/>
    <w:rsid w:val="00002464"/>
    <w:rsid w:val="00002669"/>
    <w:rsid w:val="000027E6"/>
    <w:rsid w:val="00002B11"/>
    <w:rsid w:val="0000364A"/>
    <w:rsid w:val="00003DBA"/>
    <w:rsid w:val="00003EC6"/>
    <w:rsid w:val="00004549"/>
    <w:rsid w:val="00004939"/>
    <w:rsid w:val="00005314"/>
    <w:rsid w:val="00005402"/>
    <w:rsid w:val="00005AD0"/>
    <w:rsid w:val="00005B64"/>
    <w:rsid w:val="00005BC2"/>
    <w:rsid w:val="00005DB4"/>
    <w:rsid w:val="00006307"/>
    <w:rsid w:val="0000631F"/>
    <w:rsid w:val="00006371"/>
    <w:rsid w:val="00006888"/>
    <w:rsid w:val="0000691E"/>
    <w:rsid w:val="00006BF2"/>
    <w:rsid w:val="000072BD"/>
    <w:rsid w:val="000079B4"/>
    <w:rsid w:val="00007AD2"/>
    <w:rsid w:val="00007B16"/>
    <w:rsid w:val="00007B9F"/>
    <w:rsid w:val="00007D11"/>
    <w:rsid w:val="00007DBC"/>
    <w:rsid w:val="00007F67"/>
    <w:rsid w:val="000101B7"/>
    <w:rsid w:val="00010918"/>
    <w:rsid w:val="00010F50"/>
    <w:rsid w:val="00011412"/>
    <w:rsid w:val="000115BD"/>
    <w:rsid w:val="00011781"/>
    <w:rsid w:val="000117A8"/>
    <w:rsid w:val="000118A6"/>
    <w:rsid w:val="00011D36"/>
    <w:rsid w:val="00011DC5"/>
    <w:rsid w:val="00011FCB"/>
    <w:rsid w:val="0001220B"/>
    <w:rsid w:val="0001222C"/>
    <w:rsid w:val="000133C0"/>
    <w:rsid w:val="0001347A"/>
    <w:rsid w:val="000137C5"/>
    <w:rsid w:val="00013E60"/>
    <w:rsid w:val="00014272"/>
    <w:rsid w:val="0001454C"/>
    <w:rsid w:val="0001459D"/>
    <w:rsid w:val="00014682"/>
    <w:rsid w:val="0001497E"/>
    <w:rsid w:val="00015070"/>
    <w:rsid w:val="000155B3"/>
    <w:rsid w:val="00015730"/>
    <w:rsid w:val="00016CE2"/>
    <w:rsid w:val="000170C9"/>
    <w:rsid w:val="0001749A"/>
    <w:rsid w:val="00017910"/>
    <w:rsid w:val="00017BD1"/>
    <w:rsid w:val="00017CFF"/>
    <w:rsid w:val="00017DA5"/>
    <w:rsid w:val="00017E08"/>
    <w:rsid w:val="00017EDE"/>
    <w:rsid w:val="00020082"/>
    <w:rsid w:val="00020121"/>
    <w:rsid w:val="0002117A"/>
    <w:rsid w:val="00021239"/>
    <w:rsid w:val="00021A7B"/>
    <w:rsid w:val="00021FCC"/>
    <w:rsid w:val="000227A6"/>
    <w:rsid w:val="00022D61"/>
    <w:rsid w:val="00022FF2"/>
    <w:rsid w:val="000231F5"/>
    <w:rsid w:val="000238AE"/>
    <w:rsid w:val="00023FD4"/>
    <w:rsid w:val="00023FFD"/>
    <w:rsid w:val="000241EA"/>
    <w:rsid w:val="000244E6"/>
    <w:rsid w:val="00024D35"/>
    <w:rsid w:val="000253D9"/>
    <w:rsid w:val="000257F1"/>
    <w:rsid w:val="00025E2A"/>
    <w:rsid w:val="000266B7"/>
    <w:rsid w:val="0002685A"/>
    <w:rsid w:val="00026928"/>
    <w:rsid w:val="00026E90"/>
    <w:rsid w:val="000273CC"/>
    <w:rsid w:val="000276CD"/>
    <w:rsid w:val="0002797A"/>
    <w:rsid w:val="00030F06"/>
    <w:rsid w:val="00031575"/>
    <w:rsid w:val="00031970"/>
    <w:rsid w:val="00031FE5"/>
    <w:rsid w:val="000320C2"/>
    <w:rsid w:val="000326D1"/>
    <w:rsid w:val="000326EE"/>
    <w:rsid w:val="00032737"/>
    <w:rsid w:val="00032BA1"/>
    <w:rsid w:val="00032C20"/>
    <w:rsid w:val="0003307B"/>
    <w:rsid w:val="0003334B"/>
    <w:rsid w:val="00033778"/>
    <w:rsid w:val="00033971"/>
    <w:rsid w:val="00034644"/>
    <w:rsid w:val="0003471A"/>
    <w:rsid w:val="00034726"/>
    <w:rsid w:val="0003497E"/>
    <w:rsid w:val="00035223"/>
    <w:rsid w:val="000355A7"/>
    <w:rsid w:val="000355FC"/>
    <w:rsid w:val="000358BD"/>
    <w:rsid w:val="00036DD8"/>
    <w:rsid w:val="000371CA"/>
    <w:rsid w:val="00037DAD"/>
    <w:rsid w:val="00040001"/>
    <w:rsid w:val="00040102"/>
    <w:rsid w:val="00040170"/>
    <w:rsid w:val="00040BAC"/>
    <w:rsid w:val="00040D7E"/>
    <w:rsid w:val="00040DEE"/>
    <w:rsid w:val="00040E96"/>
    <w:rsid w:val="0004121D"/>
    <w:rsid w:val="00041287"/>
    <w:rsid w:val="00041CAD"/>
    <w:rsid w:val="0004215C"/>
    <w:rsid w:val="000423F0"/>
    <w:rsid w:val="00042444"/>
    <w:rsid w:val="00042841"/>
    <w:rsid w:val="000429E9"/>
    <w:rsid w:val="00043144"/>
    <w:rsid w:val="0004357C"/>
    <w:rsid w:val="00043764"/>
    <w:rsid w:val="00043851"/>
    <w:rsid w:val="00043CB6"/>
    <w:rsid w:val="0004431E"/>
    <w:rsid w:val="000447FC"/>
    <w:rsid w:val="00044C93"/>
    <w:rsid w:val="00044EF2"/>
    <w:rsid w:val="000451B8"/>
    <w:rsid w:val="00045BAD"/>
    <w:rsid w:val="00045D5E"/>
    <w:rsid w:val="00045E8F"/>
    <w:rsid w:val="000462E4"/>
    <w:rsid w:val="0004632A"/>
    <w:rsid w:val="000467FD"/>
    <w:rsid w:val="00046B09"/>
    <w:rsid w:val="00046CA0"/>
    <w:rsid w:val="000475B5"/>
    <w:rsid w:val="00047650"/>
    <w:rsid w:val="000506BA"/>
    <w:rsid w:val="00050735"/>
    <w:rsid w:val="00050C08"/>
    <w:rsid w:val="00050CB1"/>
    <w:rsid w:val="00050D9B"/>
    <w:rsid w:val="00050D9C"/>
    <w:rsid w:val="00050DED"/>
    <w:rsid w:val="00051144"/>
    <w:rsid w:val="0005128B"/>
    <w:rsid w:val="00051D47"/>
    <w:rsid w:val="0005231B"/>
    <w:rsid w:val="0005233E"/>
    <w:rsid w:val="000534DE"/>
    <w:rsid w:val="00053875"/>
    <w:rsid w:val="0005439B"/>
    <w:rsid w:val="00055377"/>
    <w:rsid w:val="000553D7"/>
    <w:rsid w:val="0005583F"/>
    <w:rsid w:val="00055A6C"/>
    <w:rsid w:val="00056194"/>
    <w:rsid w:val="00056382"/>
    <w:rsid w:val="000565FE"/>
    <w:rsid w:val="00056A3F"/>
    <w:rsid w:val="00056B13"/>
    <w:rsid w:val="00056C2D"/>
    <w:rsid w:val="00056F1F"/>
    <w:rsid w:val="00057CDE"/>
    <w:rsid w:val="00057E9D"/>
    <w:rsid w:val="00057F48"/>
    <w:rsid w:val="00060276"/>
    <w:rsid w:val="00060952"/>
    <w:rsid w:val="00060ABD"/>
    <w:rsid w:val="00060C6A"/>
    <w:rsid w:val="00060CCA"/>
    <w:rsid w:val="00060CD6"/>
    <w:rsid w:val="00060E45"/>
    <w:rsid w:val="000612BF"/>
    <w:rsid w:val="000614F7"/>
    <w:rsid w:val="00061693"/>
    <w:rsid w:val="0006216B"/>
    <w:rsid w:val="00062B05"/>
    <w:rsid w:val="00062BDA"/>
    <w:rsid w:val="00063034"/>
    <w:rsid w:val="00063546"/>
    <w:rsid w:val="00063A3C"/>
    <w:rsid w:val="00064730"/>
    <w:rsid w:val="00064CCE"/>
    <w:rsid w:val="00064DAD"/>
    <w:rsid w:val="00064F2C"/>
    <w:rsid w:val="00065076"/>
    <w:rsid w:val="00065663"/>
    <w:rsid w:val="00065759"/>
    <w:rsid w:val="00065890"/>
    <w:rsid w:val="00066217"/>
    <w:rsid w:val="000668E9"/>
    <w:rsid w:val="00066A41"/>
    <w:rsid w:val="00066EBC"/>
    <w:rsid w:val="0006704A"/>
    <w:rsid w:val="00067588"/>
    <w:rsid w:val="00067AE8"/>
    <w:rsid w:val="00067BCD"/>
    <w:rsid w:val="00067E42"/>
    <w:rsid w:val="000705FE"/>
    <w:rsid w:val="00070AB6"/>
    <w:rsid w:val="000711EE"/>
    <w:rsid w:val="00071960"/>
    <w:rsid w:val="00071ACB"/>
    <w:rsid w:val="00072339"/>
    <w:rsid w:val="000726D7"/>
    <w:rsid w:val="00072A81"/>
    <w:rsid w:val="00072C34"/>
    <w:rsid w:val="00072FFE"/>
    <w:rsid w:val="00073CB0"/>
    <w:rsid w:val="00073CBD"/>
    <w:rsid w:val="00073F95"/>
    <w:rsid w:val="00074523"/>
    <w:rsid w:val="000749E3"/>
    <w:rsid w:val="00074C59"/>
    <w:rsid w:val="00074D8A"/>
    <w:rsid w:val="00075A48"/>
    <w:rsid w:val="00075ACD"/>
    <w:rsid w:val="0007630F"/>
    <w:rsid w:val="00076791"/>
    <w:rsid w:val="00076D77"/>
    <w:rsid w:val="00076DA9"/>
    <w:rsid w:val="00077994"/>
    <w:rsid w:val="00080067"/>
    <w:rsid w:val="000809DE"/>
    <w:rsid w:val="00080FA2"/>
    <w:rsid w:val="00081744"/>
    <w:rsid w:val="00081B70"/>
    <w:rsid w:val="00081C20"/>
    <w:rsid w:val="00081DB9"/>
    <w:rsid w:val="000821F7"/>
    <w:rsid w:val="00083412"/>
    <w:rsid w:val="0008387E"/>
    <w:rsid w:val="00083903"/>
    <w:rsid w:val="00084075"/>
    <w:rsid w:val="00084A25"/>
    <w:rsid w:val="00084A49"/>
    <w:rsid w:val="00084CD8"/>
    <w:rsid w:val="0008560C"/>
    <w:rsid w:val="00085C5F"/>
    <w:rsid w:val="000862B9"/>
    <w:rsid w:val="0008685A"/>
    <w:rsid w:val="00086A83"/>
    <w:rsid w:val="00086CE0"/>
    <w:rsid w:val="0008711F"/>
    <w:rsid w:val="000878A1"/>
    <w:rsid w:val="000878D8"/>
    <w:rsid w:val="000905E6"/>
    <w:rsid w:val="0009075B"/>
    <w:rsid w:val="00090A3D"/>
    <w:rsid w:val="00090C2B"/>
    <w:rsid w:val="00091121"/>
    <w:rsid w:val="00091295"/>
    <w:rsid w:val="00091794"/>
    <w:rsid w:val="00091962"/>
    <w:rsid w:val="00091A72"/>
    <w:rsid w:val="000925A2"/>
    <w:rsid w:val="0009280D"/>
    <w:rsid w:val="00092A27"/>
    <w:rsid w:val="000935D5"/>
    <w:rsid w:val="00093F13"/>
    <w:rsid w:val="000942B7"/>
    <w:rsid w:val="000948B9"/>
    <w:rsid w:val="00094E6E"/>
    <w:rsid w:val="00095046"/>
    <w:rsid w:val="000950A8"/>
    <w:rsid w:val="0009511B"/>
    <w:rsid w:val="000953C6"/>
    <w:rsid w:val="000958AB"/>
    <w:rsid w:val="0009590A"/>
    <w:rsid w:val="00095BD7"/>
    <w:rsid w:val="00095D95"/>
    <w:rsid w:val="0009625D"/>
    <w:rsid w:val="0009634B"/>
    <w:rsid w:val="0009658C"/>
    <w:rsid w:val="000969AD"/>
    <w:rsid w:val="000969B6"/>
    <w:rsid w:val="00096BF9"/>
    <w:rsid w:val="00097173"/>
    <w:rsid w:val="00097202"/>
    <w:rsid w:val="000972D2"/>
    <w:rsid w:val="000976EF"/>
    <w:rsid w:val="00097916"/>
    <w:rsid w:val="000A0511"/>
    <w:rsid w:val="000A0A1D"/>
    <w:rsid w:val="000A0E8D"/>
    <w:rsid w:val="000A107C"/>
    <w:rsid w:val="000A12CD"/>
    <w:rsid w:val="000A16D0"/>
    <w:rsid w:val="000A1D14"/>
    <w:rsid w:val="000A250E"/>
    <w:rsid w:val="000A3140"/>
    <w:rsid w:val="000A502B"/>
    <w:rsid w:val="000A5E63"/>
    <w:rsid w:val="000A6125"/>
    <w:rsid w:val="000A6433"/>
    <w:rsid w:val="000A653D"/>
    <w:rsid w:val="000A6AB6"/>
    <w:rsid w:val="000A6BEE"/>
    <w:rsid w:val="000A6D54"/>
    <w:rsid w:val="000A7564"/>
    <w:rsid w:val="000A7DB0"/>
    <w:rsid w:val="000B0FFD"/>
    <w:rsid w:val="000B1302"/>
    <w:rsid w:val="000B1964"/>
    <w:rsid w:val="000B1C31"/>
    <w:rsid w:val="000B1CA9"/>
    <w:rsid w:val="000B1E1E"/>
    <w:rsid w:val="000B289B"/>
    <w:rsid w:val="000B2910"/>
    <w:rsid w:val="000B29C0"/>
    <w:rsid w:val="000B3E43"/>
    <w:rsid w:val="000B4850"/>
    <w:rsid w:val="000B49CB"/>
    <w:rsid w:val="000B4DAC"/>
    <w:rsid w:val="000B54FD"/>
    <w:rsid w:val="000B5FDC"/>
    <w:rsid w:val="000B6281"/>
    <w:rsid w:val="000B641B"/>
    <w:rsid w:val="000B6A48"/>
    <w:rsid w:val="000B6DF7"/>
    <w:rsid w:val="000B6F0F"/>
    <w:rsid w:val="000B7205"/>
    <w:rsid w:val="000B7605"/>
    <w:rsid w:val="000B7819"/>
    <w:rsid w:val="000B7BE7"/>
    <w:rsid w:val="000C0160"/>
    <w:rsid w:val="000C024B"/>
    <w:rsid w:val="000C02C8"/>
    <w:rsid w:val="000C02E6"/>
    <w:rsid w:val="000C0318"/>
    <w:rsid w:val="000C0378"/>
    <w:rsid w:val="000C086B"/>
    <w:rsid w:val="000C15C6"/>
    <w:rsid w:val="000C17DB"/>
    <w:rsid w:val="000C1926"/>
    <w:rsid w:val="000C1FF9"/>
    <w:rsid w:val="000C20DC"/>
    <w:rsid w:val="000C229F"/>
    <w:rsid w:val="000C334C"/>
    <w:rsid w:val="000C35BB"/>
    <w:rsid w:val="000C3768"/>
    <w:rsid w:val="000C3DA7"/>
    <w:rsid w:val="000C3E14"/>
    <w:rsid w:val="000C3E42"/>
    <w:rsid w:val="000C4302"/>
    <w:rsid w:val="000C472E"/>
    <w:rsid w:val="000C492D"/>
    <w:rsid w:val="000C5217"/>
    <w:rsid w:val="000C547A"/>
    <w:rsid w:val="000C5BFB"/>
    <w:rsid w:val="000C6528"/>
    <w:rsid w:val="000C66F4"/>
    <w:rsid w:val="000C6E66"/>
    <w:rsid w:val="000C6F14"/>
    <w:rsid w:val="000C6F77"/>
    <w:rsid w:val="000C70F4"/>
    <w:rsid w:val="000C75BF"/>
    <w:rsid w:val="000C7CA5"/>
    <w:rsid w:val="000C7CDD"/>
    <w:rsid w:val="000C7D13"/>
    <w:rsid w:val="000D0353"/>
    <w:rsid w:val="000D103B"/>
    <w:rsid w:val="000D1062"/>
    <w:rsid w:val="000D1CC7"/>
    <w:rsid w:val="000D2017"/>
    <w:rsid w:val="000D2147"/>
    <w:rsid w:val="000D2288"/>
    <w:rsid w:val="000D2490"/>
    <w:rsid w:val="000D29E8"/>
    <w:rsid w:val="000D3025"/>
    <w:rsid w:val="000D336B"/>
    <w:rsid w:val="000D33C7"/>
    <w:rsid w:val="000D37CD"/>
    <w:rsid w:val="000D3A70"/>
    <w:rsid w:val="000D43B7"/>
    <w:rsid w:val="000D46D5"/>
    <w:rsid w:val="000D4945"/>
    <w:rsid w:val="000D50DA"/>
    <w:rsid w:val="000D56C4"/>
    <w:rsid w:val="000D6083"/>
    <w:rsid w:val="000D63C3"/>
    <w:rsid w:val="000D692A"/>
    <w:rsid w:val="000D73B9"/>
    <w:rsid w:val="000D7457"/>
    <w:rsid w:val="000D75CD"/>
    <w:rsid w:val="000D775D"/>
    <w:rsid w:val="000D7F8C"/>
    <w:rsid w:val="000E0031"/>
    <w:rsid w:val="000E038A"/>
    <w:rsid w:val="000E0730"/>
    <w:rsid w:val="000E0DCF"/>
    <w:rsid w:val="000E1091"/>
    <w:rsid w:val="000E10E8"/>
    <w:rsid w:val="000E11A0"/>
    <w:rsid w:val="000E13B1"/>
    <w:rsid w:val="000E1EFE"/>
    <w:rsid w:val="000E2043"/>
    <w:rsid w:val="000E22F4"/>
    <w:rsid w:val="000E244D"/>
    <w:rsid w:val="000E27FA"/>
    <w:rsid w:val="000E28F5"/>
    <w:rsid w:val="000E321B"/>
    <w:rsid w:val="000E3312"/>
    <w:rsid w:val="000E37CF"/>
    <w:rsid w:val="000E3B80"/>
    <w:rsid w:val="000E46E3"/>
    <w:rsid w:val="000E4DD4"/>
    <w:rsid w:val="000E50F5"/>
    <w:rsid w:val="000E51F7"/>
    <w:rsid w:val="000E57B7"/>
    <w:rsid w:val="000E5B7A"/>
    <w:rsid w:val="000E5C78"/>
    <w:rsid w:val="000E6095"/>
    <w:rsid w:val="000E6773"/>
    <w:rsid w:val="000E6C59"/>
    <w:rsid w:val="000E6CCE"/>
    <w:rsid w:val="000E6CDF"/>
    <w:rsid w:val="000E6E51"/>
    <w:rsid w:val="000E7041"/>
    <w:rsid w:val="000E711E"/>
    <w:rsid w:val="000E7260"/>
    <w:rsid w:val="000E7782"/>
    <w:rsid w:val="000E7976"/>
    <w:rsid w:val="000E7B1F"/>
    <w:rsid w:val="000E7F8F"/>
    <w:rsid w:val="000F0D1A"/>
    <w:rsid w:val="000F1010"/>
    <w:rsid w:val="000F10DF"/>
    <w:rsid w:val="000F155B"/>
    <w:rsid w:val="000F1A6B"/>
    <w:rsid w:val="000F1B96"/>
    <w:rsid w:val="000F1EB7"/>
    <w:rsid w:val="000F2130"/>
    <w:rsid w:val="000F241A"/>
    <w:rsid w:val="000F28CA"/>
    <w:rsid w:val="000F3A57"/>
    <w:rsid w:val="000F3D05"/>
    <w:rsid w:val="000F463D"/>
    <w:rsid w:val="000F4770"/>
    <w:rsid w:val="000F495C"/>
    <w:rsid w:val="000F4A0F"/>
    <w:rsid w:val="000F4DED"/>
    <w:rsid w:val="000F5E30"/>
    <w:rsid w:val="000F6111"/>
    <w:rsid w:val="000F685D"/>
    <w:rsid w:val="000F6B1E"/>
    <w:rsid w:val="000F723E"/>
    <w:rsid w:val="000F7E20"/>
    <w:rsid w:val="0010031B"/>
    <w:rsid w:val="00100502"/>
    <w:rsid w:val="00101AE9"/>
    <w:rsid w:val="00101B33"/>
    <w:rsid w:val="00101BD1"/>
    <w:rsid w:val="00101C23"/>
    <w:rsid w:val="001020D7"/>
    <w:rsid w:val="00102665"/>
    <w:rsid w:val="001029B4"/>
    <w:rsid w:val="00102A7F"/>
    <w:rsid w:val="00102F0C"/>
    <w:rsid w:val="00102F16"/>
    <w:rsid w:val="00103463"/>
    <w:rsid w:val="001038BF"/>
    <w:rsid w:val="00103D70"/>
    <w:rsid w:val="0010449E"/>
    <w:rsid w:val="001046BE"/>
    <w:rsid w:val="001047B2"/>
    <w:rsid w:val="00105A45"/>
    <w:rsid w:val="001060CC"/>
    <w:rsid w:val="00106160"/>
    <w:rsid w:val="00106B25"/>
    <w:rsid w:val="001072FB"/>
    <w:rsid w:val="00107538"/>
    <w:rsid w:val="00107E23"/>
    <w:rsid w:val="00107F03"/>
    <w:rsid w:val="00107F35"/>
    <w:rsid w:val="00110236"/>
    <w:rsid w:val="0011052C"/>
    <w:rsid w:val="00110ADF"/>
    <w:rsid w:val="00110BCF"/>
    <w:rsid w:val="00110CA8"/>
    <w:rsid w:val="001113BD"/>
    <w:rsid w:val="00111EFA"/>
    <w:rsid w:val="00112124"/>
    <w:rsid w:val="00112498"/>
    <w:rsid w:val="001129AB"/>
    <w:rsid w:val="001137AD"/>
    <w:rsid w:val="00113821"/>
    <w:rsid w:val="00114C4E"/>
    <w:rsid w:val="00114C5E"/>
    <w:rsid w:val="001150E8"/>
    <w:rsid w:val="00115231"/>
    <w:rsid w:val="00115617"/>
    <w:rsid w:val="001158F1"/>
    <w:rsid w:val="00115E24"/>
    <w:rsid w:val="001160C9"/>
    <w:rsid w:val="001166E8"/>
    <w:rsid w:val="001168DC"/>
    <w:rsid w:val="00116B53"/>
    <w:rsid w:val="0011760F"/>
    <w:rsid w:val="00117720"/>
    <w:rsid w:val="00117CB8"/>
    <w:rsid w:val="00117CD6"/>
    <w:rsid w:val="00120098"/>
    <w:rsid w:val="00120391"/>
    <w:rsid w:val="00120773"/>
    <w:rsid w:val="00120B12"/>
    <w:rsid w:val="00120B4E"/>
    <w:rsid w:val="00120E01"/>
    <w:rsid w:val="00121417"/>
    <w:rsid w:val="001218E4"/>
    <w:rsid w:val="00121B5E"/>
    <w:rsid w:val="00121EFB"/>
    <w:rsid w:val="001220C0"/>
    <w:rsid w:val="00122941"/>
    <w:rsid w:val="00122AA5"/>
    <w:rsid w:val="00122AF3"/>
    <w:rsid w:val="00122CC3"/>
    <w:rsid w:val="00122E1A"/>
    <w:rsid w:val="0012316D"/>
    <w:rsid w:val="001234F6"/>
    <w:rsid w:val="00123A58"/>
    <w:rsid w:val="00123E47"/>
    <w:rsid w:val="0012416A"/>
    <w:rsid w:val="00124582"/>
    <w:rsid w:val="00125237"/>
    <w:rsid w:val="00125296"/>
    <w:rsid w:val="00125327"/>
    <w:rsid w:val="00126068"/>
    <w:rsid w:val="00126174"/>
    <w:rsid w:val="001263AE"/>
    <w:rsid w:val="001265BF"/>
    <w:rsid w:val="00126689"/>
    <w:rsid w:val="001272EF"/>
    <w:rsid w:val="00127684"/>
    <w:rsid w:val="00127A07"/>
    <w:rsid w:val="00127CAE"/>
    <w:rsid w:val="00127ED7"/>
    <w:rsid w:val="001306C1"/>
    <w:rsid w:val="00130E79"/>
    <w:rsid w:val="001314E4"/>
    <w:rsid w:val="001315D9"/>
    <w:rsid w:val="001315E0"/>
    <w:rsid w:val="00131BDB"/>
    <w:rsid w:val="00131CFB"/>
    <w:rsid w:val="00131F9B"/>
    <w:rsid w:val="0013215F"/>
    <w:rsid w:val="0013217C"/>
    <w:rsid w:val="001322BB"/>
    <w:rsid w:val="0013242E"/>
    <w:rsid w:val="001325FB"/>
    <w:rsid w:val="00132615"/>
    <w:rsid w:val="0013270A"/>
    <w:rsid w:val="00132C1D"/>
    <w:rsid w:val="00133387"/>
    <w:rsid w:val="00133B70"/>
    <w:rsid w:val="00134056"/>
    <w:rsid w:val="001340C8"/>
    <w:rsid w:val="00134A22"/>
    <w:rsid w:val="00134FD8"/>
    <w:rsid w:val="00135135"/>
    <w:rsid w:val="00135163"/>
    <w:rsid w:val="00135D5C"/>
    <w:rsid w:val="0013638A"/>
    <w:rsid w:val="00136D5C"/>
    <w:rsid w:val="00137480"/>
    <w:rsid w:val="00137CA2"/>
    <w:rsid w:val="00137E9F"/>
    <w:rsid w:val="00137ED4"/>
    <w:rsid w:val="001400A2"/>
    <w:rsid w:val="0014048F"/>
    <w:rsid w:val="001418B7"/>
    <w:rsid w:val="001419F0"/>
    <w:rsid w:val="001425D1"/>
    <w:rsid w:val="00142F30"/>
    <w:rsid w:val="001432B1"/>
    <w:rsid w:val="00143351"/>
    <w:rsid w:val="00143353"/>
    <w:rsid w:val="00143584"/>
    <w:rsid w:val="001441F5"/>
    <w:rsid w:val="00144BEA"/>
    <w:rsid w:val="0014503A"/>
    <w:rsid w:val="00145B9F"/>
    <w:rsid w:val="00145E38"/>
    <w:rsid w:val="0014604D"/>
    <w:rsid w:val="00146068"/>
    <w:rsid w:val="0014609B"/>
    <w:rsid w:val="00146253"/>
    <w:rsid w:val="001464AF"/>
    <w:rsid w:val="001465E9"/>
    <w:rsid w:val="0014668A"/>
    <w:rsid w:val="0014687B"/>
    <w:rsid w:val="00147346"/>
    <w:rsid w:val="001479BD"/>
    <w:rsid w:val="00147A40"/>
    <w:rsid w:val="00147BF1"/>
    <w:rsid w:val="00150829"/>
    <w:rsid w:val="001509B7"/>
    <w:rsid w:val="00150EAD"/>
    <w:rsid w:val="00151250"/>
    <w:rsid w:val="00151D79"/>
    <w:rsid w:val="001527C8"/>
    <w:rsid w:val="001528ED"/>
    <w:rsid w:val="00152C45"/>
    <w:rsid w:val="00152D3B"/>
    <w:rsid w:val="001530F6"/>
    <w:rsid w:val="00153106"/>
    <w:rsid w:val="0015326C"/>
    <w:rsid w:val="0015387C"/>
    <w:rsid w:val="00153C13"/>
    <w:rsid w:val="00153FDF"/>
    <w:rsid w:val="00154274"/>
    <w:rsid w:val="0015433E"/>
    <w:rsid w:val="00154426"/>
    <w:rsid w:val="00155351"/>
    <w:rsid w:val="00155AF7"/>
    <w:rsid w:val="00155F68"/>
    <w:rsid w:val="00156434"/>
    <w:rsid w:val="0015647A"/>
    <w:rsid w:val="00156626"/>
    <w:rsid w:val="001569B7"/>
    <w:rsid w:val="001570FF"/>
    <w:rsid w:val="001572DC"/>
    <w:rsid w:val="001574BE"/>
    <w:rsid w:val="00160BC6"/>
    <w:rsid w:val="00160F43"/>
    <w:rsid w:val="0016109C"/>
    <w:rsid w:val="001613C3"/>
    <w:rsid w:val="0016159E"/>
    <w:rsid w:val="001635A9"/>
    <w:rsid w:val="00163902"/>
    <w:rsid w:val="00163920"/>
    <w:rsid w:val="00163940"/>
    <w:rsid w:val="001639C8"/>
    <w:rsid w:val="00163BC2"/>
    <w:rsid w:val="00164570"/>
    <w:rsid w:val="0016484B"/>
    <w:rsid w:val="00164A47"/>
    <w:rsid w:val="00164E72"/>
    <w:rsid w:val="00164F7A"/>
    <w:rsid w:val="001653AC"/>
    <w:rsid w:val="001657AA"/>
    <w:rsid w:val="00165FFE"/>
    <w:rsid w:val="00166251"/>
    <w:rsid w:val="00166971"/>
    <w:rsid w:val="001669D4"/>
    <w:rsid w:val="00166B5D"/>
    <w:rsid w:val="00166F61"/>
    <w:rsid w:val="00166FF0"/>
    <w:rsid w:val="001674E0"/>
    <w:rsid w:val="00167985"/>
    <w:rsid w:val="001701D3"/>
    <w:rsid w:val="00170385"/>
    <w:rsid w:val="001703F4"/>
    <w:rsid w:val="0017102D"/>
    <w:rsid w:val="001713DB"/>
    <w:rsid w:val="00171C34"/>
    <w:rsid w:val="00171E27"/>
    <w:rsid w:val="00172854"/>
    <w:rsid w:val="001729FC"/>
    <w:rsid w:val="00172E78"/>
    <w:rsid w:val="00174117"/>
    <w:rsid w:val="001743AC"/>
    <w:rsid w:val="00174DDB"/>
    <w:rsid w:val="00175045"/>
    <w:rsid w:val="00175E2B"/>
    <w:rsid w:val="00175EC0"/>
    <w:rsid w:val="00176090"/>
    <w:rsid w:val="00176ADD"/>
    <w:rsid w:val="00177AA0"/>
    <w:rsid w:val="00177F12"/>
    <w:rsid w:val="0018099E"/>
    <w:rsid w:val="00180E67"/>
    <w:rsid w:val="00181103"/>
    <w:rsid w:val="0018165C"/>
    <w:rsid w:val="00181C93"/>
    <w:rsid w:val="00181E9E"/>
    <w:rsid w:val="00181F38"/>
    <w:rsid w:val="001822FC"/>
    <w:rsid w:val="0018262B"/>
    <w:rsid w:val="001826BE"/>
    <w:rsid w:val="00182789"/>
    <w:rsid w:val="001828D3"/>
    <w:rsid w:val="0018297D"/>
    <w:rsid w:val="0018330A"/>
    <w:rsid w:val="00183711"/>
    <w:rsid w:val="00183905"/>
    <w:rsid w:val="00183D3A"/>
    <w:rsid w:val="00184288"/>
    <w:rsid w:val="001846A2"/>
    <w:rsid w:val="00184708"/>
    <w:rsid w:val="001847C3"/>
    <w:rsid w:val="00184BBC"/>
    <w:rsid w:val="00185065"/>
    <w:rsid w:val="001855EC"/>
    <w:rsid w:val="00185876"/>
    <w:rsid w:val="00185D44"/>
    <w:rsid w:val="00185FC5"/>
    <w:rsid w:val="001861CE"/>
    <w:rsid w:val="00186BF0"/>
    <w:rsid w:val="00186D7E"/>
    <w:rsid w:val="00186FAA"/>
    <w:rsid w:val="0018708F"/>
    <w:rsid w:val="00187853"/>
    <w:rsid w:val="00187897"/>
    <w:rsid w:val="001878C6"/>
    <w:rsid w:val="00187A76"/>
    <w:rsid w:val="00190025"/>
    <w:rsid w:val="001904F1"/>
    <w:rsid w:val="001905C8"/>
    <w:rsid w:val="001909C6"/>
    <w:rsid w:val="00190A4F"/>
    <w:rsid w:val="0019115F"/>
    <w:rsid w:val="0019118C"/>
    <w:rsid w:val="0019125A"/>
    <w:rsid w:val="0019202F"/>
    <w:rsid w:val="00192474"/>
    <w:rsid w:val="001927B6"/>
    <w:rsid w:val="00192FEE"/>
    <w:rsid w:val="001936BC"/>
    <w:rsid w:val="0019384F"/>
    <w:rsid w:val="00193C86"/>
    <w:rsid w:val="00194111"/>
    <w:rsid w:val="00194855"/>
    <w:rsid w:val="00194A0F"/>
    <w:rsid w:val="00194A13"/>
    <w:rsid w:val="00195ADC"/>
    <w:rsid w:val="00195C5D"/>
    <w:rsid w:val="00195DE3"/>
    <w:rsid w:val="001960F9"/>
    <w:rsid w:val="00196918"/>
    <w:rsid w:val="00196FA3"/>
    <w:rsid w:val="00196FC7"/>
    <w:rsid w:val="001978C2"/>
    <w:rsid w:val="00197CCF"/>
    <w:rsid w:val="001A050A"/>
    <w:rsid w:val="001A065D"/>
    <w:rsid w:val="001A0E0F"/>
    <w:rsid w:val="001A10A1"/>
    <w:rsid w:val="001A1170"/>
    <w:rsid w:val="001A1383"/>
    <w:rsid w:val="001A19C6"/>
    <w:rsid w:val="001A1A13"/>
    <w:rsid w:val="001A285D"/>
    <w:rsid w:val="001A2968"/>
    <w:rsid w:val="001A30CA"/>
    <w:rsid w:val="001A339F"/>
    <w:rsid w:val="001A3AAA"/>
    <w:rsid w:val="001A40DE"/>
    <w:rsid w:val="001A41C7"/>
    <w:rsid w:val="001A4716"/>
    <w:rsid w:val="001A485E"/>
    <w:rsid w:val="001A50B4"/>
    <w:rsid w:val="001A5B5F"/>
    <w:rsid w:val="001A5BBD"/>
    <w:rsid w:val="001A5F89"/>
    <w:rsid w:val="001A638C"/>
    <w:rsid w:val="001A6C08"/>
    <w:rsid w:val="001A7107"/>
    <w:rsid w:val="001A78D7"/>
    <w:rsid w:val="001A7D01"/>
    <w:rsid w:val="001A7E7D"/>
    <w:rsid w:val="001B07C8"/>
    <w:rsid w:val="001B098F"/>
    <w:rsid w:val="001B0C19"/>
    <w:rsid w:val="001B10DC"/>
    <w:rsid w:val="001B1781"/>
    <w:rsid w:val="001B1A65"/>
    <w:rsid w:val="001B1A66"/>
    <w:rsid w:val="001B1B63"/>
    <w:rsid w:val="001B2940"/>
    <w:rsid w:val="001B296A"/>
    <w:rsid w:val="001B2D26"/>
    <w:rsid w:val="001B2D2B"/>
    <w:rsid w:val="001B2E96"/>
    <w:rsid w:val="001B2FBD"/>
    <w:rsid w:val="001B32E1"/>
    <w:rsid w:val="001B332C"/>
    <w:rsid w:val="001B3A47"/>
    <w:rsid w:val="001B420D"/>
    <w:rsid w:val="001B44E9"/>
    <w:rsid w:val="001B473A"/>
    <w:rsid w:val="001B4EF9"/>
    <w:rsid w:val="001B52F9"/>
    <w:rsid w:val="001B534D"/>
    <w:rsid w:val="001B56F7"/>
    <w:rsid w:val="001B5758"/>
    <w:rsid w:val="001B5D8D"/>
    <w:rsid w:val="001B5E8D"/>
    <w:rsid w:val="001B634D"/>
    <w:rsid w:val="001B6519"/>
    <w:rsid w:val="001B65A8"/>
    <w:rsid w:val="001B6835"/>
    <w:rsid w:val="001B7AEB"/>
    <w:rsid w:val="001B7C40"/>
    <w:rsid w:val="001C0129"/>
    <w:rsid w:val="001C01B2"/>
    <w:rsid w:val="001C0695"/>
    <w:rsid w:val="001C14F7"/>
    <w:rsid w:val="001C186F"/>
    <w:rsid w:val="001C194F"/>
    <w:rsid w:val="001C1BE6"/>
    <w:rsid w:val="001C1F19"/>
    <w:rsid w:val="001C211C"/>
    <w:rsid w:val="001C2176"/>
    <w:rsid w:val="001C21A6"/>
    <w:rsid w:val="001C22D3"/>
    <w:rsid w:val="001C2550"/>
    <w:rsid w:val="001C2AD8"/>
    <w:rsid w:val="001C306D"/>
    <w:rsid w:val="001C3A34"/>
    <w:rsid w:val="001C427A"/>
    <w:rsid w:val="001C442E"/>
    <w:rsid w:val="001C4C31"/>
    <w:rsid w:val="001C54D1"/>
    <w:rsid w:val="001C577C"/>
    <w:rsid w:val="001C58E6"/>
    <w:rsid w:val="001C631A"/>
    <w:rsid w:val="001C66B5"/>
    <w:rsid w:val="001C6B5C"/>
    <w:rsid w:val="001C6B64"/>
    <w:rsid w:val="001C6D2F"/>
    <w:rsid w:val="001C6E5F"/>
    <w:rsid w:val="001C71C0"/>
    <w:rsid w:val="001C73B2"/>
    <w:rsid w:val="001C74E0"/>
    <w:rsid w:val="001C783D"/>
    <w:rsid w:val="001C78A3"/>
    <w:rsid w:val="001C7ACA"/>
    <w:rsid w:val="001D0204"/>
    <w:rsid w:val="001D05EE"/>
    <w:rsid w:val="001D16EE"/>
    <w:rsid w:val="001D1AD5"/>
    <w:rsid w:val="001D1C23"/>
    <w:rsid w:val="001D24F6"/>
    <w:rsid w:val="001D2578"/>
    <w:rsid w:val="001D2E25"/>
    <w:rsid w:val="001D308E"/>
    <w:rsid w:val="001D31BA"/>
    <w:rsid w:val="001D370F"/>
    <w:rsid w:val="001D4206"/>
    <w:rsid w:val="001D474B"/>
    <w:rsid w:val="001D4931"/>
    <w:rsid w:val="001D4E64"/>
    <w:rsid w:val="001D4F89"/>
    <w:rsid w:val="001D52F8"/>
    <w:rsid w:val="001D5BE3"/>
    <w:rsid w:val="001D5E29"/>
    <w:rsid w:val="001D5EE8"/>
    <w:rsid w:val="001D5FB4"/>
    <w:rsid w:val="001D6A61"/>
    <w:rsid w:val="001D70F3"/>
    <w:rsid w:val="001D73C5"/>
    <w:rsid w:val="001D77B2"/>
    <w:rsid w:val="001E00DF"/>
    <w:rsid w:val="001E0909"/>
    <w:rsid w:val="001E0EC4"/>
    <w:rsid w:val="001E0F52"/>
    <w:rsid w:val="001E0F85"/>
    <w:rsid w:val="001E1088"/>
    <w:rsid w:val="001E137B"/>
    <w:rsid w:val="001E17DA"/>
    <w:rsid w:val="001E1B6B"/>
    <w:rsid w:val="001E1C00"/>
    <w:rsid w:val="001E1F0F"/>
    <w:rsid w:val="001E232C"/>
    <w:rsid w:val="001E23EA"/>
    <w:rsid w:val="001E27AE"/>
    <w:rsid w:val="001E27B1"/>
    <w:rsid w:val="001E2E36"/>
    <w:rsid w:val="001E2FB7"/>
    <w:rsid w:val="001E342F"/>
    <w:rsid w:val="001E41DC"/>
    <w:rsid w:val="001E4A0F"/>
    <w:rsid w:val="001E4C26"/>
    <w:rsid w:val="001E4CC0"/>
    <w:rsid w:val="001E4E0D"/>
    <w:rsid w:val="001E5588"/>
    <w:rsid w:val="001E597B"/>
    <w:rsid w:val="001E5A1C"/>
    <w:rsid w:val="001E5C4B"/>
    <w:rsid w:val="001E5D7D"/>
    <w:rsid w:val="001E6235"/>
    <w:rsid w:val="001E6504"/>
    <w:rsid w:val="001E67BE"/>
    <w:rsid w:val="001E6B5F"/>
    <w:rsid w:val="001E6BB2"/>
    <w:rsid w:val="001E6DCC"/>
    <w:rsid w:val="001E72F8"/>
    <w:rsid w:val="001E7391"/>
    <w:rsid w:val="001E750D"/>
    <w:rsid w:val="001E7E2D"/>
    <w:rsid w:val="001F09C5"/>
    <w:rsid w:val="001F0B44"/>
    <w:rsid w:val="001F0C02"/>
    <w:rsid w:val="001F0CE6"/>
    <w:rsid w:val="001F10F8"/>
    <w:rsid w:val="001F1145"/>
    <w:rsid w:val="001F13C9"/>
    <w:rsid w:val="001F1D2C"/>
    <w:rsid w:val="001F1E69"/>
    <w:rsid w:val="001F2667"/>
    <w:rsid w:val="001F296B"/>
    <w:rsid w:val="001F3505"/>
    <w:rsid w:val="001F3587"/>
    <w:rsid w:val="001F38D3"/>
    <w:rsid w:val="001F39EC"/>
    <w:rsid w:val="001F3BB0"/>
    <w:rsid w:val="001F3D07"/>
    <w:rsid w:val="001F4398"/>
    <w:rsid w:val="001F43FA"/>
    <w:rsid w:val="001F44F9"/>
    <w:rsid w:val="001F4D12"/>
    <w:rsid w:val="001F4FB8"/>
    <w:rsid w:val="001F50CF"/>
    <w:rsid w:val="001F5CE4"/>
    <w:rsid w:val="001F6446"/>
    <w:rsid w:val="001F644B"/>
    <w:rsid w:val="001F6B9B"/>
    <w:rsid w:val="001F712F"/>
    <w:rsid w:val="001F74A6"/>
    <w:rsid w:val="001F7786"/>
    <w:rsid w:val="001F7F33"/>
    <w:rsid w:val="001F7F6A"/>
    <w:rsid w:val="001F7F7E"/>
    <w:rsid w:val="002001B0"/>
    <w:rsid w:val="002003C1"/>
    <w:rsid w:val="002010C0"/>
    <w:rsid w:val="002014F9"/>
    <w:rsid w:val="00201643"/>
    <w:rsid w:val="00201D90"/>
    <w:rsid w:val="00201EFF"/>
    <w:rsid w:val="00202B9D"/>
    <w:rsid w:val="00202F02"/>
    <w:rsid w:val="00203262"/>
    <w:rsid w:val="00203474"/>
    <w:rsid w:val="00203817"/>
    <w:rsid w:val="002039F9"/>
    <w:rsid w:val="00203C07"/>
    <w:rsid w:val="00203D1A"/>
    <w:rsid w:val="00203E65"/>
    <w:rsid w:val="00203EE4"/>
    <w:rsid w:val="00203F2A"/>
    <w:rsid w:val="00203FBE"/>
    <w:rsid w:val="00204201"/>
    <w:rsid w:val="002043BE"/>
    <w:rsid w:val="00204ACB"/>
    <w:rsid w:val="00205242"/>
    <w:rsid w:val="00205320"/>
    <w:rsid w:val="00205FB4"/>
    <w:rsid w:val="00206274"/>
    <w:rsid w:val="00206E4D"/>
    <w:rsid w:val="0020709F"/>
    <w:rsid w:val="00207156"/>
    <w:rsid w:val="002073FC"/>
    <w:rsid w:val="00207852"/>
    <w:rsid w:val="00207E65"/>
    <w:rsid w:val="00207EE9"/>
    <w:rsid w:val="00210819"/>
    <w:rsid w:val="00210D2B"/>
    <w:rsid w:val="00210DEA"/>
    <w:rsid w:val="00211D46"/>
    <w:rsid w:val="002122EE"/>
    <w:rsid w:val="0021262B"/>
    <w:rsid w:val="00212C21"/>
    <w:rsid w:val="0021310C"/>
    <w:rsid w:val="00213627"/>
    <w:rsid w:val="00213874"/>
    <w:rsid w:val="00213991"/>
    <w:rsid w:val="00213B35"/>
    <w:rsid w:val="00213D7A"/>
    <w:rsid w:val="002143BF"/>
    <w:rsid w:val="0021446A"/>
    <w:rsid w:val="002148B2"/>
    <w:rsid w:val="00214D7B"/>
    <w:rsid w:val="00214DC1"/>
    <w:rsid w:val="00215083"/>
    <w:rsid w:val="002152DC"/>
    <w:rsid w:val="002153ED"/>
    <w:rsid w:val="00215617"/>
    <w:rsid w:val="00216462"/>
    <w:rsid w:val="00216600"/>
    <w:rsid w:val="00216886"/>
    <w:rsid w:val="002170D5"/>
    <w:rsid w:val="00217540"/>
    <w:rsid w:val="002175FA"/>
    <w:rsid w:val="00217D4E"/>
    <w:rsid w:val="002206F2"/>
    <w:rsid w:val="002209A9"/>
    <w:rsid w:val="00220D7F"/>
    <w:rsid w:val="00220FE6"/>
    <w:rsid w:val="0022181C"/>
    <w:rsid w:val="00221D01"/>
    <w:rsid w:val="002222FA"/>
    <w:rsid w:val="002224EA"/>
    <w:rsid w:val="0022257F"/>
    <w:rsid w:val="00222822"/>
    <w:rsid w:val="00222922"/>
    <w:rsid w:val="002229A6"/>
    <w:rsid w:val="00222AD7"/>
    <w:rsid w:val="00222ED8"/>
    <w:rsid w:val="00223323"/>
    <w:rsid w:val="00223926"/>
    <w:rsid w:val="00223E66"/>
    <w:rsid w:val="00223FF4"/>
    <w:rsid w:val="002240FD"/>
    <w:rsid w:val="00224A1B"/>
    <w:rsid w:val="00224AB1"/>
    <w:rsid w:val="00225378"/>
    <w:rsid w:val="0022558D"/>
    <w:rsid w:val="002257B6"/>
    <w:rsid w:val="00225CF3"/>
    <w:rsid w:val="00226434"/>
    <w:rsid w:val="002265E4"/>
    <w:rsid w:val="002268ED"/>
    <w:rsid w:val="00227D4C"/>
    <w:rsid w:val="00227EE5"/>
    <w:rsid w:val="002303A8"/>
    <w:rsid w:val="00230B82"/>
    <w:rsid w:val="00230C56"/>
    <w:rsid w:val="00230E7E"/>
    <w:rsid w:val="00231567"/>
    <w:rsid w:val="0023166F"/>
    <w:rsid w:val="002320D9"/>
    <w:rsid w:val="00232561"/>
    <w:rsid w:val="002336BC"/>
    <w:rsid w:val="00233716"/>
    <w:rsid w:val="0023390E"/>
    <w:rsid w:val="002339D8"/>
    <w:rsid w:val="002339FF"/>
    <w:rsid w:val="002342CC"/>
    <w:rsid w:val="0023440A"/>
    <w:rsid w:val="0023448C"/>
    <w:rsid w:val="00234513"/>
    <w:rsid w:val="00234E27"/>
    <w:rsid w:val="00235618"/>
    <w:rsid w:val="002366B8"/>
    <w:rsid w:val="002367BB"/>
    <w:rsid w:val="0024010E"/>
    <w:rsid w:val="0024059F"/>
    <w:rsid w:val="00240944"/>
    <w:rsid w:val="002410F1"/>
    <w:rsid w:val="00241431"/>
    <w:rsid w:val="00241A11"/>
    <w:rsid w:val="00241E9B"/>
    <w:rsid w:val="00241F52"/>
    <w:rsid w:val="00242197"/>
    <w:rsid w:val="00242728"/>
    <w:rsid w:val="00242D4D"/>
    <w:rsid w:val="00242D78"/>
    <w:rsid w:val="002431C7"/>
    <w:rsid w:val="00243340"/>
    <w:rsid w:val="00243D9A"/>
    <w:rsid w:val="002440C5"/>
    <w:rsid w:val="00244197"/>
    <w:rsid w:val="002442C6"/>
    <w:rsid w:val="00244DFE"/>
    <w:rsid w:val="00244ECA"/>
    <w:rsid w:val="00245072"/>
    <w:rsid w:val="00245190"/>
    <w:rsid w:val="002452F5"/>
    <w:rsid w:val="002454FC"/>
    <w:rsid w:val="00245C87"/>
    <w:rsid w:val="0024600F"/>
    <w:rsid w:val="00246089"/>
    <w:rsid w:val="00246195"/>
    <w:rsid w:val="00246554"/>
    <w:rsid w:val="00246687"/>
    <w:rsid w:val="002469C7"/>
    <w:rsid w:val="00250024"/>
    <w:rsid w:val="0025002A"/>
    <w:rsid w:val="00250B28"/>
    <w:rsid w:val="00251482"/>
    <w:rsid w:val="00251501"/>
    <w:rsid w:val="0025191C"/>
    <w:rsid w:val="00251A15"/>
    <w:rsid w:val="00251D40"/>
    <w:rsid w:val="002523D9"/>
    <w:rsid w:val="0025247C"/>
    <w:rsid w:val="002531C1"/>
    <w:rsid w:val="002533ED"/>
    <w:rsid w:val="0025362B"/>
    <w:rsid w:val="002537DA"/>
    <w:rsid w:val="0025397F"/>
    <w:rsid w:val="00254004"/>
    <w:rsid w:val="00254283"/>
    <w:rsid w:val="002543DA"/>
    <w:rsid w:val="00254EFA"/>
    <w:rsid w:val="00254F8F"/>
    <w:rsid w:val="00255017"/>
    <w:rsid w:val="0025531A"/>
    <w:rsid w:val="00255469"/>
    <w:rsid w:val="00255647"/>
    <w:rsid w:val="002560B4"/>
    <w:rsid w:val="0025619F"/>
    <w:rsid w:val="002564AF"/>
    <w:rsid w:val="002565C9"/>
    <w:rsid w:val="002567B2"/>
    <w:rsid w:val="002568A7"/>
    <w:rsid w:val="00256BC0"/>
    <w:rsid w:val="00257084"/>
    <w:rsid w:val="002570D0"/>
    <w:rsid w:val="00257173"/>
    <w:rsid w:val="002573E5"/>
    <w:rsid w:val="002577EA"/>
    <w:rsid w:val="00257ABD"/>
    <w:rsid w:val="00260F0A"/>
    <w:rsid w:val="00261030"/>
    <w:rsid w:val="002613CE"/>
    <w:rsid w:val="002614E1"/>
    <w:rsid w:val="00261644"/>
    <w:rsid w:val="00261702"/>
    <w:rsid w:val="00261A73"/>
    <w:rsid w:val="00261EFC"/>
    <w:rsid w:val="00262045"/>
    <w:rsid w:val="00262B0D"/>
    <w:rsid w:val="00262B3A"/>
    <w:rsid w:val="00262C42"/>
    <w:rsid w:val="00262F0D"/>
    <w:rsid w:val="002630BB"/>
    <w:rsid w:val="002635E9"/>
    <w:rsid w:val="00263B35"/>
    <w:rsid w:val="00263F8E"/>
    <w:rsid w:val="0026445B"/>
    <w:rsid w:val="002646DE"/>
    <w:rsid w:val="002648FB"/>
    <w:rsid w:val="00264F67"/>
    <w:rsid w:val="002651E0"/>
    <w:rsid w:val="00265336"/>
    <w:rsid w:val="002653EA"/>
    <w:rsid w:val="00265473"/>
    <w:rsid w:val="00265876"/>
    <w:rsid w:val="00265BDB"/>
    <w:rsid w:val="00266564"/>
    <w:rsid w:val="00266EC5"/>
    <w:rsid w:val="00267270"/>
    <w:rsid w:val="0026737A"/>
    <w:rsid w:val="002673DE"/>
    <w:rsid w:val="00267A4F"/>
    <w:rsid w:val="00267B12"/>
    <w:rsid w:val="00267DA1"/>
    <w:rsid w:val="002701F7"/>
    <w:rsid w:val="00270BE1"/>
    <w:rsid w:val="00270DA2"/>
    <w:rsid w:val="00270EB1"/>
    <w:rsid w:val="0027194D"/>
    <w:rsid w:val="002719BA"/>
    <w:rsid w:val="00272012"/>
    <w:rsid w:val="00272657"/>
    <w:rsid w:val="0027288D"/>
    <w:rsid w:val="002728D1"/>
    <w:rsid w:val="00273070"/>
    <w:rsid w:val="00273736"/>
    <w:rsid w:val="00273B04"/>
    <w:rsid w:val="002742A6"/>
    <w:rsid w:val="00274870"/>
    <w:rsid w:val="00274A54"/>
    <w:rsid w:val="00274ED3"/>
    <w:rsid w:val="00275E51"/>
    <w:rsid w:val="002760F5"/>
    <w:rsid w:val="0027660F"/>
    <w:rsid w:val="00276672"/>
    <w:rsid w:val="002769A6"/>
    <w:rsid w:val="00276E33"/>
    <w:rsid w:val="00276F20"/>
    <w:rsid w:val="002778BE"/>
    <w:rsid w:val="00277F1E"/>
    <w:rsid w:val="00280167"/>
    <w:rsid w:val="0028062F"/>
    <w:rsid w:val="002806BB"/>
    <w:rsid w:val="00280874"/>
    <w:rsid w:val="002813D7"/>
    <w:rsid w:val="00281BAA"/>
    <w:rsid w:val="00282A79"/>
    <w:rsid w:val="00282C9B"/>
    <w:rsid w:val="00283583"/>
    <w:rsid w:val="00283DE9"/>
    <w:rsid w:val="0028412F"/>
    <w:rsid w:val="002847EB"/>
    <w:rsid w:val="0028506A"/>
    <w:rsid w:val="00285085"/>
    <w:rsid w:val="002850EB"/>
    <w:rsid w:val="0028538A"/>
    <w:rsid w:val="00285691"/>
    <w:rsid w:val="00285CFE"/>
    <w:rsid w:val="00285D00"/>
    <w:rsid w:val="00285F87"/>
    <w:rsid w:val="002860AF"/>
    <w:rsid w:val="00286694"/>
    <w:rsid w:val="00286875"/>
    <w:rsid w:val="00286ADC"/>
    <w:rsid w:val="00286B73"/>
    <w:rsid w:val="002870C7"/>
    <w:rsid w:val="00287202"/>
    <w:rsid w:val="002878A6"/>
    <w:rsid w:val="00287904"/>
    <w:rsid w:val="0029080D"/>
    <w:rsid w:val="00291345"/>
    <w:rsid w:val="00291E8F"/>
    <w:rsid w:val="0029259F"/>
    <w:rsid w:val="00292659"/>
    <w:rsid w:val="00292669"/>
    <w:rsid w:val="00292950"/>
    <w:rsid w:val="002929C8"/>
    <w:rsid w:val="00292BAB"/>
    <w:rsid w:val="00292BB6"/>
    <w:rsid w:val="00292C05"/>
    <w:rsid w:val="002934F6"/>
    <w:rsid w:val="002935E9"/>
    <w:rsid w:val="00293764"/>
    <w:rsid w:val="00293E18"/>
    <w:rsid w:val="00293EF5"/>
    <w:rsid w:val="00294473"/>
    <w:rsid w:val="0029463B"/>
    <w:rsid w:val="00294835"/>
    <w:rsid w:val="00294959"/>
    <w:rsid w:val="00294DEF"/>
    <w:rsid w:val="00295CAB"/>
    <w:rsid w:val="00295E17"/>
    <w:rsid w:val="002962A3"/>
    <w:rsid w:val="00296707"/>
    <w:rsid w:val="00296830"/>
    <w:rsid w:val="002968DD"/>
    <w:rsid w:val="00296A63"/>
    <w:rsid w:val="00296A7B"/>
    <w:rsid w:val="00296FC7"/>
    <w:rsid w:val="002974E4"/>
    <w:rsid w:val="002976D4"/>
    <w:rsid w:val="00297E67"/>
    <w:rsid w:val="002A0168"/>
    <w:rsid w:val="002A0184"/>
    <w:rsid w:val="002A098D"/>
    <w:rsid w:val="002A0B82"/>
    <w:rsid w:val="002A0DEE"/>
    <w:rsid w:val="002A1E50"/>
    <w:rsid w:val="002A20EB"/>
    <w:rsid w:val="002A23D0"/>
    <w:rsid w:val="002A26E6"/>
    <w:rsid w:val="002A2868"/>
    <w:rsid w:val="002A2AD7"/>
    <w:rsid w:val="002A2E04"/>
    <w:rsid w:val="002A3680"/>
    <w:rsid w:val="002A391D"/>
    <w:rsid w:val="002A3964"/>
    <w:rsid w:val="002A39D8"/>
    <w:rsid w:val="002A43E8"/>
    <w:rsid w:val="002A454A"/>
    <w:rsid w:val="002A48B1"/>
    <w:rsid w:val="002A5664"/>
    <w:rsid w:val="002A5CDD"/>
    <w:rsid w:val="002A5D1F"/>
    <w:rsid w:val="002A63E1"/>
    <w:rsid w:val="002A6A1C"/>
    <w:rsid w:val="002A6E59"/>
    <w:rsid w:val="002A7629"/>
    <w:rsid w:val="002A79DF"/>
    <w:rsid w:val="002A7A69"/>
    <w:rsid w:val="002A7BC3"/>
    <w:rsid w:val="002B0011"/>
    <w:rsid w:val="002B04B3"/>
    <w:rsid w:val="002B04FF"/>
    <w:rsid w:val="002B06D1"/>
    <w:rsid w:val="002B0A89"/>
    <w:rsid w:val="002B0DA1"/>
    <w:rsid w:val="002B0E59"/>
    <w:rsid w:val="002B0F7C"/>
    <w:rsid w:val="002B100C"/>
    <w:rsid w:val="002B122B"/>
    <w:rsid w:val="002B1517"/>
    <w:rsid w:val="002B1852"/>
    <w:rsid w:val="002B2915"/>
    <w:rsid w:val="002B2C0D"/>
    <w:rsid w:val="002B2E0B"/>
    <w:rsid w:val="002B2FA9"/>
    <w:rsid w:val="002B2FD8"/>
    <w:rsid w:val="002B307E"/>
    <w:rsid w:val="002B30D5"/>
    <w:rsid w:val="002B3362"/>
    <w:rsid w:val="002B3D0B"/>
    <w:rsid w:val="002B4266"/>
    <w:rsid w:val="002B4463"/>
    <w:rsid w:val="002B479B"/>
    <w:rsid w:val="002B4DFE"/>
    <w:rsid w:val="002B51EA"/>
    <w:rsid w:val="002B5563"/>
    <w:rsid w:val="002B603A"/>
    <w:rsid w:val="002B651F"/>
    <w:rsid w:val="002B664E"/>
    <w:rsid w:val="002B6A83"/>
    <w:rsid w:val="002B6B32"/>
    <w:rsid w:val="002B6DB8"/>
    <w:rsid w:val="002B6F97"/>
    <w:rsid w:val="002B706B"/>
    <w:rsid w:val="002B71A8"/>
    <w:rsid w:val="002B7282"/>
    <w:rsid w:val="002C0342"/>
    <w:rsid w:val="002C0382"/>
    <w:rsid w:val="002C03A3"/>
    <w:rsid w:val="002C0DFA"/>
    <w:rsid w:val="002C0E92"/>
    <w:rsid w:val="002C0F85"/>
    <w:rsid w:val="002C1570"/>
    <w:rsid w:val="002C1997"/>
    <w:rsid w:val="002C1CA7"/>
    <w:rsid w:val="002C1CB2"/>
    <w:rsid w:val="002C2439"/>
    <w:rsid w:val="002C2FB6"/>
    <w:rsid w:val="002C4455"/>
    <w:rsid w:val="002C44DC"/>
    <w:rsid w:val="002C46FD"/>
    <w:rsid w:val="002C5615"/>
    <w:rsid w:val="002C5918"/>
    <w:rsid w:val="002C5AA8"/>
    <w:rsid w:val="002C5F21"/>
    <w:rsid w:val="002C6779"/>
    <w:rsid w:val="002C6C43"/>
    <w:rsid w:val="002C7839"/>
    <w:rsid w:val="002C7E91"/>
    <w:rsid w:val="002D0088"/>
    <w:rsid w:val="002D014E"/>
    <w:rsid w:val="002D0421"/>
    <w:rsid w:val="002D1464"/>
    <w:rsid w:val="002D1994"/>
    <w:rsid w:val="002D1CD0"/>
    <w:rsid w:val="002D1D53"/>
    <w:rsid w:val="002D1DCA"/>
    <w:rsid w:val="002D2253"/>
    <w:rsid w:val="002D22B7"/>
    <w:rsid w:val="002D2648"/>
    <w:rsid w:val="002D269B"/>
    <w:rsid w:val="002D2ADA"/>
    <w:rsid w:val="002D2C2A"/>
    <w:rsid w:val="002D2D91"/>
    <w:rsid w:val="002D2F0A"/>
    <w:rsid w:val="002D30D3"/>
    <w:rsid w:val="002D3C2E"/>
    <w:rsid w:val="002D41F8"/>
    <w:rsid w:val="002D4588"/>
    <w:rsid w:val="002D4BD3"/>
    <w:rsid w:val="002D4CC9"/>
    <w:rsid w:val="002D59B3"/>
    <w:rsid w:val="002D5CF0"/>
    <w:rsid w:val="002D5DAD"/>
    <w:rsid w:val="002D64B5"/>
    <w:rsid w:val="002D6990"/>
    <w:rsid w:val="002D6A9F"/>
    <w:rsid w:val="002D6C16"/>
    <w:rsid w:val="002D7675"/>
    <w:rsid w:val="002D7776"/>
    <w:rsid w:val="002D7B81"/>
    <w:rsid w:val="002D7B89"/>
    <w:rsid w:val="002D7DB3"/>
    <w:rsid w:val="002D7FCA"/>
    <w:rsid w:val="002E01C1"/>
    <w:rsid w:val="002E0404"/>
    <w:rsid w:val="002E0880"/>
    <w:rsid w:val="002E1BF9"/>
    <w:rsid w:val="002E1E3E"/>
    <w:rsid w:val="002E1F6F"/>
    <w:rsid w:val="002E21F1"/>
    <w:rsid w:val="002E2889"/>
    <w:rsid w:val="002E2E3B"/>
    <w:rsid w:val="002E2EB0"/>
    <w:rsid w:val="002E315D"/>
    <w:rsid w:val="002E36B2"/>
    <w:rsid w:val="002E4058"/>
    <w:rsid w:val="002E40EE"/>
    <w:rsid w:val="002E47E5"/>
    <w:rsid w:val="002E5063"/>
    <w:rsid w:val="002E558D"/>
    <w:rsid w:val="002E5872"/>
    <w:rsid w:val="002E5B21"/>
    <w:rsid w:val="002E5BDC"/>
    <w:rsid w:val="002E61CB"/>
    <w:rsid w:val="002E65B4"/>
    <w:rsid w:val="002E6AE1"/>
    <w:rsid w:val="002E6AE6"/>
    <w:rsid w:val="002E73D4"/>
    <w:rsid w:val="002E7616"/>
    <w:rsid w:val="002E789A"/>
    <w:rsid w:val="002F03DC"/>
    <w:rsid w:val="002F0815"/>
    <w:rsid w:val="002F091D"/>
    <w:rsid w:val="002F0A2A"/>
    <w:rsid w:val="002F0DEB"/>
    <w:rsid w:val="002F0FB7"/>
    <w:rsid w:val="002F110E"/>
    <w:rsid w:val="002F15FA"/>
    <w:rsid w:val="002F17A3"/>
    <w:rsid w:val="002F1BC8"/>
    <w:rsid w:val="002F1C41"/>
    <w:rsid w:val="002F2472"/>
    <w:rsid w:val="002F2ADE"/>
    <w:rsid w:val="002F3126"/>
    <w:rsid w:val="002F31D1"/>
    <w:rsid w:val="002F3BBF"/>
    <w:rsid w:val="002F3DA4"/>
    <w:rsid w:val="002F3F77"/>
    <w:rsid w:val="002F4073"/>
    <w:rsid w:val="002F4163"/>
    <w:rsid w:val="002F427D"/>
    <w:rsid w:val="002F42FA"/>
    <w:rsid w:val="002F4608"/>
    <w:rsid w:val="002F47FF"/>
    <w:rsid w:val="002F49E2"/>
    <w:rsid w:val="002F4A05"/>
    <w:rsid w:val="002F4CF5"/>
    <w:rsid w:val="002F519C"/>
    <w:rsid w:val="002F5DD1"/>
    <w:rsid w:val="002F611D"/>
    <w:rsid w:val="002F64D7"/>
    <w:rsid w:val="002F693D"/>
    <w:rsid w:val="002F6B15"/>
    <w:rsid w:val="002F6FC3"/>
    <w:rsid w:val="002F78C8"/>
    <w:rsid w:val="002F7C84"/>
    <w:rsid w:val="002F7D30"/>
    <w:rsid w:val="002F7E82"/>
    <w:rsid w:val="003002EE"/>
    <w:rsid w:val="0030068A"/>
    <w:rsid w:val="003006D4"/>
    <w:rsid w:val="003008C6"/>
    <w:rsid w:val="00300901"/>
    <w:rsid w:val="00300B0C"/>
    <w:rsid w:val="00300D6E"/>
    <w:rsid w:val="003018A1"/>
    <w:rsid w:val="00301CE8"/>
    <w:rsid w:val="00301E25"/>
    <w:rsid w:val="00301E87"/>
    <w:rsid w:val="00301F6F"/>
    <w:rsid w:val="00302004"/>
    <w:rsid w:val="003023EE"/>
    <w:rsid w:val="0030286E"/>
    <w:rsid w:val="0030289C"/>
    <w:rsid w:val="003029FD"/>
    <w:rsid w:val="00302D77"/>
    <w:rsid w:val="00303F39"/>
    <w:rsid w:val="0030481D"/>
    <w:rsid w:val="003048FC"/>
    <w:rsid w:val="003049BF"/>
    <w:rsid w:val="00304A07"/>
    <w:rsid w:val="00304BBF"/>
    <w:rsid w:val="00304C1D"/>
    <w:rsid w:val="00304E44"/>
    <w:rsid w:val="00304FF5"/>
    <w:rsid w:val="0030517A"/>
    <w:rsid w:val="0030537A"/>
    <w:rsid w:val="0030575D"/>
    <w:rsid w:val="00305B53"/>
    <w:rsid w:val="00306045"/>
    <w:rsid w:val="003060DC"/>
    <w:rsid w:val="00306765"/>
    <w:rsid w:val="00306BCC"/>
    <w:rsid w:val="003070B6"/>
    <w:rsid w:val="00307A95"/>
    <w:rsid w:val="00307C56"/>
    <w:rsid w:val="00310732"/>
    <w:rsid w:val="003115DC"/>
    <w:rsid w:val="00311880"/>
    <w:rsid w:val="00311A5F"/>
    <w:rsid w:val="003124EF"/>
    <w:rsid w:val="00312A0B"/>
    <w:rsid w:val="00312B16"/>
    <w:rsid w:val="00312C55"/>
    <w:rsid w:val="00312D55"/>
    <w:rsid w:val="003135CB"/>
    <w:rsid w:val="0031380D"/>
    <w:rsid w:val="003139DB"/>
    <w:rsid w:val="00313B3D"/>
    <w:rsid w:val="00313B47"/>
    <w:rsid w:val="00313F09"/>
    <w:rsid w:val="00314AED"/>
    <w:rsid w:val="00314FC1"/>
    <w:rsid w:val="00316793"/>
    <w:rsid w:val="00316FB6"/>
    <w:rsid w:val="00316FF5"/>
    <w:rsid w:val="0031774E"/>
    <w:rsid w:val="003179E5"/>
    <w:rsid w:val="00320370"/>
    <w:rsid w:val="0032084C"/>
    <w:rsid w:val="00320BB2"/>
    <w:rsid w:val="00320CC9"/>
    <w:rsid w:val="00321CF0"/>
    <w:rsid w:val="00322048"/>
    <w:rsid w:val="003226A3"/>
    <w:rsid w:val="00322B33"/>
    <w:rsid w:val="0032304D"/>
    <w:rsid w:val="003230E3"/>
    <w:rsid w:val="003232EE"/>
    <w:rsid w:val="0032391C"/>
    <w:rsid w:val="00323AAB"/>
    <w:rsid w:val="00323ADE"/>
    <w:rsid w:val="00323D2D"/>
    <w:rsid w:val="00323E68"/>
    <w:rsid w:val="003241D6"/>
    <w:rsid w:val="00324377"/>
    <w:rsid w:val="00324E14"/>
    <w:rsid w:val="00325079"/>
    <w:rsid w:val="003251D4"/>
    <w:rsid w:val="00325DEF"/>
    <w:rsid w:val="00326255"/>
    <w:rsid w:val="00326481"/>
    <w:rsid w:val="00326CE8"/>
    <w:rsid w:val="00326D22"/>
    <w:rsid w:val="0032756F"/>
    <w:rsid w:val="00327BC9"/>
    <w:rsid w:val="00327CB1"/>
    <w:rsid w:val="00327D2D"/>
    <w:rsid w:val="00327FC5"/>
    <w:rsid w:val="0033015B"/>
    <w:rsid w:val="00330B00"/>
    <w:rsid w:val="0033113E"/>
    <w:rsid w:val="00331154"/>
    <w:rsid w:val="00331CBA"/>
    <w:rsid w:val="00331CFC"/>
    <w:rsid w:val="00331E35"/>
    <w:rsid w:val="0033208D"/>
    <w:rsid w:val="00332BE8"/>
    <w:rsid w:val="00332D08"/>
    <w:rsid w:val="00332D5C"/>
    <w:rsid w:val="00332ED0"/>
    <w:rsid w:val="0033347F"/>
    <w:rsid w:val="003334E0"/>
    <w:rsid w:val="0033366E"/>
    <w:rsid w:val="00333A2A"/>
    <w:rsid w:val="00333FBD"/>
    <w:rsid w:val="00334585"/>
    <w:rsid w:val="00334882"/>
    <w:rsid w:val="00334B30"/>
    <w:rsid w:val="0033506C"/>
    <w:rsid w:val="00335B8D"/>
    <w:rsid w:val="00335F54"/>
    <w:rsid w:val="00336B63"/>
    <w:rsid w:val="00336F7C"/>
    <w:rsid w:val="00337EC0"/>
    <w:rsid w:val="003402BE"/>
    <w:rsid w:val="003403B8"/>
    <w:rsid w:val="00340C10"/>
    <w:rsid w:val="00340C3B"/>
    <w:rsid w:val="00340EE7"/>
    <w:rsid w:val="00341871"/>
    <w:rsid w:val="0034225D"/>
    <w:rsid w:val="003431D1"/>
    <w:rsid w:val="00343437"/>
    <w:rsid w:val="0034373C"/>
    <w:rsid w:val="00343C5B"/>
    <w:rsid w:val="0034427A"/>
    <w:rsid w:val="00344EC1"/>
    <w:rsid w:val="003452DD"/>
    <w:rsid w:val="00345EEA"/>
    <w:rsid w:val="00346163"/>
    <w:rsid w:val="003467C6"/>
    <w:rsid w:val="00346BAE"/>
    <w:rsid w:val="0034701A"/>
    <w:rsid w:val="00347FA2"/>
    <w:rsid w:val="0035001E"/>
    <w:rsid w:val="00350671"/>
    <w:rsid w:val="00350C70"/>
    <w:rsid w:val="0035100B"/>
    <w:rsid w:val="0035138F"/>
    <w:rsid w:val="00351447"/>
    <w:rsid w:val="00351550"/>
    <w:rsid w:val="00351D6A"/>
    <w:rsid w:val="00351F44"/>
    <w:rsid w:val="00352757"/>
    <w:rsid w:val="00352BF9"/>
    <w:rsid w:val="00352E67"/>
    <w:rsid w:val="0035383C"/>
    <w:rsid w:val="00354024"/>
    <w:rsid w:val="0035424A"/>
    <w:rsid w:val="00354F76"/>
    <w:rsid w:val="003550AC"/>
    <w:rsid w:val="00355524"/>
    <w:rsid w:val="003557F0"/>
    <w:rsid w:val="00355F16"/>
    <w:rsid w:val="00357428"/>
    <w:rsid w:val="003574DD"/>
    <w:rsid w:val="00357F4A"/>
    <w:rsid w:val="00360F84"/>
    <w:rsid w:val="00361026"/>
    <w:rsid w:val="00361BAF"/>
    <w:rsid w:val="0036200F"/>
    <w:rsid w:val="00362120"/>
    <w:rsid w:val="003623AB"/>
    <w:rsid w:val="003626EC"/>
    <w:rsid w:val="003629B9"/>
    <w:rsid w:val="00362B16"/>
    <w:rsid w:val="00362C66"/>
    <w:rsid w:val="00363071"/>
    <w:rsid w:val="003636FB"/>
    <w:rsid w:val="0036372A"/>
    <w:rsid w:val="00364065"/>
    <w:rsid w:val="00364677"/>
    <w:rsid w:val="00364BBA"/>
    <w:rsid w:val="00364D6D"/>
    <w:rsid w:val="0036509C"/>
    <w:rsid w:val="003657E3"/>
    <w:rsid w:val="00365C56"/>
    <w:rsid w:val="00366130"/>
    <w:rsid w:val="003668B1"/>
    <w:rsid w:val="00366AEB"/>
    <w:rsid w:val="00366C1D"/>
    <w:rsid w:val="00366FB6"/>
    <w:rsid w:val="0036741A"/>
    <w:rsid w:val="003674AE"/>
    <w:rsid w:val="0036783C"/>
    <w:rsid w:val="003702F4"/>
    <w:rsid w:val="00370B17"/>
    <w:rsid w:val="003710F9"/>
    <w:rsid w:val="00371FF1"/>
    <w:rsid w:val="00372949"/>
    <w:rsid w:val="00372981"/>
    <w:rsid w:val="00372A25"/>
    <w:rsid w:val="00372A3D"/>
    <w:rsid w:val="00372CAD"/>
    <w:rsid w:val="00373135"/>
    <w:rsid w:val="0037317A"/>
    <w:rsid w:val="003736BD"/>
    <w:rsid w:val="00374050"/>
    <w:rsid w:val="0037421D"/>
    <w:rsid w:val="003746D2"/>
    <w:rsid w:val="00374930"/>
    <w:rsid w:val="00374DCF"/>
    <w:rsid w:val="00375030"/>
    <w:rsid w:val="0037505A"/>
    <w:rsid w:val="00375134"/>
    <w:rsid w:val="00375BE0"/>
    <w:rsid w:val="00376412"/>
    <w:rsid w:val="00376B2C"/>
    <w:rsid w:val="00376B76"/>
    <w:rsid w:val="00377076"/>
    <w:rsid w:val="00377747"/>
    <w:rsid w:val="00377763"/>
    <w:rsid w:val="00377A74"/>
    <w:rsid w:val="00380130"/>
    <w:rsid w:val="00380D63"/>
    <w:rsid w:val="00381040"/>
    <w:rsid w:val="00381795"/>
    <w:rsid w:val="00381A7B"/>
    <w:rsid w:val="00381B31"/>
    <w:rsid w:val="00381BAB"/>
    <w:rsid w:val="0038292C"/>
    <w:rsid w:val="00382D72"/>
    <w:rsid w:val="00382DEE"/>
    <w:rsid w:val="00383206"/>
    <w:rsid w:val="003838DF"/>
    <w:rsid w:val="00383D3C"/>
    <w:rsid w:val="00383F06"/>
    <w:rsid w:val="00384693"/>
    <w:rsid w:val="003846BD"/>
    <w:rsid w:val="003848A7"/>
    <w:rsid w:val="00384F38"/>
    <w:rsid w:val="0038543C"/>
    <w:rsid w:val="00385650"/>
    <w:rsid w:val="003857E0"/>
    <w:rsid w:val="00385DBC"/>
    <w:rsid w:val="00386C60"/>
    <w:rsid w:val="00387049"/>
    <w:rsid w:val="0038718B"/>
    <w:rsid w:val="00387434"/>
    <w:rsid w:val="0038780E"/>
    <w:rsid w:val="00387A45"/>
    <w:rsid w:val="00387BF7"/>
    <w:rsid w:val="00390620"/>
    <w:rsid w:val="00390628"/>
    <w:rsid w:val="003910AF"/>
    <w:rsid w:val="00391862"/>
    <w:rsid w:val="00391910"/>
    <w:rsid w:val="00391BB5"/>
    <w:rsid w:val="00392263"/>
    <w:rsid w:val="003923C9"/>
    <w:rsid w:val="00392608"/>
    <w:rsid w:val="00392C1E"/>
    <w:rsid w:val="00392EFC"/>
    <w:rsid w:val="00393390"/>
    <w:rsid w:val="00393B2E"/>
    <w:rsid w:val="00393D8C"/>
    <w:rsid w:val="00393EC8"/>
    <w:rsid w:val="00393EF0"/>
    <w:rsid w:val="0039449B"/>
    <w:rsid w:val="00394580"/>
    <w:rsid w:val="0039458D"/>
    <w:rsid w:val="00394CB3"/>
    <w:rsid w:val="0039500D"/>
    <w:rsid w:val="003958C2"/>
    <w:rsid w:val="003959BC"/>
    <w:rsid w:val="00396E9F"/>
    <w:rsid w:val="00397101"/>
    <w:rsid w:val="003972D4"/>
    <w:rsid w:val="0039760B"/>
    <w:rsid w:val="0039782C"/>
    <w:rsid w:val="00397FDD"/>
    <w:rsid w:val="003A09C7"/>
    <w:rsid w:val="003A09D2"/>
    <w:rsid w:val="003A0A13"/>
    <w:rsid w:val="003A136F"/>
    <w:rsid w:val="003A16AE"/>
    <w:rsid w:val="003A1912"/>
    <w:rsid w:val="003A1BD1"/>
    <w:rsid w:val="003A2447"/>
    <w:rsid w:val="003A25EC"/>
    <w:rsid w:val="003A2630"/>
    <w:rsid w:val="003A2A88"/>
    <w:rsid w:val="003A3053"/>
    <w:rsid w:val="003A31DC"/>
    <w:rsid w:val="003A325C"/>
    <w:rsid w:val="003A35F6"/>
    <w:rsid w:val="003A3A3B"/>
    <w:rsid w:val="003A48A9"/>
    <w:rsid w:val="003A4ACC"/>
    <w:rsid w:val="003A4B88"/>
    <w:rsid w:val="003A5311"/>
    <w:rsid w:val="003A5D12"/>
    <w:rsid w:val="003A60D4"/>
    <w:rsid w:val="003A6319"/>
    <w:rsid w:val="003A6371"/>
    <w:rsid w:val="003A65DD"/>
    <w:rsid w:val="003A6A92"/>
    <w:rsid w:val="003A6AD3"/>
    <w:rsid w:val="003A6B66"/>
    <w:rsid w:val="003A796C"/>
    <w:rsid w:val="003B036D"/>
    <w:rsid w:val="003B0BEB"/>
    <w:rsid w:val="003B0EFC"/>
    <w:rsid w:val="003B1703"/>
    <w:rsid w:val="003B1880"/>
    <w:rsid w:val="003B1B76"/>
    <w:rsid w:val="003B1D05"/>
    <w:rsid w:val="003B2198"/>
    <w:rsid w:val="003B2435"/>
    <w:rsid w:val="003B2AC6"/>
    <w:rsid w:val="003B2B4C"/>
    <w:rsid w:val="003B2B62"/>
    <w:rsid w:val="003B2CA8"/>
    <w:rsid w:val="003B33A6"/>
    <w:rsid w:val="003B432D"/>
    <w:rsid w:val="003B43E0"/>
    <w:rsid w:val="003B4C36"/>
    <w:rsid w:val="003B51B8"/>
    <w:rsid w:val="003B5436"/>
    <w:rsid w:val="003B62DD"/>
    <w:rsid w:val="003B6AEA"/>
    <w:rsid w:val="003B6B02"/>
    <w:rsid w:val="003B7598"/>
    <w:rsid w:val="003B77B5"/>
    <w:rsid w:val="003B7A19"/>
    <w:rsid w:val="003C044F"/>
    <w:rsid w:val="003C07B8"/>
    <w:rsid w:val="003C0859"/>
    <w:rsid w:val="003C08EB"/>
    <w:rsid w:val="003C0AA1"/>
    <w:rsid w:val="003C0C0C"/>
    <w:rsid w:val="003C0DB0"/>
    <w:rsid w:val="003C12DA"/>
    <w:rsid w:val="003C14AE"/>
    <w:rsid w:val="003C1EA1"/>
    <w:rsid w:val="003C29D6"/>
    <w:rsid w:val="003C29E5"/>
    <w:rsid w:val="003C2E01"/>
    <w:rsid w:val="003C3552"/>
    <w:rsid w:val="003C3EA2"/>
    <w:rsid w:val="003C3FB8"/>
    <w:rsid w:val="003C4218"/>
    <w:rsid w:val="003C436A"/>
    <w:rsid w:val="003C4402"/>
    <w:rsid w:val="003C45B2"/>
    <w:rsid w:val="003C465D"/>
    <w:rsid w:val="003C468C"/>
    <w:rsid w:val="003C50A8"/>
    <w:rsid w:val="003C5D0A"/>
    <w:rsid w:val="003C5E4D"/>
    <w:rsid w:val="003C5F63"/>
    <w:rsid w:val="003C6656"/>
    <w:rsid w:val="003C66D4"/>
    <w:rsid w:val="003C6A01"/>
    <w:rsid w:val="003C6D11"/>
    <w:rsid w:val="003C7042"/>
    <w:rsid w:val="003C753B"/>
    <w:rsid w:val="003C7559"/>
    <w:rsid w:val="003C7C81"/>
    <w:rsid w:val="003C7DE9"/>
    <w:rsid w:val="003C7F13"/>
    <w:rsid w:val="003D0404"/>
    <w:rsid w:val="003D0BF9"/>
    <w:rsid w:val="003D0F6D"/>
    <w:rsid w:val="003D16F0"/>
    <w:rsid w:val="003D18CC"/>
    <w:rsid w:val="003D1D46"/>
    <w:rsid w:val="003D1F43"/>
    <w:rsid w:val="003D1F8F"/>
    <w:rsid w:val="003D21B2"/>
    <w:rsid w:val="003D2286"/>
    <w:rsid w:val="003D2C89"/>
    <w:rsid w:val="003D2E54"/>
    <w:rsid w:val="003D3403"/>
    <w:rsid w:val="003D35CD"/>
    <w:rsid w:val="003D3814"/>
    <w:rsid w:val="003D3B6E"/>
    <w:rsid w:val="003D49CE"/>
    <w:rsid w:val="003D4A11"/>
    <w:rsid w:val="003D680D"/>
    <w:rsid w:val="003D6FE9"/>
    <w:rsid w:val="003D78A5"/>
    <w:rsid w:val="003D7AF9"/>
    <w:rsid w:val="003D7FD2"/>
    <w:rsid w:val="003E01F9"/>
    <w:rsid w:val="003E03F7"/>
    <w:rsid w:val="003E0B4F"/>
    <w:rsid w:val="003E0D7D"/>
    <w:rsid w:val="003E1814"/>
    <w:rsid w:val="003E1991"/>
    <w:rsid w:val="003E1B89"/>
    <w:rsid w:val="003E1BE0"/>
    <w:rsid w:val="003E2074"/>
    <w:rsid w:val="003E266F"/>
    <w:rsid w:val="003E275B"/>
    <w:rsid w:val="003E287A"/>
    <w:rsid w:val="003E288B"/>
    <w:rsid w:val="003E2BAE"/>
    <w:rsid w:val="003E30CC"/>
    <w:rsid w:val="003E37C4"/>
    <w:rsid w:val="003E38B6"/>
    <w:rsid w:val="003E3B90"/>
    <w:rsid w:val="003E3BFD"/>
    <w:rsid w:val="003E3CD8"/>
    <w:rsid w:val="003E48B8"/>
    <w:rsid w:val="003E499C"/>
    <w:rsid w:val="003E50FD"/>
    <w:rsid w:val="003E526D"/>
    <w:rsid w:val="003E57B8"/>
    <w:rsid w:val="003E66C8"/>
    <w:rsid w:val="003E6DE4"/>
    <w:rsid w:val="003E7294"/>
    <w:rsid w:val="003E73D2"/>
    <w:rsid w:val="003E7436"/>
    <w:rsid w:val="003E75CA"/>
    <w:rsid w:val="003E783E"/>
    <w:rsid w:val="003F017A"/>
    <w:rsid w:val="003F03C9"/>
    <w:rsid w:val="003F049A"/>
    <w:rsid w:val="003F0A95"/>
    <w:rsid w:val="003F0C42"/>
    <w:rsid w:val="003F10F6"/>
    <w:rsid w:val="003F1794"/>
    <w:rsid w:val="003F259D"/>
    <w:rsid w:val="003F26BC"/>
    <w:rsid w:val="003F2730"/>
    <w:rsid w:val="003F2B25"/>
    <w:rsid w:val="003F2B55"/>
    <w:rsid w:val="003F2C13"/>
    <w:rsid w:val="003F36F8"/>
    <w:rsid w:val="003F3F50"/>
    <w:rsid w:val="003F417C"/>
    <w:rsid w:val="003F4276"/>
    <w:rsid w:val="003F53FC"/>
    <w:rsid w:val="003F55C7"/>
    <w:rsid w:val="003F56B7"/>
    <w:rsid w:val="003F5F2A"/>
    <w:rsid w:val="003F61B4"/>
    <w:rsid w:val="003F648D"/>
    <w:rsid w:val="003F6F8D"/>
    <w:rsid w:val="003F7095"/>
    <w:rsid w:val="003F70B1"/>
    <w:rsid w:val="003F79DC"/>
    <w:rsid w:val="003F7ABB"/>
    <w:rsid w:val="00400643"/>
    <w:rsid w:val="00400B3C"/>
    <w:rsid w:val="00400B84"/>
    <w:rsid w:val="00401123"/>
    <w:rsid w:val="0040116A"/>
    <w:rsid w:val="004014E7"/>
    <w:rsid w:val="00401560"/>
    <w:rsid w:val="00401BAD"/>
    <w:rsid w:val="00401F1B"/>
    <w:rsid w:val="004022A0"/>
    <w:rsid w:val="00402464"/>
    <w:rsid w:val="00402480"/>
    <w:rsid w:val="00402787"/>
    <w:rsid w:val="00403575"/>
    <w:rsid w:val="004039FC"/>
    <w:rsid w:val="00403F3F"/>
    <w:rsid w:val="00403F67"/>
    <w:rsid w:val="00404963"/>
    <w:rsid w:val="00404B0D"/>
    <w:rsid w:val="00404CE7"/>
    <w:rsid w:val="00405784"/>
    <w:rsid w:val="004057B0"/>
    <w:rsid w:val="00405B0E"/>
    <w:rsid w:val="00405D09"/>
    <w:rsid w:val="0040643B"/>
    <w:rsid w:val="0040667E"/>
    <w:rsid w:val="00406707"/>
    <w:rsid w:val="004067B5"/>
    <w:rsid w:val="004068A5"/>
    <w:rsid w:val="00406908"/>
    <w:rsid w:val="00406A57"/>
    <w:rsid w:val="00406C02"/>
    <w:rsid w:val="004072E8"/>
    <w:rsid w:val="00407385"/>
    <w:rsid w:val="004077BB"/>
    <w:rsid w:val="0040798B"/>
    <w:rsid w:val="004079B6"/>
    <w:rsid w:val="00407A9D"/>
    <w:rsid w:val="004101FB"/>
    <w:rsid w:val="00410311"/>
    <w:rsid w:val="00410784"/>
    <w:rsid w:val="004107B4"/>
    <w:rsid w:val="00410D34"/>
    <w:rsid w:val="00411044"/>
    <w:rsid w:val="00411257"/>
    <w:rsid w:val="00411296"/>
    <w:rsid w:val="004116FE"/>
    <w:rsid w:val="00411CA3"/>
    <w:rsid w:val="00412102"/>
    <w:rsid w:val="00412459"/>
    <w:rsid w:val="00412504"/>
    <w:rsid w:val="00412CE1"/>
    <w:rsid w:val="00413A2F"/>
    <w:rsid w:val="00413CB6"/>
    <w:rsid w:val="004142C7"/>
    <w:rsid w:val="004142CE"/>
    <w:rsid w:val="004143D6"/>
    <w:rsid w:val="00414798"/>
    <w:rsid w:val="004147B8"/>
    <w:rsid w:val="00414A1D"/>
    <w:rsid w:val="004155E4"/>
    <w:rsid w:val="004157A8"/>
    <w:rsid w:val="00416738"/>
    <w:rsid w:val="00416E5E"/>
    <w:rsid w:val="00417445"/>
    <w:rsid w:val="00417E56"/>
    <w:rsid w:val="004200A4"/>
    <w:rsid w:val="00420D27"/>
    <w:rsid w:val="00421CEE"/>
    <w:rsid w:val="00421D40"/>
    <w:rsid w:val="00421DA5"/>
    <w:rsid w:val="00422208"/>
    <w:rsid w:val="004225D5"/>
    <w:rsid w:val="00422ACA"/>
    <w:rsid w:val="0042321A"/>
    <w:rsid w:val="004233A1"/>
    <w:rsid w:val="004235BD"/>
    <w:rsid w:val="00423C6D"/>
    <w:rsid w:val="00424AA6"/>
    <w:rsid w:val="00424ABE"/>
    <w:rsid w:val="00424D30"/>
    <w:rsid w:val="00424E98"/>
    <w:rsid w:val="00425A1B"/>
    <w:rsid w:val="00425A74"/>
    <w:rsid w:val="004263F7"/>
    <w:rsid w:val="00426407"/>
    <w:rsid w:val="004265F6"/>
    <w:rsid w:val="004267C4"/>
    <w:rsid w:val="00426934"/>
    <w:rsid w:val="00426D7E"/>
    <w:rsid w:val="00426F10"/>
    <w:rsid w:val="0042727C"/>
    <w:rsid w:val="00427882"/>
    <w:rsid w:val="0042795D"/>
    <w:rsid w:val="004307CA"/>
    <w:rsid w:val="0043081F"/>
    <w:rsid w:val="00430AE3"/>
    <w:rsid w:val="00430C41"/>
    <w:rsid w:val="004311E8"/>
    <w:rsid w:val="0043127B"/>
    <w:rsid w:val="00431540"/>
    <w:rsid w:val="00431752"/>
    <w:rsid w:val="004322E1"/>
    <w:rsid w:val="00432659"/>
    <w:rsid w:val="00433253"/>
    <w:rsid w:val="00433623"/>
    <w:rsid w:val="00433678"/>
    <w:rsid w:val="004337F0"/>
    <w:rsid w:val="00433E53"/>
    <w:rsid w:val="00434081"/>
    <w:rsid w:val="0043409A"/>
    <w:rsid w:val="004347F8"/>
    <w:rsid w:val="00434E3A"/>
    <w:rsid w:val="0043518B"/>
    <w:rsid w:val="004353EB"/>
    <w:rsid w:val="00435452"/>
    <w:rsid w:val="00435849"/>
    <w:rsid w:val="00435861"/>
    <w:rsid w:val="00435CBA"/>
    <w:rsid w:val="00435EE7"/>
    <w:rsid w:val="004369F6"/>
    <w:rsid w:val="00437701"/>
    <w:rsid w:val="00437711"/>
    <w:rsid w:val="004377A3"/>
    <w:rsid w:val="0043780D"/>
    <w:rsid w:val="00437AA6"/>
    <w:rsid w:val="00437B79"/>
    <w:rsid w:val="00437C69"/>
    <w:rsid w:val="00437F4D"/>
    <w:rsid w:val="00440A85"/>
    <w:rsid w:val="00440B30"/>
    <w:rsid w:val="004412D5"/>
    <w:rsid w:val="0044160D"/>
    <w:rsid w:val="00441793"/>
    <w:rsid w:val="00441A79"/>
    <w:rsid w:val="00441D69"/>
    <w:rsid w:val="00441DC5"/>
    <w:rsid w:val="00441DEB"/>
    <w:rsid w:val="0044265F"/>
    <w:rsid w:val="00442845"/>
    <w:rsid w:val="00442AEE"/>
    <w:rsid w:val="00442BE9"/>
    <w:rsid w:val="00443182"/>
    <w:rsid w:val="0044335A"/>
    <w:rsid w:val="00443660"/>
    <w:rsid w:val="0044392B"/>
    <w:rsid w:val="00444195"/>
    <w:rsid w:val="004447C0"/>
    <w:rsid w:val="00444964"/>
    <w:rsid w:val="00444D90"/>
    <w:rsid w:val="00444F9E"/>
    <w:rsid w:val="004458C5"/>
    <w:rsid w:val="00446342"/>
    <w:rsid w:val="00446760"/>
    <w:rsid w:val="00447139"/>
    <w:rsid w:val="00447464"/>
    <w:rsid w:val="004476E5"/>
    <w:rsid w:val="004479E5"/>
    <w:rsid w:val="00447F36"/>
    <w:rsid w:val="00450C11"/>
    <w:rsid w:val="004510F1"/>
    <w:rsid w:val="00451110"/>
    <w:rsid w:val="0045112C"/>
    <w:rsid w:val="004512BB"/>
    <w:rsid w:val="00452C7A"/>
    <w:rsid w:val="00453366"/>
    <w:rsid w:val="004536B0"/>
    <w:rsid w:val="00454623"/>
    <w:rsid w:val="0045487E"/>
    <w:rsid w:val="00454A3D"/>
    <w:rsid w:val="00455111"/>
    <w:rsid w:val="00455398"/>
    <w:rsid w:val="004554B7"/>
    <w:rsid w:val="0045602F"/>
    <w:rsid w:val="004561B1"/>
    <w:rsid w:val="004561BF"/>
    <w:rsid w:val="0045629F"/>
    <w:rsid w:val="00456A04"/>
    <w:rsid w:val="00456BD2"/>
    <w:rsid w:val="004571EB"/>
    <w:rsid w:val="004579A2"/>
    <w:rsid w:val="00457ADB"/>
    <w:rsid w:val="00457AE8"/>
    <w:rsid w:val="00457B3A"/>
    <w:rsid w:val="00457D54"/>
    <w:rsid w:val="00457DDA"/>
    <w:rsid w:val="0046032E"/>
    <w:rsid w:val="004604E8"/>
    <w:rsid w:val="00460932"/>
    <w:rsid w:val="00460BCF"/>
    <w:rsid w:val="00460DD6"/>
    <w:rsid w:val="004610BB"/>
    <w:rsid w:val="00461324"/>
    <w:rsid w:val="00461D7A"/>
    <w:rsid w:val="00462766"/>
    <w:rsid w:val="00462B9B"/>
    <w:rsid w:val="00462BFE"/>
    <w:rsid w:val="00462F65"/>
    <w:rsid w:val="0046341B"/>
    <w:rsid w:val="0046375D"/>
    <w:rsid w:val="004637C1"/>
    <w:rsid w:val="00463EDA"/>
    <w:rsid w:val="00464891"/>
    <w:rsid w:val="00464C0C"/>
    <w:rsid w:val="004650E0"/>
    <w:rsid w:val="0046550B"/>
    <w:rsid w:val="00465D62"/>
    <w:rsid w:val="00466135"/>
    <w:rsid w:val="004667D8"/>
    <w:rsid w:val="00466892"/>
    <w:rsid w:val="00466A26"/>
    <w:rsid w:val="00466D0D"/>
    <w:rsid w:val="00466E57"/>
    <w:rsid w:val="004672B9"/>
    <w:rsid w:val="004678C7"/>
    <w:rsid w:val="00467CDB"/>
    <w:rsid w:val="0047040B"/>
    <w:rsid w:val="0047043D"/>
    <w:rsid w:val="00470635"/>
    <w:rsid w:val="00470CAF"/>
    <w:rsid w:val="0047102D"/>
    <w:rsid w:val="0047108C"/>
    <w:rsid w:val="004716B8"/>
    <w:rsid w:val="00471D2B"/>
    <w:rsid w:val="00472431"/>
    <w:rsid w:val="00472E84"/>
    <w:rsid w:val="00473031"/>
    <w:rsid w:val="00473335"/>
    <w:rsid w:val="00474236"/>
    <w:rsid w:val="00474990"/>
    <w:rsid w:val="00474A0A"/>
    <w:rsid w:val="00474AE9"/>
    <w:rsid w:val="00474F37"/>
    <w:rsid w:val="00475216"/>
    <w:rsid w:val="004757F9"/>
    <w:rsid w:val="00475EC6"/>
    <w:rsid w:val="0047654E"/>
    <w:rsid w:val="0047675B"/>
    <w:rsid w:val="00476A89"/>
    <w:rsid w:val="00477081"/>
    <w:rsid w:val="004775FF"/>
    <w:rsid w:val="0047765A"/>
    <w:rsid w:val="0048007E"/>
    <w:rsid w:val="0048020E"/>
    <w:rsid w:val="0048091E"/>
    <w:rsid w:val="00480972"/>
    <w:rsid w:val="004809AB"/>
    <w:rsid w:val="00480AF6"/>
    <w:rsid w:val="004811B5"/>
    <w:rsid w:val="004811C1"/>
    <w:rsid w:val="00481283"/>
    <w:rsid w:val="0048146E"/>
    <w:rsid w:val="004815BB"/>
    <w:rsid w:val="00481E3A"/>
    <w:rsid w:val="00481FAC"/>
    <w:rsid w:val="00482E13"/>
    <w:rsid w:val="00482E1E"/>
    <w:rsid w:val="00482E9D"/>
    <w:rsid w:val="004835D7"/>
    <w:rsid w:val="004835F9"/>
    <w:rsid w:val="00483BBC"/>
    <w:rsid w:val="00483DAA"/>
    <w:rsid w:val="00483ED2"/>
    <w:rsid w:val="004844F8"/>
    <w:rsid w:val="004847E5"/>
    <w:rsid w:val="0048486F"/>
    <w:rsid w:val="00484E53"/>
    <w:rsid w:val="004853F8"/>
    <w:rsid w:val="0048587A"/>
    <w:rsid w:val="00485E66"/>
    <w:rsid w:val="004867DB"/>
    <w:rsid w:val="00486B2A"/>
    <w:rsid w:val="00486B71"/>
    <w:rsid w:val="00486D35"/>
    <w:rsid w:val="00486E55"/>
    <w:rsid w:val="00486E8F"/>
    <w:rsid w:val="004870BF"/>
    <w:rsid w:val="00487519"/>
    <w:rsid w:val="0048762C"/>
    <w:rsid w:val="00487B06"/>
    <w:rsid w:val="00487B27"/>
    <w:rsid w:val="00487BB1"/>
    <w:rsid w:val="00490B57"/>
    <w:rsid w:val="00490B58"/>
    <w:rsid w:val="00491006"/>
    <w:rsid w:val="00491104"/>
    <w:rsid w:val="0049149F"/>
    <w:rsid w:val="00491A33"/>
    <w:rsid w:val="00491B33"/>
    <w:rsid w:val="00491CB4"/>
    <w:rsid w:val="00492102"/>
    <w:rsid w:val="00492703"/>
    <w:rsid w:val="004927C9"/>
    <w:rsid w:val="00492C94"/>
    <w:rsid w:val="00492D54"/>
    <w:rsid w:val="00492D8C"/>
    <w:rsid w:val="00492E3A"/>
    <w:rsid w:val="0049339A"/>
    <w:rsid w:val="00493515"/>
    <w:rsid w:val="004935BF"/>
    <w:rsid w:val="00493C12"/>
    <w:rsid w:val="00493D46"/>
    <w:rsid w:val="0049433C"/>
    <w:rsid w:val="00494D69"/>
    <w:rsid w:val="00494FFB"/>
    <w:rsid w:val="004954EA"/>
    <w:rsid w:val="004958E1"/>
    <w:rsid w:val="00495D73"/>
    <w:rsid w:val="0049608A"/>
    <w:rsid w:val="004967B7"/>
    <w:rsid w:val="00497459"/>
    <w:rsid w:val="0049748C"/>
    <w:rsid w:val="004974E5"/>
    <w:rsid w:val="004976AF"/>
    <w:rsid w:val="00497B6B"/>
    <w:rsid w:val="004A0370"/>
    <w:rsid w:val="004A06E0"/>
    <w:rsid w:val="004A0826"/>
    <w:rsid w:val="004A0AE3"/>
    <w:rsid w:val="004A0B2F"/>
    <w:rsid w:val="004A0E42"/>
    <w:rsid w:val="004A0F80"/>
    <w:rsid w:val="004A1174"/>
    <w:rsid w:val="004A125D"/>
    <w:rsid w:val="004A1407"/>
    <w:rsid w:val="004A151F"/>
    <w:rsid w:val="004A15C4"/>
    <w:rsid w:val="004A15F1"/>
    <w:rsid w:val="004A17D7"/>
    <w:rsid w:val="004A1885"/>
    <w:rsid w:val="004A1AC7"/>
    <w:rsid w:val="004A1E83"/>
    <w:rsid w:val="004A1EA1"/>
    <w:rsid w:val="004A2089"/>
    <w:rsid w:val="004A2446"/>
    <w:rsid w:val="004A26BC"/>
    <w:rsid w:val="004A2792"/>
    <w:rsid w:val="004A2813"/>
    <w:rsid w:val="004A29D8"/>
    <w:rsid w:val="004A2FAD"/>
    <w:rsid w:val="004A2FC0"/>
    <w:rsid w:val="004A3053"/>
    <w:rsid w:val="004A3083"/>
    <w:rsid w:val="004A4607"/>
    <w:rsid w:val="004A4C6B"/>
    <w:rsid w:val="004A4CE9"/>
    <w:rsid w:val="004A56D5"/>
    <w:rsid w:val="004A5889"/>
    <w:rsid w:val="004A5BE1"/>
    <w:rsid w:val="004A6415"/>
    <w:rsid w:val="004A6512"/>
    <w:rsid w:val="004A6522"/>
    <w:rsid w:val="004A698F"/>
    <w:rsid w:val="004A6B74"/>
    <w:rsid w:val="004A727E"/>
    <w:rsid w:val="004A7760"/>
    <w:rsid w:val="004A7BB4"/>
    <w:rsid w:val="004A7BD0"/>
    <w:rsid w:val="004B03C8"/>
    <w:rsid w:val="004B0A2D"/>
    <w:rsid w:val="004B0A7B"/>
    <w:rsid w:val="004B0CD5"/>
    <w:rsid w:val="004B0D73"/>
    <w:rsid w:val="004B102E"/>
    <w:rsid w:val="004B1909"/>
    <w:rsid w:val="004B1CB3"/>
    <w:rsid w:val="004B1F62"/>
    <w:rsid w:val="004B2AA2"/>
    <w:rsid w:val="004B2B21"/>
    <w:rsid w:val="004B2B8F"/>
    <w:rsid w:val="004B2C15"/>
    <w:rsid w:val="004B3973"/>
    <w:rsid w:val="004B3A10"/>
    <w:rsid w:val="004B3A23"/>
    <w:rsid w:val="004B3A39"/>
    <w:rsid w:val="004B3BF2"/>
    <w:rsid w:val="004B3D42"/>
    <w:rsid w:val="004B3EC1"/>
    <w:rsid w:val="004B44AF"/>
    <w:rsid w:val="004B4531"/>
    <w:rsid w:val="004B4BEA"/>
    <w:rsid w:val="004B5C78"/>
    <w:rsid w:val="004B6072"/>
    <w:rsid w:val="004B653A"/>
    <w:rsid w:val="004B6A79"/>
    <w:rsid w:val="004B70B4"/>
    <w:rsid w:val="004B7857"/>
    <w:rsid w:val="004B7D1F"/>
    <w:rsid w:val="004B7E7B"/>
    <w:rsid w:val="004C0647"/>
    <w:rsid w:val="004C0CC0"/>
    <w:rsid w:val="004C1086"/>
    <w:rsid w:val="004C13D8"/>
    <w:rsid w:val="004C1413"/>
    <w:rsid w:val="004C1466"/>
    <w:rsid w:val="004C1631"/>
    <w:rsid w:val="004C1A30"/>
    <w:rsid w:val="004C1DE1"/>
    <w:rsid w:val="004C2169"/>
    <w:rsid w:val="004C22B8"/>
    <w:rsid w:val="004C2379"/>
    <w:rsid w:val="004C2957"/>
    <w:rsid w:val="004C2D8D"/>
    <w:rsid w:val="004C2E71"/>
    <w:rsid w:val="004C3888"/>
    <w:rsid w:val="004C3A2A"/>
    <w:rsid w:val="004C3C50"/>
    <w:rsid w:val="004C3D27"/>
    <w:rsid w:val="004C41D2"/>
    <w:rsid w:val="004C438D"/>
    <w:rsid w:val="004C5282"/>
    <w:rsid w:val="004C5468"/>
    <w:rsid w:val="004C57C9"/>
    <w:rsid w:val="004C5ADE"/>
    <w:rsid w:val="004C5D15"/>
    <w:rsid w:val="004C5D47"/>
    <w:rsid w:val="004C601E"/>
    <w:rsid w:val="004C66B8"/>
    <w:rsid w:val="004C69A6"/>
    <w:rsid w:val="004C6CB7"/>
    <w:rsid w:val="004C734B"/>
    <w:rsid w:val="004C7EA1"/>
    <w:rsid w:val="004D0E3A"/>
    <w:rsid w:val="004D1240"/>
    <w:rsid w:val="004D1467"/>
    <w:rsid w:val="004D150A"/>
    <w:rsid w:val="004D16CE"/>
    <w:rsid w:val="004D1FD3"/>
    <w:rsid w:val="004D20FC"/>
    <w:rsid w:val="004D24DF"/>
    <w:rsid w:val="004D2550"/>
    <w:rsid w:val="004D268A"/>
    <w:rsid w:val="004D2A44"/>
    <w:rsid w:val="004D2ECC"/>
    <w:rsid w:val="004D37C3"/>
    <w:rsid w:val="004D37ED"/>
    <w:rsid w:val="004D3C16"/>
    <w:rsid w:val="004D3D2C"/>
    <w:rsid w:val="004D4673"/>
    <w:rsid w:val="004D49D1"/>
    <w:rsid w:val="004D4AC9"/>
    <w:rsid w:val="004D4AEB"/>
    <w:rsid w:val="004D4CEB"/>
    <w:rsid w:val="004D4D5C"/>
    <w:rsid w:val="004D4DC6"/>
    <w:rsid w:val="004D51AB"/>
    <w:rsid w:val="004D5C00"/>
    <w:rsid w:val="004D5DA7"/>
    <w:rsid w:val="004D5EFF"/>
    <w:rsid w:val="004D6155"/>
    <w:rsid w:val="004D671E"/>
    <w:rsid w:val="004D6899"/>
    <w:rsid w:val="004D68F8"/>
    <w:rsid w:val="004D692B"/>
    <w:rsid w:val="004D6A39"/>
    <w:rsid w:val="004D7C05"/>
    <w:rsid w:val="004D7D58"/>
    <w:rsid w:val="004E00E0"/>
    <w:rsid w:val="004E0863"/>
    <w:rsid w:val="004E1366"/>
    <w:rsid w:val="004E1EC3"/>
    <w:rsid w:val="004E23CC"/>
    <w:rsid w:val="004E2611"/>
    <w:rsid w:val="004E29E9"/>
    <w:rsid w:val="004E2A93"/>
    <w:rsid w:val="004E2AF4"/>
    <w:rsid w:val="004E2BCC"/>
    <w:rsid w:val="004E3347"/>
    <w:rsid w:val="004E3DEF"/>
    <w:rsid w:val="004E3E6C"/>
    <w:rsid w:val="004E415E"/>
    <w:rsid w:val="004E43BF"/>
    <w:rsid w:val="004E4445"/>
    <w:rsid w:val="004E44FB"/>
    <w:rsid w:val="004E45FE"/>
    <w:rsid w:val="004E4F2C"/>
    <w:rsid w:val="004E5DA4"/>
    <w:rsid w:val="004E5F7C"/>
    <w:rsid w:val="004E6079"/>
    <w:rsid w:val="004E616D"/>
    <w:rsid w:val="004E619C"/>
    <w:rsid w:val="004E6288"/>
    <w:rsid w:val="004E6389"/>
    <w:rsid w:val="004E6D13"/>
    <w:rsid w:val="004F01B8"/>
    <w:rsid w:val="004F05D1"/>
    <w:rsid w:val="004F08E5"/>
    <w:rsid w:val="004F0B96"/>
    <w:rsid w:val="004F0DFA"/>
    <w:rsid w:val="004F164C"/>
    <w:rsid w:val="004F1689"/>
    <w:rsid w:val="004F16BE"/>
    <w:rsid w:val="004F19C2"/>
    <w:rsid w:val="004F1A40"/>
    <w:rsid w:val="004F1ABB"/>
    <w:rsid w:val="004F1DDC"/>
    <w:rsid w:val="004F2507"/>
    <w:rsid w:val="004F31D6"/>
    <w:rsid w:val="004F36F3"/>
    <w:rsid w:val="004F384C"/>
    <w:rsid w:val="004F3ADF"/>
    <w:rsid w:val="004F3DE9"/>
    <w:rsid w:val="004F3F52"/>
    <w:rsid w:val="004F4293"/>
    <w:rsid w:val="004F44E5"/>
    <w:rsid w:val="004F44FC"/>
    <w:rsid w:val="004F4716"/>
    <w:rsid w:val="004F48A3"/>
    <w:rsid w:val="004F4C9C"/>
    <w:rsid w:val="004F4CBA"/>
    <w:rsid w:val="004F596E"/>
    <w:rsid w:val="004F5FB2"/>
    <w:rsid w:val="004F679E"/>
    <w:rsid w:val="004F6AE2"/>
    <w:rsid w:val="004F6B0C"/>
    <w:rsid w:val="004F7F17"/>
    <w:rsid w:val="0050021E"/>
    <w:rsid w:val="0050023D"/>
    <w:rsid w:val="00500416"/>
    <w:rsid w:val="005004F7"/>
    <w:rsid w:val="00500645"/>
    <w:rsid w:val="0050076E"/>
    <w:rsid w:val="005009F5"/>
    <w:rsid w:val="00500B1D"/>
    <w:rsid w:val="0050178E"/>
    <w:rsid w:val="00501DC5"/>
    <w:rsid w:val="00501EA5"/>
    <w:rsid w:val="00502267"/>
    <w:rsid w:val="00502276"/>
    <w:rsid w:val="00502C7D"/>
    <w:rsid w:val="00502F93"/>
    <w:rsid w:val="005034E8"/>
    <w:rsid w:val="005037A7"/>
    <w:rsid w:val="00503B14"/>
    <w:rsid w:val="00503CB0"/>
    <w:rsid w:val="00504981"/>
    <w:rsid w:val="00504BAC"/>
    <w:rsid w:val="00505279"/>
    <w:rsid w:val="005053FA"/>
    <w:rsid w:val="00505CC8"/>
    <w:rsid w:val="00505CEC"/>
    <w:rsid w:val="00506141"/>
    <w:rsid w:val="00506351"/>
    <w:rsid w:val="0050638A"/>
    <w:rsid w:val="005066B3"/>
    <w:rsid w:val="005066DD"/>
    <w:rsid w:val="0050767B"/>
    <w:rsid w:val="00507A1C"/>
    <w:rsid w:val="00507FA4"/>
    <w:rsid w:val="00510079"/>
    <w:rsid w:val="00510A4A"/>
    <w:rsid w:val="00510BBA"/>
    <w:rsid w:val="00510C14"/>
    <w:rsid w:val="00510D4A"/>
    <w:rsid w:val="005110EA"/>
    <w:rsid w:val="005110F7"/>
    <w:rsid w:val="005112A8"/>
    <w:rsid w:val="0051139E"/>
    <w:rsid w:val="005113D1"/>
    <w:rsid w:val="0051164F"/>
    <w:rsid w:val="0051191F"/>
    <w:rsid w:val="00511C05"/>
    <w:rsid w:val="00511CE4"/>
    <w:rsid w:val="00511ED0"/>
    <w:rsid w:val="00512683"/>
    <w:rsid w:val="00512FB4"/>
    <w:rsid w:val="0051308B"/>
    <w:rsid w:val="00513355"/>
    <w:rsid w:val="00513587"/>
    <w:rsid w:val="005138DC"/>
    <w:rsid w:val="0051445B"/>
    <w:rsid w:val="005144D0"/>
    <w:rsid w:val="0051461A"/>
    <w:rsid w:val="005156CB"/>
    <w:rsid w:val="00515751"/>
    <w:rsid w:val="00515927"/>
    <w:rsid w:val="00515A69"/>
    <w:rsid w:val="00515D04"/>
    <w:rsid w:val="00515FAA"/>
    <w:rsid w:val="00516139"/>
    <w:rsid w:val="0051618F"/>
    <w:rsid w:val="0051731D"/>
    <w:rsid w:val="00517771"/>
    <w:rsid w:val="0051790A"/>
    <w:rsid w:val="0052000B"/>
    <w:rsid w:val="00520202"/>
    <w:rsid w:val="0052039A"/>
    <w:rsid w:val="00520DB4"/>
    <w:rsid w:val="00520F8D"/>
    <w:rsid w:val="00521214"/>
    <w:rsid w:val="005216AE"/>
    <w:rsid w:val="00521D92"/>
    <w:rsid w:val="00522102"/>
    <w:rsid w:val="00522347"/>
    <w:rsid w:val="005224ED"/>
    <w:rsid w:val="00522A30"/>
    <w:rsid w:val="00522ADB"/>
    <w:rsid w:val="00522B3B"/>
    <w:rsid w:val="00522DB6"/>
    <w:rsid w:val="0052302A"/>
    <w:rsid w:val="00523EB0"/>
    <w:rsid w:val="00524020"/>
    <w:rsid w:val="00524630"/>
    <w:rsid w:val="00524BBE"/>
    <w:rsid w:val="00524D02"/>
    <w:rsid w:val="00524EB3"/>
    <w:rsid w:val="005258B2"/>
    <w:rsid w:val="00527255"/>
    <w:rsid w:val="00527776"/>
    <w:rsid w:val="00527AAA"/>
    <w:rsid w:val="00530278"/>
    <w:rsid w:val="00530532"/>
    <w:rsid w:val="005307AF"/>
    <w:rsid w:val="00530CC3"/>
    <w:rsid w:val="00530D03"/>
    <w:rsid w:val="00530E4E"/>
    <w:rsid w:val="00530E6C"/>
    <w:rsid w:val="00530E6D"/>
    <w:rsid w:val="00530F11"/>
    <w:rsid w:val="00530FD0"/>
    <w:rsid w:val="005310D9"/>
    <w:rsid w:val="0053140E"/>
    <w:rsid w:val="00531538"/>
    <w:rsid w:val="005319D6"/>
    <w:rsid w:val="00531A71"/>
    <w:rsid w:val="00531B58"/>
    <w:rsid w:val="00531C82"/>
    <w:rsid w:val="00531EEC"/>
    <w:rsid w:val="00532380"/>
    <w:rsid w:val="00533580"/>
    <w:rsid w:val="0053358A"/>
    <w:rsid w:val="0053365D"/>
    <w:rsid w:val="00533B0C"/>
    <w:rsid w:val="00533B6F"/>
    <w:rsid w:val="00533C6A"/>
    <w:rsid w:val="00533D40"/>
    <w:rsid w:val="00533EE1"/>
    <w:rsid w:val="00533FA7"/>
    <w:rsid w:val="0053402F"/>
    <w:rsid w:val="0053439D"/>
    <w:rsid w:val="005345C0"/>
    <w:rsid w:val="00535787"/>
    <w:rsid w:val="00535AE9"/>
    <w:rsid w:val="0053644F"/>
    <w:rsid w:val="005366B7"/>
    <w:rsid w:val="005367A6"/>
    <w:rsid w:val="00537169"/>
    <w:rsid w:val="0053782C"/>
    <w:rsid w:val="00537907"/>
    <w:rsid w:val="00537B50"/>
    <w:rsid w:val="00537C28"/>
    <w:rsid w:val="00537F61"/>
    <w:rsid w:val="005403F4"/>
    <w:rsid w:val="00540722"/>
    <w:rsid w:val="0054072E"/>
    <w:rsid w:val="005410FA"/>
    <w:rsid w:val="00541610"/>
    <w:rsid w:val="00541643"/>
    <w:rsid w:val="005416C8"/>
    <w:rsid w:val="00541D73"/>
    <w:rsid w:val="00541DF1"/>
    <w:rsid w:val="0054257F"/>
    <w:rsid w:val="005425AC"/>
    <w:rsid w:val="005425DB"/>
    <w:rsid w:val="0054298A"/>
    <w:rsid w:val="00542C14"/>
    <w:rsid w:val="00543B1B"/>
    <w:rsid w:val="00543B88"/>
    <w:rsid w:val="00543E1C"/>
    <w:rsid w:val="00544662"/>
    <w:rsid w:val="005449E7"/>
    <w:rsid w:val="005451CB"/>
    <w:rsid w:val="005454D0"/>
    <w:rsid w:val="00545517"/>
    <w:rsid w:val="0054579E"/>
    <w:rsid w:val="00545B65"/>
    <w:rsid w:val="00545BA3"/>
    <w:rsid w:val="00546841"/>
    <w:rsid w:val="00546A63"/>
    <w:rsid w:val="00546B6A"/>
    <w:rsid w:val="0054785D"/>
    <w:rsid w:val="00547AE5"/>
    <w:rsid w:val="00547B97"/>
    <w:rsid w:val="005501F1"/>
    <w:rsid w:val="00550C52"/>
    <w:rsid w:val="005514B6"/>
    <w:rsid w:val="00551781"/>
    <w:rsid w:val="00552353"/>
    <w:rsid w:val="005524BE"/>
    <w:rsid w:val="00552590"/>
    <w:rsid w:val="00552766"/>
    <w:rsid w:val="00552E11"/>
    <w:rsid w:val="00552F7C"/>
    <w:rsid w:val="005535D3"/>
    <w:rsid w:val="00553867"/>
    <w:rsid w:val="0055389B"/>
    <w:rsid w:val="00553C17"/>
    <w:rsid w:val="00553E33"/>
    <w:rsid w:val="00553E5A"/>
    <w:rsid w:val="005543C3"/>
    <w:rsid w:val="0055469E"/>
    <w:rsid w:val="005547F7"/>
    <w:rsid w:val="00554ADD"/>
    <w:rsid w:val="00554CAB"/>
    <w:rsid w:val="00554D20"/>
    <w:rsid w:val="00554FB4"/>
    <w:rsid w:val="00554FD6"/>
    <w:rsid w:val="00555311"/>
    <w:rsid w:val="00555764"/>
    <w:rsid w:val="00555868"/>
    <w:rsid w:val="00555B02"/>
    <w:rsid w:val="00555E32"/>
    <w:rsid w:val="0055643F"/>
    <w:rsid w:val="005565BD"/>
    <w:rsid w:val="00556BA8"/>
    <w:rsid w:val="00556E50"/>
    <w:rsid w:val="0055732C"/>
    <w:rsid w:val="005576CA"/>
    <w:rsid w:val="00557DA3"/>
    <w:rsid w:val="00560296"/>
    <w:rsid w:val="005606A2"/>
    <w:rsid w:val="00560727"/>
    <w:rsid w:val="0056155A"/>
    <w:rsid w:val="005618F8"/>
    <w:rsid w:val="005621EE"/>
    <w:rsid w:val="00562967"/>
    <w:rsid w:val="00562EC7"/>
    <w:rsid w:val="00562F45"/>
    <w:rsid w:val="00563019"/>
    <w:rsid w:val="005631D8"/>
    <w:rsid w:val="0056338D"/>
    <w:rsid w:val="005634FD"/>
    <w:rsid w:val="0056351B"/>
    <w:rsid w:val="00564EC7"/>
    <w:rsid w:val="00564FC8"/>
    <w:rsid w:val="0056518D"/>
    <w:rsid w:val="0056535B"/>
    <w:rsid w:val="00565662"/>
    <w:rsid w:val="00565737"/>
    <w:rsid w:val="00565867"/>
    <w:rsid w:val="00565A20"/>
    <w:rsid w:val="00565B2B"/>
    <w:rsid w:val="00565EE5"/>
    <w:rsid w:val="005661CE"/>
    <w:rsid w:val="00566665"/>
    <w:rsid w:val="00566A6C"/>
    <w:rsid w:val="00566B72"/>
    <w:rsid w:val="00566DCC"/>
    <w:rsid w:val="00566FAC"/>
    <w:rsid w:val="005672D0"/>
    <w:rsid w:val="00567618"/>
    <w:rsid w:val="005679AA"/>
    <w:rsid w:val="00567B5F"/>
    <w:rsid w:val="00567F65"/>
    <w:rsid w:val="00570109"/>
    <w:rsid w:val="005708D3"/>
    <w:rsid w:val="00570934"/>
    <w:rsid w:val="00570C4E"/>
    <w:rsid w:val="00570F1B"/>
    <w:rsid w:val="005710DC"/>
    <w:rsid w:val="005713C3"/>
    <w:rsid w:val="005714C6"/>
    <w:rsid w:val="0057190D"/>
    <w:rsid w:val="00571958"/>
    <w:rsid w:val="005721E9"/>
    <w:rsid w:val="0057257B"/>
    <w:rsid w:val="0057267B"/>
    <w:rsid w:val="00572D1E"/>
    <w:rsid w:val="00572E54"/>
    <w:rsid w:val="00573204"/>
    <w:rsid w:val="005734E3"/>
    <w:rsid w:val="00573A48"/>
    <w:rsid w:val="00573DE1"/>
    <w:rsid w:val="00573DFF"/>
    <w:rsid w:val="00573E1B"/>
    <w:rsid w:val="005747E8"/>
    <w:rsid w:val="00574945"/>
    <w:rsid w:val="00574DA7"/>
    <w:rsid w:val="00574F43"/>
    <w:rsid w:val="0057549E"/>
    <w:rsid w:val="00575620"/>
    <w:rsid w:val="00575A5C"/>
    <w:rsid w:val="00575F5F"/>
    <w:rsid w:val="00576560"/>
    <w:rsid w:val="00576BB7"/>
    <w:rsid w:val="00576BF4"/>
    <w:rsid w:val="00576F3D"/>
    <w:rsid w:val="00576F3E"/>
    <w:rsid w:val="00577491"/>
    <w:rsid w:val="00577718"/>
    <w:rsid w:val="0057777C"/>
    <w:rsid w:val="005778DD"/>
    <w:rsid w:val="005778F2"/>
    <w:rsid w:val="00577DBC"/>
    <w:rsid w:val="00577E34"/>
    <w:rsid w:val="00577ECF"/>
    <w:rsid w:val="00580133"/>
    <w:rsid w:val="00580176"/>
    <w:rsid w:val="0058038C"/>
    <w:rsid w:val="005805F4"/>
    <w:rsid w:val="00580881"/>
    <w:rsid w:val="00580E61"/>
    <w:rsid w:val="00580E87"/>
    <w:rsid w:val="00580F48"/>
    <w:rsid w:val="005813D1"/>
    <w:rsid w:val="005815E6"/>
    <w:rsid w:val="00581A64"/>
    <w:rsid w:val="00581E1A"/>
    <w:rsid w:val="00581FCA"/>
    <w:rsid w:val="0058222B"/>
    <w:rsid w:val="005822E8"/>
    <w:rsid w:val="00582C3F"/>
    <w:rsid w:val="0058310F"/>
    <w:rsid w:val="0058334E"/>
    <w:rsid w:val="005838F2"/>
    <w:rsid w:val="00583C3F"/>
    <w:rsid w:val="00584179"/>
    <w:rsid w:val="005842D6"/>
    <w:rsid w:val="005843FC"/>
    <w:rsid w:val="0058523E"/>
    <w:rsid w:val="00585B2F"/>
    <w:rsid w:val="00585C45"/>
    <w:rsid w:val="00586404"/>
    <w:rsid w:val="00586CDC"/>
    <w:rsid w:val="00586FEC"/>
    <w:rsid w:val="005870B5"/>
    <w:rsid w:val="005900CB"/>
    <w:rsid w:val="00590198"/>
    <w:rsid w:val="00590217"/>
    <w:rsid w:val="00590783"/>
    <w:rsid w:val="00590BBA"/>
    <w:rsid w:val="0059106A"/>
    <w:rsid w:val="00591102"/>
    <w:rsid w:val="00591180"/>
    <w:rsid w:val="005913E7"/>
    <w:rsid w:val="0059151A"/>
    <w:rsid w:val="00591D2E"/>
    <w:rsid w:val="00592421"/>
    <w:rsid w:val="0059242C"/>
    <w:rsid w:val="005927AC"/>
    <w:rsid w:val="00592E2E"/>
    <w:rsid w:val="00593490"/>
    <w:rsid w:val="005934EC"/>
    <w:rsid w:val="005935B2"/>
    <w:rsid w:val="00593704"/>
    <w:rsid w:val="00593740"/>
    <w:rsid w:val="00593B26"/>
    <w:rsid w:val="0059406B"/>
    <w:rsid w:val="005947F2"/>
    <w:rsid w:val="00594B05"/>
    <w:rsid w:val="00594C39"/>
    <w:rsid w:val="00595214"/>
    <w:rsid w:val="0059521E"/>
    <w:rsid w:val="0059548D"/>
    <w:rsid w:val="005954BA"/>
    <w:rsid w:val="00595858"/>
    <w:rsid w:val="00595C55"/>
    <w:rsid w:val="00595FB3"/>
    <w:rsid w:val="005967BF"/>
    <w:rsid w:val="00596BCF"/>
    <w:rsid w:val="00596D22"/>
    <w:rsid w:val="00596F17"/>
    <w:rsid w:val="00596FFB"/>
    <w:rsid w:val="0059710F"/>
    <w:rsid w:val="00597408"/>
    <w:rsid w:val="00597A29"/>
    <w:rsid w:val="00597A6C"/>
    <w:rsid w:val="00597D0B"/>
    <w:rsid w:val="00597F98"/>
    <w:rsid w:val="005A0169"/>
    <w:rsid w:val="005A047E"/>
    <w:rsid w:val="005A06E7"/>
    <w:rsid w:val="005A097B"/>
    <w:rsid w:val="005A0A13"/>
    <w:rsid w:val="005A0D91"/>
    <w:rsid w:val="005A1478"/>
    <w:rsid w:val="005A14F8"/>
    <w:rsid w:val="005A1AA5"/>
    <w:rsid w:val="005A1E16"/>
    <w:rsid w:val="005A1F62"/>
    <w:rsid w:val="005A205F"/>
    <w:rsid w:val="005A27FA"/>
    <w:rsid w:val="005A2A71"/>
    <w:rsid w:val="005A2E74"/>
    <w:rsid w:val="005A2EB1"/>
    <w:rsid w:val="005A3622"/>
    <w:rsid w:val="005A461A"/>
    <w:rsid w:val="005A4AF0"/>
    <w:rsid w:val="005A4D64"/>
    <w:rsid w:val="005A5997"/>
    <w:rsid w:val="005A5C8C"/>
    <w:rsid w:val="005A5CD4"/>
    <w:rsid w:val="005A60BF"/>
    <w:rsid w:val="005A64E8"/>
    <w:rsid w:val="005A69E2"/>
    <w:rsid w:val="005A6A1B"/>
    <w:rsid w:val="005A6C0C"/>
    <w:rsid w:val="005A7020"/>
    <w:rsid w:val="005A71B4"/>
    <w:rsid w:val="005A7208"/>
    <w:rsid w:val="005A7228"/>
    <w:rsid w:val="005A770C"/>
    <w:rsid w:val="005A7E29"/>
    <w:rsid w:val="005B04FF"/>
    <w:rsid w:val="005B08A7"/>
    <w:rsid w:val="005B14EA"/>
    <w:rsid w:val="005B1F0C"/>
    <w:rsid w:val="005B21B4"/>
    <w:rsid w:val="005B2204"/>
    <w:rsid w:val="005B226F"/>
    <w:rsid w:val="005B2FA3"/>
    <w:rsid w:val="005B32F6"/>
    <w:rsid w:val="005B37D4"/>
    <w:rsid w:val="005B3D60"/>
    <w:rsid w:val="005B3FD3"/>
    <w:rsid w:val="005B4070"/>
    <w:rsid w:val="005B4684"/>
    <w:rsid w:val="005B47BA"/>
    <w:rsid w:val="005B4987"/>
    <w:rsid w:val="005B4B7B"/>
    <w:rsid w:val="005B4EA0"/>
    <w:rsid w:val="005B56DD"/>
    <w:rsid w:val="005B5A8B"/>
    <w:rsid w:val="005B5D5C"/>
    <w:rsid w:val="005B6190"/>
    <w:rsid w:val="005B64E0"/>
    <w:rsid w:val="005B6545"/>
    <w:rsid w:val="005B6E4C"/>
    <w:rsid w:val="005B72DA"/>
    <w:rsid w:val="005B744D"/>
    <w:rsid w:val="005B7EB2"/>
    <w:rsid w:val="005C0153"/>
    <w:rsid w:val="005C027D"/>
    <w:rsid w:val="005C088A"/>
    <w:rsid w:val="005C0916"/>
    <w:rsid w:val="005C0D67"/>
    <w:rsid w:val="005C1119"/>
    <w:rsid w:val="005C11CA"/>
    <w:rsid w:val="005C236E"/>
    <w:rsid w:val="005C2DD5"/>
    <w:rsid w:val="005C379D"/>
    <w:rsid w:val="005C37FA"/>
    <w:rsid w:val="005C3AA6"/>
    <w:rsid w:val="005C4250"/>
    <w:rsid w:val="005C4C61"/>
    <w:rsid w:val="005C4F56"/>
    <w:rsid w:val="005C54E3"/>
    <w:rsid w:val="005C5CCE"/>
    <w:rsid w:val="005C6155"/>
    <w:rsid w:val="005C62CF"/>
    <w:rsid w:val="005C69F6"/>
    <w:rsid w:val="005C6ADC"/>
    <w:rsid w:val="005C6EDA"/>
    <w:rsid w:val="005C7106"/>
    <w:rsid w:val="005C755B"/>
    <w:rsid w:val="005C7816"/>
    <w:rsid w:val="005C7F62"/>
    <w:rsid w:val="005D0003"/>
    <w:rsid w:val="005D01D8"/>
    <w:rsid w:val="005D06D2"/>
    <w:rsid w:val="005D0A4C"/>
    <w:rsid w:val="005D0B5E"/>
    <w:rsid w:val="005D0ED1"/>
    <w:rsid w:val="005D1537"/>
    <w:rsid w:val="005D1549"/>
    <w:rsid w:val="005D159F"/>
    <w:rsid w:val="005D1665"/>
    <w:rsid w:val="005D21F6"/>
    <w:rsid w:val="005D2311"/>
    <w:rsid w:val="005D240A"/>
    <w:rsid w:val="005D24FE"/>
    <w:rsid w:val="005D286A"/>
    <w:rsid w:val="005D28DA"/>
    <w:rsid w:val="005D2B2E"/>
    <w:rsid w:val="005D2EC8"/>
    <w:rsid w:val="005D30DD"/>
    <w:rsid w:val="005D34C8"/>
    <w:rsid w:val="005D36B1"/>
    <w:rsid w:val="005D3748"/>
    <w:rsid w:val="005D3B85"/>
    <w:rsid w:val="005D3D8A"/>
    <w:rsid w:val="005D4115"/>
    <w:rsid w:val="005D4603"/>
    <w:rsid w:val="005D4A7A"/>
    <w:rsid w:val="005D4C11"/>
    <w:rsid w:val="005D53F5"/>
    <w:rsid w:val="005D582E"/>
    <w:rsid w:val="005D64AC"/>
    <w:rsid w:val="005D6651"/>
    <w:rsid w:val="005D68E9"/>
    <w:rsid w:val="005D6B7C"/>
    <w:rsid w:val="005D7004"/>
    <w:rsid w:val="005D78F6"/>
    <w:rsid w:val="005E0354"/>
    <w:rsid w:val="005E0AA6"/>
    <w:rsid w:val="005E0ECD"/>
    <w:rsid w:val="005E1D6B"/>
    <w:rsid w:val="005E1E07"/>
    <w:rsid w:val="005E2089"/>
    <w:rsid w:val="005E2149"/>
    <w:rsid w:val="005E2246"/>
    <w:rsid w:val="005E2322"/>
    <w:rsid w:val="005E2360"/>
    <w:rsid w:val="005E2754"/>
    <w:rsid w:val="005E2E5D"/>
    <w:rsid w:val="005E2F2F"/>
    <w:rsid w:val="005E37A1"/>
    <w:rsid w:val="005E3B89"/>
    <w:rsid w:val="005E3D66"/>
    <w:rsid w:val="005E50E8"/>
    <w:rsid w:val="005E51BB"/>
    <w:rsid w:val="005E6C2E"/>
    <w:rsid w:val="005E6D23"/>
    <w:rsid w:val="005E71F2"/>
    <w:rsid w:val="005E766E"/>
    <w:rsid w:val="005E7AC0"/>
    <w:rsid w:val="005E7FFA"/>
    <w:rsid w:val="005F0B7F"/>
    <w:rsid w:val="005F0D0D"/>
    <w:rsid w:val="005F1366"/>
    <w:rsid w:val="005F14D6"/>
    <w:rsid w:val="005F1536"/>
    <w:rsid w:val="005F1612"/>
    <w:rsid w:val="005F19C2"/>
    <w:rsid w:val="005F1CFD"/>
    <w:rsid w:val="005F2005"/>
    <w:rsid w:val="005F2035"/>
    <w:rsid w:val="005F2417"/>
    <w:rsid w:val="005F2A4D"/>
    <w:rsid w:val="005F2E55"/>
    <w:rsid w:val="005F3530"/>
    <w:rsid w:val="005F37BA"/>
    <w:rsid w:val="005F38DE"/>
    <w:rsid w:val="005F3B4A"/>
    <w:rsid w:val="005F44BB"/>
    <w:rsid w:val="005F4967"/>
    <w:rsid w:val="005F54A0"/>
    <w:rsid w:val="005F571F"/>
    <w:rsid w:val="005F5837"/>
    <w:rsid w:val="005F58BA"/>
    <w:rsid w:val="005F5E4F"/>
    <w:rsid w:val="005F6211"/>
    <w:rsid w:val="005F65B3"/>
    <w:rsid w:val="005F65CD"/>
    <w:rsid w:val="005F69E9"/>
    <w:rsid w:val="005F6AA2"/>
    <w:rsid w:val="005F6D36"/>
    <w:rsid w:val="005F70C5"/>
    <w:rsid w:val="005F73B5"/>
    <w:rsid w:val="005F76B1"/>
    <w:rsid w:val="005F78EB"/>
    <w:rsid w:val="00600623"/>
    <w:rsid w:val="00600F69"/>
    <w:rsid w:val="0060151D"/>
    <w:rsid w:val="0060176D"/>
    <w:rsid w:val="00601966"/>
    <w:rsid w:val="00601DEE"/>
    <w:rsid w:val="00602125"/>
    <w:rsid w:val="00602435"/>
    <w:rsid w:val="006026C2"/>
    <w:rsid w:val="006029B8"/>
    <w:rsid w:val="00602AC0"/>
    <w:rsid w:val="00602CA3"/>
    <w:rsid w:val="00602FFA"/>
    <w:rsid w:val="00603351"/>
    <w:rsid w:val="0060416F"/>
    <w:rsid w:val="00604F44"/>
    <w:rsid w:val="00604F48"/>
    <w:rsid w:val="00604F5B"/>
    <w:rsid w:val="006057C4"/>
    <w:rsid w:val="00605A11"/>
    <w:rsid w:val="00605E5D"/>
    <w:rsid w:val="00606443"/>
    <w:rsid w:val="006068F3"/>
    <w:rsid w:val="006071AF"/>
    <w:rsid w:val="00607263"/>
    <w:rsid w:val="006074DB"/>
    <w:rsid w:val="00607535"/>
    <w:rsid w:val="006075D4"/>
    <w:rsid w:val="00607D3B"/>
    <w:rsid w:val="00607E13"/>
    <w:rsid w:val="006100F9"/>
    <w:rsid w:val="00610597"/>
    <w:rsid w:val="006106BE"/>
    <w:rsid w:val="00610975"/>
    <w:rsid w:val="0061099E"/>
    <w:rsid w:val="006109A9"/>
    <w:rsid w:val="006112EB"/>
    <w:rsid w:val="006116CA"/>
    <w:rsid w:val="00611A87"/>
    <w:rsid w:val="00611C91"/>
    <w:rsid w:val="00611DEE"/>
    <w:rsid w:val="00612918"/>
    <w:rsid w:val="0061355F"/>
    <w:rsid w:val="0061359C"/>
    <w:rsid w:val="00613824"/>
    <w:rsid w:val="0061391D"/>
    <w:rsid w:val="00613978"/>
    <w:rsid w:val="00613B73"/>
    <w:rsid w:val="006140F3"/>
    <w:rsid w:val="006146FC"/>
    <w:rsid w:val="0061492E"/>
    <w:rsid w:val="00614C94"/>
    <w:rsid w:val="00614E5C"/>
    <w:rsid w:val="00614FF1"/>
    <w:rsid w:val="006156C1"/>
    <w:rsid w:val="00615BE7"/>
    <w:rsid w:val="006160CE"/>
    <w:rsid w:val="00616419"/>
    <w:rsid w:val="0061641A"/>
    <w:rsid w:val="00616901"/>
    <w:rsid w:val="00617D30"/>
    <w:rsid w:val="00617F5A"/>
    <w:rsid w:val="00620223"/>
    <w:rsid w:val="00620339"/>
    <w:rsid w:val="0062067A"/>
    <w:rsid w:val="00620A5B"/>
    <w:rsid w:val="00620D56"/>
    <w:rsid w:val="00620F1C"/>
    <w:rsid w:val="00621249"/>
    <w:rsid w:val="00621DE7"/>
    <w:rsid w:val="00622450"/>
    <w:rsid w:val="00622895"/>
    <w:rsid w:val="00622ABD"/>
    <w:rsid w:val="00623011"/>
    <w:rsid w:val="0062310E"/>
    <w:rsid w:val="006232E7"/>
    <w:rsid w:val="00623634"/>
    <w:rsid w:val="0062396F"/>
    <w:rsid w:val="00623B6D"/>
    <w:rsid w:val="0062404B"/>
    <w:rsid w:val="006243D3"/>
    <w:rsid w:val="006245C2"/>
    <w:rsid w:val="00625ACA"/>
    <w:rsid w:val="00625B2E"/>
    <w:rsid w:val="00625FBE"/>
    <w:rsid w:val="00626814"/>
    <w:rsid w:val="00626EEE"/>
    <w:rsid w:val="006271A0"/>
    <w:rsid w:val="0062768E"/>
    <w:rsid w:val="00627A44"/>
    <w:rsid w:val="00627C3B"/>
    <w:rsid w:val="00627E2C"/>
    <w:rsid w:val="00627F9A"/>
    <w:rsid w:val="0063064B"/>
    <w:rsid w:val="00630D5F"/>
    <w:rsid w:val="006313C9"/>
    <w:rsid w:val="006316AF"/>
    <w:rsid w:val="006318E5"/>
    <w:rsid w:val="006319F8"/>
    <w:rsid w:val="00631BF6"/>
    <w:rsid w:val="00631C88"/>
    <w:rsid w:val="00633030"/>
    <w:rsid w:val="00633231"/>
    <w:rsid w:val="00633267"/>
    <w:rsid w:val="006336EF"/>
    <w:rsid w:val="0063386C"/>
    <w:rsid w:val="00633972"/>
    <w:rsid w:val="00633AE2"/>
    <w:rsid w:val="00634004"/>
    <w:rsid w:val="00634422"/>
    <w:rsid w:val="00634D0E"/>
    <w:rsid w:val="0063565C"/>
    <w:rsid w:val="0063590B"/>
    <w:rsid w:val="00635C3E"/>
    <w:rsid w:val="006363D2"/>
    <w:rsid w:val="006365DE"/>
    <w:rsid w:val="00636B19"/>
    <w:rsid w:val="00636B95"/>
    <w:rsid w:val="00637077"/>
    <w:rsid w:val="0063747B"/>
    <w:rsid w:val="00637A8F"/>
    <w:rsid w:val="00637B69"/>
    <w:rsid w:val="00640481"/>
    <w:rsid w:val="00640495"/>
    <w:rsid w:val="006404F7"/>
    <w:rsid w:val="00640D55"/>
    <w:rsid w:val="00640F33"/>
    <w:rsid w:val="00641E35"/>
    <w:rsid w:val="00642946"/>
    <w:rsid w:val="00642A91"/>
    <w:rsid w:val="00642AEA"/>
    <w:rsid w:val="006430A4"/>
    <w:rsid w:val="006436B7"/>
    <w:rsid w:val="006438F4"/>
    <w:rsid w:val="00643BE3"/>
    <w:rsid w:val="00643D76"/>
    <w:rsid w:val="0064490D"/>
    <w:rsid w:val="00644BD0"/>
    <w:rsid w:val="00644BD1"/>
    <w:rsid w:val="0064552D"/>
    <w:rsid w:val="0064589B"/>
    <w:rsid w:val="00645991"/>
    <w:rsid w:val="00645B8E"/>
    <w:rsid w:val="00645C37"/>
    <w:rsid w:val="006462B5"/>
    <w:rsid w:val="006465C5"/>
    <w:rsid w:val="00646687"/>
    <w:rsid w:val="00646AA4"/>
    <w:rsid w:val="00646EDD"/>
    <w:rsid w:val="00647089"/>
    <w:rsid w:val="00647D0E"/>
    <w:rsid w:val="00647DE5"/>
    <w:rsid w:val="00650234"/>
    <w:rsid w:val="0065057D"/>
    <w:rsid w:val="0065061E"/>
    <w:rsid w:val="00650D2D"/>
    <w:rsid w:val="00651A36"/>
    <w:rsid w:val="00651C73"/>
    <w:rsid w:val="006522BF"/>
    <w:rsid w:val="006522E6"/>
    <w:rsid w:val="0065261F"/>
    <w:rsid w:val="00652B4B"/>
    <w:rsid w:val="00652C08"/>
    <w:rsid w:val="00653033"/>
    <w:rsid w:val="00653BD8"/>
    <w:rsid w:val="00653CB4"/>
    <w:rsid w:val="00653DC7"/>
    <w:rsid w:val="006542B3"/>
    <w:rsid w:val="00654E0C"/>
    <w:rsid w:val="00654E4F"/>
    <w:rsid w:val="00654FC1"/>
    <w:rsid w:val="0065504E"/>
    <w:rsid w:val="0065509B"/>
    <w:rsid w:val="0065515A"/>
    <w:rsid w:val="006554E5"/>
    <w:rsid w:val="00655B59"/>
    <w:rsid w:val="00655BA8"/>
    <w:rsid w:val="00656CC7"/>
    <w:rsid w:val="00656F65"/>
    <w:rsid w:val="00656F8E"/>
    <w:rsid w:val="006571C5"/>
    <w:rsid w:val="0065733D"/>
    <w:rsid w:val="00657904"/>
    <w:rsid w:val="00660E83"/>
    <w:rsid w:val="00661709"/>
    <w:rsid w:val="006618B9"/>
    <w:rsid w:val="006619E0"/>
    <w:rsid w:val="00661B29"/>
    <w:rsid w:val="00662B44"/>
    <w:rsid w:val="00663A47"/>
    <w:rsid w:val="00663AFC"/>
    <w:rsid w:val="0066479E"/>
    <w:rsid w:val="00664ABA"/>
    <w:rsid w:val="00664DF7"/>
    <w:rsid w:val="00664E42"/>
    <w:rsid w:val="006650E9"/>
    <w:rsid w:val="006653FB"/>
    <w:rsid w:val="0066581F"/>
    <w:rsid w:val="00665AC5"/>
    <w:rsid w:val="00665BF4"/>
    <w:rsid w:val="006661EB"/>
    <w:rsid w:val="00666316"/>
    <w:rsid w:val="006663E7"/>
    <w:rsid w:val="006664B3"/>
    <w:rsid w:val="006665B4"/>
    <w:rsid w:val="006667F2"/>
    <w:rsid w:val="00667160"/>
    <w:rsid w:val="0066735D"/>
    <w:rsid w:val="006674DB"/>
    <w:rsid w:val="00667668"/>
    <w:rsid w:val="006677C5"/>
    <w:rsid w:val="006677E6"/>
    <w:rsid w:val="0066795B"/>
    <w:rsid w:val="00667A08"/>
    <w:rsid w:val="00667CCE"/>
    <w:rsid w:val="0067062E"/>
    <w:rsid w:val="00670664"/>
    <w:rsid w:val="00670DCD"/>
    <w:rsid w:val="00670EBD"/>
    <w:rsid w:val="00670F73"/>
    <w:rsid w:val="006711D5"/>
    <w:rsid w:val="00672070"/>
    <w:rsid w:val="00672225"/>
    <w:rsid w:val="006722F8"/>
    <w:rsid w:val="00672A5C"/>
    <w:rsid w:val="00673C45"/>
    <w:rsid w:val="00673FA6"/>
    <w:rsid w:val="006749AB"/>
    <w:rsid w:val="00674F5D"/>
    <w:rsid w:val="0067516B"/>
    <w:rsid w:val="0067559C"/>
    <w:rsid w:val="00675887"/>
    <w:rsid w:val="00675D56"/>
    <w:rsid w:val="0067603F"/>
    <w:rsid w:val="0067611A"/>
    <w:rsid w:val="006762A7"/>
    <w:rsid w:val="00676A4C"/>
    <w:rsid w:val="0067722F"/>
    <w:rsid w:val="00677390"/>
    <w:rsid w:val="006773D9"/>
    <w:rsid w:val="006777CF"/>
    <w:rsid w:val="00677E26"/>
    <w:rsid w:val="00677FF6"/>
    <w:rsid w:val="006802AB"/>
    <w:rsid w:val="006802CA"/>
    <w:rsid w:val="00680670"/>
    <w:rsid w:val="00680DAE"/>
    <w:rsid w:val="006810BE"/>
    <w:rsid w:val="006814A9"/>
    <w:rsid w:val="006814E7"/>
    <w:rsid w:val="00681887"/>
    <w:rsid w:val="00681ACD"/>
    <w:rsid w:val="00681C60"/>
    <w:rsid w:val="00681D5B"/>
    <w:rsid w:val="006820D0"/>
    <w:rsid w:val="00682607"/>
    <w:rsid w:val="00682B63"/>
    <w:rsid w:val="006839ED"/>
    <w:rsid w:val="00684669"/>
    <w:rsid w:val="006848B6"/>
    <w:rsid w:val="00684C78"/>
    <w:rsid w:val="006857B6"/>
    <w:rsid w:val="006859B5"/>
    <w:rsid w:val="00686054"/>
    <w:rsid w:val="006860B1"/>
    <w:rsid w:val="006866FE"/>
    <w:rsid w:val="00686818"/>
    <w:rsid w:val="006869C5"/>
    <w:rsid w:val="006870BA"/>
    <w:rsid w:val="00687183"/>
    <w:rsid w:val="006874C8"/>
    <w:rsid w:val="006874CC"/>
    <w:rsid w:val="006878CE"/>
    <w:rsid w:val="00687D57"/>
    <w:rsid w:val="00690446"/>
    <w:rsid w:val="00690908"/>
    <w:rsid w:val="00690958"/>
    <w:rsid w:val="00690CF1"/>
    <w:rsid w:val="006910B1"/>
    <w:rsid w:val="00691177"/>
    <w:rsid w:val="0069188F"/>
    <w:rsid w:val="00691CFD"/>
    <w:rsid w:val="00691FC8"/>
    <w:rsid w:val="006922E8"/>
    <w:rsid w:val="0069268F"/>
    <w:rsid w:val="006927D3"/>
    <w:rsid w:val="006927E6"/>
    <w:rsid w:val="006928F8"/>
    <w:rsid w:val="00692BFC"/>
    <w:rsid w:val="0069336A"/>
    <w:rsid w:val="0069353F"/>
    <w:rsid w:val="00693B13"/>
    <w:rsid w:val="00693C16"/>
    <w:rsid w:val="0069485A"/>
    <w:rsid w:val="00694D5E"/>
    <w:rsid w:val="0069513F"/>
    <w:rsid w:val="00695303"/>
    <w:rsid w:val="006953EE"/>
    <w:rsid w:val="00695A2A"/>
    <w:rsid w:val="00695B86"/>
    <w:rsid w:val="0069615C"/>
    <w:rsid w:val="006966A3"/>
    <w:rsid w:val="00696B02"/>
    <w:rsid w:val="00696F5E"/>
    <w:rsid w:val="006979A0"/>
    <w:rsid w:val="006A02F3"/>
    <w:rsid w:val="006A031A"/>
    <w:rsid w:val="006A0367"/>
    <w:rsid w:val="006A03F6"/>
    <w:rsid w:val="006A0A3E"/>
    <w:rsid w:val="006A12D6"/>
    <w:rsid w:val="006A170C"/>
    <w:rsid w:val="006A177F"/>
    <w:rsid w:val="006A1AB6"/>
    <w:rsid w:val="006A1D88"/>
    <w:rsid w:val="006A2144"/>
    <w:rsid w:val="006A2447"/>
    <w:rsid w:val="006A389D"/>
    <w:rsid w:val="006A3AAD"/>
    <w:rsid w:val="006A411C"/>
    <w:rsid w:val="006A4145"/>
    <w:rsid w:val="006A43B0"/>
    <w:rsid w:val="006A4550"/>
    <w:rsid w:val="006A50A8"/>
    <w:rsid w:val="006A5175"/>
    <w:rsid w:val="006A523F"/>
    <w:rsid w:val="006A54B7"/>
    <w:rsid w:val="006A59A4"/>
    <w:rsid w:val="006A5E20"/>
    <w:rsid w:val="006A5EA2"/>
    <w:rsid w:val="006A5F29"/>
    <w:rsid w:val="006A60C6"/>
    <w:rsid w:val="006A614A"/>
    <w:rsid w:val="006A680A"/>
    <w:rsid w:val="006A69AE"/>
    <w:rsid w:val="006A6A2E"/>
    <w:rsid w:val="006A7482"/>
    <w:rsid w:val="006A7989"/>
    <w:rsid w:val="006A79DD"/>
    <w:rsid w:val="006B03C6"/>
    <w:rsid w:val="006B1221"/>
    <w:rsid w:val="006B13F0"/>
    <w:rsid w:val="006B158C"/>
    <w:rsid w:val="006B1A5A"/>
    <w:rsid w:val="006B1AB8"/>
    <w:rsid w:val="006B1DBE"/>
    <w:rsid w:val="006B28FA"/>
    <w:rsid w:val="006B2F7F"/>
    <w:rsid w:val="006B332E"/>
    <w:rsid w:val="006B3602"/>
    <w:rsid w:val="006B374D"/>
    <w:rsid w:val="006B3947"/>
    <w:rsid w:val="006B3A5B"/>
    <w:rsid w:val="006B3CF9"/>
    <w:rsid w:val="006B4B20"/>
    <w:rsid w:val="006B4BA5"/>
    <w:rsid w:val="006B4BBD"/>
    <w:rsid w:val="006B4CCD"/>
    <w:rsid w:val="006B4EC1"/>
    <w:rsid w:val="006B51A9"/>
    <w:rsid w:val="006B5386"/>
    <w:rsid w:val="006B5929"/>
    <w:rsid w:val="006B6913"/>
    <w:rsid w:val="006B6CF7"/>
    <w:rsid w:val="006B6D1F"/>
    <w:rsid w:val="006B6D22"/>
    <w:rsid w:val="006B6F08"/>
    <w:rsid w:val="006B73E8"/>
    <w:rsid w:val="006B7583"/>
    <w:rsid w:val="006B793E"/>
    <w:rsid w:val="006B7AC4"/>
    <w:rsid w:val="006C0428"/>
    <w:rsid w:val="006C0753"/>
    <w:rsid w:val="006C0821"/>
    <w:rsid w:val="006C11F2"/>
    <w:rsid w:val="006C134B"/>
    <w:rsid w:val="006C148B"/>
    <w:rsid w:val="006C16F3"/>
    <w:rsid w:val="006C1A08"/>
    <w:rsid w:val="006C250D"/>
    <w:rsid w:val="006C2C0A"/>
    <w:rsid w:val="006C30CC"/>
    <w:rsid w:val="006C3911"/>
    <w:rsid w:val="006C3A0D"/>
    <w:rsid w:val="006C3BB8"/>
    <w:rsid w:val="006C3E76"/>
    <w:rsid w:val="006C45AB"/>
    <w:rsid w:val="006C4786"/>
    <w:rsid w:val="006C4C9A"/>
    <w:rsid w:val="006C4D85"/>
    <w:rsid w:val="006C54A1"/>
    <w:rsid w:val="006C5CE1"/>
    <w:rsid w:val="006C6B63"/>
    <w:rsid w:val="006C6CCB"/>
    <w:rsid w:val="006C6CD0"/>
    <w:rsid w:val="006C714E"/>
    <w:rsid w:val="006C72C7"/>
    <w:rsid w:val="006C75CD"/>
    <w:rsid w:val="006C7648"/>
    <w:rsid w:val="006D02CA"/>
    <w:rsid w:val="006D037A"/>
    <w:rsid w:val="006D061F"/>
    <w:rsid w:val="006D08FD"/>
    <w:rsid w:val="006D0CE9"/>
    <w:rsid w:val="006D0F86"/>
    <w:rsid w:val="006D10F4"/>
    <w:rsid w:val="006D1385"/>
    <w:rsid w:val="006D1858"/>
    <w:rsid w:val="006D1AB3"/>
    <w:rsid w:val="006D1F82"/>
    <w:rsid w:val="006D231F"/>
    <w:rsid w:val="006D2B84"/>
    <w:rsid w:val="006D2C0B"/>
    <w:rsid w:val="006D2E39"/>
    <w:rsid w:val="006D3C71"/>
    <w:rsid w:val="006D4635"/>
    <w:rsid w:val="006D4711"/>
    <w:rsid w:val="006D47A1"/>
    <w:rsid w:val="006D4AF2"/>
    <w:rsid w:val="006D4F74"/>
    <w:rsid w:val="006D4F85"/>
    <w:rsid w:val="006D5437"/>
    <w:rsid w:val="006D55D1"/>
    <w:rsid w:val="006D5EE2"/>
    <w:rsid w:val="006D5FEC"/>
    <w:rsid w:val="006D66DE"/>
    <w:rsid w:val="006D687F"/>
    <w:rsid w:val="006D77FC"/>
    <w:rsid w:val="006D787C"/>
    <w:rsid w:val="006D7885"/>
    <w:rsid w:val="006D7CCA"/>
    <w:rsid w:val="006D7D32"/>
    <w:rsid w:val="006D7DFC"/>
    <w:rsid w:val="006E0175"/>
    <w:rsid w:val="006E05BE"/>
    <w:rsid w:val="006E0A8C"/>
    <w:rsid w:val="006E0B1A"/>
    <w:rsid w:val="006E107D"/>
    <w:rsid w:val="006E18A0"/>
    <w:rsid w:val="006E256C"/>
    <w:rsid w:val="006E29DB"/>
    <w:rsid w:val="006E2A97"/>
    <w:rsid w:val="006E2B26"/>
    <w:rsid w:val="006E2E74"/>
    <w:rsid w:val="006E32EF"/>
    <w:rsid w:val="006E33D8"/>
    <w:rsid w:val="006E3463"/>
    <w:rsid w:val="006E34E5"/>
    <w:rsid w:val="006E3BE9"/>
    <w:rsid w:val="006E3D7A"/>
    <w:rsid w:val="006E40DA"/>
    <w:rsid w:val="006E49AB"/>
    <w:rsid w:val="006E54B3"/>
    <w:rsid w:val="006E55B7"/>
    <w:rsid w:val="006E5791"/>
    <w:rsid w:val="006E5C31"/>
    <w:rsid w:val="006E5F16"/>
    <w:rsid w:val="006E5F8D"/>
    <w:rsid w:val="006E6026"/>
    <w:rsid w:val="006E6973"/>
    <w:rsid w:val="006E6D63"/>
    <w:rsid w:val="006E734E"/>
    <w:rsid w:val="006E752F"/>
    <w:rsid w:val="006F05FA"/>
    <w:rsid w:val="006F0772"/>
    <w:rsid w:val="006F0DE8"/>
    <w:rsid w:val="006F101F"/>
    <w:rsid w:val="006F118A"/>
    <w:rsid w:val="006F1784"/>
    <w:rsid w:val="006F194B"/>
    <w:rsid w:val="006F2483"/>
    <w:rsid w:val="006F2B42"/>
    <w:rsid w:val="006F2CFB"/>
    <w:rsid w:val="006F30BF"/>
    <w:rsid w:val="006F33B5"/>
    <w:rsid w:val="006F345A"/>
    <w:rsid w:val="006F387C"/>
    <w:rsid w:val="006F4099"/>
    <w:rsid w:val="006F415F"/>
    <w:rsid w:val="006F42B5"/>
    <w:rsid w:val="006F42E2"/>
    <w:rsid w:val="006F43B5"/>
    <w:rsid w:val="006F48D1"/>
    <w:rsid w:val="006F4A7F"/>
    <w:rsid w:val="006F4B87"/>
    <w:rsid w:val="006F4CFA"/>
    <w:rsid w:val="006F4EF3"/>
    <w:rsid w:val="006F5491"/>
    <w:rsid w:val="006F54B6"/>
    <w:rsid w:val="006F5620"/>
    <w:rsid w:val="006F58FE"/>
    <w:rsid w:val="006F5B03"/>
    <w:rsid w:val="006F5E4A"/>
    <w:rsid w:val="006F6649"/>
    <w:rsid w:val="006F7075"/>
    <w:rsid w:val="006F74D9"/>
    <w:rsid w:val="006F764F"/>
    <w:rsid w:val="006F7D69"/>
    <w:rsid w:val="00700186"/>
    <w:rsid w:val="007001D4"/>
    <w:rsid w:val="00700270"/>
    <w:rsid w:val="00700364"/>
    <w:rsid w:val="007006FE"/>
    <w:rsid w:val="007007DA"/>
    <w:rsid w:val="00700F25"/>
    <w:rsid w:val="00700F7C"/>
    <w:rsid w:val="0070129D"/>
    <w:rsid w:val="00701971"/>
    <w:rsid w:val="00701DE7"/>
    <w:rsid w:val="00702588"/>
    <w:rsid w:val="0070294A"/>
    <w:rsid w:val="00702B7A"/>
    <w:rsid w:val="00702DF3"/>
    <w:rsid w:val="0070327C"/>
    <w:rsid w:val="007032F8"/>
    <w:rsid w:val="007032FB"/>
    <w:rsid w:val="007036C6"/>
    <w:rsid w:val="00703C71"/>
    <w:rsid w:val="0070404D"/>
    <w:rsid w:val="00704104"/>
    <w:rsid w:val="00704691"/>
    <w:rsid w:val="00704863"/>
    <w:rsid w:val="00704BC3"/>
    <w:rsid w:val="00704D82"/>
    <w:rsid w:val="007050C6"/>
    <w:rsid w:val="00705191"/>
    <w:rsid w:val="00705BD5"/>
    <w:rsid w:val="00706057"/>
    <w:rsid w:val="00706569"/>
    <w:rsid w:val="0070674E"/>
    <w:rsid w:val="00706BED"/>
    <w:rsid w:val="00706D5F"/>
    <w:rsid w:val="00706F0C"/>
    <w:rsid w:val="007072D4"/>
    <w:rsid w:val="0070760E"/>
    <w:rsid w:val="00707AB6"/>
    <w:rsid w:val="00710489"/>
    <w:rsid w:val="00710FDB"/>
    <w:rsid w:val="007110EE"/>
    <w:rsid w:val="007110FD"/>
    <w:rsid w:val="0071147C"/>
    <w:rsid w:val="007116F6"/>
    <w:rsid w:val="00711A9C"/>
    <w:rsid w:val="00711CDB"/>
    <w:rsid w:val="00712661"/>
    <w:rsid w:val="00713331"/>
    <w:rsid w:val="0071382B"/>
    <w:rsid w:val="00713CBA"/>
    <w:rsid w:val="007142CE"/>
    <w:rsid w:val="0071494F"/>
    <w:rsid w:val="007150D9"/>
    <w:rsid w:val="00715840"/>
    <w:rsid w:val="00715AA9"/>
    <w:rsid w:val="00715AF0"/>
    <w:rsid w:val="00715CC8"/>
    <w:rsid w:val="0071625B"/>
    <w:rsid w:val="00716BB3"/>
    <w:rsid w:val="00716EAD"/>
    <w:rsid w:val="007177EE"/>
    <w:rsid w:val="00717D7D"/>
    <w:rsid w:val="00720A2A"/>
    <w:rsid w:val="00720C15"/>
    <w:rsid w:val="007211A6"/>
    <w:rsid w:val="007214E0"/>
    <w:rsid w:val="00721648"/>
    <w:rsid w:val="007219CB"/>
    <w:rsid w:val="00721B07"/>
    <w:rsid w:val="00722FF6"/>
    <w:rsid w:val="007230EE"/>
    <w:rsid w:val="00723573"/>
    <w:rsid w:val="007236CA"/>
    <w:rsid w:val="00723AEA"/>
    <w:rsid w:val="0072400D"/>
    <w:rsid w:val="00724546"/>
    <w:rsid w:val="00724552"/>
    <w:rsid w:val="00724876"/>
    <w:rsid w:val="007256AA"/>
    <w:rsid w:val="007256E1"/>
    <w:rsid w:val="0072572E"/>
    <w:rsid w:val="00725AAB"/>
    <w:rsid w:val="00725F20"/>
    <w:rsid w:val="00725F9B"/>
    <w:rsid w:val="00726537"/>
    <w:rsid w:val="00726598"/>
    <w:rsid w:val="00726EBF"/>
    <w:rsid w:val="00727118"/>
    <w:rsid w:val="007271E6"/>
    <w:rsid w:val="007301CD"/>
    <w:rsid w:val="00730340"/>
    <w:rsid w:val="007304E6"/>
    <w:rsid w:val="00730CE9"/>
    <w:rsid w:val="00730DB4"/>
    <w:rsid w:val="00730FE5"/>
    <w:rsid w:val="00732078"/>
    <w:rsid w:val="0073240C"/>
    <w:rsid w:val="007331BA"/>
    <w:rsid w:val="00733E26"/>
    <w:rsid w:val="00733EAB"/>
    <w:rsid w:val="00734349"/>
    <w:rsid w:val="007345B0"/>
    <w:rsid w:val="00735856"/>
    <w:rsid w:val="00735991"/>
    <w:rsid w:val="00735AA6"/>
    <w:rsid w:val="00736355"/>
    <w:rsid w:val="007363EF"/>
    <w:rsid w:val="00736EB4"/>
    <w:rsid w:val="007373CC"/>
    <w:rsid w:val="007374C3"/>
    <w:rsid w:val="00740867"/>
    <w:rsid w:val="00740A4B"/>
    <w:rsid w:val="00740B97"/>
    <w:rsid w:val="00740CE5"/>
    <w:rsid w:val="00741755"/>
    <w:rsid w:val="00742040"/>
    <w:rsid w:val="00742610"/>
    <w:rsid w:val="00742737"/>
    <w:rsid w:val="00742888"/>
    <w:rsid w:val="00742AFE"/>
    <w:rsid w:val="00743077"/>
    <w:rsid w:val="00743C01"/>
    <w:rsid w:val="00743D68"/>
    <w:rsid w:val="007440EE"/>
    <w:rsid w:val="007447C1"/>
    <w:rsid w:val="0074562B"/>
    <w:rsid w:val="00745B06"/>
    <w:rsid w:val="00745D3E"/>
    <w:rsid w:val="00745F47"/>
    <w:rsid w:val="00745F89"/>
    <w:rsid w:val="00746247"/>
    <w:rsid w:val="0074677A"/>
    <w:rsid w:val="00746954"/>
    <w:rsid w:val="00746C85"/>
    <w:rsid w:val="00746F70"/>
    <w:rsid w:val="007471DA"/>
    <w:rsid w:val="00747C9F"/>
    <w:rsid w:val="00747D36"/>
    <w:rsid w:val="007501FE"/>
    <w:rsid w:val="0075033E"/>
    <w:rsid w:val="0075095D"/>
    <w:rsid w:val="00750AA2"/>
    <w:rsid w:val="00750B17"/>
    <w:rsid w:val="00750DA7"/>
    <w:rsid w:val="00750FEE"/>
    <w:rsid w:val="0075101F"/>
    <w:rsid w:val="00751522"/>
    <w:rsid w:val="00751822"/>
    <w:rsid w:val="00751928"/>
    <w:rsid w:val="00751ACA"/>
    <w:rsid w:val="00751F64"/>
    <w:rsid w:val="007527B7"/>
    <w:rsid w:val="00752B1F"/>
    <w:rsid w:val="00752E18"/>
    <w:rsid w:val="00752FD9"/>
    <w:rsid w:val="00753115"/>
    <w:rsid w:val="007545F4"/>
    <w:rsid w:val="00754CD4"/>
    <w:rsid w:val="00754E4C"/>
    <w:rsid w:val="00754E84"/>
    <w:rsid w:val="00754FB5"/>
    <w:rsid w:val="007556EF"/>
    <w:rsid w:val="00755811"/>
    <w:rsid w:val="00755829"/>
    <w:rsid w:val="007558C9"/>
    <w:rsid w:val="00755DBE"/>
    <w:rsid w:val="0075612C"/>
    <w:rsid w:val="0075628D"/>
    <w:rsid w:val="007568E1"/>
    <w:rsid w:val="007569A9"/>
    <w:rsid w:val="00756C16"/>
    <w:rsid w:val="00756D51"/>
    <w:rsid w:val="00757062"/>
    <w:rsid w:val="00757610"/>
    <w:rsid w:val="007578E4"/>
    <w:rsid w:val="00757944"/>
    <w:rsid w:val="00757AD6"/>
    <w:rsid w:val="00757B9E"/>
    <w:rsid w:val="007605E4"/>
    <w:rsid w:val="00760669"/>
    <w:rsid w:val="007608B9"/>
    <w:rsid w:val="00760958"/>
    <w:rsid w:val="00760D42"/>
    <w:rsid w:val="00761454"/>
    <w:rsid w:val="00761A0D"/>
    <w:rsid w:val="00761E37"/>
    <w:rsid w:val="007624EE"/>
    <w:rsid w:val="007629A5"/>
    <w:rsid w:val="007629DE"/>
    <w:rsid w:val="007637A4"/>
    <w:rsid w:val="007638E0"/>
    <w:rsid w:val="0076399F"/>
    <w:rsid w:val="00763A51"/>
    <w:rsid w:val="0076439F"/>
    <w:rsid w:val="0076447C"/>
    <w:rsid w:val="00764523"/>
    <w:rsid w:val="007646B7"/>
    <w:rsid w:val="00765395"/>
    <w:rsid w:val="00765609"/>
    <w:rsid w:val="00765781"/>
    <w:rsid w:val="00765FE6"/>
    <w:rsid w:val="00766ABE"/>
    <w:rsid w:val="00766AFC"/>
    <w:rsid w:val="007670FA"/>
    <w:rsid w:val="007678D8"/>
    <w:rsid w:val="00770307"/>
    <w:rsid w:val="0077031F"/>
    <w:rsid w:val="00770377"/>
    <w:rsid w:val="00770591"/>
    <w:rsid w:val="007709BF"/>
    <w:rsid w:val="00770AC6"/>
    <w:rsid w:val="00770E02"/>
    <w:rsid w:val="00770F5E"/>
    <w:rsid w:val="00770FC8"/>
    <w:rsid w:val="00771070"/>
    <w:rsid w:val="007716D0"/>
    <w:rsid w:val="00771836"/>
    <w:rsid w:val="007718F4"/>
    <w:rsid w:val="00771D33"/>
    <w:rsid w:val="00771E8D"/>
    <w:rsid w:val="00771F9E"/>
    <w:rsid w:val="007728EA"/>
    <w:rsid w:val="00772943"/>
    <w:rsid w:val="00772C17"/>
    <w:rsid w:val="00773502"/>
    <w:rsid w:val="00773510"/>
    <w:rsid w:val="00773547"/>
    <w:rsid w:val="00773E64"/>
    <w:rsid w:val="007743EF"/>
    <w:rsid w:val="00774D40"/>
    <w:rsid w:val="0077502A"/>
    <w:rsid w:val="007753B9"/>
    <w:rsid w:val="007754B2"/>
    <w:rsid w:val="00775675"/>
    <w:rsid w:val="00775F33"/>
    <w:rsid w:val="007762D3"/>
    <w:rsid w:val="007763EA"/>
    <w:rsid w:val="00776638"/>
    <w:rsid w:val="00776648"/>
    <w:rsid w:val="00776682"/>
    <w:rsid w:val="00776E05"/>
    <w:rsid w:val="0077726A"/>
    <w:rsid w:val="007774A2"/>
    <w:rsid w:val="00777FD3"/>
    <w:rsid w:val="0078030E"/>
    <w:rsid w:val="007806AC"/>
    <w:rsid w:val="00780795"/>
    <w:rsid w:val="007807DA"/>
    <w:rsid w:val="00781202"/>
    <w:rsid w:val="00781996"/>
    <w:rsid w:val="007819DF"/>
    <w:rsid w:val="00781A93"/>
    <w:rsid w:val="00782258"/>
    <w:rsid w:val="0078251F"/>
    <w:rsid w:val="00782769"/>
    <w:rsid w:val="0078289E"/>
    <w:rsid w:val="007828D0"/>
    <w:rsid w:val="00782A35"/>
    <w:rsid w:val="00782B22"/>
    <w:rsid w:val="00782BB8"/>
    <w:rsid w:val="00782E6C"/>
    <w:rsid w:val="00783731"/>
    <w:rsid w:val="00783E37"/>
    <w:rsid w:val="0078455D"/>
    <w:rsid w:val="00785372"/>
    <w:rsid w:val="0078544A"/>
    <w:rsid w:val="00785538"/>
    <w:rsid w:val="007857C7"/>
    <w:rsid w:val="00785F13"/>
    <w:rsid w:val="0078606F"/>
    <w:rsid w:val="00786230"/>
    <w:rsid w:val="007862CB"/>
    <w:rsid w:val="007868AE"/>
    <w:rsid w:val="00786C5B"/>
    <w:rsid w:val="0078785E"/>
    <w:rsid w:val="0078787A"/>
    <w:rsid w:val="00787934"/>
    <w:rsid w:val="00787B9F"/>
    <w:rsid w:val="00787D52"/>
    <w:rsid w:val="00790250"/>
    <w:rsid w:val="00790442"/>
    <w:rsid w:val="007909FA"/>
    <w:rsid w:val="00790ABA"/>
    <w:rsid w:val="00791081"/>
    <w:rsid w:val="00791C47"/>
    <w:rsid w:val="0079203E"/>
    <w:rsid w:val="0079208E"/>
    <w:rsid w:val="007924A6"/>
    <w:rsid w:val="00792ADB"/>
    <w:rsid w:val="00792BB8"/>
    <w:rsid w:val="00792F25"/>
    <w:rsid w:val="00792FFF"/>
    <w:rsid w:val="0079321F"/>
    <w:rsid w:val="00793224"/>
    <w:rsid w:val="0079395A"/>
    <w:rsid w:val="007939D8"/>
    <w:rsid w:val="00793CD3"/>
    <w:rsid w:val="00794366"/>
    <w:rsid w:val="00794513"/>
    <w:rsid w:val="00794595"/>
    <w:rsid w:val="00794849"/>
    <w:rsid w:val="00794957"/>
    <w:rsid w:val="00794BE1"/>
    <w:rsid w:val="00795701"/>
    <w:rsid w:val="00795A3D"/>
    <w:rsid w:val="00795AB5"/>
    <w:rsid w:val="00795C38"/>
    <w:rsid w:val="00795E79"/>
    <w:rsid w:val="00795EB3"/>
    <w:rsid w:val="007962A0"/>
    <w:rsid w:val="007967FB"/>
    <w:rsid w:val="007971CF"/>
    <w:rsid w:val="00797396"/>
    <w:rsid w:val="00797737"/>
    <w:rsid w:val="00797D91"/>
    <w:rsid w:val="00797E24"/>
    <w:rsid w:val="007A0491"/>
    <w:rsid w:val="007A0710"/>
    <w:rsid w:val="007A088D"/>
    <w:rsid w:val="007A0AA4"/>
    <w:rsid w:val="007A1658"/>
    <w:rsid w:val="007A1746"/>
    <w:rsid w:val="007A1AF1"/>
    <w:rsid w:val="007A2483"/>
    <w:rsid w:val="007A297A"/>
    <w:rsid w:val="007A2ABC"/>
    <w:rsid w:val="007A2C17"/>
    <w:rsid w:val="007A310B"/>
    <w:rsid w:val="007A312D"/>
    <w:rsid w:val="007A332A"/>
    <w:rsid w:val="007A3406"/>
    <w:rsid w:val="007A36B3"/>
    <w:rsid w:val="007A36FD"/>
    <w:rsid w:val="007A3B50"/>
    <w:rsid w:val="007A3FCF"/>
    <w:rsid w:val="007A51B4"/>
    <w:rsid w:val="007A5456"/>
    <w:rsid w:val="007A54BC"/>
    <w:rsid w:val="007A583B"/>
    <w:rsid w:val="007A5C18"/>
    <w:rsid w:val="007A5C2E"/>
    <w:rsid w:val="007A5C91"/>
    <w:rsid w:val="007A603D"/>
    <w:rsid w:val="007A63EF"/>
    <w:rsid w:val="007A6AF2"/>
    <w:rsid w:val="007A6E8B"/>
    <w:rsid w:val="007A6F2E"/>
    <w:rsid w:val="007A6F63"/>
    <w:rsid w:val="007A7698"/>
    <w:rsid w:val="007A79E5"/>
    <w:rsid w:val="007B0235"/>
    <w:rsid w:val="007B0335"/>
    <w:rsid w:val="007B1287"/>
    <w:rsid w:val="007B1544"/>
    <w:rsid w:val="007B16AC"/>
    <w:rsid w:val="007B16ED"/>
    <w:rsid w:val="007B196D"/>
    <w:rsid w:val="007B1C7E"/>
    <w:rsid w:val="007B1FDE"/>
    <w:rsid w:val="007B2236"/>
    <w:rsid w:val="007B235C"/>
    <w:rsid w:val="007B2651"/>
    <w:rsid w:val="007B29A7"/>
    <w:rsid w:val="007B2E18"/>
    <w:rsid w:val="007B360C"/>
    <w:rsid w:val="007B384B"/>
    <w:rsid w:val="007B3EF7"/>
    <w:rsid w:val="007B4069"/>
    <w:rsid w:val="007B47A4"/>
    <w:rsid w:val="007B4AC3"/>
    <w:rsid w:val="007B4CEF"/>
    <w:rsid w:val="007B4D36"/>
    <w:rsid w:val="007B50B5"/>
    <w:rsid w:val="007B5113"/>
    <w:rsid w:val="007B5367"/>
    <w:rsid w:val="007B548F"/>
    <w:rsid w:val="007B5A53"/>
    <w:rsid w:val="007B644F"/>
    <w:rsid w:val="007B6A03"/>
    <w:rsid w:val="007B6D5B"/>
    <w:rsid w:val="007B6F55"/>
    <w:rsid w:val="007B7067"/>
    <w:rsid w:val="007B762A"/>
    <w:rsid w:val="007B7916"/>
    <w:rsid w:val="007B7CA1"/>
    <w:rsid w:val="007B7E9A"/>
    <w:rsid w:val="007B7EE0"/>
    <w:rsid w:val="007C000E"/>
    <w:rsid w:val="007C03D2"/>
    <w:rsid w:val="007C1564"/>
    <w:rsid w:val="007C184E"/>
    <w:rsid w:val="007C187C"/>
    <w:rsid w:val="007C1999"/>
    <w:rsid w:val="007C2111"/>
    <w:rsid w:val="007C21E8"/>
    <w:rsid w:val="007C22D8"/>
    <w:rsid w:val="007C264A"/>
    <w:rsid w:val="007C27D9"/>
    <w:rsid w:val="007C295E"/>
    <w:rsid w:val="007C3AF6"/>
    <w:rsid w:val="007C3C58"/>
    <w:rsid w:val="007C464C"/>
    <w:rsid w:val="007C4696"/>
    <w:rsid w:val="007C472A"/>
    <w:rsid w:val="007C4E1C"/>
    <w:rsid w:val="007C5882"/>
    <w:rsid w:val="007C596F"/>
    <w:rsid w:val="007C59EC"/>
    <w:rsid w:val="007C5CD8"/>
    <w:rsid w:val="007C5CE6"/>
    <w:rsid w:val="007C6101"/>
    <w:rsid w:val="007C64DA"/>
    <w:rsid w:val="007C72AE"/>
    <w:rsid w:val="007C76C3"/>
    <w:rsid w:val="007C76EC"/>
    <w:rsid w:val="007C7756"/>
    <w:rsid w:val="007C77FF"/>
    <w:rsid w:val="007C7D74"/>
    <w:rsid w:val="007C7D83"/>
    <w:rsid w:val="007D0072"/>
    <w:rsid w:val="007D042B"/>
    <w:rsid w:val="007D049E"/>
    <w:rsid w:val="007D0748"/>
    <w:rsid w:val="007D1226"/>
    <w:rsid w:val="007D14C2"/>
    <w:rsid w:val="007D16CA"/>
    <w:rsid w:val="007D1CD3"/>
    <w:rsid w:val="007D1D62"/>
    <w:rsid w:val="007D26F9"/>
    <w:rsid w:val="007D2E1E"/>
    <w:rsid w:val="007D2F49"/>
    <w:rsid w:val="007D324C"/>
    <w:rsid w:val="007D3278"/>
    <w:rsid w:val="007D374A"/>
    <w:rsid w:val="007D45B2"/>
    <w:rsid w:val="007D4710"/>
    <w:rsid w:val="007D4D59"/>
    <w:rsid w:val="007D4FE5"/>
    <w:rsid w:val="007D52D5"/>
    <w:rsid w:val="007D5D8E"/>
    <w:rsid w:val="007D61A1"/>
    <w:rsid w:val="007D673A"/>
    <w:rsid w:val="007D695F"/>
    <w:rsid w:val="007D6999"/>
    <w:rsid w:val="007D6E67"/>
    <w:rsid w:val="007D6F8E"/>
    <w:rsid w:val="007E022C"/>
    <w:rsid w:val="007E0522"/>
    <w:rsid w:val="007E0532"/>
    <w:rsid w:val="007E06D8"/>
    <w:rsid w:val="007E0BFD"/>
    <w:rsid w:val="007E0CB4"/>
    <w:rsid w:val="007E10DB"/>
    <w:rsid w:val="007E170E"/>
    <w:rsid w:val="007E2047"/>
    <w:rsid w:val="007E20ED"/>
    <w:rsid w:val="007E2A00"/>
    <w:rsid w:val="007E2BD4"/>
    <w:rsid w:val="007E3013"/>
    <w:rsid w:val="007E30BB"/>
    <w:rsid w:val="007E364C"/>
    <w:rsid w:val="007E36D6"/>
    <w:rsid w:val="007E385B"/>
    <w:rsid w:val="007E38F9"/>
    <w:rsid w:val="007E3A30"/>
    <w:rsid w:val="007E3FF3"/>
    <w:rsid w:val="007E40D0"/>
    <w:rsid w:val="007E4721"/>
    <w:rsid w:val="007E48BE"/>
    <w:rsid w:val="007E4C5A"/>
    <w:rsid w:val="007E4CA5"/>
    <w:rsid w:val="007E4DF3"/>
    <w:rsid w:val="007E5958"/>
    <w:rsid w:val="007E5B12"/>
    <w:rsid w:val="007E5B89"/>
    <w:rsid w:val="007E65C9"/>
    <w:rsid w:val="007E6C38"/>
    <w:rsid w:val="007E7170"/>
    <w:rsid w:val="007E74B0"/>
    <w:rsid w:val="007E7D44"/>
    <w:rsid w:val="007F02C3"/>
    <w:rsid w:val="007F03E4"/>
    <w:rsid w:val="007F0620"/>
    <w:rsid w:val="007F0A1D"/>
    <w:rsid w:val="007F100F"/>
    <w:rsid w:val="007F11F0"/>
    <w:rsid w:val="007F1258"/>
    <w:rsid w:val="007F1787"/>
    <w:rsid w:val="007F1E54"/>
    <w:rsid w:val="007F22F2"/>
    <w:rsid w:val="007F2468"/>
    <w:rsid w:val="007F33D3"/>
    <w:rsid w:val="007F3E58"/>
    <w:rsid w:val="007F3ED7"/>
    <w:rsid w:val="007F5643"/>
    <w:rsid w:val="007F5689"/>
    <w:rsid w:val="007F6552"/>
    <w:rsid w:val="007F67EF"/>
    <w:rsid w:val="007F68FB"/>
    <w:rsid w:val="007F69A6"/>
    <w:rsid w:val="007F6F15"/>
    <w:rsid w:val="007F70BE"/>
    <w:rsid w:val="007F7237"/>
    <w:rsid w:val="007F738E"/>
    <w:rsid w:val="00800057"/>
    <w:rsid w:val="00800CA5"/>
    <w:rsid w:val="0080168E"/>
    <w:rsid w:val="00801845"/>
    <w:rsid w:val="00801921"/>
    <w:rsid w:val="00801999"/>
    <w:rsid w:val="00801E7D"/>
    <w:rsid w:val="00801F00"/>
    <w:rsid w:val="00801F4E"/>
    <w:rsid w:val="00802866"/>
    <w:rsid w:val="00802BF3"/>
    <w:rsid w:val="00802C17"/>
    <w:rsid w:val="00803524"/>
    <w:rsid w:val="00803B1D"/>
    <w:rsid w:val="00803B60"/>
    <w:rsid w:val="00803CB7"/>
    <w:rsid w:val="00804DB7"/>
    <w:rsid w:val="00805397"/>
    <w:rsid w:val="008053BE"/>
    <w:rsid w:val="008054BE"/>
    <w:rsid w:val="008055AF"/>
    <w:rsid w:val="00805A36"/>
    <w:rsid w:val="00805F01"/>
    <w:rsid w:val="0080666A"/>
    <w:rsid w:val="008068B2"/>
    <w:rsid w:val="00806CB7"/>
    <w:rsid w:val="00806D00"/>
    <w:rsid w:val="00806D22"/>
    <w:rsid w:val="00807BFB"/>
    <w:rsid w:val="00807F94"/>
    <w:rsid w:val="008103AA"/>
    <w:rsid w:val="008107C9"/>
    <w:rsid w:val="00810836"/>
    <w:rsid w:val="008109DE"/>
    <w:rsid w:val="00810B78"/>
    <w:rsid w:val="00810D94"/>
    <w:rsid w:val="00811A8E"/>
    <w:rsid w:val="008122E8"/>
    <w:rsid w:val="008129CE"/>
    <w:rsid w:val="00812EBC"/>
    <w:rsid w:val="00813077"/>
    <w:rsid w:val="008133D6"/>
    <w:rsid w:val="00813565"/>
    <w:rsid w:val="00813DE2"/>
    <w:rsid w:val="00814284"/>
    <w:rsid w:val="008142F1"/>
    <w:rsid w:val="008148E3"/>
    <w:rsid w:val="008149B1"/>
    <w:rsid w:val="00814B8B"/>
    <w:rsid w:val="00814DDC"/>
    <w:rsid w:val="00814F76"/>
    <w:rsid w:val="008152C6"/>
    <w:rsid w:val="0081548A"/>
    <w:rsid w:val="008155E7"/>
    <w:rsid w:val="008157E8"/>
    <w:rsid w:val="00815906"/>
    <w:rsid w:val="0081591B"/>
    <w:rsid w:val="00815BC5"/>
    <w:rsid w:val="00815E43"/>
    <w:rsid w:val="00816061"/>
    <w:rsid w:val="00816D26"/>
    <w:rsid w:val="00817833"/>
    <w:rsid w:val="00817DF7"/>
    <w:rsid w:val="00820617"/>
    <w:rsid w:val="00820967"/>
    <w:rsid w:val="00820C3C"/>
    <w:rsid w:val="00820D36"/>
    <w:rsid w:val="0082178B"/>
    <w:rsid w:val="00821D40"/>
    <w:rsid w:val="00822060"/>
    <w:rsid w:val="0082301A"/>
    <w:rsid w:val="00823FDB"/>
    <w:rsid w:val="008245ED"/>
    <w:rsid w:val="008251ED"/>
    <w:rsid w:val="00825712"/>
    <w:rsid w:val="00825808"/>
    <w:rsid w:val="0082617B"/>
    <w:rsid w:val="008263F2"/>
    <w:rsid w:val="008263FC"/>
    <w:rsid w:val="00826B0B"/>
    <w:rsid w:val="00826D16"/>
    <w:rsid w:val="00827239"/>
    <w:rsid w:val="00827FEA"/>
    <w:rsid w:val="008301D4"/>
    <w:rsid w:val="008305CB"/>
    <w:rsid w:val="008307A8"/>
    <w:rsid w:val="00830ABE"/>
    <w:rsid w:val="008314DD"/>
    <w:rsid w:val="0083162A"/>
    <w:rsid w:val="00831E58"/>
    <w:rsid w:val="008320A0"/>
    <w:rsid w:val="00832194"/>
    <w:rsid w:val="00832A73"/>
    <w:rsid w:val="00832A9D"/>
    <w:rsid w:val="00832E2C"/>
    <w:rsid w:val="00833330"/>
    <w:rsid w:val="008334D5"/>
    <w:rsid w:val="008339C3"/>
    <w:rsid w:val="00833DD5"/>
    <w:rsid w:val="00833E5B"/>
    <w:rsid w:val="00834C9E"/>
    <w:rsid w:val="00834F85"/>
    <w:rsid w:val="00835126"/>
    <w:rsid w:val="00835780"/>
    <w:rsid w:val="00835D78"/>
    <w:rsid w:val="008365F0"/>
    <w:rsid w:val="00836653"/>
    <w:rsid w:val="008367D2"/>
    <w:rsid w:val="00836D57"/>
    <w:rsid w:val="0083717E"/>
    <w:rsid w:val="00837599"/>
    <w:rsid w:val="008379A8"/>
    <w:rsid w:val="00837D08"/>
    <w:rsid w:val="00840B28"/>
    <w:rsid w:val="00840BEA"/>
    <w:rsid w:val="00840DCE"/>
    <w:rsid w:val="00842A8E"/>
    <w:rsid w:val="0084405A"/>
    <w:rsid w:val="00844206"/>
    <w:rsid w:val="00844285"/>
    <w:rsid w:val="00844AA3"/>
    <w:rsid w:val="00844B9B"/>
    <w:rsid w:val="00844E48"/>
    <w:rsid w:val="008455B3"/>
    <w:rsid w:val="008455EB"/>
    <w:rsid w:val="0084565C"/>
    <w:rsid w:val="0084570A"/>
    <w:rsid w:val="00845A64"/>
    <w:rsid w:val="00845F8A"/>
    <w:rsid w:val="00846509"/>
    <w:rsid w:val="0084661B"/>
    <w:rsid w:val="00846CD0"/>
    <w:rsid w:val="00846E47"/>
    <w:rsid w:val="00847194"/>
    <w:rsid w:val="0084745C"/>
    <w:rsid w:val="0084770B"/>
    <w:rsid w:val="00847DE1"/>
    <w:rsid w:val="00847F7E"/>
    <w:rsid w:val="0085005A"/>
    <w:rsid w:val="008504F5"/>
    <w:rsid w:val="00850544"/>
    <w:rsid w:val="00850784"/>
    <w:rsid w:val="00850F08"/>
    <w:rsid w:val="00850FC5"/>
    <w:rsid w:val="0085126F"/>
    <w:rsid w:val="008512C8"/>
    <w:rsid w:val="008513BA"/>
    <w:rsid w:val="008517E7"/>
    <w:rsid w:val="00851B2B"/>
    <w:rsid w:val="008534E5"/>
    <w:rsid w:val="008536DD"/>
    <w:rsid w:val="008537C3"/>
    <w:rsid w:val="00853890"/>
    <w:rsid w:val="008545F4"/>
    <w:rsid w:val="00854B6D"/>
    <w:rsid w:val="00854FC8"/>
    <w:rsid w:val="008555EF"/>
    <w:rsid w:val="00855FF4"/>
    <w:rsid w:val="008560C2"/>
    <w:rsid w:val="008563E3"/>
    <w:rsid w:val="008564E7"/>
    <w:rsid w:val="008565A2"/>
    <w:rsid w:val="00856C93"/>
    <w:rsid w:val="0085743E"/>
    <w:rsid w:val="0085750A"/>
    <w:rsid w:val="0085779E"/>
    <w:rsid w:val="00857A9E"/>
    <w:rsid w:val="00857F61"/>
    <w:rsid w:val="008604D4"/>
    <w:rsid w:val="0086054B"/>
    <w:rsid w:val="00860EF8"/>
    <w:rsid w:val="00861DAB"/>
    <w:rsid w:val="00861DD7"/>
    <w:rsid w:val="0086235F"/>
    <w:rsid w:val="00862371"/>
    <w:rsid w:val="0086240C"/>
    <w:rsid w:val="00862451"/>
    <w:rsid w:val="008627AF"/>
    <w:rsid w:val="00862BC7"/>
    <w:rsid w:val="00863353"/>
    <w:rsid w:val="00863667"/>
    <w:rsid w:val="00863ADE"/>
    <w:rsid w:val="00863F07"/>
    <w:rsid w:val="0086418D"/>
    <w:rsid w:val="008641F0"/>
    <w:rsid w:val="008648C8"/>
    <w:rsid w:val="00864C9C"/>
    <w:rsid w:val="0086536B"/>
    <w:rsid w:val="0086593D"/>
    <w:rsid w:val="00865956"/>
    <w:rsid w:val="0086599C"/>
    <w:rsid w:val="008665D6"/>
    <w:rsid w:val="008666F7"/>
    <w:rsid w:val="008674AF"/>
    <w:rsid w:val="00867797"/>
    <w:rsid w:val="0086796C"/>
    <w:rsid w:val="00867AA2"/>
    <w:rsid w:val="00867AEF"/>
    <w:rsid w:val="00867F54"/>
    <w:rsid w:val="00867F63"/>
    <w:rsid w:val="00870588"/>
    <w:rsid w:val="00870776"/>
    <w:rsid w:val="00870968"/>
    <w:rsid w:val="00870BC5"/>
    <w:rsid w:val="00870D75"/>
    <w:rsid w:val="00871440"/>
    <w:rsid w:val="0087167F"/>
    <w:rsid w:val="008717C1"/>
    <w:rsid w:val="0087183F"/>
    <w:rsid w:val="0087196B"/>
    <w:rsid w:val="00871B7A"/>
    <w:rsid w:val="00871F5C"/>
    <w:rsid w:val="008720DD"/>
    <w:rsid w:val="00872612"/>
    <w:rsid w:val="0087270A"/>
    <w:rsid w:val="00872BE1"/>
    <w:rsid w:val="008730B0"/>
    <w:rsid w:val="008730DE"/>
    <w:rsid w:val="0087363C"/>
    <w:rsid w:val="008738E3"/>
    <w:rsid w:val="008740D7"/>
    <w:rsid w:val="00874CDF"/>
    <w:rsid w:val="00874F89"/>
    <w:rsid w:val="0087519C"/>
    <w:rsid w:val="0087560C"/>
    <w:rsid w:val="00875B0D"/>
    <w:rsid w:val="00875EE5"/>
    <w:rsid w:val="00876A3A"/>
    <w:rsid w:val="00876F27"/>
    <w:rsid w:val="00877C83"/>
    <w:rsid w:val="008805B8"/>
    <w:rsid w:val="00880E52"/>
    <w:rsid w:val="00880F21"/>
    <w:rsid w:val="00881465"/>
    <w:rsid w:val="0088184E"/>
    <w:rsid w:val="0088193F"/>
    <w:rsid w:val="00881C76"/>
    <w:rsid w:val="00881E9D"/>
    <w:rsid w:val="008824B0"/>
    <w:rsid w:val="008834FE"/>
    <w:rsid w:val="008836BB"/>
    <w:rsid w:val="008838C6"/>
    <w:rsid w:val="00884148"/>
    <w:rsid w:val="008844CD"/>
    <w:rsid w:val="00884516"/>
    <w:rsid w:val="0088460B"/>
    <w:rsid w:val="00884AA3"/>
    <w:rsid w:val="00884BBC"/>
    <w:rsid w:val="00885180"/>
    <w:rsid w:val="00886655"/>
    <w:rsid w:val="00886BA4"/>
    <w:rsid w:val="00886C65"/>
    <w:rsid w:val="00886CF8"/>
    <w:rsid w:val="00886D44"/>
    <w:rsid w:val="008870E1"/>
    <w:rsid w:val="008872A9"/>
    <w:rsid w:val="00887730"/>
    <w:rsid w:val="00887845"/>
    <w:rsid w:val="008878D1"/>
    <w:rsid w:val="0089072B"/>
    <w:rsid w:val="00890885"/>
    <w:rsid w:val="00890C81"/>
    <w:rsid w:val="00890CF3"/>
    <w:rsid w:val="00891578"/>
    <w:rsid w:val="0089179F"/>
    <w:rsid w:val="0089189B"/>
    <w:rsid w:val="0089249E"/>
    <w:rsid w:val="0089292A"/>
    <w:rsid w:val="00892D97"/>
    <w:rsid w:val="00892E78"/>
    <w:rsid w:val="00892EA9"/>
    <w:rsid w:val="00893063"/>
    <w:rsid w:val="00893213"/>
    <w:rsid w:val="00893660"/>
    <w:rsid w:val="00893A25"/>
    <w:rsid w:val="00893B59"/>
    <w:rsid w:val="00893D1D"/>
    <w:rsid w:val="0089430B"/>
    <w:rsid w:val="008944D6"/>
    <w:rsid w:val="00894C1A"/>
    <w:rsid w:val="00895045"/>
    <w:rsid w:val="00895782"/>
    <w:rsid w:val="008963C9"/>
    <w:rsid w:val="00896425"/>
    <w:rsid w:val="0089692D"/>
    <w:rsid w:val="00896BD6"/>
    <w:rsid w:val="00897844"/>
    <w:rsid w:val="00897864"/>
    <w:rsid w:val="00897A2B"/>
    <w:rsid w:val="008A0229"/>
    <w:rsid w:val="008A02AE"/>
    <w:rsid w:val="008A0DD0"/>
    <w:rsid w:val="008A0DE6"/>
    <w:rsid w:val="008A167D"/>
    <w:rsid w:val="008A1B0C"/>
    <w:rsid w:val="008A24A2"/>
    <w:rsid w:val="008A24FC"/>
    <w:rsid w:val="008A258C"/>
    <w:rsid w:val="008A2627"/>
    <w:rsid w:val="008A281B"/>
    <w:rsid w:val="008A2A73"/>
    <w:rsid w:val="008A2BB2"/>
    <w:rsid w:val="008A3411"/>
    <w:rsid w:val="008A3C07"/>
    <w:rsid w:val="008A42AC"/>
    <w:rsid w:val="008A4789"/>
    <w:rsid w:val="008A554A"/>
    <w:rsid w:val="008A5C9B"/>
    <w:rsid w:val="008A5D04"/>
    <w:rsid w:val="008A5DEC"/>
    <w:rsid w:val="008A6589"/>
    <w:rsid w:val="008A677F"/>
    <w:rsid w:val="008A74D6"/>
    <w:rsid w:val="008A7659"/>
    <w:rsid w:val="008B00F6"/>
    <w:rsid w:val="008B0CC7"/>
    <w:rsid w:val="008B1A05"/>
    <w:rsid w:val="008B1B10"/>
    <w:rsid w:val="008B2342"/>
    <w:rsid w:val="008B26CD"/>
    <w:rsid w:val="008B31B0"/>
    <w:rsid w:val="008B32FD"/>
    <w:rsid w:val="008B357C"/>
    <w:rsid w:val="008B36CC"/>
    <w:rsid w:val="008B429F"/>
    <w:rsid w:val="008B45A0"/>
    <w:rsid w:val="008B4850"/>
    <w:rsid w:val="008B50FD"/>
    <w:rsid w:val="008B5320"/>
    <w:rsid w:val="008B56AB"/>
    <w:rsid w:val="008B58BC"/>
    <w:rsid w:val="008B5913"/>
    <w:rsid w:val="008B5989"/>
    <w:rsid w:val="008B686E"/>
    <w:rsid w:val="008B691F"/>
    <w:rsid w:val="008B6B1A"/>
    <w:rsid w:val="008B719C"/>
    <w:rsid w:val="008B7267"/>
    <w:rsid w:val="008B73C2"/>
    <w:rsid w:val="008B74AE"/>
    <w:rsid w:val="008B7968"/>
    <w:rsid w:val="008B7D75"/>
    <w:rsid w:val="008B7F03"/>
    <w:rsid w:val="008C0105"/>
    <w:rsid w:val="008C03F1"/>
    <w:rsid w:val="008C141D"/>
    <w:rsid w:val="008C146F"/>
    <w:rsid w:val="008C1588"/>
    <w:rsid w:val="008C24D1"/>
    <w:rsid w:val="008C257E"/>
    <w:rsid w:val="008C2635"/>
    <w:rsid w:val="008C291E"/>
    <w:rsid w:val="008C2CC3"/>
    <w:rsid w:val="008C32BF"/>
    <w:rsid w:val="008C3531"/>
    <w:rsid w:val="008C38D6"/>
    <w:rsid w:val="008C3F60"/>
    <w:rsid w:val="008C4048"/>
    <w:rsid w:val="008C453C"/>
    <w:rsid w:val="008C5530"/>
    <w:rsid w:val="008C56C7"/>
    <w:rsid w:val="008C58F7"/>
    <w:rsid w:val="008C596F"/>
    <w:rsid w:val="008C5C89"/>
    <w:rsid w:val="008C617B"/>
    <w:rsid w:val="008C6395"/>
    <w:rsid w:val="008C65F5"/>
    <w:rsid w:val="008C6B0C"/>
    <w:rsid w:val="008C6C88"/>
    <w:rsid w:val="008C6D5C"/>
    <w:rsid w:val="008C6FB8"/>
    <w:rsid w:val="008C74A0"/>
    <w:rsid w:val="008C7AE7"/>
    <w:rsid w:val="008C7E8C"/>
    <w:rsid w:val="008D0848"/>
    <w:rsid w:val="008D09DD"/>
    <w:rsid w:val="008D0ABD"/>
    <w:rsid w:val="008D0CE6"/>
    <w:rsid w:val="008D0E30"/>
    <w:rsid w:val="008D17D4"/>
    <w:rsid w:val="008D26D8"/>
    <w:rsid w:val="008D287C"/>
    <w:rsid w:val="008D313A"/>
    <w:rsid w:val="008D40BE"/>
    <w:rsid w:val="008D462E"/>
    <w:rsid w:val="008D4A14"/>
    <w:rsid w:val="008D4B23"/>
    <w:rsid w:val="008D4EE8"/>
    <w:rsid w:val="008D4EF4"/>
    <w:rsid w:val="008D599B"/>
    <w:rsid w:val="008D59EB"/>
    <w:rsid w:val="008D5B45"/>
    <w:rsid w:val="008D5B6E"/>
    <w:rsid w:val="008D6947"/>
    <w:rsid w:val="008D7908"/>
    <w:rsid w:val="008D7A22"/>
    <w:rsid w:val="008D7EED"/>
    <w:rsid w:val="008E00A1"/>
    <w:rsid w:val="008E06DC"/>
    <w:rsid w:val="008E088E"/>
    <w:rsid w:val="008E0E13"/>
    <w:rsid w:val="008E1C82"/>
    <w:rsid w:val="008E1DD5"/>
    <w:rsid w:val="008E1E0F"/>
    <w:rsid w:val="008E1E7F"/>
    <w:rsid w:val="008E22F4"/>
    <w:rsid w:val="008E2487"/>
    <w:rsid w:val="008E277D"/>
    <w:rsid w:val="008E2D44"/>
    <w:rsid w:val="008E2F34"/>
    <w:rsid w:val="008E334A"/>
    <w:rsid w:val="008E3674"/>
    <w:rsid w:val="008E3D3A"/>
    <w:rsid w:val="008E3F2E"/>
    <w:rsid w:val="008E4434"/>
    <w:rsid w:val="008E4B61"/>
    <w:rsid w:val="008E521B"/>
    <w:rsid w:val="008E5453"/>
    <w:rsid w:val="008E57A2"/>
    <w:rsid w:val="008E5B1C"/>
    <w:rsid w:val="008E5D4F"/>
    <w:rsid w:val="008E678D"/>
    <w:rsid w:val="008E6E83"/>
    <w:rsid w:val="008E7761"/>
    <w:rsid w:val="008E7AFF"/>
    <w:rsid w:val="008E7DEC"/>
    <w:rsid w:val="008E7ED0"/>
    <w:rsid w:val="008F024B"/>
    <w:rsid w:val="008F029B"/>
    <w:rsid w:val="008F091D"/>
    <w:rsid w:val="008F0E7A"/>
    <w:rsid w:val="008F0F12"/>
    <w:rsid w:val="008F1210"/>
    <w:rsid w:val="008F127C"/>
    <w:rsid w:val="008F1764"/>
    <w:rsid w:val="008F1877"/>
    <w:rsid w:val="008F1B8A"/>
    <w:rsid w:val="008F260D"/>
    <w:rsid w:val="008F2CF6"/>
    <w:rsid w:val="008F30F3"/>
    <w:rsid w:val="008F3450"/>
    <w:rsid w:val="008F3A29"/>
    <w:rsid w:val="008F3A8D"/>
    <w:rsid w:val="008F3E52"/>
    <w:rsid w:val="008F411B"/>
    <w:rsid w:val="008F435A"/>
    <w:rsid w:val="008F47AD"/>
    <w:rsid w:val="008F49D6"/>
    <w:rsid w:val="008F50FA"/>
    <w:rsid w:val="008F5B3D"/>
    <w:rsid w:val="008F5DC8"/>
    <w:rsid w:val="008F5F8D"/>
    <w:rsid w:val="008F611B"/>
    <w:rsid w:val="008F66C5"/>
    <w:rsid w:val="008F6EB2"/>
    <w:rsid w:val="008F720E"/>
    <w:rsid w:val="008F7390"/>
    <w:rsid w:val="008F743C"/>
    <w:rsid w:val="008F770E"/>
    <w:rsid w:val="008F77F1"/>
    <w:rsid w:val="008F7F2C"/>
    <w:rsid w:val="00900A03"/>
    <w:rsid w:val="00900CF0"/>
    <w:rsid w:val="00901292"/>
    <w:rsid w:val="009018C8"/>
    <w:rsid w:val="00901A34"/>
    <w:rsid w:val="00901A8D"/>
    <w:rsid w:val="00901C69"/>
    <w:rsid w:val="00901FFB"/>
    <w:rsid w:val="00902C2A"/>
    <w:rsid w:val="00902E5F"/>
    <w:rsid w:val="00902EEE"/>
    <w:rsid w:val="00903290"/>
    <w:rsid w:val="00903340"/>
    <w:rsid w:val="00903500"/>
    <w:rsid w:val="0090384B"/>
    <w:rsid w:val="00903CE0"/>
    <w:rsid w:val="00903E0C"/>
    <w:rsid w:val="00903FB3"/>
    <w:rsid w:val="00904214"/>
    <w:rsid w:val="00904B54"/>
    <w:rsid w:val="0090588E"/>
    <w:rsid w:val="009063A2"/>
    <w:rsid w:val="009067D0"/>
    <w:rsid w:val="00906967"/>
    <w:rsid w:val="009070D7"/>
    <w:rsid w:val="0090761F"/>
    <w:rsid w:val="009079CB"/>
    <w:rsid w:val="00907B0D"/>
    <w:rsid w:val="00907DCD"/>
    <w:rsid w:val="00910721"/>
    <w:rsid w:val="009108C7"/>
    <w:rsid w:val="009113C0"/>
    <w:rsid w:val="00911400"/>
    <w:rsid w:val="00911667"/>
    <w:rsid w:val="009118AE"/>
    <w:rsid w:val="00911BB9"/>
    <w:rsid w:val="00911D44"/>
    <w:rsid w:val="00911E3B"/>
    <w:rsid w:val="00911F77"/>
    <w:rsid w:val="009122C0"/>
    <w:rsid w:val="00912306"/>
    <w:rsid w:val="0091243D"/>
    <w:rsid w:val="009124FD"/>
    <w:rsid w:val="009126EA"/>
    <w:rsid w:val="00912FE9"/>
    <w:rsid w:val="009132CD"/>
    <w:rsid w:val="009136B3"/>
    <w:rsid w:val="00913768"/>
    <w:rsid w:val="00913E69"/>
    <w:rsid w:val="009141ED"/>
    <w:rsid w:val="00914253"/>
    <w:rsid w:val="00914A34"/>
    <w:rsid w:val="00914FF1"/>
    <w:rsid w:val="0091578C"/>
    <w:rsid w:val="00915969"/>
    <w:rsid w:val="00915E59"/>
    <w:rsid w:val="00916220"/>
    <w:rsid w:val="009162DB"/>
    <w:rsid w:val="0091635D"/>
    <w:rsid w:val="00916C57"/>
    <w:rsid w:val="00916D76"/>
    <w:rsid w:val="00917267"/>
    <w:rsid w:val="00917488"/>
    <w:rsid w:val="00917C6D"/>
    <w:rsid w:val="00917C94"/>
    <w:rsid w:val="00920527"/>
    <w:rsid w:val="00920562"/>
    <w:rsid w:val="00920697"/>
    <w:rsid w:val="00920C51"/>
    <w:rsid w:val="00921066"/>
    <w:rsid w:val="00921120"/>
    <w:rsid w:val="00921395"/>
    <w:rsid w:val="009213A8"/>
    <w:rsid w:val="00921528"/>
    <w:rsid w:val="00921572"/>
    <w:rsid w:val="009222D4"/>
    <w:rsid w:val="00922379"/>
    <w:rsid w:val="00922FDB"/>
    <w:rsid w:val="009231C1"/>
    <w:rsid w:val="00923664"/>
    <w:rsid w:val="009238A6"/>
    <w:rsid w:val="009238F6"/>
    <w:rsid w:val="009239C9"/>
    <w:rsid w:val="00923B18"/>
    <w:rsid w:val="00923EB2"/>
    <w:rsid w:val="00924083"/>
    <w:rsid w:val="00924413"/>
    <w:rsid w:val="009244E2"/>
    <w:rsid w:val="00924613"/>
    <w:rsid w:val="00924C22"/>
    <w:rsid w:val="00924E52"/>
    <w:rsid w:val="00924F91"/>
    <w:rsid w:val="009254C6"/>
    <w:rsid w:val="0092592E"/>
    <w:rsid w:val="00925EDE"/>
    <w:rsid w:val="00926210"/>
    <w:rsid w:val="0092627B"/>
    <w:rsid w:val="009269A2"/>
    <w:rsid w:val="00926B68"/>
    <w:rsid w:val="00926DD1"/>
    <w:rsid w:val="00926FCB"/>
    <w:rsid w:val="00927BA6"/>
    <w:rsid w:val="00927EF0"/>
    <w:rsid w:val="009303E3"/>
    <w:rsid w:val="00930759"/>
    <w:rsid w:val="009308D2"/>
    <w:rsid w:val="00931293"/>
    <w:rsid w:val="00931ED7"/>
    <w:rsid w:val="00932216"/>
    <w:rsid w:val="009328A0"/>
    <w:rsid w:val="009329BD"/>
    <w:rsid w:val="00932B08"/>
    <w:rsid w:val="00932CE6"/>
    <w:rsid w:val="00932E09"/>
    <w:rsid w:val="00932FB2"/>
    <w:rsid w:val="009330E7"/>
    <w:rsid w:val="0093354D"/>
    <w:rsid w:val="00933583"/>
    <w:rsid w:val="0093360B"/>
    <w:rsid w:val="00933BDA"/>
    <w:rsid w:val="00934059"/>
    <w:rsid w:val="009341D2"/>
    <w:rsid w:val="0093444C"/>
    <w:rsid w:val="00934F60"/>
    <w:rsid w:val="00935371"/>
    <w:rsid w:val="009354C1"/>
    <w:rsid w:val="009354FD"/>
    <w:rsid w:val="00935D51"/>
    <w:rsid w:val="00935FEF"/>
    <w:rsid w:val="009360EA"/>
    <w:rsid w:val="00936276"/>
    <w:rsid w:val="009364F7"/>
    <w:rsid w:val="009366F3"/>
    <w:rsid w:val="00936CBD"/>
    <w:rsid w:val="00936FE2"/>
    <w:rsid w:val="009376D8"/>
    <w:rsid w:val="00937B30"/>
    <w:rsid w:val="009409C0"/>
    <w:rsid w:val="0094155F"/>
    <w:rsid w:val="0094201F"/>
    <w:rsid w:val="00942036"/>
    <w:rsid w:val="00942539"/>
    <w:rsid w:val="009432C4"/>
    <w:rsid w:val="00944049"/>
    <w:rsid w:val="009444C8"/>
    <w:rsid w:val="00944B5D"/>
    <w:rsid w:val="00944EE4"/>
    <w:rsid w:val="009451A6"/>
    <w:rsid w:val="00945316"/>
    <w:rsid w:val="00945B83"/>
    <w:rsid w:val="00945C63"/>
    <w:rsid w:val="009460D7"/>
    <w:rsid w:val="0094628A"/>
    <w:rsid w:val="009467D1"/>
    <w:rsid w:val="00947353"/>
    <w:rsid w:val="00947F44"/>
    <w:rsid w:val="009502FF"/>
    <w:rsid w:val="0095049D"/>
    <w:rsid w:val="00950AD2"/>
    <w:rsid w:val="00950D86"/>
    <w:rsid w:val="00950E31"/>
    <w:rsid w:val="009512AA"/>
    <w:rsid w:val="00951431"/>
    <w:rsid w:val="00951D6B"/>
    <w:rsid w:val="00951EC2"/>
    <w:rsid w:val="00951EF3"/>
    <w:rsid w:val="00951F6C"/>
    <w:rsid w:val="00951FEE"/>
    <w:rsid w:val="00952308"/>
    <w:rsid w:val="0095239F"/>
    <w:rsid w:val="00952FE9"/>
    <w:rsid w:val="00953257"/>
    <w:rsid w:val="009533DF"/>
    <w:rsid w:val="00953540"/>
    <w:rsid w:val="009535E7"/>
    <w:rsid w:val="009537EC"/>
    <w:rsid w:val="00953A73"/>
    <w:rsid w:val="00954155"/>
    <w:rsid w:val="0095419E"/>
    <w:rsid w:val="009547DF"/>
    <w:rsid w:val="0095512A"/>
    <w:rsid w:val="009559C9"/>
    <w:rsid w:val="00955C1F"/>
    <w:rsid w:val="009563F6"/>
    <w:rsid w:val="009567E2"/>
    <w:rsid w:val="00956A38"/>
    <w:rsid w:val="00956E4D"/>
    <w:rsid w:val="009570BD"/>
    <w:rsid w:val="0095717A"/>
    <w:rsid w:val="00957419"/>
    <w:rsid w:val="00957448"/>
    <w:rsid w:val="009574ED"/>
    <w:rsid w:val="00957E22"/>
    <w:rsid w:val="00960263"/>
    <w:rsid w:val="00960586"/>
    <w:rsid w:val="009605F1"/>
    <w:rsid w:val="00960AD5"/>
    <w:rsid w:val="009612D4"/>
    <w:rsid w:val="00961ABA"/>
    <w:rsid w:val="00961CE7"/>
    <w:rsid w:val="00961CFE"/>
    <w:rsid w:val="009621D2"/>
    <w:rsid w:val="009623E8"/>
    <w:rsid w:val="0096243E"/>
    <w:rsid w:val="00962AA3"/>
    <w:rsid w:val="00962AE4"/>
    <w:rsid w:val="00962D26"/>
    <w:rsid w:val="00963289"/>
    <w:rsid w:val="009634A6"/>
    <w:rsid w:val="009641F5"/>
    <w:rsid w:val="009642E9"/>
    <w:rsid w:val="009643CB"/>
    <w:rsid w:val="009643F9"/>
    <w:rsid w:val="009645E8"/>
    <w:rsid w:val="00964898"/>
    <w:rsid w:val="00964B72"/>
    <w:rsid w:val="00964E67"/>
    <w:rsid w:val="009653B4"/>
    <w:rsid w:val="009657E7"/>
    <w:rsid w:val="00965956"/>
    <w:rsid w:val="00965AF8"/>
    <w:rsid w:val="00965C5C"/>
    <w:rsid w:val="009660A0"/>
    <w:rsid w:val="009660DD"/>
    <w:rsid w:val="00966108"/>
    <w:rsid w:val="0096612E"/>
    <w:rsid w:val="009662D6"/>
    <w:rsid w:val="00966310"/>
    <w:rsid w:val="00966AC2"/>
    <w:rsid w:val="00966FFD"/>
    <w:rsid w:val="00967239"/>
    <w:rsid w:val="00970C8B"/>
    <w:rsid w:val="00970D0C"/>
    <w:rsid w:val="00971380"/>
    <w:rsid w:val="00971911"/>
    <w:rsid w:val="00972704"/>
    <w:rsid w:val="009727DD"/>
    <w:rsid w:val="0097288E"/>
    <w:rsid w:val="009728C2"/>
    <w:rsid w:val="009730B5"/>
    <w:rsid w:val="00973881"/>
    <w:rsid w:val="009739BD"/>
    <w:rsid w:val="009739C7"/>
    <w:rsid w:val="009751F2"/>
    <w:rsid w:val="009755B4"/>
    <w:rsid w:val="00975732"/>
    <w:rsid w:val="00975A21"/>
    <w:rsid w:val="00975C6D"/>
    <w:rsid w:val="00976315"/>
    <w:rsid w:val="00977178"/>
    <w:rsid w:val="009771F2"/>
    <w:rsid w:val="0097746B"/>
    <w:rsid w:val="009776C2"/>
    <w:rsid w:val="00977B14"/>
    <w:rsid w:val="009801CF"/>
    <w:rsid w:val="00980349"/>
    <w:rsid w:val="00980459"/>
    <w:rsid w:val="0098052B"/>
    <w:rsid w:val="00980CB1"/>
    <w:rsid w:val="00980E98"/>
    <w:rsid w:val="00980E9E"/>
    <w:rsid w:val="00981181"/>
    <w:rsid w:val="00981362"/>
    <w:rsid w:val="00981A64"/>
    <w:rsid w:val="00981B4A"/>
    <w:rsid w:val="00981DE7"/>
    <w:rsid w:val="009821EB"/>
    <w:rsid w:val="00982448"/>
    <w:rsid w:val="009824CE"/>
    <w:rsid w:val="0098335F"/>
    <w:rsid w:val="009834CF"/>
    <w:rsid w:val="0098388D"/>
    <w:rsid w:val="009839C4"/>
    <w:rsid w:val="00985656"/>
    <w:rsid w:val="00985DC9"/>
    <w:rsid w:val="00985E22"/>
    <w:rsid w:val="00986184"/>
    <w:rsid w:val="0098620E"/>
    <w:rsid w:val="00986210"/>
    <w:rsid w:val="0098642C"/>
    <w:rsid w:val="009865AA"/>
    <w:rsid w:val="0098699F"/>
    <w:rsid w:val="00986B6C"/>
    <w:rsid w:val="00986D7E"/>
    <w:rsid w:val="00987193"/>
    <w:rsid w:val="0098745F"/>
    <w:rsid w:val="00987704"/>
    <w:rsid w:val="009877D2"/>
    <w:rsid w:val="009878BF"/>
    <w:rsid w:val="009879C6"/>
    <w:rsid w:val="00987BAD"/>
    <w:rsid w:val="009900BD"/>
    <w:rsid w:val="0099022F"/>
    <w:rsid w:val="00990549"/>
    <w:rsid w:val="00990717"/>
    <w:rsid w:val="00990D3C"/>
    <w:rsid w:val="009911FC"/>
    <w:rsid w:val="009916C6"/>
    <w:rsid w:val="0099170E"/>
    <w:rsid w:val="0099184E"/>
    <w:rsid w:val="00991ADF"/>
    <w:rsid w:val="0099212A"/>
    <w:rsid w:val="00992500"/>
    <w:rsid w:val="00992F27"/>
    <w:rsid w:val="00992FEC"/>
    <w:rsid w:val="0099349D"/>
    <w:rsid w:val="00993A1A"/>
    <w:rsid w:val="00993D3F"/>
    <w:rsid w:val="00993F09"/>
    <w:rsid w:val="009943D7"/>
    <w:rsid w:val="00994620"/>
    <w:rsid w:val="00995795"/>
    <w:rsid w:val="00995DF9"/>
    <w:rsid w:val="009961C3"/>
    <w:rsid w:val="00996456"/>
    <w:rsid w:val="009970E0"/>
    <w:rsid w:val="009978EC"/>
    <w:rsid w:val="00997C75"/>
    <w:rsid w:val="00997D30"/>
    <w:rsid w:val="009A0097"/>
    <w:rsid w:val="009A020C"/>
    <w:rsid w:val="009A0A6A"/>
    <w:rsid w:val="009A0C8A"/>
    <w:rsid w:val="009A0D96"/>
    <w:rsid w:val="009A0E4E"/>
    <w:rsid w:val="009A1030"/>
    <w:rsid w:val="009A13B3"/>
    <w:rsid w:val="009A1641"/>
    <w:rsid w:val="009A1D4E"/>
    <w:rsid w:val="009A1E0A"/>
    <w:rsid w:val="009A20FF"/>
    <w:rsid w:val="009A3160"/>
    <w:rsid w:val="009A3406"/>
    <w:rsid w:val="009A3A0E"/>
    <w:rsid w:val="009A3C97"/>
    <w:rsid w:val="009A41D7"/>
    <w:rsid w:val="009A41EA"/>
    <w:rsid w:val="009A4617"/>
    <w:rsid w:val="009A4C59"/>
    <w:rsid w:val="009A50C8"/>
    <w:rsid w:val="009A55EE"/>
    <w:rsid w:val="009A5D88"/>
    <w:rsid w:val="009A6A76"/>
    <w:rsid w:val="009A6FDC"/>
    <w:rsid w:val="009A7032"/>
    <w:rsid w:val="009A7205"/>
    <w:rsid w:val="009A7605"/>
    <w:rsid w:val="009A7B6F"/>
    <w:rsid w:val="009A7CA5"/>
    <w:rsid w:val="009A7ED4"/>
    <w:rsid w:val="009B04D8"/>
    <w:rsid w:val="009B0C57"/>
    <w:rsid w:val="009B0CA7"/>
    <w:rsid w:val="009B0E5E"/>
    <w:rsid w:val="009B10A9"/>
    <w:rsid w:val="009B1414"/>
    <w:rsid w:val="009B1714"/>
    <w:rsid w:val="009B1EAB"/>
    <w:rsid w:val="009B2270"/>
    <w:rsid w:val="009B27B5"/>
    <w:rsid w:val="009B2B11"/>
    <w:rsid w:val="009B324F"/>
    <w:rsid w:val="009B329B"/>
    <w:rsid w:val="009B36C4"/>
    <w:rsid w:val="009B3894"/>
    <w:rsid w:val="009B3CED"/>
    <w:rsid w:val="009B3F8C"/>
    <w:rsid w:val="009B4045"/>
    <w:rsid w:val="009B4A56"/>
    <w:rsid w:val="009B4C4E"/>
    <w:rsid w:val="009B5087"/>
    <w:rsid w:val="009B52B8"/>
    <w:rsid w:val="009B5AD4"/>
    <w:rsid w:val="009B5B7F"/>
    <w:rsid w:val="009B61B9"/>
    <w:rsid w:val="009B665E"/>
    <w:rsid w:val="009B6E51"/>
    <w:rsid w:val="009B7594"/>
    <w:rsid w:val="009B763E"/>
    <w:rsid w:val="009B7EA2"/>
    <w:rsid w:val="009C005B"/>
    <w:rsid w:val="009C0538"/>
    <w:rsid w:val="009C07E2"/>
    <w:rsid w:val="009C0CAF"/>
    <w:rsid w:val="009C119D"/>
    <w:rsid w:val="009C18D5"/>
    <w:rsid w:val="009C1A92"/>
    <w:rsid w:val="009C1C71"/>
    <w:rsid w:val="009C1DBB"/>
    <w:rsid w:val="009C1F5D"/>
    <w:rsid w:val="009C23C5"/>
    <w:rsid w:val="009C277E"/>
    <w:rsid w:val="009C29C3"/>
    <w:rsid w:val="009C337D"/>
    <w:rsid w:val="009C338B"/>
    <w:rsid w:val="009C3ACE"/>
    <w:rsid w:val="009C3CBC"/>
    <w:rsid w:val="009C3E65"/>
    <w:rsid w:val="009C496A"/>
    <w:rsid w:val="009C4B93"/>
    <w:rsid w:val="009C500B"/>
    <w:rsid w:val="009C5CB4"/>
    <w:rsid w:val="009C6630"/>
    <w:rsid w:val="009C6C43"/>
    <w:rsid w:val="009C71A7"/>
    <w:rsid w:val="009C730B"/>
    <w:rsid w:val="009C7669"/>
    <w:rsid w:val="009C779F"/>
    <w:rsid w:val="009C77B1"/>
    <w:rsid w:val="009C7A72"/>
    <w:rsid w:val="009C7F8A"/>
    <w:rsid w:val="009D049C"/>
    <w:rsid w:val="009D0B10"/>
    <w:rsid w:val="009D0CFC"/>
    <w:rsid w:val="009D0F0C"/>
    <w:rsid w:val="009D149B"/>
    <w:rsid w:val="009D16EA"/>
    <w:rsid w:val="009D1744"/>
    <w:rsid w:val="009D2458"/>
    <w:rsid w:val="009D2905"/>
    <w:rsid w:val="009D2AFF"/>
    <w:rsid w:val="009D3880"/>
    <w:rsid w:val="009D38A1"/>
    <w:rsid w:val="009D3BE3"/>
    <w:rsid w:val="009D415B"/>
    <w:rsid w:val="009D4CE7"/>
    <w:rsid w:val="009D4F6B"/>
    <w:rsid w:val="009D5151"/>
    <w:rsid w:val="009D5372"/>
    <w:rsid w:val="009D5ED3"/>
    <w:rsid w:val="009D5FCE"/>
    <w:rsid w:val="009D6192"/>
    <w:rsid w:val="009D6B03"/>
    <w:rsid w:val="009D6FE6"/>
    <w:rsid w:val="009D73E1"/>
    <w:rsid w:val="009D74C1"/>
    <w:rsid w:val="009D75BC"/>
    <w:rsid w:val="009D7685"/>
    <w:rsid w:val="009D7725"/>
    <w:rsid w:val="009D7894"/>
    <w:rsid w:val="009D7DE9"/>
    <w:rsid w:val="009E00FE"/>
    <w:rsid w:val="009E0952"/>
    <w:rsid w:val="009E098B"/>
    <w:rsid w:val="009E0D0E"/>
    <w:rsid w:val="009E0DD3"/>
    <w:rsid w:val="009E0F6D"/>
    <w:rsid w:val="009E15B0"/>
    <w:rsid w:val="009E1B5B"/>
    <w:rsid w:val="009E20BD"/>
    <w:rsid w:val="009E24A9"/>
    <w:rsid w:val="009E2A1A"/>
    <w:rsid w:val="009E2B97"/>
    <w:rsid w:val="009E2CB3"/>
    <w:rsid w:val="009E2D3B"/>
    <w:rsid w:val="009E2F1C"/>
    <w:rsid w:val="009E3BE7"/>
    <w:rsid w:val="009E3F59"/>
    <w:rsid w:val="009E42C0"/>
    <w:rsid w:val="009E484F"/>
    <w:rsid w:val="009E623C"/>
    <w:rsid w:val="009E70F5"/>
    <w:rsid w:val="009E74BC"/>
    <w:rsid w:val="009E7EBB"/>
    <w:rsid w:val="009E7FFB"/>
    <w:rsid w:val="009F037C"/>
    <w:rsid w:val="009F0645"/>
    <w:rsid w:val="009F082C"/>
    <w:rsid w:val="009F129E"/>
    <w:rsid w:val="009F1920"/>
    <w:rsid w:val="009F19E2"/>
    <w:rsid w:val="009F1C70"/>
    <w:rsid w:val="009F2672"/>
    <w:rsid w:val="009F2B80"/>
    <w:rsid w:val="009F2E16"/>
    <w:rsid w:val="009F2E6D"/>
    <w:rsid w:val="009F3084"/>
    <w:rsid w:val="009F3177"/>
    <w:rsid w:val="009F36F2"/>
    <w:rsid w:val="009F3CAE"/>
    <w:rsid w:val="009F4DB2"/>
    <w:rsid w:val="009F4E89"/>
    <w:rsid w:val="009F51A8"/>
    <w:rsid w:val="009F584A"/>
    <w:rsid w:val="009F589B"/>
    <w:rsid w:val="009F58A4"/>
    <w:rsid w:val="009F5E1E"/>
    <w:rsid w:val="009F5FD7"/>
    <w:rsid w:val="009F6CD8"/>
    <w:rsid w:val="009F6F06"/>
    <w:rsid w:val="009F6F10"/>
    <w:rsid w:val="009F6F17"/>
    <w:rsid w:val="009F7673"/>
    <w:rsid w:val="009F7BD2"/>
    <w:rsid w:val="00A00010"/>
    <w:rsid w:val="00A001D1"/>
    <w:rsid w:val="00A003E3"/>
    <w:rsid w:val="00A00BB4"/>
    <w:rsid w:val="00A00CD5"/>
    <w:rsid w:val="00A01076"/>
    <w:rsid w:val="00A01873"/>
    <w:rsid w:val="00A01A8B"/>
    <w:rsid w:val="00A01C0F"/>
    <w:rsid w:val="00A01C21"/>
    <w:rsid w:val="00A01F8D"/>
    <w:rsid w:val="00A022EF"/>
    <w:rsid w:val="00A02557"/>
    <w:rsid w:val="00A0260C"/>
    <w:rsid w:val="00A02681"/>
    <w:rsid w:val="00A02E30"/>
    <w:rsid w:val="00A03248"/>
    <w:rsid w:val="00A03724"/>
    <w:rsid w:val="00A044AF"/>
    <w:rsid w:val="00A0489F"/>
    <w:rsid w:val="00A04AD5"/>
    <w:rsid w:val="00A0546D"/>
    <w:rsid w:val="00A0586A"/>
    <w:rsid w:val="00A060B4"/>
    <w:rsid w:val="00A0655D"/>
    <w:rsid w:val="00A066AE"/>
    <w:rsid w:val="00A06B5F"/>
    <w:rsid w:val="00A06DF8"/>
    <w:rsid w:val="00A07216"/>
    <w:rsid w:val="00A072DB"/>
    <w:rsid w:val="00A0739C"/>
    <w:rsid w:val="00A0750F"/>
    <w:rsid w:val="00A076AC"/>
    <w:rsid w:val="00A07804"/>
    <w:rsid w:val="00A07EA3"/>
    <w:rsid w:val="00A103B5"/>
    <w:rsid w:val="00A10724"/>
    <w:rsid w:val="00A10993"/>
    <w:rsid w:val="00A1099D"/>
    <w:rsid w:val="00A109DA"/>
    <w:rsid w:val="00A10E2F"/>
    <w:rsid w:val="00A10F77"/>
    <w:rsid w:val="00A11044"/>
    <w:rsid w:val="00A1125F"/>
    <w:rsid w:val="00A112AB"/>
    <w:rsid w:val="00A11553"/>
    <w:rsid w:val="00A117F0"/>
    <w:rsid w:val="00A11B9F"/>
    <w:rsid w:val="00A11BCA"/>
    <w:rsid w:val="00A11BFE"/>
    <w:rsid w:val="00A11F50"/>
    <w:rsid w:val="00A11F7F"/>
    <w:rsid w:val="00A1219B"/>
    <w:rsid w:val="00A12744"/>
    <w:rsid w:val="00A127CF"/>
    <w:rsid w:val="00A129DA"/>
    <w:rsid w:val="00A12EA7"/>
    <w:rsid w:val="00A130E8"/>
    <w:rsid w:val="00A131E5"/>
    <w:rsid w:val="00A13A59"/>
    <w:rsid w:val="00A13FB2"/>
    <w:rsid w:val="00A13FE7"/>
    <w:rsid w:val="00A14034"/>
    <w:rsid w:val="00A1434B"/>
    <w:rsid w:val="00A14720"/>
    <w:rsid w:val="00A1498A"/>
    <w:rsid w:val="00A1567C"/>
    <w:rsid w:val="00A168A9"/>
    <w:rsid w:val="00A1742A"/>
    <w:rsid w:val="00A1756F"/>
    <w:rsid w:val="00A17593"/>
    <w:rsid w:val="00A175BD"/>
    <w:rsid w:val="00A17A28"/>
    <w:rsid w:val="00A17D13"/>
    <w:rsid w:val="00A20330"/>
    <w:rsid w:val="00A204B7"/>
    <w:rsid w:val="00A2053B"/>
    <w:rsid w:val="00A20C25"/>
    <w:rsid w:val="00A21899"/>
    <w:rsid w:val="00A21C60"/>
    <w:rsid w:val="00A220C9"/>
    <w:rsid w:val="00A22595"/>
    <w:rsid w:val="00A23115"/>
    <w:rsid w:val="00A23305"/>
    <w:rsid w:val="00A24ABD"/>
    <w:rsid w:val="00A25C08"/>
    <w:rsid w:val="00A26199"/>
    <w:rsid w:val="00A26283"/>
    <w:rsid w:val="00A27849"/>
    <w:rsid w:val="00A279A8"/>
    <w:rsid w:val="00A27A6F"/>
    <w:rsid w:val="00A27F13"/>
    <w:rsid w:val="00A3031A"/>
    <w:rsid w:val="00A30686"/>
    <w:rsid w:val="00A30831"/>
    <w:rsid w:val="00A30C4E"/>
    <w:rsid w:val="00A30ECC"/>
    <w:rsid w:val="00A30ED9"/>
    <w:rsid w:val="00A31241"/>
    <w:rsid w:val="00A3148E"/>
    <w:rsid w:val="00A3212E"/>
    <w:rsid w:val="00A3258C"/>
    <w:rsid w:val="00A32A0F"/>
    <w:rsid w:val="00A32A19"/>
    <w:rsid w:val="00A32A41"/>
    <w:rsid w:val="00A32EA4"/>
    <w:rsid w:val="00A32EC2"/>
    <w:rsid w:val="00A33226"/>
    <w:rsid w:val="00A3356D"/>
    <w:rsid w:val="00A33AA5"/>
    <w:rsid w:val="00A33C05"/>
    <w:rsid w:val="00A33D5D"/>
    <w:rsid w:val="00A33D6C"/>
    <w:rsid w:val="00A33EAB"/>
    <w:rsid w:val="00A3403F"/>
    <w:rsid w:val="00A3409F"/>
    <w:rsid w:val="00A3443E"/>
    <w:rsid w:val="00A34AEC"/>
    <w:rsid w:val="00A34F31"/>
    <w:rsid w:val="00A35053"/>
    <w:rsid w:val="00A35246"/>
    <w:rsid w:val="00A35D88"/>
    <w:rsid w:val="00A35F83"/>
    <w:rsid w:val="00A3618B"/>
    <w:rsid w:val="00A364B9"/>
    <w:rsid w:val="00A36EEF"/>
    <w:rsid w:val="00A36F27"/>
    <w:rsid w:val="00A3782B"/>
    <w:rsid w:val="00A37AA1"/>
    <w:rsid w:val="00A37F1D"/>
    <w:rsid w:val="00A403C6"/>
    <w:rsid w:val="00A403DD"/>
    <w:rsid w:val="00A40483"/>
    <w:rsid w:val="00A40F42"/>
    <w:rsid w:val="00A40F8D"/>
    <w:rsid w:val="00A410CB"/>
    <w:rsid w:val="00A41465"/>
    <w:rsid w:val="00A41735"/>
    <w:rsid w:val="00A421B0"/>
    <w:rsid w:val="00A426A0"/>
    <w:rsid w:val="00A42A9B"/>
    <w:rsid w:val="00A43012"/>
    <w:rsid w:val="00A43162"/>
    <w:rsid w:val="00A4328A"/>
    <w:rsid w:val="00A4351D"/>
    <w:rsid w:val="00A43B32"/>
    <w:rsid w:val="00A43B81"/>
    <w:rsid w:val="00A43C22"/>
    <w:rsid w:val="00A44418"/>
    <w:rsid w:val="00A44FD4"/>
    <w:rsid w:val="00A45B48"/>
    <w:rsid w:val="00A45CE8"/>
    <w:rsid w:val="00A4628B"/>
    <w:rsid w:val="00A4658C"/>
    <w:rsid w:val="00A467E9"/>
    <w:rsid w:val="00A47B4B"/>
    <w:rsid w:val="00A50227"/>
    <w:rsid w:val="00A503BA"/>
    <w:rsid w:val="00A5047B"/>
    <w:rsid w:val="00A50B8E"/>
    <w:rsid w:val="00A51D31"/>
    <w:rsid w:val="00A520E3"/>
    <w:rsid w:val="00A52655"/>
    <w:rsid w:val="00A52F8A"/>
    <w:rsid w:val="00A53840"/>
    <w:rsid w:val="00A53A0F"/>
    <w:rsid w:val="00A53C4E"/>
    <w:rsid w:val="00A53C68"/>
    <w:rsid w:val="00A53FBB"/>
    <w:rsid w:val="00A54805"/>
    <w:rsid w:val="00A55104"/>
    <w:rsid w:val="00A55436"/>
    <w:rsid w:val="00A55635"/>
    <w:rsid w:val="00A55810"/>
    <w:rsid w:val="00A55D9E"/>
    <w:rsid w:val="00A56019"/>
    <w:rsid w:val="00A56C41"/>
    <w:rsid w:val="00A5740F"/>
    <w:rsid w:val="00A5742A"/>
    <w:rsid w:val="00A57496"/>
    <w:rsid w:val="00A575F4"/>
    <w:rsid w:val="00A57719"/>
    <w:rsid w:val="00A577AF"/>
    <w:rsid w:val="00A57970"/>
    <w:rsid w:val="00A57A39"/>
    <w:rsid w:val="00A57DBA"/>
    <w:rsid w:val="00A57F82"/>
    <w:rsid w:val="00A6115E"/>
    <w:rsid w:val="00A615D8"/>
    <w:rsid w:val="00A617E6"/>
    <w:rsid w:val="00A62378"/>
    <w:rsid w:val="00A626CE"/>
    <w:rsid w:val="00A632A7"/>
    <w:rsid w:val="00A636A4"/>
    <w:rsid w:val="00A63AF1"/>
    <w:rsid w:val="00A63D1C"/>
    <w:rsid w:val="00A646B6"/>
    <w:rsid w:val="00A654EB"/>
    <w:rsid w:val="00A658F4"/>
    <w:rsid w:val="00A6604B"/>
    <w:rsid w:val="00A66B45"/>
    <w:rsid w:val="00A6706A"/>
    <w:rsid w:val="00A67D02"/>
    <w:rsid w:val="00A67D58"/>
    <w:rsid w:val="00A703B7"/>
    <w:rsid w:val="00A7063D"/>
    <w:rsid w:val="00A7078F"/>
    <w:rsid w:val="00A713DC"/>
    <w:rsid w:val="00A71448"/>
    <w:rsid w:val="00A718B3"/>
    <w:rsid w:val="00A71BAD"/>
    <w:rsid w:val="00A721CA"/>
    <w:rsid w:val="00A72967"/>
    <w:rsid w:val="00A72EB3"/>
    <w:rsid w:val="00A7302B"/>
    <w:rsid w:val="00A738B6"/>
    <w:rsid w:val="00A73AFE"/>
    <w:rsid w:val="00A73E8F"/>
    <w:rsid w:val="00A74147"/>
    <w:rsid w:val="00A746E5"/>
    <w:rsid w:val="00A74B62"/>
    <w:rsid w:val="00A74D7F"/>
    <w:rsid w:val="00A7516E"/>
    <w:rsid w:val="00A75B74"/>
    <w:rsid w:val="00A75D66"/>
    <w:rsid w:val="00A75FA0"/>
    <w:rsid w:val="00A76277"/>
    <w:rsid w:val="00A7658F"/>
    <w:rsid w:val="00A768B6"/>
    <w:rsid w:val="00A769E2"/>
    <w:rsid w:val="00A76DCB"/>
    <w:rsid w:val="00A76FA9"/>
    <w:rsid w:val="00A7716B"/>
    <w:rsid w:val="00A77242"/>
    <w:rsid w:val="00A776B9"/>
    <w:rsid w:val="00A779EF"/>
    <w:rsid w:val="00A77BD8"/>
    <w:rsid w:val="00A81443"/>
    <w:rsid w:val="00A818D4"/>
    <w:rsid w:val="00A81D95"/>
    <w:rsid w:val="00A8212A"/>
    <w:rsid w:val="00A8246E"/>
    <w:rsid w:val="00A825AD"/>
    <w:rsid w:val="00A8285E"/>
    <w:rsid w:val="00A83820"/>
    <w:rsid w:val="00A83AD0"/>
    <w:rsid w:val="00A83CC7"/>
    <w:rsid w:val="00A83CDF"/>
    <w:rsid w:val="00A83FCC"/>
    <w:rsid w:val="00A842E1"/>
    <w:rsid w:val="00A84C43"/>
    <w:rsid w:val="00A84EC4"/>
    <w:rsid w:val="00A851DD"/>
    <w:rsid w:val="00A853D0"/>
    <w:rsid w:val="00A855CE"/>
    <w:rsid w:val="00A85AD3"/>
    <w:rsid w:val="00A86557"/>
    <w:rsid w:val="00A86667"/>
    <w:rsid w:val="00A86C18"/>
    <w:rsid w:val="00A86DDA"/>
    <w:rsid w:val="00A876B0"/>
    <w:rsid w:val="00A876DD"/>
    <w:rsid w:val="00A877A5"/>
    <w:rsid w:val="00A8797F"/>
    <w:rsid w:val="00A87F74"/>
    <w:rsid w:val="00A90058"/>
    <w:rsid w:val="00A90436"/>
    <w:rsid w:val="00A908E8"/>
    <w:rsid w:val="00A9090A"/>
    <w:rsid w:val="00A90D71"/>
    <w:rsid w:val="00A90EF4"/>
    <w:rsid w:val="00A91D33"/>
    <w:rsid w:val="00A91FD2"/>
    <w:rsid w:val="00A92025"/>
    <w:rsid w:val="00A92629"/>
    <w:rsid w:val="00A92B6C"/>
    <w:rsid w:val="00A93281"/>
    <w:rsid w:val="00A93341"/>
    <w:rsid w:val="00A93D3B"/>
    <w:rsid w:val="00A93FAE"/>
    <w:rsid w:val="00A94C48"/>
    <w:rsid w:val="00A94D0C"/>
    <w:rsid w:val="00A95446"/>
    <w:rsid w:val="00A95702"/>
    <w:rsid w:val="00A95915"/>
    <w:rsid w:val="00A95A9A"/>
    <w:rsid w:val="00A95FC5"/>
    <w:rsid w:val="00A96741"/>
    <w:rsid w:val="00A96B80"/>
    <w:rsid w:val="00A97848"/>
    <w:rsid w:val="00A97919"/>
    <w:rsid w:val="00A979BB"/>
    <w:rsid w:val="00A97B47"/>
    <w:rsid w:val="00A97CEC"/>
    <w:rsid w:val="00A97E66"/>
    <w:rsid w:val="00AA02B8"/>
    <w:rsid w:val="00AA1236"/>
    <w:rsid w:val="00AA1442"/>
    <w:rsid w:val="00AA2A65"/>
    <w:rsid w:val="00AA31F1"/>
    <w:rsid w:val="00AA33CF"/>
    <w:rsid w:val="00AA3503"/>
    <w:rsid w:val="00AA380A"/>
    <w:rsid w:val="00AA3CEC"/>
    <w:rsid w:val="00AA40D5"/>
    <w:rsid w:val="00AA4468"/>
    <w:rsid w:val="00AA46CA"/>
    <w:rsid w:val="00AA474A"/>
    <w:rsid w:val="00AA4926"/>
    <w:rsid w:val="00AA49F0"/>
    <w:rsid w:val="00AA505D"/>
    <w:rsid w:val="00AA544D"/>
    <w:rsid w:val="00AA61A3"/>
    <w:rsid w:val="00AA68C9"/>
    <w:rsid w:val="00AA6B5A"/>
    <w:rsid w:val="00AA6E6D"/>
    <w:rsid w:val="00AA7622"/>
    <w:rsid w:val="00AA76B5"/>
    <w:rsid w:val="00AA77D8"/>
    <w:rsid w:val="00AA785F"/>
    <w:rsid w:val="00AA7FAB"/>
    <w:rsid w:val="00AB06CD"/>
    <w:rsid w:val="00AB1521"/>
    <w:rsid w:val="00AB1555"/>
    <w:rsid w:val="00AB1812"/>
    <w:rsid w:val="00AB19DA"/>
    <w:rsid w:val="00AB1CAC"/>
    <w:rsid w:val="00AB1FC8"/>
    <w:rsid w:val="00AB200D"/>
    <w:rsid w:val="00AB28B9"/>
    <w:rsid w:val="00AB28C2"/>
    <w:rsid w:val="00AB2921"/>
    <w:rsid w:val="00AB2D90"/>
    <w:rsid w:val="00AB3423"/>
    <w:rsid w:val="00AB354F"/>
    <w:rsid w:val="00AB35A4"/>
    <w:rsid w:val="00AB4351"/>
    <w:rsid w:val="00AB487E"/>
    <w:rsid w:val="00AB49B0"/>
    <w:rsid w:val="00AB5BF9"/>
    <w:rsid w:val="00AB5CBC"/>
    <w:rsid w:val="00AB625F"/>
    <w:rsid w:val="00AB65D1"/>
    <w:rsid w:val="00AB6626"/>
    <w:rsid w:val="00AB66F1"/>
    <w:rsid w:val="00AB68F3"/>
    <w:rsid w:val="00AB698A"/>
    <w:rsid w:val="00AB6A0B"/>
    <w:rsid w:val="00AB6C40"/>
    <w:rsid w:val="00AB6DFF"/>
    <w:rsid w:val="00AB7314"/>
    <w:rsid w:val="00AB7417"/>
    <w:rsid w:val="00AB77DD"/>
    <w:rsid w:val="00AC03CF"/>
    <w:rsid w:val="00AC0797"/>
    <w:rsid w:val="00AC0866"/>
    <w:rsid w:val="00AC1013"/>
    <w:rsid w:val="00AC1146"/>
    <w:rsid w:val="00AC1C13"/>
    <w:rsid w:val="00AC2467"/>
    <w:rsid w:val="00AC2D22"/>
    <w:rsid w:val="00AC3504"/>
    <w:rsid w:val="00AC37BF"/>
    <w:rsid w:val="00AC3853"/>
    <w:rsid w:val="00AC4419"/>
    <w:rsid w:val="00AC48BF"/>
    <w:rsid w:val="00AC5D61"/>
    <w:rsid w:val="00AC779A"/>
    <w:rsid w:val="00AC7893"/>
    <w:rsid w:val="00AC7923"/>
    <w:rsid w:val="00AC7D72"/>
    <w:rsid w:val="00AD04F4"/>
    <w:rsid w:val="00AD050B"/>
    <w:rsid w:val="00AD0EA7"/>
    <w:rsid w:val="00AD1546"/>
    <w:rsid w:val="00AD1561"/>
    <w:rsid w:val="00AD1AF3"/>
    <w:rsid w:val="00AD1F37"/>
    <w:rsid w:val="00AD25AB"/>
    <w:rsid w:val="00AD280F"/>
    <w:rsid w:val="00AD2A98"/>
    <w:rsid w:val="00AD2BDE"/>
    <w:rsid w:val="00AD311A"/>
    <w:rsid w:val="00AD3352"/>
    <w:rsid w:val="00AD346C"/>
    <w:rsid w:val="00AD386F"/>
    <w:rsid w:val="00AD4325"/>
    <w:rsid w:val="00AD5125"/>
    <w:rsid w:val="00AD558A"/>
    <w:rsid w:val="00AD58DE"/>
    <w:rsid w:val="00AD6484"/>
    <w:rsid w:val="00AD7173"/>
    <w:rsid w:val="00AD7338"/>
    <w:rsid w:val="00AD73AC"/>
    <w:rsid w:val="00AD7460"/>
    <w:rsid w:val="00AD7CB9"/>
    <w:rsid w:val="00AE0358"/>
    <w:rsid w:val="00AE0BD6"/>
    <w:rsid w:val="00AE0FC1"/>
    <w:rsid w:val="00AE17FD"/>
    <w:rsid w:val="00AE1AB3"/>
    <w:rsid w:val="00AE224F"/>
    <w:rsid w:val="00AE24C8"/>
    <w:rsid w:val="00AE2729"/>
    <w:rsid w:val="00AE3A02"/>
    <w:rsid w:val="00AE3BA1"/>
    <w:rsid w:val="00AE3C61"/>
    <w:rsid w:val="00AE4383"/>
    <w:rsid w:val="00AE47D7"/>
    <w:rsid w:val="00AE4876"/>
    <w:rsid w:val="00AE4A31"/>
    <w:rsid w:val="00AE4BB6"/>
    <w:rsid w:val="00AE4D00"/>
    <w:rsid w:val="00AE4D3C"/>
    <w:rsid w:val="00AE50BA"/>
    <w:rsid w:val="00AE5156"/>
    <w:rsid w:val="00AE51EF"/>
    <w:rsid w:val="00AE544F"/>
    <w:rsid w:val="00AE55FB"/>
    <w:rsid w:val="00AE5745"/>
    <w:rsid w:val="00AE5FC9"/>
    <w:rsid w:val="00AE6058"/>
    <w:rsid w:val="00AE6F65"/>
    <w:rsid w:val="00AE7066"/>
    <w:rsid w:val="00AE7180"/>
    <w:rsid w:val="00AE75FE"/>
    <w:rsid w:val="00AE7AE9"/>
    <w:rsid w:val="00AE7BD3"/>
    <w:rsid w:val="00AE7D74"/>
    <w:rsid w:val="00AE7EC7"/>
    <w:rsid w:val="00AF03DD"/>
    <w:rsid w:val="00AF06F3"/>
    <w:rsid w:val="00AF0815"/>
    <w:rsid w:val="00AF0E07"/>
    <w:rsid w:val="00AF1302"/>
    <w:rsid w:val="00AF13EA"/>
    <w:rsid w:val="00AF18A0"/>
    <w:rsid w:val="00AF224A"/>
    <w:rsid w:val="00AF248E"/>
    <w:rsid w:val="00AF262D"/>
    <w:rsid w:val="00AF272A"/>
    <w:rsid w:val="00AF3003"/>
    <w:rsid w:val="00AF38FA"/>
    <w:rsid w:val="00AF39BC"/>
    <w:rsid w:val="00AF418A"/>
    <w:rsid w:val="00AF4745"/>
    <w:rsid w:val="00AF48E7"/>
    <w:rsid w:val="00AF53A9"/>
    <w:rsid w:val="00AF591D"/>
    <w:rsid w:val="00AF5AE3"/>
    <w:rsid w:val="00AF5C50"/>
    <w:rsid w:val="00AF6160"/>
    <w:rsid w:val="00AF6234"/>
    <w:rsid w:val="00AF679D"/>
    <w:rsid w:val="00AF6B2C"/>
    <w:rsid w:val="00AF6BE9"/>
    <w:rsid w:val="00AF6FD9"/>
    <w:rsid w:val="00AF70E0"/>
    <w:rsid w:val="00AF7370"/>
    <w:rsid w:val="00AF73EC"/>
    <w:rsid w:val="00AF7A48"/>
    <w:rsid w:val="00AF7B92"/>
    <w:rsid w:val="00AF7CD3"/>
    <w:rsid w:val="00B00269"/>
    <w:rsid w:val="00B0074F"/>
    <w:rsid w:val="00B00BD6"/>
    <w:rsid w:val="00B0116C"/>
    <w:rsid w:val="00B018B8"/>
    <w:rsid w:val="00B02AC0"/>
    <w:rsid w:val="00B02B13"/>
    <w:rsid w:val="00B03712"/>
    <w:rsid w:val="00B041AB"/>
    <w:rsid w:val="00B0459B"/>
    <w:rsid w:val="00B04CD4"/>
    <w:rsid w:val="00B04EAC"/>
    <w:rsid w:val="00B05029"/>
    <w:rsid w:val="00B0507A"/>
    <w:rsid w:val="00B054A6"/>
    <w:rsid w:val="00B05908"/>
    <w:rsid w:val="00B05AF0"/>
    <w:rsid w:val="00B05C85"/>
    <w:rsid w:val="00B05DBF"/>
    <w:rsid w:val="00B05E6C"/>
    <w:rsid w:val="00B06089"/>
    <w:rsid w:val="00B0646A"/>
    <w:rsid w:val="00B06CC0"/>
    <w:rsid w:val="00B06E28"/>
    <w:rsid w:val="00B06E9E"/>
    <w:rsid w:val="00B06FD9"/>
    <w:rsid w:val="00B07058"/>
    <w:rsid w:val="00B0737D"/>
    <w:rsid w:val="00B107C6"/>
    <w:rsid w:val="00B107DB"/>
    <w:rsid w:val="00B11A45"/>
    <w:rsid w:val="00B11B91"/>
    <w:rsid w:val="00B11C46"/>
    <w:rsid w:val="00B11DBC"/>
    <w:rsid w:val="00B12376"/>
    <w:rsid w:val="00B123FE"/>
    <w:rsid w:val="00B125AE"/>
    <w:rsid w:val="00B127F3"/>
    <w:rsid w:val="00B12A73"/>
    <w:rsid w:val="00B130CC"/>
    <w:rsid w:val="00B13186"/>
    <w:rsid w:val="00B13314"/>
    <w:rsid w:val="00B13456"/>
    <w:rsid w:val="00B13914"/>
    <w:rsid w:val="00B13F6B"/>
    <w:rsid w:val="00B143C7"/>
    <w:rsid w:val="00B143EE"/>
    <w:rsid w:val="00B14EEB"/>
    <w:rsid w:val="00B159B3"/>
    <w:rsid w:val="00B15A75"/>
    <w:rsid w:val="00B15CE1"/>
    <w:rsid w:val="00B168CB"/>
    <w:rsid w:val="00B1692E"/>
    <w:rsid w:val="00B16C80"/>
    <w:rsid w:val="00B16E23"/>
    <w:rsid w:val="00B1719A"/>
    <w:rsid w:val="00B171D0"/>
    <w:rsid w:val="00B17391"/>
    <w:rsid w:val="00B1759B"/>
    <w:rsid w:val="00B175EA"/>
    <w:rsid w:val="00B176AF"/>
    <w:rsid w:val="00B17934"/>
    <w:rsid w:val="00B17953"/>
    <w:rsid w:val="00B17A2A"/>
    <w:rsid w:val="00B17CF4"/>
    <w:rsid w:val="00B20371"/>
    <w:rsid w:val="00B20DF2"/>
    <w:rsid w:val="00B21756"/>
    <w:rsid w:val="00B21B64"/>
    <w:rsid w:val="00B21F07"/>
    <w:rsid w:val="00B21FEA"/>
    <w:rsid w:val="00B22188"/>
    <w:rsid w:val="00B22F52"/>
    <w:rsid w:val="00B230B5"/>
    <w:rsid w:val="00B231EF"/>
    <w:rsid w:val="00B2341C"/>
    <w:rsid w:val="00B23702"/>
    <w:rsid w:val="00B24334"/>
    <w:rsid w:val="00B2436B"/>
    <w:rsid w:val="00B24949"/>
    <w:rsid w:val="00B2494E"/>
    <w:rsid w:val="00B24A51"/>
    <w:rsid w:val="00B24CFD"/>
    <w:rsid w:val="00B254AA"/>
    <w:rsid w:val="00B25811"/>
    <w:rsid w:val="00B25A61"/>
    <w:rsid w:val="00B262F4"/>
    <w:rsid w:val="00B26549"/>
    <w:rsid w:val="00B26933"/>
    <w:rsid w:val="00B26E77"/>
    <w:rsid w:val="00B277BF"/>
    <w:rsid w:val="00B27E97"/>
    <w:rsid w:val="00B30470"/>
    <w:rsid w:val="00B30905"/>
    <w:rsid w:val="00B30AB5"/>
    <w:rsid w:val="00B30BFA"/>
    <w:rsid w:val="00B30C8E"/>
    <w:rsid w:val="00B30DB1"/>
    <w:rsid w:val="00B312C7"/>
    <w:rsid w:val="00B313A8"/>
    <w:rsid w:val="00B314DE"/>
    <w:rsid w:val="00B315CD"/>
    <w:rsid w:val="00B31A9D"/>
    <w:rsid w:val="00B323EC"/>
    <w:rsid w:val="00B3270E"/>
    <w:rsid w:val="00B3279E"/>
    <w:rsid w:val="00B32AD2"/>
    <w:rsid w:val="00B32BDD"/>
    <w:rsid w:val="00B32FAA"/>
    <w:rsid w:val="00B3324C"/>
    <w:rsid w:val="00B3333A"/>
    <w:rsid w:val="00B333F0"/>
    <w:rsid w:val="00B33607"/>
    <w:rsid w:val="00B336AB"/>
    <w:rsid w:val="00B33F8C"/>
    <w:rsid w:val="00B346BE"/>
    <w:rsid w:val="00B34B9A"/>
    <w:rsid w:val="00B34BF2"/>
    <w:rsid w:val="00B34CA1"/>
    <w:rsid w:val="00B35314"/>
    <w:rsid w:val="00B3574D"/>
    <w:rsid w:val="00B358A1"/>
    <w:rsid w:val="00B35E8E"/>
    <w:rsid w:val="00B36279"/>
    <w:rsid w:val="00B36AC4"/>
    <w:rsid w:val="00B3739E"/>
    <w:rsid w:val="00B37841"/>
    <w:rsid w:val="00B37946"/>
    <w:rsid w:val="00B40292"/>
    <w:rsid w:val="00B403FD"/>
    <w:rsid w:val="00B404FB"/>
    <w:rsid w:val="00B406C6"/>
    <w:rsid w:val="00B406FB"/>
    <w:rsid w:val="00B40A03"/>
    <w:rsid w:val="00B40B2C"/>
    <w:rsid w:val="00B40CD9"/>
    <w:rsid w:val="00B40DED"/>
    <w:rsid w:val="00B41203"/>
    <w:rsid w:val="00B4139A"/>
    <w:rsid w:val="00B4142E"/>
    <w:rsid w:val="00B4180C"/>
    <w:rsid w:val="00B41818"/>
    <w:rsid w:val="00B42A11"/>
    <w:rsid w:val="00B42F40"/>
    <w:rsid w:val="00B430D7"/>
    <w:rsid w:val="00B43341"/>
    <w:rsid w:val="00B436E9"/>
    <w:rsid w:val="00B43822"/>
    <w:rsid w:val="00B43CFD"/>
    <w:rsid w:val="00B43DC3"/>
    <w:rsid w:val="00B440D7"/>
    <w:rsid w:val="00B441C2"/>
    <w:rsid w:val="00B44373"/>
    <w:rsid w:val="00B44426"/>
    <w:rsid w:val="00B44A3C"/>
    <w:rsid w:val="00B45047"/>
    <w:rsid w:val="00B4522A"/>
    <w:rsid w:val="00B45999"/>
    <w:rsid w:val="00B45C05"/>
    <w:rsid w:val="00B4612B"/>
    <w:rsid w:val="00B46826"/>
    <w:rsid w:val="00B46918"/>
    <w:rsid w:val="00B469FC"/>
    <w:rsid w:val="00B46C2D"/>
    <w:rsid w:val="00B5123D"/>
    <w:rsid w:val="00B51858"/>
    <w:rsid w:val="00B51958"/>
    <w:rsid w:val="00B51BAF"/>
    <w:rsid w:val="00B5214D"/>
    <w:rsid w:val="00B522A8"/>
    <w:rsid w:val="00B52457"/>
    <w:rsid w:val="00B52690"/>
    <w:rsid w:val="00B5297C"/>
    <w:rsid w:val="00B52E13"/>
    <w:rsid w:val="00B537C5"/>
    <w:rsid w:val="00B539EF"/>
    <w:rsid w:val="00B53CA3"/>
    <w:rsid w:val="00B5443F"/>
    <w:rsid w:val="00B545D2"/>
    <w:rsid w:val="00B54741"/>
    <w:rsid w:val="00B54B23"/>
    <w:rsid w:val="00B54BF9"/>
    <w:rsid w:val="00B556FC"/>
    <w:rsid w:val="00B559D6"/>
    <w:rsid w:val="00B561ED"/>
    <w:rsid w:val="00B562C6"/>
    <w:rsid w:val="00B565A9"/>
    <w:rsid w:val="00B577A9"/>
    <w:rsid w:val="00B57B8C"/>
    <w:rsid w:val="00B57C91"/>
    <w:rsid w:val="00B60091"/>
    <w:rsid w:val="00B600C8"/>
    <w:rsid w:val="00B602F9"/>
    <w:rsid w:val="00B60454"/>
    <w:rsid w:val="00B60479"/>
    <w:rsid w:val="00B60AA6"/>
    <w:rsid w:val="00B60FB9"/>
    <w:rsid w:val="00B610D8"/>
    <w:rsid w:val="00B61643"/>
    <w:rsid w:val="00B617BA"/>
    <w:rsid w:val="00B61CE8"/>
    <w:rsid w:val="00B61DAD"/>
    <w:rsid w:val="00B62B0F"/>
    <w:rsid w:val="00B62BA3"/>
    <w:rsid w:val="00B62E5F"/>
    <w:rsid w:val="00B64038"/>
    <w:rsid w:val="00B646E8"/>
    <w:rsid w:val="00B6470A"/>
    <w:rsid w:val="00B647A8"/>
    <w:rsid w:val="00B648D2"/>
    <w:rsid w:val="00B65327"/>
    <w:rsid w:val="00B6567A"/>
    <w:rsid w:val="00B6568B"/>
    <w:rsid w:val="00B657C6"/>
    <w:rsid w:val="00B65895"/>
    <w:rsid w:val="00B6597E"/>
    <w:rsid w:val="00B65AF9"/>
    <w:rsid w:val="00B65EF0"/>
    <w:rsid w:val="00B66491"/>
    <w:rsid w:val="00B66666"/>
    <w:rsid w:val="00B66B03"/>
    <w:rsid w:val="00B66B8A"/>
    <w:rsid w:val="00B67033"/>
    <w:rsid w:val="00B671DA"/>
    <w:rsid w:val="00B6725B"/>
    <w:rsid w:val="00B67580"/>
    <w:rsid w:val="00B677DE"/>
    <w:rsid w:val="00B67E2D"/>
    <w:rsid w:val="00B67E92"/>
    <w:rsid w:val="00B703F1"/>
    <w:rsid w:val="00B705B2"/>
    <w:rsid w:val="00B709F7"/>
    <w:rsid w:val="00B70B72"/>
    <w:rsid w:val="00B70C33"/>
    <w:rsid w:val="00B70F5B"/>
    <w:rsid w:val="00B71A4F"/>
    <w:rsid w:val="00B71B6E"/>
    <w:rsid w:val="00B721F5"/>
    <w:rsid w:val="00B726BB"/>
    <w:rsid w:val="00B728B3"/>
    <w:rsid w:val="00B72920"/>
    <w:rsid w:val="00B72E4A"/>
    <w:rsid w:val="00B73D53"/>
    <w:rsid w:val="00B73D80"/>
    <w:rsid w:val="00B73E62"/>
    <w:rsid w:val="00B73EAE"/>
    <w:rsid w:val="00B741F9"/>
    <w:rsid w:val="00B74C88"/>
    <w:rsid w:val="00B754E2"/>
    <w:rsid w:val="00B754FF"/>
    <w:rsid w:val="00B758EF"/>
    <w:rsid w:val="00B75A24"/>
    <w:rsid w:val="00B75B30"/>
    <w:rsid w:val="00B75D44"/>
    <w:rsid w:val="00B762B4"/>
    <w:rsid w:val="00B76483"/>
    <w:rsid w:val="00B76546"/>
    <w:rsid w:val="00B7673C"/>
    <w:rsid w:val="00B76D49"/>
    <w:rsid w:val="00B76D6B"/>
    <w:rsid w:val="00B76E80"/>
    <w:rsid w:val="00B77104"/>
    <w:rsid w:val="00B77AE9"/>
    <w:rsid w:val="00B77B86"/>
    <w:rsid w:val="00B80120"/>
    <w:rsid w:val="00B8024F"/>
    <w:rsid w:val="00B80579"/>
    <w:rsid w:val="00B80F62"/>
    <w:rsid w:val="00B80FDD"/>
    <w:rsid w:val="00B811BF"/>
    <w:rsid w:val="00B81249"/>
    <w:rsid w:val="00B815D4"/>
    <w:rsid w:val="00B81C96"/>
    <w:rsid w:val="00B81DBD"/>
    <w:rsid w:val="00B81FCA"/>
    <w:rsid w:val="00B82408"/>
    <w:rsid w:val="00B82B8B"/>
    <w:rsid w:val="00B82FD6"/>
    <w:rsid w:val="00B83053"/>
    <w:rsid w:val="00B83250"/>
    <w:rsid w:val="00B83D4E"/>
    <w:rsid w:val="00B83F2B"/>
    <w:rsid w:val="00B840C6"/>
    <w:rsid w:val="00B84E0C"/>
    <w:rsid w:val="00B84F06"/>
    <w:rsid w:val="00B85196"/>
    <w:rsid w:val="00B852B2"/>
    <w:rsid w:val="00B85638"/>
    <w:rsid w:val="00B8581A"/>
    <w:rsid w:val="00B8597A"/>
    <w:rsid w:val="00B85984"/>
    <w:rsid w:val="00B85A06"/>
    <w:rsid w:val="00B85BF4"/>
    <w:rsid w:val="00B85E15"/>
    <w:rsid w:val="00B861AB"/>
    <w:rsid w:val="00B868B1"/>
    <w:rsid w:val="00B868E4"/>
    <w:rsid w:val="00B86968"/>
    <w:rsid w:val="00B86FCB"/>
    <w:rsid w:val="00B900C0"/>
    <w:rsid w:val="00B90C51"/>
    <w:rsid w:val="00B90E0A"/>
    <w:rsid w:val="00B9113F"/>
    <w:rsid w:val="00B91326"/>
    <w:rsid w:val="00B91BDB"/>
    <w:rsid w:val="00B93079"/>
    <w:rsid w:val="00B935F7"/>
    <w:rsid w:val="00B93A51"/>
    <w:rsid w:val="00B93A9F"/>
    <w:rsid w:val="00B93B12"/>
    <w:rsid w:val="00B93DA5"/>
    <w:rsid w:val="00B93F2F"/>
    <w:rsid w:val="00B943DE"/>
    <w:rsid w:val="00B947B9"/>
    <w:rsid w:val="00B94F69"/>
    <w:rsid w:val="00B94F7C"/>
    <w:rsid w:val="00B952C7"/>
    <w:rsid w:val="00B95CDD"/>
    <w:rsid w:val="00B95E50"/>
    <w:rsid w:val="00B96932"/>
    <w:rsid w:val="00B96C0A"/>
    <w:rsid w:val="00B97CAB"/>
    <w:rsid w:val="00B97FD3"/>
    <w:rsid w:val="00BA00B1"/>
    <w:rsid w:val="00BA0680"/>
    <w:rsid w:val="00BA0C9F"/>
    <w:rsid w:val="00BA0F9D"/>
    <w:rsid w:val="00BA138E"/>
    <w:rsid w:val="00BA1BCF"/>
    <w:rsid w:val="00BA1DA8"/>
    <w:rsid w:val="00BA207A"/>
    <w:rsid w:val="00BA2112"/>
    <w:rsid w:val="00BA2403"/>
    <w:rsid w:val="00BA2ACE"/>
    <w:rsid w:val="00BA3372"/>
    <w:rsid w:val="00BA3710"/>
    <w:rsid w:val="00BA3D66"/>
    <w:rsid w:val="00BA3D8B"/>
    <w:rsid w:val="00BA3F58"/>
    <w:rsid w:val="00BA4066"/>
    <w:rsid w:val="00BA4583"/>
    <w:rsid w:val="00BA48DB"/>
    <w:rsid w:val="00BA4C67"/>
    <w:rsid w:val="00BA4DE8"/>
    <w:rsid w:val="00BA54E7"/>
    <w:rsid w:val="00BA5900"/>
    <w:rsid w:val="00BA59FF"/>
    <w:rsid w:val="00BA5F95"/>
    <w:rsid w:val="00BA6208"/>
    <w:rsid w:val="00BA63A2"/>
    <w:rsid w:val="00BA653F"/>
    <w:rsid w:val="00BA654F"/>
    <w:rsid w:val="00BA65BF"/>
    <w:rsid w:val="00BA67B7"/>
    <w:rsid w:val="00BA6A57"/>
    <w:rsid w:val="00BA6B5E"/>
    <w:rsid w:val="00BA6F95"/>
    <w:rsid w:val="00BA7030"/>
    <w:rsid w:val="00BA7559"/>
    <w:rsid w:val="00BA7D69"/>
    <w:rsid w:val="00BA7E6C"/>
    <w:rsid w:val="00BB0184"/>
    <w:rsid w:val="00BB0DC0"/>
    <w:rsid w:val="00BB10BA"/>
    <w:rsid w:val="00BB13D6"/>
    <w:rsid w:val="00BB1499"/>
    <w:rsid w:val="00BB186D"/>
    <w:rsid w:val="00BB26EA"/>
    <w:rsid w:val="00BB2C64"/>
    <w:rsid w:val="00BB2F99"/>
    <w:rsid w:val="00BB362D"/>
    <w:rsid w:val="00BB3B3F"/>
    <w:rsid w:val="00BB4096"/>
    <w:rsid w:val="00BB40A3"/>
    <w:rsid w:val="00BB4148"/>
    <w:rsid w:val="00BB4B6D"/>
    <w:rsid w:val="00BB4CFD"/>
    <w:rsid w:val="00BB5027"/>
    <w:rsid w:val="00BB53F3"/>
    <w:rsid w:val="00BB5D30"/>
    <w:rsid w:val="00BB64A6"/>
    <w:rsid w:val="00BB68AD"/>
    <w:rsid w:val="00BB691D"/>
    <w:rsid w:val="00BB6F41"/>
    <w:rsid w:val="00BB72A1"/>
    <w:rsid w:val="00BB74A4"/>
    <w:rsid w:val="00BB7B8E"/>
    <w:rsid w:val="00BB7DDD"/>
    <w:rsid w:val="00BC05B8"/>
    <w:rsid w:val="00BC07A0"/>
    <w:rsid w:val="00BC08FE"/>
    <w:rsid w:val="00BC0A97"/>
    <w:rsid w:val="00BC0B8E"/>
    <w:rsid w:val="00BC11BB"/>
    <w:rsid w:val="00BC15C6"/>
    <w:rsid w:val="00BC20AE"/>
    <w:rsid w:val="00BC3111"/>
    <w:rsid w:val="00BC3602"/>
    <w:rsid w:val="00BC3692"/>
    <w:rsid w:val="00BC379D"/>
    <w:rsid w:val="00BC3A1F"/>
    <w:rsid w:val="00BC3F6C"/>
    <w:rsid w:val="00BC40E5"/>
    <w:rsid w:val="00BC423F"/>
    <w:rsid w:val="00BC4547"/>
    <w:rsid w:val="00BC4656"/>
    <w:rsid w:val="00BC4DA7"/>
    <w:rsid w:val="00BC51BB"/>
    <w:rsid w:val="00BC53B4"/>
    <w:rsid w:val="00BC57CD"/>
    <w:rsid w:val="00BC5B1D"/>
    <w:rsid w:val="00BC5C60"/>
    <w:rsid w:val="00BC6461"/>
    <w:rsid w:val="00BC6A5F"/>
    <w:rsid w:val="00BC6A78"/>
    <w:rsid w:val="00BC6AB5"/>
    <w:rsid w:val="00BC74CA"/>
    <w:rsid w:val="00BC757B"/>
    <w:rsid w:val="00BC7C27"/>
    <w:rsid w:val="00BC7CED"/>
    <w:rsid w:val="00BC7ECC"/>
    <w:rsid w:val="00BD02F5"/>
    <w:rsid w:val="00BD0669"/>
    <w:rsid w:val="00BD08C2"/>
    <w:rsid w:val="00BD09DE"/>
    <w:rsid w:val="00BD0BED"/>
    <w:rsid w:val="00BD0DA7"/>
    <w:rsid w:val="00BD1601"/>
    <w:rsid w:val="00BD185A"/>
    <w:rsid w:val="00BD1F2C"/>
    <w:rsid w:val="00BD206A"/>
    <w:rsid w:val="00BD2740"/>
    <w:rsid w:val="00BD2914"/>
    <w:rsid w:val="00BD2A84"/>
    <w:rsid w:val="00BD2EAC"/>
    <w:rsid w:val="00BD2F3D"/>
    <w:rsid w:val="00BD313A"/>
    <w:rsid w:val="00BD31A1"/>
    <w:rsid w:val="00BD352F"/>
    <w:rsid w:val="00BD364D"/>
    <w:rsid w:val="00BD450F"/>
    <w:rsid w:val="00BD4742"/>
    <w:rsid w:val="00BD489F"/>
    <w:rsid w:val="00BD4AC4"/>
    <w:rsid w:val="00BD4C24"/>
    <w:rsid w:val="00BD4D29"/>
    <w:rsid w:val="00BD51BB"/>
    <w:rsid w:val="00BD5379"/>
    <w:rsid w:val="00BD53AB"/>
    <w:rsid w:val="00BD53BE"/>
    <w:rsid w:val="00BD5545"/>
    <w:rsid w:val="00BD601B"/>
    <w:rsid w:val="00BD61E7"/>
    <w:rsid w:val="00BD64C6"/>
    <w:rsid w:val="00BD6633"/>
    <w:rsid w:val="00BD6973"/>
    <w:rsid w:val="00BD6D02"/>
    <w:rsid w:val="00BD7890"/>
    <w:rsid w:val="00BD7ED3"/>
    <w:rsid w:val="00BE0367"/>
    <w:rsid w:val="00BE0549"/>
    <w:rsid w:val="00BE07BA"/>
    <w:rsid w:val="00BE08D4"/>
    <w:rsid w:val="00BE0E94"/>
    <w:rsid w:val="00BE0EEE"/>
    <w:rsid w:val="00BE0F19"/>
    <w:rsid w:val="00BE1256"/>
    <w:rsid w:val="00BE154C"/>
    <w:rsid w:val="00BE1774"/>
    <w:rsid w:val="00BE1F3F"/>
    <w:rsid w:val="00BE2BB9"/>
    <w:rsid w:val="00BE3134"/>
    <w:rsid w:val="00BE320D"/>
    <w:rsid w:val="00BE32F3"/>
    <w:rsid w:val="00BE38A0"/>
    <w:rsid w:val="00BE39DD"/>
    <w:rsid w:val="00BE43CD"/>
    <w:rsid w:val="00BE44C9"/>
    <w:rsid w:val="00BE4CBA"/>
    <w:rsid w:val="00BE538A"/>
    <w:rsid w:val="00BE54CD"/>
    <w:rsid w:val="00BE578A"/>
    <w:rsid w:val="00BE5F05"/>
    <w:rsid w:val="00BE66FF"/>
    <w:rsid w:val="00BE67F9"/>
    <w:rsid w:val="00BE69D8"/>
    <w:rsid w:val="00BE6B99"/>
    <w:rsid w:val="00BE6D5C"/>
    <w:rsid w:val="00BE6E82"/>
    <w:rsid w:val="00BE7058"/>
    <w:rsid w:val="00BE7797"/>
    <w:rsid w:val="00BE7AD9"/>
    <w:rsid w:val="00BE7D38"/>
    <w:rsid w:val="00BF0299"/>
    <w:rsid w:val="00BF0B4D"/>
    <w:rsid w:val="00BF0C21"/>
    <w:rsid w:val="00BF1822"/>
    <w:rsid w:val="00BF1B29"/>
    <w:rsid w:val="00BF1BD4"/>
    <w:rsid w:val="00BF27B2"/>
    <w:rsid w:val="00BF3140"/>
    <w:rsid w:val="00BF3168"/>
    <w:rsid w:val="00BF33C0"/>
    <w:rsid w:val="00BF3CAB"/>
    <w:rsid w:val="00BF43CC"/>
    <w:rsid w:val="00BF43CE"/>
    <w:rsid w:val="00BF462C"/>
    <w:rsid w:val="00BF4822"/>
    <w:rsid w:val="00BF4C16"/>
    <w:rsid w:val="00BF4F32"/>
    <w:rsid w:val="00BF5006"/>
    <w:rsid w:val="00BF5340"/>
    <w:rsid w:val="00BF55CA"/>
    <w:rsid w:val="00BF5972"/>
    <w:rsid w:val="00BF5DEC"/>
    <w:rsid w:val="00BF6753"/>
    <w:rsid w:val="00BF75EB"/>
    <w:rsid w:val="00BF76D9"/>
    <w:rsid w:val="00C000AA"/>
    <w:rsid w:val="00C0017B"/>
    <w:rsid w:val="00C00A4F"/>
    <w:rsid w:val="00C00AF9"/>
    <w:rsid w:val="00C00C9F"/>
    <w:rsid w:val="00C02126"/>
    <w:rsid w:val="00C02646"/>
    <w:rsid w:val="00C0266C"/>
    <w:rsid w:val="00C02DA6"/>
    <w:rsid w:val="00C03D88"/>
    <w:rsid w:val="00C03E34"/>
    <w:rsid w:val="00C03EA0"/>
    <w:rsid w:val="00C03FC9"/>
    <w:rsid w:val="00C04C75"/>
    <w:rsid w:val="00C0509B"/>
    <w:rsid w:val="00C054A4"/>
    <w:rsid w:val="00C058AA"/>
    <w:rsid w:val="00C05DAA"/>
    <w:rsid w:val="00C05E4B"/>
    <w:rsid w:val="00C06192"/>
    <w:rsid w:val="00C06614"/>
    <w:rsid w:val="00C0669C"/>
    <w:rsid w:val="00C075F2"/>
    <w:rsid w:val="00C07747"/>
    <w:rsid w:val="00C07808"/>
    <w:rsid w:val="00C07F41"/>
    <w:rsid w:val="00C105C5"/>
    <w:rsid w:val="00C10974"/>
    <w:rsid w:val="00C1153A"/>
    <w:rsid w:val="00C1153B"/>
    <w:rsid w:val="00C11802"/>
    <w:rsid w:val="00C11F5C"/>
    <w:rsid w:val="00C12033"/>
    <w:rsid w:val="00C12077"/>
    <w:rsid w:val="00C12385"/>
    <w:rsid w:val="00C127E3"/>
    <w:rsid w:val="00C1283D"/>
    <w:rsid w:val="00C12AB9"/>
    <w:rsid w:val="00C12DE3"/>
    <w:rsid w:val="00C12FDD"/>
    <w:rsid w:val="00C135C6"/>
    <w:rsid w:val="00C13BF2"/>
    <w:rsid w:val="00C14000"/>
    <w:rsid w:val="00C140EF"/>
    <w:rsid w:val="00C1418D"/>
    <w:rsid w:val="00C142F3"/>
    <w:rsid w:val="00C14668"/>
    <w:rsid w:val="00C148CB"/>
    <w:rsid w:val="00C1499D"/>
    <w:rsid w:val="00C14BD2"/>
    <w:rsid w:val="00C14EF8"/>
    <w:rsid w:val="00C150EF"/>
    <w:rsid w:val="00C157AA"/>
    <w:rsid w:val="00C159A3"/>
    <w:rsid w:val="00C15B02"/>
    <w:rsid w:val="00C15E9D"/>
    <w:rsid w:val="00C160CA"/>
    <w:rsid w:val="00C167D0"/>
    <w:rsid w:val="00C17219"/>
    <w:rsid w:val="00C17582"/>
    <w:rsid w:val="00C17C5D"/>
    <w:rsid w:val="00C200C3"/>
    <w:rsid w:val="00C20BD3"/>
    <w:rsid w:val="00C20D94"/>
    <w:rsid w:val="00C20EED"/>
    <w:rsid w:val="00C21710"/>
    <w:rsid w:val="00C22174"/>
    <w:rsid w:val="00C2225A"/>
    <w:rsid w:val="00C22443"/>
    <w:rsid w:val="00C22675"/>
    <w:rsid w:val="00C227D6"/>
    <w:rsid w:val="00C22DF7"/>
    <w:rsid w:val="00C22ECA"/>
    <w:rsid w:val="00C23712"/>
    <w:rsid w:val="00C2410B"/>
    <w:rsid w:val="00C24861"/>
    <w:rsid w:val="00C2496D"/>
    <w:rsid w:val="00C24F8B"/>
    <w:rsid w:val="00C25128"/>
    <w:rsid w:val="00C253AA"/>
    <w:rsid w:val="00C25820"/>
    <w:rsid w:val="00C25A81"/>
    <w:rsid w:val="00C26035"/>
    <w:rsid w:val="00C2605E"/>
    <w:rsid w:val="00C26EBB"/>
    <w:rsid w:val="00C270C1"/>
    <w:rsid w:val="00C274C0"/>
    <w:rsid w:val="00C2788C"/>
    <w:rsid w:val="00C304E3"/>
    <w:rsid w:val="00C30557"/>
    <w:rsid w:val="00C30726"/>
    <w:rsid w:val="00C30909"/>
    <w:rsid w:val="00C30B5A"/>
    <w:rsid w:val="00C30C4B"/>
    <w:rsid w:val="00C31A29"/>
    <w:rsid w:val="00C31AAD"/>
    <w:rsid w:val="00C31D87"/>
    <w:rsid w:val="00C31E26"/>
    <w:rsid w:val="00C327F5"/>
    <w:rsid w:val="00C33A5E"/>
    <w:rsid w:val="00C345F8"/>
    <w:rsid w:val="00C3466C"/>
    <w:rsid w:val="00C34872"/>
    <w:rsid w:val="00C34A34"/>
    <w:rsid w:val="00C34ADF"/>
    <w:rsid w:val="00C34DAD"/>
    <w:rsid w:val="00C35051"/>
    <w:rsid w:val="00C3508C"/>
    <w:rsid w:val="00C352F3"/>
    <w:rsid w:val="00C35354"/>
    <w:rsid w:val="00C35F88"/>
    <w:rsid w:val="00C361B7"/>
    <w:rsid w:val="00C3663D"/>
    <w:rsid w:val="00C36922"/>
    <w:rsid w:val="00C36B5B"/>
    <w:rsid w:val="00C36B69"/>
    <w:rsid w:val="00C374F8"/>
    <w:rsid w:val="00C376A9"/>
    <w:rsid w:val="00C378EB"/>
    <w:rsid w:val="00C3798C"/>
    <w:rsid w:val="00C37C9A"/>
    <w:rsid w:val="00C40733"/>
    <w:rsid w:val="00C40A1F"/>
    <w:rsid w:val="00C40C0A"/>
    <w:rsid w:val="00C413AB"/>
    <w:rsid w:val="00C414C4"/>
    <w:rsid w:val="00C414D5"/>
    <w:rsid w:val="00C42416"/>
    <w:rsid w:val="00C424FF"/>
    <w:rsid w:val="00C42753"/>
    <w:rsid w:val="00C42D75"/>
    <w:rsid w:val="00C43018"/>
    <w:rsid w:val="00C433F5"/>
    <w:rsid w:val="00C4401B"/>
    <w:rsid w:val="00C44DC1"/>
    <w:rsid w:val="00C452B2"/>
    <w:rsid w:val="00C4533C"/>
    <w:rsid w:val="00C4535B"/>
    <w:rsid w:val="00C4535D"/>
    <w:rsid w:val="00C456CB"/>
    <w:rsid w:val="00C45DB4"/>
    <w:rsid w:val="00C46541"/>
    <w:rsid w:val="00C46B95"/>
    <w:rsid w:val="00C46FE9"/>
    <w:rsid w:val="00C47037"/>
    <w:rsid w:val="00C47DB6"/>
    <w:rsid w:val="00C501EF"/>
    <w:rsid w:val="00C50276"/>
    <w:rsid w:val="00C5107B"/>
    <w:rsid w:val="00C51828"/>
    <w:rsid w:val="00C51917"/>
    <w:rsid w:val="00C51A27"/>
    <w:rsid w:val="00C521EC"/>
    <w:rsid w:val="00C528D4"/>
    <w:rsid w:val="00C52A2C"/>
    <w:rsid w:val="00C52F8F"/>
    <w:rsid w:val="00C530A6"/>
    <w:rsid w:val="00C543C5"/>
    <w:rsid w:val="00C547A9"/>
    <w:rsid w:val="00C54CD7"/>
    <w:rsid w:val="00C5509F"/>
    <w:rsid w:val="00C55149"/>
    <w:rsid w:val="00C55163"/>
    <w:rsid w:val="00C55B03"/>
    <w:rsid w:val="00C55C4A"/>
    <w:rsid w:val="00C56C2A"/>
    <w:rsid w:val="00C570AF"/>
    <w:rsid w:val="00C572FF"/>
    <w:rsid w:val="00C574CB"/>
    <w:rsid w:val="00C57586"/>
    <w:rsid w:val="00C57813"/>
    <w:rsid w:val="00C57C6A"/>
    <w:rsid w:val="00C57EBB"/>
    <w:rsid w:val="00C601AB"/>
    <w:rsid w:val="00C603FA"/>
    <w:rsid w:val="00C604E6"/>
    <w:rsid w:val="00C60575"/>
    <w:rsid w:val="00C60F78"/>
    <w:rsid w:val="00C610A0"/>
    <w:rsid w:val="00C6167F"/>
    <w:rsid w:val="00C6268F"/>
    <w:rsid w:val="00C62A79"/>
    <w:rsid w:val="00C62E02"/>
    <w:rsid w:val="00C62E2F"/>
    <w:rsid w:val="00C62E60"/>
    <w:rsid w:val="00C62E83"/>
    <w:rsid w:val="00C63124"/>
    <w:rsid w:val="00C63718"/>
    <w:rsid w:val="00C63F1C"/>
    <w:rsid w:val="00C6466E"/>
    <w:rsid w:val="00C64EAA"/>
    <w:rsid w:val="00C64F4F"/>
    <w:rsid w:val="00C64F5F"/>
    <w:rsid w:val="00C64FE3"/>
    <w:rsid w:val="00C6532F"/>
    <w:rsid w:val="00C656F5"/>
    <w:rsid w:val="00C65834"/>
    <w:rsid w:val="00C6598F"/>
    <w:rsid w:val="00C65997"/>
    <w:rsid w:val="00C66097"/>
    <w:rsid w:val="00C6620B"/>
    <w:rsid w:val="00C6637F"/>
    <w:rsid w:val="00C66B0D"/>
    <w:rsid w:val="00C66CFB"/>
    <w:rsid w:val="00C66D27"/>
    <w:rsid w:val="00C671DB"/>
    <w:rsid w:val="00C7031E"/>
    <w:rsid w:val="00C710D7"/>
    <w:rsid w:val="00C71B16"/>
    <w:rsid w:val="00C71E91"/>
    <w:rsid w:val="00C71F0B"/>
    <w:rsid w:val="00C7224A"/>
    <w:rsid w:val="00C722C1"/>
    <w:rsid w:val="00C723D1"/>
    <w:rsid w:val="00C72517"/>
    <w:rsid w:val="00C72647"/>
    <w:rsid w:val="00C726F6"/>
    <w:rsid w:val="00C72AEC"/>
    <w:rsid w:val="00C730CC"/>
    <w:rsid w:val="00C730DF"/>
    <w:rsid w:val="00C7370B"/>
    <w:rsid w:val="00C73CBC"/>
    <w:rsid w:val="00C742F5"/>
    <w:rsid w:val="00C74ED0"/>
    <w:rsid w:val="00C75253"/>
    <w:rsid w:val="00C75A90"/>
    <w:rsid w:val="00C75E6A"/>
    <w:rsid w:val="00C761E7"/>
    <w:rsid w:val="00C76729"/>
    <w:rsid w:val="00C76F79"/>
    <w:rsid w:val="00C77170"/>
    <w:rsid w:val="00C775D1"/>
    <w:rsid w:val="00C778DB"/>
    <w:rsid w:val="00C779DB"/>
    <w:rsid w:val="00C8006B"/>
    <w:rsid w:val="00C801F3"/>
    <w:rsid w:val="00C803D3"/>
    <w:rsid w:val="00C80722"/>
    <w:rsid w:val="00C808C3"/>
    <w:rsid w:val="00C80DA5"/>
    <w:rsid w:val="00C812F6"/>
    <w:rsid w:val="00C81725"/>
    <w:rsid w:val="00C81C94"/>
    <w:rsid w:val="00C81CB7"/>
    <w:rsid w:val="00C81D07"/>
    <w:rsid w:val="00C81E58"/>
    <w:rsid w:val="00C81F47"/>
    <w:rsid w:val="00C820EF"/>
    <w:rsid w:val="00C82607"/>
    <w:rsid w:val="00C82738"/>
    <w:rsid w:val="00C8291D"/>
    <w:rsid w:val="00C82A16"/>
    <w:rsid w:val="00C82CCF"/>
    <w:rsid w:val="00C82F77"/>
    <w:rsid w:val="00C82FFA"/>
    <w:rsid w:val="00C8348C"/>
    <w:rsid w:val="00C834A1"/>
    <w:rsid w:val="00C835B4"/>
    <w:rsid w:val="00C83970"/>
    <w:rsid w:val="00C83CC3"/>
    <w:rsid w:val="00C83F0F"/>
    <w:rsid w:val="00C84079"/>
    <w:rsid w:val="00C84168"/>
    <w:rsid w:val="00C8425F"/>
    <w:rsid w:val="00C8465C"/>
    <w:rsid w:val="00C849C7"/>
    <w:rsid w:val="00C84B4C"/>
    <w:rsid w:val="00C84C14"/>
    <w:rsid w:val="00C84C20"/>
    <w:rsid w:val="00C84CE2"/>
    <w:rsid w:val="00C84E0E"/>
    <w:rsid w:val="00C84E9C"/>
    <w:rsid w:val="00C84EBF"/>
    <w:rsid w:val="00C84EF0"/>
    <w:rsid w:val="00C84FED"/>
    <w:rsid w:val="00C8514E"/>
    <w:rsid w:val="00C85F20"/>
    <w:rsid w:val="00C860A2"/>
    <w:rsid w:val="00C86B70"/>
    <w:rsid w:val="00C870B7"/>
    <w:rsid w:val="00C87137"/>
    <w:rsid w:val="00C87191"/>
    <w:rsid w:val="00C87642"/>
    <w:rsid w:val="00C8779D"/>
    <w:rsid w:val="00C879B4"/>
    <w:rsid w:val="00C911E6"/>
    <w:rsid w:val="00C91885"/>
    <w:rsid w:val="00C91B5F"/>
    <w:rsid w:val="00C91C98"/>
    <w:rsid w:val="00C91FEB"/>
    <w:rsid w:val="00C92451"/>
    <w:rsid w:val="00C924FE"/>
    <w:rsid w:val="00C926D8"/>
    <w:rsid w:val="00C9289D"/>
    <w:rsid w:val="00C92B7A"/>
    <w:rsid w:val="00C937FC"/>
    <w:rsid w:val="00C9466D"/>
    <w:rsid w:val="00C94A33"/>
    <w:rsid w:val="00C951DF"/>
    <w:rsid w:val="00C962A6"/>
    <w:rsid w:val="00C964F9"/>
    <w:rsid w:val="00C966C0"/>
    <w:rsid w:val="00C96963"/>
    <w:rsid w:val="00C96F6D"/>
    <w:rsid w:val="00C97061"/>
    <w:rsid w:val="00C97719"/>
    <w:rsid w:val="00C977FA"/>
    <w:rsid w:val="00C979E7"/>
    <w:rsid w:val="00CA0A51"/>
    <w:rsid w:val="00CA0D0D"/>
    <w:rsid w:val="00CA108B"/>
    <w:rsid w:val="00CA14CB"/>
    <w:rsid w:val="00CA1554"/>
    <w:rsid w:val="00CA15B4"/>
    <w:rsid w:val="00CA186D"/>
    <w:rsid w:val="00CA1D68"/>
    <w:rsid w:val="00CA2189"/>
    <w:rsid w:val="00CA284A"/>
    <w:rsid w:val="00CA39D9"/>
    <w:rsid w:val="00CA3A1D"/>
    <w:rsid w:val="00CA3CDF"/>
    <w:rsid w:val="00CA3D2D"/>
    <w:rsid w:val="00CA4809"/>
    <w:rsid w:val="00CA4B30"/>
    <w:rsid w:val="00CA4B64"/>
    <w:rsid w:val="00CA4E6E"/>
    <w:rsid w:val="00CA5053"/>
    <w:rsid w:val="00CA50D0"/>
    <w:rsid w:val="00CA5854"/>
    <w:rsid w:val="00CA60C7"/>
    <w:rsid w:val="00CA64FC"/>
    <w:rsid w:val="00CA7719"/>
    <w:rsid w:val="00CA7D10"/>
    <w:rsid w:val="00CA7EEA"/>
    <w:rsid w:val="00CB0A57"/>
    <w:rsid w:val="00CB0A7A"/>
    <w:rsid w:val="00CB0CF9"/>
    <w:rsid w:val="00CB0FE9"/>
    <w:rsid w:val="00CB1576"/>
    <w:rsid w:val="00CB16FF"/>
    <w:rsid w:val="00CB1848"/>
    <w:rsid w:val="00CB187E"/>
    <w:rsid w:val="00CB1AEC"/>
    <w:rsid w:val="00CB21EB"/>
    <w:rsid w:val="00CB2C42"/>
    <w:rsid w:val="00CB2E32"/>
    <w:rsid w:val="00CB36CA"/>
    <w:rsid w:val="00CB37E2"/>
    <w:rsid w:val="00CB3B5B"/>
    <w:rsid w:val="00CB3C62"/>
    <w:rsid w:val="00CB3F2F"/>
    <w:rsid w:val="00CB3F90"/>
    <w:rsid w:val="00CB41E7"/>
    <w:rsid w:val="00CB45FE"/>
    <w:rsid w:val="00CB4AD4"/>
    <w:rsid w:val="00CB56BB"/>
    <w:rsid w:val="00CB5A10"/>
    <w:rsid w:val="00CB5CEC"/>
    <w:rsid w:val="00CB643B"/>
    <w:rsid w:val="00CB6D6F"/>
    <w:rsid w:val="00CB79DD"/>
    <w:rsid w:val="00CB79F3"/>
    <w:rsid w:val="00CB7B60"/>
    <w:rsid w:val="00CB7D07"/>
    <w:rsid w:val="00CC0709"/>
    <w:rsid w:val="00CC08EA"/>
    <w:rsid w:val="00CC0A65"/>
    <w:rsid w:val="00CC1510"/>
    <w:rsid w:val="00CC156E"/>
    <w:rsid w:val="00CC1DD9"/>
    <w:rsid w:val="00CC223A"/>
    <w:rsid w:val="00CC27D9"/>
    <w:rsid w:val="00CC308E"/>
    <w:rsid w:val="00CC315C"/>
    <w:rsid w:val="00CC34CC"/>
    <w:rsid w:val="00CC35E5"/>
    <w:rsid w:val="00CC3733"/>
    <w:rsid w:val="00CC3C59"/>
    <w:rsid w:val="00CC3C88"/>
    <w:rsid w:val="00CC3FD0"/>
    <w:rsid w:val="00CC4138"/>
    <w:rsid w:val="00CC4523"/>
    <w:rsid w:val="00CC5023"/>
    <w:rsid w:val="00CC519B"/>
    <w:rsid w:val="00CC57F5"/>
    <w:rsid w:val="00CC5AC8"/>
    <w:rsid w:val="00CC5C41"/>
    <w:rsid w:val="00CC5CA7"/>
    <w:rsid w:val="00CC5D54"/>
    <w:rsid w:val="00CC5EC1"/>
    <w:rsid w:val="00CC65D4"/>
    <w:rsid w:val="00CC6A04"/>
    <w:rsid w:val="00CC726D"/>
    <w:rsid w:val="00CC7679"/>
    <w:rsid w:val="00CC7881"/>
    <w:rsid w:val="00CC7D8E"/>
    <w:rsid w:val="00CC7E97"/>
    <w:rsid w:val="00CD0086"/>
    <w:rsid w:val="00CD0977"/>
    <w:rsid w:val="00CD0DEC"/>
    <w:rsid w:val="00CD1066"/>
    <w:rsid w:val="00CD1C29"/>
    <w:rsid w:val="00CD24D0"/>
    <w:rsid w:val="00CD2C5D"/>
    <w:rsid w:val="00CD3082"/>
    <w:rsid w:val="00CD32E8"/>
    <w:rsid w:val="00CD3F7E"/>
    <w:rsid w:val="00CD418F"/>
    <w:rsid w:val="00CD43DE"/>
    <w:rsid w:val="00CD444A"/>
    <w:rsid w:val="00CD4466"/>
    <w:rsid w:val="00CD451B"/>
    <w:rsid w:val="00CD4723"/>
    <w:rsid w:val="00CD4B32"/>
    <w:rsid w:val="00CD4EEC"/>
    <w:rsid w:val="00CD4FCD"/>
    <w:rsid w:val="00CD5028"/>
    <w:rsid w:val="00CD509B"/>
    <w:rsid w:val="00CD54F4"/>
    <w:rsid w:val="00CD5B71"/>
    <w:rsid w:val="00CD5BC6"/>
    <w:rsid w:val="00CD6B2B"/>
    <w:rsid w:val="00CD701B"/>
    <w:rsid w:val="00CD71EA"/>
    <w:rsid w:val="00CE02AB"/>
    <w:rsid w:val="00CE0FE8"/>
    <w:rsid w:val="00CE106C"/>
    <w:rsid w:val="00CE18EC"/>
    <w:rsid w:val="00CE1AE5"/>
    <w:rsid w:val="00CE227E"/>
    <w:rsid w:val="00CE23BC"/>
    <w:rsid w:val="00CE2891"/>
    <w:rsid w:val="00CE2DB6"/>
    <w:rsid w:val="00CE2F8E"/>
    <w:rsid w:val="00CE3630"/>
    <w:rsid w:val="00CE3D17"/>
    <w:rsid w:val="00CE4367"/>
    <w:rsid w:val="00CE47A8"/>
    <w:rsid w:val="00CE4ADA"/>
    <w:rsid w:val="00CE4BFA"/>
    <w:rsid w:val="00CE51EC"/>
    <w:rsid w:val="00CE583E"/>
    <w:rsid w:val="00CE664A"/>
    <w:rsid w:val="00CE6D02"/>
    <w:rsid w:val="00CE6F5E"/>
    <w:rsid w:val="00CE6F75"/>
    <w:rsid w:val="00CE72AE"/>
    <w:rsid w:val="00CE7325"/>
    <w:rsid w:val="00CE7605"/>
    <w:rsid w:val="00CE76BA"/>
    <w:rsid w:val="00CE7EEE"/>
    <w:rsid w:val="00CF029D"/>
    <w:rsid w:val="00CF0314"/>
    <w:rsid w:val="00CF06AB"/>
    <w:rsid w:val="00CF0AAF"/>
    <w:rsid w:val="00CF101F"/>
    <w:rsid w:val="00CF1572"/>
    <w:rsid w:val="00CF16DC"/>
    <w:rsid w:val="00CF17CA"/>
    <w:rsid w:val="00CF17ED"/>
    <w:rsid w:val="00CF2486"/>
    <w:rsid w:val="00CF278B"/>
    <w:rsid w:val="00CF27C7"/>
    <w:rsid w:val="00CF2963"/>
    <w:rsid w:val="00CF2AFB"/>
    <w:rsid w:val="00CF2DB5"/>
    <w:rsid w:val="00CF319D"/>
    <w:rsid w:val="00CF32C0"/>
    <w:rsid w:val="00CF3752"/>
    <w:rsid w:val="00CF3852"/>
    <w:rsid w:val="00CF3A5C"/>
    <w:rsid w:val="00CF3B3E"/>
    <w:rsid w:val="00CF3C3C"/>
    <w:rsid w:val="00CF3EC5"/>
    <w:rsid w:val="00CF3F30"/>
    <w:rsid w:val="00CF427F"/>
    <w:rsid w:val="00CF43E6"/>
    <w:rsid w:val="00CF47F8"/>
    <w:rsid w:val="00CF4927"/>
    <w:rsid w:val="00CF4931"/>
    <w:rsid w:val="00CF497C"/>
    <w:rsid w:val="00CF4B35"/>
    <w:rsid w:val="00CF4DA6"/>
    <w:rsid w:val="00CF4DBD"/>
    <w:rsid w:val="00CF4E9E"/>
    <w:rsid w:val="00CF5500"/>
    <w:rsid w:val="00CF5907"/>
    <w:rsid w:val="00CF5975"/>
    <w:rsid w:val="00CF6487"/>
    <w:rsid w:val="00CF6AA8"/>
    <w:rsid w:val="00CF6E43"/>
    <w:rsid w:val="00CF6FF1"/>
    <w:rsid w:val="00CF7175"/>
    <w:rsid w:val="00CF71C1"/>
    <w:rsid w:val="00CF7857"/>
    <w:rsid w:val="00CF789A"/>
    <w:rsid w:val="00CF7B21"/>
    <w:rsid w:val="00D004E7"/>
    <w:rsid w:val="00D0091D"/>
    <w:rsid w:val="00D00C66"/>
    <w:rsid w:val="00D01B24"/>
    <w:rsid w:val="00D01F13"/>
    <w:rsid w:val="00D0224D"/>
    <w:rsid w:val="00D02378"/>
    <w:rsid w:val="00D03026"/>
    <w:rsid w:val="00D032C5"/>
    <w:rsid w:val="00D03311"/>
    <w:rsid w:val="00D03715"/>
    <w:rsid w:val="00D03D9D"/>
    <w:rsid w:val="00D03F05"/>
    <w:rsid w:val="00D044FE"/>
    <w:rsid w:val="00D0458F"/>
    <w:rsid w:val="00D0472C"/>
    <w:rsid w:val="00D049AC"/>
    <w:rsid w:val="00D04B15"/>
    <w:rsid w:val="00D04EB0"/>
    <w:rsid w:val="00D05B87"/>
    <w:rsid w:val="00D060B9"/>
    <w:rsid w:val="00D0677F"/>
    <w:rsid w:val="00D06B77"/>
    <w:rsid w:val="00D0737F"/>
    <w:rsid w:val="00D074CA"/>
    <w:rsid w:val="00D078A6"/>
    <w:rsid w:val="00D078FD"/>
    <w:rsid w:val="00D07DDB"/>
    <w:rsid w:val="00D10E28"/>
    <w:rsid w:val="00D1102F"/>
    <w:rsid w:val="00D111C9"/>
    <w:rsid w:val="00D11438"/>
    <w:rsid w:val="00D117B6"/>
    <w:rsid w:val="00D117D4"/>
    <w:rsid w:val="00D11855"/>
    <w:rsid w:val="00D1186E"/>
    <w:rsid w:val="00D119F1"/>
    <w:rsid w:val="00D11F38"/>
    <w:rsid w:val="00D120E1"/>
    <w:rsid w:val="00D122EB"/>
    <w:rsid w:val="00D12784"/>
    <w:rsid w:val="00D12E74"/>
    <w:rsid w:val="00D136AB"/>
    <w:rsid w:val="00D139DD"/>
    <w:rsid w:val="00D1407A"/>
    <w:rsid w:val="00D1463F"/>
    <w:rsid w:val="00D14B8F"/>
    <w:rsid w:val="00D14C27"/>
    <w:rsid w:val="00D14FA5"/>
    <w:rsid w:val="00D152FB"/>
    <w:rsid w:val="00D15AE6"/>
    <w:rsid w:val="00D15FF8"/>
    <w:rsid w:val="00D160E4"/>
    <w:rsid w:val="00D161EE"/>
    <w:rsid w:val="00D1630D"/>
    <w:rsid w:val="00D1635C"/>
    <w:rsid w:val="00D16510"/>
    <w:rsid w:val="00D16A9A"/>
    <w:rsid w:val="00D16B82"/>
    <w:rsid w:val="00D16C6B"/>
    <w:rsid w:val="00D16D15"/>
    <w:rsid w:val="00D174B0"/>
    <w:rsid w:val="00D20B4D"/>
    <w:rsid w:val="00D21057"/>
    <w:rsid w:val="00D21949"/>
    <w:rsid w:val="00D2249D"/>
    <w:rsid w:val="00D235E3"/>
    <w:rsid w:val="00D239A6"/>
    <w:rsid w:val="00D2457D"/>
    <w:rsid w:val="00D24B0E"/>
    <w:rsid w:val="00D258D7"/>
    <w:rsid w:val="00D25A34"/>
    <w:rsid w:val="00D25D50"/>
    <w:rsid w:val="00D26139"/>
    <w:rsid w:val="00D26634"/>
    <w:rsid w:val="00D2666D"/>
    <w:rsid w:val="00D26699"/>
    <w:rsid w:val="00D26D9F"/>
    <w:rsid w:val="00D27B34"/>
    <w:rsid w:val="00D27D07"/>
    <w:rsid w:val="00D30444"/>
    <w:rsid w:val="00D30600"/>
    <w:rsid w:val="00D30BA9"/>
    <w:rsid w:val="00D3287F"/>
    <w:rsid w:val="00D32933"/>
    <w:rsid w:val="00D3294E"/>
    <w:rsid w:val="00D32F73"/>
    <w:rsid w:val="00D32FE3"/>
    <w:rsid w:val="00D339DB"/>
    <w:rsid w:val="00D33A4A"/>
    <w:rsid w:val="00D33AB6"/>
    <w:rsid w:val="00D33E52"/>
    <w:rsid w:val="00D346DD"/>
    <w:rsid w:val="00D35110"/>
    <w:rsid w:val="00D35581"/>
    <w:rsid w:val="00D35AE2"/>
    <w:rsid w:val="00D35DDC"/>
    <w:rsid w:val="00D35FBC"/>
    <w:rsid w:val="00D363E6"/>
    <w:rsid w:val="00D36A5F"/>
    <w:rsid w:val="00D36D6B"/>
    <w:rsid w:val="00D36DE8"/>
    <w:rsid w:val="00D36E1B"/>
    <w:rsid w:val="00D37691"/>
    <w:rsid w:val="00D377D3"/>
    <w:rsid w:val="00D40653"/>
    <w:rsid w:val="00D40872"/>
    <w:rsid w:val="00D409ED"/>
    <w:rsid w:val="00D40A33"/>
    <w:rsid w:val="00D40CCC"/>
    <w:rsid w:val="00D40CDA"/>
    <w:rsid w:val="00D40D69"/>
    <w:rsid w:val="00D41034"/>
    <w:rsid w:val="00D4133A"/>
    <w:rsid w:val="00D413D1"/>
    <w:rsid w:val="00D42B17"/>
    <w:rsid w:val="00D42CB9"/>
    <w:rsid w:val="00D43078"/>
    <w:rsid w:val="00D4375B"/>
    <w:rsid w:val="00D43B9C"/>
    <w:rsid w:val="00D43C5D"/>
    <w:rsid w:val="00D4428D"/>
    <w:rsid w:val="00D4460A"/>
    <w:rsid w:val="00D44782"/>
    <w:rsid w:val="00D44DDF"/>
    <w:rsid w:val="00D4511D"/>
    <w:rsid w:val="00D453B1"/>
    <w:rsid w:val="00D45C6B"/>
    <w:rsid w:val="00D45D9A"/>
    <w:rsid w:val="00D45F9F"/>
    <w:rsid w:val="00D46366"/>
    <w:rsid w:val="00D465AC"/>
    <w:rsid w:val="00D466E9"/>
    <w:rsid w:val="00D46ACF"/>
    <w:rsid w:val="00D46B38"/>
    <w:rsid w:val="00D4731E"/>
    <w:rsid w:val="00D474EC"/>
    <w:rsid w:val="00D4789E"/>
    <w:rsid w:val="00D4799C"/>
    <w:rsid w:val="00D47DEB"/>
    <w:rsid w:val="00D47E58"/>
    <w:rsid w:val="00D5063D"/>
    <w:rsid w:val="00D50E40"/>
    <w:rsid w:val="00D51018"/>
    <w:rsid w:val="00D51805"/>
    <w:rsid w:val="00D528F6"/>
    <w:rsid w:val="00D52B02"/>
    <w:rsid w:val="00D52D78"/>
    <w:rsid w:val="00D5336C"/>
    <w:rsid w:val="00D53EC2"/>
    <w:rsid w:val="00D54721"/>
    <w:rsid w:val="00D54E1F"/>
    <w:rsid w:val="00D551BC"/>
    <w:rsid w:val="00D55292"/>
    <w:rsid w:val="00D55773"/>
    <w:rsid w:val="00D55C46"/>
    <w:rsid w:val="00D55DC6"/>
    <w:rsid w:val="00D55E56"/>
    <w:rsid w:val="00D5688F"/>
    <w:rsid w:val="00D572D3"/>
    <w:rsid w:val="00D60388"/>
    <w:rsid w:val="00D6081C"/>
    <w:rsid w:val="00D60CAA"/>
    <w:rsid w:val="00D61596"/>
    <w:rsid w:val="00D61726"/>
    <w:rsid w:val="00D61791"/>
    <w:rsid w:val="00D6190A"/>
    <w:rsid w:val="00D61B26"/>
    <w:rsid w:val="00D62045"/>
    <w:rsid w:val="00D62448"/>
    <w:rsid w:val="00D625CB"/>
    <w:rsid w:val="00D626CE"/>
    <w:rsid w:val="00D62781"/>
    <w:rsid w:val="00D62B48"/>
    <w:rsid w:val="00D62B82"/>
    <w:rsid w:val="00D63143"/>
    <w:rsid w:val="00D63309"/>
    <w:rsid w:val="00D6330D"/>
    <w:rsid w:val="00D633B4"/>
    <w:rsid w:val="00D634A6"/>
    <w:rsid w:val="00D63DCF"/>
    <w:rsid w:val="00D63E39"/>
    <w:rsid w:val="00D64853"/>
    <w:rsid w:val="00D649F3"/>
    <w:rsid w:val="00D64A8E"/>
    <w:rsid w:val="00D64C1D"/>
    <w:rsid w:val="00D65442"/>
    <w:rsid w:val="00D65C8C"/>
    <w:rsid w:val="00D65F8D"/>
    <w:rsid w:val="00D660A7"/>
    <w:rsid w:val="00D6636C"/>
    <w:rsid w:val="00D6694F"/>
    <w:rsid w:val="00D66B7F"/>
    <w:rsid w:val="00D673A0"/>
    <w:rsid w:val="00D67405"/>
    <w:rsid w:val="00D67701"/>
    <w:rsid w:val="00D678B0"/>
    <w:rsid w:val="00D678E9"/>
    <w:rsid w:val="00D70246"/>
    <w:rsid w:val="00D70253"/>
    <w:rsid w:val="00D708B1"/>
    <w:rsid w:val="00D70A40"/>
    <w:rsid w:val="00D70AD1"/>
    <w:rsid w:val="00D70CE9"/>
    <w:rsid w:val="00D7108F"/>
    <w:rsid w:val="00D71568"/>
    <w:rsid w:val="00D71A04"/>
    <w:rsid w:val="00D7231E"/>
    <w:rsid w:val="00D725F8"/>
    <w:rsid w:val="00D728A1"/>
    <w:rsid w:val="00D72C4D"/>
    <w:rsid w:val="00D72E64"/>
    <w:rsid w:val="00D73165"/>
    <w:rsid w:val="00D736A4"/>
    <w:rsid w:val="00D73760"/>
    <w:rsid w:val="00D7402B"/>
    <w:rsid w:val="00D740CF"/>
    <w:rsid w:val="00D7463B"/>
    <w:rsid w:val="00D746CA"/>
    <w:rsid w:val="00D74D65"/>
    <w:rsid w:val="00D75AAB"/>
    <w:rsid w:val="00D761AC"/>
    <w:rsid w:val="00D76732"/>
    <w:rsid w:val="00D76762"/>
    <w:rsid w:val="00D768B3"/>
    <w:rsid w:val="00D768C6"/>
    <w:rsid w:val="00D76C7D"/>
    <w:rsid w:val="00D77222"/>
    <w:rsid w:val="00D773A4"/>
    <w:rsid w:val="00D778EB"/>
    <w:rsid w:val="00D77C30"/>
    <w:rsid w:val="00D804AA"/>
    <w:rsid w:val="00D814D8"/>
    <w:rsid w:val="00D8164B"/>
    <w:rsid w:val="00D817AB"/>
    <w:rsid w:val="00D81E2E"/>
    <w:rsid w:val="00D824C2"/>
    <w:rsid w:val="00D829AA"/>
    <w:rsid w:val="00D82C4F"/>
    <w:rsid w:val="00D82E5C"/>
    <w:rsid w:val="00D83186"/>
    <w:rsid w:val="00D8429A"/>
    <w:rsid w:val="00D84526"/>
    <w:rsid w:val="00D84CAE"/>
    <w:rsid w:val="00D85174"/>
    <w:rsid w:val="00D853EC"/>
    <w:rsid w:val="00D8556E"/>
    <w:rsid w:val="00D8590A"/>
    <w:rsid w:val="00D85CC2"/>
    <w:rsid w:val="00D85D05"/>
    <w:rsid w:val="00D85F47"/>
    <w:rsid w:val="00D8606A"/>
    <w:rsid w:val="00D86331"/>
    <w:rsid w:val="00D8640E"/>
    <w:rsid w:val="00D865B6"/>
    <w:rsid w:val="00D869BC"/>
    <w:rsid w:val="00D86AC0"/>
    <w:rsid w:val="00D86AFF"/>
    <w:rsid w:val="00D86DA2"/>
    <w:rsid w:val="00D86E4E"/>
    <w:rsid w:val="00D872E1"/>
    <w:rsid w:val="00D87553"/>
    <w:rsid w:val="00D87911"/>
    <w:rsid w:val="00D87C7C"/>
    <w:rsid w:val="00D87E34"/>
    <w:rsid w:val="00D9012D"/>
    <w:rsid w:val="00D90144"/>
    <w:rsid w:val="00D907D5"/>
    <w:rsid w:val="00D91726"/>
    <w:rsid w:val="00D91EDB"/>
    <w:rsid w:val="00D92A16"/>
    <w:rsid w:val="00D92D4C"/>
    <w:rsid w:val="00D931E2"/>
    <w:rsid w:val="00D93436"/>
    <w:rsid w:val="00D9387B"/>
    <w:rsid w:val="00D93A23"/>
    <w:rsid w:val="00D93B1F"/>
    <w:rsid w:val="00D9411D"/>
    <w:rsid w:val="00D94FD1"/>
    <w:rsid w:val="00D95104"/>
    <w:rsid w:val="00D953E2"/>
    <w:rsid w:val="00D95A01"/>
    <w:rsid w:val="00D95B9B"/>
    <w:rsid w:val="00D9637F"/>
    <w:rsid w:val="00D96557"/>
    <w:rsid w:val="00D96D17"/>
    <w:rsid w:val="00D96DAE"/>
    <w:rsid w:val="00D96DEE"/>
    <w:rsid w:val="00D96EEE"/>
    <w:rsid w:val="00D9764C"/>
    <w:rsid w:val="00D9793E"/>
    <w:rsid w:val="00D97D15"/>
    <w:rsid w:val="00DA00DD"/>
    <w:rsid w:val="00DA09FB"/>
    <w:rsid w:val="00DA0FD2"/>
    <w:rsid w:val="00DA1066"/>
    <w:rsid w:val="00DA1130"/>
    <w:rsid w:val="00DA148B"/>
    <w:rsid w:val="00DA1673"/>
    <w:rsid w:val="00DA175F"/>
    <w:rsid w:val="00DA1A0B"/>
    <w:rsid w:val="00DA1E0A"/>
    <w:rsid w:val="00DA1FD0"/>
    <w:rsid w:val="00DA2078"/>
    <w:rsid w:val="00DA21AB"/>
    <w:rsid w:val="00DA2431"/>
    <w:rsid w:val="00DA2D08"/>
    <w:rsid w:val="00DA2EDE"/>
    <w:rsid w:val="00DA3469"/>
    <w:rsid w:val="00DA3822"/>
    <w:rsid w:val="00DA3E42"/>
    <w:rsid w:val="00DA3EA5"/>
    <w:rsid w:val="00DA5090"/>
    <w:rsid w:val="00DA510B"/>
    <w:rsid w:val="00DA55A5"/>
    <w:rsid w:val="00DA5707"/>
    <w:rsid w:val="00DA5C53"/>
    <w:rsid w:val="00DA6824"/>
    <w:rsid w:val="00DA707A"/>
    <w:rsid w:val="00DA71A9"/>
    <w:rsid w:val="00DA731E"/>
    <w:rsid w:val="00DA7EDC"/>
    <w:rsid w:val="00DB04DD"/>
    <w:rsid w:val="00DB05AF"/>
    <w:rsid w:val="00DB1904"/>
    <w:rsid w:val="00DB1FF2"/>
    <w:rsid w:val="00DB2EF9"/>
    <w:rsid w:val="00DB309E"/>
    <w:rsid w:val="00DB3BD6"/>
    <w:rsid w:val="00DB4211"/>
    <w:rsid w:val="00DB423B"/>
    <w:rsid w:val="00DB430E"/>
    <w:rsid w:val="00DB4978"/>
    <w:rsid w:val="00DB4AD7"/>
    <w:rsid w:val="00DB4BEA"/>
    <w:rsid w:val="00DB502F"/>
    <w:rsid w:val="00DB5610"/>
    <w:rsid w:val="00DB563D"/>
    <w:rsid w:val="00DB5B8F"/>
    <w:rsid w:val="00DB5BDE"/>
    <w:rsid w:val="00DB6146"/>
    <w:rsid w:val="00DB73E4"/>
    <w:rsid w:val="00DB78B2"/>
    <w:rsid w:val="00DB7A89"/>
    <w:rsid w:val="00DB7DED"/>
    <w:rsid w:val="00DC0150"/>
    <w:rsid w:val="00DC093B"/>
    <w:rsid w:val="00DC0E01"/>
    <w:rsid w:val="00DC10EF"/>
    <w:rsid w:val="00DC1359"/>
    <w:rsid w:val="00DC158C"/>
    <w:rsid w:val="00DC1635"/>
    <w:rsid w:val="00DC23C1"/>
    <w:rsid w:val="00DC2F6B"/>
    <w:rsid w:val="00DC30E9"/>
    <w:rsid w:val="00DC32BE"/>
    <w:rsid w:val="00DC38F3"/>
    <w:rsid w:val="00DC390A"/>
    <w:rsid w:val="00DC3AEF"/>
    <w:rsid w:val="00DC3D46"/>
    <w:rsid w:val="00DC3F21"/>
    <w:rsid w:val="00DC3F90"/>
    <w:rsid w:val="00DC41BD"/>
    <w:rsid w:val="00DC42BF"/>
    <w:rsid w:val="00DC4D42"/>
    <w:rsid w:val="00DC5207"/>
    <w:rsid w:val="00DC5961"/>
    <w:rsid w:val="00DC5B82"/>
    <w:rsid w:val="00DC5E35"/>
    <w:rsid w:val="00DC5E6F"/>
    <w:rsid w:val="00DC5ED3"/>
    <w:rsid w:val="00DC6142"/>
    <w:rsid w:val="00DC62DD"/>
    <w:rsid w:val="00DC6CAD"/>
    <w:rsid w:val="00DC6D34"/>
    <w:rsid w:val="00DC7143"/>
    <w:rsid w:val="00DC7A2C"/>
    <w:rsid w:val="00DC7C99"/>
    <w:rsid w:val="00DD0009"/>
    <w:rsid w:val="00DD01D2"/>
    <w:rsid w:val="00DD065D"/>
    <w:rsid w:val="00DD08A7"/>
    <w:rsid w:val="00DD0A14"/>
    <w:rsid w:val="00DD0A24"/>
    <w:rsid w:val="00DD0BEC"/>
    <w:rsid w:val="00DD10EC"/>
    <w:rsid w:val="00DD1128"/>
    <w:rsid w:val="00DD11CD"/>
    <w:rsid w:val="00DD12E6"/>
    <w:rsid w:val="00DD23A1"/>
    <w:rsid w:val="00DD2440"/>
    <w:rsid w:val="00DD2592"/>
    <w:rsid w:val="00DD2CF5"/>
    <w:rsid w:val="00DD2F78"/>
    <w:rsid w:val="00DD30D3"/>
    <w:rsid w:val="00DD3126"/>
    <w:rsid w:val="00DD3B18"/>
    <w:rsid w:val="00DD411D"/>
    <w:rsid w:val="00DD43CE"/>
    <w:rsid w:val="00DD46A0"/>
    <w:rsid w:val="00DD4B80"/>
    <w:rsid w:val="00DD4DC4"/>
    <w:rsid w:val="00DD4DE6"/>
    <w:rsid w:val="00DD56D2"/>
    <w:rsid w:val="00DD5BF4"/>
    <w:rsid w:val="00DD62F4"/>
    <w:rsid w:val="00DD6381"/>
    <w:rsid w:val="00DD6648"/>
    <w:rsid w:val="00DD66F8"/>
    <w:rsid w:val="00DD72BC"/>
    <w:rsid w:val="00DD767A"/>
    <w:rsid w:val="00DD76E9"/>
    <w:rsid w:val="00DD7996"/>
    <w:rsid w:val="00DD7B68"/>
    <w:rsid w:val="00DD7BC0"/>
    <w:rsid w:val="00DE0073"/>
    <w:rsid w:val="00DE0238"/>
    <w:rsid w:val="00DE05D3"/>
    <w:rsid w:val="00DE0941"/>
    <w:rsid w:val="00DE0CA4"/>
    <w:rsid w:val="00DE0D93"/>
    <w:rsid w:val="00DE124F"/>
    <w:rsid w:val="00DE131C"/>
    <w:rsid w:val="00DE1983"/>
    <w:rsid w:val="00DE1B07"/>
    <w:rsid w:val="00DE2128"/>
    <w:rsid w:val="00DE21A3"/>
    <w:rsid w:val="00DE25F0"/>
    <w:rsid w:val="00DE26D1"/>
    <w:rsid w:val="00DE28D0"/>
    <w:rsid w:val="00DE2A13"/>
    <w:rsid w:val="00DE2B62"/>
    <w:rsid w:val="00DE2CEB"/>
    <w:rsid w:val="00DE2FB4"/>
    <w:rsid w:val="00DE2FE9"/>
    <w:rsid w:val="00DE3945"/>
    <w:rsid w:val="00DE3995"/>
    <w:rsid w:val="00DE3AC6"/>
    <w:rsid w:val="00DE3C36"/>
    <w:rsid w:val="00DE3DDF"/>
    <w:rsid w:val="00DE4185"/>
    <w:rsid w:val="00DE438C"/>
    <w:rsid w:val="00DE4396"/>
    <w:rsid w:val="00DE4A55"/>
    <w:rsid w:val="00DE4FF0"/>
    <w:rsid w:val="00DE4FFD"/>
    <w:rsid w:val="00DE5743"/>
    <w:rsid w:val="00DE59BC"/>
    <w:rsid w:val="00DE5C7E"/>
    <w:rsid w:val="00DE670B"/>
    <w:rsid w:val="00DE6865"/>
    <w:rsid w:val="00DE6881"/>
    <w:rsid w:val="00DE6ED7"/>
    <w:rsid w:val="00DE6EDE"/>
    <w:rsid w:val="00DE7038"/>
    <w:rsid w:val="00DE775D"/>
    <w:rsid w:val="00DF020F"/>
    <w:rsid w:val="00DF0C13"/>
    <w:rsid w:val="00DF1448"/>
    <w:rsid w:val="00DF14BB"/>
    <w:rsid w:val="00DF186A"/>
    <w:rsid w:val="00DF1974"/>
    <w:rsid w:val="00DF1FB2"/>
    <w:rsid w:val="00DF2189"/>
    <w:rsid w:val="00DF2269"/>
    <w:rsid w:val="00DF2667"/>
    <w:rsid w:val="00DF2A78"/>
    <w:rsid w:val="00DF2BE6"/>
    <w:rsid w:val="00DF335B"/>
    <w:rsid w:val="00DF34E4"/>
    <w:rsid w:val="00DF3626"/>
    <w:rsid w:val="00DF3971"/>
    <w:rsid w:val="00DF3AA6"/>
    <w:rsid w:val="00DF4637"/>
    <w:rsid w:val="00DF4A67"/>
    <w:rsid w:val="00DF4EBD"/>
    <w:rsid w:val="00DF5084"/>
    <w:rsid w:val="00DF543E"/>
    <w:rsid w:val="00DF5C48"/>
    <w:rsid w:val="00DF5F0A"/>
    <w:rsid w:val="00DF6514"/>
    <w:rsid w:val="00DF655C"/>
    <w:rsid w:val="00DF677C"/>
    <w:rsid w:val="00DF6A02"/>
    <w:rsid w:val="00DF75B8"/>
    <w:rsid w:val="00DF7620"/>
    <w:rsid w:val="00DF793E"/>
    <w:rsid w:val="00DF7F5F"/>
    <w:rsid w:val="00E0054E"/>
    <w:rsid w:val="00E005B4"/>
    <w:rsid w:val="00E005E6"/>
    <w:rsid w:val="00E00D78"/>
    <w:rsid w:val="00E0192C"/>
    <w:rsid w:val="00E01B97"/>
    <w:rsid w:val="00E026BF"/>
    <w:rsid w:val="00E02CA1"/>
    <w:rsid w:val="00E02CFA"/>
    <w:rsid w:val="00E03041"/>
    <w:rsid w:val="00E03849"/>
    <w:rsid w:val="00E049BD"/>
    <w:rsid w:val="00E05476"/>
    <w:rsid w:val="00E06029"/>
    <w:rsid w:val="00E06191"/>
    <w:rsid w:val="00E0622E"/>
    <w:rsid w:val="00E0623B"/>
    <w:rsid w:val="00E0631C"/>
    <w:rsid w:val="00E063DD"/>
    <w:rsid w:val="00E064E8"/>
    <w:rsid w:val="00E06913"/>
    <w:rsid w:val="00E06B73"/>
    <w:rsid w:val="00E06CAB"/>
    <w:rsid w:val="00E06CCA"/>
    <w:rsid w:val="00E06D9C"/>
    <w:rsid w:val="00E0705F"/>
    <w:rsid w:val="00E072D9"/>
    <w:rsid w:val="00E0770D"/>
    <w:rsid w:val="00E07EEF"/>
    <w:rsid w:val="00E104CE"/>
    <w:rsid w:val="00E1050E"/>
    <w:rsid w:val="00E10894"/>
    <w:rsid w:val="00E108BF"/>
    <w:rsid w:val="00E10CB2"/>
    <w:rsid w:val="00E11043"/>
    <w:rsid w:val="00E11792"/>
    <w:rsid w:val="00E11EB9"/>
    <w:rsid w:val="00E11EDE"/>
    <w:rsid w:val="00E12381"/>
    <w:rsid w:val="00E12ABD"/>
    <w:rsid w:val="00E130D8"/>
    <w:rsid w:val="00E13127"/>
    <w:rsid w:val="00E132DB"/>
    <w:rsid w:val="00E13486"/>
    <w:rsid w:val="00E14042"/>
    <w:rsid w:val="00E1429B"/>
    <w:rsid w:val="00E148BA"/>
    <w:rsid w:val="00E14B03"/>
    <w:rsid w:val="00E150BF"/>
    <w:rsid w:val="00E15234"/>
    <w:rsid w:val="00E16852"/>
    <w:rsid w:val="00E16872"/>
    <w:rsid w:val="00E16904"/>
    <w:rsid w:val="00E16C56"/>
    <w:rsid w:val="00E1709F"/>
    <w:rsid w:val="00E17976"/>
    <w:rsid w:val="00E1797A"/>
    <w:rsid w:val="00E17B19"/>
    <w:rsid w:val="00E17FC4"/>
    <w:rsid w:val="00E21053"/>
    <w:rsid w:val="00E21141"/>
    <w:rsid w:val="00E216DC"/>
    <w:rsid w:val="00E2184C"/>
    <w:rsid w:val="00E21F78"/>
    <w:rsid w:val="00E24825"/>
    <w:rsid w:val="00E25280"/>
    <w:rsid w:val="00E26097"/>
    <w:rsid w:val="00E265D9"/>
    <w:rsid w:val="00E26838"/>
    <w:rsid w:val="00E26BC3"/>
    <w:rsid w:val="00E26E12"/>
    <w:rsid w:val="00E2700D"/>
    <w:rsid w:val="00E27445"/>
    <w:rsid w:val="00E2750C"/>
    <w:rsid w:val="00E27A71"/>
    <w:rsid w:val="00E30957"/>
    <w:rsid w:val="00E309FE"/>
    <w:rsid w:val="00E30D11"/>
    <w:rsid w:val="00E30FAC"/>
    <w:rsid w:val="00E3103F"/>
    <w:rsid w:val="00E31589"/>
    <w:rsid w:val="00E315B8"/>
    <w:rsid w:val="00E31B8C"/>
    <w:rsid w:val="00E31FB0"/>
    <w:rsid w:val="00E327D1"/>
    <w:rsid w:val="00E32D5A"/>
    <w:rsid w:val="00E32ECA"/>
    <w:rsid w:val="00E33291"/>
    <w:rsid w:val="00E3390C"/>
    <w:rsid w:val="00E33A9C"/>
    <w:rsid w:val="00E34928"/>
    <w:rsid w:val="00E34A00"/>
    <w:rsid w:val="00E34A0D"/>
    <w:rsid w:val="00E35752"/>
    <w:rsid w:val="00E35D8B"/>
    <w:rsid w:val="00E36015"/>
    <w:rsid w:val="00E360B2"/>
    <w:rsid w:val="00E360D2"/>
    <w:rsid w:val="00E36419"/>
    <w:rsid w:val="00E3659D"/>
    <w:rsid w:val="00E365C6"/>
    <w:rsid w:val="00E36C70"/>
    <w:rsid w:val="00E36F1C"/>
    <w:rsid w:val="00E37175"/>
    <w:rsid w:val="00E371BF"/>
    <w:rsid w:val="00E371FE"/>
    <w:rsid w:val="00E37441"/>
    <w:rsid w:val="00E376B9"/>
    <w:rsid w:val="00E378F4"/>
    <w:rsid w:val="00E4110F"/>
    <w:rsid w:val="00E41372"/>
    <w:rsid w:val="00E4163A"/>
    <w:rsid w:val="00E41D9A"/>
    <w:rsid w:val="00E420D9"/>
    <w:rsid w:val="00E42F0C"/>
    <w:rsid w:val="00E43183"/>
    <w:rsid w:val="00E43D11"/>
    <w:rsid w:val="00E44203"/>
    <w:rsid w:val="00E445F2"/>
    <w:rsid w:val="00E44CD0"/>
    <w:rsid w:val="00E44D22"/>
    <w:rsid w:val="00E44EA6"/>
    <w:rsid w:val="00E457AA"/>
    <w:rsid w:val="00E457C4"/>
    <w:rsid w:val="00E45B71"/>
    <w:rsid w:val="00E45BE2"/>
    <w:rsid w:val="00E45DCB"/>
    <w:rsid w:val="00E464AA"/>
    <w:rsid w:val="00E4664A"/>
    <w:rsid w:val="00E46A0B"/>
    <w:rsid w:val="00E46AD2"/>
    <w:rsid w:val="00E46BFE"/>
    <w:rsid w:val="00E46C68"/>
    <w:rsid w:val="00E46E8F"/>
    <w:rsid w:val="00E46F44"/>
    <w:rsid w:val="00E470D1"/>
    <w:rsid w:val="00E475FF"/>
    <w:rsid w:val="00E479AA"/>
    <w:rsid w:val="00E47BB7"/>
    <w:rsid w:val="00E47D9F"/>
    <w:rsid w:val="00E47DD5"/>
    <w:rsid w:val="00E50573"/>
    <w:rsid w:val="00E505EE"/>
    <w:rsid w:val="00E50815"/>
    <w:rsid w:val="00E513E7"/>
    <w:rsid w:val="00E51EB4"/>
    <w:rsid w:val="00E526E9"/>
    <w:rsid w:val="00E5293A"/>
    <w:rsid w:val="00E52CF2"/>
    <w:rsid w:val="00E52F76"/>
    <w:rsid w:val="00E53A3B"/>
    <w:rsid w:val="00E53EE7"/>
    <w:rsid w:val="00E54433"/>
    <w:rsid w:val="00E54505"/>
    <w:rsid w:val="00E545E1"/>
    <w:rsid w:val="00E54D24"/>
    <w:rsid w:val="00E54E8A"/>
    <w:rsid w:val="00E54FCE"/>
    <w:rsid w:val="00E55933"/>
    <w:rsid w:val="00E55BD5"/>
    <w:rsid w:val="00E55FE6"/>
    <w:rsid w:val="00E56134"/>
    <w:rsid w:val="00E564CC"/>
    <w:rsid w:val="00E570ED"/>
    <w:rsid w:val="00E57657"/>
    <w:rsid w:val="00E57BA6"/>
    <w:rsid w:val="00E57CA8"/>
    <w:rsid w:val="00E57F0E"/>
    <w:rsid w:val="00E6025C"/>
    <w:rsid w:val="00E60E1F"/>
    <w:rsid w:val="00E61C88"/>
    <w:rsid w:val="00E61C98"/>
    <w:rsid w:val="00E62763"/>
    <w:rsid w:val="00E6284A"/>
    <w:rsid w:val="00E63294"/>
    <w:rsid w:val="00E63AD9"/>
    <w:rsid w:val="00E63B65"/>
    <w:rsid w:val="00E63CB0"/>
    <w:rsid w:val="00E64342"/>
    <w:rsid w:val="00E645F8"/>
    <w:rsid w:val="00E6476D"/>
    <w:rsid w:val="00E6482A"/>
    <w:rsid w:val="00E64A58"/>
    <w:rsid w:val="00E64A8D"/>
    <w:rsid w:val="00E66013"/>
    <w:rsid w:val="00E6618A"/>
    <w:rsid w:val="00E664B5"/>
    <w:rsid w:val="00E669C4"/>
    <w:rsid w:val="00E66CE5"/>
    <w:rsid w:val="00E66D28"/>
    <w:rsid w:val="00E66F2B"/>
    <w:rsid w:val="00E678CC"/>
    <w:rsid w:val="00E67D5C"/>
    <w:rsid w:val="00E67D72"/>
    <w:rsid w:val="00E71186"/>
    <w:rsid w:val="00E713D0"/>
    <w:rsid w:val="00E714D1"/>
    <w:rsid w:val="00E71ED6"/>
    <w:rsid w:val="00E71F0E"/>
    <w:rsid w:val="00E72175"/>
    <w:rsid w:val="00E721C0"/>
    <w:rsid w:val="00E72CF3"/>
    <w:rsid w:val="00E72F8C"/>
    <w:rsid w:val="00E732DC"/>
    <w:rsid w:val="00E733D4"/>
    <w:rsid w:val="00E73689"/>
    <w:rsid w:val="00E73C26"/>
    <w:rsid w:val="00E7447B"/>
    <w:rsid w:val="00E74D4E"/>
    <w:rsid w:val="00E75151"/>
    <w:rsid w:val="00E7573F"/>
    <w:rsid w:val="00E7669B"/>
    <w:rsid w:val="00E76835"/>
    <w:rsid w:val="00E76AF9"/>
    <w:rsid w:val="00E76B9B"/>
    <w:rsid w:val="00E76D2A"/>
    <w:rsid w:val="00E77031"/>
    <w:rsid w:val="00E77395"/>
    <w:rsid w:val="00E777BC"/>
    <w:rsid w:val="00E77A6B"/>
    <w:rsid w:val="00E80325"/>
    <w:rsid w:val="00E80393"/>
    <w:rsid w:val="00E80498"/>
    <w:rsid w:val="00E80BF2"/>
    <w:rsid w:val="00E8107E"/>
    <w:rsid w:val="00E8117F"/>
    <w:rsid w:val="00E81645"/>
    <w:rsid w:val="00E818DC"/>
    <w:rsid w:val="00E819D7"/>
    <w:rsid w:val="00E81B4B"/>
    <w:rsid w:val="00E827D3"/>
    <w:rsid w:val="00E82835"/>
    <w:rsid w:val="00E82A89"/>
    <w:rsid w:val="00E82BD2"/>
    <w:rsid w:val="00E82E1A"/>
    <w:rsid w:val="00E83322"/>
    <w:rsid w:val="00E834A0"/>
    <w:rsid w:val="00E84023"/>
    <w:rsid w:val="00E8427E"/>
    <w:rsid w:val="00E842D4"/>
    <w:rsid w:val="00E84844"/>
    <w:rsid w:val="00E84CF4"/>
    <w:rsid w:val="00E8634C"/>
    <w:rsid w:val="00E865C2"/>
    <w:rsid w:val="00E86AFD"/>
    <w:rsid w:val="00E873DF"/>
    <w:rsid w:val="00E87BCF"/>
    <w:rsid w:val="00E90684"/>
    <w:rsid w:val="00E90BA1"/>
    <w:rsid w:val="00E90C66"/>
    <w:rsid w:val="00E90DE8"/>
    <w:rsid w:val="00E9111D"/>
    <w:rsid w:val="00E914DC"/>
    <w:rsid w:val="00E91D20"/>
    <w:rsid w:val="00E91E7A"/>
    <w:rsid w:val="00E91F87"/>
    <w:rsid w:val="00E92184"/>
    <w:rsid w:val="00E9239E"/>
    <w:rsid w:val="00E924D4"/>
    <w:rsid w:val="00E931B1"/>
    <w:rsid w:val="00E93ABA"/>
    <w:rsid w:val="00E93D59"/>
    <w:rsid w:val="00E94791"/>
    <w:rsid w:val="00E948AF"/>
    <w:rsid w:val="00E94B01"/>
    <w:rsid w:val="00E952CB"/>
    <w:rsid w:val="00E953C1"/>
    <w:rsid w:val="00E9590C"/>
    <w:rsid w:val="00E95BEA"/>
    <w:rsid w:val="00E95C23"/>
    <w:rsid w:val="00E95CD9"/>
    <w:rsid w:val="00E95E52"/>
    <w:rsid w:val="00E960BC"/>
    <w:rsid w:val="00E967B7"/>
    <w:rsid w:val="00E96A0D"/>
    <w:rsid w:val="00E970D5"/>
    <w:rsid w:val="00E97215"/>
    <w:rsid w:val="00E975E7"/>
    <w:rsid w:val="00E9765A"/>
    <w:rsid w:val="00E97862"/>
    <w:rsid w:val="00E97AE8"/>
    <w:rsid w:val="00E97ED6"/>
    <w:rsid w:val="00EA0109"/>
    <w:rsid w:val="00EA0333"/>
    <w:rsid w:val="00EA071E"/>
    <w:rsid w:val="00EA1057"/>
    <w:rsid w:val="00EA17E7"/>
    <w:rsid w:val="00EA1B31"/>
    <w:rsid w:val="00EA1E67"/>
    <w:rsid w:val="00EA1E6F"/>
    <w:rsid w:val="00EA2074"/>
    <w:rsid w:val="00EA20A2"/>
    <w:rsid w:val="00EA2202"/>
    <w:rsid w:val="00EA25A3"/>
    <w:rsid w:val="00EA2FE8"/>
    <w:rsid w:val="00EA3B23"/>
    <w:rsid w:val="00EA3F14"/>
    <w:rsid w:val="00EA40E8"/>
    <w:rsid w:val="00EA49E6"/>
    <w:rsid w:val="00EA4B0D"/>
    <w:rsid w:val="00EA5297"/>
    <w:rsid w:val="00EA547E"/>
    <w:rsid w:val="00EA5689"/>
    <w:rsid w:val="00EA583B"/>
    <w:rsid w:val="00EA5DEF"/>
    <w:rsid w:val="00EA5FD3"/>
    <w:rsid w:val="00EA6377"/>
    <w:rsid w:val="00EA663D"/>
    <w:rsid w:val="00EA6F1A"/>
    <w:rsid w:val="00EA7178"/>
    <w:rsid w:val="00EA762C"/>
    <w:rsid w:val="00EA7803"/>
    <w:rsid w:val="00EB0231"/>
    <w:rsid w:val="00EB023C"/>
    <w:rsid w:val="00EB0B80"/>
    <w:rsid w:val="00EB12E5"/>
    <w:rsid w:val="00EB17F0"/>
    <w:rsid w:val="00EB1804"/>
    <w:rsid w:val="00EB1939"/>
    <w:rsid w:val="00EB1B18"/>
    <w:rsid w:val="00EB1F78"/>
    <w:rsid w:val="00EB2155"/>
    <w:rsid w:val="00EB277D"/>
    <w:rsid w:val="00EB2CEA"/>
    <w:rsid w:val="00EB30C3"/>
    <w:rsid w:val="00EB30E7"/>
    <w:rsid w:val="00EB38B3"/>
    <w:rsid w:val="00EB3B51"/>
    <w:rsid w:val="00EB3EF0"/>
    <w:rsid w:val="00EB3F66"/>
    <w:rsid w:val="00EB4164"/>
    <w:rsid w:val="00EB4788"/>
    <w:rsid w:val="00EB517D"/>
    <w:rsid w:val="00EB5379"/>
    <w:rsid w:val="00EB5789"/>
    <w:rsid w:val="00EB5D6B"/>
    <w:rsid w:val="00EB5F5E"/>
    <w:rsid w:val="00EB5FF9"/>
    <w:rsid w:val="00EB60B2"/>
    <w:rsid w:val="00EB62A7"/>
    <w:rsid w:val="00EB640B"/>
    <w:rsid w:val="00EB6466"/>
    <w:rsid w:val="00EB64F3"/>
    <w:rsid w:val="00EB69FA"/>
    <w:rsid w:val="00EB71CE"/>
    <w:rsid w:val="00EB7792"/>
    <w:rsid w:val="00EB77D3"/>
    <w:rsid w:val="00EB794F"/>
    <w:rsid w:val="00EB7A6D"/>
    <w:rsid w:val="00EC01D4"/>
    <w:rsid w:val="00EC0203"/>
    <w:rsid w:val="00EC03E0"/>
    <w:rsid w:val="00EC0897"/>
    <w:rsid w:val="00EC0EB5"/>
    <w:rsid w:val="00EC1233"/>
    <w:rsid w:val="00EC123F"/>
    <w:rsid w:val="00EC137C"/>
    <w:rsid w:val="00EC16CF"/>
    <w:rsid w:val="00EC19C8"/>
    <w:rsid w:val="00EC1C9D"/>
    <w:rsid w:val="00EC1D95"/>
    <w:rsid w:val="00EC211D"/>
    <w:rsid w:val="00EC232B"/>
    <w:rsid w:val="00EC25DC"/>
    <w:rsid w:val="00EC29CC"/>
    <w:rsid w:val="00EC2A3A"/>
    <w:rsid w:val="00EC2D36"/>
    <w:rsid w:val="00EC3020"/>
    <w:rsid w:val="00EC30F8"/>
    <w:rsid w:val="00EC312B"/>
    <w:rsid w:val="00EC3584"/>
    <w:rsid w:val="00EC3631"/>
    <w:rsid w:val="00EC3B8B"/>
    <w:rsid w:val="00EC3DC1"/>
    <w:rsid w:val="00EC5216"/>
    <w:rsid w:val="00EC5774"/>
    <w:rsid w:val="00EC5996"/>
    <w:rsid w:val="00EC5B21"/>
    <w:rsid w:val="00EC5C74"/>
    <w:rsid w:val="00EC6213"/>
    <w:rsid w:val="00EC6540"/>
    <w:rsid w:val="00EC661A"/>
    <w:rsid w:val="00EC7195"/>
    <w:rsid w:val="00EC756B"/>
    <w:rsid w:val="00EC79CD"/>
    <w:rsid w:val="00EC7E58"/>
    <w:rsid w:val="00ED003A"/>
    <w:rsid w:val="00ED0073"/>
    <w:rsid w:val="00ED0366"/>
    <w:rsid w:val="00ED1E2A"/>
    <w:rsid w:val="00ED20B7"/>
    <w:rsid w:val="00ED20E7"/>
    <w:rsid w:val="00ED20EA"/>
    <w:rsid w:val="00ED2192"/>
    <w:rsid w:val="00ED2587"/>
    <w:rsid w:val="00ED2E27"/>
    <w:rsid w:val="00ED33A7"/>
    <w:rsid w:val="00ED3470"/>
    <w:rsid w:val="00ED3E21"/>
    <w:rsid w:val="00ED3F3D"/>
    <w:rsid w:val="00ED4AAE"/>
    <w:rsid w:val="00ED4EF9"/>
    <w:rsid w:val="00ED4FC3"/>
    <w:rsid w:val="00ED5986"/>
    <w:rsid w:val="00ED620B"/>
    <w:rsid w:val="00ED6437"/>
    <w:rsid w:val="00ED643C"/>
    <w:rsid w:val="00ED680F"/>
    <w:rsid w:val="00ED6E0D"/>
    <w:rsid w:val="00ED7131"/>
    <w:rsid w:val="00ED756C"/>
    <w:rsid w:val="00EE0012"/>
    <w:rsid w:val="00EE0424"/>
    <w:rsid w:val="00EE04F5"/>
    <w:rsid w:val="00EE05F1"/>
    <w:rsid w:val="00EE09FC"/>
    <w:rsid w:val="00EE0B6F"/>
    <w:rsid w:val="00EE14C8"/>
    <w:rsid w:val="00EE14F4"/>
    <w:rsid w:val="00EE192A"/>
    <w:rsid w:val="00EE1C97"/>
    <w:rsid w:val="00EE1D2E"/>
    <w:rsid w:val="00EE212C"/>
    <w:rsid w:val="00EE2A21"/>
    <w:rsid w:val="00EE2AAE"/>
    <w:rsid w:val="00EE3BE3"/>
    <w:rsid w:val="00EE3FF8"/>
    <w:rsid w:val="00EE439E"/>
    <w:rsid w:val="00EE47D7"/>
    <w:rsid w:val="00EE4E5C"/>
    <w:rsid w:val="00EE5071"/>
    <w:rsid w:val="00EE50D3"/>
    <w:rsid w:val="00EE5199"/>
    <w:rsid w:val="00EE532C"/>
    <w:rsid w:val="00EE537B"/>
    <w:rsid w:val="00EE557E"/>
    <w:rsid w:val="00EE6134"/>
    <w:rsid w:val="00EE653C"/>
    <w:rsid w:val="00EE6D3D"/>
    <w:rsid w:val="00EE72CE"/>
    <w:rsid w:val="00EF065F"/>
    <w:rsid w:val="00EF08F4"/>
    <w:rsid w:val="00EF0D1F"/>
    <w:rsid w:val="00EF100F"/>
    <w:rsid w:val="00EF1439"/>
    <w:rsid w:val="00EF1489"/>
    <w:rsid w:val="00EF16FF"/>
    <w:rsid w:val="00EF17EC"/>
    <w:rsid w:val="00EF20BB"/>
    <w:rsid w:val="00EF286D"/>
    <w:rsid w:val="00EF28E5"/>
    <w:rsid w:val="00EF2A32"/>
    <w:rsid w:val="00EF2CD6"/>
    <w:rsid w:val="00EF335A"/>
    <w:rsid w:val="00EF3633"/>
    <w:rsid w:val="00EF39E2"/>
    <w:rsid w:val="00EF3B36"/>
    <w:rsid w:val="00EF3F7B"/>
    <w:rsid w:val="00EF45B7"/>
    <w:rsid w:val="00EF4DC5"/>
    <w:rsid w:val="00EF4E6B"/>
    <w:rsid w:val="00EF4ECD"/>
    <w:rsid w:val="00EF5048"/>
    <w:rsid w:val="00EF53E9"/>
    <w:rsid w:val="00EF5BA2"/>
    <w:rsid w:val="00EF5C08"/>
    <w:rsid w:val="00EF6C42"/>
    <w:rsid w:val="00EF6DB6"/>
    <w:rsid w:val="00EF7138"/>
    <w:rsid w:val="00EF714A"/>
    <w:rsid w:val="00EF7281"/>
    <w:rsid w:val="00EF7939"/>
    <w:rsid w:val="00EF7950"/>
    <w:rsid w:val="00EF7E4B"/>
    <w:rsid w:val="00F00124"/>
    <w:rsid w:val="00F003F9"/>
    <w:rsid w:val="00F0070B"/>
    <w:rsid w:val="00F008A6"/>
    <w:rsid w:val="00F00FC0"/>
    <w:rsid w:val="00F015C1"/>
    <w:rsid w:val="00F015F3"/>
    <w:rsid w:val="00F02D12"/>
    <w:rsid w:val="00F030E2"/>
    <w:rsid w:val="00F03674"/>
    <w:rsid w:val="00F044AC"/>
    <w:rsid w:val="00F04635"/>
    <w:rsid w:val="00F04772"/>
    <w:rsid w:val="00F04B21"/>
    <w:rsid w:val="00F04B9D"/>
    <w:rsid w:val="00F060E5"/>
    <w:rsid w:val="00F06A69"/>
    <w:rsid w:val="00F07963"/>
    <w:rsid w:val="00F07A1E"/>
    <w:rsid w:val="00F07CAE"/>
    <w:rsid w:val="00F07D1E"/>
    <w:rsid w:val="00F102E9"/>
    <w:rsid w:val="00F10C56"/>
    <w:rsid w:val="00F10F8F"/>
    <w:rsid w:val="00F1108E"/>
    <w:rsid w:val="00F11205"/>
    <w:rsid w:val="00F1153F"/>
    <w:rsid w:val="00F11557"/>
    <w:rsid w:val="00F11DFE"/>
    <w:rsid w:val="00F11EA1"/>
    <w:rsid w:val="00F125E0"/>
    <w:rsid w:val="00F12A2D"/>
    <w:rsid w:val="00F1352A"/>
    <w:rsid w:val="00F13960"/>
    <w:rsid w:val="00F14436"/>
    <w:rsid w:val="00F1462B"/>
    <w:rsid w:val="00F14955"/>
    <w:rsid w:val="00F149C9"/>
    <w:rsid w:val="00F14B37"/>
    <w:rsid w:val="00F14BDD"/>
    <w:rsid w:val="00F15734"/>
    <w:rsid w:val="00F1586C"/>
    <w:rsid w:val="00F15A88"/>
    <w:rsid w:val="00F15AE9"/>
    <w:rsid w:val="00F15C82"/>
    <w:rsid w:val="00F15FC4"/>
    <w:rsid w:val="00F16972"/>
    <w:rsid w:val="00F169AB"/>
    <w:rsid w:val="00F16A52"/>
    <w:rsid w:val="00F17106"/>
    <w:rsid w:val="00F176AB"/>
    <w:rsid w:val="00F178A9"/>
    <w:rsid w:val="00F20300"/>
    <w:rsid w:val="00F208F3"/>
    <w:rsid w:val="00F20D3F"/>
    <w:rsid w:val="00F20F0B"/>
    <w:rsid w:val="00F211EF"/>
    <w:rsid w:val="00F21457"/>
    <w:rsid w:val="00F21AA8"/>
    <w:rsid w:val="00F21F33"/>
    <w:rsid w:val="00F227A5"/>
    <w:rsid w:val="00F22A2A"/>
    <w:rsid w:val="00F22C46"/>
    <w:rsid w:val="00F23395"/>
    <w:rsid w:val="00F235A4"/>
    <w:rsid w:val="00F23858"/>
    <w:rsid w:val="00F23E35"/>
    <w:rsid w:val="00F23F9D"/>
    <w:rsid w:val="00F23FA6"/>
    <w:rsid w:val="00F24021"/>
    <w:rsid w:val="00F240AA"/>
    <w:rsid w:val="00F245F9"/>
    <w:rsid w:val="00F24917"/>
    <w:rsid w:val="00F25098"/>
    <w:rsid w:val="00F25CC0"/>
    <w:rsid w:val="00F25E32"/>
    <w:rsid w:val="00F2652A"/>
    <w:rsid w:val="00F26FB8"/>
    <w:rsid w:val="00F2700D"/>
    <w:rsid w:val="00F27441"/>
    <w:rsid w:val="00F30B43"/>
    <w:rsid w:val="00F3129C"/>
    <w:rsid w:val="00F315BE"/>
    <w:rsid w:val="00F31B3A"/>
    <w:rsid w:val="00F322A2"/>
    <w:rsid w:val="00F329C4"/>
    <w:rsid w:val="00F33312"/>
    <w:rsid w:val="00F33957"/>
    <w:rsid w:val="00F339DC"/>
    <w:rsid w:val="00F34B30"/>
    <w:rsid w:val="00F35539"/>
    <w:rsid w:val="00F3579D"/>
    <w:rsid w:val="00F36133"/>
    <w:rsid w:val="00F36642"/>
    <w:rsid w:val="00F3684F"/>
    <w:rsid w:val="00F36AF2"/>
    <w:rsid w:val="00F36D2F"/>
    <w:rsid w:val="00F37834"/>
    <w:rsid w:val="00F37B45"/>
    <w:rsid w:val="00F37B94"/>
    <w:rsid w:val="00F37D7A"/>
    <w:rsid w:val="00F401C9"/>
    <w:rsid w:val="00F40AF5"/>
    <w:rsid w:val="00F40C8C"/>
    <w:rsid w:val="00F41407"/>
    <w:rsid w:val="00F4173C"/>
    <w:rsid w:val="00F42A9F"/>
    <w:rsid w:val="00F42B66"/>
    <w:rsid w:val="00F42F65"/>
    <w:rsid w:val="00F43193"/>
    <w:rsid w:val="00F431DE"/>
    <w:rsid w:val="00F432E1"/>
    <w:rsid w:val="00F43434"/>
    <w:rsid w:val="00F4358F"/>
    <w:rsid w:val="00F4386A"/>
    <w:rsid w:val="00F439E9"/>
    <w:rsid w:val="00F44117"/>
    <w:rsid w:val="00F4464A"/>
    <w:rsid w:val="00F4465F"/>
    <w:rsid w:val="00F4490F"/>
    <w:rsid w:val="00F44F67"/>
    <w:rsid w:val="00F453DC"/>
    <w:rsid w:val="00F4543D"/>
    <w:rsid w:val="00F45497"/>
    <w:rsid w:val="00F45EB3"/>
    <w:rsid w:val="00F45F0D"/>
    <w:rsid w:val="00F4631C"/>
    <w:rsid w:val="00F4691C"/>
    <w:rsid w:val="00F469A0"/>
    <w:rsid w:val="00F46CCF"/>
    <w:rsid w:val="00F46D2F"/>
    <w:rsid w:val="00F471BD"/>
    <w:rsid w:val="00F47BD2"/>
    <w:rsid w:val="00F5003E"/>
    <w:rsid w:val="00F501CA"/>
    <w:rsid w:val="00F50234"/>
    <w:rsid w:val="00F50429"/>
    <w:rsid w:val="00F504C2"/>
    <w:rsid w:val="00F50CDF"/>
    <w:rsid w:val="00F50D50"/>
    <w:rsid w:val="00F51B29"/>
    <w:rsid w:val="00F51DAA"/>
    <w:rsid w:val="00F5203B"/>
    <w:rsid w:val="00F522A1"/>
    <w:rsid w:val="00F52342"/>
    <w:rsid w:val="00F52A8D"/>
    <w:rsid w:val="00F52C4B"/>
    <w:rsid w:val="00F545B8"/>
    <w:rsid w:val="00F55463"/>
    <w:rsid w:val="00F55858"/>
    <w:rsid w:val="00F5596C"/>
    <w:rsid w:val="00F55B57"/>
    <w:rsid w:val="00F56379"/>
    <w:rsid w:val="00F567FC"/>
    <w:rsid w:val="00F56908"/>
    <w:rsid w:val="00F56E53"/>
    <w:rsid w:val="00F56EB5"/>
    <w:rsid w:val="00F57675"/>
    <w:rsid w:val="00F57752"/>
    <w:rsid w:val="00F579E0"/>
    <w:rsid w:val="00F60261"/>
    <w:rsid w:val="00F609B3"/>
    <w:rsid w:val="00F60C55"/>
    <w:rsid w:val="00F6261B"/>
    <w:rsid w:val="00F62636"/>
    <w:rsid w:val="00F62833"/>
    <w:rsid w:val="00F6285F"/>
    <w:rsid w:val="00F62A50"/>
    <w:rsid w:val="00F630A9"/>
    <w:rsid w:val="00F631D1"/>
    <w:rsid w:val="00F63B9F"/>
    <w:rsid w:val="00F63FDE"/>
    <w:rsid w:val="00F640FD"/>
    <w:rsid w:val="00F64C4B"/>
    <w:rsid w:val="00F650D5"/>
    <w:rsid w:val="00F652B9"/>
    <w:rsid w:val="00F65484"/>
    <w:rsid w:val="00F6587B"/>
    <w:rsid w:val="00F65BBB"/>
    <w:rsid w:val="00F65E67"/>
    <w:rsid w:val="00F65F8E"/>
    <w:rsid w:val="00F66F31"/>
    <w:rsid w:val="00F70008"/>
    <w:rsid w:val="00F701FF"/>
    <w:rsid w:val="00F7050D"/>
    <w:rsid w:val="00F705B3"/>
    <w:rsid w:val="00F718C8"/>
    <w:rsid w:val="00F71EC7"/>
    <w:rsid w:val="00F722B5"/>
    <w:rsid w:val="00F7261D"/>
    <w:rsid w:val="00F72729"/>
    <w:rsid w:val="00F72C81"/>
    <w:rsid w:val="00F72CA9"/>
    <w:rsid w:val="00F737DC"/>
    <w:rsid w:val="00F74A57"/>
    <w:rsid w:val="00F75302"/>
    <w:rsid w:val="00F7530F"/>
    <w:rsid w:val="00F75B02"/>
    <w:rsid w:val="00F75B84"/>
    <w:rsid w:val="00F76644"/>
    <w:rsid w:val="00F766E9"/>
    <w:rsid w:val="00F768C0"/>
    <w:rsid w:val="00F768E8"/>
    <w:rsid w:val="00F7699F"/>
    <w:rsid w:val="00F76C69"/>
    <w:rsid w:val="00F77069"/>
    <w:rsid w:val="00F772E4"/>
    <w:rsid w:val="00F776D8"/>
    <w:rsid w:val="00F77805"/>
    <w:rsid w:val="00F80059"/>
    <w:rsid w:val="00F805D7"/>
    <w:rsid w:val="00F8085C"/>
    <w:rsid w:val="00F80965"/>
    <w:rsid w:val="00F80D6C"/>
    <w:rsid w:val="00F81979"/>
    <w:rsid w:val="00F81AB8"/>
    <w:rsid w:val="00F82580"/>
    <w:rsid w:val="00F82676"/>
    <w:rsid w:val="00F8297B"/>
    <w:rsid w:val="00F82B49"/>
    <w:rsid w:val="00F82D82"/>
    <w:rsid w:val="00F82EE7"/>
    <w:rsid w:val="00F8372B"/>
    <w:rsid w:val="00F83B53"/>
    <w:rsid w:val="00F83FC6"/>
    <w:rsid w:val="00F841D1"/>
    <w:rsid w:val="00F84AC8"/>
    <w:rsid w:val="00F84AD8"/>
    <w:rsid w:val="00F84CC3"/>
    <w:rsid w:val="00F8534F"/>
    <w:rsid w:val="00F85585"/>
    <w:rsid w:val="00F85729"/>
    <w:rsid w:val="00F8591A"/>
    <w:rsid w:val="00F85DA3"/>
    <w:rsid w:val="00F85DFF"/>
    <w:rsid w:val="00F8608A"/>
    <w:rsid w:val="00F864B8"/>
    <w:rsid w:val="00F8691F"/>
    <w:rsid w:val="00F869C4"/>
    <w:rsid w:val="00F86A7D"/>
    <w:rsid w:val="00F86ED9"/>
    <w:rsid w:val="00F87014"/>
    <w:rsid w:val="00F87371"/>
    <w:rsid w:val="00F874E0"/>
    <w:rsid w:val="00F87623"/>
    <w:rsid w:val="00F87629"/>
    <w:rsid w:val="00F87780"/>
    <w:rsid w:val="00F8796A"/>
    <w:rsid w:val="00F9074B"/>
    <w:rsid w:val="00F907CF"/>
    <w:rsid w:val="00F90BB2"/>
    <w:rsid w:val="00F91242"/>
    <w:rsid w:val="00F91707"/>
    <w:rsid w:val="00F91754"/>
    <w:rsid w:val="00F918D9"/>
    <w:rsid w:val="00F91F70"/>
    <w:rsid w:val="00F92874"/>
    <w:rsid w:val="00F928AB"/>
    <w:rsid w:val="00F92E4C"/>
    <w:rsid w:val="00F930B8"/>
    <w:rsid w:val="00F93753"/>
    <w:rsid w:val="00F93951"/>
    <w:rsid w:val="00F93B46"/>
    <w:rsid w:val="00F941FA"/>
    <w:rsid w:val="00F94624"/>
    <w:rsid w:val="00F94BCD"/>
    <w:rsid w:val="00F94C76"/>
    <w:rsid w:val="00F94D8B"/>
    <w:rsid w:val="00F954C5"/>
    <w:rsid w:val="00F95907"/>
    <w:rsid w:val="00F95A5E"/>
    <w:rsid w:val="00F95AC1"/>
    <w:rsid w:val="00F960F7"/>
    <w:rsid w:val="00F96377"/>
    <w:rsid w:val="00F96397"/>
    <w:rsid w:val="00F9645F"/>
    <w:rsid w:val="00F96F81"/>
    <w:rsid w:val="00F97208"/>
    <w:rsid w:val="00F97389"/>
    <w:rsid w:val="00F9755A"/>
    <w:rsid w:val="00F97887"/>
    <w:rsid w:val="00F97A9C"/>
    <w:rsid w:val="00F97ADA"/>
    <w:rsid w:val="00F97E84"/>
    <w:rsid w:val="00FA00A3"/>
    <w:rsid w:val="00FA0969"/>
    <w:rsid w:val="00FA12B5"/>
    <w:rsid w:val="00FA1839"/>
    <w:rsid w:val="00FA19B6"/>
    <w:rsid w:val="00FA1BD5"/>
    <w:rsid w:val="00FA2B2C"/>
    <w:rsid w:val="00FA2C20"/>
    <w:rsid w:val="00FA2CD4"/>
    <w:rsid w:val="00FA2FBF"/>
    <w:rsid w:val="00FA3752"/>
    <w:rsid w:val="00FA3B02"/>
    <w:rsid w:val="00FA4930"/>
    <w:rsid w:val="00FA4C56"/>
    <w:rsid w:val="00FA4C61"/>
    <w:rsid w:val="00FA4D46"/>
    <w:rsid w:val="00FA529F"/>
    <w:rsid w:val="00FA5698"/>
    <w:rsid w:val="00FA581F"/>
    <w:rsid w:val="00FA5A4F"/>
    <w:rsid w:val="00FA6554"/>
    <w:rsid w:val="00FA6D36"/>
    <w:rsid w:val="00FA78D7"/>
    <w:rsid w:val="00FB036A"/>
    <w:rsid w:val="00FB04B0"/>
    <w:rsid w:val="00FB05B7"/>
    <w:rsid w:val="00FB092A"/>
    <w:rsid w:val="00FB0BF6"/>
    <w:rsid w:val="00FB0D71"/>
    <w:rsid w:val="00FB0EE1"/>
    <w:rsid w:val="00FB106B"/>
    <w:rsid w:val="00FB1286"/>
    <w:rsid w:val="00FB1996"/>
    <w:rsid w:val="00FB1CC0"/>
    <w:rsid w:val="00FB1D47"/>
    <w:rsid w:val="00FB1E39"/>
    <w:rsid w:val="00FB2652"/>
    <w:rsid w:val="00FB2858"/>
    <w:rsid w:val="00FB2AD6"/>
    <w:rsid w:val="00FB2BE7"/>
    <w:rsid w:val="00FB2C78"/>
    <w:rsid w:val="00FB2E51"/>
    <w:rsid w:val="00FB2E53"/>
    <w:rsid w:val="00FB2E80"/>
    <w:rsid w:val="00FB2F09"/>
    <w:rsid w:val="00FB4073"/>
    <w:rsid w:val="00FB4113"/>
    <w:rsid w:val="00FB44C4"/>
    <w:rsid w:val="00FB47E9"/>
    <w:rsid w:val="00FB4CEF"/>
    <w:rsid w:val="00FB52C2"/>
    <w:rsid w:val="00FB5FAA"/>
    <w:rsid w:val="00FB62BF"/>
    <w:rsid w:val="00FB6F02"/>
    <w:rsid w:val="00FB7717"/>
    <w:rsid w:val="00FB7C8A"/>
    <w:rsid w:val="00FB7CAD"/>
    <w:rsid w:val="00FC02BF"/>
    <w:rsid w:val="00FC031A"/>
    <w:rsid w:val="00FC057A"/>
    <w:rsid w:val="00FC0A79"/>
    <w:rsid w:val="00FC103D"/>
    <w:rsid w:val="00FC1732"/>
    <w:rsid w:val="00FC206D"/>
    <w:rsid w:val="00FC2319"/>
    <w:rsid w:val="00FC264D"/>
    <w:rsid w:val="00FC267E"/>
    <w:rsid w:val="00FC2B38"/>
    <w:rsid w:val="00FC2D3B"/>
    <w:rsid w:val="00FC2EB2"/>
    <w:rsid w:val="00FC31D0"/>
    <w:rsid w:val="00FC3B34"/>
    <w:rsid w:val="00FC3BE6"/>
    <w:rsid w:val="00FC4113"/>
    <w:rsid w:val="00FC41DD"/>
    <w:rsid w:val="00FC4BE1"/>
    <w:rsid w:val="00FC4E05"/>
    <w:rsid w:val="00FC4E1A"/>
    <w:rsid w:val="00FC4E1E"/>
    <w:rsid w:val="00FC4F3B"/>
    <w:rsid w:val="00FC536C"/>
    <w:rsid w:val="00FC54FA"/>
    <w:rsid w:val="00FC5610"/>
    <w:rsid w:val="00FC572B"/>
    <w:rsid w:val="00FC5A83"/>
    <w:rsid w:val="00FC5D02"/>
    <w:rsid w:val="00FC5EAD"/>
    <w:rsid w:val="00FC6004"/>
    <w:rsid w:val="00FC6554"/>
    <w:rsid w:val="00FC65AD"/>
    <w:rsid w:val="00FC6694"/>
    <w:rsid w:val="00FC679E"/>
    <w:rsid w:val="00FC7179"/>
    <w:rsid w:val="00FC7241"/>
    <w:rsid w:val="00FC727E"/>
    <w:rsid w:val="00FC74A7"/>
    <w:rsid w:val="00FC75B5"/>
    <w:rsid w:val="00FC7675"/>
    <w:rsid w:val="00FC7B87"/>
    <w:rsid w:val="00FD0B2C"/>
    <w:rsid w:val="00FD0BFE"/>
    <w:rsid w:val="00FD0E27"/>
    <w:rsid w:val="00FD116B"/>
    <w:rsid w:val="00FD1439"/>
    <w:rsid w:val="00FD16A3"/>
    <w:rsid w:val="00FD1AAE"/>
    <w:rsid w:val="00FD1CE8"/>
    <w:rsid w:val="00FD27E8"/>
    <w:rsid w:val="00FD2AD2"/>
    <w:rsid w:val="00FD2D02"/>
    <w:rsid w:val="00FD2FC1"/>
    <w:rsid w:val="00FD3624"/>
    <w:rsid w:val="00FD39E3"/>
    <w:rsid w:val="00FD3A49"/>
    <w:rsid w:val="00FD3DD9"/>
    <w:rsid w:val="00FD440E"/>
    <w:rsid w:val="00FD4549"/>
    <w:rsid w:val="00FD49C6"/>
    <w:rsid w:val="00FD4B15"/>
    <w:rsid w:val="00FD59FD"/>
    <w:rsid w:val="00FD5A7E"/>
    <w:rsid w:val="00FD5EC2"/>
    <w:rsid w:val="00FD66E1"/>
    <w:rsid w:val="00FD6C43"/>
    <w:rsid w:val="00FD6D75"/>
    <w:rsid w:val="00FD73D4"/>
    <w:rsid w:val="00FD79E2"/>
    <w:rsid w:val="00FD7A4E"/>
    <w:rsid w:val="00FD7B19"/>
    <w:rsid w:val="00FE004B"/>
    <w:rsid w:val="00FE042F"/>
    <w:rsid w:val="00FE05EC"/>
    <w:rsid w:val="00FE0983"/>
    <w:rsid w:val="00FE0DD8"/>
    <w:rsid w:val="00FE0E93"/>
    <w:rsid w:val="00FE10AD"/>
    <w:rsid w:val="00FE12CC"/>
    <w:rsid w:val="00FE1942"/>
    <w:rsid w:val="00FE19FE"/>
    <w:rsid w:val="00FE21F0"/>
    <w:rsid w:val="00FE22E8"/>
    <w:rsid w:val="00FE2E74"/>
    <w:rsid w:val="00FE2FA1"/>
    <w:rsid w:val="00FE30C0"/>
    <w:rsid w:val="00FE338E"/>
    <w:rsid w:val="00FE34F9"/>
    <w:rsid w:val="00FE3D41"/>
    <w:rsid w:val="00FE40CA"/>
    <w:rsid w:val="00FE4368"/>
    <w:rsid w:val="00FE463A"/>
    <w:rsid w:val="00FE4F23"/>
    <w:rsid w:val="00FE4F8D"/>
    <w:rsid w:val="00FE5243"/>
    <w:rsid w:val="00FE53E7"/>
    <w:rsid w:val="00FE5931"/>
    <w:rsid w:val="00FE5AA9"/>
    <w:rsid w:val="00FE5DE6"/>
    <w:rsid w:val="00FE6634"/>
    <w:rsid w:val="00FE6F88"/>
    <w:rsid w:val="00FE7F21"/>
    <w:rsid w:val="00FF0558"/>
    <w:rsid w:val="00FF0609"/>
    <w:rsid w:val="00FF0C1E"/>
    <w:rsid w:val="00FF0CC3"/>
    <w:rsid w:val="00FF0F5B"/>
    <w:rsid w:val="00FF121D"/>
    <w:rsid w:val="00FF1523"/>
    <w:rsid w:val="00FF18B3"/>
    <w:rsid w:val="00FF1C20"/>
    <w:rsid w:val="00FF1F40"/>
    <w:rsid w:val="00FF23B9"/>
    <w:rsid w:val="00FF2C18"/>
    <w:rsid w:val="00FF2C3C"/>
    <w:rsid w:val="00FF3357"/>
    <w:rsid w:val="00FF3557"/>
    <w:rsid w:val="00FF3770"/>
    <w:rsid w:val="00FF3835"/>
    <w:rsid w:val="00FF3C56"/>
    <w:rsid w:val="00FF40FB"/>
    <w:rsid w:val="00FF4382"/>
    <w:rsid w:val="00FF4BFC"/>
    <w:rsid w:val="00FF4D04"/>
    <w:rsid w:val="00FF5582"/>
    <w:rsid w:val="00FF56BA"/>
    <w:rsid w:val="00FF5CFC"/>
    <w:rsid w:val="00FF5F46"/>
    <w:rsid w:val="00FF6152"/>
    <w:rsid w:val="00FF619D"/>
    <w:rsid w:val="00FF6266"/>
    <w:rsid w:val="00FF62EE"/>
    <w:rsid w:val="00FF63D5"/>
    <w:rsid w:val="00FF6656"/>
    <w:rsid w:val="00FF671D"/>
    <w:rsid w:val="00FF681D"/>
    <w:rsid w:val="00FF6ED9"/>
    <w:rsid w:val="00FF6F99"/>
    <w:rsid w:val="00FF71E4"/>
    <w:rsid w:val="00FF74D6"/>
    <w:rsid w:val="01000431"/>
    <w:rsid w:val="01001B5E"/>
    <w:rsid w:val="010037F7"/>
    <w:rsid w:val="0100390C"/>
    <w:rsid w:val="01003B8B"/>
    <w:rsid w:val="0100410E"/>
    <w:rsid w:val="0100480C"/>
    <w:rsid w:val="01004F19"/>
    <w:rsid w:val="01006AA6"/>
    <w:rsid w:val="0100716B"/>
    <w:rsid w:val="01010BA0"/>
    <w:rsid w:val="01014B7E"/>
    <w:rsid w:val="010170C4"/>
    <w:rsid w:val="01017684"/>
    <w:rsid w:val="0102098A"/>
    <w:rsid w:val="01020DDC"/>
    <w:rsid w:val="01021BA8"/>
    <w:rsid w:val="01025825"/>
    <w:rsid w:val="01027E5C"/>
    <w:rsid w:val="01030A2B"/>
    <w:rsid w:val="01031A18"/>
    <w:rsid w:val="01032880"/>
    <w:rsid w:val="010351AA"/>
    <w:rsid w:val="01041111"/>
    <w:rsid w:val="010415BB"/>
    <w:rsid w:val="010423FE"/>
    <w:rsid w:val="01044D23"/>
    <w:rsid w:val="01045E93"/>
    <w:rsid w:val="010506EA"/>
    <w:rsid w:val="01050F22"/>
    <w:rsid w:val="0105303D"/>
    <w:rsid w:val="01057811"/>
    <w:rsid w:val="010616B6"/>
    <w:rsid w:val="01062FF0"/>
    <w:rsid w:val="01063F7A"/>
    <w:rsid w:val="01066A48"/>
    <w:rsid w:val="01070139"/>
    <w:rsid w:val="01072A7A"/>
    <w:rsid w:val="010765AB"/>
    <w:rsid w:val="010827C0"/>
    <w:rsid w:val="01082B28"/>
    <w:rsid w:val="01083CCE"/>
    <w:rsid w:val="01092552"/>
    <w:rsid w:val="01092E68"/>
    <w:rsid w:val="01094653"/>
    <w:rsid w:val="01094808"/>
    <w:rsid w:val="0109597C"/>
    <w:rsid w:val="01097D2F"/>
    <w:rsid w:val="010B159E"/>
    <w:rsid w:val="010B281D"/>
    <w:rsid w:val="010C5220"/>
    <w:rsid w:val="010D262E"/>
    <w:rsid w:val="010D3E4B"/>
    <w:rsid w:val="010D427B"/>
    <w:rsid w:val="010D7DD7"/>
    <w:rsid w:val="010E4606"/>
    <w:rsid w:val="010F0FD0"/>
    <w:rsid w:val="010F1DA1"/>
    <w:rsid w:val="010F3B4F"/>
    <w:rsid w:val="01103668"/>
    <w:rsid w:val="0110534D"/>
    <w:rsid w:val="011054C9"/>
    <w:rsid w:val="011078C7"/>
    <w:rsid w:val="01107AA1"/>
    <w:rsid w:val="01115B19"/>
    <w:rsid w:val="01120D0E"/>
    <w:rsid w:val="0112363F"/>
    <w:rsid w:val="011241F7"/>
    <w:rsid w:val="011253ED"/>
    <w:rsid w:val="01125FC4"/>
    <w:rsid w:val="01126858"/>
    <w:rsid w:val="011360AA"/>
    <w:rsid w:val="0113687C"/>
    <w:rsid w:val="011439B2"/>
    <w:rsid w:val="01145609"/>
    <w:rsid w:val="011473B7"/>
    <w:rsid w:val="01150CE5"/>
    <w:rsid w:val="01154E42"/>
    <w:rsid w:val="0115531D"/>
    <w:rsid w:val="01161521"/>
    <w:rsid w:val="011616BF"/>
    <w:rsid w:val="0116509D"/>
    <w:rsid w:val="01166EFA"/>
    <w:rsid w:val="01170C55"/>
    <w:rsid w:val="01170D13"/>
    <w:rsid w:val="01172333"/>
    <w:rsid w:val="01172A03"/>
    <w:rsid w:val="01173905"/>
    <w:rsid w:val="01173A0E"/>
    <w:rsid w:val="01175098"/>
    <w:rsid w:val="011764E8"/>
    <w:rsid w:val="01176EA7"/>
    <w:rsid w:val="011821BC"/>
    <w:rsid w:val="011865A4"/>
    <w:rsid w:val="0119228A"/>
    <w:rsid w:val="01194C53"/>
    <w:rsid w:val="011959AD"/>
    <w:rsid w:val="01197824"/>
    <w:rsid w:val="01197EC8"/>
    <w:rsid w:val="011A232A"/>
    <w:rsid w:val="011A3809"/>
    <w:rsid w:val="011A42F1"/>
    <w:rsid w:val="011A4D9A"/>
    <w:rsid w:val="011A4E34"/>
    <w:rsid w:val="011A4F03"/>
    <w:rsid w:val="011B0745"/>
    <w:rsid w:val="011B330C"/>
    <w:rsid w:val="011B4F24"/>
    <w:rsid w:val="011B6643"/>
    <w:rsid w:val="011C079D"/>
    <w:rsid w:val="011C0A03"/>
    <w:rsid w:val="011C0B6A"/>
    <w:rsid w:val="011C0BDE"/>
    <w:rsid w:val="011C3E3E"/>
    <w:rsid w:val="011C44BE"/>
    <w:rsid w:val="011C6007"/>
    <w:rsid w:val="011C626C"/>
    <w:rsid w:val="011D1B94"/>
    <w:rsid w:val="011D2508"/>
    <w:rsid w:val="011D2710"/>
    <w:rsid w:val="011E0236"/>
    <w:rsid w:val="011E0BE4"/>
    <w:rsid w:val="011E27A3"/>
    <w:rsid w:val="011E3D92"/>
    <w:rsid w:val="011F0AC5"/>
    <w:rsid w:val="011F5549"/>
    <w:rsid w:val="011F6927"/>
    <w:rsid w:val="01201F55"/>
    <w:rsid w:val="01203FAE"/>
    <w:rsid w:val="01205D5C"/>
    <w:rsid w:val="01207B0A"/>
    <w:rsid w:val="01207EA1"/>
    <w:rsid w:val="012146C6"/>
    <w:rsid w:val="01214875"/>
    <w:rsid w:val="01214DB5"/>
    <w:rsid w:val="01226447"/>
    <w:rsid w:val="01226F45"/>
    <w:rsid w:val="01227694"/>
    <w:rsid w:val="0123069D"/>
    <w:rsid w:val="012313A8"/>
    <w:rsid w:val="01233890"/>
    <w:rsid w:val="012343EF"/>
    <w:rsid w:val="012355E5"/>
    <w:rsid w:val="012375FA"/>
    <w:rsid w:val="012452BF"/>
    <w:rsid w:val="0124688F"/>
    <w:rsid w:val="01250237"/>
    <w:rsid w:val="012515C4"/>
    <w:rsid w:val="01251CE3"/>
    <w:rsid w:val="01252689"/>
    <w:rsid w:val="012531F6"/>
    <w:rsid w:val="01253372"/>
    <w:rsid w:val="01255DC7"/>
    <w:rsid w:val="01256E90"/>
    <w:rsid w:val="01260E98"/>
    <w:rsid w:val="012617C3"/>
    <w:rsid w:val="01262250"/>
    <w:rsid w:val="012628BE"/>
    <w:rsid w:val="01263329"/>
    <w:rsid w:val="01263704"/>
    <w:rsid w:val="01264686"/>
    <w:rsid w:val="012658C3"/>
    <w:rsid w:val="012670EA"/>
    <w:rsid w:val="0126782A"/>
    <w:rsid w:val="012704F5"/>
    <w:rsid w:val="01272686"/>
    <w:rsid w:val="01274976"/>
    <w:rsid w:val="0127533C"/>
    <w:rsid w:val="01276C16"/>
    <w:rsid w:val="012777BB"/>
    <w:rsid w:val="01281220"/>
    <w:rsid w:val="01281B77"/>
    <w:rsid w:val="01282C2D"/>
    <w:rsid w:val="01282E62"/>
    <w:rsid w:val="01284AF4"/>
    <w:rsid w:val="01287C3C"/>
    <w:rsid w:val="01293C99"/>
    <w:rsid w:val="01295D44"/>
    <w:rsid w:val="012A0989"/>
    <w:rsid w:val="012A0BB0"/>
    <w:rsid w:val="012A2737"/>
    <w:rsid w:val="012A76C1"/>
    <w:rsid w:val="012B1C39"/>
    <w:rsid w:val="012B4701"/>
    <w:rsid w:val="012B65BB"/>
    <w:rsid w:val="012B6828"/>
    <w:rsid w:val="012C14A1"/>
    <w:rsid w:val="012C1705"/>
    <w:rsid w:val="012C3AF8"/>
    <w:rsid w:val="012C503B"/>
    <w:rsid w:val="012D2ADD"/>
    <w:rsid w:val="012D4465"/>
    <w:rsid w:val="012D5C29"/>
    <w:rsid w:val="012D5CE7"/>
    <w:rsid w:val="012E3D9E"/>
    <w:rsid w:val="012E43C6"/>
    <w:rsid w:val="012E59E9"/>
    <w:rsid w:val="012F1C45"/>
    <w:rsid w:val="012F2443"/>
    <w:rsid w:val="012F41F1"/>
    <w:rsid w:val="012F4C93"/>
    <w:rsid w:val="012F550E"/>
    <w:rsid w:val="012F5F9F"/>
    <w:rsid w:val="01300309"/>
    <w:rsid w:val="01301C55"/>
    <w:rsid w:val="013020D8"/>
    <w:rsid w:val="01302EDA"/>
    <w:rsid w:val="013046D2"/>
    <w:rsid w:val="013050CF"/>
    <w:rsid w:val="01311D17"/>
    <w:rsid w:val="01312746"/>
    <w:rsid w:val="01312F7E"/>
    <w:rsid w:val="01314B3F"/>
    <w:rsid w:val="01317399"/>
    <w:rsid w:val="01317F69"/>
    <w:rsid w:val="01321359"/>
    <w:rsid w:val="01323CE1"/>
    <w:rsid w:val="013245F3"/>
    <w:rsid w:val="01325A8F"/>
    <w:rsid w:val="01325E22"/>
    <w:rsid w:val="01326F3B"/>
    <w:rsid w:val="01330069"/>
    <w:rsid w:val="013303CB"/>
    <w:rsid w:val="013304EB"/>
    <w:rsid w:val="01337018"/>
    <w:rsid w:val="01341807"/>
    <w:rsid w:val="01342627"/>
    <w:rsid w:val="01343C35"/>
    <w:rsid w:val="0134681B"/>
    <w:rsid w:val="0134787F"/>
    <w:rsid w:val="01347A59"/>
    <w:rsid w:val="01352CEB"/>
    <w:rsid w:val="01363E2F"/>
    <w:rsid w:val="0136417B"/>
    <w:rsid w:val="01366B8A"/>
    <w:rsid w:val="013712F7"/>
    <w:rsid w:val="01376393"/>
    <w:rsid w:val="01377A1E"/>
    <w:rsid w:val="01382DB4"/>
    <w:rsid w:val="01383173"/>
    <w:rsid w:val="01386F63"/>
    <w:rsid w:val="01390BCC"/>
    <w:rsid w:val="01391933"/>
    <w:rsid w:val="0139378E"/>
    <w:rsid w:val="01395070"/>
    <w:rsid w:val="0139611A"/>
    <w:rsid w:val="013A1401"/>
    <w:rsid w:val="013A2BA9"/>
    <w:rsid w:val="013A5699"/>
    <w:rsid w:val="013B0986"/>
    <w:rsid w:val="013B18AA"/>
    <w:rsid w:val="013B22A6"/>
    <w:rsid w:val="013C12CF"/>
    <w:rsid w:val="013C2B6F"/>
    <w:rsid w:val="013C3116"/>
    <w:rsid w:val="013C4F5A"/>
    <w:rsid w:val="013D3A83"/>
    <w:rsid w:val="013D4B60"/>
    <w:rsid w:val="013D5613"/>
    <w:rsid w:val="013D6444"/>
    <w:rsid w:val="013E09A8"/>
    <w:rsid w:val="013E332E"/>
    <w:rsid w:val="013E4434"/>
    <w:rsid w:val="013E4792"/>
    <w:rsid w:val="013E61E2"/>
    <w:rsid w:val="013F4F10"/>
    <w:rsid w:val="013F4F74"/>
    <w:rsid w:val="014001AC"/>
    <w:rsid w:val="01401169"/>
    <w:rsid w:val="01402F18"/>
    <w:rsid w:val="01405DDC"/>
    <w:rsid w:val="01410EB3"/>
    <w:rsid w:val="0141128E"/>
    <w:rsid w:val="01413F6E"/>
    <w:rsid w:val="01414CDB"/>
    <w:rsid w:val="01415CD2"/>
    <w:rsid w:val="014164D5"/>
    <w:rsid w:val="01422176"/>
    <w:rsid w:val="01423F24"/>
    <w:rsid w:val="01424AF7"/>
    <w:rsid w:val="014252EF"/>
    <w:rsid w:val="01431607"/>
    <w:rsid w:val="01432EC3"/>
    <w:rsid w:val="014332F3"/>
    <w:rsid w:val="01433C98"/>
    <w:rsid w:val="01435E9E"/>
    <w:rsid w:val="0143769E"/>
    <w:rsid w:val="01437EC0"/>
    <w:rsid w:val="0144487F"/>
    <w:rsid w:val="01444F15"/>
    <w:rsid w:val="01445277"/>
    <w:rsid w:val="01447C0F"/>
    <w:rsid w:val="01447E7D"/>
    <w:rsid w:val="01452C76"/>
    <w:rsid w:val="01453A14"/>
    <w:rsid w:val="01454680"/>
    <w:rsid w:val="014557C2"/>
    <w:rsid w:val="01457570"/>
    <w:rsid w:val="014610C1"/>
    <w:rsid w:val="014632E9"/>
    <w:rsid w:val="014714CA"/>
    <w:rsid w:val="0147153B"/>
    <w:rsid w:val="0147409C"/>
    <w:rsid w:val="01474CED"/>
    <w:rsid w:val="0147778C"/>
    <w:rsid w:val="01480B52"/>
    <w:rsid w:val="01483505"/>
    <w:rsid w:val="014852B3"/>
    <w:rsid w:val="01487061"/>
    <w:rsid w:val="0149612A"/>
    <w:rsid w:val="0149727D"/>
    <w:rsid w:val="01497818"/>
    <w:rsid w:val="014A1C5D"/>
    <w:rsid w:val="014A2DD9"/>
    <w:rsid w:val="014A7C57"/>
    <w:rsid w:val="014B3DCE"/>
    <w:rsid w:val="014C11D0"/>
    <w:rsid w:val="014C2A5E"/>
    <w:rsid w:val="014C6B51"/>
    <w:rsid w:val="014D0A7E"/>
    <w:rsid w:val="014D0B1B"/>
    <w:rsid w:val="014D0C4A"/>
    <w:rsid w:val="014D4677"/>
    <w:rsid w:val="014D5D56"/>
    <w:rsid w:val="014D7E21"/>
    <w:rsid w:val="014E02E1"/>
    <w:rsid w:val="014E481E"/>
    <w:rsid w:val="014E497D"/>
    <w:rsid w:val="014F03EF"/>
    <w:rsid w:val="014F4893"/>
    <w:rsid w:val="01500B9E"/>
    <w:rsid w:val="01500DF7"/>
    <w:rsid w:val="01501CCF"/>
    <w:rsid w:val="01503E86"/>
    <w:rsid w:val="0150569F"/>
    <w:rsid w:val="0150721F"/>
    <w:rsid w:val="01513954"/>
    <w:rsid w:val="01514167"/>
    <w:rsid w:val="015153FF"/>
    <w:rsid w:val="015202A0"/>
    <w:rsid w:val="01520598"/>
    <w:rsid w:val="01521370"/>
    <w:rsid w:val="01521C8D"/>
    <w:rsid w:val="01522315"/>
    <w:rsid w:val="01526004"/>
    <w:rsid w:val="01527EDF"/>
    <w:rsid w:val="0153644A"/>
    <w:rsid w:val="01541EA9"/>
    <w:rsid w:val="01543C57"/>
    <w:rsid w:val="01544356"/>
    <w:rsid w:val="01547704"/>
    <w:rsid w:val="015477C6"/>
    <w:rsid w:val="01561E37"/>
    <w:rsid w:val="01564BF5"/>
    <w:rsid w:val="01566235"/>
    <w:rsid w:val="015679D0"/>
    <w:rsid w:val="01572697"/>
    <w:rsid w:val="01573379"/>
    <w:rsid w:val="015754F6"/>
    <w:rsid w:val="01576085"/>
    <w:rsid w:val="015772A4"/>
    <w:rsid w:val="01577768"/>
    <w:rsid w:val="015817A7"/>
    <w:rsid w:val="01582C77"/>
    <w:rsid w:val="01583748"/>
    <w:rsid w:val="0159551D"/>
    <w:rsid w:val="01597778"/>
    <w:rsid w:val="015A2D58"/>
    <w:rsid w:val="015A4DAE"/>
    <w:rsid w:val="015A5F68"/>
    <w:rsid w:val="015A6147"/>
    <w:rsid w:val="015A6966"/>
    <w:rsid w:val="015A7EE1"/>
    <w:rsid w:val="015B0176"/>
    <w:rsid w:val="015B4A61"/>
    <w:rsid w:val="015B4FE6"/>
    <w:rsid w:val="015C48BA"/>
    <w:rsid w:val="015D05CF"/>
    <w:rsid w:val="015D0CE0"/>
    <w:rsid w:val="015D0D5E"/>
    <w:rsid w:val="015D16DB"/>
    <w:rsid w:val="015D43FD"/>
    <w:rsid w:val="015D7DA6"/>
    <w:rsid w:val="015E0125"/>
    <w:rsid w:val="015E209E"/>
    <w:rsid w:val="015F674C"/>
    <w:rsid w:val="015F6F56"/>
    <w:rsid w:val="0160032E"/>
    <w:rsid w:val="016023ED"/>
    <w:rsid w:val="016025FC"/>
    <w:rsid w:val="01603789"/>
    <w:rsid w:val="0160391C"/>
    <w:rsid w:val="01603D44"/>
    <w:rsid w:val="016043AA"/>
    <w:rsid w:val="01604516"/>
    <w:rsid w:val="01610122"/>
    <w:rsid w:val="01610AFB"/>
    <w:rsid w:val="0161194B"/>
    <w:rsid w:val="01613E53"/>
    <w:rsid w:val="01614D1E"/>
    <w:rsid w:val="01622BBF"/>
    <w:rsid w:val="016245C6"/>
    <w:rsid w:val="01624B2A"/>
    <w:rsid w:val="01625EEF"/>
    <w:rsid w:val="016320EC"/>
    <w:rsid w:val="01632298"/>
    <w:rsid w:val="0163351E"/>
    <w:rsid w:val="01633E9B"/>
    <w:rsid w:val="01635C49"/>
    <w:rsid w:val="016519C1"/>
    <w:rsid w:val="01655E65"/>
    <w:rsid w:val="01656A04"/>
    <w:rsid w:val="0166457E"/>
    <w:rsid w:val="01665AC2"/>
    <w:rsid w:val="01674DF2"/>
    <w:rsid w:val="01675C74"/>
    <w:rsid w:val="01677218"/>
    <w:rsid w:val="016772B5"/>
    <w:rsid w:val="016772BF"/>
    <w:rsid w:val="01680026"/>
    <w:rsid w:val="0168325F"/>
    <w:rsid w:val="01683FD3"/>
    <w:rsid w:val="0168443A"/>
    <w:rsid w:val="01685880"/>
    <w:rsid w:val="01685A5E"/>
    <w:rsid w:val="01685AF7"/>
    <w:rsid w:val="01685CBB"/>
    <w:rsid w:val="0168677D"/>
    <w:rsid w:val="0168677F"/>
    <w:rsid w:val="016902F1"/>
    <w:rsid w:val="0169049A"/>
    <w:rsid w:val="01691BDB"/>
    <w:rsid w:val="01692C65"/>
    <w:rsid w:val="01693610"/>
    <w:rsid w:val="01695955"/>
    <w:rsid w:val="01697AD7"/>
    <w:rsid w:val="016A2D14"/>
    <w:rsid w:val="016A347B"/>
    <w:rsid w:val="016A6FD7"/>
    <w:rsid w:val="016B3CA3"/>
    <w:rsid w:val="016B520D"/>
    <w:rsid w:val="016B772C"/>
    <w:rsid w:val="016C0FA1"/>
    <w:rsid w:val="016C2D4F"/>
    <w:rsid w:val="016C5B8B"/>
    <w:rsid w:val="016C67EA"/>
    <w:rsid w:val="016C71F3"/>
    <w:rsid w:val="016D309D"/>
    <w:rsid w:val="016D6AC7"/>
    <w:rsid w:val="016E0783"/>
    <w:rsid w:val="016E1743"/>
    <w:rsid w:val="016E2B6A"/>
    <w:rsid w:val="016E2F6B"/>
    <w:rsid w:val="016E4742"/>
    <w:rsid w:val="016E7794"/>
    <w:rsid w:val="016F45ED"/>
    <w:rsid w:val="016F48DB"/>
    <w:rsid w:val="016F4A91"/>
    <w:rsid w:val="016F5A4D"/>
    <w:rsid w:val="017007F9"/>
    <w:rsid w:val="0170360E"/>
    <w:rsid w:val="01710365"/>
    <w:rsid w:val="017142A4"/>
    <w:rsid w:val="01714809"/>
    <w:rsid w:val="017165B7"/>
    <w:rsid w:val="017240DE"/>
    <w:rsid w:val="017243CE"/>
    <w:rsid w:val="01732BD7"/>
    <w:rsid w:val="0173611A"/>
    <w:rsid w:val="0174232F"/>
    <w:rsid w:val="01743687"/>
    <w:rsid w:val="017442FA"/>
    <w:rsid w:val="01744CD2"/>
    <w:rsid w:val="01751C0E"/>
    <w:rsid w:val="01752D4F"/>
    <w:rsid w:val="01757F60"/>
    <w:rsid w:val="0176006D"/>
    <w:rsid w:val="0176160E"/>
    <w:rsid w:val="01761E20"/>
    <w:rsid w:val="01763BCE"/>
    <w:rsid w:val="01765468"/>
    <w:rsid w:val="01765DB4"/>
    <w:rsid w:val="01765E53"/>
    <w:rsid w:val="01772A9E"/>
    <w:rsid w:val="01772D47"/>
    <w:rsid w:val="01774D75"/>
    <w:rsid w:val="017767B7"/>
    <w:rsid w:val="01784FBF"/>
    <w:rsid w:val="01785B98"/>
    <w:rsid w:val="01787946"/>
    <w:rsid w:val="01791F31"/>
    <w:rsid w:val="017936BE"/>
    <w:rsid w:val="0179546C"/>
    <w:rsid w:val="017A141F"/>
    <w:rsid w:val="017A421A"/>
    <w:rsid w:val="017A5202"/>
    <w:rsid w:val="017B03F0"/>
    <w:rsid w:val="017B0D89"/>
    <w:rsid w:val="017B11E4"/>
    <w:rsid w:val="017B2B13"/>
    <w:rsid w:val="017B2F92"/>
    <w:rsid w:val="017B59D7"/>
    <w:rsid w:val="017C0051"/>
    <w:rsid w:val="017C41D5"/>
    <w:rsid w:val="017C44D5"/>
    <w:rsid w:val="017C65C5"/>
    <w:rsid w:val="017C6910"/>
    <w:rsid w:val="017C6D0A"/>
    <w:rsid w:val="017C735E"/>
    <w:rsid w:val="017D0A3E"/>
    <w:rsid w:val="017D1717"/>
    <w:rsid w:val="017D1B5C"/>
    <w:rsid w:val="017D21EF"/>
    <w:rsid w:val="017D38E5"/>
    <w:rsid w:val="017D44BE"/>
    <w:rsid w:val="017D4F5C"/>
    <w:rsid w:val="017E0CD4"/>
    <w:rsid w:val="017E2971"/>
    <w:rsid w:val="017E4FFB"/>
    <w:rsid w:val="017E51B7"/>
    <w:rsid w:val="017E5331"/>
    <w:rsid w:val="017E54D8"/>
    <w:rsid w:val="017E5500"/>
    <w:rsid w:val="017E6F26"/>
    <w:rsid w:val="017F5000"/>
    <w:rsid w:val="017F69D2"/>
    <w:rsid w:val="017F6FD8"/>
    <w:rsid w:val="01801459"/>
    <w:rsid w:val="01801501"/>
    <w:rsid w:val="01802C9E"/>
    <w:rsid w:val="018067FB"/>
    <w:rsid w:val="0181148C"/>
    <w:rsid w:val="01814321"/>
    <w:rsid w:val="01814CB8"/>
    <w:rsid w:val="0181687F"/>
    <w:rsid w:val="018207C5"/>
    <w:rsid w:val="01821A92"/>
    <w:rsid w:val="01822573"/>
    <w:rsid w:val="018226EA"/>
    <w:rsid w:val="018259B6"/>
    <w:rsid w:val="01827C1C"/>
    <w:rsid w:val="018308D0"/>
    <w:rsid w:val="0183453D"/>
    <w:rsid w:val="018362EB"/>
    <w:rsid w:val="01840370"/>
    <w:rsid w:val="01841A4B"/>
    <w:rsid w:val="01846DA0"/>
    <w:rsid w:val="01847FB6"/>
    <w:rsid w:val="018502B5"/>
    <w:rsid w:val="01852063"/>
    <w:rsid w:val="01853350"/>
    <w:rsid w:val="01856EA6"/>
    <w:rsid w:val="01857055"/>
    <w:rsid w:val="01863E71"/>
    <w:rsid w:val="0186738A"/>
    <w:rsid w:val="0187096B"/>
    <w:rsid w:val="0187402D"/>
    <w:rsid w:val="01875299"/>
    <w:rsid w:val="01875DDB"/>
    <w:rsid w:val="01877B89"/>
    <w:rsid w:val="01883901"/>
    <w:rsid w:val="018856AF"/>
    <w:rsid w:val="018865F4"/>
    <w:rsid w:val="01890B2A"/>
    <w:rsid w:val="01891038"/>
    <w:rsid w:val="018A1499"/>
    <w:rsid w:val="018A1556"/>
    <w:rsid w:val="018A58CB"/>
    <w:rsid w:val="018A7679"/>
    <w:rsid w:val="018A7BAD"/>
    <w:rsid w:val="018B1B96"/>
    <w:rsid w:val="018B1C01"/>
    <w:rsid w:val="018B458F"/>
    <w:rsid w:val="018B6EAC"/>
    <w:rsid w:val="018C1643"/>
    <w:rsid w:val="018C2B87"/>
    <w:rsid w:val="018C4A16"/>
    <w:rsid w:val="018C519F"/>
    <w:rsid w:val="018D0F17"/>
    <w:rsid w:val="018D7153"/>
    <w:rsid w:val="018D7895"/>
    <w:rsid w:val="018E0570"/>
    <w:rsid w:val="018E2CA8"/>
    <w:rsid w:val="018E7169"/>
    <w:rsid w:val="018F42AC"/>
    <w:rsid w:val="018F4C90"/>
    <w:rsid w:val="018F64CB"/>
    <w:rsid w:val="019029C6"/>
    <w:rsid w:val="01904EEE"/>
    <w:rsid w:val="01905AE6"/>
    <w:rsid w:val="01910DE7"/>
    <w:rsid w:val="01911652"/>
    <w:rsid w:val="01911826"/>
    <w:rsid w:val="01911E0A"/>
    <w:rsid w:val="0191342F"/>
    <w:rsid w:val="019140A5"/>
    <w:rsid w:val="01916C5A"/>
    <w:rsid w:val="019202E0"/>
    <w:rsid w:val="01921AB5"/>
    <w:rsid w:val="01922277"/>
    <w:rsid w:val="01924994"/>
    <w:rsid w:val="0192503A"/>
    <w:rsid w:val="01926948"/>
    <w:rsid w:val="019329D2"/>
    <w:rsid w:val="01934780"/>
    <w:rsid w:val="0193490B"/>
    <w:rsid w:val="01937664"/>
    <w:rsid w:val="01937B02"/>
    <w:rsid w:val="01937DFE"/>
    <w:rsid w:val="019403F6"/>
    <w:rsid w:val="019404F8"/>
    <w:rsid w:val="01942219"/>
    <w:rsid w:val="01944054"/>
    <w:rsid w:val="01944E0C"/>
    <w:rsid w:val="0194674A"/>
    <w:rsid w:val="01953710"/>
    <w:rsid w:val="01956C5E"/>
    <w:rsid w:val="01960BF8"/>
    <w:rsid w:val="01961E26"/>
    <w:rsid w:val="0196601E"/>
    <w:rsid w:val="01966B4B"/>
    <w:rsid w:val="01971BFF"/>
    <w:rsid w:val="01972738"/>
    <w:rsid w:val="01981D96"/>
    <w:rsid w:val="019835A2"/>
    <w:rsid w:val="019839AC"/>
    <w:rsid w:val="01984E71"/>
    <w:rsid w:val="01987FE8"/>
    <w:rsid w:val="0199239B"/>
    <w:rsid w:val="01992689"/>
    <w:rsid w:val="01993D60"/>
    <w:rsid w:val="01995B0E"/>
    <w:rsid w:val="019A0A5B"/>
    <w:rsid w:val="019A1269"/>
    <w:rsid w:val="019A180E"/>
    <w:rsid w:val="019B1886"/>
    <w:rsid w:val="019B37E7"/>
    <w:rsid w:val="019B4648"/>
    <w:rsid w:val="019B6498"/>
    <w:rsid w:val="019C2576"/>
    <w:rsid w:val="019C2A05"/>
    <w:rsid w:val="019C32AA"/>
    <w:rsid w:val="019D3F33"/>
    <w:rsid w:val="019D55FE"/>
    <w:rsid w:val="019D6A05"/>
    <w:rsid w:val="019D6B37"/>
    <w:rsid w:val="019D73AC"/>
    <w:rsid w:val="019E2918"/>
    <w:rsid w:val="019E2973"/>
    <w:rsid w:val="019E3C5D"/>
    <w:rsid w:val="019E4ED3"/>
    <w:rsid w:val="019E54C6"/>
    <w:rsid w:val="019E5738"/>
    <w:rsid w:val="019F33EB"/>
    <w:rsid w:val="019F5813"/>
    <w:rsid w:val="019F6273"/>
    <w:rsid w:val="01A0355C"/>
    <w:rsid w:val="01A050EF"/>
    <w:rsid w:val="01A108DC"/>
    <w:rsid w:val="01A2062B"/>
    <w:rsid w:val="01A22C15"/>
    <w:rsid w:val="01A24FCA"/>
    <w:rsid w:val="01A25492"/>
    <w:rsid w:val="01A26771"/>
    <w:rsid w:val="01A26B66"/>
    <w:rsid w:val="01A2719B"/>
    <w:rsid w:val="01A3073B"/>
    <w:rsid w:val="01A30AFA"/>
    <w:rsid w:val="01A324E9"/>
    <w:rsid w:val="01A32FAF"/>
    <w:rsid w:val="01A33BE0"/>
    <w:rsid w:val="01A4468C"/>
    <w:rsid w:val="01A4698D"/>
    <w:rsid w:val="01A50744"/>
    <w:rsid w:val="01A52705"/>
    <w:rsid w:val="01A544B3"/>
    <w:rsid w:val="01A54618"/>
    <w:rsid w:val="01A552E0"/>
    <w:rsid w:val="01A56261"/>
    <w:rsid w:val="01A57824"/>
    <w:rsid w:val="01A60C78"/>
    <w:rsid w:val="01A61C28"/>
    <w:rsid w:val="01A63B13"/>
    <w:rsid w:val="01A63CBD"/>
    <w:rsid w:val="01A64DB9"/>
    <w:rsid w:val="01A6708D"/>
    <w:rsid w:val="01A70918"/>
    <w:rsid w:val="01A71FD9"/>
    <w:rsid w:val="01A73D87"/>
    <w:rsid w:val="01A754AC"/>
    <w:rsid w:val="01A7647D"/>
    <w:rsid w:val="01A77925"/>
    <w:rsid w:val="01A81CCD"/>
    <w:rsid w:val="01A87AFF"/>
    <w:rsid w:val="01A94B56"/>
    <w:rsid w:val="01A9669A"/>
    <w:rsid w:val="01AA30AA"/>
    <w:rsid w:val="01AA3575"/>
    <w:rsid w:val="01AA3877"/>
    <w:rsid w:val="01AA4091"/>
    <w:rsid w:val="01AA4D23"/>
    <w:rsid w:val="01AA5195"/>
    <w:rsid w:val="01AA5C6D"/>
    <w:rsid w:val="01AA6213"/>
    <w:rsid w:val="01AC22E6"/>
    <w:rsid w:val="01AC3A93"/>
    <w:rsid w:val="01AC475F"/>
    <w:rsid w:val="01AC5842"/>
    <w:rsid w:val="01AC6618"/>
    <w:rsid w:val="01AD0876"/>
    <w:rsid w:val="01AD2CAB"/>
    <w:rsid w:val="01AD2ED4"/>
    <w:rsid w:val="01AD6E7F"/>
    <w:rsid w:val="01AD6FF3"/>
    <w:rsid w:val="01AD71CF"/>
    <w:rsid w:val="01AE2323"/>
    <w:rsid w:val="01AE2EF9"/>
    <w:rsid w:val="01AE3368"/>
    <w:rsid w:val="01AF0CDE"/>
    <w:rsid w:val="01AF0E8E"/>
    <w:rsid w:val="01AF5332"/>
    <w:rsid w:val="01AF70E0"/>
    <w:rsid w:val="01AF75E9"/>
    <w:rsid w:val="01B060AD"/>
    <w:rsid w:val="01B06182"/>
    <w:rsid w:val="01B110AA"/>
    <w:rsid w:val="01B114A5"/>
    <w:rsid w:val="01B13012"/>
    <w:rsid w:val="01B14C06"/>
    <w:rsid w:val="01B16C90"/>
    <w:rsid w:val="01B179FD"/>
    <w:rsid w:val="01B32419"/>
    <w:rsid w:val="01B36BD0"/>
    <w:rsid w:val="01B37417"/>
    <w:rsid w:val="01B37F9D"/>
    <w:rsid w:val="01B42948"/>
    <w:rsid w:val="01B43E84"/>
    <w:rsid w:val="01B446F6"/>
    <w:rsid w:val="01B449CB"/>
    <w:rsid w:val="01B464A4"/>
    <w:rsid w:val="01B5399A"/>
    <w:rsid w:val="01B54BB3"/>
    <w:rsid w:val="01B57370"/>
    <w:rsid w:val="01B5766B"/>
    <w:rsid w:val="01B57CFC"/>
    <w:rsid w:val="01B605B6"/>
    <w:rsid w:val="01B62071"/>
    <w:rsid w:val="01B6221C"/>
    <w:rsid w:val="01B6253F"/>
    <w:rsid w:val="01B633F4"/>
    <w:rsid w:val="01B63574"/>
    <w:rsid w:val="01B64A2F"/>
    <w:rsid w:val="01B657D4"/>
    <w:rsid w:val="01B667B9"/>
    <w:rsid w:val="01B71D50"/>
    <w:rsid w:val="01B75242"/>
    <w:rsid w:val="01B772C3"/>
    <w:rsid w:val="01B77F31"/>
    <w:rsid w:val="01B82438"/>
    <w:rsid w:val="01B87086"/>
    <w:rsid w:val="01B87BAA"/>
    <w:rsid w:val="01B87F13"/>
    <w:rsid w:val="01B9593B"/>
    <w:rsid w:val="01BA4A2F"/>
    <w:rsid w:val="01BA784F"/>
    <w:rsid w:val="01BB09D4"/>
    <w:rsid w:val="01BB3CD7"/>
    <w:rsid w:val="01BC20E1"/>
    <w:rsid w:val="01BC23C9"/>
    <w:rsid w:val="01BC5432"/>
    <w:rsid w:val="01BC589E"/>
    <w:rsid w:val="01BD17FD"/>
    <w:rsid w:val="01BD35AB"/>
    <w:rsid w:val="01BD5E29"/>
    <w:rsid w:val="01BD6817"/>
    <w:rsid w:val="01BD7A4F"/>
    <w:rsid w:val="01BE4842"/>
    <w:rsid w:val="01BE704E"/>
    <w:rsid w:val="01BF37C7"/>
    <w:rsid w:val="01BF50E5"/>
    <w:rsid w:val="01BF54A9"/>
    <w:rsid w:val="01BF597A"/>
    <w:rsid w:val="01BF6AAA"/>
    <w:rsid w:val="01C004EF"/>
    <w:rsid w:val="01C0309B"/>
    <w:rsid w:val="01C04E49"/>
    <w:rsid w:val="01C04FD3"/>
    <w:rsid w:val="01C13BB4"/>
    <w:rsid w:val="01C13C4C"/>
    <w:rsid w:val="01C1688C"/>
    <w:rsid w:val="01C25044"/>
    <w:rsid w:val="01C25267"/>
    <w:rsid w:val="01C25FEF"/>
    <w:rsid w:val="01C26E13"/>
    <w:rsid w:val="01C32A1A"/>
    <w:rsid w:val="01C34939"/>
    <w:rsid w:val="01C40DDD"/>
    <w:rsid w:val="01C42B8B"/>
    <w:rsid w:val="01C5076C"/>
    <w:rsid w:val="01C52AFB"/>
    <w:rsid w:val="01C54B55"/>
    <w:rsid w:val="01C55A0C"/>
    <w:rsid w:val="01C56903"/>
    <w:rsid w:val="01C62035"/>
    <w:rsid w:val="01C629F5"/>
    <w:rsid w:val="01C62A5D"/>
    <w:rsid w:val="01C63477"/>
    <w:rsid w:val="01C7201B"/>
    <w:rsid w:val="01C7267B"/>
    <w:rsid w:val="01C72903"/>
    <w:rsid w:val="01C81851"/>
    <w:rsid w:val="01C81F50"/>
    <w:rsid w:val="01C8574C"/>
    <w:rsid w:val="01C901A1"/>
    <w:rsid w:val="01C93F56"/>
    <w:rsid w:val="01C963F3"/>
    <w:rsid w:val="01C97EE5"/>
    <w:rsid w:val="01CA216C"/>
    <w:rsid w:val="01CA2473"/>
    <w:rsid w:val="01CA2B12"/>
    <w:rsid w:val="01CA3F1A"/>
    <w:rsid w:val="01CA48EC"/>
    <w:rsid w:val="01CA5CC8"/>
    <w:rsid w:val="01CA7C3E"/>
    <w:rsid w:val="01CB483A"/>
    <w:rsid w:val="01CC1A40"/>
    <w:rsid w:val="01CC6428"/>
    <w:rsid w:val="01CC6ACC"/>
    <w:rsid w:val="01CC70CA"/>
    <w:rsid w:val="01CD0B76"/>
    <w:rsid w:val="01CD4D28"/>
    <w:rsid w:val="01CD65C1"/>
    <w:rsid w:val="01CD6A70"/>
    <w:rsid w:val="01CD6A97"/>
    <w:rsid w:val="01CD7566"/>
    <w:rsid w:val="01CE3A0A"/>
    <w:rsid w:val="01CE4BF5"/>
    <w:rsid w:val="01CE54BD"/>
    <w:rsid w:val="01CE57B8"/>
    <w:rsid w:val="01CF1530"/>
    <w:rsid w:val="01CF1E11"/>
    <w:rsid w:val="01CF6A22"/>
    <w:rsid w:val="01CF6FDF"/>
    <w:rsid w:val="01CF7782"/>
    <w:rsid w:val="01D07742"/>
    <w:rsid w:val="01D129DD"/>
    <w:rsid w:val="01D134FA"/>
    <w:rsid w:val="01D136A9"/>
    <w:rsid w:val="01D14145"/>
    <w:rsid w:val="01D152A8"/>
    <w:rsid w:val="01D155FE"/>
    <w:rsid w:val="01D17056"/>
    <w:rsid w:val="01D303F7"/>
    <w:rsid w:val="01D31020"/>
    <w:rsid w:val="01D31B84"/>
    <w:rsid w:val="01D31D16"/>
    <w:rsid w:val="01D32AC5"/>
    <w:rsid w:val="01D32DCE"/>
    <w:rsid w:val="01D336F5"/>
    <w:rsid w:val="01D33911"/>
    <w:rsid w:val="01D34028"/>
    <w:rsid w:val="01D34B7C"/>
    <w:rsid w:val="01D37272"/>
    <w:rsid w:val="01D42E82"/>
    <w:rsid w:val="01D454A1"/>
    <w:rsid w:val="01D476F9"/>
    <w:rsid w:val="01D50923"/>
    <w:rsid w:val="01D523AE"/>
    <w:rsid w:val="01D5257F"/>
    <w:rsid w:val="01D547F9"/>
    <w:rsid w:val="01D548DA"/>
    <w:rsid w:val="01D54B64"/>
    <w:rsid w:val="01D56953"/>
    <w:rsid w:val="01D57EEA"/>
    <w:rsid w:val="01D60B10"/>
    <w:rsid w:val="01D628BE"/>
    <w:rsid w:val="01D6466C"/>
    <w:rsid w:val="01D65751"/>
    <w:rsid w:val="01D66067"/>
    <w:rsid w:val="01D66596"/>
    <w:rsid w:val="01D6668A"/>
    <w:rsid w:val="01D678C7"/>
    <w:rsid w:val="01D7751B"/>
    <w:rsid w:val="01D803E5"/>
    <w:rsid w:val="01D8132B"/>
    <w:rsid w:val="01D81EEA"/>
    <w:rsid w:val="01D828F8"/>
    <w:rsid w:val="01D8357C"/>
    <w:rsid w:val="01D8482B"/>
    <w:rsid w:val="01D86245"/>
    <w:rsid w:val="01D86637"/>
    <w:rsid w:val="01D95AD8"/>
    <w:rsid w:val="01D97003"/>
    <w:rsid w:val="01DA16D0"/>
    <w:rsid w:val="01DA35BC"/>
    <w:rsid w:val="01DA413B"/>
    <w:rsid w:val="01DA4CE8"/>
    <w:rsid w:val="01DA5E9C"/>
    <w:rsid w:val="01DA7662"/>
    <w:rsid w:val="01DB1C83"/>
    <w:rsid w:val="01DB1D0B"/>
    <w:rsid w:val="01DB2C49"/>
    <w:rsid w:val="01DB4051"/>
    <w:rsid w:val="01DB4184"/>
    <w:rsid w:val="01DB6127"/>
    <w:rsid w:val="01DB7C26"/>
    <w:rsid w:val="01DB7ED5"/>
    <w:rsid w:val="01DC21DF"/>
    <w:rsid w:val="01DC6F3A"/>
    <w:rsid w:val="01DD29A7"/>
    <w:rsid w:val="01DD3C4D"/>
    <w:rsid w:val="01DD59FB"/>
    <w:rsid w:val="01DD6839"/>
    <w:rsid w:val="01DE1AD3"/>
    <w:rsid w:val="01DE53C3"/>
    <w:rsid w:val="01DE7D5A"/>
    <w:rsid w:val="01DF00FB"/>
    <w:rsid w:val="01DF087E"/>
    <w:rsid w:val="01DF1AA7"/>
    <w:rsid w:val="01DF5193"/>
    <w:rsid w:val="01DF5C17"/>
    <w:rsid w:val="01E005CD"/>
    <w:rsid w:val="01E00F0A"/>
    <w:rsid w:val="01E010FD"/>
    <w:rsid w:val="01E012BD"/>
    <w:rsid w:val="01E01D0E"/>
    <w:rsid w:val="01E0545F"/>
    <w:rsid w:val="01E07299"/>
    <w:rsid w:val="01E12255"/>
    <w:rsid w:val="01E12B73"/>
    <w:rsid w:val="01E16018"/>
    <w:rsid w:val="01E1622F"/>
    <w:rsid w:val="01E16AD5"/>
    <w:rsid w:val="01E17B41"/>
    <w:rsid w:val="01E21263"/>
    <w:rsid w:val="01E21C32"/>
    <w:rsid w:val="01E274B5"/>
    <w:rsid w:val="01E35BA9"/>
    <w:rsid w:val="01E36F4E"/>
    <w:rsid w:val="01E4322D"/>
    <w:rsid w:val="01E4351B"/>
    <w:rsid w:val="01E44FDB"/>
    <w:rsid w:val="01E463DE"/>
    <w:rsid w:val="01E50D53"/>
    <w:rsid w:val="01E51015"/>
    <w:rsid w:val="01E52B01"/>
    <w:rsid w:val="01E557E7"/>
    <w:rsid w:val="01E57115"/>
    <w:rsid w:val="01E6350C"/>
    <w:rsid w:val="01E66FA5"/>
    <w:rsid w:val="01E70628"/>
    <w:rsid w:val="01E709F0"/>
    <w:rsid w:val="01E740EA"/>
    <w:rsid w:val="01E82FE3"/>
    <w:rsid w:val="01E84620"/>
    <w:rsid w:val="01E847E5"/>
    <w:rsid w:val="01E878B5"/>
    <w:rsid w:val="01E90844"/>
    <w:rsid w:val="01E94501"/>
    <w:rsid w:val="01E95A1C"/>
    <w:rsid w:val="01E96C71"/>
    <w:rsid w:val="01EA2BF7"/>
    <w:rsid w:val="01EA5051"/>
    <w:rsid w:val="01EA517F"/>
    <w:rsid w:val="01EA5B99"/>
    <w:rsid w:val="01EA67F4"/>
    <w:rsid w:val="01EB0C09"/>
    <w:rsid w:val="01EB4525"/>
    <w:rsid w:val="01EC0334"/>
    <w:rsid w:val="01EC2F47"/>
    <w:rsid w:val="01EC3E90"/>
    <w:rsid w:val="01EE2FA2"/>
    <w:rsid w:val="01EE57A2"/>
    <w:rsid w:val="01EE5E5A"/>
    <w:rsid w:val="01EF122A"/>
    <w:rsid w:val="01EF1FE0"/>
    <w:rsid w:val="01EF2217"/>
    <w:rsid w:val="01EF572E"/>
    <w:rsid w:val="01F000C2"/>
    <w:rsid w:val="01F01803"/>
    <w:rsid w:val="01F03BBB"/>
    <w:rsid w:val="01F057F9"/>
    <w:rsid w:val="01F063D7"/>
    <w:rsid w:val="01F11552"/>
    <w:rsid w:val="01F12967"/>
    <w:rsid w:val="01F1594A"/>
    <w:rsid w:val="01F16933"/>
    <w:rsid w:val="01F176F8"/>
    <w:rsid w:val="01F217B3"/>
    <w:rsid w:val="01F2461A"/>
    <w:rsid w:val="01F26474"/>
    <w:rsid w:val="01F266F1"/>
    <w:rsid w:val="01F30184"/>
    <w:rsid w:val="01F344D4"/>
    <w:rsid w:val="01F3521E"/>
    <w:rsid w:val="01F362E4"/>
    <w:rsid w:val="01F40480"/>
    <w:rsid w:val="01F40A20"/>
    <w:rsid w:val="01F40F97"/>
    <w:rsid w:val="01F417C3"/>
    <w:rsid w:val="01F44642"/>
    <w:rsid w:val="01F44A7E"/>
    <w:rsid w:val="01F50460"/>
    <w:rsid w:val="01F55241"/>
    <w:rsid w:val="01F55AD0"/>
    <w:rsid w:val="01F57FBC"/>
    <w:rsid w:val="01F61138"/>
    <w:rsid w:val="01F62F61"/>
    <w:rsid w:val="01F63D2A"/>
    <w:rsid w:val="01F63F34"/>
    <w:rsid w:val="01F643CC"/>
    <w:rsid w:val="01F663FF"/>
    <w:rsid w:val="01F70E3C"/>
    <w:rsid w:val="01F753C4"/>
    <w:rsid w:val="01F77F95"/>
    <w:rsid w:val="01F80944"/>
    <w:rsid w:val="01F8095E"/>
    <w:rsid w:val="01F80A87"/>
    <w:rsid w:val="01F81C51"/>
    <w:rsid w:val="01F82835"/>
    <w:rsid w:val="01F843CC"/>
    <w:rsid w:val="01F870ED"/>
    <w:rsid w:val="01F9035B"/>
    <w:rsid w:val="01F9038B"/>
    <w:rsid w:val="01F91E6C"/>
    <w:rsid w:val="01F928B5"/>
    <w:rsid w:val="01F93E0C"/>
    <w:rsid w:val="01FA2383"/>
    <w:rsid w:val="01FA24EA"/>
    <w:rsid w:val="01FA2FBD"/>
    <w:rsid w:val="01FA5223"/>
    <w:rsid w:val="01FA6151"/>
    <w:rsid w:val="01FA65AD"/>
    <w:rsid w:val="01FA74B1"/>
    <w:rsid w:val="01FB0577"/>
    <w:rsid w:val="01FB2325"/>
    <w:rsid w:val="01FB40D3"/>
    <w:rsid w:val="01FB5094"/>
    <w:rsid w:val="01FB51D5"/>
    <w:rsid w:val="01FB6576"/>
    <w:rsid w:val="01FC21ED"/>
    <w:rsid w:val="01FC6E1A"/>
    <w:rsid w:val="01FD1666"/>
    <w:rsid w:val="01FD31EE"/>
    <w:rsid w:val="01FD3726"/>
    <w:rsid w:val="01FD522D"/>
    <w:rsid w:val="01FD609D"/>
    <w:rsid w:val="01FD6E7E"/>
    <w:rsid w:val="01FD6F7B"/>
    <w:rsid w:val="01FD7E4B"/>
    <w:rsid w:val="01FE0870"/>
    <w:rsid w:val="01FE2140"/>
    <w:rsid w:val="01FE28DC"/>
    <w:rsid w:val="01FE2BD2"/>
    <w:rsid w:val="01FE2FD8"/>
    <w:rsid w:val="01FE3A1B"/>
    <w:rsid w:val="01FE6513"/>
    <w:rsid w:val="01FF5F3B"/>
    <w:rsid w:val="01FF7EE4"/>
    <w:rsid w:val="020016E9"/>
    <w:rsid w:val="02004494"/>
    <w:rsid w:val="02005A4A"/>
    <w:rsid w:val="020078E0"/>
    <w:rsid w:val="02017AD1"/>
    <w:rsid w:val="02022281"/>
    <w:rsid w:val="0202237A"/>
    <w:rsid w:val="020236B3"/>
    <w:rsid w:val="02025461"/>
    <w:rsid w:val="02025BF2"/>
    <w:rsid w:val="02033DD6"/>
    <w:rsid w:val="02036538"/>
    <w:rsid w:val="020378E5"/>
    <w:rsid w:val="020379CE"/>
    <w:rsid w:val="02040E2D"/>
    <w:rsid w:val="0204361C"/>
    <w:rsid w:val="0204567E"/>
    <w:rsid w:val="02046541"/>
    <w:rsid w:val="020479C8"/>
    <w:rsid w:val="02051DA4"/>
    <w:rsid w:val="0205362F"/>
    <w:rsid w:val="02053D6E"/>
    <w:rsid w:val="02054EED"/>
    <w:rsid w:val="02056D00"/>
    <w:rsid w:val="0206306B"/>
    <w:rsid w:val="02076F1C"/>
    <w:rsid w:val="02080B65"/>
    <w:rsid w:val="0208166F"/>
    <w:rsid w:val="02093603"/>
    <w:rsid w:val="0209360B"/>
    <w:rsid w:val="02094A42"/>
    <w:rsid w:val="020967F0"/>
    <w:rsid w:val="020A1197"/>
    <w:rsid w:val="020A24C9"/>
    <w:rsid w:val="020A2568"/>
    <w:rsid w:val="020A383A"/>
    <w:rsid w:val="020A6F1F"/>
    <w:rsid w:val="020B5BF3"/>
    <w:rsid w:val="020B6A0C"/>
    <w:rsid w:val="020B6C7D"/>
    <w:rsid w:val="020C0995"/>
    <w:rsid w:val="020C1A0C"/>
    <w:rsid w:val="020C2CAB"/>
    <w:rsid w:val="020C36F0"/>
    <w:rsid w:val="020C62E0"/>
    <w:rsid w:val="020D5467"/>
    <w:rsid w:val="020E0F72"/>
    <w:rsid w:val="020E2058"/>
    <w:rsid w:val="020F5D2B"/>
    <w:rsid w:val="020F6402"/>
    <w:rsid w:val="020F7B7E"/>
    <w:rsid w:val="02101F44"/>
    <w:rsid w:val="02104022"/>
    <w:rsid w:val="02104F7F"/>
    <w:rsid w:val="02112DBC"/>
    <w:rsid w:val="021138F7"/>
    <w:rsid w:val="02115CEF"/>
    <w:rsid w:val="02117D9A"/>
    <w:rsid w:val="02121612"/>
    <w:rsid w:val="02123AD6"/>
    <w:rsid w:val="02125441"/>
    <w:rsid w:val="02130F3B"/>
    <w:rsid w:val="02134E91"/>
    <w:rsid w:val="02135288"/>
    <w:rsid w:val="02135C19"/>
    <w:rsid w:val="02140441"/>
    <w:rsid w:val="021427BF"/>
    <w:rsid w:val="0214526F"/>
    <w:rsid w:val="02146042"/>
    <w:rsid w:val="02151605"/>
    <w:rsid w:val="02151639"/>
    <w:rsid w:val="02151D88"/>
    <w:rsid w:val="021533E7"/>
    <w:rsid w:val="02155874"/>
    <w:rsid w:val="02157FE4"/>
    <w:rsid w:val="02161DDD"/>
    <w:rsid w:val="02164786"/>
    <w:rsid w:val="02165026"/>
    <w:rsid w:val="021653B1"/>
    <w:rsid w:val="02166034"/>
    <w:rsid w:val="0216715F"/>
    <w:rsid w:val="021752FF"/>
    <w:rsid w:val="02177C4E"/>
    <w:rsid w:val="02177E98"/>
    <w:rsid w:val="02182ED7"/>
    <w:rsid w:val="02184B93"/>
    <w:rsid w:val="021936DA"/>
    <w:rsid w:val="02195932"/>
    <w:rsid w:val="021A1546"/>
    <w:rsid w:val="021A2C74"/>
    <w:rsid w:val="021A3102"/>
    <w:rsid w:val="021A332F"/>
    <w:rsid w:val="021A33B5"/>
    <w:rsid w:val="021A5056"/>
    <w:rsid w:val="021A5339"/>
    <w:rsid w:val="021A5D92"/>
    <w:rsid w:val="021A6B42"/>
    <w:rsid w:val="021A6C4F"/>
    <w:rsid w:val="021A7C64"/>
    <w:rsid w:val="021B2B30"/>
    <w:rsid w:val="021B6523"/>
    <w:rsid w:val="021C09EB"/>
    <w:rsid w:val="021C17AC"/>
    <w:rsid w:val="021C1AF3"/>
    <w:rsid w:val="021C6C56"/>
    <w:rsid w:val="021D0939"/>
    <w:rsid w:val="021D1100"/>
    <w:rsid w:val="021D146B"/>
    <w:rsid w:val="021D4D6B"/>
    <w:rsid w:val="021D5ABD"/>
    <w:rsid w:val="021E074D"/>
    <w:rsid w:val="021E1B74"/>
    <w:rsid w:val="021E5EDB"/>
    <w:rsid w:val="021E618F"/>
    <w:rsid w:val="021F1DB4"/>
    <w:rsid w:val="021F3698"/>
    <w:rsid w:val="021F3A3E"/>
    <w:rsid w:val="021F4265"/>
    <w:rsid w:val="021F45D0"/>
    <w:rsid w:val="021F4F9C"/>
    <w:rsid w:val="021F6013"/>
    <w:rsid w:val="021F6D1A"/>
    <w:rsid w:val="021F7085"/>
    <w:rsid w:val="021F792B"/>
    <w:rsid w:val="02201D8C"/>
    <w:rsid w:val="02202E8C"/>
    <w:rsid w:val="02210631"/>
    <w:rsid w:val="022110D9"/>
    <w:rsid w:val="02216EF0"/>
    <w:rsid w:val="02217FDE"/>
    <w:rsid w:val="022200D1"/>
    <w:rsid w:val="0222317F"/>
    <w:rsid w:val="02224692"/>
    <w:rsid w:val="02225B04"/>
    <w:rsid w:val="022278B2"/>
    <w:rsid w:val="02235B22"/>
    <w:rsid w:val="0223721A"/>
    <w:rsid w:val="022410CA"/>
    <w:rsid w:val="0224187C"/>
    <w:rsid w:val="02241D24"/>
    <w:rsid w:val="02242C8D"/>
    <w:rsid w:val="02245871"/>
    <w:rsid w:val="02247583"/>
    <w:rsid w:val="02247ACE"/>
    <w:rsid w:val="02250442"/>
    <w:rsid w:val="02255C09"/>
    <w:rsid w:val="022573A2"/>
    <w:rsid w:val="0226263F"/>
    <w:rsid w:val="02263013"/>
    <w:rsid w:val="02266DF9"/>
    <w:rsid w:val="02271CA8"/>
    <w:rsid w:val="02271F96"/>
    <w:rsid w:val="022720A5"/>
    <w:rsid w:val="0227311A"/>
    <w:rsid w:val="022762E5"/>
    <w:rsid w:val="02277B3F"/>
    <w:rsid w:val="02281193"/>
    <w:rsid w:val="02286DC3"/>
    <w:rsid w:val="0229079D"/>
    <w:rsid w:val="02290C40"/>
    <w:rsid w:val="022926B2"/>
    <w:rsid w:val="022950E4"/>
    <w:rsid w:val="02295A1F"/>
    <w:rsid w:val="02296645"/>
    <w:rsid w:val="02297BD3"/>
    <w:rsid w:val="022A2FB8"/>
    <w:rsid w:val="022A49B8"/>
    <w:rsid w:val="022B05AB"/>
    <w:rsid w:val="022B0E5C"/>
    <w:rsid w:val="022B4AAE"/>
    <w:rsid w:val="022B5451"/>
    <w:rsid w:val="022B70AC"/>
    <w:rsid w:val="022C01C4"/>
    <w:rsid w:val="022C16E0"/>
    <w:rsid w:val="022C24DE"/>
    <w:rsid w:val="022C33FE"/>
    <w:rsid w:val="022C6982"/>
    <w:rsid w:val="022D16AD"/>
    <w:rsid w:val="022D25F8"/>
    <w:rsid w:val="022D42A2"/>
    <w:rsid w:val="022D6868"/>
    <w:rsid w:val="022D7CFB"/>
    <w:rsid w:val="022E0064"/>
    <w:rsid w:val="022E26FA"/>
    <w:rsid w:val="022E397E"/>
    <w:rsid w:val="022E44A8"/>
    <w:rsid w:val="022E6124"/>
    <w:rsid w:val="022F565F"/>
    <w:rsid w:val="023000CF"/>
    <w:rsid w:val="02300221"/>
    <w:rsid w:val="02301521"/>
    <w:rsid w:val="02301FCF"/>
    <w:rsid w:val="023023FF"/>
    <w:rsid w:val="02303BAB"/>
    <w:rsid w:val="023042EC"/>
    <w:rsid w:val="023058B4"/>
    <w:rsid w:val="02307811"/>
    <w:rsid w:val="02314F0E"/>
    <w:rsid w:val="023155EC"/>
    <w:rsid w:val="02315D47"/>
    <w:rsid w:val="02317AF5"/>
    <w:rsid w:val="023212B4"/>
    <w:rsid w:val="0232455F"/>
    <w:rsid w:val="02324981"/>
    <w:rsid w:val="02324BBB"/>
    <w:rsid w:val="02327E75"/>
    <w:rsid w:val="02337D11"/>
    <w:rsid w:val="02343EC4"/>
    <w:rsid w:val="0234688E"/>
    <w:rsid w:val="0234742F"/>
    <w:rsid w:val="023567F6"/>
    <w:rsid w:val="02357474"/>
    <w:rsid w:val="023575E5"/>
    <w:rsid w:val="023578CE"/>
    <w:rsid w:val="023616F3"/>
    <w:rsid w:val="0236335D"/>
    <w:rsid w:val="023648AC"/>
    <w:rsid w:val="02372367"/>
    <w:rsid w:val="02374B73"/>
    <w:rsid w:val="02374FF3"/>
    <w:rsid w:val="02377801"/>
    <w:rsid w:val="02380E83"/>
    <w:rsid w:val="02381749"/>
    <w:rsid w:val="02381A67"/>
    <w:rsid w:val="02383B55"/>
    <w:rsid w:val="02383FDA"/>
    <w:rsid w:val="023870D5"/>
    <w:rsid w:val="02387B88"/>
    <w:rsid w:val="02392302"/>
    <w:rsid w:val="02392864"/>
    <w:rsid w:val="02393F5E"/>
    <w:rsid w:val="02397E8A"/>
    <w:rsid w:val="023A109F"/>
    <w:rsid w:val="023A11D8"/>
    <w:rsid w:val="023A216C"/>
    <w:rsid w:val="023A2E4D"/>
    <w:rsid w:val="023A4BFB"/>
    <w:rsid w:val="023B0828"/>
    <w:rsid w:val="023B0B84"/>
    <w:rsid w:val="023B5157"/>
    <w:rsid w:val="023C278C"/>
    <w:rsid w:val="023C3E8A"/>
    <w:rsid w:val="023C403F"/>
    <w:rsid w:val="023C4E17"/>
    <w:rsid w:val="023D0F97"/>
    <w:rsid w:val="023D293E"/>
    <w:rsid w:val="023D3E36"/>
    <w:rsid w:val="023D46EC"/>
    <w:rsid w:val="023D6DAD"/>
    <w:rsid w:val="023D7793"/>
    <w:rsid w:val="023E05DB"/>
    <w:rsid w:val="023E596A"/>
    <w:rsid w:val="023E5D5D"/>
    <w:rsid w:val="023E64DC"/>
    <w:rsid w:val="023F0464"/>
    <w:rsid w:val="023F2212"/>
    <w:rsid w:val="023F385C"/>
    <w:rsid w:val="023F45CF"/>
    <w:rsid w:val="023F66B6"/>
    <w:rsid w:val="0240210F"/>
    <w:rsid w:val="0240574D"/>
    <w:rsid w:val="024141DC"/>
    <w:rsid w:val="02415402"/>
    <w:rsid w:val="02415725"/>
    <w:rsid w:val="02420F7E"/>
    <w:rsid w:val="02421577"/>
    <w:rsid w:val="024250CA"/>
    <w:rsid w:val="024261A6"/>
    <w:rsid w:val="02427EE8"/>
    <w:rsid w:val="02432AE0"/>
    <w:rsid w:val="02441F1E"/>
    <w:rsid w:val="02443160"/>
    <w:rsid w:val="02443CCC"/>
    <w:rsid w:val="02445771"/>
    <w:rsid w:val="024464B5"/>
    <w:rsid w:val="024478DF"/>
    <w:rsid w:val="024504DC"/>
    <w:rsid w:val="024550EB"/>
    <w:rsid w:val="024568E2"/>
    <w:rsid w:val="0246107B"/>
    <w:rsid w:val="024613A2"/>
    <w:rsid w:val="024617F2"/>
    <w:rsid w:val="02461BE1"/>
    <w:rsid w:val="024659DE"/>
    <w:rsid w:val="02467A44"/>
    <w:rsid w:val="024737BC"/>
    <w:rsid w:val="0248118C"/>
    <w:rsid w:val="024828D8"/>
    <w:rsid w:val="024837DC"/>
    <w:rsid w:val="024863AD"/>
    <w:rsid w:val="024912E2"/>
    <w:rsid w:val="02491D5C"/>
    <w:rsid w:val="024977EB"/>
    <w:rsid w:val="02497934"/>
    <w:rsid w:val="024A06AE"/>
    <w:rsid w:val="024A0BB7"/>
    <w:rsid w:val="024A5D92"/>
    <w:rsid w:val="024B215D"/>
    <w:rsid w:val="024B5C25"/>
    <w:rsid w:val="024B6FA0"/>
    <w:rsid w:val="024C61BE"/>
    <w:rsid w:val="024D09C9"/>
    <w:rsid w:val="024D4A7D"/>
    <w:rsid w:val="024D764E"/>
    <w:rsid w:val="024E0ADE"/>
    <w:rsid w:val="024E1CB1"/>
    <w:rsid w:val="024E3EFF"/>
    <w:rsid w:val="024E3FE7"/>
    <w:rsid w:val="024E57EC"/>
    <w:rsid w:val="024E68F9"/>
    <w:rsid w:val="024E7D29"/>
    <w:rsid w:val="024F6BD4"/>
    <w:rsid w:val="024F7F60"/>
    <w:rsid w:val="02500125"/>
    <w:rsid w:val="02500246"/>
    <w:rsid w:val="025008C3"/>
    <w:rsid w:val="0250093A"/>
    <w:rsid w:val="02502671"/>
    <w:rsid w:val="02510197"/>
    <w:rsid w:val="025127C8"/>
    <w:rsid w:val="02515944"/>
    <w:rsid w:val="02515FCF"/>
    <w:rsid w:val="025166F6"/>
    <w:rsid w:val="02520847"/>
    <w:rsid w:val="02532161"/>
    <w:rsid w:val="0253239D"/>
    <w:rsid w:val="02532A52"/>
    <w:rsid w:val="02532DFA"/>
    <w:rsid w:val="02533ABF"/>
    <w:rsid w:val="02533F0F"/>
    <w:rsid w:val="02534A07"/>
    <w:rsid w:val="025404DD"/>
    <w:rsid w:val="02540623"/>
    <w:rsid w:val="02541D7F"/>
    <w:rsid w:val="02544950"/>
    <w:rsid w:val="02551B85"/>
    <w:rsid w:val="02556AD9"/>
    <w:rsid w:val="0255768A"/>
    <w:rsid w:val="02557C87"/>
    <w:rsid w:val="025657AD"/>
    <w:rsid w:val="02571C51"/>
    <w:rsid w:val="02573417"/>
    <w:rsid w:val="025739FF"/>
    <w:rsid w:val="02581525"/>
    <w:rsid w:val="02581B2A"/>
    <w:rsid w:val="025832D3"/>
    <w:rsid w:val="02583957"/>
    <w:rsid w:val="02587777"/>
    <w:rsid w:val="025959DE"/>
    <w:rsid w:val="025A0A31"/>
    <w:rsid w:val="025A1A17"/>
    <w:rsid w:val="025A66A3"/>
    <w:rsid w:val="025A704C"/>
    <w:rsid w:val="025A7A1F"/>
    <w:rsid w:val="025A7DCE"/>
    <w:rsid w:val="025B0BD4"/>
    <w:rsid w:val="025B0E22"/>
    <w:rsid w:val="025B2DC4"/>
    <w:rsid w:val="025B3072"/>
    <w:rsid w:val="025B3B50"/>
    <w:rsid w:val="025B5D5D"/>
    <w:rsid w:val="025B7207"/>
    <w:rsid w:val="025C201D"/>
    <w:rsid w:val="025C7268"/>
    <w:rsid w:val="025D0745"/>
    <w:rsid w:val="025D2311"/>
    <w:rsid w:val="025D3B45"/>
    <w:rsid w:val="025D4D8E"/>
    <w:rsid w:val="025D6B3C"/>
    <w:rsid w:val="025E0D89"/>
    <w:rsid w:val="025E0DEB"/>
    <w:rsid w:val="025E4BE1"/>
    <w:rsid w:val="025F5D4E"/>
    <w:rsid w:val="026003DA"/>
    <w:rsid w:val="02603804"/>
    <w:rsid w:val="02604429"/>
    <w:rsid w:val="02606C15"/>
    <w:rsid w:val="02611756"/>
    <w:rsid w:val="0261487E"/>
    <w:rsid w:val="0261662C"/>
    <w:rsid w:val="026166CA"/>
    <w:rsid w:val="026213B7"/>
    <w:rsid w:val="026223A4"/>
    <w:rsid w:val="02624152"/>
    <w:rsid w:val="02625A1A"/>
    <w:rsid w:val="026316AA"/>
    <w:rsid w:val="02631BE3"/>
    <w:rsid w:val="0263464C"/>
    <w:rsid w:val="026368AD"/>
    <w:rsid w:val="02637956"/>
    <w:rsid w:val="02642858"/>
    <w:rsid w:val="02642D03"/>
    <w:rsid w:val="0264611C"/>
    <w:rsid w:val="02646793"/>
    <w:rsid w:val="02647ECA"/>
    <w:rsid w:val="026532A6"/>
    <w:rsid w:val="0266190D"/>
    <w:rsid w:val="02661E94"/>
    <w:rsid w:val="02663C42"/>
    <w:rsid w:val="02664218"/>
    <w:rsid w:val="026659F0"/>
    <w:rsid w:val="026701F4"/>
    <w:rsid w:val="0267038D"/>
    <w:rsid w:val="02671935"/>
    <w:rsid w:val="02672DC5"/>
    <w:rsid w:val="02673212"/>
    <w:rsid w:val="0267544E"/>
    <w:rsid w:val="02676197"/>
    <w:rsid w:val="02676853"/>
    <w:rsid w:val="026779BA"/>
    <w:rsid w:val="02680144"/>
    <w:rsid w:val="02681EDC"/>
    <w:rsid w:val="02682509"/>
    <w:rsid w:val="026832C4"/>
    <w:rsid w:val="02684A56"/>
    <w:rsid w:val="026857A5"/>
    <w:rsid w:val="02685C0C"/>
    <w:rsid w:val="02691701"/>
    <w:rsid w:val="02693901"/>
    <w:rsid w:val="026956E5"/>
    <w:rsid w:val="026978D0"/>
    <w:rsid w:val="026A02B6"/>
    <w:rsid w:val="026A6B75"/>
    <w:rsid w:val="026A7271"/>
    <w:rsid w:val="026B1259"/>
    <w:rsid w:val="026B3007"/>
    <w:rsid w:val="026B4BC6"/>
    <w:rsid w:val="026B7198"/>
    <w:rsid w:val="026B74AB"/>
    <w:rsid w:val="026C0B68"/>
    <w:rsid w:val="026C4FD1"/>
    <w:rsid w:val="026C51F1"/>
    <w:rsid w:val="026D6262"/>
    <w:rsid w:val="026D7F5B"/>
    <w:rsid w:val="026E0D49"/>
    <w:rsid w:val="026E2AF7"/>
    <w:rsid w:val="026E3C7C"/>
    <w:rsid w:val="026E6F9B"/>
    <w:rsid w:val="0270061D"/>
    <w:rsid w:val="02700E75"/>
    <w:rsid w:val="02702B47"/>
    <w:rsid w:val="02702D13"/>
    <w:rsid w:val="027038E2"/>
    <w:rsid w:val="0270437B"/>
    <w:rsid w:val="02704AC1"/>
    <w:rsid w:val="027066C5"/>
    <w:rsid w:val="0270686F"/>
    <w:rsid w:val="02710C8A"/>
    <w:rsid w:val="027125E7"/>
    <w:rsid w:val="02713B7C"/>
    <w:rsid w:val="02713E77"/>
    <w:rsid w:val="0271411D"/>
    <w:rsid w:val="02714395"/>
    <w:rsid w:val="027158F5"/>
    <w:rsid w:val="02720839"/>
    <w:rsid w:val="027310BD"/>
    <w:rsid w:val="027345B1"/>
    <w:rsid w:val="027420CB"/>
    <w:rsid w:val="027427F8"/>
    <w:rsid w:val="02746CF2"/>
    <w:rsid w:val="027478CA"/>
    <w:rsid w:val="02750329"/>
    <w:rsid w:val="02750EC4"/>
    <w:rsid w:val="027520D7"/>
    <w:rsid w:val="02753E85"/>
    <w:rsid w:val="02753F82"/>
    <w:rsid w:val="027546C4"/>
    <w:rsid w:val="02763CD4"/>
    <w:rsid w:val="027648F2"/>
    <w:rsid w:val="02764BAE"/>
    <w:rsid w:val="02764DB6"/>
    <w:rsid w:val="02765572"/>
    <w:rsid w:val="02771E7D"/>
    <w:rsid w:val="02772300"/>
    <w:rsid w:val="027728BA"/>
    <w:rsid w:val="02775323"/>
    <w:rsid w:val="02775E4F"/>
    <w:rsid w:val="02777BFD"/>
    <w:rsid w:val="02781179"/>
    <w:rsid w:val="02781BC8"/>
    <w:rsid w:val="02783976"/>
    <w:rsid w:val="02784C51"/>
    <w:rsid w:val="02785724"/>
    <w:rsid w:val="027908A8"/>
    <w:rsid w:val="027A5976"/>
    <w:rsid w:val="027B1B2A"/>
    <w:rsid w:val="027C0857"/>
    <w:rsid w:val="027C16B8"/>
    <w:rsid w:val="027C26CB"/>
    <w:rsid w:val="027C26EB"/>
    <w:rsid w:val="027C623B"/>
    <w:rsid w:val="027D7487"/>
    <w:rsid w:val="027E2B3F"/>
    <w:rsid w:val="027E647B"/>
    <w:rsid w:val="027E7CE9"/>
    <w:rsid w:val="027F1C25"/>
    <w:rsid w:val="027F2CA3"/>
    <w:rsid w:val="027F2F56"/>
    <w:rsid w:val="027F3F0D"/>
    <w:rsid w:val="027F4D04"/>
    <w:rsid w:val="0280709B"/>
    <w:rsid w:val="028077D7"/>
    <w:rsid w:val="028100D6"/>
    <w:rsid w:val="028118AE"/>
    <w:rsid w:val="028120BE"/>
    <w:rsid w:val="02812247"/>
    <w:rsid w:val="02813611"/>
    <w:rsid w:val="028143B7"/>
    <w:rsid w:val="02817B1F"/>
    <w:rsid w:val="02820350"/>
    <w:rsid w:val="02820A28"/>
    <w:rsid w:val="02820F38"/>
    <w:rsid w:val="0282105D"/>
    <w:rsid w:val="02822CF4"/>
    <w:rsid w:val="028247F4"/>
    <w:rsid w:val="02824842"/>
    <w:rsid w:val="02825959"/>
    <w:rsid w:val="02826860"/>
    <w:rsid w:val="028279CD"/>
    <w:rsid w:val="028340D2"/>
    <w:rsid w:val="02834FC6"/>
    <w:rsid w:val="02837F20"/>
    <w:rsid w:val="02840B59"/>
    <w:rsid w:val="028440C8"/>
    <w:rsid w:val="02845AF2"/>
    <w:rsid w:val="0285797C"/>
    <w:rsid w:val="02860DA2"/>
    <w:rsid w:val="028642E4"/>
    <w:rsid w:val="0286480C"/>
    <w:rsid w:val="02870F2F"/>
    <w:rsid w:val="02873207"/>
    <w:rsid w:val="02873D29"/>
    <w:rsid w:val="0287644A"/>
    <w:rsid w:val="02877678"/>
    <w:rsid w:val="0288005D"/>
    <w:rsid w:val="028801F2"/>
    <w:rsid w:val="02880EC9"/>
    <w:rsid w:val="02881E0B"/>
    <w:rsid w:val="028863BE"/>
    <w:rsid w:val="02890C5F"/>
    <w:rsid w:val="028916DF"/>
    <w:rsid w:val="02896C63"/>
    <w:rsid w:val="028A1BF1"/>
    <w:rsid w:val="028A419B"/>
    <w:rsid w:val="028A42DC"/>
    <w:rsid w:val="028A6BEC"/>
    <w:rsid w:val="028A7525"/>
    <w:rsid w:val="028B0698"/>
    <w:rsid w:val="028B15EE"/>
    <w:rsid w:val="028B263A"/>
    <w:rsid w:val="028B3019"/>
    <w:rsid w:val="028B38C2"/>
    <w:rsid w:val="028B38FB"/>
    <w:rsid w:val="028B5457"/>
    <w:rsid w:val="028C286D"/>
    <w:rsid w:val="028D1014"/>
    <w:rsid w:val="028D6930"/>
    <w:rsid w:val="028E1EF7"/>
    <w:rsid w:val="028F68BE"/>
    <w:rsid w:val="02904D38"/>
    <w:rsid w:val="0290659E"/>
    <w:rsid w:val="0291199E"/>
    <w:rsid w:val="02922C89"/>
    <w:rsid w:val="02923124"/>
    <w:rsid w:val="02923CF9"/>
    <w:rsid w:val="02924A37"/>
    <w:rsid w:val="0293255D"/>
    <w:rsid w:val="02935D81"/>
    <w:rsid w:val="02945DC5"/>
    <w:rsid w:val="02951DA7"/>
    <w:rsid w:val="029527A6"/>
    <w:rsid w:val="02960C3E"/>
    <w:rsid w:val="02970A5F"/>
    <w:rsid w:val="02985DC6"/>
    <w:rsid w:val="02993131"/>
    <w:rsid w:val="02995C88"/>
    <w:rsid w:val="02996051"/>
    <w:rsid w:val="029A1B1A"/>
    <w:rsid w:val="029A1B3E"/>
    <w:rsid w:val="029A38EC"/>
    <w:rsid w:val="029A4038"/>
    <w:rsid w:val="029A43FC"/>
    <w:rsid w:val="029A6105"/>
    <w:rsid w:val="029A6E5A"/>
    <w:rsid w:val="029A7298"/>
    <w:rsid w:val="029A7D90"/>
    <w:rsid w:val="029B05F1"/>
    <w:rsid w:val="029B2C8B"/>
    <w:rsid w:val="029B59B4"/>
    <w:rsid w:val="029B7E63"/>
    <w:rsid w:val="029C0574"/>
    <w:rsid w:val="029C088B"/>
    <w:rsid w:val="029C3B08"/>
    <w:rsid w:val="029C411E"/>
    <w:rsid w:val="029C6D7F"/>
    <w:rsid w:val="029C7664"/>
    <w:rsid w:val="029D1A72"/>
    <w:rsid w:val="029D33DC"/>
    <w:rsid w:val="029D55CD"/>
    <w:rsid w:val="029D5D3B"/>
    <w:rsid w:val="029D6AE2"/>
    <w:rsid w:val="029E162E"/>
    <w:rsid w:val="029F0F02"/>
    <w:rsid w:val="029F1349"/>
    <w:rsid w:val="029F1EAC"/>
    <w:rsid w:val="029F2F85"/>
    <w:rsid w:val="029F3010"/>
    <w:rsid w:val="029F7154"/>
    <w:rsid w:val="029F75C4"/>
    <w:rsid w:val="02A05901"/>
    <w:rsid w:val="02A06D07"/>
    <w:rsid w:val="02A1111E"/>
    <w:rsid w:val="02A12ECC"/>
    <w:rsid w:val="02A14D09"/>
    <w:rsid w:val="02A15075"/>
    <w:rsid w:val="02A1535B"/>
    <w:rsid w:val="02A17D2F"/>
    <w:rsid w:val="02A227A1"/>
    <w:rsid w:val="02A23BF1"/>
    <w:rsid w:val="02A25D44"/>
    <w:rsid w:val="02A3019D"/>
    <w:rsid w:val="02A32168"/>
    <w:rsid w:val="02A36C44"/>
    <w:rsid w:val="02A4338B"/>
    <w:rsid w:val="02A437D4"/>
    <w:rsid w:val="02A4476B"/>
    <w:rsid w:val="02A46519"/>
    <w:rsid w:val="02A46CF9"/>
    <w:rsid w:val="02A47E12"/>
    <w:rsid w:val="02A51626"/>
    <w:rsid w:val="02A57894"/>
    <w:rsid w:val="02A62291"/>
    <w:rsid w:val="02A629B0"/>
    <w:rsid w:val="02A62B58"/>
    <w:rsid w:val="02A6374E"/>
    <w:rsid w:val="02A66735"/>
    <w:rsid w:val="02A76009"/>
    <w:rsid w:val="02A824AD"/>
    <w:rsid w:val="02A8328B"/>
    <w:rsid w:val="02A865B7"/>
    <w:rsid w:val="02A90F08"/>
    <w:rsid w:val="02A919DC"/>
    <w:rsid w:val="02A97FA7"/>
    <w:rsid w:val="02A97FD3"/>
    <w:rsid w:val="02AA3738"/>
    <w:rsid w:val="02AA5749"/>
    <w:rsid w:val="02AA57DE"/>
    <w:rsid w:val="02AA6527"/>
    <w:rsid w:val="02AA7A19"/>
    <w:rsid w:val="02AB38B7"/>
    <w:rsid w:val="02AB3C57"/>
    <w:rsid w:val="02AB3D4B"/>
    <w:rsid w:val="02AB5AF9"/>
    <w:rsid w:val="02AB6685"/>
    <w:rsid w:val="02AC3462"/>
    <w:rsid w:val="02AC3886"/>
    <w:rsid w:val="02AC48F4"/>
    <w:rsid w:val="02AD1871"/>
    <w:rsid w:val="02AD1EBD"/>
    <w:rsid w:val="02AD361F"/>
    <w:rsid w:val="02AD5F96"/>
    <w:rsid w:val="02AD7AC3"/>
    <w:rsid w:val="02AE1145"/>
    <w:rsid w:val="02AE2C0E"/>
    <w:rsid w:val="02AE3065"/>
    <w:rsid w:val="02AE555A"/>
    <w:rsid w:val="02AE5762"/>
    <w:rsid w:val="02AF621A"/>
    <w:rsid w:val="02AF74E7"/>
    <w:rsid w:val="02AF7FE9"/>
    <w:rsid w:val="02B02E11"/>
    <w:rsid w:val="02B0310F"/>
    <w:rsid w:val="02B04EBD"/>
    <w:rsid w:val="02B06127"/>
    <w:rsid w:val="02B07D4D"/>
    <w:rsid w:val="02B103E1"/>
    <w:rsid w:val="02B11C6C"/>
    <w:rsid w:val="02B12263"/>
    <w:rsid w:val="02B13AB2"/>
    <w:rsid w:val="02B2279A"/>
    <w:rsid w:val="02B250DA"/>
    <w:rsid w:val="02B2678E"/>
    <w:rsid w:val="02B26E88"/>
    <w:rsid w:val="02B27A34"/>
    <w:rsid w:val="02B27EE0"/>
    <w:rsid w:val="02B30603"/>
    <w:rsid w:val="02B315C6"/>
    <w:rsid w:val="02B323AD"/>
    <w:rsid w:val="02B32C00"/>
    <w:rsid w:val="02B33C99"/>
    <w:rsid w:val="02B3614F"/>
    <w:rsid w:val="02B367FB"/>
    <w:rsid w:val="02B37A67"/>
    <w:rsid w:val="02B40E52"/>
    <w:rsid w:val="02B47C04"/>
    <w:rsid w:val="02B55949"/>
    <w:rsid w:val="02B60F20"/>
    <w:rsid w:val="02B628E7"/>
    <w:rsid w:val="02B644D9"/>
    <w:rsid w:val="02B65B28"/>
    <w:rsid w:val="02B663B8"/>
    <w:rsid w:val="02B726F0"/>
    <w:rsid w:val="02B7449E"/>
    <w:rsid w:val="02B7546E"/>
    <w:rsid w:val="02B7624C"/>
    <w:rsid w:val="02B7630A"/>
    <w:rsid w:val="02B80216"/>
    <w:rsid w:val="02B80282"/>
    <w:rsid w:val="02B818C3"/>
    <w:rsid w:val="02B81FC4"/>
    <w:rsid w:val="02B8660C"/>
    <w:rsid w:val="02B86646"/>
    <w:rsid w:val="02B868AD"/>
    <w:rsid w:val="02B874AC"/>
    <w:rsid w:val="02B91029"/>
    <w:rsid w:val="02B96468"/>
    <w:rsid w:val="02B97A9C"/>
    <w:rsid w:val="02BA0F15"/>
    <w:rsid w:val="02BA6D6B"/>
    <w:rsid w:val="02BA7EA0"/>
    <w:rsid w:val="02BA7F2F"/>
    <w:rsid w:val="02BB1D6E"/>
    <w:rsid w:val="02BB2E19"/>
    <w:rsid w:val="02BB3162"/>
    <w:rsid w:val="02BB3775"/>
    <w:rsid w:val="02BB4F8D"/>
    <w:rsid w:val="02BC4A6C"/>
    <w:rsid w:val="02BC6CF9"/>
    <w:rsid w:val="02BC7B5E"/>
    <w:rsid w:val="02BC7D06"/>
    <w:rsid w:val="02BD2550"/>
    <w:rsid w:val="02BD2663"/>
    <w:rsid w:val="02BD54F5"/>
    <w:rsid w:val="02BD75DA"/>
    <w:rsid w:val="02BE15ED"/>
    <w:rsid w:val="02BE1C83"/>
    <w:rsid w:val="02BE36F8"/>
    <w:rsid w:val="02BE3A7E"/>
    <w:rsid w:val="02BE582C"/>
    <w:rsid w:val="02BE6064"/>
    <w:rsid w:val="02BF15A4"/>
    <w:rsid w:val="02BF3353"/>
    <w:rsid w:val="02BF45A4"/>
    <w:rsid w:val="02BF67C7"/>
    <w:rsid w:val="02BF77F6"/>
    <w:rsid w:val="02C03DDD"/>
    <w:rsid w:val="02C0750E"/>
    <w:rsid w:val="02C1531D"/>
    <w:rsid w:val="02C1574F"/>
    <w:rsid w:val="02C170CB"/>
    <w:rsid w:val="02C2228F"/>
    <w:rsid w:val="02C22436"/>
    <w:rsid w:val="02C22682"/>
    <w:rsid w:val="02C24BF1"/>
    <w:rsid w:val="02C24E60"/>
    <w:rsid w:val="02C24EAF"/>
    <w:rsid w:val="02C31095"/>
    <w:rsid w:val="02C35218"/>
    <w:rsid w:val="02C42217"/>
    <w:rsid w:val="02C44E0D"/>
    <w:rsid w:val="02C47780"/>
    <w:rsid w:val="02C5308D"/>
    <w:rsid w:val="02C5455B"/>
    <w:rsid w:val="02C557A9"/>
    <w:rsid w:val="02C60B85"/>
    <w:rsid w:val="02C61B85"/>
    <w:rsid w:val="02C665D8"/>
    <w:rsid w:val="02C67F81"/>
    <w:rsid w:val="02C726CB"/>
    <w:rsid w:val="02C72F93"/>
    <w:rsid w:val="02C766CE"/>
    <w:rsid w:val="02C80099"/>
    <w:rsid w:val="02C802F9"/>
    <w:rsid w:val="02C8111D"/>
    <w:rsid w:val="02C819E5"/>
    <w:rsid w:val="02C8291B"/>
    <w:rsid w:val="02C83E19"/>
    <w:rsid w:val="02C85F12"/>
    <w:rsid w:val="02C91EEE"/>
    <w:rsid w:val="02C92162"/>
    <w:rsid w:val="02C92423"/>
    <w:rsid w:val="02C941D1"/>
    <w:rsid w:val="02C952EE"/>
    <w:rsid w:val="02C95F7F"/>
    <w:rsid w:val="02CA06BC"/>
    <w:rsid w:val="02CA5D7A"/>
    <w:rsid w:val="02CB025E"/>
    <w:rsid w:val="02CB1CF7"/>
    <w:rsid w:val="02CB2138"/>
    <w:rsid w:val="02CB2523"/>
    <w:rsid w:val="02CB3017"/>
    <w:rsid w:val="02CB3126"/>
    <w:rsid w:val="02CB619B"/>
    <w:rsid w:val="02CB74A5"/>
    <w:rsid w:val="02CB7F49"/>
    <w:rsid w:val="02CC1B82"/>
    <w:rsid w:val="02CC36B9"/>
    <w:rsid w:val="02CD1F13"/>
    <w:rsid w:val="02CD1F73"/>
    <w:rsid w:val="02CD27D6"/>
    <w:rsid w:val="02CD4E33"/>
    <w:rsid w:val="02CD7801"/>
    <w:rsid w:val="02CE1017"/>
    <w:rsid w:val="02CE17E8"/>
    <w:rsid w:val="02CE2A4B"/>
    <w:rsid w:val="02CE2F63"/>
    <w:rsid w:val="02CF1755"/>
    <w:rsid w:val="02CF27E0"/>
    <w:rsid w:val="02CF2B00"/>
    <w:rsid w:val="02CF4893"/>
    <w:rsid w:val="02D02411"/>
    <w:rsid w:val="02D030BB"/>
    <w:rsid w:val="02D0730E"/>
    <w:rsid w:val="02D16028"/>
    <w:rsid w:val="02D17A0C"/>
    <w:rsid w:val="02D209DC"/>
    <w:rsid w:val="02D212D8"/>
    <w:rsid w:val="02D23F68"/>
    <w:rsid w:val="02D31A3A"/>
    <w:rsid w:val="02D35C04"/>
    <w:rsid w:val="02D37701"/>
    <w:rsid w:val="02D4157E"/>
    <w:rsid w:val="02D446A4"/>
    <w:rsid w:val="02D44C7B"/>
    <w:rsid w:val="02D46C44"/>
    <w:rsid w:val="02D47CE0"/>
    <w:rsid w:val="02D508D0"/>
    <w:rsid w:val="02D543AC"/>
    <w:rsid w:val="02D54924"/>
    <w:rsid w:val="02D57284"/>
    <w:rsid w:val="02D573A2"/>
    <w:rsid w:val="02D6179B"/>
    <w:rsid w:val="02D61B95"/>
    <w:rsid w:val="02D63814"/>
    <w:rsid w:val="02D6384C"/>
    <w:rsid w:val="02D66AB1"/>
    <w:rsid w:val="02D7069C"/>
    <w:rsid w:val="02D71739"/>
    <w:rsid w:val="02D741FF"/>
    <w:rsid w:val="02D74766"/>
    <w:rsid w:val="02D74B40"/>
    <w:rsid w:val="02D7632A"/>
    <w:rsid w:val="02D82B79"/>
    <w:rsid w:val="02D82EFA"/>
    <w:rsid w:val="02D84414"/>
    <w:rsid w:val="02D856B5"/>
    <w:rsid w:val="02D90516"/>
    <w:rsid w:val="02D929BC"/>
    <w:rsid w:val="02D93672"/>
    <w:rsid w:val="02D955E5"/>
    <w:rsid w:val="02D9796E"/>
    <w:rsid w:val="02D97BD9"/>
    <w:rsid w:val="02DA018C"/>
    <w:rsid w:val="02DA1F3A"/>
    <w:rsid w:val="02DA2FD5"/>
    <w:rsid w:val="02DA60E2"/>
    <w:rsid w:val="02DA63DE"/>
    <w:rsid w:val="02DC27FD"/>
    <w:rsid w:val="02DC2C94"/>
    <w:rsid w:val="02DC2E24"/>
    <w:rsid w:val="02DD30E7"/>
    <w:rsid w:val="02DD5596"/>
    <w:rsid w:val="02DE2EF8"/>
    <w:rsid w:val="02DE7C7D"/>
    <w:rsid w:val="02DF02DE"/>
    <w:rsid w:val="02DF17B7"/>
    <w:rsid w:val="02DF37CE"/>
    <w:rsid w:val="02DF39F5"/>
    <w:rsid w:val="02DF4388"/>
    <w:rsid w:val="02E01C88"/>
    <w:rsid w:val="02E02D8D"/>
    <w:rsid w:val="02E103E9"/>
    <w:rsid w:val="02E1227F"/>
    <w:rsid w:val="02E132C9"/>
    <w:rsid w:val="02E14F44"/>
    <w:rsid w:val="02E16CA8"/>
    <w:rsid w:val="02E20138"/>
    <w:rsid w:val="02E26E81"/>
    <w:rsid w:val="02E27B77"/>
    <w:rsid w:val="02E30563"/>
    <w:rsid w:val="02E32D09"/>
    <w:rsid w:val="02E352E7"/>
    <w:rsid w:val="02E37041"/>
    <w:rsid w:val="02E434BE"/>
    <w:rsid w:val="02E501FA"/>
    <w:rsid w:val="02E56AB9"/>
    <w:rsid w:val="02E62ACC"/>
    <w:rsid w:val="02E62FD5"/>
    <w:rsid w:val="02E64D83"/>
    <w:rsid w:val="02E66B31"/>
    <w:rsid w:val="02E72F1F"/>
    <w:rsid w:val="02E73D93"/>
    <w:rsid w:val="02E74CAB"/>
    <w:rsid w:val="02E76F48"/>
    <w:rsid w:val="02E806FA"/>
    <w:rsid w:val="02E83853"/>
    <w:rsid w:val="02E84657"/>
    <w:rsid w:val="02E95E6B"/>
    <w:rsid w:val="02E96621"/>
    <w:rsid w:val="02EA1AAE"/>
    <w:rsid w:val="02EA231A"/>
    <w:rsid w:val="02EA646D"/>
    <w:rsid w:val="02EA7CC8"/>
    <w:rsid w:val="02EB03CB"/>
    <w:rsid w:val="02EB05EB"/>
    <w:rsid w:val="02EC1AB3"/>
    <w:rsid w:val="02EC2445"/>
    <w:rsid w:val="02EC784C"/>
    <w:rsid w:val="02ED1C6E"/>
    <w:rsid w:val="02ED58C9"/>
    <w:rsid w:val="02ED6112"/>
    <w:rsid w:val="02ED679B"/>
    <w:rsid w:val="02EE02A9"/>
    <w:rsid w:val="02EE59E6"/>
    <w:rsid w:val="02EE64C6"/>
    <w:rsid w:val="02EF2DDB"/>
    <w:rsid w:val="02EF2E40"/>
    <w:rsid w:val="02EF54A4"/>
    <w:rsid w:val="02EF55AE"/>
    <w:rsid w:val="02EF5605"/>
    <w:rsid w:val="02F024E4"/>
    <w:rsid w:val="02F04DD7"/>
    <w:rsid w:val="02F05C02"/>
    <w:rsid w:val="02F078AA"/>
    <w:rsid w:val="02F116BA"/>
    <w:rsid w:val="02F120DC"/>
    <w:rsid w:val="02F1747C"/>
    <w:rsid w:val="02F22C6A"/>
    <w:rsid w:val="02F23490"/>
    <w:rsid w:val="02F26219"/>
    <w:rsid w:val="02F27574"/>
    <w:rsid w:val="02F32FFC"/>
    <w:rsid w:val="02F33C8E"/>
    <w:rsid w:val="02F358D2"/>
    <w:rsid w:val="02F3750B"/>
    <w:rsid w:val="02F415DB"/>
    <w:rsid w:val="02F42C3F"/>
    <w:rsid w:val="02F42E52"/>
    <w:rsid w:val="02F43D66"/>
    <w:rsid w:val="02F44262"/>
    <w:rsid w:val="02F448B6"/>
    <w:rsid w:val="02F450A1"/>
    <w:rsid w:val="02F50957"/>
    <w:rsid w:val="02F53218"/>
    <w:rsid w:val="02F56BE8"/>
    <w:rsid w:val="02F56D74"/>
    <w:rsid w:val="02F6117F"/>
    <w:rsid w:val="02F618A4"/>
    <w:rsid w:val="02F64E45"/>
    <w:rsid w:val="02F72AEC"/>
    <w:rsid w:val="02F73C38"/>
    <w:rsid w:val="02F73FA3"/>
    <w:rsid w:val="02F76F90"/>
    <w:rsid w:val="02F80ECE"/>
    <w:rsid w:val="02F82672"/>
    <w:rsid w:val="02F83BA7"/>
    <w:rsid w:val="02F85A61"/>
    <w:rsid w:val="02F90C4D"/>
    <w:rsid w:val="02F92300"/>
    <w:rsid w:val="02F925FF"/>
    <w:rsid w:val="02FA559D"/>
    <w:rsid w:val="02FA63BF"/>
    <w:rsid w:val="02FA7374"/>
    <w:rsid w:val="02FB1E03"/>
    <w:rsid w:val="02FC0103"/>
    <w:rsid w:val="02FC45A7"/>
    <w:rsid w:val="02FD1209"/>
    <w:rsid w:val="02FD1F0C"/>
    <w:rsid w:val="02FD482A"/>
    <w:rsid w:val="02FE0AD7"/>
    <w:rsid w:val="02FE0D72"/>
    <w:rsid w:val="02FE3E7B"/>
    <w:rsid w:val="02FE4E7F"/>
    <w:rsid w:val="02FE50B7"/>
    <w:rsid w:val="02FE51D8"/>
    <w:rsid w:val="02FE67BC"/>
    <w:rsid w:val="02FE7911"/>
    <w:rsid w:val="02FF1990"/>
    <w:rsid w:val="02FF3856"/>
    <w:rsid w:val="02FF5E45"/>
    <w:rsid w:val="02FF6832"/>
    <w:rsid w:val="030031C6"/>
    <w:rsid w:val="03004097"/>
    <w:rsid w:val="03004199"/>
    <w:rsid w:val="03004550"/>
    <w:rsid w:val="03012229"/>
    <w:rsid w:val="03013E74"/>
    <w:rsid w:val="03015CDD"/>
    <w:rsid w:val="0301791B"/>
    <w:rsid w:val="03027B6E"/>
    <w:rsid w:val="03034484"/>
    <w:rsid w:val="03034E7A"/>
    <w:rsid w:val="0303524B"/>
    <w:rsid w:val="03035935"/>
    <w:rsid w:val="030367A2"/>
    <w:rsid w:val="030422E9"/>
    <w:rsid w:val="030436C6"/>
    <w:rsid w:val="03045209"/>
    <w:rsid w:val="03045584"/>
    <w:rsid w:val="030516AD"/>
    <w:rsid w:val="0305345B"/>
    <w:rsid w:val="030560A3"/>
    <w:rsid w:val="0305689D"/>
    <w:rsid w:val="03060F81"/>
    <w:rsid w:val="03061E98"/>
    <w:rsid w:val="0306659A"/>
    <w:rsid w:val="030709C3"/>
    <w:rsid w:val="03080D78"/>
    <w:rsid w:val="0308180C"/>
    <w:rsid w:val="030826A9"/>
    <w:rsid w:val="03084CFA"/>
    <w:rsid w:val="03087302"/>
    <w:rsid w:val="03087F3E"/>
    <w:rsid w:val="03094A24"/>
    <w:rsid w:val="030955F0"/>
    <w:rsid w:val="03095FED"/>
    <w:rsid w:val="030A0A72"/>
    <w:rsid w:val="030A2565"/>
    <w:rsid w:val="030A3F04"/>
    <w:rsid w:val="030A62B2"/>
    <w:rsid w:val="030A7956"/>
    <w:rsid w:val="030B1DD1"/>
    <w:rsid w:val="030B1F15"/>
    <w:rsid w:val="030B2A3C"/>
    <w:rsid w:val="030B6598"/>
    <w:rsid w:val="030B6A89"/>
    <w:rsid w:val="030D0562"/>
    <w:rsid w:val="030D2310"/>
    <w:rsid w:val="030D234B"/>
    <w:rsid w:val="030D40BE"/>
    <w:rsid w:val="030E3546"/>
    <w:rsid w:val="030E5443"/>
    <w:rsid w:val="030E78E4"/>
    <w:rsid w:val="030E7E36"/>
    <w:rsid w:val="030F1D26"/>
    <w:rsid w:val="030F3997"/>
    <w:rsid w:val="030F42DA"/>
    <w:rsid w:val="030F6088"/>
    <w:rsid w:val="030F6655"/>
    <w:rsid w:val="030F66AC"/>
    <w:rsid w:val="030F6992"/>
    <w:rsid w:val="03100052"/>
    <w:rsid w:val="03101E00"/>
    <w:rsid w:val="03102E84"/>
    <w:rsid w:val="031031B6"/>
    <w:rsid w:val="03103BAE"/>
    <w:rsid w:val="03106123"/>
    <w:rsid w:val="031070A6"/>
    <w:rsid w:val="031071DA"/>
    <w:rsid w:val="0311185E"/>
    <w:rsid w:val="03113F5C"/>
    <w:rsid w:val="031149A4"/>
    <w:rsid w:val="03115C58"/>
    <w:rsid w:val="03115D87"/>
    <w:rsid w:val="031169F8"/>
    <w:rsid w:val="03116F46"/>
    <w:rsid w:val="031224AC"/>
    <w:rsid w:val="031231E4"/>
    <w:rsid w:val="03123DCA"/>
    <w:rsid w:val="03125B78"/>
    <w:rsid w:val="03127926"/>
    <w:rsid w:val="031306A7"/>
    <w:rsid w:val="03135041"/>
    <w:rsid w:val="0313544C"/>
    <w:rsid w:val="0314094B"/>
    <w:rsid w:val="03140FDC"/>
    <w:rsid w:val="0314369E"/>
    <w:rsid w:val="031511C4"/>
    <w:rsid w:val="03153D4F"/>
    <w:rsid w:val="03155792"/>
    <w:rsid w:val="03157416"/>
    <w:rsid w:val="0315776F"/>
    <w:rsid w:val="031609AA"/>
    <w:rsid w:val="031649CF"/>
    <w:rsid w:val="03165500"/>
    <w:rsid w:val="03165668"/>
    <w:rsid w:val="03167D3C"/>
    <w:rsid w:val="03170C1A"/>
    <w:rsid w:val="031713E0"/>
    <w:rsid w:val="03171BF9"/>
    <w:rsid w:val="03177003"/>
    <w:rsid w:val="031838C0"/>
    <w:rsid w:val="031862C6"/>
    <w:rsid w:val="03190214"/>
    <w:rsid w:val="031918DD"/>
    <w:rsid w:val="03191C03"/>
    <w:rsid w:val="0319201B"/>
    <w:rsid w:val="031935AC"/>
    <w:rsid w:val="031A0857"/>
    <w:rsid w:val="031A15DF"/>
    <w:rsid w:val="031A5D58"/>
    <w:rsid w:val="031B348B"/>
    <w:rsid w:val="031B4B58"/>
    <w:rsid w:val="031B5C8D"/>
    <w:rsid w:val="031B6501"/>
    <w:rsid w:val="031C0757"/>
    <w:rsid w:val="031C192B"/>
    <w:rsid w:val="031C2553"/>
    <w:rsid w:val="031C46F7"/>
    <w:rsid w:val="031D2144"/>
    <w:rsid w:val="031D6DFB"/>
    <w:rsid w:val="031D6EFB"/>
    <w:rsid w:val="031E038B"/>
    <w:rsid w:val="031E276F"/>
    <w:rsid w:val="031E2AFD"/>
    <w:rsid w:val="031E4CE5"/>
    <w:rsid w:val="031E62CB"/>
    <w:rsid w:val="031E6367"/>
    <w:rsid w:val="031F0F4B"/>
    <w:rsid w:val="031F2043"/>
    <w:rsid w:val="031F4019"/>
    <w:rsid w:val="031F5418"/>
    <w:rsid w:val="03200295"/>
    <w:rsid w:val="03202CAB"/>
    <w:rsid w:val="03203B3B"/>
    <w:rsid w:val="03204E8A"/>
    <w:rsid w:val="0320547A"/>
    <w:rsid w:val="032064E7"/>
    <w:rsid w:val="03211DD5"/>
    <w:rsid w:val="03214018"/>
    <w:rsid w:val="0321413B"/>
    <w:rsid w:val="03217B69"/>
    <w:rsid w:val="03230063"/>
    <w:rsid w:val="03231D47"/>
    <w:rsid w:val="03232703"/>
    <w:rsid w:val="03234910"/>
    <w:rsid w:val="0324119F"/>
    <w:rsid w:val="032413B7"/>
    <w:rsid w:val="032441FD"/>
    <w:rsid w:val="03244A3D"/>
    <w:rsid w:val="03252A9B"/>
    <w:rsid w:val="0325777F"/>
    <w:rsid w:val="03257C7B"/>
    <w:rsid w:val="0326237C"/>
    <w:rsid w:val="03263341"/>
    <w:rsid w:val="03264CBC"/>
    <w:rsid w:val="032653DC"/>
    <w:rsid w:val="03266B1D"/>
    <w:rsid w:val="03267668"/>
    <w:rsid w:val="0327665A"/>
    <w:rsid w:val="03277F38"/>
    <w:rsid w:val="03280EF8"/>
    <w:rsid w:val="03282B7E"/>
    <w:rsid w:val="03282C06"/>
    <w:rsid w:val="0328473C"/>
    <w:rsid w:val="0328539C"/>
    <w:rsid w:val="032917C0"/>
    <w:rsid w:val="03294814"/>
    <w:rsid w:val="032A2E2E"/>
    <w:rsid w:val="032A2EC2"/>
    <w:rsid w:val="032A3160"/>
    <w:rsid w:val="032B326F"/>
    <w:rsid w:val="032C006E"/>
    <w:rsid w:val="032C4E8C"/>
    <w:rsid w:val="032C4EBF"/>
    <w:rsid w:val="032C6E43"/>
    <w:rsid w:val="032C7581"/>
    <w:rsid w:val="032D29B2"/>
    <w:rsid w:val="032D650E"/>
    <w:rsid w:val="032E0C21"/>
    <w:rsid w:val="032F0F15"/>
    <w:rsid w:val="032F2286"/>
    <w:rsid w:val="032F47C9"/>
    <w:rsid w:val="032F672A"/>
    <w:rsid w:val="03305FFE"/>
    <w:rsid w:val="03306D67"/>
    <w:rsid w:val="033169DD"/>
    <w:rsid w:val="033200FD"/>
    <w:rsid w:val="0332123A"/>
    <w:rsid w:val="03321B89"/>
    <w:rsid w:val="03321F7E"/>
    <w:rsid w:val="03324053"/>
    <w:rsid w:val="03325731"/>
    <w:rsid w:val="0332621A"/>
    <w:rsid w:val="03327FC8"/>
    <w:rsid w:val="033305A5"/>
    <w:rsid w:val="033308F3"/>
    <w:rsid w:val="03332D6F"/>
    <w:rsid w:val="033342C6"/>
    <w:rsid w:val="03336550"/>
    <w:rsid w:val="03337C91"/>
    <w:rsid w:val="033412E1"/>
    <w:rsid w:val="03342DC9"/>
    <w:rsid w:val="03343D40"/>
    <w:rsid w:val="0334583C"/>
    <w:rsid w:val="03345AEF"/>
    <w:rsid w:val="033473DE"/>
    <w:rsid w:val="03351867"/>
    <w:rsid w:val="03353615"/>
    <w:rsid w:val="03360536"/>
    <w:rsid w:val="03373831"/>
    <w:rsid w:val="03373D06"/>
    <w:rsid w:val="03376361"/>
    <w:rsid w:val="0338071B"/>
    <w:rsid w:val="03381231"/>
    <w:rsid w:val="033836AB"/>
    <w:rsid w:val="0339062D"/>
    <w:rsid w:val="03390C8B"/>
    <w:rsid w:val="03391357"/>
    <w:rsid w:val="033923C2"/>
    <w:rsid w:val="033930C3"/>
    <w:rsid w:val="03393105"/>
    <w:rsid w:val="03393458"/>
    <w:rsid w:val="03394299"/>
    <w:rsid w:val="03394EB3"/>
    <w:rsid w:val="03395B24"/>
    <w:rsid w:val="0339763F"/>
    <w:rsid w:val="033A0C2B"/>
    <w:rsid w:val="033A1959"/>
    <w:rsid w:val="033A1CE2"/>
    <w:rsid w:val="033A4DA1"/>
    <w:rsid w:val="033A62C2"/>
    <w:rsid w:val="033B3C8F"/>
    <w:rsid w:val="033B43AD"/>
    <w:rsid w:val="033B4E87"/>
    <w:rsid w:val="033B50CF"/>
    <w:rsid w:val="033B78B3"/>
    <w:rsid w:val="033C0E47"/>
    <w:rsid w:val="033C30F4"/>
    <w:rsid w:val="033D06BB"/>
    <w:rsid w:val="033D0C66"/>
    <w:rsid w:val="033D39EA"/>
    <w:rsid w:val="033E071B"/>
    <w:rsid w:val="033E4DA4"/>
    <w:rsid w:val="033E531B"/>
    <w:rsid w:val="033E5941"/>
    <w:rsid w:val="033E696D"/>
    <w:rsid w:val="033F2337"/>
    <w:rsid w:val="033F35AB"/>
    <w:rsid w:val="033F6234"/>
    <w:rsid w:val="0340164E"/>
    <w:rsid w:val="03402295"/>
    <w:rsid w:val="03402636"/>
    <w:rsid w:val="0340317C"/>
    <w:rsid w:val="03404F89"/>
    <w:rsid w:val="0340631E"/>
    <w:rsid w:val="03407473"/>
    <w:rsid w:val="0341020B"/>
    <w:rsid w:val="03411FB9"/>
    <w:rsid w:val="0341249E"/>
    <w:rsid w:val="03413725"/>
    <w:rsid w:val="0341645D"/>
    <w:rsid w:val="03425562"/>
    <w:rsid w:val="03426E87"/>
    <w:rsid w:val="03430C16"/>
    <w:rsid w:val="034321D6"/>
    <w:rsid w:val="03433F84"/>
    <w:rsid w:val="03435D32"/>
    <w:rsid w:val="03436045"/>
    <w:rsid w:val="034474D5"/>
    <w:rsid w:val="03450EAB"/>
    <w:rsid w:val="03451AAA"/>
    <w:rsid w:val="034553AF"/>
    <w:rsid w:val="03457CFC"/>
    <w:rsid w:val="034601FC"/>
    <w:rsid w:val="034614CD"/>
    <w:rsid w:val="03461569"/>
    <w:rsid w:val="034653B2"/>
    <w:rsid w:val="03465822"/>
    <w:rsid w:val="03470118"/>
    <w:rsid w:val="034716A4"/>
    <w:rsid w:val="034766AC"/>
    <w:rsid w:val="034810C6"/>
    <w:rsid w:val="03483348"/>
    <w:rsid w:val="0348489B"/>
    <w:rsid w:val="034851C4"/>
    <w:rsid w:val="03487019"/>
    <w:rsid w:val="034877EC"/>
    <w:rsid w:val="03490CB7"/>
    <w:rsid w:val="034929C6"/>
    <w:rsid w:val="03493AA9"/>
    <w:rsid w:val="034968E5"/>
    <w:rsid w:val="034A3564"/>
    <w:rsid w:val="034A5312"/>
    <w:rsid w:val="034A67EF"/>
    <w:rsid w:val="034A70C0"/>
    <w:rsid w:val="034B3C92"/>
    <w:rsid w:val="034B4BE6"/>
    <w:rsid w:val="034B5A1F"/>
    <w:rsid w:val="034B622F"/>
    <w:rsid w:val="034C108A"/>
    <w:rsid w:val="034C2DE9"/>
    <w:rsid w:val="034C72DC"/>
    <w:rsid w:val="034D0946"/>
    <w:rsid w:val="034D095E"/>
    <w:rsid w:val="034D14EA"/>
    <w:rsid w:val="034D4F95"/>
    <w:rsid w:val="034D6274"/>
    <w:rsid w:val="034E1A4E"/>
    <w:rsid w:val="034E2759"/>
    <w:rsid w:val="034E3E75"/>
    <w:rsid w:val="034E4899"/>
    <w:rsid w:val="034E6549"/>
    <w:rsid w:val="034E7078"/>
    <w:rsid w:val="034F0B7A"/>
    <w:rsid w:val="034F0DAC"/>
    <w:rsid w:val="034F15F6"/>
    <w:rsid w:val="034F1899"/>
    <w:rsid w:val="034F2928"/>
    <w:rsid w:val="034F46D6"/>
    <w:rsid w:val="034F5501"/>
    <w:rsid w:val="0350044F"/>
    <w:rsid w:val="03503708"/>
    <w:rsid w:val="03504941"/>
    <w:rsid w:val="03505229"/>
    <w:rsid w:val="03505EB2"/>
    <w:rsid w:val="03507B8A"/>
    <w:rsid w:val="03510642"/>
    <w:rsid w:val="035152EE"/>
    <w:rsid w:val="035166A0"/>
    <w:rsid w:val="0352051A"/>
    <w:rsid w:val="0352194C"/>
    <w:rsid w:val="03523473"/>
    <w:rsid w:val="035241C7"/>
    <w:rsid w:val="0353220F"/>
    <w:rsid w:val="03532B2B"/>
    <w:rsid w:val="03534161"/>
    <w:rsid w:val="03535B3A"/>
    <w:rsid w:val="035441B2"/>
    <w:rsid w:val="03546191"/>
    <w:rsid w:val="035467D9"/>
    <w:rsid w:val="03556111"/>
    <w:rsid w:val="03561F09"/>
    <w:rsid w:val="03570898"/>
    <w:rsid w:val="03571264"/>
    <w:rsid w:val="035732A2"/>
    <w:rsid w:val="03575C81"/>
    <w:rsid w:val="0358051C"/>
    <w:rsid w:val="03580623"/>
    <w:rsid w:val="035829D1"/>
    <w:rsid w:val="03591E57"/>
    <w:rsid w:val="03592448"/>
    <w:rsid w:val="035937A7"/>
    <w:rsid w:val="03595384"/>
    <w:rsid w:val="03596CB2"/>
    <w:rsid w:val="035A2876"/>
    <w:rsid w:val="035A307B"/>
    <w:rsid w:val="035A3BFB"/>
    <w:rsid w:val="035B2DBC"/>
    <w:rsid w:val="035B35D2"/>
    <w:rsid w:val="035B3D4A"/>
    <w:rsid w:val="035B4E40"/>
    <w:rsid w:val="035B7278"/>
    <w:rsid w:val="035B751F"/>
    <w:rsid w:val="035C17CB"/>
    <w:rsid w:val="035C2A3F"/>
    <w:rsid w:val="035C5045"/>
    <w:rsid w:val="035C6DF3"/>
    <w:rsid w:val="035C7537"/>
    <w:rsid w:val="035D0F7C"/>
    <w:rsid w:val="035D3297"/>
    <w:rsid w:val="035D5160"/>
    <w:rsid w:val="035D66F6"/>
    <w:rsid w:val="035E0DBD"/>
    <w:rsid w:val="035E2B6B"/>
    <w:rsid w:val="035E311A"/>
    <w:rsid w:val="035E349E"/>
    <w:rsid w:val="035E4B1E"/>
    <w:rsid w:val="035E4C75"/>
    <w:rsid w:val="035E5D4E"/>
    <w:rsid w:val="035E7547"/>
    <w:rsid w:val="035F1E46"/>
    <w:rsid w:val="03600B38"/>
    <w:rsid w:val="03600D18"/>
    <w:rsid w:val="03602AF9"/>
    <w:rsid w:val="03603016"/>
    <w:rsid w:val="03604B61"/>
    <w:rsid w:val="036068E4"/>
    <w:rsid w:val="036115CE"/>
    <w:rsid w:val="0361265C"/>
    <w:rsid w:val="036142A6"/>
    <w:rsid w:val="036156DD"/>
    <w:rsid w:val="03615C9F"/>
    <w:rsid w:val="03617462"/>
    <w:rsid w:val="03617825"/>
    <w:rsid w:val="036206AD"/>
    <w:rsid w:val="03621775"/>
    <w:rsid w:val="036240E1"/>
    <w:rsid w:val="03624F96"/>
    <w:rsid w:val="03624F9D"/>
    <w:rsid w:val="03630182"/>
    <w:rsid w:val="03631C4C"/>
    <w:rsid w:val="03634A0A"/>
    <w:rsid w:val="03640925"/>
    <w:rsid w:val="036412FD"/>
    <w:rsid w:val="03651EEB"/>
    <w:rsid w:val="0365214C"/>
    <w:rsid w:val="03653EFA"/>
    <w:rsid w:val="036543AC"/>
    <w:rsid w:val="036561E6"/>
    <w:rsid w:val="03657A72"/>
    <w:rsid w:val="03664368"/>
    <w:rsid w:val="036648F8"/>
    <w:rsid w:val="036663F0"/>
    <w:rsid w:val="03667C72"/>
    <w:rsid w:val="036720D2"/>
    <w:rsid w:val="03675440"/>
    <w:rsid w:val="036802DF"/>
    <w:rsid w:val="036805CF"/>
    <w:rsid w:val="03680A4B"/>
    <w:rsid w:val="03681C3C"/>
    <w:rsid w:val="036839EA"/>
    <w:rsid w:val="03685798"/>
    <w:rsid w:val="03691FEB"/>
    <w:rsid w:val="036952DF"/>
    <w:rsid w:val="036A1510"/>
    <w:rsid w:val="036A15CF"/>
    <w:rsid w:val="036A1726"/>
    <w:rsid w:val="036A59B4"/>
    <w:rsid w:val="036A6C86"/>
    <w:rsid w:val="036A7762"/>
    <w:rsid w:val="036A776A"/>
    <w:rsid w:val="036B253B"/>
    <w:rsid w:val="036B283F"/>
    <w:rsid w:val="036B3E07"/>
    <w:rsid w:val="036B5288"/>
    <w:rsid w:val="036B66D6"/>
    <w:rsid w:val="036B7036"/>
    <w:rsid w:val="036C34DA"/>
    <w:rsid w:val="036C4227"/>
    <w:rsid w:val="036C617D"/>
    <w:rsid w:val="036C66E1"/>
    <w:rsid w:val="036D1000"/>
    <w:rsid w:val="036D44D7"/>
    <w:rsid w:val="036D61A5"/>
    <w:rsid w:val="036D6689"/>
    <w:rsid w:val="036D7252"/>
    <w:rsid w:val="036E36B2"/>
    <w:rsid w:val="036E4225"/>
    <w:rsid w:val="036E74D8"/>
    <w:rsid w:val="036E771B"/>
    <w:rsid w:val="036F4D79"/>
    <w:rsid w:val="03707C33"/>
    <w:rsid w:val="037113F3"/>
    <w:rsid w:val="03712FC4"/>
    <w:rsid w:val="03713619"/>
    <w:rsid w:val="037203C5"/>
    <w:rsid w:val="037204D3"/>
    <w:rsid w:val="03721E6A"/>
    <w:rsid w:val="0372363C"/>
    <w:rsid w:val="03724869"/>
    <w:rsid w:val="03725D80"/>
    <w:rsid w:val="03726617"/>
    <w:rsid w:val="037317E5"/>
    <w:rsid w:val="03733E5A"/>
    <w:rsid w:val="03734CDB"/>
    <w:rsid w:val="03734FB8"/>
    <w:rsid w:val="03735109"/>
    <w:rsid w:val="037405E1"/>
    <w:rsid w:val="0374238F"/>
    <w:rsid w:val="0374413D"/>
    <w:rsid w:val="03755960"/>
    <w:rsid w:val="03755BB4"/>
    <w:rsid w:val="03757481"/>
    <w:rsid w:val="0376038A"/>
    <w:rsid w:val="03761701"/>
    <w:rsid w:val="03761A35"/>
    <w:rsid w:val="03762F03"/>
    <w:rsid w:val="03764359"/>
    <w:rsid w:val="03766107"/>
    <w:rsid w:val="03767EB5"/>
    <w:rsid w:val="037759DB"/>
    <w:rsid w:val="03775E29"/>
    <w:rsid w:val="03777674"/>
    <w:rsid w:val="037819BF"/>
    <w:rsid w:val="037863C5"/>
    <w:rsid w:val="03791753"/>
    <w:rsid w:val="037929DA"/>
    <w:rsid w:val="03794BD8"/>
    <w:rsid w:val="03795093"/>
    <w:rsid w:val="03795BF7"/>
    <w:rsid w:val="037979A5"/>
    <w:rsid w:val="037A0098"/>
    <w:rsid w:val="037A7246"/>
    <w:rsid w:val="037B267A"/>
    <w:rsid w:val="037B371D"/>
    <w:rsid w:val="037B3F7C"/>
    <w:rsid w:val="037B54CB"/>
    <w:rsid w:val="037B7571"/>
    <w:rsid w:val="037C59E1"/>
    <w:rsid w:val="037C672A"/>
    <w:rsid w:val="037C7321"/>
    <w:rsid w:val="037D3AD4"/>
    <w:rsid w:val="037D44B0"/>
    <w:rsid w:val="037D56E7"/>
    <w:rsid w:val="037E2C6C"/>
    <w:rsid w:val="037E320E"/>
    <w:rsid w:val="037E6D6A"/>
    <w:rsid w:val="037E7158"/>
    <w:rsid w:val="037F1F9B"/>
    <w:rsid w:val="037F791B"/>
    <w:rsid w:val="038002F5"/>
    <w:rsid w:val="03800D34"/>
    <w:rsid w:val="038018F7"/>
    <w:rsid w:val="03802CE5"/>
    <w:rsid w:val="03804B57"/>
    <w:rsid w:val="03806FB8"/>
    <w:rsid w:val="03812013"/>
    <w:rsid w:val="038143B2"/>
    <w:rsid w:val="03816AEA"/>
    <w:rsid w:val="03822CFE"/>
    <w:rsid w:val="038234E4"/>
    <w:rsid w:val="038273D8"/>
    <w:rsid w:val="03830824"/>
    <w:rsid w:val="03831206"/>
    <w:rsid w:val="03832581"/>
    <w:rsid w:val="038402AE"/>
    <w:rsid w:val="03840F12"/>
    <w:rsid w:val="03846C93"/>
    <w:rsid w:val="038500F8"/>
    <w:rsid w:val="03852CEB"/>
    <w:rsid w:val="03854A48"/>
    <w:rsid w:val="03854B05"/>
    <w:rsid w:val="03862F00"/>
    <w:rsid w:val="03866B5D"/>
    <w:rsid w:val="03870314"/>
    <w:rsid w:val="038720C2"/>
    <w:rsid w:val="03873B70"/>
    <w:rsid w:val="03874165"/>
    <w:rsid w:val="03880B39"/>
    <w:rsid w:val="0388408C"/>
    <w:rsid w:val="038841F1"/>
    <w:rsid w:val="03885E3A"/>
    <w:rsid w:val="03893A8F"/>
    <w:rsid w:val="03894F55"/>
    <w:rsid w:val="0389522B"/>
    <w:rsid w:val="03895664"/>
    <w:rsid w:val="03895822"/>
    <w:rsid w:val="0389608F"/>
    <w:rsid w:val="03896A3A"/>
    <w:rsid w:val="038A1BB2"/>
    <w:rsid w:val="038A2253"/>
    <w:rsid w:val="038A3960"/>
    <w:rsid w:val="038A570F"/>
    <w:rsid w:val="038A68A9"/>
    <w:rsid w:val="038C590F"/>
    <w:rsid w:val="038C5CCB"/>
    <w:rsid w:val="038C6957"/>
    <w:rsid w:val="038C6FFE"/>
    <w:rsid w:val="038D1FC1"/>
    <w:rsid w:val="038D2887"/>
    <w:rsid w:val="038D7EDE"/>
    <w:rsid w:val="038E1D2C"/>
    <w:rsid w:val="038E2ACE"/>
    <w:rsid w:val="038E430E"/>
    <w:rsid w:val="038E7D13"/>
    <w:rsid w:val="038F0F77"/>
    <w:rsid w:val="038F2323"/>
    <w:rsid w:val="038F31BC"/>
    <w:rsid w:val="038F37F1"/>
    <w:rsid w:val="038F38DD"/>
    <w:rsid w:val="038F4AD6"/>
    <w:rsid w:val="038F541B"/>
    <w:rsid w:val="038F61DB"/>
    <w:rsid w:val="03902038"/>
    <w:rsid w:val="03906A9D"/>
    <w:rsid w:val="03912F41"/>
    <w:rsid w:val="03915CFA"/>
    <w:rsid w:val="03916BA4"/>
    <w:rsid w:val="03916F6C"/>
    <w:rsid w:val="039176A6"/>
    <w:rsid w:val="039210DB"/>
    <w:rsid w:val="03924430"/>
    <w:rsid w:val="03932791"/>
    <w:rsid w:val="03932FCD"/>
    <w:rsid w:val="03935377"/>
    <w:rsid w:val="03935E05"/>
    <w:rsid w:val="039365CC"/>
    <w:rsid w:val="03936CB9"/>
    <w:rsid w:val="039447DF"/>
    <w:rsid w:val="03944EA1"/>
    <w:rsid w:val="03952AF8"/>
    <w:rsid w:val="0395725D"/>
    <w:rsid w:val="03957DE0"/>
    <w:rsid w:val="03960557"/>
    <w:rsid w:val="03963644"/>
    <w:rsid w:val="03964749"/>
    <w:rsid w:val="03965133"/>
    <w:rsid w:val="03965727"/>
    <w:rsid w:val="03970D48"/>
    <w:rsid w:val="039713C7"/>
    <w:rsid w:val="0397575E"/>
    <w:rsid w:val="039766A6"/>
    <w:rsid w:val="03976965"/>
    <w:rsid w:val="03980305"/>
    <w:rsid w:val="03983735"/>
    <w:rsid w:val="0398426E"/>
    <w:rsid w:val="039847FC"/>
    <w:rsid w:val="03987055"/>
    <w:rsid w:val="03991730"/>
    <w:rsid w:val="03993BA4"/>
    <w:rsid w:val="03994734"/>
    <w:rsid w:val="039956FE"/>
    <w:rsid w:val="03997FAF"/>
    <w:rsid w:val="039A2B03"/>
    <w:rsid w:val="039A2BA1"/>
    <w:rsid w:val="039B0EF7"/>
    <w:rsid w:val="039B4330"/>
    <w:rsid w:val="039B5B6E"/>
    <w:rsid w:val="039B791C"/>
    <w:rsid w:val="039C3694"/>
    <w:rsid w:val="039D18E6"/>
    <w:rsid w:val="039D36B8"/>
    <w:rsid w:val="039D4936"/>
    <w:rsid w:val="039D58FC"/>
    <w:rsid w:val="039D7986"/>
    <w:rsid w:val="039D79C5"/>
    <w:rsid w:val="039E565E"/>
    <w:rsid w:val="039E7A5E"/>
    <w:rsid w:val="039F101D"/>
    <w:rsid w:val="039F37AF"/>
    <w:rsid w:val="039F4D93"/>
    <w:rsid w:val="039F6B6F"/>
    <w:rsid w:val="03A00993"/>
    <w:rsid w:val="03A046E8"/>
    <w:rsid w:val="03A04F32"/>
    <w:rsid w:val="03A10AAB"/>
    <w:rsid w:val="03A21632"/>
    <w:rsid w:val="03A2514E"/>
    <w:rsid w:val="03A2538B"/>
    <w:rsid w:val="03A257C7"/>
    <w:rsid w:val="03A3106C"/>
    <w:rsid w:val="03A31A83"/>
    <w:rsid w:val="03A32C74"/>
    <w:rsid w:val="03A34A22"/>
    <w:rsid w:val="03A43F52"/>
    <w:rsid w:val="03A4530A"/>
    <w:rsid w:val="03A4635A"/>
    <w:rsid w:val="03A52548"/>
    <w:rsid w:val="03A57FB3"/>
    <w:rsid w:val="03A60A03"/>
    <w:rsid w:val="03A6317C"/>
    <w:rsid w:val="03A66872"/>
    <w:rsid w:val="03A67A1B"/>
    <w:rsid w:val="03A72764"/>
    <w:rsid w:val="03A728D3"/>
    <w:rsid w:val="03A762C0"/>
    <w:rsid w:val="03A76E10"/>
    <w:rsid w:val="03A8028B"/>
    <w:rsid w:val="03A80C20"/>
    <w:rsid w:val="03A80D17"/>
    <w:rsid w:val="03A82039"/>
    <w:rsid w:val="03A84967"/>
    <w:rsid w:val="03A85B56"/>
    <w:rsid w:val="03A86F81"/>
    <w:rsid w:val="03A95D48"/>
    <w:rsid w:val="03A964DC"/>
    <w:rsid w:val="03A9797E"/>
    <w:rsid w:val="03A97F9D"/>
    <w:rsid w:val="03AA4003"/>
    <w:rsid w:val="03AA58A2"/>
    <w:rsid w:val="03AA7B5F"/>
    <w:rsid w:val="03AA7DC4"/>
    <w:rsid w:val="03AB7B6C"/>
    <w:rsid w:val="03AC0122"/>
    <w:rsid w:val="03AC1A3C"/>
    <w:rsid w:val="03AC2266"/>
    <w:rsid w:val="03AC43C5"/>
    <w:rsid w:val="03AD28E6"/>
    <w:rsid w:val="03AE0B7D"/>
    <w:rsid w:val="03AE3AF3"/>
    <w:rsid w:val="03AE4AB5"/>
    <w:rsid w:val="03AE7C59"/>
    <w:rsid w:val="03AF090C"/>
    <w:rsid w:val="03AF1AC7"/>
    <w:rsid w:val="03AF33C7"/>
    <w:rsid w:val="03AF3C36"/>
    <w:rsid w:val="03B056D2"/>
    <w:rsid w:val="03B10EED"/>
    <w:rsid w:val="03B118A9"/>
    <w:rsid w:val="03B13A47"/>
    <w:rsid w:val="03B15391"/>
    <w:rsid w:val="03B1713F"/>
    <w:rsid w:val="03B22EB7"/>
    <w:rsid w:val="03B24C65"/>
    <w:rsid w:val="03B24E15"/>
    <w:rsid w:val="03B37ABB"/>
    <w:rsid w:val="03B458BD"/>
    <w:rsid w:val="03B46C2F"/>
    <w:rsid w:val="03B500FC"/>
    <w:rsid w:val="03B50BBF"/>
    <w:rsid w:val="03B511EC"/>
    <w:rsid w:val="03B51501"/>
    <w:rsid w:val="03B517B6"/>
    <w:rsid w:val="03B54ED7"/>
    <w:rsid w:val="03B56367"/>
    <w:rsid w:val="03B56DCA"/>
    <w:rsid w:val="03B604E9"/>
    <w:rsid w:val="03B60FA4"/>
    <w:rsid w:val="03B62BC3"/>
    <w:rsid w:val="03B62E10"/>
    <w:rsid w:val="03B66504"/>
    <w:rsid w:val="03B70C87"/>
    <w:rsid w:val="03B7227C"/>
    <w:rsid w:val="03B727D7"/>
    <w:rsid w:val="03B76D0F"/>
    <w:rsid w:val="03B776D8"/>
    <w:rsid w:val="03B77C36"/>
    <w:rsid w:val="03B804CE"/>
    <w:rsid w:val="03B80955"/>
    <w:rsid w:val="03B84C51"/>
    <w:rsid w:val="03B92498"/>
    <w:rsid w:val="03B94246"/>
    <w:rsid w:val="03B95DC8"/>
    <w:rsid w:val="03B95FF4"/>
    <w:rsid w:val="03B978B9"/>
    <w:rsid w:val="03BA2C7F"/>
    <w:rsid w:val="03BA3522"/>
    <w:rsid w:val="03BA40DF"/>
    <w:rsid w:val="03BA730A"/>
    <w:rsid w:val="03BB1D6C"/>
    <w:rsid w:val="03BB2728"/>
    <w:rsid w:val="03BB4C96"/>
    <w:rsid w:val="03BB6210"/>
    <w:rsid w:val="03BB7FBE"/>
    <w:rsid w:val="03BC11F2"/>
    <w:rsid w:val="03BC1494"/>
    <w:rsid w:val="03BC4D98"/>
    <w:rsid w:val="03BC5198"/>
    <w:rsid w:val="03BC7892"/>
    <w:rsid w:val="03BC7B07"/>
    <w:rsid w:val="03BD309C"/>
    <w:rsid w:val="03BD623A"/>
    <w:rsid w:val="03BD70E7"/>
    <w:rsid w:val="03BE185C"/>
    <w:rsid w:val="03BE360A"/>
    <w:rsid w:val="03BE3C40"/>
    <w:rsid w:val="03BE6457"/>
    <w:rsid w:val="03BF0B5A"/>
    <w:rsid w:val="03BF2634"/>
    <w:rsid w:val="03BF3B51"/>
    <w:rsid w:val="03BF65F1"/>
    <w:rsid w:val="03C026ED"/>
    <w:rsid w:val="03C03373"/>
    <w:rsid w:val="03C03826"/>
    <w:rsid w:val="03C055D4"/>
    <w:rsid w:val="03C05ACC"/>
    <w:rsid w:val="03C07382"/>
    <w:rsid w:val="03C10264"/>
    <w:rsid w:val="03C156FF"/>
    <w:rsid w:val="03C20875"/>
    <w:rsid w:val="03C209E1"/>
    <w:rsid w:val="03C2134C"/>
    <w:rsid w:val="03C24EBC"/>
    <w:rsid w:val="03C25ABA"/>
    <w:rsid w:val="03C30C20"/>
    <w:rsid w:val="03C41467"/>
    <w:rsid w:val="03C452C2"/>
    <w:rsid w:val="03C471BD"/>
    <w:rsid w:val="03C50E3C"/>
    <w:rsid w:val="03C52BEB"/>
    <w:rsid w:val="03C560B8"/>
    <w:rsid w:val="03C5684E"/>
    <w:rsid w:val="03C621DC"/>
    <w:rsid w:val="03C62A75"/>
    <w:rsid w:val="03C70711"/>
    <w:rsid w:val="03C71835"/>
    <w:rsid w:val="03C732F3"/>
    <w:rsid w:val="03C74BB5"/>
    <w:rsid w:val="03C81EC1"/>
    <w:rsid w:val="03C8330C"/>
    <w:rsid w:val="03C84489"/>
    <w:rsid w:val="03C84EB3"/>
    <w:rsid w:val="03C86237"/>
    <w:rsid w:val="03C91DAD"/>
    <w:rsid w:val="03C9616C"/>
    <w:rsid w:val="03CA0201"/>
    <w:rsid w:val="03CA5C6D"/>
    <w:rsid w:val="03CA6453"/>
    <w:rsid w:val="03CA7149"/>
    <w:rsid w:val="03CB1969"/>
    <w:rsid w:val="03CB27D1"/>
    <w:rsid w:val="03CB7380"/>
    <w:rsid w:val="03CC284B"/>
    <w:rsid w:val="03CC315E"/>
    <w:rsid w:val="03CC5D27"/>
    <w:rsid w:val="03CD30F1"/>
    <w:rsid w:val="03CD3BB2"/>
    <w:rsid w:val="03CD4B66"/>
    <w:rsid w:val="03CD4CB8"/>
    <w:rsid w:val="03CD5248"/>
    <w:rsid w:val="03CD767B"/>
    <w:rsid w:val="03CE6822"/>
    <w:rsid w:val="03CE683B"/>
    <w:rsid w:val="03CE6935"/>
    <w:rsid w:val="03CF5817"/>
    <w:rsid w:val="03CF6F0E"/>
    <w:rsid w:val="03CF75C5"/>
    <w:rsid w:val="03CF7FAC"/>
    <w:rsid w:val="03D01ADF"/>
    <w:rsid w:val="03D042C3"/>
    <w:rsid w:val="03D04DCA"/>
    <w:rsid w:val="03D04EE0"/>
    <w:rsid w:val="03D04F38"/>
    <w:rsid w:val="03D109BA"/>
    <w:rsid w:val="03D10B75"/>
    <w:rsid w:val="03D1333D"/>
    <w:rsid w:val="03D15F79"/>
    <w:rsid w:val="03D17A4E"/>
    <w:rsid w:val="03D216D2"/>
    <w:rsid w:val="03D2588F"/>
    <w:rsid w:val="03D270B5"/>
    <w:rsid w:val="03D27D9F"/>
    <w:rsid w:val="03D315A5"/>
    <w:rsid w:val="03D32C00"/>
    <w:rsid w:val="03D33559"/>
    <w:rsid w:val="03D35307"/>
    <w:rsid w:val="03D35490"/>
    <w:rsid w:val="03D37B7B"/>
    <w:rsid w:val="03D37E08"/>
    <w:rsid w:val="03D41080"/>
    <w:rsid w:val="03D42E2E"/>
    <w:rsid w:val="03D43303"/>
    <w:rsid w:val="03D471A5"/>
    <w:rsid w:val="03D4729D"/>
    <w:rsid w:val="03D474BD"/>
    <w:rsid w:val="03D47B4C"/>
    <w:rsid w:val="03D54B4A"/>
    <w:rsid w:val="03D56809"/>
    <w:rsid w:val="03D570D4"/>
    <w:rsid w:val="03D60954"/>
    <w:rsid w:val="03D61B92"/>
    <w:rsid w:val="03D62D88"/>
    <w:rsid w:val="03D64210"/>
    <w:rsid w:val="03D65529"/>
    <w:rsid w:val="03D65F01"/>
    <w:rsid w:val="03D734E6"/>
    <w:rsid w:val="03D77571"/>
    <w:rsid w:val="03D80B70"/>
    <w:rsid w:val="03D8291E"/>
    <w:rsid w:val="03D90444"/>
    <w:rsid w:val="03D91B59"/>
    <w:rsid w:val="03D96696"/>
    <w:rsid w:val="03DA1FED"/>
    <w:rsid w:val="03DA48E8"/>
    <w:rsid w:val="03DA55B9"/>
    <w:rsid w:val="03DA58AE"/>
    <w:rsid w:val="03DB240E"/>
    <w:rsid w:val="03DB2AE3"/>
    <w:rsid w:val="03DB2F74"/>
    <w:rsid w:val="03DB4D6D"/>
    <w:rsid w:val="03DB550E"/>
    <w:rsid w:val="03DB5551"/>
    <w:rsid w:val="03DC10A0"/>
    <w:rsid w:val="03DC1CBA"/>
    <w:rsid w:val="03DC27A4"/>
    <w:rsid w:val="03DC3EB0"/>
    <w:rsid w:val="03DC45BC"/>
    <w:rsid w:val="03DD0E7A"/>
    <w:rsid w:val="03DD1CE2"/>
    <w:rsid w:val="03DD29A1"/>
    <w:rsid w:val="03DD3DFE"/>
    <w:rsid w:val="03DD40E2"/>
    <w:rsid w:val="03DD42BE"/>
    <w:rsid w:val="03DD6EC4"/>
    <w:rsid w:val="03DD74E0"/>
    <w:rsid w:val="03DE176D"/>
    <w:rsid w:val="03DE2340"/>
    <w:rsid w:val="03DE35EF"/>
    <w:rsid w:val="03DE3820"/>
    <w:rsid w:val="03DE548A"/>
    <w:rsid w:val="03DE5A5A"/>
    <w:rsid w:val="03DE5C80"/>
    <w:rsid w:val="03DE7CDE"/>
    <w:rsid w:val="03DF1EFE"/>
    <w:rsid w:val="03DF62C8"/>
    <w:rsid w:val="03DF6FA5"/>
    <w:rsid w:val="03E02952"/>
    <w:rsid w:val="03E02A63"/>
    <w:rsid w:val="03E0469E"/>
    <w:rsid w:val="03E12363"/>
    <w:rsid w:val="03E2155F"/>
    <w:rsid w:val="03E2379C"/>
    <w:rsid w:val="03E2409E"/>
    <w:rsid w:val="03E24FEA"/>
    <w:rsid w:val="03E25383"/>
    <w:rsid w:val="03E2554B"/>
    <w:rsid w:val="03E2722B"/>
    <w:rsid w:val="03E272F9"/>
    <w:rsid w:val="03E27F1D"/>
    <w:rsid w:val="03E312C3"/>
    <w:rsid w:val="03E33071"/>
    <w:rsid w:val="03E36813"/>
    <w:rsid w:val="03E41808"/>
    <w:rsid w:val="03E42C2D"/>
    <w:rsid w:val="03E47515"/>
    <w:rsid w:val="03E476E2"/>
    <w:rsid w:val="03E51423"/>
    <w:rsid w:val="03E52B9A"/>
    <w:rsid w:val="03E5328D"/>
    <w:rsid w:val="03E53BB3"/>
    <w:rsid w:val="03E5503B"/>
    <w:rsid w:val="03E5517D"/>
    <w:rsid w:val="03E5590A"/>
    <w:rsid w:val="03E56CAA"/>
    <w:rsid w:val="03E57856"/>
    <w:rsid w:val="03E61CD6"/>
    <w:rsid w:val="03E708AD"/>
    <w:rsid w:val="03E70971"/>
    <w:rsid w:val="03E70DB3"/>
    <w:rsid w:val="03E72982"/>
    <w:rsid w:val="03E72B61"/>
    <w:rsid w:val="03E73A2B"/>
    <w:rsid w:val="03E740FA"/>
    <w:rsid w:val="03E7582D"/>
    <w:rsid w:val="03E77005"/>
    <w:rsid w:val="03E80F1E"/>
    <w:rsid w:val="03E827E2"/>
    <w:rsid w:val="03E859F7"/>
    <w:rsid w:val="03E868D9"/>
    <w:rsid w:val="03E902D2"/>
    <w:rsid w:val="03E91DDD"/>
    <w:rsid w:val="03E936F0"/>
    <w:rsid w:val="03E93BBC"/>
    <w:rsid w:val="03E93BFA"/>
    <w:rsid w:val="03E9450C"/>
    <w:rsid w:val="03E94B2B"/>
    <w:rsid w:val="03E9585B"/>
    <w:rsid w:val="03E9771D"/>
    <w:rsid w:val="03E97F35"/>
    <w:rsid w:val="03EA08A3"/>
    <w:rsid w:val="03EA43FF"/>
    <w:rsid w:val="03EB177C"/>
    <w:rsid w:val="03EB5A8F"/>
    <w:rsid w:val="03EC0177"/>
    <w:rsid w:val="03EC63C9"/>
    <w:rsid w:val="03EC7024"/>
    <w:rsid w:val="03EC7096"/>
    <w:rsid w:val="03EC7ADB"/>
    <w:rsid w:val="03ED0740"/>
    <w:rsid w:val="03ED3BD7"/>
    <w:rsid w:val="03ED7881"/>
    <w:rsid w:val="03EE2141"/>
    <w:rsid w:val="03EE24E3"/>
    <w:rsid w:val="03EE33BF"/>
    <w:rsid w:val="03EE3EEF"/>
    <w:rsid w:val="03EE6D15"/>
    <w:rsid w:val="03EE7FB2"/>
    <w:rsid w:val="03EF1A15"/>
    <w:rsid w:val="03EF24FA"/>
    <w:rsid w:val="03EF2A6A"/>
    <w:rsid w:val="03F0284E"/>
    <w:rsid w:val="03F10E17"/>
    <w:rsid w:val="03F139E0"/>
    <w:rsid w:val="03F222A7"/>
    <w:rsid w:val="03F23AC8"/>
    <w:rsid w:val="03F31506"/>
    <w:rsid w:val="03F359AA"/>
    <w:rsid w:val="03F35D05"/>
    <w:rsid w:val="03F35DC2"/>
    <w:rsid w:val="03F37758"/>
    <w:rsid w:val="03F40ED9"/>
    <w:rsid w:val="03F411CC"/>
    <w:rsid w:val="03F43338"/>
    <w:rsid w:val="03F434D0"/>
    <w:rsid w:val="03F43806"/>
    <w:rsid w:val="03F44885"/>
    <w:rsid w:val="03F44B2E"/>
    <w:rsid w:val="03F4527E"/>
    <w:rsid w:val="03F47798"/>
    <w:rsid w:val="03F516E1"/>
    <w:rsid w:val="03F51D85"/>
    <w:rsid w:val="03F52D8B"/>
    <w:rsid w:val="03F55252"/>
    <w:rsid w:val="03F60FF6"/>
    <w:rsid w:val="03F62DA4"/>
    <w:rsid w:val="03F67248"/>
    <w:rsid w:val="03F67898"/>
    <w:rsid w:val="03F76284"/>
    <w:rsid w:val="03F7727B"/>
    <w:rsid w:val="03F82806"/>
    <w:rsid w:val="03F82FC0"/>
    <w:rsid w:val="03F84D6E"/>
    <w:rsid w:val="03F8620E"/>
    <w:rsid w:val="03F86B1C"/>
    <w:rsid w:val="03F86E92"/>
    <w:rsid w:val="03F9217A"/>
    <w:rsid w:val="03F92894"/>
    <w:rsid w:val="03F9387A"/>
    <w:rsid w:val="03FA2FBE"/>
    <w:rsid w:val="03FA3244"/>
    <w:rsid w:val="03FA5697"/>
    <w:rsid w:val="03FA5FD8"/>
    <w:rsid w:val="03FB03BA"/>
    <w:rsid w:val="03FB119E"/>
    <w:rsid w:val="03FB1318"/>
    <w:rsid w:val="03FB14C4"/>
    <w:rsid w:val="03FB217D"/>
    <w:rsid w:val="03FB39E5"/>
    <w:rsid w:val="03FB485E"/>
    <w:rsid w:val="03FB4C62"/>
    <w:rsid w:val="03FB660C"/>
    <w:rsid w:val="03FC22C0"/>
    <w:rsid w:val="03FC3B9D"/>
    <w:rsid w:val="03FC5260"/>
    <w:rsid w:val="03FC5850"/>
    <w:rsid w:val="03FC71F6"/>
    <w:rsid w:val="03FD01D2"/>
    <w:rsid w:val="03FD05D6"/>
    <w:rsid w:val="03FD0E49"/>
    <w:rsid w:val="03FD2384"/>
    <w:rsid w:val="03FD29AB"/>
    <w:rsid w:val="03FD2DE7"/>
    <w:rsid w:val="03FD42E7"/>
    <w:rsid w:val="03FD5CD0"/>
    <w:rsid w:val="03FE1C1F"/>
    <w:rsid w:val="03FE42D1"/>
    <w:rsid w:val="03FE4475"/>
    <w:rsid w:val="03FE7EAB"/>
    <w:rsid w:val="03FF0271"/>
    <w:rsid w:val="03FF0379"/>
    <w:rsid w:val="03FF434E"/>
    <w:rsid w:val="03FF60FC"/>
    <w:rsid w:val="03FF7734"/>
    <w:rsid w:val="040000C7"/>
    <w:rsid w:val="04001E75"/>
    <w:rsid w:val="04003C23"/>
    <w:rsid w:val="0400632B"/>
    <w:rsid w:val="04011D9C"/>
    <w:rsid w:val="040136A4"/>
    <w:rsid w:val="04014092"/>
    <w:rsid w:val="04025BED"/>
    <w:rsid w:val="0402799B"/>
    <w:rsid w:val="04027EB3"/>
    <w:rsid w:val="04030D72"/>
    <w:rsid w:val="04034DEA"/>
    <w:rsid w:val="040354C1"/>
    <w:rsid w:val="040406D4"/>
    <w:rsid w:val="04041965"/>
    <w:rsid w:val="0404204B"/>
    <w:rsid w:val="04046712"/>
    <w:rsid w:val="0404728D"/>
    <w:rsid w:val="04051239"/>
    <w:rsid w:val="040524AC"/>
    <w:rsid w:val="040556DD"/>
    <w:rsid w:val="0405748B"/>
    <w:rsid w:val="04062E89"/>
    <w:rsid w:val="0406504D"/>
    <w:rsid w:val="04073203"/>
    <w:rsid w:val="04073F41"/>
    <w:rsid w:val="040762A4"/>
    <w:rsid w:val="04081377"/>
    <w:rsid w:val="0408152C"/>
    <w:rsid w:val="04082AD7"/>
    <w:rsid w:val="040845C6"/>
    <w:rsid w:val="04086C6E"/>
    <w:rsid w:val="04087C80"/>
    <w:rsid w:val="04090190"/>
    <w:rsid w:val="04090D29"/>
    <w:rsid w:val="040930D8"/>
    <w:rsid w:val="04096F7B"/>
    <w:rsid w:val="040A3D0F"/>
    <w:rsid w:val="040A5B0F"/>
    <w:rsid w:val="040A684F"/>
    <w:rsid w:val="040A7470"/>
    <w:rsid w:val="040B15A8"/>
    <w:rsid w:val="040B4438"/>
    <w:rsid w:val="040B56A9"/>
    <w:rsid w:val="040B7E59"/>
    <w:rsid w:val="040C1352"/>
    <w:rsid w:val="040C2427"/>
    <w:rsid w:val="040C25C7"/>
    <w:rsid w:val="040C6A6B"/>
    <w:rsid w:val="040C7274"/>
    <w:rsid w:val="040D2801"/>
    <w:rsid w:val="040D3111"/>
    <w:rsid w:val="040D6B8B"/>
    <w:rsid w:val="040E27E3"/>
    <w:rsid w:val="040E6340"/>
    <w:rsid w:val="040F20B8"/>
    <w:rsid w:val="040F2377"/>
    <w:rsid w:val="040F3EEA"/>
    <w:rsid w:val="040F43A0"/>
    <w:rsid w:val="0410030A"/>
    <w:rsid w:val="0410296E"/>
    <w:rsid w:val="04105830"/>
    <w:rsid w:val="04106F71"/>
    <w:rsid w:val="041079DB"/>
    <w:rsid w:val="041132E7"/>
    <w:rsid w:val="04114082"/>
    <w:rsid w:val="04114E3B"/>
    <w:rsid w:val="04115DDA"/>
    <w:rsid w:val="04116D5E"/>
    <w:rsid w:val="04117BDE"/>
    <w:rsid w:val="041219F4"/>
    <w:rsid w:val="04121BE6"/>
    <w:rsid w:val="04123CC2"/>
    <w:rsid w:val="04124462"/>
    <w:rsid w:val="04130305"/>
    <w:rsid w:val="04131BA8"/>
    <w:rsid w:val="04134A95"/>
    <w:rsid w:val="0413555A"/>
    <w:rsid w:val="041358F2"/>
    <w:rsid w:val="04136D14"/>
    <w:rsid w:val="04140594"/>
    <w:rsid w:val="0414147C"/>
    <w:rsid w:val="041414B4"/>
    <w:rsid w:val="041459A5"/>
    <w:rsid w:val="04146D82"/>
    <w:rsid w:val="04155F9E"/>
    <w:rsid w:val="0415705E"/>
    <w:rsid w:val="04157798"/>
    <w:rsid w:val="04163446"/>
    <w:rsid w:val="04167D16"/>
    <w:rsid w:val="041701AD"/>
    <w:rsid w:val="0417143C"/>
    <w:rsid w:val="04172B32"/>
    <w:rsid w:val="041732A3"/>
    <w:rsid w:val="041762F7"/>
    <w:rsid w:val="04176949"/>
    <w:rsid w:val="04177483"/>
    <w:rsid w:val="04180F6C"/>
    <w:rsid w:val="0418219A"/>
    <w:rsid w:val="0418425D"/>
    <w:rsid w:val="0418460C"/>
    <w:rsid w:val="041862B6"/>
    <w:rsid w:val="0418680E"/>
    <w:rsid w:val="04186FFB"/>
    <w:rsid w:val="041871BE"/>
    <w:rsid w:val="04190C35"/>
    <w:rsid w:val="04191764"/>
    <w:rsid w:val="041940ED"/>
    <w:rsid w:val="041947EF"/>
    <w:rsid w:val="04194CE4"/>
    <w:rsid w:val="04196DF5"/>
    <w:rsid w:val="04197DC2"/>
    <w:rsid w:val="041A14F9"/>
    <w:rsid w:val="041A2BF4"/>
    <w:rsid w:val="041A2F36"/>
    <w:rsid w:val="041A49AB"/>
    <w:rsid w:val="041B2754"/>
    <w:rsid w:val="041B280B"/>
    <w:rsid w:val="041B2F02"/>
    <w:rsid w:val="041B31A4"/>
    <w:rsid w:val="041B6CAE"/>
    <w:rsid w:val="041C0ADC"/>
    <w:rsid w:val="041C2811"/>
    <w:rsid w:val="041C2F54"/>
    <w:rsid w:val="041C43D6"/>
    <w:rsid w:val="041C458B"/>
    <w:rsid w:val="041C69A4"/>
    <w:rsid w:val="041C6C59"/>
    <w:rsid w:val="041C7036"/>
    <w:rsid w:val="041D074F"/>
    <w:rsid w:val="041D2A27"/>
    <w:rsid w:val="041D6583"/>
    <w:rsid w:val="041E22FB"/>
    <w:rsid w:val="041E5727"/>
    <w:rsid w:val="041F054D"/>
    <w:rsid w:val="041F6A66"/>
    <w:rsid w:val="04201442"/>
    <w:rsid w:val="04202CA2"/>
    <w:rsid w:val="042042C5"/>
    <w:rsid w:val="04206073"/>
    <w:rsid w:val="04207AF4"/>
    <w:rsid w:val="04207E21"/>
    <w:rsid w:val="04207EF6"/>
    <w:rsid w:val="04212491"/>
    <w:rsid w:val="04212E67"/>
    <w:rsid w:val="04215C57"/>
    <w:rsid w:val="0422003D"/>
    <w:rsid w:val="04220AD2"/>
    <w:rsid w:val="04221BEE"/>
    <w:rsid w:val="04221DEB"/>
    <w:rsid w:val="04224A3F"/>
    <w:rsid w:val="042309A8"/>
    <w:rsid w:val="0423737B"/>
    <w:rsid w:val="042426BC"/>
    <w:rsid w:val="04243DB5"/>
    <w:rsid w:val="042447C0"/>
    <w:rsid w:val="04245136"/>
    <w:rsid w:val="04245B63"/>
    <w:rsid w:val="04247911"/>
    <w:rsid w:val="042518DB"/>
    <w:rsid w:val="04253C3B"/>
    <w:rsid w:val="042542D3"/>
    <w:rsid w:val="04255E13"/>
    <w:rsid w:val="042561EF"/>
    <w:rsid w:val="042642C7"/>
    <w:rsid w:val="04267B2D"/>
    <w:rsid w:val="04267FE7"/>
    <w:rsid w:val="04272E41"/>
    <w:rsid w:val="04273CA3"/>
    <w:rsid w:val="04275653"/>
    <w:rsid w:val="04277401"/>
    <w:rsid w:val="042814EC"/>
    <w:rsid w:val="042839DF"/>
    <w:rsid w:val="04283AF3"/>
    <w:rsid w:val="042913CB"/>
    <w:rsid w:val="04293179"/>
    <w:rsid w:val="04294066"/>
    <w:rsid w:val="0429511D"/>
    <w:rsid w:val="04296473"/>
    <w:rsid w:val="042974B4"/>
    <w:rsid w:val="042B05BC"/>
    <w:rsid w:val="042B26C2"/>
    <w:rsid w:val="042B2BF5"/>
    <w:rsid w:val="042B2EE7"/>
    <w:rsid w:val="042B5009"/>
    <w:rsid w:val="042B713D"/>
    <w:rsid w:val="042C052B"/>
    <w:rsid w:val="042C2C6A"/>
    <w:rsid w:val="042C2F38"/>
    <w:rsid w:val="042C63B0"/>
    <w:rsid w:val="042D3041"/>
    <w:rsid w:val="042D4229"/>
    <w:rsid w:val="042E07AD"/>
    <w:rsid w:val="042E0DB9"/>
    <w:rsid w:val="042E328D"/>
    <w:rsid w:val="042E6050"/>
    <w:rsid w:val="042E66A5"/>
    <w:rsid w:val="042E69E2"/>
    <w:rsid w:val="042F3594"/>
    <w:rsid w:val="042F4508"/>
    <w:rsid w:val="042F62B6"/>
    <w:rsid w:val="04301435"/>
    <w:rsid w:val="0430347A"/>
    <w:rsid w:val="04310280"/>
    <w:rsid w:val="04310E7B"/>
    <w:rsid w:val="04311D9D"/>
    <w:rsid w:val="04312061"/>
    <w:rsid w:val="043163E4"/>
    <w:rsid w:val="043164D2"/>
    <w:rsid w:val="043202F9"/>
    <w:rsid w:val="0432085C"/>
    <w:rsid w:val="043233E0"/>
    <w:rsid w:val="04333FF8"/>
    <w:rsid w:val="04335BDA"/>
    <w:rsid w:val="04335DA6"/>
    <w:rsid w:val="043376C2"/>
    <w:rsid w:val="043418A1"/>
    <w:rsid w:val="043424F9"/>
    <w:rsid w:val="043438CC"/>
    <w:rsid w:val="043456BD"/>
    <w:rsid w:val="04353E9C"/>
    <w:rsid w:val="04356538"/>
    <w:rsid w:val="0436211C"/>
    <w:rsid w:val="04365D91"/>
    <w:rsid w:val="04367E28"/>
    <w:rsid w:val="04376F85"/>
    <w:rsid w:val="04380CB2"/>
    <w:rsid w:val="04381FE4"/>
    <w:rsid w:val="043833BC"/>
    <w:rsid w:val="04387860"/>
    <w:rsid w:val="04387C67"/>
    <w:rsid w:val="043911FB"/>
    <w:rsid w:val="04391FEF"/>
    <w:rsid w:val="0439488C"/>
    <w:rsid w:val="04394B34"/>
    <w:rsid w:val="04394C1A"/>
    <w:rsid w:val="04397D3F"/>
    <w:rsid w:val="043A125E"/>
    <w:rsid w:val="043B10FF"/>
    <w:rsid w:val="043B2338"/>
    <w:rsid w:val="043B2EAD"/>
    <w:rsid w:val="043B3539"/>
    <w:rsid w:val="043B420D"/>
    <w:rsid w:val="043B4636"/>
    <w:rsid w:val="043B694C"/>
    <w:rsid w:val="043C0DEF"/>
    <w:rsid w:val="043C2B5E"/>
    <w:rsid w:val="043C5B40"/>
    <w:rsid w:val="043C5B4D"/>
    <w:rsid w:val="043C5F8E"/>
    <w:rsid w:val="043D057A"/>
    <w:rsid w:val="043D36FD"/>
    <w:rsid w:val="043D4E77"/>
    <w:rsid w:val="043D6C25"/>
    <w:rsid w:val="043E08AE"/>
    <w:rsid w:val="043E213F"/>
    <w:rsid w:val="043E2194"/>
    <w:rsid w:val="043E35A7"/>
    <w:rsid w:val="043E4B09"/>
    <w:rsid w:val="043F1D3E"/>
    <w:rsid w:val="043F299D"/>
    <w:rsid w:val="043F6CB7"/>
    <w:rsid w:val="0440026B"/>
    <w:rsid w:val="04402271"/>
    <w:rsid w:val="0440490F"/>
    <w:rsid w:val="044065AE"/>
    <w:rsid w:val="04410745"/>
    <w:rsid w:val="044112A1"/>
    <w:rsid w:val="04413796"/>
    <w:rsid w:val="04413D6A"/>
    <w:rsid w:val="04417F3A"/>
    <w:rsid w:val="0442248D"/>
    <w:rsid w:val="0442423B"/>
    <w:rsid w:val="044245C4"/>
    <w:rsid w:val="04430667"/>
    <w:rsid w:val="04432FDE"/>
    <w:rsid w:val="04434205"/>
    <w:rsid w:val="044366BE"/>
    <w:rsid w:val="04441D61"/>
    <w:rsid w:val="044420FF"/>
    <w:rsid w:val="04446205"/>
    <w:rsid w:val="04447FB3"/>
    <w:rsid w:val="044503C1"/>
    <w:rsid w:val="044516F3"/>
    <w:rsid w:val="04451A44"/>
    <w:rsid w:val="044536EC"/>
    <w:rsid w:val="044554D6"/>
    <w:rsid w:val="044572F1"/>
    <w:rsid w:val="04460048"/>
    <w:rsid w:val="04460B6C"/>
    <w:rsid w:val="04464562"/>
    <w:rsid w:val="04471852"/>
    <w:rsid w:val="0447359B"/>
    <w:rsid w:val="0447390B"/>
    <w:rsid w:val="04474430"/>
    <w:rsid w:val="0448334B"/>
    <w:rsid w:val="0449060F"/>
    <w:rsid w:val="0449381C"/>
    <w:rsid w:val="044955C6"/>
    <w:rsid w:val="04496F91"/>
    <w:rsid w:val="04497378"/>
    <w:rsid w:val="0449786B"/>
    <w:rsid w:val="044A07A4"/>
    <w:rsid w:val="044A0BEB"/>
    <w:rsid w:val="044A16B9"/>
    <w:rsid w:val="044A2252"/>
    <w:rsid w:val="044A498E"/>
    <w:rsid w:val="044A5AC8"/>
    <w:rsid w:val="044B45F3"/>
    <w:rsid w:val="044B4A37"/>
    <w:rsid w:val="044C157D"/>
    <w:rsid w:val="044C330C"/>
    <w:rsid w:val="044C7F2F"/>
    <w:rsid w:val="044D12DB"/>
    <w:rsid w:val="044D4C27"/>
    <w:rsid w:val="044D6F13"/>
    <w:rsid w:val="044D7B97"/>
    <w:rsid w:val="044E0E32"/>
    <w:rsid w:val="044E1687"/>
    <w:rsid w:val="044E2BE0"/>
    <w:rsid w:val="044E498E"/>
    <w:rsid w:val="044F1252"/>
    <w:rsid w:val="044F1833"/>
    <w:rsid w:val="044F3739"/>
    <w:rsid w:val="045002C4"/>
    <w:rsid w:val="0450094B"/>
    <w:rsid w:val="04502836"/>
    <w:rsid w:val="04502CC3"/>
    <w:rsid w:val="04504404"/>
    <w:rsid w:val="04505C27"/>
    <w:rsid w:val="04506958"/>
    <w:rsid w:val="04510900"/>
    <w:rsid w:val="04510922"/>
    <w:rsid w:val="045126D0"/>
    <w:rsid w:val="0451467A"/>
    <w:rsid w:val="04517974"/>
    <w:rsid w:val="0452355B"/>
    <w:rsid w:val="0452549C"/>
    <w:rsid w:val="04526520"/>
    <w:rsid w:val="045304D2"/>
    <w:rsid w:val="04530E38"/>
    <w:rsid w:val="04531FA4"/>
    <w:rsid w:val="04532D85"/>
    <w:rsid w:val="0453339F"/>
    <w:rsid w:val="04536448"/>
    <w:rsid w:val="0454103F"/>
    <w:rsid w:val="045418DD"/>
    <w:rsid w:val="04553F6E"/>
    <w:rsid w:val="04561706"/>
    <w:rsid w:val="04561AEE"/>
    <w:rsid w:val="04562589"/>
    <w:rsid w:val="04572B96"/>
    <w:rsid w:val="04575F38"/>
    <w:rsid w:val="045805AD"/>
    <w:rsid w:val="04581CB1"/>
    <w:rsid w:val="04583A5F"/>
    <w:rsid w:val="04584026"/>
    <w:rsid w:val="0458580D"/>
    <w:rsid w:val="045871CB"/>
    <w:rsid w:val="04594C8F"/>
    <w:rsid w:val="045A1585"/>
    <w:rsid w:val="045A2C1C"/>
    <w:rsid w:val="045A3D97"/>
    <w:rsid w:val="045A5250"/>
    <w:rsid w:val="045A6A6A"/>
    <w:rsid w:val="045A77D7"/>
    <w:rsid w:val="045B1BB5"/>
    <w:rsid w:val="045B3038"/>
    <w:rsid w:val="045B3C57"/>
    <w:rsid w:val="045B52FD"/>
    <w:rsid w:val="045B5DB1"/>
    <w:rsid w:val="045B5DD4"/>
    <w:rsid w:val="045B5F58"/>
    <w:rsid w:val="045C1ABF"/>
    <w:rsid w:val="045C354F"/>
    <w:rsid w:val="045C55EA"/>
    <w:rsid w:val="045D1075"/>
    <w:rsid w:val="045D237D"/>
    <w:rsid w:val="045D2E23"/>
    <w:rsid w:val="045D555E"/>
    <w:rsid w:val="045E2DE5"/>
    <w:rsid w:val="045E75AB"/>
    <w:rsid w:val="045F6B9B"/>
    <w:rsid w:val="045F72B3"/>
    <w:rsid w:val="04603A14"/>
    <w:rsid w:val="04603BCF"/>
    <w:rsid w:val="046046C1"/>
    <w:rsid w:val="04617023"/>
    <w:rsid w:val="04621F07"/>
    <w:rsid w:val="046221F5"/>
    <w:rsid w:val="04624496"/>
    <w:rsid w:val="046248DD"/>
    <w:rsid w:val="046250D8"/>
    <w:rsid w:val="0462668B"/>
    <w:rsid w:val="04630B9F"/>
    <w:rsid w:val="04633B32"/>
    <w:rsid w:val="04635F15"/>
    <w:rsid w:val="04637B4D"/>
    <w:rsid w:val="04640655"/>
    <w:rsid w:val="04642403"/>
    <w:rsid w:val="046425C9"/>
    <w:rsid w:val="04643EBB"/>
    <w:rsid w:val="046441B2"/>
    <w:rsid w:val="046449A2"/>
    <w:rsid w:val="046537AB"/>
    <w:rsid w:val="04657F2A"/>
    <w:rsid w:val="04661B18"/>
    <w:rsid w:val="04664163"/>
    <w:rsid w:val="0466502E"/>
    <w:rsid w:val="046660E9"/>
    <w:rsid w:val="04666B7E"/>
    <w:rsid w:val="04673D95"/>
    <w:rsid w:val="04677D08"/>
    <w:rsid w:val="04682F74"/>
    <w:rsid w:val="04683D72"/>
    <w:rsid w:val="04687152"/>
    <w:rsid w:val="0469010B"/>
    <w:rsid w:val="046928C1"/>
    <w:rsid w:val="0469394E"/>
    <w:rsid w:val="04695C6C"/>
    <w:rsid w:val="046968F7"/>
    <w:rsid w:val="04697A1A"/>
    <w:rsid w:val="046A36F3"/>
    <w:rsid w:val="046A3CEA"/>
    <w:rsid w:val="046A7AD7"/>
    <w:rsid w:val="046B1D85"/>
    <w:rsid w:val="046B1E68"/>
    <w:rsid w:val="046B249C"/>
    <w:rsid w:val="046B3792"/>
    <w:rsid w:val="046C12B8"/>
    <w:rsid w:val="046C3066"/>
    <w:rsid w:val="046C3231"/>
    <w:rsid w:val="046C750A"/>
    <w:rsid w:val="046D2288"/>
    <w:rsid w:val="046D3C85"/>
    <w:rsid w:val="046D6604"/>
    <w:rsid w:val="046F76DC"/>
    <w:rsid w:val="04700DA8"/>
    <w:rsid w:val="047022AD"/>
    <w:rsid w:val="04704BBA"/>
    <w:rsid w:val="04705C18"/>
    <w:rsid w:val="047061B1"/>
    <w:rsid w:val="04710B9B"/>
    <w:rsid w:val="047168CE"/>
    <w:rsid w:val="04732647"/>
    <w:rsid w:val="047333D2"/>
    <w:rsid w:val="04736C65"/>
    <w:rsid w:val="047604C1"/>
    <w:rsid w:val="04761676"/>
    <w:rsid w:val="047637B3"/>
    <w:rsid w:val="04763EE5"/>
    <w:rsid w:val="047649DE"/>
    <w:rsid w:val="04770343"/>
    <w:rsid w:val="04770389"/>
    <w:rsid w:val="04770979"/>
    <w:rsid w:val="04770A3F"/>
    <w:rsid w:val="04774391"/>
    <w:rsid w:val="04784015"/>
    <w:rsid w:val="04784C52"/>
    <w:rsid w:val="04785EAF"/>
    <w:rsid w:val="047862E7"/>
    <w:rsid w:val="04792BEC"/>
    <w:rsid w:val="04794AA0"/>
    <w:rsid w:val="047960A6"/>
    <w:rsid w:val="047A095E"/>
    <w:rsid w:val="047A11F0"/>
    <w:rsid w:val="047A14FB"/>
    <w:rsid w:val="047A1FD7"/>
    <w:rsid w:val="047A39D5"/>
    <w:rsid w:val="047A4263"/>
    <w:rsid w:val="047B0F28"/>
    <w:rsid w:val="047B14FB"/>
    <w:rsid w:val="047B398D"/>
    <w:rsid w:val="047B5415"/>
    <w:rsid w:val="047B59BF"/>
    <w:rsid w:val="047B76A4"/>
    <w:rsid w:val="047C0850"/>
    <w:rsid w:val="047C15B1"/>
    <w:rsid w:val="047C4CD0"/>
    <w:rsid w:val="047C6604"/>
    <w:rsid w:val="047C774D"/>
    <w:rsid w:val="047D1717"/>
    <w:rsid w:val="047D2C92"/>
    <w:rsid w:val="047D44A3"/>
    <w:rsid w:val="047D48B1"/>
    <w:rsid w:val="047D5973"/>
    <w:rsid w:val="047D5A77"/>
    <w:rsid w:val="047E6015"/>
    <w:rsid w:val="047F0FEB"/>
    <w:rsid w:val="047F3A47"/>
    <w:rsid w:val="047F723D"/>
    <w:rsid w:val="04806B11"/>
    <w:rsid w:val="048122A6"/>
    <w:rsid w:val="04812FB5"/>
    <w:rsid w:val="048160EF"/>
    <w:rsid w:val="048206CD"/>
    <w:rsid w:val="04820ADC"/>
    <w:rsid w:val="04820D65"/>
    <w:rsid w:val="0482122C"/>
    <w:rsid w:val="0482208F"/>
    <w:rsid w:val="048233D7"/>
    <w:rsid w:val="04823F01"/>
    <w:rsid w:val="048246C2"/>
    <w:rsid w:val="04826BCE"/>
    <w:rsid w:val="04826D2E"/>
    <w:rsid w:val="04827293"/>
    <w:rsid w:val="04832134"/>
    <w:rsid w:val="04834875"/>
    <w:rsid w:val="04835E32"/>
    <w:rsid w:val="04835FB8"/>
    <w:rsid w:val="04842AA6"/>
    <w:rsid w:val="04843B3C"/>
    <w:rsid w:val="04846602"/>
    <w:rsid w:val="04846E17"/>
    <w:rsid w:val="048512B1"/>
    <w:rsid w:val="04853043"/>
    <w:rsid w:val="0486035B"/>
    <w:rsid w:val="04860503"/>
    <w:rsid w:val="04860E14"/>
    <w:rsid w:val="04861A8A"/>
    <w:rsid w:val="04863CDE"/>
    <w:rsid w:val="048644D3"/>
    <w:rsid w:val="048674B9"/>
    <w:rsid w:val="04872367"/>
    <w:rsid w:val="04874344"/>
    <w:rsid w:val="048748C2"/>
    <w:rsid w:val="048756FE"/>
    <w:rsid w:val="04875951"/>
    <w:rsid w:val="04876E6C"/>
    <w:rsid w:val="04877EA0"/>
    <w:rsid w:val="04886738"/>
    <w:rsid w:val="04886A23"/>
    <w:rsid w:val="04887288"/>
    <w:rsid w:val="048900BC"/>
    <w:rsid w:val="048900C5"/>
    <w:rsid w:val="048932A3"/>
    <w:rsid w:val="04893C18"/>
    <w:rsid w:val="04893D7C"/>
    <w:rsid w:val="048946D6"/>
    <w:rsid w:val="04896A85"/>
    <w:rsid w:val="048A5A25"/>
    <w:rsid w:val="048B5BE2"/>
    <w:rsid w:val="048B7990"/>
    <w:rsid w:val="048C0379"/>
    <w:rsid w:val="048C0C3E"/>
    <w:rsid w:val="048C2F16"/>
    <w:rsid w:val="048D0684"/>
    <w:rsid w:val="048D540F"/>
    <w:rsid w:val="048E2A53"/>
    <w:rsid w:val="048E56D2"/>
    <w:rsid w:val="048F10FE"/>
    <w:rsid w:val="048F1FB6"/>
    <w:rsid w:val="048F2A2D"/>
    <w:rsid w:val="048F32B6"/>
    <w:rsid w:val="048F57C5"/>
    <w:rsid w:val="0490144A"/>
    <w:rsid w:val="04901897"/>
    <w:rsid w:val="04902E70"/>
    <w:rsid w:val="049031F8"/>
    <w:rsid w:val="04905BC8"/>
    <w:rsid w:val="049060D4"/>
    <w:rsid w:val="0490665F"/>
    <w:rsid w:val="04906924"/>
    <w:rsid w:val="04907A6A"/>
    <w:rsid w:val="04910804"/>
    <w:rsid w:val="04910ABE"/>
    <w:rsid w:val="04912C03"/>
    <w:rsid w:val="04913C36"/>
    <w:rsid w:val="049141E3"/>
    <w:rsid w:val="049147F3"/>
    <w:rsid w:val="04914D16"/>
    <w:rsid w:val="0491590C"/>
    <w:rsid w:val="04917144"/>
    <w:rsid w:val="04920536"/>
    <w:rsid w:val="04921E11"/>
    <w:rsid w:val="04924022"/>
    <w:rsid w:val="04926B2C"/>
    <w:rsid w:val="04926F71"/>
    <w:rsid w:val="04930A98"/>
    <w:rsid w:val="04934205"/>
    <w:rsid w:val="04934322"/>
    <w:rsid w:val="04941C73"/>
    <w:rsid w:val="04943351"/>
    <w:rsid w:val="04944F74"/>
    <w:rsid w:val="049532F8"/>
    <w:rsid w:val="049537A3"/>
    <w:rsid w:val="04953D64"/>
    <w:rsid w:val="04961346"/>
    <w:rsid w:val="0496193D"/>
    <w:rsid w:val="04962AA5"/>
    <w:rsid w:val="04966335"/>
    <w:rsid w:val="04974587"/>
    <w:rsid w:val="04975E7B"/>
    <w:rsid w:val="049802FF"/>
    <w:rsid w:val="049814B9"/>
    <w:rsid w:val="049820AD"/>
    <w:rsid w:val="04982B21"/>
    <w:rsid w:val="04983E5B"/>
    <w:rsid w:val="0498471A"/>
    <w:rsid w:val="049849A4"/>
    <w:rsid w:val="049868E8"/>
    <w:rsid w:val="04986C5E"/>
    <w:rsid w:val="049874A1"/>
    <w:rsid w:val="04997414"/>
    <w:rsid w:val="049A53B1"/>
    <w:rsid w:val="049A7BD3"/>
    <w:rsid w:val="049B2131"/>
    <w:rsid w:val="049B248C"/>
    <w:rsid w:val="049B252C"/>
    <w:rsid w:val="049B394B"/>
    <w:rsid w:val="049B4884"/>
    <w:rsid w:val="049C1B9D"/>
    <w:rsid w:val="049C3444"/>
    <w:rsid w:val="049C3B41"/>
    <w:rsid w:val="049C7DEF"/>
    <w:rsid w:val="049D07AF"/>
    <w:rsid w:val="049D1FA3"/>
    <w:rsid w:val="049D3E9B"/>
    <w:rsid w:val="049D4BC5"/>
    <w:rsid w:val="049D5915"/>
    <w:rsid w:val="049D6C81"/>
    <w:rsid w:val="049D7357"/>
    <w:rsid w:val="049E181C"/>
    <w:rsid w:val="049E424F"/>
    <w:rsid w:val="049E5ED4"/>
    <w:rsid w:val="049E7C3F"/>
    <w:rsid w:val="049F168E"/>
    <w:rsid w:val="049F343C"/>
    <w:rsid w:val="049F362C"/>
    <w:rsid w:val="049F4F72"/>
    <w:rsid w:val="049F5FEC"/>
    <w:rsid w:val="049F7A00"/>
    <w:rsid w:val="04A013D2"/>
    <w:rsid w:val="04A0281C"/>
    <w:rsid w:val="04A03B04"/>
    <w:rsid w:val="04A07F16"/>
    <w:rsid w:val="04A10F62"/>
    <w:rsid w:val="04A12F73"/>
    <w:rsid w:val="04A15FBD"/>
    <w:rsid w:val="04A171B4"/>
    <w:rsid w:val="04A21E71"/>
    <w:rsid w:val="04A27394"/>
    <w:rsid w:val="04A30006"/>
    <w:rsid w:val="04A30C9B"/>
    <w:rsid w:val="04A3117E"/>
    <w:rsid w:val="04A3230F"/>
    <w:rsid w:val="04A34BCA"/>
    <w:rsid w:val="04A34D7F"/>
    <w:rsid w:val="04A40A52"/>
    <w:rsid w:val="04A44A7D"/>
    <w:rsid w:val="04A47766"/>
    <w:rsid w:val="04A47C7E"/>
    <w:rsid w:val="04A50FE7"/>
    <w:rsid w:val="04A531F5"/>
    <w:rsid w:val="04A550DB"/>
    <w:rsid w:val="04A570DB"/>
    <w:rsid w:val="04A62A1C"/>
    <w:rsid w:val="04A647CA"/>
    <w:rsid w:val="04A65355"/>
    <w:rsid w:val="04A70542"/>
    <w:rsid w:val="04A73543"/>
    <w:rsid w:val="04A801BD"/>
    <w:rsid w:val="04A82A6E"/>
    <w:rsid w:val="04A830A7"/>
    <w:rsid w:val="04A83E88"/>
    <w:rsid w:val="04A8620D"/>
    <w:rsid w:val="04A86794"/>
    <w:rsid w:val="04A9250C"/>
    <w:rsid w:val="04A942BA"/>
    <w:rsid w:val="04A96BD3"/>
    <w:rsid w:val="04AA1F23"/>
    <w:rsid w:val="04AA22C1"/>
    <w:rsid w:val="04AA24D2"/>
    <w:rsid w:val="04AA44C6"/>
    <w:rsid w:val="04AB1DE0"/>
    <w:rsid w:val="04AB3B8E"/>
    <w:rsid w:val="04AB684E"/>
    <w:rsid w:val="04AC7907"/>
    <w:rsid w:val="04AD0346"/>
    <w:rsid w:val="04AD28A3"/>
    <w:rsid w:val="04AD2D97"/>
    <w:rsid w:val="04AD5D64"/>
    <w:rsid w:val="04AD5E80"/>
    <w:rsid w:val="04AD7132"/>
    <w:rsid w:val="04AE1210"/>
    <w:rsid w:val="04AE1728"/>
    <w:rsid w:val="04AE18D1"/>
    <w:rsid w:val="04AE2B09"/>
    <w:rsid w:val="04AE6573"/>
    <w:rsid w:val="04AE73E4"/>
    <w:rsid w:val="04AE7B23"/>
    <w:rsid w:val="04AF4280"/>
    <w:rsid w:val="04AF7F22"/>
    <w:rsid w:val="04B05649"/>
    <w:rsid w:val="04B073F7"/>
    <w:rsid w:val="04B22060"/>
    <w:rsid w:val="04B24435"/>
    <w:rsid w:val="04B26B4D"/>
    <w:rsid w:val="04B27E1D"/>
    <w:rsid w:val="04B27ECC"/>
    <w:rsid w:val="04B32832"/>
    <w:rsid w:val="04B35139"/>
    <w:rsid w:val="04B360C1"/>
    <w:rsid w:val="04B36151"/>
    <w:rsid w:val="04B413A6"/>
    <w:rsid w:val="04B42A26"/>
    <w:rsid w:val="04B4681F"/>
    <w:rsid w:val="04B57B90"/>
    <w:rsid w:val="04B617E9"/>
    <w:rsid w:val="04B62110"/>
    <w:rsid w:val="04B635B2"/>
    <w:rsid w:val="04B65AC4"/>
    <w:rsid w:val="04B70785"/>
    <w:rsid w:val="04B76950"/>
    <w:rsid w:val="04B769D7"/>
    <w:rsid w:val="04B8124E"/>
    <w:rsid w:val="04B8274F"/>
    <w:rsid w:val="04B84126"/>
    <w:rsid w:val="04B862AB"/>
    <w:rsid w:val="04B86EB0"/>
    <w:rsid w:val="04B87F60"/>
    <w:rsid w:val="04B9038B"/>
    <w:rsid w:val="04B914C8"/>
    <w:rsid w:val="04B91F77"/>
    <w:rsid w:val="04B9444A"/>
    <w:rsid w:val="04B953AC"/>
    <w:rsid w:val="04BA0275"/>
    <w:rsid w:val="04BA0FBE"/>
    <w:rsid w:val="04BA1B8E"/>
    <w:rsid w:val="04BA2023"/>
    <w:rsid w:val="04BA2D86"/>
    <w:rsid w:val="04BA4C7D"/>
    <w:rsid w:val="04BA64C7"/>
    <w:rsid w:val="04BB2017"/>
    <w:rsid w:val="04BB3F32"/>
    <w:rsid w:val="04BC1B67"/>
    <w:rsid w:val="04BC4681"/>
    <w:rsid w:val="04BC46ED"/>
    <w:rsid w:val="04BC5CE3"/>
    <w:rsid w:val="04BC5D9C"/>
    <w:rsid w:val="04BD0527"/>
    <w:rsid w:val="04BD1B14"/>
    <w:rsid w:val="04BD22AE"/>
    <w:rsid w:val="04BD2313"/>
    <w:rsid w:val="04BD38C2"/>
    <w:rsid w:val="04BD3E93"/>
    <w:rsid w:val="04BD5CAF"/>
    <w:rsid w:val="04BD7D66"/>
    <w:rsid w:val="04BE2226"/>
    <w:rsid w:val="04BE5FB8"/>
    <w:rsid w:val="04BF2470"/>
    <w:rsid w:val="04BF3ADE"/>
    <w:rsid w:val="04BF588C"/>
    <w:rsid w:val="04C018BA"/>
    <w:rsid w:val="04C106C5"/>
    <w:rsid w:val="04C130A1"/>
    <w:rsid w:val="04C17856"/>
    <w:rsid w:val="04C335CE"/>
    <w:rsid w:val="04C34475"/>
    <w:rsid w:val="04C35153"/>
    <w:rsid w:val="04C35D04"/>
    <w:rsid w:val="04C42EA2"/>
    <w:rsid w:val="04C47046"/>
    <w:rsid w:val="04C54B65"/>
    <w:rsid w:val="04C6075E"/>
    <w:rsid w:val="04C64E6C"/>
    <w:rsid w:val="04C74740"/>
    <w:rsid w:val="04C75CB8"/>
    <w:rsid w:val="04C80BE4"/>
    <w:rsid w:val="04C82992"/>
    <w:rsid w:val="04C838F3"/>
    <w:rsid w:val="04C84286"/>
    <w:rsid w:val="04C84B8C"/>
    <w:rsid w:val="04C855B2"/>
    <w:rsid w:val="04C859DF"/>
    <w:rsid w:val="04C904B8"/>
    <w:rsid w:val="04C91A28"/>
    <w:rsid w:val="04C91E33"/>
    <w:rsid w:val="04C9495C"/>
    <w:rsid w:val="04C95A4A"/>
    <w:rsid w:val="04C9670A"/>
    <w:rsid w:val="04CA4F95"/>
    <w:rsid w:val="04CA6304"/>
    <w:rsid w:val="04CB2483"/>
    <w:rsid w:val="04CB4033"/>
    <w:rsid w:val="04CB4231"/>
    <w:rsid w:val="04CB4AB4"/>
    <w:rsid w:val="04CB5FDF"/>
    <w:rsid w:val="04CC03A9"/>
    <w:rsid w:val="04CC4981"/>
    <w:rsid w:val="04CD0021"/>
    <w:rsid w:val="04CD0860"/>
    <w:rsid w:val="04CD61FB"/>
    <w:rsid w:val="04CD7FA9"/>
    <w:rsid w:val="04CE0985"/>
    <w:rsid w:val="04CE28DE"/>
    <w:rsid w:val="04CE2A37"/>
    <w:rsid w:val="04CE47F3"/>
    <w:rsid w:val="04CE5B50"/>
    <w:rsid w:val="04CE5E5F"/>
    <w:rsid w:val="04CE6591"/>
    <w:rsid w:val="04CF1C07"/>
    <w:rsid w:val="04CF328D"/>
    <w:rsid w:val="04CF4159"/>
    <w:rsid w:val="04D01847"/>
    <w:rsid w:val="04D04689"/>
    <w:rsid w:val="04D05CEB"/>
    <w:rsid w:val="04D16C7F"/>
    <w:rsid w:val="04D2164A"/>
    <w:rsid w:val="04D21EC5"/>
    <w:rsid w:val="04D23811"/>
    <w:rsid w:val="04D2645D"/>
    <w:rsid w:val="04D31337"/>
    <w:rsid w:val="04D32949"/>
    <w:rsid w:val="04D330E5"/>
    <w:rsid w:val="04D3375A"/>
    <w:rsid w:val="04D35FE3"/>
    <w:rsid w:val="04D371B6"/>
    <w:rsid w:val="04D37DDF"/>
    <w:rsid w:val="04D45F06"/>
    <w:rsid w:val="04D4711B"/>
    <w:rsid w:val="04D511A8"/>
    <w:rsid w:val="04D51C24"/>
    <w:rsid w:val="04D53301"/>
    <w:rsid w:val="04D54010"/>
    <w:rsid w:val="04D550AF"/>
    <w:rsid w:val="04D56E5D"/>
    <w:rsid w:val="04D5711E"/>
    <w:rsid w:val="04D57435"/>
    <w:rsid w:val="04D64D0B"/>
    <w:rsid w:val="04D71A88"/>
    <w:rsid w:val="04D7246A"/>
    <w:rsid w:val="04D72BD5"/>
    <w:rsid w:val="04D74871"/>
    <w:rsid w:val="04D74DF6"/>
    <w:rsid w:val="04D754BC"/>
    <w:rsid w:val="04D81B4C"/>
    <w:rsid w:val="04D855D4"/>
    <w:rsid w:val="04D85FD0"/>
    <w:rsid w:val="04D8694E"/>
    <w:rsid w:val="04D9101E"/>
    <w:rsid w:val="04D910A2"/>
    <w:rsid w:val="04D9174A"/>
    <w:rsid w:val="04D9520B"/>
    <w:rsid w:val="04D96810"/>
    <w:rsid w:val="04D97BA9"/>
    <w:rsid w:val="04D97DDC"/>
    <w:rsid w:val="04DA126C"/>
    <w:rsid w:val="04DC0F1F"/>
    <w:rsid w:val="04DC3246"/>
    <w:rsid w:val="04DC6BE6"/>
    <w:rsid w:val="04DD10E4"/>
    <w:rsid w:val="04DD5BF8"/>
    <w:rsid w:val="04DD5D12"/>
    <w:rsid w:val="04DE0F16"/>
    <w:rsid w:val="04DE21B6"/>
    <w:rsid w:val="04DE27BE"/>
    <w:rsid w:val="04DF1A8A"/>
    <w:rsid w:val="04DF250D"/>
    <w:rsid w:val="04DF5F2E"/>
    <w:rsid w:val="04DF7CDC"/>
    <w:rsid w:val="04E00A4A"/>
    <w:rsid w:val="04E11CA6"/>
    <w:rsid w:val="04E13A54"/>
    <w:rsid w:val="04E15802"/>
    <w:rsid w:val="04E1656E"/>
    <w:rsid w:val="04E17CB7"/>
    <w:rsid w:val="04E2157A"/>
    <w:rsid w:val="04E22F18"/>
    <w:rsid w:val="04E23328"/>
    <w:rsid w:val="04E26E81"/>
    <w:rsid w:val="04E33A5F"/>
    <w:rsid w:val="04E375C9"/>
    <w:rsid w:val="04E377CC"/>
    <w:rsid w:val="04E404F6"/>
    <w:rsid w:val="04E44068"/>
    <w:rsid w:val="04E452F2"/>
    <w:rsid w:val="04E57A75"/>
    <w:rsid w:val="04E60F50"/>
    <w:rsid w:val="04E627DB"/>
    <w:rsid w:val="04E62E18"/>
    <w:rsid w:val="04E669FC"/>
    <w:rsid w:val="04E67574"/>
    <w:rsid w:val="04E6780F"/>
    <w:rsid w:val="04E723E0"/>
    <w:rsid w:val="04E733BD"/>
    <w:rsid w:val="04E76E2B"/>
    <w:rsid w:val="04E81279"/>
    <w:rsid w:val="04E82249"/>
    <w:rsid w:val="04E82FBF"/>
    <w:rsid w:val="04E83870"/>
    <w:rsid w:val="04E85F2E"/>
    <w:rsid w:val="04E90B5B"/>
    <w:rsid w:val="04E90F89"/>
    <w:rsid w:val="04E91126"/>
    <w:rsid w:val="04E92229"/>
    <w:rsid w:val="04E92459"/>
    <w:rsid w:val="04E92909"/>
    <w:rsid w:val="04E9608F"/>
    <w:rsid w:val="04EA03CD"/>
    <w:rsid w:val="04EA2DC0"/>
    <w:rsid w:val="04EA4ABA"/>
    <w:rsid w:val="04EB3471"/>
    <w:rsid w:val="04EB6681"/>
    <w:rsid w:val="04EC3933"/>
    <w:rsid w:val="04EC64DE"/>
    <w:rsid w:val="04EC727C"/>
    <w:rsid w:val="04ED23F9"/>
    <w:rsid w:val="04ED2795"/>
    <w:rsid w:val="04ED2C51"/>
    <w:rsid w:val="04ED41A7"/>
    <w:rsid w:val="04ED4B11"/>
    <w:rsid w:val="04ED56E7"/>
    <w:rsid w:val="04ED5BD7"/>
    <w:rsid w:val="04ED6252"/>
    <w:rsid w:val="04ED6A6C"/>
    <w:rsid w:val="04EE234D"/>
    <w:rsid w:val="04EE2524"/>
    <w:rsid w:val="04EE3A5E"/>
    <w:rsid w:val="04EE4B3A"/>
    <w:rsid w:val="04EE6171"/>
    <w:rsid w:val="04EE7F1F"/>
    <w:rsid w:val="04EF02C5"/>
    <w:rsid w:val="04EF296C"/>
    <w:rsid w:val="04EF3093"/>
    <w:rsid w:val="04EF4949"/>
    <w:rsid w:val="04F01572"/>
    <w:rsid w:val="04F019A1"/>
    <w:rsid w:val="04F01EE9"/>
    <w:rsid w:val="04F03492"/>
    <w:rsid w:val="04F03C97"/>
    <w:rsid w:val="04F05A45"/>
    <w:rsid w:val="04F118FF"/>
    <w:rsid w:val="04F140A9"/>
    <w:rsid w:val="04F15122"/>
    <w:rsid w:val="04F152DD"/>
    <w:rsid w:val="04F16063"/>
    <w:rsid w:val="04F217BD"/>
    <w:rsid w:val="04F23C9F"/>
    <w:rsid w:val="04F27A0F"/>
    <w:rsid w:val="04F33787"/>
    <w:rsid w:val="04F35535"/>
    <w:rsid w:val="04F3599E"/>
    <w:rsid w:val="04F374C7"/>
    <w:rsid w:val="04F419D9"/>
    <w:rsid w:val="04F42C1E"/>
    <w:rsid w:val="04F449E4"/>
    <w:rsid w:val="04F44D7B"/>
    <w:rsid w:val="04F45A6F"/>
    <w:rsid w:val="04F53F98"/>
    <w:rsid w:val="04F543C1"/>
    <w:rsid w:val="04F55751"/>
    <w:rsid w:val="04F5715E"/>
    <w:rsid w:val="04F57B51"/>
    <w:rsid w:val="04F62CED"/>
    <w:rsid w:val="04F657D7"/>
    <w:rsid w:val="04F67304"/>
    <w:rsid w:val="04F70881"/>
    <w:rsid w:val="04F70AF9"/>
    <w:rsid w:val="04F73278"/>
    <w:rsid w:val="04F74967"/>
    <w:rsid w:val="04F75026"/>
    <w:rsid w:val="04F7690C"/>
    <w:rsid w:val="04F80036"/>
    <w:rsid w:val="04F80D9E"/>
    <w:rsid w:val="04F835CB"/>
    <w:rsid w:val="04F840D9"/>
    <w:rsid w:val="04F9052F"/>
    <w:rsid w:val="04F90707"/>
    <w:rsid w:val="04F9718E"/>
    <w:rsid w:val="04FA23B1"/>
    <w:rsid w:val="04FA2D68"/>
    <w:rsid w:val="04FA4B16"/>
    <w:rsid w:val="04FA6CD0"/>
    <w:rsid w:val="04FB1CE6"/>
    <w:rsid w:val="04FB2D95"/>
    <w:rsid w:val="04FB2E9B"/>
    <w:rsid w:val="04FC088E"/>
    <w:rsid w:val="04FC43EA"/>
    <w:rsid w:val="04FC6AE0"/>
    <w:rsid w:val="04FD0162"/>
    <w:rsid w:val="04FD3B5A"/>
    <w:rsid w:val="04FE1BAB"/>
    <w:rsid w:val="04FE4606"/>
    <w:rsid w:val="04FE6BCF"/>
    <w:rsid w:val="04FF037E"/>
    <w:rsid w:val="04FF0659"/>
    <w:rsid w:val="04FF143D"/>
    <w:rsid w:val="04FF212C"/>
    <w:rsid w:val="04FF6CF1"/>
    <w:rsid w:val="04FF7F2A"/>
    <w:rsid w:val="0500164B"/>
    <w:rsid w:val="05001775"/>
    <w:rsid w:val="05002434"/>
    <w:rsid w:val="05002F87"/>
    <w:rsid w:val="050140F6"/>
    <w:rsid w:val="05015EA4"/>
    <w:rsid w:val="05016000"/>
    <w:rsid w:val="05016DF6"/>
    <w:rsid w:val="050241FC"/>
    <w:rsid w:val="050251E4"/>
    <w:rsid w:val="05025778"/>
    <w:rsid w:val="0503130C"/>
    <w:rsid w:val="05031C1C"/>
    <w:rsid w:val="05031CD2"/>
    <w:rsid w:val="050342E4"/>
    <w:rsid w:val="05036E8B"/>
    <w:rsid w:val="0504332D"/>
    <w:rsid w:val="0504550D"/>
    <w:rsid w:val="05055566"/>
    <w:rsid w:val="05055CDF"/>
    <w:rsid w:val="05055E89"/>
    <w:rsid w:val="050606D3"/>
    <w:rsid w:val="0506412E"/>
    <w:rsid w:val="05065269"/>
    <w:rsid w:val="0506733B"/>
    <w:rsid w:val="05072E5A"/>
    <w:rsid w:val="05073C6E"/>
    <w:rsid w:val="05080705"/>
    <w:rsid w:val="050813DF"/>
    <w:rsid w:val="050842EA"/>
    <w:rsid w:val="05084CAC"/>
    <w:rsid w:val="050852BF"/>
    <w:rsid w:val="05087374"/>
    <w:rsid w:val="0509395E"/>
    <w:rsid w:val="050945E8"/>
    <w:rsid w:val="05094D59"/>
    <w:rsid w:val="05096711"/>
    <w:rsid w:val="05096B07"/>
    <w:rsid w:val="05096E56"/>
    <w:rsid w:val="050A034B"/>
    <w:rsid w:val="050A1B65"/>
    <w:rsid w:val="050A242F"/>
    <w:rsid w:val="050A4A35"/>
    <w:rsid w:val="050A6C0A"/>
    <w:rsid w:val="050B0AD1"/>
    <w:rsid w:val="050B1C96"/>
    <w:rsid w:val="050B287F"/>
    <w:rsid w:val="050B3192"/>
    <w:rsid w:val="050B4BC9"/>
    <w:rsid w:val="050B4F22"/>
    <w:rsid w:val="050C0683"/>
    <w:rsid w:val="050C1399"/>
    <w:rsid w:val="050C1942"/>
    <w:rsid w:val="050C3F3D"/>
    <w:rsid w:val="050C5209"/>
    <w:rsid w:val="050C5389"/>
    <w:rsid w:val="050C654D"/>
    <w:rsid w:val="050C7B31"/>
    <w:rsid w:val="050D1794"/>
    <w:rsid w:val="050D1E93"/>
    <w:rsid w:val="050D2737"/>
    <w:rsid w:val="050D2A9B"/>
    <w:rsid w:val="050D4546"/>
    <w:rsid w:val="050D4849"/>
    <w:rsid w:val="050D65F7"/>
    <w:rsid w:val="050D68AD"/>
    <w:rsid w:val="050D6CCC"/>
    <w:rsid w:val="050E2751"/>
    <w:rsid w:val="050E2A41"/>
    <w:rsid w:val="050E50E5"/>
    <w:rsid w:val="050E6E2D"/>
    <w:rsid w:val="050F05C1"/>
    <w:rsid w:val="05101719"/>
    <w:rsid w:val="05103862"/>
    <w:rsid w:val="05104339"/>
    <w:rsid w:val="05105734"/>
    <w:rsid w:val="05105848"/>
    <w:rsid w:val="051060E7"/>
    <w:rsid w:val="051102E2"/>
    <w:rsid w:val="051107FD"/>
    <w:rsid w:val="05110BD1"/>
    <w:rsid w:val="05110DE6"/>
    <w:rsid w:val="05111C07"/>
    <w:rsid w:val="05113559"/>
    <w:rsid w:val="05114574"/>
    <w:rsid w:val="0511564D"/>
    <w:rsid w:val="05115BE8"/>
    <w:rsid w:val="0511692A"/>
    <w:rsid w:val="05121853"/>
    <w:rsid w:val="05126BCC"/>
    <w:rsid w:val="05126E2E"/>
    <w:rsid w:val="05127BD7"/>
    <w:rsid w:val="05133C7B"/>
    <w:rsid w:val="05137986"/>
    <w:rsid w:val="0514192A"/>
    <w:rsid w:val="05143B80"/>
    <w:rsid w:val="05144B2B"/>
    <w:rsid w:val="05145BD8"/>
    <w:rsid w:val="05147E7B"/>
    <w:rsid w:val="05151504"/>
    <w:rsid w:val="05151950"/>
    <w:rsid w:val="05157BA2"/>
    <w:rsid w:val="051614DC"/>
    <w:rsid w:val="0517066E"/>
    <w:rsid w:val="05171447"/>
    <w:rsid w:val="05171A2E"/>
    <w:rsid w:val="05177476"/>
    <w:rsid w:val="0518325E"/>
    <w:rsid w:val="05183CCA"/>
    <w:rsid w:val="05183DDF"/>
    <w:rsid w:val="051840D8"/>
    <w:rsid w:val="051844B0"/>
    <w:rsid w:val="05184F9C"/>
    <w:rsid w:val="05186664"/>
    <w:rsid w:val="051870D3"/>
    <w:rsid w:val="05191440"/>
    <w:rsid w:val="051931EE"/>
    <w:rsid w:val="051946BF"/>
    <w:rsid w:val="05194CB6"/>
    <w:rsid w:val="0519526F"/>
    <w:rsid w:val="051A0D14"/>
    <w:rsid w:val="051A0D37"/>
    <w:rsid w:val="051A1C27"/>
    <w:rsid w:val="051A78BA"/>
    <w:rsid w:val="051B03C6"/>
    <w:rsid w:val="051B7FCB"/>
    <w:rsid w:val="051C2946"/>
    <w:rsid w:val="051C2CDE"/>
    <w:rsid w:val="051C4A8C"/>
    <w:rsid w:val="051C612D"/>
    <w:rsid w:val="051C6282"/>
    <w:rsid w:val="051C683A"/>
    <w:rsid w:val="051D47B9"/>
    <w:rsid w:val="051E0804"/>
    <w:rsid w:val="051E25B2"/>
    <w:rsid w:val="051E2EFD"/>
    <w:rsid w:val="051E4594"/>
    <w:rsid w:val="051E5080"/>
    <w:rsid w:val="051E6A56"/>
    <w:rsid w:val="051F457C"/>
    <w:rsid w:val="051F4750"/>
    <w:rsid w:val="05200BBC"/>
    <w:rsid w:val="05202571"/>
    <w:rsid w:val="05203638"/>
    <w:rsid w:val="05203B59"/>
    <w:rsid w:val="052053A1"/>
    <w:rsid w:val="052102F4"/>
    <w:rsid w:val="052120A3"/>
    <w:rsid w:val="05212D89"/>
    <w:rsid w:val="05212DE7"/>
    <w:rsid w:val="052136C5"/>
    <w:rsid w:val="05216546"/>
    <w:rsid w:val="05220B2E"/>
    <w:rsid w:val="052232B5"/>
    <w:rsid w:val="05224E91"/>
    <w:rsid w:val="0522536A"/>
    <w:rsid w:val="05230AE7"/>
    <w:rsid w:val="05230B3C"/>
    <w:rsid w:val="0523406D"/>
    <w:rsid w:val="052346B8"/>
    <w:rsid w:val="05235248"/>
    <w:rsid w:val="0523608A"/>
    <w:rsid w:val="05237BC9"/>
    <w:rsid w:val="05237F74"/>
    <w:rsid w:val="05241B93"/>
    <w:rsid w:val="05242A09"/>
    <w:rsid w:val="05246A03"/>
    <w:rsid w:val="05246FA6"/>
    <w:rsid w:val="0525738F"/>
    <w:rsid w:val="0526590B"/>
    <w:rsid w:val="05267588"/>
    <w:rsid w:val="052676B9"/>
    <w:rsid w:val="052749B1"/>
    <w:rsid w:val="05277873"/>
    <w:rsid w:val="05280D03"/>
    <w:rsid w:val="052814EF"/>
    <w:rsid w:val="052851DF"/>
    <w:rsid w:val="05290F57"/>
    <w:rsid w:val="05291032"/>
    <w:rsid w:val="052939EF"/>
    <w:rsid w:val="05294397"/>
    <w:rsid w:val="05294D64"/>
    <w:rsid w:val="052A19A6"/>
    <w:rsid w:val="052A3623"/>
    <w:rsid w:val="052A53FB"/>
    <w:rsid w:val="052A5965"/>
    <w:rsid w:val="052A61F4"/>
    <w:rsid w:val="052B233E"/>
    <w:rsid w:val="052B25AB"/>
    <w:rsid w:val="052B2F21"/>
    <w:rsid w:val="052B4DD6"/>
    <w:rsid w:val="052B4F3E"/>
    <w:rsid w:val="052B5307"/>
    <w:rsid w:val="052C0B14"/>
    <w:rsid w:val="052C2F85"/>
    <w:rsid w:val="052C5396"/>
    <w:rsid w:val="052D4EEB"/>
    <w:rsid w:val="052E027B"/>
    <w:rsid w:val="052E15B3"/>
    <w:rsid w:val="052E2B54"/>
    <w:rsid w:val="052E36CF"/>
    <w:rsid w:val="052E5A65"/>
    <w:rsid w:val="052E5B7B"/>
    <w:rsid w:val="052E5E13"/>
    <w:rsid w:val="052E5FE0"/>
    <w:rsid w:val="052F0BD6"/>
    <w:rsid w:val="052F4635"/>
    <w:rsid w:val="052F58F4"/>
    <w:rsid w:val="05300538"/>
    <w:rsid w:val="05301DBB"/>
    <w:rsid w:val="053022E6"/>
    <w:rsid w:val="05302651"/>
    <w:rsid w:val="05304626"/>
    <w:rsid w:val="05306726"/>
    <w:rsid w:val="0530678A"/>
    <w:rsid w:val="05310BE6"/>
    <w:rsid w:val="0531650F"/>
    <w:rsid w:val="05322502"/>
    <w:rsid w:val="053242B0"/>
    <w:rsid w:val="05324A12"/>
    <w:rsid w:val="0532605E"/>
    <w:rsid w:val="05330A6C"/>
    <w:rsid w:val="05336C90"/>
    <w:rsid w:val="053409CF"/>
    <w:rsid w:val="05341DD6"/>
    <w:rsid w:val="0535104C"/>
    <w:rsid w:val="05353A61"/>
    <w:rsid w:val="05353DA0"/>
    <w:rsid w:val="053542BB"/>
    <w:rsid w:val="05355B4E"/>
    <w:rsid w:val="05367EB0"/>
    <w:rsid w:val="053718C6"/>
    <w:rsid w:val="05372418"/>
    <w:rsid w:val="0538562F"/>
    <w:rsid w:val="05393890"/>
    <w:rsid w:val="05394859"/>
    <w:rsid w:val="05394E07"/>
    <w:rsid w:val="0539563E"/>
    <w:rsid w:val="053A45A8"/>
    <w:rsid w:val="053A49CE"/>
    <w:rsid w:val="053A7B0E"/>
    <w:rsid w:val="053B29DC"/>
    <w:rsid w:val="053B3521"/>
    <w:rsid w:val="053B52D5"/>
    <w:rsid w:val="053B7179"/>
    <w:rsid w:val="053C1486"/>
    <w:rsid w:val="053C2AC6"/>
    <w:rsid w:val="053C6EDC"/>
    <w:rsid w:val="053C799A"/>
    <w:rsid w:val="053D1A99"/>
    <w:rsid w:val="053D7AE8"/>
    <w:rsid w:val="053E222B"/>
    <w:rsid w:val="053E2AAE"/>
    <w:rsid w:val="053E4235"/>
    <w:rsid w:val="053E7AF5"/>
    <w:rsid w:val="053F077B"/>
    <w:rsid w:val="053F35B2"/>
    <w:rsid w:val="053F53D3"/>
    <w:rsid w:val="053F69CD"/>
    <w:rsid w:val="053F7E5D"/>
    <w:rsid w:val="054014DA"/>
    <w:rsid w:val="054020B2"/>
    <w:rsid w:val="05404410"/>
    <w:rsid w:val="05405101"/>
    <w:rsid w:val="05405671"/>
    <w:rsid w:val="054071EF"/>
    <w:rsid w:val="0541136B"/>
    <w:rsid w:val="054118AA"/>
    <w:rsid w:val="05412745"/>
    <w:rsid w:val="054162A1"/>
    <w:rsid w:val="05430BA5"/>
    <w:rsid w:val="054364BD"/>
    <w:rsid w:val="0544022B"/>
    <w:rsid w:val="0544196C"/>
    <w:rsid w:val="05442A4F"/>
    <w:rsid w:val="0544729A"/>
    <w:rsid w:val="05452235"/>
    <w:rsid w:val="05454EA0"/>
    <w:rsid w:val="054573EA"/>
    <w:rsid w:val="05461B09"/>
    <w:rsid w:val="0546243B"/>
    <w:rsid w:val="0546370B"/>
    <w:rsid w:val="054664F7"/>
    <w:rsid w:val="054674E2"/>
    <w:rsid w:val="054677E5"/>
    <w:rsid w:val="05470D3D"/>
    <w:rsid w:val="05474D12"/>
    <w:rsid w:val="05476D0D"/>
    <w:rsid w:val="0547731C"/>
    <w:rsid w:val="054777F1"/>
    <w:rsid w:val="05477E4C"/>
    <w:rsid w:val="05480255"/>
    <w:rsid w:val="054802C6"/>
    <w:rsid w:val="054819E6"/>
    <w:rsid w:val="05484643"/>
    <w:rsid w:val="0548762F"/>
    <w:rsid w:val="054933A7"/>
    <w:rsid w:val="05495124"/>
    <w:rsid w:val="054979D9"/>
    <w:rsid w:val="054A2F94"/>
    <w:rsid w:val="054A784B"/>
    <w:rsid w:val="054B2103"/>
    <w:rsid w:val="054B3D3B"/>
    <w:rsid w:val="054B5FFE"/>
    <w:rsid w:val="054B7FF9"/>
    <w:rsid w:val="054D030B"/>
    <w:rsid w:val="054D0F0C"/>
    <w:rsid w:val="054D10EA"/>
    <w:rsid w:val="054D2E98"/>
    <w:rsid w:val="054D733B"/>
    <w:rsid w:val="054D7691"/>
    <w:rsid w:val="054D791B"/>
    <w:rsid w:val="054E09BE"/>
    <w:rsid w:val="054E0D55"/>
    <w:rsid w:val="054E2402"/>
    <w:rsid w:val="054F0D58"/>
    <w:rsid w:val="054F39FC"/>
    <w:rsid w:val="054F5054"/>
    <w:rsid w:val="05500BDA"/>
    <w:rsid w:val="05502988"/>
    <w:rsid w:val="0550314A"/>
    <w:rsid w:val="05507996"/>
    <w:rsid w:val="05507F0F"/>
    <w:rsid w:val="055156FE"/>
    <w:rsid w:val="0551586B"/>
    <w:rsid w:val="055175C8"/>
    <w:rsid w:val="05520D60"/>
    <w:rsid w:val="05523F70"/>
    <w:rsid w:val="05525E63"/>
    <w:rsid w:val="05526700"/>
    <w:rsid w:val="05540DF4"/>
    <w:rsid w:val="05544226"/>
    <w:rsid w:val="05545DFC"/>
    <w:rsid w:val="05545FD4"/>
    <w:rsid w:val="05550482"/>
    <w:rsid w:val="05550A15"/>
    <w:rsid w:val="05551D4C"/>
    <w:rsid w:val="05555694"/>
    <w:rsid w:val="05557067"/>
    <w:rsid w:val="05557F9E"/>
    <w:rsid w:val="05560B55"/>
    <w:rsid w:val="055615AD"/>
    <w:rsid w:val="0556263F"/>
    <w:rsid w:val="055641F2"/>
    <w:rsid w:val="05566008"/>
    <w:rsid w:val="055661F0"/>
    <w:rsid w:val="05567BCF"/>
    <w:rsid w:val="05571F68"/>
    <w:rsid w:val="05573A2D"/>
    <w:rsid w:val="05573D16"/>
    <w:rsid w:val="05574D7F"/>
    <w:rsid w:val="05575A71"/>
    <w:rsid w:val="05575AC4"/>
    <w:rsid w:val="0557790E"/>
    <w:rsid w:val="05581C9A"/>
    <w:rsid w:val="0559183C"/>
    <w:rsid w:val="05597A8E"/>
    <w:rsid w:val="05597B30"/>
    <w:rsid w:val="055A173D"/>
    <w:rsid w:val="055A3CDD"/>
    <w:rsid w:val="055A55B4"/>
    <w:rsid w:val="055A5ACD"/>
    <w:rsid w:val="055B3806"/>
    <w:rsid w:val="055B4E14"/>
    <w:rsid w:val="055C0A68"/>
    <w:rsid w:val="055C63CF"/>
    <w:rsid w:val="055C757F"/>
    <w:rsid w:val="055D512A"/>
    <w:rsid w:val="055D60A1"/>
    <w:rsid w:val="055E4963"/>
    <w:rsid w:val="055E50A5"/>
    <w:rsid w:val="055E5503"/>
    <w:rsid w:val="055E6E53"/>
    <w:rsid w:val="055F072E"/>
    <w:rsid w:val="055F2893"/>
    <w:rsid w:val="055F2BCB"/>
    <w:rsid w:val="055F3320"/>
    <w:rsid w:val="055F3477"/>
    <w:rsid w:val="055F6573"/>
    <w:rsid w:val="056026EA"/>
    <w:rsid w:val="056032F3"/>
    <w:rsid w:val="05603C42"/>
    <w:rsid w:val="0560599E"/>
    <w:rsid w:val="0560706F"/>
    <w:rsid w:val="05610B68"/>
    <w:rsid w:val="05616112"/>
    <w:rsid w:val="05616943"/>
    <w:rsid w:val="05623D93"/>
    <w:rsid w:val="05631895"/>
    <w:rsid w:val="0563222E"/>
    <w:rsid w:val="056326BB"/>
    <w:rsid w:val="05633DC0"/>
    <w:rsid w:val="05641613"/>
    <w:rsid w:val="05654685"/>
    <w:rsid w:val="0566040F"/>
    <w:rsid w:val="05662134"/>
    <w:rsid w:val="056632F2"/>
    <w:rsid w:val="05663F59"/>
    <w:rsid w:val="05665C7C"/>
    <w:rsid w:val="05665D07"/>
    <w:rsid w:val="05670344"/>
    <w:rsid w:val="056703FD"/>
    <w:rsid w:val="05672A4A"/>
    <w:rsid w:val="05674D05"/>
    <w:rsid w:val="05681356"/>
    <w:rsid w:val="05685F23"/>
    <w:rsid w:val="05687BD4"/>
    <w:rsid w:val="056959A0"/>
    <w:rsid w:val="05697FE7"/>
    <w:rsid w:val="056A097C"/>
    <w:rsid w:val="056A0AB5"/>
    <w:rsid w:val="056A1356"/>
    <w:rsid w:val="056A55F5"/>
    <w:rsid w:val="056B0AF5"/>
    <w:rsid w:val="056C5A14"/>
    <w:rsid w:val="056C5D82"/>
    <w:rsid w:val="056C7A1B"/>
    <w:rsid w:val="056D16FB"/>
    <w:rsid w:val="056D248C"/>
    <w:rsid w:val="056D45DF"/>
    <w:rsid w:val="056D4BEE"/>
    <w:rsid w:val="056D7096"/>
    <w:rsid w:val="056E0609"/>
    <w:rsid w:val="056E2007"/>
    <w:rsid w:val="056E3C58"/>
    <w:rsid w:val="056E7BCA"/>
    <w:rsid w:val="056F11F7"/>
    <w:rsid w:val="056F1F3C"/>
    <w:rsid w:val="056F498C"/>
    <w:rsid w:val="056F7A06"/>
    <w:rsid w:val="05701DE5"/>
    <w:rsid w:val="057028C6"/>
    <w:rsid w:val="05704DD8"/>
    <w:rsid w:val="05706B86"/>
    <w:rsid w:val="057074F8"/>
    <w:rsid w:val="05711AB2"/>
    <w:rsid w:val="0571302A"/>
    <w:rsid w:val="0571437F"/>
    <w:rsid w:val="0571487D"/>
    <w:rsid w:val="05714DF2"/>
    <w:rsid w:val="05716B37"/>
    <w:rsid w:val="05717247"/>
    <w:rsid w:val="05720B50"/>
    <w:rsid w:val="057228FE"/>
    <w:rsid w:val="05724E4C"/>
    <w:rsid w:val="057272E7"/>
    <w:rsid w:val="05731607"/>
    <w:rsid w:val="05733927"/>
    <w:rsid w:val="05735E79"/>
    <w:rsid w:val="05735F93"/>
    <w:rsid w:val="057448C8"/>
    <w:rsid w:val="057449E7"/>
    <w:rsid w:val="0574641E"/>
    <w:rsid w:val="05750813"/>
    <w:rsid w:val="05753A6C"/>
    <w:rsid w:val="0575419C"/>
    <w:rsid w:val="05755375"/>
    <w:rsid w:val="057637C7"/>
    <w:rsid w:val="05766A1A"/>
    <w:rsid w:val="057721FB"/>
    <w:rsid w:val="05772832"/>
    <w:rsid w:val="057743B8"/>
    <w:rsid w:val="05775309"/>
    <w:rsid w:val="057756D8"/>
    <w:rsid w:val="05776166"/>
    <w:rsid w:val="05777F14"/>
    <w:rsid w:val="05783352"/>
    <w:rsid w:val="05785745"/>
    <w:rsid w:val="05785C8A"/>
    <w:rsid w:val="05790131"/>
    <w:rsid w:val="057904EC"/>
    <w:rsid w:val="05793C8D"/>
    <w:rsid w:val="057955CB"/>
    <w:rsid w:val="05795F9C"/>
    <w:rsid w:val="057A17B3"/>
    <w:rsid w:val="057A1A1A"/>
    <w:rsid w:val="057A202C"/>
    <w:rsid w:val="057A4181"/>
    <w:rsid w:val="057A683F"/>
    <w:rsid w:val="057A6969"/>
    <w:rsid w:val="057A6AA3"/>
    <w:rsid w:val="057B5C57"/>
    <w:rsid w:val="057C2700"/>
    <w:rsid w:val="057C552B"/>
    <w:rsid w:val="057D4C6A"/>
    <w:rsid w:val="057D6F2B"/>
    <w:rsid w:val="057E03BB"/>
    <w:rsid w:val="057E12A3"/>
    <w:rsid w:val="057E5747"/>
    <w:rsid w:val="057F5AF1"/>
    <w:rsid w:val="057F6DC9"/>
    <w:rsid w:val="0580084E"/>
    <w:rsid w:val="058014BF"/>
    <w:rsid w:val="05803478"/>
    <w:rsid w:val="05803D12"/>
    <w:rsid w:val="0580501B"/>
    <w:rsid w:val="05810D93"/>
    <w:rsid w:val="05812741"/>
    <w:rsid w:val="058177C8"/>
    <w:rsid w:val="05817C2C"/>
    <w:rsid w:val="05821DE1"/>
    <w:rsid w:val="0583264C"/>
    <w:rsid w:val="05832D5D"/>
    <w:rsid w:val="05833DAF"/>
    <w:rsid w:val="058368B9"/>
    <w:rsid w:val="05837C49"/>
    <w:rsid w:val="05851B57"/>
    <w:rsid w:val="05852631"/>
    <w:rsid w:val="058556BD"/>
    <w:rsid w:val="05856AD5"/>
    <w:rsid w:val="05856B4D"/>
    <w:rsid w:val="05860158"/>
    <w:rsid w:val="05863327"/>
    <w:rsid w:val="0586366C"/>
    <w:rsid w:val="05863AD2"/>
    <w:rsid w:val="058645FB"/>
    <w:rsid w:val="0586491B"/>
    <w:rsid w:val="058663AA"/>
    <w:rsid w:val="05867B74"/>
    <w:rsid w:val="058700ED"/>
    <w:rsid w:val="05870171"/>
    <w:rsid w:val="058727A8"/>
    <w:rsid w:val="05872E7F"/>
    <w:rsid w:val="05873B46"/>
    <w:rsid w:val="058744C1"/>
    <w:rsid w:val="058754F1"/>
    <w:rsid w:val="058766B3"/>
    <w:rsid w:val="058768CE"/>
    <w:rsid w:val="05882EE0"/>
    <w:rsid w:val="05883ED0"/>
    <w:rsid w:val="058860C5"/>
    <w:rsid w:val="05886C0F"/>
    <w:rsid w:val="05887AD8"/>
    <w:rsid w:val="0589009F"/>
    <w:rsid w:val="0589466F"/>
    <w:rsid w:val="058953AD"/>
    <w:rsid w:val="058A4BDC"/>
    <w:rsid w:val="058A5E9A"/>
    <w:rsid w:val="058A7C48"/>
    <w:rsid w:val="058B0A0D"/>
    <w:rsid w:val="058B29BF"/>
    <w:rsid w:val="058B39C0"/>
    <w:rsid w:val="058B409E"/>
    <w:rsid w:val="058C1C12"/>
    <w:rsid w:val="058C284A"/>
    <w:rsid w:val="058C4725"/>
    <w:rsid w:val="058C526B"/>
    <w:rsid w:val="058C69A4"/>
    <w:rsid w:val="058C7E64"/>
    <w:rsid w:val="058D14E6"/>
    <w:rsid w:val="058D1BFB"/>
    <w:rsid w:val="058D6BD4"/>
    <w:rsid w:val="058E2A81"/>
    <w:rsid w:val="058E52F9"/>
    <w:rsid w:val="058E6E55"/>
    <w:rsid w:val="058F1702"/>
    <w:rsid w:val="058F4EF5"/>
    <w:rsid w:val="058F525E"/>
    <w:rsid w:val="058F7457"/>
    <w:rsid w:val="05900FD6"/>
    <w:rsid w:val="059035FC"/>
    <w:rsid w:val="05904252"/>
    <w:rsid w:val="0590728D"/>
    <w:rsid w:val="0591547A"/>
    <w:rsid w:val="05916530"/>
    <w:rsid w:val="05916831"/>
    <w:rsid w:val="05917228"/>
    <w:rsid w:val="059211F2"/>
    <w:rsid w:val="05922FA0"/>
    <w:rsid w:val="059268F1"/>
    <w:rsid w:val="05926AFC"/>
    <w:rsid w:val="05930663"/>
    <w:rsid w:val="059367D5"/>
    <w:rsid w:val="05945012"/>
    <w:rsid w:val="059554DF"/>
    <w:rsid w:val="05955761"/>
    <w:rsid w:val="059565ED"/>
    <w:rsid w:val="0595662D"/>
    <w:rsid w:val="05956642"/>
    <w:rsid w:val="05960A24"/>
    <w:rsid w:val="05960D2F"/>
    <w:rsid w:val="05962A91"/>
    <w:rsid w:val="0596483F"/>
    <w:rsid w:val="05967AD2"/>
    <w:rsid w:val="0597030E"/>
    <w:rsid w:val="059705B7"/>
    <w:rsid w:val="05970D7B"/>
    <w:rsid w:val="05972365"/>
    <w:rsid w:val="059726A3"/>
    <w:rsid w:val="05973935"/>
    <w:rsid w:val="059752A9"/>
    <w:rsid w:val="05982811"/>
    <w:rsid w:val="05983B33"/>
    <w:rsid w:val="05986704"/>
    <w:rsid w:val="0599432F"/>
    <w:rsid w:val="059960DD"/>
    <w:rsid w:val="05997B94"/>
    <w:rsid w:val="059A1577"/>
    <w:rsid w:val="059A20D5"/>
    <w:rsid w:val="059A5E1F"/>
    <w:rsid w:val="059A7C54"/>
    <w:rsid w:val="059B00A7"/>
    <w:rsid w:val="059B0D98"/>
    <w:rsid w:val="059B12C3"/>
    <w:rsid w:val="059B1E55"/>
    <w:rsid w:val="059B4A78"/>
    <w:rsid w:val="059B5117"/>
    <w:rsid w:val="059C11B4"/>
    <w:rsid w:val="059C4E5F"/>
    <w:rsid w:val="059C5085"/>
    <w:rsid w:val="059C5BC6"/>
    <w:rsid w:val="059D0FD1"/>
    <w:rsid w:val="059D3E1F"/>
    <w:rsid w:val="059D649E"/>
    <w:rsid w:val="059E0F62"/>
    <w:rsid w:val="059E2B37"/>
    <w:rsid w:val="059E5AA2"/>
    <w:rsid w:val="059E6880"/>
    <w:rsid w:val="059E6DE9"/>
    <w:rsid w:val="059E79A5"/>
    <w:rsid w:val="059F0E39"/>
    <w:rsid w:val="059F22C5"/>
    <w:rsid w:val="059F5892"/>
    <w:rsid w:val="059F7988"/>
    <w:rsid w:val="05A01219"/>
    <w:rsid w:val="05A03755"/>
    <w:rsid w:val="05A04CA0"/>
    <w:rsid w:val="05A056BD"/>
    <w:rsid w:val="05A0746B"/>
    <w:rsid w:val="05A075E5"/>
    <w:rsid w:val="05A11179"/>
    <w:rsid w:val="05A131E3"/>
    <w:rsid w:val="05A1627A"/>
    <w:rsid w:val="05A16326"/>
    <w:rsid w:val="05A21435"/>
    <w:rsid w:val="05A21E1D"/>
    <w:rsid w:val="05A24BF9"/>
    <w:rsid w:val="05A260A6"/>
    <w:rsid w:val="05A31A48"/>
    <w:rsid w:val="05A36F5B"/>
    <w:rsid w:val="05A36FBB"/>
    <w:rsid w:val="05A47F07"/>
    <w:rsid w:val="05A5334D"/>
    <w:rsid w:val="05A537FD"/>
    <w:rsid w:val="05A54A82"/>
    <w:rsid w:val="05A54E3D"/>
    <w:rsid w:val="05A607FA"/>
    <w:rsid w:val="05A60E22"/>
    <w:rsid w:val="05A625A8"/>
    <w:rsid w:val="05A62E9F"/>
    <w:rsid w:val="05A6619E"/>
    <w:rsid w:val="05A6644B"/>
    <w:rsid w:val="05A70D85"/>
    <w:rsid w:val="05A72198"/>
    <w:rsid w:val="05A75DF0"/>
    <w:rsid w:val="05A77735"/>
    <w:rsid w:val="05A827C4"/>
    <w:rsid w:val="05A83B5A"/>
    <w:rsid w:val="05A83E61"/>
    <w:rsid w:val="05A84572"/>
    <w:rsid w:val="05A8739D"/>
    <w:rsid w:val="05A92E71"/>
    <w:rsid w:val="05AA4094"/>
    <w:rsid w:val="05AA653C"/>
    <w:rsid w:val="05AB73C6"/>
    <w:rsid w:val="05AB73D8"/>
    <w:rsid w:val="05AC192D"/>
    <w:rsid w:val="05AC22B4"/>
    <w:rsid w:val="05AC3744"/>
    <w:rsid w:val="05AC615A"/>
    <w:rsid w:val="05AD2B69"/>
    <w:rsid w:val="05AD317E"/>
    <w:rsid w:val="05AD6B80"/>
    <w:rsid w:val="05AE23C6"/>
    <w:rsid w:val="05AE3027"/>
    <w:rsid w:val="05AE3334"/>
    <w:rsid w:val="05AE3416"/>
    <w:rsid w:val="05AE55AF"/>
    <w:rsid w:val="05AF3B52"/>
    <w:rsid w:val="05AF414A"/>
    <w:rsid w:val="05AF5900"/>
    <w:rsid w:val="05AF76AE"/>
    <w:rsid w:val="05B04050"/>
    <w:rsid w:val="05B11038"/>
    <w:rsid w:val="05B11678"/>
    <w:rsid w:val="05B125D6"/>
    <w:rsid w:val="05B12AC8"/>
    <w:rsid w:val="05B1306C"/>
    <w:rsid w:val="05B138E3"/>
    <w:rsid w:val="05B13F5A"/>
    <w:rsid w:val="05B15E1B"/>
    <w:rsid w:val="05B178CA"/>
    <w:rsid w:val="05B22460"/>
    <w:rsid w:val="05B253F0"/>
    <w:rsid w:val="05B25CDD"/>
    <w:rsid w:val="05B25DB2"/>
    <w:rsid w:val="05B26046"/>
    <w:rsid w:val="05B26D4E"/>
    <w:rsid w:val="05B272AB"/>
    <w:rsid w:val="05B36518"/>
    <w:rsid w:val="05B366EF"/>
    <w:rsid w:val="05B40FDD"/>
    <w:rsid w:val="05B42F17"/>
    <w:rsid w:val="05B47272"/>
    <w:rsid w:val="05B47BA0"/>
    <w:rsid w:val="05B51FD8"/>
    <w:rsid w:val="05B535A7"/>
    <w:rsid w:val="05B5558E"/>
    <w:rsid w:val="05B57A4C"/>
    <w:rsid w:val="05B60A3D"/>
    <w:rsid w:val="05B62428"/>
    <w:rsid w:val="05B653A7"/>
    <w:rsid w:val="05B66C8F"/>
    <w:rsid w:val="05B7054C"/>
    <w:rsid w:val="05B718C1"/>
    <w:rsid w:val="05B71DDE"/>
    <w:rsid w:val="05B72A07"/>
    <w:rsid w:val="05B747B5"/>
    <w:rsid w:val="05B819DC"/>
    <w:rsid w:val="05B84A65"/>
    <w:rsid w:val="05B922DB"/>
    <w:rsid w:val="05BA31A5"/>
    <w:rsid w:val="05BA46AA"/>
    <w:rsid w:val="05BA53B0"/>
    <w:rsid w:val="05BA5F57"/>
    <w:rsid w:val="05BB061D"/>
    <w:rsid w:val="05BB0A22"/>
    <w:rsid w:val="05BB0D30"/>
    <w:rsid w:val="05BB2369"/>
    <w:rsid w:val="05BB42A5"/>
    <w:rsid w:val="05BB4540"/>
    <w:rsid w:val="05BB6053"/>
    <w:rsid w:val="05BC001D"/>
    <w:rsid w:val="05BC1DCB"/>
    <w:rsid w:val="05BC4A5D"/>
    <w:rsid w:val="05BD5D2A"/>
    <w:rsid w:val="05BE041F"/>
    <w:rsid w:val="05BE3D95"/>
    <w:rsid w:val="05BE5B43"/>
    <w:rsid w:val="05BE707D"/>
    <w:rsid w:val="05BE78F1"/>
    <w:rsid w:val="05BF4735"/>
    <w:rsid w:val="05BF48F8"/>
    <w:rsid w:val="05BF4F1C"/>
    <w:rsid w:val="05BF5CDB"/>
    <w:rsid w:val="05BF63CF"/>
    <w:rsid w:val="05BF6454"/>
    <w:rsid w:val="05BF6686"/>
    <w:rsid w:val="05BF6CDE"/>
    <w:rsid w:val="05C00782"/>
    <w:rsid w:val="05C018BB"/>
    <w:rsid w:val="05C028A4"/>
    <w:rsid w:val="05C0366A"/>
    <w:rsid w:val="05C059EA"/>
    <w:rsid w:val="05C05FFE"/>
    <w:rsid w:val="05C07B0D"/>
    <w:rsid w:val="05C1017A"/>
    <w:rsid w:val="05C1150A"/>
    <w:rsid w:val="05C126BE"/>
    <w:rsid w:val="05C127D7"/>
    <w:rsid w:val="05C13C61"/>
    <w:rsid w:val="05C173E2"/>
    <w:rsid w:val="05C21090"/>
    <w:rsid w:val="05C26D79"/>
    <w:rsid w:val="05C26DA0"/>
    <w:rsid w:val="05C30850"/>
    <w:rsid w:val="05C32729"/>
    <w:rsid w:val="05C3315A"/>
    <w:rsid w:val="05C35758"/>
    <w:rsid w:val="05C4228E"/>
    <w:rsid w:val="05C463DE"/>
    <w:rsid w:val="05C47874"/>
    <w:rsid w:val="05C5027C"/>
    <w:rsid w:val="05C53EC5"/>
    <w:rsid w:val="05C55124"/>
    <w:rsid w:val="05C55721"/>
    <w:rsid w:val="05C56ED2"/>
    <w:rsid w:val="05C649F8"/>
    <w:rsid w:val="05C678C5"/>
    <w:rsid w:val="05C70E9C"/>
    <w:rsid w:val="05C7251F"/>
    <w:rsid w:val="05C7260B"/>
    <w:rsid w:val="05C7279C"/>
    <w:rsid w:val="05C72C4A"/>
    <w:rsid w:val="05C75509"/>
    <w:rsid w:val="05C80770"/>
    <w:rsid w:val="05C81E07"/>
    <w:rsid w:val="05C84C14"/>
    <w:rsid w:val="05C85565"/>
    <w:rsid w:val="05C869C2"/>
    <w:rsid w:val="05CA167A"/>
    <w:rsid w:val="05CA5C02"/>
    <w:rsid w:val="05CA5C4B"/>
    <w:rsid w:val="05CA69C2"/>
    <w:rsid w:val="05CB0451"/>
    <w:rsid w:val="05CB04ED"/>
    <w:rsid w:val="05CB04EE"/>
    <w:rsid w:val="05CB193B"/>
    <w:rsid w:val="05CB1E15"/>
    <w:rsid w:val="05CB200E"/>
    <w:rsid w:val="05CB4D86"/>
    <w:rsid w:val="05CB55DA"/>
    <w:rsid w:val="05CB6DF8"/>
    <w:rsid w:val="05CC0260"/>
    <w:rsid w:val="05CC0DA7"/>
    <w:rsid w:val="05CC0EBB"/>
    <w:rsid w:val="05CC0EC7"/>
    <w:rsid w:val="05CC252A"/>
    <w:rsid w:val="05CC2A23"/>
    <w:rsid w:val="05CC5779"/>
    <w:rsid w:val="05CC61EB"/>
    <w:rsid w:val="05CC64B2"/>
    <w:rsid w:val="05CC70A0"/>
    <w:rsid w:val="05CD48F1"/>
    <w:rsid w:val="05CD6C22"/>
    <w:rsid w:val="05CD73BF"/>
    <w:rsid w:val="05CE0A04"/>
    <w:rsid w:val="05CE1E4E"/>
    <w:rsid w:val="05CE2CDE"/>
    <w:rsid w:val="05CE4D52"/>
    <w:rsid w:val="05CF10D0"/>
    <w:rsid w:val="05CF19C4"/>
    <w:rsid w:val="05CF2FDE"/>
    <w:rsid w:val="05CF63F4"/>
    <w:rsid w:val="05CF6EFA"/>
    <w:rsid w:val="05D00D5D"/>
    <w:rsid w:val="05D03AAD"/>
    <w:rsid w:val="05D04C98"/>
    <w:rsid w:val="05D070C6"/>
    <w:rsid w:val="05D07FFD"/>
    <w:rsid w:val="05D10820"/>
    <w:rsid w:val="05D1395C"/>
    <w:rsid w:val="05D13AC9"/>
    <w:rsid w:val="05D15877"/>
    <w:rsid w:val="05D25F33"/>
    <w:rsid w:val="05D341E9"/>
    <w:rsid w:val="05D435B9"/>
    <w:rsid w:val="05D47115"/>
    <w:rsid w:val="05D47A74"/>
    <w:rsid w:val="05D54403"/>
    <w:rsid w:val="05D54B73"/>
    <w:rsid w:val="05D5642B"/>
    <w:rsid w:val="05D610DF"/>
    <w:rsid w:val="05D62DEC"/>
    <w:rsid w:val="05D62E8D"/>
    <w:rsid w:val="05D63EC8"/>
    <w:rsid w:val="05D644B8"/>
    <w:rsid w:val="05D67331"/>
    <w:rsid w:val="05D67BFF"/>
    <w:rsid w:val="05D73308"/>
    <w:rsid w:val="05D77629"/>
    <w:rsid w:val="05D823AA"/>
    <w:rsid w:val="05D830A9"/>
    <w:rsid w:val="05D83D62"/>
    <w:rsid w:val="05D84E57"/>
    <w:rsid w:val="05D85D8F"/>
    <w:rsid w:val="05D86C99"/>
    <w:rsid w:val="05D86CA0"/>
    <w:rsid w:val="05D87192"/>
    <w:rsid w:val="05D90FC6"/>
    <w:rsid w:val="05D92456"/>
    <w:rsid w:val="05D9297D"/>
    <w:rsid w:val="05D9472B"/>
    <w:rsid w:val="05D95027"/>
    <w:rsid w:val="05DA09B4"/>
    <w:rsid w:val="05DA48B0"/>
    <w:rsid w:val="05DB0DC0"/>
    <w:rsid w:val="05DB4947"/>
    <w:rsid w:val="05DB4D0E"/>
    <w:rsid w:val="05DB53AF"/>
    <w:rsid w:val="05DB66F5"/>
    <w:rsid w:val="05DC34C2"/>
    <w:rsid w:val="05DC421B"/>
    <w:rsid w:val="05DC6CA8"/>
    <w:rsid w:val="05DD06BF"/>
    <w:rsid w:val="05DD17FC"/>
    <w:rsid w:val="05DD2267"/>
    <w:rsid w:val="05DD22CE"/>
    <w:rsid w:val="05DD246D"/>
    <w:rsid w:val="05DD7B54"/>
    <w:rsid w:val="05DD7CAC"/>
    <w:rsid w:val="05DE11B6"/>
    <w:rsid w:val="05DE1A59"/>
    <w:rsid w:val="05DE1AB6"/>
    <w:rsid w:val="05DE4711"/>
    <w:rsid w:val="05DE6A64"/>
    <w:rsid w:val="05DE6F97"/>
    <w:rsid w:val="05DE7FFD"/>
    <w:rsid w:val="05DF0E99"/>
    <w:rsid w:val="05E01651"/>
    <w:rsid w:val="05E01F5E"/>
    <w:rsid w:val="05E02B21"/>
    <w:rsid w:val="05E07758"/>
    <w:rsid w:val="05E10A01"/>
    <w:rsid w:val="05E11832"/>
    <w:rsid w:val="05E11B44"/>
    <w:rsid w:val="05E12078"/>
    <w:rsid w:val="05E13E52"/>
    <w:rsid w:val="05E1511F"/>
    <w:rsid w:val="05E169BE"/>
    <w:rsid w:val="05E20257"/>
    <w:rsid w:val="05E2189B"/>
    <w:rsid w:val="05E235D0"/>
    <w:rsid w:val="05E24C49"/>
    <w:rsid w:val="05E30CAA"/>
    <w:rsid w:val="05E30F6C"/>
    <w:rsid w:val="05E3155A"/>
    <w:rsid w:val="05E32B32"/>
    <w:rsid w:val="05E32EA6"/>
    <w:rsid w:val="05E355AA"/>
    <w:rsid w:val="05E35905"/>
    <w:rsid w:val="05E36102"/>
    <w:rsid w:val="05E36744"/>
    <w:rsid w:val="05E37724"/>
    <w:rsid w:val="05E37F8F"/>
    <w:rsid w:val="05E4199F"/>
    <w:rsid w:val="05E41A4E"/>
    <w:rsid w:val="05E433B9"/>
    <w:rsid w:val="05E45645"/>
    <w:rsid w:val="05E45D4F"/>
    <w:rsid w:val="05E46A9E"/>
    <w:rsid w:val="05E51322"/>
    <w:rsid w:val="05E52E0E"/>
    <w:rsid w:val="05E530D0"/>
    <w:rsid w:val="05E53CE5"/>
    <w:rsid w:val="05E549E5"/>
    <w:rsid w:val="05E57574"/>
    <w:rsid w:val="05E649E5"/>
    <w:rsid w:val="05E64A5A"/>
    <w:rsid w:val="05E65CA9"/>
    <w:rsid w:val="05E67234"/>
    <w:rsid w:val="05E72318"/>
    <w:rsid w:val="05E73241"/>
    <w:rsid w:val="05E7475C"/>
    <w:rsid w:val="05E77238"/>
    <w:rsid w:val="05E80E12"/>
    <w:rsid w:val="05E812AD"/>
    <w:rsid w:val="05E827AC"/>
    <w:rsid w:val="05E82BC0"/>
    <w:rsid w:val="05E859B2"/>
    <w:rsid w:val="05E91BB0"/>
    <w:rsid w:val="05E91FE1"/>
    <w:rsid w:val="05E95F47"/>
    <w:rsid w:val="05E96E55"/>
    <w:rsid w:val="05E9776D"/>
    <w:rsid w:val="05EA06E6"/>
    <w:rsid w:val="05EA43BB"/>
    <w:rsid w:val="05EA5FAC"/>
    <w:rsid w:val="05EA6938"/>
    <w:rsid w:val="05EA7377"/>
    <w:rsid w:val="05EB0E4C"/>
    <w:rsid w:val="05EB3294"/>
    <w:rsid w:val="05EB70FD"/>
    <w:rsid w:val="05EC1B58"/>
    <w:rsid w:val="05EC445F"/>
    <w:rsid w:val="05EC52BD"/>
    <w:rsid w:val="05ED01D7"/>
    <w:rsid w:val="05ED3107"/>
    <w:rsid w:val="05EE033B"/>
    <w:rsid w:val="05EE365A"/>
    <w:rsid w:val="05EE3B7F"/>
    <w:rsid w:val="05EE4029"/>
    <w:rsid w:val="05EE4435"/>
    <w:rsid w:val="05EE467B"/>
    <w:rsid w:val="05EF1E5A"/>
    <w:rsid w:val="05EF279D"/>
    <w:rsid w:val="05EF3F4F"/>
    <w:rsid w:val="05EF69E7"/>
    <w:rsid w:val="05EF724D"/>
    <w:rsid w:val="05F011B3"/>
    <w:rsid w:val="05F02560"/>
    <w:rsid w:val="05F03DDA"/>
    <w:rsid w:val="05F075BB"/>
    <w:rsid w:val="05F11A75"/>
    <w:rsid w:val="05F130E7"/>
    <w:rsid w:val="05F137F3"/>
    <w:rsid w:val="05F20275"/>
    <w:rsid w:val="05F21C2E"/>
    <w:rsid w:val="05F224FC"/>
    <w:rsid w:val="05F23A3F"/>
    <w:rsid w:val="05F252DC"/>
    <w:rsid w:val="05F27063"/>
    <w:rsid w:val="05F27C08"/>
    <w:rsid w:val="05F31C91"/>
    <w:rsid w:val="05F34634"/>
    <w:rsid w:val="05F34B67"/>
    <w:rsid w:val="05F34C3F"/>
    <w:rsid w:val="05F41565"/>
    <w:rsid w:val="05F432A4"/>
    <w:rsid w:val="05F46B17"/>
    <w:rsid w:val="05F4705E"/>
    <w:rsid w:val="05F477B7"/>
    <w:rsid w:val="05F504EE"/>
    <w:rsid w:val="05F53B88"/>
    <w:rsid w:val="05F61781"/>
    <w:rsid w:val="05F619D4"/>
    <w:rsid w:val="05F62856"/>
    <w:rsid w:val="05F66A37"/>
    <w:rsid w:val="05F757C9"/>
    <w:rsid w:val="05F759DF"/>
    <w:rsid w:val="05F7694F"/>
    <w:rsid w:val="05F805B0"/>
    <w:rsid w:val="05F812DD"/>
    <w:rsid w:val="05F82416"/>
    <w:rsid w:val="05F82CF0"/>
    <w:rsid w:val="05F90CD5"/>
    <w:rsid w:val="05F919C4"/>
    <w:rsid w:val="05F91A40"/>
    <w:rsid w:val="05F94DCD"/>
    <w:rsid w:val="05FA033F"/>
    <w:rsid w:val="05FA2ED0"/>
    <w:rsid w:val="05FA2FFC"/>
    <w:rsid w:val="05FA3901"/>
    <w:rsid w:val="05FA4174"/>
    <w:rsid w:val="05FA4C5F"/>
    <w:rsid w:val="05FB109B"/>
    <w:rsid w:val="05FB1C78"/>
    <w:rsid w:val="05FB2A44"/>
    <w:rsid w:val="05FB572F"/>
    <w:rsid w:val="05FB6D97"/>
    <w:rsid w:val="05FC1C8A"/>
    <w:rsid w:val="05FC289F"/>
    <w:rsid w:val="05FC4046"/>
    <w:rsid w:val="05FC4CED"/>
    <w:rsid w:val="05FC5B28"/>
    <w:rsid w:val="05FC6C80"/>
    <w:rsid w:val="05FD0FD7"/>
    <w:rsid w:val="05FD2B10"/>
    <w:rsid w:val="05FD3F77"/>
    <w:rsid w:val="05FD462F"/>
    <w:rsid w:val="05FD6049"/>
    <w:rsid w:val="05FD666C"/>
    <w:rsid w:val="05FE2037"/>
    <w:rsid w:val="05FE2CE1"/>
    <w:rsid w:val="05FE793D"/>
    <w:rsid w:val="05FF3D06"/>
    <w:rsid w:val="05FF4105"/>
    <w:rsid w:val="05FF4F8C"/>
    <w:rsid w:val="06000AC8"/>
    <w:rsid w:val="060043AE"/>
    <w:rsid w:val="06005A63"/>
    <w:rsid w:val="06005ECB"/>
    <w:rsid w:val="06015731"/>
    <w:rsid w:val="06020126"/>
    <w:rsid w:val="060267A0"/>
    <w:rsid w:val="06027CA0"/>
    <w:rsid w:val="060319FC"/>
    <w:rsid w:val="060335F3"/>
    <w:rsid w:val="06033EFF"/>
    <w:rsid w:val="06034B48"/>
    <w:rsid w:val="060379FA"/>
    <w:rsid w:val="06040B89"/>
    <w:rsid w:val="060519C4"/>
    <w:rsid w:val="060521B5"/>
    <w:rsid w:val="06052BB4"/>
    <w:rsid w:val="06055520"/>
    <w:rsid w:val="06055584"/>
    <w:rsid w:val="06061473"/>
    <w:rsid w:val="060619EC"/>
    <w:rsid w:val="06064D81"/>
    <w:rsid w:val="06065365"/>
    <w:rsid w:val="060663C5"/>
    <w:rsid w:val="06067CE0"/>
    <w:rsid w:val="06073CA2"/>
    <w:rsid w:val="0607573C"/>
    <w:rsid w:val="060774EA"/>
    <w:rsid w:val="060905E2"/>
    <w:rsid w:val="060914B4"/>
    <w:rsid w:val="06094A60"/>
    <w:rsid w:val="060A1284"/>
    <w:rsid w:val="060A2B37"/>
    <w:rsid w:val="060A2DB7"/>
    <w:rsid w:val="060A46A6"/>
    <w:rsid w:val="060A5EDD"/>
    <w:rsid w:val="060A5F5E"/>
    <w:rsid w:val="060A6FDB"/>
    <w:rsid w:val="060A7680"/>
    <w:rsid w:val="060A7D56"/>
    <w:rsid w:val="060B0882"/>
    <w:rsid w:val="060C2A88"/>
    <w:rsid w:val="060C2D53"/>
    <w:rsid w:val="060C4474"/>
    <w:rsid w:val="060C4F82"/>
    <w:rsid w:val="060C5957"/>
    <w:rsid w:val="060C68AF"/>
    <w:rsid w:val="060D2627"/>
    <w:rsid w:val="060E0879"/>
    <w:rsid w:val="060E0D07"/>
    <w:rsid w:val="060E1BC9"/>
    <w:rsid w:val="060E2754"/>
    <w:rsid w:val="060E4D65"/>
    <w:rsid w:val="060E6ACB"/>
    <w:rsid w:val="060F0C0A"/>
    <w:rsid w:val="060F1864"/>
    <w:rsid w:val="060F2843"/>
    <w:rsid w:val="060F3FF2"/>
    <w:rsid w:val="060F45F1"/>
    <w:rsid w:val="060F4606"/>
    <w:rsid w:val="060F639F"/>
    <w:rsid w:val="061043FF"/>
    <w:rsid w:val="0610756E"/>
    <w:rsid w:val="06110369"/>
    <w:rsid w:val="06112117"/>
    <w:rsid w:val="06113CB0"/>
    <w:rsid w:val="061148C2"/>
    <w:rsid w:val="06115F4A"/>
    <w:rsid w:val="06116432"/>
    <w:rsid w:val="0612398E"/>
    <w:rsid w:val="06123C30"/>
    <w:rsid w:val="06126C96"/>
    <w:rsid w:val="061271C5"/>
    <w:rsid w:val="06127C3D"/>
    <w:rsid w:val="0613105E"/>
    <w:rsid w:val="06133A77"/>
    <w:rsid w:val="061340E1"/>
    <w:rsid w:val="06135B6E"/>
    <w:rsid w:val="06137044"/>
    <w:rsid w:val="06137EB4"/>
    <w:rsid w:val="061439B5"/>
    <w:rsid w:val="061441DD"/>
    <w:rsid w:val="06147879"/>
    <w:rsid w:val="061505B1"/>
    <w:rsid w:val="06151AED"/>
    <w:rsid w:val="061614DB"/>
    <w:rsid w:val="061623F8"/>
    <w:rsid w:val="06162D1C"/>
    <w:rsid w:val="0616566E"/>
    <w:rsid w:val="0616597F"/>
    <w:rsid w:val="0617341C"/>
    <w:rsid w:val="06175254"/>
    <w:rsid w:val="0617527B"/>
    <w:rsid w:val="0618108D"/>
    <w:rsid w:val="061816F7"/>
    <w:rsid w:val="0618673B"/>
    <w:rsid w:val="06193AFD"/>
    <w:rsid w:val="06195AE2"/>
    <w:rsid w:val="0619721E"/>
    <w:rsid w:val="061977F0"/>
    <w:rsid w:val="061A001F"/>
    <w:rsid w:val="061A23D5"/>
    <w:rsid w:val="061A2474"/>
    <w:rsid w:val="061A28F5"/>
    <w:rsid w:val="061A4F10"/>
    <w:rsid w:val="061A5DFC"/>
    <w:rsid w:val="061A6DB0"/>
    <w:rsid w:val="061B11E8"/>
    <w:rsid w:val="061B1939"/>
    <w:rsid w:val="061B2209"/>
    <w:rsid w:val="061C014B"/>
    <w:rsid w:val="061C3A89"/>
    <w:rsid w:val="061D0E3B"/>
    <w:rsid w:val="061D13C9"/>
    <w:rsid w:val="061D38CB"/>
    <w:rsid w:val="061D4AE9"/>
    <w:rsid w:val="061D722A"/>
    <w:rsid w:val="061D7D49"/>
    <w:rsid w:val="061E035C"/>
    <w:rsid w:val="061E0A5D"/>
    <w:rsid w:val="061E0B8A"/>
    <w:rsid w:val="061E3EFD"/>
    <w:rsid w:val="061F09B6"/>
    <w:rsid w:val="061F2A86"/>
    <w:rsid w:val="061F3CEF"/>
    <w:rsid w:val="061F5C0B"/>
    <w:rsid w:val="061F5FFB"/>
    <w:rsid w:val="0620235A"/>
    <w:rsid w:val="06202892"/>
    <w:rsid w:val="06204DB8"/>
    <w:rsid w:val="06210695"/>
    <w:rsid w:val="06210E27"/>
    <w:rsid w:val="06214462"/>
    <w:rsid w:val="062220DC"/>
    <w:rsid w:val="062260D2"/>
    <w:rsid w:val="06227014"/>
    <w:rsid w:val="0623077C"/>
    <w:rsid w:val="06232D01"/>
    <w:rsid w:val="0623356C"/>
    <w:rsid w:val="06233BF8"/>
    <w:rsid w:val="062418B7"/>
    <w:rsid w:val="06241BD8"/>
    <w:rsid w:val="062438AC"/>
    <w:rsid w:val="062514E5"/>
    <w:rsid w:val="06251565"/>
    <w:rsid w:val="06251814"/>
    <w:rsid w:val="06251D4E"/>
    <w:rsid w:val="06255236"/>
    <w:rsid w:val="06255475"/>
    <w:rsid w:val="06255E8C"/>
    <w:rsid w:val="06257970"/>
    <w:rsid w:val="06260B3E"/>
    <w:rsid w:val="062646E5"/>
    <w:rsid w:val="06264E3C"/>
    <w:rsid w:val="06265BB8"/>
    <w:rsid w:val="06266F92"/>
    <w:rsid w:val="0626751F"/>
    <w:rsid w:val="0627193B"/>
    <w:rsid w:val="062731FC"/>
    <w:rsid w:val="06274119"/>
    <w:rsid w:val="0627463A"/>
    <w:rsid w:val="06276E20"/>
    <w:rsid w:val="0628161B"/>
    <w:rsid w:val="062832C9"/>
    <w:rsid w:val="0628480D"/>
    <w:rsid w:val="06286508"/>
    <w:rsid w:val="06286BE9"/>
    <w:rsid w:val="06287461"/>
    <w:rsid w:val="0629056A"/>
    <w:rsid w:val="062956B3"/>
    <w:rsid w:val="062957D4"/>
    <w:rsid w:val="062A142B"/>
    <w:rsid w:val="062A343F"/>
    <w:rsid w:val="062A7441"/>
    <w:rsid w:val="062B48AC"/>
    <w:rsid w:val="062B637B"/>
    <w:rsid w:val="062B6B03"/>
    <w:rsid w:val="062C0CFF"/>
    <w:rsid w:val="062C2407"/>
    <w:rsid w:val="062C6F51"/>
    <w:rsid w:val="062D0F7C"/>
    <w:rsid w:val="062D43D5"/>
    <w:rsid w:val="062D580A"/>
    <w:rsid w:val="062D5BE2"/>
    <w:rsid w:val="062E0F1B"/>
    <w:rsid w:val="062E1579"/>
    <w:rsid w:val="062E23E1"/>
    <w:rsid w:val="062F3A98"/>
    <w:rsid w:val="062F4B2F"/>
    <w:rsid w:val="062F6F3A"/>
    <w:rsid w:val="0630247F"/>
    <w:rsid w:val="06303262"/>
    <w:rsid w:val="06304CCA"/>
    <w:rsid w:val="06305D70"/>
    <w:rsid w:val="06312010"/>
    <w:rsid w:val="06314567"/>
    <w:rsid w:val="06315E0D"/>
    <w:rsid w:val="06315EA6"/>
    <w:rsid w:val="06316315"/>
    <w:rsid w:val="063171D2"/>
    <w:rsid w:val="06321065"/>
    <w:rsid w:val="06323F2D"/>
    <w:rsid w:val="06327169"/>
    <w:rsid w:val="06330732"/>
    <w:rsid w:val="0633175E"/>
    <w:rsid w:val="0634061B"/>
    <w:rsid w:val="0634236C"/>
    <w:rsid w:val="06344057"/>
    <w:rsid w:val="06344B90"/>
    <w:rsid w:val="06354FFD"/>
    <w:rsid w:val="06356E17"/>
    <w:rsid w:val="0636019B"/>
    <w:rsid w:val="06361B7E"/>
    <w:rsid w:val="0637151B"/>
    <w:rsid w:val="06371643"/>
    <w:rsid w:val="06372E72"/>
    <w:rsid w:val="06380A36"/>
    <w:rsid w:val="06381954"/>
    <w:rsid w:val="063858F6"/>
    <w:rsid w:val="06386BEA"/>
    <w:rsid w:val="0639166E"/>
    <w:rsid w:val="0639341C"/>
    <w:rsid w:val="06395D59"/>
    <w:rsid w:val="063A6CBE"/>
    <w:rsid w:val="063A78C0"/>
    <w:rsid w:val="063B291B"/>
    <w:rsid w:val="063B4331"/>
    <w:rsid w:val="063B48D2"/>
    <w:rsid w:val="063B53E6"/>
    <w:rsid w:val="063B5963"/>
    <w:rsid w:val="063B5997"/>
    <w:rsid w:val="063D3C27"/>
    <w:rsid w:val="063E0A32"/>
    <w:rsid w:val="063F0C84"/>
    <w:rsid w:val="063F178A"/>
    <w:rsid w:val="063F5999"/>
    <w:rsid w:val="063F7D4A"/>
    <w:rsid w:val="063F7F3F"/>
    <w:rsid w:val="0640338B"/>
    <w:rsid w:val="064062F6"/>
    <w:rsid w:val="06406A75"/>
    <w:rsid w:val="06421858"/>
    <w:rsid w:val="064223E4"/>
    <w:rsid w:val="06425059"/>
    <w:rsid w:val="0643202F"/>
    <w:rsid w:val="06432556"/>
    <w:rsid w:val="06433850"/>
    <w:rsid w:val="06436C2E"/>
    <w:rsid w:val="06437DD0"/>
    <w:rsid w:val="06437E06"/>
    <w:rsid w:val="06441D2D"/>
    <w:rsid w:val="0644429B"/>
    <w:rsid w:val="06444A55"/>
    <w:rsid w:val="0644571C"/>
    <w:rsid w:val="064459E1"/>
    <w:rsid w:val="06445D6D"/>
    <w:rsid w:val="06447A07"/>
    <w:rsid w:val="06450013"/>
    <w:rsid w:val="06450047"/>
    <w:rsid w:val="06450912"/>
    <w:rsid w:val="06451DC1"/>
    <w:rsid w:val="064520C6"/>
    <w:rsid w:val="0645215B"/>
    <w:rsid w:val="06456265"/>
    <w:rsid w:val="0645643D"/>
    <w:rsid w:val="064668DF"/>
    <w:rsid w:val="06467B94"/>
    <w:rsid w:val="06471FDD"/>
    <w:rsid w:val="06473528"/>
    <w:rsid w:val="06473D8B"/>
    <w:rsid w:val="06477662"/>
    <w:rsid w:val="06480A1A"/>
    <w:rsid w:val="064833EA"/>
    <w:rsid w:val="0648365F"/>
    <w:rsid w:val="06485440"/>
    <w:rsid w:val="06486A43"/>
    <w:rsid w:val="06487227"/>
    <w:rsid w:val="064918B1"/>
    <w:rsid w:val="064935D0"/>
    <w:rsid w:val="06497B03"/>
    <w:rsid w:val="064A079C"/>
    <w:rsid w:val="064A387B"/>
    <w:rsid w:val="064A5876"/>
    <w:rsid w:val="064A5E8A"/>
    <w:rsid w:val="064A5F28"/>
    <w:rsid w:val="064A5F46"/>
    <w:rsid w:val="064A6717"/>
    <w:rsid w:val="064A73D7"/>
    <w:rsid w:val="064B3A05"/>
    <w:rsid w:val="064C16BC"/>
    <w:rsid w:val="064C314F"/>
    <w:rsid w:val="064C3A73"/>
    <w:rsid w:val="064C3C08"/>
    <w:rsid w:val="064C5349"/>
    <w:rsid w:val="064C5BEC"/>
    <w:rsid w:val="064D000E"/>
    <w:rsid w:val="064D165D"/>
    <w:rsid w:val="064D6ADB"/>
    <w:rsid w:val="064E1732"/>
    <w:rsid w:val="064E17C3"/>
    <w:rsid w:val="064E336B"/>
    <w:rsid w:val="064E6EC7"/>
    <w:rsid w:val="064F0487"/>
    <w:rsid w:val="064F10F9"/>
    <w:rsid w:val="064F1B08"/>
    <w:rsid w:val="064F2C3F"/>
    <w:rsid w:val="064F4240"/>
    <w:rsid w:val="064F7814"/>
    <w:rsid w:val="065009C8"/>
    <w:rsid w:val="06500E91"/>
    <w:rsid w:val="0650215F"/>
    <w:rsid w:val="06503DA8"/>
    <w:rsid w:val="0650515A"/>
    <w:rsid w:val="06510313"/>
    <w:rsid w:val="06512B56"/>
    <w:rsid w:val="06512E5C"/>
    <w:rsid w:val="065149C8"/>
    <w:rsid w:val="06514C09"/>
    <w:rsid w:val="065169B7"/>
    <w:rsid w:val="06523C1F"/>
    <w:rsid w:val="065246A0"/>
    <w:rsid w:val="06532730"/>
    <w:rsid w:val="06532B03"/>
    <w:rsid w:val="065344DE"/>
    <w:rsid w:val="065368B1"/>
    <w:rsid w:val="0654012B"/>
    <w:rsid w:val="06540256"/>
    <w:rsid w:val="06543364"/>
    <w:rsid w:val="065441ED"/>
    <w:rsid w:val="06552770"/>
    <w:rsid w:val="0655382A"/>
    <w:rsid w:val="065546FA"/>
    <w:rsid w:val="065563DB"/>
    <w:rsid w:val="06557503"/>
    <w:rsid w:val="0656077D"/>
    <w:rsid w:val="06562220"/>
    <w:rsid w:val="06565207"/>
    <w:rsid w:val="06565D7C"/>
    <w:rsid w:val="06566711"/>
    <w:rsid w:val="06567829"/>
    <w:rsid w:val="06585F98"/>
    <w:rsid w:val="06587D46"/>
    <w:rsid w:val="06591843"/>
    <w:rsid w:val="065A1D10"/>
    <w:rsid w:val="065A3ABE"/>
    <w:rsid w:val="065B11F4"/>
    <w:rsid w:val="065B1F66"/>
    <w:rsid w:val="065B226D"/>
    <w:rsid w:val="065B3392"/>
    <w:rsid w:val="065B6725"/>
    <w:rsid w:val="065C1364"/>
    <w:rsid w:val="065C18DA"/>
    <w:rsid w:val="065C1F19"/>
    <w:rsid w:val="065C3288"/>
    <w:rsid w:val="065D4003"/>
    <w:rsid w:val="065D407D"/>
    <w:rsid w:val="065D4B8D"/>
    <w:rsid w:val="065D5159"/>
    <w:rsid w:val="065D535C"/>
    <w:rsid w:val="065D62CE"/>
    <w:rsid w:val="065D710A"/>
    <w:rsid w:val="065E06BA"/>
    <w:rsid w:val="065E28D4"/>
    <w:rsid w:val="065E2E82"/>
    <w:rsid w:val="065E4166"/>
    <w:rsid w:val="065F0BEE"/>
    <w:rsid w:val="065F2AF7"/>
    <w:rsid w:val="065F7326"/>
    <w:rsid w:val="065F74AD"/>
    <w:rsid w:val="0660046B"/>
    <w:rsid w:val="0661350E"/>
    <w:rsid w:val="06613D65"/>
    <w:rsid w:val="0661782E"/>
    <w:rsid w:val="0662243A"/>
    <w:rsid w:val="0662447D"/>
    <w:rsid w:val="06624721"/>
    <w:rsid w:val="06631A35"/>
    <w:rsid w:val="06635006"/>
    <w:rsid w:val="06636908"/>
    <w:rsid w:val="06637CB5"/>
    <w:rsid w:val="06640327"/>
    <w:rsid w:val="06641E8F"/>
    <w:rsid w:val="06643CA2"/>
    <w:rsid w:val="0664493D"/>
    <w:rsid w:val="066466EB"/>
    <w:rsid w:val="0665133F"/>
    <w:rsid w:val="066515FD"/>
    <w:rsid w:val="0665331F"/>
    <w:rsid w:val="06654964"/>
    <w:rsid w:val="06660374"/>
    <w:rsid w:val="066606B5"/>
    <w:rsid w:val="06665F6A"/>
    <w:rsid w:val="0666620F"/>
    <w:rsid w:val="06667380"/>
    <w:rsid w:val="0667442D"/>
    <w:rsid w:val="06674CAA"/>
    <w:rsid w:val="066761DB"/>
    <w:rsid w:val="0667692E"/>
    <w:rsid w:val="066821BC"/>
    <w:rsid w:val="06683CBB"/>
    <w:rsid w:val="066919D3"/>
    <w:rsid w:val="06694317"/>
    <w:rsid w:val="066A1827"/>
    <w:rsid w:val="066B2114"/>
    <w:rsid w:val="066B5CCB"/>
    <w:rsid w:val="066B7835"/>
    <w:rsid w:val="066B7DA4"/>
    <w:rsid w:val="066C221D"/>
    <w:rsid w:val="066C37F1"/>
    <w:rsid w:val="066D01B9"/>
    <w:rsid w:val="066D22CA"/>
    <w:rsid w:val="066E0398"/>
    <w:rsid w:val="066E1317"/>
    <w:rsid w:val="066E30C6"/>
    <w:rsid w:val="066E57BB"/>
    <w:rsid w:val="066E5B12"/>
    <w:rsid w:val="066E7A48"/>
    <w:rsid w:val="066F072B"/>
    <w:rsid w:val="066F086A"/>
    <w:rsid w:val="066F0D8B"/>
    <w:rsid w:val="066F1D91"/>
    <w:rsid w:val="066F5090"/>
    <w:rsid w:val="066F6E3E"/>
    <w:rsid w:val="0670034A"/>
    <w:rsid w:val="06701B73"/>
    <w:rsid w:val="06704CF9"/>
    <w:rsid w:val="0670759D"/>
    <w:rsid w:val="0671265E"/>
    <w:rsid w:val="06712BB6"/>
    <w:rsid w:val="067135DA"/>
    <w:rsid w:val="06713B85"/>
    <w:rsid w:val="06714158"/>
    <w:rsid w:val="067141DD"/>
    <w:rsid w:val="06714493"/>
    <w:rsid w:val="06723C94"/>
    <w:rsid w:val="06725923"/>
    <w:rsid w:val="0672622D"/>
    <w:rsid w:val="06727F90"/>
    <w:rsid w:val="067304F4"/>
    <w:rsid w:val="06731E2D"/>
    <w:rsid w:val="06732DD2"/>
    <w:rsid w:val="06734B80"/>
    <w:rsid w:val="067350C5"/>
    <w:rsid w:val="06744775"/>
    <w:rsid w:val="06747F80"/>
    <w:rsid w:val="067508F8"/>
    <w:rsid w:val="06751D2B"/>
    <w:rsid w:val="067526A6"/>
    <w:rsid w:val="06753B06"/>
    <w:rsid w:val="067559E5"/>
    <w:rsid w:val="067572BD"/>
    <w:rsid w:val="067572F2"/>
    <w:rsid w:val="067601CC"/>
    <w:rsid w:val="06764670"/>
    <w:rsid w:val="06764839"/>
    <w:rsid w:val="06765041"/>
    <w:rsid w:val="0676557C"/>
    <w:rsid w:val="0676641E"/>
    <w:rsid w:val="067810C5"/>
    <w:rsid w:val="06781795"/>
    <w:rsid w:val="06782FC5"/>
    <w:rsid w:val="06783F44"/>
    <w:rsid w:val="06785561"/>
    <w:rsid w:val="06791CB3"/>
    <w:rsid w:val="06792C25"/>
    <w:rsid w:val="06793168"/>
    <w:rsid w:val="06794366"/>
    <w:rsid w:val="06797E31"/>
    <w:rsid w:val="067A6BD4"/>
    <w:rsid w:val="067B1C86"/>
    <w:rsid w:val="067B4474"/>
    <w:rsid w:val="067B55D8"/>
    <w:rsid w:val="067C0116"/>
    <w:rsid w:val="067C15A6"/>
    <w:rsid w:val="067C4EBF"/>
    <w:rsid w:val="067C7684"/>
    <w:rsid w:val="067D0F56"/>
    <w:rsid w:val="067D155B"/>
    <w:rsid w:val="067D2BC9"/>
    <w:rsid w:val="067D480D"/>
    <w:rsid w:val="067D565C"/>
    <w:rsid w:val="067E3655"/>
    <w:rsid w:val="067E53E2"/>
    <w:rsid w:val="067E7091"/>
    <w:rsid w:val="067F1777"/>
    <w:rsid w:val="067F524C"/>
    <w:rsid w:val="067F6084"/>
    <w:rsid w:val="067F6A97"/>
    <w:rsid w:val="0680104B"/>
    <w:rsid w:val="0680316B"/>
    <w:rsid w:val="06803BBB"/>
    <w:rsid w:val="06803EE7"/>
    <w:rsid w:val="0680729D"/>
    <w:rsid w:val="06810C6A"/>
    <w:rsid w:val="06813F88"/>
    <w:rsid w:val="06814A65"/>
    <w:rsid w:val="06823015"/>
    <w:rsid w:val="06826B71"/>
    <w:rsid w:val="0682758C"/>
    <w:rsid w:val="06827925"/>
    <w:rsid w:val="06831F60"/>
    <w:rsid w:val="06832A0C"/>
    <w:rsid w:val="068368A8"/>
    <w:rsid w:val="06840B3B"/>
    <w:rsid w:val="06846D8D"/>
    <w:rsid w:val="068564F1"/>
    <w:rsid w:val="06856661"/>
    <w:rsid w:val="06856D05"/>
    <w:rsid w:val="068610E2"/>
    <w:rsid w:val="06863579"/>
    <w:rsid w:val="068723D9"/>
    <w:rsid w:val="06874BAA"/>
    <w:rsid w:val="06875D54"/>
    <w:rsid w:val="0687687D"/>
    <w:rsid w:val="06877DFA"/>
    <w:rsid w:val="06880E3A"/>
    <w:rsid w:val="06890E47"/>
    <w:rsid w:val="06891286"/>
    <w:rsid w:val="06891844"/>
    <w:rsid w:val="0689497F"/>
    <w:rsid w:val="06895586"/>
    <w:rsid w:val="06895F0A"/>
    <w:rsid w:val="06897EFF"/>
    <w:rsid w:val="068A1F5D"/>
    <w:rsid w:val="068A534E"/>
    <w:rsid w:val="068B011B"/>
    <w:rsid w:val="068B4783"/>
    <w:rsid w:val="068B499C"/>
    <w:rsid w:val="068B641C"/>
    <w:rsid w:val="068B68F6"/>
    <w:rsid w:val="068C109B"/>
    <w:rsid w:val="068C1139"/>
    <w:rsid w:val="068C1809"/>
    <w:rsid w:val="068C1A3F"/>
    <w:rsid w:val="068C3E93"/>
    <w:rsid w:val="068C54B9"/>
    <w:rsid w:val="068C67FB"/>
    <w:rsid w:val="068C79F0"/>
    <w:rsid w:val="068D0299"/>
    <w:rsid w:val="068D03FC"/>
    <w:rsid w:val="068D470D"/>
    <w:rsid w:val="068E3768"/>
    <w:rsid w:val="068E6895"/>
    <w:rsid w:val="068F0143"/>
    <w:rsid w:val="068F095F"/>
    <w:rsid w:val="068F128E"/>
    <w:rsid w:val="068F6BB9"/>
    <w:rsid w:val="069025ED"/>
    <w:rsid w:val="06904427"/>
    <w:rsid w:val="069064E3"/>
    <w:rsid w:val="0691070F"/>
    <w:rsid w:val="069114AA"/>
    <w:rsid w:val="0691338D"/>
    <w:rsid w:val="06915459"/>
    <w:rsid w:val="06920B3D"/>
    <w:rsid w:val="06935222"/>
    <w:rsid w:val="06935DCE"/>
    <w:rsid w:val="06943B8E"/>
    <w:rsid w:val="069468A4"/>
    <w:rsid w:val="06946E39"/>
    <w:rsid w:val="0695059B"/>
    <w:rsid w:val="069505C5"/>
    <w:rsid w:val="069506FB"/>
    <w:rsid w:val="06952D48"/>
    <w:rsid w:val="06954AF6"/>
    <w:rsid w:val="06961E27"/>
    <w:rsid w:val="069642B8"/>
    <w:rsid w:val="0696432E"/>
    <w:rsid w:val="06966236"/>
    <w:rsid w:val="069669C7"/>
    <w:rsid w:val="06967FBD"/>
    <w:rsid w:val="06970675"/>
    <w:rsid w:val="06972984"/>
    <w:rsid w:val="06972EDE"/>
    <w:rsid w:val="06974D8B"/>
    <w:rsid w:val="069778EF"/>
    <w:rsid w:val="06980C80"/>
    <w:rsid w:val="06982356"/>
    <w:rsid w:val="06982838"/>
    <w:rsid w:val="06986394"/>
    <w:rsid w:val="069873C5"/>
    <w:rsid w:val="069A210C"/>
    <w:rsid w:val="069A3EBB"/>
    <w:rsid w:val="069A65B0"/>
    <w:rsid w:val="069B013B"/>
    <w:rsid w:val="069B0856"/>
    <w:rsid w:val="069B114C"/>
    <w:rsid w:val="069B347B"/>
    <w:rsid w:val="069C408C"/>
    <w:rsid w:val="069C40D7"/>
    <w:rsid w:val="069C64A8"/>
    <w:rsid w:val="069D1BFD"/>
    <w:rsid w:val="069D2020"/>
    <w:rsid w:val="069D4FF4"/>
    <w:rsid w:val="069D52E2"/>
    <w:rsid w:val="069D5B7E"/>
    <w:rsid w:val="069D7E4F"/>
    <w:rsid w:val="069E658E"/>
    <w:rsid w:val="069E6F19"/>
    <w:rsid w:val="069F005B"/>
    <w:rsid w:val="069F1A5D"/>
    <w:rsid w:val="069F3BC7"/>
    <w:rsid w:val="069F7723"/>
    <w:rsid w:val="06A0349B"/>
    <w:rsid w:val="06A0494E"/>
    <w:rsid w:val="06A05249"/>
    <w:rsid w:val="06A116ED"/>
    <w:rsid w:val="06A1260C"/>
    <w:rsid w:val="06A17142"/>
    <w:rsid w:val="06A173FD"/>
    <w:rsid w:val="06A22878"/>
    <w:rsid w:val="06A24A02"/>
    <w:rsid w:val="06A2612A"/>
    <w:rsid w:val="06A27213"/>
    <w:rsid w:val="06A35E92"/>
    <w:rsid w:val="06A36C13"/>
    <w:rsid w:val="06A411DD"/>
    <w:rsid w:val="06A42F8B"/>
    <w:rsid w:val="06A43013"/>
    <w:rsid w:val="06A44D39"/>
    <w:rsid w:val="06A50AB1"/>
    <w:rsid w:val="06A5454C"/>
    <w:rsid w:val="06A60FA2"/>
    <w:rsid w:val="06A61C42"/>
    <w:rsid w:val="06A64B59"/>
    <w:rsid w:val="06A65B3D"/>
    <w:rsid w:val="06A71FB9"/>
    <w:rsid w:val="06A72F26"/>
    <w:rsid w:val="06A7404C"/>
    <w:rsid w:val="06A75AFC"/>
    <w:rsid w:val="06A7799A"/>
    <w:rsid w:val="06A83DB1"/>
    <w:rsid w:val="06A8756A"/>
    <w:rsid w:val="06A905A2"/>
    <w:rsid w:val="06A92350"/>
    <w:rsid w:val="06A927DF"/>
    <w:rsid w:val="06A92B1B"/>
    <w:rsid w:val="06A95EA3"/>
    <w:rsid w:val="06A96046"/>
    <w:rsid w:val="06A96A90"/>
    <w:rsid w:val="06AA1E28"/>
    <w:rsid w:val="06AA219A"/>
    <w:rsid w:val="06AA35B3"/>
    <w:rsid w:val="06AA3A47"/>
    <w:rsid w:val="06AA444A"/>
    <w:rsid w:val="06AB4159"/>
    <w:rsid w:val="06AB431A"/>
    <w:rsid w:val="06AB5AEC"/>
    <w:rsid w:val="06AB7B59"/>
    <w:rsid w:val="06AC06F0"/>
    <w:rsid w:val="06AC2168"/>
    <w:rsid w:val="06AC32FA"/>
    <w:rsid w:val="06AD4208"/>
    <w:rsid w:val="06AD62E4"/>
    <w:rsid w:val="06AD6E47"/>
    <w:rsid w:val="06AD6F44"/>
    <w:rsid w:val="06AD773F"/>
    <w:rsid w:val="06AE075D"/>
    <w:rsid w:val="06AE104A"/>
    <w:rsid w:val="06AE2FA5"/>
    <w:rsid w:val="06AE3E0A"/>
    <w:rsid w:val="06AE3EAC"/>
    <w:rsid w:val="06AE5BB8"/>
    <w:rsid w:val="06AE5FC3"/>
    <w:rsid w:val="06AE7966"/>
    <w:rsid w:val="06B01218"/>
    <w:rsid w:val="06B036DE"/>
    <w:rsid w:val="06B04745"/>
    <w:rsid w:val="06B056A3"/>
    <w:rsid w:val="06B07B82"/>
    <w:rsid w:val="06B1001C"/>
    <w:rsid w:val="06B1095D"/>
    <w:rsid w:val="06B137B9"/>
    <w:rsid w:val="06B156A8"/>
    <w:rsid w:val="06B17456"/>
    <w:rsid w:val="06B31420"/>
    <w:rsid w:val="06B331CE"/>
    <w:rsid w:val="06B3427D"/>
    <w:rsid w:val="06B34F7C"/>
    <w:rsid w:val="06B3725C"/>
    <w:rsid w:val="06B37672"/>
    <w:rsid w:val="06B4159F"/>
    <w:rsid w:val="06B47F68"/>
    <w:rsid w:val="06B501D9"/>
    <w:rsid w:val="06B502A7"/>
    <w:rsid w:val="06B5055D"/>
    <w:rsid w:val="06B514C3"/>
    <w:rsid w:val="06B5164B"/>
    <w:rsid w:val="06B525C9"/>
    <w:rsid w:val="06B5316F"/>
    <w:rsid w:val="06B56129"/>
    <w:rsid w:val="06B601B3"/>
    <w:rsid w:val="06B61737"/>
    <w:rsid w:val="06B62CBE"/>
    <w:rsid w:val="06B631A1"/>
    <w:rsid w:val="06B649CA"/>
    <w:rsid w:val="06B66841"/>
    <w:rsid w:val="06B7140A"/>
    <w:rsid w:val="06B73E50"/>
    <w:rsid w:val="06B74DDB"/>
    <w:rsid w:val="06B7573E"/>
    <w:rsid w:val="06B807E5"/>
    <w:rsid w:val="06B84C89"/>
    <w:rsid w:val="06B86A37"/>
    <w:rsid w:val="06BA455D"/>
    <w:rsid w:val="06BA48CC"/>
    <w:rsid w:val="06BA630B"/>
    <w:rsid w:val="06BA6B91"/>
    <w:rsid w:val="06BB12DE"/>
    <w:rsid w:val="06BB2678"/>
    <w:rsid w:val="06BB2805"/>
    <w:rsid w:val="06BB4119"/>
    <w:rsid w:val="06BB53FF"/>
    <w:rsid w:val="06BC02D5"/>
    <w:rsid w:val="06BC0464"/>
    <w:rsid w:val="06BC2680"/>
    <w:rsid w:val="06BC2BCE"/>
    <w:rsid w:val="06BC4872"/>
    <w:rsid w:val="06BC6527"/>
    <w:rsid w:val="06BD229F"/>
    <w:rsid w:val="06BD5DFB"/>
    <w:rsid w:val="06BD71BE"/>
    <w:rsid w:val="06BD7ED4"/>
    <w:rsid w:val="06BE1A29"/>
    <w:rsid w:val="06BE63F8"/>
    <w:rsid w:val="06BE69F8"/>
    <w:rsid w:val="06BF033E"/>
    <w:rsid w:val="06BF1B73"/>
    <w:rsid w:val="06BF5DD0"/>
    <w:rsid w:val="06BF6017"/>
    <w:rsid w:val="06BF734A"/>
    <w:rsid w:val="06BF7DC5"/>
    <w:rsid w:val="06C00924"/>
    <w:rsid w:val="06C00A71"/>
    <w:rsid w:val="06C05052"/>
    <w:rsid w:val="06C07699"/>
    <w:rsid w:val="06C14FCA"/>
    <w:rsid w:val="06C15323"/>
    <w:rsid w:val="06C21663"/>
    <w:rsid w:val="06C2234A"/>
    <w:rsid w:val="06C24E1E"/>
    <w:rsid w:val="06C254FC"/>
    <w:rsid w:val="06C27109"/>
    <w:rsid w:val="06C278B5"/>
    <w:rsid w:val="06C33582"/>
    <w:rsid w:val="06C36731"/>
    <w:rsid w:val="06C4248F"/>
    <w:rsid w:val="06C4362D"/>
    <w:rsid w:val="06C453DB"/>
    <w:rsid w:val="06C47189"/>
    <w:rsid w:val="06C500CE"/>
    <w:rsid w:val="06C50397"/>
    <w:rsid w:val="06C51CD4"/>
    <w:rsid w:val="06C57899"/>
    <w:rsid w:val="06C600BA"/>
    <w:rsid w:val="06C615D7"/>
    <w:rsid w:val="06C62F02"/>
    <w:rsid w:val="06C67D6D"/>
    <w:rsid w:val="06C701D6"/>
    <w:rsid w:val="06C70A28"/>
    <w:rsid w:val="06C74ECC"/>
    <w:rsid w:val="06C76160"/>
    <w:rsid w:val="06C76497"/>
    <w:rsid w:val="06C82383"/>
    <w:rsid w:val="06C83155"/>
    <w:rsid w:val="06C837F2"/>
    <w:rsid w:val="06C851FE"/>
    <w:rsid w:val="06C85509"/>
    <w:rsid w:val="06C9016F"/>
    <w:rsid w:val="06C90C44"/>
    <w:rsid w:val="06C90E6D"/>
    <w:rsid w:val="06C913BB"/>
    <w:rsid w:val="06C92E89"/>
    <w:rsid w:val="06C93A28"/>
    <w:rsid w:val="06C94326"/>
    <w:rsid w:val="06C947A0"/>
    <w:rsid w:val="06C97BAD"/>
    <w:rsid w:val="06CA103D"/>
    <w:rsid w:val="06CB0518"/>
    <w:rsid w:val="06CB1AEA"/>
    <w:rsid w:val="06CB49BC"/>
    <w:rsid w:val="06CB4A08"/>
    <w:rsid w:val="06CB4F9D"/>
    <w:rsid w:val="06CB5D1F"/>
    <w:rsid w:val="06CB676A"/>
    <w:rsid w:val="06CC0578"/>
    <w:rsid w:val="06CC12A8"/>
    <w:rsid w:val="06CC3CEF"/>
    <w:rsid w:val="06CC4290"/>
    <w:rsid w:val="06CC43D9"/>
    <w:rsid w:val="06CC603E"/>
    <w:rsid w:val="06CC652D"/>
    <w:rsid w:val="06CD322E"/>
    <w:rsid w:val="06CD6519"/>
    <w:rsid w:val="06CE005C"/>
    <w:rsid w:val="06CE06C9"/>
    <w:rsid w:val="06CE1DAE"/>
    <w:rsid w:val="06CE1DB6"/>
    <w:rsid w:val="06CE2C37"/>
    <w:rsid w:val="06CE625A"/>
    <w:rsid w:val="06CF0AAF"/>
    <w:rsid w:val="06CF3D85"/>
    <w:rsid w:val="06D01FD2"/>
    <w:rsid w:val="06D02E0B"/>
    <w:rsid w:val="06D03D80"/>
    <w:rsid w:val="06D05B2E"/>
    <w:rsid w:val="06D0792A"/>
    <w:rsid w:val="06D07A0B"/>
    <w:rsid w:val="06D07A42"/>
    <w:rsid w:val="06D07A7F"/>
    <w:rsid w:val="06D10034"/>
    <w:rsid w:val="06D10BF1"/>
    <w:rsid w:val="06D118A6"/>
    <w:rsid w:val="06D15B4F"/>
    <w:rsid w:val="06D1633E"/>
    <w:rsid w:val="06D23940"/>
    <w:rsid w:val="06D26E0D"/>
    <w:rsid w:val="06D27AF8"/>
    <w:rsid w:val="06D3561E"/>
    <w:rsid w:val="06D373CC"/>
    <w:rsid w:val="06D41F76"/>
    <w:rsid w:val="06D422A5"/>
    <w:rsid w:val="06D44CBF"/>
    <w:rsid w:val="06D46400"/>
    <w:rsid w:val="06D53145"/>
    <w:rsid w:val="06D579CE"/>
    <w:rsid w:val="06D60D20"/>
    <w:rsid w:val="06D64C41"/>
    <w:rsid w:val="06D67B4E"/>
    <w:rsid w:val="06D70DB7"/>
    <w:rsid w:val="06D7217E"/>
    <w:rsid w:val="06D75E60"/>
    <w:rsid w:val="06D80E87"/>
    <w:rsid w:val="06D82C35"/>
    <w:rsid w:val="06D849E3"/>
    <w:rsid w:val="06D857D5"/>
    <w:rsid w:val="06D870D9"/>
    <w:rsid w:val="06D953AC"/>
    <w:rsid w:val="06D976A1"/>
    <w:rsid w:val="06DA301A"/>
    <w:rsid w:val="06DA69AD"/>
    <w:rsid w:val="06DB0142"/>
    <w:rsid w:val="06DB44D3"/>
    <w:rsid w:val="06DB57BB"/>
    <w:rsid w:val="06DC0D01"/>
    <w:rsid w:val="06DC1469"/>
    <w:rsid w:val="06DC5FE6"/>
    <w:rsid w:val="06DD612F"/>
    <w:rsid w:val="06DD649D"/>
    <w:rsid w:val="06DD6ABB"/>
    <w:rsid w:val="06DE056B"/>
    <w:rsid w:val="06DE2D82"/>
    <w:rsid w:val="06DE40A3"/>
    <w:rsid w:val="06DF03A0"/>
    <w:rsid w:val="06DF1DD2"/>
    <w:rsid w:val="06DF2215"/>
    <w:rsid w:val="06DF2F0D"/>
    <w:rsid w:val="06DF3513"/>
    <w:rsid w:val="06DF3938"/>
    <w:rsid w:val="06DF3FC3"/>
    <w:rsid w:val="06DF4CFB"/>
    <w:rsid w:val="06DF675A"/>
    <w:rsid w:val="06E007D9"/>
    <w:rsid w:val="06E05D6D"/>
    <w:rsid w:val="06E0707C"/>
    <w:rsid w:val="06E13711"/>
    <w:rsid w:val="06E13FCF"/>
    <w:rsid w:val="06E14AFA"/>
    <w:rsid w:val="06E21E94"/>
    <w:rsid w:val="06E23F43"/>
    <w:rsid w:val="06E25329"/>
    <w:rsid w:val="06E25862"/>
    <w:rsid w:val="06E27DE7"/>
    <w:rsid w:val="06E31BE3"/>
    <w:rsid w:val="06E31D05"/>
    <w:rsid w:val="06E31E5E"/>
    <w:rsid w:val="06E31EF4"/>
    <w:rsid w:val="06E337F1"/>
    <w:rsid w:val="06E36036"/>
    <w:rsid w:val="06E4203C"/>
    <w:rsid w:val="06E4288E"/>
    <w:rsid w:val="06E42BFA"/>
    <w:rsid w:val="06E45A7E"/>
    <w:rsid w:val="06E4782C"/>
    <w:rsid w:val="06E50FE7"/>
    <w:rsid w:val="06E52145"/>
    <w:rsid w:val="06E55200"/>
    <w:rsid w:val="06E56248"/>
    <w:rsid w:val="06E635A4"/>
    <w:rsid w:val="06E63D8D"/>
    <w:rsid w:val="06E6438F"/>
    <w:rsid w:val="06E65352"/>
    <w:rsid w:val="06E67100"/>
    <w:rsid w:val="06E67F33"/>
    <w:rsid w:val="06E710CA"/>
    <w:rsid w:val="06E733CA"/>
    <w:rsid w:val="06E80833"/>
    <w:rsid w:val="06E82530"/>
    <w:rsid w:val="06E826FF"/>
    <w:rsid w:val="06E82921"/>
    <w:rsid w:val="06E845C5"/>
    <w:rsid w:val="06E85D06"/>
    <w:rsid w:val="06E8731C"/>
    <w:rsid w:val="06E92058"/>
    <w:rsid w:val="06E93E47"/>
    <w:rsid w:val="06EA0626"/>
    <w:rsid w:val="06EA1EED"/>
    <w:rsid w:val="06EA6802"/>
    <w:rsid w:val="06EA6EE5"/>
    <w:rsid w:val="06EB4687"/>
    <w:rsid w:val="06EB6E3D"/>
    <w:rsid w:val="06EB70C5"/>
    <w:rsid w:val="06EC048E"/>
    <w:rsid w:val="06EC0BEE"/>
    <w:rsid w:val="06EC60BE"/>
    <w:rsid w:val="06EC66E0"/>
    <w:rsid w:val="06EC73EE"/>
    <w:rsid w:val="06ED116B"/>
    <w:rsid w:val="06ED1AFD"/>
    <w:rsid w:val="06ED440C"/>
    <w:rsid w:val="06EE0437"/>
    <w:rsid w:val="06EE06AA"/>
    <w:rsid w:val="06EE1BD1"/>
    <w:rsid w:val="06EE2458"/>
    <w:rsid w:val="06EE3A9E"/>
    <w:rsid w:val="06EE4206"/>
    <w:rsid w:val="06EE5980"/>
    <w:rsid w:val="06EF09F2"/>
    <w:rsid w:val="06EF0B79"/>
    <w:rsid w:val="06EF2A1F"/>
    <w:rsid w:val="06EF2EA3"/>
    <w:rsid w:val="06EF32E2"/>
    <w:rsid w:val="06EF7E65"/>
    <w:rsid w:val="06F02E1B"/>
    <w:rsid w:val="06F04422"/>
    <w:rsid w:val="06F0725F"/>
    <w:rsid w:val="06F07F7E"/>
    <w:rsid w:val="06F105E8"/>
    <w:rsid w:val="06F11263"/>
    <w:rsid w:val="06F127CA"/>
    <w:rsid w:val="06F1347D"/>
    <w:rsid w:val="06F15928"/>
    <w:rsid w:val="06F15AA5"/>
    <w:rsid w:val="06F17153"/>
    <w:rsid w:val="06F20344"/>
    <w:rsid w:val="06F21F49"/>
    <w:rsid w:val="06F23CF7"/>
    <w:rsid w:val="06F23D0F"/>
    <w:rsid w:val="06F253D7"/>
    <w:rsid w:val="06F25742"/>
    <w:rsid w:val="06F27872"/>
    <w:rsid w:val="06F30BC7"/>
    <w:rsid w:val="06F3181D"/>
    <w:rsid w:val="06F31A30"/>
    <w:rsid w:val="06F31C67"/>
    <w:rsid w:val="06F32700"/>
    <w:rsid w:val="06F35CC1"/>
    <w:rsid w:val="06F37A6F"/>
    <w:rsid w:val="06F4258F"/>
    <w:rsid w:val="06F51A39"/>
    <w:rsid w:val="06F63900"/>
    <w:rsid w:val="06F64AAF"/>
    <w:rsid w:val="06F64F55"/>
    <w:rsid w:val="06F65E2C"/>
    <w:rsid w:val="06F671C4"/>
    <w:rsid w:val="06F70449"/>
    <w:rsid w:val="06F71FA7"/>
    <w:rsid w:val="06F760EF"/>
    <w:rsid w:val="06F7755F"/>
    <w:rsid w:val="06F832D7"/>
    <w:rsid w:val="06F85085"/>
    <w:rsid w:val="06F86E33"/>
    <w:rsid w:val="06F87816"/>
    <w:rsid w:val="06F913D7"/>
    <w:rsid w:val="06F97BDB"/>
    <w:rsid w:val="06FA0DFD"/>
    <w:rsid w:val="06FA1115"/>
    <w:rsid w:val="06FA2477"/>
    <w:rsid w:val="06FA2BAB"/>
    <w:rsid w:val="06FA704F"/>
    <w:rsid w:val="06FA7606"/>
    <w:rsid w:val="06FA7A8E"/>
    <w:rsid w:val="06FB0143"/>
    <w:rsid w:val="06FB073A"/>
    <w:rsid w:val="06FB15AB"/>
    <w:rsid w:val="06FB6444"/>
    <w:rsid w:val="06FB78A3"/>
    <w:rsid w:val="06FC1E35"/>
    <w:rsid w:val="06FC2A3B"/>
    <w:rsid w:val="06FC2DC7"/>
    <w:rsid w:val="06FC4B75"/>
    <w:rsid w:val="06FC502C"/>
    <w:rsid w:val="06FC555E"/>
    <w:rsid w:val="06FC6923"/>
    <w:rsid w:val="06FC7836"/>
    <w:rsid w:val="06FD258C"/>
    <w:rsid w:val="06FD3E21"/>
    <w:rsid w:val="06FD3ECB"/>
    <w:rsid w:val="06FD3FAC"/>
    <w:rsid w:val="06FD4A04"/>
    <w:rsid w:val="06FD5DD7"/>
    <w:rsid w:val="06FD76BF"/>
    <w:rsid w:val="06FE6B3F"/>
    <w:rsid w:val="06FF01C2"/>
    <w:rsid w:val="06FF4665"/>
    <w:rsid w:val="06FF6413"/>
    <w:rsid w:val="06FF71C8"/>
    <w:rsid w:val="07001009"/>
    <w:rsid w:val="07003AC7"/>
    <w:rsid w:val="07003C23"/>
    <w:rsid w:val="07006F8B"/>
    <w:rsid w:val="070103DE"/>
    <w:rsid w:val="0701218C"/>
    <w:rsid w:val="0701303C"/>
    <w:rsid w:val="07013F3A"/>
    <w:rsid w:val="070168AD"/>
    <w:rsid w:val="07017D69"/>
    <w:rsid w:val="07024AB1"/>
    <w:rsid w:val="07025CBC"/>
    <w:rsid w:val="07027CB2"/>
    <w:rsid w:val="07030649"/>
    <w:rsid w:val="070311CD"/>
    <w:rsid w:val="07041C7C"/>
    <w:rsid w:val="070457D8"/>
    <w:rsid w:val="07047ECE"/>
    <w:rsid w:val="07050A46"/>
    <w:rsid w:val="070523E1"/>
    <w:rsid w:val="0705386A"/>
    <w:rsid w:val="070543BD"/>
    <w:rsid w:val="07055685"/>
    <w:rsid w:val="07057767"/>
    <w:rsid w:val="070579FB"/>
    <w:rsid w:val="07061550"/>
    <w:rsid w:val="07064A24"/>
    <w:rsid w:val="070665B3"/>
    <w:rsid w:val="070674A9"/>
    <w:rsid w:val="070677A2"/>
    <w:rsid w:val="07070B5B"/>
    <w:rsid w:val="0707152F"/>
    <w:rsid w:val="0707219D"/>
    <w:rsid w:val="07072634"/>
    <w:rsid w:val="0707271F"/>
    <w:rsid w:val="070745D1"/>
    <w:rsid w:val="070752C8"/>
    <w:rsid w:val="07076FBF"/>
    <w:rsid w:val="07080FDE"/>
    <w:rsid w:val="0708176C"/>
    <w:rsid w:val="070823EE"/>
    <w:rsid w:val="070834BD"/>
    <w:rsid w:val="07085D0A"/>
    <w:rsid w:val="07085E1D"/>
    <w:rsid w:val="07087878"/>
    <w:rsid w:val="070909FC"/>
    <w:rsid w:val="07091726"/>
    <w:rsid w:val="07092CDA"/>
    <w:rsid w:val="07092FDB"/>
    <w:rsid w:val="070968A2"/>
    <w:rsid w:val="070A0E6B"/>
    <w:rsid w:val="070A168C"/>
    <w:rsid w:val="070A3F3A"/>
    <w:rsid w:val="070A424D"/>
    <w:rsid w:val="070A499C"/>
    <w:rsid w:val="070A64CF"/>
    <w:rsid w:val="070B0591"/>
    <w:rsid w:val="070B10A0"/>
    <w:rsid w:val="070B125C"/>
    <w:rsid w:val="070B4DB8"/>
    <w:rsid w:val="070B5211"/>
    <w:rsid w:val="070B69D3"/>
    <w:rsid w:val="070B6B66"/>
    <w:rsid w:val="070B764F"/>
    <w:rsid w:val="070C0DEF"/>
    <w:rsid w:val="070C28DE"/>
    <w:rsid w:val="070D06B6"/>
    <w:rsid w:val="070D06D9"/>
    <w:rsid w:val="070D74FE"/>
    <w:rsid w:val="070E3B1C"/>
    <w:rsid w:val="070E48A8"/>
    <w:rsid w:val="070E6209"/>
    <w:rsid w:val="070E6657"/>
    <w:rsid w:val="070F0EB1"/>
    <w:rsid w:val="070F3137"/>
    <w:rsid w:val="070F445B"/>
    <w:rsid w:val="071023CF"/>
    <w:rsid w:val="0710455D"/>
    <w:rsid w:val="07104CFE"/>
    <w:rsid w:val="07105264"/>
    <w:rsid w:val="07106873"/>
    <w:rsid w:val="07110BCC"/>
    <w:rsid w:val="071149C1"/>
    <w:rsid w:val="071229B9"/>
    <w:rsid w:val="071263E5"/>
    <w:rsid w:val="07130102"/>
    <w:rsid w:val="071305AA"/>
    <w:rsid w:val="071305B8"/>
    <w:rsid w:val="071314C3"/>
    <w:rsid w:val="071328E8"/>
    <w:rsid w:val="071336C0"/>
    <w:rsid w:val="07133C6D"/>
    <w:rsid w:val="07140111"/>
    <w:rsid w:val="07142191"/>
    <w:rsid w:val="07146D98"/>
    <w:rsid w:val="07153E89"/>
    <w:rsid w:val="07157F7F"/>
    <w:rsid w:val="0716160D"/>
    <w:rsid w:val="07170A6D"/>
    <w:rsid w:val="07171584"/>
    <w:rsid w:val="071721BE"/>
    <w:rsid w:val="07172FCD"/>
    <w:rsid w:val="0717375D"/>
    <w:rsid w:val="07174068"/>
    <w:rsid w:val="07177643"/>
    <w:rsid w:val="07177C01"/>
    <w:rsid w:val="07181F24"/>
    <w:rsid w:val="07182B6E"/>
    <w:rsid w:val="07183C75"/>
    <w:rsid w:val="071874D5"/>
    <w:rsid w:val="071910C2"/>
    <w:rsid w:val="071934CD"/>
    <w:rsid w:val="07195727"/>
    <w:rsid w:val="071A1098"/>
    <w:rsid w:val="071A149F"/>
    <w:rsid w:val="071A4FFB"/>
    <w:rsid w:val="071A5FC4"/>
    <w:rsid w:val="071B1F12"/>
    <w:rsid w:val="071C08E4"/>
    <w:rsid w:val="071C283A"/>
    <w:rsid w:val="071C5217"/>
    <w:rsid w:val="071C6FC5"/>
    <w:rsid w:val="071D0FC5"/>
    <w:rsid w:val="071D4571"/>
    <w:rsid w:val="071D50D0"/>
    <w:rsid w:val="071D591B"/>
    <w:rsid w:val="071D689A"/>
    <w:rsid w:val="071D7612"/>
    <w:rsid w:val="071D7914"/>
    <w:rsid w:val="071E0F8F"/>
    <w:rsid w:val="071E115A"/>
    <w:rsid w:val="071E1F48"/>
    <w:rsid w:val="071E3346"/>
    <w:rsid w:val="071E3483"/>
    <w:rsid w:val="071E43C7"/>
    <w:rsid w:val="071F2612"/>
    <w:rsid w:val="071F6DC2"/>
    <w:rsid w:val="071F7705"/>
    <w:rsid w:val="072006F5"/>
    <w:rsid w:val="0720145B"/>
    <w:rsid w:val="072019C2"/>
    <w:rsid w:val="07201E36"/>
    <w:rsid w:val="072132C6"/>
    <w:rsid w:val="072145DC"/>
    <w:rsid w:val="07217125"/>
    <w:rsid w:val="07222102"/>
    <w:rsid w:val="07222C81"/>
    <w:rsid w:val="072242A9"/>
    <w:rsid w:val="07225256"/>
    <w:rsid w:val="07230354"/>
    <w:rsid w:val="072360B4"/>
    <w:rsid w:val="072365A6"/>
    <w:rsid w:val="07236618"/>
    <w:rsid w:val="07236663"/>
    <w:rsid w:val="07236AA8"/>
    <w:rsid w:val="07237076"/>
    <w:rsid w:val="07237FEF"/>
    <w:rsid w:val="07240833"/>
    <w:rsid w:val="0724193B"/>
    <w:rsid w:val="07241C47"/>
    <w:rsid w:val="07244BB0"/>
    <w:rsid w:val="0725228E"/>
    <w:rsid w:val="072525AC"/>
    <w:rsid w:val="07253042"/>
    <w:rsid w:val="07255F22"/>
    <w:rsid w:val="0725784A"/>
    <w:rsid w:val="07257DDA"/>
    <w:rsid w:val="07267E44"/>
    <w:rsid w:val="072702BE"/>
    <w:rsid w:val="07270CEB"/>
    <w:rsid w:val="072724F9"/>
    <w:rsid w:val="0727339A"/>
    <w:rsid w:val="072815FA"/>
    <w:rsid w:val="072845F5"/>
    <w:rsid w:val="07286505"/>
    <w:rsid w:val="07287718"/>
    <w:rsid w:val="072909AC"/>
    <w:rsid w:val="07292564"/>
    <w:rsid w:val="07292D58"/>
    <w:rsid w:val="07293490"/>
    <w:rsid w:val="07295F00"/>
    <w:rsid w:val="072A7934"/>
    <w:rsid w:val="072B0FB7"/>
    <w:rsid w:val="072B105B"/>
    <w:rsid w:val="072B3561"/>
    <w:rsid w:val="072B545A"/>
    <w:rsid w:val="072B7208"/>
    <w:rsid w:val="072B7D7B"/>
    <w:rsid w:val="072C03D9"/>
    <w:rsid w:val="072C4CEE"/>
    <w:rsid w:val="072C7195"/>
    <w:rsid w:val="072D0D08"/>
    <w:rsid w:val="072D2DE1"/>
    <w:rsid w:val="072D2F81"/>
    <w:rsid w:val="072D4EC7"/>
    <w:rsid w:val="072D6E20"/>
    <w:rsid w:val="072D7B39"/>
    <w:rsid w:val="072E0ABC"/>
    <w:rsid w:val="072E2CF9"/>
    <w:rsid w:val="072E3AA5"/>
    <w:rsid w:val="072E45AD"/>
    <w:rsid w:val="072E5698"/>
    <w:rsid w:val="072F0588"/>
    <w:rsid w:val="0730213A"/>
    <w:rsid w:val="07302A71"/>
    <w:rsid w:val="0730481F"/>
    <w:rsid w:val="073065CD"/>
    <w:rsid w:val="073103B7"/>
    <w:rsid w:val="0731167A"/>
    <w:rsid w:val="07312265"/>
    <w:rsid w:val="073130C8"/>
    <w:rsid w:val="073136F6"/>
    <w:rsid w:val="07317B7D"/>
    <w:rsid w:val="07320597"/>
    <w:rsid w:val="07322345"/>
    <w:rsid w:val="0732424B"/>
    <w:rsid w:val="07327DA0"/>
    <w:rsid w:val="07332FEA"/>
    <w:rsid w:val="07333FA1"/>
    <w:rsid w:val="0733430F"/>
    <w:rsid w:val="07334BC9"/>
    <w:rsid w:val="073360BD"/>
    <w:rsid w:val="073373CF"/>
    <w:rsid w:val="0734173C"/>
    <w:rsid w:val="07344CAE"/>
    <w:rsid w:val="07345194"/>
    <w:rsid w:val="07347CC9"/>
    <w:rsid w:val="07352BCC"/>
    <w:rsid w:val="073532DE"/>
    <w:rsid w:val="073562D9"/>
    <w:rsid w:val="07357FFB"/>
    <w:rsid w:val="07360159"/>
    <w:rsid w:val="07360E11"/>
    <w:rsid w:val="07361F9A"/>
    <w:rsid w:val="07361FEA"/>
    <w:rsid w:val="07366521"/>
    <w:rsid w:val="073700BD"/>
    <w:rsid w:val="07371E3A"/>
    <w:rsid w:val="07375BAD"/>
    <w:rsid w:val="07376939"/>
    <w:rsid w:val="073773F1"/>
    <w:rsid w:val="0737795B"/>
    <w:rsid w:val="073808B9"/>
    <w:rsid w:val="0738154D"/>
    <w:rsid w:val="07381841"/>
    <w:rsid w:val="073836D3"/>
    <w:rsid w:val="07387A8C"/>
    <w:rsid w:val="07391925"/>
    <w:rsid w:val="073929DD"/>
    <w:rsid w:val="07397B77"/>
    <w:rsid w:val="073A1CDE"/>
    <w:rsid w:val="073A38EF"/>
    <w:rsid w:val="073A3E6D"/>
    <w:rsid w:val="073A49DC"/>
    <w:rsid w:val="073B020F"/>
    <w:rsid w:val="073B0DB7"/>
    <w:rsid w:val="073B11EB"/>
    <w:rsid w:val="073B24B1"/>
    <w:rsid w:val="073B743D"/>
    <w:rsid w:val="073C1416"/>
    <w:rsid w:val="073C280E"/>
    <w:rsid w:val="073C3B73"/>
    <w:rsid w:val="073C7668"/>
    <w:rsid w:val="073D0CEA"/>
    <w:rsid w:val="073D15CC"/>
    <w:rsid w:val="073E46B3"/>
    <w:rsid w:val="073F2314"/>
    <w:rsid w:val="073F4A62"/>
    <w:rsid w:val="073F66BD"/>
    <w:rsid w:val="07403F3D"/>
    <w:rsid w:val="07404B41"/>
    <w:rsid w:val="07411E56"/>
    <w:rsid w:val="07415B79"/>
    <w:rsid w:val="07416A2C"/>
    <w:rsid w:val="07420034"/>
    <w:rsid w:val="074246B1"/>
    <w:rsid w:val="074251D0"/>
    <w:rsid w:val="07427D6F"/>
    <w:rsid w:val="074309F6"/>
    <w:rsid w:val="07431150"/>
    <w:rsid w:val="074314B4"/>
    <w:rsid w:val="07432BDC"/>
    <w:rsid w:val="07433D00"/>
    <w:rsid w:val="07436660"/>
    <w:rsid w:val="07436AB8"/>
    <w:rsid w:val="074402CA"/>
    <w:rsid w:val="07446526"/>
    <w:rsid w:val="07451D61"/>
    <w:rsid w:val="07465DF0"/>
    <w:rsid w:val="074738EF"/>
    <w:rsid w:val="07474FE1"/>
    <w:rsid w:val="0747776D"/>
    <w:rsid w:val="07481306"/>
    <w:rsid w:val="07481CC4"/>
    <w:rsid w:val="07483BF5"/>
    <w:rsid w:val="0748600C"/>
    <w:rsid w:val="07486471"/>
    <w:rsid w:val="07487732"/>
    <w:rsid w:val="07487DBA"/>
    <w:rsid w:val="074904CC"/>
    <w:rsid w:val="0749347A"/>
    <w:rsid w:val="07493A79"/>
    <w:rsid w:val="074950B8"/>
    <w:rsid w:val="074A100F"/>
    <w:rsid w:val="074A238C"/>
    <w:rsid w:val="074A378B"/>
    <w:rsid w:val="074A3962"/>
    <w:rsid w:val="074A3B33"/>
    <w:rsid w:val="074A44B0"/>
    <w:rsid w:val="074A5B03"/>
    <w:rsid w:val="074B3407"/>
    <w:rsid w:val="074B6533"/>
    <w:rsid w:val="074B78AB"/>
    <w:rsid w:val="074C6282"/>
    <w:rsid w:val="074C65B6"/>
    <w:rsid w:val="074C72B3"/>
    <w:rsid w:val="074D22E3"/>
    <w:rsid w:val="074D2600"/>
    <w:rsid w:val="074D3550"/>
    <w:rsid w:val="074D3623"/>
    <w:rsid w:val="074D3DB6"/>
    <w:rsid w:val="074D4734"/>
    <w:rsid w:val="074E1026"/>
    <w:rsid w:val="074E59EC"/>
    <w:rsid w:val="074F2000"/>
    <w:rsid w:val="074F5701"/>
    <w:rsid w:val="074F5F10"/>
    <w:rsid w:val="07500A1D"/>
    <w:rsid w:val="07502802"/>
    <w:rsid w:val="07503726"/>
    <w:rsid w:val="07504EC1"/>
    <w:rsid w:val="07510C64"/>
    <w:rsid w:val="07512DF9"/>
    <w:rsid w:val="0751305B"/>
    <w:rsid w:val="0752213D"/>
    <w:rsid w:val="07526F2A"/>
    <w:rsid w:val="0753050D"/>
    <w:rsid w:val="0753050F"/>
    <w:rsid w:val="0753215C"/>
    <w:rsid w:val="07532744"/>
    <w:rsid w:val="07533A19"/>
    <w:rsid w:val="07537D16"/>
    <w:rsid w:val="07541348"/>
    <w:rsid w:val="07542E6E"/>
    <w:rsid w:val="07550729"/>
    <w:rsid w:val="07553C13"/>
    <w:rsid w:val="07554285"/>
    <w:rsid w:val="07561F05"/>
    <w:rsid w:val="07571DAC"/>
    <w:rsid w:val="07573BB1"/>
    <w:rsid w:val="07574FB5"/>
    <w:rsid w:val="07575759"/>
    <w:rsid w:val="0757624F"/>
    <w:rsid w:val="07576273"/>
    <w:rsid w:val="07577FFE"/>
    <w:rsid w:val="07580B37"/>
    <w:rsid w:val="07583228"/>
    <w:rsid w:val="075854F8"/>
    <w:rsid w:val="07585B24"/>
    <w:rsid w:val="07585E86"/>
    <w:rsid w:val="07591FC8"/>
    <w:rsid w:val="075970D8"/>
    <w:rsid w:val="075A189C"/>
    <w:rsid w:val="075A3457"/>
    <w:rsid w:val="075A6D70"/>
    <w:rsid w:val="075B15FB"/>
    <w:rsid w:val="075B48E7"/>
    <w:rsid w:val="075B74B8"/>
    <w:rsid w:val="075C2E3D"/>
    <w:rsid w:val="075C7578"/>
    <w:rsid w:val="075D0A39"/>
    <w:rsid w:val="075D678E"/>
    <w:rsid w:val="075D7207"/>
    <w:rsid w:val="075E138C"/>
    <w:rsid w:val="075E313A"/>
    <w:rsid w:val="075E75DE"/>
    <w:rsid w:val="075E792D"/>
    <w:rsid w:val="075F170E"/>
    <w:rsid w:val="075F2024"/>
    <w:rsid w:val="075F5104"/>
    <w:rsid w:val="07604872"/>
    <w:rsid w:val="07606FBD"/>
    <w:rsid w:val="07607DAF"/>
    <w:rsid w:val="07610759"/>
    <w:rsid w:val="07611985"/>
    <w:rsid w:val="0761225D"/>
    <w:rsid w:val="0761449C"/>
    <w:rsid w:val="07614A08"/>
    <w:rsid w:val="07621BE9"/>
    <w:rsid w:val="0762732D"/>
    <w:rsid w:val="0763068B"/>
    <w:rsid w:val="07630750"/>
    <w:rsid w:val="07632E46"/>
    <w:rsid w:val="07635286"/>
    <w:rsid w:val="07635C4A"/>
    <w:rsid w:val="076369A2"/>
    <w:rsid w:val="07643ED5"/>
    <w:rsid w:val="076444C8"/>
    <w:rsid w:val="07644EDA"/>
    <w:rsid w:val="0765096C"/>
    <w:rsid w:val="076546F9"/>
    <w:rsid w:val="07666493"/>
    <w:rsid w:val="07667F1E"/>
    <w:rsid w:val="076721C8"/>
    <w:rsid w:val="07672250"/>
    <w:rsid w:val="07675A5B"/>
    <w:rsid w:val="07677890"/>
    <w:rsid w:val="07677C87"/>
    <w:rsid w:val="0768045D"/>
    <w:rsid w:val="07680727"/>
    <w:rsid w:val="07681BDE"/>
    <w:rsid w:val="07681DE4"/>
    <w:rsid w:val="0768431A"/>
    <w:rsid w:val="0768478A"/>
    <w:rsid w:val="076847AA"/>
    <w:rsid w:val="07691ABC"/>
    <w:rsid w:val="076969EB"/>
    <w:rsid w:val="07697D31"/>
    <w:rsid w:val="076A1120"/>
    <w:rsid w:val="076A18A1"/>
    <w:rsid w:val="076A4A52"/>
    <w:rsid w:val="076A5F83"/>
    <w:rsid w:val="076B1CFB"/>
    <w:rsid w:val="076B2989"/>
    <w:rsid w:val="076B3AA9"/>
    <w:rsid w:val="076B76C3"/>
    <w:rsid w:val="076B7A52"/>
    <w:rsid w:val="076C020E"/>
    <w:rsid w:val="076C1D8A"/>
    <w:rsid w:val="076D15CF"/>
    <w:rsid w:val="076D598D"/>
    <w:rsid w:val="076D5A73"/>
    <w:rsid w:val="076D62AF"/>
    <w:rsid w:val="076D6513"/>
    <w:rsid w:val="076F17EB"/>
    <w:rsid w:val="076F1D1A"/>
    <w:rsid w:val="076F3599"/>
    <w:rsid w:val="076F41ED"/>
    <w:rsid w:val="076F56D1"/>
    <w:rsid w:val="077010BF"/>
    <w:rsid w:val="07702E6D"/>
    <w:rsid w:val="07703BAB"/>
    <w:rsid w:val="0770697E"/>
    <w:rsid w:val="07706DBE"/>
    <w:rsid w:val="07707311"/>
    <w:rsid w:val="07707D01"/>
    <w:rsid w:val="07711995"/>
    <w:rsid w:val="077121A7"/>
    <w:rsid w:val="07712EFF"/>
    <w:rsid w:val="07713FFD"/>
    <w:rsid w:val="07717EAB"/>
    <w:rsid w:val="07721EAA"/>
    <w:rsid w:val="07722B6E"/>
    <w:rsid w:val="07723089"/>
    <w:rsid w:val="07724A68"/>
    <w:rsid w:val="07724E37"/>
    <w:rsid w:val="077323B5"/>
    <w:rsid w:val="07732EEE"/>
    <w:rsid w:val="07733580"/>
    <w:rsid w:val="0773406D"/>
    <w:rsid w:val="077363CE"/>
    <w:rsid w:val="077373CE"/>
    <w:rsid w:val="077420A2"/>
    <w:rsid w:val="077428FE"/>
    <w:rsid w:val="0774295E"/>
    <w:rsid w:val="0774777A"/>
    <w:rsid w:val="077527CF"/>
    <w:rsid w:val="077566D6"/>
    <w:rsid w:val="07757948"/>
    <w:rsid w:val="077611A1"/>
    <w:rsid w:val="077616B7"/>
    <w:rsid w:val="0776400E"/>
    <w:rsid w:val="07770526"/>
    <w:rsid w:val="077706A0"/>
    <w:rsid w:val="07771798"/>
    <w:rsid w:val="07773341"/>
    <w:rsid w:val="077741FC"/>
    <w:rsid w:val="0777439E"/>
    <w:rsid w:val="07775675"/>
    <w:rsid w:val="07775A94"/>
    <w:rsid w:val="07775E1C"/>
    <w:rsid w:val="07776EA0"/>
    <w:rsid w:val="07777151"/>
    <w:rsid w:val="07782386"/>
    <w:rsid w:val="0778259F"/>
    <w:rsid w:val="0778786C"/>
    <w:rsid w:val="07790DA3"/>
    <w:rsid w:val="0779297D"/>
    <w:rsid w:val="077940C0"/>
    <w:rsid w:val="07794418"/>
    <w:rsid w:val="07794F46"/>
    <w:rsid w:val="0779529F"/>
    <w:rsid w:val="07795AA7"/>
    <w:rsid w:val="077961C6"/>
    <w:rsid w:val="07797F74"/>
    <w:rsid w:val="077A0F84"/>
    <w:rsid w:val="077A1300"/>
    <w:rsid w:val="077A1F3E"/>
    <w:rsid w:val="077A41EF"/>
    <w:rsid w:val="077B76BB"/>
    <w:rsid w:val="077B7867"/>
    <w:rsid w:val="077C1812"/>
    <w:rsid w:val="077C4EDD"/>
    <w:rsid w:val="077C5CB6"/>
    <w:rsid w:val="077C7A64"/>
    <w:rsid w:val="077D34DF"/>
    <w:rsid w:val="077E0300"/>
    <w:rsid w:val="077E1A2E"/>
    <w:rsid w:val="077E37DC"/>
    <w:rsid w:val="077E4F35"/>
    <w:rsid w:val="077E558A"/>
    <w:rsid w:val="077E56AF"/>
    <w:rsid w:val="077E5910"/>
    <w:rsid w:val="077E59A8"/>
    <w:rsid w:val="077E7C81"/>
    <w:rsid w:val="077F0278"/>
    <w:rsid w:val="077F1C30"/>
    <w:rsid w:val="077F5341"/>
    <w:rsid w:val="077F66D3"/>
    <w:rsid w:val="0780263E"/>
    <w:rsid w:val="07804068"/>
    <w:rsid w:val="078057A6"/>
    <w:rsid w:val="07806C41"/>
    <w:rsid w:val="07807554"/>
    <w:rsid w:val="07811CD7"/>
    <w:rsid w:val="078132CC"/>
    <w:rsid w:val="0781507A"/>
    <w:rsid w:val="07816602"/>
    <w:rsid w:val="078219E6"/>
    <w:rsid w:val="07821FB4"/>
    <w:rsid w:val="07823E5B"/>
    <w:rsid w:val="0782460B"/>
    <w:rsid w:val="078246F7"/>
    <w:rsid w:val="078248D1"/>
    <w:rsid w:val="07824C48"/>
    <w:rsid w:val="07825CF9"/>
    <w:rsid w:val="078260C4"/>
    <w:rsid w:val="078301A5"/>
    <w:rsid w:val="078304B8"/>
    <w:rsid w:val="07831F3B"/>
    <w:rsid w:val="07833A91"/>
    <w:rsid w:val="07835838"/>
    <w:rsid w:val="0784456A"/>
    <w:rsid w:val="0784602A"/>
    <w:rsid w:val="07846919"/>
    <w:rsid w:val="0785249B"/>
    <w:rsid w:val="07852DBD"/>
    <w:rsid w:val="07853608"/>
    <w:rsid w:val="078537BE"/>
    <w:rsid w:val="07854B6B"/>
    <w:rsid w:val="078554C7"/>
    <w:rsid w:val="078559AD"/>
    <w:rsid w:val="078608E3"/>
    <w:rsid w:val="07862691"/>
    <w:rsid w:val="078672B1"/>
    <w:rsid w:val="078723F4"/>
    <w:rsid w:val="07873E3D"/>
    <w:rsid w:val="0788375D"/>
    <w:rsid w:val="07883904"/>
    <w:rsid w:val="07883D71"/>
    <w:rsid w:val="07886409"/>
    <w:rsid w:val="078864D5"/>
    <w:rsid w:val="07886E98"/>
    <w:rsid w:val="07893F2F"/>
    <w:rsid w:val="07896170"/>
    <w:rsid w:val="078A0DF5"/>
    <w:rsid w:val="078A59B7"/>
    <w:rsid w:val="078A6262"/>
    <w:rsid w:val="078A687A"/>
    <w:rsid w:val="078B08C6"/>
    <w:rsid w:val="078B136F"/>
    <w:rsid w:val="078B5EF9"/>
    <w:rsid w:val="078B7CA7"/>
    <w:rsid w:val="078C5E5A"/>
    <w:rsid w:val="078C788E"/>
    <w:rsid w:val="078D3A1F"/>
    <w:rsid w:val="078D5275"/>
    <w:rsid w:val="078D597A"/>
    <w:rsid w:val="078E1545"/>
    <w:rsid w:val="078E1C75"/>
    <w:rsid w:val="078E517D"/>
    <w:rsid w:val="078F01B3"/>
    <w:rsid w:val="078F59E9"/>
    <w:rsid w:val="0790350F"/>
    <w:rsid w:val="07904986"/>
    <w:rsid w:val="0790726C"/>
    <w:rsid w:val="079129D1"/>
    <w:rsid w:val="07912BF2"/>
    <w:rsid w:val="07914582"/>
    <w:rsid w:val="07921036"/>
    <w:rsid w:val="07924D89"/>
    <w:rsid w:val="079254DA"/>
    <w:rsid w:val="07926B92"/>
    <w:rsid w:val="07927129"/>
    <w:rsid w:val="0792741E"/>
    <w:rsid w:val="0793306D"/>
    <w:rsid w:val="07934119"/>
    <w:rsid w:val="07940642"/>
    <w:rsid w:val="07941252"/>
    <w:rsid w:val="07943014"/>
    <w:rsid w:val="07945565"/>
    <w:rsid w:val="07950D1D"/>
    <w:rsid w:val="07951220"/>
    <w:rsid w:val="079528D4"/>
    <w:rsid w:val="0795461A"/>
    <w:rsid w:val="07954914"/>
    <w:rsid w:val="0796076D"/>
    <w:rsid w:val="07961A7E"/>
    <w:rsid w:val="07964AA5"/>
    <w:rsid w:val="07965EB6"/>
    <w:rsid w:val="07966D78"/>
    <w:rsid w:val="07967398"/>
    <w:rsid w:val="0797275A"/>
    <w:rsid w:val="07972AF0"/>
    <w:rsid w:val="0797489E"/>
    <w:rsid w:val="079833F9"/>
    <w:rsid w:val="07990616"/>
    <w:rsid w:val="07991460"/>
    <w:rsid w:val="079923C4"/>
    <w:rsid w:val="07994889"/>
    <w:rsid w:val="079951E5"/>
    <w:rsid w:val="07996D48"/>
    <w:rsid w:val="07997082"/>
    <w:rsid w:val="079A08EA"/>
    <w:rsid w:val="079A72F2"/>
    <w:rsid w:val="079B0216"/>
    <w:rsid w:val="079B567C"/>
    <w:rsid w:val="079C2903"/>
    <w:rsid w:val="079C30B8"/>
    <w:rsid w:val="079C320A"/>
    <w:rsid w:val="079C3C62"/>
    <w:rsid w:val="079C472D"/>
    <w:rsid w:val="079C4C68"/>
    <w:rsid w:val="079C5DDB"/>
    <w:rsid w:val="079C6E54"/>
    <w:rsid w:val="079D0663"/>
    <w:rsid w:val="079D3E23"/>
    <w:rsid w:val="079D50E1"/>
    <w:rsid w:val="079E6CFF"/>
    <w:rsid w:val="079E79DA"/>
    <w:rsid w:val="079F1B8B"/>
    <w:rsid w:val="079F2B5D"/>
    <w:rsid w:val="079F6EA3"/>
    <w:rsid w:val="079F7495"/>
    <w:rsid w:val="07A01BFB"/>
    <w:rsid w:val="07A022D1"/>
    <w:rsid w:val="07A0301B"/>
    <w:rsid w:val="07A03C15"/>
    <w:rsid w:val="07A11279"/>
    <w:rsid w:val="07A115FA"/>
    <w:rsid w:val="07A12501"/>
    <w:rsid w:val="07A174CB"/>
    <w:rsid w:val="07A2040D"/>
    <w:rsid w:val="07A235C0"/>
    <w:rsid w:val="07A244F4"/>
    <w:rsid w:val="07A274C7"/>
    <w:rsid w:val="07A31138"/>
    <w:rsid w:val="07A31495"/>
    <w:rsid w:val="07A342BD"/>
    <w:rsid w:val="07A34FF1"/>
    <w:rsid w:val="07A3598B"/>
    <w:rsid w:val="07A41E5B"/>
    <w:rsid w:val="07A5520D"/>
    <w:rsid w:val="07A56FBB"/>
    <w:rsid w:val="07A572D3"/>
    <w:rsid w:val="07A62D33"/>
    <w:rsid w:val="07A631C3"/>
    <w:rsid w:val="07A64161"/>
    <w:rsid w:val="07A64514"/>
    <w:rsid w:val="07A64579"/>
    <w:rsid w:val="07A64AE1"/>
    <w:rsid w:val="07A65547"/>
    <w:rsid w:val="07A6595E"/>
    <w:rsid w:val="07A66242"/>
    <w:rsid w:val="07A67A39"/>
    <w:rsid w:val="07A710C6"/>
    <w:rsid w:val="07A7285C"/>
    <w:rsid w:val="07A73C2E"/>
    <w:rsid w:val="07A772C7"/>
    <w:rsid w:val="07A817AD"/>
    <w:rsid w:val="07A85B41"/>
    <w:rsid w:val="07A86AAB"/>
    <w:rsid w:val="07A915DC"/>
    <w:rsid w:val="07A91E2A"/>
    <w:rsid w:val="07AA085B"/>
    <w:rsid w:val="07AA4D27"/>
    <w:rsid w:val="07AA637F"/>
    <w:rsid w:val="07AA665C"/>
    <w:rsid w:val="07AA6C9E"/>
    <w:rsid w:val="07AA7346"/>
    <w:rsid w:val="07AA756C"/>
    <w:rsid w:val="07AB012E"/>
    <w:rsid w:val="07AB20F7"/>
    <w:rsid w:val="07AB27D9"/>
    <w:rsid w:val="07AB3D16"/>
    <w:rsid w:val="07AB51DD"/>
    <w:rsid w:val="07AC215A"/>
    <w:rsid w:val="07AC2999"/>
    <w:rsid w:val="07AC3908"/>
    <w:rsid w:val="07AC60B9"/>
    <w:rsid w:val="07AD0874"/>
    <w:rsid w:val="07AD1802"/>
    <w:rsid w:val="07AD2313"/>
    <w:rsid w:val="07AD40C1"/>
    <w:rsid w:val="07AD418F"/>
    <w:rsid w:val="07AD5822"/>
    <w:rsid w:val="07AD5E6F"/>
    <w:rsid w:val="07AD6D60"/>
    <w:rsid w:val="07AD78D2"/>
    <w:rsid w:val="07AE2486"/>
    <w:rsid w:val="07AE78DB"/>
    <w:rsid w:val="07AF1680"/>
    <w:rsid w:val="07AF1BE8"/>
    <w:rsid w:val="07AF3996"/>
    <w:rsid w:val="07AF3D02"/>
    <w:rsid w:val="07AF42B1"/>
    <w:rsid w:val="07AF58FD"/>
    <w:rsid w:val="07AF675A"/>
    <w:rsid w:val="07AF7E35"/>
    <w:rsid w:val="07AF7E3A"/>
    <w:rsid w:val="07B057E2"/>
    <w:rsid w:val="07B05960"/>
    <w:rsid w:val="07B06AE1"/>
    <w:rsid w:val="07B0770E"/>
    <w:rsid w:val="07B172BF"/>
    <w:rsid w:val="07B17871"/>
    <w:rsid w:val="07B216A1"/>
    <w:rsid w:val="07B216D8"/>
    <w:rsid w:val="07B23486"/>
    <w:rsid w:val="07B24D1C"/>
    <w:rsid w:val="07B2792A"/>
    <w:rsid w:val="07B40310"/>
    <w:rsid w:val="07B4069E"/>
    <w:rsid w:val="07B407BE"/>
    <w:rsid w:val="07B40FAC"/>
    <w:rsid w:val="07B436A2"/>
    <w:rsid w:val="07B471FE"/>
    <w:rsid w:val="07B47C39"/>
    <w:rsid w:val="07B50797"/>
    <w:rsid w:val="07B534C8"/>
    <w:rsid w:val="07B545C1"/>
    <w:rsid w:val="07B611C8"/>
    <w:rsid w:val="07B63158"/>
    <w:rsid w:val="07B66982"/>
    <w:rsid w:val="07B70A9C"/>
    <w:rsid w:val="07B70D8C"/>
    <w:rsid w:val="07B7139D"/>
    <w:rsid w:val="07B80704"/>
    <w:rsid w:val="07B812A2"/>
    <w:rsid w:val="07B828EE"/>
    <w:rsid w:val="07B8535C"/>
    <w:rsid w:val="07B90B76"/>
    <w:rsid w:val="07B92A66"/>
    <w:rsid w:val="07B94814"/>
    <w:rsid w:val="07B94E60"/>
    <w:rsid w:val="07B96228"/>
    <w:rsid w:val="07B971AC"/>
    <w:rsid w:val="07BA2A31"/>
    <w:rsid w:val="07BA3C1C"/>
    <w:rsid w:val="07BB058C"/>
    <w:rsid w:val="07BB110B"/>
    <w:rsid w:val="07BC0CCF"/>
    <w:rsid w:val="07BC1D87"/>
    <w:rsid w:val="07BC2323"/>
    <w:rsid w:val="07BC4304"/>
    <w:rsid w:val="07BD18C5"/>
    <w:rsid w:val="07BD4FF0"/>
    <w:rsid w:val="07BD5A42"/>
    <w:rsid w:val="07BD6D6B"/>
    <w:rsid w:val="07BD6F20"/>
    <w:rsid w:val="07BE1471"/>
    <w:rsid w:val="07BE2A67"/>
    <w:rsid w:val="07BE3B5E"/>
    <w:rsid w:val="07BE56A8"/>
    <w:rsid w:val="07BE62CF"/>
    <w:rsid w:val="07BE7D13"/>
    <w:rsid w:val="07BF0365"/>
    <w:rsid w:val="07BF0E84"/>
    <w:rsid w:val="07BF63C9"/>
    <w:rsid w:val="07C02047"/>
    <w:rsid w:val="07C02605"/>
    <w:rsid w:val="07C03DF5"/>
    <w:rsid w:val="07C05BA3"/>
    <w:rsid w:val="07C131C1"/>
    <w:rsid w:val="07C136C9"/>
    <w:rsid w:val="07C17257"/>
    <w:rsid w:val="07C21ACF"/>
    <w:rsid w:val="07C24F50"/>
    <w:rsid w:val="07C27AF6"/>
    <w:rsid w:val="07C30A11"/>
    <w:rsid w:val="07C34CB8"/>
    <w:rsid w:val="07C3673C"/>
    <w:rsid w:val="07C37441"/>
    <w:rsid w:val="07C43B41"/>
    <w:rsid w:val="07C44C0C"/>
    <w:rsid w:val="07C50BEF"/>
    <w:rsid w:val="07C50D60"/>
    <w:rsid w:val="07C5140B"/>
    <w:rsid w:val="07C52F65"/>
    <w:rsid w:val="07C531B9"/>
    <w:rsid w:val="07C54603"/>
    <w:rsid w:val="07C5469E"/>
    <w:rsid w:val="07C5765D"/>
    <w:rsid w:val="07C612EE"/>
    <w:rsid w:val="07C61F00"/>
    <w:rsid w:val="07C66221"/>
    <w:rsid w:val="07C66F31"/>
    <w:rsid w:val="07C7294F"/>
    <w:rsid w:val="07C73860"/>
    <w:rsid w:val="07C75183"/>
    <w:rsid w:val="07C76200"/>
    <w:rsid w:val="07C7738D"/>
    <w:rsid w:val="07C81595"/>
    <w:rsid w:val="07C83968"/>
    <w:rsid w:val="07C84A57"/>
    <w:rsid w:val="07C96789"/>
    <w:rsid w:val="07CA07CF"/>
    <w:rsid w:val="07CA08B1"/>
    <w:rsid w:val="07CA1257"/>
    <w:rsid w:val="07CA6288"/>
    <w:rsid w:val="07CA6830"/>
    <w:rsid w:val="07CB1548"/>
    <w:rsid w:val="07CB254A"/>
    <w:rsid w:val="07CB4548"/>
    <w:rsid w:val="07CB6D71"/>
    <w:rsid w:val="07CB7718"/>
    <w:rsid w:val="07CC09EB"/>
    <w:rsid w:val="07CC279A"/>
    <w:rsid w:val="07CC3861"/>
    <w:rsid w:val="07CC59A7"/>
    <w:rsid w:val="07CC6137"/>
    <w:rsid w:val="07CD0153"/>
    <w:rsid w:val="07CD1E0E"/>
    <w:rsid w:val="07CD206E"/>
    <w:rsid w:val="07CD25CC"/>
    <w:rsid w:val="07CD35D4"/>
    <w:rsid w:val="07CD4764"/>
    <w:rsid w:val="07CE624C"/>
    <w:rsid w:val="07CF14A3"/>
    <w:rsid w:val="07CF4741"/>
    <w:rsid w:val="07CF5426"/>
    <w:rsid w:val="07CF5DE6"/>
    <w:rsid w:val="07CF6D92"/>
    <w:rsid w:val="07CF7529"/>
    <w:rsid w:val="07D008E5"/>
    <w:rsid w:val="07D064F9"/>
    <w:rsid w:val="07D11D88"/>
    <w:rsid w:val="07D14441"/>
    <w:rsid w:val="07D14D06"/>
    <w:rsid w:val="07D16002"/>
    <w:rsid w:val="07D16222"/>
    <w:rsid w:val="07D1698C"/>
    <w:rsid w:val="07D17055"/>
    <w:rsid w:val="07D20D1A"/>
    <w:rsid w:val="07D22B47"/>
    <w:rsid w:val="07D232AD"/>
    <w:rsid w:val="07D23B28"/>
    <w:rsid w:val="07D24F8D"/>
    <w:rsid w:val="07D258D6"/>
    <w:rsid w:val="07D315FF"/>
    <w:rsid w:val="07D35EAA"/>
    <w:rsid w:val="07D36A15"/>
    <w:rsid w:val="07D36A40"/>
    <w:rsid w:val="07D40E50"/>
    <w:rsid w:val="07D4100C"/>
    <w:rsid w:val="07D4164E"/>
    <w:rsid w:val="07D433FC"/>
    <w:rsid w:val="07D4733A"/>
    <w:rsid w:val="07D478A0"/>
    <w:rsid w:val="07D505B1"/>
    <w:rsid w:val="07D51382"/>
    <w:rsid w:val="07D552A9"/>
    <w:rsid w:val="07D55A41"/>
    <w:rsid w:val="07D56EA5"/>
    <w:rsid w:val="07D57174"/>
    <w:rsid w:val="07D608AC"/>
    <w:rsid w:val="07D63618"/>
    <w:rsid w:val="07D653C6"/>
    <w:rsid w:val="07D670E4"/>
    <w:rsid w:val="07D7113E"/>
    <w:rsid w:val="07D72EEC"/>
    <w:rsid w:val="07D76F28"/>
    <w:rsid w:val="07D77390"/>
    <w:rsid w:val="07D80229"/>
    <w:rsid w:val="07D80D7E"/>
    <w:rsid w:val="07D82E89"/>
    <w:rsid w:val="07D90561"/>
    <w:rsid w:val="07D93108"/>
    <w:rsid w:val="07D9698F"/>
    <w:rsid w:val="07D9788C"/>
    <w:rsid w:val="07DA58D7"/>
    <w:rsid w:val="07DB0C2F"/>
    <w:rsid w:val="07DB1DF1"/>
    <w:rsid w:val="07DB29DD"/>
    <w:rsid w:val="07DB3B18"/>
    <w:rsid w:val="07DB4313"/>
    <w:rsid w:val="07DB52C3"/>
    <w:rsid w:val="07DB720D"/>
    <w:rsid w:val="07DC0503"/>
    <w:rsid w:val="07DC088A"/>
    <w:rsid w:val="07DC6755"/>
    <w:rsid w:val="07DC6A12"/>
    <w:rsid w:val="07DD0B18"/>
    <w:rsid w:val="07DD1E4E"/>
    <w:rsid w:val="07DD3520"/>
    <w:rsid w:val="07DE071F"/>
    <w:rsid w:val="07DE2FBD"/>
    <w:rsid w:val="07DE427B"/>
    <w:rsid w:val="07DF12F8"/>
    <w:rsid w:val="07DF2BCB"/>
    <w:rsid w:val="07DF35D7"/>
    <w:rsid w:val="07DF4459"/>
    <w:rsid w:val="07DF4652"/>
    <w:rsid w:val="07DF7DAA"/>
    <w:rsid w:val="07E00A0F"/>
    <w:rsid w:val="07E01F7F"/>
    <w:rsid w:val="07E02963"/>
    <w:rsid w:val="07E02976"/>
    <w:rsid w:val="07E04497"/>
    <w:rsid w:val="07E06D14"/>
    <w:rsid w:val="07E07FF3"/>
    <w:rsid w:val="07E1307F"/>
    <w:rsid w:val="07E13D6B"/>
    <w:rsid w:val="07E1465F"/>
    <w:rsid w:val="07E31891"/>
    <w:rsid w:val="07E32325"/>
    <w:rsid w:val="07E33B03"/>
    <w:rsid w:val="07E35D35"/>
    <w:rsid w:val="07E42913"/>
    <w:rsid w:val="07E4303B"/>
    <w:rsid w:val="07E433CB"/>
    <w:rsid w:val="07E45F87"/>
    <w:rsid w:val="07E51AAD"/>
    <w:rsid w:val="07E52E90"/>
    <w:rsid w:val="07E530CD"/>
    <w:rsid w:val="07E55609"/>
    <w:rsid w:val="07E61381"/>
    <w:rsid w:val="07E6312F"/>
    <w:rsid w:val="07E64191"/>
    <w:rsid w:val="07E70318"/>
    <w:rsid w:val="07E757B0"/>
    <w:rsid w:val="07E77E9C"/>
    <w:rsid w:val="07E8334B"/>
    <w:rsid w:val="07E85081"/>
    <w:rsid w:val="07E85FE1"/>
    <w:rsid w:val="07E92C71"/>
    <w:rsid w:val="07E953EA"/>
    <w:rsid w:val="07E96A3E"/>
    <w:rsid w:val="07E97299"/>
    <w:rsid w:val="07EA0E72"/>
    <w:rsid w:val="07EA2C20"/>
    <w:rsid w:val="07EA411C"/>
    <w:rsid w:val="07EA42D2"/>
    <w:rsid w:val="07EA63CB"/>
    <w:rsid w:val="07EA6448"/>
    <w:rsid w:val="07EB0A83"/>
    <w:rsid w:val="07EB277B"/>
    <w:rsid w:val="07EC0307"/>
    <w:rsid w:val="07EC1585"/>
    <w:rsid w:val="07EC2E3C"/>
    <w:rsid w:val="07EC4BEA"/>
    <w:rsid w:val="07EC6998"/>
    <w:rsid w:val="07EC6A51"/>
    <w:rsid w:val="07ED16CD"/>
    <w:rsid w:val="07ED41F3"/>
    <w:rsid w:val="07ED634D"/>
    <w:rsid w:val="07EE0C5B"/>
    <w:rsid w:val="07EE4FCC"/>
    <w:rsid w:val="07EE5683"/>
    <w:rsid w:val="07EE6B6F"/>
    <w:rsid w:val="07EF1CB4"/>
    <w:rsid w:val="07EF2BC7"/>
    <w:rsid w:val="07EF3A2F"/>
    <w:rsid w:val="07EF46DA"/>
    <w:rsid w:val="07EF524A"/>
    <w:rsid w:val="07EF6488"/>
    <w:rsid w:val="07EF79F0"/>
    <w:rsid w:val="07EF7AAA"/>
    <w:rsid w:val="07F044FE"/>
    <w:rsid w:val="07F060FD"/>
    <w:rsid w:val="07F10452"/>
    <w:rsid w:val="07F1082B"/>
    <w:rsid w:val="07F13DD0"/>
    <w:rsid w:val="07F13FAE"/>
    <w:rsid w:val="07F169B2"/>
    <w:rsid w:val="07F20D91"/>
    <w:rsid w:val="07F2174B"/>
    <w:rsid w:val="07F237D6"/>
    <w:rsid w:val="07F26A06"/>
    <w:rsid w:val="07F26E51"/>
    <w:rsid w:val="07F30E87"/>
    <w:rsid w:val="07F31726"/>
    <w:rsid w:val="07F36BE9"/>
    <w:rsid w:val="07F41637"/>
    <w:rsid w:val="07F4584C"/>
    <w:rsid w:val="07F479A3"/>
    <w:rsid w:val="07F51244"/>
    <w:rsid w:val="07F51FD6"/>
    <w:rsid w:val="07F54F0C"/>
    <w:rsid w:val="07F605C6"/>
    <w:rsid w:val="07F615C4"/>
    <w:rsid w:val="07F65A68"/>
    <w:rsid w:val="07F67816"/>
    <w:rsid w:val="07F7358F"/>
    <w:rsid w:val="07F83BB2"/>
    <w:rsid w:val="07F857AE"/>
    <w:rsid w:val="07F85EE5"/>
    <w:rsid w:val="07F908AA"/>
    <w:rsid w:val="07F910B5"/>
    <w:rsid w:val="07F933E3"/>
    <w:rsid w:val="07F95559"/>
    <w:rsid w:val="07F964E8"/>
    <w:rsid w:val="07F9658E"/>
    <w:rsid w:val="07F968F9"/>
    <w:rsid w:val="07FA1DC8"/>
    <w:rsid w:val="07FA255B"/>
    <w:rsid w:val="07FA7C88"/>
    <w:rsid w:val="07FB115B"/>
    <w:rsid w:val="07FB307F"/>
    <w:rsid w:val="07FB4E2D"/>
    <w:rsid w:val="07FC19FB"/>
    <w:rsid w:val="07FC2953"/>
    <w:rsid w:val="07FC3961"/>
    <w:rsid w:val="07FC59C4"/>
    <w:rsid w:val="07FC5CF6"/>
    <w:rsid w:val="07FD1FF2"/>
    <w:rsid w:val="07FD5B00"/>
    <w:rsid w:val="07FD6DF7"/>
    <w:rsid w:val="07FD74AE"/>
    <w:rsid w:val="07FE5178"/>
    <w:rsid w:val="07FE66CB"/>
    <w:rsid w:val="07FF37CD"/>
    <w:rsid w:val="07FF44A5"/>
    <w:rsid w:val="07FF4EC7"/>
    <w:rsid w:val="07FF7493"/>
    <w:rsid w:val="08000695"/>
    <w:rsid w:val="08000B89"/>
    <w:rsid w:val="08002443"/>
    <w:rsid w:val="08004A44"/>
    <w:rsid w:val="080055BD"/>
    <w:rsid w:val="08006357"/>
    <w:rsid w:val="08007A98"/>
    <w:rsid w:val="08010F28"/>
    <w:rsid w:val="080144FA"/>
    <w:rsid w:val="08017F69"/>
    <w:rsid w:val="08020B32"/>
    <w:rsid w:val="080261BB"/>
    <w:rsid w:val="08027CFC"/>
    <w:rsid w:val="08027F18"/>
    <w:rsid w:val="08030185"/>
    <w:rsid w:val="08031F33"/>
    <w:rsid w:val="0803371E"/>
    <w:rsid w:val="08036419"/>
    <w:rsid w:val="080432B0"/>
    <w:rsid w:val="08046165"/>
    <w:rsid w:val="08047474"/>
    <w:rsid w:val="08050761"/>
    <w:rsid w:val="08052C30"/>
    <w:rsid w:val="08053EFD"/>
    <w:rsid w:val="08055CAB"/>
    <w:rsid w:val="08060567"/>
    <w:rsid w:val="080622D9"/>
    <w:rsid w:val="08064057"/>
    <w:rsid w:val="08065709"/>
    <w:rsid w:val="08073659"/>
    <w:rsid w:val="080754D0"/>
    <w:rsid w:val="080812F8"/>
    <w:rsid w:val="0808479E"/>
    <w:rsid w:val="08084AD3"/>
    <w:rsid w:val="0808579C"/>
    <w:rsid w:val="08086EC1"/>
    <w:rsid w:val="0808754A"/>
    <w:rsid w:val="08094DF9"/>
    <w:rsid w:val="08096667"/>
    <w:rsid w:val="080A038E"/>
    <w:rsid w:val="080A32C2"/>
    <w:rsid w:val="080B16E4"/>
    <w:rsid w:val="080B2A94"/>
    <w:rsid w:val="080B2B96"/>
    <w:rsid w:val="080B4F75"/>
    <w:rsid w:val="080B52FB"/>
    <w:rsid w:val="080B71FB"/>
    <w:rsid w:val="080C0DE8"/>
    <w:rsid w:val="080C447A"/>
    <w:rsid w:val="080C4E03"/>
    <w:rsid w:val="080C528C"/>
    <w:rsid w:val="080C7022"/>
    <w:rsid w:val="080D0F7B"/>
    <w:rsid w:val="080D2DB2"/>
    <w:rsid w:val="080D66EB"/>
    <w:rsid w:val="080D690E"/>
    <w:rsid w:val="080D7397"/>
    <w:rsid w:val="080E34DA"/>
    <w:rsid w:val="080E6002"/>
    <w:rsid w:val="080E72F3"/>
    <w:rsid w:val="080F08D8"/>
    <w:rsid w:val="080F2686"/>
    <w:rsid w:val="080F6B2A"/>
    <w:rsid w:val="081000FC"/>
    <w:rsid w:val="08100C80"/>
    <w:rsid w:val="08105E4C"/>
    <w:rsid w:val="08106F41"/>
    <w:rsid w:val="0810758D"/>
    <w:rsid w:val="08110BA6"/>
    <w:rsid w:val="0811119F"/>
    <w:rsid w:val="081125D0"/>
    <w:rsid w:val="081128A2"/>
    <w:rsid w:val="0811495C"/>
    <w:rsid w:val="08115AB5"/>
    <w:rsid w:val="08116338"/>
    <w:rsid w:val="081163FE"/>
    <w:rsid w:val="08121F1C"/>
    <w:rsid w:val="08124E0F"/>
    <w:rsid w:val="08125D1B"/>
    <w:rsid w:val="081262DD"/>
    <w:rsid w:val="081303C8"/>
    <w:rsid w:val="08131A86"/>
    <w:rsid w:val="081354B2"/>
    <w:rsid w:val="0813652D"/>
    <w:rsid w:val="081433A9"/>
    <w:rsid w:val="08143775"/>
    <w:rsid w:val="08145304"/>
    <w:rsid w:val="0815403B"/>
    <w:rsid w:val="08160A41"/>
    <w:rsid w:val="08161C67"/>
    <w:rsid w:val="08163A15"/>
    <w:rsid w:val="08164763"/>
    <w:rsid w:val="08167EB9"/>
    <w:rsid w:val="08172F25"/>
    <w:rsid w:val="08176CAB"/>
    <w:rsid w:val="081810D1"/>
    <w:rsid w:val="08183C31"/>
    <w:rsid w:val="081859DF"/>
    <w:rsid w:val="0819094C"/>
    <w:rsid w:val="081948F7"/>
    <w:rsid w:val="081952B3"/>
    <w:rsid w:val="081A063F"/>
    <w:rsid w:val="081A1818"/>
    <w:rsid w:val="081A1ACF"/>
    <w:rsid w:val="081A3E11"/>
    <w:rsid w:val="081A6881"/>
    <w:rsid w:val="081A6EFA"/>
    <w:rsid w:val="081A714D"/>
    <w:rsid w:val="081B102B"/>
    <w:rsid w:val="081B727D"/>
    <w:rsid w:val="081B76D3"/>
    <w:rsid w:val="081C0E84"/>
    <w:rsid w:val="081C3E1B"/>
    <w:rsid w:val="081C4DA3"/>
    <w:rsid w:val="081C7464"/>
    <w:rsid w:val="081D1247"/>
    <w:rsid w:val="081D1B11"/>
    <w:rsid w:val="081D4EC3"/>
    <w:rsid w:val="081D7CD2"/>
    <w:rsid w:val="081E0A8C"/>
    <w:rsid w:val="081E1F0B"/>
    <w:rsid w:val="081E4FBF"/>
    <w:rsid w:val="081E6A91"/>
    <w:rsid w:val="081E6D6D"/>
    <w:rsid w:val="081F64C2"/>
    <w:rsid w:val="081F79FF"/>
    <w:rsid w:val="08200C90"/>
    <w:rsid w:val="082025BC"/>
    <w:rsid w:val="08206641"/>
    <w:rsid w:val="08211DD0"/>
    <w:rsid w:val="08212B34"/>
    <w:rsid w:val="08213D21"/>
    <w:rsid w:val="0821701E"/>
    <w:rsid w:val="08217DB3"/>
    <w:rsid w:val="0822045F"/>
    <w:rsid w:val="082219A2"/>
    <w:rsid w:val="082223BA"/>
    <w:rsid w:val="0822620E"/>
    <w:rsid w:val="082262A8"/>
    <w:rsid w:val="0822644B"/>
    <w:rsid w:val="08232E32"/>
    <w:rsid w:val="08233C52"/>
    <w:rsid w:val="08236132"/>
    <w:rsid w:val="082420BC"/>
    <w:rsid w:val="082425D6"/>
    <w:rsid w:val="082459F2"/>
    <w:rsid w:val="08245D26"/>
    <w:rsid w:val="08246304"/>
    <w:rsid w:val="082521FA"/>
    <w:rsid w:val="082532CE"/>
    <w:rsid w:val="082539F8"/>
    <w:rsid w:val="08253C58"/>
    <w:rsid w:val="08253FEF"/>
    <w:rsid w:val="08254941"/>
    <w:rsid w:val="08254CFF"/>
    <w:rsid w:val="0825634E"/>
    <w:rsid w:val="08256A1B"/>
    <w:rsid w:val="08262763"/>
    <w:rsid w:val="0826713C"/>
    <w:rsid w:val="08272D5A"/>
    <w:rsid w:val="082731DB"/>
    <w:rsid w:val="082737E0"/>
    <w:rsid w:val="08277659"/>
    <w:rsid w:val="08281142"/>
    <w:rsid w:val="0828199A"/>
    <w:rsid w:val="08283748"/>
    <w:rsid w:val="08285910"/>
    <w:rsid w:val="08287A78"/>
    <w:rsid w:val="08294B8F"/>
    <w:rsid w:val="08296DEC"/>
    <w:rsid w:val="08297BEC"/>
    <w:rsid w:val="082A15C4"/>
    <w:rsid w:val="082A2CAB"/>
    <w:rsid w:val="082A6C57"/>
    <w:rsid w:val="082B4195"/>
    <w:rsid w:val="082B604B"/>
    <w:rsid w:val="082B6DBA"/>
    <w:rsid w:val="082B75AB"/>
    <w:rsid w:val="082C0C04"/>
    <w:rsid w:val="082C148A"/>
    <w:rsid w:val="082C3238"/>
    <w:rsid w:val="082C38CE"/>
    <w:rsid w:val="082C4FE6"/>
    <w:rsid w:val="082D0D5E"/>
    <w:rsid w:val="082D6FB0"/>
    <w:rsid w:val="082E00C9"/>
    <w:rsid w:val="082E2BFC"/>
    <w:rsid w:val="082E67AD"/>
    <w:rsid w:val="082E6942"/>
    <w:rsid w:val="082E725B"/>
    <w:rsid w:val="082F0CCC"/>
    <w:rsid w:val="082F0F7A"/>
    <w:rsid w:val="082F10F3"/>
    <w:rsid w:val="082F13D5"/>
    <w:rsid w:val="082F1879"/>
    <w:rsid w:val="082F299B"/>
    <w:rsid w:val="082F30B8"/>
    <w:rsid w:val="082F566C"/>
    <w:rsid w:val="082F6BAA"/>
    <w:rsid w:val="0830205A"/>
    <w:rsid w:val="0831084F"/>
    <w:rsid w:val="08311049"/>
    <w:rsid w:val="083150A0"/>
    <w:rsid w:val="083168C6"/>
    <w:rsid w:val="08316AA1"/>
    <w:rsid w:val="08324400"/>
    <w:rsid w:val="08324937"/>
    <w:rsid w:val="08327D56"/>
    <w:rsid w:val="08330F95"/>
    <w:rsid w:val="0833276A"/>
    <w:rsid w:val="08332A11"/>
    <w:rsid w:val="08334D11"/>
    <w:rsid w:val="08336531"/>
    <w:rsid w:val="083370D5"/>
    <w:rsid w:val="08341E41"/>
    <w:rsid w:val="083420ED"/>
    <w:rsid w:val="0834342B"/>
    <w:rsid w:val="08351919"/>
    <w:rsid w:val="083543BB"/>
    <w:rsid w:val="0835461B"/>
    <w:rsid w:val="08361144"/>
    <w:rsid w:val="08362309"/>
    <w:rsid w:val="083640B7"/>
    <w:rsid w:val="083659F2"/>
    <w:rsid w:val="08365A2B"/>
    <w:rsid w:val="08367AFD"/>
    <w:rsid w:val="08371838"/>
    <w:rsid w:val="08372040"/>
    <w:rsid w:val="08373232"/>
    <w:rsid w:val="0837398B"/>
    <w:rsid w:val="08374495"/>
    <w:rsid w:val="083823E4"/>
    <w:rsid w:val="08383BC8"/>
    <w:rsid w:val="08383DFB"/>
    <w:rsid w:val="08387E2F"/>
    <w:rsid w:val="08392501"/>
    <w:rsid w:val="08392C91"/>
    <w:rsid w:val="08394BDF"/>
    <w:rsid w:val="08395259"/>
    <w:rsid w:val="08397703"/>
    <w:rsid w:val="083A27B3"/>
    <w:rsid w:val="083B0DF1"/>
    <w:rsid w:val="083B16CD"/>
    <w:rsid w:val="083B2557"/>
    <w:rsid w:val="083B3402"/>
    <w:rsid w:val="083B347B"/>
    <w:rsid w:val="083B4C28"/>
    <w:rsid w:val="083B6F5A"/>
    <w:rsid w:val="083B791F"/>
    <w:rsid w:val="083C1274"/>
    <w:rsid w:val="083C4C98"/>
    <w:rsid w:val="083D1C96"/>
    <w:rsid w:val="083D41D0"/>
    <w:rsid w:val="083D4E69"/>
    <w:rsid w:val="083D4E88"/>
    <w:rsid w:val="083D6CA2"/>
    <w:rsid w:val="083D71F3"/>
    <w:rsid w:val="083E11BD"/>
    <w:rsid w:val="083E2F6B"/>
    <w:rsid w:val="083E3E84"/>
    <w:rsid w:val="083E4010"/>
    <w:rsid w:val="083E434F"/>
    <w:rsid w:val="083E7B64"/>
    <w:rsid w:val="083F0ECA"/>
    <w:rsid w:val="083F2F88"/>
    <w:rsid w:val="083F69E2"/>
    <w:rsid w:val="08403200"/>
    <w:rsid w:val="084037EA"/>
    <w:rsid w:val="08406CE4"/>
    <w:rsid w:val="08407FB5"/>
    <w:rsid w:val="08410A88"/>
    <w:rsid w:val="08411155"/>
    <w:rsid w:val="084116C3"/>
    <w:rsid w:val="08413426"/>
    <w:rsid w:val="0841649A"/>
    <w:rsid w:val="08420F53"/>
    <w:rsid w:val="0842402E"/>
    <w:rsid w:val="0842480A"/>
    <w:rsid w:val="0842784B"/>
    <w:rsid w:val="08430582"/>
    <w:rsid w:val="0843241C"/>
    <w:rsid w:val="08432CD7"/>
    <w:rsid w:val="084338AC"/>
    <w:rsid w:val="08433DA6"/>
    <w:rsid w:val="084367D4"/>
    <w:rsid w:val="08437748"/>
    <w:rsid w:val="08444A26"/>
    <w:rsid w:val="084464A2"/>
    <w:rsid w:val="0845254C"/>
    <w:rsid w:val="08452566"/>
    <w:rsid w:val="08452F2B"/>
    <w:rsid w:val="084560A8"/>
    <w:rsid w:val="08461F7E"/>
    <w:rsid w:val="0846287B"/>
    <w:rsid w:val="08464171"/>
    <w:rsid w:val="08470072"/>
    <w:rsid w:val="08470AEB"/>
    <w:rsid w:val="0847222C"/>
    <w:rsid w:val="0847414E"/>
    <w:rsid w:val="0847661D"/>
    <w:rsid w:val="084834CF"/>
    <w:rsid w:val="08485B98"/>
    <w:rsid w:val="084908A6"/>
    <w:rsid w:val="0849203C"/>
    <w:rsid w:val="08492B44"/>
    <w:rsid w:val="08493DEA"/>
    <w:rsid w:val="0849410E"/>
    <w:rsid w:val="08494EEB"/>
    <w:rsid w:val="084969E1"/>
    <w:rsid w:val="08496D97"/>
    <w:rsid w:val="084A2220"/>
    <w:rsid w:val="084A278C"/>
    <w:rsid w:val="084C34CD"/>
    <w:rsid w:val="084C38DA"/>
    <w:rsid w:val="084C5688"/>
    <w:rsid w:val="084C7436"/>
    <w:rsid w:val="084D1CF0"/>
    <w:rsid w:val="084E0A54"/>
    <w:rsid w:val="084E1401"/>
    <w:rsid w:val="084E1AF7"/>
    <w:rsid w:val="084E1CF1"/>
    <w:rsid w:val="084E28CF"/>
    <w:rsid w:val="084E7652"/>
    <w:rsid w:val="084F2012"/>
    <w:rsid w:val="084F33CB"/>
    <w:rsid w:val="084F5179"/>
    <w:rsid w:val="084F5B93"/>
    <w:rsid w:val="084F5EBD"/>
    <w:rsid w:val="08500630"/>
    <w:rsid w:val="08501053"/>
    <w:rsid w:val="08502DB0"/>
    <w:rsid w:val="08504872"/>
    <w:rsid w:val="08504E10"/>
    <w:rsid w:val="085054ED"/>
    <w:rsid w:val="08507D49"/>
    <w:rsid w:val="085135C4"/>
    <w:rsid w:val="08514A4D"/>
    <w:rsid w:val="085207C5"/>
    <w:rsid w:val="08520FAA"/>
    <w:rsid w:val="08522B61"/>
    <w:rsid w:val="08526292"/>
    <w:rsid w:val="08527800"/>
    <w:rsid w:val="085307CF"/>
    <w:rsid w:val="0853275F"/>
    <w:rsid w:val="08534915"/>
    <w:rsid w:val="08534C69"/>
    <w:rsid w:val="0854099D"/>
    <w:rsid w:val="08541C5F"/>
    <w:rsid w:val="08544830"/>
    <w:rsid w:val="085530EF"/>
    <w:rsid w:val="08554644"/>
    <w:rsid w:val="085563A4"/>
    <w:rsid w:val="08564BF9"/>
    <w:rsid w:val="08566507"/>
    <w:rsid w:val="08567150"/>
    <w:rsid w:val="0857345F"/>
    <w:rsid w:val="085749F2"/>
    <w:rsid w:val="0858227F"/>
    <w:rsid w:val="08582F22"/>
    <w:rsid w:val="085831B1"/>
    <w:rsid w:val="08587E91"/>
    <w:rsid w:val="08591B53"/>
    <w:rsid w:val="085920D9"/>
    <w:rsid w:val="085926D0"/>
    <w:rsid w:val="085968D8"/>
    <w:rsid w:val="08597DA5"/>
    <w:rsid w:val="085A5369"/>
    <w:rsid w:val="085A58DB"/>
    <w:rsid w:val="085B0CC9"/>
    <w:rsid w:val="085B1B32"/>
    <w:rsid w:val="085B3A6B"/>
    <w:rsid w:val="085B3B1D"/>
    <w:rsid w:val="085B58CB"/>
    <w:rsid w:val="085B7732"/>
    <w:rsid w:val="085C2FC2"/>
    <w:rsid w:val="085D3940"/>
    <w:rsid w:val="085D7896"/>
    <w:rsid w:val="085D7E4F"/>
    <w:rsid w:val="085D7F31"/>
    <w:rsid w:val="085E27A9"/>
    <w:rsid w:val="085F7811"/>
    <w:rsid w:val="08601134"/>
    <w:rsid w:val="086029FE"/>
    <w:rsid w:val="08602EE2"/>
    <w:rsid w:val="08605623"/>
    <w:rsid w:val="08605EF8"/>
    <w:rsid w:val="08607386"/>
    <w:rsid w:val="08614FB2"/>
    <w:rsid w:val="086230FE"/>
    <w:rsid w:val="0862396A"/>
    <w:rsid w:val="08623A79"/>
    <w:rsid w:val="086256F3"/>
    <w:rsid w:val="08626C5A"/>
    <w:rsid w:val="08633291"/>
    <w:rsid w:val="086336D8"/>
    <w:rsid w:val="08634553"/>
    <w:rsid w:val="08634780"/>
    <w:rsid w:val="08636110"/>
    <w:rsid w:val="086369DB"/>
    <w:rsid w:val="08636BD2"/>
    <w:rsid w:val="08640C24"/>
    <w:rsid w:val="0864512D"/>
    <w:rsid w:val="08646E76"/>
    <w:rsid w:val="08654D2A"/>
    <w:rsid w:val="08655099"/>
    <w:rsid w:val="08662206"/>
    <w:rsid w:val="08662BC9"/>
    <w:rsid w:val="086700D5"/>
    <w:rsid w:val="08670714"/>
    <w:rsid w:val="086724C2"/>
    <w:rsid w:val="086741C8"/>
    <w:rsid w:val="08674270"/>
    <w:rsid w:val="0868035A"/>
    <w:rsid w:val="086803A0"/>
    <w:rsid w:val="08681565"/>
    <w:rsid w:val="08682CD0"/>
    <w:rsid w:val="08684F68"/>
    <w:rsid w:val="08686423"/>
    <w:rsid w:val="08686BC0"/>
    <w:rsid w:val="08691AF2"/>
    <w:rsid w:val="08694136"/>
    <w:rsid w:val="0869448C"/>
    <w:rsid w:val="08694A56"/>
    <w:rsid w:val="0869623A"/>
    <w:rsid w:val="086963CF"/>
    <w:rsid w:val="08696696"/>
    <w:rsid w:val="086A3880"/>
    <w:rsid w:val="086A3BF5"/>
    <w:rsid w:val="086A3D60"/>
    <w:rsid w:val="086A5584"/>
    <w:rsid w:val="086A5B0F"/>
    <w:rsid w:val="086B0B15"/>
    <w:rsid w:val="086B53FC"/>
    <w:rsid w:val="086B7012"/>
    <w:rsid w:val="086C07F3"/>
    <w:rsid w:val="086C1376"/>
    <w:rsid w:val="086C1887"/>
    <w:rsid w:val="086C2AB7"/>
    <w:rsid w:val="086C45F0"/>
    <w:rsid w:val="086C4B49"/>
    <w:rsid w:val="086C7AD9"/>
    <w:rsid w:val="086D3C0F"/>
    <w:rsid w:val="086D61BC"/>
    <w:rsid w:val="086E1AA3"/>
    <w:rsid w:val="086E3851"/>
    <w:rsid w:val="086E6507"/>
    <w:rsid w:val="086E661D"/>
    <w:rsid w:val="086E682C"/>
    <w:rsid w:val="086F1377"/>
    <w:rsid w:val="086F2937"/>
    <w:rsid w:val="086F33AE"/>
    <w:rsid w:val="086F5BFE"/>
    <w:rsid w:val="086F75C9"/>
    <w:rsid w:val="086F7DA8"/>
    <w:rsid w:val="08700B62"/>
    <w:rsid w:val="08701854"/>
    <w:rsid w:val="087028C8"/>
    <w:rsid w:val="0870581B"/>
    <w:rsid w:val="08707DB2"/>
    <w:rsid w:val="08713341"/>
    <w:rsid w:val="08713B22"/>
    <w:rsid w:val="08713E72"/>
    <w:rsid w:val="087150EF"/>
    <w:rsid w:val="08720D0B"/>
    <w:rsid w:val="08723AC6"/>
    <w:rsid w:val="08730E67"/>
    <w:rsid w:val="087322D1"/>
    <w:rsid w:val="087329ED"/>
    <w:rsid w:val="08733542"/>
    <w:rsid w:val="08734BA4"/>
    <w:rsid w:val="087370B9"/>
    <w:rsid w:val="087412FC"/>
    <w:rsid w:val="08741AFB"/>
    <w:rsid w:val="0874267C"/>
    <w:rsid w:val="087466C1"/>
    <w:rsid w:val="0874698D"/>
    <w:rsid w:val="08747B08"/>
    <w:rsid w:val="087521E8"/>
    <w:rsid w:val="087552AA"/>
    <w:rsid w:val="087566B7"/>
    <w:rsid w:val="08760783"/>
    <w:rsid w:val="08760957"/>
    <w:rsid w:val="08765D3C"/>
    <w:rsid w:val="08766BA9"/>
    <w:rsid w:val="08770AF2"/>
    <w:rsid w:val="087731A7"/>
    <w:rsid w:val="0878022B"/>
    <w:rsid w:val="0878105A"/>
    <w:rsid w:val="08783C2B"/>
    <w:rsid w:val="0878647D"/>
    <w:rsid w:val="087876F7"/>
    <w:rsid w:val="087911A9"/>
    <w:rsid w:val="08793FA4"/>
    <w:rsid w:val="08794D17"/>
    <w:rsid w:val="087950BB"/>
    <w:rsid w:val="08797942"/>
    <w:rsid w:val="087A0447"/>
    <w:rsid w:val="087A1F1D"/>
    <w:rsid w:val="087B3B3C"/>
    <w:rsid w:val="087B41C0"/>
    <w:rsid w:val="087B4E0A"/>
    <w:rsid w:val="087B5D2B"/>
    <w:rsid w:val="087B5F6E"/>
    <w:rsid w:val="087B7D1C"/>
    <w:rsid w:val="087C111E"/>
    <w:rsid w:val="087C49DB"/>
    <w:rsid w:val="087C4D11"/>
    <w:rsid w:val="087D1CE6"/>
    <w:rsid w:val="087D22FB"/>
    <w:rsid w:val="087D3A94"/>
    <w:rsid w:val="087D7893"/>
    <w:rsid w:val="087E4ECC"/>
    <w:rsid w:val="087E6236"/>
    <w:rsid w:val="087F301C"/>
    <w:rsid w:val="087F43B6"/>
    <w:rsid w:val="087F559D"/>
    <w:rsid w:val="087F5A5E"/>
    <w:rsid w:val="087F7001"/>
    <w:rsid w:val="087F780C"/>
    <w:rsid w:val="087F7D77"/>
    <w:rsid w:val="088001CA"/>
    <w:rsid w:val="08801666"/>
    <w:rsid w:val="088017D6"/>
    <w:rsid w:val="088023BD"/>
    <w:rsid w:val="08803167"/>
    <w:rsid w:val="08803584"/>
    <w:rsid w:val="08805332"/>
    <w:rsid w:val="08805AEF"/>
    <w:rsid w:val="08806C28"/>
    <w:rsid w:val="0881210C"/>
    <w:rsid w:val="08813DDE"/>
    <w:rsid w:val="0881736A"/>
    <w:rsid w:val="0882092A"/>
    <w:rsid w:val="08820FDF"/>
    <w:rsid w:val="088210AA"/>
    <w:rsid w:val="088214F3"/>
    <w:rsid w:val="08821F69"/>
    <w:rsid w:val="0882700D"/>
    <w:rsid w:val="088304D7"/>
    <w:rsid w:val="0883616D"/>
    <w:rsid w:val="08845AE0"/>
    <w:rsid w:val="088465C5"/>
    <w:rsid w:val="088475FD"/>
    <w:rsid w:val="08850B9A"/>
    <w:rsid w:val="08850FAD"/>
    <w:rsid w:val="08852434"/>
    <w:rsid w:val="08852948"/>
    <w:rsid w:val="08854027"/>
    <w:rsid w:val="08856DEC"/>
    <w:rsid w:val="0886299F"/>
    <w:rsid w:val="08862E59"/>
    <w:rsid w:val="088675E9"/>
    <w:rsid w:val="08867638"/>
    <w:rsid w:val="08872B64"/>
    <w:rsid w:val="08874912"/>
    <w:rsid w:val="088766C0"/>
    <w:rsid w:val="08880A54"/>
    <w:rsid w:val="08880B4F"/>
    <w:rsid w:val="08886517"/>
    <w:rsid w:val="0888779C"/>
    <w:rsid w:val="08891FDF"/>
    <w:rsid w:val="088932C4"/>
    <w:rsid w:val="088968DD"/>
    <w:rsid w:val="08897C9C"/>
    <w:rsid w:val="088A2F63"/>
    <w:rsid w:val="088A346F"/>
    <w:rsid w:val="088A4F9A"/>
    <w:rsid w:val="088A6164"/>
    <w:rsid w:val="088A61B1"/>
    <w:rsid w:val="088A6708"/>
    <w:rsid w:val="088B4788"/>
    <w:rsid w:val="088B619B"/>
    <w:rsid w:val="088C017B"/>
    <w:rsid w:val="088C3DEA"/>
    <w:rsid w:val="088C5F46"/>
    <w:rsid w:val="088C643B"/>
    <w:rsid w:val="088D1DF0"/>
    <w:rsid w:val="088D3D41"/>
    <w:rsid w:val="088D5AB6"/>
    <w:rsid w:val="088E43F2"/>
    <w:rsid w:val="088E49C1"/>
    <w:rsid w:val="088E74C4"/>
    <w:rsid w:val="088E7A4F"/>
    <w:rsid w:val="088F2266"/>
    <w:rsid w:val="088F37C7"/>
    <w:rsid w:val="088F4710"/>
    <w:rsid w:val="088F7E42"/>
    <w:rsid w:val="0890029A"/>
    <w:rsid w:val="08901A19"/>
    <w:rsid w:val="08905783"/>
    <w:rsid w:val="08907C6B"/>
    <w:rsid w:val="089112ED"/>
    <w:rsid w:val="08911E48"/>
    <w:rsid w:val="0891520E"/>
    <w:rsid w:val="0891753F"/>
    <w:rsid w:val="08922ED5"/>
    <w:rsid w:val="08925A2A"/>
    <w:rsid w:val="089309E7"/>
    <w:rsid w:val="08931509"/>
    <w:rsid w:val="08931A46"/>
    <w:rsid w:val="08931F7F"/>
    <w:rsid w:val="089337BB"/>
    <w:rsid w:val="08935065"/>
    <w:rsid w:val="08940928"/>
    <w:rsid w:val="08941CC3"/>
    <w:rsid w:val="08942B16"/>
    <w:rsid w:val="0894688F"/>
    <w:rsid w:val="089507CF"/>
    <w:rsid w:val="0895377C"/>
    <w:rsid w:val="08954502"/>
    <w:rsid w:val="08955281"/>
    <w:rsid w:val="08962DA7"/>
    <w:rsid w:val="08964A56"/>
    <w:rsid w:val="08964B56"/>
    <w:rsid w:val="089676AE"/>
    <w:rsid w:val="08971528"/>
    <w:rsid w:val="08974B03"/>
    <w:rsid w:val="08975A73"/>
    <w:rsid w:val="08977F92"/>
    <w:rsid w:val="089808CE"/>
    <w:rsid w:val="08986B20"/>
    <w:rsid w:val="08990393"/>
    <w:rsid w:val="08994C12"/>
    <w:rsid w:val="0899711D"/>
    <w:rsid w:val="089A2898"/>
    <w:rsid w:val="089A4646"/>
    <w:rsid w:val="089A5FC8"/>
    <w:rsid w:val="089A6191"/>
    <w:rsid w:val="089B03BE"/>
    <w:rsid w:val="089B1CA1"/>
    <w:rsid w:val="089B216C"/>
    <w:rsid w:val="089B3AB9"/>
    <w:rsid w:val="089B6FC5"/>
    <w:rsid w:val="089B7194"/>
    <w:rsid w:val="089C0455"/>
    <w:rsid w:val="089C09AE"/>
    <w:rsid w:val="089C1C8C"/>
    <w:rsid w:val="089C76D0"/>
    <w:rsid w:val="089D06A8"/>
    <w:rsid w:val="089D1565"/>
    <w:rsid w:val="089D343C"/>
    <w:rsid w:val="089D477F"/>
    <w:rsid w:val="089D4C97"/>
    <w:rsid w:val="089E3A0A"/>
    <w:rsid w:val="089E3B10"/>
    <w:rsid w:val="089F2A70"/>
    <w:rsid w:val="089F5D8B"/>
    <w:rsid w:val="08A0125D"/>
    <w:rsid w:val="08A044DA"/>
    <w:rsid w:val="08A04614"/>
    <w:rsid w:val="08A04B55"/>
    <w:rsid w:val="08A12692"/>
    <w:rsid w:val="08A12BCC"/>
    <w:rsid w:val="08A21234"/>
    <w:rsid w:val="08A234FA"/>
    <w:rsid w:val="08A242C7"/>
    <w:rsid w:val="08A262E0"/>
    <w:rsid w:val="08A33043"/>
    <w:rsid w:val="08A44ED3"/>
    <w:rsid w:val="08A46BE7"/>
    <w:rsid w:val="08A47B06"/>
    <w:rsid w:val="08A47CA9"/>
    <w:rsid w:val="08A52FEB"/>
    <w:rsid w:val="08A5316D"/>
    <w:rsid w:val="08A54D99"/>
    <w:rsid w:val="08A56A81"/>
    <w:rsid w:val="08A61507"/>
    <w:rsid w:val="08A640D8"/>
    <w:rsid w:val="08A646E8"/>
    <w:rsid w:val="08A712BE"/>
    <w:rsid w:val="08A7544D"/>
    <w:rsid w:val="08A76888"/>
    <w:rsid w:val="08A869F8"/>
    <w:rsid w:val="08A90D2D"/>
    <w:rsid w:val="08A917F9"/>
    <w:rsid w:val="08A94889"/>
    <w:rsid w:val="08A959F3"/>
    <w:rsid w:val="08A97D82"/>
    <w:rsid w:val="08AA3068"/>
    <w:rsid w:val="08AB3E69"/>
    <w:rsid w:val="08AB4848"/>
    <w:rsid w:val="08AB6853"/>
    <w:rsid w:val="08AB6A66"/>
    <w:rsid w:val="08AB6CC1"/>
    <w:rsid w:val="08AB7C21"/>
    <w:rsid w:val="08AC4379"/>
    <w:rsid w:val="08AC56B4"/>
    <w:rsid w:val="08AC7775"/>
    <w:rsid w:val="08AD254E"/>
    <w:rsid w:val="08AD5D9E"/>
    <w:rsid w:val="08AE00F1"/>
    <w:rsid w:val="08AE1E9F"/>
    <w:rsid w:val="08AE2161"/>
    <w:rsid w:val="08AE2940"/>
    <w:rsid w:val="08AE48E6"/>
    <w:rsid w:val="08AE6343"/>
    <w:rsid w:val="08AF519C"/>
    <w:rsid w:val="08AF5C17"/>
    <w:rsid w:val="08AF68CB"/>
    <w:rsid w:val="08B038DD"/>
    <w:rsid w:val="08B03E69"/>
    <w:rsid w:val="08B103EE"/>
    <w:rsid w:val="08B1198F"/>
    <w:rsid w:val="08B15A98"/>
    <w:rsid w:val="08B16856"/>
    <w:rsid w:val="08B16C6D"/>
    <w:rsid w:val="08B2315A"/>
    <w:rsid w:val="08B2330F"/>
    <w:rsid w:val="08B2561B"/>
    <w:rsid w:val="08B2584C"/>
    <w:rsid w:val="08B30002"/>
    <w:rsid w:val="08B32074"/>
    <w:rsid w:val="08B33650"/>
    <w:rsid w:val="08B33959"/>
    <w:rsid w:val="08B34C75"/>
    <w:rsid w:val="08B35707"/>
    <w:rsid w:val="08B43CCB"/>
    <w:rsid w:val="08B44F9B"/>
    <w:rsid w:val="08B45FD1"/>
    <w:rsid w:val="08B46187"/>
    <w:rsid w:val="08B5322E"/>
    <w:rsid w:val="08B5402D"/>
    <w:rsid w:val="08B561AC"/>
    <w:rsid w:val="08B576D2"/>
    <w:rsid w:val="08B60D54"/>
    <w:rsid w:val="08B60DAD"/>
    <w:rsid w:val="08B61F3D"/>
    <w:rsid w:val="08B65264"/>
    <w:rsid w:val="08B65E3C"/>
    <w:rsid w:val="08B7696C"/>
    <w:rsid w:val="08B76FA1"/>
    <w:rsid w:val="08B82D1E"/>
    <w:rsid w:val="08B84999"/>
    <w:rsid w:val="08B84ACC"/>
    <w:rsid w:val="08B86BF3"/>
    <w:rsid w:val="08B86C17"/>
    <w:rsid w:val="08B92362"/>
    <w:rsid w:val="08B93F78"/>
    <w:rsid w:val="08B94566"/>
    <w:rsid w:val="08B9738C"/>
    <w:rsid w:val="08B97680"/>
    <w:rsid w:val="08BA4CE8"/>
    <w:rsid w:val="08BA7CF8"/>
    <w:rsid w:val="08BB229D"/>
    <w:rsid w:val="08BB45BC"/>
    <w:rsid w:val="08BB45F4"/>
    <w:rsid w:val="08BC0A60"/>
    <w:rsid w:val="08BD0ECF"/>
    <w:rsid w:val="08BD20E2"/>
    <w:rsid w:val="08BD5616"/>
    <w:rsid w:val="08BD7C3E"/>
    <w:rsid w:val="08BE0699"/>
    <w:rsid w:val="08BE235F"/>
    <w:rsid w:val="08BE39D3"/>
    <w:rsid w:val="08BE5E7A"/>
    <w:rsid w:val="08BE7040"/>
    <w:rsid w:val="08BF22FE"/>
    <w:rsid w:val="08BF33C8"/>
    <w:rsid w:val="08BF4889"/>
    <w:rsid w:val="08BF51C2"/>
    <w:rsid w:val="08BF73BD"/>
    <w:rsid w:val="08C01BD2"/>
    <w:rsid w:val="08C07850"/>
    <w:rsid w:val="08C07B44"/>
    <w:rsid w:val="08C11812"/>
    <w:rsid w:val="08C12DC6"/>
    <w:rsid w:val="08C13DDA"/>
    <w:rsid w:val="08C14AEE"/>
    <w:rsid w:val="08C16076"/>
    <w:rsid w:val="08C1610F"/>
    <w:rsid w:val="08C20E85"/>
    <w:rsid w:val="08C23B9D"/>
    <w:rsid w:val="08C25945"/>
    <w:rsid w:val="08C2594B"/>
    <w:rsid w:val="08C25CE5"/>
    <w:rsid w:val="08C4093E"/>
    <w:rsid w:val="08C44A90"/>
    <w:rsid w:val="08C46A6E"/>
    <w:rsid w:val="08C46E0A"/>
    <w:rsid w:val="08C47176"/>
    <w:rsid w:val="08C4732B"/>
    <w:rsid w:val="08C50AF1"/>
    <w:rsid w:val="08C50D2B"/>
    <w:rsid w:val="08C54A72"/>
    <w:rsid w:val="08C61576"/>
    <w:rsid w:val="08C62289"/>
    <w:rsid w:val="08C6392C"/>
    <w:rsid w:val="08C63C5D"/>
    <w:rsid w:val="08C64350"/>
    <w:rsid w:val="08C65033"/>
    <w:rsid w:val="08C73431"/>
    <w:rsid w:val="08C77EBE"/>
    <w:rsid w:val="08C81CF4"/>
    <w:rsid w:val="08C83852"/>
    <w:rsid w:val="08C83963"/>
    <w:rsid w:val="08C847B2"/>
    <w:rsid w:val="08C85FE2"/>
    <w:rsid w:val="08C90A87"/>
    <w:rsid w:val="08C939B3"/>
    <w:rsid w:val="08C94F2B"/>
    <w:rsid w:val="08C961B4"/>
    <w:rsid w:val="08C96CD9"/>
    <w:rsid w:val="08CA4507"/>
    <w:rsid w:val="08CA5E59"/>
    <w:rsid w:val="08CA79A5"/>
    <w:rsid w:val="08CB05AD"/>
    <w:rsid w:val="08CB1D92"/>
    <w:rsid w:val="08CB2A51"/>
    <w:rsid w:val="08CB4E61"/>
    <w:rsid w:val="08CC1AE6"/>
    <w:rsid w:val="08CC2C85"/>
    <w:rsid w:val="08CC67C9"/>
    <w:rsid w:val="08CC70F6"/>
    <w:rsid w:val="08CD0093"/>
    <w:rsid w:val="08CD049F"/>
    <w:rsid w:val="08CD0B40"/>
    <w:rsid w:val="08CD41D0"/>
    <w:rsid w:val="08CD424D"/>
    <w:rsid w:val="08CD5F8E"/>
    <w:rsid w:val="08CE1E54"/>
    <w:rsid w:val="08CE1EB9"/>
    <w:rsid w:val="08CE609D"/>
    <w:rsid w:val="08CF32E4"/>
    <w:rsid w:val="08CF3DF3"/>
    <w:rsid w:val="08CF3E65"/>
    <w:rsid w:val="08CF41DD"/>
    <w:rsid w:val="08D00863"/>
    <w:rsid w:val="08D06B20"/>
    <w:rsid w:val="08D07A16"/>
    <w:rsid w:val="08D113DE"/>
    <w:rsid w:val="08D1382C"/>
    <w:rsid w:val="08D13DE0"/>
    <w:rsid w:val="08D14388"/>
    <w:rsid w:val="08D21C65"/>
    <w:rsid w:val="08D27A99"/>
    <w:rsid w:val="08D3179D"/>
    <w:rsid w:val="08D31906"/>
    <w:rsid w:val="08D32DDE"/>
    <w:rsid w:val="08D35CD2"/>
    <w:rsid w:val="08D35DAA"/>
    <w:rsid w:val="08D42A5F"/>
    <w:rsid w:val="08D44EE3"/>
    <w:rsid w:val="08D455B7"/>
    <w:rsid w:val="08D51860"/>
    <w:rsid w:val="08D5701F"/>
    <w:rsid w:val="08D57BEF"/>
    <w:rsid w:val="08D61BA6"/>
    <w:rsid w:val="08D62B9E"/>
    <w:rsid w:val="08D631A4"/>
    <w:rsid w:val="08D72F06"/>
    <w:rsid w:val="08D76D8D"/>
    <w:rsid w:val="08D77648"/>
    <w:rsid w:val="08D80DE7"/>
    <w:rsid w:val="08D82F44"/>
    <w:rsid w:val="08D852A2"/>
    <w:rsid w:val="08D86DB7"/>
    <w:rsid w:val="08D86F1C"/>
    <w:rsid w:val="08D913B0"/>
    <w:rsid w:val="08D94C85"/>
    <w:rsid w:val="08D96F67"/>
    <w:rsid w:val="08DA03F7"/>
    <w:rsid w:val="08DA0EE6"/>
    <w:rsid w:val="08DA7138"/>
    <w:rsid w:val="08DB07BA"/>
    <w:rsid w:val="08DB0CD4"/>
    <w:rsid w:val="08DB338D"/>
    <w:rsid w:val="08DB386C"/>
    <w:rsid w:val="08DB559B"/>
    <w:rsid w:val="08DB6A0C"/>
    <w:rsid w:val="08DC4C5E"/>
    <w:rsid w:val="08DC63AA"/>
    <w:rsid w:val="08DC7E72"/>
    <w:rsid w:val="08DD110A"/>
    <w:rsid w:val="08DD15CE"/>
    <w:rsid w:val="08DD3F19"/>
    <w:rsid w:val="08DD42C9"/>
    <w:rsid w:val="08DE0208"/>
    <w:rsid w:val="08DE33AB"/>
    <w:rsid w:val="08DE5A6A"/>
    <w:rsid w:val="08DE70CD"/>
    <w:rsid w:val="08DF02AB"/>
    <w:rsid w:val="08DF1698"/>
    <w:rsid w:val="08DF474E"/>
    <w:rsid w:val="08DF64FD"/>
    <w:rsid w:val="08E04023"/>
    <w:rsid w:val="08E049BC"/>
    <w:rsid w:val="08E04AE9"/>
    <w:rsid w:val="08E12275"/>
    <w:rsid w:val="08E13655"/>
    <w:rsid w:val="08E15496"/>
    <w:rsid w:val="08E25FED"/>
    <w:rsid w:val="08E27D9B"/>
    <w:rsid w:val="08E27FA9"/>
    <w:rsid w:val="08E312D5"/>
    <w:rsid w:val="08E33D30"/>
    <w:rsid w:val="08E34917"/>
    <w:rsid w:val="08E349F2"/>
    <w:rsid w:val="08E34BD4"/>
    <w:rsid w:val="08E3598B"/>
    <w:rsid w:val="08E41D65"/>
    <w:rsid w:val="08E43B13"/>
    <w:rsid w:val="08E44A87"/>
    <w:rsid w:val="08E45473"/>
    <w:rsid w:val="08E458C1"/>
    <w:rsid w:val="08E47FB5"/>
    <w:rsid w:val="08E52F2A"/>
    <w:rsid w:val="08E53D6D"/>
    <w:rsid w:val="08E60154"/>
    <w:rsid w:val="08E60684"/>
    <w:rsid w:val="08E62D9C"/>
    <w:rsid w:val="08E65ADD"/>
    <w:rsid w:val="08E6688A"/>
    <w:rsid w:val="08E6788B"/>
    <w:rsid w:val="08E72291"/>
    <w:rsid w:val="08E73603"/>
    <w:rsid w:val="08E74B49"/>
    <w:rsid w:val="08E77375"/>
    <w:rsid w:val="08E80DD4"/>
    <w:rsid w:val="08E81855"/>
    <w:rsid w:val="08E84A58"/>
    <w:rsid w:val="08E872C1"/>
    <w:rsid w:val="08E901E4"/>
    <w:rsid w:val="08E91129"/>
    <w:rsid w:val="08E9380A"/>
    <w:rsid w:val="08E97150"/>
    <w:rsid w:val="08E9737B"/>
    <w:rsid w:val="08E979AD"/>
    <w:rsid w:val="08EA6A7A"/>
    <w:rsid w:val="08EB15B9"/>
    <w:rsid w:val="08EB22E2"/>
    <w:rsid w:val="08EB3744"/>
    <w:rsid w:val="08EB4EA1"/>
    <w:rsid w:val="08EB7E17"/>
    <w:rsid w:val="08EC035C"/>
    <w:rsid w:val="08EC29C7"/>
    <w:rsid w:val="08ED6E6B"/>
    <w:rsid w:val="08ED7061"/>
    <w:rsid w:val="08EE04EE"/>
    <w:rsid w:val="08EE4992"/>
    <w:rsid w:val="08EE4C7F"/>
    <w:rsid w:val="08EE52C1"/>
    <w:rsid w:val="08EE7AAF"/>
    <w:rsid w:val="08EE7CFD"/>
    <w:rsid w:val="08EF05D7"/>
    <w:rsid w:val="08EF11FC"/>
    <w:rsid w:val="08EF2A4E"/>
    <w:rsid w:val="08EF3208"/>
    <w:rsid w:val="08EF696C"/>
    <w:rsid w:val="08EF6F38"/>
    <w:rsid w:val="08F00CC1"/>
    <w:rsid w:val="08F0224D"/>
    <w:rsid w:val="08F0261D"/>
    <w:rsid w:val="08F04266"/>
    <w:rsid w:val="08F05ECB"/>
    <w:rsid w:val="08F1307A"/>
    <w:rsid w:val="08F1362B"/>
    <w:rsid w:val="08F1607D"/>
    <w:rsid w:val="08F16230"/>
    <w:rsid w:val="08F16D9F"/>
    <w:rsid w:val="08F17FDE"/>
    <w:rsid w:val="08F23D57"/>
    <w:rsid w:val="08F23EC8"/>
    <w:rsid w:val="08F27843"/>
    <w:rsid w:val="08F301FA"/>
    <w:rsid w:val="08F32927"/>
    <w:rsid w:val="08F33D56"/>
    <w:rsid w:val="08F35052"/>
    <w:rsid w:val="08F375C1"/>
    <w:rsid w:val="08F426F9"/>
    <w:rsid w:val="08F45627"/>
    <w:rsid w:val="08F53F89"/>
    <w:rsid w:val="08F55B55"/>
    <w:rsid w:val="08F55D20"/>
    <w:rsid w:val="08F560A0"/>
    <w:rsid w:val="08F60854"/>
    <w:rsid w:val="08F60DC7"/>
    <w:rsid w:val="08F63846"/>
    <w:rsid w:val="08F649CE"/>
    <w:rsid w:val="08F651E1"/>
    <w:rsid w:val="08F6553B"/>
    <w:rsid w:val="08F655F4"/>
    <w:rsid w:val="08F70DAF"/>
    <w:rsid w:val="08F71A98"/>
    <w:rsid w:val="08F71E1D"/>
    <w:rsid w:val="08F722F4"/>
    <w:rsid w:val="08F7314C"/>
    <w:rsid w:val="08F7349F"/>
    <w:rsid w:val="08F741DC"/>
    <w:rsid w:val="08F80AF6"/>
    <w:rsid w:val="08F8136C"/>
    <w:rsid w:val="08F865E5"/>
    <w:rsid w:val="08F875BE"/>
    <w:rsid w:val="08F93008"/>
    <w:rsid w:val="08F94DDB"/>
    <w:rsid w:val="08FA0CFD"/>
    <w:rsid w:val="08FA2958"/>
    <w:rsid w:val="08FA3336"/>
    <w:rsid w:val="08FA50E4"/>
    <w:rsid w:val="08FA6ACB"/>
    <w:rsid w:val="08FA6E92"/>
    <w:rsid w:val="08FA7A5B"/>
    <w:rsid w:val="08FB29A5"/>
    <w:rsid w:val="08FB2C0B"/>
    <w:rsid w:val="08FB6894"/>
    <w:rsid w:val="08FC04EE"/>
    <w:rsid w:val="08FC0E5C"/>
    <w:rsid w:val="08FC132C"/>
    <w:rsid w:val="08FC23B7"/>
    <w:rsid w:val="08FC2CBB"/>
    <w:rsid w:val="08FC3597"/>
    <w:rsid w:val="08FC6A83"/>
    <w:rsid w:val="08FC6DFA"/>
    <w:rsid w:val="08FC7964"/>
    <w:rsid w:val="08FC7DA3"/>
    <w:rsid w:val="08FD2B1E"/>
    <w:rsid w:val="08FD2E27"/>
    <w:rsid w:val="08FD38E2"/>
    <w:rsid w:val="08FD39BD"/>
    <w:rsid w:val="08FD4BD5"/>
    <w:rsid w:val="08FD6764"/>
    <w:rsid w:val="08FE4D34"/>
    <w:rsid w:val="08FF094D"/>
    <w:rsid w:val="08FF26FB"/>
    <w:rsid w:val="08FF2EE5"/>
    <w:rsid w:val="08FF4497"/>
    <w:rsid w:val="0900372A"/>
    <w:rsid w:val="09004D68"/>
    <w:rsid w:val="09005085"/>
    <w:rsid w:val="09005AAF"/>
    <w:rsid w:val="09012917"/>
    <w:rsid w:val="09015B87"/>
    <w:rsid w:val="0902043D"/>
    <w:rsid w:val="090221EB"/>
    <w:rsid w:val="09022AA8"/>
    <w:rsid w:val="09023F08"/>
    <w:rsid w:val="09023F99"/>
    <w:rsid w:val="09030133"/>
    <w:rsid w:val="090375A2"/>
    <w:rsid w:val="09040198"/>
    <w:rsid w:val="09043154"/>
    <w:rsid w:val="09043DBF"/>
    <w:rsid w:val="090441B5"/>
    <w:rsid w:val="09045F63"/>
    <w:rsid w:val="09046457"/>
    <w:rsid w:val="0904744F"/>
    <w:rsid w:val="09047D11"/>
    <w:rsid w:val="090506CA"/>
    <w:rsid w:val="09052F9A"/>
    <w:rsid w:val="09055BC4"/>
    <w:rsid w:val="09061CDB"/>
    <w:rsid w:val="090635B2"/>
    <w:rsid w:val="09063A89"/>
    <w:rsid w:val="090715AF"/>
    <w:rsid w:val="09075A53"/>
    <w:rsid w:val="090764CC"/>
    <w:rsid w:val="09083128"/>
    <w:rsid w:val="09092117"/>
    <w:rsid w:val="09095327"/>
    <w:rsid w:val="0909695F"/>
    <w:rsid w:val="09097997"/>
    <w:rsid w:val="090A0340"/>
    <w:rsid w:val="090A0701"/>
    <w:rsid w:val="090A73F5"/>
    <w:rsid w:val="090B12B9"/>
    <w:rsid w:val="090B25D4"/>
    <w:rsid w:val="090B2A3B"/>
    <w:rsid w:val="090B3D5D"/>
    <w:rsid w:val="090B3F62"/>
    <w:rsid w:val="090B5399"/>
    <w:rsid w:val="090B5543"/>
    <w:rsid w:val="090C06B5"/>
    <w:rsid w:val="090C0967"/>
    <w:rsid w:val="090C3B68"/>
    <w:rsid w:val="090C4177"/>
    <w:rsid w:val="090D12BC"/>
    <w:rsid w:val="090D1B45"/>
    <w:rsid w:val="090D4716"/>
    <w:rsid w:val="090D62B3"/>
    <w:rsid w:val="090D7509"/>
    <w:rsid w:val="090E0B90"/>
    <w:rsid w:val="090E293E"/>
    <w:rsid w:val="090E4210"/>
    <w:rsid w:val="090E5BA6"/>
    <w:rsid w:val="090E6E4C"/>
    <w:rsid w:val="090F15B0"/>
    <w:rsid w:val="090F4CF9"/>
    <w:rsid w:val="090F76E7"/>
    <w:rsid w:val="0910102A"/>
    <w:rsid w:val="091016EF"/>
    <w:rsid w:val="09102B5A"/>
    <w:rsid w:val="09102DB5"/>
    <w:rsid w:val="09103097"/>
    <w:rsid w:val="09104373"/>
    <w:rsid w:val="09104908"/>
    <w:rsid w:val="09104D78"/>
    <w:rsid w:val="0910568F"/>
    <w:rsid w:val="091066B6"/>
    <w:rsid w:val="091068E5"/>
    <w:rsid w:val="0911187C"/>
    <w:rsid w:val="09111B09"/>
    <w:rsid w:val="0911242E"/>
    <w:rsid w:val="09117DFB"/>
    <w:rsid w:val="091259B7"/>
    <w:rsid w:val="09125D24"/>
    <w:rsid w:val="09127020"/>
    <w:rsid w:val="09130588"/>
    <w:rsid w:val="091308D8"/>
    <w:rsid w:val="091314A8"/>
    <w:rsid w:val="0913212E"/>
    <w:rsid w:val="0913264A"/>
    <w:rsid w:val="091343F8"/>
    <w:rsid w:val="091344C6"/>
    <w:rsid w:val="09134B46"/>
    <w:rsid w:val="091356B1"/>
    <w:rsid w:val="091361A6"/>
    <w:rsid w:val="09137BCB"/>
    <w:rsid w:val="0914155A"/>
    <w:rsid w:val="0914283C"/>
    <w:rsid w:val="09143080"/>
    <w:rsid w:val="0914384E"/>
    <w:rsid w:val="091461BF"/>
    <w:rsid w:val="09150170"/>
    <w:rsid w:val="0915036B"/>
    <w:rsid w:val="09150E70"/>
    <w:rsid w:val="09151F1E"/>
    <w:rsid w:val="09152C27"/>
    <w:rsid w:val="09153CCC"/>
    <w:rsid w:val="09161EA5"/>
    <w:rsid w:val="0916244C"/>
    <w:rsid w:val="09164338"/>
    <w:rsid w:val="09164EEC"/>
    <w:rsid w:val="09170BC9"/>
    <w:rsid w:val="0917102C"/>
    <w:rsid w:val="09173F03"/>
    <w:rsid w:val="09175C96"/>
    <w:rsid w:val="091761F7"/>
    <w:rsid w:val="09181829"/>
    <w:rsid w:val="09181A0E"/>
    <w:rsid w:val="091837BC"/>
    <w:rsid w:val="09184E4C"/>
    <w:rsid w:val="09187B98"/>
    <w:rsid w:val="09187C60"/>
    <w:rsid w:val="091957F5"/>
    <w:rsid w:val="091A3F0C"/>
    <w:rsid w:val="091A588A"/>
    <w:rsid w:val="091A7535"/>
    <w:rsid w:val="091B59CE"/>
    <w:rsid w:val="091C1396"/>
    <w:rsid w:val="091C163A"/>
    <w:rsid w:val="091C19F9"/>
    <w:rsid w:val="091C2D7B"/>
    <w:rsid w:val="091C31E8"/>
    <w:rsid w:val="091C627E"/>
    <w:rsid w:val="091D0880"/>
    <w:rsid w:val="091D34A1"/>
    <w:rsid w:val="091D4C27"/>
    <w:rsid w:val="091D6232"/>
    <w:rsid w:val="091D7025"/>
    <w:rsid w:val="091D7E63"/>
    <w:rsid w:val="091E0DBC"/>
    <w:rsid w:val="091E5277"/>
    <w:rsid w:val="091F0FEF"/>
    <w:rsid w:val="091F226D"/>
    <w:rsid w:val="091F2D9D"/>
    <w:rsid w:val="091F31F6"/>
    <w:rsid w:val="091F4B4B"/>
    <w:rsid w:val="091F5DC0"/>
    <w:rsid w:val="09200C6D"/>
    <w:rsid w:val="0920291E"/>
    <w:rsid w:val="09204C6C"/>
    <w:rsid w:val="09205F90"/>
    <w:rsid w:val="09206BFB"/>
    <w:rsid w:val="0920767A"/>
    <w:rsid w:val="09210D1D"/>
    <w:rsid w:val="09212671"/>
    <w:rsid w:val="09216B15"/>
    <w:rsid w:val="0922463B"/>
    <w:rsid w:val="092254AC"/>
    <w:rsid w:val="092263E9"/>
    <w:rsid w:val="0923007D"/>
    <w:rsid w:val="0923288D"/>
    <w:rsid w:val="0923510F"/>
    <w:rsid w:val="0923693C"/>
    <w:rsid w:val="092403B3"/>
    <w:rsid w:val="0924150D"/>
    <w:rsid w:val="09246605"/>
    <w:rsid w:val="09254BB9"/>
    <w:rsid w:val="09255344"/>
    <w:rsid w:val="09256C2C"/>
    <w:rsid w:val="09256D8E"/>
    <w:rsid w:val="0926237D"/>
    <w:rsid w:val="0926412B"/>
    <w:rsid w:val="09265AA5"/>
    <w:rsid w:val="09271C52"/>
    <w:rsid w:val="09273A00"/>
    <w:rsid w:val="09273E49"/>
    <w:rsid w:val="09274766"/>
    <w:rsid w:val="0927510B"/>
    <w:rsid w:val="092927AE"/>
    <w:rsid w:val="09292D87"/>
    <w:rsid w:val="09293C1C"/>
    <w:rsid w:val="092959CA"/>
    <w:rsid w:val="09297778"/>
    <w:rsid w:val="09297FF5"/>
    <w:rsid w:val="092A3A4F"/>
    <w:rsid w:val="092A661B"/>
    <w:rsid w:val="092A7B6A"/>
    <w:rsid w:val="092A7C70"/>
    <w:rsid w:val="092B680F"/>
    <w:rsid w:val="092C1016"/>
    <w:rsid w:val="092C1C20"/>
    <w:rsid w:val="092C7C25"/>
    <w:rsid w:val="092E2FE0"/>
    <w:rsid w:val="092E41E4"/>
    <w:rsid w:val="092F233E"/>
    <w:rsid w:val="092F386B"/>
    <w:rsid w:val="092F770E"/>
    <w:rsid w:val="09302681"/>
    <w:rsid w:val="09307E97"/>
    <w:rsid w:val="09315AF7"/>
    <w:rsid w:val="09320B16"/>
    <w:rsid w:val="09321332"/>
    <w:rsid w:val="093223D0"/>
    <w:rsid w:val="09322AD0"/>
    <w:rsid w:val="09322CDD"/>
    <w:rsid w:val="09324C4C"/>
    <w:rsid w:val="09325794"/>
    <w:rsid w:val="09330E7A"/>
    <w:rsid w:val="09334312"/>
    <w:rsid w:val="09336431"/>
    <w:rsid w:val="09336848"/>
    <w:rsid w:val="09344DAD"/>
    <w:rsid w:val="0934787D"/>
    <w:rsid w:val="093515C4"/>
    <w:rsid w:val="09352492"/>
    <w:rsid w:val="09353D5E"/>
    <w:rsid w:val="0935436E"/>
    <w:rsid w:val="09354450"/>
    <w:rsid w:val="093555E8"/>
    <w:rsid w:val="093558E5"/>
    <w:rsid w:val="09357088"/>
    <w:rsid w:val="093578F1"/>
    <w:rsid w:val="093643C0"/>
    <w:rsid w:val="09364AD8"/>
    <w:rsid w:val="09367B72"/>
    <w:rsid w:val="093700E7"/>
    <w:rsid w:val="09371E95"/>
    <w:rsid w:val="093753DE"/>
    <w:rsid w:val="09377983"/>
    <w:rsid w:val="0938131F"/>
    <w:rsid w:val="0938261D"/>
    <w:rsid w:val="093827D2"/>
    <w:rsid w:val="093839B2"/>
    <w:rsid w:val="093920B1"/>
    <w:rsid w:val="09392B20"/>
    <w:rsid w:val="093944BA"/>
    <w:rsid w:val="093A368F"/>
    <w:rsid w:val="093A3733"/>
    <w:rsid w:val="093A58E3"/>
    <w:rsid w:val="093A6326"/>
    <w:rsid w:val="093A770C"/>
    <w:rsid w:val="093B7794"/>
    <w:rsid w:val="093B7C37"/>
    <w:rsid w:val="093B7E06"/>
    <w:rsid w:val="093C07F8"/>
    <w:rsid w:val="093C2B37"/>
    <w:rsid w:val="093C56FD"/>
    <w:rsid w:val="093C69D0"/>
    <w:rsid w:val="093C74AB"/>
    <w:rsid w:val="093C7F0F"/>
    <w:rsid w:val="093D1475"/>
    <w:rsid w:val="093D4AC3"/>
    <w:rsid w:val="093E07B3"/>
    <w:rsid w:val="093E0B65"/>
    <w:rsid w:val="093E3AC4"/>
    <w:rsid w:val="093E5278"/>
    <w:rsid w:val="093F0D49"/>
    <w:rsid w:val="093F13DD"/>
    <w:rsid w:val="093F343F"/>
    <w:rsid w:val="093F432B"/>
    <w:rsid w:val="093F6115"/>
    <w:rsid w:val="093F628F"/>
    <w:rsid w:val="0940112D"/>
    <w:rsid w:val="09410F65"/>
    <w:rsid w:val="09413606"/>
    <w:rsid w:val="0941463E"/>
    <w:rsid w:val="09414AC1"/>
    <w:rsid w:val="09414F36"/>
    <w:rsid w:val="09421EC5"/>
    <w:rsid w:val="0942319E"/>
    <w:rsid w:val="09423355"/>
    <w:rsid w:val="094236D7"/>
    <w:rsid w:val="0943449F"/>
    <w:rsid w:val="0943464E"/>
    <w:rsid w:val="09441510"/>
    <w:rsid w:val="09442803"/>
    <w:rsid w:val="094445B2"/>
    <w:rsid w:val="09444D14"/>
    <w:rsid w:val="0944552F"/>
    <w:rsid w:val="09446B26"/>
    <w:rsid w:val="094473B6"/>
    <w:rsid w:val="094576C5"/>
    <w:rsid w:val="0946032A"/>
    <w:rsid w:val="0946082A"/>
    <w:rsid w:val="094620D8"/>
    <w:rsid w:val="09464FAF"/>
    <w:rsid w:val="09466063"/>
    <w:rsid w:val="09466D88"/>
    <w:rsid w:val="094675DB"/>
    <w:rsid w:val="09481618"/>
    <w:rsid w:val="09482257"/>
    <w:rsid w:val="094822F4"/>
    <w:rsid w:val="09487248"/>
    <w:rsid w:val="09491BC8"/>
    <w:rsid w:val="0949237B"/>
    <w:rsid w:val="0949606C"/>
    <w:rsid w:val="09496F83"/>
    <w:rsid w:val="09497E1A"/>
    <w:rsid w:val="094A3228"/>
    <w:rsid w:val="094A4BAB"/>
    <w:rsid w:val="094B064A"/>
    <w:rsid w:val="094B1DE4"/>
    <w:rsid w:val="094B3B92"/>
    <w:rsid w:val="094C2320"/>
    <w:rsid w:val="094C4124"/>
    <w:rsid w:val="094C663A"/>
    <w:rsid w:val="094C7E6B"/>
    <w:rsid w:val="094D50CD"/>
    <w:rsid w:val="094D790A"/>
    <w:rsid w:val="094E0403"/>
    <w:rsid w:val="094E3039"/>
    <w:rsid w:val="094E42B5"/>
    <w:rsid w:val="094E4C5A"/>
    <w:rsid w:val="094E6AB9"/>
    <w:rsid w:val="094E71DE"/>
    <w:rsid w:val="094E72F3"/>
    <w:rsid w:val="094E7DBE"/>
    <w:rsid w:val="094F5C0A"/>
    <w:rsid w:val="094F7D23"/>
    <w:rsid w:val="09502983"/>
    <w:rsid w:val="09502F56"/>
    <w:rsid w:val="09506AFA"/>
    <w:rsid w:val="095073FA"/>
    <w:rsid w:val="09510A7C"/>
    <w:rsid w:val="095119BA"/>
    <w:rsid w:val="0951696C"/>
    <w:rsid w:val="0952552C"/>
    <w:rsid w:val="095256A5"/>
    <w:rsid w:val="09525F28"/>
    <w:rsid w:val="09526CCE"/>
    <w:rsid w:val="09527138"/>
    <w:rsid w:val="09532A47"/>
    <w:rsid w:val="095334CC"/>
    <w:rsid w:val="095347F5"/>
    <w:rsid w:val="09540C99"/>
    <w:rsid w:val="09554A11"/>
    <w:rsid w:val="0956439C"/>
    <w:rsid w:val="095658C6"/>
    <w:rsid w:val="095701B2"/>
    <w:rsid w:val="09570531"/>
    <w:rsid w:val="09572537"/>
    <w:rsid w:val="09572C5B"/>
    <w:rsid w:val="09574568"/>
    <w:rsid w:val="0957582C"/>
    <w:rsid w:val="09577F96"/>
    <w:rsid w:val="09581E0B"/>
    <w:rsid w:val="095827AC"/>
    <w:rsid w:val="095838FE"/>
    <w:rsid w:val="09586DBD"/>
    <w:rsid w:val="0959375F"/>
    <w:rsid w:val="09594501"/>
    <w:rsid w:val="0959521C"/>
    <w:rsid w:val="095A0851"/>
    <w:rsid w:val="095A0FDA"/>
    <w:rsid w:val="095A3DD5"/>
    <w:rsid w:val="095A4F72"/>
    <w:rsid w:val="095B1B7D"/>
    <w:rsid w:val="095B3046"/>
    <w:rsid w:val="095B457F"/>
    <w:rsid w:val="095B566E"/>
    <w:rsid w:val="095B6B37"/>
    <w:rsid w:val="095C093E"/>
    <w:rsid w:val="095C0B76"/>
    <w:rsid w:val="095C0E71"/>
    <w:rsid w:val="095C161C"/>
    <w:rsid w:val="095C18FB"/>
    <w:rsid w:val="095C4B76"/>
    <w:rsid w:val="095C5849"/>
    <w:rsid w:val="095C5D9F"/>
    <w:rsid w:val="095C758E"/>
    <w:rsid w:val="095C7B4D"/>
    <w:rsid w:val="095D01D4"/>
    <w:rsid w:val="095D153A"/>
    <w:rsid w:val="095D4EA3"/>
    <w:rsid w:val="095D5673"/>
    <w:rsid w:val="095E0862"/>
    <w:rsid w:val="095E1C35"/>
    <w:rsid w:val="095E38C5"/>
    <w:rsid w:val="095E5533"/>
    <w:rsid w:val="095F0F2D"/>
    <w:rsid w:val="095F13EB"/>
    <w:rsid w:val="095F20D6"/>
    <w:rsid w:val="095F2AA3"/>
    <w:rsid w:val="095F3199"/>
    <w:rsid w:val="095F51D4"/>
    <w:rsid w:val="095F5E22"/>
    <w:rsid w:val="095F763D"/>
    <w:rsid w:val="096013CC"/>
    <w:rsid w:val="09601C49"/>
    <w:rsid w:val="09610A75"/>
    <w:rsid w:val="096114AF"/>
    <w:rsid w:val="096133B5"/>
    <w:rsid w:val="09615163"/>
    <w:rsid w:val="09620693"/>
    <w:rsid w:val="096310A9"/>
    <w:rsid w:val="0963712E"/>
    <w:rsid w:val="096411BD"/>
    <w:rsid w:val="09643EB9"/>
    <w:rsid w:val="09644C54"/>
    <w:rsid w:val="096457CB"/>
    <w:rsid w:val="09647E6D"/>
    <w:rsid w:val="09657152"/>
    <w:rsid w:val="096609CC"/>
    <w:rsid w:val="096612C0"/>
    <w:rsid w:val="096615C5"/>
    <w:rsid w:val="09663BB0"/>
    <w:rsid w:val="09663E91"/>
    <w:rsid w:val="09664528"/>
    <w:rsid w:val="09670057"/>
    <w:rsid w:val="09676682"/>
    <w:rsid w:val="096802A0"/>
    <w:rsid w:val="09684744"/>
    <w:rsid w:val="09684857"/>
    <w:rsid w:val="096867B1"/>
    <w:rsid w:val="0969226A"/>
    <w:rsid w:val="09692522"/>
    <w:rsid w:val="096A2812"/>
    <w:rsid w:val="096A57CF"/>
    <w:rsid w:val="096A7D65"/>
    <w:rsid w:val="096B1033"/>
    <w:rsid w:val="096B3CA2"/>
    <w:rsid w:val="096B4234"/>
    <w:rsid w:val="096B5295"/>
    <w:rsid w:val="096B583B"/>
    <w:rsid w:val="096C1A9B"/>
    <w:rsid w:val="096C4EED"/>
    <w:rsid w:val="096C5132"/>
    <w:rsid w:val="096D195F"/>
    <w:rsid w:val="096D3B08"/>
    <w:rsid w:val="096E162E"/>
    <w:rsid w:val="096E2FAD"/>
    <w:rsid w:val="096E3E80"/>
    <w:rsid w:val="096E4A08"/>
    <w:rsid w:val="096E5991"/>
    <w:rsid w:val="096E7880"/>
    <w:rsid w:val="096F03DA"/>
    <w:rsid w:val="096F3173"/>
    <w:rsid w:val="096F401D"/>
    <w:rsid w:val="096F5AD2"/>
    <w:rsid w:val="096F61D8"/>
    <w:rsid w:val="096F639D"/>
    <w:rsid w:val="09701A61"/>
    <w:rsid w:val="097035F9"/>
    <w:rsid w:val="09703ADE"/>
    <w:rsid w:val="097053A7"/>
    <w:rsid w:val="09706460"/>
    <w:rsid w:val="097148BF"/>
    <w:rsid w:val="09714AB2"/>
    <w:rsid w:val="09715973"/>
    <w:rsid w:val="097163D3"/>
    <w:rsid w:val="0972111F"/>
    <w:rsid w:val="09722ECD"/>
    <w:rsid w:val="09726BC7"/>
    <w:rsid w:val="09736C45"/>
    <w:rsid w:val="097407BB"/>
    <w:rsid w:val="09741A2E"/>
    <w:rsid w:val="0974248D"/>
    <w:rsid w:val="09744C7A"/>
    <w:rsid w:val="09745EBF"/>
    <w:rsid w:val="0974675C"/>
    <w:rsid w:val="0974706B"/>
    <w:rsid w:val="0975015D"/>
    <w:rsid w:val="097501E9"/>
    <w:rsid w:val="097525CD"/>
    <w:rsid w:val="097529BD"/>
    <w:rsid w:val="09757925"/>
    <w:rsid w:val="09757CD5"/>
    <w:rsid w:val="09767CD8"/>
    <w:rsid w:val="09772BD9"/>
    <w:rsid w:val="09772EFC"/>
    <w:rsid w:val="09774987"/>
    <w:rsid w:val="09775927"/>
    <w:rsid w:val="09776735"/>
    <w:rsid w:val="09783E89"/>
    <w:rsid w:val="09784248"/>
    <w:rsid w:val="09784B65"/>
    <w:rsid w:val="09787EDC"/>
    <w:rsid w:val="097906FF"/>
    <w:rsid w:val="097A0A53"/>
    <w:rsid w:val="097A445B"/>
    <w:rsid w:val="097A4892"/>
    <w:rsid w:val="097A6225"/>
    <w:rsid w:val="097B0F60"/>
    <w:rsid w:val="097B3198"/>
    <w:rsid w:val="097B4C27"/>
    <w:rsid w:val="097B66B9"/>
    <w:rsid w:val="097C01F9"/>
    <w:rsid w:val="097D3B57"/>
    <w:rsid w:val="097D4A57"/>
    <w:rsid w:val="097D7547"/>
    <w:rsid w:val="097E09D7"/>
    <w:rsid w:val="097E3455"/>
    <w:rsid w:val="097E5D15"/>
    <w:rsid w:val="097F2793"/>
    <w:rsid w:val="097F4D6D"/>
    <w:rsid w:val="097F55EA"/>
    <w:rsid w:val="09800B49"/>
    <w:rsid w:val="098032F7"/>
    <w:rsid w:val="09811362"/>
    <w:rsid w:val="09811652"/>
    <w:rsid w:val="09815806"/>
    <w:rsid w:val="09817D31"/>
    <w:rsid w:val="098241D2"/>
    <w:rsid w:val="09826BDE"/>
    <w:rsid w:val="098307E8"/>
    <w:rsid w:val="09830919"/>
    <w:rsid w:val="09831C78"/>
    <w:rsid w:val="09832FE6"/>
    <w:rsid w:val="09834392"/>
    <w:rsid w:val="09835A53"/>
    <w:rsid w:val="098403FE"/>
    <w:rsid w:val="09840E52"/>
    <w:rsid w:val="09840F77"/>
    <w:rsid w:val="09841C9C"/>
    <w:rsid w:val="09842C00"/>
    <w:rsid w:val="098437B6"/>
    <w:rsid w:val="0984585E"/>
    <w:rsid w:val="098474C3"/>
    <w:rsid w:val="09850FEC"/>
    <w:rsid w:val="09852A7C"/>
    <w:rsid w:val="09854C80"/>
    <w:rsid w:val="098552F6"/>
    <w:rsid w:val="09861242"/>
    <w:rsid w:val="09861899"/>
    <w:rsid w:val="09861F34"/>
    <w:rsid w:val="098620E9"/>
    <w:rsid w:val="09864BCA"/>
    <w:rsid w:val="098671B3"/>
    <w:rsid w:val="098721D1"/>
    <w:rsid w:val="098730F1"/>
    <w:rsid w:val="09877457"/>
    <w:rsid w:val="09882B1C"/>
    <w:rsid w:val="0988439E"/>
    <w:rsid w:val="0988465A"/>
    <w:rsid w:val="09886674"/>
    <w:rsid w:val="09886B94"/>
    <w:rsid w:val="098905C4"/>
    <w:rsid w:val="09891EEF"/>
    <w:rsid w:val="098929CF"/>
    <w:rsid w:val="09895AEA"/>
    <w:rsid w:val="0989722B"/>
    <w:rsid w:val="098A2197"/>
    <w:rsid w:val="098A290C"/>
    <w:rsid w:val="098A49D2"/>
    <w:rsid w:val="098A6F7A"/>
    <w:rsid w:val="098A7CA9"/>
    <w:rsid w:val="098B0432"/>
    <w:rsid w:val="098B21E0"/>
    <w:rsid w:val="098B30C7"/>
    <w:rsid w:val="098B459B"/>
    <w:rsid w:val="098B471C"/>
    <w:rsid w:val="098B7457"/>
    <w:rsid w:val="098C0E8E"/>
    <w:rsid w:val="098C1E23"/>
    <w:rsid w:val="098C2362"/>
    <w:rsid w:val="098C6A2C"/>
    <w:rsid w:val="098D7D07"/>
    <w:rsid w:val="098E1701"/>
    <w:rsid w:val="098E3A7F"/>
    <w:rsid w:val="098E4041"/>
    <w:rsid w:val="098E4B08"/>
    <w:rsid w:val="098F027E"/>
    <w:rsid w:val="098F2134"/>
    <w:rsid w:val="098F242D"/>
    <w:rsid w:val="098F309D"/>
    <w:rsid w:val="098F5625"/>
    <w:rsid w:val="09903C9B"/>
    <w:rsid w:val="099051AE"/>
    <w:rsid w:val="09905A49"/>
    <w:rsid w:val="09906C94"/>
    <w:rsid w:val="099135F4"/>
    <w:rsid w:val="099159FF"/>
    <w:rsid w:val="09917321"/>
    <w:rsid w:val="099202DB"/>
    <w:rsid w:val="099202DD"/>
    <w:rsid w:val="0992221B"/>
    <w:rsid w:val="09927998"/>
    <w:rsid w:val="09931095"/>
    <w:rsid w:val="09931762"/>
    <w:rsid w:val="0993248D"/>
    <w:rsid w:val="09934A66"/>
    <w:rsid w:val="09942BFD"/>
    <w:rsid w:val="099437A7"/>
    <w:rsid w:val="099472E7"/>
    <w:rsid w:val="0995177C"/>
    <w:rsid w:val="0995305F"/>
    <w:rsid w:val="099533A7"/>
    <w:rsid w:val="09961965"/>
    <w:rsid w:val="09963A34"/>
    <w:rsid w:val="09964EBB"/>
    <w:rsid w:val="09964F00"/>
    <w:rsid w:val="09970A67"/>
    <w:rsid w:val="09972851"/>
    <w:rsid w:val="09975029"/>
    <w:rsid w:val="09976DD7"/>
    <w:rsid w:val="099801A9"/>
    <w:rsid w:val="0998217C"/>
    <w:rsid w:val="0998218D"/>
    <w:rsid w:val="099861A7"/>
    <w:rsid w:val="09986605"/>
    <w:rsid w:val="09987C68"/>
    <w:rsid w:val="09994C3A"/>
    <w:rsid w:val="09994D98"/>
    <w:rsid w:val="099955DF"/>
    <w:rsid w:val="099964E1"/>
    <w:rsid w:val="099979A1"/>
    <w:rsid w:val="099A0675"/>
    <w:rsid w:val="099A63EC"/>
    <w:rsid w:val="099B1640"/>
    <w:rsid w:val="099B7C7C"/>
    <w:rsid w:val="099C0CA0"/>
    <w:rsid w:val="099C263F"/>
    <w:rsid w:val="099C43EE"/>
    <w:rsid w:val="099C6886"/>
    <w:rsid w:val="099D5ECC"/>
    <w:rsid w:val="099D6A56"/>
    <w:rsid w:val="099E0636"/>
    <w:rsid w:val="099E1B21"/>
    <w:rsid w:val="099E26BB"/>
    <w:rsid w:val="099F1422"/>
    <w:rsid w:val="099F1451"/>
    <w:rsid w:val="099F1CAE"/>
    <w:rsid w:val="099F71D5"/>
    <w:rsid w:val="09A05B9F"/>
    <w:rsid w:val="09A1031D"/>
    <w:rsid w:val="09A1096D"/>
    <w:rsid w:val="09A137B2"/>
    <w:rsid w:val="09A13C39"/>
    <w:rsid w:val="09A1533B"/>
    <w:rsid w:val="09A17C56"/>
    <w:rsid w:val="09A210E9"/>
    <w:rsid w:val="09A22349"/>
    <w:rsid w:val="09A272AB"/>
    <w:rsid w:val="09A2740F"/>
    <w:rsid w:val="09A302CB"/>
    <w:rsid w:val="09A339CE"/>
    <w:rsid w:val="09A33DE6"/>
    <w:rsid w:val="09A35892"/>
    <w:rsid w:val="09A366D1"/>
    <w:rsid w:val="09A432A2"/>
    <w:rsid w:val="09A43E33"/>
    <w:rsid w:val="09A45050"/>
    <w:rsid w:val="09A4591D"/>
    <w:rsid w:val="09A45D61"/>
    <w:rsid w:val="09A47D25"/>
    <w:rsid w:val="09A514F4"/>
    <w:rsid w:val="09A552C3"/>
    <w:rsid w:val="09A56A02"/>
    <w:rsid w:val="09A56A09"/>
    <w:rsid w:val="09A62261"/>
    <w:rsid w:val="09A6701A"/>
    <w:rsid w:val="09A70FA7"/>
    <w:rsid w:val="09A714FB"/>
    <w:rsid w:val="09A724D3"/>
    <w:rsid w:val="09A728F1"/>
    <w:rsid w:val="09A73AE4"/>
    <w:rsid w:val="09A753B3"/>
    <w:rsid w:val="09A754CA"/>
    <w:rsid w:val="09A80FE4"/>
    <w:rsid w:val="09A81006"/>
    <w:rsid w:val="09A824E5"/>
    <w:rsid w:val="09A83D09"/>
    <w:rsid w:val="09A908B8"/>
    <w:rsid w:val="09A936F2"/>
    <w:rsid w:val="09A95BD3"/>
    <w:rsid w:val="09A964ED"/>
    <w:rsid w:val="09AA273E"/>
    <w:rsid w:val="09AA280F"/>
    <w:rsid w:val="09AA2CD3"/>
    <w:rsid w:val="09AA4490"/>
    <w:rsid w:val="09AA6B0A"/>
    <w:rsid w:val="09AB49A9"/>
    <w:rsid w:val="09AB6350"/>
    <w:rsid w:val="09AB63DF"/>
    <w:rsid w:val="09AB7E1B"/>
    <w:rsid w:val="09AC7EB3"/>
    <w:rsid w:val="09AD03A9"/>
    <w:rsid w:val="09AD381B"/>
    <w:rsid w:val="09AD47F6"/>
    <w:rsid w:val="09AD4EE5"/>
    <w:rsid w:val="09AD78AA"/>
    <w:rsid w:val="09AE0BBB"/>
    <w:rsid w:val="09AE14E4"/>
    <w:rsid w:val="09AF2373"/>
    <w:rsid w:val="09AF4121"/>
    <w:rsid w:val="09AF5ECF"/>
    <w:rsid w:val="09B01C47"/>
    <w:rsid w:val="09B02116"/>
    <w:rsid w:val="09B039F5"/>
    <w:rsid w:val="09B06A11"/>
    <w:rsid w:val="09B07E99"/>
    <w:rsid w:val="09B1138E"/>
    <w:rsid w:val="09B13436"/>
    <w:rsid w:val="09B1509A"/>
    <w:rsid w:val="09B22DCF"/>
    <w:rsid w:val="09B23C11"/>
    <w:rsid w:val="09B24C13"/>
    <w:rsid w:val="09B27641"/>
    <w:rsid w:val="09B2776D"/>
    <w:rsid w:val="09B33231"/>
    <w:rsid w:val="09B34641"/>
    <w:rsid w:val="09B35F8E"/>
    <w:rsid w:val="09B3643D"/>
    <w:rsid w:val="09B4048F"/>
    <w:rsid w:val="09B40FC2"/>
    <w:rsid w:val="09B45978"/>
    <w:rsid w:val="09B45CCA"/>
    <w:rsid w:val="09B5177D"/>
    <w:rsid w:val="09B54EF9"/>
    <w:rsid w:val="09B5725D"/>
    <w:rsid w:val="09B5777D"/>
    <w:rsid w:val="09B637C9"/>
    <w:rsid w:val="09B64B07"/>
    <w:rsid w:val="09B655A3"/>
    <w:rsid w:val="09B65ECA"/>
    <w:rsid w:val="09B730DA"/>
    <w:rsid w:val="09B75863"/>
    <w:rsid w:val="09B839E4"/>
    <w:rsid w:val="09B84738"/>
    <w:rsid w:val="09B87655"/>
    <w:rsid w:val="09B90092"/>
    <w:rsid w:val="09B94BC9"/>
    <w:rsid w:val="09B951E6"/>
    <w:rsid w:val="09B96675"/>
    <w:rsid w:val="09B96D4E"/>
    <w:rsid w:val="09BA0139"/>
    <w:rsid w:val="09BA2AC6"/>
    <w:rsid w:val="09BA5B0F"/>
    <w:rsid w:val="09BB0D18"/>
    <w:rsid w:val="09BB6FD3"/>
    <w:rsid w:val="09BB74E9"/>
    <w:rsid w:val="09BB7501"/>
    <w:rsid w:val="09BC3319"/>
    <w:rsid w:val="09BC60E5"/>
    <w:rsid w:val="09BE25B6"/>
    <w:rsid w:val="09BE4364"/>
    <w:rsid w:val="09BE6112"/>
    <w:rsid w:val="09BF0779"/>
    <w:rsid w:val="09BF0E44"/>
    <w:rsid w:val="09BF1E8A"/>
    <w:rsid w:val="09BF2F11"/>
    <w:rsid w:val="09BF3A8B"/>
    <w:rsid w:val="09BF72F9"/>
    <w:rsid w:val="09C00006"/>
    <w:rsid w:val="09C000DC"/>
    <w:rsid w:val="09C0037F"/>
    <w:rsid w:val="09C014E7"/>
    <w:rsid w:val="09C01FBF"/>
    <w:rsid w:val="09C05B12"/>
    <w:rsid w:val="09C0632E"/>
    <w:rsid w:val="09C11E9C"/>
    <w:rsid w:val="09C13651"/>
    <w:rsid w:val="09C13E54"/>
    <w:rsid w:val="09C13F06"/>
    <w:rsid w:val="09C15C02"/>
    <w:rsid w:val="09C20F64"/>
    <w:rsid w:val="09C3103F"/>
    <w:rsid w:val="09C310C2"/>
    <w:rsid w:val="09C3197A"/>
    <w:rsid w:val="09C328FE"/>
    <w:rsid w:val="09C33728"/>
    <w:rsid w:val="09C35C7A"/>
    <w:rsid w:val="09C35E1E"/>
    <w:rsid w:val="09C37BCC"/>
    <w:rsid w:val="09C47E5A"/>
    <w:rsid w:val="09C53944"/>
    <w:rsid w:val="09C556F2"/>
    <w:rsid w:val="09C565A4"/>
    <w:rsid w:val="09C57422"/>
    <w:rsid w:val="09C5766D"/>
    <w:rsid w:val="09C57AFD"/>
    <w:rsid w:val="09C619CD"/>
    <w:rsid w:val="09C63851"/>
    <w:rsid w:val="09C65122"/>
    <w:rsid w:val="09C65D3C"/>
    <w:rsid w:val="09C70A0A"/>
    <w:rsid w:val="09C75C6B"/>
    <w:rsid w:val="09C76A73"/>
    <w:rsid w:val="09C7714F"/>
    <w:rsid w:val="09C818D2"/>
    <w:rsid w:val="09C826C8"/>
    <w:rsid w:val="09C82A7E"/>
    <w:rsid w:val="09C83435"/>
    <w:rsid w:val="09C845D4"/>
    <w:rsid w:val="09C86507"/>
    <w:rsid w:val="09C902BC"/>
    <w:rsid w:val="09C90F0F"/>
    <w:rsid w:val="09C92C59"/>
    <w:rsid w:val="09C92F7C"/>
    <w:rsid w:val="09C94AB7"/>
    <w:rsid w:val="09CA1168"/>
    <w:rsid w:val="09CB082F"/>
    <w:rsid w:val="09CB6A81"/>
    <w:rsid w:val="09CC2C6C"/>
    <w:rsid w:val="09CC4BA9"/>
    <w:rsid w:val="09CC7B74"/>
    <w:rsid w:val="09CD18FD"/>
    <w:rsid w:val="09CD1FCD"/>
    <w:rsid w:val="09CD21B2"/>
    <w:rsid w:val="09CD3367"/>
    <w:rsid w:val="09CD5637"/>
    <w:rsid w:val="09CE1195"/>
    <w:rsid w:val="09CE595E"/>
    <w:rsid w:val="09CF031F"/>
    <w:rsid w:val="09CF3FEB"/>
    <w:rsid w:val="09CF47C3"/>
    <w:rsid w:val="09CF6571"/>
    <w:rsid w:val="09CF6C84"/>
    <w:rsid w:val="09D04097"/>
    <w:rsid w:val="09D067DD"/>
    <w:rsid w:val="09D1170E"/>
    <w:rsid w:val="09D13BCE"/>
    <w:rsid w:val="09D21BBD"/>
    <w:rsid w:val="09D2578A"/>
    <w:rsid w:val="09D26061"/>
    <w:rsid w:val="09D27E0F"/>
    <w:rsid w:val="09D30340"/>
    <w:rsid w:val="09D32C68"/>
    <w:rsid w:val="09D3532B"/>
    <w:rsid w:val="09D36CFF"/>
    <w:rsid w:val="09D41DD9"/>
    <w:rsid w:val="09D43B87"/>
    <w:rsid w:val="09D442A2"/>
    <w:rsid w:val="09D45935"/>
    <w:rsid w:val="09D50EF5"/>
    <w:rsid w:val="09D51B81"/>
    <w:rsid w:val="09D5345C"/>
    <w:rsid w:val="09D56957"/>
    <w:rsid w:val="09D56B57"/>
    <w:rsid w:val="09D61639"/>
    <w:rsid w:val="09D62FD1"/>
    <w:rsid w:val="09D65D7D"/>
    <w:rsid w:val="09D66193"/>
    <w:rsid w:val="09D67486"/>
    <w:rsid w:val="09D70151"/>
    <w:rsid w:val="09D7368B"/>
    <w:rsid w:val="09D74664"/>
    <w:rsid w:val="09D750A5"/>
    <w:rsid w:val="09D7678A"/>
    <w:rsid w:val="09D80C8F"/>
    <w:rsid w:val="09D83D37"/>
    <w:rsid w:val="09D83D52"/>
    <w:rsid w:val="09D84143"/>
    <w:rsid w:val="09D8654B"/>
    <w:rsid w:val="09D86F5F"/>
    <w:rsid w:val="09D9119E"/>
    <w:rsid w:val="09D92EFE"/>
    <w:rsid w:val="09D92F4C"/>
    <w:rsid w:val="09D96193"/>
    <w:rsid w:val="09DA0E00"/>
    <w:rsid w:val="09DA35A3"/>
    <w:rsid w:val="09DA3F01"/>
    <w:rsid w:val="09DA6CC4"/>
    <w:rsid w:val="09DB08CB"/>
    <w:rsid w:val="09DB28BD"/>
    <w:rsid w:val="09DB425A"/>
    <w:rsid w:val="09DC2A3C"/>
    <w:rsid w:val="09DC6ABA"/>
    <w:rsid w:val="09DD03FD"/>
    <w:rsid w:val="09DD14A8"/>
    <w:rsid w:val="09DE0DC2"/>
    <w:rsid w:val="09DE15ED"/>
    <w:rsid w:val="09DE3D94"/>
    <w:rsid w:val="09DE67B4"/>
    <w:rsid w:val="09DF346A"/>
    <w:rsid w:val="09DF577A"/>
    <w:rsid w:val="09DF68E3"/>
    <w:rsid w:val="09E0077E"/>
    <w:rsid w:val="09E013D8"/>
    <w:rsid w:val="09E0186E"/>
    <w:rsid w:val="09E0252C"/>
    <w:rsid w:val="09E0295F"/>
    <w:rsid w:val="09E07746"/>
    <w:rsid w:val="09E10052"/>
    <w:rsid w:val="09E11445"/>
    <w:rsid w:val="09E11DB2"/>
    <w:rsid w:val="09E13DD4"/>
    <w:rsid w:val="09E14DD8"/>
    <w:rsid w:val="09E164FA"/>
    <w:rsid w:val="09E238CF"/>
    <w:rsid w:val="09E259C6"/>
    <w:rsid w:val="09E26350"/>
    <w:rsid w:val="09E27E40"/>
    <w:rsid w:val="09E30267"/>
    <w:rsid w:val="09E30797"/>
    <w:rsid w:val="09E3201C"/>
    <w:rsid w:val="09E32BA3"/>
    <w:rsid w:val="09E33DCA"/>
    <w:rsid w:val="09E366F4"/>
    <w:rsid w:val="09E409D5"/>
    <w:rsid w:val="09E43061"/>
    <w:rsid w:val="09E4677A"/>
    <w:rsid w:val="09E47631"/>
    <w:rsid w:val="09E51014"/>
    <w:rsid w:val="09E518F1"/>
    <w:rsid w:val="09E577EB"/>
    <w:rsid w:val="09E65669"/>
    <w:rsid w:val="09E65A4F"/>
    <w:rsid w:val="09E66688"/>
    <w:rsid w:val="09E709AC"/>
    <w:rsid w:val="09E7339B"/>
    <w:rsid w:val="09E77764"/>
    <w:rsid w:val="09E84639"/>
    <w:rsid w:val="09E85FBC"/>
    <w:rsid w:val="09E86505"/>
    <w:rsid w:val="09E865D3"/>
    <w:rsid w:val="09E877F8"/>
    <w:rsid w:val="09E92566"/>
    <w:rsid w:val="09E96966"/>
    <w:rsid w:val="09EA03E4"/>
    <w:rsid w:val="09EA23AD"/>
    <w:rsid w:val="09EA33AB"/>
    <w:rsid w:val="09EA39F6"/>
    <w:rsid w:val="09EA6F07"/>
    <w:rsid w:val="09EB0ED1"/>
    <w:rsid w:val="09EB11AB"/>
    <w:rsid w:val="09EB2C7F"/>
    <w:rsid w:val="09EC188E"/>
    <w:rsid w:val="09EC60A3"/>
    <w:rsid w:val="09ED69F7"/>
    <w:rsid w:val="09EE3807"/>
    <w:rsid w:val="09EF09C1"/>
    <w:rsid w:val="09EF4385"/>
    <w:rsid w:val="09F02AD6"/>
    <w:rsid w:val="09F064E7"/>
    <w:rsid w:val="09F07B38"/>
    <w:rsid w:val="09F10B3E"/>
    <w:rsid w:val="09F12956"/>
    <w:rsid w:val="09F139DA"/>
    <w:rsid w:val="09F14323"/>
    <w:rsid w:val="09F14739"/>
    <w:rsid w:val="09F15A65"/>
    <w:rsid w:val="09F16D05"/>
    <w:rsid w:val="09F204B1"/>
    <w:rsid w:val="09F2287B"/>
    <w:rsid w:val="09F22B71"/>
    <w:rsid w:val="09F238EF"/>
    <w:rsid w:val="09F23A33"/>
    <w:rsid w:val="09F26440"/>
    <w:rsid w:val="09F31D69"/>
    <w:rsid w:val="09F31EAA"/>
    <w:rsid w:val="09F3488B"/>
    <w:rsid w:val="09F35D76"/>
    <w:rsid w:val="09F410FD"/>
    <w:rsid w:val="09F43F3E"/>
    <w:rsid w:val="09F4422A"/>
    <w:rsid w:val="09F45FD8"/>
    <w:rsid w:val="09F558AC"/>
    <w:rsid w:val="09F57328"/>
    <w:rsid w:val="09F61D50"/>
    <w:rsid w:val="09F65B33"/>
    <w:rsid w:val="09F66FF0"/>
    <w:rsid w:val="09F6721F"/>
    <w:rsid w:val="09F67FE5"/>
    <w:rsid w:val="09F75AC8"/>
    <w:rsid w:val="09F816EB"/>
    <w:rsid w:val="09F818BD"/>
    <w:rsid w:val="09F85FB5"/>
    <w:rsid w:val="09F8748A"/>
    <w:rsid w:val="09F87613"/>
    <w:rsid w:val="09F90948"/>
    <w:rsid w:val="09F91840"/>
    <w:rsid w:val="09F93BE8"/>
    <w:rsid w:val="09F93DAC"/>
    <w:rsid w:val="09F97ACF"/>
    <w:rsid w:val="09FA3161"/>
    <w:rsid w:val="09FA3176"/>
    <w:rsid w:val="09FA7CA9"/>
    <w:rsid w:val="09FB0D09"/>
    <w:rsid w:val="09FB0FF0"/>
    <w:rsid w:val="09FB1114"/>
    <w:rsid w:val="09FB2881"/>
    <w:rsid w:val="09FB55B8"/>
    <w:rsid w:val="09FB57A5"/>
    <w:rsid w:val="09FB6381"/>
    <w:rsid w:val="09FC30DE"/>
    <w:rsid w:val="09FC5E0B"/>
    <w:rsid w:val="09FC6544"/>
    <w:rsid w:val="09FC6C3A"/>
    <w:rsid w:val="09FC74DF"/>
    <w:rsid w:val="09FD38DC"/>
    <w:rsid w:val="09FE0C04"/>
    <w:rsid w:val="09FE29B2"/>
    <w:rsid w:val="09FE2D33"/>
    <w:rsid w:val="09FE6E56"/>
    <w:rsid w:val="09FE743C"/>
    <w:rsid w:val="09FF0C1C"/>
    <w:rsid w:val="09FF0E12"/>
    <w:rsid w:val="09FF478C"/>
    <w:rsid w:val="09FF5BA1"/>
    <w:rsid w:val="09FF7E17"/>
    <w:rsid w:val="0A000133"/>
    <w:rsid w:val="0A0009B5"/>
    <w:rsid w:val="0A002BCE"/>
    <w:rsid w:val="0A00389E"/>
    <w:rsid w:val="0A00497C"/>
    <w:rsid w:val="0A005277"/>
    <w:rsid w:val="0A005C1C"/>
    <w:rsid w:val="0A0073E9"/>
    <w:rsid w:val="0A0107ED"/>
    <w:rsid w:val="0A01107C"/>
    <w:rsid w:val="0A0124A3"/>
    <w:rsid w:val="0A014251"/>
    <w:rsid w:val="0A020530"/>
    <w:rsid w:val="0A021C7D"/>
    <w:rsid w:val="0A0250B2"/>
    <w:rsid w:val="0A0263D2"/>
    <w:rsid w:val="0A026419"/>
    <w:rsid w:val="0A032054"/>
    <w:rsid w:val="0A0334A7"/>
    <w:rsid w:val="0A03446D"/>
    <w:rsid w:val="0A037FC9"/>
    <w:rsid w:val="0A043E81"/>
    <w:rsid w:val="0A046FB0"/>
    <w:rsid w:val="0A0509EF"/>
    <w:rsid w:val="0A050C49"/>
    <w:rsid w:val="0A051390"/>
    <w:rsid w:val="0A051F1B"/>
    <w:rsid w:val="0A053D41"/>
    <w:rsid w:val="0A0541A4"/>
    <w:rsid w:val="0A05688E"/>
    <w:rsid w:val="0A0600FD"/>
    <w:rsid w:val="0A060617"/>
    <w:rsid w:val="0A063072"/>
    <w:rsid w:val="0A0668FB"/>
    <w:rsid w:val="0A07230C"/>
    <w:rsid w:val="0A081A83"/>
    <w:rsid w:val="0A081F80"/>
    <w:rsid w:val="0A08379E"/>
    <w:rsid w:val="0A083831"/>
    <w:rsid w:val="0A0855DF"/>
    <w:rsid w:val="0A091961"/>
    <w:rsid w:val="0A091B50"/>
    <w:rsid w:val="0A0924BD"/>
    <w:rsid w:val="0A0967DF"/>
    <w:rsid w:val="0A0A116F"/>
    <w:rsid w:val="0A0A1357"/>
    <w:rsid w:val="0A0A2FE0"/>
    <w:rsid w:val="0A0A57FB"/>
    <w:rsid w:val="0A0B07FE"/>
    <w:rsid w:val="0A0B0E27"/>
    <w:rsid w:val="0A0B4348"/>
    <w:rsid w:val="0A0B50CF"/>
    <w:rsid w:val="0A0B58B3"/>
    <w:rsid w:val="0A0B5A26"/>
    <w:rsid w:val="0A0C1573"/>
    <w:rsid w:val="0A0C3321"/>
    <w:rsid w:val="0A0C752F"/>
    <w:rsid w:val="0A0D1353"/>
    <w:rsid w:val="0A0D1961"/>
    <w:rsid w:val="0A0D3F7E"/>
    <w:rsid w:val="0A0D5181"/>
    <w:rsid w:val="0A0D52EB"/>
    <w:rsid w:val="0A0D7099"/>
    <w:rsid w:val="0A0E3355"/>
    <w:rsid w:val="0A0E356F"/>
    <w:rsid w:val="0A0E45C0"/>
    <w:rsid w:val="0A0F174F"/>
    <w:rsid w:val="0A0F275B"/>
    <w:rsid w:val="0A0F2E11"/>
    <w:rsid w:val="0A0F379F"/>
    <w:rsid w:val="0A0F3F90"/>
    <w:rsid w:val="0A0F4BBF"/>
    <w:rsid w:val="0A102090"/>
    <w:rsid w:val="0A1059D8"/>
    <w:rsid w:val="0A106D03"/>
    <w:rsid w:val="0A1149EF"/>
    <w:rsid w:val="0A115858"/>
    <w:rsid w:val="0A116B8A"/>
    <w:rsid w:val="0A120031"/>
    <w:rsid w:val="0A12109E"/>
    <w:rsid w:val="0A122902"/>
    <w:rsid w:val="0A12645E"/>
    <w:rsid w:val="0A127F2D"/>
    <w:rsid w:val="0A13020B"/>
    <w:rsid w:val="0A1310D0"/>
    <w:rsid w:val="0A134092"/>
    <w:rsid w:val="0A1357D3"/>
    <w:rsid w:val="0A135DD1"/>
    <w:rsid w:val="0A1364A8"/>
    <w:rsid w:val="0A13690B"/>
    <w:rsid w:val="0A140428"/>
    <w:rsid w:val="0A1415A9"/>
    <w:rsid w:val="0A1421D6"/>
    <w:rsid w:val="0A144A0A"/>
    <w:rsid w:val="0A145522"/>
    <w:rsid w:val="0A14667A"/>
    <w:rsid w:val="0A157CFC"/>
    <w:rsid w:val="0A161EE8"/>
    <w:rsid w:val="0A171CC6"/>
    <w:rsid w:val="0A17391E"/>
    <w:rsid w:val="0A1755E4"/>
    <w:rsid w:val="0A18194B"/>
    <w:rsid w:val="0A181E38"/>
    <w:rsid w:val="0A182290"/>
    <w:rsid w:val="0A18312D"/>
    <w:rsid w:val="0A186868"/>
    <w:rsid w:val="0A187F18"/>
    <w:rsid w:val="0A187FCA"/>
    <w:rsid w:val="0A193C90"/>
    <w:rsid w:val="0A1977EC"/>
    <w:rsid w:val="0A197803"/>
    <w:rsid w:val="0A197CF7"/>
    <w:rsid w:val="0A1A2F5E"/>
    <w:rsid w:val="0A1A3B9F"/>
    <w:rsid w:val="0A1B17B6"/>
    <w:rsid w:val="0A1B27DD"/>
    <w:rsid w:val="0A1B2824"/>
    <w:rsid w:val="0A1B622E"/>
    <w:rsid w:val="0A1C7013"/>
    <w:rsid w:val="0A1C72DC"/>
    <w:rsid w:val="0A1C78BF"/>
    <w:rsid w:val="0A1D0A7B"/>
    <w:rsid w:val="0A1D1456"/>
    <w:rsid w:val="0A1D15F8"/>
    <w:rsid w:val="0A1D552E"/>
    <w:rsid w:val="0A1D5673"/>
    <w:rsid w:val="0A1D5E7B"/>
    <w:rsid w:val="0A1E28E6"/>
    <w:rsid w:val="0A1E3055"/>
    <w:rsid w:val="0A1E390F"/>
    <w:rsid w:val="0A1E44EA"/>
    <w:rsid w:val="0A1E4B12"/>
    <w:rsid w:val="0A1F3D76"/>
    <w:rsid w:val="0A200B7B"/>
    <w:rsid w:val="0A203335"/>
    <w:rsid w:val="0A20501F"/>
    <w:rsid w:val="0A207FDE"/>
    <w:rsid w:val="0A2108CD"/>
    <w:rsid w:val="0A210925"/>
    <w:rsid w:val="0A21150B"/>
    <w:rsid w:val="0A212CD3"/>
    <w:rsid w:val="0A216696"/>
    <w:rsid w:val="0A2166A1"/>
    <w:rsid w:val="0A2172F0"/>
    <w:rsid w:val="0A217B6C"/>
    <w:rsid w:val="0A220E1E"/>
    <w:rsid w:val="0A221BE9"/>
    <w:rsid w:val="0A222B45"/>
    <w:rsid w:val="0A222C56"/>
    <w:rsid w:val="0A223B8C"/>
    <w:rsid w:val="0A226C3D"/>
    <w:rsid w:val="0A227DB6"/>
    <w:rsid w:val="0A232419"/>
    <w:rsid w:val="0A23284D"/>
    <w:rsid w:val="0A2368BD"/>
    <w:rsid w:val="0A237D1E"/>
    <w:rsid w:val="0A24161E"/>
    <w:rsid w:val="0A2431A0"/>
    <w:rsid w:val="0A245017"/>
    <w:rsid w:val="0A24791C"/>
    <w:rsid w:val="0A247EF4"/>
    <w:rsid w:val="0A250C3F"/>
    <w:rsid w:val="0A251DFF"/>
    <w:rsid w:val="0A252635"/>
    <w:rsid w:val="0A2543E3"/>
    <w:rsid w:val="0A257EEB"/>
    <w:rsid w:val="0A260BE9"/>
    <w:rsid w:val="0A261078"/>
    <w:rsid w:val="0A261F09"/>
    <w:rsid w:val="0A26411F"/>
    <w:rsid w:val="0A26798A"/>
    <w:rsid w:val="0A27015B"/>
    <w:rsid w:val="0A271B14"/>
    <w:rsid w:val="0A272508"/>
    <w:rsid w:val="0A280AB7"/>
    <w:rsid w:val="0A283998"/>
    <w:rsid w:val="0A283ED3"/>
    <w:rsid w:val="0A285C81"/>
    <w:rsid w:val="0A291A01"/>
    <w:rsid w:val="0A294E28"/>
    <w:rsid w:val="0A297574"/>
    <w:rsid w:val="0A2A19F9"/>
    <w:rsid w:val="0A2A23C3"/>
    <w:rsid w:val="0A2A37A7"/>
    <w:rsid w:val="0A2A46A3"/>
    <w:rsid w:val="0A2B2499"/>
    <w:rsid w:val="0A2C4216"/>
    <w:rsid w:val="0A2C5D2B"/>
    <w:rsid w:val="0A2C7BE6"/>
    <w:rsid w:val="0A2D14EA"/>
    <w:rsid w:val="0A2D1934"/>
    <w:rsid w:val="0A2D5046"/>
    <w:rsid w:val="0A2D65F0"/>
    <w:rsid w:val="0A2D7330"/>
    <w:rsid w:val="0A2E4A30"/>
    <w:rsid w:val="0A2E53F2"/>
    <w:rsid w:val="0A2E66CD"/>
    <w:rsid w:val="0A2F36F9"/>
    <w:rsid w:val="0A2F7010"/>
    <w:rsid w:val="0A30115F"/>
    <w:rsid w:val="0A305A7B"/>
    <w:rsid w:val="0A306426"/>
    <w:rsid w:val="0A310FDA"/>
    <w:rsid w:val="0A311045"/>
    <w:rsid w:val="0A311283"/>
    <w:rsid w:val="0A312D88"/>
    <w:rsid w:val="0A313698"/>
    <w:rsid w:val="0A313D26"/>
    <w:rsid w:val="0A31457E"/>
    <w:rsid w:val="0A316642"/>
    <w:rsid w:val="0A3208AE"/>
    <w:rsid w:val="0A324829"/>
    <w:rsid w:val="0A326B00"/>
    <w:rsid w:val="0A330904"/>
    <w:rsid w:val="0A330AAB"/>
    <w:rsid w:val="0A3428E9"/>
    <w:rsid w:val="0A344626"/>
    <w:rsid w:val="0A345CBC"/>
    <w:rsid w:val="0A3463D4"/>
    <w:rsid w:val="0A350804"/>
    <w:rsid w:val="0A3509F7"/>
    <w:rsid w:val="0A3545BF"/>
    <w:rsid w:val="0A35620C"/>
    <w:rsid w:val="0A36039E"/>
    <w:rsid w:val="0A360B6D"/>
    <w:rsid w:val="0A36319C"/>
    <w:rsid w:val="0A3665F0"/>
    <w:rsid w:val="0A367498"/>
    <w:rsid w:val="0A3708BC"/>
    <w:rsid w:val="0A37397F"/>
    <w:rsid w:val="0A374116"/>
    <w:rsid w:val="0A375391"/>
    <w:rsid w:val="0A375EC4"/>
    <w:rsid w:val="0A376863"/>
    <w:rsid w:val="0A38067D"/>
    <w:rsid w:val="0A382368"/>
    <w:rsid w:val="0A387D70"/>
    <w:rsid w:val="0A39196F"/>
    <w:rsid w:val="0A3960E0"/>
    <w:rsid w:val="0A396D80"/>
    <w:rsid w:val="0A397E8E"/>
    <w:rsid w:val="0A3A081F"/>
    <w:rsid w:val="0A3A097E"/>
    <w:rsid w:val="0A3A3C6B"/>
    <w:rsid w:val="0A3A44AE"/>
    <w:rsid w:val="0A3A4812"/>
    <w:rsid w:val="0A3A5453"/>
    <w:rsid w:val="0A3B03FB"/>
    <w:rsid w:val="0A3B0D24"/>
    <w:rsid w:val="0A3B2DB4"/>
    <w:rsid w:val="0A3B3C93"/>
    <w:rsid w:val="0A3B4107"/>
    <w:rsid w:val="0A3B48B9"/>
    <w:rsid w:val="0A3C0F7B"/>
    <w:rsid w:val="0A3C160F"/>
    <w:rsid w:val="0A3C329E"/>
    <w:rsid w:val="0A3C34DB"/>
    <w:rsid w:val="0A3C391B"/>
    <w:rsid w:val="0A3C5552"/>
    <w:rsid w:val="0A3C752A"/>
    <w:rsid w:val="0A3D172D"/>
    <w:rsid w:val="0A3E0F82"/>
    <w:rsid w:val="0A3E16AA"/>
    <w:rsid w:val="0A3E28D2"/>
    <w:rsid w:val="0A3E3583"/>
    <w:rsid w:val="0A3E36F7"/>
    <w:rsid w:val="0A3E4216"/>
    <w:rsid w:val="0A3E5BBE"/>
    <w:rsid w:val="0A3F2D93"/>
    <w:rsid w:val="0A3F3062"/>
    <w:rsid w:val="0A3F3469"/>
    <w:rsid w:val="0A3F6AA1"/>
    <w:rsid w:val="0A4023E0"/>
    <w:rsid w:val="0A402FCB"/>
    <w:rsid w:val="0A403054"/>
    <w:rsid w:val="0A40746F"/>
    <w:rsid w:val="0A407870"/>
    <w:rsid w:val="0A407D85"/>
    <w:rsid w:val="0A407EA9"/>
    <w:rsid w:val="0A410050"/>
    <w:rsid w:val="0A410550"/>
    <w:rsid w:val="0A4109DE"/>
    <w:rsid w:val="0A410AF1"/>
    <w:rsid w:val="0A411F0A"/>
    <w:rsid w:val="0A41392B"/>
    <w:rsid w:val="0A424F95"/>
    <w:rsid w:val="0A430D0D"/>
    <w:rsid w:val="0A43123B"/>
    <w:rsid w:val="0A432ABB"/>
    <w:rsid w:val="0A434444"/>
    <w:rsid w:val="0A434869"/>
    <w:rsid w:val="0A4505E1"/>
    <w:rsid w:val="0A456833"/>
    <w:rsid w:val="0A460AF5"/>
    <w:rsid w:val="0A466107"/>
    <w:rsid w:val="0A467DB9"/>
    <w:rsid w:val="0A4706F7"/>
    <w:rsid w:val="0A4707FD"/>
    <w:rsid w:val="0A47142B"/>
    <w:rsid w:val="0A4756F2"/>
    <w:rsid w:val="0A48381C"/>
    <w:rsid w:val="0A4851E5"/>
    <w:rsid w:val="0A495D5A"/>
    <w:rsid w:val="0A496AA6"/>
    <w:rsid w:val="0A4A0C45"/>
    <w:rsid w:val="0A4A1C71"/>
    <w:rsid w:val="0A4A2989"/>
    <w:rsid w:val="0A4A3E4A"/>
    <w:rsid w:val="0A4A591E"/>
    <w:rsid w:val="0A4A5BF8"/>
    <w:rsid w:val="0A4B1A7C"/>
    <w:rsid w:val="0A4B7ECA"/>
    <w:rsid w:val="0A4C1970"/>
    <w:rsid w:val="0A4C1C5D"/>
    <w:rsid w:val="0A4C1C9A"/>
    <w:rsid w:val="0A4C1D99"/>
    <w:rsid w:val="0A4C2EA5"/>
    <w:rsid w:val="0A4C5E14"/>
    <w:rsid w:val="0A4C78EE"/>
    <w:rsid w:val="0A4C7BC2"/>
    <w:rsid w:val="0A4C7FD1"/>
    <w:rsid w:val="0A4D34D3"/>
    <w:rsid w:val="0A4D350E"/>
    <w:rsid w:val="0A4D380A"/>
    <w:rsid w:val="0A4D4F9D"/>
    <w:rsid w:val="0A4D56E8"/>
    <w:rsid w:val="0A4D6DF4"/>
    <w:rsid w:val="0A4D7269"/>
    <w:rsid w:val="0A4E393A"/>
    <w:rsid w:val="0A4F102B"/>
    <w:rsid w:val="0A4F1460"/>
    <w:rsid w:val="0A4F320E"/>
    <w:rsid w:val="0A4F76B2"/>
    <w:rsid w:val="0A5018B8"/>
    <w:rsid w:val="0A501EE4"/>
    <w:rsid w:val="0A503CD5"/>
    <w:rsid w:val="0A505847"/>
    <w:rsid w:val="0A51342A"/>
    <w:rsid w:val="0A514815"/>
    <w:rsid w:val="0A5151D8"/>
    <w:rsid w:val="0A51635E"/>
    <w:rsid w:val="0A517316"/>
    <w:rsid w:val="0A526DB5"/>
    <w:rsid w:val="0A5371A2"/>
    <w:rsid w:val="0A537300"/>
    <w:rsid w:val="0A53759B"/>
    <w:rsid w:val="0A540618"/>
    <w:rsid w:val="0A540D56"/>
    <w:rsid w:val="0A541866"/>
    <w:rsid w:val="0A542CDA"/>
    <w:rsid w:val="0A543AC3"/>
    <w:rsid w:val="0A544CC8"/>
    <w:rsid w:val="0A55246C"/>
    <w:rsid w:val="0A554601"/>
    <w:rsid w:val="0A556C3E"/>
    <w:rsid w:val="0A557836"/>
    <w:rsid w:val="0A5627EE"/>
    <w:rsid w:val="0A56459C"/>
    <w:rsid w:val="0A5675AE"/>
    <w:rsid w:val="0A57245B"/>
    <w:rsid w:val="0A572A77"/>
    <w:rsid w:val="0A574BEF"/>
    <w:rsid w:val="0A576008"/>
    <w:rsid w:val="0A576647"/>
    <w:rsid w:val="0A576C91"/>
    <w:rsid w:val="0A577EA6"/>
    <w:rsid w:val="0A582DE0"/>
    <w:rsid w:val="0A583296"/>
    <w:rsid w:val="0A586119"/>
    <w:rsid w:val="0A5864AC"/>
    <w:rsid w:val="0A586566"/>
    <w:rsid w:val="0A5922DF"/>
    <w:rsid w:val="0A59542B"/>
    <w:rsid w:val="0A597BE4"/>
    <w:rsid w:val="0A5A231E"/>
    <w:rsid w:val="0A5A27D9"/>
    <w:rsid w:val="0A5A3ED9"/>
    <w:rsid w:val="0A5A6827"/>
    <w:rsid w:val="0A5B078E"/>
    <w:rsid w:val="0A5B1BB3"/>
    <w:rsid w:val="0A5B33C7"/>
    <w:rsid w:val="0A5B3D27"/>
    <w:rsid w:val="0A5B5913"/>
    <w:rsid w:val="0A5B7C9D"/>
    <w:rsid w:val="0A5B7E05"/>
    <w:rsid w:val="0A5C2888"/>
    <w:rsid w:val="0A5C4871"/>
    <w:rsid w:val="0A5C5340"/>
    <w:rsid w:val="0A5C592B"/>
    <w:rsid w:val="0A5D08C6"/>
    <w:rsid w:val="0A5D21CC"/>
    <w:rsid w:val="0A5D3B7D"/>
    <w:rsid w:val="0A5D4B41"/>
    <w:rsid w:val="0A5D5E15"/>
    <w:rsid w:val="0A5E1546"/>
    <w:rsid w:val="0A5E16A3"/>
    <w:rsid w:val="0A5E78F5"/>
    <w:rsid w:val="0A5E7D79"/>
    <w:rsid w:val="0A5F5B47"/>
    <w:rsid w:val="0A5F6638"/>
    <w:rsid w:val="0A5F6A30"/>
    <w:rsid w:val="0A5F7AC8"/>
    <w:rsid w:val="0A601138"/>
    <w:rsid w:val="0A601AF1"/>
    <w:rsid w:val="0A602699"/>
    <w:rsid w:val="0A6058D9"/>
    <w:rsid w:val="0A612C71"/>
    <w:rsid w:val="0A613A44"/>
    <w:rsid w:val="0A613B29"/>
    <w:rsid w:val="0A617297"/>
    <w:rsid w:val="0A617F01"/>
    <w:rsid w:val="0A620544"/>
    <w:rsid w:val="0A620AA0"/>
    <w:rsid w:val="0A621193"/>
    <w:rsid w:val="0A622BD3"/>
    <w:rsid w:val="0A622F41"/>
    <w:rsid w:val="0A6273E5"/>
    <w:rsid w:val="0A630CD0"/>
    <w:rsid w:val="0A635CD8"/>
    <w:rsid w:val="0A635FC3"/>
    <w:rsid w:val="0A636CB9"/>
    <w:rsid w:val="0A640748"/>
    <w:rsid w:val="0A6408FE"/>
    <w:rsid w:val="0A642E4B"/>
    <w:rsid w:val="0A64315D"/>
    <w:rsid w:val="0A6453B2"/>
    <w:rsid w:val="0A645FAD"/>
    <w:rsid w:val="0A6462CF"/>
    <w:rsid w:val="0A652A31"/>
    <w:rsid w:val="0A656ED5"/>
    <w:rsid w:val="0A657073"/>
    <w:rsid w:val="0A661295"/>
    <w:rsid w:val="0A6634BC"/>
    <w:rsid w:val="0A663F6C"/>
    <w:rsid w:val="0A670460"/>
    <w:rsid w:val="0A6707FA"/>
    <w:rsid w:val="0A6749FB"/>
    <w:rsid w:val="0A67799B"/>
    <w:rsid w:val="0A680E2B"/>
    <w:rsid w:val="0A682FFB"/>
    <w:rsid w:val="0A6839FC"/>
    <w:rsid w:val="0A68486A"/>
    <w:rsid w:val="0A692316"/>
    <w:rsid w:val="0A692F6B"/>
    <w:rsid w:val="0A696FAE"/>
    <w:rsid w:val="0A6A0048"/>
    <w:rsid w:val="0A6A073A"/>
    <w:rsid w:val="0A6A26DF"/>
    <w:rsid w:val="0A6A2FA8"/>
    <w:rsid w:val="0A6A4629"/>
    <w:rsid w:val="0A6A55ED"/>
    <w:rsid w:val="0A6A5F5B"/>
    <w:rsid w:val="0A6A629A"/>
    <w:rsid w:val="0A6A631C"/>
    <w:rsid w:val="0A6B0D40"/>
    <w:rsid w:val="0A6B1594"/>
    <w:rsid w:val="0A6B25E4"/>
    <w:rsid w:val="0A6B449D"/>
    <w:rsid w:val="0A6B60C3"/>
    <w:rsid w:val="0A6B7230"/>
    <w:rsid w:val="0A6C0264"/>
    <w:rsid w:val="0A6C327D"/>
    <w:rsid w:val="0A6C34C0"/>
    <w:rsid w:val="0A6C3D95"/>
    <w:rsid w:val="0A6C3DC0"/>
    <w:rsid w:val="0A6C493C"/>
    <w:rsid w:val="0A6C56CE"/>
    <w:rsid w:val="0A6D12D0"/>
    <w:rsid w:val="0A6D18E6"/>
    <w:rsid w:val="0A6D7B38"/>
    <w:rsid w:val="0A6E16B4"/>
    <w:rsid w:val="0A6E5171"/>
    <w:rsid w:val="0A6E57EF"/>
    <w:rsid w:val="0A6E5D8A"/>
    <w:rsid w:val="0A6F1B02"/>
    <w:rsid w:val="0A6F38B0"/>
    <w:rsid w:val="0A6F565E"/>
    <w:rsid w:val="0A6F5DE1"/>
    <w:rsid w:val="0A6F6A72"/>
    <w:rsid w:val="0A6F6D68"/>
    <w:rsid w:val="0A70031E"/>
    <w:rsid w:val="0A700A4D"/>
    <w:rsid w:val="0A70218E"/>
    <w:rsid w:val="0A7030CA"/>
    <w:rsid w:val="0A703693"/>
    <w:rsid w:val="0A704D6E"/>
    <w:rsid w:val="0A706188"/>
    <w:rsid w:val="0A70633F"/>
    <w:rsid w:val="0A70693D"/>
    <w:rsid w:val="0A7113D6"/>
    <w:rsid w:val="0A716452"/>
    <w:rsid w:val="0A7177EC"/>
    <w:rsid w:val="0A7212C2"/>
    <w:rsid w:val="0A722561"/>
    <w:rsid w:val="0A7232CB"/>
    <w:rsid w:val="0A725376"/>
    <w:rsid w:val="0A731301"/>
    <w:rsid w:val="0A7315F2"/>
    <w:rsid w:val="0A73514E"/>
    <w:rsid w:val="0A735188"/>
    <w:rsid w:val="0A735435"/>
    <w:rsid w:val="0A744C28"/>
    <w:rsid w:val="0A746306"/>
    <w:rsid w:val="0A7473CE"/>
    <w:rsid w:val="0A755AF2"/>
    <w:rsid w:val="0A762E91"/>
    <w:rsid w:val="0A763025"/>
    <w:rsid w:val="0A764C3F"/>
    <w:rsid w:val="0A7669ED"/>
    <w:rsid w:val="0A770CF6"/>
    <w:rsid w:val="0A7768F0"/>
    <w:rsid w:val="0A780920"/>
    <w:rsid w:val="0A784E4B"/>
    <w:rsid w:val="0A784EBD"/>
    <w:rsid w:val="0A786C09"/>
    <w:rsid w:val="0A787C7D"/>
    <w:rsid w:val="0A791DB0"/>
    <w:rsid w:val="0A79499C"/>
    <w:rsid w:val="0A7964DD"/>
    <w:rsid w:val="0A7971BD"/>
    <w:rsid w:val="0A79782D"/>
    <w:rsid w:val="0A7A3759"/>
    <w:rsid w:val="0A7A5AFF"/>
    <w:rsid w:val="0A7A66D6"/>
    <w:rsid w:val="0A7B04A7"/>
    <w:rsid w:val="0A7B2255"/>
    <w:rsid w:val="0A7B3630"/>
    <w:rsid w:val="0A7B370E"/>
    <w:rsid w:val="0A7B3B59"/>
    <w:rsid w:val="0A7B785C"/>
    <w:rsid w:val="0A7C0731"/>
    <w:rsid w:val="0A7C3C8A"/>
    <w:rsid w:val="0A7D2CEC"/>
    <w:rsid w:val="0A7D30D4"/>
    <w:rsid w:val="0A7D3D7B"/>
    <w:rsid w:val="0A7D479A"/>
    <w:rsid w:val="0A7D4F69"/>
    <w:rsid w:val="0A7E2BFF"/>
    <w:rsid w:val="0A7E2DBE"/>
    <w:rsid w:val="0A7E2FE6"/>
    <w:rsid w:val="0A7E3B2A"/>
    <w:rsid w:val="0A7E5946"/>
    <w:rsid w:val="0A7E5C22"/>
    <w:rsid w:val="0A7F0E2A"/>
    <w:rsid w:val="0A7F0F25"/>
    <w:rsid w:val="0A7F0F26"/>
    <w:rsid w:val="0A7F7193"/>
    <w:rsid w:val="0A7F7F97"/>
    <w:rsid w:val="0A80018A"/>
    <w:rsid w:val="0A80088C"/>
    <w:rsid w:val="0A801619"/>
    <w:rsid w:val="0A802459"/>
    <w:rsid w:val="0A813113"/>
    <w:rsid w:val="0A814A92"/>
    <w:rsid w:val="0A817C17"/>
    <w:rsid w:val="0A8235E3"/>
    <w:rsid w:val="0A8238DB"/>
    <w:rsid w:val="0A823936"/>
    <w:rsid w:val="0A825332"/>
    <w:rsid w:val="0A8301DC"/>
    <w:rsid w:val="0A830604"/>
    <w:rsid w:val="0A83110A"/>
    <w:rsid w:val="0A840829"/>
    <w:rsid w:val="0A841A94"/>
    <w:rsid w:val="0A842510"/>
    <w:rsid w:val="0A84301A"/>
    <w:rsid w:val="0A8455AD"/>
    <w:rsid w:val="0A8465CC"/>
    <w:rsid w:val="0A846EC3"/>
    <w:rsid w:val="0A84735B"/>
    <w:rsid w:val="0A850100"/>
    <w:rsid w:val="0A850799"/>
    <w:rsid w:val="0A8517F9"/>
    <w:rsid w:val="0A8530D4"/>
    <w:rsid w:val="0A854E82"/>
    <w:rsid w:val="0A855955"/>
    <w:rsid w:val="0A856C30"/>
    <w:rsid w:val="0A8605FC"/>
    <w:rsid w:val="0A864930"/>
    <w:rsid w:val="0A866BA0"/>
    <w:rsid w:val="0A867D70"/>
    <w:rsid w:val="0A873BE4"/>
    <w:rsid w:val="0A87454F"/>
    <w:rsid w:val="0A875844"/>
    <w:rsid w:val="0A87769A"/>
    <w:rsid w:val="0A87784F"/>
    <w:rsid w:val="0A877D98"/>
    <w:rsid w:val="0A881EE0"/>
    <w:rsid w:val="0A8830CB"/>
    <w:rsid w:val="0A883A89"/>
    <w:rsid w:val="0A8860AA"/>
    <w:rsid w:val="0A8866D3"/>
    <w:rsid w:val="0A886DEA"/>
    <w:rsid w:val="0A88778E"/>
    <w:rsid w:val="0A887D85"/>
    <w:rsid w:val="0A8908A6"/>
    <w:rsid w:val="0A891D93"/>
    <w:rsid w:val="0A891F24"/>
    <w:rsid w:val="0A892BC4"/>
    <w:rsid w:val="0A8931EC"/>
    <w:rsid w:val="0A894972"/>
    <w:rsid w:val="0A8B035E"/>
    <w:rsid w:val="0A8B5B1F"/>
    <w:rsid w:val="0A8B67CB"/>
    <w:rsid w:val="0A8B6802"/>
    <w:rsid w:val="0A8C1B57"/>
    <w:rsid w:val="0A8C2578"/>
    <w:rsid w:val="0A8C6210"/>
    <w:rsid w:val="0A8C6973"/>
    <w:rsid w:val="0A8C7FBE"/>
    <w:rsid w:val="0A8D08C3"/>
    <w:rsid w:val="0A8D1B46"/>
    <w:rsid w:val="0A8D2745"/>
    <w:rsid w:val="0A8D2854"/>
    <w:rsid w:val="0A8D4287"/>
    <w:rsid w:val="0A8D692A"/>
    <w:rsid w:val="0A8E07FD"/>
    <w:rsid w:val="0A8E0950"/>
    <w:rsid w:val="0A8E1559"/>
    <w:rsid w:val="0A8E2D3C"/>
    <w:rsid w:val="0A8E4582"/>
    <w:rsid w:val="0A8E7F4A"/>
    <w:rsid w:val="0A8F08FB"/>
    <w:rsid w:val="0A8F2A7F"/>
    <w:rsid w:val="0A8F2B78"/>
    <w:rsid w:val="0A8F3260"/>
    <w:rsid w:val="0A8F5CD8"/>
    <w:rsid w:val="0A8F7AAE"/>
    <w:rsid w:val="0A9034BE"/>
    <w:rsid w:val="0A90442F"/>
    <w:rsid w:val="0A904C03"/>
    <w:rsid w:val="0A907A03"/>
    <w:rsid w:val="0A912696"/>
    <w:rsid w:val="0A912C8D"/>
    <w:rsid w:val="0A9136EB"/>
    <w:rsid w:val="0A913826"/>
    <w:rsid w:val="0A91411F"/>
    <w:rsid w:val="0A9173AA"/>
    <w:rsid w:val="0A917CCA"/>
    <w:rsid w:val="0A9204C0"/>
    <w:rsid w:val="0A9210B4"/>
    <w:rsid w:val="0A92134D"/>
    <w:rsid w:val="0A922957"/>
    <w:rsid w:val="0A922A80"/>
    <w:rsid w:val="0A924098"/>
    <w:rsid w:val="0A930575"/>
    <w:rsid w:val="0A9306DC"/>
    <w:rsid w:val="0A932662"/>
    <w:rsid w:val="0A932E53"/>
    <w:rsid w:val="0A934AB0"/>
    <w:rsid w:val="0A934F20"/>
    <w:rsid w:val="0A935528"/>
    <w:rsid w:val="0A9357F1"/>
    <w:rsid w:val="0A93759F"/>
    <w:rsid w:val="0A940D19"/>
    <w:rsid w:val="0A943317"/>
    <w:rsid w:val="0A9469B8"/>
    <w:rsid w:val="0A95083A"/>
    <w:rsid w:val="0A952DFF"/>
    <w:rsid w:val="0A9556C8"/>
    <w:rsid w:val="0A957A13"/>
    <w:rsid w:val="0A960E3D"/>
    <w:rsid w:val="0A963EA9"/>
    <w:rsid w:val="0A964270"/>
    <w:rsid w:val="0A9652E1"/>
    <w:rsid w:val="0A967009"/>
    <w:rsid w:val="0A96708F"/>
    <w:rsid w:val="0A97617B"/>
    <w:rsid w:val="0A97782B"/>
    <w:rsid w:val="0A98357A"/>
    <w:rsid w:val="0A984BB5"/>
    <w:rsid w:val="0A985B3A"/>
    <w:rsid w:val="0A987BB0"/>
    <w:rsid w:val="0A996E08"/>
    <w:rsid w:val="0A9A05CE"/>
    <w:rsid w:val="0A9A1B2A"/>
    <w:rsid w:val="0A9A6B7F"/>
    <w:rsid w:val="0A9B0F9F"/>
    <w:rsid w:val="0A9B28F7"/>
    <w:rsid w:val="0A9B3B2C"/>
    <w:rsid w:val="0A9B6453"/>
    <w:rsid w:val="0A9C6366"/>
    <w:rsid w:val="0A9C7B63"/>
    <w:rsid w:val="0A9D041D"/>
    <w:rsid w:val="0A9D0700"/>
    <w:rsid w:val="0A9D197C"/>
    <w:rsid w:val="0A9D21CB"/>
    <w:rsid w:val="0A9E16D3"/>
    <w:rsid w:val="0A9E2DD2"/>
    <w:rsid w:val="0A9E7CF1"/>
    <w:rsid w:val="0A9E7F34"/>
    <w:rsid w:val="0A9F0BF4"/>
    <w:rsid w:val="0A9F23E7"/>
    <w:rsid w:val="0A9F37C4"/>
    <w:rsid w:val="0A9F4C63"/>
    <w:rsid w:val="0AA03A6A"/>
    <w:rsid w:val="0AA03DB5"/>
    <w:rsid w:val="0AA07DF7"/>
    <w:rsid w:val="0AA11882"/>
    <w:rsid w:val="0AA17268"/>
    <w:rsid w:val="0AA23B8D"/>
    <w:rsid w:val="0AA277E2"/>
    <w:rsid w:val="0AA27E70"/>
    <w:rsid w:val="0AA30E85"/>
    <w:rsid w:val="0AA34654"/>
    <w:rsid w:val="0AA34B75"/>
    <w:rsid w:val="0AA35A4D"/>
    <w:rsid w:val="0AA415E0"/>
    <w:rsid w:val="0AA417AC"/>
    <w:rsid w:val="0AA454AE"/>
    <w:rsid w:val="0AA45DD7"/>
    <w:rsid w:val="0AA464FC"/>
    <w:rsid w:val="0AA479FE"/>
    <w:rsid w:val="0AA50DCD"/>
    <w:rsid w:val="0AA52113"/>
    <w:rsid w:val="0AA552C8"/>
    <w:rsid w:val="0AA55524"/>
    <w:rsid w:val="0AA55F91"/>
    <w:rsid w:val="0AA571BB"/>
    <w:rsid w:val="0AA57EFC"/>
    <w:rsid w:val="0AA65814"/>
    <w:rsid w:val="0AA70042"/>
    <w:rsid w:val="0AA7304A"/>
    <w:rsid w:val="0AA7348F"/>
    <w:rsid w:val="0AA752B3"/>
    <w:rsid w:val="0AA76E53"/>
    <w:rsid w:val="0AA802A9"/>
    <w:rsid w:val="0AA811A4"/>
    <w:rsid w:val="0AA90B70"/>
    <w:rsid w:val="0AA913A8"/>
    <w:rsid w:val="0AA9231F"/>
    <w:rsid w:val="0AA93C45"/>
    <w:rsid w:val="0AA95014"/>
    <w:rsid w:val="0AAA48E8"/>
    <w:rsid w:val="0AAB0D8C"/>
    <w:rsid w:val="0AAB17A8"/>
    <w:rsid w:val="0AAB2831"/>
    <w:rsid w:val="0AAB3F48"/>
    <w:rsid w:val="0AAB3FE7"/>
    <w:rsid w:val="0AAC240E"/>
    <w:rsid w:val="0AAC37C7"/>
    <w:rsid w:val="0AAC68B2"/>
    <w:rsid w:val="0AAD01F3"/>
    <w:rsid w:val="0AAD259C"/>
    <w:rsid w:val="0AAD273C"/>
    <w:rsid w:val="0AAD4256"/>
    <w:rsid w:val="0AAD70AA"/>
    <w:rsid w:val="0AAE2373"/>
    <w:rsid w:val="0AAE262A"/>
    <w:rsid w:val="0AAE35C0"/>
    <w:rsid w:val="0AAE43D8"/>
    <w:rsid w:val="0AAF381D"/>
    <w:rsid w:val="0AAF6DAC"/>
    <w:rsid w:val="0AB008D9"/>
    <w:rsid w:val="0AB063A2"/>
    <w:rsid w:val="0AB137B4"/>
    <w:rsid w:val="0AB1442E"/>
    <w:rsid w:val="0AB14636"/>
    <w:rsid w:val="0AB14EC0"/>
    <w:rsid w:val="0AB15C77"/>
    <w:rsid w:val="0AB17A25"/>
    <w:rsid w:val="0AB2136C"/>
    <w:rsid w:val="0AB21997"/>
    <w:rsid w:val="0AB247F2"/>
    <w:rsid w:val="0AB265C4"/>
    <w:rsid w:val="0AB2697E"/>
    <w:rsid w:val="0AB310E4"/>
    <w:rsid w:val="0AB319EF"/>
    <w:rsid w:val="0AB333D1"/>
    <w:rsid w:val="0AB344FD"/>
    <w:rsid w:val="0AB35369"/>
    <w:rsid w:val="0AB5414C"/>
    <w:rsid w:val="0AB57D7A"/>
    <w:rsid w:val="0AB6328D"/>
    <w:rsid w:val="0AB63C7F"/>
    <w:rsid w:val="0AB66451"/>
    <w:rsid w:val="0AB67731"/>
    <w:rsid w:val="0AB67751"/>
    <w:rsid w:val="0AB710FE"/>
    <w:rsid w:val="0AB72FEC"/>
    <w:rsid w:val="0AB734AE"/>
    <w:rsid w:val="0AB74923"/>
    <w:rsid w:val="0AB778B5"/>
    <w:rsid w:val="0AB8248A"/>
    <w:rsid w:val="0AB850A0"/>
    <w:rsid w:val="0AB92912"/>
    <w:rsid w:val="0AB92D0C"/>
    <w:rsid w:val="0AB9557F"/>
    <w:rsid w:val="0ABA0FCF"/>
    <w:rsid w:val="0ABA1AE1"/>
    <w:rsid w:val="0ABA2D7D"/>
    <w:rsid w:val="0ABA4A05"/>
    <w:rsid w:val="0ABA5690"/>
    <w:rsid w:val="0ABA60CD"/>
    <w:rsid w:val="0ABA745B"/>
    <w:rsid w:val="0ABB08A3"/>
    <w:rsid w:val="0ABB4AF8"/>
    <w:rsid w:val="0ABB4D47"/>
    <w:rsid w:val="0ABB5878"/>
    <w:rsid w:val="0ABC438A"/>
    <w:rsid w:val="0ABD03FE"/>
    <w:rsid w:val="0ABD188E"/>
    <w:rsid w:val="0ABD286D"/>
    <w:rsid w:val="0ABD3838"/>
    <w:rsid w:val="0ABD45E4"/>
    <w:rsid w:val="0ABD461B"/>
    <w:rsid w:val="0ABD4BDB"/>
    <w:rsid w:val="0ABD7054"/>
    <w:rsid w:val="0ABE2142"/>
    <w:rsid w:val="0ABE3CFB"/>
    <w:rsid w:val="0ABF23BB"/>
    <w:rsid w:val="0ABF49AF"/>
    <w:rsid w:val="0ABF5524"/>
    <w:rsid w:val="0ABF65E6"/>
    <w:rsid w:val="0ABF6B83"/>
    <w:rsid w:val="0AC04AD0"/>
    <w:rsid w:val="0AC059D5"/>
    <w:rsid w:val="0AC10861"/>
    <w:rsid w:val="0AC21C32"/>
    <w:rsid w:val="0AC260D6"/>
    <w:rsid w:val="0AC32EC6"/>
    <w:rsid w:val="0AC33230"/>
    <w:rsid w:val="0AC35152"/>
    <w:rsid w:val="0AC37758"/>
    <w:rsid w:val="0AC37C04"/>
    <w:rsid w:val="0AC41E4E"/>
    <w:rsid w:val="0AC42062"/>
    <w:rsid w:val="0AC42D16"/>
    <w:rsid w:val="0AC43BFC"/>
    <w:rsid w:val="0AC43E40"/>
    <w:rsid w:val="0AC45120"/>
    <w:rsid w:val="0AC46F27"/>
    <w:rsid w:val="0AC46FBE"/>
    <w:rsid w:val="0AC503B7"/>
    <w:rsid w:val="0AC51F3F"/>
    <w:rsid w:val="0AC534D0"/>
    <w:rsid w:val="0AC54B6D"/>
    <w:rsid w:val="0AC54BD5"/>
    <w:rsid w:val="0AC62C6C"/>
    <w:rsid w:val="0AC655FF"/>
    <w:rsid w:val="0AC7549A"/>
    <w:rsid w:val="0AC83E6D"/>
    <w:rsid w:val="0AC84167"/>
    <w:rsid w:val="0AC85888"/>
    <w:rsid w:val="0AC8614D"/>
    <w:rsid w:val="0AC93F8F"/>
    <w:rsid w:val="0AC9420F"/>
    <w:rsid w:val="0AC9473D"/>
    <w:rsid w:val="0AC94BF5"/>
    <w:rsid w:val="0AC9503D"/>
    <w:rsid w:val="0AC9687F"/>
    <w:rsid w:val="0AC97464"/>
    <w:rsid w:val="0ACA523A"/>
    <w:rsid w:val="0ACA6D38"/>
    <w:rsid w:val="0ACA7865"/>
    <w:rsid w:val="0ACB0DAA"/>
    <w:rsid w:val="0ACB1668"/>
    <w:rsid w:val="0ACB47CD"/>
    <w:rsid w:val="0ACC0D02"/>
    <w:rsid w:val="0ACC2389"/>
    <w:rsid w:val="0ACC2A75"/>
    <w:rsid w:val="0ACC485F"/>
    <w:rsid w:val="0ACC602B"/>
    <w:rsid w:val="0ACD060D"/>
    <w:rsid w:val="0ACD2F04"/>
    <w:rsid w:val="0ACD43A3"/>
    <w:rsid w:val="0ACD4925"/>
    <w:rsid w:val="0ACD515A"/>
    <w:rsid w:val="0ACE2A5A"/>
    <w:rsid w:val="0ACE32B2"/>
    <w:rsid w:val="0ACE6D25"/>
    <w:rsid w:val="0ACF389E"/>
    <w:rsid w:val="0ACF3BB0"/>
    <w:rsid w:val="0ACF434F"/>
    <w:rsid w:val="0AD002D9"/>
    <w:rsid w:val="0AD007F3"/>
    <w:rsid w:val="0AD015A8"/>
    <w:rsid w:val="0AD02F1B"/>
    <w:rsid w:val="0AD100C7"/>
    <w:rsid w:val="0AD1090B"/>
    <w:rsid w:val="0AD1695A"/>
    <w:rsid w:val="0AD1739C"/>
    <w:rsid w:val="0AD17D78"/>
    <w:rsid w:val="0AD26487"/>
    <w:rsid w:val="0AD30FCE"/>
    <w:rsid w:val="0AD32091"/>
    <w:rsid w:val="0AD327F9"/>
    <w:rsid w:val="0AD33E3F"/>
    <w:rsid w:val="0AD35BED"/>
    <w:rsid w:val="0AD37B5C"/>
    <w:rsid w:val="0AD41965"/>
    <w:rsid w:val="0AD42CFC"/>
    <w:rsid w:val="0AD43DDE"/>
    <w:rsid w:val="0AD45FF5"/>
    <w:rsid w:val="0AD46C73"/>
    <w:rsid w:val="0AD52984"/>
    <w:rsid w:val="0AD55E09"/>
    <w:rsid w:val="0AD5676B"/>
    <w:rsid w:val="0AD57BB7"/>
    <w:rsid w:val="0AD57EAC"/>
    <w:rsid w:val="0AD6392F"/>
    <w:rsid w:val="0AD656DD"/>
    <w:rsid w:val="0AD702CF"/>
    <w:rsid w:val="0AD71950"/>
    <w:rsid w:val="0AD71B42"/>
    <w:rsid w:val="0AD74963"/>
    <w:rsid w:val="0AD80FC6"/>
    <w:rsid w:val="0AD83203"/>
    <w:rsid w:val="0AD8682D"/>
    <w:rsid w:val="0AD876A7"/>
    <w:rsid w:val="0AD90518"/>
    <w:rsid w:val="0AD91CBD"/>
    <w:rsid w:val="0AD9225E"/>
    <w:rsid w:val="0AD97CBD"/>
    <w:rsid w:val="0ADA2B74"/>
    <w:rsid w:val="0ADA2E8C"/>
    <w:rsid w:val="0ADA341F"/>
    <w:rsid w:val="0ADA657C"/>
    <w:rsid w:val="0ADA7AFB"/>
    <w:rsid w:val="0ADA7E08"/>
    <w:rsid w:val="0ADB0F46"/>
    <w:rsid w:val="0ADB4CD4"/>
    <w:rsid w:val="0ADB695B"/>
    <w:rsid w:val="0ADC1059"/>
    <w:rsid w:val="0ADC5A31"/>
    <w:rsid w:val="0ADD03ED"/>
    <w:rsid w:val="0ADD081A"/>
    <w:rsid w:val="0ADD3729"/>
    <w:rsid w:val="0ADD4CBE"/>
    <w:rsid w:val="0ADD65C8"/>
    <w:rsid w:val="0ADE70BE"/>
    <w:rsid w:val="0ADE75A6"/>
    <w:rsid w:val="0ADF0A36"/>
    <w:rsid w:val="0ADF0AA8"/>
    <w:rsid w:val="0ADF4592"/>
    <w:rsid w:val="0ADF474F"/>
    <w:rsid w:val="0ADF4EB4"/>
    <w:rsid w:val="0ADF6B5F"/>
    <w:rsid w:val="0AE0030A"/>
    <w:rsid w:val="0AE00F1B"/>
    <w:rsid w:val="0AE02581"/>
    <w:rsid w:val="0AE03131"/>
    <w:rsid w:val="0AE073F8"/>
    <w:rsid w:val="0AE1141A"/>
    <w:rsid w:val="0AE152BB"/>
    <w:rsid w:val="0AE20526"/>
    <w:rsid w:val="0AE20EE9"/>
    <w:rsid w:val="0AE222D4"/>
    <w:rsid w:val="0AE25D7F"/>
    <w:rsid w:val="0AE2607C"/>
    <w:rsid w:val="0AE26672"/>
    <w:rsid w:val="0AE34C19"/>
    <w:rsid w:val="0AE3743A"/>
    <w:rsid w:val="0AE376B4"/>
    <w:rsid w:val="0AE376FC"/>
    <w:rsid w:val="0AE41BA8"/>
    <w:rsid w:val="0AE4351A"/>
    <w:rsid w:val="0AE44CDB"/>
    <w:rsid w:val="0AE459F3"/>
    <w:rsid w:val="0AE52514"/>
    <w:rsid w:val="0AE528B4"/>
    <w:rsid w:val="0AE55920"/>
    <w:rsid w:val="0AE56260"/>
    <w:rsid w:val="0AE60ECD"/>
    <w:rsid w:val="0AE61DC4"/>
    <w:rsid w:val="0AE61FB4"/>
    <w:rsid w:val="0AE677F5"/>
    <w:rsid w:val="0AE70821"/>
    <w:rsid w:val="0AE71698"/>
    <w:rsid w:val="0AE75B3C"/>
    <w:rsid w:val="0AE778EA"/>
    <w:rsid w:val="0AE80E2D"/>
    <w:rsid w:val="0AE82236"/>
    <w:rsid w:val="0AE84779"/>
    <w:rsid w:val="0AE86206"/>
    <w:rsid w:val="0AE87AE0"/>
    <w:rsid w:val="0AE90145"/>
    <w:rsid w:val="0AE916AD"/>
    <w:rsid w:val="0AE918B4"/>
    <w:rsid w:val="0AE91EF4"/>
    <w:rsid w:val="0AE93662"/>
    <w:rsid w:val="0AE95411"/>
    <w:rsid w:val="0AE96F89"/>
    <w:rsid w:val="0AEA1189"/>
    <w:rsid w:val="0AEA4AFF"/>
    <w:rsid w:val="0AEA4E6C"/>
    <w:rsid w:val="0AEB19B3"/>
    <w:rsid w:val="0AEB41E6"/>
    <w:rsid w:val="0AEB73DB"/>
    <w:rsid w:val="0AEB7501"/>
    <w:rsid w:val="0AEB7767"/>
    <w:rsid w:val="0AEB7AD0"/>
    <w:rsid w:val="0AEC3153"/>
    <w:rsid w:val="0AEC442F"/>
    <w:rsid w:val="0AEC5669"/>
    <w:rsid w:val="0AEC6174"/>
    <w:rsid w:val="0AEC7E43"/>
    <w:rsid w:val="0AED13CD"/>
    <w:rsid w:val="0AED3A6A"/>
    <w:rsid w:val="0AEE0C79"/>
    <w:rsid w:val="0AEE12E4"/>
    <w:rsid w:val="0AEE2047"/>
    <w:rsid w:val="0AEE4AD6"/>
    <w:rsid w:val="0AEE75C3"/>
    <w:rsid w:val="0AEF1C7F"/>
    <w:rsid w:val="0AEF1EE3"/>
    <w:rsid w:val="0AEF785A"/>
    <w:rsid w:val="0AF017BA"/>
    <w:rsid w:val="0AF02691"/>
    <w:rsid w:val="0AF02C43"/>
    <w:rsid w:val="0AF05A2D"/>
    <w:rsid w:val="0AF05AC7"/>
    <w:rsid w:val="0AF12C66"/>
    <w:rsid w:val="0AF1708E"/>
    <w:rsid w:val="0AF24EA0"/>
    <w:rsid w:val="0AF330E8"/>
    <w:rsid w:val="0AF33AB4"/>
    <w:rsid w:val="0AF344E1"/>
    <w:rsid w:val="0AF43051"/>
    <w:rsid w:val="0AF52007"/>
    <w:rsid w:val="0AF52C19"/>
    <w:rsid w:val="0AF530BB"/>
    <w:rsid w:val="0AF53DB5"/>
    <w:rsid w:val="0AF5500B"/>
    <w:rsid w:val="0AF618DB"/>
    <w:rsid w:val="0AF61AC2"/>
    <w:rsid w:val="0AF67B2D"/>
    <w:rsid w:val="0AF7080D"/>
    <w:rsid w:val="0AF72003"/>
    <w:rsid w:val="0AF74267"/>
    <w:rsid w:val="0AF75252"/>
    <w:rsid w:val="0AF76174"/>
    <w:rsid w:val="0AF81AF7"/>
    <w:rsid w:val="0AF85494"/>
    <w:rsid w:val="0AF9438B"/>
    <w:rsid w:val="0AF94EA9"/>
    <w:rsid w:val="0AF958BF"/>
    <w:rsid w:val="0AF96CF1"/>
    <w:rsid w:val="0AFA4AEA"/>
    <w:rsid w:val="0AFA5870"/>
    <w:rsid w:val="0AFA7DF8"/>
    <w:rsid w:val="0AFB1087"/>
    <w:rsid w:val="0AFB1A29"/>
    <w:rsid w:val="0AFB3396"/>
    <w:rsid w:val="0AFB3FC8"/>
    <w:rsid w:val="0AFC15E8"/>
    <w:rsid w:val="0AFC20D8"/>
    <w:rsid w:val="0AFD03F8"/>
    <w:rsid w:val="0AFD2589"/>
    <w:rsid w:val="0AFD44E7"/>
    <w:rsid w:val="0AFE5977"/>
    <w:rsid w:val="0AFF303F"/>
    <w:rsid w:val="0AFF3EA0"/>
    <w:rsid w:val="0AFF5D7E"/>
    <w:rsid w:val="0B00026C"/>
    <w:rsid w:val="0B0009AC"/>
    <w:rsid w:val="0B00275A"/>
    <w:rsid w:val="0B0052A5"/>
    <w:rsid w:val="0B006480"/>
    <w:rsid w:val="0B01351E"/>
    <w:rsid w:val="0B0142F8"/>
    <w:rsid w:val="0B014F50"/>
    <w:rsid w:val="0B022976"/>
    <w:rsid w:val="0B023D70"/>
    <w:rsid w:val="0B024724"/>
    <w:rsid w:val="0B0264D2"/>
    <w:rsid w:val="0B026AC5"/>
    <w:rsid w:val="0B032AEB"/>
    <w:rsid w:val="0B035376"/>
    <w:rsid w:val="0B04049C"/>
    <w:rsid w:val="0B0417E9"/>
    <w:rsid w:val="0B043499"/>
    <w:rsid w:val="0B0459BD"/>
    <w:rsid w:val="0B047EE7"/>
    <w:rsid w:val="0B055DD4"/>
    <w:rsid w:val="0B056964"/>
    <w:rsid w:val="0B0575E3"/>
    <w:rsid w:val="0B057D70"/>
    <w:rsid w:val="0B062139"/>
    <w:rsid w:val="0B06267B"/>
    <w:rsid w:val="0B062B0E"/>
    <w:rsid w:val="0B064109"/>
    <w:rsid w:val="0B0641CB"/>
    <w:rsid w:val="0B064478"/>
    <w:rsid w:val="0B0657F8"/>
    <w:rsid w:val="0B067C95"/>
    <w:rsid w:val="0B071D3B"/>
    <w:rsid w:val="0B073AE9"/>
    <w:rsid w:val="0B07748D"/>
    <w:rsid w:val="0B077F8D"/>
    <w:rsid w:val="0B080357"/>
    <w:rsid w:val="0B08409A"/>
    <w:rsid w:val="0B09160F"/>
    <w:rsid w:val="0B093D05"/>
    <w:rsid w:val="0B0941CB"/>
    <w:rsid w:val="0B095E11"/>
    <w:rsid w:val="0B0961DA"/>
    <w:rsid w:val="0B0A1868"/>
    <w:rsid w:val="0B0A565B"/>
    <w:rsid w:val="0B0A6C2C"/>
    <w:rsid w:val="0B0A712F"/>
    <w:rsid w:val="0B0A7F7A"/>
    <w:rsid w:val="0B0B182B"/>
    <w:rsid w:val="0B0B3CF4"/>
    <w:rsid w:val="0B0B5703"/>
    <w:rsid w:val="0B0B6E87"/>
    <w:rsid w:val="0B0C0899"/>
    <w:rsid w:val="0B0C10FF"/>
    <w:rsid w:val="0B0C27FE"/>
    <w:rsid w:val="0B0C36C3"/>
    <w:rsid w:val="0B0C60DD"/>
    <w:rsid w:val="0B0C6193"/>
    <w:rsid w:val="0B0D01C0"/>
    <w:rsid w:val="0B0D216F"/>
    <w:rsid w:val="0B0D2674"/>
    <w:rsid w:val="0B0E0C05"/>
    <w:rsid w:val="0B0E128A"/>
    <w:rsid w:val="0B0E30C9"/>
    <w:rsid w:val="0B0E3B0A"/>
    <w:rsid w:val="0B0E4E77"/>
    <w:rsid w:val="0B0E6073"/>
    <w:rsid w:val="0B0E781A"/>
    <w:rsid w:val="0B0F2E76"/>
    <w:rsid w:val="0B0F78AE"/>
    <w:rsid w:val="0B100BEF"/>
    <w:rsid w:val="0B10130E"/>
    <w:rsid w:val="0B103C3C"/>
    <w:rsid w:val="0B103CCB"/>
    <w:rsid w:val="0B104AE8"/>
    <w:rsid w:val="0B106B21"/>
    <w:rsid w:val="0B111CAC"/>
    <w:rsid w:val="0B112BB9"/>
    <w:rsid w:val="0B114967"/>
    <w:rsid w:val="0B117F38"/>
    <w:rsid w:val="0B120822"/>
    <w:rsid w:val="0B124AF3"/>
    <w:rsid w:val="0B124EE7"/>
    <w:rsid w:val="0B127A7B"/>
    <w:rsid w:val="0B13248D"/>
    <w:rsid w:val="0B133BC0"/>
    <w:rsid w:val="0B135F09"/>
    <w:rsid w:val="0B136931"/>
    <w:rsid w:val="0B14342A"/>
    <w:rsid w:val="0B143885"/>
    <w:rsid w:val="0B143BF4"/>
    <w:rsid w:val="0B1526A9"/>
    <w:rsid w:val="0B15276E"/>
    <w:rsid w:val="0B15327D"/>
    <w:rsid w:val="0B1565FD"/>
    <w:rsid w:val="0B16037C"/>
    <w:rsid w:val="0B1701D0"/>
    <w:rsid w:val="0B172F1A"/>
    <w:rsid w:val="0B173834"/>
    <w:rsid w:val="0B1753DE"/>
    <w:rsid w:val="0B183945"/>
    <w:rsid w:val="0B183A9C"/>
    <w:rsid w:val="0B184BA1"/>
    <w:rsid w:val="0B186AF0"/>
    <w:rsid w:val="0B186F16"/>
    <w:rsid w:val="0B1874FF"/>
    <w:rsid w:val="0B1A0413"/>
    <w:rsid w:val="0B1A1A6E"/>
    <w:rsid w:val="0B1A65E0"/>
    <w:rsid w:val="0B1A6EEF"/>
    <w:rsid w:val="0B1A7CC0"/>
    <w:rsid w:val="0B1B4E9F"/>
    <w:rsid w:val="0B1B5361"/>
    <w:rsid w:val="0B1B787E"/>
    <w:rsid w:val="0B1C1F33"/>
    <w:rsid w:val="0B1C3A38"/>
    <w:rsid w:val="0B1D0FFE"/>
    <w:rsid w:val="0B1D6B2A"/>
    <w:rsid w:val="0B1E22E4"/>
    <w:rsid w:val="0B1E3820"/>
    <w:rsid w:val="0B1E5020"/>
    <w:rsid w:val="0B1E78FD"/>
    <w:rsid w:val="0B1F0E32"/>
    <w:rsid w:val="0B1F48E7"/>
    <w:rsid w:val="0B1F5935"/>
    <w:rsid w:val="0B1F593C"/>
    <w:rsid w:val="0B1F659E"/>
    <w:rsid w:val="0B204BAA"/>
    <w:rsid w:val="0B2050B4"/>
    <w:rsid w:val="0B206034"/>
    <w:rsid w:val="0B2121A1"/>
    <w:rsid w:val="0B212541"/>
    <w:rsid w:val="0B212DFC"/>
    <w:rsid w:val="0B2138E2"/>
    <w:rsid w:val="0B213CB3"/>
    <w:rsid w:val="0B220922"/>
    <w:rsid w:val="0B220ECC"/>
    <w:rsid w:val="0B2226CD"/>
    <w:rsid w:val="0B2226D0"/>
    <w:rsid w:val="0B222820"/>
    <w:rsid w:val="0B224DC6"/>
    <w:rsid w:val="0B225D2F"/>
    <w:rsid w:val="0B22772C"/>
    <w:rsid w:val="0B23632F"/>
    <w:rsid w:val="0B2366B7"/>
    <w:rsid w:val="0B2400FF"/>
    <w:rsid w:val="0B24128A"/>
    <w:rsid w:val="0B2428ED"/>
    <w:rsid w:val="0B242EC6"/>
    <w:rsid w:val="0B246449"/>
    <w:rsid w:val="0B250B22"/>
    <w:rsid w:val="0B251BA9"/>
    <w:rsid w:val="0B2621C1"/>
    <w:rsid w:val="0B264B83"/>
    <w:rsid w:val="0B265319"/>
    <w:rsid w:val="0B270939"/>
    <w:rsid w:val="0B270AEA"/>
    <w:rsid w:val="0B273EEC"/>
    <w:rsid w:val="0B285320"/>
    <w:rsid w:val="0B2910CF"/>
    <w:rsid w:val="0B291CB1"/>
    <w:rsid w:val="0B292FA1"/>
    <w:rsid w:val="0B293A5F"/>
    <w:rsid w:val="0B294321"/>
    <w:rsid w:val="0B2A3504"/>
    <w:rsid w:val="0B2B0373"/>
    <w:rsid w:val="0B2B3C7B"/>
    <w:rsid w:val="0B2B5848"/>
    <w:rsid w:val="0B2B71C3"/>
    <w:rsid w:val="0B2B773D"/>
    <w:rsid w:val="0B2C2FDF"/>
    <w:rsid w:val="0B2C354F"/>
    <w:rsid w:val="0B2D79F3"/>
    <w:rsid w:val="0B2E0A1F"/>
    <w:rsid w:val="0B2E25C6"/>
    <w:rsid w:val="0B2E2F87"/>
    <w:rsid w:val="0B2E3315"/>
    <w:rsid w:val="0B2E376B"/>
    <w:rsid w:val="0B2E4B2E"/>
    <w:rsid w:val="0B2E5519"/>
    <w:rsid w:val="0B2E558E"/>
    <w:rsid w:val="0B2E72C7"/>
    <w:rsid w:val="0B2F2516"/>
    <w:rsid w:val="0B2F47A5"/>
    <w:rsid w:val="0B2F4FAC"/>
    <w:rsid w:val="0B301291"/>
    <w:rsid w:val="0B30303F"/>
    <w:rsid w:val="0B3041F8"/>
    <w:rsid w:val="0B304DED"/>
    <w:rsid w:val="0B316DB7"/>
    <w:rsid w:val="0B322324"/>
    <w:rsid w:val="0B32271C"/>
    <w:rsid w:val="0B33012B"/>
    <w:rsid w:val="0B330D82"/>
    <w:rsid w:val="0B33166C"/>
    <w:rsid w:val="0B333027"/>
    <w:rsid w:val="0B3348DE"/>
    <w:rsid w:val="0B337113"/>
    <w:rsid w:val="0B3435E7"/>
    <w:rsid w:val="0B347856"/>
    <w:rsid w:val="0B352404"/>
    <w:rsid w:val="0B3548DA"/>
    <w:rsid w:val="0B35568E"/>
    <w:rsid w:val="0B3568A8"/>
    <w:rsid w:val="0B360162"/>
    <w:rsid w:val="0B362F5C"/>
    <w:rsid w:val="0B363E22"/>
    <w:rsid w:val="0B364677"/>
    <w:rsid w:val="0B365054"/>
    <w:rsid w:val="0B36617C"/>
    <w:rsid w:val="0B366481"/>
    <w:rsid w:val="0B366E9C"/>
    <w:rsid w:val="0B370443"/>
    <w:rsid w:val="0B370708"/>
    <w:rsid w:val="0B380146"/>
    <w:rsid w:val="0B3815C7"/>
    <w:rsid w:val="0B386398"/>
    <w:rsid w:val="0B386F97"/>
    <w:rsid w:val="0B3905C4"/>
    <w:rsid w:val="0B390BFA"/>
    <w:rsid w:val="0B397069"/>
    <w:rsid w:val="0B3A260B"/>
    <w:rsid w:val="0B3A2FF8"/>
    <w:rsid w:val="0B3A3EBE"/>
    <w:rsid w:val="0B3A5C6C"/>
    <w:rsid w:val="0B3B039F"/>
    <w:rsid w:val="0B3B049F"/>
    <w:rsid w:val="0B3B5918"/>
    <w:rsid w:val="0B3C221D"/>
    <w:rsid w:val="0B3D503F"/>
    <w:rsid w:val="0B3D5BB3"/>
    <w:rsid w:val="0B3D6560"/>
    <w:rsid w:val="0B3D6E93"/>
    <w:rsid w:val="0B3D750A"/>
    <w:rsid w:val="0B3D7E91"/>
    <w:rsid w:val="0B3E10AA"/>
    <w:rsid w:val="0B3E4908"/>
    <w:rsid w:val="0B407F54"/>
    <w:rsid w:val="0B41178A"/>
    <w:rsid w:val="0B41349E"/>
    <w:rsid w:val="0B414FB7"/>
    <w:rsid w:val="0B41524D"/>
    <w:rsid w:val="0B422C1A"/>
    <w:rsid w:val="0B423C64"/>
    <w:rsid w:val="0B427292"/>
    <w:rsid w:val="0B427B1D"/>
    <w:rsid w:val="0B431B1B"/>
    <w:rsid w:val="0B436B04"/>
    <w:rsid w:val="0B43717D"/>
    <w:rsid w:val="0B4374E6"/>
    <w:rsid w:val="0B44614E"/>
    <w:rsid w:val="0B44732B"/>
    <w:rsid w:val="0B452CDC"/>
    <w:rsid w:val="0B456081"/>
    <w:rsid w:val="0B462704"/>
    <w:rsid w:val="0B462863"/>
    <w:rsid w:val="0B464611"/>
    <w:rsid w:val="0B470389"/>
    <w:rsid w:val="0B471607"/>
    <w:rsid w:val="0B472137"/>
    <w:rsid w:val="0B473F7A"/>
    <w:rsid w:val="0B475A21"/>
    <w:rsid w:val="0B4765DB"/>
    <w:rsid w:val="0B483B51"/>
    <w:rsid w:val="0B48482D"/>
    <w:rsid w:val="0B4867FD"/>
    <w:rsid w:val="0B487B5A"/>
    <w:rsid w:val="0B491D29"/>
    <w:rsid w:val="0B492353"/>
    <w:rsid w:val="0B4941A8"/>
    <w:rsid w:val="0B494E2A"/>
    <w:rsid w:val="0B496958"/>
    <w:rsid w:val="0B497F1C"/>
    <w:rsid w:val="0B4A00FE"/>
    <w:rsid w:val="0B4A1814"/>
    <w:rsid w:val="0B4A3F7D"/>
    <w:rsid w:val="0B4A70B8"/>
    <w:rsid w:val="0B4B310E"/>
    <w:rsid w:val="0B4B5255"/>
    <w:rsid w:val="0B4B5784"/>
    <w:rsid w:val="0B4B7E79"/>
    <w:rsid w:val="0B4C30ED"/>
    <w:rsid w:val="0B4C3790"/>
    <w:rsid w:val="0B4C599F"/>
    <w:rsid w:val="0B4C7BB7"/>
    <w:rsid w:val="0B4D15D9"/>
    <w:rsid w:val="0B4D1E43"/>
    <w:rsid w:val="0B4D25D1"/>
    <w:rsid w:val="0B4D3103"/>
    <w:rsid w:val="0B4D3AF0"/>
    <w:rsid w:val="0B4D5644"/>
    <w:rsid w:val="0B4D7C82"/>
    <w:rsid w:val="0B4D7D2D"/>
    <w:rsid w:val="0B4E1717"/>
    <w:rsid w:val="0B4E282B"/>
    <w:rsid w:val="0B4E28FE"/>
    <w:rsid w:val="0B4E2939"/>
    <w:rsid w:val="0B4E34C6"/>
    <w:rsid w:val="0B4E5BBB"/>
    <w:rsid w:val="0B4F1D23"/>
    <w:rsid w:val="0B4F695F"/>
    <w:rsid w:val="0B5020EC"/>
    <w:rsid w:val="0B5036E2"/>
    <w:rsid w:val="0B51154E"/>
    <w:rsid w:val="0B512FB6"/>
    <w:rsid w:val="0B51584A"/>
    <w:rsid w:val="0B5159EF"/>
    <w:rsid w:val="0B5166AE"/>
    <w:rsid w:val="0B5178FC"/>
    <w:rsid w:val="0B517F0C"/>
    <w:rsid w:val="0B5228CD"/>
    <w:rsid w:val="0B5246A3"/>
    <w:rsid w:val="0B52745A"/>
    <w:rsid w:val="0B5304A1"/>
    <w:rsid w:val="0B5327D8"/>
    <w:rsid w:val="0B536D2E"/>
    <w:rsid w:val="0B537169"/>
    <w:rsid w:val="0B53784A"/>
    <w:rsid w:val="0B540E37"/>
    <w:rsid w:val="0B541DBC"/>
    <w:rsid w:val="0B543195"/>
    <w:rsid w:val="0B550CF8"/>
    <w:rsid w:val="0B552AA6"/>
    <w:rsid w:val="0B554266"/>
    <w:rsid w:val="0B554854"/>
    <w:rsid w:val="0B5579F3"/>
    <w:rsid w:val="0B5605CC"/>
    <w:rsid w:val="0B561090"/>
    <w:rsid w:val="0B5635A1"/>
    <w:rsid w:val="0B563C61"/>
    <w:rsid w:val="0B565309"/>
    <w:rsid w:val="0B567DF7"/>
    <w:rsid w:val="0B574A70"/>
    <w:rsid w:val="0B5750F1"/>
    <w:rsid w:val="0B575DE2"/>
    <w:rsid w:val="0B576111"/>
    <w:rsid w:val="0B5807E8"/>
    <w:rsid w:val="0B5817F3"/>
    <w:rsid w:val="0B5828D4"/>
    <w:rsid w:val="0B5829F8"/>
    <w:rsid w:val="0B5925E2"/>
    <w:rsid w:val="0B593B16"/>
    <w:rsid w:val="0B596A1A"/>
    <w:rsid w:val="0B5A00BC"/>
    <w:rsid w:val="0B5A4135"/>
    <w:rsid w:val="0B5A4560"/>
    <w:rsid w:val="0B5B0359"/>
    <w:rsid w:val="0B5B2331"/>
    <w:rsid w:val="0B5B25D8"/>
    <w:rsid w:val="0B5B5ACA"/>
    <w:rsid w:val="0B5B63C9"/>
    <w:rsid w:val="0B5B6A53"/>
    <w:rsid w:val="0B5C3637"/>
    <w:rsid w:val="0B5C4C56"/>
    <w:rsid w:val="0B5D0F63"/>
    <w:rsid w:val="0B5D337D"/>
    <w:rsid w:val="0B5D3EAA"/>
    <w:rsid w:val="0B5D44C3"/>
    <w:rsid w:val="0B5D689C"/>
    <w:rsid w:val="0B5D7BAD"/>
    <w:rsid w:val="0B5D7D48"/>
    <w:rsid w:val="0B5E0CB2"/>
    <w:rsid w:val="0B5E17AB"/>
    <w:rsid w:val="0B5E5BAE"/>
    <w:rsid w:val="0B5E68B7"/>
    <w:rsid w:val="0B5E7D7B"/>
    <w:rsid w:val="0B5F0152"/>
    <w:rsid w:val="0B5F1B77"/>
    <w:rsid w:val="0B5F2969"/>
    <w:rsid w:val="0B5F56D3"/>
    <w:rsid w:val="0B5F5D0C"/>
    <w:rsid w:val="0B600972"/>
    <w:rsid w:val="0B6054B9"/>
    <w:rsid w:val="0B61144B"/>
    <w:rsid w:val="0B611CB1"/>
    <w:rsid w:val="0B6122AD"/>
    <w:rsid w:val="0B6128A8"/>
    <w:rsid w:val="0B6131F9"/>
    <w:rsid w:val="0B6158EF"/>
    <w:rsid w:val="0B617633"/>
    <w:rsid w:val="0B61769D"/>
    <w:rsid w:val="0B621620"/>
    <w:rsid w:val="0B621794"/>
    <w:rsid w:val="0B6217AA"/>
    <w:rsid w:val="0B62229D"/>
    <w:rsid w:val="0B622C15"/>
    <w:rsid w:val="0B6251C3"/>
    <w:rsid w:val="0B631772"/>
    <w:rsid w:val="0B633415"/>
    <w:rsid w:val="0B6342EF"/>
    <w:rsid w:val="0B6357F2"/>
    <w:rsid w:val="0B640E1B"/>
    <w:rsid w:val="0B640F3B"/>
    <w:rsid w:val="0B643453"/>
    <w:rsid w:val="0B6448F8"/>
    <w:rsid w:val="0B64718D"/>
    <w:rsid w:val="0B647BAE"/>
    <w:rsid w:val="0B6530D4"/>
    <w:rsid w:val="0B654762"/>
    <w:rsid w:val="0B65503B"/>
    <w:rsid w:val="0B6576F5"/>
    <w:rsid w:val="0B662015"/>
    <w:rsid w:val="0B662465"/>
    <w:rsid w:val="0B6624B7"/>
    <w:rsid w:val="0B662F05"/>
    <w:rsid w:val="0B66439C"/>
    <w:rsid w:val="0B670EF2"/>
    <w:rsid w:val="0B6726F0"/>
    <w:rsid w:val="0B673335"/>
    <w:rsid w:val="0B6734A5"/>
    <w:rsid w:val="0B674587"/>
    <w:rsid w:val="0B677739"/>
    <w:rsid w:val="0B680A2B"/>
    <w:rsid w:val="0B690A31"/>
    <w:rsid w:val="0B6942E4"/>
    <w:rsid w:val="0B6947A3"/>
    <w:rsid w:val="0B696FB5"/>
    <w:rsid w:val="0B6A0996"/>
    <w:rsid w:val="0B6A0B38"/>
    <w:rsid w:val="0B6A2163"/>
    <w:rsid w:val="0B6A3567"/>
    <w:rsid w:val="0B6A7D45"/>
    <w:rsid w:val="0B6B4077"/>
    <w:rsid w:val="0B6C170F"/>
    <w:rsid w:val="0B6C4DA0"/>
    <w:rsid w:val="0B6C62D8"/>
    <w:rsid w:val="0B6C7DF0"/>
    <w:rsid w:val="0B6D1EB1"/>
    <w:rsid w:val="0B6D4294"/>
    <w:rsid w:val="0B6D6042"/>
    <w:rsid w:val="0B6E3B68"/>
    <w:rsid w:val="0B6E5916"/>
    <w:rsid w:val="0B6E7462"/>
    <w:rsid w:val="0B6F1C37"/>
    <w:rsid w:val="0B6F512E"/>
    <w:rsid w:val="0B700AA1"/>
    <w:rsid w:val="0B7050C1"/>
    <w:rsid w:val="0B70568A"/>
    <w:rsid w:val="0B705B32"/>
    <w:rsid w:val="0B710869"/>
    <w:rsid w:val="0B710DA5"/>
    <w:rsid w:val="0B715990"/>
    <w:rsid w:val="0B7218AA"/>
    <w:rsid w:val="0B721CF9"/>
    <w:rsid w:val="0B7223D9"/>
    <w:rsid w:val="0B7230F2"/>
    <w:rsid w:val="0B725406"/>
    <w:rsid w:val="0B731A1D"/>
    <w:rsid w:val="0B733189"/>
    <w:rsid w:val="0B740A12"/>
    <w:rsid w:val="0B741800"/>
    <w:rsid w:val="0B742A3E"/>
    <w:rsid w:val="0B744619"/>
    <w:rsid w:val="0B74554B"/>
    <w:rsid w:val="0B745622"/>
    <w:rsid w:val="0B75059E"/>
    <w:rsid w:val="0B750B54"/>
    <w:rsid w:val="0B751962"/>
    <w:rsid w:val="0B752154"/>
    <w:rsid w:val="0B754EF6"/>
    <w:rsid w:val="0B755D58"/>
    <w:rsid w:val="0B756C9E"/>
    <w:rsid w:val="0B756CA4"/>
    <w:rsid w:val="0B757B9A"/>
    <w:rsid w:val="0B761B06"/>
    <w:rsid w:val="0B761B0A"/>
    <w:rsid w:val="0B763414"/>
    <w:rsid w:val="0B772A1C"/>
    <w:rsid w:val="0B772F9A"/>
    <w:rsid w:val="0B775CB5"/>
    <w:rsid w:val="0B775CCB"/>
    <w:rsid w:val="0B775CD8"/>
    <w:rsid w:val="0B776EC0"/>
    <w:rsid w:val="0B783553"/>
    <w:rsid w:val="0B7838B9"/>
    <w:rsid w:val="0B7849E6"/>
    <w:rsid w:val="0B785F31"/>
    <w:rsid w:val="0B791678"/>
    <w:rsid w:val="0B796BBE"/>
    <w:rsid w:val="0B7A250D"/>
    <w:rsid w:val="0B7A439B"/>
    <w:rsid w:val="0B7A639A"/>
    <w:rsid w:val="0B7A6559"/>
    <w:rsid w:val="0B7B1597"/>
    <w:rsid w:val="0B7B44EC"/>
    <w:rsid w:val="0B7B5A2E"/>
    <w:rsid w:val="0B7B635E"/>
    <w:rsid w:val="0B7C0033"/>
    <w:rsid w:val="0B7C0421"/>
    <w:rsid w:val="0B7C073E"/>
    <w:rsid w:val="0B7C44D7"/>
    <w:rsid w:val="0B7C6285"/>
    <w:rsid w:val="0B7C6C47"/>
    <w:rsid w:val="0B7D0094"/>
    <w:rsid w:val="0B7D028B"/>
    <w:rsid w:val="0B7D1FFD"/>
    <w:rsid w:val="0B7D323E"/>
    <w:rsid w:val="0B7D68EE"/>
    <w:rsid w:val="0B7E024F"/>
    <w:rsid w:val="0B7E1B9B"/>
    <w:rsid w:val="0B7E3ACF"/>
    <w:rsid w:val="0B7E6AA1"/>
    <w:rsid w:val="0B7F19FF"/>
    <w:rsid w:val="0B7F336B"/>
    <w:rsid w:val="0B7F3FC7"/>
    <w:rsid w:val="0B7F633E"/>
    <w:rsid w:val="0B800B6C"/>
    <w:rsid w:val="0B810673"/>
    <w:rsid w:val="0B811AED"/>
    <w:rsid w:val="0B8127DD"/>
    <w:rsid w:val="0B812885"/>
    <w:rsid w:val="0B8210F3"/>
    <w:rsid w:val="0B8324B6"/>
    <w:rsid w:val="0B832C7E"/>
    <w:rsid w:val="0B835865"/>
    <w:rsid w:val="0B836398"/>
    <w:rsid w:val="0B8415DD"/>
    <w:rsid w:val="0B84338B"/>
    <w:rsid w:val="0B846A84"/>
    <w:rsid w:val="0B85016F"/>
    <w:rsid w:val="0B851DA6"/>
    <w:rsid w:val="0B852FFA"/>
    <w:rsid w:val="0B856175"/>
    <w:rsid w:val="0B857381"/>
    <w:rsid w:val="0B857A23"/>
    <w:rsid w:val="0B860EB1"/>
    <w:rsid w:val="0B861E5C"/>
    <w:rsid w:val="0B862117"/>
    <w:rsid w:val="0B86688A"/>
    <w:rsid w:val="0B867103"/>
    <w:rsid w:val="0B87008F"/>
    <w:rsid w:val="0B875941"/>
    <w:rsid w:val="0B875E0C"/>
    <w:rsid w:val="0B8762F9"/>
    <w:rsid w:val="0B877CDF"/>
    <w:rsid w:val="0B882E7B"/>
    <w:rsid w:val="0B884C29"/>
    <w:rsid w:val="0B884F54"/>
    <w:rsid w:val="0B8864C7"/>
    <w:rsid w:val="0B8909A2"/>
    <w:rsid w:val="0B89102E"/>
    <w:rsid w:val="0B89112C"/>
    <w:rsid w:val="0B896BF3"/>
    <w:rsid w:val="0B8A449C"/>
    <w:rsid w:val="0B8A51B0"/>
    <w:rsid w:val="0B8A5911"/>
    <w:rsid w:val="0B8A5A91"/>
    <w:rsid w:val="0B8A7C42"/>
    <w:rsid w:val="0B8B2560"/>
    <w:rsid w:val="0B8B28CC"/>
    <w:rsid w:val="0B8B296C"/>
    <w:rsid w:val="0B8B64C8"/>
    <w:rsid w:val="0B8C3FEE"/>
    <w:rsid w:val="0B8C7713"/>
    <w:rsid w:val="0B8D0492"/>
    <w:rsid w:val="0B8D1FA4"/>
    <w:rsid w:val="0B8D2240"/>
    <w:rsid w:val="0B8D356D"/>
    <w:rsid w:val="0B8D4AEE"/>
    <w:rsid w:val="0B8D66E4"/>
    <w:rsid w:val="0B8D7C39"/>
    <w:rsid w:val="0B8E0B1C"/>
    <w:rsid w:val="0B8E1FD7"/>
    <w:rsid w:val="0B8E25D7"/>
    <w:rsid w:val="0B8E420A"/>
    <w:rsid w:val="0B8E5FB8"/>
    <w:rsid w:val="0B8E78E6"/>
    <w:rsid w:val="0B8E7D66"/>
    <w:rsid w:val="0B8F3E80"/>
    <w:rsid w:val="0B8F6F3C"/>
    <w:rsid w:val="0B901D30"/>
    <w:rsid w:val="0B90225B"/>
    <w:rsid w:val="0B903ADE"/>
    <w:rsid w:val="0B9056CF"/>
    <w:rsid w:val="0B905A09"/>
    <w:rsid w:val="0B907065"/>
    <w:rsid w:val="0B9079E6"/>
    <w:rsid w:val="0B907F82"/>
    <w:rsid w:val="0B911CD4"/>
    <w:rsid w:val="0B913030"/>
    <w:rsid w:val="0B914A56"/>
    <w:rsid w:val="0B9153D7"/>
    <w:rsid w:val="0B9161C1"/>
    <w:rsid w:val="0B916712"/>
    <w:rsid w:val="0B916977"/>
    <w:rsid w:val="0B923030"/>
    <w:rsid w:val="0B923CFA"/>
    <w:rsid w:val="0B925768"/>
    <w:rsid w:val="0B925AA8"/>
    <w:rsid w:val="0B927856"/>
    <w:rsid w:val="0B934B3C"/>
    <w:rsid w:val="0B93537C"/>
    <w:rsid w:val="0B941820"/>
    <w:rsid w:val="0B944E44"/>
    <w:rsid w:val="0B9510F4"/>
    <w:rsid w:val="0B952143"/>
    <w:rsid w:val="0B952624"/>
    <w:rsid w:val="0B954850"/>
    <w:rsid w:val="0B955598"/>
    <w:rsid w:val="0B956A3F"/>
    <w:rsid w:val="0B961DBB"/>
    <w:rsid w:val="0B964F6D"/>
    <w:rsid w:val="0B965E6B"/>
    <w:rsid w:val="0B971B68"/>
    <w:rsid w:val="0B9733AA"/>
    <w:rsid w:val="0B97468A"/>
    <w:rsid w:val="0B980960"/>
    <w:rsid w:val="0B980BE5"/>
    <w:rsid w:val="0B9856E9"/>
    <w:rsid w:val="0B9874FD"/>
    <w:rsid w:val="0B9915A6"/>
    <w:rsid w:val="0B995089"/>
    <w:rsid w:val="0B996E37"/>
    <w:rsid w:val="0B99749B"/>
    <w:rsid w:val="0B9A0AED"/>
    <w:rsid w:val="0B9A0DC4"/>
    <w:rsid w:val="0B9A2BAF"/>
    <w:rsid w:val="0B9A670B"/>
    <w:rsid w:val="0B9B49E1"/>
    <w:rsid w:val="0B9C06D5"/>
    <w:rsid w:val="0B9C0F00"/>
    <w:rsid w:val="0B9C1A85"/>
    <w:rsid w:val="0B9C2E79"/>
    <w:rsid w:val="0B9C32AC"/>
    <w:rsid w:val="0B9C6927"/>
    <w:rsid w:val="0B9D4AD6"/>
    <w:rsid w:val="0B9E04AC"/>
    <w:rsid w:val="0B9E269F"/>
    <w:rsid w:val="0B9E444D"/>
    <w:rsid w:val="0B9E4E4C"/>
    <w:rsid w:val="0B9E59BF"/>
    <w:rsid w:val="0B9E6145"/>
    <w:rsid w:val="0B9E6CCA"/>
    <w:rsid w:val="0B9E7727"/>
    <w:rsid w:val="0B9F1D98"/>
    <w:rsid w:val="0B9F1F73"/>
    <w:rsid w:val="0B9F4988"/>
    <w:rsid w:val="0B9F75D5"/>
    <w:rsid w:val="0BA002AF"/>
    <w:rsid w:val="0BA021A6"/>
    <w:rsid w:val="0BA06CF0"/>
    <w:rsid w:val="0BA11BAF"/>
    <w:rsid w:val="0BA14643"/>
    <w:rsid w:val="0BA146E2"/>
    <w:rsid w:val="0BA15CEB"/>
    <w:rsid w:val="0BA15EE2"/>
    <w:rsid w:val="0BA16207"/>
    <w:rsid w:val="0BA16686"/>
    <w:rsid w:val="0BA17A99"/>
    <w:rsid w:val="0BA2207C"/>
    <w:rsid w:val="0BA23453"/>
    <w:rsid w:val="0BA30B27"/>
    <w:rsid w:val="0BA334AF"/>
    <w:rsid w:val="0BA347D3"/>
    <w:rsid w:val="0BA404A9"/>
    <w:rsid w:val="0BA41C32"/>
    <w:rsid w:val="0BA457DB"/>
    <w:rsid w:val="0BA47589"/>
    <w:rsid w:val="0BA51CB7"/>
    <w:rsid w:val="0BA57B99"/>
    <w:rsid w:val="0BA61553"/>
    <w:rsid w:val="0BA624D5"/>
    <w:rsid w:val="0BA62A64"/>
    <w:rsid w:val="0BA63302"/>
    <w:rsid w:val="0BA636BB"/>
    <w:rsid w:val="0BA63BA2"/>
    <w:rsid w:val="0BA650B0"/>
    <w:rsid w:val="0BA65454"/>
    <w:rsid w:val="0BA658E2"/>
    <w:rsid w:val="0BA66A5B"/>
    <w:rsid w:val="0BA77FB4"/>
    <w:rsid w:val="0BA80839"/>
    <w:rsid w:val="0BA82B2E"/>
    <w:rsid w:val="0BA85143"/>
    <w:rsid w:val="0BA8626A"/>
    <w:rsid w:val="0BA86ECD"/>
    <w:rsid w:val="0BA96C8F"/>
    <w:rsid w:val="0BAA240C"/>
    <w:rsid w:val="0BAA4B47"/>
    <w:rsid w:val="0BAB0918"/>
    <w:rsid w:val="0BAB2111"/>
    <w:rsid w:val="0BAB3FB1"/>
    <w:rsid w:val="0BAB4DBC"/>
    <w:rsid w:val="0BAB665E"/>
    <w:rsid w:val="0BAB6B6A"/>
    <w:rsid w:val="0BAC0627"/>
    <w:rsid w:val="0BAC1FD7"/>
    <w:rsid w:val="0BAC3B66"/>
    <w:rsid w:val="0BAC6D71"/>
    <w:rsid w:val="0BAD3D66"/>
    <w:rsid w:val="0BAD4690"/>
    <w:rsid w:val="0BAD47AA"/>
    <w:rsid w:val="0BAE0408"/>
    <w:rsid w:val="0BAE28F6"/>
    <w:rsid w:val="0BAE3DBC"/>
    <w:rsid w:val="0BAE5B88"/>
    <w:rsid w:val="0BAE66FE"/>
    <w:rsid w:val="0BAF080B"/>
    <w:rsid w:val="0BAF178A"/>
    <w:rsid w:val="0BAF63AD"/>
    <w:rsid w:val="0BAF665A"/>
    <w:rsid w:val="0BAF6DE2"/>
    <w:rsid w:val="0BB0055A"/>
    <w:rsid w:val="0BB04180"/>
    <w:rsid w:val="0BB05F2E"/>
    <w:rsid w:val="0BB11449"/>
    <w:rsid w:val="0BB14914"/>
    <w:rsid w:val="0BB14BAB"/>
    <w:rsid w:val="0BB2142B"/>
    <w:rsid w:val="0BB21B28"/>
    <w:rsid w:val="0BB233F4"/>
    <w:rsid w:val="0BB235BF"/>
    <w:rsid w:val="0BB2614A"/>
    <w:rsid w:val="0BB26868"/>
    <w:rsid w:val="0BB3061C"/>
    <w:rsid w:val="0BB323D4"/>
    <w:rsid w:val="0BB35A1E"/>
    <w:rsid w:val="0BB3712C"/>
    <w:rsid w:val="0BB40147"/>
    <w:rsid w:val="0BB43C70"/>
    <w:rsid w:val="0BB45CBF"/>
    <w:rsid w:val="0BB50FDC"/>
    <w:rsid w:val="0BB516F3"/>
    <w:rsid w:val="0BB51797"/>
    <w:rsid w:val="0BB51F4F"/>
    <w:rsid w:val="0BB52F3C"/>
    <w:rsid w:val="0BB53545"/>
    <w:rsid w:val="0BB55338"/>
    <w:rsid w:val="0BB62AC9"/>
    <w:rsid w:val="0BB62F93"/>
    <w:rsid w:val="0BB6410B"/>
    <w:rsid w:val="0BB64658"/>
    <w:rsid w:val="0BB66A2C"/>
    <w:rsid w:val="0BB66AD7"/>
    <w:rsid w:val="0BB66F9D"/>
    <w:rsid w:val="0BB71621"/>
    <w:rsid w:val="0BB7313B"/>
    <w:rsid w:val="0BB73761"/>
    <w:rsid w:val="0BB7550F"/>
    <w:rsid w:val="0BB761E1"/>
    <w:rsid w:val="0BB7658C"/>
    <w:rsid w:val="0BB76BF5"/>
    <w:rsid w:val="0BB772BD"/>
    <w:rsid w:val="0BB8117E"/>
    <w:rsid w:val="0BB8424B"/>
    <w:rsid w:val="0BB8476F"/>
    <w:rsid w:val="0BB84DE3"/>
    <w:rsid w:val="0BB85EB0"/>
    <w:rsid w:val="0BB91287"/>
    <w:rsid w:val="0BB92EE4"/>
    <w:rsid w:val="0BB93035"/>
    <w:rsid w:val="0BBA0474"/>
    <w:rsid w:val="0BBA13D9"/>
    <w:rsid w:val="0BBA41DD"/>
    <w:rsid w:val="0BBA4D4F"/>
    <w:rsid w:val="0BBA508F"/>
    <w:rsid w:val="0BBA5631"/>
    <w:rsid w:val="0BBA591E"/>
    <w:rsid w:val="0BBA6DAD"/>
    <w:rsid w:val="0BBB2430"/>
    <w:rsid w:val="0BBB3FF9"/>
    <w:rsid w:val="0BBB42A2"/>
    <w:rsid w:val="0BBB4EF8"/>
    <w:rsid w:val="0BBB62B8"/>
    <w:rsid w:val="0BBC0A15"/>
    <w:rsid w:val="0BBC4403"/>
    <w:rsid w:val="0BBC48D3"/>
    <w:rsid w:val="0BBC7A75"/>
    <w:rsid w:val="0BBE064B"/>
    <w:rsid w:val="0BBE2C35"/>
    <w:rsid w:val="0BBE4AEF"/>
    <w:rsid w:val="0BBF43C3"/>
    <w:rsid w:val="0BBF6171"/>
    <w:rsid w:val="0BC01E57"/>
    <w:rsid w:val="0BC07140"/>
    <w:rsid w:val="0BC11AF1"/>
    <w:rsid w:val="0BC13363"/>
    <w:rsid w:val="0BC1638D"/>
    <w:rsid w:val="0BC16823"/>
    <w:rsid w:val="0BC17430"/>
    <w:rsid w:val="0BC17678"/>
    <w:rsid w:val="0BC20086"/>
    <w:rsid w:val="0BC32105"/>
    <w:rsid w:val="0BC33EB3"/>
    <w:rsid w:val="0BC34B23"/>
    <w:rsid w:val="0BC34E2E"/>
    <w:rsid w:val="0BC35C62"/>
    <w:rsid w:val="0BC419DA"/>
    <w:rsid w:val="0BC434F5"/>
    <w:rsid w:val="0BC44D9A"/>
    <w:rsid w:val="0BC52A31"/>
    <w:rsid w:val="0BC531F4"/>
    <w:rsid w:val="0BC55E7E"/>
    <w:rsid w:val="0BC61826"/>
    <w:rsid w:val="0BC62CE6"/>
    <w:rsid w:val="0BC63572"/>
    <w:rsid w:val="0BC638C7"/>
    <w:rsid w:val="0BC6662D"/>
    <w:rsid w:val="0BC66A92"/>
    <w:rsid w:val="0BC67105"/>
    <w:rsid w:val="0BC67500"/>
    <w:rsid w:val="0BC677D3"/>
    <w:rsid w:val="0BC7245A"/>
    <w:rsid w:val="0BC80331"/>
    <w:rsid w:val="0BC813B2"/>
    <w:rsid w:val="0BC81BCE"/>
    <w:rsid w:val="0BC83278"/>
    <w:rsid w:val="0BC85857"/>
    <w:rsid w:val="0BC904FA"/>
    <w:rsid w:val="0BC91A0E"/>
    <w:rsid w:val="0BC934B3"/>
    <w:rsid w:val="0BC93687"/>
    <w:rsid w:val="0BCA2193"/>
    <w:rsid w:val="0BCA5242"/>
    <w:rsid w:val="0BCB27F2"/>
    <w:rsid w:val="0BCB2D68"/>
    <w:rsid w:val="0BCB3013"/>
    <w:rsid w:val="0BCB35AB"/>
    <w:rsid w:val="0BCB4B16"/>
    <w:rsid w:val="0BCB5162"/>
    <w:rsid w:val="0BCB68A3"/>
    <w:rsid w:val="0BCC35FC"/>
    <w:rsid w:val="0BCC5C3A"/>
    <w:rsid w:val="0BCC6455"/>
    <w:rsid w:val="0BCC645E"/>
    <w:rsid w:val="0BCC78F3"/>
    <w:rsid w:val="0BCD088E"/>
    <w:rsid w:val="0BCD3D94"/>
    <w:rsid w:val="0BCD6AE0"/>
    <w:rsid w:val="0BCF0AAA"/>
    <w:rsid w:val="0BCF140D"/>
    <w:rsid w:val="0BCF1DB6"/>
    <w:rsid w:val="0BCF2858"/>
    <w:rsid w:val="0BCF484B"/>
    <w:rsid w:val="0BCF754D"/>
    <w:rsid w:val="0BD00FA1"/>
    <w:rsid w:val="0BD02715"/>
    <w:rsid w:val="0BD034C1"/>
    <w:rsid w:val="0BD04822"/>
    <w:rsid w:val="0BD13122"/>
    <w:rsid w:val="0BD21250"/>
    <w:rsid w:val="0BD222D5"/>
    <w:rsid w:val="0BD22349"/>
    <w:rsid w:val="0BD240F7"/>
    <w:rsid w:val="0BD31C1D"/>
    <w:rsid w:val="0BD41DE5"/>
    <w:rsid w:val="0BD45468"/>
    <w:rsid w:val="0BD45ADF"/>
    <w:rsid w:val="0BD45B9A"/>
    <w:rsid w:val="0BD460C1"/>
    <w:rsid w:val="0BD53BE7"/>
    <w:rsid w:val="0BD55995"/>
    <w:rsid w:val="0BD566E5"/>
    <w:rsid w:val="0BD75BB1"/>
    <w:rsid w:val="0BD762D6"/>
    <w:rsid w:val="0BD77A17"/>
    <w:rsid w:val="0BD8334F"/>
    <w:rsid w:val="0BD8353E"/>
    <w:rsid w:val="0BD87233"/>
    <w:rsid w:val="0BD90154"/>
    <w:rsid w:val="0BD90407"/>
    <w:rsid w:val="0BD911A4"/>
    <w:rsid w:val="0BD924B3"/>
    <w:rsid w:val="0BD936D7"/>
    <w:rsid w:val="0BD94791"/>
    <w:rsid w:val="0BD95485"/>
    <w:rsid w:val="0BDA1367"/>
    <w:rsid w:val="0BDA2FAB"/>
    <w:rsid w:val="0BDB29A6"/>
    <w:rsid w:val="0BDB744F"/>
    <w:rsid w:val="0BDC0CB8"/>
    <w:rsid w:val="0BDC1835"/>
    <w:rsid w:val="0BDC4F75"/>
    <w:rsid w:val="0BDC79CD"/>
    <w:rsid w:val="0BDD2148"/>
    <w:rsid w:val="0BDD2905"/>
    <w:rsid w:val="0BDD50C6"/>
    <w:rsid w:val="0BDD7E8E"/>
    <w:rsid w:val="0BDE2A9B"/>
    <w:rsid w:val="0BDE356A"/>
    <w:rsid w:val="0BDF05C2"/>
    <w:rsid w:val="0BDF0932"/>
    <w:rsid w:val="0BDF4B40"/>
    <w:rsid w:val="0BDF6813"/>
    <w:rsid w:val="0BE00EAE"/>
    <w:rsid w:val="0BE04A65"/>
    <w:rsid w:val="0BE06BAF"/>
    <w:rsid w:val="0BE107DE"/>
    <w:rsid w:val="0BE10AC9"/>
    <w:rsid w:val="0BE11B66"/>
    <w:rsid w:val="0BE1433A"/>
    <w:rsid w:val="0BE24B2A"/>
    <w:rsid w:val="0BE25D02"/>
    <w:rsid w:val="0BE32FAA"/>
    <w:rsid w:val="0BE34556"/>
    <w:rsid w:val="0BE358BE"/>
    <w:rsid w:val="0BE35FBA"/>
    <w:rsid w:val="0BE37CA1"/>
    <w:rsid w:val="0BE37F48"/>
    <w:rsid w:val="0BE4167E"/>
    <w:rsid w:val="0BE46D3E"/>
    <w:rsid w:val="0BE54B90"/>
    <w:rsid w:val="0BE55E0C"/>
    <w:rsid w:val="0BE564B2"/>
    <w:rsid w:val="0BE57EB5"/>
    <w:rsid w:val="0BE6305E"/>
    <w:rsid w:val="0BE63B9D"/>
    <w:rsid w:val="0BE649D2"/>
    <w:rsid w:val="0BE6566B"/>
    <w:rsid w:val="0BE65DF4"/>
    <w:rsid w:val="0BE67D12"/>
    <w:rsid w:val="0BE7384E"/>
    <w:rsid w:val="0BE740EE"/>
    <w:rsid w:val="0BE75DCB"/>
    <w:rsid w:val="0BE81B6C"/>
    <w:rsid w:val="0BE856C8"/>
    <w:rsid w:val="0BE974D5"/>
    <w:rsid w:val="0BEA2601"/>
    <w:rsid w:val="0BEA58E4"/>
    <w:rsid w:val="0BEA7692"/>
    <w:rsid w:val="0BEB2B39"/>
    <w:rsid w:val="0BEB340A"/>
    <w:rsid w:val="0BEB47F5"/>
    <w:rsid w:val="0BEB6F66"/>
    <w:rsid w:val="0BEB731D"/>
    <w:rsid w:val="0BEB7A59"/>
    <w:rsid w:val="0BEC1043"/>
    <w:rsid w:val="0BEC44D3"/>
    <w:rsid w:val="0BEC52CA"/>
    <w:rsid w:val="0BEC5BDC"/>
    <w:rsid w:val="0BEC7E37"/>
    <w:rsid w:val="0BED706C"/>
    <w:rsid w:val="0BED7182"/>
    <w:rsid w:val="0BEE2A63"/>
    <w:rsid w:val="0BEF2EFA"/>
    <w:rsid w:val="0BEF455D"/>
    <w:rsid w:val="0BEF464D"/>
    <w:rsid w:val="0BEF4668"/>
    <w:rsid w:val="0BEF5C9E"/>
    <w:rsid w:val="0BEF6A57"/>
    <w:rsid w:val="0BF027CF"/>
    <w:rsid w:val="0BF02E05"/>
    <w:rsid w:val="0BF03A03"/>
    <w:rsid w:val="0BF03E5E"/>
    <w:rsid w:val="0BF0448C"/>
    <w:rsid w:val="0BF059ED"/>
    <w:rsid w:val="0BF077C6"/>
    <w:rsid w:val="0BF1145D"/>
    <w:rsid w:val="0BF1761A"/>
    <w:rsid w:val="0BF21C58"/>
    <w:rsid w:val="0BF22734"/>
    <w:rsid w:val="0BF23070"/>
    <w:rsid w:val="0BF26547"/>
    <w:rsid w:val="0BF3121F"/>
    <w:rsid w:val="0BF312E0"/>
    <w:rsid w:val="0BF31E33"/>
    <w:rsid w:val="0BF40511"/>
    <w:rsid w:val="0BF4406D"/>
    <w:rsid w:val="0BF442C3"/>
    <w:rsid w:val="0BF50995"/>
    <w:rsid w:val="0BF51ABF"/>
    <w:rsid w:val="0BF52FA0"/>
    <w:rsid w:val="0BF546F7"/>
    <w:rsid w:val="0BF548D5"/>
    <w:rsid w:val="0BF56037"/>
    <w:rsid w:val="0BF570A9"/>
    <w:rsid w:val="0BF57DE5"/>
    <w:rsid w:val="0BF60184"/>
    <w:rsid w:val="0BF60B9F"/>
    <w:rsid w:val="0BF633F7"/>
    <w:rsid w:val="0BF64289"/>
    <w:rsid w:val="0BF64430"/>
    <w:rsid w:val="0BF70001"/>
    <w:rsid w:val="0BF71DAF"/>
    <w:rsid w:val="0BF72CEF"/>
    <w:rsid w:val="0BF7590B"/>
    <w:rsid w:val="0BF83963"/>
    <w:rsid w:val="0BF91133"/>
    <w:rsid w:val="0BF92F03"/>
    <w:rsid w:val="0BF93178"/>
    <w:rsid w:val="0BF93EC0"/>
    <w:rsid w:val="0BF95B27"/>
    <w:rsid w:val="0BFA1670"/>
    <w:rsid w:val="0BFA50DB"/>
    <w:rsid w:val="0BFA721F"/>
    <w:rsid w:val="0BFB189F"/>
    <w:rsid w:val="0BFB5056"/>
    <w:rsid w:val="0BFB7D0E"/>
    <w:rsid w:val="0BFC0D5C"/>
    <w:rsid w:val="0BFC1173"/>
    <w:rsid w:val="0BFC63AD"/>
    <w:rsid w:val="0BFC6EF5"/>
    <w:rsid w:val="0BFD1732"/>
    <w:rsid w:val="0BFD5196"/>
    <w:rsid w:val="0BFD5D98"/>
    <w:rsid w:val="0BFD6C8F"/>
    <w:rsid w:val="0BFD7FF1"/>
    <w:rsid w:val="0BFE313E"/>
    <w:rsid w:val="0BFE6C9A"/>
    <w:rsid w:val="0BFE6E7E"/>
    <w:rsid w:val="0BFE7ECE"/>
    <w:rsid w:val="0BFF13A6"/>
    <w:rsid w:val="0BFF4B97"/>
    <w:rsid w:val="0BFF6BA0"/>
    <w:rsid w:val="0BFF7CF7"/>
    <w:rsid w:val="0C000C64"/>
    <w:rsid w:val="0C004E6E"/>
    <w:rsid w:val="0C005FB7"/>
    <w:rsid w:val="0C012C2E"/>
    <w:rsid w:val="0C0163D0"/>
    <w:rsid w:val="0C016972"/>
    <w:rsid w:val="0C020759"/>
    <w:rsid w:val="0C021461"/>
    <w:rsid w:val="0C02165E"/>
    <w:rsid w:val="0C022F4C"/>
    <w:rsid w:val="0C0232D1"/>
    <w:rsid w:val="0C02363A"/>
    <w:rsid w:val="0C0258D7"/>
    <w:rsid w:val="0C025B9A"/>
    <w:rsid w:val="0C0268D6"/>
    <w:rsid w:val="0C030754"/>
    <w:rsid w:val="0C03229D"/>
    <w:rsid w:val="0C0355A4"/>
    <w:rsid w:val="0C0369A6"/>
    <w:rsid w:val="0C040028"/>
    <w:rsid w:val="0C0425D6"/>
    <w:rsid w:val="0C046315"/>
    <w:rsid w:val="0C047B36"/>
    <w:rsid w:val="0C0548F2"/>
    <w:rsid w:val="0C0568CC"/>
    <w:rsid w:val="0C0574A7"/>
    <w:rsid w:val="0C060244"/>
    <w:rsid w:val="0C061354"/>
    <w:rsid w:val="0C061FF2"/>
    <w:rsid w:val="0C063EDA"/>
    <w:rsid w:val="0C063F25"/>
    <w:rsid w:val="0C065294"/>
    <w:rsid w:val="0C065F88"/>
    <w:rsid w:val="0C0667FE"/>
    <w:rsid w:val="0C071B8F"/>
    <w:rsid w:val="0C0734CD"/>
    <w:rsid w:val="0C0753B5"/>
    <w:rsid w:val="0C087161"/>
    <w:rsid w:val="0C087B18"/>
    <w:rsid w:val="0C087DEC"/>
    <w:rsid w:val="0C090065"/>
    <w:rsid w:val="0C091380"/>
    <w:rsid w:val="0C0958C0"/>
    <w:rsid w:val="0C097CD5"/>
    <w:rsid w:val="0C0A40C1"/>
    <w:rsid w:val="0C0A64DE"/>
    <w:rsid w:val="0C0A7D34"/>
    <w:rsid w:val="0C0B061A"/>
    <w:rsid w:val="0C0B13B7"/>
    <w:rsid w:val="0C0B4E3B"/>
    <w:rsid w:val="0C0B5109"/>
    <w:rsid w:val="0C0B585A"/>
    <w:rsid w:val="0C0B5D6C"/>
    <w:rsid w:val="0C0B62BF"/>
    <w:rsid w:val="0C0B66D6"/>
    <w:rsid w:val="0C0C42D2"/>
    <w:rsid w:val="0C0D15D3"/>
    <w:rsid w:val="0C0D512F"/>
    <w:rsid w:val="0C0D656C"/>
    <w:rsid w:val="0C0E264F"/>
    <w:rsid w:val="0C0E7282"/>
    <w:rsid w:val="0C0F169C"/>
    <w:rsid w:val="0C0F1AC6"/>
    <w:rsid w:val="0C0F1E96"/>
    <w:rsid w:val="0C0F4628"/>
    <w:rsid w:val="0C0F534B"/>
    <w:rsid w:val="0C0F6F17"/>
    <w:rsid w:val="0C0F70F9"/>
    <w:rsid w:val="0C102CDC"/>
    <w:rsid w:val="0C104C1F"/>
    <w:rsid w:val="0C10638C"/>
    <w:rsid w:val="0C107BA8"/>
    <w:rsid w:val="0C110A84"/>
    <w:rsid w:val="0C111FDD"/>
    <w:rsid w:val="0C112E71"/>
    <w:rsid w:val="0C113408"/>
    <w:rsid w:val="0C114531"/>
    <w:rsid w:val="0C114AA9"/>
    <w:rsid w:val="0C1163E6"/>
    <w:rsid w:val="0C120997"/>
    <w:rsid w:val="0C122030"/>
    <w:rsid w:val="0C122745"/>
    <w:rsid w:val="0C125AEB"/>
    <w:rsid w:val="0C126BE9"/>
    <w:rsid w:val="0C12755D"/>
    <w:rsid w:val="0C132F4F"/>
    <w:rsid w:val="0C1371A8"/>
    <w:rsid w:val="0C142961"/>
    <w:rsid w:val="0C1430A4"/>
    <w:rsid w:val="0C14314C"/>
    <w:rsid w:val="0C14470F"/>
    <w:rsid w:val="0C144857"/>
    <w:rsid w:val="0C153F8A"/>
    <w:rsid w:val="0C155258"/>
    <w:rsid w:val="0C160487"/>
    <w:rsid w:val="0C1666D9"/>
    <w:rsid w:val="0C1729B2"/>
    <w:rsid w:val="0C173769"/>
    <w:rsid w:val="0C17408A"/>
    <w:rsid w:val="0C1741FF"/>
    <w:rsid w:val="0C1840D1"/>
    <w:rsid w:val="0C184BF9"/>
    <w:rsid w:val="0C187097"/>
    <w:rsid w:val="0C1913E9"/>
    <w:rsid w:val="0C191D25"/>
    <w:rsid w:val="0C1923CB"/>
    <w:rsid w:val="0C193AD3"/>
    <w:rsid w:val="0C194DB5"/>
    <w:rsid w:val="0C194EF9"/>
    <w:rsid w:val="0C19598C"/>
    <w:rsid w:val="0C197047"/>
    <w:rsid w:val="0C197A29"/>
    <w:rsid w:val="0C197F77"/>
    <w:rsid w:val="0C1A05A0"/>
    <w:rsid w:val="0C1A0C5A"/>
    <w:rsid w:val="0C1A5037"/>
    <w:rsid w:val="0C1A5107"/>
    <w:rsid w:val="0C1A5F83"/>
    <w:rsid w:val="0C1A6AD2"/>
    <w:rsid w:val="0C1A784C"/>
    <w:rsid w:val="0C1B3CF0"/>
    <w:rsid w:val="0C1B45C5"/>
    <w:rsid w:val="0C1B5A4A"/>
    <w:rsid w:val="0C1C1F80"/>
    <w:rsid w:val="0C1C2160"/>
    <w:rsid w:val="0C1C35C4"/>
    <w:rsid w:val="0C1C6778"/>
    <w:rsid w:val="0C1C7A68"/>
    <w:rsid w:val="0C1D0669"/>
    <w:rsid w:val="0C1D0920"/>
    <w:rsid w:val="0C1D0DEE"/>
    <w:rsid w:val="0C1D4B5C"/>
    <w:rsid w:val="0C1D4FCF"/>
    <w:rsid w:val="0C1E0427"/>
    <w:rsid w:val="0C1E1B49"/>
    <w:rsid w:val="0C1E212C"/>
    <w:rsid w:val="0C1E21AC"/>
    <w:rsid w:val="0C1E39C2"/>
    <w:rsid w:val="0C1F4E62"/>
    <w:rsid w:val="0C1F678D"/>
    <w:rsid w:val="0C201306"/>
    <w:rsid w:val="0C2030B4"/>
    <w:rsid w:val="0C210BDA"/>
    <w:rsid w:val="0C215F5C"/>
    <w:rsid w:val="0C216E2C"/>
    <w:rsid w:val="0C2212C0"/>
    <w:rsid w:val="0C222BC2"/>
    <w:rsid w:val="0C2257A1"/>
    <w:rsid w:val="0C226CFA"/>
    <w:rsid w:val="0C23346E"/>
    <w:rsid w:val="0C236700"/>
    <w:rsid w:val="0C24443C"/>
    <w:rsid w:val="0C2506CA"/>
    <w:rsid w:val="0C252478"/>
    <w:rsid w:val="0C25628A"/>
    <w:rsid w:val="0C25691C"/>
    <w:rsid w:val="0C26093E"/>
    <w:rsid w:val="0C260BDB"/>
    <w:rsid w:val="0C26247C"/>
    <w:rsid w:val="0C262C6A"/>
    <w:rsid w:val="0C267153"/>
    <w:rsid w:val="0C272694"/>
    <w:rsid w:val="0C27288B"/>
    <w:rsid w:val="0C2806C1"/>
    <w:rsid w:val="0C280794"/>
    <w:rsid w:val="0C282F23"/>
    <w:rsid w:val="0C284FBB"/>
    <w:rsid w:val="0C28589D"/>
    <w:rsid w:val="0C28640C"/>
    <w:rsid w:val="0C293E2C"/>
    <w:rsid w:val="0C294560"/>
    <w:rsid w:val="0C295B7E"/>
    <w:rsid w:val="0C2972BF"/>
    <w:rsid w:val="0C2A074F"/>
    <w:rsid w:val="0C2A11F5"/>
    <w:rsid w:val="0C2A3F33"/>
    <w:rsid w:val="0C2B18EF"/>
    <w:rsid w:val="0C2B1A59"/>
    <w:rsid w:val="0C2B360B"/>
    <w:rsid w:val="0C2B3807"/>
    <w:rsid w:val="0C2B4ADB"/>
    <w:rsid w:val="0C2C1C15"/>
    <w:rsid w:val="0C2C2900"/>
    <w:rsid w:val="0C2C3E3D"/>
    <w:rsid w:val="0C2C5C40"/>
    <w:rsid w:val="0C2C7CAB"/>
    <w:rsid w:val="0C2D1A9E"/>
    <w:rsid w:val="0C2D3A23"/>
    <w:rsid w:val="0C2D5AF3"/>
    <w:rsid w:val="0C2D757F"/>
    <w:rsid w:val="0C2E0A79"/>
    <w:rsid w:val="0C2E5850"/>
    <w:rsid w:val="0C2F32F7"/>
    <w:rsid w:val="0C2F359A"/>
    <w:rsid w:val="0C3001D6"/>
    <w:rsid w:val="0C30706F"/>
    <w:rsid w:val="0C310D9F"/>
    <w:rsid w:val="0C311318"/>
    <w:rsid w:val="0C312FF7"/>
    <w:rsid w:val="0C313B4E"/>
    <w:rsid w:val="0C315A51"/>
    <w:rsid w:val="0C320A61"/>
    <w:rsid w:val="0C320A9C"/>
    <w:rsid w:val="0C322DE7"/>
    <w:rsid w:val="0C325A20"/>
    <w:rsid w:val="0C327014"/>
    <w:rsid w:val="0C33153C"/>
    <w:rsid w:val="0C3331F0"/>
    <w:rsid w:val="0C3339A8"/>
    <w:rsid w:val="0C337E07"/>
    <w:rsid w:val="0C34090D"/>
    <w:rsid w:val="0C343A76"/>
    <w:rsid w:val="0C344DB1"/>
    <w:rsid w:val="0C346B5F"/>
    <w:rsid w:val="0C346BF3"/>
    <w:rsid w:val="0C351053"/>
    <w:rsid w:val="0C35128F"/>
    <w:rsid w:val="0C355862"/>
    <w:rsid w:val="0C3569ED"/>
    <w:rsid w:val="0C362BA0"/>
    <w:rsid w:val="0C364685"/>
    <w:rsid w:val="0C3703FE"/>
    <w:rsid w:val="0C3721AC"/>
    <w:rsid w:val="0C374780"/>
    <w:rsid w:val="0C3759F6"/>
    <w:rsid w:val="0C37664F"/>
    <w:rsid w:val="0C380559"/>
    <w:rsid w:val="0C383EDE"/>
    <w:rsid w:val="0C384029"/>
    <w:rsid w:val="0C385A6D"/>
    <w:rsid w:val="0C3907AE"/>
    <w:rsid w:val="0C39103E"/>
    <w:rsid w:val="0C3923C8"/>
    <w:rsid w:val="0C392D2B"/>
    <w:rsid w:val="0C394176"/>
    <w:rsid w:val="0C395F24"/>
    <w:rsid w:val="0C39620D"/>
    <w:rsid w:val="0C396DB4"/>
    <w:rsid w:val="0C3A124E"/>
    <w:rsid w:val="0C3A3E58"/>
    <w:rsid w:val="0C3A439C"/>
    <w:rsid w:val="0C3A64F9"/>
    <w:rsid w:val="0C3B1C9C"/>
    <w:rsid w:val="0C3B1F61"/>
    <w:rsid w:val="0C3B6140"/>
    <w:rsid w:val="0C3B7255"/>
    <w:rsid w:val="0C3B7887"/>
    <w:rsid w:val="0C3B7EEE"/>
    <w:rsid w:val="0C3C00DF"/>
    <w:rsid w:val="0C3C1177"/>
    <w:rsid w:val="0C3C2558"/>
    <w:rsid w:val="0C3C2AE2"/>
    <w:rsid w:val="0C3C3C1C"/>
    <w:rsid w:val="0C3C3C66"/>
    <w:rsid w:val="0C3C5A14"/>
    <w:rsid w:val="0C3D1575"/>
    <w:rsid w:val="0C3D3146"/>
    <w:rsid w:val="0C3D6F00"/>
    <w:rsid w:val="0C3D7CC1"/>
    <w:rsid w:val="0C3E009E"/>
    <w:rsid w:val="0C3E07ED"/>
    <w:rsid w:val="0C3E13C9"/>
    <w:rsid w:val="0C3E353A"/>
    <w:rsid w:val="0C3E4FAE"/>
    <w:rsid w:val="0C3E55C0"/>
    <w:rsid w:val="0C3F14E5"/>
    <w:rsid w:val="0C3F2C13"/>
    <w:rsid w:val="0C3F4004"/>
    <w:rsid w:val="0C403756"/>
    <w:rsid w:val="0C405504"/>
    <w:rsid w:val="0C4067A2"/>
    <w:rsid w:val="0C4072B2"/>
    <w:rsid w:val="0C410A5F"/>
    <w:rsid w:val="0C412246"/>
    <w:rsid w:val="0C41302A"/>
    <w:rsid w:val="0C413930"/>
    <w:rsid w:val="0C413ACF"/>
    <w:rsid w:val="0C4162CD"/>
    <w:rsid w:val="0C425F20"/>
    <w:rsid w:val="0C427989"/>
    <w:rsid w:val="0C430493"/>
    <w:rsid w:val="0C430B50"/>
    <w:rsid w:val="0C433362"/>
    <w:rsid w:val="0C433871"/>
    <w:rsid w:val="0C434FF4"/>
    <w:rsid w:val="0C4366F5"/>
    <w:rsid w:val="0C436DA2"/>
    <w:rsid w:val="0C441C38"/>
    <w:rsid w:val="0C442786"/>
    <w:rsid w:val="0C4431BA"/>
    <w:rsid w:val="0C444B1C"/>
    <w:rsid w:val="0C4501BE"/>
    <w:rsid w:val="0C450822"/>
    <w:rsid w:val="0C450D6C"/>
    <w:rsid w:val="0C450FB5"/>
    <w:rsid w:val="0C451165"/>
    <w:rsid w:val="0C452B1A"/>
    <w:rsid w:val="0C4561A7"/>
    <w:rsid w:val="0C465358"/>
    <w:rsid w:val="0C474AE5"/>
    <w:rsid w:val="0C4753AD"/>
    <w:rsid w:val="0C477685"/>
    <w:rsid w:val="0C4778E4"/>
    <w:rsid w:val="0C48085D"/>
    <w:rsid w:val="0C48260B"/>
    <w:rsid w:val="0C483384"/>
    <w:rsid w:val="0C495168"/>
    <w:rsid w:val="0C49541C"/>
    <w:rsid w:val="0C497EEF"/>
    <w:rsid w:val="0C4A0131"/>
    <w:rsid w:val="0C4A190A"/>
    <w:rsid w:val="0C4A1EDF"/>
    <w:rsid w:val="0C4A375E"/>
    <w:rsid w:val="0C4A6383"/>
    <w:rsid w:val="0C4A65F8"/>
    <w:rsid w:val="0C4A769D"/>
    <w:rsid w:val="0C4B18C7"/>
    <w:rsid w:val="0C4B519E"/>
    <w:rsid w:val="0C4B5C57"/>
    <w:rsid w:val="0C4B6C14"/>
    <w:rsid w:val="0C4C1587"/>
    <w:rsid w:val="0C4C771A"/>
    <w:rsid w:val="0C4D0CD6"/>
    <w:rsid w:val="0C4D19CF"/>
    <w:rsid w:val="0C4D45E9"/>
    <w:rsid w:val="0C4D57FC"/>
    <w:rsid w:val="0C4E6409"/>
    <w:rsid w:val="0C4E7A2A"/>
    <w:rsid w:val="0C4F1BEB"/>
    <w:rsid w:val="0C4F5747"/>
    <w:rsid w:val="0C4F5E4D"/>
    <w:rsid w:val="0C501F91"/>
    <w:rsid w:val="0C50675F"/>
    <w:rsid w:val="0C5076AF"/>
    <w:rsid w:val="0C5114BF"/>
    <w:rsid w:val="0C514838"/>
    <w:rsid w:val="0C514D03"/>
    <w:rsid w:val="0C5174CE"/>
    <w:rsid w:val="0C522603"/>
    <w:rsid w:val="0C523489"/>
    <w:rsid w:val="0C525237"/>
    <w:rsid w:val="0C52795B"/>
    <w:rsid w:val="0C531993"/>
    <w:rsid w:val="0C540FAF"/>
    <w:rsid w:val="0C541196"/>
    <w:rsid w:val="0C54280B"/>
    <w:rsid w:val="0C542D5E"/>
    <w:rsid w:val="0C54425A"/>
    <w:rsid w:val="0C550884"/>
    <w:rsid w:val="0C55370B"/>
    <w:rsid w:val="0C557AC9"/>
    <w:rsid w:val="0C560C8E"/>
    <w:rsid w:val="0C560D66"/>
    <w:rsid w:val="0C562590"/>
    <w:rsid w:val="0C564D28"/>
    <w:rsid w:val="0C5665DC"/>
    <w:rsid w:val="0C566859"/>
    <w:rsid w:val="0C566AD6"/>
    <w:rsid w:val="0C57037A"/>
    <w:rsid w:val="0C572706"/>
    <w:rsid w:val="0C573E2E"/>
    <w:rsid w:val="0C5745FC"/>
    <w:rsid w:val="0C5767D4"/>
    <w:rsid w:val="0C57776C"/>
    <w:rsid w:val="0C582550"/>
    <w:rsid w:val="0C584DF1"/>
    <w:rsid w:val="0C590374"/>
    <w:rsid w:val="0C590616"/>
    <w:rsid w:val="0C59351C"/>
    <w:rsid w:val="0C593912"/>
    <w:rsid w:val="0C594720"/>
    <w:rsid w:val="0C594818"/>
    <w:rsid w:val="0C594C5D"/>
    <w:rsid w:val="0C5A7408"/>
    <w:rsid w:val="0C5B0590"/>
    <w:rsid w:val="0C5B2274"/>
    <w:rsid w:val="0C5B233E"/>
    <w:rsid w:val="0C5B40EC"/>
    <w:rsid w:val="0C5C0A0D"/>
    <w:rsid w:val="0C5C109A"/>
    <w:rsid w:val="0C5C1C16"/>
    <w:rsid w:val="0C5C35DE"/>
    <w:rsid w:val="0C5C4745"/>
    <w:rsid w:val="0C5C7E64"/>
    <w:rsid w:val="0C5D44D2"/>
    <w:rsid w:val="0C5D5F1E"/>
    <w:rsid w:val="0C5D6075"/>
    <w:rsid w:val="0C5D60B6"/>
    <w:rsid w:val="0C5D63B5"/>
    <w:rsid w:val="0C5D69E5"/>
    <w:rsid w:val="0C5E598A"/>
    <w:rsid w:val="0C5E5EFE"/>
    <w:rsid w:val="0C5E7F7E"/>
    <w:rsid w:val="0C5F0276"/>
    <w:rsid w:val="0C5F2087"/>
    <w:rsid w:val="0C5F2502"/>
    <w:rsid w:val="0C5F2A51"/>
    <w:rsid w:val="0C5F6E93"/>
    <w:rsid w:val="0C5F7009"/>
    <w:rsid w:val="0C5F7156"/>
    <w:rsid w:val="0C601702"/>
    <w:rsid w:val="0C601F5F"/>
    <w:rsid w:val="0C605BA6"/>
    <w:rsid w:val="0C607751"/>
    <w:rsid w:val="0C6133EF"/>
    <w:rsid w:val="0C6134A9"/>
    <w:rsid w:val="0C613A6C"/>
    <w:rsid w:val="0C614E59"/>
    <w:rsid w:val="0C6239D0"/>
    <w:rsid w:val="0C623DD9"/>
    <w:rsid w:val="0C62404A"/>
    <w:rsid w:val="0C625D53"/>
    <w:rsid w:val="0C627450"/>
    <w:rsid w:val="0C6308E0"/>
    <w:rsid w:val="0C632FA1"/>
    <w:rsid w:val="0C6353C7"/>
    <w:rsid w:val="0C636B09"/>
    <w:rsid w:val="0C636BE9"/>
    <w:rsid w:val="0C641D70"/>
    <w:rsid w:val="0C6503E9"/>
    <w:rsid w:val="0C6512DD"/>
    <w:rsid w:val="0C6524F4"/>
    <w:rsid w:val="0C65576F"/>
    <w:rsid w:val="0C655ADA"/>
    <w:rsid w:val="0C656D19"/>
    <w:rsid w:val="0C66099F"/>
    <w:rsid w:val="0C662A91"/>
    <w:rsid w:val="0C665099"/>
    <w:rsid w:val="0C6706F1"/>
    <w:rsid w:val="0C672319"/>
    <w:rsid w:val="0C684A5B"/>
    <w:rsid w:val="0C692389"/>
    <w:rsid w:val="0C692CAD"/>
    <w:rsid w:val="0C6934EB"/>
    <w:rsid w:val="0C696A4D"/>
    <w:rsid w:val="0C6A2581"/>
    <w:rsid w:val="0C6A4470"/>
    <w:rsid w:val="0C6B532A"/>
    <w:rsid w:val="0C6C00A7"/>
    <w:rsid w:val="0C6C1870"/>
    <w:rsid w:val="0C6C1C53"/>
    <w:rsid w:val="0C6C454B"/>
    <w:rsid w:val="0C6C4F34"/>
    <w:rsid w:val="0C6C685C"/>
    <w:rsid w:val="0C6C7479"/>
    <w:rsid w:val="0C6D153E"/>
    <w:rsid w:val="0C6D2C12"/>
    <w:rsid w:val="0C6D6E67"/>
    <w:rsid w:val="0C6D77D6"/>
    <w:rsid w:val="0C6E02C3"/>
    <w:rsid w:val="0C6E0D87"/>
    <w:rsid w:val="0C6E18F2"/>
    <w:rsid w:val="0C6E1DF6"/>
    <w:rsid w:val="0C6E3524"/>
    <w:rsid w:val="0C6E6DDC"/>
    <w:rsid w:val="0C6E7A55"/>
    <w:rsid w:val="0C6F1F7A"/>
    <w:rsid w:val="0C6F3C96"/>
    <w:rsid w:val="0C6F60A1"/>
    <w:rsid w:val="0C6F64B3"/>
    <w:rsid w:val="0C6F76C1"/>
    <w:rsid w:val="0C7005DE"/>
    <w:rsid w:val="0C705E2B"/>
    <w:rsid w:val="0C710F46"/>
    <w:rsid w:val="0C713293"/>
    <w:rsid w:val="0C716F52"/>
    <w:rsid w:val="0C720D19"/>
    <w:rsid w:val="0C723D93"/>
    <w:rsid w:val="0C724374"/>
    <w:rsid w:val="0C724A4C"/>
    <w:rsid w:val="0C725A14"/>
    <w:rsid w:val="0C72611A"/>
    <w:rsid w:val="0C726562"/>
    <w:rsid w:val="0C727688"/>
    <w:rsid w:val="0C730BD0"/>
    <w:rsid w:val="0C730D0F"/>
    <w:rsid w:val="0C7358DA"/>
    <w:rsid w:val="0C7364A8"/>
    <w:rsid w:val="0C7410C0"/>
    <w:rsid w:val="0C750815"/>
    <w:rsid w:val="0C75509B"/>
    <w:rsid w:val="0C7560C9"/>
    <w:rsid w:val="0C75675E"/>
    <w:rsid w:val="0C760424"/>
    <w:rsid w:val="0C760F26"/>
    <w:rsid w:val="0C766D56"/>
    <w:rsid w:val="0C772456"/>
    <w:rsid w:val="0C77323C"/>
    <w:rsid w:val="0C775615"/>
    <w:rsid w:val="0C776A4C"/>
    <w:rsid w:val="0C77797E"/>
    <w:rsid w:val="0C781820"/>
    <w:rsid w:val="0C782EF0"/>
    <w:rsid w:val="0C790832"/>
    <w:rsid w:val="0C790A16"/>
    <w:rsid w:val="0C7927C4"/>
    <w:rsid w:val="0C79298E"/>
    <w:rsid w:val="0C794CEA"/>
    <w:rsid w:val="0C796C68"/>
    <w:rsid w:val="0C7A0662"/>
    <w:rsid w:val="0C7A2F15"/>
    <w:rsid w:val="0C7B1088"/>
    <w:rsid w:val="0C7B17A4"/>
    <w:rsid w:val="0C7B29E0"/>
    <w:rsid w:val="0C7B45E4"/>
    <w:rsid w:val="0C7B6385"/>
    <w:rsid w:val="0C7B653C"/>
    <w:rsid w:val="0C7B6B67"/>
    <w:rsid w:val="0C7C3651"/>
    <w:rsid w:val="0C7C4062"/>
    <w:rsid w:val="0C7C593C"/>
    <w:rsid w:val="0C7C6F35"/>
    <w:rsid w:val="0C7C7ABF"/>
    <w:rsid w:val="0C7D0506"/>
    <w:rsid w:val="0C7D27EA"/>
    <w:rsid w:val="0C7D31A7"/>
    <w:rsid w:val="0C7D5A56"/>
    <w:rsid w:val="0C7E4B91"/>
    <w:rsid w:val="0C7E6A8E"/>
    <w:rsid w:val="0C7E7DDA"/>
    <w:rsid w:val="0C7F2ECF"/>
    <w:rsid w:val="0C7F6978"/>
    <w:rsid w:val="0C7F7AC1"/>
    <w:rsid w:val="0C801DA5"/>
    <w:rsid w:val="0C801F66"/>
    <w:rsid w:val="0C802089"/>
    <w:rsid w:val="0C807FF6"/>
    <w:rsid w:val="0C8133E0"/>
    <w:rsid w:val="0C816349"/>
    <w:rsid w:val="0C816E34"/>
    <w:rsid w:val="0C822E64"/>
    <w:rsid w:val="0C825B1D"/>
    <w:rsid w:val="0C8268A7"/>
    <w:rsid w:val="0C827FF8"/>
    <w:rsid w:val="0C830B04"/>
    <w:rsid w:val="0C83152A"/>
    <w:rsid w:val="0C833643"/>
    <w:rsid w:val="0C833681"/>
    <w:rsid w:val="0C8361CF"/>
    <w:rsid w:val="0C840F3B"/>
    <w:rsid w:val="0C847C19"/>
    <w:rsid w:val="0C851169"/>
    <w:rsid w:val="0C852D75"/>
    <w:rsid w:val="0C85560D"/>
    <w:rsid w:val="0C8573BB"/>
    <w:rsid w:val="0C8654AA"/>
    <w:rsid w:val="0C867E6B"/>
    <w:rsid w:val="0C871385"/>
    <w:rsid w:val="0C8746EE"/>
    <w:rsid w:val="0C876DCF"/>
    <w:rsid w:val="0C880C59"/>
    <w:rsid w:val="0C88116B"/>
    <w:rsid w:val="0C881B42"/>
    <w:rsid w:val="0C882A07"/>
    <w:rsid w:val="0C885BF1"/>
    <w:rsid w:val="0C886779"/>
    <w:rsid w:val="0C8A3A8B"/>
    <w:rsid w:val="0C8A56F5"/>
    <w:rsid w:val="0C8A7CBC"/>
    <w:rsid w:val="0C8B15C0"/>
    <w:rsid w:val="0C8B29C3"/>
    <w:rsid w:val="0C8B54FC"/>
    <w:rsid w:val="0C8B71D5"/>
    <w:rsid w:val="0C8B7799"/>
    <w:rsid w:val="0C8B7EE1"/>
    <w:rsid w:val="0C8C1700"/>
    <w:rsid w:val="0C8C4C73"/>
    <w:rsid w:val="0C8C699B"/>
    <w:rsid w:val="0C8D1802"/>
    <w:rsid w:val="0C8D5E0A"/>
    <w:rsid w:val="0C8E0436"/>
    <w:rsid w:val="0C8E1189"/>
    <w:rsid w:val="0C8E2713"/>
    <w:rsid w:val="0C8E3137"/>
    <w:rsid w:val="0C8E4170"/>
    <w:rsid w:val="0C8E44C1"/>
    <w:rsid w:val="0C8E4FDD"/>
    <w:rsid w:val="0C8E5F8C"/>
    <w:rsid w:val="0C8F023A"/>
    <w:rsid w:val="0C8F09E9"/>
    <w:rsid w:val="0C8F1E92"/>
    <w:rsid w:val="0C8F3D96"/>
    <w:rsid w:val="0C8F5354"/>
    <w:rsid w:val="0C9078FD"/>
    <w:rsid w:val="0C907F9A"/>
    <w:rsid w:val="0C913E9E"/>
    <w:rsid w:val="0C913FB2"/>
    <w:rsid w:val="0C9143FE"/>
    <w:rsid w:val="0C9158F3"/>
    <w:rsid w:val="0C916AD9"/>
    <w:rsid w:val="0C917B0E"/>
    <w:rsid w:val="0C92127D"/>
    <w:rsid w:val="0C921558"/>
    <w:rsid w:val="0C92163C"/>
    <w:rsid w:val="0C921A6D"/>
    <w:rsid w:val="0C92338D"/>
    <w:rsid w:val="0C923562"/>
    <w:rsid w:val="0C924D4B"/>
    <w:rsid w:val="0C924DEE"/>
    <w:rsid w:val="0C934558"/>
    <w:rsid w:val="0C937D2A"/>
    <w:rsid w:val="0C940DC9"/>
    <w:rsid w:val="0C9413AC"/>
    <w:rsid w:val="0C945DEB"/>
    <w:rsid w:val="0C94770E"/>
    <w:rsid w:val="0C950E64"/>
    <w:rsid w:val="0C951D19"/>
    <w:rsid w:val="0C956D2B"/>
    <w:rsid w:val="0C956E62"/>
    <w:rsid w:val="0C956FD6"/>
    <w:rsid w:val="0C962A61"/>
    <w:rsid w:val="0C965124"/>
    <w:rsid w:val="0C970E9C"/>
    <w:rsid w:val="0C973222"/>
    <w:rsid w:val="0C975227"/>
    <w:rsid w:val="0C980C60"/>
    <w:rsid w:val="0C98227F"/>
    <w:rsid w:val="0C98763A"/>
    <w:rsid w:val="0C990C13"/>
    <w:rsid w:val="0C9910B8"/>
    <w:rsid w:val="0C9919EF"/>
    <w:rsid w:val="0C9920F0"/>
    <w:rsid w:val="0C994C14"/>
    <w:rsid w:val="0C9A0123"/>
    <w:rsid w:val="0C9A09C8"/>
    <w:rsid w:val="0C9A19A3"/>
    <w:rsid w:val="0C9A2E20"/>
    <w:rsid w:val="0C9A3976"/>
    <w:rsid w:val="0C9A54B4"/>
    <w:rsid w:val="0C9A6456"/>
    <w:rsid w:val="0C9A7529"/>
    <w:rsid w:val="0C9A7589"/>
    <w:rsid w:val="0C9B0117"/>
    <w:rsid w:val="0C9B0435"/>
    <w:rsid w:val="0C9B098C"/>
    <w:rsid w:val="0C9B686B"/>
    <w:rsid w:val="0C9B6BDE"/>
    <w:rsid w:val="0C9C561A"/>
    <w:rsid w:val="0C9D2956"/>
    <w:rsid w:val="0C9D46D8"/>
    <w:rsid w:val="0C9D7330"/>
    <w:rsid w:val="0C9E047D"/>
    <w:rsid w:val="0C9E18F3"/>
    <w:rsid w:val="0C9E222B"/>
    <w:rsid w:val="0C9E2B68"/>
    <w:rsid w:val="0C9E382B"/>
    <w:rsid w:val="0C9F124C"/>
    <w:rsid w:val="0C9F30FF"/>
    <w:rsid w:val="0CA02447"/>
    <w:rsid w:val="0CA04188"/>
    <w:rsid w:val="0CA041F5"/>
    <w:rsid w:val="0CA04CC9"/>
    <w:rsid w:val="0CA05FA3"/>
    <w:rsid w:val="0CA13E6B"/>
    <w:rsid w:val="0CA17526"/>
    <w:rsid w:val="0CA2001F"/>
    <w:rsid w:val="0CA21D1B"/>
    <w:rsid w:val="0CA22442"/>
    <w:rsid w:val="0CA232C8"/>
    <w:rsid w:val="0CA24D58"/>
    <w:rsid w:val="0CA314F6"/>
    <w:rsid w:val="0CA35A93"/>
    <w:rsid w:val="0CA37841"/>
    <w:rsid w:val="0CA41047"/>
    <w:rsid w:val="0CA41DB2"/>
    <w:rsid w:val="0CA42384"/>
    <w:rsid w:val="0CA42951"/>
    <w:rsid w:val="0CA46063"/>
    <w:rsid w:val="0CA501B9"/>
    <w:rsid w:val="0CA50693"/>
    <w:rsid w:val="0CA57A5D"/>
    <w:rsid w:val="0CA60D8B"/>
    <w:rsid w:val="0CA710DF"/>
    <w:rsid w:val="0CA72FB3"/>
    <w:rsid w:val="0CA7397A"/>
    <w:rsid w:val="0CA75583"/>
    <w:rsid w:val="0CA757E3"/>
    <w:rsid w:val="0CA85B7A"/>
    <w:rsid w:val="0CA86228"/>
    <w:rsid w:val="0CA904F2"/>
    <w:rsid w:val="0CA9422D"/>
    <w:rsid w:val="0CA967AC"/>
    <w:rsid w:val="0CAA1BA7"/>
    <w:rsid w:val="0CAA5073"/>
    <w:rsid w:val="0CAA6496"/>
    <w:rsid w:val="0CAA6E21"/>
    <w:rsid w:val="0CAA6F0C"/>
    <w:rsid w:val="0CAA7AF8"/>
    <w:rsid w:val="0CAB327E"/>
    <w:rsid w:val="0CAB37FE"/>
    <w:rsid w:val="0CAB68A2"/>
    <w:rsid w:val="0CAC0566"/>
    <w:rsid w:val="0CAC2B9A"/>
    <w:rsid w:val="0CAC353C"/>
    <w:rsid w:val="0CAC37A5"/>
    <w:rsid w:val="0CAC4948"/>
    <w:rsid w:val="0CAD06C0"/>
    <w:rsid w:val="0CAD1EFB"/>
    <w:rsid w:val="0CAD246E"/>
    <w:rsid w:val="0CAD63C4"/>
    <w:rsid w:val="0CAE0F5E"/>
    <w:rsid w:val="0CAE1686"/>
    <w:rsid w:val="0CAE2E86"/>
    <w:rsid w:val="0CAE5925"/>
    <w:rsid w:val="0CAF268A"/>
    <w:rsid w:val="0CAF33F4"/>
    <w:rsid w:val="0CAF4438"/>
    <w:rsid w:val="0CAF61E6"/>
    <w:rsid w:val="0CB0103F"/>
    <w:rsid w:val="0CB043F0"/>
    <w:rsid w:val="0CB101B0"/>
    <w:rsid w:val="0CB131C9"/>
    <w:rsid w:val="0CB136E8"/>
    <w:rsid w:val="0CB16402"/>
    <w:rsid w:val="0CB174DE"/>
    <w:rsid w:val="0CB215FF"/>
    <w:rsid w:val="0CB225A4"/>
    <w:rsid w:val="0CB22997"/>
    <w:rsid w:val="0CB24EDB"/>
    <w:rsid w:val="0CB26193"/>
    <w:rsid w:val="0CB3217A"/>
    <w:rsid w:val="0CB33F28"/>
    <w:rsid w:val="0CB40FC9"/>
    <w:rsid w:val="0CB41A4E"/>
    <w:rsid w:val="0CB437FC"/>
    <w:rsid w:val="0CB44919"/>
    <w:rsid w:val="0CB455B6"/>
    <w:rsid w:val="0CB45D0A"/>
    <w:rsid w:val="0CB47CA0"/>
    <w:rsid w:val="0CB47EAB"/>
    <w:rsid w:val="0CB55CAE"/>
    <w:rsid w:val="0CB5628D"/>
    <w:rsid w:val="0CB563A1"/>
    <w:rsid w:val="0CB60EC4"/>
    <w:rsid w:val="0CB61617"/>
    <w:rsid w:val="0CB641E8"/>
    <w:rsid w:val="0CB657C6"/>
    <w:rsid w:val="0CB679B8"/>
    <w:rsid w:val="0CB70393"/>
    <w:rsid w:val="0CB75FB2"/>
    <w:rsid w:val="0CB8050D"/>
    <w:rsid w:val="0CB8153E"/>
    <w:rsid w:val="0CB87525"/>
    <w:rsid w:val="0CB87790"/>
    <w:rsid w:val="0CB91073"/>
    <w:rsid w:val="0CB952B6"/>
    <w:rsid w:val="0CB97065"/>
    <w:rsid w:val="0CBA0191"/>
    <w:rsid w:val="0CBA1428"/>
    <w:rsid w:val="0CBA681D"/>
    <w:rsid w:val="0CBB102F"/>
    <w:rsid w:val="0CBB4B22"/>
    <w:rsid w:val="0CBC19EC"/>
    <w:rsid w:val="0CBC2FD3"/>
    <w:rsid w:val="0CBC5489"/>
    <w:rsid w:val="0CBD0903"/>
    <w:rsid w:val="0CBD32AA"/>
    <w:rsid w:val="0CBD4DA7"/>
    <w:rsid w:val="0CBD565A"/>
    <w:rsid w:val="0CBD6B55"/>
    <w:rsid w:val="0CBE28CD"/>
    <w:rsid w:val="0CBE37E0"/>
    <w:rsid w:val="0CBE467B"/>
    <w:rsid w:val="0CBE62D7"/>
    <w:rsid w:val="0CBE6B71"/>
    <w:rsid w:val="0CBF0B1F"/>
    <w:rsid w:val="0CBF3542"/>
    <w:rsid w:val="0CBF7D7E"/>
    <w:rsid w:val="0CC003F3"/>
    <w:rsid w:val="0CC00684"/>
    <w:rsid w:val="0CC021A1"/>
    <w:rsid w:val="0CC037E6"/>
    <w:rsid w:val="0CC06645"/>
    <w:rsid w:val="0CC07EED"/>
    <w:rsid w:val="0CC10939"/>
    <w:rsid w:val="0CC12B07"/>
    <w:rsid w:val="0CC14D34"/>
    <w:rsid w:val="0CC16114"/>
    <w:rsid w:val="0CC163F2"/>
    <w:rsid w:val="0CC1686D"/>
    <w:rsid w:val="0CC17E6B"/>
    <w:rsid w:val="0CC25486"/>
    <w:rsid w:val="0CC25F19"/>
    <w:rsid w:val="0CC33B46"/>
    <w:rsid w:val="0CC4458E"/>
    <w:rsid w:val="0CC46135"/>
    <w:rsid w:val="0CC4633D"/>
    <w:rsid w:val="0CC46BB5"/>
    <w:rsid w:val="0CC53C5B"/>
    <w:rsid w:val="0CC55A09"/>
    <w:rsid w:val="0CC56791"/>
    <w:rsid w:val="0CC60CB5"/>
    <w:rsid w:val="0CC6110C"/>
    <w:rsid w:val="0CC6218E"/>
    <w:rsid w:val="0CC67164"/>
    <w:rsid w:val="0CC71868"/>
    <w:rsid w:val="0CC7259C"/>
    <w:rsid w:val="0CC7352F"/>
    <w:rsid w:val="0CC76663"/>
    <w:rsid w:val="0CC779D3"/>
    <w:rsid w:val="0CC8091C"/>
    <w:rsid w:val="0CC8173F"/>
    <w:rsid w:val="0CC92C53"/>
    <w:rsid w:val="0CC964DB"/>
    <w:rsid w:val="0CCA1272"/>
    <w:rsid w:val="0CCA3222"/>
    <w:rsid w:val="0CCB4415"/>
    <w:rsid w:val="0CCB443C"/>
    <w:rsid w:val="0CCB4674"/>
    <w:rsid w:val="0CCB4F8D"/>
    <w:rsid w:val="0CCB5F18"/>
    <w:rsid w:val="0CCC383D"/>
    <w:rsid w:val="0CCC48E0"/>
    <w:rsid w:val="0CCC4FEA"/>
    <w:rsid w:val="0CCC6A9C"/>
    <w:rsid w:val="0CCC7512"/>
    <w:rsid w:val="0CCD01CC"/>
    <w:rsid w:val="0CCD4621"/>
    <w:rsid w:val="0CCD48BE"/>
    <w:rsid w:val="0CCD4CCD"/>
    <w:rsid w:val="0CCD7513"/>
    <w:rsid w:val="0CCF21BE"/>
    <w:rsid w:val="0CCF3608"/>
    <w:rsid w:val="0CCF4ADA"/>
    <w:rsid w:val="0CCF6888"/>
    <w:rsid w:val="0CD0652F"/>
    <w:rsid w:val="0CD07F43"/>
    <w:rsid w:val="0CD104C5"/>
    <w:rsid w:val="0CD11CDE"/>
    <w:rsid w:val="0CD13786"/>
    <w:rsid w:val="0CD143AE"/>
    <w:rsid w:val="0CD32803"/>
    <w:rsid w:val="0CD34412"/>
    <w:rsid w:val="0CD3472D"/>
    <w:rsid w:val="0CD36D23"/>
    <w:rsid w:val="0CD4046A"/>
    <w:rsid w:val="0CD4083F"/>
    <w:rsid w:val="0CD42F5B"/>
    <w:rsid w:val="0CD43E25"/>
    <w:rsid w:val="0CD43E9E"/>
    <w:rsid w:val="0CD44BA0"/>
    <w:rsid w:val="0CD44FBF"/>
    <w:rsid w:val="0CD45858"/>
    <w:rsid w:val="0CD46992"/>
    <w:rsid w:val="0CD46C50"/>
    <w:rsid w:val="0CD503F5"/>
    <w:rsid w:val="0CD51B6B"/>
    <w:rsid w:val="0CD5471D"/>
    <w:rsid w:val="0CD568E2"/>
    <w:rsid w:val="0CD577DD"/>
    <w:rsid w:val="0CD65E68"/>
    <w:rsid w:val="0CD67C16"/>
    <w:rsid w:val="0CD71CC6"/>
    <w:rsid w:val="0CD75239"/>
    <w:rsid w:val="0CD80320"/>
    <w:rsid w:val="0CD8151E"/>
    <w:rsid w:val="0CD827F5"/>
    <w:rsid w:val="0CD8398F"/>
    <w:rsid w:val="0CD84DA7"/>
    <w:rsid w:val="0CD9051C"/>
    <w:rsid w:val="0CD907AA"/>
    <w:rsid w:val="0CD914B5"/>
    <w:rsid w:val="0CD97C60"/>
    <w:rsid w:val="0CDA1831"/>
    <w:rsid w:val="0CDB1EA2"/>
    <w:rsid w:val="0CDB2AFC"/>
    <w:rsid w:val="0CDB347F"/>
    <w:rsid w:val="0CDB4FFE"/>
    <w:rsid w:val="0CDB522D"/>
    <w:rsid w:val="0CDC1E7A"/>
    <w:rsid w:val="0CDC3332"/>
    <w:rsid w:val="0CDC5C61"/>
    <w:rsid w:val="0CDC5D4A"/>
    <w:rsid w:val="0CDC5FD0"/>
    <w:rsid w:val="0CDD1531"/>
    <w:rsid w:val="0CDD2D53"/>
    <w:rsid w:val="0CDD5F03"/>
    <w:rsid w:val="0CDE27C2"/>
    <w:rsid w:val="0CDE7DDC"/>
    <w:rsid w:val="0CDF1C04"/>
    <w:rsid w:val="0CDF22E9"/>
    <w:rsid w:val="0CDF4D1D"/>
    <w:rsid w:val="0CE02843"/>
    <w:rsid w:val="0CE04884"/>
    <w:rsid w:val="0CE10B66"/>
    <w:rsid w:val="0CE13BE7"/>
    <w:rsid w:val="0CE145D3"/>
    <w:rsid w:val="0CE15D14"/>
    <w:rsid w:val="0CE17DB8"/>
    <w:rsid w:val="0CE20369"/>
    <w:rsid w:val="0CE265BB"/>
    <w:rsid w:val="0CE267C8"/>
    <w:rsid w:val="0CE26B75"/>
    <w:rsid w:val="0CE340E1"/>
    <w:rsid w:val="0CE40585"/>
    <w:rsid w:val="0CE40B19"/>
    <w:rsid w:val="0CE42B36"/>
    <w:rsid w:val="0CE44966"/>
    <w:rsid w:val="0CE512CE"/>
    <w:rsid w:val="0CE5131D"/>
    <w:rsid w:val="0CE51C08"/>
    <w:rsid w:val="0CE52425"/>
    <w:rsid w:val="0CE560AB"/>
    <w:rsid w:val="0CE60295"/>
    <w:rsid w:val="0CE61618"/>
    <w:rsid w:val="0CE66FB5"/>
    <w:rsid w:val="0CE70393"/>
    <w:rsid w:val="0CE71E24"/>
    <w:rsid w:val="0CE737A3"/>
    <w:rsid w:val="0CE73BD2"/>
    <w:rsid w:val="0CE741A9"/>
    <w:rsid w:val="0CE75354"/>
    <w:rsid w:val="0CE75980"/>
    <w:rsid w:val="0CE8323C"/>
    <w:rsid w:val="0CE83FFD"/>
    <w:rsid w:val="0CE916F8"/>
    <w:rsid w:val="0CE93386"/>
    <w:rsid w:val="0CE96D62"/>
    <w:rsid w:val="0CE9794A"/>
    <w:rsid w:val="0CEA0507"/>
    <w:rsid w:val="0CEA0CA3"/>
    <w:rsid w:val="0CEA36C2"/>
    <w:rsid w:val="0CEA471D"/>
    <w:rsid w:val="0CEA5F50"/>
    <w:rsid w:val="0CEA7BDE"/>
    <w:rsid w:val="0CEA7FAC"/>
    <w:rsid w:val="0CEB0328"/>
    <w:rsid w:val="0CEB1653"/>
    <w:rsid w:val="0CEB1914"/>
    <w:rsid w:val="0CEB1C36"/>
    <w:rsid w:val="0CEB445D"/>
    <w:rsid w:val="0CEB4E5B"/>
    <w:rsid w:val="0CEC11E8"/>
    <w:rsid w:val="0CEC213D"/>
    <w:rsid w:val="0CEC2E27"/>
    <w:rsid w:val="0CEC37E5"/>
    <w:rsid w:val="0CEC4848"/>
    <w:rsid w:val="0CEC4F2E"/>
    <w:rsid w:val="0CEC568C"/>
    <w:rsid w:val="0CED228F"/>
    <w:rsid w:val="0CED658B"/>
    <w:rsid w:val="0CEE024B"/>
    <w:rsid w:val="0CEE0318"/>
    <w:rsid w:val="0CEE265C"/>
    <w:rsid w:val="0CEE31B2"/>
    <w:rsid w:val="0CEE6D0E"/>
    <w:rsid w:val="0CEE7E19"/>
    <w:rsid w:val="0CEF1026"/>
    <w:rsid w:val="0CEF1C4F"/>
    <w:rsid w:val="0CEF2A86"/>
    <w:rsid w:val="0CEF3474"/>
    <w:rsid w:val="0CEF3874"/>
    <w:rsid w:val="0CEF77B3"/>
    <w:rsid w:val="0CF03566"/>
    <w:rsid w:val="0CF04062"/>
    <w:rsid w:val="0CF140C8"/>
    <w:rsid w:val="0CF170F0"/>
    <w:rsid w:val="0CF17BCA"/>
    <w:rsid w:val="0CF23803"/>
    <w:rsid w:val="0CF25558"/>
    <w:rsid w:val="0CF25A42"/>
    <w:rsid w:val="0CF307C8"/>
    <w:rsid w:val="0CF33C0C"/>
    <w:rsid w:val="0CF34195"/>
    <w:rsid w:val="0CF34325"/>
    <w:rsid w:val="0CF34C2D"/>
    <w:rsid w:val="0CF37390"/>
    <w:rsid w:val="0CF415B9"/>
    <w:rsid w:val="0CF42752"/>
    <w:rsid w:val="0CF4418A"/>
    <w:rsid w:val="0CF45587"/>
    <w:rsid w:val="0CF462EF"/>
    <w:rsid w:val="0CF50E9C"/>
    <w:rsid w:val="0CF524DC"/>
    <w:rsid w:val="0CF54BA1"/>
    <w:rsid w:val="0CF55F96"/>
    <w:rsid w:val="0CF6267C"/>
    <w:rsid w:val="0CF6657E"/>
    <w:rsid w:val="0CF72B0B"/>
    <w:rsid w:val="0CF74077"/>
    <w:rsid w:val="0CF76A69"/>
    <w:rsid w:val="0CF77CEC"/>
    <w:rsid w:val="0CF80209"/>
    <w:rsid w:val="0CF83D0C"/>
    <w:rsid w:val="0CF854BA"/>
    <w:rsid w:val="0CF87B8D"/>
    <w:rsid w:val="0CF93CEC"/>
    <w:rsid w:val="0CFA0A4B"/>
    <w:rsid w:val="0CFA1B57"/>
    <w:rsid w:val="0CFA5625"/>
    <w:rsid w:val="0CFA68BB"/>
    <w:rsid w:val="0CFB142B"/>
    <w:rsid w:val="0CFB148C"/>
    <w:rsid w:val="0CFB2363"/>
    <w:rsid w:val="0CFB5483"/>
    <w:rsid w:val="0CFB58CF"/>
    <w:rsid w:val="0CFB602F"/>
    <w:rsid w:val="0CFB7D4B"/>
    <w:rsid w:val="0CFD0A4E"/>
    <w:rsid w:val="0CFD1647"/>
    <w:rsid w:val="0CFD1C93"/>
    <w:rsid w:val="0CFD389B"/>
    <w:rsid w:val="0CFD51A3"/>
    <w:rsid w:val="0CFE2CC9"/>
    <w:rsid w:val="0CFE7E0D"/>
    <w:rsid w:val="0CFF0F1B"/>
    <w:rsid w:val="0CFF53BF"/>
    <w:rsid w:val="0CFF7B5C"/>
    <w:rsid w:val="0D000E55"/>
    <w:rsid w:val="0D002EE5"/>
    <w:rsid w:val="0D004C93"/>
    <w:rsid w:val="0D006A41"/>
    <w:rsid w:val="0D010733"/>
    <w:rsid w:val="0D020A0B"/>
    <w:rsid w:val="0D022262"/>
    <w:rsid w:val="0D0227BA"/>
    <w:rsid w:val="0D0236ED"/>
    <w:rsid w:val="0D02500C"/>
    <w:rsid w:val="0D02504D"/>
    <w:rsid w:val="0D030961"/>
    <w:rsid w:val="0D03103C"/>
    <w:rsid w:val="0D03242F"/>
    <w:rsid w:val="0D032C5E"/>
    <w:rsid w:val="0D0352B5"/>
    <w:rsid w:val="0D03651C"/>
    <w:rsid w:val="0D04186B"/>
    <w:rsid w:val="0D0429D6"/>
    <w:rsid w:val="0D0449F5"/>
    <w:rsid w:val="0D045855"/>
    <w:rsid w:val="0D047D7F"/>
    <w:rsid w:val="0D051CD8"/>
    <w:rsid w:val="0D0522AA"/>
    <w:rsid w:val="0D0530CD"/>
    <w:rsid w:val="0D05510F"/>
    <w:rsid w:val="0D064AEE"/>
    <w:rsid w:val="0D077FF3"/>
    <w:rsid w:val="0D0806C8"/>
    <w:rsid w:val="0D08228D"/>
    <w:rsid w:val="0D086183"/>
    <w:rsid w:val="0D090114"/>
    <w:rsid w:val="0D09121A"/>
    <w:rsid w:val="0D091D9A"/>
    <w:rsid w:val="0D092071"/>
    <w:rsid w:val="0D093B48"/>
    <w:rsid w:val="0D0945FD"/>
    <w:rsid w:val="0D094B53"/>
    <w:rsid w:val="0D096B8A"/>
    <w:rsid w:val="0D0A401E"/>
    <w:rsid w:val="0D0A6156"/>
    <w:rsid w:val="0D0A63B0"/>
    <w:rsid w:val="0D0B36EC"/>
    <w:rsid w:val="0D0B3D64"/>
    <w:rsid w:val="0D0B59FA"/>
    <w:rsid w:val="0D0C3638"/>
    <w:rsid w:val="0D0C3B26"/>
    <w:rsid w:val="0D0C53E6"/>
    <w:rsid w:val="0D0C587A"/>
    <w:rsid w:val="0D0D545D"/>
    <w:rsid w:val="0D0D6C8F"/>
    <w:rsid w:val="0D0D7FD8"/>
    <w:rsid w:val="0D0E5602"/>
    <w:rsid w:val="0D0E59E2"/>
    <w:rsid w:val="0D0E61C1"/>
    <w:rsid w:val="0D0F1597"/>
    <w:rsid w:val="0D0F4ED6"/>
    <w:rsid w:val="0D10111E"/>
    <w:rsid w:val="0D101598"/>
    <w:rsid w:val="0D102222"/>
    <w:rsid w:val="0D104509"/>
    <w:rsid w:val="0D10739F"/>
    <w:rsid w:val="0D111AD6"/>
    <w:rsid w:val="0D1120F2"/>
    <w:rsid w:val="0D1136B2"/>
    <w:rsid w:val="0D1150F2"/>
    <w:rsid w:val="0D122605"/>
    <w:rsid w:val="0D130044"/>
    <w:rsid w:val="0D130BA3"/>
    <w:rsid w:val="0D132C19"/>
    <w:rsid w:val="0D1435CA"/>
    <w:rsid w:val="0D151073"/>
    <w:rsid w:val="0D157BAE"/>
    <w:rsid w:val="0D157F91"/>
    <w:rsid w:val="0D164953"/>
    <w:rsid w:val="0D166788"/>
    <w:rsid w:val="0D1676C6"/>
    <w:rsid w:val="0D170D07"/>
    <w:rsid w:val="0D18022F"/>
    <w:rsid w:val="0D18065C"/>
    <w:rsid w:val="0D181FDD"/>
    <w:rsid w:val="0D183BE6"/>
    <w:rsid w:val="0D183D8B"/>
    <w:rsid w:val="0D186481"/>
    <w:rsid w:val="0D1878DF"/>
    <w:rsid w:val="0D1913B3"/>
    <w:rsid w:val="0D194E10"/>
    <w:rsid w:val="0D195C1C"/>
    <w:rsid w:val="0D1963DC"/>
    <w:rsid w:val="0D19788E"/>
    <w:rsid w:val="0D197B03"/>
    <w:rsid w:val="0D1A1188"/>
    <w:rsid w:val="0D1A5D55"/>
    <w:rsid w:val="0D1B1ACD"/>
    <w:rsid w:val="0D1B387B"/>
    <w:rsid w:val="0D1B40FF"/>
    <w:rsid w:val="0D1C07C5"/>
    <w:rsid w:val="0D1C0D0B"/>
    <w:rsid w:val="0D1C14E9"/>
    <w:rsid w:val="0D1C1EA1"/>
    <w:rsid w:val="0D1C53C4"/>
    <w:rsid w:val="0D1C5777"/>
    <w:rsid w:val="0D1C5FB0"/>
    <w:rsid w:val="0D1D0E32"/>
    <w:rsid w:val="0D1D143D"/>
    <w:rsid w:val="0D1D1A9D"/>
    <w:rsid w:val="0D1D1C55"/>
    <w:rsid w:val="0D1D3A97"/>
    <w:rsid w:val="0D1D4AC4"/>
    <w:rsid w:val="0D1D5148"/>
    <w:rsid w:val="0D1D5ABF"/>
    <w:rsid w:val="0D1E0B76"/>
    <w:rsid w:val="0D1E3D77"/>
    <w:rsid w:val="0D1E7DB4"/>
    <w:rsid w:val="0D1F07B8"/>
    <w:rsid w:val="0D1F15BD"/>
    <w:rsid w:val="0D1F336B"/>
    <w:rsid w:val="0D1F5374"/>
    <w:rsid w:val="0D200E92"/>
    <w:rsid w:val="0D20340E"/>
    <w:rsid w:val="0D2070E4"/>
    <w:rsid w:val="0D2104E9"/>
    <w:rsid w:val="0D212FA9"/>
    <w:rsid w:val="0D2131A7"/>
    <w:rsid w:val="0D215336"/>
    <w:rsid w:val="0D216AEF"/>
    <w:rsid w:val="0D222E5C"/>
    <w:rsid w:val="0D223EE4"/>
    <w:rsid w:val="0D2240C2"/>
    <w:rsid w:val="0D22532F"/>
    <w:rsid w:val="0D23036B"/>
    <w:rsid w:val="0D230927"/>
    <w:rsid w:val="0D234A1B"/>
    <w:rsid w:val="0D2408DB"/>
    <w:rsid w:val="0D240982"/>
    <w:rsid w:val="0D240BF8"/>
    <w:rsid w:val="0D2444FE"/>
    <w:rsid w:val="0D244E26"/>
    <w:rsid w:val="0D246BD4"/>
    <w:rsid w:val="0D2505A3"/>
    <w:rsid w:val="0D255B9C"/>
    <w:rsid w:val="0D27131B"/>
    <w:rsid w:val="0D272220"/>
    <w:rsid w:val="0D2766C4"/>
    <w:rsid w:val="0D276CDC"/>
    <w:rsid w:val="0D2804A9"/>
    <w:rsid w:val="0D281365"/>
    <w:rsid w:val="0D2822C4"/>
    <w:rsid w:val="0D28332A"/>
    <w:rsid w:val="0D286D68"/>
    <w:rsid w:val="0D2877AD"/>
    <w:rsid w:val="0D29243C"/>
    <w:rsid w:val="0D293707"/>
    <w:rsid w:val="0D2941EA"/>
    <w:rsid w:val="0D297C53"/>
    <w:rsid w:val="0D297E2C"/>
    <w:rsid w:val="0D2A1D10"/>
    <w:rsid w:val="0D2A3ABE"/>
    <w:rsid w:val="0D2A4AC3"/>
    <w:rsid w:val="0D2A4B0B"/>
    <w:rsid w:val="0D2B6CAA"/>
    <w:rsid w:val="0D2C0740"/>
    <w:rsid w:val="0D2C5A88"/>
    <w:rsid w:val="0D2C5C31"/>
    <w:rsid w:val="0D2C7836"/>
    <w:rsid w:val="0D2D0DBC"/>
    <w:rsid w:val="0D2D115F"/>
    <w:rsid w:val="0D2D6136"/>
    <w:rsid w:val="0D2D7104"/>
    <w:rsid w:val="0D2E03D2"/>
    <w:rsid w:val="0D2E1801"/>
    <w:rsid w:val="0D2E7E61"/>
    <w:rsid w:val="0D2F5C4B"/>
    <w:rsid w:val="0D2F6EEB"/>
    <w:rsid w:val="0D301DA2"/>
    <w:rsid w:val="0D305950"/>
    <w:rsid w:val="0D307327"/>
    <w:rsid w:val="0D310DCF"/>
    <w:rsid w:val="0D312570"/>
    <w:rsid w:val="0D31309F"/>
    <w:rsid w:val="0D314E4D"/>
    <w:rsid w:val="0D3152DE"/>
    <w:rsid w:val="0D3165C8"/>
    <w:rsid w:val="0D321915"/>
    <w:rsid w:val="0D324D1E"/>
    <w:rsid w:val="0D3250CA"/>
    <w:rsid w:val="0D331968"/>
    <w:rsid w:val="0D33389B"/>
    <w:rsid w:val="0D333C06"/>
    <w:rsid w:val="0D333CCD"/>
    <w:rsid w:val="0D33548B"/>
    <w:rsid w:val="0D336E17"/>
    <w:rsid w:val="0D34161D"/>
    <w:rsid w:val="0D347D83"/>
    <w:rsid w:val="0D351E8A"/>
    <w:rsid w:val="0D35493D"/>
    <w:rsid w:val="0D354CCB"/>
    <w:rsid w:val="0D354F69"/>
    <w:rsid w:val="0D35529E"/>
    <w:rsid w:val="0D35687F"/>
    <w:rsid w:val="0D3606B5"/>
    <w:rsid w:val="0D363F3D"/>
    <w:rsid w:val="0D3651CA"/>
    <w:rsid w:val="0D3673A4"/>
    <w:rsid w:val="0D3675F0"/>
    <w:rsid w:val="0D367E0E"/>
    <w:rsid w:val="0D3728D8"/>
    <w:rsid w:val="0D374B59"/>
    <w:rsid w:val="0D3752E7"/>
    <w:rsid w:val="0D3762B1"/>
    <w:rsid w:val="0D376ABD"/>
    <w:rsid w:val="0D38267F"/>
    <w:rsid w:val="0D3835D3"/>
    <w:rsid w:val="0D38442D"/>
    <w:rsid w:val="0D3861DB"/>
    <w:rsid w:val="0D392031"/>
    <w:rsid w:val="0D3928BE"/>
    <w:rsid w:val="0D394DD3"/>
    <w:rsid w:val="0D3A1F53"/>
    <w:rsid w:val="0D3B2890"/>
    <w:rsid w:val="0D3B653D"/>
    <w:rsid w:val="0D3B7D9D"/>
    <w:rsid w:val="0D3C09B5"/>
    <w:rsid w:val="0D3C1557"/>
    <w:rsid w:val="0D3C216F"/>
    <w:rsid w:val="0D3C46F6"/>
    <w:rsid w:val="0D3C6B20"/>
    <w:rsid w:val="0D3D08AF"/>
    <w:rsid w:val="0D3D1A44"/>
    <w:rsid w:val="0D3D3B50"/>
    <w:rsid w:val="0D3D3EA9"/>
    <w:rsid w:val="0D3D4EED"/>
    <w:rsid w:val="0D3D506C"/>
    <w:rsid w:val="0D3D5EE8"/>
    <w:rsid w:val="0D3D7C96"/>
    <w:rsid w:val="0D3E0139"/>
    <w:rsid w:val="0D3F1F48"/>
    <w:rsid w:val="0D3F3A0E"/>
    <w:rsid w:val="0D3F4828"/>
    <w:rsid w:val="0D3F57BC"/>
    <w:rsid w:val="0D41336D"/>
    <w:rsid w:val="0D413FD2"/>
    <w:rsid w:val="0D417646"/>
    <w:rsid w:val="0D4224E0"/>
    <w:rsid w:val="0D422955"/>
    <w:rsid w:val="0D4234FE"/>
    <w:rsid w:val="0D423F42"/>
    <w:rsid w:val="0D424FFB"/>
    <w:rsid w:val="0D4252AC"/>
    <w:rsid w:val="0D426C26"/>
    <w:rsid w:val="0D42705A"/>
    <w:rsid w:val="0D433970"/>
    <w:rsid w:val="0D434663"/>
    <w:rsid w:val="0D434EAF"/>
    <w:rsid w:val="0D436541"/>
    <w:rsid w:val="0D436F58"/>
    <w:rsid w:val="0D4375C7"/>
    <w:rsid w:val="0D441024"/>
    <w:rsid w:val="0D444E00"/>
    <w:rsid w:val="0D447276"/>
    <w:rsid w:val="0D4473C4"/>
    <w:rsid w:val="0D447583"/>
    <w:rsid w:val="0D4479B6"/>
    <w:rsid w:val="0D4508F8"/>
    <w:rsid w:val="0D45612B"/>
    <w:rsid w:val="0D456331"/>
    <w:rsid w:val="0D456E58"/>
    <w:rsid w:val="0D4572B2"/>
    <w:rsid w:val="0D45746B"/>
    <w:rsid w:val="0D457EF2"/>
    <w:rsid w:val="0D460B9B"/>
    <w:rsid w:val="0D466B4A"/>
    <w:rsid w:val="0D467ACC"/>
    <w:rsid w:val="0D471789"/>
    <w:rsid w:val="0D472A46"/>
    <w:rsid w:val="0D477D60"/>
    <w:rsid w:val="0D4813D0"/>
    <w:rsid w:val="0D482F0B"/>
    <w:rsid w:val="0D4838E6"/>
    <w:rsid w:val="0D4841F9"/>
    <w:rsid w:val="0D486288"/>
    <w:rsid w:val="0D4903E8"/>
    <w:rsid w:val="0D4904F5"/>
    <w:rsid w:val="0D4906DE"/>
    <w:rsid w:val="0D497C37"/>
    <w:rsid w:val="0D4A0C9A"/>
    <w:rsid w:val="0D4A3843"/>
    <w:rsid w:val="0D4A47CC"/>
    <w:rsid w:val="0D4A5F0F"/>
    <w:rsid w:val="0D4A6C81"/>
    <w:rsid w:val="0D4C183E"/>
    <w:rsid w:val="0D4C224F"/>
    <w:rsid w:val="0D4C4BC1"/>
    <w:rsid w:val="0D4C6163"/>
    <w:rsid w:val="0D4D260B"/>
    <w:rsid w:val="0D4E0A83"/>
    <w:rsid w:val="0D4E0AA4"/>
    <w:rsid w:val="0D4E0B9E"/>
    <w:rsid w:val="0D4E121C"/>
    <w:rsid w:val="0D4E21F9"/>
    <w:rsid w:val="0D4E38B1"/>
    <w:rsid w:val="0D4E3C51"/>
    <w:rsid w:val="0D4F0E7C"/>
    <w:rsid w:val="0D4F17B7"/>
    <w:rsid w:val="0D4F4763"/>
    <w:rsid w:val="0D4F4F91"/>
    <w:rsid w:val="0D5025D4"/>
    <w:rsid w:val="0D505F74"/>
    <w:rsid w:val="0D507812"/>
    <w:rsid w:val="0D5079C9"/>
    <w:rsid w:val="0D507C11"/>
    <w:rsid w:val="0D5148C0"/>
    <w:rsid w:val="0D514DD9"/>
    <w:rsid w:val="0D5154EF"/>
    <w:rsid w:val="0D52044F"/>
    <w:rsid w:val="0D522B66"/>
    <w:rsid w:val="0D523741"/>
    <w:rsid w:val="0D527254"/>
    <w:rsid w:val="0D5304AD"/>
    <w:rsid w:val="0D530974"/>
    <w:rsid w:val="0D533015"/>
    <w:rsid w:val="0D5441BB"/>
    <w:rsid w:val="0D54447F"/>
    <w:rsid w:val="0D5448F5"/>
    <w:rsid w:val="0D545467"/>
    <w:rsid w:val="0D54608F"/>
    <w:rsid w:val="0D553231"/>
    <w:rsid w:val="0D553381"/>
    <w:rsid w:val="0D553878"/>
    <w:rsid w:val="0D555D85"/>
    <w:rsid w:val="0D556D8D"/>
    <w:rsid w:val="0D557CC8"/>
    <w:rsid w:val="0D562A75"/>
    <w:rsid w:val="0D570D57"/>
    <w:rsid w:val="0D576FA9"/>
    <w:rsid w:val="0D581FA1"/>
    <w:rsid w:val="0D583E8C"/>
    <w:rsid w:val="0D58687D"/>
    <w:rsid w:val="0D586E73"/>
    <w:rsid w:val="0D591478"/>
    <w:rsid w:val="0D5927FC"/>
    <w:rsid w:val="0D595018"/>
    <w:rsid w:val="0D5972D7"/>
    <w:rsid w:val="0D5A0767"/>
    <w:rsid w:val="0D5A1478"/>
    <w:rsid w:val="0D5A2A16"/>
    <w:rsid w:val="0D5B011C"/>
    <w:rsid w:val="0D5B217B"/>
    <w:rsid w:val="0D5B3087"/>
    <w:rsid w:val="0D5C0668"/>
    <w:rsid w:val="0D5C45C0"/>
    <w:rsid w:val="0D5C636E"/>
    <w:rsid w:val="0D5C67EF"/>
    <w:rsid w:val="0D5D20E6"/>
    <w:rsid w:val="0D5D3D18"/>
    <w:rsid w:val="0D5D3E94"/>
    <w:rsid w:val="0D5D4C49"/>
    <w:rsid w:val="0D5D51C5"/>
    <w:rsid w:val="0D5D56DD"/>
    <w:rsid w:val="0D5D5C42"/>
    <w:rsid w:val="0D5E3708"/>
    <w:rsid w:val="0D5E3D51"/>
    <w:rsid w:val="0D5E4DAC"/>
    <w:rsid w:val="0D5F1651"/>
    <w:rsid w:val="0D5F19BA"/>
    <w:rsid w:val="0D5F2B11"/>
    <w:rsid w:val="0D5F301F"/>
    <w:rsid w:val="0D5F37AC"/>
    <w:rsid w:val="0D5F45D9"/>
    <w:rsid w:val="0D5F50F9"/>
    <w:rsid w:val="0D5F7C0C"/>
    <w:rsid w:val="0D605732"/>
    <w:rsid w:val="0D611BD6"/>
    <w:rsid w:val="0D616EF9"/>
    <w:rsid w:val="0D621ACA"/>
    <w:rsid w:val="0D621D40"/>
    <w:rsid w:val="0D62610D"/>
    <w:rsid w:val="0D632031"/>
    <w:rsid w:val="0D63266B"/>
    <w:rsid w:val="0D635298"/>
    <w:rsid w:val="0D64084F"/>
    <w:rsid w:val="0D640A82"/>
    <w:rsid w:val="0D642F93"/>
    <w:rsid w:val="0D643474"/>
    <w:rsid w:val="0D645222"/>
    <w:rsid w:val="0D656C32"/>
    <w:rsid w:val="0D660E98"/>
    <w:rsid w:val="0D660F9A"/>
    <w:rsid w:val="0D662D25"/>
    <w:rsid w:val="0D662D48"/>
    <w:rsid w:val="0D6671EC"/>
    <w:rsid w:val="0D67117B"/>
    <w:rsid w:val="0D673AAC"/>
    <w:rsid w:val="0D674D12"/>
    <w:rsid w:val="0D682F64"/>
    <w:rsid w:val="0D6842F9"/>
    <w:rsid w:val="0D684514"/>
    <w:rsid w:val="0D690A8B"/>
    <w:rsid w:val="0D694138"/>
    <w:rsid w:val="0D6944DC"/>
    <w:rsid w:val="0D696CDD"/>
    <w:rsid w:val="0D6A2B16"/>
    <w:rsid w:val="0D6A7331"/>
    <w:rsid w:val="0D6A73F4"/>
    <w:rsid w:val="0D6B035F"/>
    <w:rsid w:val="0D6B3773"/>
    <w:rsid w:val="0D6B48E4"/>
    <w:rsid w:val="0D6B4A0D"/>
    <w:rsid w:val="0D6B65B1"/>
    <w:rsid w:val="0D6C2329"/>
    <w:rsid w:val="0D6C40B3"/>
    <w:rsid w:val="0D6C40D7"/>
    <w:rsid w:val="0D6C4765"/>
    <w:rsid w:val="0D6D057B"/>
    <w:rsid w:val="0D6D5138"/>
    <w:rsid w:val="0D6D7020"/>
    <w:rsid w:val="0D6E25A1"/>
    <w:rsid w:val="0D6E42F3"/>
    <w:rsid w:val="0D6E7E4F"/>
    <w:rsid w:val="0D6F092D"/>
    <w:rsid w:val="0D6F30CD"/>
    <w:rsid w:val="0D6F3CD9"/>
    <w:rsid w:val="0D6F3F03"/>
    <w:rsid w:val="0D70006B"/>
    <w:rsid w:val="0D701312"/>
    <w:rsid w:val="0D703BC7"/>
    <w:rsid w:val="0D704C21"/>
    <w:rsid w:val="0D705975"/>
    <w:rsid w:val="0D706468"/>
    <w:rsid w:val="0D7116ED"/>
    <w:rsid w:val="0D71357F"/>
    <w:rsid w:val="0D717B9A"/>
    <w:rsid w:val="0D717EF5"/>
    <w:rsid w:val="0D7205D5"/>
    <w:rsid w:val="0D723F3B"/>
    <w:rsid w:val="0D725B91"/>
    <w:rsid w:val="0D727AC8"/>
    <w:rsid w:val="0D731580"/>
    <w:rsid w:val="0D731909"/>
    <w:rsid w:val="0D732780"/>
    <w:rsid w:val="0D732A4F"/>
    <w:rsid w:val="0D7336B7"/>
    <w:rsid w:val="0D735465"/>
    <w:rsid w:val="0D735583"/>
    <w:rsid w:val="0D736603"/>
    <w:rsid w:val="0D740B0D"/>
    <w:rsid w:val="0D741D8B"/>
    <w:rsid w:val="0D745B50"/>
    <w:rsid w:val="0D7511DD"/>
    <w:rsid w:val="0D752A39"/>
    <w:rsid w:val="0D75536F"/>
    <w:rsid w:val="0D755394"/>
    <w:rsid w:val="0D755681"/>
    <w:rsid w:val="0D7567FF"/>
    <w:rsid w:val="0D757F40"/>
    <w:rsid w:val="0D7603C3"/>
    <w:rsid w:val="0D760940"/>
    <w:rsid w:val="0D761EE0"/>
    <w:rsid w:val="0D763851"/>
    <w:rsid w:val="0D76647E"/>
    <w:rsid w:val="0D766B20"/>
    <w:rsid w:val="0D766D04"/>
    <w:rsid w:val="0D771924"/>
    <w:rsid w:val="0D7731A8"/>
    <w:rsid w:val="0D77364C"/>
    <w:rsid w:val="0D774592"/>
    <w:rsid w:val="0D775A76"/>
    <w:rsid w:val="0D7774AB"/>
    <w:rsid w:val="0D780CCE"/>
    <w:rsid w:val="0D780E60"/>
    <w:rsid w:val="0D78301E"/>
    <w:rsid w:val="0D783066"/>
    <w:rsid w:val="0D78525D"/>
    <w:rsid w:val="0D792E8C"/>
    <w:rsid w:val="0D7934CF"/>
    <w:rsid w:val="0D794953"/>
    <w:rsid w:val="0D794ED5"/>
    <w:rsid w:val="0D7958BC"/>
    <w:rsid w:val="0D797435"/>
    <w:rsid w:val="0D797D51"/>
    <w:rsid w:val="0D7A1223"/>
    <w:rsid w:val="0D7A1B3C"/>
    <w:rsid w:val="0D7A2C98"/>
    <w:rsid w:val="0D7A35E3"/>
    <w:rsid w:val="0D7A4A46"/>
    <w:rsid w:val="0D7A6610"/>
    <w:rsid w:val="0D7B2671"/>
    <w:rsid w:val="0D7B2CD8"/>
    <w:rsid w:val="0D7B2EA8"/>
    <w:rsid w:val="0D7C07BE"/>
    <w:rsid w:val="0D7C0F42"/>
    <w:rsid w:val="0D7C63F7"/>
    <w:rsid w:val="0D7C6A10"/>
    <w:rsid w:val="0D7D4536"/>
    <w:rsid w:val="0D7D62E4"/>
    <w:rsid w:val="0D7D66D2"/>
    <w:rsid w:val="0D7E2FF7"/>
    <w:rsid w:val="0D7F02AE"/>
    <w:rsid w:val="0D7F0FF2"/>
    <w:rsid w:val="0D7F205C"/>
    <w:rsid w:val="0D7F295B"/>
    <w:rsid w:val="0D805289"/>
    <w:rsid w:val="0D80733B"/>
    <w:rsid w:val="0D81355C"/>
    <w:rsid w:val="0D814026"/>
    <w:rsid w:val="0D814095"/>
    <w:rsid w:val="0D814449"/>
    <w:rsid w:val="0D815DD4"/>
    <w:rsid w:val="0D816B93"/>
    <w:rsid w:val="0D817B82"/>
    <w:rsid w:val="0D8238FA"/>
    <w:rsid w:val="0D827F47"/>
    <w:rsid w:val="0D830A1A"/>
    <w:rsid w:val="0D830E03"/>
    <w:rsid w:val="0D8321DE"/>
    <w:rsid w:val="0D8322FD"/>
    <w:rsid w:val="0D833D58"/>
    <w:rsid w:val="0D837D9E"/>
    <w:rsid w:val="0D840913"/>
    <w:rsid w:val="0D841421"/>
    <w:rsid w:val="0D847672"/>
    <w:rsid w:val="0D8476AE"/>
    <w:rsid w:val="0D850A5A"/>
    <w:rsid w:val="0D851756"/>
    <w:rsid w:val="0D8576E8"/>
    <w:rsid w:val="0D86163D"/>
    <w:rsid w:val="0D863378"/>
    <w:rsid w:val="0D86597C"/>
    <w:rsid w:val="0D866E68"/>
    <w:rsid w:val="0D8713A0"/>
    <w:rsid w:val="0D875C38"/>
    <w:rsid w:val="0D8770A4"/>
    <w:rsid w:val="0D880C70"/>
    <w:rsid w:val="0D88326A"/>
    <w:rsid w:val="0D8853B5"/>
    <w:rsid w:val="0D8879EB"/>
    <w:rsid w:val="0D891425"/>
    <w:rsid w:val="0D89297F"/>
    <w:rsid w:val="0D892EDB"/>
    <w:rsid w:val="0D893B63"/>
    <w:rsid w:val="0D896A37"/>
    <w:rsid w:val="0D897821"/>
    <w:rsid w:val="0D8A585A"/>
    <w:rsid w:val="0D8B0A01"/>
    <w:rsid w:val="0D8B2417"/>
    <w:rsid w:val="0D8B27AF"/>
    <w:rsid w:val="0D8B6C53"/>
    <w:rsid w:val="0D8C396A"/>
    <w:rsid w:val="0D8C6527"/>
    <w:rsid w:val="0D8D2DA5"/>
    <w:rsid w:val="0D8D4779"/>
    <w:rsid w:val="0D8D5F47"/>
    <w:rsid w:val="0D8D61C7"/>
    <w:rsid w:val="0D8E264D"/>
    <w:rsid w:val="0D8E6743"/>
    <w:rsid w:val="0D8F06D7"/>
    <w:rsid w:val="0D8F0F86"/>
    <w:rsid w:val="0D8F5DB9"/>
    <w:rsid w:val="0D903407"/>
    <w:rsid w:val="0D904B48"/>
    <w:rsid w:val="0D912C61"/>
    <w:rsid w:val="0D91649D"/>
    <w:rsid w:val="0D916AF2"/>
    <w:rsid w:val="0D922CBC"/>
    <w:rsid w:val="0D922EFC"/>
    <w:rsid w:val="0D924F6E"/>
    <w:rsid w:val="0D927FE1"/>
    <w:rsid w:val="0D933D59"/>
    <w:rsid w:val="0D9378F5"/>
    <w:rsid w:val="0D94125F"/>
    <w:rsid w:val="0D941D88"/>
    <w:rsid w:val="0D9439A9"/>
    <w:rsid w:val="0D943AFA"/>
    <w:rsid w:val="0D943E29"/>
    <w:rsid w:val="0D944959"/>
    <w:rsid w:val="0D9474A6"/>
    <w:rsid w:val="0D952CE0"/>
    <w:rsid w:val="0D954A07"/>
    <w:rsid w:val="0D9553DC"/>
    <w:rsid w:val="0D9569CB"/>
    <w:rsid w:val="0D957AD2"/>
    <w:rsid w:val="0D963411"/>
    <w:rsid w:val="0D9638D8"/>
    <w:rsid w:val="0D9662F1"/>
    <w:rsid w:val="0D967279"/>
    <w:rsid w:val="0D971E4A"/>
    <w:rsid w:val="0D976C19"/>
    <w:rsid w:val="0D98311E"/>
    <w:rsid w:val="0D983A2B"/>
    <w:rsid w:val="0D984A85"/>
    <w:rsid w:val="0D984ECC"/>
    <w:rsid w:val="0D9854C7"/>
    <w:rsid w:val="0D99092D"/>
    <w:rsid w:val="0D990F3D"/>
    <w:rsid w:val="0D991370"/>
    <w:rsid w:val="0D99183E"/>
    <w:rsid w:val="0D993464"/>
    <w:rsid w:val="0D9941F9"/>
    <w:rsid w:val="0D99476A"/>
    <w:rsid w:val="0D995D7A"/>
    <w:rsid w:val="0D9A50E8"/>
    <w:rsid w:val="0D9A6E96"/>
    <w:rsid w:val="0D9B1370"/>
    <w:rsid w:val="0D9B295D"/>
    <w:rsid w:val="0D9B2C64"/>
    <w:rsid w:val="0D9B2F43"/>
    <w:rsid w:val="0D9B6F5F"/>
    <w:rsid w:val="0D9B7981"/>
    <w:rsid w:val="0D9C49BC"/>
    <w:rsid w:val="0D9C58C4"/>
    <w:rsid w:val="0D9C5FE5"/>
    <w:rsid w:val="0D9D0734"/>
    <w:rsid w:val="0D9D1C51"/>
    <w:rsid w:val="0D9D24E2"/>
    <w:rsid w:val="0D9D26B6"/>
    <w:rsid w:val="0D9D5033"/>
    <w:rsid w:val="0D9D69DC"/>
    <w:rsid w:val="0D9D7892"/>
    <w:rsid w:val="0D9E5508"/>
    <w:rsid w:val="0D9E5A0B"/>
    <w:rsid w:val="0D9E6986"/>
    <w:rsid w:val="0D9F0328"/>
    <w:rsid w:val="0D9F4FAC"/>
    <w:rsid w:val="0D9F625A"/>
    <w:rsid w:val="0D9F6EB0"/>
    <w:rsid w:val="0DA017E2"/>
    <w:rsid w:val="0DA01B7F"/>
    <w:rsid w:val="0DA02BE2"/>
    <w:rsid w:val="0DA04F50"/>
    <w:rsid w:val="0DA10224"/>
    <w:rsid w:val="0DA127B0"/>
    <w:rsid w:val="0DA13624"/>
    <w:rsid w:val="0DA15ACD"/>
    <w:rsid w:val="0DA24F7E"/>
    <w:rsid w:val="0DA25D4B"/>
    <w:rsid w:val="0DA27AF9"/>
    <w:rsid w:val="0DA33F9D"/>
    <w:rsid w:val="0DA34D02"/>
    <w:rsid w:val="0DA35E8C"/>
    <w:rsid w:val="0DA41AC3"/>
    <w:rsid w:val="0DA44805"/>
    <w:rsid w:val="0DA458A9"/>
    <w:rsid w:val="0DA45B6C"/>
    <w:rsid w:val="0DA47D15"/>
    <w:rsid w:val="0DA52D0D"/>
    <w:rsid w:val="0DA548D0"/>
    <w:rsid w:val="0DA56111"/>
    <w:rsid w:val="0DA574A5"/>
    <w:rsid w:val="0DA63A8D"/>
    <w:rsid w:val="0DA6583B"/>
    <w:rsid w:val="0DA67E5A"/>
    <w:rsid w:val="0DA71CE0"/>
    <w:rsid w:val="0DA71FDE"/>
    <w:rsid w:val="0DA72789"/>
    <w:rsid w:val="0DA73DCB"/>
    <w:rsid w:val="0DA73EC7"/>
    <w:rsid w:val="0DA77BD6"/>
    <w:rsid w:val="0DA77FCF"/>
    <w:rsid w:val="0DA815B3"/>
    <w:rsid w:val="0DA81618"/>
    <w:rsid w:val="0DA8168E"/>
    <w:rsid w:val="0DA819D4"/>
    <w:rsid w:val="0DA850F0"/>
    <w:rsid w:val="0DA86126"/>
    <w:rsid w:val="0DA87805"/>
    <w:rsid w:val="0DA90E87"/>
    <w:rsid w:val="0DA91E63"/>
    <w:rsid w:val="0DA91FD7"/>
    <w:rsid w:val="0DA937F8"/>
    <w:rsid w:val="0DAA28D1"/>
    <w:rsid w:val="0DAA56EF"/>
    <w:rsid w:val="0DAA59AC"/>
    <w:rsid w:val="0DAA6B7F"/>
    <w:rsid w:val="0DAA7D66"/>
    <w:rsid w:val="0DAB000F"/>
    <w:rsid w:val="0DAB10A3"/>
    <w:rsid w:val="0DAB2C03"/>
    <w:rsid w:val="0DAC1B52"/>
    <w:rsid w:val="0DAC23F3"/>
    <w:rsid w:val="0DAC2590"/>
    <w:rsid w:val="0DAC686A"/>
    <w:rsid w:val="0DAD0977"/>
    <w:rsid w:val="0DAD1B01"/>
    <w:rsid w:val="0DAD4E1B"/>
    <w:rsid w:val="0DAD6D91"/>
    <w:rsid w:val="0DAD7004"/>
    <w:rsid w:val="0DAE46EF"/>
    <w:rsid w:val="0DAE649D"/>
    <w:rsid w:val="0DAF1385"/>
    <w:rsid w:val="0DAF4896"/>
    <w:rsid w:val="0DAF5143"/>
    <w:rsid w:val="0DAF6CC4"/>
    <w:rsid w:val="0DB00467"/>
    <w:rsid w:val="0DB02216"/>
    <w:rsid w:val="0DB066B9"/>
    <w:rsid w:val="0DB07838"/>
    <w:rsid w:val="0DB13E81"/>
    <w:rsid w:val="0DB16011"/>
    <w:rsid w:val="0DB21C05"/>
    <w:rsid w:val="0DB2356C"/>
    <w:rsid w:val="0DB241E0"/>
    <w:rsid w:val="0DB2432A"/>
    <w:rsid w:val="0DB25F8E"/>
    <w:rsid w:val="0DB26A52"/>
    <w:rsid w:val="0DB31D06"/>
    <w:rsid w:val="0DB34561"/>
    <w:rsid w:val="0DB42116"/>
    <w:rsid w:val="0DB461AA"/>
    <w:rsid w:val="0DB4779A"/>
    <w:rsid w:val="0DB53CD0"/>
    <w:rsid w:val="0DB5411C"/>
    <w:rsid w:val="0DB54251"/>
    <w:rsid w:val="0DB62669"/>
    <w:rsid w:val="0DB65122"/>
    <w:rsid w:val="0DB660DE"/>
    <w:rsid w:val="0DB67791"/>
    <w:rsid w:val="0DB722B8"/>
    <w:rsid w:val="0DB735A4"/>
    <w:rsid w:val="0DB74CA1"/>
    <w:rsid w:val="0DB77B5E"/>
    <w:rsid w:val="0DB77CF3"/>
    <w:rsid w:val="0DB80466"/>
    <w:rsid w:val="0DB81183"/>
    <w:rsid w:val="0DB845E3"/>
    <w:rsid w:val="0DB9234D"/>
    <w:rsid w:val="0DBA12E6"/>
    <w:rsid w:val="0DBA1F41"/>
    <w:rsid w:val="0DBA2EFC"/>
    <w:rsid w:val="0DBA6674"/>
    <w:rsid w:val="0DBB1DC8"/>
    <w:rsid w:val="0DBB7B04"/>
    <w:rsid w:val="0DBC030F"/>
    <w:rsid w:val="0DBC3FA9"/>
    <w:rsid w:val="0DBC505E"/>
    <w:rsid w:val="0DBC636A"/>
    <w:rsid w:val="0DBC6E0C"/>
    <w:rsid w:val="0DBC72AF"/>
    <w:rsid w:val="0DBD3FA2"/>
    <w:rsid w:val="0DBD4894"/>
    <w:rsid w:val="0DBE0ECC"/>
    <w:rsid w:val="0DBE12BC"/>
    <w:rsid w:val="0DBE4FF5"/>
    <w:rsid w:val="0DBF4B4E"/>
    <w:rsid w:val="0DBF7CA4"/>
    <w:rsid w:val="0DC04A6A"/>
    <w:rsid w:val="0DC07569"/>
    <w:rsid w:val="0DC07915"/>
    <w:rsid w:val="0DC108C7"/>
    <w:rsid w:val="0DC12675"/>
    <w:rsid w:val="0DC161D1"/>
    <w:rsid w:val="0DC16EB2"/>
    <w:rsid w:val="0DC21198"/>
    <w:rsid w:val="0DC214F0"/>
    <w:rsid w:val="0DC26E4F"/>
    <w:rsid w:val="0DC329CD"/>
    <w:rsid w:val="0DC3383C"/>
    <w:rsid w:val="0DC363ED"/>
    <w:rsid w:val="0DC40200"/>
    <w:rsid w:val="0DC42165"/>
    <w:rsid w:val="0DC43BEC"/>
    <w:rsid w:val="0DC43F13"/>
    <w:rsid w:val="0DC45CC1"/>
    <w:rsid w:val="0DC460AD"/>
    <w:rsid w:val="0DC472FA"/>
    <w:rsid w:val="0DC47376"/>
    <w:rsid w:val="0DC47726"/>
    <w:rsid w:val="0DC516CC"/>
    <w:rsid w:val="0DC525F3"/>
    <w:rsid w:val="0DC55E46"/>
    <w:rsid w:val="0DC60A01"/>
    <w:rsid w:val="0DC62141"/>
    <w:rsid w:val="0DC645BA"/>
    <w:rsid w:val="0DC64953"/>
    <w:rsid w:val="0DC65A28"/>
    <w:rsid w:val="0DC65EDD"/>
    <w:rsid w:val="0DC65FCE"/>
    <w:rsid w:val="0DC67F5B"/>
    <w:rsid w:val="0DC770C6"/>
    <w:rsid w:val="0DC777E8"/>
    <w:rsid w:val="0DC80A54"/>
    <w:rsid w:val="0DC810BC"/>
    <w:rsid w:val="0DC814A4"/>
    <w:rsid w:val="0DC877E9"/>
    <w:rsid w:val="0DC91529"/>
    <w:rsid w:val="0DC932D7"/>
    <w:rsid w:val="0DC94D16"/>
    <w:rsid w:val="0DC968B3"/>
    <w:rsid w:val="0DC9693A"/>
    <w:rsid w:val="0DCA0574"/>
    <w:rsid w:val="0DCA6169"/>
    <w:rsid w:val="0DCB13F4"/>
    <w:rsid w:val="0DCB1CB8"/>
    <w:rsid w:val="0DCB34F3"/>
    <w:rsid w:val="0DCB3ED7"/>
    <w:rsid w:val="0DCB704F"/>
    <w:rsid w:val="0DCC3FC5"/>
    <w:rsid w:val="0DCC43E3"/>
    <w:rsid w:val="0DCC7089"/>
    <w:rsid w:val="0DCC723F"/>
    <w:rsid w:val="0DCD1019"/>
    <w:rsid w:val="0DCD1F19"/>
    <w:rsid w:val="0DCD3F5B"/>
    <w:rsid w:val="0DCD7165"/>
    <w:rsid w:val="0DCD726B"/>
    <w:rsid w:val="0DCD7E5B"/>
    <w:rsid w:val="0DCE3B2F"/>
    <w:rsid w:val="0DCF3C7D"/>
    <w:rsid w:val="0DD0138E"/>
    <w:rsid w:val="0DD01946"/>
    <w:rsid w:val="0DD04038"/>
    <w:rsid w:val="0DD04943"/>
    <w:rsid w:val="0DD110F2"/>
    <w:rsid w:val="0DD121D5"/>
    <w:rsid w:val="0DD126DC"/>
    <w:rsid w:val="0DD165F5"/>
    <w:rsid w:val="0DD17656"/>
    <w:rsid w:val="0DD17EF6"/>
    <w:rsid w:val="0DD203DE"/>
    <w:rsid w:val="0DD2235E"/>
    <w:rsid w:val="0DD248FB"/>
    <w:rsid w:val="0DD24C55"/>
    <w:rsid w:val="0DD2616E"/>
    <w:rsid w:val="0DD26630"/>
    <w:rsid w:val="0DD319FD"/>
    <w:rsid w:val="0DD34156"/>
    <w:rsid w:val="0DD34E76"/>
    <w:rsid w:val="0DD35527"/>
    <w:rsid w:val="0DD372FC"/>
    <w:rsid w:val="0DD423A8"/>
    <w:rsid w:val="0DD44A76"/>
    <w:rsid w:val="0DD46B8C"/>
    <w:rsid w:val="0DD50D9B"/>
    <w:rsid w:val="0DD5126E"/>
    <w:rsid w:val="0DD51C7C"/>
    <w:rsid w:val="0DD53F9A"/>
    <w:rsid w:val="0DD56120"/>
    <w:rsid w:val="0DD57ECE"/>
    <w:rsid w:val="0DD62D2F"/>
    <w:rsid w:val="0DD66D25"/>
    <w:rsid w:val="0DD670B7"/>
    <w:rsid w:val="0DD67852"/>
    <w:rsid w:val="0DD70C18"/>
    <w:rsid w:val="0DD71E98"/>
    <w:rsid w:val="0DD759F4"/>
    <w:rsid w:val="0DD75B9C"/>
    <w:rsid w:val="0DD76852"/>
    <w:rsid w:val="0DD83DD2"/>
    <w:rsid w:val="0DD86C8B"/>
    <w:rsid w:val="0DD90659"/>
    <w:rsid w:val="0DD947ED"/>
    <w:rsid w:val="0DD967D4"/>
    <w:rsid w:val="0DDA0064"/>
    <w:rsid w:val="0DDA0252"/>
    <w:rsid w:val="0DDA3736"/>
    <w:rsid w:val="0DDA52D7"/>
    <w:rsid w:val="0DDA653B"/>
    <w:rsid w:val="0DDB257F"/>
    <w:rsid w:val="0DDB5913"/>
    <w:rsid w:val="0DDB5B8F"/>
    <w:rsid w:val="0DDC125D"/>
    <w:rsid w:val="0DDC2694"/>
    <w:rsid w:val="0DDC59AD"/>
    <w:rsid w:val="0DDC752C"/>
    <w:rsid w:val="0DDD1877"/>
    <w:rsid w:val="0DDD1FD5"/>
    <w:rsid w:val="0DDD432E"/>
    <w:rsid w:val="0DDD5958"/>
    <w:rsid w:val="0DDE0A94"/>
    <w:rsid w:val="0DDE2E94"/>
    <w:rsid w:val="0DDE78B8"/>
    <w:rsid w:val="0DDF0D4D"/>
    <w:rsid w:val="0DDF2457"/>
    <w:rsid w:val="0DDF3514"/>
    <w:rsid w:val="0DDF4A18"/>
    <w:rsid w:val="0DDF7B38"/>
    <w:rsid w:val="0DE00E6C"/>
    <w:rsid w:val="0DE037AD"/>
    <w:rsid w:val="0DE07BD1"/>
    <w:rsid w:val="0DE10621"/>
    <w:rsid w:val="0DE1181F"/>
    <w:rsid w:val="0DE12D1A"/>
    <w:rsid w:val="0DE14AC5"/>
    <w:rsid w:val="0DE16B46"/>
    <w:rsid w:val="0DE243F0"/>
    <w:rsid w:val="0DE24658"/>
    <w:rsid w:val="0DE3083D"/>
    <w:rsid w:val="0DE3105B"/>
    <w:rsid w:val="0DE31A5D"/>
    <w:rsid w:val="0DE40595"/>
    <w:rsid w:val="0DE40F4C"/>
    <w:rsid w:val="0DE4282E"/>
    <w:rsid w:val="0DE44183"/>
    <w:rsid w:val="0DE460FF"/>
    <w:rsid w:val="0DE46363"/>
    <w:rsid w:val="0DE51628"/>
    <w:rsid w:val="0DE53413"/>
    <w:rsid w:val="0DE60124"/>
    <w:rsid w:val="0DE6032D"/>
    <w:rsid w:val="0DE60B68"/>
    <w:rsid w:val="0DE63E89"/>
    <w:rsid w:val="0DE64201"/>
    <w:rsid w:val="0DE66425"/>
    <w:rsid w:val="0DE676B3"/>
    <w:rsid w:val="0DE826B1"/>
    <w:rsid w:val="0DE85595"/>
    <w:rsid w:val="0DE87C01"/>
    <w:rsid w:val="0DE87D14"/>
    <w:rsid w:val="0DE93979"/>
    <w:rsid w:val="0DEA1BCB"/>
    <w:rsid w:val="0DEB179C"/>
    <w:rsid w:val="0DEB76F2"/>
    <w:rsid w:val="0DEB7B0F"/>
    <w:rsid w:val="0DEC007F"/>
    <w:rsid w:val="0DEC5BF9"/>
    <w:rsid w:val="0DED1503"/>
    <w:rsid w:val="0DED16BC"/>
    <w:rsid w:val="0DED2266"/>
    <w:rsid w:val="0DED24B1"/>
    <w:rsid w:val="0DED346A"/>
    <w:rsid w:val="0DED6FBA"/>
    <w:rsid w:val="0DEE0F90"/>
    <w:rsid w:val="0DEE2993"/>
    <w:rsid w:val="0DEE51F0"/>
    <w:rsid w:val="0DEF4DC7"/>
    <w:rsid w:val="0DEF69F4"/>
    <w:rsid w:val="0DF0289C"/>
    <w:rsid w:val="0DF02F5A"/>
    <w:rsid w:val="0DF03F60"/>
    <w:rsid w:val="0DF04D08"/>
    <w:rsid w:val="0DF10F7F"/>
    <w:rsid w:val="0DF12B59"/>
    <w:rsid w:val="0DF1378D"/>
    <w:rsid w:val="0DF20A80"/>
    <w:rsid w:val="0DF2230E"/>
    <w:rsid w:val="0DF2282E"/>
    <w:rsid w:val="0DF2482D"/>
    <w:rsid w:val="0DF26CD2"/>
    <w:rsid w:val="0DF30F74"/>
    <w:rsid w:val="0DF319FE"/>
    <w:rsid w:val="0DF32B71"/>
    <w:rsid w:val="0DF34686"/>
    <w:rsid w:val="0DF4156F"/>
    <w:rsid w:val="0DF44694"/>
    <w:rsid w:val="0DF44AD4"/>
    <w:rsid w:val="0DF451E7"/>
    <w:rsid w:val="0DF45274"/>
    <w:rsid w:val="0DF45647"/>
    <w:rsid w:val="0DF55B01"/>
    <w:rsid w:val="0DF55E62"/>
    <w:rsid w:val="0DF57CE4"/>
    <w:rsid w:val="0DF61D4C"/>
    <w:rsid w:val="0DF65182"/>
    <w:rsid w:val="0DF67783"/>
    <w:rsid w:val="0DF72734"/>
    <w:rsid w:val="0DF77E44"/>
    <w:rsid w:val="0DF833B9"/>
    <w:rsid w:val="0DF85DED"/>
    <w:rsid w:val="0DF919A8"/>
    <w:rsid w:val="0DF91E0E"/>
    <w:rsid w:val="0DF94F46"/>
    <w:rsid w:val="0DF95DB2"/>
    <w:rsid w:val="0DF9664C"/>
    <w:rsid w:val="0DF97AA6"/>
    <w:rsid w:val="0DFA0E1A"/>
    <w:rsid w:val="0DFA4B1E"/>
    <w:rsid w:val="0DFA69A0"/>
    <w:rsid w:val="0DFB0126"/>
    <w:rsid w:val="0DFB39AE"/>
    <w:rsid w:val="0DFB570C"/>
    <w:rsid w:val="0DFC18FF"/>
    <w:rsid w:val="0DFC321D"/>
    <w:rsid w:val="0DFC39B7"/>
    <w:rsid w:val="0DFC4A58"/>
    <w:rsid w:val="0DFC6ECD"/>
    <w:rsid w:val="0DFC701B"/>
    <w:rsid w:val="0DFD3F3F"/>
    <w:rsid w:val="0DFD5E26"/>
    <w:rsid w:val="0DFD78B7"/>
    <w:rsid w:val="0DFE111A"/>
    <w:rsid w:val="0DFE2488"/>
    <w:rsid w:val="0DFE7B1D"/>
    <w:rsid w:val="0E001E27"/>
    <w:rsid w:val="0E002722"/>
    <w:rsid w:val="0E005853"/>
    <w:rsid w:val="0E005B72"/>
    <w:rsid w:val="0E006D2B"/>
    <w:rsid w:val="0E012A71"/>
    <w:rsid w:val="0E016238"/>
    <w:rsid w:val="0E016D91"/>
    <w:rsid w:val="0E016F15"/>
    <w:rsid w:val="0E0200D4"/>
    <w:rsid w:val="0E022894"/>
    <w:rsid w:val="0E023C9B"/>
    <w:rsid w:val="0E02478A"/>
    <w:rsid w:val="0E0276C8"/>
    <w:rsid w:val="0E032C8D"/>
    <w:rsid w:val="0E033DC8"/>
    <w:rsid w:val="0E04174D"/>
    <w:rsid w:val="0E042561"/>
    <w:rsid w:val="0E044BB9"/>
    <w:rsid w:val="0E045665"/>
    <w:rsid w:val="0E046442"/>
    <w:rsid w:val="0E046E68"/>
    <w:rsid w:val="0E0504B8"/>
    <w:rsid w:val="0E0530C9"/>
    <w:rsid w:val="0E056A05"/>
    <w:rsid w:val="0E06277D"/>
    <w:rsid w:val="0E06452B"/>
    <w:rsid w:val="0E064DF6"/>
    <w:rsid w:val="0E065DB8"/>
    <w:rsid w:val="0E070E68"/>
    <w:rsid w:val="0E07353A"/>
    <w:rsid w:val="0E0741F6"/>
    <w:rsid w:val="0E07618B"/>
    <w:rsid w:val="0E082052"/>
    <w:rsid w:val="0E083E00"/>
    <w:rsid w:val="0E08495E"/>
    <w:rsid w:val="0E09258E"/>
    <w:rsid w:val="0E09478C"/>
    <w:rsid w:val="0E0A199B"/>
    <w:rsid w:val="0E0A3363"/>
    <w:rsid w:val="0E0A401C"/>
    <w:rsid w:val="0E0A57EF"/>
    <w:rsid w:val="0E0A7658"/>
    <w:rsid w:val="0E0B38F0"/>
    <w:rsid w:val="0E0B6422"/>
    <w:rsid w:val="0E0C11D3"/>
    <w:rsid w:val="0E0C198A"/>
    <w:rsid w:val="0E0C7A69"/>
    <w:rsid w:val="0E0C7BC1"/>
    <w:rsid w:val="0E0D2344"/>
    <w:rsid w:val="0E0D2569"/>
    <w:rsid w:val="0E0D58BA"/>
    <w:rsid w:val="0E0D5B2E"/>
    <w:rsid w:val="0E0D73AC"/>
    <w:rsid w:val="0E0E06FE"/>
    <w:rsid w:val="0E0E1F7D"/>
    <w:rsid w:val="0E0E518E"/>
    <w:rsid w:val="0E0E6596"/>
    <w:rsid w:val="0E0F2FB3"/>
    <w:rsid w:val="0E0F33E0"/>
    <w:rsid w:val="0E100F06"/>
    <w:rsid w:val="0E1026F8"/>
    <w:rsid w:val="0E1053AA"/>
    <w:rsid w:val="0E105CC0"/>
    <w:rsid w:val="0E105CE2"/>
    <w:rsid w:val="0E107158"/>
    <w:rsid w:val="0E1101E0"/>
    <w:rsid w:val="0E1108FE"/>
    <w:rsid w:val="0E111448"/>
    <w:rsid w:val="0E1171BD"/>
    <w:rsid w:val="0E120699"/>
    <w:rsid w:val="0E121122"/>
    <w:rsid w:val="0E122B76"/>
    <w:rsid w:val="0E122BF7"/>
    <w:rsid w:val="0E122ED0"/>
    <w:rsid w:val="0E126D86"/>
    <w:rsid w:val="0E1275C5"/>
    <w:rsid w:val="0E130163"/>
    <w:rsid w:val="0E1326AE"/>
    <w:rsid w:val="0E137D36"/>
    <w:rsid w:val="0E137D9D"/>
    <w:rsid w:val="0E1409F6"/>
    <w:rsid w:val="0E141604"/>
    <w:rsid w:val="0E14470D"/>
    <w:rsid w:val="0E146548"/>
    <w:rsid w:val="0E146C48"/>
    <w:rsid w:val="0E15124B"/>
    <w:rsid w:val="0E1529C0"/>
    <w:rsid w:val="0E15476E"/>
    <w:rsid w:val="0E155B3E"/>
    <w:rsid w:val="0E15641C"/>
    <w:rsid w:val="0E160834"/>
    <w:rsid w:val="0E160B48"/>
    <w:rsid w:val="0E166FCE"/>
    <w:rsid w:val="0E1704E7"/>
    <w:rsid w:val="0E175953"/>
    <w:rsid w:val="0E1819E9"/>
    <w:rsid w:val="0E190362"/>
    <w:rsid w:val="0E190529"/>
    <w:rsid w:val="0E1924B1"/>
    <w:rsid w:val="0E1932F8"/>
    <w:rsid w:val="0E19366C"/>
    <w:rsid w:val="0E193E74"/>
    <w:rsid w:val="0E1948CF"/>
    <w:rsid w:val="0E194FFE"/>
    <w:rsid w:val="0E19661A"/>
    <w:rsid w:val="0E197DBB"/>
    <w:rsid w:val="0E197E7F"/>
    <w:rsid w:val="0E1A3B33"/>
    <w:rsid w:val="0E1A4684"/>
    <w:rsid w:val="0E1A48F2"/>
    <w:rsid w:val="0E1A5940"/>
    <w:rsid w:val="0E1A6E45"/>
    <w:rsid w:val="0E1B43F8"/>
    <w:rsid w:val="0E1C0F1B"/>
    <w:rsid w:val="0E1C20F4"/>
    <w:rsid w:val="0E1C3D4F"/>
    <w:rsid w:val="0E1C5AFD"/>
    <w:rsid w:val="0E1C5E71"/>
    <w:rsid w:val="0E1D29BB"/>
    <w:rsid w:val="0E1D2E9E"/>
    <w:rsid w:val="0E1D361D"/>
    <w:rsid w:val="0E1D3663"/>
    <w:rsid w:val="0E1D52CE"/>
    <w:rsid w:val="0E1D7A23"/>
    <w:rsid w:val="0E1E0331"/>
    <w:rsid w:val="0E1E3623"/>
    <w:rsid w:val="0E1E5AD1"/>
    <w:rsid w:val="0E1F1149"/>
    <w:rsid w:val="0E1F739B"/>
    <w:rsid w:val="0E201CFF"/>
    <w:rsid w:val="0E203882"/>
    <w:rsid w:val="0E2050F8"/>
    <w:rsid w:val="0E205294"/>
    <w:rsid w:val="0E2055ED"/>
    <w:rsid w:val="0E206FC5"/>
    <w:rsid w:val="0E211365"/>
    <w:rsid w:val="0E2116B9"/>
    <w:rsid w:val="0E213113"/>
    <w:rsid w:val="0E2142A2"/>
    <w:rsid w:val="0E22157C"/>
    <w:rsid w:val="0E223BD7"/>
    <w:rsid w:val="0E23099D"/>
    <w:rsid w:val="0E230C39"/>
    <w:rsid w:val="0E231CBA"/>
    <w:rsid w:val="0E23362A"/>
    <w:rsid w:val="0E233B23"/>
    <w:rsid w:val="0E234C99"/>
    <w:rsid w:val="0E236E8B"/>
    <w:rsid w:val="0E237112"/>
    <w:rsid w:val="0E243153"/>
    <w:rsid w:val="0E246170"/>
    <w:rsid w:val="0E24639A"/>
    <w:rsid w:val="0E246941"/>
    <w:rsid w:val="0E250DB5"/>
    <w:rsid w:val="0E250E55"/>
    <w:rsid w:val="0E2512E1"/>
    <w:rsid w:val="0E253381"/>
    <w:rsid w:val="0E255633"/>
    <w:rsid w:val="0E26072A"/>
    <w:rsid w:val="0E263A58"/>
    <w:rsid w:val="0E2652E4"/>
    <w:rsid w:val="0E26697C"/>
    <w:rsid w:val="0E266AC3"/>
    <w:rsid w:val="0E271DD2"/>
    <w:rsid w:val="0E272B23"/>
    <w:rsid w:val="0E273E6C"/>
    <w:rsid w:val="0E274146"/>
    <w:rsid w:val="0E27420F"/>
    <w:rsid w:val="0E2826F4"/>
    <w:rsid w:val="0E286250"/>
    <w:rsid w:val="0E290FE2"/>
    <w:rsid w:val="0E292FA8"/>
    <w:rsid w:val="0E295443"/>
    <w:rsid w:val="0E2965E3"/>
    <w:rsid w:val="0E2A0014"/>
    <w:rsid w:val="0E2A1B98"/>
    <w:rsid w:val="0E2A38AE"/>
    <w:rsid w:val="0E2A44E9"/>
    <w:rsid w:val="0E2A4544"/>
    <w:rsid w:val="0E2A48E5"/>
    <w:rsid w:val="0E2A6C50"/>
    <w:rsid w:val="0E2A7B79"/>
    <w:rsid w:val="0E2B5D40"/>
    <w:rsid w:val="0E2C1B06"/>
    <w:rsid w:val="0E2C2516"/>
    <w:rsid w:val="0E2C2BD7"/>
    <w:rsid w:val="0E2D0575"/>
    <w:rsid w:val="0E2D1AB8"/>
    <w:rsid w:val="0E2D22B7"/>
    <w:rsid w:val="0E2D39BD"/>
    <w:rsid w:val="0E2E0363"/>
    <w:rsid w:val="0E2E0FB1"/>
    <w:rsid w:val="0E2E2A56"/>
    <w:rsid w:val="0E2F3A82"/>
    <w:rsid w:val="0E2F4686"/>
    <w:rsid w:val="0E2F5830"/>
    <w:rsid w:val="0E302745"/>
    <w:rsid w:val="0E3065F3"/>
    <w:rsid w:val="0E3135DB"/>
    <w:rsid w:val="0E313BD5"/>
    <w:rsid w:val="0E315F88"/>
    <w:rsid w:val="0E3161C8"/>
    <w:rsid w:val="0E3177FA"/>
    <w:rsid w:val="0E320E7D"/>
    <w:rsid w:val="0E321920"/>
    <w:rsid w:val="0E322F77"/>
    <w:rsid w:val="0E3250A0"/>
    <w:rsid w:val="0E325320"/>
    <w:rsid w:val="0E326D66"/>
    <w:rsid w:val="0E327C36"/>
    <w:rsid w:val="0E3300F3"/>
    <w:rsid w:val="0E3303F2"/>
    <w:rsid w:val="0E3311E2"/>
    <w:rsid w:val="0E3349D5"/>
    <w:rsid w:val="0E341091"/>
    <w:rsid w:val="0E342E47"/>
    <w:rsid w:val="0E343C97"/>
    <w:rsid w:val="0E345C0A"/>
    <w:rsid w:val="0E35096D"/>
    <w:rsid w:val="0E352198"/>
    <w:rsid w:val="0E35277B"/>
    <w:rsid w:val="0E355CAB"/>
    <w:rsid w:val="0E35689C"/>
    <w:rsid w:val="0E364E11"/>
    <w:rsid w:val="0E370B89"/>
    <w:rsid w:val="0E3746E5"/>
    <w:rsid w:val="0E377A48"/>
    <w:rsid w:val="0E3805F5"/>
    <w:rsid w:val="0E381794"/>
    <w:rsid w:val="0E3852D1"/>
    <w:rsid w:val="0E386E51"/>
    <w:rsid w:val="0E39045D"/>
    <w:rsid w:val="0E391ECF"/>
    <w:rsid w:val="0E3966AF"/>
    <w:rsid w:val="0E396FD3"/>
    <w:rsid w:val="0E3A2719"/>
    <w:rsid w:val="0E3A41D5"/>
    <w:rsid w:val="0E3A477C"/>
    <w:rsid w:val="0E3A51B5"/>
    <w:rsid w:val="0E3B1C71"/>
    <w:rsid w:val="0E3B2427"/>
    <w:rsid w:val="0E3B2429"/>
    <w:rsid w:val="0E3B2751"/>
    <w:rsid w:val="0E3B3BDF"/>
    <w:rsid w:val="0E3B7981"/>
    <w:rsid w:val="0E3C1CFB"/>
    <w:rsid w:val="0E3C4421"/>
    <w:rsid w:val="0E3C5190"/>
    <w:rsid w:val="0E3C7686"/>
    <w:rsid w:val="0E3C7B81"/>
    <w:rsid w:val="0E3C7F4D"/>
    <w:rsid w:val="0E3D3676"/>
    <w:rsid w:val="0E3D500F"/>
    <w:rsid w:val="0E3E1F17"/>
    <w:rsid w:val="0E3E2013"/>
    <w:rsid w:val="0E3E3EFD"/>
    <w:rsid w:val="0E3E489E"/>
    <w:rsid w:val="0E3E5F35"/>
    <w:rsid w:val="0E3E6580"/>
    <w:rsid w:val="0E3E6DF9"/>
    <w:rsid w:val="0E3E79DA"/>
    <w:rsid w:val="0E3F0579"/>
    <w:rsid w:val="0E3F23D4"/>
    <w:rsid w:val="0E3F2C55"/>
    <w:rsid w:val="0E3F3599"/>
    <w:rsid w:val="0E3F4BB4"/>
    <w:rsid w:val="0E3F66CC"/>
    <w:rsid w:val="0E400E62"/>
    <w:rsid w:val="0E4017EB"/>
    <w:rsid w:val="0E403440"/>
    <w:rsid w:val="0E404CB0"/>
    <w:rsid w:val="0E407A3D"/>
    <w:rsid w:val="0E41292D"/>
    <w:rsid w:val="0E412A8E"/>
    <w:rsid w:val="0E4137B5"/>
    <w:rsid w:val="0E414345"/>
    <w:rsid w:val="0E415563"/>
    <w:rsid w:val="0E4230C6"/>
    <w:rsid w:val="0E423255"/>
    <w:rsid w:val="0E4237BC"/>
    <w:rsid w:val="0E427787"/>
    <w:rsid w:val="0E430D9C"/>
    <w:rsid w:val="0E4312DC"/>
    <w:rsid w:val="0E43308A"/>
    <w:rsid w:val="0E440BB0"/>
    <w:rsid w:val="0E44101D"/>
    <w:rsid w:val="0E444DC5"/>
    <w:rsid w:val="0E4451B2"/>
    <w:rsid w:val="0E4506E3"/>
    <w:rsid w:val="0E450736"/>
    <w:rsid w:val="0E451BC0"/>
    <w:rsid w:val="0E45250A"/>
    <w:rsid w:val="0E4532A6"/>
    <w:rsid w:val="0E4535AE"/>
    <w:rsid w:val="0E45420E"/>
    <w:rsid w:val="0E454C1C"/>
    <w:rsid w:val="0E455054"/>
    <w:rsid w:val="0E456E02"/>
    <w:rsid w:val="0E4576AE"/>
    <w:rsid w:val="0E460C88"/>
    <w:rsid w:val="0E461B36"/>
    <w:rsid w:val="0E462632"/>
    <w:rsid w:val="0E462B7A"/>
    <w:rsid w:val="0E464928"/>
    <w:rsid w:val="0E471D9E"/>
    <w:rsid w:val="0E471F91"/>
    <w:rsid w:val="0E472093"/>
    <w:rsid w:val="0E474B94"/>
    <w:rsid w:val="0E48012A"/>
    <w:rsid w:val="0E480418"/>
    <w:rsid w:val="0E4806A0"/>
    <w:rsid w:val="0E480FFF"/>
    <w:rsid w:val="0E48359D"/>
    <w:rsid w:val="0E484483"/>
    <w:rsid w:val="0E484B44"/>
    <w:rsid w:val="0E4868F2"/>
    <w:rsid w:val="0E48773D"/>
    <w:rsid w:val="0E490F5C"/>
    <w:rsid w:val="0E491DAE"/>
    <w:rsid w:val="0E49300C"/>
    <w:rsid w:val="0E49448C"/>
    <w:rsid w:val="0E497BE6"/>
    <w:rsid w:val="0E4A08BC"/>
    <w:rsid w:val="0E4A154C"/>
    <w:rsid w:val="0E4A3993"/>
    <w:rsid w:val="0E4A42B1"/>
    <w:rsid w:val="0E4A4E3B"/>
    <w:rsid w:val="0E4B0190"/>
    <w:rsid w:val="0E4B1914"/>
    <w:rsid w:val="0E4B1F3E"/>
    <w:rsid w:val="0E4B2F4F"/>
    <w:rsid w:val="0E4B63E2"/>
    <w:rsid w:val="0E4C0843"/>
    <w:rsid w:val="0E4C4694"/>
    <w:rsid w:val="0E4D03BF"/>
    <w:rsid w:val="0E4D215A"/>
    <w:rsid w:val="0E4D3F08"/>
    <w:rsid w:val="0E4D593E"/>
    <w:rsid w:val="0E4D5CB6"/>
    <w:rsid w:val="0E4E1682"/>
    <w:rsid w:val="0E4E3E51"/>
    <w:rsid w:val="0E4E5CCE"/>
    <w:rsid w:val="0E4E5FF9"/>
    <w:rsid w:val="0E4F0795"/>
    <w:rsid w:val="0E4F10AF"/>
    <w:rsid w:val="0E4F1A2E"/>
    <w:rsid w:val="0E4F39DA"/>
    <w:rsid w:val="0E4F5F6D"/>
    <w:rsid w:val="0E501653"/>
    <w:rsid w:val="0E504EBD"/>
    <w:rsid w:val="0E5055E0"/>
    <w:rsid w:val="0E50611C"/>
    <w:rsid w:val="0E511C4A"/>
    <w:rsid w:val="0E513AD0"/>
    <w:rsid w:val="0E515D90"/>
    <w:rsid w:val="0E5173EA"/>
    <w:rsid w:val="0E524B1B"/>
    <w:rsid w:val="0E5256ED"/>
    <w:rsid w:val="0E525ADF"/>
    <w:rsid w:val="0E526DF8"/>
    <w:rsid w:val="0E527D5E"/>
    <w:rsid w:val="0E5306B0"/>
    <w:rsid w:val="0E532778"/>
    <w:rsid w:val="0E532E2D"/>
    <w:rsid w:val="0E5400D2"/>
    <w:rsid w:val="0E541B40"/>
    <w:rsid w:val="0E544833"/>
    <w:rsid w:val="0E546048"/>
    <w:rsid w:val="0E54673E"/>
    <w:rsid w:val="0E546E3C"/>
    <w:rsid w:val="0E547045"/>
    <w:rsid w:val="0E5512F4"/>
    <w:rsid w:val="0E5523E3"/>
    <w:rsid w:val="0E552DBD"/>
    <w:rsid w:val="0E55653F"/>
    <w:rsid w:val="0E5600DA"/>
    <w:rsid w:val="0E56100F"/>
    <w:rsid w:val="0E565278"/>
    <w:rsid w:val="0E5659F3"/>
    <w:rsid w:val="0E570616"/>
    <w:rsid w:val="0E570C72"/>
    <w:rsid w:val="0E574D87"/>
    <w:rsid w:val="0E57651A"/>
    <w:rsid w:val="0E581951"/>
    <w:rsid w:val="0E5829C9"/>
    <w:rsid w:val="0E590AFF"/>
    <w:rsid w:val="0E59394C"/>
    <w:rsid w:val="0E594522"/>
    <w:rsid w:val="0E5972B7"/>
    <w:rsid w:val="0E597A49"/>
    <w:rsid w:val="0E5A03D3"/>
    <w:rsid w:val="0E5A6EB2"/>
    <w:rsid w:val="0E5B4A87"/>
    <w:rsid w:val="0E5B5D25"/>
    <w:rsid w:val="0E5B6AF7"/>
    <w:rsid w:val="0E5C05EF"/>
    <w:rsid w:val="0E5C09B9"/>
    <w:rsid w:val="0E5C4E0F"/>
    <w:rsid w:val="0E5C5C88"/>
    <w:rsid w:val="0E5C689B"/>
    <w:rsid w:val="0E5D1762"/>
    <w:rsid w:val="0E5D39C0"/>
    <w:rsid w:val="0E5D5B2B"/>
    <w:rsid w:val="0E5E16BA"/>
    <w:rsid w:val="0E5E1C72"/>
    <w:rsid w:val="0E5E5978"/>
    <w:rsid w:val="0E5E5CED"/>
    <w:rsid w:val="0E5E74A1"/>
    <w:rsid w:val="0E5E7992"/>
    <w:rsid w:val="0E5F173B"/>
    <w:rsid w:val="0E5F5825"/>
    <w:rsid w:val="0E6012D4"/>
    <w:rsid w:val="0E601D08"/>
    <w:rsid w:val="0E602CB4"/>
    <w:rsid w:val="0E604D33"/>
    <w:rsid w:val="0E605151"/>
    <w:rsid w:val="0E605E42"/>
    <w:rsid w:val="0E605F21"/>
    <w:rsid w:val="0E606BEC"/>
    <w:rsid w:val="0E612F18"/>
    <w:rsid w:val="0E614D2E"/>
    <w:rsid w:val="0E615728"/>
    <w:rsid w:val="0E6204EE"/>
    <w:rsid w:val="0E6255D4"/>
    <w:rsid w:val="0E625C06"/>
    <w:rsid w:val="0E6266E3"/>
    <w:rsid w:val="0E62685C"/>
    <w:rsid w:val="0E6308A5"/>
    <w:rsid w:val="0E63197E"/>
    <w:rsid w:val="0E63372C"/>
    <w:rsid w:val="0E6361CE"/>
    <w:rsid w:val="0E636A64"/>
    <w:rsid w:val="0E643BC1"/>
    <w:rsid w:val="0E651252"/>
    <w:rsid w:val="0E653000"/>
    <w:rsid w:val="0E6574A4"/>
    <w:rsid w:val="0E6616D4"/>
    <w:rsid w:val="0E661DDD"/>
    <w:rsid w:val="0E664FCA"/>
    <w:rsid w:val="0E666460"/>
    <w:rsid w:val="0E670F0C"/>
    <w:rsid w:val="0E6717E0"/>
    <w:rsid w:val="0E672091"/>
    <w:rsid w:val="0E67321C"/>
    <w:rsid w:val="0E68093C"/>
    <w:rsid w:val="0E681E2B"/>
    <w:rsid w:val="0E681F70"/>
    <w:rsid w:val="0E684E03"/>
    <w:rsid w:val="0E686F94"/>
    <w:rsid w:val="0E6926C5"/>
    <w:rsid w:val="0E692A2F"/>
    <w:rsid w:val="0E69561A"/>
    <w:rsid w:val="0E6A0569"/>
    <w:rsid w:val="0E6A08FD"/>
    <w:rsid w:val="0E6A2E26"/>
    <w:rsid w:val="0E6A324E"/>
    <w:rsid w:val="0E6A4ABA"/>
    <w:rsid w:val="0E6B0652"/>
    <w:rsid w:val="0E6B162C"/>
    <w:rsid w:val="0E6B3380"/>
    <w:rsid w:val="0E6B438E"/>
    <w:rsid w:val="0E6C0832"/>
    <w:rsid w:val="0E6C172A"/>
    <w:rsid w:val="0E6C3C3E"/>
    <w:rsid w:val="0E6D0107"/>
    <w:rsid w:val="0E6D2A5B"/>
    <w:rsid w:val="0E6D37F5"/>
    <w:rsid w:val="0E6D45AA"/>
    <w:rsid w:val="0E6D7BA7"/>
    <w:rsid w:val="0E6E0088"/>
    <w:rsid w:val="0E6E1413"/>
    <w:rsid w:val="0E6E2A4F"/>
    <w:rsid w:val="0E6E638A"/>
    <w:rsid w:val="0E6F0323"/>
    <w:rsid w:val="0E6F20D1"/>
    <w:rsid w:val="0E6F31BD"/>
    <w:rsid w:val="0E6F3E7F"/>
    <w:rsid w:val="0E6F401F"/>
    <w:rsid w:val="0E6F6443"/>
    <w:rsid w:val="0E6F6748"/>
    <w:rsid w:val="0E7027A9"/>
    <w:rsid w:val="0E703D94"/>
    <w:rsid w:val="0E7074C5"/>
    <w:rsid w:val="0E707BD8"/>
    <w:rsid w:val="0E707BF7"/>
    <w:rsid w:val="0E7112CD"/>
    <w:rsid w:val="0E71409B"/>
    <w:rsid w:val="0E71575C"/>
    <w:rsid w:val="0E715E49"/>
    <w:rsid w:val="0E720A79"/>
    <w:rsid w:val="0E720B79"/>
    <w:rsid w:val="0E72396F"/>
    <w:rsid w:val="0E723BFE"/>
    <w:rsid w:val="0E724C25"/>
    <w:rsid w:val="0E725306"/>
    <w:rsid w:val="0E734F2B"/>
    <w:rsid w:val="0E7369C6"/>
    <w:rsid w:val="0E736D32"/>
    <w:rsid w:val="0E737252"/>
    <w:rsid w:val="0E74112A"/>
    <w:rsid w:val="0E744292"/>
    <w:rsid w:val="0E745939"/>
    <w:rsid w:val="0E7476E7"/>
    <w:rsid w:val="0E7479E9"/>
    <w:rsid w:val="0E747BAF"/>
    <w:rsid w:val="0E754F06"/>
    <w:rsid w:val="0E7572E4"/>
    <w:rsid w:val="0E761881"/>
    <w:rsid w:val="0E762416"/>
    <w:rsid w:val="0E764953"/>
    <w:rsid w:val="0E764E16"/>
    <w:rsid w:val="0E764F0C"/>
    <w:rsid w:val="0E76520D"/>
    <w:rsid w:val="0E767C97"/>
    <w:rsid w:val="0E772D28"/>
    <w:rsid w:val="0E772D33"/>
    <w:rsid w:val="0E773439"/>
    <w:rsid w:val="0E7739A7"/>
    <w:rsid w:val="0E774C18"/>
    <w:rsid w:val="0E774E01"/>
    <w:rsid w:val="0E7769DA"/>
    <w:rsid w:val="0E7771D7"/>
    <w:rsid w:val="0E787155"/>
    <w:rsid w:val="0E791AE2"/>
    <w:rsid w:val="0E791C3B"/>
    <w:rsid w:val="0E792F4F"/>
    <w:rsid w:val="0E7934A3"/>
    <w:rsid w:val="0E794CFD"/>
    <w:rsid w:val="0E79794F"/>
    <w:rsid w:val="0E7A210E"/>
    <w:rsid w:val="0E7B09F8"/>
    <w:rsid w:val="0E7B0A62"/>
    <w:rsid w:val="0E7B136D"/>
    <w:rsid w:val="0E7B4CEB"/>
    <w:rsid w:val="0E7B5C54"/>
    <w:rsid w:val="0E7B6CC7"/>
    <w:rsid w:val="0E7C47EE"/>
    <w:rsid w:val="0E7C617B"/>
    <w:rsid w:val="0E7E048E"/>
    <w:rsid w:val="0E7E0566"/>
    <w:rsid w:val="0E7E0D95"/>
    <w:rsid w:val="0E7E1EC3"/>
    <w:rsid w:val="0E7E40C2"/>
    <w:rsid w:val="0E7E4D05"/>
    <w:rsid w:val="0E7E4DAD"/>
    <w:rsid w:val="0E7F2B76"/>
    <w:rsid w:val="0E7F4D81"/>
    <w:rsid w:val="0E7F67A6"/>
    <w:rsid w:val="0E802C81"/>
    <w:rsid w:val="0E8042DE"/>
    <w:rsid w:val="0E80608C"/>
    <w:rsid w:val="0E807E3A"/>
    <w:rsid w:val="0E811E04"/>
    <w:rsid w:val="0E811E20"/>
    <w:rsid w:val="0E812373"/>
    <w:rsid w:val="0E813BB2"/>
    <w:rsid w:val="0E820CEC"/>
    <w:rsid w:val="0E82160A"/>
    <w:rsid w:val="0E821C25"/>
    <w:rsid w:val="0E83347D"/>
    <w:rsid w:val="0E833C2C"/>
    <w:rsid w:val="0E833DCE"/>
    <w:rsid w:val="0E834381"/>
    <w:rsid w:val="0E835B7C"/>
    <w:rsid w:val="0E836540"/>
    <w:rsid w:val="0E836DAF"/>
    <w:rsid w:val="0E8433E9"/>
    <w:rsid w:val="0E8474DE"/>
    <w:rsid w:val="0E84754D"/>
    <w:rsid w:val="0E85096E"/>
    <w:rsid w:val="0E8520AF"/>
    <w:rsid w:val="0E8536A2"/>
    <w:rsid w:val="0E8551E0"/>
    <w:rsid w:val="0E855450"/>
    <w:rsid w:val="0E8565B8"/>
    <w:rsid w:val="0E8577A9"/>
    <w:rsid w:val="0E86030D"/>
    <w:rsid w:val="0E8611C8"/>
    <w:rsid w:val="0E862E10"/>
    <w:rsid w:val="0E8649CF"/>
    <w:rsid w:val="0E872A39"/>
    <w:rsid w:val="0E880A30"/>
    <w:rsid w:val="0E8813E4"/>
    <w:rsid w:val="0E881F37"/>
    <w:rsid w:val="0E8838FA"/>
    <w:rsid w:val="0E887EAB"/>
    <w:rsid w:val="0E89077F"/>
    <w:rsid w:val="0E891FBD"/>
    <w:rsid w:val="0E8A09C9"/>
    <w:rsid w:val="0E8A3C0B"/>
    <w:rsid w:val="0E8A5F0D"/>
    <w:rsid w:val="0E8A6F0A"/>
    <w:rsid w:val="0E8B2011"/>
    <w:rsid w:val="0E8B3370"/>
    <w:rsid w:val="0E8B3F6F"/>
    <w:rsid w:val="0E8B4A7B"/>
    <w:rsid w:val="0E8B5118"/>
    <w:rsid w:val="0E8B67DF"/>
    <w:rsid w:val="0E8B75BE"/>
    <w:rsid w:val="0E8C2C83"/>
    <w:rsid w:val="0E8C3402"/>
    <w:rsid w:val="0E8C5C70"/>
    <w:rsid w:val="0E8D07A9"/>
    <w:rsid w:val="0E8D2557"/>
    <w:rsid w:val="0E8D553F"/>
    <w:rsid w:val="0E8D69FB"/>
    <w:rsid w:val="0E8D7100"/>
    <w:rsid w:val="0E8E2A5E"/>
    <w:rsid w:val="0E8E57A7"/>
    <w:rsid w:val="0E8E5845"/>
    <w:rsid w:val="0E8E5BB1"/>
    <w:rsid w:val="0E8E5D66"/>
    <w:rsid w:val="0E8F1D2A"/>
    <w:rsid w:val="0E8F3D11"/>
    <w:rsid w:val="0E8F45F1"/>
    <w:rsid w:val="0E8F4E04"/>
    <w:rsid w:val="0E8F62CF"/>
    <w:rsid w:val="0E8F7358"/>
    <w:rsid w:val="0E901256"/>
    <w:rsid w:val="0E902083"/>
    <w:rsid w:val="0E903D4A"/>
    <w:rsid w:val="0E910299"/>
    <w:rsid w:val="0E910652"/>
    <w:rsid w:val="0E917EC0"/>
    <w:rsid w:val="0E922F72"/>
    <w:rsid w:val="0E924011"/>
    <w:rsid w:val="0E9246B3"/>
    <w:rsid w:val="0E932F66"/>
    <w:rsid w:val="0E937442"/>
    <w:rsid w:val="0E9454E4"/>
    <w:rsid w:val="0E946DC8"/>
    <w:rsid w:val="0E946FD3"/>
    <w:rsid w:val="0E9479D2"/>
    <w:rsid w:val="0E950C74"/>
    <w:rsid w:val="0E953034"/>
    <w:rsid w:val="0E961066"/>
    <w:rsid w:val="0E961146"/>
    <w:rsid w:val="0E9644C4"/>
    <w:rsid w:val="0E9658AF"/>
    <w:rsid w:val="0E973048"/>
    <w:rsid w:val="0E974017"/>
    <w:rsid w:val="0E976A59"/>
    <w:rsid w:val="0E981627"/>
    <w:rsid w:val="0E984CFA"/>
    <w:rsid w:val="0E9919B5"/>
    <w:rsid w:val="0E992EBC"/>
    <w:rsid w:val="0E993388"/>
    <w:rsid w:val="0E99374B"/>
    <w:rsid w:val="0E99714E"/>
    <w:rsid w:val="0E9A268D"/>
    <w:rsid w:val="0E9A5C57"/>
    <w:rsid w:val="0E9A6977"/>
    <w:rsid w:val="0E9B1118"/>
    <w:rsid w:val="0E9B1479"/>
    <w:rsid w:val="0E9B695B"/>
    <w:rsid w:val="0E9B6D87"/>
    <w:rsid w:val="0E9B6FB1"/>
    <w:rsid w:val="0E9C0336"/>
    <w:rsid w:val="0E9C279A"/>
    <w:rsid w:val="0E9D45F0"/>
    <w:rsid w:val="0E9D4E90"/>
    <w:rsid w:val="0E9D4FDF"/>
    <w:rsid w:val="0E9D6C3E"/>
    <w:rsid w:val="0E9E29B6"/>
    <w:rsid w:val="0E9E6F19"/>
    <w:rsid w:val="0E9F3E75"/>
    <w:rsid w:val="0EA06208"/>
    <w:rsid w:val="0EA10147"/>
    <w:rsid w:val="0EA10664"/>
    <w:rsid w:val="0EA11355"/>
    <w:rsid w:val="0EA14D19"/>
    <w:rsid w:val="0EA16002"/>
    <w:rsid w:val="0EA16522"/>
    <w:rsid w:val="0EA20EF2"/>
    <w:rsid w:val="0EA21343"/>
    <w:rsid w:val="0EA24254"/>
    <w:rsid w:val="0EA268B8"/>
    <w:rsid w:val="0EA31D7A"/>
    <w:rsid w:val="0EA33759"/>
    <w:rsid w:val="0EA343BA"/>
    <w:rsid w:val="0EA35638"/>
    <w:rsid w:val="0EA36799"/>
    <w:rsid w:val="0EA37FCC"/>
    <w:rsid w:val="0EA37FF3"/>
    <w:rsid w:val="0EA4259C"/>
    <w:rsid w:val="0EA521ED"/>
    <w:rsid w:val="0EA55AF2"/>
    <w:rsid w:val="0EA57394"/>
    <w:rsid w:val="0EA612A1"/>
    <w:rsid w:val="0EA63086"/>
    <w:rsid w:val="0EA6382E"/>
    <w:rsid w:val="0EA65A05"/>
    <w:rsid w:val="0EA7186A"/>
    <w:rsid w:val="0EA72017"/>
    <w:rsid w:val="0EA74904"/>
    <w:rsid w:val="0EA7658B"/>
    <w:rsid w:val="0EA77ABC"/>
    <w:rsid w:val="0EA811F7"/>
    <w:rsid w:val="0EA83D08"/>
    <w:rsid w:val="0EA851C6"/>
    <w:rsid w:val="0EA86499"/>
    <w:rsid w:val="0EA87391"/>
    <w:rsid w:val="0EA92F6D"/>
    <w:rsid w:val="0EA93835"/>
    <w:rsid w:val="0EA96B0B"/>
    <w:rsid w:val="0EAA135B"/>
    <w:rsid w:val="0EAA293A"/>
    <w:rsid w:val="0EAA3021"/>
    <w:rsid w:val="0EAB1F74"/>
    <w:rsid w:val="0EAB5234"/>
    <w:rsid w:val="0EAB7C3B"/>
    <w:rsid w:val="0EAC0C2F"/>
    <w:rsid w:val="0EAC2F0C"/>
    <w:rsid w:val="0EAC344A"/>
    <w:rsid w:val="0EAC6E81"/>
    <w:rsid w:val="0EAC701D"/>
    <w:rsid w:val="0EAC797A"/>
    <w:rsid w:val="0EAD0E5C"/>
    <w:rsid w:val="0EAD259B"/>
    <w:rsid w:val="0EAD2BF9"/>
    <w:rsid w:val="0EAE16AE"/>
    <w:rsid w:val="0EAE1A6D"/>
    <w:rsid w:val="0EAE1E0B"/>
    <w:rsid w:val="0EAE274B"/>
    <w:rsid w:val="0EAE45E2"/>
    <w:rsid w:val="0EAE589E"/>
    <w:rsid w:val="0EAE7478"/>
    <w:rsid w:val="0EB00B39"/>
    <w:rsid w:val="0EB00EEB"/>
    <w:rsid w:val="0EB11055"/>
    <w:rsid w:val="0EB110CC"/>
    <w:rsid w:val="0EB126E9"/>
    <w:rsid w:val="0EB16245"/>
    <w:rsid w:val="0EB164FB"/>
    <w:rsid w:val="0EB1683F"/>
    <w:rsid w:val="0EB16A3E"/>
    <w:rsid w:val="0EB170DF"/>
    <w:rsid w:val="0EB2020F"/>
    <w:rsid w:val="0EB2113C"/>
    <w:rsid w:val="0EB2149B"/>
    <w:rsid w:val="0EB27CE0"/>
    <w:rsid w:val="0EB33375"/>
    <w:rsid w:val="0EB36461"/>
    <w:rsid w:val="0EB43F87"/>
    <w:rsid w:val="0EB4728D"/>
    <w:rsid w:val="0EB47FC6"/>
    <w:rsid w:val="0EB560B1"/>
    <w:rsid w:val="0EB57635"/>
    <w:rsid w:val="0EB601F8"/>
    <w:rsid w:val="0EB61AAE"/>
    <w:rsid w:val="0EB65F51"/>
    <w:rsid w:val="0EB67D00"/>
    <w:rsid w:val="0EB70D1D"/>
    <w:rsid w:val="0EB74F3E"/>
    <w:rsid w:val="0EB75826"/>
    <w:rsid w:val="0EB75BBD"/>
    <w:rsid w:val="0EB762DA"/>
    <w:rsid w:val="0EB76588"/>
    <w:rsid w:val="0EB8147A"/>
    <w:rsid w:val="0EB83A78"/>
    <w:rsid w:val="0EB84C8D"/>
    <w:rsid w:val="0EB94FDD"/>
    <w:rsid w:val="0EBB2DAD"/>
    <w:rsid w:val="0EBB3483"/>
    <w:rsid w:val="0EBB45B0"/>
    <w:rsid w:val="0EBB5316"/>
    <w:rsid w:val="0EBC4BEA"/>
    <w:rsid w:val="0EBC6F03"/>
    <w:rsid w:val="0EBD108E"/>
    <w:rsid w:val="0EBD167C"/>
    <w:rsid w:val="0EBD38A1"/>
    <w:rsid w:val="0EBE0AFF"/>
    <w:rsid w:val="0EBE3A47"/>
    <w:rsid w:val="0EBE6BB4"/>
    <w:rsid w:val="0EC00B7E"/>
    <w:rsid w:val="0EC00C1D"/>
    <w:rsid w:val="0EC03E67"/>
    <w:rsid w:val="0EC046A5"/>
    <w:rsid w:val="0EC048B6"/>
    <w:rsid w:val="0EC04B60"/>
    <w:rsid w:val="0EC04B9D"/>
    <w:rsid w:val="0EC062DC"/>
    <w:rsid w:val="0EC06372"/>
    <w:rsid w:val="0EC10BC1"/>
    <w:rsid w:val="0EC16A26"/>
    <w:rsid w:val="0EC20389"/>
    <w:rsid w:val="0EC20452"/>
    <w:rsid w:val="0EC2147F"/>
    <w:rsid w:val="0EC22DD1"/>
    <w:rsid w:val="0EC22F25"/>
    <w:rsid w:val="0EC248F6"/>
    <w:rsid w:val="0EC24BE4"/>
    <w:rsid w:val="0EC24ED3"/>
    <w:rsid w:val="0EC30911"/>
    <w:rsid w:val="0EC3241C"/>
    <w:rsid w:val="0EC341CA"/>
    <w:rsid w:val="0EC35F79"/>
    <w:rsid w:val="0EC4193D"/>
    <w:rsid w:val="0EC42FD2"/>
    <w:rsid w:val="0EC44E60"/>
    <w:rsid w:val="0EC46C76"/>
    <w:rsid w:val="0EC50F08"/>
    <w:rsid w:val="0EC51CF1"/>
    <w:rsid w:val="0EC55DD7"/>
    <w:rsid w:val="0EC55E01"/>
    <w:rsid w:val="0EC57F43"/>
    <w:rsid w:val="0EC609D2"/>
    <w:rsid w:val="0EC63985"/>
    <w:rsid w:val="0EC63FA2"/>
    <w:rsid w:val="0EC67291"/>
    <w:rsid w:val="0EC71E62"/>
    <w:rsid w:val="0EC71F0D"/>
    <w:rsid w:val="0EC7484A"/>
    <w:rsid w:val="0EC765E0"/>
    <w:rsid w:val="0EC7776E"/>
    <w:rsid w:val="0EC77770"/>
    <w:rsid w:val="0EC817E1"/>
    <w:rsid w:val="0EC85591"/>
    <w:rsid w:val="0EC8632D"/>
    <w:rsid w:val="0EC86700"/>
    <w:rsid w:val="0EC87A33"/>
    <w:rsid w:val="0EC90278"/>
    <w:rsid w:val="0EC910D0"/>
    <w:rsid w:val="0EC95C85"/>
    <w:rsid w:val="0ECA038C"/>
    <w:rsid w:val="0ECA37AB"/>
    <w:rsid w:val="0ECA3E22"/>
    <w:rsid w:val="0ECA3F19"/>
    <w:rsid w:val="0ECA4563"/>
    <w:rsid w:val="0ECA5559"/>
    <w:rsid w:val="0ECA7307"/>
    <w:rsid w:val="0ECB0184"/>
    <w:rsid w:val="0ECB06EB"/>
    <w:rsid w:val="0ECB0C37"/>
    <w:rsid w:val="0ECB1C73"/>
    <w:rsid w:val="0ECB4492"/>
    <w:rsid w:val="0ECB4844"/>
    <w:rsid w:val="0ECB58F4"/>
    <w:rsid w:val="0ECC0896"/>
    <w:rsid w:val="0ECC307F"/>
    <w:rsid w:val="0ECC7523"/>
    <w:rsid w:val="0ECD1421"/>
    <w:rsid w:val="0ECD1453"/>
    <w:rsid w:val="0ECD485C"/>
    <w:rsid w:val="0ECD7164"/>
    <w:rsid w:val="0ECE329B"/>
    <w:rsid w:val="0ECE3BFF"/>
    <w:rsid w:val="0ECE5049"/>
    <w:rsid w:val="0ECE58D7"/>
    <w:rsid w:val="0ECE759F"/>
    <w:rsid w:val="0ECF018D"/>
    <w:rsid w:val="0ECF01D0"/>
    <w:rsid w:val="0ECF1307"/>
    <w:rsid w:val="0ECF2B6F"/>
    <w:rsid w:val="0ECF7C42"/>
    <w:rsid w:val="0ED00D7B"/>
    <w:rsid w:val="0ED03692"/>
    <w:rsid w:val="0ED04BD4"/>
    <w:rsid w:val="0ED07BEA"/>
    <w:rsid w:val="0ED12016"/>
    <w:rsid w:val="0ED12266"/>
    <w:rsid w:val="0ED143A4"/>
    <w:rsid w:val="0ED14863"/>
    <w:rsid w:val="0ED167D2"/>
    <w:rsid w:val="0ED168E7"/>
    <w:rsid w:val="0ED21F60"/>
    <w:rsid w:val="0ED2440E"/>
    <w:rsid w:val="0ED308B1"/>
    <w:rsid w:val="0ED32D7A"/>
    <w:rsid w:val="0ED3323A"/>
    <w:rsid w:val="0ED35EC8"/>
    <w:rsid w:val="0ED412C2"/>
    <w:rsid w:val="0ED413DA"/>
    <w:rsid w:val="0ED4462A"/>
    <w:rsid w:val="0ED46221"/>
    <w:rsid w:val="0ED463D8"/>
    <w:rsid w:val="0ED501E9"/>
    <w:rsid w:val="0ED52C63"/>
    <w:rsid w:val="0ED53872"/>
    <w:rsid w:val="0ED56E4C"/>
    <w:rsid w:val="0ED60105"/>
    <w:rsid w:val="0ED607A1"/>
    <w:rsid w:val="0ED61417"/>
    <w:rsid w:val="0ED618E6"/>
    <w:rsid w:val="0ED66D86"/>
    <w:rsid w:val="0ED67F2E"/>
    <w:rsid w:val="0ED71379"/>
    <w:rsid w:val="0ED71A24"/>
    <w:rsid w:val="0ED71EDB"/>
    <w:rsid w:val="0ED73520"/>
    <w:rsid w:val="0ED73CF3"/>
    <w:rsid w:val="0ED767A3"/>
    <w:rsid w:val="0ED80223"/>
    <w:rsid w:val="0ED803A3"/>
    <w:rsid w:val="0ED8264A"/>
    <w:rsid w:val="0ED829AC"/>
    <w:rsid w:val="0ED84277"/>
    <w:rsid w:val="0ED87958"/>
    <w:rsid w:val="0ED8797F"/>
    <w:rsid w:val="0ED90E41"/>
    <w:rsid w:val="0ED91C40"/>
    <w:rsid w:val="0ED91E02"/>
    <w:rsid w:val="0ED91F8B"/>
    <w:rsid w:val="0ED96FBA"/>
    <w:rsid w:val="0EDA1152"/>
    <w:rsid w:val="0EDA1C1B"/>
    <w:rsid w:val="0EDA33DA"/>
    <w:rsid w:val="0EDB1F6F"/>
    <w:rsid w:val="0EDB5BC2"/>
    <w:rsid w:val="0EDB7766"/>
    <w:rsid w:val="0EDB79F9"/>
    <w:rsid w:val="0EDC2BF8"/>
    <w:rsid w:val="0EDC6263"/>
    <w:rsid w:val="0EDD37C7"/>
    <w:rsid w:val="0EDD4088"/>
    <w:rsid w:val="0EDD771C"/>
    <w:rsid w:val="0EDE2DB2"/>
    <w:rsid w:val="0EDE3A59"/>
    <w:rsid w:val="0EDE3D04"/>
    <w:rsid w:val="0EDE5622"/>
    <w:rsid w:val="0EDE5AE1"/>
    <w:rsid w:val="0EDF2545"/>
    <w:rsid w:val="0EDF7256"/>
    <w:rsid w:val="0EE019EC"/>
    <w:rsid w:val="0EE02436"/>
    <w:rsid w:val="0EE02FCE"/>
    <w:rsid w:val="0EE04D7C"/>
    <w:rsid w:val="0EE056A0"/>
    <w:rsid w:val="0EE06B2A"/>
    <w:rsid w:val="0EE06DAD"/>
    <w:rsid w:val="0EE205D3"/>
    <w:rsid w:val="0EE216BE"/>
    <w:rsid w:val="0EE23D5C"/>
    <w:rsid w:val="0EE24651"/>
    <w:rsid w:val="0EE259F5"/>
    <w:rsid w:val="0EE26D46"/>
    <w:rsid w:val="0EE303C9"/>
    <w:rsid w:val="0EE3138A"/>
    <w:rsid w:val="0EE35D5B"/>
    <w:rsid w:val="0EE40593"/>
    <w:rsid w:val="0EE477FA"/>
    <w:rsid w:val="0EE505E5"/>
    <w:rsid w:val="0EE52393"/>
    <w:rsid w:val="0EE53B7D"/>
    <w:rsid w:val="0EE54054"/>
    <w:rsid w:val="0EE54141"/>
    <w:rsid w:val="0EE54910"/>
    <w:rsid w:val="0EE5502F"/>
    <w:rsid w:val="0EE572BE"/>
    <w:rsid w:val="0EE57A02"/>
    <w:rsid w:val="0EE60D34"/>
    <w:rsid w:val="0EE61E25"/>
    <w:rsid w:val="0EE65F44"/>
    <w:rsid w:val="0EE671E1"/>
    <w:rsid w:val="0EE711AE"/>
    <w:rsid w:val="0EE7435D"/>
    <w:rsid w:val="0EE74668"/>
    <w:rsid w:val="0EE74DE8"/>
    <w:rsid w:val="0EE7576D"/>
    <w:rsid w:val="0EE7610B"/>
    <w:rsid w:val="0EE77EB9"/>
    <w:rsid w:val="0EE8110B"/>
    <w:rsid w:val="0EE859DF"/>
    <w:rsid w:val="0EE901BF"/>
    <w:rsid w:val="0EE91BDD"/>
    <w:rsid w:val="0EE951FC"/>
    <w:rsid w:val="0EE95F3F"/>
    <w:rsid w:val="0EE960D9"/>
    <w:rsid w:val="0EEA073A"/>
    <w:rsid w:val="0EEA1757"/>
    <w:rsid w:val="0EEA2F03"/>
    <w:rsid w:val="0EEA6210"/>
    <w:rsid w:val="0EEB2194"/>
    <w:rsid w:val="0EEB2D3D"/>
    <w:rsid w:val="0EEB6BB1"/>
    <w:rsid w:val="0EEC0FAC"/>
    <w:rsid w:val="0EEC1973"/>
    <w:rsid w:val="0EEC19BE"/>
    <w:rsid w:val="0EEC2240"/>
    <w:rsid w:val="0EEC26ED"/>
    <w:rsid w:val="0EEC2EE9"/>
    <w:rsid w:val="0EEC3721"/>
    <w:rsid w:val="0EEC4505"/>
    <w:rsid w:val="0EEC50DE"/>
    <w:rsid w:val="0EED500D"/>
    <w:rsid w:val="0EED6BF3"/>
    <w:rsid w:val="0EEE16AA"/>
    <w:rsid w:val="0EEE1925"/>
    <w:rsid w:val="0EEE3199"/>
    <w:rsid w:val="0EEE3459"/>
    <w:rsid w:val="0EEE56EB"/>
    <w:rsid w:val="0EEE6A07"/>
    <w:rsid w:val="0EEE7BDE"/>
    <w:rsid w:val="0EEF21F3"/>
    <w:rsid w:val="0EEF2A4E"/>
    <w:rsid w:val="0EEF3F76"/>
    <w:rsid w:val="0EEF4FBF"/>
    <w:rsid w:val="0EEF6D6E"/>
    <w:rsid w:val="0EEF7C07"/>
    <w:rsid w:val="0EF024FE"/>
    <w:rsid w:val="0EF10D38"/>
    <w:rsid w:val="0EF127DB"/>
    <w:rsid w:val="0EF12AE6"/>
    <w:rsid w:val="0EF154EF"/>
    <w:rsid w:val="0EF16F8A"/>
    <w:rsid w:val="0EF23E04"/>
    <w:rsid w:val="0EF24350"/>
    <w:rsid w:val="0EF303E9"/>
    <w:rsid w:val="0EF30B7E"/>
    <w:rsid w:val="0EF30E7F"/>
    <w:rsid w:val="0EF3105B"/>
    <w:rsid w:val="0EF32DB0"/>
    <w:rsid w:val="0EF3373B"/>
    <w:rsid w:val="0EF34AB0"/>
    <w:rsid w:val="0EF35889"/>
    <w:rsid w:val="0EF362AE"/>
    <w:rsid w:val="0EF3685E"/>
    <w:rsid w:val="0EF37FA4"/>
    <w:rsid w:val="0EF40FA1"/>
    <w:rsid w:val="0EF4563A"/>
    <w:rsid w:val="0EF45918"/>
    <w:rsid w:val="0EF45ABE"/>
    <w:rsid w:val="0EF47912"/>
    <w:rsid w:val="0EF54495"/>
    <w:rsid w:val="0EF56BB3"/>
    <w:rsid w:val="0EF57D71"/>
    <w:rsid w:val="0EF62849"/>
    <w:rsid w:val="0EF63DD3"/>
    <w:rsid w:val="0EF64C0B"/>
    <w:rsid w:val="0EF65A60"/>
    <w:rsid w:val="0EF6634E"/>
    <w:rsid w:val="0EF71D3B"/>
    <w:rsid w:val="0EF733FD"/>
    <w:rsid w:val="0EF77800"/>
    <w:rsid w:val="0EF80318"/>
    <w:rsid w:val="0EF83E74"/>
    <w:rsid w:val="0EF85A46"/>
    <w:rsid w:val="0EF86806"/>
    <w:rsid w:val="0EF94CF1"/>
    <w:rsid w:val="0EFA28D1"/>
    <w:rsid w:val="0EFA360E"/>
    <w:rsid w:val="0EFA4090"/>
    <w:rsid w:val="0EFA4105"/>
    <w:rsid w:val="0EFA6181"/>
    <w:rsid w:val="0EFA746E"/>
    <w:rsid w:val="0EFA7DD2"/>
    <w:rsid w:val="0EFB3964"/>
    <w:rsid w:val="0EFB482C"/>
    <w:rsid w:val="0EFB4E4A"/>
    <w:rsid w:val="0EFB5C37"/>
    <w:rsid w:val="0EFC3672"/>
    <w:rsid w:val="0EFD148A"/>
    <w:rsid w:val="0EFD1759"/>
    <w:rsid w:val="0EFD1E68"/>
    <w:rsid w:val="0EFD37CF"/>
    <w:rsid w:val="0EFD4000"/>
    <w:rsid w:val="0EFD451F"/>
    <w:rsid w:val="0EFD5142"/>
    <w:rsid w:val="0EFD592E"/>
    <w:rsid w:val="0EFD76DC"/>
    <w:rsid w:val="0EFE29D0"/>
    <w:rsid w:val="0EFE3455"/>
    <w:rsid w:val="0EFE5166"/>
    <w:rsid w:val="0EFF16A6"/>
    <w:rsid w:val="0EFF40C7"/>
    <w:rsid w:val="0EFF7D99"/>
    <w:rsid w:val="0F003CEA"/>
    <w:rsid w:val="0F005092"/>
    <w:rsid w:val="0F00541F"/>
    <w:rsid w:val="0F0071D6"/>
    <w:rsid w:val="0F0114E8"/>
    <w:rsid w:val="0F0121D6"/>
    <w:rsid w:val="0F012C58"/>
    <w:rsid w:val="0F01750C"/>
    <w:rsid w:val="0F021090"/>
    <w:rsid w:val="0F021AF3"/>
    <w:rsid w:val="0F02242C"/>
    <w:rsid w:val="0F022F45"/>
    <w:rsid w:val="0F023349"/>
    <w:rsid w:val="0F023E0A"/>
    <w:rsid w:val="0F024CF3"/>
    <w:rsid w:val="0F025171"/>
    <w:rsid w:val="0F026AA1"/>
    <w:rsid w:val="0F032819"/>
    <w:rsid w:val="0F037F40"/>
    <w:rsid w:val="0F040A6B"/>
    <w:rsid w:val="0F04319A"/>
    <w:rsid w:val="0F046751"/>
    <w:rsid w:val="0F046CBD"/>
    <w:rsid w:val="0F051AB0"/>
    <w:rsid w:val="0F052375"/>
    <w:rsid w:val="0F052AEB"/>
    <w:rsid w:val="0F055685"/>
    <w:rsid w:val="0F056591"/>
    <w:rsid w:val="0F062B58"/>
    <w:rsid w:val="0F062DBE"/>
    <w:rsid w:val="0F065E65"/>
    <w:rsid w:val="0F07055B"/>
    <w:rsid w:val="0F070785"/>
    <w:rsid w:val="0F072309"/>
    <w:rsid w:val="0F075BB4"/>
    <w:rsid w:val="0F075DB7"/>
    <w:rsid w:val="0F080B23"/>
    <w:rsid w:val="0F0942D3"/>
    <w:rsid w:val="0F0954AA"/>
    <w:rsid w:val="0F096081"/>
    <w:rsid w:val="0F097BBC"/>
    <w:rsid w:val="0F0A1DF9"/>
    <w:rsid w:val="0F0A2A9B"/>
    <w:rsid w:val="0F0A36DD"/>
    <w:rsid w:val="0F0A39C5"/>
    <w:rsid w:val="0F0A3F03"/>
    <w:rsid w:val="0F0A4535"/>
    <w:rsid w:val="0F0A613A"/>
    <w:rsid w:val="0F0A752C"/>
    <w:rsid w:val="0F0B1FBF"/>
    <w:rsid w:val="0F0B264A"/>
    <w:rsid w:val="0F0B51E3"/>
    <w:rsid w:val="0F0C257F"/>
    <w:rsid w:val="0F0C3167"/>
    <w:rsid w:val="0F0C3DC3"/>
    <w:rsid w:val="0F0C5B71"/>
    <w:rsid w:val="0F0D1A26"/>
    <w:rsid w:val="0F0D3AA2"/>
    <w:rsid w:val="0F0D5446"/>
    <w:rsid w:val="0F0E30A8"/>
    <w:rsid w:val="0F0E4C7B"/>
    <w:rsid w:val="0F0E5A87"/>
    <w:rsid w:val="0F0E7B3C"/>
    <w:rsid w:val="0F0F11BE"/>
    <w:rsid w:val="0F0F43CB"/>
    <w:rsid w:val="0F0F7410"/>
    <w:rsid w:val="0F1013BD"/>
    <w:rsid w:val="0F102FA9"/>
    <w:rsid w:val="0F1042D9"/>
    <w:rsid w:val="0F105DEC"/>
    <w:rsid w:val="0F1113DA"/>
    <w:rsid w:val="0F112C41"/>
    <w:rsid w:val="0F112F78"/>
    <w:rsid w:val="0F114F36"/>
    <w:rsid w:val="0F11660A"/>
    <w:rsid w:val="0F125C07"/>
    <w:rsid w:val="0F125EDA"/>
    <w:rsid w:val="0F130CAE"/>
    <w:rsid w:val="0F134C17"/>
    <w:rsid w:val="0F135152"/>
    <w:rsid w:val="0F13584E"/>
    <w:rsid w:val="0F135898"/>
    <w:rsid w:val="0F141EAA"/>
    <w:rsid w:val="0F143501"/>
    <w:rsid w:val="0F1467D4"/>
    <w:rsid w:val="0F147B93"/>
    <w:rsid w:val="0F147F90"/>
    <w:rsid w:val="0F152C78"/>
    <w:rsid w:val="0F15641A"/>
    <w:rsid w:val="0F16079E"/>
    <w:rsid w:val="0F161F24"/>
    <w:rsid w:val="0F16254C"/>
    <w:rsid w:val="0F1669F0"/>
    <w:rsid w:val="0F166DEA"/>
    <w:rsid w:val="0F1678E4"/>
    <w:rsid w:val="0F1710C2"/>
    <w:rsid w:val="0F173CF3"/>
    <w:rsid w:val="0F174FF4"/>
    <w:rsid w:val="0F1754F6"/>
    <w:rsid w:val="0F182768"/>
    <w:rsid w:val="0F184516"/>
    <w:rsid w:val="0F184B28"/>
    <w:rsid w:val="0F19203C"/>
    <w:rsid w:val="0F192B9A"/>
    <w:rsid w:val="0F1A4CD4"/>
    <w:rsid w:val="0F1A64E0"/>
    <w:rsid w:val="0F1B3135"/>
    <w:rsid w:val="0F1B4006"/>
    <w:rsid w:val="0F1B4E4C"/>
    <w:rsid w:val="0F1B5171"/>
    <w:rsid w:val="0F1B5DB5"/>
    <w:rsid w:val="0F1B797E"/>
    <w:rsid w:val="0F1B7B63"/>
    <w:rsid w:val="0F1C1B1A"/>
    <w:rsid w:val="0F1C2037"/>
    <w:rsid w:val="0F1C4E42"/>
    <w:rsid w:val="0F1C694C"/>
    <w:rsid w:val="0F1C7E2F"/>
    <w:rsid w:val="0F1D1B2D"/>
    <w:rsid w:val="0F1D38DB"/>
    <w:rsid w:val="0F1D40EC"/>
    <w:rsid w:val="0F1E0784"/>
    <w:rsid w:val="0F1E1128"/>
    <w:rsid w:val="0F1E29AB"/>
    <w:rsid w:val="0F1E60A6"/>
    <w:rsid w:val="0F1F084E"/>
    <w:rsid w:val="0F1F2493"/>
    <w:rsid w:val="0F1F3AF7"/>
    <w:rsid w:val="0F201183"/>
    <w:rsid w:val="0F201872"/>
    <w:rsid w:val="0F20246C"/>
    <w:rsid w:val="0F2033CB"/>
    <w:rsid w:val="0F2045DD"/>
    <w:rsid w:val="0F205179"/>
    <w:rsid w:val="0F205CFC"/>
    <w:rsid w:val="0F206B0A"/>
    <w:rsid w:val="0F206D2B"/>
    <w:rsid w:val="0F207668"/>
    <w:rsid w:val="0F2077B6"/>
    <w:rsid w:val="0F2114DE"/>
    <w:rsid w:val="0F211B5C"/>
    <w:rsid w:val="0F2138C1"/>
    <w:rsid w:val="0F213E53"/>
    <w:rsid w:val="0F217BFF"/>
    <w:rsid w:val="0F222EF3"/>
    <w:rsid w:val="0F225395"/>
    <w:rsid w:val="0F225E0A"/>
    <w:rsid w:val="0F225F94"/>
    <w:rsid w:val="0F2308BB"/>
    <w:rsid w:val="0F232593"/>
    <w:rsid w:val="0F2346E9"/>
    <w:rsid w:val="0F234C0B"/>
    <w:rsid w:val="0F2412A4"/>
    <w:rsid w:val="0F242255"/>
    <w:rsid w:val="0F242EBB"/>
    <w:rsid w:val="0F245BFD"/>
    <w:rsid w:val="0F2461A4"/>
    <w:rsid w:val="0F2509E1"/>
    <w:rsid w:val="0F25113D"/>
    <w:rsid w:val="0F25287E"/>
    <w:rsid w:val="0F253E84"/>
    <w:rsid w:val="0F256C33"/>
    <w:rsid w:val="0F26343A"/>
    <w:rsid w:val="0F265058"/>
    <w:rsid w:val="0F27271C"/>
    <w:rsid w:val="0F272B8D"/>
    <w:rsid w:val="0F274028"/>
    <w:rsid w:val="0F274759"/>
    <w:rsid w:val="0F275F78"/>
    <w:rsid w:val="0F276507"/>
    <w:rsid w:val="0F280365"/>
    <w:rsid w:val="0F2803A1"/>
    <w:rsid w:val="0F2811FF"/>
    <w:rsid w:val="0F281F66"/>
    <w:rsid w:val="0F283D96"/>
    <w:rsid w:val="0F28662E"/>
    <w:rsid w:val="0F287B65"/>
    <w:rsid w:val="0F287E9E"/>
    <w:rsid w:val="0F2904D1"/>
    <w:rsid w:val="0F290D95"/>
    <w:rsid w:val="0F2A390C"/>
    <w:rsid w:val="0F2A424A"/>
    <w:rsid w:val="0F2A4F9D"/>
    <w:rsid w:val="0F2A5804"/>
    <w:rsid w:val="0F2A5FF8"/>
    <w:rsid w:val="0F2A793A"/>
    <w:rsid w:val="0F2A7C7D"/>
    <w:rsid w:val="0F2B3CB8"/>
    <w:rsid w:val="0F2B4B2B"/>
    <w:rsid w:val="0F2B5F0F"/>
    <w:rsid w:val="0F2B66F0"/>
    <w:rsid w:val="0F2C1447"/>
    <w:rsid w:val="0F2C1B4C"/>
    <w:rsid w:val="0F2C1D70"/>
    <w:rsid w:val="0F2C48CC"/>
    <w:rsid w:val="0F2C643F"/>
    <w:rsid w:val="0F2C6FE0"/>
    <w:rsid w:val="0F2C75EB"/>
    <w:rsid w:val="0F2D61A0"/>
    <w:rsid w:val="0F2D6C21"/>
    <w:rsid w:val="0F2D7A02"/>
    <w:rsid w:val="0F2D7A92"/>
    <w:rsid w:val="0F2E0153"/>
    <w:rsid w:val="0F2E0B64"/>
    <w:rsid w:val="0F2E5071"/>
    <w:rsid w:val="0F2E6B6F"/>
    <w:rsid w:val="0F2E6E4B"/>
    <w:rsid w:val="0F2F360E"/>
    <w:rsid w:val="0F2F7F74"/>
    <w:rsid w:val="0F307AB2"/>
    <w:rsid w:val="0F3124DD"/>
    <w:rsid w:val="0F3129B7"/>
    <w:rsid w:val="0F31382A"/>
    <w:rsid w:val="0F314CFC"/>
    <w:rsid w:val="0F3155D8"/>
    <w:rsid w:val="0F317D46"/>
    <w:rsid w:val="0F317DAA"/>
    <w:rsid w:val="0F331350"/>
    <w:rsid w:val="0F334EAC"/>
    <w:rsid w:val="0F3375A2"/>
    <w:rsid w:val="0F340C24"/>
    <w:rsid w:val="0F3422A5"/>
    <w:rsid w:val="0F346E76"/>
    <w:rsid w:val="0F3477A2"/>
    <w:rsid w:val="0F350C32"/>
    <w:rsid w:val="0F35330D"/>
    <w:rsid w:val="0F3550C8"/>
    <w:rsid w:val="0F357AF0"/>
    <w:rsid w:val="0F360E40"/>
    <w:rsid w:val="0F362BEE"/>
    <w:rsid w:val="0F363803"/>
    <w:rsid w:val="0F3651B8"/>
    <w:rsid w:val="0F37045E"/>
    <w:rsid w:val="0F370829"/>
    <w:rsid w:val="0F3720AC"/>
    <w:rsid w:val="0F373616"/>
    <w:rsid w:val="0F382C00"/>
    <w:rsid w:val="0F383FEE"/>
    <w:rsid w:val="0F384BB8"/>
    <w:rsid w:val="0F3857FC"/>
    <w:rsid w:val="0F386123"/>
    <w:rsid w:val="0F386966"/>
    <w:rsid w:val="0F386E30"/>
    <w:rsid w:val="0F387EA7"/>
    <w:rsid w:val="0F390A43"/>
    <w:rsid w:val="0F390B23"/>
    <w:rsid w:val="0F393E30"/>
    <w:rsid w:val="0F39623B"/>
    <w:rsid w:val="0F3975B3"/>
    <w:rsid w:val="0F3A0931"/>
    <w:rsid w:val="0F3A1390"/>
    <w:rsid w:val="0F3A2512"/>
    <w:rsid w:val="0F3A3614"/>
    <w:rsid w:val="0F3A4F65"/>
    <w:rsid w:val="0F3A7637"/>
    <w:rsid w:val="0F3B0205"/>
    <w:rsid w:val="0F3B1FB3"/>
    <w:rsid w:val="0F3C0F40"/>
    <w:rsid w:val="0F3C139F"/>
    <w:rsid w:val="0F3C1B49"/>
    <w:rsid w:val="0F3C5F34"/>
    <w:rsid w:val="0F3C70D1"/>
    <w:rsid w:val="0F3C7675"/>
    <w:rsid w:val="0F3D1107"/>
    <w:rsid w:val="0F3D21CF"/>
    <w:rsid w:val="0F3D5D2B"/>
    <w:rsid w:val="0F3D6F76"/>
    <w:rsid w:val="0F3D75E0"/>
    <w:rsid w:val="0F3E035A"/>
    <w:rsid w:val="0F3E0E3B"/>
    <w:rsid w:val="0F3E0F67"/>
    <w:rsid w:val="0F3E1D9D"/>
    <w:rsid w:val="0F3E6269"/>
    <w:rsid w:val="0F3F502D"/>
    <w:rsid w:val="0F403A6D"/>
    <w:rsid w:val="0F403D6C"/>
    <w:rsid w:val="0F406EE4"/>
    <w:rsid w:val="0F4109DC"/>
    <w:rsid w:val="0F412737"/>
    <w:rsid w:val="0F412F41"/>
    <w:rsid w:val="0F422594"/>
    <w:rsid w:val="0F423341"/>
    <w:rsid w:val="0F426C83"/>
    <w:rsid w:val="0F4277B5"/>
    <w:rsid w:val="0F435E07"/>
    <w:rsid w:val="0F4369F5"/>
    <w:rsid w:val="0F436D7A"/>
    <w:rsid w:val="0F44033D"/>
    <w:rsid w:val="0F44355D"/>
    <w:rsid w:val="0F44418C"/>
    <w:rsid w:val="0F4446C6"/>
    <w:rsid w:val="0F44530B"/>
    <w:rsid w:val="0F4454CF"/>
    <w:rsid w:val="0F4470B9"/>
    <w:rsid w:val="0F4475F8"/>
    <w:rsid w:val="0F4502CC"/>
    <w:rsid w:val="0F451083"/>
    <w:rsid w:val="0F451DFB"/>
    <w:rsid w:val="0F453AB0"/>
    <w:rsid w:val="0F4624AB"/>
    <w:rsid w:val="0F467E20"/>
    <w:rsid w:val="0F474DFC"/>
    <w:rsid w:val="0F476BAA"/>
    <w:rsid w:val="0F4813B6"/>
    <w:rsid w:val="0F48597E"/>
    <w:rsid w:val="0F490B74"/>
    <w:rsid w:val="0F492D66"/>
    <w:rsid w:val="0F4957BB"/>
    <w:rsid w:val="0F4973AF"/>
    <w:rsid w:val="0F4A0448"/>
    <w:rsid w:val="0F4A0A41"/>
    <w:rsid w:val="0F4A2576"/>
    <w:rsid w:val="0F4A50BE"/>
    <w:rsid w:val="0F4A6A76"/>
    <w:rsid w:val="0F4B0FB7"/>
    <w:rsid w:val="0F4B3147"/>
    <w:rsid w:val="0F4C0664"/>
    <w:rsid w:val="0F4C1898"/>
    <w:rsid w:val="0F4C2982"/>
    <w:rsid w:val="0F4C5F6E"/>
    <w:rsid w:val="0F4D0365"/>
    <w:rsid w:val="0F4D1A8A"/>
    <w:rsid w:val="0F4D1F40"/>
    <w:rsid w:val="0F4D606D"/>
    <w:rsid w:val="0F4E2F1A"/>
    <w:rsid w:val="0F4E618A"/>
    <w:rsid w:val="0F4E7628"/>
    <w:rsid w:val="0F4E7F38"/>
    <w:rsid w:val="0F4F1733"/>
    <w:rsid w:val="0F4F1D2A"/>
    <w:rsid w:val="0F4F2D85"/>
    <w:rsid w:val="0F4F47DC"/>
    <w:rsid w:val="0F501F02"/>
    <w:rsid w:val="0F502CB9"/>
    <w:rsid w:val="0F503CB0"/>
    <w:rsid w:val="0F517A28"/>
    <w:rsid w:val="0F520B1B"/>
    <w:rsid w:val="0F52189B"/>
    <w:rsid w:val="0F522B0B"/>
    <w:rsid w:val="0F522D5F"/>
    <w:rsid w:val="0F5231C1"/>
    <w:rsid w:val="0F523B6B"/>
    <w:rsid w:val="0F5319CB"/>
    <w:rsid w:val="0F531ED6"/>
    <w:rsid w:val="0F545835"/>
    <w:rsid w:val="0F5475C8"/>
    <w:rsid w:val="0F550707"/>
    <w:rsid w:val="0F5512C6"/>
    <w:rsid w:val="0F5529A7"/>
    <w:rsid w:val="0F554D61"/>
    <w:rsid w:val="0F555044"/>
    <w:rsid w:val="0F557518"/>
    <w:rsid w:val="0F5610A7"/>
    <w:rsid w:val="0F56124C"/>
    <w:rsid w:val="0F561AE5"/>
    <w:rsid w:val="0F561BCB"/>
    <w:rsid w:val="0F563291"/>
    <w:rsid w:val="0F566DED"/>
    <w:rsid w:val="0F567CE8"/>
    <w:rsid w:val="0F57427D"/>
    <w:rsid w:val="0F575429"/>
    <w:rsid w:val="0F575616"/>
    <w:rsid w:val="0F5764BE"/>
    <w:rsid w:val="0F580DB7"/>
    <w:rsid w:val="0F586513"/>
    <w:rsid w:val="0F586B9D"/>
    <w:rsid w:val="0F587009"/>
    <w:rsid w:val="0F587DFD"/>
    <w:rsid w:val="0F59068B"/>
    <w:rsid w:val="0F591525"/>
    <w:rsid w:val="0F59200B"/>
    <w:rsid w:val="0F592A4C"/>
    <w:rsid w:val="0F5947C6"/>
    <w:rsid w:val="0F596F07"/>
    <w:rsid w:val="0F5A0B2E"/>
    <w:rsid w:val="0F5A111A"/>
    <w:rsid w:val="0F5A14BD"/>
    <w:rsid w:val="0F5A188D"/>
    <w:rsid w:val="0F5A4B11"/>
    <w:rsid w:val="0F5A678A"/>
    <w:rsid w:val="0F5A68DD"/>
    <w:rsid w:val="0F5C0D94"/>
    <w:rsid w:val="0F5C14BD"/>
    <w:rsid w:val="0F5C6EDD"/>
    <w:rsid w:val="0F5C705F"/>
    <w:rsid w:val="0F5D017B"/>
    <w:rsid w:val="0F5D2FF8"/>
    <w:rsid w:val="0F5D6145"/>
    <w:rsid w:val="0F5D63CD"/>
    <w:rsid w:val="0F5D663E"/>
    <w:rsid w:val="0F5D731A"/>
    <w:rsid w:val="0F5E7510"/>
    <w:rsid w:val="0F5E76A7"/>
    <w:rsid w:val="0F5F0397"/>
    <w:rsid w:val="0F5F2145"/>
    <w:rsid w:val="0F5F3E9F"/>
    <w:rsid w:val="0F5F3EF3"/>
    <w:rsid w:val="0F5F5CA1"/>
    <w:rsid w:val="0F601004"/>
    <w:rsid w:val="0F601942"/>
    <w:rsid w:val="0F601A19"/>
    <w:rsid w:val="0F60532F"/>
    <w:rsid w:val="0F6056D0"/>
    <w:rsid w:val="0F612E21"/>
    <w:rsid w:val="0F615137"/>
    <w:rsid w:val="0F6159BE"/>
    <w:rsid w:val="0F615AD5"/>
    <w:rsid w:val="0F615EBD"/>
    <w:rsid w:val="0F621A35"/>
    <w:rsid w:val="0F622037"/>
    <w:rsid w:val="0F625791"/>
    <w:rsid w:val="0F627332"/>
    <w:rsid w:val="0F630019"/>
    <w:rsid w:val="0F631764"/>
    <w:rsid w:val="0F631D8B"/>
    <w:rsid w:val="0F632677"/>
    <w:rsid w:val="0F636B38"/>
    <w:rsid w:val="0F640019"/>
    <w:rsid w:val="0F640983"/>
    <w:rsid w:val="0F64150A"/>
    <w:rsid w:val="0F6444A3"/>
    <w:rsid w:val="0F644D8F"/>
    <w:rsid w:val="0F6459AD"/>
    <w:rsid w:val="0F646274"/>
    <w:rsid w:val="0F646D77"/>
    <w:rsid w:val="0F6472B7"/>
    <w:rsid w:val="0F647452"/>
    <w:rsid w:val="0F652461"/>
    <w:rsid w:val="0F654CD8"/>
    <w:rsid w:val="0F655282"/>
    <w:rsid w:val="0F657D11"/>
    <w:rsid w:val="0F661726"/>
    <w:rsid w:val="0F661C2C"/>
    <w:rsid w:val="0F6634D4"/>
    <w:rsid w:val="0F67724C"/>
    <w:rsid w:val="0F680484"/>
    <w:rsid w:val="0F681E0B"/>
    <w:rsid w:val="0F685B20"/>
    <w:rsid w:val="0F69263D"/>
    <w:rsid w:val="0F692FC4"/>
    <w:rsid w:val="0F69361C"/>
    <w:rsid w:val="0F693D05"/>
    <w:rsid w:val="0F696E28"/>
    <w:rsid w:val="0F6A36E6"/>
    <w:rsid w:val="0F6A3E77"/>
    <w:rsid w:val="0F6A6820"/>
    <w:rsid w:val="0F6A725B"/>
    <w:rsid w:val="0F6B4328"/>
    <w:rsid w:val="0F6B6D3C"/>
    <w:rsid w:val="0F6C4862"/>
    <w:rsid w:val="0F6C6610"/>
    <w:rsid w:val="0F6C69CD"/>
    <w:rsid w:val="0F6D2FA7"/>
    <w:rsid w:val="0F6D69BB"/>
    <w:rsid w:val="0F6E00F9"/>
    <w:rsid w:val="0F6E05DA"/>
    <w:rsid w:val="0F6E2388"/>
    <w:rsid w:val="0F6F2D1B"/>
    <w:rsid w:val="0F6F351E"/>
    <w:rsid w:val="0F6F4980"/>
    <w:rsid w:val="0F701365"/>
    <w:rsid w:val="0F70245C"/>
    <w:rsid w:val="0F702856"/>
    <w:rsid w:val="0F7036E3"/>
    <w:rsid w:val="0F704352"/>
    <w:rsid w:val="0F7055CC"/>
    <w:rsid w:val="0F707FFD"/>
    <w:rsid w:val="0F71167A"/>
    <w:rsid w:val="0F7128DB"/>
    <w:rsid w:val="0F722D97"/>
    <w:rsid w:val="0F723392"/>
    <w:rsid w:val="0F725B88"/>
    <w:rsid w:val="0F727740"/>
    <w:rsid w:val="0F73174D"/>
    <w:rsid w:val="0F732B1A"/>
    <w:rsid w:val="0F735859"/>
    <w:rsid w:val="0F735BF1"/>
    <w:rsid w:val="0F73799F"/>
    <w:rsid w:val="0F75529B"/>
    <w:rsid w:val="0F7560C5"/>
    <w:rsid w:val="0F76123D"/>
    <w:rsid w:val="0F76553B"/>
    <w:rsid w:val="0F766649"/>
    <w:rsid w:val="0F766C2B"/>
    <w:rsid w:val="0F76748F"/>
    <w:rsid w:val="0F767555"/>
    <w:rsid w:val="0F77228B"/>
    <w:rsid w:val="0F772340"/>
    <w:rsid w:val="0F7811B7"/>
    <w:rsid w:val="0F781459"/>
    <w:rsid w:val="0F781B53"/>
    <w:rsid w:val="0F783207"/>
    <w:rsid w:val="0F783685"/>
    <w:rsid w:val="0F786D63"/>
    <w:rsid w:val="0F796797"/>
    <w:rsid w:val="0F7A0AA7"/>
    <w:rsid w:val="0F7A0D2D"/>
    <w:rsid w:val="0F7A0D5D"/>
    <w:rsid w:val="0F7A26EA"/>
    <w:rsid w:val="0F7A2A93"/>
    <w:rsid w:val="0F7A6F7F"/>
    <w:rsid w:val="0F7B0000"/>
    <w:rsid w:val="0F7B0B96"/>
    <w:rsid w:val="0F7B4AA5"/>
    <w:rsid w:val="0F7B5A77"/>
    <w:rsid w:val="0F7B797C"/>
    <w:rsid w:val="0F7C483F"/>
    <w:rsid w:val="0F7D081D"/>
    <w:rsid w:val="0F7D082B"/>
    <w:rsid w:val="0F7D25CB"/>
    <w:rsid w:val="0F7D5F98"/>
    <w:rsid w:val="0F7D6A6F"/>
    <w:rsid w:val="0F7E12D0"/>
    <w:rsid w:val="0F7E4E5C"/>
    <w:rsid w:val="0F7E5CE7"/>
    <w:rsid w:val="0F7E72D6"/>
    <w:rsid w:val="0F7F00F1"/>
    <w:rsid w:val="0F7F2D67"/>
    <w:rsid w:val="0F7F59A6"/>
    <w:rsid w:val="0F7F615F"/>
    <w:rsid w:val="0F7F6343"/>
    <w:rsid w:val="0F7F772D"/>
    <w:rsid w:val="0F8053B9"/>
    <w:rsid w:val="0F805FC8"/>
    <w:rsid w:val="0F806C70"/>
    <w:rsid w:val="0F81030D"/>
    <w:rsid w:val="0F812934"/>
    <w:rsid w:val="0F815B3A"/>
    <w:rsid w:val="0F821E94"/>
    <w:rsid w:val="0F8225CB"/>
    <w:rsid w:val="0F82315B"/>
    <w:rsid w:val="0F8241D0"/>
    <w:rsid w:val="0F825E34"/>
    <w:rsid w:val="0F827239"/>
    <w:rsid w:val="0F827BE2"/>
    <w:rsid w:val="0F830CE4"/>
    <w:rsid w:val="0F83329A"/>
    <w:rsid w:val="0F833453"/>
    <w:rsid w:val="0F83797C"/>
    <w:rsid w:val="0F8425B8"/>
    <w:rsid w:val="0F845091"/>
    <w:rsid w:val="0F851480"/>
    <w:rsid w:val="0F8518B6"/>
    <w:rsid w:val="0F860870"/>
    <w:rsid w:val="0F8619F6"/>
    <w:rsid w:val="0F8676D2"/>
    <w:rsid w:val="0F867FEA"/>
    <w:rsid w:val="0F870B98"/>
    <w:rsid w:val="0F87169C"/>
    <w:rsid w:val="0F87344A"/>
    <w:rsid w:val="0F873CFF"/>
    <w:rsid w:val="0F8751F8"/>
    <w:rsid w:val="0F88196A"/>
    <w:rsid w:val="0F88211B"/>
    <w:rsid w:val="0F8903ED"/>
    <w:rsid w:val="0F890DB0"/>
    <w:rsid w:val="0F890F70"/>
    <w:rsid w:val="0F8942B6"/>
    <w:rsid w:val="0F89503E"/>
    <w:rsid w:val="0F895414"/>
    <w:rsid w:val="0F8959CB"/>
    <w:rsid w:val="0F896F39"/>
    <w:rsid w:val="0F8971C2"/>
    <w:rsid w:val="0F897EAA"/>
    <w:rsid w:val="0F8A0B42"/>
    <w:rsid w:val="0F8A57D5"/>
    <w:rsid w:val="0F8A6A96"/>
    <w:rsid w:val="0F8B31CC"/>
    <w:rsid w:val="0F8B53A2"/>
    <w:rsid w:val="0F8B6933"/>
    <w:rsid w:val="0F8B7486"/>
    <w:rsid w:val="0F8C0A60"/>
    <w:rsid w:val="0F8C1A0C"/>
    <w:rsid w:val="0F8C2387"/>
    <w:rsid w:val="0F8C280E"/>
    <w:rsid w:val="0F8C4595"/>
    <w:rsid w:val="0F8C6CB2"/>
    <w:rsid w:val="0F8C7B55"/>
    <w:rsid w:val="0F8D6973"/>
    <w:rsid w:val="0F8D6F1D"/>
    <w:rsid w:val="0F8E1050"/>
    <w:rsid w:val="0F8E47D8"/>
    <w:rsid w:val="0F8E6586"/>
    <w:rsid w:val="0F8E776C"/>
    <w:rsid w:val="0F8F1420"/>
    <w:rsid w:val="0F8F6CE7"/>
    <w:rsid w:val="0F8F7E48"/>
    <w:rsid w:val="0F9000CF"/>
    <w:rsid w:val="0F900551"/>
    <w:rsid w:val="0F900667"/>
    <w:rsid w:val="0F902CCD"/>
    <w:rsid w:val="0F9067A2"/>
    <w:rsid w:val="0F916077"/>
    <w:rsid w:val="0F92182C"/>
    <w:rsid w:val="0F92250F"/>
    <w:rsid w:val="0F9242C9"/>
    <w:rsid w:val="0F926D2E"/>
    <w:rsid w:val="0F930078"/>
    <w:rsid w:val="0F931DEF"/>
    <w:rsid w:val="0F933423"/>
    <w:rsid w:val="0F933B9D"/>
    <w:rsid w:val="0F937F7C"/>
    <w:rsid w:val="0F942004"/>
    <w:rsid w:val="0F942881"/>
    <w:rsid w:val="0F94421F"/>
    <w:rsid w:val="0F94743F"/>
    <w:rsid w:val="0F9477AA"/>
    <w:rsid w:val="0F953DB9"/>
    <w:rsid w:val="0F9547E2"/>
    <w:rsid w:val="0F954986"/>
    <w:rsid w:val="0F955E06"/>
    <w:rsid w:val="0F956C44"/>
    <w:rsid w:val="0F957915"/>
    <w:rsid w:val="0F9601CE"/>
    <w:rsid w:val="0F960B00"/>
    <w:rsid w:val="0F9632AE"/>
    <w:rsid w:val="0F96493E"/>
    <w:rsid w:val="0F9670EC"/>
    <w:rsid w:val="0F9718DF"/>
    <w:rsid w:val="0F972BA0"/>
    <w:rsid w:val="0F9741F8"/>
    <w:rsid w:val="0F974BD7"/>
    <w:rsid w:val="0F975694"/>
    <w:rsid w:val="0F97724C"/>
    <w:rsid w:val="0F977B31"/>
    <w:rsid w:val="0F9809A0"/>
    <w:rsid w:val="0F9815BB"/>
    <w:rsid w:val="0F985657"/>
    <w:rsid w:val="0F9879F1"/>
    <w:rsid w:val="0F9A13CF"/>
    <w:rsid w:val="0F9A317D"/>
    <w:rsid w:val="0F9A3CEC"/>
    <w:rsid w:val="0F9A4472"/>
    <w:rsid w:val="0F9A4F2B"/>
    <w:rsid w:val="0F9A6950"/>
    <w:rsid w:val="0F9B3948"/>
    <w:rsid w:val="0F9B3A7B"/>
    <w:rsid w:val="0F9B7602"/>
    <w:rsid w:val="0F9C403D"/>
    <w:rsid w:val="0F9C5147"/>
    <w:rsid w:val="0F9C64E3"/>
    <w:rsid w:val="0F9C6EF5"/>
    <w:rsid w:val="0F9C759D"/>
    <w:rsid w:val="0F9D0EBF"/>
    <w:rsid w:val="0F9D19EB"/>
    <w:rsid w:val="0F9D2F35"/>
    <w:rsid w:val="0F9D30F0"/>
    <w:rsid w:val="0F9D3E41"/>
    <w:rsid w:val="0F9D4A1B"/>
    <w:rsid w:val="0F9E3E1C"/>
    <w:rsid w:val="0F9E6641"/>
    <w:rsid w:val="0F9F2097"/>
    <w:rsid w:val="0F9F2542"/>
    <w:rsid w:val="0F9F3B9F"/>
    <w:rsid w:val="0F9F69E6"/>
    <w:rsid w:val="0F9F7A92"/>
    <w:rsid w:val="0F9F7D60"/>
    <w:rsid w:val="0FA02AEE"/>
    <w:rsid w:val="0FA1112A"/>
    <w:rsid w:val="0FA1275E"/>
    <w:rsid w:val="0FA13C51"/>
    <w:rsid w:val="0FA201EA"/>
    <w:rsid w:val="0FA208D7"/>
    <w:rsid w:val="0FA21A66"/>
    <w:rsid w:val="0FA21F87"/>
    <w:rsid w:val="0FA22032"/>
    <w:rsid w:val="0FA23C5A"/>
    <w:rsid w:val="0FA24A47"/>
    <w:rsid w:val="0FA252FF"/>
    <w:rsid w:val="0FA26822"/>
    <w:rsid w:val="0FA27C1C"/>
    <w:rsid w:val="0FA32286"/>
    <w:rsid w:val="0FA34118"/>
    <w:rsid w:val="0FA36571"/>
    <w:rsid w:val="0FA36EA1"/>
    <w:rsid w:val="0FA40B53"/>
    <w:rsid w:val="0FA4224E"/>
    <w:rsid w:val="0FA43FFC"/>
    <w:rsid w:val="0FA4557E"/>
    <w:rsid w:val="0FA45DAA"/>
    <w:rsid w:val="0FA4722F"/>
    <w:rsid w:val="0FA47B58"/>
    <w:rsid w:val="0FA53A62"/>
    <w:rsid w:val="0FA54607"/>
    <w:rsid w:val="0FA551A3"/>
    <w:rsid w:val="0FA6028E"/>
    <w:rsid w:val="0FA61347"/>
    <w:rsid w:val="0FA6266C"/>
    <w:rsid w:val="0FA63406"/>
    <w:rsid w:val="0FA638D0"/>
    <w:rsid w:val="0FA63A4C"/>
    <w:rsid w:val="0FA653C0"/>
    <w:rsid w:val="0FA7589A"/>
    <w:rsid w:val="0FA77661"/>
    <w:rsid w:val="0FA86866"/>
    <w:rsid w:val="0FA91612"/>
    <w:rsid w:val="0FA924B8"/>
    <w:rsid w:val="0FA93E42"/>
    <w:rsid w:val="0FA97864"/>
    <w:rsid w:val="0FAA1223"/>
    <w:rsid w:val="0FAA14A1"/>
    <w:rsid w:val="0FAA27A0"/>
    <w:rsid w:val="0FAA38C7"/>
    <w:rsid w:val="0FAB1F20"/>
    <w:rsid w:val="0FAB538A"/>
    <w:rsid w:val="0FAB6094"/>
    <w:rsid w:val="0FAB7138"/>
    <w:rsid w:val="0FAC4A97"/>
    <w:rsid w:val="0FAC5988"/>
    <w:rsid w:val="0FAC610D"/>
    <w:rsid w:val="0FAD1102"/>
    <w:rsid w:val="0FAD21F4"/>
    <w:rsid w:val="0FAD453C"/>
    <w:rsid w:val="0FAD60F5"/>
    <w:rsid w:val="0FAE09D7"/>
    <w:rsid w:val="0FAE1470"/>
    <w:rsid w:val="0FAE176B"/>
    <w:rsid w:val="0FAE465A"/>
    <w:rsid w:val="0FAE4E7B"/>
    <w:rsid w:val="0FAE6C29"/>
    <w:rsid w:val="0FAF007F"/>
    <w:rsid w:val="0FB029A1"/>
    <w:rsid w:val="0FB0474F"/>
    <w:rsid w:val="0FB04F12"/>
    <w:rsid w:val="0FB0521A"/>
    <w:rsid w:val="0FB06031"/>
    <w:rsid w:val="0FB104C7"/>
    <w:rsid w:val="0FB10A42"/>
    <w:rsid w:val="0FB10B05"/>
    <w:rsid w:val="0FB12275"/>
    <w:rsid w:val="0FB13761"/>
    <w:rsid w:val="0FB211B2"/>
    <w:rsid w:val="0FB218EE"/>
    <w:rsid w:val="0FB26719"/>
    <w:rsid w:val="0FB277A7"/>
    <w:rsid w:val="0FB3217F"/>
    <w:rsid w:val="0FB328C5"/>
    <w:rsid w:val="0FB33925"/>
    <w:rsid w:val="0FB3423F"/>
    <w:rsid w:val="0FB35ACE"/>
    <w:rsid w:val="0FB35C19"/>
    <w:rsid w:val="0FB35FED"/>
    <w:rsid w:val="0FB474F6"/>
    <w:rsid w:val="0FB50AED"/>
    <w:rsid w:val="0FB51D65"/>
    <w:rsid w:val="0FB541AE"/>
    <w:rsid w:val="0FB6062D"/>
    <w:rsid w:val="0FB64660"/>
    <w:rsid w:val="0FB65211"/>
    <w:rsid w:val="0FB66128"/>
    <w:rsid w:val="0FB71F81"/>
    <w:rsid w:val="0FB7218F"/>
    <w:rsid w:val="0FB72516"/>
    <w:rsid w:val="0FB74B1C"/>
    <w:rsid w:val="0FB75ADD"/>
    <w:rsid w:val="0FB7668A"/>
    <w:rsid w:val="0FB81855"/>
    <w:rsid w:val="0FB83D7B"/>
    <w:rsid w:val="0FB92487"/>
    <w:rsid w:val="0FB96C2F"/>
    <w:rsid w:val="0FBA3368"/>
    <w:rsid w:val="0FBA55CD"/>
    <w:rsid w:val="0FBB0301"/>
    <w:rsid w:val="0FBB21B8"/>
    <w:rsid w:val="0FBB4029"/>
    <w:rsid w:val="0FBB73C9"/>
    <w:rsid w:val="0FBC0859"/>
    <w:rsid w:val="0FBC30F4"/>
    <w:rsid w:val="0FBD0C1A"/>
    <w:rsid w:val="0FBD68F3"/>
    <w:rsid w:val="0FBD6D36"/>
    <w:rsid w:val="0FBE1677"/>
    <w:rsid w:val="0FBE6707"/>
    <w:rsid w:val="0FBE6B80"/>
    <w:rsid w:val="0FBF0E36"/>
    <w:rsid w:val="0FBF2BE4"/>
    <w:rsid w:val="0FBF2E51"/>
    <w:rsid w:val="0FBF5120"/>
    <w:rsid w:val="0FBF5175"/>
    <w:rsid w:val="0FBF6DDB"/>
    <w:rsid w:val="0FC1070A"/>
    <w:rsid w:val="0FC11AFA"/>
    <w:rsid w:val="0FC14BAE"/>
    <w:rsid w:val="0FC14CA0"/>
    <w:rsid w:val="0FC14D11"/>
    <w:rsid w:val="0FC242D0"/>
    <w:rsid w:val="0FC24482"/>
    <w:rsid w:val="0FC24931"/>
    <w:rsid w:val="0FC27C76"/>
    <w:rsid w:val="0FC30926"/>
    <w:rsid w:val="0FC30E78"/>
    <w:rsid w:val="0FC3245E"/>
    <w:rsid w:val="0FC35B5B"/>
    <w:rsid w:val="0FC401FA"/>
    <w:rsid w:val="0FC408E7"/>
    <w:rsid w:val="0FC41D20"/>
    <w:rsid w:val="0FC4644C"/>
    <w:rsid w:val="0FC47D95"/>
    <w:rsid w:val="0FC50FDB"/>
    <w:rsid w:val="0FC51C3E"/>
    <w:rsid w:val="0FC53FAC"/>
    <w:rsid w:val="0FC621C4"/>
    <w:rsid w:val="0FC63064"/>
    <w:rsid w:val="0FC63F72"/>
    <w:rsid w:val="0FC665C8"/>
    <w:rsid w:val="0FC7585B"/>
    <w:rsid w:val="0FC7738B"/>
    <w:rsid w:val="0FC87238"/>
    <w:rsid w:val="0FC87CEA"/>
    <w:rsid w:val="0FC9203D"/>
    <w:rsid w:val="0FC930AF"/>
    <w:rsid w:val="0FC93A62"/>
    <w:rsid w:val="0FC9439A"/>
    <w:rsid w:val="0FC95811"/>
    <w:rsid w:val="0FC958A4"/>
    <w:rsid w:val="0FC9696F"/>
    <w:rsid w:val="0FC97DEA"/>
    <w:rsid w:val="0FCA1737"/>
    <w:rsid w:val="0FCA19C9"/>
    <w:rsid w:val="0FCA42ED"/>
    <w:rsid w:val="0FCA5F20"/>
    <w:rsid w:val="0FCB105F"/>
    <w:rsid w:val="0FCB3337"/>
    <w:rsid w:val="0FCB3D9B"/>
    <w:rsid w:val="0FCB5EAA"/>
    <w:rsid w:val="0FCC02C6"/>
    <w:rsid w:val="0FCC39F8"/>
    <w:rsid w:val="0FCC4605"/>
    <w:rsid w:val="0FCC68D5"/>
    <w:rsid w:val="0FCC70AF"/>
    <w:rsid w:val="0FCC7F3C"/>
    <w:rsid w:val="0FCD189E"/>
    <w:rsid w:val="0FCD24F1"/>
    <w:rsid w:val="0FCD3029"/>
    <w:rsid w:val="0FCD5030"/>
    <w:rsid w:val="0FCE2E27"/>
    <w:rsid w:val="0FCE559D"/>
    <w:rsid w:val="0FCE58CA"/>
    <w:rsid w:val="0FCE72CB"/>
    <w:rsid w:val="0FCF0D88"/>
    <w:rsid w:val="0FCF1AE5"/>
    <w:rsid w:val="0FCF6CCF"/>
    <w:rsid w:val="0FD0015F"/>
    <w:rsid w:val="0FD007B8"/>
    <w:rsid w:val="0FD0094D"/>
    <w:rsid w:val="0FD02601"/>
    <w:rsid w:val="0FD02C74"/>
    <w:rsid w:val="0FD03D11"/>
    <w:rsid w:val="0FD04DF1"/>
    <w:rsid w:val="0FD05D40"/>
    <w:rsid w:val="0FD10CA7"/>
    <w:rsid w:val="0FD13656"/>
    <w:rsid w:val="0FD179BC"/>
    <w:rsid w:val="0FD22917"/>
    <w:rsid w:val="0FD247BF"/>
    <w:rsid w:val="0FD25374"/>
    <w:rsid w:val="0FD262F5"/>
    <w:rsid w:val="0FD314D9"/>
    <w:rsid w:val="0FD31CC6"/>
    <w:rsid w:val="0FD32136"/>
    <w:rsid w:val="0FD348E1"/>
    <w:rsid w:val="0FD35209"/>
    <w:rsid w:val="0FD3668F"/>
    <w:rsid w:val="0FD36F16"/>
    <w:rsid w:val="0FD41AA2"/>
    <w:rsid w:val="0FD50659"/>
    <w:rsid w:val="0FD5293C"/>
    <w:rsid w:val="0FD52B41"/>
    <w:rsid w:val="0FD56B1E"/>
    <w:rsid w:val="0FD608D8"/>
    <w:rsid w:val="0FD61CDB"/>
    <w:rsid w:val="0FD727BA"/>
    <w:rsid w:val="0FD7617F"/>
    <w:rsid w:val="0FD763FA"/>
    <w:rsid w:val="0FD76A57"/>
    <w:rsid w:val="0FD76C8A"/>
    <w:rsid w:val="0FD77C2C"/>
    <w:rsid w:val="0FD77F2D"/>
    <w:rsid w:val="0FD83CA6"/>
    <w:rsid w:val="0FD86195"/>
    <w:rsid w:val="0FD961A1"/>
    <w:rsid w:val="0FDA0B26"/>
    <w:rsid w:val="0FDA0D1B"/>
    <w:rsid w:val="0FDA17CC"/>
    <w:rsid w:val="0FDA25E2"/>
    <w:rsid w:val="0FDA7A1E"/>
    <w:rsid w:val="0FDB1102"/>
    <w:rsid w:val="0FDB24AE"/>
    <w:rsid w:val="0FDB69B3"/>
    <w:rsid w:val="0FDB7FAB"/>
    <w:rsid w:val="0FDC071D"/>
    <w:rsid w:val="0FDC19E8"/>
    <w:rsid w:val="0FDC1E6A"/>
    <w:rsid w:val="0FDC3796"/>
    <w:rsid w:val="0FDD12BC"/>
    <w:rsid w:val="0FDD2557"/>
    <w:rsid w:val="0FDD28C2"/>
    <w:rsid w:val="0FDD2C2E"/>
    <w:rsid w:val="0FDD6B12"/>
    <w:rsid w:val="0FDE1A8B"/>
    <w:rsid w:val="0FDE750E"/>
    <w:rsid w:val="0FDF2558"/>
    <w:rsid w:val="0FDF3286"/>
    <w:rsid w:val="0FDF3BF3"/>
    <w:rsid w:val="0FDF444A"/>
    <w:rsid w:val="0FDF491E"/>
    <w:rsid w:val="0FDF5034"/>
    <w:rsid w:val="0FDF508C"/>
    <w:rsid w:val="0FDF6D31"/>
    <w:rsid w:val="0FE0068F"/>
    <w:rsid w:val="0FE05083"/>
    <w:rsid w:val="0FE06513"/>
    <w:rsid w:val="0FE10DAC"/>
    <w:rsid w:val="0FE132ED"/>
    <w:rsid w:val="0FE14796"/>
    <w:rsid w:val="0FE20CD6"/>
    <w:rsid w:val="0FE2368D"/>
    <w:rsid w:val="0FE242D2"/>
    <w:rsid w:val="0FE248D8"/>
    <w:rsid w:val="0FE24E5D"/>
    <w:rsid w:val="0FE268D2"/>
    <w:rsid w:val="0FE26AFF"/>
    <w:rsid w:val="0FE31D6E"/>
    <w:rsid w:val="0FE32B91"/>
    <w:rsid w:val="0FE32D76"/>
    <w:rsid w:val="0FE34B24"/>
    <w:rsid w:val="0FE368EC"/>
    <w:rsid w:val="0FE443F8"/>
    <w:rsid w:val="0FE52923"/>
    <w:rsid w:val="0FE60171"/>
    <w:rsid w:val="0FE62385"/>
    <w:rsid w:val="0FE6389A"/>
    <w:rsid w:val="0FE64614"/>
    <w:rsid w:val="0FE654BD"/>
    <w:rsid w:val="0FE73903"/>
    <w:rsid w:val="0FE73EE9"/>
    <w:rsid w:val="0FE75BAA"/>
    <w:rsid w:val="0FE77403"/>
    <w:rsid w:val="0FE80FB7"/>
    <w:rsid w:val="0FE81616"/>
    <w:rsid w:val="0FE8213B"/>
    <w:rsid w:val="0FE90FAF"/>
    <w:rsid w:val="0FE92244"/>
    <w:rsid w:val="0FE93619"/>
    <w:rsid w:val="0FE95EB3"/>
    <w:rsid w:val="0FE97C61"/>
    <w:rsid w:val="0FEA192E"/>
    <w:rsid w:val="0FEA1A6F"/>
    <w:rsid w:val="0FEA1D8A"/>
    <w:rsid w:val="0FEB1C2B"/>
    <w:rsid w:val="0FEB2196"/>
    <w:rsid w:val="0FEB31C0"/>
    <w:rsid w:val="0FEB39D9"/>
    <w:rsid w:val="0FEB5787"/>
    <w:rsid w:val="0FEC128A"/>
    <w:rsid w:val="0FED0112"/>
    <w:rsid w:val="0FED3332"/>
    <w:rsid w:val="0FED36F5"/>
    <w:rsid w:val="0FED4822"/>
    <w:rsid w:val="0FED4A41"/>
    <w:rsid w:val="0FED59A3"/>
    <w:rsid w:val="0FED5EDD"/>
    <w:rsid w:val="0FEE025B"/>
    <w:rsid w:val="0FEE2258"/>
    <w:rsid w:val="0FEE3025"/>
    <w:rsid w:val="0FEE342A"/>
    <w:rsid w:val="0FEE34C9"/>
    <w:rsid w:val="0FEE4F2E"/>
    <w:rsid w:val="0FEE5277"/>
    <w:rsid w:val="0FEE5420"/>
    <w:rsid w:val="0FEE5B9B"/>
    <w:rsid w:val="0FEE7F4B"/>
    <w:rsid w:val="0FEE7FCF"/>
    <w:rsid w:val="0FEF171B"/>
    <w:rsid w:val="0FEF1B50"/>
    <w:rsid w:val="0FEF5526"/>
    <w:rsid w:val="0FF01B07"/>
    <w:rsid w:val="0FF02D9D"/>
    <w:rsid w:val="0FF03535"/>
    <w:rsid w:val="0FF05982"/>
    <w:rsid w:val="0FF0718F"/>
    <w:rsid w:val="0FF07241"/>
    <w:rsid w:val="0FF11F1D"/>
    <w:rsid w:val="0FF15EBD"/>
    <w:rsid w:val="0FF17498"/>
    <w:rsid w:val="0FF21104"/>
    <w:rsid w:val="0FF21D8D"/>
    <w:rsid w:val="0FF21DF0"/>
    <w:rsid w:val="0FF23F84"/>
    <w:rsid w:val="0FF26B15"/>
    <w:rsid w:val="0FF27294"/>
    <w:rsid w:val="0FF3586E"/>
    <w:rsid w:val="0FF35EB5"/>
    <w:rsid w:val="0FF37F33"/>
    <w:rsid w:val="0FF40962"/>
    <w:rsid w:val="0FF41E63"/>
    <w:rsid w:val="0FF42F70"/>
    <w:rsid w:val="0FF4369C"/>
    <w:rsid w:val="0FF4755A"/>
    <w:rsid w:val="0FF52AA9"/>
    <w:rsid w:val="0FF54351"/>
    <w:rsid w:val="0FF54858"/>
    <w:rsid w:val="0FF54E5D"/>
    <w:rsid w:val="0FF55347"/>
    <w:rsid w:val="0FF64258"/>
    <w:rsid w:val="0FF7237E"/>
    <w:rsid w:val="0FF72BFE"/>
    <w:rsid w:val="0FF73474"/>
    <w:rsid w:val="0FF735C3"/>
    <w:rsid w:val="0FF7412C"/>
    <w:rsid w:val="0FF77941"/>
    <w:rsid w:val="0FF855D1"/>
    <w:rsid w:val="0FF85A95"/>
    <w:rsid w:val="0FF860F6"/>
    <w:rsid w:val="0FF93846"/>
    <w:rsid w:val="0FF94B12"/>
    <w:rsid w:val="0FF94D48"/>
    <w:rsid w:val="0FF963C5"/>
    <w:rsid w:val="0FF968B8"/>
    <w:rsid w:val="0FFA00C0"/>
    <w:rsid w:val="0FFA07FB"/>
    <w:rsid w:val="0FFA1E6E"/>
    <w:rsid w:val="0FFA3BD3"/>
    <w:rsid w:val="0FFA6C84"/>
    <w:rsid w:val="0FFA71A6"/>
    <w:rsid w:val="0FFA7492"/>
    <w:rsid w:val="0FFA79DE"/>
    <w:rsid w:val="0FFB429B"/>
    <w:rsid w:val="0FFB6936"/>
    <w:rsid w:val="0FFC7994"/>
    <w:rsid w:val="0FFD0FD3"/>
    <w:rsid w:val="0FFD34C3"/>
    <w:rsid w:val="0FFD54BA"/>
    <w:rsid w:val="0FFE195E"/>
    <w:rsid w:val="0FFE319A"/>
    <w:rsid w:val="0FFE370C"/>
    <w:rsid w:val="0FFF1232"/>
    <w:rsid w:val="0FFF769B"/>
    <w:rsid w:val="100006AF"/>
    <w:rsid w:val="10002FFE"/>
    <w:rsid w:val="100030D0"/>
    <w:rsid w:val="100101D5"/>
    <w:rsid w:val="10010472"/>
    <w:rsid w:val="10013A7B"/>
    <w:rsid w:val="100144D1"/>
    <w:rsid w:val="100157D4"/>
    <w:rsid w:val="10025873"/>
    <w:rsid w:val="10030D22"/>
    <w:rsid w:val="10040496"/>
    <w:rsid w:val="10042CED"/>
    <w:rsid w:val="10044A9B"/>
    <w:rsid w:val="1004585D"/>
    <w:rsid w:val="10054298"/>
    <w:rsid w:val="100627FC"/>
    <w:rsid w:val="10062A75"/>
    <w:rsid w:val="10062BA9"/>
    <w:rsid w:val="1006453C"/>
    <w:rsid w:val="10066A65"/>
    <w:rsid w:val="1007009C"/>
    <w:rsid w:val="10072050"/>
    <w:rsid w:val="10081EA4"/>
    <w:rsid w:val="100827DD"/>
    <w:rsid w:val="1008458B"/>
    <w:rsid w:val="10084AFF"/>
    <w:rsid w:val="10086339"/>
    <w:rsid w:val="100920B1"/>
    <w:rsid w:val="10092DB0"/>
    <w:rsid w:val="100967EC"/>
    <w:rsid w:val="10097FBB"/>
    <w:rsid w:val="100A1780"/>
    <w:rsid w:val="100A2E2B"/>
    <w:rsid w:val="100B02CC"/>
    <w:rsid w:val="100B407B"/>
    <w:rsid w:val="100B5E29"/>
    <w:rsid w:val="100B7BD7"/>
    <w:rsid w:val="100C2A02"/>
    <w:rsid w:val="100C376E"/>
    <w:rsid w:val="100C6D67"/>
    <w:rsid w:val="100D394F"/>
    <w:rsid w:val="100D7971"/>
    <w:rsid w:val="100D7B65"/>
    <w:rsid w:val="100D7DF3"/>
    <w:rsid w:val="100E0101"/>
    <w:rsid w:val="100E1475"/>
    <w:rsid w:val="100E1EE5"/>
    <w:rsid w:val="100E5227"/>
    <w:rsid w:val="10101E90"/>
    <w:rsid w:val="1010343F"/>
    <w:rsid w:val="1010467E"/>
    <w:rsid w:val="101051ED"/>
    <w:rsid w:val="10106420"/>
    <w:rsid w:val="10106A15"/>
    <w:rsid w:val="101112A7"/>
    <w:rsid w:val="10111B8E"/>
    <w:rsid w:val="101140CE"/>
    <w:rsid w:val="1011441F"/>
    <w:rsid w:val="10114C5B"/>
    <w:rsid w:val="10115645"/>
    <w:rsid w:val="10117561"/>
    <w:rsid w:val="10117671"/>
    <w:rsid w:val="10120F66"/>
    <w:rsid w:val="1012200E"/>
    <w:rsid w:val="101252D3"/>
    <w:rsid w:val="10125409"/>
    <w:rsid w:val="101271B8"/>
    <w:rsid w:val="101330D3"/>
    <w:rsid w:val="1013447D"/>
    <w:rsid w:val="10134CDE"/>
    <w:rsid w:val="10137C4A"/>
    <w:rsid w:val="10141AEC"/>
    <w:rsid w:val="10150A56"/>
    <w:rsid w:val="1015125B"/>
    <w:rsid w:val="10153F7F"/>
    <w:rsid w:val="10156CA8"/>
    <w:rsid w:val="101625FC"/>
    <w:rsid w:val="101633E4"/>
    <w:rsid w:val="1016764F"/>
    <w:rsid w:val="101702EB"/>
    <w:rsid w:val="101710A8"/>
    <w:rsid w:val="101714D8"/>
    <w:rsid w:val="101739C2"/>
    <w:rsid w:val="101744CC"/>
    <w:rsid w:val="101755A9"/>
    <w:rsid w:val="1017657C"/>
    <w:rsid w:val="101822F4"/>
    <w:rsid w:val="10182B28"/>
    <w:rsid w:val="101831FE"/>
    <w:rsid w:val="10184FDF"/>
    <w:rsid w:val="10186359"/>
    <w:rsid w:val="1018742B"/>
    <w:rsid w:val="101928A2"/>
    <w:rsid w:val="10195A85"/>
    <w:rsid w:val="10196798"/>
    <w:rsid w:val="101A1AC0"/>
    <w:rsid w:val="101A2510"/>
    <w:rsid w:val="101A42BE"/>
    <w:rsid w:val="101A4EC9"/>
    <w:rsid w:val="101A606C"/>
    <w:rsid w:val="101A61F3"/>
    <w:rsid w:val="101A71EC"/>
    <w:rsid w:val="101C071A"/>
    <w:rsid w:val="101C2ABE"/>
    <w:rsid w:val="101C3B92"/>
    <w:rsid w:val="101D2148"/>
    <w:rsid w:val="101D4B60"/>
    <w:rsid w:val="101D790A"/>
    <w:rsid w:val="101E0AA6"/>
    <w:rsid w:val="101E3DAE"/>
    <w:rsid w:val="101E4C86"/>
    <w:rsid w:val="101E5B5C"/>
    <w:rsid w:val="101F1965"/>
    <w:rsid w:val="101F1F6B"/>
    <w:rsid w:val="101F2FD2"/>
    <w:rsid w:val="101F3682"/>
    <w:rsid w:val="10202516"/>
    <w:rsid w:val="102028BC"/>
    <w:rsid w:val="1020360C"/>
    <w:rsid w:val="1020543C"/>
    <w:rsid w:val="1020553E"/>
    <w:rsid w:val="102107E0"/>
    <w:rsid w:val="1021328F"/>
    <w:rsid w:val="10214071"/>
    <w:rsid w:val="1021564D"/>
    <w:rsid w:val="10215BB0"/>
    <w:rsid w:val="102173FB"/>
    <w:rsid w:val="1022058C"/>
    <w:rsid w:val="102215BE"/>
    <w:rsid w:val="102240B8"/>
    <w:rsid w:val="10227809"/>
    <w:rsid w:val="10233173"/>
    <w:rsid w:val="10233DB9"/>
    <w:rsid w:val="10242327"/>
    <w:rsid w:val="10242F8F"/>
    <w:rsid w:val="102455ED"/>
    <w:rsid w:val="10246EEB"/>
    <w:rsid w:val="1024717A"/>
    <w:rsid w:val="10254CFD"/>
    <w:rsid w:val="1025513D"/>
    <w:rsid w:val="10256B3D"/>
    <w:rsid w:val="10260EB5"/>
    <w:rsid w:val="102618A5"/>
    <w:rsid w:val="102625F5"/>
    <w:rsid w:val="10264234"/>
    <w:rsid w:val="10264A11"/>
    <w:rsid w:val="10264AF1"/>
    <w:rsid w:val="10270C1B"/>
    <w:rsid w:val="10272879"/>
    <w:rsid w:val="102728C3"/>
    <w:rsid w:val="102728DF"/>
    <w:rsid w:val="10273AE7"/>
    <w:rsid w:val="10275670"/>
    <w:rsid w:val="102804F6"/>
    <w:rsid w:val="10280686"/>
    <w:rsid w:val="10281C50"/>
    <w:rsid w:val="10282177"/>
    <w:rsid w:val="102824E0"/>
    <w:rsid w:val="10282537"/>
    <w:rsid w:val="102834AC"/>
    <w:rsid w:val="10284C2D"/>
    <w:rsid w:val="10285087"/>
    <w:rsid w:val="10285E11"/>
    <w:rsid w:val="102869DB"/>
    <w:rsid w:val="102939BE"/>
    <w:rsid w:val="10296A77"/>
    <w:rsid w:val="102A0947"/>
    <w:rsid w:val="102A3FEF"/>
    <w:rsid w:val="102B2027"/>
    <w:rsid w:val="102B2962"/>
    <w:rsid w:val="102B3847"/>
    <w:rsid w:val="102B5B93"/>
    <w:rsid w:val="102B64CB"/>
    <w:rsid w:val="102C258F"/>
    <w:rsid w:val="102C5253"/>
    <w:rsid w:val="102C6915"/>
    <w:rsid w:val="102D0195"/>
    <w:rsid w:val="102D104B"/>
    <w:rsid w:val="102D3AE5"/>
    <w:rsid w:val="102D3FF1"/>
    <w:rsid w:val="102D4F49"/>
    <w:rsid w:val="102D7376"/>
    <w:rsid w:val="102D7561"/>
    <w:rsid w:val="102E0E05"/>
    <w:rsid w:val="102E0E8F"/>
    <w:rsid w:val="102E14C6"/>
    <w:rsid w:val="102E2131"/>
    <w:rsid w:val="102E22FA"/>
    <w:rsid w:val="102E38C6"/>
    <w:rsid w:val="102E48B5"/>
    <w:rsid w:val="102E6904"/>
    <w:rsid w:val="102F0B7B"/>
    <w:rsid w:val="102F1631"/>
    <w:rsid w:val="102F27E7"/>
    <w:rsid w:val="102F38B6"/>
    <w:rsid w:val="102F7D69"/>
    <w:rsid w:val="102F7DAE"/>
    <w:rsid w:val="10300BAA"/>
    <w:rsid w:val="1030200B"/>
    <w:rsid w:val="103028B7"/>
    <w:rsid w:val="1030349B"/>
    <w:rsid w:val="10303AE2"/>
    <w:rsid w:val="10304BDC"/>
    <w:rsid w:val="10306C79"/>
    <w:rsid w:val="1031064D"/>
    <w:rsid w:val="10314A03"/>
    <w:rsid w:val="1031636F"/>
    <w:rsid w:val="103233B6"/>
    <w:rsid w:val="1032785A"/>
    <w:rsid w:val="10327C7C"/>
    <w:rsid w:val="103309DA"/>
    <w:rsid w:val="10330CA8"/>
    <w:rsid w:val="1033319D"/>
    <w:rsid w:val="1033355D"/>
    <w:rsid w:val="103367B1"/>
    <w:rsid w:val="1034088F"/>
    <w:rsid w:val="10342457"/>
    <w:rsid w:val="103435D2"/>
    <w:rsid w:val="103438DD"/>
    <w:rsid w:val="10343BF8"/>
    <w:rsid w:val="10345380"/>
    <w:rsid w:val="1034712E"/>
    <w:rsid w:val="10352CA2"/>
    <w:rsid w:val="10352EA6"/>
    <w:rsid w:val="10354237"/>
    <w:rsid w:val="10354C54"/>
    <w:rsid w:val="10354E9F"/>
    <w:rsid w:val="10357294"/>
    <w:rsid w:val="10357777"/>
    <w:rsid w:val="10362B27"/>
    <w:rsid w:val="103638C4"/>
    <w:rsid w:val="10364865"/>
    <w:rsid w:val="10365B6A"/>
    <w:rsid w:val="10365F4C"/>
    <w:rsid w:val="10366CDA"/>
    <w:rsid w:val="1037079D"/>
    <w:rsid w:val="103709CC"/>
    <w:rsid w:val="10371E58"/>
    <w:rsid w:val="10373F74"/>
    <w:rsid w:val="10374E70"/>
    <w:rsid w:val="10376C1E"/>
    <w:rsid w:val="10384408"/>
    <w:rsid w:val="10384587"/>
    <w:rsid w:val="10385671"/>
    <w:rsid w:val="1038790E"/>
    <w:rsid w:val="10390444"/>
    <w:rsid w:val="1039055C"/>
    <w:rsid w:val="1039091A"/>
    <w:rsid w:val="10390BE8"/>
    <w:rsid w:val="10392996"/>
    <w:rsid w:val="10393858"/>
    <w:rsid w:val="1039418F"/>
    <w:rsid w:val="10394744"/>
    <w:rsid w:val="10396A6E"/>
    <w:rsid w:val="10397C9F"/>
    <w:rsid w:val="103A03EF"/>
    <w:rsid w:val="103A04BC"/>
    <w:rsid w:val="103A085F"/>
    <w:rsid w:val="103A0A64"/>
    <w:rsid w:val="103A3088"/>
    <w:rsid w:val="103A670E"/>
    <w:rsid w:val="103B1DC9"/>
    <w:rsid w:val="103B2219"/>
    <w:rsid w:val="103B2EA6"/>
    <w:rsid w:val="103B5099"/>
    <w:rsid w:val="103B7CCB"/>
    <w:rsid w:val="103C4234"/>
    <w:rsid w:val="103C5FE2"/>
    <w:rsid w:val="103D2DE3"/>
    <w:rsid w:val="103D5362"/>
    <w:rsid w:val="103D699F"/>
    <w:rsid w:val="103E71E0"/>
    <w:rsid w:val="103E7FAD"/>
    <w:rsid w:val="103F251C"/>
    <w:rsid w:val="103F2E46"/>
    <w:rsid w:val="103F3D25"/>
    <w:rsid w:val="10410058"/>
    <w:rsid w:val="1041184B"/>
    <w:rsid w:val="1041702A"/>
    <w:rsid w:val="10417A9D"/>
    <w:rsid w:val="104205F0"/>
    <w:rsid w:val="104210C8"/>
    <w:rsid w:val="10421C8C"/>
    <w:rsid w:val="1042466B"/>
    <w:rsid w:val="1043288D"/>
    <w:rsid w:val="10432D00"/>
    <w:rsid w:val="104355C3"/>
    <w:rsid w:val="10437371"/>
    <w:rsid w:val="10442855"/>
    <w:rsid w:val="10444B40"/>
    <w:rsid w:val="104511A7"/>
    <w:rsid w:val="1045133B"/>
    <w:rsid w:val="10452DA1"/>
    <w:rsid w:val="10455D2B"/>
    <w:rsid w:val="10457300"/>
    <w:rsid w:val="1045731B"/>
    <w:rsid w:val="1045758D"/>
    <w:rsid w:val="10466E02"/>
    <w:rsid w:val="10466E61"/>
    <w:rsid w:val="1047023E"/>
    <w:rsid w:val="104740FF"/>
    <w:rsid w:val="10477E8E"/>
    <w:rsid w:val="10480E2B"/>
    <w:rsid w:val="104815D8"/>
    <w:rsid w:val="10482E63"/>
    <w:rsid w:val="10484987"/>
    <w:rsid w:val="10484F68"/>
    <w:rsid w:val="10485FEE"/>
    <w:rsid w:val="104873D2"/>
    <w:rsid w:val="10492A7C"/>
    <w:rsid w:val="10495A43"/>
    <w:rsid w:val="104A27B6"/>
    <w:rsid w:val="104A3B0B"/>
    <w:rsid w:val="104A42A8"/>
    <w:rsid w:val="104A43FC"/>
    <w:rsid w:val="104A4BA3"/>
    <w:rsid w:val="104A6951"/>
    <w:rsid w:val="104A6C13"/>
    <w:rsid w:val="104B091B"/>
    <w:rsid w:val="104B26C9"/>
    <w:rsid w:val="104B2A62"/>
    <w:rsid w:val="104B2C2E"/>
    <w:rsid w:val="104B7C79"/>
    <w:rsid w:val="104C15C2"/>
    <w:rsid w:val="104C2C74"/>
    <w:rsid w:val="104D2C3C"/>
    <w:rsid w:val="104D2D12"/>
    <w:rsid w:val="104D4694"/>
    <w:rsid w:val="104D6442"/>
    <w:rsid w:val="104D7781"/>
    <w:rsid w:val="104E38A2"/>
    <w:rsid w:val="104E5D16"/>
    <w:rsid w:val="104F0A77"/>
    <w:rsid w:val="104F0E74"/>
    <w:rsid w:val="104F21BA"/>
    <w:rsid w:val="104F6A24"/>
    <w:rsid w:val="105009D5"/>
    <w:rsid w:val="10500F91"/>
    <w:rsid w:val="10502A85"/>
    <w:rsid w:val="10505F32"/>
    <w:rsid w:val="10507B99"/>
    <w:rsid w:val="10510976"/>
    <w:rsid w:val="105120C9"/>
    <w:rsid w:val="10514D9E"/>
    <w:rsid w:val="10521CAA"/>
    <w:rsid w:val="10521DE2"/>
    <w:rsid w:val="10522979"/>
    <w:rsid w:val="10523303"/>
    <w:rsid w:val="10524495"/>
    <w:rsid w:val="10524499"/>
    <w:rsid w:val="1052457B"/>
    <w:rsid w:val="105248E6"/>
    <w:rsid w:val="105252D2"/>
    <w:rsid w:val="10525A74"/>
    <w:rsid w:val="10526AE6"/>
    <w:rsid w:val="10527EEF"/>
    <w:rsid w:val="10530444"/>
    <w:rsid w:val="1053092B"/>
    <w:rsid w:val="10531F1C"/>
    <w:rsid w:val="1053255D"/>
    <w:rsid w:val="10534DBE"/>
    <w:rsid w:val="10535072"/>
    <w:rsid w:val="105360B5"/>
    <w:rsid w:val="10541043"/>
    <w:rsid w:val="1054157E"/>
    <w:rsid w:val="10545A22"/>
    <w:rsid w:val="105477D0"/>
    <w:rsid w:val="10552142"/>
    <w:rsid w:val="105522D3"/>
    <w:rsid w:val="1055546D"/>
    <w:rsid w:val="1055627F"/>
    <w:rsid w:val="105570A4"/>
    <w:rsid w:val="10563083"/>
    <w:rsid w:val="10563548"/>
    <w:rsid w:val="105637C8"/>
    <w:rsid w:val="10572E1C"/>
    <w:rsid w:val="105772C0"/>
    <w:rsid w:val="10580B8E"/>
    <w:rsid w:val="10581D3B"/>
    <w:rsid w:val="10582B2A"/>
    <w:rsid w:val="10583A7A"/>
    <w:rsid w:val="105877D9"/>
    <w:rsid w:val="10592708"/>
    <w:rsid w:val="10593038"/>
    <w:rsid w:val="1059412C"/>
    <w:rsid w:val="105945A0"/>
    <w:rsid w:val="10594DE6"/>
    <w:rsid w:val="105966F3"/>
    <w:rsid w:val="105A06CB"/>
    <w:rsid w:val="105A290D"/>
    <w:rsid w:val="105A46BB"/>
    <w:rsid w:val="105B1551"/>
    <w:rsid w:val="105B7ABA"/>
    <w:rsid w:val="105C0433"/>
    <w:rsid w:val="105C2769"/>
    <w:rsid w:val="105C450A"/>
    <w:rsid w:val="105C48D7"/>
    <w:rsid w:val="105C584D"/>
    <w:rsid w:val="105C6685"/>
    <w:rsid w:val="105D118D"/>
    <w:rsid w:val="105D24B8"/>
    <w:rsid w:val="105D2AF8"/>
    <w:rsid w:val="105D45B9"/>
    <w:rsid w:val="105D643B"/>
    <w:rsid w:val="105D70E3"/>
    <w:rsid w:val="105E0EAB"/>
    <w:rsid w:val="105E0FCF"/>
    <w:rsid w:val="105E1166"/>
    <w:rsid w:val="105E21B1"/>
    <w:rsid w:val="105E41AB"/>
    <w:rsid w:val="105F063D"/>
    <w:rsid w:val="105F14A2"/>
    <w:rsid w:val="1060257A"/>
    <w:rsid w:val="106035E2"/>
    <w:rsid w:val="106043C7"/>
    <w:rsid w:val="10606175"/>
    <w:rsid w:val="10607350"/>
    <w:rsid w:val="1060794F"/>
    <w:rsid w:val="10611EED"/>
    <w:rsid w:val="106122C9"/>
    <w:rsid w:val="10613C9B"/>
    <w:rsid w:val="1061444C"/>
    <w:rsid w:val="10621F3F"/>
    <w:rsid w:val="1062223A"/>
    <w:rsid w:val="1062357B"/>
    <w:rsid w:val="10630429"/>
    <w:rsid w:val="10635C65"/>
    <w:rsid w:val="10637ACE"/>
    <w:rsid w:val="1064693A"/>
    <w:rsid w:val="10650B9C"/>
    <w:rsid w:val="106519DD"/>
    <w:rsid w:val="1065381B"/>
    <w:rsid w:val="10667503"/>
    <w:rsid w:val="106675BE"/>
    <w:rsid w:val="10671AF0"/>
    <w:rsid w:val="10673881"/>
    <w:rsid w:val="10675755"/>
    <w:rsid w:val="1067613B"/>
    <w:rsid w:val="10676C90"/>
    <w:rsid w:val="106801B2"/>
    <w:rsid w:val="1068207D"/>
    <w:rsid w:val="10682F46"/>
    <w:rsid w:val="106831F4"/>
    <w:rsid w:val="1068327B"/>
    <w:rsid w:val="10686DD7"/>
    <w:rsid w:val="106875CB"/>
    <w:rsid w:val="10693D33"/>
    <w:rsid w:val="106963D9"/>
    <w:rsid w:val="106975E7"/>
    <w:rsid w:val="106978CC"/>
    <w:rsid w:val="10697CBA"/>
    <w:rsid w:val="106A0DA2"/>
    <w:rsid w:val="106A4C58"/>
    <w:rsid w:val="106A6E92"/>
    <w:rsid w:val="106A6FF4"/>
    <w:rsid w:val="106B28A5"/>
    <w:rsid w:val="106B4694"/>
    <w:rsid w:val="106B4B1A"/>
    <w:rsid w:val="106B4E10"/>
    <w:rsid w:val="106B53C8"/>
    <w:rsid w:val="106B697D"/>
    <w:rsid w:val="106C1B7E"/>
    <w:rsid w:val="106C1F89"/>
    <w:rsid w:val="106C28D1"/>
    <w:rsid w:val="106C30D0"/>
    <w:rsid w:val="106C35E0"/>
    <w:rsid w:val="106D0892"/>
    <w:rsid w:val="106D0F68"/>
    <w:rsid w:val="106D2640"/>
    <w:rsid w:val="106D2A62"/>
    <w:rsid w:val="106D32AB"/>
    <w:rsid w:val="106D476D"/>
    <w:rsid w:val="106D4BDB"/>
    <w:rsid w:val="106E06B5"/>
    <w:rsid w:val="106E29FB"/>
    <w:rsid w:val="106E49D3"/>
    <w:rsid w:val="106E7C48"/>
    <w:rsid w:val="106F16EB"/>
    <w:rsid w:val="106F36B1"/>
    <w:rsid w:val="106F43CC"/>
    <w:rsid w:val="106F460A"/>
    <w:rsid w:val="106F63B8"/>
    <w:rsid w:val="106F7B00"/>
    <w:rsid w:val="10700789"/>
    <w:rsid w:val="1070092E"/>
    <w:rsid w:val="10701FB8"/>
    <w:rsid w:val="10702130"/>
    <w:rsid w:val="10703EDE"/>
    <w:rsid w:val="1070749E"/>
    <w:rsid w:val="10710382"/>
    <w:rsid w:val="107114DB"/>
    <w:rsid w:val="10711AD0"/>
    <w:rsid w:val="1071278F"/>
    <w:rsid w:val="107134FF"/>
    <w:rsid w:val="10721C04"/>
    <w:rsid w:val="107240FA"/>
    <w:rsid w:val="1072498F"/>
    <w:rsid w:val="10724B09"/>
    <w:rsid w:val="1072546C"/>
    <w:rsid w:val="10725EA8"/>
    <w:rsid w:val="10726B00"/>
    <w:rsid w:val="1073042F"/>
    <w:rsid w:val="107356A9"/>
    <w:rsid w:val="10737E28"/>
    <w:rsid w:val="107463CF"/>
    <w:rsid w:val="10746506"/>
    <w:rsid w:val="107514F4"/>
    <w:rsid w:val="10753310"/>
    <w:rsid w:val="107533FF"/>
    <w:rsid w:val="10757219"/>
    <w:rsid w:val="107572EC"/>
    <w:rsid w:val="10760932"/>
    <w:rsid w:val="10761AFA"/>
    <w:rsid w:val="10761B14"/>
    <w:rsid w:val="1076252D"/>
    <w:rsid w:val="10765998"/>
    <w:rsid w:val="107662CB"/>
    <w:rsid w:val="10766EBF"/>
    <w:rsid w:val="107734BE"/>
    <w:rsid w:val="10790550"/>
    <w:rsid w:val="107913B3"/>
    <w:rsid w:val="10791E40"/>
    <w:rsid w:val="107927EB"/>
    <w:rsid w:val="10793F01"/>
    <w:rsid w:val="10795489"/>
    <w:rsid w:val="107967E4"/>
    <w:rsid w:val="107A2A92"/>
    <w:rsid w:val="107A2EC1"/>
    <w:rsid w:val="107A6B0B"/>
    <w:rsid w:val="107A7668"/>
    <w:rsid w:val="107B06FB"/>
    <w:rsid w:val="107B2FAF"/>
    <w:rsid w:val="107B45B1"/>
    <w:rsid w:val="107C0AD5"/>
    <w:rsid w:val="107C2F8B"/>
    <w:rsid w:val="107C4DD7"/>
    <w:rsid w:val="107C5D7F"/>
    <w:rsid w:val="107C67C9"/>
    <w:rsid w:val="107C7CA0"/>
    <w:rsid w:val="107D0823"/>
    <w:rsid w:val="107D5D53"/>
    <w:rsid w:val="107E2DC0"/>
    <w:rsid w:val="107E2F32"/>
    <w:rsid w:val="107E363C"/>
    <w:rsid w:val="107E4332"/>
    <w:rsid w:val="107E484D"/>
    <w:rsid w:val="107E5F5B"/>
    <w:rsid w:val="107F04D7"/>
    <w:rsid w:val="107F1BED"/>
    <w:rsid w:val="107F288F"/>
    <w:rsid w:val="107F2F30"/>
    <w:rsid w:val="107F3606"/>
    <w:rsid w:val="107F43C2"/>
    <w:rsid w:val="108005C5"/>
    <w:rsid w:val="10802373"/>
    <w:rsid w:val="10804874"/>
    <w:rsid w:val="10806817"/>
    <w:rsid w:val="108160EB"/>
    <w:rsid w:val="10816DE2"/>
    <w:rsid w:val="10817E99"/>
    <w:rsid w:val="108210D2"/>
    <w:rsid w:val="10822D43"/>
    <w:rsid w:val="10824484"/>
    <w:rsid w:val="10831E63"/>
    <w:rsid w:val="108327BB"/>
    <w:rsid w:val="10833C11"/>
    <w:rsid w:val="1083558B"/>
    <w:rsid w:val="10835748"/>
    <w:rsid w:val="10835914"/>
    <w:rsid w:val="10836973"/>
    <w:rsid w:val="10843731"/>
    <w:rsid w:val="10844541"/>
    <w:rsid w:val="10845A55"/>
    <w:rsid w:val="1084610C"/>
    <w:rsid w:val="10846AB0"/>
    <w:rsid w:val="108507BA"/>
    <w:rsid w:val="10853B45"/>
    <w:rsid w:val="10855BDB"/>
    <w:rsid w:val="10855FBF"/>
    <w:rsid w:val="10861954"/>
    <w:rsid w:val="108664EA"/>
    <w:rsid w:val="108724C3"/>
    <w:rsid w:val="10874E4E"/>
    <w:rsid w:val="108772B0"/>
    <w:rsid w:val="1088122B"/>
    <w:rsid w:val="108829A8"/>
    <w:rsid w:val="108856CC"/>
    <w:rsid w:val="1088688D"/>
    <w:rsid w:val="10892C98"/>
    <w:rsid w:val="108A1444"/>
    <w:rsid w:val="108A1FB5"/>
    <w:rsid w:val="108A2150"/>
    <w:rsid w:val="108A31F2"/>
    <w:rsid w:val="108A5090"/>
    <w:rsid w:val="108B0D18"/>
    <w:rsid w:val="108B40A6"/>
    <w:rsid w:val="108B583F"/>
    <w:rsid w:val="108C1CE9"/>
    <w:rsid w:val="108C51BC"/>
    <w:rsid w:val="108C58F8"/>
    <w:rsid w:val="108C6F6A"/>
    <w:rsid w:val="108D0528"/>
    <w:rsid w:val="108D0FE0"/>
    <w:rsid w:val="108D10E7"/>
    <w:rsid w:val="108D2CE2"/>
    <w:rsid w:val="108D4A90"/>
    <w:rsid w:val="108D558D"/>
    <w:rsid w:val="108D5D77"/>
    <w:rsid w:val="108D683E"/>
    <w:rsid w:val="108D796B"/>
    <w:rsid w:val="108E07CD"/>
    <w:rsid w:val="108E42D7"/>
    <w:rsid w:val="108F0808"/>
    <w:rsid w:val="108F25B6"/>
    <w:rsid w:val="108F47B1"/>
    <w:rsid w:val="108F6A5A"/>
    <w:rsid w:val="108F7F0B"/>
    <w:rsid w:val="1090632E"/>
    <w:rsid w:val="109127D2"/>
    <w:rsid w:val="10914580"/>
    <w:rsid w:val="109167D7"/>
    <w:rsid w:val="109202F8"/>
    <w:rsid w:val="10920EDB"/>
    <w:rsid w:val="109220A6"/>
    <w:rsid w:val="109224CD"/>
    <w:rsid w:val="1092654A"/>
    <w:rsid w:val="109312DC"/>
    <w:rsid w:val="10933CC8"/>
    <w:rsid w:val="109350C4"/>
    <w:rsid w:val="10935409"/>
    <w:rsid w:val="1093664E"/>
    <w:rsid w:val="10936CA9"/>
    <w:rsid w:val="109408CD"/>
    <w:rsid w:val="10944070"/>
    <w:rsid w:val="10944131"/>
    <w:rsid w:val="10946A59"/>
    <w:rsid w:val="10946E11"/>
    <w:rsid w:val="10947BCD"/>
    <w:rsid w:val="109506D4"/>
    <w:rsid w:val="109512CD"/>
    <w:rsid w:val="10952F75"/>
    <w:rsid w:val="10953945"/>
    <w:rsid w:val="10953DEB"/>
    <w:rsid w:val="10960ECF"/>
    <w:rsid w:val="10962C3C"/>
    <w:rsid w:val="10963716"/>
    <w:rsid w:val="10963DFB"/>
    <w:rsid w:val="10967DE9"/>
    <w:rsid w:val="10973B61"/>
    <w:rsid w:val="1097521A"/>
    <w:rsid w:val="1097590F"/>
    <w:rsid w:val="10976EAB"/>
    <w:rsid w:val="10981AD2"/>
    <w:rsid w:val="10983D41"/>
    <w:rsid w:val="10985087"/>
    <w:rsid w:val="109866AA"/>
    <w:rsid w:val="10991687"/>
    <w:rsid w:val="10993435"/>
    <w:rsid w:val="109956FB"/>
    <w:rsid w:val="10996005"/>
    <w:rsid w:val="109A0961"/>
    <w:rsid w:val="109A2FA4"/>
    <w:rsid w:val="109A3FE8"/>
    <w:rsid w:val="109A481B"/>
    <w:rsid w:val="109A4FB6"/>
    <w:rsid w:val="109A7BBA"/>
    <w:rsid w:val="109B2D5A"/>
    <w:rsid w:val="109B3615"/>
    <w:rsid w:val="109B4306"/>
    <w:rsid w:val="109B53FF"/>
    <w:rsid w:val="109B58C9"/>
    <w:rsid w:val="109B71AD"/>
    <w:rsid w:val="109B7694"/>
    <w:rsid w:val="109C2F25"/>
    <w:rsid w:val="109C4FC0"/>
    <w:rsid w:val="109C5933"/>
    <w:rsid w:val="109C7173"/>
    <w:rsid w:val="109C7D2A"/>
    <w:rsid w:val="109D108C"/>
    <w:rsid w:val="109D1177"/>
    <w:rsid w:val="109D1A37"/>
    <w:rsid w:val="109D2185"/>
    <w:rsid w:val="109D5153"/>
    <w:rsid w:val="109E0018"/>
    <w:rsid w:val="109E0A4B"/>
    <w:rsid w:val="109E0F63"/>
    <w:rsid w:val="109E4EEF"/>
    <w:rsid w:val="109E71E0"/>
    <w:rsid w:val="109E77DA"/>
    <w:rsid w:val="10A000D0"/>
    <w:rsid w:val="10A0229E"/>
    <w:rsid w:val="10A02A15"/>
    <w:rsid w:val="10A06118"/>
    <w:rsid w:val="10A06571"/>
    <w:rsid w:val="10A06C61"/>
    <w:rsid w:val="10A07A0D"/>
    <w:rsid w:val="10A1053B"/>
    <w:rsid w:val="10A10E9D"/>
    <w:rsid w:val="10A13C31"/>
    <w:rsid w:val="10A14A70"/>
    <w:rsid w:val="10A17B75"/>
    <w:rsid w:val="10A2232D"/>
    <w:rsid w:val="10A2678D"/>
    <w:rsid w:val="10A2775C"/>
    <w:rsid w:val="10A30AC3"/>
    <w:rsid w:val="10A31E1C"/>
    <w:rsid w:val="10A32505"/>
    <w:rsid w:val="10A342B4"/>
    <w:rsid w:val="10A36062"/>
    <w:rsid w:val="10A36689"/>
    <w:rsid w:val="10A4088E"/>
    <w:rsid w:val="10A51DDA"/>
    <w:rsid w:val="10A532D0"/>
    <w:rsid w:val="10A53CB9"/>
    <w:rsid w:val="10A5627E"/>
    <w:rsid w:val="10A63D7B"/>
    <w:rsid w:val="10A63E9D"/>
    <w:rsid w:val="10A64416"/>
    <w:rsid w:val="10A65B52"/>
    <w:rsid w:val="10A6611F"/>
    <w:rsid w:val="10A679D2"/>
    <w:rsid w:val="10A71659"/>
    <w:rsid w:val="10A735CE"/>
    <w:rsid w:val="10A74651"/>
    <w:rsid w:val="10A75B5C"/>
    <w:rsid w:val="10A76927"/>
    <w:rsid w:val="10A7759A"/>
    <w:rsid w:val="10A834AA"/>
    <w:rsid w:val="10A83678"/>
    <w:rsid w:val="10A83EEB"/>
    <w:rsid w:val="10A840E3"/>
    <w:rsid w:val="10A85375"/>
    <w:rsid w:val="10A879FC"/>
    <w:rsid w:val="10A87B1C"/>
    <w:rsid w:val="10AA07E4"/>
    <w:rsid w:val="10AA1B06"/>
    <w:rsid w:val="10AA2C41"/>
    <w:rsid w:val="10AA362A"/>
    <w:rsid w:val="10AA3695"/>
    <w:rsid w:val="10AA3894"/>
    <w:rsid w:val="10AA4681"/>
    <w:rsid w:val="10AA554F"/>
    <w:rsid w:val="10AA73F0"/>
    <w:rsid w:val="10AA7E1B"/>
    <w:rsid w:val="10AB0D80"/>
    <w:rsid w:val="10AB1F4F"/>
    <w:rsid w:val="10AB4366"/>
    <w:rsid w:val="10AC13BA"/>
    <w:rsid w:val="10AC5FB0"/>
    <w:rsid w:val="10AC73CE"/>
    <w:rsid w:val="10AD0C8E"/>
    <w:rsid w:val="10AD14D1"/>
    <w:rsid w:val="10AD1847"/>
    <w:rsid w:val="10AD3D6E"/>
    <w:rsid w:val="10AD4765"/>
    <w:rsid w:val="10AD47E4"/>
    <w:rsid w:val="10AD4CD6"/>
    <w:rsid w:val="10AD50A1"/>
    <w:rsid w:val="10AD7713"/>
    <w:rsid w:val="10AE0966"/>
    <w:rsid w:val="10AE2011"/>
    <w:rsid w:val="10AE33DE"/>
    <w:rsid w:val="10AF0EAA"/>
    <w:rsid w:val="10AF4A06"/>
    <w:rsid w:val="10AF4A99"/>
    <w:rsid w:val="10B00C18"/>
    <w:rsid w:val="10B02252"/>
    <w:rsid w:val="10B03F2D"/>
    <w:rsid w:val="10B04957"/>
    <w:rsid w:val="10B06590"/>
    <w:rsid w:val="10B07537"/>
    <w:rsid w:val="10B101CF"/>
    <w:rsid w:val="10B1077E"/>
    <w:rsid w:val="10B10F43"/>
    <w:rsid w:val="10B14088"/>
    <w:rsid w:val="10B14C22"/>
    <w:rsid w:val="10B15014"/>
    <w:rsid w:val="10B154F6"/>
    <w:rsid w:val="10B15D7F"/>
    <w:rsid w:val="10B169D0"/>
    <w:rsid w:val="10B17546"/>
    <w:rsid w:val="10B1791F"/>
    <w:rsid w:val="10B17A7C"/>
    <w:rsid w:val="10B21B45"/>
    <w:rsid w:val="10B22AAA"/>
    <w:rsid w:val="10B244F7"/>
    <w:rsid w:val="10B262A5"/>
    <w:rsid w:val="10B26787"/>
    <w:rsid w:val="10B2770D"/>
    <w:rsid w:val="10B306E8"/>
    <w:rsid w:val="10B310F1"/>
    <w:rsid w:val="10B31711"/>
    <w:rsid w:val="10B332B2"/>
    <w:rsid w:val="10B34F26"/>
    <w:rsid w:val="10B400EF"/>
    <w:rsid w:val="10B4026F"/>
    <w:rsid w:val="10B417D5"/>
    <w:rsid w:val="10B4201D"/>
    <w:rsid w:val="10B45A85"/>
    <w:rsid w:val="10B5291E"/>
    <w:rsid w:val="10B54159"/>
    <w:rsid w:val="10B55BD2"/>
    <w:rsid w:val="10B62239"/>
    <w:rsid w:val="10B63FE7"/>
    <w:rsid w:val="10B734BB"/>
    <w:rsid w:val="10B7533E"/>
    <w:rsid w:val="10B75E65"/>
    <w:rsid w:val="10B77D5F"/>
    <w:rsid w:val="10B907F1"/>
    <w:rsid w:val="10B93588"/>
    <w:rsid w:val="10B93AD7"/>
    <w:rsid w:val="10B9580C"/>
    <w:rsid w:val="10B97124"/>
    <w:rsid w:val="10B97633"/>
    <w:rsid w:val="10BA1B54"/>
    <w:rsid w:val="10BA4868"/>
    <w:rsid w:val="10BA5B38"/>
    <w:rsid w:val="10BB07ED"/>
    <w:rsid w:val="10BB15FD"/>
    <w:rsid w:val="10BB2E43"/>
    <w:rsid w:val="10BB5F26"/>
    <w:rsid w:val="10BC1F77"/>
    <w:rsid w:val="10BC2AB4"/>
    <w:rsid w:val="10BC5375"/>
    <w:rsid w:val="10BC5AA5"/>
    <w:rsid w:val="10BD2E46"/>
    <w:rsid w:val="10BD346D"/>
    <w:rsid w:val="10BD4364"/>
    <w:rsid w:val="10BD480F"/>
    <w:rsid w:val="10BE2E9B"/>
    <w:rsid w:val="10BE3E68"/>
    <w:rsid w:val="10BE4C49"/>
    <w:rsid w:val="10BE5F21"/>
    <w:rsid w:val="10BE6031"/>
    <w:rsid w:val="10BF2F96"/>
    <w:rsid w:val="10BF3064"/>
    <w:rsid w:val="10C00894"/>
    <w:rsid w:val="10C04852"/>
    <w:rsid w:val="10C04E65"/>
    <w:rsid w:val="10C058B6"/>
    <w:rsid w:val="10C066D5"/>
    <w:rsid w:val="10C07B40"/>
    <w:rsid w:val="10C1473A"/>
    <w:rsid w:val="10C15855"/>
    <w:rsid w:val="10C20BDE"/>
    <w:rsid w:val="10C214C7"/>
    <w:rsid w:val="10C2350D"/>
    <w:rsid w:val="10C244DC"/>
    <w:rsid w:val="10C27A0C"/>
    <w:rsid w:val="10C304B2"/>
    <w:rsid w:val="10C31F2E"/>
    <w:rsid w:val="10C326C6"/>
    <w:rsid w:val="10C34956"/>
    <w:rsid w:val="10C36350"/>
    <w:rsid w:val="10C3704F"/>
    <w:rsid w:val="10C41720"/>
    <w:rsid w:val="10C4385D"/>
    <w:rsid w:val="10C45890"/>
    <w:rsid w:val="10C50303"/>
    <w:rsid w:val="10C52FDE"/>
    <w:rsid w:val="10C53DB7"/>
    <w:rsid w:val="10C5422A"/>
    <w:rsid w:val="10C55FD8"/>
    <w:rsid w:val="10C5765A"/>
    <w:rsid w:val="10C6175B"/>
    <w:rsid w:val="10C61D39"/>
    <w:rsid w:val="10C61D50"/>
    <w:rsid w:val="10C627D2"/>
    <w:rsid w:val="10C630D8"/>
    <w:rsid w:val="10C63ABC"/>
    <w:rsid w:val="10C72BB8"/>
    <w:rsid w:val="10C73F71"/>
    <w:rsid w:val="10C7504F"/>
    <w:rsid w:val="10C75FAD"/>
    <w:rsid w:val="10C7607E"/>
    <w:rsid w:val="10C7659F"/>
    <w:rsid w:val="10C7696C"/>
    <w:rsid w:val="10C77FA2"/>
    <w:rsid w:val="10C800EF"/>
    <w:rsid w:val="10C81F6C"/>
    <w:rsid w:val="10C83D1A"/>
    <w:rsid w:val="10C84200"/>
    <w:rsid w:val="10C8713C"/>
    <w:rsid w:val="10C87EED"/>
    <w:rsid w:val="10C91356"/>
    <w:rsid w:val="10C93EC4"/>
    <w:rsid w:val="10C9420D"/>
    <w:rsid w:val="10C94302"/>
    <w:rsid w:val="10C9595C"/>
    <w:rsid w:val="10CA009A"/>
    <w:rsid w:val="10CA03BA"/>
    <w:rsid w:val="10CA0EC0"/>
    <w:rsid w:val="10CA3C64"/>
    <w:rsid w:val="10CA54F6"/>
    <w:rsid w:val="10CA5CE4"/>
    <w:rsid w:val="10CA7A92"/>
    <w:rsid w:val="10CB0A06"/>
    <w:rsid w:val="10CB1312"/>
    <w:rsid w:val="10CB1539"/>
    <w:rsid w:val="10CB6CDF"/>
    <w:rsid w:val="10CC1E13"/>
    <w:rsid w:val="10CC380A"/>
    <w:rsid w:val="10CC46E0"/>
    <w:rsid w:val="10CC521D"/>
    <w:rsid w:val="10CD02AC"/>
    <w:rsid w:val="10CD1330"/>
    <w:rsid w:val="10CD2FD4"/>
    <w:rsid w:val="10CD30DE"/>
    <w:rsid w:val="10CD5DD6"/>
    <w:rsid w:val="10CD7582"/>
    <w:rsid w:val="10CE1A6B"/>
    <w:rsid w:val="10CF134A"/>
    <w:rsid w:val="10CF20AE"/>
    <w:rsid w:val="10CF2D2A"/>
    <w:rsid w:val="10CF3F1B"/>
    <w:rsid w:val="10CF583E"/>
    <w:rsid w:val="10CF5C58"/>
    <w:rsid w:val="10CF6B8E"/>
    <w:rsid w:val="10CF6E57"/>
    <w:rsid w:val="10D00BDB"/>
    <w:rsid w:val="10D0497D"/>
    <w:rsid w:val="10D10E21"/>
    <w:rsid w:val="10D112ED"/>
    <w:rsid w:val="10D1233F"/>
    <w:rsid w:val="10D13151"/>
    <w:rsid w:val="10D15E52"/>
    <w:rsid w:val="10D17073"/>
    <w:rsid w:val="10D21F3C"/>
    <w:rsid w:val="10D23753"/>
    <w:rsid w:val="10D31096"/>
    <w:rsid w:val="10D31102"/>
    <w:rsid w:val="10D326D7"/>
    <w:rsid w:val="10D42A23"/>
    <w:rsid w:val="10D4446D"/>
    <w:rsid w:val="10D455F2"/>
    <w:rsid w:val="10D45B1D"/>
    <w:rsid w:val="10D46BEA"/>
    <w:rsid w:val="10D50A5B"/>
    <w:rsid w:val="10D510E7"/>
    <w:rsid w:val="10D51CFB"/>
    <w:rsid w:val="10D52C28"/>
    <w:rsid w:val="10D551BC"/>
    <w:rsid w:val="10D568E5"/>
    <w:rsid w:val="10D60716"/>
    <w:rsid w:val="10D64F4C"/>
    <w:rsid w:val="10D652D8"/>
    <w:rsid w:val="10D66437"/>
    <w:rsid w:val="10D6664C"/>
    <w:rsid w:val="10D72E7D"/>
    <w:rsid w:val="10D743E5"/>
    <w:rsid w:val="10D77ADC"/>
    <w:rsid w:val="10D81206"/>
    <w:rsid w:val="10D83528"/>
    <w:rsid w:val="10D846F4"/>
    <w:rsid w:val="10D91467"/>
    <w:rsid w:val="10D965C0"/>
    <w:rsid w:val="10D97CD5"/>
    <w:rsid w:val="10DA4432"/>
    <w:rsid w:val="10DA645D"/>
    <w:rsid w:val="10DB1C9F"/>
    <w:rsid w:val="10DB1F54"/>
    <w:rsid w:val="10DB3A4D"/>
    <w:rsid w:val="10DB6B15"/>
    <w:rsid w:val="10DB78ED"/>
    <w:rsid w:val="10DC2DF8"/>
    <w:rsid w:val="10DC73EA"/>
    <w:rsid w:val="10DD16E7"/>
    <w:rsid w:val="10DD6F08"/>
    <w:rsid w:val="10DD7049"/>
    <w:rsid w:val="10DE4BA3"/>
    <w:rsid w:val="10DE5F85"/>
    <w:rsid w:val="10DE709A"/>
    <w:rsid w:val="10DF176E"/>
    <w:rsid w:val="10DF4000"/>
    <w:rsid w:val="10DF5136"/>
    <w:rsid w:val="10DF6B1F"/>
    <w:rsid w:val="10E00C17"/>
    <w:rsid w:val="10E022CF"/>
    <w:rsid w:val="10E0388D"/>
    <w:rsid w:val="10E04630"/>
    <w:rsid w:val="10E07932"/>
    <w:rsid w:val="10E13028"/>
    <w:rsid w:val="10E136B5"/>
    <w:rsid w:val="10E13EA3"/>
    <w:rsid w:val="10E16B8A"/>
    <w:rsid w:val="10E17226"/>
    <w:rsid w:val="10E20A95"/>
    <w:rsid w:val="10E21265"/>
    <w:rsid w:val="10E2481B"/>
    <w:rsid w:val="10E24DDC"/>
    <w:rsid w:val="10E3052B"/>
    <w:rsid w:val="10E30B54"/>
    <w:rsid w:val="10E30C50"/>
    <w:rsid w:val="10E32C59"/>
    <w:rsid w:val="10E44362"/>
    <w:rsid w:val="10E47D82"/>
    <w:rsid w:val="10E529E4"/>
    <w:rsid w:val="10E54D88"/>
    <w:rsid w:val="10E5667A"/>
    <w:rsid w:val="10E603DF"/>
    <w:rsid w:val="10E60BA1"/>
    <w:rsid w:val="10E66141"/>
    <w:rsid w:val="10E7063D"/>
    <w:rsid w:val="10E70644"/>
    <w:rsid w:val="10E722CE"/>
    <w:rsid w:val="10E80491"/>
    <w:rsid w:val="10E8205A"/>
    <w:rsid w:val="10E873E1"/>
    <w:rsid w:val="10E93381"/>
    <w:rsid w:val="10E943BC"/>
    <w:rsid w:val="10EA02CC"/>
    <w:rsid w:val="10EA2394"/>
    <w:rsid w:val="10EA3C90"/>
    <w:rsid w:val="10EA3DCD"/>
    <w:rsid w:val="10EA5A3E"/>
    <w:rsid w:val="10EA5CA0"/>
    <w:rsid w:val="10EA5F52"/>
    <w:rsid w:val="10EA7240"/>
    <w:rsid w:val="10EB3DD8"/>
    <w:rsid w:val="10EB47D2"/>
    <w:rsid w:val="10EB73E2"/>
    <w:rsid w:val="10EC4447"/>
    <w:rsid w:val="10EC7A09"/>
    <w:rsid w:val="10ED0C68"/>
    <w:rsid w:val="10ED11EE"/>
    <w:rsid w:val="10ED3371"/>
    <w:rsid w:val="10ED48D3"/>
    <w:rsid w:val="10EE3815"/>
    <w:rsid w:val="10EF1139"/>
    <w:rsid w:val="10EF12A7"/>
    <w:rsid w:val="10EF1883"/>
    <w:rsid w:val="10EF574B"/>
    <w:rsid w:val="10EF71F3"/>
    <w:rsid w:val="10EF74F9"/>
    <w:rsid w:val="10F00FEF"/>
    <w:rsid w:val="10F0258F"/>
    <w:rsid w:val="10F0576C"/>
    <w:rsid w:val="10F057B0"/>
    <w:rsid w:val="10F06F3A"/>
    <w:rsid w:val="10F1258D"/>
    <w:rsid w:val="10F13271"/>
    <w:rsid w:val="10F13C1F"/>
    <w:rsid w:val="10F14241"/>
    <w:rsid w:val="10F1501F"/>
    <w:rsid w:val="10F16DCD"/>
    <w:rsid w:val="10F1736F"/>
    <w:rsid w:val="10F20B09"/>
    <w:rsid w:val="10F20D97"/>
    <w:rsid w:val="10F23440"/>
    <w:rsid w:val="10F260A2"/>
    <w:rsid w:val="10F33518"/>
    <w:rsid w:val="10F36326"/>
    <w:rsid w:val="10F36FE9"/>
    <w:rsid w:val="10F40855"/>
    <w:rsid w:val="10F42D61"/>
    <w:rsid w:val="10F45073"/>
    <w:rsid w:val="10F468BD"/>
    <w:rsid w:val="10F5019E"/>
    <w:rsid w:val="10F54E39"/>
    <w:rsid w:val="10F620FB"/>
    <w:rsid w:val="10F62635"/>
    <w:rsid w:val="10F6362C"/>
    <w:rsid w:val="10F65B0A"/>
    <w:rsid w:val="10F65D07"/>
    <w:rsid w:val="10F67AD5"/>
    <w:rsid w:val="10F7015B"/>
    <w:rsid w:val="10F75129"/>
    <w:rsid w:val="10F76331"/>
    <w:rsid w:val="10F845FF"/>
    <w:rsid w:val="10F85402"/>
    <w:rsid w:val="10F85707"/>
    <w:rsid w:val="10F863AD"/>
    <w:rsid w:val="10F90377"/>
    <w:rsid w:val="10F92125"/>
    <w:rsid w:val="10F950F1"/>
    <w:rsid w:val="10F96559"/>
    <w:rsid w:val="10FA33E9"/>
    <w:rsid w:val="10FA3EE3"/>
    <w:rsid w:val="10FA4306"/>
    <w:rsid w:val="10FB0E6E"/>
    <w:rsid w:val="10FB1478"/>
    <w:rsid w:val="10FB3754"/>
    <w:rsid w:val="10FB37AB"/>
    <w:rsid w:val="10FB40F0"/>
    <w:rsid w:val="10FB73B6"/>
    <w:rsid w:val="10FB7C4C"/>
    <w:rsid w:val="10FC1033"/>
    <w:rsid w:val="10FC5E37"/>
    <w:rsid w:val="10FD17F7"/>
    <w:rsid w:val="10FD39C4"/>
    <w:rsid w:val="10FE14EA"/>
    <w:rsid w:val="10FE4373"/>
    <w:rsid w:val="10FE598E"/>
    <w:rsid w:val="10FE773C"/>
    <w:rsid w:val="10FF3014"/>
    <w:rsid w:val="10FF6C7C"/>
    <w:rsid w:val="10FF6CE8"/>
    <w:rsid w:val="10FF74EA"/>
    <w:rsid w:val="110006C9"/>
    <w:rsid w:val="11001706"/>
    <w:rsid w:val="110034B4"/>
    <w:rsid w:val="11004A80"/>
    <w:rsid w:val="11006C99"/>
    <w:rsid w:val="110079DA"/>
    <w:rsid w:val="11011608"/>
    <w:rsid w:val="11020D4F"/>
    <w:rsid w:val="11020FDA"/>
    <w:rsid w:val="11023AF0"/>
    <w:rsid w:val="1102482A"/>
    <w:rsid w:val="1102547E"/>
    <w:rsid w:val="11027246"/>
    <w:rsid w:val="11027EB6"/>
    <w:rsid w:val="11030AB7"/>
    <w:rsid w:val="11031B60"/>
    <w:rsid w:val="11036B00"/>
    <w:rsid w:val="110411F6"/>
    <w:rsid w:val="11041493"/>
    <w:rsid w:val="110416CA"/>
    <w:rsid w:val="110424CC"/>
    <w:rsid w:val="11043100"/>
    <w:rsid w:val="110442B2"/>
    <w:rsid w:val="11044D08"/>
    <w:rsid w:val="11045D8A"/>
    <w:rsid w:val="11047F3A"/>
    <w:rsid w:val="11050F9E"/>
    <w:rsid w:val="11052878"/>
    <w:rsid w:val="11052B5A"/>
    <w:rsid w:val="11056D4E"/>
    <w:rsid w:val="11060153"/>
    <w:rsid w:val="11063FEA"/>
    <w:rsid w:val="11066814"/>
    <w:rsid w:val="11066D94"/>
    <w:rsid w:val="110716F7"/>
    <w:rsid w:val="110728D1"/>
    <w:rsid w:val="11072A94"/>
    <w:rsid w:val="11074433"/>
    <w:rsid w:val="11075192"/>
    <w:rsid w:val="1107593C"/>
    <w:rsid w:val="1108020E"/>
    <w:rsid w:val="11082369"/>
    <w:rsid w:val="11082DA6"/>
    <w:rsid w:val="11085903"/>
    <w:rsid w:val="110875A2"/>
    <w:rsid w:val="110904E7"/>
    <w:rsid w:val="110A1F26"/>
    <w:rsid w:val="110A6432"/>
    <w:rsid w:val="110A648C"/>
    <w:rsid w:val="110A7AC5"/>
    <w:rsid w:val="110A7E8F"/>
    <w:rsid w:val="110B4D06"/>
    <w:rsid w:val="110B528B"/>
    <w:rsid w:val="110B613B"/>
    <w:rsid w:val="110B7219"/>
    <w:rsid w:val="110B7F9F"/>
    <w:rsid w:val="110C00AB"/>
    <w:rsid w:val="110C1E59"/>
    <w:rsid w:val="110C53AC"/>
    <w:rsid w:val="110C5EEE"/>
    <w:rsid w:val="110C7D17"/>
    <w:rsid w:val="110C7E5C"/>
    <w:rsid w:val="110D249C"/>
    <w:rsid w:val="110D606B"/>
    <w:rsid w:val="110D6837"/>
    <w:rsid w:val="110D7AF3"/>
    <w:rsid w:val="110D7FF4"/>
    <w:rsid w:val="110E078B"/>
    <w:rsid w:val="110E25F5"/>
    <w:rsid w:val="110E33EB"/>
    <w:rsid w:val="110E357C"/>
    <w:rsid w:val="110E4FA1"/>
    <w:rsid w:val="110E5BD1"/>
    <w:rsid w:val="110F07A2"/>
    <w:rsid w:val="110F3211"/>
    <w:rsid w:val="110F48D8"/>
    <w:rsid w:val="110F633B"/>
    <w:rsid w:val="110F7B08"/>
    <w:rsid w:val="110F7B9B"/>
    <w:rsid w:val="110F7C9D"/>
    <w:rsid w:val="11100329"/>
    <w:rsid w:val="11102D66"/>
    <w:rsid w:val="1110436C"/>
    <w:rsid w:val="1111121D"/>
    <w:rsid w:val="11122298"/>
    <w:rsid w:val="1112245F"/>
    <w:rsid w:val="11124F95"/>
    <w:rsid w:val="11125274"/>
    <w:rsid w:val="11126FE4"/>
    <w:rsid w:val="11131439"/>
    <w:rsid w:val="11136311"/>
    <w:rsid w:val="111378D5"/>
    <w:rsid w:val="11140D0D"/>
    <w:rsid w:val="11142B01"/>
    <w:rsid w:val="111451B1"/>
    <w:rsid w:val="1114569B"/>
    <w:rsid w:val="11145FBB"/>
    <w:rsid w:val="1114617F"/>
    <w:rsid w:val="11146F5F"/>
    <w:rsid w:val="1115264F"/>
    <w:rsid w:val="11153EEB"/>
    <w:rsid w:val="11157FB7"/>
    <w:rsid w:val="11160F29"/>
    <w:rsid w:val="11163F58"/>
    <w:rsid w:val="11164A85"/>
    <w:rsid w:val="11165F14"/>
    <w:rsid w:val="11166833"/>
    <w:rsid w:val="111676F8"/>
    <w:rsid w:val="11167867"/>
    <w:rsid w:val="11173CAB"/>
    <w:rsid w:val="111748F1"/>
    <w:rsid w:val="111807FE"/>
    <w:rsid w:val="1118670C"/>
    <w:rsid w:val="11186A50"/>
    <w:rsid w:val="11186E1E"/>
    <w:rsid w:val="1119008D"/>
    <w:rsid w:val="1119245F"/>
    <w:rsid w:val="111927C8"/>
    <w:rsid w:val="1119354E"/>
    <w:rsid w:val="11194576"/>
    <w:rsid w:val="11196101"/>
    <w:rsid w:val="111962EA"/>
    <w:rsid w:val="111A080E"/>
    <w:rsid w:val="111A49AC"/>
    <w:rsid w:val="111B209C"/>
    <w:rsid w:val="111B315E"/>
    <w:rsid w:val="111B33B9"/>
    <w:rsid w:val="111B4AA2"/>
    <w:rsid w:val="111B4F99"/>
    <w:rsid w:val="111B6540"/>
    <w:rsid w:val="111B78AA"/>
    <w:rsid w:val="111C620F"/>
    <w:rsid w:val="111D4066"/>
    <w:rsid w:val="111D5E14"/>
    <w:rsid w:val="111E1B8C"/>
    <w:rsid w:val="111E393A"/>
    <w:rsid w:val="111E4E41"/>
    <w:rsid w:val="111E5594"/>
    <w:rsid w:val="111F7AF6"/>
    <w:rsid w:val="111F7D3A"/>
    <w:rsid w:val="11201C99"/>
    <w:rsid w:val="11202CB9"/>
    <w:rsid w:val="112037D2"/>
    <w:rsid w:val="11203B56"/>
    <w:rsid w:val="11205904"/>
    <w:rsid w:val="112072DF"/>
    <w:rsid w:val="11211389"/>
    <w:rsid w:val="11212310"/>
    <w:rsid w:val="112150BA"/>
    <w:rsid w:val="11215AFD"/>
    <w:rsid w:val="112203C1"/>
    <w:rsid w:val="1122342A"/>
    <w:rsid w:val="112276C7"/>
    <w:rsid w:val="11235FC1"/>
    <w:rsid w:val="112371A2"/>
    <w:rsid w:val="11240A87"/>
    <w:rsid w:val="11242F06"/>
    <w:rsid w:val="112445CC"/>
    <w:rsid w:val="11244CFA"/>
    <w:rsid w:val="112453F4"/>
    <w:rsid w:val="112465CB"/>
    <w:rsid w:val="11247572"/>
    <w:rsid w:val="1125116C"/>
    <w:rsid w:val="11252F1A"/>
    <w:rsid w:val="11254CC9"/>
    <w:rsid w:val="11260A69"/>
    <w:rsid w:val="11262CA5"/>
    <w:rsid w:val="11274EE5"/>
    <w:rsid w:val="112812B8"/>
    <w:rsid w:val="1128400B"/>
    <w:rsid w:val="1128513A"/>
    <w:rsid w:val="11285530"/>
    <w:rsid w:val="11286567"/>
    <w:rsid w:val="11287383"/>
    <w:rsid w:val="11290813"/>
    <w:rsid w:val="11290C5D"/>
    <w:rsid w:val="11292A73"/>
    <w:rsid w:val="11292E5F"/>
    <w:rsid w:val="11293BE3"/>
    <w:rsid w:val="112953D3"/>
    <w:rsid w:val="1129659C"/>
    <w:rsid w:val="112A0531"/>
    <w:rsid w:val="112A22DF"/>
    <w:rsid w:val="112A2C2C"/>
    <w:rsid w:val="112A3DE8"/>
    <w:rsid w:val="112B44A8"/>
    <w:rsid w:val="112B520B"/>
    <w:rsid w:val="112B7586"/>
    <w:rsid w:val="112C04C1"/>
    <w:rsid w:val="112C09CA"/>
    <w:rsid w:val="112C24FB"/>
    <w:rsid w:val="112C33A5"/>
    <w:rsid w:val="112C5D1D"/>
    <w:rsid w:val="112C6057"/>
    <w:rsid w:val="112D1D65"/>
    <w:rsid w:val="112D2373"/>
    <w:rsid w:val="112D2E13"/>
    <w:rsid w:val="112D596A"/>
    <w:rsid w:val="112D5F35"/>
    <w:rsid w:val="112E0021"/>
    <w:rsid w:val="112E089B"/>
    <w:rsid w:val="112E1DCF"/>
    <w:rsid w:val="112E2D8E"/>
    <w:rsid w:val="112E31F5"/>
    <w:rsid w:val="112E56AF"/>
    <w:rsid w:val="112E6273"/>
    <w:rsid w:val="112F5B47"/>
    <w:rsid w:val="112F5DC6"/>
    <w:rsid w:val="11301FEB"/>
    <w:rsid w:val="11302087"/>
    <w:rsid w:val="11302D3E"/>
    <w:rsid w:val="11304BC0"/>
    <w:rsid w:val="11306AC4"/>
    <w:rsid w:val="113070DD"/>
    <w:rsid w:val="113118BF"/>
    <w:rsid w:val="11321EE1"/>
    <w:rsid w:val="11323A05"/>
    <w:rsid w:val="11324747"/>
    <w:rsid w:val="113258AC"/>
    <w:rsid w:val="11325921"/>
    <w:rsid w:val="11331327"/>
    <w:rsid w:val="11331920"/>
    <w:rsid w:val="113325A7"/>
    <w:rsid w:val="11333736"/>
    <w:rsid w:val="11333889"/>
    <w:rsid w:val="11333A5D"/>
    <w:rsid w:val="11335637"/>
    <w:rsid w:val="113373E5"/>
    <w:rsid w:val="11342853"/>
    <w:rsid w:val="11344268"/>
    <w:rsid w:val="11344B11"/>
    <w:rsid w:val="113501ED"/>
    <w:rsid w:val="1135131A"/>
    <w:rsid w:val="113528B8"/>
    <w:rsid w:val="11354742"/>
    <w:rsid w:val="113550B2"/>
    <w:rsid w:val="1135662E"/>
    <w:rsid w:val="11357601"/>
    <w:rsid w:val="11357A31"/>
    <w:rsid w:val="11360B22"/>
    <w:rsid w:val="11361223"/>
    <w:rsid w:val="11365128"/>
    <w:rsid w:val="11365268"/>
    <w:rsid w:val="11366ED6"/>
    <w:rsid w:val="113718AF"/>
    <w:rsid w:val="113759E8"/>
    <w:rsid w:val="113816A0"/>
    <w:rsid w:val="11382C4E"/>
    <w:rsid w:val="113849FC"/>
    <w:rsid w:val="11390774"/>
    <w:rsid w:val="11393B14"/>
    <w:rsid w:val="11395609"/>
    <w:rsid w:val="113969C6"/>
    <w:rsid w:val="11397969"/>
    <w:rsid w:val="113A2101"/>
    <w:rsid w:val="113A4C18"/>
    <w:rsid w:val="113A5081"/>
    <w:rsid w:val="113A6834"/>
    <w:rsid w:val="113B0990"/>
    <w:rsid w:val="113B273E"/>
    <w:rsid w:val="113B4040"/>
    <w:rsid w:val="113D185A"/>
    <w:rsid w:val="113D1EDD"/>
    <w:rsid w:val="113D2012"/>
    <w:rsid w:val="113D3D4E"/>
    <w:rsid w:val="113D4DDE"/>
    <w:rsid w:val="113D64B6"/>
    <w:rsid w:val="113E05EF"/>
    <w:rsid w:val="113E1810"/>
    <w:rsid w:val="113E2A21"/>
    <w:rsid w:val="113E2CEA"/>
    <w:rsid w:val="113E3FDC"/>
    <w:rsid w:val="113E5D8A"/>
    <w:rsid w:val="113F3BCD"/>
    <w:rsid w:val="113F417A"/>
    <w:rsid w:val="113F4E14"/>
    <w:rsid w:val="113F6002"/>
    <w:rsid w:val="1140080C"/>
    <w:rsid w:val="114034E8"/>
    <w:rsid w:val="11403A18"/>
    <w:rsid w:val="11407D54"/>
    <w:rsid w:val="1141295C"/>
    <w:rsid w:val="11421D1E"/>
    <w:rsid w:val="11423ACC"/>
    <w:rsid w:val="1142587A"/>
    <w:rsid w:val="11427629"/>
    <w:rsid w:val="11427B1D"/>
    <w:rsid w:val="114333A1"/>
    <w:rsid w:val="11440688"/>
    <w:rsid w:val="114415F3"/>
    <w:rsid w:val="114417B9"/>
    <w:rsid w:val="11441A61"/>
    <w:rsid w:val="1144541B"/>
    <w:rsid w:val="11452D77"/>
    <w:rsid w:val="114535BD"/>
    <w:rsid w:val="11454B68"/>
    <w:rsid w:val="11454DDC"/>
    <w:rsid w:val="11455EDB"/>
    <w:rsid w:val="11457119"/>
    <w:rsid w:val="11457FEC"/>
    <w:rsid w:val="11460943"/>
    <w:rsid w:val="1146147C"/>
    <w:rsid w:val="11462936"/>
    <w:rsid w:val="1146404D"/>
    <w:rsid w:val="11464CCE"/>
    <w:rsid w:val="11472E07"/>
    <w:rsid w:val="114754DD"/>
    <w:rsid w:val="11476FB4"/>
    <w:rsid w:val="1148125B"/>
    <w:rsid w:val="114825CB"/>
    <w:rsid w:val="114856A6"/>
    <w:rsid w:val="11486249"/>
    <w:rsid w:val="114878D5"/>
    <w:rsid w:val="11493D02"/>
    <w:rsid w:val="11494E5B"/>
    <w:rsid w:val="11497DFD"/>
    <w:rsid w:val="114A0BD3"/>
    <w:rsid w:val="114A472F"/>
    <w:rsid w:val="114B2690"/>
    <w:rsid w:val="114B28A8"/>
    <w:rsid w:val="114B3247"/>
    <w:rsid w:val="114B6720"/>
    <w:rsid w:val="114B6CC1"/>
    <w:rsid w:val="114C04A7"/>
    <w:rsid w:val="114C4047"/>
    <w:rsid w:val="114C4EF6"/>
    <w:rsid w:val="114D134F"/>
    <w:rsid w:val="114D16EA"/>
    <w:rsid w:val="114D457A"/>
    <w:rsid w:val="114D7105"/>
    <w:rsid w:val="114E0DF3"/>
    <w:rsid w:val="114E421F"/>
    <w:rsid w:val="114E4496"/>
    <w:rsid w:val="114F1D45"/>
    <w:rsid w:val="114F3C6F"/>
    <w:rsid w:val="114F65A9"/>
    <w:rsid w:val="114F72A0"/>
    <w:rsid w:val="11500398"/>
    <w:rsid w:val="1150542A"/>
    <w:rsid w:val="11506E2F"/>
    <w:rsid w:val="115113CC"/>
    <w:rsid w:val="11513A66"/>
    <w:rsid w:val="1151695E"/>
    <w:rsid w:val="11530B75"/>
    <w:rsid w:val="11531595"/>
    <w:rsid w:val="11531836"/>
    <w:rsid w:val="11532B33"/>
    <w:rsid w:val="11536527"/>
    <w:rsid w:val="11537A88"/>
    <w:rsid w:val="11537C03"/>
    <w:rsid w:val="11541B04"/>
    <w:rsid w:val="11542054"/>
    <w:rsid w:val="11545D3B"/>
    <w:rsid w:val="1154735C"/>
    <w:rsid w:val="11553800"/>
    <w:rsid w:val="11560728"/>
    <w:rsid w:val="11560F71"/>
    <w:rsid w:val="11561326"/>
    <w:rsid w:val="115617ED"/>
    <w:rsid w:val="11563D56"/>
    <w:rsid w:val="11565435"/>
    <w:rsid w:val="11567195"/>
    <w:rsid w:val="11567578"/>
    <w:rsid w:val="11570D2A"/>
    <w:rsid w:val="11577667"/>
    <w:rsid w:val="1158026B"/>
    <w:rsid w:val="11582527"/>
    <w:rsid w:val="11584941"/>
    <w:rsid w:val="1158509E"/>
    <w:rsid w:val="11586174"/>
    <w:rsid w:val="11586695"/>
    <w:rsid w:val="1159035C"/>
    <w:rsid w:val="11591EFA"/>
    <w:rsid w:val="11592BC4"/>
    <w:rsid w:val="11594BC1"/>
    <w:rsid w:val="115958E8"/>
    <w:rsid w:val="115A06BC"/>
    <w:rsid w:val="115A0E16"/>
    <w:rsid w:val="115A7068"/>
    <w:rsid w:val="115B1E09"/>
    <w:rsid w:val="115B2212"/>
    <w:rsid w:val="115B221B"/>
    <w:rsid w:val="115B49E1"/>
    <w:rsid w:val="115B4BFE"/>
    <w:rsid w:val="115B4CE8"/>
    <w:rsid w:val="115B6486"/>
    <w:rsid w:val="115B693C"/>
    <w:rsid w:val="115C122E"/>
    <w:rsid w:val="115D0906"/>
    <w:rsid w:val="115D0DF5"/>
    <w:rsid w:val="115D4434"/>
    <w:rsid w:val="115D6261"/>
    <w:rsid w:val="115D6310"/>
    <w:rsid w:val="115E01DA"/>
    <w:rsid w:val="115E140E"/>
    <w:rsid w:val="115E22D4"/>
    <w:rsid w:val="115E6D0C"/>
    <w:rsid w:val="115F2018"/>
    <w:rsid w:val="115F216C"/>
    <w:rsid w:val="115F2F13"/>
    <w:rsid w:val="115F3580"/>
    <w:rsid w:val="115F7CDB"/>
    <w:rsid w:val="116021A5"/>
    <w:rsid w:val="11603B5C"/>
    <w:rsid w:val="116063E9"/>
    <w:rsid w:val="116100B9"/>
    <w:rsid w:val="11610206"/>
    <w:rsid w:val="11611492"/>
    <w:rsid w:val="11611CD9"/>
    <w:rsid w:val="116213CA"/>
    <w:rsid w:val="11621A79"/>
    <w:rsid w:val="116225B4"/>
    <w:rsid w:val="11625F1D"/>
    <w:rsid w:val="11630F86"/>
    <w:rsid w:val="11632FF3"/>
    <w:rsid w:val="11633575"/>
    <w:rsid w:val="11634A39"/>
    <w:rsid w:val="11634BEF"/>
    <w:rsid w:val="116352D6"/>
    <w:rsid w:val="11635FA4"/>
    <w:rsid w:val="11637F5B"/>
    <w:rsid w:val="116418EF"/>
    <w:rsid w:val="116443B6"/>
    <w:rsid w:val="116457F1"/>
    <w:rsid w:val="11646F99"/>
    <w:rsid w:val="11651F8A"/>
    <w:rsid w:val="11652C63"/>
    <w:rsid w:val="11653899"/>
    <w:rsid w:val="11655175"/>
    <w:rsid w:val="1165571B"/>
    <w:rsid w:val="11655D12"/>
    <w:rsid w:val="11655E95"/>
    <w:rsid w:val="11660630"/>
    <w:rsid w:val="11660951"/>
    <w:rsid w:val="116611DD"/>
    <w:rsid w:val="116616AB"/>
    <w:rsid w:val="11665A0D"/>
    <w:rsid w:val="11671785"/>
    <w:rsid w:val="11673155"/>
    <w:rsid w:val="116748C2"/>
    <w:rsid w:val="116752E1"/>
    <w:rsid w:val="11682E84"/>
    <w:rsid w:val="11692E07"/>
    <w:rsid w:val="116972AB"/>
    <w:rsid w:val="116976E5"/>
    <w:rsid w:val="116A2AE1"/>
    <w:rsid w:val="116B1D07"/>
    <w:rsid w:val="116B24AF"/>
    <w:rsid w:val="116B2C07"/>
    <w:rsid w:val="116C2163"/>
    <w:rsid w:val="116C28F7"/>
    <w:rsid w:val="116C3197"/>
    <w:rsid w:val="116C3D2E"/>
    <w:rsid w:val="116C6D9B"/>
    <w:rsid w:val="116C7750"/>
    <w:rsid w:val="116C7E6B"/>
    <w:rsid w:val="116D73FF"/>
    <w:rsid w:val="116D7E9F"/>
    <w:rsid w:val="116E0346"/>
    <w:rsid w:val="116E041E"/>
    <w:rsid w:val="116E25C8"/>
    <w:rsid w:val="116E54AE"/>
    <w:rsid w:val="116E7A89"/>
    <w:rsid w:val="116F23E8"/>
    <w:rsid w:val="116F4196"/>
    <w:rsid w:val="116F7A8E"/>
    <w:rsid w:val="11701DC9"/>
    <w:rsid w:val="11704A75"/>
    <w:rsid w:val="1171072E"/>
    <w:rsid w:val="117143B2"/>
    <w:rsid w:val="11714840"/>
    <w:rsid w:val="11716D60"/>
    <w:rsid w:val="11717F0E"/>
    <w:rsid w:val="11723799"/>
    <w:rsid w:val="1172447D"/>
    <w:rsid w:val="1172521F"/>
    <w:rsid w:val="1173012A"/>
    <w:rsid w:val="11730499"/>
    <w:rsid w:val="11731ED8"/>
    <w:rsid w:val="1173286F"/>
    <w:rsid w:val="11740BD4"/>
    <w:rsid w:val="11742DB9"/>
    <w:rsid w:val="11743B34"/>
    <w:rsid w:val="117440CB"/>
    <w:rsid w:val="11744414"/>
    <w:rsid w:val="117444FA"/>
    <w:rsid w:val="117450BC"/>
    <w:rsid w:val="117503D4"/>
    <w:rsid w:val="11754ACB"/>
    <w:rsid w:val="11755C50"/>
    <w:rsid w:val="117619C8"/>
    <w:rsid w:val="117619EB"/>
    <w:rsid w:val="11761ECB"/>
    <w:rsid w:val="11764A2F"/>
    <w:rsid w:val="117652B1"/>
    <w:rsid w:val="11772E7B"/>
    <w:rsid w:val="11773712"/>
    <w:rsid w:val="11775672"/>
    <w:rsid w:val="1178129C"/>
    <w:rsid w:val="1178312C"/>
    <w:rsid w:val="1178430B"/>
    <w:rsid w:val="11790ACA"/>
    <w:rsid w:val="11795D47"/>
    <w:rsid w:val="117A006C"/>
    <w:rsid w:val="117A036C"/>
    <w:rsid w:val="117A14B8"/>
    <w:rsid w:val="117A327D"/>
    <w:rsid w:val="117A6972"/>
    <w:rsid w:val="117B01B9"/>
    <w:rsid w:val="117B2B3A"/>
    <w:rsid w:val="117B3873"/>
    <w:rsid w:val="117B5A91"/>
    <w:rsid w:val="117B5E59"/>
    <w:rsid w:val="117D55DA"/>
    <w:rsid w:val="117D68B3"/>
    <w:rsid w:val="117E017D"/>
    <w:rsid w:val="117F1523"/>
    <w:rsid w:val="117F1DD4"/>
    <w:rsid w:val="117F262B"/>
    <w:rsid w:val="117F4F8B"/>
    <w:rsid w:val="117F6174"/>
    <w:rsid w:val="117F671F"/>
    <w:rsid w:val="117F6758"/>
    <w:rsid w:val="117F6ACF"/>
    <w:rsid w:val="118045F5"/>
    <w:rsid w:val="11812847"/>
    <w:rsid w:val="1181383D"/>
    <w:rsid w:val="11817D48"/>
    <w:rsid w:val="11823EC9"/>
    <w:rsid w:val="1182454A"/>
    <w:rsid w:val="11826A24"/>
    <w:rsid w:val="11826BD9"/>
    <w:rsid w:val="1182786C"/>
    <w:rsid w:val="11836790"/>
    <w:rsid w:val="11836C3D"/>
    <w:rsid w:val="118428AE"/>
    <w:rsid w:val="118440E5"/>
    <w:rsid w:val="11847667"/>
    <w:rsid w:val="11852AF6"/>
    <w:rsid w:val="11852F84"/>
    <w:rsid w:val="11855335"/>
    <w:rsid w:val="11864507"/>
    <w:rsid w:val="11867E5D"/>
    <w:rsid w:val="11875FEB"/>
    <w:rsid w:val="11877731"/>
    <w:rsid w:val="11880274"/>
    <w:rsid w:val="11881B28"/>
    <w:rsid w:val="11882AC6"/>
    <w:rsid w:val="11883AE7"/>
    <w:rsid w:val="1188432E"/>
    <w:rsid w:val="11886BA2"/>
    <w:rsid w:val="1188779F"/>
    <w:rsid w:val="118934A9"/>
    <w:rsid w:val="11893587"/>
    <w:rsid w:val="1189385A"/>
    <w:rsid w:val="11894686"/>
    <w:rsid w:val="118A51EE"/>
    <w:rsid w:val="118A615A"/>
    <w:rsid w:val="118B19E6"/>
    <w:rsid w:val="118B40BA"/>
    <w:rsid w:val="118B5DC3"/>
    <w:rsid w:val="118B7221"/>
    <w:rsid w:val="118B7EF2"/>
    <w:rsid w:val="118C2781"/>
    <w:rsid w:val="118C4D48"/>
    <w:rsid w:val="118D1F0A"/>
    <w:rsid w:val="118E2CD6"/>
    <w:rsid w:val="118E4A7D"/>
    <w:rsid w:val="118E7D16"/>
    <w:rsid w:val="118E7EDA"/>
    <w:rsid w:val="118F0306"/>
    <w:rsid w:val="118F2F35"/>
    <w:rsid w:val="118F79D7"/>
    <w:rsid w:val="11902592"/>
    <w:rsid w:val="11902A8A"/>
    <w:rsid w:val="11902BAE"/>
    <w:rsid w:val="119068AA"/>
    <w:rsid w:val="119105B0"/>
    <w:rsid w:val="11911CE0"/>
    <w:rsid w:val="1191235E"/>
    <w:rsid w:val="119139C6"/>
    <w:rsid w:val="11915CE7"/>
    <w:rsid w:val="11916802"/>
    <w:rsid w:val="119266E6"/>
    <w:rsid w:val="11927BC8"/>
    <w:rsid w:val="119311C4"/>
    <w:rsid w:val="11936342"/>
    <w:rsid w:val="11940952"/>
    <w:rsid w:val="119433D5"/>
    <w:rsid w:val="11943BFC"/>
    <w:rsid w:val="119442FC"/>
    <w:rsid w:val="119459BD"/>
    <w:rsid w:val="119500A0"/>
    <w:rsid w:val="119529E4"/>
    <w:rsid w:val="11953833"/>
    <w:rsid w:val="11953FCF"/>
    <w:rsid w:val="11955682"/>
    <w:rsid w:val="11962C8B"/>
    <w:rsid w:val="11963E18"/>
    <w:rsid w:val="119650C5"/>
    <w:rsid w:val="119654BE"/>
    <w:rsid w:val="11965BC6"/>
    <w:rsid w:val="11965FBD"/>
    <w:rsid w:val="11970731"/>
    <w:rsid w:val="119761D1"/>
    <w:rsid w:val="11976A51"/>
    <w:rsid w:val="11976BFB"/>
    <w:rsid w:val="11977CE3"/>
    <w:rsid w:val="1198193E"/>
    <w:rsid w:val="11986795"/>
    <w:rsid w:val="11986CB3"/>
    <w:rsid w:val="119871BC"/>
    <w:rsid w:val="119921B4"/>
    <w:rsid w:val="119949BE"/>
    <w:rsid w:val="119A1882"/>
    <w:rsid w:val="119A3908"/>
    <w:rsid w:val="119A7465"/>
    <w:rsid w:val="119B0854"/>
    <w:rsid w:val="119B18B2"/>
    <w:rsid w:val="119C0B35"/>
    <w:rsid w:val="119C0E59"/>
    <w:rsid w:val="119C142F"/>
    <w:rsid w:val="119C1E8C"/>
    <w:rsid w:val="119C2A12"/>
    <w:rsid w:val="119C3B4E"/>
    <w:rsid w:val="119D29D4"/>
    <w:rsid w:val="119D4B6C"/>
    <w:rsid w:val="119D4B96"/>
    <w:rsid w:val="119D51A7"/>
    <w:rsid w:val="119D7CB5"/>
    <w:rsid w:val="119E0904"/>
    <w:rsid w:val="119E0BF1"/>
    <w:rsid w:val="119E14CC"/>
    <w:rsid w:val="119E6584"/>
    <w:rsid w:val="119F0F1F"/>
    <w:rsid w:val="119F2CCD"/>
    <w:rsid w:val="119F3152"/>
    <w:rsid w:val="119F448A"/>
    <w:rsid w:val="119F4A7B"/>
    <w:rsid w:val="119F74B6"/>
    <w:rsid w:val="11A00455"/>
    <w:rsid w:val="11A00EF6"/>
    <w:rsid w:val="11A0203A"/>
    <w:rsid w:val="11A02087"/>
    <w:rsid w:val="11A058DC"/>
    <w:rsid w:val="11A07725"/>
    <w:rsid w:val="11A07A68"/>
    <w:rsid w:val="11A11248"/>
    <w:rsid w:val="11A1222B"/>
    <w:rsid w:val="11A16508"/>
    <w:rsid w:val="11A16A45"/>
    <w:rsid w:val="11A227BD"/>
    <w:rsid w:val="11A2652B"/>
    <w:rsid w:val="11A26AC1"/>
    <w:rsid w:val="11A36BAD"/>
    <w:rsid w:val="11A37D74"/>
    <w:rsid w:val="11A41C15"/>
    <w:rsid w:val="11A43598"/>
    <w:rsid w:val="11A43CBD"/>
    <w:rsid w:val="11A44ED4"/>
    <w:rsid w:val="11A450C7"/>
    <w:rsid w:val="11A45AD0"/>
    <w:rsid w:val="11A46535"/>
    <w:rsid w:val="11A472C7"/>
    <w:rsid w:val="11A5414B"/>
    <w:rsid w:val="11A55E09"/>
    <w:rsid w:val="11A6405B"/>
    <w:rsid w:val="11A677CF"/>
    <w:rsid w:val="11A71B81"/>
    <w:rsid w:val="11A726EA"/>
    <w:rsid w:val="11A74D22"/>
    <w:rsid w:val="11A74DE7"/>
    <w:rsid w:val="11A77389"/>
    <w:rsid w:val="11A77DD3"/>
    <w:rsid w:val="11A81CA9"/>
    <w:rsid w:val="11A94034"/>
    <w:rsid w:val="11A948B9"/>
    <w:rsid w:val="11AA2E3C"/>
    <w:rsid w:val="11AA3420"/>
    <w:rsid w:val="11AB1672"/>
    <w:rsid w:val="11AB2B3B"/>
    <w:rsid w:val="11AB2B90"/>
    <w:rsid w:val="11AB4667"/>
    <w:rsid w:val="11AB5297"/>
    <w:rsid w:val="11AB78C4"/>
    <w:rsid w:val="11AB7FBC"/>
    <w:rsid w:val="11AC062A"/>
    <w:rsid w:val="11AC0EE9"/>
    <w:rsid w:val="11AC1E40"/>
    <w:rsid w:val="11AC7198"/>
    <w:rsid w:val="11AD0DCB"/>
    <w:rsid w:val="11AD1B6C"/>
    <w:rsid w:val="11AD32A0"/>
    <w:rsid w:val="11AE1162"/>
    <w:rsid w:val="11AE2F10"/>
    <w:rsid w:val="11AE4CBE"/>
    <w:rsid w:val="11AE6566"/>
    <w:rsid w:val="11AE6C9D"/>
    <w:rsid w:val="11AE7690"/>
    <w:rsid w:val="11AF4661"/>
    <w:rsid w:val="11AF5665"/>
    <w:rsid w:val="11B00A36"/>
    <w:rsid w:val="11B048D4"/>
    <w:rsid w:val="11B05467"/>
    <w:rsid w:val="11B05A88"/>
    <w:rsid w:val="11B12A00"/>
    <w:rsid w:val="11B15F2B"/>
    <w:rsid w:val="11B16643"/>
    <w:rsid w:val="11B16D8D"/>
    <w:rsid w:val="11B178CD"/>
    <w:rsid w:val="11B20C52"/>
    <w:rsid w:val="11B211CD"/>
    <w:rsid w:val="11B2420E"/>
    <w:rsid w:val="11B30526"/>
    <w:rsid w:val="11B309F8"/>
    <w:rsid w:val="11B30EC5"/>
    <w:rsid w:val="11B32274"/>
    <w:rsid w:val="11B322D4"/>
    <w:rsid w:val="11B36778"/>
    <w:rsid w:val="11B36C45"/>
    <w:rsid w:val="11B40496"/>
    <w:rsid w:val="11B41992"/>
    <w:rsid w:val="11B4244D"/>
    <w:rsid w:val="11B44296"/>
    <w:rsid w:val="11B44D31"/>
    <w:rsid w:val="11B45B1A"/>
    <w:rsid w:val="11B5289C"/>
    <w:rsid w:val="11B52FA0"/>
    <w:rsid w:val="11B52FAC"/>
    <w:rsid w:val="11B5604C"/>
    <w:rsid w:val="11B56A02"/>
    <w:rsid w:val="11B57DA8"/>
    <w:rsid w:val="11B60016"/>
    <w:rsid w:val="11B64E32"/>
    <w:rsid w:val="11B75B54"/>
    <w:rsid w:val="11B76268"/>
    <w:rsid w:val="11B81344"/>
    <w:rsid w:val="11B82502"/>
    <w:rsid w:val="11B83D8F"/>
    <w:rsid w:val="11B8515B"/>
    <w:rsid w:val="11B85B3D"/>
    <w:rsid w:val="11B87AB2"/>
    <w:rsid w:val="11BA18B5"/>
    <w:rsid w:val="11BA40BE"/>
    <w:rsid w:val="11BA40D6"/>
    <w:rsid w:val="11BA77E3"/>
    <w:rsid w:val="11BA7B07"/>
    <w:rsid w:val="11BB1688"/>
    <w:rsid w:val="11BB1BE9"/>
    <w:rsid w:val="11BB562D"/>
    <w:rsid w:val="11BB73DB"/>
    <w:rsid w:val="11BC01DA"/>
    <w:rsid w:val="11BC1165"/>
    <w:rsid w:val="11BC18B6"/>
    <w:rsid w:val="11BC387F"/>
    <w:rsid w:val="11BC5427"/>
    <w:rsid w:val="11BC6405"/>
    <w:rsid w:val="11BC7BEB"/>
    <w:rsid w:val="11BD2A47"/>
    <w:rsid w:val="11BD3439"/>
    <w:rsid w:val="11BD7043"/>
    <w:rsid w:val="11BD75F7"/>
    <w:rsid w:val="11BD7880"/>
    <w:rsid w:val="11BE00C6"/>
    <w:rsid w:val="11BE5FD9"/>
    <w:rsid w:val="11BE69A4"/>
    <w:rsid w:val="11BE74C9"/>
    <w:rsid w:val="11BF1B0D"/>
    <w:rsid w:val="11BF3DE2"/>
    <w:rsid w:val="11BF5269"/>
    <w:rsid w:val="11BF6623"/>
    <w:rsid w:val="11BF6ECB"/>
    <w:rsid w:val="11C02B49"/>
    <w:rsid w:val="11C046BE"/>
    <w:rsid w:val="11C10E95"/>
    <w:rsid w:val="11C1164D"/>
    <w:rsid w:val="11C127C1"/>
    <w:rsid w:val="11C12B01"/>
    <w:rsid w:val="11C20769"/>
    <w:rsid w:val="11C22850"/>
    <w:rsid w:val="11C23F91"/>
    <w:rsid w:val="11C24C0D"/>
    <w:rsid w:val="11C25797"/>
    <w:rsid w:val="11C269BB"/>
    <w:rsid w:val="11C26CA4"/>
    <w:rsid w:val="11C27277"/>
    <w:rsid w:val="11C27F29"/>
    <w:rsid w:val="11C32539"/>
    <w:rsid w:val="11C37460"/>
    <w:rsid w:val="11C40018"/>
    <w:rsid w:val="11C40985"/>
    <w:rsid w:val="11C409A5"/>
    <w:rsid w:val="11C41482"/>
    <w:rsid w:val="11C42C3E"/>
    <w:rsid w:val="11C435EA"/>
    <w:rsid w:val="11C5058A"/>
    <w:rsid w:val="11C511D1"/>
    <w:rsid w:val="11C52008"/>
    <w:rsid w:val="11C548E0"/>
    <w:rsid w:val="11C61E95"/>
    <w:rsid w:val="11C62740"/>
    <w:rsid w:val="11C63681"/>
    <w:rsid w:val="11C65E0B"/>
    <w:rsid w:val="11C664AC"/>
    <w:rsid w:val="11C72224"/>
    <w:rsid w:val="11C75D80"/>
    <w:rsid w:val="11C77E03"/>
    <w:rsid w:val="11C8204C"/>
    <w:rsid w:val="11C840AC"/>
    <w:rsid w:val="11C91AF8"/>
    <w:rsid w:val="11C91C81"/>
    <w:rsid w:val="11C921D3"/>
    <w:rsid w:val="11C95F9C"/>
    <w:rsid w:val="11C97D4A"/>
    <w:rsid w:val="11CA1E86"/>
    <w:rsid w:val="11CA3BB3"/>
    <w:rsid w:val="11CB1987"/>
    <w:rsid w:val="11CB1D2C"/>
    <w:rsid w:val="11CB2213"/>
    <w:rsid w:val="11CB2733"/>
    <w:rsid w:val="11CB5870"/>
    <w:rsid w:val="11CB6AFA"/>
    <w:rsid w:val="11CB7D3D"/>
    <w:rsid w:val="11CC0F45"/>
    <w:rsid w:val="11CC15E8"/>
    <w:rsid w:val="11CC3396"/>
    <w:rsid w:val="11CC4383"/>
    <w:rsid w:val="11CC5193"/>
    <w:rsid w:val="11CC783A"/>
    <w:rsid w:val="11CD3E36"/>
    <w:rsid w:val="11CD6CD3"/>
    <w:rsid w:val="11CE13B2"/>
    <w:rsid w:val="11CE2534"/>
    <w:rsid w:val="11CE710E"/>
    <w:rsid w:val="11CF4B59"/>
    <w:rsid w:val="11CF4F04"/>
    <w:rsid w:val="11D0005D"/>
    <w:rsid w:val="11D010D8"/>
    <w:rsid w:val="11D0206C"/>
    <w:rsid w:val="11D04CC4"/>
    <w:rsid w:val="11D07678"/>
    <w:rsid w:val="11D16376"/>
    <w:rsid w:val="11D16BFE"/>
    <w:rsid w:val="11D17E7A"/>
    <w:rsid w:val="11D230A2"/>
    <w:rsid w:val="11D30BC8"/>
    <w:rsid w:val="11D32646"/>
    <w:rsid w:val="11D4241A"/>
    <w:rsid w:val="11D42A49"/>
    <w:rsid w:val="11D438E1"/>
    <w:rsid w:val="11D472DB"/>
    <w:rsid w:val="11D5049D"/>
    <w:rsid w:val="11D524B5"/>
    <w:rsid w:val="11D755E4"/>
    <w:rsid w:val="11D84431"/>
    <w:rsid w:val="11D85E46"/>
    <w:rsid w:val="11D861DF"/>
    <w:rsid w:val="11D905B5"/>
    <w:rsid w:val="11D91FEF"/>
    <w:rsid w:val="11DA17AA"/>
    <w:rsid w:val="11DB182B"/>
    <w:rsid w:val="11DB2B2B"/>
    <w:rsid w:val="11DB2CE1"/>
    <w:rsid w:val="11DB7689"/>
    <w:rsid w:val="11DB7F2F"/>
    <w:rsid w:val="11DC27F6"/>
    <w:rsid w:val="11DC5CCF"/>
    <w:rsid w:val="11DC7709"/>
    <w:rsid w:val="11DD1A47"/>
    <w:rsid w:val="11DD252D"/>
    <w:rsid w:val="11DD37F5"/>
    <w:rsid w:val="11DD62CE"/>
    <w:rsid w:val="11DD6828"/>
    <w:rsid w:val="11DE0D65"/>
    <w:rsid w:val="11DE2FF3"/>
    <w:rsid w:val="11DE36B9"/>
    <w:rsid w:val="11DE45D1"/>
    <w:rsid w:val="11DE4A09"/>
    <w:rsid w:val="11DE53BA"/>
    <w:rsid w:val="11DE5DED"/>
    <w:rsid w:val="11DF131B"/>
    <w:rsid w:val="11DF4C61"/>
    <w:rsid w:val="11DF756D"/>
    <w:rsid w:val="11DF7B08"/>
    <w:rsid w:val="11E05C0C"/>
    <w:rsid w:val="11E073F0"/>
    <w:rsid w:val="11E0751A"/>
    <w:rsid w:val="11E119D4"/>
    <w:rsid w:val="11E13033"/>
    <w:rsid w:val="11E13417"/>
    <w:rsid w:val="11E15093"/>
    <w:rsid w:val="11E2010F"/>
    <w:rsid w:val="11E21E3A"/>
    <w:rsid w:val="11E2249C"/>
    <w:rsid w:val="11E22BBA"/>
    <w:rsid w:val="11E243F7"/>
    <w:rsid w:val="11E34350"/>
    <w:rsid w:val="11E35E9B"/>
    <w:rsid w:val="11E35F69"/>
    <w:rsid w:val="11E36F15"/>
    <w:rsid w:val="11E36F6C"/>
    <w:rsid w:val="11E3705D"/>
    <w:rsid w:val="11E410AE"/>
    <w:rsid w:val="11E42DD6"/>
    <w:rsid w:val="11E44B84"/>
    <w:rsid w:val="11E46932"/>
    <w:rsid w:val="11E608FC"/>
    <w:rsid w:val="11E61854"/>
    <w:rsid w:val="11E626AA"/>
    <w:rsid w:val="11E62972"/>
    <w:rsid w:val="11E63BAA"/>
    <w:rsid w:val="11E678AF"/>
    <w:rsid w:val="11E701D0"/>
    <w:rsid w:val="11E707D7"/>
    <w:rsid w:val="11E713EB"/>
    <w:rsid w:val="11E80885"/>
    <w:rsid w:val="11E82BDC"/>
    <w:rsid w:val="11E83F17"/>
    <w:rsid w:val="11E85CAC"/>
    <w:rsid w:val="11E9169E"/>
    <w:rsid w:val="11E91D0D"/>
    <w:rsid w:val="11E9219A"/>
    <w:rsid w:val="11E93036"/>
    <w:rsid w:val="11E95B76"/>
    <w:rsid w:val="11E96361"/>
    <w:rsid w:val="11E97D32"/>
    <w:rsid w:val="11EA2AEC"/>
    <w:rsid w:val="11EA684F"/>
    <w:rsid w:val="11EB07A3"/>
    <w:rsid w:val="11EB377D"/>
    <w:rsid w:val="11EB4164"/>
    <w:rsid w:val="11EB5F12"/>
    <w:rsid w:val="11EB7CC0"/>
    <w:rsid w:val="11EC57E6"/>
    <w:rsid w:val="11EC6C3F"/>
    <w:rsid w:val="11ED0149"/>
    <w:rsid w:val="11ED0471"/>
    <w:rsid w:val="11ED0CB1"/>
    <w:rsid w:val="11ED197C"/>
    <w:rsid w:val="11ED1C8A"/>
    <w:rsid w:val="11ED53BB"/>
    <w:rsid w:val="11ED5820"/>
    <w:rsid w:val="11ED6C55"/>
    <w:rsid w:val="11EE0206"/>
    <w:rsid w:val="11EE0AF5"/>
    <w:rsid w:val="11EE76B2"/>
    <w:rsid w:val="11EE77B0"/>
    <w:rsid w:val="11EF3B42"/>
    <w:rsid w:val="11EF443E"/>
    <w:rsid w:val="11EF5145"/>
    <w:rsid w:val="11F03B10"/>
    <w:rsid w:val="11F052D6"/>
    <w:rsid w:val="11F07E01"/>
    <w:rsid w:val="11F106DE"/>
    <w:rsid w:val="11F12DFD"/>
    <w:rsid w:val="11F1466B"/>
    <w:rsid w:val="11F14C6D"/>
    <w:rsid w:val="11F16D5E"/>
    <w:rsid w:val="11F225D0"/>
    <w:rsid w:val="11F22630"/>
    <w:rsid w:val="11F254F3"/>
    <w:rsid w:val="11F270DD"/>
    <w:rsid w:val="11F330B2"/>
    <w:rsid w:val="11F3328D"/>
    <w:rsid w:val="11F33C77"/>
    <w:rsid w:val="11F35990"/>
    <w:rsid w:val="11F36B75"/>
    <w:rsid w:val="11F4307B"/>
    <w:rsid w:val="11F44C2F"/>
    <w:rsid w:val="11F45FDB"/>
    <w:rsid w:val="11F503B7"/>
    <w:rsid w:val="11F528ED"/>
    <w:rsid w:val="11F53491"/>
    <w:rsid w:val="11F56D91"/>
    <w:rsid w:val="11F57371"/>
    <w:rsid w:val="11F64315"/>
    <w:rsid w:val="11F65296"/>
    <w:rsid w:val="11F75B8E"/>
    <w:rsid w:val="11F76665"/>
    <w:rsid w:val="11F8062F"/>
    <w:rsid w:val="11F823DD"/>
    <w:rsid w:val="11F828C1"/>
    <w:rsid w:val="11F84060"/>
    <w:rsid w:val="11F8418B"/>
    <w:rsid w:val="11F84728"/>
    <w:rsid w:val="11F900C1"/>
    <w:rsid w:val="11F9333E"/>
    <w:rsid w:val="11F965E1"/>
    <w:rsid w:val="11FA2C92"/>
    <w:rsid w:val="11FA3573"/>
    <w:rsid w:val="11FA43A7"/>
    <w:rsid w:val="11FA5F0D"/>
    <w:rsid w:val="11FB2308"/>
    <w:rsid w:val="11FB3BEC"/>
    <w:rsid w:val="11FB7A75"/>
    <w:rsid w:val="11FD0F1B"/>
    <w:rsid w:val="11FD5C45"/>
    <w:rsid w:val="11FE5834"/>
    <w:rsid w:val="11FE767D"/>
    <w:rsid w:val="11FF19BD"/>
    <w:rsid w:val="11FF1B8A"/>
    <w:rsid w:val="11FF551A"/>
    <w:rsid w:val="12011292"/>
    <w:rsid w:val="12015D9E"/>
    <w:rsid w:val="12016853"/>
    <w:rsid w:val="120220B7"/>
    <w:rsid w:val="120261AA"/>
    <w:rsid w:val="12026B69"/>
    <w:rsid w:val="120314AE"/>
    <w:rsid w:val="12032E5A"/>
    <w:rsid w:val="12040211"/>
    <w:rsid w:val="12041DE8"/>
    <w:rsid w:val="12042904"/>
    <w:rsid w:val="12042B30"/>
    <w:rsid w:val="1204378C"/>
    <w:rsid w:val="12044F32"/>
    <w:rsid w:val="12045226"/>
    <w:rsid w:val="1204542E"/>
    <w:rsid w:val="12046915"/>
    <w:rsid w:val="12046FD4"/>
    <w:rsid w:val="120627E3"/>
    <w:rsid w:val="12062999"/>
    <w:rsid w:val="12064AFA"/>
    <w:rsid w:val="12074BFB"/>
    <w:rsid w:val="12075296"/>
    <w:rsid w:val="12086042"/>
    <w:rsid w:val="12086AC4"/>
    <w:rsid w:val="12090F14"/>
    <w:rsid w:val="12092705"/>
    <w:rsid w:val="1209283C"/>
    <w:rsid w:val="120945EA"/>
    <w:rsid w:val="12096398"/>
    <w:rsid w:val="120A0FC0"/>
    <w:rsid w:val="120A2830"/>
    <w:rsid w:val="120A50D5"/>
    <w:rsid w:val="120A6475"/>
    <w:rsid w:val="120B0362"/>
    <w:rsid w:val="120B1325"/>
    <w:rsid w:val="120B2110"/>
    <w:rsid w:val="120B24D6"/>
    <w:rsid w:val="120B3C17"/>
    <w:rsid w:val="120B5C57"/>
    <w:rsid w:val="120C65B5"/>
    <w:rsid w:val="120C6E54"/>
    <w:rsid w:val="120C70B7"/>
    <w:rsid w:val="120D05ED"/>
    <w:rsid w:val="120D18D5"/>
    <w:rsid w:val="120D5E88"/>
    <w:rsid w:val="120E1C01"/>
    <w:rsid w:val="120E2D65"/>
    <w:rsid w:val="120E7607"/>
    <w:rsid w:val="120E79C7"/>
    <w:rsid w:val="120F33ED"/>
    <w:rsid w:val="120F5FAC"/>
    <w:rsid w:val="12100618"/>
    <w:rsid w:val="1210159E"/>
    <w:rsid w:val="12101C5D"/>
    <w:rsid w:val="1210249A"/>
    <w:rsid w:val="12103BCB"/>
    <w:rsid w:val="12106E1E"/>
    <w:rsid w:val="12110DFA"/>
    <w:rsid w:val="12111FA5"/>
    <w:rsid w:val="1211524D"/>
    <w:rsid w:val="12116184"/>
    <w:rsid w:val="12121331"/>
    <w:rsid w:val="121216F1"/>
    <w:rsid w:val="12130FC5"/>
    <w:rsid w:val="1213426D"/>
    <w:rsid w:val="12135469"/>
    <w:rsid w:val="12136951"/>
    <w:rsid w:val="12137217"/>
    <w:rsid w:val="121448FA"/>
    <w:rsid w:val="12144CC9"/>
    <w:rsid w:val="12145BB7"/>
    <w:rsid w:val="12146CDD"/>
    <w:rsid w:val="12151127"/>
    <w:rsid w:val="12151156"/>
    <w:rsid w:val="121511E1"/>
    <w:rsid w:val="12152F8F"/>
    <w:rsid w:val="12153EA8"/>
    <w:rsid w:val="121544CC"/>
    <w:rsid w:val="121548EA"/>
    <w:rsid w:val="12154C55"/>
    <w:rsid w:val="12154D3D"/>
    <w:rsid w:val="12160D2A"/>
    <w:rsid w:val="12163C8A"/>
    <w:rsid w:val="12163FE7"/>
    <w:rsid w:val="12165D7C"/>
    <w:rsid w:val="12170AB5"/>
    <w:rsid w:val="121721BA"/>
    <w:rsid w:val="12172E50"/>
    <w:rsid w:val="121740E7"/>
    <w:rsid w:val="12181AE0"/>
    <w:rsid w:val="12185AF0"/>
    <w:rsid w:val="121865DB"/>
    <w:rsid w:val="12192A7F"/>
    <w:rsid w:val="121A0B3B"/>
    <w:rsid w:val="121A67F7"/>
    <w:rsid w:val="121B0F9C"/>
    <w:rsid w:val="121B3E8A"/>
    <w:rsid w:val="121C2E89"/>
    <w:rsid w:val="121C40F4"/>
    <w:rsid w:val="121C603A"/>
    <w:rsid w:val="121D3BF2"/>
    <w:rsid w:val="121E0096"/>
    <w:rsid w:val="121E60C8"/>
    <w:rsid w:val="121E62E8"/>
    <w:rsid w:val="121F0DF3"/>
    <w:rsid w:val="121F138B"/>
    <w:rsid w:val="121F1DDC"/>
    <w:rsid w:val="121F2ECD"/>
    <w:rsid w:val="121F3E0E"/>
    <w:rsid w:val="121F6E19"/>
    <w:rsid w:val="12200467"/>
    <w:rsid w:val="1220626D"/>
    <w:rsid w:val="12210BEC"/>
    <w:rsid w:val="122136E2"/>
    <w:rsid w:val="12213C21"/>
    <w:rsid w:val="12217A64"/>
    <w:rsid w:val="1222054A"/>
    <w:rsid w:val="12222EE7"/>
    <w:rsid w:val="12224B8D"/>
    <w:rsid w:val="1222574D"/>
    <w:rsid w:val="122272CD"/>
    <w:rsid w:val="1223332E"/>
    <w:rsid w:val="122351C3"/>
    <w:rsid w:val="12236A01"/>
    <w:rsid w:val="1223727C"/>
    <w:rsid w:val="12241424"/>
    <w:rsid w:val="12242514"/>
    <w:rsid w:val="12244F80"/>
    <w:rsid w:val="1224540F"/>
    <w:rsid w:val="1225409E"/>
    <w:rsid w:val="122669FF"/>
    <w:rsid w:val="12273855"/>
    <w:rsid w:val="12276577"/>
    <w:rsid w:val="12280F14"/>
    <w:rsid w:val="12282CC2"/>
    <w:rsid w:val="122877DA"/>
    <w:rsid w:val="122907E8"/>
    <w:rsid w:val="12292751"/>
    <w:rsid w:val="1229582A"/>
    <w:rsid w:val="12295A5F"/>
    <w:rsid w:val="122A25C8"/>
    <w:rsid w:val="122A4C8C"/>
    <w:rsid w:val="122B1AC0"/>
    <w:rsid w:val="122B2547"/>
    <w:rsid w:val="122B27B2"/>
    <w:rsid w:val="122B4040"/>
    <w:rsid w:val="122B4561"/>
    <w:rsid w:val="122B784F"/>
    <w:rsid w:val="122C5A64"/>
    <w:rsid w:val="122C7882"/>
    <w:rsid w:val="122D3ACC"/>
    <w:rsid w:val="122D43E0"/>
    <w:rsid w:val="122D4526"/>
    <w:rsid w:val="122D5247"/>
    <w:rsid w:val="122D5442"/>
    <w:rsid w:val="122D5DA9"/>
    <w:rsid w:val="122D652B"/>
    <w:rsid w:val="122D6FB1"/>
    <w:rsid w:val="122E5DFF"/>
    <w:rsid w:val="122F196A"/>
    <w:rsid w:val="12301B77"/>
    <w:rsid w:val="12303925"/>
    <w:rsid w:val="12312130"/>
    <w:rsid w:val="123150C4"/>
    <w:rsid w:val="12315932"/>
    <w:rsid w:val="12320686"/>
    <w:rsid w:val="12320B2E"/>
    <w:rsid w:val="12320EC6"/>
    <w:rsid w:val="123213BC"/>
    <w:rsid w:val="12323308"/>
    <w:rsid w:val="12323B41"/>
    <w:rsid w:val="123258EF"/>
    <w:rsid w:val="12331667"/>
    <w:rsid w:val="12333415"/>
    <w:rsid w:val="123416E2"/>
    <w:rsid w:val="12341839"/>
    <w:rsid w:val="12342E81"/>
    <w:rsid w:val="12344FF3"/>
    <w:rsid w:val="12346DB9"/>
    <w:rsid w:val="12350842"/>
    <w:rsid w:val="12352BF9"/>
    <w:rsid w:val="12354633"/>
    <w:rsid w:val="12356B1C"/>
    <w:rsid w:val="12356FAB"/>
    <w:rsid w:val="12360E39"/>
    <w:rsid w:val="123627A7"/>
    <w:rsid w:val="123658A3"/>
    <w:rsid w:val="123662BE"/>
    <w:rsid w:val="12371157"/>
    <w:rsid w:val="12371DF9"/>
    <w:rsid w:val="12372F05"/>
    <w:rsid w:val="12374CB3"/>
    <w:rsid w:val="123764F6"/>
    <w:rsid w:val="12376E41"/>
    <w:rsid w:val="123824B3"/>
    <w:rsid w:val="123827CE"/>
    <w:rsid w:val="123829E4"/>
    <w:rsid w:val="12382C34"/>
    <w:rsid w:val="12383B71"/>
    <w:rsid w:val="123856E3"/>
    <w:rsid w:val="12386C7D"/>
    <w:rsid w:val="12387AFE"/>
    <w:rsid w:val="123909B5"/>
    <w:rsid w:val="12392589"/>
    <w:rsid w:val="12394ECF"/>
    <w:rsid w:val="12395554"/>
    <w:rsid w:val="12397425"/>
    <w:rsid w:val="123A0C13"/>
    <w:rsid w:val="123A0C48"/>
    <w:rsid w:val="123A47A4"/>
    <w:rsid w:val="123B1294"/>
    <w:rsid w:val="123B2903"/>
    <w:rsid w:val="123B37FA"/>
    <w:rsid w:val="123B6C89"/>
    <w:rsid w:val="123B77F4"/>
    <w:rsid w:val="123B7E74"/>
    <w:rsid w:val="123C1027"/>
    <w:rsid w:val="123C1304"/>
    <w:rsid w:val="123C2565"/>
    <w:rsid w:val="123C35FB"/>
    <w:rsid w:val="123C3A5B"/>
    <w:rsid w:val="123C49C0"/>
    <w:rsid w:val="123C58F9"/>
    <w:rsid w:val="123C5D13"/>
    <w:rsid w:val="123C648A"/>
    <w:rsid w:val="123C676E"/>
    <w:rsid w:val="123D2638"/>
    <w:rsid w:val="123D49DF"/>
    <w:rsid w:val="123D700F"/>
    <w:rsid w:val="123E24E6"/>
    <w:rsid w:val="123E2A17"/>
    <w:rsid w:val="123E4294"/>
    <w:rsid w:val="123E43E9"/>
    <w:rsid w:val="123F000C"/>
    <w:rsid w:val="123F1DBA"/>
    <w:rsid w:val="123F3D41"/>
    <w:rsid w:val="12400B43"/>
    <w:rsid w:val="12401417"/>
    <w:rsid w:val="124062AF"/>
    <w:rsid w:val="12411FD6"/>
    <w:rsid w:val="12412355"/>
    <w:rsid w:val="12413D84"/>
    <w:rsid w:val="12415B32"/>
    <w:rsid w:val="124204EC"/>
    <w:rsid w:val="12426CB1"/>
    <w:rsid w:val="124324F2"/>
    <w:rsid w:val="12432E12"/>
    <w:rsid w:val="12444414"/>
    <w:rsid w:val="12445622"/>
    <w:rsid w:val="12446747"/>
    <w:rsid w:val="124473D0"/>
    <w:rsid w:val="12447C59"/>
    <w:rsid w:val="12451CF3"/>
    <w:rsid w:val="1245310D"/>
    <w:rsid w:val="12455238"/>
    <w:rsid w:val="1245617B"/>
    <w:rsid w:val="124577BE"/>
    <w:rsid w:val="12470EBA"/>
    <w:rsid w:val="1247383D"/>
    <w:rsid w:val="124738EE"/>
    <w:rsid w:val="12480440"/>
    <w:rsid w:val="12485112"/>
    <w:rsid w:val="124859DE"/>
    <w:rsid w:val="12486FDD"/>
    <w:rsid w:val="12491D69"/>
    <w:rsid w:val="12492C39"/>
    <w:rsid w:val="12492E75"/>
    <w:rsid w:val="124A05B1"/>
    <w:rsid w:val="124A3908"/>
    <w:rsid w:val="124A4964"/>
    <w:rsid w:val="124A70DD"/>
    <w:rsid w:val="124A7751"/>
    <w:rsid w:val="124B075F"/>
    <w:rsid w:val="124B3174"/>
    <w:rsid w:val="124B426F"/>
    <w:rsid w:val="124B69B1"/>
    <w:rsid w:val="124B69D2"/>
    <w:rsid w:val="124C2374"/>
    <w:rsid w:val="124C253A"/>
    <w:rsid w:val="124C51BC"/>
    <w:rsid w:val="124C54FA"/>
    <w:rsid w:val="124D038A"/>
    <w:rsid w:val="124D097B"/>
    <w:rsid w:val="124D26CA"/>
    <w:rsid w:val="124D2729"/>
    <w:rsid w:val="124D44D7"/>
    <w:rsid w:val="124D4697"/>
    <w:rsid w:val="124E024F"/>
    <w:rsid w:val="124E15D9"/>
    <w:rsid w:val="124E1DA9"/>
    <w:rsid w:val="124E685E"/>
    <w:rsid w:val="124E7779"/>
    <w:rsid w:val="124F13A9"/>
    <w:rsid w:val="124F216F"/>
    <w:rsid w:val="124F280E"/>
    <w:rsid w:val="124F2D05"/>
    <w:rsid w:val="124F3E0A"/>
    <w:rsid w:val="124F5CFF"/>
    <w:rsid w:val="124F6188"/>
    <w:rsid w:val="124F64A1"/>
    <w:rsid w:val="1250234B"/>
    <w:rsid w:val="12503FC7"/>
    <w:rsid w:val="125048CC"/>
    <w:rsid w:val="12505D75"/>
    <w:rsid w:val="1251099C"/>
    <w:rsid w:val="12511904"/>
    <w:rsid w:val="12515141"/>
    <w:rsid w:val="1251701B"/>
    <w:rsid w:val="12517927"/>
    <w:rsid w:val="12521AED"/>
    <w:rsid w:val="12521E34"/>
    <w:rsid w:val="12524E54"/>
    <w:rsid w:val="12525F91"/>
    <w:rsid w:val="12526070"/>
    <w:rsid w:val="1252655F"/>
    <w:rsid w:val="12526B23"/>
    <w:rsid w:val="125366F7"/>
    <w:rsid w:val="12541D09"/>
    <w:rsid w:val="12543AB7"/>
    <w:rsid w:val="1255782F"/>
    <w:rsid w:val="125603ED"/>
    <w:rsid w:val="12564A7C"/>
    <w:rsid w:val="12567589"/>
    <w:rsid w:val="12567924"/>
    <w:rsid w:val="12575356"/>
    <w:rsid w:val="12577104"/>
    <w:rsid w:val="12577F6F"/>
    <w:rsid w:val="12584D75"/>
    <w:rsid w:val="12585041"/>
    <w:rsid w:val="12591B40"/>
    <w:rsid w:val="125921DE"/>
    <w:rsid w:val="12595902"/>
    <w:rsid w:val="12596F0E"/>
    <w:rsid w:val="125A2E35"/>
    <w:rsid w:val="125A3098"/>
    <w:rsid w:val="125A4C9C"/>
    <w:rsid w:val="125A4E46"/>
    <w:rsid w:val="125A6232"/>
    <w:rsid w:val="125B11BF"/>
    <w:rsid w:val="125C08EE"/>
    <w:rsid w:val="125C155C"/>
    <w:rsid w:val="125D0149"/>
    <w:rsid w:val="125D0492"/>
    <w:rsid w:val="125D3750"/>
    <w:rsid w:val="125D5E6E"/>
    <w:rsid w:val="125E4F1A"/>
    <w:rsid w:val="125E5DDF"/>
    <w:rsid w:val="125E64FA"/>
    <w:rsid w:val="125F39C0"/>
    <w:rsid w:val="125F3F4C"/>
    <w:rsid w:val="125F79FD"/>
    <w:rsid w:val="126001E5"/>
    <w:rsid w:val="12605E9D"/>
    <w:rsid w:val="1260679F"/>
    <w:rsid w:val="12610316"/>
    <w:rsid w:val="1261278F"/>
    <w:rsid w:val="126155BE"/>
    <w:rsid w:val="126179DC"/>
    <w:rsid w:val="12617F82"/>
    <w:rsid w:val="126201F8"/>
    <w:rsid w:val="126231EC"/>
    <w:rsid w:val="12623E08"/>
    <w:rsid w:val="12624136"/>
    <w:rsid w:val="12624DFB"/>
    <w:rsid w:val="1262503A"/>
    <w:rsid w:val="12631F4C"/>
    <w:rsid w:val="12635243"/>
    <w:rsid w:val="1263597E"/>
    <w:rsid w:val="12635AA8"/>
    <w:rsid w:val="12641821"/>
    <w:rsid w:val="12647A72"/>
    <w:rsid w:val="12655CC4"/>
    <w:rsid w:val="12660641"/>
    <w:rsid w:val="12661B5B"/>
    <w:rsid w:val="12666C2E"/>
    <w:rsid w:val="126675CA"/>
    <w:rsid w:val="126706D0"/>
    <w:rsid w:val="1267510A"/>
    <w:rsid w:val="12676643"/>
    <w:rsid w:val="12677142"/>
    <w:rsid w:val="12681311"/>
    <w:rsid w:val="126857B5"/>
    <w:rsid w:val="12687646"/>
    <w:rsid w:val="12692205"/>
    <w:rsid w:val="12695089"/>
    <w:rsid w:val="12696E37"/>
    <w:rsid w:val="12696F90"/>
    <w:rsid w:val="126A2EA6"/>
    <w:rsid w:val="126A5AC3"/>
    <w:rsid w:val="126A60FA"/>
    <w:rsid w:val="126A7F6C"/>
    <w:rsid w:val="126B06F3"/>
    <w:rsid w:val="126B0E01"/>
    <w:rsid w:val="126B22E0"/>
    <w:rsid w:val="126B2BAF"/>
    <w:rsid w:val="126B32F7"/>
    <w:rsid w:val="126B7B11"/>
    <w:rsid w:val="126C03E3"/>
    <w:rsid w:val="126C21DF"/>
    <w:rsid w:val="126C25D6"/>
    <w:rsid w:val="126C2B78"/>
    <w:rsid w:val="126D05F3"/>
    <w:rsid w:val="126D1CBF"/>
    <w:rsid w:val="126D2DCB"/>
    <w:rsid w:val="126D5020"/>
    <w:rsid w:val="126D6927"/>
    <w:rsid w:val="126E313C"/>
    <w:rsid w:val="126E4893"/>
    <w:rsid w:val="126E77A5"/>
    <w:rsid w:val="126F08F1"/>
    <w:rsid w:val="126F4193"/>
    <w:rsid w:val="126F6E11"/>
    <w:rsid w:val="127001C5"/>
    <w:rsid w:val="127001F4"/>
    <w:rsid w:val="12703373"/>
    <w:rsid w:val="12704669"/>
    <w:rsid w:val="12710B02"/>
    <w:rsid w:val="12711088"/>
    <w:rsid w:val="127117F1"/>
    <w:rsid w:val="12712DC5"/>
    <w:rsid w:val="127154D1"/>
    <w:rsid w:val="127203E1"/>
    <w:rsid w:val="1272218F"/>
    <w:rsid w:val="1272299A"/>
    <w:rsid w:val="12724E6A"/>
    <w:rsid w:val="127375B4"/>
    <w:rsid w:val="12742297"/>
    <w:rsid w:val="12745F08"/>
    <w:rsid w:val="1274799A"/>
    <w:rsid w:val="12753A2E"/>
    <w:rsid w:val="12762174"/>
    <w:rsid w:val="12767ED2"/>
    <w:rsid w:val="1277115F"/>
    <w:rsid w:val="12771554"/>
    <w:rsid w:val="12772001"/>
    <w:rsid w:val="12773901"/>
    <w:rsid w:val="127746F4"/>
    <w:rsid w:val="1277597B"/>
    <w:rsid w:val="1277648A"/>
    <w:rsid w:val="127770EE"/>
    <w:rsid w:val="127777A6"/>
    <w:rsid w:val="12780A1C"/>
    <w:rsid w:val="12780F0C"/>
    <w:rsid w:val="12781051"/>
    <w:rsid w:val="12785FE3"/>
    <w:rsid w:val="12787E04"/>
    <w:rsid w:val="12791770"/>
    <w:rsid w:val="127929E7"/>
    <w:rsid w:val="1279351E"/>
    <w:rsid w:val="12793E0E"/>
    <w:rsid w:val="127952CC"/>
    <w:rsid w:val="127A0A3A"/>
    <w:rsid w:val="127A10F3"/>
    <w:rsid w:val="127A2BA1"/>
    <w:rsid w:val="127A7296"/>
    <w:rsid w:val="127A7329"/>
    <w:rsid w:val="127A7FDB"/>
    <w:rsid w:val="127B120A"/>
    <w:rsid w:val="127B4B72"/>
    <w:rsid w:val="127B5DE6"/>
    <w:rsid w:val="127B7C1A"/>
    <w:rsid w:val="127C127E"/>
    <w:rsid w:val="127C157F"/>
    <w:rsid w:val="127C300E"/>
    <w:rsid w:val="127C4DBC"/>
    <w:rsid w:val="127C734F"/>
    <w:rsid w:val="127E4152"/>
    <w:rsid w:val="127E5329"/>
    <w:rsid w:val="127E59DC"/>
    <w:rsid w:val="127E69C4"/>
    <w:rsid w:val="127E6D86"/>
    <w:rsid w:val="127F1460"/>
    <w:rsid w:val="127F48AC"/>
    <w:rsid w:val="128007F7"/>
    <w:rsid w:val="12802AFE"/>
    <w:rsid w:val="12804FE2"/>
    <w:rsid w:val="12805D9E"/>
    <w:rsid w:val="12807CE9"/>
    <w:rsid w:val="12810624"/>
    <w:rsid w:val="12811C25"/>
    <w:rsid w:val="128123D2"/>
    <w:rsid w:val="1281522D"/>
    <w:rsid w:val="1281685F"/>
    <w:rsid w:val="12816876"/>
    <w:rsid w:val="1281747C"/>
    <w:rsid w:val="12817669"/>
    <w:rsid w:val="12821E73"/>
    <w:rsid w:val="1282412F"/>
    <w:rsid w:val="12827959"/>
    <w:rsid w:val="12830A6F"/>
    <w:rsid w:val="1283439D"/>
    <w:rsid w:val="128351DA"/>
    <w:rsid w:val="12835215"/>
    <w:rsid w:val="12835E30"/>
    <w:rsid w:val="1283614B"/>
    <w:rsid w:val="12836960"/>
    <w:rsid w:val="128425B6"/>
    <w:rsid w:val="12842BA5"/>
    <w:rsid w:val="12843C71"/>
    <w:rsid w:val="12850115"/>
    <w:rsid w:val="12851744"/>
    <w:rsid w:val="12853B61"/>
    <w:rsid w:val="12854CBB"/>
    <w:rsid w:val="12857A77"/>
    <w:rsid w:val="12863492"/>
    <w:rsid w:val="12863E8D"/>
    <w:rsid w:val="128656A0"/>
    <w:rsid w:val="128679E9"/>
    <w:rsid w:val="128701E4"/>
    <w:rsid w:val="12874FEB"/>
    <w:rsid w:val="12876927"/>
    <w:rsid w:val="128819B3"/>
    <w:rsid w:val="12883761"/>
    <w:rsid w:val="12887295"/>
    <w:rsid w:val="12891287"/>
    <w:rsid w:val="12896E2E"/>
    <w:rsid w:val="12896FE4"/>
    <w:rsid w:val="128976BA"/>
    <w:rsid w:val="1289790B"/>
    <w:rsid w:val="128A481C"/>
    <w:rsid w:val="128A572B"/>
    <w:rsid w:val="128A67D9"/>
    <w:rsid w:val="128B222B"/>
    <w:rsid w:val="128B3251"/>
    <w:rsid w:val="128B3BDB"/>
    <w:rsid w:val="128B4FFF"/>
    <w:rsid w:val="128B71E6"/>
    <w:rsid w:val="128B71FD"/>
    <w:rsid w:val="128C05D9"/>
    <w:rsid w:val="128C06E0"/>
    <w:rsid w:val="128C107F"/>
    <w:rsid w:val="128C3333"/>
    <w:rsid w:val="128D1E8B"/>
    <w:rsid w:val="128D2246"/>
    <w:rsid w:val="128D771C"/>
    <w:rsid w:val="128E0BAC"/>
    <w:rsid w:val="128E3BA8"/>
    <w:rsid w:val="128F2D41"/>
    <w:rsid w:val="128F6CC3"/>
    <w:rsid w:val="12900868"/>
    <w:rsid w:val="12902616"/>
    <w:rsid w:val="1290280A"/>
    <w:rsid w:val="12903A40"/>
    <w:rsid w:val="12906E2D"/>
    <w:rsid w:val="129073B3"/>
    <w:rsid w:val="12914D8B"/>
    <w:rsid w:val="129168E1"/>
    <w:rsid w:val="129201F7"/>
    <w:rsid w:val="12924788"/>
    <w:rsid w:val="12927B3E"/>
    <w:rsid w:val="1293001F"/>
    <w:rsid w:val="1293435F"/>
    <w:rsid w:val="129369C7"/>
    <w:rsid w:val="12944A1D"/>
    <w:rsid w:val="12944C55"/>
    <w:rsid w:val="12945853"/>
    <w:rsid w:val="12955E7E"/>
    <w:rsid w:val="129640D0"/>
    <w:rsid w:val="1296516D"/>
    <w:rsid w:val="12967C0D"/>
    <w:rsid w:val="12971BF6"/>
    <w:rsid w:val="129739A4"/>
    <w:rsid w:val="12973EB0"/>
    <w:rsid w:val="12975974"/>
    <w:rsid w:val="129766F7"/>
    <w:rsid w:val="129807AE"/>
    <w:rsid w:val="12985BB8"/>
    <w:rsid w:val="12990A14"/>
    <w:rsid w:val="129972F4"/>
    <w:rsid w:val="1299771C"/>
    <w:rsid w:val="129A088F"/>
    <w:rsid w:val="129A204A"/>
    <w:rsid w:val="129A3460"/>
    <w:rsid w:val="129A53FD"/>
    <w:rsid w:val="129A5602"/>
    <w:rsid w:val="129A72A5"/>
    <w:rsid w:val="129C0FBA"/>
    <w:rsid w:val="129C7004"/>
    <w:rsid w:val="129C7203"/>
    <w:rsid w:val="129D1733"/>
    <w:rsid w:val="129D4BE5"/>
    <w:rsid w:val="129E11D6"/>
    <w:rsid w:val="129E2F84"/>
    <w:rsid w:val="129E3271"/>
    <w:rsid w:val="129E33F7"/>
    <w:rsid w:val="129E3A8A"/>
    <w:rsid w:val="129F0AAB"/>
    <w:rsid w:val="129F50C6"/>
    <w:rsid w:val="129F63C6"/>
    <w:rsid w:val="129F6792"/>
    <w:rsid w:val="129F76EC"/>
    <w:rsid w:val="12A00DB2"/>
    <w:rsid w:val="12A02CEA"/>
    <w:rsid w:val="12A046A3"/>
    <w:rsid w:val="12A04D81"/>
    <w:rsid w:val="12A04F4F"/>
    <w:rsid w:val="12A05B91"/>
    <w:rsid w:val="12A10CC7"/>
    <w:rsid w:val="12A131DB"/>
    <w:rsid w:val="12A14823"/>
    <w:rsid w:val="12A165D1"/>
    <w:rsid w:val="12A204B1"/>
    <w:rsid w:val="12A21BF2"/>
    <w:rsid w:val="12A24B2F"/>
    <w:rsid w:val="12A266D8"/>
    <w:rsid w:val="12A268FA"/>
    <w:rsid w:val="12A32349"/>
    <w:rsid w:val="12A33951"/>
    <w:rsid w:val="12A367ED"/>
    <w:rsid w:val="12A37C03"/>
    <w:rsid w:val="12A41DDE"/>
    <w:rsid w:val="12A47501"/>
    <w:rsid w:val="12A50573"/>
    <w:rsid w:val="12A549E0"/>
    <w:rsid w:val="12A54EC2"/>
    <w:rsid w:val="12A61E39"/>
    <w:rsid w:val="12A6342D"/>
    <w:rsid w:val="12A63F9E"/>
    <w:rsid w:val="12A7081C"/>
    <w:rsid w:val="12A72A94"/>
    <w:rsid w:val="12A762DD"/>
    <w:rsid w:val="12A76A1A"/>
    <w:rsid w:val="12A77B20"/>
    <w:rsid w:val="12A83E03"/>
    <w:rsid w:val="12A85A64"/>
    <w:rsid w:val="12A90A6B"/>
    <w:rsid w:val="12A92F1D"/>
    <w:rsid w:val="12A9333D"/>
    <w:rsid w:val="12A957B3"/>
    <w:rsid w:val="12AA1814"/>
    <w:rsid w:val="12AB0062"/>
    <w:rsid w:val="12AB142E"/>
    <w:rsid w:val="12AB483F"/>
    <w:rsid w:val="12AB56A1"/>
    <w:rsid w:val="12AB666E"/>
    <w:rsid w:val="12AB744F"/>
    <w:rsid w:val="12AC15CB"/>
    <w:rsid w:val="12AC26FE"/>
    <w:rsid w:val="12AC38F3"/>
    <w:rsid w:val="12AC4134"/>
    <w:rsid w:val="12AC55C8"/>
    <w:rsid w:val="12AD1419"/>
    <w:rsid w:val="12AD1B2D"/>
    <w:rsid w:val="12AD31C8"/>
    <w:rsid w:val="12AD5CE3"/>
    <w:rsid w:val="12AD766B"/>
    <w:rsid w:val="12AE49A5"/>
    <w:rsid w:val="12AE5C85"/>
    <w:rsid w:val="12AF0CEE"/>
    <w:rsid w:val="12AF5192"/>
    <w:rsid w:val="12AF6F40"/>
    <w:rsid w:val="12B00DF1"/>
    <w:rsid w:val="12B054DF"/>
    <w:rsid w:val="12B07B56"/>
    <w:rsid w:val="12B07EE6"/>
    <w:rsid w:val="12B10E77"/>
    <w:rsid w:val="12B15D26"/>
    <w:rsid w:val="12B15EBF"/>
    <w:rsid w:val="12B207DE"/>
    <w:rsid w:val="12B216E7"/>
    <w:rsid w:val="12B23349"/>
    <w:rsid w:val="12B239AA"/>
    <w:rsid w:val="12B26941"/>
    <w:rsid w:val="12B26D47"/>
    <w:rsid w:val="12B26F43"/>
    <w:rsid w:val="12B27981"/>
    <w:rsid w:val="12B27CEF"/>
    <w:rsid w:val="12B33F63"/>
    <w:rsid w:val="12B34E1A"/>
    <w:rsid w:val="12B40364"/>
    <w:rsid w:val="12B423DB"/>
    <w:rsid w:val="12B427A8"/>
    <w:rsid w:val="12B438E1"/>
    <w:rsid w:val="12B44007"/>
    <w:rsid w:val="12B440F0"/>
    <w:rsid w:val="12B44556"/>
    <w:rsid w:val="12B45554"/>
    <w:rsid w:val="12B46304"/>
    <w:rsid w:val="12B47528"/>
    <w:rsid w:val="12B5066C"/>
    <w:rsid w:val="12B5207C"/>
    <w:rsid w:val="12B52EEB"/>
    <w:rsid w:val="12B5462A"/>
    <w:rsid w:val="12B60296"/>
    <w:rsid w:val="12B652F8"/>
    <w:rsid w:val="12B654AE"/>
    <w:rsid w:val="12B66520"/>
    <w:rsid w:val="12B72298"/>
    <w:rsid w:val="12B7515C"/>
    <w:rsid w:val="12B75DF4"/>
    <w:rsid w:val="12B77DD8"/>
    <w:rsid w:val="12B85451"/>
    <w:rsid w:val="12B85DA2"/>
    <w:rsid w:val="12B87A1D"/>
    <w:rsid w:val="12B91F7C"/>
    <w:rsid w:val="12B93FA1"/>
    <w:rsid w:val="12B96010"/>
    <w:rsid w:val="12B969E9"/>
    <w:rsid w:val="12B97DBE"/>
    <w:rsid w:val="12B97E49"/>
    <w:rsid w:val="12B97E79"/>
    <w:rsid w:val="12BA1309"/>
    <w:rsid w:val="12BA6B7C"/>
    <w:rsid w:val="12BA7692"/>
    <w:rsid w:val="12BA776F"/>
    <w:rsid w:val="12BB2799"/>
    <w:rsid w:val="12BB58E4"/>
    <w:rsid w:val="12BD2280"/>
    <w:rsid w:val="12BD2360"/>
    <w:rsid w:val="12BD262C"/>
    <w:rsid w:val="12BD448F"/>
    <w:rsid w:val="12BD50B9"/>
    <w:rsid w:val="12BD5857"/>
    <w:rsid w:val="12BD7EC9"/>
    <w:rsid w:val="12BE01BB"/>
    <w:rsid w:val="12BE09F5"/>
    <w:rsid w:val="12BE10C4"/>
    <w:rsid w:val="12BE3205"/>
    <w:rsid w:val="12BE3627"/>
    <w:rsid w:val="12BE58E6"/>
    <w:rsid w:val="12BE7183"/>
    <w:rsid w:val="12BE7DF9"/>
    <w:rsid w:val="12BF1F08"/>
    <w:rsid w:val="12C025AA"/>
    <w:rsid w:val="12C02EFB"/>
    <w:rsid w:val="12C06F69"/>
    <w:rsid w:val="12C0739F"/>
    <w:rsid w:val="12C07CFB"/>
    <w:rsid w:val="12C119AD"/>
    <w:rsid w:val="12C11A2C"/>
    <w:rsid w:val="12C13A3A"/>
    <w:rsid w:val="12C142DE"/>
    <w:rsid w:val="12C15C93"/>
    <w:rsid w:val="12C16C73"/>
    <w:rsid w:val="12C23418"/>
    <w:rsid w:val="12C24337"/>
    <w:rsid w:val="12C26CD2"/>
    <w:rsid w:val="12C27BAB"/>
    <w:rsid w:val="12C30C3D"/>
    <w:rsid w:val="12C32525"/>
    <w:rsid w:val="12C329EB"/>
    <w:rsid w:val="12C32D62"/>
    <w:rsid w:val="12C34799"/>
    <w:rsid w:val="12C423BB"/>
    <w:rsid w:val="12C44342"/>
    <w:rsid w:val="12C47C8B"/>
    <w:rsid w:val="12C50511"/>
    <w:rsid w:val="12C52066"/>
    <w:rsid w:val="12C52D2F"/>
    <w:rsid w:val="12C52D6C"/>
    <w:rsid w:val="12C549B5"/>
    <w:rsid w:val="12C54C5E"/>
    <w:rsid w:val="12C54E36"/>
    <w:rsid w:val="12C5641C"/>
    <w:rsid w:val="12C57249"/>
    <w:rsid w:val="12C64289"/>
    <w:rsid w:val="12C6602B"/>
    <w:rsid w:val="12C66037"/>
    <w:rsid w:val="12C678AC"/>
    <w:rsid w:val="12C73372"/>
    <w:rsid w:val="12C80001"/>
    <w:rsid w:val="12C80099"/>
    <w:rsid w:val="12C95396"/>
    <w:rsid w:val="12C972D1"/>
    <w:rsid w:val="12CA04D0"/>
    <w:rsid w:val="12CA1C57"/>
    <w:rsid w:val="12CA1FCB"/>
    <w:rsid w:val="12CA2EF6"/>
    <w:rsid w:val="12CA3D79"/>
    <w:rsid w:val="12CA6F00"/>
    <w:rsid w:val="12CB205A"/>
    <w:rsid w:val="12CB228E"/>
    <w:rsid w:val="12CB3775"/>
    <w:rsid w:val="12CB4485"/>
    <w:rsid w:val="12CB467B"/>
    <w:rsid w:val="12CB523C"/>
    <w:rsid w:val="12CB56D6"/>
    <w:rsid w:val="12CC371E"/>
    <w:rsid w:val="12CC5D44"/>
    <w:rsid w:val="12CC68B1"/>
    <w:rsid w:val="12CC6D8A"/>
    <w:rsid w:val="12CD0EC1"/>
    <w:rsid w:val="12CD1ABC"/>
    <w:rsid w:val="12CD386A"/>
    <w:rsid w:val="12CD4BAE"/>
    <w:rsid w:val="12CD73C6"/>
    <w:rsid w:val="12CE0566"/>
    <w:rsid w:val="12CE1F70"/>
    <w:rsid w:val="12CE31C0"/>
    <w:rsid w:val="12CE646C"/>
    <w:rsid w:val="12CF2E30"/>
    <w:rsid w:val="12CF75E2"/>
    <w:rsid w:val="12CF7DC6"/>
    <w:rsid w:val="12D014CB"/>
    <w:rsid w:val="12D04176"/>
    <w:rsid w:val="12D04AAB"/>
    <w:rsid w:val="12D04C70"/>
    <w:rsid w:val="12D06EB6"/>
    <w:rsid w:val="12D1335A"/>
    <w:rsid w:val="12D15108"/>
    <w:rsid w:val="12D160F3"/>
    <w:rsid w:val="12D20D19"/>
    <w:rsid w:val="12D22C2E"/>
    <w:rsid w:val="12D270D2"/>
    <w:rsid w:val="12D2783A"/>
    <w:rsid w:val="12D27BE9"/>
    <w:rsid w:val="12D30A20"/>
    <w:rsid w:val="12D30B49"/>
    <w:rsid w:val="12D31972"/>
    <w:rsid w:val="12D33B2F"/>
    <w:rsid w:val="12D34C17"/>
    <w:rsid w:val="12D3652E"/>
    <w:rsid w:val="12D40754"/>
    <w:rsid w:val="12D440FB"/>
    <w:rsid w:val="12D51D7B"/>
    <w:rsid w:val="12D53C5A"/>
    <w:rsid w:val="12D544CC"/>
    <w:rsid w:val="12D544E8"/>
    <w:rsid w:val="12D55F11"/>
    <w:rsid w:val="12D70DAA"/>
    <w:rsid w:val="12D746E8"/>
    <w:rsid w:val="12D74A5B"/>
    <w:rsid w:val="12D80AFC"/>
    <w:rsid w:val="12D81CC1"/>
    <w:rsid w:val="12D8418F"/>
    <w:rsid w:val="12D844FB"/>
    <w:rsid w:val="12D9025C"/>
    <w:rsid w:val="12D902CB"/>
    <w:rsid w:val="12D903CB"/>
    <w:rsid w:val="12D93FBD"/>
    <w:rsid w:val="12DA1302"/>
    <w:rsid w:val="12DA1CBC"/>
    <w:rsid w:val="12DA4C66"/>
    <w:rsid w:val="12DA5D22"/>
    <w:rsid w:val="12DA6802"/>
    <w:rsid w:val="12DB21D1"/>
    <w:rsid w:val="12DB4682"/>
    <w:rsid w:val="12DB4A95"/>
    <w:rsid w:val="12DB7892"/>
    <w:rsid w:val="12DB7D94"/>
    <w:rsid w:val="12DC0642"/>
    <w:rsid w:val="12DC20ED"/>
    <w:rsid w:val="12DC3600"/>
    <w:rsid w:val="12DD0204"/>
    <w:rsid w:val="12DD1CFF"/>
    <w:rsid w:val="12DD293E"/>
    <w:rsid w:val="12DD4664"/>
    <w:rsid w:val="12DD62D4"/>
    <w:rsid w:val="12DD6468"/>
    <w:rsid w:val="12DE15D3"/>
    <w:rsid w:val="12DE3AA0"/>
    <w:rsid w:val="12DE7F18"/>
    <w:rsid w:val="12DF2264"/>
    <w:rsid w:val="12DF59E3"/>
    <w:rsid w:val="12E00A1E"/>
    <w:rsid w:val="12E03D15"/>
    <w:rsid w:val="12E0534B"/>
    <w:rsid w:val="12E12E71"/>
    <w:rsid w:val="12E144AE"/>
    <w:rsid w:val="12E144B4"/>
    <w:rsid w:val="12E162D1"/>
    <w:rsid w:val="12E173D4"/>
    <w:rsid w:val="12E21BAE"/>
    <w:rsid w:val="12E23B24"/>
    <w:rsid w:val="12E252CF"/>
    <w:rsid w:val="12E26EE1"/>
    <w:rsid w:val="12E27315"/>
    <w:rsid w:val="12E3048B"/>
    <w:rsid w:val="12E3269F"/>
    <w:rsid w:val="12E3308D"/>
    <w:rsid w:val="12E35AE8"/>
    <w:rsid w:val="12E36BE9"/>
    <w:rsid w:val="12E36D82"/>
    <w:rsid w:val="12E45117"/>
    <w:rsid w:val="12E47394"/>
    <w:rsid w:val="12E47FF6"/>
    <w:rsid w:val="12E50BB3"/>
    <w:rsid w:val="12E52866"/>
    <w:rsid w:val="12E52961"/>
    <w:rsid w:val="12E55B08"/>
    <w:rsid w:val="12E56DE5"/>
    <w:rsid w:val="12E56E05"/>
    <w:rsid w:val="12E60C02"/>
    <w:rsid w:val="12E62576"/>
    <w:rsid w:val="12E70851"/>
    <w:rsid w:val="12E7492B"/>
    <w:rsid w:val="12E806A4"/>
    <w:rsid w:val="12E810A5"/>
    <w:rsid w:val="12E817B6"/>
    <w:rsid w:val="12E82452"/>
    <w:rsid w:val="12E8277A"/>
    <w:rsid w:val="12E82EF7"/>
    <w:rsid w:val="12E85F4B"/>
    <w:rsid w:val="12E90474"/>
    <w:rsid w:val="12E91722"/>
    <w:rsid w:val="12E9285F"/>
    <w:rsid w:val="12E9407B"/>
    <w:rsid w:val="12E965CC"/>
    <w:rsid w:val="12E9710D"/>
    <w:rsid w:val="12E97EF1"/>
    <w:rsid w:val="12EA28BF"/>
    <w:rsid w:val="12EA441C"/>
    <w:rsid w:val="12EA486F"/>
    <w:rsid w:val="12EA4DBC"/>
    <w:rsid w:val="12EA61CA"/>
    <w:rsid w:val="12EB02C3"/>
    <w:rsid w:val="12EB782C"/>
    <w:rsid w:val="12EC0194"/>
    <w:rsid w:val="12EC1DC3"/>
    <w:rsid w:val="12EC1F42"/>
    <w:rsid w:val="12EC2D08"/>
    <w:rsid w:val="12EC4EF0"/>
    <w:rsid w:val="12ED1816"/>
    <w:rsid w:val="12ED2893"/>
    <w:rsid w:val="12ED2944"/>
    <w:rsid w:val="12ED45E4"/>
    <w:rsid w:val="12ED5C0E"/>
    <w:rsid w:val="12ED5CBA"/>
    <w:rsid w:val="12ED6301"/>
    <w:rsid w:val="12ED7D93"/>
    <w:rsid w:val="12EE01F9"/>
    <w:rsid w:val="12EE0384"/>
    <w:rsid w:val="12EE3EC4"/>
    <w:rsid w:val="12EE41E6"/>
    <w:rsid w:val="12EF1782"/>
    <w:rsid w:val="12EF1A32"/>
    <w:rsid w:val="12EF3EDA"/>
    <w:rsid w:val="12EF558E"/>
    <w:rsid w:val="12EF75D8"/>
    <w:rsid w:val="12F00827"/>
    <w:rsid w:val="12F04525"/>
    <w:rsid w:val="12F0476F"/>
    <w:rsid w:val="12F0630A"/>
    <w:rsid w:val="12F064C0"/>
    <w:rsid w:val="12F11306"/>
    <w:rsid w:val="12F119FC"/>
    <w:rsid w:val="12F12046"/>
    <w:rsid w:val="12F13FA9"/>
    <w:rsid w:val="12F17558"/>
    <w:rsid w:val="12F2177C"/>
    <w:rsid w:val="12F232D0"/>
    <w:rsid w:val="12F23C89"/>
    <w:rsid w:val="12F2507E"/>
    <w:rsid w:val="12F26721"/>
    <w:rsid w:val="12F27028"/>
    <w:rsid w:val="12F31522"/>
    <w:rsid w:val="12F319BD"/>
    <w:rsid w:val="12F32BD3"/>
    <w:rsid w:val="12F32E2D"/>
    <w:rsid w:val="12F330E7"/>
    <w:rsid w:val="12F42BA4"/>
    <w:rsid w:val="12F503F3"/>
    <w:rsid w:val="12F51939"/>
    <w:rsid w:val="12F5292A"/>
    <w:rsid w:val="12F554FB"/>
    <w:rsid w:val="12F601CC"/>
    <w:rsid w:val="12F62DC0"/>
    <w:rsid w:val="12F63DBA"/>
    <w:rsid w:val="12F708E7"/>
    <w:rsid w:val="12F71083"/>
    <w:rsid w:val="12F715C7"/>
    <w:rsid w:val="12F71C2C"/>
    <w:rsid w:val="12F74FCE"/>
    <w:rsid w:val="12F8309A"/>
    <w:rsid w:val="12F8504E"/>
    <w:rsid w:val="12F86A9E"/>
    <w:rsid w:val="12F87801"/>
    <w:rsid w:val="12F87831"/>
    <w:rsid w:val="12F901BB"/>
    <w:rsid w:val="12F9465F"/>
    <w:rsid w:val="12F9530C"/>
    <w:rsid w:val="12F9640D"/>
    <w:rsid w:val="12F96F25"/>
    <w:rsid w:val="12FA1CEC"/>
    <w:rsid w:val="12FA30BC"/>
    <w:rsid w:val="12FA638A"/>
    <w:rsid w:val="12FB1957"/>
    <w:rsid w:val="12FB301F"/>
    <w:rsid w:val="12FB3F33"/>
    <w:rsid w:val="12FB4F86"/>
    <w:rsid w:val="12FB56B1"/>
    <w:rsid w:val="12FB5EDD"/>
    <w:rsid w:val="12FC4C3B"/>
    <w:rsid w:val="12FC5F7E"/>
    <w:rsid w:val="12FC7CAB"/>
    <w:rsid w:val="12FD14BF"/>
    <w:rsid w:val="12FD46F9"/>
    <w:rsid w:val="12FE0385"/>
    <w:rsid w:val="12FE1557"/>
    <w:rsid w:val="12FE1C75"/>
    <w:rsid w:val="12FE7EC7"/>
    <w:rsid w:val="12FF0462"/>
    <w:rsid w:val="12FF52DB"/>
    <w:rsid w:val="12FF7687"/>
    <w:rsid w:val="12FF7C96"/>
    <w:rsid w:val="130059ED"/>
    <w:rsid w:val="13005DFD"/>
    <w:rsid w:val="130152C1"/>
    <w:rsid w:val="130168CF"/>
    <w:rsid w:val="13023513"/>
    <w:rsid w:val="13024F2E"/>
    <w:rsid w:val="130322F6"/>
    <w:rsid w:val="1303632A"/>
    <w:rsid w:val="13037AFF"/>
    <w:rsid w:val="13040F8F"/>
    <w:rsid w:val="13041B02"/>
    <w:rsid w:val="13051255"/>
    <w:rsid w:val="13053004"/>
    <w:rsid w:val="13054DB2"/>
    <w:rsid w:val="13062236"/>
    <w:rsid w:val="130629CD"/>
    <w:rsid w:val="13063F76"/>
    <w:rsid w:val="130642F9"/>
    <w:rsid w:val="13066480"/>
    <w:rsid w:val="130700B0"/>
    <w:rsid w:val="13070560"/>
    <w:rsid w:val="13071A94"/>
    <w:rsid w:val="13073333"/>
    <w:rsid w:val="1307385E"/>
    <w:rsid w:val="130761CF"/>
    <w:rsid w:val="13080DA0"/>
    <w:rsid w:val="13086650"/>
    <w:rsid w:val="130866EA"/>
    <w:rsid w:val="13092B09"/>
    <w:rsid w:val="13097192"/>
    <w:rsid w:val="13097CA3"/>
    <w:rsid w:val="130A23C8"/>
    <w:rsid w:val="130A39FA"/>
    <w:rsid w:val="130A4823"/>
    <w:rsid w:val="130A686C"/>
    <w:rsid w:val="130A7A9E"/>
    <w:rsid w:val="130A7BF1"/>
    <w:rsid w:val="130B0817"/>
    <w:rsid w:val="130B383A"/>
    <w:rsid w:val="130B4B50"/>
    <w:rsid w:val="130B4FD3"/>
    <w:rsid w:val="130B6E1E"/>
    <w:rsid w:val="130B7721"/>
    <w:rsid w:val="130B7EEE"/>
    <w:rsid w:val="130C11DC"/>
    <w:rsid w:val="130C38C3"/>
    <w:rsid w:val="130C46C6"/>
    <w:rsid w:val="130C6140"/>
    <w:rsid w:val="130C7DAC"/>
    <w:rsid w:val="130D010A"/>
    <w:rsid w:val="130D1D94"/>
    <w:rsid w:val="130D1EB8"/>
    <w:rsid w:val="130D2041"/>
    <w:rsid w:val="130D2DA4"/>
    <w:rsid w:val="130D347A"/>
    <w:rsid w:val="130D3C66"/>
    <w:rsid w:val="130E1674"/>
    <w:rsid w:val="130E69BF"/>
    <w:rsid w:val="130E69FD"/>
    <w:rsid w:val="130E7150"/>
    <w:rsid w:val="130F0F2F"/>
    <w:rsid w:val="130F32F3"/>
    <w:rsid w:val="130F3E82"/>
    <w:rsid w:val="130F45A7"/>
    <w:rsid w:val="130F5AA0"/>
    <w:rsid w:val="130F5C30"/>
    <w:rsid w:val="130F60A2"/>
    <w:rsid w:val="130F79DE"/>
    <w:rsid w:val="130F7A3D"/>
    <w:rsid w:val="1310123E"/>
    <w:rsid w:val="13102194"/>
    <w:rsid w:val="13106C6D"/>
    <w:rsid w:val="13110E96"/>
    <w:rsid w:val="131119A8"/>
    <w:rsid w:val="13111D77"/>
    <w:rsid w:val="13111E52"/>
    <w:rsid w:val="13113593"/>
    <w:rsid w:val="13117BFA"/>
    <w:rsid w:val="13126AE2"/>
    <w:rsid w:val="131274CE"/>
    <w:rsid w:val="13130D59"/>
    <w:rsid w:val="13132A97"/>
    <w:rsid w:val="1313410F"/>
    <w:rsid w:val="13134325"/>
    <w:rsid w:val="13135720"/>
    <w:rsid w:val="131357B3"/>
    <w:rsid w:val="13140A84"/>
    <w:rsid w:val="13141499"/>
    <w:rsid w:val="13144FF5"/>
    <w:rsid w:val="131450CD"/>
    <w:rsid w:val="131469BF"/>
    <w:rsid w:val="131479A7"/>
    <w:rsid w:val="13150535"/>
    <w:rsid w:val="13150F26"/>
    <w:rsid w:val="13151306"/>
    <w:rsid w:val="13151EC0"/>
    <w:rsid w:val="131545F4"/>
    <w:rsid w:val="1315634E"/>
    <w:rsid w:val="13160B8C"/>
    <w:rsid w:val="13160D6D"/>
    <w:rsid w:val="13162F39"/>
    <w:rsid w:val="13164834"/>
    <w:rsid w:val="13166FBF"/>
    <w:rsid w:val="13174FC5"/>
    <w:rsid w:val="13180B09"/>
    <w:rsid w:val="13182240"/>
    <w:rsid w:val="13182A2A"/>
    <w:rsid w:val="13182D37"/>
    <w:rsid w:val="13184D01"/>
    <w:rsid w:val="131878F8"/>
    <w:rsid w:val="131905E4"/>
    <w:rsid w:val="131925B5"/>
    <w:rsid w:val="1319260B"/>
    <w:rsid w:val="13192BB3"/>
    <w:rsid w:val="1319548F"/>
    <w:rsid w:val="1319596B"/>
    <w:rsid w:val="13196557"/>
    <w:rsid w:val="13196AAF"/>
    <w:rsid w:val="13197966"/>
    <w:rsid w:val="131A25B3"/>
    <w:rsid w:val="131A547C"/>
    <w:rsid w:val="131A5563"/>
    <w:rsid w:val="131A5EBD"/>
    <w:rsid w:val="131B1EB8"/>
    <w:rsid w:val="131B2580"/>
    <w:rsid w:val="131B2827"/>
    <w:rsid w:val="131B3AA2"/>
    <w:rsid w:val="131B45D5"/>
    <w:rsid w:val="131B4645"/>
    <w:rsid w:val="131C5060"/>
    <w:rsid w:val="131C5AD5"/>
    <w:rsid w:val="131C6F65"/>
    <w:rsid w:val="131D034D"/>
    <w:rsid w:val="131D07A6"/>
    <w:rsid w:val="131D659F"/>
    <w:rsid w:val="131D7113"/>
    <w:rsid w:val="131E1595"/>
    <w:rsid w:val="131E3C7D"/>
    <w:rsid w:val="131E3FA6"/>
    <w:rsid w:val="131E5E73"/>
    <w:rsid w:val="131F4456"/>
    <w:rsid w:val="131F5690"/>
    <w:rsid w:val="13201BEB"/>
    <w:rsid w:val="13204851"/>
    <w:rsid w:val="13207027"/>
    <w:rsid w:val="13212DF2"/>
    <w:rsid w:val="1321432D"/>
    <w:rsid w:val="1321483F"/>
    <w:rsid w:val="13216752"/>
    <w:rsid w:val="132220C1"/>
    <w:rsid w:val="132238EC"/>
    <w:rsid w:val="13223CC3"/>
    <w:rsid w:val="13227CC2"/>
    <w:rsid w:val="132316DC"/>
    <w:rsid w:val="1323535C"/>
    <w:rsid w:val="132375AA"/>
    <w:rsid w:val="13237A4E"/>
    <w:rsid w:val="13242627"/>
    <w:rsid w:val="13242A00"/>
    <w:rsid w:val="13242E4C"/>
    <w:rsid w:val="13243758"/>
    <w:rsid w:val="13246CB0"/>
    <w:rsid w:val="13247240"/>
    <w:rsid w:val="13250FB0"/>
    <w:rsid w:val="13251E21"/>
    <w:rsid w:val="132570C9"/>
    <w:rsid w:val="13264CB8"/>
    <w:rsid w:val="13270DF4"/>
    <w:rsid w:val="132711CC"/>
    <w:rsid w:val="13272F7A"/>
    <w:rsid w:val="13274D28"/>
    <w:rsid w:val="13275CDF"/>
    <w:rsid w:val="13280AA0"/>
    <w:rsid w:val="13281B2F"/>
    <w:rsid w:val="13285347"/>
    <w:rsid w:val="13290C95"/>
    <w:rsid w:val="13290CC0"/>
    <w:rsid w:val="13294F44"/>
    <w:rsid w:val="13295350"/>
    <w:rsid w:val="132A0CBC"/>
    <w:rsid w:val="132A1A9D"/>
    <w:rsid w:val="132A33C8"/>
    <w:rsid w:val="132B581F"/>
    <w:rsid w:val="132C0590"/>
    <w:rsid w:val="132C4AE6"/>
    <w:rsid w:val="132C54A3"/>
    <w:rsid w:val="132C5CFF"/>
    <w:rsid w:val="132C67E2"/>
    <w:rsid w:val="132D2A9E"/>
    <w:rsid w:val="132D3320"/>
    <w:rsid w:val="132D35D1"/>
    <w:rsid w:val="132D4308"/>
    <w:rsid w:val="132D60B6"/>
    <w:rsid w:val="132E255A"/>
    <w:rsid w:val="132E5680"/>
    <w:rsid w:val="132E6594"/>
    <w:rsid w:val="132F0080"/>
    <w:rsid w:val="132F3F4B"/>
    <w:rsid w:val="132F7DA0"/>
    <w:rsid w:val="13301CC5"/>
    <w:rsid w:val="133053DB"/>
    <w:rsid w:val="1330541E"/>
    <w:rsid w:val="133113D3"/>
    <w:rsid w:val="1331204B"/>
    <w:rsid w:val="1331577C"/>
    <w:rsid w:val="13315DB1"/>
    <w:rsid w:val="1331686B"/>
    <w:rsid w:val="133178FC"/>
    <w:rsid w:val="133236CD"/>
    <w:rsid w:val="13327D4F"/>
    <w:rsid w:val="133438E9"/>
    <w:rsid w:val="1334558C"/>
    <w:rsid w:val="13345627"/>
    <w:rsid w:val="13345697"/>
    <w:rsid w:val="13347445"/>
    <w:rsid w:val="13351170"/>
    <w:rsid w:val="1335246A"/>
    <w:rsid w:val="133566E7"/>
    <w:rsid w:val="13356C70"/>
    <w:rsid w:val="133570A2"/>
    <w:rsid w:val="1336140F"/>
    <w:rsid w:val="13361A64"/>
    <w:rsid w:val="1336279F"/>
    <w:rsid w:val="133631BD"/>
    <w:rsid w:val="13367661"/>
    <w:rsid w:val="13370CE3"/>
    <w:rsid w:val="13373EDF"/>
    <w:rsid w:val="133766FF"/>
    <w:rsid w:val="133815F1"/>
    <w:rsid w:val="133828A6"/>
    <w:rsid w:val="133833D9"/>
    <w:rsid w:val="1338453B"/>
    <w:rsid w:val="13384719"/>
    <w:rsid w:val="13384A4A"/>
    <w:rsid w:val="13385187"/>
    <w:rsid w:val="13387B51"/>
    <w:rsid w:val="13390188"/>
    <w:rsid w:val="13390E62"/>
    <w:rsid w:val="13394A5B"/>
    <w:rsid w:val="133A43B3"/>
    <w:rsid w:val="133A66D4"/>
    <w:rsid w:val="133B07D3"/>
    <w:rsid w:val="133B18AE"/>
    <w:rsid w:val="133B3544"/>
    <w:rsid w:val="133B60BF"/>
    <w:rsid w:val="133C5DC2"/>
    <w:rsid w:val="133C654F"/>
    <w:rsid w:val="133C6F34"/>
    <w:rsid w:val="133C752B"/>
    <w:rsid w:val="133D19A4"/>
    <w:rsid w:val="133D349C"/>
    <w:rsid w:val="133D454B"/>
    <w:rsid w:val="133E02C4"/>
    <w:rsid w:val="133E03B8"/>
    <w:rsid w:val="133E2072"/>
    <w:rsid w:val="133E2F34"/>
    <w:rsid w:val="133E313A"/>
    <w:rsid w:val="133E35DA"/>
    <w:rsid w:val="133E4E34"/>
    <w:rsid w:val="133E565C"/>
    <w:rsid w:val="133E6515"/>
    <w:rsid w:val="133E7B70"/>
    <w:rsid w:val="133F0A67"/>
    <w:rsid w:val="133F4CA0"/>
    <w:rsid w:val="133F6D99"/>
    <w:rsid w:val="13400763"/>
    <w:rsid w:val="1340228E"/>
    <w:rsid w:val="134055F9"/>
    <w:rsid w:val="13405E41"/>
    <w:rsid w:val="13407032"/>
    <w:rsid w:val="13411BE7"/>
    <w:rsid w:val="13413D6E"/>
    <w:rsid w:val="134212E3"/>
    <w:rsid w:val="13421B62"/>
    <w:rsid w:val="134223C1"/>
    <w:rsid w:val="134255DE"/>
    <w:rsid w:val="13425D7E"/>
    <w:rsid w:val="13426006"/>
    <w:rsid w:val="13427DB4"/>
    <w:rsid w:val="1343188B"/>
    <w:rsid w:val="13431A15"/>
    <w:rsid w:val="1343632A"/>
    <w:rsid w:val="1344020E"/>
    <w:rsid w:val="13441D7E"/>
    <w:rsid w:val="13444CE1"/>
    <w:rsid w:val="134508DC"/>
    <w:rsid w:val="13451652"/>
    <w:rsid w:val="1345172E"/>
    <w:rsid w:val="13453047"/>
    <w:rsid w:val="13456871"/>
    <w:rsid w:val="13460BA8"/>
    <w:rsid w:val="134631EB"/>
    <w:rsid w:val="13467986"/>
    <w:rsid w:val="13470FF7"/>
    <w:rsid w:val="134753CA"/>
    <w:rsid w:val="13480513"/>
    <w:rsid w:val="13481FEA"/>
    <w:rsid w:val="134848C8"/>
    <w:rsid w:val="13491142"/>
    <w:rsid w:val="13493F43"/>
    <w:rsid w:val="134948F8"/>
    <w:rsid w:val="1349734D"/>
    <w:rsid w:val="13497394"/>
    <w:rsid w:val="134A0A16"/>
    <w:rsid w:val="134A310C"/>
    <w:rsid w:val="134A6C68"/>
    <w:rsid w:val="134A7BD7"/>
    <w:rsid w:val="134B0857"/>
    <w:rsid w:val="134B19B4"/>
    <w:rsid w:val="134B3F1D"/>
    <w:rsid w:val="134B41CA"/>
    <w:rsid w:val="134B686E"/>
    <w:rsid w:val="134C0770"/>
    <w:rsid w:val="134C478E"/>
    <w:rsid w:val="134D0507"/>
    <w:rsid w:val="134D14E9"/>
    <w:rsid w:val="134D65BD"/>
    <w:rsid w:val="134E2A6A"/>
    <w:rsid w:val="134E4FBA"/>
    <w:rsid w:val="134E5D10"/>
    <w:rsid w:val="134E6759"/>
    <w:rsid w:val="134F5C68"/>
    <w:rsid w:val="134F74BC"/>
    <w:rsid w:val="13501FC4"/>
    <w:rsid w:val="13505FDF"/>
    <w:rsid w:val="13510A26"/>
    <w:rsid w:val="13511DA5"/>
    <w:rsid w:val="135146F2"/>
    <w:rsid w:val="13521EB6"/>
    <w:rsid w:val="13522EE6"/>
    <w:rsid w:val="13523092"/>
    <w:rsid w:val="13523815"/>
    <w:rsid w:val="13524791"/>
    <w:rsid w:val="13531EF0"/>
    <w:rsid w:val="13531FC1"/>
    <w:rsid w:val="13533346"/>
    <w:rsid w:val="13541895"/>
    <w:rsid w:val="13547AE7"/>
    <w:rsid w:val="13551422"/>
    <w:rsid w:val="13554B9B"/>
    <w:rsid w:val="13554E48"/>
    <w:rsid w:val="13555C66"/>
    <w:rsid w:val="13556B99"/>
    <w:rsid w:val="13560ED9"/>
    <w:rsid w:val="13561851"/>
    <w:rsid w:val="13561AB1"/>
    <w:rsid w:val="1356385F"/>
    <w:rsid w:val="135666CA"/>
    <w:rsid w:val="13566748"/>
    <w:rsid w:val="13566D40"/>
    <w:rsid w:val="13567660"/>
    <w:rsid w:val="1357068E"/>
    <w:rsid w:val="13572E58"/>
    <w:rsid w:val="13576460"/>
    <w:rsid w:val="13581180"/>
    <w:rsid w:val="13583899"/>
    <w:rsid w:val="13586516"/>
    <w:rsid w:val="135875D7"/>
    <w:rsid w:val="13594772"/>
    <w:rsid w:val="135950FD"/>
    <w:rsid w:val="13596EAB"/>
    <w:rsid w:val="135A770A"/>
    <w:rsid w:val="135B0C68"/>
    <w:rsid w:val="135B4386"/>
    <w:rsid w:val="135B6F36"/>
    <w:rsid w:val="135B70C7"/>
    <w:rsid w:val="135C0215"/>
    <w:rsid w:val="135C0841"/>
    <w:rsid w:val="135C3F1D"/>
    <w:rsid w:val="135E0B47"/>
    <w:rsid w:val="135E2B99"/>
    <w:rsid w:val="135E37AF"/>
    <w:rsid w:val="135E44C2"/>
    <w:rsid w:val="135E4865"/>
    <w:rsid w:val="135F0966"/>
    <w:rsid w:val="135F1769"/>
    <w:rsid w:val="135F23E1"/>
    <w:rsid w:val="135F2732"/>
    <w:rsid w:val="135F302A"/>
    <w:rsid w:val="1360023A"/>
    <w:rsid w:val="13600980"/>
    <w:rsid w:val="13605CC3"/>
    <w:rsid w:val="13606439"/>
    <w:rsid w:val="13606D51"/>
    <w:rsid w:val="13606F15"/>
    <w:rsid w:val="13615180"/>
    <w:rsid w:val="13616879"/>
    <w:rsid w:val="13616D9D"/>
    <w:rsid w:val="13616DDA"/>
    <w:rsid w:val="13620456"/>
    <w:rsid w:val="13623393"/>
    <w:rsid w:val="13624BB0"/>
    <w:rsid w:val="13626A5E"/>
    <w:rsid w:val="13631AD8"/>
    <w:rsid w:val="136321F3"/>
    <w:rsid w:val="136352BC"/>
    <w:rsid w:val="136358D1"/>
    <w:rsid w:val="13637D2A"/>
    <w:rsid w:val="13640CC9"/>
    <w:rsid w:val="1364197C"/>
    <w:rsid w:val="13642B28"/>
    <w:rsid w:val="136430F3"/>
    <w:rsid w:val="1364709E"/>
    <w:rsid w:val="1365032C"/>
    <w:rsid w:val="13652511"/>
    <w:rsid w:val="13652C3D"/>
    <w:rsid w:val="136568BB"/>
    <w:rsid w:val="13656C38"/>
    <w:rsid w:val="13662CF2"/>
    <w:rsid w:val="1366548B"/>
    <w:rsid w:val="136657F6"/>
    <w:rsid w:val="136673CC"/>
    <w:rsid w:val="13667A01"/>
    <w:rsid w:val="13667DC0"/>
    <w:rsid w:val="13675A6C"/>
    <w:rsid w:val="13685340"/>
    <w:rsid w:val="136917E4"/>
    <w:rsid w:val="13693592"/>
    <w:rsid w:val="13697444"/>
    <w:rsid w:val="136A10B9"/>
    <w:rsid w:val="136A2E67"/>
    <w:rsid w:val="136A5AE3"/>
    <w:rsid w:val="136A69FC"/>
    <w:rsid w:val="136A6CC2"/>
    <w:rsid w:val="136B15CD"/>
    <w:rsid w:val="136B17A7"/>
    <w:rsid w:val="136B2709"/>
    <w:rsid w:val="136B4FDD"/>
    <w:rsid w:val="136C0024"/>
    <w:rsid w:val="136C31F3"/>
    <w:rsid w:val="136C414D"/>
    <w:rsid w:val="136C4E31"/>
    <w:rsid w:val="136C562E"/>
    <w:rsid w:val="136D04CD"/>
    <w:rsid w:val="136D0728"/>
    <w:rsid w:val="136D3EEE"/>
    <w:rsid w:val="136D7BB8"/>
    <w:rsid w:val="136E1B45"/>
    <w:rsid w:val="136E2256"/>
    <w:rsid w:val="136E2957"/>
    <w:rsid w:val="136E5EEF"/>
    <w:rsid w:val="136E6D48"/>
    <w:rsid w:val="136E7119"/>
    <w:rsid w:val="136E75B7"/>
    <w:rsid w:val="136F4C75"/>
    <w:rsid w:val="136F66CF"/>
    <w:rsid w:val="13700EBE"/>
    <w:rsid w:val="13702B73"/>
    <w:rsid w:val="1370408F"/>
    <w:rsid w:val="137068A0"/>
    <w:rsid w:val="13707A8F"/>
    <w:rsid w:val="13707C90"/>
    <w:rsid w:val="13712447"/>
    <w:rsid w:val="13714381"/>
    <w:rsid w:val="1372165C"/>
    <w:rsid w:val="13724F6F"/>
    <w:rsid w:val="137267FA"/>
    <w:rsid w:val="1372687C"/>
    <w:rsid w:val="1372765D"/>
    <w:rsid w:val="13735444"/>
    <w:rsid w:val="137361BF"/>
    <w:rsid w:val="13737F6D"/>
    <w:rsid w:val="13743DC8"/>
    <w:rsid w:val="13750189"/>
    <w:rsid w:val="137529A9"/>
    <w:rsid w:val="13753FDB"/>
    <w:rsid w:val="137540EB"/>
    <w:rsid w:val="137573B6"/>
    <w:rsid w:val="13757509"/>
    <w:rsid w:val="1376180B"/>
    <w:rsid w:val="1376286F"/>
    <w:rsid w:val="13765CAF"/>
    <w:rsid w:val="1376760D"/>
    <w:rsid w:val="137739D1"/>
    <w:rsid w:val="13777B70"/>
    <w:rsid w:val="13785584"/>
    <w:rsid w:val="137912FC"/>
    <w:rsid w:val="13795BF9"/>
    <w:rsid w:val="1379754E"/>
    <w:rsid w:val="137A09D5"/>
    <w:rsid w:val="137A3B9F"/>
    <w:rsid w:val="137A5001"/>
    <w:rsid w:val="137A7084"/>
    <w:rsid w:val="137A757D"/>
    <w:rsid w:val="137A7C32"/>
    <w:rsid w:val="137B1518"/>
    <w:rsid w:val="137B5074"/>
    <w:rsid w:val="137C17A2"/>
    <w:rsid w:val="137C25BC"/>
    <w:rsid w:val="137C39E2"/>
    <w:rsid w:val="137C3FA8"/>
    <w:rsid w:val="137C641A"/>
    <w:rsid w:val="137C7472"/>
    <w:rsid w:val="137D0831"/>
    <w:rsid w:val="137D5290"/>
    <w:rsid w:val="137E1D2E"/>
    <w:rsid w:val="137E4CB6"/>
    <w:rsid w:val="137E4E27"/>
    <w:rsid w:val="137F0ED3"/>
    <w:rsid w:val="137F244C"/>
    <w:rsid w:val="137F2ACC"/>
    <w:rsid w:val="137F2DB6"/>
    <w:rsid w:val="137F340B"/>
    <w:rsid w:val="137F7AC4"/>
    <w:rsid w:val="1380268A"/>
    <w:rsid w:val="13802A7A"/>
    <w:rsid w:val="13803D3C"/>
    <w:rsid w:val="13806B2E"/>
    <w:rsid w:val="1381471F"/>
    <w:rsid w:val="138157F9"/>
    <w:rsid w:val="13816400"/>
    <w:rsid w:val="13817300"/>
    <w:rsid w:val="1381769A"/>
    <w:rsid w:val="1382233E"/>
    <w:rsid w:val="13822761"/>
    <w:rsid w:val="13824654"/>
    <w:rsid w:val="13824C9E"/>
    <w:rsid w:val="13824F1F"/>
    <w:rsid w:val="13825A80"/>
    <w:rsid w:val="13826402"/>
    <w:rsid w:val="138319CE"/>
    <w:rsid w:val="13832742"/>
    <w:rsid w:val="138337F1"/>
    <w:rsid w:val="13833F28"/>
    <w:rsid w:val="138342CE"/>
    <w:rsid w:val="138403CC"/>
    <w:rsid w:val="13840D8B"/>
    <w:rsid w:val="13841D6D"/>
    <w:rsid w:val="13841D79"/>
    <w:rsid w:val="13841D94"/>
    <w:rsid w:val="13843720"/>
    <w:rsid w:val="13846F58"/>
    <w:rsid w:val="13854144"/>
    <w:rsid w:val="1385704C"/>
    <w:rsid w:val="13857CA0"/>
    <w:rsid w:val="138630FC"/>
    <w:rsid w:val="13864628"/>
    <w:rsid w:val="13867BA7"/>
    <w:rsid w:val="13871C6A"/>
    <w:rsid w:val="13873149"/>
    <w:rsid w:val="13873911"/>
    <w:rsid w:val="13875FDF"/>
    <w:rsid w:val="13877EBC"/>
    <w:rsid w:val="1388021F"/>
    <w:rsid w:val="13884674"/>
    <w:rsid w:val="13890430"/>
    <w:rsid w:val="13892225"/>
    <w:rsid w:val="138959E3"/>
    <w:rsid w:val="138972BE"/>
    <w:rsid w:val="13897791"/>
    <w:rsid w:val="138A175B"/>
    <w:rsid w:val="138A1DA2"/>
    <w:rsid w:val="138A3509"/>
    <w:rsid w:val="138A52B7"/>
    <w:rsid w:val="138B0478"/>
    <w:rsid w:val="138B3489"/>
    <w:rsid w:val="138B39F2"/>
    <w:rsid w:val="138B5F7A"/>
    <w:rsid w:val="138B7545"/>
    <w:rsid w:val="138B7EEC"/>
    <w:rsid w:val="138C54D3"/>
    <w:rsid w:val="138C67B9"/>
    <w:rsid w:val="138D0881"/>
    <w:rsid w:val="138D2BFA"/>
    <w:rsid w:val="138D6404"/>
    <w:rsid w:val="138E124B"/>
    <w:rsid w:val="138E156E"/>
    <w:rsid w:val="138E2187"/>
    <w:rsid w:val="138E337C"/>
    <w:rsid w:val="138E4DA7"/>
    <w:rsid w:val="138F09C8"/>
    <w:rsid w:val="138F127E"/>
    <w:rsid w:val="138F1933"/>
    <w:rsid w:val="138F71E9"/>
    <w:rsid w:val="138F7287"/>
    <w:rsid w:val="13904615"/>
    <w:rsid w:val="13904FC3"/>
    <w:rsid w:val="13906A68"/>
    <w:rsid w:val="13906D71"/>
    <w:rsid w:val="13907C7B"/>
    <w:rsid w:val="13912F7C"/>
    <w:rsid w:val="13914388"/>
    <w:rsid w:val="13915983"/>
    <w:rsid w:val="139165F7"/>
    <w:rsid w:val="13916645"/>
    <w:rsid w:val="1392471A"/>
    <w:rsid w:val="13924DD8"/>
    <w:rsid w:val="139261DC"/>
    <w:rsid w:val="1393060F"/>
    <w:rsid w:val="139307D9"/>
    <w:rsid w:val="139328D1"/>
    <w:rsid w:val="1393490E"/>
    <w:rsid w:val="13937098"/>
    <w:rsid w:val="13941175"/>
    <w:rsid w:val="13945310"/>
    <w:rsid w:val="13945F27"/>
    <w:rsid w:val="13947FA3"/>
    <w:rsid w:val="139509E6"/>
    <w:rsid w:val="13953807"/>
    <w:rsid w:val="13954387"/>
    <w:rsid w:val="1395583F"/>
    <w:rsid w:val="13955DAD"/>
    <w:rsid w:val="13957CB9"/>
    <w:rsid w:val="13960100"/>
    <w:rsid w:val="13963C5C"/>
    <w:rsid w:val="13964DB4"/>
    <w:rsid w:val="1396715A"/>
    <w:rsid w:val="139705EA"/>
    <w:rsid w:val="13975793"/>
    <w:rsid w:val="13975BF5"/>
    <w:rsid w:val="13976A24"/>
    <w:rsid w:val="13977400"/>
    <w:rsid w:val="139852A3"/>
    <w:rsid w:val="139879D4"/>
    <w:rsid w:val="13990279"/>
    <w:rsid w:val="13991A8C"/>
    <w:rsid w:val="13996EAE"/>
    <w:rsid w:val="13997F4C"/>
    <w:rsid w:val="139B227B"/>
    <w:rsid w:val="139B3128"/>
    <w:rsid w:val="139B3968"/>
    <w:rsid w:val="139B5195"/>
    <w:rsid w:val="139B6F6C"/>
    <w:rsid w:val="139B74C4"/>
    <w:rsid w:val="139C5A46"/>
    <w:rsid w:val="139D0151"/>
    <w:rsid w:val="139D1B5F"/>
    <w:rsid w:val="139D1BCE"/>
    <w:rsid w:val="139D3A13"/>
    <w:rsid w:val="139D4FEA"/>
    <w:rsid w:val="139E0D62"/>
    <w:rsid w:val="139E2CE4"/>
    <w:rsid w:val="139E6CC3"/>
    <w:rsid w:val="139F0157"/>
    <w:rsid w:val="139F347D"/>
    <w:rsid w:val="139F37FF"/>
    <w:rsid w:val="139F5206"/>
    <w:rsid w:val="13A02D2C"/>
    <w:rsid w:val="13A04ADA"/>
    <w:rsid w:val="13A1169C"/>
    <w:rsid w:val="13A12DDD"/>
    <w:rsid w:val="13A1751C"/>
    <w:rsid w:val="13A20852"/>
    <w:rsid w:val="13A22600"/>
    <w:rsid w:val="13A233ED"/>
    <w:rsid w:val="13A256DE"/>
    <w:rsid w:val="13A256FD"/>
    <w:rsid w:val="13A325F4"/>
    <w:rsid w:val="13A33D3E"/>
    <w:rsid w:val="13A33E3C"/>
    <w:rsid w:val="13A34107"/>
    <w:rsid w:val="13A36D90"/>
    <w:rsid w:val="13A4001D"/>
    <w:rsid w:val="13A40D93"/>
    <w:rsid w:val="13A4175E"/>
    <w:rsid w:val="13A445CA"/>
    <w:rsid w:val="13A46379"/>
    <w:rsid w:val="13A4779E"/>
    <w:rsid w:val="13A51C28"/>
    <w:rsid w:val="13A520F1"/>
    <w:rsid w:val="13A56D00"/>
    <w:rsid w:val="13A6437A"/>
    <w:rsid w:val="13A64777"/>
    <w:rsid w:val="13A65040"/>
    <w:rsid w:val="13A66179"/>
    <w:rsid w:val="13A7230D"/>
    <w:rsid w:val="13A740BB"/>
    <w:rsid w:val="13A7749D"/>
    <w:rsid w:val="13A849C8"/>
    <w:rsid w:val="13A94014"/>
    <w:rsid w:val="13A96678"/>
    <w:rsid w:val="13AA01CA"/>
    <w:rsid w:val="13AA21BF"/>
    <w:rsid w:val="13AA45D3"/>
    <w:rsid w:val="13AA4DE0"/>
    <w:rsid w:val="13AA5959"/>
    <w:rsid w:val="13AA7E44"/>
    <w:rsid w:val="13AB44B8"/>
    <w:rsid w:val="13AB553B"/>
    <w:rsid w:val="13AB6423"/>
    <w:rsid w:val="13AB6AFA"/>
    <w:rsid w:val="13AB7860"/>
    <w:rsid w:val="13AC16D1"/>
    <w:rsid w:val="13AC347F"/>
    <w:rsid w:val="13AC5F03"/>
    <w:rsid w:val="13AC7923"/>
    <w:rsid w:val="13AC7EF0"/>
    <w:rsid w:val="13AD2810"/>
    <w:rsid w:val="13AD46B7"/>
    <w:rsid w:val="13AD7850"/>
    <w:rsid w:val="13AE0697"/>
    <w:rsid w:val="13AE333C"/>
    <w:rsid w:val="13AE3CA0"/>
    <w:rsid w:val="13AE3ED1"/>
    <w:rsid w:val="13AE4DBC"/>
    <w:rsid w:val="13AE6A04"/>
    <w:rsid w:val="13AF0080"/>
    <w:rsid w:val="13AF22DD"/>
    <w:rsid w:val="13AF2F6F"/>
    <w:rsid w:val="13AF38B2"/>
    <w:rsid w:val="13AF3935"/>
    <w:rsid w:val="13AF4D1D"/>
    <w:rsid w:val="13AF52CC"/>
    <w:rsid w:val="13AF5A3D"/>
    <w:rsid w:val="13B011C1"/>
    <w:rsid w:val="13B07D01"/>
    <w:rsid w:val="13B10C71"/>
    <w:rsid w:val="13B11191"/>
    <w:rsid w:val="13B11556"/>
    <w:rsid w:val="13B145ED"/>
    <w:rsid w:val="13B16CE7"/>
    <w:rsid w:val="13B17642"/>
    <w:rsid w:val="13B20360"/>
    <w:rsid w:val="13B2100E"/>
    <w:rsid w:val="13B30CB1"/>
    <w:rsid w:val="13B40F6B"/>
    <w:rsid w:val="13B45FD0"/>
    <w:rsid w:val="13B55594"/>
    <w:rsid w:val="13B61A88"/>
    <w:rsid w:val="13B62DD7"/>
    <w:rsid w:val="13B63B73"/>
    <w:rsid w:val="13B6548D"/>
    <w:rsid w:val="13B66530"/>
    <w:rsid w:val="13B66DA5"/>
    <w:rsid w:val="13B71CFA"/>
    <w:rsid w:val="13B73654"/>
    <w:rsid w:val="13B77BD4"/>
    <w:rsid w:val="13B81064"/>
    <w:rsid w:val="13B862C8"/>
    <w:rsid w:val="13B86493"/>
    <w:rsid w:val="13B914A7"/>
    <w:rsid w:val="13B95309"/>
    <w:rsid w:val="13BA06E0"/>
    <w:rsid w:val="13BA2040"/>
    <w:rsid w:val="13BA2DF1"/>
    <w:rsid w:val="13BA32C0"/>
    <w:rsid w:val="13BA5B9C"/>
    <w:rsid w:val="13BA6167"/>
    <w:rsid w:val="13BB36C2"/>
    <w:rsid w:val="13BB6555"/>
    <w:rsid w:val="13BB7491"/>
    <w:rsid w:val="13BB7B66"/>
    <w:rsid w:val="13BC0546"/>
    <w:rsid w:val="13BC0E75"/>
    <w:rsid w:val="13BC2C24"/>
    <w:rsid w:val="13BC5DB8"/>
    <w:rsid w:val="13BD38DE"/>
    <w:rsid w:val="13BD568C"/>
    <w:rsid w:val="13BD6AD3"/>
    <w:rsid w:val="13BE4B72"/>
    <w:rsid w:val="13BE5527"/>
    <w:rsid w:val="13BF1404"/>
    <w:rsid w:val="13BF2EEC"/>
    <w:rsid w:val="13BF31B2"/>
    <w:rsid w:val="13C0517C"/>
    <w:rsid w:val="13C06B9F"/>
    <w:rsid w:val="13C10C86"/>
    <w:rsid w:val="13C1160F"/>
    <w:rsid w:val="13C133CE"/>
    <w:rsid w:val="13C20EF5"/>
    <w:rsid w:val="13C22116"/>
    <w:rsid w:val="13C22CA3"/>
    <w:rsid w:val="13C251CA"/>
    <w:rsid w:val="13C266F6"/>
    <w:rsid w:val="13C32B8C"/>
    <w:rsid w:val="13C34C54"/>
    <w:rsid w:val="13C34F6D"/>
    <w:rsid w:val="13C36177"/>
    <w:rsid w:val="13C423E8"/>
    <w:rsid w:val="13C46A1B"/>
    <w:rsid w:val="13C5048C"/>
    <w:rsid w:val="13C521D8"/>
    <w:rsid w:val="13C54541"/>
    <w:rsid w:val="13C549F7"/>
    <w:rsid w:val="13C5760B"/>
    <w:rsid w:val="13C6186B"/>
    <w:rsid w:val="13C61F27"/>
    <w:rsid w:val="13C62793"/>
    <w:rsid w:val="13C63A72"/>
    <w:rsid w:val="13C702B9"/>
    <w:rsid w:val="13C72A86"/>
    <w:rsid w:val="13C7475D"/>
    <w:rsid w:val="13C82537"/>
    <w:rsid w:val="13C82F96"/>
    <w:rsid w:val="13C83749"/>
    <w:rsid w:val="13C84B50"/>
    <w:rsid w:val="13C8762E"/>
    <w:rsid w:val="13C90BDD"/>
    <w:rsid w:val="13C94031"/>
    <w:rsid w:val="13CA1241"/>
    <w:rsid w:val="13CB028E"/>
    <w:rsid w:val="13CB48BB"/>
    <w:rsid w:val="13CB4909"/>
    <w:rsid w:val="13CB4ADC"/>
    <w:rsid w:val="13CB7DA9"/>
    <w:rsid w:val="13CC1A33"/>
    <w:rsid w:val="13CC47BE"/>
    <w:rsid w:val="13CC58CF"/>
    <w:rsid w:val="13CC66FB"/>
    <w:rsid w:val="13CC69C1"/>
    <w:rsid w:val="13CD0607"/>
    <w:rsid w:val="13CE1647"/>
    <w:rsid w:val="13CE58F5"/>
    <w:rsid w:val="13CE5AEB"/>
    <w:rsid w:val="13CE6672"/>
    <w:rsid w:val="13CE6B83"/>
    <w:rsid w:val="13CE7899"/>
    <w:rsid w:val="13CF051C"/>
    <w:rsid w:val="13CF064E"/>
    <w:rsid w:val="13CF716E"/>
    <w:rsid w:val="13CF79EE"/>
    <w:rsid w:val="13D011ED"/>
    <w:rsid w:val="13D0208C"/>
    <w:rsid w:val="13D03611"/>
    <w:rsid w:val="13D047F9"/>
    <w:rsid w:val="13D053C0"/>
    <w:rsid w:val="13D05BAA"/>
    <w:rsid w:val="13D06532"/>
    <w:rsid w:val="13D07AF3"/>
    <w:rsid w:val="13D1077B"/>
    <w:rsid w:val="13D11138"/>
    <w:rsid w:val="13D11D65"/>
    <w:rsid w:val="13D13FDF"/>
    <w:rsid w:val="13D1738A"/>
    <w:rsid w:val="13D2309B"/>
    <w:rsid w:val="13D27CD8"/>
    <w:rsid w:val="13D33304"/>
    <w:rsid w:val="13D35C6C"/>
    <w:rsid w:val="13D41D52"/>
    <w:rsid w:val="13D4230A"/>
    <w:rsid w:val="13D444AF"/>
    <w:rsid w:val="13D45CAC"/>
    <w:rsid w:val="13D529D6"/>
    <w:rsid w:val="13D5487D"/>
    <w:rsid w:val="13D54A0B"/>
    <w:rsid w:val="13D54C14"/>
    <w:rsid w:val="13D6148C"/>
    <w:rsid w:val="13D647B8"/>
    <w:rsid w:val="13D6674E"/>
    <w:rsid w:val="13D70D8D"/>
    <w:rsid w:val="13D72D35"/>
    <w:rsid w:val="13D72EAC"/>
    <w:rsid w:val="13D749A0"/>
    <w:rsid w:val="13D75CA3"/>
    <w:rsid w:val="13D76346"/>
    <w:rsid w:val="13D80718"/>
    <w:rsid w:val="13D817DB"/>
    <w:rsid w:val="13D82BD1"/>
    <w:rsid w:val="13D83CF6"/>
    <w:rsid w:val="13D84274"/>
    <w:rsid w:val="13D84582"/>
    <w:rsid w:val="13D84AA3"/>
    <w:rsid w:val="13D90351"/>
    <w:rsid w:val="13D91219"/>
    <w:rsid w:val="13D93620"/>
    <w:rsid w:val="13D93A11"/>
    <w:rsid w:val="13D96FF4"/>
    <w:rsid w:val="13DA260B"/>
    <w:rsid w:val="13DA2F6E"/>
    <w:rsid w:val="13DA623E"/>
    <w:rsid w:val="13DB3D64"/>
    <w:rsid w:val="13DB3D9C"/>
    <w:rsid w:val="13DB5B12"/>
    <w:rsid w:val="13DC1FA1"/>
    <w:rsid w:val="13DC1FB6"/>
    <w:rsid w:val="13DC21D7"/>
    <w:rsid w:val="13DC74ED"/>
    <w:rsid w:val="13DD1C23"/>
    <w:rsid w:val="13DD5D2E"/>
    <w:rsid w:val="13DD7460"/>
    <w:rsid w:val="13DD7D12"/>
    <w:rsid w:val="13DE034C"/>
    <w:rsid w:val="13DE4D8F"/>
    <w:rsid w:val="13DF2B55"/>
    <w:rsid w:val="13DF3855"/>
    <w:rsid w:val="13DF395B"/>
    <w:rsid w:val="13DF420F"/>
    <w:rsid w:val="13DF46D7"/>
    <w:rsid w:val="13DF54C5"/>
    <w:rsid w:val="13E008D6"/>
    <w:rsid w:val="13E0137B"/>
    <w:rsid w:val="13E10270"/>
    <w:rsid w:val="13E1047A"/>
    <w:rsid w:val="13E11700"/>
    <w:rsid w:val="13E14B7A"/>
    <w:rsid w:val="13E1581F"/>
    <w:rsid w:val="13E164B0"/>
    <w:rsid w:val="13E175CD"/>
    <w:rsid w:val="13E21FFA"/>
    <w:rsid w:val="13E22B90"/>
    <w:rsid w:val="13E23345"/>
    <w:rsid w:val="13E250F3"/>
    <w:rsid w:val="13E26EA1"/>
    <w:rsid w:val="13E2736A"/>
    <w:rsid w:val="13E27D80"/>
    <w:rsid w:val="13E331E6"/>
    <w:rsid w:val="13E3388B"/>
    <w:rsid w:val="13E33964"/>
    <w:rsid w:val="13E35E7A"/>
    <w:rsid w:val="13E40E6B"/>
    <w:rsid w:val="13E41577"/>
    <w:rsid w:val="13E42753"/>
    <w:rsid w:val="13E42C19"/>
    <w:rsid w:val="13E441BA"/>
    <w:rsid w:val="13E46BF1"/>
    <w:rsid w:val="13E50081"/>
    <w:rsid w:val="13E5054D"/>
    <w:rsid w:val="13E54A01"/>
    <w:rsid w:val="13E56991"/>
    <w:rsid w:val="13E62E35"/>
    <w:rsid w:val="13E634B3"/>
    <w:rsid w:val="13E7095B"/>
    <w:rsid w:val="13E7568E"/>
    <w:rsid w:val="13E76BAD"/>
    <w:rsid w:val="13E87057"/>
    <w:rsid w:val="13E946D3"/>
    <w:rsid w:val="13E96D1A"/>
    <w:rsid w:val="13EA5BC7"/>
    <w:rsid w:val="13EB27D0"/>
    <w:rsid w:val="13EB3B3F"/>
    <w:rsid w:val="13EB3FA7"/>
    <w:rsid w:val="13EB7EFF"/>
    <w:rsid w:val="13EC4341"/>
    <w:rsid w:val="13EC4AF2"/>
    <w:rsid w:val="13EC5F71"/>
    <w:rsid w:val="13EC7D20"/>
    <w:rsid w:val="13EC7EC5"/>
    <w:rsid w:val="13ED4C68"/>
    <w:rsid w:val="13ED716A"/>
    <w:rsid w:val="13EE1637"/>
    <w:rsid w:val="13EE1CD2"/>
    <w:rsid w:val="13EE2874"/>
    <w:rsid w:val="13EE3A98"/>
    <w:rsid w:val="13EE5846"/>
    <w:rsid w:val="13EE708C"/>
    <w:rsid w:val="13EE7B6A"/>
    <w:rsid w:val="13EF2AD8"/>
    <w:rsid w:val="13F015BE"/>
    <w:rsid w:val="13F01F21"/>
    <w:rsid w:val="13F07810"/>
    <w:rsid w:val="13F11368"/>
    <w:rsid w:val="13F12635"/>
    <w:rsid w:val="13F13588"/>
    <w:rsid w:val="13F151EA"/>
    <w:rsid w:val="13F15336"/>
    <w:rsid w:val="13F217DA"/>
    <w:rsid w:val="13F310AE"/>
    <w:rsid w:val="13F32BC5"/>
    <w:rsid w:val="13F35552"/>
    <w:rsid w:val="13F36F7F"/>
    <w:rsid w:val="13F37300"/>
    <w:rsid w:val="13F40BD6"/>
    <w:rsid w:val="13F43E5A"/>
    <w:rsid w:val="13F506C5"/>
    <w:rsid w:val="13F50722"/>
    <w:rsid w:val="13F53078"/>
    <w:rsid w:val="13F54E26"/>
    <w:rsid w:val="13F5502B"/>
    <w:rsid w:val="13F56BD4"/>
    <w:rsid w:val="13F61650"/>
    <w:rsid w:val="13F6294C"/>
    <w:rsid w:val="13F722C8"/>
    <w:rsid w:val="13F7723A"/>
    <w:rsid w:val="13F82B68"/>
    <w:rsid w:val="13F8335E"/>
    <w:rsid w:val="13F83926"/>
    <w:rsid w:val="13F84916"/>
    <w:rsid w:val="13F864F7"/>
    <w:rsid w:val="13F866C4"/>
    <w:rsid w:val="13F9022E"/>
    <w:rsid w:val="13F903BE"/>
    <w:rsid w:val="13F92ACD"/>
    <w:rsid w:val="13F97EAA"/>
    <w:rsid w:val="13FA1448"/>
    <w:rsid w:val="13FA50E2"/>
    <w:rsid w:val="13FB08AE"/>
    <w:rsid w:val="13FB7A03"/>
    <w:rsid w:val="13FB7F63"/>
    <w:rsid w:val="13FD0D15"/>
    <w:rsid w:val="13FD1F2D"/>
    <w:rsid w:val="13FD27CA"/>
    <w:rsid w:val="13FD3360"/>
    <w:rsid w:val="13FD7798"/>
    <w:rsid w:val="13FE28A9"/>
    <w:rsid w:val="13FE61DA"/>
    <w:rsid w:val="13FE7E2C"/>
    <w:rsid w:val="13FF2DC0"/>
    <w:rsid w:val="13FF5CA5"/>
    <w:rsid w:val="1401111B"/>
    <w:rsid w:val="14011A1D"/>
    <w:rsid w:val="14013620"/>
    <w:rsid w:val="14016119"/>
    <w:rsid w:val="14017A83"/>
    <w:rsid w:val="140212F1"/>
    <w:rsid w:val="1402139D"/>
    <w:rsid w:val="140241B4"/>
    <w:rsid w:val="1403001D"/>
    <w:rsid w:val="14031097"/>
    <w:rsid w:val="140343F0"/>
    <w:rsid w:val="140449B3"/>
    <w:rsid w:val="14044A9A"/>
    <w:rsid w:val="140468BB"/>
    <w:rsid w:val="140472BE"/>
    <w:rsid w:val="14053195"/>
    <w:rsid w:val="140644AF"/>
    <w:rsid w:val="14065285"/>
    <w:rsid w:val="1406681A"/>
    <w:rsid w:val="140673BA"/>
    <w:rsid w:val="1407047C"/>
    <w:rsid w:val="14072913"/>
    <w:rsid w:val="140732F7"/>
    <w:rsid w:val="14076907"/>
    <w:rsid w:val="14081EA4"/>
    <w:rsid w:val="14086955"/>
    <w:rsid w:val="140908D1"/>
    <w:rsid w:val="14092FD9"/>
    <w:rsid w:val="1409458D"/>
    <w:rsid w:val="14096B23"/>
    <w:rsid w:val="1409747C"/>
    <w:rsid w:val="140A39B3"/>
    <w:rsid w:val="140A3C6B"/>
    <w:rsid w:val="140A6133"/>
    <w:rsid w:val="140B0154"/>
    <w:rsid w:val="140B289C"/>
    <w:rsid w:val="140B45A4"/>
    <w:rsid w:val="140B63F8"/>
    <w:rsid w:val="140C071C"/>
    <w:rsid w:val="140C2170"/>
    <w:rsid w:val="140D5B1C"/>
    <w:rsid w:val="140D6614"/>
    <w:rsid w:val="140D7525"/>
    <w:rsid w:val="140E071C"/>
    <w:rsid w:val="140E56DE"/>
    <w:rsid w:val="140E7C96"/>
    <w:rsid w:val="140F172D"/>
    <w:rsid w:val="140F32ED"/>
    <w:rsid w:val="140F7949"/>
    <w:rsid w:val="14101C60"/>
    <w:rsid w:val="1410303C"/>
    <w:rsid w:val="14103A0E"/>
    <w:rsid w:val="14103EB9"/>
    <w:rsid w:val="14104EDA"/>
    <w:rsid w:val="14107EB2"/>
    <w:rsid w:val="14111E0D"/>
    <w:rsid w:val="14114721"/>
    <w:rsid w:val="14116BCD"/>
    <w:rsid w:val="141170ED"/>
    <w:rsid w:val="14123C2A"/>
    <w:rsid w:val="141253DE"/>
    <w:rsid w:val="141259D8"/>
    <w:rsid w:val="14131750"/>
    <w:rsid w:val="141334FE"/>
    <w:rsid w:val="141352AC"/>
    <w:rsid w:val="141379A2"/>
    <w:rsid w:val="14143B6B"/>
    <w:rsid w:val="1414408F"/>
    <w:rsid w:val="1414458E"/>
    <w:rsid w:val="141450AE"/>
    <w:rsid w:val="1414529D"/>
    <w:rsid w:val="1414561F"/>
    <w:rsid w:val="14146CC7"/>
    <w:rsid w:val="14147542"/>
    <w:rsid w:val="14151024"/>
    <w:rsid w:val="141528E6"/>
    <w:rsid w:val="141628E9"/>
    <w:rsid w:val="1416389F"/>
    <w:rsid w:val="14164D9C"/>
    <w:rsid w:val="141650A9"/>
    <w:rsid w:val="14165F39"/>
    <w:rsid w:val="141719EA"/>
    <w:rsid w:val="14172FEE"/>
    <w:rsid w:val="14173EED"/>
    <w:rsid w:val="1417526A"/>
    <w:rsid w:val="141777F1"/>
    <w:rsid w:val="1418439F"/>
    <w:rsid w:val="14186D67"/>
    <w:rsid w:val="141874BB"/>
    <w:rsid w:val="141909BD"/>
    <w:rsid w:val="1419220D"/>
    <w:rsid w:val="141945BE"/>
    <w:rsid w:val="14196F70"/>
    <w:rsid w:val="141A012B"/>
    <w:rsid w:val="141A1816"/>
    <w:rsid w:val="141A27B5"/>
    <w:rsid w:val="141A2D29"/>
    <w:rsid w:val="141A6E45"/>
    <w:rsid w:val="141B1890"/>
    <w:rsid w:val="141B23B3"/>
    <w:rsid w:val="141B2727"/>
    <w:rsid w:val="141B3C87"/>
    <w:rsid w:val="141B42B5"/>
    <w:rsid w:val="141B5332"/>
    <w:rsid w:val="141B6772"/>
    <w:rsid w:val="141C0605"/>
    <w:rsid w:val="141C0918"/>
    <w:rsid w:val="141C2D20"/>
    <w:rsid w:val="141C2D65"/>
    <w:rsid w:val="141C58F1"/>
    <w:rsid w:val="141C653D"/>
    <w:rsid w:val="141C6857"/>
    <w:rsid w:val="141C70CC"/>
    <w:rsid w:val="141D1D6C"/>
    <w:rsid w:val="141D6D81"/>
    <w:rsid w:val="141E5673"/>
    <w:rsid w:val="141F00F5"/>
    <w:rsid w:val="141F16A1"/>
    <w:rsid w:val="141F1EA3"/>
    <w:rsid w:val="141F44BA"/>
    <w:rsid w:val="141F4D55"/>
    <w:rsid w:val="141F5D20"/>
    <w:rsid w:val="141F6347"/>
    <w:rsid w:val="141F7975"/>
    <w:rsid w:val="142020CB"/>
    <w:rsid w:val="142026B7"/>
    <w:rsid w:val="14202B31"/>
    <w:rsid w:val="14204118"/>
    <w:rsid w:val="14213E6D"/>
    <w:rsid w:val="14215983"/>
    <w:rsid w:val="142174E5"/>
    <w:rsid w:val="142179C9"/>
    <w:rsid w:val="14221751"/>
    <w:rsid w:val="14221993"/>
    <w:rsid w:val="14223A58"/>
    <w:rsid w:val="14227EFD"/>
    <w:rsid w:val="142302FE"/>
    <w:rsid w:val="142328B6"/>
    <w:rsid w:val="14242942"/>
    <w:rsid w:val="14252D64"/>
    <w:rsid w:val="14253DD2"/>
    <w:rsid w:val="14261483"/>
    <w:rsid w:val="14261574"/>
    <w:rsid w:val="14264DBF"/>
    <w:rsid w:val="14266409"/>
    <w:rsid w:val="142665B7"/>
    <w:rsid w:val="142669A3"/>
    <w:rsid w:val="142676D5"/>
    <w:rsid w:val="14275FE2"/>
    <w:rsid w:val="14276FAA"/>
    <w:rsid w:val="1428025C"/>
    <w:rsid w:val="14281851"/>
    <w:rsid w:val="142851FC"/>
    <w:rsid w:val="14287463"/>
    <w:rsid w:val="14292D22"/>
    <w:rsid w:val="14293659"/>
    <w:rsid w:val="142A5812"/>
    <w:rsid w:val="142A645C"/>
    <w:rsid w:val="142A67B4"/>
    <w:rsid w:val="142B0848"/>
    <w:rsid w:val="142B4CEC"/>
    <w:rsid w:val="142B52ED"/>
    <w:rsid w:val="142B6A9A"/>
    <w:rsid w:val="142B7C44"/>
    <w:rsid w:val="142C0D7F"/>
    <w:rsid w:val="142C222D"/>
    <w:rsid w:val="142C45C0"/>
    <w:rsid w:val="142D2812"/>
    <w:rsid w:val="142D31F9"/>
    <w:rsid w:val="142E39D1"/>
    <w:rsid w:val="142E3B87"/>
    <w:rsid w:val="142E5670"/>
    <w:rsid w:val="142E658A"/>
    <w:rsid w:val="142E67E6"/>
    <w:rsid w:val="142F2189"/>
    <w:rsid w:val="142F2704"/>
    <w:rsid w:val="142F2923"/>
    <w:rsid w:val="142F3D13"/>
    <w:rsid w:val="142F56B3"/>
    <w:rsid w:val="142F7384"/>
    <w:rsid w:val="143010AC"/>
    <w:rsid w:val="143016B9"/>
    <w:rsid w:val="14302302"/>
    <w:rsid w:val="1430678A"/>
    <w:rsid w:val="14307D5E"/>
    <w:rsid w:val="14313AB6"/>
    <w:rsid w:val="14313CEC"/>
    <w:rsid w:val="14314569"/>
    <w:rsid w:val="14321BD6"/>
    <w:rsid w:val="14322C2D"/>
    <w:rsid w:val="14325050"/>
    <w:rsid w:val="1432607A"/>
    <w:rsid w:val="14331E76"/>
    <w:rsid w:val="14333BA0"/>
    <w:rsid w:val="1433594E"/>
    <w:rsid w:val="14342437"/>
    <w:rsid w:val="14344399"/>
    <w:rsid w:val="14351083"/>
    <w:rsid w:val="143516C6"/>
    <w:rsid w:val="143535BC"/>
    <w:rsid w:val="143538C7"/>
    <w:rsid w:val="14354DD2"/>
    <w:rsid w:val="14357605"/>
    <w:rsid w:val="14357918"/>
    <w:rsid w:val="143630F4"/>
    <w:rsid w:val="14363333"/>
    <w:rsid w:val="14372CBA"/>
    <w:rsid w:val="14374661"/>
    <w:rsid w:val="1437543F"/>
    <w:rsid w:val="14375CF3"/>
    <w:rsid w:val="14376A42"/>
    <w:rsid w:val="143771ED"/>
    <w:rsid w:val="14380DB8"/>
    <w:rsid w:val="14380F1F"/>
    <w:rsid w:val="143811B7"/>
    <w:rsid w:val="14382F65"/>
    <w:rsid w:val="14383989"/>
    <w:rsid w:val="14395606"/>
    <w:rsid w:val="1439654B"/>
    <w:rsid w:val="14397409"/>
    <w:rsid w:val="143A1D26"/>
    <w:rsid w:val="143A4F2F"/>
    <w:rsid w:val="143A6CDD"/>
    <w:rsid w:val="143B0A21"/>
    <w:rsid w:val="143B33B1"/>
    <w:rsid w:val="143B3500"/>
    <w:rsid w:val="143B6539"/>
    <w:rsid w:val="143B6549"/>
    <w:rsid w:val="143B7601"/>
    <w:rsid w:val="143B7FF8"/>
    <w:rsid w:val="143C17E8"/>
    <w:rsid w:val="143C2A55"/>
    <w:rsid w:val="143C6423"/>
    <w:rsid w:val="143D057B"/>
    <w:rsid w:val="143D55B7"/>
    <w:rsid w:val="143D67CD"/>
    <w:rsid w:val="143E103B"/>
    <w:rsid w:val="143E4655"/>
    <w:rsid w:val="143F2545"/>
    <w:rsid w:val="143F2D37"/>
    <w:rsid w:val="143F3C42"/>
    <w:rsid w:val="143F42F3"/>
    <w:rsid w:val="143F754A"/>
    <w:rsid w:val="143F7B88"/>
    <w:rsid w:val="14410472"/>
    <w:rsid w:val="144135AB"/>
    <w:rsid w:val="1441381C"/>
    <w:rsid w:val="14420A2F"/>
    <w:rsid w:val="14420B6F"/>
    <w:rsid w:val="14422E8F"/>
    <w:rsid w:val="144240D3"/>
    <w:rsid w:val="14424A3B"/>
    <w:rsid w:val="1442563A"/>
    <w:rsid w:val="144341B7"/>
    <w:rsid w:val="14436288"/>
    <w:rsid w:val="144364B3"/>
    <w:rsid w:val="1444192F"/>
    <w:rsid w:val="14441A46"/>
    <w:rsid w:val="14441F2C"/>
    <w:rsid w:val="1444248A"/>
    <w:rsid w:val="144431AF"/>
    <w:rsid w:val="14444DF0"/>
    <w:rsid w:val="14445DAD"/>
    <w:rsid w:val="14447B5C"/>
    <w:rsid w:val="14456C65"/>
    <w:rsid w:val="144578A5"/>
    <w:rsid w:val="144578F7"/>
    <w:rsid w:val="1446149A"/>
    <w:rsid w:val="14465682"/>
    <w:rsid w:val="14465A42"/>
    <w:rsid w:val="14465E95"/>
    <w:rsid w:val="14465F8D"/>
    <w:rsid w:val="14467430"/>
    <w:rsid w:val="14470CF9"/>
    <w:rsid w:val="14471F68"/>
    <w:rsid w:val="144731A8"/>
    <w:rsid w:val="14473856"/>
    <w:rsid w:val="14474DD8"/>
    <w:rsid w:val="144765B1"/>
    <w:rsid w:val="14476C59"/>
    <w:rsid w:val="144808AD"/>
    <w:rsid w:val="14480B8B"/>
    <w:rsid w:val="1448764C"/>
    <w:rsid w:val="14487BC7"/>
    <w:rsid w:val="14491B14"/>
    <w:rsid w:val="14493900"/>
    <w:rsid w:val="14493FE9"/>
    <w:rsid w:val="14496F20"/>
    <w:rsid w:val="144A50B0"/>
    <w:rsid w:val="144A686A"/>
    <w:rsid w:val="144A74C6"/>
    <w:rsid w:val="144B31CE"/>
    <w:rsid w:val="144B713C"/>
    <w:rsid w:val="144B7883"/>
    <w:rsid w:val="144B7F4A"/>
    <w:rsid w:val="144C1291"/>
    <w:rsid w:val="144C28D1"/>
    <w:rsid w:val="144D02BB"/>
    <w:rsid w:val="144D4C62"/>
    <w:rsid w:val="144D6A10"/>
    <w:rsid w:val="144D6F4C"/>
    <w:rsid w:val="144E09DA"/>
    <w:rsid w:val="144E2788"/>
    <w:rsid w:val="144F0FC9"/>
    <w:rsid w:val="144F137D"/>
    <w:rsid w:val="144F4AF8"/>
    <w:rsid w:val="144F7963"/>
    <w:rsid w:val="14501D79"/>
    <w:rsid w:val="145049D5"/>
    <w:rsid w:val="14506500"/>
    <w:rsid w:val="14515D31"/>
    <w:rsid w:val="14516EB4"/>
    <w:rsid w:val="14522278"/>
    <w:rsid w:val="14524530"/>
    <w:rsid w:val="14530591"/>
    <w:rsid w:val="14547579"/>
    <w:rsid w:val="14552EB1"/>
    <w:rsid w:val="14553082"/>
    <w:rsid w:val="14555712"/>
    <w:rsid w:val="14556A64"/>
    <w:rsid w:val="14557C6C"/>
    <w:rsid w:val="14563D6D"/>
    <w:rsid w:val="1457088A"/>
    <w:rsid w:val="14570AB2"/>
    <w:rsid w:val="14575AE1"/>
    <w:rsid w:val="1457788F"/>
    <w:rsid w:val="14577AB4"/>
    <w:rsid w:val="14581479"/>
    <w:rsid w:val="14581DA9"/>
    <w:rsid w:val="14582CF6"/>
    <w:rsid w:val="145835A9"/>
    <w:rsid w:val="145835C9"/>
    <w:rsid w:val="145853B5"/>
    <w:rsid w:val="14587633"/>
    <w:rsid w:val="14592CC2"/>
    <w:rsid w:val="14593607"/>
    <w:rsid w:val="14594357"/>
    <w:rsid w:val="14595A2D"/>
    <w:rsid w:val="14595E98"/>
    <w:rsid w:val="145A00ED"/>
    <w:rsid w:val="145A09D3"/>
    <w:rsid w:val="145A112D"/>
    <w:rsid w:val="145A2206"/>
    <w:rsid w:val="145A2571"/>
    <w:rsid w:val="145A2B2B"/>
    <w:rsid w:val="145A2EDB"/>
    <w:rsid w:val="145A36D4"/>
    <w:rsid w:val="145C01B3"/>
    <w:rsid w:val="145C1D83"/>
    <w:rsid w:val="145C30F7"/>
    <w:rsid w:val="145C3B35"/>
    <w:rsid w:val="145C4C6D"/>
    <w:rsid w:val="145C4EA5"/>
    <w:rsid w:val="145C6C53"/>
    <w:rsid w:val="145D29CB"/>
    <w:rsid w:val="145D6501"/>
    <w:rsid w:val="145E0C1D"/>
    <w:rsid w:val="145E23C1"/>
    <w:rsid w:val="145E56A4"/>
    <w:rsid w:val="145E6CE5"/>
    <w:rsid w:val="145E6E6F"/>
    <w:rsid w:val="145F04F1"/>
    <w:rsid w:val="145F46DC"/>
    <w:rsid w:val="145F4995"/>
    <w:rsid w:val="145F6743"/>
    <w:rsid w:val="145F7553"/>
    <w:rsid w:val="14601192"/>
    <w:rsid w:val="14601632"/>
    <w:rsid w:val="14606A40"/>
    <w:rsid w:val="14607FC4"/>
    <w:rsid w:val="14612099"/>
    <w:rsid w:val="146124BC"/>
    <w:rsid w:val="1461426A"/>
    <w:rsid w:val="14616058"/>
    <w:rsid w:val="14616C15"/>
    <w:rsid w:val="1461769A"/>
    <w:rsid w:val="146272F0"/>
    <w:rsid w:val="14627FE2"/>
    <w:rsid w:val="14641516"/>
    <w:rsid w:val="14643D5A"/>
    <w:rsid w:val="14647DD5"/>
    <w:rsid w:val="14650D21"/>
    <w:rsid w:val="14651130"/>
    <w:rsid w:val="14651265"/>
    <w:rsid w:val="146529A6"/>
    <w:rsid w:val="14652C41"/>
    <w:rsid w:val="14653FB0"/>
    <w:rsid w:val="14657797"/>
    <w:rsid w:val="14661880"/>
    <w:rsid w:val="14663A33"/>
    <w:rsid w:val="14665F14"/>
    <w:rsid w:val="14667813"/>
    <w:rsid w:val="14667AD2"/>
    <w:rsid w:val="14673BCD"/>
    <w:rsid w:val="14673D10"/>
    <w:rsid w:val="14677A53"/>
    <w:rsid w:val="14681327"/>
    <w:rsid w:val="1468384A"/>
    <w:rsid w:val="146850C3"/>
    <w:rsid w:val="146855F8"/>
    <w:rsid w:val="14691370"/>
    <w:rsid w:val="14694157"/>
    <w:rsid w:val="146975C2"/>
    <w:rsid w:val="14697910"/>
    <w:rsid w:val="14697ED4"/>
    <w:rsid w:val="146A3560"/>
    <w:rsid w:val="146A3C47"/>
    <w:rsid w:val="146A56B1"/>
    <w:rsid w:val="146A70BF"/>
    <w:rsid w:val="146B15F4"/>
    <w:rsid w:val="146B40EF"/>
    <w:rsid w:val="146B48A3"/>
    <w:rsid w:val="146B6E96"/>
    <w:rsid w:val="146C1374"/>
    <w:rsid w:val="146C5CDE"/>
    <w:rsid w:val="146D0E60"/>
    <w:rsid w:val="146D2352"/>
    <w:rsid w:val="146D2C0E"/>
    <w:rsid w:val="146D5A79"/>
    <w:rsid w:val="146E4BD8"/>
    <w:rsid w:val="146E5829"/>
    <w:rsid w:val="146E6986"/>
    <w:rsid w:val="146E7237"/>
    <w:rsid w:val="146F3133"/>
    <w:rsid w:val="146F3EA8"/>
    <w:rsid w:val="146F407D"/>
    <w:rsid w:val="146F5CE8"/>
    <w:rsid w:val="147004E0"/>
    <w:rsid w:val="14700951"/>
    <w:rsid w:val="14701C8C"/>
    <w:rsid w:val="14706BA3"/>
    <w:rsid w:val="147072F3"/>
    <w:rsid w:val="14710F49"/>
    <w:rsid w:val="14713CD3"/>
    <w:rsid w:val="147148DF"/>
    <w:rsid w:val="14715AD0"/>
    <w:rsid w:val="1471783D"/>
    <w:rsid w:val="14720225"/>
    <w:rsid w:val="14722E1D"/>
    <w:rsid w:val="1473252B"/>
    <w:rsid w:val="14733869"/>
    <w:rsid w:val="14740441"/>
    <w:rsid w:val="14741FA9"/>
    <w:rsid w:val="14747873"/>
    <w:rsid w:val="14751625"/>
    <w:rsid w:val="14753CA9"/>
    <w:rsid w:val="147541B9"/>
    <w:rsid w:val="14754DE7"/>
    <w:rsid w:val="14755F31"/>
    <w:rsid w:val="147621EA"/>
    <w:rsid w:val="14766180"/>
    <w:rsid w:val="14770A82"/>
    <w:rsid w:val="14771888"/>
    <w:rsid w:val="14771FA2"/>
    <w:rsid w:val="1477335E"/>
    <w:rsid w:val="14773A8D"/>
    <w:rsid w:val="14774B66"/>
    <w:rsid w:val="14774DBB"/>
    <w:rsid w:val="14776D84"/>
    <w:rsid w:val="14776E55"/>
    <w:rsid w:val="1478130D"/>
    <w:rsid w:val="147815B3"/>
    <w:rsid w:val="14785EF3"/>
    <w:rsid w:val="14787805"/>
    <w:rsid w:val="147953A2"/>
    <w:rsid w:val="147977BE"/>
    <w:rsid w:val="147A357D"/>
    <w:rsid w:val="147A3F36"/>
    <w:rsid w:val="147A532B"/>
    <w:rsid w:val="147B2BCA"/>
    <w:rsid w:val="147B2E2F"/>
    <w:rsid w:val="147B4BCC"/>
    <w:rsid w:val="147C10A3"/>
    <w:rsid w:val="147C605C"/>
    <w:rsid w:val="147C66C9"/>
    <w:rsid w:val="147C72F5"/>
    <w:rsid w:val="147C7936"/>
    <w:rsid w:val="147D1242"/>
    <w:rsid w:val="147D663E"/>
    <w:rsid w:val="147D6BCA"/>
    <w:rsid w:val="147D6BD5"/>
    <w:rsid w:val="147E12BF"/>
    <w:rsid w:val="147E1A60"/>
    <w:rsid w:val="147E4E1C"/>
    <w:rsid w:val="147E7C14"/>
    <w:rsid w:val="147F2942"/>
    <w:rsid w:val="147F34BB"/>
    <w:rsid w:val="147F6DE6"/>
    <w:rsid w:val="14802C1D"/>
    <w:rsid w:val="14804DA9"/>
    <w:rsid w:val="148065AF"/>
    <w:rsid w:val="1481203C"/>
    <w:rsid w:val="1481490C"/>
    <w:rsid w:val="14821ECE"/>
    <w:rsid w:val="14822D12"/>
    <w:rsid w:val="148275D9"/>
    <w:rsid w:val="148278C7"/>
    <w:rsid w:val="14830684"/>
    <w:rsid w:val="14831B9B"/>
    <w:rsid w:val="14832432"/>
    <w:rsid w:val="14835A68"/>
    <w:rsid w:val="14835F2F"/>
    <w:rsid w:val="148361ED"/>
    <w:rsid w:val="148368D6"/>
    <w:rsid w:val="14840065"/>
    <w:rsid w:val="14842ACA"/>
    <w:rsid w:val="148442CA"/>
    <w:rsid w:val="148447EE"/>
    <w:rsid w:val="14846F46"/>
    <w:rsid w:val="14847F58"/>
    <w:rsid w:val="148626E1"/>
    <w:rsid w:val="14863CD0"/>
    <w:rsid w:val="14866249"/>
    <w:rsid w:val="1487316F"/>
    <w:rsid w:val="148775B8"/>
    <w:rsid w:val="14877AD9"/>
    <w:rsid w:val="14883EEC"/>
    <w:rsid w:val="148849A2"/>
    <w:rsid w:val="1488724D"/>
    <w:rsid w:val="148873CD"/>
    <w:rsid w:val="14887A48"/>
    <w:rsid w:val="1489020D"/>
    <w:rsid w:val="14891D4C"/>
    <w:rsid w:val="14892131"/>
    <w:rsid w:val="1489569B"/>
    <w:rsid w:val="14895942"/>
    <w:rsid w:val="148A2C4A"/>
    <w:rsid w:val="148A3AFD"/>
    <w:rsid w:val="148A7C64"/>
    <w:rsid w:val="148B6E0A"/>
    <w:rsid w:val="148B73B6"/>
    <w:rsid w:val="148C13EA"/>
    <w:rsid w:val="148C3B04"/>
    <w:rsid w:val="148C7B04"/>
    <w:rsid w:val="148D1503"/>
    <w:rsid w:val="148D32B1"/>
    <w:rsid w:val="148D3F03"/>
    <w:rsid w:val="148D415F"/>
    <w:rsid w:val="148D49D2"/>
    <w:rsid w:val="148E0471"/>
    <w:rsid w:val="148E4D3A"/>
    <w:rsid w:val="148F3749"/>
    <w:rsid w:val="148F6FD5"/>
    <w:rsid w:val="14900FF3"/>
    <w:rsid w:val="14901621"/>
    <w:rsid w:val="1490273E"/>
    <w:rsid w:val="14902DA1"/>
    <w:rsid w:val="14903F3F"/>
    <w:rsid w:val="14904B4F"/>
    <w:rsid w:val="14910A23"/>
    <w:rsid w:val="14912231"/>
    <w:rsid w:val="14921C90"/>
    <w:rsid w:val="14923E6C"/>
    <w:rsid w:val="14924F8F"/>
    <w:rsid w:val="14932E53"/>
    <w:rsid w:val="14933042"/>
    <w:rsid w:val="14933F5F"/>
    <w:rsid w:val="149363ED"/>
    <w:rsid w:val="149364F8"/>
    <w:rsid w:val="14941B3A"/>
    <w:rsid w:val="14942891"/>
    <w:rsid w:val="14943583"/>
    <w:rsid w:val="149438EE"/>
    <w:rsid w:val="1494463F"/>
    <w:rsid w:val="14946EB4"/>
    <w:rsid w:val="149474C7"/>
    <w:rsid w:val="149503B7"/>
    <w:rsid w:val="14952165"/>
    <w:rsid w:val="149525A4"/>
    <w:rsid w:val="14964349"/>
    <w:rsid w:val="14972C64"/>
    <w:rsid w:val="14973222"/>
    <w:rsid w:val="1497412F"/>
    <w:rsid w:val="149745AA"/>
    <w:rsid w:val="149762D7"/>
    <w:rsid w:val="149777BD"/>
    <w:rsid w:val="14977C37"/>
    <w:rsid w:val="14983350"/>
    <w:rsid w:val="14983A03"/>
    <w:rsid w:val="14983D69"/>
    <w:rsid w:val="14984F35"/>
    <w:rsid w:val="14985BBF"/>
    <w:rsid w:val="14991C55"/>
    <w:rsid w:val="14993988"/>
    <w:rsid w:val="14997EA7"/>
    <w:rsid w:val="149A01D5"/>
    <w:rsid w:val="149A3C1F"/>
    <w:rsid w:val="149A777C"/>
    <w:rsid w:val="149B03D2"/>
    <w:rsid w:val="149B1089"/>
    <w:rsid w:val="149B1971"/>
    <w:rsid w:val="149C0708"/>
    <w:rsid w:val="149C1477"/>
    <w:rsid w:val="149C2E0B"/>
    <w:rsid w:val="149C4247"/>
    <w:rsid w:val="149C5646"/>
    <w:rsid w:val="149D41DC"/>
    <w:rsid w:val="149E030D"/>
    <w:rsid w:val="149E39FA"/>
    <w:rsid w:val="149E502B"/>
    <w:rsid w:val="149E537D"/>
    <w:rsid w:val="149E7590"/>
    <w:rsid w:val="149F1FB6"/>
    <w:rsid w:val="149F2F7E"/>
    <w:rsid w:val="149F2FE4"/>
    <w:rsid w:val="149F3A6F"/>
    <w:rsid w:val="149F4D92"/>
    <w:rsid w:val="149F7128"/>
    <w:rsid w:val="14A00D6C"/>
    <w:rsid w:val="14A01236"/>
    <w:rsid w:val="14A01623"/>
    <w:rsid w:val="14A02650"/>
    <w:rsid w:val="14A02886"/>
    <w:rsid w:val="14A05D68"/>
    <w:rsid w:val="14A06029"/>
    <w:rsid w:val="14A14FAE"/>
    <w:rsid w:val="14A214B8"/>
    <w:rsid w:val="14A23EB5"/>
    <w:rsid w:val="14A270B1"/>
    <w:rsid w:val="14A30D26"/>
    <w:rsid w:val="14A315C2"/>
    <w:rsid w:val="14A320C5"/>
    <w:rsid w:val="14A3360A"/>
    <w:rsid w:val="14A34882"/>
    <w:rsid w:val="14A405FA"/>
    <w:rsid w:val="14A423A8"/>
    <w:rsid w:val="14A469A9"/>
    <w:rsid w:val="14A47C92"/>
    <w:rsid w:val="14A521AA"/>
    <w:rsid w:val="14A613A6"/>
    <w:rsid w:val="14A6211F"/>
    <w:rsid w:val="14A625C4"/>
    <w:rsid w:val="14A62A8D"/>
    <w:rsid w:val="14A62D37"/>
    <w:rsid w:val="14A64372"/>
    <w:rsid w:val="14A66054"/>
    <w:rsid w:val="14A715BD"/>
    <w:rsid w:val="14A72ABD"/>
    <w:rsid w:val="14A7532A"/>
    <w:rsid w:val="14A800EA"/>
    <w:rsid w:val="14A80150"/>
    <w:rsid w:val="14A82B2A"/>
    <w:rsid w:val="14A83B1D"/>
    <w:rsid w:val="14A8633C"/>
    <w:rsid w:val="14A90E66"/>
    <w:rsid w:val="14A926BF"/>
    <w:rsid w:val="14A95C11"/>
    <w:rsid w:val="14A968D2"/>
    <w:rsid w:val="14AA1ABA"/>
    <w:rsid w:val="14AA20B4"/>
    <w:rsid w:val="14AA333E"/>
    <w:rsid w:val="14AA3E63"/>
    <w:rsid w:val="14AB0047"/>
    <w:rsid w:val="14AB070D"/>
    <w:rsid w:val="14AB1989"/>
    <w:rsid w:val="14AB3736"/>
    <w:rsid w:val="14AB4245"/>
    <w:rsid w:val="14AB5C76"/>
    <w:rsid w:val="14AB6273"/>
    <w:rsid w:val="14AB7BDB"/>
    <w:rsid w:val="14AC0175"/>
    <w:rsid w:val="14AC167F"/>
    <w:rsid w:val="14AC4714"/>
    <w:rsid w:val="14AC513B"/>
    <w:rsid w:val="14AC58BC"/>
    <w:rsid w:val="14AC6714"/>
    <w:rsid w:val="14AD5701"/>
    <w:rsid w:val="14AD74AF"/>
    <w:rsid w:val="14AE262C"/>
    <w:rsid w:val="14AE3227"/>
    <w:rsid w:val="14AE7A5B"/>
    <w:rsid w:val="14AF1479"/>
    <w:rsid w:val="14AF514A"/>
    <w:rsid w:val="14AF6C9A"/>
    <w:rsid w:val="14AF76CB"/>
    <w:rsid w:val="14B00C04"/>
    <w:rsid w:val="14B00D4D"/>
    <w:rsid w:val="14B0380B"/>
    <w:rsid w:val="14B04AED"/>
    <w:rsid w:val="14B051F1"/>
    <w:rsid w:val="14B163DC"/>
    <w:rsid w:val="14B178DC"/>
    <w:rsid w:val="14B22D17"/>
    <w:rsid w:val="14B23182"/>
    <w:rsid w:val="14B30BB0"/>
    <w:rsid w:val="14B35A3C"/>
    <w:rsid w:val="14B369E4"/>
    <w:rsid w:val="14B42B4A"/>
    <w:rsid w:val="14B43317"/>
    <w:rsid w:val="14B44D5D"/>
    <w:rsid w:val="14B46A8F"/>
    <w:rsid w:val="14B51872"/>
    <w:rsid w:val="14B545B5"/>
    <w:rsid w:val="14B56409"/>
    <w:rsid w:val="14B61CE5"/>
    <w:rsid w:val="14B638CC"/>
    <w:rsid w:val="14B63974"/>
    <w:rsid w:val="14B70840"/>
    <w:rsid w:val="14B7224E"/>
    <w:rsid w:val="14B7278A"/>
    <w:rsid w:val="14B73B0A"/>
    <w:rsid w:val="14B74519"/>
    <w:rsid w:val="14B7657F"/>
    <w:rsid w:val="14B767B9"/>
    <w:rsid w:val="14B76949"/>
    <w:rsid w:val="14B769B2"/>
    <w:rsid w:val="14B77ACB"/>
    <w:rsid w:val="14B818C7"/>
    <w:rsid w:val="14B82B39"/>
    <w:rsid w:val="14B830E1"/>
    <w:rsid w:val="14B83111"/>
    <w:rsid w:val="14B92F91"/>
    <w:rsid w:val="14B930D5"/>
    <w:rsid w:val="14B940A6"/>
    <w:rsid w:val="14B95866"/>
    <w:rsid w:val="14B95E54"/>
    <w:rsid w:val="14B96CC3"/>
    <w:rsid w:val="14BA030C"/>
    <w:rsid w:val="14BA1995"/>
    <w:rsid w:val="14BA1BCC"/>
    <w:rsid w:val="14BB5D18"/>
    <w:rsid w:val="14BB5E42"/>
    <w:rsid w:val="14BB75BF"/>
    <w:rsid w:val="14BC1DE8"/>
    <w:rsid w:val="14BC551A"/>
    <w:rsid w:val="14BC646F"/>
    <w:rsid w:val="14BC76AF"/>
    <w:rsid w:val="14BC76F2"/>
    <w:rsid w:val="14BD18E2"/>
    <w:rsid w:val="14BD60C0"/>
    <w:rsid w:val="14BE16BC"/>
    <w:rsid w:val="14BE46E0"/>
    <w:rsid w:val="14BE790E"/>
    <w:rsid w:val="14BF2527"/>
    <w:rsid w:val="14BF48D0"/>
    <w:rsid w:val="14BF6909"/>
    <w:rsid w:val="14C0319E"/>
    <w:rsid w:val="14C032AC"/>
    <w:rsid w:val="14C03300"/>
    <w:rsid w:val="14C03C07"/>
    <w:rsid w:val="14C04F8D"/>
    <w:rsid w:val="14C05241"/>
    <w:rsid w:val="14C05514"/>
    <w:rsid w:val="14C10376"/>
    <w:rsid w:val="14C107BE"/>
    <w:rsid w:val="14C10CF9"/>
    <w:rsid w:val="14C1703C"/>
    <w:rsid w:val="14C173FE"/>
    <w:rsid w:val="14C22BB0"/>
    <w:rsid w:val="14C24F59"/>
    <w:rsid w:val="14C27361"/>
    <w:rsid w:val="14C307F1"/>
    <w:rsid w:val="14C30A80"/>
    <w:rsid w:val="14C32A45"/>
    <w:rsid w:val="14C33176"/>
    <w:rsid w:val="14C3357B"/>
    <w:rsid w:val="14C34F24"/>
    <w:rsid w:val="14C359ED"/>
    <w:rsid w:val="14C37F1B"/>
    <w:rsid w:val="14C41C81"/>
    <w:rsid w:val="14C44AAA"/>
    <w:rsid w:val="14C53688"/>
    <w:rsid w:val="14C60571"/>
    <w:rsid w:val="14C627C0"/>
    <w:rsid w:val="14C62C5B"/>
    <w:rsid w:val="14C671B9"/>
    <w:rsid w:val="14C76F80"/>
    <w:rsid w:val="14C8078D"/>
    <w:rsid w:val="14C83FFD"/>
    <w:rsid w:val="14C852C4"/>
    <w:rsid w:val="14C91E0F"/>
    <w:rsid w:val="14C92A54"/>
    <w:rsid w:val="14C94663"/>
    <w:rsid w:val="14C948AB"/>
    <w:rsid w:val="14C94BEB"/>
    <w:rsid w:val="14C97D02"/>
    <w:rsid w:val="14CA0664"/>
    <w:rsid w:val="14CA5BA0"/>
    <w:rsid w:val="14CA62B3"/>
    <w:rsid w:val="14CA6F83"/>
    <w:rsid w:val="14CB3DD9"/>
    <w:rsid w:val="14CB3F4E"/>
    <w:rsid w:val="14CB6218"/>
    <w:rsid w:val="14CB704B"/>
    <w:rsid w:val="14CC33C4"/>
    <w:rsid w:val="14CC63C7"/>
    <w:rsid w:val="14CD0135"/>
    <w:rsid w:val="14CD18FF"/>
    <w:rsid w:val="14CD3B79"/>
    <w:rsid w:val="14CD6FB0"/>
    <w:rsid w:val="14CD7B51"/>
    <w:rsid w:val="14CE7BA3"/>
    <w:rsid w:val="14CE7E68"/>
    <w:rsid w:val="14CF1B1B"/>
    <w:rsid w:val="14CF37E8"/>
    <w:rsid w:val="14CF3BF7"/>
    <w:rsid w:val="14CF5102"/>
    <w:rsid w:val="14CF540F"/>
    <w:rsid w:val="14CF5677"/>
    <w:rsid w:val="14CF6AAF"/>
    <w:rsid w:val="14CF7881"/>
    <w:rsid w:val="14D013EF"/>
    <w:rsid w:val="14D0319D"/>
    <w:rsid w:val="14D04700"/>
    <w:rsid w:val="14D162A0"/>
    <w:rsid w:val="14D21C83"/>
    <w:rsid w:val="14D2239B"/>
    <w:rsid w:val="14D233B9"/>
    <w:rsid w:val="14D25541"/>
    <w:rsid w:val="14D26E56"/>
    <w:rsid w:val="14D26F15"/>
    <w:rsid w:val="14D273DE"/>
    <w:rsid w:val="14D331AA"/>
    <w:rsid w:val="14D40957"/>
    <w:rsid w:val="14D40A2A"/>
    <w:rsid w:val="14D40C39"/>
    <w:rsid w:val="14D426C1"/>
    <w:rsid w:val="14D42C8D"/>
    <w:rsid w:val="14D44347"/>
    <w:rsid w:val="14D507B4"/>
    <w:rsid w:val="14D525CD"/>
    <w:rsid w:val="14D54096"/>
    <w:rsid w:val="14D56A06"/>
    <w:rsid w:val="14D57559"/>
    <w:rsid w:val="14D612A9"/>
    <w:rsid w:val="14D621A0"/>
    <w:rsid w:val="14D64C58"/>
    <w:rsid w:val="14D709D0"/>
    <w:rsid w:val="14D71AB0"/>
    <w:rsid w:val="14D7277E"/>
    <w:rsid w:val="14D7452C"/>
    <w:rsid w:val="14D800DF"/>
    <w:rsid w:val="14D902A4"/>
    <w:rsid w:val="14D94D5F"/>
    <w:rsid w:val="14DA189F"/>
    <w:rsid w:val="14DA2D9B"/>
    <w:rsid w:val="14DA401C"/>
    <w:rsid w:val="14DA4B86"/>
    <w:rsid w:val="14DA4F08"/>
    <w:rsid w:val="14DA5D71"/>
    <w:rsid w:val="14DA5E19"/>
    <w:rsid w:val="14DB04C0"/>
    <w:rsid w:val="14DB1649"/>
    <w:rsid w:val="14DB16C7"/>
    <w:rsid w:val="14DB226E"/>
    <w:rsid w:val="14DB61B1"/>
    <w:rsid w:val="14DB6CA3"/>
    <w:rsid w:val="14DC1B42"/>
    <w:rsid w:val="14DC2FA7"/>
    <w:rsid w:val="14DC5FE6"/>
    <w:rsid w:val="14DC6BA6"/>
    <w:rsid w:val="14DC77CF"/>
    <w:rsid w:val="14DC7D94"/>
    <w:rsid w:val="14DD094F"/>
    <w:rsid w:val="14DD0AF1"/>
    <w:rsid w:val="14DD6519"/>
    <w:rsid w:val="14DD70DD"/>
    <w:rsid w:val="14DE0216"/>
    <w:rsid w:val="14DE3289"/>
    <w:rsid w:val="14DE3B0C"/>
    <w:rsid w:val="14DE3BFE"/>
    <w:rsid w:val="14DE58BA"/>
    <w:rsid w:val="14DE5FB5"/>
    <w:rsid w:val="14DF089D"/>
    <w:rsid w:val="14DF10AF"/>
    <w:rsid w:val="14DF1632"/>
    <w:rsid w:val="14DF23BA"/>
    <w:rsid w:val="14DF4160"/>
    <w:rsid w:val="14DF479E"/>
    <w:rsid w:val="14DF596E"/>
    <w:rsid w:val="14E023CD"/>
    <w:rsid w:val="14E103E5"/>
    <w:rsid w:val="14E1184E"/>
    <w:rsid w:val="14E12169"/>
    <w:rsid w:val="14E12A86"/>
    <w:rsid w:val="14E14B54"/>
    <w:rsid w:val="14E16399"/>
    <w:rsid w:val="14E17A7B"/>
    <w:rsid w:val="14E21050"/>
    <w:rsid w:val="14E21185"/>
    <w:rsid w:val="14E21E11"/>
    <w:rsid w:val="14E22E8B"/>
    <w:rsid w:val="14E23033"/>
    <w:rsid w:val="14E261F9"/>
    <w:rsid w:val="14E34A82"/>
    <w:rsid w:val="14E432DA"/>
    <w:rsid w:val="14E46458"/>
    <w:rsid w:val="14E46618"/>
    <w:rsid w:val="14E46C49"/>
    <w:rsid w:val="14E473E9"/>
    <w:rsid w:val="14E505D4"/>
    <w:rsid w:val="14E53045"/>
    <w:rsid w:val="14E530ED"/>
    <w:rsid w:val="14E537FD"/>
    <w:rsid w:val="14E56153"/>
    <w:rsid w:val="14E57F26"/>
    <w:rsid w:val="14E60553"/>
    <w:rsid w:val="14E60C13"/>
    <w:rsid w:val="14E629C1"/>
    <w:rsid w:val="14E630F0"/>
    <w:rsid w:val="14E73465"/>
    <w:rsid w:val="14E819AA"/>
    <w:rsid w:val="14E82186"/>
    <w:rsid w:val="14E83454"/>
    <w:rsid w:val="14E84DD2"/>
    <w:rsid w:val="14E86739"/>
    <w:rsid w:val="14E919A7"/>
    <w:rsid w:val="14E9250C"/>
    <w:rsid w:val="14E925D7"/>
    <w:rsid w:val="14EA24B1"/>
    <w:rsid w:val="14EA293F"/>
    <w:rsid w:val="14EA656D"/>
    <w:rsid w:val="14EA702C"/>
    <w:rsid w:val="14EB2D58"/>
    <w:rsid w:val="14EB4BC7"/>
    <w:rsid w:val="14EC02AB"/>
    <w:rsid w:val="14EC0C7E"/>
    <w:rsid w:val="14EC1F2C"/>
    <w:rsid w:val="14EC29AC"/>
    <w:rsid w:val="14EC4117"/>
    <w:rsid w:val="14EC447B"/>
    <w:rsid w:val="14EC6AA3"/>
    <w:rsid w:val="14ED01F3"/>
    <w:rsid w:val="14ED3D4F"/>
    <w:rsid w:val="14ED6D12"/>
    <w:rsid w:val="14ED7D96"/>
    <w:rsid w:val="14EE0AE8"/>
    <w:rsid w:val="14EF358A"/>
    <w:rsid w:val="14EF637E"/>
    <w:rsid w:val="14EF721F"/>
    <w:rsid w:val="14F00F64"/>
    <w:rsid w:val="14F02B9B"/>
    <w:rsid w:val="14F055ED"/>
    <w:rsid w:val="14F069C7"/>
    <w:rsid w:val="14F11A91"/>
    <w:rsid w:val="14F11F8E"/>
    <w:rsid w:val="14F128EC"/>
    <w:rsid w:val="14F14031"/>
    <w:rsid w:val="14F17022"/>
    <w:rsid w:val="14F24BCB"/>
    <w:rsid w:val="14F25809"/>
    <w:rsid w:val="14F261BA"/>
    <w:rsid w:val="14F26BE8"/>
    <w:rsid w:val="14F275B8"/>
    <w:rsid w:val="14F31C4F"/>
    <w:rsid w:val="14F37009"/>
    <w:rsid w:val="14F41582"/>
    <w:rsid w:val="14F421F0"/>
    <w:rsid w:val="14F436C4"/>
    <w:rsid w:val="14F440C8"/>
    <w:rsid w:val="14F44A05"/>
    <w:rsid w:val="14F450DE"/>
    <w:rsid w:val="14F47707"/>
    <w:rsid w:val="14F5120B"/>
    <w:rsid w:val="14F528D9"/>
    <w:rsid w:val="14F60FB2"/>
    <w:rsid w:val="14F62C25"/>
    <w:rsid w:val="14F64B10"/>
    <w:rsid w:val="14F6538D"/>
    <w:rsid w:val="14F670A8"/>
    <w:rsid w:val="14F70253"/>
    <w:rsid w:val="14F72968"/>
    <w:rsid w:val="14F74680"/>
    <w:rsid w:val="14F74BCE"/>
    <w:rsid w:val="14F7789A"/>
    <w:rsid w:val="14F8099B"/>
    <w:rsid w:val="14F80B71"/>
    <w:rsid w:val="14F90946"/>
    <w:rsid w:val="14F93F94"/>
    <w:rsid w:val="14F94BD2"/>
    <w:rsid w:val="14F96B98"/>
    <w:rsid w:val="14FA1AF0"/>
    <w:rsid w:val="14FA363C"/>
    <w:rsid w:val="14FA4336"/>
    <w:rsid w:val="14FA47BB"/>
    <w:rsid w:val="14FA53AE"/>
    <w:rsid w:val="14FA6547"/>
    <w:rsid w:val="14FB28A9"/>
    <w:rsid w:val="14FB46BE"/>
    <w:rsid w:val="14FB646C"/>
    <w:rsid w:val="14FC0436"/>
    <w:rsid w:val="14FC0982"/>
    <w:rsid w:val="14FC21E4"/>
    <w:rsid w:val="14FC296F"/>
    <w:rsid w:val="14FC3F92"/>
    <w:rsid w:val="14FC6DAD"/>
    <w:rsid w:val="14FC7D27"/>
    <w:rsid w:val="14FD79B9"/>
    <w:rsid w:val="14FE25D6"/>
    <w:rsid w:val="14FE2FAA"/>
    <w:rsid w:val="14FE3F20"/>
    <w:rsid w:val="14FE5F5C"/>
    <w:rsid w:val="14FE5FC0"/>
    <w:rsid w:val="14FE722B"/>
    <w:rsid w:val="14FE7D0A"/>
    <w:rsid w:val="14FF4F11"/>
    <w:rsid w:val="14FF5EF4"/>
    <w:rsid w:val="15000793"/>
    <w:rsid w:val="15001CD4"/>
    <w:rsid w:val="15003A82"/>
    <w:rsid w:val="150046F5"/>
    <w:rsid w:val="15004DE9"/>
    <w:rsid w:val="15007F26"/>
    <w:rsid w:val="15010DEE"/>
    <w:rsid w:val="150115A9"/>
    <w:rsid w:val="1501453D"/>
    <w:rsid w:val="15016197"/>
    <w:rsid w:val="15023C9F"/>
    <w:rsid w:val="15025208"/>
    <w:rsid w:val="150317C5"/>
    <w:rsid w:val="15035321"/>
    <w:rsid w:val="15043242"/>
    <w:rsid w:val="15045995"/>
    <w:rsid w:val="150473B9"/>
    <w:rsid w:val="15051099"/>
    <w:rsid w:val="15052C87"/>
    <w:rsid w:val="1505376E"/>
    <w:rsid w:val="15055141"/>
    <w:rsid w:val="150622F2"/>
    <w:rsid w:val="15063063"/>
    <w:rsid w:val="150630F8"/>
    <w:rsid w:val="15063B0E"/>
    <w:rsid w:val="15064605"/>
    <w:rsid w:val="15065894"/>
    <w:rsid w:val="1506633D"/>
    <w:rsid w:val="15075893"/>
    <w:rsid w:val="150769E8"/>
    <w:rsid w:val="15077968"/>
    <w:rsid w:val="15084884"/>
    <w:rsid w:val="15086875"/>
    <w:rsid w:val="15086DDB"/>
    <w:rsid w:val="15090B60"/>
    <w:rsid w:val="15091AF6"/>
    <w:rsid w:val="1509347E"/>
    <w:rsid w:val="1509470B"/>
    <w:rsid w:val="1509663E"/>
    <w:rsid w:val="15096907"/>
    <w:rsid w:val="1509765A"/>
    <w:rsid w:val="150A1E3E"/>
    <w:rsid w:val="150A20FA"/>
    <w:rsid w:val="150A2B53"/>
    <w:rsid w:val="150A2F86"/>
    <w:rsid w:val="150A4901"/>
    <w:rsid w:val="150A4B4D"/>
    <w:rsid w:val="150A60F5"/>
    <w:rsid w:val="150A66AF"/>
    <w:rsid w:val="150A7272"/>
    <w:rsid w:val="150C5904"/>
    <w:rsid w:val="150C6360"/>
    <w:rsid w:val="150C68CB"/>
    <w:rsid w:val="150C7743"/>
    <w:rsid w:val="150D23E4"/>
    <w:rsid w:val="150D2643"/>
    <w:rsid w:val="150D399D"/>
    <w:rsid w:val="150D5EBD"/>
    <w:rsid w:val="150E07E6"/>
    <w:rsid w:val="150E7618"/>
    <w:rsid w:val="150E7BE6"/>
    <w:rsid w:val="150F0169"/>
    <w:rsid w:val="150F1F18"/>
    <w:rsid w:val="150F2278"/>
    <w:rsid w:val="150F2789"/>
    <w:rsid w:val="150F2CA2"/>
    <w:rsid w:val="150F3CC6"/>
    <w:rsid w:val="151015B3"/>
    <w:rsid w:val="1510485B"/>
    <w:rsid w:val="15105625"/>
    <w:rsid w:val="1511170F"/>
    <w:rsid w:val="15112E59"/>
    <w:rsid w:val="15113EE2"/>
    <w:rsid w:val="15120049"/>
    <w:rsid w:val="15121A08"/>
    <w:rsid w:val="151237B6"/>
    <w:rsid w:val="15126238"/>
    <w:rsid w:val="15126FE4"/>
    <w:rsid w:val="1513237B"/>
    <w:rsid w:val="15135779"/>
    <w:rsid w:val="1514752E"/>
    <w:rsid w:val="15150FB7"/>
    <w:rsid w:val="1515231A"/>
    <w:rsid w:val="15154FFB"/>
    <w:rsid w:val="1515622C"/>
    <w:rsid w:val="15157905"/>
    <w:rsid w:val="151614F8"/>
    <w:rsid w:val="15167C77"/>
    <w:rsid w:val="15170DCC"/>
    <w:rsid w:val="15186A1A"/>
    <w:rsid w:val="151915EB"/>
    <w:rsid w:val="15192315"/>
    <w:rsid w:val="15192A7B"/>
    <w:rsid w:val="15193525"/>
    <w:rsid w:val="1519496F"/>
    <w:rsid w:val="15195447"/>
    <w:rsid w:val="151A266A"/>
    <w:rsid w:val="151A3F0B"/>
    <w:rsid w:val="151A3F56"/>
    <w:rsid w:val="151A4A8D"/>
    <w:rsid w:val="151A4BBA"/>
    <w:rsid w:val="151B1B19"/>
    <w:rsid w:val="151B3FC9"/>
    <w:rsid w:val="151B60A4"/>
    <w:rsid w:val="151B6DD9"/>
    <w:rsid w:val="151B78E8"/>
    <w:rsid w:val="151C00E3"/>
    <w:rsid w:val="151C60C5"/>
    <w:rsid w:val="151D1E76"/>
    <w:rsid w:val="151D2886"/>
    <w:rsid w:val="151D49BA"/>
    <w:rsid w:val="151D656E"/>
    <w:rsid w:val="151E02D2"/>
    <w:rsid w:val="151E215B"/>
    <w:rsid w:val="151E3D11"/>
    <w:rsid w:val="151E4E31"/>
    <w:rsid w:val="151E6A48"/>
    <w:rsid w:val="151F03D7"/>
    <w:rsid w:val="151F040A"/>
    <w:rsid w:val="15201870"/>
    <w:rsid w:val="15205444"/>
    <w:rsid w:val="152135B1"/>
    <w:rsid w:val="1522017A"/>
    <w:rsid w:val="15223768"/>
    <w:rsid w:val="1522477B"/>
    <w:rsid w:val="15227E9D"/>
    <w:rsid w:val="15237771"/>
    <w:rsid w:val="15241DB1"/>
    <w:rsid w:val="15241DB6"/>
    <w:rsid w:val="15242221"/>
    <w:rsid w:val="15242262"/>
    <w:rsid w:val="152446DB"/>
    <w:rsid w:val="15245785"/>
    <w:rsid w:val="15245D18"/>
    <w:rsid w:val="152466FE"/>
    <w:rsid w:val="15246A57"/>
    <w:rsid w:val="1525173B"/>
    <w:rsid w:val="15251974"/>
    <w:rsid w:val="152534E9"/>
    <w:rsid w:val="152543B4"/>
    <w:rsid w:val="1525575D"/>
    <w:rsid w:val="1525798D"/>
    <w:rsid w:val="152613E1"/>
    <w:rsid w:val="1526712D"/>
    <w:rsid w:val="15267261"/>
    <w:rsid w:val="152710DE"/>
    <w:rsid w:val="15273705"/>
    <w:rsid w:val="1527393E"/>
    <w:rsid w:val="152740E6"/>
    <w:rsid w:val="152754B3"/>
    <w:rsid w:val="15281925"/>
    <w:rsid w:val="15282FD9"/>
    <w:rsid w:val="15284D87"/>
    <w:rsid w:val="152928BC"/>
    <w:rsid w:val="15296EA6"/>
    <w:rsid w:val="15296F38"/>
    <w:rsid w:val="152A0AF3"/>
    <w:rsid w:val="152A0AFF"/>
    <w:rsid w:val="152A0E2F"/>
    <w:rsid w:val="152A1357"/>
    <w:rsid w:val="152A193F"/>
    <w:rsid w:val="152A6D51"/>
    <w:rsid w:val="152B0A8F"/>
    <w:rsid w:val="152B4878"/>
    <w:rsid w:val="152B6CBE"/>
    <w:rsid w:val="152B715D"/>
    <w:rsid w:val="152B7BC9"/>
    <w:rsid w:val="152B7F73"/>
    <w:rsid w:val="152C25BC"/>
    <w:rsid w:val="152C2AC9"/>
    <w:rsid w:val="152C3FE6"/>
    <w:rsid w:val="152C6320"/>
    <w:rsid w:val="152D05F0"/>
    <w:rsid w:val="152D0A90"/>
    <w:rsid w:val="152D239E"/>
    <w:rsid w:val="152D4E0B"/>
    <w:rsid w:val="152D633E"/>
    <w:rsid w:val="152E2381"/>
    <w:rsid w:val="152F6116"/>
    <w:rsid w:val="15300D59"/>
    <w:rsid w:val="15306473"/>
    <w:rsid w:val="153100E0"/>
    <w:rsid w:val="15311E8E"/>
    <w:rsid w:val="15316332"/>
    <w:rsid w:val="15320E21"/>
    <w:rsid w:val="15323E58"/>
    <w:rsid w:val="15325690"/>
    <w:rsid w:val="15325C06"/>
    <w:rsid w:val="15326F68"/>
    <w:rsid w:val="15330556"/>
    <w:rsid w:val="15331FD1"/>
    <w:rsid w:val="15333622"/>
    <w:rsid w:val="15340747"/>
    <w:rsid w:val="15342E31"/>
    <w:rsid w:val="1534372C"/>
    <w:rsid w:val="15347BD0"/>
    <w:rsid w:val="15353F92"/>
    <w:rsid w:val="15354147"/>
    <w:rsid w:val="15363948"/>
    <w:rsid w:val="153656F6"/>
    <w:rsid w:val="153661E9"/>
    <w:rsid w:val="153674A4"/>
    <w:rsid w:val="15373433"/>
    <w:rsid w:val="15374B74"/>
    <w:rsid w:val="153760AB"/>
    <w:rsid w:val="1538793B"/>
    <w:rsid w:val="1539159D"/>
    <w:rsid w:val="15393438"/>
    <w:rsid w:val="15393D37"/>
    <w:rsid w:val="15396F94"/>
    <w:rsid w:val="153A0924"/>
    <w:rsid w:val="153A18CC"/>
    <w:rsid w:val="153A34F5"/>
    <w:rsid w:val="153A5973"/>
    <w:rsid w:val="153B0F5F"/>
    <w:rsid w:val="153B2A51"/>
    <w:rsid w:val="153B333A"/>
    <w:rsid w:val="153B4F77"/>
    <w:rsid w:val="153C0642"/>
    <w:rsid w:val="153C0833"/>
    <w:rsid w:val="153C111C"/>
    <w:rsid w:val="153C2E70"/>
    <w:rsid w:val="153C3221"/>
    <w:rsid w:val="153C6A85"/>
    <w:rsid w:val="153D1A6E"/>
    <w:rsid w:val="153D4CD7"/>
    <w:rsid w:val="153D610E"/>
    <w:rsid w:val="153D6FB9"/>
    <w:rsid w:val="153D72A5"/>
    <w:rsid w:val="153E0B26"/>
    <w:rsid w:val="153E27FD"/>
    <w:rsid w:val="153E38C5"/>
    <w:rsid w:val="153E6BC4"/>
    <w:rsid w:val="153F1BC5"/>
    <w:rsid w:val="1540013C"/>
    <w:rsid w:val="15400323"/>
    <w:rsid w:val="154020D1"/>
    <w:rsid w:val="15406575"/>
    <w:rsid w:val="15406E61"/>
    <w:rsid w:val="15407502"/>
    <w:rsid w:val="154107F7"/>
    <w:rsid w:val="154123BD"/>
    <w:rsid w:val="15415E49"/>
    <w:rsid w:val="154170B6"/>
    <w:rsid w:val="15417E87"/>
    <w:rsid w:val="15420113"/>
    <w:rsid w:val="1542187A"/>
    <w:rsid w:val="154222ED"/>
    <w:rsid w:val="15422641"/>
    <w:rsid w:val="154227F0"/>
    <w:rsid w:val="1542409B"/>
    <w:rsid w:val="154251E2"/>
    <w:rsid w:val="15426407"/>
    <w:rsid w:val="154279DA"/>
    <w:rsid w:val="15433117"/>
    <w:rsid w:val="15434088"/>
    <w:rsid w:val="15434215"/>
    <w:rsid w:val="15436065"/>
    <w:rsid w:val="1543671D"/>
    <w:rsid w:val="15437CB2"/>
    <w:rsid w:val="15437E13"/>
    <w:rsid w:val="15440540"/>
    <w:rsid w:val="15445B78"/>
    <w:rsid w:val="15447178"/>
    <w:rsid w:val="15455939"/>
    <w:rsid w:val="15460923"/>
    <w:rsid w:val="15463F90"/>
    <w:rsid w:val="15465DC7"/>
    <w:rsid w:val="1546615C"/>
    <w:rsid w:val="1546783B"/>
    <w:rsid w:val="154712A7"/>
    <w:rsid w:val="15472888"/>
    <w:rsid w:val="1547438B"/>
    <w:rsid w:val="15475B55"/>
    <w:rsid w:val="154767C7"/>
    <w:rsid w:val="15476E2E"/>
    <w:rsid w:val="15477903"/>
    <w:rsid w:val="154843B8"/>
    <w:rsid w:val="154871D8"/>
    <w:rsid w:val="154A10DD"/>
    <w:rsid w:val="154A11A2"/>
    <w:rsid w:val="154A4FC5"/>
    <w:rsid w:val="154A73F4"/>
    <w:rsid w:val="154B6D8C"/>
    <w:rsid w:val="154B7299"/>
    <w:rsid w:val="154D0C92"/>
    <w:rsid w:val="154D1208"/>
    <w:rsid w:val="154D2A40"/>
    <w:rsid w:val="154D483A"/>
    <w:rsid w:val="154D4D07"/>
    <w:rsid w:val="154D7E22"/>
    <w:rsid w:val="154E481C"/>
    <w:rsid w:val="154E4E4D"/>
    <w:rsid w:val="154E5762"/>
    <w:rsid w:val="154F16BA"/>
    <w:rsid w:val="154F29A8"/>
    <w:rsid w:val="154F342F"/>
    <w:rsid w:val="154F3F14"/>
    <w:rsid w:val="15511622"/>
    <w:rsid w:val="155142DE"/>
    <w:rsid w:val="155153EA"/>
    <w:rsid w:val="15520056"/>
    <w:rsid w:val="15520BE1"/>
    <w:rsid w:val="15525395"/>
    <w:rsid w:val="15525662"/>
    <w:rsid w:val="1552780E"/>
    <w:rsid w:val="15532C0C"/>
    <w:rsid w:val="15532D61"/>
    <w:rsid w:val="155345B2"/>
    <w:rsid w:val="1553598C"/>
    <w:rsid w:val="155362A8"/>
    <w:rsid w:val="15536B51"/>
    <w:rsid w:val="15542020"/>
    <w:rsid w:val="155500FD"/>
    <w:rsid w:val="15553678"/>
    <w:rsid w:val="15555C94"/>
    <w:rsid w:val="1556558D"/>
    <w:rsid w:val="15565D98"/>
    <w:rsid w:val="15572245"/>
    <w:rsid w:val="15572A1D"/>
    <w:rsid w:val="15572BAD"/>
    <w:rsid w:val="15575633"/>
    <w:rsid w:val="155759C5"/>
    <w:rsid w:val="155838BF"/>
    <w:rsid w:val="155913E5"/>
    <w:rsid w:val="1559229B"/>
    <w:rsid w:val="15595889"/>
    <w:rsid w:val="15595E11"/>
    <w:rsid w:val="155974D6"/>
    <w:rsid w:val="155A139E"/>
    <w:rsid w:val="155A3FBB"/>
    <w:rsid w:val="155A4689"/>
    <w:rsid w:val="155B282E"/>
    <w:rsid w:val="155B2E61"/>
    <w:rsid w:val="155B4F2F"/>
    <w:rsid w:val="155B5F7D"/>
    <w:rsid w:val="155C2C83"/>
    <w:rsid w:val="155C3CBE"/>
    <w:rsid w:val="155C4C28"/>
    <w:rsid w:val="155D0557"/>
    <w:rsid w:val="155D0ED5"/>
    <w:rsid w:val="155D6037"/>
    <w:rsid w:val="155D71D5"/>
    <w:rsid w:val="155E018F"/>
    <w:rsid w:val="155E2E9F"/>
    <w:rsid w:val="155E5A50"/>
    <w:rsid w:val="155F298D"/>
    <w:rsid w:val="155F3DBC"/>
    <w:rsid w:val="155F468B"/>
    <w:rsid w:val="155F534A"/>
    <w:rsid w:val="155F59B5"/>
    <w:rsid w:val="155F6BBA"/>
    <w:rsid w:val="155F77B0"/>
    <w:rsid w:val="15600D57"/>
    <w:rsid w:val="15605210"/>
    <w:rsid w:val="15610299"/>
    <w:rsid w:val="15615A4E"/>
    <w:rsid w:val="156166A0"/>
    <w:rsid w:val="15621F3B"/>
    <w:rsid w:val="1562473D"/>
    <w:rsid w:val="156327E2"/>
    <w:rsid w:val="15632B5A"/>
    <w:rsid w:val="15634011"/>
    <w:rsid w:val="1563631D"/>
    <w:rsid w:val="156366C2"/>
    <w:rsid w:val="156404B5"/>
    <w:rsid w:val="15640D71"/>
    <w:rsid w:val="156442E4"/>
    <w:rsid w:val="15645496"/>
    <w:rsid w:val="15653784"/>
    <w:rsid w:val="1565422D"/>
    <w:rsid w:val="15657D89"/>
    <w:rsid w:val="15664323"/>
    <w:rsid w:val="15665511"/>
    <w:rsid w:val="15671D54"/>
    <w:rsid w:val="156726E4"/>
    <w:rsid w:val="15673B02"/>
    <w:rsid w:val="1567459E"/>
    <w:rsid w:val="156758B0"/>
    <w:rsid w:val="15677EDE"/>
    <w:rsid w:val="156857C6"/>
    <w:rsid w:val="15685D5B"/>
    <w:rsid w:val="15694E32"/>
    <w:rsid w:val="15695ACC"/>
    <w:rsid w:val="156977AE"/>
    <w:rsid w:val="156A04AC"/>
    <w:rsid w:val="156A0799"/>
    <w:rsid w:val="156A0E93"/>
    <w:rsid w:val="156A1844"/>
    <w:rsid w:val="156A2C1F"/>
    <w:rsid w:val="156A4F48"/>
    <w:rsid w:val="156A6BD1"/>
    <w:rsid w:val="156B4D09"/>
    <w:rsid w:val="156B622D"/>
    <w:rsid w:val="156B6F2C"/>
    <w:rsid w:val="156B7752"/>
    <w:rsid w:val="156C1118"/>
    <w:rsid w:val="156C17AB"/>
    <w:rsid w:val="156C197A"/>
    <w:rsid w:val="156C2EC6"/>
    <w:rsid w:val="156C37B3"/>
    <w:rsid w:val="156C54A2"/>
    <w:rsid w:val="156C736A"/>
    <w:rsid w:val="156D1948"/>
    <w:rsid w:val="156D227E"/>
    <w:rsid w:val="156D4E90"/>
    <w:rsid w:val="156D562C"/>
    <w:rsid w:val="156D5FF4"/>
    <w:rsid w:val="156D6384"/>
    <w:rsid w:val="156E1EA7"/>
    <w:rsid w:val="156E30E2"/>
    <w:rsid w:val="156F08B4"/>
    <w:rsid w:val="156F0936"/>
    <w:rsid w:val="156F31F2"/>
    <w:rsid w:val="156F5099"/>
    <w:rsid w:val="156F5159"/>
    <w:rsid w:val="156F567A"/>
    <w:rsid w:val="15703097"/>
    <w:rsid w:val="15704718"/>
    <w:rsid w:val="1571071E"/>
    <w:rsid w:val="15712683"/>
    <w:rsid w:val="15712BD2"/>
    <w:rsid w:val="15714980"/>
    <w:rsid w:val="15715932"/>
    <w:rsid w:val="157224A6"/>
    <w:rsid w:val="157310D9"/>
    <w:rsid w:val="15733024"/>
    <w:rsid w:val="15734786"/>
    <w:rsid w:val="157437EC"/>
    <w:rsid w:val="15744470"/>
    <w:rsid w:val="1574621E"/>
    <w:rsid w:val="15747B1C"/>
    <w:rsid w:val="15751AEB"/>
    <w:rsid w:val="15757401"/>
    <w:rsid w:val="15767436"/>
    <w:rsid w:val="157712C4"/>
    <w:rsid w:val="15773A2A"/>
    <w:rsid w:val="157755BF"/>
    <w:rsid w:val="1577573D"/>
    <w:rsid w:val="15777FB6"/>
    <w:rsid w:val="15783497"/>
    <w:rsid w:val="157836A0"/>
    <w:rsid w:val="15783F61"/>
    <w:rsid w:val="15791A87"/>
    <w:rsid w:val="15793835"/>
    <w:rsid w:val="15794088"/>
    <w:rsid w:val="15794927"/>
    <w:rsid w:val="157955E3"/>
    <w:rsid w:val="157961AD"/>
    <w:rsid w:val="157972CD"/>
    <w:rsid w:val="157A6693"/>
    <w:rsid w:val="157B135B"/>
    <w:rsid w:val="157B1EFC"/>
    <w:rsid w:val="157B3806"/>
    <w:rsid w:val="157B45DE"/>
    <w:rsid w:val="157B5B07"/>
    <w:rsid w:val="157B75AD"/>
    <w:rsid w:val="157B7989"/>
    <w:rsid w:val="157C3415"/>
    <w:rsid w:val="157C51C4"/>
    <w:rsid w:val="157C58F6"/>
    <w:rsid w:val="157C637F"/>
    <w:rsid w:val="157C7AE9"/>
    <w:rsid w:val="157D1577"/>
    <w:rsid w:val="157D3D21"/>
    <w:rsid w:val="157D50D3"/>
    <w:rsid w:val="157D679F"/>
    <w:rsid w:val="157E0657"/>
    <w:rsid w:val="157E0E4B"/>
    <w:rsid w:val="157E1165"/>
    <w:rsid w:val="157E517C"/>
    <w:rsid w:val="157E56BD"/>
    <w:rsid w:val="157E5CB7"/>
    <w:rsid w:val="157E62BD"/>
    <w:rsid w:val="157F3431"/>
    <w:rsid w:val="157F7058"/>
    <w:rsid w:val="157F786F"/>
    <w:rsid w:val="15801B23"/>
    <w:rsid w:val="1580237E"/>
    <w:rsid w:val="1580315D"/>
    <w:rsid w:val="1580315F"/>
    <w:rsid w:val="15804BC3"/>
    <w:rsid w:val="15806971"/>
    <w:rsid w:val="15813B1A"/>
    <w:rsid w:val="158147FC"/>
    <w:rsid w:val="158173EA"/>
    <w:rsid w:val="1582093B"/>
    <w:rsid w:val="15820F03"/>
    <w:rsid w:val="1582193D"/>
    <w:rsid w:val="158226E9"/>
    <w:rsid w:val="158346B4"/>
    <w:rsid w:val="15842387"/>
    <w:rsid w:val="158457C7"/>
    <w:rsid w:val="158464CE"/>
    <w:rsid w:val="1584754C"/>
    <w:rsid w:val="1585042C"/>
    <w:rsid w:val="15851691"/>
    <w:rsid w:val="158521DA"/>
    <w:rsid w:val="15855A9A"/>
    <w:rsid w:val="1586089B"/>
    <w:rsid w:val="15860BE8"/>
    <w:rsid w:val="158631C0"/>
    <w:rsid w:val="158647F5"/>
    <w:rsid w:val="15865EB9"/>
    <w:rsid w:val="158663A3"/>
    <w:rsid w:val="15870B90"/>
    <w:rsid w:val="158741A4"/>
    <w:rsid w:val="158742DA"/>
    <w:rsid w:val="15875C7F"/>
    <w:rsid w:val="15875F52"/>
    <w:rsid w:val="158775E0"/>
    <w:rsid w:val="15877D00"/>
    <w:rsid w:val="15883A78"/>
    <w:rsid w:val="15890B93"/>
    <w:rsid w:val="15893A50"/>
    <w:rsid w:val="15893E6F"/>
    <w:rsid w:val="1589571D"/>
    <w:rsid w:val="1589648C"/>
    <w:rsid w:val="15897DA9"/>
    <w:rsid w:val="158A3C94"/>
    <w:rsid w:val="158A45F4"/>
    <w:rsid w:val="158B01CB"/>
    <w:rsid w:val="158B43A4"/>
    <w:rsid w:val="158C15B8"/>
    <w:rsid w:val="158C1DA8"/>
    <w:rsid w:val="158C3568"/>
    <w:rsid w:val="158C3FC8"/>
    <w:rsid w:val="158C5316"/>
    <w:rsid w:val="158C59A5"/>
    <w:rsid w:val="158D108E"/>
    <w:rsid w:val="158D585A"/>
    <w:rsid w:val="158D5D5C"/>
    <w:rsid w:val="158D65B9"/>
    <w:rsid w:val="158D70C2"/>
    <w:rsid w:val="158F09F4"/>
    <w:rsid w:val="158F1020"/>
    <w:rsid w:val="158F12AA"/>
    <w:rsid w:val="158F171D"/>
    <w:rsid w:val="158F40CB"/>
    <w:rsid w:val="158F54E0"/>
    <w:rsid w:val="159017B0"/>
    <w:rsid w:val="15902DDF"/>
    <w:rsid w:val="15910B7E"/>
    <w:rsid w:val="15913B9A"/>
    <w:rsid w:val="15914C87"/>
    <w:rsid w:val="15915022"/>
    <w:rsid w:val="1591600D"/>
    <w:rsid w:val="15916DD0"/>
    <w:rsid w:val="15916E8B"/>
    <w:rsid w:val="15917B95"/>
    <w:rsid w:val="159210BE"/>
    <w:rsid w:val="15921FB4"/>
    <w:rsid w:val="1592283D"/>
    <w:rsid w:val="159254CD"/>
    <w:rsid w:val="15931AF4"/>
    <w:rsid w:val="159323E3"/>
    <w:rsid w:val="15932F6C"/>
    <w:rsid w:val="15933E18"/>
    <w:rsid w:val="1593416F"/>
    <w:rsid w:val="15937DEE"/>
    <w:rsid w:val="15940F3A"/>
    <w:rsid w:val="1594241D"/>
    <w:rsid w:val="159468C1"/>
    <w:rsid w:val="15956879"/>
    <w:rsid w:val="15960C2E"/>
    <w:rsid w:val="15961704"/>
    <w:rsid w:val="15962639"/>
    <w:rsid w:val="15964162"/>
    <w:rsid w:val="1596579E"/>
    <w:rsid w:val="15966195"/>
    <w:rsid w:val="15971175"/>
    <w:rsid w:val="15975DA3"/>
    <w:rsid w:val="15982DC0"/>
    <w:rsid w:val="15984443"/>
    <w:rsid w:val="15984B90"/>
    <w:rsid w:val="159934CC"/>
    <w:rsid w:val="15993A7B"/>
    <w:rsid w:val="15993F10"/>
    <w:rsid w:val="1599471C"/>
    <w:rsid w:val="15995C85"/>
    <w:rsid w:val="159961D1"/>
    <w:rsid w:val="15997A33"/>
    <w:rsid w:val="159A4F7F"/>
    <w:rsid w:val="159A5FB3"/>
    <w:rsid w:val="159B192F"/>
    <w:rsid w:val="159B19FD"/>
    <w:rsid w:val="159B1C39"/>
    <w:rsid w:val="159B2A83"/>
    <w:rsid w:val="159B2F01"/>
    <w:rsid w:val="159B311C"/>
    <w:rsid w:val="159B36F7"/>
    <w:rsid w:val="159B37AB"/>
    <w:rsid w:val="159B4B8C"/>
    <w:rsid w:val="159B5AAC"/>
    <w:rsid w:val="159B7C4F"/>
    <w:rsid w:val="159B7EC6"/>
    <w:rsid w:val="159C1150"/>
    <w:rsid w:val="159C2D7D"/>
    <w:rsid w:val="159C3459"/>
    <w:rsid w:val="159C346D"/>
    <w:rsid w:val="159C48C8"/>
    <w:rsid w:val="159C56FE"/>
    <w:rsid w:val="159D25E0"/>
    <w:rsid w:val="159D34D3"/>
    <w:rsid w:val="159D39C7"/>
    <w:rsid w:val="159D5775"/>
    <w:rsid w:val="159D7523"/>
    <w:rsid w:val="159E329B"/>
    <w:rsid w:val="159E5049"/>
    <w:rsid w:val="159F14ED"/>
    <w:rsid w:val="159F27B3"/>
    <w:rsid w:val="159F4B4C"/>
    <w:rsid w:val="159F6519"/>
    <w:rsid w:val="15A0017C"/>
    <w:rsid w:val="15A00DC2"/>
    <w:rsid w:val="15A01A71"/>
    <w:rsid w:val="15A02616"/>
    <w:rsid w:val="15A02627"/>
    <w:rsid w:val="15A040F8"/>
    <w:rsid w:val="15A05265"/>
    <w:rsid w:val="15A056AF"/>
    <w:rsid w:val="15A07AD1"/>
    <w:rsid w:val="15A126EE"/>
    <w:rsid w:val="15A1635A"/>
    <w:rsid w:val="15A1784D"/>
    <w:rsid w:val="15A20FDE"/>
    <w:rsid w:val="15A22D8C"/>
    <w:rsid w:val="15A23807"/>
    <w:rsid w:val="15A24B3A"/>
    <w:rsid w:val="15A33211"/>
    <w:rsid w:val="15A333C9"/>
    <w:rsid w:val="15A36629"/>
    <w:rsid w:val="15A41CF6"/>
    <w:rsid w:val="15A420A3"/>
    <w:rsid w:val="15A42DBE"/>
    <w:rsid w:val="15A44D56"/>
    <w:rsid w:val="15A51F7C"/>
    <w:rsid w:val="15A5287C"/>
    <w:rsid w:val="15A53943"/>
    <w:rsid w:val="15A53EDA"/>
    <w:rsid w:val="15A5462A"/>
    <w:rsid w:val="15A64BF2"/>
    <w:rsid w:val="15A67372"/>
    <w:rsid w:val="15A705EE"/>
    <w:rsid w:val="15A72150"/>
    <w:rsid w:val="15A73234"/>
    <w:rsid w:val="15A76263"/>
    <w:rsid w:val="15A765F4"/>
    <w:rsid w:val="15A80BE4"/>
    <w:rsid w:val="15A80E34"/>
    <w:rsid w:val="15A834EC"/>
    <w:rsid w:val="15A8438E"/>
    <w:rsid w:val="15A84FF5"/>
    <w:rsid w:val="15A856E7"/>
    <w:rsid w:val="15A96363"/>
    <w:rsid w:val="15A96CC6"/>
    <w:rsid w:val="15AA1C40"/>
    <w:rsid w:val="15AA656E"/>
    <w:rsid w:val="15AA7D42"/>
    <w:rsid w:val="15AA7E92"/>
    <w:rsid w:val="15AB3AB1"/>
    <w:rsid w:val="15AB60E4"/>
    <w:rsid w:val="15AB6728"/>
    <w:rsid w:val="15AC0018"/>
    <w:rsid w:val="15AC0C45"/>
    <w:rsid w:val="15AC436E"/>
    <w:rsid w:val="15AC6074"/>
    <w:rsid w:val="15AC7AE7"/>
    <w:rsid w:val="15AD1735"/>
    <w:rsid w:val="15AD350F"/>
    <w:rsid w:val="15AD6E5E"/>
    <w:rsid w:val="15AD7613"/>
    <w:rsid w:val="15AE016E"/>
    <w:rsid w:val="15AE1E3D"/>
    <w:rsid w:val="15AF144D"/>
    <w:rsid w:val="15AF1BFE"/>
    <w:rsid w:val="15AF54A9"/>
    <w:rsid w:val="15AF7417"/>
    <w:rsid w:val="15AF7D23"/>
    <w:rsid w:val="15B00359"/>
    <w:rsid w:val="15B01F48"/>
    <w:rsid w:val="15B036FB"/>
    <w:rsid w:val="15B038CF"/>
    <w:rsid w:val="15B074D4"/>
    <w:rsid w:val="15B07D6D"/>
    <w:rsid w:val="15B11221"/>
    <w:rsid w:val="15B11A99"/>
    <w:rsid w:val="15B12FCF"/>
    <w:rsid w:val="15B13627"/>
    <w:rsid w:val="15B14501"/>
    <w:rsid w:val="15B17473"/>
    <w:rsid w:val="15B20FF1"/>
    <w:rsid w:val="15B21AB7"/>
    <w:rsid w:val="15B25130"/>
    <w:rsid w:val="15B30AF5"/>
    <w:rsid w:val="15B34F99"/>
    <w:rsid w:val="15B35B2C"/>
    <w:rsid w:val="15B35F47"/>
    <w:rsid w:val="15B364F0"/>
    <w:rsid w:val="15B36D47"/>
    <w:rsid w:val="15B4006F"/>
    <w:rsid w:val="15B40F0F"/>
    <w:rsid w:val="15B40FF7"/>
    <w:rsid w:val="15B41CE2"/>
    <w:rsid w:val="15B4486D"/>
    <w:rsid w:val="15B473D7"/>
    <w:rsid w:val="15B50D11"/>
    <w:rsid w:val="15B57E8C"/>
    <w:rsid w:val="15B610CD"/>
    <w:rsid w:val="15B61A6D"/>
    <w:rsid w:val="15B61F4A"/>
    <w:rsid w:val="15B62D33"/>
    <w:rsid w:val="15B64A89"/>
    <w:rsid w:val="15B653F3"/>
    <w:rsid w:val="15B66683"/>
    <w:rsid w:val="15B669C9"/>
    <w:rsid w:val="15B73B04"/>
    <w:rsid w:val="15B818D6"/>
    <w:rsid w:val="15B825AF"/>
    <w:rsid w:val="15B83C30"/>
    <w:rsid w:val="15B8435D"/>
    <w:rsid w:val="15B84858"/>
    <w:rsid w:val="15B8610B"/>
    <w:rsid w:val="15B863B2"/>
    <w:rsid w:val="15B9039E"/>
    <w:rsid w:val="15B91F58"/>
    <w:rsid w:val="15B92750"/>
    <w:rsid w:val="15B92CD6"/>
    <w:rsid w:val="15B92D87"/>
    <w:rsid w:val="15B94C59"/>
    <w:rsid w:val="15B97A9B"/>
    <w:rsid w:val="15BA1401"/>
    <w:rsid w:val="15BB1B38"/>
    <w:rsid w:val="15BB209F"/>
    <w:rsid w:val="15BB3E4D"/>
    <w:rsid w:val="15BB5BFB"/>
    <w:rsid w:val="15BB662C"/>
    <w:rsid w:val="15BB6773"/>
    <w:rsid w:val="15BB7C2A"/>
    <w:rsid w:val="15BC0E6B"/>
    <w:rsid w:val="15BC393C"/>
    <w:rsid w:val="15BC4187"/>
    <w:rsid w:val="15BC7C79"/>
    <w:rsid w:val="15BD7BC5"/>
    <w:rsid w:val="15BE0354"/>
    <w:rsid w:val="15BE5CBA"/>
    <w:rsid w:val="15BF0A4F"/>
    <w:rsid w:val="15BF19D4"/>
    <w:rsid w:val="15BF58FA"/>
    <w:rsid w:val="15BF5C2B"/>
    <w:rsid w:val="15C03212"/>
    <w:rsid w:val="15C070BB"/>
    <w:rsid w:val="15C22E6B"/>
    <w:rsid w:val="15C2342E"/>
    <w:rsid w:val="15C23D45"/>
    <w:rsid w:val="15C35A3C"/>
    <w:rsid w:val="15C36807"/>
    <w:rsid w:val="15C40D7D"/>
    <w:rsid w:val="15C40F54"/>
    <w:rsid w:val="15C4106B"/>
    <w:rsid w:val="15C44F0D"/>
    <w:rsid w:val="15C50828"/>
    <w:rsid w:val="15C57FEB"/>
    <w:rsid w:val="15C6203E"/>
    <w:rsid w:val="15C70A44"/>
    <w:rsid w:val="15C727F2"/>
    <w:rsid w:val="15C72A4F"/>
    <w:rsid w:val="15C83237"/>
    <w:rsid w:val="15C8596E"/>
    <w:rsid w:val="15C86C5D"/>
    <w:rsid w:val="15C87BA7"/>
    <w:rsid w:val="15C91302"/>
    <w:rsid w:val="15C913AE"/>
    <w:rsid w:val="15C9656A"/>
    <w:rsid w:val="15CA22E2"/>
    <w:rsid w:val="15CA4620"/>
    <w:rsid w:val="15CA4636"/>
    <w:rsid w:val="15CA4682"/>
    <w:rsid w:val="15CA5E3E"/>
    <w:rsid w:val="15CA64A3"/>
    <w:rsid w:val="15CB1695"/>
    <w:rsid w:val="15CB67E8"/>
    <w:rsid w:val="15CC022F"/>
    <w:rsid w:val="15CC0A8F"/>
    <w:rsid w:val="15CC48E1"/>
    <w:rsid w:val="15CC7E09"/>
    <w:rsid w:val="15CD15F9"/>
    <w:rsid w:val="15CD1E36"/>
    <w:rsid w:val="15CE1CF5"/>
    <w:rsid w:val="15CE3B81"/>
    <w:rsid w:val="15CE500F"/>
    <w:rsid w:val="15CE592F"/>
    <w:rsid w:val="15CF2CE6"/>
    <w:rsid w:val="15CF2E52"/>
    <w:rsid w:val="15CF3FDF"/>
    <w:rsid w:val="15CF6BB0"/>
    <w:rsid w:val="15CF6F8C"/>
    <w:rsid w:val="15D00C1B"/>
    <w:rsid w:val="15D02A5F"/>
    <w:rsid w:val="15D04068"/>
    <w:rsid w:val="15D05B4B"/>
    <w:rsid w:val="15D06D02"/>
    <w:rsid w:val="15D13ECB"/>
    <w:rsid w:val="15D141D0"/>
    <w:rsid w:val="15D152D1"/>
    <w:rsid w:val="15D15354"/>
    <w:rsid w:val="15D162CC"/>
    <w:rsid w:val="15D171CD"/>
    <w:rsid w:val="15D23AD1"/>
    <w:rsid w:val="15D274B6"/>
    <w:rsid w:val="15D33677"/>
    <w:rsid w:val="15D33DF0"/>
    <w:rsid w:val="15D35531"/>
    <w:rsid w:val="15D369BC"/>
    <w:rsid w:val="15D373E9"/>
    <w:rsid w:val="15D401D6"/>
    <w:rsid w:val="15D45280"/>
    <w:rsid w:val="15D45C7A"/>
    <w:rsid w:val="15D4618E"/>
    <w:rsid w:val="15D466AF"/>
    <w:rsid w:val="15D46CBD"/>
    <w:rsid w:val="15D50010"/>
    <w:rsid w:val="15D5314B"/>
    <w:rsid w:val="15D53161"/>
    <w:rsid w:val="15D5512E"/>
    <w:rsid w:val="15D56A12"/>
    <w:rsid w:val="15D60D05"/>
    <w:rsid w:val="15D62C07"/>
    <w:rsid w:val="15D63EB2"/>
    <w:rsid w:val="15D66ED9"/>
    <w:rsid w:val="15D72771"/>
    <w:rsid w:val="15D74F3F"/>
    <w:rsid w:val="15D7615D"/>
    <w:rsid w:val="15D77522"/>
    <w:rsid w:val="15D8055B"/>
    <w:rsid w:val="15D83051"/>
    <w:rsid w:val="15D837BF"/>
    <w:rsid w:val="15D849FF"/>
    <w:rsid w:val="15D8692D"/>
    <w:rsid w:val="15D869C2"/>
    <w:rsid w:val="15D87B84"/>
    <w:rsid w:val="15D97C62"/>
    <w:rsid w:val="15DA0777"/>
    <w:rsid w:val="15DA083A"/>
    <w:rsid w:val="15DA12C3"/>
    <w:rsid w:val="15DA2525"/>
    <w:rsid w:val="15DA6A8A"/>
    <w:rsid w:val="15DB21DF"/>
    <w:rsid w:val="15DB2B40"/>
    <w:rsid w:val="15DB44F0"/>
    <w:rsid w:val="15DC2C26"/>
    <w:rsid w:val="15DC4C0E"/>
    <w:rsid w:val="15DC65E3"/>
    <w:rsid w:val="15DD0041"/>
    <w:rsid w:val="15DD0268"/>
    <w:rsid w:val="15DD11B4"/>
    <w:rsid w:val="15DD26AD"/>
    <w:rsid w:val="15DD3730"/>
    <w:rsid w:val="15DD3DC4"/>
    <w:rsid w:val="15DD5BD2"/>
    <w:rsid w:val="15DE0B1D"/>
    <w:rsid w:val="15DE18EA"/>
    <w:rsid w:val="15DF45D4"/>
    <w:rsid w:val="15DF5D8E"/>
    <w:rsid w:val="15E04C83"/>
    <w:rsid w:val="15E04CD7"/>
    <w:rsid w:val="15E04F64"/>
    <w:rsid w:val="15E05662"/>
    <w:rsid w:val="15E10FC5"/>
    <w:rsid w:val="15E11B06"/>
    <w:rsid w:val="15E14D91"/>
    <w:rsid w:val="15E163F4"/>
    <w:rsid w:val="15E202C4"/>
    <w:rsid w:val="15E22455"/>
    <w:rsid w:val="15E23F8D"/>
    <w:rsid w:val="15E2587E"/>
    <w:rsid w:val="15E25C1C"/>
    <w:rsid w:val="15E30295"/>
    <w:rsid w:val="15E3178A"/>
    <w:rsid w:val="15E3460F"/>
    <w:rsid w:val="15E3736E"/>
    <w:rsid w:val="15E433A4"/>
    <w:rsid w:val="15E43CD5"/>
    <w:rsid w:val="15E43CFA"/>
    <w:rsid w:val="15E445FB"/>
    <w:rsid w:val="15E4496D"/>
    <w:rsid w:val="15E45152"/>
    <w:rsid w:val="15E464B6"/>
    <w:rsid w:val="15E4717D"/>
    <w:rsid w:val="15E47A09"/>
    <w:rsid w:val="15E47DCA"/>
    <w:rsid w:val="15E52C78"/>
    <w:rsid w:val="15E537B0"/>
    <w:rsid w:val="15E565A0"/>
    <w:rsid w:val="15E60DD6"/>
    <w:rsid w:val="15E6560C"/>
    <w:rsid w:val="15E6657E"/>
    <w:rsid w:val="15E66E30"/>
    <w:rsid w:val="15E6711C"/>
    <w:rsid w:val="15E7013A"/>
    <w:rsid w:val="15E74E37"/>
    <w:rsid w:val="15E769F0"/>
    <w:rsid w:val="15E84611"/>
    <w:rsid w:val="15E84654"/>
    <w:rsid w:val="15E84AE9"/>
    <w:rsid w:val="15E862C7"/>
    <w:rsid w:val="15E9138F"/>
    <w:rsid w:val="15E915B5"/>
    <w:rsid w:val="15E935EF"/>
    <w:rsid w:val="15E943C5"/>
    <w:rsid w:val="15E96C0C"/>
    <w:rsid w:val="15EA1BC0"/>
    <w:rsid w:val="15EA1E85"/>
    <w:rsid w:val="15EA716B"/>
    <w:rsid w:val="15EB129D"/>
    <w:rsid w:val="15EB14C6"/>
    <w:rsid w:val="15EB36C4"/>
    <w:rsid w:val="15EB4733"/>
    <w:rsid w:val="15EB7DED"/>
    <w:rsid w:val="15EC04AB"/>
    <w:rsid w:val="15EC2259"/>
    <w:rsid w:val="15EE2087"/>
    <w:rsid w:val="15EE2139"/>
    <w:rsid w:val="15EE2C6C"/>
    <w:rsid w:val="15EE3E6A"/>
    <w:rsid w:val="15EE5FD1"/>
    <w:rsid w:val="15EE7D4B"/>
    <w:rsid w:val="15EF1193"/>
    <w:rsid w:val="15EF3AF7"/>
    <w:rsid w:val="15EF498A"/>
    <w:rsid w:val="15F00755"/>
    <w:rsid w:val="15F0287D"/>
    <w:rsid w:val="15F03E37"/>
    <w:rsid w:val="15F0573F"/>
    <w:rsid w:val="15F1161D"/>
    <w:rsid w:val="15F13149"/>
    <w:rsid w:val="15F15AC1"/>
    <w:rsid w:val="15F167C1"/>
    <w:rsid w:val="15F1786F"/>
    <w:rsid w:val="15F22551"/>
    <w:rsid w:val="15F26B34"/>
    <w:rsid w:val="15F27379"/>
    <w:rsid w:val="15F317A5"/>
    <w:rsid w:val="15F323B8"/>
    <w:rsid w:val="15F333DA"/>
    <w:rsid w:val="15F335E7"/>
    <w:rsid w:val="15F35395"/>
    <w:rsid w:val="15F36478"/>
    <w:rsid w:val="15F37F70"/>
    <w:rsid w:val="15F417B6"/>
    <w:rsid w:val="15F41A36"/>
    <w:rsid w:val="15F43812"/>
    <w:rsid w:val="15F442A9"/>
    <w:rsid w:val="15F44672"/>
    <w:rsid w:val="15F44D34"/>
    <w:rsid w:val="15F44F77"/>
    <w:rsid w:val="15F45B51"/>
    <w:rsid w:val="15F46AA8"/>
    <w:rsid w:val="15F47EEF"/>
    <w:rsid w:val="15F55980"/>
    <w:rsid w:val="15F5735F"/>
    <w:rsid w:val="15F630D7"/>
    <w:rsid w:val="15F66C34"/>
    <w:rsid w:val="15F724BE"/>
    <w:rsid w:val="15F80BFE"/>
    <w:rsid w:val="15F81323"/>
    <w:rsid w:val="15F8304B"/>
    <w:rsid w:val="15F8467B"/>
    <w:rsid w:val="15F84833"/>
    <w:rsid w:val="15F85DBC"/>
    <w:rsid w:val="15F86E50"/>
    <w:rsid w:val="15F8724F"/>
    <w:rsid w:val="15F90C04"/>
    <w:rsid w:val="15FA088E"/>
    <w:rsid w:val="15FA2BC8"/>
    <w:rsid w:val="15FA562F"/>
    <w:rsid w:val="15FA5C13"/>
    <w:rsid w:val="15FA5C23"/>
    <w:rsid w:val="15FA6367"/>
    <w:rsid w:val="15FA6724"/>
    <w:rsid w:val="15FB06EE"/>
    <w:rsid w:val="15FB3EC6"/>
    <w:rsid w:val="15FB4828"/>
    <w:rsid w:val="15FB4EB4"/>
    <w:rsid w:val="15FB4FC8"/>
    <w:rsid w:val="15FB5B22"/>
    <w:rsid w:val="15FC76A4"/>
    <w:rsid w:val="15FD4466"/>
    <w:rsid w:val="15FD6214"/>
    <w:rsid w:val="15FD7FC2"/>
    <w:rsid w:val="15FE00AA"/>
    <w:rsid w:val="15FE26C3"/>
    <w:rsid w:val="15FE3923"/>
    <w:rsid w:val="15FE4076"/>
    <w:rsid w:val="15FF01DE"/>
    <w:rsid w:val="15FF6676"/>
    <w:rsid w:val="15FF67D8"/>
    <w:rsid w:val="16001045"/>
    <w:rsid w:val="16001A8D"/>
    <w:rsid w:val="16003C1A"/>
    <w:rsid w:val="16005D04"/>
    <w:rsid w:val="16005E42"/>
    <w:rsid w:val="16005FCE"/>
    <w:rsid w:val="16013F56"/>
    <w:rsid w:val="16014BDA"/>
    <w:rsid w:val="160238AB"/>
    <w:rsid w:val="160252F5"/>
    <w:rsid w:val="16027CCE"/>
    <w:rsid w:val="16032BE8"/>
    <w:rsid w:val="16035B6F"/>
    <w:rsid w:val="1603696E"/>
    <w:rsid w:val="1604440A"/>
    <w:rsid w:val="16044C4F"/>
    <w:rsid w:val="1604525D"/>
    <w:rsid w:val="160475A2"/>
    <w:rsid w:val="16052511"/>
    <w:rsid w:val="16053A71"/>
    <w:rsid w:val="1606156C"/>
    <w:rsid w:val="16064A85"/>
    <w:rsid w:val="16064D3B"/>
    <w:rsid w:val="1606540C"/>
    <w:rsid w:val="1607010F"/>
    <w:rsid w:val="16070AE0"/>
    <w:rsid w:val="16070E41"/>
    <w:rsid w:val="160752E5"/>
    <w:rsid w:val="16081B54"/>
    <w:rsid w:val="160823AF"/>
    <w:rsid w:val="16084170"/>
    <w:rsid w:val="1609105D"/>
    <w:rsid w:val="16094BB9"/>
    <w:rsid w:val="16095600"/>
    <w:rsid w:val="16096967"/>
    <w:rsid w:val="160A449F"/>
    <w:rsid w:val="160B0263"/>
    <w:rsid w:val="160B0931"/>
    <w:rsid w:val="160B0E37"/>
    <w:rsid w:val="160B11AB"/>
    <w:rsid w:val="160B1661"/>
    <w:rsid w:val="160B6AC6"/>
    <w:rsid w:val="160B6B83"/>
    <w:rsid w:val="160C1169"/>
    <w:rsid w:val="160C4600"/>
    <w:rsid w:val="160C46A9"/>
    <w:rsid w:val="160C5D34"/>
    <w:rsid w:val="160C6457"/>
    <w:rsid w:val="160C6659"/>
    <w:rsid w:val="160D2DAF"/>
    <w:rsid w:val="160D3038"/>
    <w:rsid w:val="160D5411"/>
    <w:rsid w:val="160D5AF1"/>
    <w:rsid w:val="160D74B4"/>
    <w:rsid w:val="160D7537"/>
    <w:rsid w:val="160E0219"/>
    <w:rsid w:val="160E13AA"/>
    <w:rsid w:val="160E1C1A"/>
    <w:rsid w:val="160E6673"/>
    <w:rsid w:val="160F1472"/>
    <w:rsid w:val="160F2E08"/>
    <w:rsid w:val="160F6914"/>
    <w:rsid w:val="161004FA"/>
    <w:rsid w:val="16104199"/>
    <w:rsid w:val="16105F47"/>
    <w:rsid w:val="161065A9"/>
    <w:rsid w:val="16111C19"/>
    <w:rsid w:val="161124CE"/>
    <w:rsid w:val="16113A6D"/>
    <w:rsid w:val="16113B60"/>
    <w:rsid w:val="16113D92"/>
    <w:rsid w:val="16117F11"/>
    <w:rsid w:val="161249A4"/>
    <w:rsid w:val="16130DCF"/>
    <w:rsid w:val="16131325"/>
    <w:rsid w:val="16132CF7"/>
    <w:rsid w:val="16135A37"/>
    <w:rsid w:val="161377E5"/>
    <w:rsid w:val="161424FD"/>
    <w:rsid w:val="1614418B"/>
    <w:rsid w:val="16144EBC"/>
    <w:rsid w:val="161467AC"/>
    <w:rsid w:val="1615355E"/>
    <w:rsid w:val="161547DB"/>
    <w:rsid w:val="16154A5B"/>
    <w:rsid w:val="161571B9"/>
    <w:rsid w:val="16157A01"/>
    <w:rsid w:val="16161084"/>
    <w:rsid w:val="16162F03"/>
    <w:rsid w:val="16166586"/>
    <w:rsid w:val="16166BB6"/>
    <w:rsid w:val="1617065F"/>
    <w:rsid w:val="161741DA"/>
    <w:rsid w:val="16175528"/>
    <w:rsid w:val="16177149"/>
    <w:rsid w:val="1618304E"/>
    <w:rsid w:val="161841DB"/>
    <w:rsid w:val="16184533"/>
    <w:rsid w:val="16184DFC"/>
    <w:rsid w:val="16190F4F"/>
    <w:rsid w:val="16191FB8"/>
    <w:rsid w:val="16192344"/>
    <w:rsid w:val="161974BB"/>
    <w:rsid w:val="161977B2"/>
    <w:rsid w:val="161A0B74"/>
    <w:rsid w:val="161A5018"/>
    <w:rsid w:val="161A605E"/>
    <w:rsid w:val="161B15E9"/>
    <w:rsid w:val="161B25E6"/>
    <w:rsid w:val="161B5451"/>
    <w:rsid w:val="161C0D90"/>
    <w:rsid w:val="161C2B3E"/>
    <w:rsid w:val="161C31A9"/>
    <w:rsid w:val="161C3A76"/>
    <w:rsid w:val="161D0664"/>
    <w:rsid w:val="161D1639"/>
    <w:rsid w:val="161D2343"/>
    <w:rsid w:val="161D2412"/>
    <w:rsid w:val="161D5124"/>
    <w:rsid w:val="161E4970"/>
    <w:rsid w:val="161E625E"/>
    <w:rsid w:val="161E6396"/>
    <w:rsid w:val="161E7AD7"/>
    <w:rsid w:val="161F262E"/>
    <w:rsid w:val="161F43DC"/>
    <w:rsid w:val="161F5C32"/>
    <w:rsid w:val="161F618A"/>
    <w:rsid w:val="162014D3"/>
    <w:rsid w:val="16201F02"/>
    <w:rsid w:val="16202ECC"/>
    <w:rsid w:val="16210D26"/>
    <w:rsid w:val="162163A6"/>
    <w:rsid w:val="16217393"/>
    <w:rsid w:val="16223BC9"/>
    <w:rsid w:val="16223ECC"/>
    <w:rsid w:val="1622581B"/>
    <w:rsid w:val="16225C7A"/>
    <w:rsid w:val="16227A29"/>
    <w:rsid w:val="162304BC"/>
    <w:rsid w:val="16230AB3"/>
    <w:rsid w:val="1623530D"/>
    <w:rsid w:val="162419F3"/>
    <w:rsid w:val="162437A1"/>
    <w:rsid w:val="16244626"/>
    <w:rsid w:val="16253B1A"/>
    <w:rsid w:val="16253C57"/>
    <w:rsid w:val="16257519"/>
    <w:rsid w:val="16261842"/>
    <w:rsid w:val="16263092"/>
    <w:rsid w:val="162639BD"/>
    <w:rsid w:val="1626492E"/>
    <w:rsid w:val="16271071"/>
    <w:rsid w:val="16272223"/>
    <w:rsid w:val="16273291"/>
    <w:rsid w:val="162776F9"/>
    <w:rsid w:val="1628375A"/>
    <w:rsid w:val="162852F6"/>
    <w:rsid w:val="162871D6"/>
    <w:rsid w:val="16287735"/>
    <w:rsid w:val="16290DB7"/>
    <w:rsid w:val="16290F34"/>
    <w:rsid w:val="16291CB2"/>
    <w:rsid w:val="1629525B"/>
    <w:rsid w:val="1629574B"/>
    <w:rsid w:val="1629587C"/>
    <w:rsid w:val="16297009"/>
    <w:rsid w:val="162A0D0D"/>
    <w:rsid w:val="162A2AF4"/>
    <w:rsid w:val="162A40C5"/>
    <w:rsid w:val="162A4855"/>
    <w:rsid w:val="162A6931"/>
    <w:rsid w:val="162B39C9"/>
    <w:rsid w:val="162B4A2B"/>
    <w:rsid w:val="162B6320"/>
    <w:rsid w:val="162B6FEE"/>
    <w:rsid w:val="162B7646"/>
    <w:rsid w:val="162B7AF1"/>
    <w:rsid w:val="162C043D"/>
    <w:rsid w:val="162C08A7"/>
    <w:rsid w:val="162C2707"/>
    <w:rsid w:val="162C39BB"/>
    <w:rsid w:val="162C48CA"/>
    <w:rsid w:val="162C753E"/>
    <w:rsid w:val="162D0673"/>
    <w:rsid w:val="162D3043"/>
    <w:rsid w:val="162D438C"/>
    <w:rsid w:val="162D49FB"/>
    <w:rsid w:val="162D5D35"/>
    <w:rsid w:val="162D5E76"/>
    <w:rsid w:val="162D6AD9"/>
    <w:rsid w:val="162E0AC3"/>
    <w:rsid w:val="162E0D49"/>
    <w:rsid w:val="162E2871"/>
    <w:rsid w:val="162E5D32"/>
    <w:rsid w:val="162E62A4"/>
    <w:rsid w:val="162E7ECB"/>
    <w:rsid w:val="162F0A5C"/>
    <w:rsid w:val="162F5F90"/>
    <w:rsid w:val="162F6AA4"/>
    <w:rsid w:val="16300397"/>
    <w:rsid w:val="16300EE7"/>
    <w:rsid w:val="16301C50"/>
    <w:rsid w:val="16302145"/>
    <w:rsid w:val="163065E9"/>
    <w:rsid w:val="163079CF"/>
    <w:rsid w:val="16311DAE"/>
    <w:rsid w:val="16314110"/>
    <w:rsid w:val="16315D66"/>
    <w:rsid w:val="16322361"/>
    <w:rsid w:val="16323649"/>
    <w:rsid w:val="163248FB"/>
    <w:rsid w:val="16325C9C"/>
    <w:rsid w:val="1632662E"/>
    <w:rsid w:val="163273DD"/>
    <w:rsid w:val="163310BF"/>
    <w:rsid w:val="16331C36"/>
    <w:rsid w:val="16334E21"/>
    <w:rsid w:val="16335626"/>
    <w:rsid w:val="163360DA"/>
    <w:rsid w:val="1633712C"/>
    <w:rsid w:val="16341869"/>
    <w:rsid w:val="1634301B"/>
    <w:rsid w:val="16343BF3"/>
    <w:rsid w:val="16350636"/>
    <w:rsid w:val="16351E52"/>
    <w:rsid w:val="163522F9"/>
    <w:rsid w:val="1635318D"/>
    <w:rsid w:val="16353C00"/>
    <w:rsid w:val="163559AE"/>
    <w:rsid w:val="16355CA7"/>
    <w:rsid w:val="1635775C"/>
    <w:rsid w:val="16361139"/>
    <w:rsid w:val="16361726"/>
    <w:rsid w:val="163634D4"/>
    <w:rsid w:val="163658F3"/>
    <w:rsid w:val="16370E0D"/>
    <w:rsid w:val="1637529F"/>
    <w:rsid w:val="163825B9"/>
    <w:rsid w:val="1638324F"/>
    <w:rsid w:val="16384288"/>
    <w:rsid w:val="1638549E"/>
    <w:rsid w:val="163868E6"/>
    <w:rsid w:val="1638724C"/>
    <w:rsid w:val="163903EF"/>
    <w:rsid w:val="163905DC"/>
    <w:rsid w:val="16390B2A"/>
    <w:rsid w:val="16391728"/>
    <w:rsid w:val="16393363"/>
    <w:rsid w:val="1639711F"/>
    <w:rsid w:val="163A088A"/>
    <w:rsid w:val="163A34D9"/>
    <w:rsid w:val="163A416F"/>
    <w:rsid w:val="163A73C8"/>
    <w:rsid w:val="163A7468"/>
    <w:rsid w:val="163B0AEA"/>
    <w:rsid w:val="163B207B"/>
    <w:rsid w:val="163B485F"/>
    <w:rsid w:val="163B6B83"/>
    <w:rsid w:val="163B6D19"/>
    <w:rsid w:val="163B70EE"/>
    <w:rsid w:val="163C3060"/>
    <w:rsid w:val="163C514D"/>
    <w:rsid w:val="163C6CA2"/>
    <w:rsid w:val="163C6D3C"/>
    <w:rsid w:val="163D0D06"/>
    <w:rsid w:val="163D0DBA"/>
    <w:rsid w:val="163D2AB4"/>
    <w:rsid w:val="163D5509"/>
    <w:rsid w:val="163E0143"/>
    <w:rsid w:val="163E2706"/>
    <w:rsid w:val="163E67E5"/>
    <w:rsid w:val="163F05DA"/>
    <w:rsid w:val="163F3677"/>
    <w:rsid w:val="163F4A7E"/>
    <w:rsid w:val="16405702"/>
    <w:rsid w:val="16405796"/>
    <w:rsid w:val="1640693E"/>
    <w:rsid w:val="164107F7"/>
    <w:rsid w:val="164131F7"/>
    <w:rsid w:val="16413DCA"/>
    <w:rsid w:val="16421E79"/>
    <w:rsid w:val="16425855"/>
    <w:rsid w:val="1642631D"/>
    <w:rsid w:val="16426DD5"/>
    <w:rsid w:val="16426ED2"/>
    <w:rsid w:val="16431272"/>
    <w:rsid w:val="16443DEF"/>
    <w:rsid w:val="16443E43"/>
    <w:rsid w:val="16445BF1"/>
    <w:rsid w:val="16446833"/>
    <w:rsid w:val="164510EE"/>
    <w:rsid w:val="16451539"/>
    <w:rsid w:val="164567EC"/>
    <w:rsid w:val="164577C9"/>
    <w:rsid w:val="16463DE8"/>
    <w:rsid w:val="16464112"/>
    <w:rsid w:val="16465E0D"/>
    <w:rsid w:val="164666A6"/>
    <w:rsid w:val="16467BBB"/>
    <w:rsid w:val="16471D66"/>
    <w:rsid w:val="1647552A"/>
    <w:rsid w:val="164756E1"/>
    <w:rsid w:val="1647748F"/>
    <w:rsid w:val="16477969"/>
    <w:rsid w:val="16481B85"/>
    <w:rsid w:val="16490F5F"/>
    <w:rsid w:val="16491AD3"/>
    <w:rsid w:val="16493207"/>
    <w:rsid w:val="164A3F23"/>
    <w:rsid w:val="164A52FB"/>
    <w:rsid w:val="164A5664"/>
    <w:rsid w:val="164A660F"/>
    <w:rsid w:val="164A6D94"/>
    <w:rsid w:val="164B13F5"/>
    <w:rsid w:val="164B3423"/>
    <w:rsid w:val="164B3A72"/>
    <w:rsid w:val="164B518C"/>
    <w:rsid w:val="164B6AF4"/>
    <w:rsid w:val="164B6F7F"/>
    <w:rsid w:val="164B72CA"/>
    <w:rsid w:val="164B7822"/>
    <w:rsid w:val="164B79D0"/>
    <w:rsid w:val="164C0BDD"/>
    <w:rsid w:val="164C16FB"/>
    <w:rsid w:val="164C463F"/>
    <w:rsid w:val="164C69CE"/>
    <w:rsid w:val="164C7A94"/>
    <w:rsid w:val="164C7F84"/>
    <w:rsid w:val="164D1414"/>
    <w:rsid w:val="164D38B2"/>
    <w:rsid w:val="164D4286"/>
    <w:rsid w:val="164D5EB9"/>
    <w:rsid w:val="164D719B"/>
    <w:rsid w:val="164E081E"/>
    <w:rsid w:val="164E3D34"/>
    <w:rsid w:val="164E4CC1"/>
    <w:rsid w:val="164F0587"/>
    <w:rsid w:val="164F240A"/>
    <w:rsid w:val="164F3BD9"/>
    <w:rsid w:val="164F4421"/>
    <w:rsid w:val="164F6730"/>
    <w:rsid w:val="16500182"/>
    <w:rsid w:val="1650070C"/>
    <w:rsid w:val="16500A3A"/>
    <w:rsid w:val="16500DD7"/>
    <w:rsid w:val="16505169"/>
    <w:rsid w:val="16510259"/>
    <w:rsid w:val="1651030E"/>
    <w:rsid w:val="16510352"/>
    <w:rsid w:val="165110B9"/>
    <w:rsid w:val="16511E5F"/>
    <w:rsid w:val="16513FC1"/>
    <w:rsid w:val="16517F62"/>
    <w:rsid w:val="165247B2"/>
    <w:rsid w:val="16526560"/>
    <w:rsid w:val="16526656"/>
    <w:rsid w:val="1653092F"/>
    <w:rsid w:val="16530ACF"/>
    <w:rsid w:val="165322D8"/>
    <w:rsid w:val="16532527"/>
    <w:rsid w:val="16532C48"/>
    <w:rsid w:val="16536716"/>
    <w:rsid w:val="16537E00"/>
    <w:rsid w:val="1654783B"/>
    <w:rsid w:val="16551653"/>
    <w:rsid w:val="16551BAC"/>
    <w:rsid w:val="16553B36"/>
    <w:rsid w:val="16556050"/>
    <w:rsid w:val="16564903"/>
    <w:rsid w:val="1656524F"/>
    <w:rsid w:val="16566318"/>
    <w:rsid w:val="16567174"/>
    <w:rsid w:val="1656779D"/>
    <w:rsid w:val="1657024C"/>
    <w:rsid w:val="165704E2"/>
    <w:rsid w:val="165719F9"/>
    <w:rsid w:val="16571DC8"/>
    <w:rsid w:val="16575097"/>
    <w:rsid w:val="165754AD"/>
    <w:rsid w:val="165810F8"/>
    <w:rsid w:val="16583648"/>
    <w:rsid w:val="1658429D"/>
    <w:rsid w:val="16586527"/>
    <w:rsid w:val="165878EE"/>
    <w:rsid w:val="16590435"/>
    <w:rsid w:val="16591389"/>
    <w:rsid w:val="16591BE3"/>
    <w:rsid w:val="16594510"/>
    <w:rsid w:val="16594574"/>
    <w:rsid w:val="165A5414"/>
    <w:rsid w:val="165B2F3A"/>
    <w:rsid w:val="165B4EA8"/>
    <w:rsid w:val="165B73DA"/>
    <w:rsid w:val="165C07EB"/>
    <w:rsid w:val="165C0EFE"/>
    <w:rsid w:val="165C118C"/>
    <w:rsid w:val="165C1542"/>
    <w:rsid w:val="165E017E"/>
    <w:rsid w:val="165E01C3"/>
    <w:rsid w:val="165E652A"/>
    <w:rsid w:val="165E6EA4"/>
    <w:rsid w:val="165F0C7D"/>
    <w:rsid w:val="165F4D61"/>
    <w:rsid w:val="165F63FA"/>
    <w:rsid w:val="165F6ECF"/>
    <w:rsid w:val="16605257"/>
    <w:rsid w:val="166070C4"/>
    <w:rsid w:val="16607174"/>
    <w:rsid w:val="16611A92"/>
    <w:rsid w:val="16611CED"/>
    <w:rsid w:val="166149F5"/>
    <w:rsid w:val="166167A3"/>
    <w:rsid w:val="16617842"/>
    <w:rsid w:val="16621CEF"/>
    <w:rsid w:val="1662251B"/>
    <w:rsid w:val="1663076D"/>
    <w:rsid w:val="16631598"/>
    <w:rsid w:val="1663620B"/>
    <w:rsid w:val="1663785A"/>
    <w:rsid w:val="166424DB"/>
    <w:rsid w:val="1664769B"/>
    <w:rsid w:val="16647887"/>
    <w:rsid w:val="16650B95"/>
    <w:rsid w:val="1665643A"/>
    <w:rsid w:val="166576E8"/>
    <w:rsid w:val="166578EE"/>
    <w:rsid w:val="16661FBB"/>
    <w:rsid w:val="1666200B"/>
    <w:rsid w:val="166633C7"/>
    <w:rsid w:val="16664258"/>
    <w:rsid w:val="1666767D"/>
    <w:rsid w:val="16674B8C"/>
    <w:rsid w:val="16676D1B"/>
    <w:rsid w:val="16680562"/>
    <w:rsid w:val="166834BA"/>
    <w:rsid w:val="166874AC"/>
    <w:rsid w:val="16695657"/>
    <w:rsid w:val="166A38C9"/>
    <w:rsid w:val="166B238E"/>
    <w:rsid w:val="166B3DC4"/>
    <w:rsid w:val="166B4379"/>
    <w:rsid w:val="166B5873"/>
    <w:rsid w:val="166B7621"/>
    <w:rsid w:val="166C1D38"/>
    <w:rsid w:val="166C5E2D"/>
    <w:rsid w:val="166D056F"/>
    <w:rsid w:val="166D15EC"/>
    <w:rsid w:val="166D2940"/>
    <w:rsid w:val="166D339A"/>
    <w:rsid w:val="166D4E39"/>
    <w:rsid w:val="166E0D73"/>
    <w:rsid w:val="166E0EC0"/>
    <w:rsid w:val="166E2C6E"/>
    <w:rsid w:val="166E3023"/>
    <w:rsid w:val="166E6015"/>
    <w:rsid w:val="166E7112"/>
    <w:rsid w:val="166E774B"/>
    <w:rsid w:val="166F0CAB"/>
    <w:rsid w:val="166F116D"/>
    <w:rsid w:val="166F5EEF"/>
    <w:rsid w:val="16701865"/>
    <w:rsid w:val="16701CFB"/>
    <w:rsid w:val="1670225E"/>
    <w:rsid w:val="16702E8A"/>
    <w:rsid w:val="167069E6"/>
    <w:rsid w:val="1671080F"/>
    <w:rsid w:val="1672275E"/>
    <w:rsid w:val="16726C02"/>
    <w:rsid w:val="16730284"/>
    <w:rsid w:val="16734728"/>
    <w:rsid w:val="16736611"/>
    <w:rsid w:val="1673674D"/>
    <w:rsid w:val="1674297A"/>
    <w:rsid w:val="1674618E"/>
    <w:rsid w:val="167475D8"/>
    <w:rsid w:val="167514BE"/>
    <w:rsid w:val="16754654"/>
    <w:rsid w:val="16760E4F"/>
    <w:rsid w:val="16761A6F"/>
    <w:rsid w:val="16761AB0"/>
    <w:rsid w:val="16762CE7"/>
    <w:rsid w:val="1676318F"/>
    <w:rsid w:val="1676598B"/>
    <w:rsid w:val="16767100"/>
    <w:rsid w:val="167713AD"/>
    <w:rsid w:val="16774218"/>
    <w:rsid w:val="16774CF1"/>
    <w:rsid w:val="16777D74"/>
    <w:rsid w:val="16780629"/>
    <w:rsid w:val="167815A7"/>
    <w:rsid w:val="167815E0"/>
    <w:rsid w:val="16781D3E"/>
    <w:rsid w:val="1678370C"/>
    <w:rsid w:val="16783AEC"/>
    <w:rsid w:val="16786FA1"/>
    <w:rsid w:val="16790431"/>
    <w:rsid w:val="16790AB4"/>
    <w:rsid w:val="167934D9"/>
    <w:rsid w:val="1679607E"/>
    <w:rsid w:val="16797F90"/>
    <w:rsid w:val="167A3002"/>
    <w:rsid w:val="167A6E53"/>
    <w:rsid w:val="167A7865"/>
    <w:rsid w:val="167A7A0B"/>
    <w:rsid w:val="167B288F"/>
    <w:rsid w:val="167B4492"/>
    <w:rsid w:val="167B7268"/>
    <w:rsid w:val="167B75C8"/>
    <w:rsid w:val="167C00F6"/>
    <w:rsid w:val="167C538B"/>
    <w:rsid w:val="167D545A"/>
    <w:rsid w:val="167D6A6B"/>
    <w:rsid w:val="167E1E55"/>
    <w:rsid w:val="167E3D03"/>
    <w:rsid w:val="167F1DCE"/>
    <w:rsid w:val="167F22B1"/>
    <w:rsid w:val="167F23E0"/>
    <w:rsid w:val="167F37F7"/>
    <w:rsid w:val="167F42A3"/>
    <w:rsid w:val="167F4E7B"/>
    <w:rsid w:val="16802192"/>
    <w:rsid w:val="168075CE"/>
    <w:rsid w:val="168078E1"/>
    <w:rsid w:val="168111A0"/>
    <w:rsid w:val="168166AE"/>
    <w:rsid w:val="16822C24"/>
    <w:rsid w:val="1682438F"/>
    <w:rsid w:val="16825D4E"/>
    <w:rsid w:val="16825F7B"/>
    <w:rsid w:val="16826719"/>
    <w:rsid w:val="168340B4"/>
    <w:rsid w:val="1683496B"/>
    <w:rsid w:val="16834F28"/>
    <w:rsid w:val="16840938"/>
    <w:rsid w:val="16841DD1"/>
    <w:rsid w:val="16842491"/>
    <w:rsid w:val="16843B52"/>
    <w:rsid w:val="168441C4"/>
    <w:rsid w:val="1684530D"/>
    <w:rsid w:val="16845544"/>
    <w:rsid w:val="1684614C"/>
    <w:rsid w:val="1684646B"/>
    <w:rsid w:val="16846935"/>
    <w:rsid w:val="16850115"/>
    <w:rsid w:val="16854F24"/>
    <w:rsid w:val="16861B3A"/>
    <w:rsid w:val="16862164"/>
    <w:rsid w:val="1686445B"/>
    <w:rsid w:val="16867D87"/>
    <w:rsid w:val="1687197C"/>
    <w:rsid w:val="16873D30"/>
    <w:rsid w:val="168760AB"/>
    <w:rsid w:val="168801D3"/>
    <w:rsid w:val="16880813"/>
    <w:rsid w:val="16882B46"/>
    <w:rsid w:val="16886A96"/>
    <w:rsid w:val="16895CFA"/>
    <w:rsid w:val="16897AA8"/>
    <w:rsid w:val="168A5002"/>
    <w:rsid w:val="168A7D74"/>
    <w:rsid w:val="168B0AE8"/>
    <w:rsid w:val="168B13F0"/>
    <w:rsid w:val="168B1A72"/>
    <w:rsid w:val="168B2846"/>
    <w:rsid w:val="168B3820"/>
    <w:rsid w:val="168B5EC8"/>
    <w:rsid w:val="168B6B83"/>
    <w:rsid w:val="168B7804"/>
    <w:rsid w:val="168C16FE"/>
    <w:rsid w:val="168C5519"/>
    <w:rsid w:val="168C63C8"/>
    <w:rsid w:val="168D1068"/>
    <w:rsid w:val="168D1ABB"/>
    <w:rsid w:val="168D3A3C"/>
    <w:rsid w:val="168D57EA"/>
    <w:rsid w:val="168D71AD"/>
    <w:rsid w:val="168E3310"/>
    <w:rsid w:val="168E486F"/>
    <w:rsid w:val="168E50BE"/>
    <w:rsid w:val="168E59FA"/>
    <w:rsid w:val="168E6B18"/>
    <w:rsid w:val="168F618E"/>
    <w:rsid w:val="168F6536"/>
    <w:rsid w:val="16900E36"/>
    <w:rsid w:val="16904B05"/>
    <w:rsid w:val="16907088"/>
    <w:rsid w:val="16911289"/>
    <w:rsid w:val="169142B1"/>
    <w:rsid w:val="16914F5E"/>
    <w:rsid w:val="16920038"/>
    <w:rsid w:val="16921052"/>
    <w:rsid w:val="16922719"/>
    <w:rsid w:val="16924432"/>
    <w:rsid w:val="16924BAE"/>
    <w:rsid w:val="169269EF"/>
    <w:rsid w:val="16931417"/>
    <w:rsid w:val="16931BB2"/>
    <w:rsid w:val="169324E2"/>
    <w:rsid w:val="1694410D"/>
    <w:rsid w:val="1694670C"/>
    <w:rsid w:val="16946830"/>
    <w:rsid w:val="16946B78"/>
    <w:rsid w:val="1695043B"/>
    <w:rsid w:val="169528F0"/>
    <w:rsid w:val="16952DD3"/>
    <w:rsid w:val="1695644C"/>
    <w:rsid w:val="16962437"/>
    <w:rsid w:val="169661E7"/>
    <w:rsid w:val="16970417"/>
    <w:rsid w:val="169711EC"/>
    <w:rsid w:val="169721C5"/>
    <w:rsid w:val="16973F17"/>
    <w:rsid w:val="16974CE4"/>
    <w:rsid w:val="16975D9A"/>
    <w:rsid w:val="16976668"/>
    <w:rsid w:val="16977726"/>
    <w:rsid w:val="1698362C"/>
    <w:rsid w:val="16984788"/>
    <w:rsid w:val="16985675"/>
    <w:rsid w:val="16985842"/>
    <w:rsid w:val="16987C2E"/>
    <w:rsid w:val="16990583"/>
    <w:rsid w:val="16993973"/>
    <w:rsid w:val="16996097"/>
    <w:rsid w:val="169A1CB5"/>
    <w:rsid w:val="169A25B5"/>
    <w:rsid w:val="169B20EF"/>
    <w:rsid w:val="169B3892"/>
    <w:rsid w:val="169B3A7C"/>
    <w:rsid w:val="169B6586"/>
    <w:rsid w:val="169C069A"/>
    <w:rsid w:val="169C2262"/>
    <w:rsid w:val="169C3AE1"/>
    <w:rsid w:val="169C3C7F"/>
    <w:rsid w:val="169C424B"/>
    <w:rsid w:val="169C5A2D"/>
    <w:rsid w:val="169C639C"/>
    <w:rsid w:val="169C6D4D"/>
    <w:rsid w:val="169D3553"/>
    <w:rsid w:val="169D60D1"/>
    <w:rsid w:val="169D7A4A"/>
    <w:rsid w:val="169E2038"/>
    <w:rsid w:val="169E79F7"/>
    <w:rsid w:val="169F214C"/>
    <w:rsid w:val="169F551D"/>
    <w:rsid w:val="16A05B48"/>
    <w:rsid w:val="16A11295"/>
    <w:rsid w:val="16A13006"/>
    <w:rsid w:val="16A13043"/>
    <w:rsid w:val="16A14DF1"/>
    <w:rsid w:val="16A15A84"/>
    <w:rsid w:val="16A161AD"/>
    <w:rsid w:val="16A16EC0"/>
    <w:rsid w:val="16A17836"/>
    <w:rsid w:val="16A2055F"/>
    <w:rsid w:val="16A20744"/>
    <w:rsid w:val="16A2220E"/>
    <w:rsid w:val="16A24E6D"/>
    <w:rsid w:val="16A25309"/>
    <w:rsid w:val="16A27880"/>
    <w:rsid w:val="16A366FC"/>
    <w:rsid w:val="16A36DBB"/>
    <w:rsid w:val="16A37629"/>
    <w:rsid w:val="16A40C20"/>
    <w:rsid w:val="16A4177E"/>
    <w:rsid w:val="16A44105"/>
    <w:rsid w:val="16A54E5F"/>
    <w:rsid w:val="16A55FBE"/>
    <w:rsid w:val="16A5660B"/>
    <w:rsid w:val="16A6065A"/>
    <w:rsid w:val="16A6520F"/>
    <w:rsid w:val="16A668AC"/>
    <w:rsid w:val="16A701A7"/>
    <w:rsid w:val="16A70201"/>
    <w:rsid w:val="16A7592E"/>
    <w:rsid w:val="16A77A9E"/>
    <w:rsid w:val="16A81243"/>
    <w:rsid w:val="16A82624"/>
    <w:rsid w:val="16A834AF"/>
    <w:rsid w:val="16A843D2"/>
    <w:rsid w:val="16A84756"/>
    <w:rsid w:val="16A9014A"/>
    <w:rsid w:val="16A95DCF"/>
    <w:rsid w:val="16AA087C"/>
    <w:rsid w:val="16AA11A6"/>
    <w:rsid w:val="16AA2401"/>
    <w:rsid w:val="16AA2B94"/>
    <w:rsid w:val="16AA5B9C"/>
    <w:rsid w:val="16AB13A0"/>
    <w:rsid w:val="16AB1E30"/>
    <w:rsid w:val="16AB2114"/>
    <w:rsid w:val="16AB3EC2"/>
    <w:rsid w:val="16AB4A01"/>
    <w:rsid w:val="16AB4C28"/>
    <w:rsid w:val="16AB5C70"/>
    <w:rsid w:val="16AB67ED"/>
    <w:rsid w:val="16AC0A47"/>
    <w:rsid w:val="16AC125D"/>
    <w:rsid w:val="16AC72CA"/>
    <w:rsid w:val="16AD0985"/>
    <w:rsid w:val="16AD32A6"/>
    <w:rsid w:val="16AD3796"/>
    <w:rsid w:val="16AD7920"/>
    <w:rsid w:val="16AD7C3A"/>
    <w:rsid w:val="16AE385D"/>
    <w:rsid w:val="16AE5760"/>
    <w:rsid w:val="16AE750E"/>
    <w:rsid w:val="16AF1032"/>
    <w:rsid w:val="16AF2A2D"/>
    <w:rsid w:val="16AF2A39"/>
    <w:rsid w:val="16AF3382"/>
    <w:rsid w:val="16AF38DB"/>
    <w:rsid w:val="16AF787D"/>
    <w:rsid w:val="16B03286"/>
    <w:rsid w:val="16B0606E"/>
    <w:rsid w:val="16B0772A"/>
    <w:rsid w:val="16B10015"/>
    <w:rsid w:val="16B10BA4"/>
    <w:rsid w:val="16B13F11"/>
    <w:rsid w:val="16B15CA2"/>
    <w:rsid w:val="16B17036"/>
    <w:rsid w:val="16B17520"/>
    <w:rsid w:val="16B20DAC"/>
    <w:rsid w:val="16B233B5"/>
    <w:rsid w:val="16B234A2"/>
    <w:rsid w:val="16B27132"/>
    <w:rsid w:val="16B31413"/>
    <w:rsid w:val="16B32D77"/>
    <w:rsid w:val="16B40D22"/>
    <w:rsid w:val="16B40FC8"/>
    <w:rsid w:val="16B44FDF"/>
    <w:rsid w:val="16B45F68"/>
    <w:rsid w:val="16B50FE6"/>
    <w:rsid w:val="16B51D15"/>
    <w:rsid w:val="16B538E6"/>
    <w:rsid w:val="16B54D41"/>
    <w:rsid w:val="16B55AB3"/>
    <w:rsid w:val="16B55CF8"/>
    <w:rsid w:val="16B56AEF"/>
    <w:rsid w:val="16B56BD3"/>
    <w:rsid w:val="16B67F07"/>
    <w:rsid w:val="16B70AB9"/>
    <w:rsid w:val="16B72867"/>
    <w:rsid w:val="16B738CB"/>
    <w:rsid w:val="16B74615"/>
    <w:rsid w:val="16B77B1C"/>
    <w:rsid w:val="16B8213B"/>
    <w:rsid w:val="16B8398A"/>
    <w:rsid w:val="16B840A6"/>
    <w:rsid w:val="16B85C52"/>
    <w:rsid w:val="16B9038D"/>
    <w:rsid w:val="16B92EDA"/>
    <w:rsid w:val="16B93C29"/>
    <w:rsid w:val="16B958C4"/>
    <w:rsid w:val="16B965DF"/>
    <w:rsid w:val="16BA2357"/>
    <w:rsid w:val="16BA5C33"/>
    <w:rsid w:val="16BA5EB3"/>
    <w:rsid w:val="16BA60CB"/>
    <w:rsid w:val="16BA63C4"/>
    <w:rsid w:val="16BB6BD1"/>
    <w:rsid w:val="16BC1C2B"/>
    <w:rsid w:val="16BC2980"/>
    <w:rsid w:val="16BC60CF"/>
    <w:rsid w:val="16BC74EB"/>
    <w:rsid w:val="16BC7E7D"/>
    <w:rsid w:val="16BD1F90"/>
    <w:rsid w:val="16BD2FDF"/>
    <w:rsid w:val="16BD3322"/>
    <w:rsid w:val="16BD5C2B"/>
    <w:rsid w:val="16BE1E47"/>
    <w:rsid w:val="16BE3BF5"/>
    <w:rsid w:val="16BE59A3"/>
    <w:rsid w:val="16BE76DA"/>
    <w:rsid w:val="16BF0B67"/>
    <w:rsid w:val="16BF171B"/>
    <w:rsid w:val="16BF1F27"/>
    <w:rsid w:val="16BF66A2"/>
    <w:rsid w:val="16BF796D"/>
    <w:rsid w:val="16C022D2"/>
    <w:rsid w:val="16C03CE3"/>
    <w:rsid w:val="16C04307"/>
    <w:rsid w:val="16C13AE9"/>
    <w:rsid w:val="16C1416B"/>
    <w:rsid w:val="16C15493"/>
    <w:rsid w:val="16C15500"/>
    <w:rsid w:val="16C16102"/>
    <w:rsid w:val="16C1655B"/>
    <w:rsid w:val="16C16768"/>
    <w:rsid w:val="16C17DFE"/>
    <w:rsid w:val="16C20B85"/>
    <w:rsid w:val="16C227A4"/>
    <w:rsid w:val="16C24C1A"/>
    <w:rsid w:val="16C257BE"/>
    <w:rsid w:val="16C307A6"/>
    <w:rsid w:val="16C3120C"/>
    <w:rsid w:val="16C31E3E"/>
    <w:rsid w:val="16C32C88"/>
    <w:rsid w:val="16C33888"/>
    <w:rsid w:val="16C3443F"/>
    <w:rsid w:val="16C356DC"/>
    <w:rsid w:val="16C37995"/>
    <w:rsid w:val="16C37B27"/>
    <w:rsid w:val="16C40965"/>
    <w:rsid w:val="16C46D32"/>
    <w:rsid w:val="16C564E5"/>
    <w:rsid w:val="16C62AAA"/>
    <w:rsid w:val="16C640D6"/>
    <w:rsid w:val="16C65FCC"/>
    <w:rsid w:val="16C67022"/>
    <w:rsid w:val="16C72A99"/>
    <w:rsid w:val="16C74105"/>
    <w:rsid w:val="16C805D0"/>
    <w:rsid w:val="16C81C21"/>
    <w:rsid w:val="16C851C4"/>
    <w:rsid w:val="16C86822"/>
    <w:rsid w:val="16C910D1"/>
    <w:rsid w:val="16C94348"/>
    <w:rsid w:val="16C951E1"/>
    <w:rsid w:val="16C953B9"/>
    <w:rsid w:val="16C973CC"/>
    <w:rsid w:val="16CA07EC"/>
    <w:rsid w:val="16CA1169"/>
    <w:rsid w:val="16CA259A"/>
    <w:rsid w:val="16CA515A"/>
    <w:rsid w:val="16CA6849"/>
    <w:rsid w:val="16CB3517"/>
    <w:rsid w:val="16CB4564"/>
    <w:rsid w:val="16CB5E37"/>
    <w:rsid w:val="16CC1169"/>
    <w:rsid w:val="16CC3559"/>
    <w:rsid w:val="16CC4D1F"/>
    <w:rsid w:val="16CC554F"/>
    <w:rsid w:val="16CC5760"/>
    <w:rsid w:val="16CD3E38"/>
    <w:rsid w:val="16CD5BE6"/>
    <w:rsid w:val="16CD7478"/>
    <w:rsid w:val="16CD7D53"/>
    <w:rsid w:val="16CE5220"/>
    <w:rsid w:val="16CE5C3D"/>
    <w:rsid w:val="16CE6D37"/>
    <w:rsid w:val="16CF122B"/>
    <w:rsid w:val="16CF2B86"/>
    <w:rsid w:val="16CF74B1"/>
    <w:rsid w:val="16CF7BB0"/>
    <w:rsid w:val="16D01B7A"/>
    <w:rsid w:val="16D02051"/>
    <w:rsid w:val="16D033BD"/>
    <w:rsid w:val="16D03928"/>
    <w:rsid w:val="16D071C1"/>
    <w:rsid w:val="16D10D70"/>
    <w:rsid w:val="16D1671C"/>
    <w:rsid w:val="16D1695A"/>
    <w:rsid w:val="16D17B6F"/>
    <w:rsid w:val="16D2144F"/>
    <w:rsid w:val="16D231FD"/>
    <w:rsid w:val="16D25A34"/>
    <w:rsid w:val="16D25D7A"/>
    <w:rsid w:val="16D27BFC"/>
    <w:rsid w:val="16D3116C"/>
    <w:rsid w:val="16D318A0"/>
    <w:rsid w:val="16D32296"/>
    <w:rsid w:val="16D32960"/>
    <w:rsid w:val="16D33EF7"/>
    <w:rsid w:val="16D36866"/>
    <w:rsid w:val="16D40007"/>
    <w:rsid w:val="16D43082"/>
    <w:rsid w:val="16D43419"/>
    <w:rsid w:val="16D44AE5"/>
    <w:rsid w:val="16D46213"/>
    <w:rsid w:val="16D50991"/>
    <w:rsid w:val="16D52CED"/>
    <w:rsid w:val="16D578B4"/>
    <w:rsid w:val="16D63BE0"/>
    <w:rsid w:val="16D67022"/>
    <w:rsid w:val="16D703F3"/>
    <w:rsid w:val="16D72F09"/>
    <w:rsid w:val="16D73273"/>
    <w:rsid w:val="16D732DC"/>
    <w:rsid w:val="16D74CB7"/>
    <w:rsid w:val="16D80E4D"/>
    <w:rsid w:val="16D8502D"/>
    <w:rsid w:val="16D922DD"/>
    <w:rsid w:val="16D927DD"/>
    <w:rsid w:val="16D936BB"/>
    <w:rsid w:val="16D944EC"/>
    <w:rsid w:val="16D95566"/>
    <w:rsid w:val="16D9603B"/>
    <w:rsid w:val="16DA4579"/>
    <w:rsid w:val="16DA633E"/>
    <w:rsid w:val="16DA6555"/>
    <w:rsid w:val="16DB1474"/>
    <w:rsid w:val="16DB47A7"/>
    <w:rsid w:val="16DB4B8B"/>
    <w:rsid w:val="16DB6E00"/>
    <w:rsid w:val="16DB7146"/>
    <w:rsid w:val="16DC051F"/>
    <w:rsid w:val="16DC22CD"/>
    <w:rsid w:val="16DC239F"/>
    <w:rsid w:val="16DC73D8"/>
    <w:rsid w:val="16DC74A2"/>
    <w:rsid w:val="16DD20EE"/>
    <w:rsid w:val="16DD5292"/>
    <w:rsid w:val="16DD7D26"/>
    <w:rsid w:val="16DE1BA1"/>
    <w:rsid w:val="16DE6045"/>
    <w:rsid w:val="16DE614F"/>
    <w:rsid w:val="16DE7DF3"/>
    <w:rsid w:val="16DF591A"/>
    <w:rsid w:val="16DF686D"/>
    <w:rsid w:val="16DF75DB"/>
    <w:rsid w:val="16DF75DF"/>
    <w:rsid w:val="16E00F36"/>
    <w:rsid w:val="16E020B9"/>
    <w:rsid w:val="16E11336"/>
    <w:rsid w:val="16E11692"/>
    <w:rsid w:val="16E13640"/>
    <w:rsid w:val="16E15370"/>
    <w:rsid w:val="16E15B36"/>
    <w:rsid w:val="16E15D39"/>
    <w:rsid w:val="16E21C56"/>
    <w:rsid w:val="16E22089"/>
    <w:rsid w:val="16E2322A"/>
    <w:rsid w:val="16E24AD0"/>
    <w:rsid w:val="16E3365C"/>
    <w:rsid w:val="16E33BDC"/>
    <w:rsid w:val="16E3540A"/>
    <w:rsid w:val="16E42699"/>
    <w:rsid w:val="16E43B33"/>
    <w:rsid w:val="16E4589F"/>
    <w:rsid w:val="16E46E3B"/>
    <w:rsid w:val="16E475CD"/>
    <w:rsid w:val="16E47FBB"/>
    <w:rsid w:val="16E54701"/>
    <w:rsid w:val="16E6100A"/>
    <w:rsid w:val="16E61D15"/>
    <w:rsid w:val="16E6314C"/>
    <w:rsid w:val="16E63CBD"/>
    <w:rsid w:val="16E64E73"/>
    <w:rsid w:val="16E724AA"/>
    <w:rsid w:val="16E75B59"/>
    <w:rsid w:val="16E82A20"/>
    <w:rsid w:val="16E834C7"/>
    <w:rsid w:val="16E85EA3"/>
    <w:rsid w:val="16E86EC4"/>
    <w:rsid w:val="16E87E01"/>
    <w:rsid w:val="16E93D73"/>
    <w:rsid w:val="16E93FD5"/>
    <w:rsid w:val="16E9419E"/>
    <w:rsid w:val="16E949A3"/>
    <w:rsid w:val="16E96798"/>
    <w:rsid w:val="16E96DE3"/>
    <w:rsid w:val="16E97EEA"/>
    <w:rsid w:val="16EA1297"/>
    <w:rsid w:val="16EA1FE6"/>
    <w:rsid w:val="16EB1614"/>
    <w:rsid w:val="16EB2510"/>
    <w:rsid w:val="16EB290E"/>
    <w:rsid w:val="16EB4254"/>
    <w:rsid w:val="16EB42BE"/>
    <w:rsid w:val="16EB64D5"/>
    <w:rsid w:val="16EB665A"/>
    <w:rsid w:val="16EB749B"/>
    <w:rsid w:val="16EC2D3F"/>
    <w:rsid w:val="16EC4F35"/>
    <w:rsid w:val="16EC5EDA"/>
    <w:rsid w:val="16EC78AF"/>
    <w:rsid w:val="16ED0036"/>
    <w:rsid w:val="16ED44DA"/>
    <w:rsid w:val="16ED47B4"/>
    <w:rsid w:val="16EE1DDF"/>
    <w:rsid w:val="16EE2DA7"/>
    <w:rsid w:val="16EE3A23"/>
    <w:rsid w:val="16EE6B6C"/>
    <w:rsid w:val="16EE794E"/>
    <w:rsid w:val="16EF0253"/>
    <w:rsid w:val="16EF08D9"/>
    <w:rsid w:val="16EF2001"/>
    <w:rsid w:val="16F0287C"/>
    <w:rsid w:val="16F036D9"/>
    <w:rsid w:val="16F037FF"/>
    <w:rsid w:val="16F07B27"/>
    <w:rsid w:val="16F11FEF"/>
    <w:rsid w:val="16F124A9"/>
    <w:rsid w:val="16F13135"/>
    <w:rsid w:val="16F14D68"/>
    <w:rsid w:val="16F1648C"/>
    <w:rsid w:val="16F21AF1"/>
    <w:rsid w:val="16F2398B"/>
    <w:rsid w:val="16F26523"/>
    <w:rsid w:val="16F337BC"/>
    <w:rsid w:val="16F37F00"/>
    <w:rsid w:val="16F413C5"/>
    <w:rsid w:val="16F420EF"/>
    <w:rsid w:val="16F45680"/>
    <w:rsid w:val="16F45869"/>
    <w:rsid w:val="16F472BB"/>
    <w:rsid w:val="16F54382"/>
    <w:rsid w:val="16F5513D"/>
    <w:rsid w:val="16F615E1"/>
    <w:rsid w:val="16F70E75"/>
    <w:rsid w:val="16F70EB5"/>
    <w:rsid w:val="16F71D85"/>
    <w:rsid w:val="16F72580"/>
    <w:rsid w:val="16F72C63"/>
    <w:rsid w:val="16F75866"/>
    <w:rsid w:val="16F75E0D"/>
    <w:rsid w:val="16F75FD3"/>
    <w:rsid w:val="16F75FEC"/>
    <w:rsid w:val="16F83709"/>
    <w:rsid w:val="16F83A74"/>
    <w:rsid w:val="16F84229"/>
    <w:rsid w:val="16F848EB"/>
    <w:rsid w:val="16F84AD4"/>
    <w:rsid w:val="16F90B6A"/>
    <w:rsid w:val="16F92017"/>
    <w:rsid w:val="16F9240A"/>
    <w:rsid w:val="16F97E54"/>
    <w:rsid w:val="16FA7142"/>
    <w:rsid w:val="16FA7663"/>
    <w:rsid w:val="16FB2DB5"/>
    <w:rsid w:val="16FC0C67"/>
    <w:rsid w:val="16FC27E7"/>
    <w:rsid w:val="16FC370E"/>
    <w:rsid w:val="16FC3DB9"/>
    <w:rsid w:val="16FC4606"/>
    <w:rsid w:val="16FC64CC"/>
    <w:rsid w:val="16FD2893"/>
    <w:rsid w:val="16FD28FE"/>
    <w:rsid w:val="16FE0496"/>
    <w:rsid w:val="16FE0F48"/>
    <w:rsid w:val="16FE2244"/>
    <w:rsid w:val="16FE3FF2"/>
    <w:rsid w:val="16FE57EF"/>
    <w:rsid w:val="16FF2B12"/>
    <w:rsid w:val="16FF7D6A"/>
    <w:rsid w:val="1700573C"/>
    <w:rsid w:val="17005FBC"/>
    <w:rsid w:val="17011F4B"/>
    <w:rsid w:val="170127AD"/>
    <w:rsid w:val="170138D4"/>
    <w:rsid w:val="17013F7E"/>
    <w:rsid w:val="170174CB"/>
    <w:rsid w:val="17017F86"/>
    <w:rsid w:val="17020F1A"/>
    <w:rsid w:val="17022652"/>
    <w:rsid w:val="17022B64"/>
    <w:rsid w:val="170240B9"/>
    <w:rsid w:val="1702731F"/>
    <w:rsid w:val="170275F7"/>
    <w:rsid w:val="17031069"/>
    <w:rsid w:val="17033CFE"/>
    <w:rsid w:val="17034583"/>
    <w:rsid w:val="1703785A"/>
    <w:rsid w:val="17040DFD"/>
    <w:rsid w:val="17044B01"/>
    <w:rsid w:val="17045380"/>
    <w:rsid w:val="1704682E"/>
    <w:rsid w:val="17051824"/>
    <w:rsid w:val="17054B14"/>
    <w:rsid w:val="170610F8"/>
    <w:rsid w:val="170644DB"/>
    <w:rsid w:val="17065534"/>
    <w:rsid w:val="1706559C"/>
    <w:rsid w:val="17066772"/>
    <w:rsid w:val="1706734A"/>
    <w:rsid w:val="17070D04"/>
    <w:rsid w:val="170768D4"/>
    <w:rsid w:val="17077B65"/>
    <w:rsid w:val="17081314"/>
    <w:rsid w:val="17084E70"/>
    <w:rsid w:val="170867EA"/>
    <w:rsid w:val="17086E4B"/>
    <w:rsid w:val="17090FA6"/>
    <w:rsid w:val="1709670F"/>
    <w:rsid w:val="170A0BE8"/>
    <w:rsid w:val="170A1CDF"/>
    <w:rsid w:val="170A3CDB"/>
    <w:rsid w:val="170A508C"/>
    <w:rsid w:val="170A6E3A"/>
    <w:rsid w:val="170B035E"/>
    <w:rsid w:val="170B2BB3"/>
    <w:rsid w:val="170B3638"/>
    <w:rsid w:val="170B5442"/>
    <w:rsid w:val="170B60FD"/>
    <w:rsid w:val="170B68AC"/>
    <w:rsid w:val="170C016C"/>
    <w:rsid w:val="170C4F92"/>
    <w:rsid w:val="170C52D7"/>
    <w:rsid w:val="170D06D9"/>
    <w:rsid w:val="170D0BC3"/>
    <w:rsid w:val="170D18AF"/>
    <w:rsid w:val="170D647E"/>
    <w:rsid w:val="170D692B"/>
    <w:rsid w:val="170D7BB4"/>
    <w:rsid w:val="170E0145"/>
    <w:rsid w:val="170E3922"/>
    <w:rsid w:val="170E3943"/>
    <w:rsid w:val="170E3AEC"/>
    <w:rsid w:val="170F29D1"/>
    <w:rsid w:val="170F44C1"/>
    <w:rsid w:val="170F61FF"/>
    <w:rsid w:val="171001C9"/>
    <w:rsid w:val="17101F77"/>
    <w:rsid w:val="17102CCD"/>
    <w:rsid w:val="17103D25"/>
    <w:rsid w:val="171064A8"/>
    <w:rsid w:val="17107B4D"/>
    <w:rsid w:val="1711641B"/>
    <w:rsid w:val="1712000D"/>
    <w:rsid w:val="17120E35"/>
    <w:rsid w:val="17121F4B"/>
    <w:rsid w:val="17125CEF"/>
    <w:rsid w:val="17125E68"/>
    <w:rsid w:val="1713189B"/>
    <w:rsid w:val="171323D2"/>
    <w:rsid w:val="171364CE"/>
    <w:rsid w:val="17140E1C"/>
    <w:rsid w:val="17143815"/>
    <w:rsid w:val="17143AF6"/>
    <w:rsid w:val="1714676E"/>
    <w:rsid w:val="17147226"/>
    <w:rsid w:val="17150D04"/>
    <w:rsid w:val="17150DEE"/>
    <w:rsid w:val="17155639"/>
    <w:rsid w:val="171566F5"/>
    <w:rsid w:val="1715758D"/>
    <w:rsid w:val="1716227E"/>
    <w:rsid w:val="17163A31"/>
    <w:rsid w:val="171657DF"/>
    <w:rsid w:val="17171557"/>
    <w:rsid w:val="17172FE8"/>
    <w:rsid w:val="17173305"/>
    <w:rsid w:val="1717346A"/>
    <w:rsid w:val="171750B3"/>
    <w:rsid w:val="17192340"/>
    <w:rsid w:val="17193D80"/>
    <w:rsid w:val="171952CF"/>
    <w:rsid w:val="1719776F"/>
    <w:rsid w:val="171A4BA4"/>
    <w:rsid w:val="171B1048"/>
    <w:rsid w:val="171B18AF"/>
    <w:rsid w:val="171B486D"/>
    <w:rsid w:val="171B5B86"/>
    <w:rsid w:val="171B605C"/>
    <w:rsid w:val="171B6D61"/>
    <w:rsid w:val="171C091C"/>
    <w:rsid w:val="171C0BCE"/>
    <w:rsid w:val="171C4DC0"/>
    <w:rsid w:val="171C5BB8"/>
    <w:rsid w:val="171C6B53"/>
    <w:rsid w:val="171C753F"/>
    <w:rsid w:val="171C7831"/>
    <w:rsid w:val="171D0CC1"/>
    <w:rsid w:val="171D2151"/>
    <w:rsid w:val="171D2DBB"/>
    <w:rsid w:val="171D3C14"/>
    <w:rsid w:val="171E02A0"/>
    <w:rsid w:val="171E1B5A"/>
    <w:rsid w:val="171E28E6"/>
    <w:rsid w:val="171E2B44"/>
    <w:rsid w:val="171E4694"/>
    <w:rsid w:val="171E6442"/>
    <w:rsid w:val="171F1742"/>
    <w:rsid w:val="171F273E"/>
    <w:rsid w:val="171F2CC3"/>
    <w:rsid w:val="171F3648"/>
    <w:rsid w:val="171F3B87"/>
    <w:rsid w:val="171F56B8"/>
    <w:rsid w:val="1720040C"/>
    <w:rsid w:val="1720354D"/>
    <w:rsid w:val="1720407E"/>
    <w:rsid w:val="172049DA"/>
    <w:rsid w:val="17206778"/>
    <w:rsid w:val="17206798"/>
    <w:rsid w:val="17206820"/>
    <w:rsid w:val="17206A5B"/>
    <w:rsid w:val="17210924"/>
    <w:rsid w:val="172113DB"/>
    <w:rsid w:val="172123D6"/>
    <w:rsid w:val="17214184"/>
    <w:rsid w:val="17215F32"/>
    <w:rsid w:val="172174DA"/>
    <w:rsid w:val="17223FB8"/>
    <w:rsid w:val="17231CAA"/>
    <w:rsid w:val="17231F8F"/>
    <w:rsid w:val="1723303B"/>
    <w:rsid w:val="17236226"/>
    <w:rsid w:val="17237EFC"/>
    <w:rsid w:val="172441DF"/>
    <w:rsid w:val="1724536C"/>
    <w:rsid w:val="1724541E"/>
    <w:rsid w:val="17245FC5"/>
    <w:rsid w:val="1725256A"/>
    <w:rsid w:val="1725282F"/>
    <w:rsid w:val="17256572"/>
    <w:rsid w:val="172577D0"/>
    <w:rsid w:val="172608C9"/>
    <w:rsid w:val="1726179A"/>
    <w:rsid w:val="17261C9B"/>
    <w:rsid w:val="17264399"/>
    <w:rsid w:val="17265044"/>
    <w:rsid w:val="17275FC5"/>
    <w:rsid w:val="17276850"/>
    <w:rsid w:val="172779EC"/>
    <w:rsid w:val="17282E39"/>
    <w:rsid w:val="17283764"/>
    <w:rsid w:val="1728413E"/>
    <w:rsid w:val="1728513F"/>
    <w:rsid w:val="17285513"/>
    <w:rsid w:val="172856FC"/>
    <w:rsid w:val="17285DD4"/>
    <w:rsid w:val="17293C4D"/>
    <w:rsid w:val="172A0249"/>
    <w:rsid w:val="172A128B"/>
    <w:rsid w:val="172A5540"/>
    <w:rsid w:val="172B13F4"/>
    <w:rsid w:val="172B23FC"/>
    <w:rsid w:val="172B5F11"/>
    <w:rsid w:val="172B6DB1"/>
    <w:rsid w:val="172B786A"/>
    <w:rsid w:val="172C00B5"/>
    <w:rsid w:val="172C0568"/>
    <w:rsid w:val="172C5003"/>
    <w:rsid w:val="172C5BE5"/>
    <w:rsid w:val="172C79D6"/>
    <w:rsid w:val="172D1C46"/>
    <w:rsid w:val="172D2B29"/>
    <w:rsid w:val="172D3AEA"/>
    <w:rsid w:val="172D48D7"/>
    <w:rsid w:val="172D7075"/>
    <w:rsid w:val="172D70F6"/>
    <w:rsid w:val="172E14F7"/>
    <w:rsid w:val="172E7B27"/>
    <w:rsid w:val="172F0122"/>
    <w:rsid w:val="172F064F"/>
    <w:rsid w:val="172F1957"/>
    <w:rsid w:val="172F2098"/>
    <w:rsid w:val="172F6458"/>
    <w:rsid w:val="172F68A1"/>
    <w:rsid w:val="17303D2C"/>
    <w:rsid w:val="17304BCD"/>
    <w:rsid w:val="17305EB9"/>
    <w:rsid w:val="17306175"/>
    <w:rsid w:val="173105C7"/>
    <w:rsid w:val="17311AB8"/>
    <w:rsid w:val="17312619"/>
    <w:rsid w:val="173165E0"/>
    <w:rsid w:val="1732013F"/>
    <w:rsid w:val="17321EED"/>
    <w:rsid w:val="17323886"/>
    <w:rsid w:val="17324372"/>
    <w:rsid w:val="17324C09"/>
    <w:rsid w:val="17330822"/>
    <w:rsid w:val="17332EE7"/>
    <w:rsid w:val="17341831"/>
    <w:rsid w:val="17342109"/>
    <w:rsid w:val="1734362B"/>
    <w:rsid w:val="17344377"/>
    <w:rsid w:val="17345597"/>
    <w:rsid w:val="17345C65"/>
    <w:rsid w:val="17355947"/>
    <w:rsid w:val="173619DD"/>
    <w:rsid w:val="17364C6C"/>
    <w:rsid w:val="17366D21"/>
    <w:rsid w:val="17366DFB"/>
    <w:rsid w:val="173703AB"/>
    <w:rsid w:val="17372006"/>
    <w:rsid w:val="173739A8"/>
    <w:rsid w:val="17373CD1"/>
    <w:rsid w:val="17375756"/>
    <w:rsid w:val="17375929"/>
    <w:rsid w:val="17377504"/>
    <w:rsid w:val="173824BA"/>
    <w:rsid w:val="173826EF"/>
    <w:rsid w:val="17382D13"/>
    <w:rsid w:val="173840BF"/>
    <w:rsid w:val="17384CA3"/>
    <w:rsid w:val="173952EA"/>
    <w:rsid w:val="173B1F91"/>
    <w:rsid w:val="173B2B09"/>
    <w:rsid w:val="173B3498"/>
    <w:rsid w:val="173C095F"/>
    <w:rsid w:val="173C0DFD"/>
    <w:rsid w:val="173C0FBE"/>
    <w:rsid w:val="173C2A65"/>
    <w:rsid w:val="173C2D6C"/>
    <w:rsid w:val="173C3348"/>
    <w:rsid w:val="173C4DB9"/>
    <w:rsid w:val="173C53C3"/>
    <w:rsid w:val="173C5504"/>
    <w:rsid w:val="173C5798"/>
    <w:rsid w:val="173C7621"/>
    <w:rsid w:val="173C7BB2"/>
    <w:rsid w:val="173D2D0B"/>
    <w:rsid w:val="173D3757"/>
    <w:rsid w:val="173D5655"/>
    <w:rsid w:val="173D6129"/>
    <w:rsid w:val="173E0892"/>
    <w:rsid w:val="173E7151"/>
    <w:rsid w:val="173F179F"/>
    <w:rsid w:val="173F405B"/>
    <w:rsid w:val="173F5F38"/>
    <w:rsid w:val="17400DEE"/>
    <w:rsid w:val="17402D7C"/>
    <w:rsid w:val="174054EB"/>
    <w:rsid w:val="17407F12"/>
    <w:rsid w:val="17412AE6"/>
    <w:rsid w:val="174165D4"/>
    <w:rsid w:val="17416EF8"/>
    <w:rsid w:val="17417AEF"/>
    <w:rsid w:val="17417CD8"/>
    <w:rsid w:val="17420833"/>
    <w:rsid w:val="1742394D"/>
    <w:rsid w:val="17424B50"/>
    <w:rsid w:val="1742500F"/>
    <w:rsid w:val="174340FA"/>
    <w:rsid w:val="17436376"/>
    <w:rsid w:val="17443AEB"/>
    <w:rsid w:val="17443E87"/>
    <w:rsid w:val="1744444A"/>
    <w:rsid w:val="17445E0C"/>
    <w:rsid w:val="17447081"/>
    <w:rsid w:val="17447BEC"/>
    <w:rsid w:val="17451C21"/>
    <w:rsid w:val="1745678C"/>
    <w:rsid w:val="174568EA"/>
    <w:rsid w:val="174572C9"/>
    <w:rsid w:val="174574DA"/>
    <w:rsid w:val="17457E73"/>
    <w:rsid w:val="1746135D"/>
    <w:rsid w:val="17463711"/>
    <w:rsid w:val="17465999"/>
    <w:rsid w:val="1746733B"/>
    <w:rsid w:val="17467C1C"/>
    <w:rsid w:val="17470314"/>
    <w:rsid w:val="17477CBF"/>
    <w:rsid w:val="17481711"/>
    <w:rsid w:val="1748322E"/>
    <w:rsid w:val="17485998"/>
    <w:rsid w:val="17486AEE"/>
    <w:rsid w:val="17487963"/>
    <w:rsid w:val="174925D2"/>
    <w:rsid w:val="17492C96"/>
    <w:rsid w:val="17494B1A"/>
    <w:rsid w:val="174957F5"/>
    <w:rsid w:val="174979AF"/>
    <w:rsid w:val="174A116E"/>
    <w:rsid w:val="174A11DF"/>
    <w:rsid w:val="174A36DB"/>
    <w:rsid w:val="174A4E10"/>
    <w:rsid w:val="174A5489"/>
    <w:rsid w:val="174A594D"/>
    <w:rsid w:val="174A659D"/>
    <w:rsid w:val="174A6AE6"/>
    <w:rsid w:val="174B04B0"/>
    <w:rsid w:val="174B25FE"/>
    <w:rsid w:val="174B2FAF"/>
    <w:rsid w:val="174B43EE"/>
    <w:rsid w:val="174B500C"/>
    <w:rsid w:val="174C1201"/>
    <w:rsid w:val="174C1B02"/>
    <w:rsid w:val="174C51CF"/>
    <w:rsid w:val="174C71B3"/>
    <w:rsid w:val="174D3432"/>
    <w:rsid w:val="174D4F1E"/>
    <w:rsid w:val="174D4F79"/>
    <w:rsid w:val="174D6D27"/>
    <w:rsid w:val="174E1E12"/>
    <w:rsid w:val="174E2EB5"/>
    <w:rsid w:val="174E4048"/>
    <w:rsid w:val="174E5A64"/>
    <w:rsid w:val="174E6D45"/>
    <w:rsid w:val="174E7B01"/>
    <w:rsid w:val="174F0CF1"/>
    <w:rsid w:val="174F1256"/>
    <w:rsid w:val="174F240F"/>
    <w:rsid w:val="174F2A9F"/>
    <w:rsid w:val="174F484D"/>
    <w:rsid w:val="17503541"/>
    <w:rsid w:val="1750713E"/>
    <w:rsid w:val="175147DC"/>
    <w:rsid w:val="17514A97"/>
    <w:rsid w:val="17516AB8"/>
    <w:rsid w:val="1752258F"/>
    <w:rsid w:val="1752433D"/>
    <w:rsid w:val="17534D2F"/>
    <w:rsid w:val="175400B6"/>
    <w:rsid w:val="1754171E"/>
    <w:rsid w:val="17541F39"/>
    <w:rsid w:val="17545423"/>
    <w:rsid w:val="17547F0E"/>
    <w:rsid w:val="175507F4"/>
    <w:rsid w:val="17550C58"/>
    <w:rsid w:val="175519FD"/>
    <w:rsid w:val="17562080"/>
    <w:rsid w:val="17571954"/>
    <w:rsid w:val="17577BA6"/>
    <w:rsid w:val="17580A4C"/>
    <w:rsid w:val="17581A33"/>
    <w:rsid w:val="1758223C"/>
    <w:rsid w:val="17584550"/>
    <w:rsid w:val="17586681"/>
    <w:rsid w:val="17591B70"/>
    <w:rsid w:val="17594C6B"/>
    <w:rsid w:val="17595048"/>
    <w:rsid w:val="17595BBB"/>
    <w:rsid w:val="17595FA8"/>
    <w:rsid w:val="175974A4"/>
    <w:rsid w:val="175A30B0"/>
    <w:rsid w:val="175A6132"/>
    <w:rsid w:val="175B1444"/>
    <w:rsid w:val="175B1D53"/>
    <w:rsid w:val="175B20F3"/>
    <w:rsid w:val="175B44EC"/>
    <w:rsid w:val="175B5279"/>
    <w:rsid w:val="175B58E8"/>
    <w:rsid w:val="175B71CD"/>
    <w:rsid w:val="175B7522"/>
    <w:rsid w:val="175C006F"/>
    <w:rsid w:val="175C261D"/>
    <w:rsid w:val="175C3583"/>
    <w:rsid w:val="175C51BC"/>
    <w:rsid w:val="175D4FCA"/>
    <w:rsid w:val="175D5E07"/>
    <w:rsid w:val="175E0A74"/>
    <w:rsid w:val="175E0F34"/>
    <w:rsid w:val="175E4539"/>
    <w:rsid w:val="175E7186"/>
    <w:rsid w:val="175F30D6"/>
    <w:rsid w:val="175F3848"/>
    <w:rsid w:val="175F4BDB"/>
    <w:rsid w:val="175F6B66"/>
    <w:rsid w:val="17600449"/>
    <w:rsid w:val="17603394"/>
    <w:rsid w:val="17603D91"/>
    <w:rsid w:val="17603E2D"/>
    <w:rsid w:val="176045B2"/>
    <w:rsid w:val="17604AD5"/>
    <w:rsid w:val="17604CAC"/>
    <w:rsid w:val="17606A5A"/>
    <w:rsid w:val="17607920"/>
    <w:rsid w:val="1761214F"/>
    <w:rsid w:val="176127D3"/>
    <w:rsid w:val="176147D2"/>
    <w:rsid w:val="17620A24"/>
    <w:rsid w:val="17620E32"/>
    <w:rsid w:val="176302F9"/>
    <w:rsid w:val="176316D7"/>
    <w:rsid w:val="17632B81"/>
    <w:rsid w:val="1763479D"/>
    <w:rsid w:val="17636581"/>
    <w:rsid w:val="17642126"/>
    <w:rsid w:val="176443D5"/>
    <w:rsid w:val="176457FC"/>
    <w:rsid w:val="17646F2B"/>
    <w:rsid w:val="1764767C"/>
    <w:rsid w:val="17647D69"/>
    <w:rsid w:val="17650515"/>
    <w:rsid w:val="176513BA"/>
    <w:rsid w:val="17654C8A"/>
    <w:rsid w:val="1765776A"/>
    <w:rsid w:val="176608B3"/>
    <w:rsid w:val="17667DE9"/>
    <w:rsid w:val="17673E34"/>
    <w:rsid w:val="1767428D"/>
    <w:rsid w:val="17674898"/>
    <w:rsid w:val="17674D95"/>
    <w:rsid w:val="17677D83"/>
    <w:rsid w:val="17680005"/>
    <w:rsid w:val="17683B61"/>
    <w:rsid w:val="176848A2"/>
    <w:rsid w:val="1768590F"/>
    <w:rsid w:val="17687B23"/>
    <w:rsid w:val="176952D6"/>
    <w:rsid w:val="176A0025"/>
    <w:rsid w:val="176A0970"/>
    <w:rsid w:val="176A1687"/>
    <w:rsid w:val="176A6008"/>
    <w:rsid w:val="176B01E9"/>
    <w:rsid w:val="176B04A7"/>
    <w:rsid w:val="176B1BE8"/>
    <w:rsid w:val="176B2E5C"/>
    <w:rsid w:val="176B5C84"/>
    <w:rsid w:val="176B7B58"/>
    <w:rsid w:val="176C179B"/>
    <w:rsid w:val="176C18A3"/>
    <w:rsid w:val="176C21C9"/>
    <w:rsid w:val="176C53FF"/>
    <w:rsid w:val="176C550A"/>
    <w:rsid w:val="176C76D7"/>
    <w:rsid w:val="176D05DF"/>
    <w:rsid w:val="176D1177"/>
    <w:rsid w:val="176D7840"/>
    <w:rsid w:val="176E11BA"/>
    <w:rsid w:val="176E561B"/>
    <w:rsid w:val="176F2A5E"/>
    <w:rsid w:val="176F3141"/>
    <w:rsid w:val="176F4EEF"/>
    <w:rsid w:val="17703571"/>
    <w:rsid w:val="17705BE0"/>
    <w:rsid w:val="17706427"/>
    <w:rsid w:val="177100D5"/>
    <w:rsid w:val="17710C68"/>
    <w:rsid w:val="17712A16"/>
    <w:rsid w:val="17715A5A"/>
    <w:rsid w:val="177218ED"/>
    <w:rsid w:val="177249E0"/>
    <w:rsid w:val="177257A9"/>
    <w:rsid w:val="17726527"/>
    <w:rsid w:val="177272F9"/>
    <w:rsid w:val="1772782D"/>
    <w:rsid w:val="17731C50"/>
    <w:rsid w:val="177331F7"/>
    <w:rsid w:val="177356E5"/>
    <w:rsid w:val="17740758"/>
    <w:rsid w:val="1774180A"/>
    <w:rsid w:val="17742506"/>
    <w:rsid w:val="17744267"/>
    <w:rsid w:val="1775412A"/>
    <w:rsid w:val="1775586B"/>
    <w:rsid w:val="17756E21"/>
    <w:rsid w:val="1776002C"/>
    <w:rsid w:val="1776627E"/>
    <w:rsid w:val="17767219"/>
    <w:rsid w:val="1777018B"/>
    <w:rsid w:val="17771FF6"/>
    <w:rsid w:val="17772F34"/>
    <w:rsid w:val="17774FC3"/>
    <w:rsid w:val="17776D7D"/>
    <w:rsid w:val="17777E94"/>
    <w:rsid w:val="17780248"/>
    <w:rsid w:val="17780BC0"/>
    <w:rsid w:val="17790BC2"/>
    <w:rsid w:val="177915B5"/>
    <w:rsid w:val="1779288B"/>
    <w:rsid w:val="17794AE2"/>
    <w:rsid w:val="17797B1C"/>
    <w:rsid w:val="177A18AE"/>
    <w:rsid w:val="177A2F32"/>
    <w:rsid w:val="177A554E"/>
    <w:rsid w:val="177A602E"/>
    <w:rsid w:val="177B094C"/>
    <w:rsid w:val="177B1AE6"/>
    <w:rsid w:val="177B1D3A"/>
    <w:rsid w:val="177B3894"/>
    <w:rsid w:val="177C13BA"/>
    <w:rsid w:val="177C63B5"/>
    <w:rsid w:val="177D0A50"/>
    <w:rsid w:val="177D3FFD"/>
    <w:rsid w:val="177D4D70"/>
    <w:rsid w:val="177E005E"/>
    <w:rsid w:val="177E0AD5"/>
    <w:rsid w:val="177E10C0"/>
    <w:rsid w:val="177E15D6"/>
    <w:rsid w:val="177E1BD9"/>
    <w:rsid w:val="177E373B"/>
    <w:rsid w:val="177E5132"/>
    <w:rsid w:val="177F5569"/>
    <w:rsid w:val="17801264"/>
    <w:rsid w:val="17801731"/>
    <w:rsid w:val="178017E9"/>
    <w:rsid w:val="17804DE4"/>
    <w:rsid w:val="17807D30"/>
    <w:rsid w:val="1781202E"/>
    <w:rsid w:val="17813D72"/>
    <w:rsid w:val="17815895"/>
    <w:rsid w:val="178169D1"/>
    <w:rsid w:val="178175A5"/>
    <w:rsid w:val="17820296"/>
    <w:rsid w:val="17821394"/>
    <w:rsid w:val="17823706"/>
    <w:rsid w:val="17824C23"/>
    <w:rsid w:val="1782598D"/>
    <w:rsid w:val="17826315"/>
    <w:rsid w:val="1783099B"/>
    <w:rsid w:val="17830B14"/>
    <w:rsid w:val="1783470C"/>
    <w:rsid w:val="17836BED"/>
    <w:rsid w:val="1784139E"/>
    <w:rsid w:val="1784278F"/>
    <w:rsid w:val="17843DDA"/>
    <w:rsid w:val="17844225"/>
    <w:rsid w:val="17847E6C"/>
    <w:rsid w:val="17854713"/>
    <w:rsid w:val="178559DA"/>
    <w:rsid w:val="17856493"/>
    <w:rsid w:val="178564C1"/>
    <w:rsid w:val="17862598"/>
    <w:rsid w:val="17867B69"/>
    <w:rsid w:val="178700D3"/>
    <w:rsid w:val="1787048B"/>
    <w:rsid w:val="1787550A"/>
    <w:rsid w:val="1787607A"/>
    <w:rsid w:val="178766DD"/>
    <w:rsid w:val="1787764A"/>
    <w:rsid w:val="17877C80"/>
    <w:rsid w:val="17880A68"/>
    <w:rsid w:val="178815BB"/>
    <w:rsid w:val="17884203"/>
    <w:rsid w:val="178852C2"/>
    <w:rsid w:val="17885FB1"/>
    <w:rsid w:val="17887D5F"/>
    <w:rsid w:val="17896ADB"/>
    <w:rsid w:val="178971DD"/>
    <w:rsid w:val="178A02B5"/>
    <w:rsid w:val="178A0586"/>
    <w:rsid w:val="178A120B"/>
    <w:rsid w:val="178A1D29"/>
    <w:rsid w:val="178A2C08"/>
    <w:rsid w:val="178A7BCA"/>
    <w:rsid w:val="178A7F7B"/>
    <w:rsid w:val="178B1098"/>
    <w:rsid w:val="178C4589"/>
    <w:rsid w:val="178C51D8"/>
    <w:rsid w:val="178C5AA1"/>
    <w:rsid w:val="178D1819"/>
    <w:rsid w:val="178D23B1"/>
    <w:rsid w:val="178D26AD"/>
    <w:rsid w:val="178D2A00"/>
    <w:rsid w:val="178D35C8"/>
    <w:rsid w:val="178D3AF2"/>
    <w:rsid w:val="178D4D46"/>
    <w:rsid w:val="178D5376"/>
    <w:rsid w:val="178D5649"/>
    <w:rsid w:val="178D5F28"/>
    <w:rsid w:val="178E57EF"/>
    <w:rsid w:val="178F1D45"/>
    <w:rsid w:val="178F5592"/>
    <w:rsid w:val="178F68C1"/>
    <w:rsid w:val="1790052E"/>
    <w:rsid w:val="17901455"/>
    <w:rsid w:val="179048F8"/>
    <w:rsid w:val="17906A64"/>
    <w:rsid w:val="179078A2"/>
    <w:rsid w:val="17910594"/>
    <w:rsid w:val="1791130A"/>
    <w:rsid w:val="17912862"/>
    <w:rsid w:val="179130B8"/>
    <w:rsid w:val="17914E66"/>
    <w:rsid w:val="179208A5"/>
    <w:rsid w:val="1792209E"/>
    <w:rsid w:val="17922A02"/>
    <w:rsid w:val="17923DF2"/>
    <w:rsid w:val="17924AD4"/>
    <w:rsid w:val="17924D93"/>
    <w:rsid w:val="179254C7"/>
    <w:rsid w:val="17933BA3"/>
    <w:rsid w:val="17935082"/>
    <w:rsid w:val="1793653B"/>
    <w:rsid w:val="17937E21"/>
    <w:rsid w:val="17940A8B"/>
    <w:rsid w:val="17942BA8"/>
    <w:rsid w:val="17943842"/>
    <w:rsid w:val="17944022"/>
    <w:rsid w:val="17946704"/>
    <w:rsid w:val="17947957"/>
    <w:rsid w:val="17962929"/>
    <w:rsid w:val="17963BE0"/>
    <w:rsid w:val="179662E5"/>
    <w:rsid w:val="17967128"/>
    <w:rsid w:val="179756DF"/>
    <w:rsid w:val="17976034"/>
    <w:rsid w:val="179761F4"/>
    <w:rsid w:val="179800E5"/>
    <w:rsid w:val="17981E36"/>
    <w:rsid w:val="17982698"/>
    <w:rsid w:val="17985D2C"/>
    <w:rsid w:val="1798728D"/>
    <w:rsid w:val="179901BE"/>
    <w:rsid w:val="17991F6C"/>
    <w:rsid w:val="1799263B"/>
    <w:rsid w:val="179929C8"/>
    <w:rsid w:val="17994855"/>
    <w:rsid w:val="179961E9"/>
    <w:rsid w:val="17996410"/>
    <w:rsid w:val="17996424"/>
    <w:rsid w:val="179A5854"/>
    <w:rsid w:val="179B0CE1"/>
    <w:rsid w:val="179B1650"/>
    <w:rsid w:val="179B6438"/>
    <w:rsid w:val="179B7A92"/>
    <w:rsid w:val="179C0E65"/>
    <w:rsid w:val="179C0F6B"/>
    <w:rsid w:val="179C0FCF"/>
    <w:rsid w:val="179C380B"/>
    <w:rsid w:val="179C50B3"/>
    <w:rsid w:val="179D0E69"/>
    <w:rsid w:val="179D1A5D"/>
    <w:rsid w:val="179D7CAF"/>
    <w:rsid w:val="179E3336"/>
    <w:rsid w:val="179E3A27"/>
    <w:rsid w:val="179E4590"/>
    <w:rsid w:val="179E5F3A"/>
    <w:rsid w:val="179F2097"/>
    <w:rsid w:val="179F74D1"/>
    <w:rsid w:val="17A02A16"/>
    <w:rsid w:val="17A032FB"/>
    <w:rsid w:val="17A06A4B"/>
    <w:rsid w:val="17A0779F"/>
    <w:rsid w:val="17A10E21"/>
    <w:rsid w:val="17A133F8"/>
    <w:rsid w:val="17A20BF0"/>
    <w:rsid w:val="17A21326"/>
    <w:rsid w:val="17A24888"/>
    <w:rsid w:val="17A252C5"/>
    <w:rsid w:val="17A27073"/>
    <w:rsid w:val="17A27A29"/>
    <w:rsid w:val="17A316A0"/>
    <w:rsid w:val="17A32B01"/>
    <w:rsid w:val="17A34B99"/>
    <w:rsid w:val="17A41CA7"/>
    <w:rsid w:val="17A422C5"/>
    <w:rsid w:val="17A423DF"/>
    <w:rsid w:val="17A42AB9"/>
    <w:rsid w:val="17A44892"/>
    <w:rsid w:val="17A46A9A"/>
    <w:rsid w:val="17A471A8"/>
    <w:rsid w:val="17A513B0"/>
    <w:rsid w:val="17A52F77"/>
    <w:rsid w:val="17A56B63"/>
    <w:rsid w:val="17A6096F"/>
    <w:rsid w:val="17A62627"/>
    <w:rsid w:val="17A633A6"/>
    <w:rsid w:val="17A635EF"/>
    <w:rsid w:val="17A64C63"/>
    <w:rsid w:val="17A67323"/>
    <w:rsid w:val="17A70B2D"/>
    <w:rsid w:val="17A728DB"/>
    <w:rsid w:val="17A72B2F"/>
    <w:rsid w:val="17A7333A"/>
    <w:rsid w:val="17A73D2B"/>
    <w:rsid w:val="17A74689"/>
    <w:rsid w:val="17A75B29"/>
    <w:rsid w:val="17A76437"/>
    <w:rsid w:val="17A77A0D"/>
    <w:rsid w:val="17A806FA"/>
    <w:rsid w:val="17A81CA2"/>
    <w:rsid w:val="17A81FDD"/>
    <w:rsid w:val="17A821AF"/>
    <w:rsid w:val="17A82E28"/>
    <w:rsid w:val="17A8500A"/>
    <w:rsid w:val="17A87973"/>
    <w:rsid w:val="17A9061F"/>
    <w:rsid w:val="17A91366"/>
    <w:rsid w:val="17A94EDD"/>
    <w:rsid w:val="17A97A97"/>
    <w:rsid w:val="17AA1A8E"/>
    <w:rsid w:val="17AA23CB"/>
    <w:rsid w:val="17AA3546"/>
    <w:rsid w:val="17AA49F4"/>
    <w:rsid w:val="17AA5BEB"/>
    <w:rsid w:val="17AA5F28"/>
    <w:rsid w:val="17AA6EC0"/>
    <w:rsid w:val="17AB574A"/>
    <w:rsid w:val="17AC17A9"/>
    <w:rsid w:val="17AC2EC2"/>
    <w:rsid w:val="17AC4735"/>
    <w:rsid w:val="17AC51BC"/>
    <w:rsid w:val="17AC6222"/>
    <w:rsid w:val="17AC6DCC"/>
    <w:rsid w:val="17AD199B"/>
    <w:rsid w:val="17AD3C23"/>
    <w:rsid w:val="17AD452C"/>
    <w:rsid w:val="17AD6819"/>
    <w:rsid w:val="17AD77C6"/>
    <w:rsid w:val="17AE1A29"/>
    <w:rsid w:val="17AE2E2B"/>
    <w:rsid w:val="17AE3416"/>
    <w:rsid w:val="17AE3C6A"/>
    <w:rsid w:val="17AE59FC"/>
    <w:rsid w:val="17AE5F67"/>
    <w:rsid w:val="17AF1881"/>
    <w:rsid w:val="17AF2403"/>
    <w:rsid w:val="17AF353E"/>
    <w:rsid w:val="17AF3703"/>
    <w:rsid w:val="17AF6A53"/>
    <w:rsid w:val="17AF79E2"/>
    <w:rsid w:val="17B03B55"/>
    <w:rsid w:val="17B0557A"/>
    <w:rsid w:val="17B117AC"/>
    <w:rsid w:val="17B12250"/>
    <w:rsid w:val="17B1266B"/>
    <w:rsid w:val="17B130A1"/>
    <w:rsid w:val="17B1375A"/>
    <w:rsid w:val="17B1397C"/>
    <w:rsid w:val="17B15508"/>
    <w:rsid w:val="17B26172"/>
    <w:rsid w:val="17B31280"/>
    <w:rsid w:val="17B31D26"/>
    <w:rsid w:val="17B32528"/>
    <w:rsid w:val="17B34E15"/>
    <w:rsid w:val="17B35A6E"/>
    <w:rsid w:val="17B36140"/>
    <w:rsid w:val="17B364FC"/>
    <w:rsid w:val="17B374D2"/>
    <w:rsid w:val="17B37F08"/>
    <w:rsid w:val="17B4038E"/>
    <w:rsid w:val="17B40B54"/>
    <w:rsid w:val="17B40B68"/>
    <w:rsid w:val="17B4186E"/>
    <w:rsid w:val="17B44B93"/>
    <w:rsid w:val="17B44FF8"/>
    <w:rsid w:val="17B46823"/>
    <w:rsid w:val="17B472DC"/>
    <w:rsid w:val="17B52CFE"/>
    <w:rsid w:val="17B60D70"/>
    <w:rsid w:val="17B64B4E"/>
    <w:rsid w:val="17B720C1"/>
    <w:rsid w:val="17B72554"/>
    <w:rsid w:val="17B7653C"/>
    <w:rsid w:val="17B770BF"/>
    <w:rsid w:val="17B80644"/>
    <w:rsid w:val="17B84401"/>
    <w:rsid w:val="17B84AE8"/>
    <w:rsid w:val="17B86896"/>
    <w:rsid w:val="17B943BD"/>
    <w:rsid w:val="17B9616B"/>
    <w:rsid w:val="17B97C71"/>
    <w:rsid w:val="17B97F3E"/>
    <w:rsid w:val="17BA5055"/>
    <w:rsid w:val="17BB04EF"/>
    <w:rsid w:val="17BB06D7"/>
    <w:rsid w:val="17BB2D9E"/>
    <w:rsid w:val="17BB323B"/>
    <w:rsid w:val="17BB3400"/>
    <w:rsid w:val="17BB3498"/>
    <w:rsid w:val="17BB6B70"/>
    <w:rsid w:val="17BB7353"/>
    <w:rsid w:val="17BC268F"/>
    <w:rsid w:val="17BC2BE0"/>
    <w:rsid w:val="17BC322B"/>
    <w:rsid w:val="17BC3DDA"/>
    <w:rsid w:val="17BC4C3B"/>
    <w:rsid w:val="17BC74CE"/>
    <w:rsid w:val="17BC7FE4"/>
    <w:rsid w:val="17BD0772"/>
    <w:rsid w:val="17BD1744"/>
    <w:rsid w:val="17BD1A42"/>
    <w:rsid w:val="17BD3EAD"/>
    <w:rsid w:val="17BE7C25"/>
    <w:rsid w:val="17BF5E77"/>
    <w:rsid w:val="17C0406F"/>
    <w:rsid w:val="17C04DFC"/>
    <w:rsid w:val="17C0574B"/>
    <w:rsid w:val="17C16AD0"/>
    <w:rsid w:val="17C16C1E"/>
    <w:rsid w:val="17C2076D"/>
    <w:rsid w:val="17C224DD"/>
    <w:rsid w:val="17C24A3B"/>
    <w:rsid w:val="17C24C7B"/>
    <w:rsid w:val="17C34ABA"/>
    <w:rsid w:val="17C3523B"/>
    <w:rsid w:val="17C36FE9"/>
    <w:rsid w:val="17C43A64"/>
    <w:rsid w:val="17C442F0"/>
    <w:rsid w:val="17C510B2"/>
    <w:rsid w:val="17C57205"/>
    <w:rsid w:val="17C57C22"/>
    <w:rsid w:val="17C62542"/>
    <w:rsid w:val="17C62687"/>
    <w:rsid w:val="17C6325F"/>
    <w:rsid w:val="17C70888"/>
    <w:rsid w:val="17C76AD9"/>
    <w:rsid w:val="17C80043"/>
    <w:rsid w:val="17C804C1"/>
    <w:rsid w:val="17C842D2"/>
    <w:rsid w:val="17C96EC0"/>
    <w:rsid w:val="17CA2F4F"/>
    <w:rsid w:val="17CA4E4A"/>
    <w:rsid w:val="17CA65CA"/>
    <w:rsid w:val="17CA6712"/>
    <w:rsid w:val="17CB1E52"/>
    <w:rsid w:val="17CB4640"/>
    <w:rsid w:val="17CB4F24"/>
    <w:rsid w:val="17CC0594"/>
    <w:rsid w:val="17CC0AA6"/>
    <w:rsid w:val="17CC2342"/>
    <w:rsid w:val="17CC29CB"/>
    <w:rsid w:val="17CC2ED5"/>
    <w:rsid w:val="17CC40F0"/>
    <w:rsid w:val="17CC4AA3"/>
    <w:rsid w:val="17CC63B4"/>
    <w:rsid w:val="17CC718B"/>
    <w:rsid w:val="17CD30A4"/>
    <w:rsid w:val="17CD3106"/>
    <w:rsid w:val="17CD34AE"/>
    <w:rsid w:val="17CD4440"/>
    <w:rsid w:val="17CE101E"/>
    <w:rsid w:val="17CE7E68"/>
    <w:rsid w:val="17CF1718"/>
    <w:rsid w:val="17CF1CAA"/>
    <w:rsid w:val="17CF1E32"/>
    <w:rsid w:val="17CF3BE0"/>
    <w:rsid w:val="17CF4F07"/>
    <w:rsid w:val="17CF598E"/>
    <w:rsid w:val="17CF5F45"/>
    <w:rsid w:val="17CF72FC"/>
    <w:rsid w:val="17CF7CA3"/>
    <w:rsid w:val="17D03B5E"/>
    <w:rsid w:val="17D03FC7"/>
    <w:rsid w:val="17D073C4"/>
    <w:rsid w:val="17D07E1B"/>
    <w:rsid w:val="17D10AE9"/>
    <w:rsid w:val="17D11706"/>
    <w:rsid w:val="17D14A92"/>
    <w:rsid w:val="17D15145"/>
    <w:rsid w:val="17D15BAA"/>
    <w:rsid w:val="17D207D3"/>
    <w:rsid w:val="17D226D6"/>
    <w:rsid w:val="17D2333F"/>
    <w:rsid w:val="17D25018"/>
    <w:rsid w:val="17D2509E"/>
    <w:rsid w:val="17D31922"/>
    <w:rsid w:val="17D31BBB"/>
    <w:rsid w:val="17D3547E"/>
    <w:rsid w:val="17D405C9"/>
    <w:rsid w:val="17D410DF"/>
    <w:rsid w:val="17D45702"/>
    <w:rsid w:val="17D46DDE"/>
    <w:rsid w:val="17D47448"/>
    <w:rsid w:val="17D47717"/>
    <w:rsid w:val="17D47AE8"/>
    <w:rsid w:val="17D512E1"/>
    <w:rsid w:val="17D52C59"/>
    <w:rsid w:val="17D6159C"/>
    <w:rsid w:val="17D631C0"/>
    <w:rsid w:val="17D6487B"/>
    <w:rsid w:val="17D64CCA"/>
    <w:rsid w:val="17D64F6F"/>
    <w:rsid w:val="17D64F71"/>
    <w:rsid w:val="17D66260"/>
    <w:rsid w:val="17D66D1D"/>
    <w:rsid w:val="17D67B76"/>
    <w:rsid w:val="17D71582"/>
    <w:rsid w:val="17D75A00"/>
    <w:rsid w:val="17D80B19"/>
    <w:rsid w:val="17D80CE7"/>
    <w:rsid w:val="17D81FF2"/>
    <w:rsid w:val="17D82A95"/>
    <w:rsid w:val="17D84957"/>
    <w:rsid w:val="17D84A2D"/>
    <w:rsid w:val="17D84B21"/>
    <w:rsid w:val="17D86F39"/>
    <w:rsid w:val="17D905BB"/>
    <w:rsid w:val="17D92147"/>
    <w:rsid w:val="17D95945"/>
    <w:rsid w:val="17D96486"/>
    <w:rsid w:val="17DA1657"/>
    <w:rsid w:val="17DA4A5F"/>
    <w:rsid w:val="17DA54BD"/>
    <w:rsid w:val="17DB07D7"/>
    <w:rsid w:val="17DB1050"/>
    <w:rsid w:val="17DB2585"/>
    <w:rsid w:val="17DB3650"/>
    <w:rsid w:val="17DB5127"/>
    <w:rsid w:val="17DB655B"/>
    <w:rsid w:val="17DC0FF8"/>
    <w:rsid w:val="17DC1F43"/>
    <w:rsid w:val="17DC58C8"/>
    <w:rsid w:val="17DD00AB"/>
    <w:rsid w:val="17DD1506"/>
    <w:rsid w:val="17DD1F07"/>
    <w:rsid w:val="17DD297B"/>
    <w:rsid w:val="17DD62FD"/>
    <w:rsid w:val="17DD662E"/>
    <w:rsid w:val="17DD67B5"/>
    <w:rsid w:val="17DE000C"/>
    <w:rsid w:val="17DE07C9"/>
    <w:rsid w:val="17DE3E23"/>
    <w:rsid w:val="17DF02C7"/>
    <w:rsid w:val="17DF2533"/>
    <w:rsid w:val="17DF272E"/>
    <w:rsid w:val="17DF3195"/>
    <w:rsid w:val="17DF3BE3"/>
    <w:rsid w:val="17DF606D"/>
    <w:rsid w:val="17E00746"/>
    <w:rsid w:val="17E01949"/>
    <w:rsid w:val="17E01981"/>
    <w:rsid w:val="17E01B36"/>
    <w:rsid w:val="17E05DED"/>
    <w:rsid w:val="17E1088B"/>
    <w:rsid w:val="17E13DFD"/>
    <w:rsid w:val="17E14794"/>
    <w:rsid w:val="17E14EFB"/>
    <w:rsid w:val="17E20185"/>
    <w:rsid w:val="17E21B65"/>
    <w:rsid w:val="17E23048"/>
    <w:rsid w:val="17E256C1"/>
    <w:rsid w:val="17E27124"/>
    <w:rsid w:val="17E27374"/>
    <w:rsid w:val="17E2796B"/>
    <w:rsid w:val="17E30201"/>
    <w:rsid w:val="17E31439"/>
    <w:rsid w:val="17E331AB"/>
    <w:rsid w:val="17E340BC"/>
    <w:rsid w:val="17E4039A"/>
    <w:rsid w:val="17E412A1"/>
    <w:rsid w:val="17E4768B"/>
    <w:rsid w:val="17E47A6C"/>
    <w:rsid w:val="17E5123B"/>
    <w:rsid w:val="17E51656"/>
    <w:rsid w:val="17E51A2C"/>
    <w:rsid w:val="17E533EB"/>
    <w:rsid w:val="17E53404"/>
    <w:rsid w:val="17E56B2D"/>
    <w:rsid w:val="17E56E92"/>
    <w:rsid w:val="17E571AA"/>
    <w:rsid w:val="17E65C43"/>
    <w:rsid w:val="17E72270"/>
    <w:rsid w:val="17E72CD8"/>
    <w:rsid w:val="17E74809"/>
    <w:rsid w:val="17E76E1E"/>
    <w:rsid w:val="17E7717C"/>
    <w:rsid w:val="17E92ADF"/>
    <w:rsid w:val="17E92EF4"/>
    <w:rsid w:val="17E940B4"/>
    <w:rsid w:val="17E9505A"/>
    <w:rsid w:val="17E972B1"/>
    <w:rsid w:val="17EA0A1A"/>
    <w:rsid w:val="17EA1410"/>
    <w:rsid w:val="17EA27C8"/>
    <w:rsid w:val="17EA4789"/>
    <w:rsid w:val="17EA64CC"/>
    <w:rsid w:val="17EA7B21"/>
    <w:rsid w:val="17EB060F"/>
    <w:rsid w:val="17EB19C1"/>
    <w:rsid w:val="17EB2DCD"/>
    <w:rsid w:val="17EB450E"/>
    <w:rsid w:val="17EB6727"/>
    <w:rsid w:val="17EB67CA"/>
    <w:rsid w:val="17EC23E1"/>
    <w:rsid w:val="17EC4792"/>
    <w:rsid w:val="17EC5FF2"/>
    <w:rsid w:val="17ED092C"/>
    <w:rsid w:val="17ED6E2E"/>
    <w:rsid w:val="17EE050A"/>
    <w:rsid w:val="17EE22B8"/>
    <w:rsid w:val="17EE2E8F"/>
    <w:rsid w:val="17EE3962"/>
    <w:rsid w:val="17EE4066"/>
    <w:rsid w:val="17EF54A0"/>
    <w:rsid w:val="17EF6030"/>
    <w:rsid w:val="17EF6FEE"/>
    <w:rsid w:val="17EF75ED"/>
    <w:rsid w:val="17EF7DDE"/>
    <w:rsid w:val="17F117E8"/>
    <w:rsid w:val="17F13B56"/>
    <w:rsid w:val="17F17FFA"/>
    <w:rsid w:val="17F20A35"/>
    <w:rsid w:val="17F22132"/>
    <w:rsid w:val="17F233C9"/>
    <w:rsid w:val="17F24B90"/>
    <w:rsid w:val="17F32476"/>
    <w:rsid w:val="17F37798"/>
    <w:rsid w:val="17F4768D"/>
    <w:rsid w:val="17F50191"/>
    <w:rsid w:val="17F52309"/>
    <w:rsid w:val="17F53386"/>
    <w:rsid w:val="17F60B82"/>
    <w:rsid w:val="17F6116D"/>
    <w:rsid w:val="17F61621"/>
    <w:rsid w:val="17F6673F"/>
    <w:rsid w:val="17F70D9A"/>
    <w:rsid w:val="17F808CA"/>
    <w:rsid w:val="17F8432B"/>
    <w:rsid w:val="17F84EE5"/>
    <w:rsid w:val="17F90C5D"/>
    <w:rsid w:val="17F919C8"/>
    <w:rsid w:val="17F91D4B"/>
    <w:rsid w:val="17F923D4"/>
    <w:rsid w:val="17F92A0B"/>
    <w:rsid w:val="17F93F9C"/>
    <w:rsid w:val="17F96B12"/>
    <w:rsid w:val="17FA4123"/>
    <w:rsid w:val="17FA4918"/>
    <w:rsid w:val="17FA6EAF"/>
    <w:rsid w:val="17FB3975"/>
    <w:rsid w:val="17FB49D5"/>
    <w:rsid w:val="17FB639C"/>
    <w:rsid w:val="17FC25B1"/>
    <w:rsid w:val="17FC7EDD"/>
    <w:rsid w:val="17FD1BC6"/>
    <w:rsid w:val="17FD1D27"/>
    <w:rsid w:val="17FD24FB"/>
    <w:rsid w:val="17FD641A"/>
    <w:rsid w:val="17FD6785"/>
    <w:rsid w:val="17FD693B"/>
    <w:rsid w:val="17FD6E5C"/>
    <w:rsid w:val="17FD7D4B"/>
    <w:rsid w:val="17FE0021"/>
    <w:rsid w:val="17FE314F"/>
    <w:rsid w:val="17FE76EC"/>
    <w:rsid w:val="17FE7DB3"/>
    <w:rsid w:val="17FF0535"/>
    <w:rsid w:val="17FF1243"/>
    <w:rsid w:val="17FF23DB"/>
    <w:rsid w:val="17FF44C5"/>
    <w:rsid w:val="17FF620A"/>
    <w:rsid w:val="180002C9"/>
    <w:rsid w:val="18003AD9"/>
    <w:rsid w:val="1800464A"/>
    <w:rsid w:val="1801278C"/>
    <w:rsid w:val="18013B63"/>
    <w:rsid w:val="1802372C"/>
    <w:rsid w:val="18023FB5"/>
    <w:rsid w:val="1802415D"/>
    <w:rsid w:val="18027B12"/>
    <w:rsid w:val="1803013C"/>
    <w:rsid w:val="18034E5D"/>
    <w:rsid w:val="18035B17"/>
    <w:rsid w:val="18035E35"/>
    <w:rsid w:val="18035F5F"/>
    <w:rsid w:val="180410B5"/>
    <w:rsid w:val="18041552"/>
    <w:rsid w:val="18043C25"/>
    <w:rsid w:val="18045DC2"/>
    <w:rsid w:val="18047D2E"/>
    <w:rsid w:val="180513B0"/>
    <w:rsid w:val="18053178"/>
    <w:rsid w:val="18056545"/>
    <w:rsid w:val="18062254"/>
    <w:rsid w:val="18063C62"/>
    <w:rsid w:val="1806666D"/>
    <w:rsid w:val="180705B5"/>
    <w:rsid w:val="18071A18"/>
    <w:rsid w:val="180725A6"/>
    <w:rsid w:val="18073E7C"/>
    <w:rsid w:val="18075128"/>
    <w:rsid w:val="18075218"/>
    <w:rsid w:val="1808235F"/>
    <w:rsid w:val="18095344"/>
    <w:rsid w:val="180A2E6A"/>
    <w:rsid w:val="180A4C18"/>
    <w:rsid w:val="180A508D"/>
    <w:rsid w:val="180A5D6B"/>
    <w:rsid w:val="180B10BC"/>
    <w:rsid w:val="180B36CC"/>
    <w:rsid w:val="180B39EC"/>
    <w:rsid w:val="180C01B6"/>
    <w:rsid w:val="180C0607"/>
    <w:rsid w:val="180C216D"/>
    <w:rsid w:val="180C6E94"/>
    <w:rsid w:val="180C721D"/>
    <w:rsid w:val="180D49CF"/>
    <w:rsid w:val="180D4CD7"/>
    <w:rsid w:val="180D75BF"/>
    <w:rsid w:val="180E059A"/>
    <w:rsid w:val="180E4708"/>
    <w:rsid w:val="180E6147"/>
    <w:rsid w:val="180E6167"/>
    <w:rsid w:val="180E6AEF"/>
    <w:rsid w:val="180F0BB8"/>
    <w:rsid w:val="18110B19"/>
    <w:rsid w:val="18115FA7"/>
    <w:rsid w:val="18117D55"/>
    <w:rsid w:val="18121640"/>
    <w:rsid w:val="181229BF"/>
    <w:rsid w:val="1813446E"/>
    <w:rsid w:val="18137F71"/>
    <w:rsid w:val="18140050"/>
    <w:rsid w:val="18140E50"/>
    <w:rsid w:val="18141FD9"/>
    <w:rsid w:val="1814371A"/>
    <w:rsid w:val="181448A4"/>
    <w:rsid w:val="18147845"/>
    <w:rsid w:val="18150390"/>
    <w:rsid w:val="1815181A"/>
    <w:rsid w:val="18153469"/>
    <w:rsid w:val="18153CE9"/>
    <w:rsid w:val="18153E69"/>
    <w:rsid w:val="1816180F"/>
    <w:rsid w:val="181635BD"/>
    <w:rsid w:val="181636ED"/>
    <w:rsid w:val="18167160"/>
    <w:rsid w:val="181768B2"/>
    <w:rsid w:val="181810E3"/>
    <w:rsid w:val="18181356"/>
    <w:rsid w:val="1818403B"/>
    <w:rsid w:val="18185587"/>
    <w:rsid w:val="18194E5B"/>
    <w:rsid w:val="18195036"/>
    <w:rsid w:val="18195C5A"/>
    <w:rsid w:val="181A12FF"/>
    <w:rsid w:val="181B4E07"/>
    <w:rsid w:val="181B68EE"/>
    <w:rsid w:val="181C0D10"/>
    <w:rsid w:val="181C1A30"/>
    <w:rsid w:val="181C333C"/>
    <w:rsid w:val="181C38D6"/>
    <w:rsid w:val="181C504E"/>
    <w:rsid w:val="181D063C"/>
    <w:rsid w:val="181D0DEF"/>
    <w:rsid w:val="181D2B9D"/>
    <w:rsid w:val="181D3840"/>
    <w:rsid w:val="181D725B"/>
    <w:rsid w:val="181E5C5C"/>
    <w:rsid w:val="181F3120"/>
    <w:rsid w:val="181F4EAF"/>
    <w:rsid w:val="181F6915"/>
    <w:rsid w:val="182016DF"/>
    <w:rsid w:val="1820443C"/>
    <w:rsid w:val="18207CA8"/>
    <w:rsid w:val="1821268E"/>
    <w:rsid w:val="18213579"/>
    <w:rsid w:val="182145DD"/>
    <w:rsid w:val="182201B4"/>
    <w:rsid w:val="18221F62"/>
    <w:rsid w:val="182271AE"/>
    <w:rsid w:val="1822792E"/>
    <w:rsid w:val="18235153"/>
    <w:rsid w:val="182426AC"/>
    <w:rsid w:val="18243D62"/>
    <w:rsid w:val="18246DC0"/>
    <w:rsid w:val="18251994"/>
    <w:rsid w:val="18251A52"/>
    <w:rsid w:val="18252AB0"/>
    <w:rsid w:val="18255B2F"/>
    <w:rsid w:val="182574CB"/>
    <w:rsid w:val="182643EE"/>
    <w:rsid w:val="18267445"/>
    <w:rsid w:val="18272352"/>
    <w:rsid w:val="18272A4C"/>
    <w:rsid w:val="1827307E"/>
    <w:rsid w:val="182763D2"/>
    <w:rsid w:val="18277578"/>
    <w:rsid w:val="182818DF"/>
    <w:rsid w:val="18283020"/>
    <w:rsid w:val="18284B20"/>
    <w:rsid w:val="18285950"/>
    <w:rsid w:val="18291542"/>
    <w:rsid w:val="18292D6F"/>
    <w:rsid w:val="18292DDE"/>
    <w:rsid w:val="182932F0"/>
    <w:rsid w:val="18294323"/>
    <w:rsid w:val="18294934"/>
    <w:rsid w:val="18295846"/>
    <w:rsid w:val="182A179A"/>
    <w:rsid w:val="182A472E"/>
    <w:rsid w:val="182A5A13"/>
    <w:rsid w:val="182A7068"/>
    <w:rsid w:val="182B3282"/>
    <w:rsid w:val="182B3419"/>
    <w:rsid w:val="182B52BA"/>
    <w:rsid w:val="182B7A9D"/>
    <w:rsid w:val="182C2DE0"/>
    <w:rsid w:val="182C363E"/>
    <w:rsid w:val="182C50E8"/>
    <w:rsid w:val="182D42C1"/>
    <w:rsid w:val="182D5416"/>
    <w:rsid w:val="182E4DAB"/>
    <w:rsid w:val="182E54D3"/>
    <w:rsid w:val="182E5751"/>
    <w:rsid w:val="182E6B59"/>
    <w:rsid w:val="182F4CA9"/>
    <w:rsid w:val="182F7C52"/>
    <w:rsid w:val="183028D1"/>
    <w:rsid w:val="18310418"/>
    <w:rsid w:val="1831079B"/>
    <w:rsid w:val="18311069"/>
    <w:rsid w:val="18315A9A"/>
    <w:rsid w:val="18315CC7"/>
    <w:rsid w:val="18316649"/>
    <w:rsid w:val="18320E11"/>
    <w:rsid w:val="1832298D"/>
    <w:rsid w:val="18326C40"/>
    <w:rsid w:val="183277C9"/>
    <w:rsid w:val="18334BA1"/>
    <w:rsid w:val="18335F1D"/>
    <w:rsid w:val="18337719"/>
    <w:rsid w:val="18341FFA"/>
    <w:rsid w:val="18342471"/>
    <w:rsid w:val="18342E93"/>
    <w:rsid w:val="18347C61"/>
    <w:rsid w:val="18353F45"/>
    <w:rsid w:val="18356139"/>
    <w:rsid w:val="18357AA1"/>
    <w:rsid w:val="18357EE7"/>
    <w:rsid w:val="18362CE6"/>
    <w:rsid w:val="18363C5F"/>
    <w:rsid w:val="18365CFA"/>
    <w:rsid w:val="18371EB1"/>
    <w:rsid w:val="183731B5"/>
    <w:rsid w:val="1837558B"/>
    <w:rsid w:val="18377EF8"/>
    <w:rsid w:val="18383533"/>
    <w:rsid w:val="18385ABC"/>
    <w:rsid w:val="18386F0B"/>
    <w:rsid w:val="18390DB8"/>
    <w:rsid w:val="18391EF9"/>
    <w:rsid w:val="18393FA5"/>
    <w:rsid w:val="183A09B0"/>
    <w:rsid w:val="183A374F"/>
    <w:rsid w:val="183A3CF4"/>
    <w:rsid w:val="183A54FD"/>
    <w:rsid w:val="183A60AA"/>
    <w:rsid w:val="183A7A40"/>
    <w:rsid w:val="183B0BDE"/>
    <w:rsid w:val="183B3024"/>
    <w:rsid w:val="183B3E69"/>
    <w:rsid w:val="183C2926"/>
    <w:rsid w:val="183C74C7"/>
    <w:rsid w:val="183D0B4A"/>
    <w:rsid w:val="183D1B5C"/>
    <w:rsid w:val="183D2675"/>
    <w:rsid w:val="183D3240"/>
    <w:rsid w:val="183D3DB6"/>
    <w:rsid w:val="183D6D9C"/>
    <w:rsid w:val="183E4FA5"/>
    <w:rsid w:val="183E5E44"/>
    <w:rsid w:val="183F3D50"/>
    <w:rsid w:val="183F5D9C"/>
    <w:rsid w:val="183F6F73"/>
    <w:rsid w:val="1840063A"/>
    <w:rsid w:val="18402737"/>
    <w:rsid w:val="1840688C"/>
    <w:rsid w:val="1841083E"/>
    <w:rsid w:val="18414E41"/>
    <w:rsid w:val="18417381"/>
    <w:rsid w:val="18420856"/>
    <w:rsid w:val="18423AEC"/>
    <w:rsid w:val="18426072"/>
    <w:rsid w:val="1842688C"/>
    <w:rsid w:val="18426B32"/>
    <w:rsid w:val="18427D87"/>
    <w:rsid w:val="18430408"/>
    <w:rsid w:val="1844012A"/>
    <w:rsid w:val="18440590"/>
    <w:rsid w:val="18441ED8"/>
    <w:rsid w:val="1844314B"/>
    <w:rsid w:val="18445C55"/>
    <w:rsid w:val="18450C06"/>
    <w:rsid w:val="18452548"/>
    <w:rsid w:val="18453559"/>
    <w:rsid w:val="18453CAD"/>
    <w:rsid w:val="18455C50"/>
    <w:rsid w:val="18463EA2"/>
    <w:rsid w:val="18470890"/>
    <w:rsid w:val="184719C8"/>
    <w:rsid w:val="1847421D"/>
    <w:rsid w:val="18480F2B"/>
    <w:rsid w:val="18482588"/>
    <w:rsid w:val="18483E21"/>
    <w:rsid w:val="184939DF"/>
    <w:rsid w:val="18495D8E"/>
    <w:rsid w:val="18497EC5"/>
    <w:rsid w:val="184A3267"/>
    <w:rsid w:val="184B2265"/>
    <w:rsid w:val="184B395A"/>
    <w:rsid w:val="184B4C79"/>
    <w:rsid w:val="184B770B"/>
    <w:rsid w:val="184B7C0C"/>
    <w:rsid w:val="184C2C69"/>
    <w:rsid w:val="184C392C"/>
    <w:rsid w:val="184C47F7"/>
    <w:rsid w:val="184C49CD"/>
    <w:rsid w:val="184C5231"/>
    <w:rsid w:val="184C5659"/>
    <w:rsid w:val="184C6FDF"/>
    <w:rsid w:val="184C7151"/>
    <w:rsid w:val="184C7339"/>
    <w:rsid w:val="184D055B"/>
    <w:rsid w:val="184D1DD4"/>
    <w:rsid w:val="184D216A"/>
    <w:rsid w:val="184D3E69"/>
    <w:rsid w:val="184D6DCC"/>
    <w:rsid w:val="184D78CD"/>
    <w:rsid w:val="184E2D57"/>
    <w:rsid w:val="184E4020"/>
    <w:rsid w:val="184E476B"/>
    <w:rsid w:val="18502F73"/>
    <w:rsid w:val="1850653D"/>
    <w:rsid w:val="18507CD1"/>
    <w:rsid w:val="18511159"/>
    <w:rsid w:val="18512847"/>
    <w:rsid w:val="185164F1"/>
    <w:rsid w:val="18522507"/>
    <w:rsid w:val="18523FC6"/>
    <w:rsid w:val="185244C4"/>
    <w:rsid w:val="18527138"/>
    <w:rsid w:val="1853036D"/>
    <w:rsid w:val="18534811"/>
    <w:rsid w:val="18534F37"/>
    <w:rsid w:val="1854002F"/>
    <w:rsid w:val="18543B9A"/>
    <w:rsid w:val="185479FD"/>
    <w:rsid w:val="18550589"/>
    <w:rsid w:val="185521C3"/>
    <w:rsid w:val="18552337"/>
    <w:rsid w:val="18553A98"/>
    <w:rsid w:val="185540E5"/>
    <w:rsid w:val="18555E46"/>
    <w:rsid w:val="18560059"/>
    <w:rsid w:val="18561D8C"/>
    <w:rsid w:val="18561DF0"/>
    <w:rsid w:val="18564836"/>
    <w:rsid w:val="18567E5D"/>
    <w:rsid w:val="18574301"/>
    <w:rsid w:val="18575B9C"/>
    <w:rsid w:val="18575D3D"/>
    <w:rsid w:val="1857667A"/>
    <w:rsid w:val="18576BAF"/>
    <w:rsid w:val="18580632"/>
    <w:rsid w:val="18581E27"/>
    <w:rsid w:val="18583BD5"/>
    <w:rsid w:val="1858668C"/>
    <w:rsid w:val="1859070D"/>
    <w:rsid w:val="18591923"/>
    <w:rsid w:val="185942E0"/>
    <w:rsid w:val="18597E8B"/>
    <w:rsid w:val="185A03CD"/>
    <w:rsid w:val="185A0A79"/>
    <w:rsid w:val="185A16FC"/>
    <w:rsid w:val="185A3953"/>
    <w:rsid w:val="185A49C5"/>
    <w:rsid w:val="185A5BA0"/>
    <w:rsid w:val="185A5EAF"/>
    <w:rsid w:val="185A794E"/>
    <w:rsid w:val="185B1969"/>
    <w:rsid w:val="185B476E"/>
    <w:rsid w:val="185B4BEB"/>
    <w:rsid w:val="185B5474"/>
    <w:rsid w:val="185C1329"/>
    <w:rsid w:val="185C36C6"/>
    <w:rsid w:val="185C3A10"/>
    <w:rsid w:val="185C519E"/>
    <w:rsid w:val="185C5628"/>
    <w:rsid w:val="185C60EE"/>
    <w:rsid w:val="185D273A"/>
    <w:rsid w:val="185D2F9A"/>
    <w:rsid w:val="185D4299"/>
    <w:rsid w:val="185D5268"/>
    <w:rsid w:val="185D743E"/>
    <w:rsid w:val="185E25B1"/>
    <w:rsid w:val="185E4F90"/>
    <w:rsid w:val="185E6E86"/>
    <w:rsid w:val="185F0C55"/>
    <w:rsid w:val="185F12B1"/>
    <w:rsid w:val="185F2EE6"/>
    <w:rsid w:val="185F457F"/>
    <w:rsid w:val="185F4F64"/>
    <w:rsid w:val="185F6D12"/>
    <w:rsid w:val="185F7A70"/>
    <w:rsid w:val="185F7D0A"/>
    <w:rsid w:val="186005E0"/>
    <w:rsid w:val="18601BAE"/>
    <w:rsid w:val="18602A8A"/>
    <w:rsid w:val="1861269D"/>
    <w:rsid w:val="18613DAD"/>
    <w:rsid w:val="1861430E"/>
    <w:rsid w:val="186152D6"/>
    <w:rsid w:val="1862183B"/>
    <w:rsid w:val="18622CA6"/>
    <w:rsid w:val="18624641"/>
    <w:rsid w:val="18624A54"/>
    <w:rsid w:val="18626802"/>
    <w:rsid w:val="18630592"/>
    <w:rsid w:val="18631378"/>
    <w:rsid w:val="18637686"/>
    <w:rsid w:val="1863795A"/>
    <w:rsid w:val="18640E00"/>
    <w:rsid w:val="18641846"/>
    <w:rsid w:val="1864233C"/>
    <w:rsid w:val="18646407"/>
    <w:rsid w:val="1865358A"/>
    <w:rsid w:val="1865405D"/>
    <w:rsid w:val="186601A8"/>
    <w:rsid w:val="18660E62"/>
    <w:rsid w:val="18660EE9"/>
    <w:rsid w:val="18661881"/>
    <w:rsid w:val="18664290"/>
    <w:rsid w:val="18664452"/>
    <w:rsid w:val="186715DB"/>
    <w:rsid w:val="1867206B"/>
    <w:rsid w:val="18672662"/>
    <w:rsid w:val="18673851"/>
    <w:rsid w:val="18675188"/>
    <w:rsid w:val="186802BC"/>
    <w:rsid w:val="186827F7"/>
    <w:rsid w:val="18682908"/>
    <w:rsid w:val="186869A0"/>
    <w:rsid w:val="18687481"/>
    <w:rsid w:val="186901DE"/>
    <w:rsid w:val="18691943"/>
    <w:rsid w:val="18695DE3"/>
    <w:rsid w:val="18696B61"/>
    <w:rsid w:val="18697C05"/>
    <w:rsid w:val="186B171A"/>
    <w:rsid w:val="186B1936"/>
    <w:rsid w:val="186B205C"/>
    <w:rsid w:val="186B2B00"/>
    <w:rsid w:val="186B35B5"/>
    <w:rsid w:val="186B4263"/>
    <w:rsid w:val="186B514E"/>
    <w:rsid w:val="186B56B7"/>
    <w:rsid w:val="186B59DF"/>
    <w:rsid w:val="186C142F"/>
    <w:rsid w:val="186C147E"/>
    <w:rsid w:val="186C2FAF"/>
    <w:rsid w:val="186C54CE"/>
    <w:rsid w:val="186C580B"/>
    <w:rsid w:val="186C7681"/>
    <w:rsid w:val="186D11ED"/>
    <w:rsid w:val="186D1754"/>
    <w:rsid w:val="186D35D5"/>
    <w:rsid w:val="186D55EC"/>
    <w:rsid w:val="186D58D3"/>
    <w:rsid w:val="186E2BE4"/>
    <w:rsid w:val="186E33F9"/>
    <w:rsid w:val="186E3672"/>
    <w:rsid w:val="186E3E57"/>
    <w:rsid w:val="186E62AB"/>
    <w:rsid w:val="186E6F48"/>
    <w:rsid w:val="186F1493"/>
    <w:rsid w:val="186F18A3"/>
    <w:rsid w:val="18700F1F"/>
    <w:rsid w:val="18702CCD"/>
    <w:rsid w:val="18705504"/>
    <w:rsid w:val="18707171"/>
    <w:rsid w:val="18714C97"/>
    <w:rsid w:val="1871533B"/>
    <w:rsid w:val="18716A45"/>
    <w:rsid w:val="1871790D"/>
    <w:rsid w:val="18717A6E"/>
    <w:rsid w:val="187229F5"/>
    <w:rsid w:val="18722EE9"/>
    <w:rsid w:val="187240E5"/>
    <w:rsid w:val="18724912"/>
    <w:rsid w:val="187310DE"/>
    <w:rsid w:val="187325D8"/>
    <w:rsid w:val="18736C61"/>
    <w:rsid w:val="187457A3"/>
    <w:rsid w:val="18747BF1"/>
    <w:rsid w:val="18752478"/>
    <w:rsid w:val="187529D9"/>
    <w:rsid w:val="18754787"/>
    <w:rsid w:val="18757EE5"/>
    <w:rsid w:val="1876190F"/>
    <w:rsid w:val="18763C4E"/>
    <w:rsid w:val="1876405C"/>
    <w:rsid w:val="18765345"/>
    <w:rsid w:val="187679AF"/>
    <w:rsid w:val="18767CA6"/>
    <w:rsid w:val="18770500"/>
    <w:rsid w:val="18773C95"/>
    <w:rsid w:val="18784278"/>
    <w:rsid w:val="187864D7"/>
    <w:rsid w:val="18787DD4"/>
    <w:rsid w:val="18790B54"/>
    <w:rsid w:val="18791CD4"/>
    <w:rsid w:val="187943C8"/>
    <w:rsid w:val="1879520B"/>
    <w:rsid w:val="18795D58"/>
    <w:rsid w:val="187A083F"/>
    <w:rsid w:val="187A4495"/>
    <w:rsid w:val="187A751F"/>
    <w:rsid w:val="187A7FF0"/>
    <w:rsid w:val="187B075B"/>
    <w:rsid w:val="187B11F3"/>
    <w:rsid w:val="187B1EEB"/>
    <w:rsid w:val="187B4319"/>
    <w:rsid w:val="187B5101"/>
    <w:rsid w:val="187B55D7"/>
    <w:rsid w:val="187C3D68"/>
    <w:rsid w:val="187C4FBE"/>
    <w:rsid w:val="187C5356"/>
    <w:rsid w:val="187C5B16"/>
    <w:rsid w:val="187C78C4"/>
    <w:rsid w:val="187C7AAE"/>
    <w:rsid w:val="187D188E"/>
    <w:rsid w:val="187D1E98"/>
    <w:rsid w:val="187D53EA"/>
    <w:rsid w:val="187D64F5"/>
    <w:rsid w:val="187E26D8"/>
    <w:rsid w:val="187E3E48"/>
    <w:rsid w:val="187E4818"/>
    <w:rsid w:val="187F4604"/>
    <w:rsid w:val="187F5606"/>
    <w:rsid w:val="187F6241"/>
    <w:rsid w:val="187F7E9F"/>
    <w:rsid w:val="18802251"/>
    <w:rsid w:val="18812024"/>
    <w:rsid w:val="18814EDA"/>
    <w:rsid w:val="18816CAC"/>
    <w:rsid w:val="188175DA"/>
    <w:rsid w:val="18821108"/>
    <w:rsid w:val="188217BD"/>
    <w:rsid w:val="18821CB9"/>
    <w:rsid w:val="18822A00"/>
    <w:rsid w:val="18823473"/>
    <w:rsid w:val="1882373C"/>
    <w:rsid w:val="1883093F"/>
    <w:rsid w:val="18834E21"/>
    <w:rsid w:val="18835B9D"/>
    <w:rsid w:val="18835BD0"/>
    <w:rsid w:val="18836317"/>
    <w:rsid w:val="188419BE"/>
    <w:rsid w:val="18842C1C"/>
    <w:rsid w:val="18843774"/>
    <w:rsid w:val="188449CB"/>
    <w:rsid w:val="18844B9A"/>
    <w:rsid w:val="18844E09"/>
    <w:rsid w:val="18845429"/>
    <w:rsid w:val="188501DE"/>
    <w:rsid w:val="18852FE4"/>
    <w:rsid w:val="188535B5"/>
    <w:rsid w:val="18855B22"/>
    <w:rsid w:val="1885795F"/>
    <w:rsid w:val="18860BB9"/>
    <w:rsid w:val="18861B4D"/>
    <w:rsid w:val="188624F1"/>
    <w:rsid w:val="18862D65"/>
    <w:rsid w:val="18863B3D"/>
    <w:rsid w:val="1886604A"/>
    <w:rsid w:val="18870B44"/>
    <w:rsid w:val="1887113B"/>
    <w:rsid w:val="188720C8"/>
    <w:rsid w:val="1887387D"/>
    <w:rsid w:val="188744BB"/>
    <w:rsid w:val="18874DA5"/>
    <w:rsid w:val="18874ECB"/>
    <w:rsid w:val="188759E7"/>
    <w:rsid w:val="188906F7"/>
    <w:rsid w:val="18891FE1"/>
    <w:rsid w:val="188944EE"/>
    <w:rsid w:val="1889740C"/>
    <w:rsid w:val="188A0A95"/>
    <w:rsid w:val="188A4C45"/>
    <w:rsid w:val="188B12F1"/>
    <w:rsid w:val="188B440E"/>
    <w:rsid w:val="188B4CDC"/>
    <w:rsid w:val="188C0BD2"/>
    <w:rsid w:val="188C0C08"/>
    <w:rsid w:val="188C2767"/>
    <w:rsid w:val="188C359B"/>
    <w:rsid w:val="188C5481"/>
    <w:rsid w:val="188C7B59"/>
    <w:rsid w:val="188D1AD1"/>
    <w:rsid w:val="188D40F3"/>
    <w:rsid w:val="188D75FC"/>
    <w:rsid w:val="188D7D23"/>
    <w:rsid w:val="188E091F"/>
    <w:rsid w:val="188E0FDD"/>
    <w:rsid w:val="188E2225"/>
    <w:rsid w:val="188E3A9B"/>
    <w:rsid w:val="188E4B94"/>
    <w:rsid w:val="188E6361"/>
    <w:rsid w:val="188E6A12"/>
    <w:rsid w:val="188E78F2"/>
    <w:rsid w:val="188F11A7"/>
    <w:rsid w:val="188F5919"/>
    <w:rsid w:val="189015C1"/>
    <w:rsid w:val="1890336F"/>
    <w:rsid w:val="18904AED"/>
    <w:rsid w:val="1890733B"/>
    <w:rsid w:val="18907D48"/>
    <w:rsid w:val="18910E95"/>
    <w:rsid w:val="189127B9"/>
    <w:rsid w:val="18912916"/>
    <w:rsid w:val="18916351"/>
    <w:rsid w:val="18920B76"/>
    <w:rsid w:val="18925339"/>
    <w:rsid w:val="18925E4A"/>
    <w:rsid w:val="18927A85"/>
    <w:rsid w:val="189310B2"/>
    <w:rsid w:val="18932754"/>
    <w:rsid w:val="18932E60"/>
    <w:rsid w:val="189342A4"/>
    <w:rsid w:val="18947C26"/>
    <w:rsid w:val="18952734"/>
    <w:rsid w:val="18953E2D"/>
    <w:rsid w:val="1895438A"/>
    <w:rsid w:val="189545E1"/>
    <w:rsid w:val="18954D26"/>
    <w:rsid w:val="18956BD8"/>
    <w:rsid w:val="189574CF"/>
    <w:rsid w:val="189606B1"/>
    <w:rsid w:val="1896721E"/>
    <w:rsid w:val="1897127A"/>
    <w:rsid w:val="18971C39"/>
    <w:rsid w:val="18972950"/>
    <w:rsid w:val="1897327F"/>
    <w:rsid w:val="189824FC"/>
    <w:rsid w:val="189832D7"/>
    <w:rsid w:val="1898575E"/>
    <w:rsid w:val="189865EA"/>
    <w:rsid w:val="189866C8"/>
    <w:rsid w:val="18986F8F"/>
    <w:rsid w:val="18992D98"/>
    <w:rsid w:val="1899559B"/>
    <w:rsid w:val="1899688D"/>
    <w:rsid w:val="189A0770"/>
    <w:rsid w:val="189A0908"/>
    <w:rsid w:val="189A2440"/>
    <w:rsid w:val="189A5F9C"/>
    <w:rsid w:val="189B24D0"/>
    <w:rsid w:val="189B37F1"/>
    <w:rsid w:val="189B5BF8"/>
    <w:rsid w:val="189B5EAD"/>
    <w:rsid w:val="189C1D14"/>
    <w:rsid w:val="189C520F"/>
    <w:rsid w:val="189C522C"/>
    <w:rsid w:val="189C546D"/>
    <w:rsid w:val="189C7F66"/>
    <w:rsid w:val="189D1459"/>
    <w:rsid w:val="189D1A28"/>
    <w:rsid w:val="189D34C9"/>
    <w:rsid w:val="189D4520"/>
    <w:rsid w:val="189D5A8C"/>
    <w:rsid w:val="189D7A20"/>
    <w:rsid w:val="189E3B00"/>
    <w:rsid w:val="189E3CDE"/>
    <w:rsid w:val="189F06F8"/>
    <w:rsid w:val="189F12CE"/>
    <w:rsid w:val="189F1A11"/>
    <w:rsid w:val="189F30B0"/>
    <w:rsid w:val="189F35B2"/>
    <w:rsid w:val="189F7A56"/>
    <w:rsid w:val="189F7B5D"/>
    <w:rsid w:val="189F7D99"/>
    <w:rsid w:val="18A02EA1"/>
    <w:rsid w:val="18A053FC"/>
    <w:rsid w:val="18A07A95"/>
    <w:rsid w:val="18A07B72"/>
    <w:rsid w:val="18A135F9"/>
    <w:rsid w:val="18A1557C"/>
    <w:rsid w:val="18A16CC3"/>
    <w:rsid w:val="18A16F02"/>
    <w:rsid w:val="18A172A4"/>
    <w:rsid w:val="18A2071B"/>
    <w:rsid w:val="18A230A3"/>
    <w:rsid w:val="18A24E51"/>
    <w:rsid w:val="18A25D21"/>
    <w:rsid w:val="18A26A99"/>
    <w:rsid w:val="18A30F78"/>
    <w:rsid w:val="18A32063"/>
    <w:rsid w:val="18A32F63"/>
    <w:rsid w:val="18A37418"/>
    <w:rsid w:val="18A400B6"/>
    <w:rsid w:val="18A41B8D"/>
    <w:rsid w:val="18A443F3"/>
    <w:rsid w:val="18A44846"/>
    <w:rsid w:val="18A4506D"/>
    <w:rsid w:val="18A46595"/>
    <w:rsid w:val="18A46E1B"/>
    <w:rsid w:val="18A50D5B"/>
    <w:rsid w:val="18A52A97"/>
    <w:rsid w:val="18A54F1D"/>
    <w:rsid w:val="18A5509D"/>
    <w:rsid w:val="18A55D75"/>
    <w:rsid w:val="18A60DE5"/>
    <w:rsid w:val="18A62B93"/>
    <w:rsid w:val="18A64550"/>
    <w:rsid w:val="18A64941"/>
    <w:rsid w:val="18A65CAE"/>
    <w:rsid w:val="18A67768"/>
    <w:rsid w:val="18A72D74"/>
    <w:rsid w:val="18A865AA"/>
    <w:rsid w:val="18A877DC"/>
    <w:rsid w:val="18A87C76"/>
    <w:rsid w:val="18A90517"/>
    <w:rsid w:val="18A94431"/>
    <w:rsid w:val="18A959AF"/>
    <w:rsid w:val="18A96202"/>
    <w:rsid w:val="18AA1C2F"/>
    <w:rsid w:val="18AA6B24"/>
    <w:rsid w:val="18AA7AE2"/>
    <w:rsid w:val="18AB01A9"/>
    <w:rsid w:val="18AB1F57"/>
    <w:rsid w:val="18AB43C5"/>
    <w:rsid w:val="18AB4D46"/>
    <w:rsid w:val="18AB63FB"/>
    <w:rsid w:val="18AB7EE7"/>
    <w:rsid w:val="18AC17BB"/>
    <w:rsid w:val="18AC1E6D"/>
    <w:rsid w:val="18AC2402"/>
    <w:rsid w:val="18AC2B85"/>
    <w:rsid w:val="18AC3151"/>
    <w:rsid w:val="18AD0BEB"/>
    <w:rsid w:val="18AD0F2F"/>
    <w:rsid w:val="18AD106E"/>
    <w:rsid w:val="18AD2173"/>
    <w:rsid w:val="18AD6C67"/>
    <w:rsid w:val="18AE0476"/>
    <w:rsid w:val="18AE12DD"/>
    <w:rsid w:val="18AE1A47"/>
    <w:rsid w:val="18AE37F5"/>
    <w:rsid w:val="18AE6318"/>
    <w:rsid w:val="18AE7AF1"/>
    <w:rsid w:val="18AE7C99"/>
    <w:rsid w:val="18AF1115"/>
    <w:rsid w:val="18AF1506"/>
    <w:rsid w:val="18AF16CF"/>
    <w:rsid w:val="18AF1A13"/>
    <w:rsid w:val="18AF2008"/>
    <w:rsid w:val="18AF5EEB"/>
    <w:rsid w:val="18AF6428"/>
    <w:rsid w:val="18AF6E7D"/>
    <w:rsid w:val="18AF6EB7"/>
    <w:rsid w:val="18B031D1"/>
    <w:rsid w:val="18B03A11"/>
    <w:rsid w:val="18B05379"/>
    <w:rsid w:val="18B057C0"/>
    <w:rsid w:val="18B073C3"/>
    <w:rsid w:val="18B0756E"/>
    <w:rsid w:val="18B1054A"/>
    <w:rsid w:val="18B12E7C"/>
    <w:rsid w:val="18B13E26"/>
    <w:rsid w:val="18B20441"/>
    <w:rsid w:val="18B21538"/>
    <w:rsid w:val="18B232E6"/>
    <w:rsid w:val="18B260C1"/>
    <w:rsid w:val="18B261A0"/>
    <w:rsid w:val="18B26DC2"/>
    <w:rsid w:val="18B2778A"/>
    <w:rsid w:val="18B30999"/>
    <w:rsid w:val="18B32A58"/>
    <w:rsid w:val="18B34680"/>
    <w:rsid w:val="18B352B0"/>
    <w:rsid w:val="18B36AFB"/>
    <w:rsid w:val="18B3705E"/>
    <w:rsid w:val="18B43502"/>
    <w:rsid w:val="18B43EE8"/>
    <w:rsid w:val="18B43F97"/>
    <w:rsid w:val="18B46B17"/>
    <w:rsid w:val="18B51028"/>
    <w:rsid w:val="18B51B67"/>
    <w:rsid w:val="18B523E0"/>
    <w:rsid w:val="18B52DD6"/>
    <w:rsid w:val="18B544B4"/>
    <w:rsid w:val="18B57269"/>
    <w:rsid w:val="18B62824"/>
    <w:rsid w:val="18B62E17"/>
    <w:rsid w:val="18B6426E"/>
    <w:rsid w:val="18B66536"/>
    <w:rsid w:val="18B70374"/>
    <w:rsid w:val="18B71612"/>
    <w:rsid w:val="18B72869"/>
    <w:rsid w:val="18B731DB"/>
    <w:rsid w:val="18B76B4E"/>
    <w:rsid w:val="18B76CDA"/>
    <w:rsid w:val="18B77DE2"/>
    <w:rsid w:val="18B807A5"/>
    <w:rsid w:val="18B83BC8"/>
    <w:rsid w:val="18B8541E"/>
    <w:rsid w:val="18B87EB9"/>
    <w:rsid w:val="18B95BD8"/>
    <w:rsid w:val="18BA3F07"/>
    <w:rsid w:val="18BA400E"/>
    <w:rsid w:val="18BA466F"/>
    <w:rsid w:val="18BA49DA"/>
    <w:rsid w:val="18BA6619"/>
    <w:rsid w:val="18BA7D6E"/>
    <w:rsid w:val="18BB54FB"/>
    <w:rsid w:val="18BB562B"/>
    <w:rsid w:val="18BB7886"/>
    <w:rsid w:val="18BC23B6"/>
    <w:rsid w:val="18BC4164"/>
    <w:rsid w:val="18BD228B"/>
    <w:rsid w:val="18BD471B"/>
    <w:rsid w:val="18BE1E8E"/>
    <w:rsid w:val="18BE4781"/>
    <w:rsid w:val="18BE7B6B"/>
    <w:rsid w:val="18BF039C"/>
    <w:rsid w:val="18BF1CD3"/>
    <w:rsid w:val="18BF40D2"/>
    <w:rsid w:val="18BF488C"/>
    <w:rsid w:val="18C021C3"/>
    <w:rsid w:val="18C03134"/>
    <w:rsid w:val="18C03380"/>
    <w:rsid w:val="18C1177B"/>
    <w:rsid w:val="18C1192B"/>
    <w:rsid w:val="18C15C1F"/>
    <w:rsid w:val="18C16C1D"/>
    <w:rsid w:val="18C179CD"/>
    <w:rsid w:val="18C17C0F"/>
    <w:rsid w:val="18C24DAB"/>
    <w:rsid w:val="18C272A1"/>
    <w:rsid w:val="18C31FD0"/>
    <w:rsid w:val="18C33745"/>
    <w:rsid w:val="18C354F3"/>
    <w:rsid w:val="18C4040E"/>
    <w:rsid w:val="18C4126B"/>
    <w:rsid w:val="18C417FD"/>
    <w:rsid w:val="18C4245A"/>
    <w:rsid w:val="18C4395D"/>
    <w:rsid w:val="18C474BD"/>
    <w:rsid w:val="18C53099"/>
    <w:rsid w:val="18C616C5"/>
    <w:rsid w:val="18C62271"/>
    <w:rsid w:val="18C63235"/>
    <w:rsid w:val="18C64FE3"/>
    <w:rsid w:val="18C66D91"/>
    <w:rsid w:val="18C70C1D"/>
    <w:rsid w:val="18C85C1C"/>
    <w:rsid w:val="18C95125"/>
    <w:rsid w:val="18CA0CDF"/>
    <w:rsid w:val="18CB01F7"/>
    <w:rsid w:val="18CB084B"/>
    <w:rsid w:val="18CB0BC9"/>
    <w:rsid w:val="18CB1AC9"/>
    <w:rsid w:val="18CB209A"/>
    <w:rsid w:val="18CB43A7"/>
    <w:rsid w:val="18CB5DF3"/>
    <w:rsid w:val="18CB64DE"/>
    <w:rsid w:val="18CB759E"/>
    <w:rsid w:val="18CC0A71"/>
    <w:rsid w:val="18CC2769"/>
    <w:rsid w:val="18CC35FF"/>
    <w:rsid w:val="18CC4CB0"/>
    <w:rsid w:val="18CC71F7"/>
    <w:rsid w:val="18CC7C0C"/>
    <w:rsid w:val="18CD0120"/>
    <w:rsid w:val="18CD115B"/>
    <w:rsid w:val="18CD4F1B"/>
    <w:rsid w:val="18CD6371"/>
    <w:rsid w:val="18CE173E"/>
    <w:rsid w:val="18CE20EA"/>
    <w:rsid w:val="18CE2455"/>
    <w:rsid w:val="18CE3E98"/>
    <w:rsid w:val="18CE4F71"/>
    <w:rsid w:val="18CE6B28"/>
    <w:rsid w:val="18CF73AF"/>
    <w:rsid w:val="18D01196"/>
    <w:rsid w:val="18D019BE"/>
    <w:rsid w:val="18D01E36"/>
    <w:rsid w:val="18D03EA1"/>
    <w:rsid w:val="18D0405D"/>
    <w:rsid w:val="18D05E62"/>
    <w:rsid w:val="18D07B51"/>
    <w:rsid w:val="18D07C10"/>
    <w:rsid w:val="18D10928"/>
    <w:rsid w:val="18D10D13"/>
    <w:rsid w:val="18D12AEF"/>
    <w:rsid w:val="18D13410"/>
    <w:rsid w:val="18D15E29"/>
    <w:rsid w:val="18D16EF5"/>
    <w:rsid w:val="18D17C3E"/>
    <w:rsid w:val="18D21BDA"/>
    <w:rsid w:val="18D22205"/>
    <w:rsid w:val="18D23988"/>
    <w:rsid w:val="18D23D00"/>
    <w:rsid w:val="18D248A0"/>
    <w:rsid w:val="18D25736"/>
    <w:rsid w:val="18D3114A"/>
    <w:rsid w:val="18D36993"/>
    <w:rsid w:val="18D374E4"/>
    <w:rsid w:val="18D42EF3"/>
    <w:rsid w:val="18D45952"/>
    <w:rsid w:val="18D55226"/>
    <w:rsid w:val="18D603BE"/>
    <w:rsid w:val="18D6206B"/>
    <w:rsid w:val="18D65DF2"/>
    <w:rsid w:val="18D70712"/>
    <w:rsid w:val="18D70A65"/>
    <w:rsid w:val="18D70F9E"/>
    <w:rsid w:val="18D71B4A"/>
    <w:rsid w:val="18D806C7"/>
    <w:rsid w:val="18D81BA2"/>
    <w:rsid w:val="18D8384E"/>
    <w:rsid w:val="18D855FF"/>
    <w:rsid w:val="18D86AC4"/>
    <w:rsid w:val="18D906F9"/>
    <w:rsid w:val="18D90FD9"/>
    <w:rsid w:val="18D92ADE"/>
    <w:rsid w:val="18D92D87"/>
    <w:rsid w:val="18D95687"/>
    <w:rsid w:val="18DA1A29"/>
    <w:rsid w:val="18DA44C2"/>
    <w:rsid w:val="18DA45EA"/>
    <w:rsid w:val="18DB0A28"/>
    <w:rsid w:val="18DB0CB2"/>
    <w:rsid w:val="18DB7D4E"/>
    <w:rsid w:val="18DC0DFB"/>
    <w:rsid w:val="18DC1C37"/>
    <w:rsid w:val="18DC2442"/>
    <w:rsid w:val="18DC4807"/>
    <w:rsid w:val="18DC65B5"/>
    <w:rsid w:val="18DE00ED"/>
    <w:rsid w:val="18DF0CDB"/>
    <w:rsid w:val="18DF217C"/>
    <w:rsid w:val="18DF2828"/>
    <w:rsid w:val="18DF42F7"/>
    <w:rsid w:val="18DF49E0"/>
    <w:rsid w:val="18DF6862"/>
    <w:rsid w:val="18DF6EA4"/>
    <w:rsid w:val="18E01A75"/>
    <w:rsid w:val="18E04FD7"/>
    <w:rsid w:val="18E065F2"/>
    <w:rsid w:val="18E11D41"/>
    <w:rsid w:val="18E11E5E"/>
    <w:rsid w:val="18E13BCB"/>
    <w:rsid w:val="18E1445B"/>
    <w:rsid w:val="18E15033"/>
    <w:rsid w:val="18E157A6"/>
    <w:rsid w:val="18E15979"/>
    <w:rsid w:val="18E17A47"/>
    <w:rsid w:val="18E20635"/>
    <w:rsid w:val="18E21452"/>
    <w:rsid w:val="18E2205B"/>
    <w:rsid w:val="18E22998"/>
    <w:rsid w:val="18E24A74"/>
    <w:rsid w:val="18E26F66"/>
    <w:rsid w:val="18E30C2C"/>
    <w:rsid w:val="18E3110D"/>
    <w:rsid w:val="18E35D83"/>
    <w:rsid w:val="18E36CB5"/>
    <w:rsid w:val="18E37F73"/>
    <w:rsid w:val="18E41886"/>
    <w:rsid w:val="18E42152"/>
    <w:rsid w:val="18E436BB"/>
    <w:rsid w:val="18E439C1"/>
    <w:rsid w:val="18E45469"/>
    <w:rsid w:val="18E45B15"/>
    <w:rsid w:val="18E5190D"/>
    <w:rsid w:val="18E558BA"/>
    <w:rsid w:val="18E611E1"/>
    <w:rsid w:val="18E6318C"/>
    <w:rsid w:val="18E641A6"/>
    <w:rsid w:val="18E65685"/>
    <w:rsid w:val="18E666E0"/>
    <w:rsid w:val="18E67373"/>
    <w:rsid w:val="18E67433"/>
    <w:rsid w:val="18E71199"/>
    <w:rsid w:val="18E77209"/>
    <w:rsid w:val="18E772F1"/>
    <w:rsid w:val="18E7759B"/>
    <w:rsid w:val="18E81697"/>
    <w:rsid w:val="18E8176B"/>
    <w:rsid w:val="18E831AB"/>
    <w:rsid w:val="18E831D4"/>
    <w:rsid w:val="18E8363B"/>
    <w:rsid w:val="18E84F59"/>
    <w:rsid w:val="18E86D07"/>
    <w:rsid w:val="18E92A80"/>
    <w:rsid w:val="18E92B27"/>
    <w:rsid w:val="18E974B7"/>
    <w:rsid w:val="18EA449B"/>
    <w:rsid w:val="18EA49AB"/>
    <w:rsid w:val="18EA56F8"/>
    <w:rsid w:val="18EA6F23"/>
    <w:rsid w:val="18EB11F0"/>
    <w:rsid w:val="18EB1D5B"/>
    <w:rsid w:val="18EB3585"/>
    <w:rsid w:val="18EB3687"/>
    <w:rsid w:val="18EB4A4A"/>
    <w:rsid w:val="18EB5CCC"/>
    <w:rsid w:val="18EB67F8"/>
    <w:rsid w:val="18EC105E"/>
    <w:rsid w:val="18EC4377"/>
    <w:rsid w:val="18EC47D9"/>
    <w:rsid w:val="18EC6E78"/>
    <w:rsid w:val="18EC7532"/>
    <w:rsid w:val="18ED00B4"/>
    <w:rsid w:val="18ED07C2"/>
    <w:rsid w:val="18ED44F8"/>
    <w:rsid w:val="18ED6A14"/>
    <w:rsid w:val="18EE17AA"/>
    <w:rsid w:val="18EF41CF"/>
    <w:rsid w:val="18EF4D65"/>
    <w:rsid w:val="18EF522D"/>
    <w:rsid w:val="18F02060"/>
    <w:rsid w:val="18F02379"/>
    <w:rsid w:val="18F0295E"/>
    <w:rsid w:val="18F0370A"/>
    <w:rsid w:val="18F05B41"/>
    <w:rsid w:val="18F116AE"/>
    <w:rsid w:val="18F15BED"/>
    <w:rsid w:val="18F17327"/>
    <w:rsid w:val="18F20959"/>
    <w:rsid w:val="18F25DD8"/>
    <w:rsid w:val="18F34742"/>
    <w:rsid w:val="18F4124C"/>
    <w:rsid w:val="18F4137B"/>
    <w:rsid w:val="18F41B50"/>
    <w:rsid w:val="18F41CA0"/>
    <w:rsid w:val="18F4360E"/>
    <w:rsid w:val="18F47C3A"/>
    <w:rsid w:val="18F50B9D"/>
    <w:rsid w:val="18F536DA"/>
    <w:rsid w:val="18F6130B"/>
    <w:rsid w:val="18F61A0C"/>
    <w:rsid w:val="18F61EDF"/>
    <w:rsid w:val="18F62FED"/>
    <w:rsid w:val="18F71640"/>
    <w:rsid w:val="18F74703"/>
    <w:rsid w:val="18F7519C"/>
    <w:rsid w:val="18F8062F"/>
    <w:rsid w:val="18F81C0C"/>
    <w:rsid w:val="18F90F15"/>
    <w:rsid w:val="18F92C42"/>
    <w:rsid w:val="18F96CDE"/>
    <w:rsid w:val="18FA0E8D"/>
    <w:rsid w:val="18FA4C8D"/>
    <w:rsid w:val="18FA70FD"/>
    <w:rsid w:val="18FA7B3B"/>
    <w:rsid w:val="18FB2A31"/>
    <w:rsid w:val="18FB30B6"/>
    <w:rsid w:val="18FB313D"/>
    <w:rsid w:val="18FC156D"/>
    <w:rsid w:val="18FC61DF"/>
    <w:rsid w:val="18FC7B0D"/>
    <w:rsid w:val="18FD73EA"/>
    <w:rsid w:val="18FE46A7"/>
    <w:rsid w:val="18FE4FFE"/>
    <w:rsid w:val="18FE5831"/>
    <w:rsid w:val="18FE652B"/>
    <w:rsid w:val="18FF0320"/>
    <w:rsid w:val="18FF22A3"/>
    <w:rsid w:val="18FF4051"/>
    <w:rsid w:val="18FF486D"/>
    <w:rsid w:val="18FF7392"/>
    <w:rsid w:val="19015AE7"/>
    <w:rsid w:val="19016EBE"/>
    <w:rsid w:val="19021717"/>
    <w:rsid w:val="190242AE"/>
    <w:rsid w:val="1903037F"/>
    <w:rsid w:val="190317C7"/>
    <w:rsid w:val="19031D93"/>
    <w:rsid w:val="190336CE"/>
    <w:rsid w:val="19033B41"/>
    <w:rsid w:val="190345FE"/>
    <w:rsid w:val="19034C10"/>
    <w:rsid w:val="1903529D"/>
    <w:rsid w:val="1904042A"/>
    <w:rsid w:val="19044755"/>
    <w:rsid w:val="19045B0B"/>
    <w:rsid w:val="19045ED6"/>
    <w:rsid w:val="190472F2"/>
    <w:rsid w:val="1904772F"/>
    <w:rsid w:val="19047829"/>
    <w:rsid w:val="19060D7D"/>
    <w:rsid w:val="19061883"/>
    <w:rsid w:val="19063271"/>
    <w:rsid w:val="19063631"/>
    <w:rsid w:val="1906493F"/>
    <w:rsid w:val="19064E99"/>
    <w:rsid w:val="190653E0"/>
    <w:rsid w:val="190675D8"/>
    <w:rsid w:val="1907272D"/>
    <w:rsid w:val="19073F67"/>
    <w:rsid w:val="19073FC4"/>
    <w:rsid w:val="190743BF"/>
    <w:rsid w:val="19074C20"/>
    <w:rsid w:val="190763A6"/>
    <w:rsid w:val="19076945"/>
    <w:rsid w:val="190778A0"/>
    <w:rsid w:val="19081158"/>
    <w:rsid w:val="190855FC"/>
    <w:rsid w:val="190860B0"/>
    <w:rsid w:val="190873AA"/>
    <w:rsid w:val="19090E1F"/>
    <w:rsid w:val="19093A57"/>
    <w:rsid w:val="19094ED0"/>
    <w:rsid w:val="190A1374"/>
    <w:rsid w:val="190A3122"/>
    <w:rsid w:val="190A35A1"/>
    <w:rsid w:val="190A6237"/>
    <w:rsid w:val="190A7EB5"/>
    <w:rsid w:val="190B0C48"/>
    <w:rsid w:val="190B50EC"/>
    <w:rsid w:val="190C1DFE"/>
    <w:rsid w:val="190C54F3"/>
    <w:rsid w:val="190C5EC1"/>
    <w:rsid w:val="190C6619"/>
    <w:rsid w:val="190D0448"/>
    <w:rsid w:val="190D18C0"/>
    <w:rsid w:val="190D2F2B"/>
    <w:rsid w:val="190D714E"/>
    <w:rsid w:val="190E37EA"/>
    <w:rsid w:val="190E4E08"/>
    <w:rsid w:val="190E73FA"/>
    <w:rsid w:val="190F0738"/>
    <w:rsid w:val="190F1EAC"/>
    <w:rsid w:val="190F2B7A"/>
    <w:rsid w:val="190F687E"/>
    <w:rsid w:val="190F698A"/>
    <w:rsid w:val="1910263A"/>
    <w:rsid w:val="19102702"/>
    <w:rsid w:val="191042A0"/>
    <w:rsid w:val="19105CD2"/>
    <w:rsid w:val="1910625E"/>
    <w:rsid w:val="191065C7"/>
    <w:rsid w:val="19111218"/>
    <w:rsid w:val="191127F1"/>
    <w:rsid w:val="19113002"/>
    <w:rsid w:val="19113539"/>
    <w:rsid w:val="19113FC7"/>
    <w:rsid w:val="19115CCC"/>
    <w:rsid w:val="19117142"/>
    <w:rsid w:val="1911757B"/>
    <w:rsid w:val="19117E12"/>
    <w:rsid w:val="19120228"/>
    <w:rsid w:val="191209ED"/>
    <w:rsid w:val="19121FD6"/>
    <w:rsid w:val="191226E6"/>
    <w:rsid w:val="19122F73"/>
    <w:rsid w:val="19131CE1"/>
    <w:rsid w:val="191334EC"/>
    <w:rsid w:val="19137AFC"/>
    <w:rsid w:val="19143FA0"/>
    <w:rsid w:val="191472FD"/>
    <w:rsid w:val="19151AC7"/>
    <w:rsid w:val="19151C58"/>
    <w:rsid w:val="19152E47"/>
    <w:rsid w:val="19153875"/>
    <w:rsid w:val="1915730A"/>
    <w:rsid w:val="1916193E"/>
    <w:rsid w:val="19161F58"/>
    <w:rsid w:val="1916459A"/>
    <w:rsid w:val="19172874"/>
    <w:rsid w:val="19173992"/>
    <w:rsid w:val="191757FC"/>
    <w:rsid w:val="191775ED"/>
    <w:rsid w:val="19180927"/>
    <w:rsid w:val="19183090"/>
    <w:rsid w:val="191832B1"/>
    <w:rsid w:val="1918411A"/>
    <w:rsid w:val="19184B67"/>
    <w:rsid w:val="19191C06"/>
    <w:rsid w:val="19193365"/>
    <w:rsid w:val="191A1955"/>
    <w:rsid w:val="191A70DD"/>
    <w:rsid w:val="191B034D"/>
    <w:rsid w:val="191B43D3"/>
    <w:rsid w:val="191B6861"/>
    <w:rsid w:val="191C0587"/>
    <w:rsid w:val="191C4E46"/>
    <w:rsid w:val="191C572B"/>
    <w:rsid w:val="191D46A7"/>
    <w:rsid w:val="191D7E85"/>
    <w:rsid w:val="191E097B"/>
    <w:rsid w:val="191E14DB"/>
    <w:rsid w:val="191E4875"/>
    <w:rsid w:val="191E4E1F"/>
    <w:rsid w:val="191E5DD4"/>
    <w:rsid w:val="191E6BCD"/>
    <w:rsid w:val="191F46F3"/>
    <w:rsid w:val="191F5239"/>
    <w:rsid w:val="191F5A0F"/>
    <w:rsid w:val="19206F08"/>
    <w:rsid w:val="1921046B"/>
    <w:rsid w:val="19210946"/>
    <w:rsid w:val="19210F62"/>
    <w:rsid w:val="19211A9E"/>
    <w:rsid w:val="19211CBF"/>
    <w:rsid w:val="19212219"/>
    <w:rsid w:val="19215513"/>
    <w:rsid w:val="19215EE7"/>
    <w:rsid w:val="19216C57"/>
    <w:rsid w:val="19217932"/>
    <w:rsid w:val="19221378"/>
    <w:rsid w:val="19222934"/>
    <w:rsid w:val="19222CB8"/>
    <w:rsid w:val="19232435"/>
    <w:rsid w:val="19234148"/>
    <w:rsid w:val="19234420"/>
    <w:rsid w:val="192345B4"/>
    <w:rsid w:val="19240F9F"/>
    <w:rsid w:val="19246D19"/>
    <w:rsid w:val="19251056"/>
    <w:rsid w:val="19252028"/>
    <w:rsid w:val="192523B3"/>
    <w:rsid w:val="19252456"/>
    <w:rsid w:val="19255746"/>
    <w:rsid w:val="192572A1"/>
    <w:rsid w:val="1926072E"/>
    <w:rsid w:val="19261D30"/>
    <w:rsid w:val="1926420A"/>
    <w:rsid w:val="1926557E"/>
    <w:rsid w:val="19267830"/>
    <w:rsid w:val="19280B8B"/>
    <w:rsid w:val="19281257"/>
    <w:rsid w:val="192817FA"/>
    <w:rsid w:val="19281EE1"/>
    <w:rsid w:val="192835A8"/>
    <w:rsid w:val="19287A4C"/>
    <w:rsid w:val="19290C12"/>
    <w:rsid w:val="19291C69"/>
    <w:rsid w:val="19297320"/>
    <w:rsid w:val="192A0C72"/>
    <w:rsid w:val="192A2B8B"/>
    <w:rsid w:val="192B0D08"/>
    <w:rsid w:val="192B12EA"/>
    <w:rsid w:val="192B212A"/>
    <w:rsid w:val="192B4E46"/>
    <w:rsid w:val="192C353D"/>
    <w:rsid w:val="192C54AB"/>
    <w:rsid w:val="192C753C"/>
    <w:rsid w:val="192D0BBE"/>
    <w:rsid w:val="192D150C"/>
    <w:rsid w:val="192D4534"/>
    <w:rsid w:val="192D5062"/>
    <w:rsid w:val="192D76BC"/>
    <w:rsid w:val="192E0B0E"/>
    <w:rsid w:val="192E125B"/>
    <w:rsid w:val="192E3E0E"/>
    <w:rsid w:val="192E4191"/>
    <w:rsid w:val="192E42A3"/>
    <w:rsid w:val="192E4C00"/>
    <w:rsid w:val="192E6FD2"/>
    <w:rsid w:val="192E75F5"/>
    <w:rsid w:val="192E7DCB"/>
    <w:rsid w:val="192F0555"/>
    <w:rsid w:val="192F0DDA"/>
    <w:rsid w:val="192F2B88"/>
    <w:rsid w:val="192F306D"/>
    <w:rsid w:val="192F5675"/>
    <w:rsid w:val="192F6848"/>
    <w:rsid w:val="192F75CC"/>
    <w:rsid w:val="19300B15"/>
    <w:rsid w:val="193011C0"/>
    <w:rsid w:val="19304649"/>
    <w:rsid w:val="193051F8"/>
    <w:rsid w:val="19306900"/>
    <w:rsid w:val="19310CEC"/>
    <w:rsid w:val="1931277D"/>
    <w:rsid w:val="193132E0"/>
    <w:rsid w:val="19313D8D"/>
    <w:rsid w:val="193163BA"/>
    <w:rsid w:val="193167C2"/>
    <w:rsid w:val="193172B1"/>
    <w:rsid w:val="193175D1"/>
    <w:rsid w:val="193208CA"/>
    <w:rsid w:val="19322678"/>
    <w:rsid w:val="193227AD"/>
    <w:rsid w:val="19322D9F"/>
    <w:rsid w:val="193267C6"/>
    <w:rsid w:val="19341070"/>
    <w:rsid w:val="19341F4D"/>
    <w:rsid w:val="19342DA4"/>
    <w:rsid w:val="1934680E"/>
    <w:rsid w:val="1935233D"/>
    <w:rsid w:val="19353F17"/>
    <w:rsid w:val="193550DD"/>
    <w:rsid w:val="19355CC5"/>
    <w:rsid w:val="19357696"/>
    <w:rsid w:val="1936112E"/>
    <w:rsid w:val="19362169"/>
    <w:rsid w:val="19362F45"/>
    <w:rsid w:val="1936315D"/>
    <w:rsid w:val="19365AF2"/>
    <w:rsid w:val="19365B64"/>
    <w:rsid w:val="19366C83"/>
    <w:rsid w:val="19366E71"/>
    <w:rsid w:val="19367D4E"/>
    <w:rsid w:val="19370284"/>
    <w:rsid w:val="19375EE1"/>
    <w:rsid w:val="19377C8F"/>
    <w:rsid w:val="19382DE2"/>
    <w:rsid w:val="19384B77"/>
    <w:rsid w:val="19385E8A"/>
    <w:rsid w:val="1938661F"/>
    <w:rsid w:val="19391096"/>
    <w:rsid w:val="193928C8"/>
    <w:rsid w:val="193957B5"/>
    <w:rsid w:val="19397563"/>
    <w:rsid w:val="193A152D"/>
    <w:rsid w:val="193A32DB"/>
    <w:rsid w:val="193A4867"/>
    <w:rsid w:val="193A5B8B"/>
    <w:rsid w:val="193B008C"/>
    <w:rsid w:val="193B16E2"/>
    <w:rsid w:val="193B2C45"/>
    <w:rsid w:val="193B48F5"/>
    <w:rsid w:val="193B574B"/>
    <w:rsid w:val="193B5E3E"/>
    <w:rsid w:val="193B66E4"/>
    <w:rsid w:val="193C34F7"/>
    <w:rsid w:val="193C52A5"/>
    <w:rsid w:val="193C6013"/>
    <w:rsid w:val="193C7053"/>
    <w:rsid w:val="193C7538"/>
    <w:rsid w:val="193C7E6F"/>
    <w:rsid w:val="193D1A67"/>
    <w:rsid w:val="193D78C0"/>
    <w:rsid w:val="193E05E4"/>
    <w:rsid w:val="193E0799"/>
    <w:rsid w:val="193E2491"/>
    <w:rsid w:val="193E2DCB"/>
    <w:rsid w:val="193E4A18"/>
    <w:rsid w:val="193E5C09"/>
    <w:rsid w:val="193E7AC8"/>
    <w:rsid w:val="193F08F1"/>
    <w:rsid w:val="19401909"/>
    <w:rsid w:val="19404D55"/>
    <w:rsid w:val="19404D95"/>
    <w:rsid w:val="19404DB1"/>
    <w:rsid w:val="194054DA"/>
    <w:rsid w:val="194058A2"/>
    <w:rsid w:val="19410F9C"/>
    <w:rsid w:val="194126BA"/>
    <w:rsid w:val="19415F0A"/>
    <w:rsid w:val="1941774B"/>
    <w:rsid w:val="19420E71"/>
    <w:rsid w:val="19425C84"/>
    <w:rsid w:val="194270ED"/>
    <w:rsid w:val="19433732"/>
    <w:rsid w:val="194406A3"/>
    <w:rsid w:val="19445F08"/>
    <w:rsid w:val="194505FE"/>
    <w:rsid w:val="19450E35"/>
    <w:rsid w:val="19454C0C"/>
    <w:rsid w:val="19457793"/>
    <w:rsid w:val="19460324"/>
    <w:rsid w:val="19460C23"/>
    <w:rsid w:val="19461C80"/>
    <w:rsid w:val="194637AA"/>
    <w:rsid w:val="194663FF"/>
    <w:rsid w:val="19467ED2"/>
    <w:rsid w:val="194704B9"/>
    <w:rsid w:val="19470720"/>
    <w:rsid w:val="19472B76"/>
    <w:rsid w:val="19474EED"/>
    <w:rsid w:val="1947510C"/>
    <w:rsid w:val="194761DC"/>
    <w:rsid w:val="19477912"/>
    <w:rsid w:val="194806F9"/>
    <w:rsid w:val="19480A58"/>
    <w:rsid w:val="19480CE2"/>
    <w:rsid w:val="19480D5E"/>
    <w:rsid w:val="19483C4A"/>
    <w:rsid w:val="19483F65"/>
    <w:rsid w:val="1948469B"/>
    <w:rsid w:val="19484762"/>
    <w:rsid w:val="194849F0"/>
    <w:rsid w:val="1948538A"/>
    <w:rsid w:val="19495DE9"/>
    <w:rsid w:val="194A230B"/>
    <w:rsid w:val="194A52E8"/>
    <w:rsid w:val="194A69CE"/>
    <w:rsid w:val="194A79C2"/>
    <w:rsid w:val="194B1FF3"/>
    <w:rsid w:val="194B373A"/>
    <w:rsid w:val="194B3CDE"/>
    <w:rsid w:val="194B4A95"/>
    <w:rsid w:val="194B54E8"/>
    <w:rsid w:val="194B7296"/>
    <w:rsid w:val="194C3D23"/>
    <w:rsid w:val="194C4A13"/>
    <w:rsid w:val="194D1E1E"/>
    <w:rsid w:val="194D237F"/>
    <w:rsid w:val="194D300E"/>
    <w:rsid w:val="194D74B2"/>
    <w:rsid w:val="194E2AB3"/>
    <w:rsid w:val="194E582A"/>
    <w:rsid w:val="194F2D4C"/>
    <w:rsid w:val="194F2E20"/>
    <w:rsid w:val="194F322A"/>
    <w:rsid w:val="194F3D00"/>
    <w:rsid w:val="194F6756"/>
    <w:rsid w:val="194F6889"/>
    <w:rsid w:val="19501F27"/>
    <w:rsid w:val="19502AFF"/>
    <w:rsid w:val="19503ADA"/>
    <w:rsid w:val="19510D51"/>
    <w:rsid w:val="19512878"/>
    <w:rsid w:val="19516FA3"/>
    <w:rsid w:val="19521E93"/>
    <w:rsid w:val="19524AC9"/>
    <w:rsid w:val="195271C6"/>
    <w:rsid w:val="1953364E"/>
    <w:rsid w:val="19535F87"/>
    <w:rsid w:val="19536A6C"/>
    <w:rsid w:val="195423E1"/>
    <w:rsid w:val="1954439D"/>
    <w:rsid w:val="195475B9"/>
    <w:rsid w:val="19551028"/>
    <w:rsid w:val="19552113"/>
    <w:rsid w:val="19555B47"/>
    <w:rsid w:val="1955766B"/>
    <w:rsid w:val="19561484"/>
    <w:rsid w:val="19566367"/>
    <w:rsid w:val="19567A2F"/>
    <w:rsid w:val="195720DF"/>
    <w:rsid w:val="19573038"/>
    <w:rsid w:val="19573229"/>
    <w:rsid w:val="19573BAC"/>
    <w:rsid w:val="1958313F"/>
    <w:rsid w:val="19583D6B"/>
    <w:rsid w:val="19586AB8"/>
    <w:rsid w:val="19586C78"/>
    <w:rsid w:val="19597C05"/>
    <w:rsid w:val="195A252D"/>
    <w:rsid w:val="195A40BC"/>
    <w:rsid w:val="195A572B"/>
    <w:rsid w:val="195A5A29"/>
    <w:rsid w:val="195A5FE0"/>
    <w:rsid w:val="195A686C"/>
    <w:rsid w:val="195B19B9"/>
    <w:rsid w:val="195B397D"/>
    <w:rsid w:val="195B4063"/>
    <w:rsid w:val="195B559E"/>
    <w:rsid w:val="195B6258"/>
    <w:rsid w:val="195C5947"/>
    <w:rsid w:val="195C76F5"/>
    <w:rsid w:val="195D00B2"/>
    <w:rsid w:val="195D0B19"/>
    <w:rsid w:val="195D265E"/>
    <w:rsid w:val="195D2992"/>
    <w:rsid w:val="195D3B71"/>
    <w:rsid w:val="195E16BF"/>
    <w:rsid w:val="195E2735"/>
    <w:rsid w:val="195E4618"/>
    <w:rsid w:val="195E521C"/>
    <w:rsid w:val="195E5F61"/>
    <w:rsid w:val="195F27E6"/>
    <w:rsid w:val="195F4FD3"/>
    <w:rsid w:val="195F6F95"/>
    <w:rsid w:val="1960087A"/>
    <w:rsid w:val="19600F94"/>
    <w:rsid w:val="19601480"/>
    <w:rsid w:val="196026BC"/>
    <w:rsid w:val="19603E15"/>
    <w:rsid w:val="19610D62"/>
    <w:rsid w:val="19611561"/>
    <w:rsid w:val="19612025"/>
    <w:rsid w:val="196121FF"/>
    <w:rsid w:val="19616271"/>
    <w:rsid w:val="1961708F"/>
    <w:rsid w:val="19617909"/>
    <w:rsid w:val="196227E5"/>
    <w:rsid w:val="19622F5E"/>
    <w:rsid w:val="19623AE1"/>
    <w:rsid w:val="19625ED7"/>
    <w:rsid w:val="196272B2"/>
    <w:rsid w:val="19627FD3"/>
    <w:rsid w:val="19630947"/>
    <w:rsid w:val="19632AAB"/>
    <w:rsid w:val="19643EB2"/>
    <w:rsid w:val="19651BF9"/>
    <w:rsid w:val="196522FD"/>
    <w:rsid w:val="19652BA9"/>
    <w:rsid w:val="19653508"/>
    <w:rsid w:val="196547FC"/>
    <w:rsid w:val="196565AA"/>
    <w:rsid w:val="1965776C"/>
    <w:rsid w:val="19661C2D"/>
    <w:rsid w:val="19662322"/>
    <w:rsid w:val="19662A38"/>
    <w:rsid w:val="19663A0F"/>
    <w:rsid w:val="19663BD2"/>
    <w:rsid w:val="19667E4D"/>
    <w:rsid w:val="196703CF"/>
    <w:rsid w:val="19670574"/>
    <w:rsid w:val="19672457"/>
    <w:rsid w:val="19676753"/>
    <w:rsid w:val="19676A15"/>
    <w:rsid w:val="196828A6"/>
    <w:rsid w:val="19683308"/>
    <w:rsid w:val="196842EC"/>
    <w:rsid w:val="19685AE8"/>
    <w:rsid w:val="1968609A"/>
    <w:rsid w:val="19687603"/>
    <w:rsid w:val="19687A5A"/>
    <w:rsid w:val="19687E48"/>
    <w:rsid w:val="19691176"/>
    <w:rsid w:val="196938FF"/>
    <w:rsid w:val="19693EF6"/>
    <w:rsid w:val="19693F48"/>
    <w:rsid w:val="1969544D"/>
    <w:rsid w:val="19697BC5"/>
    <w:rsid w:val="19697BEA"/>
    <w:rsid w:val="19697DA3"/>
    <w:rsid w:val="196A001E"/>
    <w:rsid w:val="196A234C"/>
    <w:rsid w:val="196A3824"/>
    <w:rsid w:val="196A4871"/>
    <w:rsid w:val="196A5A47"/>
    <w:rsid w:val="196A68DD"/>
    <w:rsid w:val="196A752D"/>
    <w:rsid w:val="196A7D21"/>
    <w:rsid w:val="196B100C"/>
    <w:rsid w:val="196B38A7"/>
    <w:rsid w:val="196B63FE"/>
    <w:rsid w:val="196B7938"/>
    <w:rsid w:val="196B7D1B"/>
    <w:rsid w:val="196C11FD"/>
    <w:rsid w:val="196C2483"/>
    <w:rsid w:val="196C293E"/>
    <w:rsid w:val="196C5B8A"/>
    <w:rsid w:val="196D21BC"/>
    <w:rsid w:val="196D36B1"/>
    <w:rsid w:val="196D399D"/>
    <w:rsid w:val="196D3DCE"/>
    <w:rsid w:val="196D545F"/>
    <w:rsid w:val="196D58D0"/>
    <w:rsid w:val="196E0CB9"/>
    <w:rsid w:val="196E4202"/>
    <w:rsid w:val="196E5CE0"/>
    <w:rsid w:val="196E6778"/>
    <w:rsid w:val="196E7442"/>
    <w:rsid w:val="196F07C1"/>
    <w:rsid w:val="196F2489"/>
    <w:rsid w:val="196F3587"/>
    <w:rsid w:val="196F7429"/>
    <w:rsid w:val="1970274F"/>
    <w:rsid w:val="19705FEF"/>
    <w:rsid w:val="19706CFD"/>
    <w:rsid w:val="19707A49"/>
    <w:rsid w:val="197113F3"/>
    <w:rsid w:val="1972065C"/>
    <w:rsid w:val="19722A75"/>
    <w:rsid w:val="19723213"/>
    <w:rsid w:val="19723C32"/>
    <w:rsid w:val="197267B0"/>
    <w:rsid w:val="1973485B"/>
    <w:rsid w:val="19740CB5"/>
    <w:rsid w:val="19741222"/>
    <w:rsid w:val="19742560"/>
    <w:rsid w:val="19742C91"/>
    <w:rsid w:val="19743CA1"/>
    <w:rsid w:val="19744A3F"/>
    <w:rsid w:val="197467ED"/>
    <w:rsid w:val="19747CF1"/>
    <w:rsid w:val="1975265B"/>
    <w:rsid w:val="19755BE4"/>
    <w:rsid w:val="197610D6"/>
    <w:rsid w:val="19762565"/>
    <w:rsid w:val="19763465"/>
    <w:rsid w:val="197639FB"/>
    <w:rsid w:val="19765824"/>
    <w:rsid w:val="197662E8"/>
    <w:rsid w:val="19766A09"/>
    <w:rsid w:val="1977452F"/>
    <w:rsid w:val="19774D0B"/>
    <w:rsid w:val="19775963"/>
    <w:rsid w:val="197772EE"/>
    <w:rsid w:val="19777AF0"/>
    <w:rsid w:val="197829EE"/>
    <w:rsid w:val="19790028"/>
    <w:rsid w:val="197902A7"/>
    <w:rsid w:val="19792055"/>
    <w:rsid w:val="19796108"/>
    <w:rsid w:val="197967A6"/>
    <w:rsid w:val="19797C66"/>
    <w:rsid w:val="197A3BFC"/>
    <w:rsid w:val="197B3EF6"/>
    <w:rsid w:val="197B52A5"/>
    <w:rsid w:val="197B5DCD"/>
    <w:rsid w:val="197B636B"/>
    <w:rsid w:val="197B7B7C"/>
    <w:rsid w:val="197C1B46"/>
    <w:rsid w:val="197C3688"/>
    <w:rsid w:val="197C38F4"/>
    <w:rsid w:val="197D106E"/>
    <w:rsid w:val="197D6E85"/>
    <w:rsid w:val="197E0702"/>
    <w:rsid w:val="197E0A2D"/>
    <w:rsid w:val="197E4C62"/>
    <w:rsid w:val="197E5BA7"/>
    <w:rsid w:val="197E703E"/>
    <w:rsid w:val="197E766C"/>
    <w:rsid w:val="197F22D8"/>
    <w:rsid w:val="197F7673"/>
    <w:rsid w:val="19800360"/>
    <w:rsid w:val="19801636"/>
    <w:rsid w:val="198033E4"/>
    <w:rsid w:val="19804D52"/>
    <w:rsid w:val="19805192"/>
    <w:rsid w:val="19810F0A"/>
    <w:rsid w:val="19815D45"/>
    <w:rsid w:val="198205A9"/>
    <w:rsid w:val="1982239D"/>
    <w:rsid w:val="198237D9"/>
    <w:rsid w:val="198253AE"/>
    <w:rsid w:val="19826342"/>
    <w:rsid w:val="19831126"/>
    <w:rsid w:val="19832ED4"/>
    <w:rsid w:val="19832F59"/>
    <w:rsid w:val="19833EFF"/>
    <w:rsid w:val="19834664"/>
    <w:rsid w:val="19834C82"/>
    <w:rsid w:val="19835FF4"/>
    <w:rsid w:val="19836A30"/>
    <w:rsid w:val="1984044B"/>
    <w:rsid w:val="19852745"/>
    <w:rsid w:val="19852BEB"/>
    <w:rsid w:val="198565DC"/>
    <w:rsid w:val="19856C4C"/>
    <w:rsid w:val="19860794"/>
    <w:rsid w:val="19867228"/>
    <w:rsid w:val="1986742A"/>
    <w:rsid w:val="19874772"/>
    <w:rsid w:val="19875565"/>
    <w:rsid w:val="1987666C"/>
    <w:rsid w:val="198804EA"/>
    <w:rsid w:val="19883831"/>
    <w:rsid w:val="19885933"/>
    <w:rsid w:val="1988673C"/>
    <w:rsid w:val="198A19EF"/>
    <w:rsid w:val="198A1B24"/>
    <w:rsid w:val="198A4263"/>
    <w:rsid w:val="198A6011"/>
    <w:rsid w:val="198A744B"/>
    <w:rsid w:val="198A7DBF"/>
    <w:rsid w:val="198B1D56"/>
    <w:rsid w:val="198B3B37"/>
    <w:rsid w:val="198B556B"/>
    <w:rsid w:val="198B5B6C"/>
    <w:rsid w:val="198B6616"/>
    <w:rsid w:val="198C1D89"/>
    <w:rsid w:val="198C1DFF"/>
    <w:rsid w:val="198C405D"/>
    <w:rsid w:val="198D1699"/>
    <w:rsid w:val="198D3D53"/>
    <w:rsid w:val="198D5725"/>
    <w:rsid w:val="198D78AF"/>
    <w:rsid w:val="198E2087"/>
    <w:rsid w:val="198E20AA"/>
    <w:rsid w:val="198E4282"/>
    <w:rsid w:val="198E4339"/>
    <w:rsid w:val="198E4E48"/>
    <w:rsid w:val="198E5608"/>
    <w:rsid w:val="198E7DE3"/>
    <w:rsid w:val="198F3627"/>
    <w:rsid w:val="198F7ACB"/>
    <w:rsid w:val="1990438D"/>
    <w:rsid w:val="19904988"/>
    <w:rsid w:val="19910ECE"/>
    <w:rsid w:val="19911A88"/>
    <w:rsid w:val="199131C9"/>
    <w:rsid w:val="199155F1"/>
    <w:rsid w:val="19915C21"/>
    <w:rsid w:val="1991791D"/>
    <w:rsid w:val="1992230A"/>
    <w:rsid w:val="19922552"/>
    <w:rsid w:val="19923117"/>
    <w:rsid w:val="1992439C"/>
    <w:rsid w:val="19924EC5"/>
    <w:rsid w:val="19930995"/>
    <w:rsid w:val="19932D81"/>
    <w:rsid w:val="19933A4B"/>
    <w:rsid w:val="19940C3D"/>
    <w:rsid w:val="199426A6"/>
    <w:rsid w:val="199450E1"/>
    <w:rsid w:val="19945C2E"/>
    <w:rsid w:val="199572B8"/>
    <w:rsid w:val="19960E59"/>
    <w:rsid w:val="19962C07"/>
    <w:rsid w:val="199649B5"/>
    <w:rsid w:val="19967002"/>
    <w:rsid w:val="199671F1"/>
    <w:rsid w:val="199717B2"/>
    <w:rsid w:val="199724DC"/>
    <w:rsid w:val="1997703B"/>
    <w:rsid w:val="19977D42"/>
    <w:rsid w:val="19987D23"/>
    <w:rsid w:val="199926F8"/>
    <w:rsid w:val="199960F7"/>
    <w:rsid w:val="199A3C4D"/>
    <w:rsid w:val="199B021E"/>
    <w:rsid w:val="199B6E4C"/>
    <w:rsid w:val="199C2CE5"/>
    <w:rsid w:val="199C4577"/>
    <w:rsid w:val="199D0E0A"/>
    <w:rsid w:val="199D21E8"/>
    <w:rsid w:val="199D26CE"/>
    <w:rsid w:val="199D3F96"/>
    <w:rsid w:val="199D571E"/>
    <w:rsid w:val="199D694E"/>
    <w:rsid w:val="199D7B67"/>
    <w:rsid w:val="199E1C92"/>
    <w:rsid w:val="199E2EC5"/>
    <w:rsid w:val="199E386A"/>
    <w:rsid w:val="199E673F"/>
    <w:rsid w:val="199E7321"/>
    <w:rsid w:val="199E763B"/>
    <w:rsid w:val="199F6D74"/>
    <w:rsid w:val="19A00343"/>
    <w:rsid w:val="19A03A86"/>
    <w:rsid w:val="19A04626"/>
    <w:rsid w:val="19A05834"/>
    <w:rsid w:val="19A075E2"/>
    <w:rsid w:val="19A1157D"/>
    <w:rsid w:val="19A1242E"/>
    <w:rsid w:val="19A12599"/>
    <w:rsid w:val="19A129A0"/>
    <w:rsid w:val="19A12CBE"/>
    <w:rsid w:val="19A1335A"/>
    <w:rsid w:val="19A15E49"/>
    <w:rsid w:val="19A177F0"/>
    <w:rsid w:val="19A21537"/>
    <w:rsid w:val="19A22930"/>
    <w:rsid w:val="19A22A9C"/>
    <w:rsid w:val="19A25A77"/>
    <w:rsid w:val="19A277FE"/>
    <w:rsid w:val="19A30417"/>
    <w:rsid w:val="19A30856"/>
    <w:rsid w:val="19A30CEB"/>
    <w:rsid w:val="19A35324"/>
    <w:rsid w:val="19A37882"/>
    <w:rsid w:val="19A4086C"/>
    <w:rsid w:val="19A40A22"/>
    <w:rsid w:val="19A42839"/>
    <w:rsid w:val="19A46E4F"/>
    <w:rsid w:val="19A46E95"/>
    <w:rsid w:val="19A5109C"/>
    <w:rsid w:val="19A52E4A"/>
    <w:rsid w:val="19A56644"/>
    <w:rsid w:val="19A57783"/>
    <w:rsid w:val="19A60971"/>
    <w:rsid w:val="19A612C1"/>
    <w:rsid w:val="19A67EE0"/>
    <w:rsid w:val="19A74C49"/>
    <w:rsid w:val="19A846E9"/>
    <w:rsid w:val="19A858C8"/>
    <w:rsid w:val="19A8687F"/>
    <w:rsid w:val="19A8745A"/>
    <w:rsid w:val="19A876D2"/>
    <w:rsid w:val="19A97D0F"/>
    <w:rsid w:val="19AA0461"/>
    <w:rsid w:val="19AA1141"/>
    <w:rsid w:val="19AA379E"/>
    <w:rsid w:val="19AB1C0A"/>
    <w:rsid w:val="19AB5D1A"/>
    <w:rsid w:val="19AB6FCC"/>
    <w:rsid w:val="19AC242B"/>
    <w:rsid w:val="19AC278D"/>
    <w:rsid w:val="19AC48EA"/>
    <w:rsid w:val="19AD2AAF"/>
    <w:rsid w:val="19AD652D"/>
    <w:rsid w:val="19AE1B93"/>
    <w:rsid w:val="19AE26F1"/>
    <w:rsid w:val="19AE371B"/>
    <w:rsid w:val="19AE61A3"/>
    <w:rsid w:val="19AE61AF"/>
    <w:rsid w:val="19AF087D"/>
    <w:rsid w:val="19AF116D"/>
    <w:rsid w:val="19AF1F1B"/>
    <w:rsid w:val="19AF3CC9"/>
    <w:rsid w:val="19AF410E"/>
    <w:rsid w:val="19AF619C"/>
    <w:rsid w:val="19AF6752"/>
    <w:rsid w:val="19AF6B44"/>
    <w:rsid w:val="19B00A71"/>
    <w:rsid w:val="19B01524"/>
    <w:rsid w:val="19B06962"/>
    <w:rsid w:val="19B12FE8"/>
    <w:rsid w:val="19B1359D"/>
    <w:rsid w:val="19B13FAC"/>
    <w:rsid w:val="19B150A8"/>
    <w:rsid w:val="19B16C81"/>
    <w:rsid w:val="19B17103"/>
    <w:rsid w:val="19B25A82"/>
    <w:rsid w:val="19B30D76"/>
    <w:rsid w:val="19B32E94"/>
    <w:rsid w:val="19B42F51"/>
    <w:rsid w:val="19B4308D"/>
    <w:rsid w:val="19B44760"/>
    <w:rsid w:val="19B57BBE"/>
    <w:rsid w:val="19B604AA"/>
    <w:rsid w:val="19B60BB4"/>
    <w:rsid w:val="19B63A54"/>
    <w:rsid w:val="19B65058"/>
    <w:rsid w:val="19B66E06"/>
    <w:rsid w:val="19B67074"/>
    <w:rsid w:val="19B727D5"/>
    <w:rsid w:val="19B7492C"/>
    <w:rsid w:val="19B77220"/>
    <w:rsid w:val="19B80DD0"/>
    <w:rsid w:val="19B80F45"/>
    <w:rsid w:val="19B83C8D"/>
    <w:rsid w:val="19B84892"/>
    <w:rsid w:val="19B906A4"/>
    <w:rsid w:val="19B90C59"/>
    <w:rsid w:val="19B93006"/>
    <w:rsid w:val="19B93EAC"/>
    <w:rsid w:val="19B94B48"/>
    <w:rsid w:val="19B94DBE"/>
    <w:rsid w:val="19B97302"/>
    <w:rsid w:val="19BA0BF5"/>
    <w:rsid w:val="19BA2D6A"/>
    <w:rsid w:val="19BA322A"/>
    <w:rsid w:val="19BA3C3F"/>
    <w:rsid w:val="19BA6CFE"/>
    <w:rsid w:val="19BB1A59"/>
    <w:rsid w:val="19BB260E"/>
    <w:rsid w:val="19BB266E"/>
    <w:rsid w:val="19BB441C"/>
    <w:rsid w:val="19BC1F42"/>
    <w:rsid w:val="19BC4D93"/>
    <w:rsid w:val="19BC63F1"/>
    <w:rsid w:val="19BC6664"/>
    <w:rsid w:val="19BD0BE9"/>
    <w:rsid w:val="19BE3F0C"/>
    <w:rsid w:val="19BE7997"/>
    <w:rsid w:val="19BF011F"/>
    <w:rsid w:val="19BF10C6"/>
    <w:rsid w:val="19BF4787"/>
    <w:rsid w:val="19BF4B06"/>
    <w:rsid w:val="19BF6400"/>
    <w:rsid w:val="19BF6E5F"/>
    <w:rsid w:val="19BF71CA"/>
    <w:rsid w:val="19BF7295"/>
    <w:rsid w:val="19BF78A1"/>
    <w:rsid w:val="19C00A2E"/>
    <w:rsid w:val="19C01A32"/>
    <w:rsid w:val="19C02675"/>
    <w:rsid w:val="19C05A15"/>
    <w:rsid w:val="19C05EFA"/>
    <w:rsid w:val="19C07C84"/>
    <w:rsid w:val="19C15826"/>
    <w:rsid w:val="19C15A05"/>
    <w:rsid w:val="19C20388"/>
    <w:rsid w:val="19C2078A"/>
    <w:rsid w:val="19C20D00"/>
    <w:rsid w:val="19C223C1"/>
    <w:rsid w:val="19C239FC"/>
    <w:rsid w:val="19C31523"/>
    <w:rsid w:val="19C36058"/>
    <w:rsid w:val="19C36473"/>
    <w:rsid w:val="19C42486"/>
    <w:rsid w:val="19C44917"/>
    <w:rsid w:val="19C45D3D"/>
    <w:rsid w:val="19C474E8"/>
    <w:rsid w:val="19C50978"/>
    <w:rsid w:val="19C534ED"/>
    <w:rsid w:val="19C5418C"/>
    <w:rsid w:val="19C541D8"/>
    <w:rsid w:val="19C5529B"/>
    <w:rsid w:val="19C56783"/>
    <w:rsid w:val="19C5713E"/>
    <w:rsid w:val="19C62DC2"/>
    <w:rsid w:val="19C70739"/>
    <w:rsid w:val="19C71013"/>
    <w:rsid w:val="19C74A89"/>
    <w:rsid w:val="19C77265"/>
    <w:rsid w:val="19C808E7"/>
    <w:rsid w:val="19C81505"/>
    <w:rsid w:val="19C84D8B"/>
    <w:rsid w:val="19C855DB"/>
    <w:rsid w:val="19C86B39"/>
    <w:rsid w:val="19C90789"/>
    <w:rsid w:val="19C90BAE"/>
    <w:rsid w:val="19C92FDD"/>
    <w:rsid w:val="19C972F9"/>
    <w:rsid w:val="19CA15FD"/>
    <w:rsid w:val="19CA290F"/>
    <w:rsid w:val="19CA63C7"/>
    <w:rsid w:val="19CA6C40"/>
    <w:rsid w:val="19CB3BCD"/>
    <w:rsid w:val="19CB64B0"/>
    <w:rsid w:val="19CC3174"/>
    <w:rsid w:val="19CC38C1"/>
    <w:rsid w:val="19CC487B"/>
    <w:rsid w:val="19CC7B5F"/>
    <w:rsid w:val="19CC7C00"/>
    <w:rsid w:val="19CD414F"/>
    <w:rsid w:val="19CD50F2"/>
    <w:rsid w:val="19CD540B"/>
    <w:rsid w:val="19CD7885"/>
    <w:rsid w:val="19CE23A1"/>
    <w:rsid w:val="19CE3E3B"/>
    <w:rsid w:val="19CE793B"/>
    <w:rsid w:val="19CF088F"/>
    <w:rsid w:val="19CF092D"/>
    <w:rsid w:val="19CF1A08"/>
    <w:rsid w:val="19CF3269"/>
    <w:rsid w:val="19CF6119"/>
    <w:rsid w:val="19CF6723"/>
    <w:rsid w:val="19CF6C8A"/>
    <w:rsid w:val="19D00168"/>
    <w:rsid w:val="19D014A2"/>
    <w:rsid w:val="19D04A62"/>
    <w:rsid w:val="19D1065C"/>
    <w:rsid w:val="19D11B22"/>
    <w:rsid w:val="19D144C1"/>
    <w:rsid w:val="19D17015"/>
    <w:rsid w:val="19D2051F"/>
    <w:rsid w:val="19D21766"/>
    <w:rsid w:val="19D31B7F"/>
    <w:rsid w:val="19D322BA"/>
    <w:rsid w:val="19D33E6C"/>
    <w:rsid w:val="19D35AF5"/>
    <w:rsid w:val="19D378E4"/>
    <w:rsid w:val="19D37939"/>
    <w:rsid w:val="19D40C42"/>
    <w:rsid w:val="19D411A8"/>
    <w:rsid w:val="19D4196C"/>
    <w:rsid w:val="19D41982"/>
    <w:rsid w:val="19D42FF7"/>
    <w:rsid w:val="19D4357B"/>
    <w:rsid w:val="19D454DE"/>
    <w:rsid w:val="19D50975"/>
    <w:rsid w:val="19D53018"/>
    <w:rsid w:val="19D53413"/>
    <w:rsid w:val="19D61256"/>
    <w:rsid w:val="19D6151F"/>
    <w:rsid w:val="19D618FD"/>
    <w:rsid w:val="19D63004"/>
    <w:rsid w:val="19D6476A"/>
    <w:rsid w:val="19D67B51"/>
    <w:rsid w:val="19D706F0"/>
    <w:rsid w:val="19D72CA4"/>
    <w:rsid w:val="19D744CE"/>
    <w:rsid w:val="19D74503"/>
    <w:rsid w:val="19D763BA"/>
    <w:rsid w:val="19D7678F"/>
    <w:rsid w:val="19D83220"/>
    <w:rsid w:val="19D83DAF"/>
    <w:rsid w:val="19D83E51"/>
    <w:rsid w:val="19D8421D"/>
    <w:rsid w:val="19D847C9"/>
    <w:rsid w:val="19D84DDB"/>
    <w:rsid w:val="19D92AF4"/>
    <w:rsid w:val="19D968DC"/>
    <w:rsid w:val="19D96F98"/>
    <w:rsid w:val="19D97F87"/>
    <w:rsid w:val="19DA373D"/>
    <w:rsid w:val="19DB061A"/>
    <w:rsid w:val="19DB0CC3"/>
    <w:rsid w:val="19DB2D10"/>
    <w:rsid w:val="19DB4ABE"/>
    <w:rsid w:val="19DB4C69"/>
    <w:rsid w:val="19DB686C"/>
    <w:rsid w:val="19DB76A7"/>
    <w:rsid w:val="19DC3C64"/>
    <w:rsid w:val="19DC6B39"/>
    <w:rsid w:val="19DD0836"/>
    <w:rsid w:val="19DD2059"/>
    <w:rsid w:val="19DD25E4"/>
    <w:rsid w:val="19DD3643"/>
    <w:rsid w:val="19DD4DD5"/>
    <w:rsid w:val="19DD7051"/>
    <w:rsid w:val="19DE010A"/>
    <w:rsid w:val="19DE2ABA"/>
    <w:rsid w:val="19DE3DE6"/>
    <w:rsid w:val="19DE4018"/>
    <w:rsid w:val="19DF02FA"/>
    <w:rsid w:val="19DF0D30"/>
    <w:rsid w:val="19DF16C9"/>
    <w:rsid w:val="19DF1CB1"/>
    <w:rsid w:val="19DF45C4"/>
    <w:rsid w:val="19E00326"/>
    <w:rsid w:val="19E01B7E"/>
    <w:rsid w:val="19E020D4"/>
    <w:rsid w:val="19E0378D"/>
    <w:rsid w:val="19E03E83"/>
    <w:rsid w:val="19E04491"/>
    <w:rsid w:val="19E1692C"/>
    <w:rsid w:val="19E16BF0"/>
    <w:rsid w:val="19E176BC"/>
    <w:rsid w:val="19E17BA7"/>
    <w:rsid w:val="19E215E1"/>
    <w:rsid w:val="19E30F80"/>
    <w:rsid w:val="19E32A71"/>
    <w:rsid w:val="19E33F13"/>
    <w:rsid w:val="19E35721"/>
    <w:rsid w:val="19E4006B"/>
    <w:rsid w:val="19E40CA2"/>
    <w:rsid w:val="19E40E93"/>
    <w:rsid w:val="19E413F9"/>
    <w:rsid w:val="19E41BC5"/>
    <w:rsid w:val="19E4521D"/>
    <w:rsid w:val="19E46365"/>
    <w:rsid w:val="19E467DF"/>
    <w:rsid w:val="19E5140A"/>
    <w:rsid w:val="19E51499"/>
    <w:rsid w:val="19E52ADB"/>
    <w:rsid w:val="19E5454B"/>
    <w:rsid w:val="19E56BC2"/>
    <w:rsid w:val="19E576EB"/>
    <w:rsid w:val="19E628B9"/>
    <w:rsid w:val="19E65233"/>
    <w:rsid w:val="19E70DAE"/>
    <w:rsid w:val="19E716B5"/>
    <w:rsid w:val="19E73463"/>
    <w:rsid w:val="19E7401A"/>
    <w:rsid w:val="19E75600"/>
    <w:rsid w:val="19E775B5"/>
    <w:rsid w:val="19E801F2"/>
    <w:rsid w:val="19E80462"/>
    <w:rsid w:val="19E82321"/>
    <w:rsid w:val="19E82D37"/>
    <w:rsid w:val="19E83231"/>
    <w:rsid w:val="19E83D12"/>
    <w:rsid w:val="19E848AE"/>
    <w:rsid w:val="19E86B89"/>
    <w:rsid w:val="19E9103D"/>
    <w:rsid w:val="19E91BC9"/>
    <w:rsid w:val="19E93475"/>
    <w:rsid w:val="19E93619"/>
    <w:rsid w:val="19E951A2"/>
    <w:rsid w:val="19E95690"/>
    <w:rsid w:val="19E97D73"/>
    <w:rsid w:val="19EA2F66"/>
    <w:rsid w:val="19EA3D15"/>
    <w:rsid w:val="19EA4126"/>
    <w:rsid w:val="19EA4D01"/>
    <w:rsid w:val="19EA6AAF"/>
    <w:rsid w:val="19EA750F"/>
    <w:rsid w:val="19EB3DD4"/>
    <w:rsid w:val="19EB4C8A"/>
    <w:rsid w:val="19EB6575"/>
    <w:rsid w:val="19EC2F73"/>
    <w:rsid w:val="19EC3B22"/>
    <w:rsid w:val="19EC449F"/>
    <w:rsid w:val="19EC4C52"/>
    <w:rsid w:val="19EC4DE4"/>
    <w:rsid w:val="19EC5264"/>
    <w:rsid w:val="19EC65E6"/>
    <w:rsid w:val="19EC75DC"/>
    <w:rsid w:val="19ED0F82"/>
    <w:rsid w:val="19ED4FB2"/>
    <w:rsid w:val="19ED66F3"/>
    <w:rsid w:val="19ED6BDB"/>
    <w:rsid w:val="19ED6F95"/>
    <w:rsid w:val="19EE37DC"/>
    <w:rsid w:val="19EE3B61"/>
    <w:rsid w:val="19EE47F1"/>
    <w:rsid w:val="19EF056A"/>
    <w:rsid w:val="19EF05F6"/>
    <w:rsid w:val="19EF216E"/>
    <w:rsid w:val="19EF369B"/>
    <w:rsid w:val="19EF3BE4"/>
    <w:rsid w:val="19EF3F0D"/>
    <w:rsid w:val="19EF4CC2"/>
    <w:rsid w:val="19EF6F69"/>
    <w:rsid w:val="19F0025D"/>
    <w:rsid w:val="19F00763"/>
    <w:rsid w:val="19F142E2"/>
    <w:rsid w:val="19F15D24"/>
    <w:rsid w:val="19F17E3E"/>
    <w:rsid w:val="19F20A03"/>
    <w:rsid w:val="19F210D5"/>
    <w:rsid w:val="19F24FA9"/>
    <w:rsid w:val="19F315C3"/>
    <w:rsid w:val="19F328A1"/>
    <w:rsid w:val="19F33BB6"/>
    <w:rsid w:val="19F350C3"/>
    <w:rsid w:val="19F35ACC"/>
    <w:rsid w:val="19F416DC"/>
    <w:rsid w:val="19F4425D"/>
    <w:rsid w:val="19F5172F"/>
    <w:rsid w:val="19F53DD2"/>
    <w:rsid w:val="19F562C4"/>
    <w:rsid w:val="19F618F8"/>
    <w:rsid w:val="19F65454"/>
    <w:rsid w:val="19F677A5"/>
    <w:rsid w:val="19F71F9F"/>
    <w:rsid w:val="19F74C0C"/>
    <w:rsid w:val="19F81984"/>
    <w:rsid w:val="19F83806"/>
    <w:rsid w:val="19F841F0"/>
    <w:rsid w:val="19F85557"/>
    <w:rsid w:val="19F85966"/>
    <w:rsid w:val="19F87140"/>
    <w:rsid w:val="19F8741E"/>
    <w:rsid w:val="19F97867"/>
    <w:rsid w:val="19FA13E8"/>
    <w:rsid w:val="19FA1854"/>
    <w:rsid w:val="19FB00AD"/>
    <w:rsid w:val="19FB0CBC"/>
    <w:rsid w:val="19FB4838"/>
    <w:rsid w:val="19FC1485"/>
    <w:rsid w:val="19FC2A36"/>
    <w:rsid w:val="19FC3617"/>
    <w:rsid w:val="19FC3D38"/>
    <w:rsid w:val="19FC4AB0"/>
    <w:rsid w:val="19FD083B"/>
    <w:rsid w:val="19FD15BB"/>
    <w:rsid w:val="19FD2C86"/>
    <w:rsid w:val="19FD3FD4"/>
    <w:rsid w:val="19FD673D"/>
    <w:rsid w:val="19FD67E3"/>
    <w:rsid w:val="19FD708B"/>
    <w:rsid w:val="19FE07AD"/>
    <w:rsid w:val="19FE7A65"/>
    <w:rsid w:val="19FF3AE5"/>
    <w:rsid w:val="19FF7C86"/>
    <w:rsid w:val="1A0001BB"/>
    <w:rsid w:val="1A001561"/>
    <w:rsid w:val="1A002DE8"/>
    <w:rsid w:val="1A004525"/>
    <w:rsid w:val="1A0068A0"/>
    <w:rsid w:val="1A01318E"/>
    <w:rsid w:val="1A021A19"/>
    <w:rsid w:val="1A02204B"/>
    <w:rsid w:val="1A023377"/>
    <w:rsid w:val="1A023AB9"/>
    <w:rsid w:val="1A027489"/>
    <w:rsid w:val="1A027F67"/>
    <w:rsid w:val="1A033D61"/>
    <w:rsid w:val="1A042E17"/>
    <w:rsid w:val="1A043F98"/>
    <w:rsid w:val="1A044015"/>
    <w:rsid w:val="1A044D8F"/>
    <w:rsid w:val="1A045DC3"/>
    <w:rsid w:val="1A046592"/>
    <w:rsid w:val="1A046698"/>
    <w:rsid w:val="1A051B3B"/>
    <w:rsid w:val="1A0538E9"/>
    <w:rsid w:val="1A057D8D"/>
    <w:rsid w:val="1A065D14"/>
    <w:rsid w:val="1A0671C5"/>
    <w:rsid w:val="1A067548"/>
    <w:rsid w:val="1A0711F9"/>
    <w:rsid w:val="1A07140F"/>
    <w:rsid w:val="1A07155F"/>
    <w:rsid w:val="1A071B72"/>
    <w:rsid w:val="1A072FC5"/>
    <w:rsid w:val="1A081BBA"/>
    <w:rsid w:val="1A0822E3"/>
    <w:rsid w:val="1A084B70"/>
    <w:rsid w:val="1A085187"/>
    <w:rsid w:val="1A09162B"/>
    <w:rsid w:val="1A0933D9"/>
    <w:rsid w:val="1A095F4D"/>
    <w:rsid w:val="1A0A05D4"/>
    <w:rsid w:val="1A0A0EFF"/>
    <w:rsid w:val="1A0A3D83"/>
    <w:rsid w:val="1A0A51E7"/>
    <w:rsid w:val="1A0A5308"/>
    <w:rsid w:val="1A0A60C2"/>
    <w:rsid w:val="1A0A7151"/>
    <w:rsid w:val="1A0B29CA"/>
    <w:rsid w:val="1A0B74CD"/>
    <w:rsid w:val="1A0C0C21"/>
    <w:rsid w:val="1A0C111B"/>
    <w:rsid w:val="1A0C4944"/>
    <w:rsid w:val="1A0C4C78"/>
    <w:rsid w:val="1A0C6931"/>
    <w:rsid w:val="1A0D18B8"/>
    <w:rsid w:val="1A0E08BE"/>
    <w:rsid w:val="1A0E427E"/>
    <w:rsid w:val="1A0E6C42"/>
    <w:rsid w:val="1A0E7778"/>
    <w:rsid w:val="1A0F3211"/>
    <w:rsid w:val="1A102EB7"/>
    <w:rsid w:val="1A11281D"/>
    <w:rsid w:val="1A112BA6"/>
    <w:rsid w:val="1A115AEE"/>
    <w:rsid w:val="1A116732"/>
    <w:rsid w:val="1A117E02"/>
    <w:rsid w:val="1A12199D"/>
    <w:rsid w:val="1A122A4D"/>
    <w:rsid w:val="1A123055"/>
    <w:rsid w:val="1A127376"/>
    <w:rsid w:val="1A1324AA"/>
    <w:rsid w:val="1A134258"/>
    <w:rsid w:val="1A1406A2"/>
    <w:rsid w:val="1A1411C3"/>
    <w:rsid w:val="1A141209"/>
    <w:rsid w:val="1A14408C"/>
    <w:rsid w:val="1A150598"/>
    <w:rsid w:val="1A151B65"/>
    <w:rsid w:val="1A163D48"/>
    <w:rsid w:val="1A164BAF"/>
    <w:rsid w:val="1A165AF6"/>
    <w:rsid w:val="1A1678A4"/>
    <w:rsid w:val="1A17269A"/>
    <w:rsid w:val="1A175F18"/>
    <w:rsid w:val="1A176ABF"/>
    <w:rsid w:val="1A180D86"/>
    <w:rsid w:val="1A18489B"/>
    <w:rsid w:val="1A184904"/>
    <w:rsid w:val="1A187AC0"/>
    <w:rsid w:val="1A190042"/>
    <w:rsid w:val="1A193B04"/>
    <w:rsid w:val="1A1A49B2"/>
    <w:rsid w:val="1A1A7AF8"/>
    <w:rsid w:val="1A1B0167"/>
    <w:rsid w:val="1A1B081A"/>
    <w:rsid w:val="1A1C0DCD"/>
    <w:rsid w:val="1A1C4C01"/>
    <w:rsid w:val="1A1C4C8F"/>
    <w:rsid w:val="1A1C50AC"/>
    <w:rsid w:val="1A1C65FD"/>
    <w:rsid w:val="1A1C6D2A"/>
    <w:rsid w:val="1A1C7486"/>
    <w:rsid w:val="1A1D0C33"/>
    <w:rsid w:val="1A1E04F8"/>
    <w:rsid w:val="1A1E5F9B"/>
    <w:rsid w:val="1A1E629E"/>
    <w:rsid w:val="1A1F1582"/>
    <w:rsid w:val="1A1F2BFD"/>
    <w:rsid w:val="1A1F5268"/>
    <w:rsid w:val="1A1F5EB5"/>
    <w:rsid w:val="1A201CF0"/>
    <w:rsid w:val="1A201D05"/>
    <w:rsid w:val="1A203607"/>
    <w:rsid w:val="1A203D1D"/>
    <w:rsid w:val="1A204BC7"/>
    <w:rsid w:val="1A206975"/>
    <w:rsid w:val="1A210FB6"/>
    <w:rsid w:val="1A211C59"/>
    <w:rsid w:val="1A2168E1"/>
    <w:rsid w:val="1A217F5F"/>
    <w:rsid w:val="1A221ED9"/>
    <w:rsid w:val="1A2238BA"/>
    <w:rsid w:val="1A22449B"/>
    <w:rsid w:val="1A225332"/>
    <w:rsid w:val="1A226249"/>
    <w:rsid w:val="1A226A73"/>
    <w:rsid w:val="1A2367C2"/>
    <w:rsid w:val="1A237F03"/>
    <w:rsid w:val="1A240213"/>
    <w:rsid w:val="1A241393"/>
    <w:rsid w:val="1A243B09"/>
    <w:rsid w:val="1A2475CE"/>
    <w:rsid w:val="1A257997"/>
    <w:rsid w:val="1A257B29"/>
    <w:rsid w:val="1A265143"/>
    <w:rsid w:val="1A266052"/>
    <w:rsid w:val="1A271AB1"/>
    <w:rsid w:val="1A272379"/>
    <w:rsid w:val="1A27490E"/>
    <w:rsid w:val="1A275E1A"/>
    <w:rsid w:val="1A2827DC"/>
    <w:rsid w:val="1A28676A"/>
    <w:rsid w:val="1A2903FE"/>
    <w:rsid w:val="1A295431"/>
    <w:rsid w:val="1A296EA8"/>
    <w:rsid w:val="1A2A0906"/>
    <w:rsid w:val="1A2A0944"/>
    <w:rsid w:val="1A2A15A2"/>
    <w:rsid w:val="1A2A52BB"/>
    <w:rsid w:val="1A2A6695"/>
    <w:rsid w:val="1A2B1796"/>
    <w:rsid w:val="1A2B2A0E"/>
    <w:rsid w:val="1A2B3F86"/>
    <w:rsid w:val="1A2B750A"/>
    <w:rsid w:val="1A2B77F4"/>
    <w:rsid w:val="1A2B7B25"/>
    <w:rsid w:val="1A2C356C"/>
    <w:rsid w:val="1A2C4F45"/>
    <w:rsid w:val="1A2C531A"/>
    <w:rsid w:val="1A2D1A71"/>
    <w:rsid w:val="1A2D2445"/>
    <w:rsid w:val="1A2E05F8"/>
    <w:rsid w:val="1A2E0F1B"/>
    <w:rsid w:val="1A2E1092"/>
    <w:rsid w:val="1A2E1305"/>
    <w:rsid w:val="1A2E17A5"/>
    <w:rsid w:val="1A2E593A"/>
    <w:rsid w:val="1A2E5FEC"/>
    <w:rsid w:val="1A2E735F"/>
    <w:rsid w:val="1A2F0966"/>
    <w:rsid w:val="1A2F0CE7"/>
    <w:rsid w:val="1A2F4379"/>
    <w:rsid w:val="1A2F64A6"/>
    <w:rsid w:val="1A300655"/>
    <w:rsid w:val="1A301B30"/>
    <w:rsid w:val="1A31001A"/>
    <w:rsid w:val="1A310B82"/>
    <w:rsid w:val="1A312930"/>
    <w:rsid w:val="1A3146DE"/>
    <w:rsid w:val="1A325C95"/>
    <w:rsid w:val="1A33108C"/>
    <w:rsid w:val="1A331147"/>
    <w:rsid w:val="1A332204"/>
    <w:rsid w:val="1A335189"/>
    <w:rsid w:val="1A336476"/>
    <w:rsid w:val="1A342D52"/>
    <w:rsid w:val="1A3441CE"/>
    <w:rsid w:val="1A345F7C"/>
    <w:rsid w:val="1A347747"/>
    <w:rsid w:val="1A350442"/>
    <w:rsid w:val="1A350962"/>
    <w:rsid w:val="1A3514E1"/>
    <w:rsid w:val="1A353CFE"/>
    <w:rsid w:val="1A3579FB"/>
    <w:rsid w:val="1A3603A5"/>
    <w:rsid w:val="1A361CF4"/>
    <w:rsid w:val="1A366198"/>
    <w:rsid w:val="1A366DAC"/>
    <w:rsid w:val="1A367F46"/>
    <w:rsid w:val="1A3714D3"/>
    <w:rsid w:val="1A37457B"/>
    <w:rsid w:val="1A375BC0"/>
    <w:rsid w:val="1A381F10"/>
    <w:rsid w:val="1A383CBF"/>
    <w:rsid w:val="1A3858E2"/>
    <w:rsid w:val="1A385A6D"/>
    <w:rsid w:val="1A385B7E"/>
    <w:rsid w:val="1A385BE2"/>
    <w:rsid w:val="1A3874BE"/>
    <w:rsid w:val="1A3908FF"/>
    <w:rsid w:val="1A392129"/>
    <w:rsid w:val="1A393593"/>
    <w:rsid w:val="1A394CFA"/>
    <w:rsid w:val="1A3A17E5"/>
    <w:rsid w:val="1A3A1CB7"/>
    <w:rsid w:val="1A3A1D53"/>
    <w:rsid w:val="1A3A2D21"/>
    <w:rsid w:val="1A3A3EDE"/>
    <w:rsid w:val="1A3A60D9"/>
    <w:rsid w:val="1A3A67A5"/>
    <w:rsid w:val="1A3A7A37"/>
    <w:rsid w:val="1A3B37AF"/>
    <w:rsid w:val="1A3B54F1"/>
    <w:rsid w:val="1A3B555D"/>
    <w:rsid w:val="1A3B788E"/>
    <w:rsid w:val="1A3B78EE"/>
    <w:rsid w:val="1A3C0AAA"/>
    <w:rsid w:val="1A3C1DFE"/>
    <w:rsid w:val="1A3C637F"/>
    <w:rsid w:val="1A3D0C23"/>
    <w:rsid w:val="1A3D12D5"/>
    <w:rsid w:val="1A3D3D63"/>
    <w:rsid w:val="1A3D4116"/>
    <w:rsid w:val="1A3D6D0F"/>
    <w:rsid w:val="1A3D7131"/>
    <w:rsid w:val="1A3D7527"/>
    <w:rsid w:val="1A3E1F41"/>
    <w:rsid w:val="1A3E38F0"/>
    <w:rsid w:val="1A3E4B0B"/>
    <w:rsid w:val="1A3E5E32"/>
    <w:rsid w:val="1A3F3860"/>
    <w:rsid w:val="1A3F504D"/>
    <w:rsid w:val="1A3F5CD9"/>
    <w:rsid w:val="1A4003B8"/>
    <w:rsid w:val="1A400DC5"/>
    <w:rsid w:val="1A40246D"/>
    <w:rsid w:val="1A4025CB"/>
    <w:rsid w:val="1A404118"/>
    <w:rsid w:val="1A40453E"/>
    <w:rsid w:val="1A411D4B"/>
    <w:rsid w:val="1A411EAF"/>
    <w:rsid w:val="1A41348C"/>
    <w:rsid w:val="1A413604"/>
    <w:rsid w:val="1A414BE8"/>
    <w:rsid w:val="1A420699"/>
    <w:rsid w:val="1A4239B6"/>
    <w:rsid w:val="1A423B81"/>
    <w:rsid w:val="1A4248BE"/>
    <w:rsid w:val="1A42491C"/>
    <w:rsid w:val="1A424B3D"/>
    <w:rsid w:val="1A4268EB"/>
    <w:rsid w:val="1A4270E4"/>
    <w:rsid w:val="1A431AC3"/>
    <w:rsid w:val="1A4405C4"/>
    <w:rsid w:val="1A4408B5"/>
    <w:rsid w:val="1A441E0D"/>
    <w:rsid w:val="1A4437A2"/>
    <w:rsid w:val="1A4454CC"/>
    <w:rsid w:val="1A445CF1"/>
    <w:rsid w:val="1A450189"/>
    <w:rsid w:val="1A451288"/>
    <w:rsid w:val="1A45224D"/>
    <w:rsid w:val="1A453BE5"/>
    <w:rsid w:val="1A4563DB"/>
    <w:rsid w:val="1A457F88"/>
    <w:rsid w:val="1A46187F"/>
    <w:rsid w:val="1A463D6E"/>
    <w:rsid w:val="1A466093"/>
    <w:rsid w:val="1A472154"/>
    <w:rsid w:val="1A4725B6"/>
    <w:rsid w:val="1A47537F"/>
    <w:rsid w:val="1A475CB0"/>
    <w:rsid w:val="1A481C3F"/>
    <w:rsid w:val="1A491A28"/>
    <w:rsid w:val="1A492058"/>
    <w:rsid w:val="1A493720"/>
    <w:rsid w:val="1A495ECC"/>
    <w:rsid w:val="1A497C7A"/>
    <w:rsid w:val="1A4A048E"/>
    <w:rsid w:val="1A4A1E5E"/>
    <w:rsid w:val="1A4A2B59"/>
    <w:rsid w:val="1A4A39F2"/>
    <w:rsid w:val="1A4A57A0"/>
    <w:rsid w:val="1A4A5C7F"/>
    <w:rsid w:val="1A4A6820"/>
    <w:rsid w:val="1A4B0999"/>
    <w:rsid w:val="1A4B1C44"/>
    <w:rsid w:val="1A4B344A"/>
    <w:rsid w:val="1A4B50AA"/>
    <w:rsid w:val="1A4B5A62"/>
    <w:rsid w:val="1A4C1518"/>
    <w:rsid w:val="1A4C314F"/>
    <w:rsid w:val="1A4C32C6"/>
    <w:rsid w:val="1A4C6200"/>
    <w:rsid w:val="1A4C776A"/>
    <w:rsid w:val="1A4D46DB"/>
    <w:rsid w:val="1A4D649F"/>
    <w:rsid w:val="1A4D7795"/>
    <w:rsid w:val="1A4E091F"/>
    <w:rsid w:val="1A4E34E2"/>
    <w:rsid w:val="1A4E4600"/>
    <w:rsid w:val="1A4E4DF0"/>
    <w:rsid w:val="1A4E703E"/>
    <w:rsid w:val="1A4F2C07"/>
    <w:rsid w:val="1A4F2DB6"/>
    <w:rsid w:val="1A4F3A11"/>
    <w:rsid w:val="1A501008"/>
    <w:rsid w:val="1A505774"/>
    <w:rsid w:val="1A50765C"/>
    <w:rsid w:val="1A511D1D"/>
    <w:rsid w:val="1A512B2F"/>
    <w:rsid w:val="1A512FD2"/>
    <w:rsid w:val="1A5155A0"/>
    <w:rsid w:val="1A53448E"/>
    <w:rsid w:val="1A53464F"/>
    <w:rsid w:val="1A534805"/>
    <w:rsid w:val="1A5403CD"/>
    <w:rsid w:val="1A550139"/>
    <w:rsid w:val="1A550D99"/>
    <w:rsid w:val="1A552C92"/>
    <w:rsid w:val="1A554685"/>
    <w:rsid w:val="1A554870"/>
    <w:rsid w:val="1A554F3D"/>
    <w:rsid w:val="1A55661F"/>
    <w:rsid w:val="1A561A71"/>
    <w:rsid w:val="1A561DD6"/>
    <w:rsid w:val="1A562397"/>
    <w:rsid w:val="1A565896"/>
    <w:rsid w:val="1A567815"/>
    <w:rsid w:val="1A57168E"/>
    <w:rsid w:val="1A573BF5"/>
    <w:rsid w:val="1A5756B2"/>
    <w:rsid w:val="1A577219"/>
    <w:rsid w:val="1A583854"/>
    <w:rsid w:val="1A584361"/>
    <w:rsid w:val="1A585CC2"/>
    <w:rsid w:val="1A58610F"/>
    <w:rsid w:val="1A586B42"/>
    <w:rsid w:val="1A587EBD"/>
    <w:rsid w:val="1A591713"/>
    <w:rsid w:val="1A5926BC"/>
    <w:rsid w:val="1A592C20"/>
    <w:rsid w:val="1A59566B"/>
    <w:rsid w:val="1A5959E3"/>
    <w:rsid w:val="1A597FD2"/>
    <w:rsid w:val="1A5A3484"/>
    <w:rsid w:val="1A5A635D"/>
    <w:rsid w:val="1A5B6D97"/>
    <w:rsid w:val="1A5C33F7"/>
    <w:rsid w:val="1A5C7169"/>
    <w:rsid w:val="1A5D1689"/>
    <w:rsid w:val="1A5D54D3"/>
    <w:rsid w:val="1A5D6ECB"/>
    <w:rsid w:val="1A5E0883"/>
    <w:rsid w:val="1A5E1885"/>
    <w:rsid w:val="1A5F124B"/>
    <w:rsid w:val="1A5F2FF9"/>
    <w:rsid w:val="1A5F65AD"/>
    <w:rsid w:val="1A601E1B"/>
    <w:rsid w:val="1A603983"/>
    <w:rsid w:val="1A604FC3"/>
    <w:rsid w:val="1A606D71"/>
    <w:rsid w:val="1A61255D"/>
    <w:rsid w:val="1A613215"/>
    <w:rsid w:val="1A615515"/>
    <w:rsid w:val="1A615F3A"/>
    <w:rsid w:val="1A620D3B"/>
    <w:rsid w:val="1A6227C5"/>
    <w:rsid w:val="1A623F06"/>
    <w:rsid w:val="1A625045"/>
    <w:rsid w:val="1A627F72"/>
    <w:rsid w:val="1A640A2C"/>
    <w:rsid w:val="1A642D06"/>
    <w:rsid w:val="1A643DD7"/>
    <w:rsid w:val="1A644AB4"/>
    <w:rsid w:val="1A6451FC"/>
    <w:rsid w:val="1A6466D3"/>
    <w:rsid w:val="1A646862"/>
    <w:rsid w:val="1A6473C0"/>
    <w:rsid w:val="1A6525DA"/>
    <w:rsid w:val="1A6564E0"/>
    <w:rsid w:val="1A6576D4"/>
    <w:rsid w:val="1A66082C"/>
    <w:rsid w:val="1A66246B"/>
    <w:rsid w:val="1A6626CB"/>
    <w:rsid w:val="1A66537C"/>
    <w:rsid w:val="1A666437"/>
    <w:rsid w:val="1A666660"/>
    <w:rsid w:val="1A670100"/>
    <w:rsid w:val="1A671867"/>
    <w:rsid w:val="1A6745A4"/>
    <w:rsid w:val="1A6751A7"/>
    <w:rsid w:val="1A68161E"/>
    <w:rsid w:val="1A682954"/>
    <w:rsid w:val="1A684D64"/>
    <w:rsid w:val="1A686637"/>
    <w:rsid w:val="1A6920CA"/>
    <w:rsid w:val="1A6937B0"/>
    <w:rsid w:val="1A693E78"/>
    <w:rsid w:val="1A6945C9"/>
    <w:rsid w:val="1A695A9E"/>
    <w:rsid w:val="1A69610F"/>
    <w:rsid w:val="1A6A0F57"/>
    <w:rsid w:val="1A6A1F14"/>
    <w:rsid w:val="1A6A30A9"/>
    <w:rsid w:val="1A6A3334"/>
    <w:rsid w:val="1A6A7039"/>
    <w:rsid w:val="1A6A7BF0"/>
    <w:rsid w:val="1A6B4094"/>
    <w:rsid w:val="1A6B4FB8"/>
    <w:rsid w:val="1A6B5E42"/>
    <w:rsid w:val="1A6B6815"/>
    <w:rsid w:val="1A6C155B"/>
    <w:rsid w:val="1A6C3968"/>
    <w:rsid w:val="1A6C3B5A"/>
    <w:rsid w:val="1A6C53BC"/>
    <w:rsid w:val="1A6C5716"/>
    <w:rsid w:val="1A6C6D39"/>
    <w:rsid w:val="1A6C701A"/>
    <w:rsid w:val="1A6D54EA"/>
    <w:rsid w:val="1A6D7B1D"/>
    <w:rsid w:val="1A6E089C"/>
    <w:rsid w:val="1A6E0D68"/>
    <w:rsid w:val="1A6E2412"/>
    <w:rsid w:val="1A6E3163"/>
    <w:rsid w:val="1A6E7386"/>
    <w:rsid w:val="1A6E76E0"/>
    <w:rsid w:val="1A6E78F1"/>
    <w:rsid w:val="1A6E7911"/>
    <w:rsid w:val="1A6F1FF1"/>
    <w:rsid w:val="1A6F55AB"/>
    <w:rsid w:val="1A6F60CF"/>
    <w:rsid w:val="1A6F60F7"/>
    <w:rsid w:val="1A7002E0"/>
    <w:rsid w:val="1A701454"/>
    <w:rsid w:val="1A703458"/>
    <w:rsid w:val="1A705206"/>
    <w:rsid w:val="1A705768"/>
    <w:rsid w:val="1A70684E"/>
    <w:rsid w:val="1A706F78"/>
    <w:rsid w:val="1A707A44"/>
    <w:rsid w:val="1A7107EC"/>
    <w:rsid w:val="1A710F22"/>
    <w:rsid w:val="1A716C76"/>
    <w:rsid w:val="1A7266E1"/>
    <w:rsid w:val="1A726C99"/>
    <w:rsid w:val="1A730E45"/>
    <w:rsid w:val="1A7344EA"/>
    <w:rsid w:val="1A734E8B"/>
    <w:rsid w:val="1A736AA5"/>
    <w:rsid w:val="1A745BF0"/>
    <w:rsid w:val="1A745F53"/>
    <w:rsid w:val="1A74631B"/>
    <w:rsid w:val="1A7477AB"/>
    <w:rsid w:val="1A750A6F"/>
    <w:rsid w:val="1A750C3B"/>
    <w:rsid w:val="1A750F5C"/>
    <w:rsid w:val="1A7533CE"/>
    <w:rsid w:val="1A7620CB"/>
    <w:rsid w:val="1A7647E7"/>
    <w:rsid w:val="1A770214"/>
    <w:rsid w:val="1A770599"/>
    <w:rsid w:val="1A77355B"/>
    <w:rsid w:val="1A775249"/>
    <w:rsid w:val="1A776EB1"/>
    <w:rsid w:val="1A78230D"/>
    <w:rsid w:val="1A7840BB"/>
    <w:rsid w:val="1A784616"/>
    <w:rsid w:val="1A793C9F"/>
    <w:rsid w:val="1A794B27"/>
    <w:rsid w:val="1A7A36EE"/>
    <w:rsid w:val="1A7A7E33"/>
    <w:rsid w:val="1A7B012E"/>
    <w:rsid w:val="1A7B14B0"/>
    <w:rsid w:val="1A7B1DFD"/>
    <w:rsid w:val="1A7B1EDC"/>
    <w:rsid w:val="1A7B3206"/>
    <w:rsid w:val="1A7B42E6"/>
    <w:rsid w:val="1A7B56C9"/>
    <w:rsid w:val="1A7C4BE5"/>
    <w:rsid w:val="1A7C541F"/>
    <w:rsid w:val="1A7C7132"/>
    <w:rsid w:val="1A7D49DD"/>
    <w:rsid w:val="1A7E5DEB"/>
    <w:rsid w:val="1A7F2641"/>
    <w:rsid w:val="1A7F48BE"/>
    <w:rsid w:val="1A7F63F9"/>
    <w:rsid w:val="1A800FAF"/>
    <w:rsid w:val="1A813785"/>
    <w:rsid w:val="1A81382D"/>
    <w:rsid w:val="1A815666"/>
    <w:rsid w:val="1A815D2D"/>
    <w:rsid w:val="1A8213DE"/>
    <w:rsid w:val="1A824F3A"/>
    <w:rsid w:val="1A840CB2"/>
    <w:rsid w:val="1A842B9B"/>
    <w:rsid w:val="1A842BDF"/>
    <w:rsid w:val="1A843F60"/>
    <w:rsid w:val="1A8448A1"/>
    <w:rsid w:val="1A846F04"/>
    <w:rsid w:val="1A847BEE"/>
    <w:rsid w:val="1A853238"/>
    <w:rsid w:val="1A85392B"/>
    <w:rsid w:val="1A8559B2"/>
    <w:rsid w:val="1A8567D8"/>
    <w:rsid w:val="1A856980"/>
    <w:rsid w:val="1A857677"/>
    <w:rsid w:val="1A860DB2"/>
    <w:rsid w:val="1A862C7C"/>
    <w:rsid w:val="1A864A2A"/>
    <w:rsid w:val="1A8658EC"/>
    <w:rsid w:val="1A866FEF"/>
    <w:rsid w:val="1A867245"/>
    <w:rsid w:val="1A8707A2"/>
    <w:rsid w:val="1A872550"/>
    <w:rsid w:val="1A881DCE"/>
    <w:rsid w:val="1A88310B"/>
    <w:rsid w:val="1A883220"/>
    <w:rsid w:val="1A8856FB"/>
    <w:rsid w:val="1A885C21"/>
    <w:rsid w:val="1A8862BC"/>
    <w:rsid w:val="1A886A49"/>
    <w:rsid w:val="1A890571"/>
    <w:rsid w:val="1A890986"/>
    <w:rsid w:val="1A89276C"/>
    <w:rsid w:val="1A89451A"/>
    <w:rsid w:val="1A8962C8"/>
    <w:rsid w:val="1A896556"/>
    <w:rsid w:val="1A897141"/>
    <w:rsid w:val="1A8A121F"/>
    <w:rsid w:val="1A8A201C"/>
    <w:rsid w:val="1A8A43BE"/>
    <w:rsid w:val="1A8A44B2"/>
    <w:rsid w:val="1A8A57F7"/>
    <w:rsid w:val="1A8A6304"/>
    <w:rsid w:val="1A8B0292"/>
    <w:rsid w:val="1A8B45A2"/>
    <w:rsid w:val="1A8B4F07"/>
    <w:rsid w:val="1A8B64E4"/>
    <w:rsid w:val="1A8B719D"/>
    <w:rsid w:val="1A8B7390"/>
    <w:rsid w:val="1A8C5B9D"/>
    <w:rsid w:val="1A8C640E"/>
    <w:rsid w:val="1A8D1D5D"/>
    <w:rsid w:val="1A8D2CB4"/>
    <w:rsid w:val="1A8D6768"/>
    <w:rsid w:val="1A8D67CB"/>
    <w:rsid w:val="1A8D6EC2"/>
    <w:rsid w:val="1A8E057F"/>
    <w:rsid w:val="1A8E0D56"/>
    <w:rsid w:val="1A8E1B30"/>
    <w:rsid w:val="1A8E7D82"/>
    <w:rsid w:val="1A8F1E2A"/>
    <w:rsid w:val="1A902896"/>
    <w:rsid w:val="1A904E1E"/>
    <w:rsid w:val="1A9058A9"/>
    <w:rsid w:val="1A907657"/>
    <w:rsid w:val="1A911621"/>
    <w:rsid w:val="1A9133CF"/>
    <w:rsid w:val="1A920957"/>
    <w:rsid w:val="1A926EC4"/>
    <w:rsid w:val="1A927AF7"/>
    <w:rsid w:val="1A930D32"/>
    <w:rsid w:val="1A932D34"/>
    <w:rsid w:val="1A9332AB"/>
    <w:rsid w:val="1A933629"/>
    <w:rsid w:val="1A933FFE"/>
    <w:rsid w:val="1A936C52"/>
    <w:rsid w:val="1A940D5A"/>
    <w:rsid w:val="1A94221B"/>
    <w:rsid w:val="1A950225"/>
    <w:rsid w:val="1A951C66"/>
    <w:rsid w:val="1A952EBF"/>
    <w:rsid w:val="1A954C6D"/>
    <w:rsid w:val="1A954F79"/>
    <w:rsid w:val="1A95679B"/>
    <w:rsid w:val="1A95741F"/>
    <w:rsid w:val="1A9609E5"/>
    <w:rsid w:val="1A973E46"/>
    <w:rsid w:val="1A975A4B"/>
    <w:rsid w:val="1A976C37"/>
    <w:rsid w:val="1A977F74"/>
    <w:rsid w:val="1A980235"/>
    <w:rsid w:val="1A980668"/>
    <w:rsid w:val="1A980B50"/>
    <w:rsid w:val="1A98295E"/>
    <w:rsid w:val="1A9829AF"/>
    <w:rsid w:val="1A986467"/>
    <w:rsid w:val="1A99295D"/>
    <w:rsid w:val="1A992996"/>
    <w:rsid w:val="1A992D59"/>
    <w:rsid w:val="1A997688"/>
    <w:rsid w:val="1A997D57"/>
    <w:rsid w:val="1A9A0DA0"/>
    <w:rsid w:val="1A9A0E83"/>
    <w:rsid w:val="1A9A14C6"/>
    <w:rsid w:val="1A9A2D31"/>
    <w:rsid w:val="1A9A3312"/>
    <w:rsid w:val="1A9A4797"/>
    <w:rsid w:val="1A9A6727"/>
    <w:rsid w:val="1A9A68F5"/>
    <w:rsid w:val="1A9B02D8"/>
    <w:rsid w:val="1A9B0C2A"/>
    <w:rsid w:val="1A9B495F"/>
    <w:rsid w:val="1A9B576A"/>
    <w:rsid w:val="1A9C4535"/>
    <w:rsid w:val="1A9C4703"/>
    <w:rsid w:val="1A9C5527"/>
    <w:rsid w:val="1A9D3035"/>
    <w:rsid w:val="1A9D332B"/>
    <w:rsid w:val="1A9D4E73"/>
    <w:rsid w:val="1A9E7E47"/>
    <w:rsid w:val="1A9F12D7"/>
    <w:rsid w:val="1A9F3D3E"/>
    <w:rsid w:val="1A9F4B31"/>
    <w:rsid w:val="1A9F4CE1"/>
    <w:rsid w:val="1A9F6FB6"/>
    <w:rsid w:val="1A9F71A8"/>
    <w:rsid w:val="1A9F789A"/>
    <w:rsid w:val="1A9F7F24"/>
    <w:rsid w:val="1AA01A6C"/>
    <w:rsid w:val="1AA03612"/>
    <w:rsid w:val="1AA05338"/>
    <w:rsid w:val="1AA073F3"/>
    <w:rsid w:val="1AA11864"/>
    <w:rsid w:val="1AA1502E"/>
    <w:rsid w:val="1AA17AB6"/>
    <w:rsid w:val="1AA255DC"/>
    <w:rsid w:val="1AA26A5E"/>
    <w:rsid w:val="1AA35EEC"/>
    <w:rsid w:val="1AA41354"/>
    <w:rsid w:val="1AA419C5"/>
    <w:rsid w:val="1AA44EB0"/>
    <w:rsid w:val="1AA50C28"/>
    <w:rsid w:val="1AA54575"/>
    <w:rsid w:val="1AA72BF2"/>
    <w:rsid w:val="1AA80E44"/>
    <w:rsid w:val="1AA858AD"/>
    <w:rsid w:val="1AA85C69"/>
    <w:rsid w:val="1AA90E96"/>
    <w:rsid w:val="1AA92EA7"/>
    <w:rsid w:val="1AA93651"/>
    <w:rsid w:val="1AA94BBC"/>
    <w:rsid w:val="1AA9511A"/>
    <w:rsid w:val="1AA9696A"/>
    <w:rsid w:val="1AA97B2B"/>
    <w:rsid w:val="1AAA04DF"/>
    <w:rsid w:val="1AAA0CBF"/>
    <w:rsid w:val="1AAB244B"/>
    <w:rsid w:val="1AAB623F"/>
    <w:rsid w:val="1AAB6DC5"/>
    <w:rsid w:val="1AAC01E9"/>
    <w:rsid w:val="1AAC094B"/>
    <w:rsid w:val="1AAC0E3F"/>
    <w:rsid w:val="1AAC1FB7"/>
    <w:rsid w:val="1AAC33EA"/>
    <w:rsid w:val="1AAC38DB"/>
    <w:rsid w:val="1AAC6EB5"/>
    <w:rsid w:val="1AAD3650"/>
    <w:rsid w:val="1AAD5260"/>
    <w:rsid w:val="1AAD64AC"/>
    <w:rsid w:val="1AAE357B"/>
    <w:rsid w:val="1AAE3F81"/>
    <w:rsid w:val="1AAE5D2F"/>
    <w:rsid w:val="1AAE61FB"/>
    <w:rsid w:val="1AAE793C"/>
    <w:rsid w:val="1AB00AA0"/>
    <w:rsid w:val="1AB0225C"/>
    <w:rsid w:val="1AB04E2D"/>
    <w:rsid w:val="1AB059EC"/>
    <w:rsid w:val="1AB05F4B"/>
    <w:rsid w:val="1AB062FC"/>
    <w:rsid w:val="1AB14B7C"/>
    <w:rsid w:val="1AB14BEA"/>
    <w:rsid w:val="1AB179FF"/>
    <w:rsid w:val="1AB17B18"/>
    <w:rsid w:val="1AB20AF0"/>
    <w:rsid w:val="1AB23A71"/>
    <w:rsid w:val="1AB26168"/>
    <w:rsid w:val="1AB26928"/>
    <w:rsid w:val="1AB31597"/>
    <w:rsid w:val="1AB3563A"/>
    <w:rsid w:val="1AB41515"/>
    <w:rsid w:val="1AB44FFB"/>
    <w:rsid w:val="1AB534FD"/>
    <w:rsid w:val="1AB65E89"/>
    <w:rsid w:val="1AB7059C"/>
    <w:rsid w:val="1AB709EE"/>
    <w:rsid w:val="1AB70D63"/>
    <w:rsid w:val="1AB71087"/>
    <w:rsid w:val="1AB76037"/>
    <w:rsid w:val="1AB76D8E"/>
    <w:rsid w:val="1AB772D9"/>
    <w:rsid w:val="1AB83692"/>
    <w:rsid w:val="1AB83F61"/>
    <w:rsid w:val="1AB85CBD"/>
    <w:rsid w:val="1AB86BAD"/>
    <w:rsid w:val="1AB86FF8"/>
    <w:rsid w:val="1AB87444"/>
    <w:rsid w:val="1AB91C80"/>
    <w:rsid w:val="1AB94024"/>
    <w:rsid w:val="1AB94A4F"/>
    <w:rsid w:val="1ABA13E7"/>
    <w:rsid w:val="1ABA1DCE"/>
    <w:rsid w:val="1ABA2925"/>
    <w:rsid w:val="1ABA46D4"/>
    <w:rsid w:val="1ABB03E8"/>
    <w:rsid w:val="1ABB28F7"/>
    <w:rsid w:val="1ABB3A1E"/>
    <w:rsid w:val="1ABC07F2"/>
    <w:rsid w:val="1ABC10EA"/>
    <w:rsid w:val="1ABC203F"/>
    <w:rsid w:val="1ABC6830"/>
    <w:rsid w:val="1ABD0513"/>
    <w:rsid w:val="1ABD0851"/>
    <w:rsid w:val="1ABD1022"/>
    <w:rsid w:val="1ABD41C4"/>
    <w:rsid w:val="1ABD4218"/>
    <w:rsid w:val="1ABD4860"/>
    <w:rsid w:val="1ABD7AA8"/>
    <w:rsid w:val="1ABE3B1F"/>
    <w:rsid w:val="1ABE4807"/>
    <w:rsid w:val="1ABE4DA4"/>
    <w:rsid w:val="1ABF0FA8"/>
    <w:rsid w:val="1ABF1101"/>
    <w:rsid w:val="1ABF16F8"/>
    <w:rsid w:val="1ABF618E"/>
    <w:rsid w:val="1ABF7563"/>
    <w:rsid w:val="1ABF7F3C"/>
    <w:rsid w:val="1AC05FEB"/>
    <w:rsid w:val="1AC11F06"/>
    <w:rsid w:val="1AC13CB4"/>
    <w:rsid w:val="1AC14168"/>
    <w:rsid w:val="1AC14603"/>
    <w:rsid w:val="1AC14743"/>
    <w:rsid w:val="1AC20039"/>
    <w:rsid w:val="1AC21052"/>
    <w:rsid w:val="1AC25B01"/>
    <w:rsid w:val="1AC26025"/>
    <w:rsid w:val="1AC27A2C"/>
    <w:rsid w:val="1AC35C7E"/>
    <w:rsid w:val="1AC367E6"/>
    <w:rsid w:val="1AC40F3D"/>
    <w:rsid w:val="1AC41042"/>
    <w:rsid w:val="1AC41B62"/>
    <w:rsid w:val="1AC437A4"/>
    <w:rsid w:val="1AC47300"/>
    <w:rsid w:val="1AC52FF2"/>
    <w:rsid w:val="1AC53CC5"/>
    <w:rsid w:val="1AC54F10"/>
    <w:rsid w:val="1AC55BC3"/>
    <w:rsid w:val="1AC60382"/>
    <w:rsid w:val="1AC612CA"/>
    <w:rsid w:val="1AC64482"/>
    <w:rsid w:val="1AC668A1"/>
    <w:rsid w:val="1AC66CE1"/>
    <w:rsid w:val="1AC6719D"/>
    <w:rsid w:val="1AC67940"/>
    <w:rsid w:val="1AC704E3"/>
    <w:rsid w:val="1AC75042"/>
    <w:rsid w:val="1AC815B0"/>
    <w:rsid w:val="1AC82CFE"/>
    <w:rsid w:val="1AC83294"/>
    <w:rsid w:val="1AC836C3"/>
    <w:rsid w:val="1AC84601"/>
    <w:rsid w:val="1AC8659F"/>
    <w:rsid w:val="1AC90DBB"/>
    <w:rsid w:val="1AC92B69"/>
    <w:rsid w:val="1AC9365A"/>
    <w:rsid w:val="1AC9700C"/>
    <w:rsid w:val="1ACA177C"/>
    <w:rsid w:val="1ACA37CD"/>
    <w:rsid w:val="1ACA5968"/>
    <w:rsid w:val="1ACA68C6"/>
    <w:rsid w:val="1ACB068F"/>
    <w:rsid w:val="1ACB1E83"/>
    <w:rsid w:val="1ACB2060"/>
    <w:rsid w:val="1ACB68E1"/>
    <w:rsid w:val="1ACC1006"/>
    <w:rsid w:val="1ACC1091"/>
    <w:rsid w:val="1ACC186C"/>
    <w:rsid w:val="1ACC1F7E"/>
    <w:rsid w:val="1ACC2A58"/>
    <w:rsid w:val="1ACC4B81"/>
    <w:rsid w:val="1ACC5138"/>
    <w:rsid w:val="1ACC7397"/>
    <w:rsid w:val="1ACD2659"/>
    <w:rsid w:val="1ACD4355"/>
    <w:rsid w:val="1ACD5720"/>
    <w:rsid w:val="1ACD58E4"/>
    <w:rsid w:val="1ACD59D7"/>
    <w:rsid w:val="1ACD7031"/>
    <w:rsid w:val="1ACD76BE"/>
    <w:rsid w:val="1ACE017F"/>
    <w:rsid w:val="1ACE4623"/>
    <w:rsid w:val="1ACE63D1"/>
    <w:rsid w:val="1ACE6508"/>
    <w:rsid w:val="1ACE6AB7"/>
    <w:rsid w:val="1ACF1619"/>
    <w:rsid w:val="1ACF1D69"/>
    <w:rsid w:val="1ACF4C63"/>
    <w:rsid w:val="1ACF6C75"/>
    <w:rsid w:val="1AD0039B"/>
    <w:rsid w:val="1AD003D6"/>
    <w:rsid w:val="1AD03EF7"/>
    <w:rsid w:val="1AD05CA5"/>
    <w:rsid w:val="1AD11A1D"/>
    <w:rsid w:val="1AD14166"/>
    <w:rsid w:val="1AD15DB8"/>
    <w:rsid w:val="1AD16591"/>
    <w:rsid w:val="1AD17692"/>
    <w:rsid w:val="1AD20BA9"/>
    <w:rsid w:val="1AD20DE6"/>
    <w:rsid w:val="1AD23C1A"/>
    <w:rsid w:val="1AD25EC1"/>
    <w:rsid w:val="1AD26563"/>
    <w:rsid w:val="1AD27C6F"/>
    <w:rsid w:val="1AD301C7"/>
    <w:rsid w:val="1AD335A1"/>
    <w:rsid w:val="1AD3390C"/>
    <w:rsid w:val="1AD401C9"/>
    <w:rsid w:val="1AD44BD8"/>
    <w:rsid w:val="1AD514C0"/>
    <w:rsid w:val="1AD5150D"/>
    <w:rsid w:val="1AD52050"/>
    <w:rsid w:val="1AD52AE7"/>
    <w:rsid w:val="1AD53946"/>
    <w:rsid w:val="1AD55049"/>
    <w:rsid w:val="1AD5513E"/>
    <w:rsid w:val="1AD6047F"/>
    <w:rsid w:val="1AD61071"/>
    <w:rsid w:val="1AD61227"/>
    <w:rsid w:val="1AD64521"/>
    <w:rsid w:val="1AD648B9"/>
    <w:rsid w:val="1AD71DD4"/>
    <w:rsid w:val="1AD734D7"/>
    <w:rsid w:val="1AD74902"/>
    <w:rsid w:val="1AD75285"/>
    <w:rsid w:val="1AD77F1C"/>
    <w:rsid w:val="1AD80FFE"/>
    <w:rsid w:val="1AD82233"/>
    <w:rsid w:val="1AD87250"/>
    <w:rsid w:val="1AD87A56"/>
    <w:rsid w:val="1AD87E4C"/>
    <w:rsid w:val="1AD9070C"/>
    <w:rsid w:val="1AD94602"/>
    <w:rsid w:val="1AD971C1"/>
    <w:rsid w:val="1AD97C9B"/>
    <w:rsid w:val="1AD97EC8"/>
    <w:rsid w:val="1ADA4D76"/>
    <w:rsid w:val="1ADA4E0D"/>
    <w:rsid w:val="1ADA6B24"/>
    <w:rsid w:val="1ADA6E29"/>
    <w:rsid w:val="1ADA7C66"/>
    <w:rsid w:val="1ADB12DE"/>
    <w:rsid w:val="1ADB51A3"/>
    <w:rsid w:val="1ADB65D0"/>
    <w:rsid w:val="1ADC0670"/>
    <w:rsid w:val="1ADC29BA"/>
    <w:rsid w:val="1ADC6D40"/>
    <w:rsid w:val="1ADC7148"/>
    <w:rsid w:val="1ADC7184"/>
    <w:rsid w:val="1ADD0C3F"/>
    <w:rsid w:val="1ADD7AB2"/>
    <w:rsid w:val="1ADE0379"/>
    <w:rsid w:val="1ADE10E0"/>
    <w:rsid w:val="1ADE225D"/>
    <w:rsid w:val="1ADE32F3"/>
    <w:rsid w:val="1ADE387D"/>
    <w:rsid w:val="1ADE7049"/>
    <w:rsid w:val="1ADF05DE"/>
    <w:rsid w:val="1ADF238C"/>
    <w:rsid w:val="1ADF413A"/>
    <w:rsid w:val="1ADF6F2E"/>
    <w:rsid w:val="1AE027CB"/>
    <w:rsid w:val="1AE05800"/>
    <w:rsid w:val="1AE068F5"/>
    <w:rsid w:val="1AE074E2"/>
    <w:rsid w:val="1AE07BFA"/>
    <w:rsid w:val="1AE12721"/>
    <w:rsid w:val="1AE221C7"/>
    <w:rsid w:val="1AE259A7"/>
    <w:rsid w:val="1AE259D8"/>
    <w:rsid w:val="1AE300CE"/>
    <w:rsid w:val="1AE343DA"/>
    <w:rsid w:val="1AE35FDC"/>
    <w:rsid w:val="1AE40435"/>
    <w:rsid w:val="1AE424B7"/>
    <w:rsid w:val="1AE450B6"/>
    <w:rsid w:val="1AE45BF4"/>
    <w:rsid w:val="1AE479A2"/>
    <w:rsid w:val="1AE51590"/>
    <w:rsid w:val="1AE52CC1"/>
    <w:rsid w:val="1AE53E04"/>
    <w:rsid w:val="1AE53FEC"/>
    <w:rsid w:val="1AE55332"/>
    <w:rsid w:val="1AE574DF"/>
    <w:rsid w:val="1AE6371B"/>
    <w:rsid w:val="1AE63757"/>
    <w:rsid w:val="1AE654C9"/>
    <w:rsid w:val="1AE660CA"/>
    <w:rsid w:val="1AE6663D"/>
    <w:rsid w:val="1AE67F2F"/>
    <w:rsid w:val="1AE71241"/>
    <w:rsid w:val="1AE77163"/>
    <w:rsid w:val="1AE77FD2"/>
    <w:rsid w:val="1AE8247C"/>
    <w:rsid w:val="1AE874EB"/>
    <w:rsid w:val="1AE92727"/>
    <w:rsid w:val="1AE9320B"/>
    <w:rsid w:val="1AE94FB9"/>
    <w:rsid w:val="1AE94FBE"/>
    <w:rsid w:val="1AEA387D"/>
    <w:rsid w:val="1AEA3C7A"/>
    <w:rsid w:val="1AEB0D31"/>
    <w:rsid w:val="1AEB25ED"/>
    <w:rsid w:val="1AEB2C62"/>
    <w:rsid w:val="1AEB35C0"/>
    <w:rsid w:val="1AEB3A33"/>
    <w:rsid w:val="1AEB4323"/>
    <w:rsid w:val="1AEB57D0"/>
    <w:rsid w:val="1AEC09AF"/>
    <w:rsid w:val="1AEC2979"/>
    <w:rsid w:val="1AEC4E63"/>
    <w:rsid w:val="1AEC5AA0"/>
    <w:rsid w:val="1AEC6857"/>
    <w:rsid w:val="1AED2CFB"/>
    <w:rsid w:val="1AED4223"/>
    <w:rsid w:val="1AED55DC"/>
    <w:rsid w:val="1AED60B6"/>
    <w:rsid w:val="1AEE25CF"/>
    <w:rsid w:val="1AEE368E"/>
    <w:rsid w:val="1AEE3E57"/>
    <w:rsid w:val="1AEF1027"/>
    <w:rsid w:val="1AEF1714"/>
    <w:rsid w:val="1AEF18AF"/>
    <w:rsid w:val="1AEF6A73"/>
    <w:rsid w:val="1AF0135B"/>
    <w:rsid w:val="1AF04599"/>
    <w:rsid w:val="1AF06347"/>
    <w:rsid w:val="1AF076EF"/>
    <w:rsid w:val="1AF13F40"/>
    <w:rsid w:val="1AF16D67"/>
    <w:rsid w:val="1AF20311"/>
    <w:rsid w:val="1AF2112D"/>
    <w:rsid w:val="1AF22EF0"/>
    <w:rsid w:val="1AF23E6D"/>
    <w:rsid w:val="1AF24A76"/>
    <w:rsid w:val="1AF25E5B"/>
    <w:rsid w:val="1AF26BB7"/>
    <w:rsid w:val="1AF27192"/>
    <w:rsid w:val="1AF345C1"/>
    <w:rsid w:val="1AF35051"/>
    <w:rsid w:val="1AF35E37"/>
    <w:rsid w:val="1AF35FC0"/>
    <w:rsid w:val="1AF377E3"/>
    <w:rsid w:val="1AF37BE5"/>
    <w:rsid w:val="1AF431DC"/>
    <w:rsid w:val="1AF43356"/>
    <w:rsid w:val="1AF46464"/>
    <w:rsid w:val="1AF53980"/>
    <w:rsid w:val="1AF55FA9"/>
    <w:rsid w:val="1AF57E02"/>
    <w:rsid w:val="1AF60BCE"/>
    <w:rsid w:val="1AF61A82"/>
    <w:rsid w:val="1AF62DDB"/>
    <w:rsid w:val="1AF639B8"/>
    <w:rsid w:val="1AF67102"/>
    <w:rsid w:val="1AF705D2"/>
    <w:rsid w:val="1AF71484"/>
    <w:rsid w:val="1AF71D52"/>
    <w:rsid w:val="1AF74E5D"/>
    <w:rsid w:val="1AF75928"/>
    <w:rsid w:val="1AF775C2"/>
    <w:rsid w:val="1AF776D6"/>
    <w:rsid w:val="1AF85009"/>
    <w:rsid w:val="1AF851FC"/>
    <w:rsid w:val="1AF853F5"/>
    <w:rsid w:val="1AF8725D"/>
    <w:rsid w:val="1AF87311"/>
    <w:rsid w:val="1AF916A0"/>
    <w:rsid w:val="1AF9279D"/>
    <w:rsid w:val="1AF9526F"/>
    <w:rsid w:val="1AFA0F74"/>
    <w:rsid w:val="1AFA1517"/>
    <w:rsid w:val="1AFA30C1"/>
    <w:rsid w:val="1AFA4961"/>
    <w:rsid w:val="1AFA7441"/>
    <w:rsid w:val="1AFB0140"/>
    <w:rsid w:val="1AFB2016"/>
    <w:rsid w:val="1AFC1190"/>
    <w:rsid w:val="1AFC4CEC"/>
    <w:rsid w:val="1AFC6A9A"/>
    <w:rsid w:val="1AFC7FFF"/>
    <w:rsid w:val="1AFD1CF3"/>
    <w:rsid w:val="1AFD77E6"/>
    <w:rsid w:val="1AFD7BF1"/>
    <w:rsid w:val="1AFE16C9"/>
    <w:rsid w:val="1AFF0375"/>
    <w:rsid w:val="1AFF2A2E"/>
    <w:rsid w:val="1AFF658A"/>
    <w:rsid w:val="1B00384C"/>
    <w:rsid w:val="1B0043D4"/>
    <w:rsid w:val="1B005975"/>
    <w:rsid w:val="1B007F4E"/>
    <w:rsid w:val="1B010674"/>
    <w:rsid w:val="1B0149C5"/>
    <w:rsid w:val="1B017CF6"/>
    <w:rsid w:val="1B0203DC"/>
    <w:rsid w:val="1B027B67"/>
    <w:rsid w:val="1B032B35"/>
    <w:rsid w:val="1B0342CC"/>
    <w:rsid w:val="1B0373CE"/>
    <w:rsid w:val="1B041DF3"/>
    <w:rsid w:val="1B04469F"/>
    <w:rsid w:val="1B045628"/>
    <w:rsid w:val="1B046FF5"/>
    <w:rsid w:val="1B052022"/>
    <w:rsid w:val="1B052088"/>
    <w:rsid w:val="1B053056"/>
    <w:rsid w:val="1B0627B1"/>
    <w:rsid w:val="1B0628F4"/>
    <w:rsid w:val="1B063866"/>
    <w:rsid w:val="1B065B6B"/>
    <w:rsid w:val="1B065BAE"/>
    <w:rsid w:val="1B0700AB"/>
    <w:rsid w:val="1B071C31"/>
    <w:rsid w:val="1B0742E3"/>
    <w:rsid w:val="1B074D22"/>
    <w:rsid w:val="1B080A85"/>
    <w:rsid w:val="1B081624"/>
    <w:rsid w:val="1B0818E3"/>
    <w:rsid w:val="1B084079"/>
    <w:rsid w:val="1B0867DC"/>
    <w:rsid w:val="1B086922"/>
    <w:rsid w:val="1B087B35"/>
    <w:rsid w:val="1B090B8C"/>
    <w:rsid w:val="1B091C7D"/>
    <w:rsid w:val="1B091FFE"/>
    <w:rsid w:val="1B0935AB"/>
    <w:rsid w:val="1B093811"/>
    <w:rsid w:val="1B09565B"/>
    <w:rsid w:val="1B0A01F8"/>
    <w:rsid w:val="1B0A1A34"/>
    <w:rsid w:val="1B0A2D61"/>
    <w:rsid w:val="1B0A7A8F"/>
    <w:rsid w:val="1B0A7D86"/>
    <w:rsid w:val="1B0B3181"/>
    <w:rsid w:val="1B0B4B46"/>
    <w:rsid w:val="1B0B7DC1"/>
    <w:rsid w:val="1B0C01B6"/>
    <w:rsid w:val="1B0C128C"/>
    <w:rsid w:val="1B0C244F"/>
    <w:rsid w:val="1B0C5255"/>
    <w:rsid w:val="1B0C55C2"/>
    <w:rsid w:val="1B0C5787"/>
    <w:rsid w:val="1B0C6DE5"/>
    <w:rsid w:val="1B0D34C4"/>
    <w:rsid w:val="1B0D4C89"/>
    <w:rsid w:val="1B0D4D6A"/>
    <w:rsid w:val="1B0D514B"/>
    <w:rsid w:val="1B0D68F5"/>
    <w:rsid w:val="1B0D6EF9"/>
    <w:rsid w:val="1B0D7828"/>
    <w:rsid w:val="1B0E246A"/>
    <w:rsid w:val="1B0E3690"/>
    <w:rsid w:val="1B0E4768"/>
    <w:rsid w:val="1B0E516B"/>
    <w:rsid w:val="1B0E67CD"/>
    <w:rsid w:val="1B0F7D65"/>
    <w:rsid w:val="1B1004D0"/>
    <w:rsid w:val="1B100797"/>
    <w:rsid w:val="1B1026EE"/>
    <w:rsid w:val="1B102A73"/>
    <w:rsid w:val="1B105D7D"/>
    <w:rsid w:val="1B10676F"/>
    <w:rsid w:val="1B1069E9"/>
    <w:rsid w:val="1B113486"/>
    <w:rsid w:val="1B1168CE"/>
    <w:rsid w:val="1B1177A6"/>
    <w:rsid w:val="1B11796B"/>
    <w:rsid w:val="1B122762"/>
    <w:rsid w:val="1B124891"/>
    <w:rsid w:val="1B1262BE"/>
    <w:rsid w:val="1B126C91"/>
    <w:rsid w:val="1B132519"/>
    <w:rsid w:val="1B1332BE"/>
    <w:rsid w:val="1B133BA8"/>
    <w:rsid w:val="1B1357C2"/>
    <w:rsid w:val="1B1464DA"/>
    <w:rsid w:val="1B147BEC"/>
    <w:rsid w:val="1B15245C"/>
    <w:rsid w:val="1B15356A"/>
    <w:rsid w:val="1B154000"/>
    <w:rsid w:val="1B1550B0"/>
    <w:rsid w:val="1B157B5C"/>
    <w:rsid w:val="1B1616FB"/>
    <w:rsid w:val="1B16252D"/>
    <w:rsid w:val="1B1643AF"/>
    <w:rsid w:val="1B1677F5"/>
    <w:rsid w:val="1B171B26"/>
    <w:rsid w:val="1B1738D4"/>
    <w:rsid w:val="1B1765A9"/>
    <w:rsid w:val="1B18764C"/>
    <w:rsid w:val="1B187A78"/>
    <w:rsid w:val="1B190D07"/>
    <w:rsid w:val="1B192225"/>
    <w:rsid w:val="1B19550F"/>
    <w:rsid w:val="1B195CB1"/>
    <w:rsid w:val="1B1A1616"/>
    <w:rsid w:val="1B1A295C"/>
    <w:rsid w:val="1B1A6D70"/>
    <w:rsid w:val="1B1B3DEC"/>
    <w:rsid w:val="1B1B591A"/>
    <w:rsid w:val="1B1C0EEA"/>
    <w:rsid w:val="1B1C2A87"/>
    <w:rsid w:val="1B1C4D29"/>
    <w:rsid w:val="1B1C670C"/>
    <w:rsid w:val="1B1C713C"/>
    <w:rsid w:val="1B1D0E77"/>
    <w:rsid w:val="1B1D1744"/>
    <w:rsid w:val="1B1D2E5A"/>
    <w:rsid w:val="1B1D4C62"/>
    <w:rsid w:val="1B1E102C"/>
    <w:rsid w:val="1B1E2F06"/>
    <w:rsid w:val="1B1E4B60"/>
    <w:rsid w:val="1B1F0195"/>
    <w:rsid w:val="1B1F024A"/>
    <w:rsid w:val="1B1F09DB"/>
    <w:rsid w:val="1B1F3ED5"/>
    <w:rsid w:val="1B1F45C2"/>
    <w:rsid w:val="1B1F56E1"/>
    <w:rsid w:val="1B1F6495"/>
    <w:rsid w:val="1B1F6C2C"/>
    <w:rsid w:val="1B1F7FBE"/>
    <w:rsid w:val="1B206C0E"/>
    <w:rsid w:val="1B21011C"/>
    <w:rsid w:val="1B212617"/>
    <w:rsid w:val="1B21377C"/>
    <w:rsid w:val="1B213FA5"/>
    <w:rsid w:val="1B216501"/>
    <w:rsid w:val="1B2240D1"/>
    <w:rsid w:val="1B2304CB"/>
    <w:rsid w:val="1B232392"/>
    <w:rsid w:val="1B23355C"/>
    <w:rsid w:val="1B233A0E"/>
    <w:rsid w:val="1B234B42"/>
    <w:rsid w:val="1B234F4C"/>
    <w:rsid w:val="1B235F36"/>
    <w:rsid w:val="1B23671D"/>
    <w:rsid w:val="1B2374CD"/>
    <w:rsid w:val="1B240E92"/>
    <w:rsid w:val="1B244459"/>
    <w:rsid w:val="1B245FF1"/>
    <w:rsid w:val="1B251B9A"/>
    <w:rsid w:val="1B252495"/>
    <w:rsid w:val="1B2524C0"/>
    <w:rsid w:val="1B253B99"/>
    <w:rsid w:val="1B25632E"/>
    <w:rsid w:val="1B260832"/>
    <w:rsid w:val="1B260EFF"/>
    <w:rsid w:val="1B261D69"/>
    <w:rsid w:val="1B26620D"/>
    <w:rsid w:val="1B267FBB"/>
    <w:rsid w:val="1B27244C"/>
    <w:rsid w:val="1B27607A"/>
    <w:rsid w:val="1B27740C"/>
    <w:rsid w:val="1B2865C3"/>
    <w:rsid w:val="1B28788F"/>
    <w:rsid w:val="1B291859"/>
    <w:rsid w:val="1B2971B0"/>
    <w:rsid w:val="1B2A0D10"/>
    <w:rsid w:val="1B2A24A9"/>
    <w:rsid w:val="1B2A5604"/>
    <w:rsid w:val="1B2A68A9"/>
    <w:rsid w:val="1B2A70E3"/>
    <w:rsid w:val="1B2B00A2"/>
    <w:rsid w:val="1B2B3823"/>
    <w:rsid w:val="1B2B6E60"/>
    <w:rsid w:val="1B2D1E18"/>
    <w:rsid w:val="1B2D3377"/>
    <w:rsid w:val="1B2D6869"/>
    <w:rsid w:val="1B2D759B"/>
    <w:rsid w:val="1B2D7691"/>
    <w:rsid w:val="1B2E0657"/>
    <w:rsid w:val="1B2E0B21"/>
    <w:rsid w:val="1B2E0C1E"/>
    <w:rsid w:val="1B2E34E7"/>
    <w:rsid w:val="1B2E4B6F"/>
    <w:rsid w:val="1B2E6E70"/>
    <w:rsid w:val="1B2F0F76"/>
    <w:rsid w:val="1B2F50C2"/>
    <w:rsid w:val="1B2F5460"/>
    <w:rsid w:val="1B300821"/>
    <w:rsid w:val="1B302BE8"/>
    <w:rsid w:val="1B303B6D"/>
    <w:rsid w:val="1B304996"/>
    <w:rsid w:val="1B306A80"/>
    <w:rsid w:val="1B306B8A"/>
    <w:rsid w:val="1B310867"/>
    <w:rsid w:val="1B31308E"/>
    <w:rsid w:val="1B3151D4"/>
    <w:rsid w:val="1B317922"/>
    <w:rsid w:val="1B317F41"/>
    <w:rsid w:val="1B3202FC"/>
    <w:rsid w:val="1B32070E"/>
    <w:rsid w:val="1B323E84"/>
    <w:rsid w:val="1B324BB2"/>
    <w:rsid w:val="1B3251B8"/>
    <w:rsid w:val="1B326960"/>
    <w:rsid w:val="1B326E8C"/>
    <w:rsid w:val="1B3274A2"/>
    <w:rsid w:val="1B330C33"/>
    <w:rsid w:val="1B3320B1"/>
    <w:rsid w:val="1B334486"/>
    <w:rsid w:val="1B33582B"/>
    <w:rsid w:val="1B33794C"/>
    <w:rsid w:val="1B34092A"/>
    <w:rsid w:val="1B341A3A"/>
    <w:rsid w:val="1B34446A"/>
    <w:rsid w:val="1B3463F2"/>
    <w:rsid w:val="1B347056"/>
    <w:rsid w:val="1B3501FE"/>
    <w:rsid w:val="1B351090"/>
    <w:rsid w:val="1B351FAC"/>
    <w:rsid w:val="1B353351"/>
    <w:rsid w:val="1B356450"/>
    <w:rsid w:val="1B357F55"/>
    <w:rsid w:val="1B36093D"/>
    <w:rsid w:val="1B374144"/>
    <w:rsid w:val="1B375D24"/>
    <w:rsid w:val="1B37738B"/>
    <w:rsid w:val="1B382713"/>
    <w:rsid w:val="1B393AFE"/>
    <w:rsid w:val="1B393EFF"/>
    <w:rsid w:val="1B395F40"/>
    <w:rsid w:val="1B3A10D7"/>
    <w:rsid w:val="1B3A1F47"/>
    <w:rsid w:val="1B3A34C3"/>
    <w:rsid w:val="1B3A3A66"/>
    <w:rsid w:val="1B3A75C2"/>
    <w:rsid w:val="1B3B0D83"/>
    <w:rsid w:val="1B3B2C45"/>
    <w:rsid w:val="1B3B3CB6"/>
    <w:rsid w:val="1B3B6FF1"/>
    <w:rsid w:val="1B3C158C"/>
    <w:rsid w:val="1B3C15B9"/>
    <w:rsid w:val="1B3C350A"/>
    <w:rsid w:val="1B3C4A64"/>
    <w:rsid w:val="1B3C77DE"/>
    <w:rsid w:val="1B3C77F2"/>
    <w:rsid w:val="1B3D455C"/>
    <w:rsid w:val="1B3D45B5"/>
    <w:rsid w:val="1B3E1913"/>
    <w:rsid w:val="1B3E320C"/>
    <w:rsid w:val="1B3E3557"/>
    <w:rsid w:val="1B3E5265"/>
    <w:rsid w:val="1B3E5305"/>
    <w:rsid w:val="1B3E712F"/>
    <w:rsid w:val="1B3E7BE7"/>
    <w:rsid w:val="1B3F107D"/>
    <w:rsid w:val="1B3F31E7"/>
    <w:rsid w:val="1B3F7E62"/>
    <w:rsid w:val="1B400089"/>
    <w:rsid w:val="1B402F36"/>
    <w:rsid w:val="1B404677"/>
    <w:rsid w:val="1B404DBD"/>
    <w:rsid w:val="1B410951"/>
    <w:rsid w:val="1B410D37"/>
    <w:rsid w:val="1B412001"/>
    <w:rsid w:val="1B415B07"/>
    <w:rsid w:val="1B420427"/>
    <w:rsid w:val="1B426025"/>
    <w:rsid w:val="1B432A7C"/>
    <w:rsid w:val="1B435F14"/>
    <w:rsid w:val="1B437F3E"/>
    <w:rsid w:val="1B446693"/>
    <w:rsid w:val="1B4557A5"/>
    <w:rsid w:val="1B461955"/>
    <w:rsid w:val="1B46240B"/>
    <w:rsid w:val="1B46300F"/>
    <w:rsid w:val="1B471C50"/>
    <w:rsid w:val="1B476D46"/>
    <w:rsid w:val="1B480745"/>
    <w:rsid w:val="1B480A46"/>
    <w:rsid w:val="1B481CDF"/>
    <w:rsid w:val="1B486183"/>
    <w:rsid w:val="1B487A29"/>
    <w:rsid w:val="1B487F31"/>
    <w:rsid w:val="1B490CC0"/>
    <w:rsid w:val="1B49414F"/>
    <w:rsid w:val="1B495A57"/>
    <w:rsid w:val="1B4A3DD6"/>
    <w:rsid w:val="1B4A50C6"/>
    <w:rsid w:val="1B4B17D0"/>
    <w:rsid w:val="1B4B1D5D"/>
    <w:rsid w:val="1B4B2572"/>
    <w:rsid w:val="1B4B367E"/>
    <w:rsid w:val="1B4B511A"/>
    <w:rsid w:val="1B4B5C73"/>
    <w:rsid w:val="1B4B5FBE"/>
    <w:rsid w:val="1B4B613F"/>
    <w:rsid w:val="1B4C0736"/>
    <w:rsid w:val="1B4C147D"/>
    <w:rsid w:val="1B4C1DF3"/>
    <w:rsid w:val="1B4C3CD2"/>
    <w:rsid w:val="1B4D121A"/>
    <w:rsid w:val="1B4D12DB"/>
    <w:rsid w:val="1B4D19EC"/>
    <w:rsid w:val="1B4D1E38"/>
    <w:rsid w:val="1B4D2A05"/>
    <w:rsid w:val="1B4D4846"/>
    <w:rsid w:val="1B4D5548"/>
    <w:rsid w:val="1B4D55A8"/>
    <w:rsid w:val="1B4D6C7B"/>
    <w:rsid w:val="1B4D72F6"/>
    <w:rsid w:val="1B4E0381"/>
    <w:rsid w:val="1B4E306E"/>
    <w:rsid w:val="1B4F4517"/>
    <w:rsid w:val="1B4F7CFD"/>
    <w:rsid w:val="1B502E04"/>
    <w:rsid w:val="1B50328A"/>
    <w:rsid w:val="1B5048FA"/>
    <w:rsid w:val="1B506DE6"/>
    <w:rsid w:val="1B5074BE"/>
    <w:rsid w:val="1B507A36"/>
    <w:rsid w:val="1B512E86"/>
    <w:rsid w:val="1B5133AD"/>
    <w:rsid w:val="1B5152AE"/>
    <w:rsid w:val="1B515C21"/>
    <w:rsid w:val="1B517C4C"/>
    <w:rsid w:val="1B523B28"/>
    <w:rsid w:val="1B52400E"/>
    <w:rsid w:val="1B524C89"/>
    <w:rsid w:val="1B524DD3"/>
    <w:rsid w:val="1B525A7D"/>
    <w:rsid w:val="1B526103"/>
    <w:rsid w:val="1B5304E0"/>
    <w:rsid w:val="1B530684"/>
    <w:rsid w:val="1B542D7A"/>
    <w:rsid w:val="1B543F7D"/>
    <w:rsid w:val="1B544B28"/>
    <w:rsid w:val="1B54671D"/>
    <w:rsid w:val="1B5470C7"/>
    <w:rsid w:val="1B55148E"/>
    <w:rsid w:val="1B55264E"/>
    <w:rsid w:val="1B553BAF"/>
    <w:rsid w:val="1B5560F2"/>
    <w:rsid w:val="1B562378"/>
    <w:rsid w:val="1B5664FF"/>
    <w:rsid w:val="1B57195F"/>
    <w:rsid w:val="1B572B4C"/>
    <w:rsid w:val="1B575D41"/>
    <w:rsid w:val="1B5763C6"/>
    <w:rsid w:val="1B583D8E"/>
    <w:rsid w:val="1B587BA9"/>
    <w:rsid w:val="1B590390"/>
    <w:rsid w:val="1B59213E"/>
    <w:rsid w:val="1B593EEC"/>
    <w:rsid w:val="1B5946A7"/>
    <w:rsid w:val="1B596248"/>
    <w:rsid w:val="1B5A1AF6"/>
    <w:rsid w:val="1B5B127F"/>
    <w:rsid w:val="1B5B5EB7"/>
    <w:rsid w:val="1B5C3247"/>
    <w:rsid w:val="1B5C3B9F"/>
    <w:rsid w:val="1B5C4BBF"/>
    <w:rsid w:val="1B5C578B"/>
    <w:rsid w:val="1B5D1340"/>
    <w:rsid w:val="1B5D502F"/>
    <w:rsid w:val="1B5E7755"/>
    <w:rsid w:val="1B5E7FEF"/>
    <w:rsid w:val="1B5F1090"/>
    <w:rsid w:val="1B5F11E0"/>
    <w:rsid w:val="1B5F527B"/>
    <w:rsid w:val="1B5F5E71"/>
    <w:rsid w:val="1B60171F"/>
    <w:rsid w:val="1B603395"/>
    <w:rsid w:val="1B6034CD"/>
    <w:rsid w:val="1B604E75"/>
    <w:rsid w:val="1B60656D"/>
    <w:rsid w:val="1B607632"/>
    <w:rsid w:val="1B607A85"/>
    <w:rsid w:val="1B612DA1"/>
    <w:rsid w:val="1B6137B5"/>
    <w:rsid w:val="1B615437"/>
    <w:rsid w:val="1B620A40"/>
    <w:rsid w:val="1B62245F"/>
    <w:rsid w:val="1B6232F7"/>
    <w:rsid w:val="1B6244DD"/>
    <w:rsid w:val="1B62693A"/>
    <w:rsid w:val="1B631388"/>
    <w:rsid w:val="1B6338F8"/>
    <w:rsid w:val="1B634D6B"/>
    <w:rsid w:val="1B637CFB"/>
    <w:rsid w:val="1B642891"/>
    <w:rsid w:val="1B6430D2"/>
    <w:rsid w:val="1B64442F"/>
    <w:rsid w:val="1B6453B7"/>
    <w:rsid w:val="1B6537C0"/>
    <w:rsid w:val="1B662AAD"/>
    <w:rsid w:val="1B662CE1"/>
    <w:rsid w:val="1B66485B"/>
    <w:rsid w:val="1B665126"/>
    <w:rsid w:val="1B665F4F"/>
    <w:rsid w:val="1B666609"/>
    <w:rsid w:val="1B670CB1"/>
    <w:rsid w:val="1B672A55"/>
    <w:rsid w:val="1B67328A"/>
    <w:rsid w:val="1B6750E8"/>
    <w:rsid w:val="1B677276"/>
    <w:rsid w:val="1B677821"/>
    <w:rsid w:val="1B683934"/>
    <w:rsid w:val="1B684130"/>
    <w:rsid w:val="1B690BC8"/>
    <w:rsid w:val="1B691963"/>
    <w:rsid w:val="1B696391"/>
    <w:rsid w:val="1B6A434C"/>
    <w:rsid w:val="1B6A61A2"/>
    <w:rsid w:val="1B6A6AAA"/>
    <w:rsid w:val="1B6A71E7"/>
    <w:rsid w:val="1B6A7762"/>
    <w:rsid w:val="1B6B0D73"/>
    <w:rsid w:val="1B6B1E72"/>
    <w:rsid w:val="1B6B2AE3"/>
    <w:rsid w:val="1B6B3C20"/>
    <w:rsid w:val="1B6B7632"/>
    <w:rsid w:val="1B6C00C4"/>
    <w:rsid w:val="1B6C281E"/>
    <w:rsid w:val="1B6C4153"/>
    <w:rsid w:val="1B6C6D7F"/>
    <w:rsid w:val="1B6D5BEA"/>
    <w:rsid w:val="1B6D7837"/>
    <w:rsid w:val="1B6E128B"/>
    <w:rsid w:val="1B6E1667"/>
    <w:rsid w:val="1B6E3059"/>
    <w:rsid w:val="1B6E4200"/>
    <w:rsid w:val="1B6E4EC7"/>
    <w:rsid w:val="1B6E5244"/>
    <w:rsid w:val="1B6E733C"/>
    <w:rsid w:val="1B6F0D71"/>
    <w:rsid w:val="1B6F0FEF"/>
    <w:rsid w:val="1B6F1E1A"/>
    <w:rsid w:val="1B6F3710"/>
    <w:rsid w:val="1B6F37CD"/>
    <w:rsid w:val="1B6F54BE"/>
    <w:rsid w:val="1B702014"/>
    <w:rsid w:val="1B707488"/>
    <w:rsid w:val="1B71096C"/>
    <w:rsid w:val="1B711A93"/>
    <w:rsid w:val="1B712669"/>
    <w:rsid w:val="1B713E9F"/>
    <w:rsid w:val="1B716075"/>
    <w:rsid w:val="1B717CA8"/>
    <w:rsid w:val="1B721452"/>
    <w:rsid w:val="1B722893"/>
    <w:rsid w:val="1B724934"/>
    <w:rsid w:val="1B724FAE"/>
    <w:rsid w:val="1B725717"/>
    <w:rsid w:val="1B727C17"/>
    <w:rsid w:val="1B7408A6"/>
    <w:rsid w:val="1B741E25"/>
    <w:rsid w:val="1B742AD4"/>
    <w:rsid w:val="1B742C1C"/>
    <w:rsid w:val="1B74385A"/>
    <w:rsid w:val="1B743FAF"/>
    <w:rsid w:val="1B744165"/>
    <w:rsid w:val="1B74567B"/>
    <w:rsid w:val="1B74638C"/>
    <w:rsid w:val="1B7500EC"/>
    <w:rsid w:val="1B75039E"/>
    <w:rsid w:val="1B750C7D"/>
    <w:rsid w:val="1B75684C"/>
    <w:rsid w:val="1B757308"/>
    <w:rsid w:val="1B762CF0"/>
    <w:rsid w:val="1B762DA3"/>
    <w:rsid w:val="1B763A02"/>
    <w:rsid w:val="1B764745"/>
    <w:rsid w:val="1B76516D"/>
    <w:rsid w:val="1B7707A6"/>
    <w:rsid w:val="1B776A68"/>
    <w:rsid w:val="1B777270"/>
    <w:rsid w:val="1B780617"/>
    <w:rsid w:val="1B780668"/>
    <w:rsid w:val="1B780AEC"/>
    <w:rsid w:val="1B7816A8"/>
    <w:rsid w:val="1B782920"/>
    <w:rsid w:val="1B784F9C"/>
    <w:rsid w:val="1B786992"/>
    <w:rsid w:val="1B7900EB"/>
    <w:rsid w:val="1B79458F"/>
    <w:rsid w:val="1B79633D"/>
    <w:rsid w:val="1B7A20B5"/>
    <w:rsid w:val="1B7A5C97"/>
    <w:rsid w:val="1B7B0307"/>
    <w:rsid w:val="1B7B1534"/>
    <w:rsid w:val="1B7B16C7"/>
    <w:rsid w:val="1B7B1B8E"/>
    <w:rsid w:val="1B7B6103"/>
    <w:rsid w:val="1B7B62D3"/>
    <w:rsid w:val="1B7C39DA"/>
    <w:rsid w:val="1B7C407F"/>
    <w:rsid w:val="1B7C5E2D"/>
    <w:rsid w:val="1B7C65D7"/>
    <w:rsid w:val="1B7C7BDB"/>
    <w:rsid w:val="1B7D1CFB"/>
    <w:rsid w:val="1B7D4618"/>
    <w:rsid w:val="1B7D6646"/>
    <w:rsid w:val="1B7E1BA5"/>
    <w:rsid w:val="1B7E3953"/>
    <w:rsid w:val="1B7E4D38"/>
    <w:rsid w:val="1B7E5AC7"/>
    <w:rsid w:val="1B7E7D55"/>
    <w:rsid w:val="1B7F044B"/>
    <w:rsid w:val="1B7F1479"/>
    <w:rsid w:val="1B7F1E23"/>
    <w:rsid w:val="1B7F218B"/>
    <w:rsid w:val="1B800327"/>
    <w:rsid w:val="1B8009FB"/>
    <w:rsid w:val="1B80175B"/>
    <w:rsid w:val="1B802BEE"/>
    <w:rsid w:val="1B803B6F"/>
    <w:rsid w:val="1B80591D"/>
    <w:rsid w:val="1B81020A"/>
    <w:rsid w:val="1B811695"/>
    <w:rsid w:val="1B8151F1"/>
    <w:rsid w:val="1B820451"/>
    <w:rsid w:val="1B8258B9"/>
    <w:rsid w:val="1B8271CE"/>
    <w:rsid w:val="1B83187A"/>
    <w:rsid w:val="1B83540D"/>
    <w:rsid w:val="1B836942"/>
    <w:rsid w:val="1B8448F8"/>
    <w:rsid w:val="1B8454BF"/>
    <w:rsid w:val="1B851185"/>
    <w:rsid w:val="1B852F33"/>
    <w:rsid w:val="1B855EB3"/>
    <w:rsid w:val="1B860A5A"/>
    <w:rsid w:val="1B861A95"/>
    <w:rsid w:val="1B862594"/>
    <w:rsid w:val="1B862808"/>
    <w:rsid w:val="1B86294A"/>
    <w:rsid w:val="1B863107"/>
    <w:rsid w:val="1B864066"/>
    <w:rsid w:val="1B866CAC"/>
    <w:rsid w:val="1B866E0B"/>
    <w:rsid w:val="1B87071E"/>
    <w:rsid w:val="1B8707AC"/>
    <w:rsid w:val="1B87316E"/>
    <w:rsid w:val="1B876674"/>
    <w:rsid w:val="1B88172B"/>
    <w:rsid w:val="1B882A24"/>
    <w:rsid w:val="1B8860A6"/>
    <w:rsid w:val="1B8860D6"/>
    <w:rsid w:val="1B8864A4"/>
    <w:rsid w:val="1B886580"/>
    <w:rsid w:val="1B8901A5"/>
    <w:rsid w:val="1B896F57"/>
    <w:rsid w:val="1B897C45"/>
    <w:rsid w:val="1B8A054A"/>
    <w:rsid w:val="1B8A22F8"/>
    <w:rsid w:val="1B8A5B97"/>
    <w:rsid w:val="1B8A65D8"/>
    <w:rsid w:val="1B8A679C"/>
    <w:rsid w:val="1B8B0B67"/>
    <w:rsid w:val="1B8B45DD"/>
    <w:rsid w:val="1B8B6B38"/>
    <w:rsid w:val="1B8C00AC"/>
    <w:rsid w:val="1B8C1372"/>
    <w:rsid w:val="1B8C257D"/>
    <w:rsid w:val="1B8C2C7D"/>
    <w:rsid w:val="1B8C4229"/>
    <w:rsid w:val="1B8D003A"/>
    <w:rsid w:val="1B8D1DE8"/>
    <w:rsid w:val="1B8D2570"/>
    <w:rsid w:val="1B8D2727"/>
    <w:rsid w:val="1B8D3B96"/>
    <w:rsid w:val="1B8D4218"/>
    <w:rsid w:val="1B8D61B8"/>
    <w:rsid w:val="1B8E3AC4"/>
    <w:rsid w:val="1B8E67B9"/>
    <w:rsid w:val="1B8F178F"/>
    <w:rsid w:val="1B8F437C"/>
    <w:rsid w:val="1B8F5B60"/>
    <w:rsid w:val="1B8F68AF"/>
    <w:rsid w:val="1B8F790E"/>
    <w:rsid w:val="1B901225"/>
    <w:rsid w:val="1B901483"/>
    <w:rsid w:val="1B903686"/>
    <w:rsid w:val="1B90667A"/>
    <w:rsid w:val="1B9067D5"/>
    <w:rsid w:val="1B910BFE"/>
    <w:rsid w:val="1B911508"/>
    <w:rsid w:val="1B9118D8"/>
    <w:rsid w:val="1B915F8B"/>
    <w:rsid w:val="1B917B2A"/>
    <w:rsid w:val="1B9211AC"/>
    <w:rsid w:val="1B9238A2"/>
    <w:rsid w:val="1B9253AE"/>
    <w:rsid w:val="1B9257E2"/>
    <w:rsid w:val="1B932E99"/>
    <w:rsid w:val="1B93344D"/>
    <w:rsid w:val="1B935A81"/>
    <w:rsid w:val="1B93683E"/>
    <w:rsid w:val="1B9371FD"/>
    <w:rsid w:val="1B9403E7"/>
    <w:rsid w:val="1B950C3D"/>
    <w:rsid w:val="1B950C9D"/>
    <w:rsid w:val="1B9525EE"/>
    <w:rsid w:val="1B952AC6"/>
    <w:rsid w:val="1B953BB8"/>
    <w:rsid w:val="1B954F68"/>
    <w:rsid w:val="1B956B33"/>
    <w:rsid w:val="1B957AE1"/>
    <w:rsid w:val="1B963D2F"/>
    <w:rsid w:val="1B9667C1"/>
    <w:rsid w:val="1B967BC7"/>
    <w:rsid w:val="1B97092A"/>
    <w:rsid w:val="1B971C20"/>
    <w:rsid w:val="1B9724DB"/>
    <w:rsid w:val="1B9751BF"/>
    <w:rsid w:val="1B975631"/>
    <w:rsid w:val="1B975E48"/>
    <w:rsid w:val="1B97656C"/>
    <w:rsid w:val="1B980FB3"/>
    <w:rsid w:val="1B981126"/>
    <w:rsid w:val="1B981220"/>
    <w:rsid w:val="1B98185C"/>
    <w:rsid w:val="1B98342C"/>
    <w:rsid w:val="1B984CB8"/>
    <w:rsid w:val="1B9856E6"/>
    <w:rsid w:val="1B9926B0"/>
    <w:rsid w:val="1B9936DD"/>
    <w:rsid w:val="1B995C93"/>
    <w:rsid w:val="1B9A18EA"/>
    <w:rsid w:val="1B9A38E8"/>
    <w:rsid w:val="1B9A62B3"/>
    <w:rsid w:val="1B9A6AAB"/>
    <w:rsid w:val="1B9B066E"/>
    <w:rsid w:val="1B9B2757"/>
    <w:rsid w:val="1B9B2C3F"/>
    <w:rsid w:val="1B9B4505"/>
    <w:rsid w:val="1B9B6105"/>
    <w:rsid w:val="1B9B6711"/>
    <w:rsid w:val="1B9C027D"/>
    <w:rsid w:val="1B9C202B"/>
    <w:rsid w:val="1B9C3874"/>
    <w:rsid w:val="1B9C57F6"/>
    <w:rsid w:val="1B9C64CF"/>
    <w:rsid w:val="1B9D20E9"/>
    <w:rsid w:val="1B9D35E8"/>
    <w:rsid w:val="1B9D3974"/>
    <w:rsid w:val="1B9D4F86"/>
    <w:rsid w:val="1B9D7104"/>
    <w:rsid w:val="1B9D7C6F"/>
    <w:rsid w:val="1B9E2247"/>
    <w:rsid w:val="1B9E3951"/>
    <w:rsid w:val="1B9E40FF"/>
    <w:rsid w:val="1B9E74D9"/>
    <w:rsid w:val="1B9F2F1C"/>
    <w:rsid w:val="1B9F38C9"/>
    <w:rsid w:val="1B9F3C67"/>
    <w:rsid w:val="1B9F6646"/>
    <w:rsid w:val="1BA03226"/>
    <w:rsid w:val="1BA04429"/>
    <w:rsid w:val="1BA04F64"/>
    <w:rsid w:val="1BA10AAB"/>
    <w:rsid w:val="1BA116C2"/>
    <w:rsid w:val="1BA11E24"/>
    <w:rsid w:val="1BA12479"/>
    <w:rsid w:val="1BA13E6B"/>
    <w:rsid w:val="1BA1596F"/>
    <w:rsid w:val="1BA23AE5"/>
    <w:rsid w:val="1BA2603A"/>
    <w:rsid w:val="1BA3160C"/>
    <w:rsid w:val="1BA32518"/>
    <w:rsid w:val="1BA3290A"/>
    <w:rsid w:val="1BA333BA"/>
    <w:rsid w:val="1BA34F3D"/>
    <w:rsid w:val="1BA36475"/>
    <w:rsid w:val="1BA3785E"/>
    <w:rsid w:val="1BA43ED6"/>
    <w:rsid w:val="1BA4524F"/>
    <w:rsid w:val="1BA52F9E"/>
    <w:rsid w:val="1BA535D6"/>
    <w:rsid w:val="1BA553F0"/>
    <w:rsid w:val="1BA57132"/>
    <w:rsid w:val="1BA6002B"/>
    <w:rsid w:val="1BA64C58"/>
    <w:rsid w:val="1BA66ACC"/>
    <w:rsid w:val="1BA71159"/>
    <w:rsid w:val="1BA74CB4"/>
    <w:rsid w:val="1BA75ADF"/>
    <w:rsid w:val="1BA76B7F"/>
    <w:rsid w:val="1BA773A3"/>
    <w:rsid w:val="1BA80D15"/>
    <w:rsid w:val="1BA844A0"/>
    <w:rsid w:val="1BA84E74"/>
    <w:rsid w:val="1BA852C9"/>
    <w:rsid w:val="1BA869C7"/>
    <w:rsid w:val="1BA86C22"/>
    <w:rsid w:val="1BA921A5"/>
    <w:rsid w:val="1BA9289C"/>
    <w:rsid w:val="1BA935DD"/>
    <w:rsid w:val="1BA96A3C"/>
    <w:rsid w:val="1BA972F6"/>
    <w:rsid w:val="1BAA4810"/>
    <w:rsid w:val="1BAB22BD"/>
    <w:rsid w:val="1BAB64F0"/>
    <w:rsid w:val="1BAB7696"/>
    <w:rsid w:val="1BAB77EA"/>
    <w:rsid w:val="1BAC1714"/>
    <w:rsid w:val="1BAC6712"/>
    <w:rsid w:val="1BAD0A0C"/>
    <w:rsid w:val="1BAD1FB6"/>
    <w:rsid w:val="1BAD237B"/>
    <w:rsid w:val="1BAD248A"/>
    <w:rsid w:val="1BAD4238"/>
    <w:rsid w:val="1BAD5FE6"/>
    <w:rsid w:val="1BAD6444"/>
    <w:rsid w:val="1BAD73E5"/>
    <w:rsid w:val="1BAE3446"/>
    <w:rsid w:val="1BAE5D6E"/>
    <w:rsid w:val="1BAF05D3"/>
    <w:rsid w:val="1BAF1D5E"/>
    <w:rsid w:val="1BAF4E0B"/>
    <w:rsid w:val="1BAF674D"/>
    <w:rsid w:val="1BAF6C7A"/>
    <w:rsid w:val="1BB035BA"/>
    <w:rsid w:val="1BB0405F"/>
    <w:rsid w:val="1BB05AD7"/>
    <w:rsid w:val="1BB05D66"/>
    <w:rsid w:val="1BB06976"/>
    <w:rsid w:val="1BB1012C"/>
    <w:rsid w:val="1BB12807"/>
    <w:rsid w:val="1BB13B83"/>
    <w:rsid w:val="1BB13D28"/>
    <w:rsid w:val="1BB20E62"/>
    <w:rsid w:val="1BB2184F"/>
    <w:rsid w:val="1BB27AA1"/>
    <w:rsid w:val="1BB27BFE"/>
    <w:rsid w:val="1BB30E06"/>
    <w:rsid w:val="1BB32CA8"/>
    <w:rsid w:val="1BB32F83"/>
    <w:rsid w:val="1BB3728B"/>
    <w:rsid w:val="1BB420F0"/>
    <w:rsid w:val="1BB43819"/>
    <w:rsid w:val="1BB455C7"/>
    <w:rsid w:val="1BB45AD2"/>
    <w:rsid w:val="1BB4666E"/>
    <w:rsid w:val="1BB472B8"/>
    <w:rsid w:val="1BB479C4"/>
    <w:rsid w:val="1BB50035"/>
    <w:rsid w:val="1BB5230D"/>
    <w:rsid w:val="1BB5278D"/>
    <w:rsid w:val="1BB53A77"/>
    <w:rsid w:val="1BB55CC2"/>
    <w:rsid w:val="1BB565EC"/>
    <w:rsid w:val="1BB60EAD"/>
    <w:rsid w:val="1BB6133F"/>
    <w:rsid w:val="1BB6144B"/>
    <w:rsid w:val="1BB62D4A"/>
    <w:rsid w:val="1BB630ED"/>
    <w:rsid w:val="1BB631F4"/>
    <w:rsid w:val="1BB63319"/>
    <w:rsid w:val="1BB66CBB"/>
    <w:rsid w:val="1BB67591"/>
    <w:rsid w:val="1BB70E09"/>
    <w:rsid w:val="1BB7124D"/>
    <w:rsid w:val="1BB71917"/>
    <w:rsid w:val="1BB73068"/>
    <w:rsid w:val="1BB740A5"/>
    <w:rsid w:val="1BB750B7"/>
    <w:rsid w:val="1BB85C02"/>
    <w:rsid w:val="1BB90559"/>
    <w:rsid w:val="1BB92BDD"/>
    <w:rsid w:val="1BB96F4F"/>
    <w:rsid w:val="1BB97944"/>
    <w:rsid w:val="1BB97BAC"/>
    <w:rsid w:val="1BBA216F"/>
    <w:rsid w:val="1BBB21B9"/>
    <w:rsid w:val="1BBB296F"/>
    <w:rsid w:val="1BBB4BA7"/>
    <w:rsid w:val="1BBB779A"/>
    <w:rsid w:val="1BBC061B"/>
    <w:rsid w:val="1BBC1FFA"/>
    <w:rsid w:val="1BBC2407"/>
    <w:rsid w:val="1BBD3DB2"/>
    <w:rsid w:val="1BBD6A6D"/>
    <w:rsid w:val="1BBD6DDC"/>
    <w:rsid w:val="1BBD730C"/>
    <w:rsid w:val="1BBE1FA1"/>
    <w:rsid w:val="1BBE2F3B"/>
    <w:rsid w:val="1BBE4396"/>
    <w:rsid w:val="1BBE4697"/>
    <w:rsid w:val="1BBE5343"/>
    <w:rsid w:val="1BBE6445"/>
    <w:rsid w:val="1BBE683C"/>
    <w:rsid w:val="1BBF3064"/>
    <w:rsid w:val="1BBF6165"/>
    <w:rsid w:val="1BBF7512"/>
    <w:rsid w:val="1BC0155D"/>
    <w:rsid w:val="1BC03864"/>
    <w:rsid w:val="1BC03F6C"/>
    <w:rsid w:val="1BC05366"/>
    <w:rsid w:val="1BC11A92"/>
    <w:rsid w:val="1BC11D93"/>
    <w:rsid w:val="1BC2073A"/>
    <w:rsid w:val="1BC208F7"/>
    <w:rsid w:val="1BC2278A"/>
    <w:rsid w:val="1BC2312D"/>
    <w:rsid w:val="1BC25BBB"/>
    <w:rsid w:val="1BC25F36"/>
    <w:rsid w:val="1BC26601"/>
    <w:rsid w:val="1BC27540"/>
    <w:rsid w:val="1BC31018"/>
    <w:rsid w:val="1BC31CAE"/>
    <w:rsid w:val="1BC33A5C"/>
    <w:rsid w:val="1BC344F4"/>
    <w:rsid w:val="1BC3580A"/>
    <w:rsid w:val="1BC36487"/>
    <w:rsid w:val="1BC37994"/>
    <w:rsid w:val="1BC41C91"/>
    <w:rsid w:val="1BC44331"/>
    <w:rsid w:val="1BC5018E"/>
    <w:rsid w:val="1BC507A4"/>
    <w:rsid w:val="1BC576BA"/>
    <w:rsid w:val="1BC577D4"/>
    <w:rsid w:val="1BC57982"/>
    <w:rsid w:val="1BC616AB"/>
    <w:rsid w:val="1BC616CD"/>
    <w:rsid w:val="1BC61C38"/>
    <w:rsid w:val="1BC635B8"/>
    <w:rsid w:val="1BC64867"/>
    <w:rsid w:val="1BC670A8"/>
    <w:rsid w:val="1BC67E83"/>
    <w:rsid w:val="1BC70FD6"/>
    <w:rsid w:val="1BC7285A"/>
    <w:rsid w:val="1BC72C0D"/>
    <w:rsid w:val="1BC7354C"/>
    <w:rsid w:val="1BC752FA"/>
    <w:rsid w:val="1BC76C10"/>
    <w:rsid w:val="1BC81072"/>
    <w:rsid w:val="1BC83FED"/>
    <w:rsid w:val="1BC8423D"/>
    <w:rsid w:val="1BC84392"/>
    <w:rsid w:val="1BC86BBE"/>
    <w:rsid w:val="1BC8714D"/>
    <w:rsid w:val="1BC872C4"/>
    <w:rsid w:val="1BC968A0"/>
    <w:rsid w:val="1BC976E2"/>
    <w:rsid w:val="1BCA303C"/>
    <w:rsid w:val="1BCA73E3"/>
    <w:rsid w:val="1BCB0C5B"/>
    <w:rsid w:val="1BCB2D96"/>
    <w:rsid w:val="1BCB4A99"/>
    <w:rsid w:val="1BCC0B62"/>
    <w:rsid w:val="1BCC3792"/>
    <w:rsid w:val="1BCC5812"/>
    <w:rsid w:val="1BCD0437"/>
    <w:rsid w:val="1BCD5AE8"/>
    <w:rsid w:val="1BCD5CD9"/>
    <w:rsid w:val="1BCE27DA"/>
    <w:rsid w:val="1BCE2FE0"/>
    <w:rsid w:val="1BCE565A"/>
    <w:rsid w:val="1BCE7467"/>
    <w:rsid w:val="1BCF03E7"/>
    <w:rsid w:val="1BCF0653"/>
    <w:rsid w:val="1BCF2904"/>
    <w:rsid w:val="1BCF41AF"/>
    <w:rsid w:val="1BCF4E92"/>
    <w:rsid w:val="1BCF516C"/>
    <w:rsid w:val="1BCF7641"/>
    <w:rsid w:val="1BD01011"/>
    <w:rsid w:val="1BD01CD5"/>
    <w:rsid w:val="1BD05F90"/>
    <w:rsid w:val="1BD075BE"/>
    <w:rsid w:val="1BD113C9"/>
    <w:rsid w:val="1BD13F27"/>
    <w:rsid w:val="1BD143CB"/>
    <w:rsid w:val="1BD1591F"/>
    <w:rsid w:val="1BD17F21"/>
    <w:rsid w:val="1BD21EF1"/>
    <w:rsid w:val="1BD239AC"/>
    <w:rsid w:val="1BD23C9F"/>
    <w:rsid w:val="1BD2458A"/>
    <w:rsid w:val="1BD24909"/>
    <w:rsid w:val="1BD25A4D"/>
    <w:rsid w:val="1BD308FA"/>
    <w:rsid w:val="1BD30F81"/>
    <w:rsid w:val="1BD33CD1"/>
    <w:rsid w:val="1BD342F9"/>
    <w:rsid w:val="1BD36403"/>
    <w:rsid w:val="1BD40F69"/>
    <w:rsid w:val="1BD417C5"/>
    <w:rsid w:val="1BD418C0"/>
    <w:rsid w:val="1BD42581"/>
    <w:rsid w:val="1BD45264"/>
    <w:rsid w:val="1BD468A2"/>
    <w:rsid w:val="1BD46B7C"/>
    <w:rsid w:val="1BD47714"/>
    <w:rsid w:val="1BD47A17"/>
    <w:rsid w:val="1BD56D1F"/>
    <w:rsid w:val="1BD619E1"/>
    <w:rsid w:val="1BD67442"/>
    <w:rsid w:val="1BD72652"/>
    <w:rsid w:val="1BD73063"/>
    <w:rsid w:val="1BD75509"/>
    <w:rsid w:val="1BD86426"/>
    <w:rsid w:val="1BD87507"/>
    <w:rsid w:val="1BD9327F"/>
    <w:rsid w:val="1BD94F72"/>
    <w:rsid w:val="1BD9534F"/>
    <w:rsid w:val="1BD97B43"/>
    <w:rsid w:val="1BDA0FD3"/>
    <w:rsid w:val="1BDA130C"/>
    <w:rsid w:val="1BDA1F68"/>
    <w:rsid w:val="1BDA2980"/>
    <w:rsid w:val="1BDB19F2"/>
    <w:rsid w:val="1BDB23C6"/>
    <w:rsid w:val="1BDB2440"/>
    <w:rsid w:val="1BDB2463"/>
    <w:rsid w:val="1BDB46D8"/>
    <w:rsid w:val="1BDB7D33"/>
    <w:rsid w:val="1BDC14AC"/>
    <w:rsid w:val="1BDC2BFF"/>
    <w:rsid w:val="1BDC2D4B"/>
    <w:rsid w:val="1BDC44FB"/>
    <w:rsid w:val="1BDC4E6C"/>
    <w:rsid w:val="1BDC549E"/>
    <w:rsid w:val="1BDD1B48"/>
    <w:rsid w:val="1BDD2197"/>
    <w:rsid w:val="1BDD4B1E"/>
    <w:rsid w:val="1BDE0896"/>
    <w:rsid w:val="1BDE2589"/>
    <w:rsid w:val="1BDE4296"/>
    <w:rsid w:val="1BDE68AD"/>
    <w:rsid w:val="1BDE6BB9"/>
    <w:rsid w:val="1BE01C7E"/>
    <w:rsid w:val="1BE063BC"/>
    <w:rsid w:val="1BE13EE2"/>
    <w:rsid w:val="1BE20386"/>
    <w:rsid w:val="1BE22134"/>
    <w:rsid w:val="1BE25AD6"/>
    <w:rsid w:val="1BE27806"/>
    <w:rsid w:val="1BE33DBD"/>
    <w:rsid w:val="1BE340FE"/>
    <w:rsid w:val="1BE3419B"/>
    <w:rsid w:val="1BE35EAC"/>
    <w:rsid w:val="1BE37A93"/>
    <w:rsid w:val="1BE42A89"/>
    <w:rsid w:val="1BE43DE2"/>
    <w:rsid w:val="1BE44363"/>
    <w:rsid w:val="1BE44948"/>
    <w:rsid w:val="1BE5162D"/>
    <w:rsid w:val="1BE51C24"/>
    <w:rsid w:val="1BE55215"/>
    <w:rsid w:val="1BE55780"/>
    <w:rsid w:val="1BE55B62"/>
    <w:rsid w:val="1BE56C97"/>
    <w:rsid w:val="1BE60E28"/>
    <w:rsid w:val="1BE614F8"/>
    <w:rsid w:val="1BE6267F"/>
    <w:rsid w:val="1BE62B7A"/>
    <w:rsid w:val="1BE63342"/>
    <w:rsid w:val="1BE70F55"/>
    <w:rsid w:val="1BE72147"/>
    <w:rsid w:val="1BE7365E"/>
    <w:rsid w:val="1BE73A81"/>
    <w:rsid w:val="1BE80176"/>
    <w:rsid w:val="1BE85736"/>
    <w:rsid w:val="1BE878E4"/>
    <w:rsid w:val="1BE87977"/>
    <w:rsid w:val="1BE92B69"/>
    <w:rsid w:val="1BE965C0"/>
    <w:rsid w:val="1BE96A15"/>
    <w:rsid w:val="1BEA65E1"/>
    <w:rsid w:val="1BEA6E80"/>
    <w:rsid w:val="1BEA723A"/>
    <w:rsid w:val="1BEB01B5"/>
    <w:rsid w:val="1BEB0562"/>
    <w:rsid w:val="1BEC18F8"/>
    <w:rsid w:val="1BEC2C4D"/>
    <w:rsid w:val="1BEC403B"/>
    <w:rsid w:val="1BEC6B0F"/>
    <w:rsid w:val="1BEC77DF"/>
    <w:rsid w:val="1BED14A5"/>
    <w:rsid w:val="1BED2887"/>
    <w:rsid w:val="1BED5DA2"/>
    <w:rsid w:val="1BED7767"/>
    <w:rsid w:val="1BEE1C9E"/>
    <w:rsid w:val="1BEE3C52"/>
    <w:rsid w:val="1BEF0761"/>
    <w:rsid w:val="1BEF2928"/>
    <w:rsid w:val="1BEF2B65"/>
    <w:rsid w:val="1BEF4851"/>
    <w:rsid w:val="1BF008AE"/>
    <w:rsid w:val="1BF01C82"/>
    <w:rsid w:val="1BF031F9"/>
    <w:rsid w:val="1BF04858"/>
    <w:rsid w:val="1BF0493A"/>
    <w:rsid w:val="1BF0582C"/>
    <w:rsid w:val="1BF05DE6"/>
    <w:rsid w:val="1BF105C9"/>
    <w:rsid w:val="1BF12377"/>
    <w:rsid w:val="1BF13C34"/>
    <w:rsid w:val="1BF14125"/>
    <w:rsid w:val="1BF242A9"/>
    <w:rsid w:val="1BF24C7D"/>
    <w:rsid w:val="1BF251CE"/>
    <w:rsid w:val="1BF260EF"/>
    <w:rsid w:val="1BF27057"/>
    <w:rsid w:val="1BF27E9D"/>
    <w:rsid w:val="1BF31C60"/>
    <w:rsid w:val="1BF32F2A"/>
    <w:rsid w:val="1BF330FA"/>
    <w:rsid w:val="1BF35F4C"/>
    <w:rsid w:val="1BF400B9"/>
    <w:rsid w:val="1BF41B7A"/>
    <w:rsid w:val="1BF41EE4"/>
    <w:rsid w:val="1BF474C9"/>
    <w:rsid w:val="1BF51397"/>
    <w:rsid w:val="1BF5210E"/>
    <w:rsid w:val="1BF53BDB"/>
    <w:rsid w:val="1BF55900"/>
    <w:rsid w:val="1BF55BE3"/>
    <w:rsid w:val="1BF61307"/>
    <w:rsid w:val="1BF61EC8"/>
    <w:rsid w:val="1BF62936"/>
    <w:rsid w:val="1BF63E31"/>
    <w:rsid w:val="1BF640CB"/>
    <w:rsid w:val="1BF65BDF"/>
    <w:rsid w:val="1BF663C1"/>
    <w:rsid w:val="1BF6706B"/>
    <w:rsid w:val="1BF73705"/>
    <w:rsid w:val="1BF74B1A"/>
    <w:rsid w:val="1BF754B3"/>
    <w:rsid w:val="1BF76C35"/>
    <w:rsid w:val="1BF81262"/>
    <w:rsid w:val="1BF858F7"/>
    <w:rsid w:val="1BF8770C"/>
    <w:rsid w:val="1BF94944"/>
    <w:rsid w:val="1BF95025"/>
    <w:rsid w:val="1BF956CF"/>
    <w:rsid w:val="1BF9747E"/>
    <w:rsid w:val="1BFA351D"/>
    <w:rsid w:val="1BFA6AC3"/>
    <w:rsid w:val="1BFA7D0A"/>
    <w:rsid w:val="1BFB1448"/>
    <w:rsid w:val="1BFB1863"/>
    <w:rsid w:val="1BFB1D25"/>
    <w:rsid w:val="1BFB24E3"/>
    <w:rsid w:val="1BFB31F6"/>
    <w:rsid w:val="1BFB4305"/>
    <w:rsid w:val="1BFB4FA4"/>
    <w:rsid w:val="1BFB5471"/>
    <w:rsid w:val="1BFC2EDD"/>
    <w:rsid w:val="1BFD4211"/>
    <w:rsid w:val="1BFD4C55"/>
    <w:rsid w:val="1BFD6F6E"/>
    <w:rsid w:val="1BFE1887"/>
    <w:rsid w:val="1BFE2CE6"/>
    <w:rsid w:val="1BFE2F53"/>
    <w:rsid w:val="1BFE4A94"/>
    <w:rsid w:val="1BFE57FD"/>
    <w:rsid w:val="1BFE6842"/>
    <w:rsid w:val="1BFF72A9"/>
    <w:rsid w:val="1C0004C3"/>
    <w:rsid w:val="1C00080C"/>
    <w:rsid w:val="1C0025BA"/>
    <w:rsid w:val="1C003FF8"/>
    <w:rsid w:val="1C00442F"/>
    <w:rsid w:val="1C006A5E"/>
    <w:rsid w:val="1C013AEB"/>
    <w:rsid w:val="1C01417E"/>
    <w:rsid w:val="1C017CF8"/>
    <w:rsid w:val="1C0227D6"/>
    <w:rsid w:val="1C02389C"/>
    <w:rsid w:val="1C024584"/>
    <w:rsid w:val="1C026332"/>
    <w:rsid w:val="1C026EE2"/>
    <w:rsid w:val="1C0302FC"/>
    <w:rsid w:val="1C03166F"/>
    <w:rsid w:val="1C0320AA"/>
    <w:rsid w:val="1C0457DF"/>
    <w:rsid w:val="1C046798"/>
    <w:rsid w:val="1C05239F"/>
    <w:rsid w:val="1C054074"/>
    <w:rsid w:val="1C055E22"/>
    <w:rsid w:val="1C062737"/>
    <w:rsid w:val="1C062951"/>
    <w:rsid w:val="1C0657C8"/>
    <w:rsid w:val="1C065D40"/>
    <w:rsid w:val="1C070517"/>
    <w:rsid w:val="1C070F07"/>
    <w:rsid w:val="1C073948"/>
    <w:rsid w:val="1C07490C"/>
    <w:rsid w:val="1C07499A"/>
    <w:rsid w:val="1C077DEC"/>
    <w:rsid w:val="1C08067C"/>
    <w:rsid w:val="1C081480"/>
    <w:rsid w:val="1C084051"/>
    <w:rsid w:val="1C085399"/>
    <w:rsid w:val="1C086324"/>
    <w:rsid w:val="1C090AFA"/>
    <w:rsid w:val="1C09355D"/>
    <w:rsid w:val="1C0A00B2"/>
    <w:rsid w:val="1C0A10C4"/>
    <w:rsid w:val="1C0A168B"/>
    <w:rsid w:val="1C0A3439"/>
    <w:rsid w:val="1C0B1434"/>
    <w:rsid w:val="1C0B1542"/>
    <w:rsid w:val="1C0C1291"/>
    <w:rsid w:val="1C0C352C"/>
    <w:rsid w:val="1C0C36A0"/>
    <w:rsid w:val="1C0C5403"/>
    <w:rsid w:val="1C0C71B1"/>
    <w:rsid w:val="1C0D14CC"/>
    <w:rsid w:val="1C0D4CD7"/>
    <w:rsid w:val="1C0D748E"/>
    <w:rsid w:val="1C0E2593"/>
    <w:rsid w:val="1C0E2F29"/>
    <w:rsid w:val="1C0E41F2"/>
    <w:rsid w:val="1C0E4AED"/>
    <w:rsid w:val="1C0E76F8"/>
    <w:rsid w:val="1C0E7EC3"/>
    <w:rsid w:val="1C0F00DC"/>
    <w:rsid w:val="1C0F0A4F"/>
    <w:rsid w:val="1C0F1353"/>
    <w:rsid w:val="1C0F189B"/>
    <w:rsid w:val="1C0F4EF3"/>
    <w:rsid w:val="1C0F6CA1"/>
    <w:rsid w:val="1C10339F"/>
    <w:rsid w:val="1C104775"/>
    <w:rsid w:val="1C104C48"/>
    <w:rsid w:val="1C107EB5"/>
    <w:rsid w:val="1C1138B2"/>
    <w:rsid w:val="1C115FBE"/>
    <w:rsid w:val="1C116575"/>
    <w:rsid w:val="1C1222ED"/>
    <w:rsid w:val="1C124113"/>
    <w:rsid w:val="1C127786"/>
    <w:rsid w:val="1C130029"/>
    <w:rsid w:val="1C131164"/>
    <w:rsid w:val="1C13385F"/>
    <w:rsid w:val="1C134A8C"/>
    <w:rsid w:val="1C134FCD"/>
    <w:rsid w:val="1C136593"/>
    <w:rsid w:val="1C136791"/>
    <w:rsid w:val="1C1425F4"/>
    <w:rsid w:val="1C1442B7"/>
    <w:rsid w:val="1C14576A"/>
    <w:rsid w:val="1C1461AC"/>
    <w:rsid w:val="1C151FA6"/>
    <w:rsid w:val="1C153A84"/>
    <w:rsid w:val="1C161DDD"/>
    <w:rsid w:val="1C1645C1"/>
    <w:rsid w:val="1C1653D3"/>
    <w:rsid w:val="1C1726B6"/>
    <w:rsid w:val="1C172B55"/>
    <w:rsid w:val="1C175133"/>
    <w:rsid w:val="1C1755C8"/>
    <w:rsid w:val="1C177758"/>
    <w:rsid w:val="1C177904"/>
    <w:rsid w:val="1C180B0D"/>
    <w:rsid w:val="1C1822DA"/>
    <w:rsid w:val="1C1853F5"/>
    <w:rsid w:val="1C185B56"/>
    <w:rsid w:val="1C1918CE"/>
    <w:rsid w:val="1C1919AC"/>
    <w:rsid w:val="1C19367C"/>
    <w:rsid w:val="1C193F8D"/>
    <w:rsid w:val="1C197B20"/>
    <w:rsid w:val="1C1A0935"/>
    <w:rsid w:val="1C1A25A1"/>
    <w:rsid w:val="1C1A373E"/>
    <w:rsid w:val="1C1A7A3A"/>
    <w:rsid w:val="1C1B05E2"/>
    <w:rsid w:val="1C1B2F7B"/>
    <w:rsid w:val="1C1B4D9E"/>
    <w:rsid w:val="1C1B5646"/>
    <w:rsid w:val="1C1C3E4C"/>
    <w:rsid w:val="1C1C4F1A"/>
    <w:rsid w:val="1C1D0DD2"/>
    <w:rsid w:val="1C1D316C"/>
    <w:rsid w:val="1C1D3DA6"/>
    <w:rsid w:val="1C1D4D09"/>
    <w:rsid w:val="1C1D796B"/>
    <w:rsid w:val="1C1E0C92"/>
    <w:rsid w:val="1C1E322F"/>
    <w:rsid w:val="1C1E6EE4"/>
    <w:rsid w:val="1C1F1450"/>
    <w:rsid w:val="1C1F1714"/>
    <w:rsid w:val="1C1F2010"/>
    <w:rsid w:val="1C1F3317"/>
    <w:rsid w:val="1C1F5136"/>
    <w:rsid w:val="1C1F5E9A"/>
    <w:rsid w:val="1C20054E"/>
    <w:rsid w:val="1C202C5C"/>
    <w:rsid w:val="1C204A0A"/>
    <w:rsid w:val="1C20519F"/>
    <w:rsid w:val="1C2072E4"/>
    <w:rsid w:val="1C207583"/>
    <w:rsid w:val="1C2113F4"/>
    <w:rsid w:val="1C21242B"/>
    <w:rsid w:val="1C2135DF"/>
    <w:rsid w:val="1C2148FE"/>
    <w:rsid w:val="1C22061E"/>
    <w:rsid w:val="1C220858"/>
    <w:rsid w:val="1C223157"/>
    <w:rsid w:val="1C224C26"/>
    <w:rsid w:val="1C233A03"/>
    <w:rsid w:val="1C237AAF"/>
    <w:rsid w:val="1C24274C"/>
    <w:rsid w:val="1C244497"/>
    <w:rsid w:val="1C250273"/>
    <w:rsid w:val="1C251FD5"/>
    <w:rsid w:val="1C252021"/>
    <w:rsid w:val="1C253579"/>
    <w:rsid w:val="1C254C28"/>
    <w:rsid w:val="1C255C80"/>
    <w:rsid w:val="1C2564C4"/>
    <w:rsid w:val="1C26041A"/>
    <w:rsid w:val="1C26229C"/>
    <w:rsid w:val="1C26254D"/>
    <w:rsid w:val="1C26330B"/>
    <w:rsid w:val="1C2633D9"/>
    <w:rsid w:val="1C263645"/>
    <w:rsid w:val="1C265B82"/>
    <w:rsid w:val="1C26614A"/>
    <w:rsid w:val="1C2672B9"/>
    <w:rsid w:val="1C270E47"/>
    <w:rsid w:val="1C27223D"/>
    <w:rsid w:val="1C273F78"/>
    <w:rsid w:val="1C273FEB"/>
    <w:rsid w:val="1C274333"/>
    <w:rsid w:val="1C2756AF"/>
    <w:rsid w:val="1C275E99"/>
    <w:rsid w:val="1C277BE4"/>
    <w:rsid w:val="1C281B33"/>
    <w:rsid w:val="1C283492"/>
    <w:rsid w:val="1C2838BF"/>
    <w:rsid w:val="1C28757A"/>
    <w:rsid w:val="1C287F3B"/>
    <w:rsid w:val="1C293EB7"/>
    <w:rsid w:val="1C294ACB"/>
    <w:rsid w:val="1C294DE1"/>
    <w:rsid w:val="1C295FB5"/>
    <w:rsid w:val="1C297D63"/>
    <w:rsid w:val="1C2A0EC3"/>
    <w:rsid w:val="1C2B0E1C"/>
    <w:rsid w:val="1C2B2FB3"/>
    <w:rsid w:val="1C2B58CD"/>
    <w:rsid w:val="1C2B73EB"/>
    <w:rsid w:val="1C2C087B"/>
    <w:rsid w:val="1C2C33AF"/>
    <w:rsid w:val="1C2D48DC"/>
    <w:rsid w:val="1C2E444C"/>
    <w:rsid w:val="1C2E5379"/>
    <w:rsid w:val="1C2E54D5"/>
    <w:rsid w:val="1C2E5D6C"/>
    <w:rsid w:val="1C2E6388"/>
    <w:rsid w:val="1C2F04CC"/>
    <w:rsid w:val="1C2F10F1"/>
    <w:rsid w:val="1C2F46F9"/>
    <w:rsid w:val="1C2F6B35"/>
    <w:rsid w:val="1C2F797D"/>
    <w:rsid w:val="1C2F7F87"/>
    <w:rsid w:val="1C301C75"/>
    <w:rsid w:val="1C301DCD"/>
    <w:rsid w:val="1C301F48"/>
    <w:rsid w:val="1C302E5D"/>
    <w:rsid w:val="1C305D22"/>
    <w:rsid w:val="1C307121"/>
    <w:rsid w:val="1C310193"/>
    <w:rsid w:val="1C311B1C"/>
    <w:rsid w:val="1C312457"/>
    <w:rsid w:val="1C312FB0"/>
    <w:rsid w:val="1C31410F"/>
    <w:rsid w:val="1C3141F3"/>
    <w:rsid w:val="1C314E69"/>
    <w:rsid w:val="1C317DE0"/>
    <w:rsid w:val="1C322DD7"/>
    <w:rsid w:val="1C326B61"/>
    <w:rsid w:val="1C330A15"/>
    <w:rsid w:val="1C33473D"/>
    <w:rsid w:val="1C3404B6"/>
    <w:rsid w:val="1C341BDE"/>
    <w:rsid w:val="1C344501"/>
    <w:rsid w:val="1C3513A7"/>
    <w:rsid w:val="1C351FE5"/>
    <w:rsid w:val="1C35306E"/>
    <w:rsid w:val="1C356938"/>
    <w:rsid w:val="1C35708C"/>
    <w:rsid w:val="1C357545"/>
    <w:rsid w:val="1C3622F4"/>
    <w:rsid w:val="1C362480"/>
    <w:rsid w:val="1C3644FE"/>
    <w:rsid w:val="1C3662A2"/>
    <w:rsid w:val="1C366946"/>
    <w:rsid w:val="1C366EC8"/>
    <w:rsid w:val="1C371F4D"/>
    <w:rsid w:val="1C3723E9"/>
    <w:rsid w:val="1C37598E"/>
    <w:rsid w:val="1C3861F8"/>
    <w:rsid w:val="1C38695F"/>
    <w:rsid w:val="1C3919B9"/>
    <w:rsid w:val="1C395F13"/>
    <w:rsid w:val="1C397CE8"/>
    <w:rsid w:val="1C3A5C68"/>
    <w:rsid w:val="1C3A66DC"/>
    <w:rsid w:val="1C3A7BBB"/>
    <w:rsid w:val="1C3B1844"/>
    <w:rsid w:val="1C3B223D"/>
    <w:rsid w:val="1C3B34C9"/>
    <w:rsid w:val="1C3B5CE8"/>
    <w:rsid w:val="1C3B6EE0"/>
    <w:rsid w:val="1C3D3AE5"/>
    <w:rsid w:val="1C3D63BD"/>
    <w:rsid w:val="1C3E1334"/>
    <w:rsid w:val="1C3E5861"/>
    <w:rsid w:val="1C3E684D"/>
    <w:rsid w:val="1C3E6975"/>
    <w:rsid w:val="1C3F153A"/>
    <w:rsid w:val="1C3F220D"/>
    <w:rsid w:val="1C3F7586"/>
    <w:rsid w:val="1C404472"/>
    <w:rsid w:val="1C4044C0"/>
    <w:rsid w:val="1C4050AC"/>
    <w:rsid w:val="1C406555"/>
    <w:rsid w:val="1C406E5A"/>
    <w:rsid w:val="1C4070D6"/>
    <w:rsid w:val="1C4074CF"/>
    <w:rsid w:val="1C4100EB"/>
    <w:rsid w:val="1C41149B"/>
    <w:rsid w:val="1C411BB1"/>
    <w:rsid w:val="1C415C3B"/>
    <w:rsid w:val="1C415C40"/>
    <w:rsid w:val="1C42122C"/>
    <w:rsid w:val="1C4241E2"/>
    <w:rsid w:val="1C424981"/>
    <w:rsid w:val="1C42552F"/>
    <w:rsid w:val="1C427076"/>
    <w:rsid w:val="1C4306F9"/>
    <w:rsid w:val="1C432C4B"/>
    <w:rsid w:val="1C4346F5"/>
    <w:rsid w:val="1C435672"/>
    <w:rsid w:val="1C435CC8"/>
    <w:rsid w:val="1C437DDA"/>
    <w:rsid w:val="1C442070"/>
    <w:rsid w:val="1C444B9D"/>
    <w:rsid w:val="1C447A2F"/>
    <w:rsid w:val="1C450915"/>
    <w:rsid w:val="1C451422"/>
    <w:rsid w:val="1C4526C3"/>
    <w:rsid w:val="1C4529B6"/>
    <w:rsid w:val="1C452EEA"/>
    <w:rsid w:val="1C456040"/>
    <w:rsid w:val="1C470054"/>
    <w:rsid w:val="1C47468D"/>
    <w:rsid w:val="1C47643B"/>
    <w:rsid w:val="1C4817A7"/>
    <w:rsid w:val="1C485C83"/>
    <w:rsid w:val="1C485D0F"/>
    <w:rsid w:val="1C485FAA"/>
    <w:rsid w:val="1C4912E1"/>
    <w:rsid w:val="1C493163"/>
    <w:rsid w:val="1C495ADA"/>
    <w:rsid w:val="1C4A162B"/>
    <w:rsid w:val="1C4A3BC4"/>
    <w:rsid w:val="1C4A3D51"/>
    <w:rsid w:val="1C4A590F"/>
    <w:rsid w:val="1C4A5F2B"/>
    <w:rsid w:val="1C4A7CD9"/>
    <w:rsid w:val="1C4B1A36"/>
    <w:rsid w:val="1C4B4B95"/>
    <w:rsid w:val="1C4B5CD8"/>
    <w:rsid w:val="1C4B76DB"/>
    <w:rsid w:val="1C4C1CA3"/>
    <w:rsid w:val="1C4C290C"/>
    <w:rsid w:val="1C4C29D9"/>
    <w:rsid w:val="1C4C6625"/>
    <w:rsid w:val="1C4D45CD"/>
    <w:rsid w:val="1C4D5EFB"/>
    <w:rsid w:val="1C4D6C89"/>
    <w:rsid w:val="1C4E3081"/>
    <w:rsid w:val="1C4E46AF"/>
    <w:rsid w:val="1C4E4BA5"/>
    <w:rsid w:val="1C4E747E"/>
    <w:rsid w:val="1C4F1A49"/>
    <w:rsid w:val="1C4F3541"/>
    <w:rsid w:val="1C4F4D9C"/>
    <w:rsid w:val="1C4F52EF"/>
    <w:rsid w:val="1C4F709D"/>
    <w:rsid w:val="1C5019C7"/>
    <w:rsid w:val="1C5028DA"/>
    <w:rsid w:val="1C504B7C"/>
    <w:rsid w:val="1C511068"/>
    <w:rsid w:val="1C512254"/>
    <w:rsid w:val="1C513DEA"/>
    <w:rsid w:val="1C51471A"/>
    <w:rsid w:val="1C516E80"/>
    <w:rsid w:val="1C5172BA"/>
    <w:rsid w:val="1C520182"/>
    <w:rsid w:val="1C523CD7"/>
    <w:rsid w:val="1C525167"/>
    <w:rsid w:val="1C52606C"/>
    <w:rsid w:val="1C533032"/>
    <w:rsid w:val="1C5330C6"/>
    <w:rsid w:val="1C533A26"/>
    <w:rsid w:val="1C534DE0"/>
    <w:rsid w:val="1C534F2C"/>
    <w:rsid w:val="1C535AC1"/>
    <w:rsid w:val="1C541819"/>
    <w:rsid w:val="1C542451"/>
    <w:rsid w:val="1C542906"/>
    <w:rsid w:val="1C547A87"/>
    <w:rsid w:val="1C550B58"/>
    <w:rsid w:val="1C550F17"/>
    <w:rsid w:val="1C5512F7"/>
    <w:rsid w:val="1C556DAA"/>
    <w:rsid w:val="1C561DA0"/>
    <w:rsid w:val="1C562AD5"/>
    <w:rsid w:val="1C56667E"/>
    <w:rsid w:val="1C5844C7"/>
    <w:rsid w:val="1C585F58"/>
    <w:rsid w:val="1C586131"/>
    <w:rsid w:val="1C586162"/>
    <w:rsid w:val="1C597F1C"/>
    <w:rsid w:val="1C5A38F9"/>
    <w:rsid w:val="1C5A43C0"/>
    <w:rsid w:val="1C5B0917"/>
    <w:rsid w:val="1C5B0FBF"/>
    <w:rsid w:val="1C5B1D40"/>
    <w:rsid w:val="1C5B4D89"/>
    <w:rsid w:val="1C5C4F84"/>
    <w:rsid w:val="1C5C795A"/>
    <w:rsid w:val="1C5C7BEC"/>
    <w:rsid w:val="1C5D0DA4"/>
    <w:rsid w:val="1C5D0F59"/>
    <w:rsid w:val="1C5D222B"/>
    <w:rsid w:val="1C5D5168"/>
    <w:rsid w:val="1C5D607F"/>
    <w:rsid w:val="1C5D6214"/>
    <w:rsid w:val="1C5D7A0C"/>
    <w:rsid w:val="1C5E0362"/>
    <w:rsid w:val="1C5E0883"/>
    <w:rsid w:val="1C5E370A"/>
    <w:rsid w:val="1C5E4809"/>
    <w:rsid w:val="1C5E73C4"/>
    <w:rsid w:val="1C5E7C2F"/>
    <w:rsid w:val="1C5F0BA8"/>
    <w:rsid w:val="1C5F3784"/>
    <w:rsid w:val="1C5F62DB"/>
    <w:rsid w:val="1C5F6776"/>
    <w:rsid w:val="1C60060E"/>
    <w:rsid w:val="1C6012AB"/>
    <w:rsid w:val="1C602743"/>
    <w:rsid w:val="1C60440B"/>
    <w:rsid w:val="1C611A44"/>
    <w:rsid w:val="1C6128FF"/>
    <w:rsid w:val="1C61749A"/>
    <w:rsid w:val="1C620B41"/>
    <w:rsid w:val="1C622946"/>
    <w:rsid w:val="1C623275"/>
    <w:rsid w:val="1C623EB0"/>
    <w:rsid w:val="1C625023"/>
    <w:rsid w:val="1C625D6A"/>
    <w:rsid w:val="1C6267C4"/>
    <w:rsid w:val="1C626DD1"/>
    <w:rsid w:val="1C640D9B"/>
    <w:rsid w:val="1C64111C"/>
    <w:rsid w:val="1C643EE7"/>
    <w:rsid w:val="1C646FED"/>
    <w:rsid w:val="1C64718B"/>
    <w:rsid w:val="1C652C98"/>
    <w:rsid w:val="1C654B13"/>
    <w:rsid w:val="1C65731D"/>
    <w:rsid w:val="1C661884"/>
    <w:rsid w:val="1C67088B"/>
    <w:rsid w:val="1C670DB2"/>
    <w:rsid w:val="1C672639"/>
    <w:rsid w:val="1C673F51"/>
    <w:rsid w:val="1C67548E"/>
    <w:rsid w:val="1C676ADD"/>
    <w:rsid w:val="1C685EFD"/>
    <w:rsid w:val="1C690645"/>
    <w:rsid w:val="1C691F5E"/>
    <w:rsid w:val="1C6963B1"/>
    <w:rsid w:val="1C697449"/>
    <w:rsid w:val="1C6A01CE"/>
    <w:rsid w:val="1C6A1BD8"/>
    <w:rsid w:val="1C6A2129"/>
    <w:rsid w:val="1C6A33EE"/>
    <w:rsid w:val="1C6A40D8"/>
    <w:rsid w:val="1C6A484E"/>
    <w:rsid w:val="1C6A515E"/>
    <w:rsid w:val="1C6A64B9"/>
    <w:rsid w:val="1C6B3FA4"/>
    <w:rsid w:val="1C6B432E"/>
    <w:rsid w:val="1C6B4699"/>
    <w:rsid w:val="1C6B487E"/>
    <w:rsid w:val="1C6B6406"/>
    <w:rsid w:val="1C6C40F3"/>
    <w:rsid w:val="1C6C5EA1"/>
    <w:rsid w:val="1C6C6F8E"/>
    <w:rsid w:val="1C6C7C4F"/>
    <w:rsid w:val="1C6D1D6F"/>
    <w:rsid w:val="1C6D3448"/>
    <w:rsid w:val="1C6D4AF7"/>
    <w:rsid w:val="1C6D5210"/>
    <w:rsid w:val="1C6D60BE"/>
    <w:rsid w:val="1C6D6C22"/>
    <w:rsid w:val="1C6E0453"/>
    <w:rsid w:val="1C6E1CA0"/>
    <w:rsid w:val="1C6E39C8"/>
    <w:rsid w:val="1C6E4D51"/>
    <w:rsid w:val="1C6E5580"/>
    <w:rsid w:val="1C6E5776"/>
    <w:rsid w:val="1C6E5D08"/>
    <w:rsid w:val="1C6E7E6B"/>
    <w:rsid w:val="1C6F14EE"/>
    <w:rsid w:val="1C6F2BDF"/>
    <w:rsid w:val="1C6F7740"/>
    <w:rsid w:val="1C6F7835"/>
    <w:rsid w:val="1C70451F"/>
    <w:rsid w:val="1C705B1F"/>
    <w:rsid w:val="1C70693F"/>
    <w:rsid w:val="1C7106F0"/>
    <w:rsid w:val="1C71170A"/>
    <w:rsid w:val="1C713644"/>
    <w:rsid w:val="1C715266"/>
    <w:rsid w:val="1C7301C8"/>
    <w:rsid w:val="1C730FDE"/>
    <w:rsid w:val="1C73242A"/>
    <w:rsid w:val="1C733A04"/>
    <w:rsid w:val="1C742089"/>
    <w:rsid w:val="1C743C7D"/>
    <w:rsid w:val="1C7468CC"/>
    <w:rsid w:val="1C7513AC"/>
    <w:rsid w:val="1C751AB3"/>
    <w:rsid w:val="1C751C87"/>
    <w:rsid w:val="1C75735A"/>
    <w:rsid w:val="1C760ACE"/>
    <w:rsid w:val="1C760F90"/>
    <w:rsid w:val="1C76198F"/>
    <w:rsid w:val="1C7637A5"/>
    <w:rsid w:val="1C764A16"/>
    <w:rsid w:val="1C765283"/>
    <w:rsid w:val="1C766FAA"/>
    <w:rsid w:val="1C7726C6"/>
    <w:rsid w:val="1C774562"/>
    <w:rsid w:val="1C78070F"/>
    <w:rsid w:val="1C780D06"/>
    <w:rsid w:val="1C781912"/>
    <w:rsid w:val="1C782764"/>
    <w:rsid w:val="1C782A98"/>
    <w:rsid w:val="1C785F48"/>
    <w:rsid w:val="1C796B0B"/>
    <w:rsid w:val="1C7972FD"/>
    <w:rsid w:val="1C797A31"/>
    <w:rsid w:val="1C7A05BE"/>
    <w:rsid w:val="1C7A0F4E"/>
    <w:rsid w:val="1C7A236C"/>
    <w:rsid w:val="1C7A3CAF"/>
    <w:rsid w:val="1C7A483D"/>
    <w:rsid w:val="1C7A6434"/>
    <w:rsid w:val="1C7B10C2"/>
    <w:rsid w:val="1C7B2C32"/>
    <w:rsid w:val="1C7B4336"/>
    <w:rsid w:val="1C7B4373"/>
    <w:rsid w:val="1C7B60E4"/>
    <w:rsid w:val="1C7B7E93"/>
    <w:rsid w:val="1C7C43BA"/>
    <w:rsid w:val="1C7C6A0D"/>
    <w:rsid w:val="1C7D00AF"/>
    <w:rsid w:val="1C7D0E1B"/>
    <w:rsid w:val="1C7D1E5D"/>
    <w:rsid w:val="1C7D3C0B"/>
    <w:rsid w:val="1C7D5B40"/>
    <w:rsid w:val="1C7E0F66"/>
    <w:rsid w:val="1C7E2AEF"/>
    <w:rsid w:val="1C7E6714"/>
    <w:rsid w:val="1C7E753A"/>
    <w:rsid w:val="1C7F0E21"/>
    <w:rsid w:val="1C7F15B3"/>
    <w:rsid w:val="1C7F3E27"/>
    <w:rsid w:val="1C7F4208"/>
    <w:rsid w:val="1C7F5BD5"/>
    <w:rsid w:val="1C80194D"/>
    <w:rsid w:val="1C801FB6"/>
    <w:rsid w:val="1C8036FB"/>
    <w:rsid w:val="1C8054A9"/>
    <w:rsid w:val="1C81072F"/>
    <w:rsid w:val="1C812728"/>
    <w:rsid w:val="1C81311E"/>
    <w:rsid w:val="1C813470"/>
    <w:rsid w:val="1C814EEB"/>
    <w:rsid w:val="1C816AA4"/>
    <w:rsid w:val="1C817B9F"/>
    <w:rsid w:val="1C8256C5"/>
    <w:rsid w:val="1C825881"/>
    <w:rsid w:val="1C826E21"/>
    <w:rsid w:val="1C827F34"/>
    <w:rsid w:val="1C831523"/>
    <w:rsid w:val="1C833003"/>
    <w:rsid w:val="1C84143D"/>
    <w:rsid w:val="1C8431EB"/>
    <w:rsid w:val="1C8431FA"/>
    <w:rsid w:val="1C843F12"/>
    <w:rsid w:val="1C8447FA"/>
    <w:rsid w:val="1C844F99"/>
    <w:rsid w:val="1C850D11"/>
    <w:rsid w:val="1C852517"/>
    <w:rsid w:val="1C8566BC"/>
    <w:rsid w:val="1C8635B9"/>
    <w:rsid w:val="1C8651B5"/>
    <w:rsid w:val="1C865CC5"/>
    <w:rsid w:val="1C87149D"/>
    <w:rsid w:val="1C874A89"/>
    <w:rsid w:val="1C875C77"/>
    <w:rsid w:val="1C881D7E"/>
    <w:rsid w:val="1C886383"/>
    <w:rsid w:val="1C88719E"/>
    <w:rsid w:val="1C8925AF"/>
    <w:rsid w:val="1C8933BB"/>
    <w:rsid w:val="1C894FB1"/>
    <w:rsid w:val="1C8961B9"/>
    <w:rsid w:val="1C896A53"/>
    <w:rsid w:val="1C897126"/>
    <w:rsid w:val="1C897CAF"/>
    <w:rsid w:val="1C8A3436"/>
    <w:rsid w:val="1C8A36DE"/>
    <w:rsid w:val="1C8A41AE"/>
    <w:rsid w:val="1C8A62C4"/>
    <w:rsid w:val="1C8A6328"/>
    <w:rsid w:val="1C8A66C6"/>
    <w:rsid w:val="1C8A763E"/>
    <w:rsid w:val="1C8A7B40"/>
    <w:rsid w:val="1C8B12C4"/>
    <w:rsid w:val="1C8B27CB"/>
    <w:rsid w:val="1C8B4518"/>
    <w:rsid w:val="1C8B457A"/>
    <w:rsid w:val="1C8B617A"/>
    <w:rsid w:val="1C8C0CB6"/>
    <w:rsid w:val="1C8C21B0"/>
    <w:rsid w:val="1C8C4CD1"/>
    <w:rsid w:val="1C8C6544"/>
    <w:rsid w:val="1C8C68F4"/>
    <w:rsid w:val="1C8D0615"/>
    <w:rsid w:val="1C8D2F64"/>
    <w:rsid w:val="1C8D4E98"/>
    <w:rsid w:val="1C8D5662"/>
    <w:rsid w:val="1C8D67A2"/>
    <w:rsid w:val="1C8E1B20"/>
    <w:rsid w:val="1C8E55F0"/>
    <w:rsid w:val="1C8E5E18"/>
    <w:rsid w:val="1C8E672E"/>
    <w:rsid w:val="1C8F0C6C"/>
    <w:rsid w:val="1C8F1F41"/>
    <w:rsid w:val="1C901B90"/>
    <w:rsid w:val="1C90241B"/>
    <w:rsid w:val="1C902538"/>
    <w:rsid w:val="1C903B88"/>
    <w:rsid w:val="1C905C57"/>
    <w:rsid w:val="1C907DE2"/>
    <w:rsid w:val="1C910F85"/>
    <w:rsid w:val="1C913B5A"/>
    <w:rsid w:val="1C9176B6"/>
    <w:rsid w:val="1C920258"/>
    <w:rsid w:val="1C923A3C"/>
    <w:rsid w:val="1C926498"/>
    <w:rsid w:val="1C930AF1"/>
    <w:rsid w:val="1C931680"/>
    <w:rsid w:val="1C93342E"/>
    <w:rsid w:val="1C933BBC"/>
    <w:rsid w:val="1C9378D2"/>
    <w:rsid w:val="1C943EBD"/>
    <w:rsid w:val="1C944F1A"/>
    <w:rsid w:val="1C945D93"/>
    <w:rsid w:val="1C9553F8"/>
    <w:rsid w:val="1C9571A6"/>
    <w:rsid w:val="1C960209"/>
    <w:rsid w:val="1C960F7B"/>
    <w:rsid w:val="1C961170"/>
    <w:rsid w:val="1C9613BA"/>
    <w:rsid w:val="1C962F1E"/>
    <w:rsid w:val="1C967BEB"/>
    <w:rsid w:val="1C970CCA"/>
    <w:rsid w:val="1C97327A"/>
    <w:rsid w:val="1C98646C"/>
    <w:rsid w:val="1C986C96"/>
    <w:rsid w:val="1C990268"/>
    <w:rsid w:val="1C994E8E"/>
    <w:rsid w:val="1C99656B"/>
    <w:rsid w:val="1C9A2A0F"/>
    <w:rsid w:val="1C9A47BD"/>
    <w:rsid w:val="1C9A48A2"/>
    <w:rsid w:val="1C9A4D51"/>
    <w:rsid w:val="1C9A526B"/>
    <w:rsid w:val="1C9A5DB1"/>
    <w:rsid w:val="1C9A5FAA"/>
    <w:rsid w:val="1C9B0256"/>
    <w:rsid w:val="1C9B0FE0"/>
    <w:rsid w:val="1C9B22E3"/>
    <w:rsid w:val="1C9B3DCA"/>
    <w:rsid w:val="1C9B5C76"/>
    <w:rsid w:val="1C9C2A3E"/>
    <w:rsid w:val="1C9C3A55"/>
    <w:rsid w:val="1C9C6787"/>
    <w:rsid w:val="1C9D42AD"/>
    <w:rsid w:val="1C9D4B3C"/>
    <w:rsid w:val="1C9D5ACF"/>
    <w:rsid w:val="1C9D627D"/>
    <w:rsid w:val="1C9D6298"/>
    <w:rsid w:val="1C9D6D2E"/>
    <w:rsid w:val="1C9E09B0"/>
    <w:rsid w:val="1C9E09B5"/>
    <w:rsid w:val="1C9E2585"/>
    <w:rsid w:val="1C9E6457"/>
    <w:rsid w:val="1C9E770D"/>
    <w:rsid w:val="1C9F0025"/>
    <w:rsid w:val="1C9F0ADF"/>
    <w:rsid w:val="1C9F1C2C"/>
    <w:rsid w:val="1C9F34EF"/>
    <w:rsid w:val="1C9F6277"/>
    <w:rsid w:val="1CA0233D"/>
    <w:rsid w:val="1CA034BD"/>
    <w:rsid w:val="1CA03692"/>
    <w:rsid w:val="1CA059C0"/>
    <w:rsid w:val="1CA0705E"/>
    <w:rsid w:val="1CA07DF6"/>
    <w:rsid w:val="1CA1068D"/>
    <w:rsid w:val="1CA10A51"/>
    <w:rsid w:val="1CA11382"/>
    <w:rsid w:val="1CA14118"/>
    <w:rsid w:val="1CA14878"/>
    <w:rsid w:val="1CA14AA9"/>
    <w:rsid w:val="1CA15F4A"/>
    <w:rsid w:val="1CA22480"/>
    <w:rsid w:val="1CA24C98"/>
    <w:rsid w:val="1CA27208"/>
    <w:rsid w:val="1CA27B15"/>
    <w:rsid w:val="1CA30664"/>
    <w:rsid w:val="1CA3346C"/>
    <w:rsid w:val="1CA35D1A"/>
    <w:rsid w:val="1CA37410"/>
    <w:rsid w:val="1CA41E3E"/>
    <w:rsid w:val="1CA42425"/>
    <w:rsid w:val="1CA428B2"/>
    <w:rsid w:val="1CA44A0F"/>
    <w:rsid w:val="1CA44D0E"/>
    <w:rsid w:val="1CA452EF"/>
    <w:rsid w:val="1CA45C57"/>
    <w:rsid w:val="1CA519FD"/>
    <w:rsid w:val="1CA55E9F"/>
    <w:rsid w:val="1CA61F59"/>
    <w:rsid w:val="1CA643DD"/>
    <w:rsid w:val="1CA70C88"/>
    <w:rsid w:val="1CA72B5A"/>
    <w:rsid w:val="1CA7512B"/>
    <w:rsid w:val="1CA762B2"/>
    <w:rsid w:val="1CA90EA4"/>
    <w:rsid w:val="1CA91319"/>
    <w:rsid w:val="1CA925D9"/>
    <w:rsid w:val="1CA92704"/>
    <w:rsid w:val="1CA92FCC"/>
    <w:rsid w:val="1CA94820"/>
    <w:rsid w:val="1CA94A00"/>
    <w:rsid w:val="1CA94EC8"/>
    <w:rsid w:val="1CA96C38"/>
    <w:rsid w:val="1CA97547"/>
    <w:rsid w:val="1CAA0778"/>
    <w:rsid w:val="1CAA1229"/>
    <w:rsid w:val="1CAA5CB0"/>
    <w:rsid w:val="1CAB0B6E"/>
    <w:rsid w:val="1CAB0E69"/>
    <w:rsid w:val="1CAB4C1C"/>
    <w:rsid w:val="1CAB51EB"/>
    <w:rsid w:val="1CAB69CA"/>
    <w:rsid w:val="1CAC2742"/>
    <w:rsid w:val="1CAC2EAC"/>
    <w:rsid w:val="1CAC4E5E"/>
    <w:rsid w:val="1CAC4F0B"/>
    <w:rsid w:val="1CAC629E"/>
    <w:rsid w:val="1CAC6AD0"/>
    <w:rsid w:val="1CAD0994"/>
    <w:rsid w:val="1CAD3DDF"/>
    <w:rsid w:val="1CAD652B"/>
    <w:rsid w:val="1CAE0268"/>
    <w:rsid w:val="1CAE2016"/>
    <w:rsid w:val="1CAE2748"/>
    <w:rsid w:val="1CAE2D2A"/>
    <w:rsid w:val="1CAE5AC1"/>
    <w:rsid w:val="1CAF0392"/>
    <w:rsid w:val="1CAF200A"/>
    <w:rsid w:val="1CAF46AA"/>
    <w:rsid w:val="1CAF4BC9"/>
    <w:rsid w:val="1CB02232"/>
    <w:rsid w:val="1CB033E6"/>
    <w:rsid w:val="1CB03FE0"/>
    <w:rsid w:val="1CB05D8E"/>
    <w:rsid w:val="1CB067C3"/>
    <w:rsid w:val="1CB07ED4"/>
    <w:rsid w:val="1CB11B06"/>
    <w:rsid w:val="1CB11E59"/>
    <w:rsid w:val="1CB14442"/>
    <w:rsid w:val="1CB25FAA"/>
    <w:rsid w:val="1CB326B7"/>
    <w:rsid w:val="1CB3587E"/>
    <w:rsid w:val="1CB36517"/>
    <w:rsid w:val="1CB41AC4"/>
    <w:rsid w:val="1CB426F1"/>
    <w:rsid w:val="1CB45C7B"/>
    <w:rsid w:val="1CB52DC3"/>
    <w:rsid w:val="1CB53144"/>
    <w:rsid w:val="1CB57277"/>
    <w:rsid w:val="1CB57848"/>
    <w:rsid w:val="1CB60A39"/>
    <w:rsid w:val="1CB60C0D"/>
    <w:rsid w:val="1CB622D9"/>
    <w:rsid w:val="1CB6582C"/>
    <w:rsid w:val="1CB66E24"/>
    <w:rsid w:val="1CB6711D"/>
    <w:rsid w:val="1CB735C0"/>
    <w:rsid w:val="1CB8061C"/>
    <w:rsid w:val="1CB80A3B"/>
    <w:rsid w:val="1CB810E7"/>
    <w:rsid w:val="1CB82E95"/>
    <w:rsid w:val="1CB84E16"/>
    <w:rsid w:val="1CB84F1E"/>
    <w:rsid w:val="1CB8626A"/>
    <w:rsid w:val="1CB90B40"/>
    <w:rsid w:val="1CB930D0"/>
    <w:rsid w:val="1CBA09BB"/>
    <w:rsid w:val="1CBA218C"/>
    <w:rsid w:val="1CBA267E"/>
    <w:rsid w:val="1CBA27C2"/>
    <w:rsid w:val="1CBA6C0D"/>
    <w:rsid w:val="1CBB73DB"/>
    <w:rsid w:val="1CBC1555"/>
    <w:rsid w:val="1CBC28C5"/>
    <w:rsid w:val="1CBC6710"/>
    <w:rsid w:val="1CBC6A79"/>
    <w:rsid w:val="1CBD04AB"/>
    <w:rsid w:val="1CBD09EE"/>
    <w:rsid w:val="1CBD494F"/>
    <w:rsid w:val="1CBD4BF4"/>
    <w:rsid w:val="1CBE119C"/>
    <w:rsid w:val="1CBE2898"/>
    <w:rsid w:val="1CBF06C7"/>
    <w:rsid w:val="1CBF203F"/>
    <w:rsid w:val="1CBF2475"/>
    <w:rsid w:val="1CC01D49"/>
    <w:rsid w:val="1CC02792"/>
    <w:rsid w:val="1CC04ABC"/>
    <w:rsid w:val="1CC04AE8"/>
    <w:rsid w:val="1CC052B0"/>
    <w:rsid w:val="1CC07ED6"/>
    <w:rsid w:val="1CC11094"/>
    <w:rsid w:val="1CC11259"/>
    <w:rsid w:val="1CC118A9"/>
    <w:rsid w:val="1CC15152"/>
    <w:rsid w:val="1CC161ED"/>
    <w:rsid w:val="1CC16350"/>
    <w:rsid w:val="1CC17202"/>
    <w:rsid w:val="1CC17F9B"/>
    <w:rsid w:val="1CC2165C"/>
    <w:rsid w:val="1CC21F65"/>
    <w:rsid w:val="1CC253C7"/>
    <w:rsid w:val="1CC25AC1"/>
    <w:rsid w:val="1CC27E4E"/>
    <w:rsid w:val="1CC30648"/>
    <w:rsid w:val="1CC32EB4"/>
    <w:rsid w:val="1CC34DAA"/>
    <w:rsid w:val="1CC412C1"/>
    <w:rsid w:val="1CC41839"/>
    <w:rsid w:val="1CC4489B"/>
    <w:rsid w:val="1CC47561"/>
    <w:rsid w:val="1CC47A8B"/>
    <w:rsid w:val="1CC47F67"/>
    <w:rsid w:val="1CC543FE"/>
    <w:rsid w:val="1CC548D3"/>
    <w:rsid w:val="1CC5590E"/>
    <w:rsid w:val="1CC57360"/>
    <w:rsid w:val="1CC6199F"/>
    <w:rsid w:val="1CC628AC"/>
    <w:rsid w:val="1CC641CB"/>
    <w:rsid w:val="1CC64DC0"/>
    <w:rsid w:val="1CC6529C"/>
    <w:rsid w:val="1CC65A6E"/>
    <w:rsid w:val="1CC66645"/>
    <w:rsid w:val="1CC7132A"/>
    <w:rsid w:val="1CC72831"/>
    <w:rsid w:val="1CC72F20"/>
    <w:rsid w:val="1CC730D8"/>
    <w:rsid w:val="1CC73901"/>
    <w:rsid w:val="1CC75143"/>
    <w:rsid w:val="1CC83024"/>
    <w:rsid w:val="1CC91438"/>
    <w:rsid w:val="1CC92057"/>
    <w:rsid w:val="1CC920F4"/>
    <w:rsid w:val="1CC932F4"/>
    <w:rsid w:val="1CC950A2"/>
    <w:rsid w:val="1CC9587D"/>
    <w:rsid w:val="1CC9658C"/>
    <w:rsid w:val="1CC96B83"/>
    <w:rsid w:val="1CC96E50"/>
    <w:rsid w:val="1CCA081D"/>
    <w:rsid w:val="1CCA1369"/>
    <w:rsid w:val="1CCA492B"/>
    <w:rsid w:val="1CCA64B5"/>
    <w:rsid w:val="1CCA672A"/>
    <w:rsid w:val="1CCA6CB9"/>
    <w:rsid w:val="1CCB0E1A"/>
    <w:rsid w:val="1CCB3B3A"/>
    <w:rsid w:val="1CCB4B70"/>
    <w:rsid w:val="1CCB58EE"/>
    <w:rsid w:val="1CCB706C"/>
    <w:rsid w:val="1CCC058A"/>
    <w:rsid w:val="1CCC06EE"/>
    <w:rsid w:val="1CCC2008"/>
    <w:rsid w:val="1CCC465A"/>
    <w:rsid w:val="1CCC4B92"/>
    <w:rsid w:val="1CCE26B8"/>
    <w:rsid w:val="1CCE441D"/>
    <w:rsid w:val="1CCE50AB"/>
    <w:rsid w:val="1CCE74D5"/>
    <w:rsid w:val="1CCE7662"/>
    <w:rsid w:val="1CCF03AC"/>
    <w:rsid w:val="1CCF0C15"/>
    <w:rsid w:val="1CCF1B3A"/>
    <w:rsid w:val="1CCF1B9A"/>
    <w:rsid w:val="1CCF586B"/>
    <w:rsid w:val="1CD025C7"/>
    <w:rsid w:val="1CD04682"/>
    <w:rsid w:val="1CD04885"/>
    <w:rsid w:val="1CD04BA2"/>
    <w:rsid w:val="1CD070D3"/>
    <w:rsid w:val="1CD11299"/>
    <w:rsid w:val="1CD13F56"/>
    <w:rsid w:val="1CD157C9"/>
    <w:rsid w:val="1CD16577"/>
    <w:rsid w:val="1CD17614"/>
    <w:rsid w:val="1CD203FA"/>
    <w:rsid w:val="1CD22153"/>
    <w:rsid w:val="1CD339F7"/>
    <w:rsid w:val="1CD33DBC"/>
    <w:rsid w:val="1CD36FA6"/>
    <w:rsid w:val="1CD3752E"/>
    <w:rsid w:val="1CD37CCF"/>
    <w:rsid w:val="1CD40E70"/>
    <w:rsid w:val="1CD40F1D"/>
    <w:rsid w:val="1CD53664"/>
    <w:rsid w:val="1CD53A47"/>
    <w:rsid w:val="1CD544CE"/>
    <w:rsid w:val="1CD557F5"/>
    <w:rsid w:val="1CD6156D"/>
    <w:rsid w:val="1CD64634"/>
    <w:rsid w:val="1CD64E0A"/>
    <w:rsid w:val="1CD656FC"/>
    <w:rsid w:val="1CD6640E"/>
    <w:rsid w:val="1CD67EA9"/>
    <w:rsid w:val="1CD700F4"/>
    <w:rsid w:val="1CD70944"/>
    <w:rsid w:val="1CD76EFD"/>
    <w:rsid w:val="1CD81789"/>
    <w:rsid w:val="1CD81C49"/>
    <w:rsid w:val="1CD852E5"/>
    <w:rsid w:val="1CD86382"/>
    <w:rsid w:val="1CD87594"/>
    <w:rsid w:val="1CD90655"/>
    <w:rsid w:val="1CD9649E"/>
    <w:rsid w:val="1CDA68AF"/>
    <w:rsid w:val="1CDA72AF"/>
    <w:rsid w:val="1CDB3036"/>
    <w:rsid w:val="1CDB72ED"/>
    <w:rsid w:val="1CDC0581"/>
    <w:rsid w:val="1CDC068C"/>
    <w:rsid w:val="1CDC3027"/>
    <w:rsid w:val="1CDC5825"/>
    <w:rsid w:val="1CDC677E"/>
    <w:rsid w:val="1CDC7AD2"/>
    <w:rsid w:val="1CDC7F67"/>
    <w:rsid w:val="1CDD1D63"/>
    <w:rsid w:val="1CDD28FB"/>
    <w:rsid w:val="1CDD3AA8"/>
    <w:rsid w:val="1CDD3E3D"/>
    <w:rsid w:val="1CDD58F9"/>
    <w:rsid w:val="1CDD6B12"/>
    <w:rsid w:val="1CDD6D9F"/>
    <w:rsid w:val="1CDE0A5A"/>
    <w:rsid w:val="1CDE13E0"/>
    <w:rsid w:val="1CDE25B6"/>
    <w:rsid w:val="1CDE2E13"/>
    <w:rsid w:val="1CDE345E"/>
    <w:rsid w:val="1CDE4B90"/>
    <w:rsid w:val="1CDE650A"/>
    <w:rsid w:val="1CDF411D"/>
    <w:rsid w:val="1CDF48C5"/>
    <w:rsid w:val="1CDF63CA"/>
    <w:rsid w:val="1CDF6673"/>
    <w:rsid w:val="1CDF6EC9"/>
    <w:rsid w:val="1CDF6F70"/>
    <w:rsid w:val="1CDF7031"/>
    <w:rsid w:val="1CE04199"/>
    <w:rsid w:val="1CE05C0D"/>
    <w:rsid w:val="1CE1063D"/>
    <w:rsid w:val="1CE11DDF"/>
    <w:rsid w:val="1CE12269"/>
    <w:rsid w:val="1CE123EB"/>
    <w:rsid w:val="1CE249B0"/>
    <w:rsid w:val="1CE27F12"/>
    <w:rsid w:val="1CE31CF4"/>
    <w:rsid w:val="1CE35E40"/>
    <w:rsid w:val="1CE3700A"/>
    <w:rsid w:val="1CE4063B"/>
    <w:rsid w:val="1CE41C51"/>
    <w:rsid w:val="1CE41EDC"/>
    <w:rsid w:val="1CE43C8A"/>
    <w:rsid w:val="1CE462D8"/>
    <w:rsid w:val="1CE471BB"/>
    <w:rsid w:val="1CE47AF5"/>
    <w:rsid w:val="1CE50760"/>
    <w:rsid w:val="1CE51A02"/>
    <w:rsid w:val="1CE52349"/>
    <w:rsid w:val="1CE52D45"/>
    <w:rsid w:val="1CE60740"/>
    <w:rsid w:val="1CE617B0"/>
    <w:rsid w:val="1CE628F4"/>
    <w:rsid w:val="1CE65C54"/>
    <w:rsid w:val="1CE7074B"/>
    <w:rsid w:val="1CE7377A"/>
    <w:rsid w:val="1CE74C3C"/>
    <w:rsid w:val="1CE75528"/>
    <w:rsid w:val="1CE82666"/>
    <w:rsid w:val="1CE858CC"/>
    <w:rsid w:val="1CE86E46"/>
    <w:rsid w:val="1CE91421"/>
    <w:rsid w:val="1CE9254D"/>
    <w:rsid w:val="1CE9411D"/>
    <w:rsid w:val="1CE95744"/>
    <w:rsid w:val="1CE964A5"/>
    <w:rsid w:val="1CE974F2"/>
    <w:rsid w:val="1CEA58E9"/>
    <w:rsid w:val="1CEA5D13"/>
    <w:rsid w:val="1CEB14BC"/>
    <w:rsid w:val="1CEB326A"/>
    <w:rsid w:val="1CEB3388"/>
    <w:rsid w:val="1CEB45D2"/>
    <w:rsid w:val="1CEB5018"/>
    <w:rsid w:val="1CEB6DC6"/>
    <w:rsid w:val="1CEC08E7"/>
    <w:rsid w:val="1CEC2B3E"/>
    <w:rsid w:val="1CEC4AB5"/>
    <w:rsid w:val="1CEC7772"/>
    <w:rsid w:val="1CED0E7F"/>
    <w:rsid w:val="1CED2838"/>
    <w:rsid w:val="1CED499E"/>
    <w:rsid w:val="1CED553B"/>
    <w:rsid w:val="1CED7C77"/>
    <w:rsid w:val="1CEE0070"/>
    <w:rsid w:val="1CEE0AB6"/>
    <w:rsid w:val="1CEE0B2F"/>
    <w:rsid w:val="1CEE0F8B"/>
    <w:rsid w:val="1CEE2D5A"/>
    <w:rsid w:val="1CEE4B08"/>
    <w:rsid w:val="1CEE4C1E"/>
    <w:rsid w:val="1CEE70F8"/>
    <w:rsid w:val="1CEF27FF"/>
    <w:rsid w:val="1CEF2BCE"/>
    <w:rsid w:val="1CEF376A"/>
    <w:rsid w:val="1CEF650E"/>
    <w:rsid w:val="1CF00880"/>
    <w:rsid w:val="1CF0262F"/>
    <w:rsid w:val="1CF02F02"/>
    <w:rsid w:val="1CF04807"/>
    <w:rsid w:val="1CF06AD2"/>
    <w:rsid w:val="1CF10D56"/>
    <w:rsid w:val="1CF11580"/>
    <w:rsid w:val="1CF118D4"/>
    <w:rsid w:val="1CF130FC"/>
    <w:rsid w:val="1CF133F8"/>
    <w:rsid w:val="1CF137DD"/>
    <w:rsid w:val="1CF13879"/>
    <w:rsid w:val="1CF14CEB"/>
    <w:rsid w:val="1CF163A7"/>
    <w:rsid w:val="1CF2284B"/>
    <w:rsid w:val="1CF2701D"/>
    <w:rsid w:val="1CF313E7"/>
    <w:rsid w:val="1CF3211F"/>
    <w:rsid w:val="1CF40F40"/>
    <w:rsid w:val="1CF41996"/>
    <w:rsid w:val="1CF44398"/>
    <w:rsid w:val="1CF547D5"/>
    <w:rsid w:val="1CF55E97"/>
    <w:rsid w:val="1CF56AA4"/>
    <w:rsid w:val="1CF60969"/>
    <w:rsid w:val="1CF616E5"/>
    <w:rsid w:val="1CF63A13"/>
    <w:rsid w:val="1CF642B6"/>
    <w:rsid w:val="1CF643E7"/>
    <w:rsid w:val="1CF662FF"/>
    <w:rsid w:val="1CF668E4"/>
    <w:rsid w:val="1CF66C50"/>
    <w:rsid w:val="1CF703C2"/>
    <w:rsid w:val="1CF71549"/>
    <w:rsid w:val="1CF72BAD"/>
    <w:rsid w:val="1CF73126"/>
    <w:rsid w:val="1CF73AE9"/>
    <w:rsid w:val="1CF759BA"/>
    <w:rsid w:val="1CF75C25"/>
    <w:rsid w:val="1CF814E3"/>
    <w:rsid w:val="1CF83889"/>
    <w:rsid w:val="1CF8412E"/>
    <w:rsid w:val="1CF85649"/>
    <w:rsid w:val="1CF85987"/>
    <w:rsid w:val="1CF87735"/>
    <w:rsid w:val="1CF915FF"/>
    <w:rsid w:val="1CFA34AD"/>
    <w:rsid w:val="1CFA6C10"/>
    <w:rsid w:val="1CFB0616"/>
    <w:rsid w:val="1CFB1F63"/>
    <w:rsid w:val="1CFB207C"/>
    <w:rsid w:val="1CFB3DA9"/>
    <w:rsid w:val="1CFB5557"/>
    <w:rsid w:val="1CFC0FD3"/>
    <w:rsid w:val="1CFC11B5"/>
    <w:rsid w:val="1CFC4B29"/>
    <w:rsid w:val="1CFC69E7"/>
    <w:rsid w:val="1CFC7225"/>
    <w:rsid w:val="1CFD148C"/>
    <w:rsid w:val="1CFD2A80"/>
    <w:rsid w:val="1CFD2EA1"/>
    <w:rsid w:val="1CFD2F9D"/>
    <w:rsid w:val="1CFD4D4B"/>
    <w:rsid w:val="1CFD6AA9"/>
    <w:rsid w:val="1CFD7E29"/>
    <w:rsid w:val="1CFE02BF"/>
    <w:rsid w:val="1CFE11EF"/>
    <w:rsid w:val="1CFE4C4F"/>
    <w:rsid w:val="1CFF273C"/>
    <w:rsid w:val="1CFF2872"/>
    <w:rsid w:val="1CFF2F60"/>
    <w:rsid w:val="1CFF44D6"/>
    <w:rsid w:val="1CFF53EB"/>
    <w:rsid w:val="1CFF6AA9"/>
    <w:rsid w:val="1CFF6D16"/>
    <w:rsid w:val="1D001FAD"/>
    <w:rsid w:val="1D0113C9"/>
    <w:rsid w:val="1D0130D5"/>
    <w:rsid w:val="1D0143D3"/>
    <w:rsid w:val="1D0146AF"/>
    <w:rsid w:val="1D01483C"/>
    <w:rsid w:val="1D0205B4"/>
    <w:rsid w:val="1D022362"/>
    <w:rsid w:val="1D025219"/>
    <w:rsid w:val="1D027C06"/>
    <w:rsid w:val="1D031246"/>
    <w:rsid w:val="1D0316B4"/>
    <w:rsid w:val="1D033496"/>
    <w:rsid w:val="1D033948"/>
    <w:rsid w:val="1D036226"/>
    <w:rsid w:val="1D036806"/>
    <w:rsid w:val="1D036CBA"/>
    <w:rsid w:val="1D0468BA"/>
    <w:rsid w:val="1D0512D9"/>
    <w:rsid w:val="1D052E41"/>
    <w:rsid w:val="1D06023A"/>
    <w:rsid w:val="1D0608B0"/>
    <w:rsid w:val="1D060A74"/>
    <w:rsid w:val="1D062004"/>
    <w:rsid w:val="1D073B2D"/>
    <w:rsid w:val="1D083B6B"/>
    <w:rsid w:val="1D083E1C"/>
    <w:rsid w:val="1D08424F"/>
    <w:rsid w:val="1D085BCA"/>
    <w:rsid w:val="1D090576"/>
    <w:rsid w:val="1D0936F0"/>
    <w:rsid w:val="1D0A1C5A"/>
    <w:rsid w:val="1D0A2B74"/>
    <w:rsid w:val="1D0A3641"/>
    <w:rsid w:val="1D0A6AB6"/>
    <w:rsid w:val="1D0A715A"/>
    <w:rsid w:val="1D0B1216"/>
    <w:rsid w:val="1D0B504C"/>
    <w:rsid w:val="1D0B525D"/>
    <w:rsid w:val="1D0C2177"/>
    <w:rsid w:val="1D0C22E9"/>
    <w:rsid w:val="1D0C6BE1"/>
    <w:rsid w:val="1D0D1432"/>
    <w:rsid w:val="1D0D4EA6"/>
    <w:rsid w:val="1D0D796C"/>
    <w:rsid w:val="1D0E0D07"/>
    <w:rsid w:val="1D0E1A33"/>
    <w:rsid w:val="1D0E21DE"/>
    <w:rsid w:val="1D0E28DA"/>
    <w:rsid w:val="1D0E51AB"/>
    <w:rsid w:val="1D0F1D5E"/>
    <w:rsid w:val="1D0F39CD"/>
    <w:rsid w:val="1D0F7CD7"/>
    <w:rsid w:val="1D100F23"/>
    <w:rsid w:val="1D10139C"/>
    <w:rsid w:val="1D102839"/>
    <w:rsid w:val="1D102CD1"/>
    <w:rsid w:val="1D104E5D"/>
    <w:rsid w:val="1D107A8F"/>
    <w:rsid w:val="1D107CBE"/>
    <w:rsid w:val="1D1125A5"/>
    <w:rsid w:val="1D11777D"/>
    <w:rsid w:val="1D1207F7"/>
    <w:rsid w:val="1D126A49"/>
    <w:rsid w:val="1D130F20"/>
    <w:rsid w:val="1D1327C1"/>
    <w:rsid w:val="1D14057D"/>
    <w:rsid w:val="1D14417D"/>
    <w:rsid w:val="1D1502E7"/>
    <w:rsid w:val="1D152095"/>
    <w:rsid w:val="1D152A8A"/>
    <w:rsid w:val="1D153800"/>
    <w:rsid w:val="1D156539"/>
    <w:rsid w:val="1D160A3D"/>
    <w:rsid w:val="1D167BBB"/>
    <w:rsid w:val="1D17405F"/>
    <w:rsid w:val="1D181B85"/>
    <w:rsid w:val="1D183933"/>
    <w:rsid w:val="1D184FBA"/>
    <w:rsid w:val="1D1872E3"/>
    <w:rsid w:val="1D187F1D"/>
    <w:rsid w:val="1D19047B"/>
    <w:rsid w:val="1D192555"/>
    <w:rsid w:val="1D193E29"/>
    <w:rsid w:val="1D19511E"/>
    <w:rsid w:val="1D197F5B"/>
    <w:rsid w:val="1D1A3103"/>
    <w:rsid w:val="1D1A3B4F"/>
    <w:rsid w:val="1D1A58FD"/>
    <w:rsid w:val="1D1A693E"/>
    <w:rsid w:val="1D1B1C47"/>
    <w:rsid w:val="1D1B61DE"/>
    <w:rsid w:val="1D1C0CA3"/>
    <w:rsid w:val="1D1C1BF3"/>
    <w:rsid w:val="1D1C3424"/>
    <w:rsid w:val="1D1C65AE"/>
    <w:rsid w:val="1D1C78C7"/>
    <w:rsid w:val="1D1C7935"/>
    <w:rsid w:val="1D1D45F2"/>
    <w:rsid w:val="1D1D719C"/>
    <w:rsid w:val="1D1E0033"/>
    <w:rsid w:val="1D1E0398"/>
    <w:rsid w:val="1D1E06FA"/>
    <w:rsid w:val="1D1E3640"/>
    <w:rsid w:val="1D1E468B"/>
    <w:rsid w:val="1D1F1166"/>
    <w:rsid w:val="1D1F1D81"/>
    <w:rsid w:val="1D1F2950"/>
    <w:rsid w:val="1D1F2F14"/>
    <w:rsid w:val="1D1F4CC2"/>
    <w:rsid w:val="1D202430"/>
    <w:rsid w:val="1D2052C1"/>
    <w:rsid w:val="1D2103FC"/>
    <w:rsid w:val="1D2109B3"/>
    <w:rsid w:val="1D2148A0"/>
    <w:rsid w:val="1D214C1F"/>
    <w:rsid w:val="1D2159AD"/>
    <w:rsid w:val="1D216461"/>
    <w:rsid w:val="1D216C8C"/>
    <w:rsid w:val="1D220B9C"/>
    <w:rsid w:val="1D223015"/>
    <w:rsid w:val="1D223846"/>
    <w:rsid w:val="1D22578F"/>
    <w:rsid w:val="1D230879"/>
    <w:rsid w:val="1D230C56"/>
    <w:rsid w:val="1D231173"/>
    <w:rsid w:val="1D232A04"/>
    <w:rsid w:val="1D235FBE"/>
    <w:rsid w:val="1D243259"/>
    <w:rsid w:val="1D255069"/>
    <w:rsid w:val="1D262525"/>
    <w:rsid w:val="1D2642A2"/>
    <w:rsid w:val="1D265D36"/>
    <w:rsid w:val="1D266050"/>
    <w:rsid w:val="1D270622"/>
    <w:rsid w:val="1D271C69"/>
    <w:rsid w:val="1D271DC8"/>
    <w:rsid w:val="1D277A57"/>
    <w:rsid w:val="1D28001A"/>
    <w:rsid w:val="1D280E3B"/>
    <w:rsid w:val="1D281AA5"/>
    <w:rsid w:val="1D282061"/>
    <w:rsid w:val="1D282AA3"/>
    <w:rsid w:val="1D2834F7"/>
    <w:rsid w:val="1D2910FF"/>
    <w:rsid w:val="1D2917D5"/>
    <w:rsid w:val="1D291FE4"/>
    <w:rsid w:val="1D29228E"/>
    <w:rsid w:val="1D293D92"/>
    <w:rsid w:val="1D294C81"/>
    <w:rsid w:val="1D295FEF"/>
    <w:rsid w:val="1D2961E3"/>
    <w:rsid w:val="1D297145"/>
    <w:rsid w:val="1D2A256D"/>
    <w:rsid w:val="1D2B065F"/>
    <w:rsid w:val="1D2B3667"/>
    <w:rsid w:val="1D2B4636"/>
    <w:rsid w:val="1D2B6A74"/>
    <w:rsid w:val="1D2B7B0B"/>
    <w:rsid w:val="1D2C2810"/>
    <w:rsid w:val="1D2C2D30"/>
    <w:rsid w:val="1D2C3369"/>
    <w:rsid w:val="1D2D3851"/>
    <w:rsid w:val="1D2D73DF"/>
    <w:rsid w:val="1D2E03C5"/>
    <w:rsid w:val="1D2E13A9"/>
    <w:rsid w:val="1D2E3157"/>
    <w:rsid w:val="1D2F2E28"/>
    <w:rsid w:val="1D2F2FB7"/>
    <w:rsid w:val="1D2F3E42"/>
    <w:rsid w:val="1D2F5294"/>
    <w:rsid w:val="1D2F532A"/>
    <w:rsid w:val="1D2F722D"/>
    <w:rsid w:val="1D3021E6"/>
    <w:rsid w:val="1D302753"/>
    <w:rsid w:val="1D303373"/>
    <w:rsid w:val="1D305121"/>
    <w:rsid w:val="1D3101CD"/>
    <w:rsid w:val="1D311E10"/>
    <w:rsid w:val="1D31318B"/>
    <w:rsid w:val="1D315B9E"/>
    <w:rsid w:val="1D316D67"/>
    <w:rsid w:val="1D320E99"/>
    <w:rsid w:val="1D322C47"/>
    <w:rsid w:val="1D33076D"/>
    <w:rsid w:val="1D332DC8"/>
    <w:rsid w:val="1D3369BF"/>
    <w:rsid w:val="1D340C30"/>
    <w:rsid w:val="1D34341D"/>
    <w:rsid w:val="1D346E7F"/>
    <w:rsid w:val="1D346FE2"/>
    <w:rsid w:val="1D3502EB"/>
    <w:rsid w:val="1D350BFA"/>
    <w:rsid w:val="1D352737"/>
    <w:rsid w:val="1D354E18"/>
    <w:rsid w:val="1D356D03"/>
    <w:rsid w:val="1D36408E"/>
    <w:rsid w:val="1D367113"/>
    <w:rsid w:val="1D37025D"/>
    <w:rsid w:val="1D3749F4"/>
    <w:rsid w:val="1D37548A"/>
    <w:rsid w:val="1D3764AF"/>
    <w:rsid w:val="1D3833BB"/>
    <w:rsid w:val="1D383571"/>
    <w:rsid w:val="1D383BD1"/>
    <w:rsid w:val="1D391DC9"/>
    <w:rsid w:val="1D393A5C"/>
    <w:rsid w:val="1D396C3A"/>
    <w:rsid w:val="1D3A3182"/>
    <w:rsid w:val="1D3A3A9E"/>
    <w:rsid w:val="1D3A4BE6"/>
    <w:rsid w:val="1D3A5C16"/>
    <w:rsid w:val="1D3A5FA0"/>
    <w:rsid w:val="1D3A65F7"/>
    <w:rsid w:val="1D3A68CF"/>
    <w:rsid w:val="1D3A7D4E"/>
    <w:rsid w:val="1D3C3AC6"/>
    <w:rsid w:val="1D3C5874"/>
    <w:rsid w:val="1D3C6E68"/>
    <w:rsid w:val="1D3D1F7D"/>
    <w:rsid w:val="1D3D339A"/>
    <w:rsid w:val="1D3D530A"/>
    <w:rsid w:val="1D3E3650"/>
    <w:rsid w:val="1D3E4049"/>
    <w:rsid w:val="1D3E45E4"/>
    <w:rsid w:val="1D3F35B6"/>
    <w:rsid w:val="1D3F4455"/>
    <w:rsid w:val="1D3F4C30"/>
    <w:rsid w:val="1D3F5364"/>
    <w:rsid w:val="1D3F6838"/>
    <w:rsid w:val="1D3F7AB4"/>
    <w:rsid w:val="1D4053CC"/>
    <w:rsid w:val="1D407E81"/>
    <w:rsid w:val="1D411479"/>
    <w:rsid w:val="1D4121AE"/>
    <w:rsid w:val="1D412AAE"/>
    <w:rsid w:val="1D414200"/>
    <w:rsid w:val="1D414C1C"/>
    <w:rsid w:val="1D4158C8"/>
    <w:rsid w:val="1D4170E8"/>
    <w:rsid w:val="1D4209B0"/>
    <w:rsid w:val="1D4217B4"/>
    <w:rsid w:val="1D42189B"/>
    <w:rsid w:val="1D4229BF"/>
    <w:rsid w:val="1D4330A6"/>
    <w:rsid w:val="1D4333BE"/>
    <w:rsid w:val="1D433C46"/>
    <w:rsid w:val="1D434E54"/>
    <w:rsid w:val="1D435353"/>
    <w:rsid w:val="1D436C02"/>
    <w:rsid w:val="1D44297A"/>
    <w:rsid w:val="1D444728"/>
    <w:rsid w:val="1D444EE8"/>
    <w:rsid w:val="1D445640"/>
    <w:rsid w:val="1D445EF1"/>
    <w:rsid w:val="1D453F90"/>
    <w:rsid w:val="1D455BE1"/>
    <w:rsid w:val="1D4604A0"/>
    <w:rsid w:val="1D46344E"/>
    <w:rsid w:val="1D464944"/>
    <w:rsid w:val="1D472082"/>
    <w:rsid w:val="1D4726CE"/>
    <w:rsid w:val="1D473996"/>
    <w:rsid w:val="1D48246B"/>
    <w:rsid w:val="1D482AA2"/>
    <w:rsid w:val="1D484185"/>
    <w:rsid w:val="1D484B36"/>
    <w:rsid w:val="1D4869C8"/>
    <w:rsid w:val="1D490937"/>
    <w:rsid w:val="1D4913B7"/>
    <w:rsid w:val="1D493C4D"/>
    <w:rsid w:val="1D4A4435"/>
    <w:rsid w:val="1D4A5B3F"/>
    <w:rsid w:val="1D4A647E"/>
    <w:rsid w:val="1D4B3D09"/>
    <w:rsid w:val="1D4B3DBE"/>
    <w:rsid w:val="1D4B4D97"/>
    <w:rsid w:val="1D4B7B27"/>
    <w:rsid w:val="1D4C0DA0"/>
    <w:rsid w:val="1D4C2CA4"/>
    <w:rsid w:val="1D4C3295"/>
    <w:rsid w:val="1D4C37C6"/>
    <w:rsid w:val="1D4C396F"/>
    <w:rsid w:val="1D4C46E4"/>
    <w:rsid w:val="1D4C65FE"/>
    <w:rsid w:val="1D4D182F"/>
    <w:rsid w:val="1D4D42FF"/>
    <w:rsid w:val="1D4D4375"/>
    <w:rsid w:val="1D4D5CD3"/>
    <w:rsid w:val="1D4D6540"/>
    <w:rsid w:val="1D4D7A81"/>
    <w:rsid w:val="1D4E1420"/>
    <w:rsid w:val="1D4E416C"/>
    <w:rsid w:val="1D4E4289"/>
    <w:rsid w:val="1D4E55A7"/>
    <w:rsid w:val="1D4E5F95"/>
    <w:rsid w:val="1D4F0522"/>
    <w:rsid w:val="1D4F555A"/>
    <w:rsid w:val="1D50131F"/>
    <w:rsid w:val="1D503A2B"/>
    <w:rsid w:val="1D507571"/>
    <w:rsid w:val="1D507FCA"/>
    <w:rsid w:val="1D5232E9"/>
    <w:rsid w:val="1D524C10"/>
    <w:rsid w:val="1D525097"/>
    <w:rsid w:val="1D526C36"/>
    <w:rsid w:val="1D526E45"/>
    <w:rsid w:val="1D5302C7"/>
    <w:rsid w:val="1D532394"/>
    <w:rsid w:val="1D540612"/>
    <w:rsid w:val="1D540A4C"/>
    <w:rsid w:val="1D540E0F"/>
    <w:rsid w:val="1D543E0D"/>
    <w:rsid w:val="1D54482A"/>
    <w:rsid w:val="1D545BF7"/>
    <w:rsid w:val="1D550375"/>
    <w:rsid w:val="1D55216E"/>
    <w:rsid w:val="1D552DD9"/>
    <w:rsid w:val="1D5536BB"/>
    <w:rsid w:val="1D564F57"/>
    <w:rsid w:val="1D566779"/>
    <w:rsid w:val="1D570840"/>
    <w:rsid w:val="1D571CEE"/>
    <w:rsid w:val="1D5726AE"/>
    <w:rsid w:val="1D573687"/>
    <w:rsid w:val="1D576F90"/>
    <w:rsid w:val="1D577EA9"/>
    <w:rsid w:val="1D580462"/>
    <w:rsid w:val="1D581615"/>
    <w:rsid w:val="1D58544C"/>
    <w:rsid w:val="1D5933D1"/>
    <w:rsid w:val="1D594678"/>
    <w:rsid w:val="1D597303"/>
    <w:rsid w:val="1D5A03F0"/>
    <w:rsid w:val="1D5A206D"/>
    <w:rsid w:val="1D5A3F4C"/>
    <w:rsid w:val="1D5B0979"/>
    <w:rsid w:val="1D5B3F2C"/>
    <w:rsid w:val="1D5B4BB1"/>
    <w:rsid w:val="1D5B7403"/>
    <w:rsid w:val="1D5C1A72"/>
    <w:rsid w:val="1D5C5F16"/>
    <w:rsid w:val="1D5C7CC4"/>
    <w:rsid w:val="1D5D1D59"/>
    <w:rsid w:val="1D5D48F4"/>
    <w:rsid w:val="1D5D57EA"/>
    <w:rsid w:val="1D5D5AAC"/>
    <w:rsid w:val="1D5E1C8E"/>
    <w:rsid w:val="1D5E3A3C"/>
    <w:rsid w:val="1D5E44E9"/>
    <w:rsid w:val="1D5E6BD1"/>
    <w:rsid w:val="1D5F0F30"/>
    <w:rsid w:val="1D5F1562"/>
    <w:rsid w:val="1D5F1C7A"/>
    <w:rsid w:val="1D5F4F26"/>
    <w:rsid w:val="1D5F6A68"/>
    <w:rsid w:val="1D603275"/>
    <w:rsid w:val="1D6035D1"/>
    <w:rsid w:val="1D604386"/>
    <w:rsid w:val="1D606421"/>
    <w:rsid w:val="1D606F66"/>
    <w:rsid w:val="1D61177E"/>
    <w:rsid w:val="1D6135AD"/>
    <w:rsid w:val="1D613C3C"/>
    <w:rsid w:val="1D615184"/>
    <w:rsid w:val="1D616047"/>
    <w:rsid w:val="1D6168F0"/>
    <w:rsid w:val="1D622D44"/>
    <w:rsid w:val="1D625B95"/>
    <w:rsid w:val="1D626C17"/>
    <w:rsid w:val="1D627CED"/>
    <w:rsid w:val="1D631052"/>
    <w:rsid w:val="1D631C20"/>
    <w:rsid w:val="1D632E00"/>
    <w:rsid w:val="1D633291"/>
    <w:rsid w:val="1D634C75"/>
    <w:rsid w:val="1D6372A4"/>
    <w:rsid w:val="1D642FD5"/>
    <w:rsid w:val="1D6447C7"/>
    <w:rsid w:val="1D644DCB"/>
    <w:rsid w:val="1D646400"/>
    <w:rsid w:val="1D647CC2"/>
    <w:rsid w:val="1D65301C"/>
    <w:rsid w:val="1D653318"/>
    <w:rsid w:val="1D655C57"/>
    <w:rsid w:val="1D660B43"/>
    <w:rsid w:val="1D660E56"/>
    <w:rsid w:val="1D661227"/>
    <w:rsid w:val="1D662687"/>
    <w:rsid w:val="1D6628F1"/>
    <w:rsid w:val="1D6644AC"/>
    <w:rsid w:val="1D666D95"/>
    <w:rsid w:val="1D672DED"/>
    <w:rsid w:val="1D675ADE"/>
    <w:rsid w:val="1D6767FA"/>
    <w:rsid w:val="1D682B0D"/>
    <w:rsid w:val="1D6848BB"/>
    <w:rsid w:val="1D6923E1"/>
    <w:rsid w:val="1D693E39"/>
    <w:rsid w:val="1D6945D8"/>
    <w:rsid w:val="1D695C3E"/>
    <w:rsid w:val="1D6A0633"/>
    <w:rsid w:val="1D6B00CD"/>
    <w:rsid w:val="1D6B3297"/>
    <w:rsid w:val="1D6B6159"/>
    <w:rsid w:val="1D6B7F07"/>
    <w:rsid w:val="1D6C0388"/>
    <w:rsid w:val="1D6C3B86"/>
    <w:rsid w:val="1D6C6090"/>
    <w:rsid w:val="1D6D1ED1"/>
    <w:rsid w:val="1D6D43E9"/>
    <w:rsid w:val="1D6D5E4A"/>
    <w:rsid w:val="1D6D7587"/>
    <w:rsid w:val="1D6E4399"/>
    <w:rsid w:val="1D6E4EF6"/>
    <w:rsid w:val="1D6E5E52"/>
    <w:rsid w:val="1D6E79F7"/>
    <w:rsid w:val="1D6F074F"/>
    <w:rsid w:val="1D6F7B3E"/>
    <w:rsid w:val="1D700CF9"/>
    <w:rsid w:val="1D70376F"/>
    <w:rsid w:val="1D703D55"/>
    <w:rsid w:val="1D706142"/>
    <w:rsid w:val="1D7065FD"/>
    <w:rsid w:val="1D715D71"/>
    <w:rsid w:val="1D717345"/>
    <w:rsid w:val="1D7245CE"/>
    <w:rsid w:val="1D72568A"/>
    <w:rsid w:val="1D7274E7"/>
    <w:rsid w:val="1D73162E"/>
    <w:rsid w:val="1D73277F"/>
    <w:rsid w:val="1D734852"/>
    <w:rsid w:val="1D73639D"/>
    <w:rsid w:val="1D736B1A"/>
    <w:rsid w:val="1D740A9A"/>
    <w:rsid w:val="1D7416EB"/>
    <w:rsid w:val="1D746105"/>
    <w:rsid w:val="1D754DED"/>
    <w:rsid w:val="1D755EF6"/>
    <w:rsid w:val="1D756557"/>
    <w:rsid w:val="1D765AF9"/>
    <w:rsid w:val="1D771A97"/>
    <w:rsid w:val="1D77404A"/>
    <w:rsid w:val="1D774AFE"/>
    <w:rsid w:val="1D77549B"/>
    <w:rsid w:val="1D7768AC"/>
    <w:rsid w:val="1D776DF1"/>
    <w:rsid w:val="1D7900DB"/>
    <w:rsid w:val="1D790E09"/>
    <w:rsid w:val="1D792624"/>
    <w:rsid w:val="1D7946E4"/>
    <w:rsid w:val="1D795028"/>
    <w:rsid w:val="1D796262"/>
    <w:rsid w:val="1D7A27EC"/>
    <w:rsid w:val="1D7A555D"/>
    <w:rsid w:val="1D7A639C"/>
    <w:rsid w:val="1D7B132A"/>
    <w:rsid w:val="1D7B2A9F"/>
    <w:rsid w:val="1D7B485D"/>
    <w:rsid w:val="1D7B65A1"/>
    <w:rsid w:val="1D7C0366"/>
    <w:rsid w:val="1D7C12F7"/>
    <w:rsid w:val="1D7C2114"/>
    <w:rsid w:val="1D7C2A4E"/>
    <w:rsid w:val="1D7C3EC2"/>
    <w:rsid w:val="1D7D1803"/>
    <w:rsid w:val="1D7D279D"/>
    <w:rsid w:val="1D7D6BD9"/>
    <w:rsid w:val="1D7E0BFB"/>
    <w:rsid w:val="1D7E2CE7"/>
    <w:rsid w:val="1D7E40DE"/>
    <w:rsid w:val="1D7E536E"/>
    <w:rsid w:val="1D7E5572"/>
    <w:rsid w:val="1D7E5E8C"/>
    <w:rsid w:val="1D7E7C3A"/>
    <w:rsid w:val="1D7F1C04"/>
    <w:rsid w:val="1D7F1DE5"/>
    <w:rsid w:val="1D7F7DAA"/>
    <w:rsid w:val="1D80245F"/>
    <w:rsid w:val="1D812A56"/>
    <w:rsid w:val="1D813BCE"/>
    <w:rsid w:val="1D814ED0"/>
    <w:rsid w:val="1D815324"/>
    <w:rsid w:val="1D81597C"/>
    <w:rsid w:val="1D81675B"/>
    <w:rsid w:val="1D81772B"/>
    <w:rsid w:val="1D823C78"/>
    <w:rsid w:val="1D82517F"/>
    <w:rsid w:val="1D8254C7"/>
    <w:rsid w:val="1D8316F5"/>
    <w:rsid w:val="1D8334A3"/>
    <w:rsid w:val="1D8411E0"/>
    <w:rsid w:val="1D842BA7"/>
    <w:rsid w:val="1D845B0A"/>
    <w:rsid w:val="1D845B0C"/>
    <w:rsid w:val="1D847A9F"/>
    <w:rsid w:val="1D852670"/>
    <w:rsid w:val="1D85341D"/>
    <w:rsid w:val="1D8541E5"/>
    <w:rsid w:val="1D85546D"/>
    <w:rsid w:val="1D855E60"/>
    <w:rsid w:val="1D8611E5"/>
    <w:rsid w:val="1D861C03"/>
    <w:rsid w:val="1D862E87"/>
    <w:rsid w:val="1D8712D9"/>
    <w:rsid w:val="1D874049"/>
    <w:rsid w:val="1D881E0A"/>
    <w:rsid w:val="1D882867"/>
    <w:rsid w:val="1D884F5D"/>
    <w:rsid w:val="1D886D0B"/>
    <w:rsid w:val="1D890952"/>
    <w:rsid w:val="1D891A9E"/>
    <w:rsid w:val="1D89210F"/>
    <w:rsid w:val="1D8965DF"/>
    <w:rsid w:val="1D8A49A3"/>
    <w:rsid w:val="1D8B2173"/>
    <w:rsid w:val="1D8B43F4"/>
    <w:rsid w:val="1D8B484E"/>
    <w:rsid w:val="1D8B67FB"/>
    <w:rsid w:val="1D8B6B53"/>
    <w:rsid w:val="1D8C0EC2"/>
    <w:rsid w:val="1D8C0F7C"/>
    <w:rsid w:val="1D8C5D20"/>
    <w:rsid w:val="1D8D0087"/>
    <w:rsid w:val="1D8D1990"/>
    <w:rsid w:val="1D8D39D3"/>
    <w:rsid w:val="1D8D4321"/>
    <w:rsid w:val="1D8E1C4F"/>
    <w:rsid w:val="1D8E3BF5"/>
    <w:rsid w:val="1D8E5125"/>
    <w:rsid w:val="1D8F101C"/>
    <w:rsid w:val="1D8F11D2"/>
    <w:rsid w:val="1D8F1387"/>
    <w:rsid w:val="1D8F153D"/>
    <w:rsid w:val="1D8F1D91"/>
    <w:rsid w:val="1D8F786D"/>
    <w:rsid w:val="1D900193"/>
    <w:rsid w:val="1D9018D0"/>
    <w:rsid w:val="1D903E12"/>
    <w:rsid w:val="1D9045AF"/>
    <w:rsid w:val="1D905BC0"/>
    <w:rsid w:val="1D907783"/>
    <w:rsid w:val="1D907828"/>
    <w:rsid w:val="1D910C13"/>
    <w:rsid w:val="1D912EBB"/>
    <w:rsid w:val="1D9137E4"/>
    <w:rsid w:val="1D92161F"/>
    <w:rsid w:val="1D921938"/>
    <w:rsid w:val="1D9236E6"/>
    <w:rsid w:val="1D923FE2"/>
    <w:rsid w:val="1D927B8A"/>
    <w:rsid w:val="1D932575"/>
    <w:rsid w:val="1D9368E4"/>
    <w:rsid w:val="1D9413DD"/>
    <w:rsid w:val="1D9456B0"/>
    <w:rsid w:val="1D94745E"/>
    <w:rsid w:val="1D9531D6"/>
    <w:rsid w:val="1D954F84"/>
    <w:rsid w:val="1D9605AB"/>
    <w:rsid w:val="1D962F6F"/>
    <w:rsid w:val="1D9633E2"/>
    <w:rsid w:val="1D970CFC"/>
    <w:rsid w:val="1D972056"/>
    <w:rsid w:val="1D9751A0"/>
    <w:rsid w:val="1D976F4E"/>
    <w:rsid w:val="1D982F34"/>
    <w:rsid w:val="1D98565B"/>
    <w:rsid w:val="1D985F23"/>
    <w:rsid w:val="1D9907A0"/>
    <w:rsid w:val="1D990F18"/>
    <w:rsid w:val="1D994A74"/>
    <w:rsid w:val="1D996FA4"/>
    <w:rsid w:val="1D9A07EC"/>
    <w:rsid w:val="1D9A4E1B"/>
    <w:rsid w:val="1D9A5FD7"/>
    <w:rsid w:val="1D9B699F"/>
    <w:rsid w:val="1D9C3BAE"/>
    <w:rsid w:val="1D9C4564"/>
    <w:rsid w:val="1D9C6312"/>
    <w:rsid w:val="1D9D01B1"/>
    <w:rsid w:val="1D9D035D"/>
    <w:rsid w:val="1D9D0D2D"/>
    <w:rsid w:val="1D9D59F1"/>
    <w:rsid w:val="1D9E092A"/>
    <w:rsid w:val="1D9E208B"/>
    <w:rsid w:val="1D9E372A"/>
    <w:rsid w:val="1D9E3B64"/>
    <w:rsid w:val="1D9E4958"/>
    <w:rsid w:val="1D9E700E"/>
    <w:rsid w:val="1D9F2B63"/>
    <w:rsid w:val="1D9F387F"/>
    <w:rsid w:val="1D9F4CA4"/>
    <w:rsid w:val="1D9F5DE8"/>
    <w:rsid w:val="1D9F5E03"/>
    <w:rsid w:val="1D9F6D6F"/>
    <w:rsid w:val="1DA022A7"/>
    <w:rsid w:val="1DA04055"/>
    <w:rsid w:val="1DA05C26"/>
    <w:rsid w:val="1DA11B7B"/>
    <w:rsid w:val="1DA12787"/>
    <w:rsid w:val="1DA12814"/>
    <w:rsid w:val="1DA13AEF"/>
    <w:rsid w:val="1DA13FFE"/>
    <w:rsid w:val="1DA1507D"/>
    <w:rsid w:val="1DA17DCD"/>
    <w:rsid w:val="1DA22EC9"/>
    <w:rsid w:val="1DA23942"/>
    <w:rsid w:val="1DA24769"/>
    <w:rsid w:val="1DA33B45"/>
    <w:rsid w:val="1DA358F3"/>
    <w:rsid w:val="1DA3651E"/>
    <w:rsid w:val="1DA376A1"/>
    <w:rsid w:val="1DA37E8A"/>
    <w:rsid w:val="1DA436B2"/>
    <w:rsid w:val="1DA43E12"/>
    <w:rsid w:val="1DA457A0"/>
    <w:rsid w:val="1DA463DD"/>
    <w:rsid w:val="1DA50519"/>
    <w:rsid w:val="1DA5166B"/>
    <w:rsid w:val="1DA533B4"/>
    <w:rsid w:val="1DA54C53"/>
    <w:rsid w:val="1DA5638E"/>
    <w:rsid w:val="1DA578BD"/>
    <w:rsid w:val="1DA633E6"/>
    <w:rsid w:val="1DA653E3"/>
    <w:rsid w:val="1DA67191"/>
    <w:rsid w:val="1DA70422"/>
    <w:rsid w:val="1DA7165C"/>
    <w:rsid w:val="1DA8115B"/>
    <w:rsid w:val="1DA8135B"/>
    <w:rsid w:val="1DA8185D"/>
    <w:rsid w:val="1DA82296"/>
    <w:rsid w:val="1DA82F09"/>
    <w:rsid w:val="1DA84B10"/>
    <w:rsid w:val="1DA91A6B"/>
    <w:rsid w:val="1DA939D3"/>
    <w:rsid w:val="1DA93E9D"/>
    <w:rsid w:val="1DA93FBB"/>
    <w:rsid w:val="1DA958EA"/>
    <w:rsid w:val="1DA962DF"/>
    <w:rsid w:val="1DA97805"/>
    <w:rsid w:val="1DA97FE3"/>
    <w:rsid w:val="1DAA126F"/>
    <w:rsid w:val="1DAA31C8"/>
    <w:rsid w:val="1DAA3B4E"/>
    <w:rsid w:val="1DAA6C81"/>
    <w:rsid w:val="1DAB193D"/>
    <w:rsid w:val="1DAB37BF"/>
    <w:rsid w:val="1DAB47A7"/>
    <w:rsid w:val="1DAB4BCD"/>
    <w:rsid w:val="1DAC0C4B"/>
    <w:rsid w:val="1DAC127E"/>
    <w:rsid w:val="1DAC5729"/>
    <w:rsid w:val="1DAD2B22"/>
    <w:rsid w:val="1DAD49C3"/>
    <w:rsid w:val="1DAD570D"/>
    <w:rsid w:val="1DAD5900"/>
    <w:rsid w:val="1DAD6772"/>
    <w:rsid w:val="1DAD6CAB"/>
    <w:rsid w:val="1DAE12F9"/>
    <w:rsid w:val="1DAE198A"/>
    <w:rsid w:val="1DAE3031"/>
    <w:rsid w:val="1DAE43C3"/>
    <w:rsid w:val="1DAE6990"/>
    <w:rsid w:val="1DAF05A6"/>
    <w:rsid w:val="1DAF3D0A"/>
    <w:rsid w:val="1DAF4298"/>
    <w:rsid w:val="1DAF58DD"/>
    <w:rsid w:val="1DAF6046"/>
    <w:rsid w:val="1DB001FD"/>
    <w:rsid w:val="1DB01DBE"/>
    <w:rsid w:val="1DB10BDF"/>
    <w:rsid w:val="1DB15D12"/>
    <w:rsid w:val="1DB16408"/>
    <w:rsid w:val="1DB21EBB"/>
    <w:rsid w:val="1DB21FDA"/>
    <w:rsid w:val="1DB22B1D"/>
    <w:rsid w:val="1DB23747"/>
    <w:rsid w:val="1DB25B36"/>
    <w:rsid w:val="1DB261ED"/>
    <w:rsid w:val="1DB33FAD"/>
    <w:rsid w:val="1DB401C9"/>
    <w:rsid w:val="1DB4021E"/>
    <w:rsid w:val="1DB4365C"/>
    <w:rsid w:val="1DB4723B"/>
    <w:rsid w:val="1DB47241"/>
    <w:rsid w:val="1DB47B00"/>
    <w:rsid w:val="1DB573D4"/>
    <w:rsid w:val="1DB6406F"/>
    <w:rsid w:val="1DB66AF4"/>
    <w:rsid w:val="1DB675BF"/>
    <w:rsid w:val="1DB71463"/>
    <w:rsid w:val="1DB7292E"/>
    <w:rsid w:val="1DB72E78"/>
    <w:rsid w:val="1DB74F73"/>
    <w:rsid w:val="1DB754FF"/>
    <w:rsid w:val="1DB775F0"/>
    <w:rsid w:val="1DB843CD"/>
    <w:rsid w:val="1DB866B0"/>
    <w:rsid w:val="1DB93368"/>
    <w:rsid w:val="1DB95116"/>
    <w:rsid w:val="1DB95DAC"/>
    <w:rsid w:val="1DB96EC4"/>
    <w:rsid w:val="1DB97E83"/>
    <w:rsid w:val="1DBA2924"/>
    <w:rsid w:val="1DBA2C3C"/>
    <w:rsid w:val="1DBA451D"/>
    <w:rsid w:val="1DBA49EB"/>
    <w:rsid w:val="1DBA5F1C"/>
    <w:rsid w:val="1DBA71B6"/>
    <w:rsid w:val="1DBB0CA2"/>
    <w:rsid w:val="1DBB0E8E"/>
    <w:rsid w:val="1DBB0EC6"/>
    <w:rsid w:val="1DBB273F"/>
    <w:rsid w:val="1DBB7BBC"/>
    <w:rsid w:val="1DBC3CB4"/>
    <w:rsid w:val="1DBC744F"/>
    <w:rsid w:val="1DBC7ACA"/>
    <w:rsid w:val="1DBD1371"/>
    <w:rsid w:val="1DBE097F"/>
    <w:rsid w:val="1DBE44DB"/>
    <w:rsid w:val="1DBF0DAC"/>
    <w:rsid w:val="1DBF1404"/>
    <w:rsid w:val="1DBF367F"/>
    <w:rsid w:val="1DBF3921"/>
    <w:rsid w:val="1DC00253"/>
    <w:rsid w:val="1DC031FC"/>
    <w:rsid w:val="1DC03DB5"/>
    <w:rsid w:val="1DC124BD"/>
    <w:rsid w:val="1DC132A6"/>
    <w:rsid w:val="1DC13FCB"/>
    <w:rsid w:val="1DC1547F"/>
    <w:rsid w:val="1DC1588C"/>
    <w:rsid w:val="1DC15D79"/>
    <w:rsid w:val="1DC2016F"/>
    <w:rsid w:val="1DC225C5"/>
    <w:rsid w:val="1DC23021"/>
    <w:rsid w:val="1DC24B80"/>
    <w:rsid w:val="1DC27A41"/>
    <w:rsid w:val="1DC31AF1"/>
    <w:rsid w:val="1DC34833"/>
    <w:rsid w:val="1DC37D43"/>
    <w:rsid w:val="1DC43E7C"/>
    <w:rsid w:val="1DC44F32"/>
    <w:rsid w:val="1DC4550C"/>
    <w:rsid w:val="1DC51D0D"/>
    <w:rsid w:val="1DC52A64"/>
    <w:rsid w:val="1DC52A83"/>
    <w:rsid w:val="1DC53ABB"/>
    <w:rsid w:val="1DC553F5"/>
    <w:rsid w:val="1DC55869"/>
    <w:rsid w:val="1DC563C2"/>
    <w:rsid w:val="1DC56E3B"/>
    <w:rsid w:val="1DC56FAC"/>
    <w:rsid w:val="1DC57DD7"/>
    <w:rsid w:val="1DC615E1"/>
    <w:rsid w:val="1DC6338F"/>
    <w:rsid w:val="1DC66068"/>
    <w:rsid w:val="1DC67833"/>
    <w:rsid w:val="1DC71A67"/>
    <w:rsid w:val="1DC74FF4"/>
    <w:rsid w:val="1DC75A85"/>
    <w:rsid w:val="1DC76D85"/>
    <w:rsid w:val="1DC801E9"/>
    <w:rsid w:val="1DC80D86"/>
    <w:rsid w:val="1DC84ABF"/>
    <w:rsid w:val="1DC86484"/>
    <w:rsid w:val="1DC87107"/>
    <w:rsid w:val="1DC87BFB"/>
    <w:rsid w:val="1DC934B1"/>
    <w:rsid w:val="1DC94027"/>
    <w:rsid w:val="1DC9474D"/>
    <w:rsid w:val="1DC9737E"/>
    <w:rsid w:val="1DCA10D2"/>
    <w:rsid w:val="1DCA7323"/>
    <w:rsid w:val="1DCB6951"/>
    <w:rsid w:val="1DCB7D8D"/>
    <w:rsid w:val="1DCC36C4"/>
    <w:rsid w:val="1DCC7826"/>
    <w:rsid w:val="1DCD0BC2"/>
    <w:rsid w:val="1DCD1521"/>
    <w:rsid w:val="1DCD2970"/>
    <w:rsid w:val="1DCD42AA"/>
    <w:rsid w:val="1DCD471E"/>
    <w:rsid w:val="1DCD51CA"/>
    <w:rsid w:val="1DCE0BB5"/>
    <w:rsid w:val="1DCE4AB2"/>
    <w:rsid w:val="1DCE6F40"/>
    <w:rsid w:val="1DCE7F71"/>
    <w:rsid w:val="1DCF0496"/>
    <w:rsid w:val="1DCF1A41"/>
    <w:rsid w:val="1DCF493A"/>
    <w:rsid w:val="1DCF55B0"/>
    <w:rsid w:val="1DCF66E0"/>
    <w:rsid w:val="1DCF66E8"/>
    <w:rsid w:val="1DD033F2"/>
    <w:rsid w:val="1DD04640"/>
    <w:rsid w:val="1DD06FC2"/>
    <w:rsid w:val="1DD106B2"/>
    <w:rsid w:val="1DD12460"/>
    <w:rsid w:val="1DD1282E"/>
    <w:rsid w:val="1DD134E4"/>
    <w:rsid w:val="1DD156EB"/>
    <w:rsid w:val="1DD2442A"/>
    <w:rsid w:val="1DD26652"/>
    <w:rsid w:val="1DD27858"/>
    <w:rsid w:val="1DD314C1"/>
    <w:rsid w:val="1DD36961"/>
    <w:rsid w:val="1DD4118C"/>
    <w:rsid w:val="1DD41228"/>
    <w:rsid w:val="1DD43250"/>
    <w:rsid w:val="1DD4344A"/>
    <w:rsid w:val="1DD43CFE"/>
    <w:rsid w:val="1DD440E6"/>
    <w:rsid w:val="1DD44600"/>
    <w:rsid w:val="1DD44A27"/>
    <w:rsid w:val="1DD47AA3"/>
    <w:rsid w:val="1DD5795C"/>
    <w:rsid w:val="1DD60A88"/>
    <w:rsid w:val="1DD64C43"/>
    <w:rsid w:val="1DD71A40"/>
    <w:rsid w:val="1DD72C41"/>
    <w:rsid w:val="1DD733A8"/>
    <w:rsid w:val="1DD737EE"/>
    <w:rsid w:val="1DD74D7D"/>
    <w:rsid w:val="1DD755B8"/>
    <w:rsid w:val="1DD77ED9"/>
    <w:rsid w:val="1DD8017D"/>
    <w:rsid w:val="1DD84A93"/>
    <w:rsid w:val="1DD84B76"/>
    <w:rsid w:val="1DD8524D"/>
    <w:rsid w:val="1DD874F6"/>
    <w:rsid w:val="1DD91315"/>
    <w:rsid w:val="1DD957B9"/>
    <w:rsid w:val="1DD9695D"/>
    <w:rsid w:val="1DD97567"/>
    <w:rsid w:val="1DDA0899"/>
    <w:rsid w:val="1DDA19F5"/>
    <w:rsid w:val="1DDA2008"/>
    <w:rsid w:val="1DDB25B0"/>
    <w:rsid w:val="1DDB3DAF"/>
    <w:rsid w:val="1DDC0E05"/>
    <w:rsid w:val="1DDC1F50"/>
    <w:rsid w:val="1DDC293C"/>
    <w:rsid w:val="1DDC2BB3"/>
    <w:rsid w:val="1DDC2C90"/>
    <w:rsid w:val="1DDD1D87"/>
    <w:rsid w:val="1DDD2223"/>
    <w:rsid w:val="1DDD36E9"/>
    <w:rsid w:val="1DDD4649"/>
    <w:rsid w:val="1DDD5A4E"/>
    <w:rsid w:val="1DDD6867"/>
    <w:rsid w:val="1DDD721A"/>
    <w:rsid w:val="1DDD7889"/>
    <w:rsid w:val="1DDD7A28"/>
    <w:rsid w:val="1DDE5923"/>
    <w:rsid w:val="1DDE5EA6"/>
    <w:rsid w:val="1DDE7970"/>
    <w:rsid w:val="1DDF2198"/>
    <w:rsid w:val="1DDF2E00"/>
    <w:rsid w:val="1DE01CB8"/>
    <w:rsid w:val="1DE05DA4"/>
    <w:rsid w:val="1DE13CC2"/>
    <w:rsid w:val="1DE1641B"/>
    <w:rsid w:val="1DE2466D"/>
    <w:rsid w:val="1DE24B17"/>
    <w:rsid w:val="1DE3194B"/>
    <w:rsid w:val="1DE31B78"/>
    <w:rsid w:val="1DE31D78"/>
    <w:rsid w:val="1DE32193"/>
    <w:rsid w:val="1DE3308C"/>
    <w:rsid w:val="1DE334A6"/>
    <w:rsid w:val="1DE34C1A"/>
    <w:rsid w:val="1DE43E33"/>
    <w:rsid w:val="1DE50621"/>
    <w:rsid w:val="1DE518EB"/>
    <w:rsid w:val="1DE5415D"/>
    <w:rsid w:val="1DE551AE"/>
    <w:rsid w:val="1DE55F0B"/>
    <w:rsid w:val="1DE6017F"/>
    <w:rsid w:val="1DE62E13"/>
    <w:rsid w:val="1DE63A32"/>
    <w:rsid w:val="1DE63D3A"/>
    <w:rsid w:val="1DE6640A"/>
    <w:rsid w:val="1DE67354"/>
    <w:rsid w:val="1DE67D95"/>
    <w:rsid w:val="1DE706AA"/>
    <w:rsid w:val="1DE71C83"/>
    <w:rsid w:val="1DE748F1"/>
    <w:rsid w:val="1DE761B2"/>
    <w:rsid w:val="1DE763F1"/>
    <w:rsid w:val="1DE76FE8"/>
    <w:rsid w:val="1DE856ED"/>
    <w:rsid w:val="1DE8607B"/>
    <w:rsid w:val="1DE918F2"/>
    <w:rsid w:val="1DE95CCD"/>
    <w:rsid w:val="1DEA1774"/>
    <w:rsid w:val="1DEA3522"/>
    <w:rsid w:val="1DEA3B44"/>
    <w:rsid w:val="1DEA3CCA"/>
    <w:rsid w:val="1DEB17B6"/>
    <w:rsid w:val="1DEB2E55"/>
    <w:rsid w:val="1DEB66E3"/>
    <w:rsid w:val="1DEB68E0"/>
    <w:rsid w:val="1DEC0076"/>
    <w:rsid w:val="1DEC54EC"/>
    <w:rsid w:val="1DEC5940"/>
    <w:rsid w:val="1DEC729A"/>
    <w:rsid w:val="1DED053A"/>
    <w:rsid w:val="1DED21A0"/>
    <w:rsid w:val="1DED4DC0"/>
    <w:rsid w:val="1DED5EF0"/>
    <w:rsid w:val="1DEE019F"/>
    <w:rsid w:val="1DEF1157"/>
    <w:rsid w:val="1DEF451B"/>
    <w:rsid w:val="1DEF6E5A"/>
    <w:rsid w:val="1DF054EA"/>
    <w:rsid w:val="1DF0665E"/>
    <w:rsid w:val="1DF12B02"/>
    <w:rsid w:val="1DF15847"/>
    <w:rsid w:val="1DF1788F"/>
    <w:rsid w:val="1DF20628"/>
    <w:rsid w:val="1DF223D6"/>
    <w:rsid w:val="1DF24184"/>
    <w:rsid w:val="1DF261E4"/>
    <w:rsid w:val="1DF27FB0"/>
    <w:rsid w:val="1DF31195"/>
    <w:rsid w:val="1DF31440"/>
    <w:rsid w:val="1DF33FA6"/>
    <w:rsid w:val="1DF357CC"/>
    <w:rsid w:val="1DF3687A"/>
    <w:rsid w:val="1DF42728"/>
    <w:rsid w:val="1DF428D0"/>
    <w:rsid w:val="1DF44011"/>
    <w:rsid w:val="1DF46A3C"/>
    <w:rsid w:val="1DF4775D"/>
    <w:rsid w:val="1DF47EFC"/>
    <w:rsid w:val="1DF53ECE"/>
    <w:rsid w:val="1DF56FA0"/>
    <w:rsid w:val="1DF61EC7"/>
    <w:rsid w:val="1DF6425F"/>
    <w:rsid w:val="1DF6449F"/>
    <w:rsid w:val="1DF6589C"/>
    <w:rsid w:val="1DF66FB4"/>
    <w:rsid w:val="1DF70D69"/>
    <w:rsid w:val="1DF7288E"/>
    <w:rsid w:val="1DF72949"/>
    <w:rsid w:val="1DF72992"/>
    <w:rsid w:val="1DF757A8"/>
    <w:rsid w:val="1DF75C3F"/>
    <w:rsid w:val="1DF75D59"/>
    <w:rsid w:val="1DF7756E"/>
    <w:rsid w:val="1DF775EC"/>
    <w:rsid w:val="1DF80580"/>
    <w:rsid w:val="1DF82414"/>
    <w:rsid w:val="1DF91287"/>
    <w:rsid w:val="1DF93765"/>
    <w:rsid w:val="1DF940FF"/>
    <w:rsid w:val="1DF95513"/>
    <w:rsid w:val="1DF955D2"/>
    <w:rsid w:val="1DFA7E83"/>
    <w:rsid w:val="1DFB1072"/>
    <w:rsid w:val="1DFB1AB5"/>
    <w:rsid w:val="1DFB360C"/>
    <w:rsid w:val="1DFB3770"/>
    <w:rsid w:val="1DFB3EE8"/>
    <w:rsid w:val="1DFB7BD2"/>
    <w:rsid w:val="1DFC2F7A"/>
    <w:rsid w:val="1DFC3255"/>
    <w:rsid w:val="1DFC39BE"/>
    <w:rsid w:val="1DFC3C33"/>
    <w:rsid w:val="1DFC60FC"/>
    <w:rsid w:val="1DFC74D6"/>
    <w:rsid w:val="1DFD427B"/>
    <w:rsid w:val="1DFE0C69"/>
    <w:rsid w:val="1DFE0D7B"/>
    <w:rsid w:val="1DFE521F"/>
    <w:rsid w:val="1DFE6FCD"/>
    <w:rsid w:val="1DFF2570"/>
    <w:rsid w:val="1DFF5291"/>
    <w:rsid w:val="1DFF59BC"/>
    <w:rsid w:val="1E0026F8"/>
    <w:rsid w:val="1E002D45"/>
    <w:rsid w:val="1E00403F"/>
    <w:rsid w:val="1E0049BD"/>
    <w:rsid w:val="1E005185"/>
    <w:rsid w:val="1E0068A1"/>
    <w:rsid w:val="1E00770A"/>
    <w:rsid w:val="1E0104B3"/>
    <w:rsid w:val="1E01086B"/>
    <w:rsid w:val="1E01217A"/>
    <w:rsid w:val="1E012535"/>
    <w:rsid w:val="1E013EC7"/>
    <w:rsid w:val="1E017707"/>
    <w:rsid w:val="1E0224E2"/>
    <w:rsid w:val="1E024F30"/>
    <w:rsid w:val="1E026ABD"/>
    <w:rsid w:val="1E027AA5"/>
    <w:rsid w:val="1E0302F6"/>
    <w:rsid w:val="1E030C95"/>
    <w:rsid w:val="1E030F35"/>
    <w:rsid w:val="1E035C57"/>
    <w:rsid w:val="1E036392"/>
    <w:rsid w:val="1E036AC1"/>
    <w:rsid w:val="1E036B6C"/>
    <w:rsid w:val="1E037064"/>
    <w:rsid w:val="1E037F98"/>
    <w:rsid w:val="1E040263"/>
    <w:rsid w:val="1E041AA9"/>
    <w:rsid w:val="1E0423C5"/>
    <w:rsid w:val="1E042AB9"/>
    <w:rsid w:val="1E042F68"/>
    <w:rsid w:val="1E0438CC"/>
    <w:rsid w:val="1E043956"/>
    <w:rsid w:val="1E044194"/>
    <w:rsid w:val="1E046CA7"/>
    <w:rsid w:val="1E0502F7"/>
    <w:rsid w:val="1E0527CE"/>
    <w:rsid w:val="1E060E37"/>
    <w:rsid w:val="1E061CFD"/>
    <w:rsid w:val="1E062CB9"/>
    <w:rsid w:val="1E067C30"/>
    <w:rsid w:val="1E070341"/>
    <w:rsid w:val="1E071481"/>
    <w:rsid w:val="1E0717B3"/>
    <w:rsid w:val="1E0740D4"/>
    <w:rsid w:val="1E075E82"/>
    <w:rsid w:val="1E080D46"/>
    <w:rsid w:val="1E080FBE"/>
    <w:rsid w:val="1E083917"/>
    <w:rsid w:val="1E0839A8"/>
    <w:rsid w:val="1E087E4C"/>
    <w:rsid w:val="1E092B75"/>
    <w:rsid w:val="1E096F5C"/>
    <w:rsid w:val="1E0A008B"/>
    <w:rsid w:val="1E0A3BC4"/>
    <w:rsid w:val="1E0A3C05"/>
    <w:rsid w:val="1E0A502B"/>
    <w:rsid w:val="1E0A7425"/>
    <w:rsid w:val="1E0A7ECD"/>
    <w:rsid w:val="1E0B1B1B"/>
    <w:rsid w:val="1E0C0B57"/>
    <w:rsid w:val="1E0C0FA8"/>
    <w:rsid w:val="1E0C16EA"/>
    <w:rsid w:val="1E0C3498"/>
    <w:rsid w:val="1E0C3728"/>
    <w:rsid w:val="1E0C59B8"/>
    <w:rsid w:val="1E0C6BD4"/>
    <w:rsid w:val="1E0C793C"/>
    <w:rsid w:val="1E0C7AD0"/>
    <w:rsid w:val="1E0D4BB8"/>
    <w:rsid w:val="1E0D5462"/>
    <w:rsid w:val="1E0E0768"/>
    <w:rsid w:val="1E0E1FC9"/>
    <w:rsid w:val="1E0E3416"/>
    <w:rsid w:val="1E0F11DA"/>
    <w:rsid w:val="1E0F2F88"/>
    <w:rsid w:val="1E0F4D36"/>
    <w:rsid w:val="1E0F5E99"/>
    <w:rsid w:val="1E0F633C"/>
    <w:rsid w:val="1E0F641E"/>
    <w:rsid w:val="1E0F7EEB"/>
    <w:rsid w:val="1E1014C3"/>
    <w:rsid w:val="1E110AAE"/>
    <w:rsid w:val="1E114409"/>
    <w:rsid w:val="1E114549"/>
    <w:rsid w:val="1E11610A"/>
    <w:rsid w:val="1E116D00"/>
    <w:rsid w:val="1E122A78"/>
    <w:rsid w:val="1E1246DA"/>
    <w:rsid w:val="1E124827"/>
    <w:rsid w:val="1E133277"/>
    <w:rsid w:val="1E134428"/>
    <w:rsid w:val="1E13724D"/>
    <w:rsid w:val="1E14059F"/>
    <w:rsid w:val="1E143B56"/>
    <w:rsid w:val="1E1467F1"/>
    <w:rsid w:val="1E1510AA"/>
    <w:rsid w:val="1E153951"/>
    <w:rsid w:val="1E161CB6"/>
    <w:rsid w:val="1E1623C5"/>
    <w:rsid w:val="1E164317"/>
    <w:rsid w:val="1E164DAA"/>
    <w:rsid w:val="1E1660C5"/>
    <w:rsid w:val="1E17114E"/>
    <w:rsid w:val="1E171E3D"/>
    <w:rsid w:val="1E173C99"/>
    <w:rsid w:val="1E175CDC"/>
    <w:rsid w:val="1E181004"/>
    <w:rsid w:val="1E184491"/>
    <w:rsid w:val="1E185150"/>
    <w:rsid w:val="1E191690"/>
    <w:rsid w:val="1E1921C4"/>
    <w:rsid w:val="1E192BAD"/>
    <w:rsid w:val="1E192D93"/>
    <w:rsid w:val="1E192F6A"/>
    <w:rsid w:val="1E19315B"/>
    <w:rsid w:val="1E193E07"/>
    <w:rsid w:val="1E197035"/>
    <w:rsid w:val="1E1973F3"/>
    <w:rsid w:val="1E197A45"/>
    <w:rsid w:val="1E1A0CB9"/>
    <w:rsid w:val="1E1A0DF2"/>
    <w:rsid w:val="1E1A299B"/>
    <w:rsid w:val="1E1A3AF0"/>
    <w:rsid w:val="1E1A454E"/>
    <w:rsid w:val="1E1A5D2C"/>
    <w:rsid w:val="1E1A5D94"/>
    <w:rsid w:val="1E1B1575"/>
    <w:rsid w:val="1E1B1614"/>
    <w:rsid w:val="1E1B192D"/>
    <w:rsid w:val="1E1B1E7A"/>
    <w:rsid w:val="1E1B312D"/>
    <w:rsid w:val="1E1B36DB"/>
    <w:rsid w:val="1E1B5823"/>
    <w:rsid w:val="1E1B6B29"/>
    <w:rsid w:val="1E1B7B7F"/>
    <w:rsid w:val="1E1C5997"/>
    <w:rsid w:val="1E1C7453"/>
    <w:rsid w:val="1E1D0D86"/>
    <w:rsid w:val="1E1D11C6"/>
    <w:rsid w:val="1E1D1ADC"/>
    <w:rsid w:val="1E1D34AC"/>
    <w:rsid w:val="1E1D38F7"/>
    <w:rsid w:val="1E1D6080"/>
    <w:rsid w:val="1E1D6A79"/>
    <w:rsid w:val="1E1D720C"/>
    <w:rsid w:val="1E1E31CB"/>
    <w:rsid w:val="1E1E4F79"/>
    <w:rsid w:val="1E1E766F"/>
    <w:rsid w:val="1E1F0FAA"/>
    <w:rsid w:val="1E200CF1"/>
    <w:rsid w:val="1E21078F"/>
    <w:rsid w:val="1E2118ED"/>
    <w:rsid w:val="1E211F1C"/>
    <w:rsid w:val="1E212DD8"/>
    <w:rsid w:val="1E213F5D"/>
    <w:rsid w:val="1E214472"/>
    <w:rsid w:val="1E214A6A"/>
    <w:rsid w:val="1E215DCF"/>
    <w:rsid w:val="1E220F0E"/>
    <w:rsid w:val="1E224365"/>
    <w:rsid w:val="1E2307E2"/>
    <w:rsid w:val="1E231966"/>
    <w:rsid w:val="1E234C86"/>
    <w:rsid w:val="1E236A34"/>
    <w:rsid w:val="1E237216"/>
    <w:rsid w:val="1E2419AF"/>
    <w:rsid w:val="1E242665"/>
    <w:rsid w:val="1E244BF7"/>
    <w:rsid w:val="1E2455DE"/>
    <w:rsid w:val="1E2525E1"/>
    <w:rsid w:val="1E254F34"/>
    <w:rsid w:val="1E255DD9"/>
    <w:rsid w:val="1E263F04"/>
    <w:rsid w:val="1E264941"/>
    <w:rsid w:val="1E2649B5"/>
    <w:rsid w:val="1E2702D2"/>
    <w:rsid w:val="1E270330"/>
    <w:rsid w:val="1E273DB7"/>
    <w:rsid w:val="1E2807D1"/>
    <w:rsid w:val="1E281B04"/>
    <w:rsid w:val="1E28540B"/>
    <w:rsid w:val="1E286061"/>
    <w:rsid w:val="1E29229C"/>
    <w:rsid w:val="1E295A02"/>
    <w:rsid w:val="1E296894"/>
    <w:rsid w:val="1E2A1B70"/>
    <w:rsid w:val="1E2A1C38"/>
    <w:rsid w:val="1E2A5981"/>
    <w:rsid w:val="1E2A7C0C"/>
    <w:rsid w:val="1E2B4EC3"/>
    <w:rsid w:val="1E2B789D"/>
    <w:rsid w:val="1E2B7EC2"/>
    <w:rsid w:val="1E2C3B3A"/>
    <w:rsid w:val="1E2C535C"/>
    <w:rsid w:val="1E2C58E8"/>
    <w:rsid w:val="1E2C5AEA"/>
    <w:rsid w:val="1E2C7696"/>
    <w:rsid w:val="1E2C7F46"/>
    <w:rsid w:val="1E2D2246"/>
    <w:rsid w:val="1E2D340E"/>
    <w:rsid w:val="1E2D469C"/>
    <w:rsid w:val="1E2D5D03"/>
    <w:rsid w:val="1E2D6DEF"/>
    <w:rsid w:val="1E2D7317"/>
    <w:rsid w:val="1E2D7DBA"/>
    <w:rsid w:val="1E2E0866"/>
    <w:rsid w:val="1E2E3EF1"/>
    <w:rsid w:val="1E2E4155"/>
    <w:rsid w:val="1E2F362A"/>
    <w:rsid w:val="1E2F7187"/>
    <w:rsid w:val="1E2F75CB"/>
    <w:rsid w:val="1E311CD2"/>
    <w:rsid w:val="1E312EFF"/>
    <w:rsid w:val="1E312F34"/>
    <w:rsid w:val="1E3133C1"/>
    <w:rsid w:val="1E314E94"/>
    <w:rsid w:val="1E316A3A"/>
    <w:rsid w:val="1E320A25"/>
    <w:rsid w:val="1E322D84"/>
    <w:rsid w:val="1E325443"/>
    <w:rsid w:val="1E326025"/>
    <w:rsid w:val="1E326110"/>
    <w:rsid w:val="1E326C77"/>
    <w:rsid w:val="1E327154"/>
    <w:rsid w:val="1E3314F9"/>
    <w:rsid w:val="1E33596B"/>
    <w:rsid w:val="1E340729"/>
    <w:rsid w:val="1E343CC1"/>
    <w:rsid w:val="1E3452BE"/>
    <w:rsid w:val="1E345B00"/>
    <w:rsid w:val="1E35378F"/>
    <w:rsid w:val="1E3649B9"/>
    <w:rsid w:val="1E365E6C"/>
    <w:rsid w:val="1E36601E"/>
    <w:rsid w:val="1E3715B7"/>
    <w:rsid w:val="1E37428D"/>
    <w:rsid w:val="1E380731"/>
    <w:rsid w:val="1E380FE1"/>
    <w:rsid w:val="1E3812B5"/>
    <w:rsid w:val="1E381AA3"/>
    <w:rsid w:val="1E38605C"/>
    <w:rsid w:val="1E386D70"/>
    <w:rsid w:val="1E387E4C"/>
    <w:rsid w:val="1E39360B"/>
    <w:rsid w:val="1E394B10"/>
    <w:rsid w:val="1E39523F"/>
    <w:rsid w:val="1E396257"/>
    <w:rsid w:val="1E3965D0"/>
    <w:rsid w:val="1E397C01"/>
    <w:rsid w:val="1E3A3068"/>
    <w:rsid w:val="1E3A4378"/>
    <w:rsid w:val="1E3A4EFF"/>
    <w:rsid w:val="1E3B1FCF"/>
    <w:rsid w:val="1E3B27B8"/>
    <w:rsid w:val="1E3B3937"/>
    <w:rsid w:val="1E3B3D7D"/>
    <w:rsid w:val="1E3C23F0"/>
    <w:rsid w:val="1E3C64F5"/>
    <w:rsid w:val="1E3C731E"/>
    <w:rsid w:val="1E3D5039"/>
    <w:rsid w:val="1E3D5840"/>
    <w:rsid w:val="1E3D5D47"/>
    <w:rsid w:val="1E3E1DCA"/>
    <w:rsid w:val="1E3E386E"/>
    <w:rsid w:val="1E3E39E6"/>
    <w:rsid w:val="1E3E561C"/>
    <w:rsid w:val="1E3E5EE3"/>
    <w:rsid w:val="1E3E73CA"/>
    <w:rsid w:val="1E3F0253"/>
    <w:rsid w:val="1E3F22B8"/>
    <w:rsid w:val="1E3F357D"/>
    <w:rsid w:val="1E3F4573"/>
    <w:rsid w:val="1E3F65BF"/>
    <w:rsid w:val="1E4003B7"/>
    <w:rsid w:val="1E4032D0"/>
    <w:rsid w:val="1E404D81"/>
    <w:rsid w:val="1E406366"/>
    <w:rsid w:val="1E406367"/>
    <w:rsid w:val="1E407A47"/>
    <w:rsid w:val="1E407C70"/>
    <w:rsid w:val="1E41281E"/>
    <w:rsid w:val="1E4247F5"/>
    <w:rsid w:val="1E4249E9"/>
    <w:rsid w:val="1E426EBA"/>
    <w:rsid w:val="1E430121"/>
    <w:rsid w:val="1E430C1D"/>
    <w:rsid w:val="1E4337F7"/>
    <w:rsid w:val="1E436FDF"/>
    <w:rsid w:val="1E4470D6"/>
    <w:rsid w:val="1E450758"/>
    <w:rsid w:val="1E450CE8"/>
    <w:rsid w:val="1E451922"/>
    <w:rsid w:val="1E45517D"/>
    <w:rsid w:val="1E4562DC"/>
    <w:rsid w:val="1E4569AA"/>
    <w:rsid w:val="1E462178"/>
    <w:rsid w:val="1E4635A8"/>
    <w:rsid w:val="1E470974"/>
    <w:rsid w:val="1E474670"/>
    <w:rsid w:val="1E4756B2"/>
    <w:rsid w:val="1E480248"/>
    <w:rsid w:val="1E49030B"/>
    <w:rsid w:val="1E49223A"/>
    <w:rsid w:val="1E4946EC"/>
    <w:rsid w:val="1E4A0464"/>
    <w:rsid w:val="1E4A0577"/>
    <w:rsid w:val="1E4A08FA"/>
    <w:rsid w:val="1E4A2212"/>
    <w:rsid w:val="1E4A3E53"/>
    <w:rsid w:val="1E4B0C15"/>
    <w:rsid w:val="1E4B305A"/>
    <w:rsid w:val="1E4B4B5A"/>
    <w:rsid w:val="1E4B6C2A"/>
    <w:rsid w:val="1E4B70F1"/>
    <w:rsid w:val="1E4C5F8A"/>
    <w:rsid w:val="1E4C5FEA"/>
    <w:rsid w:val="1E4C7792"/>
    <w:rsid w:val="1E4C7947"/>
    <w:rsid w:val="1E4C7D38"/>
    <w:rsid w:val="1E4D0164"/>
    <w:rsid w:val="1E4D204B"/>
    <w:rsid w:val="1E4D40D4"/>
    <w:rsid w:val="1E4D4C67"/>
    <w:rsid w:val="1E4D4E24"/>
    <w:rsid w:val="1E4D585F"/>
    <w:rsid w:val="1E4D747A"/>
    <w:rsid w:val="1E4D7D65"/>
    <w:rsid w:val="1E4E120F"/>
    <w:rsid w:val="1E4E1501"/>
    <w:rsid w:val="1E4E3AB1"/>
    <w:rsid w:val="1E4E7D7C"/>
    <w:rsid w:val="1E4F15D7"/>
    <w:rsid w:val="1E4F2A7A"/>
    <w:rsid w:val="1E4F5A7B"/>
    <w:rsid w:val="1E4F61FC"/>
    <w:rsid w:val="1E4F67B1"/>
    <w:rsid w:val="1E500464"/>
    <w:rsid w:val="1E504931"/>
    <w:rsid w:val="1E50786C"/>
    <w:rsid w:val="1E5118E0"/>
    <w:rsid w:val="1E5135A1"/>
    <w:rsid w:val="1E51534F"/>
    <w:rsid w:val="1E5170FD"/>
    <w:rsid w:val="1E521141"/>
    <w:rsid w:val="1E521E5C"/>
    <w:rsid w:val="1E522D5A"/>
    <w:rsid w:val="1E522E1C"/>
    <w:rsid w:val="1E522E75"/>
    <w:rsid w:val="1E526FDA"/>
    <w:rsid w:val="1E527824"/>
    <w:rsid w:val="1E530938"/>
    <w:rsid w:val="1E5310C7"/>
    <w:rsid w:val="1E532861"/>
    <w:rsid w:val="1E534235"/>
    <w:rsid w:val="1E5348E9"/>
    <w:rsid w:val="1E537319"/>
    <w:rsid w:val="1E537FD9"/>
    <w:rsid w:val="1E543091"/>
    <w:rsid w:val="1E54610B"/>
    <w:rsid w:val="1E547805"/>
    <w:rsid w:val="1E5507DD"/>
    <w:rsid w:val="1E5520B4"/>
    <w:rsid w:val="1E552AB4"/>
    <w:rsid w:val="1E55322A"/>
    <w:rsid w:val="1E5544A2"/>
    <w:rsid w:val="1E555F98"/>
    <w:rsid w:val="1E5563CC"/>
    <w:rsid w:val="1E562965"/>
    <w:rsid w:val="1E5633AE"/>
    <w:rsid w:val="1E563471"/>
    <w:rsid w:val="1E564F62"/>
    <w:rsid w:val="1E564FC9"/>
    <w:rsid w:val="1E56535C"/>
    <w:rsid w:val="1E566E09"/>
    <w:rsid w:val="1E567848"/>
    <w:rsid w:val="1E570222"/>
    <w:rsid w:val="1E57048B"/>
    <w:rsid w:val="1E570754"/>
    <w:rsid w:val="1E5730FC"/>
    <w:rsid w:val="1E575686"/>
    <w:rsid w:val="1E575CAB"/>
    <w:rsid w:val="1E583C75"/>
    <w:rsid w:val="1E58492F"/>
    <w:rsid w:val="1E5866DD"/>
    <w:rsid w:val="1E5873D2"/>
    <w:rsid w:val="1E590212"/>
    <w:rsid w:val="1E5905ED"/>
    <w:rsid w:val="1E5906A7"/>
    <w:rsid w:val="1E592455"/>
    <w:rsid w:val="1E594203"/>
    <w:rsid w:val="1E5953B9"/>
    <w:rsid w:val="1E59761A"/>
    <w:rsid w:val="1E597770"/>
    <w:rsid w:val="1E5B0DF5"/>
    <w:rsid w:val="1E5B15F5"/>
    <w:rsid w:val="1E5B441F"/>
    <w:rsid w:val="1E5B61CE"/>
    <w:rsid w:val="1E5C04C7"/>
    <w:rsid w:val="1E5C0E00"/>
    <w:rsid w:val="1E5C0E57"/>
    <w:rsid w:val="1E5C12A2"/>
    <w:rsid w:val="1E5C1912"/>
    <w:rsid w:val="1E5C5EF6"/>
    <w:rsid w:val="1E5C628D"/>
    <w:rsid w:val="1E5D0198"/>
    <w:rsid w:val="1E5D1F46"/>
    <w:rsid w:val="1E5D2FAA"/>
    <w:rsid w:val="1E5E5583"/>
    <w:rsid w:val="1E5E5584"/>
    <w:rsid w:val="1E5E5937"/>
    <w:rsid w:val="1E5E7A6C"/>
    <w:rsid w:val="1E5F53E1"/>
    <w:rsid w:val="1E5F570D"/>
    <w:rsid w:val="1E601A36"/>
    <w:rsid w:val="1E605592"/>
    <w:rsid w:val="1E6058EF"/>
    <w:rsid w:val="1E606DC9"/>
    <w:rsid w:val="1E6104C0"/>
    <w:rsid w:val="1E6140BB"/>
    <w:rsid w:val="1E62130A"/>
    <w:rsid w:val="1E621BF1"/>
    <w:rsid w:val="1E6257AE"/>
    <w:rsid w:val="1E630F95"/>
    <w:rsid w:val="1E631239"/>
    <w:rsid w:val="1E632CC1"/>
    <w:rsid w:val="1E632DE0"/>
    <w:rsid w:val="1E634270"/>
    <w:rsid w:val="1E635082"/>
    <w:rsid w:val="1E6352AF"/>
    <w:rsid w:val="1E6369FC"/>
    <w:rsid w:val="1E636E30"/>
    <w:rsid w:val="1E641526"/>
    <w:rsid w:val="1E65541F"/>
    <w:rsid w:val="1E67031E"/>
    <w:rsid w:val="1E671EF5"/>
    <w:rsid w:val="1E672CEF"/>
    <w:rsid w:val="1E673F1C"/>
    <w:rsid w:val="1E674B72"/>
    <w:rsid w:val="1E676920"/>
    <w:rsid w:val="1E686246"/>
    <w:rsid w:val="1E6862E3"/>
    <w:rsid w:val="1E687D0C"/>
    <w:rsid w:val="1E69055C"/>
    <w:rsid w:val="1E694EA2"/>
    <w:rsid w:val="1E696B3C"/>
    <w:rsid w:val="1E69798D"/>
    <w:rsid w:val="1E6A01BF"/>
    <w:rsid w:val="1E6A08AE"/>
    <w:rsid w:val="1E6A1572"/>
    <w:rsid w:val="1E6A240A"/>
    <w:rsid w:val="1E6A3522"/>
    <w:rsid w:val="1E6A4276"/>
    <w:rsid w:val="1E6A4663"/>
    <w:rsid w:val="1E6A550C"/>
    <w:rsid w:val="1E6A6411"/>
    <w:rsid w:val="1E6B2A02"/>
    <w:rsid w:val="1E6C03DB"/>
    <w:rsid w:val="1E6C1AE7"/>
    <w:rsid w:val="1E6C2189"/>
    <w:rsid w:val="1E6C5046"/>
    <w:rsid w:val="1E6C62A8"/>
    <w:rsid w:val="1E6D0ADF"/>
    <w:rsid w:val="1E6D35D6"/>
    <w:rsid w:val="1E6D41EC"/>
    <w:rsid w:val="1E6E0D16"/>
    <w:rsid w:val="1E6E1383"/>
    <w:rsid w:val="1E6E19CB"/>
    <w:rsid w:val="1E6E2D2A"/>
    <w:rsid w:val="1E6E4153"/>
    <w:rsid w:val="1E6E6FD2"/>
    <w:rsid w:val="1E6F1C79"/>
    <w:rsid w:val="1E6F213D"/>
    <w:rsid w:val="1E6F6D28"/>
    <w:rsid w:val="1E702EA2"/>
    <w:rsid w:val="1E7053E4"/>
    <w:rsid w:val="1E71298D"/>
    <w:rsid w:val="1E712B99"/>
    <w:rsid w:val="1E713D32"/>
    <w:rsid w:val="1E713F1A"/>
    <w:rsid w:val="1E7159F1"/>
    <w:rsid w:val="1E71779F"/>
    <w:rsid w:val="1E7228D5"/>
    <w:rsid w:val="1E724BBA"/>
    <w:rsid w:val="1E731046"/>
    <w:rsid w:val="1E7341FE"/>
    <w:rsid w:val="1E7352C5"/>
    <w:rsid w:val="1E7354A4"/>
    <w:rsid w:val="1E740AD7"/>
    <w:rsid w:val="1E74103D"/>
    <w:rsid w:val="1E743C2E"/>
    <w:rsid w:val="1E745861"/>
    <w:rsid w:val="1E74728F"/>
    <w:rsid w:val="1E750D47"/>
    <w:rsid w:val="1E756165"/>
    <w:rsid w:val="1E761259"/>
    <w:rsid w:val="1E761E34"/>
    <w:rsid w:val="1E763007"/>
    <w:rsid w:val="1E7646BE"/>
    <w:rsid w:val="1E764DB5"/>
    <w:rsid w:val="1E766B63"/>
    <w:rsid w:val="1E771062"/>
    <w:rsid w:val="1E7726E6"/>
    <w:rsid w:val="1E7752B7"/>
    <w:rsid w:val="1E776D73"/>
    <w:rsid w:val="1E780B2E"/>
    <w:rsid w:val="1E7827AE"/>
    <w:rsid w:val="1E7828DC"/>
    <w:rsid w:val="1E785E11"/>
    <w:rsid w:val="1E786D7F"/>
    <w:rsid w:val="1E7904E4"/>
    <w:rsid w:val="1E7936F2"/>
    <w:rsid w:val="1E7948A6"/>
    <w:rsid w:val="1E795674"/>
    <w:rsid w:val="1E795C5B"/>
    <w:rsid w:val="1E79615B"/>
    <w:rsid w:val="1E796654"/>
    <w:rsid w:val="1E7A1067"/>
    <w:rsid w:val="1E7A211F"/>
    <w:rsid w:val="1E7A2AF8"/>
    <w:rsid w:val="1E7A5E04"/>
    <w:rsid w:val="1E7B061E"/>
    <w:rsid w:val="1E7B23CC"/>
    <w:rsid w:val="1E7B6870"/>
    <w:rsid w:val="1E7B7DD9"/>
    <w:rsid w:val="1E7C07A4"/>
    <w:rsid w:val="1E7C3987"/>
    <w:rsid w:val="1E7C69B6"/>
    <w:rsid w:val="1E7C6A2F"/>
    <w:rsid w:val="1E7D4396"/>
    <w:rsid w:val="1E7D5CD7"/>
    <w:rsid w:val="1E7D6558"/>
    <w:rsid w:val="1E7D6BDE"/>
    <w:rsid w:val="1E7D74AF"/>
    <w:rsid w:val="1E7D7EF2"/>
    <w:rsid w:val="1E7E06B7"/>
    <w:rsid w:val="1E7E6FFA"/>
    <w:rsid w:val="1E7E77EE"/>
    <w:rsid w:val="1E7F6954"/>
    <w:rsid w:val="1E8012A7"/>
    <w:rsid w:val="1E803E86"/>
    <w:rsid w:val="1E804CA0"/>
    <w:rsid w:val="1E805AD3"/>
    <w:rsid w:val="1E806BB4"/>
    <w:rsid w:val="1E807472"/>
    <w:rsid w:val="1E81278A"/>
    <w:rsid w:val="1E816369"/>
    <w:rsid w:val="1E817FA3"/>
    <w:rsid w:val="1E8219AC"/>
    <w:rsid w:val="1E8241E0"/>
    <w:rsid w:val="1E827BFE"/>
    <w:rsid w:val="1E83112E"/>
    <w:rsid w:val="1E831C97"/>
    <w:rsid w:val="1E832A83"/>
    <w:rsid w:val="1E8350A3"/>
    <w:rsid w:val="1E8411D7"/>
    <w:rsid w:val="1E845724"/>
    <w:rsid w:val="1E845A54"/>
    <w:rsid w:val="1E8470B6"/>
    <w:rsid w:val="1E8474D2"/>
    <w:rsid w:val="1E85032F"/>
    <w:rsid w:val="1E85149C"/>
    <w:rsid w:val="1E8517EF"/>
    <w:rsid w:val="1E8522C1"/>
    <w:rsid w:val="1E85324A"/>
    <w:rsid w:val="1E854FF8"/>
    <w:rsid w:val="1E855068"/>
    <w:rsid w:val="1E856D7A"/>
    <w:rsid w:val="1E857D56"/>
    <w:rsid w:val="1E857EC9"/>
    <w:rsid w:val="1E861706"/>
    <w:rsid w:val="1E867D9F"/>
    <w:rsid w:val="1E870D71"/>
    <w:rsid w:val="1E872268"/>
    <w:rsid w:val="1E876CCF"/>
    <w:rsid w:val="1E88691C"/>
    <w:rsid w:val="1E8904AB"/>
    <w:rsid w:val="1E890E38"/>
    <w:rsid w:val="1E892D3B"/>
    <w:rsid w:val="1E8955FE"/>
    <w:rsid w:val="1E897350"/>
    <w:rsid w:val="1E8A0B5C"/>
    <w:rsid w:val="1E8A1FEA"/>
    <w:rsid w:val="1E8A6629"/>
    <w:rsid w:val="1E8A6AB3"/>
    <w:rsid w:val="1E8A72BA"/>
    <w:rsid w:val="1E8B07E6"/>
    <w:rsid w:val="1E8B1238"/>
    <w:rsid w:val="1E8B6B43"/>
    <w:rsid w:val="1E8C2E02"/>
    <w:rsid w:val="1E8C3BAA"/>
    <w:rsid w:val="1E8C45D9"/>
    <w:rsid w:val="1E8C7359"/>
    <w:rsid w:val="1E8D1EE1"/>
    <w:rsid w:val="1E8D27C4"/>
    <w:rsid w:val="1E8D504B"/>
    <w:rsid w:val="1E8D74DD"/>
    <w:rsid w:val="1E8E00BE"/>
    <w:rsid w:val="1E8E1D11"/>
    <w:rsid w:val="1E8E20FF"/>
    <w:rsid w:val="1E8E2C91"/>
    <w:rsid w:val="1E8E353B"/>
    <w:rsid w:val="1E8E65A3"/>
    <w:rsid w:val="1E8E6EFB"/>
    <w:rsid w:val="1E8F1470"/>
    <w:rsid w:val="1E901204"/>
    <w:rsid w:val="1E90231B"/>
    <w:rsid w:val="1E907E78"/>
    <w:rsid w:val="1E910254"/>
    <w:rsid w:val="1E91296A"/>
    <w:rsid w:val="1E92374C"/>
    <w:rsid w:val="1E925F2A"/>
    <w:rsid w:val="1E926ACF"/>
    <w:rsid w:val="1E926B65"/>
    <w:rsid w:val="1E92712A"/>
    <w:rsid w:val="1E933907"/>
    <w:rsid w:val="1E933BB9"/>
    <w:rsid w:val="1E933D34"/>
    <w:rsid w:val="1E937715"/>
    <w:rsid w:val="1E937CC2"/>
    <w:rsid w:val="1E9406B0"/>
    <w:rsid w:val="1E940E7C"/>
    <w:rsid w:val="1E942D7E"/>
    <w:rsid w:val="1E94348E"/>
    <w:rsid w:val="1E9450C1"/>
    <w:rsid w:val="1E95262C"/>
    <w:rsid w:val="1E952A7D"/>
    <w:rsid w:val="1E953C33"/>
    <w:rsid w:val="1E955BC9"/>
    <w:rsid w:val="1E960840"/>
    <w:rsid w:val="1E960FB4"/>
    <w:rsid w:val="1E96167B"/>
    <w:rsid w:val="1E965F4A"/>
    <w:rsid w:val="1E971B1D"/>
    <w:rsid w:val="1E9741FB"/>
    <w:rsid w:val="1E9743A6"/>
    <w:rsid w:val="1E976412"/>
    <w:rsid w:val="1E982B05"/>
    <w:rsid w:val="1E98337F"/>
    <w:rsid w:val="1E9906C3"/>
    <w:rsid w:val="1E990AA4"/>
    <w:rsid w:val="1E990FDC"/>
    <w:rsid w:val="1E9929CD"/>
    <w:rsid w:val="1E9A0540"/>
    <w:rsid w:val="1E9A4F48"/>
    <w:rsid w:val="1E9A6CF6"/>
    <w:rsid w:val="1E9A7E16"/>
    <w:rsid w:val="1E9A7E5C"/>
    <w:rsid w:val="1E9B0B1D"/>
    <w:rsid w:val="1E9B0CC0"/>
    <w:rsid w:val="1E9B15EC"/>
    <w:rsid w:val="1E9B2A6E"/>
    <w:rsid w:val="1E9B481C"/>
    <w:rsid w:val="1E9C20E1"/>
    <w:rsid w:val="1E9C381B"/>
    <w:rsid w:val="1E9C3B59"/>
    <w:rsid w:val="1E9C6067"/>
    <w:rsid w:val="1E9D0594"/>
    <w:rsid w:val="1E9D3213"/>
    <w:rsid w:val="1E9D4401"/>
    <w:rsid w:val="1E9D4459"/>
    <w:rsid w:val="1E9D4886"/>
    <w:rsid w:val="1E9D67E6"/>
    <w:rsid w:val="1E9D6FD2"/>
    <w:rsid w:val="1E9E266D"/>
    <w:rsid w:val="1E9E4333"/>
    <w:rsid w:val="1E9E60BA"/>
    <w:rsid w:val="1E9F0659"/>
    <w:rsid w:val="1E9F118C"/>
    <w:rsid w:val="1E9F178D"/>
    <w:rsid w:val="1E9F255E"/>
    <w:rsid w:val="1E9F529B"/>
    <w:rsid w:val="1EA00084"/>
    <w:rsid w:val="1EA02D82"/>
    <w:rsid w:val="1EA062D6"/>
    <w:rsid w:val="1EA06E68"/>
    <w:rsid w:val="1EA15B45"/>
    <w:rsid w:val="1EA2204E"/>
    <w:rsid w:val="1EA229A1"/>
    <w:rsid w:val="1EA23DFC"/>
    <w:rsid w:val="1EA25BAA"/>
    <w:rsid w:val="1EA27958"/>
    <w:rsid w:val="1EA307A8"/>
    <w:rsid w:val="1EA336D1"/>
    <w:rsid w:val="1EA35B1D"/>
    <w:rsid w:val="1EA41EB0"/>
    <w:rsid w:val="1EA4459B"/>
    <w:rsid w:val="1EA44D1C"/>
    <w:rsid w:val="1EA45087"/>
    <w:rsid w:val="1EA4523D"/>
    <w:rsid w:val="1EA45E65"/>
    <w:rsid w:val="1EA53D2E"/>
    <w:rsid w:val="1EA5569B"/>
    <w:rsid w:val="1EA55764"/>
    <w:rsid w:val="1EA628CB"/>
    <w:rsid w:val="1EA6410F"/>
    <w:rsid w:val="1EA641A8"/>
    <w:rsid w:val="1EA64B7E"/>
    <w:rsid w:val="1EA64D73"/>
    <w:rsid w:val="1EA65CF5"/>
    <w:rsid w:val="1EA70180"/>
    <w:rsid w:val="1EA7049C"/>
    <w:rsid w:val="1EA706EC"/>
    <w:rsid w:val="1EA70B6A"/>
    <w:rsid w:val="1EA71413"/>
    <w:rsid w:val="1EA717C5"/>
    <w:rsid w:val="1EA72AF6"/>
    <w:rsid w:val="1EA72E48"/>
    <w:rsid w:val="1EA73C18"/>
    <w:rsid w:val="1EA7756E"/>
    <w:rsid w:val="1EA77665"/>
    <w:rsid w:val="1EA814D3"/>
    <w:rsid w:val="1EA83BE2"/>
    <w:rsid w:val="1EA840E5"/>
    <w:rsid w:val="1EA85565"/>
    <w:rsid w:val="1EA86172"/>
    <w:rsid w:val="1EA91818"/>
    <w:rsid w:val="1EA9523C"/>
    <w:rsid w:val="1EA96F39"/>
    <w:rsid w:val="1EAA2CB1"/>
    <w:rsid w:val="1EAA4A5F"/>
    <w:rsid w:val="1EAA4BB1"/>
    <w:rsid w:val="1EAB0058"/>
    <w:rsid w:val="1EAB16B4"/>
    <w:rsid w:val="1EAB2010"/>
    <w:rsid w:val="1EAB38D3"/>
    <w:rsid w:val="1EAC07D7"/>
    <w:rsid w:val="1EAC4913"/>
    <w:rsid w:val="1EAC5247"/>
    <w:rsid w:val="1EAC5EC7"/>
    <w:rsid w:val="1EAD17A9"/>
    <w:rsid w:val="1EAD2D48"/>
    <w:rsid w:val="1EAD3600"/>
    <w:rsid w:val="1EAD6AC7"/>
    <w:rsid w:val="1EAD6F16"/>
    <w:rsid w:val="1EAE27A1"/>
    <w:rsid w:val="1EAE454F"/>
    <w:rsid w:val="1EAE5386"/>
    <w:rsid w:val="1EAE5BC9"/>
    <w:rsid w:val="1EAF02C7"/>
    <w:rsid w:val="1EAF2CCA"/>
    <w:rsid w:val="1EAF31C8"/>
    <w:rsid w:val="1EAF6080"/>
    <w:rsid w:val="1EAF7CA6"/>
    <w:rsid w:val="1EB01292"/>
    <w:rsid w:val="1EB07194"/>
    <w:rsid w:val="1EB10611"/>
    <w:rsid w:val="1EB1307B"/>
    <w:rsid w:val="1EB13CDF"/>
    <w:rsid w:val="1EB1403F"/>
    <w:rsid w:val="1EB145D9"/>
    <w:rsid w:val="1EB15448"/>
    <w:rsid w:val="1EB20880"/>
    <w:rsid w:val="1EB2366E"/>
    <w:rsid w:val="1EB23C38"/>
    <w:rsid w:val="1EB27283"/>
    <w:rsid w:val="1EB368E9"/>
    <w:rsid w:val="1EB41214"/>
    <w:rsid w:val="1EB42518"/>
    <w:rsid w:val="1EB43FFF"/>
    <w:rsid w:val="1EB45839"/>
    <w:rsid w:val="1EB458DE"/>
    <w:rsid w:val="1EB4768C"/>
    <w:rsid w:val="1EB4797B"/>
    <w:rsid w:val="1EB53C84"/>
    <w:rsid w:val="1EB55259"/>
    <w:rsid w:val="1EB61656"/>
    <w:rsid w:val="1EB62F53"/>
    <w:rsid w:val="1EB63404"/>
    <w:rsid w:val="1EB6358F"/>
    <w:rsid w:val="1EB65933"/>
    <w:rsid w:val="1EB65C4F"/>
    <w:rsid w:val="1EB678A8"/>
    <w:rsid w:val="1EB7322D"/>
    <w:rsid w:val="1EB81009"/>
    <w:rsid w:val="1EB83620"/>
    <w:rsid w:val="1EB84112"/>
    <w:rsid w:val="1EB853CE"/>
    <w:rsid w:val="1EB8717C"/>
    <w:rsid w:val="1EB90EEF"/>
    <w:rsid w:val="1EB927A8"/>
    <w:rsid w:val="1EB96D4E"/>
    <w:rsid w:val="1EBA6DAC"/>
    <w:rsid w:val="1EBA7398"/>
    <w:rsid w:val="1EBB0A1A"/>
    <w:rsid w:val="1EBB4EBE"/>
    <w:rsid w:val="1EBB6C6C"/>
    <w:rsid w:val="1EBC20C7"/>
    <w:rsid w:val="1EBC255B"/>
    <w:rsid w:val="1EBC3453"/>
    <w:rsid w:val="1EBC36B8"/>
    <w:rsid w:val="1EBD0C36"/>
    <w:rsid w:val="1EBD1967"/>
    <w:rsid w:val="1EBD7EA3"/>
    <w:rsid w:val="1EBE4466"/>
    <w:rsid w:val="1EBE4678"/>
    <w:rsid w:val="1EBE4E7B"/>
    <w:rsid w:val="1EBE776F"/>
    <w:rsid w:val="1EBF050A"/>
    <w:rsid w:val="1EBF3291"/>
    <w:rsid w:val="1EBF367A"/>
    <w:rsid w:val="1EBF3B9B"/>
    <w:rsid w:val="1EBF675C"/>
    <w:rsid w:val="1EBF779B"/>
    <w:rsid w:val="1EC00C2B"/>
    <w:rsid w:val="1EC024D4"/>
    <w:rsid w:val="1EC02A13"/>
    <w:rsid w:val="1EC02FA4"/>
    <w:rsid w:val="1EC04283"/>
    <w:rsid w:val="1EC05EFB"/>
    <w:rsid w:val="1EC06FCF"/>
    <w:rsid w:val="1EC11412"/>
    <w:rsid w:val="1EC15801"/>
    <w:rsid w:val="1EC16945"/>
    <w:rsid w:val="1EC17044"/>
    <w:rsid w:val="1EC20359"/>
    <w:rsid w:val="1EC21DA9"/>
    <w:rsid w:val="1EC21F25"/>
    <w:rsid w:val="1EC2624D"/>
    <w:rsid w:val="1EC265F2"/>
    <w:rsid w:val="1EC27FFB"/>
    <w:rsid w:val="1EC32664"/>
    <w:rsid w:val="1EC3624F"/>
    <w:rsid w:val="1EC37EEC"/>
    <w:rsid w:val="1EC41FC5"/>
    <w:rsid w:val="1EC42583"/>
    <w:rsid w:val="1EC43D73"/>
    <w:rsid w:val="1EC452CB"/>
    <w:rsid w:val="1EC457BE"/>
    <w:rsid w:val="1EC45B21"/>
    <w:rsid w:val="1EC46CF3"/>
    <w:rsid w:val="1EC475AC"/>
    <w:rsid w:val="1EC51145"/>
    <w:rsid w:val="1EC5773A"/>
    <w:rsid w:val="1EC62F06"/>
    <w:rsid w:val="1EC649D3"/>
    <w:rsid w:val="1EC662CA"/>
    <w:rsid w:val="1EC71AB5"/>
    <w:rsid w:val="1EC73863"/>
    <w:rsid w:val="1EC74A4A"/>
    <w:rsid w:val="1EC80AFE"/>
    <w:rsid w:val="1EC8525C"/>
    <w:rsid w:val="1EC8663B"/>
    <w:rsid w:val="1EC9012D"/>
    <w:rsid w:val="1EC91389"/>
    <w:rsid w:val="1EC923F8"/>
    <w:rsid w:val="1EC93137"/>
    <w:rsid w:val="1EC975DB"/>
    <w:rsid w:val="1ECA1353"/>
    <w:rsid w:val="1ECA2AC7"/>
    <w:rsid w:val="1ECA4B60"/>
    <w:rsid w:val="1ECA5FEF"/>
    <w:rsid w:val="1ECA6EAF"/>
    <w:rsid w:val="1ECB16ED"/>
    <w:rsid w:val="1ECB3353"/>
    <w:rsid w:val="1ECB5101"/>
    <w:rsid w:val="1ECB747F"/>
    <w:rsid w:val="1ECC0E79"/>
    <w:rsid w:val="1ECC70CB"/>
    <w:rsid w:val="1ECD0E33"/>
    <w:rsid w:val="1ECD305E"/>
    <w:rsid w:val="1ECD65CE"/>
    <w:rsid w:val="1ECD7F41"/>
    <w:rsid w:val="1ECE0664"/>
    <w:rsid w:val="1ECE1A50"/>
    <w:rsid w:val="1ECE699F"/>
    <w:rsid w:val="1ECF49D4"/>
    <w:rsid w:val="1ECF6764"/>
    <w:rsid w:val="1ED015A4"/>
    <w:rsid w:val="1ED015FB"/>
    <w:rsid w:val="1ED02718"/>
    <w:rsid w:val="1ED05657"/>
    <w:rsid w:val="1ED07CD9"/>
    <w:rsid w:val="1ED10F15"/>
    <w:rsid w:val="1ED11BB0"/>
    <w:rsid w:val="1ED1303B"/>
    <w:rsid w:val="1ED132F1"/>
    <w:rsid w:val="1ED205FD"/>
    <w:rsid w:val="1ED25151"/>
    <w:rsid w:val="1ED266C1"/>
    <w:rsid w:val="1ED3045A"/>
    <w:rsid w:val="1ED307E2"/>
    <w:rsid w:val="1ED32208"/>
    <w:rsid w:val="1ED32529"/>
    <w:rsid w:val="1ED37469"/>
    <w:rsid w:val="1ED40054"/>
    <w:rsid w:val="1ED40CEC"/>
    <w:rsid w:val="1ED41ADC"/>
    <w:rsid w:val="1ED41C72"/>
    <w:rsid w:val="1ED45DA6"/>
    <w:rsid w:val="1ED471F9"/>
    <w:rsid w:val="1ED51FDE"/>
    <w:rsid w:val="1ED56A04"/>
    <w:rsid w:val="1ED61CF8"/>
    <w:rsid w:val="1ED63AA6"/>
    <w:rsid w:val="1ED64A4F"/>
    <w:rsid w:val="1ED66B32"/>
    <w:rsid w:val="1ED75A22"/>
    <w:rsid w:val="1ED76B36"/>
    <w:rsid w:val="1ED77163"/>
    <w:rsid w:val="1ED815CC"/>
    <w:rsid w:val="1ED82541"/>
    <w:rsid w:val="1ED83737"/>
    <w:rsid w:val="1ED85A70"/>
    <w:rsid w:val="1ED8781E"/>
    <w:rsid w:val="1ED90281"/>
    <w:rsid w:val="1ED90E27"/>
    <w:rsid w:val="1ED96362"/>
    <w:rsid w:val="1EDA1A35"/>
    <w:rsid w:val="1EDA1C8D"/>
    <w:rsid w:val="1EDA5344"/>
    <w:rsid w:val="1EDA7BB3"/>
    <w:rsid w:val="1EDB10BC"/>
    <w:rsid w:val="1EDB1141"/>
    <w:rsid w:val="1EDB183D"/>
    <w:rsid w:val="1EDB1C56"/>
    <w:rsid w:val="1EDB1E61"/>
    <w:rsid w:val="1EDB2E6A"/>
    <w:rsid w:val="1EDB6F74"/>
    <w:rsid w:val="1EDC2B10"/>
    <w:rsid w:val="1EDC2C1A"/>
    <w:rsid w:val="1EDC63B0"/>
    <w:rsid w:val="1EDC730E"/>
    <w:rsid w:val="1EDC790A"/>
    <w:rsid w:val="1EDD03F1"/>
    <w:rsid w:val="1EDD0AC9"/>
    <w:rsid w:val="1EDD6BE3"/>
    <w:rsid w:val="1EDE43F6"/>
    <w:rsid w:val="1EDE44A0"/>
    <w:rsid w:val="1EDE563B"/>
    <w:rsid w:val="1EDF06F1"/>
    <w:rsid w:val="1EDF0CE8"/>
    <w:rsid w:val="1EDF295B"/>
    <w:rsid w:val="1EDF460F"/>
    <w:rsid w:val="1EDF5BAD"/>
    <w:rsid w:val="1EDF6DFF"/>
    <w:rsid w:val="1EE00481"/>
    <w:rsid w:val="1EE00D49"/>
    <w:rsid w:val="1EE03AE0"/>
    <w:rsid w:val="1EE04AC5"/>
    <w:rsid w:val="1EE066D3"/>
    <w:rsid w:val="1EE12131"/>
    <w:rsid w:val="1EE12B77"/>
    <w:rsid w:val="1EE13742"/>
    <w:rsid w:val="1EE172DA"/>
    <w:rsid w:val="1EE2069D"/>
    <w:rsid w:val="1EE20997"/>
    <w:rsid w:val="1EE241F9"/>
    <w:rsid w:val="1EE24276"/>
    <w:rsid w:val="1EE25DFA"/>
    <w:rsid w:val="1EE34C92"/>
    <w:rsid w:val="1EE4232A"/>
    <w:rsid w:val="1EE47CBC"/>
    <w:rsid w:val="1EE47F71"/>
    <w:rsid w:val="1EE52BF7"/>
    <w:rsid w:val="1EE56D94"/>
    <w:rsid w:val="1EE6018D"/>
    <w:rsid w:val="1EE67C9A"/>
    <w:rsid w:val="1EE70666"/>
    <w:rsid w:val="1EE7180F"/>
    <w:rsid w:val="1EE734EB"/>
    <w:rsid w:val="1EE73F05"/>
    <w:rsid w:val="1EE75A6C"/>
    <w:rsid w:val="1EE75CB3"/>
    <w:rsid w:val="1EE77A61"/>
    <w:rsid w:val="1EE81578"/>
    <w:rsid w:val="1EE86B2D"/>
    <w:rsid w:val="1EE87C92"/>
    <w:rsid w:val="1EE90C5A"/>
    <w:rsid w:val="1EE95587"/>
    <w:rsid w:val="1EE96588"/>
    <w:rsid w:val="1EE97C8C"/>
    <w:rsid w:val="1EEA12FF"/>
    <w:rsid w:val="1EEA3378"/>
    <w:rsid w:val="1EEA6779"/>
    <w:rsid w:val="1EEB00E2"/>
    <w:rsid w:val="1EEB313A"/>
    <w:rsid w:val="1EEB418B"/>
    <w:rsid w:val="1EEB6C08"/>
    <w:rsid w:val="1EEC32CA"/>
    <w:rsid w:val="1EEC513F"/>
    <w:rsid w:val="1EEC67B8"/>
    <w:rsid w:val="1EED10A2"/>
    <w:rsid w:val="1EED151B"/>
    <w:rsid w:val="1EED4569"/>
    <w:rsid w:val="1EED70DC"/>
    <w:rsid w:val="1EEE2819"/>
    <w:rsid w:val="1EEE2B9E"/>
    <w:rsid w:val="1EEE3F85"/>
    <w:rsid w:val="1EEE54F8"/>
    <w:rsid w:val="1EEE5743"/>
    <w:rsid w:val="1EEF27A5"/>
    <w:rsid w:val="1EEF4885"/>
    <w:rsid w:val="1EEF65AC"/>
    <w:rsid w:val="1EF0127C"/>
    <w:rsid w:val="1EF02DBA"/>
    <w:rsid w:val="1EF04F4B"/>
    <w:rsid w:val="1EF10EC4"/>
    <w:rsid w:val="1EF12590"/>
    <w:rsid w:val="1EF17EB7"/>
    <w:rsid w:val="1EF20DC1"/>
    <w:rsid w:val="1EF21E2A"/>
    <w:rsid w:val="1EF23CBC"/>
    <w:rsid w:val="1EF23E79"/>
    <w:rsid w:val="1EF2616B"/>
    <w:rsid w:val="1EF27241"/>
    <w:rsid w:val="1EF3309A"/>
    <w:rsid w:val="1EF34658"/>
    <w:rsid w:val="1EF3668B"/>
    <w:rsid w:val="1EF5798A"/>
    <w:rsid w:val="1EF60F3E"/>
    <w:rsid w:val="1EF65EF6"/>
    <w:rsid w:val="1EF66F76"/>
    <w:rsid w:val="1EF706F1"/>
    <w:rsid w:val="1EF7330C"/>
    <w:rsid w:val="1EF73DAA"/>
    <w:rsid w:val="1EF7500C"/>
    <w:rsid w:val="1EF7510F"/>
    <w:rsid w:val="1EF762BB"/>
    <w:rsid w:val="1EF81C6E"/>
    <w:rsid w:val="1EF9464E"/>
    <w:rsid w:val="1EF96344"/>
    <w:rsid w:val="1EF97C21"/>
    <w:rsid w:val="1EFA0F32"/>
    <w:rsid w:val="1EFA0F86"/>
    <w:rsid w:val="1EFA1543"/>
    <w:rsid w:val="1EFA3355"/>
    <w:rsid w:val="1EFA6261"/>
    <w:rsid w:val="1EFB5455"/>
    <w:rsid w:val="1EFB568B"/>
    <w:rsid w:val="1EFB6A97"/>
    <w:rsid w:val="1EFB73C2"/>
    <w:rsid w:val="1EFC27BF"/>
    <w:rsid w:val="1EFC37D9"/>
    <w:rsid w:val="1EFD54D7"/>
    <w:rsid w:val="1EFD7285"/>
    <w:rsid w:val="1EFE379E"/>
    <w:rsid w:val="1EFE50C8"/>
    <w:rsid w:val="1EFE6C8D"/>
    <w:rsid w:val="1EFE6F19"/>
    <w:rsid w:val="1EFF124F"/>
    <w:rsid w:val="1EFF135A"/>
    <w:rsid w:val="1EFF2FFD"/>
    <w:rsid w:val="1F001B71"/>
    <w:rsid w:val="1F0028D1"/>
    <w:rsid w:val="1F004E09"/>
    <w:rsid w:val="1F007767"/>
    <w:rsid w:val="1F010B02"/>
    <w:rsid w:val="1F010C8F"/>
    <w:rsid w:val="1F013637"/>
    <w:rsid w:val="1F0153D6"/>
    <w:rsid w:val="1F016D75"/>
    <w:rsid w:val="1F022AED"/>
    <w:rsid w:val="1F023FB4"/>
    <w:rsid w:val="1F026649"/>
    <w:rsid w:val="1F030324"/>
    <w:rsid w:val="1F037161"/>
    <w:rsid w:val="1F040277"/>
    <w:rsid w:val="1F040613"/>
    <w:rsid w:val="1F040B98"/>
    <w:rsid w:val="1F0412A2"/>
    <w:rsid w:val="1F0418B7"/>
    <w:rsid w:val="1F0423C1"/>
    <w:rsid w:val="1F044389"/>
    <w:rsid w:val="1F044F1F"/>
    <w:rsid w:val="1F045E88"/>
    <w:rsid w:val="1F046865"/>
    <w:rsid w:val="1F046F91"/>
    <w:rsid w:val="1F047EB1"/>
    <w:rsid w:val="1F050F2C"/>
    <w:rsid w:val="1F053233"/>
    <w:rsid w:val="1F05760F"/>
    <w:rsid w:val="1F063671"/>
    <w:rsid w:val="1F066139"/>
    <w:rsid w:val="1F070156"/>
    <w:rsid w:val="1F07123D"/>
    <w:rsid w:val="1F071EB1"/>
    <w:rsid w:val="1F0733C0"/>
    <w:rsid w:val="1F073C5F"/>
    <w:rsid w:val="1F074779"/>
    <w:rsid w:val="1F074B01"/>
    <w:rsid w:val="1F075687"/>
    <w:rsid w:val="1F075A41"/>
    <w:rsid w:val="1F07657B"/>
    <w:rsid w:val="1F0776F5"/>
    <w:rsid w:val="1F086AFE"/>
    <w:rsid w:val="1F0902F9"/>
    <w:rsid w:val="1F0911E4"/>
    <w:rsid w:val="1F091CBA"/>
    <w:rsid w:val="1F0928C7"/>
    <w:rsid w:val="1F095C2A"/>
    <w:rsid w:val="1F096272"/>
    <w:rsid w:val="1F0973D2"/>
    <w:rsid w:val="1F097421"/>
    <w:rsid w:val="1F0977BA"/>
    <w:rsid w:val="1F0979D8"/>
    <w:rsid w:val="1F0A3482"/>
    <w:rsid w:val="1F0A4690"/>
    <w:rsid w:val="1F0A4C39"/>
    <w:rsid w:val="1F0A5310"/>
    <w:rsid w:val="1F0A7B1E"/>
    <w:rsid w:val="1F0A7E78"/>
    <w:rsid w:val="1F0B2997"/>
    <w:rsid w:val="1F0B2A35"/>
    <w:rsid w:val="1F0B3750"/>
    <w:rsid w:val="1F0C0DB4"/>
    <w:rsid w:val="1F0C1276"/>
    <w:rsid w:val="1F0C32E3"/>
    <w:rsid w:val="1F0C571A"/>
    <w:rsid w:val="1F0C69DD"/>
    <w:rsid w:val="1F0C74C8"/>
    <w:rsid w:val="1F0D1E03"/>
    <w:rsid w:val="1F0D1F99"/>
    <w:rsid w:val="1F0D4349"/>
    <w:rsid w:val="1F0D4E9D"/>
    <w:rsid w:val="1F0D5C71"/>
    <w:rsid w:val="1F0E3240"/>
    <w:rsid w:val="1F0E3BBF"/>
    <w:rsid w:val="1F0E51C3"/>
    <w:rsid w:val="1F0E5C8F"/>
    <w:rsid w:val="1F0F3FD3"/>
    <w:rsid w:val="1F0F43C5"/>
    <w:rsid w:val="1F100D66"/>
    <w:rsid w:val="1F1013BF"/>
    <w:rsid w:val="1F102330"/>
    <w:rsid w:val="1F10520A"/>
    <w:rsid w:val="1F10723D"/>
    <w:rsid w:val="1F112126"/>
    <w:rsid w:val="1F113A42"/>
    <w:rsid w:val="1F115476"/>
    <w:rsid w:val="1F117135"/>
    <w:rsid w:val="1F122D30"/>
    <w:rsid w:val="1F122ED5"/>
    <w:rsid w:val="1F13083D"/>
    <w:rsid w:val="1F130F8C"/>
    <w:rsid w:val="1F132386"/>
    <w:rsid w:val="1F132604"/>
    <w:rsid w:val="1F135DD6"/>
    <w:rsid w:val="1F136AA8"/>
    <w:rsid w:val="1F143346"/>
    <w:rsid w:val="1F152820"/>
    <w:rsid w:val="1F152D85"/>
    <w:rsid w:val="1F1545CE"/>
    <w:rsid w:val="1F154E45"/>
    <w:rsid w:val="1F1612A0"/>
    <w:rsid w:val="1F16485D"/>
    <w:rsid w:val="1F166281"/>
    <w:rsid w:val="1F1678D3"/>
    <w:rsid w:val="1F17130F"/>
    <w:rsid w:val="1F17233E"/>
    <w:rsid w:val="1F17275E"/>
    <w:rsid w:val="1F176030"/>
    <w:rsid w:val="1F176598"/>
    <w:rsid w:val="1F1801A4"/>
    <w:rsid w:val="1F185E6D"/>
    <w:rsid w:val="1F186A28"/>
    <w:rsid w:val="1F18754D"/>
    <w:rsid w:val="1F19071F"/>
    <w:rsid w:val="1F193AC6"/>
    <w:rsid w:val="1F195A2C"/>
    <w:rsid w:val="1F1A1BE5"/>
    <w:rsid w:val="1F1A31D9"/>
    <w:rsid w:val="1F1A509B"/>
    <w:rsid w:val="1F1A74B1"/>
    <w:rsid w:val="1F1A7E37"/>
    <w:rsid w:val="1F1B2CC6"/>
    <w:rsid w:val="1F1B4407"/>
    <w:rsid w:val="1F1B4638"/>
    <w:rsid w:val="1F1B60AA"/>
    <w:rsid w:val="1F1B758A"/>
    <w:rsid w:val="1F1B770B"/>
    <w:rsid w:val="1F1C29A8"/>
    <w:rsid w:val="1F1C3BAF"/>
    <w:rsid w:val="1F1C692E"/>
    <w:rsid w:val="1F1D06DE"/>
    <w:rsid w:val="1F1D1771"/>
    <w:rsid w:val="1F1D1971"/>
    <w:rsid w:val="1F1D3483"/>
    <w:rsid w:val="1F1E2D88"/>
    <w:rsid w:val="1F1E46C1"/>
    <w:rsid w:val="1F1E485D"/>
    <w:rsid w:val="1F1E6113"/>
    <w:rsid w:val="1F1E64B1"/>
    <w:rsid w:val="1F1F369F"/>
    <w:rsid w:val="1F1F544D"/>
    <w:rsid w:val="1F2001EF"/>
    <w:rsid w:val="1F202F06"/>
    <w:rsid w:val="1F204D21"/>
    <w:rsid w:val="1F21125D"/>
    <w:rsid w:val="1F2114F8"/>
    <w:rsid w:val="1F214E75"/>
    <w:rsid w:val="1F221123"/>
    <w:rsid w:val="1F223137"/>
    <w:rsid w:val="1F223CCC"/>
    <w:rsid w:val="1F224848"/>
    <w:rsid w:val="1F225822"/>
    <w:rsid w:val="1F225BA0"/>
    <w:rsid w:val="1F226CEB"/>
    <w:rsid w:val="1F231B3D"/>
    <w:rsid w:val="1F232054"/>
    <w:rsid w:val="1F23383F"/>
    <w:rsid w:val="1F23657A"/>
    <w:rsid w:val="1F236B6A"/>
    <w:rsid w:val="1F240514"/>
    <w:rsid w:val="1F244029"/>
    <w:rsid w:val="1F244811"/>
    <w:rsid w:val="1F246AA4"/>
    <w:rsid w:val="1F250076"/>
    <w:rsid w:val="1F2554B9"/>
    <w:rsid w:val="1F256949"/>
    <w:rsid w:val="1F260856"/>
    <w:rsid w:val="1F2667DB"/>
    <w:rsid w:val="1F266C76"/>
    <w:rsid w:val="1F26796B"/>
    <w:rsid w:val="1F27059F"/>
    <w:rsid w:val="1F27170D"/>
    <w:rsid w:val="1F2718E0"/>
    <w:rsid w:val="1F2728C3"/>
    <w:rsid w:val="1F274302"/>
    <w:rsid w:val="1F2760B0"/>
    <w:rsid w:val="1F277B15"/>
    <w:rsid w:val="1F28102C"/>
    <w:rsid w:val="1F282554"/>
    <w:rsid w:val="1F283204"/>
    <w:rsid w:val="1F283E3A"/>
    <w:rsid w:val="1F2847FB"/>
    <w:rsid w:val="1F284EE4"/>
    <w:rsid w:val="1F2852D6"/>
    <w:rsid w:val="1F29007A"/>
    <w:rsid w:val="1F291ACF"/>
    <w:rsid w:val="1F291E28"/>
    <w:rsid w:val="1F2962CC"/>
    <w:rsid w:val="1F296B7F"/>
    <w:rsid w:val="1F2A1164"/>
    <w:rsid w:val="1F2A12B9"/>
    <w:rsid w:val="1F2A5578"/>
    <w:rsid w:val="1F2B1506"/>
    <w:rsid w:val="1F2B2044"/>
    <w:rsid w:val="1F2B48C1"/>
    <w:rsid w:val="1F2C1918"/>
    <w:rsid w:val="1F2C2642"/>
    <w:rsid w:val="1F2C36C6"/>
    <w:rsid w:val="1F2C3C4B"/>
    <w:rsid w:val="1F2C538C"/>
    <w:rsid w:val="1F2C579F"/>
    <w:rsid w:val="1F2D4D92"/>
    <w:rsid w:val="1F2D53A9"/>
    <w:rsid w:val="1F2D7908"/>
    <w:rsid w:val="1F2D7B6A"/>
    <w:rsid w:val="1F2E596E"/>
    <w:rsid w:val="1F2E5980"/>
    <w:rsid w:val="1F2F0D9E"/>
    <w:rsid w:val="1F2F32F6"/>
    <w:rsid w:val="1F2F41FD"/>
    <w:rsid w:val="1F2F7D15"/>
    <w:rsid w:val="1F30221D"/>
    <w:rsid w:val="1F30519D"/>
    <w:rsid w:val="1F3051DD"/>
    <w:rsid w:val="1F3069FD"/>
    <w:rsid w:val="1F30750D"/>
    <w:rsid w:val="1F311169"/>
    <w:rsid w:val="1F311FB9"/>
    <w:rsid w:val="1F312BFF"/>
    <w:rsid w:val="1F312C07"/>
    <w:rsid w:val="1F313457"/>
    <w:rsid w:val="1F321D8D"/>
    <w:rsid w:val="1F324A96"/>
    <w:rsid w:val="1F325180"/>
    <w:rsid w:val="1F3258D0"/>
    <w:rsid w:val="1F333B1E"/>
    <w:rsid w:val="1F3355F6"/>
    <w:rsid w:val="1F3423DD"/>
    <w:rsid w:val="1F343717"/>
    <w:rsid w:val="1F344FAE"/>
    <w:rsid w:val="1F345D75"/>
    <w:rsid w:val="1F346A60"/>
    <w:rsid w:val="1F346AB5"/>
    <w:rsid w:val="1F351CE8"/>
    <w:rsid w:val="1F354C71"/>
    <w:rsid w:val="1F363EB0"/>
    <w:rsid w:val="1F36425D"/>
    <w:rsid w:val="1F3655D6"/>
    <w:rsid w:val="1F3657F7"/>
    <w:rsid w:val="1F36751E"/>
    <w:rsid w:val="1F370E6D"/>
    <w:rsid w:val="1F37157B"/>
    <w:rsid w:val="1F3715AC"/>
    <w:rsid w:val="1F372797"/>
    <w:rsid w:val="1F374545"/>
    <w:rsid w:val="1F3758BD"/>
    <w:rsid w:val="1F375D00"/>
    <w:rsid w:val="1F3802BD"/>
    <w:rsid w:val="1F38206B"/>
    <w:rsid w:val="1F383322"/>
    <w:rsid w:val="1F38392F"/>
    <w:rsid w:val="1F38517B"/>
    <w:rsid w:val="1F390394"/>
    <w:rsid w:val="1F39105B"/>
    <w:rsid w:val="1F391C8A"/>
    <w:rsid w:val="1F392CC3"/>
    <w:rsid w:val="1F394761"/>
    <w:rsid w:val="1F3951B7"/>
    <w:rsid w:val="1F3A0E20"/>
    <w:rsid w:val="1F3A11DF"/>
    <w:rsid w:val="1F3A1C48"/>
    <w:rsid w:val="1F3A2287"/>
    <w:rsid w:val="1F3A4035"/>
    <w:rsid w:val="1F3A76BC"/>
    <w:rsid w:val="1F3B76DF"/>
    <w:rsid w:val="1F3C5FFF"/>
    <w:rsid w:val="1F3C6510"/>
    <w:rsid w:val="1F3C7DAD"/>
    <w:rsid w:val="1F3D1380"/>
    <w:rsid w:val="1F3D1928"/>
    <w:rsid w:val="1F3D46DA"/>
    <w:rsid w:val="1F3D6C34"/>
    <w:rsid w:val="1F3E1D77"/>
    <w:rsid w:val="1F3E2A29"/>
    <w:rsid w:val="1F3F056C"/>
    <w:rsid w:val="1F3F164B"/>
    <w:rsid w:val="1F3F2473"/>
    <w:rsid w:val="1F3F2EA1"/>
    <w:rsid w:val="1F3F3394"/>
    <w:rsid w:val="1F3F33F9"/>
    <w:rsid w:val="1F3F5AEF"/>
    <w:rsid w:val="1F3F6011"/>
    <w:rsid w:val="1F403551"/>
    <w:rsid w:val="1F404551"/>
    <w:rsid w:val="1F40789E"/>
    <w:rsid w:val="1F413615"/>
    <w:rsid w:val="1F4149E1"/>
    <w:rsid w:val="1F4153C3"/>
    <w:rsid w:val="1F417C5D"/>
    <w:rsid w:val="1F42039C"/>
    <w:rsid w:val="1F420562"/>
    <w:rsid w:val="1F420707"/>
    <w:rsid w:val="1F42113B"/>
    <w:rsid w:val="1F422EEA"/>
    <w:rsid w:val="1F433AA0"/>
    <w:rsid w:val="1F4363B5"/>
    <w:rsid w:val="1F43738D"/>
    <w:rsid w:val="1F4377A5"/>
    <w:rsid w:val="1F443106"/>
    <w:rsid w:val="1F444EB4"/>
    <w:rsid w:val="1F446C62"/>
    <w:rsid w:val="1F4673C3"/>
    <w:rsid w:val="1F47645E"/>
    <w:rsid w:val="1F480C7D"/>
    <w:rsid w:val="1F480E19"/>
    <w:rsid w:val="1F486752"/>
    <w:rsid w:val="1F490A44"/>
    <w:rsid w:val="1F4924CA"/>
    <w:rsid w:val="1F493398"/>
    <w:rsid w:val="1F494278"/>
    <w:rsid w:val="1F494EAE"/>
    <w:rsid w:val="1F496F24"/>
    <w:rsid w:val="1F4974D4"/>
    <w:rsid w:val="1F4A499D"/>
    <w:rsid w:val="1F4B0664"/>
    <w:rsid w:val="1F4B3B88"/>
    <w:rsid w:val="1F4B4449"/>
    <w:rsid w:val="1F4B6242"/>
    <w:rsid w:val="1F4B7CA4"/>
    <w:rsid w:val="1F4B7E0A"/>
    <w:rsid w:val="1F4B7FF0"/>
    <w:rsid w:val="1F4C1F16"/>
    <w:rsid w:val="1F4C5B16"/>
    <w:rsid w:val="1F4D3D68"/>
    <w:rsid w:val="1F4E6664"/>
    <w:rsid w:val="1F4F01CD"/>
    <w:rsid w:val="1F4F2BFE"/>
    <w:rsid w:val="1F501AAA"/>
    <w:rsid w:val="1F502BD7"/>
    <w:rsid w:val="1F503858"/>
    <w:rsid w:val="1F506B18"/>
    <w:rsid w:val="1F51312D"/>
    <w:rsid w:val="1F52137F"/>
    <w:rsid w:val="1F525822"/>
    <w:rsid w:val="1F525966"/>
    <w:rsid w:val="1F5275D0"/>
    <w:rsid w:val="1F533349"/>
    <w:rsid w:val="1F5350F7"/>
    <w:rsid w:val="1F535203"/>
    <w:rsid w:val="1F53540C"/>
    <w:rsid w:val="1F535469"/>
    <w:rsid w:val="1F5369E2"/>
    <w:rsid w:val="1F536E64"/>
    <w:rsid w:val="1F5419C7"/>
    <w:rsid w:val="1F542C16"/>
    <w:rsid w:val="1F544598"/>
    <w:rsid w:val="1F544D5E"/>
    <w:rsid w:val="1F545C67"/>
    <w:rsid w:val="1F550E6F"/>
    <w:rsid w:val="1F552C1D"/>
    <w:rsid w:val="1F552FB5"/>
    <w:rsid w:val="1F555A28"/>
    <w:rsid w:val="1F557ED8"/>
    <w:rsid w:val="1F564C84"/>
    <w:rsid w:val="1F5705BE"/>
    <w:rsid w:val="1F57306A"/>
    <w:rsid w:val="1F57365B"/>
    <w:rsid w:val="1F574A3B"/>
    <w:rsid w:val="1F574BE7"/>
    <w:rsid w:val="1F576995"/>
    <w:rsid w:val="1F57797B"/>
    <w:rsid w:val="1F580E23"/>
    <w:rsid w:val="1F58270D"/>
    <w:rsid w:val="1F5844BB"/>
    <w:rsid w:val="1F586B57"/>
    <w:rsid w:val="1F587468"/>
    <w:rsid w:val="1F5962F4"/>
    <w:rsid w:val="1F5A032C"/>
    <w:rsid w:val="1F5A2279"/>
    <w:rsid w:val="1F5A6485"/>
    <w:rsid w:val="1F5B0EC8"/>
    <w:rsid w:val="1F5B0FE6"/>
    <w:rsid w:val="1F5B20EC"/>
    <w:rsid w:val="1F5B2921"/>
    <w:rsid w:val="1F5B2B52"/>
    <w:rsid w:val="1F5C044F"/>
    <w:rsid w:val="1F5C21FD"/>
    <w:rsid w:val="1F5C3FAB"/>
    <w:rsid w:val="1F5C598D"/>
    <w:rsid w:val="1F5D10A9"/>
    <w:rsid w:val="1F5D1CC5"/>
    <w:rsid w:val="1F5D26EA"/>
    <w:rsid w:val="1F5D7D23"/>
    <w:rsid w:val="1F5E021B"/>
    <w:rsid w:val="1F5E0ABD"/>
    <w:rsid w:val="1F5E1BAA"/>
    <w:rsid w:val="1F5E41C7"/>
    <w:rsid w:val="1F5F040C"/>
    <w:rsid w:val="1F5F3A9B"/>
    <w:rsid w:val="1F5F51A1"/>
    <w:rsid w:val="1F5F57CB"/>
    <w:rsid w:val="1F5F584A"/>
    <w:rsid w:val="1F5F7B06"/>
    <w:rsid w:val="1F60350E"/>
    <w:rsid w:val="1F6045A9"/>
    <w:rsid w:val="1F604F12"/>
    <w:rsid w:val="1F607F6A"/>
    <w:rsid w:val="1F61136F"/>
    <w:rsid w:val="1F614B2C"/>
    <w:rsid w:val="1F614D81"/>
    <w:rsid w:val="1F617814"/>
    <w:rsid w:val="1F6317DE"/>
    <w:rsid w:val="1F63358C"/>
    <w:rsid w:val="1F636FD9"/>
    <w:rsid w:val="1F6410B2"/>
    <w:rsid w:val="1F6418E1"/>
    <w:rsid w:val="1F642E60"/>
    <w:rsid w:val="1F645556"/>
    <w:rsid w:val="1F647EA6"/>
    <w:rsid w:val="1F650723"/>
    <w:rsid w:val="1F6533E1"/>
    <w:rsid w:val="1F653CB7"/>
    <w:rsid w:val="1F654BCC"/>
    <w:rsid w:val="1F6558AA"/>
    <w:rsid w:val="1F6571D6"/>
    <w:rsid w:val="1F66113B"/>
    <w:rsid w:val="1F66526C"/>
    <w:rsid w:val="1F666BD8"/>
    <w:rsid w:val="1F667E66"/>
    <w:rsid w:val="1F671DCA"/>
    <w:rsid w:val="1F672950"/>
    <w:rsid w:val="1F674B69"/>
    <w:rsid w:val="1F6770CF"/>
    <w:rsid w:val="1F6812CD"/>
    <w:rsid w:val="1F6855DD"/>
    <w:rsid w:val="1F686BB9"/>
    <w:rsid w:val="1F69164E"/>
    <w:rsid w:val="1F691A7C"/>
    <w:rsid w:val="1F691D3E"/>
    <w:rsid w:val="1F69275D"/>
    <w:rsid w:val="1F6934E8"/>
    <w:rsid w:val="1F6942CD"/>
    <w:rsid w:val="1F69491A"/>
    <w:rsid w:val="1F69532E"/>
    <w:rsid w:val="1F6966C8"/>
    <w:rsid w:val="1F6A2B6C"/>
    <w:rsid w:val="1F6A3346"/>
    <w:rsid w:val="1F6A6BB7"/>
    <w:rsid w:val="1F6A6BC8"/>
    <w:rsid w:val="1F6A7834"/>
    <w:rsid w:val="1F6B17E8"/>
    <w:rsid w:val="1F6B41EE"/>
    <w:rsid w:val="1F6C0430"/>
    <w:rsid w:val="1F6C10DE"/>
    <w:rsid w:val="1F6C324E"/>
    <w:rsid w:val="1F6C5B6D"/>
    <w:rsid w:val="1F6C7C66"/>
    <w:rsid w:val="1F6D440A"/>
    <w:rsid w:val="1F6D4710"/>
    <w:rsid w:val="1F6D48AA"/>
    <w:rsid w:val="1F6D5806"/>
    <w:rsid w:val="1F6D75C9"/>
    <w:rsid w:val="1F6D7F66"/>
    <w:rsid w:val="1F6E1C82"/>
    <w:rsid w:val="1F6E5DBE"/>
    <w:rsid w:val="1F6E6131"/>
    <w:rsid w:val="1F6E6D7E"/>
    <w:rsid w:val="1F6F0182"/>
    <w:rsid w:val="1F6F11A0"/>
    <w:rsid w:val="1F6F2B15"/>
    <w:rsid w:val="1F6F5D59"/>
    <w:rsid w:val="1F6F65CF"/>
    <w:rsid w:val="1F6F6C53"/>
    <w:rsid w:val="1F701563"/>
    <w:rsid w:val="1F701A34"/>
    <w:rsid w:val="1F702630"/>
    <w:rsid w:val="1F70532E"/>
    <w:rsid w:val="1F705CA9"/>
    <w:rsid w:val="1F707A57"/>
    <w:rsid w:val="1F707A5F"/>
    <w:rsid w:val="1F710084"/>
    <w:rsid w:val="1F710720"/>
    <w:rsid w:val="1F713C61"/>
    <w:rsid w:val="1F714E58"/>
    <w:rsid w:val="1F7172BF"/>
    <w:rsid w:val="1F721A21"/>
    <w:rsid w:val="1F72557D"/>
    <w:rsid w:val="1F7268A6"/>
    <w:rsid w:val="1F7268FE"/>
    <w:rsid w:val="1F730160"/>
    <w:rsid w:val="1F73263A"/>
    <w:rsid w:val="1F734EC5"/>
    <w:rsid w:val="1F737641"/>
    <w:rsid w:val="1F737B21"/>
    <w:rsid w:val="1F742AB8"/>
    <w:rsid w:val="1F745799"/>
    <w:rsid w:val="1F745B8D"/>
    <w:rsid w:val="1F7475C1"/>
    <w:rsid w:val="1F752D50"/>
    <w:rsid w:val="1F7532BF"/>
    <w:rsid w:val="1F75506D"/>
    <w:rsid w:val="1F755E3A"/>
    <w:rsid w:val="1F760527"/>
    <w:rsid w:val="1F760AF5"/>
    <w:rsid w:val="1F760C80"/>
    <w:rsid w:val="1F761D58"/>
    <w:rsid w:val="1F7703A6"/>
    <w:rsid w:val="1F771259"/>
    <w:rsid w:val="1F772C17"/>
    <w:rsid w:val="1F774A96"/>
    <w:rsid w:val="1F774FF5"/>
    <w:rsid w:val="1F775289"/>
    <w:rsid w:val="1F784512"/>
    <w:rsid w:val="1F7852B2"/>
    <w:rsid w:val="1F785E8F"/>
    <w:rsid w:val="1F7866D1"/>
    <w:rsid w:val="1F78690B"/>
    <w:rsid w:val="1F7903C7"/>
    <w:rsid w:val="1F790E37"/>
    <w:rsid w:val="1F792DAF"/>
    <w:rsid w:val="1F794E23"/>
    <w:rsid w:val="1F7979CE"/>
    <w:rsid w:val="1F7A0011"/>
    <w:rsid w:val="1F7A130D"/>
    <w:rsid w:val="1F7A6206"/>
    <w:rsid w:val="1F7A62B3"/>
    <w:rsid w:val="1F7A7302"/>
    <w:rsid w:val="1F7B582E"/>
    <w:rsid w:val="1F7B649C"/>
    <w:rsid w:val="1F7C053A"/>
    <w:rsid w:val="1F7C24F3"/>
    <w:rsid w:val="1F7C289F"/>
    <w:rsid w:val="1F7C58B7"/>
    <w:rsid w:val="1F7C63FB"/>
    <w:rsid w:val="1F7D1035"/>
    <w:rsid w:val="1F7D1B73"/>
    <w:rsid w:val="1F7D5AF3"/>
    <w:rsid w:val="1F7E0143"/>
    <w:rsid w:val="1F7E10F0"/>
    <w:rsid w:val="1F7E187F"/>
    <w:rsid w:val="1F7E2174"/>
    <w:rsid w:val="1F7E4C34"/>
    <w:rsid w:val="1F7E5C0A"/>
    <w:rsid w:val="1F7E6617"/>
    <w:rsid w:val="1F7F413E"/>
    <w:rsid w:val="1F7F50A7"/>
    <w:rsid w:val="1F7F5EEC"/>
    <w:rsid w:val="1F800BDB"/>
    <w:rsid w:val="1F80202B"/>
    <w:rsid w:val="1F802415"/>
    <w:rsid w:val="1F806F2E"/>
    <w:rsid w:val="1F810825"/>
    <w:rsid w:val="1F811C64"/>
    <w:rsid w:val="1F813A12"/>
    <w:rsid w:val="1F815860"/>
    <w:rsid w:val="1F817EB6"/>
    <w:rsid w:val="1F824A45"/>
    <w:rsid w:val="1F8272A1"/>
    <w:rsid w:val="1F831DB6"/>
    <w:rsid w:val="1F832B7A"/>
    <w:rsid w:val="1F833365"/>
    <w:rsid w:val="1F833C2E"/>
    <w:rsid w:val="1F8359DC"/>
    <w:rsid w:val="1F835ED5"/>
    <w:rsid w:val="1F837486"/>
    <w:rsid w:val="1F83778A"/>
    <w:rsid w:val="1F841754"/>
    <w:rsid w:val="1F841AAF"/>
    <w:rsid w:val="1F841F36"/>
    <w:rsid w:val="1F843502"/>
    <w:rsid w:val="1F855E39"/>
    <w:rsid w:val="1F861028"/>
    <w:rsid w:val="1F861419"/>
    <w:rsid w:val="1F864856"/>
    <w:rsid w:val="1F865520"/>
    <w:rsid w:val="1F86727A"/>
    <w:rsid w:val="1F870421"/>
    <w:rsid w:val="1F871135"/>
    <w:rsid w:val="1F8756D4"/>
    <w:rsid w:val="1F875B17"/>
    <w:rsid w:val="1F877427"/>
    <w:rsid w:val="1F8808B7"/>
    <w:rsid w:val="1F881244"/>
    <w:rsid w:val="1F8812E2"/>
    <w:rsid w:val="1F882FF2"/>
    <w:rsid w:val="1F884DA0"/>
    <w:rsid w:val="1F887176"/>
    <w:rsid w:val="1F8907AA"/>
    <w:rsid w:val="1F890B18"/>
    <w:rsid w:val="1F8910D9"/>
    <w:rsid w:val="1F891175"/>
    <w:rsid w:val="1F893A9E"/>
    <w:rsid w:val="1F8A011A"/>
    <w:rsid w:val="1F8A2785"/>
    <w:rsid w:val="1F8A31D7"/>
    <w:rsid w:val="1F8A5DA8"/>
    <w:rsid w:val="1F8A6258"/>
    <w:rsid w:val="1F8A6EF6"/>
    <w:rsid w:val="1F8B2AE2"/>
    <w:rsid w:val="1F8B663F"/>
    <w:rsid w:val="1F8C06C8"/>
    <w:rsid w:val="1F8C0E9F"/>
    <w:rsid w:val="1F8C47D3"/>
    <w:rsid w:val="1F8C5F17"/>
    <w:rsid w:val="1F8D21E7"/>
    <w:rsid w:val="1F8D23B7"/>
    <w:rsid w:val="1F8D685B"/>
    <w:rsid w:val="1F8D6F22"/>
    <w:rsid w:val="1F8D7539"/>
    <w:rsid w:val="1F8E2073"/>
    <w:rsid w:val="1F8E5B0E"/>
    <w:rsid w:val="1F8E5BB9"/>
    <w:rsid w:val="1F8E612F"/>
    <w:rsid w:val="1F8F0AAA"/>
    <w:rsid w:val="1F8F20AC"/>
    <w:rsid w:val="1F8F25D3"/>
    <w:rsid w:val="1F8F2C67"/>
    <w:rsid w:val="1F8F4381"/>
    <w:rsid w:val="1F8F4478"/>
    <w:rsid w:val="1F9000F9"/>
    <w:rsid w:val="1F900CB7"/>
    <w:rsid w:val="1F902576"/>
    <w:rsid w:val="1F90593B"/>
    <w:rsid w:val="1F90634B"/>
    <w:rsid w:val="1F9108A4"/>
    <w:rsid w:val="1F911197"/>
    <w:rsid w:val="1F912CC7"/>
    <w:rsid w:val="1F914841"/>
    <w:rsid w:val="1F91749D"/>
    <w:rsid w:val="1F9210DE"/>
    <w:rsid w:val="1F922DF9"/>
    <w:rsid w:val="1F923E71"/>
    <w:rsid w:val="1F925C1F"/>
    <w:rsid w:val="1F9279CD"/>
    <w:rsid w:val="1F9346C9"/>
    <w:rsid w:val="1F9408EB"/>
    <w:rsid w:val="1F9419F9"/>
    <w:rsid w:val="1F9457DA"/>
    <w:rsid w:val="1F947BE9"/>
    <w:rsid w:val="1F951569"/>
    <w:rsid w:val="1F95262E"/>
    <w:rsid w:val="1F953961"/>
    <w:rsid w:val="1F953CB2"/>
    <w:rsid w:val="1F956F84"/>
    <w:rsid w:val="1F963471"/>
    <w:rsid w:val="1F9644C4"/>
    <w:rsid w:val="1F96627F"/>
    <w:rsid w:val="1F971459"/>
    <w:rsid w:val="1F973235"/>
    <w:rsid w:val="1F9737FC"/>
    <w:rsid w:val="1F97687F"/>
    <w:rsid w:val="1F98086A"/>
    <w:rsid w:val="1F982D6E"/>
    <w:rsid w:val="1F990A78"/>
    <w:rsid w:val="1F99183C"/>
    <w:rsid w:val="1F9951FF"/>
    <w:rsid w:val="1F996FAD"/>
    <w:rsid w:val="1F997B9D"/>
    <w:rsid w:val="1F9A0F77"/>
    <w:rsid w:val="1F9A4AD4"/>
    <w:rsid w:val="1F9A5BCD"/>
    <w:rsid w:val="1F9A5FFD"/>
    <w:rsid w:val="1F9A68A7"/>
    <w:rsid w:val="1F9A698C"/>
    <w:rsid w:val="1F9B2FCE"/>
    <w:rsid w:val="1F9B480F"/>
    <w:rsid w:val="1F9B58C6"/>
    <w:rsid w:val="1F9B6865"/>
    <w:rsid w:val="1F9B7D16"/>
    <w:rsid w:val="1F9C1D8C"/>
    <w:rsid w:val="1F9C454F"/>
    <w:rsid w:val="1F9C6A9E"/>
    <w:rsid w:val="1F9D2224"/>
    <w:rsid w:val="1F9D3BAD"/>
    <w:rsid w:val="1F9D59BC"/>
    <w:rsid w:val="1F9D6372"/>
    <w:rsid w:val="1F9D78D4"/>
    <w:rsid w:val="1F9E2ADD"/>
    <w:rsid w:val="1F9E3A00"/>
    <w:rsid w:val="1F9E4EBD"/>
    <w:rsid w:val="1F9E56AE"/>
    <w:rsid w:val="1F9E6C03"/>
    <w:rsid w:val="1F9F03A6"/>
    <w:rsid w:val="1F9F0960"/>
    <w:rsid w:val="1F9F20EA"/>
    <w:rsid w:val="1F9F6BB3"/>
    <w:rsid w:val="1FA06919"/>
    <w:rsid w:val="1FA101AD"/>
    <w:rsid w:val="1FA140B4"/>
    <w:rsid w:val="1FA1410A"/>
    <w:rsid w:val="1FA200CF"/>
    <w:rsid w:val="1FA21F09"/>
    <w:rsid w:val="1FA2402F"/>
    <w:rsid w:val="1FA241D8"/>
    <w:rsid w:val="1FA25735"/>
    <w:rsid w:val="1FA266E6"/>
    <w:rsid w:val="1FA2679A"/>
    <w:rsid w:val="1FA268B0"/>
    <w:rsid w:val="1FA27110"/>
    <w:rsid w:val="1FA31BDA"/>
    <w:rsid w:val="1FA32E07"/>
    <w:rsid w:val="1FA354BF"/>
    <w:rsid w:val="1FA35DAE"/>
    <w:rsid w:val="1FA3607E"/>
    <w:rsid w:val="1FA37C27"/>
    <w:rsid w:val="1FA37E2C"/>
    <w:rsid w:val="1FA40FB3"/>
    <w:rsid w:val="1FA45036"/>
    <w:rsid w:val="1FA46B72"/>
    <w:rsid w:val="1FA53B38"/>
    <w:rsid w:val="1FA53BA4"/>
    <w:rsid w:val="1FA616CA"/>
    <w:rsid w:val="1FA63478"/>
    <w:rsid w:val="1FA63E40"/>
    <w:rsid w:val="1FA656A9"/>
    <w:rsid w:val="1FA6791C"/>
    <w:rsid w:val="1FA70C09"/>
    <w:rsid w:val="1FA75F35"/>
    <w:rsid w:val="1FA83694"/>
    <w:rsid w:val="1FA84923"/>
    <w:rsid w:val="1FA86D5D"/>
    <w:rsid w:val="1FA91331"/>
    <w:rsid w:val="1FA91DBF"/>
    <w:rsid w:val="1FA92C51"/>
    <w:rsid w:val="1FA92F69"/>
    <w:rsid w:val="1FA94D17"/>
    <w:rsid w:val="1FA95170"/>
    <w:rsid w:val="1FA97BF0"/>
    <w:rsid w:val="1FAA11BB"/>
    <w:rsid w:val="1FAB0168"/>
    <w:rsid w:val="1FAB0A8F"/>
    <w:rsid w:val="1FAB3324"/>
    <w:rsid w:val="1FAB4F33"/>
    <w:rsid w:val="1FAB6CE1"/>
    <w:rsid w:val="1FAC50EE"/>
    <w:rsid w:val="1FAD0CAB"/>
    <w:rsid w:val="1FAD2A59"/>
    <w:rsid w:val="1FAD4807"/>
    <w:rsid w:val="1FAE057F"/>
    <w:rsid w:val="1FAE0AB8"/>
    <w:rsid w:val="1FAE194A"/>
    <w:rsid w:val="1FAE2F52"/>
    <w:rsid w:val="1FAF086C"/>
    <w:rsid w:val="1FB009F6"/>
    <w:rsid w:val="1FB01713"/>
    <w:rsid w:val="1FB02549"/>
    <w:rsid w:val="1FB060A5"/>
    <w:rsid w:val="1FB065D6"/>
    <w:rsid w:val="1FB12584"/>
    <w:rsid w:val="1FB14406"/>
    <w:rsid w:val="1FB14AE0"/>
    <w:rsid w:val="1FB16382"/>
    <w:rsid w:val="1FB24089"/>
    <w:rsid w:val="1FB24170"/>
    <w:rsid w:val="1FB2497F"/>
    <w:rsid w:val="1FB262C1"/>
    <w:rsid w:val="1FB307A9"/>
    <w:rsid w:val="1FB314C5"/>
    <w:rsid w:val="1FB33BFC"/>
    <w:rsid w:val="1FB355EB"/>
    <w:rsid w:val="1FB4044E"/>
    <w:rsid w:val="1FB43DE7"/>
    <w:rsid w:val="1FB45B95"/>
    <w:rsid w:val="1FB472DD"/>
    <w:rsid w:val="1FB4746B"/>
    <w:rsid w:val="1FB515CE"/>
    <w:rsid w:val="1FB5190D"/>
    <w:rsid w:val="1FB5494E"/>
    <w:rsid w:val="1FB63085"/>
    <w:rsid w:val="1FB65CB4"/>
    <w:rsid w:val="1FB65DB1"/>
    <w:rsid w:val="1FB6702C"/>
    <w:rsid w:val="1FB738D7"/>
    <w:rsid w:val="1FB82A1C"/>
    <w:rsid w:val="1FB84467"/>
    <w:rsid w:val="1FB8779D"/>
    <w:rsid w:val="1FB913FE"/>
    <w:rsid w:val="1FB92A1E"/>
    <w:rsid w:val="1FB92E51"/>
    <w:rsid w:val="1FB931AC"/>
    <w:rsid w:val="1FB93BA1"/>
    <w:rsid w:val="1FB94BB3"/>
    <w:rsid w:val="1FB97650"/>
    <w:rsid w:val="1FBA1788"/>
    <w:rsid w:val="1FBA2633"/>
    <w:rsid w:val="1FBA2C50"/>
    <w:rsid w:val="1FBA4D16"/>
    <w:rsid w:val="1FBA6F24"/>
    <w:rsid w:val="1FBA7376"/>
    <w:rsid w:val="1FBA7468"/>
    <w:rsid w:val="1FBB2005"/>
    <w:rsid w:val="1FBB33C8"/>
    <w:rsid w:val="1FBB735E"/>
    <w:rsid w:val="1FBC0EEE"/>
    <w:rsid w:val="1FBC2C9C"/>
    <w:rsid w:val="1FBC679F"/>
    <w:rsid w:val="1FBC7140"/>
    <w:rsid w:val="1FBD01C9"/>
    <w:rsid w:val="1FBD04AD"/>
    <w:rsid w:val="1FBD2AE1"/>
    <w:rsid w:val="1FBE0362"/>
    <w:rsid w:val="1FBE0520"/>
    <w:rsid w:val="1FBE07C2"/>
    <w:rsid w:val="1FBE0EB9"/>
    <w:rsid w:val="1FBF1799"/>
    <w:rsid w:val="1FBF278C"/>
    <w:rsid w:val="1FBF53E5"/>
    <w:rsid w:val="1FC009DE"/>
    <w:rsid w:val="1FC04406"/>
    <w:rsid w:val="1FC07058"/>
    <w:rsid w:val="1FC07174"/>
    <w:rsid w:val="1FC13FCC"/>
    <w:rsid w:val="1FC14756"/>
    <w:rsid w:val="1FC16504"/>
    <w:rsid w:val="1FC16625"/>
    <w:rsid w:val="1FC17FF0"/>
    <w:rsid w:val="1FC20797"/>
    <w:rsid w:val="1FC20AC5"/>
    <w:rsid w:val="1FC2512A"/>
    <w:rsid w:val="1FC305FA"/>
    <w:rsid w:val="1FC3227C"/>
    <w:rsid w:val="1FC3285E"/>
    <w:rsid w:val="1FC330D1"/>
    <w:rsid w:val="1FC3402A"/>
    <w:rsid w:val="1FC3612D"/>
    <w:rsid w:val="1FC41228"/>
    <w:rsid w:val="1FC43AF8"/>
    <w:rsid w:val="1FC5245F"/>
    <w:rsid w:val="1FC55429"/>
    <w:rsid w:val="1FC55FF4"/>
    <w:rsid w:val="1FC61D6D"/>
    <w:rsid w:val="1FC625AC"/>
    <w:rsid w:val="1FC63B1B"/>
    <w:rsid w:val="1FC64832"/>
    <w:rsid w:val="1FC658C9"/>
    <w:rsid w:val="1FC66FF8"/>
    <w:rsid w:val="1FC711EB"/>
    <w:rsid w:val="1FC73564"/>
    <w:rsid w:val="1FC81641"/>
    <w:rsid w:val="1FC83C38"/>
    <w:rsid w:val="1FC85D4A"/>
    <w:rsid w:val="1FC86774"/>
    <w:rsid w:val="1FC8772B"/>
    <w:rsid w:val="1FC877BC"/>
    <w:rsid w:val="1FC87893"/>
    <w:rsid w:val="1FC87ED7"/>
    <w:rsid w:val="1FC95E86"/>
    <w:rsid w:val="1FC97C59"/>
    <w:rsid w:val="1FCA53B9"/>
    <w:rsid w:val="1FCB0339"/>
    <w:rsid w:val="1FCB1AFA"/>
    <w:rsid w:val="1FCC0CA8"/>
    <w:rsid w:val="1FCD0253"/>
    <w:rsid w:val="1FCD2534"/>
    <w:rsid w:val="1FCD4EA9"/>
    <w:rsid w:val="1FCD6C57"/>
    <w:rsid w:val="1FCE047B"/>
    <w:rsid w:val="1FCE3F40"/>
    <w:rsid w:val="1FCE4E28"/>
    <w:rsid w:val="1FCE4E64"/>
    <w:rsid w:val="1FCF0C21"/>
    <w:rsid w:val="1FCF190A"/>
    <w:rsid w:val="1FCF6E73"/>
    <w:rsid w:val="1FD0206D"/>
    <w:rsid w:val="1FD02D9A"/>
    <w:rsid w:val="1FD04CB6"/>
    <w:rsid w:val="1FD11295"/>
    <w:rsid w:val="1FD128B5"/>
    <w:rsid w:val="1FD20711"/>
    <w:rsid w:val="1FD2088D"/>
    <w:rsid w:val="1FD21337"/>
    <w:rsid w:val="1FD224BF"/>
    <w:rsid w:val="1FD22DA6"/>
    <w:rsid w:val="1FD24C17"/>
    <w:rsid w:val="1FD304EA"/>
    <w:rsid w:val="1FD32E5C"/>
    <w:rsid w:val="1FD34EF8"/>
    <w:rsid w:val="1FD376EE"/>
    <w:rsid w:val="1FD4432A"/>
    <w:rsid w:val="1FD44489"/>
    <w:rsid w:val="1FD47FE6"/>
    <w:rsid w:val="1FD52A57"/>
    <w:rsid w:val="1FD53D5E"/>
    <w:rsid w:val="1FD55B0C"/>
    <w:rsid w:val="1FD60202"/>
    <w:rsid w:val="1FD65821"/>
    <w:rsid w:val="1FD65FB9"/>
    <w:rsid w:val="1FD670FE"/>
    <w:rsid w:val="1FD71884"/>
    <w:rsid w:val="1FD765EA"/>
    <w:rsid w:val="1FD77227"/>
    <w:rsid w:val="1FD7722E"/>
    <w:rsid w:val="1FD77AD6"/>
    <w:rsid w:val="1FD82181"/>
    <w:rsid w:val="1FD82FD4"/>
    <w:rsid w:val="1FD840FD"/>
    <w:rsid w:val="1FD85547"/>
    <w:rsid w:val="1FD85CE5"/>
    <w:rsid w:val="1FD901A6"/>
    <w:rsid w:val="1FD916C8"/>
    <w:rsid w:val="1FD92D98"/>
    <w:rsid w:val="1FD9384E"/>
    <w:rsid w:val="1FD94EF9"/>
    <w:rsid w:val="1FD955FC"/>
    <w:rsid w:val="1FDA015E"/>
    <w:rsid w:val="1FDA125D"/>
    <w:rsid w:val="1FDA1374"/>
    <w:rsid w:val="1FDA2302"/>
    <w:rsid w:val="1FDA36F5"/>
    <w:rsid w:val="1FDB07C5"/>
    <w:rsid w:val="1FDB2A7E"/>
    <w:rsid w:val="1FDB5818"/>
    <w:rsid w:val="1FDB75C6"/>
    <w:rsid w:val="1FDC0B86"/>
    <w:rsid w:val="1FDC50EC"/>
    <w:rsid w:val="1FDC51F0"/>
    <w:rsid w:val="1FDC63AC"/>
    <w:rsid w:val="1FDC6E9A"/>
    <w:rsid w:val="1FDD202E"/>
    <w:rsid w:val="1FDD539E"/>
    <w:rsid w:val="1FDD646A"/>
    <w:rsid w:val="1FDE0E64"/>
    <w:rsid w:val="1FDE2C12"/>
    <w:rsid w:val="1FDE5BAF"/>
    <w:rsid w:val="1FDE7AF4"/>
    <w:rsid w:val="1FDF11AE"/>
    <w:rsid w:val="1FDF13FF"/>
    <w:rsid w:val="1FDF1D19"/>
    <w:rsid w:val="1FE01FA9"/>
    <w:rsid w:val="1FE029EE"/>
    <w:rsid w:val="1FE02E2E"/>
    <w:rsid w:val="1FE04422"/>
    <w:rsid w:val="1FE04BDC"/>
    <w:rsid w:val="1FE07668"/>
    <w:rsid w:val="1FE10954"/>
    <w:rsid w:val="1FE12BBF"/>
    <w:rsid w:val="1FE16BA6"/>
    <w:rsid w:val="1FE16D6D"/>
    <w:rsid w:val="1FE2222E"/>
    <w:rsid w:val="1FE2509B"/>
    <w:rsid w:val="1FE30229"/>
    <w:rsid w:val="1FE31116"/>
    <w:rsid w:val="1FE31B7F"/>
    <w:rsid w:val="1FE32A62"/>
    <w:rsid w:val="1FE346CD"/>
    <w:rsid w:val="1FE3647B"/>
    <w:rsid w:val="1FE37A38"/>
    <w:rsid w:val="1FE41913"/>
    <w:rsid w:val="1FE42F60"/>
    <w:rsid w:val="1FE44638"/>
    <w:rsid w:val="1FE458AA"/>
    <w:rsid w:val="1FE50445"/>
    <w:rsid w:val="1FE521F3"/>
    <w:rsid w:val="1FE53DF2"/>
    <w:rsid w:val="1FE56101"/>
    <w:rsid w:val="1FE6463F"/>
    <w:rsid w:val="1FE67B91"/>
    <w:rsid w:val="1FE67D19"/>
    <w:rsid w:val="1FE741BD"/>
    <w:rsid w:val="1FE74268"/>
    <w:rsid w:val="1FE76146"/>
    <w:rsid w:val="1FE761AE"/>
    <w:rsid w:val="1FE81CE3"/>
    <w:rsid w:val="1FE82203"/>
    <w:rsid w:val="1FE82C43"/>
    <w:rsid w:val="1FE83A91"/>
    <w:rsid w:val="1FE8673D"/>
    <w:rsid w:val="1FE86AF1"/>
    <w:rsid w:val="1FE8712A"/>
    <w:rsid w:val="1FE87C7E"/>
    <w:rsid w:val="1FE915E6"/>
    <w:rsid w:val="1FE9303B"/>
    <w:rsid w:val="1FE935D9"/>
    <w:rsid w:val="1FE93DB3"/>
    <w:rsid w:val="1FE97D6A"/>
    <w:rsid w:val="1FEA10E3"/>
    <w:rsid w:val="1FEA15B7"/>
    <w:rsid w:val="1FEA5A5B"/>
    <w:rsid w:val="1FEA6512"/>
    <w:rsid w:val="1FEA6AFE"/>
    <w:rsid w:val="1FEA7809"/>
    <w:rsid w:val="1FEB3581"/>
    <w:rsid w:val="1FEB467F"/>
    <w:rsid w:val="1FEB532F"/>
    <w:rsid w:val="1FEC089F"/>
    <w:rsid w:val="1FEC5709"/>
    <w:rsid w:val="1FEC5ACD"/>
    <w:rsid w:val="1FEC60FF"/>
    <w:rsid w:val="1FED10A7"/>
    <w:rsid w:val="1FED1162"/>
    <w:rsid w:val="1FED554B"/>
    <w:rsid w:val="1FED5CEA"/>
    <w:rsid w:val="1FEE0D40"/>
    <w:rsid w:val="1FEE0D85"/>
    <w:rsid w:val="1FEE2E4C"/>
    <w:rsid w:val="1FEE4E4C"/>
    <w:rsid w:val="1FEE57C2"/>
    <w:rsid w:val="1FEE64E2"/>
    <w:rsid w:val="1FEF4E1F"/>
    <w:rsid w:val="1FF014B5"/>
    <w:rsid w:val="1FF03D0D"/>
    <w:rsid w:val="1FF044EA"/>
    <w:rsid w:val="1FF07A67"/>
    <w:rsid w:val="1FF10478"/>
    <w:rsid w:val="1FF12AF4"/>
    <w:rsid w:val="1FF16DE9"/>
    <w:rsid w:val="1FF17879"/>
    <w:rsid w:val="1FF22B62"/>
    <w:rsid w:val="1FF2321C"/>
    <w:rsid w:val="1FF24910"/>
    <w:rsid w:val="1FF266BE"/>
    <w:rsid w:val="1FF36E99"/>
    <w:rsid w:val="1FF371D9"/>
    <w:rsid w:val="1FF37462"/>
    <w:rsid w:val="1FF37B37"/>
    <w:rsid w:val="1FF40688"/>
    <w:rsid w:val="1FF42436"/>
    <w:rsid w:val="1FF42C82"/>
    <w:rsid w:val="1FF438D6"/>
    <w:rsid w:val="1FF45520"/>
    <w:rsid w:val="1FF53E3D"/>
    <w:rsid w:val="1FF5619A"/>
    <w:rsid w:val="1FF561AE"/>
    <w:rsid w:val="1FF621B6"/>
    <w:rsid w:val="1FF6266B"/>
    <w:rsid w:val="1FF63874"/>
    <w:rsid w:val="1FF67686"/>
    <w:rsid w:val="1FF67A72"/>
    <w:rsid w:val="1FF70178"/>
    <w:rsid w:val="1FF7096D"/>
    <w:rsid w:val="1FF70B16"/>
    <w:rsid w:val="1FF713FA"/>
    <w:rsid w:val="1FF72257"/>
    <w:rsid w:val="1FF7319D"/>
    <w:rsid w:val="1FF73CD4"/>
    <w:rsid w:val="1FF77DA7"/>
    <w:rsid w:val="1FF8348F"/>
    <w:rsid w:val="1FF8671B"/>
    <w:rsid w:val="1FF90151"/>
    <w:rsid w:val="1FF91CE1"/>
    <w:rsid w:val="1FF937B7"/>
    <w:rsid w:val="1FF93EED"/>
    <w:rsid w:val="1FF93EF0"/>
    <w:rsid w:val="1FF96356"/>
    <w:rsid w:val="1FF97A4C"/>
    <w:rsid w:val="1FFA0BD8"/>
    <w:rsid w:val="1FFA3C28"/>
    <w:rsid w:val="1FFB21A0"/>
    <w:rsid w:val="1FFB254F"/>
    <w:rsid w:val="1FFB3B98"/>
    <w:rsid w:val="1FFB47DC"/>
    <w:rsid w:val="1FFB5FC5"/>
    <w:rsid w:val="1FFB747E"/>
    <w:rsid w:val="1FFB7497"/>
    <w:rsid w:val="1FFC075A"/>
    <w:rsid w:val="1FFC12EA"/>
    <w:rsid w:val="1FFC66AA"/>
    <w:rsid w:val="1FFC753C"/>
    <w:rsid w:val="1FFD1664"/>
    <w:rsid w:val="1FFD20DC"/>
    <w:rsid w:val="1FFD22B1"/>
    <w:rsid w:val="1FFD3488"/>
    <w:rsid w:val="1FFD4781"/>
    <w:rsid w:val="1FFD773F"/>
    <w:rsid w:val="1FFE32B4"/>
    <w:rsid w:val="1FFE428D"/>
    <w:rsid w:val="1FFE503B"/>
    <w:rsid w:val="1FFF07A5"/>
    <w:rsid w:val="1FFF2926"/>
    <w:rsid w:val="1FFF643B"/>
    <w:rsid w:val="1FFF7032"/>
    <w:rsid w:val="1FFF7CC9"/>
    <w:rsid w:val="20000DDB"/>
    <w:rsid w:val="20002A8B"/>
    <w:rsid w:val="20005729"/>
    <w:rsid w:val="20012DA5"/>
    <w:rsid w:val="20014799"/>
    <w:rsid w:val="20014B53"/>
    <w:rsid w:val="20017C67"/>
    <w:rsid w:val="20023197"/>
    <w:rsid w:val="20024CAC"/>
    <w:rsid w:val="2002736A"/>
    <w:rsid w:val="2003003A"/>
    <w:rsid w:val="200308CB"/>
    <w:rsid w:val="20032679"/>
    <w:rsid w:val="20032BB3"/>
    <w:rsid w:val="200332EF"/>
    <w:rsid w:val="200343AD"/>
    <w:rsid w:val="20036B1D"/>
    <w:rsid w:val="200415FA"/>
    <w:rsid w:val="20041C8A"/>
    <w:rsid w:val="2004354A"/>
    <w:rsid w:val="2004485B"/>
    <w:rsid w:val="20045C62"/>
    <w:rsid w:val="20054643"/>
    <w:rsid w:val="20062169"/>
    <w:rsid w:val="200653F2"/>
    <w:rsid w:val="200715F6"/>
    <w:rsid w:val="2008764B"/>
    <w:rsid w:val="2009174A"/>
    <w:rsid w:val="200A1C59"/>
    <w:rsid w:val="200A518B"/>
    <w:rsid w:val="200A7EAB"/>
    <w:rsid w:val="200B354C"/>
    <w:rsid w:val="200B3900"/>
    <w:rsid w:val="200B5782"/>
    <w:rsid w:val="200B6F8C"/>
    <w:rsid w:val="200B777F"/>
    <w:rsid w:val="200C2075"/>
    <w:rsid w:val="200C3C23"/>
    <w:rsid w:val="200D3ADE"/>
    <w:rsid w:val="200D5A75"/>
    <w:rsid w:val="200D799B"/>
    <w:rsid w:val="200E61DF"/>
    <w:rsid w:val="200E7692"/>
    <w:rsid w:val="200F101E"/>
    <w:rsid w:val="200F210B"/>
    <w:rsid w:val="200F4473"/>
    <w:rsid w:val="20102825"/>
    <w:rsid w:val="20106F09"/>
    <w:rsid w:val="20107B2E"/>
    <w:rsid w:val="2011040D"/>
    <w:rsid w:val="201105B5"/>
    <w:rsid w:val="20110669"/>
    <w:rsid w:val="20110A44"/>
    <w:rsid w:val="20110AF5"/>
    <w:rsid w:val="20112FE8"/>
    <w:rsid w:val="20114149"/>
    <w:rsid w:val="2011428E"/>
    <w:rsid w:val="201144E6"/>
    <w:rsid w:val="20114C1F"/>
    <w:rsid w:val="20115E4B"/>
    <w:rsid w:val="20116F33"/>
    <w:rsid w:val="20124FB2"/>
    <w:rsid w:val="2012697F"/>
    <w:rsid w:val="20126D60"/>
    <w:rsid w:val="201313EC"/>
    <w:rsid w:val="201352BF"/>
    <w:rsid w:val="20136BAE"/>
    <w:rsid w:val="20140D2A"/>
    <w:rsid w:val="20144886"/>
    <w:rsid w:val="20146634"/>
    <w:rsid w:val="201523AC"/>
    <w:rsid w:val="20152520"/>
    <w:rsid w:val="20154F97"/>
    <w:rsid w:val="20156565"/>
    <w:rsid w:val="201605FE"/>
    <w:rsid w:val="201617AA"/>
    <w:rsid w:val="20162D35"/>
    <w:rsid w:val="20174376"/>
    <w:rsid w:val="20174591"/>
    <w:rsid w:val="2017552F"/>
    <w:rsid w:val="20176124"/>
    <w:rsid w:val="20177A27"/>
    <w:rsid w:val="20185EBD"/>
    <w:rsid w:val="201900EE"/>
    <w:rsid w:val="20190B0B"/>
    <w:rsid w:val="20191E9C"/>
    <w:rsid w:val="20193B77"/>
    <w:rsid w:val="201946AF"/>
    <w:rsid w:val="20196340"/>
    <w:rsid w:val="201A2026"/>
    <w:rsid w:val="201A5EED"/>
    <w:rsid w:val="201B0022"/>
    <w:rsid w:val="201B0815"/>
    <w:rsid w:val="201B2128"/>
    <w:rsid w:val="201B3E66"/>
    <w:rsid w:val="201B64C7"/>
    <w:rsid w:val="201B6A02"/>
    <w:rsid w:val="201B7F11"/>
    <w:rsid w:val="201C0E68"/>
    <w:rsid w:val="201C198C"/>
    <w:rsid w:val="201C33F5"/>
    <w:rsid w:val="201C35AB"/>
    <w:rsid w:val="201C373B"/>
    <w:rsid w:val="201C693D"/>
    <w:rsid w:val="201D1551"/>
    <w:rsid w:val="201D399C"/>
    <w:rsid w:val="201D5097"/>
    <w:rsid w:val="201E09C3"/>
    <w:rsid w:val="201E0C08"/>
    <w:rsid w:val="201E342A"/>
    <w:rsid w:val="201E3957"/>
    <w:rsid w:val="201E5705"/>
    <w:rsid w:val="201F2926"/>
    <w:rsid w:val="201F5BCB"/>
    <w:rsid w:val="201F7AD0"/>
    <w:rsid w:val="2020147D"/>
    <w:rsid w:val="202017B2"/>
    <w:rsid w:val="20201ED0"/>
    <w:rsid w:val="2021020D"/>
    <w:rsid w:val="202110DB"/>
    <w:rsid w:val="20221AB5"/>
    <w:rsid w:val="2022730E"/>
    <w:rsid w:val="202303DB"/>
    <w:rsid w:val="20230F6D"/>
    <w:rsid w:val="2023354A"/>
    <w:rsid w:val="20233557"/>
    <w:rsid w:val="20235C27"/>
    <w:rsid w:val="2023650F"/>
    <w:rsid w:val="202407DD"/>
    <w:rsid w:val="20244615"/>
    <w:rsid w:val="20250841"/>
    <w:rsid w:val="20250ED4"/>
    <w:rsid w:val="20251BCD"/>
    <w:rsid w:val="202545A7"/>
    <w:rsid w:val="20254CB5"/>
    <w:rsid w:val="20257851"/>
    <w:rsid w:val="20260671"/>
    <w:rsid w:val="20260E1E"/>
    <w:rsid w:val="20261530"/>
    <w:rsid w:val="202645B9"/>
    <w:rsid w:val="20271954"/>
    <w:rsid w:val="20272561"/>
    <w:rsid w:val="2027280B"/>
    <w:rsid w:val="20277929"/>
    <w:rsid w:val="20280331"/>
    <w:rsid w:val="20281085"/>
    <w:rsid w:val="20283EB9"/>
    <w:rsid w:val="2028611E"/>
    <w:rsid w:val="20287425"/>
    <w:rsid w:val="20292515"/>
    <w:rsid w:val="20295993"/>
    <w:rsid w:val="2029725D"/>
    <w:rsid w:val="2029787C"/>
    <w:rsid w:val="202A27A4"/>
    <w:rsid w:val="202A40A9"/>
    <w:rsid w:val="202A50E6"/>
    <w:rsid w:val="202C0E96"/>
    <w:rsid w:val="202C1BA1"/>
    <w:rsid w:val="202C6073"/>
    <w:rsid w:val="202C731D"/>
    <w:rsid w:val="202C7E22"/>
    <w:rsid w:val="202D3B58"/>
    <w:rsid w:val="202D3B9A"/>
    <w:rsid w:val="202D442B"/>
    <w:rsid w:val="202D4565"/>
    <w:rsid w:val="202E5C54"/>
    <w:rsid w:val="202E5E65"/>
    <w:rsid w:val="202F16C0"/>
    <w:rsid w:val="202F1EA1"/>
    <w:rsid w:val="202F346E"/>
    <w:rsid w:val="202F577F"/>
    <w:rsid w:val="202F6861"/>
    <w:rsid w:val="202F7F21"/>
    <w:rsid w:val="20307817"/>
    <w:rsid w:val="20307B38"/>
    <w:rsid w:val="20315438"/>
    <w:rsid w:val="203177A1"/>
    <w:rsid w:val="2032169F"/>
    <w:rsid w:val="203223E5"/>
    <w:rsid w:val="2032263F"/>
    <w:rsid w:val="20324D08"/>
    <w:rsid w:val="2032683A"/>
    <w:rsid w:val="203268E7"/>
    <w:rsid w:val="20335306"/>
    <w:rsid w:val="20337402"/>
    <w:rsid w:val="20340D69"/>
    <w:rsid w:val="20341601"/>
    <w:rsid w:val="20342D16"/>
    <w:rsid w:val="20344F28"/>
    <w:rsid w:val="20346CD6"/>
    <w:rsid w:val="2034738F"/>
    <w:rsid w:val="20350FAD"/>
    <w:rsid w:val="203521F9"/>
    <w:rsid w:val="20361A1A"/>
    <w:rsid w:val="203647FC"/>
    <w:rsid w:val="20364B19"/>
    <w:rsid w:val="20365DC0"/>
    <w:rsid w:val="20366027"/>
    <w:rsid w:val="20367738"/>
    <w:rsid w:val="20367DA1"/>
    <w:rsid w:val="20370574"/>
    <w:rsid w:val="20380959"/>
    <w:rsid w:val="20380B7A"/>
    <w:rsid w:val="203849C6"/>
    <w:rsid w:val="20385E45"/>
    <w:rsid w:val="203868EF"/>
    <w:rsid w:val="203870FD"/>
    <w:rsid w:val="20387CF2"/>
    <w:rsid w:val="20390790"/>
    <w:rsid w:val="20392058"/>
    <w:rsid w:val="203945B7"/>
    <w:rsid w:val="203A7603"/>
    <w:rsid w:val="203B1E13"/>
    <w:rsid w:val="203B2B42"/>
    <w:rsid w:val="203B62B7"/>
    <w:rsid w:val="203B64EB"/>
    <w:rsid w:val="203B7621"/>
    <w:rsid w:val="203C172B"/>
    <w:rsid w:val="203C2A93"/>
    <w:rsid w:val="203C3DEC"/>
    <w:rsid w:val="203C48ED"/>
    <w:rsid w:val="203C5B8B"/>
    <w:rsid w:val="203C62B1"/>
    <w:rsid w:val="203D1190"/>
    <w:rsid w:val="203D18CD"/>
    <w:rsid w:val="203D264E"/>
    <w:rsid w:val="203D42CF"/>
    <w:rsid w:val="203D4330"/>
    <w:rsid w:val="203D583D"/>
    <w:rsid w:val="203E1903"/>
    <w:rsid w:val="203E5DA7"/>
    <w:rsid w:val="203E67A9"/>
    <w:rsid w:val="203E7B55"/>
    <w:rsid w:val="203F29C1"/>
    <w:rsid w:val="203F4E7A"/>
    <w:rsid w:val="2040048B"/>
    <w:rsid w:val="20401699"/>
    <w:rsid w:val="204038CD"/>
    <w:rsid w:val="204045AE"/>
    <w:rsid w:val="20405026"/>
    <w:rsid w:val="20405A50"/>
    <w:rsid w:val="20405B4F"/>
    <w:rsid w:val="2040766B"/>
    <w:rsid w:val="20411C2C"/>
    <w:rsid w:val="20421A6C"/>
    <w:rsid w:val="2042239B"/>
    <w:rsid w:val="2042626B"/>
    <w:rsid w:val="20427645"/>
    <w:rsid w:val="204333BD"/>
    <w:rsid w:val="20434E3D"/>
    <w:rsid w:val="2043516B"/>
    <w:rsid w:val="20435C8D"/>
    <w:rsid w:val="204411BD"/>
    <w:rsid w:val="20442152"/>
    <w:rsid w:val="20444406"/>
    <w:rsid w:val="20444968"/>
    <w:rsid w:val="20447A45"/>
    <w:rsid w:val="20452C91"/>
    <w:rsid w:val="2045424C"/>
    <w:rsid w:val="20457135"/>
    <w:rsid w:val="204607B7"/>
    <w:rsid w:val="204614B7"/>
    <w:rsid w:val="20466853"/>
    <w:rsid w:val="204768DB"/>
    <w:rsid w:val="20476A09"/>
    <w:rsid w:val="20481621"/>
    <w:rsid w:val="2048214B"/>
    <w:rsid w:val="20482782"/>
    <w:rsid w:val="2048340A"/>
    <w:rsid w:val="20484530"/>
    <w:rsid w:val="20485C9B"/>
    <w:rsid w:val="20485E60"/>
    <w:rsid w:val="20490B12"/>
    <w:rsid w:val="2049136E"/>
    <w:rsid w:val="2049139E"/>
    <w:rsid w:val="204928D8"/>
    <w:rsid w:val="204958B0"/>
    <w:rsid w:val="204A04B6"/>
    <w:rsid w:val="204A13B0"/>
    <w:rsid w:val="204A1610"/>
    <w:rsid w:val="204A2F8F"/>
    <w:rsid w:val="204A64FA"/>
    <w:rsid w:val="204B1C54"/>
    <w:rsid w:val="204C04C4"/>
    <w:rsid w:val="204C2272"/>
    <w:rsid w:val="204C4637"/>
    <w:rsid w:val="204C5DEC"/>
    <w:rsid w:val="204C64A4"/>
    <w:rsid w:val="204C7651"/>
    <w:rsid w:val="204D01CF"/>
    <w:rsid w:val="204D12CE"/>
    <w:rsid w:val="204D1B46"/>
    <w:rsid w:val="204D5FEA"/>
    <w:rsid w:val="204D721E"/>
    <w:rsid w:val="204E212C"/>
    <w:rsid w:val="204E5575"/>
    <w:rsid w:val="204F4230"/>
    <w:rsid w:val="204F58BE"/>
    <w:rsid w:val="205020C5"/>
    <w:rsid w:val="20502B55"/>
    <w:rsid w:val="205040E8"/>
    <w:rsid w:val="20506E01"/>
    <w:rsid w:val="20511636"/>
    <w:rsid w:val="20511721"/>
    <w:rsid w:val="20514080"/>
    <w:rsid w:val="20516A16"/>
    <w:rsid w:val="20521280"/>
    <w:rsid w:val="20523600"/>
    <w:rsid w:val="20523E1A"/>
    <w:rsid w:val="205250A2"/>
    <w:rsid w:val="20531924"/>
    <w:rsid w:val="20534041"/>
    <w:rsid w:val="20535782"/>
    <w:rsid w:val="20535F35"/>
    <w:rsid w:val="20536C5A"/>
    <w:rsid w:val="20537725"/>
    <w:rsid w:val="20541126"/>
    <w:rsid w:val="2054209B"/>
    <w:rsid w:val="20542ED4"/>
    <w:rsid w:val="20543104"/>
    <w:rsid w:val="2054734A"/>
    <w:rsid w:val="20547378"/>
    <w:rsid w:val="20551263"/>
    <w:rsid w:val="205512F3"/>
    <w:rsid w:val="20551AFB"/>
    <w:rsid w:val="20564103"/>
    <w:rsid w:val="20564E9E"/>
    <w:rsid w:val="20566C4C"/>
    <w:rsid w:val="2056781A"/>
    <w:rsid w:val="20571338"/>
    <w:rsid w:val="20575846"/>
    <w:rsid w:val="20575CE9"/>
    <w:rsid w:val="205802C0"/>
    <w:rsid w:val="20580C17"/>
    <w:rsid w:val="205837AA"/>
    <w:rsid w:val="20585BF6"/>
    <w:rsid w:val="205871E7"/>
    <w:rsid w:val="205904EB"/>
    <w:rsid w:val="20592AE0"/>
    <w:rsid w:val="20592BE1"/>
    <w:rsid w:val="2059498F"/>
    <w:rsid w:val="2059673D"/>
    <w:rsid w:val="20597034"/>
    <w:rsid w:val="205A2320"/>
    <w:rsid w:val="205A3181"/>
    <w:rsid w:val="205B00B4"/>
    <w:rsid w:val="205B0707"/>
    <w:rsid w:val="205B14EB"/>
    <w:rsid w:val="205B24B5"/>
    <w:rsid w:val="205B27D3"/>
    <w:rsid w:val="205B32D6"/>
    <w:rsid w:val="205B38D9"/>
    <w:rsid w:val="205B4263"/>
    <w:rsid w:val="205C076D"/>
    <w:rsid w:val="205C2220"/>
    <w:rsid w:val="205D0BAF"/>
    <w:rsid w:val="205D4A72"/>
    <w:rsid w:val="205D622D"/>
    <w:rsid w:val="205E01F7"/>
    <w:rsid w:val="205E1561"/>
    <w:rsid w:val="205E1FA5"/>
    <w:rsid w:val="205E3C92"/>
    <w:rsid w:val="205F10D6"/>
    <w:rsid w:val="205F1963"/>
    <w:rsid w:val="205F2F58"/>
    <w:rsid w:val="205F4E71"/>
    <w:rsid w:val="205F6940"/>
    <w:rsid w:val="20604C43"/>
    <w:rsid w:val="20605A68"/>
    <w:rsid w:val="2060784B"/>
    <w:rsid w:val="20607ACB"/>
    <w:rsid w:val="206155F1"/>
    <w:rsid w:val="20616645"/>
    <w:rsid w:val="20616C3D"/>
    <w:rsid w:val="20621A95"/>
    <w:rsid w:val="20623843"/>
    <w:rsid w:val="206238BF"/>
    <w:rsid w:val="20632C91"/>
    <w:rsid w:val="206330AF"/>
    <w:rsid w:val="206336EE"/>
    <w:rsid w:val="2063580D"/>
    <w:rsid w:val="20643BBB"/>
    <w:rsid w:val="20644FC6"/>
    <w:rsid w:val="20646707"/>
    <w:rsid w:val="2065141A"/>
    <w:rsid w:val="2065158E"/>
    <w:rsid w:val="20652327"/>
    <w:rsid w:val="20653333"/>
    <w:rsid w:val="20664C7C"/>
    <w:rsid w:val="20665E37"/>
    <w:rsid w:val="20665FED"/>
    <w:rsid w:val="20670BE9"/>
    <w:rsid w:val="20674349"/>
    <w:rsid w:val="20675AF9"/>
    <w:rsid w:val="206770AC"/>
    <w:rsid w:val="206826F3"/>
    <w:rsid w:val="20683FDF"/>
    <w:rsid w:val="20684AF5"/>
    <w:rsid w:val="20684BD2"/>
    <w:rsid w:val="20686980"/>
    <w:rsid w:val="206908D1"/>
    <w:rsid w:val="206A26F8"/>
    <w:rsid w:val="206C021E"/>
    <w:rsid w:val="206C09FA"/>
    <w:rsid w:val="206C0D34"/>
    <w:rsid w:val="206C46C2"/>
    <w:rsid w:val="206C6470"/>
    <w:rsid w:val="206D0B7E"/>
    <w:rsid w:val="206D7904"/>
    <w:rsid w:val="206E043A"/>
    <w:rsid w:val="206E2ADE"/>
    <w:rsid w:val="206E77F4"/>
    <w:rsid w:val="206F21A8"/>
    <w:rsid w:val="206F409E"/>
    <w:rsid w:val="206F41B2"/>
    <w:rsid w:val="206F6D92"/>
    <w:rsid w:val="206F7E4B"/>
    <w:rsid w:val="20704C7A"/>
    <w:rsid w:val="207079A5"/>
    <w:rsid w:val="20711CD8"/>
    <w:rsid w:val="207135B1"/>
    <w:rsid w:val="20713B1E"/>
    <w:rsid w:val="20715111"/>
    <w:rsid w:val="20716C9C"/>
    <w:rsid w:val="20717F2A"/>
    <w:rsid w:val="20720C33"/>
    <w:rsid w:val="207215AC"/>
    <w:rsid w:val="2072219B"/>
    <w:rsid w:val="207277FE"/>
    <w:rsid w:val="20731522"/>
    <w:rsid w:val="20731577"/>
    <w:rsid w:val="20735A50"/>
    <w:rsid w:val="207417C9"/>
    <w:rsid w:val="20742101"/>
    <w:rsid w:val="20743577"/>
    <w:rsid w:val="20744ABB"/>
    <w:rsid w:val="20745325"/>
    <w:rsid w:val="207462A2"/>
    <w:rsid w:val="2075768C"/>
    <w:rsid w:val="20757F3E"/>
    <w:rsid w:val="207639A6"/>
    <w:rsid w:val="20764010"/>
    <w:rsid w:val="2076532C"/>
    <w:rsid w:val="20765541"/>
    <w:rsid w:val="20766F35"/>
    <w:rsid w:val="207673DB"/>
    <w:rsid w:val="207719AF"/>
    <w:rsid w:val="20771A7C"/>
    <w:rsid w:val="20777E5B"/>
    <w:rsid w:val="20783067"/>
    <w:rsid w:val="207863E6"/>
    <w:rsid w:val="207873F0"/>
    <w:rsid w:val="20790B8D"/>
    <w:rsid w:val="20794DE5"/>
    <w:rsid w:val="207A1C9A"/>
    <w:rsid w:val="207A63ED"/>
    <w:rsid w:val="207A7456"/>
    <w:rsid w:val="207B5B5C"/>
    <w:rsid w:val="207B708D"/>
    <w:rsid w:val="207B759E"/>
    <w:rsid w:val="207C008B"/>
    <w:rsid w:val="207C2E70"/>
    <w:rsid w:val="207D5092"/>
    <w:rsid w:val="207D7EF6"/>
    <w:rsid w:val="207E12F9"/>
    <w:rsid w:val="207E2279"/>
    <w:rsid w:val="207E43F5"/>
    <w:rsid w:val="207F2647"/>
    <w:rsid w:val="207F4D4B"/>
    <w:rsid w:val="207F6CF3"/>
    <w:rsid w:val="207F79EB"/>
    <w:rsid w:val="20800B11"/>
    <w:rsid w:val="20801F1B"/>
    <w:rsid w:val="20805394"/>
    <w:rsid w:val="20812899"/>
    <w:rsid w:val="208165B3"/>
    <w:rsid w:val="20817BF6"/>
    <w:rsid w:val="208208B6"/>
    <w:rsid w:val="20820FA5"/>
    <w:rsid w:val="20823EE5"/>
    <w:rsid w:val="20825C93"/>
    <w:rsid w:val="208264BF"/>
    <w:rsid w:val="208270BF"/>
    <w:rsid w:val="20827A42"/>
    <w:rsid w:val="20831A0C"/>
    <w:rsid w:val="20832D87"/>
    <w:rsid w:val="208357CA"/>
    <w:rsid w:val="20835EE4"/>
    <w:rsid w:val="20843B55"/>
    <w:rsid w:val="20847C5E"/>
    <w:rsid w:val="20850E04"/>
    <w:rsid w:val="20853119"/>
    <w:rsid w:val="20855105"/>
    <w:rsid w:val="20861AA1"/>
    <w:rsid w:val="2086403B"/>
    <w:rsid w:val="208660DA"/>
    <w:rsid w:val="20866F94"/>
    <w:rsid w:val="20870D3C"/>
    <w:rsid w:val="208714FC"/>
    <w:rsid w:val="20871DA8"/>
    <w:rsid w:val="208740E9"/>
    <w:rsid w:val="20875058"/>
    <w:rsid w:val="208768D6"/>
    <w:rsid w:val="208768E3"/>
    <w:rsid w:val="20880D52"/>
    <w:rsid w:val="20880DD0"/>
    <w:rsid w:val="20887022"/>
    <w:rsid w:val="208870D4"/>
    <w:rsid w:val="208877B8"/>
    <w:rsid w:val="208941C9"/>
    <w:rsid w:val="20895274"/>
    <w:rsid w:val="20895851"/>
    <w:rsid w:val="2089589D"/>
    <w:rsid w:val="208A05B3"/>
    <w:rsid w:val="208A2D9A"/>
    <w:rsid w:val="208A6BED"/>
    <w:rsid w:val="208A7F9D"/>
    <w:rsid w:val="208B0562"/>
    <w:rsid w:val="208B21C1"/>
    <w:rsid w:val="208B4DD7"/>
    <w:rsid w:val="208B76B2"/>
    <w:rsid w:val="208C08C0"/>
    <w:rsid w:val="208C2851"/>
    <w:rsid w:val="208C361B"/>
    <w:rsid w:val="208C5330"/>
    <w:rsid w:val="208C549D"/>
    <w:rsid w:val="208C5992"/>
    <w:rsid w:val="208C5C5F"/>
    <w:rsid w:val="208C720B"/>
    <w:rsid w:val="208C731F"/>
    <w:rsid w:val="208C7D22"/>
    <w:rsid w:val="208D1B7E"/>
    <w:rsid w:val="208D254D"/>
    <w:rsid w:val="208D2CE4"/>
    <w:rsid w:val="208D5CAB"/>
    <w:rsid w:val="208D63E6"/>
    <w:rsid w:val="208E0233"/>
    <w:rsid w:val="208E10C0"/>
    <w:rsid w:val="208E3EF9"/>
    <w:rsid w:val="208E4638"/>
    <w:rsid w:val="208E5662"/>
    <w:rsid w:val="208F03B0"/>
    <w:rsid w:val="208F215E"/>
    <w:rsid w:val="208F5EAC"/>
    <w:rsid w:val="208F6602"/>
    <w:rsid w:val="20901CE0"/>
    <w:rsid w:val="20902495"/>
    <w:rsid w:val="20902B53"/>
    <w:rsid w:val="20907867"/>
    <w:rsid w:val="209103CA"/>
    <w:rsid w:val="209124FE"/>
    <w:rsid w:val="2091395F"/>
    <w:rsid w:val="20913FE3"/>
    <w:rsid w:val="20914128"/>
    <w:rsid w:val="20915ED7"/>
    <w:rsid w:val="209160CF"/>
    <w:rsid w:val="209164D3"/>
    <w:rsid w:val="20924AF0"/>
    <w:rsid w:val="2092509C"/>
    <w:rsid w:val="2093196D"/>
    <w:rsid w:val="20931C4F"/>
    <w:rsid w:val="20932C15"/>
    <w:rsid w:val="209331FC"/>
    <w:rsid w:val="20935807"/>
    <w:rsid w:val="20935DD8"/>
    <w:rsid w:val="20942964"/>
    <w:rsid w:val="209440A5"/>
    <w:rsid w:val="20950DE7"/>
    <w:rsid w:val="20956EE6"/>
    <w:rsid w:val="20962F52"/>
    <w:rsid w:val="20967991"/>
    <w:rsid w:val="20970344"/>
    <w:rsid w:val="20972905"/>
    <w:rsid w:val="20976D7D"/>
    <w:rsid w:val="20983709"/>
    <w:rsid w:val="20983EB6"/>
    <w:rsid w:val="20985F48"/>
    <w:rsid w:val="2098602B"/>
    <w:rsid w:val="20987265"/>
    <w:rsid w:val="20992C1A"/>
    <w:rsid w:val="20992FDD"/>
    <w:rsid w:val="20994D8B"/>
    <w:rsid w:val="20997903"/>
    <w:rsid w:val="209A043D"/>
    <w:rsid w:val="209A20F8"/>
    <w:rsid w:val="209B4FA7"/>
    <w:rsid w:val="209C3CC7"/>
    <w:rsid w:val="209D076A"/>
    <w:rsid w:val="209D0D1F"/>
    <w:rsid w:val="209D2ACD"/>
    <w:rsid w:val="209D7C97"/>
    <w:rsid w:val="209E05F3"/>
    <w:rsid w:val="209E23A2"/>
    <w:rsid w:val="209E42FB"/>
    <w:rsid w:val="209F07ED"/>
    <w:rsid w:val="209F4DD9"/>
    <w:rsid w:val="209F6845"/>
    <w:rsid w:val="20A02059"/>
    <w:rsid w:val="20A0436C"/>
    <w:rsid w:val="20A050F8"/>
    <w:rsid w:val="20A05219"/>
    <w:rsid w:val="20A06E49"/>
    <w:rsid w:val="20A122C4"/>
    <w:rsid w:val="20A13848"/>
    <w:rsid w:val="20A1792A"/>
    <w:rsid w:val="20A26336"/>
    <w:rsid w:val="20A30BDA"/>
    <w:rsid w:val="20A324CF"/>
    <w:rsid w:val="20A37BA0"/>
    <w:rsid w:val="20A42459"/>
    <w:rsid w:val="20A46031"/>
    <w:rsid w:val="20A51982"/>
    <w:rsid w:val="20A526F6"/>
    <w:rsid w:val="20A558A8"/>
    <w:rsid w:val="20A6241C"/>
    <w:rsid w:val="20A66EA0"/>
    <w:rsid w:val="20A73AB7"/>
    <w:rsid w:val="20A756FA"/>
    <w:rsid w:val="20A774A8"/>
    <w:rsid w:val="20A80DDA"/>
    <w:rsid w:val="20A819FA"/>
    <w:rsid w:val="20A82956"/>
    <w:rsid w:val="20A83220"/>
    <w:rsid w:val="20A94E89"/>
    <w:rsid w:val="20A976C4"/>
    <w:rsid w:val="20AA3CFF"/>
    <w:rsid w:val="20AA51EA"/>
    <w:rsid w:val="20AA62CB"/>
    <w:rsid w:val="20AA6F98"/>
    <w:rsid w:val="20AB214A"/>
    <w:rsid w:val="20AB4ADC"/>
    <w:rsid w:val="20AC07C9"/>
    <w:rsid w:val="20AC0FC7"/>
    <w:rsid w:val="20AC3262"/>
    <w:rsid w:val="20AC3352"/>
    <w:rsid w:val="20AC4ABE"/>
    <w:rsid w:val="20AC5B37"/>
    <w:rsid w:val="20AD28F4"/>
    <w:rsid w:val="20AD2E34"/>
    <w:rsid w:val="20AD4074"/>
    <w:rsid w:val="20AD57CD"/>
    <w:rsid w:val="20AD7A71"/>
    <w:rsid w:val="20AE3F4D"/>
    <w:rsid w:val="20AE4CDA"/>
    <w:rsid w:val="20AE60DC"/>
    <w:rsid w:val="20AE781D"/>
    <w:rsid w:val="20AF1DF1"/>
    <w:rsid w:val="20AF3650"/>
    <w:rsid w:val="20AF5BB2"/>
    <w:rsid w:val="20B00A53"/>
    <w:rsid w:val="20B02EBF"/>
    <w:rsid w:val="20B0372E"/>
    <w:rsid w:val="20B03B9E"/>
    <w:rsid w:val="20B04ECA"/>
    <w:rsid w:val="20B0620A"/>
    <w:rsid w:val="20B06BE5"/>
    <w:rsid w:val="20B139DE"/>
    <w:rsid w:val="20B16579"/>
    <w:rsid w:val="20B2751E"/>
    <w:rsid w:val="20B35E4D"/>
    <w:rsid w:val="20B37A89"/>
    <w:rsid w:val="20B41BC5"/>
    <w:rsid w:val="20B42736"/>
    <w:rsid w:val="20B43080"/>
    <w:rsid w:val="20B5385F"/>
    <w:rsid w:val="20B56020"/>
    <w:rsid w:val="20B56069"/>
    <w:rsid w:val="20B64B32"/>
    <w:rsid w:val="20B6593D"/>
    <w:rsid w:val="20B73965"/>
    <w:rsid w:val="20B7430D"/>
    <w:rsid w:val="20B7610E"/>
    <w:rsid w:val="20B76BA5"/>
    <w:rsid w:val="20B77518"/>
    <w:rsid w:val="20B7774D"/>
    <w:rsid w:val="20B8205A"/>
    <w:rsid w:val="20B822E0"/>
    <w:rsid w:val="20B83463"/>
    <w:rsid w:val="20B834A0"/>
    <w:rsid w:val="20B847F3"/>
    <w:rsid w:val="20B97FDA"/>
    <w:rsid w:val="20BA411E"/>
    <w:rsid w:val="20BA4F8F"/>
    <w:rsid w:val="20BA6C86"/>
    <w:rsid w:val="20BB6062"/>
    <w:rsid w:val="20BC06E0"/>
    <w:rsid w:val="20BC398C"/>
    <w:rsid w:val="20BC6EFA"/>
    <w:rsid w:val="20BD01C8"/>
    <w:rsid w:val="20BD1A8F"/>
    <w:rsid w:val="20BD2855"/>
    <w:rsid w:val="20BD3818"/>
    <w:rsid w:val="20BD4225"/>
    <w:rsid w:val="20BD4DE1"/>
    <w:rsid w:val="20BD4F1E"/>
    <w:rsid w:val="20BD5965"/>
    <w:rsid w:val="20BE06F1"/>
    <w:rsid w:val="20BE3188"/>
    <w:rsid w:val="20BE31E0"/>
    <w:rsid w:val="20BE6584"/>
    <w:rsid w:val="20BF02D3"/>
    <w:rsid w:val="20BF0C96"/>
    <w:rsid w:val="20BF23A9"/>
    <w:rsid w:val="20BF2B1B"/>
    <w:rsid w:val="20BF576E"/>
    <w:rsid w:val="20BF7061"/>
    <w:rsid w:val="20C004F1"/>
    <w:rsid w:val="20C017BC"/>
    <w:rsid w:val="20C01F75"/>
    <w:rsid w:val="20C04A0E"/>
    <w:rsid w:val="20C067BC"/>
    <w:rsid w:val="20C10A68"/>
    <w:rsid w:val="20C11D35"/>
    <w:rsid w:val="20C13B51"/>
    <w:rsid w:val="20C200FF"/>
    <w:rsid w:val="20C20786"/>
    <w:rsid w:val="20C216B2"/>
    <w:rsid w:val="20C21A9D"/>
    <w:rsid w:val="20C22534"/>
    <w:rsid w:val="20C24552"/>
    <w:rsid w:val="20C27123"/>
    <w:rsid w:val="20C3188D"/>
    <w:rsid w:val="20C31E08"/>
    <w:rsid w:val="20C359E2"/>
    <w:rsid w:val="20C4005A"/>
    <w:rsid w:val="20C462AC"/>
    <w:rsid w:val="20C46A7A"/>
    <w:rsid w:val="20C47594"/>
    <w:rsid w:val="20C5362C"/>
    <w:rsid w:val="20C53DD2"/>
    <w:rsid w:val="20C54D60"/>
    <w:rsid w:val="20C55B80"/>
    <w:rsid w:val="20C65AA4"/>
    <w:rsid w:val="20C76ED5"/>
    <w:rsid w:val="20C77B4A"/>
    <w:rsid w:val="20C77D7D"/>
    <w:rsid w:val="20C86C83"/>
    <w:rsid w:val="20C91B14"/>
    <w:rsid w:val="20C973D8"/>
    <w:rsid w:val="20CA13E8"/>
    <w:rsid w:val="20CA3197"/>
    <w:rsid w:val="20CA5065"/>
    <w:rsid w:val="20CA5483"/>
    <w:rsid w:val="20CA5D3E"/>
    <w:rsid w:val="20CA6F51"/>
    <w:rsid w:val="20CA735E"/>
    <w:rsid w:val="20CA763A"/>
    <w:rsid w:val="20CB5056"/>
    <w:rsid w:val="20CC0806"/>
    <w:rsid w:val="20CC24A5"/>
    <w:rsid w:val="20CC50A7"/>
    <w:rsid w:val="20CC5161"/>
    <w:rsid w:val="20CD1D0E"/>
    <w:rsid w:val="20CD5795"/>
    <w:rsid w:val="20CD63C3"/>
    <w:rsid w:val="20CD7E55"/>
    <w:rsid w:val="20CE0ED9"/>
    <w:rsid w:val="20CE2C87"/>
    <w:rsid w:val="20CE5157"/>
    <w:rsid w:val="20CF0BAF"/>
    <w:rsid w:val="20CF1CF6"/>
    <w:rsid w:val="20CF6937"/>
    <w:rsid w:val="20CF69FF"/>
    <w:rsid w:val="20D01727"/>
    <w:rsid w:val="20D01930"/>
    <w:rsid w:val="20D02892"/>
    <w:rsid w:val="20D02D37"/>
    <w:rsid w:val="20D02EA3"/>
    <w:rsid w:val="20D04ED9"/>
    <w:rsid w:val="20D109C9"/>
    <w:rsid w:val="20D12836"/>
    <w:rsid w:val="20D12FA2"/>
    <w:rsid w:val="20D143AC"/>
    <w:rsid w:val="20D15122"/>
    <w:rsid w:val="20D17E71"/>
    <w:rsid w:val="20D22DFF"/>
    <w:rsid w:val="20D26B80"/>
    <w:rsid w:val="20D27BE7"/>
    <w:rsid w:val="20D300A8"/>
    <w:rsid w:val="20D3029D"/>
    <w:rsid w:val="20D3429C"/>
    <w:rsid w:val="20D36967"/>
    <w:rsid w:val="20D44015"/>
    <w:rsid w:val="20D47DF7"/>
    <w:rsid w:val="20D51312"/>
    <w:rsid w:val="20D52267"/>
    <w:rsid w:val="20D53D74"/>
    <w:rsid w:val="20D578F2"/>
    <w:rsid w:val="20D60AC3"/>
    <w:rsid w:val="20D61B3B"/>
    <w:rsid w:val="20D620CD"/>
    <w:rsid w:val="20D6279D"/>
    <w:rsid w:val="20D63E58"/>
    <w:rsid w:val="20D647C3"/>
    <w:rsid w:val="20D65FDF"/>
    <w:rsid w:val="20D66907"/>
    <w:rsid w:val="20D67D8D"/>
    <w:rsid w:val="20D74D53"/>
    <w:rsid w:val="20D802B3"/>
    <w:rsid w:val="20D81D57"/>
    <w:rsid w:val="20D8330B"/>
    <w:rsid w:val="20D83B05"/>
    <w:rsid w:val="20D85A36"/>
    <w:rsid w:val="20D86778"/>
    <w:rsid w:val="20D910B4"/>
    <w:rsid w:val="20D9162C"/>
    <w:rsid w:val="20D927D9"/>
    <w:rsid w:val="20D94FD5"/>
    <w:rsid w:val="20D97679"/>
    <w:rsid w:val="20DA0C08"/>
    <w:rsid w:val="20DA0DBE"/>
    <w:rsid w:val="20DA2AF2"/>
    <w:rsid w:val="20DA3722"/>
    <w:rsid w:val="20DA5ACF"/>
    <w:rsid w:val="20DA5F80"/>
    <w:rsid w:val="20DA787E"/>
    <w:rsid w:val="20DB04CC"/>
    <w:rsid w:val="20DB0AD3"/>
    <w:rsid w:val="20DB2A05"/>
    <w:rsid w:val="20DB309C"/>
    <w:rsid w:val="20DB35F6"/>
    <w:rsid w:val="20DB53A4"/>
    <w:rsid w:val="20DB791C"/>
    <w:rsid w:val="20DC7E8A"/>
    <w:rsid w:val="20DD1BD2"/>
    <w:rsid w:val="20DD2ECA"/>
    <w:rsid w:val="20DD6A33"/>
    <w:rsid w:val="20DE0154"/>
    <w:rsid w:val="20DE2B63"/>
    <w:rsid w:val="20DE3E9B"/>
    <w:rsid w:val="20DE4403"/>
    <w:rsid w:val="20DE5860"/>
    <w:rsid w:val="20DF4E94"/>
    <w:rsid w:val="20DF5C2D"/>
    <w:rsid w:val="20E00C0C"/>
    <w:rsid w:val="20E00EA8"/>
    <w:rsid w:val="20E01935"/>
    <w:rsid w:val="20E03889"/>
    <w:rsid w:val="20E04747"/>
    <w:rsid w:val="20E10F6B"/>
    <w:rsid w:val="20E11736"/>
    <w:rsid w:val="20E17C42"/>
    <w:rsid w:val="20E235C3"/>
    <w:rsid w:val="20E24984"/>
    <w:rsid w:val="20E254EF"/>
    <w:rsid w:val="20E26732"/>
    <w:rsid w:val="20E305B3"/>
    <w:rsid w:val="20E424AA"/>
    <w:rsid w:val="20E42785"/>
    <w:rsid w:val="20E4384E"/>
    <w:rsid w:val="20E461FC"/>
    <w:rsid w:val="20E4631A"/>
    <w:rsid w:val="20E51AC6"/>
    <w:rsid w:val="20E56222"/>
    <w:rsid w:val="20E57FD0"/>
    <w:rsid w:val="20E61CCB"/>
    <w:rsid w:val="20E643A0"/>
    <w:rsid w:val="20E64474"/>
    <w:rsid w:val="20E65E39"/>
    <w:rsid w:val="20E701EC"/>
    <w:rsid w:val="20E7201B"/>
    <w:rsid w:val="20E723A0"/>
    <w:rsid w:val="20E73D48"/>
    <w:rsid w:val="20E74192"/>
    <w:rsid w:val="20E768B6"/>
    <w:rsid w:val="20E83BDD"/>
    <w:rsid w:val="20E85B7C"/>
    <w:rsid w:val="20E873EA"/>
    <w:rsid w:val="20E907CC"/>
    <w:rsid w:val="20E927EE"/>
    <w:rsid w:val="20E92B59"/>
    <w:rsid w:val="20EA05D8"/>
    <w:rsid w:val="20EA1A41"/>
    <w:rsid w:val="20EA2B4A"/>
    <w:rsid w:val="20EA2EAC"/>
    <w:rsid w:val="20EA3825"/>
    <w:rsid w:val="20EA55E7"/>
    <w:rsid w:val="20EA7201"/>
    <w:rsid w:val="20EA7CA2"/>
    <w:rsid w:val="20EB074C"/>
    <w:rsid w:val="20EB305C"/>
    <w:rsid w:val="20EC40FA"/>
    <w:rsid w:val="20EC5803"/>
    <w:rsid w:val="20EC604D"/>
    <w:rsid w:val="20EC6950"/>
    <w:rsid w:val="20ED01C9"/>
    <w:rsid w:val="20ED053C"/>
    <w:rsid w:val="20ED726E"/>
    <w:rsid w:val="20ED750E"/>
    <w:rsid w:val="20EE157B"/>
    <w:rsid w:val="20EE3329"/>
    <w:rsid w:val="20EE356F"/>
    <w:rsid w:val="20EE50D7"/>
    <w:rsid w:val="20EE67E5"/>
    <w:rsid w:val="20EF0E4F"/>
    <w:rsid w:val="20EF3DED"/>
    <w:rsid w:val="20F007E1"/>
    <w:rsid w:val="20F014E9"/>
    <w:rsid w:val="20F018E1"/>
    <w:rsid w:val="20F01E24"/>
    <w:rsid w:val="20F0254D"/>
    <w:rsid w:val="20F052F3"/>
    <w:rsid w:val="20F070A1"/>
    <w:rsid w:val="20F10A60"/>
    <w:rsid w:val="20F24AC1"/>
    <w:rsid w:val="20F3306B"/>
    <w:rsid w:val="20F4317E"/>
    <w:rsid w:val="20F4452D"/>
    <w:rsid w:val="20F44810"/>
    <w:rsid w:val="20F44F9A"/>
    <w:rsid w:val="20F46465"/>
    <w:rsid w:val="20F478E8"/>
    <w:rsid w:val="20F47B46"/>
    <w:rsid w:val="20F52909"/>
    <w:rsid w:val="20F52DCA"/>
    <w:rsid w:val="20F546B7"/>
    <w:rsid w:val="20F54816"/>
    <w:rsid w:val="20F54F70"/>
    <w:rsid w:val="20F57935"/>
    <w:rsid w:val="20F6042F"/>
    <w:rsid w:val="20F621DE"/>
    <w:rsid w:val="20F63F8C"/>
    <w:rsid w:val="20F65435"/>
    <w:rsid w:val="20F65D78"/>
    <w:rsid w:val="20F7076C"/>
    <w:rsid w:val="20F7591C"/>
    <w:rsid w:val="20F76B2D"/>
    <w:rsid w:val="20F841A8"/>
    <w:rsid w:val="20F8469B"/>
    <w:rsid w:val="20F96E6F"/>
    <w:rsid w:val="20F971B4"/>
    <w:rsid w:val="20FA01EA"/>
    <w:rsid w:val="20FA05A7"/>
    <w:rsid w:val="20FA319C"/>
    <w:rsid w:val="20FA3A7C"/>
    <w:rsid w:val="20FA6AC5"/>
    <w:rsid w:val="20FA7F20"/>
    <w:rsid w:val="20FB2474"/>
    <w:rsid w:val="20FB46E3"/>
    <w:rsid w:val="20FB5A46"/>
    <w:rsid w:val="20FB62EB"/>
    <w:rsid w:val="20FB753C"/>
    <w:rsid w:val="20FB77F4"/>
    <w:rsid w:val="20FC0A90"/>
    <w:rsid w:val="20FC3C98"/>
    <w:rsid w:val="20FC6FB4"/>
    <w:rsid w:val="20FD1558"/>
    <w:rsid w:val="20FD1BD4"/>
    <w:rsid w:val="20FD531A"/>
    <w:rsid w:val="20FD706E"/>
    <w:rsid w:val="20FF183D"/>
    <w:rsid w:val="20FF4D79"/>
    <w:rsid w:val="20FF4E74"/>
    <w:rsid w:val="20FF72E4"/>
    <w:rsid w:val="21002591"/>
    <w:rsid w:val="21002D98"/>
    <w:rsid w:val="2100305C"/>
    <w:rsid w:val="21004D11"/>
    <w:rsid w:val="21005CD3"/>
    <w:rsid w:val="21010555"/>
    <w:rsid w:val="21011162"/>
    <w:rsid w:val="210112AE"/>
    <w:rsid w:val="2101364D"/>
    <w:rsid w:val="21015A1C"/>
    <w:rsid w:val="21016BF9"/>
    <w:rsid w:val="21022097"/>
    <w:rsid w:val="21022930"/>
    <w:rsid w:val="21025DBD"/>
    <w:rsid w:val="21030115"/>
    <w:rsid w:val="21032E75"/>
    <w:rsid w:val="21033F1C"/>
    <w:rsid w:val="21035A46"/>
    <w:rsid w:val="21037966"/>
    <w:rsid w:val="21042B4C"/>
    <w:rsid w:val="2104733D"/>
    <w:rsid w:val="21050366"/>
    <w:rsid w:val="21050555"/>
    <w:rsid w:val="21050673"/>
    <w:rsid w:val="21050CDB"/>
    <w:rsid w:val="21050F0F"/>
    <w:rsid w:val="210527E2"/>
    <w:rsid w:val="21060E0D"/>
    <w:rsid w:val="210617F6"/>
    <w:rsid w:val="210624E5"/>
    <w:rsid w:val="21066234"/>
    <w:rsid w:val="21066B1B"/>
    <w:rsid w:val="2106795E"/>
    <w:rsid w:val="210743EB"/>
    <w:rsid w:val="21075857"/>
    <w:rsid w:val="2107657B"/>
    <w:rsid w:val="21077F18"/>
    <w:rsid w:val="210846F4"/>
    <w:rsid w:val="21085B3E"/>
    <w:rsid w:val="210931C0"/>
    <w:rsid w:val="21093CBF"/>
    <w:rsid w:val="210963AF"/>
    <w:rsid w:val="210963B5"/>
    <w:rsid w:val="210A1607"/>
    <w:rsid w:val="210A2DBD"/>
    <w:rsid w:val="210A76B5"/>
    <w:rsid w:val="210A7A37"/>
    <w:rsid w:val="210B5C89"/>
    <w:rsid w:val="210C1A01"/>
    <w:rsid w:val="210C37AF"/>
    <w:rsid w:val="210C4261"/>
    <w:rsid w:val="210C43B3"/>
    <w:rsid w:val="210C7C53"/>
    <w:rsid w:val="210D0425"/>
    <w:rsid w:val="210D0720"/>
    <w:rsid w:val="210D16C9"/>
    <w:rsid w:val="210D3335"/>
    <w:rsid w:val="210D4AE6"/>
    <w:rsid w:val="210D535A"/>
    <w:rsid w:val="210D775A"/>
    <w:rsid w:val="210E1013"/>
    <w:rsid w:val="210E39CB"/>
    <w:rsid w:val="210E5779"/>
    <w:rsid w:val="210E5B16"/>
    <w:rsid w:val="210E5BB2"/>
    <w:rsid w:val="210E7527"/>
    <w:rsid w:val="210E7F88"/>
    <w:rsid w:val="210F1418"/>
    <w:rsid w:val="210F2D22"/>
    <w:rsid w:val="210F3FE9"/>
    <w:rsid w:val="210F451A"/>
    <w:rsid w:val="210F504D"/>
    <w:rsid w:val="210F57BC"/>
    <w:rsid w:val="210F7165"/>
    <w:rsid w:val="211014F1"/>
    <w:rsid w:val="21104681"/>
    <w:rsid w:val="21105479"/>
    <w:rsid w:val="21107CB9"/>
    <w:rsid w:val="21110014"/>
    <w:rsid w:val="211104E5"/>
    <w:rsid w:val="2111270A"/>
    <w:rsid w:val="21114778"/>
    <w:rsid w:val="21116244"/>
    <w:rsid w:val="211214DA"/>
    <w:rsid w:val="211239CE"/>
    <w:rsid w:val="211239D9"/>
    <w:rsid w:val="21123D77"/>
    <w:rsid w:val="21130FE1"/>
    <w:rsid w:val="21133DFA"/>
    <w:rsid w:val="21134398"/>
    <w:rsid w:val="211428CD"/>
    <w:rsid w:val="21153CEB"/>
    <w:rsid w:val="2115462E"/>
    <w:rsid w:val="21154B92"/>
    <w:rsid w:val="21154D5A"/>
    <w:rsid w:val="21156B08"/>
    <w:rsid w:val="21157427"/>
    <w:rsid w:val="21161159"/>
    <w:rsid w:val="21161435"/>
    <w:rsid w:val="21162288"/>
    <w:rsid w:val="21162880"/>
    <w:rsid w:val="21164DB4"/>
    <w:rsid w:val="211663DC"/>
    <w:rsid w:val="211772D7"/>
    <w:rsid w:val="21177CB8"/>
    <w:rsid w:val="21177FC5"/>
    <w:rsid w:val="211803A6"/>
    <w:rsid w:val="211867DC"/>
    <w:rsid w:val="211872D1"/>
    <w:rsid w:val="21187FC9"/>
    <w:rsid w:val="21192919"/>
    <w:rsid w:val="211934C4"/>
    <w:rsid w:val="21193612"/>
    <w:rsid w:val="211A0BFC"/>
    <w:rsid w:val="211A2370"/>
    <w:rsid w:val="211A5ECC"/>
    <w:rsid w:val="211B1C44"/>
    <w:rsid w:val="211B258C"/>
    <w:rsid w:val="211B39F2"/>
    <w:rsid w:val="211B3CCD"/>
    <w:rsid w:val="211B5D9F"/>
    <w:rsid w:val="211C2557"/>
    <w:rsid w:val="211C405F"/>
    <w:rsid w:val="211C7E96"/>
    <w:rsid w:val="211D425D"/>
    <w:rsid w:val="211D59BC"/>
    <w:rsid w:val="211D776A"/>
    <w:rsid w:val="211D780A"/>
    <w:rsid w:val="211E0A42"/>
    <w:rsid w:val="211E264E"/>
    <w:rsid w:val="211E39E3"/>
    <w:rsid w:val="211E7F38"/>
    <w:rsid w:val="211F1734"/>
    <w:rsid w:val="211F34E2"/>
    <w:rsid w:val="211F46AE"/>
    <w:rsid w:val="211F6395"/>
    <w:rsid w:val="211F7986"/>
    <w:rsid w:val="21200E7B"/>
    <w:rsid w:val="21204F6E"/>
    <w:rsid w:val="21206333"/>
    <w:rsid w:val="21207DF9"/>
    <w:rsid w:val="212136FE"/>
    <w:rsid w:val="212237D1"/>
    <w:rsid w:val="21231B00"/>
    <w:rsid w:val="212338EF"/>
    <w:rsid w:val="21240AF9"/>
    <w:rsid w:val="21242A53"/>
    <w:rsid w:val="21243EA5"/>
    <w:rsid w:val="21244D7F"/>
    <w:rsid w:val="21244F9D"/>
    <w:rsid w:val="2124660D"/>
    <w:rsid w:val="21246D4B"/>
    <w:rsid w:val="212504BC"/>
    <w:rsid w:val="2125228B"/>
    <w:rsid w:val="21252AEC"/>
    <w:rsid w:val="21254871"/>
    <w:rsid w:val="21254A44"/>
    <w:rsid w:val="212576BE"/>
    <w:rsid w:val="21262AC3"/>
    <w:rsid w:val="21263921"/>
    <w:rsid w:val="212639E4"/>
    <w:rsid w:val="21264622"/>
    <w:rsid w:val="21267FCB"/>
    <w:rsid w:val="21272728"/>
    <w:rsid w:val="212743FC"/>
    <w:rsid w:val="2127683B"/>
    <w:rsid w:val="212773C8"/>
    <w:rsid w:val="21277505"/>
    <w:rsid w:val="21286EC6"/>
    <w:rsid w:val="212903F2"/>
    <w:rsid w:val="212938FF"/>
    <w:rsid w:val="2129610F"/>
    <w:rsid w:val="21297761"/>
    <w:rsid w:val="212A1E87"/>
    <w:rsid w:val="212A294C"/>
    <w:rsid w:val="212A2D0B"/>
    <w:rsid w:val="212B00D9"/>
    <w:rsid w:val="212B1086"/>
    <w:rsid w:val="212B2F69"/>
    <w:rsid w:val="212B3B96"/>
    <w:rsid w:val="212B6C35"/>
    <w:rsid w:val="212C3E51"/>
    <w:rsid w:val="212C4FB6"/>
    <w:rsid w:val="212C5BFF"/>
    <w:rsid w:val="212D10E9"/>
    <w:rsid w:val="212D1EA4"/>
    <w:rsid w:val="212D6604"/>
    <w:rsid w:val="212D76D0"/>
    <w:rsid w:val="212D7EF5"/>
    <w:rsid w:val="212E3D56"/>
    <w:rsid w:val="212E5E1B"/>
    <w:rsid w:val="212E7BC9"/>
    <w:rsid w:val="212F29E5"/>
    <w:rsid w:val="212F4734"/>
    <w:rsid w:val="212F53D8"/>
    <w:rsid w:val="21303941"/>
    <w:rsid w:val="213056EF"/>
    <w:rsid w:val="21305E6F"/>
    <w:rsid w:val="2130749E"/>
    <w:rsid w:val="21307A2D"/>
    <w:rsid w:val="21320FBF"/>
    <w:rsid w:val="21327324"/>
    <w:rsid w:val="21330186"/>
    <w:rsid w:val="21330813"/>
    <w:rsid w:val="21335D45"/>
    <w:rsid w:val="213363E6"/>
    <w:rsid w:val="21336F8E"/>
    <w:rsid w:val="21340B44"/>
    <w:rsid w:val="21341CA3"/>
    <w:rsid w:val="213425E1"/>
    <w:rsid w:val="21345A53"/>
    <w:rsid w:val="213507C8"/>
    <w:rsid w:val="21350F58"/>
    <w:rsid w:val="21352186"/>
    <w:rsid w:val="21352D06"/>
    <w:rsid w:val="21354AB4"/>
    <w:rsid w:val="213565EA"/>
    <w:rsid w:val="213571AA"/>
    <w:rsid w:val="2136222C"/>
    <w:rsid w:val="21364010"/>
    <w:rsid w:val="21364CE1"/>
    <w:rsid w:val="21366A7E"/>
    <w:rsid w:val="2136739B"/>
    <w:rsid w:val="2137170A"/>
    <w:rsid w:val="213724FE"/>
    <w:rsid w:val="213827F6"/>
    <w:rsid w:val="213913C5"/>
    <w:rsid w:val="2139432F"/>
    <w:rsid w:val="21395B15"/>
    <w:rsid w:val="213A01DA"/>
    <w:rsid w:val="213A06E6"/>
    <w:rsid w:val="213A2B72"/>
    <w:rsid w:val="213A3A01"/>
    <w:rsid w:val="213A632B"/>
    <w:rsid w:val="213A656E"/>
    <w:rsid w:val="213A6750"/>
    <w:rsid w:val="213B057F"/>
    <w:rsid w:val="213B11D6"/>
    <w:rsid w:val="213B4094"/>
    <w:rsid w:val="213B54C6"/>
    <w:rsid w:val="213B5E42"/>
    <w:rsid w:val="213C22E6"/>
    <w:rsid w:val="213C3959"/>
    <w:rsid w:val="213C45B3"/>
    <w:rsid w:val="213C57BF"/>
    <w:rsid w:val="213C5BD7"/>
    <w:rsid w:val="213D3C14"/>
    <w:rsid w:val="213D6CA7"/>
    <w:rsid w:val="213D7D09"/>
    <w:rsid w:val="213F0B64"/>
    <w:rsid w:val="213F39D7"/>
    <w:rsid w:val="213F3B84"/>
    <w:rsid w:val="213F4B2E"/>
    <w:rsid w:val="213F4FDE"/>
    <w:rsid w:val="213F5933"/>
    <w:rsid w:val="213F625B"/>
    <w:rsid w:val="21406050"/>
    <w:rsid w:val="21407E23"/>
    <w:rsid w:val="214159E8"/>
    <w:rsid w:val="21415B4F"/>
    <w:rsid w:val="214174ED"/>
    <w:rsid w:val="214178FD"/>
    <w:rsid w:val="21417F2E"/>
    <w:rsid w:val="21420D02"/>
    <w:rsid w:val="214210CB"/>
    <w:rsid w:val="21421306"/>
    <w:rsid w:val="214214D7"/>
    <w:rsid w:val="214226E0"/>
    <w:rsid w:val="2142328E"/>
    <w:rsid w:val="21423321"/>
    <w:rsid w:val="21423675"/>
    <w:rsid w:val="21425423"/>
    <w:rsid w:val="214268F9"/>
    <w:rsid w:val="21426E78"/>
    <w:rsid w:val="214271D1"/>
    <w:rsid w:val="21427F5C"/>
    <w:rsid w:val="21437AAE"/>
    <w:rsid w:val="21442F49"/>
    <w:rsid w:val="21445562"/>
    <w:rsid w:val="21445C32"/>
    <w:rsid w:val="21447225"/>
    <w:rsid w:val="21450352"/>
    <w:rsid w:val="21453B78"/>
    <w:rsid w:val="214614F1"/>
    <w:rsid w:val="21463165"/>
    <w:rsid w:val="21466CC1"/>
    <w:rsid w:val="21470119"/>
    <w:rsid w:val="21470C8B"/>
    <w:rsid w:val="21470E11"/>
    <w:rsid w:val="2147185A"/>
    <w:rsid w:val="214747E7"/>
    <w:rsid w:val="21485C22"/>
    <w:rsid w:val="21486EDD"/>
    <w:rsid w:val="21491CAA"/>
    <w:rsid w:val="214946C3"/>
    <w:rsid w:val="21494A03"/>
    <w:rsid w:val="21495609"/>
    <w:rsid w:val="214969A0"/>
    <w:rsid w:val="214A095B"/>
    <w:rsid w:val="214A641E"/>
    <w:rsid w:val="214A6A99"/>
    <w:rsid w:val="214B077B"/>
    <w:rsid w:val="214B0F2C"/>
    <w:rsid w:val="214B42D7"/>
    <w:rsid w:val="214C10A8"/>
    <w:rsid w:val="214C2AFA"/>
    <w:rsid w:val="214C3804"/>
    <w:rsid w:val="214C4A07"/>
    <w:rsid w:val="214C51AC"/>
    <w:rsid w:val="214C5241"/>
    <w:rsid w:val="214C6361"/>
    <w:rsid w:val="214D371F"/>
    <w:rsid w:val="214D44E2"/>
    <w:rsid w:val="214D44F3"/>
    <w:rsid w:val="214D6B5B"/>
    <w:rsid w:val="214E479D"/>
    <w:rsid w:val="214E541A"/>
    <w:rsid w:val="214E5B76"/>
    <w:rsid w:val="214E5D2C"/>
    <w:rsid w:val="214E7376"/>
    <w:rsid w:val="214F3A64"/>
    <w:rsid w:val="214F6E6C"/>
    <w:rsid w:val="214F7C1E"/>
    <w:rsid w:val="215018EE"/>
    <w:rsid w:val="21504266"/>
    <w:rsid w:val="21505D92"/>
    <w:rsid w:val="2151220F"/>
    <w:rsid w:val="21512A1B"/>
    <w:rsid w:val="215131E7"/>
    <w:rsid w:val="21513D9B"/>
    <w:rsid w:val="2151711E"/>
    <w:rsid w:val="215179C6"/>
    <w:rsid w:val="21517BF3"/>
    <w:rsid w:val="215202A4"/>
    <w:rsid w:val="21521B0A"/>
    <w:rsid w:val="2152200F"/>
    <w:rsid w:val="215240CB"/>
    <w:rsid w:val="2152756B"/>
    <w:rsid w:val="2152758B"/>
    <w:rsid w:val="21527E39"/>
    <w:rsid w:val="215305B6"/>
    <w:rsid w:val="21530B03"/>
    <w:rsid w:val="215313DE"/>
    <w:rsid w:val="21531CEC"/>
    <w:rsid w:val="21543FB8"/>
    <w:rsid w:val="215533A8"/>
    <w:rsid w:val="21553BAC"/>
    <w:rsid w:val="2155540B"/>
    <w:rsid w:val="21556302"/>
    <w:rsid w:val="21556F04"/>
    <w:rsid w:val="215601A0"/>
    <w:rsid w:val="2156187D"/>
    <w:rsid w:val="21562C13"/>
    <w:rsid w:val="21564BB7"/>
    <w:rsid w:val="21565271"/>
    <w:rsid w:val="21567868"/>
    <w:rsid w:val="215707F2"/>
    <w:rsid w:val="21570ECE"/>
    <w:rsid w:val="2157237E"/>
    <w:rsid w:val="21574213"/>
    <w:rsid w:val="215766DA"/>
    <w:rsid w:val="21577120"/>
    <w:rsid w:val="215803A7"/>
    <w:rsid w:val="215814F4"/>
    <w:rsid w:val="215869F4"/>
    <w:rsid w:val="215914F7"/>
    <w:rsid w:val="21592A0A"/>
    <w:rsid w:val="215A09BE"/>
    <w:rsid w:val="215A451A"/>
    <w:rsid w:val="215A4F2F"/>
    <w:rsid w:val="215B0191"/>
    <w:rsid w:val="215B0293"/>
    <w:rsid w:val="215B7099"/>
    <w:rsid w:val="215B7A1E"/>
    <w:rsid w:val="215C2FEF"/>
    <w:rsid w:val="215C3777"/>
    <w:rsid w:val="215D400B"/>
    <w:rsid w:val="215D4CF9"/>
    <w:rsid w:val="215D66BE"/>
    <w:rsid w:val="215D71AD"/>
    <w:rsid w:val="215E13EE"/>
    <w:rsid w:val="215E364A"/>
    <w:rsid w:val="215E49C8"/>
    <w:rsid w:val="215E5F88"/>
    <w:rsid w:val="215E7336"/>
    <w:rsid w:val="215F4227"/>
    <w:rsid w:val="215F5FD5"/>
    <w:rsid w:val="216010AC"/>
    <w:rsid w:val="21603336"/>
    <w:rsid w:val="2160334C"/>
    <w:rsid w:val="21604585"/>
    <w:rsid w:val="216059BC"/>
    <w:rsid w:val="21611D4D"/>
    <w:rsid w:val="2161377A"/>
    <w:rsid w:val="21613890"/>
    <w:rsid w:val="21614FED"/>
    <w:rsid w:val="21617F9F"/>
    <w:rsid w:val="21621621"/>
    <w:rsid w:val="21624D20"/>
    <w:rsid w:val="21627873"/>
    <w:rsid w:val="21631CA4"/>
    <w:rsid w:val="2163365F"/>
    <w:rsid w:val="21634034"/>
    <w:rsid w:val="21635AC5"/>
    <w:rsid w:val="2164183D"/>
    <w:rsid w:val="21642D71"/>
    <w:rsid w:val="216435EB"/>
    <w:rsid w:val="21644036"/>
    <w:rsid w:val="21645399"/>
    <w:rsid w:val="21646BDA"/>
    <w:rsid w:val="21651053"/>
    <w:rsid w:val="216524EC"/>
    <w:rsid w:val="216536A1"/>
    <w:rsid w:val="21657429"/>
    <w:rsid w:val="21657470"/>
    <w:rsid w:val="216605EF"/>
    <w:rsid w:val="21661111"/>
    <w:rsid w:val="21663E42"/>
    <w:rsid w:val="21664ECA"/>
    <w:rsid w:val="21667363"/>
    <w:rsid w:val="21667DBF"/>
    <w:rsid w:val="2167087D"/>
    <w:rsid w:val="21673535"/>
    <w:rsid w:val="21674E89"/>
    <w:rsid w:val="21676C37"/>
    <w:rsid w:val="21677E20"/>
    <w:rsid w:val="21690C01"/>
    <w:rsid w:val="2169341D"/>
    <w:rsid w:val="21696E53"/>
    <w:rsid w:val="216A191D"/>
    <w:rsid w:val="216A1B7E"/>
    <w:rsid w:val="216A59B3"/>
    <w:rsid w:val="216A7366"/>
    <w:rsid w:val="216B15DC"/>
    <w:rsid w:val="216B2BC9"/>
    <w:rsid w:val="216B497A"/>
    <w:rsid w:val="216B595D"/>
    <w:rsid w:val="216B5EAB"/>
    <w:rsid w:val="216B6A67"/>
    <w:rsid w:val="216B73A8"/>
    <w:rsid w:val="216B7513"/>
    <w:rsid w:val="216C24A0"/>
    <w:rsid w:val="216C3613"/>
    <w:rsid w:val="216C53BD"/>
    <w:rsid w:val="216C7510"/>
    <w:rsid w:val="216C76DC"/>
    <w:rsid w:val="216D06F2"/>
    <w:rsid w:val="216D1E33"/>
    <w:rsid w:val="216D218E"/>
    <w:rsid w:val="216D3574"/>
    <w:rsid w:val="216D3965"/>
    <w:rsid w:val="216D4A04"/>
    <w:rsid w:val="216E084E"/>
    <w:rsid w:val="216E2EA6"/>
    <w:rsid w:val="216E446A"/>
    <w:rsid w:val="216E7FC6"/>
    <w:rsid w:val="21701F90"/>
    <w:rsid w:val="21703873"/>
    <w:rsid w:val="21706533"/>
    <w:rsid w:val="217120FD"/>
    <w:rsid w:val="21714990"/>
    <w:rsid w:val="21715819"/>
    <w:rsid w:val="217169D7"/>
    <w:rsid w:val="217175E9"/>
    <w:rsid w:val="21717BBF"/>
    <w:rsid w:val="21721428"/>
    <w:rsid w:val="21723BD1"/>
    <w:rsid w:val="21723F5A"/>
    <w:rsid w:val="21725D08"/>
    <w:rsid w:val="21727824"/>
    <w:rsid w:val="21727E24"/>
    <w:rsid w:val="21732D84"/>
    <w:rsid w:val="2173382E"/>
    <w:rsid w:val="21735173"/>
    <w:rsid w:val="2173551D"/>
    <w:rsid w:val="217355DC"/>
    <w:rsid w:val="21737B17"/>
    <w:rsid w:val="21740B35"/>
    <w:rsid w:val="217442F7"/>
    <w:rsid w:val="21747CD2"/>
    <w:rsid w:val="21751354"/>
    <w:rsid w:val="217535E6"/>
    <w:rsid w:val="21753B8A"/>
    <w:rsid w:val="21754CA6"/>
    <w:rsid w:val="217557F8"/>
    <w:rsid w:val="217575A6"/>
    <w:rsid w:val="21771E56"/>
    <w:rsid w:val="2177331E"/>
    <w:rsid w:val="217750CC"/>
    <w:rsid w:val="21776805"/>
    <w:rsid w:val="21776D9B"/>
    <w:rsid w:val="21780E44"/>
    <w:rsid w:val="2178135F"/>
    <w:rsid w:val="21781486"/>
    <w:rsid w:val="2178581B"/>
    <w:rsid w:val="21787096"/>
    <w:rsid w:val="21794B8D"/>
    <w:rsid w:val="217952E8"/>
    <w:rsid w:val="2179654F"/>
    <w:rsid w:val="217A04BF"/>
    <w:rsid w:val="217A1B37"/>
    <w:rsid w:val="217A696B"/>
    <w:rsid w:val="217A6AE5"/>
    <w:rsid w:val="217B10F6"/>
    <w:rsid w:val="217B12AB"/>
    <w:rsid w:val="217B17CC"/>
    <w:rsid w:val="217C0935"/>
    <w:rsid w:val="217C26E3"/>
    <w:rsid w:val="217C6B87"/>
    <w:rsid w:val="217D3CC6"/>
    <w:rsid w:val="217D4215"/>
    <w:rsid w:val="217D44F9"/>
    <w:rsid w:val="217D46AD"/>
    <w:rsid w:val="217D645B"/>
    <w:rsid w:val="217E24D4"/>
    <w:rsid w:val="217E2717"/>
    <w:rsid w:val="217E28FF"/>
    <w:rsid w:val="217E2967"/>
    <w:rsid w:val="217E39FF"/>
    <w:rsid w:val="217E4F8F"/>
    <w:rsid w:val="217F0425"/>
    <w:rsid w:val="217F3581"/>
    <w:rsid w:val="217F3AF3"/>
    <w:rsid w:val="217F4E4F"/>
    <w:rsid w:val="217F6677"/>
    <w:rsid w:val="21802304"/>
    <w:rsid w:val="2181419D"/>
    <w:rsid w:val="21815F4B"/>
    <w:rsid w:val="218219EB"/>
    <w:rsid w:val="21823A71"/>
    <w:rsid w:val="218249D3"/>
    <w:rsid w:val="218311C4"/>
    <w:rsid w:val="218343CE"/>
    <w:rsid w:val="21835BCF"/>
    <w:rsid w:val="21837D78"/>
    <w:rsid w:val="2184228A"/>
    <w:rsid w:val="21842E41"/>
    <w:rsid w:val="21845A3B"/>
    <w:rsid w:val="21846654"/>
    <w:rsid w:val="218515FF"/>
    <w:rsid w:val="21853279"/>
    <w:rsid w:val="21856EC1"/>
    <w:rsid w:val="218624EE"/>
    <w:rsid w:val="2186530F"/>
    <w:rsid w:val="21865B8F"/>
    <w:rsid w:val="21867A05"/>
    <w:rsid w:val="218705A7"/>
    <w:rsid w:val="21871088"/>
    <w:rsid w:val="2188160C"/>
    <w:rsid w:val="21882078"/>
    <w:rsid w:val="21882594"/>
    <w:rsid w:val="21882987"/>
    <w:rsid w:val="21884F0C"/>
    <w:rsid w:val="2188547A"/>
    <w:rsid w:val="21887379"/>
    <w:rsid w:val="21887D90"/>
    <w:rsid w:val="218901BE"/>
    <w:rsid w:val="21890473"/>
    <w:rsid w:val="21890E89"/>
    <w:rsid w:val="218912A4"/>
    <w:rsid w:val="21893052"/>
    <w:rsid w:val="218933FB"/>
    <w:rsid w:val="218941D6"/>
    <w:rsid w:val="21894E00"/>
    <w:rsid w:val="218A31FD"/>
    <w:rsid w:val="218A3F2C"/>
    <w:rsid w:val="218A478D"/>
    <w:rsid w:val="218B2981"/>
    <w:rsid w:val="218B51E7"/>
    <w:rsid w:val="218C669E"/>
    <w:rsid w:val="218C684C"/>
    <w:rsid w:val="218D15F6"/>
    <w:rsid w:val="218D20C3"/>
    <w:rsid w:val="218D3ED2"/>
    <w:rsid w:val="218D4009"/>
    <w:rsid w:val="218E1AFC"/>
    <w:rsid w:val="218E2416"/>
    <w:rsid w:val="218E547E"/>
    <w:rsid w:val="218E6687"/>
    <w:rsid w:val="218F01BC"/>
    <w:rsid w:val="218F1493"/>
    <w:rsid w:val="218F433B"/>
    <w:rsid w:val="218F6E96"/>
    <w:rsid w:val="21902632"/>
    <w:rsid w:val="219043E0"/>
    <w:rsid w:val="21906CA5"/>
    <w:rsid w:val="21910754"/>
    <w:rsid w:val="219129A1"/>
    <w:rsid w:val="21912FA1"/>
    <w:rsid w:val="21915C8C"/>
    <w:rsid w:val="21920158"/>
    <w:rsid w:val="21920FCB"/>
    <w:rsid w:val="21921F06"/>
    <w:rsid w:val="21923CC5"/>
    <w:rsid w:val="21923DFF"/>
    <w:rsid w:val="219313DF"/>
    <w:rsid w:val="2193173D"/>
    <w:rsid w:val="21933B4E"/>
    <w:rsid w:val="21933ED0"/>
    <w:rsid w:val="219350F8"/>
    <w:rsid w:val="21937A2C"/>
    <w:rsid w:val="21937DB5"/>
    <w:rsid w:val="21943379"/>
    <w:rsid w:val="21944268"/>
    <w:rsid w:val="2194515D"/>
    <w:rsid w:val="21946843"/>
    <w:rsid w:val="2194698C"/>
    <w:rsid w:val="21947B1D"/>
    <w:rsid w:val="21950FD4"/>
    <w:rsid w:val="219519F6"/>
    <w:rsid w:val="21952548"/>
    <w:rsid w:val="219537A4"/>
    <w:rsid w:val="21957C48"/>
    <w:rsid w:val="21957D56"/>
    <w:rsid w:val="2196067C"/>
    <w:rsid w:val="219624CF"/>
    <w:rsid w:val="21962CA5"/>
    <w:rsid w:val="219666E7"/>
    <w:rsid w:val="219678B9"/>
    <w:rsid w:val="21970770"/>
    <w:rsid w:val="2197576F"/>
    <w:rsid w:val="2197596C"/>
    <w:rsid w:val="219829DB"/>
    <w:rsid w:val="21982C7A"/>
    <w:rsid w:val="21983295"/>
    <w:rsid w:val="219836D0"/>
    <w:rsid w:val="21983F65"/>
    <w:rsid w:val="2198560E"/>
    <w:rsid w:val="219859F4"/>
    <w:rsid w:val="21986266"/>
    <w:rsid w:val="2198713E"/>
    <w:rsid w:val="21992716"/>
    <w:rsid w:val="21992A4C"/>
    <w:rsid w:val="21996517"/>
    <w:rsid w:val="21996C72"/>
    <w:rsid w:val="219972FD"/>
    <w:rsid w:val="219A0DBB"/>
    <w:rsid w:val="219A24D5"/>
    <w:rsid w:val="219A3A21"/>
    <w:rsid w:val="219A525F"/>
    <w:rsid w:val="219A53E7"/>
    <w:rsid w:val="219A700D"/>
    <w:rsid w:val="219A7568"/>
    <w:rsid w:val="219A7758"/>
    <w:rsid w:val="219B35B8"/>
    <w:rsid w:val="219B3E80"/>
    <w:rsid w:val="219B5E06"/>
    <w:rsid w:val="219B6719"/>
    <w:rsid w:val="219C0FD7"/>
    <w:rsid w:val="219C1508"/>
    <w:rsid w:val="219C25ED"/>
    <w:rsid w:val="219C59FB"/>
    <w:rsid w:val="219C6341"/>
    <w:rsid w:val="219D08AB"/>
    <w:rsid w:val="219D0C9F"/>
    <w:rsid w:val="219D1632"/>
    <w:rsid w:val="219E02A4"/>
    <w:rsid w:val="219E0C82"/>
    <w:rsid w:val="219E6AFD"/>
    <w:rsid w:val="219F0AC7"/>
    <w:rsid w:val="219F0F6F"/>
    <w:rsid w:val="219F2486"/>
    <w:rsid w:val="219F2875"/>
    <w:rsid w:val="21A0160F"/>
    <w:rsid w:val="21A0447B"/>
    <w:rsid w:val="21A13E7C"/>
    <w:rsid w:val="21A165ED"/>
    <w:rsid w:val="21A234EA"/>
    <w:rsid w:val="21A2432F"/>
    <w:rsid w:val="21A25092"/>
    <w:rsid w:val="21A25EC1"/>
    <w:rsid w:val="21A27D0B"/>
    <w:rsid w:val="21A30F3B"/>
    <w:rsid w:val="21A32365"/>
    <w:rsid w:val="21A34113"/>
    <w:rsid w:val="21A4580D"/>
    <w:rsid w:val="21A460DD"/>
    <w:rsid w:val="21A517AC"/>
    <w:rsid w:val="21A56CD2"/>
    <w:rsid w:val="21A615C2"/>
    <w:rsid w:val="21A61FC4"/>
    <w:rsid w:val="21A63C04"/>
    <w:rsid w:val="21A659B2"/>
    <w:rsid w:val="21A669E6"/>
    <w:rsid w:val="21A67290"/>
    <w:rsid w:val="21A67760"/>
    <w:rsid w:val="21A7664F"/>
    <w:rsid w:val="21A7794A"/>
    <w:rsid w:val="21A8172A"/>
    <w:rsid w:val="21A822F3"/>
    <w:rsid w:val="21A86D63"/>
    <w:rsid w:val="21A8797C"/>
    <w:rsid w:val="21A925BF"/>
    <w:rsid w:val="21A925E7"/>
    <w:rsid w:val="21A954A2"/>
    <w:rsid w:val="21A97250"/>
    <w:rsid w:val="21A974B5"/>
    <w:rsid w:val="21AA01C2"/>
    <w:rsid w:val="21AA0510"/>
    <w:rsid w:val="21AA2C60"/>
    <w:rsid w:val="21AA36F4"/>
    <w:rsid w:val="21AB02C2"/>
    <w:rsid w:val="21AB0CB6"/>
    <w:rsid w:val="21AB6B97"/>
    <w:rsid w:val="21AC2376"/>
    <w:rsid w:val="21AC6B22"/>
    <w:rsid w:val="21AD4223"/>
    <w:rsid w:val="21AD4F92"/>
    <w:rsid w:val="21AD548B"/>
    <w:rsid w:val="21AE11DF"/>
    <w:rsid w:val="21AE2216"/>
    <w:rsid w:val="21AE2AB8"/>
    <w:rsid w:val="21AE2C84"/>
    <w:rsid w:val="21AE3327"/>
    <w:rsid w:val="21AE3A94"/>
    <w:rsid w:val="21AE4866"/>
    <w:rsid w:val="21B005DE"/>
    <w:rsid w:val="21B03E34"/>
    <w:rsid w:val="21B04E7C"/>
    <w:rsid w:val="21B207FA"/>
    <w:rsid w:val="21B21EA6"/>
    <w:rsid w:val="21B24F50"/>
    <w:rsid w:val="21B253A2"/>
    <w:rsid w:val="21B26104"/>
    <w:rsid w:val="21B3155B"/>
    <w:rsid w:val="21B31E7D"/>
    <w:rsid w:val="21B34D22"/>
    <w:rsid w:val="21B34F1F"/>
    <w:rsid w:val="21B35FFD"/>
    <w:rsid w:val="21B365A6"/>
    <w:rsid w:val="21B367FD"/>
    <w:rsid w:val="21B37241"/>
    <w:rsid w:val="21B40BF2"/>
    <w:rsid w:val="21B42278"/>
    <w:rsid w:val="21B4504D"/>
    <w:rsid w:val="21B50629"/>
    <w:rsid w:val="21B52099"/>
    <w:rsid w:val="21B52994"/>
    <w:rsid w:val="21B52E77"/>
    <w:rsid w:val="21B555FC"/>
    <w:rsid w:val="21B55A58"/>
    <w:rsid w:val="21B55BF5"/>
    <w:rsid w:val="21B575A3"/>
    <w:rsid w:val="21B60677"/>
    <w:rsid w:val="21B61BCB"/>
    <w:rsid w:val="21B7399C"/>
    <w:rsid w:val="21B73A1C"/>
    <w:rsid w:val="21B80359"/>
    <w:rsid w:val="21B81171"/>
    <w:rsid w:val="21B856E5"/>
    <w:rsid w:val="21B85EDC"/>
    <w:rsid w:val="21B870F5"/>
    <w:rsid w:val="21B87493"/>
    <w:rsid w:val="21B94113"/>
    <w:rsid w:val="21B94B57"/>
    <w:rsid w:val="21B957CD"/>
    <w:rsid w:val="21BA271C"/>
    <w:rsid w:val="21BA29D2"/>
    <w:rsid w:val="21BA76AF"/>
    <w:rsid w:val="21BB24F7"/>
    <w:rsid w:val="21BB3444"/>
    <w:rsid w:val="21BB44CE"/>
    <w:rsid w:val="21BB6912"/>
    <w:rsid w:val="21BC3427"/>
    <w:rsid w:val="21BD19B0"/>
    <w:rsid w:val="21BD4EEF"/>
    <w:rsid w:val="21BE14B0"/>
    <w:rsid w:val="21BE17B6"/>
    <w:rsid w:val="21BE789A"/>
    <w:rsid w:val="21BF0821"/>
    <w:rsid w:val="21BF10B5"/>
    <w:rsid w:val="21BF341B"/>
    <w:rsid w:val="21BF3AFB"/>
    <w:rsid w:val="21BF4251"/>
    <w:rsid w:val="21BF4CC5"/>
    <w:rsid w:val="21BF4D9B"/>
    <w:rsid w:val="21BF51E8"/>
    <w:rsid w:val="21BF60D4"/>
    <w:rsid w:val="21C00309"/>
    <w:rsid w:val="21C029C6"/>
    <w:rsid w:val="21C0573C"/>
    <w:rsid w:val="21C066CB"/>
    <w:rsid w:val="21C10A3D"/>
    <w:rsid w:val="21C11CDF"/>
    <w:rsid w:val="21C127EB"/>
    <w:rsid w:val="21C12C09"/>
    <w:rsid w:val="21C12FBD"/>
    <w:rsid w:val="21C13139"/>
    <w:rsid w:val="21C1390C"/>
    <w:rsid w:val="21C14A69"/>
    <w:rsid w:val="21C15670"/>
    <w:rsid w:val="21C16AD0"/>
    <w:rsid w:val="21C20A63"/>
    <w:rsid w:val="21C2677D"/>
    <w:rsid w:val="21C267AA"/>
    <w:rsid w:val="21C2776E"/>
    <w:rsid w:val="21C30312"/>
    <w:rsid w:val="21C32C2D"/>
    <w:rsid w:val="21C34799"/>
    <w:rsid w:val="21C347B6"/>
    <w:rsid w:val="21C35BB2"/>
    <w:rsid w:val="21C3661B"/>
    <w:rsid w:val="21C402B2"/>
    <w:rsid w:val="21C44E06"/>
    <w:rsid w:val="21C46C8E"/>
    <w:rsid w:val="21C50572"/>
    <w:rsid w:val="21C515BA"/>
    <w:rsid w:val="21C51683"/>
    <w:rsid w:val="21C569DD"/>
    <w:rsid w:val="21C56C38"/>
    <w:rsid w:val="21C5788B"/>
    <w:rsid w:val="21C61BB0"/>
    <w:rsid w:val="21C645C5"/>
    <w:rsid w:val="21C67E02"/>
    <w:rsid w:val="21C709A9"/>
    <w:rsid w:val="21C7148E"/>
    <w:rsid w:val="21C71ADB"/>
    <w:rsid w:val="21C72A3E"/>
    <w:rsid w:val="21C736DE"/>
    <w:rsid w:val="21C74A92"/>
    <w:rsid w:val="21C7668B"/>
    <w:rsid w:val="21C806DA"/>
    <w:rsid w:val="21C81431"/>
    <w:rsid w:val="21C81930"/>
    <w:rsid w:val="21C81DCC"/>
    <w:rsid w:val="21C821B8"/>
    <w:rsid w:val="21C82B33"/>
    <w:rsid w:val="21C83ECE"/>
    <w:rsid w:val="21C8531E"/>
    <w:rsid w:val="21C8560F"/>
    <w:rsid w:val="21C85928"/>
    <w:rsid w:val="21C916A0"/>
    <w:rsid w:val="21C96808"/>
    <w:rsid w:val="21C96822"/>
    <w:rsid w:val="21C9761C"/>
    <w:rsid w:val="21CA2513"/>
    <w:rsid w:val="21CA2711"/>
    <w:rsid w:val="21CA3495"/>
    <w:rsid w:val="21CA45D1"/>
    <w:rsid w:val="21CA5B44"/>
    <w:rsid w:val="21CB1179"/>
    <w:rsid w:val="21CB284F"/>
    <w:rsid w:val="21CB5418"/>
    <w:rsid w:val="21CB71C6"/>
    <w:rsid w:val="21CB77C4"/>
    <w:rsid w:val="21CC5E80"/>
    <w:rsid w:val="21CD1190"/>
    <w:rsid w:val="21CD20BA"/>
    <w:rsid w:val="21CD340B"/>
    <w:rsid w:val="21CD73E2"/>
    <w:rsid w:val="21CE6CB6"/>
    <w:rsid w:val="21CE7EF8"/>
    <w:rsid w:val="21CF1302"/>
    <w:rsid w:val="21D00762"/>
    <w:rsid w:val="21D00F87"/>
    <w:rsid w:val="21D02A2F"/>
    <w:rsid w:val="21D06ED2"/>
    <w:rsid w:val="21D20555"/>
    <w:rsid w:val="21D21974"/>
    <w:rsid w:val="21D27B04"/>
    <w:rsid w:val="21D30187"/>
    <w:rsid w:val="21D32591"/>
    <w:rsid w:val="21D32722"/>
    <w:rsid w:val="21D342CD"/>
    <w:rsid w:val="21D34514"/>
    <w:rsid w:val="21D37346"/>
    <w:rsid w:val="21D40771"/>
    <w:rsid w:val="21D422DD"/>
    <w:rsid w:val="21D43BB2"/>
    <w:rsid w:val="21D4557C"/>
    <w:rsid w:val="21D45B1F"/>
    <w:rsid w:val="21D533B7"/>
    <w:rsid w:val="21D54052"/>
    <w:rsid w:val="21D56297"/>
    <w:rsid w:val="21D65968"/>
    <w:rsid w:val="21D7338B"/>
    <w:rsid w:val="21D73DBD"/>
    <w:rsid w:val="21D764E8"/>
    <w:rsid w:val="21D76A42"/>
    <w:rsid w:val="21D80711"/>
    <w:rsid w:val="21D818E3"/>
    <w:rsid w:val="21D90E18"/>
    <w:rsid w:val="21D91DD4"/>
    <w:rsid w:val="21D9445E"/>
    <w:rsid w:val="21D944A7"/>
    <w:rsid w:val="21D94CB5"/>
    <w:rsid w:val="21D97B35"/>
    <w:rsid w:val="21DA0C0B"/>
    <w:rsid w:val="21DA0EB4"/>
    <w:rsid w:val="21DA0EB8"/>
    <w:rsid w:val="21DA1AFF"/>
    <w:rsid w:val="21DA5B1E"/>
    <w:rsid w:val="21DA7DBC"/>
    <w:rsid w:val="21DB2344"/>
    <w:rsid w:val="21DB2DBA"/>
    <w:rsid w:val="21DC13D3"/>
    <w:rsid w:val="21DC1523"/>
    <w:rsid w:val="21DC37D4"/>
    <w:rsid w:val="21DC4174"/>
    <w:rsid w:val="21DC5877"/>
    <w:rsid w:val="21DC7625"/>
    <w:rsid w:val="21DC7C2E"/>
    <w:rsid w:val="21DD0FCF"/>
    <w:rsid w:val="21DD63A5"/>
    <w:rsid w:val="21DE15EF"/>
    <w:rsid w:val="21DF26BD"/>
    <w:rsid w:val="21DF2C72"/>
    <w:rsid w:val="21DF3764"/>
    <w:rsid w:val="21E0105E"/>
    <w:rsid w:val="21E0146B"/>
    <w:rsid w:val="21E01F75"/>
    <w:rsid w:val="21E03A2A"/>
    <w:rsid w:val="21E068FB"/>
    <w:rsid w:val="21E07116"/>
    <w:rsid w:val="21E07988"/>
    <w:rsid w:val="21E116E9"/>
    <w:rsid w:val="21E11965"/>
    <w:rsid w:val="21E11EBC"/>
    <w:rsid w:val="21E12E8E"/>
    <w:rsid w:val="21E12EE9"/>
    <w:rsid w:val="21E14C3C"/>
    <w:rsid w:val="21E21B7E"/>
    <w:rsid w:val="21E222EE"/>
    <w:rsid w:val="21E23597"/>
    <w:rsid w:val="21E2538B"/>
    <w:rsid w:val="21E25749"/>
    <w:rsid w:val="21E30068"/>
    <w:rsid w:val="21E32762"/>
    <w:rsid w:val="21E32B11"/>
    <w:rsid w:val="21E33B6D"/>
    <w:rsid w:val="21E3777D"/>
    <w:rsid w:val="21E40288"/>
    <w:rsid w:val="21E44B37"/>
    <w:rsid w:val="21E45615"/>
    <w:rsid w:val="21E464DA"/>
    <w:rsid w:val="21E54CDD"/>
    <w:rsid w:val="21E607C4"/>
    <w:rsid w:val="21E60F61"/>
    <w:rsid w:val="21E62E7F"/>
    <w:rsid w:val="21E62F7E"/>
    <w:rsid w:val="21E8186D"/>
    <w:rsid w:val="21E81C1B"/>
    <w:rsid w:val="21E81D77"/>
    <w:rsid w:val="21E9023E"/>
    <w:rsid w:val="21EA5DD8"/>
    <w:rsid w:val="21EA7F94"/>
    <w:rsid w:val="21EB06F8"/>
    <w:rsid w:val="21EB1487"/>
    <w:rsid w:val="21EB1616"/>
    <w:rsid w:val="21EB1DEC"/>
    <w:rsid w:val="21EB3D26"/>
    <w:rsid w:val="21EB4A23"/>
    <w:rsid w:val="21EB54AE"/>
    <w:rsid w:val="21EB7868"/>
    <w:rsid w:val="21EC12C2"/>
    <w:rsid w:val="21EC3348"/>
    <w:rsid w:val="21ED1832"/>
    <w:rsid w:val="21ED4C91"/>
    <w:rsid w:val="21ED699F"/>
    <w:rsid w:val="21EE1107"/>
    <w:rsid w:val="21EE12A0"/>
    <w:rsid w:val="21EE3301"/>
    <w:rsid w:val="21EE4E29"/>
    <w:rsid w:val="21EE4FDE"/>
    <w:rsid w:val="21EE56B5"/>
    <w:rsid w:val="21EE732A"/>
    <w:rsid w:val="21EF1C4A"/>
    <w:rsid w:val="21EF55AB"/>
    <w:rsid w:val="21EF7079"/>
    <w:rsid w:val="21EF7402"/>
    <w:rsid w:val="21F000BD"/>
    <w:rsid w:val="21F029E2"/>
    <w:rsid w:val="21F033EB"/>
    <w:rsid w:val="21F04E7F"/>
    <w:rsid w:val="21F05E39"/>
    <w:rsid w:val="21F11323"/>
    <w:rsid w:val="21F12E1C"/>
    <w:rsid w:val="21F17B29"/>
    <w:rsid w:val="21F20301"/>
    <w:rsid w:val="21F20BF7"/>
    <w:rsid w:val="21F21DC7"/>
    <w:rsid w:val="21F223D2"/>
    <w:rsid w:val="21F305CB"/>
    <w:rsid w:val="21F347B5"/>
    <w:rsid w:val="21F37D23"/>
    <w:rsid w:val="21F43EAE"/>
    <w:rsid w:val="21F44BAF"/>
    <w:rsid w:val="21F45724"/>
    <w:rsid w:val="21F4671D"/>
    <w:rsid w:val="21F506E7"/>
    <w:rsid w:val="21F52495"/>
    <w:rsid w:val="21F52EEB"/>
    <w:rsid w:val="21F54422"/>
    <w:rsid w:val="21F56716"/>
    <w:rsid w:val="21F5706D"/>
    <w:rsid w:val="21F61DC9"/>
    <w:rsid w:val="21F61F19"/>
    <w:rsid w:val="21F6219F"/>
    <w:rsid w:val="21F63378"/>
    <w:rsid w:val="21F63728"/>
    <w:rsid w:val="21F64D3E"/>
    <w:rsid w:val="21F66939"/>
    <w:rsid w:val="21F726B1"/>
    <w:rsid w:val="21F7419C"/>
    <w:rsid w:val="21F7620D"/>
    <w:rsid w:val="21F76658"/>
    <w:rsid w:val="21F76E7F"/>
    <w:rsid w:val="21F77FBB"/>
    <w:rsid w:val="21F84180"/>
    <w:rsid w:val="21F869EE"/>
    <w:rsid w:val="21F872B6"/>
    <w:rsid w:val="21F873E9"/>
    <w:rsid w:val="21F901D7"/>
    <w:rsid w:val="21F91208"/>
    <w:rsid w:val="21F93D33"/>
    <w:rsid w:val="21F9759C"/>
    <w:rsid w:val="21FA3047"/>
    <w:rsid w:val="21FA7AAB"/>
    <w:rsid w:val="21FB12B3"/>
    <w:rsid w:val="21FB2122"/>
    <w:rsid w:val="21FB2453"/>
    <w:rsid w:val="21FB3F4F"/>
    <w:rsid w:val="21FB7895"/>
    <w:rsid w:val="21FC02B6"/>
    <w:rsid w:val="21FC1A76"/>
    <w:rsid w:val="21FC1BDD"/>
    <w:rsid w:val="21FC3824"/>
    <w:rsid w:val="21FC57D6"/>
    <w:rsid w:val="21FC73D2"/>
    <w:rsid w:val="21FC7BDE"/>
    <w:rsid w:val="21FD1DA8"/>
    <w:rsid w:val="21FD424E"/>
    <w:rsid w:val="21FD5B82"/>
    <w:rsid w:val="21FD72D1"/>
    <w:rsid w:val="21FE02AF"/>
    <w:rsid w:val="21FE1436"/>
    <w:rsid w:val="21FE18EF"/>
    <w:rsid w:val="21FE57EE"/>
    <w:rsid w:val="21FE61D8"/>
    <w:rsid w:val="21FE75ED"/>
    <w:rsid w:val="21FF0E1A"/>
    <w:rsid w:val="21FF29FD"/>
    <w:rsid w:val="21FF36AD"/>
    <w:rsid w:val="21FF7C1A"/>
    <w:rsid w:val="220013D7"/>
    <w:rsid w:val="2200415E"/>
    <w:rsid w:val="22010E3A"/>
    <w:rsid w:val="22014DC8"/>
    <w:rsid w:val="2201708C"/>
    <w:rsid w:val="220272D2"/>
    <w:rsid w:val="22031056"/>
    <w:rsid w:val="22032E04"/>
    <w:rsid w:val="22037E48"/>
    <w:rsid w:val="220426D8"/>
    <w:rsid w:val="220433CF"/>
    <w:rsid w:val="22043876"/>
    <w:rsid w:val="2204436A"/>
    <w:rsid w:val="22044C5D"/>
    <w:rsid w:val="220507F4"/>
    <w:rsid w:val="220555B1"/>
    <w:rsid w:val="22056B7C"/>
    <w:rsid w:val="22061A9F"/>
    <w:rsid w:val="220641EC"/>
    <w:rsid w:val="220646A2"/>
    <w:rsid w:val="2206520C"/>
    <w:rsid w:val="22065A48"/>
    <w:rsid w:val="22072B8B"/>
    <w:rsid w:val="220777FE"/>
    <w:rsid w:val="22092AF0"/>
    <w:rsid w:val="22093F32"/>
    <w:rsid w:val="22094ACD"/>
    <w:rsid w:val="220954F0"/>
    <w:rsid w:val="22097CEF"/>
    <w:rsid w:val="220A1C9C"/>
    <w:rsid w:val="220A23E4"/>
    <w:rsid w:val="220A250D"/>
    <w:rsid w:val="220A5F40"/>
    <w:rsid w:val="220B170D"/>
    <w:rsid w:val="220B1867"/>
    <w:rsid w:val="220B1CB9"/>
    <w:rsid w:val="220B2562"/>
    <w:rsid w:val="220B2BA2"/>
    <w:rsid w:val="220B3A67"/>
    <w:rsid w:val="220C3937"/>
    <w:rsid w:val="220D028A"/>
    <w:rsid w:val="220D0F7D"/>
    <w:rsid w:val="220D3C83"/>
    <w:rsid w:val="220D4A3B"/>
    <w:rsid w:val="220D6244"/>
    <w:rsid w:val="220D77DF"/>
    <w:rsid w:val="220D7D69"/>
    <w:rsid w:val="220D7F48"/>
    <w:rsid w:val="220E51D3"/>
    <w:rsid w:val="220F1C9E"/>
    <w:rsid w:val="220F4009"/>
    <w:rsid w:val="220F4509"/>
    <w:rsid w:val="220F4DC4"/>
    <w:rsid w:val="220F57EE"/>
    <w:rsid w:val="220F5A13"/>
    <w:rsid w:val="2210107D"/>
    <w:rsid w:val="22105252"/>
    <w:rsid w:val="22105521"/>
    <w:rsid w:val="221072CF"/>
    <w:rsid w:val="22107AF3"/>
    <w:rsid w:val="2211402A"/>
    <w:rsid w:val="22114E6D"/>
    <w:rsid w:val="22122D1E"/>
    <w:rsid w:val="22124DF5"/>
    <w:rsid w:val="221328ED"/>
    <w:rsid w:val="22132CF1"/>
    <w:rsid w:val="221337BD"/>
    <w:rsid w:val="22133DF6"/>
    <w:rsid w:val="221352CD"/>
    <w:rsid w:val="22136474"/>
    <w:rsid w:val="22140B6D"/>
    <w:rsid w:val="22141EB4"/>
    <w:rsid w:val="221424D5"/>
    <w:rsid w:val="22142615"/>
    <w:rsid w:val="22146210"/>
    <w:rsid w:val="22151762"/>
    <w:rsid w:val="221527AD"/>
    <w:rsid w:val="22153965"/>
    <w:rsid w:val="22161381"/>
    <w:rsid w:val="22162B37"/>
    <w:rsid w:val="22163203"/>
    <w:rsid w:val="2217240B"/>
    <w:rsid w:val="22174DBD"/>
    <w:rsid w:val="2218160D"/>
    <w:rsid w:val="22183044"/>
    <w:rsid w:val="2218342F"/>
    <w:rsid w:val="22183895"/>
    <w:rsid w:val="22184877"/>
    <w:rsid w:val="221850AD"/>
    <w:rsid w:val="2218524F"/>
    <w:rsid w:val="22185909"/>
    <w:rsid w:val="2218758C"/>
    <w:rsid w:val="221922E6"/>
    <w:rsid w:val="22192627"/>
    <w:rsid w:val="22196184"/>
    <w:rsid w:val="221A1EFC"/>
    <w:rsid w:val="221A31E8"/>
    <w:rsid w:val="221A3FF8"/>
    <w:rsid w:val="221A6E78"/>
    <w:rsid w:val="221B253A"/>
    <w:rsid w:val="221B3383"/>
    <w:rsid w:val="221B4339"/>
    <w:rsid w:val="221B63A0"/>
    <w:rsid w:val="221B77D7"/>
    <w:rsid w:val="221C2118"/>
    <w:rsid w:val="221C2801"/>
    <w:rsid w:val="221C3EC6"/>
    <w:rsid w:val="221C584E"/>
    <w:rsid w:val="221C5C74"/>
    <w:rsid w:val="221C76E1"/>
    <w:rsid w:val="221D13AC"/>
    <w:rsid w:val="221D33C2"/>
    <w:rsid w:val="221D3789"/>
    <w:rsid w:val="221E19EC"/>
    <w:rsid w:val="221E379A"/>
    <w:rsid w:val="221E3D47"/>
    <w:rsid w:val="221E5160"/>
    <w:rsid w:val="221F0D41"/>
    <w:rsid w:val="221F6703"/>
    <w:rsid w:val="222021B9"/>
    <w:rsid w:val="22205764"/>
    <w:rsid w:val="222114DC"/>
    <w:rsid w:val="2221328A"/>
    <w:rsid w:val="22213649"/>
    <w:rsid w:val="222156EC"/>
    <w:rsid w:val="2221772E"/>
    <w:rsid w:val="2222051D"/>
    <w:rsid w:val="222214A7"/>
    <w:rsid w:val="222248D9"/>
    <w:rsid w:val="222258F0"/>
    <w:rsid w:val="22225942"/>
    <w:rsid w:val="22227623"/>
    <w:rsid w:val="222309EE"/>
    <w:rsid w:val="22230B3A"/>
    <w:rsid w:val="22232AD2"/>
    <w:rsid w:val="222334A6"/>
    <w:rsid w:val="22234083"/>
    <w:rsid w:val="22235254"/>
    <w:rsid w:val="22237002"/>
    <w:rsid w:val="222370C3"/>
    <w:rsid w:val="22242CC3"/>
    <w:rsid w:val="22244564"/>
    <w:rsid w:val="22244B28"/>
    <w:rsid w:val="22244B67"/>
    <w:rsid w:val="22250FCC"/>
    <w:rsid w:val="22252C2E"/>
    <w:rsid w:val="22252D7A"/>
    <w:rsid w:val="222558DE"/>
    <w:rsid w:val="22257B54"/>
    <w:rsid w:val="222608A0"/>
    <w:rsid w:val="222642B9"/>
    <w:rsid w:val="22266AF2"/>
    <w:rsid w:val="22271706"/>
    <w:rsid w:val="2228055C"/>
    <w:rsid w:val="22280ABD"/>
    <w:rsid w:val="2228286B"/>
    <w:rsid w:val="22284619"/>
    <w:rsid w:val="222873B0"/>
    <w:rsid w:val="222A0391"/>
    <w:rsid w:val="222A29B4"/>
    <w:rsid w:val="222A3576"/>
    <w:rsid w:val="222A5606"/>
    <w:rsid w:val="222A6A87"/>
    <w:rsid w:val="222B24F8"/>
    <w:rsid w:val="222B4109"/>
    <w:rsid w:val="222B5EB7"/>
    <w:rsid w:val="222C075C"/>
    <w:rsid w:val="222C235B"/>
    <w:rsid w:val="222D4C71"/>
    <w:rsid w:val="222D60D3"/>
    <w:rsid w:val="222D6D56"/>
    <w:rsid w:val="222D7F7F"/>
    <w:rsid w:val="222E307C"/>
    <w:rsid w:val="222E3732"/>
    <w:rsid w:val="222E589A"/>
    <w:rsid w:val="222F3BF9"/>
    <w:rsid w:val="222F450C"/>
    <w:rsid w:val="22300324"/>
    <w:rsid w:val="223030A3"/>
    <w:rsid w:val="223034CD"/>
    <w:rsid w:val="2230441F"/>
    <w:rsid w:val="2231313E"/>
    <w:rsid w:val="223134BB"/>
    <w:rsid w:val="22314A83"/>
    <w:rsid w:val="22317971"/>
    <w:rsid w:val="22320F32"/>
    <w:rsid w:val="2232192B"/>
    <w:rsid w:val="22321B90"/>
    <w:rsid w:val="2232269E"/>
    <w:rsid w:val="223245CE"/>
    <w:rsid w:val="22325497"/>
    <w:rsid w:val="22332026"/>
    <w:rsid w:val="2233671B"/>
    <w:rsid w:val="22341E91"/>
    <w:rsid w:val="22341F94"/>
    <w:rsid w:val="22347A25"/>
    <w:rsid w:val="22352F4F"/>
    <w:rsid w:val="22354E95"/>
    <w:rsid w:val="22356C89"/>
    <w:rsid w:val="223576A5"/>
    <w:rsid w:val="223578D6"/>
    <w:rsid w:val="22363771"/>
    <w:rsid w:val="223647AE"/>
    <w:rsid w:val="22367A07"/>
    <w:rsid w:val="22367F60"/>
    <w:rsid w:val="22370D00"/>
    <w:rsid w:val="2237441A"/>
    <w:rsid w:val="22374779"/>
    <w:rsid w:val="2237485C"/>
    <w:rsid w:val="2237586F"/>
    <w:rsid w:val="2238180E"/>
    <w:rsid w:val="22384334"/>
    <w:rsid w:val="22384E76"/>
    <w:rsid w:val="223862E4"/>
    <w:rsid w:val="22396826"/>
    <w:rsid w:val="22397662"/>
    <w:rsid w:val="223A1E24"/>
    <w:rsid w:val="223A350B"/>
    <w:rsid w:val="223A41F0"/>
    <w:rsid w:val="223B07F0"/>
    <w:rsid w:val="223B259E"/>
    <w:rsid w:val="223C00C4"/>
    <w:rsid w:val="223C1401"/>
    <w:rsid w:val="223C1E72"/>
    <w:rsid w:val="223C40D9"/>
    <w:rsid w:val="223C6316"/>
    <w:rsid w:val="223D0879"/>
    <w:rsid w:val="223D1659"/>
    <w:rsid w:val="223D3802"/>
    <w:rsid w:val="223D5EB7"/>
    <w:rsid w:val="223E08EC"/>
    <w:rsid w:val="223E0F76"/>
    <w:rsid w:val="223E208E"/>
    <w:rsid w:val="223E2B71"/>
    <w:rsid w:val="223E3E3C"/>
    <w:rsid w:val="223E5A20"/>
    <w:rsid w:val="223F2B72"/>
    <w:rsid w:val="223F5C97"/>
    <w:rsid w:val="223F7929"/>
    <w:rsid w:val="224020EA"/>
    <w:rsid w:val="2240698B"/>
    <w:rsid w:val="2240723C"/>
    <w:rsid w:val="22407BB4"/>
    <w:rsid w:val="224103D0"/>
    <w:rsid w:val="22412503"/>
    <w:rsid w:val="2241392C"/>
    <w:rsid w:val="22413AEC"/>
    <w:rsid w:val="22413F7E"/>
    <w:rsid w:val="22421B7E"/>
    <w:rsid w:val="224224CA"/>
    <w:rsid w:val="22422982"/>
    <w:rsid w:val="22424021"/>
    <w:rsid w:val="224240C3"/>
    <w:rsid w:val="22424662"/>
    <w:rsid w:val="2242573C"/>
    <w:rsid w:val="22425C01"/>
    <w:rsid w:val="22432DE2"/>
    <w:rsid w:val="22434FB6"/>
    <w:rsid w:val="22435988"/>
    <w:rsid w:val="224376A4"/>
    <w:rsid w:val="22442554"/>
    <w:rsid w:val="22443356"/>
    <w:rsid w:val="224469E3"/>
    <w:rsid w:val="22446E23"/>
    <w:rsid w:val="22453837"/>
    <w:rsid w:val="22453C59"/>
    <w:rsid w:val="22461F18"/>
    <w:rsid w:val="22462CF1"/>
    <w:rsid w:val="2246657F"/>
    <w:rsid w:val="22472958"/>
    <w:rsid w:val="22474D55"/>
    <w:rsid w:val="22476379"/>
    <w:rsid w:val="22482F0D"/>
    <w:rsid w:val="224861C6"/>
    <w:rsid w:val="22486A69"/>
    <w:rsid w:val="22486BF5"/>
    <w:rsid w:val="22493938"/>
    <w:rsid w:val="22496E75"/>
    <w:rsid w:val="224A3D5E"/>
    <w:rsid w:val="224A4879"/>
    <w:rsid w:val="224B413B"/>
    <w:rsid w:val="224B494C"/>
    <w:rsid w:val="224B5A52"/>
    <w:rsid w:val="224C28AC"/>
    <w:rsid w:val="224C7D46"/>
    <w:rsid w:val="224D0523"/>
    <w:rsid w:val="224D11D6"/>
    <w:rsid w:val="224D1328"/>
    <w:rsid w:val="224D5199"/>
    <w:rsid w:val="224F06F9"/>
    <w:rsid w:val="224F1BA5"/>
    <w:rsid w:val="224F3D71"/>
    <w:rsid w:val="224F6637"/>
    <w:rsid w:val="2250271C"/>
    <w:rsid w:val="2250591D"/>
    <w:rsid w:val="22506116"/>
    <w:rsid w:val="22513B6F"/>
    <w:rsid w:val="22525B39"/>
    <w:rsid w:val="22525F24"/>
    <w:rsid w:val="22533907"/>
    <w:rsid w:val="22533B5F"/>
    <w:rsid w:val="22537000"/>
    <w:rsid w:val="225418B2"/>
    <w:rsid w:val="22543660"/>
    <w:rsid w:val="2254438B"/>
    <w:rsid w:val="2254540E"/>
    <w:rsid w:val="22554A66"/>
    <w:rsid w:val="22557026"/>
    <w:rsid w:val="22562288"/>
    <w:rsid w:val="22564DAC"/>
    <w:rsid w:val="225673D8"/>
    <w:rsid w:val="225711E5"/>
    <w:rsid w:val="22573150"/>
    <w:rsid w:val="22573633"/>
    <w:rsid w:val="22574C23"/>
    <w:rsid w:val="22576CAC"/>
    <w:rsid w:val="22581942"/>
    <w:rsid w:val="22586A41"/>
    <w:rsid w:val="22592A24"/>
    <w:rsid w:val="2259493C"/>
    <w:rsid w:val="22594B7D"/>
    <w:rsid w:val="225A0A2A"/>
    <w:rsid w:val="225A2C6C"/>
    <w:rsid w:val="225A37DA"/>
    <w:rsid w:val="225A7FDB"/>
    <w:rsid w:val="225B1D3F"/>
    <w:rsid w:val="225B2678"/>
    <w:rsid w:val="225B27DE"/>
    <w:rsid w:val="225B4304"/>
    <w:rsid w:val="225B49EE"/>
    <w:rsid w:val="225B4AD1"/>
    <w:rsid w:val="225B679C"/>
    <w:rsid w:val="225C3529"/>
    <w:rsid w:val="225C42C2"/>
    <w:rsid w:val="225D0766"/>
    <w:rsid w:val="225D431D"/>
    <w:rsid w:val="225D67BE"/>
    <w:rsid w:val="225E003A"/>
    <w:rsid w:val="225E76F0"/>
    <w:rsid w:val="225F065A"/>
    <w:rsid w:val="225F35EB"/>
    <w:rsid w:val="225F4BC8"/>
    <w:rsid w:val="22600256"/>
    <w:rsid w:val="22602004"/>
    <w:rsid w:val="2260640A"/>
    <w:rsid w:val="22607278"/>
    <w:rsid w:val="226102C5"/>
    <w:rsid w:val="226105EB"/>
    <w:rsid w:val="226118D9"/>
    <w:rsid w:val="22614133"/>
    <w:rsid w:val="226152D7"/>
    <w:rsid w:val="22615518"/>
    <w:rsid w:val="226204C9"/>
    <w:rsid w:val="22621F6C"/>
    <w:rsid w:val="22625B19"/>
    <w:rsid w:val="226339F4"/>
    <w:rsid w:val="22633EA2"/>
    <w:rsid w:val="22635651"/>
    <w:rsid w:val="226462A4"/>
    <w:rsid w:val="226508ED"/>
    <w:rsid w:val="22652A51"/>
    <w:rsid w:val="226532D0"/>
    <w:rsid w:val="2265586D"/>
    <w:rsid w:val="2265761B"/>
    <w:rsid w:val="226630FE"/>
    <w:rsid w:val="22665141"/>
    <w:rsid w:val="22673393"/>
    <w:rsid w:val="22676F0D"/>
    <w:rsid w:val="2268348C"/>
    <w:rsid w:val="226875DD"/>
    <w:rsid w:val="22687FC6"/>
    <w:rsid w:val="226911A5"/>
    <w:rsid w:val="2269386E"/>
    <w:rsid w:val="22695B2D"/>
    <w:rsid w:val="226A4C31"/>
    <w:rsid w:val="226A69DF"/>
    <w:rsid w:val="226A7AAC"/>
    <w:rsid w:val="226B0938"/>
    <w:rsid w:val="226B2757"/>
    <w:rsid w:val="226B6B9E"/>
    <w:rsid w:val="226C21B5"/>
    <w:rsid w:val="226C5861"/>
    <w:rsid w:val="226C59E6"/>
    <w:rsid w:val="226D0C9E"/>
    <w:rsid w:val="226D43E2"/>
    <w:rsid w:val="226D7FFC"/>
    <w:rsid w:val="226E0371"/>
    <w:rsid w:val="226E1126"/>
    <w:rsid w:val="226E72E5"/>
    <w:rsid w:val="226F07CE"/>
    <w:rsid w:val="226F0EB9"/>
    <w:rsid w:val="226F3FF6"/>
    <w:rsid w:val="226F4570"/>
    <w:rsid w:val="226F4F97"/>
    <w:rsid w:val="226F5B2F"/>
    <w:rsid w:val="226F7BE3"/>
    <w:rsid w:val="22701479"/>
    <w:rsid w:val="22702742"/>
    <w:rsid w:val="22702C63"/>
    <w:rsid w:val="22702D98"/>
    <w:rsid w:val="2270468F"/>
    <w:rsid w:val="22704CC1"/>
    <w:rsid w:val="2270635B"/>
    <w:rsid w:val="2271142D"/>
    <w:rsid w:val="22714212"/>
    <w:rsid w:val="2271479E"/>
    <w:rsid w:val="22715FC0"/>
    <w:rsid w:val="22717D6E"/>
    <w:rsid w:val="227220D5"/>
    <w:rsid w:val="227230C4"/>
    <w:rsid w:val="2272318C"/>
    <w:rsid w:val="2272585E"/>
    <w:rsid w:val="22732290"/>
    <w:rsid w:val="2273353D"/>
    <w:rsid w:val="22736696"/>
    <w:rsid w:val="227368B6"/>
    <w:rsid w:val="22742FC5"/>
    <w:rsid w:val="22744381"/>
    <w:rsid w:val="227455E2"/>
    <w:rsid w:val="22745AB0"/>
    <w:rsid w:val="2274785E"/>
    <w:rsid w:val="227552D0"/>
    <w:rsid w:val="22761872"/>
    <w:rsid w:val="22762330"/>
    <w:rsid w:val="22763833"/>
    <w:rsid w:val="227649DB"/>
    <w:rsid w:val="22765384"/>
    <w:rsid w:val="22766CA1"/>
    <w:rsid w:val="22767D2D"/>
    <w:rsid w:val="22770131"/>
    <w:rsid w:val="22771099"/>
    <w:rsid w:val="227710FC"/>
    <w:rsid w:val="22772D02"/>
    <w:rsid w:val="22774428"/>
    <w:rsid w:val="22775A69"/>
    <w:rsid w:val="2277734E"/>
    <w:rsid w:val="22782DCA"/>
    <w:rsid w:val="227841EB"/>
    <w:rsid w:val="227855A0"/>
    <w:rsid w:val="227930C6"/>
    <w:rsid w:val="22794E74"/>
    <w:rsid w:val="227A328E"/>
    <w:rsid w:val="227A55AB"/>
    <w:rsid w:val="227A5C8A"/>
    <w:rsid w:val="227A6AB2"/>
    <w:rsid w:val="227B0BEC"/>
    <w:rsid w:val="227B1683"/>
    <w:rsid w:val="227B45D2"/>
    <w:rsid w:val="227B5090"/>
    <w:rsid w:val="227B5FC7"/>
    <w:rsid w:val="227C4964"/>
    <w:rsid w:val="227C52A4"/>
    <w:rsid w:val="227C56E4"/>
    <w:rsid w:val="227C65AF"/>
    <w:rsid w:val="227C6712"/>
    <w:rsid w:val="227D6120"/>
    <w:rsid w:val="227E02EA"/>
    <w:rsid w:val="227E0587"/>
    <w:rsid w:val="227E1C76"/>
    <w:rsid w:val="227E248B"/>
    <w:rsid w:val="227E4921"/>
    <w:rsid w:val="227F050B"/>
    <w:rsid w:val="227F32DB"/>
    <w:rsid w:val="227F6269"/>
    <w:rsid w:val="228007BC"/>
    <w:rsid w:val="228026A7"/>
    <w:rsid w:val="22802924"/>
    <w:rsid w:val="2280347F"/>
    <w:rsid w:val="22803B5C"/>
    <w:rsid w:val="22804455"/>
    <w:rsid w:val="228061C1"/>
    <w:rsid w:val="22806203"/>
    <w:rsid w:val="228126E4"/>
    <w:rsid w:val="22812984"/>
    <w:rsid w:val="22812A35"/>
    <w:rsid w:val="22813D29"/>
    <w:rsid w:val="22813DB4"/>
    <w:rsid w:val="22816985"/>
    <w:rsid w:val="22821F7B"/>
    <w:rsid w:val="2282240D"/>
    <w:rsid w:val="22822F48"/>
    <w:rsid w:val="2282338A"/>
    <w:rsid w:val="228256CF"/>
    <w:rsid w:val="22826B9D"/>
    <w:rsid w:val="22833BAF"/>
    <w:rsid w:val="22833F45"/>
    <w:rsid w:val="22834415"/>
    <w:rsid w:val="22835CF3"/>
    <w:rsid w:val="22836522"/>
    <w:rsid w:val="2284331D"/>
    <w:rsid w:val="22843C5E"/>
    <w:rsid w:val="228441F8"/>
    <w:rsid w:val="22851A6B"/>
    <w:rsid w:val="22852C8B"/>
    <w:rsid w:val="22853819"/>
    <w:rsid w:val="22861DCE"/>
    <w:rsid w:val="228662B2"/>
    <w:rsid w:val="228724F4"/>
    <w:rsid w:val="22873A35"/>
    <w:rsid w:val="22876C57"/>
    <w:rsid w:val="22880F45"/>
    <w:rsid w:val="228810CA"/>
    <w:rsid w:val="22883309"/>
    <w:rsid w:val="228850B3"/>
    <w:rsid w:val="228850B7"/>
    <w:rsid w:val="22885BF9"/>
    <w:rsid w:val="22890757"/>
    <w:rsid w:val="22890D58"/>
    <w:rsid w:val="228913AF"/>
    <w:rsid w:val="228956E4"/>
    <w:rsid w:val="228A3C4D"/>
    <w:rsid w:val="228A6385"/>
    <w:rsid w:val="228A7CE8"/>
    <w:rsid w:val="228B2608"/>
    <w:rsid w:val="228B5743"/>
    <w:rsid w:val="228C06A3"/>
    <w:rsid w:val="228C104B"/>
    <w:rsid w:val="228C12A4"/>
    <w:rsid w:val="228C2DF9"/>
    <w:rsid w:val="228C5400"/>
    <w:rsid w:val="228D0920"/>
    <w:rsid w:val="228D0C54"/>
    <w:rsid w:val="228D1DBE"/>
    <w:rsid w:val="228D3215"/>
    <w:rsid w:val="228D431D"/>
    <w:rsid w:val="228D4F28"/>
    <w:rsid w:val="228D6233"/>
    <w:rsid w:val="228D6669"/>
    <w:rsid w:val="228E40E5"/>
    <w:rsid w:val="228E4DC3"/>
    <w:rsid w:val="228F1D83"/>
    <w:rsid w:val="228F26A4"/>
    <w:rsid w:val="228F5F0E"/>
    <w:rsid w:val="22900716"/>
    <w:rsid w:val="22910410"/>
    <w:rsid w:val="22915E6A"/>
    <w:rsid w:val="22916E27"/>
    <w:rsid w:val="229202FE"/>
    <w:rsid w:val="22924D4A"/>
    <w:rsid w:val="229252F4"/>
    <w:rsid w:val="22925B3A"/>
    <w:rsid w:val="22925F36"/>
    <w:rsid w:val="2292790A"/>
    <w:rsid w:val="229305C1"/>
    <w:rsid w:val="22941494"/>
    <w:rsid w:val="22941CAE"/>
    <w:rsid w:val="22944004"/>
    <w:rsid w:val="229536BA"/>
    <w:rsid w:val="22963C78"/>
    <w:rsid w:val="22963FD0"/>
    <w:rsid w:val="22965A26"/>
    <w:rsid w:val="229667E2"/>
    <w:rsid w:val="22967014"/>
    <w:rsid w:val="22972E8D"/>
    <w:rsid w:val="229730F1"/>
    <w:rsid w:val="22976A12"/>
    <w:rsid w:val="229810B6"/>
    <w:rsid w:val="22985B55"/>
    <w:rsid w:val="22987B35"/>
    <w:rsid w:val="22995E30"/>
    <w:rsid w:val="229972C4"/>
    <w:rsid w:val="229A14A2"/>
    <w:rsid w:val="229A4CF1"/>
    <w:rsid w:val="229B128E"/>
    <w:rsid w:val="229B76D8"/>
    <w:rsid w:val="229B7E90"/>
    <w:rsid w:val="229C0309"/>
    <w:rsid w:val="229C0B63"/>
    <w:rsid w:val="229C284B"/>
    <w:rsid w:val="229C2C05"/>
    <w:rsid w:val="229C358D"/>
    <w:rsid w:val="229C483E"/>
    <w:rsid w:val="229C5732"/>
    <w:rsid w:val="229D0380"/>
    <w:rsid w:val="229D4A1D"/>
    <w:rsid w:val="229D5007"/>
    <w:rsid w:val="229D6C5D"/>
    <w:rsid w:val="229E0850"/>
    <w:rsid w:val="229E0D7F"/>
    <w:rsid w:val="229E26C4"/>
    <w:rsid w:val="229E2B2D"/>
    <w:rsid w:val="229E5EAD"/>
    <w:rsid w:val="229E75EE"/>
    <w:rsid w:val="229F0F8B"/>
    <w:rsid w:val="229F1024"/>
    <w:rsid w:val="229F21A5"/>
    <w:rsid w:val="229F500D"/>
    <w:rsid w:val="229F733D"/>
    <w:rsid w:val="22A00897"/>
    <w:rsid w:val="22A01F0E"/>
    <w:rsid w:val="22A022F8"/>
    <w:rsid w:val="22A03AC1"/>
    <w:rsid w:val="22A04AF7"/>
    <w:rsid w:val="22A05DB2"/>
    <w:rsid w:val="22A06110"/>
    <w:rsid w:val="22A07E06"/>
    <w:rsid w:val="22A17FBB"/>
    <w:rsid w:val="22A20E13"/>
    <w:rsid w:val="22A21190"/>
    <w:rsid w:val="22A2261D"/>
    <w:rsid w:val="22A24C4B"/>
    <w:rsid w:val="22A271ED"/>
    <w:rsid w:val="22A30143"/>
    <w:rsid w:val="22A304CB"/>
    <w:rsid w:val="22A31EF1"/>
    <w:rsid w:val="22A3291D"/>
    <w:rsid w:val="22A420A2"/>
    <w:rsid w:val="22A43344"/>
    <w:rsid w:val="22A43662"/>
    <w:rsid w:val="22A43F03"/>
    <w:rsid w:val="22A448F0"/>
    <w:rsid w:val="22A46395"/>
    <w:rsid w:val="22A46DF3"/>
    <w:rsid w:val="22A55C69"/>
    <w:rsid w:val="22A571A3"/>
    <w:rsid w:val="22A60DB6"/>
    <w:rsid w:val="22A6463F"/>
    <w:rsid w:val="22A664A0"/>
    <w:rsid w:val="22A67194"/>
    <w:rsid w:val="22A73EA8"/>
    <w:rsid w:val="22A77C33"/>
    <w:rsid w:val="22A87507"/>
    <w:rsid w:val="22A961CB"/>
    <w:rsid w:val="22A962FB"/>
    <w:rsid w:val="22AA14D2"/>
    <w:rsid w:val="22AA1D8E"/>
    <w:rsid w:val="22AA5D69"/>
    <w:rsid w:val="22AA6FC5"/>
    <w:rsid w:val="22AA7723"/>
    <w:rsid w:val="22AB57A1"/>
    <w:rsid w:val="22AB592F"/>
    <w:rsid w:val="22AC07EF"/>
    <w:rsid w:val="22AC091A"/>
    <w:rsid w:val="22AC31F8"/>
    <w:rsid w:val="22AC7351"/>
    <w:rsid w:val="22AC7EAF"/>
    <w:rsid w:val="22AD10FD"/>
    <w:rsid w:val="22AD4376"/>
    <w:rsid w:val="22AD5509"/>
    <w:rsid w:val="22AD703F"/>
    <w:rsid w:val="22AE0A0F"/>
    <w:rsid w:val="22AE0FC2"/>
    <w:rsid w:val="22AE59A2"/>
    <w:rsid w:val="22AE6F87"/>
    <w:rsid w:val="22AE6FFA"/>
    <w:rsid w:val="22AF0896"/>
    <w:rsid w:val="22AF297E"/>
    <w:rsid w:val="22AF3C8F"/>
    <w:rsid w:val="22AF4D3A"/>
    <w:rsid w:val="22AF5095"/>
    <w:rsid w:val="22AF69E2"/>
    <w:rsid w:val="22AF6AE8"/>
    <w:rsid w:val="22B00078"/>
    <w:rsid w:val="22B00DF2"/>
    <w:rsid w:val="22B01A03"/>
    <w:rsid w:val="22B02385"/>
    <w:rsid w:val="22B02E93"/>
    <w:rsid w:val="22B04427"/>
    <w:rsid w:val="22B07C65"/>
    <w:rsid w:val="22B10C87"/>
    <w:rsid w:val="22B12C44"/>
    <w:rsid w:val="22B20386"/>
    <w:rsid w:val="22B211CF"/>
    <w:rsid w:val="22B26EF4"/>
    <w:rsid w:val="22B33987"/>
    <w:rsid w:val="22B33E27"/>
    <w:rsid w:val="22B3482A"/>
    <w:rsid w:val="22B365D8"/>
    <w:rsid w:val="22B36C43"/>
    <w:rsid w:val="22B40DF3"/>
    <w:rsid w:val="22B42350"/>
    <w:rsid w:val="22B440FE"/>
    <w:rsid w:val="22B5020F"/>
    <w:rsid w:val="22B5347A"/>
    <w:rsid w:val="22B54083"/>
    <w:rsid w:val="22B60193"/>
    <w:rsid w:val="22B60BCA"/>
    <w:rsid w:val="22B612CF"/>
    <w:rsid w:val="22B61C24"/>
    <w:rsid w:val="22B66D05"/>
    <w:rsid w:val="22B67E76"/>
    <w:rsid w:val="22B80702"/>
    <w:rsid w:val="22B83BEE"/>
    <w:rsid w:val="22B85272"/>
    <w:rsid w:val="22B8599C"/>
    <w:rsid w:val="22B86015"/>
    <w:rsid w:val="22B86BE0"/>
    <w:rsid w:val="22B91715"/>
    <w:rsid w:val="22B92E50"/>
    <w:rsid w:val="22B97967"/>
    <w:rsid w:val="22BA3F45"/>
    <w:rsid w:val="22BA52B9"/>
    <w:rsid w:val="22BA585A"/>
    <w:rsid w:val="22BA5C2C"/>
    <w:rsid w:val="22BB4129"/>
    <w:rsid w:val="22BB450E"/>
    <w:rsid w:val="22BB548D"/>
    <w:rsid w:val="22BB7D9E"/>
    <w:rsid w:val="22BC0615"/>
    <w:rsid w:val="22BC1E2D"/>
    <w:rsid w:val="22BC21BC"/>
    <w:rsid w:val="22BC2B77"/>
    <w:rsid w:val="22BC333A"/>
    <w:rsid w:val="22BC7FA6"/>
    <w:rsid w:val="22BD1205"/>
    <w:rsid w:val="22BD1FCA"/>
    <w:rsid w:val="22BD7457"/>
    <w:rsid w:val="22BE4F7D"/>
    <w:rsid w:val="22BE552A"/>
    <w:rsid w:val="22BE6D2B"/>
    <w:rsid w:val="22BF31CF"/>
    <w:rsid w:val="22BF3CF0"/>
    <w:rsid w:val="22BF6E0C"/>
    <w:rsid w:val="22C00CF5"/>
    <w:rsid w:val="22C02987"/>
    <w:rsid w:val="22C02AA3"/>
    <w:rsid w:val="22C0346C"/>
    <w:rsid w:val="22C04851"/>
    <w:rsid w:val="22C05DAF"/>
    <w:rsid w:val="22C05FBD"/>
    <w:rsid w:val="22C14395"/>
    <w:rsid w:val="22C146E6"/>
    <w:rsid w:val="22C165A2"/>
    <w:rsid w:val="22C203EF"/>
    <w:rsid w:val="22C24A6D"/>
    <w:rsid w:val="22C24E29"/>
    <w:rsid w:val="22C273EC"/>
    <w:rsid w:val="22C273F8"/>
    <w:rsid w:val="22C27B2D"/>
    <w:rsid w:val="22C27CCF"/>
    <w:rsid w:val="22C30DDA"/>
    <w:rsid w:val="22C32593"/>
    <w:rsid w:val="22C34341"/>
    <w:rsid w:val="22C34EB6"/>
    <w:rsid w:val="22C35A9C"/>
    <w:rsid w:val="22C407E5"/>
    <w:rsid w:val="22C40D65"/>
    <w:rsid w:val="22C40F86"/>
    <w:rsid w:val="22C42DAB"/>
    <w:rsid w:val="22C4671F"/>
    <w:rsid w:val="22C500B9"/>
    <w:rsid w:val="22C51464"/>
    <w:rsid w:val="22C5159D"/>
    <w:rsid w:val="22C5237D"/>
    <w:rsid w:val="22C52943"/>
    <w:rsid w:val="22C5455D"/>
    <w:rsid w:val="22C561ED"/>
    <w:rsid w:val="22C56B99"/>
    <w:rsid w:val="22C56FCE"/>
    <w:rsid w:val="22C57F53"/>
    <w:rsid w:val="22C62C86"/>
    <w:rsid w:val="22C63058"/>
    <w:rsid w:val="22C65F4B"/>
    <w:rsid w:val="22C667F9"/>
    <w:rsid w:val="22C70A19"/>
    <w:rsid w:val="22C72083"/>
    <w:rsid w:val="22C73E32"/>
    <w:rsid w:val="22C750B8"/>
    <w:rsid w:val="22C75BE0"/>
    <w:rsid w:val="22C77D9E"/>
    <w:rsid w:val="22C81958"/>
    <w:rsid w:val="22C81DA4"/>
    <w:rsid w:val="22C829FD"/>
    <w:rsid w:val="22C87CCC"/>
    <w:rsid w:val="22C91430"/>
    <w:rsid w:val="22C94716"/>
    <w:rsid w:val="22C94D0D"/>
    <w:rsid w:val="22C95DFC"/>
    <w:rsid w:val="22C96AB5"/>
    <w:rsid w:val="22C97A54"/>
    <w:rsid w:val="22C97BAA"/>
    <w:rsid w:val="22CA1117"/>
    <w:rsid w:val="22CA1B74"/>
    <w:rsid w:val="22CA265E"/>
    <w:rsid w:val="22CA34D9"/>
    <w:rsid w:val="22CA3922"/>
    <w:rsid w:val="22CA4670"/>
    <w:rsid w:val="22CA6571"/>
    <w:rsid w:val="22CB0222"/>
    <w:rsid w:val="22CB7581"/>
    <w:rsid w:val="22CC1448"/>
    <w:rsid w:val="22CC1F99"/>
    <w:rsid w:val="22CC2093"/>
    <w:rsid w:val="22CC31F6"/>
    <w:rsid w:val="22CC769A"/>
    <w:rsid w:val="22CD5550"/>
    <w:rsid w:val="22CD677D"/>
    <w:rsid w:val="22CD6979"/>
    <w:rsid w:val="22CE2A81"/>
    <w:rsid w:val="22CE45E7"/>
    <w:rsid w:val="22CE5597"/>
    <w:rsid w:val="22CF0F38"/>
    <w:rsid w:val="22CF1001"/>
    <w:rsid w:val="22CF4CD7"/>
    <w:rsid w:val="22CF5546"/>
    <w:rsid w:val="22CF641B"/>
    <w:rsid w:val="22CF718A"/>
    <w:rsid w:val="22D02298"/>
    <w:rsid w:val="22D051C4"/>
    <w:rsid w:val="22D120E3"/>
    <w:rsid w:val="22D12F02"/>
    <w:rsid w:val="22D13EAF"/>
    <w:rsid w:val="22D23E89"/>
    <w:rsid w:val="22D240F1"/>
    <w:rsid w:val="22D30A28"/>
    <w:rsid w:val="22D327F6"/>
    <w:rsid w:val="22D34ED0"/>
    <w:rsid w:val="22D35427"/>
    <w:rsid w:val="22D3676C"/>
    <w:rsid w:val="22D36C7A"/>
    <w:rsid w:val="22D37516"/>
    <w:rsid w:val="22D40A6D"/>
    <w:rsid w:val="22D40E4F"/>
    <w:rsid w:val="22D41452"/>
    <w:rsid w:val="22D447A0"/>
    <w:rsid w:val="22D5370A"/>
    <w:rsid w:val="22D541BC"/>
    <w:rsid w:val="22D554DA"/>
    <w:rsid w:val="22D55FE0"/>
    <w:rsid w:val="22D61D61"/>
    <w:rsid w:val="22D61E2F"/>
    <w:rsid w:val="22D64075"/>
    <w:rsid w:val="22D6545D"/>
    <w:rsid w:val="22D672F9"/>
    <w:rsid w:val="22D70D0F"/>
    <w:rsid w:val="22D7223A"/>
    <w:rsid w:val="22D80C7C"/>
    <w:rsid w:val="22D825EC"/>
    <w:rsid w:val="22D857DD"/>
    <w:rsid w:val="22D8603F"/>
    <w:rsid w:val="22D86971"/>
    <w:rsid w:val="22D87DED"/>
    <w:rsid w:val="22D905E5"/>
    <w:rsid w:val="22D9108B"/>
    <w:rsid w:val="22D95606"/>
    <w:rsid w:val="22DA1DB7"/>
    <w:rsid w:val="22DA21F5"/>
    <w:rsid w:val="22DA4956"/>
    <w:rsid w:val="22DB758F"/>
    <w:rsid w:val="22DB78DD"/>
    <w:rsid w:val="22DC4C14"/>
    <w:rsid w:val="22DC5D6D"/>
    <w:rsid w:val="22DC5E4E"/>
    <w:rsid w:val="22DC61B1"/>
    <w:rsid w:val="22DD18A7"/>
    <w:rsid w:val="22DD1EAF"/>
    <w:rsid w:val="22DD47A1"/>
    <w:rsid w:val="22DD5403"/>
    <w:rsid w:val="22DD68F0"/>
    <w:rsid w:val="22DD7696"/>
    <w:rsid w:val="22DE28D4"/>
    <w:rsid w:val="22DE2A04"/>
    <w:rsid w:val="22DE333F"/>
    <w:rsid w:val="22DE66EE"/>
    <w:rsid w:val="22DF27E2"/>
    <w:rsid w:val="22DF3C56"/>
    <w:rsid w:val="22DF561F"/>
    <w:rsid w:val="22DF73CD"/>
    <w:rsid w:val="22E022F6"/>
    <w:rsid w:val="22E03001"/>
    <w:rsid w:val="22E03145"/>
    <w:rsid w:val="22E04DB5"/>
    <w:rsid w:val="22E073A0"/>
    <w:rsid w:val="22E10830"/>
    <w:rsid w:val="22E20C6B"/>
    <w:rsid w:val="22E22A19"/>
    <w:rsid w:val="22E2342E"/>
    <w:rsid w:val="22E27AE4"/>
    <w:rsid w:val="22E27D48"/>
    <w:rsid w:val="22E3312B"/>
    <w:rsid w:val="22E36DE7"/>
    <w:rsid w:val="22E40783"/>
    <w:rsid w:val="22E432F4"/>
    <w:rsid w:val="22E438B0"/>
    <w:rsid w:val="22E43AD9"/>
    <w:rsid w:val="22E50641"/>
    <w:rsid w:val="22E5075C"/>
    <w:rsid w:val="22E51AA3"/>
    <w:rsid w:val="22E5250A"/>
    <w:rsid w:val="22E52C5D"/>
    <w:rsid w:val="22E542B8"/>
    <w:rsid w:val="22E569AE"/>
    <w:rsid w:val="22E63501"/>
    <w:rsid w:val="22E64A74"/>
    <w:rsid w:val="22E7139B"/>
    <w:rsid w:val="22E714B2"/>
    <w:rsid w:val="22E72F61"/>
    <w:rsid w:val="22E73CD6"/>
    <w:rsid w:val="22E749B8"/>
    <w:rsid w:val="22E76282"/>
    <w:rsid w:val="22E837C8"/>
    <w:rsid w:val="22E85121"/>
    <w:rsid w:val="22E86488"/>
    <w:rsid w:val="22E9120F"/>
    <w:rsid w:val="22E9145B"/>
    <w:rsid w:val="22E91FFA"/>
    <w:rsid w:val="22E95449"/>
    <w:rsid w:val="22EA0ED9"/>
    <w:rsid w:val="22EA18E2"/>
    <w:rsid w:val="22EA3EFF"/>
    <w:rsid w:val="22EA46A6"/>
    <w:rsid w:val="22EA5D72"/>
    <w:rsid w:val="22EA7B20"/>
    <w:rsid w:val="22EB114A"/>
    <w:rsid w:val="22EB4BFE"/>
    <w:rsid w:val="22EB5418"/>
    <w:rsid w:val="22EB786E"/>
    <w:rsid w:val="22EC0514"/>
    <w:rsid w:val="22EC14D0"/>
    <w:rsid w:val="22EC157A"/>
    <w:rsid w:val="22EC1AEA"/>
    <w:rsid w:val="22EC4030"/>
    <w:rsid w:val="22EC5692"/>
    <w:rsid w:val="22EC6561"/>
    <w:rsid w:val="22EC6584"/>
    <w:rsid w:val="22ED0263"/>
    <w:rsid w:val="22ED400C"/>
    <w:rsid w:val="22EE0C3C"/>
    <w:rsid w:val="22EE13BE"/>
    <w:rsid w:val="22EE590D"/>
    <w:rsid w:val="22EE7610"/>
    <w:rsid w:val="22EE7A66"/>
    <w:rsid w:val="22EF3388"/>
    <w:rsid w:val="22EF4C39"/>
    <w:rsid w:val="22EF62E2"/>
    <w:rsid w:val="22EF7F56"/>
    <w:rsid w:val="22F00FD4"/>
    <w:rsid w:val="22F015DA"/>
    <w:rsid w:val="22F021EE"/>
    <w:rsid w:val="22F0245F"/>
    <w:rsid w:val="22F04EC4"/>
    <w:rsid w:val="22F10EAE"/>
    <w:rsid w:val="22F12045"/>
    <w:rsid w:val="22F12D22"/>
    <w:rsid w:val="22F1429A"/>
    <w:rsid w:val="22F14D11"/>
    <w:rsid w:val="22F15064"/>
    <w:rsid w:val="22F15352"/>
    <w:rsid w:val="22F15AA5"/>
    <w:rsid w:val="22F17100"/>
    <w:rsid w:val="22F201F6"/>
    <w:rsid w:val="22F20399"/>
    <w:rsid w:val="22F21451"/>
    <w:rsid w:val="22F32404"/>
    <w:rsid w:val="22F340D5"/>
    <w:rsid w:val="22F3442E"/>
    <w:rsid w:val="22F352C4"/>
    <w:rsid w:val="22F369D5"/>
    <w:rsid w:val="22F378F8"/>
    <w:rsid w:val="22F4099F"/>
    <w:rsid w:val="22F4274D"/>
    <w:rsid w:val="22F43EB0"/>
    <w:rsid w:val="22F4598A"/>
    <w:rsid w:val="22F46CA6"/>
    <w:rsid w:val="22F5590A"/>
    <w:rsid w:val="22F55C75"/>
    <w:rsid w:val="22F56BF1"/>
    <w:rsid w:val="22F5768A"/>
    <w:rsid w:val="22F60D10"/>
    <w:rsid w:val="22F6173B"/>
    <w:rsid w:val="22F62969"/>
    <w:rsid w:val="22F63FB9"/>
    <w:rsid w:val="22F651A0"/>
    <w:rsid w:val="22F664C5"/>
    <w:rsid w:val="22F71CC2"/>
    <w:rsid w:val="22F76557"/>
    <w:rsid w:val="22F76E58"/>
    <w:rsid w:val="22F772D3"/>
    <w:rsid w:val="22F776BE"/>
    <w:rsid w:val="22F77D80"/>
    <w:rsid w:val="22F8048F"/>
    <w:rsid w:val="22F80DB4"/>
    <w:rsid w:val="22F8223D"/>
    <w:rsid w:val="22F822B9"/>
    <w:rsid w:val="22F82D61"/>
    <w:rsid w:val="22F83EE6"/>
    <w:rsid w:val="22F917D2"/>
    <w:rsid w:val="22F921DA"/>
    <w:rsid w:val="22F921DD"/>
    <w:rsid w:val="22F924C0"/>
    <w:rsid w:val="22F9252C"/>
    <w:rsid w:val="22F928B0"/>
    <w:rsid w:val="22FB1A45"/>
    <w:rsid w:val="22FB1D2D"/>
    <w:rsid w:val="22FC3486"/>
    <w:rsid w:val="22FC5768"/>
    <w:rsid w:val="22FD1499"/>
    <w:rsid w:val="22FD282C"/>
    <w:rsid w:val="22FD7853"/>
    <w:rsid w:val="22FD7D58"/>
    <w:rsid w:val="22FE11E8"/>
    <w:rsid w:val="22FE3D86"/>
    <w:rsid w:val="22FE5379"/>
    <w:rsid w:val="22FE61AB"/>
    <w:rsid w:val="22FE78E3"/>
    <w:rsid w:val="22FE7F2C"/>
    <w:rsid w:val="22FF0AD8"/>
    <w:rsid w:val="22FF3465"/>
    <w:rsid w:val="22FF35CB"/>
    <w:rsid w:val="22FF6D0B"/>
    <w:rsid w:val="22FF7A6F"/>
    <w:rsid w:val="230010F2"/>
    <w:rsid w:val="23003D04"/>
    <w:rsid w:val="23006217"/>
    <w:rsid w:val="23007343"/>
    <w:rsid w:val="23012AEC"/>
    <w:rsid w:val="2301789E"/>
    <w:rsid w:val="2302130E"/>
    <w:rsid w:val="230227D1"/>
    <w:rsid w:val="230230BC"/>
    <w:rsid w:val="23023DCE"/>
    <w:rsid w:val="2302455E"/>
    <w:rsid w:val="23024E6A"/>
    <w:rsid w:val="230266A8"/>
    <w:rsid w:val="23030625"/>
    <w:rsid w:val="23030E16"/>
    <w:rsid w:val="23040D51"/>
    <w:rsid w:val="230437E8"/>
    <w:rsid w:val="23043814"/>
    <w:rsid w:val="23045086"/>
    <w:rsid w:val="23045E7F"/>
    <w:rsid w:val="23046E34"/>
    <w:rsid w:val="230476A6"/>
    <w:rsid w:val="23052BAC"/>
    <w:rsid w:val="23053E1A"/>
    <w:rsid w:val="23054B56"/>
    <w:rsid w:val="230610BB"/>
    <w:rsid w:val="230722D5"/>
    <w:rsid w:val="23072480"/>
    <w:rsid w:val="2308279A"/>
    <w:rsid w:val="230839BF"/>
    <w:rsid w:val="23090C46"/>
    <w:rsid w:val="2309151D"/>
    <w:rsid w:val="23094035"/>
    <w:rsid w:val="23094143"/>
    <w:rsid w:val="2309444A"/>
    <w:rsid w:val="23095C8A"/>
    <w:rsid w:val="23097A3C"/>
    <w:rsid w:val="230A0ECC"/>
    <w:rsid w:val="230A3253"/>
    <w:rsid w:val="230A680B"/>
    <w:rsid w:val="230A7BD5"/>
    <w:rsid w:val="230B278C"/>
    <w:rsid w:val="230C3F3A"/>
    <w:rsid w:val="230C5CE8"/>
    <w:rsid w:val="230D2394"/>
    <w:rsid w:val="230D2900"/>
    <w:rsid w:val="230D59A0"/>
    <w:rsid w:val="230D7BEE"/>
    <w:rsid w:val="230E1086"/>
    <w:rsid w:val="230E1F7C"/>
    <w:rsid w:val="230E433A"/>
    <w:rsid w:val="230E45B8"/>
    <w:rsid w:val="230E5CCA"/>
    <w:rsid w:val="230E7D09"/>
    <w:rsid w:val="230F1632"/>
    <w:rsid w:val="230F1DBD"/>
    <w:rsid w:val="230F271A"/>
    <w:rsid w:val="230F2D1B"/>
    <w:rsid w:val="230F38AE"/>
    <w:rsid w:val="230F5B02"/>
    <w:rsid w:val="230F68DD"/>
    <w:rsid w:val="230F6CB4"/>
    <w:rsid w:val="230F7587"/>
    <w:rsid w:val="23101ECA"/>
    <w:rsid w:val="23103A2A"/>
    <w:rsid w:val="23111551"/>
    <w:rsid w:val="231132FF"/>
    <w:rsid w:val="231134BB"/>
    <w:rsid w:val="23137077"/>
    <w:rsid w:val="23141466"/>
    <w:rsid w:val="23141599"/>
    <w:rsid w:val="23141BD6"/>
    <w:rsid w:val="23144B9D"/>
    <w:rsid w:val="23146030"/>
    <w:rsid w:val="23151041"/>
    <w:rsid w:val="23152DEF"/>
    <w:rsid w:val="23154F4B"/>
    <w:rsid w:val="23155542"/>
    <w:rsid w:val="23160099"/>
    <w:rsid w:val="23166B67"/>
    <w:rsid w:val="23171407"/>
    <w:rsid w:val="23172040"/>
    <w:rsid w:val="23173B9B"/>
    <w:rsid w:val="23181A3F"/>
    <w:rsid w:val="231828DF"/>
    <w:rsid w:val="23187007"/>
    <w:rsid w:val="231921B3"/>
    <w:rsid w:val="23193BF9"/>
    <w:rsid w:val="231964E4"/>
    <w:rsid w:val="23197531"/>
    <w:rsid w:val="231A0405"/>
    <w:rsid w:val="231A27B8"/>
    <w:rsid w:val="231A32EF"/>
    <w:rsid w:val="231A788F"/>
    <w:rsid w:val="231B12FE"/>
    <w:rsid w:val="231B20E7"/>
    <w:rsid w:val="231B2439"/>
    <w:rsid w:val="231B5F2B"/>
    <w:rsid w:val="231C1243"/>
    <w:rsid w:val="231C3C35"/>
    <w:rsid w:val="231C5246"/>
    <w:rsid w:val="231D3613"/>
    <w:rsid w:val="231D4771"/>
    <w:rsid w:val="231D4FDB"/>
    <w:rsid w:val="231D5E1C"/>
    <w:rsid w:val="231D6147"/>
    <w:rsid w:val="231D6618"/>
    <w:rsid w:val="231D7568"/>
    <w:rsid w:val="231E23B8"/>
    <w:rsid w:val="231E35E8"/>
    <w:rsid w:val="231E3C15"/>
    <w:rsid w:val="231E41A0"/>
    <w:rsid w:val="231E41C4"/>
    <w:rsid w:val="231E77CA"/>
    <w:rsid w:val="231F36C8"/>
    <w:rsid w:val="231F3C6E"/>
    <w:rsid w:val="231F4E1A"/>
    <w:rsid w:val="23205778"/>
    <w:rsid w:val="23205AE3"/>
    <w:rsid w:val="232079E6"/>
    <w:rsid w:val="23210655"/>
    <w:rsid w:val="2321270B"/>
    <w:rsid w:val="23213656"/>
    <w:rsid w:val="23214289"/>
    <w:rsid w:val="23220473"/>
    <w:rsid w:val="2322369D"/>
    <w:rsid w:val="2322375E"/>
    <w:rsid w:val="2322550C"/>
    <w:rsid w:val="2322567B"/>
    <w:rsid w:val="2322576C"/>
    <w:rsid w:val="23227153"/>
    <w:rsid w:val="2324077C"/>
    <w:rsid w:val="23241049"/>
    <w:rsid w:val="23243DBA"/>
    <w:rsid w:val="232442AC"/>
    <w:rsid w:val="23244949"/>
    <w:rsid w:val="232454A7"/>
    <w:rsid w:val="232474D6"/>
    <w:rsid w:val="23250A35"/>
    <w:rsid w:val="23256B98"/>
    <w:rsid w:val="2326178D"/>
    <w:rsid w:val="2326220F"/>
    <w:rsid w:val="23264FFC"/>
    <w:rsid w:val="23265367"/>
    <w:rsid w:val="2326782E"/>
    <w:rsid w:val="23271BC3"/>
    <w:rsid w:val="23273B50"/>
    <w:rsid w:val="23273FB2"/>
    <w:rsid w:val="232748D0"/>
    <w:rsid w:val="23276347"/>
    <w:rsid w:val="232800C1"/>
    <w:rsid w:val="232874B6"/>
    <w:rsid w:val="23294712"/>
    <w:rsid w:val="23294CE1"/>
    <w:rsid w:val="23295D58"/>
    <w:rsid w:val="2329689A"/>
    <w:rsid w:val="232A22E9"/>
    <w:rsid w:val="232A23C8"/>
    <w:rsid w:val="232A43C0"/>
    <w:rsid w:val="232A616E"/>
    <w:rsid w:val="232B1946"/>
    <w:rsid w:val="232B2612"/>
    <w:rsid w:val="232B3EEE"/>
    <w:rsid w:val="232B5A8E"/>
    <w:rsid w:val="232B5AD0"/>
    <w:rsid w:val="232B5D1D"/>
    <w:rsid w:val="232B7E64"/>
    <w:rsid w:val="232C1EE7"/>
    <w:rsid w:val="232C5B89"/>
    <w:rsid w:val="232C7DA6"/>
    <w:rsid w:val="232D0EB7"/>
    <w:rsid w:val="232D1C78"/>
    <w:rsid w:val="232D270C"/>
    <w:rsid w:val="232D3CFA"/>
    <w:rsid w:val="232D4730"/>
    <w:rsid w:val="232D5CE8"/>
    <w:rsid w:val="232E07E1"/>
    <w:rsid w:val="232E17A2"/>
    <w:rsid w:val="232E37AC"/>
    <w:rsid w:val="232E3830"/>
    <w:rsid w:val="232E3EB1"/>
    <w:rsid w:val="232E517A"/>
    <w:rsid w:val="232E5C5F"/>
    <w:rsid w:val="232F1757"/>
    <w:rsid w:val="232F3F5B"/>
    <w:rsid w:val="23300D0E"/>
    <w:rsid w:val="23304CF5"/>
    <w:rsid w:val="23304FCB"/>
    <w:rsid w:val="233065B1"/>
    <w:rsid w:val="23311E82"/>
    <w:rsid w:val="2331583C"/>
    <w:rsid w:val="233200D8"/>
    <w:rsid w:val="2332042B"/>
    <w:rsid w:val="23330D05"/>
    <w:rsid w:val="233311A8"/>
    <w:rsid w:val="233314C7"/>
    <w:rsid w:val="23333275"/>
    <w:rsid w:val="2333587D"/>
    <w:rsid w:val="23337719"/>
    <w:rsid w:val="23353491"/>
    <w:rsid w:val="2335523F"/>
    <w:rsid w:val="233564C2"/>
    <w:rsid w:val="23356FED"/>
    <w:rsid w:val="2336162A"/>
    <w:rsid w:val="23364E68"/>
    <w:rsid w:val="23370894"/>
    <w:rsid w:val="2337362C"/>
    <w:rsid w:val="23377209"/>
    <w:rsid w:val="2337734B"/>
    <w:rsid w:val="23381379"/>
    <w:rsid w:val="233832E5"/>
    <w:rsid w:val="23384430"/>
    <w:rsid w:val="23385292"/>
    <w:rsid w:val="23386ADD"/>
    <w:rsid w:val="233877B9"/>
    <w:rsid w:val="23390242"/>
    <w:rsid w:val="23390980"/>
    <w:rsid w:val="233949C5"/>
    <w:rsid w:val="23394EE0"/>
    <w:rsid w:val="23397A01"/>
    <w:rsid w:val="233A1493"/>
    <w:rsid w:val="233A2855"/>
    <w:rsid w:val="233A362D"/>
    <w:rsid w:val="233A4603"/>
    <w:rsid w:val="233A7FAB"/>
    <w:rsid w:val="233B035E"/>
    <w:rsid w:val="233B037C"/>
    <w:rsid w:val="233B2F26"/>
    <w:rsid w:val="233B3AEA"/>
    <w:rsid w:val="233B6F4A"/>
    <w:rsid w:val="233C09BE"/>
    <w:rsid w:val="233C28CB"/>
    <w:rsid w:val="233C481F"/>
    <w:rsid w:val="233C71B0"/>
    <w:rsid w:val="233D2346"/>
    <w:rsid w:val="233D40F4"/>
    <w:rsid w:val="233D4A78"/>
    <w:rsid w:val="233D617F"/>
    <w:rsid w:val="233E0735"/>
    <w:rsid w:val="233E5F42"/>
    <w:rsid w:val="233E74C3"/>
    <w:rsid w:val="233E7DBC"/>
    <w:rsid w:val="233F14BC"/>
    <w:rsid w:val="233F1C1A"/>
    <w:rsid w:val="233F34B8"/>
    <w:rsid w:val="234026DC"/>
    <w:rsid w:val="23403BE4"/>
    <w:rsid w:val="2340582B"/>
    <w:rsid w:val="23405992"/>
    <w:rsid w:val="234111AB"/>
    <w:rsid w:val="23411E36"/>
    <w:rsid w:val="23417877"/>
    <w:rsid w:val="2342170A"/>
    <w:rsid w:val="23425BAE"/>
    <w:rsid w:val="2342795C"/>
    <w:rsid w:val="23430E21"/>
    <w:rsid w:val="234408C4"/>
    <w:rsid w:val="234437D4"/>
    <w:rsid w:val="23451001"/>
    <w:rsid w:val="23451A70"/>
    <w:rsid w:val="23452FA8"/>
    <w:rsid w:val="23455D5E"/>
    <w:rsid w:val="234601E5"/>
    <w:rsid w:val="23460B1A"/>
    <w:rsid w:val="234611FA"/>
    <w:rsid w:val="2346265E"/>
    <w:rsid w:val="23464B28"/>
    <w:rsid w:val="2346744C"/>
    <w:rsid w:val="23472CD9"/>
    <w:rsid w:val="234735A2"/>
    <w:rsid w:val="23476D20"/>
    <w:rsid w:val="234813CA"/>
    <w:rsid w:val="2348359C"/>
    <w:rsid w:val="23486076"/>
    <w:rsid w:val="23492A98"/>
    <w:rsid w:val="23493293"/>
    <w:rsid w:val="234A4D36"/>
    <w:rsid w:val="234A6C13"/>
    <w:rsid w:val="234B1D50"/>
    <w:rsid w:val="234B6811"/>
    <w:rsid w:val="234C1912"/>
    <w:rsid w:val="234C2589"/>
    <w:rsid w:val="234C3481"/>
    <w:rsid w:val="234C4318"/>
    <w:rsid w:val="234C4337"/>
    <w:rsid w:val="234C67AB"/>
    <w:rsid w:val="234C6FD6"/>
    <w:rsid w:val="234C7E04"/>
    <w:rsid w:val="234D00C8"/>
    <w:rsid w:val="234D0CCE"/>
    <w:rsid w:val="234D0DEF"/>
    <w:rsid w:val="234E00AF"/>
    <w:rsid w:val="234E4553"/>
    <w:rsid w:val="234E4CF9"/>
    <w:rsid w:val="234E6170"/>
    <w:rsid w:val="234E6395"/>
    <w:rsid w:val="234F0D41"/>
    <w:rsid w:val="234F3E1D"/>
    <w:rsid w:val="234F4E4B"/>
    <w:rsid w:val="234F5BD5"/>
    <w:rsid w:val="234F7600"/>
    <w:rsid w:val="235002CB"/>
    <w:rsid w:val="23502079"/>
    <w:rsid w:val="235038E4"/>
    <w:rsid w:val="2350425F"/>
    <w:rsid w:val="23507A08"/>
    <w:rsid w:val="23510016"/>
    <w:rsid w:val="2351194D"/>
    <w:rsid w:val="235129A5"/>
    <w:rsid w:val="2351489B"/>
    <w:rsid w:val="23515DF1"/>
    <w:rsid w:val="23522407"/>
    <w:rsid w:val="235235E8"/>
    <w:rsid w:val="23524EC0"/>
    <w:rsid w:val="23526C3F"/>
    <w:rsid w:val="23527D81"/>
    <w:rsid w:val="23530B52"/>
    <w:rsid w:val="23530CAA"/>
    <w:rsid w:val="23533FF4"/>
    <w:rsid w:val="235342D2"/>
    <w:rsid w:val="235356C5"/>
    <w:rsid w:val="2355143D"/>
    <w:rsid w:val="235514D8"/>
    <w:rsid w:val="235541F8"/>
    <w:rsid w:val="235558E1"/>
    <w:rsid w:val="2355768F"/>
    <w:rsid w:val="23571659"/>
    <w:rsid w:val="2357206B"/>
    <w:rsid w:val="23573624"/>
    <w:rsid w:val="23573A0A"/>
    <w:rsid w:val="23577122"/>
    <w:rsid w:val="23580EA3"/>
    <w:rsid w:val="23582CDC"/>
    <w:rsid w:val="2359039B"/>
    <w:rsid w:val="23592248"/>
    <w:rsid w:val="23592BE4"/>
    <w:rsid w:val="23595C25"/>
    <w:rsid w:val="23597885"/>
    <w:rsid w:val="235A2EF8"/>
    <w:rsid w:val="235A7016"/>
    <w:rsid w:val="235A7670"/>
    <w:rsid w:val="235B1EB5"/>
    <w:rsid w:val="235B27CC"/>
    <w:rsid w:val="235B723C"/>
    <w:rsid w:val="235B72E4"/>
    <w:rsid w:val="235C0A1E"/>
    <w:rsid w:val="235D02F2"/>
    <w:rsid w:val="235D1923"/>
    <w:rsid w:val="235D1B4E"/>
    <w:rsid w:val="235D1FB8"/>
    <w:rsid w:val="235D2A0A"/>
    <w:rsid w:val="235D6544"/>
    <w:rsid w:val="235E1F23"/>
    <w:rsid w:val="235E4472"/>
    <w:rsid w:val="235E7C95"/>
    <w:rsid w:val="235F050E"/>
    <w:rsid w:val="235F1CD3"/>
    <w:rsid w:val="235F22BC"/>
    <w:rsid w:val="235F2B11"/>
    <w:rsid w:val="235F2E2A"/>
    <w:rsid w:val="235F31BA"/>
    <w:rsid w:val="235F43AF"/>
    <w:rsid w:val="23605DC6"/>
    <w:rsid w:val="23612F14"/>
    <w:rsid w:val="23614286"/>
    <w:rsid w:val="2361555B"/>
    <w:rsid w:val="2361653C"/>
    <w:rsid w:val="23617BFC"/>
    <w:rsid w:val="23617E88"/>
    <w:rsid w:val="23623B5A"/>
    <w:rsid w:val="23624B2C"/>
    <w:rsid w:val="23626A3A"/>
    <w:rsid w:val="23626D5D"/>
    <w:rsid w:val="23627066"/>
    <w:rsid w:val="23627FFE"/>
    <w:rsid w:val="23631F6D"/>
    <w:rsid w:val="23635A76"/>
    <w:rsid w:val="236413C1"/>
    <w:rsid w:val="23641680"/>
    <w:rsid w:val="2364216F"/>
    <w:rsid w:val="236455DD"/>
    <w:rsid w:val="23645B24"/>
    <w:rsid w:val="23647163"/>
    <w:rsid w:val="23650433"/>
    <w:rsid w:val="23651E6A"/>
    <w:rsid w:val="236524B6"/>
    <w:rsid w:val="23654110"/>
    <w:rsid w:val="236570DC"/>
    <w:rsid w:val="2366189C"/>
    <w:rsid w:val="23662018"/>
    <w:rsid w:val="236636BF"/>
    <w:rsid w:val="23671171"/>
    <w:rsid w:val="23671E85"/>
    <w:rsid w:val="23675615"/>
    <w:rsid w:val="23676113"/>
    <w:rsid w:val="23676131"/>
    <w:rsid w:val="236818E8"/>
    <w:rsid w:val="2368207F"/>
    <w:rsid w:val="23685886"/>
    <w:rsid w:val="23690F67"/>
    <w:rsid w:val="2369138D"/>
    <w:rsid w:val="236924A2"/>
    <w:rsid w:val="2369313B"/>
    <w:rsid w:val="23694BEA"/>
    <w:rsid w:val="23694EE9"/>
    <w:rsid w:val="236976F3"/>
    <w:rsid w:val="236A6A28"/>
    <w:rsid w:val="236B060D"/>
    <w:rsid w:val="236B0C61"/>
    <w:rsid w:val="236B0D24"/>
    <w:rsid w:val="236B1E10"/>
    <w:rsid w:val="236B2A0F"/>
    <w:rsid w:val="236B4E8B"/>
    <w:rsid w:val="236B6DD9"/>
    <w:rsid w:val="236B6EB3"/>
    <w:rsid w:val="236C16DB"/>
    <w:rsid w:val="236C3A60"/>
    <w:rsid w:val="236D16F9"/>
    <w:rsid w:val="236D1E9C"/>
    <w:rsid w:val="236E30A1"/>
    <w:rsid w:val="236E328C"/>
    <w:rsid w:val="236E5CF9"/>
    <w:rsid w:val="236F32B7"/>
    <w:rsid w:val="236F39C5"/>
    <w:rsid w:val="236F4A16"/>
    <w:rsid w:val="236F7748"/>
    <w:rsid w:val="23700293"/>
    <w:rsid w:val="23700878"/>
    <w:rsid w:val="23704364"/>
    <w:rsid w:val="237044C9"/>
    <w:rsid w:val="23706277"/>
    <w:rsid w:val="237102BA"/>
    <w:rsid w:val="23713D9D"/>
    <w:rsid w:val="237150A1"/>
    <w:rsid w:val="2371617C"/>
    <w:rsid w:val="23717CB9"/>
    <w:rsid w:val="23720241"/>
    <w:rsid w:val="23722133"/>
    <w:rsid w:val="237230CD"/>
    <w:rsid w:val="23723FB5"/>
    <w:rsid w:val="23724625"/>
    <w:rsid w:val="2372556B"/>
    <w:rsid w:val="2373099E"/>
    <w:rsid w:val="23730CF8"/>
    <w:rsid w:val="23731435"/>
    <w:rsid w:val="23732914"/>
    <w:rsid w:val="2373391A"/>
    <w:rsid w:val="23733FB9"/>
    <w:rsid w:val="23735D67"/>
    <w:rsid w:val="237369FB"/>
    <w:rsid w:val="23737B15"/>
    <w:rsid w:val="2374262E"/>
    <w:rsid w:val="23742E99"/>
    <w:rsid w:val="23747652"/>
    <w:rsid w:val="237501B7"/>
    <w:rsid w:val="2375388E"/>
    <w:rsid w:val="23753A1F"/>
    <w:rsid w:val="237613B4"/>
    <w:rsid w:val="23762487"/>
    <w:rsid w:val="237648E5"/>
    <w:rsid w:val="23764F89"/>
    <w:rsid w:val="2376534B"/>
    <w:rsid w:val="23767606"/>
    <w:rsid w:val="23773578"/>
    <w:rsid w:val="2377537C"/>
    <w:rsid w:val="23776020"/>
    <w:rsid w:val="237813DD"/>
    <w:rsid w:val="23781410"/>
    <w:rsid w:val="237815D0"/>
    <w:rsid w:val="2378523C"/>
    <w:rsid w:val="23785E9B"/>
    <w:rsid w:val="237869FA"/>
    <w:rsid w:val="23786CA6"/>
    <w:rsid w:val="2379286D"/>
    <w:rsid w:val="23795C2F"/>
    <w:rsid w:val="23797052"/>
    <w:rsid w:val="23797539"/>
    <w:rsid w:val="237A0EA4"/>
    <w:rsid w:val="237A3CFD"/>
    <w:rsid w:val="237A7A3C"/>
    <w:rsid w:val="237A7FB1"/>
    <w:rsid w:val="237B0CD6"/>
    <w:rsid w:val="237B1520"/>
    <w:rsid w:val="237B28CE"/>
    <w:rsid w:val="237B2C91"/>
    <w:rsid w:val="237B2CC6"/>
    <w:rsid w:val="237B5274"/>
    <w:rsid w:val="237B54E0"/>
    <w:rsid w:val="237B579A"/>
    <w:rsid w:val="237B7B8A"/>
    <w:rsid w:val="237C10C0"/>
    <w:rsid w:val="237C2E6E"/>
    <w:rsid w:val="237C3FE9"/>
    <w:rsid w:val="237C4C1C"/>
    <w:rsid w:val="237D0994"/>
    <w:rsid w:val="237D09D4"/>
    <w:rsid w:val="237D2742"/>
    <w:rsid w:val="237D309E"/>
    <w:rsid w:val="237E1360"/>
    <w:rsid w:val="237E1DB7"/>
    <w:rsid w:val="237E46E4"/>
    <w:rsid w:val="237E477F"/>
    <w:rsid w:val="237E524F"/>
    <w:rsid w:val="237E6129"/>
    <w:rsid w:val="237F470C"/>
    <w:rsid w:val="237F64BA"/>
    <w:rsid w:val="237F66DF"/>
    <w:rsid w:val="2380014F"/>
    <w:rsid w:val="238069C0"/>
    <w:rsid w:val="23807989"/>
    <w:rsid w:val="23810484"/>
    <w:rsid w:val="23811C8F"/>
    <w:rsid w:val="23811DEB"/>
    <w:rsid w:val="23812232"/>
    <w:rsid w:val="23814D78"/>
    <w:rsid w:val="23814E99"/>
    <w:rsid w:val="2381633C"/>
    <w:rsid w:val="23821BE3"/>
    <w:rsid w:val="2382248F"/>
    <w:rsid w:val="238241FC"/>
    <w:rsid w:val="23825060"/>
    <w:rsid w:val="23825FAA"/>
    <w:rsid w:val="2382637A"/>
    <w:rsid w:val="2383244E"/>
    <w:rsid w:val="238348F0"/>
    <w:rsid w:val="2383634E"/>
    <w:rsid w:val="238365D1"/>
    <w:rsid w:val="23841CEA"/>
    <w:rsid w:val="23841D23"/>
    <w:rsid w:val="23843AD1"/>
    <w:rsid w:val="23844303"/>
    <w:rsid w:val="23846838"/>
    <w:rsid w:val="23846909"/>
    <w:rsid w:val="2385127E"/>
    <w:rsid w:val="23853976"/>
    <w:rsid w:val="23853D5A"/>
    <w:rsid w:val="23853EF9"/>
    <w:rsid w:val="238639E1"/>
    <w:rsid w:val="238646BF"/>
    <w:rsid w:val="23865A9B"/>
    <w:rsid w:val="23867849"/>
    <w:rsid w:val="23871813"/>
    <w:rsid w:val="2387381C"/>
    <w:rsid w:val="23875F40"/>
    <w:rsid w:val="23886F94"/>
    <w:rsid w:val="23887A65"/>
    <w:rsid w:val="23890C21"/>
    <w:rsid w:val="238910E7"/>
    <w:rsid w:val="23892362"/>
    <w:rsid w:val="23892FE8"/>
    <w:rsid w:val="2389558B"/>
    <w:rsid w:val="23895C71"/>
    <w:rsid w:val="23895F07"/>
    <w:rsid w:val="23897339"/>
    <w:rsid w:val="23897D5A"/>
    <w:rsid w:val="23897E31"/>
    <w:rsid w:val="238A5F65"/>
    <w:rsid w:val="238A7F9A"/>
    <w:rsid w:val="238B0929"/>
    <w:rsid w:val="238B1303"/>
    <w:rsid w:val="238C0438"/>
    <w:rsid w:val="238C0BD7"/>
    <w:rsid w:val="238C10AE"/>
    <w:rsid w:val="238C70BC"/>
    <w:rsid w:val="238D2173"/>
    <w:rsid w:val="238D507B"/>
    <w:rsid w:val="238D62D0"/>
    <w:rsid w:val="238D63CB"/>
    <w:rsid w:val="238E027D"/>
    <w:rsid w:val="238E0DF3"/>
    <w:rsid w:val="238E1973"/>
    <w:rsid w:val="238E2BA1"/>
    <w:rsid w:val="238E494F"/>
    <w:rsid w:val="238E7B1F"/>
    <w:rsid w:val="238F4F0F"/>
    <w:rsid w:val="238F7436"/>
    <w:rsid w:val="239006C7"/>
    <w:rsid w:val="23902475"/>
    <w:rsid w:val="23905F23"/>
    <w:rsid w:val="23906919"/>
    <w:rsid w:val="23924B55"/>
    <w:rsid w:val="23925547"/>
    <w:rsid w:val="23927AC0"/>
    <w:rsid w:val="239301B8"/>
    <w:rsid w:val="239312F5"/>
    <w:rsid w:val="23931F66"/>
    <w:rsid w:val="23935F1E"/>
    <w:rsid w:val="23942C79"/>
    <w:rsid w:val="239448A4"/>
    <w:rsid w:val="23950905"/>
    <w:rsid w:val="2395359E"/>
    <w:rsid w:val="23953B0B"/>
    <w:rsid w:val="23953F30"/>
    <w:rsid w:val="23954F8E"/>
    <w:rsid w:val="23955CDE"/>
    <w:rsid w:val="23957A8C"/>
    <w:rsid w:val="239600C8"/>
    <w:rsid w:val="23960DF6"/>
    <w:rsid w:val="23962661"/>
    <w:rsid w:val="23972A3C"/>
    <w:rsid w:val="23972E88"/>
    <w:rsid w:val="23974D15"/>
    <w:rsid w:val="23983575"/>
    <w:rsid w:val="239838F4"/>
    <w:rsid w:val="23983A20"/>
    <w:rsid w:val="23986E44"/>
    <w:rsid w:val="23987AFE"/>
    <w:rsid w:val="23990EE7"/>
    <w:rsid w:val="2399226F"/>
    <w:rsid w:val="23995C5F"/>
    <w:rsid w:val="23996E83"/>
    <w:rsid w:val="239A00AD"/>
    <w:rsid w:val="239A1546"/>
    <w:rsid w:val="239A4857"/>
    <w:rsid w:val="239B1324"/>
    <w:rsid w:val="239B1D1B"/>
    <w:rsid w:val="239B238A"/>
    <w:rsid w:val="239B3D6A"/>
    <w:rsid w:val="239B6B20"/>
    <w:rsid w:val="239C52BE"/>
    <w:rsid w:val="239C5DB4"/>
    <w:rsid w:val="239D0C83"/>
    <w:rsid w:val="239D27A7"/>
    <w:rsid w:val="239D476F"/>
    <w:rsid w:val="239D4B92"/>
    <w:rsid w:val="239D62AF"/>
    <w:rsid w:val="239E0527"/>
    <w:rsid w:val="239E1B5B"/>
    <w:rsid w:val="239E56E2"/>
    <w:rsid w:val="239F02FC"/>
    <w:rsid w:val="239F0453"/>
    <w:rsid w:val="239F4588"/>
    <w:rsid w:val="239F4DAE"/>
    <w:rsid w:val="239F6B5C"/>
    <w:rsid w:val="23A009B8"/>
    <w:rsid w:val="23A02DB7"/>
    <w:rsid w:val="23A04C03"/>
    <w:rsid w:val="23A128D5"/>
    <w:rsid w:val="23A16047"/>
    <w:rsid w:val="23A167D5"/>
    <w:rsid w:val="23A16EA8"/>
    <w:rsid w:val="23A203FB"/>
    <w:rsid w:val="23A21A79"/>
    <w:rsid w:val="23A235B1"/>
    <w:rsid w:val="23A23B2E"/>
    <w:rsid w:val="23A23D19"/>
    <w:rsid w:val="23A245C8"/>
    <w:rsid w:val="23A2522F"/>
    <w:rsid w:val="23A25897"/>
    <w:rsid w:val="23A317BB"/>
    <w:rsid w:val="23A32F09"/>
    <w:rsid w:val="23A33334"/>
    <w:rsid w:val="23A34BBF"/>
    <w:rsid w:val="23A34F80"/>
    <w:rsid w:val="23A35ADA"/>
    <w:rsid w:val="23A3664D"/>
    <w:rsid w:val="23A41010"/>
    <w:rsid w:val="23A423C5"/>
    <w:rsid w:val="23A44173"/>
    <w:rsid w:val="23A445DF"/>
    <w:rsid w:val="23A45F21"/>
    <w:rsid w:val="23A47C36"/>
    <w:rsid w:val="23A533ED"/>
    <w:rsid w:val="23A5414A"/>
    <w:rsid w:val="23A55351"/>
    <w:rsid w:val="23A574CC"/>
    <w:rsid w:val="23A61C99"/>
    <w:rsid w:val="23A62C8D"/>
    <w:rsid w:val="23A6621C"/>
    <w:rsid w:val="23A67EEB"/>
    <w:rsid w:val="23A75A11"/>
    <w:rsid w:val="23A76792"/>
    <w:rsid w:val="23A76AB0"/>
    <w:rsid w:val="23A77001"/>
    <w:rsid w:val="23A777BF"/>
    <w:rsid w:val="23A81EB5"/>
    <w:rsid w:val="23A83729"/>
    <w:rsid w:val="23A8387B"/>
    <w:rsid w:val="23A841AA"/>
    <w:rsid w:val="23A92D9E"/>
    <w:rsid w:val="23A93537"/>
    <w:rsid w:val="23A979DB"/>
    <w:rsid w:val="23AA4FFA"/>
    <w:rsid w:val="23AA658B"/>
    <w:rsid w:val="23AA65A0"/>
    <w:rsid w:val="23AB3753"/>
    <w:rsid w:val="23AB426C"/>
    <w:rsid w:val="23AB5501"/>
    <w:rsid w:val="23AB72AF"/>
    <w:rsid w:val="23AC3027"/>
    <w:rsid w:val="23AD0049"/>
    <w:rsid w:val="23AD0C83"/>
    <w:rsid w:val="23AD5DB2"/>
    <w:rsid w:val="23AD74CB"/>
    <w:rsid w:val="23AE4910"/>
    <w:rsid w:val="23AE4FF1"/>
    <w:rsid w:val="23AE5DC6"/>
    <w:rsid w:val="23AE64BF"/>
    <w:rsid w:val="23AF4DAA"/>
    <w:rsid w:val="23AF7356"/>
    <w:rsid w:val="23B00D6A"/>
    <w:rsid w:val="23B04B68"/>
    <w:rsid w:val="23B05FE8"/>
    <w:rsid w:val="23B066F1"/>
    <w:rsid w:val="23B10FDF"/>
    <w:rsid w:val="23B144C6"/>
    <w:rsid w:val="23B14BDB"/>
    <w:rsid w:val="23B17B46"/>
    <w:rsid w:val="23B24AE2"/>
    <w:rsid w:val="23B26485"/>
    <w:rsid w:val="23B27891"/>
    <w:rsid w:val="23B27B4C"/>
    <w:rsid w:val="23B27BB0"/>
    <w:rsid w:val="23B34D35"/>
    <w:rsid w:val="23B35CC2"/>
    <w:rsid w:val="23B40A42"/>
    <w:rsid w:val="23B46F1E"/>
    <w:rsid w:val="23B5012E"/>
    <w:rsid w:val="23B51EDC"/>
    <w:rsid w:val="23B56380"/>
    <w:rsid w:val="23B576F0"/>
    <w:rsid w:val="23B6698D"/>
    <w:rsid w:val="23B819CC"/>
    <w:rsid w:val="23B81DDA"/>
    <w:rsid w:val="23B83266"/>
    <w:rsid w:val="23B908BE"/>
    <w:rsid w:val="23B94E38"/>
    <w:rsid w:val="23B951DE"/>
    <w:rsid w:val="23B957FF"/>
    <w:rsid w:val="23B974CB"/>
    <w:rsid w:val="23BA3996"/>
    <w:rsid w:val="23BA4405"/>
    <w:rsid w:val="23BA5744"/>
    <w:rsid w:val="23BA58FC"/>
    <w:rsid w:val="23BA7681"/>
    <w:rsid w:val="23BB250C"/>
    <w:rsid w:val="23BB2620"/>
    <w:rsid w:val="23BB45A4"/>
    <w:rsid w:val="23BB68D8"/>
    <w:rsid w:val="23BC14BC"/>
    <w:rsid w:val="23BC3CD0"/>
    <w:rsid w:val="23BC3F20"/>
    <w:rsid w:val="23BD373E"/>
    <w:rsid w:val="23BD5235"/>
    <w:rsid w:val="23BD5A39"/>
    <w:rsid w:val="23BD6681"/>
    <w:rsid w:val="23BE166A"/>
    <w:rsid w:val="23BE3486"/>
    <w:rsid w:val="23BE600D"/>
    <w:rsid w:val="23BE71CA"/>
    <w:rsid w:val="23BF0964"/>
    <w:rsid w:val="23BF0FAD"/>
    <w:rsid w:val="23BF2D5B"/>
    <w:rsid w:val="23BF2EF6"/>
    <w:rsid w:val="23BF31DF"/>
    <w:rsid w:val="23BF4A9A"/>
    <w:rsid w:val="23BF71FF"/>
    <w:rsid w:val="23BF7CE0"/>
    <w:rsid w:val="23C02D0D"/>
    <w:rsid w:val="23C035BC"/>
    <w:rsid w:val="23C04B29"/>
    <w:rsid w:val="23C05B68"/>
    <w:rsid w:val="23C06D7D"/>
    <w:rsid w:val="23C070E9"/>
    <w:rsid w:val="23C13617"/>
    <w:rsid w:val="23C14C56"/>
    <w:rsid w:val="23C17449"/>
    <w:rsid w:val="23C20F1F"/>
    <w:rsid w:val="23C220D6"/>
    <w:rsid w:val="23C2284B"/>
    <w:rsid w:val="23C245F9"/>
    <w:rsid w:val="23C26AD1"/>
    <w:rsid w:val="23C26D45"/>
    <w:rsid w:val="23C30A9D"/>
    <w:rsid w:val="23C32D8B"/>
    <w:rsid w:val="23C333C2"/>
    <w:rsid w:val="23C33BBE"/>
    <w:rsid w:val="23C33BE9"/>
    <w:rsid w:val="23C34A7A"/>
    <w:rsid w:val="23C43FDB"/>
    <w:rsid w:val="23C44815"/>
    <w:rsid w:val="23C45515"/>
    <w:rsid w:val="23C465C3"/>
    <w:rsid w:val="23C46EAA"/>
    <w:rsid w:val="23C471E1"/>
    <w:rsid w:val="23C51D53"/>
    <w:rsid w:val="23C543F3"/>
    <w:rsid w:val="23C5504E"/>
    <w:rsid w:val="23C55DD7"/>
    <w:rsid w:val="23C562A3"/>
    <w:rsid w:val="23C56D37"/>
    <w:rsid w:val="23C579E4"/>
    <w:rsid w:val="23C6058D"/>
    <w:rsid w:val="23C6233B"/>
    <w:rsid w:val="23C64D9A"/>
    <w:rsid w:val="23C6578D"/>
    <w:rsid w:val="23C67729"/>
    <w:rsid w:val="23C67864"/>
    <w:rsid w:val="23C71CDF"/>
    <w:rsid w:val="23C72304"/>
    <w:rsid w:val="23C751DD"/>
    <w:rsid w:val="23C834F6"/>
    <w:rsid w:val="23C84D99"/>
    <w:rsid w:val="23C86365"/>
    <w:rsid w:val="23C87377"/>
    <w:rsid w:val="23C87CFE"/>
    <w:rsid w:val="23C91E2B"/>
    <w:rsid w:val="23C946B1"/>
    <w:rsid w:val="23C95987"/>
    <w:rsid w:val="23CA1AFB"/>
    <w:rsid w:val="23CA2B3A"/>
    <w:rsid w:val="23CA5251"/>
    <w:rsid w:val="23CA7E76"/>
    <w:rsid w:val="23CB0E53"/>
    <w:rsid w:val="23CB1519"/>
    <w:rsid w:val="23CB16FF"/>
    <w:rsid w:val="23CB2779"/>
    <w:rsid w:val="23CB3B95"/>
    <w:rsid w:val="23CB573E"/>
    <w:rsid w:val="23CB65C5"/>
    <w:rsid w:val="23CB7951"/>
    <w:rsid w:val="23CC1035"/>
    <w:rsid w:val="23CC35A5"/>
    <w:rsid w:val="23CC7FEF"/>
    <w:rsid w:val="23CD36CA"/>
    <w:rsid w:val="23CD5478"/>
    <w:rsid w:val="23CD69D6"/>
    <w:rsid w:val="23CD7175"/>
    <w:rsid w:val="23CD7D2B"/>
    <w:rsid w:val="23CF07AE"/>
    <w:rsid w:val="23CF2E34"/>
    <w:rsid w:val="23CF3667"/>
    <w:rsid w:val="23CF6677"/>
    <w:rsid w:val="23D00992"/>
    <w:rsid w:val="23D04F68"/>
    <w:rsid w:val="23D1026B"/>
    <w:rsid w:val="23D20C6B"/>
    <w:rsid w:val="23D22762"/>
    <w:rsid w:val="23D23C60"/>
    <w:rsid w:val="23D308A7"/>
    <w:rsid w:val="23D32E59"/>
    <w:rsid w:val="23D3375A"/>
    <w:rsid w:val="23D34A58"/>
    <w:rsid w:val="23D351D2"/>
    <w:rsid w:val="23D35F1B"/>
    <w:rsid w:val="23D36806"/>
    <w:rsid w:val="23D379C8"/>
    <w:rsid w:val="23D40815"/>
    <w:rsid w:val="23D41D37"/>
    <w:rsid w:val="23D42CAA"/>
    <w:rsid w:val="23D43D8B"/>
    <w:rsid w:val="23D4692D"/>
    <w:rsid w:val="23D50411"/>
    <w:rsid w:val="23D507D0"/>
    <w:rsid w:val="23D5257E"/>
    <w:rsid w:val="23D553A6"/>
    <w:rsid w:val="23D55D98"/>
    <w:rsid w:val="23D61152"/>
    <w:rsid w:val="23D614F4"/>
    <w:rsid w:val="23D63ACE"/>
    <w:rsid w:val="23D6719B"/>
    <w:rsid w:val="23D700A4"/>
    <w:rsid w:val="23D762F6"/>
    <w:rsid w:val="23D769D9"/>
    <w:rsid w:val="23D77F06"/>
    <w:rsid w:val="23D838F8"/>
    <w:rsid w:val="23D902C0"/>
    <w:rsid w:val="23D96D02"/>
    <w:rsid w:val="23D972EA"/>
    <w:rsid w:val="23DA1943"/>
    <w:rsid w:val="23DA7E94"/>
    <w:rsid w:val="23DB2F3F"/>
    <w:rsid w:val="23DB32C8"/>
    <w:rsid w:val="23DC09E4"/>
    <w:rsid w:val="23DC440E"/>
    <w:rsid w:val="23DC45C3"/>
    <w:rsid w:val="23DC56AF"/>
    <w:rsid w:val="23DC56BB"/>
    <w:rsid w:val="23DC793D"/>
    <w:rsid w:val="23DD059E"/>
    <w:rsid w:val="23DD3817"/>
    <w:rsid w:val="23DD546A"/>
    <w:rsid w:val="23DD7AC1"/>
    <w:rsid w:val="23DE58D7"/>
    <w:rsid w:val="23DE59BA"/>
    <w:rsid w:val="23DE6AFA"/>
    <w:rsid w:val="23DE7160"/>
    <w:rsid w:val="23DF164F"/>
    <w:rsid w:val="23DF1A1B"/>
    <w:rsid w:val="23DF233A"/>
    <w:rsid w:val="23DF2997"/>
    <w:rsid w:val="23DF2CF4"/>
    <w:rsid w:val="23DF33FD"/>
    <w:rsid w:val="23DF48E9"/>
    <w:rsid w:val="23DF51AB"/>
    <w:rsid w:val="23DF6B92"/>
    <w:rsid w:val="23E07804"/>
    <w:rsid w:val="23E10F23"/>
    <w:rsid w:val="23E125CA"/>
    <w:rsid w:val="23E14533"/>
    <w:rsid w:val="23E17175"/>
    <w:rsid w:val="23E21031"/>
    <w:rsid w:val="23E23F00"/>
    <w:rsid w:val="23E257E3"/>
    <w:rsid w:val="23E27F8C"/>
    <w:rsid w:val="23E3182A"/>
    <w:rsid w:val="23E32EED"/>
    <w:rsid w:val="23E32F6D"/>
    <w:rsid w:val="23E34C9B"/>
    <w:rsid w:val="23E34CE9"/>
    <w:rsid w:val="23E45A9C"/>
    <w:rsid w:val="23E46569"/>
    <w:rsid w:val="23E46C65"/>
    <w:rsid w:val="23E52BE8"/>
    <w:rsid w:val="23E52BED"/>
    <w:rsid w:val="23E57E73"/>
    <w:rsid w:val="23E62D7D"/>
    <w:rsid w:val="23E6478B"/>
    <w:rsid w:val="23E66539"/>
    <w:rsid w:val="23E66D1D"/>
    <w:rsid w:val="23E718EE"/>
    <w:rsid w:val="23E73213"/>
    <w:rsid w:val="23E77645"/>
    <w:rsid w:val="23E80503"/>
    <w:rsid w:val="23E822B1"/>
    <w:rsid w:val="23E85D0F"/>
    <w:rsid w:val="23E9205C"/>
    <w:rsid w:val="23E93CC1"/>
    <w:rsid w:val="23E9602A"/>
    <w:rsid w:val="23E97DD8"/>
    <w:rsid w:val="23EA5D85"/>
    <w:rsid w:val="23EA7668"/>
    <w:rsid w:val="23EB16FF"/>
    <w:rsid w:val="23EB773F"/>
    <w:rsid w:val="23EC1C58"/>
    <w:rsid w:val="23EC2C88"/>
    <w:rsid w:val="23ED2EA9"/>
    <w:rsid w:val="23ED5B1A"/>
    <w:rsid w:val="23EE3640"/>
    <w:rsid w:val="23EE595E"/>
    <w:rsid w:val="23EE73BD"/>
    <w:rsid w:val="23EF02A8"/>
    <w:rsid w:val="23F01166"/>
    <w:rsid w:val="23F0166B"/>
    <w:rsid w:val="23F022E0"/>
    <w:rsid w:val="23F073B8"/>
    <w:rsid w:val="23F11383"/>
    <w:rsid w:val="23F15084"/>
    <w:rsid w:val="23F21FAB"/>
    <w:rsid w:val="23F23130"/>
    <w:rsid w:val="23F26DFC"/>
    <w:rsid w:val="23F30C56"/>
    <w:rsid w:val="23F33FD7"/>
    <w:rsid w:val="23F34DBA"/>
    <w:rsid w:val="23F35B43"/>
    <w:rsid w:val="23F4063B"/>
    <w:rsid w:val="23F41553"/>
    <w:rsid w:val="23F41787"/>
    <w:rsid w:val="23F41F03"/>
    <w:rsid w:val="23F46EA8"/>
    <w:rsid w:val="23F533FD"/>
    <w:rsid w:val="23F549CE"/>
    <w:rsid w:val="23F622C2"/>
    <w:rsid w:val="23F62A26"/>
    <w:rsid w:val="23F65AA3"/>
    <w:rsid w:val="23F70746"/>
    <w:rsid w:val="23F72474"/>
    <w:rsid w:val="23F724F4"/>
    <w:rsid w:val="23F72873"/>
    <w:rsid w:val="23F740B6"/>
    <w:rsid w:val="23F75B20"/>
    <w:rsid w:val="23F76998"/>
    <w:rsid w:val="23F77CA2"/>
    <w:rsid w:val="23F80AF5"/>
    <w:rsid w:val="23F82F83"/>
    <w:rsid w:val="23F846D0"/>
    <w:rsid w:val="23F87973"/>
    <w:rsid w:val="23F91212"/>
    <w:rsid w:val="23F92272"/>
    <w:rsid w:val="23F92711"/>
    <w:rsid w:val="23FA0237"/>
    <w:rsid w:val="23FA1FE5"/>
    <w:rsid w:val="23FA2A29"/>
    <w:rsid w:val="23FA3A52"/>
    <w:rsid w:val="23FA3D93"/>
    <w:rsid w:val="23FA7D8F"/>
    <w:rsid w:val="23FA7E6D"/>
    <w:rsid w:val="23FB0AE6"/>
    <w:rsid w:val="23FB115A"/>
    <w:rsid w:val="23FC3ECF"/>
    <w:rsid w:val="23FC3FAF"/>
    <w:rsid w:val="23FC5D5D"/>
    <w:rsid w:val="23FC6EE3"/>
    <w:rsid w:val="23FD0015"/>
    <w:rsid w:val="23FD1019"/>
    <w:rsid w:val="23FD23D3"/>
    <w:rsid w:val="23FD3B14"/>
    <w:rsid w:val="23FD3EAE"/>
    <w:rsid w:val="23FD6B82"/>
    <w:rsid w:val="23FE3883"/>
    <w:rsid w:val="23FE5D24"/>
    <w:rsid w:val="23FE7D27"/>
    <w:rsid w:val="23FF0419"/>
    <w:rsid w:val="23FF081A"/>
    <w:rsid w:val="23FF1005"/>
    <w:rsid w:val="23FF1514"/>
    <w:rsid w:val="23FF1752"/>
    <w:rsid w:val="23FF20D3"/>
    <w:rsid w:val="23FF4CA7"/>
    <w:rsid w:val="23FF529E"/>
    <w:rsid w:val="23FF584D"/>
    <w:rsid w:val="23FF75FB"/>
    <w:rsid w:val="2400087A"/>
    <w:rsid w:val="24001248"/>
    <w:rsid w:val="24001B1E"/>
    <w:rsid w:val="24001B4F"/>
    <w:rsid w:val="24002495"/>
    <w:rsid w:val="2400486B"/>
    <w:rsid w:val="24013373"/>
    <w:rsid w:val="24015121"/>
    <w:rsid w:val="24017662"/>
    <w:rsid w:val="2403285C"/>
    <w:rsid w:val="2403327D"/>
    <w:rsid w:val="2403533D"/>
    <w:rsid w:val="24035C7E"/>
    <w:rsid w:val="240370EB"/>
    <w:rsid w:val="24041E4D"/>
    <w:rsid w:val="24042802"/>
    <w:rsid w:val="24042E63"/>
    <w:rsid w:val="2404349C"/>
    <w:rsid w:val="24043D15"/>
    <w:rsid w:val="24044C11"/>
    <w:rsid w:val="240451CB"/>
    <w:rsid w:val="240457BD"/>
    <w:rsid w:val="2404661A"/>
    <w:rsid w:val="240476D5"/>
    <w:rsid w:val="24054761"/>
    <w:rsid w:val="24057B45"/>
    <w:rsid w:val="2406098A"/>
    <w:rsid w:val="24062738"/>
    <w:rsid w:val="24063233"/>
    <w:rsid w:val="2406532F"/>
    <w:rsid w:val="24067D18"/>
    <w:rsid w:val="240747C2"/>
    <w:rsid w:val="240757B5"/>
    <w:rsid w:val="24076056"/>
    <w:rsid w:val="24077CE4"/>
    <w:rsid w:val="24080F39"/>
    <w:rsid w:val="24082011"/>
    <w:rsid w:val="24084702"/>
    <w:rsid w:val="24084FF1"/>
    <w:rsid w:val="24086210"/>
    <w:rsid w:val="240864B0"/>
    <w:rsid w:val="2408737E"/>
    <w:rsid w:val="240A160A"/>
    <w:rsid w:val="240A2FBD"/>
    <w:rsid w:val="240A66CC"/>
    <w:rsid w:val="240A66E5"/>
    <w:rsid w:val="240A7EC7"/>
    <w:rsid w:val="240B2444"/>
    <w:rsid w:val="240B3526"/>
    <w:rsid w:val="240B3BF8"/>
    <w:rsid w:val="240B46A0"/>
    <w:rsid w:val="240B62AB"/>
    <w:rsid w:val="240C3129"/>
    <w:rsid w:val="240D015B"/>
    <w:rsid w:val="240D1D18"/>
    <w:rsid w:val="240D3AC6"/>
    <w:rsid w:val="240D4A99"/>
    <w:rsid w:val="240D7F6A"/>
    <w:rsid w:val="240E783E"/>
    <w:rsid w:val="240F1744"/>
    <w:rsid w:val="240F1B64"/>
    <w:rsid w:val="240F3CE2"/>
    <w:rsid w:val="240F5A90"/>
    <w:rsid w:val="240F65D8"/>
    <w:rsid w:val="241005AF"/>
    <w:rsid w:val="2410178C"/>
    <w:rsid w:val="2410180B"/>
    <w:rsid w:val="241018B0"/>
    <w:rsid w:val="241035B6"/>
    <w:rsid w:val="24107A5A"/>
    <w:rsid w:val="24125580"/>
    <w:rsid w:val="24125F26"/>
    <w:rsid w:val="24126202"/>
    <w:rsid w:val="2412732E"/>
    <w:rsid w:val="24134E54"/>
    <w:rsid w:val="24140D71"/>
    <w:rsid w:val="24147BDA"/>
    <w:rsid w:val="24150BCD"/>
    <w:rsid w:val="24156E1F"/>
    <w:rsid w:val="2416251C"/>
    <w:rsid w:val="24162ADB"/>
    <w:rsid w:val="241655B7"/>
    <w:rsid w:val="241658C8"/>
    <w:rsid w:val="24171E2D"/>
    <w:rsid w:val="24172B97"/>
    <w:rsid w:val="24173A64"/>
    <w:rsid w:val="24174945"/>
    <w:rsid w:val="241755D5"/>
    <w:rsid w:val="24175B4B"/>
    <w:rsid w:val="2417728C"/>
    <w:rsid w:val="241809C8"/>
    <w:rsid w:val="241812CA"/>
    <w:rsid w:val="24181945"/>
    <w:rsid w:val="241835AE"/>
    <w:rsid w:val="24184D37"/>
    <w:rsid w:val="24186FDB"/>
    <w:rsid w:val="2418789C"/>
    <w:rsid w:val="2419303C"/>
    <w:rsid w:val="2419690F"/>
    <w:rsid w:val="24196B4E"/>
    <w:rsid w:val="241A0A3F"/>
    <w:rsid w:val="241A2687"/>
    <w:rsid w:val="241A3162"/>
    <w:rsid w:val="241A36F2"/>
    <w:rsid w:val="241A4435"/>
    <w:rsid w:val="241A4BD3"/>
    <w:rsid w:val="241A5C0D"/>
    <w:rsid w:val="241A603E"/>
    <w:rsid w:val="241A61E3"/>
    <w:rsid w:val="241A727F"/>
    <w:rsid w:val="241B3023"/>
    <w:rsid w:val="241B6738"/>
    <w:rsid w:val="241B7EAC"/>
    <w:rsid w:val="241C1F5B"/>
    <w:rsid w:val="241C4FCE"/>
    <w:rsid w:val="241C63FF"/>
    <w:rsid w:val="241C6745"/>
    <w:rsid w:val="241C75F0"/>
    <w:rsid w:val="241D458E"/>
    <w:rsid w:val="241D5FB5"/>
    <w:rsid w:val="241E153E"/>
    <w:rsid w:val="241E2177"/>
    <w:rsid w:val="241F2510"/>
    <w:rsid w:val="241F37F9"/>
    <w:rsid w:val="241F42DD"/>
    <w:rsid w:val="241F5B18"/>
    <w:rsid w:val="24204989"/>
    <w:rsid w:val="24207547"/>
    <w:rsid w:val="24216F8E"/>
    <w:rsid w:val="2422439F"/>
    <w:rsid w:val="242279F0"/>
    <w:rsid w:val="24227F87"/>
    <w:rsid w:val="242332EA"/>
    <w:rsid w:val="2423415A"/>
    <w:rsid w:val="2423582F"/>
    <w:rsid w:val="2423778D"/>
    <w:rsid w:val="24240D87"/>
    <w:rsid w:val="24246008"/>
    <w:rsid w:val="24246909"/>
    <w:rsid w:val="24247062"/>
    <w:rsid w:val="2425014F"/>
    <w:rsid w:val="24250BC3"/>
    <w:rsid w:val="2425294C"/>
    <w:rsid w:val="24252D20"/>
    <w:rsid w:val="24253506"/>
    <w:rsid w:val="242552B4"/>
    <w:rsid w:val="24256986"/>
    <w:rsid w:val="2426102C"/>
    <w:rsid w:val="242632E0"/>
    <w:rsid w:val="24263370"/>
    <w:rsid w:val="242664D7"/>
    <w:rsid w:val="24266F9F"/>
    <w:rsid w:val="242679BF"/>
    <w:rsid w:val="24267D09"/>
    <w:rsid w:val="242712B0"/>
    <w:rsid w:val="242712D7"/>
    <w:rsid w:val="24274E76"/>
    <w:rsid w:val="242757F8"/>
    <w:rsid w:val="24275E0B"/>
    <w:rsid w:val="24275EEE"/>
    <w:rsid w:val="2427640F"/>
    <w:rsid w:val="24280119"/>
    <w:rsid w:val="24281714"/>
    <w:rsid w:val="242831B3"/>
    <w:rsid w:val="24284DA4"/>
    <w:rsid w:val="24286AD0"/>
    <w:rsid w:val="24286B52"/>
    <w:rsid w:val="24287ADC"/>
    <w:rsid w:val="24287C0A"/>
    <w:rsid w:val="24292E5D"/>
    <w:rsid w:val="24294678"/>
    <w:rsid w:val="24295DB4"/>
    <w:rsid w:val="24296006"/>
    <w:rsid w:val="242A2746"/>
    <w:rsid w:val="242A274E"/>
    <w:rsid w:val="242A28CA"/>
    <w:rsid w:val="242A4276"/>
    <w:rsid w:val="242A7BE4"/>
    <w:rsid w:val="242B03F0"/>
    <w:rsid w:val="242B219E"/>
    <w:rsid w:val="242B3B6D"/>
    <w:rsid w:val="242B41FC"/>
    <w:rsid w:val="242B4FB9"/>
    <w:rsid w:val="242B66FE"/>
    <w:rsid w:val="242C39E1"/>
    <w:rsid w:val="242C3A52"/>
    <w:rsid w:val="242C3EE1"/>
    <w:rsid w:val="242D285C"/>
    <w:rsid w:val="242D2952"/>
    <w:rsid w:val="242D4168"/>
    <w:rsid w:val="242E1C8E"/>
    <w:rsid w:val="242E2690"/>
    <w:rsid w:val="242E2A06"/>
    <w:rsid w:val="242E5237"/>
    <w:rsid w:val="242F073D"/>
    <w:rsid w:val="242F4CB4"/>
    <w:rsid w:val="242F6B72"/>
    <w:rsid w:val="24300464"/>
    <w:rsid w:val="24305A06"/>
    <w:rsid w:val="24312391"/>
    <w:rsid w:val="2431394A"/>
    <w:rsid w:val="243158CC"/>
    <w:rsid w:val="2432324E"/>
    <w:rsid w:val="2432352D"/>
    <w:rsid w:val="243279D1"/>
    <w:rsid w:val="24330042"/>
    <w:rsid w:val="2433217A"/>
    <w:rsid w:val="24335324"/>
    <w:rsid w:val="2434162D"/>
    <w:rsid w:val="243454F7"/>
    <w:rsid w:val="243506CB"/>
    <w:rsid w:val="24351427"/>
    <w:rsid w:val="2435301D"/>
    <w:rsid w:val="24356FDF"/>
    <w:rsid w:val="24362564"/>
    <w:rsid w:val="243674C1"/>
    <w:rsid w:val="24373E98"/>
    <w:rsid w:val="24375A4C"/>
    <w:rsid w:val="24376D95"/>
    <w:rsid w:val="24384A37"/>
    <w:rsid w:val="24385925"/>
    <w:rsid w:val="243865C5"/>
    <w:rsid w:val="24390D4E"/>
    <w:rsid w:val="2439183A"/>
    <w:rsid w:val="24392521"/>
    <w:rsid w:val="24393804"/>
    <w:rsid w:val="243940AF"/>
    <w:rsid w:val="243948BB"/>
    <w:rsid w:val="24397A54"/>
    <w:rsid w:val="24397D28"/>
    <w:rsid w:val="243A120F"/>
    <w:rsid w:val="243A1C67"/>
    <w:rsid w:val="243B0383"/>
    <w:rsid w:val="243B0623"/>
    <w:rsid w:val="243B46AA"/>
    <w:rsid w:val="243C0B99"/>
    <w:rsid w:val="243C25FD"/>
    <w:rsid w:val="243C2FFD"/>
    <w:rsid w:val="243D1451"/>
    <w:rsid w:val="243D63FD"/>
    <w:rsid w:val="243E171B"/>
    <w:rsid w:val="243E1C6B"/>
    <w:rsid w:val="243E3082"/>
    <w:rsid w:val="243E36AD"/>
    <w:rsid w:val="243E623A"/>
    <w:rsid w:val="243F0AE5"/>
    <w:rsid w:val="243F2599"/>
    <w:rsid w:val="243F2ADA"/>
    <w:rsid w:val="243F38C6"/>
    <w:rsid w:val="243F3E9B"/>
    <w:rsid w:val="243F74B6"/>
    <w:rsid w:val="244020ED"/>
    <w:rsid w:val="24406AF4"/>
    <w:rsid w:val="244108BE"/>
    <w:rsid w:val="24410ED4"/>
    <w:rsid w:val="24415D6D"/>
    <w:rsid w:val="24433A9F"/>
    <w:rsid w:val="2443573A"/>
    <w:rsid w:val="244379AC"/>
    <w:rsid w:val="2444151F"/>
    <w:rsid w:val="24443260"/>
    <w:rsid w:val="24444B67"/>
    <w:rsid w:val="244514B2"/>
    <w:rsid w:val="24452275"/>
    <w:rsid w:val="24457E54"/>
    <w:rsid w:val="24460CC2"/>
    <w:rsid w:val="24461CC3"/>
    <w:rsid w:val="2446347C"/>
    <w:rsid w:val="24464512"/>
    <w:rsid w:val="244658A1"/>
    <w:rsid w:val="24466FD8"/>
    <w:rsid w:val="24471219"/>
    <w:rsid w:val="244743A9"/>
    <w:rsid w:val="24474DE5"/>
    <w:rsid w:val="24475F10"/>
    <w:rsid w:val="24476AF3"/>
    <w:rsid w:val="24480505"/>
    <w:rsid w:val="244871F4"/>
    <w:rsid w:val="24487F74"/>
    <w:rsid w:val="244918B9"/>
    <w:rsid w:val="2449429F"/>
    <w:rsid w:val="2449709F"/>
    <w:rsid w:val="24497828"/>
    <w:rsid w:val="244A2A0E"/>
    <w:rsid w:val="244A35AA"/>
    <w:rsid w:val="244B0A92"/>
    <w:rsid w:val="244B2657"/>
    <w:rsid w:val="244B45EE"/>
    <w:rsid w:val="244B643B"/>
    <w:rsid w:val="244B7016"/>
    <w:rsid w:val="244C25DB"/>
    <w:rsid w:val="244C564B"/>
    <w:rsid w:val="244C7A4A"/>
    <w:rsid w:val="244D0A9B"/>
    <w:rsid w:val="244D480A"/>
    <w:rsid w:val="244D504C"/>
    <w:rsid w:val="244D57B4"/>
    <w:rsid w:val="244D61AB"/>
    <w:rsid w:val="244D74C5"/>
    <w:rsid w:val="244D7A2D"/>
    <w:rsid w:val="244E1F35"/>
    <w:rsid w:val="244F0582"/>
    <w:rsid w:val="244F2331"/>
    <w:rsid w:val="244F386F"/>
    <w:rsid w:val="244F457F"/>
    <w:rsid w:val="244F484B"/>
    <w:rsid w:val="244F5D02"/>
    <w:rsid w:val="24502847"/>
    <w:rsid w:val="245060A9"/>
    <w:rsid w:val="24506E1F"/>
    <w:rsid w:val="2450741C"/>
    <w:rsid w:val="24521E21"/>
    <w:rsid w:val="24526798"/>
    <w:rsid w:val="245331CC"/>
    <w:rsid w:val="2453341C"/>
    <w:rsid w:val="24534D81"/>
    <w:rsid w:val="24535D3B"/>
    <w:rsid w:val="24536778"/>
    <w:rsid w:val="24537A0D"/>
    <w:rsid w:val="24540902"/>
    <w:rsid w:val="245416F5"/>
    <w:rsid w:val="245449D2"/>
    <w:rsid w:val="24545B99"/>
    <w:rsid w:val="24547510"/>
    <w:rsid w:val="24547947"/>
    <w:rsid w:val="24551B25"/>
    <w:rsid w:val="24553662"/>
    <w:rsid w:val="245538EC"/>
    <w:rsid w:val="2455546D"/>
    <w:rsid w:val="24557520"/>
    <w:rsid w:val="245636BF"/>
    <w:rsid w:val="24570851"/>
    <w:rsid w:val="245711E5"/>
    <w:rsid w:val="24572F93"/>
    <w:rsid w:val="24572FBB"/>
    <w:rsid w:val="24575689"/>
    <w:rsid w:val="2458423A"/>
    <w:rsid w:val="2458446D"/>
    <w:rsid w:val="24585C4E"/>
    <w:rsid w:val="24587E43"/>
    <w:rsid w:val="245902BE"/>
    <w:rsid w:val="2459215D"/>
    <w:rsid w:val="245931AF"/>
    <w:rsid w:val="24593677"/>
    <w:rsid w:val="24594F5D"/>
    <w:rsid w:val="24596D0B"/>
    <w:rsid w:val="2459703E"/>
    <w:rsid w:val="245A2A83"/>
    <w:rsid w:val="245A45D1"/>
    <w:rsid w:val="245A4BC9"/>
    <w:rsid w:val="245A7F3E"/>
    <w:rsid w:val="245B6F27"/>
    <w:rsid w:val="245B7D04"/>
    <w:rsid w:val="245C067D"/>
    <w:rsid w:val="245C13CE"/>
    <w:rsid w:val="245C34BB"/>
    <w:rsid w:val="245C4A4D"/>
    <w:rsid w:val="245C67FB"/>
    <w:rsid w:val="245D08EF"/>
    <w:rsid w:val="245D7908"/>
    <w:rsid w:val="245E4322"/>
    <w:rsid w:val="245E4510"/>
    <w:rsid w:val="245F009A"/>
    <w:rsid w:val="245F4155"/>
    <w:rsid w:val="245F4340"/>
    <w:rsid w:val="24600792"/>
    <w:rsid w:val="24600B3B"/>
    <w:rsid w:val="246025AD"/>
    <w:rsid w:val="2460453E"/>
    <w:rsid w:val="246055D7"/>
    <w:rsid w:val="2460642A"/>
    <w:rsid w:val="246102B6"/>
    <w:rsid w:val="24612D93"/>
    <w:rsid w:val="24613E12"/>
    <w:rsid w:val="24615D65"/>
    <w:rsid w:val="24617941"/>
    <w:rsid w:val="246200F0"/>
    <w:rsid w:val="246203BB"/>
    <w:rsid w:val="24621831"/>
    <w:rsid w:val="24621EF8"/>
    <w:rsid w:val="24632CC1"/>
    <w:rsid w:val="24634A17"/>
    <w:rsid w:val="24635126"/>
    <w:rsid w:val="24636161"/>
    <w:rsid w:val="246366D7"/>
    <w:rsid w:val="24637238"/>
    <w:rsid w:val="2464647A"/>
    <w:rsid w:val="24646D22"/>
    <w:rsid w:val="246501B2"/>
    <w:rsid w:val="24653902"/>
    <w:rsid w:val="2466646E"/>
    <w:rsid w:val="2466767A"/>
    <w:rsid w:val="24671332"/>
    <w:rsid w:val="24683E01"/>
    <w:rsid w:val="24686E21"/>
    <w:rsid w:val="246950A7"/>
    <w:rsid w:val="24696B33"/>
    <w:rsid w:val="246A521C"/>
    <w:rsid w:val="246A5D51"/>
    <w:rsid w:val="246A716A"/>
    <w:rsid w:val="246B4C91"/>
    <w:rsid w:val="246C1E09"/>
    <w:rsid w:val="246C2EE2"/>
    <w:rsid w:val="246C44F2"/>
    <w:rsid w:val="246C684A"/>
    <w:rsid w:val="246C6B0E"/>
    <w:rsid w:val="246D27B7"/>
    <w:rsid w:val="246D3214"/>
    <w:rsid w:val="246D4199"/>
    <w:rsid w:val="246D59E0"/>
    <w:rsid w:val="246D6C5B"/>
    <w:rsid w:val="246E33E8"/>
    <w:rsid w:val="246E55CC"/>
    <w:rsid w:val="246E7C83"/>
    <w:rsid w:val="246F1C75"/>
    <w:rsid w:val="246F1DB3"/>
    <w:rsid w:val="246F2DAB"/>
    <w:rsid w:val="246F4225"/>
    <w:rsid w:val="246F4258"/>
    <w:rsid w:val="246F453D"/>
    <w:rsid w:val="247018FE"/>
    <w:rsid w:val="24701957"/>
    <w:rsid w:val="2470441F"/>
    <w:rsid w:val="24706C93"/>
    <w:rsid w:val="247113FC"/>
    <w:rsid w:val="24712BB1"/>
    <w:rsid w:val="24715FDB"/>
    <w:rsid w:val="2471674B"/>
    <w:rsid w:val="2472156D"/>
    <w:rsid w:val="24721DF3"/>
    <w:rsid w:val="24724CBD"/>
    <w:rsid w:val="247268A5"/>
    <w:rsid w:val="24726B66"/>
    <w:rsid w:val="24727DCD"/>
    <w:rsid w:val="24731075"/>
    <w:rsid w:val="247345B2"/>
    <w:rsid w:val="24735E3B"/>
    <w:rsid w:val="24741D97"/>
    <w:rsid w:val="247424B9"/>
    <w:rsid w:val="247427DD"/>
    <w:rsid w:val="24746352"/>
    <w:rsid w:val="24746A03"/>
    <w:rsid w:val="24747ACD"/>
    <w:rsid w:val="24747FE9"/>
    <w:rsid w:val="247509BC"/>
    <w:rsid w:val="2475191A"/>
    <w:rsid w:val="247578BD"/>
    <w:rsid w:val="2476304F"/>
    <w:rsid w:val="24763D61"/>
    <w:rsid w:val="247643C7"/>
    <w:rsid w:val="24765984"/>
    <w:rsid w:val="24765A9C"/>
    <w:rsid w:val="24765B0F"/>
    <w:rsid w:val="2477062A"/>
    <w:rsid w:val="24771887"/>
    <w:rsid w:val="24773635"/>
    <w:rsid w:val="2478446F"/>
    <w:rsid w:val="24793A98"/>
    <w:rsid w:val="247955FF"/>
    <w:rsid w:val="247973AD"/>
    <w:rsid w:val="247A27FD"/>
    <w:rsid w:val="247A404C"/>
    <w:rsid w:val="247A6918"/>
    <w:rsid w:val="247B092B"/>
    <w:rsid w:val="247B1377"/>
    <w:rsid w:val="247B36A3"/>
    <w:rsid w:val="247B3D14"/>
    <w:rsid w:val="247C0C4C"/>
    <w:rsid w:val="247C392E"/>
    <w:rsid w:val="247C4ACD"/>
    <w:rsid w:val="247C63A9"/>
    <w:rsid w:val="247C6A1F"/>
    <w:rsid w:val="247D0822"/>
    <w:rsid w:val="247D498A"/>
    <w:rsid w:val="247D4F2A"/>
    <w:rsid w:val="247D50F0"/>
    <w:rsid w:val="247D52AB"/>
    <w:rsid w:val="247D6CBD"/>
    <w:rsid w:val="247E0A98"/>
    <w:rsid w:val="247E2C16"/>
    <w:rsid w:val="247E3397"/>
    <w:rsid w:val="247E49C4"/>
    <w:rsid w:val="247E6772"/>
    <w:rsid w:val="247E78C9"/>
    <w:rsid w:val="247F0D59"/>
    <w:rsid w:val="247F392A"/>
    <w:rsid w:val="247F4A8F"/>
    <w:rsid w:val="24810259"/>
    <w:rsid w:val="24810EEF"/>
    <w:rsid w:val="248144B4"/>
    <w:rsid w:val="24814B09"/>
    <w:rsid w:val="24815EA0"/>
    <w:rsid w:val="24816262"/>
    <w:rsid w:val="2481724D"/>
    <w:rsid w:val="2482000B"/>
    <w:rsid w:val="24823344"/>
    <w:rsid w:val="24826E5E"/>
    <w:rsid w:val="24833FA2"/>
    <w:rsid w:val="2483647E"/>
    <w:rsid w:val="24836794"/>
    <w:rsid w:val="24836866"/>
    <w:rsid w:val="248459E8"/>
    <w:rsid w:val="248471A2"/>
    <w:rsid w:val="2485157A"/>
    <w:rsid w:val="2485348A"/>
    <w:rsid w:val="24855D52"/>
    <w:rsid w:val="24857973"/>
    <w:rsid w:val="24861ACA"/>
    <w:rsid w:val="24861D16"/>
    <w:rsid w:val="24863878"/>
    <w:rsid w:val="24877D1C"/>
    <w:rsid w:val="24881AE7"/>
    <w:rsid w:val="2488354C"/>
    <w:rsid w:val="24883728"/>
    <w:rsid w:val="24883F76"/>
    <w:rsid w:val="24884DEC"/>
    <w:rsid w:val="24885842"/>
    <w:rsid w:val="24886007"/>
    <w:rsid w:val="248875F1"/>
    <w:rsid w:val="2489652E"/>
    <w:rsid w:val="24897E36"/>
    <w:rsid w:val="248A15BB"/>
    <w:rsid w:val="248A5117"/>
    <w:rsid w:val="248B078C"/>
    <w:rsid w:val="248B0C7B"/>
    <w:rsid w:val="248B35A9"/>
    <w:rsid w:val="248B4421"/>
    <w:rsid w:val="248C1E7F"/>
    <w:rsid w:val="248C335D"/>
    <w:rsid w:val="248D1E9A"/>
    <w:rsid w:val="248D2E59"/>
    <w:rsid w:val="248D47ED"/>
    <w:rsid w:val="248D4C07"/>
    <w:rsid w:val="248D58D2"/>
    <w:rsid w:val="248D6045"/>
    <w:rsid w:val="248D63BD"/>
    <w:rsid w:val="248E4BB9"/>
    <w:rsid w:val="248F1CDE"/>
    <w:rsid w:val="248F200C"/>
    <w:rsid w:val="248F6BD1"/>
    <w:rsid w:val="248F710D"/>
    <w:rsid w:val="248F7372"/>
    <w:rsid w:val="24900B8A"/>
    <w:rsid w:val="24900C6D"/>
    <w:rsid w:val="24901515"/>
    <w:rsid w:val="24901A0E"/>
    <w:rsid w:val="24906FF4"/>
    <w:rsid w:val="24910355"/>
    <w:rsid w:val="24912949"/>
    <w:rsid w:val="249154EC"/>
    <w:rsid w:val="2492046F"/>
    <w:rsid w:val="24932E88"/>
    <w:rsid w:val="2493621B"/>
    <w:rsid w:val="24941046"/>
    <w:rsid w:val="24941AEF"/>
    <w:rsid w:val="24942079"/>
    <w:rsid w:val="24942919"/>
    <w:rsid w:val="24942BB1"/>
    <w:rsid w:val="249441E7"/>
    <w:rsid w:val="249446C0"/>
    <w:rsid w:val="24947236"/>
    <w:rsid w:val="249507F7"/>
    <w:rsid w:val="24950D38"/>
    <w:rsid w:val="24951472"/>
    <w:rsid w:val="2495179A"/>
    <w:rsid w:val="24956988"/>
    <w:rsid w:val="24957DD5"/>
    <w:rsid w:val="24961D0D"/>
    <w:rsid w:val="2496440F"/>
    <w:rsid w:val="249656AF"/>
    <w:rsid w:val="249661B1"/>
    <w:rsid w:val="24966830"/>
    <w:rsid w:val="2496739F"/>
    <w:rsid w:val="24967F5F"/>
    <w:rsid w:val="24970470"/>
    <w:rsid w:val="2497047B"/>
    <w:rsid w:val="249720B1"/>
    <w:rsid w:val="24973CD7"/>
    <w:rsid w:val="24975B18"/>
    <w:rsid w:val="24977834"/>
    <w:rsid w:val="24980826"/>
    <w:rsid w:val="249809A1"/>
    <w:rsid w:val="24981900"/>
    <w:rsid w:val="2498254B"/>
    <w:rsid w:val="24983220"/>
    <w:rsid w:val="24983B0E"/>
    <w:rsid w:val="249856F7"/>
    <w:rsid w:val="249858C3"/>
    <w:rsid w:val="24987FB1"/>
    <w:rsid w:val="249900A5"/>
    <w:rsid w:val="249917FE"/>
    <w:rsid w:val="24991BE1"/>
    <w:rsid w:val="24992D90"/>
    <w:rsid w:val="24996AED"/>
    <w:rsid w:val="24997A50"/>
    <w:rsid w:val="249A18F8"/>
    <w:rsid w:val="249A1A6B"/>
    <w:rsid w:val="249A37AA"/>
    <w:rsid w:val="249A3ED5"/>
    <w:rsid w:val="249A60A9"/>
    <w:rsid w:val="249A74E6"/>
    <w:rsid w:val="249B5319"/>
    <w:rsid w:val="249B5576"/>
    <w:rsid w:val="249B7324"/>
    <w:rsid w:val="249B7718"/>
    <w:rsid w:val="249C309C"/>
    <w:rsid w:val="249C35C3"/>
    <w:rsid w:val="249C4411"/>
    <w:rsid w:val="249C4E4A"/>
    <w:rsid w:val="249C6DB9"/>
    <w:rsid w:val="249C76D4"/>
    <w:rsid w:val="249D0B47"/>
    <w:rsid w:val="249D12EE"/>
    <w:rsid w:val="249D51DC"/>
    <w:rsid w:val="249E0BC2"/>
    <w:rsid w:val="249E0EE6"/>
    <w:rsid w:val="249E2294"/>
    <w:rsid w:val="249E347A"/>
    <w:rsid w:val="249E4A21"/>
    <w:rsid w:val="249E4A37"/>
    <w:rsid w:val="249E4A43"/>
    <w:rsid w:val="249E5066"/>
    <w:rsid w:val="249E5772"/>
    <w:rsid w:val="249E6E14"/>
    <w:rsid w:val="249F16A5"/>
    <w:rsid w:val="249F6C02"/>
    <w:rsid w:val="249F74D3"/>
    <w:rsid w:val="249F7859"/>
    <w:rsid w:val="24A00092"/>
    <w:rsid w:val="24A0012C"/>
    <w:rsid w:val="24A00DDE"/>
    <w:rsid w:val="24A00F9A"/>
    <w:rsid w:val="24A0493A"/>
    <w:rsid w:val="24A05389"/>
    <w:rsid w:val="24A07ADE"/>
    <w:rsid w:val="24A1466B"/>
    <w:rsid w:val="24A218F0"/>
    <w:rsid w:val="24A21970"/>
    <w:rsid w:val="24A24B56"/>
    <w:rsid w:val="24A25583"/>
    <w:rsid w:val="24A26904"/>
    <w:rsid w:val="24A353C2"/>
    <w:rsid w:val="24A361D8"/>
    <w:rsid w:val="24A36A13"/>
    <w:rsid w:val="24A40D43"/>
    <w:rsid w:val="24A4468E"/>
    <w:rsid w:val="24A4595C"/>
    <w:rsid w:val="24A46E15"/>
    <w:rsid w:val="24A501A2"/>
    <w:rsid w:val="24A5102B"/>
    <w:rsid w:val="24A51F50"/>
    <w:rsid w:val="24A52D69"/>
    <w:rsid w:val="24A563F4"/>
    <w:rsid w:val="24A65BB2"/>
    <w:rsid w:val="24A65CC9"/>
    <w:rsid w:val="24A7216D"/>
    <w:rsid w:val="24A83113"/>
    <w:rsid w:val="24A86064"/>
    <w:rsid w:val="24A93651"/>
    <w:rsid w:val="24A93EDD"/>
    <w:rsid w:val="24A94D22"/>
    <w:rsid w:val="24A95D36"/>
    <w:rsid w:val="24A96D2F"/>
    <w:rsid w:val="24AA09FC"/>
    <w:rsid w:val="24AA38E7"/>
    <w:rsid w:val="24AA57B9"/>
    <w:rsid w:val="24AA6501"/>
    <w:rsid w:val="24AB0582"/>
    <w:rsid w:val="24AB1E46"/>
    <w:rsid w:val="24AB2341"/>
    <w:rsid w:val="24AB32DF"/>
    <w:rsid w:val="24AB42D2"/>
    <w:rsid w:val="24AB678A"/>
    <w:rsid w:val="24AB766D"/>
    <w:rsid w:val="24AB7AC5"/>
    <w:rsid w:val="24AC1531"/>
    <w:rsid w:val="24AC40BD"/>
    <w:rsid w:val="24AC47A6"/>
    <w:rsid w:val="24AC5BA8"/>
    <w:rsid w:val="24AC71F2"/>
    <w:rsid w:val="24AC7783"/>
    <w:rsid w:val="24AD10D7"/>
    <w:rsid w:val="24AD2370"/>
    <w:rsid w:val="24AD32DA"/>
    <w:rsid w:val="24AD3DD7"/>
    <w:rsid w:val="24AD52A9"/>
    <w:rsid w:val="24AD59C8"/>
    <w:rsid w:val="24AD5CE8"/>
    <w:rsid w:val="24AD730D"/>
    <w:rsid w:val="24AD74FD"/>
    <w:rsid w:val="24AE1A9C"/>
    <w:rsid w:val="24AE34FB"/>
    <w:rsid w:val="24AE3D2F"/>
    <w:rsid w:val="24AE509C"/>
    <w:rsid w:val="24AE7C71"/>
    <w:rsid w:val="24AF3183"/>
    <w:rsid w:val="24AF4B7D"/>
    <w:rsid w:val="24AF5689"/>
    <w:rsid w:val="24AF7273"/>
    <w:rsid w:val="24AF7570"/>
    <w:rsid w:val="24AF79FC"/>
    <w:rsid w:val="24AF7E64"/>
    <w:rsid w:val="24B02758"/>
    <w:rsid w:val="24B108F5"/>
    <w:rsid w:val="24B11017"/>
    <w:rsid w:val="24B13BF2"/>
    <w:rsid w:val="24B14D99"/>
    <w:rsid w:val="24B16026"/>
    <w:rsid w:val="24B16B47"/>
    <w:rsid w:val="24B17296"/>
    <w:rsid w:val="24B228BF"/>
    <w:rsid w:val="24B23E5A"/>
    <w:rsid w:val="24B2466D"/>
    <w:rsid w:val="24B24F65"/>
    <w:rsid w:val="24B27772"/>
    <w:rsid w:val="24B34B7F"/>
    <w:rsid w:val="24B36508"/>
    <w:rsid w:val="24B3699D"/>
    <w:rsid w:val="24B40106"/>
    <w:rsid w:val="24B403E6"/>
    <w:rsid w:val="24B623B0"/>
    <w:rsid w:val="24B71712"/>
    <w:rsid w:val="24B71C84"/>
    <w:rsid w:val="24B742A6"/>
    <w:rsid w:val="24B756F7"/>
    <w:rsid w:val="24B77892"/>
    <w:rsid w:val="24B84DA8"/>
    <w:rsid w:val="24B90D17"/>
    <w:rsid w:val="24B91066"/>
    <w:rsid w:val="24B91EA0"/>
    <w:rsid w:val="24B92707"/>
    <w:rsid w:val="24B930C6"/>
    <w:rsid w:val="24B94630"/>
    <w:rsid w:val="24B959FC"/>
    <w:rsid w:val="24B9632E"/>
    <w:rsid w:val="24B964F9"/>
    <w:rsid w:val="24BA042F"/>
    <w:rsid w:val="24BA63DB"/>
    <w:rsid w:val="24BA6669"/>
    <w:rsid w:val="24BB0060"/>
    <w:rsid w:val="24BB0AE3"/>
    <w:rsid w:val="24BB1774"/>
    <w:rsid w:val="24BB1D37"/>
    <w:rsid w:val="24BB4560"/>
    <w:rsid w:val="24BB4C9A"/>
    <w:rsid w:val="24BB79C6"/>
    <w:rsid w:val="24BC06ED"/>
    <w:rsid w:val="24BC0A90"/>
    <w:rsid w:val="24BC2CE5"/>
    <w:rsid w:val="24BC729A"/>
    <w:rsid w:val="24BC7379"/>
    <w:rsid w:val="24BD2F42"/>
    <w:rsid w:val="24BD373E"/>
    <w:rsid w:val="24BD38CC"/>
    <w:rsid w:val="24BD6B5C"/>
    <w:rsid w:val="24BD6DE0"/>
    <w:rsid w:val="24BE1034"/>
    <w:rsid w:val="24BE1264"/>
    <w:rsid w:val="24BE1C64"/>
    <w:rsid w:val="24BE2FAA"/>
    <w:rsid w:val="24BE3012"/>
    <w:rsid w:val="24BE74B6"/>
    <w:rsid w:val="24BE77EB"/>
    <w:rsid w:val="24BF075C"/>
    <w:rsid w:val="24C00D4E"/>
    <w:rsid w:val="24C00F15"/>
    <w:rsid w:val="24C0224D"/>
    <w:rsid w:val="24C02652"/>
    <w:rsid w:val="24C0322E"/>
    <w:rsid w:val="24C04A2B"/>
    <w:rsid w:val="24C11DF8"/>
    <w:rsid w:val="24C1404F"/>
    <w:rsid w:val="24C20CD0"/>
    <w:rsid w:val="24C20D54"/>
    <w:rsid w:val="24C26FA6"/>
    <w:rsid w:val="24C30629"/>
    <w:rsid w:val="24C31860"/>
    <w:rsid w:val="24C34B08"/>
    <w:rsid w:val="24C35BB1"/>
    <w:rsid w:val="24C3687B"/>
    <w:rsid w:val="24C3731C"/>
    <w:rsid w:val="24C41B59"/>
    <w:rsid w:val="24C421D5"/>
    <w:rsid w:val="24C42B11"/>
    <w:rsid w:val="24C47A9E"/>
    <w:rsid w:val="24C5091D"/>
    <w:rsid w:val="24C5237B"/>
    <w:rsid w:val="24C543A1"/>
    <w:rsid w:val="24C56D60"/>
    <w:rsid w:val="24C6021D"/>
    <w:rsid w:val="24C63542"/>
    <w:rsid w:val="24C6497E"/>
    <w:rsid w:val="24C65153"/>
    <w:rsid w:val="24C67465"/>
    <w:rsid w:val="24C70119"/>
    <w:rsid w:val="24C71763"/>
    <w:rsid w:val="24C72255"/>
    <w:rsid w:val="24C75E0E"/>
    <w:rsid w:val="24C7754F"/>
    <w:rsid w:val="24C820E3"/>
    <w:rsid w:val="24C8343E"/>
    <w:rsid w:val="24C83E91"/>
    <w:rsid w:val="24C85C3F"/>
    <w:rsid w:val="24C8619F"/>
    <w:rsid w:val="24C869AE"/>
    <w:rsid w:val="24C87B98"/>
    <w:rsid w:val="24C924C9"/>
    <w:rsid w:val="24C93DF2"/>
    <w:rsid w:val="24C9636D"/>
    <w:rsid w:val="24CA19B7"/>
    <w:rsid w:val="24CA7C09"/>
    <w:rsid w:val="24CB0A19"/>
    <w:rsid w:val="24CB1490"/>
    <w:rsid w:val="24CB1E70"/>
    <w:rsid w:val="24CC1BD3"/>
    <w:rsid w:val="24CC2091"/>
    <w:rsid w:val="24CC3C64"/>
    <w:rsid w:val="24CC48ED"/>
    <w:rsid w:val="24CC5662"/>
    <w:rsid w:val="24CC572F"/>
    <w:rsid w:val="24CC5C1F"/>
    <w:rsid w:val="24CC6E58"/>
    <w:rsid w:val="24CD11E7"/>
    <w:rsid w:val="24CD14A7"/>
    <w:rsid w:val="24CD697C"/>
    <w:rsid w:val="24CD7EDB"/>
    <w:rsid w:val="24CE0105"/>
    <w:rsid w:val="24CE1659"/>
    <w:rsid w:val="24CE594B"/>
    <w:rsid w:val="24CE6761"/>
    <w:rsid w:val="24CE72CE"/>
    <w:rsid w:val="24CE7BB0"/>
    <w:rsid w:val="24CF12DB"/>
    <w:rsid w:val="24CF1C50"/>
    <w:rsid w:val="24CF216E"/>
    <w:rsid w:val="24CF51CA"/>
    <w:rsid w:val="24CF521F"/>
    <w:rsid w:val="24CF5954"/>
    <w:rsid w:val="24CF5C56"/>
    <w:rsid w:val="24D03801"/>
    <w:rsid w:val="24D052AD"/>
    <w:rsid w:val="24D05763"/>
    <w:rsid w:val="24D07C50"/>
    <w:rsid w:val="24D12D46"/>
    <w:rsid w:val="24D133E0"/>
    <w:rsid w:val="24D17CD3"/>
    <w:rsid w:val="24D2068A"/>
    <w:rsid w:val="24D22161"/>
    <w:rsid w:val="24D22F4B"/>
    <w:rsid w:val="24D258A5"/>
    <w:rsid w:val="24D26ABE"/>
    <w:rsid w:val="24D30293"/>
    <w:rsid w:val="24D30CA7"/>
    <w:rsid w:val="24D320D9"/>
    <w:rsid w:val="24D331B9"/>
    <w:rsid w:val="24D34D10"/>
    <w:rsid w:val="24D35526"/>
    <w:rsid w:val="24D40AF9"/>
    <w:rsid w:val="24D42836"/>
    <w:rsid w:val="24D440D5"/>
    <w:rsid w:val="24D4564E"/>
    <w:rsid w:val="24D46F82"/>
    <w:rsid w:val="24D47551"/>
    <w:rsid w:val="24D52712"/>
    <w:rsid w:val="24D52FE3"/>
    <w:rsid w:val="24D56DE2"/>
    <w:rsid w:val="24D61D66"/>
    <w:rsid w:val="24D623E3"/>
    <w:rsid w:val="24D64800"/>
    <w:rsid w:val="24D665AE"/>
    <w:rsid w:val="24D67678"/>
    <w:rsid w:val="24D72340"/>
    <w:rsid w:val="24D740D4"/>
    <w:rsid w:val="24D75903"/>
    <w:rsid w:val="24D807D6"/>
    <w:rsid w:val="24D80D01"/>
    <w:rsid w:val="24D82326"/>
    <w:rsid w:val="24D82A2B"/>
    <w:rsid w:val="24D91964"/>
    <w:rsid w:val="24D95977"/>
    <w:rsid w:val="24D95ACA"/>
    <w:rsid w:val="24D9609E"/>
    <w:rsid w:val="24D97E4C"/>
    <w:rsid w:val="24DA3C2E"/>
    <w:rsid w:val="24DA4DCD"/>
    <w:rsid w:val="24DA6C25"/>
    <w:rsid w:val="24DB0068"/>
    <w:rsid w:val="24DB0AE5"/>
    <w:rsid w:val="24DB1E16"/>
    <w:rsid w:val="24DB2AB7"/>
    <w:rsid w:val="24DB3599"/>
    <w:rsid w:val="24DB3BC4"/>
    <w:rsid w:val="24DB4A91"/>
    <w:rsid w:val="24DB5714"/>
    <w:rsid w:val="24DB5972"/>
    <w:rsid w:val="24DB7F96"/>
    <w:rsid w:val="24DC02E5"/>
    <w:rsid w:val="24DC1A80"/>
    <w:rsid w:val="24DC2373"/>
    <w:rsid w:val="24DC3F73"/>
    <w:rsid w:val="24DC525B"/>
    <w:rsid w:val="24DC546D"/>
    <w:rsid w:val="24DD1F98"/>
    <w:rsid w:val="24DD5B8E"/>
    <w:rsid w:val="24DD6968"/>
    <w:rsid w:val="24DE138A"/>
    <w:rsid w:val="24DE2C05"/>
    <w:rsid w:val="24DE36B4"/>
    <w:rsid w:val="24DE4535"/>
    <w:rsid w:val="24DE45DD"/>
    <w:rsid w:val="24DE5462"/>
    <w:rsid w:val="24DE7F0F"/>
    <w:rsid w:val="24DF00ED"/>
    <w:rsid w:val="24DF014F"/>
    <w:rsid w:val="24DF3171"/>
    <w:rsid w:val="24DF4095"/>
    <w:rsid w:val="24E011DB"/>
    <w:rsid w:val="24E028AD"/>
    <w:rsid w:val="24E05525"/>
    <w:rsid w:val="24E0567E"/>
    <w:rsid w:val="24E06039"/>
    <w:rsid w:val="24E06D47"/>
    <w:rsid w:val="24E0742D"/>
    <w:rsid w:val="24E104F9"/>
    <w:rsid w:val="24E12BB6"/>
    <w:rsid w:val="24E147A5"/>
    <w:rsid w:val="24E16A42"/>
    <w:rsid w:val="24E20B0D"/>
    <w:rsid w:val="24E20D41"/>
    <w:rsid w:val="24E22751"/>
    <w:rsid w:val="24E234D9"/>
    <w:rsid w:val="24E24F53"/>
    <w:rsid w:val="24E2513D"/>
    <w:rsid w:val="24E323A4"/>
    <w:rsid w:val="24E32A79"/>
    <w:rsid w:val="24E3577B"/>
    <w:rsid w:val="24E40B17"/>
    <w:rsid w:val="24E5013B"/>
    <w:rsid w:val="24E51C31"/>
    <w:rsid w:val="24E52C95"/>
    <w:rsid w:val="24E567F1"/>
    <w:rsid w:val="24E56D07"/>
    <w:rsid w:val="24E5797F"/>
    <w:rsid w:val="24E57F07"/>
    <w:rsid w:val="24E634CF"/>
    <w:rsid w:val="24E65DC5"/>
    <w:rsid w:val="24E65E78"/>
    <w:rsid w:val="24E65E9B"/>
    <w:rsid w:val="24E67195"/>
    <w:rsid w:val="24E71A19"/>
    <w:rsid w:val="24E71EA9"/>
    <w:rsid w:val="24E73413"/>
    <w:rsid w:val="24E76A0D"/>
    <w:rsid w:val="24E8008F"/>
    <w:rsid w:val="24E80382"/>
    <w:rsid w:val="24E8053C"/>
    <w:rsid w:val="24E90C0C"/>
    <w:rsid w:val="24E9416F"/>
    <w:rsid w:val="24E94533"/>
    <w:rsid w:val="24E970F2"/>
    <w:rsid w:val="24E9770D"/>
    <w:rsid w:val="24E97D18"/>
    <w:rsid w:val="24EA1920"/>
    <w:rsid w:val="24EA44C2"/>
    <w:rsid w:val="24EB0CFC"/>
    <w:rsid w:val="24EB2858"/>
    <w:rsid w:val="24EB2C5E"/>
    <w:rsid w:val="24EB4E6E"/>
    <w:rsid w:val="24EB5605"/>
    <w:rsid w:val="24EB763C"/>
    <w:rsid w:val="24EB78D7"/>
    <w:rsid w:val="24EB797D"/>
    <w:rsid w:val="24EC37E2"/>
    <w:rsid w:val="24EC4023"/>
    <w:rsid w:val="24EC5DD1"/>
    <w:rsid w:val="24ED38F7"/>
    <w:rsid w:val="24ED431F"/>
    <w:rsid w:val="24ED56A6"/>
    <w:rsid w:val="24ED6B12"/>
    <w:rsid w:val="24EE1EA3"/>
    <w:rsid w:val="24EE7D9B"/>
    <w:rsid w:val="24EF141E"/>
    <w:rsid w:val="24EF27E7"/>
    <w:rsid w:val="24EF353B"/>
    <w:rsid w:val="24EF58C2"/>
    <w:rsid w:val="24EF675B"/>
    <w:rsid w:val="24EF7670"/>
    <w:rsid w:val="24F02763"/>
    <w:rsid w:val="24F03C89"/>
    <w:rsid w:val="24F03D58"/>
    <w:rsid w:val="24F04A1E"/>
    <w:rsid w:val="24F04F53"/>
    <w:rsid w:val="24F06B80"/>
    <w:rsid w:val="24F11587"/>
    <w:rsid w:val="24F1163A"/>
    <w:rsid w:val="24F12AAA"/>
    <w:rsid w:val="24F133E8"/>
    <w:rsid w:val="24F14353"/>
    <w:rsid w:val="24F15196"/>
    <w:rsid w:val="24F20F0E"/>
    <w:rsid w:val="24F23115"/>
    <w:rsid w:val="24F2474B"/>
    <w:rsid w:val="24F26C6C"/>
    <w:rsid w:val="24F27361"/>
    <w:rsid w:val="24F30A45"/>
    <w:rsid w:val="24F30F22"/>
    <w:rsid w:val="24F31501"/>
    <w:rsid w:val="24F353B2"/>
    <w:rsid w:val="24F36BAD"/>
    <w:rsid w:val="24F37160"/>
    <w:rsid w:val="24F42ED8"/>
    <w:rsid w:val="24F44C86"/>
    <w:rsid w:val="24F46805"/>
    <w:rsid w:val="24F46A34"/>
    <w:rsid w:val="24F503E5"/>
    <w:rsid w:val="24F5112A"/>
    <w:rsid w:val="24F547E2"/>
    <w:rsid w:val="24F579FC"/>
    <w:rsid w:val="24F627AC"/>
    <w:rsid w:val="24F674E5"/>
    <w:rsid w:val="24F67AD7"/>
    <w:rsid w:val="24F737AC"/>
    <w:rsid w:val="24F77EC0"/>
    <w:rsid w:val="24F8083A"/>
    <w:rsid w:val="24F86524"/>
    <w:rsid w:val="24F904EE"/>
    <w:rsid w:val="24F93356"/>
    <w:rsid w:val="24F94A14"/>
    <w:rsid w:val="24F97DE7"/>
    <w:rsid w:val="24FA1FBE"/>
    <w:rsid w:val="24FA29B1"/>
    <w:rsid w:val="24FA2F40"/>
    <w:rsid w:val="24FA37A2"/>
    <w:rsid w:val="24FA5FEA"/>
    <w:rsid w:val="24FB1DFD"/>
    <w:rsid w:val="24FB237F"/>
    <w:rsid w:val="24FB3420"/>
    <w:rsid w:val="24FB35A7"/>
    <w:rsid w:val="24FB4CFE"/>
    <w:rsid w:val="24FB6014"/>
    <w:rsid w:val="24FB7D69"/>
    <w:rsid w:val="24FB7DC2"/>
    <w:rsid w:val="24FC72C1"/>
    <w:rsid w:val="24FD0D5F"/>
    <w:rsid w:val="24FD1D8D"/>
    <w:rsid w:val="24FD2F00"/>
    <w:rsid w:val="24FD3B3B"/>
    <w:rsid w:val="24FD3FCA"/>
    <w:rsid w:val="24FD4081"/>
    <w:rsid w:val="24FD4616"/>
    <w:rsid w:val="24FD478C"/>
    <w:rsid w:val="24FD5FFC"/>
    <w:rsid w:val="24FD761E"/>
    <w:rsid w:val="24FD7FDE"/>
    <w:rsid w:val="24FE401D"/>
    <w:rsid w:val="24FF02BD"/>
    <w:rsid w:val="24FF1A6F"/>
    <w:rsid w:val="24FF201F"/>
    <w:rsid w:val="24FF3D57"/>
    <w:rsid w:val="24FF6042"/>
    <w:rsid w:val="2500362B"/>
    <w:rsid w:val="250054A3"/>
    <w:rsid w:val="25007ACF"/>
    <w:rsid w:val="25007B9E"/>
    <w:rsid w:val="25010B70"/>
    <w:rsid w:val="25015088"/>
    <w:rsid w:val="250152D8"/>
    <w:rsid w:val="25022380"/>
    <w:rsid w:val="25024D12"/>
    <w:rsid w:val="25026280"/>
    <w:rsid w:val="2503311B"/>
    <w:rsid w:val="25033A80"/>
    <w:rsid w:val="2503461F"/>
    <w:rsid w:val="250348F5"/>
    <w:rsid w:val="25037546"/>
    <w:rsid w:val="25043951"/>
    <w:rsid w:val="2504640F"/>
    <w:rsid w:val="25046D0A"/>
    <w:rsid w:val="25047264"/>
    <w:rsid w:val="25050C41"/>
    <w:rsid w:val="25052D38"/>
    <w:rsid w:val="25053078"/>
    <w:rsid w:val="25054C3A"/>
    <w:rsid w:val="250550E5"/>
    <w:rsid w:val="250576B7"/>
    <w:rsid w:val="2506047D"/>
    <w:rsid w:val="25060D37"/>
    <w:rsid w:val="25064DE9"/>
    <w:rsid w:val="2506513B"/>
    <w:rsid w:val="25070A30"/>
    <w:rsid w:val="25070E5D"/>
    <w:rsid w:val="25073BC9"/>
    <w:rsid w:val="25075246"/>
    <w:rsid w:val="250769E3"/>
    <w:rsid w:val="2509348A"/>
    <w:rsid w:val="25096983"/>
    <w:rsid w:val="250969AD"/>
    <w:rsid w:val="250A26FB"/>
    <w:rsid w:val="250A30A8"/>
    <w:rsid w:val="250A44A9"/>
    <w:rsid w:val="250A5F58"/>
    <w:rsid w:val="250B2DDA"/>
    <w:rsid w:val="250B610D"/>
    <w:rsid w:val="250B7684"/>
    <w:rsid w:val="250C1FD0"/>
    <w:rsid w:val="250C30B2"/>
    <w:rsid w:val="250C4738"/>
    <w:rsid w:val="250C6474"/>
    <w:rsid w:val="250D0C67"/>
    <w:rsid w:val="250D2099"/>
    <w:rsid w:val="250D560D"/>
    <w:rsid w:val="250D7AF6"/>
    <w:rsid w:val="250E2BFE"/>
    <w:rsid w:val="250E2F25"/>
    <w:rsid w:val="250E3F9A"/>
    <w:rsid w:val="250E5D48"/>
    <w:rsid w:val="250E6F54"/>
    <w:rsid w:val="250F22C3"/>
    <w:rsid w:val="250F6137"/>
    <w:rsid w:val="25105A94"/>
    <w:rsid w:val="25116F24"/>
    <w:rsid w:val="251175E6"/>
    <w:rsid w:val="251203B4"/>
    <w:rsid w:val="2512055B"/>
    <w:rsid w:val="25125092"/>
    <w:rsid w:val="25132F85"/>
    <w:rsid w:val="2513335E"/>
    <w:rsid w:val="2513445C"/>
    <w:rsid w:val="25135152"/>
    <w:rsid w:val="25144772"/>
    <w:rsid w:val="25145328"/>
    <w:rsid w:val="25146A4F"/>
    <w:rsid w:val="25146F79"/>
    <w:rsid w:val="251470D6"/>
    <w:rsid w:val="25150546"/>
    <w:rsid w:val="25151615"/>
    <w:rsid w:val="25152B1F"/>
    <w:rsid w:val="2515458E"/>
    <w:rsid w:val="25160139"/>
    <w:rsid w:val="251610A0"/>
    <w:rsid w:val="25162E4E"/>
    <w:rsid w:val="25164738"/>
    <w:rsid w:val="251652FD"/>
    <w:rsid w:val="25172D96"/>
    <w:rsid w:val="2517518F"/>
    <w:rsid w:val="251806FC"/>
    <w:rsid w:val="2518199A"/>
    <w:rsid w:val="251840FB"/>
    <w:rsid w:val="25191573"/>
    <w:rsid w:val="25191791"/>
    <w:rsid w:val="25192EE4"/>
    <w:rsid w:val="25196107"/>
    <w:rsid w:val="25197235"/>
    <w:rsid w:val="251A148E"/>
    <w:rsid w:val="251A293E"/>
    <w:rsid w:val="251A490F"/>
    <w:rsid w:val="251A6B46"/>
    <w:rsid w:val="251A70CA"/>
    <w:rsid w:val="251B0000"/>
    <w:rsid w:val="251B053A"/>
    <w:rsid w:val="251B1717"/>
    <w:rsid w:val="251B2D14"/>
    <w:rsid w:val="251B406C"/>
    <w:rsid w:val="251B7466"/>
    <w:rsid w:val="251C14A3"/>
    <w:rsid w:val="251C3001"/>
    <w:rsid w:val="251D4D90"/>
    <w:rsid w:val="251D6CAE"/>
    <w:rsid w:val="251D6E63"/>
    <w:rsid w:val="251E1A9C"/>
    <w:rsid w:val="251E1CC4"/>
    <w:rsid w:val="251E3E89"/>
    <w:rsid w:val="251E7127"/>
    <w:rsid w:val="251E77D5"/>
    <w:rsid w:val="251E7D7A"/>
    <w:rsid w:val="251F5315"/>
    <w:rsid w:val="251F5811"/>
    <w:rsid w:val="251F61A7"/>
    <w:rsid w:val="251F631A"/>
    <w:rsid w:val="251F728E"/>
    <w:rsid w:val="251F7F55"/>
    <w:rsid w:val="25200EF6"/>
    <w:rsid w:val="25201F1F"/>
    <w:rsid w:val="25203CCD"/>
    <w:rsid w:val="25205A7B"/>
    <w:rsid w:val="25206D5C"/>
    <w:rsid w:val="25207829"/>
    <w:rsid w:val="25210C8C"/>
    <w:rsid w:val="252121B3"/>
    <w:rsid w:val="25213DA9"/>
    <w:rsid w:val="2521537E"/>
    <w:rsid w:val="25216D1E"/>
    <w:rsid w:val="252171BE"/>
    <w:rsid w:val="25217736"/>
    <w:rsid w:val="252178FB"/>
    <w:rsid w:val="25220111"/>
    <w:rsid w:val="252217F3"/>
    <w:rsid w:val="25221E48"/>
    <w:rsid w:val="2522231C"/>
    <w:rsid w:val="252235A1"/>
    <w:rsid w:val="25226D3A"/>
    <w:rsid w:val="25227A45"/>
    <w:rsid w:val="25230136"/>
    <w:rsid w:val="2523071C"/>
    <w:rsid w:val="25230D4C"/>
    <w:rsid w:val="25234E93"/>
    <w:rsid w:val="252430E6"/>
    <w:rsid w:val="252453B0"/>
    <w:rsid w:val="2524556B"/>
    <w:rsid w:val="2525249C"/>
    <w:rsid w:val="2525747B"/>
    <w:rsid w:val="25257535"/>
    <w:rsid w:val="252610C6"/>
    <w:rsid w:val="252613FB"/>
    <w:rsid w:val="25261671"/>
    <w:rsid w:val="25263366"/>
    <w:rsid w:val="25264545"/>
    <w:rsid w:val="252653FE"/>
    <w:rsid w:val="25266705"/>
    <w:rsid w:val="25266869"/>
    <w:rsid w:val="25270BB7"/>
    <w:rsid w:val="2527150A"/>
    <w:rsid w:val="252726B3"/>
    <w:rsid w:val="25274522"/>
    <w:rsid w:val="2527505B"/>
    <w:rsid w:val="25276E09"/>
    <w:rsid w:val="25277CBA"/>
    <w:rsid w:val="2528052F"/>
    <w:rsid w:val="25282EBE"/>
    <w:rsid w:val="25284930"/>
    <w:rsid w:val="252860E2"/>
    <w:rsid w:val="25286488"/>
    <w:rsid w:val="25287ECD"/>
    <w:rsid w:val="25290DD3"/>
    <w:rsid w:val="25292B82"/>
    <w:rsid w:val="252A06A8"/>
    <w:rsid w:val="252B1B61"/>
    <w:rsid w:val="252B249B"/>
    <w:rsid w:val="252B269C"/>
    <w:rsid w:val="252B4668"/>
    <w:rsid w:val="252B6457"/>
    <w:rsid w:val="252B73A7"/>
    <w:rsid w:val="252C3068"/>
    <w:rsid w:val="252C3B2C"/>
    <w:rsid w:val="252C4420"/>
    <w:rsid w:val="252C6AD8"/>
    <w:rsid w:val="252D05C0"/>
    <w:rsid w:val="252D12E0"/>
    <w:rsid w:val="252D1601"/>
    <w:rsid w:val="252D260C"/>
    <w:rsid w:val="252D2912"/>
    <w:rsid w:val="252E378E"/>
    <w:rsid w:val="252F3F10"/>
    <w:rsid w:val="252F535B"/>
    <w:rsid w:val="252F6FEE"/>
    <w:rsid w:val="25300C1C"/>
    <w:rsid w:val="25307CD4"/>
    <w:rsid w:val="2531058D"/>
    <w:rsid w:val="253134D5"/>
    <w:rsid w:val="25315AA7"/>
    <w:rsid w:val="2532183D"/>
    <w:rsid w:val="2532364D"/>
    <w:rsid w:val="25330408"/>
    <w:rsid w:val="25331ACA"/>
    <w:rsid w:val="25331C52"/>
    <w:rsid w:val="25333A00"/>
    <w:rsid w:val="25336BB9"/>
    <w:rsid w:val="25336E42"/>
    <w:rsid w:val="2533755C"/>
    <w:rsid w:val="25341526"/>
    <w:rsid w:val="2534157A"/>
    <w:rsid w:val="253432D4"/>
    <w:rsid w:val="2534759F"/>
    <w:rsid w:val="25352924"/>
    <w:rsid w:val="25353A77"/>
    <w:rsid w:val="25362A70"/>
    <w:rsid w:val="253634F0"/>
    <w:rsid w:val="25363B97"/>
    <w:rsid w:val="25363C93"/>
    <w:rsid w:val="253647AE"/>
    <w:rsid w:val="25370345"/>
    <w:rsid w:val="25373A32"/>
    <w:rsid w:val="253751FB"/>
    <w:rsid w:val="253757F5"/>
    <w:rsid w:val="25375E34"/>
    <w:rsid w:val="25376056"/>
    <w:rsid w:val="25382DC5"/>
    <w:rsid w:val="253830C9"/>
    <w:rsid w:val="25390158"/>
    <w:rsid w:val="253A3747"/>
    <w:rsid w:val="253B55D6"/>
    <w:rsid w:val="253C0A50"/>
    <w:rsid w:val="253C159E"/>
    <w:rsid w:val="253C37B6"/>
    <w:rsid w:val="253D03DB"/>
    <w:rsid w:val="253D0980"/>
    <w:rsid w:val="253D3540"/>
    <w:rsid w:val="253D3AA1"/>
    <w:rsid w:val="253D4483"/>
    <w:rsid w:val="253D487F"/>
    <w:rsid w:val="253E1538"/>
    <w:rsid w:val="253E3DA4"/>
    <w:rsid w:val="253E4A40"/>
    <w:rsid w:val="253F05F7"/>
    <w:rsid w:val="253F128A"/>
    <w:rsid w:val="253F4153"/>
    <w:rsid w:val="253F485A"/>
    <w:rsid w:val="254001FE"/>
    <w:rsid w:val="25401C79"/>
    <w:rsid w:val="25406F06"/>
    <w:rsid w:val="25407ECB"/>
    <w:rsid w:val="25416003"/>
    <w:rsid w:val="254259F1"/>
    <w:rsid w:val="25425D52"/>
    <w:rsid w:val="25426470"/>
    <w:rsid w:val="25441769"/>
    <w:rsid w:val="254479BB"/>
    <w:rsid w:val="25453243"/>
    <w:rsid w:val="25453733"/>
    <w:rsid w:val="25454336"/>
    <w:rsid w:val="254570CA"/>
    <w:rsid w:val="25457290"/>
    <w:rsid w:val="25462D57"/>
    <w:rsid w:val="25464A73"/>
    <w:rsid w:val="2546554B"/>
    <w:rsid w:val="25470734"/>
    <w:rsid w:val="25472D7E"/>
    <w:rsid w:val="25472ECB"/>
    <w:rsid w:val="25473FAA"/>
    <w:rsid w:val="25480ECC"/>
    <w:rsid w:val="25481566"/>
    <w:rsid w:val="25481857"/>
    <w:rsid w:val="25482857"/>
    <w:rsid w:val="254834A6"/>
    <w:rsid w:val="254834A8"/>
    <w:rsid w:val="2548389E"/>
    <w:rsid w:val="2548529D"/>
    <w:rsid w:val="25487C02"/>
    <w:rsid w:val="25493054"/>
    <w:rsid w:val="254938A4"/>
    <w:rsid w:val="25494FD2"/>
    <w:rsid w:val="25497867"/>
    <w:rsid w:val="254A0A03"/>
    <w:rsid w:val="254A0D4A"/>
    <w:rsid w:val="254A0F0D"/>
    <w:rsid w:val="254A4064"/>
    <w:rsid w:val="254A476E"/>
    <w:rsid w:val="254A48EC"/>
    <w:rsid w:val="254A4E96"/>
    <w:rsid w:val="254A5C25"/>
    <w:rsid w:val="254B2201"/>
    <w:rsid w:val="254B6F9C"/>
    <w:rsid w:val="254C061E"/>
    <w:rsid w:val="254C671D"/>
    <w:rsid w:val="254C6C06"/>
    <w:rsid w:val="254D1259"/>
    <w:rsid w:val="254D19D5"/>
    <w:rsid w:val="254E211A"/>
    <w:rsid w:val="254E25E8"/>
    <w:rsid w:val="254E4396"/>
    <w:rsid w:val="254F00BE"/>
    <w:rsid w:val="254F0A8D"/>
    <w:rsid w:val="254F11D1"/>
    <w:rsid w:val="254F3141"/>
    <w:rsid w:val="254F4A8F"/>
    <w:rsid w:val="254F6EC6"/>
    <w:rsid w:val="25500356"/>
    <w:rsid w:val="2550342F"/>
    <w:rsid w:val="255045B2"/>
    <w:rsid w:val="255120D8"/>
    <w:rsid w:val="255122F9"/>
    <w:rsid w:val="25513E86"/>
    <w:rsid w:val="2551419F"/>
    <w:rsid w:val="25514583"/>
    <w:rsid w:val="2551691B"/>
    <w:rsid w:val="25517D6A"/>
    <w:rsid w:val="25525847"/>
    <w:rsid w:val="255262AC"/>
    <w:rsid w:val="25526E4B"/>
    <w:rsid w:val="25526F88"/>
    <w:rsid w:val="255319AC"/>
    <w:rsid w:val="255355C0"/>
    <w:rsid w:val="25536CD7"/>
    <w:rsid w:val="25537BBA"/>
    <w:rsid w:val="25537BFE"/>
    <w:rsid w:val="25542755"/>
    <w:rsid w:val="25545409"/>
    <w:rsid w:val="255508C9"/>
    <w:rsid w:val="25550A54"/>
    <w:rsid w:val="25552D38"/>
    <w:rsid w:val="25553977"/>
    <w:rsid w:val="25553CFF"/>
    <w:rsid w:val="255550B8"/>
    <w:rsid w:val="25560F9E"/>
    <w:rsid w:val="255612F9"/>
    <w:rsid w:val="25563097"/>
    <w:rsid w:val="255641C8"/>
    <w:rsid w:val="255664E4"/>
    <w:rsid w:val="255676EF"/>
    <w:rsid w:val="2557054C"/>
    <w:rsid w:val="255819B0"/>
    <w:rsid w:val="255819D1"/>
    <w:rsid w:val="25585215"/>
    <w:rsid w:val="25590984"/>
    <w:rsid w:val="25593998"/>
    <w:rsid w:val="2559402E"/>
    <w:rsid w:val="2559428A"/>
    <w:rsid w:val="25594AE0"/>
    <w:rsid w:val="255A0F8D"/>
    <w:rsid w:val="255A35DF"/>
    <w:rsid w:val="255A7ED0"/>
    <w:rsid w:val="255B1873"/>
    <w:rsid w:val="255B2C78"/>
    <w:rsid w:val="255B2F57"/>
    <w:rsid w:val="255B3A28"/>
    <w:rsid w:val="255B4D05"/>
    <w:rsid w:val="255B582D"/>
    <w:rsid w:val="255B6AB3"/>
    <w:rsid w:val="255C04EF"/>
    <w:rsid w:val="255C1281"/>
    <w:rsid w:val="255C2C0B"/>
    <w:rsid w:val="255C4BEA"/>
    <w:rsid w:val="255C646B"/>
    <w:rsid w:val="255D02CB"/>
    <w:rsid w:val="255D0A7D"/>
    <w:rsid w:val="255D282B"/>
    <w:rsid w:val="255D41CA"/>
    <w:rsid w:val="255D5DAA"/>
    <w:rsid w:val="255E552B"/>
    <w:rsid w:val="255F24D2"/>
    <w:rsid w:val="255F2A47"/>
    <w:rsid w:val="25600B11"/>
    <w:rsid w:val="256018F9"/>
    <w:rsid w:val="2560231B"/>
    <w:rsid w:val="256040C9"/>
    <w:rsid w:val="2561056D"/>
    <w:rsid w:val="25614F30"/>
    <w:rsid w:val="25621E7B"/>
    <w:rsid w:val="25623E72"/>
    <w:rsid w:val="256242E5"/>
    <w:rsid w:val="25625440"/>
    <w:rsid w:val="25630692"/>
    <w:rsid w:val="25641E0C"/>
    <w:rsid w:val="25643BBA"/>
    <w:rsid w:val="25644C4D"/>
    <w:rsid w:val="25645480"/>
    <w:rsid w:val="256529BE"/>
    <w:rsid w:val="25655A57"/>
    <w:rsid w:val="25660E97"/>
    <w:rsid w:val="256618A6"/>
    <w:rsid w:val="25663ABB"/>
    <w:rsid w:val="2566688E"/>
    <w:rsid w:val="25667221"/>
    <w:rsid w:val="256718FC"/>
    <w:rsid w:val="25673450"/>
    <w:rsid w:val="25675458"/>
    <w:rsid w:val="25680A54"/>
    <w:rsid w:val="25680DFE"/>
    <w:rsid w:val="256811AE"/>
    <w:rsid w:val="25681938"/>
    <w:rsid w:val="25681F43"/>
    <w:rsid w:val="25682489"/>
    <w:rsid w:val="25682493"/>
    <w:rsid w:val="256911D0"/>
    <w:rsid w:val="2569263E"/>
    <w:rsid w:val="25695614"/>
    <w:rsid w:val="25695674"/>
    <w:rsid w:val="2569615D"/>
    <w:rsid w:val="256A20B1"/>
    <w:rsid w:val="256A520F"/>
    <w:rsid w:val="256B22A4"/>
    <w:rsid w:val="256B4AAD"/>
    <w:rsid w:val="256C6F12"/>
    <w:rsid w:val="256D25C2"/>
    <w:rsid w:val="256D3785"/>
    <w:rsid w:val="256E0263"/>
    <w:rsid w:val="256E0575"/>
    <w:rsid w:val="256E342C"/>
    <w:rsid w:val="256E67E6"/>
    <w:rsid w:val="256E7541"/>
    <w:rsid w:val="256E78A5"/>
    <w:rsid w:val="256E7B04"/>
    <w:rsid w:val="256F06A2"/>
    <w:rsid w:val="256F12CB"/>
    <w:rsid w:val="256F255E"/>
    <w:rsid w:val="256F28C7"/>
    <w:rsid w:val="256F4436"/>
    <w:rsid w:val="256F6A56"/>
    <w:rsid w:val="256F741C"/>
    <w:rsid w:val="257032A8"/>
    <w:rsid w:val="2570463C"/>
    <w:rsid w:val="25706A02"/>
    <w:rsid w:val="25710085"/>
    <w:rsid w:val="25714529"/>
    <w:rsid w:val="25715256"/>
    <w:rsid w:val="257162D7"/>
    <w:rsid w:val="257167D6"/>
    <w:rsid w:val="25721644"/>
    <w:rsid w:val="25722260"/>
    <w:rsid w:val="257250D3"/>
    <w:rsid w:val="257302A1"/>
    <w:rsid w:val="2573076E"/>
    <w:rsid w:val="25733DDF"/>
    <w:rsid w:val="25745839"/>
    <w:rsid w:val="25747449"/>
    <w:rsid w:val="25747751"/>
    <w:rsid w:val="25751797"/>
    <w:rsid w:val="25751A16"/>
    <w:rsid w:val="25752322"/>
    <w:rsid w:val="25754019"/>
    <w:rsid w:val="25755DC7"/>
    <w:rsid w:val="25756ED0"/>
    <w:rsid w:val="25757B75"/>
    <w:rsid w:val="25757CDB"/>
    <w:rsid w:val="257604C3"/>
    <w:rsid w:val="25760CE3"/>
    <w:rsid w:val="25761192"/>
    <w:rsid w:val="25761546"/>
    <w:rsid w:val="25761735"/>
    <w:rsid w:val="25761B3F"/>
    <w:rsid w:val="2576278D"/>
    <w:rsid w:val="25764EE1"/>
    <w:rsid w:val="25765E4A"/>
    <w:rsid w:val="2576613B"/>
    <w:rsid w:val="257769E9"/>
    <w:rsid w:val="25777AE8"/>
    <w:rsid w:val="25777D91"/>
    <w:rsid w:val="25781413"/>
    <w:rsid w:val="2578258A"/>
    <w:rsid w:val="25783B09"/>
    <w:rsid w:val="257858B7"/>
    <w:rsid w:val="25787665"/>
    <w:rsid w:val="2579259F"/>
    <w:rsid w:val="25793296"/>
    <w:rsid w:val="257A00FA"/>
    <w:rsid w:val="257A15C7"/>
    <w:rsid w:val="257A162F"/>
    <w:rsid w:val="257A33DD"/>
    <w:rsid w:val="257A518B"/>
    <w:rsid w:val="257A6194"/>
    <w:rsid w:val="257A70A9"/>
    <w:rsid w:val="257B03E3"/>
    <w:rsid w:val="257B1279"/>
    <w:rsid w:val="257B28E2"/>
    <w:rsid w:val="257B5536"/>
    <w:rsid w:val="257B56DA"/>
    <w:rsid w:val="257C3BBE"/>
    <w:rsid w:val="257C53A7"/>
    <w:rsid w:val="257D2ECD"/>
    <w:rsid w:val="257D4C7B"/>
    <w:rsid w:val="257E1D84"/>
    <w:rsid w:val="257E2C1B"/>
    <w:rsid w:val="257E4C83"/>
    <w:rsid w:val="257E51FE"/>
    <w:rsid w:val="257E57BE"/>
    <w:rsid w:val="257E63F0"/>
    <w:rsid w:val="257E65A7"/>
    <w:rsid w:val="257F02C8"/>
    <w:rsid w:val="257F10B3"/>
    <w:rsid w:val="257F568B"/>
    <w:rsid w:val="257F6C45"/>
    <w:rsid w:val="257F6E2B"/>
    <w:rsid w:val="257F750E"/>
    <w:rsid w:val="25800113"/>
    <w:rsid w:val="2580476C"/>
    <w:rsid w:val="25804B6B"/>
    <w:rsid w:val="258108C5"/>
    <w:rsid w:val="25814C9F"/>
    <w:rsid w:val="25815F1D"/>
    <w:rsid w:val="258160E4"/>
    <w:rsid w:val="2581668A"/>
    <w:rsid w:val="25817369"/>
    <w:rsid w:val="25820BE3"/>
    <w:rsid w:val="25820CEA"/>
    <w:rsid w:val="25822292"/>
    <w:rsid w:val="25822426"/>
    <w:rsid w:val="258257BA"/>
    <w:rsid w:val="2582760D"/>
    <w:rsid w:val="25827978"/>
    <w:rsid w:val="25832775"/>
    <w:rsid w:val="25840DFE"/>
    <w:rsid w:val="258424AE"/>
    <w:rsid w:val="25845432"/>
    <w:rsid w:val="2584600A"/>
    <w:rsid w:val="258461CA"/>
    <w:rsid w:val="25847246"/>
    <w:rsid w:val="25851E17"/>
    <w:rsid w:val="25852ABC"/>
    <w:rsid w:val="258532A7"/>
    <w:rsid w:val="258536E4"/>
    <w:rsid w:val="25853B30"/>
    <w:rsid w:val="25860F3F"/>
    <w:rsid w:val="25861774"/>
    <w:rsid w:val="25861B66"/>
    <w:rsid w:val="25861D82"/>
    <w:rsid w:val="2586367D"/>
    <w:rsid w:val="258669E6"/>
    <w:rsid w:val="25871828"/>
    <w:rsid w:val="25873D4C"/>
    <w:rsid w:val="25874658"/>
    <w:rsid w:val="25874A9E"/>
    <w:rsid w:val="25875AFA"/>
    <w:rsid w:val="258778A8"/>
    <w:rsid w:val="25880798"/>
    <w:rsid w:val="25882EB2"/>
    <w:rsid w:val="2589123E"/>
    <w:rsid w:val="25893004"/>
    <w:rsid w:val="25894A10"/>
    <w:rsid w:val="25895BC7"/>
    <w:rsid w:val="258A1146"/>
    <w:rsid w:val="258A1977"/>
    <w:rsid w:val="258A2770"/>
    <w:rsid w:val="258A4756"/>
    <w:rsid w:val="258A7F1F"/>
    <w:rsid w:val="258B0EC2"/>
    <w:rsid w:val="258B2F85"/>
    <w:rsid w:val="258B4350"/>
    <w:rsid w:val="258B7398"/>
    <w:rsid w:val="258C05A9"/>
    <w:rsid w:val="258C1362"/>
    <w:rsid w:val="258C65D0"/>
    <w:rsid w:val="258D4474"/>
    <w:rsid w:val="258D4B21"/>
    <w:rsid w:val="258D5BBB"/>
    <w:rsid w:val="258D7710"/>
    <w:rsid w:val="258E02F8"/>
    <w:rsid w:val="258E1675"/>
    <w:rsid w:val="258E50DA"/>
    <w:rsid w:val="258E570C"/>
    <w:rsid w:val="258E6E89"/>
    <w:rsid w:val="258E7173"/>
    <w:rsid w:val="258F4359"/>
    <w:rsid w:val="25900E53"/>
    <w:rsid w:val="25902155"/>
    <w:rsid w:val="259049AF"/>
    <w:rsid w:val="25906F2A"/>
    <w:rsid w:val="2591155E"/>
    <w:rsid w:val="25911D97"/>
    <w:rsid w:val="259124D5"/>
    <w:rsid w:val="25913536"/>
    <w:rsid w:val="259152F3"/>
    <w:rsid w:val="25916979"/>
    <w:rsid w:val="259176E1"/>
    <w:rsid w:val="25924360"/>
    <w:rsid w:val="25926288"/>
    <w:rsid w:val="25926E15"/>
    <w:rsid w:val="25933B26"/>
    <w:rsid w:val="25933EA6"/>
    <w:rsid w:val="25943E82"/>
    <w:rsid w:val="25943EAE"/>
    <w:rsid w:val="25944756"/>
    <w:rsid w:val="259455FA"/>
    <w:rsid w:val="259456C1"/>
    <w:rsid w:val="25946D8D"/>
    <w:rsid w:val="259501CB"/>
    <w:rsid w:val="25950217"/>
    <w:rsid w:val="25951FC5"/>
    <w:rsid w:val="25953F38"/>
    <w:rsid w:val="25955855"/>
    <w:rsid w:val="25960D7B"/>
    <w:rsid w:val="25962B77"/>
    <w:rsid w:val="25963EC5"/>
    <w:rsid w:val="2596422C"/>
    <w:rsid w:val="259642EF"/>
    <w:rsid w:val="25965D3D"/>
    <w:rsid w:val="25966B6A"/>
    <w:rsid w:val="259676C3"/>
    <w:rsid w:val="259721E1"/>
    <w:rsid w:val="25977B69"/>
    <w:rsid w:val="259801CE"/>
    <w:rsid w:val="25981AB5"/>
    <w:rsid w:val="259821E1"/>
    <w:rsid w:val="25985315"/>
    <w:rsid w:val="25985FB0"/>
    <w:rsid w:val="2599338A"/>
    <w:rsid w:val="259946E1"/>
    <w:rsid w:val="25997FDC"/>
    <w:rsid w:val="259A0BC6"/>
    <w:rsid w:val="259A4D85"/>
    <w:rsid w:val="259A582D"/>
    <w:rsid w:val="259A5B77"/>
    <w:rsid w:val="259A75DB"/>
    <w:rsid w:val="259B3BA0"/>
    <w:rsid w:val="259C15A5"/>
    <w:rsid w:val="259C54CD"/>
    <w:rsid w:val="259D0E7A"/>
    <w:rsid w:val="259D4DEC"/>
    <w:rsid w:val="259D56CF"/>
    <w:rsid w:val="259D6CA7"/>
    <w:rsid w:val="259E002C"/>
    <w:rsid w:val="259E0D7B"/>
    <w:rsid w:val="259E127D"/>
    <w:rsid w:val="259E58FF"/>
    <w:rsid w:val="259E7DF1"/>
    <w:rsid w:val="259F1096"/>
    <w:rsid w:val="259F2C8B"/>
    <w:rsid w:val="259F2E44"/>
    <w:rsid w:val="25A0096A"/>
    <w:rsid w:val="25A02E6B"/>
    <w:rsid w:val="25A02E98"/>
    <w:rsid w:val="25A03B85"/>
    <w:rsid w:val="25A03C7F"/>
    <w:rsid w:val="25A1133F"/>
    <w:rsid w:val="25A14E0E"/>
    <w:rsid w:val="25A152FE"/>
    <w:rsid w:val="25A20B86"/>
    <w:rsid w:val="25A23387"/>
    <w:rsid w:val="25A246E2"/>
    <w:rsid w:val="25A32A3C"/>
    <w:rsid w:val="25A33CF1"/>
    <w:rsid w:val="25A42910"/>
    <w:rsid w:val="25A42B87"/>
    <w:rsid w:val="25A51D89"/>
    <w:rsid w:val="25A53B88"/>
    <w:rsid w:val="25A55F80"/>
    <w:rsid w:val="25A60BA9"/>
    <w:rsid w:val="25A613C5"/>
    <w:rsid w:val="25A62424"/>
    <w:rsid w:val="25A6334E"/>
    <w:rsid w:val="25A641D2"/>
    <w:rsid w:val="25A65C79"/>
    <w:rsid w:val="25A71CF8"/>
    <w:rsid w:val="25A72C2B"/>
    <w:rsid w:val="25A7433E"/>
    <w:rsid w:val="25A74B71"/>
    <w:rsid w:val="25A758C3"/>
    <w:rsid w:val="25A77F4A"/>
    <w:rsid w:val="25A84F00"/>
    <w:rsid w:val="25A864CC"/>
    <w:rsid w:val="25A86B8C"/>
    <w:rsid w:val="25A91F14"/>
    <w:rsid w:val="25A91F48"/>
    <w:rsid w:val="25A93637"/>
    <w:rsid w:val="25A9379C"/>
    <w:rsid w:val="25A95A70"/>
    <w:rsid w:val="25A97AD1"/>
    <w:rsid w:val="25AA12C5"/>
    <w:rsid w:val="25AA26F0"/>
    <w:rsid w:val="25AB11E7"/>
    <w:rsid w:val="25AB17E9"/>
    <w:rsid w:val="25AB4974"/>
    <w:rsid w:val="25AC5480"/>
    <w:rsid w:val="25AC5561"/>
    <w:rsid w:val="25AC595B"/>
    <w:rsid w:val="25AC69E3"/>
    <w:rsid w:val="25AC7159"/>
    <w:rsid w:val="25AD1A15"/>
    <w:rsid w:val="25AD372B"/>
    <w:rsid w:val="25AD37B3"/>
    <w:rsid w:val="25AD5851"/>
    <w:rsid w:val="25AD7B2E"/>
    <w:rsid w:val="25AE12D9"/>
    <w:rsid w:val="25AE22EE"/>
    <w:rsid w:val="25AE2C37"/>
    <w:rsid w:val="25AE3087"/>
    <w:rsid w:val="25AE6CE7"/>
    <w:rsid w:val="25AE744B"/>
    <w:rsid w:val="25AE752B"/>
    <w:rsid w:val="25AF3C37"/>
    <w:rsid w:val="25AF4074"/>
    <w:rsid w:val="25B00CBB"/>
    <w:rsid w:val="25B01895"/>
    <w:rsid w:val="25B0283C"/>
    <w:rsid w:val="25B032A3"/>
    <w:rsid w:val="25B042AF"/>
    <w:rsid w:val="25B04653"/>
    <w:rsid w:val="25B05051"/>
    <w:rsid w:val="25B06DFF"/>
    <w:rsid w:val="25B12B77"/>
    <w:rsid w:val="25B14925"/>
    <w:rsid w:val="25B14F6A"/>
    <w:rsid w:val="25B15CCD"/>
    <w:rsid w:val="25B16263"/>
    <w:rsid w:val="25B20DC9"/>
    <w:rsid w:val="25B21789"/>
    <w:rsid w:val="25B21D4E"/>
    <w:rsid w:val="25B25F04"/>
    <w:rsid w:val="25B276F2"/>
    <w:rsid w:val="25B302EC"/>
    <w:rsid w:val="25B30E6F"/>
    <w:rsid w:val="25B33748"/>
    <w:rsid w:val="25B3522D"/>
    <w:rsid w:val="25B36F9B"/>
    <w:rsid w:val="25B40EB7"/>
    <w:rsid w:val="25B412BD"/>
    <w:rsid w:val="25B422BC"/>
    <w:rsid w:val="25B4291C"/>
    <w:rsid w:val="25B50C0C"/>
    <w:rsid w:val="25B53836"/>
    <w:rsid w:val="25B54087"/>
    <w:rsid w:val="25B54DE5"/>
    <w:rsid w:val="25B577B4"/>
    <w:rsid w:val="25B6018D"/>
    <w:rsid w:val="25B61F3B"/>
    <w:rsid w:val="25B708B2"/>
    <w:rsid w:val="25B720D4"/>
    <w:rsid w:val="25B72F72"/>
    <w:rsid w:val="25B73ED4"/>
    <w:rsid w:val="25B74631"/>
    <w:rsid w:val="25B7619B"/>
    <w:rsid w:val="25B83E44"/>
    <w:rsid w:val="25B849F4"/>
    <w:rsid w:val="25B85CB3"/>
    <w:rsid w:val="25B87FEB"/>
    <w:rsid w:val="25B9028C"/>
    <w:rsid w:val="25B91C8B"/>
    <w:rsid w:val="25B95E84"/>
    <w:rsid w:val="25B96719"/>
    <w:rsid w:val="25B978CF"/>
    <w:rsid w:val="25BA13E0"/>
    <w:rsid w:val="25BA453A"/>
    <w:rsid w:val="25BA5ED0"/>
    <w:rsid w:val="25BA7C7E"/>
    <w:rsid w:val="25BB2EF0"/>
    <w:rsid w:val="25BB4D0E"/>
    <w:rsid w:val="25BB65AA"/>
    <w:rsid w:val="25BC1C48"/>
    <w:rsid w:val="25BC1D9E"/>
    <w:rsid w:val="25BC33C8"/>
    <w:rsid w:val="25BC39F6"/>
    <w:rsid w:val="25BC57A4"/>
    <w:rsid w:val="25BC5F46"/>
    <w:rsid w:val="25BC60B4"/>
    <w:rsid w:val="25BD1D41"/>
    <w:rsid w:val="25BD4276"/>
    <w:rsid w:val="25BD73D6"/>
    <w:rsid w:val="25BD756B"/>
    <w:rsid w:val="25BE0866"/>
    <w:rsid w:val="25BE0BAE"/>
    <w:rsid w:val="25BE2B87"/>
    <w:rsid w:val="25BE483A"/>
    <w:rsid w:val="25BF0804"/>
    <w:rsid w:val="25BF2BC4"/>
    <w:rsid w:val="25BF3437"/>
    <w:rsid w:val="25BF7042"/>
    <w:rsid w:val="25BF76B7"/>
    <w:rsid w:val="25C01108"/>
    <w:rsid w:val="25C015E2"/>
    <w:rsid w:val="25C03759"/>
    <w:rsid w:val="25C037E8"/>
    <w:rsid w:val="25C04100"/>
    <w:rsid w:val="25C0428D"/>
    <w:rsid w:val="25C048C7"/>
    <w:rsid w:val="25C06D29"/>
    <w:rsid w:val="25C12DBA"/>
    <w:rsid w:val="25C15F8E"/>
    <w:rsid w:val="25C1663B"/>
    <w:rsid w:val="25C1725E"/>
    <w:rsid w:val="25C20115"/>
    <w:rsid w:val="25C2117E"/>
    <w:rsid w:val="25C25266"/>
    <w:rsid w:val="25C26B32"/>
    <w:rsid w:val="25C314B6"/>
    <w:rsid w:val="25C315C7"/>
    <w:rsid w:val="25C31B07"/>
    <w:rsid w:val="25C32FD6"/>
    <w:rsid w:val="25C33E14"/>
    <w:rsid w:val="25C37543"/>
    <w:rsid w:val="25C40AFC"/>
    <w:rsid w:val="25C428AA"/>
    <w:rsid w:val="25C43F54"/>
    <w:rsid w:val="25C44708"/>
    <w:rsid w:val="25C47A64"/>
    <w:rsid w:val="25C56091"/>
    <w:rsid w:val="25C603D0"/>
    <w:rsid w:val="25C64874"/>
    <w:rsid w:val="25C650DC"/>
    <w:rsid w:val="25C6689C"/>
    <w:rsid w:val="25C70488"/>
    <w:rsid w:val="25C74149"/>
    <w:rsid w:val="25C74D0E"/>
    <w:rsid w:val="25C74D48"/>
    <w:rsid w:val="25C758DB"/>
    <w:rsid w:val="25C76D9F"/>
    <w:rsid w:val="25C92848"/>
    <w:rsid w:val="25C92E20"/>
    <w:rsid w:val="25C97C23"/>
    <w:rsid w:val="25C97EC1"/>
    <w:rsid w:val="25CA03E0"/>
    <w:rsid w:val="25CA2039"/>
    <w:rsid w:val="25CA244A"/>
    <w:rsid w:val="25CA24A2"/>
    <w:rsid w:val="25CA46E3"/>
    <w:rsid w:val="25CB1E8B"/>
    <w:rsid w:val="25CB32E0"/>
    <w:rsid w:val="25CB4399"/>
    <w:rsid w:val="25CC0CEB"/>
    <w:rsid w:val="25CC6DBB"/>
    <w:rsid w:val="25CD46FD"/>
    <w:rsid w:val="25CD5C03"/>
    <w:rsid w:val="25CD6F02"/>
    <w:rsid w:val="25CD79B1"/>
    <w:rsid w:val="25CE0560"/>
    <w:rsid w:val="25CE197B"/>
    <w:rsid w:val="25CE31E5"/>
    <w:rsid w:val="25CE5699"/>
    <w:rsid w:val="25CE5834"/>
    <w:rsid w:val="25CF02B9"/>
    <w:rsid w:val="25CF0C4A"/>
    <w:rsid w:val="25CF1D63"/>
    <w:rsid w:val="25CF5990"/>
    <w:rsid w:val="25D0124F"/>
    <w:rsid w:val="25D0174A"/>
    <w:rsid w:val="25D02FFD"/>
    <w:rsid w:val="25D147ED"/>
    <w:rsid w:val="25D226D8"/>
    <w:rsid w:val="25D24FC7"/>
    <w:rsid w:val="25D30451"/>
    <w:rsid w:val="25D30D3F"/>
    <w:rsid w:val="25D337EF"/>
    <w:rsid w:val="25D35CF3"/>
    <w:rsid w:val="25D36F91"/>
    <w:rsid w:val="25D37ED2"/>
    <w:rsid w:val="25D4076B"/>
    <w:rsid w:val="25D43A2E"/>
    <w:rsid w:val="25D46E6A"/>
    <w:rsid w:val="25D539DB"/>
    <w:rsid w:val="25D53C32"/>
    <w:rsid w:val="25D54AB7"/>
    <w:rsid w:val="25D55FB8"/>
    <w:rsid w:val="25D57631"/>
    <w:rsid w:val="25D610CA"/>
    <w:rsid w:val="25D62187"/>
    <w:rsid w:val="25D647EF"/>
    <w:rsid w:val="25D6540A"/>
    <w:rsid w:val="25D7082F"/>
    <w:rsid w:val="25D725DE"/>
    <w:rsid w:val="25D74C64"/>
    <w:rsid w:val="25D770AE"/>
    <w:rsid w:val="25D80104"/>
    <w:rsid w:val="25D83F25"/>
    <w:rsid w:val="25D845A8"/>
    <w:rsid w:val="25D85E19"/>
    <w:rsid w:val="25D90293"/>
    <w:rsid w:val="25D9546E"/>
    <w:rsid w:val="25DA0320"/>
    <w:rsid w:val="25DA0FF3"/>
    <w:rsid w:val="25DA1F4F"/>
    <w:rsid w:val="25DA3E7C"/>
    <w:rsid w:val="25DB004C"/>
    <w:rsid w:val="25DB14CF"/>
    <w:rsid w:val="25DB2B57"/>
    <w:rsid w:val="25DB37AE"/>
    <w:rsid w:val="25DB3FA0"/>
    <w:rsid w:val="25DB6527"/>
    <w:rsid w:val="25DB726F"/>
    <w:rsid w:val="25DC3714"/>
    <w:rsid w:val="25DC4098"/>
    <w:rsid w:val="25DC7BF4"/>
    <w:rsid w:val="25DD0E00"/>
    <w:rsid w:val="25DD4AD6"/>
    <w:rsid w:val="25DD571A"/>
    <w:rsid w:val="25DE1BBE"/>
    <w:rsid w:val="25DE4996"/>
    <w:rsid w:val="25DE7E50"/>
    <w:rsid w:val="25DF13F2"/>
    <w:rsid w:val="25DF1492"/>
    <w:rsid w:val="25DF5936"/>
    <w:rsid w:val="25DF7546"/>
    <w:rsid w:val="25E003D8"/>
    <w:rsid w:val="25E00991"/>
    <w:rsid w:val="25E01103"/>
    <w:rsid w:val="25E01565"/>
    <w:rsid w:val="25E02770"/>
    <w:rsid w:val="25E06D65"/>
    <w:rsid w:val="25E10F7A"/>
    <w:rsid w:val="25E116AE"/>
    <w:rsid w:val="25E12BA4"/>
    <w:rsid w:val="25E1520A"/>
    <w:rsid w:val="25E167D1"/>
    <w:rsid w:val="25E1691F"/>
    <w:rsid w:val="25E20F1F"/>
    <w:rsid w:val="25E240E7"/>
    <w:rsid w:val="25E25E4B"/>
    <w:rsid w:val="25E27C61"/>
    <w:rsid w:val="25E3207D"/>
    <w:rsid w:val="25E35426"/>
    <w:rsid w:val="25E361CF"/>
    <w:rsid w:val="25E362B6"/>
    <w:rsid w:val="25E36B87"/>
    <w:rsid w:val="25E40344"/>
    <w:rsid w:val="25E40351"/>
    <w:rsid w:val="25E42F4C"/>
    <w:rsid w:val="25E43CC2"/>
    <w:rsid w:val="25E44CFA"/>
    <w:rsid w:val="25E46E49"/>
    <w:rsid w:val="25E518F2"/>
    <w:rsid w:val="25E55152"/>
    <w:rsid w:val="25E604AB"/>
    <w:rsid w:val="25E60A73"/>
    <w:rsid w:val="25E65340"/>
    <w:rsid w:val="25E710EE"/>
    <w:rsid w:val="25E72643"/>
    <w:rsid w:val="25E75BFC"/>
    <w:rsid w:val="25E75E2A"/>
    <w:rsid w:val="25E76599"/>
    <w:rsid w:val="25E76D46"/>
    <w:rsid w:val="25E77A72"/>
    <w:rsid w:val="25E80E29"/>
    <w:rsid w:val="25E82A3D"/>
    <w:rsid w:val="25E83AD3"/>
    <w:rsid w:val="25E847EB"/>
    <w:rsid w:val="25E84FC3"/>
    <w:rsid w:val="25E87092"/>
    <w:rsid w:val="25E87C00"/>
    <w:rsid w:val="25E90563"/>
    <w:rsid w:val="25E92392"/>
    <w:rsid w:val="25E940BF"/>
    <w:rsid w:val="25E97C72"/>
    <w:rsid w:val="25EA04ED"/>
    <w:rsid w:val="25EA0800"/>
    <w:rsid w:val="25EA5337"/>
    <w:rsid w:val="25EA5951"/>
    <w:rsid w:val="25EA625C"/>
    <w:rsid w:val="25EA73EF"/>
    <w:rsid w:val="25EB2BDC"/>
    <w:rsid w:val="25EB302B"/>
    <w:rsid w:val="25EB6089"/>
    <w:rsid w:val="25EB7B5C"/>
    <w:rsid w:val="25EC08AB"/>
    <w:rsid w:val="25EC1ADE"/>
    <w:rsid w:val="25EC4435"/>
    <w:rsid w:val="25EC56F0"/>
    <w:rsid w:val="25ED0053"/>
    <w:rsid w:val="25ED1E01"/>
    <w:rsid w:val="25ED28DB"/>
    <w:rsid w:val="25ED7D1E"/>
    <w:rsid w:val="25EE47B2"/>
    <w:rsid w:val="25EE4C41"/>
    <w:rsid w:val="25EE7927"/>
    <w:rsid w:val="25EF198A"/>
    <w:rsid w:val="25EF3D75"/>
    <w:rsid w:val="25EF4D5E"/>
    <w:rsid w:val="25F0115B"/>
    <w:rsid w:val="25F018F1"/>
    <w:rsid w:val="25F0369F"/>
    <w:rsid w:val="25F162C6"/>
    <w:rsid w:val="25F16B15"/>
    <w:rsid w:val="25F17151"/>
    <w:rsid w:val="25F174B5"/>
    <w:rsid w:val="25F21F56"/>
    <w:rsid w:val="25F25669"/>
    <w:rsid w:val="25F26143"/>
    <w:rsid w:val="25F27025"/>
    <w:rsid w:val="25F27417"/>
    <w:rsid w:val="25F306E1"/>
    <w:rsid w:val="25F310B6"/>
    <w:rsid w:val="25F3318F"/>
    <w:rsid w:val="25F33E77"/>
    <w:rsid w:val="25F33FB6"/>
    <w:rsid w:val="25F405CE"/>
    <w:rsid w:val="25F40B37"/>
    <w:rsid w:val="25F40D76"/>
    <w:rsid w:val="25F410F6"/>
    <w:rsid w:val="25F413E1"/>
    <w:rsid w:val="25F47129"/>
    <w:rsid w:val="25F50CB6"/>
    <w:rsid w:val="25F51858"/>
    <w:rsid w:val="25F52A64"/>
    <w:rsid w:val="25F54C47"/>
    <w:rsid w:val="25F5515A"/>
    <w:rsid w:val="25F63DD5"/>
    <w:rsid w:val="25F65189"/>
    <w:rsid w:val="25F6590B"/>
    <w:rsid w:val="25F67DC3"/>
    <w:rsid w:val="25F70611"/>
    <w:rsid w:val="25F712C5"/>
    <w:rsid w:val="25F7178F"/>
    <w:rsid w:val="25F767DC"/>
    <w:rsid w:val="25F80DA5"/>
    <w:rsid w:val="25F85C13"/>
    <w:rsid w:val="25F93317"/>
    <w:rsid w:val="25F94A58"/>
    <w:rsid w:val="25F94B2F"/>
    <w:rsid w:val="25F953B1"/>
    <w:rsid w:val="25F95471"/>
    <w:rsid w:val="25F96301"/>
    <w:rsid w:val="25FA3375"/>
    <w:rsid w:val="25FA3915"/>
    <w:rsid w:val="25FA451E"/>
    <w:rsid w:val="25FA62CC"/>
    <w:rsid w:val="25FB2913"/>
    <w:rsid w:val="25FB77FE"/>
    <w:rsid w:val="25FC0296"/>
    <w:rsid w:val="25FC17E9"/>
    <w:rsid w:val="25FC2BC8"/>
    <w:rsid w:val="25FC33D9"/>
    <w:rsid w:val="25FC3DF2"/>
    <w:rsid w:val="25FC6A07"/>
    <w:rsid w:val="25FC7E41"/>
    <w:rsid w:val="25FD47B6"/>
    <w:rsid w:val="25FD4869"/>
    <w:rsid w:val="25FD7B6A"/>
    <w:rsid w:val="25FE13E5"/>
    <w:rsid w:val="25FE1BC3"/>
    <w:rsid w:val="25FE211B"/>
    <w:rsid w:val="25FE400E"/>
    <w:rsid w:val="25FE50F0"/>
    <w:rsid w:val="25FE7314"/>
    <w:rsid w:val="25FF084C"/>
    <w:rsid w:val="25FF25A3"/>
    <w:rsid w:val="25FF317D"/>
    <w:rsid w:val="25FF37ED"/>
    <w:rsid w:val="25FF38E2"/>
    <w:rsid w:val="25FF7D86"/>
    <w:rsid w:val="26000619"/>
    <w:rsid w:val="2600136C"/>
    <w:rsid w:val="26001D5A"/>
    <w:rsid w:val="260023D1"/>
    <w:rsid w:val="26002AA4"/>
    <w:rsid w:val="260030EE"/>
    <w:rsid w:val="260067E2"/>
    <w:rsid w:val="26012181"/>
    <w:rsid w:val="26013AFE"/>
    <w:rsid w:val="260158AC"/>
    <w:rsid w:val="2601765A"/>
    <w:rsid w:val="260204CC"/>
    <w:rsid w:val="2602362F"/>
    <w:rsid w:val="26031625"/>
    <w:rsid w:val="26035B0A"/>
    <w:rsid w:val="260411B0"/>
    <w:rsid w:val="26041EF2"/>
    <w:rsid w:val="26042991"/>
    <w:rsid w:val="260436A5"/>
    <w:rsid w:val="2604438A"/>
    <w:rsid w:val="26044730"/>
    <w:rsid w:val="2604539D"/>
    <w:rsid w:val="260453CB"/>
    <w:rsid w:val="26047717"/>
    <w:rsid w:val="2605380B"/>
    <w:rsid w:val="26062EC3"/>
    <w:rsid w:val="26064C71"/>
    <w:rsid w:val="26066AD3"/>
    <w:rsid w:val="26066B5E"/>
    <w:rsid w:val="26066C34"/>
    <w:rsid w:val="26071269"/>
    <w:rsid w:val="26074D5A"/>
    <w:rsid w:val="26081A31"/>
    <w:rsid w:val="26082F24"/>
    <w:rsid w:val="26084E8D"/>
    <w:rsid w:val="260855ED"/>
    <w:rsid w:val="26086C3B"/>
    <w:rsid w:val="260929B3"/>
    <w:rsid w:val="26094373"/>
    <w:rsid w:val="26094761"/>
    <w:rsid w:val="260A0E9D"/>
    <w:rsid w:val="260A54FD"/>
    <w:rsid w:val="260B2287"/>
    <w:rsid w:val="260B392E"/>
    <w:rsid w:val="260B672B"/>
    <w:rsid w:val="260B7488"/>
    <w:rsid w:val="260B7727"/>
    <w:rsid w:val="260C0188"/>
    <w:rsid w:val="260C02FD"/>
    <w:rsid w:val="260C06C2"/>
    <w:rsid w:val="260C207A"/>
    <w:rsid w:val="260C2ECE"/>
    <w:rsid w:val="260C637D"/>
    <w:rsid w:val="260C7A0C"/>
    <w:rsid w:val="260D1A71"/>
    <w:rsid w:val="260D24A3"/>
    <w:rsid w:val="260D2682"/>
    <w:rsid w:val="260D3EDB"/>
    <w:rsid w:val="260D5C3E"/>
    <w:rsid w:val="260D5FFF"/>
    <w:rsid w:val="260E1612"/>
    <w:rsid w:val="260E1D77"/>
    <w:rsid w:val="260E3679"/>
    <w:rsid w:val="260E3839"/>
    <w:rsid w:val="260E4C3F"/>
    <w:rsid w:val="260E7926"/>
    <w:rsid w:val="260F524B"/>
    <w:rsid w:val="260F7574"/>
    <w:rsid w:val="2610275E"/>
    <w:rsid w:val="26102C80"/>
    <w:rsid w:val="26105AEF"/>
    <w:rsid w:val="26110127"/>
    <w:rsid w:val="261143D7"/>
    <w:rsid w:val="26120C03"/>
    <w:rsid w:val="26121868"/>
    <w:rsid w:val="261255FF"/>
    <w:rsid w:val="26130297"/>
    <w:rsid w:val="26130706"/>
    <w:rsid w:val="261357FB"/>
    <w:rsid w:val="26136A8F"/>
    <w:rsid w:val="26143832"/>
    <w:rsid w:val="26150399"/>
    <w:rsid w:val="26153106"/>
    <w:rsid w:val="26153DCD"/>
    <w:rsid w:val="26154CE3"/>
    <w:rsid w:val="2616178A"/>
    <w:rsid w:val="26166B51"/>
    <w:rsid w:val="26167D03"/>
    <w:rsid w:val="26171945"/>
    <w:rsid w:val="261726F5"/>
    <w:rsid w:val="261749EC"/>
    <w:rsid w:val="261750D0"/>
    <w:rsid w:val="26176E7E"/>
    <w:rsid w:val="261775FC"/>
    <w:rsid w:val="26177FE1"/>
    <w:rsid w:val="2618114C"/>
    <w:rsid w:val="26181471"/>
    <w:rsid w:val="2618714A"/>
    <w:rsid w:val="26190E48"/>
    <w:rsid w:val="26192BF6"/>
    <w:rsid w:val="261A1C24"/>
    <w:rsid w:val="261A3D91"/>
    <w:rsid w:val="261A4BC0"/>
    <w:rsid w:val="261A687E"/>
    <w:rsid w:val="261A734B"/>
    <w:rsid w:val="261B2D91"/>
    <w:rsid w:val="261B442E"/>
    <w:rsid w:val="261B57E3"/>
    <w:rsid w:val="261B68B7"/>
    <w:rsid w:val="261B6962"/>
    <w:rsid w:val="261C2AA5"/>
    <w:rsid w:val="261C2D10"/>
    <w:rsid w:val="261C4494"/>
    <w:rsid w:val="261C468F"/>
    <w:rsid w:val="261C6242"/>
    <w:rsid w:val="261D1FBA"/>
    <w:rsid w:val="261D7B3B"/>
    <w:rsid w:val="261E0741"/>
    <w:rsid w:val="261E232F"/>
    <w:rsid w:val="261E52E3"/>
    <w:rsid w:val="261E6255"/>
    <w:rsid w:val="261E645E"/>
    <w:rsid w:val="261F1C14"/>
    <w:rsid w:val="261F21D6"/>
    <w:rsid w:val="261F2C4E"/>
    <w:rsid w:val="261F32E3"/>
    <w:rsid w:val="261F5D33"/>
    <w:rsid w:val="261F69CA"/>
    <w:rsid w:val="26204133"/>
    <w:rsid w:val="262072E0"/>
    <w:rsid w:val="26211093"/>
    <w:rsid w:val="26211AAB"/>
    <w:rsid w:val="2621213C"/>
    <w:rsid w:val="26213296"/>
    <w:rsid w:val="262158F7"/>
    <w:rsid w:val="26215B47"/>
    <w:rsid w:val="26217CFD"/>
    <w:rsid w:val="2622048D"/>
    <w:rsid w:val="262247E1"/>
    <w:rsid w:val="26224E23"/>
    <w:rsid w:val="262250F4"/>
    <w:rsid w:val="262275D1"/>
    <w:rsid w:val="262301D1"/>
    <w:rsid w:val="26230922"/>
    <w:rsid w:val="26233A75"/>
    <w:rsid w:val="26233E34"/>
    <w:rsid w:val="26235823"/>
    <w:rsid w:val="26236B06"/>
    <w:rsid w:val="26243213"/>
    <w:rsid w:val="26243349"/>
    <w:rsid w:val="26245EE9"/>
    <w:rsid w:val="26247424"/>
    <w:rsid w:val="262477ED"/>
    <w:rsid w:val="26247A14"/>
    <w:rsid w:val="26250E51"/>
    <w:rsid w:val="2625339C"/>
    <w:rsid w:val="26257032"/>
    <w:rsid w:val="26265E3A"/>
    <w:rsid w:val="26266B39"/>
    <w:rsid w:val="262670C1"/>
    <w:rsid w:val="2626787B"/>
    <w:rsid w:val="262703C0"/>
    <w:rsid w:val="26270419"/>
    <w:rsid w:val="262726FF"/>
    <w:rsid w:val="26276045"/>
    <w:rsid w:val="2628108B"/>
    <w:rsid w:val="26281B2F"/>
    <w:rsid w:val="26286634"/>
    <w:rsid w:val="2629095F"/>
    <w:rsid w:val="26291EDB"/>
    <w:rsid w:val="262923F6"/>
    <w:rsid w:val="26296BB1"/>
    <w:rsid w:val="26296FB5"/>
    <w:rsid w:val="262A2D43"/>
    <w:rsid w:val="262A4E03"/>
    <w:rsid w:val="262B0778"/>
    <w:rsid w:val="262B0B7B"/>
    <w:rsid w:val="262B37C0"/>
    <w:rsid w:val="262B38AC"/>
    <w:rsid w:val="262B4E71"/>
    <w:rsid w:val="262B66EF"/>
    <w:rsid w:val="262C47B8"/>
    <w:rsid w:val="262C60E0"/>
    <w:rsid w:val="262D044F"/>
    <w:rsid w:val="262D1F02"/>
    <w:rsid w:val="262D324B"/>
    <w:rsid w:val="262D3EC5"/>
    <w:rsid w:val="262D48F3"/>
    <w:rsid w:val="262E145A"/>
    <w:rsid w:val="262E352B"/>
    <w:rsid w:val="262E41C8"/>
    <w:rsid w:val="262E5A19"/>
    <w:rsid w:val="262E5F76"/>
    <w:rsid w:val="262F4DFA"/>
    <w:rsid w:val="262F5BC1"/>
    <w:rsid w:val="262F6464"/>
    <w:rsid w:val="262F793A"/>
    <w:rsid w:val="26302B38"/>
    <w:rsid w:val="26304B3E"/>
    <w:rsid w:val="26305FDB"/>
    <w:rsid w:val="26306192"/>
    <w:rsid w:val="26307F40"/>
    <w:rsid w:val="26312743"/>
    <w:rsid w:val="263135FB"/>
    <w:rsid w:val="2631713A"/>
    <w:rsid w:val="26317A2E"/>
    <w:rsid w:val="26321F0A"/>
    <w:rsid w:val="26322122"/>
    <w:rsid w:val="2632537D"/>
    <w:rsid w:val="26325A66"/>
    <w:rsid w:val="26326A56"/>
    <w:rsid w:val="26326FE5"/>
    <w:rsid w:val="2632742E"/>
    <w:rsid w:val="26331252"/>
    <w:rsid w:val="263317DE"/>
    <w:rsid w:val="26333491"/>
    <w:rsid w:val="26335B1E"/>
    <w:rsid w:val="263363A7"/>
    <w:rsid w:val="26341DF0"/>
    <w:rsid w:val="26342066"/>
    <w:rsid w:val="263442DB"/>
    <w:rsid w:val="26345315"/>
    <w:rsid w:val="26345C82"/>
    <w:rsid w:val="263544BC"/>
    <w:rsid w:val="26357304"/>
    <w:rsid w:val="26361E29"/>
    <w:rsid w:val="26363126"/>
    <w:rsid w:val="263670E6"/>
    <w:rsid w:val="2637307C"/>
    <w:rsid w:val="2637448E"/>
    <w:rsid w:val="26375264"/>
    <w:rsid w:val="26375AA7"/>
    <w:rsid w:val="26377520"/>
    <w:rsid w:val="26377690"/>
    <w:rsid w:val="26384B26"/>
    <w:rsid w:val="26385F37"/>
    <w:rsid w:val="2638706C"/>
    <w:rsid w:val="2638731A"/>
    <w:rsid w:val="26393298"/>
    <w:rsid w:val="26396669"/>
    <w:rsid w:val="26396DF4"/>
    <w:rsid w:val="263973FE"/>
    <w:rsid w:val="263A06CF"/>
    <w:rsid w:val="263A0DA2"/>
    <w:rsid w:val="263A0DBE"/>
    <w:rsid w:val="263A491A"/>
    <w:rsid w:val="263A6D3A"/>
    <w:rsid w:val="263A6DCA"/>
    <w:rsid w:val="263B480B"/>
    <w:rsid w:val="263B5218"/>
    <w:rsid w:val="263B53DF"/>
    <w:rsid w:val="263B7E1C"/>
    <w:rsid w:val="263C0C87"/>
    <w:rsid w:val="263C3F99"/>
    <w:rsid w:val="263C68E5"/>
    <w:rsid w:val="263D1CFC"/>
    <w:rsid w:val="263D56AE"/>
    <w:rsid w:val="263D6D6B"/>
    <w:rsid w:val="263D7F73"/>
    <w:rsid w:val="263E0972"/>
    <w:rsid w:val="263E2F6C"/>
    <w:rsid w:val="263E440B"/>
    <w:rsid w:val="263E61A1"/>
    <w:rsid w:val="263E6DFE"/>
    <w:rsid w:val="263E78E4"/>
    <w:rsid w:val="263F63D5"/>
    <w:rsid w:val="26401F92"/>
    <w:rsid w:val="26403BD6"/>
    <w:rsid w:val="26404309"/>
    <w:rsid w:val="2640457E"/>
    <w:rsid w:val="26404957"/>
    <w:rsid w:val="2641067D"/>
    <w:rsid w:val="2641214D"/>
    <w:rsid w:val="26412499"/>
    <w:rsid w:val="264126F6"/>
    <w:rsid w:val="26412A33"/>
    <w:rsid w:val="26413EFB"/>
    <w:rsid w:val="264145A6"/>
    <w:rsid w:val="26415352"/>
    <w:rsid w:val="264154FA"/>
    <w:rsid w:val="26415CA9"/>
    <w:rsid w:val="26420CEF"/>
    <w:rsid w:val="26420E10"/>
    <w:rsid w:val="2642520A"/>
    <w:rsid w:val="264309A7"/>
    <w:rsid w:val="26431A21"/>
    <w:rsid w:val="26434A7C"/>
    <w:rsid w:val="26437C73"/>
    <w:rsid w:val="264439EB"/>
    <w:rsid w:val="26443B59"/>
    <w:rsid w:val="26445799"/>
    <w:rsid w:val="26450309"/>
    <w:rsid w:val="26450DCF"/>
    <w:rsid w:val="264518AD"/>
    <w:rsid w:val="264567C7"/>
    <w:rsid w:val="26460D20"/>
    <w:rsid w:val="26463DD1"/>
    <w:rsid w:val="26467763"/>
    <w:rsid w:val="26475073"/>
    <w:rsid w:val="2647597F"/>
    <w:rsid w:val="264779F7"/>
    <w:rsid w:val="264803D1"/>
    <w:rsid w:val="264834DB"/>
    <w:rsid w:val="26484C16"/>
    <w:rsid w:val="26487037"/>
    <w:rsid w:val="26490819"/>
    <w:rsid w:val="264919B2"/>
    <w:rsid w:val="26492DAF"/>
    <w:rsid w:val="2649415F"/>
    <w:rsid w:val="264954A0"/>
    <w:rsid w:val="264A172F"/>
    <w:rsid w:val="264A194A"/>
    <w:rsid w:val="264B1A62"/>
    <w:rsid w:val="264B2BBF"/>
    <w:rsid w:val="264B4503"/>
    <w:rsid w:val="264B6B28"/>
    <w:rsid w:val="264C40C6"/>
    <w:rsid w:val="264C690C"/>
    <w:rsid w:val="264D17F1"/>
    <w:rsid w:val="264D1A5F"/>
    <w:rsid w:val="264D287A"/>
    <w:rsid w:val="264D3DFF"/>
    <w:rsid w:val="264D464E"/>
    <w:rsid w:val="264D4A67"/>
    <w:rsid w:val="264D5451"/>
    <w:rsid w:val="264D6D44"/>
    <w:rsid w:val="264D77A8"/>
    <w:rsid w:val="264E03C6"/>
    <w:rsid w:val="264E2C81"/>
    <w:rsid w:val="264E3823"/>
    <w:rsid w:val="264E4351"/>
    <w:rsid w:val="264F221C"/>
    <w:rsid w:val="264F3D8B"/>
    <w:rsid w:val="264F603E"/>
    <w:rsid w:val="264F6618"/>
    <w:rsid w:val="265005E2"/>
    <w:rsid w:val="26502390"/>
    <w:rsid w:val="26502466"/>
    <w:rsid w:val="265029FD"/>
    <w:rsid w:val="26503029"/>
    <w:rsid w:val="2650413E"/>
    <w:rsid w:val="265055A1"/>
    <w:rsid w:val="265077C5"/>
    <w:rsid w:val="26515DAB"/>
    <w:rsid w:val="26521602"/>
    <w:rsid w:val="26522DDB"/>
    <w:rsid w:val="265238BF"/>
    <w:rsid w:val="26524123"/>
    <w:rsid w:val="26524300"/>
    <w:rsid w:val="265253BC"/>
    <w:rsid w:val="26526108"/>
    <w:rsid w:val="26527EB6"/>
    <w:rsid w:val="2653066B"/>
    <w:rsid w:val="26534FA1"/>
    <w:rsid w:val="265359DC"/>
    <w:rsid w:val="26543C2E"/>
    <w:rsid w:val="265456C1"/>
    <w:rsid w:val="26551754"/>
    <w:rsid w:val="26554577"/>
    <w:rsid w:val="26555BF8"/>
    <w:rsid w:val="26561413"/>
    <w:rsid w:val="2657371E"/>
    <w:rsid w:val="26575474"/>
    <w:rsid w:val="265754CC"/>
    <w:rsid w:val="26580C6E"/>
    <w:rsid w:val="265815D3"/>
    <w:rsid w:val="26581F2F"/>
    <w:rsid w:val="26582FED"/>
    <w:rsid w:val="26583D33"/>
    <w:rsid w:val="2658553D"/>
    <w:rsid w:val="265863C3"/>
    <w:rsid w:val="26593556"/>
    <w:rsid w:val="265951C3"/>
    <w:rsid w:val="265970EB"/>
    <w:rsid w:val="26597496"/>
    <w:rsid w:val="26597D94"/>
    <w:rsid w:val="265A1D9B"/>
    <w:rsid w:val="265A320F"/>
    <w:rsid w:val="265A6AC3"/>
    <w:rsid w:val="265A6D6B"/>
    <w:rsid w:val="265C2AE3"/>
    <w:rsid w:val="265C688E"/>
    <w:rsid w:val="265C6F87"/>
    <w:rsid w:val="265D1D76"/>
    <w:rsid w:val="265D2072"/>
    <w:rsid w:val="265D4114"/>
    <w:rsid w:val="265D50CE"/>
    <w:rsid w:val="265D5A85"/>
    <w:rsid w:val="265E04F5"/>
    <w:rsid w:val="265E06EC"/>
    <w:rsid w:val="265E2025"/>
    <w:rsid w:val="265E3B82"/>
    <w:rsid w:val="265E47F0"/>
    <w:rsid w:val="265E4AAD"/>
    <w:rsid w:val="265E531E"/>
    <w:rsid w:val="265F0706"/>
    <w:rsid w:val="265F2BF0"/>
    <w:rsid w:val="265F3AB4"/>
    <w:rsid w:val="26603DD2"/>
    <w:rsid w:val="266040E7"/>
    <w:rsid w:val="26604A2B"/>
    <w:rsid w:val="26604DAF"/>
    <w:rsid w:val="26605096"/>
    <w:rsid w:val="26615DEB"/>
    <w:rsid w:val="26616EEE"/>
    <w:rsid w:val="26617E4F"/>
    <w:rsid w:val="2662377F"/>
    <w:rsid w:val="2662468C"/>
    <w:rsid w:val="2663162B"/>
    <w:rsid w:val="26633CED"/>
    <w:rsid w:val="26633E4B"/>
    <w:rsid w:val="26636A68"/>
    <w:rsid w:val="26637781"/>
    <w:rsid w:val="266440C7"/>
    <w:rsid w:val="266476C8"/>
    <w:rsid w:val="26647941"/>
    <w:rsid w:val="26655748"/>
    <w:rsid w:val="26655E3B"/>
    <w:rsid w:val="26661085"/>
    <w:rsid w:val="26663961"/>
    <w:rsid w:val="2666570F"/>
    <w:rsid w:val="26673FA2"/>
    <w:rsid w:val="26676AFA"/>
    <w:rsid w:val="266774FE"/>
    <w:rsid w:val="26677C55"/>
    <w:rsid w:val="266824FA"/>
    <w:rsid w:val="266876DA"/>
    <w:rsid w:val="266878BA"/>
    <w:rsid w:val="26687C2D"/>
    <w:rsid w:val="26695200"/>
    <w:rsid w:val="266A1901"/>
    <w:rsid w:val="266A2B6F"/>
    <w:rsid w:val="266A40F9"/>
    <w:rsid w:val="266A58AD"/>
    <w:rsid w:val="266B0F78"/>
    <w:rsid w:val="266B2125"/>
    <w:rsid w:val="266B357D"/>
    <w:rsid w:val="266B401C"/>
    <w:rsid w:val="266B44D2"/>
    <w:rsid w:val="266B541C"/>
    <w:rsid w:val="266B6661"/>
    <w:rsid w:val="266B74C7"/>
    <w:rsid w:val="266C064E"/>
    <w:rsid w:val="266C4D7A"/>
    <w:rsid w:val="266C796E"/>
    <w:rsid w:val="266D0420"/>
    <w:rsid w:val="266D12A8"/>
    <w:rsid w:val="266D2648"/>
    <w:rsid w:val="266D2F42"/>
    <w:rsid w:val="266D320B"/>
    <w:rsid w:val="266D4AC9"/>
    <w:rsid w:val="266D4F46"/>
    <w:rsid w:val="266D6A9E"/>
    <w:rsid w:val="266E34E8"/>
    <w:rsid w:val="266E4658"/>
    <w:rsid w:val="266E5229"/>
    <w:rsid w:val="266F00FB"/>
    <w:rsid w:val="266F2816"/>
    <w:rsid w:val="26703773"/>
    <w:rsid w:val="267060E3"/>
    <w:rsid w:val="2670658E"/>
    <w:rsid w:val="26712A32"/>
    <w:rsid w:val="26712A80"/>
    <w:rsid w:val="26715EB2"/>
    <w:rsid w:val="26720558"/>
    <w:rsid w:val="267267AA"/>
    <w:rsid w:val="26741DCB"/>
    <w:rsid w:val="267442D0"/>
    <w:rsid w:val="26745FAC"/>
    <w:rsid w:val="2674607E"/>
    <w:rsid w:val="26747E2C"/>
    <w:rsid w:val="26747F9B"/>
    <w:rsid w:val="26750DC1"/>
    <w:rsid w:val="267536CC"/>
    <w:rsid w:val="26753BA5"/>
    <w:rsid w:val="267564C0"/>
    <w:rsid w:val="267604FD"/>
    <w:rsid w:val="26764F62"/>
    <w:rsid w:val="26770EF4"/>
    <w:rsid w:val="2677262A"/>
    <w:rsid w:val="26773DC1"/>
    <w:rsid w:val="26775B6F"/>
    <w:rsid w:val="2677791D"/>
    <w:rsid w:val="26780D30"/>
    <w:rsid w:val="267916E5"/>
    <w:rsid w:val="267918E7"/>
    <w:rsid w:val="26793EAB"/>
    <w:rsid w:val="26795443"/>
    <w:rsid w:val="26795B6A"/>
    <w:rsid w:val="267A01E3"/>
    <w:rsid w:val="267A01EF"/>
    <w:rsid w:val="267A0685"/>
    <w:rsid w:val="267A11BB"/>
    <w:rsid w:val="267A740D"/>
    <w:rsid w:val="267B45EE"/>
    <w:rsid w:val="267B565F"/>
    <w:rsid w:val="267B5911"/>
    <w:rsid w:val="267C48D6"/>
    <w:rsid w:val="267C4F33"/>
    <w:rsid w:val="267C5CFF"/>
    <w:rsid w:val="267C71DE"/>
    <w:rsid w:val="267D084B"/>
    <w:rsid w:val="267D10C1"/>
    <w:rsid w:val="267D718F"/>
    <w:rsid w:val="267E0859"/>
    <w:rsid w:val="267E0CAB"/>
    <w:rsid w:val="267E0F7E"/>
    <w:rsid w:val="267E514F"/>
    <w:rsid w:val="267E52CD"/>
    <w:rsid w:val="267E6B9C"/>
    <w:rsid w:val="267E6EFD"/>
    <w:rsid w:val="267E7318"/>
    <w:rsid w:val="267F161F"/>
    <w:rsid w:val="267F2F37"/>
    <w:rsid w:val="267F67D1"/>
    <w:rsid w:val="267F71D6"/>
    <w:rsid w:val="26801194"/>
    <w:rsid w:val="268046D4"/>
    <w:rsid w:val="2681079B"/>
    <w:rsid w:val="26810802"/>
    <w:rsid w:val="26810D2F"/>
    <w:rsid w:val="26815B10"/>
    <w:rsid w:val="26816CF2"/>
    <w:rsid w:val="26821AD3"/>
    <w:rsid w:val="268229A8"/>
    <w:rsid w:val="26830932"/>
    <w:rsid w:val="26831ADB"/>
    <w:rsid w:val="2683266B"/>
    <w:rsid w:val="26832765"/>
    <w:rsid w:val="26834C17"/>
    <w:rsid w:val="268362C1"/>
    <w:rsid w:val="26840ABE"/>
    <w:rsid w:val="26842B98"/>
    <w:rsid w:val="268431F9"/>
    <w:rsid w:val="26844491"/>
    <w:rsid w:val="26853D07"/>
    <w:rsid w:val="26853D76"/>
    <w:rsid w:val="26855C1A"/>
    <w:rsid w:val="26856010"/>
    <w:rsid w:val="268564DD"/>
    <w:rsid w:val="268619C3"/>
    <w:rsid w:val="26864004"/>
    <w:rsid w:val="26865DB2"/>
    <w:rsid w:val="268661F7"/>
    <w:rsid w:val="26866340"/>
    <w:rsid w:val="26867B60"/>
    <w:rsid w:val="26867CD4"/>
    <w:rsid w:val="26870241"/>
    <w:rsid w:val="26870A10"/>
    <w:rsid w:val="26874EF4"/>
    <w:rsid w:val="26881605"/>
    <w:rsid w:val="268830E0"/>
    <w:rsid w:val="26886A75"/>
    <w:rsid w:val="26887D7C"/>
    <w:rsid w:val="26891060"/>
    <w:rsid w:val="268936F0"/>
    <w:rsid w:val="26895B50"/>
    <w:rsid w:val="26897538"/>
    <w:rsid w:val="26897F6A"/>
    <w:rsid w:val="268A0303"/>
    <w:rsid w:val="268A3AF4"/>
    <w:rsid w:val="268A53C2"/>
    <w:rsid w:val="268A58A2"/>
    <w:rsid w:val="268A5C76"/>
    <w:rsid w:val="268A68C8"/>
    <w:rsid w:val="268B161A"/>
    <w:rsid w:val="268B33C8"/>
    <w:rsid w:val="268B664E"/>
    <w:rsid w:val="268C5AA1"/>
    <w:rsid w:val="268C786C"/>
    <w:rsid w:val="268D4CA8"/>
    <w:rsid w:val="268D5392"/>
    <w:rsid w:val="268D619B"/>
    <w:rsid w:val="268E0250"/>
    <w:rsid w:val="268E1EE0"/>
    <w:rsid w:val="268F0089"/>
    <w:rsid w:val="268F09B5"/>
    <w:rsid w:val="268F110A"/>
    <w:rsid w:val="268F1A31"/>
    <w:rsid w:val="268F4C66"/>
    <w:rsid w:val="26901EBC"/>
    <w:rsid w:val="26905A47"/>
    <w:rsid w:val="26912102"/>
    <w:rsid w:val="26913977"/>
    <w:rsid w:val="26913EC4"/>
    <w:rsid w:val="269146C9"/>
    <w:rsid w:val="269229A8"/>
    <w:rsid w:val="2692307E"/>
    <w:rsid w:val="26923EB7"/>
    <w:rsid w:val="26924756"/>
    <w:rsid w:val="26926505"/>
    <w:rsid w:val="26926EDE"/>
    <w:rsid w:val="26930551"/>
    <w:rsid w:val="269325E1"/>
    <w:rsid w:val="26936E1B"/>
    <w:rsid w:val="26936F3E"/>
    <w:rsid w:val="26940321"/>
    <w:rsid w:val="269404CF"/>
    <w:rsid w:val="2694079E"/>
    <w:rsid w:val="26940BD9"/>
    <w:rsid w:val="2694227D"/>
    <w:rsid w:val="26945D85"/>
    <w:rsid w:val="2695624C"/>
    <w:rsid w:val="2696299A"/>
    <w:rsid w:val="26962AC3"/>
    <w:rsid w:val="26963F04"/>
    <w:rsid w:val="26964247"/>
    <w:rsid w:val="26966D03"/>
    <w:rsid w:val="26967838"/>
    <w:rsid w:val="26971B65"/>
    <w:rsid w:val="26976211"/>
    <w:rsid w:val="269828CB"/>
    <w:rsid w:val="269845BF"/>
    <w:rsid w:val="269901D7"/>
    <w:rsid w:val="2699169D"/>
    <w:rsid w:val="26991754"/>
    <w:rsid w:val="269929AA"/>
    <w:rsid w:val="26992FD5"/>
    <w:rsid w:val="269944FF"/>
    <w:rsid w:val="26995926"/>
    <w:rsid w:val="269A443E"/>
    <w:rsid w:val="269A4F28"/>
    <w:rsid w:val="269B0815"/>
    <w:rsid w:val="269B1AD9"/>
    <w:rsid w:val="269B1C95"/>
    <w:rsid w:val="269B372F"/>
    <w:rsid w:val="269C3548"/>
    <w:rsid w:val="269C454D"/>
    <w:rsid w:val="269C4D50"/>
    <w:rsid w:val="269C7383"/>
    <w:rsid w:val="269C7D43"/>
    <w:rsid w:val="269D7866"/>
    <w:rsid w:val="269E0E6B"/>
    <w:rsid w:val="269E134D"/>
    <w:rsid w:val="269E148C"/>
    <w:rsid w:val="269E30FB"/>
    <w:rsid w:val="269E33D4"/>
    <w:rsid w:val="269E390F"/>
    <w:rsid w:val="269E4D7B"/>
    <w:rsid w:val="269E5038"/>
    <w:rsid w:val="269E6FC1"/>
    <w:rsid w:val="269F3B23"/>
    <w:rsid w:val="269F53D4"/>
    <w:rsid w:val="269F5FA2"/>
    <w:rsid w:val="269F7012"/>
    <w:rsid w:val="26A0179B"/>
    <w:rsid w:val="26A0438D"/>
    <w:rsid w:val="26A10740"/>
    <w:rsid w:val="26A10E3D"/>
    <w:rsid w:val="26A11326"/>
    <w:rsid w:val="26A1425A"/>
    <w:rsid w:val="26A1499A"/>
    <w:rsid w:val="26A211AD"/>
    <w:rsid w:val="26A241A8"/>
    <w:rsid w:val="26A30712"/>
    <w:rsid w:val="26A42696"/>
    <w:rsid w:val="26A440C8"/>
    <w:rsid w:val="26A4492A"/>
    <w:rsid w:val="26A47ABA"/>
    <w:rsid w:val="26A51F5E"/>
    <w:rsid w:val="26A526DC"/>
    <w:rsid w:val="26A536B5"/>
    <w:rsid w:val="26A56238"/>
    <w:rsid w:val="26A64C5A"/>
    <w:rsid w:val="26A65805"/>
    <w:rsid w:val="26A6616E"/>
    <w:rsid w:val="26A6639B"/>
    <w:rsid w:val="26A66B96"/>
    <w:rsid w:val="26A67281"/>
    <w:rsid w:val="26A67AAB"/>
    <w:rsid w:val="26A70B25"/>
    <w:rsid w:val="26A727FA"/>
    <w:rsid w:val="26A73D36"/>
    <w:rsid w:val="26A76454"/>
    <w:rsid w:val="26A83F7A"/>
    <w:rsid w:val="26A85D28"/>
    <w:rsid w:val="26A86106"/>
    <w:rsid w:val="26A8767C"/>
    <w:rsid w:val="26A93EBD"/>
    <w:rsid w:val="26A94930"/>
    <w:rsid w:val="26A95A13"/>
    <w:rsid w:val="26AA1562"/>
    <w:rsid w:val="26AA1C9A"/>
    <w:rsid w:val="26AA5F44"/>
    <w:rsid w:val="26AA7CF2"/>
    <w:rsid w:val="26AB0E96"/>
    <w:rsid w:val="26AB16A7"/>
    <w:rsid w:val="26AB30C0"/>
    <w:rsid w:val="26AB75C6"/>
    <w:rsid w:val="26AC0ACC"/>
    <w:rsid w:val="26AC1395"/>
    <w:rsid w:val="26AC2A23"/>
    <w:rsid w:val="26AC3A6A"/>
    <w:rsid w:val="26AC59F9"/>
    <w:rsid w:val="26AC7BC1"/>
    <w:rsid w:val="26AD00A3"/>
    <w:rsid w:val="26AD1590"/>
    <w:rsid w:val="26AD333E"/>
    <w:rsid w:val="26AD369D"/>
    <w:rsid w:val="26AD77E2"/>
    <w:rsid w:val="26AE498E"/>
    <w:rsid w:val="26AE4B2D"/>
    <w:rsid w:val="26AE5FBD"/>
    <w:rsid w:val="26AF0134"/>
    <w:rsid w:val="26AF274E"/>
    <w:rsid w:val="26AF355A"/>
    <w:rsid w:val="26AF4A9B"/>
    <w:rsid w:val="26B0142E"/>
    <w:rsid w:val="26B036A6"/>
    <w:rsid w:val="26B071DC"/>
    <w:rsid w:val="26B1124B"/>
    <w:rsid w:val="26B17870"/>
    <w:rsid w:val="26B210E6"/>
    <w:rsid w:val="26B24F31"/>
    <w:rsid w:val="26B25493"/>
    <w:rsid w:val="26B2584F"/>
    <w:rsid w:val="26B2785A"/>
    <w:rsid w:val="26B302D0"/>
    <w:rsid w:val="26B34A37"/>
    <w:rsid w:val="26B35DCE"/>
    <w:rsid w:val="26B360F6"/>
    <w:rsid w:val="26B37DC3"/>
    <w:rsid w:val="26B40B71"/>
    <w:rsid w:val="26B431AC"/>
    <w:rsid w:val="26B43EDE"/>
    <w:rsid w:val="26B448B4"/>
    <w:rsid w:val="26B5088C"/>
    <w:rsid w:val="26B53A45"/>
    <w:rsid w:val="26B53D32"/>
    <w:rsid w:val="26B648E9"/>
    <w:rsid w:val="26B66697"/>
    <w:rsid w:val="26B709B3"/>
    <w:rsid w:val="26B70C33"/>
    <w:rsid w:val="26B7240F"/>
    <w:rsid w:val="26B741BD"/>
    <w:rsid w:val="26B75F6B"/>
    <w:rsid w:val="26B77596"/>
    <w:rsid w:val="26B80661"/>
    <w:rsid w:val="26B80F23"/>
    <w:rsid w:val="26B83357"/>
    <w:rsid w:val="26B855D7"/>
    <w:rsid w:val="26B86CB1"/>
    <w:rsid w:val="26B91CE3"/>
    <w:rsid w:val="26B95363"/>
    <w:rsid w:val="26B96187"/>
    <w:rsid w:val="26B97195"/>
    <w:rsid w:val="26B976B6"/>
    <w:rsid w:val="26B97F35"/>
    <w:rsid w:val="26BA1403"/>
    <w:rsid w:val="26BA5B25"/>
    <w:rsid w:val="26BA5CA1"/>
    <w:rsid w:val="26BB1EFF"/>
    <w:rsid w:val="26BB3CAD"/>
    <w:rsid w:val="26BB40D1"/>
    <w:rsid w:val="26BC3644"/>
    <w:rsid w:val="26BC5523"/>
    <w:rsid w:val="26BC7A25"/>
    <w:rsid w:val="26BD2979"/>
    <w:rsid w:val="26BD2E89"/>
    <w:rsid w:val="26BD3F25"/>
    <w:rsid w:val="26BD4EC8"/>
    <w:rsid w:val="26BD5C77"/>
    <w:rsid w:val="26BE19EF"/>
    <w:rsid w:val="26BE72FA"/>
    <w:rsid w:val="26BF1554"/>
    <w:rsid w:val="26BF51BA"/>
    <w:rsid w:val="26C003D2"/>
    <w:rsid w:val="26C00AA5"/>
    <w:rsid w:val="26C012C4"/>
    <w:rsid w:val="26C03072"/>
    <w:rsid w:val="26C062B2"/>
    <w:rsid w:val="26C07516"/>
    <w:rsid w:val="26C105D0"/>
    <w:rsid w:val="26C134E5"/>
    <w:rsid w:val="26C1503C"/>
    <w:rsid w:val="26C16DEA"/>
    <w:rsid w:val="26C17225"/>
    <w:rsid w:val="26C2328E"/>
    <w:rsid w:val="26C30DB4"/>
    <w:rsid w:val="26C32062"/>
    <w:rsid w:val="26C32444"/>
    <w:rsid w:val="26C32B62"/>
    <w:rsid w:val="26C32B7A"/>
    <w:rsid w:val="26C37006"/>
    <w:rsid w:val="26C37BB7"/>
    <w:rsid w:val="26C451D5"/>
    <w:rsid w:val="26C45B2A"/>
    <w:rsid w:val="26C46D53"/>
    <w:rsid w:val="26C54B2C"/>
    <w:rsid w:val="26C64244"/>
    <w:rsid w:val="26C642DF"/>
    <w:rsid w:val="26C64400"/>
    <w:rsid w:val="26C64C1E"/>
    <w:rsid w:val="26C66C58"/>
    <w:rsid w:val="26C708A4"/>
    <w:rsid w:val="26C71FB3"/>
    <w:rsid w:val="26C74473"/>
    <w:rsid w:val="26C756D4"/>
    <w:rsid w:val="26C82FF9"/>
    <w:rsid w:val="26C8461C"/>
    <w:rsid w:val="26C97A99"/>
    <w:rsid w:val="26CA0394"/>
    <w:rsid w:val="26CA2142"/>
    <w:rsid w:val="26CA2423"/>
    <w:rsid w:val="26CA3EF0"/>
    <w:rsid w:val="26CB06A9"/>
    <w:rsid w:val="26CB0D92"/>
    <w:rsid w:val="26CB28D7"/>
    <w:rsid w:val="26CB56E6"/>
    <w:rsid w:val="26CB63DD"/>
    <w:rsid w:val="26CC0A1B"/>
    <w:rsid w:val="26CC588A"/>
    <w:rsid w:val="26CC5D2B"/>
    <w:rsid w:val="26CC5EBA"/>
    <w:rsid w:val="26CC7C68"/>
    <w:rsid w:val="26CD0BD4"/>
    <w:rsid w:val="26CD1B8D"/>
    <w:rsid w:val="26CD2ED1"/>
    <w:rsid w:val="26CD76A1"/>
    <w:rsid w:val="26CD7A4B"/>
    <w:rsid w:val="26CE1442"/>
    <w:rsid w:val="26CE55A7"/>
    <w:rsid w:val="26CE5BA8"/>
    <w:rsid w:val="26CF0C2A"/>
    <w:rsid w:val="26CF1507"/>
    <w:rsid w:val="26CF59AB"/>
    <w:rsid w:val="26CF6A37"/>
    <w:rsid w:val="26CF6C0B"/>
    <w:rsid w:val="26D01CAF"/>
    <w:rsid w:val="26D03C77"/>
    <w:rsid w:val="26D064A2"/>
    <w:rsid w:val="26D0766B"/>
    <w:rsid w:val="26D107B7"/>
    <w:rsid w:val="26D1468A"/>
    <w:rsid w:val="26D16107"/>
    <w:rsid w:val="26D16E89"/>
    <w:rsid w:val="26D17367"/>
    <w:rsid w:val="26D20FF7"/>
    <w:rsid w:val="26D22DA5"/>
    <w:rsid w:val="26D24961"/>
    <w:rsid w:val="26D27249"/>
    <w:rsid w:val="26D34200"/>
    <w:rsid w:val="26D42FC1"/>
    <w:rsid w:val="26D44D6F"/>
    <w:rsid w:val="26D450B8"/>
    <w:rsid w:val="26D46848"/>
    <w:rsid w:val="26D46B1D"/>
    <w:rsid w:val="26D548BF"/>
    <w:rsid w:val="26D5574D"/>
    <w:rsid w:val="26D63D39"/>
    <w:rsid w:val="26D64C7B"/>
    <w:rsid w:val="26D66D39"/>
    <w:rsid w:val="26D703BB"/>
    <w:rsid w:val="26D7660D"/>
    <w:rsid w:val="26D8056F"/>
    <w:rsid w:val="26D84162"/>
    <w:rsid w:val="26D85F58"/>
    <w:rsid w:val="26D905D7"/>
    <w:rsid w:val="26D90A10"/>
    <w:rsid w:val="26D9205E"/>
    <w:rsid w:val="26D94133"/>
    <w:rsid w:val="26D94B20"/>
    <w:rsid w:val="26D950DC"/>
    <w:rsid w:val="26DA1417"/>
    <w:rsid w:val="26DA1E85"/>
    <w:rsid w:val="26DA3B4A"/>
    <w:rsid w:val="26DB434E"/>
    <w:rsid w:val="26DB434F"/>
    <w:rsid w:val="26DB688B"/>
    <w:rsid w:val="26DB7EAB"/>
    <w:rsid w:val="26DC0785"/>
    <w:rsid w:val="26DC35DF"/>
    <w:rsid w:val="26DC3FB1"/>
    <w:rsid w:val="26DD103B"/>
    <w:rsid w:val="26DD1C4F"/>
    <w:rsid w:val="26DD47D8"/>
    <w:rsid w:val="26DD67E0"/>
    <w:rsid w:val="26DD79FB"/>
    <w:rsid w:val="26DE2F4E"/>
    <w:rsid w:val="26DE3F14"/>
    <w:rsid w:val="26DE4EA7"/>
    <w:rsid w:val="26DE54A4"/>
    <w:rsid w:val="26DE5BEE"/>
    <w:rsid w:val="26DE799C"/>
    <w:rsid w:val="26DF27B0"/>
    <w:rsid w:val="26DF409E"/>
    <w:rsid w:val="26DF758A"/>
    <w:rsid w:val="26DF7FEF"/>
    <w:rsid w:val="26E033B1"/>
    <w:rsid w:val="26E050F9"/>
    <w:rsid w:val="26E054C2"/>
    <w:rsid w:val="26E06425"/>
    <w:rsid w:val="26E06790"/>
    <w:rsid w:val="26E1123A"/>
    <w:rsid w:val="26E11CBC"/>
    <w:rsid w:val="26E131FF"/>
    <w:rsid w:val="26E14AA5"/>
    <w:rsid w:val="26E23E65"/>
    <w:rsid w:val="26E256DE"/>
    <w:rsid w:val="26E2748C"/>
    <w:rsid w:val="26E34C25"/>
    <w:rsid w:val="26E34EAD"/>
    <w:rsid w:val="26E34FB2"/>
    <w:rsid w:val="26E36D60"/>
    <w:rsid w:val="26E42C82"/>
    <w:rsid w:val="26E4542B"/>
    <w:rsid w:val="26E463BC"/>
    <w:rsid w:val="26E50D2A"/>
    <w:rsid w:val="26E5251C"/>
    <w:rsid w:val="26E52AD8"/>
    <w:rsid w:val="26E543C0"/>
    <w:rsid w:val="26E558F5"/>
    <w:rsid w:val="26E56F7C"/>
    <w:rsid w:val="26E6014C"/>
    <w:rsid w:val="26E60902"/>
    <w:rsid w:val="26E66C37"/>
    <w:rsid w:val="26E72CF4"/>
    <w:rsid w:val="26E74888"/>
    <w:rsid w:val="26E74AA2"/>
    <w:rsid w:val="26E758CF"/>
    <w:rsid w:val="26E80165"/>
    <w:rsid w:val="26E8081A"/>
    <w:rsid w:val="26E814A0"/>
    <w:rsid w:val="26E825C8"/>
    <w:rsid w:val="26E869A5"/>
    <w:rsid w:val="26E86A6C"/>
    <w:rsid w:val="26E902E2"/>
    <w:rsid w:val="26E921AF"/>
    <w:rsid w:val="26E923F1"/>
    <w:rsid w:val="26E96980"/>
    <w:rsid w:val="26EA00EF"/>
    <w:rsid w:val="26EA0543"/>
    <w:rsid w:val="26EA25E6"/>
    <w:rsid w:val="26EA4785"/>
    <w:rsid w:val="26EA6021"/>
    <w:rsid w:val="26EA6341"/>
    <w:rsid w:val="26EB0D93"/>
    <w:rsid w:val="26EB3E67"/>
    <w:rsid w:val="26EB4ACF"/>
    <w:rsid w:val="26EB4CE9"/>
    <w:rsid w:val="26EB606E"/>
    <w:rsid w:val="26EB7DA9"/>
    <w:rsid w:val="26EC030B"/>
    <w:rsid w:val="26EC338B"/>
    <w:rsid w:val="26EC3897"/>
    <w:rsid w:val="26EC4043"/>
    <w:rsid w:val="26EC4103"/>
    <w:rsid w:val="26EC5F5F"/>
    <w:rsid w:val="26EC737F"/>
    <w:rsid w:val="26ED0B30"/>
    <w:rsid w:val="26ED25A7"/>
    <w:rsid w:val="26ED74A6"/>
    <w:rsid w:val="26ED7D47"/>
    <w:rsid w:val="26EE087F"/>
    <w:rsid w:val="26EE0F6E"/>
    <w:rsid w:val="26EE22C5"/>
    <w:rsid w:val="26EE3481"/>
    <w:rsid w:val="26EE3A46"/>
    <w:rsid w:val="26EE6CB8"/>
    <w:rsid w:val="26EE76AF"/>
    <w:rsid w:val="26EE7A8F"/>
    <w:rsid w:val="26EF1BA9"/>
    <w:rsid w:val="26EF4989"/>
    <w:rsid w:val="26F031C6"/>
    <w:rsid w:val="26F03F31"/>
    <w:rsid w:val="26F0756B"/>
    <w:rsid w:val="26F0762F"/>
    <w:rsid w:val="26F07DEC"/>
    <w:rsid w:val="26F110EE"/>
    <w:rsid w:val="26F1147D"/>
    <w:rsid w:val="26F13576"/>
    <w:rsid w:val="26F21DD1"/>
    <w:rsid w:val="26F23447"/>
    <w:rsid w:val="26F250FE"/>
    <w:rsid w:val="26F251F5"/>
    <w:rsid w:val="26F31699"/>
    <w:rsid w:val="26F3318D"/>
    <w:rsid w:val="26F4177F"/>
    <w:rsid w:val="26F43D52"/>
    <w:rsid w:val="26F451DD"/>
    <w:rsid w:val="26F46A0D"/>
    <w:rsid w:val="26F506CD"/>
    <w:rsid w:val="26F54E94"/>
    <w:rsid w:val="26F5578D"/>
    <w:rsid w:val="26F61189"/>
    <w:rsid w:val="26F64CE5"/>
    <w:rsid w:val="26F70A5D"/>
    <w:rsid w:val="26F73DA7"/>
    <w:rsid w:val="26F833CA"/>
    <w:rsid w:val="26F86CAF"/>
    <w:rsid w:val="26F91F85"/>
    <w:rsid w:val="26F92A28"/>
    <w:rsid w:val="26F947D6"/>
    <w:rsid w:val="26F96584"/>
    <w:rsid w:val="26FA19F3"/>
    <w:rsid w:val="26FA3134"/>
    <w:rsid w:val="26FB3F19"/>
    <w:rsid w:val="26FB4303"/>
    <w:rsid w:val="26FB4792"/>
    <w:rsid w:val="26FB5911"/>
    <w:rsid w:val="26FD2518"/>
    <w:rsid w:val="26FD42C6"/>
    <w:rsid w:val="26FD4D15"/>
    <w:rsid w:val="26FD708C"/>
    <w:rsid w:val="26FE3603"/>
    <w:rsid w:val="26FE3B9A"/>
    <w:rsid w:val="27000262"/>
    <w:rsid w:val="27002718"/>
    <w:rsid w:val="27005865"/>
    <w:rsid w:val="27005B64"/>
    <w:rsid w:val="27012333"/>
    <w:rsid w:val="27020185"/>
    <w:rsid w:val="270209E7"/>
    <w:rsid w:val="270218DC"/>
    <w:rsid w:val="2702368A"/>
    <w:rsid w:val="270276F8"/>
    <w:rsid w:val="27027904"/>
    <w:rsid w:val="27030E15"/>
    <w:rsid w:val="27032492"/>
    <w:rsid w:val="27032D56"/>
    <w:rsid w:val="27035654"/>
    <w:rsid w:val="27036336"/>
    <w:rsid w:val="27036EB0"/>
    <w:rsid w:val="27042C59"/>
    <w:rsid w:val="270436E4"/>
    <w:rsid w:val="27043DAA"/>
    <w:rsid w:val="27050247"/>
    <w:rsid w:val="27050F69"/>
    <w:rsid w:val="27052E40"/>
    <w:rsid w:val="2705317A"/>
    <w:rsid w:val="27053A0A"/>
    <w:rsid w:val="27054F28"/>
    <w:rsid w:val="270616D7"/>
    <w:rsid w:val="27063416"/>
    <w:rsid w:val="27070145"/>
    <w:rsid w:val="27070CA1"/>
    <w:rsid w:val="27070F5A"/>
    <w:rsid w:val="2707215C"/>
    <w:rsid w:val="27075144"/>
    <w:rsid w:val="27076EF2"/>
    <w:rsid w:val="27077966"/>
    <w:rsid w:val="27081C04"/>
    <w:rsid w:val="27085367"/>
    <w:rsid w:val="2708572C"/>
    <w:rsid w:val="27086B1F"/>
    <w:rsid w:val="270874A0"/>
    <w:rsid w:val="27087840"/>
    <w:rsid w:val="27090800"/>
    <w:rsid w:val="270952F1"/>
    <w:rsid w:val="27095487"/>
    <w:rsid w:val="270A0791"/>
    <w:rsid w:val="270A253F"/>
    <w:rsid w:val="270A3FCB"/>
    <w:rsid w:val="270A6969"/>
    <w:rsid w:val="270A69E3"/>
    <w:rsid w:val="270A7229"/>
    <w:rsid w:val="270B0EFE"/>
    <w:rsid w:val="270B3482"/>
    <w:rsid w:val="270B5263"/>
    <w:rsid w:val="270B5343"/>
    <w:rsid w:val="270B7EBF"/>
    <w:rsid w:val="270C0160"/>
    <w:rsid w:val="270C2836"/>
    <w:rsid w:val="270C3B50"/>
    <w:rsid w:val="270C4509"/>
    <w:rsid w:val="270C5883"/>
    <w:rsid w:val="270C62B7"/>
    <w:rsid w:val="270D0A20"/>
    <w:rsid w:val="270D0BC3"/>
    <w:rsid w:val="270E31A5"/>
    <w:rsid w:val="270E3C60"/>
    <w:rsid w:val="270E6088"/>
    <w:rsid w:val="270F224B"/>
    <w:rsid w:val="270F4527"/>
    <w:rsid w:val="270F4B1E"/>
    <w:rsid w:val="270F5DA7"/>
    <w:rsid w:val="270F6FDA"/>
    <w:rsid w:val="27100386"/>
    <w:rsid w:val="27102336"/>
    <w:rsid w:val="271041CA"/>
    <w:rsid w:val="2710535A"/>
    <w:rsid w:val="27111CE3"/>
    <w:rsid w:val="271167EA"/>
    <w:rsid w:val="271261FF"/>
    <w:rsid w:val="27127E7B"/>
    <w:rsid w:val="27133AE9"/>
    <w:rsid w:val="27135897"/>
    <w:rsid w:val="2713712B"/>
    <w:rsid w:val="2714516B"/>
    <w:rsid w:val="271511F4"/>
    <w:rsid w:val="271565FB"/>
    <w:rsid w:val="27157D3C"/>
    <w:rsid w:val="27160EE4"/>
    <w:rsid w:val="271627C2"/>
    <w:rsid w:val="27165388"/>
    <w:rsid w:val="27166B4A"/>
    <w:rsid w:val="27171943"/>
    <w:rsid w:val="27173AD9"/>
    <w:rsid w:val="27175E4B"/>
    <w:rsid w:val="27180DA2"/>
    <w:rsid w:val="27181100"/>
    <w:rsid w:val="27181B04"/>
    <w:rsid w:val="2718636B"/>
    <w:rsid w:val="271908FA"/>
    <w:rsid w:val="27190F91"/>
    <w:rsid w:val="27196B5B"/>
    <w:rsid w:val="27196C26"/>
    <w:rsid w:val="271A00F9"/>
    <w:rsid w:val="271A0DE9"/>
    <w:rsid w:val="271A126A"/>
    <w:rsid w:val="271A20A7"/>
    <w:rsid w:val="271A3FEF"/>
    <w:rsid w:val="271A77A2"/>
    <w:rsid w:val="271A7E79"/>
    <w:rsid w:val="271B0A23"/>
    <w:rsid w:val="271B0DA4"/>
    <w:rsid w:val="271B299E"/>
    <w:rsid w:val="271B6788"/>
    <w:rsid w:val="271B6D0E"/>
    <w:rsid w:val="271B72F9"/>
    <w:rsid w:val="271B79A4"/>
    <w:rsid w:val="271C296A"/>
    <w:rsid w:val="271C7EEF"/>
    <w:rsid w:val="271D04C4"/>
    <w:rsid w:val="271D4D8D"/>
    <w:rsid w:val="271D5E8B"/>
    <w:rsid w:val="271D64CE"/>
    <w:rsid w:val="271E248E"/>
    <w:rsid w:val="271E4A51"/>
    <w:rsid w:val="271F4535"/>
    <w:rsid w:val="271F6C34"/>
    <w:rsid w:val="27201D62"/>
    <w:rsid w:val="27202DAB"/>
    <w:rsid w:val="27203E58"/>
    <w:rsid w:val="27204E40"/>
    <w:rsid w:val="27205D44"/>
    <w:rsid w:val="27206206"/>
    <w:rsid w:val="27206786"/>
    <w:rsid w:val="27207CA6"/>
    <w:rsid w:val="27223D2C"/>
    <w:rsid w:val="27225ADA"/>
    <w:rsid w:val="272276C8"/>
    <w:rsid w:val="27231852"/>
    <w:rsid w:val="27233E7A"/>
    <w:rsid w:val="27247AA4"/>
    <w:rsid w:val="272500C1"/>
    <w:rsid w:val="272511EC"/>
    <w:rsid w:val="2725351F"/>
    <w:rsid w:val="2725454D"/>
    <w:rsid w:val="272555CB"/>
    <w:rsid w:val="27255C59"/>
    <w:rsid w:val="27257379"/>
    <w:rsid w:val="27263790"/>
    <w:rsid w:val="27264B2F"/>
    <w:rsid w:val="27265B6E"/>
    <w:rsid w:val="27266211"/>
    <w:rsid w:val="272675FC"/>
    <w:rsid w:val="27270DEE"/>
    <w:rsid w:val="27272AC4"/>
    <w:rsid w:val="27273AC1"/>
    <w:rsid w:val="27277595"/>
    <w:rsid w:val="27281094"/>
    <w:rsid w:val="272835C7"/>
    <w:rsid w:val="27284607"/>
    <w:rsid w:val="27286E69"/>
    <w:rsid w:val="27290295"/>
    <w:rsid w:val="27290D8E"/>
    <w:rsid w:val="27293612"/>
    <w:rsid w:val="27296781"/>
    <w:rsid w:val="272A0E33"/>
    <w:rsid w:val="272A22E2"/>
    <w:rsid w:val="272A2BE1"/>
    <w:rsid w:val="272A3191"/>
    <w:rsid w:val="272B2A2E"/>
    <w:rsid w:val="272B5497"/>
    <w:rsid w:val="272B61B8"/>
    <w:rsid w:val="272C4BAB"/>
    <w:rsid w:val="272D4881"/>
    <w:rsid w:val="272D60C4"/>
    <w:rsid w:val="272D7201"/>
    <w:rsid w:val="272E1B8E"/>
    <w:rsid w:val="272E414C"/>
    <w:rsid w:val="272E46D3"/>
    <w:rsid w:val="272E4891"/>
    <w:rsid w:val="272E7452"/>
    <w:rsid w:val="272F01F7"/>
    <w:rsid w:val="272F1FA5"/>
    <w:rsid w:val="272F324C"/>
    <w:rsid w:val="272F537E"/>
    <w:rsid w:val="272F5DBF"/>
    <w:rsid w:val="272F6449"/>
    <w:rsid w:val="27302E24"/>
    <w:rsid w:val="273111AA"/>
    <w:rsid w:val="27313F6F"/>
    <w:rsid w:val="27315701"/>
    <w:rsid w:val="27316F1C"/>
    <w:rsid w:val="273204D8"/>
    <w:rsid w:val="27330C71"/>
    <w:rsid w:val="27331C9A"/>
    <w:rsid w:val="273322D8"/>
    <w:rsid w:val="273325DF"/>
    <w:rsid w:val="27332BE0"/>
    <w:rsid w:val="273332C4"/>
    <w:rsid w:val="2734153D"/>
    <w:rsid w:val="27342971"/>
    <w:rsid w:val="273429F3"/>
    <w:rsid w:val="27343A60"/>
    <w:rsid w:val="27344754"/>
    <w:rsid w:val="2734580E"/>
    <w:rsid w:val="27345C7F"/>
    <w:rsid w:val="27345EB5"/>
    <w:rsid w:val="273465D4"/>
    <w:rsid w:val="27350EBD"/>
    <w:rsid w:val="27351CB2"/>
    <w:rsid w:val="27354B03"/>
    <w:rsid w:val="27363A18"/>
    <w:rsid w:val="27367FB3"/>
    <w:rsid w:val="27370E7A"/>
    <w:rsid w:val="27383550"/>
    <w:rsid w:val="27384086"/>
    <w:rsid w:val="273852FE"/>
    <w:rsid w:val="27394489"/>
    <w:rsid w:val="2739557F"/>
    <w:rsid w:val="273A02F7"/>
    <w:rsid w:val="273A2594"/>
    <w:rsid w:val="273A35E3"/>
    <w:rsid w:val="273A549D"/>
    <w:rsid w:val="273A5DCF"/>
    <w:rsid w:val="273B3040"/>
    <w:rsid w:val="273B4DEE"/>
    <w:rsid w:val="273B5C68"/>
    <w:rsid w:val="273B6009"/>
    <w:rsid w:val="273B7768"/>
    <w:rsid w:val="273B7781"/>
    <w:rsid w:val="273D0789"/>
    <w:rsid w:val="273D0B66"/>
    <w:rsid w:val="273D1AD3"/>
    <w:rsid w:val="273D7479"/>
    <w:rsid w:val="273D7585"/>
    <w:rsid w:val="273E03D7"/>
    <w:rsid w:val="273E15DF"/>
    <w:rsid w:val="273E471B"/>
    <w:rsid w:val="273E5806"/>
    <w:rsid w:val="273E668C"/>
    <w:rsid w:val="273F28B3"/>
    <w:rsid w:val="273F50A5"/>
    <w:rsid w:val="27400656"/>
    <w:rsid w:val="27401F2C"/>
    <w:rsid w:val="27402C58"/>
    <w:rsid w:val="27403D62"/>
    <w:rsid w:val="2740608E"/>
    <w:rsid w:val="27406B3F"/>
    <w:rsid w:val="27407A32"/>
    <w:rsid w:val="27407B66"/>
    <w:rsid w:val="274118FA"/>
    <w:rsid w:val="27412631"/>
    <w:rsid w:val="27414883"/>
    <w:rsid w:val="2741502A"/>
    <w:rsid w:val="2741759B"/>
    <w:rsid w:val="2742062C"/>
    <w:rsid w:val="27422F21"/>
    <w:rsid w:val="2742390B"/>
    <w:rsid w:val="27423EC2"/>
    <w:rsid w:val="2742617D"/>
    <w:rsid w:val="27427F2B"/>
    <w:rsid w:val="2743128B"/>
    <w:rsid w:val="27432896"/>
    <w:rsid w:val="27434BED"/>
    <w:rsid w:val="274353F3"/>
    <w:rsid w:val="27435A51"/>
    <w:rsid w:val="2743716C"/>
    <w:rsid w:val="2743792B"/>
    <w:rsid w:val="274403BD"/>
    <w:rsid w:val="27441EF5"/>
    <w:rsid w:val="2744357F"/>
    <w:rsid w:val="27444BB6"/>
    <w:rsid w:val="27452D6D"/>
    <w:rsid w:val="27455C6D"/>
    <w:rsid w:val="27463D85"/>
    <w:rsid w:val="27464F22"/>
    <w:rsid w:val="27464F32"/>
    <w:rsid w:val="27465F01"/>
    <w:rsid w:val="27466B69"/>
    <w:rsid w:val="27473793"/>
    <w:rsid w:val="27474EF0"/>
    <w:rsid w:val="2748092F"/>
    <w:rsid w:val="274912B9"/>
    <w:rsid w:val="27496DBA"/>
    <w:rsid w:val="2749750B"/>
    <w:rsid w:val="274A3283"/>
    <w:rsid w:val="274A5031"/>
    <w:rsid w:val="274A697A"/>
    <w:rsid w:val="274A6DDF"/>
    <w:rsid w:val="274B0041"/>
    <w:rsid w:val="274B0AFF"/>
    <w:rsid w:val="274B2156"/>
    <w:rsid w:val="274B6B49"/>
    <w:rsid w:val="274B6F10"/>
    <w:rsid w:val="274B7E0A"/>
    <w:rsid w:val="274C29DB"/>
    <w:rsid w:val="274C2B57"/>
    <w:rsid w:val="274C2E92"/>
    <w:rsid w:val="274D0C05"/>
    <w:rsid w:val="274E2760"/>
    <w:rsid w:val="274E2D73"/>
    <w:rsid w:val="274E2DAD"/>
    <w:rsid w:val="274E373B"/>
    <w:rsid w:val="274E68CF"/>
    <w:rsid w:val="274F2647"/>
    <w:rsid w:val="274F43F6"/>
    <w:rsid w:val="274F5EAE"/>
    <w:rsid w:val="27503A89"/>
    <w:rsid w:val="275057A9"/>
    <w:rsid w:val="2750593E"/>
    <w:rsid w:val="27513C7C"/>
    <w:rsid w:val="27514612"/>
    <w:rsid w:val="275163C0"/>
    <w:rsid w:val="27521582"/>
    <w:rsid w:val="27521DBD"/>
    <w:rsid w:val="275327CF"/>
    <w:rsid w:val="27532B4F"/>
    <w:rsid w:val="27533EE6"/>
    <w:rsid w:val="2753761A"/>
    <w:rsid w:val="27541A0C"/>
    <w:rsid w:val="27542CCB"/>
    <w:rsid w:val="275443F0"/>
    <w:rsid w:val="27545EB0"/>
    <w:rsid w:val="275500DE"/>
    <w:rsid w:val="27561C28"/>
    <w:rsid w:val="27562CB6"/>
    <w:rsid w:val="27565784"/>
    <w:rsid w:val="27565925"/>
    <w:rsid w:val="27565EC4"/>
    <w:rsid w:val="27572F05"/>
    <w:rsid w:val="275754D9"/>
    <w:rsid w:val="275859A0"/>
    <w:rsid w:val="2758774E"/>
    <w:rsid w:val="27590821"/>
    <w:rsid w:val="27591BEE"/>
    <w:rsid w:val="27592EEE"/>
    <w:rsid w:val="27594FDF"/>
    <w:rsid w:val="27595FF2"/>
    <w:rsid w:val="275A1AD4"/>
    <w:rsid w:val="275A1EEC"/>
    <w:rsid w:val="275A34C6"/>
    <w:rsid w:val="275A551A"/>
    <w:rsid w:val="275A6804"/>
    <w:rsid w:val="275B08D0"/>
    <w:rsid w:val="275B0CBF"/>
    <w:rsid w:val="275B6CD0"/>
    <w:rsid w:val="275B723E"/>
    <w:rsid w:val="275C022A"/>
    <w:rsid w:val="275C5AB2"/>
    <w:rsid w:val="275C68CD"/>
    <w:rsid w:val="275C6FDD"/>
    <w:rsid w:val="275C7ADB"/>
    <w:rsid w:val="275D2FB6"/>
    <w:rsid w:val="275D4D64"/>
    <w:rsid w:val="275D6B12"/>
    <w:rsid w:val="275E288B"/>
    <w:rsid w:val="275E2DCE"/>
    <w:rsid w:val="275E3638"/>
    <w:rsid w:val="275E3A48"/>
    <w:rsid w:val="275F1743"/>
    <w:rsid w:val="275F5085"/>
    <w:rsid w:val="275F6A2F"/>
    <w:rsid w:val="27600574"/>
    <w:rsid w:val="276019D7"/>
    <w:rsid w:val="27604855"/>
    <w:rsid w:val="27606603"/>
    <w:rsid w:val="276101D1"/>
    <w:rsid w:val="2761094F"/>
    <w:rsid w:val="27610A10"/>
    <w:rsid w:val="27610CD3"/>
    <w:rsid w:val="276131C2"/>
    <w:rsid w:val="276144EC"/>
    <w:rsid w:val="27614526"/>
    <w:rsid w:val="276205CD"/>
    <w:rsid w:val="27620656"/>
    <w:rsid w:val="27621357"/>
    <w:rsid w:val="2762237B"/>
    <w:rsid w:val="27623B80"/>
    <w:rsid w:val="27624129"/>
    <w:rsid w:val="27624780"/>
    <w:rsid w:val="27624C01"/>
    <w:rsid w:val="2762562D"/>
    <w:rsid w:val="276275A1"/>
    <w:rsid w:val="27637B7A"/>
    <w:rsid w:val="27637E7B"/>
    <w:rsid w:val="27637EA1"/>
    <w:rsid w:val="27642B5A"/>
    <w:rsid w:val="27644345"/>
    <w:rsid w:val="2764434C"/>
    <w:rsid w:val="27644BD4"/>
    <w:rsid w:val="27646192"/>
    <w:rsid w:val="276500BD"/>
    <w:rsid w:val="2765104A"/>
    <w:rsid w:val="27651E6B"/>
    <w:rsid w:val="27652711"/>
    <w:rsid w:val="276617AB"/>
    <w:rsid w:val="27664510"/>
    <w:rsid w:val="27664A12"/>
    <w:rsid w:val="276671D2"/>
    <w:rsid w:val="27670FE2"/>
    <w:rsid w:val="27673E35"/>
    <w:rsid w:val="27674443"/>
    <w:rsid w:val="27675EA2"/>
    <w:rsid w:val="27676541"/>
    <w:rsid w:val="27676957"/>
    <w:rsid w:val="276769DB"/>
    <w:rsid w:val="276774A0"/>
    <w:rsid w:val="276775E3"/>
    <w:rsid w:val="27677991"/>
    <w:rsid w:val="27680A73"/>
    <w:rsid w:val="27680ABB"/>
    <w:rsid w:val="276854B7"/>
    <w:rsid w:val="276933D9"/>
    <w:rsid w:val="276935D0"/>
    <w:rsid w:val="276A3E7E"/>
    <w:rsid w:val="276A4BA9"/>
    <w:rsid w:val="276B4823"/>
    <w:rsid w:val="276B56D3"/>
    <w:rsid w:val="276B73F4"/>
    <w:rsid w:val="276C1516"/>
    <w:rsid w:val="276C31F9"/>
    <w:rsid w:val="276C4FA7"/>
    <w:rsid w:val="276C5CB3"/>
    <w:rsid w:val="276C6A15"/>
    <w:rsid w:val="276C6FFB"/>
    <w:rsid w:val="276C7DAB"/>
    <w:rsid w:val="276D14F4"/>
    <w:rsid w:val="276D15F4"/>
    <w:rsid w:val="276D5669"/>
    <w:rsid w:val="276D5E01"/>
    <w:rsid w:val="276E0D20"/>
    <w:rsid w:val="276E22EF"/>
    <w:rsid w:val="276E2ACE"/>
    <w:rsid w:val="276E2AD9"/>
    <w:rsid w:val="276E51C4"/>
    <w:rsid w:val="276F1AB9"/>
    <w:rsid w:val="276F4A98"/>
    <w:rsid w:val="27702136"/>
    <w:rsid w:val="2770350C"/>
    <w:rsid w:val="27710810"/>
    <w:rsid w:val="27711D45"/>
    <w:rsid w:val="277125BE"/>
    <w:rsid w:val="27714576"/>
    <w:rsid w:val="277161DD"/>
    <w:rsid w:val="277166D1"/>
    <w:rsid w:val="27720D0D"/>
    <w:rsid w:val="2772130C"/>
    <w:rsid w:val="277213BC"/>
    <w:rsid w:val="27722C49"/>
    <w:rsid w:val="27723AED"/>
    <w:rsid w:val="27724139"/>
    <w:rsid w:val="27724228"/>
    <w:rsid w:val="27726912"/>
    <w:rsid w:val="277331D7"/>
    <w:rsid w:val="27735B86"/>
    <w:rsid w:val="27737FA0"/>
    <w:rsid w:val="27741BE7"/>
    <w:rsid w:val="27742D06"/>
    <w:rsid w:val="277445AB"/>
    <w:rsid w:val="277459FE"/>
    <w:rsid w:val="27750300"/>
    <w:rsid w:val="27753741"/>
    <w:rsid w:val="27756C47"/>
    <w:rsid w:val="277618EC"/>
    <w:rsid w:val="27763E6C"/>
    <w:rsid w:val="27765E26"/>
    <w:rsid w:val="27767BD4"/>
    <w:rsid w:val="27773418"/>
    <w:rsid w:val="27773CB2"/>
    <w:rsid w:val="27780BF6"/>
    <w:rsid w:val="27781B9E"/>
    <w:rsid w:val="2778394C"/>
    <w:rsid w:val="277842C7"/>
    <w:rsid w:val="277939C8"/>
    <w:rsid w:val="277A093D"/>
    <w:rsid w:val="277A14C9"/>
    <w:rsid w:val="277A5916"/>
    <w:rsid w:val="277B168E"/>
    <w:rsid w:val="277B4104"/>
    <w:rsid w:val="277C5175"/>
    <w:rsid w:val="277D02D1"/>
    <w:rsid w:val="277D1254"/>
    <w:rsid w:val="277D4468"/>
    <w:rsid w:val="277D5407"/>
    <w:rsid w:val="277D6D8E"/>
    <w:rsid w:val="277D7674"/>
    <w:rsid w:val="277E173A"/>
    <w:rsid w:val="277E27D6"/>
    <w:rsid w:val="277E3DF7"/>
    <w:rsid w:val="277E586A"/>
    <w:rsid w:val="277E5884"/>
    <w:rsid w:val="277F13CF"/>
    <w:rsid w:val="277F1791"/>
    <w:rsid w:val="277F2F2D"/>
    <w:rsid w:val="277F3A69"/>
    <w:rsid w:val="277F4514"/>
    <w:rsid w:val="277F4CDB"/>
    <w:rsid w:val="277F6229"/>
    <w:rsid w:val="27800A53"/>
    <w:rsid w:val="27800B0A"/>
    <w:rsid w:val="278055B9"/>
    <w:rsid w:val="27807A2B"/>
    <w:rsid w:val="27813044"/>
    <w:rsid w:val="27816FEA"/>
    <w:rsid w:val="278172D4"/>
    <w:rsid w:val="278247CB"/>
    <w:rsid w:val="27824D47"/>
    <w:rsid w:val="27826CF7"/>
    <w:rsid w:val="27837B61"/>
    <w:rsid w:val="27840C88"/>
    <w:rsid w:val="27842A3A"/>
    <w:rsid w:val="27842B70"/>
    <w:rsid w:val="2784406F"/>
    <w:rsid w:val="27846795"/>
    <w:rsid w:val="27852B6C"/>
    <w:rsid w:val="278539D5"/>
    <w:rsid w:val="278542BB"/>
    <w:rsid w:val="27856069"/>
    <w:rsid w:val="27856C5D"/>
    <w:rsid w:val="27857F9B"/>
    <w:rsid w:val="278614AE"/>
    <w:rsid w:val="2786250D"/>
    <w:rsid w:val="27867C1A"/>
    <w:rsid w:val="27870033"/>
    <w:rsid w:val="27872002"/>
    <w:rsid w:val="278728BB"/>
    <w:rsid w:val="27872D87"/>
    <w:rsid w:val="27873B8F"/>
    <w:rsid w:val="278775A4"/>
    <w:rsid w:val="27881732"/>
    <w:rsid w:val="27882C4F"/>
    <w:rsid w:val="27883235"/>
    <w:rsid w:val="27883C0F"/>
    <w:rsid w:val="2788609D"/>
    <w:rsid w:val="278928CB"/>
    <w:rsid w:val="27893319"/>
    <w:rsid w:val="27893DAB"/>
    <w:rsid w:val="278A18D2"/>
    <w:rsid w:val="278A3680"/>
    <w:rsid w:val="278A6908"/>
    <w:rsid w:val="278A7BC4"/>
    <w:rsid w:val="278B0293"/>
    <w:rsid w:val="278B7111"/>
    <w:rsid w:val="278B7937"/>
    <w:rsid w:val="278B7FF6"/>
    <w:rsid w:val="278C0357"/>
    <w:rsid w:val="278C1D08"/>
    <w:rsid w:val="278C3502"/>
    <w:rsid w:val="278D3D61"/>
    <w:rsid w:val="278D45FE"/>
    <w:rsid w:val="278E2312"/>
    <w:rsid w:val="278E28DE"/>
    <w:rsid w:val="278E4F1E"/>
    <w:rsid w:val="278F31DD"/>
    <w:rsid w:val="278F461A"/>
    <w:rsid w:val="278F5C25"/>
    <w:rsid w:val="278F61EC"/>
    <w:rsid w:val="27900333"/>
    <w:rsid w:val="27901BC4"/>
    <w:rsid w:val="27902A3A"/>
    <w:rsid w:val="2790513A"/>
    <w:rsid w:val="27905E4B"/>
    <w:rsid w:val="27906D89"/>
    <w:rsid w:val="27906EE8"/>
    <w:rsid w:val="2791110F"/>
    <w:rsid w:val="27912C60"/>
    <w:rsid w:val="27914103"/>
    <w:rsid w:val="27916D53"/>
    <w:rsid w:val="27920B7D"/>
    <w:rsid w:val="27932311"/>
    <w:rsid w:val="27932534"/>
    <w:rsid w:val="27934C2A"/>
    <w:rsid w:val="2793660C"/>
    <w:rsid w:val="279369D8"/>
    <w:rsid w:val="27936CB8"/>
    <w:rsid w:val="2793784D"/>
    <w:rsid w:val="27937F2B"/>
    <w:rsid w:val="27940E2E"/>
    <w:rsid w:val="27952750"/>
    <w:rsid w:val="27952CFB"/>
    <w:rsid w:val="27953542"/>
    <w:rsid w:val="279544FE"/>
    <w:rsid w:val="27955B34"/>
    <w:rsid w:val="27957852"/>
    <w:rsid w:val="27960276"/>
    <w:rsid w:val="279608BD"/>
    <w:rsid w:val="27962334"/>
    <w:rsid w:val="279623B0"/>
    <w:rsid w:val="27962F6C"/>
    <w:rsid w:val="279669A5"/>
    <w:rsid w:val="279713F7"/>
    <w:rsid w:val="27975FE7"/>
    <w:rsid w:val="27980337"/>
    <w:rsid w:val="27982240"/>
    <w:rsid w:val="27983D3F"/>
    <w:rsid w:val="27983FEE"/>
    <w:rsid w:val="279854FE"/>
    <w:rsid w:val="27986DB7"/>
    <w:rsid w:val="27990440"/>
    <w:rsid w:val="27991979"/>
    <w:rsid w:val="27991EF8"/>
    <w:rsid w:val="2799365E"/>
    <w:rsid w:val="279938C3"/>
    <w:rsid w:val="27995CC3"/>
    <w:rsid w:val="279978A1"/>
    <w:rsid w:val="279A1B15"/>
    <w:rsid w:val="279A1E7C"/>
    <w:rsid w:val="279A557E"/>
    <w:rsid w:val="279A7A73"/>
    <w:rsid w:val="279A7D67"/>
    <w:rsid w:val="279B1B76"/>
    <w:rsid w:val="279B588D"/>
    <w:rsid w:val="279B763B"/>
    <w:rsid w:val="279C61D3"/>
    <w:rsid w:val="279C76F4"/>
    <w:rsid w:val="279D07B8"/>
    <w:rsid w:val="279D1605"/>
    <w:rsid w:val="279D33B3"/>
    <w:rsid w:val="279D4103"/>
    <w:rsid w:val="279D5EBA"/>
    <w:rsid w:val="279D6A20"/>
    <w:rsid w:val="279D6E3F"/>
    <w:rsid w:val="279D76B2"/>
    <w:rsid w:val="279D7857"/>
    <w:rsid w:val="279E0587"/>
    <w:rsid w:val="279E140F"/>
    <w:rsid w:val="279E32D9"/>
    <w:rsid w:val="279E5D7A"/>
    <w:rsid w:val="279F35CF"/>
    <w:rsid w:val="279F537D"/>
    <w:rsid w:val="279F7C24"/>
    <w:rsid w:val="27A02DA4"/>
    <w:rsid w:val="27A02EA3"/>
    <w:rsid w:val="27A054EB"/>
    <w:rsid w:val="27A05CAE"/>
    <w:rsid w:val="27A110F5"/>
    <w:rsid w:val="27A12E17"/>
    <w:rsid w:val="27A178AF"/>
    <w:rsid w:val="27A20E0C"/>
    <w:rsid w:val="27A2166D"/>
    <w:rsid w:val="27A2208C"/>
    <w:rsid w:val="27A302DB"/>
    <w:rsid w:val="27A359EC"/>
    <w:rsid w:val="27A36445"/>
    <w:rsid w:val="27A36BBB"/>
    <w:rsid w:val="27A40BE5"/>
    <w:rsid w:val="27A41BC6"/>
    <w:rsid w:val="27A431E0"/>
    <w:rsid w:val="27A44669"/>
    <w:rsid w:val="27A504B9"/>
    <w:rsid w:val="27A5065C"/>
    <w:rsid w:val="27A52B77"/>
    <w:rsid w:val="27A533D5"/>
    <w:rsid w:val="27A60A3D"/>
    <w:rsid w:val="27A62FF8"/>
    <w:rsid w:val="27A63BF3"/>
    <w:rsid w:val="27A63E4E"/>
    <w:rsid w:val="27A6670B"/>
    <w:rsid w:val="27A7153C"/>
    <w:rsid w:val="27A71CFF"/>
    <w:rsid w:val="27A72484"/>
    <w:rsid w:val="27A812E5"/>
    <w:rsid w:val="27A819F4"/>
    <w:rsid w:val="27A81D4E"/>
    <w:rsid w:val="27A862E0"/>
    <w:rsid w:val="27A86EB6"/>
    <w:rsid w:val="27A87AEB"/>
    <w:rsid w:val="27A94FA4"/>
    <w:rsid w:val="27AA0124"/>
    <w:rsid w:val="27AA0645"/>
    <w:rsid w:val="27AA3B7A"/>
    <w:rsid w:val="27AA5AD0"/>
    <w:rsid w:val="27AB0837"/>
    <w:rsid w:val="27AB1EC1"/>
    <w:rsid w:val="27AB3D22"/>
    <w:rsid w:val="27AB476D"/>
    <w:rsid w:val="27AB6A55"/>
    <w:rsid w:val="27AB7287"/>
    <w:rsid w:val="27AB784E"/>
    <w:rsid w:val="27AC2530"/>
    <w:rsid w:val="27AC35F6"/>
    <w:rsid w:val="27AC3874"/>
    <w:rsid w:val="27AC3E52"/>
    <w:rsid w:val="27AD04EE"/>
    <w:rsid w:val="27AD45D6"/>
    <w:rsid w:val="27AD4901"/>
    <w:rsid w:val="27AD4D9C"/>
    <w:rsid w:val="27AE3761"/>
    <w:rsid w:val="27AE47B2"/>
    <w:rsid w:val="27AE584B"/>
    <w:rsid w:val="27AE72B6"/>
    <w:rsid w:val="27AF30E6"/>
    <w:rsid w:val="27B01338"/>
    <w:rsid w:val="27B0350E"/>
    <w:rsid w:val="27B04698"/>
    <w:rsid w:val="27B05C58"/>
    <w:rsid w:val="27B074AD"/>
    <w:rsid w:val="27B165B8"/>
    <w:rsid w:val="27B16E5E"/>
    <w:rsid w:val="27B17E1A"/>
    <w:rsid w:val="27B21B89"/>
    <w:rsid w:val="27B22EF0"/>
    <w:rsid w:val="27B23302"/>
    <w:rsid w:val="27B30E28"/>
    <w:rsid w:val="27B34984"/>
    <w:rsid w:val="27B40119"/>
    <w:rsid w:val="27B4123F"/>
    <w:rsid w:val="27B426C8"/>
    <w:rsid w:val="27B42A9F"/>
    <w:rsid w:val="27B47C2E"/>
    <w:rsid w:val="27B506FD"/>
    <w:rsid w:val="27B545B9"/>
    <w:rsid w:val="27B54BA0"/>
    <w:rsid w:val="27B55939"/>
    <w:rsid w:val="27B55B8E"/>
    <w:rsid w:val="27B5694E"/>
    <w:rsid w:val="27B6199A"/>
    <w:rsid w:val="27B64475"/>
    <w:rsid w:val="27B64B9F"/>
    <w:rsid w:val="27B6688C"/>
    <w:rsid w:val="27B66DC9"/>
    <w:rsid w:val="27B67806"/>
    <w:rsid w:val="27B70919"/>
    <w:rsid w:val="27B72CEF"/>
    <w:rsid w:val="27B72FD6"/>
    <w:rsid w:val="27B730B0"/>
    <w:rsid w:val="27B7793C"/>
    <w:rsid w:val="27B800C2"/>
    <w:rsid w:val="27B86395"/>
    <w:rsid w:val="27B8643F"/>
    <w:rsid w:val="27B8715C"/>
    <w:rsid w:val="27B87321"/>
    <w:rsid w:val="27B917A5"/>
    <w:rsid w:val="27B936E0"/>
    <w:rsid w:val="27B93C18"/>
    <w:rsid w:val="27B94F4F"/>
    <w:rsid w:val="27B96CF9"/>
    <w:rsid w:val="27B97CFB"/>
    <w:rsid w:val="27B97FE8"/>
    <w:rsid w:val="27BA031B"/>
    <w:rsid w:val="27BA21B7"/>
    <w:rsid w:val="27BA37EC"/>
    <w:rsid w:val="27BA3F65"/>
    <w:rsid w:val="27BA4463"/>
    <w:rsid w:val="27BA54EB"/>
    <w:rsid w:val="27BA5D13"/>
    <w:rsid w:val="27BA7424"/>
    <w:rsid w:val="27BB13E0"/>
    <w:rsid w:val="27BB17AB"/>
    <w:rsid w:val="27BB1A8B"/>
    <w:rsid w:val="27BB3BF0"/>
    <w:rsid w:val="27BB697F"/>
    <w:rsid w:val="27BB7CDD"/>
    <w:rsid w:val="27BC0E2B"/>
    <w:rsid w:val="27BC35EE"/>
    <w:rsid w:val="27BC430E"/>
    <w:rsid w:val="27BC5F2F"/>
    <w:rsid w:val="27BC70F2"/>
    <w:rsid w:val="27BD10D8"/>
    <w:rsid w:val="27BD3A55"/>
    <w:rsid w:val="27BD4BD6"/>
    <w:rsid w:val="27BD555B"/>
    <w:rsid w:val="27BD5803"/>
    <w:rsid w:val="27BD6B46"/>
    <w:rsid w:val="27BD6C9C"/>
    <w:rsid w:val="27BE1E31"/>
    <w:rsid w:val="27BE3550"/>
    <w:rsid w:val="27BE7A96"/>
    <w:rsid w:val="27BF2853"/>
    <w:rsid w:val="27BF3329"/>
    <w:rsid w:val="27BF5A1F"/>
    <w:rsid w:val="27BF771A"/>
    <w:rsid w:val="27C00446"/>
    <w:rsid w:val="27C00D50"/>
    <w:rsid w:val="27C052F3"/>
    <w:rsid w:val="27C0641A"/>
    <w:rsid w:val="27C07103"/>
    <w:rsid w:val="27C11241"/>
    <w:rsid w:val="27C11929"/>
    <w:rsid w:val="27C150DF"/>
    <w:rsid w:val="27C17C14"/>
    <w:rsid w:val="27C2106B"/>
    <w:rsid w:val="27C22E19"/>
    <w:rsid w:val="27C2338A"/>
    <w:rsid w:val="27C272B0"/>
    <w:rsid w:val="27C30E90"/>
    <w:rsid w:val="27C43035"/>
    <w:rsid w:val="27C46B92"/>
    <w:rsid w:val="27C51696"/>
    <w:rsid w:val="27C528E9"/>
    <w:rsid w:val="27C537CA"/>
    <w:rsid w:val="27C546B8"/>
    <w:rsid w:val="27C55D41"/>
    <w:rsid w:val="27C60B5C"/>
    <w:rsid w:val="27C6290A"/>
    <w:rsid w:val="27C63156"/>
    <w:rsid w:val="27C66389"/>
    <w:rsid w:val="27C70430"/>
    <w:rsid w:val="27C71FF6"/>
    <w:rsid w:val="27C76682"/>
    <w:rsid w:val="27C825B8"/>
    <w:rsid w:val="27C83E11"/>
    <w:rsid w:val="27C86261"/>
    <w:rsid w:val="27C86E0E"/>
    <w:rsid w:val="27C9064C"/>
    <w:rsid w:val="27C923FA"/>
    <w:rsid w:val="27C92F91"/>
    <w:rsid w:val="27C9306E"/>
    <w:rsid w:val="27CA2881"/>
    <w:rsid w:val="27CB12A0"/>
    <w:rsid w:val="27CB2DE9"/>
    <w:rsid w:val="27CB3A0C"/>
    <w:rsid w:val="27CB4499"/>
    <w:rsid w:val="27CC1EEA"/>
    <w:rsid w:val="27CC3BC0"/>
    <w:rsid w:val="27CC3C98"/>
    <w:rsid w:val="27CC5A46"/>
    <w:rsid w:val="27CD33C5"/>
    <w:rsid w:val="27CD3567"/>
    <w:rsid w:val="27CD44E5"/>
    <w:rsid w:val="27CD5984"/>
    <w:rsid w:val="27CD6791"/>
    <w:rsid w:val="27CE17BE"/>
    <w:rsid w:val="27CE2AE9"/>
    <w:rsid w:val="27CE4D2E"/>
    <w:rsid w:val="27CE5C62"/>
    <w:rsid w:val="27CF297E"/>
    <w:rsid w:val="27CF38E1"/>
    <w:rsid w:val="27CF5402"/>
    <w:rsid w:val="27CF6EDB"/>
    <w:rsid w:val="27CF782D"/>
    <w:rsid w:val="27D012CB"/>
    <w:rsid w:val="27D019DA"/>
    <w:rsid w:val="27D03788"/>
    <w:rsid w:val="27D10F7C"/>
    <w:rsid w:val="27D139D1"/>
    <w:rsid w:val="27D1733B"/>
    <w:rsid w:val="27D233E1"/>
    <w:rsid w:val="27D25752"/>
    <w:rsid w:val="27D258C8"/>
    <w:rsid w:val="27D31331"/>
    <w:rsid w:val="27D33279"/>
    <w:rsid w:val="27D34752"/>
    <w:rsid w:val="27D35027"/>
    <w:rsid w:val="27D35759"/>
    <w:rsid w:val="27D36DD5"/>
    <w:rsid w:val="27D41691"/>
    <w:rsid w:val="27D43C48"/>
    <w:rsid w:val="27D43FF9"/>
    <w:rsid w:val="27D45B2F"/>
    <w:rsid w:val="27D51355"/>
    <w:rsid w:val="27D534FE"/>
    <w:rsid w:val="27D537E2"/>
    <w:rsid w:val="27D5407F"/>
    <w:rsid w:val="27D56FF1"/>
    <w:rsid w:val="27D57010"/>
    <w:rsid w:val="27D668C5"/>
    <w:rsid w:val="27D672E8"/>
    <w:rsid w:val="27D67843"/>
    <w:rsid w:val="27D72414"/>
    <w:rsid w:val="27D73B2C"/>
    <w:rsid w:val="27D73F10"/>
    <w:rsid w:val="27D7449E"/>
    <w:rsid w:val="27D746E1"/>
    <w:rsid w:val="27D74B17"/>
    <w:rsid w:val="27D8088F"/>
    <w:rsid w:val="27D81EE3"/>
    <w:rsid w:val="27D82163"/>
    <w:rsid w:val="27D82181"/>
    <w:rsid w:val="27D85321"/>
    <w:rsid w:val="27D85841"/>
    <w:rsid w:val="27D93C6C"/>
    <w:rsid w:val="27D94C4A"/>
    <w:rsid w:val="27D95B45"/>
    <w:rsid w:val="27DA162B"/>
    <w:rsid w:val="27DA4607"/>
    <w:rsid w:val="27DA5916"/>
    <w:rsid w:val="27DA6272"/>
    <w:rsid w:val="27DA63B5"/>
    <w:rsid w:val="27DA7CB2"/>
    <w:rsid w:val="27DB0851"/>
    <w:rsid w:val="27DB3368"/>
    <w:rsid w:val="27DB3EDB"/>
    <w:rsid w:val="27DB6305"/>
    <w:rsid w:val="27DB7654"/>
    <w:rsid w:val="27DC037F"/>
    <w:rsid w:val="27DC212D"/>
    <w:rsid w:val="27DD2969"/>
    <w:rsid w:val="27DD2B0A"/>
    <w:rsid w:val="27DD3262"/>
    <w:rsid w:val="27DD40F7"/>
    <w:rsid w:val="27DE3343"/>
    <w:rsid w:val="27DE3507"/>
    <w:rsid w:val="27DF174D"/>
    <w:rsid w:val="27DF1C1D"/>
    <w:rsid w:val="27DF39BC"/>
    <w:rsid w:val="27DF3E1A"/>
    <w:rsid w:val="27DF5644"/>
    <w:rsid w:val="27DF5779"/>
    <w:rsid w:val="27DF59FF"/>
    <w:rsid w:val="27DF667A"/>
    <w:rsid w:val="27E02036"/>
    <w:rsid w:val="27E05168"/>
    <w:rsid w:val="27E05A24"/>
    <w:rsid w:val="27E05DD5"/>
    <w:rsid w:val="27E06584"/>
    <w:rsid w:val="27E15995"/>
    <w:rsid w:val="27E16335"/>
    <w:rsid w:val="27E16DCE"/>
    <w:rsid w:val="27E17061"/>
    <w:rsid w:val="27E17743"/>
    <w:rsid w:val="27E21421"/>
    <w:rsid w:val="27E2170E"/>
    <w:rsid w:val="27E234BC"/>
    <w:rsid w:val="27E2526A"/>
    <w:rsid w:val="27E25C0C"/>
    <w:rsid w:val="27E25DE6"/>
    <w:rsid w:val="27E26D38"/>
    <w:rsid w:val="27E27527"/>
    <w:rsid w:val="27E31259"/>
    <w:rsid w:val="27E32953"/>
    <w:rsid w:val="27E336B4"/>
    <w:rsid w:val="27E33996"/>
    <w:rsid w:val="27E35B16"/>
    <w:rsid w:val="27E41B78"/>
    <w:rsid w:val="27E45486"/>
    <w:rsid w:val="27E465C9"/>
    <w:rsid w:val="27E47234"/>
    <w:rsid w:val="27E47736"/>
    <w:rsid w:val="27E53025"/>
    <w:rsid w:val="27E53656"/>
    <w:rsid w:val="27E55A5D"/>
    <w:rsid w:val="27E55EA8"/>
    <w:rsid w:val="27E57A23"/>
    <w:rsid w:val="27E62FAC"/>
    <w:rsid w:val="27E64D5A"/>
    <w:rsid w:val="27E67B50"/>
    <w:rsid w:val="27E75C46"/>
    <w:rsid w:val="27E76A9E"/>
    <w:rsid w:val="27E77427"/>
    <w:rsid w:val="27E80201"/>
    <w:rsid w:val="27E80EC2"/>
    <w:rsid w:val="27E81F36"/>
    <w:rsid w:val="27E823ED"/>
    <w:rsid w:val="27E82694"/>
    <w:rsid w:val="27E8289E"/>
    <w:rsid w:val="27E83399"/>
    <w:rsid w:val="27E86D24"/>
    <w:rsid w:val="27E90CCC"/>
    <w:rsid w:val="27E92A9C"/>
    <w:rsid w:val="27E92DDE"/>
    <w:rsid w:val="27E955ED"/>
    <w:rsid w:val="27E971A8"/>
    <w:rsid w:val="27E97CCD"/>
    <w:rsid w:val="27EA07E5"/>
    <w:rsid w:val="27EA2C5E"/>
    <w:rsid w:val="27EA3170"/>
    <w:rsid w:val="27EA3888"/>
    <w:rsid w:val="27EA4713"/>
    <w:rsid w:val="27EB411E"/>
    <w:rsid w:val="27EB4ACA"/>
    <w:rsid w:val="27EB61C9"/>
    <w:rsid w:val="27EB7120"/>
    <w:rsid w:val="27EB75E6"/>
    <w:rsid w:val="27EC2A9F"/>
    <w:rsid w:val="27EC2AC0"/>
    <w:rsid w:val="27EC7C9A"/>
    <w:rsid w:val="27ED1A69"/>
    <w:rsid w:val="27ED433A"/>
    <w:rsid w:val="27ED44A6"/>
    <w:rsid w:val="27ED463A"/>
    <w:rsid w:val="27EE00B2"/>
    <w:rsid w:val="27EE013D"/>
    <w:rsid w:val="27EE1E60"/>
    <w:rsid w:val="27EE37DC"/>
    <w:rsid w:val="27EE3C0E"/>
    <w:rsid w:val="27EE61A5"/>
    <w:rsid w:val="27EF2048"/>
    <w:rsid w:val="27EF60B3"/>
    <w:rsid w:val="27F01B2B"/>
    <w:rsid w:val="27F025B5"/>
    <w:rsid w:val="27F0386A"/>
    <w:rsid w:val="27F03E2A"/>
    <w:rsid w:val="27F05BD9"/>
    <w:rsid w:val="27F160A5"/>
    <w:rsid w:val="27F21951"/>
    <w:rsid w:val="27F27B8D"/>
    <w:rsid w:val="27F31225"/>
    <w:rsid w:val="27F3172A"/>
    <w:rsid w:val="27F32F63"/>
    <w:rsid w:val="27F3371D"/>
    <w:rsid w:val="27F356C9"/>
    <w:rsid w:val="27F36D6B"/>
    <w:rsid w:val="27F379AA"/>
    <w:rsid w:val="27F40034"/>
    <w:rsid w:val="27F43972"/>
    <w:rsid w:val="27F474B4"/>
    <w:rsid w:val="27F50597"/>
    <w:rsid w:val="27F51441"/>
    <w:rsid w:val="27F52686"/>
    <w:rsid w:val="27F52DCC"/>
    <w:rsid w:val="27F531EF"/>
    <w:rsid w:val="27F54F9D"/>
    <w:rsid w:val="27F568CB"/>
    <w:rsid w:val="27F574B8"/>
    <w:rsid w:val="27F62CA4"/>
    <w:rsid w:val="27F67CB1"/>
    <w:rsid w:val="27F72C95"/>
    <w:rsid w:val="27F751B9"/>
    <w:rsid w:val="27F76F67"/>
    <w:rsid w:val="27F82CDF"/>
    <w:rsid w:val="27F84A8D"/>
    <w:rsid w:val="27F8683B"/>
    <w:rsid w:val="27FA0805"/>
    <w:rsid w:val="27FA14F9"/>
    <w:rsid w:val="27FA629F"/>
    <w:rsid w:val="27FA6794"/>
    <w:rsid w:val="27FA7D97"/>
    <w:rsid w:val="27FB3A82"/>
    <w:rsid w:val="27FC156C"/>
    <w:rsid w:val="27FC21F0"/>
    <w:rsid w:val="27FC27CF"/>
    <w:rsid w:val="27FC2CCB"/>
    <w:rsid w:val="27FC4F26"/>
    <w:rsid w:val="27FC632B"/>
    <w:rsid w:val="27FC7D7B"/>
    <w:rsid w:val="27FD0B0E"/>
    <w:rsid w:val="27FD6284"/>
    <w:rsid w:val="27FD7BCB"/>
    <w:rsid w:val="27FD7DD3"/>
    <w:rsid w:val="27FE172D"/>
    <w:rsid w:val="27FE4CAE"/>
    <w:rsid w:val="27FE4F7A"/>
    <w:rsid w:val="27FE55BF"/>
    <w:rsid w:val="27FE628C"/>
    <w:rsid w:val="27FF2FA6"/>
    <w:rsid w:val="27FF342E"/>
    <w:rsid w:val="27FF5E1C"/>
    <w:rsid w:val="27FF707B"/>
    <w:rsid w:val="280021EC"/>
    <w:rsid w:val="28003F1F"/>
    <w:rsid w:val="2800428C"/>
    <w:rsid w:val="28011B94"/>
    <w:rsid w:val="28015325"/>
    <w:rsid w:val="28016611"/>
    <w:rsid w:val="28022349"/>
    <w:rsid w:val="28023563"/>
    <w:rsid w:val="2802590C"/>
    <w:rsid w:val="280276BA"/>
    <w:rsid w:val="280323E3"/>
    <w:rsid w:val="280339C9"/>
    <w:rsid w:val="28033B5E"/>
    <w:rsid w:val="2803474D"/>
    <w:rsid w:val="28034E23"/>
    <w:rsid w:val="2803703C"/>
    <w:rsid w:val="28037F8A"/>
    <w:rsid w:val="28040F93"/>
    <w:rsid w:val="28043432"/>
    <w:rsid w:val="280451E0"/>
    <w:rsid w:val="28060C67"/>
    <w:rsid w:val="28065846"/>
    <w:rsid w:val="28065D3E"/>
    <w:rsid w:val="28067221"/>
    <w:rsid w:val="28071805"/>
    <w:rsid w:val="28072F22"/>
    <w:rsid w:val="28073093"/>
    <w:rsid w:val="28074CD0"/>
    <w:rsid w:val="280817D1"/>
    <w:rsid w:val="28082F88"/>
    <w:rsid w:val="28084AD5"/>
    <w:rsid w:val="280926D2"/>
    <w:rsid w:val="280928FA"/>
    <w:rsid w:val="28092AA3"/>
    <w:rsid w:val="28094EBF"/>
    <w:rsid w:val="28094EEC"/>
    <w:rsid w:val="28096C9A"/>
    <w:rsid w:val="280A0B48"/>
    <w:rsid w:val="280A3C88"/>
    <w:rsid w:val="280A579F"/>
    <w:rsid w:val="280A7ACB"/>
    <w:rsid w:val="280B4A9B"/>
    <w:rsid w:val="280B5696"/>
    <w:rsid w:val="280B6DD4"/>
    <w:rsid w:val="280C1053"/>
    <w:rsid w:val="280C34CA"/>
    <w:rsid w:val="280D0539"/>
    <w:rsid w:val="280D6A4C"/>
    <w:rsid w:val="280D7C7E"/>
    <w:rsid w:val="280E0A01"/>
    <w:rsid w:val="280E2503"/>
    <w:rsid w:val="280E3973"/>
    <w:rsid w:val="280E42B1"/>
    <w:rsid w:val="280E50B4"/>
    <w:rsid w:val="280F16CC"/>
    <w:rsid w:val="28100029"/>
    <w:rsid w:val="281008CE"/>
    <w:rsid w:val="28101DD7"/>
    <w:rsid w:val="28101EA9"/>
    <w:rsid w:val="281028C4"/>
    <w:rsid w:val="281126D2"/>
    <w:rsid w:val="28117DFC"/>
    <w:rsid w:val="28123CFA"/>
    <w:rsid w:val="281245F0"/>
    <w:rsid w:val="28125B4F"/>
    <w:rsid w:val="281270DF"/>
    <w:rsid w:val="281318C7"/>
    <w:rsid w:val="28131C63"/>
    <w:rsid w:val="28133A70"/>
    <w:rsid w:val="28133BC4"/>
    <w:rsid w:val="281449E4"/>
    <w:rsid w:val="28151F74"/>
    <w:rsid w:val="28152156"/>
    <w:rsid w:val="28153891"/>
    <w:rsid w:val="2815563F"/>
    <w:rsid w:val="28156F15"/>
    <w:rsid w:val="281573ED"/>
    <w:rsid w:val="28160E89"/>
    <w:rsid w:val="2816128B"/>
    <w:rsid w:val="2816568A"/>
    <w:rsid w:val="28166477"/>
    <w:rsid w:val="281713B7"/>
    <w:rsid w:val="28172FA3"/>
    <w:rsid w:val="28173165"/>
    <w:rsid w:val="281733C3"/>
    <w:rsid w:val="28175CAB"/>
    <w:rsid w:val="281766FE"/>
    <w:rsid w:val="281775D6"/>
    <w:rsid w:val="28177609"/>
    <w:rsid w:val="2818512F"/>
    <w:rsid w:val="281853E5"/>
    <w:rsid w:val="28191E08"/>
    <w:rsid w:val="28192D1C"/>
    <w:rsid w:val="2819790C"/>
    <w:rsid w:val="281A04EB"/>
    <w:rsid w:val="281A0EA7"/>
    <w:rsid w:val="281A3F1F"/>
    <w:rsid w:val="281A4A03"/>
    <w:rsid w:val="281A6B3E"/>
    <w:rsid w:val="281B272C"/>
    <w:rsid w:val="281B4AE7"/>
    <w:rsid w:val="281B5192"/>
    <w:rsid w:val="281B5789"/>
    <w:rsid w:val="281C0688"/>
    <w:rsid w:val="281C4C20"/>
    <w:rsid w:val="281C746E"/>
    <w:rsid w:val="281D1E22"/>
    <w:rsid w:val="281D24B4"/>
    <w:rsid w:val="281D62A2"/>
    <w:rsid w:val="281E0ADE"/>
    <w:rsid w:val="281E2746"/>
    <w:rsid w:val="281E3468"/>
    <w:rsid w:val="281E4BA9"/>
    <w:rsid w:val="281F00AC"/>
    <w:rsid w:val="281F026C"/>
    <w:rsid w:val="281F2008"/>
    <w:rsid w:val="281F2713"/>
    <w:rsid w:val="281F6039"/>
    <w:rsid w:val="28210439"/>
    <w:rsid w:val="282145F0"/>
    <w:rsid w:val="28216A88"/>
    <w:rsid w:val="28221DE9"/>
    <w:rsid w:val="28223279"/>
    <w:rsid w:val="28224DBE"/>
    <w:rsid w:val="28225752"/>
    <w:rsid w:val="282259D0"/>
    <w:rsid w:val="28227B42"/>
    <w:rsid w:val="28234AFB"/>
    <w:rsid w:val="28237683"/>
    <w:rsid w:val="28237D5C"/>
    <w:rsid w:val="28243AD4"/>
    <w:rsid w:val="28244CCD"/>
    <w:rsid w:val="28244EBF"/>
    <w:rsid w:val="28245882"/>
    <w:rsid w:val="282460ED"/>
    <w:rsid w:val="28255BB8"/>
    <w:rsid w:val="28257604"/>
    <w:rsid w:val="28261232"/>
    <w:rsid w:val="28261BFA"/>
    <w:rsid w:val="28275C5B"/>
    <w:rsid w:val="2828091A"/>
    <w:rsid w:val="28282350"/>
    <w:rsid w:val="28283442"/>
    <w:rsid w:val="28284804"/>
    <w:rsid w:val="282859AC"/>
    <w:rsid w:val="282876D1"/>
    <w:rsid w:val="282910EA"/>
    <w:rsid w:val="282945F1"/>
    <w:rsid w:val="28296AEE"/>
    <w:rsid w:val="2829733C"/>
    <w:rsid w:val="282A2BC7"/>
    <w:rsid w:val="282A40BA"/>
    <w:rsid w:val="282A6A25"/>
    <w:rsid w:val="282B09BF"/>
    <w:rsid w:val="282B120A"/>
    <w:rsid w:val="282B1C55"/>
    <w:rsid w:val="282B7B9B"/>
    <w:rsid w:val="282B7EE8"/>
    <w:rsid w:val="282D0BDB"/>
    <w:rsid w:val="282D12EE"/>
    <w:rsid w:val="282D1ACD"/>
    <w:rsid w:val="282D2989"/>
    <w:rsid w:val="282D2E01"/>
    <w:rsid w:val="282D5012"/>
    <w:rsid w:val="282D7869"/>
    <w:rsid w:val="282E0403"/>
    <w:rsid w:val="282E04AF"/>
    <w:rsid w:val="282E188D"/>
    <w:rsid w:val="282E2F5D"/>
    <w:rsid w:val="282E3C6D"/>
    <w:rsid w:val="282E6701"/>
    <w:rsid w:val="282F1D83"/>
    <w:rsid w:val="282F5340"/>
    <w:rsid w:val="283006CB"/>
    <w:rsid w:val="28304187"/>
    <w:rsid w:val="28305FD5"/>
    <w:rsid w:val="28311E83"/>
    <w:rsid w:val="28312924"/>
    <w:rsid w:val="28312A7B"/>
    <w:rsid w:val="283261F1"/>
    <w:rsid w:val="283279A8"/>
    <w:rsid w:val="28330960"/>
    <w:rsid w:val="28330C08"/>
    <w:rsid w:val="28330CA7"/>
    <w:rsid w:val="28331AAB"/>
    <w:rsid w:val="28332971"/>
    <w:rsid w:val="2833593F"/>
    <w:rsid w:val="28340AB2"/>
    <w:rsid w:val="28340CC8"/>
    <w:rsid w:val="28346DCF"/>
    <w:rsid w:val="2835025F"/>
    <w:rsid w:val="2835068F"/>
    <w:rsid w:val="2835183D"/>
    <w:rsid w:val="283525B7"/>
    <w:rsid w:val="283526DC"/>
    <w:rsid w:val="283539F7"/>
    <w:rsid w:val="2835438F"/>
    <w:rsid w:val="28354DB4"/>
    <w:rsid w:val="28355743"/>
    <w:rsid w:val="28355CE1"/>
    <w:rsid w:val="28356770"/>
    <w:rsid w:val="2835681F"/>
    <w:rsid w:val="28357A8F"/>
    <w:rsid w:val="283616EF"/>
    <w:rsid w:val="283618D3"/>
    <w:rsid w:val="28362FBF"/>
    <w:rsid w:val="28373807"/>
    <w:rsid w:val="2837561B"/>
    <w:rsid w:val="2838132E"/>
    <w:rsid w:val="28381418"/>
    <w:rsid w:val="28386BE0"/>
    <w:rsid w:val="283877E5"/>
    <w:rsid w:val="283879BE"/>
    <w:rsid w:val="28391566"/>
    <w:rsid w:val="28395152"/>
    <w:rsid w:val="28395C86"/>
    <w:rsid w:val="283A0B69"/>
    <w:rsid w:val="283A1500"/>
    <w:rsid w:val="283A1CAD"/>
    <w:rsid w:val="283A32F8"/>
    <w:rsid w:val="283A42C6"/>
    <w:rsid w:val="283A4351"/>
    <w:rsid w:val="283A6E54"/>
    <w:rsid w:val="283A6EC8"/>
    <w:rsid w:val="283B2990"/>
    <w:rsid w:val="283B38A8"/>
    <w:rsid w:val="283B5FD3"/>
    <w:rsid w:val="283B6531"/>
    <w:rsid w:val="283B7D44"/>
    <w:rsid w:val="283C2BCC"/>
    <w:rsid w:val="283C78A3"/>
    <w:rsid w:val="283D0B08"/>
    <w:rsid w:val="283D15C2"/>
    <w:rsid w:val="283D461F"/>
    <w:rsid w:val="283D650B"/>
    <w:rsid w:val="283D6944"/>
    <w:rsid w:val="283D7FC1"/>
    <w:rsid w:val="283E2079"/>
    <w:rsid w:val="283E55A7"/>
    <w:rsid w:val="283E767D"/>
    <w:rsid w:val="283E7822"/>
    <w:rsid w:val="283F06B6"/>
    <w:rsid w:val="283F090E"/>
    <w:rsid w:val="283F26BC"/>
    <w:rsid w:val="283F2D9B"/>
    <w:rsid w:val="283F3AFE"/>
    <w:rsid w:val="283F3B34"/>
    <w:rsid w:val="283F446A"/>
    <w:rsid w:val="284010A1"/>
    <w:rsid w:val="284020F7"/>
    <w:rsid w:val="28403E67"/>
    <w:rsid w:val="28404BE2"/>
    <w:rsid w:val="28406DA5"/>
    <w:rsid w:val="284101E2"/>
    <w:rsid w:val="28410E63"/>
    <w:rsid w:val="28413233"/>
    <w:rsid w:val="28414191"/>
    <w:rsid w:val="284144ED"/>
    <w:rsid w:val="28415946"/>
    <w:rsid w:val="28416434"/>
    <w:rsid w:val="28421245"/>
    <w:rsid w:val="2842257A"/>
    <w:rsid w:val="28425D08"/>
    <w:rsid w:val="284267D9"/>
    <w:rsid w:val="28426CC5"/>
    <w:rsid w:val="284303FE"/>
    <w:rsid w:val="28430550"/>
    <w:rsid w:val="284321AC"/>
    <w:rsid w:val="284326B1"/>
    <w:rsid w:val="28433CF3"/>
    <w:rsid w:val="28433F5A"/>
    <w:rsid w:val="28445F24"/>
    <w:rsid w:val="284461BF"/>
    <w:rsid w:val="28463A4A"/>
    <w:rsid w:val="284657F9"/>
    <w:rsid w:val="284661C4"/>
    <w:rsid w:val="2846670F"/>
    <w:rsid w:val="284673EB"/>
    <w:rsid w:val="28472C7A"/>
    <w:rsid w:val="284734B1"/>
    <w:rsid w:val="28475245"/>
    <w:rsid w:val="28475726"/>
    <w:rsid w:val="2848148D"/>
    <w:rsid w:val="28484F7F"/>
    <w:rsid w:val="28485A15"/>
    <w:rsid w:val="28487C47"/>
    <w:rsid w:val="28492D32"/>
    <w:rsid w:val="2849353B"/>
    <w:rsid w:val="284952E9"/>
    <w:rsid w:val="28495C10"/>
    <w:rsid w:val="284A1E00"/>
    <w:rsid w:val="284A2C7B"/>
    <w:rsid w:val="284A5999"/>
    <w:rsid w:val="284A7A4D"/>
    <w:rsid w:val="284B1061"/>
    <w:rsid w:val="284B172A"/>
    <w:rsid w:val="284B3B4E"/>
    <w:rsid w:val="284B4021"/>
    <w:rsid w:val="284B72B3"/>
    <w:rsid w:val="284C008E"/>
    <w:rsid w:val="284C6B4F"/>
    <w:rsid w:val="284D1122"/>
    <w:rsid w:val="284D161A"/>
    <w:rsid w:val="284D188E"/>
    <w:rsid w:val="284D2CD6"/>
    <w:rsid w:val="284D302B"/>
    <w:rsid w:val="284D37DC"/>
    <w:rsid w:val="284D4DD9"/>
    <w:rsid w:val="284D528F"/>
    <w:rsid w:val="284D74FA"/>
    <w:rsid w:val="284E0B41"/>
    <w:rsid w:val="284F4315"/>
    <w:rsid w:val="28500425"/>
    <w:rsid w:val="285033BE"/>
    <w:rsid w:val="285048C9"/>
    <w:rsid w:val="28506677"/>
    <w:rsid w:val="285076E2"/>
    <w:rsid w:val="28510EC8"/>
    <w:rsid w:val="28520641"/>
    <w:rsid w:val="28520659"/>
    <w:rsid w:val="285236A4"/>
    <w:rsid w:val="28523FE7"/>
    <w:rsid w:val="285279A8"/>
    <w:rsid w:val="285337E8"/>
    <w:rsid w:val="28536150"/>
    <w:rsid w:val="28537009"/>
    <w:rsid w:val="28537F15"/>
    <w:rsid w:val="285421A9"/>
    <w:rsid w:val="28542EA6"/>
    <w:rsid w:val="28544D5F"/>
    <w:rsid w:val="28545338"/>
    <w:rsid w:val="285474AF"/>
    <w:rsid w:val="28551EE0"/>
    <w:rsid w:val="28553C8E"/>
    <w:rsid w:val="2856008C"/>
    <w:rsid w:val="28574FA3"/>
    <w:rsid w:val="28575047"/>
    <w:rsid w:val="28575C58"/>
    <w:rsid w:val="28577A06"/>
    <w:rsid w:val="28583E3A"/>
    <w:rsid w:val="28590260"/>
    <w:rsid w:val="28590CCC"/>
    <w:rsid w:val="2859377E"/>
    <w:rsid w:val="28595457"/>
    <w:rsid w:val="28595E01"/>
    <w:rsid w:val="285A1BF1"/>
    <w:rsid w:val="285A5748"/>
    <w:rsid w:val="285A5EE3"/>
    <w:rsid w:val="285B2719"/>
    <w:rsid w:val="285B2FA4"/>
    <w:rsid w:val="285B361E"/>
    <w:rsid w:val="285C053E"/>
    <w:rsid w:val="285C0698"/>
    <w:rsid w:val="285C2FAA"/>
    <w:rsid w:val="285C326E"/>
    <w:rsid w:val="285C501C"/>
    <w:rsid w:val="285C5FDB"/>
    <w:rsid w:val="285C6DCA"/>
    <w:rsid w:val="285C7611"/>
    <w:rsid w:val="285C794C"/>
    <w:rsid w:val="285D2B42"/>
    <w:rsid w:val="285D489A"/>
    <w:rsid w:val="285E0D94"/>
    <w:rsid w:val="285E0E24"/>
    <w:rsid w:val="285E47EF"/>
    <w:rsid w:val="285E5CF4"/>
    <w:rsid w:val="285E6FE6"/>
    <w:rsid w:val="285E70BE"/>
    <w:rsid w:val="285F0499"/>
    <w:rsid w:val="285F6760"/>
    <w:rsid w:val="285F68BA"/>
    <w:rsid w:val="28604C99"/>
    <w:rsid w:val="286127EB"/>
    <w:rsid w:val="28614BA7"/>
    <w:rsid w:val="286178DE"/>
    <w:rsid w:val="28617D82"/>
    <w:rsid w:val="28631E3E"/>
    <w:rsid w:val="28635BC2"/>
    <w:rsid w:val="286417A1"/>
    <w:rsid w:val="28642123"/>
    <w:rsid w:val="28643276"/>
    <w:rsid w:val="2864360D"/>
    <w:rsid w:val="28643ED1"/>
    <w:rsid w:val="286456C1"/>
    <w:rsid w:val="28645B84"/>
    <w:rsid w:val="286538A1"/>
    <w:rsid w:val="28660A96"/>
    <w:rsid w:val="286627D0"/>
    <w:rsid w:val="286640ED"/>
    <w:rsid w:val="28664DB6"/>
    <w:rsid w:val="286708A0"/>
    <w:rsid w:val="28670AA9"/>
    <w:rsid w:val="28681C13"/>
    <w:rsid w:val="286839C1"/>
    <w:rsid w:val="286840F4"/>
    <w:rsid w:val="28687E40"/>
    <w:rsid w:val="28687E65"/>
    <w:rsid w:val="286919A7"/>
    <w:rsid w:val="286926D3"/>
    <w:rsid w:val="286946EB"/>
    <w:rsid w:val="28697DE7"/>
    <w:rsid w:val="286A22CA"/>
    <w:rsid w:val="286A3883"/>
    <w:rsid w:val="286A5BF8"/>
    <w:rsid w:val="286A632E"/>
    <w:rsid w:val="286B34B1"/>
    <w:rsid w:val="286B4344"/>
    <w:rsid w:val="286B45D1"/>
    <w:rsid w:val="286B525F"/>
    <w:rsid w:val="286B5783"/>
    <w:rsid w:val="286B7752"/>
    <w:rsid w:val="286C1BA7"/>
    <w:rsid w:val="286C2C91"/>
    <w:rsid w:val="286D0FD7"/>
    <w:rsid w:val="286D4633"/>
    <w:rsid w:val="286D547B"/>
    <w:rsid w:val="286D5B95"/>
    <w:rsid w:val="286D7229"/>
    <w:rsid w:val="286E034B"/>
    <w:rsid w:val="286E03F0"/>
    <w:rsid w:val="286E09F7"/>
    <w:rsid w:val="286E1421"/>
    <w:rsid w:val="286E2F5F"/>
    <w:rsid w:val="286E3C6C"/>
    <w:rsid w:val="286E40D3"/>
    <w:rsid w:val="286E70AC"/>
    <w:rsid w:val="286E79BF"/>
    <w:rsid w:val="286F01C7"/>
    <w:rsid w:val="286F2FA1"/>
    <w:rsid w:val="286F4F4F"/>
    <w:rsid w:val="286F5821"/>
    <w:rsid w:val="286F6778"/>
    <w:rsid w:val="28700A76"/>
    <w:rsid w:val="28700AC7"/>
    <w:rsid w:val="28702875"/>
    <w:rsid w:val="28706D19"/>
    <w:rsid w:val="2871008B"/>
    <w:rsid w:val="287116D4"/>
    <w:rsid w:val="287127D2"/>
    <w:rsid w:val="2871377C"/>
    <w:rsid w:val="28716BE2"/>
    <w:rsid w:val="2871729F"/>
    <w:rsid w:val="287204B2"/>
    <w:rsid w:val="287216B2"/>
    <w:rsid w:val="2872400F"/>
    <w:rsid w:val="28724840"/>
    <w:rsid w:val="2872521B"/>
    <w:rsid w:val="28732366"/>
    <w:rsid w:val="28732DD2"/>
    <w:rsid w:val="28740317"/>
    <w:rsid w:val="287405B8"/>
    <w:rsid w:val="287408EF"/>
    <w:rsid w:val="28745B3D"/>
    <w:rsid w:val="2874680A"/>
    <w:rsid w:val="28750B2F"/>
    <w:rsid w:val="28751540"/>
    <w:rsid w:val="287556F2"/>
    <w:rsid w:val="28760AED"/>
    <w:rsid w:val="2876671B"/>
    <w:rsid w:val="28766B82"/>
    <w:rsid w:val="28766C15"/>
    <w:rsid w:val="28767604"/>
    <w:rsid w:val="28772D55"/>
    <w:rsid w:val="28773C04"/>
    <w:rsid w:val="28773C33"/>
    <w:rsid w:val="28775A4F"/>
    <w:rsid w:val="287764F8"/>
    <w:rsid w:val="28776506"/>
    <w:rsid w:val="28777889"/>
    <w:rsid w:val="287814A2"/>
    <w:rsid w:val="2878451A"/>
    <w:rsid w:val="28787E89"/>
    <w:rsid w:val="287916C6"/>
    <w:rsid w:val="28793E20"/>
    <w:rsid w:val="287953DF"/>
    <w:rsid w:val="28795503"/>
    <w:rsid w:val="28795A77"/>
    <w:rsid w:val="28795BCE"/>
    <w:rsid w:val="28795C43"/>
    <w:rsid w:val="2879797C"/>
    <w:rsid w:val="287A1946"/>
    <w:rsid w:val="287A25C6"/>
    <w:rsid w:val="287A40C7"/>
    <w:rsid w:val="287A4177"/>
    <w:rsid w:val="287A78C3"/>
    <w:rsid w:val="287B0B38"/>
    <w:rsid w:val="287B190C"/>
    <w:rsid w:val="287B2E6A"/>
    <w:rsid w:val="287B6A6A"/>
    <w:rsid w:val="287B7B98"/>
    <w:rsid w:val="287C101B"/>
    <w:rsid w:val="287C40F5"/>
    <w:rsid w:val="287C5004"/>
    <w:rsid w:val="287C746C"/>
    <w:rsid w:val="287C751F"/>
    <w:rsid w:val="287D3073"/>
    <w:rsid w:val="287D338B"/>
    <w:rsid w:val="287D3C52"/>
    <w:rsid w:val="287D4984"/>
    <w:rsid w:val="287D5314"/>
    <w:rsid w:val="287D6861"/>
    <w:rsid w:val="287D710A"/>
    <w:rsid w:val="287E31E4"/>
    <w:rsid w:val="287E3A88"/>
    <w:rsid w:val="287E743A"/>
    <w:rsid w:val="287E7ADE"/>
    <w:rsid w:val="287F0C5F"/>
    <w:rsid w:val="287F1375"/>
    <w:rsid w:val="287F21E3"/>
    <w:rsid w:val="287F2F41"/>
    <w:rsid w:val="287F6F5C"/>
    <w:rsid w:val="28806875"/>
    <w:rsid w:val="288115F2"/>
    <w:rsid w:val="28812B87"/>
    <w:rsid w:val="28812E75"/>
    <w:rsid w:val="28813FCB"/>
    <w:rsid w:val="28814A83"/>
    <w:rsid w:val="288153D6"/>
    <w:rsid w:val="28825BE9"/>
    <w:rsid w:val="28826EF2"/>
    <w:rsid w:val="28833F3B"/>
    <w:rsid w:val="28836829"/>
    <w:rsid w:val="28837223"/>
    <w:rsid w:val="28844573"/>
    <w:rsid w:val="28853A3B"/>
    <w:rsid w:val="28862099"/>
    <w:rsid w:val="288624BE"/>
    <w:rsid w:val="2886580F"/>
    <w:rsid w:val="2886653D"/>
    <w:rsid w:val="288726D8"/>
    <w:rsid w:val="28872924"/>
    <w:rsid w:val="28875167"/>
    <w:rsid w:val="28880FA3"/>
    <w:rsid w:val="28881BBA"/>
    <w:rsid w:val="288822B5"/>
    <w:rsid w:val="2888357C"/>
    <w:rsid w:val="28883B68"/>
    <w:rsid w:val="28884063"/>
    <w:rsid w:val="28885E11"/>
    <w:rsid w:val="28886222"/>
    <w:rsid w:val="288868A4"/>
    <w:rsid w:val="28886A8A"/>
    <w:rsid w:val="28893937"/>
    <w:rsid w:val="28896C30"/>
    <w:rsid w:val="288975BC"/>
    <w:rsid w:val="28897810"/>
    <w:rsid w:val="288A1B89"/>
    <w:rsid w:val="288A3874"/>
    <w:rsid w:val="288A4636"/>
    <w:rsid w:val="288B1059"/>
    <w:rsid w:val="288B2446"/>
    <w:rsid w:val="288B40AD"/>
    <w:rsid w:val="288B76AF"/>
    <w:rsid w:val="288B7DC3"/>
    <w:rsid w:val="288C0081"/>
    <w:rsid w:val="288C2E20"/>
    <w:rsid w:val="288C3B8C"/>
    <w:rsid w:val="288C5291"/>
    <w:rsid w:val="288D0002"/>
    <w:rsid w:val="288D07B4"/>
    <w:rsid w:val="288D3427"/>
    <w:rsid w:val="288D4975"/>
    <w:rsid w:val="288D65F6"/>
    <w:rsid w:val="288D78CB"/>
    <w:rsid w:val="288E0F4E"/>
    <w:rsid w:val="288E1751"/>
    <w:rsid w:val="288E205C"/>
    <w:rsid w:val="288E6D1B"/>
    <w:rsid w:val="288E7560"/>
    <w:rsid w:val="288F0A8A"/>
    <w:rsid w:val="288F4F38"/>
    <w:rsid w:val="288F6E29"/>
    <w:rsid w:val="289004DA"/>
    <w:rsid w:val="28900F40"/>
    <w:rsid w:val="28904E9D"/>
    <w:rsid w:val="2891121F"/>
    <w:rsid w:val="28914C1B"/>
    <w:rsid w:val="2891635B"/>
    <w:rsid w:val="28923243"/>
    <w:rsid w:val="28926B62"/>
    <w:rsid w:val="28926CDF"/>
    <w:rsid w:val="28927F48"/>
    <w:rsid w:val="28930C7B"/>
    <w:rsid w:val="28931480"/>
    <w:rsid w:val="289355EF"/>
    <w:rsid w:val="289360AA"/>
    <w:rsid w:val="28937730"/>
    <w:rsid w:val="28937BA7"/>
    <w:rsid w:val="28940BFF"/>
    <w:rsid w:val="28940C5A"/>
    <w:rsid w:val="2894210B"/>
    <w:rsid w:val="2894456A"/>
    <w:rsid w:val="289447B6"/>
    <w:rsid w:val="28944BAE"/>
    <w:rsid w:val="289457C2"/>
    <w:rsid w:val="28947D38"/>
    <w:rsid w:val="28956780"/>
    <w:rsid w:val="289579DF"/>
    <w:rsid w:val="289607FC"/>
    <w:rsid w:val="28960AB2"/>
    <w:rsid w:val="2896148A"/>
    <w:rsid w:val="28961710"/>
    <w:rsid w:val="289626E0"/>
    <w:rsid w:val="28966347"/>
    <w:rsid w:val="28966E49"/>
    <w:rsid w:val="28971D29"/>
    <w:rsid w:val="28972741"/>
    <w:rsid w:val="28980380"/>
    <w:rsid w:val="28982CC3"/>
    <w:rsid w:val="289872A5"/>
    <w:rsid w:val="2899001E"/>
    <w:rsid w:val="28990549"/>
    <w:rsid w:val="28991DCC"/>
    <w:rsid w:val="2899235D"/>
    <w:rsid w:val="28992885"/>
    <w:rsid w:val="28992AA4"/>
    <w:rsid w:val="28992FA5"/>
    <w:rsid w:val="289933AC"/>
    <w:rsid w:val="28995697"/>
    <w:rsid w:val="289957D0"/>
    <w:rsid w:val="28996270"/>
    <w:rsid w:val="289A0196"/>
    <w:rsid w:val="289A22C5"/>
    <w:rsid w:val="289A3DFA"/>
    <w:rsid w:val="289A4100"/>
    <w:rsid w:val="289A4E21"/>
    <w:rsid w:val="289A5B44"/>
    <w:rsid w:val="289A5C6F"/>
    <w:rsid w:val="289A5F7D"/>
    <w:rsid w:val="289B0067"/>
    <w:rsid w:val="289B0D42"/>
    <w:rsid w:val="289B1FDE"/>
    <w:rsid w:val="289B3CD3"/>
    <w:rsid w:val="289B5F52"/>
    <w:rsid w:val="289C18BC"/>
    <w:rsid w:val="289C346E"/>
    <w:rsid w:val="289C366A"/>
    <w:rsid w:val="289C70A4"/>
    <w:rsid w:val="289C70F7"/>
    <w:rsid w:val="289D23FA"/>
    <w:rsid w:val="289D3EBD"/>
    <w:rsid w:val="289D5159"/>
    <w:rsid w:val="289D64D0"/>
    <w:rsid w:val="289E3886"/>
    <w:rsid w:val="289E3F84"/>
    <w:rsid w:val="289F315B"/>
    <w:rsid w:val="289F7866"/>
    <w:rsid w:val="289F7F36"/>
    <w:rsid w:val="28A013AD"/>
    <w:rsid w:val="28A02BE5"/>
    <w:rsid w:val="28A03712"/>
    <w:rsid w:val="28A040DC"/>
    <w:rsid w:val="28A11181"/>
    <w:rsid w:val="28A14221"/>
    <w:rsid w:val="28A15A4A"/>
    <w:rsid w:val="28A16ED3"/>
    <w:rsid w:val="28A21AA0"/>
    <w:rsid w:val="28A22332"/>
    <w:rsid w:val="28A23621"/>
    <w:rsid w:val="28A2470F"/>
    <w:rsid w:val="28A2594A"/>
    <w:rsid w:val="28A272E0"/>
    <w:rsid w:val="28A36AFF"/>
    <w:rsid w:val="28A43E8F"/>
    <w:rsid w:val="28A4543F"/>
    <w:rsid w:val="28A507F8"/>
    <w:rsid w:val="28A544CF"/>
    <w:rsid w:val="28A55630"/>
    <w:rsid w:val="28A5632A"/>
    <w:rsid w:val="28A61313"/>
    <w:rsid w:val="28A6273B"/>
    <w:rsid w:val="28A63E3C"/>
    <w:rsid w:val="28A63E69"/>
    <w:rsid w:val="28A6417B"/>
    <w:rsid w:val="28A644E9"/>
    <w:rsid w:val="28A664B7"/>
    <w:rsid w:val="28A67820"/>
    <w:rsid w:val="28A67971"/>
    <w:rsid w:val="28A72075"/>
    <w:rsid w:val="28A76BA9"/>
    <w:rsid w:val="28A80261"/>
    <w:rsid w:val="28A81EB5"/>
    <w:rsid w:val="28A8200F"/>
    <w:rsid w:val="28A82D95"/>
    <w:rsid w:val="28A84722"/>
    <w:rsid w:val="28A87668"/>
    <w:rsid w:val="28A93A5B"/>
    <w:rsid w:val="28A95D87"/>
    <w:rsid w:val="28AA0108"/>
    <w:rsid w:val="28AA020F"/>
    <w:rsid w:val="28AA1F34"/>
    <w:rsid w:val="28AA222B"/>
    <w:rsid w:val="28AA3FD9"/>
    <w:rsid w:val="28AA5A71"/>
    <w:rsid w:val="28AB09A1"/>
    <w:rsid w:val="28AB7D51"/>
    <w:rsid w:val="28AC3294"/>
    <w:rsid w:val="28AC67EB"/>
    <w:rsid w:val="28AD1D1C"/>
    <w:rsid w:val="28AD52B3"/>
    <w:rsid w:val="28AD5878"/>
    <w:rsid w:val="28AE081A"/>
    <w:rsid w:val="28AF052F"/>
    <w:rsid w:val="28AF0E64"/>
    <w:rsid w:val="28AF1308"/>
    <w:rsid w:val="28AF15F0"/>
    <w:rsid w:val="28AF4A66"/>
    <w:rsid w:val="28AF7114"/>
    <w:rsid w:val="28AF7842"/>
    <w:rsid w:val="28B01873"/>
    <w:rsid w:val="28B01B68"/>
    <w:rsid w:val="28B04B65"/>
    <w:rsid w:val="28B10C06"/>
    <w:rsid w:val="28B11632"/>
    <w:rsid w:val="28B12D73"/>
    <w:rsid w:val="28B135BA"/>
    <w:rsid w:val="28B13E49"/>
    <w:rsid w:val="28B15B48"/>
    <w:rsid w:val="28B210E0"/>
    <w:rsid w:val="28B23128"/>
    <w:rsid w:val="28B24203"/>
    <w:rsid w:val="28B24AEB"/>
    <w:rsid w:val="28B25489"/>
    <w:rsid w:val="28B27E59"/>
    <w:rsid w:val="28B32731"/>
    <w:rsid w:val="28B36B23"/>
    <w:rsid w:val="28B37BA6"/>
    <w:rsid w:val="28B409B4"/>
    <w:rsid w:val="28B4347B"/>
    <w:rsid w:val="28B43EA9"/>
    <w:rsid w:val="28B442FE"/>
    <w:rsid w:val="28B44464"/>
    <w:rsid w:val="28B44E58"/>
    <w:rsid w:val="28B50424"/>
    <w:rsid w:val="28B51119"/>
    <w:rsid w:val="28B52CF7"/>
    <w:rsid w:val="28B542C5"/>
    <w:rsid w:val="28B5472C"/>
    <w:rsid w:val="28B605D4"/>
    <w:rsid w:val="28B60BD0"/>
    <w:rsid w:val="28B632C6"/>
    <w:rsid w:val="28B64014"/>
    <w:rsid w:val="28B65CAE"/>
    <w:rsid w:val="28B704A4"/>
    <w:rsid w:val="28B70F52"/>
    <w:rsid w:val="28B7285C"/>
    <w:rsid w:val="28B74948"/>
    <w:rsid w:val="28B82559"/>
    <w:rsid w:val="28B83652"/>
    <w:rsid w:val="28B87EC2"/>
    <w:rsid w:val="28B906C0"/>
    <w:rsid w:val="28B9246E"/>
    <w:rsid w:val="28BA120D"/>
    <w:rsid w:val="28BA7F95"/>
    <w:rsid w:val="28BB0B96"/>
    <w:rsid w:val="28BB61E6"/>
    <w:rsid w:val="28BB7585"/>
    <w:rsid w:val="28BC0948"/>
    <w:rsid w:val="28BC3216"/>
    <w:rsid w:val="28BC69B4"/>
    <w:rsid w:val="28BC72EE"/>
    <w:rsid w:val="28BD3A19"/>
    <w:rsid w:val="28BD6588"/>
    <w:rsid w:val="28BD6C68"/>
    <w:rsid w:val="28BE506B"/>
    <w:rsid w:val="28BE7A85"/>
    <w:rsid w:val="28BF1481"/>
    <w:rsid w:val="28BF3904"/>
    <w:rsid w:val="28BF3F51"/>
    <w:rsid w:val="28BF46CB"/>
    <w:rsid w:val="28C00350"/>
    <w:rsid w:val="28C02F8B"/>
    <w:rsid w:val="28C037FD"/>
    <w:rsid w:val="28C063DA"/>
    <w:rsid w:val="28C10586"/>
    <w:rsid w:val="28C11323"/>
    <w:rsid w:val="28C155F6"/>
    <w:rsid w:val="28C16163"/>
    <w:rsid w:val="28C202D2"/>
    <w:rsid w:val="28C206AB"/>
    <w:rsid w:val="28C2288C"/>
    <w:rsid w:val="28C30846"/>
    <w:rsid w:val="28C312D6"/>
    <w:rsid w:val="28C3509B"/>
    <w:rsid w:val="28C358E5"/>
    <w:rsid w:val="28C36618"/>
    <w:rsid w:val="28C372CD"/>
    <w:rsid w:val="28C40B3F"/>
    <w:rsid w:val="28C4174C"/>
    <w:rsid w:val="28C52BC1"/>
    <w:rsid w:val="28C56F41"/>
    <w:rsid w:val="28C57065"/>
    <w:rsid w:val="28C623C8"/>
    <w:rsid w:val="28C64B8B"/>
    <w:rsid w:val="28C64FC1"/>
    <w:rsid w:val="28C73248"/>
    <w:rsid w:val="28C748FC"/>
    <w:rsid w:val="28C74F99"/>
    <w:rsid w:val="28C76086"/>
    <w:rsid w:val="28C8012C"/>
    <w:rsid w:val="28C80903"/>
    <w:rsid w:val="28C826B1"/>
    <w:rsid w:val="28C85989"/>
    <w:rsid w:val="28C867CF"/>
    <w:rsid w:val="28C9248A"/>
    <w:rsid w:val="28C96C81"/>
    <w:rsid w:val="28CA467C"/>
    <w:rsid w:val="28CA5806"/>
    <w:rsid w:val="28CA642A"/>
    <w:rsid w:val="28CA665C"/>
    <w:rsid w:val="28CB05E9"/>
    <w:rsid w:val="28CB0A39"/>
    <w:rsid w:val="28CB22D7"/>
    <w:rsid w:val="28CB2593"/>
    <w:rsid w:val="28CB3A2C"/>
    <w:rsid w:val="28CB4DAA"/>
    <w:rsid w:val="28CC09B2"/>
    <w:rsid w:val="28CC1EC1"/>
    <w:rsid w:val="28CC27F9"/>
    <w:rsid w:val="28CC350A"/>
    <w:rsid w:val="28CC37B6"/>
    <w:rsid w:val="28CC7568"/>
    <w:rsid w:val="28CD1A76"/>
    <w:rsid w:val="28CD4C8F"/>
    <w:rsid w:val="28CD5EA6"/>
    <w:rsid w:val="28CD76CA"/>
    <w:rsid w:val="28CD7CC8"/>
    <w:rsid w:val="28CE0B5E"/>
    <w:rsid w:val="28CE372B"/>
    <w:rsid w:val="28CE4767"/>
    <w:rsid w:val="28CF1C94"/>
    <w:rsid w:val="28CF236D"/>
    <w:rsid w:val="28CF4026"/>
    <w:rsid w:val="28CF57EE"/>
    <w:rsid w:val="28D01566"/>
    <w:rsid w:val="28D05206"/>
    <w:rsid w:val="28D0604B"/>
    <w:rsid w:val="28D177B8"/>
    <w:rsid w:val="28D21782"/>
    <w:rsid w:val="28D23F68"/>
    <w:rsid w:val="28D252DE"/>
    <w:rsid w:val="28D26420"/>
    <w:rsid w:val="28D3349D"/>
    <w:rsid w:val="28D3463C"/>
    <w:rsid w:val="28D34837"/>
    <w:rsid w:val="28D3610D"/>
    <w:rsid w:val="28D3711B"/>
    <w:rsid w:val="28D41056"/>
    <w:rsid w:val="28D41146"/>
    <w:rsid w:val="28D472A8"/>
    <w:rsid w:val="28D52E13"/>
    <w:rsid w:val="28D54B1C"/>
    <w:rsid w:val="28D563FB"/>
    <w:rsid w:val="28D607C7"/>
    <w:rsid w:val="28D61EBD"/>
    <w:rsid w:val="28D62F53"/>
    <w:rsid w:val="28D63020"/>
    <w:rsid w:val="28D64DCE"/>
    <w:rsid w:val="28D70C03"/>
    <w:rsid w:val="28D71672"/>
    <w:rsid w:val="28D76FFE"/>
    <w:rsid w:val="28D813E5"/>
    <w:rsid w:val="28D85F1E"/>
    <w:rsid w:val="28D93D8C"/>
    <w:rsid w:val="28D9544A"/>
    <w:rsid w:val="28DA4054"/>
    <w:rsid w:val="28DB0408"/>
    <w:rsid w:val="28DB449B"/>
    <w:rsid w:val="28DB489F"/>
    <w:rsid w:val="28DB6DA3"/>
    <w:rsid w:val="28DC20D4"/>
    <w:rsid w:val="28DC34DE"/>
    <w:rsid w:val="28DC3854"/>
    <w:rsid w:val="28DC5D2F"/>
    <w:rsid w:val="28DC615D"/>
    <w:rsid w:val="28DC7F0B"/>
    <w:rsid w:val="28DD75FC"/>
    <w:rsid w:val="28DE064F"/>
    <w:rsid w:val="28DE1ED5"/>
    <w:rsid w:val="28DE1EF7"/>
    <w:rsid w:val="28DE3C83"/>
    <w:rsid w:val="28DE502C"/>
    <w:rsid w:val="28DE6D64"/>
    <w:rsid w:val="28DF1612"/>
    <w:rsid w:val="28DF1782"/>
    <w:rsid w:val="28DF17A9"/>
    <w:rsid w:val="28DF190E"/>
    <w:rsid w:val="28DF5DB1"/>
    <w:rsid w:val="28DF7FBB"/>
    <w:rsid w:val="28E04B60"/>
    <w:rsid w:val="28E10CEE"/>
    <w:rsid w:val="28E11FA2"/>
    <w:rsid w:val="28E13675"/>
    <w:rsid w:val="28E13773"/>
    <w:rsid w:val="28E17C35"/>
    <w:rsid w:val="28E219C5"/>
    <w:rsid w:val="28E2349F"/>
    <w:rsid w:val="28E31299"/>
    <w:rsid w:val="28E35C02"/>
    <w:rsid w:val="28E435EB"/>
    <w:rsid w:val="28E4375B"/>
    <w:rsid w:val="28E45704"/>
    <w:rsid w:val="28E46022"/>
    <w:rsid w:val="28E50522"/>
    <w:rsid w:val="28E52FB7"/>
    <w:rsid w:val="28E53263"/>
    <w:rsid w:val="28E55011"/>
    <w:rsid w:val="28E55828"/>
    <w:rsid w:val="28E5622B"/>
    <w:rsid w:val="28E60D8A"/>
    <w:rsid w:val="28E62B38"/>
    <w:rsid w:val="28E67086"/>
    <w:rsid w:val="28E70D83"/>
    <w:rsid w:val="28E72100"/>
    <w:rsid w:val="28E75017"/>
    <w:rsid w:val="28E76FDC"/>
    <w:rsid w:val="28E81043"/>
    <w:rsid w:val="28E82D54"/>
    <w:rsid w:val="28E842D2"/>
    <w:rsid w:val="28E852A2"/>
    <w:rsid w:val="28E86052"/>
    <w:rsid w:val="28E86B18"/>
    <w:rsid w:val="28E86EA3"/>
    <w:rsid w:val="28E87162"/>
    <w:rsid w:val="28E87C68"/>
    <w:rsid w:val="28E90B4D"/>
    <w:rsid w:val="28EA087A"/>
    <w:rsid w:val="28EA0C19"/>
    <w:rsid w:val="28EA54A9"/>
    <w:rsid w:val="28EA6482"/>
    <w:rsid w:val="28EA7CB3"/>
    <w:rsid w:val="28EB2EE5"/>
    <w:rsid w:val="28EB4394"/>
    <w:rsid w:val="28EB63A0"/>
    <w:rsid w:val="28EB7246"/>
    <w:rsid w:val="28EC1B0A"/>
    <w:rsid w:val="28EC2844"/>
    <w:rsid w:val="28EC75CF"/>
    <w:rsid w:val="28EC76ED"/>
    <w:rsid w:val="28ED036A"/>
    <w:rsid w:val="28ED0A2C"/>
    <w:rsid w:val="28ED0BC8"/>
    <w:rsid w:val="28ED1258"/>
    <w:rsid w:val="28ED1AB6"/>
    <w:rsid w:val="28ED2118"/>
    <w:rsid w:val="28ED2A91"/>
    <w:rsid w:val="28ED4350"/>
    <w:rsid w:val="28ED43B0"/>
    <w:rsid w:val="28EE4538"/>
    <w:rsid w:val="28EE7341"/>
    <w:rsid w:val="28EF11F9"/>
    <w:rsid w:val="28EF2490"/>
    <w:rsid w:val="28EF40E2"/>
    <w:rsid w:val="28EF4132"/>
    <w:rsid w:val="28EF41A5"/>
    <w:rsid w:val="28EF52A8"/>
    <w:rsid w:val="28EF7C3E"/>
    <w:rsid w:val="28EF7F6D"/>
    <w:rsid w:val="28F010E3"/>
    <w:rsid w:val="28F012D3"/>
    <w:rsid w:val="28F03895"/>
    <w:rsid w:val="28F039B6"/>
    <w:rsid w:val="28F04E5E"/>
    <w:rsid w:val="28F057BA"/>
    <w:rsid w:val="28F05A06"/>
    <w:rsid w:val="28F07E2A"/>
    <w:rsid w:val="28F10011"/>
    <w:rsid w:val="28F11C08"/>
    <w:rsid w:val="28F14C0A"/>
    <w:rsid w:val="28F17E5A"/>
    <w:rsid w:val="28F214DC"/>
    <w:rsid w:val="28F25980"/>
    <w:rsid w:val="28F2772E"/>
    <w:rsid w:val="28F27F55"/>
    <w:rsid w:val="28F33BD2"/>
    <w:rsid w:val="28F33FB6"/>
    <w:rsid w:val="28F3503C"/>
    <w:rsid w:val="28F35E0C"/>
    <w:rsid w:val="28F37B29"/>
    <w:rsid w:val="28F416D1"/>
    <w:rsid w:val="28F416F8"/>
    <w:rsid w:val="28F45255"/>
    <w:rsid w:val="28F46B87"/>
    <w:rsid w:val="28F51CDD"/>
    <w:rsid w:val="28F549A9"/>
    <w:rsid w:val="28F54F83"/>
    <w:rsid w:val="28F56D36"/>
    <w:rsid w:val="28F57A16"/>
    <w:rsid w:val="28F63FCC"/>
    <w:rsid w:val="28F649AB"/>
    <w:rsid w:val="28F65471"/>
    <w:rsid w:val="28F6721F"/>
    <w:rsid w:val="28F73662"/>
    <w:rsid w:val="28F7439A"/>
    <w:rsid w:val="28F74D45"/>
    <w:rsid w:val="28F75082"/>
    <w:rsid w:val="28F75A9D"/>
    <w:rsid w:val="28F770FC"/>
    <w:rsid w:val="28F811E9"/>
    <w:rsid w:val="28F81577"/>
    <w:rsid w:val="28F822CB"/>
    <w:rsid w:val="28F82645"/>
    <w:rsid w:val="28F855AE"/>
    <w:rsid w:val="28F9286B"/>
    <w:rsid w:val="28F931A5"/>
    <w:rsid w:val="28F95A2D"/>
    <w:rsid w:val="28F95BE3"/>
    <w:rsid w:val="28F96D0F"/>
    <w:rsid w:val="28FA128F"/>
    <w:rsid w:val="28FA1F95"/>
    <w:rsid w:val="28FA34FB"/>
    <w:rsid w:val="28FA44DD"/>
    <w:rsid w:val="28FB1D31"/>
    <w:rsid w:val="28FB2A87"/>
    <w:rsid w:val="28FB4478"/>
    <w:rsid w:val="28FB4CB9"/>
    <w:rsid w:val="28FB5E0E"/>
    <w:rsid w:val="28FB65E3"/>
    <w:rsid w:val="28FC05AD"/>
    <w:rsid w:val="28FC18A0"/>
    <w:rsid w:val="28FC3BD8"/>
    <w:rsid w:val="28FD0E38"/>
    <w:rsid w:val="28FD1DD6"/>
    <w:rsid w:val="28FD2D11"/>
    <w:rsid w:val="28FD5204"/>
    <w:rsid w:val="28FD5866"/>
    <w:rsid w:val="28FD67A9"/>
    <w:rsid w:val="28FD67FF"/>
    <w:rsid w:val="28FD7176"/>
    <w:rsid w:val="28FE0B27"/>
    <w:rsid w:val="28FE2479"/>
    <w:rsid w:val="28FE2577"/>
    <w:rsid w:val="28FE3F52"/>
    <w:rsid w:val="28FE559F"/>
    <w:rsid w:val="28FE60D3"/>
    <w:rsid w:val="28FE7C39"/>
    <w:rsid w:val="28FF376E"/>
    <w:rsid w:val="28FF784C"/>
    <w:rsid w:val="29000578"/>
    <w:rsid w:val="29001E4B"/>
    <w:rsid w:val="29004B29"/>
    <w:rsid w:val="290105DD"/>
    <w:rsid w:val="29017971"/>
    <w:rsid w:val="2902261B"/>
    <w:rsid w:val="29023E15"/>
    <w:rsid w:val="29027A4A"/>
    <w:rsid w:val="2903193C"/>
    <w:rsid w:val="29034A4F"/>
    <w:rsid w:val="29037B8D"/>
    <w:rsid w:val="29045913"/>
    <w:rsid w:val="29051210"/>
    <w:rsid w:val="290517DE"/>
    <w:rsid w:val="29052D5C"/>
    <w:rsid w:val="29052F14"/>
    <w:rsid w:val="290556B4"/>
    <w:rsid w:val="29057925"/>
    <w:rsid w:val="29064F88"/>
    <w:rsid w:val="29065E5F"/>
    <w:rsid w:val="29067812"/>
    <w:rsid w:val="290731DA"/>
    <w:rsid w:val="290738BE"/>
    <w:rsid w:val="29074915"/>
    <w:rsid w:val="2907550B"/>
    <w:rsid w:val="29076AA4"/>
    <w:rsid w:val="290838BC"/>
    <w:rsid w:val="29084E49"/>
    <w:rsid w:val="290851A4"/>
    <w:rsid w:val="2908648D"/>
    <w:rsid w:val="290866C9"/>
    <w:rsid w:val="29093039"/>
    <w:rsid w:val="29093D0F"/>
    <w:rsid w:val="29096432"/>
    <w:rsid w:val="29097C65"/>
    <w:rsid w:val="290A0978"/>
    <w:rsid w:val="290A0DAD"/>
    <w:rsid w:val="290A2CCA"/>
    <w:rsid w:val="290A574F"/>
    <w:rsid w:val="290A61DC"/>
    <w:rsid w:val="290B630F"/>
    <w:rsid w:val="290C07F0"/>
    <w:rsid w:val="290C11E0"/>
    <w:rsid w:val="290C2200"/>
    <w:rsid w:val="290C4C94"/>
    <w:rsid w:val="290C52A9"/>
    <w:rsid w:val="290C5ADD"/>
    <w:rsid w:val="290C6D8D"/>
    <w:rsid w:val="290C7E14"/>
    <w:rsid w:val="290D629E"/>
    <w:rsid w:val="290D6316"/>
    <w:rsid w:val="290D6B50"/>
    <w:rsid w:val="290E328F"/>
    <w:rsid w:val="290E3413"/>
    <w:rsid w:val="290E772E"/>
    <w:rsid w:val="290F208E"/>
    <w:rsid w:val="290F6532"/>
    <w:rsid w:val="290F76A0"/>
    <w:rsid w:val="291002D1"/>
    <w:rsid w:val="2910101E"/>
    <w:rsid w:val="291052A1"/>
    <w:rsid w:val="2910535D"/>
    <w:rsid w:val="291122AA"/>
    <w:rsid w:val="29113694"/>
    <w:rsid w:val="29114058"/>
    <w:rsid w:val="291160AF"/>
    <w:rsid w:val="29123085"/>
    <w:rsid w:val="2912392D"/>
    <w:rsid w:val="29126403"/>
    <w:rsid w:val="29127DD1"/>
    <w:rsid w:val="291309CF"/>
    <w:rsid w:val="29133BEA"/>
    <w:rsid w:val="29141E5F"/>
    <w:rsid w:val="29143A7D"/>
    <w:rsid w:val="29143B49"/>
    <w:rsid w:val="2914516F"/>
    <w:rsid w:val="291476A5"/>
    <w:rsid w:val="29155D5D"/>
    <w:rsid w:val="29155EC0"/>
    <w:rsid w:val="291607CD"/>
    <w:rsid w:val="29163139"/>
    <w:rsid w:val="29164709"/>
    <w:rsid w:val="291678C1"/>
    <w:rsid w:val="29170DC4"/>
    <w:rsid w:val="29171B5D"/>
    <w:rsid w:val="29172D29"/>
    <w:rsid w:val="29177195"/>
    <w:rsid w:val="29181DA8"/>
    <w:rsid w:val="29183639"/>
    <w:rsid w:val="291925F2"/>
    <w:rsid w:val="29192F0D"/>
    <w:rsid w:val="29194841"/>
    <w:rsid w:val="29196B20"/>
    <w:rsid w:val="29197412"/>
    <w:rsid w:val="291A4422"/>
    <w:rsid w:val="291A4C28"/>
    <w:rsid w:val="291B0A33"/>
    <w:rsid w:val="291B318E"/>
    <w:rsid w:val="291B3DC4"/>
    <w:rsid w:val="291B4ED7"/>
    <w:rsid w:val="291B7FCC"/>
    <w:rsid w:val="291C2607"/>
    <w:rsid w:val="291C426C"/>
    <w:rsid w:val="291C47AB"/>
    <w:rsid w:val="291C5D93"/>
    <w:rsid w:val="291C7289"/>
    <w:rsid w:val="291C7A80"/>
    <w:rsid w:val="291D0C4F"/>
    <w:rsid w:val="291D157B"/>
    <w:rsid w:val="291D29FD"/>
    <w:rsid w:val="291D5EA7"/>
    <w:rsid w:val="291D7223"/>
    <w:rsid w:val="291D7D81"/>
    <w:rsid w:val="291E06B3"/>
    <w:rsid w:val="291E1A9E"/>
    <w:rsid w:val="291E22D1"/>
    <w:rsid w:val="291E2AE7"/>
    <w:rsid w:val="291E3AF6"/>
    <w:rsid w:val="291E49C7"/>
    <w:rsid w:val="291E67ED"/>
    <w:rsid w:val="291E7F6A"/>
    <w:rsid w:val="291F05F5"/>
    <w:rsid w:val="291F1B43"/>
    <w:rsid w:val="291F2393"/>
    <w:rsid w:val="291F4132"/>
    <w:rsid w:val="291F6303"/>
    <w:rsid w:val="2920092C"/>
    <w:rsid w:val="292024ED"/>
    <w:rsid w:val="2920604A"/>
    <w:rsid w:val="29207C04"/>
    <w:rsid w:val="29210CF2"/>
    <w:rsid w:val="29211DC2"/>
    <w:rsid w:val="292138FD"/>
    <w:rsid w:val="29217827"/>
    <w:rsid w:val="29220014"/>
    <w:rsid w:val="29226266"/>
    <w:rsid w:val="29230A5B"/>
    <w:rsid w:val="29233D8C"/>
    <w:rsid w:val="292340FD"/>
    <w:rsid w:val="29235EFF"/>
    <w:rsid w:val="29245707"/>
    <w:rsid w:val="29247012"/>
    <w:rsid w:val="292541A0"/>
    <w:rsid w:val="29254783"/>
    <w:rsid w:val="29254F2E"/>
    <w:rsid w:val="292575D1"/>
    <w:rsid w:val="292673D8"/>
    <w:rsid w:val="29267511"/>
    <w:rsid w:val="2927387C"/>
    <w:rsid w:val="292813A2"/>
    <w:rsid w:val="29285525"/>
    <w:rsid w:val="29290D2A"/>
    <w:rsid w:val="292913D1"/>
    <w:rsid w:val="292957D6"/>
    <w:rsid w:val="292A1264"/>
    <w:rsid w:val="292A336C"/>
    <w:rsid w:val="292A511A"/>
    <w:rsid w:val="292A5811"/>
    <w:rsid w:val="292A6C56"/>
    <w:rsid w:val="292B0388"/>
    <w:rsid w:val="292C0C81"/>
    <w:rsid w:val="292C0E92"/>
    <w:rsid w:val="292C20B9"/>
    <w:rsid w:val="292C2CB7"/>
    <w:rsid w:val="292C4103"/>
    <w:rsid w:val="292D0766"/>
    <w:rsid w:val="292D69B8"/>
    <w:rsid w:val="292D7B69"/>
    <w:rsid w:val="292E18CD"/>
    <w:rsid w:val="292E1CBD"/>
    <w:rsid w:val="292E2137"/>
    <w:rsid w:val="292E628F"/>
    <w:rsid w:val="292E6E4C"/>
    <w:rsid w:val="292F0982"/>
    <w:rsid w:val="292F1D99"/>
    <w:rsid w:val="292F2731"/>
    <w:rsid w:val="292F44DF"/>
    <w:rsid w:val="292F5F59"/>
    <w:rsid w:val="292F6DE3"/>
    <w:rsid w:val="29300748"/>
    <w:rsid w:val="29303D4D"/>
    <w:rsid w:val="29310257"/>
    <w:rsid w:val="29314DC9"/>
    <w:rsid w:val="293158D9"/>
    <w:rsid w:val="29323FCF"/>
    <w:rsid w:val="29326B29"/>
    <w:rsid w:val="29327086"/>
    <w:rsid w:val="29327670"/>
    <w:rsid w:val="2933095E"/>
    <w:rsid w:val="29330F5E"/>
    <w:rsid w:val="29331F79"/>
    <w:rsid w:val="29332221"/>
    <w:rsid w:val="29332774"/>
    <w:rsid w:val="29332EB8"/>
    <w:rsid w:val="29337116"/>
    <w:rsid w:val="29341AF5"/>
    <w:rsid w:val="293428D9"/>
    <w:rsid w:val="293454D0"/>
    <w:rsid w:val="29345F99"/>
    <w:rsid w:val="29346369"/>
    <w:rsid w:val="29347D47"/>
    <w:rsid w:val="293509E1"/>
    <w:rsid w:val="2935255C"/>
    <w:rsid w:val="29352C34"/>
    <w:rsid w:val="293534DF"/>
    <w:rsid w:val="29353D69"/>
    <w:rsid w:val="29357F20"/>
    <w:rsid w:val="29360E6C"/>
    <w:rsid w:val="29364207"/>
    <w:rsid w:val="2936586D"/>
    <w:rsid w:val="29371555"/>
    <w:rsid w:val="29374BB5"/>
    <w:rsid w:val="2937738F"/>
    <w:rsid w:val="29387837"/>
    <w:rsid w:val="293935AF"/>
    <w:rsid w:val="293952BB"/>
    <w:rsid w:val="29397597"/>
    <w:rsid w:val="29397B3B"/>
    <w:rsid w:val="293A1485"/>
    <w:rsid w:val="293A2377"/>
    <w:rsid w:val="293A4A0D"/>
    <w:rsid w:val="293A5A7B"/>
    <w:rsid w:val="293A7ADF"/>
    <w:rsid w:val="293B5684"/>
    <w:rsid w:val="293B72E5"/>
    <w:rsid w:val="293C1217"/>
    <w:rsid w:val="293C20AF"/>
    <w:rsid w:val="293C702E"/>
    <w:rsid w:val="293D20AD"/>
    <w:rsid w:val="293D24FB"/>
    <w:rsid w:val="293D26C6"/>
    <w:rsid w:val="293D29CD"/>
    <w:rsid w:val="293D309F"/>
    <w:rsid w:val="293D39E4"/>
    <w:rsid w:val="293D6C2D"/>
    <w:rsid w:val="293E1A26"/>
    <w:rsid w:val="293E21D3"/>
    <w:rsid w:val="293E2CF8"/>
    <w:rsid w:val="293F1297"/>
    <w:rsid w:val="293F301B"/>
    <w:rsid w:val="293F6D00"/>
    <w:rsid w:val="29400E7C"/>
    <w:rsid w:val="29401DFB"/>
    <w:rsid w:val="294025BD"/>
    <w:rsid w:val="2940387D"/>
    <w:rsid w:val="2940493E"/>
    <w:rsid w:val="294066EC"/>
    <w:rsid w:val="2940673B"/>
    <w:rsid w:val="294078A1"/>
    <w:rsid w:val="2942121D"/>
    <w:rsid w:val="29422755"/>
    <w:rsid w:val="29424212"/>
    <w:rsid w:val="2942459D"/>
    <w:rsid w:val="29424605"/>
    <w:rsid w:val="294258B9"/>
    <w:rsid w:val="29425ECB"/>
    <w:rsid w:val="2942714C"/>
    <w:rsid w:val="2943022A"/>
    <w:rsid w:val="294354A3"/>
    <w:rsid w:val="294361DC"/>
    <w:rsid w:val="29436A16"/>
    <w:rsid w:val="29437D47"/>
    <w:rsid w:val="294423CE"/>
    <w:rsid w:val="29444299"/>
    <w:rsid w:val="29450626"/>
    <w:rsid w:val="294510E3"/>
    <w:rsid w:val="29451ACF"/>
    <w:rsid w:val="29451F54"/>
    <w:rsid w:val="2945385E"/>
    <w:rsid w:val="29453D02"/>
    <w:rsid w:val="2946305E"/>
    <w:rsid w:val="29467DBC"/>
    <w:rsid w:val="2947183D"/>
    <w:rsid w:val="29472CB6"/>
    <w:rsid w:val="29473F34"/>
    <w:rsid w:val="29474B70"/>
    <w:rsid w:val="294807C5"/>
    <w:rsid w:val="29483E20"/>
    <w:rsid w:val="294855A0"/>
    <w:rsid w:val="29486F0C"/>
    <w:rsid w:val="29496A54"/>
    <w:rsid w:val="294A30C6"/>
    <w:rsid w:val="294A57BC"/>
    <w:rsid w:val="294A6988"/>
    <w:rsid w:val="294B34FB"/>
    <w:rsid w:val="294B5DB0"/>
    <w:rsid w:val="294B744D"/>
    <w:rsid w:val="294B7965"/>
    <w:rsid w:val="294C0B60"/>
    <w:rsid w:val="294C1D63"/>
    <w:rsid w:val="294C5091"/>
    <w:rsid w:val="294D6E8D"/>
    <w:rsid w:val="294E0E09"/>
    <w:rsid w:val="294E3480"/>
    <w:rsid w:val="294E705B"/>
    <w:rsid w:val="294E754B"/>
    <w:rsid w:val="294E7883"/>
    <w:rsid w:val="294F0B5E"/>
    <w:rsid w:val="294F2DD3"/>
    <w:rsid w:val="294F74E1"/>
    <w:rsid w:val="29500971"/>
    <w:rsid w:val="295015EA"/>
    <w:rsid w:val="29505CDF"/>
    <w:rsid w:val="29506DBA"/>
    <w:rsid w:val="2951429B"/>
    <w:rsid w:val="295201CD"/>
    <w:rsid w:val="29522306"/>
    <w:rsid w:val="29523F2F"/>
    <w:rsid w:val="29524099"/>
    <w:rsid w:val="295321C3"/>
    <w:rsid w:val="29534671"/>
    <w:rsid w:val="2953641F"/>
    <w:rsid w:val="29537310"/>
    <w:rsid w:val="295403E9"/>
    <w:rsid w:val="295472F2"/>
    <w:rsid w:val="29550541"/>
    <w:rsid w:val="29551D04"/>
    <w:rsid w:val="29552E08"/>
    <w:rsid w:val="29557219"/>
    <w:rsid w:val="29564161"/>
    <w:rsid w:val="295720AA"/>
    <w:rsid w:val="295720EF"/>
    <w:rsid w:val="29576619"/>
    <w:rsid w:val="29577404"/>
    <w:rsid w:val="29580844"/>
    <w:rsid w:val="29581C87"/>
    <w:rsid w:val="29586614"/>
    <w:rsid w:val="29593565"/>
    <w:rsid w:val="29597C49"/>
    <w:rsid w:val="295A1878"/>
    <w:rsid w:val="295A1AC3"/>
    <w:rsid w:val="295A2ACD"/>
    <w:rsid w:val="295A44EE"/>
    <w:rsid w:val="295A5D35"/>
    <w:rsid w:val="295B251D"/>
    <w:rsid w:val="295B3290"/>
    <w:rsid w:val="295B3526"/>
    <w:rsid w:val="295B42EB"/>
    <w:rsid w:val="295B52D4"/>
    <w:rsid w:val="295B71C5"/>
    <w:rsid w:val="295C2CC6"/>
    <w:rsid w:val="295C4F99"/>
    <w:rsid w:val="295D104C"/>
    <w:rsid w:val="295D2D9B"/>
    <w:rsid w:val="295D44F6"/>
    <w:rsid w:val="295D54F0"/>
    <w:rsid w:val="295D729E"/>
    <w:rsid w:val="295E2F75"/>
    <w:rsid w:val="295E4DC4"/>
    <w:rsid w:val="295E52C5"/>
    <w:rsid w:val="295F66E2"/>
    <w:rsid w:val="295F6FD6"/>
    <w:rsid w:val="295F7D8A"/>
    <w:rsid w:val="29600466"/>
    <w:rsid w:val="29600B3C"/>
    <w:rsid w:val="29602288"/>
    <w:rsid w:val="296026BE"/>
    <w:rsid w:val="296028EA"/>
    <w:rsid w:val="29606D8E"/>
    <w:rsid w:val="2961139A"/>
    <w:rsid w:val="29612E95"/>
    <w:rsid w:val="29621F0F"/>
    <w:rsid w:val="2962296F"/>
    <w:rsid w:val="296244C7"/>
    <w:rsid w:val="296248B4"/>
    <w:rsid w:val="29627F95"/>
    <w:rsid w:val="29631414"/>
    <w:rsid w:val="296323DA"/>
    <w:rsid w:val="29636D00"/>
    <w:rsid w:val="296410AA"/>
    <w:rsid w:val="29642175"/>
    <w:rsid w:val="296445FA"/>
    <w:rsid w:val="2964687E"/>
    <w:rsid w:val="29646B70"/>
    <w:rsid w:val="29647100"/>
    <w:rsid w:val="296527A7"/>
    <w:rsid w:val="296543A4"/>
    <w:rsid w:val="29655396"/>
    <w:rsid w:val="29656152"/>
    <w:rsid w:val="29663529"/>
    <w:rsid w:val="2967011C"/>
    <w:rsid w:val="29671ECA"/>
    <w:rsid w:val="29673C78"/>
    <w:rsid w:val="29684DA6"/>
    <w:rsid w:val="29685A75"/>
    <w:rsid w:val="29687FF7"/>
    <w:rsid w:val="29690CEC"/>
    <w:rsid w:val="296917C9"/>
    <w:rsid w:val="29694D3F"/>
    <w:rsid w:val="29694F37"/>
    <w:rsid w:val="29695BC0"/>
    <w:rsid w:val="29695C42"/>
    <w:rsid w:val="296A15EB"/>
    <w:rsid w:val="296A5517"/>
    <w:rsid w:val="296A5695"/>
    <w:rsid w:val="296A6EEE"/>
    <w:rsid w:val="296B10B5"/>
    <w:rsid w:val="296B1503"/>
    <w:rsid w:val="296B4551"/>
    <w:rsid w:val="296B459A"/>
    <w:rsid w:val="296B5579"/>
    <w:rsid w:val="296C014A"/>
    <w:rsid w:val="296C1AB5"/>
    <w:rsid w:val="296C57C7"/>
    <w:rsid w:val="296C74E1"/>
    <w:rsid w:val="296D1153"/>
    <w:rsid w:val="296D2A53"/>
    <w:rsid w:val="296D3EAE"/>
    <w:rsid w:val="296D76AD"/>
    <w:rsid w:val="296E03FD"/>
    <w:rsid w:val="296E14AB"/>
    <w:rsid w:val="296E1B85"/>
    <w:rsid w:val="296E3259"/>
    <w:rsid w:val="296E49F2"/>
    <w:rsid w:val="296E4A83"/>
    <w:rsid w:val="296E7311"/>
    <w:rsid w:val="296E762D"/>
    <w:rsid w:val="296F0FEE"/>
    <w:rsid w:val="296F27F7"/>
    <w:rsid w:val="296F5223"/>
    <w:rsid w:val="296F6419"/>
    <w:rsid w:val="296F6FD1"/>
    <w:rsid w:val="29701E5B"/>
    <w:rsid w:val="2970538A"/>
    <w:rsid w:val="29706716"/>
    <w:rsid w:val="29707F5B"/>
    <w:rsid w:val="29710054"/>
    <w:rsid w:val="29711FD4"/>
    <w:rsid w:val="29712D49"/>
    <w:rsid w:val="297139CB"/>
    <w:rsid w:val="297168A5"/>
    <w:rsid w:val="297168BF"/>
    <w:rsid w:val="29721909"/>
    <w:rsid w:val="2973086F"/>
    <w:rsid w:val="2973261D"/>
    <w:rsid w:val="29735064"/>
    <w:rsid w:val="29736AC1"/>
    <w:rsid w:val="297401F9"/>
    <w:rsid w:val="2974154E"/>
    <w:rsid w:val="29743CE4"/>
    <w:rsid w:val="29746395"/>
    <w:rsid w:val="297472F8"/>
    <w:rsid w:val="29752839"/>
    <w:rsid w:val="29753FA3"/>
    <w:rsid w:val="29756622"/>
    <w:rsid w:val="29756EA4"/>
    <w:rsid w:val="2976210D"/>
    <w:rsid w:val="29763EBB"/>
    <w:rsid w:val="29771527"/>
    <w:rsid w:val="29772CCF"/>
    <w:rsid w:val="29785E86"/>
    <w:rsid w:val="29791BFE"/>
    <w:rsid w:val="297A1C52"/>
    <w:rsid w:val="297A5D39"/>
    <w:rsid w:val="297B3BC8"/>
    <w:rsid w:val="297B506E"/>
    <w:rsid w:val="297B51F1"/>
    <w:rsid w:val="297B5976"/>
    <w:rsid w:val="297B7724"/>
    <w:rsid w:val="297C1FE4"/>
    <w:rsid w:val="297C253F"/>
    <w:rsid w:val="297C259A"/>
    <w:rsid w:val="297C2646"/>
    <w:rsid w:val="297C4DA2"/>
    <w:rsid w:val="297D16EE"/>
    <w:rsid w:val="297D3342"/>
    <w:rsid w:val="297D524A"/>
    <w:rsid w:val="297E255F"/>
    <w:rsid w:val="297E5D08"/>
    <w:rsid w:val="297E7214"/>
    <w:rsid w:val="297E78BC"/>
    <w:rsid w:val="297F2513"/>
    <w:rsid w:val="29802F8C"/>
    <w:rsid w:val="29803678"/>
    <w:rsid w:val="2981131F"/>
    <w:rsid w:val="29814164"/>
    <w:rsid w:val="29814AEC"/>
    <w:rsid w:val="29815542"/>
    <w:rsid w:val="29815EA6"/>
    <w:rsid w:val="29817121"/>
    <w:rsid w:val="29820AB2"/>
    <w:rsid w:val="29820BD0"/>
    <w:rsid w:val="29821B8D"/>
    <w:rsid w:val="29822370"/>
    <w:rsid w:val="2982436F"/>
    <w:rsid w:val="29824F56"/>
    <w:rsid w:val="298250A2"/>
    <w:rsid w:val="298309EF"/>
    <w:rsid w:val="29830DAB"/>
    <w:rsid w:val="29835D62"/>
    <w:rsid w:val="29835DCB"/>
    <w:rsid w:val="298365D8"/>
    <w:rsid w:val="29837884"/>
    <w:rsid w:val="29842A21"/>
    <w:rsid w:val="29842A7C"/>
    <w:rsid w:val="2984482A"/>
    <w:rsid w:val="29846146"/>
    <w:rsid w:val="298505A2"/>
    <w:rsid w:val="29851FBF"/>
    <w:rsid w:val="29852351"/>
    <w:rsid w:val="29854780"/>
    <w:rsid w:val="29857BA6"/>
    <w:rsid w:val="29864199"/>
    <w:rsid w:val="29864B27"/>
    <w:rsid w:val="298669F9"/>
    <w:rsid w:val="2987256D"/>
    <w:rsid w:val="2987274B"/>
    <w:rsid w:val="2987431B"/>
    <w:rsid w:val="29881C38"/>
    <w:rsid w:val="29885DD4"/>
    <w:rsid w:val="29890093"/>
    <w:rsid w:val="29890DEF"/>
    <w:rsid w:val="29891E41"/>
    <w:rsid w:val="29892243"/>
    <w:rsid w:val="298939BF"/>
    <w:rsid w:val="298962E5"/>
    <w:rsid w:val="29897672"/>
    <w:rsid w:val="298A1BD1"/>
    <w:rsid w:val="298A43B2"/>
    <w:rsid w:val="298A4C33"/>
    <w:rsid w:val="298A7967"/>
    <w:rsid w:val="298B1855"/>
    <w:rsid w:val="298B371E"/>
    <w:rsid w:val="298B4B63"/>
    <w:rsid w:val="298B549C"/>
    <w:rsid w:val="298B6156"/>
    <w:rsid w:val="298B754F"/>
    <w:rsid w:val="298C008B"/>
    <w:rsid w:val="298C1D11"/>
    <w:rsid w:val="298C36DF"/>
    <w:rsid w:val="298C48EB"/>
    <w:rsid w:val="298C7B83"/>
    <w:rsid w:val="298D4671"/>
    <w:rsid w:val="298E14F5"/>
    <w:rsid w:val="298E2054"/>
    <w:rsid w:val="298E32CD"/>
    <w:rsid w:val="298E46B0"/>
    <w:rsid w:val="298E473A"/>
    <w:rsid w:val="298E59BD"/>
    <w:rsid w:val="298E7457"/>
    <w:rsid w:val="298F14DB"/>
    <w:rsid w:val="298F1738"/>
    <w:rsid w:val="298F4F7D"/>
    <w:rsid w:val="298F5964"/>
    <w:rsid w:val="2991052B"/>
    <w:rsid w:val="29910E07"/>
    <w:rsid w:val="29911D54"/>
    <w:rsid w:val="29911EB8"/>
    <w:rsid w:val="29915195"/>
    <w:rsid w:val="29915199"/>
    <w:rsid w:val="2991747E"/>
    <w:rsid w:val="29921E65"/>
    <w:rsid w:val="29923B03"/>
    <w:rsid w:val="29925F41"/>
    <w:rsid w:val="29934EB5"/>
    <w:rsid w:val="2993607C"/>
    <w:rsid w:val="299407E6"/>
    <w:rsid w:val="29941286"/>
    <w:rsid w:val="299415C9"/>
    <w:rsid w:val="29944EB8"/>
    <w:rsid w:val="29946A38"/>
    <w:rsid w:val="299507E6"/>
    <w:rsid w:val="2995346F"/>
    <w:rsid w:val="29954099"/>
    <w:rsid w:val="2995444D"/>
    <w:rsid w:val="299555D3"/>
    <w:rsid w:val="29955C15"/>
    <w:rsid w:val="299577BB"/>
    <w:rsid w:val="299627B0"/>
    <w:rsid w:val="29962EB3"/>
    <w:rsid w:val="29966264"/>
    <w:rsid w:val="29966CB6"/>
    <w:rsid w:val="299707E0"/>
    <w:rsid w:val="29974ECC"/>
    <w:rsid w:val="29983465"/>
    <w:rsid w:val="2998418E"/>
    <w:rsid w:val="29985CD7"/>
    <w:rsid w:val="29986C5C"/>
    <w:rsid w:val="29987343"/>
    <w:rsid w:val="29990192"/>
    <w:rsid w:val="2999027F"/>
    <w:rsid w:val="299916BD"/>
    <w:rsid w:val="29994F84"/>
    <w:rsid w:val="29997709"/>
    <w:rsid w:val="299A22A0"/>
    <w:rsid w:val="299A4C78"/>
    <w:rsid w:val="299A5578"/>
    <w:rsid w:val="299A55E6"/>
    <w:rsid w:val="299A56F7"/>
    <w:rsid w:val="299A62B3"/>
    <w:rsid w:val="299B04DF"/>
    <w:rsid w:val="299B2161"/>
    <w:rsid w:val="299B2FFF"/>
    <w:rsid w:val="299B54DA"/>
    <w:rsid w:val="299B6018"/>
    <w:rsid w:val="299C2AAA"/>
    <w:rsid w:val="299D4DD1"/>
    <w:rsid w:val="299E0091"/>
    <w:rsid w:val="299E1B49"/>
    <w:rsid w:val="299E231A"/>
    <w:rsid w:val="299E3412"/>
    <w:rsid w:val="299E6B6C"/>
    <w:rsid w:val="299F0032"/>
    <w:rsid w:val="299F1624"/>
    <w:rsid w:val="299F1664"/>
    <w:rsid w:val="299F1938"/>
    <w:rsid w:val="299F2A0F"/>
    <w:rsid w:val="299F2E39"/>
    <w:rsid w:val="299F4754"/>
    <w:rsid w:val="299F4F6D"/>
    <w:rsid w:val="299F5316"/>
    <w:rsid w:val="299F78B6"/>
    <w:rsid w:val="29A007AA"/>
    <w:rsid w:val="29A0156E"/>
    <w:rsid w:val="29A01963"/>
    <w:rsid w:val="29A0362E"/>
    <w:rsid w:val="29A0718A"/>
    <w:rsid w:val="29A104CA"/>
    <w:rsid w:val="29A11B65"/>
    <w:rsid w:val="29A21880"/>
    <w:rsid w:val="29A22F02"/>
    <w:rsid w:val="29A2327E"/>
    <w:rsid w:val="29A23927"/>
    <w:rsid w:val="29A365D6"/>
    <w:rsid w:val="29A45DEA"/>
    <w:rsid w:val="29A46C7B"/>
    <w:rsid w:val="29A47A93"/>
    <w:rsid w:val="29A50C45"/>
    <w:rsid w:val="29A529F3"/>
    <w:rsid w:val="29A547A1"/>
    <w:rsid w:val="29A55424"/>
    <w:rsid w:val="29A5570A"/>
    <w:rsid w:val="29A56498"/>
    <w:rsid w:val="29A635F0"/>
    <w:rsid w:val="29A63E4B"/>
    <w:rsid w:val="29A71D35"/>
    <w:rsid w:val="29A7434E"/>
    <w:rsid w:val="29A74372"/>
    <w:rsid w:val="29A749BD"/>
    <w:rsid w:val="29A74DC2"/>
    <w:rsid w:val="29A74E52"/>
    <w:rsid w:val="29A75785"/>
    <w:rsid w:val="29A7676B"/>
    <w:rsid w:val="29A77AE1"/>
    <w:rsid w:val="29A802DB"/>
    <w:rsid w:val="29A808AE"/>
    <w:rsid w:val="29A81072"/>
    <w:rsid w:val="29A812EF"/>
    <w:rsid w:val="29A81AA0"/>
    <w:rsid w:val="29A81B2F"/>
    <w:rsid w:val="29A81B34"/>
    <w:rsid w:val="29A83499"/>
    <w:rsid w:val="29A900EC"/>
    <w:rsid w:val="29A93119"/>
    <w:rsid w:val="29A938F7"/>
    <w:rsid w:val="29A94291"/>
    <w:rsid w:val="29A9603F"/>
    <w:rsid w:val="29AA1DB7"/>
    <w:rsid w:val="29AA244C"/>
    <w:rsid w:val="29AB36E3"/>
    <w:rsid w:val="29AB38A2"/>
    <w:rsid w:val="29AB414D"/>
    <w:rsid w:val="29AB625B"/>
    <w:rsid w:val="29AC1432"/>
    <w:rsid w:val="29AC2DA8"/>
    <w:rsid w:val="29AC3D81"/>
    <w:rsid w:val="29AD3926"/>
    <w:rsid w:val="29AD5735"/>
    <w:rsid w:val="29AD68FB"/>
    <w:rsid w:val="29AD7F74"/>
    <w:rsid w:val="29AE01C0"/>
    <w:rsid w:val="29AE18A7"/>
    <w:rsid w:val="29AE4004"/>
    <w:rsid w:val="29AE5D4B"/>
    <w:rsid w:val="29AE635D"/>
    <w:rsid w:val="29AF06F6"/>
    <w:rsid w:val="29AF073D"/>
    <w:rsid w:val="29AF495B"/>
    <w:rsid w:val="29AF561F"/>
    <w:rsid w:val="29AF64B7"/>
    <w:rsid w:val="29AF73CD"/>
    <w:rsid w:val="29B03871"/>
    <w:rsid w:val="29B1237D"/>
    <w:rsid w:val="29B13146"/>
    <w:rsid w:val="29B17C80"/>
    <w:rsid w:val="29B22C28"/>
    <w:rsid w:val="29B26663"/>
    <w:rsid w:val="29B3119E"/>
    <w:rsid w:val="29B33362"/>
    <w:rsid w:val="29B34553"/>
    <w:rsid w:val="29B35110"/>
    <w:rsid w:val="29B36EBE"/>
    <w:rsid w:val="29B4318F"/>
    <w:rsid w:val="29B449DF"/>
    <w:rsid w:val="29B51CA6"/>
    <w:rsid w:val="29B6075C"/>
    <w:rsid w:val="29B61260"/>
    <w:rsid w:val="29B67B1F"/>
    <w:rsid w:val="29B705B3"/>
    <w:rsid w:val="29B729B5"/>
    <w:rsid w:val="29B73DF7"/>
    <w:rsid w:val="29B761DE"/>
    <w:rsid w:val="29B7714B"/>
    <w:rsid w:val="29B80978"/>
    <w:rsid w:val="29B81CD4"/>
    <w:rsid w:val="29B8308C"/>
    <w:rsid w:val="29B844F5"/>
    <w:rsid w:val="29B84D35"/>
    <w:rsid w:val="29B84EE0"/>
    <w:rsid w:val="29B860A1"/>
    <w:rsid w:val="29B87458"/>
    <w:rsid w:val="29B92752"/>
    <w:rsid w:val="29B950D3"/>
    <w:rsid w:val="29B95882"/>
    <w:rsid w:val="29BA08CD"/>
    <w:rsid w:val="29BA46DC"/>
    <w:rsid w:val="29BA46F0"/>
    <w:rsid w:val="29BA4F3E"/>
    <w:rsid w:val="29BA6378"/>
    <w:rsid w:val="29BA649E"/>
    <w:rsid w:val="29BA6A07"/>
    <w:rsid w:val="29BB2216"/>
    <w:rsid w:val="29BB2CC4"/>
    <w:rsid w:val="29BB3FC4"/>
    <w:rsid w:val="29BB5D72"/>
    <w:rsid w:val="29BC1717"/>
    <w:rsid w:val="29BC6687"/>
    <w:rsid w:val="29BC72DC"/>
    <w:rsid w:val="29BD3321"/>
    <w:rsid w:val="29BD46BA"/>
    <w:rsid w:val="29BD4E21"/>
    <w:rsid w:val="29BD5F8E"/>
    <w:rsid w:val="29BD7D3C"/>
    <w:rsid w:val="29BE11DA"/>
    <w:rsid w:val="29BE1D2E"/>
    <w:rsid w:val="29BE79F2"/>
    <w:rsid w:val="29BF1D06"/>
    <w:rsid w:val="29BF232E"/>
    <w:rsid w:val="29BF7A4F"/>
    <w:rsid w:val="29C00179"/>
    <w:rsid w:val="29C015DB"/>
    <w:rsid w:val="29C01C8C"/>
    <w:rsid w:val="29C04759"/>
    <w:rsid w:val="29C0782D"/>
    <w:rsid w:val="29C11A47"/>
    <w:rsid w:val="29C1453B"/>
    <w:rsid w:val="29C15A7E"/>
    <w:rsid w:val="29C235A5"/>
    <w:rsid w:val="29C236CA"/>
    <w:rsid w:val="29C25353"/>
    <w:rsid w:val="29C27101"/>
    <w:rsid w:val="29C30530"/>
    <w:rsid w:val="29C30D82"/>
    <w:rsid w:val="29C32F4A"/>
    <w:rsid w:val="29C42123"/>
    <w:rsid w:val="29C42A2C"/>
    <w:rsid w:val="29C42E79"/>
    <w:rsid w:val="29C43EF7"/>
    <w:rsid w:val="29C46097"/>
    <w:rsid w:val="29C46CBB"/>
    <w:rsid w:val="29C509CB"/>
    <w:rsid w:val="29C53852"/>
    <w:rsid w:val="29C546A2"/>
    <w:rsid w:val="29C55347"/>
    <w:rsid w:val="29C55789"/>
    <w:rsid w:val="29C56BF1"/>
    <w:rsid w:val="29C570E7"/>
    <w:rsid w:val="29C57256"/>
    <w:rsid w:val="29C572DF"/>
    <w:rsid w:val="29C63095"/>
    <w:rsid w:val="29C70BBB"/>
    <w:rsid w:val="29C71016"/>
    <w:rsid w:val="29C71B88"/>
    <w:rsid w:val="29C72969"/>
    <w:rsid w:val="29C75ACA"/>
    <w:rsid w:val="29C76476"/>
    <w:rsid w:val="29C774F8"/>
    <w:rsid w:val="29C8675B"/>
    <w:rsid w:val="29C86C78"/>
    <w:rsid w:val="29C9048F"/>
    <w:rsid w:val="29C90721"/>
    <w:rsid w:val="29C93B62"/>
    <w:rsid w:val="29C94933"/>
    <w:rsid w:val="29C94B05"/>
    <w:rsid w:val="29CA0454"/>
    <w:rsid w:val="29CA0B4A"/>
    <w:rsid w:val="29CA3741"/>
    <w:rsid w:val="29CA4A8B"/>
    <w:rsid w:val="29CB65D2"/>
    <w:rsid w:val="29CC0911"/>
    <w:rsid w:val="29CC2523"/>
    <w:rsid w:val="29CC3486"/>
    <w:rsid w:val="29CC4423"/>
    <w:rsid w:val="29CC61D1"/>
    <w:rsid w:val="29CD0604"/>
    <w:rsid w:val="29CD1C30"/>
    <w:rsid w:val="29CD2123"/>
    <w:rsid w:val="29CD77FD"/>
    <w:rsid w:val="29CE019B"/>
    <w:rsid w:val="29CE5CD6"/>
    <w:rsid w:val="29CF4630"/>
    <w:rsid w:val="29CF6862"/>
    <w:rsid w:val="29D00ABE"/>
    <w:rsid w:val="29D01647"/>
    <w:rsid w:val="29D03297"/>
    <w:rsid w:val="29D071BC"/>
    <w:rsid w:val="29D07A70"/>
    <w:rsid w:val="29D11A3A"/>
    <w:rsid w:val="29D137E8"/>
    <w:rsid w:val="29D17C09"/>
    <w:rsid w:val="29D17EA4"/>
    <w:rsid w:val="29D25BB7"/>
    <w:rsid w:val="29D25C20"/>
    <w:rsid w:val="29D25C62"/>
    <w:rsid w:val="29D26889"/>
    <w:rsid w:val="29D27064"/>
    <w:rsid w:val="29D27232"/>
    <w:rsid w:val="29D272F8"/>
    <w:rsid w:val="29D3071B"/>
    <w:rsid w:val="29D30788"/>
    <w:rsid w:val="29D308D1"/>
    <w:rsid w:val="29D3130E"/>
    <w:rsid w:val="29D33359"/>
    <w:rsid w:val="29D33861"/>
    <w:rsid w:val="29D357B2"/>
    <w:rsid w:val="29D35C3E"/>
    <w:rsid w:val="29D37560"/>
    <w:rsid w:val="29D427D2"/>
    <w:rsid w:val="29D522F8"/>
    <w:rsid w:val="29D52C67"/>
    <w:rsid w:val="29D532D8"/>
    <w:rsid w:val="29D55CBF"/>
    <w:rsid w:val="29D55EC9"/>
    <w:rsid w:val="29D566A1"/>
    <w:rsid w:val="29D616C9"/>
    <w:rsid w:val="29D66140"/>
    <w:rsid w:val="29D67BC9"/>
    <w:rsid w:val="29D71CDA"/>
    <w:rsid w:val="29D73173"/>
    <w:rsid w:val="29D76564"/>
    <w:rsid w:val="29D765B5"/>
    <w:rsid w:val="29D807F5"/>
    <w:rsid w:val="29D81A29"/>
    <w:rsid w:val="29D82DC8"/>
    <w:rsid w:val="29D84B76"/>
    <w:rsid w:val="29D92124"/>
    <w:rsid w:val="29D92665"/>
    <w:rsid w:val="29D96DB7"/>
    <w:rsid w:val="29D97AF4"/>
    <w:rsid w:val="29D97CF9"/>
    <w:rsid w:val="29DA20F5"/>
    <w:rsid w:val="29DA5A8A"/>
    <w:rsid w:val="29DB01C2"/>
    <w:rsid w:val="29DB0704"/>
    <w:rsid w:val="29DB0B11"/>
    <w:rsid w:val="29DB1FDC"/>
    <w:rsid w:val="29DB4666"/>
    <w:rsid w:val="29DB6414"/>
    <w:rsid w:val="29DB6BAC"/>
    <w:rsid w:val="29DB7C1C"/>
    <w:rsid w:val="29DC0D19"/>
    <w:rsid w:val="29DC556C"/>
    <w:rsid w:val="29DD03DE"/>
    <w:rsid w:val="29DD13F4"/>
    <w:rsid w:val="29DD218D"/>
    <w:rsid w:val="29DD3F3B"/>
    <w:rsid w:val="29DD72E4"/>
    <w:rsid w:val="29DD7DE6"/>
    <w:rsid w:val="29DE046C"/>
    <w:rsid w:val="29DE38F9"/>
    <w:rsid w:val="29DE790D"/>
    <w:rsid w:val="29DF0F3D"/>
    <w:rsid w:val="29DF3001"/>
    <w:rsid w:val="29DF417C"/>
    <w:rsid w:val="29DF5641"/>
    <w:rsid w:val="29DF6D2B"/>
    <w:rsid w:val="29E001BB"/>
    <w:rsid w:val="29E03A2B"/>
    <w:rsid w:val="29E06192"/>
    <w:rsid w:val="29E11C7D"/>
    <w:rsid w:val="29E12E41"/>
    <w:rsid w:val="29E13943"/>
    <w:rsid w:val="29E1421C"/>
    <w:rsid w:val="29E14238"/>
    <w:rsid w:val="29E21551"/>
    <w:rsid w:val="29E259F5"/>
    <w:rsid w:val="29E277A3"/>
    <w:rsid w:val="29E3027D"/>
    <w:rsid w:val="29E308C3"/>
    <w:rsid w:val="29E35AF8"/>
    <w:rsid w:val="29E4351B"/>
    <w:rsid w:val="29E452C9"/>
    <w:rsid w:val="29E55038"/>
    <w:rsid w:val="29E63B53"/>
    <w:rsid w:val="29E65494"/>
    <w:rsid w:val="29E654E5"/>
    <w:rsid w:val="29E66BFE"/>
    <w:rsid w:val="29E70903"/>
    <w:rsid w:val="29E7200B"/>
    <w:rsid w:val="29E72947"/>
    <w:rsid w:val="29E7300B"/>
    <w:rsid w:val="29E75E48"/>
    <w:rsid w:val="29E83B6B"/>
    <w:rsid w:val="29E87055"/>
    <w:rsid w:val="29E92ACA"/>
    <w:rsid w:val="29E96D83"/>
    <w:rsid w:val="29EA3E3E"/>
    <w:rsid w:val="29EA6D90"/>
    <w:rsid w:val="29EB1F5B"/>
    <w:rsid w:val="29EB200C"/>
    <w:rsid w:val="29EB2AFB"/>
    <w:rsid w:val="29EB336E"/>
    <w:rsid w:val="29EB3AF1"/>
    <w:rsid w:val="29EB48A9"/>
    <w:rsid w:val="29EB6C0A"/>
    <w:rsid w:val="29EB738B"/>
    <w:rsid w:val="29EC0622"/>
    <w:rsid w:val="29EC132F"/>
    <w:rsid w:val="29EC23D0"/>
    <w:rsid w:val="29EC30CE"/>
    <w:rsid w:val="29EC651E"/>
    <w:rsid w:val="29EC6874"/>
    <w:rsid w:val="29ED1086"/>
    <w:rsid w:val="29ED432E"/>
    <w:rsid w:val="29ED4A29"/>
    <w:rsid w:val="29EE439A"/>
    <w:rsid w:val="29EE43FF"/>
    <w:rsid w:val="29EE5390"/>
    <w:rsid w:val="29EE6148"/>
    <w:rsid w:val="29EE7EF6"/>
    <w:rsid w:val="29EF13F1"/>
    <w:rsid w:val="29EF3C6E"/>
    <w:rsid w:val="29EF576F"/>
    <w:rsid w:val="29F02881"/>
    <w:rsid w:val="29F04E05"/>
    <w:rsid w:val="29F13ECC"/>
    <w:rsid w:val="29F14408"/>
    <w:rsid w:val="29F15A82"/>
    <w:rsid w:val="29F15C38"/>
    <w:rsid w:val="29F179E6"/>
    <w:rsid w:val="29F20467"/>
    <w:rsid w:val="29F2143E"/>
    <w:rsid w:val="29F22F85"/>
    <w:rsid w:val="29F232F0"/>
    <w:rsid w:val="29F234A6"/>
    <w:rsid w:val="29F319B0"/>
    <w:rsid w:val="29F31FEA"/>
    <w:rsid w:val="29F33708"/>
    <w:rsid w:val="29F3375E"/>
    <w:rsid w:val="29F4691B"/>
    <w:rsid w:val="29F46E8A"/>
    <w:rsid w:val="29F51284"/>
    <w:rsid w:val="29F55728"/>
    <w:rsid w:val="29F5733B"/>
    <w:rsid w:val="29F60639"/>
    <w:rsid w:val="29F64FFC"/>
    <w:rsid w:val="29F666F3"/>
    <w:rsid w:val="29F70B83"/>
    <w:rsid w:val="29F714A0"/>
    <w:rsid w:val="29F72D98"/>
    <w:rsid w:val="29F76386"/>
    <w:rsid w:val="29F80D74"/>
    <w:rsid w:val="29F838D5"/>
    <w:rsid w:val="29F83E68"/>
    <w:rsid w:val="29F86AB0"/>
    <w:rsid w:val="29F93E4E"/>
    <w:rsid w:val="29FA0F90"/>
    <w:rsid w:val="29FB0865"/>
    <w:rsid w:val="29FB118C"/>
    <w:rsid w:val="29FB2613"/>
    <w:rsid w:val="29FB5603"/>
    <w:rsid w:val="29FB6282"/>
    <w:rsid w:val="29FC09B9"/>
    <w:rsid w:val="29FC6B50"/>
    <w:rsid w:val="29FD282F"/>
    <w:rsid w:val="29FD45DD"/>
    <w:rsid w:val="29FD638B"/>
    <w:rsid w:val="29FE0976"/>
    <w:rsid w:val="29FE1275"/>
    <w:rsid w:val="29FE13CE"/>
    <w:rsid w:val="29FE3744"/>
    <w:rsid w:val="29FE3900"/>
    <w:rsid w:val="29FE4179"/>
    <w:rsid w:val="29FE4E85"/>
    <w:rsid w:val="29FE631A"/>
    <w:rsid w:val="29FF0355"/>
    <w:rsid w:val="29FF2608"/>
    <w:rsid w:val="29FF5FEC"/>
    <w:rsid w:val="29FF65A7"/>
    <w:rsid w:val="29FF6A17"/>
    <w:rsid w:val="2A0018C6"/>
    <w:rsid w:val="2A002376"/>
    <w:rsid w:val="2A0032D6"/>
    <w:rsid w:val="2A003818"/>
    <w:rsid w:val="2A005E7B"/>
    <w:rsid w:val="2A007C29"/>
    <w:rsid w:val="2A011158"/>
    <w:rsid w:val="2A013806"/>
    <w:rsid w:val="2A0140CD"/>
    <w:rsid w:val="2A0168E3"/>
    <w:rsid w:val="2A021BF3"/>
    <w:rsid w:val="2A027E45"/>
    <w:rsid w:val="2A031342"/>
    <w:rsid w:val="2A0340FC"/>
    <w:rsid w:val="2A034F5C"/>
    <w:rsid w:val="2A035265"/>
    <w:rsid w:val="2A037EA9"/>
    <w:rsid w:val="2A040CF7"/>
    <w:rsid w:val="2A04342A"/>
    <w:rsid w:val="2A043BBD"/>
    <w:rsid w:val="2A04596B"/>
    <w:rsid w:val="2A045E3E"/>
    <w:rsid w:val="2A047719"/>
    <w:rsid w:val="2A053F42"/>
    <w:rsid w:val="2A056B63"/>
    <w:rsid w:val="2A057BD2"/>
    <w:rsid w:val="2A06004F"/>
    <w:rsid w:val="2A062DFB"/>
    <w:rsid w:val="2A063491"/>
    <w:rsid w:val="2A063FD5"/>
    <w:rsid w:val="2A064A9C"/>
    <w:rsid w:val="2A065830"/>
    <w:rsid w:val="2A0661D7"/>
    <w:rsid w:val="2A07343A"/>
    <w:rsid w:val="2A075CEA"/>
    <w:rsid w:val="2A0761BF"/>
    <w:rsid w:val="2A08014D"/>
    <w:rsid w:val="2A08467E"/>
    <w:rsid w:val="2A092F82"/>
    <w:rsid w:val="2A0B0A94"/>
    <w:rsid w:val="2A0B6CFA"/>
    <w:rsid w:val="2A0B7489"/>
    <w:rsid w:val="2A0C2A72"/>
    <w:rsid w:val="2A0C5D48"/>
    <w:rsid w:val="2A0D0CC4"/>
    <w:rsid w:val="2A0D1C4E"/>
    <w:rsid w:val="2A0D1DA9"/>
    <w:rsid w:val="2A0D574D"/>
    <w:rsid w:val="2A0D755D"/>
    <w:rsid w:val="2A0E0598"/>
    <w:rsid w:val="2A0E0748"/>
    <w:rsid w:val="2A0E0981"/>
    <w:rsid w:val="2A0E10BB"/>
    <w:rsid w:val="2A0E342A"/>
    <w:rsid w:val="2A0E7B1D"/>
    <w:rsid w:val="2A0F0460"/>
    <w:rsid w:val="2A0F0515"/>
    <w:rsid w:val="2A0F25A2"/>
    <w:rsid w:val="2A0F77B2"/>
    <w:rsid w:val="2A101419"/>
    <w:rsid w:val="2A1030A1"/>
    <w:rsid w:val="2A104310"/>
    <w:rsid w:val="2A1060BE"/>
    <w:rsid w:val="2A110088"/>
    <w:rsid w:val="2A110F79"/>
    <w:rsid w:val="2A124F09"/>
    <w:rsid w:val="2A1262DA"/>
    <w:rsid w:val="2A133569"/>
    <w:rsid w:val="2A133E00"/>
    <w:rsid w:val="2A135B5B"/>
    <w:rsid w:val="2A135BAE"/>
    <w:rsid w:val="2A13795C"/>
    <w:rsid w:val="2A140322"/>
    <w:rsid w:val="2A142F2E"/>
    <w:rsid w:val="2A1431AB"/>
    <w:rsid w:val="2A144B87"/>
    <w:rsid w:val="2A147D62"/>
    <w:rsid w:val="2A151926"/>
    <w:rsid w:val="2A151AE6"/>
    <w:rsid w:val="2A152D6D"/>
    <w:rsid w:val="2A1536D4"/>
    <w:rsid w:val="2A1548AF"/>
    <w:rsid w:val="2A157B78"/>
    <w:rsid w:val="2A1620A8"/>
    <w:rsid w:val="2A162939"/>
    <w:rsid w:val="2A16459C"/>
    <w:rsid w:val="2A16490E"/>
    <w:rsid w:val="2A16744D"/>
    <w:rsid w:val="2A167592"/>
    <w:rsid w:val="2A1715E8"/>
    <w:rsid w:val="2A1738F0"/>
    <w:rsid w:val="2A174BBF"/>
    <w:rsid w:val="2A175A2C"/>
    <w:rsid w:val="2A176342"/>
    <w:rsid w:val="2A1805FD"/>
    <w:rsid w:val="2A1807F9"/>
    <w:rsid w:val="2A181417"/>
    <w:rsid w:val="2A183925"/>
    <w:rsid w:val="2A186A01"/>
    <w:rsid w:val="2A186EBC"/>
    <w:rsid w:val="2A19034C"/>
    <w:rsid w:val="2A190B12"/>
    <w:rsid w:val="2A1A0C4C"/>
    <w:rsid w:val="2A1A0CEB"/>
    <w:rsid w:val="2A1A0E60"/>
    <w:rsid w:val="2A1A2F1D"/>
    <w:rsid w:val="2A1A3861"/>
    <w:rsid w:val="2A1A518F"/>
    <w:rsid w:val="2A1A6F3D"/>
    <w:rsid w:val="2A1B2C11"/>
    <w:rsid w:val="2A1B47BF"/>
    <w:rsid w:val="2A1B4A63"/>
    <w:rsid w:val="2A1C010D"/>
    <w:rsid w:val="2A1C0115"/>
    <w:rsid w:val="2A1C1189"/>
    <w:rsid w:val="2A1C3F0A"/>
    <w:rsid w:val="2A1C444E"/>
    <w:rsid w:val="2A1D23FC"/>
    <w:rsid w:val="2A1D2DF3"/>
    <w:rsid w:val="2A1D2F9A"/>
    <w:rsid w:val="2A1D40AB"/>
    <w:rsid w:val="2A1D4C7F"/>
    <w:rsid w:val="2A1D62F1"/>
    <w:rsid w:val="2A1D6A2D"/>
    <w:rsid w:val="2A1E076D"/>
    <w:rsid w:val="2A1E10BA"/>
    <w:rsid w:val="2A1E1CDB"/>
    <w:rsid w:val="2A1E41CF"/>
    <w:rsid w:val="2A1F1DCD"/>
    <w:rsid w:val="2A1F32A0"/>
    <w:rsid w:val="2A1F6D8E"/>
    <w:rsid w:val="2A200C92"/>
    <w:rsid w:val="2A2011A1"/>
    <w:rsid w:val="2A202079"/>
    <w:rsid w:val="2A204422"/>
    <w:rsid w:val="2A204F8D"/>
    <w:rsid w:val="2A206697"/>
    <w:rsid w:val="2A206DC5"/>
    <w:rsid w:val="2A207A80"/>
    <w:rsid w:val="2A210F5D"/>
    <w:rsid w:val="2A2124B5"/>
    <w:rsid w:val="2A2144BA"/>
    <w:rsid w:val="2A214DDF"/>
    <w:rsid w:val="2A215158"/>
    <w:rsid w:val="2A21651D"/>
    <w:rsid w:val="2A222295"/>
    <w:rsid w:val="2A223B9D"/>
    <w:rsid w:val="2A223D07"/>
    <w:rsid w:val="2A224043"/>
    <w:rsid w:val="2A225DF1"/>
    <w:rsid w:val="2A233E45"/>
    <w:rsid w:val="2A23657F"/>
    <w:rsid w:val="2A23771C"/>
    <w:rsid w:val="2A2417A8"/>
    <w:rsid w:val="2A2419FA"/>
    <w:rsid w:val="2A241B69"/>
    <w:rsid w:val="2A242057"/>
    <w:rsid w:val="2A242464"/>
    <w:rsid w:val="2A24600D"/>
    <w:rsid w:val="2A25002F"/>
    <w:rsid w:val="2A252C00"/>
    <w:rsid w:val="2A256DC2"/>
    <w:rsid w:val="2A257690"/>
    <w:rsid w:val="2A2622B8"/>
    <w:rsid w:val="2A26305E"/>
    <w:rsid w:val="2A263B34"/>
    <w:rsid w:val="2A2642BB"/>
    <w:rsid w:val="2A266406"/>
    <w:rsid w:val="2A2667A3"/>
    <w:rsid w:val="2A2677C7"/>
    <w:rsid w:val="2A2715E7"/>
    <w:rsid w:val="2A271613"/>
    <w:rsid w:val="2A271657"/>
    <w:rsid w:val="2A27165A"/>
    <w:rsid w:val="2A27570F"/>
    <w:rsid w:val="2A275C9D"/>
    <w:rsid w:val="2A284779"/>
    <w:rsid w:val="2A28552C"/>
    <w:rsid w:val="2A28561B"/>
    <w:rsid w:val="2A287153"/>
    <w:rsid w:val="2A2878AC"/>
    <w:rsid w:val="2A291110"/>
    <w:rsid w:val="2A291F3B"/>
    <w:rsid w:val="2A2953D2"/>
    <w:rsid w:val="2A2A2E39"/>
    <w:rsid w:val="2A2A36FF"/>
    <w:rsid w:val="2A2A684B"/>
    <w:rsid w:val="2A2B114A"/>
    <w:rsid w:val="2A2B1343"/>
    <w:rsid w:val="2A2B2B5E"/>
    <w:rsid w:val="2A2B739C"/>
    <w:rsid w:val="2A2B7D74"/>
    <w:rsid w:val="2A2C391E"/>
    <w:rsid w:val="2A2C4AC5"/>
    <w:rsid w:val="2A2C67C1"/>
    <w:rsid w:val="2A2D1392"/>
    <w:rsid w:val="2A2D238A"/>
    <w:rsid w:val="2A2D414C"/>
    <w:rsid w:val="2A2D4273"/>
    <w:rsid w:val="2A2D4D0F"/>
    <w:rsid w:val="2A2E4796"/>
    <w:rsid w:val="2A2F1BE8"/>
    <w:rsid w:val="2A2F3464"/>
    <w:rsid w:val="2A2F68B8"/>
    <w:rsid w:val="2A2F6B83"/>
    <w:rsid w:val="2A2F7260"/>
    <w:rsid w:val="2A302896"/>
    <w:rsid w:val="2A303CAC"/>
    <w:rsid w:val="2A3041D3"/>
    <w:rsid w:val="2A306760"/>
    <w:rsid w:val="2A310D16"/>
    <w:rsid w:val="2A310F99"/>
    <w:rsid w:val="2A312AC7"/>
    <w:rsid w:val="2A31565E"/>
    <w:rsid w:val="2A322F45"/>
    <w:rsid w:val="2A3238BC"/>
    <w:rsid w:val="2A331DAD"/>
    <w:rsid w:val="2A3348B9"/>
    <w:rsid w:val="2A334CF1"/>
    <w:rsid w:val="2A335F8C"/>
    <w:rsid w:val="2A336250"/>
    <w:rsid w:val="2A336791"/>
    <w:rsid w:val="2A337A7A"/>
    <w:rsid w:val="2A346694"/>
    <w:rsid w:val="2A34683D"/>
    <w:rsid w:val="2A3515EB"/>
    <w:rsid w:val="2A353D77"/>
    <w:rsid w:val="2A35547B"/>
    <w:rsid w:val="2A3557B3"/>
    <w:rsid w:val="2A355F49"/>
    <w:rsid w:val="2A360255"/>
    <w:rsid w:val="2A366ED8"/>
    <w:rsid w:val="2A366F49"/>
    <w:rsid w:val="2A374BFA"/>
    <w:rsid w:val="2A3751E6"/>
    <w:rsid w:val="2A377AEF"/>
    <w:rsid w:val="2A383C97"/>
    <w:rsid w:val="2A385C74"/>
    <w:rsid w:val="2A39512F"/>
    <w:rsid w:val="2A397335"/>
    <w:rsid w:val="2A3A0DC5"/>
    <w:rsid w:val="2A3A138D"/>
    <w:rsid w:val="2A3A1683"/>
    <w:rsid w:val="2A3A26BD"/>
    <w:rsid w:val="2A3A313B"/>
    <w:rsid w:val="2A3A357B"/>
    <w:rsid w:val="2A3A5298"/>
    <w:rsid w:val="2A3A736B"/>
    <w:rsid w:val="2A3B21CA"/>
    <w:rsid w:val="2A3B4852"/>
    <w:rsid w:val="2A3B71F2"/>
    <w:rsid w:val="2A3B75C5"/>
    <w:rsid w:val="2A3C3357"/>
    <w:rsid w:val="2A3C5105"/>
    <w:rsid w:val="2A3C62BC"/>
    <w:rsid w:val="2A3C69BB"/>
    <w:rsid w:val="2A3C6EB3"/>
    <w:rsid w:val="2A3C7582"/>
    <w:rsid w:val="2A3D0E87"/>
    <w:rsid w:val="2A3D2186"/>
    <w:rsid w:val="2A3D7746"/>
    <w:rsid w:val="2A3E5EB8"/>
    <w:rsid w:val="2A3E70CF"/>
    <w:rsid w:val="2A3F6684"/>
    <w:rsid w:val="2A4014CC"/>
    <w:rsid w:val="2A404DCA"/>
    <w:rsid w:val="2A410B96"/>
    <w:rsid w:val="2A41271B"/>
    <w:rsid w:val="2A412E99"/>
    <w:rsid w:val="2A4133EE"/>
    <w:rsid w:val="2A414995"/>
    <w:rsid w:val="2A41655D"/>
    <w:rsid w:val="2A420231"/>
    <w:rsid w:val="2A4232D1"/>
    <w:rsid w:val="2A425712"/>
    <w:rsid w:val="2A426810"/>
    <w:rsid w:val="2A427557"/>
    <w:rsid w:val="2A4346E5"/>
    <w:rsid w:val="2A4355EE"/>
    <w:rsid w:val="2A437100"/>
    <w:rsid w:val="2A443F94"/>
    <w:rsid w:val="2A443FBA"/>
    <w:rsid w:val="2A450AA9"/>
    <w:rsid w:val="2A451934"/>
    <w:rsid w:val="2A457F0B"/>
    <w:rsid w:val="2A462C19"/>
    <w:rsid w:val="2A463298"/>
    <w:rsid w:val="2A465F84"/>
    <w:rsid w:val="2A467D32"/>
    <w:rsid w:val="2A470576"/>
    <w:rsid w:val="2A470C74"/>
    <w:rsid w:val="2A4755FC"/>
    <w:rsid w:val="2A475858"/>
    <w:rsid w:val="2A482E16"/>
    <w:rsid w:val="2A48451A"/>
    <w:rsid w:val="2A48639C"/>
    <w:rsid w:val="2A495A74"/>
    <w:rsid w:val="2A4A087B"/>
    <w:rsid w:val="2A4A26A6"/>
    <w:rsid w:val="2A4A3E42"/>
    <w:rsid w:val="2A4A43BA"/>
    <w:rsid w:val="2A4A73DC"/>
    <w:rsid w:val="2A4A7772"/>
    <w:rsid w:val="2A4B0CD0"/>
    <w:rsid w:val="2A4B117C"/>
    <w:rsid w:val="2A4B17EC"/>
    <w:rsid w:val="2A4B359A"/>
    <w:rsid w:val="2A4B5348"/>
    <w:rsid w:val="2A4B7661"/>
    <w:rsid w:val="2A4C0D5D"/>
    <w:rsid w:val="2A4C2E6E"/>
    <w:rsid w:val="2A4D10C0"/>
    <w:rsid w:val="2A4D1354"/>
    <w:rsid w:val="2A4D1BA8"/>
    <w:rsid w:val="2A4D2686"/>
    <w:rsid w:val="2A4D374A"/>
    <w:rsid w:val="2A4D7312"/>
    <w:rsid w:val="2A4E308A"/>
    <w:rsid w:val="2A4E4B38"/>
    <w:rsid w:val="2A4E4DF3"/>
    <w:rsid w:val="2A4E4E38"/>
    <w:rsid w:val="2A4E5CD7"/>
    <w:rsid w:val="2A4E6BE6"/>
    <w:rsid w:val="2A4F1696"/>
    <w:rsid w:val="2A4F329C"/>
    <w:rsid w:val="2A50078D"/>
    <w:rsid w:val="2A50263E"/>
    <w:rsid w:val="2A50295E"/>
    <w:rsid w:val="2A504FC7"/>
    <w:rsid w:val="2A50604A"/>
    <w:rsid w:val="2A506E02"/>
    <w:rsid w:val="2A510165"/>
    <w:rsid w:val="2A510D45"/>
    <w:rsid w:val="2A513B92"/>
    <w:rsid w:val="2A516830"/>
    <w:rsid w:val="2A51704C"/>
    <w:rsid w:val="2A52099A"/>
    <w:rsid w:val="2A52121C"/>
    <w:rsid w:val="2A521C1D"/>
    <w:rsid w:val="2A522E55"/>
    <w:rsid w:val="2A524929"/>
    <w:rsid w:val="2A5341FD"/>
    <w:rsid w:val="2A53483D"/>
    <w:rsid w:val="2A54453D"/>
    <w:rsid w:val="2A552B20"/>
    <w:rsid w:val="2A553AC0"/>
    <w:rsid w:val="2A5561C7"/>
    <w:rsid w:val="2A556BB2"/>
    <w:rsid w:val="2A557C48"/>
    <w:rsid w:val="2A557F75"/>
    <w:rsid w:val="2A56543D"/>
    <w:rsid w:val="2A5754CF"/>
    <w:rsid w:val="2A576802"/>
    <w:rsid w:val="2A581813"/>
    <w:rsid w:val="2A5827AC"/>
    <w:rsid w:val="2A58311B"/>
    <w:rsid w:val="2A583A99"/>
    <w:rsid w:val="2A585CB7"/>
    <w:rsid w:val="2A587A65"/>
    <w:rsid w:val="2A59346C"/>
    <w:rsid w:val="2A594EE2"/>
    <w:rsid w:val="2A596971"/>
    <w:rsid w:val="2A597892"/>
    <w:rsid w:val="2A5A2627"/>
    <w:rsid w:val="2A5A37DD"/>
    <w:rsid w:val="2A5A4537"/>
    <w:rsid w:val="2A5B0052"/>
    <w:rsid w:val="2A5B20FC"/>
    <w:rsid w:val="2A5B459F"/>
    <w:rsid w:val="2A5C2F0E"/>
    <w:rsid w:val="2A5C415F"/>
    <w:rsid w:val="2A5C4997"/>
    <w:rsid w:val="2A5C57A7"/>
    <w:rsid w:val="2A5C58A0"/>
    <w:rsid w:val="2A5C7B6B"/>
    <w:rsid w:val="2A5D3421"/>
    <w:rsid w:val="2A5D40BA"/>
    <w:rsid w:val="2A5D507B"/>
    <w:rsid w:val="2A5D7366"/>
    <w:rsid w:val="2A5E00A7"/>
    <w:rsid w:val="2A5E1A57"/>
    <w:rsid w:val="2A5E1E5B"/>
    <w:rsid w:val="2A5E3321"/>
    <w:rsid w:val="2A5F1650"/>
    <w:rsid w:val="2A5F3200"/>
    <w:rsid w:val="2A5F3533"/>
    <w:rsid w:val="2A5F3BB2"/>
    <w:rsid w:val="2A5F4221"/>
    <w:rsid w:val="2A600C13"/>
    <w:rsid w:val="2A60550D"/>
    <w:rsid w:val="2A6056B1"/>
    <w:rsid w:val="2A612DBE"/>
    <w:rsid w:val="2A61691A"/>
    <w:rsid w:val="2A621E94"/>
    <w:rsid w:val="2A622537"/>
    <w:rsid w:val="2A62683C"/>
    <w:rsid w:val="2A62739F"/>
    <w:rsid w:val="2A6308E4"/>
    <w:rsid w:val="2A632BA2"/>
    <w:rsid w:val="2A636B36"/>
    <w:rsid w:val="2A6428AE"/>
    <w:rsid w:val="2A6428F1"/>
    <w:rsid w:val="2A644AF2"/>
    <w:rsid w:val="2A64640A"/>
    <w:rsid w:val="2A651488"/>
    <w:rsid w:val="2A6533F8"/>
    <w:rsid w:val="2A65492B"/>
    <w:rsid w:val="2A657544"/>
    <w:rsid w:val="2A6603D4"/>
    <w:rsid w:val="2A662182"/>
    <w:rsid w:val="2A66242C"/>
    <w:rsid w:val="2A663D7E"/>
    <w:rsid w:val="2A663F30"/>
    <w:rsid w:val="2A664747"/>
    <w:rsid w:val="2A665033"/>
    <w:rsid w:val="2A6659F8"/>
    <w:rsid w:val="2A677CA8"/>
    <w:rsid w:val="2A677F4B"/>
    <w:rsid w:val="2A682888"/>
    <w:rsid w:val="2A683FD2"/>
    <w:rsid w:val="2A685EFA"/>
    <w:rsid w:val="2A6875BF"/>
    <w:rsid w:val="2A687D8A"/>
    <w:rsid w:val="2A690BE4"/>
    <w:rsid w:val="2A691C72"/>
    <w:rsid w:val="2A691EC9"/>
    <w:rsid w:val="2A693A20"/>
    <w:rsid w:val="2A694C9B"/>
    <w:rsid w:val="2A6953AF"/>
    <w:rsid w:val="2A697EC4"/>
    <w:rsid w:val="2A6B1546"/>
    <w:rsid w:val="2A6B2E0D"/>
    <w:rsid w:val="2A6B59EA"/>
    <w:rsid w:val="2A6B6378"/>
    <w:rsid w:val="2A6B7798"/>
    <w:rsid w:val="2A6C16AE"/>
    <w:rsid w:val="2A6C18F0"/>
    <w:rsid w:val="2A6C358A"/>
    <w:rsid w:val="2A6C6ED2"/>
    <w:rsid w:val="2A6C70FA"/>
    <w:rsid w:val="2A6D5A1A"/>
    <w:rsid w:val="2A6D6825"/>
    <w:rsid w:val="2A6E1037"/>
    <w:rsid w:val="2A6E135D"/>
    <w:rsid w:val="2A6E1653"/>
    <w:rsid w:val="2A6E3328"/>
    <w:rsid w:val="2A6E3DAA"/>
    <w:rsid w:val="2A6E6782"/>
    <w:rsid w:val="2A6F39FA"/>
    <w:rsid w:val="2A6F54DA"/>
    <w:rsid w:val="2A70034A"/>
    <w:rsid w:val="2A701253"/>
    <w:rsid w:val="2A703001"/>
    <w:rsid w:val="2A7036CE"/>
    <w:rsid w:val="2A703BA3"/>
    <w:rsid w:val="2A704999"/>
    <w:rsid w:val="2A704CFC"/>
    <w:rsid w:val="2A704DAF"/>
    <w:rsid w:val="2A7111FA"/>
    <w:rsid w:val="2A712C45"/>
    <w:rsid w:val="2A713080"/>
    <w:rsid w:val="2A714695"/>
    <w:rsid w:val="2A715BC7"/>
    <w:rsid w:val="2A716161"/>
    <w:rsid w:val="2A720757"/>
    <w:rsid w:val="2A720B27"/>
    <w:rsid w:val="2A7228D5"/>
    <w:rsid w:val="2A724EF5"/>
    <w:rsid w:val="2A730C12"/>
    <w:rsid w:val="2A731B79"/>
    <w:rsid w:val="2A73242B"/>
    <w:rsid w:val="2A732BBA"/>
    <w:rsid w:val="2A73489F"/>
    <w:rsid w:val="2A7408AD"/>
    <w:rsid w:val="2A740A53"/>
    <w:rsid w:val="2A741285"/>
    <w:rsid w:val="2A7412DF"/>
    <w:rsid w:val="2A742AF1"/>
    <w:rsid w:val="2A743B1E"/>
    <w:rsid w:val="2A744AE9"/>
    <w:rsid w:val="2A75085A"/>
    <w:rsid w:val="2A7523C5"/>
    <w:rsid w:val="2A752D5A"/>
    <w:rsid w:val="2A7530F1"/>
    <w:rsid w:val="2A754FB7"/>
    <w:rsid w:val="2A75605F"/>
    <w:rsid w:val="2A76011D"/>
    <w:rsid w:val="2A76187D"/>
    <w:rsid w:val="2A7649F6"/>
    <w:rsid w:val="2A76764D"/>
    <w:rsid w:val="2A767786"/>
    <w:rsid w:val="2A7725E1"/>
    <w:rsid w:val="2A774055"/>
    <w:rsid w:val="2A77438F"/>
    <w:rsid w:val="2A774AE6"/>
    <w:rsid w:val="2A777550"/>
    <w:rsid w:val="2A781EB5"/>
    <w:rsid w:val="2A783938"/>
    <w:rsid w:val="2A783C63"/>
    <w:rsid w:val="2A790107"/>
    <w:rsid w:val="2A790E29"/>
    <w:rsid w:val="2A792B77"/>
    <w:rsid w:val="2A793806"/>
    <w:rsid w:val="2A793B60"/>
    <w:rsid w:val="2A7A22B6"/>
    <w:rsid w:val="2A7A3E7F"/>
    <w:rsid w:val="2A7A470F"/>
    <w:rsid w:val="2A7A4BCD"/>
    <w:rsid w:val="2A7A6954"/>
    <w:rsid w:val="2A7B4C42"/>
    <w:rsid w:val="2A7B715C"/>
    <w:rsid w:val="2A7B71BF"/>
    <w:rsid w:val="2A7B74ED"/>
    <w:rsid w:val="2A7C19A5"/>
    <w:rsid w:val="2A7C3749"/>
    <w:rsid w:val="2A7C3994"/>
    <w:rsid w:val="2A7C54A5"/>
    <w:rsid w:val="2A7C55C1"/>
    <w:rsid w:val="2A7C606B"/>
    <w:rsid w:val="2A7C78AE"/>
    <w:rsid w:val="2A7C7BF7"/>
    <w:rsid w:val="2A7D06D5"/>
    <w:rsid w:val="2A7D127A"/>
    <w:rsid w:val="2A7D4BD9"/>
    <w:rsid w:val="2A7D7398"/>
    <w:rsid w:val="2A7D74CC"/>
    <w:rsid w:val="2A7D799E"/>
    <w:rsid w:val="2A7E2991"/>
    <w:rsid w:val="2A7E3970"/>
    <w:rsid w:val="2A7E3F8D"/>
    <w:rsid w:val="2A7E5429"/>
    <w:rsid w:val="2A7E571E"/>
    <w:rsid w:val="2A7E6069"/>
    <w:rsid w:val="2A7F0251"/>
    <w:rsid w:val="2A7F0CB6"/>
    <w:rsid w:val="2A7F1496"/>
    <w:rsid w:val="2A7F6A47"/>
    <w:rsid w:val="2A8048ED"/>
    <w:rsid w:val="2A807BE9"/>
    <w:rsid w:val="2A81520E"/>
    <w:rsid w:val="2A81612B"/>
    <w:rsid w:val="2A823E28"/>
    <w:rsid w:val="2A830F86"/>
    <w:rsid w:val="2A832D34"/>
    <w:rsid w:val="2A8342BC"/>
    <w:rsid w:val="2A834AE2"/>
    <w:rsid w:val="2A842307"/>
    <w:rsid w:val="2A842608"/>
    <w:rsid w:val="2A8448F9"/>
    <w:rsid w:val="2A845CC0"/>
    <w:rsid w:val="2A846041"/>
    <w:rsid w:val="2A8533DF"/>
    <w:rsid w:val="2A854AAC"/>
    <w:rsid w:val="2A855E67"/>
    <w:rsid w:val="2A862824"/>
    <w:rsid w:val="2A863839"/>
    <w:rsid w:val="2A866380"/>
    <w:rsid w:val="2A8667DF"/>
    <w:rsid w:val="2A8673CC"/>
    <w:rsid w:val="2A867CB6"/>
    <w:rsid w:val="2A875297"/>
    <w:rsid w:val="2A875B52"/>
    <w:rsid w:val="2A881CEC"/>
    <w:rsid w:val="2A8820F8"/>
    <w:rsid w:val="2A8843FE"/>
    <w:rsid w:val="2A884C85"/>
    <w:rsid w:val="2A88659C"/>
    <w:rsid w:val="2A8940C2"/>
    <w:rsid w:val="2A8948BD"/>
    <w:rsid w:val="2A895E70"/>
    <w:rsid w:val="2A897D55"/>
    <w:rsid w:val="2A8A2314"/>
    <w:rsid w:val="2A8A5FF4"/>
    <w:rsid w:val="2A8A68DE"/>
    <w:rsid w:val="2A8B0A69"/>
    <w:rsid w:val="2A8B5A60"/>
    <w:rsid w:val="2A8B6BFB"/>
    <w:rsid w:val="2A8B71DD"/>
    <w:rsid w:val="2A8B7E3A"/>
    <w:rsid w:val="2A8C434E"/>
    <w:rsid w:val="2A8C4388"/>
    <w:rsid w:val="2A8C757E"/>
    <w:rsid w:val="2A8C762A"/>
    <w:rsid w:val="2A8D3BB3"/>
    <w:rsid w:val="2A8E16D9"/>
    <w:rsid w:val="2A8E1E7E"/>
    <w:rsid w:val="2A8E7F1B"/>
    <w:rsid w:val="2A8F4A73"/>
    <w:rsid w:val="2A8F792B"/>
    <w:rsid w:val="2A900FAD"/>
    <w:rsid w:val="2A901A22"/>
    <w:rsid w:val="2A902C99"/>
    <w:rsid w:val="2A9036A3"/>
    <w:rsid w:val="2A905451"/>
    <w:rsid w:val="2A9064DF"/>
    <w:rsid w:val="2A912679"/>
    <w:rsid w:val="2A913787"/>
    <w:rsid w:val="2A9211C9"/>
    <w:rsid w:val="2A925337"/>
    <w:rsid w:val="2A9256C5"/>
    <w:rsid w:val="2A926385"/>
    <w:rsid w:val="2A9270B0"/>
    <w:rsid w:val="2A927BC9"/>
    <w:rsid w:val="2A930A9D"/>
    <w:rsid w:val="2A932085"/>
    <w:rsid w:val="2A934FA2"/>
    <w:rsid w:val="2A935211"/>
    <w:rsid w:val="2A9364A9"/>
    <w:rsid w:val="2A943931"/>
    <w:rsid w:val="2A944FCD"/>
    <w:rsid w:val="2A952A67"/>
    <w:rsid w:val="2A954815"/>
    <w:rsid w:val="2A9615BD"/>
    <w:rsid w:val="2A962B6C"/>
    <w:rsid w:val="2A962E05"/>
    <w:rsid w:val="2A964D4F"/>
    <w:rsid w:val="2A965A22"/>
    <w:rsid w:val="2A970351"/>
    <w:rsid w:val="2A97233B"/>
    <w:rsid w:val="2A974DFF"/>
    <w:rsid w:val="2A97559B"/>
    <w:rsid w:val="2A9767CE"/>
    <w:rsid w:val="2A9767DF"/>
    <w:rsid w:val="2A9817E1"/>
    <w:rsid w:val="2A984622"/>
    <w:rsid w:val="2A992557"/>
    <w:rsid w:val="2A994305"/>
    <w:rsid w:val="2A996499"/>
    <w:rsid w:val="2A9A017F"/>
    <w:rsid w:val="2A9A1450"/>
    <w:rsid w:val="2A9A1FC9"/>
    <w:rsid w:val="2A9A28E2"/>
    <w:rsid w:val="2A9A4101"/>
    <w:rsid w:val="2A9A5842"/>
    <w:rsid w:val="2A9A62D0"/>
    <w:rsid w:val="2A9A6CB5"/>
    <w:rsid w:val="2A9B06D4"/>
    <w:rsid w:val="2A9B0999"/>
    <w:rsid w:val="2A9B6CD2"/>
    <w:rsid w:val="2A9B72D8"/>
    <w:rsid w:val="2A9B7BFA"/>
    <w:rsid w:val="2A9C22E7"/>
    <w:rsid w:val="2A9C3C92"/>
    <w:rsid w:val="2A9C5BA4"/>
    <w:rsid w:val="2A9D2A82"/>
    <w:rsid w:val="2A9D36CA"/>
    <w:rsid w:val="2A9D4AA6"/>
    <w:rsid w:val="2A9E0AB8"/>
    <w:rsid w:val="2A9E0DF1"/>
    <w:rsid w:val="2A9E191C"/>
    <w:rsid w:val="2A9E7B6E"/>
    <w:rsid w:val="2A9F070C"/>
    <w:rsid w:val="2A9F0D82"/>
    <w:rsid w:val="2A9F3603"/>
    <w:rsid w:val="2A9F38E6"/>
    <w:rsid w:val="2A9F43E8"/>
    <w:rsid w:val="2A9F52F2"/>
    <w:rsid w:val="2A9F54DB"/>
    <w:rsid w:val="2A9F5694"/>
    <w:rsid w:val="2A9F6FC2"/>
    <w:rsid w:val="2A9F7442"/>
    <w:rsid w:val="2AA00035"/>
    <w:rsid w:val="2AA02238"/>
    <w:rsid w:val="2AA02804"/>
    <w:rsid w:val="2AA03EA5"/>
    <w:rsid w:val="2AA07549"/>
    <w:rsid w:val="2AA10655"/>
    <w:rsid w:val="2AA11403"/>
    <w:rsid w:val="2AA13FD4"/>
    <w:rsid w:val="2AA16D68"/>
    <w:rsid w:val="2AA228FC"/>
    <w:rsid w:val="2AA25D43"/>
    <w:rsid w:val="2AA32EBF"/>
    <w:rsid w:val="2AA34BCF"/>
    <w:rsid w:val="2AA35184"/>
    <w:rsid w:val="2AA37E51"/>
    <w:rsid w:val="2AA414C5"/>
    <w:rsid w:val="2AA41665"/>
    <w:rsid w:val="2AA42CAA"/>
    <w:rsid w:val="2AA44261"/>
    <w:rsid w:val="2AA44A58"/>
    <w:rsid w:val="2AA471F9"/>
    <w:rsid w:val="2AA47D84"/>
    <w:rsid w:val="2AA53090"/>
    <w:rsid w:val="2AA55F56"/>
    <w:rsid w:val="2AA56588"/>
    <w:rsid w:val="2AA57D5A"/>
    <w:rsid w:val="2AA607D0"/>
    <w:rsid w:val="2AA64096"/>
    <w:rsid w:val="2AA64209"/>
    <w:rsid w:val="2AA64C74"/>
    <w:rsid w:val="2AA70E87"/>
    <w:rsid w:val="2AA7519E"/>
    <w:rsid w:val="2AA77572"/>
    <w:rsid w:val="2AA77827"/>
    <w:rsid w:val="2AA77E46"/>
    <w:rsid w:val="2AA80B98"/>
    <w:rsid w:val="2AA8119D"/>
    <w:rsid w:val="2AA812D6"/>
    <w:rsid w:val="2AA81A36"/>
    <w:rsid w:val="2AA8279A"/>
    <w:rsid w:val="2AA82CC7"/>
    <w:rsid w:val="2AA84B49"/>
    <w:rsid w:val="2AA86103"/>
    <w:rsid w:val="2AA87995"/>
    <w:rsid w:val="2AA902C1"/>
    <w:rsid w:val="2AA926BE"/>
    <w:rsid w:val="2AA95D8E"/>
    <w:rsid w:val="2AAA18DD"/>
    <w:rsid w:val="2AAA5D84"/>
    <w:rsid w:val="2AAA6F47"/>
    <w:rsid w:val="2AAB03EC"/>
    <w:rsid w:val="2AAB2DE9"/>
    <w:rsid w:val="2AAB2EDC"/>
    <w:rsid w:val="2AAB4039"/>
    <w:rsid w:val="2AAB5086"/>
    <w:rsid w:val="2AAB5DE7"/>
    <w:rsid w:val="2AAC0725"/>
    <w:rsid w:val="2AAC0DA7"/>
    <w:rsid w:val="2AAC1DD8"/>
    <w:rsid w:val="2AAC3275"/>
    <w:rsid w:val="2AAD1B5F"/>
    <w:rsid w:val="2AAD3409"/>
    <w:rsid w:val="2AAD6003"/>
    <w:rsid w:val="2AAD727B"/>
    <w:rsid w:val="2AAE17BD"/>
    <w:rsid w:val="2AAE58D7"/>
    <w:rsid w:val="2AAE6F68"/>
    <w:rsid w:val="2AAF1024"/>
    <w:rsid w:val="2AAF1F86"/>
    <w:rsid w:val="2AAF34B9"/>
    <w:rsid w:val="2AAF3B29"/>
    <w:rsid w:val="2AAF3D7F"/>
    <w:rsid w:val="2AAF68B6"/>
    <w:rsid w:val="2AB00CB9"/>
    <w:rsid w:val="2AB0164F"/>
    <w:rsid w:val="2AB033FD"/>
    <w:rsid w:val="2AB036A5"/>
    <w:rsid w:val="2AB03CCD"/>
    <w:rsid w:val="2AB078A1"/>
    <w:rsid w:val="2AB100A9"/>
    <w:rsid w:val="2AB10EF8"/>
    <w:rsid w:val="2AB12309"/>
    <w:rsid w:val="2AB13D7B"/>
    <w:rsid w:val="2AB22388"/>
    <w:rsid w:val="2AB23619"/>
    <w:rsid w:val="2AB253C7"/>
    <w:rsid w:val="2AB268E0"/>
    <w:rsid w:val="2AB271BC"/>
    <w:rsid w:val="2AB2761E"/>
    <w:rsid w:val="2AB279D0"/>
    <w:rsid w:val="2AB32EED"/>
    <w:rsid w:val="2AB34EF6"/>
    <w:rsid w:val="2AB35114"/>
    <w:rsid w:val="2AB3765B"/>
    <w:rsid w:val="2AB43493"/>
    <w:rsid w:val="2AB44BBC"/>
    <w:rsid w:val="2AB46DAE"/>
    <w:rsid w:val="2AB477F8"/>
    <w:rsid w:val="2AB5043B"/>
    <w:rsid w:val="2AB51070"/>
    <w:rsid w:val="2AB51C23"/>
    <w:rsid w:val="2AB5244A"/>
    <w:rsid w:val="2AB54EB7"/>
    <w:rsid w:val="2AB56C65"/>
    <w:rsid w:val="2AB62C14"/>
    <w:rsid w:val="2AB63109"/>
    <w:rsid w:val="2AB65389"/>
    <w:rsid w:val="2AB7468C"/>
    <w:rsid w:val="2AB7478C"/>
    <w:rsid w:val="2AB76895"/>
    <w:rsid w:val="2AB80DCB"/>
    <w:rsid w:val="2AB82753"/>
    <w:rsid w:val="2AB82975"/>
    <w:rsid w:val="2AB8479E"/>
    <w:rsid w:val="2AB90504"/>
    <w:rsid w:val="2AB90C20"/>
    <w:rsid w:val="2AB92DEE"/>
    <w:rsid w:val="2AB96744"/>
    <w:rsid w:val="2AB96756"/>
    <w:rsid w:val="2AB973ED"/>
    <w:rsid w:val="2ABA2A44"/>
    <w:rsid w:val="2ABA2F19"/>
    <w:rsid w:val="2ABA427C"/>
    <w:rsid w:val="2ABB0720"/>
    <w:rsid w:val="2ABB3158"/>
    <w:rsid w:val="2ABB4B7B"/>
    <w:rsid w:val="2ABB63BF"/>
    <w:rsid w:val="2ABC1DA2"/>
    <w:rsid w:val="2ABC46B6"/>
    <w:rsid w:val="2ABC4BD5"/>
    <w:rsid w:val="2ABC4FEF"/>
    <w:rsid w:val="2ABC6246"/>
    <w:rsid w:val="2ABC64AC"/>
    <w:rsid w:val="2ABC7FF4"/>
    <w:rsid w:val="2ABD1776"/>
    <w:rsid w:val="2ABD4ACF"/>
    <w:rsid w:val="2ABD617C"/>
    <w:rsid w:val="2ABD6B7F"/>
    <w:rsid w:val="2ABD7676"/>
    <w:rsid w:val="2ABE1FBE"/>
    <w:rsid w:val="2ABE247B"/>
    <w:rsid w:val="2ABE2ED4"/>
    <w:rsid w:val="2ABE3D6C"/>
    <w:rsid w:val="2ABE5B1A"/>
    <w:rsid w:val="2ABF1892"/>
    <w:rsid w:val="2ABF271B"/>
    <w:rsid w:val="2ABF2C50"/>
    <w:rsid w:val="2ABF37CD"/>
    <w:rsid w:val="2ABF3E49"/>
    <w:rsid w:val="2ABF4D19"/>
    <w:rsid w:val="2ABF7AE4"/>
    <w:rsid w:val="2AC109ED"/>
    <w:rsid w:val="2AC1385C"/>
    <w:rsid w:val="2AC1560A"/>
    <w:rsid w:val="2AC16ACF"/>
    <w:rsid w:val="2AC22414"/>
    <w:rsid w:val="2AC230F3"/>
    <w:rsid w:val="2AC31C15"/>
    <w:rsid w:val="2AC33130"/>
    <w:rsid w:val="2AC34A37"/>
    <w:rsid w:val="2AC375D4"/>
    <w:rsid w:val="2AC439E9"/>
    <w:rsid w:val="2AC44F66"/>
    <w:rsid w:val="2AC46245"/>
    <w:rsid w:val="2AC51D4B"/>
    <w:rsid w:val="2AC5334C"/>
    <w:rsid w:val="2AC55651"/>
    <w:rsid w:val="2AC572CD"/>
    <w:rsid w:val="2AC60E73"/>
    <w:rsid w:val="2AC6121A"/>
    <w:rsid w:val="2AC62C21"/>
    <w:rsid w:val="2AC633CF"/>
    <w:rsid w:val="2AC64A65"/>
    <w:rsid w:val="2AC670C5"/>
    <w:rsid w:val="2AC672F1"/>
    <w:rsid w:val="2AC73647"/>
    <w:rsid w:val="2AC7495A"/>
    <w:rsid w:val="2AC810FA"/>
    <w:rsid w:val="2AC8136C"/>
    <w:rsid w:val="2AC82E3D"/>
    <w:rsid w:val="2AC84FF0"/>
    <w:rsid w:val="2AC85B79"/>
    <w:rsid w:val="2AC86E7F"/>
    <w:rsid w:val="2AC929F5"/>
    <w:rsid w:val="2AC945E9"/>
    <w:rsid w:val="2AC94D51"/>
    <w:rsid w:val="2AC94DB8"/>
    <w:rsid w:val="2AC95B4B"/>
    <w:rsid w:val="2AC96503"/>
    <w:rsid w:val="2ACA31E0"/>
    <w:rsid w:val="2ACA365D"/>
    <w:rsid w:val="2ACA7015"/>
    <w:rsid w:val="2ACB29DB"/>
    <w:rsid w:val="2ACB51EA"/>
    <w:rsid w:val="2ACB6489"/>
    <w:rsid w:val="2ACB77CC"/>
    <w:rsid w:val="2ACC5A13"/>
    <w:rsid w:val="2ACC5FDE"/>
    <w:rsid w:val="2ACC6C81"/>
    <w:rsid w:val="2ACD15A7"/>
    <w:rsid w:val="2ACD2201"/>
    <w:rsid w:val="2ACD2309"/>
    <w:rsid w:val="2ACD4C04"/>
    <w:rsid w:val="2ACD4D73"/>
    <w:rsid w:val="2ACD5908"/>
    <w:rsid w:val="2ACD5D46"/>
    <w:rsid w:val="2ACD656D"/>
    <w:rsid w:val="2ACE1AD5"/>
    <w:rsid w:val="2ACE3355"/>
    <w:rsid w:val="2ACE34E8"/>
    <w:rsid w:val="2ACF4D76"/>
    <w:rsid w:val="2ACF55B6"/>
    <w:rsid w:val="2ACF5873"/>
    <w:rsid w:val="2ACF5F79"/>
    <w:rsid w:val="2ACF767D"/>
    <w:rsid w:val="2ACF7D27"/>
    <w:rsid w:val="2AD01CF1"/>
    <w:rsid w:val="2AD04D10"/>
    <w:rsid w:val="2AD0584D"/>
    <w:rsid w:val="2AD1231A"/>
    <w:rsid w:val="2AD266A1"/>
    <w:rsid w:val="2AD27817"/>
    <w:rsid w:val="2AD30C89"/>
    <w:rsid w:val="2AD329AE"/>
    <w:rsid w:val="2AD36CCD"/>
    <w:rsid w:val="2AD36D64"/>
    <w:rsid w:val="2AD417E1"/>
    <w:rsid w:val="2AD42FD8"/>
    <w:rsid w:val="2AD43590"/>
    <w:rsid w:val="2AD44183"/>
    <w:rsid w:val="2AD4533D"/>
    <w:rsid w:val="2AD4533E"/>
    <w:rsid w:val="2AD474F7"/>
    <w:rsid w:val="2AD508EB"/>
    <w:rsid w:val="2AD52EC4"/>
    <w:rsid w:val="2AD5674B"/>
    <w:rsid w:val="2AD57D30"/>
    <w:rsid w:val="2AD61275"/>
    <w:rsid w:val="2AD62119"/>
    <w:rsid w:val="2AD7086A"/>
    <w:rsid w:val="2AD72C13"/>
    <w:rsid w:val="2AD73080"/>
    <w:rsid w:val="2AD73295"/>
    <w:rsid w:val="2AD74417"/>
    <w:rsid w:val="2AD74574"/>
    <w:rsid w:val="2AD76BDC"/>
    <w:rsid w:val="2AD8036B"/>
    <w:rsid w:val="2AD809AA"/>
    <w:rsid w:val="2AD817BE"/>
    <w:rsid w:val="2AD81B11"/>
    <w:rsid w:val="2AD87BC6"/>
    <w:rsid w:val="2AD92954"/>
    <w:rsid w:val="2AD969D2"/>
    <w:rsid w:val="2AD96C9D"/>
    <w:rsid w:val="2AD96DF8"/>
    <w:rsid w:val="2AD97BED"/>
    <w:rsid w:val="2ADA2CD5"/>
    <w:rsid w:val="2ADA4CCB"/>
    <w:rsid w:val="2ADA61D4"/>
    <w:rsid w:val="2ADA6532"/>
    <w:rsid w:val="2ADA7958"/>
    <w:rsid w:val="2ADB2A24"/>
    <w:rsid w:val="2ADB2B70"/>
    <w:rsid w:val="2ADB3049"/>
    <w:rsid w:val="2ADB491E"/>
    <w:rsid w:val="2ADB7F2F"/>
    <w:rsid w:val="2ADC0648"/>
    <w:rsid w:val="2ADC24E0"/>
    <w:rsid w:val="2ADD21F0"/>
    <w:rsid w:val="2ADD4E61"/>
    <w:rsid w:val="2ADD6A8D"/>
    <w:rsid w:val="2ADE273C"/>
    <w:rsid w:val="2ADE61BC"/>
    <w:rsid w:val="2ADE7F6A"/>
    <w:rsid w:val="2ADF3F76"/>
    <w:rsid w:val="2AE00186"/>
    <w:rsid w:val="2AE02E9A"/>
    <w:rsid w:val="2AE03A87"/>
    <w:rsid w:val="2AE04A05"/>
    <w:rsid w:val="2AE1342A"/>
    <w:rsid w:val="2AE14A20"/>
    <w:rsid w:val="2AE15CAC"/>
    <w:rsid w:val="2AE23156"/>
    <w:rsid w:val="2AE23EF4"/>
    <w:rsid w:val="2AE249CB"/>
    <w:rsid w:val="2AE27D26"/>
    <w:rsid w:val="2AE307EA"/>
    <w:rsid w:val="2AE34C92"/>
    <w:rsid w:val="2AE35367"/>
    <w:rsid w:val="2AE37F72"/>
    <w:rsid w:val="2AE40DD7"/>
    <w:rsid w:val="2AE519D7"/>
    <w:rsid w:val="2AE53A2D"/>
    <w:rsid w:val="2AE57568"/>
    <w:rsid w:val="2AE632C3"/>
    <w:rsid w:val="2AE65071"/>
    <w:rsid w:val="2AE661A3"/>
    <w:rsid w:val="2AE72360"/>
    <w:rsid w:val="2AE7409E"/>
    <w:rsid w:val="2AE801C6"/>
    <w:rsid w:val="2AE80DE9"/>
    <w:rsid w:val="2AE82A0F"/>
    <w:rsid w:val="2AE82B97"/>
    <w:rsid w:val="2AE83B98"/>
    <w:rsid w:val="2AE83F08"/>
    <w:rsid w:val="2AE8528D"/>
    <w:rsid w:val="2AE86769"/>
    <w:rsid w:val="2AE9007F"/>
    <w:rsid w:val="2AE92DE3"/>
    <w:rsid w:val="2AE95028"/>
    <w:rsid w:val="2AE9690F"/>
    <w:rsid w:val="2AE97C6B"/>
    <w:rsid w:val="2AE97CDC"/>
    <w:rsid w:val="2AEA1EEA"/>
    <w:rsid w:val="2AEA2DB3"/>
    <w:rsid w:val="2AEA5922"/>
    <w:rsid w:val="2AEA595A"/>
    <w:rsid w:val="2AEA5E7F"/>
    <w:rsid w:val="2AEB2687"/>
    <w:rsid w:val="2AEC6357"/>
    <w:rsid w:val="2AEC6B2B"/>
    <w:rsid w:val="2AED0755"/>
    <w:rsid w:val="2AED28A3"/>
    <w:rsid w:val="2AED4651"/>
    <w:rsid w:val="2AEE0311"/>
    <w:rsid w:val="2AEE0FCE"/>
    <w:rsid w:val="2AEE25DB"/>
    <w:rsid w:val="2AEF15E9"/>
    <w:rsid w:val="2AEF2177"/>
    <w:rsid w:val="2AEF2718"/>
    <w:rsid w:val="2AEF3A6B"/>
    <w:rsid w:val="2AF005A1"/>
    <w:rsid w:val="2AF00D79"/>
    <w:rsid w:val="2AF01EBF"/>
    <w:rsid w:val="2AF03E3B"/>
    <w:rsid w:val="2AF05EF0"/>
    <w:rsid w:val="2AF060D1"/>
    <w:rsid w:val="2AF0694E"/>
    <w:rsid w:val="2AF0759E"/>
    <w:rsid w:val="2AF07EA0"/>
    <w:rsid w:val="2AF11201"/>
    <w:rsid w:val="2AF14141"/>
    <w:rsid w:val="2AF15811"/>
    <w:rsid w:val="2AF1780D"/>
    <w:rsid w:val="2AF223EC"/>
    <w:rsid w:val="2AF22C2B"/>
    <w:rsid w:val="2AF22E11"/>
    <w:rsid w:val="2AF23A16"/>
    <w:rsid w:val="2AF252C6"/>
    <w:rsid w:val="2AF32DE1"/>
    <w:rsid w:val="2AF37B67"/>
    <w:rsid w:val="2AF43C32"/>
    <w:rsid w:val="2AF459E0"/>
    <w:rsid w:val="2AF52282"/>
    <w:rsid w:val="2AF54798"/>
    <w:rsid w:val="2AF56B74"/>
    <w:rsid w:val="2AF61758"/>
    <w:rsid w:val="2AF66C48"/>
    <w:rsid w:val="2AF66E3A"/>
    <w:rsid w:val="2AF70AB2"/>
    <w:rsid w:val="2AF721FD"/>
    <w:rsid w:val="2AF7358D"/>
    <w:rsid w:val="2AF7373A"/>
    <w:rsid w:val="2AF754E5"/>
    <w:rsid w:val="2AF75D0E"/>
    <w:rsid w:val="2AF761B7"/>
    <w:rsid w:val="2AF7727E"/>
    <w:rsid w:val="2AF7786E"/>
    <w:rsid w:val="2AF77B18"/>
    <w:rsid w:val="2AF8325E"/>
    <w:rsid w:val="2AF84EE9"/>
    <w:rsid w:val="2AF85ADC"/>
    <w:rsid w:val="2AF976EE"/>
    <w:rsid w:val="2AFA28CA"/>
    <w:rsid w:val="2AFA54BE"/>
    <w:rsid w:val="2AFB32DF"/>
    <w:rsid w:val="2AFB4FC0"/>
    <w:rsid w:val="2AFB5C85"/>
    <w:rsid w:val="2AFB6D6E"/>
    <w:rsid w:val="2AFB7266"/>
    <w:rsid w:val="2AFC0E6D"/>
    <w:rsid w:val="2AFC2AE6"/>
    <w:rsid w:val="2AFC410E"/>
    <w:rsid w:val="2AFC6642"/>
    <w:rsid w:val="2AFC7A2A"/>
    <w:rsid w:val="2AFD0B35"/>
    <w:rsid w:val="2AFD72B9"/>
    <w:rsid w:val="2AFE3455"/>
    <w:rsid w:val="2AFE37E9"/>
    <w:rsid w:val="2AFE685E"/>
    <w:rsid w:val="2AFE7A1D"/>
    <w:rsid w:val="2AFF6F51"/>
    <w:rsid w:val="2B001316"/>
    <w:rsid w:val="2B00225B"/>
    <w:rsid w:val="2B004385"/>
    <w:rsid w:val="2B00590F"/>
    <w:rsid w:val="2B006133"/>
    <w:rsid w:val="2B0100FD"/>
    <w:rsid w:val="2B011EAB"/>
    <w:rsid w:val="2B013C59"/>
    <w:rsid w:val="2B0155D5"/>
    <w:rsid w:val="2B02080A"/>
    <w:rsid w:val="2B0208F8"/>
    <w:rsid w:val="2B0307A0"/>
    <w:rsid w:val="2B030B69"/>
    <w:rsid w:val="2B033E75"/>
    <w:rsid w:val="2B037DF0"/>
    <w:rsid w:val="2B041A57"/>
    <w:rsid w:val="2B0426AD"/>
    <w:rsid w:val="2B043E08"/>
    <w:rsid w:val="2B046BB7"/>
    <w:rsid w:val="2B052BDB"/>
    <w:rsid w:val="2B053749"/>
    <w:rsid w:val="2B054DF5"/>
    <w:rsid w:val="2B055913"/>
    <w:rsid w:val="2B057BED"/>
    <w:rsid w:val="2B060862"/>
    <w:rsid w:val="2B065713"/>
    <w:rsid w:val="2B065D30"/>
    <w:rsid w:val="2B0668FC"/>
    <w:rsid w:val="2B0705B1"/>
    <w:rsid w:val="2B071CF2"/>
    <w:rsid w:val="2B0721E6"/>
    <w:rsid w:val="2B0729B1"/>
    <w:rsid w:val="2B073965"/>
    <w:rsid w:val="2B074E0C"/>
    <w:rsid w:val="2B076035"/>
    <w:rsid w:val="2B0776C4"/>
    <w:rsid w:val="2B0824F3"/>
    <w:rsid w:val="2B083239"/>
    <w:rsid w:val="2B0837ED"/>
    <w:rsid w:val="2B084FE7"/>
    <w:rsid w:val="2B092AB7"/>
    <w:rsid w:val="2B096BBE"/>
    <w:rsid w:val="2B09711A"/>
    <w:rsid w:val="2B0975FD"/>
    <w:rsid w:val="2B097D7A"/>
    <w:rsid w:val="2B0A156C"/>
    <w:rsid w:val="2B0A4B9B"/>
    <w:rsid w:val="2B0A6FB1"/>
    <w:rsid w:val="2B0B2D29"/>
    <w:rsid w:val="2B0B4AD7"/>
    <w:rsid w:val="2B0B4E02"/>
    <w:rsid w:val="2B0B6EC0"/>
    <w:rsid w:val="2B0C0F7B"/>
    <w:rsid w:val="2B0C1BCA"/>
    <w:rsid w:val="2B0C1E23"/>
    <w:rsid w:val="2B0C44B9"/>
    <w:rsid w:val="2B0D108F"/>
    <w:rsid w:val="2B0D3672"/>
    <w:rsid w:val="2B0D4CF3"/>
    <w:rsid w:val="2B0D68EE"/>
    <w:rsid w:val="2B0D6AA1"/>
    <w:rsid w:val="2B0E34D1"/>
    <w:rsid w:val="2B0F186B"/>
    <w:rsid w:val="2B0F19B5"/>
    <w:rsid w:val="2B0F281A"/>
    <w:rsid w:val="2B0F3056"/>
    <w:rsid w:val="2B0F45C8"/>
    <w:rsid w:val="2B0F5AEB"/>
    <w:rsid w:val="2B0F6F5B"/>
    <w:rsid w:val="2B1020EE"/>
    <w:rsid w:val="2B1044E5"/>
    <w:rsid w:val="2B105DE7"/>
    <w:rsid w:val="2B106E58"/>
    <w:rsid w:val="2B110340"/>
    <w:rsid w:val="2B11293E"/>
    <w:rsid w:val="2B1157DF"/>
    <w:rsid w:val="2B116592"/>
    <w:rsid w:val="2B117FDF"/>
    <w:rsid w:val="2B12230A"/>
    <w:rsid w:val="2B122959"/>
    <w:rsid w:val="2B127022"/>
    <w:rsid w:val="2B137B4A"/>
    <w:rsid w:val="2B1442F6"/>
    <w:rsid w:val="2B146082"/>
    <w:rsid w:val="2B151034"/>
    <w:rsid w:val="2B154624"/>
    <w:rsid w:val="2B15700A"/>
    <w:rsid w:val="2B157704"/>
    <w:rsid w:val="2B165956"/>
    <w:rsid w:val="2B17308B"/>
    <w:rsid w:val="2B17347C"/>
    <w:rsid w:val="2B174709"/>
    <w:rsid w:val="2B175568"/>
    <w:rsid w:val="2B176E02"/>
    <w:rsid w:val="2B177920"/>
    <w:rsid w:val="2B193698"/>
    <w:rsid w:val="2B1971F4"/>
    <w:rsid w:val="2B1A2906"/>
    <w:rsid w:val="2B1A46A7"/>
    <w:rsid w:val="2B1A6A42"/>
    <w:rsid w:val="2B1A7D4E"/>
    <w:rsid w:val="2B1B07CB"/>
    <w:rsid w:val="2B1B0C03"/>
    <w:rsid w:val="2B1B11BE"/>
    <w:rsid w:val="2B1B2FFD"/>
    <w:rsid w:val="2B1B36FD"/>
    <w:rsid w:val="2B1B5483"/>
    <w:rsid w:val="2B1B6298"/>
    <w:rsid w:val="2B1B7EB7"/>
    <w:rsid w:val="2B1C0A93"/>
    <w:rsid w:val="2B1C6CE5"/>
    <w:rsid w:val="2B1D0B0E"/>
    <w:rsid w:val="2B1D0FF0"/>
    <w:rsid w:val="2B1D6EDB"/>
    <w:rsid w:val="2B1E0CAF"/>
    <w:rsid w:val="2B1E118A"/>
    <w:rsid w:val="2B1E2A5D"/>
    <w:rsid w:val="2B1E480B"/>
    <w:rsid w:val="2B1E53A8"/>
    <w:rsid w:val="2B1E6D01"/>
    <w:rsid w:val="2B1E7DAE"/>
    <w:rsid w:val="2B1F1409"/>
    <w:rsid w:val="2B1F3431"/>
    <w:rsid w:val="2B1F6CDD"/>
    <w:rsid w:val="2B200583"/>
    <w:rsid w:val="2B203AD8"/>
    <w:rsid w:val="2B205660"/>
    <w:rsid w:val="2B20692F"/>
    <w:rsid w:val="2B211F52"/>
    <w:rsid w:val="2B213A43"/>
    <w:rsid w:val="2B2142FB"/>
    <w:rsid w:val="2B2160A9"/>
    <w:rsid w:val="2B2170CF"/>
    <w:rsid w:val="2B217572"/>
    <w:rsid w:val="2B222EF2"/>
    <w:rsid w:val="2B223652"/>
    <w:rsid w:val="2B22461D"/>
    <w:rsid w:val="2B22542D"/>
    <w:rsid w:val="2B2255E3"/>
    <w:rsid w:val="2B2262E6"/>
    <w:rsid w:val="2B230BC7"/>
    <w:rsid w:val="2B232A0B"/>
    <w:rsid w:val="2B233BE5"/>
    <w:rsid w:val="2B234B8E"/>
    <w:rsid w:val="2B234F0D"/>
    <w:rsid w:val="2B2362C5"/>
    <w:rsid w:val="2B240845"/>
    <w:rsid w:val="2B241FA1"/>
    <w:rsid w:val="2B2426AA"/>
    <w:rsid w:val="2B243DEB"/>
    <w:rsid w:val="2B245F66"/>
    <w:rsid w:val="2B250103"/>
    <w:rsid w:val="2B250618"/>
    <w:rsid w:val="2B25249A"/>
    <w:rsid w:val="2B253DEB"/>
    <w:rsid w:val="2B254488"/>
    <w:rsid w:val="2B2559EC"/>
    <w:rsid w:val="2B255A35"/>
    <w:rsid w:val="2B25627A"/>
    <w:rsid w:val="2B2568D7"/>
    <w:rsid w:val="2B257223"/>
    <w:rsid w:val="2B261911"/>
    <w:rsid w:val="2B2636BF"/>
    <w:rsid w:val="2B263D49"/>
    <w:rsid w:val="2B264AA7"/>
    <w:rsid w:val="2B264D67"/>
    <w:rsid w:val="2B270A24"/>
    <w:rsid w:val="2B271C95"/>
    <w:rsid w:val="2B272968"/>
    <w:rsid w:val="2B272BF7"/>
    <w:rsid w:val="2B2734CE"/>
    <w:rsid w:val="2B27590A"/>
    <w:rsid w:val="2B275DB5"/>
    <w:rsid w:val="2B277B63"/>
    <w:rsid w:val="2B28102B"/>
    <w:rsid w:val="2B281EF9"/>
    <w:rsid w:val="2B2838DB"/>
    <w:rsid w:val="2B2859AC"/>
    <w:rsid w:val="2B2860EF"/>
    <w:rsid w:val="2B287437"/>
    <w:rsid w:val="2B294C0F"/>
    <w:rsid w:val="2B2963E8"/>
    <w:rsid w:val="2B297D84"/>
    <w:rsid w:val="2B297EF7"/>
    <w:rsid w:val="2B2A00A1"/>
    <w:rsid w:val="2B2A275B"/>
    <w:rsid w:val="2B2A2FD9"/>
    <w:rsid w:val="2B2A35D0"/>
    <w:rsid w:val="2B2A5452"/>
    <w:rsid w:val="2B2A651C"/>
    <w:rsid w:val="2B2A7653"/>
    <w:rsid w:val="2B2A7750"/>
    <w:rsid w:val="2B2B0DF7"/>
    <w:rsid w:val="2B2B3DFF"/>
    <w:rsid w:val="2B2B5A49"/>
    <w:rsid w:val="2B2B6040"/>
    <w:rsid w:val="2B2B6F28"/>
    <w:rsid w:val="2B2C4E94"/>
    <w:rsid w:val="2B2C517A"/>
    <w:rsid w:val="2B2C5A2A"/>
    <w:rsid w:val="2B2D007A"/>
    <w:rsid w:val="2B2D0EF2"/>
    <w:rsid w:val="2B2D34E2"/>
    <w:rsid w:val="2B2D4A4E"/>
    <w:rsid w:val="2B2D4E9D"/>
    <w:rsid w:val="2B2D4F2D"/>
    <w:rsid w:val="2B2D7144"/>
    <w:rsid w:val="2B2E48F4"/>
    <w:rsid w:val="2B2E7A6E"/>
    <w:rsid w:val="2B2F07C6"/>
    <w:rsid w:val="2B2F0857"/>
    <w:rsid w:val="2B2F18AF"/>
    <w:rsid w:val="2B2F4C6A"/>
    <w:rsid w:val="2B2F6A18"/>
    <w:rsid w:val="2B30012B"/>
    <w:rsid w:val="2B30064C"/>
    <w:rsid w:val="2B306E12"/>
    <w:rsid w:val="2B3109E2"/>
    <w:rsid w:val="2B312813"/>
    <w:rsid w:val="2B320D67"/>
    <w:rsid w:val="2B325E35"/>
    <w:rsid w:val="2B326508"/>
    <w:rsid w:val="2B3273DD"/>
    <w:rsid w:val="2B3344AA"/>
    <w:rsid w:val="2B33475A"/>
    <w:rsid w:val="2B335D46"/>
    <w:rsid w:val="2B34037C"/>
    <w:rsid w:val="2B342216"/>
    <w:rsid w:val="2B343045"/>
    <w:rsid w:val="2B34402E"/>
    <w:rsid w:val="2B3444F2"/>
    <w:rsid w:val="2B346A20"/>
    <w:rsid w:val="2B35208A"/>
    <w:rsid w:val="2B355EE9"/>
    <w:rsid w:val="2B35655D"/>
    <w:rsid w:val="2B357546"/>
    <w:rsid w:val="2B361B54"/>
    <w:rsid w:val="2B365B83"/>
    <w:rsid w:val="2B365FF8"/>
    <w:rsid w:val="2B367DA6"/>
    <w:rsid w:val="2B373B90"/>
    <w:rsid w:val="2B375735"/>
    <w:rsid w:val="2B3758CC"/>
    <w:rsid w:val="2B3817AB"/>
    <w:rsid w:val="2B381D70"/>
    <w:rsid w:val="2B3829EF"/>
    <w:rsid w:val="2B382CAE"/>
    <w:rsid w:val="2B391645"/>
    <w:rsid w:val="2B39177E"/>
    <w:rsid w:val="2B393440"/>
    <w:rsid w:val="2B3948E8"/>
    <w:rsid w:val="2B395AE8"/>
    <w:rsid w:val="2B3A49A9"/>
    <w:rsid w:val="2B3A562A"/>
    <w:rsid w:val="2B3B0EAD"/>
    <w:rsid w:val="2B3B2154"/>
    <w:rsid w:val="2B3B28F2"/>
    <w:rsid w:val="2B3B360F"/>
    <w:rsid w:val="2B3B397E"/>
    <w:rsid w:val="2B3B716B"/>
    <w:rsid w:val="2B3C0931"/>
    <w:rsid w:val="2B3C1135"/>
    <w:rsid w:val="2B3C179A"/>
    <w:rsid w:val="2B3C259A"/>
    <w:rsid w:val="2B3C3A14"/>
    <w:rsid w:val="2B3C5C7B"/>
    <w:rsid w:val="2B3D00B4"/>
    <w:rsid w:val="2B3D06E6"/>
    <w:rsid w:val="2B3D1394"/>
    <w:rsid w:val="2B3D2775"/>
    <w:rsid w:val="2B3D48F4"/>
    <w:rsid w:val="2B3D637C"/>
    <w:rsid w:val="2B3D7387"/>
    <w:rsid w:val="2B3E2AD3"/>
    <w:rsid w:val="2B3E4B4D"/>
    <w:rsid w:val="2B3E4EAD"/>
    <w:rsid w:val="2B3E6C5B"/>
    <w:rsid w:val="2B3F2259"/>
    <w:rsid w:val="2B3F2CC6"/>
    <w:rsid w:val="2B3F5716"/>
    <w:rsid w:val="2B3F64D7"/>
    <w:rsid w:val="2B400224"/>
    <w:rsid w:val="2B4008AA"/>
    <w:rsid w:val="2B40205A"/>
    <w:rsid w:val="2B4029D3"/>
    <w:rsid w:val="2B404781"/>
    <w:rsid w:val="2B41036D"/>
    <w:rsid w:val="2B4104F9"/>
    <w:rsid w:val="2B410536"/>
    <w:rsid w:val="2B410BD1"/>
    <w:rsid w:val="2B412279"/>
    <w:rsid w:val="2B41674B"/>
    <w:rsid w:val="2B4176A3"/>
    <w:rsid w:val="2B425630"/>
    <w:rsid w:val="2B430715"/>
    <w:rsid w:val="2B43174B"/>
    <w:rsid w:val="2B4324C3"/>
    <w:rsid w:val="2B434271"/>
    <w:rsid w:val="2B435DA4"/>
    <w:rsid w:val="2B441378"/>
    <w:rsid w:val="2B44286E"/>
    <w:rsid w:val="2B444F3F"/>
    <w:rsid w:val="2B452279"/>
    <w:rsid w:val="2B453F3B"/>
    <w:rsid w:val="2B45448D"/>
    <w:rsid w:val="2B457FE9"/>
    <w:rsid w:val="2B4604F0"/>
    <w:rsid w:val="2B460E9C"/>
    <w:rsid w:val="2B46181C"/>
    <w:rsid w:val="2B461CCE"/>
    <w:rsid w:val="2B46483C"/>
    <w:rsid w:val="2B4754B4"/>
    <w:rsid w:val="2B4778F2"/>
    <w:rsid w:val="2B481888"/>
    <w:rsid w:val="2B4824E2"/>
    <w:rsid w:val="2B485D2C"/>
    <w:rsid w:val="2B486052"/>
    <w:rsid w:val="2B487ADA"/>
    <w:rsid w:val="2B487EBC"/>
    <w:rsid w:val="2B4968E1"/>
    <w:rsid w:val="2B4A1AA4"/>
    <w:rsid w:val="2B4A3C10"/>
    <w:rsid w:val="2B4A5600"/>
    <w:rsid w:val="2B4A5B06"/>
    <w:rsid w:val="2B4A5F92"/>
    <w:rsid w:val="2B4A5F93"/>
    <w:rsid w:val="2B4A72C4"/>
    <w:rsid w:val="2B4B0342"/>
    <w:rsid w:val="2B4B1AD4"/>
    <w:rsid w:val="2B4C0426"/>
    <w:rsid w:val="2B4C1049"/>
    <w:rsid w:val="2B4C1378"/>
    <w:rsid w:val="2B4C2FF7"/>
    <w:rsid w:val="2B4C46A3"/>
    <w:rsid w:val="2B4C4D6E"/>
    <w:rsid w:val="2B4C5042"/>
    <w:rsid w:val="2B4D14A4"/>
    <w:rsid w:val="2B4D1CCF"/>
    <w:rsid w:val="2B4D2971"/>
    <w:rsid w:val="2B4D2B48"/>
    <w:rsid w:val="2B4E75AD"/>
    <w:rsid w:val="2B4F0E68"/>
    <w:rsid w:val="2B4F27E9"/>
    <w:rsid w:val="2B4F2C16"/>
    <w:rsid w:val="2B4F2E0C"/>
    <w:rsid w:val="2B4F318A"/>
    <w:rsid w:val="2B4F6A55"/>
    <w:rsid w:val="2B504399"/>
    <w:rsid w:val="2B505C45"/>
    <w:rsid w:val="2B506FA5"/>
    <w:rsid w:val="2B511475"/>
    <w:rsid w:val="2B513376"/>
    <w:rsid w:val="2B514BE0"/>
    <w:rsid w:val="2B5214A0"/>
    <w:rsid w:val="2B522706"/>
    <w:rsid w:val="2B5231F7"/>
    <w:rsid w:val="2B53374D"/>
    <w:rsid w:val="2B5355CD"/>
    <w:rsid w:val="2B536AF9"/>
    <w:rsid w:val="2B537BFE"/>
    <w:rsid w:val="2B54022C"/>
    <w:rsid w:val="2B5407E5"/>
    <w:rsid w:val="2B541789"/>
    <w:rsid w:val="2B5446D0"/>
    <w:rsid w:val="2B546606"/>
    <w:rsid w:val="2B5478A5"/>
    <w:rsid w:val="2B5524B6"/>
    <w:rsid w:val="2B560448"/>
    <w:rsid w:val="2B566ECA"/>
    <w:rsid w:val="2B572F1F"/>
    <w:rsid w:val="2B576738"/>
    <w:rsid w:val="2B5777A7"/>
    <w:rsid w:val="2B577D1D"/>
    <w:rsid w:val="2B582B6C"/>
    <w:rsid w:val="2B58377A"/>
    <w:rsid w:val="2B5837C8"/>
    <w:rsid w:val="2B5841C1"/>
    <w:rsid w:val="2B586F74"/>
    <w:rsid w:val="2B5907F0"/>
    <w:rsid w:val="2B5951A4"/>
    <w:rsid w:val="2B595843"/>
    <w:rsid w:val="2B595A98"/>
    <w:rsid w:val="2B597F39"/>
    <w:rsid w:val="2B5A022B"/>
    <w:rsid w:val="2B5A079D"/>
    <w:rsid w:val="2B5A3C59"/>
    <w:rsid w:val="2B5A5219"/>
    <w:rsid w:val="2B5A55FB"/>
    <w:rsid w:val="2B5A71A8"/>
    <w:rsid w:val="2B5B15BB"/>
    <w:rsid w:val="2B5B3499"/>
    <w:rsid w:val="2B5B3B34"/>
    <w:rsid w:val="2B5B5983"/>
    <w:rsid w:val="2B5B5A71"/>
    <w:rsid w:val="2B5B6A8B"/>
    <w:rsid w:val="2B5B7056"/>
    <w:rsid w:val="2B5B780D"/>
    <w:rsid w:val="2B5C0233"/>
    <w:rsid w:val="2B5C5333"/>
    <w:rsid w:val="2B5C7F1B"/>
    <w:rsid w:val="2B5D13AB"/>
    <w:rsid w:val="2B5D3C72"/>
    <w:rsid w:val="2B5D3F7C"/>
    <w:rsid w:val="2B5D4010"/>
    <w:rsid w:val="2B5D503D"/>
    <w:rsid w:val="2B5D5D70"/>
    <w:rsid w:val="2B5E67B3"/>
    <w:rsid w:val="2B5E72FD"/>
    <w:rsid w:val="2B5E75E3"/>
    <w:rsid w:val="2B5F33E9"/>
    <w:rsid w:val="2B5F5E10"/>
    <w:rsid w:val="2B5F689C"/>
    <w:rsid w:val="2B600AA9"/>
    <w:rsid w:val="2B602590"/>
    <w:rsid w:val="2B604E23"/>
    <w:rsid w:val="2B606583"/>
    <w:rsid w:val="2B611805"/>
    <w:rsid w:val="2B612949"/>
    <w:rsid w:val="2B612E65"/>
    <w:rsid w:val="2B613444"/>
    <w:rsid w:val="2B615399"/>
    <w:rsid w:val="2B61719B"/>
    <w:rsid w:val="2B620B9B"/>
    <w:rsid w:val="2B62597A"/>
    <w:rsid w:val="2B625DC7"/>
    <w:rsid w:val="2B6260AF"/>
    <w:rsid w:val="2B626DED"/>
    <w:rsid w:val="2B63281A"/>
    <w:rsid w:val="2B633486"/>
    <w:rsid w:val="2B640B4A"/>
    <w:rsid w:val="2B653354"/>
    <w:rsid w:val="2B655479"/>
    <w:rsid w:val="2B6568DD"/>
    <w:rsid w:val="2B663B9E"/>
    <w:rsid w:val="2B663EF2"/>
    <w:rsid w:val="2B664C99"/>
    <w:rsid w:val="2B6651E6"/>
    <w:rsid w:val="2B6736B7"/>
    <w:rsid w:val="2B6761B2"/>
    <w:rsid w:val="2B67714F"/>
    <w:rsid w:val="2B68183B"/>
    <w:rsid w:val="2B684A59"/>
    <w:rsid w:val="2B6850A6"/>
    <w:rsid w:val="2B6855C9"/>
    <w:rsid w:val="2B6861CE"/>
    <w:rsid w:val="2B69017C"/>
    <w:rsid w:val="2B692859"/>
    <w:rsid w:val="2B692BA8"/>
    <w:rsid w:val="2B6957F0"/>
    <w:rsid w:val="2B697157"/>
    <w:rsid w:val="2B6A1814"/>
    <w:rsid w:val="2B6A2D92"/>
    <w:rsid w:val="2B6A3332"/>
    <w:rsid w:val="2B6A3EF4"/>
    <w:rsid w:val="2B6A3FBF"/>
    <w:rsid w:val="2B6A5CA2"/>
    <w:rsid w:val="2B6A62B7"/>
    <w:rsid w:val="2B6A7A50"/>
    <w:rsid w:val="2B6A7EA0"/>
    <w:rsid w:val="2B6B0D2C"/>
    <w:rsid w:val="2B6B65DD"/>
    <w:rsid w:val="2B6C0025"/>
    <w:rsid w:val="2B6C1A1A"/>
    <w:rsid w:val="2B6C5576"/>
    <w:rsid w:val="2B6C764E"/>
    <w:rsid w:val="2B6C7C6C"/>
    <w:rsid w:val="2B6D04F5"/>
    <w:rsid w:val="2B6D0EA0"/>
    <w:rsid w:val="2B6D12EE"/>
    <w:rsid w:val="2B6D6E60"/>
    <w:rsid w:val="2B6D7540"/>
    <w:rsid w:val="2B6E04FE"/>
    <w:rsid w:val="2B6E491E"/>
    <w:rsid w:val="2B6E5792"/>
    <w:rsid w:val="2B6E6788"/>
    <w:rsid w:val="2B6E6D28"/>
    <w:rsid w:val="2B6E74E6"/>
    <w:rsid w:val="2B6F0F56"/>
    <w:rsid w:val="2B6F150A"/>
    <w:rsid w:val="2B6F6560"/>
    <w:rsid w:val="2B7062C1"/>
    <w:rsid w:val="2B710DDE"/>
    <w:rsid w:val="2B711EEE"/>
    <w:rsid w:val="2B712322"/>
    <w:rsid w:val="2B715F0F"/>
    <w:rsid w:val="2B7170F2"/>
    <w:rsid w:val="2B720512"/>
    <w:rsid w:val="2B7214F3"/>
    <w:rsid w:val="2B726905"/>
    <w:rsid w:val="2B731D91"/>
    <w:rsid w:val="2B734416"/>
    <w:rsid w:val="2B7354AA"/>
    <w:rsid w:val="2B73559B"/>
    <w:rsid w:val="2B735FC0"/>
    <w:rsid w:val="2B7361A2"/>
    <w:rsid w:val="2B742F7F"/>
    <w:rsid w:val="2B746B21"/>
    <w:rsid w:val="2B751B75"/>
    <w:rsid w:val="2B75309F"/>
    <w:rsid w:val="2B762899"/>
    <w:rsid w:val="2B7669E8"/>
    <w:rsid w:val="2B77111E"/>
    <w:rsid w:val="2B77216D"/>
    <w:rsid w:val="2B774B23"/>
    <w:rsid w:val="2B774F80"/>
    <w:rsid w:val="2B7826C8"/>
    <w:rsid w:val="2B783975"/>
    <w:rsid w:val="2B783FDB"/>
    <w:rsid w:val="2B7841A6"/>
    <w:rsid w:val="2B786611"/>
    <w:rsid w:val="2B791AF2"/>
    <w:rsid w:val="2B7933F9"/>
    <w:rsid w:val="2B79391A"/>
    <w:rsid w:val="2B7958AA"/>
    <w:rsid w:val="2B795C4D"/>
    <w:rsid w:val="2B795EE5"/>
    <w:rsid w:val="2B7A2189"/>
    <w:rsid w:val="2B7A22E2"/>
    <w:rsid w:val="2B7A26E0"/>
    <w:rsid w:val="2B7A2B6D"/>
    <w:rsid w:val="2B7A2ED9"/>
    <w:rsid w:val="2B7A34A4"/>
    <w:rsid w:val="2B7B068E"/>
    <w:rsid w:val="2B7B1006"/>
    <w:rsid w:val="2B7B1C0B"/>
    <w:rsid w:val="2B7B3233"/>
    <w:rsid w:val="2B7B3A0B"/>
    <w:rsid w:val="2B7B7EAF"/>
    <w:rsid w:val="2B7C28E6"/>
    <w:rsid w:val="2B7D0EB9"/>
    <w:rsid w:val="2B7D7254"/>
    <w:rsid w:val="2B7D7783"/>
    <w:rsid w:val="2B7D7DAF"/>
    <w:rsid w:val="2B7E06E4"/>
    <w:rsid w:val="2B7E174D"/>
    <w:rsid w:val="2B7E34FB"/>
    <w:rsid w:val="2B7E52A9"/>
    <w:rsid w:val="2B7E5CF8"/>
    <w:rsid w:val="2B7E6010"/>
    <w:rsid w:val="2B7E78A3"/>
    <w:rsid w:val="2B7E7F63"/>
    <w:rsid w:val="2B7F6556"/>
    <w:rsid w:val="2B7F68C6"/>
    <w:rsid w:val="2B7F70A5"/>
    <w:rsid w:val="2B7F751B"/>
    <w:rsid w:val="2B7F799F"/>
    <w:rsid w:val="2B7F7EAB"/>
    <w:rsid w:val="2B800538"/>
    <w:rsid w:val="2B801021"/>
    <w:rsid w:val="2B8016EB"/>
    <w:rsid w:val="2B801F8B"/>
    <w:rsid w:val="2B8057E2"/>
    <w:rsid w:val="2B807273"/>
    <w:rsid w:val="2B807316"/>
    <w:rsid w:val="2B8107B9"/>
    <w:rsid w:val="2B813A98"/>
    <w:rsid w:val="2B815B39"/>
    <w:rsid w:val="2B82123D"/>
    <w:rsid w:val="2B8212EE"/>
    <w:rsid w:val="2B822FEC"/>
    <w:rsid w:val="2B824D9A"/>
    <w:rsid w:val="2B830508"/>
    <w:rsid w:val="2B8330C6"/>
    <w:rsid w:val="2B835C97"/>
    <w:rsid w:val="2B836D64"/>
    <w:rsid w:val="2B842BCB"/>
    <w:rsid w:val="2B844556"/>
    <w:rsid w:val="2B845099"/>
    <w:rsid w:val="2B84549E"/>
    <w:rsid w:val="2B8459BA"/>
    <w:rsid w:val="2B85488A"/>
    <w:rsid w:val="2B85744D"/>
    <w:rsid w:val="2B861F3F"/>
    <w:rsid w:val="2B862095"/>
    <w:rsid w:val="2B863E5F"/>
    <w:rsid w:val="2B872091"/>
    <w:rsid w:val="2B8723B0"/>
    <w:rsid w:val="2B872E45"/>
    <w:rsid w:val="2B875CB3"/>
    <w:rsid w:val="2B877FB5"/>
    <w:rsid w:val="2B8811B8"/>
    <w:rsid w:val="2B882BD1"/>
    <w:rsid w:val="2B88437A"/>
    <w:rsid w:val="2B88588A"/>
    <w:rsid w:val="2B8925CC"/>
    <w:rsid w:val="2B8929CC"/>
    <w:rsid w:val="2B893F8C"/>
    <w:rsid w:val="2B894233"/>
    <w:rsid w:val="2B896EF6"/>
    <w:rsid w:val="2B8A1EA0"/>
    <w:rsid w:val="2B8A2F82"/>
    <w:rsid w:val="2B8A3832"/>
    <w:rsid w:val="2B8A3EC7"/>
    <w:rsid w:val="2B8A61D7"/>
    <w:rsid w:val="2B8A6780"/>
    <w:rsid w:val="2B8A684A"/>
    <w:rsid w:val="2B8B0D38"/>
    <w:rsid w:val="2B8B1F4E"/>
    <w:rsid w:val="2B8B2407"/>
    <w:rsid w:val="2B8B5D94"/>
    <w:rsid w:val="2B8B74EB"/>
    <w:rsid w:val="2B8C4014"/>
    <w:rsid w:val="2B8C598D"/>
    <w:rsid w:val="2B8C5C18"/>
    <w:rsid w:val="2B8C70D9"/>
    <w:rsid w:val="2B8C79C6"/>
    <w:rsid w:val="2B8D2F45"/>
    <w:rsid w:val="2B8D547D"/>
    <w:rsid w:val="2B8D663F"/>
    <w:rsid w:val="2B8E1652"/>
    <w:rsid w:val="2B8E3FF7"/>
    <w:rsid w:val="2B8E71AB"/>
    <w:rsid w:val="2B8F0E0F"/>
    <w:rsid w:val="2B8F395A"/>
    <w:rsid w:val="2B8F5708"/>
    <w:rsid w:val="2B8F6150"/>
    <w:rsid w:val="2B8F74B6"/>
    <w:rsid w:val="2B8F7F2F"/>
    <w:rsid w:val="2B9013DB"/>
    <w:rsid w:val="2B902842"/>
    <w:rsid w:val="2B902A29"/>
    <w:rsid w:val="2B907059"/>
    <w:rsid w:val="2B911A0F"/>
    <w:rsid w:val="2B911C60"/>
    <w:rsid w:val="2B91255A"/>
    <w:rsid w:val="2B91275D"/>
    <w:rsid w:val="2B91308B"/>
    <w:rsid w:val="2B91322F"/>
    <w:rsid w:val="2B91346B"/>
    <w:rsid w:val="2B9176D3"/>
    <w:rsid w:val="2B91781B"/>
    <w:rsid w:val="2B920A68"/>
    <w:rsid w:val="2B92133A"/>
    <w:rsid w:val="2B9217A6"/>
    <w:rsid w:val="2B9277BE"/>
    <w:rsid w:val="2B9305C1"/>
    <w:rsid w:val="2B9314C8"/>
    <w:rsid w:val="2B932214"/>
    <w:rsid w:val="2B934AFF"/>
    <w:rsid w:val="2B9351F9"/>
    <w:rsid w:val="2B936FA7"/>
    <w:rsid w:val="2B94048A"/>
    <w:rsid w:val="2B940F71"/>
    <w:rsid w:val="2B944ACD"/>
    <w:rsid w:val="2B9450E9"/>
    <w:rsid w:val="2B947567"/>
    <w:rsid w:val="2B947A46"/>
    <w:rsid w:val="2B954B8D"/>
    <w:rsid w:val="2B9551E4"/>
    <w:rsid w:val="2B9561A9"/>
    <w:rsid w:val="2B9573F5"/>
    <w:rsid w:val="2B960745"/>
    <w:rsid w:val="2B960845"/>
    <w:rsid w:val="2B960A8A"/>
    <w:rsid w:val="2B96298B"/>
    <w:rsid w:val="2B964CE9"/>
    <w:rsid w:val="2B96648D"/>
    <w:rsid w:val="2B9716A4"/>
    <w:rsid w:val="2B971BD2"/>
    <w:rsid w:val="2B9768D7"/>
    <w:rsid w:val="2B980A61"/>
    <w:rsid w:val="2B98280F"/>
    <w:rsid w:val="2B9845BD"/>
    <w:rsid w:val="2B990335"/>
    <w:rsid w:val="2B9A134C"/>
    <w:rsid w:val="2B9A24B9"/>
    <w:rsid w:val="2B9B18EA"/>
    <w:rsid w:val="2B9B22FF"/>
    <w:rsid w:val="2B9B3516"/>
    <w:rsid w:val="2B9B382F"/>
    <w:rsid w:val="2B9B40AD"/>
    <w:rsid w:val="2B9B5E5B"/>
    <w:rsid w:val="2B9C3BDB"/>
    <w:rsid w:val="2B9C3D7B"/>
    <w:rsid w:val="2B9C68B1"/>
    <w:rsid w:val="2B9C7567"/>
    <w:rsid w:val="2B9D0772"/>
    <w:rsid w:val="2B9D1BD3"/>
    <w:rsid w:val="2B9D4989"/>
    <w:rsid w:val="2B9D6077"/>
    <w:rsid w:val="2B9D62DA"/>
    <w:rsid w:val="2B9D6418"/>
    <w:rsid w:val="2B9D683D"/>
    <w:rsid w:val="2B9D7E25"/>
    <w:rsid w:val="2B9E27E7"/>
    <w:rsid w:val="2B9E4353"/>
    <w:rsid w:val="2B9F1933"/>
    <w:rsid w:val="2B9F2A27"/>
    <w:rsid w:val="2B9F2BAB"/>
    <w:rsid w:val="2B9F37D7"/>
    <w:rsid w:val="2B9F3B9D"/>
    <w:rsid w:val="2B9F4A20"/>
    <w:rsid w:val="2B9F7229"/>
    <w:rsid w:val="2BA00E4F"/>
    <w:rsid w:val="2BA016C4"/>
    <w:rsid w:val="2BA021BD"/>
    <w:rsid w:val="2BA04221"/>
    <w:rsid w:val="2BA07916"/>
    <w:rsid w:val="2BA13803"/>
    <w:rsid w:val="2BA14063"/>
    <w:rsid w:val="2BA2368E"/>
    <w:rsid w:val="2BA2543C"/>
    <w:rsid w:val="2BA27ADE"/>
    <w:rsid w:val="2BA40A2A"/>
    <w:rsid w:val="2BA411B4"/>
    <w:rsid w:val="2BA47406"/>
    <w:rsid w:val="2BA50A88"/>
    <w:rsid w:val="2BA50D54"/>
    <w:rsid w:val="2BA52670"/>
    <w:rsid w:val="2BA529DB"/>
    <w:rsid w:val="2BA538F1"/>
    <w:rsid w:val="2BA53B22"/>
    <w:rsid w:val="2BA56CDA"/>
    <w:rsid w:val="2BA57805"/>
    <w:rsid w:val="2BA60CCC"/>
    <w:rsid w:val="2BA63FDF"/>
    <w:rsid w:val="2BA74026"/>
    <w:rsid w:val="2BA80578"/>
    <w:rsid w:val="2BA81B0F"/>
    <w:rsid w:val="2BA81CE6"/>
    <w:rsid w:val="2BA839C1"/>
    <w:rsid w:val="2BA85C44"/>
    <w:rsid w:val="2BA90DCA"/>
    <w:rsid w:val="2BA94A1C"/>
    <w:rsid w:val="2BA95B4E"/>
    <w:rsid w:val="2BA97A51"/>
    <w:rsid w:val="2BAA0C64"/>
    <w:rsid w:val="2BAA110C"/>
    <w:rsid w:val="2BAA2542"/>
    <w:rsid w:val="2BAA31F5"/>
    <w:rsid w:val="2BAA42F0"/>
    <w:rsid w:val="2BAA4D44"/>
    <w:rsid w:val="2BAA609E"/>
    <w:rsid w:val="2BAA6270"/>
    <w:rsid w:val="2BAB1300"/>
    <w:rsid w:val="2BAB468A"/>
    <w:rsid w:val="2BAB4D20"/>
    <w:rsid w:val="2BAB7BBF"/>
    <w:rsid w:val="2BAC0068"/>
    <w:rsid w:val="2BAC62BA"/>
    <w:rsid w:val="2BAC6901"/>
    <w:rsid w:val="2BAC6ABA"/>
    <w:rsid w:val="2BAD0090"/>
    <w:rsid w:val="2BAD264D"/>
    <w:rsid w:val="2BAD3B44"/>
    <w:rsid w:val="2BAD56A3"/>
    <w:rsid w:val="2BAD5B8F"/>
    <w:rsid w:val="2BAE2642"/>
    <w:rsid w:val="2BAE50D0"/>
    <w:rsid w:val="2BAF13B9"/>
    <w:rsid w:val="2BAF1907"/>
    <w:rsid w:val="2BAF7B59"/>
    <w:rsid w:val="2BB00297"/>
    <w:rsid w:val="2BB03572"/>
    <w:rsid w:val="2BB05069"/>
    <w:rsid w:val="2BB05DAB"/>
    <w:rsid w:val="2BB066F8"/>
    <w:rsid w:val="2BB10214"/>
    <w:rsid w:val="2BB114B9"/>
    <w:rsid w:val="2BB138D1"/>
    <w:rsid w:val="2BB13ACE"/>
    <w:rsid w:val="2BB1567F"/>
    <w:rsid w:val="2BB160CD"/>
    <w:rsid w:val="2BB16143"/>
    <w:rsid w:val="2BB1742D"/>
    <w:rsid w:val="2BB213CB"/>
    <w:rsid w:val="2BB26BB6"/>
    <w:rsid w:val="2BB313F7"/>
    <w:rsid w:val="2BB331A5"/>
    <w:rsid w:val="2BB33634"/>
    <w:rsid w:val="2BB3536E"/>
    <w:rsid w:val="2BB37649"/>
    <w:rsid w:val="2BB4047B"/>
    <w:rsid w:val="2BB4205B"/>
    <w:rsid w:val="2BB4440B"/>
    <w:rsid w:val="2BB45366"/>
    <w:rsid w:val="2BB46F1D"/>
    <w:rsid w:val="2BB50774"/>
    <w:rsid w:val="2BB52134"/>
    <w:rsid w:val="2BB55565"/>
    <w:rsid w:val="2BB5770B"/>
    <w:rsid w:val="2BB61DE0"/>
    <w:rsid w:val="2BB65742"/>
    <w:rsid w:val="2BB67139"/>
    <w:rsid w:val="2BB67908"/>
    <w:rsid w:val="2BB71B5A"/>
    <w:rsid w:val="2BB71F4F"/>
    <w:rsid w:val="2BB804EE"/>
    <w:rsid w:val="2BB807BB"/>
    <w:rsid w:val="2BB80D2F"/>
    <w:rsid w:val="2BB80E03"/>
    <w:rsid w:val="2BB84BA7"/>
    <w:rsid w:val="2BB850C4"/>
    <w:rsid w:val="2BB92785"/>
    <w:rsid w:val="2BB96734"/>
    <w:rsid w:val="2BBA0936"/>
    <w:rsid w:val="2BBA09D7"/>
    <w:rsid w:val="2BBB15EE"/>
    <w:rsid w:val="2BBB1DC6"/>
    <w:rsid w:val="2BBB2FC8"/>
    <w:rsid w:val="2BBB5B3F"/>
    <w:rsid w:val="2BBB6AFF"/>
    <w:rsid w:val="2BBC404F"/>
    <w:rsid w:val="2BBD2BC7"/>
    <w:rsid w:val="2BBD4024"/>
    <w:rsid w:val="2BBD46E6"/>
    <w:rsid w:val="2BBD6077"/>
    <w:rsid w:val="2BBF56C3"/>
    <w:rsid w:val="2BBF5F81"/>
    <w:rsid w:val="2BBF6782"/>
    <w:rsid w:val="2BBF7751"/>
    <w:rsid w:val="2BC0005A"/>
    <w:rsid w:val="2BC00159"/>
    <w:rsid w:val="2BC01E59"/>
    <w:rsid w:val="2BC03B14"/>
    <w:rsid w:val="2BC04A6E"/>
    <w:rsid w:val="2BC058C2"/>
    <w:rsid w:val="2BC07A53"/>
    <w:rsid w:val="2BC07B83"/>
    <w:rsid w:val="2BC11E08"/>
    <w:rsid w:val="2BC12067"/>
    <w:rsid w:val="2BC1363F"/>
    <w:rsid w:val="2BC13AE0"/>
    <w:rsid w:val="2BC15C38"/>
    <w:rsid w:val="2BC1720F"/>
    <w:rsid w:val="2BC205B9"/>
    <w:rsid w:val="2BC220DF"/>
    <w:rsid w:val="2BC25788"/>
    <w:rsid w:val="2BC25ADE"/>
    <w:rsid w:val="2BC26D9E"/>
    <w:rsid w:val="2BC2788C"/>
    <w:rsid w:val="2BC27DAE"/>
    <w:rsid w:val="2BC3028C"/>
    <w:rsid w:val="2BC37160"/>
    <w:rsid w:val="2BC3752B"/>
    <w:rsid w:val="2BC401D6"/>
    <w:rsid w:val="2BC434CE"/>
    <w:rsid w:val="2BC43604"/>
    <w:rsid w:val="2BC4471B"/>
    <w:rsid w:val="2BC46A99"/>
    <w:rsid w:val="2BC5022A"/>
    <w:rsid w:val="2BC55B9B"/>
    <w:rsid w:val="2BC5612C"/>
    <w:rsid w:val="2BC5737C"/>
    <w:rsid w:val="2BC63090"/>
    <w:rsid w:val="2BC6539F"/>
    <w:rsid w:val="2BC66ED9"/>
    <w:rsid w:val="2BC73E71"/>
    <w:rsid w:val="2BC75BC3"/>
    <w:rsid w:val="2BC77BCA"/>
    <w:rsid w:val="2BC817F9"/>
    <w:rsid w:val="2BC83B9D"/>
    <w:rsid w:val="2BC84B7C"/>
    <w:rsid w:val="2BC86474"/>
    <w:rsid w:val="2BC90C1A"/>
    <w:rsid w:val="2BC9214B"/>
    <w:rsid w:val="2BC929C8"/>
    <w:rsid w:val="2BC93310"/>
    <w:rsid w:val="2BC947AB"/>
    <w:rsid w:val="2BC96A02"/>
    <w:rsid w:val="2BC96E6C"/>
    <w:rsid w:val="2BCA042B"/>
    <w:rsid w:val="2BCA04EF"/>
    <w:rsid w:val="2BCA1FD5"/>
    <w:rsid w:val="2BCA31B2"/>
    <w:rsid w:val="2BCA34CD"/>
    <w:rsid w:val="2BCA37B6"/>
    <w:rsid w:val="2BCA631E"/>
    <w:rsid w:val="2BCA7E9E"/>
    <w:rsid w:val="2BCB1AB0"/>
    <w:rsid w:val="2BCB6918"/>
    <w:rsid w:val="2BCB6ACF"/>
    <w:rsid w:val="2BCC070B"/>
    <w:rsid w:val="2BCC4488"/>
    <w:rsid w:val="2BCC5361"/>
    <w:rsid w:val="2BCC766D"/>
    <w:rsid w:val="2BCD6DAC"/>
    <w:rsid w:val="2BCD7E7D"/>
    <w:rsid w:val="2BCE023C"/>
    <w:rsid w:val="2BCE2330"/>
    <w:rsid w:val="2BCE4483"/>
    <w:rsid w:val="2BCE6231"/>
    <w:rsid w:val="2BCE6F53"/>
    <w:rsid w:val="2BCF0C61"/>
    <w:rsid w:val="2BCF2927"/>
    <w:rsid w:val="2BCF34BF"/>
    <w:rsid w:val="2BCF7BBF"/>
    <w:rsid w:val="2BD01C9C"/>
    <w:rsid w:val="2BD01CB7"/>
    <w:rsid w:val="2BD07219"/>
    <w:rsid w:val="2BD1105A"/>
    <w:rsid w:val="2BD11446"/>
    <w:rsid w:val="2BD1187D"/>
    <w:rsid w:val="2BD12CFE"/>
    <w:rsid w:val="2BD143EE"/>
    <w:rsid w:val="2BD15D21"/>
    <w:rsid w:val="2BD170FB"/>
    <w:rsid w:val="2BD17810"/>
    <w:rsid w:val="2BD17ACF"/>
    <w:rsid w:val="2BD26129"/>
    <w:rsid w:val="2BD26479"/>
    <w:rsid w:val="2BD27F42"/>
    <w:rsid w:val="2BD30EFE"/>
    <w:rsid w:val="2BD313D8"/>
    <w:rsid w:val="2BD31A99"/>
    <w:rsid w:val="2BD34277"/>
    <w:rsid w:val="2BD3443B"/>
    <w:rsid w:val="2BD4136D"/>
    <w:rsid w:val="2BD4288F"/>
    <w:rsid w:val="2BD43465"/>
    <w:rsid w:val="2BD43724"/>
    <w:rsid w:val="2BD454F8"/>
    <w:rsid w:val="2BD457F5"/>
    <w:rsid w:val="2BD5453D"/>
    <w:rsid w:val="2BD55811"/>
    <w:rsid w:val="2BD575BF"/>
    <w:rsid w:val="2BD650E5"/>
    <w:rsid w:val="2BD6547E"/>
    <w:rsid w:val="2BD664CD"/>
    <w:rsid w:val="2BD669CE"/>
    <w:rsid w:val="2BD75448"/>
    <w:rsid w:val="2BD7799F"/>
    <w:rsid w:val="2BD810F5"/>
    <w:rsid w:val="2BD812EE"/>
    <w:rsid w:val="2BD82C0B"/>
    <w:rsid w:val="2BD83EBF"/>
    <w:rsid w:val="2BD870AF"/>
    <w:rsid w:val="2BD874CA"/>
    <w:rsid w:val="2BD92719"/>
    <w:rsid w:val="2BD956A8"/>
    <w:rsid w:val="2BDA259C"/>
    <w:rsid w:val="2BDA2E28"/>
    <w:rsid w:val="2BDA4BD6"/>
    <w:rsid w:val="2BDA50FB"/>
    <w:rsid w:val="2BDA67DF"/>
    <w:rsid w:val="2BDA70E6"/>
    <w:rsid w:val="2BDA7F1C"/>
    <w:rsid w:val="2BDB0C4D"/>
    <w:rsid w:val="2BDB26FC"/>
    <w:rsid w:val="2BDB3612"/>
    <w:rsid w:val="2BDB6BA0"/>
    <w:rsid w:val="2BDC10FF"/>
    <w:rsid w:val="2BDC22FE"/>
    <w:rsid w:val="2BDC28EA"/>
    <w:rsid w:val="2BDC5260"/>
    <w:rsid w:val="2BDC79D0"/>
    <w:rsid w:val="2BDC7CCB"/>
    <w:rsid w:val="2BDD6474"/>
    <w:rsid w:val="2BDE2BF4"/>
    <w:rsid w:val="2BDE638D"/>
    <w:rsid w:val="2BDE6FFC"/>
    <w:rsid w:val="2BDF043E"/>
    <w:rsid w:val="2BDF0BA0"/>
    <w:rsid w:val="2BDF21EC"/>
    <w:rsid w:val="2BDF3837"/>
    <w:rsid w:val="2BDF39ED"/>
    <w:rsid w:val="2BDF6402"/>
    <w:rsid w:val="2BE00F10"/>
    <w:rsid w:val="2BE0256A"/>
    <w:rsid w:val="2BE03577"/>
    <w:rsid w:val="2BE041B6"/>
    <w:rsid w:val="2BE07D12"/>
    <w:rsid w:val="2BE121FF"/>
    <w:rsid w:val="2BE13AE1"/>
    <w:rsid w:val="2BE14B7E"/>
    <w:rsid w:val="2BE15083"/>
    <w:rsid w:val="2BE15299"/>
    <w:rsid w:val="2BE17DC1"/>
    <w:rsid w:val="2BE17F0C"/>
    <w:rsid w:val="2BE2064F"/>
    <w:rsid w:val="2BE21CDC"/>
    <w:rsid w:val="2BE22969"/>
    <w:rsid w:val="2BE23A8A"/>
    <w:rsid w:val="2BE25895"/>
    <w:rsid w:val="2BE26AC1"/>
    <w:rsid w:val="2BE301CA"/>
    <w:rsid w:val="2BE315B0"/>
    <w:rsid w:val="2BE358D3"/>
    <w:rsid w:val="2BE41B13"/>
    <w:rsid w:val="2BE43E62"/>
    <w:rsid w:val="2BE45A54"/>
    <w:rsid w:val="2BE47F0E"/>
    <w:rsid w:val="2BE5357A"/>
    <w:rsid w:val="2BE539E6"/>
    <w:rsid w:val="2BE54B79"/>
    <w:rsid w:val="2BE55328"/>
    <w:rsid w:val="2BE57F32"/>
    <w:rsid w:val="2BE64D82"/>
    <w:rsid w:val="2BE652AB"/>
    <w:rsid w:val="2BE6552C"/>
    <w:rsid w:val="2BE70A10"/>
    <w:rsid w:val="2BE7119B"/>
    <w:rsid w:val="2BE733F6"/>
    <w:rsid w:val="2BE74C9E"/>
    <w:rsid w:val="2BE76CFB"/>
    <w:rsid w:val="2BE874D8"/>
    <w:rsid w:val="2BE912BD"/>
    <w:rsid w:val="2BE91348"/>
    <w:rsid w:val="2BE93DDA"/>
    <w:rsid w:val="2BE977A2"/>
    <w:rsid w:val="2BEA4F26"/>
    <w:rsid w:val="2BEA5138"/>
    <w:rsid w:val="2BEA62D4"/>
    <w:rsid w:val="2BEA69B8"/>
    <w:rsid w:val="2BEA7D73"/>
    <w:rsid w:val="2BEB02F3"/>
    <w:rsid w:val="2BEB0898"/>
    <w:rsid w:val="2BEB4B15"/>
    <w:rsid w:val="2BEB71F4"/>
    <w:rsid w:val="2BEC2B5B"/>
    <w:rsid w:val="2BEC66B7"/>
    <w:rsid w:val="2BEC6A86"/>
    <w:rsid w:val="2BED0410"/>
    <w:rsid w:val="2BED26BC"/>
    <w:rsid w:val="2BED4B4A"/>
    <w:rsid w:val="2BEE1420"/>
    <w:rsid w:val="2BEE1EA6"/>
    <w:rsid w:val="2BEE242F"/>
    <w:rsid w:val="2BEE35D0"/>
    <w:rsid w:val="2BEE45B5"/>
    <w:rsid w:val="2BEE4B11"/>
    <w:rsid w:val="2BEE4C1C"/>
    <w:rsid w:val="2BEE541D"/>
    <w:rsid w:val="2BEE55D3"/>
    <w:rsid w:val="2BEE65D2"/>
    <w:rsid w:val="2BEF4EFD"/>
    <w:rsid w:val="2BF005B6"/>
    <w:rsid w:val="2BF04933"/>
    <w:rsid w:val="2BF0535F"/>
    <w:rsid w:val="2BF06EE9"/>
    <w:rsid w:val="2BF10DAE"/>
    <w:rsid w:val="2BF207CF"/>
    <w:rsid w:val="2BF2241C"/>
    <w:rsid w:val="2BF249DE"/>
    <w:rsid w:val="2BF24FAF"/>
    <w:rsid w:val="2BF30AC7"/>
    <w:rsid w:val="2BF33EE9"/>
    <w:rsid w:val="2BF33F8B"/>
    <w:rsid w:val="2BF34AB7"/>
    <w:rsid w:val="2BF37FB3"/>
    <w:rsid w:val="2BF43BCA"/>
    <w:rsid w:val="2BF45DBC"/>
    <w:rsid w:val="2BF460C2"/>
    <w:rsid w:val="2BF47177"/>
    <w:rsid w:val="2BF50E7C"/>
    <w:rsid w:val="2BF51A0F"/>
    <w:rsid w:val="2BF533E7"/>
    <w:rsid w:val="2BF53C12"/>
    <w:rsid w:val="2BF61755"/>
    <w:rsid w:val="2BF625CF"/>
    <w:rsid w:val="2BF643D0"/>
    <w:rsid w:val="2BF64877"/>
    <w:rsid w:val="2BF64A67"/>
    <w:rsid w:val="2BF656CB"/>
    <w:rsid w:val="2BF65788"/>
    <w:rsid w:val="2BF65974"/>
    <w:rsid w:val="2BF67CE6"/>
    <w:rsid w:val="2BF71508"/>
    <w:rsid w:val="2BF72CB1"/>
    <w:rsid w:val="2BF76540"/>
    <w:rsid w:val="2BF809C0"/>
    <w:rsid w:val="2BF81500"/>
    <w:rsid w:val="2BF832AE"/>
    <w:rsid w:val="2BF83E9D"/>
    <w:rsid w:val="2BF85881"/>
    <w:rsid w:val="2BF870F0"/>
    <w:rsid w:val="2BF9180D"/>
    <w:rsid w:val="2BF91D68"/>
    <w:rsid w:val="2BF92656"/>
    <w:rsid w:val="2BF96E42"/>
    <w:rsid w:val="2BFA0DD4"/>
    <w:rsid w:val="2BFA11C0"/>
    <w:rsid w:val="2BFA31F8"/>
    <w:rsid w:val="2BFA5BBB"/>
    <w:rsid w:val="2BFA646D"/>
    <w:rsid w:val="2BFB10FB"/>
    <w:rsid w:val="2BFB2BC6"/>
    <w:rsid w:val="2BFB3CA4"/>
    <w:rsid w:val="2BFB4B4C"/>
    <w:rsid w:val="2BFB76D0"/>
    <w:rsid w:val="2BFC07F2"/>
    <w:rsid w:val="2BFC0FF0"/>
    <w:rsid w:val="2BFC2E6F"/>
    <w:rsid w:val="2BFD0C9C"/>
    <w:rsid w:val="2BFD474A"/>
    <w:rsid w:val="2BFD5484"/>
    <w:rsid w:val="2BFD5A59"/>
    <w:rsid w:val="2BFD6B16"/>
    <w:rsid w:val="2BFE0E99"/>
    <w:rsid w:val="2BFE14BD"/>
    <w:rsid w:val="2BFE1AB2"/>
    <w:rsid w:val="2BFE212E"/>
    <w:rsid w:val="2BFE4851"/>
    <w:rsid w:val="2BFE65C2"/>
    <w:rsid w:val="2BFF0AC1"/>
    <w:rsid w:val="2BFF1AFF"/>
    <w:rsid w:val="2BFF288E"/>
    <w:rsid w:val="2BFF5D62"/>
    <w:rsid w:val="2BFF5DF9"/>
    <w:rsid w:val="2C0004FA"/>
    <w:rsid w:val="2C002162"/>
    <w:rsid w:val="2C002520"/>
    <w:rsid w:val="2C005992"/>
    <w:rsid w:val="2C006BAA"/>
    <w:rsid w:val="2C011C3F"/>
    <w:rsid w:val="2C013E17"/>
    <w:rsid w:val="2C01502C"/>
    <w:rsid w:val="2C016606"/>
    <w:rsid w:val="2C016D8C"/>
    <w:rsid w:val="2C02237E"/>
    <w:rsid w:val="2C02455B"/>
    <w:rsid w:val="2C026425"/>
    <w:rsid w:val="2C031EFC"/>
    <w:rsid w:val="2C034944"/>
    <w:rsid w:val="2C037EE1"/>
    <w:rsid w:val="2C037F42"/>
    <w:rsid w:val="2C0410D9"/>
    <w:rsid w:val="2C043A01"/>
    <w:rsid w:val="2C043F96"/>
    <w:rsid w:val="2C046CA5"/>
    <w:rsid w:val="2C047EA4"/>
    <w:rsid w:val="2C053522"/>
    <w:rsid w:val="2C054AC6"/>
    <w:rsid w:val="2C057779"/>
    <w:rsid w:val="2C063253"/>
    <w:rsid w:val="2C064D74"/>
    <w:rsid w:val="2C07191E"/>
    <w:rsid w:val="2C072245"/>
    <w:rsid w:val="2C0734F1"/>
    <w:rsid w:val="2C081458"/>
    <w:rsid w:val="2C086C8C"/>
    <w:rsid w:val="2C087063"/>
    <w:rsid w:val="2C09011C"/>
    <w:rsid w:val="2C0902BA"/>
    <w:rsid w:val="2C090C01"/>
    <w:rsid w:val="2C09133A"/>
    <w:rsid w:val="2C09185D"/>
    <w:rsid w:val="2C095014"/>
    <w:rsid w:val="2C095F72"/>
    <w:rsid w:val="2C097604"/>
    <w:rsid w:val="2C0A0CB2"/>
    <w:rsid w:val="2C0A34F0"/>
    <w:rsid w:val="2C0B0792"/>
    <w:rsid w:val="2C0B194F"/>
    <w:rsid w:val="2C0B2743"/>
    <w:rsid w:val="2C0B2FE1"/>
    <w:rsid w:val="2C0B4250"/>
    <w:rsid w:val="2C0B42AC"/>
    <w:rsid w:val="2C0C0B07"/>
    <w:rsid w:val="2C0C29DA"/>
    <w:rsid w:val="2C0C461A"/>
    <w:rsid w:val="2C0C4FAB"/>
    <w:rsid w:val="2C0C7209"/>
    <w:rsid w:val="2C0C72A5"/>
    <w:rsid w:val="2C0C7AE2"/>
    <w:rsid w:val="2C0D0D7C"/>
    <w:rsid w:val="2C0D3B38"/>
    <w:rsid w:val="2C0D7DDF"/>
    <w:rsid w:val="2C0E0BCE"/>
    <w:rsid w:val="2C0E0D23"/>
    <w:rsid w:val="2C0E2AD1"/>
    <w:rsid w:val="2C0E487F"/>
    <w:rsid w:val="2C0E6AD6"/>
    <w:rsid w:val="2C0E7532"/>
    <w:rsid w:val="2C0F087D"/>
    <w:rsid w:val="2C0F23A5"/>
    <w:rsid w:val="2C0F55C3"/>
    <w:rsid w:val="2C1005F7"/>
    <w:rsid w:val="2C10428F"/>
    <w:rsid w:val="2C106849"/>
    <w:rsid w:val="2C1073DF"/>
    <w:rsid w:val="2C111021"/>
    <w:rsid w:val="2C1113B8"/>
    <w:rsid w:val="2C1125C1"/>
    <w:rsid w:val="2C114181"/>
    <w:rsid w:val="2C1209CE"/>
    <w:rsid w:val="2C12290F"/>
    <w:rsid w:val="2C124911"/>
    <w:rsid w:val="2C1300E8"/>
    <w:rsid w:val="2C130597"/>
    <w:rsid w:val="2C131E96"/>
    <w:rsid w:val="2C144B2B"/>
    <w:rsid w:val="2C146970"/>
    <w:rsid w:val="2C151290"/>
    <w:rsid w:val="2C1520B2"/>
    <w:rsid w:val="2C153E60"/>
    <w:rsid w:val="2C154748"/>
    <w:rsid w:val="2C1551E9"/>
    <w:rsid w:val="2C1610F3"/>
    <w:rsid w:val="2C162720"/>
    <w:rsid w:val="2C163734"/>
    <w:rsid w:val="2C165656"/>
    <w:rsid w:val="2C165F57"/>
    <w:rsid w:val="2C1673B6"/>
    <w:rsid w:val="2C1726A5"/>
    <w:rsid w:val="2C181352"/>
    <w:rsid w:val="2C1827F9"/>
    <w:rsid w:val="2C18463C"/>
    <w:rsid w:val="2C184955"/>
    <w:rsid w:val="2C19129F"/>
    <w:rsid w:val="2C1950D5"/>
    <w:rsid w:val="2C195441"/>
    <w:rsid w:val="2C1A2261"/>
    <w:rsid w:val="2C1A2DF3"/>
    <w:rsid w:val="2C1A3C72"/>
    <w:rsid w:val="2C1A6744"/>
    <w:rsid w:val="2C1A682E"/>
    <w:rsid w:val="2C1A76C8"/>
    <w:rsid w:val="2C1A79B9"/>
    <w:rsid w:val="2C1B18BC"/>
    <w:rsid w:val="2C1B40E6"/>
    <w:rsid w:val="2C1B5102"/>
    <w:rsid w:val="2C1B6E4B"/>
    <w:rsid w:val="2C1C3440"/>
    <w:rsid w:val="2C1C3E5F"/>
    <w:rsid w:val="2C1C4BEE"/>
    <w:rsid w:val="2C1C593A"/>
    <w:rsid w:val="2C1C5CA6"/>
    <w:rsid w:val="2C1C6592"/>
    <w:rsid w:val="2C1D4AC2"/>
    <w:rsid w:val="2C1E09C4"/>
    <w:rsid w:val="2C1F3A83"/>
    <w:rsid w:val="2C1F4578"/>
    <w:rsid w:val="2C1F64F8"/>
    <w:rsid w:val="2C1F6654"/>
    <w:rsid w:val="2C1F6A8C"/>
    <w:rsid w:val="2C1F6FFA"/>
    <w:rsid w:val="2C1F785A"/>
    <w:rsid w:val="2C2020B9"/>
    <w:rsid w:val="2C20380A"/>
    <w:rsid w:val="2C207AE4"/>
    <w:rsid w:val="2C2106F4"/>
    <w:rsid w:val="2C210A56"/>
    <w:rsid w:val="2C2118AE"/>
    <w:rsid w:val="2C212804"/>
    <w:rsid w:val="2C214F7D"/>
    <w:rsid w:val="2C2220D9"/>
    <w:rsid w:val="2C230601"/>
    <w:rsid w:val="2C231CF0"/>
    <w:rsid w:val="2C23371E"/>
    <w:rsid w:val="2C233894"/>
    <w:rsid w:val="2C233FF4"/>
    <w:rsid w:val="2C240B9D"/>
    <w:rsid w:val="2C2440A3"/>
    <w:rsid w:val="2C245089"/>
    <w:rsid w:val="2C246CA7"/>
    <w:rsid w:val="2C247025"/>
    <w:rsid w:val="2C250DAF"/>
    <w:rsid w:val="2C251BC9"/>
    <w:rsid w:val="2C260930"/>
    <w:rsid w:val="2C260F34"/>
    <w:rsid w:val="2C262E4D"/>
    <w:rsid w:val="2C267A1B"/>
    <w:rsid w:val="2C272AF2"/>
    <w:rsid w:val="2C273185"/>
    <w:rsid w:val="2C274940"/>
    <w:rsid w:val="2C275883"/>
    <w:rsid w:val="2C284F37"/>
    <w:rsid w:val="2C284FFE"/>
    <w:rsid w:val="2C2856B0"/>
    <w:rsid w:val="2C287392"/>
    <w:rsid w:val="2C291829"/>
    <w:rsid w:val="2C2922D7"/>
    <w:rsid w:val="2C293770"/>
    <w:rsid w:val="2C293F03"/>
    <w:rsid w:val="2C2942D1"/>
    <w:rsid w:val="2C2965E5"/>
    <w:rsid w:val="2C29790B"/>
    <w:rsid w:val="2C2A2CA1"/>
    <w:rsid w:val="2C2A4230"/>
    <w:rsid w:val="2C2A71DF"/>
    <w:rsid w:val="2C2A7590"/>
    <w:rsid w:val="2C2A7C73"/>
    <w:rsid w:val="2C2B3683"/>
    <w:rsid w:val="2C2B4BF7"/>
    <w:rsid w:val="2C2B4ED8"/>
    <w:rsid w:val="2C2B5431"/>
    <w:rsid w:val="2C2B5D95"/>
    <w:rsid w:val="2C2B7928"/>
    <w:rsid w:val="2C2C11A9"/>
    <w:rsid w:val="2C2C438B"/>
    <w:rsid w:val="2C2D017D"/>
    <w:rsid w:val="2C2D5F55"/>
    <w:rsid w:val="2C2E0A7D"/>
    <w:rsid w:val="2C2E3173"/>
    <w:rsid w:val="2C2E31BB"/>
    <w:rsid w:val="2C2E4F21"/>
    <w:rsid w:val="2C2E4F34"/>
    <w:rsid w:val="2C2E56FB"/>
    <w:rsid w:val="2C2F0ADD"/>
    <w:rsid w:val="2C2F1436"/>
    <w:rsid w:val="2C2F1B7A"/>
    <w:rsid w:val="2C2F3578"/>
    <w:rsid w:val="2C2F5FB9"/>
    <w:rsid w:val="2C301D6C"/>
    <w:rsid w:val="2C301E38"/>
    <w:rsid w:val="2C303AFC"/>
    <w:rsid w:val="2C31056E"/>
    <w:rsid w:val="2C31648C"/>
    <w:rsid w:val="2C3167C0"/>
    <w:rsid w:val="2C3223A7"/>
    <w:rsid w:val="2C32240E"/>
    <w:rsid w:val="2C323B29"/>
    <w:rsid w:val="2C32672D"/>
    <w:rsid w:val="2C326C62"/>
    <w:rsid w:val="2C3274C4"/>
    <w:rsid w:val="2C332538"/>
    <w:rsid w:val="2C334804"/>
    <w:rsid w:val="2C3351F7"/>
    <w:rsid w:val="2C33688E"/>
    <w:rsid w:val="2C344E0D"/>
    <w:rsid w:val="2C3478F5"/>
    <w:rsid w:val="2C347C8E"/>
    <w:rsid w:val="2C35005E"/>
    <w:rsid w:val="2C351A00"/>
    <w:rsid w:val="2C353E52"/>
    <w:rsid w:val="2C356FC5"/>
    <w:rsid w:val="2C357D80"/>
    <w:rsid w:val="2C360810"/>
    <w:rsid w:val="2C3652B4"/>
    <w:rsid w:val="2C365B84"/>
    <w:rsid w:val="2C367C2F"/>
    <w:rsid w:val="2C371498"/>
    <w:rsid w:val="2C37587E"/>
    <w:rsid w:val="2C3759DE"/>
    <w:rsid w:val="2C37720A"/>
    <w:rsid w:val="2C377930"/>
    <w:rsid w:val="2C380EDE"/>
    <w:rsid w:val="2C38462A"/>
    <w:rsid w:val="2C385DA0"/>
    <w:rsid w:val="2C390152"/>
    <w:rsid w:val="2C39031A"/>
    <w:rsid w:val="2C391945"/>
    <w:rsid w:val="2C396590"/>
    <w:rsid w:val="2C3A1B18"/>
    <w:rsid w:val="2C3A2459"/>
    <w:rsid w:val="2C3A38C6"/>
    <w:rsid w:val="2C3A4EB7"/>
    <w:rsid w:val="2C3A5674"/>
    <w:rsid w:val="2C3B0C39"/>
    <w:rsid w:val="2C3B0D22"/>
    <w:rsid w:val="2C3B319A"/>
    <w:rsid w:val="2C3B47D2"/>
    <w:rsid w:val="2C3B7B95"/>
    <w:rsid w:val="2C3C1119"/>
    <w:rsid w:val="2C3C2164"/>
    <w:rsid w:val="2C3C4B47"/>
    <w:rsid w:val="2C3C5871"/>
    <w:rsid w:val="2C3D0609"/>
    <w:rsid w:val="2C3D6B7B"/>
    <w:rsid w:val="2C3E02D8"/>
    <w:rsid w:val="2C3E31B1"/>
    <w:rsid w:val="2C3F0EDD"/>
    <w:rsid w:val="2C3F194B"/>
    <w:rsid w:val="2C402318"/>
    <w:rsid w:val="2C404AC4"/>
    <w:rsid w:val="2C405F66"/>
    <w:rsid w:val="2C412EA7"/>
    <w:rsid w:val="2C41341C"/>
    <w:rsid w:val="2C420A56"/>
    <w:rsid w:val="2C42114D"/>
    <w:rsid w:val="2C424529"/>
    <w:rsid w:val="2C427F9D"/>
    <w:rsid w:val="2C432E7E"/>
    <w:rsid w:val="2C4334AA"/>
    <w:rsid w:val="2C4357F7"/>
    <w:rsid w:val="2C4368D7"/>
    <w:rsid w:val="2C4402A1"/>
    <w:rsid w:val="2C441517"/>
    <w:rsid w:val="2C444745"/>
    <w:rsid w:val="2C445C9D"/>
    <w:rsid w:val="2C4464F3"/>
    <w:rsid w:val="2C4524A8"/>
    <w:rsid w:val="2C4531B8"/>
    <w:rsid w:val="2C453FED"/>
    <w:rsid w:val="2C456AF1"/>
    <w:rsid w:val="2C46226B"/>
    <w:rsid w:val="2C4627F2"/>
    <w:rsid w:val="2C4633AB"/>
    <w:rsid w:val="2C463456"/>
    <w:rsid w:val="2C464019"/>
    <w:rsid w:val="2C4711D0"/>
    <w:rsid w:val="2C471B3F"/>
    <w:rsid w:val="2C472C8F"/>
    <w:rsid w:val="2C472D4B"/>
    <w:rsid w:val="2C475181"/>
    <w:rsid w:val="2C475FE3"/>
    <w:rsid w:val="2C477D91"/>
    <w:rsid w:val="2C4802D3"/>
    <w:rsid w:val="2C4809C9"/>
    <w:rsid w:val="2C484235"/>
    <w:rsid w:val="2C490A28"/>
    <w:rsid w:val="2C491D5B"/>
    <w:rsid w:val="2C493B09"/>
    <w:rsid w:val="2C49545E"/>
    <w:rsid w:val="2C4958B7"/>
    <w:rsid w:val="2C496CF0"/>
    <w:rsid w:val="2C4A0F36"/>
    <w:rsid w:val="2C4A1130"/>
    <w:rsid w:val="2C4A4056"/>
    <w:rsid w:val="2C4A5C83"/>
    <w:rsid w:val="2C4B10C1"/>
    <w:rsid w:val="2C4B162F"/>
    <w:rsid w:val="2C4B1FA8"/>
    <w:rsid w:val="2C4B5AD3"/>
    <w:rsid w:val="2C4B5D51"/>
    <w:rsid w:val="2C4B6E30"/>
    <w:rsid w:val="2C4B7881"/>
    <w:rsid w:val="2C4C3F30"/>
    <w:rsid w:val="2C4C4BB2"/>
    <w:rsid w:val="2C4C4C43"/>
    <w:rsid w:val="2C4C53A8"/>
    <w:rsid w:val="2C4C65C1"/>
    <w:rsid w:val="2C4D184B"/>
    <w:rsid w:val="2C4D5424"/>
    <w:rsid w:val="2C4E198F"/>
    <w:rsid w:val="2C4E7372"/>
    <w:rsid w:val="2C4F0D5E"/>
    <w:rsid w:val="2C4F0E4A"/>
    <w:rsid w:val="2C4F2EE4"/>
    <w:rsid w:val="2C4F44A3"/>
    <w:rsid w:val="2C4F4653"/>
    <w:rsid w:val="2C500E5F"/>
    <w:rsid w:val="2C504E98"/>
    <w:rsid w:val="2C506C46"/>
    <w:rsid w:val="2C50729F"/>
    <w:rsid w:val="2C5129BE"/>
    <w:rsid w:val="2C515AC6"/>
    <w:rsid w:val="2C516912"/>
    <w:rsid w:val="2C516F34"/>
    <w:rsid w:val="2C5174A4"/>
    <w:rsid w:val="2C51752B"/>
    <w:rsid w:val="2C520C10"/>
    <w:rsid w:val="2C524368"/>
    <w:rsid w:val="2C526503"/>
    <w:rsid w:val="2C526E62"/>
    <w:rsid w:val="2C532BDA"/>
    <w:rsid w:val="2C536608"/>
    <w:rsid w:val="2C536736"/>
    <w:rsid w:val="2C545BC7"/>
    <w:rsid w:val="2C545F32"/>
    <w:rsid w:val="2C545F75"/>
    <w:rsid w:val="2C546392"/>
    <w:rsid w:val="2C550FC2"/>
    <w:rsid w:val="2C5515D9"/>
    <w:rsid w:val="2C5524AE"/>
    <w:rsid w:val="2C55425C"/>
    <w:rsid w:val="2C55458E"/>
    <w:rsid w:val="2C5555F9"/>
    <w:rsid w:val="2C556723"/>
    <w:rsid w:val="2C55747C"/>
    <w:rsid w:val="2C563D6E"/>
    <w:rsid w:val="2C564847"/>
    <w:rsid w:val="2C565AD8"/>
    <w:rsid w:val="2C567CDD"/>
    <w:rsid w:val="2C567FD4"/>
    <w:rsid w:val="2C57495C"/>
    <w:rsid w:val="2C576226"/>
    <w:rsid w:val="2C581F9E"/>
    <w:rsid w:val="2C583D4C"/>
    <w:rsid w:val="2C591059"/>
    <w:rsid w:val="2C591846"/>
    <w:rsid w:val="2C5942AB"/>
    <w:rsid w:val="2C5950A4"/>
    <w:rsid w:val="2C596EFE"/>
    <w:rsid w:val="2C5A1105"/>
    <w:rsid w:val="2C5A3686"/>
    <w:rsid w:val="2C5A4607"/>
    <w:rsid w:val="2C5C3619"/>
    <w:rsid w:val="2C5C383D"/>
    <w:rsid w:val="2C5D1265"/>
    <w:rsid w:val="2C5D1A55"/>
    <w:rsid w:val="2C5D5807"/>
    <w:rsid w:val="2C5E57ED"/>
    <w:rsid w:val="2C5F12BC"/>
    <w:rsid w:val="2C5F157F"/>
    <w:rsid w:val="2C5F332D"/>
    <w:rsid w:val="2C5F3F5D"/>
    <w:rsid w:val="2C5F574C"/>
    <w:rsid w:val="2C5F60D8"/>
    <w:rsid w:val="2C5F6820"/>
    <w:rsid w:val="2C5F7A9E"/>
    <w:rsid w:val="2C600023"/>
    <w:rsid w:val="2C602C01"/>
    <w:rsid w:val="2C607E2D"/>
    <w:rsid w:val="2C610E53"/>
    <w:rsid w:val="2C6170A5"/>
    <w:rsid w:val="2C617937"/>
    <w:rsid w:val="2C620C30"/>
    <w:rsid w:val="2C624BA9"/>
    <w:rsid w:val="2C624BCB"/>
    <w:rsid w:val="2C625CF0"/>
    <w:rsid w:val="2C63053E"/>
    <w:rsid w:val="2C631BE3"/>
    <w:rsid w:val="2C634F05"/>
    <w:rsid w:val="2C6363D6"/>
    <w:rsid w:val="2C637A2A"/>
    <w:rsid w:val="2C637CCD"/>
    <w:rsid w:val="2C641F76"/>
    <w:rsid w:val="2C644EE1"/>
    <w:rsid w:val="2C646B95"/>
    <w:rsid w:val="2C6530E0"/>
    <w:rsid w:val="2C6538C0"/>
    <w:rsid w:val="2C6538E6"/>
    <w:rsid w:val="2C656218"/>
    <w:rsid w:val="2C660744"/>
    <w:rsid w:val="2C662488"/>
    <w:rsid w:val="2C663AA2"/>
    <w:rsid w:val="2C664005"/>
    <w:rsid w:val="2C671118"/>
    <w:rsid w:val="2C671B79"/>
    <w:rsid w:val="2C68380D"/>
    <w:rsid w:val="2C686666"/>
    <w:rsid w:val="2C6901BC"/>
    <w:rsid w:val="2C6941A5"/>
    <w:rsid w:val="2C6941AB"/>
    <w:rsid w:val="2C694B99"/>
    <w:rsid w:val="2C695F59"/>
    <w:rsid w:val="2C697D08"/>
    <w:rsid w:val="2C6A0B95"/>
    <w:rsid w:val="2C6B0B72"/>
    <w:rsid w:val="2C6B23D3"/>
    <w:rsid w:val="2C6B7F24"/>
    <w:rsid w:val="2C6C08ED"/>
    <w:rsid w:val="2C6C140A"/>
    <w:rsid w:val="2C6C1B47"/>
    <w:rsid w:val="2C6C77F8"/>
    <w:rsid w:val="2C6D2744"/>
    <w:rsid w:val="2C6D7F08"/>
    <w:rsid w:val="2C6E0AA4"/>
    <w:rsid w:val="2C6E3570"/>
    <w:rsid w:val="2C6E474A"/>
    <w:rsid w:val="2C6E531E"/>
    <w:rsid w:val="2C6E746C"/>
    <w:rsid w:val="2C6F1E42"/>
    <w:rsid w:val="2C6F72CA"/>
    <w:rsid w:val="2C700978"/>
    <w:rsid w:val="2C700A28"/>
    <w:rsid w:val="2C70101E"/>
    <w:rsid w:val="2C701096"/>
    <w:rsid w:val="2C702EEC"/>
    <w:rsid w:val="2C7072E8"/>
    <w:rsid w:val="2C711F09"/>
    <w:rsid w:val="2C714E0E"/>
    <w:rsid w:val="2C716073"/>
    <w:rsid w:val="2C717AE2"/>
    <w:rsid w:val="2C7212B2"/>
    <w:rsid w:val="2C7219A3"/>
    <w:rsid w:val="2C725C4B"/>
    <w:rsid w:val="2C7305D0"/>
    <w:rsid w:val="2C730B86"/>
    <w:rsid w:val="2C732B65"/>
    <w:rsid w:val="2C7333ED"/>
    <w:rsid w:val="2C73502A"/>
    <w:rsid w:val="2C7366B4"/>
    <w:rsid w:val="2C736DD8"/>
    <w:rsid w:val="2C752B50"/>
    <w:rsid w:val="2C75313C"/>
    <w:rsid w:val="2C75333F"/>
    <w:rsid w:val="2C7548FE"/>
    <w:rsid w:val="2C7566AC"/>
    <w:rsid w:val="2C756967"/>
    <w:rsid w:val="2C764523"/>
    <w:rsid w:val="2C766667"/>
    <w:rsid w:val="2C7702D7"/>
    <w:rsid w:val="2C770676"/>
    <w:rsid w:val="2C77165C"/>
    <w:rsid w:val="2C771D6E"/>
    <w:rsid w:val="2C772424"/>
    <w:rsid w:val="2C7768C8"/>
    <w:rsid w:val="2C7804AA"/>
    <w:rsid w:val="2C7819BD"/>
    <w:rsid w:val="2C78263F"/>
    <w:rsid w:val="2C7831FE"/>
    <w:rsid w:val="2C7843EE"/>
    <w:rsid w:val="2C78619D"/>
    <w:rsid w:val="2C7908B7"/>
    <w:rsid w:val="2C792612"/>
    <w:rsid w:val="2C796D86"/>
    <w:rsid w:val="2C7A0167"/>
    <w:rsid w:val="2C7A06E9"/>
    <w:rsid w:val="2C7A06EF"/>
    <w:rsid w:val="2C7A7F39"/>
    <w:rsid w:val="2C7B479C"/>
    <w:rsid w:val="2C7B710E"/>
    <w:rsid w:val="2C7C11AB"/>
    <w:rsid w:val="2C7C42C7"/>
    <w:rsid w:val="2C7C460F"/>
    <w:rsid w:val="2C7C7A3B"/>
    <w:rsid w:val="2C7D0A61"/>
    <w:rsid w:val="2C7D1A05"/>
    <w:rsid w:val="2C7D37B3"/>
    <w:rsid w:val="2C7D4415"/>
    <w:rsid w:val="2C7D450C"/>
    <w:rsid w:val="2C7E1254"/>
    <w:rsid w:val="2C7E3FE6"/>
    <w:rsid w:val="2C7E5774"/>
    <w:rsid w:val="2C7E592F"/>
    <w:rsid w:val="2C7F31B6"/>
    <w:rsid w:val="2C7F327F"/>
    <w:rsid w:val="2C7F5B5B"/>
    <w:rsid w:val="2C7F68AC"/>
    <w:rsid w:val="2C801FDA"/>
    <w:rsid w:val="2C803C75"/>
    <w:rsid w:val="2C805491"/>
    <w:rsid w:val="2C810479"/>
    <w:rsid w:val="2C8114F5"/>
    <w:rsid w:val="2C8132A3"/>
    <w:rsid w:val="2C813843"/>
    <w:rsid w:val="2C8142B0"/>
    <w:rsid w:val="2C815051"/>
    <w:rsid w:val="2C815F59"/>
    <w:rsid w:val="2C8161DF"/>
    <w:rsid w:val="2C817F9F"/>
    <w:rsid w:val="2C820DC9"/>
    <w:rsid w:val="2C823AC6"/>
    <w:rsid w:val="2C825740"/>
    <w:rsid w:val="2C825759"/>
    <w:rsid w:val="2C826E81"/>
    <w:rsid w:val="2C82701B"/>
    <w:rsid w:val="2C827F46"/>
    <w:rsid w:val="2C834DB5"/>
    <w:rsid w:val="2C840FE5"/>
    <w:rsid w:val="2C84117B"/>
    <w:rsid w:val="2C84505A"/>
    <w:rsid w:val="2C845061"/>
    <w:rsid w:val="2C846EA1"/>
    <w:rsid w:val="2C852C31"/>
    <w:rsid w:val="2C854573"/>
    <w:rsid w:val="2C8573C2"/>
    <w:rsid w:val="2C857CE9"/>
    <w:rsid w:val="2C857D52"/>
    <w:rsid w:val="2C862549"/>
    <w:rsid w:val="2C864381"/>
    <w:rsid w:val="2C871616"/>
    <w:rsid w:val="2C8720FC"/>
    <w:rsid w:val="2C8763E0"/>
    <w:rsid w:val="2C87646E"/>
    <w:rsid w:val="2C8775FB"/>
    <w:rsid w:val="2C87788D"/>
    <w:rsid w:val="2C8859B6"/>
    <w:rsid w:val="2C887930"/>
    <w:rsid w:val="2C8903AA"/>
    <w:rsid w:val="2C891D8B"/>
    <w:rsid w:val="2C894183"/>
    <w:rsid w:val="2C894EF0"/>
    <w:rsid w:val="2C8953CC"/>
    <w:rsid w:val="2C8A5613"/>
    <w:rsid w:val="2C8B2374"/>
    <w:rsid w:val="2C8B2FCF"/>
    <w:rsid w:val="2C8B4122"/>
    <w:rsid w:val="2C8B614F"/>
    <w:rsid w:val="2C8B74DF"/>
    <w:rsid w:val="2C8C00C1"/>
    <w:rsid w:val="2C8C1AEF"/>
    <w:rsid w:val="2C8C5183"/>
    <w:rsid w:val="2C8C6396"/>
    <w:rsid w:val="2C8D05A0"/>
    <w:rsid w:val="2C8D1C48"/>
    <w:rsid w:val="2C8D4430"/>
    <w:rsid w:val="2C8D7B3B"/>
    <w:rsid w:val="2C8E1405"/>
    <w:rsid w:val="2C8E1D12"/>
    <w:rsid w:val="2C8E62CA"/>
    <w:rsid w:val="2C8E6613"/>
    <w:rsid w:val="2C8E776E"/>
    <w:rsid w:val="2C8F1736"/>
    <w:rsid w:val="2C901738"/>
    <w:rsid w:val="2C9034E6"/>
    <w:rsid w:val="2C905043"/>
    <w:rsid w:val="2C90798A"/>
    <w:rsid w:val="2C91353B"/>
    <w:rsid w:val="2C913DA5"/>
    <w:rsid w:val="2C920138"/>
    <w:rsid w:val="2C9215BB"/>
    <w:rsid w:val="2C921FC8"/>
    <w:rsid w:val="2C9254B0"/>
    <w:rsid w:val="2C92725E"/>
    <w:rsid w:val="2C932FD6"/>
    <w:rsid w:val="2C9346BD"/>
    <w:rsid w:val="2C9366C5"/>
    <w:rsid w:val="2C940AB7"/>
    <w:rsid w:val="2C941296"/>
    <w:rsid w:val="2C943468"/>
    <w:rsid w:val="2C946DE7"/>
    <w:rsid w:val="2C9525F7"/>
    <w:rsid w:val="2C954A40"/>
    <w:rsid w:val="2C954FA0"/>
    <w:rsid w:val="2C96162C"/>
    <w:rsid w:val="2C963BB6"/>
    <w:rsid w:val="2C970D19"/>
    <w:rsid w:val="2C972AC7"/>
    <w:rsid w:val="2C974C87"/>
    <w:rsid w:val="2C97607D"/>
    <w:rsid w:val="2C977C17"/>
    <w:rsid w:val="2C9805ED"/>
    <w:rsid w:val="2C9820F9"/>
    <w:rsid w:val="2C984A9E"/>
    <w:rsid w:val="2C9907F0"/>
    <w:rsid w:val="2C991033"/>
    <w:rsid w:val="2C9918B9"/>
    <w:rsid w:val="2C99203F"/>
    <w:rsid w:val="2C9A109F"/>
    <w:rsid w:val="2C9A25B7"/>
    <w:rsid w:val="2C9A2CEC"/>
    <w:rsid w:val="2C9A4365"/>
    <w:rsid w:val="2C9A6113"/>
    <w:rsid w:val="2C9A6447"/>
    <w:rsid w:val="2C9A6F3E"/>
    <w:rsid w:val="2C9B3580"/>
    <w:rsid w:val="2C9B6E73"/>
    <w:rsid w:val="2C9C00DD"/>
    <w:rsid w:val="2C9C11BA"/>
    <w:rsid w:val="2C9C285E"/>
    <w:rsid w:val="2C9C6315"/>
    <w:rsid w:val="2C9D121A"/>
    <w:rsid w:val="2C9D2348"/>
    <w:rsid w:val="2C9D38C0"/>
    <w:rsid w:val="2C9D39DC"/>
    <w:rsid w:val="2C9E20A7"/>
    <w:rsid w:val="2C9E262C"/>
    <w:rsid w:val="2C9E41C1"/>
    <w:rsid w:val="2C9E4C09"/>
    <w:rsid w:val="2C9E5562"/>
    <w:rsid w:val="2C9E6936"/>
    <w:rsid w:val="2C9F197B"/>
    <w:rsid w:val="2C9F3729"/>
    <w:rsid w:val="2C9F475E"/>
    <w:rsid w:val="2C9F7BCD"/>
    <w:rsid w:val="2CA07839"/>
    <w:rsid w:val="2CA10BD9"/>
    <w:rsid w:val="2CA10DA3"/>
    <w:rsid w:val="2CA11DA5"/>
    <w:rsid w:val="2CA12EFD"/>
    <w:rsid w:val="2CA156F3"/>
    <w:rsid w:val="2CA174A1"/>
    <w:rsid w:val="2CA20A9B"/>
    <w:rsid w:val="2CA23B42"/>
    <w:rsid w:val="2CA23BCB"/>
    <w:rsid w:val="2CA24D2A"/>
    <w:rsid w:val="2CA325A2"/>
    <w:rsid w:val="2CA40CE8"/>
    <w:rsid w:val="2CA43435"/>
    <w:rsid w:val="2CA44669"/>
    <w:rsid w:val="2CA451E4"/>
    <w:rsid w:val="2CA466DF"/>
    <w:rsid w:val="2CA469C2"/>
    <w:rsid w:val="2CA46F92"/>
    <w:rsid w:val="2CA5096D"/>
    <w:rsid w:val="2CA51157"/>
    <w:rsid w:val="2CA60F5C"/>
    <w:rsid w:val="2CA63F92"/>
    <w:rsid w:val="2CA64AB8"/>
    <w:rsid w:val="2CA6527D"/>
    <w:rsid w:val="2CA741D0"/>
    <w:rsid w:val="2CA74CEF"/>
    <w:rsid w:val="2CA75FCB"/>
    <w:rsid w:val="2CA84CD4"/>
    <w:rsid w:val="2CA86163"/>
    <w:rsid w:val="2CA927FA"/>
    <w:rsid w:val="2CA96B1D"/>
    <w:rsid w:val="2CAA1B7B"/>
    <w:rsid w:val="2CAA46BD"/>
    <w:rsid w:val="2CAA4F3D"/>
    <w:rsid w:val="2CAA78CE"/>
    <w:rsid w:val="2CAA79C3"/>
    <w:rsid w:val="2CAB2132"/>
    <w:rsid w:val="2CAB5082"/>
    <w:rsid w:val="2CAB79B2"/>
    <w:rsid w:val="2CAC09AD"/>
    <w:rsid w:val="2CAC2445"/>
    <w:rsid w:val="2CAC2C30"/>
    <w:rsid w:val="2CAC72E0"/>
    <w:rsid w:val="2CAC7F17"/>
    <w:rsid w:val="2CAD22EA"/>
    <w:rsid w:val="2CAD4098"/>
    <w:rsid w:val="2CAD5E73"/>
    <w:rsid w:val="2CAE2206"/>
    <w:rsid w:val="2CAE305B"/>
    <w:rsid w:val="2CAE355A"/>
    <w:rsid w:val="2CAE4DE0"/>
    <w:rsid w:val="2CAF0201"/>
    <w:rsid w:val="2CAF07F8"/>
    <w:rsid w:val="2CAF1B32"/>
    <w:rsid w:val="2CAF6062"/>
    <w:rsid w:val="2CAF6281"/>
    <w:rsid w:val="2CB001F2"/>
    <w:rsid w:val="2CB007AA"/>
    <w:rsid w:val="2CB03B88"/>
    <w:rsid w:val="2CB05936"/>
    <w:rsid w:val="2CB1338F"/>
    <w:rsid w:val="2CB135AF"/>
    <w:rsid w:val="2CB17438"/>
    <w:rsid w:val="2CB20CE7"/>
    <w:rsid w:val="2CB216AE"/>
    <w:rsid w:val="2CB2345D"/>
    <w:rsid w:val="2CB24502"/>
    <w:rsid w:val="2CB25B52"/>
    <w:rsid w:val="2CB27E3C"/>
    <w:rsid w:val="2CB31BB0"/>
    <w:rsid w:val="2CB31DDF"/>
    <w:rsid w:val="2CB33F29"/>
    <w:rsid w:val="2CB371D5"/>
    <w:rsid w:val="2CB41336"/>
    <w:rsid w:val="2CB419C2"/>
    <w:rsid w:val="2CB41D10"/>
    <w:rsid w:val="2CB431B9"/>
    <w:rsid w:val="2CB43679"/>
    <w:rsid w:val="2CB45632"/>
    <w:rsid w:val="2CB52F4D"/>
    <w:rsid w:val="2CB533B1"/>
    <w:rsid w:val="2CB56877"/>
    <w:rsid w:val="2CB638F7"/>
    <w:rsid w:val="2CB64739"/>
    <w:rsid w:val="2CB66F69"/>
    <w:rsid w:val="2CB67289"/>
    <w:rsid w:val="2CB726EF"/>
    <w:rsid w:val="2CB73169"/>
    <w:rsid w:val="2CB74F17"/>
    <w:rsid w:val="2CB75AA3"/>
    <w:rsid w:val="2CB75BAF"/>
    <w:rsid w:val="2CB75D14"/>
    <w:rsid w:val="2CB76243"/>
    <w:rsid w:val="2CB76CC5"/>
    <w:rsid w:val="2CB829F0"/>
    <w:rsid w:val="2CB847EB"/>
    <w:rsid w:val="2CB90C8F"/>
    <w:rsid w:val="2CB94B6F"/>
    <w:rsid w:val="2CB958D3"/>
    <w:rsid w:val="2CBA7407"/>
    <w:rsid w:val="2CBB5258"/>
    <w:rsid w:val="2CBB70BA"/>
    <w:rsid w:val="2CBB747F"/>
    <w:rsid w:val="2CBC0E0B"/>
    <w:rsid w:val="2CBC102D"/>
    <w:rsid w:val="2CBC2407"/>
    <w:rsid w:val="2CBC252D"/>
    <w:rsid w:val="2CBC33BC"/>
    <w:rsid w:val="2CBC35A9"/>
    <w:rsid w:val="2CBC63BC"/>
    <w:rsid w:val="2CBC7C58"/>
    <w:rsid w:val="2CBD191B"/>
    <w:rsid w:val="2CBD3E8C"/>
    <w:rsid w:val="2CBE031E"/>
    <w:rsid w:val="2CBE5333"/>
    <w:rsid w:val="2CBE676A"/>
    <w:rsid w:val="2CBE6A94"/>
    <w:rsid w:val="2CBF176E"/>
    <w:rsid w:val="2CBF1D70"/>
    <w:rsid w:val="2CBF201D"/>
    <w:rsid w:val="2CBF3DCB"/>
    <w:rsid w:val="2CBF5B79"/>
    <w:rsid w:val="2CBF6762"/>
    <w:rsid w:val="2CC00564"/>
    <w:rsid w:val="2CC02853"/>
    <w:rsid w:val="2CC13DAF"/>
    <w:rsid w:val="2CC15D95"/>
    <w:rsid w:val="2CC1704F"/>
    <w:rsid w:val="2CC17B44"/>
    <w:rsid w:val="2CC21367"/>
    <w:rsid w:val="2CC27DAF"/>
    <w:rsid w:val="2CC31B0E"/>
    <w:rsid w:val="2CC338BC"/>
    <w:rsid w:val="2CC357A4"/>
    <w:rsid w:val="2CC35D5E"/>
    <w:rsid w:val="2CC43190"/>
    <w:rsid w:val="2CC47634"/>
    <w:rsid w:val="2CC512D5"/>
    <w:rsid w:val="2CC5275B"/>
    <w:rsid w:val="2CC5346B"/>
    <w:rsid w:val="2CC55886"/>
    <w:rsid w:val="2CC611A6"/>
    <w:rsid w:val="2CC612B8"/>
    <w:rsid w:val="2CC61B0C"/>
    <w:rsid w:val="2CC630A2"/>
    <w:rsid w:val="2CC633AC"/>
    <w:rsid w:val="2CC63CD8"/>
    <w:rsid w:val="2CC64125"/>
    <w:rsid w:val="2CC6515A"/>
    <w:rsid w:val="2CC66F08"/>
    <w:rsid w:val="2CC715E0"/>
    <w:rsid w:val="2CC74F72"/>
    <w:rsid w:val="2CC750BA"/>
    <w:rsid w:val="2CC751F6"/>
    <w:rsid w:val="2CC80ED2"/>
    <w:rsid w:val="2CC8237A"/>
    <w:rsid w:val="2CC82C80"/>
    <w:rsid w:val="2CC87124"/>
    <w:rsid w:val="2CC91616"/>
    <w:rsid w:val="2CC94C4A"/>
    <w:rsid w:val="2CC95CD2"/>
    <w:rsid w:val="2CC95CDD"/>
    <w:rsid w:val="2CC969F8"/>
    <w:rsid w:val="2CCA2E9C"/>
    <w:rsid w:val="2CCA4F89"/>
    <w:rsid w:val="2CCB09C2"/>
    <w:rsid w:val="2CCB3F36"/>
    <w:rsid w:val="2CCB451E"/>
    <w:rsid w:val="2CCC1722"/>
    <w:rsid w:val="2CCC7699"/>
    <w:rsid w:val="2CCC7D00"/>
    <w:rsid w:val="2CCC7F97"/>
    <w:rsid w:val="2CCD0296"/>
    <w:rsid w:val="2CCD1427"/>
    <w:rsid w:val="2CCD2DD6"/>
    <w:rsid w:val="2CCD64E8"/>
    <w:rsid w:val="2CCE2260"/>
    <w:rsid w:val="2CCE2D39"/>
    <w:rsid w:val="2CCF174D"/>
    <w:rsid w:val="2CCF785E"/>
    <w:rsid w:val="2CD06059"/>
    <w:rsid w:val="2CD07A80"/>
    <w:rsid w:val="2CD11238"/>
    <w:rsid w:val="2CD129E2"/>
    <w:rsid w:val="2CD20F59"/>
    <w:rsid w:val="2CD23AFF"/>
    <w:rsid w:val="2CD258AD"/>
    <w:rsid w:val="2CD30598"/>
    <w:rsid w:val="2CD313A4"/>
    <w:rsid w:val="2CD31625"/>
    <w:rsid w:val="2CD31F51"/>
    <w:rsid w:val="2CD33B58"/>
    <w:rsid w:val="2CD35299"/>
    <w:rsid w:val="2CD4033D"/>
    <w:rsid w:val="2CD4100C"/>
    <w:rsid w:val="2CD4202C"/>
    <w:rsid w:val="2CD46729"/>
    <w:rsid w:val="2CD47877"/>
    <w:rsid w:val="2CD51841"/>
    <w:rsid w:val="2CD51CBC"/>
    <w:rsid w:val="2CD57C65"/>
    <w:rsid w:val="2CD655E6"/>
    <w:rsid w:val="2CD67193"/>
    <w:rsid w:val="2CD72733"/>
    <w:rsid w:val="2CD755B9"/>
    <w:rsid w:val="2CD77367"/>
    <w:rsid w:val="2CD90AE6"/>
    <w:rsid w:val="2CD915CC"/>
    <w:rsid w:val="2CD94E8D"/>
    <w:rsid w:val="2CD96445"/>
    <w:rsid w:val="2CDA259B"/>
    <w:rsid w:val="2CDA29B3"/>
    <w:rsid w:val="2CDA3819"/>
    <w:rsid w:val="2CDA473D"/>
    <w:rsid w:val="2CDB0121"/>
    <w:rsid w:val="2CDB5954"/>
    <w:rsid w:val="2CDB5C08"/>
    <w:rsid w:val="2CDC2BCF"/>
    <w:rsid w:val="2CDC4A5E"/>
    <w:rsid w:val="2CDC5803"/>
    <w:rsid w:val="2CDC7FBF"/>
    <w:rsid w:val="2CDD3333"/>
    <w:rsid w:val="2CDD4252"/>
    <w:rsid w:val="2CDE06F5"/>
    <w:rsid w:val="2CDE6347"/>
    <w:rsid w:val="2CDE6947"/>
    <w:rsid w:val="2CDE7A36"/>
    <w:rsid w:val="2CDF446E"/>
    <w:rsid w:val="2CDF5C70"/>
    <w:rsid w:val="2CDF621C"/>
    <w:rsid w:val="2CE05EC3"/>
    <w:rsid w:val="2CE05F54"/>
    <w:rsid w:val="2CE074EA"/>
    <w:rsid w:val="2CE10D2D"/>
    <w:rsid w:val="2CE1214D"/>
    <w:rsid w:val="2CE14B20"/>
    <w:rsid w:val="2CE15005"/>
    <w:rsid w:val="2CE20EC6"/>
    <w:rsid w:val="2CE22CDB"/>
    <w:rsid w:val="2CE22FC9"/>
    <w:rsid w:val="2CE2559D"/>
    <w:rsid w:val="2CE27154"/>
    <w:rsid w:val="2CE35D0C"/>
    <w:rsid w:val="2CE37ABA"/>
    <w:rsid w:val="2CE403E3"/>
    <w:rsid w:val="2CE40A38"/>
    <w:rsid w:val="2CE42960"/>
    <w:rsid w:val="2CE43832"/>
    <w:rsid w:val="2CE450A5"/>
    <w:rsid w:val="2CE518FD"/>
    <w:rsid w:val="2CE51A84"/>
    <w:rsid w:val="2CE51B18"/>
    <w:rsid w:val="2CE6499F"/>
    <w:rsid w:val="2CE6703B"/>
    <w:rsid w:val="2CE675AA"/>
    <w:rsid w:val="2CE737D9"/>
    <w:rsid w:val="2CE751DE"/>
    <w:rsid w:val="2CE768E7"/>
    <w:rsid w:val="2CE81574"/>
    <w:rsid w:val="2CE83322"/>
    <w:rsid w:val="2CE8334C"/>
    <w:rsid w:val="2CE835DB"/>
    <w:rsid w:val="2CE83DC0"/>
    <w:rsid w:val="2CE8467C"/>
    <w:rsid w:val="2CE850D0"/>
    <w:rsid w:val="2CE86D4A"/>
    <w:rsid w:val="2CE90E48"/>
    <w:rsid w:val="2CE94597"/>
    <w:rsid w:val="2CE97B7C"/>
    <w:rsid w:val="2CEA3520"/>
    <w:rsid w:val="2CEA709A"/>
    <w:rsid w:val="2CEB278E"/>
    <w:rsid w:val="2CEB2B67"/>
    <w:rsid w:val="2CEC14F9"/>
    <w:rsid w:val="2CEC1F30"/>
    <w:rsid w:val="2CEC5E40"/>
    <w:rsid w:val="2CEC7CC2"/>
    <w:rsid w:val="2CED0939"/>
    <w:rsid w:val="2CED1E5D"/>
    <w:rsid w:val="2CED377F"/>
    <w:rsid w:val="2CED6B8B"/>
    <w:rsid w:val="2CEE0EB7"/>
    <w:rsid w:val="2CEE1895"/>
    <w:rsid w:val="2CEE491D"/>
    <w:rsid w:val="2CEF2903"/>
    <w:rsid w:val="2CEF46B1"/>
    <w:rsid w:val="2CEF5D88"/>
    <w:rsid w:val="2CF00429"/>
    <w:rsid w:val="2CF021D7"/>
    <w:rsid w:val="2CF0294E"/>
    <w:rsid w:val="2CF029C4"/>
    <w:rsid w:val="2CF0507D"/>
    <w:rsid w:val="2CF050A9"/>
    <w:rsid w:val="2CF0667B"/>
    <w:rsid w:val="2CF07772"/>
    <w:rsid w:val="2CF10FCA"/>
    <w:rsid w:val="2CF241A1"/>
    <w:rsid w:val="2CF25F4F"/>
    <w:rsid w:val="2CF26618"/>
    <w:rsid w:val="2CF2792E"/>
    <w:rsid w:val="2CF304B3"/>
    <w:rsid w:val="2CF41CC7"/>
    <w:rsid w:val="2CF42D7F"/>
    <w:rsid w:val="2CF471A3"/>
    <w:rsid w:val="2CF47F19"/>
    <w:rsid w:val="2CF577ED"/>
    <w:rsid w:val="2CF623A4"/>
    <w:rsid w:val="2CF63C91"/>
    <w:rsid w:val="2CF6678C"/>
    <w:rsid w:val="2CF7101B"/>
    <w:rsid w:val="2CF717B7"/>
    <w:rsid w:val="2CF72B2E"/>
    <w:rsid w:val="2CF72F53"/>
    <w:rsid w:val="2CF75313"/>
    <w:rsid w:val="2CF76332"/>
    <w:rsid w:val="2CF77A09"/>
    <w:rsid w:val="2CF85B24"/>
    <w:rsid w:val="2CF8773E"/>
    <w:rsid w:val="2CF9108B"/>
    <w:rsid w:val="2CF9188E"/>
    <w:rsid w:val="2CF9552F"/>
    <w:rsid w:val="2CF972DD"/>
    <w:rsid w:val="2CFA4E04"/>
    <w:rsid w:val="2CFB12A7"/>
    <w:rsid w:val="2CFB1453"/>
    <w:rsid w:val="2CFB1583"/>
    <w:rsid w:val="2CFB35BD"/>
    <w:rsid w:val="2CFB5DDE"/>
    <w:rsid w:val="2CFB60E3"/>
    <w:rsid w:val="2CFC0B7C"/>
    <w:rsid w:val="2CFC1259"/>
    <w:rsid w:val="2CFC41F4"/>
    <w:rsid w:val="2CFC5020"/>
    <w:rsid w:val="2CFC6F92"/>
    <w:rsid w:val="2CFD0C24"/>
    <w:rsid w:val="2CFE48F4"/>
    <w:rsid w:val="2CFE66A2"/>
    <w:rsid w:val="2CFF03EA"/>
    <w:rsid w:val="2CFF066C"/>
    <w:rsid w:val="2CFF16E5"/>
    <w:rsid w:val="2CFF45E7"/>
    <w:rsid w:val="2CFF6EE1"/>
    <w:rsid w:val="2D0004F6"/>
    <w:rsid w:val="2D001CDF"/>
    <w:rsid w:val="2D004038"/>
    <w:rsid w:val="2D00493C"/>
    <w:rsid w:val="2D012636"/>
    <w:rsid w:val="2D0143E4"/>
    <w:rsid w:val="2D014919"/>
    <w:rsid w:val="2D016192"/>
    <w:rsid w:val="2D017E2D"/>
    <w:rsid w:val="2D020066"/>
    <w:rsid w:val="2D021920"/>
    <w:rsid w:val="2D021ECA"/>
    <w:rsid w:val="2D0244FE"/>
    <w:rsid w:val="2D02497F"/>
    <w:rsid w:val="2D02769E"/>
    <w:rsid w:val="2D03015C"/>
    <w:rsid w:val="2D0314F6"/>
    <w:rsid w:val="2D031F0A"/>
    <w:rsid w:val="2D036834"/>
    <w:rsid w:val="2D04051D"/>
    <w:rsid w:val="2D042618"/>
    <w:rsid w:val="2D045C82"/>
    <w:rsid w:val="2D047A30"/>
    <w:rsid w:val="2D053ED4"/>
    <w:rsid w:val="2D056892"/>
    <w:rsid w:val="2D05784E"/>
    <w:rsid w:val="2D060636"/>
    <w:rsid w:val="2D0619FA"/>
    <w:rsid w:val="2D062740"/>
    <w:rsid w:val="2D0637A8"/>
    <w:rsid w:val="2D063E6E"/>
    <w:rsid w:val="2D065413"/>
    <w:rsid w:val="2D0669E7"/>
    <w:rsid w:val="2D067C4C"/>
    <w:rsid w:val="2D070B3F"/>
    <w:rsid w:val="2D072A48"/>
    <w:rsid w:val="2D076E4F"/>
    <w:rsid w:val="2D077487"/>
    <w:rsid w:val="2D077AB7"/>
    <w:rsid w:val="2D080026"/>
    <w:rsid w:val="2D0803F1"/>
    <w:rsid w:val="2D081547"/>
    <w:rsid w:val="2D0839C4"/>
    <w:rsid w:val="2D083C88"/>
    <w:rsid w:val="2D083FF9"/>
    <w:rsid w:val="2D0846FD"/>
    <w:rsid w:val="2D0856DC"/>
    <w:rsid w:val="2D085772"/>
    <w:rsid w:val="2D090F86"/>
    <w:rsid w:val="2D093143"/>
    <w:rsid w:val="2D094822"/>
    <w:rsid w:val="2D095047"/>
    <w:rsid w:val="2D095368"/>
    <w:rsid w:val="2D097900"/>
    <w:rsid w:val="2D0A14EA"/>
    <w:rsid w:val="2D0A1B48"/>
    <w:rsid w:val="2D0A3299"/>
    <w:rsid w:val="2D0A4FF8"/>
    <w:rsid w:val="2D0A592E"/>
    <w:rsid w:val="2D0B2762"/>
    <w:rsid w:val="2D0B382A"/>
    <w:rsid w:val="2D0B50EA"/>
    <w:rsid w:val="2D0B5263"/>
    <w:rsid w:val="2D0B7011"/>
    <w:rsid w:val="2D0C5510"/>
    <w:rsid w:val="2D0D1E80"/>
    <w:rsid w:val="2D0D36B6"/>
    <w:rsid w:val="2D0D4B37"/>
    <w:rsid w:val="2D0D54CF"/>
    <w:rsid w:val="2D0E3A72"/>
    <w:rsid w:val="2D0E7A35"/>
    <w:rsid w:val="2D0F11D9"/>
    <w:rsid w:val="2D0F260D"/>
    <w:rsid w:val="2D0F6299"/>
    <w:rsid w:val="2D0F69C4"/>
    <w:rsid w:val="2D0F6B01"/>
    <w:rsid w:val="2D104627"/>
    <w:rsid w:val="2D105609"/>
    <w:rsid w:val="2D1121F4"/>
    <w:rsid w:val="2D114A0E"/>
    <w:rsid w:val="2D1202DE"/>
    <w:rsid w:val="2D12039F"/>
    <w:rsid w:val="2D12214D"/>
    <w:rsid w:val="2D1257CB"/>
    <w:rsid w:val="2D132BB1"/>
    <w:rsid w:val="2D14247A"/>
    <w:rsid w:val="2D144117"/>
    <w:rsid w:val="2D147522"/>
    <w:rsid w:val="2D151C3D"/>
    <w:rsid w:val="2D152918"/>
    <w:rsid w:val="2D157E8F"/>
    <w:rsid w:val="2D1605B8"/>
    <w:rsid w:val="2D160E2F"/>
    <w:rsid w:val="2D1644FC"/>
    <w:rsid w:val="2D1660E1"/>
    <w:rsid w:val="2D170E9A"/>
    <w:rsid w:val="2D1735DD"/>
    <w:rsid w:val="2D173C07"/>
    <w:rsid w:val="2D1759B5"/>
    <w:rsid w:val="2D181C0D"/>
    <w:rsid w:val="2D18267E"/>
    <w:rsid w:val="2D1826B4"/>
    <w:rsid w:val="2D19172E"/>
    <w:rsid w:val="2D1934DC"/>
    <w:rsid w:val="2D1959DB"/>
    <w:rsid w:val="2D1966F0"/>
    <w:rsid w:val="2D197ABA"/>
    <w:rsid w:val="2D1A32A8"/>
    <w:rsid w:val="2D1A62EC"/>
    <w:rsid w:val="2D1A6ECE"/>
    <w:rsid w:val="2D1A7254"/>
    <w:rsid w:val="2D1B082F"/>
    <w:rsid w:val="2D1B0B70"/>
    <w:rsid w:val="2D1B2889"/>
    <w:rsid w:val="2D1B54A6"/>
    <w:rsid w:val="2D1B673A"/>
    <w:rsid w:val="2D1B7A50"/>
    <w:rsid w:val="2D1C121E"/>
    <w:rsid w:val="2D1C1D3E"/>
    <w:rsid w:val="2D1C2FCC"/>
    <w:rsid w:val="2D1C5B1F"/>
    <w:rsid w:val="2D1C7470"/>
    <w:rsid w:val="2D1D56F3"/>
    <w:rsid w:val="2D1D5BF5"/>
    <w:rsid w:val="2D1E0AF2"/>
    <w:rsid w:val="2D1E26F6"/>
    <w:rsid w:val="2D1E2F1E"/>
    <w:rsid w:val="2D1E4330"/>
    <w:rsid w:val="2D1E4F96"/>
    <w:rsid w:val="2D1E527D"/>
    <w:rsid w:val="2D1F10D2"/>
    <w:rsid w:val="2D1F22E4"/>
    <w:rsid w:val="2D1F23EC"/>
    <w:rsid w:val="2D1F486A"/>
    <w:rsid w:val="2D1F73B9"/>
    <w:rsid w:val="2D200D0E"/>
    <w:rsid w:val="2D202ABC"/>
    <w:rsid w:val="2D20557A"/>
    <w:rsid w:val="2D205BB7"/>
    <w:rsid w:val="2D210668"/>
    <w:rsid w:val="2D214A86"/>
    <w:rsid w:val="2D216834"/>
    <w:rsid w:val="2D216B4D"/>
    <w:rsid w:val="2D217C97"/>
    <w:rsid w:val="2D221376"/>
    <w:rsid w:val="2D224A7E"/>
    <w:rsid w:val="2D224FF5"/>
    <w:rsid w:val="2D227366"/>
    <w:rsid w:val="2D230A1F"/>
    <w:rsid w:val="2D232173"/>
    <w:rsid w:val="2D2340D4"/>
    <w:rsid w:val="2D23435A"/>
    <w:rsid w:val="2D241F6F"/>
    <w:rsid w:val="2D244788"/>
    <w:rsid w:val="2D2500D2"/>
    <w:rsid w:val="2D251BAF"/>
    <w:rsid w:val="2D25218F"/>
    <w:rsid w:val="2D25313C"/>
    <w:rsid w:val="2D256324"/>
    <w:rsid w:val="2D26209C"/>
    <w:rsid w:val="2D263E4A"/>
    <w:rsid w:val="2D265BF9"/>
    <w:rsid w:val="2D265D03"/>
    <w:rsid w:val="2D2725E0"/>
    <w:rsid w:val="2D2734B9"/>
    <w:rsid w:val="2D276581"/>
    <w:rsid w:val="2D280D54"/>
    <w:rsid w:val="2D2817CE"/>
    <w:rsid w:val="2D281971"/>
    <w:rsid w:val="2D285819"/>
    <w:rsid w:val="2D291A63"/>
    <w:rsid w:val="2D294951"/>
    <w:rsid w:val="2D2955C6"/>
    <w:rsid w:val="2D2A0399"/>
    <w:rsid w:val="2D2A2E77"/>
    <w:rsid w:val="2D2A393B"/>
    <w:rsid w:val="2D2A4D1F"/>
    <w:rsid w:val="2D2A66FB"/>
    <w:rsid w:val="2D2A6A30"/>
    <w:rsid w:val="2D2A78D7"/>
    <w:rsid w:val="2D2B18D0"/>
    <w:rsid w:val="2D2B320F"/>
    <w:rsid w:val="2D2B636D"/>
    <w:rsid w:val="2D2B7F30"/>
    <w:rsid w:val="2D2C0701"/>
    <w:rsid w:val="2D2C4E1C"/>
    <w:rsid w:val="2D2D14AC"/>
    <w:rsid w:val="2D2D342B"/>
    <w:rsid w:val="2D2E1141"/>
    <w:rsid w:val="2D2E16C8"/>
    <w:rsid w:val="2D2E32D7"/>
    <w:rsid w:val="2D2E5923"/>
    <w:rsid w:val="2D2E5BF2"/>
    <w:rsid w:val="2D2E7C1C"/>
    <w:rsid w:val="2D2E7FAB"/>
    <w:rsid w:val="2D2F1AF1"/>
    <w:rsid w:val="2D2F2582"/>
    <w:rsid w:val="2D2F5FAC"/>
    <w:rsid w:val="2D2F71A3"/>
    <w:rsid w:val="2D300512"/>
    <w:rsid w:val="2D300825"/>
    <w:rsid w:val="2D307E1B"/>
    <w:rsid w:val="2D314CC9"/>
    <w:rsid w:val="2D315C41"/>
    <w:rsid w:val="2D315D30"/>
    <w:rsid w:val="2D316793"/>
    <w:rsid w:val="2D320A41"/>
    <w:rsid w:val="2D32459D"/>
    <w:rsid w:val="2D327DCB"/>
    <w:rsid w:val="2D330463"/>
    <w:rsid w:val="2D3305D4"/>
    <w:rsid w:val="2D3317C1"/>
    <w:rsid w:val="2D334168"/>
    <w:rsid w:val="2D3348D9"/>
    <w:rsid w:val="2D334A74"/>
    <w:rsid w:val="2D3376D8"/>
    <w:rsid w:val="2D340277"/>
    <w:rsid w:val="2D340315"/>
    <w:rsid w:val="2D340A5A"/>
    <w:rsid w:val="2D342099"/>
    <w:rsid w:val="2D34243E"/>
    <w:rsid w:val="2D343043"/>
    <w:rsid w:val="2D345D68"/>
    <w:rsid w:val="2D3465E1"/>
    <w:rsid w:val="2D346744"/>
    <w:rsid w:val="2D347040"/>
    <w:rsid w:val="2D350E15"/>
    <w:rsid w:val="2D355AC5"/>
    <w:rsid w:val="2D365F24"/>
    <w:rsid w:val="2D367C5C"/>
    <w:rsid w:val="2D371BB4"/>
    <w:rsid w:val="2D372AD9"/>
    <w:rsid w:val="2D375814"/>
    <w:rsid w:val="2D376058"/>
    <w:rsid w:val="2D377E06"/>
    <w:rsid w:val="2D380D36"/>
    <w:rsid w:val="2D386611"/>
    <w:rsid w:val="2D3905FA"/>
    <w:rsid w:val="2D391132"/>
    <w:rsid w:val="2D391DD0"/>
    <w:rsid w:val="2D393B7E"/>
    <w:rsid w:val="2D394446"/>
    <w:rsid w:val="2D395367"/>
    <w:rsid w:val="2D397E3D"/>
    <w:rsid w:val="2D3A16A4"/>
    <w:rsid w:val="2D3A471F"/>
    <w:rsid w:val="2D3A5A47"/>
    <w:rsid w:val="2D3B3E74"/>
    <w:rsid w:val="2D3B4D07"/>
    <w:rsid w:val="2D3B4F8E"/>
    <w:rsid w:val="2D3B5B48"/>
    <w:rsid w:val="2D3B66EC"/>
    <w:rsid w:val="2D3B78F6"/>
    <w:rsid w:val="2D3C1590"/>
    <w:rsid w:val="2D3C541C"/>
    <w:rsid w:val="2D3C6E29"/>
    <w:rsid w:val="2D3D212F"/>
    <w:rsid w:val="2D3D2B16"/>
    <w:rsid w:val="2D3D4558"/>
    <w:rsid w:val="2D3D7A56"/>
    <w:rsid w:val="2D3E73E6"/>
    <w:rsid w:val="2D3F531C"/>
    <w:rsid w:val="2D3F73D1"/>
    <w:rsid w:val="2D40291A"/>
    <w:rsid w:val="2D402BD8"/>
    <w:rsid w:val="2D402DA2"/>
    <w:rsid w:val="2D40315E"/>
    <w:rsid w:val="2D405891"/>
    <w:rsid w:val="2D40617E"/>
    <w:rsid w:val="2D410C84"/>
    <w:rsid w:val="2D411497"/>
    <w:rsid w:val="2D413739"/>
    <w:rsid w:val="2D41563B"/>
    <w:rsid w:val="2D415BB8"/>
    <w:rsid w:val="2D4218CF"/>
    <w:rsid w:val="2D4254F8"/>
    <w:rsid w:val="2D42556B"/>
    <w:rsid w:val="2D425C2C"/>
    <w:rsid w:val="2D426ED6"/>
    <w:rsid w:val="2D42738A"/>
    <w:rsid w:val="2D4276F6"/>
    <w:rsid w:val="2D430559"/>
    <w:rsid w:val="2D4331C7"/>
    <w:rsid w:val="2D433D3E"/>
    <w:rsid w:val="2D4349FC"/>
    <w:rsid w:val="2D434F4D"/>
    <w:rsid w:val="2D437014"/>
    <w:rsid w:val="2D44278C"/>
    <w:rsid w:val="2D445000"/>
    <w:rsid w:val="2D450775"/>
    <w:rsid w:val="2D452523"/>
    <w:rsid w:val="2D4574AB"/>
    <w:rsid w:val="2D457731"/>
    <w:rsid w:val="2D460049"/>
    <w:rsid w:val="2D460D1A"/>
    <w:rsid w:val="2D46171A"/>
    <w:rsid w:val="2D464C29"/>
    <w:rsid w:val="2D46629B"/>
    <w:rsid w:val="2D4664BB"/>
    <w:rsid w:val="2D466A4A"/>
    <w:rsid w:val="2D4744ED"/>
    <w:rsid w:val="2D4757D6"/>
    <w:rsid w:val="2D480265"/>
    <w:rsid w:val="2D48136A"/>
    <w:rsid w:val="2D482013"/>
    <w:rsid w:val="2D487FC3"/>
    <w:rsid w:val="2D4A0AB8"/>
    <w:rsid w:val="2D4A18E7"/>
    <w:rsid w:val="2D4A6436"/>
    <w:rsid w:val="2D4B3520"/>
    <w:rsid w:val="2D4B38B1"/>
    <w:rsid w:val="2D4B565F"/>
    <w:rsid w:val="2D4B6492"/>
    <w:rsid w:val="2D4B771E"/>
    <w:rsid w:val="2D4C1B03"/>
    <w:rsid w:val="2D4C60A7"/>
    <w:rsid w:val="2D4D13D7"/>
    <w:rsid w:val="2D4D3337"/>
    <w:rsid w:val="2D4D3D4C"/>
    <w:rsid w:val="2D4D44ED"/>
    <w:rsid w:val="2D4D4C64"/>
    <w:rsid w:val="2D4D587B"/>
    <w:rsid w:val="2D4D6A10"/>
    <w:rsid w:val="2D4D7B91"/>
    <w:rsid w:val="2D4F2EEB"/>
    <w:rsid w:val="2D4F6EFD"/>
    <w:rsid w:val="2D5022C5"/>
    <w:rsid w:val="2D503565"/>
    <w:rsid w:val="2D504F56"/>
    <w:rsid w:val="2D5055E6"/>
    <w:rsid w:val="2D506595"/>
    <w:rsid w:val="2D5104EF"/>
    <w:rsid w:val="2D510EC7"/>
    <w:rsid w:val="2D515741"/>
    <w:rsid w:val="2D517119"/>
    <w:rsid w:val="2D522E91"/>
    <w:rsid w:val="2D524C40"/>
    <w:rsid w:val="2D5262DB"/>
    <w:rsid w:val="2D535AA4"/>
    <w:rsid w:val="2D542766"/>
    <w:rsid w:val="2D544297"/>
    <w:rsid w:val="2D55028C"/>
    <w:rsid w:val="2D554CFC"/>
    <w:rsid w:val="2D564730"/>
    <w:rsid w:val="2D5704A8"/>
    <w:rsid w:val="2D57108E"/>
    <w:rsid w:val="2D572F6E"/>
    <w:rsid w:val="2D574004"/>
    <w:rsid w:val="2D5752FE"/>
    <w:rsid w:val="2D582132"/>
    <w:rsid w:val="2D585871"/>
    <w:rsid w:val="2D590201"/>
    <w:rsid w:val="2D594220"/>
    <w:rsid w:val="2D595B1B"/>
    <w:rsid w:val="2D595FCE"/>
    <w:rsid w:val="2D5A3718"/>
    <w:rsid w:val="2D5A54F4"/>
    <w:rsid w:val="2D5A652B"/>
    <w:rsid w:val="2D5A760A"/>
    <w:rsid w:val="2D5B1E69"/>
    <w:rsid w:val="2D5B4C0F"/>
    <w:rsid w:val="2D5B78BE"/>
    <w:rsid w:val="2D5B7F98"/>
    <w:rsid w:val="2D5C2E79"/>
    <w:rsid w:val="2D5C31A0"/>
    <w:rsid w:val="2D5C5ABE"/>
    <w:rsid w:val="2D5C609F"/>
    <w:rsid w:val="2D5C786C"/>
    <w:rsid w:val="2D5C7DFD"/>
    <w:rsid w:val="2D5D5613"/>
    <w:rsid w:val="2D5E40C8"/>
    <w:rsid w:val="2D5E5392"/>
    <w:rsid w:val="2D5E7113"/>
    <w:rsid w:val="2D5F6457"/>
    <w:rsid w:val="2D5F6958"/>
    <w:rsid w:val="2D5F6E8F"/>
    <w:rsid w:val="2D60110A"/>
    <w:rsid w:val="2D603551"/>
    <w:rsid w:val="2D604F5C"/>
    <w:rsid w:val="2D6054BF"/>
    <w:rsid w:val="2D6055AE"/>
    <w:rsid w:val="2D605B61"/>
    <w:rsid w:val="2D60735C"/>
    <w:rsid w:val="2D614E83"/>
    <w:rsid w:val="2D614EDD"/>
    <w:rsid w:val="2D616C31"/>
    <w:rsid w:val="2D617252"/>
    <w:rsid w:val="2D621327"/>
    <w:rsid w:val="2D621A3A"/>
    <w:rsid w:val="2D621D0B"/>
    <w:rsid w:val="2D6230D5"/>
    <w:rsid w:val="2D623870"/>
    <w:rsid w:val="2D623B8D"/>
    <w:rsid w:val="2D624A4F"/>
    <w:rsid w:val="2D626CFC"/>
    <w:rsid w:val="2D632C84"/>
    <w:rsid w:val="2D63490A"/>
    <w:rsid w:val="2D6365FD"/>
    <w:rsid w:val="2D636978"/>
    <w:rsid w:val="2D6376A1"/>
    <w:rsid w:val="2D640AB5"/>
    <w:rsid w:val="2D6445E1"/>
    <w:rsid w:val="2D6448F2"/>
    <w:rsid w:val="2D647402"/>
    <w:rsid w:val="2D64751E"/>
    <w:rsid w:val="2D65268A"/>
    <w:rsid w:val="2D661D22"/>
    <w:rsid w:val="2D663B72"/>
    <w:rsid w:val="2D666036"/>
    <w:rsid w:val="2D672D4A"/>
    <w:rsid w:val="2D6730B5"/>
    <w:rsid w:val="2D675FF9"/>
    <w:rsid w:val="2D6779F3"/>
    <w:rsid w:val="2D681D63"/>
    <w:rsid w:val="2D684463"/>
    <w:rsid w:val="2D6845F0"/>
    <w:rsid w:val="2D696DE9"/>
    <w:rsid w:val="2D6A01DB"/>
    <w:rsid w:val="2D6A05F9"/>
    <w:rsid w:val="2D6A1F89"/>
    <w:rsid w:val="2D6A34DD"/>
    <w:rsid w:val="2D6A5D2B"/>
    <w:rsid w:val="2D6B326F"/>
    <w:rsid w:val="2D6B374E"/>
    <w:rsid w:val="2D6B4316"/>
    <w:rsid w:val="2D6B6967"/>
    <w:rsid w:val="2D6B7AAF"/>
    <w:rsid w:val="2D6B7C16"/>
    <w:rsid w:val="2D6C0AC9"/>
    <w:rsid w:val="2D6C12B6"/>
    <w:rsid w:val="2D6C14E0"/>
    <w:rsid w:val="2D6C307E"/>
    <w:rsid w:val="2D6C3F53"/>
    <w:rsid w:val="2D6D0BE1"/>
    <w:rsid w:val="2D6D1A79"/>
    <w:rsid w:val="2D6D1B30"/>
    <w:rsid w:val="2D6D1D37"/>
    <w:rsid w:val="2D6D3827"/>
    <w:rsid w:val="2D6D435A"/>
    <w:rsid w:val="2D6E10CD"/>
    <w:rsid w:val="2D6E2610"/>
    <w:rsid w:val="2D6E6CF5"/>
    <w:rsid w:val="2D6F134E"/>
    <w:rsid w:val="2D6F3BC4"/>
    <w:rsid w:val="2D6F416E"/>
    <w:rsid w:val="2D6F4663"/>
    <w:rsid w:val="2D6F57F1"/>
    <w:rsid w:val="2D6F75A0"/>
    <w:rsid w:val="2D704B4E"/>
    <w:rsid w:val="2D7050C6"/>
    <w:rsid w:val="2D712D80"/>
    <w:rsid w:val="2D713318"/>
    <w:rsid w:val="2D71772F"/>
    <w:rsid w:val="2D720E3E"/>
    <w:rsid w:val="2D724C71"/>
    <w:rsid w:val="2D730EBD"/>
    <w:rsid w:val="2D731129"/>
    <w:rsid w:val="2D73288C"/>
    <w:rsid w:val="2D7352E2"/>
    <w:rsid w:val="2D7362D8"/>
    <w:rsid w:val="2D74105A"/>
    <w:rsid w:val="2D742E08"/>
    <w:rsid w:val="2D743CA5"/>
    <w:rsid w:val="2D744BB6"/>
    <w:rsid w:val="2D745D97"/>
    <w:rsid w:val="2D746964"/>
    <w:rsid w:val="2D750387"/>
    <w:rsid w:val="2D751C93"/>
    <w:rsid w:val="2D7529CD"/>
    <w:rsid w:val="2D752F58"/>
    <w:rsid w:val="2D754978"/>
    <w:rsid w:val="2D7626DC"/>
    <w:rsid w:val="2D764E08"/>
    <w:rsid w:val="2D765371"/>
    <w:rsid w:val="2D765C28"/>
    <w:rsid w:val="2D770BBE"/>
    <w:rsid w:val="2D772C5B"/>
    <w:rsid w:val="2D783B2A"/>
    <w:rsid w:val="2D790198"/>
    <w:rsid w:val="2D79041E"/>
    <w:rsid w:val="2D7918D9"/>
    <w:rsid w:val="2D7921CC"/>
    <w:rsid w:val="2D796670"/>
    <w:rsid w:val="2D7975BA"/>
    <w:rsid w:val="2D7A4D70"/>
    <w:rsid w:val="2D7B23E8"/>
    <w:rsid w:val="2D7B4196"/>
    <w:rsid w:val="2D7B5F44"/>
    <w:rsid w:val="2D7B7CF2"/>
    <w:rsid w:val="2D7C01C3"/>
    <w:rsid w:val="2D7C3A6A"/>
    <w:rsid w:val="2D7C5689"/>
    <w:rsid w:val="2D7C5808"/>
    <w:rsid w:val="2D7C7B0A"/>
    <w:rsid w:val="2D7D16EA"/>
    <w:rsid w:val="2D7E481E"/>
    <w:rsid w:val="2D7E66F1"/>
    <w:rsid w:val="2D7E78D1"/>
    <w:rsid w:val="2D7E7D44"/>
    <w:rsid w:val="2D7F0FF7"/>
    <w:rsid w:val="2D7F437F"/>
    <w:rsid w:val="2D7F4678"/>
    <w:rsid w:val="2D7F7C81"/>
    <w:rsid w:val="2D8017AD"/>
    <w:rsid w:val="2D80355B"/>
    <w:rsid w:val="2D8079FF"/>
    <w:rsid w:val="2D811081"/>
    <w:rsid w:val="2D81669D"/>
    <w:rsid w:val="2D81692A"/>
    <w:rsid w:val="2D817BD3"/>
    <w:rsid w:val="2D820C3E"/>
    <w:rsid w:val="2D822236"/>
    <w:rsid w:val="2D8233A4"/>
    <w:rsid w:val="2D825525"/>
    <w:rsid w:val="2D827DBA"/>
    <w:rsid w:val="2D831062"/>
    <w:rsid w:val="2D8319E5"/>
    <w:rsid w:val="2D834DA2"/>
    <w:rsid w:val="2D834DF9"/>
    <w:rsid w:val="2D834F72"/>
    <w:rsid w:val="2D841CD5"/>
    <w:rsid w:val="2D842AB8"/>
    <w:rsid w:val="2D84749E"/>
    <w:rsid w:val="2D855E7E"/>
    <w:rsid w:val="2D8566CB"/>
    <w:rsid w:val="2D856A36"/>
    <w:rsid w:val="2D856DC3"/>
    <w:rsid w:val="2D857D6B"/>
    <w:rsid w:val="2D86130C"/>
    <w:rsid w:val="2D865FF5"/>
    <w:rsid w:val="2D86610F"/>
    <w:rsid w:val="2D87704F"/>
    <w:rsid w:val="2D880661"/>
    <w:rsid w:val="2D882DD1"/>
    <w:rsid w:val="2D884A48"/>
    <w:rsid w:val="2D885FB0"/>
    <w:rsid w:val="2D8878F0"/>
    <w:rsid w:val="2D893724"/>
    <w:rsid w:val="2D89458D"/>
    <w:rsid w:val="2D895C4C"/>
    <w:rsid w:val="2D896827"/>
    <w:rsid w:val="2D897CB1"/>
    <w:rsid w:val="2D8A111D"/>
    <w:rsid w:val="2D8A137E"/>
    <w:rsid w:val="2D8A25C3"/>
    <w:rsid w:val="2D8A285E"/>
    <w:rsid w:val="2D8A43D9"/>
    <w:rsid w:val="2D8A738F"/>
    <w:rsid w:val="2D8A7887"/>
    <w:rsid w:val="2D8B25AD"/>
    <w:rsid w:val="2D8B3CEE"/>
    <w:rsid w:val="2D8B6511"/>
    <w:rsid w:val="2D8B7654"/>
    <w:rsid w:val="2D8B7F5B"/>
    <w:rsid w:val="2D8C0151"/>
    <w:rsid w:val="2D8C05FA"/>
    <w:rsid w:val="2D8C1F00"/>
    <w:rsid w:val="2D8C2611"/>
    <w:rsid w:val="2D8C48F6"/>
    <w:rsid w:val="2D8C517E"/>
    <w:rsid w:val="2D8D147C"/>
    <w:rsid w:val="2D8D3ECA"/>
    <w:rsid w:val="2D8D5C78"/>
    <w:rsid w:val="2D8D660E"/>
    <w:rsid w:val="2D8D6D6F"/>
    <w:rsid w:val="2D8D7A26"/>
    <w:rsid w:val="2D8D7D87"/>
    <w:rsid w:val="2D8E211C"/>
    <w:rsid w:val="2D8E3661"/>
    <w:rsid w:val="2D8E3C58"/>
    <w:rsid w:val="2D8E67A6"/>
    <w:rsid w:val="2D8F19F0"/>
    <w:rsid w:val="2D8F379E"/>
    <w:rsid w:val="2D8F70C9"/>
    <w:rsid w:val="2D8F7C42"/>
    <w:rsid w:val="2D904DB5"/>
    <w:rsid w:val="2D904F8F"/>
    <w:rsid w:val="2D9054E7"/>
    <w:rsid w:val="2D9060C0"/>
    <w:rsid w:val="2D90686E"/>
    <w:rsid w:val="2D915768"/>
    <w:rsid w:val="2D917516"/>
    <w:rsid w:val="2D9203B3"/>
    <w:rsid w:val="2D922480"/>
    <w:rsid w:val="2D922570"/>
    <w:rsid w:val="2D922F68"/>
    <w:rsid w:val="2D92779C"/>
    <w:rsid w:val="2D932851"/>
    <w:rsid w:val="2D93392A"/>
    <w:rsid w:val="2D934660"/>
    <w:rsid w:val="2D937732"/>
    <w:rsid w:val="2D940DB4"/>
    <w:rsid w:val="2D946CB5"/>
    <w:rsid w:val="2D9472BA"/>
    <w:rsid w:val="2D9502DB"/>
    <w:rsid w:val="2D9533B2"/>
    <w:rsid w:val="2D953C3D"/>
    <w:rsid w:val="2D95785A"/>
    <w:rsid w:val="2D960361"/>
    <w:rsid w:val="2D960E01"/>
    <w:rsid w:val="2D96225B"/>
    <w:rsid w:val="2D96226D"/>
    <w:rsid w:val="2D962D7E"/>
    <w:rsid w:val="2D964F15"/>
    <w:rsid w:val="2D9658B9"/>
    <w:rsid w:val="2D971C11"/>
    <w:rsid w:val="2D972291"/>
    <w:rsid w:val="2D9745C2"/>
    <w:rsid w:val="2D977837"/>
    <w:rsid w:val="2D981E85"/>
    <w:rsid w:val="2D98224A"/>
    <w:rsid w:val="2D983E09"/>
    <w:rsid w:val="2D984D48"/>
    <w:rsid w:val="2D9862F2"/>
    <w:rsid w:val="2D990E7D"/>
    <w:rsid w:val="2D991BEB"/>
    <w:rsid w:val="2D99461C"/>
    <w:rsid w:val="2D995913"/>
    <w:rsid w:val="2D997400"/>
    <w:rsid w:val="2D9A0C12"/>
    <w:rsid w:val="2D9A5697"/>
    <w:rsid w:val="2D9A6B52"/>
    <w:rsid w:val="2D9B2143"/>
    <w:rsid w:val="2D9C2956"/>
    <w:rsid w:val="2D9C3532"/>
    <w:rsid w:val="2D9D0C3F"/>
    <w:rsid w:val="2D9D0DF0"/>
    <w:rsid w:val="2D9D2C8B"/>
    <w:rsid w:val="2D9D3C40"/>
    <w:rsid w:val="2D9D410D"/>
    <w:rsid w:val="2D9D427B"/>
    <w:rsid w:val="2D9D7434"/>
    <w:rsid w:val="2D9D7593"/>
    <w:rsid w:val="2D9E0760"/>
    <w:rsid w:val="2D9E1C33"/>
    <w:rsid w:val="2D9E60D7"/>
    <w:rsid w:val="2D9F35F4"/>
    <w:rsid w:val="2DA01E4F"/>
    <w:rsid w:val="2DA05207"/>
    <w:rsid w:val="2DA07759"/>
    <w:rsid w:val="2DA134D1"/>
    <w:rsid w:val="2DA16E42"/>
    <w:rsid w:val="2DA20CE3"/>
    <w:rsid w:val="2DA2119A"/>
    <w:rsid w:val="2DA21723"/>
    <w:rsid w:val="2DA22E99"/>
    <w:rsid w:val="2DA273A4"/>
    <w:rsid w:val="2DA3535C"/>
    <w:rsid w:val="2DA3549B"/>
    <w:rsid w:val="2DA37249"/>
    <w:rsid w:val="2DA4204D"/>
    <w:rsid w:val="2DA44678"/>
    <w:rsid w:val="2DA44895"/>
    <w:rsid w:val="2DA454A5"/>
    <w:rsid w:val="2DA50143"/>
    <w:rsid w:val="2DA51213"/>
    <w:rsid w:val="2DA5182F"/>
    <w:rsid w:val="2DA52E08"/>
    <w:rsid w:val="2DA54BF8"/>
    <w:rsid w:val="2DA57465"/>
    <w:rsid w:val="2DA60AE7"/>
    <w:rsid w:val="2DA60B7F"/>
    <w:rsid w:val="2DA61FE9"/>
    <w:rsid w:val="2DA63B03"/>
    <w:rsid w:val="2DA7022D"/>
    <w:rsid w:val="2DA71BF9"/>
    <w:rsid w:val="2DA76F18"/>
    <w:rsid w:val="2DA820CD"/>
    <w:rsid w:val="2DA825C3"/>
    <w:rsid w:val="2DA87156"/>
    <w:rsid w:val="2DA8774C"/>
    <w:rsid w:val="2DA90D03"/>
    <w:rsid w:val="2DA90D18"/>
    <w:rsid w:val="2DA93DA9"/>
    <w:rsid w:val="2DA9681A"/>
    <w:rsid w:val="2DA977D1"/>
    <w:rsid w:val="2DAA3CE2"/>
    <w:rsid w:val="2DAA4A7C"/>
    <w:rsid w:val="2DAA6942"/>
    <w:rsid w:val="2DAB7DBB"/>
    <w:rsid w:val="2DAC07F4"/>
    <w:rsid w:val="2DAC1324"/>
    <w:rsid w:val="2DAC3027"/>
    <w:rsid w:val="2DAC4350"/>
    <w:rsid w:val="2DAD1E76"/>
    <w:rsid w:val="2DAE231D"/>
    <w:rsid w:val="2DAE4C4B"/>
    <w:rsid w:val="2DAE4E2F"/>
    <w:rsid w:val="2DAE5947"/>
    <w:rsid w:val="2DAE78B1"/>
    <w:rsid w:val="2DAF0BD0"/>
    <w:rsid w:val="2DAF0C39"/>
    <w:rsid w:val="2DAF14C1"/>
    <w:rsid w:val="2DAF1AC4"/>
    <w:rsid w:val="2DAF2092"/>
    <w:rsid w:val="2DAF3E40"/>
    <w:rsid w:val="2DB02E38"/>
    <w:rsid w:val="2DB041A7"/>
    <w:rsid w:val="2DB12451"/>
    <w:rsid w:val="2DB126A6"/>
    <w:rsid w:val="2DB142C8"/>
    <w:rsid w:val="2DB16D32"/>
    <w:rsid w:val="2DB17BB8"/>
    <w:rsid w:val="2DB231D7"/>
    <w:rsid w:val="2DB244BE"/>
    <w:rsid w:val="2DB248A0"/>
    <w:rsid w:val="2DB249DF"/>
    <w:rsid w:val="2DB2567C"/>
    <w:rsid w:val="2DB317B9"/>
    <w:rsid w:val="2DB31A09"/>
    <w:rsid w:val="2DB31B82"/>
    <w:rsid w:val="2DB33930"/>
    <w:rsid w:val="2DB34C05"/>
    <w:rsid w:val="2DB35CDD"/>
    <w:rsid w:val="2DB41456"/>
    <w:rsid w:val="2DB42C49"/>
    <w:rsid w:val="2DB43204"/>
    <w:rsid w:val="2DB43C23"/>
    <w:rsid w:val="2DB45FB8"/>
    <w:rsid w:val="2DB532E1"/>
    <w:rsid w:val="2DB5581A"/>
    <w:rsid w:val="2DB651CE"/>
    <w:rsid w:val="2DB6553D"/>
    <w:rsid w:val="2DB70656"/>
    <w:rsid w:val="2DB72CF5"/>
    <w:rsid w:val="2DB72D0B"/>
    <w:rsid w:val="2DB76E1E"/>
    <w:rsid w:val="2DB77AD8"/>
    <w:rsid w:val="2DB80F46"/>
    <w:rsid w:val="2DB9081B"/>
    <w:rsid w:val="2DB9376C"/>
    <w:rsid w:val="2DB94CBF"/>
    <w:rsid w:val="2DB96A6D"/>
    <w:rsid w:val="2DBA2E0B"/>
    <w:rsid w:val="2DBA2FCF"/>
    <w:rsid w:val="2DBA4E78"/>
    <w:rsid w:val="2DBA6664"/>
    <w:rsid w:val="2DBB27E5"/>
    <w:rsid w:val="2DBB70A1"/>
    <w:rsid w:val="2DBB7F4B"/>
    <w:rsid w:val="2DBC0654"/>
    <w:rsid w:val="2DBC0B56"/>
    <w:rsid w:val="2DBC2B1C"/>
    <w:rsid w:val="2DBC4548"/>
    <w:rsid w:val="2DBC771C"/>
    <w:rsid w:val="2DBC7CB8"/>
    <w:rsid w:val="2DBD3FAC"/>
    <w:rsid w:val="2DBD469C"/>
    <w:rsid w:val="2DBD47AF"/>
    <w:rsid w:val="2DBD6A5A"/>
    <w:rsid w:val="2DBE000D"/>
    <w:rsid w:val="2DBE3470"/>
    <w:rsid w:val="2DBF011F"/>
    <w:rsid w:val="2DBF05D7"/>
    <w:rsid w:val="2DC01EA3"/>
    <w:rsid w:val="2DC03F39"/>
    <w:rsid w:val="2DC0504F"/>
    <w:rsid w:val="2DC0604D"/>
    <w:rsid w:val="2DC112E1"/>
    <w:rsid w:val="2DC16AE6"/>
    <w:rsid w:val="2DC21DC5"/>
    <w:rsid w:val="2DC226CD"/>
    <w:rsid w:val="2DC23B73"/>
    <w:rsid w:val="2DC2524D"/>
    <w:rsid w:val="2DC25921"/>
    <w:rsid w:val="2DC30A90"/>
    <w:rsid w:val="2DC413B8"/>
    <w:rsid w:val="2DC4276B"/>
    <w:rsid w:val="2DC4662A"/>
    <w:rsid w:val="2DC46FFF"/>
    <w:rsid w:val="2DC47D0E"/>
    <w:rsid w:val="2DC511D8"/>
    <w:rsid w:val="2DC518B5"/>
    <w:rsid w:val="2DC535FB"/>
    <w:rsid w:val="2DC64A29"/>
    <w:rsid w:val="2DC65124"/>
    <w:rsid w:val="2DC6679F"/>
    <w:rsid w:val="2DC7118A"/>
    <w:rsid w:val="2DC72800"/>
    <w:rsid w:val="2DC72ED2"/>
    <w:rsid w:val="2DC754D3"/>
    <w:rsid w:val="2DC77377"/>
    <w:rsid w:val="2DC777CD"/>
    <w:rsid w:val="2DC80ADD"/>
    <w:rsid w:val="2DC81331"/>
    <w:rsid w:val="2DC81D4F"/>
    <w:rsid w:val="2DC831EA"/>
    <w:rsid w:val="2DC84F02"/>
    <w:rsid w:val="2DC86FC9"/>
    <w:rsid w:val="2DC9099A"/>
    <w:rsid w:val="2DC9254F"/>
    <w:rsid w:val="2DC92566"/>
    <w:rsid w:val="2DC930E8"/>
    <w:rsid w:val="2DC93154"/>
    <w:rsid w:val="2DC93FC0"/>
    <w:rsid w:val="2DC94A51"/>
    <w:rsid w:val="2DC960E5"/>
    <w:rsid w:val="2DCA0C7A"/>
    <w:rsid w:val="2DCA2A28"/>
    <w:rsid w:val="2DCA31EC"/>
    <w:rsid w:val="2DCA38D6"/>
    <w:rsid w:val="2DCA6ECC"/>
    <w:rsid w:val="2DCB1181"/>
    <w:rsid w:val="2DCC054E"/>
    <w:rsid w:val="2DCC1E10"/>
    <w:rsid w:val="2DCC2680"/>
    <w:rsid w:val="2DCC49F2"/>
    <w:rsid w:val="2DCC56E5"/>
    <w:rsid w:val="2DCC67A0"/>
    <w:rsid w:val="2DCD1567"/>
    <w:rsid w:val="2DCD32B0"/>
    <w:rsid w:val="2DCD34F3"/>
    <w:rsid w:val="2DCD3B4E"/>
    <w:rsid w:val="2DCD42C6"/>
    <w:rsid w:val="2DCD566D"/>
    <w:rsid w:val="2DCE076A"/>
    <w:rsid w:val="2DCE1226"/>
    <w:rsid w:val="2DCE2518"/>
    <w:rsid w:val="2DCE63C1"/>
    <w:rsid w:val="2DCE7EB7"/>
    <w:rsid w:val="2DCF44E2"/>
    <w:rsid w:val="2DCF4866"/>
    <w:rsid w:val="2DD03624"/>
    <w:rsid w:val="2DD06378"/>
    <w:rsid w:val="2DD06A7C"/>
    <w:rsid w:val="2DD07DB6"/>
    <w:rsid w:val="2DD1025A"/>
    <w:rsid w:val="2DD12008"/>
    <w:rsid w:val="2DD138B2"/>
    <w:rsid w:val="2DD13DB6"/>
    <w:rsid w:val="2DD17740"/>
    <w:rsid w:val="2DD215A4"/>
    <w:rsid w:val="2DD22242"/>
    <w:rsid w:val="2DD24FFB"/>
    <w:rsid w:val="2DD3150E"/>
    <w:rsid w:val="2DD35D80"/>
    <w:rsid w:val="2DD415FF"/>
    <w:rsid w:val="2DD42079"/>
    <w:rsid w:val="2DD438A6"/>
    <w:rsid w:val="2DD44507"/>
    <w:rsid w:val="2DD45655"/>
    <w:rsid w:val="2DD47130"/>
    <w:rsid w:val="2DD51DD8"/>
    <w:rsid w:val="2DD52EE1"/>
    <w:rsid w:val="2DD54E04"/>
    <w:rsid w:val="2DD54E9B"/>
    <w:rsid w:val="2DD5758C"/>
    <w:rsid w:val="2DD613CD"/>
    <w:rsid w:val="2DD61621"/>
    <w:rsid w:val="2DD65FBC"/>
    <w:rsid w:val="2DD6761F"/>
    <w:rsid w:val="2DD67D4A"/>
    <w:rsid w:val="2DD71580"/>
    <w:rsid w:val="2DD75790"/>
    <w:rsid w:val="2DD80A58"/>
    <w:rsid w:val="2DD815E9"/>
    <w:rsid w:val="2DD92C6B"/>
    <w:rsid w:val="2DD956C5"/>
    <w:rsid w:val="2DD95F0A"/>
    <w:rsid w:val="2DDA1D69"/>
    <w:rsid w:val="2DDA261A"/>
    <w:rsid w:val="2DDA368F"/>
    <w:rsid w:val="2DDA5317"/>
    <w:rsid w:val="2DDB2349"/>
    <w:rsid w:val="2DDB4C35"/>
    <w:rsid w:val="2DDB678A"/>
    <w:rsid w:val="2DDB69E3"/>
    <w:rsid w:val="2DDB6AD4"/>
    <w:rsid w:val="2DDB7535"/>
    <w:rsid w:val="2DDC1833"/>
    <w:rsid w:val="2DDC297F"/>
    <w:rsid w:val="2DDC5FFD"/>
    <w:rsid w:val="2DDD09AD"/>
    <w:rsid w:val="2DDD275B"/>
    <w:rsid w:val="2DDD3F92"/>
    <w:rsid w:val="2DDD45F4"/>
    <w:rsid w:val="2DDD6BFF"/>
    <w:rsid w:val="2DDE4C6D"/>
    <w:rsid w:val="2DDE6A6D"/>
    <w:rsid w:val="2DDF2977"/>
    <w:rsid w:val="2DDF4725"/>
    <w:rsid w:val="2DDF515E"/>
    <w:rsid w:val="2DDF72EB"/>
    <w:rsid w:val="2DE007D6"/>
    <w:rsid w:val="2DE01F17"/>
    <w:rsid w:val="2DE0224B"/>
    <w:rsid w:val="2DE023E4"/>
    <w:rsid w:val="2DE03A0B"/>
    <w:rsid w:val="2DE03C7B"/>
    <w:rsid w:val="2DE03FF9"/>
    <w:rsid w:val="2DE04242"/>
    <w:rsid w:val="2DE048E5"/>
    <w:rsid w:val="2DE13062"/>
    <w:rsid w:val="2DE24215"/>
    <w:rsid w:val="2DE24837"/>
    <w:rsid w:val="2DE24C7D"/>
    <w:rsid w:val="2DE27D71"/>
    <w:rsid w:val="2DE30898"/>
    <w:rsid w:val="2DE373FB"/>
    <w:rsid w:val="2DE4052B"/>
    <w:rsid w:val="2DE4113B"/>
    <w:rsid w:val="2DE51610"/>
    <w:rsid w:val="2DE528B5"/>
    <w:rsid w:val="2DE53D06"/>
    <w:rsid w:val="2DE57862"/>
    <w:rsid w:val="2DE62BF1"/>
    <w:rsid w:val="2DE63201"/>
    <w:rsid w:val="2DE63BD9"/>
    <w:rsid w:val="2DE64648"/>
    <w:rsid w:val="2DE75388"/>
    <w:rsid w:val="2DE75B24"/>
    <w:rsid w:val="2DE76E3D"/>
    <w:rsid w:val="2DE81100"/>
    <w:rsid w:val="2DE827A0"/>
    <w:rsid w:val="2DE93E2F"/>
    <w:rsid w:val="2DE9470A"/>
    <w:rsid w:val="2DE952C6"/>
    <w:rsid w:val="2DE955A4"/>
    <w:rsid w:val="2DE95A1F"/>
    <w:rsid w:val="2DE9659E"/>
    <w:rsid w:val="2DEA10F3"/>
    <w:rsid w:val="2DEA4D27"/>
    <w:rsid w:val="2DEA609B"/>
    <w:rsid w:val="2DEA782D"/>
    <w:rsid w:val="2DEB5FA9"/>
    <w:rsid w:val="2DEB6567"/>
    <w:rsid w:val="2DEB7449"/>
    <w:rsid w:val="2DEC0ADB"/>
    <w:rsid w:val="2DEC1121"/>
    <w:rsid w:val="2DEC299E"/>
    <w:rsid w:val="2DEC7ADA"/>
    <w:rsid w:val="2DED266C"/>
    <w:rsid w:val="2DED2D76"/>
    <w:rsid w:val="2DED3B70"/>
    <w:rsid w:val="2DED5171"/>
    <w:rsid w:val="2DED6716"/>
    <w:rsid w:val="2DED7D28"/>
    <w:rsid w:val="2DEE0032"/>
    <w:rsid w:val="2DEE2BBA"/>
    <w:rsid w:val="2DEE4968"/>
    <w:rsid w:val="2DEE5793"/>
    <w:rsid w:val="2DEE59AB"/>
    <w:rsid w:val="2DEF06E0"/>
    <w:rsid w:val="2DEF6E3B"/>
    <w:rsid w:val="2DF01A0C"/>
    <w:rsid w:val="2DF04A01"/>
    <w:rsid w:val="2DF109DA"/>
    <w:rsid w:val="2DF1175B"/>
    <w:rsid w:val="2DF126AA"/>
    <w:rsid w:val="2DF12E9C"/>
    <w:rsid w:val="2DF14E31"/>
    <w:rsid w:val="2DF21990"/>
    <w:rsid w:val="2DF22F2F"/>
    <w:rsid w:val="2DF23271"/>
    <w:rsid w:val="2DF23969"/>
    <w:rsid w:val="2DF2432C"/>
    <w:rsid w:val="2DF24696"/>
    <w:rsid w:val="2DF24EA8"/>
    <w:rsid w:val="2DF26DE9"/>
    <w:rsid w:val="2DF301D1"/>
    <w:rsid w:val="2DF31F7F"/>
    <w:rsid w:val="2DF34B93"/>
    <w:rsid w:val="2DF357BC"/>
    <w:rsid w:val="2DF43BC7"/>
    <w:rsid w:val="2DF44F13"/>
    <w:rsid w:val="2DF4533D"/>
    <w:rsid w:val="2DF4595A"/>
    <w:rsid w:val="2DF51345"/>
    <w:rsid w:val="2DF53353"/>
    <w:rsid w:val="2DF56437"/>
    <w:rsid w:val="2DF62ABD"/>
    <w:rsid w:val="2DF66ACE"/>
    <w:rsid w:val="2DF717D6"/>
    <w:rsid w:val="2DF81251"/>
    <w:rsid w:val="2DF812D9"/>
    <w:rsid w:val="2DF81343"/>
    <w:rsid w:val="2DF83A39"/>
    <w:rsid w:val="2DF857E7"/>
    <w:rsid w:val="2DF905D5"/>
    <w:rsid w:val="2DF9330D"/>
    <w:rsid w:val="2DF93C76"/>
    <w:rsid w:val="2DF94989"/>
    <w:rsid w:val="2DF94BAA"/>
    <w:rsid w:val="2DF950BB"/>
    <w:rsid w:val="2DF95C84"/>
    <w:rsid w:val="2DFA155F"/>
    <w:rsid w:val="2DFA49BF"/>
    <w:rsid w:val="2DFB0562"/>
    <w:rsid w:val="2DFB0E33"/>
    <w:rsid w:val="2DFB239F"/>
    <w:rsid w:val="2DFB3366"/>
    <w:rsid w:val="2DFB52D7"/>
    <w:rsid w:val="2DFB6B1F"/>
    <w:rsid w:val="2DFB7085"/>
    <w:rsid w:val="2DFC3FA4"/>
    <w:rsid w:val="2DFC7F44"/>
    <w:rsid w:val="2DFC7FAF"/>
    <w:rsid w:val="2DFD104F"/>
    <w:rsid w:val="2DFD179F"/>
    <w:rsid w:val="2DFD4BAB"/>
    <w:rsid w:val="2DFD6C2A"/>
    <w:rsid w:val="2DFD7A5A"/>
    <w:rsid w:val="2DFE0923"/>
    <w:rsid w:val="2DFE1CC2"/>
    <w:rsid w:val="2DFE28CF"/>
    <w:rsid w:val="2DFE329C"/>
    <w:rsid w:val="2DFE35DB"/>
    <w:rsid w:val="2DFE414F"/>
    <w:rsid w:val="2DFE43EF"/>
    <w:rsid w:val="2DFF0533"/>
    <w:rsid w:val="2DFF07C2"/>
    <w:rsid w:val="2DFF10AA"/>
    <w:rsid w:val="2DFF225D"/>
    <w:rsid w:val="2DFF2C70"/>
    <w:rsid w:val="2E0028ED"/>
    <w:rsid w:val="2E0029A1"/>
    <w:rsid w:val="2E00469C"/>
    <w:rsid w:val="2E006380"/>
    <w:rsid w:val="2E00644A"/>
    <w:rsid w:val="2E011DF7"/>
    <w:rsid w:val="2E012991"/>
    <w:rsid w:val="2E013A2B"/>
    <w:rsid w:val="2E0308AA"/>
    <w:rsid w:val="2E030DF5"/>
    <w:rsid w:val="2E0405F5"/>
    <w:rsid w:val="2E040FEA"/>
    <w:rsid w:val="2E04218E"/>
    <w:rsid w:val="2E0423DE"/>
    <w:rsid w:val="2E043DCE"/>
    <w:rsid w:val="2E04418C"/>
    <w:rsid w:val="2E045F3A"/>
    <w:rsid w:val="2E0476E0"/>
    <w:rsid w:val="2E051061"/>
    <w:rsid w:val="2E051CB2"/>
    <w:rsid w:val="2E05657B"/>
    <w:rsid w:val="2E05759C"/>
    <w:rsid w:val="2E057F04"/>
    <w:rsid w:val="2E0601C9"/>
    <w:rsid w:val="2E063C32"/>
    <w:rsid w:val="2E073056"/>
    <w:rsid w:val="2E0737C1"/>
    <w:rsid w:val="2E073C7C"/>
    <w:rsid w:val="2E074D66"/>
    <w:rsid w:val="2E0750C2"/>
    <w:rsid w:val="2E075DF4"/>
    <w:rsid w:val="2E0820E8"/>
    <w:rsid w:val="2E08390E"/>
    <w:rsid w:val="2E085954"/>
    <w:rsid w:val="2E0865E1"/>
    <w:rsid w:val="2E0917A2"/>
    <w:rsid w:val="2E0932A3"/>
    <w:rsid w:val="2E093CBB"/>
    <w:rsid w:val="2E0972A0"/>
    <w:rsid w:val="2E0979E2"/>
    <w:rsid w:val="2E0979F4"/>
    <w:rsid w:val="2E0A551A"/>
    <w:rsid w:val="2E0A72C8"/>
    <w:rsid w:val="2E0A7B0C"/>
    <w:rsid w:val="2E0B376C"/>
    <w:rsid w:val="2E0B48F3"/>
    <w:rsid w:val="2E0B6614"/>
    <w:rsid w:val="2E0C13DA"/>
    <w:rsid w:val="2E0C3FD6"/>
    <w:rsid w:val="2E0C4019"/>
    <w:rsid w:val="2E0C4DEE"/>
    <w:rsid w:val="2E0C7D1E"/>
    <w:rsid w:val="2E0D0BB5"/>
    <w:rsid w:val="2E0D15CB"/>
    <w:rsid w:val="2E0D620A"/>
    <w:rsid w:val="2E0D77F3"/>
    <w:rsid w:val="2E0E1965"/>
    <w:rsid w:val="2E0E23C4"/>
    <w:rsid w:val="2E0E4D8C"/>
    <w:rsid w:val="2E0E500A"/>
    <w:rsid w:val="2E0F364B"/>
    <w:rsid w:val="2E0F5F6F"/>
    <w:rsid w:val="2E10033E"/>
    <w:rsid w:val="2E100D83"/>
    <w:rsid w:val="2E103FC4"/>
    <w:rsid w:val="2E1071C2"/>
    <w:rsid w:val="2E11055B"/>
    <w:rsid w:val="2E1105AF"/>
    <w:rsid w:val="2E110657"/>
    <w:rsid w:val="2E111079"/>
    <w:rsid w:val="2E114B58"/>
    <w:rsid w:val="2E1156E4"/>
    <w:rsid w:val="2E1168A9"/>
    <w:rsid w:val="2E124DA6"/>
    <w:rsid w:val="2E12537B"/>
    <w:rsid w:val="2E126FC7"/>
    <w:rsid w:val="2E1275C8"/>
    <w:rsid w:val="2E1276A1"/>
    <w:rsid w:val="2E13617D"/>
    <w:rsid w:val="2E1363FE"/>
    <w:rsid w:val="2E141672"/>
    <w:rsid w:val="2E14288D"/>
    <w:rsid w:val="2E150147"/>
    <w:rsid w:val="2E152297"/>
    <w:rsid w:val="2E153F69"/>
    <w:rsid w:val="2E156399"/>
    <w:rsid w:val="2E157F3E"/>
    <w:rsid w:val="2E171F34"/>
    <w:rsid w:val="2E171F3E"/>
    <w:rsid w:val="2E172009"/>
    <w:rsid w:val="2E175F35"/>
    <w:rsid w:val="2E181772"/>
    <w:rsid w:val="2E183793"/>
    <w:rsid w:val="2E184FCE"/>
    <w:rsid w:val="2E185182"/>
    <w:rsid w:val="2E187D38"/>
    <w:rsid w:val="2E191EA2"/>
    <w:rsid w:val="2E1920A8"/>
    <w:rsid w:val="2E1954C5"/>
    <w:rsid w:val="2E195C28"/>
    <w:rsid w:val="2E19702D"/>
    <w:rsid w:val="2E19750B"/>
    <w:rsid w:val="2E197696"/>
    <w:rsid w:val="2E1A1DF7"/>
    <w:rsid w:val="2E1A2211"/>
    <w:rsid w:val="2E1A39AF"/>
    <w:rsid w:val="2E1B1660"/>
    <w:rsid w:val="2E1B222E"/>
    <w:rsid w:val="2E1B2B64"/>
    <w:rsid w:val="2E1B3283"/>
    <w:rsid w:val="2E1B460E"/>
    <w:rsid w:val="2E1B568F"/>
    <w:rsid w:val="2E1B57BE"/>
    <w:rsid w:val="2E1B6075"/>
    <w:rsid w:val="2E1B61E2"/>
    <w:rsid w:val="2E1B7727"/>
    <w:rsid w:val="2E1B7E50"/>
    <w:rsid w:val="2E1C401C"/>
    <w:rsid w:val="2E1C62F1"/>
    <w:rsid w:val="2E1D0C40"/>
    <w:rsid w:val="2E1D349F"/>
    <w:rsid w:val="2E1D4B31"/>
    <w:rsid w:val="2E1D524D"/>
    <w:rsid w:val="2E1D6FFC"/>
    <w:rsid w:val="2E1E0778"/>
    <w:rsid w:val="2E1E1A94"/>
    <w:rsid w:val="2E1E2D45"/>
    <w:rsid w:val="2E1F0726"/>
    <w:rsid w:val="2E1F0FC6"/>
    <w:rsid w:val="2E1F27D0"/>
    <w:rsid w:val="2E1F2D74"/>
    <w:rsid w:val="2E1F4B32"/>
    <w:rsid w:val="2E20089A"/>
    <w:rsid w:val="2E201B01"/>
    <w:rsid w:val="2E206AEC"/>
    <w:rsid w:val="2E206B20"/>
    <w:rsid w:val="2E21083A"/>
    <w:rsid w:val="2E213C02"/>
    <w:rsid w:val="2E2177A1"/>
    <w:rsid w:val="2E222864"/>
    <w:rsid w:val="2E223F5B"/>
    <w:rsid w:val="2E224612"/>
    <w:rsid w:val="2E2269F6"/>
    <w:rsid w:val="2E227DE9"/>
    <w:rsid w:val="2E232138"/>
    <w:rsid w:val="2E234621"/>
    <w:rsid w:val="2E235482"/>
    <w:rsid w:val="2E237688"/>
    <w:rsid w:val="2E24038A"/>
    <w:rsid w:val="2E241520"/>
    <w:rsid w:val="2E2437B8"/>
    <w:rsid w:val="2E24482E"/>
    <w:rsid w:val="2E2453B9"/>
    <w:rsid w:val="2E2465DC"/>
    <w:rsid w:val="2E2471BB"/>
    <w:rsid w:val="2E265A58"/>
    <w:rsid w:val="2E26639C"/>
    <w:rsid w:val="2E271C28"/>
    <w:rsid w:val="2E2759DB"/>
    <w:rsid w:val="2E2760CC"/>
    <w:rsid w:val="2E286F9E"/>
    <w:rsid w:val="2E286FCC"/>
    <w:rsid w:val="2E291E44"/>
    <w:rsid w:val="2E2948CC"/>
    <w:rsid w:val="2E2958B2"/>
    <w:rsid w:val="2E2959A0"/>
    <w:rsid w:val="2E295ED6"/>
    <w:rsid w:val="2E2961AE"/>
    <w:rsid w:val="2E2A0071"/>
    <w:rsid w:val="2E2A1337"/>
    <w:rsid w:val="2E2A1718"/>
    <w:rsid w:val="2E2B44BD"/>
    <w:rsid w:val="2E2B4AE9"/>
    <w:rsid w:val="2E2B7069"/>
    <w:rsid w:val="2E2B796A"/>
    <w:rsid w:val="2E2C3647"/>
    <w:rsid w:val="2E2C3FA3"/>
    <w:rsid w:val="2E2C5491"/>
    <w:rsid w:val="2E2C77F8"/>
    <w:rsid w:val="2E2D6DDD"/>
    <w:rsid w:val="2E2D7714"/>
    <w:rsid w:val="2E2E0409"/>
    <w:rsid w:val="2E2E25B1"/>
    <w:rsid w:val="2E2E5670"/>
    <w:rsid w:val="2E2E64A8"/>
    <w:rsid w:val="2E2F16FD"/>
    <w:rsid w:val="2E2F5A3E"/>
    <w:rsid w:val="2E2F6D2F"/>
    <w:rsid w:val="2E302163"/>
    <w:rsid w:val="2E312AA7"/>
    <w:rsid w:val="2E313C4C"/>
    <w:rsid w:val="2E316667"/>
    <w:rsid w:val="2E323181"/>
    <w:rsid w:val="2E32340C"/>
    <w:rsid w:val="2E325814"/>
    <w:rsid w:val="2E32682A"/>
    <w:rsid w:val="2E3270E2"/>
    <w:rsid w:val="2E3305CD"/>
    <w:rsid w:val="2E331727"/>
    <w:rsid w:val="2E333410"/>
    <w:rsid w:val="2E33418C"/>
    <w:rsid w:val="2E334350"/>
    <w:rsid w:val="2E33681F"/>
    <w:rsid w:val="2E341DD7"/>
    <w:rsid w:val="2E344345"/>
    <w:rsid w:val="2E34556F"/>
    <w:rsid w:val="2E346CB0"/>
    <w:rsid w:val="2E351C22"/>
    <w:rsid w:val="2E352597"/>
    <w:rsid w:val="2E35524F"/>
    <w:rsid w:val="2E35623B"/>
    <w:rsid w:val="2E3600BD"/>
    <w:rsid w:val="2E360224"/>
    <w:rsid w:val="2E360CBF"/>
    <w:rsid w:val="2E3615D0"/>
    <w:rsid w:val="2E363673"/>
    <w:rsid w:val="2E363BDE"/>
    <w:rsid w:val="2E366045"/>
    <w:rsid w:val="2E366C65"/>
    <w:rsid w:val="2E372D70"/>
    <w:rsid w:val="2E374561"/>
    <w:rsid w:val="2E37628C"/>
    <w:rsid w:val="2E376E42"/>
    <w:rsid w:val="2E382087"/>
    <w:rsid w:val="2E38466F"/>
    <w:rsid w:val="2E385400"/>
    <w:rsid w:val="2E3876DC"/>
    <w:rsid w:val="2E391B60"/>
    <w:rsid w:val="2E3940E5"/>
    <w:rsid w:val="2E39579E"/>
    <w:rsid w:val="2E3A195C"/>
    <w:rsid w:val="2E3A2456"/>
    <w:rsid w:val="2E3A4684"/>
    <w:rsid w:val="2E3A4D53"/>
    <w:rsid w:val="2E3A53F1"/>
    <w:rsid w:val="2E3A5DFF"/>
    <w:rsid w:val="2E3A7BAD"/>
    <w:rsid w:val="2E3B0C74"/>
    <w:rsid w:val="2E3B43B1"/>
    <w:rsid w:val="2E3B50E9"/>
    <w:rsid w:val="2E3B56D4"/>
    <w:rsid w:val="2E3C3CC5"/>
    <w:rsid w:val="2E3C4036"/>
    <w:rsid w:val="2E3C51F2"/>
    <w:rsid w:val="2E3C56B2"/>
    <w:rsid w:val="2E3D294E"/>
    <w:rsid w:val="2E3D2978"/>
    <w:rsid w:val="2E3D31FA"/>
    <w:rsid w:val="2E3D4C24"/>
    <w:rsid w:val="2E3D554A"/>
    <w:rsid w:val="2E3D5B9A"/>
    <w:rsid w:val="2E3D68D2"/>
    <w:rsid w:val="2E3D769E"/>
    <w:rsid w:val="2E3E1CCC"/>
    <w:rsid w:val="2E3E6DA2"/>
    <w:rsid w:val="2E3E6DB0"/>
    <w:rsid w:val="2E3F258B"/>
    <w:rsid w:val="2E3F3289"/>
    <w:rsid w:val="2E3F6F72"/>
    <w:rsid w:val="2E4008C4"/>
    <w:rsid w:val="2E402CEA"/>
    <w:rsid w:val="2E402E5D"/>
    <w:rsid w:val="2E404177"/>
    <w:rsid w:val="2E4055C4"/>
    <w:rsid w:val="2E4057A3"/>
    <w:rsid w:val="2E4151BB"/>
    <w:rsid w:val="2E416380"/>
    <w:rsid w:val="2E4166E3"/>
    <w:rsid w:val="2E4169A0"/>
    <w:rsid w:val="2E422F06"/>
    <w:rsid w:val="2E4272A0"/>
    <w:rsid w:val="2E433B43"/>
    <w:rsid w:val="2E440A2C"/>
    <w:rsid w:val="2E4427DA"/>
    <w:rsid w:val="2E443916"/>
    <w:rsid w:val="2E4521AB"/>
    <w:rsid w:val="2E4555A4"/>
    <w:rsid w:val="2E4567CD"/>
    <w:rsid w:val="2E456D3F"/>
    <w:rsid w:val="2E462B4E"/>
    <w:rsid w:val="2E463308"/>
    <w:rsid w:val="2E466E14"/>
    <w:rsid w:val="2E467984"/>
    <w:rsid w:val="2E47051C"/>
    <w:rsid w:val="2E4722CA"/>
    <w:rsid w:val="2E481995"/>
    <w:rsid w:val="2E483CBB"/>
    <w:rsid w:val="2E484404"/>
    <w:rsid w:val="2E4858F8"/>
    <w:rsid w:val="2E4865B6"/>
    <w:rsid w:val="2E487294"/>
    <w:rsid w:val="2E491087"/>
    <w:rsid w:val="2E494294"/>
    <w:rsid w:val="2E496043"/>
    <w:rsid w:val="2E497AC2"/>
    <w:rsid w:val="2E4A00FA"/>
    <w:rsid w:val="2E4A672B"/>
    <w:rsid w:val="2E4B4FFA"/>
    <w:rsid w:val="2E4B5BFE"/>
    <w:rsid w:val="2E4C168F"/>
    <w:rsid w:val="2E4C3B6A"/>
    <w:rsid w:val="2E4C78E1"/>
    <w:rsid w:val="2E4D0F7A"/>
    <w:rsid w:val="2E4D63C7"/>
    <w:rsid w:val="2E4E1302"/>
    <w:rsid w:val="2E4E18AB"/>
    <w:rsid w:val="2E4E3625"/>
    <w:rsid w:val="2E4E6355"/>
    <w:rsid w:val="2E4E7787"/>
    <w:rsid w:val="2E4F0888"/>
    <w:rsid w:val="2E4F0B90"/>
    <w:rsid w:val="2E4F2177"/>
    <w:rsid w:val="2E4F2F2D"/>
    <w:rsid w:val="2E4F678E"/>
    <w:rsid w:val="2E4F6D59"/>
    <w:rsid w:val="2E50117F"/>
    <w:rsid w:val="2E503BB4"/>
    <w:rsid w:val="2E5077D3"/>
    <w:rsid w:val="2E507989"/>
    <w:rsid w:val="2E51057C"/>
    <w:rsid w:val="2E513149"/>
    <w:rsid w:val="2E513E10"/>
    <w:rsid w:val="2E514EF7"/>
    <w:rsid w:val="2E516CA5"/>
    <w:rsid w:val="2E5175B8"/>
    <w:rsid w:val="2E5230F0"/>
    <w:rsid w:val="2E524DF2"/>
    <w:rsid w:val="2E52644C"/>
    <w:rsid w:val="2E530AF8"/>
    <w:rsid w:val="2E530C6F"/>
    <w:rsid w:val="2E532A1D"/>
    <w:rsid w:val="2E533229"/>
    <w:rsid w:val="2E536952"/>
    <w:rsid w:val="2E536EC1"/>
    <w:rsid w:val="2E5422D2"/>
    <w:rsid w:val="2E5506F4"/>
    <w:rsid w:val="2E5516E0"/>
    <w:rsid w:val="2E552C39"/>
    <w:rsid w:val="2E553286"/>
    <w:rsid w:val="2E5537BA"/>
    <w:rsid w:val="2E55394B"/>
    <w:rsid w:val="2E5549E7"/>
    <w:rsid w:val="2E556795"/>
    <w:rsid w:val="2E56250D"/>
    <w:rsid w:val="2E5642BC"/>
    <w:rsid w:val="2E564409"/>
    <w:rsid w:val="2E5674F9"/>
    <w:rsid w:val="2E580034"/>
    <w:rsid w:val="2E5809A9"/>
    <w:rsid w:val="2E583DD9"/>
    <w:rsid w:val="2E5844D8"/>
    <w:rsid w:val="2E59748C"/>
    <w:rsid w:val="2E5A0120"/>
    <w:rsid w:val="2E5A09CB"/>
    <w:rsid w:val="2E5A1FFE"/>
    <w:rsid w:val="2E5A2214"/>
    <w:rsid w:val="2E5A3DAC"/>
    <w:rsid w:val="2E5A5DAB"/>
    <w:rsid w:val="2E5B48C8"/>
    <w:rsid w:val="2E5C174B"/>
    <w:rsid w:val="2E5C32EB"/>
    <w:rsid w:val="2E5C3FC8"/>
    <w:rsid w:val="2E5C5D76"/>
    <w:rsid w:val="2E5D1831"/>
    <w:rsid w:val="2E5D5EBC"/>
    <w:rsid w:val="2E5D6378"/>
    <w:rsid w:val="2E5E283C"/>
    <w:rsid w:val="2E5E430F"/>
    <w:rsid w:val="2E5F13C2"/>
    <w:rsid w:val="2E5F156F"/>
    <w:rsid w:val="2E5F2166"/>
    <w:rsid w:val="2E5F5866"/>
    <w:rsid w:val="2E60106B"/>
    <w:rsid w:val="2E6042DD"/>
    <w:rsid w:val="2E60513A"/>
    <w:rsid w:val="2E610F8A"/>
    <w:rsid w:val="2E611CC0"/>
    <w:rsid w:val="2E615AEB"/>
    <w:rsid w:val="2E616A1A"/>
    <w:rsid w:val="2E62259F"/>
    <w:rsid w:val="2E623AD8"/>
    <w:rsid w:val="2E6253F0"/>
    <w:rsid w:val="2E626D77"/>
    <w:rsid w:val="2E6331BE"/>
    <w:rsid w:val="2E642879"/>
    <w:rsid w:val="2E642E7C"/>
    <w:rsid w:val="2E644C2A"/>
    <w:rsid w:val="2E650C5B"/>
    <w:rsid w:val="2E6524ED"/>
    <w:rsid w:val="2E652CD4"/>
    <w:rsid w:val="2E652CF4"/>
    <w:rsid w:val="2E655ADE"/>
    <w:rsid w:val="2E6609A2"/>
    <w:rsid w:val="2E660F7E"/>
    <w:rsid w:val="2E662F1C"/>
    <w:rsid w:val="2E666BF4"/>
    <w:rsid w:val="2E673513"/>
    <w:rsid w:val="2E67471B"/>
    <w:rsid w:val="2E682784"/>
    <w:rsid w:val="2E682FCF"/>
    <w:rsid w:val="2E684397"/>
    <w:rsid w:val="2E685A1B"/>
    <w:rsid w:val="2E685C49"/>
    <w:rsid w:val="2E690493"/>
    <w:rsid w:val="2E691828"/>
    <w:rsid w:val="2E691C59"/>
    <w:rsid w:val="2E692241"/>
    <w:rsid w:val="2E692876"/>
    <w:rsid w:val="2E6939A4"/>
    <w:rsid w:val="2E696196"/>
    <w:rsid w:val="2E6A450D"/>
    <w:rsid w:val="2E6B020F"/>
    <w:rsid w:val="2E6B303E"/>
    <w:rsid w:val="2E6B420B"/>
    <w:rsid w:val="2E6B6495"/>
    <w:rsid w:val="2E6B7701"/>
    <w:rsid w:val="2E6C0D11"/>
    <w:rsid w:val="2E6C0EE5"/>
    <w:rsid w:val="2E6C1D31"/>
    <w:rsid w:val="2E6C3EC7"/>
    <w:rsid w:val="2E6C7F20"/>
    <w:rsid w:val="2E6D4CAE"/>
    <w:rsid w:val="2E6D639A"/>
    <w:rsid w:val="2E6D6E41"/>
    <w:rsid w:val="2E6E3CFB"/>
    <w:rsid w:val="2E6E4A77"/>
    <w:rsid w:val="2E6E5AA9"/>
    <w:rsid w:val="2E6E5B24"/>
    <w:rsid w:val="2E6F2E03"/>
    <w:rsid w:val="2E6F38FB"/>
    <w:rsid w:val="2E6F4F32"/>
    <w:rsid w:val="2E6F7F73"/>
    <w:rsid w:val="2E702574"/>
    <w:rsid w:val="2E70537D"/>
    <w:rsid w:val="2E706C94"/>
    <w:rsid w:val="2E7110F5"/>
    <w:rsid w:val="2E715331"/>
    <w:rsid w:val="2E715C11"/>
    <w:rsid w:val="2E716BA6"/>
    <w:rsid w:val="2E717347"/>
    <w:rsid w:val="2E72354C"/>
    <w:rsid w:val="2E725599"/>
    <w:rsid w:val="2E726D8A"/>
    <w:rsid w:val="2E7300E2"/>
    <w:rsid w:val="2E731092"/>
    <w:rsid w:val="2E7330BF"/>
    <w:rsid w:val="2E734423"/>
    <w:rsid w:val="2E7411F9"/>
    <w:rsid w:val="2E750B34"/>
    <w:rsid w:val="2E750BE6"/>
    <w:rsid w:val="2E753E92"/>
    <w:rsid w:val="2E755EF6"/>
    <w:rsid w:val="2E75703B"/>
    <w:rsid w:val="2E761D49"/>
    <w:rsid w:val="2E762366"/>
    <w:rsid w:val="2E765984"/>
    <w:rsid w:val="2E76670C"/>
    <w:rsid w:val="2E770F72"/>
    <w:rsid w:val="2E774685"/>
    <w:rsid w:val="2E777EF3"/>
    <w:rsid w:val="2E780690"/>
    <w:rsid w:val="2E782484"/>
    <w:rsid w:val="2E782504"/>
    <w:rsid w:val="2E7864B3"/>
    <w:rsid w:val="2E79442F"/>
    <w:rsid w:val="2E7A2CE1"/>
    <w:rsid w:val="2E7A444E"/>
    <w:rsid w:val="2E7A61FC"/>
    <w:rsid w:val="2E7B3878"/>
    <w:rsid w:val="2E7B3D22"/>
    <w:rsid w:val="2E7B47A0"/>
    <w:rsid w:val="2E7B634C"/>
    <w:rsid w:val="2E7C01C6"/>
    <w:rsid w:val="2E7C06BB"/>
    <w:rsid w:val="2E7C6418"/>
    <w:rsid w:val="2E7D0A20"/>
    <w:rsid w:val="2E7D3F3E"/>
    <w:rsid w:val="2E7D6EFC"/>
    <w:rsid w:val="2E7E09FF"/>
    <w:rsid w:val="2E7E26DC"/>
    <w:rsid w:val="2E7E4B85"/>
    <w:rsid w:val="2E7F0104"/>
    <w:rsid w:val="2E7F031C"/>
    <w:rsid w:val="2E7F1A64"/>
    <w:rsid w:val="2E7F3812"/>
    <w:rsid w:val="2E7F5053"/>
    <w:rsid w:val="2E7F628A"/>
    <w:rsid w:val="2E7F7FC0"/>
    <w:rsid w:val="2E8002D9"/>
    <w:rsid w:val="2E802071"/>
    <w:rsid w:val="2E8026E6"/>
    <w:rsid w:val="2E802712"/>
    <w:rsid w:val="2E80294E"/>
    <w:rsid w:val="2E8060C0"/>
    <w:rsid w:val="2E815E50"/>
    <w:rsid w:val="2E82031A"/>
    <w:rsid w:val="2E820412"/>
    <w:rsid w:val="2E820CF4"/>
    <w:rsid w:val="2E821554"/>
    <w:rsid w:val="2E823302"/>
    <w:rsid w:val="2E82471B"/>
    <w:rsid w:val="2E8250B1"/>
    <w:rsid w:val="2E826747"/>
    <w:rsid w:val="2E826935"/>
    <w:rsid w:val="2E833BC9"/>
    <w:rsid w:val="2E8345F2"/>
    <w:rsid w:val="2E836496"/>
    <w:rsid w:val="2E845077"/>
    <w:rsid w:val="2E845E8D"/>
    <w:rsid w:val="2E84618A"/>
    <w:rsid w:val="2E846E77"/>
    <w:rsid w:val="2E84707B"/>
    <w:rsid w:val="2E853986"/>
    <w:rsid w:val="2E8550C8"/>
    <w:rsid w:val="2E855EAA"/>
    <w:rsid w:val="2E8577C5"/>
    <w:rsid w:val="2E86445D"/>
    <w:rsid w:val="2E864BA1"/>
    <w:rsid w:val="2E870919"/>
    <w:rsid w:val="2E872DF9"/>
    <w:rsid w:val="2E873119"/>
    <w:rsid w:val="2E8738C9"/>
    <w:rsid w:val="2E876B6B"/>
    <w:rsid w:val="2E8813C7"/>
    <w:rsid w:val="2E882A64"/>
    <w:rsid w:val="2E884DBD"/>
    <w:rsid w:val="2E886CC4"/>
    <w:rsid w:val="2E88717D"/>
    <w:rsid w:val="2E887B02"/>
    <w:rsid w:val="2E8909DB"/>
    <w:rsid w:val="2E891350"/>
    <w:rsid w:val="2E89643F"/>
    <w:rsid w:val="2E8A0695"/>
    <w:rsid w:val="2E8A3192"/>
    <w:rsid w:val="2E8A3797"/>
    <w:rsid w:val="2E8B0409"/>
    <w:rsid w:val="2E8B056C"/>
    <w:rsid w:val="2E8B1938"/>
    <w:rsid w:val="2E8B1A2C"/>
    <w:rsid w:val="2E8B21B7"/>
    <w:rsid w:val="2E8B4540"/>
    <w:rsid w:val="2E8B4C27"/>
    <w:rsid w:val="2E8B665B"/>
    <w:rsid w:val="2E8C1D2E"/>
    <w:rsid w:val="2E8C23C9"/>
    <w:rsid w:val="2E8C3A6C"/>
    <w:rsid w:val="2E8C4181"/>
    <w:rsid w:val="2E8D2118"/>
    <w:rsid w:val="2E8D23D3"/>
    <w:rsid w:val="2E8D3859"/>
    <w:rsid w:val="2E8D509F"/>
    <w:rsid w:val="2E8D54BD"/>
    <w:rsid w:val="2E8D5BB6"/>
    <w:rsid w:val="2E8E06A5"/>
    <w:rsid w:val="2E8E1CA7"/>
    <w:rsid w:val="2E8E432B"/>
    <w:rsid w:val="2E8F0BB6"/>
    <w:rsid w:val="2E8F0D4A"/>
    <w:rsid w:val="2E8F2216"/>
    <w:rsid w:val="2E8F2E35"/>
    <w:rsid w:val="2E8F3C95"/>
    <w:rsid w:val="2E8F5546"/>
    <w:rsid w:val="2E8F7609"/>
    <w:rsid w:val="2E90008E"/>
    <w:rsid w:val="2E903C71"/>
    <w:rsid w:val="2E907392"/>
    <w:rsid w:val="2E907516"/>
    <w:rsid w:val="2E9101A0"/>
    <w:rsid w:val="2E910BE6"/>
    <w:rsid w:val="2E9122A5"/>
    <w:rsid w:val="2E916565"/>
    <w:rsid w:val="2E91757E"/>
    <w:rsid w:val="2E920828"/>
    <w:rsid w:val="2E920C91"/>
    <w:rsid w:val="2E9216DE"/>
    <w:rsid w:val="2E9220D0"/>
    <w:rsid w:val="2E923575"/>
    <w:rsid w:val="2E92544C"/>
    <w:rsid w:val="2E926099"/>
    <w:rsid w:val="2E9275A7"/>
    <w:rsid w:val="2E927641"/>
    <w:rsid w:val="2E9276CB"/>
    <w:rsid w:val="2E93012C"/>
    <w:rsid w:val="2E931934"/>
    <w:rsid w:val="2E934296"/>
    <w:rsid w:val="2E935510"/>
    <w:rsid w:val="2E935C80"/>
    <w:rsid w:val="2E935F8A"/>
    <w:rsid w:val="2E9400DC"/>
    <w:rsid w:val="2E940B89"/>
    <w:rsid w:val="2E943690"/>
    <w:rsid w:val="2E943BD6"/>
    <w:rsid w:val="2E9462A9"/>
    <w:rsid w:val="2E9466BF"/>
    <w:rsid w:val="2E95230B"/>
    <w:rsid w:val="2E953253"/>
    <w:rsid w:val="2E953665"/>
    <w:rsid w:val="2E954DBB"/>
    <w:rsid w:val="2E9574DA"/>
    <w:rsid w:val="2E960B5C"/>
    <w:rsid w:val="2E960D60"/>
    <w:rsid w:val="2E9616A6"/>
    <w:rsid w:val="2E9622BA"/>
    <w:rsid w:val="2E973FEC"/>
    <w:rsid w:val="2E97548B"/>
    <w:rsid w:val="2E976DAE"/>
    <w:rsid w:val="2E977457"/>
    <w:rsid w:val="2E9821D8"/>
    <w:rsid w:val="2E9824B2"/>
    <w:rsid w:val="2E98469A"/>
    <w:rsid w:val="2E9848D4"/>
    <w:rsid w:val="2E986115"/>
    <w:rsid w:val="2E98722B"/>
    <w:rsid w:val="2E99107F"/>
    <w:rsid w:val="2E99130A"/>
    <w:rsid w:val="2E991DFC"/>
    <w:rsid w:val="2E99332D"/>
    <w:rsid w:val="2E99384E"/>
    <w:rsid w:val="2E995F26"/>
    <w:rsid w:val="2E9A053A"/>
    <w:rsid w:val="2E9A064C"/>
    <w:rsid w:val="2E9A23CB"/>
    <w:rsid w:val="2E9A4AF0"/>
    <w:rsid w:val="2E9A4B7E"/>
    <w:rsid w:val="2E9A7C5F"/>
    <w:rsid w:val="2E9B1CF5"/>
    <w:rsid w:val="2E9B3280"/>
    <w:rsid w:val="2E9B4249"/>
    <w:rsid w:val="2E9B43F6"/>
    <w:rsid w:val="2E9B45E7"/>
    <w:rsid w:val="2E9B6172"/>
    <w:rsid w:val="2E9C3792"/>
    <w:rsid w:val="2E9C43C4"/>
    <w:rsid w:val="2E9D013C"/>
    <w:rsid w:val="2E9D0613"/>
    <w:rsid w:val="2E9D1C0D"/>
    <w:rsid w:val="2E9D50A6"/>
    <w:rsid w:val="2E9D638E"/>
    <w:rsid w:val="2E9E309D"/>
    <w:rsid w:val="2E9F2106"/>
    <w:rsid w:val="2E9F3EB4"/>
    <w:rsid w:val="2E9F452D"/>
    <w:rsid w:val="2E9F5185"/>
    <w:rsid w:val="2E9F5C62"/>
    <w:rsid w:val="2E9F62E3"/>
    <w:rsid w:val="2E9F6E17"/>
    <w:rsid w:val="2EA00E1E"/>
    <w:rsid w:val="2EA02800"/>
    <w:rsid w:val="2EA046D5"/>
    <w:rsid w:val="2EA07280"/>
    <w:rsid w:val="2EA07BB8"/>
    <w:rsid w:val="2EA10FA3"/>
    <w:rsid w:val="2EA11922"/>
    <w:rsid w:val="2EA15E11"/>
    <w:rsid w:val="2EA17C2D"/>
    <w:rsid w:val="2EA20B5C"/>
    <w:rsid w:val="2EA22BB0"/>
    <w:rsid w:val="2EA239FC"/>
    <w:rsid w:val="2EA245EF"/>
    <w:rsid w:val="2EA25753"/>
    <w:rsid w:val="2EA26090"/>
    <w:rsid w:val="2EA264BE"/>
    <w:rsid w:val="2EA27D52"/>
    <w:rsid w:val="2EA31823"/>
    <w:rsid w:val="2EA330E0"/>
    <w:rsid w:val="2EA338A0"/>
    <w:rsid w:val="2EA339A5"/>
    <w:rsid w:val="2EA339C6"/>
    <w:rsid w:val="2EA33B34"/>
    <w:rsid w:val="2EA33CDB"/>
    <w:rsid w:val="2EA35998"/>
    <w:rsid w:val="2EA404F4"/>
    <w:rsid w:val="2EA414CB"/>
    <w:rsid w:val="2EA4186A"/>
    <w:rsid w:val="2EA41EC2"/>
    <w:rsid w:val="2EA43279"/>
    <w:rsid w:val="2EA43ABC"/>
    <w:rsid w:val="2EA4513D"/>
    <w:rsid w:val="2EA45550"/>
    <w:rsid w:val="2EA4771D"/>
    <w:rsid w:val="2EA51711"/>
    <w:rsid w:val="2EA5439E"/>
    <w:rsid w:val="2EA551FA"/>
    <w:rsid w:val="2EA55673"/>
    <w:rsid w:val="2EA55C17"/>
    <w:rsid w:val="2EA567B5"/>
    <w:rsid w:val="2EA5745D"/>
    <w:rsid w:val="2EA57D65"/>
    <w:rsid w:val="2EA60360"/>
    <w:rsid w:val="2EA662CD"/>
    <w:rsid w:val="2EA7425D"/>
    <w:rsid w:val="2EA74656"/>
    <w:rsid w:val="2EA801B0"/>
    <w:rsid w:val="2EA81F4B"/>
    <w:rsid w:val="2EA8621A"/>
    <w:rsid w:val="2EA901B0"/>
    <w:rsid w:val="2EA9088F"/>
    <w:rsid w:val="2EA909AB"/>
    <w:rsid w:val="2EA92EA6"/>
    <w:rsid w:val="2EA94701"/>
    <w:rsid w:val="2EA9511C"/>
    <w:rsid w:val="2EA952E3"/>
    <w:rsid w:val="2EA96AE1"/>
    <w:rsid w:val="2EAA4211"/>
    <w:rsid w:val="2EAA7E90"/>
    <w:rsid w:val="2EAB0AAB"/>
    <w:rsid w:val="2EAB150C"/>
    <w:rsid w:val="2EAB25B3"/>
    <w:rsid w:val="2EAB3FE0"/>
    <w:rsid w:val="2EAB4607"/>
    <w:rsid w:val="2EAB7A17"/>
    <w:rsid w:val="2EAC0272"/>
    <w:rsid w:val="2EAC037F"/>
    <w:rsid w:val="2EAC7803"/>
    <w:rsid w:val="2EAD257A"/>
    <w:rsid w:val="2EAD3939"/>
    <w:rsid w:val="2EAD5483"/>
    <w:rsid w:val="2EAD706C"/>
    <w:rsid w:val="2EAE1035"/>
    <w:rsid w:val="2EAE2B92"/>
    <w:rsid w:val="2EAE5EA6"/>
    <w:rsid w:val="2EAE6D98"/>
    <w:rsid w:val="2EAE7073"/>
    <w:rsid w:val="2EAF772B"/>
    <w:rsid w:val="2EAF7818"/>
    <w:rsid w:val="2EB001DF"/>
    <w:rsid w:val="2EB0049D"/>
    <w:rsid w:val="2EB01B2A"/>
    <w:rsid w:val="2EB01C1E"/>
    <w:rsid w:val="2EB021B3"/>
    <w:rsid w:val="2EB07E70"/>
    <w:rsid w:val="2EB21F53"/>
    <w:rsid w:val="2EB2232F"/>
    <w:rsid w:val="2EB23C79"/>
    <w:rsid w:val="2EB25745"/>
    <w:rsid w:val="2EB30565"/>
    <w:rsid w:val="2EB35574"/>
    <w:rsid w:val="2EB3779B"/>
    <w:rsid w:val="2EB37960"/>
    <w:rsid w:val="2EB42CD5"/>
    <w:rsid w:val="2EB45BB2"/>
    <w:rsid w:val="2EB509AA"/>
    <w:rsid w:val="2EB50C7A"/>
    <w:rsid w:val="2EB53C55"/>
    <w:rsid w:val="2EB55486"/>
    <w:rsid w:val="2EB57234"/>
    <w:rsid w:val="2EB655FF"/>
    <w:rsid w:val="2EB67474"/>
    <w:rsid w:val="2EB72FAC"/>
    <w:rsid w:val="2EB73991"/>
    <w:rsid w:val="2EB77450"/>
    <w:rsid w:val="2EB84F76"/>
    <w:rsid w:val="2EB8631B"/>
    <w:rsid w:val="2EB86FB0"/>
    <w:rsid w:val="2EB9011C"/>
    <w:rsid w:val="2EB90B1C"/>
    <w:rsid w:val="2EB91C3D"/>
    <w:rsid w:val="2EB922CE"/>
    <w:rsid w:val="2EB97A1B"/>
    <w:rsid w:val="2EB97CA5"/>
    <w:rsid w:val="2EBA2481"/>
    <w:rsid w:val="2EBA4282"/>
    <w:rsid w:val="2EBA484A"/>
    <w:rsid w:val="2EBA6EDD"/>
    <w:rsid w:val="2EBB2ABA"/>
    <w:rsid w:val="2EBB2B6B"/>
    <w:rsid w:val="2EBB7A83"/>
    <w:rsid w:val="2EBC05C2"/>
    <w:rsid w:val="2EBC19B0"/>
    <w:rsid w:val="2EBC4A66"/>
    <w:rsid w:val="2EBC5ECD"/>
    <w:rsid w:val="2EBC64CD"/>
    <w:rsid w:val="2EBC7D0B"/>
    <w:rsid w:val="2EBD0314"/>
    <w:rsid w:val="2EBD0414"/>
    <w:rsid w:val="2EBD12C7"/>
    <w:rsid w:val="2EBD203C"/>
    <w:rsid w:val="2EBD258D"/>
    <w:rsid w:val="2EBD3E03"/>
    <w:rsid w:val="2EBD4EA5"/>
    <w:rsid w:val="2EBD7A12"/>
    <w:rsid w:val="2EBE05FC"/>
    <w:rsid w:val="2EBE07DF"/>
    <w:rsid w:val="2EBE5634"/>
    <w:rsid w:val="2EBE5C9F"/>
    <w:rsid w:val="2EBE78AE"/>
    <w:rsid w:val="2EBF00B3"/>
    <w:rsid w:val="2EBF2F52"/>
    <w:rsid w:val="2EBF4557"/>
    <w:rsid w:val="2EBF552C"/>
    <w:rsid w:val="2EBF66E8"/>
    <w:rsid w:val="2EC033F8"/>
    <w:rsid w:val="2EC0453B"/>
    <w:rsid w:val="2EC07B78"/>
    <w:rsid w:val="2EC102CF"/>
    <w:rsid w:val="2EC13E2B"/>
    <w:rsid w:val="2EC15BD9"/>
    <w:rsid w:val="2EC15E60"/>
    <w:rsid w:val="2EC178CC"/>
    <w:rsid w:val="2EC21951"/>
    <w:rsid w:val="2EC22A07"/>
    <w:rsid w:val="2EC25944"/>
    <w:rsid w:val="2EC265A4"/>
    <w:rsid w:val="2EC26DCD"/>
    <w:rsid w:val="2EC27BA3"/>
    <w:rsid w:val="2EC33EF7"/>
    <w:rsid w:val="2EC425E3"/>
    <w:rsid w:val="2EC42AC5"/>
    <w:rsid w:val="2EC4680F"/>
    <w:rsid w:val="2EC554BA"/>
    <w:rsid w:val="2EC564AC"/>
    <w:rsid w:val="2EC57C2C"/>
    <w:rsid w:val="2EC613CE"/>
    <w:rsid w:val="2EC61441"/>
    <w:rsid w:val="2EC61727"/>
    <w:rsid w:val="2EC652B4"/>
    <w:rsid w:val="2EC658E5"/>
    <w:rsid w:val="2EC661EB"/>
    <w:rsid w:val="2EC67693"/>
    <w:rsid w:val="2EC70009"/>
    <w:rsid w:val="2EC708BB"/>
    <w:rsid w:val="2EC73739"/>
    <w:rsid w:val="2EC758C6"/>
    <w:rsid w:val="2EC826DF"/>
    <w:rsid w:val="2EC8340B"/>
    <w:rsid w:val="2EC84C4E"/>
    <w:rsid w:val="2EC85214"/>
    <w:rsid w:val="2EC85C7F"/>
    <w:rsid w:val="2EC9236B"/>
    <w:rsid w:val="2EC9266F"/>
    <w:rsid w:val="2EC92CDF"/>
    <w:rsid w:val="2ECA0C2A"/>
    <w:rsid w:val="2ECB2EFB"/>
    <w:rsid w:val="2ECB4CA9"/>
    <w:rsid w:val="2ECC559A"/>
    <w:rsid w:val="2ECD0A22"/>
    <w:rsid w:val="2ECD1B59"/>
    <w:rsid w:val="2ECD27D0"/>
    <w:rsid w:val="2ECD352F"/>
    <w:rsid w:val="2ECD4D6F"/>
    <w:rsid w:val="2ECD4E4E"/>
    <w:rsid w:val="2ECD6C74"/>
    <w:rsid w:val="2ECD7ED8"/>
    <w:rsid w:val="2ECE02F6"/>
    <w:rsid w:val="2ECE0A3B"/>
    <w:rsid w:val="2ECF1449"/>
    <w:rsid w:val="2ECF7492"/>
    <w:rsid w:val="2ED00512"/>
    <w:rsid w:val="2ED022C0"/>
    <w:rsid w:val="2ED02CC2"/>
    <w:rsid w:val="2ED02E27"/>
    <w:rsid w:val="2ED033FE"/>
    <w:rsid w:val="2ED0406E"/>
    <w:rsid w:val="2ED06004"/>
    <w:rsid w:val="2ED14832"/>
    <w:rsid w:val="2ED2428A"/>
    <w:rsid w:val="2ED24864"/>
    <w:rsid w:val="2ED24CD0"/>
    <w:rsid w:val="2ED27DE6"/>
    <w:rsid w:val="2ED328DE"/>
    <w:rsid w:val="2ED34206"/>
    <w:rsid w:val="2ED3507E"/>
    <w:rsid w:val="2ED3590C"/>
    <w:rsid w:val="2ED4417F"/>
    <w:rsid w:val="2ED4580F"/>
    <w:rsid w:val="2ED50628"/>
    <w:rsid w:val="2ED51684"/>
    <w:rsid w:val="2ED60151"/>
    <w:rsid w:val="2ED61D9E"/>
    <w:rsid w:val="2ED62F8D"/>
    <w:rsid w:val="2ED66F76"/>
    <w:rsid w:val="2ED718A0"/>
    <w:rsid w:val="2ED7322E"/>
    <w:rsid w:val="2ED7364E"/>
    <w:rsid w:val="2ED74E3D"/>
    <w:rsid w:val="2ED775DB"/>
    <w:rsid w:val="2ED82CE1"/>
    <w:rsid w:val="2ED85DFF"/>
    <w:rsid w:val="2ED875EB"/>
    <w:rsid w:val="2ED90D5D"/>
    <w:rsid w:val="2ED96234"/>
    <w:rsid w:val="2ED9728F"/>
    <w:rsid w:val="2ED97B5F"/>
    <w:rsid w:val="2EDA071F"/>
    <w:rsid w:val="2EDA313F"/>
    <w:rsid w:val="2EDA3216"/>
    <w:rsid w:val="2EDA4010"/>
    <w:rsid w:val="2EDA492B"/>
    <w:rsid w:val="2EDA4EED"/>
    <w:rsid w:val="2EDB1BAF"/>
    <w:rsid w:val="2EDB1E04"/>
    <w:rsid w:val="2EDB391F"/>
    <w:rsid w:val="2EDB4780"/>
    <w:rsid w:val="2EDC0C65"/>
    <w:rsid w:val="2EDC1BD0"/>
    <w:rsid w:val="2EDC2A13"/>
    <w:rsid w:val="2EDD678B"/>
    <w:rsid w:val="2EDE2C2F"/>
    <w:rsid w:val="2EDE3101"/>
    <w:rsid w:val="2EDE49DD"/>
    <w:rsid w:val="2EDF0132"/>
    <w:rsid w:val="2EDF26F1"/>
    <w:rsid w:val="2EDF603A"/>
    <w:rsid w:val="2EDF69A7"/>
    <w:rsid w:val="2EE00F13"/>
    <w:rsid w:val="2EE05A21"/>
    <w:rsid w:val="2EE07556"/>
    <w:rsid w:val="2EE1338C"/>
    <w:rsid w:val="2EE16910"/>
    <w:rsid w:val="2EE17EB9"/>
    <w:rsid w:val="2EE204D9"/>
    <w:rsid w:val="2EE2055F"/>
    <w:rsid w:val="2EE236CA"/>
    <w:rsid w:val="2EE267B1"/>
    <w:rsid w:val="2EE268DB"/>
    <w:rsid w:val="2EE30245"/>
    <w:rsid w:val="2EE31B77"/>
    <w:rsid w:val="2EE34571"/>
    <w:rsid w:val="2EE3532E"/>
    <w:rsid w:val="2EE44A52"/>
    <w:rsid w:val="2EE4641E"/>
    <w:rsid w:val="2EE46F73"/>
    <w:rsid w:val="2EE47B19"/>
    <w:rsid w:val="2EE50403"/>
    <w:rsid w:val="2EE50612"/>
    <w:rsid w:val="2EE5276F"/>
    <w:rsid w:val="2EE60783"/>
    <w:rsid w:val="2EE61741"/>
    <w:rsid w:val="2EE6342E"/>
    <w:rsid w:val="2EE63891"/>
    <w:rsid w:val="2EE66CC2"/>
    <w:rsid w:val="2EE67D35"/>
    <w:rsid w:val="2EE67EF3"/>
    <w:rsid w:val="2EE71246"/>
    <w:rsid w:val="2EE713B8"/>
    <w:rsid w:val="2EE83C20"/>
    <w:rsid w:val="2EE841AC"/>
    <w:rsid w:val="2EE8585B"/>
    <w:rsid w:val="2EE86049"/>
    <w:rsid w:val="2EE87609"/>
    <w:rsid w:val="2EE92D89"/>
    <w:rsid w:val="2EE940B7"/>
    <w:rsid w:val="2EEA0214"/>
    <w:rsid w:val="2EEA2649"/>
    <w:rsid w:val="2EEA298A"/>
    <w:rsid w:val="2EEA2B1D"/>
    <w:rsid w:val="2EEA4413"/>
    <w:rsid w:val="2EEA688C"/>
    <w:rsid w:val="2EEB0EA8"/>
    <w:rsid w:val="2EEB2A3C"/>
    <w:rsid w:val="2EEB2B34"/>
    <w:rsid w:val="2EEB379F"/>
    <w:rsid w:val="2EEB4D54"/>
    <w:rsid w:val="2EEB6E83"/>
    <w:rsid w:val="2EEB70FA"/>
    <w:rsid w:val="2EEC1D0A"/>
    <w:rsid w:val="2EEC3FC4"/>
    <w:rsid w:val="2EEC55F8"/>
    <w:rsid w:val="2EEC6D13"/>
    <w:rsid w:val="2EEC747A"/>
    <w:rsid w:val="2EED091E"/>
    <w:rsid w:val="2EED10C4"/>
    <w:rsid w:val="2EED169D"/>
    <w:rsid w:val="2EED2B91"/>
    <w:rsid w:val="2EED4C20"/>
    <w:rsid w:val="2EED69CE"/>
    <w:rsid w:val="2EEE2AE2"/>
    <w:rsid w:val="2EEE5D57"/>
    <w:rsid w:val="2EEF1A9A"/>
    <w:rsid w:val="2EEF54A1"/>
    <w:rsid w:val="2EF02B36"/>
    <w:rsid w:val="2EF05516"/>
    <w:rsid w:val="2EF064BE"/>
    <w:rsid w:val="2EF06A83"/>
    <w:rsid w:val="2EF07DC9"/>
    <w:rsid w:val="2EF122AD"/>
    <w:rsid w:val="2EF12D27"/>
    <w:rsid w:val="2EF13348"/>
    <w:rsid w:val="2EF13726"/>
    <w:rsid w:val="2EF13DC9"/>
    <w:rsid w:val="2EF15172"/>
    <w:rsid w:val="2EF1617C"/>
    <w:rsid w:val="2EF20488"/>
    <w:rsid w:val="2EF21577"/>
    <w:rsid w:val="2EF22236"/>
    <w:rsid w:val="2EF23D55"/>
    <w:rsid w:val="2EF266DA"/>
    <w:rsid w:val="2EF312C6"/>
    <w:rsid w:val="2EF37D5C"/>
    <w:rsid w:val="2EF40397"/>
    <w:rsid w:val="2EF47230"/>
    <w:rsid w:val="2EF51D26"/>
    <w:rsid w:val="2EF525C4"/>
    <w:rsid w:val="2EF53AD4"/>
    <w:rsid w:val="2EF54203"/>
    <w:rsid w:val="2EF546B4"/>
    <w:rsid w:val="2EF55327"/>
    <w:rsid w:val="2EF558B8"/>
    <w:rsid w:val="2EF676AD"/>
    <w:rsid w:val="2EF67B05"/>
    <w:rsid w:val="2EF724AA"/>
    <w:rsid w:val="2EF72BE1"/>
    <w:rsid w:val="2EF739C4"/>
    <w:rsid w:val="2EF73CF0"/>
    <w:rsid w:val="2EF74A75"/>
    <w:rsid w:val="2EF75A9F"/>
    <w:rsid w:val="2EF75C01"/>
    <w:rsid w:val="2EF7784D"/>
    <w:rsid w:val="2EF835C5"/>
    <w:rsid w:val="2EF83CA8"/>
    <w:rsid w:val="2EF853E5"/>
    <w:rsid w:val="2EF858C6"/>
    <w:rsid w:val="2EF91817"/>
    <w:rsid w:val="2EF93775"/>
    <w:rsid w:val="2EF97A69"/>
    <w:rsid w:val="2EFA10EB"/>
    <w:rsid w:val="2EFA733D"/>
    <w:rsid w:val="2EFB2629"/>
    <w:rsid w:val="2EFB3EC1"/>
    <w:rsid w:val="2EFB6EB7"/>
    <w:rsid w:val="2EFC30B5"/>
    <w:rsid w:val="2EFC4E63"/>
    <w:rsid w:val="2EFC6C00"/>
    <w:rsid w:val="2EFC79F2"/>
    <w:rsid w:val="2EFD579D"/>
    <w:rsid w:val="2EFE0BDB"/>
    <w:rsid w:val="2EFE4B24"/>
    <w:rsid w:val="2EFE54A5"/>
    <w:rsid w:val="2EFE7739"/>
    <w:rsid w:val="2EFE7EA8"/>
    <w:rsid w:val="2EFF0FAA"/>
    <w:rsid w:val="2EFF4953"/>
    <w:rsid w:val="2EFF6701"/>
    <w:rsid w:val="2EFF7336"/>
    <w:rsid w:val="2EFF7D4A"/>
    <w:rsid w:val="2F00021B"/>
    <w:rsid w:val="2F000B26"/>
    <w:rsid w:val="2F000DF7"/>
    <w:rsid w:val="2F0029BF"/>
    <w:rsid w:val="2F010C54"/>
    <w:rsid w:val="2F015B57"/>
    <w:rsid w:val="2F01691D"/>
    <w:rsid w:val="2F02082B"/>
    <w:rsid w:val="2F020A9E"/>
    <w:rsid w:val="2F020B72"/>
    <w:rsid w:val="2F0223E2"/>
    <w:rsid w:val="2F0246C3"/>
    <w:rsid w:val="2F025547"/>
    <w:rsid w:val="2F027BD3"/>
    <w:rsid w:val="2F030788"/>
    <w:rsid w:val="2F0324FC"/>
    <w:rsid w:val="2F032695"/>
    <w:rsid w:val="2F034443"/>
    <w:rsid w:val="2F034615"/>
    <w:rsid w:val="2F035681"/>
    <w:rsid w:val="2F0401BB"/>
    <w:rsid w:val="2F0413F3"/>
    <w:rsid w:val="2F042191"/>
    <w:rsid w:val="2F046371"/>
    <w:rsid w:val="2F0477A5"/>
    <w:rsid w:val="2F0501B5"/>
    <w:rsid w:val="2F0550EC"/>
    <w:rsid w:val="2F05640D"/>
    <w:rsid w:val="2F05691D"/>
    <w:rsid w:val="2F060BAD"/>
    <w:rsid w:val="2F060E7D"/>
    <w:rsid w:val="2F063F34"/>
    <w:rsid w:val="2F065E06"/>
    <w:rsid w:val="2F06657A"/>
    <w:rsid w:val="2F077ABA"/>
    <w:rsid w:val="2F0807ED"/>
    <w:rsid w:val="2F081A5A"/>
    <w:rsid w:val="2F085B95"/>
    <w:rsid w:val="2F086693"/>
    <w:rsid w:val="2F091778"/>
    <w:rsid w:val="2F097580"/>
    <w:rsid w:val="2F0A1F67"/>
    <w:rsid w:val="2F0A3AAC"/>
    <w:rsid w:val="2F0A4DCD"/>
    <w:rsid w:val="2F0A59D6"/>
    <w:rsid w:val="2F0B0157"/>
    <w:rsid w:val="2F0B109C"/>
    <w:rsid w:val="2F0B154A"/>
    <w:rsid w:val="2F0B15B7"/>
    <w:rsid w:val="2F0B447D"/>
    <w:rsid w:val="2F0B5221"/>
    <w:rsid w:val="2F0B69BD"/>
    <w:rsid w:val="2F0C0F52"/>
    <w:rsid w:val="2F0C1ED9"/>
    <w:rsid w:val="2F0C22F2"/>
    <w:rsid w:val="2F0C31EA"/>
    <w:rsid w:val="2F0C33D6"/>
    <w:rsid w:val="2F0C3F6F"/>
    <w:rsid w:val="2F0C6656"/>
    <w:rsid w:val="2F0C6C44"/>
    <w:rsid w:val="2F0D398F"/>
    <w:rsid w:val="2F0D52C2"/>
    <w:rsid w:val="2F0D5D93"/>
    <w:rsid w:val="2F0D715C"/>
    <w:rsid w:val="2F0E4FA9"/>
    <w:rsid w:val="2F0E5ECE"/>
    <w:rsid w:val="2F0F103A"/>
    <w:rsid w:val="2F0F4225"/>
    <w:rsid w:val="2F0F475A"/>
    <w:rsid w:val="2F0F4EA3"/>
    <w:rsid w:val="2F0F5B97"/>
    <w:rsid w:val="2F0F7996"/>
    <w:rsid w:val="2F100660"/>
    <w:rsid w:val="2F10090E"/>
    <w:rsid w:val="2F1012F6"/>
    <w:rsid w:val="2F101F2F"/>
    <w:rsid w:val="2F104DB2"/>
    <w:rsid w:val="2F120B2A"/>
    <w:rsid w:val="2F1228D8"/>
    <w:rsid w:val="2F123D5D"/>
    <w:rsid w:val="2F124737"/>
    <w:rsid w:val="2F125FD3"/>
    <w:rsid w:val="2F126434"/>
    <w:rsid w:val="2F127EC4"/>
    <w:rsid w:val="2F1313B4"/>
    <w:rsid w:val="2F13335F"/>
    <w:rsid w:val="2F13383D"/>
    <w:rsid w:val="2F136A07"/>
    <w:rsid w:val="2F137E1A"/>
    <w:rsid w:val="2F1403FE"/>
    <w:rsid w:val="2F1432F9"/>
    <w:rsid w:val="2F143E51"/>
    <w:rsid w:val="2F146650"/>
    <w:rsid w:val="2F1474B5"/>
    <w:rsid w:val="2F1505FC"/>
    <w:rsid w:val="2F150A3A"/>
    <w:rsid w:val="2F1523C9"/>
    <w:rsid w:val="2F154177"/>
    <w:rsid w:val="2F154986"/>
    <w:rsid w:val="2F1557E8"/>
    <w:rsid w:val="2F171C9D"/>
    <w:rsid w:val="2F17344C"/>
    <w:rsid w:val="2F173B37"/>
    <w:rsid w:val="2F1748D6"/>
    <w:rsid w:val="2F176141"/>
    <w:rsid w:val="2F17622A"/>
    <w:rsid w:val="2F1764C6"/>
    <w:rsid w:val="2F18267B"/>
    <w:rsid w:val="2F182722"/>
    <w:rsid w:val="2F183292"/>
    <w:rsid w:val="2F194722"/>
    <w:rsid w:val="2F195A15"/>
    <w:rsid w:val="2F196D99"/>
    <w:rsid w:val="2F1A0783"/>
    <w:rsid w:val="2F1A178D"/>
    <w:rsid w:val="2F1A353B"/>
    <w:rsid w:val="2F1A39E1"/>
    <w:rsid w:val="2F1A522B"/>
    <w:rsid w:val="2F1A79DF"/>
    <w:rsid w:val="2F1B2AFD"/>
    <w:rsid w:val="2F1B5528"/>
    <w:rsid w:val="2F1B7042"/>
    <w:rsid w:val="2F1B7CA2"/>
    <w:rsid w:val="2F1C04D2"/>
    <w:rsid w:val="2F1C0E72"/>
    <w:rsid w:val="2F1C1962"/>
    <w:rsid w:val="2F1C2A4C"/>
    <w:rsid w:val="2F1C3757"/>
    <w:rsid w:val="2F1D2750"/>
    <w:rsid w:val="2F1E00CE"/>
    <w:rsid w:val="2F1E66AB"/>
    <w:rsid w:val="2F1F0E1A"/>
    <w:rsid w:val="2F1F1295"/>
    <w:rsid w:val="2F1F68D2"/>
    <w:rsid w:val="2F2002E3"/>
    <w:rsid w:val="2F206EED"/>
    <w:rsid w:val="2F2110D4"/>
    <w:rsid w:val="2F212B1B"/>
    <w:rsid w:val="2F2131FE"/>
    <w:rsid w:val="2F214799"/>
    <w:rsid w:val="2F215A85"/>
    <w:rsid w:val="2F217005"/>
    <w:rsid w:val="2F217811"/>
    <w:rsid w:val="2F22001D"/>
    <w:rsid w:val="2F233F69"/>
    <w:rsid w:val="2F2355D5"/>
    <w:rsid w:val="2F240BEA"/>
    <w:rsid w:val="2F241A6D"/>
    <w:rsid w:val="2F244504"/>
    <w:rsid w:val="2F2447EC"/>
    <w:rsid w:val="2F247274"/>
    <w:rsid w:val="2F25085E"/>
    <w:rsid w:val="2F25260C"/>
    <w:rsid w:val="2F252704"/>
    <w:rsid w:val="2F252CC5"/>
    <w:rsid w:val="2F255088"/>
    <w:rsid w:val="2F255896"/>
    <w:rsid w:val="2F255B69"/>
    <w:rsid w:val="2F2574D6"/>
    <w:rsid w:val="2F257930"/>
    <w:rsid w:val="2F266384"/>
    <w:rsid w:val="2F271D47"/>
    <w:rsid w:val="2F277269"/>
    <w:rsid w:val="2F280759"/>
    <w:rsid w:val="2F2820FC"/>
    <w:rsid w:val="2F284785"/>
    <w:rsid w:val="2F285768"/>
    <w:rsid w:val="2F285C58"/>
    <w:rsid w:val="2F2919D0"/>
    <w:rsid w:val="2F292380"/>
    <w:rsid w:val="2F292AD6"/>
    <w:rsid w:val="2F297051"/>
    <w:rsid w:val="2F2A0C1C"/>
    <w:rsid w:val="2F2A2992"/>
    <w:rsid w:val="2F2A2F03"/>
    <w:rsid w:val="2F2A4F82"/>
    <w:rsid w:val="2F2A7C22"/>
    <w:rsid w:val="2F2B02DF"/>
    <w:rsid w:val="2F2B1BEC"/>
    <w:rsid w:val="2F2B2233"/>
    <w:rsid w:val="2F2B5748"/>
    <w:rsid w:val="2F2B74F6"/>
    <w:rsid w:val="2F2C2B98"/>
    <w:rsid w:val="2F2C6154"/>
    <w:rsid w:val="2F2D14C0"/>
    <w:rsid w:val="2F2D2312"/>
    <w:rsid w:val="2F2D28E7"/>
    <w:rsid w:val="2F2D326E"/>
    <w:rsid w:val="2F2D4CBD"/>
    <w:rsid w:val="2F2D7712"/>
    <w:rsid w:val="2F2E31C2"/>
    <w:rsid w:val="2F2E3B4E"/>
    <w:rsid w:val="2F2E7936"/>
    <w:rsid w:val="2F2F348A"/>
    <w:rsid w:val="2F2F5629"/>
    <w:rsid w:val="2F2F6948"/>
    <w:rsid w:val="2F2F7EE1"/>
    <w:rsid w:val="2F300FB0"/>
    <w:rsid w:val="2F302D5E"/>
    <w:rsid w:val="2F30614E"/>
    <w:rsid w:val="2F316DE7"/>
    <w:rsid w:val="2F320750"/>
    <w:rsid w:val="2F320885"/>
    <w:rsid w:val="2F320A36"/>
    <w:rsid w:val="2F3228B3"/>
    <w:rsid w:val="2F3241F6"/>
    <w:rsid w:val="2F3318C3"/>
    <w:rsid w:val="2F333E8B"/>
    <w:rsid w:val="2F33488D"/>
    <w:rsid w:val="2F3357D1"/>
    <w:rsid w:val="2F336B0E"/>
    <w:rsid w:val="2F336EC2"/>
    <w:rsid w:val="2F337811"/>
    <w:rsid w:val="2F34268F"/>
    <w:rsid w:val="2F34284F"/>
    <w:rsid w:val="2F3445FD"/>
    <w:rsid w:val="2F350ECE"/>
    <w:rsid w:val="2F354386"/>
    <w:rsid w:val="2F364D32"/>
    <w:rsid w:val="2F365177"/>
    <w:rsid w:val="2F370591"/>
    <w:rsid w:val="2F37233F"/>
    <w:rsid w:val="2F375A40"/>
    <w:rsid w:val="2F375BB2"/>
    <w:rsid w:val="2F376A2F"/>
    <w:rsid w:val="2F380EA8"/>
    <w:rsid w:val="2F386C5B"/>
    <w:rsid w:val="2F386E4E"/>
    <w:rsid w:val="2F386F18"/>
    <w:rsid w:val="2F3925CB"/>
    <w:rsid w:val="2F394CAA"/>
    <w:rsid w:val="2F3A3356"/>
    <w:rsid w:val="2F3A3BDD"/>
    <w:rsid w:val="2F3A5A63"/>
    <w:rsid w:val="2F3A5EA5"/>
    <w:rsid w:val="2F3B228F"/>
    <w:rsid w:val="2F3B28B9"/>
    <w:rsid w:val="2F3B2A6E"/>
    <w:rsid w:val="2F3B658E"/>
    <w:rsid w:val="2F3C1703"/>
    <w:rsid w:val="2F3C1740"/>
    <w:rsid w:val="2F3C4C35"/>
    <w:rsid w:val="2F3C4C70"/>
    <w:rsid w:val="2F3C7955"/>
    <w:rsid w:val="2F3D04F4"/>
    <w:rsid w:val="2F3D127A"/>
    <w:rsid w:val="2F3D23DC"/>
    <w:rsid w:val="2F3D369E"/>
    <w:rsid w:val="2F3D7CF5"/>
    <w:rsid w:val="2F3E15C2"/>
    <w:rsid w:val="2F3E372A"/>
    <w:rsid w:val="2F3E4062"/>
    <w:rsid w:val="2F3E7229"/>
    <w:rsid w:val="2F3F109E"/>
    <w:rsid w:val="2F3F171A"/>
    <w:rsid w:val="2F3F2E7C"/>
    <w:rsid w:val="2F3F2FA2"/>
    <w:rsid w:val="2F3F32AB"/>
    <w:rsid w:val="2F3F4C50"/>
    <w:rsid w:val="2F401499"/>
    <w:rsid w:val="2F402B99"/>
    <w:rsid w:val="2F404C5F"/>
    <w:rsid w:val="2F4069BF"/>
    <w:rsid w:val="2F407445"/>
    <w:rsid w:val="2F4131BE"/>
    <w:rsid w:val="2F416D1A"/>
    <w:rsid w:val="2F4221ED"/>
    <w:rsid w:val="2F4236B1"/>
    <w:rsid w:val="2F430CE4"/>
    <w:rsid w:val="2F430E9C"/>
    <w:rsid w:val="2F432A92"/>
    <w:rsid w:val="2F4370A1"/>
    <w:rsid w:val="2F440E1F"/>
    <w:rsid w:val="2F440E28"/>
    <w:rsid w:val="2F441CC8"/>
    <w:rsid w:val="2F442531"/>
    <w:rsid w:val="2F44422F"/>
    <w:rsid w:val="2F44720D"/>
    <w:rsid w:val="2F447D84"/>
    <w:rsid w:val="2F4522AF"/>
    <w:rsid w:val="2F45373F"/>
    <w:rsid w:val="2F454CEA"/>
    <w:rsid w:val="2F4552CD"/>
    <w:rsid w:val="2F45680A"/>
    <w:rsid w:val="2F462582"/>
    <w:rsid w:val="2F464330"/>
    <w:rsid w:val="2F46502E"/>
    <w:rsid w:val="2F466F0D"/>
    <w:rsid w:val="2F474E5B"/>
    <w:rsid w:val="2F4800A8"/>
    <w:rsid w:val="2F4812DA"/>
    <w:rsid w:val="2F483908"/>
    <w:rsid w:val="2F484558"/>
    <w:rsid w:val="2F4961AE"/>
    <w:rsid w:val="2F4A06F5"/>
    <w:rsid w:val="2F4A079B"/>
    <w:rsid w:val="2F4A0DDE"/>
    <w:rsid w:val="2F4A4F3F"/>
    <w:rsid w:val="2F4A6121"/>
    <w:rsid w:val="2F4A6266"/>
    <w:rsid w:val="2F4A728A"/>
    <w:rsid w:val="2F4A79F4"/>
    <w:rsid w:val="2F4B1946"/>
    <w:rsid w:val="2F4B1F08"/>
    <w:rsid w:val="2F4B49E0"/>
    <w:rsid w:val="2F4B5834"/>
    <w:rsid w:val="2F4B5DEA"/>
    <w:rsid w:val="2F4B75B1"/>
    <w:rsid w:val="2F4B7B98"/>
    <w:rsid w:val="2F4C6D8A"/>
    <w:rsid w:val="2F4C735A"/>
    <w:rsid w:val="2F4D0843"/>
    <w:rsid w:val="2F4D0B6B"/>
    <w:rsid w:val="2F4D1B62"/>
    <w:rsid w:val="2F4D20C5"/>
    <w:rsid w:val="2F4D6F18"/>
    <w:rsid w:val="2F4E3361"/>
    <w:rsid w:val="2F4E57DE"/>
    <w:rsid w:val="2F4F0555"/>
    <w:rsid w:val="2F4F58DB"/>
    <w:rsid w:val="2F4F6A71"/>
    <w:rsid w:val="2F5018C2"/>
    <w:rsid w:val="2F5042BE"/>
    <w:rsid w:val="2F5043EA"/>
    <w:rsid w:val="2F5051AF"/>
    <w:rsid w:val="2F5073C2"/>
    <w:rsid w:val="2F5073FB"/>
    <w:rsid w:val="2F5202CB"/>
    <w:rsid w:val="2F520F27"/>
    <w:rsid w:val="2F5215A4"/>
    <w:rsid w:val="2F52198B"/>
    <w:rsid w:val="2F5242B6"/>
    <w:rsid w:val="2F534851"/>
    <w:rsid w:val="2F535D43"/>
    <w:rsid w:val="2F541DA4"/>
    <w:rsid w:val="2F5438C6"/>
    <w:rsid w:val="2F544C9F"/>
    <w:rsid w:val="2F54650D"/>
    <w:rsid w:val="2F546A4D"/>
    <w:rsid w:val="2F550663"/>
    <w:rsid w:val="2F5527C5"/>
    <w:rsid w:val="2F553FEF"/>
    <w:rsid w:val="2F556DA2"/>
    <w:rsid w:val="2F560A17"/>
    <w:rsid w:val="2F561C58"/>
    <w:rsid w:val="2F562C5C"/>
    <w:rsid w:val="2F562F84"/>
    <w:rsid w:val="2F566C69"/>
    <w:rsid w:val="2F5707D5"/>
    <w:rsid w:val="2F571BCE"/>
    <w:rsid w:val="2F5729E1"/>
    <w:rsid w:val="2F572DBE"/>
    <w:rsid w:val="2F577D60"/>
    <w:rsid w:val="2F5805D9"/>
    <w:rsid w:val="2F580725"/>
    <w:rsid w:val="2F580802"/>
    <w:rsid w:val="2F5821F5"/>
    <w:rsid w:val="2F58630D"/>
    <w:rsid w:val="2F5867FB"/>
    <w:rsid w:val="2F586FE4"/>
    <w:rsid w:val="2F590507"/>
    <w:rsid w:val="2F591BB5"/>
    <w:rsid w:val="2F594288"/>
    <w:rsid w:val="2F5964DF"/>
    <w:rsid w:val="2F5A2706"/>
    <w:rsid w:val="2F5A4AEF"/>
    <w:rsid w:val="2F5A7DDB"/>
    <w:rsid w:val="2F5B1D69"/>
    <w:rsid w:val="2F5B2EED"/>
    <w:rsid w:val="2F5B67F6"/>
    <w:rsid w:val="2F5B6D97"/>
    <w:rsid w:val="2F5C1DA5"/>
    <w:rsid w:val="2F5C3B54"/>
    <w:rsid w:val="2F5C7FF7"/>
    <w:rsid w:val="2F5D1C1C"/>
    <w:rsid w:val="2F5D3E83"/>
    <w:rsid w:val="2F5E396F"/>
    <w:rsid w:val="2F5E7A07"/>
    <w:rsid w:val="2F5F4F07"/>
    <w:rsid w:val="2F5F53F2"/>
    <w:rsid w:val="2F601BF4"/>
    <w:rsid w:val="2F603644"/>
    <w:rsid w:val="2F6038A4"/>
    <w:rsid w:val="2F6054AB"/>
    <w:rsid w:val="2F607B60"/>
    <w:rsid w:val="2F610218"/>
    <w:rsid w:val="2F610CBF"/>
    <w:rsid w:val="2F612CE5"/>
    <w:rsid w:val="2F6173BC"/>
    <w:rsid w:val="2F627B2D"/>
    <w:rsid w:val="2F627D93"/>
    <w:rsid w:val="2F633134"/>
    <w:rsid w:val="2F6333A2"/>
    <w:rsid w:val="2F635838"/>
    <w:rsid w:val="2F643320"/>
    <w:rsid w:val="2F645175"/>
    <w:rsid w:val="2F64660A"/>
    <w:rsid w:val="2F646CC8"/>
    <w:rsid w:val="2F6539F4"/>
    <w:rsid w:val="2F653BA9"/>
    <w:rsid w:val="2F654C39"/>
    <w:rsid w:val="2F656EAC"/>
    <w:rsid w:val="2F657140"/>
    <w:rsid w:val="2F661372"/>
    <w:rsid w:val="2F6615E8"/>
    <w:rsid w:val="2F666780"/>
    <w:rsid w:val="2F672A78"/>
    <w:rsid w:val="2F676656"/>
    <w:rsid w:val="2F676AFF"/>
    <w:rsid w:val="2F6824F8"/>
    <w:rsid w:val="2F68295E"/>
    <w:rsid w:val="2F68699C"/>
    <w:rsid w:val="2F69463A"/>
    <w:rsid w:val="2F697F69"/>
    <w:rsid w:val="2F6A0C42"/>
    <w:rsid w:val="2F6A0E0C"/>
    <w:rsid w:val="2F6A2554"/>
    <w:rsid w:val="2F6A26B2"/>
    <w:rsid w:val="2F6A2714"/>
    <w:rsid w:val="2F6A6251"/>
    <w:rsid w:val="2F6B0581"/>
    <w:rsid w:val="2F6B1FE9"/>
    <w:rsid w:val="2F6B4F2A"/>
    <w:rsid w:val="2F6B545A"/>
    <w:rsid w:val="2F6C0F8C"/>
    <w:rsid w:val="2F6C2C68"/>
    <w:rsid w:val="2F6C75A1"/>
    <w:rsid w:val="2F6C7FAA"/>
    <w:rsid w:val="2F6D260C"/>
    <w:rsid w:val="2F6D3FB3"/>
    <w:rsid w:val="2F6D4AAF"/>
    <w:rsid w:val="2F6D590A"/>
    <w:rsid w:val="2F6D5D61"/>
    <w:rsid w:val="2F6D778C"/>
    <w:rsid w:val="2F6D7B0F"/>
    <w:rsid w:val="2F6E037A"/>
    <w:rsid w:val="2F6E21FC"/>
    <w:rsid w:val="2F6E2F66"/>
    <w:rsid w:val="2F6E4503"/>
    <w:rsid w:val="2F6E6497"/>
    <w:rsid w:val="2F6F089A"/>
    <w:rsid w:val="2F6F21ED"/>
    <w:rsid w:val="2F6F32D9"/>
    <w:rsid w:val="2F6F3887"/>
    <w:rsid w:val="2F70185C"/>
    <w:rsid w:val="2F704384"/>
    <w:rsid w:val="2F706A80"/>
    <w:rsid w:val="2F7075FF"/>
    <w:rsid w:val="2F710D5B"/>
    <w:rsid w:val="2F7116DB"/>
    <w:rsid w:val="2F712063"/>
    <w:rsid w:val="2F720AFB"/>
    <w:rsid w:val="2F7215C9"/>
    <w:rsid w:val="2F721639"/>
    <w:rsid w:val="2F72791F"/>
    <w:rsid w:val="2F73756F"/>
    <w:rsid w:val="2F740E9D"/>
    <w:rsid w:val="2F746265"/>
    <w:rsid w:val="2F7467CA"/>
    <w:rsid w:val="2F747AAA"/>
    <w:rsid w:val="2F752337"/>
    <w:rsid w:val="2F754A51"/>
    <w:rsid w:val="2F754C15"/>
    <w:rsid w:val="2F757C4D"/>
    <w:rsid w:val="2F7610DD"/>
    <w:rsid w:val="2F761B38"/>
    <w:rsid w:val="2F7622C8"/>
    <w:rsid w:val="2F762E67"/>
    <w:rsid w:val="2F764F66"/>
    <w:rsid w:val="2F77098D"/>
    <w:rsid w:val="2F7722EC"/>
    <w:rsid w:val="2F775D95"/>
    <w:rsid w:val="2F776BDF"/>
    <w:rsid w:val="2F7805C4"/>
    <w:rsid w:val="2F781148"/>
    <w:rsid w:val="2F784A8E"/>
    <w:rsid w:val="2F785829"/>
    <w:rsid w:val="2F792957"/>
    <w:rsid w:val="2F792ADC"/>
    <w:rsid w:val="2F7955A3"/>
    <w:rsid w:val="2F7968CC"/>
    <w:rsid w:val="2F797A5E"/>
    <w:rsid w:val="2F7A1B13"/>
    <w:rsid w:val="2F7A3292"/>
    <w:rsid w:val="2F7A3ABF"/>
    <w:rsid w:val="2F7A3C5E"/>
    <w:rsid w:val="2F7A5646"/>
    <w:rsid w:val="2F7B222C"/>
    <w:rsid w:val="2F7B4E49"/>
    <w:rsid w:val="2F7B4EB0"/>
    <w:rsid w:val="2F7B4FDD"/>
    <w:rsid w:val="2F7C0DA6"/>
    <w:rsid w:val="2F7C1C6F"/>
    <w:rsid w:val="2F7C27D7"/>
    <w:rsid w:val="2F7C41F6"/>
    <w:rsid w:val="2F7C5FA4"/>
    <w:rsid w:val="2F7D17B7"/>
    <w:rsid w:val="2F7D2448"/>
    <w:rsid w:val="2F7D4C12"/>
    <w:rsid w:val="2F7D7B14"/>
    <w:rsid w:val="2F7D7C2C"/>
    <w:rsid w:val="2F7E058C"/>
    <w:rsid w:val="2F7E1D1C"/>
    <w:rsid w:val="2F7E3A90"/>
    <w:rsid w:val="2F7E5CFF"/>
    <w:rsid w:val="2F7E7F6E"/>
    <w:rsid w:val="2F7F3380"/>
    <w:rsid w:val="2F7F5246"/>
    <w:rsid w:val="2F7F74F3"/>
    <w:rsid w:val="2F7F7F22"/>
    <w:rsid w:val="2F802AB1"/>
    <w:rsid w:val="2F803CE6"/>
    <w:rsid w:val="2F805A94"/>
    <w:rsid w:val="2F807842"/>
    <w:rsid w:val="2F8102CC"/>
    <w:rsid w:val="2F81180C"/>
    <w:rsid w:val="2F811D3C"/>
    <w:rsid w:val="2F8135BA"/>
    <w:rsid w:val="2F81488B"/>
    <w:rsid w:val="2F822251"/>
    <w:rsid w:val="2F823C98"/>
    <w:rsid w:val="2F8241FE"/>
    <w:rsid w:val="2F82593B"/>
    <w:rsid w:val="2F830808"/>
    <w:rsid w:val="2F83092C"/>
    <w:rsid w:val="2F8310E0"/>
    <w:rsid w:val="2F8328A6"/>
    <w:rsid w:val="2F835584"/>
    <w:rsid w:val="2F8362AD"/>
    <w:rsid w:val="2F836D5B"/>
    <w:rsid w:val="2F841773"/>
    <w:rsid w:val="2F84428E"/>
    <w:rsid w:val="2F846934"/>
    <w:rsid w:val="2F850386"/>
    <w:rsid w:val="2F8530AA"/>
    <w:rsid w:val="2F853256"/>
    <w:rsid w:val="2F853EFE"/>
    <w:rsid w:val="2F854E58"/>
    <w:rsid w:val="2F8567EB"/>
    <w:rsid w:val="2F860BD0"/>
    <w:rsid w:val="2F861831"/>
    <w:rsid w:val="2F862062"/>
    <w:rsid w:val="2F86229A"/>
    <w:rsid w:val="2F863762"/>
    <w:rsid w:val="2F864C7C"/>
    <w:rsid w:val="2F865D6B"/>
    <w:rsid w:val="2F866E22"/>
    <w:rsid w:val="2F867450"/>
    <w:rsid w:val="2F872682"/>
    <w:rsid w:val="2F8734F2"/>
    <w:rsid w:val="2F8743FE"/>
    <w:rsid w:val="2F875C16"/>
    <w:rsid w:val="2F880B7A"/>
    <w:rsid w:val="2F880DEC"/>
    <w:rsid w:val="2F884949"/>
    <w:rsid w:val="2F8860C3"/>
    <w:rsid w:val="2F886D5B"/>
    <w:rsid w:val="2F89253E"/>
    <w:rsid w:val="2F896513"/>
    <w:rsid w:val="2F8976B0"/>
    <w:rsid w:val="2F8A6913"/>
    <w:rsid w:val="2F8B39BE"/>
    <w:rsid w:val="2F8B6FAB"/>
    <w:rsid w:val="2F8B727C"/>
    <w:rsid w:val="2F8C268B"/>
    <w:rsid w:val="2F8C3988"/>
    <w:rsid w:val="2F8C4439"/>
    <w:rsid w:val="2F8C7373"/>
    <w:rsid w:val="2F8D09D7"/>
    <w:rsid w:val="2F8D4AE3"/>
    <w:rsid w:val="2F8D5EB7"/>
    <w:rsid w:val="2F8D6403"/>
    <w:rsid w:val="2F8E07F4"/>
    <w:rsid w:val="2F8E4F10"/>
    <w:rsid w:val="2F8F0180"/>
    <w:rsid w:val="2F8F0849"/>
    <w:rsid w:val="2F8F18E7"/>
    <w:rsid w:val="2F8F217B"/>
    <w:rsid w:val="2F8F2910"/>
    <w:rsid w:val="2F8F33C5"/>
    <w:rsid w:val="2F8F3F29"/>
    <w:rsid w:val="2F8F4832"/>
    <w:rsid w:val="2F8F5CD7"/>
    <w:rsid w:val="2F8F6863"/>
    <w:rsid w:val="2F9028F3"/>
    <w:rsid w:val="2F902C99"/>
    <w:rsid w:val="2F90417A"/>
    <w:rsid w:val="2F90494F"/>
    <w:rsid w:val="2F9154D6"/>
    <w:rsid w:val="2F915CE5"/>
    <w:rsid w:val="2F91621D"/>
    <w:rsid w:val="2F917175"/>
    <w:rsid w:val="2F917CA1"/>
    <w:rsid w:val="2F92182C"/>
    <w:rsid w:val="2F921AFF"/>
    <w:rsid w:val="2F927575"/>
    <w:rsid w:val="2F9277FF"/>
    <w:rsid w:val="2F927AAF"/>
    <w:rsid w:val="2F9319C2"/>
    <w:rsid w:val="2F933CB1"/>
    <w:rsid w:val="2F936096"/>
    <w:rsid w:val="2F94153F"/>
    <w:rsid w:val="2F9432ED"/>
    <w:rsid w:val="2F947237"/>
    <w:rsid w:val="2F947791"/>
    <w:rsid w:val="2F954085"/>
    <w:rsid w:val="2F95548D"/>
    <w:rsid w:val="2F9614FA"/>
    <w:rsid w:val="2F961789"/>
    <w:rsid w:val="2F961D80"/>
    <w:rsid w:val="2F963509"/>
    <w:rsid w:val="2F966089"/>
    <w:rsid w:val="2F966166"/>
    <w:rsid w:val="2F967065"/>
    <w:rsid w:val="2F967754"/>
    <w:rsid w:val="2F970DE6"/>
    <w:rsid w:val="2F98086C"/>
    <w:rsid w:val="2F983682"/>
    <w:rsid w:val="2F984477"/>
    <w:rsid w:val="2F984DE7"/>
    <w:rsid w:val="2F985BB8"/>
    <w:rsid w:val="2F990904"/>
    <w:rsid w:val="2F990E43"/>
    <w:rsid w:val="2F99233C"/>
    <w:rsid w:val="2F993A25"/>
    <w:rsid w:val="2F993E99"/>
    <w:rsid w:val="2F994DA8"/>
    <w:rsid w:val="2F995E62"/>
    <w:rsid w:val="2F9A04D8"/>
    <w:rsid w:val="2F9A347B"/>
    <w:rsid w:val="2F9A5285"/>
    <w:rsid w:val="2F9B14D0"/>
    <w:rsid w:val="2F9B2AD3"/>
    <w:rsid w:val="2F9B467C"/>
    <w:rsid w:val="2F9C03F4"/>
    <w:rsid w:val="2F9C21A2"/>
    <w:rsid w:val="2F9C59C9"/>
    <w:rsid w:val="2F9C6C2E"/>
    <w:rsid w:val="2F9C75AD"/>
    <w:rsid w:val="2F9D4005"/>
    <w:rsid w:val="2F9D46A9"/>
    <w:rsid w:val="2F9D6324"/>
    <w:rsid w:val="2F9D7C36"/>
    <w:rsid w:val="2F9E04AD"/>
    <w:rsid w:val="2F9E33C6"/>
    <w:rsid w:val="2F9E416C"/>
    <w:rsid w:val="2F9E5098"/>
    <w:rsid w:val="2F9E5F1A"/>
    <w:rsid w:val="2F9E6380"/>
    <w:rsid w:val="2F9F02E8"/>
    <w:rsid w:val="2F9F1779"/>
    <w:rsid w:val="2F9F4BBB"/>
    <w:rsid w:val="2F9F554B"/>
    <w:rsid w:val="2F9F6B69"/>
    <w:rsid w:val="2F9F6E21"/>
    <w:rsid w:val="2FA01C92"/>
    <w:rsid w:val="2FA020F6"/>
    <w:rsid w:val="2FA06136"/>
    <w:rsid w:val="2FA07EE4"/>
    <w:rsid w:val="2FA13583"/>
    <w:rsid w:val="2FA14099"/>
    <w:rsid w:val="2FA14D33"/>
    <w:rsid w:val="2FA15A0A"/>
    <w:rsid w:val="2FA21EAE"/>
    <w:rsid w:val="2FA2790F"/>
    <w:rsid w:val="2FA3158A"/>
    <w:rsid w:val="2FA31782"/>
    <w:rsid w:val="2FA33D03"/>
    <w:rsid w:val="2FA345F3"/>
    <w:rsid w:val="2FA379D4"/>
    <w:rsid w:val="2FA41168"/>
    <w:rsid w:val="2FA42589"/>
    <w:rsid w:val="2FA42A1A"/>
    <w:rsid w:val="2FA501BC"/>
    <w:rsid w:val="2FA5198A"/>
    <w:rsid w:val="2FA5374C"/>
    <w:rsid w:val="2FA54B6D"/>
    <w:rsid w:val="2FA554FB"/>
    <w:rsid w:val="2FA56825"/>
    <w:rsid w:val="2FA572A9"/>
    <w:rsid w:val="2FA5734D"/>
    <w:rsid w:val="2FA62D91"/>
    <w:rsid w:val="2FA63021"/>
    <w:rsid w:val="2FA63873"/>
    <w:rsid w:val="2FA657F2"/>
    <w:rsid w:val="2FA71434"/>
    <w:rsid w:val="2FA72C52"/>
    <w:rsid w:val="2FA84FEB"/>
    <w:rsid w:val="2FA9075E"/>
    <w:rsid w:val="2FA91BAF"/>
    <w:rsid w:val="2FA94F40"/>
    <w:rsid w:val="2FA97A04"/>
    <w:rsid w:val="2FAA2B11"/>
    <w:rsid w:val="2FAA48BF"/>
    <w:rsid w:val="2FAA7FCD"/>
    <w:rsid w:val="2FAB049C"/>
    <w:rsid w:val="2FAB0637"/>
    <w:rsid w:val="2FAB0A58"/>
    <w:rsid w:val="2FAB0D99"/>
    <w:rsid w:val="2FAC4ADB"/>
    <w:rsid w:val="2FAC6889"/>
    <w:rsid w:val="2FAD1B11"/>
    <w:rsid w:val="2FAD2601"/>
    <w:rsid w:val="2FAD3CAB"/>
    <w:rsid w:val="2FAD40FD"/>
    <w:rsid w:val="2FAD76F7"/>
    <w:rsid w:val="2FAE1E42"/>
    <w:rsid w:val="2FAE260E"/>
    <w:rsid w:val="2FAE3EB7"/>
    <w:rsid w:val="2FAE44C5"/>
    <w:rsid w:val="2FAE63D5"/>
    <w:rsid w:val="2FAE702D"/>
    <w:rsid w:val="2FAF0127"/>
    <w:rsid w:val="2FAF15E3"/>
    <w:rsid w:val="2FAF1ED5"/>
    <w:rsid w:val="2FAF3E2E"/>
    <w:rsid w:val="2FAF6379"/>
    <w:rsid w:val="2FAF7A1C"/>
    <w:rsid w:val="2FB0244D"/>
    <w:rsid w:val="2FB03DFA"/>
    <w:rsid w:val="2FB120F1"/>
    <w:rsid w:val="2FB1773C"/>
    <w:rsid w:val="2FB21595"/>
    <w:rsid w:val="2FB2250E"/>
    <w:rsid w:val="2FB22E58"/>
    <w:rsid w:val="2FB24EF7"/>
    <w:rsid w:val="2FB27C17"/>
    <w:rsid w:val="2FB3107F"/>
    <w:rsid w:val="2FB31350"/>
    <w:rsid w:val="2FB32177"/>
    <w:rsid w:val="2FB35E69"/>
    <w:rsid w:val="2FB35FCD"/>
    <w:rsid w:val="2FB40F11"/>
    <w:rsid w:val="2FB41BE1"/>
    <w:rsid w:val="2FB47769"/>
    <w:rsid w:val="2FB47E43"/>
    <w:rsid w:val="2FB50542"/>
    <w:rsid w:val="2FB550E0"/>
    <w:rsid w:val="2FB56D40"/>
    <w:rsid w:val="2FB61F28"/>
    <w:rsid w:val="2FB624E1"/>
    <w:rsid w:val="2FB63264"/>
    <w:rsid w:val="2FB70E90"/>
    <w:rsid w:val="2FB738D1"/>
    <w:rsid w:val="2FB74938"/>
    <w:rsid w:val="2FB80510"/>
    <w:rsid w:val="2FB85E6B"/>
    <w:rsid w:val="2FB87328"/>
    <w:rsid w:val="2FB87A76"/>
    <w:rsid w:val="2FB87DD4"/>
    <w:rsid w:val="2FB90FA6"/>
    <w:rsid w:val="2FB921E4"/>
    <w:rsid w:val="2FB9350D"/>
    <w:rsid w:val="2FB971F8"/>
    <w:rsid w:val="2FB977EB"/>
    <w:rsid w:val="2FBA14E4"/>
    <w:rsid w:val="2FBA3998"/>
    <w:rsid w:val="2FBA4574"/>
    <w:rsid w:val="2FBA4F71"/>
    <w:rsid w:val="2FBB4372"/>
    <w:rsid w:val="2FBB6ACC"/>
    <w:rsid w:val="2FBB7B31"/>
    <w:rsid w:val="2FBC45F2"/>
    <w:rsid w:val="2FBC6AD0"/>
    <w:rsid w:val="2FBC7AA2"/>
    <w:rsid w:val="2FBD0A96"/>
    <w:rsid w:val="2FBD2526"/>
    <w:rsid w:val="2FBD5011"/>
    <w:rsid w:val="2FBD76BA"/>
    <w:rsid w:val="2FBE130D"/>
    <w:rsid w:val="2FBE2C5A"/>
    <w:rsid w:val="2FBE649E"/>
    <w:rsid w:val="2FBF100E"/>
    <w:rsid w:val="2FBF1A8E"/>
    <w:rsid w:val="2FBF7ED1"/>
    <w:rsid w:val="2FC00586"/>
    <w:rsid w:val="2FC0066F"/>
    <w:rsid w:val="2FC02334"/>
    <w:rsid w:val="2FC04104"/>
    <w:rsid w:val="2FC1125D"/>
    <w:rsid w:val="2FC16E0E"/>
    <w:rsid w:val="2FC173DB"/>
    <w:rsid w:val="2FC17E5A"/>
    <w:rsid w:val="2FC22278"/>
    <w:rsid w:val="2FC26BF7"/>
    <w:rsid w:val="2FC33BD3"/>
    <w:rsid w:val="2FC35981"/>
    <w:rsid w:val="2FC40571"/>
    <w:rsid w:val="2FC475E4"/>
    <w:rsid w:val="2FC516F9"/>
    <w:rsid w:val="2FC5794B"/>
    <w:rsid w:val="2FC61683"/>
    <w:rsid w:val="2FC645AA"/>
    <w:rsid w:val="2FC674F5"/>
    <w:rsid w:val="2FC6781C"/>
    <w:rsid w:val="2FC736C3"/>
    <w:rsid w:val="2FC75471"/>
    <w:rsid w:val="2FC77D62"/>
    <w:rsid w:val="2FC811E9"/>
    <w:rsid w:val="2FC81E1A"/>
    <w:rsid w:val="2FC82F97"/>
    <w:rsid w:val="2FC83421"/>
    <w:rsid w:val="2FC85068"/>
    <w:rsid w:val="2FCA20B6"/>
    <w:rsid w:val="2FCA3159"/>
    <w:rsid w:val="2FCA4873"/>
    <w:rsid w:val="2FCA4F61"/>
    <w:rsid w:val="2FCA6D0F"/>
    <w:rsid w:val="2FCB323B"/>
    <w:rsid w:val="2FCB3AC7"/>
    <w:rsid w:val="2FCC07F0"/>
    <w:rsid w:val="2FCC0CD9"/>
    <w:rsid w:val="2FCC0D7E"/>
    <w:rsid w:val="2FCC2A87"/>
    <w:rsid w:val="2FCC77DC"/>
    <w:rsid w:val="2FCD1268"/>
    <w:rsid w:val="2FCD159E"/>
    <w:rsid w:val="2FCD1F31"/>
    <w:rsid w:val="2FCD594E"/>
    <w:rsid w:val="2FCD67D2"/>
    <w:rsid w:val="2FCD67FF"/>
    <w:rsid w:val="2FCD74CE"/>
    <w:rsid w:val="2FCE0A06"/>
    <w:rsid w:val="2FCE1FEF"/>
    <w:rsid w:val="2FCE75F8"/>
    <w:rsid w:val="2FCF5F7E"/>
    <w:rsid w:val="2FD01CE8"/>
    <w:rsid w:val="2FD026BA"/>
    <w:rsid w:val="2FD133B3"/>
    <w:rsid w:val="2FD14033"/>
    <w:rsid w:val="2FD14541"/>
    <w:rsid w:val="2FD20E6E"/>
    <w:rsid w:val="2FD23E16"/>
    <w:rsid w:val="2FD24608"/>
    <w:rsid w:val="2FD25B1E"/>
    <w:rsid w:val="2FD264B0"/>
    <w:rsid w:val="2FD267C1"/>
    <w:rsid w:val="2FD302BA"/>
    <w:rsid w:val="2FD348DC"/>
    <w:rsid w:val="2FD35FE3"/>
    <w:rsid w:val="2FD361A8"/>
    <w:rsid w:val="2FD36D21"/>
    <w:rsid w:val="2FD36F28"/>
    <w:rsid w:val="2FD40BCE"/>
    <w:rsid w:val="2FD41AF9"/>
    <w:rsid w:val="2FD45DE0"/>
    <w:rsid w:val="2FD46A9F"/>
    <w:rsid w:val="2FD47423"/>
    <w:rsid w:val="2FD47B8E"/>
    <w:rsid w:val="2FD50772"/>
    <w:rsid w:val="2FD53A52"/>
    <w:rsid w:val="2FD53EC2"/>
    <w:rsid w:val="2FD57A8F"/>
    <w:rsid w:val="2FD656B4"/>
    <w:rsid w:val="2FD70C99"/>
    <w:rsid w:val="2FD75F75"/>
    <w:rsid w:val="2FD810ED"/>
    <w:rsid w:val="2FD8535A"/>
    <w:rsid w:val="2FD85881"/>
    <w:rsid w:val="2FD86CE5"/>
    <w:rsid w:val="2FD91648"/>
    <w:rsid w:val="2FD933F6"/>
    <w:rsid w:val="2FD94B8E"/>
    <w:rsid w:val="2FDA068D"/>
    <w:rsid w:val="2FDA1643"/>
    <w:rsid w:val="2FDA3A05"/>
    <w:rsid w:val="2FDA54F7"/>
    <w:rsid w:val="2FDA5BCD"/>
    <w:rsid w:val="2FDA7E82"/>
    <w:rsid w:val="2FDB378B"/>
    <w:rsid w:val="2FDB3AC3"/>
    <w:rsid w:val="2FDB6DFB"/>
    <w:rsid w:val="2FDB716E"/>
    <w:rsid w:val="2FDC028B"/>
    <w:rsid w:val="2FDC3A53"/>
    <w:rsid w:val="2FDC4215"/>
    <w:rsid w:val="2FDC44EE"/>
    <w:rsid w:val="2FDC5D23"/>
    <w:rsid w:val="2FDC6A42"/>
    <w:rsid w:val="2FDD2EE6"/>
    <w:rsid w:val="2FDD4C94"/>
    <w:rsid w:val="2FDD67C3"/>
    <w:rsid w:val="2FDE07CA"/>
    <w:rsid w:val="2FDE0A0C"/>
    <w:rsid w:val="2FDE27BA"/>
    <w:rsid w:val="2FDE577C"/>
    <w:rsid w:val="2FDE6441"/>
    <w:rsid w:val="2FDF4FD0"/>
    <w:rsid w:val="2FDF5713"/>
    <w:rsid w:val="2FDF6179"/>
    <w:rsid w:val="2FE00E63"/>
    <w:rsid w:val="2FE01967"/>
    <w:rsid w:val="2FE0280A"/>
    <w:rsid w:val="2FE029D7"/>
    <w:rsid w:val="2FE04785"/>
    <w:rsid w:val="2FE06533"/>
    <w:rsid w:val="2FE10DDE"/>
    <w:rsid w:val="2FE174D1"/>
    <w:rsid w:val="2FE214B0"/>
    <w:rsid w:val="2FE222AB"/>
    <w:rsid w:val="2FE23C52"/>
    <w:rsid w:val="2FE240BE"/>
    <w:rsid w:val="2FE2676B"/>
    <w:rsid w:val="2FE36023"/>
    <w:rsid w:val="2FE36969"/>
    <w:rsid w:val="2FE36D71"/>
    <w:rsid w:val="2FE376AF"/>
    <w:rsid w:val="2FE37DD1"/>
    <w:rsid w:val="2FE40CAB"/>
    <w:rsid w:val="2FE43DF2"/>
    <w:rsid w:val="2FE45319"/>
    <w:rsid w:val="2FE45686"/>
    <w:rsid w:val="2FE51D9B"/>
    <w:rsid w:val="2FE53B49"/>
    <w:rsid w:val="2FE549D9"/>
    <w:rsid w:val="2FE569B3"/>
    <w:rsid w:val="2FE570E1"/>
    <w:rsid w:val="2FE57FED"/>
    <w:rsid w:val="2FE6097E"/>
    <w:rsid w:val="2FE618C1"/>
    <w:rsid w:val="2FE64A24"/>
    <w:rsid w:val="2FE64F57"/>
    <w:rsid w:val="2FE65116"/>
    <w:rsid w:val="2FE66068"/>
    <w:rsid w:val="2FE73018"/>
    <w:rsid w:val="2FE73281"/>
    <w:rsid w:val="2FE75B13"/>
    <w:rsid w:val="2FE77451"/>
    <w:rsid w:val="2FE85162"/>
    <w:rsid w:val="2FE8682E"/>
    <w:rsid w:val="2FE907EA"/>
    <w:rsid w:val="2FE90DDF"/>
    <w:rsid w:val="2FE912AA"/>
    <w:rsid w:val="2FE9188B"/>
    <w:rsid w:val="2FE92002"/>
    <w:rsid w:val="2FE9704C"/>
    <w:rsid w:val="2FE970DD"/>
    <w:rsid w:val="2FE97969"/>
    <w:rsid w:val="2FEA027F"/>
    <w:rsid w:val="2FEA2606"/>
    <w:rsid w:val="2FEA73B1"/>
    <w:rsid w:val="2FEB46D3"/>
    <w:rsid w:val="2FEB63F0"/>
    <w:rsid w:val="2FEB73DA"/>
    <w:rsid w:val="2FEC2326"/>
    <w:rsid w:val="2FEC2378"/>
    <w:rsid w:val="2FEC25BD"/>
    <w:rsid w:val="2FEC2819"/>
    <w:rsid w:val="2FEC4A36"/>
    <w:rsid w:val="2FEC4ED7"/>
    <w:rsid w:val="2FEC5925"/>
    <w:rsid w:val="2FED0C50"/>
    <w:rsid w:val="2FED29FE"/>
    <w:rsid w:val="2FED6500"/>
    <w:rsid w:val="2FEE1281"/>
    <w:rsid w:val="2FEE1C0A"/>
    <w:rsid w:val="2FEE2719"/>
    <w:rsid w:val="2FEE2AF2"/>
    <w:rsid w:val="2FEE4D31"/>
    <w:rsid w:val="2FEE50F3"/>
    <w:rsid w:val="2FEE5271"/>
    <w:rsid w:val="2FEE6226"/>
    <w:rsid w:val="2FEE6500"/>
    <w:rsid w:val="2FEF1E4F"/>
    <w:rsid w:val="2FEF2407"/>
    <w:rsid w:val="2FEF2C1A"/>
    <w:rsid w:val="2FEF3B7B"/>
    <w:rsid w:val="2FEF49C8"/>
    <w:rsid w:val="2FF10740"/>
    <w:rsid w:val="2FF124EE"/>
    <w:rsid w:val="2FF13531"/>
    <w:rsid w:val="2FF1521A"/>
    <w:rsid w:val="2FF26266"/>
    <w:rsid w:val="2FF279EE"/>
    <w:rsid w:val="2FF30F96"/>
    <w:rsid w:val="2FF36532"/>
    <w:rsid w:val="2FF40230"/>
    <w:rsid w:val="2FF41FDE"/>
    <w:rsid w:val="2FF43D8C"/>
    <w:rsid w:val="2FF4411B"/>
    <w:rsid w:val="2FF448C0"/>
    <w:rsid w:val="2FF50E32"/>
    <w:rsid w:val="2FF54273"/>
    <w:rsid w:val="2FF5457D"/>
    <w:rsid w:val="2FF55C67"/>
    <w:rsid w:val="2FF56BF1"/>
    <w:rsid w:val="2FF62D3D"/>
    <w:rsid w:val="2FF63B4F"/>
    <w:rsid w:val="2FF64102"/>
    <w:rsid w:val="2FF65893"/>
    <w:rsid w:val="2FF65A2E"/>
    <w:rsid w:val="2FF66D2B"/>
    <w:rsid w:val="2FF670B0"/>
    <w:rsid w:val="2FF67738"/>
    <w:rsid w:val="2FF72979"/>
    <w:rsid w:val="2FF82142"/>
    <w:rsid w:val="2FF83217"/>
    <w:rsid w:val="2FF858A8"/>
    <w:rsid w:val="2FF871B8"/>
    <w:rsid w:val="2FF91743"/>
    <w:rsid w:val="2FF91C47"/>
    <w:rsid w:val="2FF93726"/>
    <w:rsid w:val="2FF93CD9"/>
    <w:rsid w:val="2FF95846"/>
    <w:rsid w:val="2FF975F4"/>
    <w:rsid w:val="2FFA2231"/>
    <w:rsid w:val="2FFA232B"/>
    <w:rsid w:val="2FFA3814"/>
    <w:rsid w:val="2FFA51FF"/>
    <w:rsid w:val="2FFB15BE"/>
    <w:rsid w:val="2FFB336C"/>
    <w:rsid w:val="2FFB511A"/>
    <w:rsid w:val="2FFB6222"/>
    <w:rsid w:val="2FFB63E5"/>
    <w:rsid w:val="2FFB6ECE"/>
    <w:rsid w:val="2FFC0448"/>
    <w:rsid w:val="2FFC0CEB"/>
    <w:rsid w:val="2FFC0D05"/>
    <w:rsid w:val="2FFC3B72"/>
    <w:rsid w:val="2FFD5337"/>
    <w:rsid w:val="2FFD70E5"/>
    <w:rsid w:val="2FFE1A54"/>
    <w:rsid w:val="2FFE2A3C"/>
    <w:rsid w:val="2FFE2E5D"/>
    <w:rsid w:val="2FFE4C0B"/>
    <w:rsid w:val="2FFF0D72"/>
    <w:rsid w:val="2FFF22FB"/>
    <w:rsid w:val="30000C20"/>
    <w:rsid w:val="30001AD5"/>
    <w:rsid w:val="30002C7A"/>
    <w:rsid w:val="300045BE"/>
    <w:rsid w:val="30004E27"/>
    <w:rsid w:val="3001628A"/>
    <w:rsid w:val="3002294D"/>
    <w:rsid w:val="30022FB5"/>
    <w:rsid w:val="300246FB"/>
    <w:rsid w:val="30024B76"/>
    <w:rsid w:val="30024BAC"/>
    <w:rsid w:val="30030473"/>
    <w:rsid w:val="30032221"/>
    <w:rsid w:val="30032430"/>
    <w:rsid w:val="30033435"/>
    <w:rsid w:val="3003396A"/>
    <w:rsid w:val="30040485"/>
    <w:rsid w:val="30041962"/>
    <w:rsid w:val="3004250C"/>
    <w:rsid w:val="300466C5"/>
    <w:rsid w:val="30047496"/>
    <w:rsid w:val="300541EB"/>
    <w:rsid w:val="30054C8E"/>
    <w:rsid w:val="30055F99"/>
    <w:rsid w:val="30057D74"/>
    <w:rsid w:val="300605D4"/>
    <w:rsid w:val="30061518"/>
    <w:rsid w:val="30061665"/>
    <w:rsid w:val="300655FA"/>
    <w:rsid w:val="30071129"/>
    <w:rsid w:val="30071D11"/>
    <w:rsid w:val="30073A8F"/>
    <w:rsid w:val="30073ABF"/>
    <w:rsid w:val="300744DC"/>
    <w:rsid w:val="30075885"/>
    <w:rsid w:val="300779DB"/>
    <w:rsid w:val="3008077B"/>
    <w:rsid w:val="300809E8"/>
    <w:rsid w:val="30085A89"/>
    <w:rsid w:val="30085CA9"/>
    <w:rsid w:val="30086A1E"/>
    <w:rsid w:val="30096271"/>
    <w:rsid w:val="300A35B0"/>
    <w:rsid w:val="300A7A53"/>
    <w:rsid w:val="300B0F59"/>
    <w:rsid w:val="300B6752"/>
    <w:rsid w:val="300C1AF2"/>
    <w:rsid w:val="300C37CC"/>
    <w:rsid w:val="300C38CD"/>
    <w:rsid w:val="300C67DC"/>
    <w:rsid w:val="300D0C57"/>
    <w:rsid w:val="300D3560"/>
    <w:rsid w:val="300D4224"/>
    <w:rsid w:val="300E30A0"/>
    <w:rsid w:val="300F0BC6"/>
    <w:rsid w:val="300F13D2"/>
    <w:rsid w:val="300F506A"/>
    <w:rsid w:val="300F5CEA"/>
    <w:rsid w:val="300F6E18"/>
    <w:rsid w:val="300F7F43"/>
    <w:rsid w:val="301010B2"/>
    <w:rsid w:val="3010223B"/>
    <w:rsid w:val="301063F3"/>
    <w:rsid w:val="3010717A"/>
    <w:rsid w:val="3010741C"/>
    <w:rsid w:val="30110410"/>
    <w:rsid w:val="3011156F"/>
    <w:rsid w:val="30112503"/>
    <w:rsid w:val="3011493E"/>
    <w:rsid w:val="30121A9A"/>
    <w:rsid w:val="30125257"/>
    <w:rsid w:val="301263C0"/>
    <w:rsid w:val="301306B6"/>
    <w:rsid w:val="301313E0"/>
    <w:rsid w:val="3013196C"/>
    <w:rsid w:val="301335CA"/>
    <w:rsid w:val="301337C5"/>
    <w:rsid w:val="30134B5A"/>
    <w:rsid w:val="301366BE"/>
    <w:rsid w:val="3014442E"/>
    <w:rsid w:val="3014643C"/>
    <w:rsid w:val="30146F8B"/>
    <w:rsid w:val="3015556C"/>
    <w:rsid w:val="301601A6"/>
    <w:rsid w:val="30161F54"/>
    <w:rsid w:val="3016398B"/>
    <w:rsid w:val="301650D0"/>
    <w:rsid w:val="301662AB"/>
    <w:rsid w:val="301663F8"/>
    <w:rsid w:val="30177C18"/>
    <w:rsid w:val="30181715"/>
    <w:rsid w:val="30183F1E"/>
    <w:rsid w:val="30185911"/>
    <w:rsid w:val="3018788A"/>
    <w:rsid w:val="30190684"/>
    <w:rsid w:val="30191A45"/>
    <w:rsid w:val="301933E9"/>
    <w:rsid w:val="301937F3"/>
    <w:rsid w:val="30193C40"/>
    <w:rsid w:val="3019657C"/>
    <w:rsid w:val="30197CED"/>
    <w:rsid w:val="301A0D10"/>
    <w:rsid w:val="301A2F3C"/>
    <w:rsid w:val="301A576D"/>
    <w:rsid w:val="301B0AD2"/>
    <w:rsid w:val="301B2862"/>
    <w:rsid w:val="301B3A0F"/>
    <w:rsid w:val="301B4B6F"/>
    <w:rsid w:val="301B6F9B"/>
    <w:rsid w:val="301C0757"/>
    <w:rsid w:val="301C68D5"/>
    <w:rsid w:val="301D1535"/>
    <w:rsid w:val="301D177E"/>
    <w:rsid w:val="301D32E3"/>
    <w:rsid w:val="301D7787"/>
    <w:rsid w:val="301E30AD"/>
    <w:rsid w:val="301E3DB5"/>
    <w:rsid w:val="301E404C"/>
    <w:rsid w:val="301F34FF"/>
    <w:rsid w:val="301F3F18"/>
    <w:rsid w:val="301F52AD"/>
    <w:rsid w:val="302025CF"/>
    <w:rsid w:val="302047CA"/>
    <w:rsid w:val="30206548"/>
    <w:rsid w:val="30215AF4"/>
    <w:rsid w:val="30216A7F"/>
    <w:rsid w:val="30217113"/>
    <w:rsid w:val="302202CE"/>
    <w:rsid w:val="30221A93"/>
    <w:rsid w:val="30221FB4"/>
    <w:rsid w:val="30222A1F"/>
    <w:rsid w:val="30224A41"/>
    <w:rsid w:val="3022510C"/>
    <w:rsid w:val="3022539C"/>
    <w:rsid w:val="30227E4E"/>
    <w:rsid w:val="3023045A"/>
    <w:rsid w:val="302313E9"/>
    <w:rsid w:val="30233EAF"/>
    <w:rsid w:val="30240CA1"/>
    <w:rsid w:val="3024256E"/>
    <w:rsid w:val="302456C2"/>
    <w:rsid w:val="30245D06"/>
    <w:rsid w:val="30246A80"/>
    <w:rsid w:val="30246E3B"/>
    <w:rsid w:val="302503E9"/>
    <w:rsid w:val="3025074D"/>
    <w:rsid w:val="30250B8F"/>
    <w:rsid w:val="302510AA"/>
    <w:rsid w:val="30251F27"/>
    <w:rsid w:val="3025488D"/>
    <w:rsid w:val="30255A22"/>
    <w:rsid w:val="3026151E"/>
    <w:rsid w:val="30263F71"/>
    <w:rsid w:val="3026449E"/>
    <w:rsid w:val="302649DA"/>
    <w:rsid w:val="302723B3"/>
    <w:rsid w:val="30274161"/>
    <w:rsid w:val="30275F10"/>
    <w:rsid w:val="3027791E"/>
    <w:rsid w:val="30280B8B"/>
    <w:rsid w:val="30281C88"/>
    <w:rsid w:val="30286891"/>
    <w:rsid w:val="3029612C"/>
    <w:rsid w:val="30297683"/>
    <w:rsid w:val="30297D21"/>
    <w:rsid w:val="30297EDA"/>
    <w:rsid w:val="30297FE4"/>
    <w:rsid w:val="302A1857"/>
    <w:rsid w:val="302A1EA4"/>
    <w:rsid w:val="302A28F2"/>
    <w:rsid w:val="302A3C52"/>
    <w:rsid w:val="302A5560"/>
    <w:rsid w:val="302A6888"/>
    <w:rsid w:val="302B348F"/>
    <w:rsid w:val="302B4D92"/>
    <w:rsid w:val="302C1006"/>
    <w:rsid w:val="302C1778"/>
    <w:rsid w:val="302C26CC"/>
    <w:rsid w:val="302C2ED5"/>
    <w:rsid w:val="302C5C1C"/>
    <w:rsid w:val="302D075A"/>
    <w:rsid w:val="302D44A6"/>
    <w:rsid w:val="302D729E"/>
    <w:rsid w:val="302E2703"/>
    <w:rsid w:val="302E3742"/>
    <w:rsid w:val="302E54F0"/>
    <w:rsid w:val="302F1268"/>
    <w:rsid w:val="302F3016"/>
    <w:rsid w:val="302F3B93"/>
    <w:rsid w:val="30300BA1"/>
    <w:rsid w:val="30304270"/>
    <w:rsid w:val="30306268"/>
    <w:rsid w:val="303074BA"/>
    <w:rsid w:val="30310A25"/>
    <w:rsid w:val="30314AC0"/>
    <w:rsid w:val="30314E56"/>
    <w:rsid w:val="30332B06"/>
    <w:rsid w:val="30333BE6"/>
    <w:rsid w:val="30351962"/>
    <w:rsid w:val="303525E3"/>
    <w:rsid w:val="3035375D"/>
    <w:rsid w:val="30353ACB"/>
    <w:rsid w:val="30357058"/>
    <w:rsid w:val="30360848"/>
    <w:rsid w:val="303625F7"/>
    <w:rsid w:val="3036344E"/>
    <w:rsid w:val="303643A5"/>
    <w:rsid w:val="30375899"/>
    <w:rsid w:val="30375AB2"/>
    <w:rsid w:val="3038011D"/>
    <w:rsid w:val="303808B4"/>
    <w:rsid w:val="3038329A"/>
    <w:rsid w:val="30384C45"/>
    <w:rsid w:val="30386D87"/>
    <w:rsid w:val="30393E95"/>
    <w:rsid w:val="30395C43"/>
    <w:rsid w:val="303A0CA6"/>
    <w:rsid w:val="303A20E7"/>
    <w:rsid w:val="303A40D0"/>
    <w:rsid w:val="303A4716"/>
    <w:rsid w:val="303A7923"/>
    <w:rsid w:val="303B0336"/>
    <w:rsid w:val="303B0D49"/>
    <w:rsid w:val="303B5E5F"/>
    <w:rsid w:val="303C30A0"/>
    <w:rsid w:val="303C3A3A"/>
    <w:rsid w:val="303C5493"/>
    <w:rsid w:val="303C57F4"/>
    <w:rsid w:val="303C67D1"/>
    <w:rsid w:val="303D1BD7"/>
    <w:rsid w:val="303D3028"/>
    <w:rsid w:val="303D531D"/>
    <w:rsid w:val="303D5733"/>
    <w:rsid w:val="303D724D"/>
    <w:rsid w:val="303D7A0C"/>
    <w:rsid w:val="303E0AB7"/>
    <w:rsid w:val="303E14AB"/>
    <w:rsid w:val="303E1C1C"/>
    <w:rsid w:val="303E24AC"/>
    <w:rsid w:val="303E44B1"/>
    <w:rsid w:val="303E731F"/>
    <w:rsid w:val="303F594F"/>
    <w:rsid w:val="303F61C1"/>
    <w:rsid w:val="303F6377"/>
    <w:rsid w:val="303F6C03"/>
    <w:rsid w:val="303F79A0"/>
    <w:rsid w:val="30400E09"/>
    <w:rsid w:val="30401C15"/>
    <w:rsid w:val="304020F5"/>
    <w:rsid w:val="304033D7"/>
    <w:rsid w:val="30403475"/>
    <w:rsid w:val="30403689"/>
    <w:rsid w:val="30403A98"/>
    <w:rsid w:val="30403BCE"/>
    <w:rsid w:val="30404B18"/>
    <w:rsid w:val="30405223"/>
    <w:rsid w:val="30406FD1"/>
    <w:rsid w:val="304138F6"/>
    <w:rsid w:val="30415FA8"/>
    <w:rsid w:val="30420F9B"/>
    <w:rsid w:val="30421FA9"/>
    <w:rsid w:val="30422B22"/>
    <w:rsid w:val="30423746"/>
    <w:rsid w:val="304308C8"/>
    <w:rsid w:val="304326C6"/>
    <w:rsid w:val="30433A0A"/>
    <w:rsid w:val="30434C9F"/>
    <w:rsid w:val="30435861"/>
    <w:rsid w:val="3043586B"/>
    <w:rsid w:val="304420A6"/>
    <w:rsid w:val="30442E6F"/>
    <w:rsid w:val="30442F65"/>
    <w:rsid w:val="304436AC"/>
    <w:rsid w:val="30444929"/>
    <w:rsid w:val="30444D13"/>
    <w:rsid w:val="30451BBC"/>
    <w:rsid w:val="3045283A"/>
    <w:rsid w:val="304545E8"/>
    <w:rsid w:val="30455A79"/>
    <w:rsid w:val="30455DB9"/>
    <w:rsid w:val="30466209"/>
    <w:rsid w:val="30466B08"/>
    <w:rsid w:val="3047022C"/>
    <w:rsid w:val="30470360"/>
    <w:rsid w:val="30470620"/>
    <w:rsid w:val="30472813"/>
    <w:rsid w:val="30474804"/>
    <w:rsid w:val="30474C56"/>
    <w:rsid w:val="30475F10"/>
    <w:rsid w:val="304765B2"/>
    <w:rsid w:val="30477C35"/>
    <w:rsid w:val="30477DE8"/>
    <w:rsid w:val="30480F13"/>
    <w:rsid w:val="30483827"/>
    <w:rsid w:val="304866FC"/>
    <w:rsid w:val="30487742"/>
    <w:rsid w:val="30490E19"/>
    <w:rsid w:val="3049232A"/>
    <w:rsid w:val="3049730B"/>
    <w:rsid w:val="304A081D"/>
    <w:rsid w:val="304A0D82"/>
    <w:rsid w:val="304A1AD1"/>
    <w:rsid w:val="304A5411"/>
    <w:rsid w:val="304A60A2"/>
    <w:rsid w:val="304A60CD"/>
    <w:rsid w:val="304A6A4F"/>
    <w:rsid w:val="304A705A"/>
    <w:rsid w:val="304B0E16"/>
    <w:rsid w:val="304B42F4"/>
    <w:rsid w:val="304C1910"/>
    <w:rsid w:val="304C1E1A"/>
    <w:rsid w:val="304C3BC8"/>
    <w:rsid w:val="304C4CF6"/>
    <w:rsid w:val="304C5976"/>
    <w:rsid w:val="304C67C6"/>
    <w:rsid w:val="304D3B54"/>
    <w:rsid w:val="304E0342"/>
    <w:rsid w:val="304E099E"/>
    <w:rsid w:val="304E15D5"/>
    <w:rsid w:val="304E16FE"/>
    <w:rsid w:val="304E370F"/>
    <w:rsid w:val="304E5B92"/>
    <w:rsid w:val="304F0618"/>
    <w:rsid w:val="304F7365"/>
    <w:rsid w:val="304F7BF1"/>
    <w:rsid w:val="3050190A"/>
    <w:rsid w:val="305025A1"/>
    <w:rsid w:val="30503A7B"/>
    <w:rsid w:val="30506AA5"/>
    <w:rsid w:val="30507560"/>
    <w:rsid w:val="30511483"/>
    <w:rsid w:val="30511DBF"/>
    <w:rsid w:val="30512CBD"/>
    <w:rsid w:val="305132F0"/>
    <w:rsid w:val="30515682"/>
    <w:rsid w:val="3051685D"/>
    <w:rsid w:val="30520408"/>
    <w:rsid w:val="30523054"/>
    <w:rsid w:val="3052452A"/>
    <w:rsid w:val="305267EB"/>
    <w:rsid w:val="30526A4E"/>
    <w:rsid w:val="30530AA2"/>
    <w:rsid w:val="3053184D"/>
    <w:rsid w:val="305318C5"/>
    <w:rsid w:val="30531932"/>
    <w:rsid w:val="305329E0"/>
    <w:rsid w:val="30532A88"/>
    <w:rsid w:val="30533ED5"/>
    <w:rsid w:val="30536D05"/>
    <w:rsid w:val="30542A7D"/>
    <w:rsid w:val="3054441E"/>
    <w:rsid w:val="30545C5B"/>
    <w:rsid w:val="30550737"/>
    <w:rsid w:val="30550CCF"/>
    <w:rsid w:val="30552134"/>
    <w:rsid w:val="30553746"/>
    <w:rsid w:val="305538AF"/>
    <w:rsid w:val="30557120"/>
    <w:rsid w:val="3056075E"/>
    <w:rsid w:val="30562C99"/>
    <w:rsid w:val="30563508"/>
    <w:rsid w:val="30564A47"/>
    <w:rsid w:val="305667F5"/>
    <w:rsid w:val="30567F0C"/>
    <w:rsid w:val="305807BF"/>
    <w:rsid w:val="30581555"/>
    <w:rsid w:val="3058256D"/>
    <w:rsid w:val="30590093"/>
    <w:rsid w:val="30591DA1"/>
    <w:rsid w:val="3059296B"/>
    <w:rsid w:val="30593447"/>
    <w:rsid w:val="305934C3"/>
    <w:rsid w:val="30597745"/>
    <w:rsid w:val="30597C7E"/>
    <w:rsid w:val="305A1586"/>
    <w:rsid w:val="305A1716"/>
    <w:rsid w:val="305A3BD8"/>
    <w:rsid w:val="305A4537"/>
    <w:rsid w:val="305A537B"/>
    <w:rsid w:val="305A62E5"/>
    <w:rsid w:val="305A6B4F"/>
    <w:rsid w:val="305A7AD4"/>
    <w:rsid w:val="305B02AF"/>
    <w:rsid w:val="305B205D"/>
    <w:rsid w:val="305B3E0B"/>
    <w:rsid w:val="305B73A3"/>
    <w:rsid w:val="305C22F9"/>
    <w:rsid w:val="305C2BB0"/>
    <w:rsid w:val="305C5AE1"/>
    <w:rsid w:val="305D3097"/>
    <w:rsid w:val="305D4027"/>
    <w:rsid w:val="305D5DD5"/>
    <w:rsid w:val="305E56A9"/>
    <w:rsid w:val="305E7042"/>
    <w:rsid w:val="305F1B4D"/>
    <w:rsid w:val="305F38FB"/>
    <w:rsid w:val="305F6960"/>
    <w:rsid w:val="305F7D9F"/>
    <w:rsid w:val="306011DF"/>
    <w:rsid w:val="3060468E"/>
    <w:rsid w:val="306058C5"/>
    <w:rsid w:val="3061621E"/>
    <w:rsid w:val="30620304"/>
    <w:rsid w:val="3062163D"/>
    <w:rsid w:val="306233EC"/>
    <w:rsid w:val="3062519A"/>
    <w:rsid w:val="306252E1"/>
    <w:rsid w:val="30630179"/>
    <w:rsid w:val="30632DB7"/>
    <w:rsid w:val="30636FC0"/>
    <w:rsid w:val="30640F12"/>
    <w:rsid w:val="306440B6"/>
    <w:rsid w:val="30646AFB"/>
    <w:rsid w:val="30650E7D"/>
    <w:rsid w:val="30653199"/>
    <w:rsid w:val="30653251"/>
    <w:rsid w:val="30653C62"/>
    <w:rsid w:val="30654C8A"/>
    <w:rsid w:val="30657F0E"/>
    <w:rsid w:val="30670A02"/>
    <w:rsid w:val="30670FEB"/>
    <w:rsid w:val="30671A90"/>
    <w:rsid w:val="306727B0"/>
    <w:rsid w:val="30674355"/>
    <w:rsid w:val="30675BBA"/>
    <w:rsid w:val="30676A2A"/>
    <w:rsid w:val="3067794C"/>
    <w:rsid w:val="30683C04"/>
    <w:rsid w:val="3068514E"/>
    <w:rsid w:val="30687849"/>
    <w:rsid w:val="306917EB"/>
    <w:rsid w:val="30692C97"/>
    <w:rsid w:val="30693152"/>
    <w:rsid w:val="30697560"/>
    <w:rsid w:val="30697A47"/>
    <w:rsid w:val="306A60E9"/>
    <w:rsid w:val="306B04F2"/>
    <w:rsid w:val="306B2A59"/>
    <w:rsid w:val="306B2F75"/>
    <w:rsid w:val="306B4C5F"/>
    <w:rsid w:val="306B50CC"/>
    <w:rsid w:val="306B6744"/>
    <w:rsid w:val="306C1F50"/>
    <w:rsid w:val="306C27FA"/>
    <w:rsid w:val="306C431F"/>
    <w:rsid w:val="306C731D"/>
    <w:rsid w:val="306C7DC6"/>
    <w:rsid w:val="306D4AE2"/>
    <w:rsid w:val="306D591E"/>
    <w:rsid w:val="306D6B7E"/>
    <w:rsid w:val="306E162F"/>
    <w:rsid w:val="306E3A65"/>
    <w:rsid w:val="306E3B3E"/>
    <w:rsid w:val="306E3D5E"/>
    <w:rsid w:val="306E603D"/>
    <w:rsid w:val="306E7C79"/>
    <w:rsid w:val="306F3AB4"/>
    <w:rsid w:val="306F78B6"/>
    <w:rsid w:val="307043DF"/>
    <w:rsid w:val="30705B08"/>
    <w:rsid w:val="30706C5E"/>
    <w:rsid w:val="30707825"/>
    <w:rsid w:val="30707F1A"/>
    <w:rsid w:val="3071362F"/>
    <w:rsid w:val="307153DD"/>
    <w:rsid w:val="307158D0"/>
    <w:rsid w:val="30717AD3"/>
    <w:rsid w:val="30722440"/>
    <w:rsid w:val="30724DD6"/>
    <w:rsid w:val="30725C60"/>
    <w:rsid w:val="30726207"/>
    <w:rsid w:val="30731317"/>
    <w:rsid w:val="30731C57"/>
    <w:rsid w:val="307355F9"/>
    <w:rsid w:val="30736266"/>
    <w:rsid w:val="30740FE3"/>
    <w:rsid w:val="30742CE3"/>
    <w:rsid w:val="307440EA"/>
    <w:rsid w:val="30744ECD"/>
    <w:rsid w:val="3075311F"/>
    <w:rsid w:val="30753E73"/>
    <w:rsid w:val="30753F53"/>
    <w:rsid w:val="30754E98"/>
    <w:rsid w:val="30755662"/>
    <w:rsid w:val="30760C45"/>
    <w:rsid w:val="30766AE5"/>
    <w:rsid w:val="30766E97"/>
    <w:rsid w:val="30767431"/>
    <w:rsid w:val="30767EA1"/>
    <w:rsid w:val="30770607"/>
    <w:rsid w:val="30772F4F"/>
    <w:rsid w:val="307750E9"/>
    <w:rsid w:val="30775224"/>
    <w:rsid w:val="3077524D"/>
    <w:rsid w:val="30775C56"/>
    <w:rsid w:val="307777B8"/>
    <w:rsid w:val="30782C0F"/>
    <w:rsid w:val="307849BD"/>
    <w:rsid w:val="3078676B"/>
    <w:rsid w:val="30794B7A"/>
    <w:rsid w:val="3079616E"/>
    <w:rsid w:val="3079759D"/>
    <w:rsid w:val="307A1497"/>
    <w:rsid w:val="307A24E3"/>
    <w:rsid w:val="307A4A0C"/>
    <w:rsid w:val="307A5A31"/>
    <w:rsid w:val="307A6139"/>
    <w:rsid w:val="307A6987"/>
    <w:rsid w:val="307B625B"/>
    <w:rsid w:val="307B75C9"/>
    <w:rsid w:val="307C01A7"/>
    <w:rsid w:val="307C0A2E"/>
    <w:rsid w:val="307C26FF"/>
    <w:rsid w:val="307C4492"/>
    <w:rsid w:val="307C4531"/>
    <w:rsid w:val="307C7A16"/>
    <w:rsid w:val="307C7B3A"/>
    <w:rsid w:val="307D2123"/>
    <w:rsid w:val="307D2915"/>
    <w:rsid w:val="307D3B50"/>
    <w:rsid w:val="307D6477"/>
    <w:rsid w:val="307E29A0"/>
    <w:rsid w:val="307E47AB"/>
    <w:rsid w:val="307E70E9"/>
    <w:rsid w:val="307F01E2"/>
    <w:rsid w:val="307F38D6"/>
    <w:rsid w:val="307F3F9D"/>
    <w:rsid w:val="307F4383"/>
    <w:rsid w:val="307F6D71"/>
    <w:rsid w:val="307F71DA"/>
    <w:rsid w:val="307F7AFA"/>
    <w:rsid w:val="3080086A"/>
    <w:rsid w:val="308116B8"/>
    <w:rsid w:val="3081657E"/>
    <w:rsid w:val="3081665F"/>
    <w:rsid w:val="30817338"/>
    <w:rsid w:val="3082280D"/>
    <w:rsid w:val="3082583C"/>
    <w:rsid w:val="3083160B"/>
    <w:rsid w:val="30834035"/>
    <w:rsid w:val="30835B51"/>
    <w:rsid w:val="308405B2"/>
    <w:rsid w:val="308415B4"/>
    <w:rsid w:val="30843362"/>
    <w:rsid w:val="3084513E"/>
    <w:rsid w:val="30847806"/>
    <w:rsid w:val="308500FE"/>
    <w:rsid w:val="30850E88"/>
    <w:rsid w:val="308511C8"/>
    <w:rsid w:val="308516CE"/>
    <w:rsid w:val="30856BB5"/>
    <w:rsid w:val="308650CA"/>
    <w:rsid w:val="3086532C"/>
    <w:rsid w:val="30870955"/>
    <w:rsid w:val="30871FC8"/>
    <w:rsid w:val="30872C95"/>
    <w:rsid w:val="30872E52"/>
    <w:rsid w:val="30874C00"/>
    <w:rsid w:val="30874FBE"/>
    <w:rsid w:val="30876BE6"/>
    <w:rsid w:val="30876D2B"/>
    <w:rsid w:val="3088006C"/>
    <w:rsid w:val="308830AC"/>
    <w:rsid w:val="3088370D"/>
    <w:rsid w:val="308840F9"/>
    <w:rsid w:val="3088654D"/>
    <w:rsid w:val="3089027A"/>
    <w:rsid w:val="30891124"/>
    <w:rsid w:val="308912C2"/>
    <w:rsid w:val="30893E07"/>
    <w:rsid w:val="30894696"/>
    <w:rsid w:val="3089479E"/>
    <w:rsid w:val="30894E1C"/>
    <w:rsid w:val="30896BCA"/>
    <w:rsid w:val="308A595F"/>
    <w:rsid w:val="308A649E"/>
    <w:rsid w:val="308B2942"/>
    <w:rsid w:val="308B40F7"/>
    <w:rsid w:val="308B46F0"/>
    <w:rsid w:val="308C0468"/>
    <w:rsid w:val="308C0779"/>
    <w:rsid w:val="308C66BA"/>
    <w:rsid w:val="308D04E4"/>
    <w:rsid w:val="308D6A56"/>
    <w:rsid w:val="308E4E06"/>
    <w:rsid w:val="308F5544"/>
    <w:rsid w:val="308F70DA"/>
    <w:rsid w:val="3090035F"/>
    <w:rsid w:val="309016AB"/>
    <w:rsid w:val="309061AB"/>
    <w:rsid w:val="30907F59"/>
    <w:rsid w:val="309117EF"/>
    <w:rsid w:val="3091238D"/>
    <w:rsid w:val="30912F30"/>
    <w:rsid w:val="3091494B"/>
    <w:rsid w:val="3091782D"/>
    <w:rsid w:val="309263B4"/>
    <w:rsid w:val="30930421"/>
    <w:rsid w:val="309317F7"/>
    <w:rsid w:val="30935850"/>
    <w:rsid w:val="30935BA3"/>
    <w:rsid w:val="30935D53"/>
    <w:rsid w:val="30937A49"/>
    <w:rsid w:val="30937B88"/>
    <w:rsid w:val="30952172"/>
    <w:rsid w:val="309532D9"/>
    <w:rsid w:val="309537C1"/>
    <w:rsid w:val="309545FD"/>
    <w:rsid w:val="309579FD"/>
    <w:rsid w:val="309603D2"/>
    <w:rsid w:val="309612E7"/>
    <w:rsid w:val="3096613E"/>
    <w:rsid w:val="30966284"/>
    <w:rsid w:val="30973AB7"/>
    <w:rsid w:val="309816C2"/>
    <w:rsid w:val="30982598"/>
    <w:rsid w:val="30984745"/>
    <w:rsid w:val="3098505F"/>
    <w:rsid w:val="30986A2F"/>
    <w:rsid w:val="309870A3"/>
    <w:rsid w:val="309876DA"/>
    <w:rsid w:val="30994253"/>
    <w:rsid w:val="309A08C6"/>
    <w:rsid w:val="309A0DD7"/>
    <w:rsid w:val="309A2B85"/>
    <w:rsid w:val="309A3FE2"/>
    <w:rsid w:val="309A4933"/>
    <w:rsid w:val="309A4E14"/>
    <w:rsid w:val="309B06AC"/>
    <w:rsid w:val="309B5223"/>
    <w:rsid w:val="309B5472"/>
    <w:rsid w:val="309C34C7"/>
    <w:rsid w:val="309D1E0A"/>
    <w:rsid w:val="309D1F14"/>
    <w:rsid w:val="309D1F83"/>
    <w:rsid w:val="309D61D2"/>
    <w:rsid w:val="309D6A49"/>
    <w:rsid w:val="309E278E"/>
    <w:rsid w:val="309E37B9"/>
    <w:rsid w:val="309F0619"/>
    <w:rsid w:val="309F1ABE"/>
    <w:rsid w:val="309F1F4A"/>
    <w:rsid w:val="309F2927"/>
    <w:rsid w:val="309F433B"/>
    <w:rsid w:val="309F44FF"/>
    <w:rsid w:val="309F4861"/>
    <w:rsid w:val="309F5078"/>
    <w:rsid w:val="309F63EE"/>
    <w:rsid w:val="309F6687"/>
    <w:rsid w:val="309F73D6"/>
    <w:rsid w:val="30A00F67"/>
    <w:rsid w:val="30A015BF"/>
    <w:rsid w:val="30A0408F"/>
    <w:rsid w:val="30A0509E"/>
    <w:rsid w:val="30A05CC2"/>
    <w:rsid w:val="30A10DB7"/>
    <w:rsid w:val="30A130A8"/>
    <w:rsid w:val="30A13DFF"/>
    <w:rsid w:val="30A15442"/>
    <w:rsid w:val="30A16B37"/>
    <w:rsid w:val="30A22A14"/>
    <w:rsid w:val="30A23BC7"/>
    <w:rsid w:val="30A246DE"/>
    <w:rsid w:val="30A25EDE"/>
    <w:rsid w:val="30A27C8C"/>
    <w:rsid w:val="30A314FF"/>
    <w:rsid w:val="30A34326"/>
    <w:rsid w:val="30A42792"/>
    <w:rsid w:val="30A42C9F"/>
    <w:rsid w:val="30A47C65"/>
    <w:rsid w:val="30A50D07"/>
    <w:rsid w:val="30A51B2F"/>
    <w:rsid w:val="30A5318C"/>
    <w:rsid w:val="30A532D8"/>
    <w:rsid w:val="30A5696A"/>
    <w:rsid w:val="30A6152A"/>
    <w:rsid w:val="30A62BED"/>
    <w:rsid w:val="30A63DD5"/>
    <w:rsid w:val="30A63E0A"/>
    <w:rsid w:val="30A64AFD"/>
    <w:rsid w:val="30A6777C"/>
    <w:rsid w:val="30A71AE3"/>
    <w:rsid w:val="30A734F4"/>
    <w:rsid w:val="30A74C72"/>
    <w:rsid w:val="30A75380"/>
    <w:rsid w:val="30A811B7"/>
    <w:rsid w:val="30A81329"/>
    <w:rsid w:val="30A81640"/>
    <w:rsid w:val="30A853C0"/>
    <w:rsid w:val="30A85A9F"/>
    <w:rsid w:val="30A865E6"/>
    <w:rsid w:val="30A86895"/>
    <w:rsid w:val="30A92D9A"/>
    <w:rsid w:val="30A92DC8"/>
    <w:rsid w:val="30A97A76"/>
    <w:rsid w:val="30AA08EF"/>
    <w:rsid w:val="30AA27E5"/>
    <w:rsid w:val="30AB0077"/>
    <w:rsid w:val="30AB06F4"/>
    <w:rsid w:val="30AB3AB1"/>
    <w:rsid w:val="30AB6B41"/>
    <w:rsid w:val="30AC0751"/>
    <w:rsid w:val="30AC3F3B"/>
    <w:rsid w:val="30AC4667"/>
    <w:rsid w:val="30AC53D8"/>
    <w:rsid w:val="30AC5F56"/>
    <w:rsid w:val="30AC5FCC"/>
    <w:rsid w:val="30AC7B38"/>
    <w:rsid w:val="30AD0B0B"/>
    <w:rsid w:val="30AD786B"/>
    <w:rsid w:val="30AE2458"/>
    <w:rsid w:val="30AE3D63"/>
    <w:rsid w:val="30AE3F4D"/>
    <w:rsid w:val="30AE4FB3"/>
    <w:rsid w:val="30AE6D54"/>
    <w:rsid w:val="30AF1E9D"/>
    <w:rsid w:val="30AF2B67"/>
    <w:rsid w:val="30AF2F63"/>
    <w:rsid w:val="30AF2F86"/>
    <w:rsid w:val="30B005FB"/>
    <w:rsid w:val="30B00B8C"/>
    <w:rsid w:val="30B03E54"/>
    <w:rsid w:val="30B04157"/>
    <w:rsid w:val="30B05F05"/>
    <w:rsid w:val="30B060B6"/>
    <w:rsid w:val="30B07949"/>
    <w:rsid w:val="30B07A62"/>
    <w:rsid w:val="30B10DD9"/>
    <w:rsid w:val="30B1203F"/>
    <w:rsid w:val="30B139AA"/>
    <w:rsid w:val="30B13B28"/>
    <w:rsid w:val="30B1681E"/>
    <w:rsid w:val="30B16FA8"/>
    <w:rsid w:val="30B21D15"/>
    <w:rsid w:val="30B26CD8"/>
    <w:rsid w:val="30B31E99"/>
    <w:rsid w:val="30B336F9"/>
    <w:rsid w:val="30B359F5"/>
    <w:rsid w:val="30B44B89"/>
    <w:rsid w:val="30B46BA2"/>
    <w:rsid w:val="30B46CEE"/>
    <w:rsid w:val="30B4775A"/>
    <w:rsid w:val="30B5176D"/>
    <w:rsid w:val="30B5421D"/>
    <w:rsid w:val="30B55C11"/>
    <w:rsid w:val="30B56F43"/>
    <w:rsid w:val="30B6207A"/>
    <w:rsid w:val="30B654E5"/>
    <w:rsid w:val="30B655F9"/>
    <w:rsid w:val="30B657BC"/>
    <w:rsid w:val="30B661FB"/>
    <w:rsid w:val="30B666EA"/>
    <w:rsid w:val="30B70C06"/>
    <w:rsid w:val="30B775DB"/>
    <w:rsid w:val="30B8047E"/>
    <w:rsid w:val="30B8125D"/>
    <w:rsid w:val="30B860DB"/>
    <w:rsid w:val="30B86D47"/>
    <w:rsid w:val="30B874AF"/>
    <w:rsid w:val="30B911FB"/>
    <w:rsid w:val="30B91CA2"/>
    <w:rsid w:val="30B967A4"/>
    <w:rsid w:val="30BA0403"/>
    <w:rsid w:val="30BA27F6"/>
    <w:rsid w:val="30BA3AAA"/>
    <w:rsid w:val="30BA4FD6"/>
    <w:rsid w:val="30BA6D84"/>
    <w:rsid w:val="30BB2AFC"/>
    <w:rsid w:val="30BB364D"/>
    <w:rsid w:val="30BB3E6D"/>
    <w:rsid w:val="30BC0D4E"/>
    <w:rsid w:val="30BD2945"/>
    <w:rsid w:val="30BD4AC6"/>
    <w:rsid w:val="30BE1D5D"/>
    <w:rsid w:val="30BE2DDB"/>
    <w:rsid w:val="30BE2F3E"/>
    <w:rsid w:val="30BE52D7"/>
    <w:rsid w:val="30BE7D9A"/>
    <w:rsid w:val="30BF0620"/>
    <w:rsid w:val="30BF083E"/>
    <w:rsid w:val="30BF25EC"/>
    <w:rsid w:val="30BF316E"/>
    <w:rsid w:val="30C0084D"/>
    <w:rsid w:val="30C02790"/>
    <w:rsid w:val="30C037B2"/>
    <w:rsid w:val="30C03FBC"/>
    <w:rsid w:val="30C041C9"/>
    <w:rsid w:val="30C05CFD"/>
    <w:rsid w:val="30C062B4"/>
    <w:rsid w:val="30C10112"/>
    <w:rsid w:val="30C10BD3"/>
    <w:rsid w:val="30C12343"/>
    <w:rsid w:val="30C145B6"/>
    <w:rsid w:val="30C1718D"/>
    <w:rsid w:val="30C20656"/>
    <w:rsid w:val="30C26152"/>
    <w:rsid w:val="30C26500"/>
    <w:rsid w:val="30C27C82"/>
    <w:rsid w:val="30C27E37"/>
    <w:rsid w:val="30C3032E"/>
    <w:rsid w:val="30C34BBD"/>
    <w:rsid w:val="30C36FAC"/>
    <w:rsid w:val="30C41881"/>
    <w:rsid w:val="30C42C4F"/>
    <w:rsid w:val="30C4467E"/>
    <w:rsid w:val="30C44F42"/>
    <w:rsid w:val="30C505ED"/>
    <w:rsid w:val="30C53293"/>
    <w:rsid w:val="30C542F1"/>
    <w:rsid w:val="30C61B6F"/>
    <w:rsid w:val="30C620BA"/>
    <w:rsid w:val="30C62E2E"/>
    <w:rsid w:val="30C62E7A"/>
    <w:rsid w:val="30C70778"/>
    <w:rsid w:val="30C7174D"/>
    <w:rsid w:val="30C71C5F"/>
    <w:rsid w:val="30C7305D"/>
    <w:rsid w:val="30C7359A"/>
    <w:rsid w:val="30C76E98"/>
    <w:rsid w:val="30C776F3"/>
    <w:rsid w:val="30C77C75"/>
    <w:rsid w:val="30C81A48"/>
    <w:rsid w:val="30C85BD0"/>
    <w:rsid w:val="30C916BD"/>
    <w:rsid w:val="30C925CF"/>
    <w:rsid w:val="30C9346B"/>
    <w:rsid w:val="30C96FC7"/>
    <w:rsid w:val="30CA1455"/>
    <w:rsid w:val="30CA30C1"/>
    <w:rsid w:val="30CA5427"/>
    <w:rsid w:val="30CA5664"/>
    <w:rsid w:val="30CA6A6B"/>
    <w:rsid w:val="30CA6CB2"/>
    <w:rsid w:val="30CB0F91"/>
    <w:rsid w:val="30CB200E"/>
    <w:rsid w:val="30CB2E10"/>
    <w:rsid w:val="30CB4551"/>
    <w:rsid w:val="30CB61C5"/>
    <w:rsid w:val="30CB71E3"/>
    <w:rsid w:val="30CC1A38"/>
    <w:rsid w:val="30CC30A1"/>
    <w:rsid w:val="30CC315F"/>
    <w:rsid w:val="30CC64CD"/>
    <w:rsid w:val="30CC6AB7"/>
    <w:rsid w:val="30CC711C"/>
    <w:rsid w:val="30CD0A85"/>
    <w:rsid w:val="30CD2F5B"/>
    <w:rsid w:val="30CD3D91"/>
    <w:rsid w:val="30CD6BB1"/>
    <w:rsid w:val="30CE0301"/>
    <w:rsid w:val="30CE0D54"/>
    <w:rsid w:val="30CE282F"/>
    <w:rsid w:val="30CE335B"/>
    <w:rsid w:val="30CE67D2"/>
    <w:rsid w:val="30CE6A2C"/>
    <w:rsid w:val="30CE6CD3"/>
    <w:rsid w:val="30CF049F"/>
    <w:rsid w:val="30CF7C1A"/>
    <w:rsid w:val="30D0266F"/>
    <w:rsid w:val="30D0372F"/>
    <w:rsid w:val="30D047F9"/>
    <w:rsid w:val="30D077BC"/>
    <w:rsid w:val="30D140CD"/>
    <w:rsid w:val="30D15355"/>
    <w:rsid w:val="30D156C0"/>
    <w:rsid w:val="30D211FF"/>
    <w:rsid w:val="30D23F24"/>
    <w:rsid w:val="30D24087"/>
    <w:rsid w:val="30D32CE3"/>
    <w:rsid w:val="30D342E9"/>
    <w:rsid w:val="30D36097"/>
    <w:rsid w:val="30D36220"/>
    <w:rsid w:val="30D37E45"/>
    <w:rsid w:val="30D44173"/>
    <w:rsid w:val="30D452BD"/>
    <w:rsid w:val="30D459B4"/>
    <w:rsid w:val="30D508BA"/>
    <w:rsid w:val="30D51067"/>
    <w:rsid w:val="30D51E0F"/>
    <w:rsid w:val="30D616E4"/>
    <w:rsid w:val="30D66DF0"/>
    <w:rsid w:val="30D70579"/>
    <w:rsid w:val="30D73283"/>
    <w:rsid w:val="30D756C5"/>
    <w:rsid w:val="30D75B88"/>
    <w:rsid w:val="30D7600C"/>
    <w:rsid w:val="30D77DE4"/>
    <w:rsid w:val="30D81900"/>
    <w:rsid w:val="30D81F93"/>
    <w:rsid w:val="30D84487"/>
    <w:rsid w:val="30D8545C"/>
    <w:rsid w:val="30D8598E"/>
    <w:rsid w:val="30D87481"/>
    <w:rsid w:val="30D944C0"/>
    <w:rsid w:val="30DA11D4"/>
    <w:rsid w:val="30DA1475"/>
    <w:rsid w:val="30DA446E"/>
    <w:rsid w:val="30DA5678"/>
    <w:rsid w:val="30DB2FE7"/>
    <w:rsid w:val="30DB3DD4"/>
    <w:rsid w:val="30DB6CFA"/>
    <w:rsid w:val="30DB7A82"/>
    <w:rsid w:val="30DC104C"/>
    <w:rsid w:val="30DC461D"/>
    <w:rsid w:val="30DC4F4C"/>
    <w:rsid w:val="30DC6CE5"/>
    <w:rsid w:val="30DC775B"/>
    <w:rsid w:val="30DD17B8"/>
    <w:rsid w:val="30DD24DC"/>
    <w:rsid w:val="30DD44C0"/>
    <w:rsid w:val="30DD4984"/>
    <w:rsid w:val="30DD6F16"/>
    <w:rsid w:val="30DD78C4"/>
    <w:rsid w:val="30DE4F9D"/>
    <w:rsid w:val="30DE643F"/>
    <w:rsid w:val="30DF2C8E"/>
    <w:rsid w:val="30DF2EF5"/>
    <w:rsid w:val="30DF4A3C"/>
    <w:rsid w:val="30DF67EA"/>
    <w:rsid w:val="30E03A94"/>
    <w:rsid w:val="30E052E7"/>
    <w:rsid w:val="30E06BCF"/>
    <w:rsid w:val="30E10942"/>
    <w:rsid w:val="30E12562"/>
    <w:rsid w:val="30E16599"/>
    <w:rsid w:val="30E2067F"/>
    <w:rsid w:val="30E21348"/>
    <w:rsid w:val="30E25BAB"/>
    <w:rsid w:val="30E279E2"/>
    <w:rsid w:val="30E3452C"/>
    <w:rsid w:val="30E402A4"/>
    <w:rsid w:val="30E40539"/>
    <w:rsid w:val="30E414CE"/>
    <w:rsid w:val="30E42053"/>
    <w:rsid w:val="30E441BF"/>
    <w:rsid w:val="30E4690A"/>
    <w:rsid w:val="30E542C1"/>
    <w:rsid w:val="30E6069D"/>
    <w:rsid w:val="30E658E2"/>
    <w:rsid w:val="30E67B79"/>
    <w:rsid w:val="30E7178E"/>
    <w:rsid w:val="30E72E79"/>
    <w:rsid w:val="30E73568"/>
    <w:rsid w:val="30E74E57"/>
    <w:rsid w:val="30E75E79"/>
    <w:rsid w:val="30E87D95"/>
    <w:rsid w:val="30E90393"/>
    <w:rsid w:val="30E91417"/>
    <w:rsid w:val="30E949B6"/>
    <w:rsid w:val="30E96C49"/>
    <w:rsid w:val="30E97A3C"/>
    <w:rsid w:val="30E97ADA"/>
    <w:rsid w:val="30EA2781"/>
    <w:rsid w:val="30EB1633"/>
    <w:rsid w:val="30EB22EC"/>
    <w:rsid w:val="30EB33BC"/>
    <w:rsid w:val="30EB33E1"/>
    <w:rsid w:val="30EB518F"/>
    <w:rsid w:val="30EB56CE"/>
    <w:rsid w:val="30EB5E43"/>
    <w:rsid w:val="30EB650B"/>
    <w:rsid w:val="30EB6B92"/>
    <w:rsid w:val="30EC2E81"/>
    <w:rsid w:val="30EC6D90"/>
    <w:rsid w:val="30ED2EF1"/>
    <w:rsid w:val="30ED2FEE"/>
    <w:rsid w:val="30EE1C21"/>
    <w:rsid w:val="30EE4C7F"/>
    <w:rsid w:val="30EE5140"/>
    <w:rsid w:val="30EE7414"/>
    <w:rsid w:val="30EE78EB"/>
    <w:rsid w:val="30EF0CD6"/>
    <w:rsid w:val="30EF2744"/>
    <w:rsid w:val="30EF3E92"/>
    <w:rsid w:val="30EF4DDC"/>
    <w:rsid w:val="30EF649B"/>
    <w:rsid w:val="30EF69E4"/>
    <w:rsid w:val="30EF7326"/>
    <w:rsid w:val="30F001C3"/>
    <w:rsid w:val="30F0020D"/>
    <w:rsid w:val="30F00CBF"/>
    <w:rsid w:val="30F01C14"/>
    <w:rsid w:val="30F027A5"/>
    <w:rsid w:val="30F03282"/>
    <w:rsid w:val="30F05C48"/>
    <w:rsid w:val="30F06C49"/>
    <w:rsid w:val="30F10A26"/>
    <w:rsid w:val="30F12FC3"/>
    <w:rsid w:val="30F1651D"/>
    <w:rsid w:val="30F16E8E"/>
    <w:rsid w:val="30F21AA5"/>
    <w:rsid w:val="30F229C1"/>
    <w:rsid w:val="30F32296"/>
    <w:rsid w:val="30F3375D"/>
    <w:rsid w:val="30F36C34"/>
    <w:rsid w:val="30F4201C"/>
    <w:rsid w:val="30F44EB0"/>
    <w:rsid w:val="30F46F73"/>
    <w:rsid w:val="30F47843"/>
    <w:rsid w:val="30F5151F"/>
    <w:rsid w:val="30F524B2"/>
    <w:rsid w:val="30F61C93"/>
    <w:rsid w:val="30F64CF8"/>
    <w:rsid w:val="30F71D86"/>
    <w:rsid w:val="30F75DD5"/>
    <w:rsid w:val="30F77FD8"/>
    <w:rsid w:val="30F82360"/>
    <w:rsid w:val="30F8374A"/>
    <w:rsid w:val="30F84E66"/>
    <w:rsid w:val="30F85A09"/>
    <w:rsid w:val="30F85AFE"/>
    <w:rsid w:val="30F860E0"/>
    <w:rsid w:val="30F87BA7"/>
    <w:rsid w:val="30F9015E"/>
    <w:rsid w:val="30F91DF3"/>
    <w:rsid w:val="30F94855"/>
    <w:rsid w:val="30FA1876"/>
    <w:rsid w:val="30FA50CD"/>
    <w:rsid w:val="30FA53D2"/>
    <w:rsid w:val="30FA7AC8"/>
    <w:rsid w:val="30FB1EEF"/>
    <w:rsid w:val="30FB2AA2"/>
    <w:rsid w:val="30FB4A3D"/>
    <w:rsid w:val="30FB705A"/>
    <w:rsid w:val="30FC114A"/>
    <w:rsid w:val="30FC52B3"/>
    <w:rsid w:val="30FC55EE"/>
    <w:rsid w:val="30FD2AF9"/>
    <w:rsid w:val="30FD4EC2"/>
    <w:rsid w:val="30FD5F50"/>
    <w:rsid w:val="30FE1366"/>
    <w:rsid w:val="30FE308A"/>
    <w:rsid w:val="30FE3880"/>
    <w:rsid w:val="30FE6062"/>
    <w:rsid w:val="30FF3436"/>
    <w:rsid w:val="30FF66C5"/>
    <w:rsid w:val="30FF6E8C"/>
    <w:rsid w:val="30FF7797"/>
    <w:rsid w:val="310007F0"/>
    <w:rsid w:val="31012C04"/>
    <w:rsid w:val="310149B3"/>
    <w:rsid w:val="31015D61"/>
    <w:rsid w:val="310224D9"/>
    <w:rsid w:val="31023470"/>
    <w:rsid w:val="31025240"/>
    <w:rsid w:val="310321DE"/>
    <w:rsid w:val="31034D07"/>
    <w:rsid w:val="3103697D"/>
    <w:rsid w:val="31041829"/>
    <w:rsid w:val="310426F5"/>
    <w:rsid w:val="310568E4"/>
    <w:rsid w:val="3105695F"/>
    <w:rsid w:val="3106021B"/>
    <w:rsid w:val="31060F08"/>
    <w:rsid w:val="31061D40"/>
    <w:rsid w:val="3106646D"/>
    <w:rsid w:val="310664E4"/>
    <w:rsid w:val="31067002"/>
    <w:rsid w:val="31067AB6"/>
    <w:rsid w:val="3107096B"/>
    <w:rsid w:val="31071BD3"/>
    <w:rsid w:val="31073230"/>
    <w:rsid w:val="310760FC"/>
    <w:rsid w:val="310779F0"/>
    <w:rsid w:val="31080849"/>
    <w:rsid w:val="310821E5"/>
    <w:rsid w:val="310836F8"/>
    <w:rsid w:val="31083F93"/>
    <w:rsid w:val="31085D41"/>
    <w:rsid w:val="31085E55"/>
    <w:rsid w:val="31086029"/>
    <w:rsid w:val="31086F3B"/>
    <w:rsid w:val="31090FDD"/>
    <w:rsid w:val="31093867"/>
    <w:rsid w:val="31095B4E"/>
    <w:rsid w:val="3109629D"/>
    <w:rsid w:val="31097031"/>
    <w:rsid w:val="3109796D"/>
    <w:rsid w:val="31097D0B"/>
    <w:rsid w:val="310A0554"/>
    <w:rsid w:val="310A3617"/>
    <w:rsid w:val="310A39CD"/>
    <w:rsid w:val="310A7351"/>
    <w:rsid w:val="310A747F"/>
    <w:rsid w:val="310A7F6A"/>
    <w:rsid w:val="310B1210"/>
    <w:rsid w:val="310B1B6D"/>
    <w:rsid w:val="310B5831"/>
    <w:rsid w:val="310B66D2"/>
    <w:rsid w:val="310B75DF"/>
    <w:rsid w:val="310B76F5"/>
    <w:rsid w:val="310B7CC2"/>
    <w:rsid w:val="310C0756"/>
    <w:rsid w:val="310C0A42"/>
    <w:rsid w:val="310C2E74"/>
    <w:rsid w:val="310C3510"/>
    <w:rsid w:val="310C4F1F"/>
    <w:rsid w:val="310C576F"/>
    <w:rsid w:val="310D15A9"/>
    <w:rsid w:val="310D1909"/>
    <w:rsid w:val="310E14C8"/>
    <w:rsid w:val="310E70CF"/>
    <w:rsid w:val="310F0A93"/>
    <w:rsid w:val="310F2C8C"/>
    <w:rsid w:val="310F3573"/>
    <w:rsid w:val="310F65ED"/>
    <w:rsid w:val="31101099"/>
    <w:rsid w:val="31102B9D"/>
    <w:rsid w:val="31102C85"/>
    <w:rsid w:val="31102E48"/>
    <w:rsid w:val="31103B85"/>
    <w:rsid w:val="311113B1"/>
    <w:rsid w:val="3111603A"/>
    <w:rsid w:val="31116425"/>
    <w:rsid w:val="31116787"/>
    <w:rsid w:val="311206BF"/>
    <w:rsid w:val="3112096E"/>
    <w:rsid w:val="311210A5"/>
    <w:rsid w:val="31123098"/>
    <w:rsid w:val="31124E12"/>
    <w:rsid w:val="31126BC0"/>
    <w:rsid w:val="31127C97"/>
    <w:rsid w:val="31132938"/>
    <w:rsid w:val="31132F0B"/>
    <w:rsid w:val="311346E6"/>
    <w:rsid w:val="31137326"/>
    <w:rsid w:val="31140B8A"/>
    <w:rsid w:val="31145BB9"/>
    <w:rsid w:val="3115045E"/>
    <w:rsid w:val="31150E53"/>
    <w:rsid w:val="3115220C"/>
    <w:rsid w:val="31152A96"/>
    <w:rsid w:val="31155262"/>
    <w:rsid w:val="311566B0"/>
    <w:rsid w:val="31157809"/>
    <w:rsid w:val="31163A0D"/>
    <w:rsid w:val="311670BE"/>
    <w:rsid w:val="3117098D"/>
    <w:rsid w:val="31170B66"/>
    <w:rsid w:val="31172AA2"/>
    <w:rsid w:val="311741D6"/>
    <w:rsid w:val="31175F84"/>
    <w:rsid w:val="31181417"/>
    <w:rsid w:val="31181CFC"/>
    <w:rsid w:val="3118459C"/>
    <w:rsid w:val="3118655B"/>
    <w:rsid w:val="31186B53"/>
    <w:rsid w:val="3118764E"/>
    <w:rsid w:val="31194D93"/>
    <w:rsid w:val="311961A0"/>
    <w:rsid w:val="3119625B"/>
    <w:rsid w:val="311967DC"/>
    <w:rsid w:val="31197F4E"/>
    <w:rsid w:val="311A061C"/>
    <w:rsid w:val="311A3DB8"/>
    <w:rsid w:val="311A4C9D"/>
    <w:rsid w:val="311A5A74"/>
    <w:rsid w:val="311B48CA"/>
    <w:rsid w:val="311B5080"/>
    <w:rsid w:val="311B5B90"/>
    <w:rsid w:val="311B77D4"/>
    <w:rsid w:val="311C696D"/>
    <w:rsid w:val="311C7A3E"/>
    <w:rsid w:val="311D0F11"/>
    <w:rsid w:val="311D630A"/>
    <w:rsid w:val="311D6C9D"/>
    <w:rsid w:val="311E1EFB"/>
    <w:rsid w:val="311E37B6"/>
    <w:rsid w:val="311E5564"/>
    <w:rsid w:val="311E5A25"/>
    <w:rsid w:val="311E5B6E"/>
    <w:rsid w:val="311E5C50"/>
    <w:rsid w:val="311E7DD6"/>
    <w:rsid w:val="311F0FAA"/>
    <w:rsid w:val="311F308B"/>
    <w:rsid w:val="311F679B"/>
    <w:rsid w:val="3120277A"/>
    <w:rsid w:val="312075ED"/>
    <w:rsid w:val="31210BB1"/>
    <w:rsid w:val="31211720"/>
    <w:rsid w:val="31212279"/>
    <w:rsid w:val="3121253C"/>
    <w:rsid w:val="312136A9"/>
    <w:rsid w:val="31214B47"/>
    <w:rsid w:val="31215055"/>
    <w:rsid w:val="31216648"/>
    <w:rsid w:val="31216E03"/>
    <w:rsid w:val="3121749E"/>
    <w:rsid w:val="312234D8"/>
    <w:rsid w:val="31225709"/>
    <w:rsid w:val="312267DB"/>
    <w:rsid w:val="31227550"/>
    <w:rsid w:val="31232B7B"/>
    <w:rsid w:val="31237924"/>
    <w:rsid w:val="31237D24"/>
    <w:rsid w:val="3124258B"/>
    <w:rsid w:val="312437BF"/>
    <w:rsid w:val="31243AEA"/>
    <w:rsid w:val="31244B45"/>
    <w:rsid w:val="31245C76"/>
    <w:rsid w:val="312523A8"/>
    <w:rsid w:val="312557C8"/>
    <w:rsid w:val="31255921"/>
    <w:rsid w:val="31256DAA"/>
    <w:rsid w:val="31257EBC"/>
    <w:rsid w:val="3126200B"/>
    <w:rsid w:val="3126266B"/>
    <w:rsid w:val="31262E1F"/>
    <w:rsid w:val="3126402A"/>
    <w:rsid w:val="31264E84"/>
    <w:rsid w:val="312669F9"/>
    <w:rsid w:val="31270109"/>
    <w:rsid w:val="31270268"/>
    <w:rsid w:val="312740CE"/>
    <w:rsid w:val="31275B3B"/>
    <w:rsid w:val="31280191"/>
    <w:rsid w:val="31280F0C"/>
    <w:rsid w:val="312819D7"/>
    <w:rsid w:val="31282628"/>
    <w:rsid w:val="31282C45"/>
    <w:rsid w:val="312839AE"/>
    <w:rsid w:val="31283ADD"/>
    <w:rsid w:val="312843FE"/>
    <w:rsid w:val="312863E3"/>
    <w:rsid w:val="31293106"/>
    <w:rsid w:val="31293F09"/>
    <w:rsid w:val="31295CB7"/>
    <w:rsid w:val="312A382C"/>
    <w:rsid w:val="312A63FD"/>
    <w:rsid w:val="312A779E"/>
    <w:rsid w:val="312A7E94"/>
    <w:rsid w:val="312B1A2F"/>
    <w:rsid w:val="312B2B9A"/>
    <w:rsid w:val="312B5EB6"/>
    <w:rsid w:val="312B7204"/>
    <w:rsid w:val="312C7FD4"/>
    <w:rsid w:val="312D0A13"/>
    <w:rsid w:val="312D1C4B"/>
    <w:rsid w:val="312D65A1"/>
    <w:rsid w:val="312E0586"/>
    <w:rsid w:val="312E1520"/>
    <w:rsid w:val="312E4795"/>
    <w:rsid w:val="312F227F"/>
    <w:rsid w:val="312F3B86"/>
    <w:rsid w:val="312F7772"/>
    <w:rsid w:val="3130152F"/>
    <w:rsid w:val="313034EA"/>
    <w:rsid w:val="31305298"/>
    <w:rsid w:val="31306AEC"/>
    <w:rsid w:val="313136FF"/>
    <w:rsid w:val="31316569"/>
    <w:rsid w:val="313166EA"/>
    <w:rsid w:val="313174F1"/>
    <w:rsid w:val="31320DAB"/>
    <w:rsid w:val="31320F3F"/>
    <w:rsid w:val="31322DBE"/>
    <w:rsid w:val="31324B8F"/>
    <w:rsid w:val="313253A3"/>
    <w:rsid w:val="313312C7"/>
    <w:rsid w:val="313325EF"/>
    <w:rsid w:val="31336B36"/>
    <w:rsid w:val="31336D85"/>
    <w:rsid w:val="31337248"/>
    <w:rsid w:val="313407C1"/>
    <w:rsid w:val="31342FDA"/>
    <w:rsid w:val="31344D88"/>
    <w:rsid w:val="31346C64"/>
    <w:rsid w:val="31350B00"/>
    <w:rsid w:val="31351D61"/>
    <w:rsid w:val="3135465C"/>
    <w:rsid w:val="31355171"/>
    <w:rsid w:val="3135646D"/>
    <w:rsid w:val="3136470A"/>
    <w:rsid w:val="31365F4D"/>
    <w:rsid w:val="31372499"/>
    <w:rsid w:val="31374878"/>
    <w:rsid w:val="31375272"/>
    <w:rsid w:val="31376626"/>
    <w:rsid w:val="31377A15"/>
    <w:rsid w:val="31383356"/>
    <w:rsid w:val="3138414C"/>
    <w:rsid w:val="313878EA"/>
    <w:rsid w:val="3139239E"/>
    <w:rsid w:val="3139674E"/>
    <w:rsid w:val="313A1C72"/>
    <w:rsid w:val="313A3542"/>
    <w:rsid w:val="313A6116"/>
    <w:rsid w:val="313B39F6"/>
    <w:rsid w:val="313B4368"/>
    <w:rsid w:val="313B4E23"/>
    <w:rsid w:val="313C1E8F"/>
    <w:rsid w:val="313C3C3D"/>
    <w:rsid w:val="313C59EB"/>
    <w:rsid w:val="313C7860"/>
    <w:rsid w:val="313D0BDC"/>
    <w:rsid w:val="313D0E45"/>
    <w:rsid w:val="313E33A9"/>
    <w:rsid w:val="313E5C07"/>
    <w:rsid w:val="313E79B5"/>
    <w:rsid w:val="313E7E41"/>
    <w:rsid w:val="313F372D"/>
    <w:rsid w:val="313F45C2"/>
    <w:rsid w:val="313F54DB"/>
    <w:rsid w:val="313F5875"/>
    <w:rsid w:val="31400623"/>
    <w:rsid w:val="31404091"/>
    <w:rsid w:val="31404F70"/>
    <w:rsid w:val="31406F28"/>
    <w:rsid w:val="31410696"/>
    <w:rsid w:val="31411253"/>
    <w:rsid w:val="31413001"/>
    <w:rsid w:val="314131F4"/>
    <w:rsid w:val="31413450"/>
    <w:rsid w:val="31420A6F"/>
    <w:rsid w:val="31424684"/>
    <w:rsid w:val="31430507"/>
    <w:rsid w:val="31431A88"/>
    <w:rsid w:val="31434FCB"/>
    <w:rsid w:val="314361DC"/>
    <w:rsid w:val="31440884"/>
    <w:rsid w:val="31440D43"/>
    <w:rsid w:val="31442AF1"/>
    <w:rsid w:val="314536AE"/>
    <w:rsid w:val="31456F95"/>
    <w:rsid w:val="31457719"/>
    <w:rsid w:val="31457A4F"/>
    <w:rsid w:val="314618C4"/>
    <w:rsid w:val="31462D0D"/>
    <w:rsid w:val="31463702"/>
    <w:rsid w:val="31464ABB"/>
    <w:rsid w:val="3146704B"/>
    <w:rsid w:val="314671C3"/>
    <w:rsid w:val="31467C26"/>
    <w:rsid w:val="31471963"/>
    <w:rsid w:val="31471AFA"/>
    <w:rsid w:val="314724B9"/>
    <w:rsid w:val="31477F6F"/>
    <w:rsid w:val="31480472"/>
    <w:rsid w:val="31480788"/>
    <w:rsid w:val="31480833"/>
    <w:rsid w:val="31483173"/>
    <w:rsid w:val="31486B3B"/>
    <w:rsid w:val="31486D71"/>
    <w:rsid w:val="31490108"/>
    <w:rsid w:val="31491327"/>
    <w:rsid w:val="31493FA7"/>
    <w:rsid w:val="31494485"/>
    <w:rsid w:val="31494956"/>
    <w:rsid w:val="31496359"/>
    <w:rsid w:val="314A30F1"/>
    <w:rsid w:val="314A42A6"/>
    <w:rsid w:val="314A7D51"/>
    <w:rsid w:val="314B20D2"/>
    <w:rsid w:val="314B3E80"/>
    <w:rsid w:val="314B4B83"/>
    <w:rsid w:val="314B5142"/>
    <w:rsid w:val="314B5736"/>
    <w:rsid w:val="314D19A6"/>
    <w:rsid w:val="314D3105"/>
    <w:rsid w:val="314D3E18"/>
    <w:rsid w:val="314D409C"/>
    <w:rsid w:val="314D4B43"/>
    <w:rsid w:val="314D5E4A"/>
    <w:rsid w:val="314D7BF8"/>
    <w:rsid w:val="314E0A83"/>
    <w:rsid w:val="314E0B1C"/>
    <w:rsid w:val="314E1E8D"/>
    <w:rsid w:val="314E3165"/>
    <w:rsid w:val="314E4585"/>
    <w:rsid w:val="314E571E"/>
    <w:rsid w:val="314F0535"/>
    <w:rsid w:val="314F11C9"/>
    <w:rsid w:val="314F3210"/>
    <w:rsid w:val="314F3802"/>
    <w:rsid w:val="314F40B7"/>
    <w:rsid w:val="314F52D1"/>
    <w:rsid w:val="314F5689"/>
    <w:rsid w:val="314F596F"/>
    <w:rsid w:val="31500694"/>
    <w:rsid w:val="31500E35"/>
    <w:rsid w:val="31501496"/>
    <w:rsid w:val="31502F90"/>
    <w:rsid w:val="31503085"/>
    <w:rsid w:val="31504DD6"/>
    <w:rsid w:val="3150593A"/>
    <w:rsid w:val="31505DC8"/>
    <w:rsid w:val="315076E8"/>
    <w:rsid w:val="31507B02"/>
    <w:rsid w:val="31507C95"/>
    <w:rsid w:val="31513328"/>
    <w:rsid w:val="3151619E"/>
    <w:rsid w:val="31516CEE"/>
    <w:rsid w:val="315216B2"/>
    <w:rsid w:val="315266E9"/>
    <w:rsid w:val="31527C0A"/>
    <w:rsid w:val="31532D34"/>
    <w:rsid w:val="31540F86"/>
    <w:rsid w:val="31543696"/>
    <w:rsid w:val="315471D8"/>
    <w:rsid w:val="31547E04"/>
    <w:rsid w:val="31551A1F"/>
    <w:rsid w:val="3155215F"/>
    <w:rsid w:val="315612AC"/>
    <w:rsid w:val="31562849"/>
    <w:rsid w:val="3157272D"/>
    <w:rsid w:val="315733E0"/>
    <w:rsid w:val="31574910"/>
    <w:rsid w:val="3157622E"/>
    <w:rsid w:val="315831FB"/>
    <w:rsid w:val="31584B51"/>
    <w:rsid w:val="315857B4"/>
    <w:rsid w:val="315868AA"/>
    <w:rsid w:val="31590555"/>
    <w:rsid w:val="3159276E"/>
    <w:rsid w:val="3159417A"/>
    <w:rsid w:val="315947EF"/>
    <w:rsid w:val="3159659D"/>
    <w:rsid w:val="31597D3A"/>
    <w:rsid w:val="315A11CA"/>
    <w:rsid w:val="315A1FA6"/>
    <w:rsid w:val="315A2315"/>
    <w:rsid w:val="315A31EC"/>
    <w:rsid w:val="315A34B3"/>
    <w:rsid w:val="315A51F2"/>
    <w:rsid w:val="315A6132"/>
    <w:rsid w:val="315B2B4C"/>
    <w:rsid w:val="315B3EAC"/>
    <w:rsid w:val="315B3EB1"/>
    <w:rsid w:val="315B4F78"/>
    <w:rsid w:val="315C16E6"/>
    <w:rsid w:val="315C1F0B"/>
    <w:rsid w:val="315C34A7"/>
    <w:rsid w:val="315C3A2B"/>
    <w:rsid w:val="315C608D"/>
    <w:rsid w:val="315C7E3B"/>
    <w:rsid w:val="315D1D96"/>
    <w:rsid w:val="315D2AC6"/>
    <w:rsid w:val="315D4C27"/>
    <w:rsid w:val="315E0057"/>
    <w:rsid w:val="315E0DE2"/>
    <w:rsid w:val="315E1E05"/>
    <w:rsid w:val="315E207C"/>
    <w:rsid w:val="315E3BB3"/>
    <w:rsid w:val="315E41BA"/>
    <w:rsid w:val="315E43DF"/>
    <w:rsid w:val="315E469A"/>
    <w:rsid w:val="315F16D9"/>
    <w:rsid w:val="315F268D"/>
    <w:rsid w:val="316003B6"/>
    <w:rsid w:val="31605B7D"/>
    <w:rsid w:val="3160696C"/>
    <w:rsid w:val="316101DB"/>
    <w:rsid w:val="3161190D"/>
    <w:rsid w:val="316136A3"/>
    <w:rsid w:val="31615451"/>
    <w:rsid w:val="316234FD"/>
    <w:rsid w:val="3162746C"/>
    <w:rsid w:val="316311C9"/>
    <w:rsid w:val="3163202B"/>
    <w:rsid w:val="3163566D"/>
    <w:rsid w:val="3163741B"/>
    <w:rsid w:val="3164192C"/>
    <w:rsid w:val="3164787C"/>
    <w:rsid w:val="316513E5"/>
    <w:rsid w:val="31655AD1"/>
    <w:rsid w:val="316569E4"/>
    <w:rsid w:val="31662551"/>
    <w:rsid w:val="31662A68"/>
    <w:rsid w:val="31663A7F"/>
    <w:rsid w:val="31666F0B"/>
    <w:rsid w:val="3167130A"/>
    <w:rsid w:val="31671F15"/>
    <w:rsid w:val="3167210F"/>
    <w:rsid w:val="31673455"/>
    <w:rsid w:val="31674BEB"/>
    <w:rsid w:val="31675AF3"/>
    <w:rsid w:val="31676023"/>
    <w:rsid w:val="31676553"/>
    <w:rsid w:val="316816E4"/>
    <w:rsid w:val="31681C72"/>
    <w:rsid w:val="31682C84"/>
    <w:rsid w:val="31684A32"/>
    <w:rsid w:val="316867E0"/>
    <w:rsid w:val="31695091"/>
    <w:rsid w:val="31695DEC"/>
    <w:rsid w:val="31697021"/>
    <w:rsid w:val="316A0428"/>
    <w:rsid w:val="316A07AA"/>
    <w:rsid w:val="316A097D"/>
    <w:rsid w:val="316A0CBF"/>
    <w:rsid w:val="316A248C"/>
    <w:rsid w:val="316A5F66"/>
    <w:rsid w:val="316A6AEE"/>
    <w:rsid w:val="316B04ED"/>
    <w:rsid w:val="316B091E"/>
    <w:rsid w:val="316B2774"/>
    <w:rsid w:val="316B4522"/>
    <w:rsid w:val="316B4A2D"/>
    <w:rsid w:val="316B62D0"/>
    <w:rsid w:val="316B631C"/>
    <w:rsid w:val="316B72D5"/>
    <w:rsid w:val="316C61B0"/>
    <w:rsid w:val="316D029A"/>
    <w:rsid w:val="316D2048"/>
    <w:rsid w:val="316D3DF6"/>
    <w:rsid w:val="316D75D9"/>
    <w:rsid w:val="316E4772"/>
    <w:rsid w:val="316E48D5"/>
    <w:rsid w:val="316E699F"/>
    <w:rsid w:val="316E6C87"/>
    <w:rsid w:val="316E7B6E"/>
    <w:rsid w:val="316F4012"/>
    <w:rsid w:val="316F6A87"/>
    <w:rsid w:val="31704B40"/>
    <w:rsid w:val="31705A85"/>
    <w:rsid w:val="31707702"/>
    <w:rsid w:val="31707D5C"/>
    <w:rsid w:val="31710BF3"/>
    <w:rsid w:val="317155B7"/>
    <w:rsid w:val="31716923"/>
    <w:rsid w:val="3172568D"/>
    <w:rsid w:val="3172765E"/>
    <w:rsid w:val="31727873"/>
    <w:rsid w:val="31727DDC"/>
    <w:rsid w:val="317309CA"/>
    <w:rsid w:val="31731132"/>
    <w:rsid w:val="3173481D"/>
    <w:rsid w:val="31736083"/>
    <w:rsid w:val="31741628"/>
    <w:rsid w:val="317433D6"/>
    <w:rsid w:val="31743AF7"/>
    <w:rsid w:val="31745184"/>
    <w:rsid w:val="31745B7F"/>
    <w:rsid w:val="31750716"/>
    <w:rsid w:val="31750EFD"/>
    <w:rsid w:val="31752C8F"/>
    <w:rsid w:val="31755348"/>
    <w:rsid w:val="31755EAA"/>
    <w:rsid w:val="31756FE8"/>
    <w:rsid w:val="31757461"/>
    <w:rsid w:val="31757D40"/>
    <w:rsid w:val="3176091B"/>
    <w:rsid w:val="31763235"/>
    <w:rsid w:val="3177244B"/>
    <w:rsid w:val="31772EC7"/>
    <w:rsid w:val="317732C2"/>
    <w:rsid w:val="317741EF"/>
    <w:rsid w:val="31774C64"/>
    <w:rsid w:val="31774C75"/>
    <w:rsid w:val="31781B00"/>
    <w:rsid w:val="31781DDB"/>
    <w:rsid w:val="31783362"/>
    <w:rsid w:val="317858A4"/>
    <w:rsid w:val="317913E6"/>
    <w:rsid w:val="3179279B"/>
    <w:rsid w:val="31796C3F"/>
    <w:rsid w:val="31797323"/>
    <w:rsid w:val="317A042E"/>
    <w:rsid w:val="317A2539"/>
    <w:rsid w:val="317A2CE4"/>
    <w:rsid w:val="317A3AA4"/>
    <w:rsid w:val="317A4304"/>
    <w:rsid w:val="317A4765"/>
    <w:rsid w:val="317A793B"/>
    <w:rsid w:val="317B29B7"/>
    <w:rsid w:val="317B4814"/>
    <w:rsid w:val="317B58FC"/>
    <w:rsid w:val="317B7871"/>
    <w:rsid w:val="317C1624"/>
    <w:rsid w:val="317C228B"/>
    <w:rsid w:val="317C672F"/>
    <w:rsid w:val="317C6B7A"/>
    <w:rsid w:val="317C7BC1"/>
    <w:rsid w:val="317D2D70"/>
    <w:rsid w:val="317D37FE"/>
    <w:rsid w:val="317D3E70"/>
    <w:rsid w:val="317D5700"/>
    <w:rsid w:val="317D7E66"/>
    <w:rsid w:val="317E224F"/>
    <w:rsid w:val="317E24A7"/>
    <w:rsid w:val="317E28F1"/>
    <w:rsid w:val="317E3C9B"/>
    <w:rsid w:val="317E4255"/>
    <w:rsid w:val="317F180E"/>
    <w:rsid w:val="317F3B29"/>
    <w:rsid w:val="317F3DDB"/>
    <w:rsid w:val="31800A61"/>
    <w:rsid w:val="31801A92"/>
    <w:rsid w:val="31802AA7"/>
    <w:rsid w:val="318056E7"/>
    <w:rsid w:val="31807B06"/>
    <w:rsid w:val="31807FCD"/>
    <w:rsid w:val="318126B2"/>
    <w:rsid w:val="31814C5B"/>
    <w:rsid w:val="31814F42"/>
    <w:rsid w:val="31815AF3"/>
    <w:rsid w:val="318178A1"/>
    <w:rsid w:val="318211BC"/>
    <w:rsid w:val="31833619"/>
    <w:rsid w:val="31835B28"/>
    <w:rsid w:val="31837435"/>
    <w:rsid w:val="3184488C"/>
    <w:rsid w:val="31853D51"/>
    <w:rsid w:val="3186135C"/>
    <w:rsid w:val="3186137E"/>
    <w:rsid w:val="31864556"/>
    <w:rsid w:val="31865637"/>
    <w:rsid w:val="31866D56"/>
    <w:rsid w:val="31871229"/>
    <w:rsid w:val="31871CEE"/>
    <w:rsid w:val="3187771D"/>
    <w:rsid w:val="3188051D"/>
    <w:rsid w:val="31880C30"/>
    <w:rsid w:val="31881671"/>
    <w:rsid w:val="318817A5"/>
    <w:rsid w:val="31882660"/>
    <w:rsid w:val="318835CD"/>
    <w:rsid w:val="31884E8F"/>
    <w:rsid w:val="31890180"/>
    <w:rsid w:val="318A0E4C"/>
    <w:rsid w:val="318A1738"/>
    <w:rsid w:val="318A2BFA"/>
    <w:rsid w:val="318A7D36"/>
    <w:rsid w:val="318B0720"/>
    <w:rsid w:val="318B617B"/>
    <w:rsid w:val="318C212C"/>
    <w:rsid w:val="318C30EE"/>
    <w:rsid w:val="318C3767"/>
    <w:rsid w:val="318C7542"/>
    <w:rsid w:val="318D0C9D"/>
    <w:rsid w:val="318E3F4C"/>
    <w:rsid w:val="318E6115"/>
    <w:rsid w:val="318F0210"/>
    <w:rsid w:val="318F0221"/>
    <w:rsid w:val="318F1549"/>
    <w:rsid w:val="318F1FBE"/>
    <w:rsid w:val="318F36CF"/>
    <w:rsid w:val="318F411A"/>
    <w:rsid w:val="318F6F03"/>
    <w:rsid w:val="319009C7"/>
    <w:rsid w:val="31902608"/>
    <w:rsid w:val="31903F88"/>
    <w:rsid w:val="319055AA"/>
    <w:rsid w:val="31905D36"/>
    <w:rsid w:val="3191213B"/>
    <w:rsid w:val="3191288C"/>
    <w:rsid w:val="319128B2"/>
    <w:rsid w:val="31916A3A"/>
    <w:rsid w:val="3192160B"/>
    <w:rsid w:val="31921AAF"/>
    <w:rsid w:val="31922649"/>
    <w:rsid w:val="3192385D"/>
    <w:rsid w:val="31927173"/>
    <w:rsid w:val="31933781"/>
    <w:rsid w:val="31933F9B"/>
    <w:rsid w:val="31935E86"/>
    <w:rsid w:val="31942CEE"/>
    <w:rsid w:val="31943A79"/>
    <w:rsid w:val="31945827"/>
    <w:rsid w:val="319475D5"/>
    <w:rsid w:val="319477FC"/>
    <w:rsid w:val="31950407"/>
    <w:rsid w:val="31953CFC"/>
    <w:rsid w:val="319576F8"/>
    <w:rsid w:val="31960464"/>
    <w:rsid w:val="31964E9E"/>
    <w:rsid w:val="31973569"/>
    <w:rsid w:val="319737F7"/>
    <w:rsid w:val="31980B73"/>
    <w:rsid w:val="319829FA"/>
    <w:rsid w:val="31983D3C"/>
    <w:rsid w:val="31992E3D"/>
    <w:rsid w:val="3199371F"/>
    <w:rsid w:val="31994BEB"/>
    <w:rsid w:val="31996997"/>
    <w:rsid w:val="31997BFF"/>
    <w:rsid w:val="319A0963"/>
    <w:rsid w:val="319A0D8F"/>
    <w:rsid w:val="319A3F80"/>
    <w:rsid w:val="319B20A1"/>
    <w:rsid w:val="319B2667"/>
    <w:rsid w:val="319B26BD"/>
    <w:rsid w:val="319B4E07"/>
    <w:rsid w:val="319B6BB5"/>
    <w:rsid w:val="319C0B22"/>
    <w:rsid w:val="319C0B7F"/>
    <w:rsid w:val="319C292D"/>
    <w:rsid w:val="319C2FBE"/>
    <w:rsid w:val="319C3BDC"/>
    <w:rsid w:val="319C46DB"/>
    <w:rsid w:val="319C528E"/>
    <w:rsid w:val="319C5F3C"/>
    <w:rsid w:val="319D3425"/>
    <w:rsid w:val="319D518F"/>
    <w:rsid w:val="319D55C8"/>
    <w:rsid w:val="319E0453"/>
    <w:rsid w:val="319E322C"/>
    <w:rsid w:val="319E3850"/>
    <w:rsid w:val="319E48F7"/>
    <w:rsid w:val="31A0241D"/>
    <w:rsid w:val="31A041CB"/>
    <w:rsid w:val="31A11534"/>
    <w:rsid w:val="31A1395E"/>
    <w:rsid w:val="31A146C1"/>
    <w:rsid w:val="31A1649D"/>
    <w:rsid w:val="31A17F44"/>
    <w:rsid w:val="31A2252C"/>
    <w:rsid w:val="31A22675"/>
    <w:rsid w:val="31A22CC1"/>
    <w:rsid w:val="31A2433D"/>
    <w:rsid w:val="31A2466E"/>
    <w:rsid w:val="31A32AB5"/>
    <w:rsid w:val="31A32F95"/>
    <w:rsid w:val="31A33CBC"/>
    <w:rsid w:val="31A37635"/>
    <w:rsid w:val="31A4316D"/>
    <w:rsid w:val="31A43590"/>
    <w:rsid w:val="31A43A20"/>
    <w:rsid w:val="31A45903"/>
    <w:rsid w:val="31A477E0"/>
    <w:rsid w:val="31A507F3"/>
    <w:rsid w:val="31A517E2"/>
    <w:rsid w:val="31A5337F"/>
    <w:rsid w:val="31A55C86"/>
    <w:rsid w:val="31A56095"/>
    <w:rsid w:val="31A5626F"/>
    <w:rsid w:val="31A56340"/>
    <w:rsid w:val="31A60937"/>
    <w:rsid w:val="31A60E90"/>
    <w:rsid w:val="31A621DE"/>
    <w:rsid w:val="31A63C44"/>
    <w:rsid w:val="31A6555A"/>
    <w:rsid w:val="31A66E9F"/>
    <w:rsid w:val="31A67308"/>
    <w:rsid w:val="31A7113C"/>
    <w:rsid w:val="31A7209B"/>
    <w:rsid w:val="31A737AC"/>
    <w:rsid w:val="31A74FF6"/>
    <w:rsid w:val="31A77477"/>
    <w:rsid w:val="31A77908"/>
    <w:rsid w:val="31A83080"/>
    <w:rsid w:val="31A860F2"/>
    <w:rsid w:val="31A87524"/>
    <w:rsid w:val="31A91CDF"/>
    <w:rsid w:val="31A9772D"/>
    <w:rsid w:val="31AA1310"/>
    <w:rsid w:val="31AA2E53"/>
    <w:rsid w:val="31AA3D95"/>
    <w:rsid w:val="31AA504A"/>
    <w:rsid w:val="31AA5B8D"/>
    <w:rsid w:val="31AB16E6"/>
    <w:rsid w:val="31AB2B70"/>
    <w:rsid w:val="31AB7CD7"/>
    <w:rsid w:val="31AC031D"/>
    <w:rsid w:val="31AC2F75"/>
    <w:rsid w:val="31AC4810"/>
    <w:rsid w:val="31AC481F"/>
    <w:rsid w:val="31AC63D8"/>
    <w:rsid w:val="31AD004D"/>
    <w:rsid w:val="31AD0345"/>
    <w:rsid w:val="31AE0B4E"/>
    <w:rsid w:val="31AE3364"/>
    <w:rsid w:val="31AE4C6B"/>
    <w:rsid w:val="31AE4C81"/>
    <w:rsid w:val="31AF1975"/>
    <w:rsid w:val="31AF1C8E"/>
    <w:rsid w:val="31AF66C9"/>
    <w:rsid w:val="31AF76EC"/>
    <w:rsid w:val="31B00DA3"/>
    <w:rsid w:val="31B03453"/>
    <w:rsid w:val="31B0353C"/>
    <w:rsid w:val="31B103C9"/>
    <w:rsid w:val="31B144E0"/>
    <w:rsid w:val="31B148E3"/>
    <w:rsid w:val="31B163D9"/>
    <w:rsid w:val="31B21630"/>
    <w:rsid w:val="31B22151"/>
    <w:rsid w:val="31B24360"/>
    <w:rsid w:val="31B252E5"/>
    <w:rsid w:val="31B30B1C"/>
    <w:rsid w:val="31B41A25"/>
    <w:rsid w:val="31B43770"/>
    <w:rsid w:val="31B44957"/>
    <w:rsid w:val="31B45E6E"/>
    <w:rsid w:val="31B45EC9"/>
    <w:rsid w:val="31B47C77"/>
    <w:rsid w:val="31B55328"/>
    <w:rsid w:val="31B55E35"/>
    <w:rsid w:val="31B639EF"/>
    <w:rsid w:val="31B63C45"/>
    <w:rsid w:val="31B71C9E"/>
    <w:rsid w:val="31B7224A"/>
    <w:rsid w:val="31B728CB"/>
    <w:rsid w:val="31B732C3"/>
    <w:rsid w:val="31B7446B"/>
    <w:rsid w:val="31B770C3"/>
    <w:rsid w:val="31B77767"/>
    <w:rsid w:val="31B81ED5"/>
    <w:rsid w:val="31B85779"/>
    <w:rsid w:val="31B859B9"/>
    <w:rsid w:val="31B86135"/>
    <w:rsid w:val="31B8647E"/>
    <w:rsid w:val="31B87C08"/>
    <w:rsid w:val="31B92B8B"/>
    <w:rsid w:val="31B934DF"/>
    <w:rsid w:val="31B9528D"/>
    <w:rsid w:val="31B97E9E"/>
    <w:rsid w:val="31BA1DDE"/>
    <w:rsid w:val="31BA2392"/>
    <w:rsid w:val="31BA2E73"/>
    <w:rsid w:val="31BB139D"/>
    <w:rsid w:val="31BB2DB3"/>
    <w:rsid w:val="31BB615E"/>
    <w:rsid w:val="31BB70D6"/>
    <w:rsid w:val="31BB7257"/>
    <w:rsid w:val="31BC0201"/>
    <w:rsid w:val="31BC19F6"/>
    <w:rsid w:val="31BC3137"/>
    <w:rsid w:val="31BC56B8"/>
    <w:rsid w:val="31BC6B2B"/>
    <w:rsid w:val="31BD00CC"/>
    <w:rsid w:val="31BD62B4"/>
    <w:rsid w:val="31BE08D0"/>
    <w:rsid w:val="31BE0AF5"/>
    <w:rsid w:val="31BE1EC1"/>
    <w:rsid w:val="31BE243A"/>
    <w:rsid w:val="31BE3447"/>
    <w:rsid w:val="31BE380A"/>
    <w:rsid w:val="31BE4652"/>
    <w:rsid w:val="31BE46DB"/>
    <w:rsid w:val="31BE5A57"/>
    <w:rsid w:val="31BE645C"/>
    <w:rsid w:val="31BF33FD"/>
    <w:rsid w:val="31BF465D"/>
    <w:rsid w:val="31BF690D"/>
    <w:rsid w:val="31BF7043"/>
    <w:rsid w:val="31BF7E0E"/>
    <w:rsid w:val="31C00D28"/>
    <w:rsid w:val="31C03BF0"/>
    <w:rsid w:val="31C060BB"/>
    <w:rsid w:val="31C0735B"/>
    <w:rsid w:val="31C10CB8"/>
    <w:rsid w:val="31C12394"/>
    <w:rsid w:val="31C143D8"/>
    <w:rsid w:val="31C16957"/>
    <w:rsid w:val="31C205E6"/>
    <w:rsid w:val="31C21CD3"/>
    <w:rsid w:val="31C2546A"/>
    <w:rsid w:val="31C25DB2"/>
    <w:rsid w:val="31C26BE5"/>
    <w:rsid w:val="31C37EBA"/>
    <w:rsid w:val="31C43C21"/>
    <w:rsid w:val="31C53C32"/>
    <w:rsid w:val="31C55DF2"/>
    <w:rsid w:val="31C641E9"/>
    <w:rsid w:val="31C668A0"/>
    <w:rsid w:val="31C679AA"/>
    <w:rsid w:val="31C7024A"/>
    <w:rsid w:val="31C7232E"/>
    <w:rsid w:val="31C73AF9"/>
    <w:rsid w:val="31C75BFC"/>
    <w:rsid w:val="31C7755B"/>
    <w:rsid w:val="31C816DA"/>
    <w:rsid w:val="31C81974"/>
    <w:rsid w:val="31C82807"/>
    <w:rsid w:val="31C82983"/>
    <w:rsid w:val="31C82D25"/>
    <w:rsid w:val="31C82E1B"/>
    <w:rsid w:val="31C83722"/>
    <w:rsid w:val="31C86E69"/>
    <w:rsid w:val="31C9380E"/>
    <w:rsid w:val="31C938D6"/>
    <w:rsid w:val="31C942AB"/>
    <w:rsid w:val="31CA0447"/>
    <w:rsid w:val="31CA1248"/>
    <w:rsid w:val="31CA797C"/>
    <w:rsid w:val="31CB005B"/>
    <w:rsid w:val="31CB1927"/>
    <w:rsid w:val="31CB1F44"/>
    <w:rsid w:val="31CB6257"/>
    <w:rsid w:val="31CC0142"/>
    <w:rsid w:val="31CC0CDA"/>
    <w:rsid w:val="31CC1204"/>
    <w:rsid w:val="31CC14EB"/>
    <w:rsid w:val="31CC3E75"/>
    <w:rsid w:val="31CC439A"/>
    <w:rsid w:val="31CC5D00"/>
    <w:rsid w:val="31CC72D6"/>
    <w:rsid w:val="31CD0925"/>
    <w:rsid w:val="31CD0D39"/>
    <w:rsid w:val="31CD58F7"/>
    <w:rsid w:val="31CD6F3F"/>
    <w:rsid w:val="31CD6F8B"/>
    <w:rsid w:val="31CD7F08"/>
    <w:rsid w:val="31CE1FF1"/>
    <w:rsid w:val="31CF15AD"/>
    <w:rsid w:val="31CF1A57"/>
    <w:rsid w:val="31CF685F"/>
    <w:rsid w:val="31D00315"/>
    <w:rsid w:val="31D04385"/>
    <w:rsid w:val="31D076CD"/>
    <w:rsid w:val="31D10345"/>
    <w:rsid w:val="31D12523"/>
    <w:rsid w:val="31D12564"/>
    <w:rsid w:val="31D16A7B"/>
    <w:rsid w:val="31D23B78"/>
    <w:rsid w:val="31D245A1"/>
    <w:rsid w:val="31D247DA"/>
    <w:rsid w:val="31D309F7"/>
    <w:rsid w:val="31D3165E"/>
    <w:rsid w:val="31D32658"/>
    <w:rsid w:val="31D3580F"/>
    <w:rsid w:val="31D367ED"/>
    <w:rsid w:val="31D40319"/>
    <w:rsid w:val="31D4163D"/>
    <w:rsid w:val="31D43613"/>
    <w:rsid w:val="31D43E75"/>
    <w:rsid w:val="31D4754B"/>
    <w:rsid w:val="31D47C7D"/>
    <w:rsid w:val="31D500EA"/>
    <w:rsid w:val="31D50806"/>
    <w:rsid w:val="31D50EE6"/>
    <w:rsid w:val="31D5284E"/>
    <w:rsid w:val="31D54080"/>
    <w:rsid w:val="31D64AEF"/>
    <w:rsid w:val="31D65E3F"/>
    <w:rsid w:val="31D66739"/>
    <w:rsid w:val="31D67215"/>
    <w:rsid w:val="31D67BED"/>
    <w:rsid w:val="31D7166C"/>
    <w:rsid w:val="31D73965"/>
    <w:rsid w:val="31D75495"/>
    <w:rsid w:val="31D811CF"/>
    <w:rsid w:val="31D81454"/>
    <w:rsid w:val="31D82D37"/>
    <w:rsid w:val="31D836F3"/>
    <w:rsid w:val="31D87D97"/>
    <w:rsid w:val="31D9148B"/>
    <w:rsid w:val="31D935C2"/>
    <w:rsid w:val="31D94E23"/>
    <w:rsid w:val="31D9592F"/>
    <w:rsid w:val="31D95CF0"/>
    <w:rsid w:val="31D96291"/>
    <w:rsid w:val="31DA2C1E"/>
    <w:rsid w:val="31DA3AEF"/>
    <w:rsid w:val="31DA6980"/>
    <w:rsid w:val="31DB16A7"/>
    <w:rsid w:val="31DB5204"/>
    <w:rsid w:val="31DB68B3"/>
    <w:rsid w:val="31DC0F7C"/>
    <w:rsid w:val="31DC0FE0"/>
    <w:rsid w:val="31DC3AD6"/>
    <w:rsid w:val="31DC4505"/>
    <w:rsid w:val="31DD16D6"/>
    <w:rsid w:val="31DD2B21"/>
    <w:rsid w:val="31DD2D09"/>
    <w:rsid w:val="31DD320F"/>
    <w:rsid w:val="31DD33CD"/>
    <w:rsid w:val="31DD6C0A"/>
    <w:rsid w:val="31DD760E"/>
    <w:rsid w:val="31DD7794"/>
    <w:rsid w:val="31DE0EE1"/>
    <w:rsid w:val="31DE131A"/>
    <w:rsid w:val="31DE2F46"/>
    <w:rsid w:val="31DE4CF4"/>
    <w:rsid w:val="31DE5CA4"/>
    <w:rsid w:val="31DE6CEE"/>
    <w:rsid w:val="31DE6E0A"/>
    <w:rsid w:val="31DF4CED"/>
    <w:rsid w:val="31DF64D1"/>
    <w:rsid w:val="31E003A5"/>
    <w:rsid w:val="31E00A6C"/>
    <w:rsid w:val="31E02532"/>
    <w:rsid w:val="31E06CBE"/>
    <w:rsid w:val="31E22082"/>
    <w:rsid w:val="31E22A36"/>
    <w:rsid w:val="31E247E4"/>
    <w:rsid w:val="31E25218"/>
    <w:rsid w:val="31E2680D"/>
    <w:rsid w:val="31E26CE3"/>
    <w:rsid w:val="31E33676"/>
    <w:rsid w:val="31E340B8"/>
    <w:rsid w:val="31E37C26"/>
    <w:rsid w:val="31E40CE9"/>
    <w:rsid w:val="31E40EB3"/>
    <w:rsid w:val="31E424A8"/>
    <w:rsid w:val="31E42E75"/>
    <w:rsid w:val="31E47035"/>
    <w:rsid w:val="31E50C02"/>
    <w:rsid w:val="31E52343"/>
    <w:rsid w:val="31E537D3"/>
    <w:rsid w:val="31E53BD8"/>
    <w:rsid w:val="31E542D4"/>
    <w:rsid w:val="31E61055"/>
    <w:rsid w:val="31E63BA8"/>
    <w:rsid w:val="31E65D4E"/>
    <w:rsid w:val="31E66C61"/>
    <w:rsid w:val="31E677F1"/>
    <w:rsid w:val="31E74306"/>
    <w:rsid w:val="31E77464"/>
    <w:rsid w:val="31E77D87"/>
    <w:rsid w:val="31E80CC4"/>
    <w:rsid w:val="31E8240F"/>
    <w:rsid w:val="31E83151"/>
    <w:rsid w:val="31E838A9"/>
    <w:rsid w:val="31E85B72"/>
    <w:rsid w:val="31E866CA"/>
    <w:rsid w:val="31E87507"/>
    <w:rsid w:val="31E87920"/>
    <w:rsid w:val="31E91710"/>
    <w:rsid w:val="31E92371"/>
    <w:rsid w:val="31EA18EB"/>
    <w:rsid w:val="31EA1963"/>
    <w:rsid w:val="31EA35E4"/>
    <w:rsid w:val="31EA426E"/>
    <w:rsid w:val="31EA4BC8"/>
    <w:rsid w:val="31EA7C43"/>
    <w:rsid w:val="31EB0597"/>
    <w:rsid w:val="31EB241E"/>
    <w:rsid w:val="31EB7645"/>
    <w:rsid w:val="31EC11BC"/>
    <w:rsid w:val="31EC1AA8"/>
    <w:rsid w:val="31EC5663"/>
    <w:rsid w:val="31EC73DA"/>
    <w:rsid w:val="31EC7411"/>
    <w:rsid w:val="31EC77E9"/>
    <w:rsid w:val="31ED28EB"/>
    <w:rsid w:val="31ED2D6A"/>
    <w:rsid w:val="31ED3189"/>
    <w:rsid w:val="31EE33F5"/>
    <w:rsid w:val="31EF179E"/>
    <w:rsid w:val="31EF314E"/>
    <w:rsid w:val="31EF3537"/>
    <w:rsid w:val="31EF4885"/>
    <w:rsid w:val="31EF5E42"/>
    <w:rsid w:val="31EF6F01"/>
    <w:rsid w:val="31F11D76"/>
    <w:rsid w:val="31F125E9"/>
    <w:rsid w:val="31F16F4B"/>
    <w:rsid w:val="31F2079F"/>
    <w:rsid w:val="31F21979"/>
    <w:rsid w:val="31F237FB"/>
    <w:rsid w:val="31F31C6D"/>
    <w:rsid w:val="31F33F98"/>
    <w:rsid w:val="31F3626B"/>
    <w:rsid w:val="31F43695"/>
    <w:rsid w:val="31F4396C"/>
    <w:rsid w:val="31F46012"/>
    <w:rsid w:val="31F462C5"/>
    <w:rsid w:val="31F47267"/>
    <w:rsid w:val="31F57C8A"/>
    <w:rsid w:val="31F638FB"/>
    <w:rsid w:val="31F64758"/>
    <w:rsid w:val="31F664E1"/>
    <w:rsid w:val="31F67A41"/>
    <w:rsid w:val="31F67C52"/>
    <w:rsid w:val="31F7161A"/>
    <w:rsid w:val="31F74090"/>
    <w:rsid w:val="31F75BE8"/>
    <w:rsid w:val="31F7759A"/>
    <w:rsid w:val="31F821B8"/>
    <w:rsid w:val="31F82AAF"/>
    <w:rsid w:val="31F8562D"/>
    <w:rsid w:val="31F90508"/>
    <w:rsid w:val="31F90B02"/>
    <w:rsid w:val="31F91B2E"/>
    <w:rsid w:val="31F94C5B"/>
    <w:rsid w:val="31F94D81"/>
    <w:rsid w:val="31F965E3"/>
    <w:rsid w:val="31F971B4"/>
    <w:rsid w:val="31F97D80"/>
    <w:rsid w:val="31FA23B8"/>
    <w:rsid w:val="31FA30D9"/>
    <w:rsid w:val="31FA4F04"/>
    <w:rsid w:val="31FA7786"/>
    <w:rsid w:val="31FB02EE"/>
    <w:rsid w:val="31FB0CC5"/>
    <w:rsid w:val="31FB194B"/>
    <w:rsid w:val="31FB51D0"/>
    <w:rsid w:val="31FB58A6"/>
    <w:rsid w:val="31FB7654"/>
    <w:rsid w:val="31FC0022"/>
    <w:rsid w:val="31FC33CC"/>
    <w:rsid w:val="31FC40B2"/>
    <w:rsid w:val="31FC4B13"/>
    <w:rsid w:val="31FC517A"/>
    <w:rsid w:val="31FD3BE4"/>
    <w:rsid w:val="31FD6008"/>
    <w:rsid w:val="31FD6E89"/>
    <w:rsid w:val="31FD7870"/>
    <w:rsid w:val="31FE04D7"/>
    <w:rsid w:val="31FE3122"/>
    <w:rsid w:val="31FE5396"/>
    <w:rsid w:val="31FE698C"/>
    <w:rsid w:val="31FE7144"/>
    <w:rsid w:val="31FF0C96"/>
    <w:rsid w:val="31FF1E8E"/>
    <w:rsid w:val="31FF635F"/>
    <w:rsid w:val="31FF75A2"/>
    <w:rsid w:val="32000719"/>
    <w:rsid w:val="3200110E"/>
    <w:rsid w:val="32002EBC"/>
    <w:rsid w:val="32004C6A"/>
    <w:rsid w:val="32012B29"/>
    <w:rsid w:val="320209E2"/>
    <w:rsid w:val="32021A78"/>
    <w:rsid w:val="32022A4D"/>
    <w:rsid w:val="32025D93"/>
    <w:rsid w:val="3202678C"/>
    <w:rsid w:val="320329AC"/>
    <w:rsid w:val="3203418B"/>
    <w:rsid w:val="32040A71"/>
    <w:rsid w:val="32040C5E"/>
    <w:rsid w:val="32041C96"/>
    <w:rsid w:val="3204528E"/>
    <w:rsid w:val="32045634"/>
    <w:rsid w:val="320504D2"/>
    <w:rsid w:val="32050732"/>
    <w:rsid w:val="32052280"/>
    <w:rsid w:val="320527CC"/>
    <w:rsid w:val="32052B87"/>
    <w:rsid w:val="32052DBD"/>
    <w:rsid w:val="32056724"/>
    <w:rsid w:val="3206167C"/>
    <w:rsid w:val="32061ED6"/>
    <w:rsid w:val="3206601B"/>
    <w:rsid w:val="320716EA"/>
    <w:rsid w:val="3207424B"/>
    <w:rsid w:val="32075FF9"/>
    <w:rsid w:val="32081433"/>
    <w:rsid w:val="320814A4"/>
    <w:rsid w:val="32081BB3"/>
    <w:rsid w:val="32081D71"/>
    <w:rsid w:val="32083003"/>
    <w:rsid w:val="32085A04"/>
    <w:rsid w:val="32087FC3"/>
    <w:rsid w:val="3209240E"/>
    <w:rsid w:val="3209551E"/>
    <w:rsid w:val="32096215"/>
    <w:rsid w:val="320A0A1A"/>
    <w:rsid w:val="320A1536"/>
    <w:rsid w:val="320A3D3B"/>
    <w:rsid w:val="320A5A09"/>
    <w:rsid w:val="320A5AE9"/>
    <w:rsid w:val="320A6AD7"/>
    <w:rsid w:val="320A7246"/>
    <w:rsid w:val="320B2313"/>
    <w:rsid w:val="320C1861"/>
    <w:rsid w:val="320C21D1"/>
    <w:rsid w:val="320C2A2D"/>
    <w:rsid w:val="320C54B7"/>
    <w:rsid w:val="320C6523"/>
    <w:rsid w:val="320C7AB3"/>
    <w:rsid w:val="320D3F1E"/>
    <w:rsid w:val="320D55D9"/>
    <w:rsid w:val="320D56CE"/>
    <w:rsid w:val="320D7387"/>
    <w:rsid w:val="320E1B54"/>
    <w:rsid w:val="320E2713"/>
    <w:rsid w:val="320E29DF"/>
    <w:rsid w:val="320E6917"/>
    <w:rsid w:val="320F1351"/>
    <w:rsid w:val="320F30FF"/>
    <w:rsid w:val="320F4EAD"/>
    <w:rsid w:val="320F6A40"/>
    <w:rsid w:val="320F6D29"/>
    <w:rsid w:val="320F6D9B"/>
    <w:rsid w:val="320F6F5B"/>
    <w:rsid w:val="321107EC"/>
    <w:rsid w:val="32110C25"/>
    <w:rsid w:val="32111360"/>
    <w:rsid w:val="32113C83"/>
    <w:rsid w:val="321145F7"/>
    <w:rsid w:val="321147EC"/>
    <w:rsid w:val="32114FD4"/>
    <w:rsid w:val="321150C9"/>
    <w:rsid w:val="3211678F"/>
    <w:rsid w:val="32116E77"/>
    <w:rsid w:val="32120DF0"/>
    <w:rsid w:val="32121060"/>
    <w:rsid w:val="32122458"/>
    <w:rsid w:val="32127369"/>
    <w:rsid w:val="32130E41"/>
    <w:rsid w:val="32135BD5"/>
    <w:rsid w:val="32140715"/>
    <w:rsid w:val="321409A6"/>
    <w:rsid w:val="32146F6F"/>
    <w:rsid w:val="32147EFA"/>
    <w:rsid w:val="32160A76"/>
    <w:rsid w:val="32161B94"/>
    <w:rsid w:val="32163C49"/>
    <w:rsid w:val="3216448E"/>
    <w:rsid w:val="32164986"/>
    <w:rsid w:val="32164DC4"/>
    <w:rsid w:val="32171509"/>
    <w:rsid w:val="32171D7F"/>
    <w:rsid w:val="32183A87"/>
    <w:rsid w:val="32186458"/>
    <w:rsid w:val="3218687B"/>
    <w:rsid w:val="321921D0"/>
    <w:rsid w:val="321A4D46"/>
    <w:rsid w:val="321A57EF"/>
    <w:rsid w:val="321A7001"/>
    <w:rsid w:val="321B1AA4"/>
    <w:rsid w:val="321B6525"/>
    <w:rsid w:val="321B7C88"/>
    <w:rsid w:val="321C18B8"/>
    <w:rsid w:val="321C2B16"/>
    <w:rsid w:val="321C3ACE"/>
    <w:rsid w:val="321C75CA"/>
    <w:rsid w:val="321D581C"/>
    <w:rsid w:val="321D733F"/>
    <w:rsid w:val="321E0D93"/>
    <w:rsid w:val="321E1594"/>
    <w:rsid w:val="321E2AD6"/>
    <w:rsid w:val="321E77E6"/>
    <w:rsid w:val="321F194A"/>
    <w:rsid w:val="321F3964"/>
    <w:rsid w:val="32201EB1"/>
    <w:rsid w:val="32203458"/>
    <w:rsid w:val="3220530C"/>
    <w:rsid w:val="322070BA"/>
    <w:rsid w:val="32207684"/>
    <w:rsid w:val="32207918"/>
    <w:rsid w:val="32207C89"/>
    <w:rsid w:val="32210734"/>
    <w:rsid w:val="32212774"/>
    <w:rsid w:val="32212D62"/>
    <w:rsid w:val="32215F05"/>
    <w:rsid w:val="322222E5"/>
    <w:rsid w:val="32222E32"/>
    <w:rsid w:val="32225ABD"/>
    <w:rsid w:val="322262F8"/>
    <w:rsid w:val="32233284"/>
    <w:rsid w:val="32233775"/>
    <w:rsid w:val="32235782"/>
    <w:rsid w:val="32236C2E"/>
    <w:rsid w:val="32243C9E"/>
    <w:rsid w:val="32243DDA"/>
    <w:rsid w:val="322448E2"/>
    <w:rsid w:val="32244C05"/>
    <w:rsid w:val="3224672C"/>
    <w:rsid w:val="32250A78"/>
    <w:rsid w:val="322529C0"/>
    <w:rsid w:val="322530D2"/>
    <w:rsid w:val="322532C4"/>
    <w:rsid w:val="32254408"/>
    <w:rsid w:val="322546D1"/>
    <w:rsid w:val="32262ED6"/>
    <w:rsid w:val="32270449"/>
    <w:rsid w:val="32273586"/>
    <w:rsid w:val="322748ED"/>
    <w:rsid w:val="3227494D"/>
    <w:rsid w:val="32274CC7"/>
    <w:rsid w:val="3227669B"/>
    <w:rsid w:val="32280BAF"/>
    <w:rsid w:val="32282096"/>
    <w:rsid w:val="32284A16"/>
    <w:rsid w:val="32287257"/>
    <w:rsid w:val="32290665"/>
    <w:rsid w:val="32290701"/>
    <w:rsid w:val="322923A8"/>
    <w:rsid w:val="32292413"/>
    <w:rsid w:val="322A1E2D"/>
    <w:rsid w:val="322A6FBB"/>
    <w:rsid w:val="322A7F39"/>
    <w:rsid w:val="322B2B6C"/>
    <w:rsid w:val="322B5B79"/>
    <w:rsid w:val="322C48EF"/>
    <w:rsid w:val="322C7847"/>
    <w:rsid w:val="322D17D7"/>
    <w:rsid w:val="322D2745"/>
    <w:rsid w:val="322D4C71"/>
    <w:rsid w:val="322D693B"/>
    <w:rsid w:val="322D7739"/>
    <w:rsid w:val="322D7E42"/>
    <w:rsid w:val="322E075C"/>
    <w:rsid w:val="322E4844"/>
    <w:rsid w:val="322E5C7B"/>
    <w:rsid w:val="322F2868"/>
    <w:rsid w:val="322F4395"/>
    <w:rsid w:val="322F72FD"/>
    <w:rsid w:val="3230071C"/>
    <w:rsid w:val="32301927"/>
    <w:rsid w:val="32313F63"/>
    <w:rsid w:val="32315D79"/>
    <w:rsid w:val="32317519"/>
    <w:rsid w:val="323178F4"/>
    <w:rsid w:val="32320699"/>
    <w:rsid w:val="32320BAF"/>
    <w:rsid w:val="32320E0B"/>
    <w:rsid w:val="32321DDA"/>
    <w:rsid w:val="323269CC"/>
    <w:rsid w:val="32326DEE"/>
    <w:rsid w:val="32327209"/>
    <w:rsid w:val="323312D8"/>
    <w:rsid w:val="3233233C"/>
    <w:rsid w:val="32332FDC"/>
    <w:rsid w:val="323341BE"/>
    <w:rsid w:val="32335040"/>
    <w:rsid w:val="32340DB8"/>
    <w:rsid w:val="323433A1"/>
    <w:rsid w:val="3234700A"/>
    <w:rsid w:val="32356363"/>
    <w:rsid w:val="32361864"/>
    <w:rsid w:val="32364B30"/>
    <w:rsid w:val="32364B4E"/>
    <w:rsid w:val="32365C0A"/>
    <w:rsid w:val="32367FDA"/>
    <w:rsid w:val="323703C4"/>
    <w:rsid w:val="32371B5B"/>
    <w:rsid w:val="32372BBA"/>
    <w:rsid w:val="32374ECA"/>
    <w:rsid w:val="32377D4C"/>
    <w:rsid w:val="323813C7"/>
    <w:rsid w:val="323822DB"/>
    <w:rsid w:val="32384404"/>
    <w:rsid w:val="32391AC2"/>
    <w:rsid w:val="32393E81"/>
    <w:rsid w:val="32395BA1"/>
    <w:rsid w:val="323963CE"/>
    <w:rsid w:val="323970DC"/>
    <w:rsid w:val="323A30F4"/>
    <w:rsid w:val="323A4620"/>
    <w:rsid w:val="323A5B00"/>
    <w:rsid w:val="323A6C5E"/>
    <w:rsid w:val="323B16DF"/>
    <w:rsid w:val="323B2146"/>
    <w:rsid w:val="323B24A6"/>
    <w:rsid w:val="323B3EF4"/>
    <w:rsid w:val="323B5CA2"/>
    <w:rsid w:val="323B7919"/>
    <w:rsid w:val="323C2E8C"/>
    <w:rsid w:val="323C3BFD"/>
    <w:rsid w:val="323C502D"/>
    <w:rsid w:val="323C6732"/>
    <w:rsid w:val="323C7AA2"/>
    <w:rsid w:val="323D1A1A"/>
    <w:rsid w:val="323D2FA7"/>
    <w:rsid w:val="323D3ABD"/>
    <w:rsid w:val="323D431C"/>
    <w:rsid w:val="323D57AC"/>
    <w:rsid w:val="323D5EBE"/>
    <w:rsid w:val="323E2FB7"/>
    <w:rsid w:val="323E3350"/>
    <w:rsid w:val="323E39E4"/>
    <w:rsid w:val="323E4F04"/>
    <w:rsid w:val="323E5D53"/>
    <w:rsid w:val="323E5F09"/>
    <w:rsid w:val="323E7D83"/>
    <w:rsid w:val="323F180D"/>
    <w:rsid w:val="323F2305"/>
    <w:rsid w:val="323F2C6D"/>
    <w:rsid w:val="323F2F4E"/>
    <w:rsid w:val="324013A0"/>
    <w:rsid w:val="3240150B"/>
    <w:rsid w:val="32402766"/>
    <w:rsid w:val="32403ED4"/>
    <w:rsid w:val="32406F25"/>
    <w:rsid w:val="3240775C"/>
    <w:rsid w:val="324218CF"/>
    <w:rsid w:val="32422302"/>
    <w:rsid w:val="32425A63"/>
    <w:rsid w:val="32426CED"/>
    <w:rsid w:val="32427467"/>
    <w:rsid w:val="32430FFB"/>
    <w:rsid w:val="324320A6"/>
    <w:rsid w:val="3244724D"/>
    <w:rsid w:val="32447FC7"/>
    <w:rsid w:val="32453F18"/>
    <w:rsid w:val="324545E9"/>
    <w:rsid w:val="32454D73"/>
    <w:rsid w:val="32464589"/>
    <w:rsid w:val="32467E9C"/>
    <w:rsid w:val="3247474F"/>
    <w:rsid w:val="32476D3D"/>
    <w:rsid w:val="324803BF"/>
    <w:rsid w:val="3248142F"/>
    <w:rsid w:val="32481972"/>
    <w:rsid w:val="324821EF"/>
    <w:rsid w:val="32490200"/>
    <w:rsid w:val="32490714"/>
    <w:rsid w:val="32494863"/>
    <w:rsid w:val="32496CFF"/>
    <w:rsid w:val="324A0061"/>
    <w:rsid w:val="324A1A3B"/>
    <w:rsid w:val="324A2389"/>
    <w:rsid w:val="324A3DF8"/>
    <w:rsid w:val="324A4137"/>
    <w:rsid w:val="324A4FE3"/>
    <w:rsid w:val="324A6116"/>
    <w:rsid w:val="324A6920"/>
    <w:rsid w:val="324C0C07"/>
    <w:rsid w:val="324C0F72"/>
    <w:rsid w:val="324C4580"/>
    <w:rsid w:val="324C6101"/>
    <w:rsid w:val="324C64AE"/>
    <w:rsid w:val="324C7EAF"/>
    <w:rsid w:val="324D017F"/>
    <w:rsid w:val="324D01C5"/>
    <w:rsid w:val="324D0C38"/>
    <w:rsid w:val="324D28DA"/>
    <w:rsid w:val="324D5094"/>
    <w:rsid w:val="324E146A"/>
    <w:rsid w:val="324E19EB"/>
    <w:rsid w:val="324E1E79"/>
    <w:rsid w:val="324E23CE"/>
    <w:rsid w:val="324E3D7A"/>
    <w:rsid w:val="324E4892"/>
    <w:rsid w:val="324F091E"/>
    <w:rsid w:val="324F1498"/>
    <w:rsid w:val="324F174E"/>
    <w:rsid w:val="324F2AAA"/>
    <w:rsid w:val="324F3653"/>
    <w:rsid w:val="324F3ED3"/>
    <w:rsid w:val="324F6EAF"/>
    <w:rsid w:val="324F6FE3"/>
    <w:rsid w:val="324F79A0"/>
    <w:rsid w:val="32505363"/>
    <w:rsid w:val="325079F0"/>
    <w:rsid w:val="325129B9"/>
    <w:rsid w:val="32513718"/>
    <w:rsid w:val="32513E00"/>
    <w:rsid w:val="325144E1"/>
    <w:rsid w:val="325252EB"/>
    <w:rsid w:val="32527BA0"/>
    <w:rsid w:val="325307B2"/>
    <w:rsid w:val="3253123E"/>
    <w:rsid w:val="32533113"/>
    <w:rsid w:val="32536502"/>
    <w:rsid w:val="3253689B"/>
    <w:rsid w:val="32540AD7"/>
    <w:rsid w:val="32540B11"/>
    <w:rsid w:val="32544FB6"/>
    <w:rsid w:val="32545A51"/>
    <w:rsid w:val="32547B62"/>
    <w:rsid w:val="3255331E"/>
    <w:rsid w:val="32557005"/>
    <w:rsid w:val="32560D2E"/>
    <w:rsid w:val="32562305"/>
    <w:rsid w:val="32562ADC"/>
    <w:rsid w:val="32565BFD"/>
    <w:rsid w:val="325675ED"/>
    <w:rsid w:val="325771FA"/>
    <w:rsid w:val="3257761A"/>
    <w:rsid w:val="325778C5"/>
    <w:rsid w:val="32577FC7"/>
    <w:rsid w:val="325823B4"/>
    <w:rsid w:val="32582CF8"/>
    <w:rsid w:val="32584AA6"/>
    <w:rsid w:val="32585419"/>
    <w:rsid w:val="32586919"/>
    <w:rsid w:val="325925CC"/>
    <w:rsid w:val="3259339C"/>
    <w:rsid w:val="32594346"/>
    <w:rsid w:val="32594494"/>
    <w:rsid w:val="325A3079"/>
    <w:rsid w:val="325A6415"/>
    <w:rsid w:val="325A6A70"/>
    <w:rsid w:val="325B00F2"/>
    <w:rsid w:val="325B0FE6"/>
    <w:rsid w:val="325B1061"/>
    <w:rsid w:val="325B2476"/>
    <w:rsid w:val="325B2C7D"/>
    <w:rsid w:val="325B557A"/>
    <w:rsid w:val="325B6271"/>
    <w:rsid w:val="325B6344"/>
    <w:rsid w:val="325B7154"/>
    <w:rsid w:val="325B726F"/>
    <w:rsid w:val="325C5D96"/>
    <w:rsid w:val="325D15D0"/>
    <w:rsid w:val="325D20BC"/>
    <w:rsid w:val="325D5E9E"/>
    <w:rsid w:val="325E243A"/>
    <w:rsid w:val="325E3E1C"/>
    <w:rsid w:val="325E5183"/>
    <w:rsid w:val="325E6226"/>
    <w:rsid w:val="325E7BE3"/>
    <w:rsid w:val="325F1EA9"/>
    <w:rsid w:val="325F3420"/>
    <w:rsid w:val="325F4087"/>
    <w:rsid w:val="325F55DE"/>
    <w:rsid w:val="32601356"/>
    <w:rsid w:val="3260395B"/>
    <w:rsid w:val="3260733E"/>
    <w:rsid w:val="32607DFF"/>
    <w:rsid w:val="326105FD"/>
    <w:rsid w:val="32613717"/>
    <w:rsid w:val="32613C38"/>
    <w:rsid w:val="326141B0"/>
    <w:rsid w:val="326154B4"/>
    <w:rsid w:val="326158C8"/>
    <w:rsid w:val="32621481"/>
    <w:rsid w:val="32622306"/>
    <w:rsid w:val="32624BA7"/>
    <w:rsid w:val="32625925"/>
    <w:rsid w:val="326276D3"/>
    <w:rsid w:val="32627778"/>
    <w:rsid w:val="32627A4B"/>
    <w:rsid w:val="32634BEE"/>
    <w:rsid w:val="32636B27"/>
    <w:rsid w:val="32640615"/>
    <w:rsid w:val="32642098"/>
    <w:rsid w:val="32643E24"/>
    <w:rsid w:val="326451ED"/>
    <w:rsid w:val="3264612E"/>
    <w:rsid w:val="32650F71"/>
    <w:rsid w:val="3265184F"/>
    <w:rsid w:val="32654C69"/>
    <w:rsid w:val="32655415"/>
    <w:rsid w:val="32662363"/>
    <w:rsid w:val="32664BBB"/>
    <w:rsid w:val="32667DE4"/>
    <w:rsid w:val="32670A19"/>
    <w:rsid w:val="32671606"/>
    <w:rsid w:val="32671678"/>
    <w:rsid w:val="32672F3B"/>
    <w:rsid w:val="32673B92"/>
    <w:rsid w:val="32680C89"/>
    <w:rsid w:val="32681D3C"/>
    <w:rsid w:val="326831B3"/>
    <w:rsid w:val="32686602"/>
    <w:rsid w:val="3268675D"/>
    <w:rsid w:val="3268696E"/>
    <w:rsid w:val="32690392"/>
    <w:rsid w:val="32690A61"/>
    <w:rsid w:val="32692DC8"/>
    <w:rsid w:val="326956A0"/>
    <w:rsid w:val="32695959"/>
    <w:rsid w:val="32696CB3"/>
    <w:rsid w:val="326A0297"/>
    <w:rsid w:val="326A2A2B"/>
    <w:rsid w:val="326A4CC7"/>
    <w:rsid w:val="326A6587"/>
    <w:rsid w:val="326B0959"/>
    <w:rsid w:val="326B0C49"/>
    <w:rsid w:val="326B1F6B"/>
    <w:rsid w:val="326B2D5E"/>
    <w:rsid w:val="326B3DBE"/>
    <w:rsid w:val="326B3EBC"/>
    <w:rsid w:val="326B45BE"/>
    <w:rsid w:val="326B6932"/>
    <w:rsid w:val="326C0551"/>
    <w:rsid w:val="326C219D"/>
    <w:rsid w:val="326C2300"/>
    <w:rsid w:val="326C6155"/>
    <w:rsid w:val="326D1E87"/>
    <w:rsid w:val="326D2013"/>
    <w:rsid w:val="326D6311"/>
    <w:rsid w:val="326D6FFB"/>
    <w:rsid w:val="326E42CA"/>
    <w:rsid w:val="326E6078"/>
    <w:rsid w:val="326E6C70"/>
    <w:rsid w:val="326E7E26"/>
    <w:rsid w:val="326F0A8B"/>
    <w:rsid w:val="326F125E"/>
    <w:rsid w:val="326F1DF0"/>
    <w:rsid w:val="326F3B9E"/>
    <w:rsid w:val="326F48D7"/>
    <w:rsid w:val="32700042"/>
    <w:rsid w:val="32700190"/>
    <w:rsid w:val="327041CC"/>
    <w:rsid w:val="32705F21"/>
    <w:rsid w:val="327127D7"/>
    <w:rsid w:val="32715B68"/>
    <w:rsid w:val="32716001"/>
    <w:rsid w:val="32717916"/>
    <w:rsid w:val="327208B3"/>
    <w:rsid w:val="32721B6B"/>
    <w:rsid w:val="32723F14"/>
    <w:rsid w:val="32725A67"/>
    <w:rsid w:val="32725D9B"/>
    <w:rsid w:val="327318E0"/>
    <w:rsid w:val="3273590F"/>
    <w:rsid w:val="32737B32"/>
    <w:rsid w:val="327407E9"/>
    <w:rsid w:val="32741B8D"/>
    <w:rsid w:val="32742F5E"/>
    <w:rsid w:val="32747406"/>
    <w:rsid w:val="327528E1"/>
    <w:rsid w:val="3275301D"/>
    <w:rsid w:val="32754CF2"/>
    <w:rsid w:val="32755BEE"/>
    <w:rsid w:val="32756148"/>
    <w:rsid w:val="327613D0"/>
    <w:rsid w:val="327619D7"/>
    <w:rsid w:val="32764D5E"/>
    <w:rsid w:val="3276557F"/>
    <w:rsid w:val="32765B31"/>
    <w:rsid w:val="3277050E"/>
    <w:rsid w:val="327729E2"/>
    <w:rsid w:val="32773880"/>
    <w:rsid w:val="327759F2"/>
    <w:rsid w:val="32780CA4"/>
    <w:rsid w:val="3278199E"/>
    <w:rsid w:val="32785148"/>
    <w:rsid w:val="32786EF6"/>
    <w:rsid w:val="32786F1B"/>
    <w:rsid w:val="32786F9D"/>
    <w:rsid w:val="3278795C"/>
    <w:rsid w:val="32791858"/>
    <w:rsid w:val="32792004"/>
    <w:rsid w:val="32793AA9"/>
    <w:rsid w:val="32793FAA"/>
    <w:rsid w:val="32795D4B"/>
    <w:rsid w:val="327A0EC0"/>
    <w:rsid w:val="327A2C6E"/>
    <w:rsid w:val="327A39E4"/>
    <w:rsid w:val="327A62A6"/>
    <w:rsid w:val="327A62C3"/>
    <w:rsid w:val="327B324D"/>
    <w:rsid w:val="327B5826"/>
    <w:rsid w:val="327B6A37"/>
    <w:rsid w:val="327B6E8F"/>
    <w:rsid w:val="327C1639"/>
    <w:rsid w:val="327C1D68"/>
    <w:rsid w:val="327D1AA6"/>
    <w:rsid w:val="327D21CB"/>
    <w:rsid w:val="327D275F"/>
    <w:rsid w:val="327D2ED7"/>
    <w:rsid w:val="327D398A"/>
    <w:rsid w:val="327E1C2E"/>
    <w:rsid w:val="327E1E06"/>
    <w:rsid w:val="327E4372"/>
    <w:rsid w:val="327E5810"/>
    <w:rsid w:val="327F0285"/>
    <w:rsid w:val="327F2033"/>
    <w:rsid w:val="327F3795"/>
    <w:rsid w:val="327F3E4D"/>
    <w:rsid w:val="327F4651"/>
    <w:rsid w:val="327F676B"/>
    <w:rsid w:val="327F6F84"/>
    <w:rsid w:val="32801916"/>
    <w:rsid w:val="32802B53"/>
    <w:rsid w:val="32802EF6"/>
    <w:rsid w:val="32803FFD"/>
    <w:rsid w:val="32810864"/>
    <w:rsid w:val="32813573"/>
    <w:rsid w:val="32814191"/>
    <w:rsid w:val="328167AE"/>
    <w:rsid w:val="32821B23"/>
    <w:rsid w:val="328238D1"/>
    <w:rsid w:val="32827D75"/>
    <w:rsid w:val="32830B75"/>
    <w:rsid w:val="32832997"/>
    <w:rsid w:val="32835873"/>
    <w:rsid w:val="32836B41"/>
    <w:rsid w:val="328372DC"/>
    <w:rsid w:val="328377AA"/>
    <w:rsid w:val="32840F7B"/>
    <w:rsid w:val="32845E23"/>
    <w:rsid w:val="32851613"/>
    <w:rsid w:val="32851B1A"/>
    <w:rsid w:val="32851BA8"/>
    <w:rsid w:val="32853EE6"/>
    <w:rsid w:val="328623E7"/>
    <w:rsid w:val="3286316F"/>
    <w:rsid w:val="32870EE7"/>
    <w:rsid w:val="32871542"/>
    <w:rsid w:val="32875319"/>
    <w:rsid w:val="3287538B"/>
    <w:rsid w:val="32875432"/>
    <w:rsid w:val="32875687"/>
    <w:rsid w:val="32876C40"/>
    <w:rsid w:val="32883C32"/>
    <w:rsid w:val="32891103"/>
    <w:rsid w:val="32892EB1"/>
    <w:rsid w:val="32893DBD"/>
    <w:rsid w:val="32894F96"/>
    <w:rsid w:val="328A09D8"/>
    <w:rsid w:val="328A0A33"/>
    <w:rsid w:val="328A2BD7"/>
    <w:rsid w:val="328A5593"/>
    <w:rsid w:val="328A5A6E"/>
    <w:rsid w:val="328B022B"/>
    <w:rsid w:val="328B1EC6"/>
    <w:rsid w:val="328B32F1"/>
    <w:rsid w:val="328B4009"/>
    <w:rsid w:val="328B7A35"/>
    <w:rsid w:val="328C00B7"/>
    <w:rsid w:val="328C0BF4"/>
    <w:rsid w:val="328C234A"/>
    <w:rsid w:val="328C29A2"/>
    <w:rsid w:val="328C4750"/>
    <w:rsid w:val="328C4C05"/>
    <w:rsid w:val="328D1F8B"/>
    <w:rsid w:val="328D3566"/>
    <w:rsid w:val="328D46DB"/>
    <w:rsid w:val="328E2276"/>
    <w:rsid w:val="328E671A"/>
    <w:rsid w:val="328F0396"/>
    <w:rsid w:val="328F229C"/>
    <w:rsid w:val="328F5034"/>
    <w:rsid w:val="328F5FEE"/>
    <w:rsid w:val="32900C01"/>
    <w:rsid w:val="32901C72"/>
    <w:rsid w:val="32902492"/>
    <w:rsid w:val="32904240"/>
    <w:rsid w:val="32905696"/>
    <w:rsid w:val="32906424"/>
    <w:rsid w:val="32907D4E"/>
    <w:rsid w:val="329106CD"/>
    <w:rsid w:val="329125A8"/>
    <w:rsid w:val="32915314"/>
    <w:rsid w:val="32915A6B"/>
    <w:rsid w:val="32916130"/>
    <w:rsid w:val="3291620A"/>
    <w:rsid w:val="32916964"/>
    <w:rsid w:val="329174B6"/>
    <w:rsid w:val="32920AE7"/>
    <w:rsid w:val="32922952"/>
    <w:rsid w:val="32925742"/>
    <w:rsid w:val="32925B04"/>
    <w:rsid w:val="32931F82"/>
    <w:rsid w:val="32932779"/>
    <w:rsid w:val="32935ADE"/>
    <w:rsid w:val="329365A6"/>
    <w:rsid w:val="3294614A"/>
    <w:rsid w:val="32946D4E"/>
    <w:rsid w:val="32950AEF"/>
    <w:rsid w:val="32951856"/>
    <w:rsid w:val="32952607"/>
    <w:rsid w:val="32953D1F"/>
    <w:rsid w:val="32954182"/>
    <w:rsid w:val="3295422F"/>
    <w:rsid w:val="32955910"/>
    <w:rsid w:val="3295762D"/>
    <w:rsid w:val="32957AA8"/>
    <w:rsid w:val="3296107F"/>
    <w:rsid w:val="32963820"/>
    <w:rsid w:val="32965BC7"/>
    <w:rsid w:val="3297307D"/>
    <w:rsid w:val="3297357D"/>
    <w:rsid w:val="32976B82"/>
    <w:rsid w:val="32980862"/>
    <w:rsid w:val="32980DB8"/>
    <w:rsid w:val="32980F88"/>
    <w:rsid w:val="329830F5"/>
    <w:rsid w:val="3298441D"/>
    <w:rsid w:val="32987598"/>
    <w:rsid w:val="32997082"/>
    <w:rsid w:val="329A485B"/>
    <w:rsid w:val="329A50BF"/>
    <w:rsid w:val="329A52EF"/>
    <w:rsid w:val="329A6E6D"/>
    <w:rsid w:val="329B0525"/>
    <w:rsid w:val="329B2BE5"/>
    <w:rsid w:val="329B379C"/>
    <w:rsid w:val="329B4993"/>
    <w:rsid w:val="329B5629"/>
    <w:rsid w:val="329B7902"/>
    <w:rsid w:val="329B7A89"/>
    <w:rsid w:val="329C6516"/>
    <w:rsid w:val="329C7A80"/>
    <w:rsid w:val="329D070B"/>
    <w:rsid w:val="329D1E96"/>
    <w:rsid w:val="329D2229"/>
    <w:rsid w:val="329D44FA"/>
    <w:rsid w:val="329D4BAF"/>
    <w:rsid w:val="329D51CD"/>
    <w:rsid w:val="329E18B8"/>
    <w:rsid w:val="329E4446"/>
    <w:rsid w:val="329E6B75"/>
    <w:rsid w:val="329F0927"/>
    <w:rsid w:val="329F0E26"/>
    <w:rsid w:val="329F26D5"/>
    <w:rsid w:val="329F7A1D"/>
    <w:rsid w:val="32A001FB"/>
    <w:rsid w:val="32A01C88"/>
    <w:rsid w:val="32A01FA9"/>
    <w:rsid w:val="32A030B2"/>
    <w:rsid w:val="32A03506"/>
    <w:rsid w:val="32A0644D"/>
    <w:rsid w:val="32A06F39"/>
    <w:rsid w:val="32A076F5"/>
    <w:rsid w:val="32A1130E"/>
    <w:rsid w:val="32A24FA8"/>
    <w:rsid w:val="32A277CA"/>
    <w:rsid w:val="32A3676F"/>
    <w:rsid w:val="32A45E26"/>
    <w:rsid w:val="32A46191"/>
    <w:rsid w:val="32A46599"/>
    <w:rsid w:val="32A4752B"/>
    <w:rsid w:val="32A47F8F"/>
    <w:rsid w:val="32A5100A"/>
    <w:rsid w:val="32A54D0E"/>
    <w:rsid w:val="32A55175"/>
    <w:rsid w:val="32A55811"/>
    <w:rsid w:val="32A55E35"/>
    <w:rsid w:val="32A61207"/>
    <w:rsid w:val="32A61CB5"/>
    <w:rsid w:val="32A63A3E"/>
    <w:rsid w:val="32A71184"/>
    <w:rsid w:val="32A7320F"/>
    <w:rsid w:val="32A73338"/>
    <w:rsid w:val="32A76621"/>
    <w:rsid w:val="32A777DC"/>
    <w:rsid w:val="32A77A65"/>
    <w:rsid w:val="32A80FB4"/>
    <w:rsid w:val="32A9121F"/>
    <w:rsid w:val="32A9276C"/>
    <w:rsid w:val="32A92DDD"/>
    <w:rsid w:val="32A93554"/>
    <w:rsid w:val="32A9398C"/>
    <w:rsid w:val="32A95302"/>
    <w:rsid w:val="32A96023"/>
    <w:rsid w:val="32AA161F"/>
    <w:rsid w:val="32AA54A7"/>
    <w:rsid w:val="32AA5B8A"/>
    <w:rsid w:val="32AA6F75"/>
    <w:rsid w:val="32AB107A"/>
    <w:rsid w:val="32AB3E07"/>
    <w:rsid w:val="32AB3FC1"/>
    <w:rsid w:val="32AC094E"/>
    <w:rsid w:val="32AC1B24"/>
    <w:rsid w:val="32AC4BAF"/>
    <w:rsid w:val="32AC4DF2"/>
    <w:rsid w:val="32AC4E99"/>
    <w:rsid w:val="32AC689F"/>
    <w:rsid w:val="32AD055C"/>
    <w:rsid w:val="32AD14A2"/>
    <w:rsid w:val="32AD1D1E"/>
    <w:rsid w:val="32AD67F4"/>
    <w:rsid w:val="32AD7C51"/>
    <w:rsid w:val="32AE162B"/>
    <w:rsid w:val="32AE2918"/>
    <w:rsid w:val="32AE2D7F"/>
    <w:rsid w:val="32AE31AE"/>
    <w:rsid w:val="32AE4D5E"/>
    <w:rsid w:val="32AF043E"/>
    <w:rsid w:val="32AF0D0E"/>
    <w:rsid w:val="32AF5C4B"/>
    <w:rsid w:val="32B017F7"/>
    <w:rsid w:val="32B06690"/>
    <w:rsid w:val="32B1069F"/>
    <w:rsid w:val="32B109BF"/>
    <w:rsid w:val="32B10D11"/>
    <w:rsid w:val="32B12408"/>
    <w:rsid w:val="32B20603"/>
    <w:rsid w:val="32B23329"/>
    <w:rsid w:val="32B233F9"/>
    <w:rsid w:val="32B278AB"/>
    <w:rsid w:val="32B31CDC"/>
    <w:rsid w:val="32B3508E"/>
    <w:rsid w:val="32B36180"/>
    <w:rsid w:val="32B45EC5"/>
    <w:rsid w:val="32B47020"/>
    <w:rsid w:val="32B51B3D"/>
    <w:rsid w:val="32B51EF8"/>
    <w:rsid w:val="32B52C62"/>
    <w:rsid w:val="32B55A55"/>
    <w:rsid w:val="32B61940"/>
    <w:rsid w:val="32B63081"/>
    <w:rsid w:val="32B649B5"/>
    <w:rsid w:val="32B65A36"/>
    <w:rsid w:val="32B66D79"/>
    <w:rsid w:val="32B67A1F"/>
    <w:rsid w:val="32B75C71"/>
    <w:rsid w:val="32B764A3"/>
    <w:rsid w:val="32B7743E"/>
    <w:rsid w:val="32B819E9"/>
    <w:rsid w:val="32B85545"/>
    <w:rsid w:val="32B86E31"/>
    <w:rsid w:val="32B87A73"/>
    <w:rsid w:val="32B916F2"/>
    <w:rsid w:val="32B935B4"/>
    <w:rsid w:val="32B96870"/>
    <w:rsid w:val="32B97304"/>
    <w:rsid w:val="32BA0764"/>
    <w:rsid w:val="32BA19FD"/>
    <w:rsid w:val="32BA750F"/>
    <w:rsid w:val="32BB4322"/>
    <w:rsid w:val="32BB5035"/>
    <w:rsid w:val="32BB6DE3"/>
    <w:rsid w:val="32BC3287"/>
    <w:rsid w:val="32BC4CA1"/>
    <w:rsid w:val="32BC57B2"/>
    <w:rsid w:val="32BD012B"/>
    <w:rsid w:val="32BD0DAD"/>
    <w:rsid w:val="32BD2B5B"/>
    <w:rsid w:val="32BD6C42"/>
    <w:rsid w:val="32BD7CB1"/>
    <w:rsid w:val="32BE0171"/>
    <w:rsid w:val="32BE2CA3"/>
    <w:rsid w:val="32BE4145"/>
    <w:rsid w:val="32BE5010"/>
    <w:rsid w:val="32BF2D77"/>
    <w:rsid w:val="32BF4133"/>
    <w:rsid w:val="32BF5122"/>
    <w:rsid w:val="32C043BE"/>
    <w:rsid w:val="32C1089D"/>
    <w:rsid w:val="32C12999"/>
    <w:rsid w:val="32C158A2"/>
    <w:rsid w:val="32C165F6"/>
    <w:rsid w:val="32C2774E"/>
    <w:rsid w:val="32C31DBC"/>
    <w:rsid w:val="32C3429C"/>
    <w:rsid w:val="32C35685"/>
    <w:rsid w:val="32C371F6"/>
    <w:rsid w:val="32C3796C"/>
    <w:rsid w:val="32C4034C"/>
    <w:rsid w:val="32C4038E"/>
    <w:rsid w:val="32C4213C"/>
    <w:rsid w:val="32C42442"/>
    <w:rsid w:val="32C453D4"/>
    <w:rsid w:val="32C46F87"/>
    <w:rsid w:val="32C50EEA"/>
    <w:rsid w:val="32C57C62"/>
    <w:rsid w:val="32C63275"/>
    <w:rsid w:val="32C63541"/>
    <w:rsid w:val="32C64EE4"/>
    <w:rsid w:val="32C65B91"/>
    <w:rsid w:val="32C65EB4"/>
    <w:rsid w:val="32C71C2C"/>
    <w:rsid w:val="32C7457E"/>
    <w:rsid w:val="32C81DD1"/>
    <w:rsid w:val="32C86926"/>
    <w:rsid w:val="32C91500"/>
    <w:rsid w:val="32C91D77"/>
    <w:rsid w:val="32C972B4"/>
    <w:rsid w:val="32C97752"/>
    <w:rsid w:val="32CA2337"/>
    <w:rsid w:val="32CA4BD0"/>
    <w:rsid w:val="32CA7A46"/>
    <w:rsid w:val="32CB171C"/>
    <w:rsid w:val="32CB52EB"/>
    <w:rsid w:val="32CB7878"/>
    <w:rsid w:val="32CC1D4A"/>
    <w:rsid w:val="32CC2D9E"/>
    <w:rsid w:val="32CC4FFD"/>
    <w:rsid w:val="32CC52A7"/>
    <w:rsid w:val="32CC54A4"/>
    <w:rsid w:val="32CD069E"/>
    <w:rsid w:val="32CD6714"/>
    <w:rsid w:val="32CE2146"/>
    <w:rsid w:val="32CE4D68"/>
    <w:rsid w:val="32CE4E89"/>
    <w:rsid w:val="32CF5A79"/>
    <w:rsid w:val="32D00AE0"/>
    <w:rsid w:val="32D0288E"/>
    <w:rsid w:val="32D04885"/>
    <w:rsid w:val="32D06532"/>
    <w:rsid w:val="32D0707A"/>
    <w:rsid w:val="32D07922"/>
    <w:rsid w:val="32D11119"/>
    <w:rsid w:val="32D13B5C"/>
    <w:rsid w:val="32D14858"/>
    <w:rsid w:val="32D1567D"/>
    <w:rsid w:val="32D164D0"/>
    <w:rsid w:val="32D16548"/>
    <w:rsid w:val="32D225CE"/>
    <w:rsid w:val="32D279D8"/>
    <w:rsid w:val="32D305D1"/>
    <w:rsid w:val="32D305FE"/>
    <w:rsid w:val="32D3237F"/>
    <w:rsid w:val="32D3412D"/>
    <w:rsid w:val="32D35B64"/>
    <w:rsid w:val="32D424AC"/>
    <w:rsid w:val="32D44EC9"/>
    <w:rsid w:val="32D4515D"/>
    <w:rsid w:val="32D45ADD"/>
    <w:rsid w:val="32D4626D"/>
    <w:rsid w:val="32D4660A"/>
    <w:rsid w:val="32D46FB4"/>
    <w:rsid w:val="32D50C44"/>
    <w:rsid w:val="32D53D77"/>
    <w:rsid w:val="32D56F2B"/>
    <w:rsid w:val="32D57EA5"/>
    <w:rsid w:val="32D60F2A"/>
    <w:rsid w:val="32D62D06"/>
    <w:rsid w:val="32D72543"/>
    <w:rsid w:val="32D77C96"/>
    <w:rsid w:val="32D81391"/>
    <w:rsid w:val="32D81743"/>
    <w:rsid w:val="32D82C8C"/>
    <w:rsid w:val="32D82D49"/>
    <w:rsid w:val="32D84684"/>
    <w:rsid w:val="32D85572"/>
    <w:rsid w:val="32D85BE7"/>
    <w:rsid w:val="32D85DF6"/>
    <w:rsid w:val="32D86CB5"/>
    <w:rsid w:val="32D96407"/>
    <w:rsid w:val="32D9768F"/>
    <w:rsid w:val="32DA195F"/>
    <w:rsid w:val="32DA370D"/>
    <w:rsid w:val="32DA4380"/>
    <w:rsid w:val="32DA54BB"/>
    <w:rsid w:val="32DB1233"/>
    <w:rsid w:val="32DB1617"/>
    <w:rsid w:val="32DB2584"/>
    <w:rsid w:val="32DB382A"/>
    <w:rsid w:val="32DB6077"/>
    <w:rsid w:val="32DC1719"/>
    <w:rsid w:val="32DC173E"/>
    <w:rsid w:val="32DC365B"/>
    <w:rsid w:val="32DC3D91"/>
    <w:rsid w:val="32DC4376"/>
    <w:rsid w:val="32DC4F12"/>
    <w:rsid w:val="32DC6E8B"/>
    <w:rsid w:val="32DC7485"/>
    <w:rsid w:val="32DD0B47"/>
    <w:rsid w:val="32DD144F"/>
    <w:rsid w:val="32DD4F1B"/>
    <w:rsid w:val="32DD4FAB"/>
    <w:rsid w:val="32DD57CB"/>
    <w:rsid w:val="32DE1615"/>
    <w:rsid w:val="32DE6A86"/>
    <w:rsid w:val="32DE7BE5"/>
    <w:rsid w:val="32DF0D23"/>
    <w:rsid w:val="32DF1E0B"/>
    <w:rsid w:val="32DF2AD1"/>
    <w:rsid w:val="32DF43A8"/>
    <w:rsid w:val="32DF6F75"/>
    <w:rsid w:val="32E003BF"/>
    <w:rsid w:val="32E0346C"/>
    <w:rsid w:val="32E0559B"/>
    <w:rsid w:val="32E0684A"/>
    <w:rsid w:val="32E07017"/>
    <w:rsid w:val="32E07C1F"/>
    <w:rsid w:val="32E10E67"/>
    <w:rsid w:val="32E1603D"/>
    <w:rsid w:val="32E1762A"/>
    <w:rsid w:val="32E21A93"/>
    <w:rsid w:val="32E23440"/>
    <w:rsid w:val="32E242A9"/>
    <w:rsid w:val="32E26A66"/>
    <w:rsid w:val="32E3070D"/>
    <w:rsid w:val="32E345F1"/>
    <w:rsid w:val="32E427DE"/>
    <w:rsid w:val="32E4312C"/>
    <w:rsid w:val="32E4458C"/>
    <w:rsid w:val="32E4633A"/>
    <w:rsid w:val="32E46988"/>
    <w:rsid w:val="32E50E7C"/>
    <w:rsid w:val="32E5150D"/>
    <w:rsid w:val="32E5282D"/>
    <w:rsid w:val="32E53E60"/>
    <w:rsid w:val="32E55E4E"/>
    <w:rsid w:val="32E600A7"/>
    <w:rsid w:val="32E60304"/>
    <w:rsid w:val="32E620B2"/>
    <w:rsid w:val="32E649F8"/>
    <w:rsid w:val="32E64CCA"/>
    <w:rsid w:val="32E656E8"/>
    <w:rsid w:val="32E706CD"/>
    <w:rsid w:val="32E74AF0"/>
    <w:rsid w:val="32E779ED"/>
    <w:rsid w:val="32E77A8D"/>
    <w:rsid w:val="32E77BD8"/>
    <w:rsid w:val="32E8182D"/>
    <w:rsid w:val="32E847CF"/>
    <w:rsid w:val="32E90781"/>
    <w:rsid w:val="32E97DF4"/>
    <w:rsid w:val="32EA0468"/>
    <w:rsid w:val="32EA227A"/>
    <w:rsid w:val="32EA519C"/>
    <w:rsid w:val="32EA7773"/>
    <w:rsid w:val="32EA79DF"/>
    <w:rsid w:val="32EB3B6C"/>
    <w:rsid w:val="32EB591A"/>
    <w:rsid w:val="32EB6047"/>
    <w:rsid w:val="32EC3440"/>
    <w:rsid w:val="32EC51EE"/>
    <w:rsid w:val="32EC544C"/>
    <w:rsid w:val="32ED2B11"/>
    <w:rsid w:val="32ED5505"/>
    <w:rsid w:val="32EE0641"/>
    <w:rsid w:val="32EE0928"/>
    <w:rsid w:val="32EE0F67"/>
    <w:rsid w:val="32EE540A"/>
    <w:rsid w:val="32EE71B8"/>
    <w:rsid w:val="32EF4105"/>
    <w:rsid w:val="32F01183"/>
    <w:rsid w:val="32F04CDF"/>
    <w:rsid w:val="32F04F39"/>
    <w:rsid w:val="32F06EBE"/>
    <w:rsid w:val="32F11F3E"/>
    <w:rsid w:val="32F143F0"/>
    <w:rsid w:val="32F144BC"/>
    <w:rsid w:val="32F15B31"/>
    <w:rsid w:val="32F16B8E"/>
    <w:rsid w:val="32F25A59"/>
    <w:rsid w:val="32F25C3D"/>
    <w:rsid w:val="32F30451"/>
    <w:rsid w:val="32F347CF"/>
    <w:rsid w:val="32F364AA"/>
    <w:rsid w:val="32F3701D"/>
    <w:rsid w:val="32F370E7"/>
    <w:rsid w:val="32F40103"/>
    <w:rsid w:val="32F4150A"/>
    <w:rsid w:val="32F435DC"/>
    <w:rsid w:val="32F45BF6"/>
    <w:rsid w:val="32F45D28"/>
    <w:rsid w:val="32F50036"/>
    <w:rsid w:val="32F50547"/>
    <w:rsid w:val="32F522F5"/>
    <w:rsid w:val="32F525BF"/>
    <w:rsid w:val="32F5353E"/>
    <w:rsid w:val="32F54D52"/>
    <w:rsid w:val="32F55F7A"/>
    <w:rsid w:val="32F570E2"/>
    <w:rsid w:val="32F637E8"/>
    <w:rsid w:val="32F6606D"/>
    <w:rsid w:val="32F67C1C"/>
    <w:rsid w:val="32F72511"/>
    <w:rsid w:val="32F729D6"/>
    <w:rsid w:val="32F742BF"/>
    <w:rsid w:val="32F74314"/>
    <w:rsid w:val="32F758B9"/>
    <w:rsid w:val="32F77B2E"/>
    <w:rsid w:val="32F80037"/>
    <w:rsid w:val="32F83AEC"/>
    <w:rsid w:val="32F83BC1"/>
    <w:rsid w:val="32F91A23"/>
    <w:rsid w:val="32F95E6C"/>
    <w:rsid w:val="32F96022"/>
    <w:rsid w:val="32FA0324"/>
    <w:rsid w:val="32FA348F"/>
    <w:rsid w:val="32FA40B5"/>
    <w:rsid w:val="32FA4825"/>
    <w:rsid w:val="32FA790B"/>
    <w:rsid w:val="32FB17B4"/>
    <w:rsid w:val="32FB2CC5"/>
    <w:rsid w:val="32FB3683"/>
    <w:rsid w:val="32FB79C5"/>
    <w:rsid w:val="32FC10FB"/>
    <w:rsid w:val="32FC37B7"/>
    <w:rsid w:val="32FC7B27"/>
    <w:rsid w:val="32FD0979"/>
    <w:rsid w:val="32FD0F6D"/>
    <w:rsid w:val="32FD2211"/>
    <w:rsid w:val="32FD3EDA"/>
    <w:rsid w:val="32FD50EE"/>
    <w:rsid w:val="32FD564D"/>
    <w:rsid w:val="32FD5EE9"/>
    <w:rsid w:val="32FD67AD"/>
    <w:rsid w:val="32FD6CA5"/>
    <w:rsid w:val="32FD73FC"/>
    <w:rsid w:val="32FD7972"/>
    <w:rsid w:val="32FF26AC"/>
    <w:rsid w:val="32FF4F22"/>
    <w:rsid w:val="32FF69F4"/>
    <w:rsid w:val="32FF6BD6"/>
    <w:rsid w:val="33002A55"/>
    <w:rsid w:val="33017570"/>
    <w:rsid w:val="33022A8F"/>
    <w:rsid w:val="33024A12"/>
    <w:rsid w:val="33026AB6"/>
    <w:rsid w:val="33030EB6"/>
    <w:rsid w:val="330319DD"/>
    <w:rsid w:val="3304078A"/>
    <w:rsid w:val="33046EDA"/>
    <w:rsid w:val="3305015A"/>
    <w:rsid w:val="3305333F"/>
    <w:rsid w:val="33053E2E"/>
    <w:rsid w:val="3305437A"/>
    <w:rsid w:val="33054931"/>
    <w:rsid w:val="3306105E"/>
    <w:rsid w:val="33062754"/>
    <w:rsid w:val="33064502"/>
    <w:rsid w:val="33065544"/>
    <w:rsid w:val="330662B0"/>
    <w:rsid w:val="33067AEB"/>
    <w:rsid w:val="33076587"/>
    <w:rsid w:val="33082BF8"/>
    <w:rsid w:val="330835C1"/>
    <w:rsid w:val="330840BB"/>
    <w:rsid w:val="330864CC"/>
    <w:rsid w:val="33087C0B"/>
    <w:rsid w:val="33091C0E"/>
    <w:rsid w:val="33092244"/>
    <w:rsid w:val="33092677"/>
    <w:rsid w:val="3309278D"/>
    <w:rsid w:val="33092C15"/>
    <w:rsid w:val="33093FF2"/>
    <w:rsid w:val="3309448C"/>
    <w:rsid w:val="33094F4E"/>
    <w:rsid w:val="330A0CAF"/>
    <w:rsid w:val="330A2C59"/>
    <w:rsid w:val="330A2F5B"/>
    <w:rsid w:val="330A38E5"/>
    <w:rsid w:val="330A3E66"/>
    <w:rsid w:val="330A5444"/>
    <w:rsid w:val="330B38C7"/>
    <w:rsid w:val="330B3E17"/>
    <w:rsid w:val="330B6633"/>
    <w:rsid w:val="330B7D6A"/>
    <w:rsid w:val="330C763F"/>
    <w:rsid w:val="330D0E45"/>
    <w:rsid w:val="330D2748"/>
    <w:rsid w:val="330D3AE3"/>
    <w:rsid w:val="330D3BC9"/>
    <w:rsid w:val="330D58F3"/>
    <w:rsid w:val="330E1609"/>
    <w:rsid w:val="330E1EE4"/>
    <w:rsid w:val="330E33B7"/>
    <w:rsid w:val="330E67C6"/>
    <w:rsid w:val="330E6971"/>
    <w:rsid w:val="330F04CD"/>
    <w:rsid w:val="330F14DB"/>
    <w:rsid w:val="330F4FF2"/>
    <w:rsid w:val="330F71A0"/>
    <w:rsid w:val="330F7979"/>
    <w:rsid w:val="331035D3"/>
    <w:rsid w:val="33107F03"/>
    <w:rsid w:val="33110043"/>
    <w:rsid w:val="331139DA"/>
    <w:rsid w:val="33114A95"/>
    <w:rsid w:val="33115F8B"/>
    <w:rsid w:val="33116524"/>
    <w:rsid w:val="331165AB"/>
    <w:rsid w:val="331210F9"/>
    <w:rsid w:val="33122EA7"/>
    <w:rsid w:val="33123068"/>
    <w:rsid w:val="33127274"/>
    <w:rsid w:val="33134E71"/>
    <w:rsid w:val="331353A2"/>
    <w:rsid w:val="33136C1F"/>
    <w:rsid w:val="33146293"/>
    <w:rsid w:val="3315185D"/>
    <w:rsid w:val="3315359D"/>
    <w:rsid w:val="331537EB"/>
    <w:rsid w:val="33154745"/>
    <w:rsid w:val="33157E67"/>
    <w:rsid w:val="331636EB"/>
    <w:rsid w:val="33166C0F"/>
    <w:rsid w:val="33172F5C"/>
    <w:rsid w:val="33174E46"/>
    <w:rsid w:val="33174F15"/>
    <w:rsid w:val="33174FA7"/>
    <w:rsid w:val="331755B6"/>
    <w:rsid w:val="3317611B"/>
    <w:rsid w:val="3317784C"/>
    <w:rsid w:val="331820D3"/>
    <w:rsid w:val="33182487"/>
    <w:rsid w:val="33183729"/>
    <w:rsid w:val="33194937"/>
    <w:rsid w:val="3319673D"/>
    <w:rsid w:val="331A0444"/>
    <w:rsid w:val="331A0996"/>
    <w:rsid w:val="331A4C45"/>
    <w:rsid w:val="331A61FF"/>
    <w:rsid w:val="331A7FAD"/>
    <w:rsid w:val="331B27F3"/>
    <w:rsid w:val="331B329F"/>
    <w:rsid w:val="331B5544"/>
    <w:rsid w:val="331C0B79"/>
    <w:rsid w:val="331C222E"/>
    <w:rsid w:val="331C2444"/>
    <w:rsid w:val="331C2FA8"/>
    <w:rsid w:val="331C3CE9"/>
    <w:rsid w:val="331C3D26"/>
    <w:rsid w:val="331D0205"/>
    <w:rsid w:val="331D41CF"/>
    <w:rsid w:val="331D7A9E"/>
    <w:rsid w:val="331D7C8C"/>
    <w:rsid w:val="331E1751"/>
    <w:rsid w:val="331E2227"/>
    <w:rsid w:val="331E22B4"/>
    <w:rsid w:val="331E435C"/>
    <w:rsid w:val="331E43C7"/>
    <w:rsid w:val="331F0BAF"/>
    <w:rsid w:val="331F2DBC"/>
    <w:rsid w:val="331F55C4"/>
    <w:rsid w:val="331F6958"/>
    <w:rsid w:val="331F6DB9"/>
    <w:rsid w:val="331F746E"/>
    <w:rsid w:val="3320076F"/>
    <w:rsid w:val="33202B5E"/>
    <w:rsid w:val="3320382D"/>
    <w:rsid w:val="3321071D"/>
    <w:rsid w:val="33210E12"/>
    <w:rsid w:val="3321133C"/>
    <w:rsid w:val="3321758E"/>
    <w:rsid w:val="33224989"/>
    <w:rsid w:val="33224F6A"/>
    <w:rsid w:val="33225FA3"/>
    <w:rsid w:val="33226368"/>
    <w:rsid w:val="33226DD9"/>
    <w:rsid w:val="33227C0E"/>
    <w:rsid w:val="33230E4C"/>
    <w:rsid w:val="33230E58"/>
    <w:rsid w:val="3323120F"/>
    <w:rsid w:val="332314BA"/>
    <w:rsid w:val="33232A79"/>
    <w:rsid w:val="332350B4"/>
    <w:rsid w:val="33244988"/>
    <w:rsid w:val="33246EBB"/>
    <w:rsid w:val="332532EE"/>
    <w:rsid w:val="33255DB4"/>
    <w:rsid w:val="33257762"/>
    <w:rsid w:val="33261110"/>
    <w:rsid w:val="332612CE"/>
    <w:rsid w:val="33265EB1"/>
    <w:rsid w:val="33266952"/>
    <w:rsid w:val="33271E99"/>
    <w:rsid w:val="33271FA0"/>
    <w:rsid w:val="33274478"/>
    <w:rsid w:val="3328091C"/>
    <w:rsid w:val="332826CA"/>
    <w:rsid w:val="33286011"/>
    <w:rsid w:val="33291F9F"/>
    <w:rsid w:val="33294694"/>
    <w:rsid w:val="332A622F"/>
    <w:rsid w:val="332A6318"/>
    <w:rsid w:val="332B197A"/>
    <w:rsid w:val="332B197C"/>
    <w:rsid w:val="332B5D17"/>
    <w:rsid w:val="332B7152"/>
    <w:rsid w:val="332C05E2"/>
    <w:rsid w:val="332C1A8F"/>
    <w:rsid w:val="332C5C39"/>
    <w:rsid w:val="332C64FD"/>
    <w:rsid w:val="332D1A72"/>
    <w:rsid w:val="332D3A29"/>
    <w:rsid w:val="332D4643"/>
    <w:rsid w:val="332D5F33"/>
    <w:rsid w:val="332D6394"/>
    <w:rsid w:val="332D6E82"/>
    <w:rsid w:val="332E1CAB"/>
    <w:rsid w:val="332E3A59"/>
    <w:rsid w:val="332E5807"/>
    <w:rsid w:val="332E76D4"/>
    <w:rsid w:val="332F18BA"/>
    <w:rsid w:val="332F3C9F"/>
    <w:rsid w:val="332F452B"/>
    <w:rsid w:val="332F4C4B"/>
    <w:rsid w:val="332F7F28"/>
    <w:rsid w:val="333003F3"/>
    <w:rsid w:val="3330332D"/>
    <w:rsid w:val="33305A23"/>
    <w:rsid w:val="33306FA9"/>
    <w:rsid w:val="333077D1"/>
    <w:rsid w:val="33310A59"/>
    <w:rsid w:val="33311883"/>
    <w:rsid w:val="33313B75"/>
    <w:rsid w:val="333140D2"/>
    <w:rsid w:val="33323549"/>
    <w:rsid w:val="33324D0E"/>
    <w:rsid w:val="333252F7"/>
    <w:rsid w:val="3332576D"/>
    <w:rsid w:val="33330402"/>
    <w:rsid w:val="3333190B"/>
    <w:rsid w:val="33331F89"/>
    <w:rsid w:val="33332E1D"/>
    <w:rsid w:val="33334963"/>
    <w:rsid w:val="33340499"/>
    <w:rsid w:val="33342140"/>
    <w:rsid w:val="33343DB2"/>
    <w:rsid w:val="3334504C"/>
    <w:rsid w:val="333459E5"/>
    <w:rsid w:val="333472C1"/>
    <w:rsid w:val="333504FA"/>
    <w:rsid w:val="33351A87"/>
    <w:rsid w:val="33353039"/>
    <w:rsid w:val="33356B95"/>
    <w:rsid w:val="33363BC0"/>
    <w:rsid w:val="333746BC"/>
    <w:rsid w:val="33376E36"/>
    <w:rsid w:val="33381553"/>
    <w:rsid w:val="33384207"/>
    <w:rsid w:val="33384FDF"/>
    <w:rsid w:val="3338549E"/>
    <w:rsid w:val="33386B85"/>
    <w:rsid w:val="33387BE3"/>
    <w:rsid w:val="333948D8"/>
    <w:rsid w:val="333A23FE"/>
    <w:rsid w:val="333A41AC"/>
    <w:rsid w:val="333A5159"/>
    <w:rsid w:val="333A57B7"/>
    <w:rsid w:val="333B068B"/>
    <w:rsid w:val="333B202D"/>
    <w:rsid w:val="333B5506"/>
    <w:rsid w:val="333B6036"/>
    <w:rsid w:val="333C359F"/>
    <w:rsid w:val="333C43C8"/>
    <w:rsid w:val="333C5E28"/>
    <w:rsid w:val="333C6176"/>
    <w:rsid w:val="333C7F24"/>
    <w:rsid w:val="333D184B"/>
    <w:rsid w:val="333D228F"/>
    <w:rsid w:val="333D3C9C"/>
    <w:rsid w:val="333D4138"/>
    <w:rsid w:val="333D49F9"/>
    <w:rsid w:val="333D4F0D"/>
    <w:rsid w:val="333D4FFC"/>
    <w:rsid w:val="333D5A4A"/>
    <w:rsid w:val="333D6C21"/>
    <w:rsid w:val="333D7F5D"/>
    <w:rsid w:val="333E1EEE"/>
    <w:rsid w:val="333E2B41"/>
    <w:rsid w:val="333E5000"/>
    <w:rsid w:val="333E55C8"/>
    <w:rsid w:val="333F0820"/>
    <w:rsid w:val="333F2398"/>
    <w:rsid w:val="333F3C5E"/>
    <w:rsid w:val="333F41EA"/>
    <w:rsid w:val="333F4B55"/>
    <w:rsid w:val="333F71D5"/>
    <w:rsid w:val="333F7A14"/>
    <w:rsid w:val="334007AD"/>
    <w:rsid w:val="33405F7E"/>
    <w:rsid w:val="33407EE8"/>
    <w:rsid w:val="33411378"/>
    <w:rsid w:val="334119DE"/>
    <w:rsid w:val="3341378C"/>
    <w:rsid w:val="3341553A"/>
    <w:rsid w:val="33417490"/>
    <w:rsid w:val="33420BC3"/>
    <w:rsid w:val="33422194"/>
    <w:rsid w:val="33422808"/>
    <w:rsid w:val="33422EC1"/>
    <w:rsid w:val="3342407E"/>
    <w:rsid w:val="3343345D"/>
    <w:rsid w:val="33434AD5"/>
    <w:rsid w:val="33435332"/>
    <w:rsid w:val="33437504"/>
    <w:rsid w:val="33442D26"/>
    <w:rsid w:val="33445BF1"/>
    <w:rsid w:val="334518FC"/>
    <w:rsid w:val="33460DA3"/>
    <w:rsid w:val="33462B19"/>
    <w:rsid w:val="33463773"/>
    <w:rsid w:val="33464220"/>
    <w:rsid w:val="33466FF4"/>
    <w:rsid w:val="334705B2"/>
    <w:rsid w:val="334733B5"/>
    <w:rsid w:val="33480F8C"/>
    <w:rsid w:val="3348124B"/>
    <w:rsid w:val="33482D6D"/>
    <w:rsid w:val="33484B1B"/>
    <w:rsid w:val="33485788"/>
    <w:rsid w:val="3348667A"/>
    <w:rsid w:val="334868C9"/>
    <w:rsid w:val="33486930"/>
    <w:rsid w:val="33486CEA"/>
    <w:rsid w:val="33487DA0"/>
    <w:rsid w:val="33492641"/>
    <w:rsid w:val="33493E4B"/>
    <w:rsid w:val="334A21C4"/>
    <w:rsid w:val="334B0167"/>
    <w:rsid w:val="334B460B"/>
    <w:rsid w:val="334B4FFB"/>
    <w:rsid w:val="334B63B9"/>
    <w:rsid w:val="334C3C43"/>
    <w:rsid w:val="334D105C"/>
    <w:rsid w:val="334D1D54"/>
    <w:rsid w:val="334D2131"/>
    <w:rsid w:val="334D3EDF"/>
    <w:rsid w:val="334D51BC"/>
    <w:rsid w:val="334D6925"/>
    <w:rsid w:val="334E037F"/>
    <w:rsid w:val="334E465E"/>
    <w:rsid w:val="334E5EA9"/>
    <w:rsid w:val="334F20A2"/>
    <w:rsid w:val="334F350D"/>
    <w:rsid w:val="334F40FB"/>
    <w:rsid w:val="33501C21"/>
    <w:rsid w:val="33503FEE"/>
    <w:rsid w:val="335079DD"/>
    <w:rsid w:val="335112BF"/>
    <w:rsid w:val="33514002"/>
    <w:rsid w:val="335141B6"/>
    <w:rsid w:val="3351462B"/>
    <w:rsid w:val="33515CE8"/>
    <w:rsid w:val="335214F5"/>
    <w:rsid w:val="33521713"/>
    <w:rsid w:val="33527747"/>
    <w:rsid w:val="335334BF"/>
    <w:rsid w:val="33533D94"/>
    <w:rsid w:val="3353526D"/>
    <w:rsid w:val="33540D0D"/>
    <w:rsid w:val="33541711"/>
    <w:rsid w:val="335419C3"/>
    <w:rsid w:val="33544A78"/>
    <w:rsid w:val="335477EE"/>
    <w:rsid w:val="33547C57"/>
    <w:rsid w:val="33552D94"/>
    <w:rsid w:val="33557238"/>
    <w:rsid w:val="335632A2"/>
    <w:rsid w:val="3356384F"/>
    <w:rsid w:val="3356584F"/>
    <w:rsid w:val="33565A73"/>
    <w:rsid w:val="3356629A"/>
    <w:rsid w:val="3357359E"/>
    <w:rsid w:val="33574CDF"/>
    <w:rsid w:val="33577048"/>
    <w:rsid w:val="335800A3"/>
    <w:rsid w:val="33582884"/>
    <w:rsid w:val="33583600"/>
    <w:rsid w:val="33583C3F"/>
    <w:rsid w:val="33586E76"/>
    <w:rsid w:val="335921D0"/>
    <w:rsid w:val="335928E0"/>
    <w:rsid w:val="335933C9"/>
    <w:rsid w:val="33594510"/>
    <w:rsid w:val="33596D28"/>
    <w:rsid w:val="335A0A8F"/>
    <w:rsid w:val="335A1777"/>
    <w:rsid w:val="335A2AA0"/>
    <w:rsid w:val="335A3374"/>
    <w:rsid w:val="335A3660"/>
    <w:rsid w:val="335A3F00"/>
    <w:rsid w:val="335A709F"/>
    <w:rsid w:val="335B59A9"/>
    <w:rsid w:val="335C5F80"/>
    <w:rsid w:val="335C7E94"/>
    <w:rsid w:val="335D4DEA"/>
    <w:rsid w:val="335D7048"/>
    <w:rsid w:val="335E433E"/>
    <w:rsid w:val="335E5A03"/>
    <w:rsid w:val="335E60EC"/>
    <w:rsid w:val="335E619C"/>
    <w:rsid w:val="335E62E6"/>
    <w:rsid w:val="335F00B6"/>
    <w:rsid w:val="335F3C12"/>
    <w:rsid w:val="33611869"/>
    <w:rsid w:val="33613E2E"/>
    <w:rsid w:val="33615BDC"/>
    <w:rsid w:val="33622971"/>
    <w:rsid w:val="33623453"/>
    <w:rsid w:val="336254B1"/>
    <w:rsid w:val="33633439"/>
    <w:rsid w:val="33635C3A"/>
    <w:rsid w:val="3363683C"/>
    <w:rsid w:val="33640FE2"/>
    <w:rsid w:val="33642D60"/>
    <w:rsid w:val="33644712"/>
    <w:rsid w:val="336456CD"/>
    <w:rsid w:val="336472E3"/>
    <w:rsid w:val="3364747B"/>
    <w:rsid w:val="33650B8E"/>
    <w:rsid w:val="3365557B"/>
    <w:rsid w:val="3365726B"/>
    <w:rsid w:val="33657D8E"/>
    <w:rsid w:val="33661FAD"/>
    <w:rsid w:val="336624B1"/>
    <w:rsid w:val="336631F3"/>
    <w:rsid w:val="33666FD6"/>
    <w:rsid w:val="33673093"/>
    <w:rsid w:val="33673AA0"/>
    <w:rsid w:val="336747D4"/>
    <w:rsid w:val="33680D19"/>
    <w:rsid w:val="3368429D"/>
    <w:rsid w:val="33685C64"/>
    <w:rsid w:val="3368621F"/>
    <w:rsid w:val="33686F6B"/>
    <w:rsid w:val="33690584"/>
    <w:rsid w:val="3369444F"/>
    <w:rsid w:val="33694A91"/>
    <w:rsid w:val="336A1A14"/>
    <w:rsid w:val="336A3155"/>
    <w:rsid w:val="336A31F9"/>
    <w:rsid w:val="336A64A5"/>
    <w:rsid w:val="336B0809"/>
    <w:rsid w:val="336B25B7"/>
    <w:rsid w:val="336B5504"/>
    <w:rsid w:val="336B5A39"/>
    <w:rsid w:val="336B6845"/>
    <w:rsid w:val="336C198C"/>
    <w:rsid w:val="336C5433"/>
    <w:rsid w:val="336C5A75"/>
    <w:rsid w:val="336C7617"/>
    <w:rsid w:val="336D0C3D"/>
    <w:rsid w:val="336D1AF4"/>
    <w:rsid w:val="336D1F4B"/>
    <w:rsid w:val="336D27D3"/>
    <w:rsid w:val="336D4066"/>
    <w:rsid w:val="336D41E8"/>
    <w:rsid w:val="336D45D4"/>
    <w:rsid w:val="336E1883"/>
    <w:rsid w:val="336E3E55"/>
    <w:rsid w:val="336E425F"/>
    <w:rsid w:val="336E52FE"/>
    <w:rsid w:val="336F02F9"/>
    <w:rsid w:val="336F1756"/>
    <w:rsid w:val="336F2324"/>
    <w:rsid w:val="336F654B"/>
    <w:rsid w:val="337004D1"/>
    <w:rsid w:val="3370266B"/>
    <w:rsid w:val="337036B4"/>
    <w:rsid w:val="33704071"/>
    <w:rsid w:val="33704557"/>
    <w:rsid w:val="33707BCD"/>
    <w:rsid w:val="33710457"/>
    <w:rsid w:val="33716369"/>
    <w:rsid w:val="337178F3"/>
    <w:rsid w:val="33721B98"/>
    <w:rsid w:val="33723B43"/>
    <w:rsid w:val="337264A6"/>
    <w:rsid w:val="337276B2"/>
    <w:rsid w:val="33727DEA"/>
    <w:rsid w:val="3373153F"/>
    <w:rsid w:val="337367F1"/>
    <w:rsid w:val="337376BE"/>
    <w:rsid w:val="337408F7"/>
    <w:rsid w:val="33743E1D"/>
    <w:rsid w:val="33744207"/>
    <w:rsid w:val="33745910"/>
    <w:rsid w:val="337460D4"/>
    <w:rsid w:val="33751688"/>
    <w:rsid w:val="33753436"/>
    <w:rsid w:val="33754B87"/>
    <w:rsid w:val="337551E4"/>
    <w:rsid w:val="33757815"/>
    <w:rsid w:val="33760EA4"/>
    <w:rsid w:val="337658BB"/>
    <w:rsid w:val="33772AD4"/>
    <w:rsid w:val="33773E94"/>
    <w:rsid w:val="3377402E"/>
    <w:rsid w:val="33776525"/>
    <w:rsid w:val="337771AE"/>
    <w:rsid w:val="33780D29"/>
    <w:rsid w:val="33784BF7"/>
    <w:rsid w:val="3378528B"/>
    <w:rsid w:val="3378621D"/>
    <w:rsid w:val="33786BE9"/>
    <w:rsid w:val="337877ED"/>
    <w:rsid w:val="33792F26"/>
    <w:rsid w:val="337952CD"/>
    <w:rsid w:val="33797AD4"/>
    <w:rsid w:val="33797FCA"/>
    <w:rsid w:val="337A3ACA"/>
    <w:rsid w:val="337A5EA7"/>
    <w:rsid w:val="337A7841"/>
    <w:rsid w:val="337B2999"/>
    <w:rsid w:val="337B40DA"/>
    <w:rsid w:val="337B4270"/>
    <w:rsid w:val="337B4EF0"/>
    <w:rsid w:val="337B618F"/>
    <w:rsid w:val="337B7114"/>
    <w:rsid w:val="337B7680"/>
    <w:rsid w:val="337C2A16"/>
    <w:rsid w:val="337C2B8E"/>
    <w:rsid w:val="337C39DB"/>
    <w:rsid w:val="337C43A7"/>
    <w:rsid w:val="337C48FB"/>
    <w:rsid w:val="337C6572"/>
    <w:rsid w:val="337C684D"/>
    <w:rsid w:val="337D42B2"/>
    <w:rsid w:val="337E1035"/>
    <w:rsid w:val="337E2A83"/>
    <w:rsid w:val="337F6F88"/>
    <w:rsid w:val="337F7039"/>
    <w:rsid w:val="33801468"/>
    <w:rsid w:val="33802506"/>
    <w:rsid w:val="338027AA"/>
    <w:rsid w:val="33805317"/>
    <w:rsid w:val="33806C97"/>
    <w:rsid w:val="33807630"/>
    <w:rsid w:val="33807E3D"/>
    <w:rsid w:val="33812F3C"/>
    <w:rsid w:val="33817380"/>
    <w:rsid w:val="33817A4A"/>
    <w:rsid w:val="33826F8A"/>
    <w:rsid w:val="33827C9B"/>
    <w:rsid w:val="33830FFD"/>
    <w:rsid w:val="3383112B"/>
    <w:rsid w:val="3383286C"/>
    <w:rsid w:val="33833DA5"/>
    <w:rsid w:val="33834057"/>
    <w:rsid w:val="338342F2"/>
    <w:rsid w:val="33835B53"/>
    <w:rsid w:val="338418CB"/>
    <w:rsid w:val="33847291"/>
    <w:rsid w:val="33854777"/>
    <w:rsid w:val="33855134"/>
    <w:rsid w:val="33857B1D"/>
    <w:rsid w:val="33860ED9"/>
    <w:rsid w:val="33863895"/>
    <w:rsid w:val="338670CE"/>
    <w:rsid w:val="338673F1"/>
    <w:rsid w:val="33874289"/>
    <w:rsid w:val="338813BB"/>
    <w:rsid w:val="33881470"/>
    <w:rsid w:val="33881CF9"/>
    <w:rsid w:val="33882D27"/>
    <w:rsid w:val="33883169"/>
    <w:rsid w:val="338850FD"/>
    <w:rsid w:val="338879E4"/>
    <w:rsid w:val="338918F7"/>
    <w:rsid w:val="33893E24"/>
    <w:rsid w:val="33894F9D"/>
    <w:rsid w:val="338975E5"/>
    <w:rsid w:val="338A2A4E"/>
    <w:rsid w:val="338A3703"/>
    <w:rsid w:val="338A39EC"/>
    <w:rsid w:val="338A5133"/>
    <w:rsid w:val="338B0EAB"/>
    <w:rsid w:val="338B2C59"/>
    <w:rsid w:val="338B4A07"/>
    <w:rsid w:val="338B5622"/>
    <w:rsid w:val="338B5B13"/>
    <w:rsid w:val="338C11FB"/>
    <w:rsid w:val="338C2ACA"/>
    <w:rsid w:val="338C2DF6"/>
    <w:rsid w:val="338C73B0"/>
    <w:rsid w:val="338D51A3"/>
    <w:rsid w:val="338D78B6"/>
    <w:rsid w:val="338E33A0"/>
    <w:rsid w:val="338E37E6"/>
    <w:rsid w:val="338E62A6"/>
    <w:rsid w:val="338F12FA"/>
    <w:rsid w:val="338F61D9"/>
    <w:rsid w:val="33900270"/>
    <w:rsid w:val="3390201E"/>
    <w:rsid w:val="33903CE8"/>
    <w:rsid w:val="339045ED"/>
    <w:rsid w:val="33905E8E"/>
    <w:rsid w:val="339063B5"/>
    <w:rsid w:val="339064C2"/>
    <w:rsid w:val="3391440C"/>
    <w:rsid w:val="3391683E"/>
    <w:rsid w:val="339209A5"/>
    <w:rsid w:val="3392223A"/>
    <w:rsid w:val="339238CD"/>
    <w:rsid w:val="33924C67"/>
    <w:rsid w:val="33924E40"/>
    <w:rsid w:val="33925D96"/>
    <w:rsid w:val="3392711B"/>
    <w:rsid w:val="33927790"/>
    <w:rsid w:val="33932B33"/>
    <w:rsid w:val="3393341F"/>
    <w:rsid w:val="339337F1"/>
    <w:rsid w:val="33935B86"/>
    <w:rsid w:val="33935CEB"/>
    <w:rsid w:val="33936D14"/>
    <w:rsid w:val="33940C26"/>
    <w:rsid w:val="33941821"/>
    <w:rsid w:val="33941B0E"/>
    <w:rsid w:val="33942687"/>
    <w:rsid w:val="33942912"/>
    <w:rsid w:val="33942BD3"/>
    <w:rsid w:val="33944084"/>
    <w:rsid w:val="33945FB2"/>
    <w:rsid w:val="33947D60"/>
    <w:rsid w:val="33950355"/>
    <w:rsid w:val="339503F4"/>
    <w:rsid w:val="33952F1C"/>
    <w:rsid w:val="33954D73"/>
    <w:rsid w:val="33955886"/>
    <w:rsid w:val="33956427"/>
    <w:rsid w:val="33957634"/>
    <w:rsid w:val="339576E6"/>
    <w:rsid w:val="33957AFF"/>
    <w:rsid w:val="33960D93"/>
    <w:rsid w:val="33961AA4"/>
    <w:rsid w:val="33964EDC"/>
    <w:rsid w:val="3396590A"/>
    <w:rsid w:val="33967BB2"/>
    <w:rsid w:val="339710EA"/>
    <w:rsid w:val="339733AC"/>
    <w:rsid w:val="339753CC"/>
    <w:rsid w:val="339804AC"/>
    <w:rsid w:val="33980AB1"/>
    <w:rsid w:val="33980D28"/>
    <w:rsid w:val="33983602"/>
    <w:rsid w:val="33984237"/>
    <w:rsid w:val="33986489"/>
    <w:rsid w:val="33987FD0"/>
    <w:rsid w:val="339903C4"/>
    <w:rsid w:val="339935C8"/>
    <w:rsid w:val="33994B4A"/>
    <w:rsid w:val="33995376"/>
    <w:rsid w:val="339958AE"/>
    <w:rsid w:val="339A4C4A"/>
    <w:rsid w:val="339A7B5F"/>
    <w:rsid w:val="339B1F83"/>
    <w:rsid w:val="339B3BE0"/>
    <w:rsid w:val="339B5012"/>
    <w:rsid w:val="339B55AD"/>
    <w:rsid w:val="339B7340"/>
    <w:rsid w:val="339B73B2"/>
    <w:rsid w:val="339B748D"/>
    <w:rsid w:val="339C09C3"/>
    <w:rsid w:val="339C2741"/>
    <w:rsid w:val="339C3413"/>
    <w:rsid w:val="339C39E8"/>
    <w:rsid w:val="339C6C14"/>
    <w:rsid w:val="339E0DDD"/>
    <w:rsid w:val="339E473B"/>
    <w:rsid w:val="339E5D33"/>
    <w:rsid w:val="339F03A3"/>
    <w:rsid w:val="339F1D11"/>
    <w:rsid w:val="339F6D94"/>
    <w:rsid w:val="33A01C7F"/>
    <w:rsid w:val="33A02F6D"/>
    <w:rsid w:val="33A04957"/>
    <w:rsid w:val="33A04FDC"/>
    <w:rsid w:val="33A119E5"/>
    <w:rsid w:val="33A11EB3"/>
    <w:rsid w:val="33A14096"/>
    <w:rsid w:val="33A1422B"/>
    <w:rsid w:val="33A15FD9"/>
    <w:rsid w:val="33A22077"/>
    <w:rsid w:val="33A240FC"/>
    <w:rsid w:val="33A2490B"/>
    <w:rsid w:val="33A31D51"/>
    <w:rsid w:val="33A332E6"/>
    <w:rsid w:val="33A361F5"/>
    <w:rsid w:val="33A37FA3"/>
    <w:rsid w:val="33A4038C"/>
    <w:rsid w:val="33A4500D"/>
    <w:rsid w:val="33A45018"/>
    <w:rsid w:val="33A556A4"/>
    <w:rsid w:val="33A57C80"/>
    <w:rsid w:val="33A65CE5"/>
    <w:rsid w:val="33A71C67"/>
    <w:rsid w:val="33A7390D"/>
    <w:rsid w:val="33A7665D"/>
    <w:rsid w:val="33A8120E"/>
    <w:rsid w:val="33A818E4"/>
    <w:rsid w:val="33A82A49"/>
    <w:rsid w:val="33A8380B"/>
    <w:rsid w:val="33A855B9"/>
    <w:rsid w:val="33A85D8E"/>
    <w:rsid w:val="33A877AB"/>
    <w:rsid w:val="33A902E8"/>
    <w:rsid w:val="33A91D57"/>
    <w:rsid w:val="33A946A2"/>
    <w:rsid w:val="33A97A59"/>
    <w:rsid w:val="33AA1331"/>
    <w:rsid w:val="33AA2812"/>
    <w:rsid w:val="33AA45F7"/>
    <w:rsid w:val="33AA6B0E"/>
    <w:rsid w:val="33AA7583"/>
    <w:rsid w:val="33AB0AD0"/>
    <w:rsid w:val="33AB1134"/>
    <w:rsid w:val="33AB2EAA"/>
    <w:rsid w:val="33AB32B0"/>
    <w:rsid w:val="33AB32FB"/>
    <w:rsid w:val="33AB50A9"/>
    <w:rsid w:val="33AB60CF"/>
    <w:rsid w:val="33AB6E58"/>
    <w:rsid w:val="33AC083A"/>
    <w:rsid w:val="33AC6094"/>
    <w:rsid w:val="33AD0E22"/>
    <w:rsid w:val="33AD24FE"/>
    <w:rsid w:val="33AD2BD0"/>
    <w:rsid w:val="33AD45E5"/>
    <w:rsid w:val="33AD497E"/>
    <w:rsid w:val="33AD5E70"/>
    <w:rsid w:val="33AD69C7"/>
    <w:rsid w:val="33AD7074"/>
    <w:rsid w:val="33AE08E1"/>
    <w:rsid w:val="33AE60EE"/>
    <w:rsid w:val="33AF0622"/>
    <w:rsid w:val="33AF199C"/>
    <w:rsid w:val="33AF1B01"/>
    <w:rsid w:val="33AF2165"/>
    <w:rsid w:val="33AF4B9A"/>
    <w:rsid w:val="33AF52A6"/>
    <w:rsid w:val="33B01121"/>
    <w:rsid w:val="33B02A93"/>
    <w:rsid w:val="33B02B4A"/>
    <w:rsid w:val="33B0446E"/>
    <w:rsid w:val="33B050A6"/>
    <w:rsid w:val="33B07431"/>
    <w:rsid w:val="33B10912"/>
    <w:rsid w:val="33B12306"/>
    <w:rsid w:val="33B14E75"/>
    <w:rsid w:val="33B16369"/>
    <w:rsid w:val="33B16869"/>
    <w:rsid w:val="33B169E4"/>
    <w:rsid w:val="33B20A50"/>
    <w:rsid w:val="33B226D5"/>
    <w:rsid w:val="33B22E53"/>
    <w:rsid w:val="33B2540D"/>
    <w:rsid w:val="33B26F24"/>
    <w:rsid w:val="33B304AB"/>
    <w:rsid w:val="33B3275B"/>
    <w:rsid w:val="33B36351"/>
    <w:rsid w:val="33B367BA"/>
    <w:rsid w:val="33B40455"/>
    <w:rsid w:val="33B4200D"/>
    <w:rsid w:val="33B4221D"/>
    <w:rsid w:val="33B425BA"/>
    <w:rsid w:val="33B4426B"/>
    <w:rsid w:val="33B45D12"/>
    <w:rsid w:val="33B50DB9"/>
    <w:rsid w:val="33B51A84"/>
    <w:rsid w:val="33B52653"/>
    <w:rsid w:val="33B556FB"/>
    <w:rsid w:val="33B61EB0"/>
    <w:rsid w:val="33B62170"/>
    <w:rsid w:val="33B63E26"/>
    <w:rsid w:val="33B65F28"/>
    <w:rsid w:val="33B7001B"/>
    <w:rsid w:val="33B71CA0"/>
    <w:rsid w:val="33B72540"/>
    <w:rsid w:val="33B734CA"/>
    <w:rsid w:val="33B74356"/>
    <w:rsid w:val="33B74F03"/>
    <w:rsid w:val="33B757FC"/>
    <w:rsid w:val="33B7580D"/>
    <w:rsid w:val="33B764D0"/>
    <w:rsid w:val="33B80499"/>
    <w:rsid w:val="33B80819"/>
    <w:rsid w:val="33B80ACF"/>
    <w:rsid w:val="33B81C34"/>
    <w:rsid w:val="33B82682"/>
    <w:rsid w:val="33B83EC4"/>
    <w:rsid w:val="33B92580"/>
    <w:rsid w:val="33B928EB"/>
    <w:rsid w:val="33B9455A"/>
    <w:rsid w:val="33B9550C"/>
    <w:rsid w:val="33B96651"/>
    <w:rsid w:val="33B977C6"/>
    <w:rsid w:val="33BA6AD2"/>
    <w:rsid w:val="33BA709B"/>
    <w:rsid w:val="33BC1065"/>
    <w:rsid w:val="33BC29FD"/>
    <w:rsid w:val="33BC2E13"/>
    <w:rsid w:val="33BC3629"/>
    <w:rsid w:val="33BC3F22"/>
    <w:rsid w:val="33BC72B7"/>
    <w:rsid w:val="33BD1E6A"/>
    <w:rsid w:val="33BD7658"/>
    <w:rsid w:val="33BF3B24"/>
    <w:rsid w:val="33BF449B"/>
    <w:rsid w:val="33BF74A5"/>
    <w:rsid w:val="33C00B55"/>
    <w:rsid w:val="33C03630"/>
    <w:rsid w:val="33C04556"/>
    <w:rsid w:val="33C06DA7"/>
    <w:rsid w:val="33C13496"/>
    <w:rsid w:val="33C13C9E"/>
    <w:rsid w:val="33C16BF7"/>
    <w:rsid w:val="33C215A4"/>
    <w:rsid w:val="33C22A5A"/>
    <w:rsid w:val="33C24334"/>
    <w:rsid w:val="33C2555E"/>
    <w:rsid w:val="33C2659A"/>
    <w:rsid w:val="33C336B0"/>
    <w:rsid w:val="33C35354"/>
    <w:rsid w:val="33C365BE"/>
    <w:rsid w:val="33C36987"/>
    <w:rsid w:val="33C41CCE"/>
    <w:rsid w:val="33C44425"/>
    <w:rsid w:val="33C4608D"/>
    <w:rsid w:val="33C5384C"/>
    <w:rsid w:val="33C53AAF"/>
    <w:rsid w:val="33C5471C"/>
    <w:rsid w:val="33C558EC"/>
    <w:rsid w:val="33C5616B"/>
    <w:rsid w:val="33C5668A"/>
    <w:rsid w:val="33C56F92"/>
    <w:rsid w:val="33C61EE3"/>
    <w:rsid w:val="33C6229F"/>
    <w:rsid w:val="33C63C91"/>
    <w:rsid w:val="33C64B8F"/>
    <w:rsid w:val="33C65A3F"/>
    <w:rsid w:val="33C66680"/>
    <w:rsid w:val="33C70135"/>
    <w:rsid w:val="33C70622"/>
    <w:rsid w:val="33C724F1"/>
    <w:rsid w:val="33C81535"/>
    <w:rsid w:val="33C82E61"/>
    <w:rsid w:val="33C837B3"/>
    <w:rsid w:val="33C85C5B"/>
    <w:rsid w:val="33C87A09"/>
    <w:rsid w:val="33C91813"/>
    <w:rsid w:val="33C92986"/>
    <w:rsid w:val="33C94DE6"/>
    <w:rsid w:val="33CA19D4"/>
    <w:rsid w:val="33CA3782"/>
    <w:rsid w:val="33CA5530"/>
    <w:rsid w:val="33CA6A09"/>
    <w:rsid w:val="33CB182B"/>
    <w:rsid w:val="33CB74FA"/>
    <w:rsid w:val="33CC5AA6"/>
    <w:rsid w:val="33CC5FEE"/>
    <w:rsid w:val="33CD0744"/>
    <w:rsid w:val="33CD3B7E"/>
    <w:rsid w:val="33CD40C7"/>
    <w:rsid w:val="33CD5020"/>
    <w:rsid w:val="33CD6DCE"/>
    <w:rsid w:val="33CE1AE5"/>
    <w:rsid w:val="33CF0E73"/>
    <w:rsid w:val="33CF34FA"/>
    <w:rsid w:val="33CF4883"/>
    <w:rsid w:val="33CF4E67"/>
    <w:rsid w:val="33CF62A2"/>
    <w:rsid w:val="33CF71CB"/>
    <w:rsid w:val="33D02303"/>
    <w:rsid w:val="33D03DCF"/>
    <w:rsid w:val="33D04B10"/>
    <w:rsid w:val="33D068BE"/>
    <w:rsid w:val="33D07732"/>
    <w:rsid w:val="33D07E33"/>
    <w:rsid w:val="33D100F5"/>
    <w:rsid w:val="33D12C62"/>
    <w:rsid w:val="33D144DC"/>
    <w:rsid w:val="33D15E4E"/>
    <w:rsid w:val="33D20888"/>
    <w:rsid w:val="33D24C23"/>
    <w:rsid w:val="33D267D7"/>
    <w:rsid w:val="33D26ADA"/>
    <w:rsid w:val="33D309A5"/>
    <w:rsid w:val="33D3430C"/>
    <w:rsid w:val="33D35A5B"/>
    <w:rsid w:val="33D360B3"/>
    <w:rsid w:val="33D4393D"/>
    <w:rsid w:val="33D44600"/>
    <w:rsid w:val="33D47543"/>
    <w:rsid w:val="33D47F63"/>
    <w:rsid w:val="33D5318C"/>
    <w:rsid w:val="33D555BC"/>
    <w:rsid w:val="33D5788D"/>
    <w:rsid w:val="33D60464"/>
    <w:rsid w:val="33D62126"/>
    <w:rsid w:val="33D628DE"/>
    <w:rsid w:val="33D66175"/>
    <w:rsid w:val="33D67205"/>
    <w:rsid w:val="33D71222"/>
    <w:rsid w:val="33D73BEC"/>
    <w:rsid w:val="33D740F0"/>
    <w:rsid w:val="33D77C4D"/>
    <w:rsid w:val="33D91C17"/>
    <w:rsid w:val="33D91F25"/>
    <w:rsid w:val="33D93748"/>
    <w:rsid w:val="33D939C5"/>
    <w:rsid w:val="33D95439"/>
    <w:rsid w:val="33D96DD4"/>
    <w:rsid w:val="33D97E69"/>
    <w:rsid w:val="33DA14EB"/>
    <w:rsid w:val="33DA3A20"/>
    <w:rsid w:val="33DA4A7E"/>
    <w:rsid w:val="33DA7365"/>
    <w:rsid w:val="33DB773D"/>
    <w:rsid w:val="33DC01CE"/>
    <w:rsid w:val="33DC34B5"/>
    <w:rsid w:val="33DC4DBE"/>
    <w:rsid w:val="33DC5263"/>
    <w:rsid w:val="33DD1D36"/>
    <w:rsid w:val="33DD45E1"/>
    <w:rsid w:val="33DD7A75"/>
    <w:rsid w:val="33DE0FDB"/>
    <w:rsid w:val="33DE1688"/>
    <w:rsid w:val="33DE426E"/>
    <w:rsid w:val="33DE4907"/>
    <w:rsid w:val="33DE5A31"/>
    <w:rsid w:val="33DF01AE"/>
    <w:rsid w:val="33E00794"/>
    <w:rsid w:val="33E00DDF"/>
    <w:rsid w:val="33E03A43"/>
    <w:rsid w:val="33E04D53"/>
    <w:rsid w:val="33E0767D"/>
    <w:rsid w:val="33E11515"/>
    <w:rsid w:val="33E118EB"/>
    <w:rsid w:val="33E11B47"/>
    <w:rsid w:val="33E12190"/>
    <w:rsid w:val="33E12879"/>
    <w:rsid w:val="33E159A1"/>
    <w:rsid w:val="33E16D1D"/>
    <w:rsid w:val="33E17DF2"/>
    <w:rsid w:val="33E22FCC"/>
    <w:rsid w:val="33E26284"/>
    <w:rsid w:val="33E30779"/>
    <w:rsid w:val="33E324D7"/>
    <w:rsid w:val="33E32A95"/>
    <w:rsid w:val="33E365F1"/>
    <w:rsid w:val="33E40985"/>
    <w:rsid w:val="33E41C09"/>
    <w:rsid w:val="33E42013"/>
    <w:rsid w:val="33E466F7"/>
    <w:rsid w:val="33E46EC3"/>
    <w:rsid w:val="33E505BB"/>
    <w:rsid w:val="33E52369"/>
    <w:rsid w:val="33E53099"/>
    <w:rsid w:val="33E6120F"/>
    <w:rsid w:val="33E64A36"/>
    <w:rsid w:val="33E64B16"/>
    <w:rsid w:val="33E64CA3"/>
    <w:rsid w:val="33E65956"/>
    <w:rsid w:val="33E660E2"/>
    <w:rsid w:val="33E67DF3"/>
    <w:rsid w:val="33E71927"/>
    <w:rsid w:val="33E73D12"/>
    <w:rsid w:val="33E74334"/>
    <w:rsid w:val="33E759B9"/>
    <w:rsid w:val="33E76B32"/>
    <w:rsid w:val="33E800AC"/>
    <w:rsid w:val="33E8058A"/>
    <w:rsid w:val="33E8193D"/>
    <w:rsid w:val="33E81E5A"/>
    <w:rsid w:val="33E854F7"/>
    <w:rsid w:val="33E86E49"/>
    <w:rsid w:val="33E91A1A"/>
    <w:rsid w:val="33E928F3"/>
    <w:rsid w:val="33E93CEE"/>
    <w:rsid w:val="33E944B5"/>
    <w:rsid w:val="33E97087"/>
    <w:rsid w:val="33EA2093"/>
    <w:rsid w:val="33EA3AED"/>
    <w:rsid w:val="33EA5108"/>
    <w:rsid w:val="33EA5624"/>
    <w:rsid w:val="33EA7980"/>
    <w:rsid w:val="33EB05AA"/>
    <w:rsid w:val="33EB36F8"/>
    <w:rsid w:val="33EB412E"/>
    <w:rsid w:val="33EC1B85"/>
    <w:rsid w:val="33EC3263"/>
    <w:rsid w:val="33ED004E"/>
    <w:rsid w:val="33ED19B0"/>
    <w:rsid w:val="33ED56C2"/>
    <w:rsid w:val="33ED6457"/>
    <w:rsid w:val="33EE32C2"/>
    <w:rsid w:val="33EE5EF7"/>
    <w:rsid w:val="33EE72B7"/>
    <w:rsid w:val="33EF32F7"/>
    <w:rsid w:val="33EF414B"/>
    <w:rsid w:val="33EF6029"/>
    <w:rsid w:val="33F00B64"/>
    <w:rsid w:val="33F02472"/>
    <w:rsid w:val="33F037C6"/>
    <w:rsid w:val="33F06548"/>
    <w:rsid w:val="33F151B2"/>
    <w:rsid w:val="33F16F60"/>
    <w:rsid w:val="33F20F2A"/>
    <w:rsid w:val="33F23FBB"/>
    <w:rsid w:val="33F2420D"/>
    <w:rsid w:val="33F24A86"/>
    <w:rsid w:val="33F260B4"/>
    <w:rsid w:val="33F26834"/>
    <w:rsid w:val="33F31B13"/>
    <w:rsid w:val="33F407FF"/>
    <w:rsid w:val="33F425AD"/>
    <w:rsid w:val="33F45129"/>
    <w:rsid w:val="33F52B8E"/>
    <w:rsid w:val="33F61FA4"/>
    <w:rsid w:val="33F627C9"/>
    <w:rsid w:val="33F702EF"/>
    <w:rsid w:val="33F70AA3"/>
    <w:rsid w:val="33F72008"/>
    <w:rsid w:val="33F7209D"/>
    <w:rsid w:val="33F74427"/>
    <w:rsid w:val="33F86280"/>
    <w:rsid w:val="33F86541"/>
    <w:rsid w:val="33F8693E"/>
    <w:rsid w:val="33F9279F"/>
    <w:rsid w:val="33F928AE"/>
    <w:rsid w:val="33F92D7E"/>
    <w:rsid w:val="33F94067"/>
    <w:rsid w:val="33F95E15"/>
    <w:rsid w:val="33F96365"/>
    <w:rsid w:val="33FA125E"/>
    <w:rsid w:val="33FA2F16"/>
    <w:rsid w:val="33FA3070"/>
    <w:rsid w:val="33FB1B8D"/>
    <w:rsid w:val="33FB2925"/>
    <w:rsid w:val="33FB575B"/>
    <w:rsid w:val="33FB6D40"/>
    <w:rsid w:val="33FB7DDF"/>
    <w:rsid w:val="33FC1847"/>
    <w:rsid w:val="33FC4A10"/>
    <w:rsid w:val="33FC6A77"/>
    <w:rsid w:val="33FC6E01"/>
    <w:rsid w:val="33FC76B3"/>
    <w:rsid w:val="33FC7E90"/>
    <w:rsid w:val="33FD1320"/>
    <w:rsid w:val="33FD18B0"/>
    <w:rsid w:val="33FD7BDF"/>
    <w:rsid w:val="33FE1CA3"/>
    <w:rsid w:val="33FE6147"/>
    <w:rsid w:val="33FE78CF"/>
    <w:rsid w:val="33FF2AB3"/>
    <w:rsid w:val="33FF4C69"/>
    <w:rsid w:val="33FF73F5"/>
    <w:rsid w:val="33FF7DD1"/>
    <w:rsid w:val="3400071F"/>
    <w:rsid w:val="34000E14"/>
    <w:rsid w:val="34000F51"/>
    <w:rsid w:val="340012AB"/>
    <w:rsid w:val="34001B1A"/>
    <w:rsid w:val="3400694E"/>
    <w:rsid w:val="340071A3"/>
    <w:rsid w:val="34007C0F"/>
    <w:rsid w:val="34010595"/>
    <w:rsid w:val="34011131"/>
    <w:rsid w:val="3401118A"/>
    <w:rsid w:val="34014CC9"/>
    <w:rsid w:val="340211E1"/>
    <w:rsid w:val="340223B2"/>
    <w:rsid w:val="34030A42"/>
    <w:rsid w:val="34031090"/>
    <w:rsid w:val="340325E9"/>
    <w:rsid w:val="34033B76"/>
    <w:rsid w:val="3403482B"/>
    <w:rsid w:val="3403489B"/>
    <w:rsid w:val="34034EE6"/>
    <w:rsid w:val="3403592F"/>
    <w:rsid w:val="34036C94"/>
    <w:rsid w:val="340402AB"/>
    <w:rsid w:val="3404111E"/>
    <w:rsid w:val="34042071"/>
    <w:rsid w:val="340423EC"/>
    <w:rsid w:val="3404264B"/>
    <w:rsid w:val="34044335"/>
    <w:rsid w:val="34044EE1"/>
    <w:rsid w:val="34050BE0"/>
    <w:rsid w:val="34050C5E"/>
    <w:rsid w:val="34052A0C"/>
    <w:rsid w:val="340547BA"/>
    <w:rsid w:val="34057AB2"/>
    <w:rsid w:val="3406163F"/>
    <w:rsid w:val="34074FA3"/>
    <w:rsid w:val="34075F9E"/>
    <w:rsid w:val="34076784"/>
    <w:rsid w:val="340824FC"/>
    <w:rsid w:val="340832B7"/>
    <w:rsid w:val="340842AA"/>
    <w:rsid w:val="34086058"/>
    <w:rsid w:val="34086670"/>
    <w:rsid w:val="34091FA1"/>
    <w:rsid w:val="340A0022"/>
    <w:rsid w:val="340A1DD0"/>
    <w:rsid w:val="340A2014"/>
    <w:rsid w:val="340A6274"/>
    <w:rsid w:val="340A62B4"/>
    <w:rsid w:val="340A7F87"/>
    <w:rsid w:val="340B47F9"/>
    <w:rsid w:val="340B78F6"/>
    <w:rsid w:val="340C1E79"/>
    <w:rsid w:val="340C3D9A"/>
    <w:rsid w:val="340C443D"/>
    <w:rsid w:val="340C5B48"/>
    <w:rsid w:val="340C5E85"/>
    <w:rsid w:val="340C6CC0"/>
    <w:rsid w:val="340D0482"/>
    <w:rsid w:val="340D0E15"/>
    <w:rsid w:val="340D18C0"/>
    <w:rsid w:val="340D25F3"/>
    <w:rsid w:val="340D464C"/>
    <w:rsid w:val="340D7B12"/>
    <w:rsid w:val="340E0B64"/>
    <w:rsid w:val="340E1A1E"/>
    <w:rsid w:val="340E30B5"/>
    <w:rsid w:val="340E3279"/>
    <w:rsid w:val="340E5CB3"/>
    <w:rsid w:val="340E64E4"/>
    <w:rsid w:val="340E68AE"/>
    <w:rsid w:val="340F367D"/>
    <w:rsid w:val="340F388A"/>
    <w:rsid w:val="340F5638"/>
    <w:rsid w:val="340F6E35"/>
    <w:rsid w:val="340F73E6"/>
    <w:rsid w:val="341037D6"/>
    <w:rsid w:val="3410451E"/>
    <w:rsid w:val="341101CF"/>
    <w:rsid w:val="341113B0"/>
    <w:rsid w:val="341174E5"/>
    <w:rsid w:val="34120C85"/>
    <w:rsid w:val="34121390"/>
    <w:rsid w:val="341221E9"/>
    <w:rsid w:val="34125340"/>
    <w:rsid w:val="34126ED7"/>
    <w:rsid w:val="34135B93"/>
    <w:rsid w:val="34137A32"/>
    <w:rsid w:val="34140093"/>
    <w:rsid w:val="34140EA1"/>
    <w:rsid w:val="34142086"/>
    <w:rsid w:val="3414451F"/>
    <w:rsid w:val="341449FD"/>
    <w:rsid w:val="3414608E"/>
    <w:rsid w:val="341460EF"/>
    <w:rsid w:val="34146799"/>
    <w:rsid w:val="341475A7"/>
    <w:rsid w:val="34156C0E"/>
    <w:rsid w:val="341640CB"/>
    <w:rsid w:val="341669C7"/>
    <w:rsid w:val="3417273F"/>
    <w:rsid w:val="3417360B"/>
    <w:rsid w:val="341744ED"/>
    <w:rsid w:val="34180991"/>
    <w:rsid w:val="34182077"/>
    <w:rsid w:val="3418562A"/>
    <w:rsid w:val="34190265"/>
    <w:rsid w:val="341964B7"/>
    <w:rsid w:val="341973B8"/>
    <w:rsid w:val="341A0846"/>
    <w:rsid w:val="341A0848"/>
    <w:rsid w:val="341A108E"/>
    <w:rsid w:val="341A30D5"/>
    <w:rsid w:val="341A3419"/>
    <w:rsid w:val="341B1034"/>
    <w:rsid w:val="341B1CD8"/>
    <w:rsid w:val="341B222F"/>
    <w:rsid w:val="341C040C"/>
    <w:rsid w:val="341C140C"/>
    <w:rsid w:val="341C1B03"/>
    <w:rsid w:val="341C3168"/>
    <w:rsid w:val="341C3698"/>
    <w:rsid w:val="341C4F96"/>
    <w:rsid w:val="341C5105"/>
    <w:rsid w:val="341C5A48"/>
    <w:rsid w:val="341D5FA7"/>
    <w:rsid w:val="341D7D55"/>
    <w:rsid w:val="341E0667"/>
    <w:rsid w:val="341E2EA6"/>
    <w:rsid w:val="341E3ACD"/>
    <w:rsid w:val="341E587B"/>
    <w:rsid w:val="341E6553"/>
    <w:rsid w:val="341F1923"/>
    <w:rsid w:val="342015F4"/>
    <w:rsid w:val="3420419E"/>
    <w:rsid w:val="34210375"/>
    <w:rsid w:val="34210E96"/>
    <w:rsid w:val="34212282"/>
    <w:rsid w:val="3422046A"/>
    <w:rsid w:val="3422185A"/>
    <w:rsid w:val="34221FB8"/>
    <w:rsid w:val="34223047"/>
    <w:rsid w:val="342310E4"/>
    <w:rsid w:val="34232E92"/>
    <w:rsid w:val="34235A24"/>
    <w:rsid w:val="34235F70"/>
    <w:rsid w:val="34237336"/>
    <w:rsid w:val="34240177"/>
    <w:rsid w:val="34244C8F"/>
    <w:rsid w:val="34246CDE"/>
    <w:rsid w:val="3424709C"/>
    <w:rsid w:val="342509B8"/>
    <w:rsid w:val="34250E12"/>
    <w:rsid w:val="34252428"/>
    <w:rsid w:val="34255596"/>
    <w:rsid w:val="34257738"/>
    <w:rsid w:val="3426690D"/>
    <w:rsid w:val="342706AA"/>
    <w:rsid w:val="34270BD4"/>
    <w:rsid w:val="34270BFC"/>
    <w:rsid w:val="342801F3"/>
    <w:rsid w:val="342804A8"/>
    <w:rsid w:val="34284817"/>
    <w:rsid w:val="3428494C"/>
    <w:rsid w:val="34293A0C"/>
    <w:rsid w:val="3429576C"/>
    <w:rsid w:val="34297E63"/>
    <w:rsid w:val="342A033D"/>
    <w:rsid w:val="342A06AA"/>
    <w:rsid w:val="342A06C4"/>
    <w:rsid w:val="342A4763"/>
    <w:rsid w:val="342A4835"/>
    <w:rsid w:val="342A565D"/>
    <w:rsid w:val="342B1A63"/>
    <w:rsid w:val="342B1C01"/>
    <w:rsid w:val="342C0820"/>
    <w:rsid w:val="342C1119"/>
    <w:rsid w:val="342C3405"/>
    <w:rsid w:val="342C3D78"/>
    <w:rsid w:val="342C5338"/>
    <w:rsid w:val="342C61EA"/>
    <w:rsid w:val="342C7F98"/>
    <w:rsid w:val="342D1CE0"/>
    <w:rsid w:val="342D24C2"/>
    <w:rsid w:val="342D3D10"/>
    <w:rsid w:val="342D495A"/>
    <w:rsid w:val="342D5597"/>
    <w:rsid w:val="342D5ABF"/>
    <w:rsid w:val="342D5B8B"/>
    <w:rsid w:val="342D7D5D"/>
    <w:rsid w:val="342E5C4F"/>
    <w:rsid w:val="342F4A6D"/>
    <w:rsid w:val="342F5CDB"/>
    <w:rsid w:val="342F7227"/>
    <w:rsid w:val="342F7A89"/>
    <w:rsid w:val="34303B21"/>
    <w:rsid w:val="3430563F"/>
    <w:rsid w:val="3430683D"/>
    <w:rsid w:val="34311A53"/>
    <w:rsid w:val="34313801"/>
    <w:rsid w:val="34315F42"/>
    <w:rsid w:val="343167C3"/>
    <w:rsid w:val="34316ACF"/>
    <w:rsid w:val="343216A0"/>
    <w:rsid w:val="34321A64"/>
    <w:rsid w:val="343230D5"/>
    <w:rsid w:val="34323910"/>
    <w:rsid w:val="34324411"/>
    <w:rsid w:val="343266CA"/>
    <w:rsid w:val="34332B30"/>
    <w:rsid w:val="3433391B"/>
    <w:rsid w:val="34333AA2"/>
    <w:rsid w:val="34333B9B"/>
    <w:rsid w:val="3433445A"/>
    <w:rsid w:val="34336CC1"/>
    <w:rsid w:val="34343369"/>
    <w:rsid w:val="34344F53"/>
    <w:rsid w:val="3434509F"/>
    <w:rsid w:val="343455E6"/>
    <w:rsid w:val="34346410"/>
    <w:rsid w:val="34346E4D"/>
    <w:rsid w:val="34350021"/>
    <w:rsid w:val="3435210A"/>
    <w:rsid w:val="3435240B"/>
    <w:rsid w:val="3435682B"/>
    <w:rsid w:val="34360E17"/>
    <w:rsid w:val="34362BC5"/>
    <w:rsid w:val="34363D01"/>
    <w:rsid w:val="34364D8F"/>
    <w:rsid w:val="34366FD4"/>
    <w:rsid w:val="34367069"/>
    <w:rsid w:val="343672CC"/>
    <w:rsid w:val="343706EB"/>
    <w:rsid w:val="34372941"/>
    <w:rsid w:val="343743F7"/>
    <w:rsid w:val="34374668"/>
    <w:rsid w:val="3437693D"/>
    <w:rsid w:val="34382116"/>
    <w:rsid w:val="34383DD1"/>
    <w:rsid w:val="34384B8F"/>
    <w:rsid w:val="34390907"/>
    <w:rsid w:val="343921D6"/>
    <w:rsid w:val="343926B5"/>
    <w:rsid w:val="34394C1C"/>
    <w:rsid w:val="343B0213"/>
    <w:rsid w:val="343B2752"/>
    <w:rsid w:val="343B467F"/>
    <w:rsid w:val="343B642D"/>
    <w:rsid w:val="343B6D69"/>
    <w:rsid w:val="343C2039"/>
    <w:rsid w:val="343C2E42"/>
    <w:rsid w:val="343C3F54"/>
    <w:rsid w:val="343C5B06"/>
    <w:rsid w:val="343C70D2"/>
    <w:rsid w:val="343D21A6"/>
    <w:rsid w:val="343E0F84"/>
    <w:rsid w:val="343E1669"/>
    <w:rsid w:val="343E1A7A"/>
    <w:rsid w:val="343E6BA8"/>
    <w:rsid w:val="343E7849"/>
    <w:rsid w:val="343E7CCC"/>
    <w:rsid w:val="343F1539"/>
    <w:rsid w:val="343F40BD"/>
    <w:rsid w:val="343F5BD1"/>
    <w:rsid w:val="343F7EBF"/>
    <w:rsid w:val="34400755"/>
    <w:rsid w:val="34401C96"/>
    <w:rsid w:val="34403A44"/>
    <w:rsid w:val="344057F2"/>
    <w:rsid w:val="34405F2C"/>
    <w:rsid w:val="3441351F"/>
    <w:rsid w:val="34414002"/>
    <w:rsid w:val="34414329"/>
    <w:rsid w:val="344259BD"/>
    <w:rsid w:val="34425A0E"/>
    <w:rsid w:val="34427A54"/>
    <w:rsid w:val="34430474"/>
    <w:rsid w:val="34433534"/>
    <w:rsid w:val="34434F52"/>
    <w:rsid w:val="344352E2"/>
    <w:rsid w:val="34436B0D"/>
    <w:rsid w:val="34440B27"/>
    <w:rsid w:val="34441786"/>
    <w:rsid w:val="344449E4"/>
    <w:rsid w:val="3445105A"/>
    <w:rsid w:val="344572AC"/>
    <w:rsid w:val="34460FA6"/>
    <w:rsid w:val="34466EEA"/>
    <w:rsid w:val="34473024"/>
    <w:rsid w:val="34474DD2"/>
    <w:rsid w:val="34475066"/>
    <w:rsid w:val="34475FA8"/>
    <w:rsid w:val="344769A3"/>
    <w:rsid w:val="34480B4A"/>
    <w:rsid w:val="344815AF"/>
    <w:rsid w:val="344828F8"/>
    <w:rsid w:val="34482D34"/>
    <w:rsid w:val="3448409E"/>
    <w:rsid w:val="34485E1F"/>
    <w:rsid w:val="34490941"/>
    <w:rsid w:val="34490BC1"/>
    <w:rsid w:val="34493AED"/>
    <w:rsid w:val="3449505A"/>
    <w:rsid w:val="34495D65"/>
    <w:rsid w:val="34497927"/>
    <w:rsid w:val="344A041F"/>
    <w:rsid w:val="344A0DB7"/>
    <w:rsid w:val="344A253B"/>
    <w:rsid w:val="344A2B14"/>
    <w:rsid w:val="344A4667"/>
    <w:rsid w:val="344A5DFB"/>
    <w:rsid w:val="344A6670"/>
    <w:rsid w:val="344A796A"/>
    <w:rsid w:val="344B6717"/>
    <w:rsid w:val="344C0532"/>
    <w:rsid w:val="344C063B"/>
    <w:rsid w:val="344C36D7"/>
    <w:rsid w:val="344C4197"/>
    <w:rsid w:val="344C6B8D"/>
    <w:rsid w:val="344D19F0"/>
    <w:rsid w:val="344D4B67"/>
    <w:rsid w:val="344D52AC"/>
    <w:rsid w:val="344D568A"/>
    <w:rsid w:val="344D6161"/>
    <w:rsid w:val="344D7F0F"/>
    <w:rsid w:val="344E3B07"/>
    <w:rsid w:val="344E62D4"/>
    <w:rsid w:val="344F0BC8"/>
    <w:rsid w:val="344F1ED9"/>
    <w:rsid w:val="344F233C"/>
    <w:rsid w:val="344F264A"/>
    <w:rsid w:val="344F3C87"/>
    <w:rsid w:val="344F5147"/>
    <w:rsid w:val="344F67A6"/>
    <w:rsid w:val="345031E8"/>
    <w:rsid w:val="34504C29"/>
    <w:rsid w:val="345117AD"/>
    <w:rsid w:val="3451432A"/>
    <w:rsid w:val="34514978"/>
    <w:rsid w:val="34522916"/>
    <w:rsid w:val="345267EC"/>
    <w:rsid w:val="34531721"/>
    <w:rsid w:val="34533777"/>
    <w:rsid w:val="34535E4F"/>
    <w:rsid w:val="34537718"/>
    <w:rsid w:val="34540AD3"/>
    <w:rsid w:val="34542CA1"/>
    <w:rsid w:val="345435AA"/>
    <w:rsid w:val="34546879"/>
    <w:rsid w:val="34546CAE"/>
    <w:rsid w:val="345470FE"/>
    <w:rsid w:val="345474EF"/>
    <w:rsid w:val="34555B9F"/>
    <w:rsid w:val="345562AC"/>
    <w:rsid w:val="34561A0A"/>
    <w:rsid w:val="34561BE4"/>
    <w:rsid w:val="34563267"/>
    <w:rsid w:val="34565015"/>
    <w:rsid w:val="345656C7"/>
    <w:rsid w:val="3456584A"/>
    <w:rsid w:val="34565A32"/>
    <w:rsid w:val="3457017A"/>
    <w:rsid w:val="345707EA"/>
    <w:rsid w:val="34581C7A"/>
    <w:rsid w:val="345850B5"/>
    <w:rsid w:val="34586C45"/>
    <w:rsid w:val="34586F30"/>
    <w:rsid w:val="34586FDF"/>
    <w:rsid w:val="34592D57"/>
    <w:rsid w:val="34595ADC"/>
    <w:rsid w:val="345978F5"/>
    <w:rsid w:val="345A302E"/>
    <w:rsid w:val="345A43CB"/>
    <w:rsid w:val="345A5EF6"/>
    <w:rsid w:val="345A5FFF"/>
    <w:rsid w:val="345B1D3C"/>
    <w:rsid w:val="345B262C"/>
    <w:rsid w:val="345B3AEC"/>
    <w:rsid w:val="345B6AD0"/>
    <w:rsid w:val="345B6CA7"/>
    <w:rsid w:val="345B716B"/>
    <w:rsid w:val="345C0152"/>
    <w:rsid w:val="345C3137"/>
    <w:rsid w:val="345D04D4"/>
    <w:rsid w:val="345D2110"/>
    <w:rsid w:val="345D2848"/>
    <w:rsid w:val="345D28A2"/>
    <w:rsid w:val="345D45F6"/>
    <w:rsid w:val="345D465C"/>
    <w:rsid w:val="345D4BBF"/>
    <w:rsid w:val="345D4C62"/>
    <w:rsid w:val="345E036E"/>
    <w:rsid w:val="345E211C"/>
    <w:rsid w:val="345E3ECA"/>
    <w:rsid w:val="345F7096"/>
    <w:rsid w:val="34600E7C"/>
    <w:rsid w:val="346040E6"/>
    <w:rsid w:val="34605E0E"/>
    <w:rsid w:val="34607C42"/>
    <w:rsid w:val="34612BAE"/>
    <w:rsid w:val="34613B7D"/>
    <w:rsid w:val="3461630F"/>
    <w:rsid w:val="34621C0C"/>
    <w:rsid w:val="346258FD"/>
    <w:rsid w:val="346272AF"/>
    <w:rsid w:val="346314E0"/>
    <w:rsid w:val="34634F7F"/>
    <w:rsid w:val="346448CF"/>
    <w:rsid w:val="34645984"/>
    <w:rsid w:val="346516FC"/>
    <w:rsid w:val="34653C2E"/>
    <w:rsid w:val="34655258"/>
    <w:rsid w:val="3465704D"/>
    <w:rsid w:val="3465787E"/>
    <w:rsid w:val="34662BE8"/>
    <w:rsid w:val="3466427E"/>
    <w:rsid w:val="3466581D"/>
    <w:rsid w:val="34670440"/>
    <w:rsid w:val="34670D9C"/>
    <w:rsid w:val="34670FD0"/>
    <w:rsid w:val="34674DD7"/>
    <w:rsid w:val="3467570E"/>
    <w:rsid w:val="34676195"/>
    <w:rsid w:val="34676E66"/>
    <w:rsid w:val="34677643"/>
    <w:rsid w:val="34683C98"/>
    <w:rsid w:val="34683E7B"/>
    <w:rsid w:val="34684034"/>
    <w:rsid w:val="34684172"/>
    <w:rsid w:val="34684358"/>
    <w:rsid w:val="346875D9"/>
    <w:rsid w:val="34696918"/>
    <w:rsid w:val="346A0AC1"/>
    <w:rsid w:val="346A15F2"/>
    <w:rsid w:val="346A6D13"/>
    <w:rsid w:val="346B1EB4"/>
    <w:rsid w:val="346B4E44"/>
    <w:rsid w:val="346B70FA"/>
    <w:rsid w:val="346C2A8B"/>
    <w:rsid w:val="346C4A15"/>
    <w:rsid w:val="346D06AE"/>
    <w:rsid w:val="346D17A2"/>
    <w:rsid w:val="346D1F39"/>
    <w:rsid w:val="346D4EDA"/>
    <w:rsid w:val="346E25BF"/>
    <w:rsid w:val="346E6803"/>
    <w:rsid w:val="346F257B"/>
    <w:rsid w:val="346F2601"/>
    <w:rsid w:val="34700BD2"/>
    <w:rsid w:val="34701723"/>
    <w:rsid w:val="34710923"/>
    <w:rsid w:val="347158D5"/>
    <w:rsid w:val="34717CB6"/>
    <w:rsid w:val="34722AFA"/>
    <w:rsid w:val="347240FE"/>
    <w:rsid w:val="34724719"/>
    <w:rsid w:val="347271DF"/>
    <w:rsid w:val="34727975"/>
    <w:rsid w:val="347319AB"/>
    <w:rsid w:val="347319FE"/>
    <w:rsid w:val="34731B62"/>
    <w:rsid w:val="34732836"/>
    <w:rsid w:val="347368E3"/>
    <w:rsid w:val="34737AD5"/>
    <w:rsid w:val="34741452"/>
    <w:rsid w:val="3474193F"/>
    <w:rsid w:val="347436ED"/>
    <w:rsid w:val="34747D11"/>
    <w:rsid w:val="3475285E"/>
    <w:rsid w:val="34757B91"/>
    <w:rsid w:val="347613B3"/>
    <w:rsid w:val="34763909"/>
    <w:rsid w:val="34766A9C"/>
    <w:rsid w:val="34767465"/>
    <w:rsid w:val="34775202"/>
    <w:rsid w:val="34776692"/>
    <w:rsid w:val="34777BEB"/>
    <w:rsid w:val="34781430"/>
    <w:rsid w:val="347831D0"/>
    <w:rsid w:val="347831DE"/>
    <w:rsid w:val="347833AD"/>
    <w:rsid w:val="3478344D"/>
    <w:rsid w:val="34784F8C"/>
    <w:rsid w:val="34785F8F"/>
    <w:rsid w:val="34786610"/>
    <w:rsid w:val="3478784D"/>
    <w:rsid w:val="347948FA"/>
    <w:rsid w:val="34797FA9"/>
    <w:rsid w:val="347A05DD"/>
    <w:rsid w:val="347A52C4"/>
    <w:rsid w:val="347A731B"/>
    <w:rsid w:val="347A74D2"/>
    <w:rsid w:val="347A7D03"/>
    <w:rsid w:val="347B0F20"/>
    <w:rsid w:val="347B26E2"/>
    <w:rsid w:val="347B4A7C"/>
    <w:rsid w:val="347B4EB8"/>
    <w:rsid w:val="347B5013"/>
    <w:rsid w:val="347C2320"/>
    <w:rsid w:val="347C2AB8"/>
    <w:rsid w:val="347C7687"/>
    <w:rsid w:val="347D032E"/>
    <w:rsid w:val="347D07F4"/>
    <w:rsid w:val="347D673C"/>
    <w:rsid w:val="347E3994"/>
    <w:rsid w:val="347E4EC4"/>
    <w:rsid w:val="347E5316"/>
    <w:rsid w:val="347E631A"/>
    <w:rsid w:val="347E77B1"/>
    <w:rsid w:val="347E7F08"/>
    <w:rsid w:val="347F27BE"/>
    <w:rsid w:val="347F2CE0"/>
    <w:rsid w:val="347F36A1"/>
    <w:rsid w:val="348002E4"/>
    <w:rsid w:val="348013A5"/>
    <w:rsid w:val="34802092"/>
    <w:rsid w:val="3480447B"/>
    <w:rsid w:val="34810E85"/>
    <w:rsid w:val="34813476"/>
    <w:rsid w:val="34815013"/>
    <w:rsid w:val="34817669"/>
    <w:rsid w:val="34820207"/>
    <w:rsid w:val="34820230"/>
    <w:rsid w:val="348222AE"/>
    <w:rsid w:val="348236C2"/>
    <w:rsid w:val="3482375A"/>
    <w:rsid w:val="3482405C"/>
    <w:rsid w:val="34825E0A"/>
    <w:rsid w:val="34827189"/>
    <w:rsid w:val="34831E1A"/>
    <w:rsid w:val="34834A23"/>
    <w:rsid w:val="34834FBD"/>
    <w:rsid w:val="348363C8"/>
    <w:rsid w:val="348365D5"/>
    <w:rsid w:val="34840DC4"/>
    <w:rsid w:val="348428C3"/>
    <w:rsid w:val="34843E27"/>
    <w:rsid w:val="348502BD"/>
    <w:rsid w:val="34851109"/>
    <w:rsid w:val="348523D7"/>
    <w:rsid w:val="348526C8"/>
    <w:rsid w:val="3485449F"/>
    <w:rsid w:val="348552D0"/>
    <w:rsid w:val="34855CC9"/>
    <w:rsid w:val="34856D0A"/>
    <w:rsid w:val="3486081F"/>
    <w:rsid w:val="34865D22"/>
    <w:rsid w:val="34867BA4"/>
    <w:rsid w:val="3487008F"/>
    <w:rsid w:val="34873421"/>
    <w:rsid w:val="348752F9"/>
    <w:rsid w:val="34876910"/>
    <w:rsid w:val="348769A5"/>
    <w:rsid w:val="348778C5"/>
    <w:rsid w:val="34880231"/>
    <w:rsid w:val="34882477"/>
    <w:rsid w:val="3488303F"/>
    <w:rsid w:val="3488489B"/>
    <w:rsid w:val="34884DBD"/>
    <w:rsid w:val="34885085"/>
    <w:rsid w:val="34887407"/>
    <w:rsid w:val="34891977"/>
    <w:rsid w:val="3489363D"/>
    <w:rsid w:val="348A25D7"/>
    <w:rsid w:val="348A3678"/>
    <w:rsid w:val="348A4CBF"/>
    <w:rsid w:val="348A72B2"/>
    <w:rsid w:val="348B4B08"/>
    <w:rsid w:val="348C2CD6"/>
    <w:rsid w:val="348C778F"/>
    <w:rsid w:val="348D318C"/>
    <w:rsid w:val="348E2A01"/>
    <w:rsid w:val="348E47AF"/>
    <w:rsid w:val="348E492F"/>
    <w:rsid w:val="348E75BB"/>
    <w:rsid w:val="348E7FB3"/>
    <w:rsid w:val="348F0527"/>
    <w:rsid w:val="348F170C"/>
    <w:rsid w:val="348F22D5"/>
    <w:rsid w:val="348F2399"/>
    <w:rsid w:val="348F6779"/>
    <w:rsid w:val="348F6967"/>
    <w:rsid w:val="348F7E55"/>
    <w:rsid w:val="34904C8C"/>
    <w:rsid w:val="3490711A"/>
    <w:rsid w:val="349074EA"/>
    <w:rsid w:val="349124F1"/>
    <w:rsid w:val="34913F80"/>
    <w:rsid w:val="3491604D"/>
    <w:rsid w:val="34916A44"/>
    <w:rsid w:val="34921957"/>
    <w:rsid w:val="34921E8F"/>
    <w:rsid w:val="34923CDE"/>
    <w:rsid w:val="349249DB"/>
    <w:rsid w:val="34924EEA"/>
    <w:rsid w:val="34930017"/>
    <w:rsid w:val="34931DC5"/>
    <w:rsid w:val="34932CC3"/>
    <w:rsid w:val="34937EE3"/>
    <w:rsid w:val="34940038"/>
    <w:rsid w:val="34943D90"/>
    <w:rsid w:val="34947BDD"/>
    <w:rsid w:val="34950DE7"/>
    <w:rsid w:val="34951ECC"/>
    <w:rsid w:val="34957F3D"/>
    <w:rsid w:val="34960188"/>
    <w:rsid w:val="349618B6"/>
    <w:rsid w:val="349618BD"/>
    <w:rsid w:val="34963664"/>
    <w:rsid w:val="34967B08"/>
    <w:rsid w:val="34971C58"/>
    <w:rsid w:val="349725B0"/>
    <w:rsid w:val="3498084D"/>
    <w:rsid w:val="3498175F"/>
    <w:rsid w:val="34983880"/>
    <w:rsid w:val="349846D2"/>
    <w:rsid w:val="34984A16"/>
    <w:rsid w:val="349908E4"/>
    <w:rsid w:val="34991CDD"/>
    <w:rsid w:val="34991DF6"/>
    <w:rsid w:val="34993154"/>
    <w:rsid w:val="3499524B"/>
    <w:rsid w:val="349A13A6"/>
    <w:rsid w:val="349A203C"/>
    <w:rsid w:val="349A3641"/>
    <w:rsid w:val="349A3CC7"/>
    <w:rsid w:val="349A75F8"/>
    <w:rsid w:val="349A7839"/>
    <w:rsid w:val="349B2CCE"/>
    <w:rsid w:val="349B4331"/>
    <w:rsid w:val="349B511E"/>
    <w:rsid w:val="349B6ECC"/>
    <w:rsid w:val="349B7E87"/>
    <w:rsid w:val="349C34AF"/>
    <w:rsid w:val="349C5A8D"/>
    <w:rsid w:val="349D0E96"/>
    <w:rsid w:val="349D46CA"/>
    <w:rsid w:val="349D49F2"/>
    <w:rsid w:val="349D6ABD"/>
    <w:rsid w:val="349E076A"/>
    <w:rsid w:val="349E131F"/>
    <w:rsid w:val="349E2F7E"/>
    <w:rsid w:val="349E4CF3"/>
    <w:rsid w:val="349E6859"/>
    <w:rsid w:val="349F144A"/>
    <w:rsid w:val="349F1EFF"/>
    <w:rsid w:val="349F2B81"/>
    <w:rsid w:val="349F3DFE"/>
    <w:rsid w:val="349F4C0E"/>
    <w:rsid w:val="349F698B"/>
    <w:rsid w:val="349F69BC"/>
    <w:rsid w:val="34A002BF"/>
    <w:rsid w:val="34A00986"/>
    <w:rsid w:val="34A02734"/>
    <w:rsid w:val="34A044E2"/>
    <w:rsid w:val="34A05B48"/>
    <w:rsid w:val="34A11BF4"/>
    <w:rsid w:val="34A12B1B"/>
    <w:rsid w:val="34A14712"/>
    <w:rsid w:val="34A176C7"/>
    <w:rsid w:val="34A22D8F"/>
    <w:rsid w:val="34A246FE"/>
    <w:rsid w:val="34A34BB4"/>
    <w:rsid w:val="34A35AA3"/>
    <w:rsid w:val="34A37D4B"/>
    <w:rsid w:val="34A40E20"/>
    <w:rsid w:val="34A40F14"/>
    <w:rsid w:val="34A42225"/>
    <w:rsid w:val="34A42EF3"/>
    <w:rsid w:val="34A43027"/>
    <w:rsid w:val="34A43FD3"/>
    <w:rsid w:val="34A443F6"/>
    <w:rsid w:val="34A51292"/>
    <w:rsid w:val="34A51AF9"/>
    <w:rsid w:val="34A57D4B"/>
    <w:rsid w:val="34A6019C"/>
    <w:rsid w:val="34A630A9"/>
    <w:rsid w:val="34A6360C"/>
    <w:rsid w:val="34A65B0F"/>
    <w:rsid w:val="34A6658F"/>
    <w:rsid w:val="34A71D15"/>
    <w:rsid w:val="34A72BA0"/>
    <w:rsid w:val="34A73AC3"/>
    <w:rsid w:val="34A74537"/>
    <w:rsid w:val="34A75141"/>
    <w:rsid w:val="34A773AB"/>
    <w:rsid w:val="34A8101B"/>
    <w:rsid w:val="34A843EE"/>
    <w:rsid w:val="34A869AD"/>
    <w:rsid w:val="34A871BD"/>
    <w:rsid w:val="34A915E9"/>
    <w:rsid w:val="34A91966"/>
    <w:rsid w:val="34A92F1F"/>
    <w:rsid w:val="34AA060B"/>
    <w:rsid w:val="34AA2088"/>
    <w:rsid w:val="34AA2CA4"/>
    <w:rsid w:val="34AA5361"/>
    <w:rsid w:val="34AA6154"/>
    <w:rsid w:val="34AA710F"/>
    <w:rsid w:val="34AB2238"/>
    <w:rsid w:val="34AB274C"/>
    <w:rsid w:val="34AB35B3"/>
    <w:rsid w:val="34AB4F55"/>
    <w:rsid w:val="34AB54E7"/>
    <w:rsid w:val="34AC10D9"/>
    <w:rsid w:val="34AC1AE2"/>
    <w:rsid w:val="34AC2E87"/>
    <w:rsid w:val="34AC732B"/>
    <w:rsid w:val="34AD35DB"/>
    <w:rsid w:val="34AD7131"/>
    <w:rsid w:val="34AE0696"/>
    <w:rsid w:val="34AE28E6"/>
    <w:rsid w:val="34AE4706"/>
    <w:rsid w:val="34AE4E51"/>
    <w:rsid w:val="34AE6BFF"/>
    <w:rsid w:val="34AF11DB"/>
    <w:rsid w:val="34AF2730"/>
    <w:rsid w:val="34AF2977"/>
    <w:rsid w:val="34AF4725"/>
    <w:rsid w:val="34AF5E9D"/>
    <w:rsid w:val="34AF6494"/>
    <w:rsid w:val="34B00BC9"/>
    <w:rsid w:val="34B060FD"/>
    <w:rsid w:val="34B118DD"/>
    <w:rsid w:val="34B11AE6"/>
    <w:rsid w:val="34B14942"/>
    <w:rsid w:val="34B17679"/>
    <w:rsid w:val="34B17FEE"/>
    <w:rsid w:val="34B23220"/>
    <w:rsid w:val="34B234C6"/>
    <w:rsid w:val="34B24B1E"/>
    <w:rsid w:val="34B30087"/>
    <w:rsid w:val="34B30267"/>
    <w:rsid w:val="34B30EAB"/>
    <w:rsid w:val="34B34BC6"/>
    <w:rsid w:val="34B40A2C"/>
    <w:rsid w:val="34B40E66"/>
    <w:rsid w:val="34B4152B"/>
    <w:rsid w:val="34B45AFD"/>
    <w:rsid w:val="34B51838"/>
    <w:rsid w:val="34B52488"/>
    <w:rsid w:val="34B536FC"/>
    <w:rsid w:val="34B54432"/>
    <w:rsid w:val="34B5506B"/>
    <w:rsid w:val="34B561E0"/>
    <w:rsid w:val="34B609B3"/>
    <w:rsid w:val="34B62E31"/>
    <w:rsid w:val="34B63D06"/>
    <w:rsid w:val="34B644B3"/>
    <w:rsid w:val="34B72423"/>
    <w:rsid w:val="34B73A71"/>
    <w:rsid w:val="34B800A1"/>
    <w:rsid w:val="34B85CD0"/>
    <w:rsid w:val="34B866F6"/>
    <w:rsid w:val="34B87A7E"/>
    <w:rsid w:val="34B903B1"/>
    <w:rsid w:val="34B94E6B"/>
    <w:rsid w:val="34BA0108"/>
    <w:rsid w:val="34BA04FA"/>
    <w:rsid w:val="34BA1016"/>
    <w:rsid w:val="34BA1C12"/>
    <w:rsid w:val="34BA37F6"/>
    <w:rsid w:val="34BA6ED9"/>
    <w:rsid w:val="34BB046D"/>
    <w:rsid w:val="34BB0939"/>
    <w:rsid w:val="34BB1FD4"/>
    <w:rsid w:val="34BB24A6"/>
    <w:rsid w:val="34BB30CA"/>
    <w:rsid w:val="34BC03FA"/>
    <w:rsid w:val="34BC0D81"/>
    <w:rsid w:val="34BC13AF"/>
    <w:rsid w:val="34BC2B93"/>
    <w:rsid w:val="34BC39A3"/>
    <w:rsid w:val="34BC556F"/>
    <w:rsid w:val="34BC594F"/>
    <w:rsid w:val="34BC621F"/>
    <w:rsid w:val="34BC65C6"/>
    <w:rsid w:val="34BC7D17"/>
    <w:rsid w:val="34BD0CE9"/>
    <w:rsid w:val="34BD0F31"/>
    <w:rsid w:val="34BD32E6"/>
    <w:rsid w:val="34BD6E42"/>
    <w:rsid w:val="34BE02B6"/>
    <w:rsid w:val="34BE2D1E"/>
    <w:rsid w:val="34BE67E4"/>
    <w:rsid w:val="34BE78E7"/>
    <w:rsid w:val="34BE7F46"/>
    <w:rsid w:val="34BF0E0C"/>
    <w:rsid w:val="34C03783"/>
    <w:rsid w:val="34C10D48"/>
    <w:rsid w:val="34C13794"/>
    <w:rsid w:val="34C13C68"/>
    <w:rsid w:val="34C16318"/>
    <w:rsid w:val="34C208FD"/>
    <w:rsid w:val="34C223B4"/>
    <w:rsid w:val="34C226AB"/>
    <w:rsid w:val="34C24459"/>
    <w:rsid w:val="34C25B39"/>
    <w:rsid w:val="34C312B2"/>
    <w:rsid w:val="34C359AA"/>
    <w:rsid w:val="34C44675"/>
    <w:rsid w:val="34C463DA"/>
    <w:rsid w:val="34C46E22"/>
    <w:rsid w:val="34C52005"/>
    <w:rsid w:val="34C5219B"/>
    <w:rsid w:val="34C53CAB"/>
    <w:rsid w:val="34C53D88"/>
    <w:rsid w:val="34C55762"/>
    <w:rsid w:val="34C56C2D"/>
    <w:rsid w:val="34C57903"/>
    <w:rsid w:val="34C60CFA"/>
    <w:rsid w:val="34C6218A"/>
    <w:rsid w:val="34C62C8D"/>
    <w:rsid w:val="34C66004"/>
    <w:rsid w:val="34C67991"/>
    <w:rsid w:val="34C67FC9"/>
    <w:rsid w:val="34C71007"/>
    <w:rsid w:val="34C71A6F"/>
    <w:rsid w:val="34C733A7"/>
    <w:rsid w:val="34C75732"/>
    <w:rsid w:val="34C75F13"/>
    <w:rsid w:val="34C77CC1"/>
    <w:rsid w:val="34C84AAA"/>
    <w:rsid w:val="34C84C09"/>
    <w:rsid w:val="34C87E30"/>
    <w:rsid w:val="34C91C8B"/>
    <w:rsid w:val="34C957E7"/>
    <w:rsid w:val="34C95FAB"/>
    <w:rsid w:val="34C97632"/>
    <w:rsid w:val="34C97E84"/>
    <w:rsid w:val="34CA0A5D"/>
    <w:rsid w:val="34CA36DC"/>
    <w:rsid w:val="34CA4887"/>
    <w:rsid w:val="34CA77B1"/>
    <w:rsid w:val="34CB0F56"/>
    <w:rsid w:val="34CB595F"/>
    <w:rsid w:val="34CB5A03"/>
    <w:rsid w:val="34CC27B3"/>
    <w:rsid w:val="34CC34CD"/>
    <w:rsid w:val="34CC52D7"/>
    <w:rsid w:val="34CC6169"/>
    <w:rsid w:val="34CC6483"/>
    <w:rsid w:val="34CD125A"/>
    <w:rsid w:val="34CD61E8"/>
    <w:rsid w:val="34CD687D"/>
    <w:rsid w:val="34CD6E85"/>
    <w:rsid w:val="34CD7BFA"/>
    <w:rsid w:val="34CE091C"/>
    <w:rsid w:val="34CE1050"/>
    <w:rsid w:val="34CE1438"/>
    <w:rsid w:val="34CE205D"/>
    <w:rsid w:val="34CE54CD"/>
    <w:rsid w:val="34CE72A2"/>
    <w:rsid w:val="34CF22F4"/>
    <w:rsid w:val="34CF611D"/>
    <w:rsid w:val="34CF6B76"/>
    <w:rsid w:val="34CF6C99"/>
    <w:rsid w:val="34D022E8"/>
    <w:rsid w:val="34D0497D"/>
    <w:rsid w:val="34D04DC8"/>
    <w:rsid w:val="34D06BAF"/>
    <w:rsid w:val="34D06F7C"/>
    <w:rsid w:val="34D109DE"/>
    <w:rsid w:val="34D10C2C"/>
    <w:rsid w:val="34D11D10"/>
    <w:rsid w:val="34D128EE"/>
    <w:rsid w:val="34D14000"/>
    <w:rsid w:val="34D14A8C"/>
    <w:rsid w:val="34D17351"/>
    <w:rsid w:val="34D220A0"/>
    <w:rsid w:val="34D24242"/>
    <w:rsid w:val="34D2729D"/>
    <w:rsid w:val="34D31510"/>
    <w:rsid w:val="34D33EAF"/>
    <w:rsid w:val="34D348B8"/>
    <w:rsid w:val="34D348F6"/>
    <w:rsid w:val="34D35AAB"/>
    <w:rsid w:val="34D36666"/>
    <w:rsid w:val="34D41323"/>
    <w:rsid w:val="34D4478E"/>
    <w:rsid w:val="34D44803"/>
    <w:rsid w:val="34D46B38"/>
    <w:rsid w:val="34D47520"/>
    <w:rsid w:val="34D535D5"/>
    <w:rsid w:val="34D54775"/>
    <w:rsid w:val="34D558FD"/>
    <w:rsid w:val="34D5735F"/>
    <w:rsid w:val="34D63AB9"/>
    <w:rsid w:val="34D66DFC"/>
    <w:rsid w:val="34D7194C"/>
    <w:rsid w:val="34D72442"/>
    <w:rsid w:val="34D7764D"/>
    <w:rsid w:val="34D8165D"/>
    <w:rsid w:val="34D81ECE"/>
    <w:rsid w:val="34D83C7C"/>
    <w:rsid w:val="34D85CE0"/>
    <w:rsid w:val="34D873A9"/>
    <w:rsid w:val="34D90058"/>
    <w:rsid w:val="34D93FAD"/>
    <w:rsid w:val="34D944CF"/>
    <w:rsid w:val="34DA0600"/>
    <w:rsid w:val="34DA43E3"/>
    <w:rsid w:val="34DA5C46"/>
    <w:rsid w:val="34DA79F4"/>
    <w:rsid w:val="34DB19BE"/>
    <w:rsid w:val="34DB376C"/>
    <w:rsid w:val="34DB4E05"/>
    <w:rsid w:val="34DB551B"/>
    <w:rsid w:val="34DB6B40"/>
    <w:rsid w:val="34DB7DEB"/>
    <w:rsid w:val="34DC30B4"/>
    <w:rsid w:val="34DC38B5"/>
    <w:rsid w:val="34DC3ECC"/>
    <w:rsid w:val="34DC7B6D"/>
    <w:rsid w:val="34DD046A"/>
    <w:rsid w:val="34DD1293"/>
    <w:rsid w:val="34DD1CFE"/>
    <w:rsid w:val="34DD25D3"/>
    <w:rsid w:val="34DE4830"/>
    <w:rsid w:val="34DE61E2"/>
    <w:rsid w:val="34DF14AF"/>
    <w:rsid w:val="34DF17DE"/>
    <w:rsid w:val="34DF325D"/>
    <w:rsid w:val="34DF4037"/>
    <w:rsid w:val="34E00860"/>
    <w:rsid w:val="34E02B31"/>
    <w:rsid w:val="34E03BF9"/>
    <w:rsid w:val="34E054FB"/>
    <w:rsid w:val="34E07542"/>
    <w:rsid w:val="34E12979"/>
    <w:rsid w:val="34E14053"/>
    <w:rsid w:val="34E14875"/>
    <w:rsid w:val="34E16FD5"/>
    <w:rsid w:val="34E22D4D"/>
    <w:rsid w:val="34E24AFB"/>
    <w:rsid w:val="34E26297"/>
    <w:rsid w:val="34E268A9"/>
    <w:rsid w:val="34E27C8C"/>
    <w:rsid w:val="34E311BE"/>
    <w:rsid w:val="34E32DF3"/>
    <w:rsid w:val="34E36AD6"/>
    <w:rsid w:val="34E42621"/>
    <w:rsid w:val="34E479EA"/>
    <w:rsid w:val="34E6283D"/>
    <w:rsid w:val="34E63B76"/>
    <w:rsid w:val="34E63ED8"/>
    <w:rsid w:val="34E71FB5"/>
    <w:rsid w:val="34E73EBF"/>
    <w:rsid w:val="34E74DA6"/>
    <w:rsid w:val="34E80943"/>
    <w:rsid w:val="34E814C3"/>
    <w:rsid w:val="34E86A2C"/>
    <w:rsid w:val="34E97C37"/>
    <w:rsid w:val="34EA0053"/>
    <w:rsid w:val="34EA1021"/>
    <w:rsid w:val="34EA12C6"/>
    <w:rsid w:val="34EA1B78"/>
    <w:rsid w:val="34EA2D01"/>
    <w:rsid w:val="34EA2F5D"/>
    <w:rsid w:val="34EA7CC6"/>
    <w:rsid w:val="34EB1C02"/>
    <w:rsid w:val="34EB3113"/>
    <w:rsid w:val="34EB4A47"/>
    <w:rsid w:val="34EB66B6"/>
    <w:rsid w:val="34EB7E53"/>
    <w:rsid w:val="34EC059B"/>
    <w:rsid w:val="34EC3BCC"/>
    <w:rsid w:val="34EC3EA5"/>
    <w:rsid w:val="34EC51CF"/>
    <w:rsid w:val="34EC6851"/>
    <w:rsid w:val="34EC7728"/>
    <w:rsid w:val="34ED359F"/>
    <w:rsid w:val="34ED56C2"/>
    <w:rsid w:val="34ED6D3E"/>
    <w:rsid w:val="34EE06E8"/>
    <w:rsid w:val="34EE16F2"/>
    <w:rsid w:val="34EE7BB1"/>
    <w:rsid w:val="34EF1396"/>
    <w:rsid w:val="34F000A4"/>
    <w:rsid w:val="34F03F67"/>
    <w:rsid w:val="34F0546A"/>
    <w:rsid w:val="34F05C0C"/>
    <w:rsid w:val="34F15453"/>
    <w:rsid w:val="34F211E2"/>
    <w:rsid w:val="34F213E3"/>
    <w:rsid w:val="34F24281"/>
    <w:rsid w:val="34F26F60"/>
    <w:rsid w:val="34F27550"/>
    <w:rsid w:val="34F30E5E"/>
    <w:rsid w:val="34F311A7"/>
    <w:rsid w:val="34F32864"/>
    <w:rsid w:val="34F333CF"/>
    <w:rsid w:val="34F362E1"/>
    <w:rsid w:val="34F36D0C"/>
    <w:rsid w:val="34F40543"/>
    <w:rsid w:val="34F424E2"/>
    <w:rsid w:val="34F42F98"/>
    <w:rsid w:val="34F43EF0"/>
    <w:rsid w:val="34F46CBD"/>
    <w:rsid w:val="34F521D4"/>
    <w:rsid w:val="34F565DC"/>
    <w:rsid w:val="34F605A6"/>
    <w:rsid w:val="34F60888"/>
    <w:rsid w:val="34F621C8"/>
    <w:rsid w:val="34F62354"/>
    <w:rsid w:val="34F62C60"/>
    <w:rsid w:val="34F64E0C"/>
    <w:rsid w:val="34F65DF4"/>
    <w:rsid w:val="34F66698"/>
    <w:rsid w:val="34F7269A"/>
    <w:rsid w:val="34F726F9"/>
    <w:rsid w:val="34F75C12"/>
    <w:rsid w:val="34F76379"/>
    <w:rsid w:val="34F767F8"/>
    <w:rsid w:val="34F76961"/>
    <w:rsid w:val="34F77935"/>
    <w:rsid w:val="34F82448"/>
    <w:rsid w:val="34F82570"/>
    <w:rsid w:val="34F8431E"/>
    <w:rsid w:val="34F860CC"/>
    <w:rsid w:val="34F931DF"/>
    <w:rsid w:val="34F977EE"/>
    <w:rsid w:val="34F97E4B"/>
    <w:rsid w:val="34FA0097"/>
    <w:rsid w:val="34FA3518"/>
    <w:rsid w:val="34FA64A9"/>
    <w:rsid w:val="34FB0320"/>
    <w:rsid w:val="34FB0E13"/>
    <w:rsid w:val="34FB2913"/>
    <w:rsid w:val="34FB2E38"/>
    <w:rsid w:val="34FB5BBD"/>
    <w:rsid w:val="34FB72C0"/>
    <w:rsid w:val="34FB796B"/>
    <w:rsid w:val="34FC3E0F"/>
    <w:rsid w:val="34FC7AE3"/>
    <w:rsid w:val="34FC7D10"/>
    <w:rsid w:val="34FD42E5"/>
    <w:rsid w:val="34FD4E2A"/>
    <w:rsid w:val="34FD7B87"/>
    <w:rsid w:val="34FE3CD3"/>
    <w:rsid w:val="34FE419E"/>
    <w:rsid w:val="34FE62BA"/>
    <w:rsid w:val="34FE6EEC"/>
    <w:rsid w:val="34FF22B1"/>
    <w:rsid w:val="34FF594C"/>
    <w:rsid w:val="34FF745B"/>
    <w:rsid w:val="350025B5"/>
    <w:rsid w:val="35002678"/>
    <w:rsid w:val="35004DAD"/>
    <w:rsid w:val="35004F81"/>
    <w:rsid w:val="35011425"/>
    <w:rsid w:val="35012702"/>
    <w:rsid w:val="3502333B"/>
    <w:rsid w:val="3502519D"/>
    <w:rsid w:val="35026192"/>
    <w:rsid w:val="35026F69"/>
    <w:rsid w:val="35036A39"/>
    <w:rsid w:val="35041008"/>
    <w:rsid w:val="350417E9"/>
    <w:rsid w:val="35041B80"/>
    <w:rsid w:val="35042256"/>
    <w:rsid w:val="35044A71"/>
    <w:rsid w:val="350466DA"/>
    <w:rsid w:val="35050DD3"/>
    <w:rsid w:val="3505148B"/>
    <w:rsid w:val="350535BC"/>
    <w:rsid w:val="35054722"/>
    <w:rsid w:val="35054CFD"/>
    <w:rsid w:val="35060391"/>
    <w:rsid w:val="35064C8D"/>
    <w:rsid w:val="3506618D"/>
    <w:rsid w:val="35066A3B"/>
    <w:rsid w:val="35070B17"/>
    <w:rsid w:val="35074630"/>
    <w:rsid w:val="35076310"/>
    <w:rsid w:val="35076521"/>
    <w:rsid w:val="35077EB6"/>
    <w:rsid w:val="350804AD"/>
    <w:rsid w:val="35081E5A"/>
    <w:rsid w:val="35083759"/>
    <w:rsid w:val="35086424"/>
    <w:rsid w:val="350875BC"/>
    <w:rsid w:val="350902DA"/>
    <w:rsid w:val="35090D1F"/>
    <w:rsid w:val="35092FB9"/>
    <w:rsid w:val="350933CD"/>
    <w:rsid w:val="35094539"/>
    <w:rsid w:val="350A1334"/>
    <w:rsid w:val="350A1692"/>
    <w:rsid w:val="350A2227"/>
    <w:rsid w:val="350A28D7"/>
    <w:rsid w:val="350A2D4C"/>
    <w:rsid w:val="350A3514"/>
    <w:rsid w:val="350B03FE"/>
    <w:rsid w:val="350B0D83"/>
    <w:rsid w:val="350B22A4"/>
    <w:rsid w:val="350B3179"/>
    <w:rsid w:val="350B4052"/>
    <w:rsid w:val="350B5E00"/>
    <w:rsid w:val="350C08BE"/>
    <w:rsid w:val="350C09F5"/>
    <w:rsid w:val="350C1B78"/>
    <w:rsid w:val="350C3926"/>
    <w:rsid w:val="350C46F9"/>
    <w:rsid w:val="350D2816"/>
    <w:rsid w:val="350D2B69"/>
    <w:rsid w:val="350D601C"/>
    <w:rsid w:val="350D6733"/>
    <w:rsid w:val="350D7748"/>
    <w:rsid w:val="350E1BDA"/>
    <w:rsid w:val="350E3B42"/>
    <w:rsid w:val="350E5987"/>
    <w:rsid w:val="350E60DF"/>
    <w:rsid w:val="350E7241"/>
    <w:rsid w:val="350E7EF9"/>
    <w:rsid w:val="350F0945"/>
    <w:rsid w:val="35103416"/>
    <w:rsid w:val="351040A3"/>
    <w:rsid w:val="3510553C"/>
    <w:rsid w:val="35120791"/>
    <w:rsid w:val="35122916"/>
    <w:rsid w:val="35123632"/>
    <w:rsid w:val="35125B78"/>
    <w:rsid w:val="35125BC0"/>
    <w:rsid w:val="35130791"/>
    <w:rsid w:val="35133AD1"/>
    <w:rsid w:val="3513420D"/>
    <w:rsid w:val="3513435D"/>
    <w:rsid w:val="35134512"/>
    <w:rsid w:val="35136212"/>
    <w:rsid w:val="35140F7B"/>
    <w:rsid w:val="35144A4E"/>
    <w:rsid w:val="35150A2C"/>
    <w:rsid w:val="35151F77"/>
    <w:rsid w:val="351530B1"/>
    <w:rsid w:val="351546A1"/>
    <w:rsid w:val="35157FE1"/>
    <w:rsid w:val="3516172E"/>
    <w:rsid w:val="351647A5"/>
    <w:rsid w:val="351656E4"/>
    <w:rsid w:val="35165C82"/>
    <w:rsid w:val="35173CE7"/>
    <w:rsid w:val="35177D3B"/>
    <w:rsid w:val="3518051D"/>
    <w:rsid w:val="35180616"/>
    <w:rsid w:val="351808BB"/>
    <w:rsid w:val="3518155C"/>
    <w:rsid w:val="351849C1"/>
    <w:rsid w:val="3518676F"/>
    <w:rsid w:val="35187095"/>
    <w:rsid w:val="35197373"/>
    <w:rsid w:val="351A22B7"/>
    <w:rsid w:val="351A4295"/>
    <w:rsid w:val="351A5DC6"/>
    <w:rsid w:val="351A6043"/>
    <w:rsid w:val="351A632F"/>
    <w:rsid w:val="351B27FC"/>
    <w:rsid w:val="351B34EE"/>
    <w:rsid w:val="351B3F44"/>
    <w:rsid w:val="351B7A07"/>
    <w:rsid w:val="351C000D"/>
    <w:rsid w:val="351C03B3"/>
    <w:rsid w:val="351C2D1C"/>
    <w:rsid w:val="351C625F"/>
    <w:rsid w:val="351C7301"/>
    <w:rsid w:val="351D1FD7"/>
    <w:rsid w:val="351D3D85"/>
    <w:rsid w:val="351D518A"/>
    <w:rsid w:val="351E1BB1"/>
    <w:rsid w:val="351E33EC"/>
    <w:rsid w:val="351E58A4"/>
    <w:rsid w:val="351E63F9"/>
    <w:rsid w:val="351E749C"/>
    <w:rsid w:val="351F2081"/>
    <w:rsid w:val="351F381C"/>
    <w:rsid w:val="351F5D4F"/>
    <w:rsid w:val="35200B5D"/>
    <w:rsid w:val="3520542A"/>
    <w:rsid w:val="3520566E"/>
    <w:rsid w:val="3520578E"/>
    <w:rsid w:val="352073D1"/>
    <w:rsid w:val="35212530"/>
    <w:rsid w:val="352134D3"/>
    <w:rsid w:val="35215623"/>
    <w:rsid w:val="352179F1"/>
    <w:rsid w:val="3522139B"/>
    <w:rsid w:val="3522156F"/>
    <w:rsid w:val="352228F8"/>
    <w:rsid w:val="352275ED"/>
    <w:rsid w:val="352301A6"/>
    <w:rsid w:val="352321C3"/>
    <w:rsid w:val="35234688"/>
    <w:rsid w:val="35236B45"/>
    <w:rsid w:val="352411A6"/>
    <w:rsid w:val="3524459F"/>
    <w:rsid w:val="35245113"/>
    <w:rsid w:val="35246EC1"/>
    <w:rsid w:val="35247FD5"/>
    <w:rsid w:val="352549E8"/>
    <w:rsid w:val="35255ADE"/>
    <w:rsid w:val="35260E8C"/>
    <w:rsid w:val="352616AB"/>
    <w:rsid w:val="35265C72"/>
    <w:rsid w:val="352670DE"/>
    <w:rsid w:val="35272F05"/>
    <w:rsid w:val="3527459F"/>
    <w:rsid w:val="352769B2"/>
    <w:rsid w:val="35277376"/>
    <w:rsid w:val="35283F3D"/>
    <w:rsid w:val="352845CA"/>
    <w:rsid w:val="35286703"/>
    <w:rsid w:val="352929B7"/>
    <w:rsid w:val="352944D8"/>
    <w:rsid w:val="352954C4"/>
    <w:rsid w:val="352A5588"/>
    <w:rsid w:val="352B04A0"/>
    <w:rsid w:val="352B42F2"/>
    <w:rsid w:val="352B64A2"/>
    <w:rsid w:val="352B7AA2"/>
    <w:rsid w:val="352C3FC8"/>
    <w:rsid w:val="352C7367"/>
    <w:rsid w:val="352D1338"/>
    <w:rsid w:val="352D221A"/>
    <w:rsid w:val="352D298A"/>
    <w:rsid w:val="352D3F09"/>
    <w:rsid w:val="352D5A09"/>
    <w:rsid w:val="352D6593"/>
    <w:rsid w:val="352E01D4"/>
    <w:rsid w:val="352E0D70"/>
    <w:rsid w:val="352E1AEE"/>
    <w:rsid w:val="352E28E2"/>
    <w:rsid w:val="352E5F92"/>
    <w:rsid w:val="352F1800"/>
    <w:rsid w:val="352F4804"/>
    <w:rsid w:val="352F5680"/>
    <w:rsid w:val="352F61E8"/>
    <w:rsid w:val="35301317"/>
    <w:rsid w:val="35301D0A"/>
    <w:rsid w:val="35303AB8"/>
    <w:rsid w:val="35305D45"/>
    <w:rsid w:val="35310A91"/>
    <w:rsid w:val="35313D1A"/>
    <w:rsid w:val="35314923"/>
    <w:rsid w:val="353164EF"/>
    <w:rsid w:val="35321182"/>
    <w:rsid w:val="35325511"/>
    <w:rsid w:val="35327830"/>
    <w:rsid w:val="3533326A"/>
    <w:rsid w:val="35335357"/>
    <w:rsid w:val="35335B99"/>
    <w:rsid w:val="35337112"/>
    <w:rsid w:val="3534029D"/>
    <w:rsid w:val="35342A12"/>
    <w:rsid w:val="35343834"/>
    <w:rsid w:val="35345BB7"/>
    <w:rsid w:val="353510CF"/>
    <w:rsid w:val="353513A2"/>
    <w:rsid w:val="35352E7D"/>
    <w:rsid w:val="3535504F"/>
    <w:rsid w:val="353564D5"/>
    <w:rsid w:val="35357F42"/>
    <w:rsid w:val="35362482"/>
    <w:rsid w:val="353677A1"/>
    <w:rsid w:val="3537018F"/>
    <w:rsid w:val="35370462"/>
    <w:rsid w:val="35372827"/>
    <w:rsid w:val="3537740A"/>
    <w:rsid w:val="35377ED2"/>
    <w:rsid w:val="35380BBF"/>
    <w:rsid w:val="3538101C"/>
    <w:rsid w:val="353822B0"/>
    <w:rsid w:val="3538296D"/>
    <w:rsid w:val="3539265C"/>
    <w:rsid w:val="353946DF"/>
    <w:rsid w:val="35396605"/>
    <w:rsid w:val="35396A06"/>
    <w:rsid w:val="353A0493"/>
    <w:rsid w:val="353A1FF6"/>
    <w:rsid w:val="353A66E5"/>
    <w:rsid w:val="353A6EC8"/>
    <w:rsid w:val="353A73E0"/>
    <w:rsid w:val="353B05EC"/>
    <w:rsid w:val="353B1162"/>
    <w:rsid w:val="353B2EE7"/>
    <w:rsid w:val="353B4DCC"/>
    <w:rsid w:val="353B5D94"/>
    <w:rsid w:val="353C3BC5"/>
    <w:rsid w:val="353C420B"/>
    <w:rsid w:val="353C426C"/>
    <w:rsid w:val="353C64D5"/>
    <w:rsid w:val="353C6808"/>
    <w:rsid w:val="353C6986"/>
    <w:rsid w:val="353D22BD"/>
    <w:rsid w:val="353D2CF5"/>
    <w:rsid w:val="353D6675"/>
    <w:rsid w:val="353E1AA3"/>
    <w:rsid w:val="353E2557"/>
    <w:rsid w:val="353E2C35"/>
    <w:rsid w:val="353E341E"/>
    <w:rsid w:val="353E4427"/>
    <w:rsid w:val="353E4ABB"/>
    <w:rsid w:val="353E64D8"/>
    <w:rsid w:val="353F1445"/>
    <w:rsid w:val="353F1F4D"/>
    <w:rsid w:val="353F3783"/>
    <w:rsid w:val="353F3CFB"/>
    <w:rsid w:val="353F4BDD"/>
    <w:rsid w:val="35400AB3"/>
    <w:rsid w:val="35401988"/>
    <w:rsid w:val="35410C3E"/>
    <w:rsid w:val="35410E83"/>
    <w:rsid w:val="3541138C"/>
    <w:rsid w:val="354152DE"/>
    <w:rsid w:val="35415CC5"/>
    <w:rsid w:val="35417A73"/>
    <w:rsid w:val="35421696"/>
    <w:rsid w:val="35423773"/>
    <w:rsid w:val="354237EC"/>
    <w:rsid w:val="3542559A"/>
    <w:rsid w:val="35427050"/>
    <w:rsid w:val="354318B4"/>
    <w:rsid w:val="3543341E"/>
    <w:rsid w:val="354415FC"/>
    <w:rsid w:val="354450D1"/>
    <w:rsid w:val="35446145"/>
    <w:rsid w:val="35447564"/>
    <w:rsid w:val="3545077B"/>
    <w:rsid w:val="35450A4F"/>
    <w:rsid w:val="35454248"/>
    <w:rsid w:val="35456F57"/>
    <w:rsid w:val="3546300F"/>
    <w:rsid w:val="35464287"/>
    <w:rsid w:val="35466E38"/>
    <w:rsid w:val="3547518F"/>
    <w:rsid w:val="35475E37"/>
    <w:rsid w:val="35475F40"/>
    <w:rsid w:val="35480B11"/>
    <w:rsid w:val="3548341A"/>
    <w:rsid w:val="354841C2"/>
    <w:rsid w:val="35492964"/>
    <w:rsid w:val="35492DCC"/>
    <w:rsid w:val="35494B7A"/>
    <w:rsid w:val="354B08F2"/>
    <w:rsid w:val="354B18B2"/>
    <w:rsid w:val="354B26A0"/>
    <w:rsid w:val="354B46BF"/>
    <w:rsid w:val="354B6B44"/>
    <w:rsid w:val="354C702D"/>
    <w:rsid w:val="354C7407"/>
    <w:rsid w:val="354D0A58"/>
    <w:rsid w:val="354D466A"/>
    <w:rsid w:val="354D71E1"/>
    <w:rsid w:val="354D7666"/>
    <w:rsid w:val="354E00B8"/>
    <w:rsid w:val="354E03E2"/>
    <w:rsid w:val="354E2190"/>
    <w:rsid w:val="354E3833"/>
    <w:rsid w:val="354E3F3E"/>
    <w:rsid w:val="354E5004"/>
    <w:rsid w:val="354E5620"/>
    <w:rsid w:val="354E5738"/>
    <w:rsid w:val="354E7400"/>
    <w:rsid w:val="354E7758"/>
    <w:rsid w:val="354F1F58"/>
    <w:rsid w:val="354F40A1"/>
    <w:rsid w:val="35501AFA"/>
    <w:rsid w:val="35505B62"/>
    <w:rsid w:val="35505F08"/>
    <w:rsid w:val="35507CB7"/>
    <w:rsid w:val="3551083B"/>
    <w:rsid w:val="35513BE0"/>
    <w:rsid w:val="355157DD"/>
    <w:rsid w:val="35521640"/>
    <w:rsid w:val="35521C81"/>
    <w:rsid w:val="35523A2F"/>
    <w:rsid w:val="35525040"/>
    <w:rsid w:val="35531555"/>
    <w:rsid w:val="35533BA9"/>
    <w:rsid w:val="355359F9"/>
    <w:rsid w:val="35535C24"/>
    <w:rsid w:val="35546BC2"/>
    <w:rsid w:val="35551771"/>
    <w:rsid w:val="3555351F"/>
    <w:rsid w:val="355552CD"/>
    <w:rsid w:val="35557569"/>
    <w:rsid w:val="35557C0E"/>
    <w:rsid w:val="355647F4"/>
    <w:rsid w:val="35571045"/>
    <w:rsid w:val="35573907"/>
    <w:rsid w:val="355754E9"/>
    <w:rsid w:val="35577297"/>
    <w:rsid w:val="35586B6B"/>
    <w:rsid w:val="35591A96"/>
    <w:rsid w:val="35592CF2"/>
    <w:rsid w:val="35597A80"/>
    <w:rsid w:val="355A2AF4"/>
    <w:rsid w:val="355A2F26"/>
    <w:rsid w:val="355A4E45"/>
    <w:rsid w:val="355B569B"/>
    <w:rsid w:val="355C2AFF"/>
    <w:rsid w:val="355C48AD"/>
    <w:rsid w:val="355C5332"/>
    <w:rsid w:val="355C5846"/>
    <w:rsid w:val="355C6018"/>
    <w:rsid w:val="355C611E"/>
    <w:rsid w:val="355C665B"/>
    <w:rsid w:val="355C7457"/>
    <w:rsid w:val="355D137F"/>
    <w:rsid w:val="355D1673"/>
    <w:rsid w:val="355D18A7"/>
    <w:rsid w:val="355D23D3"/>
    <w:rsid w:val="355D256A"/>
    <w:rsid w:val="355E05B4"/>
    <w:rsid w:val="355E0625"/>
    <w:rsid w:val="355E2025"/>
    <w:rsid w:val="355E3B5E"/>
    <w:rsid w:val="355E5A80"/>
    <w:rsid w:val="355E63BF"/>
    <w:rsid w:val="355E6877"/>
    <w:rsid w:val="355E68FF"/>
    <w:rsid w:val="355F09FA"/>
    <w:rsid w:val="355F20A9"/>
    <w:rsid w:val="355F246E"/>
    <w:rsid w:val="355F4182"/>
    <w:rsid w:val="355F4E16"/>
    <w:rsid w:val="355F614C"/>
    <w:rsid w:val="35600763"/>
    <w:rsid w:val="35605657"/>
    <w:rsid w:val="3560634E"/>
    <w:rsid w:val="35607ADF"/>
    <w:rsid w:val="35610116"/>
    <w:rsid w:val="35610228"/>
    <w:rsid w:val="35611AEF"/>
    <w:rsid w:val="3561259E"/>
    <w:rsid w:val="35612ABD"/>
    <w:rsid w:val="35612B99"/>
    <w:rsid w:val="35613C72"/>
    <w:rsid w:val="35614165"/>
    <w:rsid w:val="35614940"/>
    <w:rsid w:val="35614D4D"/>
    <w:rsid w:val="35620044"/>
    <w:rsid w:val="356236AB"/>
    <w:rsid w:val="356279EA"/>
    <w:rsid w:val="3563054B"/>
    <w:rsid w:val="35633FD8"/>
    <w:rsid w:val="35635719"/>
    <w:rsid w:val="35635C3C"/>
    <w:rsid w:val="35640595"/>
    <w:rsid w:val="35643762"/>
    <w:rsid w:val="35647C06"/>
    <w:rsid w:val="35650541"/>
    <w:rsid w:val="35652F94"/>
    <w:rsid w:val="35656D09"/>
    <w:rsid w:val="35657744"/>
    <w:rsid w:val="35663296"/>
    <w:rsid w:val="35665A75"/>
    <w:rsid w:val="35667B9A"/>
    <w:rsid w:val="35667BDF"/>
    <w:rsid w:val="35674CCB"/>
    <w:rsid w:val="35675000"/>
    <w:rsid w:val="356814A4"/>
    <w:rsid w:val="35683252"/>
    <w:rsid w:val="35683814"/>
    <w:rsid w:val="35683EB3"/>
    <w:rsid w:val="3568452B"/>
    <w:rsid w:val="356863C6"/>
    <w:rsid w:val="3569085C"/>
    <w:rsid w:val="35690CDC"/>
    <w:rsid w:val="35690D78"/>
    <w:rsid w:val="35691590"/>
    <w:rsid w:val="3569237A"/>
    <w:rsid w:val="35696FCA"/>
    <w:rsid w:val="356A333F"/>
    <w:rsid w:val="356A3850"/>
    <w:rsid w:val="356B276A"/>
    <w:rsid w:val="356B2D42"/>
    <w:rsid w:val="356B3EAB"/>
    <w:rsid w:val="356B4AF0"/>
    <w:rsid w:val="356B5D9D"/>
    <w:rsid w:val="356C6389"/>
    <w:rsid w:val="356C7235"/>
    <w:rsid w:val="356D0868"/>
    <w:rsid w:val="356D322B"/>
    <w:rsid w:val="356D6ABA"/>
    <w:rsid w:val="356E2833"/>
    <w:rsid w:val="356E3A37"/>
    <w:rsid w:val="356E45E1"/>
    <w:rsid w:val="356E4F0F"/>
    <w:rsid w:val="356E58F8"/>
    <w:rsid w:val="356E638F"/>
    <w:rsid w:val="356E67B8"/>
    <w:rsid w:val="356E7C5B"/>
    <w:rsid w:val="356F2CD6"/>
    <w:rsid w:val="356F4E66"/>
    <w:rsid w:val="35701134"/>
    <w:rsid w:val="35701FDB"/>
    <w:rsid w:val="35702107"/>
    <w:rsid w:val="35702C73"/>
    <w:rsid w:val="357036FE"/>
    <w:rsid w:val="3570608B"/>
    <w:rsid w:val="35713CDB"/>
    <w:rsid w:val="3571432C"/>
    <w:rsid w:val="35727A6C"/>
    <w:rsid w:val="357337E4"/>
    <w:rsid w:val="35733ACD"/>
    <w:rsid w:val="35736C9B"/>
    <w:rsid w:val="3574040D"/>
    <w:rsid w:val="3574051A"/>
    <w:rsid w:val="357411BF"/>
    <w:rsid w:val="3574416F"/>
    <w:rsid w:val="357462AF"/>
    <w:rsid w:val="3575081D"/>
    <w:rsid w:val="35752879"/>
    <w:rsid w:val="35753BC1"/>
    <w:rsid w:val="35753F37"/>
    <w:rsid w:val="35754692"/>
    <w:rsid w:val="3575631D"/>
    <w:rsid w:val="35756C34"/>
    <w:rsid w:val="35757B2E"/>
    <w:rsid w:val="35760FBE"/>
    <w:rsid w:val="357617BA"/>
    <w:rsid w:val="35762D82"/>
    <w:rsid w:val="35766D04"/>
    <w:rsid w:val="3577485D"/>
    <w:rsid w:val="35775243"/>
    <w:rsid w:val="35775725"/>
    <w:rsid w:val="35777939"/>
    <w:rsid w:val="357872F6"/>
    <w:rsid w:val="35793D59"/>
    <w:rsid w:val="3579545F"/>
    <w:rsid w:val="3579793F"/>
    <w:rsid w:val="35797E19"/>
    <w:rsid w:val="357A0DCF"/>
    <w:rsid w:val="357A13B4"/>
    <w:rsid w:val="357A2FAC"/>
    <w:rsid w:val="357A3162"/>
    <w:rsid w:val="357A6974"/>
    <w:rsid w:val="357B09BF"/>
    <w:rsid w:val="357C1B18"/>
    <w:rsid w:val="357C6CFE"/>
    <w:rsid w:val="357C706A"/>
    <w:rsid w:val="357C7501"/>
    <w:rsid w:val="357C780B"/>
    <w:rsid w:val="357D65D2"/>
    <w:rsid w:val="357E2A76"/>
    <w:rsid w:val="357E490D"/>
    <w:rsid w:val="357F0AB7"/>
    <w:rsid w:val="357F0AF7"/>
    <w:rsid w:val="357F0BEE"/>
    <w:rsid w:val="357F234A"/>
    <w:rsid w:val="357F67EE"/>
    <w:rsid w:val="35801938"/>
    <w:rsid w:val="35803500"/>
    <w:rsid w:val="35805D45"/>
    <w:rsid w:val="35810B1F"/>
    <w:rsid w:val="35814173"/>
    <w:rsid w:val="3581550C"/>
    <w:rsid w:val="35820EE9"/>
    <w:rsid w:val="35831E3A"/>
    <w:rsid w:val="358359EC"/>
    <w:rsid w:val="35841E94"/>
    <w:rsid w:val="35842AE2"/>
    <w:rsid w:val="35845B62"/>
    <w:rsid w:val="35845BB2"/>
    <w:rsid w:val="3584703F"/>
    <w:rsid w:val="35852EEB"/>
    <w:rsid w:val="358600DD"/>
    <w:rsid w:val="35860AB3"/>
    <w:rsid w:val="358614F8"/>
    <w:rsid w:val="35863826"/>
    <w:rsid w:val="35864D7D"/>
    <w:rsid w:val="358673EC"/>
    <w:rsid w:val="35867B7C"/>
    <w:rsid w:val="35873AF2"/>
    <w:rsid w:val="35874EE8"/>
    <w:rsid w:val="358765C5"/>
    <w:rsid w:val="358765E1"/>
    <w:rsid w:val="358838F4"/>
    <w:rsid w:val="358841B1"/>
    <w:rsid w:val="358858B7"/>
    <w:rsid w:val="35885CF3"/>
    <w:rsid w:val="3589141A"/>
    <w:rsid w:val="358931C8"/>
    <w:rsid w:val="358A2E91"/>
    <w:rsid w:val="358A766C"/>
    <w:rsid w:val="358B0DF9"/>
    <w:rsid w:val="358B13C6"/>
    <w:rsid w:val="358B4346"/>
    <w:rsid w:val="358B5193"/>
    <w:rsid w:val="358B6F41"/>
    <w:rsid w:val="358C7A4B"/>
    <w:rsid w:val="358D2CB9"/>
    <w:rsid w:val="358D4A67"/>
    <w:rsid w:val="358D6D8C"/>
    <w:rsid w:val="358D6DBC"/>
    <w:rsid w:val="358E07DF"/>
    <w:rsid w:val="358E5254"/>
    <w:rsid w:val="358E5C2B"/>
    <w:rsid w:val="358E5CB8"/>
    <w:rsid w:val="358E6A31"/>
    <w:rsid w:val="358F17DC"/>
    <w:rsid w:val="358F4BDE"/>
    <w:rsid w:val="358F4C83"/>
    <w:rsid w:val="35900715"/>
    <w:rsid w:val="359009FB"/>
    <w:rsid w:val="359027A9"/>
    <w:rsid w:val="35904557"/>
    <w:rsid w:val="35906305"/>
    <w:rsid w:val="35915BC6"/>
    <w:rsid w:val="359202CF"/>
    <w:rsid w:val="35921845"/>
    <w:rsid w:val="35921C28"/>
    <w:rsid w:val="3592207D"/>
    <w:rsid w:val="35924EB6"/>
    <w:rsid w:val="35925ACE"/>
    <w:rsid w:val="35926521"/>
    <w:rsid w:val="35931184"/>
    <w:rsid w:val="35935DF5"/>
    <w:rsid w:val="359451FD"/>
    <w:rsid w:val="359472C7"/>
    <w:rsid w:val="3595159F"/>
    <w:rsid w:val="35952344"/>
    <w:rsid w:val="359559D7"/>
    <w:rsid w:val="35956011"/>
    <w:rsid w:val="35957DBF"/>
    <w:rsid w:val="35962344"/>
    <w:rsid w:val="35970DD4"/>
    <w:rsid w:val="35971A38"/>
    <w:rsid w:val="35974D54"/>
    <w:rsid w:val="3597695E"/>
    <w:rsid w:val="35977693"/>
    <w:rsid w:val="35982582"/>
    <w:rsid w:val="359826B6"/>
    <w:rsid w:val="3598340C"/>
    <w:rsid w:val="359837F0"/>
    <w:rsid w:val="3598587D"/>
    <w:rsid w:val="359858BB"/>
    <w:rsid w:val="35986C99"/>
    <w:rsid w:val="35987CE0"/>
    <w:rsid w:val="35992E24"/>
    <w:rsid w:val="359948F3"/>
    <w:rsid w:val="35995F0E"/>
    <w:rsid w:val="359978AF"/>
    <w:rsid w:val="359A1033"/>
    <w:rsid w:val="359A22B7"/>
    <w:rsid w:val="359A6D80"/>
    <w:rsid w:val="359A7184"/>
    <w:rsid w:val="359B60CF"/>
    <w:rsid w:val="359C2EFC"/>
    <w:rsid w:val="359C73A0"/>
    <w:rsid w:val="359C74C5"/>
    <w:rsid w:val="359D4169"/>
    <w:rsid w:val="359D4359"/>
    <w:rsid w:val="359E4EC6"/>
    <w:rsid w:val="359E542F"/>
    <w:rsid w:val="359E55F9"/>
    <w:rsid w:val="359E6C74"/>
    <w:rsid w:val="359F0C3E"/>
    <w:rsid w:val="359F165A"/>
    <w:rsid w:val="359F249A"/>
    <w:rsid w:val="359F2960"/>
    <w:rsid w:val="359F3301"/>
    <w:rsid w:val="359F3C0E"/>
    <w:rsid w:val="359F479A"/>
    <w:rsid w:val="359F6A89"/>
    <w:rsid w:val="35A00F9B"/>
    <w:rsid w:val="35A01234"/>
    <w:rsid w:val="35A0126C"/>
    <w:rsid w:val="35A05224"/>
    <w:rsid w:val="35A069F6"/>
    <w:rsid w:val="35A10512"/>
    <w:rsid w:val="35A110A7"/>
    <w:rsid w:val="35A11562"/>
    <w:rsid w:val="35A1275F"/>
    <w:rsid w:val="35A1279C"/>
    <w:rsid w:val="35A149B6"/>
    <w:rsid w:val="35A156BB"/>
    <w:rsid w:val="35A26038"/>
    <w:rsid w:val="35A314C3"/>
    <w:rsid w:val="35A32381"/>
    <w:rsid w:val="35A324DC"/>
    <w:rsid w:val="35A32969"/>
    <w:rsid w:val="35A33788"/>
    <w:rsid w:val="35A36B77"/>
    <w:rsid w:val="35A404A0"/>
    <w:rsid w:val="35A40F62"/>
    <w:rsid w:val="35A41DB0"/>
    <w:rsid w:val="35A424DA"/>
    <w:rsid w:val="35A46254"/>
    <w:rsid w:val="35A46BBA"/>
    <w:rsid w:val="35A53185"/>
    <w:rsid w:val="35A54C2F"/>
    <w:rsid w:val="35A568AF"/>
    <w:rsid w:val="35A5695E"/>
    <w:rsid w:val="35A6145E"/>
    <w:rsid w:val="35A61B3A"/>
    <w:rsid w:val="35A61D02"/>
    <w:rsid w:val="35A62223"/>
    <w:rsid w:val="35A63438"/>
    <w:rsid w:val="35A64A6A"/>
    <w:rsid w:val="35A67F82"/>
    <w:rsid w:val="35A770B9"/>
    <w:rsid w:val="35A77735"/>
    <w:rsid w:val="35A83E4D"/>
    <w:rsid w:val="35A85D44"/>
    <w:rsid w:val="35A90EA2"/>
    <w:rsid w:val="35A91A40"/>
    <w:rsid w:val="35A95619"/>
    <w:rsid w:val="35A973C7"/>
    <w:rsid w:val="35A97490"/>
    <w:rsid w:val="35A97950"/>
    <w:rsid w:val="35AA2741"/>
    <w:rsid w:val="35AA3294"/>
    <w:rsid w:val="35AA386B"/>
    <w:rsid w:val="35AA60A0"/>
    <w:rsid w:val="35AA64E9"/>
    <w:rsid w:val="35AB2A09"/>
    <w:rsid w:val="35AB313F"/>
    <w:rsid w:val="35AB380E"/>
    <w:rsid w:val="35AB3C09"/>
    <w:rsid w:val="35AB481A"/>
    <w:rsid w:val="35AB63BA"/>
    <w:rsid w:val="35AC1902"/>
    <w:rsid w:val="35AC69BE"/>
    <w:rsid w:val="35AC717D"/>
    <w:rsid w:val="35AD335B"/>
    <w:rsid w:val="35AD33E8"/>
    <w:rsid w:val="35AD3E6E"/>
    <w:rsid w:val="35AD5109"/>
    <w:rsid w:val="35AE2B15"/>
    <w:rsid w:val="35AE570A"/>
    <w:rsid w:val="35AE61FC"/>
    <w:rsid w:val="35AE657E"/>
    <w:rsid w:val="35AE6927"/>
    <w:rsid w:val="35AE735B"/>
    <w:rsid w:val="35AF2144"/>
    <w:rsid w:val="35B01F9B"/>
    <w:rsid w:val="35B069A7"/>
    <w:rsid w:val="35B11CD2"/>
    <w:rsid w:val="35B126D1"/>
    <w:rsid w:val="35B12CAB"/>
    <w:rsid w:val="35B20971"/>
    <w:rsid w:val="35B2271F"/>
    <w:rsid w:val="35B242B0"/>
    <w:rsid w:val="35B244CD"/>
    <w:rsid w:val="35B30B5A"/>
    <w:rsid w:val="35B3158B"/>
    <w:rsid w:val="35B328A4"/>
    <w:rsid w:val="35B34278"/>
    <w:rsid w:val="35B36731"/>
    <w:rsid w:val="35B400AD"/>
    <w:rsid w:val="35B41B1F"/>
    <w:rsid w:val="35B4214B"/>
    <w:rsid w:val="35B43F98"/>
    <w:rsid w:val="35B4417E"/>
    <w:rsid w:val="35B44BB6"/>
    <w:rsid w:val="35B45581"/>
    <w:rsid w:val="35B45F68"/>
    <w:rsid w:val="35B5220F"/>
    <w:rsid w:val="35B53679"/>
    <w:rsid w:val="35B53FBD"/>
    <w:rsid w:val="35B54086"/>
    <w:rsid w:val="35B56728"/>
    <w:rsid w:val="35B634F0"/>
    <w:rsid w:val="35B647A6"/>
    <w:rsid w:val="35B7138D"/>
    <w:rsid w:val="35B71AE4"/>
    <w:rsid w:val="35B73844"/>
    <w:rsid w:val="35B75F88"/>
    <w:rsid w:val="35B77D36"/>
    <w:rsid w:val="35B82498"/>
    <w:rsid w:val="35B85D6B"/>
    <w:rsid w:val="35B907DB"/>
    <w:rsid w:val="35B9088B"/>
    <w:rsid w:val="35B90DD2"/>
    <w:rsid w:val="35B91B35"/>
    <w:rsid w:val="35B91D00"/>
    <w:rsid w:val="35B93AAE"/>
    <w:rsid w:val="35B955D3"/>
    <w:rsid w:val="35BA15D4"/>
    <w:rsid w:val="35BA35D4"/>
    <w:rsid w:val="35BA6096"/>
    <w:rsid w:val="35BA6262"/>
    <w:rsid w:val="35BA7D48"/>
    <w:rsid w:val="35BB24DE"/>
    <w:rsid w:val="35BB4837"/>
    <w:rsid w:val="35BB5A78"/>
    <w:rsid w:val="35BB640C"/>
    <w:rsid w:val="35BB69BE"/>
    <w:rsid w:val="35BB71C2"/>
    <w:rsid w:val="35BC359E"/>
    <w:rsid w:val="35BC4AFB"/>
    <w:rsid w:val="35BC534C"/>
    <w:rsid w:val="35BC62B2"/>
    <w:rsid w:val="35BD0AE3"/>
    <w:rsid w:val="35BD363D"/>
    <w:rsid w:val="35BE10C4"/>
    <w:rsid w:val="35BE1985"/>
    <w:rsid w:val="35BE2E72"/>
    <w:rsid w:val="35BE5F2B"/>
    <w:rsid w:val="35BE7316"/>
    <w:rsid w:val="35BE7A8E"/>
    <w:rsid w:val="35BF18B9"/>
    <w:rsid w:val="35BF3050"/>
    <w:rsid w:val="35BF313E"/>
    <w:rsid w:val="35BF7763"/>
    <w:rsid w:val="35C0067C"/>
    <w:rsid w:val="35C0308E"/>
    <w:rsid w:val="35C12962"/>
    <w:rsid w:val="35C13B81"/>
    <w:rsid w:val="35C16E06"/>
    <w:rsid w:val="35C17E13"/>
    <w:rsid w:val="35C236B1"/>
    <w:rsid w:val="35C23D11"/>
    <w:rsid w:val="35C24D4E"/>
    <w:rsid w:val="35C25564"/>
    <w:rsid w:val="35C27879"/>
    <w:rsid w:val="35C36AA7"/>
    <w:rsid w:val="35C40263"/>
    <w:rsid w:val="35C42453"/>
    <w:rsid w:val="35C44185"/>
    <w:rsid w:val="35C44B02"/>
    <w:rsid w:val="35C464EA"/>
    <w:rsid w:val="35C47314"/>
    <w:rsid w:val="35C47387"/>
    <w:rsid w:val="35C506A4"/>
    <w:rsid w:val="35C6441D"/>
    <w:rsid w:val="35C64805"/>
    <w:rsid w:val="35C65F46"/>
    <w:rsid w:val="35C7000F"/>
    <w:rsid w:val="35C81F43"/>
    <w:rsid w:val="35C83CF1"/>
    <w:rsid w:val="35C86EB9"/>
    <w:rsid w:val="35C91817"/>
    <w:rsid w:val="35C93ED5"/>
    <w:rsid w:val="35C948C7"/>
    <w:rsid w:val="35CA1C82"/>
    <w:rsid w:val="35CA5CBB"/>
    <w:rsid w:val="35CA6C40"/>
    <w:rsid w:val="35CB15CF"/>
    <w:rsid w:val="35CB1A33"/>
    <w:rsid w:val="35CB37E1"/>
    <w:rsid w:val="35CB54ED"/>
    <w:rsid w:val="35CB7EC7"/>
    <w:rsid w:val="35CC0FDF"/>
    <w:rsid w:val="35CC1DC2"/>
    <w:rsid w:val="35CC3248"/>
    <w:rsid w:val="35CC633E"/>
    <w:rsid w:val="35CD1D46"/>
    <w:rsid w:val="35CD24D3"/>
    <w:rsid w:val="35CD57AB"/>
    <w:rsid w:val="35CE2B7A"/>
    <w:rsid w:val="35CE6E2D"/>
    <w:rsid w:val="35CF077F"/>
    <w:rsid w:val="35CF1523"/>
    <w:rsid w:val="35D00C1C"/>
    <w:rsid w:val="35D00DF7"/>
    <w:rsid w:val="35D01398"/>
    <w:rsid w:val="35D01FFC"/>
    <w:rsid w:val="35D02AD2"/>
    <w:rsid w:val="35D02BA5"/>
    <w:rsid w:val="35D050FB"/>
    <w:rsid w:val="35D05397"/>
    <w:rsid w:val="35D10216"/>
    <w:rsid w:val="35D1216B"/>
    <w:rsid w:val="35D1531B"/>
    <w:rsid w:val="35D15E6A"/>
    <w:rsid w:val="35D16B96"/>
    <w:rsid w:val="35D20DC3"/>
    <w:rsid w:val="35D22DC1"/>
    <w:rsid w:val="35D23D85"/>
    <w:rsid w:val="35D2691D"/>
    <w:rsid w:val="35D31EA2"/>
    <w:rsid w:val="35D33F20"/>
    <w:rsid w:val="35D41A41"/>
    <w:rsid w:val="35D42696"/>
    <w:rsid w:val="35D435F9"/>
    <w:rsid w:val="35D45814"/>
    <w:rsid w:val="35D463FA"/>
    <w:rsid w:val="35D46B3A"/>
    <w:rsid w:val="35D501BC"/>
    <w:rsid w:val="35D51C91"/>
    <w:rsid w:val="35D51DD1"/>
    <w:rsid w:val="35D53BA3"/>
    <w:rsid w:val="35D547CF"/>
    <w:rsid w:val="35D73F34"/>
    <w:rsid w:val="35D745D1"/>
    <w:rsid w:val="35D815F4"/>
    <w:rsid w:val="35D817EB"/>
    <w:rsid w:val="35D82392"/>
    <w:rsid w:val="35D84FF8"/>
    <w:rsid w:val="35D91C14"/>
    <w:rsid w:val="35D94631"/>
    <w:rsid w:val="35D973D1"/>
    <w:rsid w:val="35D97CAC"/>
    <w:rsid w:val="35DA3A24"/>
    <w:rsid w:val="35DA485F"/>
    <w:rsid w:val="35DA4A1D"/>
    <w:rsid w:val="35DB17D8"/>
    <w:rsid w:val="35DB47B9"/>
    <w:rsid w:val="35DC154A"/>
    <w:rsid w:val="35DC414A"/>
    <w:rsid w:val="35DC595E"/>
    <w:rsid w:val="35DC69CB"/>
    <w:rsid w:val="35DC6A5F"/>
    <w:rsid w:val="35DD242E"/>
    <w:rsid w:val="35DE1766"/>
    <w:rsid w:val="35DE2A8C"/>
    <w:rsid w:val="35DE3514"/>
    <w:rsid w:val="35DE3AB9"/>
    <w:rsid w:val="35DE4BD9"/>
    <w:rsid w:val="35DE52C2"/>
    <w:rsid w:val="35DF103A"/>
    <w:rsid w:val="35DF52F8"/>
    <w:rsid w:val="35DF6DF7"/>
    <w:rsid w:val="35E01981"/>
    <w:rsid w:val="35E054DE"/>
    <w:rsid w:val="35E06AD2"/>
    <w:rsid w:val="35E11256"/>
    <w:rsid w:val="35E11F65"/>
    <w:rsid w:val="35E2382D"/>
    <w:rsid w:val="35E24AFA"/>
    <w:rsid w:val="35E337ED"/>
    <w:rsid w:val="35E35712"/>
    <w:rsid w:val="35E36D7D"/>
    <w:rsid w:val="35E402AF"/>
    <w:rsid w:val="35E418B3"/>
    <w:rsid w:val="35E42D53"/>
    <w:rsid w:val="35E46651"/>
    <w:rsid w:val="35E46E58"/>
    <w:rsid w:val="35E5295E"/>
    <w:rsid w:val="35E52AF5"/>
    <w:rsid w:val="35E52DFF"/>
    <w:rsid w:val="35E53F9C"/>
    <w:rsid w:val="35E548A3"/>
    <w:rsid w:val="35E6061B"/>
    <w:rsid w:val="35E61CC1"/>
    <w:rsid w:val="35E623C9"/>
    <w:rsid w:val="35E6686D"/>
    <w:rsid w:val="35E766EB"/>
    <w:rsid w:val="35E77E4F"/>
    <w:rsid w:val="35E824CE"/>
    <w:rsid w:val="35E825E5"/>
    <w:rsid w:val="35E82F67"/>
    <w:rsid w:val="35E84393"/>
    <w:rsid w:val="35E90DEE"/>
    <w:rsid w:val="35E93C67"/>
    <w:rsid w:val="35E95868"/>
    <w:rsid w:val="35E96F6C"/>
    <w:rsid w:val="35EA1EB9"/>
    <w:rsid w:val="35EA7759"/>
    <w:rsid w:val="35EA7B9B"/>
    <w:rsid w:val="35EB3E83"/>
    <w:rsid w:val="35EB5C31"/>
    <w:rsid w:val="35EC4FDB"/>
    <w:rsid w:val="35EC651F"/>
    <w:rsid w:val="35ED10F0"/>
    <w:rsid w:val="35ED19A9"/>
    <w:rsid w:val="35ED2145"/>
    <w:rsid w:val="35ED3757"/>
    <w:rsid w:val="35ED4570"/>
    <w:rsid w:val="35ED6CDF"/>
    <w:rsid w:val="35ED756B"/>
    <w:rsid w:val="35ED7BFB"/>
    <w:rsid w:val="35EE3C94"/>
    <w:rsid w:val="35EE5D7D"/>
    <w:rsid w:val="35EE7944"/>
    <w:rsid w:val="35EF4E1B"/>
    <w:rsid w:val="35EF720D"/>
    <w:rsid w:val="35EF74CF"/>
    <w:rsid w:val="35F06330"/>
    <w:rsid w:val="35F06A41"/>
    <w:rsid w:val="35F07BD9"/>
    <w:rsid w:val="35F1006B"/>
    <w:rsid w:val="35F10258"/>
    <w:rsid w:val="35F10F39"/>
    <w:rsid w:val="35F1149A"/>
    <w:rsid w:val="35F13277"/>
    <w:rsid w:val="35F20D6E"/>
    <w:rsid w:val="35F213BB"/>
    <w:rsid w:val="35F23AD2"/>
    <w:rsid w:val="35F23C67"/>
    <w:rsid w:val="35F25212"/>
    <w:rsid w:val="35F363F2"/>
    <w:rsid w:val="35F36441"/>
    <w:rsid w:val="35F406D0"/>
    <w:rsid w:val="35F42D38"/>
    <w:rsid w:val="35F43519"/>
    <w:rsid w:val="35F446E9"/>
    <w:rsid w:val="35F47882"/>
    <w:rsid w:val="35F5085E"/>
    <w:rsid w:val="35F5260C"/>
    <w:rsid w:val="35F5369A"/>
    <w:rsid w:val="35F543C8"/>
    <w:rsid w:val="35F60376"/>
    <w:rsid w:val="35F62E75"/>
    <w:rsid w:val="35F6561E"/>
    <w:rsid w:val="35F65E90"/>
    <w:rsid w:val="35F66AB0"/>
    <w:rsid w:val="35F71CB3"/>
    <w:rsid w:val="35F72828"/>
    <w:rsid w:val="35F74D73"/>
    <w:rsid w:val="35F77BA7"/>
    <w:rsid w:val="35F90E28"/>
    <w:rsid w:val="35F920FC"/>
    <w:rsid w:val="35FA4B12"/>
    <w:rsid w:val="35FA7C22"/>
    <w:rsid w:val="35FB2318"/>
    <w:rsid w:val="35FB3326"/>
    <w:rsid w:val="35FB40C6"/>
    <w:rsid w:val="35FB4B84"/>
    <w:rsid w:val="35FC0A22"/>
    <w:rsid w:val="35FC0C31"/>
    <w:rsid w:val="35FC0F9C"/>
    <w:rsid w:val="35FC2EC4"/>
    <w:rsid w:val="35FC399A"/>
    <w:rsid w:val="35FC5E96"/>
    <w:rsid w:val="35FC6014"/>
    <w:rsid w:val="35FC7755"/>
    <w:rsid w:val="35FC7E3E"/>
    <w:rsid w:val="35FD08C3"/>
    <w:rsid w:val="35FD0BE5"/>
    <w:rsid w:val="35FD194F"/>
    <w:rsid w:val="35FD3700"/>
    <w:rsid w:val="35FD458A"/>
    <w:rsid w:val="35FD4ED1"/>
    <w:rsid w:val="35FD5F76"/>
    <w:rsid w:val="35FD77AD"/>
    <w:rsid w:val="35FE2075"/>
    <w:rsid w:val="35FE2E44"/>
    <w:rsid w:val="35FE3BB6"/>
    <w:rsid w:val="35FE65E6"/>
    <w:rsid w:val="35FE7713"/>
    <w:rsid w:val="35FE7F8F"/>
    <w:rsid w:val="35FF04C3"/>
    <w:rsid w:val="35FF1303"/>
    <w:rsid w:val="35FF348B"/>
    <w:rsid w:val="35FF6018"/>
    <w:rsid w:val="35FF60D6"/>
    <w:rsid w:val="35FF63BE"/>
    <w:rsid w:val="36001131"/>
    <w:rsid w:val="360019B2"/>
    <w:rsid w:val="360074A5"/>
    <w:rsid w:val="36007566"/>
    <w:rsid w:val="3600792F"/>
    <w:rsid w:val="36010F42"/>
    <w:rsid w:val="36013A14"/>
    <w:rsid w:val="360165BA"/>
    <w:rsid w:val="3602274C"/>
    <w:rsid w:val="3602468A"/>
    <w:rsid w:val="3602488C"/>
    <w:rsid w:val="360248A2"/>
    <w:rsid w:val="36024A57"/>
    <w:rsid w:val="360311CD"/>
    <w:rsid w:val="36035074"/>
    <w:rsid w:val="3603583F"/>
    <w:rsid w:val="360368A6"/>
    <w:rsid w:val="36036D18"/>
    <w:rsid w:val="360379E7"/>
    <w:rsid w:val="36043548"/>
    <w:rsid w:val="360441BF"/>
    <w:rsid w:val="36044B20"/>
    <w:rsid w:val="36050AA1"/>
    <w:rsid w:val="360517D5"/>
    <w:rsid w:val="36054F45"/>
    <w:rsid w:val="36062A6B"/>
    <w:rsid w:val="36064625"/>
    <w:rsid w:val="36067983"/>
    <w:rsid w:val="360717F7"/>
    <w:rsid w:val="3607336F"/>
    <w:rsid w:val="36080591"/>
    <w:rsid w:val="3608233F"/>
    <w:rsid w:val="36082DBD"/>
    <w:rsid w:val="360867E3"/>
    <w:rsid w:val="3608695F"/>
    <w:rsid w:val="36090618"/>
    <w:rsid w:val="36094819"/>
    <w:rsid w:val="360A2307"/>
    <w:rsid w:val="360A255B"/>
    <w:rsid w:val="360A35C3"/>
    <w:rsid w:val="360A4740"/>
    <w:rsid w:val="360B08B8"/>
    <w:rsid w:val="360B2B82"/>
    <w:rsid w:val="360B4387"/>
    <w:rsid w:val="360B6635"/>
    <w:rsid w:val="360B7581"/>
    <w:rsid w:val="360C6129"/>
    <w:rsid w:val="360D204B"/>
    <w:rsid w:val="360D486F"/>
    <w:rsid w:val="360D5BA8"/>
    <w:rsid w:val="360E2FFA"/>
    <w:rsid w:val="360E38AE"/>
    <w:rsid w:val="360E49BB"/>
    <w:rsid w:val="360E5316"/>
    <w:rsid w:val="360E53B7"/>
    <w:rsid w:val="360F1920"/>
    <w:rsid w:val="360F1B77"/>
    <w:rsid w:val="360F6190"/>
    <w:rsid w:val="360F778D"/>
    <w:rsid w:val="360F7B72"/>
    <w:rsid w:val="36103685"/>
    <w:rsid w:val="3610527E"/>
    <w:rsid w:val="36105ACE"/>
    <w:rsid w:val="361111FE"/>
    <w:rsid w:val="36112914"/>
    <w:rsid w:val="361138EA"/>
    <w:rsid w:val="361156F2"/>
    <w:rsid w:val="361231BE"/>
    <w:rsid w:val="361433DA"/>
    <w:rsid w:val="3614599E"/>
    <w:rsid w:val="3615204D"/>
    <w:rsid w:val="361522E1"/>
    <w:rsid w:val="36152745"/>
    <w:rsid w:val="3615360C"/>
    <w:rsid w:val="36154A5C"/>
    <w:rsid w:val="36156BBB"/>
    <w:rsid w:val="36157F08"/>
    <w:rsid w:val="36160649"/>
    <w:rsid w:val="36161D2D"/>
    <w:rsid w:val="361648C3"/>
    <w:rsid w:val="36166EBB"/>
    <w:rsid w:val="361703F3"/>
    <w:rsid w:val="361707D4"/>
    <w:rsid w:val="3617209F"/>
    <w:rsid w:val="36172C5A"/>
    <w:rsid w:val="36174C78"/>
    <w:rsid w:val="36176A26"/>
    <w:rsid w:val="36176B17"/>
    <w:rsid w:val="3618035F"/>
    <w:rsid w:val="361857ED"/>
    <w:rsid w:val="36186477"/>
    <w:rsid w:val="36186C7D"/>
    <w:rsid w:val="3619193F"/>
    <w:rsid w:val="3619279E"/>
    <w:rsid w:val="3619553C"/>
    <w:rsid w:val="361956CA"/>
    <w:rsid w:val="36196425"/>
    <w:rsid w:val="361A159D"/>
    <w:rsid w:val="361A2741"/>
    <w:rsid w:val="361A43FC"/>
    <w:rsid w:val="361A63A0"/>
    <w:rsid w:val="361B561A"/>
    <w:rsid w:val="361B6516"/>
    <w:rsid w:val="361B6AFF"/>
    <w:rsid w:val="361C1B4A"/>
    <w:rsid w:val="361C3EBD"/>
    <w:rsid w:val="361C5B5C"/>
    <w:rsid w:val="361C6751"/>
    <w:rsid w:val="361E1B63"/>
    <w:rsid w:val="361E6007"/>
    <w:rsid w:val="361E7C3C"/>
    <w:rsid w:val="361E7F1E"/>
    <w:rsid w:val="361F13AE"/>
    <w:rsid w:val="361F2FA6"/>
    <w:rsid w:val="361F7F47"/>
    <w:rsid w:val="36201D7F"/>
    <w:rsid w:val="36203B2D"/>
    <w:rsid w:val="36211133"/>
    <w:rsid w:val="36211653"/>
    <w:rsid w:val="362178A5"/>
    <w:rsid w:val="36224084"/>
    <w:rsid w:val="36227648"/>
    <w:rsid w:val="3623361D"/>
    <w:rsid w:val="362353CB"/>
    <w:rsid w:val="3623561F"/>
    <w:rsid w:val="362367EF"/>
    <w:rsid w:val="36242817"/>
    <w:rsid w:val="3624310F"/>
    <w:rsid w:val="36245220"/>
    <w:rsid w:val="36251143"/>
    <w:rsid w:val="36255B5B"/>
    <w:rsid w:val="36260A17"/>
    <w:rsid w:val="3626305B"/>
    <w:rsid w:val="36266C69"/>
    <w:rsid w:val="36271B29"/>
    <w:rsid w:val="36275688"/>
    <w:rsid w:val="3628285D"/>
    <w:rsid w:val="36282B30"/>
    <w:rsid w:val="36283BA1"/>
    <w:rsid w:val="36284F14"/>
    <w:rsid w:val="362901BB"/>
    <w:rsid w:val="36291079"/>
    <w:rsid w:val="36291C9B"/>
    <w:rsid w:val="36293656"/>
    <w:rsid w:val="36296D8F"/>
    <w:rsid w:val="36297C02"/>
    <w:rsid w:val="362A34DE"/>
    <w:rsid w:val="362A675A"/>
    <w:rsid w:val="362A681C"/>
    <w:rsid w:val="362A71A2"/>
    <w:rsid w:val="362B12F0"/>
    <w:rsid w:val="362B1702"/>
    <w:rsid w:val="362B2E09"/>
    <w:rsid w:val="362B4280"/>
    <w:rsid w:val="362B68FE"/>
    <w:rsid w:val="362C0724"/>
    <w:rsid w:val="362C191E"/>
    <w:rsid w:val="362C24D2"/>
    <w:rsid w:val="362C2EDE"/>
    <w:rsid w:val="362C60DF"/>
    <w:rsid w:val="362C7370"/>
    <w:rsid w:val="362D0BA3"/>
    <w:rsid w:val="362D1DA6"/>
    <w:rsid w:val="362D617A"/>
    <w:rsid w:val="362D7FF8"/>
    <w:rsid w:val="362E4933"/>
    <w:rsid w:val="362E7A13"/>
    <w:rsid w:val="362F0EA3"/>
    <w:rsid w:val="362F1BFA"/>
    <w:rsid w:val="362F1FC2"/>
    <w:rsid w:val="362F2ADD"/>
    <w:rsid w:val="362F2E4F"/>
    <w:rsid w:val="362F3D70"/>
    <w:rsid w:val="362F4397"/>
    <w:rsid w:val="362F6DD0"/>
    <w:rsid w:val="363037C3"/>
    <w:rsid w:val="36306C4A"/>
    <w:rsid w:val="36311DFD"/>
    <w:rsid w:val="36314213"/>
    <w:rsid w:val="36315D3A"/>
    <w:rsid w:val="3631632B"/>
    <w:rsid w:val="36320F6F"/>
    <w:rsid w:val="363239FC"/>
    <w:rsid w:val="36323E56"/>
    <w:rsid w:val="36324D82"/>
    <w:rsid w:val="36325511"/>
    <w:rsid w:val="3632560E"/>
    <w:rsid w:val="363261FD"/>
    <w:rsid w:val="36326CD1"/>
    <w:rsid w:val="36330CB4"/>
    <w:rsid w:val="363323F5"/>
    <w:rsid w:val="36334831"/>
    <w:rsid w:val="36334EF7"/>
    <w:rsid w:val="36341386"/>
    <w:rsid w:val="36343134"/>
    <w:rsid w:val="363475D8"/>
    <w:rsid w:val="36347D13"/>
    <w:rsid w:val="36350803"/>
    <w:rsid w:val="3635150E"/>
    <w:rsid w:val="3635348A"/>
    <w:rsid w:val="363565D1"/>
    <w:rsid w:val="36356EAC"/>
    <w:rsid w:val="36361E4E"/>
    <w:rsid w:val="36363350"/>
    <w:rsid w:val="3636385D"/>
    <w:rsid w:val="363650FE"/>
    <w:rsid w:val="36372C24"/>
    <w:rsid w:val="36376D1A"/>
    <w:rsid w:val="36385A46"/>
    <w:rsid w:val="363879DF"/>
    <w:rsid w:val="36392E40"/>
    <w:rsid w:val="363932F5"/>
    <w:rsid w:val="36394B26"/>
    <w:rsid w:val="363970CC"/>
    <w:rsid w:val="36397462"/>
    <w:rsid w:val="363A1DFD"/>
    <w:rsid w:val="363A3E94"/>
    <w:rsid w:val="363A4DC9"/>
    <w:rsid w:val="363A5520"/>
    <w:rsid w:val="363B3C8C"/>
    <w:rsid w:val="363B601F"/>
    <w:rsid w:val="363B7446"/>
    <w:rsid w:val="363C34E6"/>
    <w:rsid w:val="363C59D6"/>
    <w:rsid w:val="363C648D"/>
    <w:rsid w:val="363D46DF"/>
    <w:rsid w:val="363D7DEA"/>
    <w:rsid w:val="363E0998"/>
    <w:rsid w:val="363E2782"/>
    <w:rsid w:val="363E3FB3"/>
    <w:rsid w:val="363E4198"/>
    <w:rsid w:val="363E5DC7"/>
    <w:rsid w:val="363E6985"/>
    <w:rsid w:val="363E6B4A"/>
    <w:rsid w:val="363E7508"/>
    <w:rsid w:val="363F332C"/>
    <w:rsid w:val="364003A0"/>
    <w:rsid w:val="36400E00"/>
    <w:rsid w:val="36401B29"/>
    <w:rsid w:val="36402039"/>
    <w:rsid w:val="36402E6E"/>
    <w:rsid w:val="3640391D"/>
    <w:rsid w:val="36405F7D"/>
    <w:rsid w:val="36406806"/>
    <w:rsid w:val="36413AA3"/>
    <w:rsid w:val="36415851"/>
    <w:rsid w:val="36420205"/>
    <w:rsid w:val="3642054F"/>
    <w:rsid w:val="36424577"/>
    <w:rsid w:val="364307A9"/>
    <w:rsid w:val="364315C9"/>
    <w:rsid w:val="36431B73"/>
    <w:rsid w:val="36435A6D"/>
    <w:rsid w:val="3643781B"/>
    <w:rsid w:val="36441C39"/>
    <w:rsid w:val="36443E34"/>
    <w:rsid w:val="36446ABB"/>
    <w:rsid w:val="36451395"/>
    <w:rsid w:val="364517E5"/>
    <w:rsid w:val="36451D0D"/>
    <w:rsid w:val="36453593"/>
    <w:rsid w:val="36453EFF"/>
    <w:rsid w:val="36455341"/>
    <w:rsid w:val="36463152"/>
    <w:rsid w:val="36470B4E"/>
    <w:rsid w:val="36471CFB"/>
    <w:rsid w:val="364737FF"/>
    <w:rsid w:val="3647730B"/>
    <w:rsid w:val="36481A4A"/>
    <w:rsid w:val="3648210B"/>
    <w:rsid w:val="36483084"/>
    <w:rsid w:val="364979EA"/>
    <w:rsid w:val="364A067C"/>
    <w:rsid w:val="364A0B21"/>
    <w:rsid w:val="364A2958"/>
    <w:rsid w:val="364B1A21"/>
    <w:rsid w:val="364B57CB"/>
    <w:rsid w:val="364C1B82"/>
    <w:rsid w:val="364C2B74"/>
    <w:rsid w:val="364C5B24"/>
    <w:rsid w:val="364C64DE"/>
    <w:rsid w:val="364D069A"/>
    <w:rsid w:val="364D18A6"/>
    <w:rsid w:val="364D2448"/>
    <w:rsid w:val="364D3AB9"/>
    <w:rsid w:val="364D41F6"/>
    <w:rsid w:val="364F1268"/>
    <w:rsid w:val="364F2062"/>
    <w:rsid w:val="364F3F15"/>
    <w:rsid w:val="364F4412"/>
    <w:rsid w:val="364F7F6E"/>
    <w:rsid w:val="36502DAD"/>
    <w:rsid w:val="36503558"/>
    <w:rsid w:val="3651018A"/>
    <w:rsid w:val="36513CE6"/>
    <w:rsid w:val="36514D19"/>
    <w:rsid w:val="36517641"/>
    <w:rsid w:val="3652180C"/>
    <w:rsid w:val="365229DD"/>
    <w:rsid w:val="36525CB0"/>
    <w:rsid w:val="36526E0E"/>
    <w:rsid w:val="36527A5E"/>
    <w:rsid w:val="3653029E"/>
    <w:rsid w:val="36533F02"/>
    <w:rsid w:val="3653711E"/>
    <w:rsid w:val="36537D93"/>
    <w:rsid w:val="36544719"/>
    <w:rsid w:val="365458C2"/>
    <w:rsid w:val="36545FE7"/>
    <w:rsid w:val="36546526"/>
    <w:rsid w:val="36551790"/>
    <w:rsid w:val="36552860"/>
    <w:rsid w:val="3655286F"/>
    <w:rsid w:val="365528B0"/>
    <w:rsid w:val="36555453"/>
    <w:rsid w:val="3655662D"/>
    <w:rsid w:val="365608B0"/>
    <w:rsid w:val="365612FD"/>
    <w:rsid w:val="36565B90"/>
    <w:rsid w:val="36573E2A"/>
    <w:rsid w:val="3658153F"/>
    <w:rsid w:val="36582B23"/>
    <w:rsid w:val="36582C80"/>
    <w:rsid w:val="36590DED"/>
    <w:rsid w:val="365919F8"/>
    <w:rsid w:val="365928D2"/>
    <w:rsid w:val="36593E79"/>
    <w:rsid w:val="365955A0"/>
    <w:rsid w:val="3659703F"/>
    <w:rsid w:val="365A38E0"/>
    <w:rsid w:val="365A6586"/>
    <w:rsid w:val="365A7F9B"/>
    <w:rsid w:val="365B4736"/>
    <w:rsid w:val="365B6913"/>
    <w:rsid w:val="365B7C15"/>
    <w:rsid w:val="365C268B"/>
    <w:rsid w:val="365C2A91"/>
    <w:rsid w:val="365C49EA"/>
    <w:rsid w:val="365D3F21"/>
    <w:rsid w:val="365D6452"/>
    <w:rsid w:val="365D6B2F"/>
    <w:rsid w:val="365E0E99"/>
    <w:rsid w:val="365E590B"/>
    <w:rsid w:val="365E5AFC"/>
    <w:rsid w:val="365E6E3F"/>
    <w:rsid w:val="365E7F82"/>
    <w:rsid w:val="365F04CA"/>
    <w:rsid w:val="365F1972"/>
    <w:rsid w:val="365F6841"/>
    <w:rsid w:val="365F74DC"/>
    <w:rsid w:val="366003CD"/>
    <w:rsid w:val="36600936"/>
    <w:rsid w:val="3660217B"/>
    <w:rsid w:val="36604A6A"/>
    <w:rsid w:val="36605FD0"/>
    <w:rsid w:val="36607CD1"/>
    <w:rsid w:val="36614ED0"/>
    <w:rsid w:val="36620D03"/>
    <w:rsid w:val="36621A0B"/>
    <w:rsid w:val="36625EF3"/>
    <w:rsid w:val="36626903"/>
    <w:rsid w:val="36631C6B"/>
    <w:rsid w:val="36632DC4"/>
    <w:rsid w:val="36633A19"/>
    <w:rsid w:val="366351EC"/>
    <w:rsid w:val="36637EBD"/>
    <w:rsid w:val="36641223"/>
    <w:rsid w:val="366435F4"/>
    <w:rsid w:val="36644B69"/>
    <w:rsid w:val="366478C8"/>
    <w:rsid w:val="36653C36"/>
    <w:rsid w:val="3665675C"/>
    <w:rsid w:val="36656A49"/>
    <w:rsid w:val="36657D31"/>
    <w:rsid w:val="366607AE"/>
    <w:rsid w:val="36664FD3"/>
    <w:rsid w:val="366652B8"/>
    <w:rsid w:val="3667154D"/>
    <w:rsid w:val="36672F67"/>
    <w:rsid w:val="3667360A"/>
    <w:rsid w:val="3667732D"/>
    <w:rsid w:val="36680956"/>
    <w:rsid w:val="36681030"/>
    <w:rsid w:val="36681034"/>
    <w:rsid w:val="36683C05"/>
    <w:rsid w:val="366854D4"/>
    <w:rsid w:val="36687282"/>
    <w:rsid w:val="36695095"/>
    <w:rsid w:val="36695C0D"/>
    <w:rsid w:val="36696F60"/>
    <w:rsid w:val="366A2FFA"/>
    <w:rsid w:val="366A4D05"/>
    <w:rsid w:val="366A4DA8"/>
    <w:rsid w:val="366A5D83"/>
    <w:rsid w:val="366A63A8"/>
    <w:rsid w:val="366A63C4"/>
    <w:rsid w:val="366B0E10"/>
    <w:rsid w:val="366B0FA5"/>
    <w:rsid w:val="366B1793"/>
    <w:rsid w:val="366B28CE"/>
    <w:rsid w:val="366B31BC"/>
    <w:rsid w:val="366B3254"/>
    <w:rsid w:val="366B3962"/>
    <w:rsid w:val="366C06B6"/>
    <w:rsid w:val="366C0E45"/>
    <w:rsid w:val="366C4FC4"/>
    <w:rsid w:val="366C6B99"/>
    <w:rsid w:val="366D0A5A"/>
    <w:rsid w:val="366D1C16"/>
    <w:rsid w:val="366D3AD9"/>
    <w:rsid w:val="366D6338"/>
    <w:rsid w:val="366D6387"/>
    <w:rsid w:val="366D6646"/>
    <w:rsid w:val="366E4D55"/>
    <w:rsid w:val="366E6C42"/>
    <w:rsid w:val="366F23BE"/>
    <w:rsid w:val="366F476C"/>
    <w:rsid w:val="366F6862"/>
    <w:rsid w:val="366F6930"/>
    <w:rsid w:val="366F77C5"/>
    <w:rsid w:val="367014BE"/>
    <w:rsid w:val="36703D6C"/>
    <w:rsid w:val="367113D1"/>
    <w:rsid w:val="36711506"/>
    <w:rsid w:val="3671152F"/>
    <w:rsid w:val="36712E0A"/>
    <w:rsid w:val="36713D06"/>
    <w:rsid w:val="36714388"/>
    <w:rsid w:val="36714D18"/>
    <w:rsid w:val="36716136"/>
    <w:rsid w:val="36721EAF"/>
    <w:rsid w:val="36723C5D"/>
    <w:rsid w:val="36724646"/>
    <w:rsid w:val="367327B3"/>
    <w:rsid w:val="36733530"/>
    <w:rsid w:val="367365C1"/>
    <w:rsid w:val="36741575"/>
    <w:rsid w:val="3674177C"/>
    <w:rsid w:val="36743E79"/>
    <w:rsid w:val="3674665B"/>
    <w:rsid w:val="3674778B"/>
    <w:rsid w:val="367479D5"/>
    <w:rsid w:val="36751054"/>
    <w:rsid w:val="36751A3E"/>
    <w:rsid w:val="36762117"/>
    <w:rsid w:val="367622A7"/>
    <w:rsid w:val="36764149"/>
    <w:rsid w:val="36767272"/>
    <w:rsid w:val="36772851"/>
    <w:rsid w:val="36772A0A"/>
    <w:rsid w:val="36773050"/>
    <w:rsid w:val="3677678D"/>
    <w:rsid w:val="367774C5"/>
    <w:rsid w:val="3678060D"/>
    <w:rsid w:val="36780B29"/>
    <w:rsid w:val="36781AB1"/>
    <w:rsid w:val="367845F1"/>
    <w:rsid w:val="36784617"/>
    <w:rsid w:val="3678643B"/>
    <w:rsid w:val="3679035D"/>
    <w:rsid w:val="36791E55"/>
    <w:rsid w:val="36793030"/>
    <w:rsid w:val="3679323D"/>
    <w:rsid w:val="367A601A"/>
    <w:rsid w:val="367A7C04"/>
    <w:rsid w:val="367B6FB5"/>
    <w:rsid w:val="367C093A"/>
    <w:rsid w:val="367C50D1"/>
    <w:rsid w:val="367D1DCA"/>
    <w:rsid w:val="367D4AA1"/>
    <w:rsid w:val="367D522F"/>
    <w:rsid w:val="367D7F1D"/>
    <w:rsid w:val="367E0853"/>
    <w:rsid w:val="367E2601"/>
    <w:rsid w:val="367F36DE"/>
    <w:rsid w:val="367F4368"/>
    <w:rsid w:val="367F52CB"/>
    <w:rsid w:val="3680281D"/>
    <w:rsid w:val="36802DAA"/>
    <w:rsid w:val="36807515"/>
    <w:rsid w:val="36810032"/>
    <w:rsid w:val="368101F6"/>
    <w:rsid w:val="3681331C"/>
    <w:rsid w:val="36820E79"/>
    <w:rsid w:val="36821D61"/>
    <w:rsid w:val="368220F2"/>
    <w:rsid w:val="3682448A"/>
    <w:rsid w:val="368247AC"/>
    <w:rsid w:val="36826406"/>
    <w:rsid w:val="36831144"/>
    <w:rsid w:val="36833607"/>
    <w:rsid w:val="36840413"/>
    <w:rsid w:val="36841AE0"/>
    <w:rsid w:val="3684230E"/>
    <w:rsid w:val="36842550"/>
    <w:rsid w:val="368507A3"/>
    <w:rsid w:val="3685164C"/>
    <w:rsid w:val="36852311"/>
    <w:rsid w:val="36853560"/>
    <w:rsid w:val="36856C8C"/>
    <w:rsid w:val="368577FF"/>
    <w:rsid w:val="3686304B"/>
    <w:rsid w:val="36864662"/>
    <w:rsid w:val="3686486B"/>
    <w:rsid w:val="36873A8F"/>
    <w:rsid w:val="36873BAC"/>
    <w:rsid w:val="368746E6"/>
    <w:rsid w:val="36877708"/>
    <w:rsid w:val="3688182C"/>
    <w:rsid w:val="36882552"/>
    <w:rsid w:val="36883A72"/>
    <w:rsid w:val="36885DE7"/>
    <w:rsid w:val="36886EDD"/>
    <w:rsid w:val="368871FB"/>
    <w:rsid w:val="36887706"/>
    <w:rsid w:val="36891920"/>
    <w:rsid w:val="36896C2B"/>
    <w:rsid w:val="368A1AE5"/>
    <w:rsid w:val="368A2348"/>
    <w:rsid w:val="368A369C"/>
    <w:rsid w:val="368A43CE"/>
    <w:rsid w:val="368A50B2"/>
    <w:rsid w:val="368A5DA6"/>
    <w:rsid w:val="368B1516"/>
    <w:rsid w:val="368B30C7"/>
    <w:rsid w:val="368B585E"/>
    <w:rsid w:val="368C11C2"/>
    <w:rsid w:val="368C1299"/>
    <w:rsid w:val="368C2F70"/>
    <w:rsid w:val="368C3617"/>
    <w:rsid w:val="368C4A7A"/>
    <w:rsid w:val="368C7114"/>
    <w:rsid w:val="368D0A96"/>
    <w:rsid w:val="368D1152"/>
    <w:rsid w:val="368D18BF"/>
    <w:rsid w:val="368D6CE8"/>
    <w:rsid w:val="368E1BCD"/>
    <w:rsid w:val="368E2203"/>
    <w:rsid w:val="368E4F3A"/>
    <w:rsid w:val="368E7383"/>
    <w:rsid w:val="368F2CFF"/>
    <w:rsid w:val="368F6A77"/>
    <w:rsid w:val="36900863"/>
    <w:rsid w:val="3690132A"/>
    <w:rsid w:val="36902F82"/>
    <w:rsid w:val="36904F1E"/>
    <w:rsid w:val="36910587"/>
    <w:rsid w:val="36911898"/>
    <w:rsid w:val="36913D9A"/>
    <w:rsid w:val="36914749"/>
    <w:rsid w:val="369156FA"/>
    <w:rsid w:val="3691586D"/>
    <w:rsid w:val="369167D9"/>
    <w:rsid w:val="36930039"/>
    <w:rsid w:val="36931251"/>
    <w:rsid w:val="3693208C"/>
    <w:rsid w:val="36932551"/>
    <w:rsid w:val="36932B06"/>
    <w:rsid w:val="36933DB2"/>
    <w:rsid w:val="369342FF"/>
    <w:rsid w:val="36940077"/>
    <w:rsid w:val="36940FD2"/>
    <w:rsid w:val="36945BBC"/>
    <w:rsid w:val="369462C9"/>
    <w:rsid w:val="369463AE"/>
    <w:rsid w:val="3695069B"/>
    <w:rsid w:val="36951558"/>
    <w:rsid w:val="36962041"/>
    <w:rsid w:val="3696377E"/>
    <w:rsid w:val="36963DEF"/>
    <w:rsid w:val="369648D9"/>
    <w:rsid w:val="36964EF6"/>
    <w:rsid w:val="36965096"/>
    <w:rsid w:val="36965B9D"/>
    <w:rsid w:val="36967D4F"/>
    <w:rsid w:val="369702E5"/>
    <w:rsid w:val="3697072A"/>
    <w:rsid w:val="369707D6"/>
    <w:rsid w:val="3697389C"/>
    <w:rsid w:val="36980772"/>
    <w:rsid w:val="36981915"/>
    <w:rsid w:val="36987B67"/>
    <w:rsid w:val="369915A3"/>
    <w:rsid w:val="369923B0"/>
    <w:rsid w:val="369938DF"/>
    <w:rsid w:val="369955C9"/>
    <w:rsid w:val="3699568D"/>
    <w:rsid w:val="369966AC"/>
    <w:rsid w:val="36996F01"/>
    <w:rsid w:val="3699743B"/>
    <w:rsid w:val="36997E62"/>
    <w:rsid w:val="369A1772"/>
    <w:rsid w:val="369A2E37"/>
    <w:rsid w:val="369A3EC3"/>
    <w:rsid w:val="369A43E5"/>
    <w:rsid w:val="369A4E21"/>
    <w:rsid w:val="369A4E53"/>
    <w:rsid w:val="369B000A"/>
    <w:rsid w:val="369B31B3"/>
    <w:rsid w:val="369B68B7"/>
    <w:rsid w:val="369B7657"/>
    <w:rsid w:val="369C1E3E"/>
    <w:rsid w:val="369C2C78"/>
    <w:rsid w:val="369C4B94"/>
    <w:rsid w:val="369D007E"/>
    <w:rsid w:val="369D517D"/>
    <w:rsid w:val="369D7C73"/>
    <w:rsid w:val="369E1208"/>
    <w:rsid w:val="369E245A"/>
    <w:rsid w:val="369E2CA4"/>
    <w:rsid w:val="369E57FE"/>
    <w:rsid w:val="369E6D4B"/>
    <w:rsid w:val="369F0B51"/>
    <w:rsid w:val="369F4D02"/>
    <w:rsid w:val="36A007CA"/>
    <w:rsid w:val="36A04B2A"/>
    <w:rsid w:val="36A1017A"/>
    <w:rsid w:val="36A14116"/>
    <w:rsid w:val="36A209E6"/>
    <w:rsid w:val="36A22475"/>
    <w:rsid w:val="36A22655"/>
    <w:rsid w:val="36A22794"/>
    <w:rsid w:val="36A24542"/>
    <w:rsid w:val="36A24E5F"/>
    <w:rsid w:val="36A368D7"/>
    <w:rsid w:val="36A40F99"/>
    <w:rsid w:val="36A42FED"/>
    <w:rsid w:val="36A45B88"/>
    <w:rsid w:val="36A462B4"/>
    <w:rsid w:val="36A54032"/>
    <w:rsid w:val="36A55DE0"/>
    <w:rsid w:val="36A57B46"/>
    <w:rsid w:val="36A62466"/>
    <w:rsid w:val="36A63BA7"/>
    <w:rsid w:val="36A67737"/>
    <w:rsid w:val="36A80028"/>
    <w:rsid w:val="36A84DB7"/>
    <w:rsid w:val="36A8691D"/>
    <w:rsid w:val="36A92528"/>
    <w:rsid w:val="36A9517F"/>
    <w:rsid w:val="36A95439"/>
    <w:rsid w:val="36A95955"/>
    <w:rsid w:val="36A97957"/>
    <w:rsid w:val="36AA1648"/>
    <w:rsid w:val="36AA620B"/>
    <w:rsid w:val="36AB07D2"/>
    <w:rsid w:val="36AB4E48"/>
    <w:rsid w:val="36AB7E0E"/>
    <w:rsid w:val="36AC076B"/>
    <w:rsid w:val="36AC19ED"/>
    <w:rsid w:val="36AC2DA9"/>
    <w:rsid w:val="36AC53C0"/>
    <w:rsid w:val="36AC6604"/>
    <w:rsid w:val="36AC6BD3"/>
    <w:rsid w:val="36AC716F"/>
    <w:rsid w:val="36AD2EE7"/>
    <w:rsid w:val="36AD4B82"/>
    <w:rsid w:val="36AD4EE1"/>
    <w:rsid w:val="36AE020E"/>
    <w:rsid w:val="36AE1139"/>
    <w:rsid w:val="36AE2339"/>
    <w:rsid w:val="36AE2D94"/>
    <w:rsid w:val="36AE7358"/>
    <w:rsid w:val="36AF1833"/>
    <w:rsid w:val="36AF3103"/>
    <w:rsid w:val="36B00B6C"/>
    <w:rsid w:val="36B04C59"/>
    <w:rsid w:val="36B0782A"/>
    <w:rsid w:val="36B139FE"/>
    <w:rsid w:val="36B14785"/>
    <w:rsid w:val="36B14A85"/>
    <w:rsid w:val="36B158AF"/>
    <w:rsid w:val="36B17390"/>
    <w:rsid w:val="36B17579"/>
    <w:rsid w:val="36B204FD"/>
    <w:rsid w:val="36B209BD"/>
    <w:rsid w:val="36B22251"/>
    <w:rsid w:val="36B22CAC"/>
    <w:rsid w:val="36B33CD5"/>
    <w:rsid w:val="36B349A1"/>
    <w:rsid w:val="36B35F1A"/>
    <w:rsid w:val="36B3674F"/>
    <w:rsid w:val="36B4396A"/>
    <w:rsid w:val="36B45F6D"/>
    <w:rsid w:val="36B46D30"/>
    <w:rsid w:val="36B50ACB"/>
    <w:rsid w:val="36B51714"/>
    <w:rsid w:val="36B5266D"/>
    <w:rsid w:val="36B5382E"/>
    <w:rsid w:val="36B542D6"/>
    <w:rsid w:val="36B54795"/>
    <w:rsid w:val="36B551E4"/>
    <w:rsid w:val="36B64412"/>
    <w:rsid w:val="36B64491"/>
    <w:rsid w:val="36B65E9E"/>
    <w:rsid w:val="36B6623F"/>
    <w:rsid w:val="36B66471"/>
    <w:rsid w:val="36B67FED"/>
    <w:rsid w:val="36B702AD"/>
    <w:rsid w:val="36B71EF4"/>
    <w:rsid w:val="36B7596C"/>
    <w:rsid w:val="36B81FB7"/>
    <w:rsid w:val="36B84C63"/>
    <w:rsid w:val="36B87851"/>
    <w:rsid w:val="36B9222E"/>
    <w:rsid w:val="36B94E7C"/>
    <w:rsid w:val="36B956B8"/>
    <w:rsid w:val="36B9651A"/>
    <w:rsid w:val="36B9791B"/>
    <w:rsid w:val="36BA0211"/>
    <w:rsid w:val="36BA5E25"/>
    <w:rsid w:val="36BA68E5"/>
    <w:rsid w:val="36BB1AA7"/>
    <w:rsid w:val="36BB584C"/>
    <w:rsid w:val="36BB7E6F"/>
    <w:rsid w:val="36BC355C"/>
    <w:rsid w:val="36BD2B8D"/>
    <w:rsid w:val="36BD312A"/>
    <w:rsid w:val="36BD5820"/>
    <w:rsid w:val="36BD75CE"/>
    <w:rsid w:val="36BE2A56"/>
    <w:rsid w:val="36BE548F"/>
    <w:rsid w:val="36BE5F18"/>
    <w:rsid w:val="36BE708C"/>
    <w:rsid w:val="36BF1B86"/>
    <w:rsid w:val="36BF3346"/>
    <w:rsid w:val="36BF41F1"/>
    <w:rsid w:val="36C00E6C"/>
    <w:rsid w:val="36C01129"/>
    <w:rsid w:val="36C04521"/>
    <w:rsid w:val="36C05BDE"/>
    <w:rsid w:val="36C070BE"/>
    <w:rsid w:val="36C107AF"/>
    <w:rsid w:val="36C14228"/>
    <w:rsid w:val="36C16AF7"/>
    <w:rsid w:val="36C17E14"/>
    <w:rsid w:val="36C21C3F"/>
    <w:rsid w:val="36C22B22"/>
    <w:rsid w:val="36C22E36"/>
    <w:rsid w:val="36C24128"/>
    <w:rsid w:val="36C24BE4"/>
    <w:rsid w:val="36C25195"/>
    <w:rsid w:val="36C26992"/>
    <w:rsid w:val="36C344B8"/>
    <w:rsid w:val="36C411EC"/>
    <w:rsid w:val="36C416DE"/>
    <w:rsid w:val="36C4279E"/>
    <w:rsid w:val="36C4455F"/>
    <w:rsid w:val="36C4538D"/>
    <w:rsid w:val="36C4697F"/>
    <w:rsid w:val="36C46D2F"/>
    <w:rsid w:val="36C551CD"/>
    <w:rsid w:val="36C56482"/>
    <w:rsid w:val="36C60E3F"/>
    <w:rsid w:val="36C62A73"/>
    <w:rsid w:val="36C6789E"/>
    <w:rsid w:val="36C67B60"/>
    <w:rsid w:val="36C71A5A"/>
    <w:rsid w:val="36C737F5"/>
    <w:rsid w:val="36C73FA8"/>
    <w:rsid w:val="36C753E5"/>
    <w:rsid w:val="36C84091"/>
    <w:rsid w:val="36C84394"/>
    <w:rsid w:val="36C918BB"/>
    <w:rsid w:val="36C941C4"/>
    <w:rsid w:val="36C94D6E"/>
    <w:rsid w:val="36C95F72"/>
    <w:rsid w:val="36C961C3"/>
    <w:rsid w:val="36C97CBE"/>
    <w:rsid w:val="36C97D20"/>
    <w:rsid w:val="36CA01DB"/>
    <w:rsid w:val="36CA4AF3"/>
    <w:rsid w:val="36CA5626"/>
    <w:rsid w:val="36CB1F86"/>
    <w:rsid w:val="36CB69AB"/>
    <w:rsid w:val="36CB7CCE"/>
    <w:rsid w:val="36CC1BC7"/>
    <w:rsid w:val="36CC3874"/>
    <w:rsid w:val="36CC4181"/>
    <w:rsid w:val="36CC5A63"/>
    <w:rsid w:val="36CC7811"/>
    <w:rsid w:val="36CD19A9"/>
    <w:rsid w:val="36CD2471"/>
    <w:rsid w:val="36CD2905"/>
    <w:rsid w:val="36CD3B65"/>
    <w:rsid w:val="36CD7A89"/>
    <w:rsid w:val="36CE3589"/>
    <w:rsid w:val="36CE5337"/>
    <w:rsid w:val="36CE7EAF"/>
    <w:rsid w:val="36CF25FD"/>
    <w:rsid w:val="36CF33C7"/>
    <w:rsid w:val="36D02AA7"/>
    <w:rsid w:val="36D02B02"/>
    <w:rsid w:val="36D05553"/>
    <w:rsid w:val="36D07EFA"/>
    <w:rsid w:val="36D103E6"/>
    <w:rsid w:val="36D1085D"/>
    <w:rsid w:val="36D11A88"/>
    <w:rsid w:val="36D14E27"/>
    <w:rsid w:val="36D26348"/>
    <w:rsid w:val="36D30B9F"/>
    <w:rsid w:val="36D32BC4"/>
    <w:rsid w:val="36D35BFA"/>
    <w:rsid w:val="36D412B8"/>
    <w:rsid w:val="36D41ED8"/>
    <w:rsid w:val="36D420EF"/>
    <w:rsid w:val="36D43740"/>
    <w:rsid w:val="36D451CC"/>
    <w:rsid w:val="36D451DC"/>
    <w:rsid w:val="36D466C5"/>
    <w:rsid w:val="36D52B69"/>
    <w:rsid w:val="36D534E1"/>
    <w:rsid w:val="36D5473F"/>
    <w:rsid w:val="36D55CB1"/>
    <w:rsid w:val="36D641EB"/>
    <w:rsid w:val="36D668E1"/>
    <w:rsid w:val="36D67C8F"/>
    <w:rsid w:val="36D72B1F"/>
    <w:rsid w:val="36D7699C"/>
    <w:rsid w:val="36D7770D"/>
    <w:rsid w:val="36D80A35"/>
    <w:rsid w:val="36D81B17"/>
    <w:rsid w:val="36D82130"/>
    <w:rsid w:val="36D84921"/>
    <w:rsid w:val="36D861B6"/>
    <w:rsid w:val="36D8775F"/>
    <w:rsid w:val="36D93CDC"/>
    <w:rsid w:val="36D952F5"/>
    <w:rsid w:val="36DA0180"/>
    <w:rsid w:val="36DA1356"/>
    <w:rsid w:val="36DA1F2E"/>
    <w:rsid w:val="36DA44EF"/>
    <w:rsid w:val="36DA5495"/>
    <w:rsid w:val="36DB05E0"/>
    <w:rsid w:val="36DB09C1"/>
    <w:rsid w:val="36DB0F9D"/>
    <w:rsid w:val="36DB3EF8"/>
    <w:rsid w:val="36DB5209"/>
    <w:rsid w:val="36DB72FF"/>
    <w:rsid w:val="36DC01A8"/>
    <w:rsid w:val="36DC3947"/>
    <w:rsid w:val="36DC3C76"/>
    <w:rsid w:val="36DC53B7"/>
    <w:rsid w:val="36DC5E88"/>
    <w:rsid w:val="36DC5ECC"/>
    <w:rsid w:val="36DD072F"/>
    <w:rsid w:val="36DD37CC"/>
    <w:rsid w:val="36DD5F28"/>
    <w:rsid w:val="36DE1AE9"/>
    <w:rsid w:val="36DE2D39"/>
    <w:rsid w:val="36DE3A00"/>
    <w:rsid w:val="36DE7CD7"/>
    <w:rsid w:val="36DF0D50"/>
    <w:rsid w:val="36DF474B"/>
    <w:rsid w:val="36DF5796"/>
    <w:rsid w:val="36DF6214"/>
    <w:rsid w:val="36DF7544"/>
    <w:rsid w:val="36E0150E"/>
    <w:rsid w:val="36E03C70"/>
    <w:rsid w:val="36E100E1"/>
    <w:rsid w:val="36E111F6"/>
    <w:rsid w:val="36E1558C"/>
    <w:rsid w:val="36E1561F"/>
    <w:rsid w:val="36E20DE2"/>
    <w:rsid w:val="36E23AEA"/>
    <w:rsid w:val="36E25286"/>
    <w:rsid w:val="36E27034"/>
    <w:rsid w:val="36E27AE8"/>
    <w:rsid w:val="36E30E77"/>
    <w:rsid w:val="36E36908"/>
    <w:rsid w:val="36E42DAC"/>
    <w:rsid w:val="36E50C68"/>
    <w:rsid w:val="36E51884"/>
    <w:rsid w:val="36E527A3"/>
    <w:rsid w:val="36E54FD9"/>
    <w:rsid w:val="36E55551"/>
    <w:rsid w:val="36E56B24"/>
    <w:rsid w:val="36E61D4C"/>
    <w:rsid w:val="36E62043"/>
    <w:rsid w:val="36E72E6F"/>
    <w:rsid w:val="36E761A3"/>
    <w:rsid w:val="36E77FA3"/>
    <w:rsid w:val="36E80115"/>
    <w:rsid w:val="36E83E1E"/>
    <w:rsid w:val="36E85903"/>
    <w:rsid w:val="36E863FA"/>
    <w:rsid w:val="36E94542"/>
    <w:rsid w:val="36E94DEA"/>
    <w:rsid w:val="36E94EEA"/>
    <w:rsid w:val="36E96615"/>
    <w:rsid w:val="36E96819"/>
    <w:rsid w:val="36E96E9B"/>
    <w:rsid w:val="36E97C36"/>
    <w:rsid w:val="36EA5022"/>
    <w:rsid w:val="36EA627A"/>
    <w:rsid w:val="36EA7C97"/>
    <w:rsid w:val="36EB27C0"/>
    <w:rsid w:val="36EB413B"/>
    <w:rsid w:val="36EC0FC7"/>
    <w:rsid w:val="36EC2E6D"/>
    <w:rsid w:val="36EC3AB0"/>
    <w:rsid w:val="36EC3AD8"/>
    <w:rsid w:val="36EC47E0"/>
    <w:rsid w:val="36EC7EB3"/>
    <w:rsid w:val="36ED1D2F"/>
    <w:rsid w:val="36ED5C28"/>
    <w:rsid w:val="36EE4AFA"/>
    <w:rsid w:val="36EE59D9"/>
    <w:rsid w:val="36EE77CC"/>
    <w:rsid w:val="36EF34FF"/>
    <w:rsid w:val="36EF513D"/>
    <w:rsid w:val="36EF52AD"/>
    <w:rsid w:val="36F00B34"/>
    <w:rsid w:val="36F01751"/>
    <w:rsid w:val="36F03640"/>
    <w:rsid w:val="36F068FA"/>
    <w:rsid w:val="36F0734F"/>
    <w:rsid w:val="36F079A3"/>
    <w:rsid w:val="36F12B98"/>
    <w:rsid w:val="36F1357C"/>
    <w:rsid w:val="36F13D40"/>
    <w:rsid w:val="36F14A0C"/>
    <w:rsid w:val="36F154C9"/>
    <w:rsid w:val="36F1614D"/>
    <w:rsid w:val="36F206C5"/>
    <w:rsid w:val="36F20912"/>
    <w:rsid w:val="36F21467"/>
    <w:rsid w:val="36F2183C"/>
    <w:rsid w:val="36F236A9"/>
    <w:rsid w:val="36F274A1"/>
    <w:rsid w:val="36F30723"/>
    <w:rsid w:val="36F32CFB"/>
    <w:rsid w:val="36F344C7"/>
    <w:rsid w:val="36F34D9D"/>
    <w:rsid w:val="36F40B98"/>
    <w:rsid w:val="36F41EE1"/>
    <w:rsid w:val="36F41EFD"/>
    <w:rsid w:val="36F4363E"/>
    <w:rsid w:val="36F43C09"/>
    <w:rsid w:val="36F4487B"/>
    <w:rsid w:val="36F45988"/>
    <w:rsid w:val="36F4760B"/>
    <w:rsid w:val="36F47B2C"/>
    <w:rsid w:val="36F50230"/>
    <w:rsid w:val="36F55F5E"/>
    <w:rsid w:val="36F56D67"/>
    <w:rsid w:val="36F61059"/>
    <w:rsid w:val="36F62AE0"/>
    <w:rsid w:val="36F707B2"/>
    <w:rsid w:val="36F70906"/>
    <w:rsid w:val="36F72126"/>
    <w:rsid w:val="36F74D48"/>
    <w:rsid w:val="36F74FC9"/>
    <w:rsid w:val="36F779B1"/>
    <w:rsid w:val="36F823B4"/>
    <w:rsid w:val="36F82FB8"/>
    <w:rsid w:val="36F84A99"/>
    <w:rsid w:val="36F86858"/>
    <w:rsid w:val="36F91EC9"/>
    <w:rsid w:val="36F920DF"/>
    <w:rsid w:val="36F9382F"/>
    <w:rsid w:val="36F97023"/>
    <w:rsid w:val="36F972FE"/>
    <w:rsid w:val="36FA18F7"/>
    <w:rsid w:val="36FA25D0"/>
    <w:rsid w:val="36FA437E"/>
    <w:rsid w:val="36FA43AD"/>
    <w:rsid w:val="36FA701A"/>
    <w:rsid w:val="36FB148B"/>
    <w:rsid w:val="36FB4987"/>
    <w:rsid w:val="36FB4ACB"/>
    <w:rsid w:val="36FB56DD"/>
    <w:rsid w:val="36FB6D13"/>
    <w:rsid w:val="36FB71FF"/>
    <w:rsid w:val="36FC305D"/>
    <w:rsid w:val="36FD1B1F"/>
    <w:rsid w:val="36FD26A5"/>
    <w:rsid w:val="36FD3E6E"/>
    <w:rsid w:val="36FD5C1C"/>
    <w:rsid w:val="36FD79CA"/>
    <w:rsid w:val="36FE279E"/>
    <w:rsid w:val="36FE5C9B"/>
    <w:rsid w:val="36FE7F71"/>
    <w:rsid w:val="36FF205C"/>
    <w:rsid w:val="36FF7BE6"/>
    <w:rsid w:val="37003071"/>
    <w:rsid w:val="37003604"/>
    <w:rsid w:val="3700421E"/>
    <w:rsid w:val="3700570C"/>
    <w:rsid w:val="370074BA"/>
    <w:rsid w:val="37012627"/>
    <w:rsid w:val="37012DAC"/>
    <w:rsid w:val="370137E2"/>
    <w:rsid w:val="3701395E"/>
    <w:rsid w:val="37015C42"/>
    <w:rsid w:val="37021484"/>
    <w:rsid w:val="37021A29"/>
    <w:rsid w:val="37022B9D"/>
    <w:rsid w:val="37023F91"/>
    <w:rsid w:val="370248CE"/>
    <w:rsid w:val="37025480"/>
    <w:rsid w:val="37025991"/>
    <w:rsid w:val="37025AFC"/>
    <w:rsid w:val="370276D6"/>
    <w:rsid w:val="37031712"/>
    <w:rsid w:val="37032FF9"/>
    <w:rsid w:val="37041B50"/>
    <w:rsid w:val="370421A3"/>
    <w:rsid w:val="37047F3F"/>
    <w:rsid w:val="37050F8B"/>
    <w:rsid w:val="37054669"/>
    <w:rsid w:val="37066EE3"/>
    <w:rsid w:val="37067431"/>
    <w:rsid w:val="3707591B"/>
    <w:rsid w:val="37083D9D"/>
    <w:rsid w:val="3709179F"/>
    <w:rsid w:val="37092813"/>
    <w:rsid w:val="370943D4"/>
    <w:rsid w:val="370945C1"/>
    <w:rsid w:val="3709636F"/>
    <w:rsid w:val="37096E3C"/>
    <w:rsid w:val="370A0339"/>
    <w:rsid w:val="370A20E7"/>
    <w:rsid w:val="370B3F37"/>
    <w:rsid w:val="370B51DD"/>
    <w:rsid w:val="370B658B"/>
    <w:rsid w:val="370B6CF4"/>
    <w:rsid w:val="370B7B4E"/>
    <w:rsid w:val="370C2D55"/>
    <w:rsid w:val="370C3280"/>
    <w:rsid w:val="370C6C4D"/>
    <w:rsid w:val="370D41E5"/>
    <w:rsid w:val="370D54FC"/>
    <w:rsid w:val="370E5E82"/>
    <w:rsid w:val="370F11EA"/>
    <w:rsid w:val="370F57F9"/>
    <w:rsid w:val="370F76FD"/>
    <w:rsid w:val="370F776A"/>
    <w:rsid w:val="371004A3"/>
    <w:rsid w:val="3710147D"/>
    <w:rsid w:val="37101C6F"/>
    <w:rsid w:val="37103E31"/>
    <w:rsid w:val="37104B16"/>
    <w:rsid w:val="37104E51"/>
    <w:rsid w:val="371051FD"/>
    <w:rsid w:val="371074CB"/>
    <w:rsid w:val="37107F95"/>
    <w:rsid w:val="3711116E"/>
    <w:rsid w:val="37113133"/>
    <w:rsid w:val="37113C08"/>
    <w:rsid w:val="3712114D"/>
    <w:rsid w:val="371239C5"/>
    <w:rsid w:val="3713099F"/>
    <w:rsid w:val="37133692"/>
    <w:rsid w:val="37134388"/>
    <w:rsid w:val="37134F12"/>
    <w:rsid w:val="37135D71"/>
    <w:rsid w:val="371371EE"/>
    <w:rsid w:val="37144761"/>
    <w:rsid w:val="3714486F"/>
    <w:rsid w:val="3714497C"/>
    <w:rsid w:val="37144D14"/>
    <w:rsid w:val="371467CB"/>
    <w:rsid w:val="37146B32"/>
    <w:rsid w:val="37150416"/>
    <w:rsid w:val="371511B8"/>
    <w:rsid w:val="37152977"/>
    <w:rsid w:val="37152F66"/>
    <w:rsid w:val="37156908"/>
    <w:rsid w:val="37160A8C"/>
    <w:rsid w:val="37163E07"/>
    <w:rsid w:val="37165AB1"/>
    <w:rsid w:val="37165E7F"/>
    <w:rsid w:val="3716669C"/>
    <w:rsid w:val="37166CDE"/>
    <w:rsid w:val="37171BA5"/>
    <w:rsid w:val="3717392D"/>
    <w:rsid w:val="37174BEB"/>
    <w:rsid w:val="37177E68"/>
    <w:rsid w:val="371812F8"/>
    <w:rsid w:val="37182A56"/>
    <w:rsid w:val="37185092"/>
    <w:rsid w:val="37186996"/>
    <w:rsid w:val="37187B18"/>
    <w:rsid w:val="37187D95"/>
    <w:rsid w:val="37191AD4"/>
    <w:rsid w:val="37194DCC"/>
    <w:rsid w:val="37196399"/>
    <w:rsid w:val="371A07CC"/>
    <w:rsid w:val="371A0990"/>
    <w:rsid w:val="371A187D"/>
    <w:rsid w:val="371A20CB"/>
    <w:rsid w:val="371A5AE8"/>
    <w:rsid w:val="371A67E9"/>
    <w:rsid w:val="371B2546"/>
    <w:rsid w:val="371B3BE5"/>
    <w:rsid w:val="371C08CE"/>
    <w:rsid w:val="371C14EF"/>
    <w:rsid w:val="371C17FB"/>
    <w:rsid w:val="371D006C"/>
    <w:rsid w:val="371D17AA"/>
    <w:rsid w:val="371D19AD"/>
    <w:rsid w:val="371D1E1A"/>
    <w:rsid w:val="371D57E8"/>
    <w:rsid w:val="371D62BE"/>
    <w:rsid w:val="371D664B"/>
    <w:rsid w:val="371D6B84"/>
    <w:rsid w:val="371D7239"/>
    <w:rsid w:val="371E065C"/>
    <w:rsid w:val="371E06A4"/>
    <w:rsid w:val="371E3A29"/>
    <w:rsid w:val="371E7EBA"/>
    <w:rsid w:val="371F3D2B"/>
    <w:rsid w:val="37200A38"/>
    <w:rsid w:val="3720208D"/>
    <w:rsid w:val="3720265B"/>
    <w:rsid w:val="372043B8"/>
    <w:rsid w:val="372058D3"/>
    <w:rsid w:val="372062B5"/>
    <w:rsid w:val="37206361"/>
    <w:rsid w:val="37213AEB"/>
    <w:rsid w:val="37214BA8"/>
    <w:rsid w:val="37215DAE"/>
    <w:rsid w:val="37217B5C"/>
    <w:rsid w:val="37220D2A"/>
    <w:rsid w:val="372238D5"/>
    <w:rsid w:val="37223C9D"/>
    <w:rsid w:val="37225683"/>
    <w:rsid w:val="37227431"/>
    <w:rsid w:val="372314FD"/>
    <w:rsid w:val="37236738"/>
    <w:rsid w:val="372409DE"/>
    <w:rsid w:val="372419AE"/>
    <w:rsid w:val="372431A9"/>
    <w:rsid w:val="37245D3F"/>
    <w:rsid w:val="3724764D"/>
    <w:rsid w:val="3725004B"/>
    <w:rsid w:val="3725093C"/>
    <w:rsid w:val="372567FE"/>
    <w:rsid w:val="37256F21"/>
    <w:rsid w:val="372611AB"/>
    <w:rsid w:val="37264D8C"/>
    <w:rsid w:val="372661DF"/>
    <w:rsid w:val="372708B6"/>
    <w:rsid w:val="37276CF5"/>
    <w:rsid w:val="37277126"/>
    <w:rsid w:val="3728507F"/>
    <w:rsid w:val="37285211"/>
    <w:rsid w:val="37294459"/>
    <w:rsid w:val="3729482C"/>
    <w:rsid w:val="37294C63"/>
    <w:rsid w:val="37294FAE"/>
    <w:rsid w:val="37295149"/>
    <w:rsid w:val="372A308B"/>
    <w:rsid w:val="372A5410"/>
    <w:rsid w:val="372A6BE5"/>
    <w:rsid w:val="372B189C"/>
    <w:rsid w:val="372B2AC7"/>
    <w:rsid w:val="372B37F6"/>
    <w:rsid w:val="372B4B9D"/>
    <w:rsid w:val="372B6C2B"/>
    <w:rsid w:val="372B776E"/>
    <w:rsid w:val="372B7EEC"/>
    <w:rsid w:val="372C0BFE"/>
    <w:rsid w:val="372C4753"/>
    <w:rsid w:val="372C59DE"/>
    <w:rsid w:val="372C6501"/>
    <w:rsid w:val="372C6F3C"/>
    <w:rsid w:val="372D1AA0"/>
    <w:rsid w:val="372D208E"/>
    <w:rsid w:val="372D303E"/>
    <w:rsid w:val="372D516A"/>
    <w:rsid w:val="372D6505"/>
    <w:rsid w:val="372E04CB"/>
    <w:rsid w:val="372E1E4E"/>
    <w:rsid w:val="372E3137"/>
    <w:rsid w:val="372E351E"/>
    <w:rsid w:val="372E4027"/>
    <w:rsid w:val="372E5DD5"/>
    <w:rsid w:val="372E6263"/>
    <w:rsid w:val="372E7B0F"/>
    <w:rsid w:val="372F23F3"/>
    <w:rsid w:val="372F2D27"/>
    <w:rsid w:val="372F60EF"/>
    <w:rsid w:val="37307BDB"/>
    <w:rsid w:val="373136A5"/>
    <w:rsid w:val="37313B18"/>
    <w:rsid w:val="37314102"/>
    <w:rsid w:val="373158C6"/>
    <w:rsid w:val="37317FAE"/>
    <w:rsid w:val="3732139F"/>
    <w:rsid w:val="37321491"/>
    <w:rsid w:val="3732332F"/>
    <w:rsid w:val="3732619C"/>
    <w:rsid w:val="37326C20"/>
    <w:rsid w:val="37330CE5"/>
    <w:rsid w:val="37333E6F"/>
    <w:rsid w:val="373345CF"/>
    <w:rsid w:val="37335AE2"/>
    <w:rsid w:val="373376E3"/>
    <w:rsid w:val="37337890"/>
    <w:rsid w:val="37337D60"/>
    <w:rsid w:val="373411D3"/>
    <w:rsid w:val="37343552"/>
    <w:rsid w:val="3735160B"/>
    <w:rsid w:val="37351F61"/>
    <w:rsid w:val="37352A53"/>
    <w:rsid w:val="37353608"/>
    <w:rsid w:val="37354046"/>
    <w:rsid w:val="373541B2"/>
    <w:rsid w:val="37357164"/>
    <w:rsid w:val="3736112E"/>
    <w:rsid w:val="3736181C"/>
    <w:rsid w:val="37362E74"/>
    <w:rsid w:val="37362EDC"/>
    <w:rsid w:val="3736790D"/>
    <w:rsid w:val="37370666"/>
    <w:rsid w:val="37371F9A"/>
    <w:rsid w:val="37372AFB"/>
    <w:rsid w:val="373730B5"/>
    <w:rsid w:val="37374032"/>
    <w:rsid w:val="37374919"/>
    <w:rsid w:val="37375E56"/>
    <w:rsid w:val="37377BF9"/>
    <w:rsid w:val="37384EA6"/>
    <w:rsid w:val="37386C54"/>
    <w:rsid w:val="373871A1"/>
    <w:rsid w:val="37387B82"/>
    <w:rsid w:val="37390631"/>
    <w:rsid w:val="3739143E"/>
    <w:rsid w:val="37392F6F"/>
    <w:rsid w:val="373936EB"/>
    <w:rsid w:val="373A0C1E"/>
    <w:rsid w:val="373A29CC"/>
    <w:rsid w:val="373A3916"/>
    <w:rsid w:val="373A55D2"/>
    <w:rsid w:val="373A6E70"/>
    <w:rsid w:val="373B0677"/>
    <w:rsid w:val="373B10B2"/>
    <w:rsid w:val="373B14F1"/>
    <w:rsid w:val="373B465D"/>
    <w:rsid w:val="373B4CE3"/>
    <w:rsid w:val="373B54DB"/>
    <w:rsid w:val="373B6744"/>
    <w:rsid w:val="373B7263"/>
    <w:rsid w:val="373B7D11"/>
    <w:rsid w:val="373C06F3"/>
    <w:rsid w:val="373C7B7B"/>
    <w:rsid w:val="373D2DFA"/>
    <w:rsid w:val="373E04E7"/>
    <w:rsid w:val="373E17AF"/>
    <w:rsid w:val="373E4E66"/>
    <w:rsid w:val="373E7885"/>
    <w:rsid w:val="373F0610"/>
    <w:rsid w:val="373F4487"/>
    <w:rsid w:val="373F5110"/>
    <w:rsid w:val="373F5A4D"/>
    <w:rsid w:val="373F7F76"/>
    <w:rsid w:val="37402912"/>
    <w:rsid w:val="374049B2"/>
    <w:rsid w:val="374065E6"/>
    <w:rsid w:val="37407074"/>
    <w:rsid w:val="374101FF"/>
    <w:rsid w:val="37410504"/>
    <w:rsid w:val="37411A49"/>
    <w:rsid w:val="37412DB1"/>
    <w:rsid w:val="374159E9"/>
    <w:rsid w:val="37421881"/>
    <w:rsid w:val="37422E24"/>
    <w:rsid w:val="37424B84"/>
    <w:rsid w:val="37425D25"/>
    <w:rsid w:val="37433006"/>
    <w:rsid w:val="374336CA"/>
    <w:rsid w:val="374345A3"/>
    <w:rsid w:val="37436EDE"/>
    <w:rsid w:val="37440EC1"/>
    <w:rsid w:val="374514C2"/>
    <w:rsid w:val="37452BC9"/>
    <w:rsid w:val="37452EE6"/>
    <w:rsid w:val="37454AD3"/>
    <w:rsid w:val="37460BB1"/>
    <w:rsid w:val="37461371"/>
    <w:rsid w:val="374634C8"/>
    <w:rsid w:val="37464376"/>
    <w:rsid w:val="37465815"/>
    <w:rsid w:val="374675C3"/>
    <w:rsid w:val="37472C35"/>
    <w:rsid w:val="37472D0E"/>
    <w:rsid w:val="37472D85"/>
    <w:rsid w:val="374731E3"/>
    <w:rsid w:val="3747333B"/>
    <w:rsid w:val="374738D9"/>
    <w:rsid w:val="374750E9"/>
    <w:rsid w:val="37476E97"/>
    <w:rsid w:val="37482CF9"/>
    <w:rsid w:val="37492C0F"/>
    <w:rsid w:val="374935F3"/>
    <w:rsid w:val="374964E2"/>
    <w:rsid w:val="374970B3"/>
    <w:rsid w:val="374A15B6"/>
    <w:rsid w:val="374A2484"/>
    <w:rsid w:val="374A32CA"/>
    <w:rsid w:val="374A43EA"/>
    <w:rsid w:val="374A66EF"/>
    <w:rsid w:val="374B2E2B"/>
    <w:rsid w:val="374B3AD2"/>
    <w:rsid w:val="374B3EED"/>
    <w:rsid w:val="374B4BD9"/>
    <w:rsid w:val="374B6987"/>
    <w:rsid w:val="374C01E8"/>
    <w:rsid w:val="374C0670"/>
    <w:rsid w:val="374C16EF"/>
    <w:rsid w:val="374C46F9"/>
    <w:rsid w:val="374D0CDB"/>
    <w:rsid w:val="374D6BA3"/>
    <w:rsid w:val="374D75E1"/>
    <w:rsid w:val="374E0226"/>
    <w:rsid w:val="374E46CA"/>
    <w:rsid w:val="374E6478"/>
    <w:rsid w:val="374F1033"/>
    <w:rsid w:val="374F103A"/>
    <w:rsid w:val="374F5377"/>
    <w:rsid w:val="374F6060"/>
    <w:rsid w:val="37502022"/>
    <w:rsid w:val="37502075"/>
    <w:rsid w:val="37503F9E"/>
    <w:rsid w:val="37505428"/>
    <w:rsid w:val="37505FC5"/>
    <w:rsid w:val="375113D7"/>
    <w:rsid w:val="37511777"/>
    <w:rsid w:val="37511EA3"/>
    <w:rsid w:val="37520584"/>
    <w:rsid w:val="375241BA"/>
    <w:rsid w:val="37525365"/>
    <w:rsid w:val="375270EE"/>
    <w:rsid w:val="37531CE0"/>
    <w:rsid w:val="37532742"/>
    <w:rsid w:val="3753277D"/>
    <w:rsid w:val="37533A8E"/>
    <w:rsid w:val="37537F32"/>
    <w:rsid w:val="37545239"/>
    <w:rsid w:val="37546D86"/>
    <w:rsid w:val="3755504F"/>
    <w:rsid w:val="37555A58"/>
    <w:rsid w:val="3755625A"/>
    <w:rsid w:val="37556799"/>
    <w:rsid w:val="3756129A"/>
    <w:rsid w:val="375628AF"/>
    <w:rsid w:val="37562A3A"/>
    <w:rsid w:val="37564F2D"/>
    <w:rsid w:val="37565AE0"/>
    <w:rsid w:val="3757082D"/>
    <w:rsid w:val="3757357E"/>
    <w:rsid w:val="375810A4"/>
    <w:rsid w:val="3758678B"/>
    <w:rsid w:val="375872F6"/>
    <w:rsid w:val="37591238"/>
    <w:rsid w:val="37592343"/>
    <w:rsid w:val="37592FF2"/>
    <w:rsid w:val="375939C5"/>
    <w:rsid w:val="37595DE8"/>
    <w:rsid w:val="375A02D5"/>
    <w:rsid w:val="375A0E36"/>
    <w:rsid w:val="375A10AA"/>
    <w:rsid w:val="375A306E"/>
    <w:rsid w:val="375A35F0"/>
    <w:rsid w:val="375A4E1C"/>
    <w:rsid w:val="375A6226"/>
    <w:rsid w:val="375A68B0"/>
    <w:rsid w:val="375A7528"/>
    <w:rsid w:val="375A7F6A"/>
    <w:rsid w:val="375B253A"/>
    <w:rsid w:val="375B2943"/>
    <w:rsid w:val="375B6E52"/>
    <w:rsid w:val="375C14B6"/>
    <w:rsid w:val="375C6DE7"/>
    <w:rsid w:val="375C7AED"/>
    <w:rsid w:val="375D1654"/>
    <w:rsid w:val="375D1EF8"/>
    <w:rsid w:val="375D490D"/>
    <w:rsid w:val="375D50D1"/>
    <w:rsid w:val="375D66BB"/>
    <w:rsid w:val="375D7F1C"/>
    <w:rsid w:val="375E0486"/>
    <w:rsid w:val="375E0C8E"/>
    <w:rsid w:val="375E0EBB"/>
    <w:rsid w:val="375E515E"/>
    <w:rsid w:val="375F0B36"/>
    <w:rsid w:val="375F2433"/>
    <w:rsid w:val="375F5F85"/>
    <w:rsid w:val="37602D36"/>
    <w:rsid w:val="376143FD"/>
    <w:rsid w:val="3761641C"/>
    <w:rsid w:val="37616EF2"/>
    <w:rsid w:val="376174F1"/>
    <w:rsid w:val="376211F2"/>
    <w:rsid w:val="37623183"/>
    <w:rsid w:val="37624960"/>
    <w:rsid w:val="3762783C"/>
    <w:rsid w:val="376327D9"/>
    <w:rsid w:val="3763389D"/>
    <w:rsid w:val="37633A06"/>
    <w:rsid w:val="376460FE"/>
    <w:rsid w:val="37647A49"/>
    <w:rsid w:val="376637C1"/>
    <w:rsid w:val="37663F6B"/>
    <w:rsid w:val="37664445"/>
    <w:rsid w:val="37667C65"/>
    <w:rsid w:val="37670011"/>
    <w:rsid w:val="376712E7"/>
    <w:rsid w:val="37672641"/>
    <w:rsid w:val="37676A5B"/>
    <w:rsid w:val="37676FDA"/>
    <w:rsid w:val="37677539"/>
    <w:rsid w:val="37682FD3"/>
    <w:rsid w:val="3768349F"/>
    <w:rsid w:val="376839F9"/>
    <w:rsid w:val="37684B3E"/>
    <w:rsid w:val="3768578B"/>
    <w:rsid w:val="3769162F"/>
    <w:rsid w:val="376932B2"/>
    <w:rsid w:val="37695060"/>
    <w:rsid w:val="37697A46"/>
    <w:rsid w:val="376A0B9F"/>
    <w:rsid w:val="376A110E"/>
    <w:rsid w:val="376A3770"/>
    <w:rsid w:val="376B015B"/>
    <w:rsid w:val="376B0DD8"/>
    <w:rsid w:val="376B2CB3"/>
    <w:rsid w:val="376B4513"/>
    <w:rsid w:val="376B702A"/>
    <w:rsid w:val="376C16F7"/>
    <w:rsid w:val="376C34BF"/>
    <w:rsid w:val="376C4B50"/>
    <w:rsid w:val="376C4DC8"/>
    <w:rsid w:val="376D23B8"/>
    <w:rsid w:val="376D581B"/>
    <w:rsid w:val="376D5966"/>
    <w:rsid w:val="376E0C7F"/>
    <w:rsid w:val="376E677B"/>
    <w:rsid w:val="376E6B1A"/>
    <w:rsid w:val="376F28B4"/>
    <w:rsid w:val="376F5E6B"/>
    <w:rsid w:val="376F6158"/>
    <w:rsid w:val="37701527"/>
    <w:rsid w:val="37701D34"/>
    <w:rsid w:val="37704640"/>
    <w:rsid w:val="377051AB"/>
    <w:rsid w:val="377063EE"/>
    <w:rsid w:val="37706C3E"/>
    <w:rsid w:val="377074C8"/>
    <w:rsid w:val="377115A8"/>
    <w:rsid w:val="377126AE"/>
    <w:rsid w:val="37713AEA"/>
    <w:rsid w:val="3771547A"/>
    <w:rsid w:val="377240E4"/>
    <w:rsid w:val="3772718F"/>
    <w:rsid w:val="37727331"/>
    <w:rsid w:val="377320FF"/>
    <w:rsid w:val="37732382"/>
    <w:rsid w:val="37732880"/>
    <w:rsid w:val="37735E3D"/>
    <w:rsid w:val="37735EDE"/>
    <w:rsid w:val="37737C8C"/>
    <w:rsid w:val="377403F4"/>
    <w:rsid w:val="377433E0"/>
    <w:rsid w:val="37744A0A"/>
    <w:rsid w:val="37744CFE"/>
    <w:rsid w:val="377461DF"/>
    <w:rsid w:val="37750ED3"/>
    <w:rsid w:val="37751C56"/>
    <w:rsid w:val="377528DC"/>
    <w:rsid w:val="37755CAC"/>
    <w:rsid w:val="37760B18"/>
    <w:rsid w:val="37761D13"/>
    <w:rsid w:val="37765CD1"/>
    <w:rsid w:val="377676C1"/>
    <w:rsid w:val="3776777C"/>
    <w:rsid w:val="37770442"/>
    <w:rsid w:val="377729ED"/>
    <w:rsid w:val="37773046"/>
    <w:rsid w:val="37773C20"/>
    <w:rsid w:val="377759CE"/>
    <w:rsid w:val="377816C8"/>
    <w:rsid w:val="377828B5"/>
    <w:rsid w:val="37782B77"/>
    <w:rsid w:val="377834F5"/>
    <w:rsid w:val="37783FC2"/>
    <w:rsid w:val="37784633"/>
    <w:rsid w:val="377847E0"/>
    <w:rsid w:val="37785584"/>
    <w:rsid w:val="377861B5"/>
    <w:rsid w:val="37792C52"/>
    <w:rsid w:val="3779496C"/>
    <w:rsid w:val="37797999"/>
    <w:rsid w:val="377A101B"/>
    <w:rsid w:val="377A1D71"/>
    <w:rsid w:val="377A366F"/>
    <w:rsid w:val="377A37E1"/>
    <w:rsid w:val="377A54BF"/>
    <w:rsid w:val="377B6E59"/>
    <w:rsid w:val="377C1237"/>
    <w:rsid w:val="377C1B6F"/>
    <w:rsid w:val="377C1BAE"/>
    <w:rsid w:val="377C4D93"/>
    <w:rsid w:val="377C6912"/>
    <w:rsid w:val="377D0B0B"/>
    <w:rsid w:val="377D6D5D"/>
    <w:rsid w:val="377D7015"/>
    <w:rsid w:val="377E04A5"/>
    <w:rsid w:val="377E13BC"/>
    <w:rsid w:val="377E2867"/>
    <w:rsid w:val="377E29CE"/>
    <w:rsid w:val="377E4FAF"/>
    <w:rsid w:val="377E6322"/>
    <w:rsid w:val="377F0D27"/>
    <w:rsid w:val="377F74B4"/>
    <w:rsid w:val="37800E48"/>
    <w:rsid w:val="378105FB"/>
    <w:rsid w:val="37811CBC"/>
    <w:rsid w:val="37813C9F"/>
    <w:rsid w:val="37815EDF"/>
    <w:rsid w:val="3781684D"/>
    <w:rsid w:val="37821CC9"/>
    <w:rsid w:val="378224A9"/>
    <w:rsid w:val="37825771"/>
    <w:rsid w:val="37825F72"/>
    <w:rsid w:val="37826121"/>
    <w:rsid w:val="378325C5"/>
    <w:rsid w:val="378400EB"/>
    <w:rsid w:val="37841494"/>
    <w:rsid w:val="37841E99"/>
    <w:rsid w:val="37843C58"/>
    <w:rsid w:val="3784633D"/>
    <w:rsid w:val="37851651"/>
    <w:rsid w:val="37852742"/>
    <w:rsid w:val="3785336C"/>
    <w:rsid w:val="37856C66"/>
    <w:rsid w:val="378620B5"/>
    <w:rsid w:val="3786383C"/>
    <w:rsid w:val="37863E63"/>
    <w:rsid w:val="37864506"/>
    <w:rsid w:val="37866C37"/>
    <w:rsid w:val="37867AC3"/>
    <w:rsid w:val="37871713"/>
    <w:rsid w:val="3787198A"/>
    <w:rsid w:val="37872391"/>
    <w:rsid w:val="37872709"/>
    <w:rsid w:val="37872C2E"/>
    <w:rsid w:val="37873738"/>
    <w:rsid w:val="378759F2"/>
    <w:rsid w:val="37880944"/>
    <w:rsid w:val="378857C7"/>
    <w:rsid w:val="37890A54"/>
    <w:rsid w:val="378917C1"/>
    <w:rsid w:val="37893727"/>
    <w:rsid w:val="37893954"/>
    <w:rsid w:val="378955B8"/>
    <w:rsid w:val="37895702"/>
    <w:rsid w:val="378974B0"/>
    <w:rsid w:val="378A0267"/>
    <w:rsid w:val="378A0628"/>
    <w:rsid w:val="378B1491"/>
    <w:rsid w:val="378B1619"/>
    <w:rsid w:val="378B3228"/>
    <w:rsid w:val="378B7136"/>
    <w:rsid w:val="378B76CC"/>
    <w:rsid w:val="378B7ED8"/>
    <w:rsid w:val="378C0BA1"/>
    <w:rsid w:val="378C0D4E"/>
    <w:rsid w:val="378C0F03"/>
    <w:rsid w:val="378C1261"/>
    <w:rsid w:val="378C1EA2"/>
    <w:rsid w:val="378C2AA9"/>
    <w:rsid w:val="378C4F44"/>
    <w:rsid w:val="378D4A5C"/>
    <w:rsid w:val="378D4FCC"/>
    <w:rsid w:val="378D51F2"/>
    <w:rsid w:val="378E0670"/>
    <w:rsid w:val="378E0F6A"/>
    <w:rsid w:val="378E34DE"/>
    <w:rsid w:val="378E3D28"/>
    <w:rsid w:val="378E4AC6"/>
    <w:rsid w:val="378E4DD4"/>
    <w:rsid w:val="378E504B"/>
    <w:rsid w:val="378E586C"/>
    <w:rsid w:val="378F4D18"/>
    <w:rsid w:val="378F6A7A"/>
    <w:rsid w:val="3790291E"/>
    <w:rsid w:val="3790358B"/>
    <w:rsid w:val="37904680"/>
    <w:rsid w:val="3790548B"/>
    <w:rsid w:val="3791016F"/>
    <w:rsid w:val="37912E33"/>
    <w:rsid w:val="37913899"/>
    <w:rsid w:val="379172B2"/>
    <w:rsid w:val="37922808"/>
    <w:rsid w:val="379251DA"/>
    <w:rsid w:val="37927DAB"/>
    <w:rsid w:val="3793032E"/>
    <w:rsid w:val="3793123B"/>
    <w:rsid w:val="379320DC"/>
    <w:rsid w:val="379334C2"/>
    <w:rsid w:val="37933C7A"/>
    <w:rsid w:val="37935A28"/>
    <w:rsid w:val="3793641E"/>
    <w:rsid w:val="37937861"/>
    <w:rsid w:val="37940E50"/>
    <w:rsid w:val="3794149D"/>
    <w:rsid w:val="3794254E"/>
    <w:rsid w:val="379426CB"/>
    <w:rsid w:val="379522F8"/>
    <w:rsid w:val="379540A7"/>
    <w:rsid w:val="37954FAC"/>
    <w:rsid w:val="37955E55"/>
    <w:rsid w:val="37963781"/>
    <w:rsid w:val="37963C65"/>
    <w:rsid w:val="37971BCD"/>
    <w:rsid w:val="37974599"/>
    <w:rsid w:val="37977C12"/>
    <w:rsid w:val="37977E1F"/>
    <w:rsid w:val="379824DC"/>
    <w:rsid w:val="37983B68"/>
    <w:rsid w:val="37983DFA"/>
    <w:rsid w:val="37984905"/>
    <w:rsid w:val="379853C5"/>
    <w:rsid w:val="37987DEF"/>
    <w:rsid w:val="37990071"/>
    <w:rsid w:val="3799261E"/>
    <w:rsid w:val="37995478"/>
    <w:rsid w:val="37996278"/>
    <w:rsid w:val="379A3D94"/>
    <w:rsid w:val="379B110E"/>
    <w:rsid w:val="379B251F"/>
    <w:rsid w:val="379B27FA"/>
    <w:rsid w:val="379B486F"/>
    <w:rsid w:val="379C0B52"/>
    <w:rsid w:val="379C3687"/>
    <w:rsid w:val="379C3A2E"/>
    <w:rsid w:val="379D1740"/>
    <w:rsid w:val="379D1761"/>
    <w:rsid w:val="379D337D"/>
    <w:rsid w:val="379D7C59"/>
    <w:rsid w:val="379E11AD"/>
    <w:rsid w:val="379E56D6"/>
    <w:rsid w:val="379E73FF"/>
    <w:rsid w:val="379F0A81"/>
    <w:rsid w:val="379F1381"/>
    <w:rsid w:val="379F237B"/>
    <w:rsid w:val="379F4F25"/>
    <w:rsid w:val="379F6CD3"/>
    <w:rsid w:val="37A023AF"/>
    <w:rsid w:val="37A02E7F"/>
    <w:rsid w:val="37A041C9"/>
    <w:rsid w:val="37A05C66"/>
    <w:rsid w:val="37A06C18"/>
    <w:rsid w:val="37A10D8D"/>
    <w:rsid w:val="37A126AC"/>
    <w:rsid w:val="37A12A17"/>
    <w:rsid w:val="37A12A4B"/>
    <w:rsid w:val="37A147F9"/>
    <w:rsid w:val="37A14F47"/>
    <w:rsid w:val="37A1503A"/>
    <w:rsid w:val="37A2478D"/>
    <w:rsid w:val="37A25634"/>
    <w:rsid w:val="37A333EE"/>
    <w:rsid w:val="37A34878"/>
    <w:rsid w:val="37A34A15"/>
    <w:rsid w:val="37A36DFC"/>
    <w:rsid w:val="37A4078E"/>
    <w:rsid w:val="37A41B62"/>
    <w:rsid w:val="37A4253C"/>
    <w:rsid w:val="37A45F47"/>
    <w:rsid w:val="37A5239D"/>
    <w:rsid w:val="37A535AA"/>
    <w:rsid w:val="37A54D91"/>
    <w:rsid w:val="37A578AD"/>
    <w:rsid w:val="37A662B4"/>
    <w:rsid w:val="37A67753"/>
    <w:rsid w:val="37A67E80"/>
    <w:rsid w:val="37A70E90"/>
    <w:rsid w:val="37A76956"/>
    <w:rsid w:val="37A772C5"/>
    <w:rsid w:val="37A8202C"/>
    <w:rsid w:val="37A83DDA"/>
    <w:rsid w:val="37A91900"/>
    <w:rsid w:val="37A91ABC"/>
    <w:rsid w:val="37A93461"/>
    <w:rsid w:val="37A97B52"/>
    <w:rsid w:val="37AA516D"/>
    <w:rsid w:val="37AA5241"/>
    <w:rsid w:val="37AA534B"/>
    <w:rsid w:val="37AA551A"/>
    <w:rsid w:val="37AA5D42"/>
    <w:rsid w:val="37AA7305"/>
    <w:rsid w:val="37AB1B1C"/>
    <w:rsid w:val="37AB2093"/>
    <w:rsid w:val="37AB5678"/>
    <w:rsid w:val="37AB6190"/>
    <w:rsid w:val="37AB7103"/>
    <w:rsid w:val="37AB7A3B"/>
    <w:rsid w:val="37AC453E"/>
    <w:rsid w:val="37AD1B1A"/>
    <w:rsid w:val="37AD340C"/>
    <w:rsid w:val="37AD55A7"/>
    <w:rsid w:val="37AD6F91"/>
    <w:rsid w:val="37AD7642"/>
    <w:rsid w:val="37AE5168"/>
    <w:rsid w:val="37AF1729"/>
    <w:rsid w:val="37AF5F49"/>
    <w:rsid w:val="37AF6474"/>
    <w:rsid w:val="37AF7E4D"/>
    <w:rsid w:val="37B00763"/>
    <w:rsid w:val="37B02C8E"/>
    <w:rsid w:val="37B07132"/>
    <w:rsid w:val="37B13334"/>
    <w:rsid w:val="37B161DE"/>
    <w:rsid w:val="37B2108F"/>
    <w:rsid w:val="37B22FEB"/>
    <w:rsid w:val="37B24C58"/>
    <w:rsid w:val="37B41B04"/>
    <w:rsid w:val="37B428E7"/>
    <w:rsid w:val="37B432C0"/>
    <w:rsid w:val="37B44129"/>
    <w:rsid w:val="37B502A5"/>
    <w:rsid w:val="37B50E83"/>
    <w:rsid w:val="37B51780"/>
    <w:rsid w:val="37B53145"/>
    <w:rsid w:val="37B53526"/>
    <w:rsid w:val="37B54749"/>
    <w:rsid w:val="37B55940"/>
    <w:rsid w:val="37B62089"/>
    <w:rsid w:val="37B628F3"/>
    <w:rsid w:val="37B63C1C"/>
    <w:rsid w:val="37B64E93"/>
    <w:rsid w:val="37B704C1"/>
    <w:rsid w:val="37B75A65"/>
    <w:rsid w:val="37B76093"/>
    <w:rsid w:val="37B77F96"/>
    <w:rsid w:val="37B800D0"/>
    <w:rsid w:val="37B81B43"/>
    <w:rsid w:val="37B87D95"/>
    <w:rsid w:val="37B90EEC"/>
    <w:rsid w:val="37B92F56"/>
    <w:rsid w:val="37BA2504"/>
    <w:rsid w:val="37BA3239"/>
    <w:rsid w:val="37BA58BB"/>
    <w:rsid w:val="37BA68D2"/>
    <w:rsid w:val="37BB036E"/>
    <w:rsid w:val="37BB07FB"/>
    <w:rsid w:val="37BC282C"/>
    <w:rsid w:val="37BC51F5"/>
    <w:rsid w:val="37BC5AD7"/>
    <w:rsid w:val="37BC74FE"/>
    <w:rsid w:val="37BC7885"/>
    <w:rsid w:val="37BD38CC"/>
    <w:rsid w:val="37BD44A8"/>
    <w:rsid w:val="37BD455B"/>
    <w:rsid w:val="37BD53AB"/>
    <w:rsid w:val="37BD5DD5"/>
    <w:rsid w:val="37BE0160"/>
    <w:rsid w:val="37BE184F"/>
    <w:rsid w:val="37BE35FD"/>
    <w:rsid w:val="37BF1123"/>
    <w:rsid w:val="37BF2ED1"/>
    <w:rsid w:val="37BF47F6"/>
    <w:rsid w:val="37BF7375"/>
    <w:rsid w:val="37C00258"/>
    <w:rsid w:val="37C00785"/>
    <w:rsid w:val="37C02607"/>
    <w:rsid w:val="37C05484"/>
    <w:rsid w:val="37C124B9"/>
    <w:rsid w:val="37C12E29"/>
    <w:rsid w:val="37C13F7E"/>
    <w:rsid w:val="37C143E6"/>
    <w:rsid w:val="37C14C7C"/>
    <w:rsid w:val="37C14E9C"/>
    <w:rsid w:val="37C16C4A"/>
    <w:rsid w:val="37C176A7"/>
    <w:rsid w:val="37C177E0"/>
    <w:rsid w:val="37C27202"/>
    <w:rsid w:val="37C3050A"/>
    <w:rsid w:val="37C30C14"/>
    <w:rsid w:val="37C318F2"/>
    <w:rsid w:val="37C329C2"/>
    <w:rsid w:val="37C36E66"/>
    <w:rsid w:val="37C404E8"/>
    <w:rsid w:val="37C4174C"/>
    <w:rsid w:val="37C44253"/>
    <w:rsid w:val="37C445C6"/>
    <w:rsid w:val="37C4498C"/>
    <w:rsid w:val="37C461E0"/>
    <w:rsid w:val="37C471D9"/>
    <w:rsid w:val="37C47A65"/>
    <w:rsid w:val="37C515B8"/>
    <w:rsid w:val="37C52BDE"/>
    <w:rsid w:val="37C52C3A"/>
    <w:rsid w:val="37C567D0"/>
    <w:rsid w:val="37C56A90"/>
    <w:rsid w:val="37C60704"/>
    <w:rsid w:val="37C624B2"/>
    <w:rsid w:val="37C62795"/>
    <w:rsid w:val="37C63D34"/>
    <w:rsid w:val="37C640CA"/>
    <w:rsid w:val="37C64260"/>
    <w:rsid w:val="37C678CF"/>
    <w:rsid w:val="37C72DBD"/>
    <w:rsid w:val="37C763E1"/>
    <w:rsid w:val="37C76ED4"/>
    <w:rsid w:val="37C82FF2"/>
    <w:rsid w:val="37C83096"/>
    <w:rsid w:val="37C8447C"/>
    <w:rsid w:val="37C84922"/>
    <w:rsid w:val="37C8622A"/>
    <w:rsid w:val="37C91168"/>
    <w:rsid w:val="37C916DC"/>
    <w:rsid w:val="37C9183B"/>
    <w:rsid w:val="37C91FA2"/>
    <w:rsid w:val="37C93D50"/>
    <w:rsid w:val="37C97392"/>
    <w:rsid w:val="37CA14D3"/>
    <w:rsid w:val="37CA3AB2"/>
    <w:rsid w:val="37CB124E"/>
    <w:rsid w:val="37CB1876"/>
    <w:rsid w:val="37CB3046"/>
    <w:rsid w:val="37CB5D1A"/>
    <w:rsid w:val="37CB66F5"/>
    <w:rsid w:val="37CB7DFD"/>
    <w:rsid w:val="37CC0EBA"/>
    <w:rsid w:val="37CC4914"/>
    <w:rsid w:val="37CC5E20"/>
    <w:rsid w:val="37CC72E3"/>
    <w:rsid w:val="37CD1A92"/>
    <w:rsid w:val="37CD247F"/>
    <w:rsid w:val="37CD4341"/>
    <w:rsid w:val="37CD47D7"/>
    <w:rsid w:val="37CD55EE"/>
    <w:rsid w:val="37CD7A71"/>
    <w:rsid w:val="37CE1367"/>
    <w:rsid w:val="37CE4EB3"/>
    <w:rsid w:val="37CE5B57"/>
    <w:rsid w:val="37CE5C40"/>
    <w:rsid w:val="37CE75B8"/>
    <w:rsid w:val="37CF4788"/>
    <w:rsid w:val="37CF580A"/>
    <w:rsid w:val="37D00F65"/>
    <w:rsid w:val="37D01583"/>
    <w:rsid w:val="37D017B3"/>
    <w:rsid w:val="37D02073"/>
    <w:rsid w:val="37D02CFA"/>
    <w:rsid w:val="37D050DF"/>
    <w:rsid w:val="37D07D4D"/>
    <w:rsid w:val="37D10F31"/>
    <w:rsid w:val="37D11675"/>
    <w:rsid w:val="37D140BA"/>
    <w:rsid w:val="37D14EB1"/>
    <w:rsid w:val="37D20543"/>
    <w:rsid w:val="37D21475"/>
    <w:rsid w:val="37D22C05"/>
    <w:rsid w:val="37D2523E"/>
    <w:rsid w:val="37D270A9"/>
    <w:rsid w:val="37D310E2"/>
    <w:rsid w:val="37D33753"/>
    <w:rsid w:val="37D366CE"/>
    <w:rsid w:val="37D3697D"/>
    <w:rsid w:val="37D37B98"/>
    <w:rsid w:val="37D40DBE"/>
    <w:rsid w:val="37D42E21"/>
    <w:rsid w:val="37D436F8"/>
    <w:rsid w:val="37D44BCF"/>
    <w:rsid w:val="37D458B4"/>
    <w:rsid w:val="37D45A3B"/>
    <w:rsid w:val="37D530AE"/>
    <w:rsid w:val="37D56B99"/>
    <w:rsid w:val="37D573D5"/>
    <w:rsid w:val="37D63BBF"/>
    <w:rsid w:val="37D649E5"/>
    <w:rsid w:val="37D72777"/>
    <w:rsid w:val="37D72911"/>
    <w:rsid w:val="37D74614"/>
    <w:rsid w:val="37D746BF"/>
    <w:rsid w:val="37D7504F"/>
    <w:rsid w:val="37D7646D"/>
    <w:rsid w:val="37D76729"/>
    <w:rsid w:val="37D80460"/>
    <w:rsid w:val="37D813CF"/>
    <w:rsid w:val="37D83F93"/>
    <w:rsid w:val="37D90437"/>
    <w:rsid w:val="37D94A3A"/>
    <w:rsid w:val="37DA41AF"/>
    <w:rsid w:val="37DA5F5D"/>
    <w:rsid w:val="37DB56A1"/>
    <w:rsid w:val="37DB5D6A"/>
    <w:rsid w:val="37DB6A4E"/>
    <w:rsid w:val="37DC14A9"/>
    <w:rsid w:val="37DC20CD"/>
    <w:rsid w:val="37DC7F27"/>
    <w:rsid w:val="37DD0500"/>
    <w:rsid w:val="37DD0566"/>
    <w:rsid w:val="37DD0E56"/>
    <w:rsid w:val="37DD15AA"/>
    <w:rsid w:val="37DD2718"/>
    <w:rsid w:val="37DD47A6"/>
    <w:rsid w:val="37DD581B"/>
    <w:rsid w:val="37DE3C9F"/>
    <w:rsid w:val="37DE3D29"/>
    <w:rsid w:val="37DE4F22"/>
    <w:rsid w:val="37DE5A5F"/>
    <w:rsid w:val="37DE74A9"/>
    <w:rsid w:val="37DF05B3"/>
    <w:rsid w:val="37DF17C6"/>
    <w:rsid w:val="37DF3574"/>
    <w:rsid w:val="37DF4935"/>
    <w:rsid w:val="37DF4C71"/>
    <w:rsid w:val="37DF63B2"/>
    <w:rsid w:val="37E018D9"/>
    <w:rsid w:val="37E02AB9"/>
    <w:rsid w:val="37E07842"/>
    <w:rsid w:val="37E07A8A"/>
    <w:rsid w:val="37E14EF3"/>
    <w:rsid w:val="37E20503"/>
    <w:rsid w:val="37E27160"/>
    <w:rsid w:val="37E30273"/>
    <w:rsid w:val="37E30F48"/>
    <w:rsid w:val="37E32782"/>
    <w:rsid w:val="37E33064"/>
    <w:rsid w:val="37E33604"/>
    <w:rsid w:val="37E34E12"/>
    <w:rsid w:val="37E34EF9"/>
    <w:rsid w:val="37E370FD"/>
    <w:rsid w:val="37E37FDD"/>
    <w:rsid w:val="37E40B8A"/>
    <w:rsid w:val="37E42938"/>
    <w:rsid w:val="37E43DAD"/>
    <w:rsid w:val="37E47653"/>
    <w:rsid w:val="37E50AE3"/>
    <w:rsid w:val="37E545ED"/>
    <w:rsid w:val="37E562B6"/>
    <w:rsid w:val="37E579EB"/>
    <w:rsid w:val="37E57C05"/>
    <w:rsid w:val="37E6017D"/>
    <w:rsid w:val="37E612C7"/>
    <w:rsid w:val="37E62A7F"/>
    <w:rsid w:val="37E73268"/>
    <w:rsid w:val="37E8067A"/>
    <w:rsid w:val="37E81E6D"/>
    <w:rsid w:val="37E87EE8"/>
    <w:rsid w:val="37E90947"/>
    <w:rsid w:val="37E9121B"/>
    <w:rsid w:val="37E93F4A"/>
    <w:rsid w:val="37E961A0"/>
    <w:rsid w:val="37EA0AA2"/>
    <w:rsid w:val="37EA11DA"/>
    <w:rsid w:val="37EA43F2"/>
    <w:rsid w:val="37EA6D43"/>
    <w:rsid w:val="37EB101B"/>
    <w:rsid w:val="37EB3CC7"/>
    <w:rsid w:val="37EB4803"/>
    <w:rsid w:val="37EB5EAC"/>
    <w:rsid w:val="37EB60A1"/>
    <w:rsid w:val="37EB7CB1"/>
    <w:rsid w:val="37EC0259"/>
    <w:rsid w:val="37EC1A2A"/>
    <w:rsid w:val="37EC2873"/>
    <w:rsid w:val="37EC5261"/>
    <w:rsid w:val="37EC5DE0"/>
    <w:rsid w:val="37EC5DE5"/>
    <w:rsid w:val="37EC5E22"/>
    <w:rsid w:val="37EC5FDC"/>
    <w:rsid w:val="37EC619B"/>
    <w:rsid w:val="37EC6D92"/>
    <w:rsid w:val="37ED094E"/>
    <w:rsid w:val="37ED1E46"/>
    <w:rsid w:val="37ED32AC"/>
    <w:rsid w:val="37ED3EE3"/>
    <w:rsid w:val="37ED4C7D"/>
    <w:rsid w:val="37ED5E30"/>
    <w:rsid w:val="37ED5FD3"/>
    <w:rsid w:val="37ED69CE"/>
    <w:rsid w:val="37ED7275"/>
    <w:rsid w:val="37ED7A3F"/>
    <w:rsid w:val="37EE32D6"/>
    <w:rsid w:val="37EE37B7"/>
    <w:rsid w:val="37EE58DF"/>
    <w:rsid w:val="37EE5D0E"/>
    <w:rsid w:val="37EE7B26"/>
    <w:rsid w:val="37EF007C"/>
    <w:rsid w:val="37EF04E0"/>
    <w:rsid w:val="37EF1A09"/>
    <w:rsid w:val="37EF5D31"/>
    <w:rsid w:val="37EF7C5B"/>
    <w:rsid w:val="37F039D3"/>
    <w:rsid w:val="37F04190"/>
    <w:rsid w:val="37F05781"/>
    <w:rsid w:val="37F16F16"/>
    <w:rsid w:val="37F16F81"/>
    <w:rsid w:val="37F214F9"/>
    <w:rsid w:val="37F21C57"/>
    <w:rsid w:val="37F24471"/>
    <w:rsid w:val="37F245AF"/>
    <w:rsid w:val="37F27DEE"/>
    <w:rsid w:val="37F30DCD"/>
    <w:rsid w:val="37F33DFF"/>
    <w:rsid w:val="37F35CB8"/>
    <w:rsid w:val="37F37BE9"/>
    <w:rsid w:val="37F40993"/>
    <w:rsid w:val="37F449ED"/>
    <w:rsid w:val="37F4701F"/>
    <w:rsid w:val="37F505D8"/>
    <w:rsid w:val="37F50687"/>
    <w:rsid w:val="37F51D38"/>
    <w:rsid w:val="37F52D97"/>
    <w:rsid w:val="37F5542D"/>
    <w:rsid w:val="37F60FE9"/>
    <w:rsid w:val="37F618D7"/>
    <w:rsid w:val="37F61A68"/>
    <w:rsid w:val="37F62817"/>
    <w:rsid w:val="37F6462E"/>
    <w:rsid w:val="37F6632E"/>
    <w:rsid w:val="37F7266B"/>
    <w:rsid w:val="37F74639"/>
    <w:rsid w:val="37F74799"/>
    <w:rsid w:val="37F76B0F"/>
    <w:rsid w:val="37F8140E"/>
    <w:rsid w:val="37F82F13"/>
    <w:rsid w:val="37F85BC7"/>
    <w:rsid w:val="37F869A7"/>
    <w:rsid w:val="37F86ED1"/>
    <w:rsid w:val="37F87865"/>
    <w:rsid w:val="37F92167"/>
    <w:rsid w:val="37F92AD7"/>
    <w:rsid w:val="37FA03AE"/>
    <w:rsid w:val="37FA1879"/>
    <w:rsid w:val="37FA1F55"/>
    <w:rsid w:val="37FA58F7"/>
    <w:rsid w:val="37FA5B5F"/>
    <w:rsid w:val="37FA5E67"/>
    <w:rsid w:val="37FA6D9F"/>
    <w:rsid w:val="37FA79BA"/>
    <w:rsid w:val="37FB65FF"/>
    <w:rsid w:val="37FB6F87"/>
    <w:rsid w:val="37FB726F"/>
    <w:rsid w:val="37FC4126"/>
    <w:rsid w:val="37FC59E0"/>
    <w:rsid w:val="37FD00E1"/>
    <w:rsid w:val="37FD2F52"/>
    <w:rsid w:val="37FE0146"/>
    <w:rsid w:val="37FE1C4C"/>
    <w:rsid w:val="37FE21E2"/>
    <w:rsid w:val="37FE2B5E"/>
    <w:rsid w:val="37FE3A3A"/>
    <w:rsid w:val="37FE4DFF"/>
    <w:rsid w:val="37FE5B50"/>
    <w:rsid w:val="37FF19E0"/>
    <w:rsid w:val="37FF3ACB"/>
    <w:rsid w:val="37FF6DAD"/>
    <w:rsid w:val="37FF7A44"/>
    <w:rsid w:val="380006EE"/>
    <w:rsid w:val="38001CB1"/>
    <w:rsid w:val="3800399E"/>
    <w:rsid w:val="38003EBC"/>
    <w:rsid w:val="38005CDE"/>
    <w:rsid w:val="38006074"/>
    <w:rsid w:val="380134EA"/>
    <w:rsid w:val="380148C1"/>
    <w:rsid w:val="380174EA"/>
    <w:rsid w:val="380175AA"/>
    <w:rsid w:val="3801798E"/>
    <w:rsid w:val="3802283E"/>
    <w:rsid w:val="38022BDC"/>
    <w:rsid w:val="3802324F"/>
    <w:rsid w:val="3802734B"/>
    <w:rsid w:val="38030FC4"/>
    <w:rsid w:val="38032A9D"/>
    <w:rsid w:val="38033706"/>
    <w:rsid w:val="380354B4"/>
    <w:rsid w:val="38040BCC"/>
    <w:rsid w:val="38042FDA"/>
    <w:rsid w:val="380458D0"/>
    <w:rsid w:val="38046B99"/>
    <w:rsid w:val="380526B4"/>
    <w:rsid w:val="380600FC"/>
    <w:rsid w:val="3806155D"/>
    <w:rsid w:val="38064DC0"/>
    <w:rsid w:val="380670B5"/>
    <w:rsid w:val="380755BE"/>
    <w:rsid w:val="38075A69"/>
    <w:rsid w:val="38082ACA"/>
    <w:rsid w:val="38083E7D"/>
    <w:rsid w:val="38084A69"/>
    <w:rsid w:val="38085CFF"/>
    <w:rsid w:val="38091251"/>
    <w:rsid w:val="38091C37"/>
    <w:rsid w:val="3809239F"/>
    <w:rsid w:val="380A05F1"/>
    <w:rsid w:val="380A4A95"/>
    <w:rsid w:val="380A53C7"/>
    <w:rsid w:val="380A53CA"/>
    <w:rsid w:val="380A6843"/>
    <w:rsid w:val="380B5711"/>
    <w:rsid w:val="380B6117"/>
    <w:rsid w:val="380B73D6"/>
    <w:rsid w:val="380B76AB"/>
    <w:rsid w:val="380C0F67"/>
    <w:rsid w:val="380C28C3"/>
    <w:rsid w:val="380D036F"/>
    <w:rsid w:val="380D1E8F"/>
    <w:rsid w:val="380D46D1"/>
    <w:rsid w:val="380D6333"/>
    <w:rsid w:val="380E014C"/>
    <w:rsid w:val="380E3768"/>
    <w:rsid w:val="380E6EAB"/>
    <w:rsid w:val="380E7CEF"/>
    <w:rsid w:val="380F20AB"/>
    <w:rsid w:val="380F2F76"/>
    <w:rsid w:val="380F3E59"/>
    <w:rsid w:val="380F438D"/>
    <w:rsid w:val="380F470F"/>
    <w:rsid w:val="380F5C07"/>
    <w:rsid w:val="380F74B8"/>
    <w:rsid w:val="38101E4C"/>
    <w:rsid w:val="381059DE"/>
    <w:rsid w:val="38105A0A"/>
    <w:rsid w:val="38107BD1"/>
    <w:rsid w:val="381116AC"/>
    <w:rsid w:val="38114362"/>
    <w:rsid w:val="38114E1F"/>
    <w:rsid w:val="38114F38"/>
    <w:rsid w:val="38116247"/>
    <w:rsid w:val="3811663C"/>
    <w:rsid w:val="38116BFB"/>
    <w:rsid w:val="381172B7"/>
    <w:rsid w:val="38122DBB"/>
    <w:rsid w:val="381244D1"/>
    <w:rsid w:val="381334DD"/>
    <w:rsid w:val="38133C58"/>
    <w:rsid w:val="3813487A"/>
    <w:rsid w:val="381349C2"/>
    <w:rsid w:val="38135E5F"/>
    <w:rsid w:val="381361AE"/>
    <w:rsid w:val="38136BAD"/>
    <w:rsid w:val="38142723"/>
    <w:rsid w:val="3814321D"/>
    <w:rsid w:val="38144FF1"/>
    <w:rsid w:val="381466A4"/>
    <w:rsid w:val="381551E7"/>
    <w:rsid w:val="38155A7C"/>
    <w:rsid w:val="38156F95"/>
    <w:rsid w:val="38161691"/>
    <w:rsid w:val="38163439"/>
    <w:rsid w:val="381636E0"/>
    <w:rsid w:val="38164E4E"/>
    <w:rsid w:val="38167E17"/>
    <w:rsid w:val="38174ABC"/>
    <w:rsid w:val="38176364"/>
    <w:rsid w:val="38194CAD"/>
    <w:rsid w:val="38194CD8"/>
    <w:rsid w:val="38195A08"/>
    <w:rsid w:val="381A2D5D"/>
    <w:rsid w:val="381A58BA"/>
    <w:rsid w:val="381A6292"/>
    <w:rsid w:val="381B22F3"/>
    <w:rsid w:val="381B27FE"/>
    <w:rsid w:val="381B7849"/>
    <w:rsid w:val="381B7DD5"/>
    <w:rsid w:val="381C1726"/>
    <w:rsid w:val="381C1B14"/>
    <w:rsid w:val="381C1ED4"/>
    <w:rsid w:val="381C20D2"/>
    <w:rsid w:val="381C2943"/>
    <w:rsid w:val="381C47C8"/>
    <w:rsid w:val="381C4F26"/>
    <w:rsid w:val="381C6576"/>
    <w:rsid w:val="381D02B0"/>
    <w:rsid w:val="381D24DF"/>
    <w:rsid w:val="381E22EE"/>
    <w:rsid w:val="381E30D5"/>
    <w:rsid w:val="381E5E4A"/>
    <w:rsid w:val="381E6420"/>
    <w:rsid w:val="381F2104"/>
    <w:rsid w:val="381F23B5"/>
    <w:rsid w:val="381F2C87"/>
    <w:rsid w:val="381F5604"/>
    <w:rsid w:val="381F5C4F"/>
    <w:rsid w:val="381F6FBA"/>
    <w:rsid w:val="381F7363"/>
    <w:rsid w:val="382014AF"/>
    <w:rsid w:val="38202C36"/>
    <w:rsid w:val="38206066"/>
    <w:rsid w:val="38211DDE"/>
    <w:rsid w:val="3821237D"/>
    <w:rsid w:val="38213B8C"/>
    <w:rsid w:val="3821439C"/>
    <w:rsid w:val="382169B1"/>
    <w:rsid w:val="38216DB8"/>
    <w:rsid w:val="38224B0C"/>
    <w:rsid w:val="38232ACC"/>
    <w:rsid w:val="38233460"/>
    <w:rsid w:val="382347CC"/>
    <w:rsid w:val="38241904"/>
    <w:rsid w:val="38242E0F"/>
    <w:rsid w:val="38244AE6"/>
    <w:rsid w:val="382471D8"/>
    <w:rsid w:val="38251072"/>
    <w:rsid w:val="3825204C"/>
    <w:rsid w:val="3825542A"/>
    <w:rsid w:val="382556DE"/>
    <w:rsid w:val="382611A3"/>
    <w:rsid w:val="38262EE1"/>
    <w:rsid w:val="38262F51"/>
    <w:rsid w:val="38263614"/>
    <w:rsid w:val="382673F4"/>
    <w:rsid w:val="3827251A"/>
    <w:rsid w:val="38272F81"/>
    <w:rsid w:val="38274E6A"/>
    <w:rsid w:val="3827696D"/>
    <w:rsid w:val="38280CB7"/>
    <w:rsid w:val="382843F2"/>
    <w:rsid w:val="38286CC9"/>
    <w:rsid w:val="38287C6A"/>
    <w:rsid w:val="382918F5"/>
    <w:rsid w:val="38293B60"/>
    <w:rsid w:val="382947EF"/>
    <w:rsid w:val="38294D3D"/>
    <w:rsid w:val="382A0C93"/>
    <w:rsid w:val="382A23F2"/>
    <w:rsid w:val="382A3706"/>
    <w:rsid w:val="382A3BFF"/>
    <w:rsid w:val="382A6F74"/>
    <w:rsid w:val="382A7160"/>
    <w:rsid w:val="382B0567"/>
    <w:rsid w:val="382B0B0C"/>
    <w:rsid w:val="382B477A"/>
    <w:rsid w:val="382B55D8"/>
    <w:rsid w:val="382B67B9"/>
    <w:rsid w:val="382C2C24"/>
    <w:rsid w:val="382C30A7"/>
    <w:rsid w:val="382C39F0"/>
    <w:rsid w:val="382C50AA"/>
    <w:rsid w:val="382D2531"/>
    <w:rsid w:val="382D4E9E"/>
    <w:rsid w:val="382D72D9"/>
    <w:rsid w:val="382E3860"/>
    <w:rsid w:val="382E3A24"/>
    <w:rsid w:val="382E6FB7"/>
    <w:rsid w:val="382E7945"/>
    <w:rsid w:val="382F0057"/>
    <w:rsid w:val="382F3825"/>
    <w:rsid w:val="382F409E"/>
    <w:rsid w:val="382F43FF"/>
    <w:rsid w:val="382F44FB"/>
    <w:rsid w:val="382F49C4"/>
    <w:rsid w:val="382F7815"/>
    <w:rsid w:val="383031B2"/>
    <w:rsid w:val="38306020"/>
    <w:rsid w:val="38306D07"/>
    <w:rsid w:val="3830775C"/>
    <w:rsid w:val="383101F2"/>
    <w:rsid w:val="38311183"/>
    <w:rsid w:val="38315F13"/>
    <w:rsid w:val="38316516"/>
    <w:rsid w:val="38317F13"/>
    <w:rsid w:val="383218F5"/>
    <w:rsid w:val="383270EA"/>
    <w:rsid w:val="38327B47"/>
    <w:rsid w:val="3833314B"/>
    <w:rsid w:val="383343FD"/>
    <w:rsid w:val="38335C13"/>
    <w:rsid w:val="383427AE"/>
    <w:rsid w:val="38342E9A"/>
    <w:rsid w:val="383445DB"/>
    <w:rsid w:val="38344796"/>
    <w:rsid w:val="38345439"/>
    <w:rsid w:val="3834566E"/>
    <w:rsid w:val="383464E8"/>
    <w:rsid w:val="38346956"/>
    <w:rsid w:val="383513E6"/>
    <w:rsid w:val="38351B59"/>
    <w:rsid w:val="38353194"/>
    <w:rsid w:val="383540A9"/>
    <w:rsid w:val="38357D73"/>
    <w:rsid w:val="38366EFB"/>
    <w:rsid w:val="38367638"/>
    <w:rsid w:val="38367BE1"/>
    <w:rsid w:val="383733B0"/>
    <w:rsid w:val="3837515E"/>
    <w:rsid w:val="383772A7"/>
    <w:rsid w:val="383779A7"/>
    <w:rsid w:val="383823F8"/>
    <w:rsid w:val="38382C36"/>
    <w:rsid w:val="38383135"/>
    <w:rsid w:val="38383620"/>
    <w:rsid w:val="38385CBD"/>
    <w:rsid w:val="38386C54"/>
    <w:rsid w:val="3839439F"/>
    <w:rsid w:val="3839587C"/>
    <w:rsid w:val="38395D0D"/>
    <w:rsid w:val="383A1CB3"/>
    <w:rsid w:val="383B18DD"/>
    <w:rsid w:val="383B1BEE"/>
    <w:rsid w:val="383B31B0"/>
    <w:rsid w:val="383B4C4E"/>
    <w:rsid w:val="383B7CF9"/>
    <w:rsid w:val="383C6DC9"/>
    <w:rsid w:val="383C7ADF"/>
    <w:rsid w:val="383D2677"/>
    <w:rsid w:val="383D2808"/>
    <w:rsid w:val="383D4156"/>
    <w:rsid w:val="383D6396"/>
    <w:rsid w:val="383D6444"/>
    <w:rsid w:val="383E029A"/>
    <w:rsid w:val="383E57B1"/>
    <w:rsid w:val="383E64EC"/>
    <w:rsid w:val="383E7D62"/>
    <w:rsid w:val="383F08C7"/>
    <w:rsid w:val="383F27C9"/>
    <w:rsid w:val="383F4CB3"/>
    <w:rsid w:val="383F67E8"/>
    <w:rsid w:val="384004B6"/>
    <w:rsid w:val="3840106E"/>
    <w:rsid w:val="3840377B"/>
    <w:rsid w:val="38404012"/>
    <w:rsid w:val="384041C1"/>
    <w:rsid w:val="384050E3"/>
    <w:rsid w:val="38413410"/>
    <w:rsid w:val="38415FDC"/>
    <w:rsid w:val="38425435"/>
    <w:rsid w:val="384257A0"/>
    <w:rsid w:val="38427095"/>
    <w:rsid w:val="38431D54"/>
    <w:rsid w:val="38432981"/>
    <w:rsid w:val="38433B03"/>
    <w:rsid w:val="384358B1"/>
    <w:rsid w:val="38442D4C"/>
    <w:rsid w:val="38443757"/>
    <w:rsid w:val="384438D2"/>
    <w:rsid w:val="38443B1A"/>
    <w:rsid w:val="384443C2"/>
    <w:rsid w:val="38445EA1"/>
    <w:rsid w:val="38446C60"/>
    <w:rsid w:val="38452056"/>
    <w:rsid w:val="384541D6"/>
    <w:rsid w:val="384635F3"/>
    <w:rsid w:val="38463901"/>
    <w:rsid w:val="38466530"/>
    <w:rsid w:val="384669F0"/>
    <w:rsid w:val="38471BCC"/>
    <w:rsid w:val="38473333"/>
    <w:rsid w:val="38475A3B"/>
    <w:rsid w:val="38475CCF"/>
    <w:rsid w:val="38476234"/>
    <w:rsid w:val="38477E80"/>
    <w:rsid w:val="38480019"/>
    <w:rsid w:val="38482894"/>
    <w:rsid w:val="38482EC7"/>
    <w:rsid w:val="38483526"/>
    <w:rsid w:val="384855BD"/>
    <w:rsid w:val="3848736B"/>
    <w:rsid w:val="38492F84"/>
    <w:rsid w:val="384944C9"/>
    <w:rsid w:val="38494CA3"/>
    <w:rsid w:val="38496696"/>
    <w:rsid w:val="384A08DD"/>
    <w:rsid w:val="384A3548"/>
    <w:rsid w:val="384A4E91"/>
    <w:rsid w:val="384A5D4C"/>
    <w:rsid w:val="384A6801"/>
    <w:rsid w:val="384A6C3F"/>
    <w:rsid w:val="384A7D33"/>
    <w:rsid w:val="384B18C4"/>
    <w:rsid w:val="384B3903"/>
    <w:rsid w:val="384C1121"/>
    <w:rsid w:val="384C3EE4"/>
    <w:rsid w:val="384C4EE6"/>
    <w:rsid w:val="384D09DC"/>
    <w:rsid w:val="384D2D02"/>
    <w:rsid w:val="384D39BE"/>
    <w:rsid w:val="384D47D2"/>
    <w:rsid w:val="384D672F"/>
    <w:rsid w:val="384E6A57"/>
    <w:rsid w:val="384E7E68"/>
    <w:rsid w:val="384F01E2"/>
    <w:rsid w:val="384F11E3"/>
    <w:rsid w:val="384F24A7"/>
    <w:rsid w:val="384F4255"/>
    <w:rsid w:val="384F59DF"/>
    <w:rsid w:val="384F6ADB"/>
    <w:rsid w:val="385002E8"/>
    <w:rsid w:val="38500654"/>
    <w:rsid w:val="38500EE4"/>
    <w:rsid w:val="38502673"/>
    <w:rsid w:val="38504F55"/>
    <w:rsid w:val="385051DB"/>
    <w:rsid w:val="38507FCD"/>
    <w:rsid w:val="38511639"/>
    <w:rsid w:val="38513B03"/>
    <w:rsid w:val="38514471"/>
    <w:rsid w:val="385176F1"/>
    <w:rsid w:val="38521F98"/>
    <w:rsid w:val="385232D8"/>
    <w:rsid w:val="38523D46"/>
    <w:rsid w:val="38525F59"/>
    <w:rsid w:val="385266D4"/>
    <w:rsid w:val="38536423"/>
    <w:rsid w:val="38545D10"/>
    <w:rsid w:val="385469C9"/>
    <w:rsid w:val="38547B02"/>
    <w:rsid w:val="385503A2"/>
    <w:rsid w:val="385517EF"/>
    <w:rsid w:val="385555E4"/>
    <w:rsid w:val="38555BD8"/>
    <w:rsid w:val="38562D29"/>
    <w:rsid w:val="38563E23"/>
    <w:rsid w:val="38563E86"/>
    <w:rsid w:val="3857454D"/>
    <w:rsid w:val="38575800"/>
    <w:rsid w:val="385775AE"/>
    <w:rsid w:val="385839D6"/>
    <w:rsid w:val="3858530C"/>
    <w:rsid w:val="38591152"/>
    <w:rsid w:val="38591578"/>
    <w:rsid w:val="38592295"/>
    <w:rsid w:val="38593326"/>
    <w:rsid w:val="38593DED"/>
    <w:rsid w:val="38596366"/>
    <w:rsid w:val="385A10C4"/>
    <w:rsid w:val="385A2771"/>
    <w:rsid w:val="385B02D6"/>
    <w:rsid w:val="385B0E4C"/>
    <w:rsid w:val="385B50B1"/>
    <w:rsid w:val="385B5CDC"/>
    <w:rsid w:val="385B6A3A"/>
    <w:rsid w:val="385B6B9F"/>
    <w:rsid w:val="385C2357"/>
    <w:rsid w:val="385C25A0"/>
    <w:rsid w:val="385C2E16"/>
    <w:rsid w:val="385C2FA4"/>
    <w:rsid w:val="385C43CD"/>
    <w:rsid w:val="385C4BC4"/>
    <w:rsid w:val="385C56B7"/>
    <w:rsid w:val="385C5950"/>
    <w:rsid w:val="385C6972"/>
    <w:rsid w:val="385D10AF"/>
    <w:rsid w:val="385D6B76"/>
    <w:rsid w:val="385E01EA"/>
    <w:rsid w:val="385E0713"/>
    <w:rsid w:val="385E0E79"/>
    <w:rsid w:val="385E26EA"/>
    <w:rsid w:val="385E3352"/>
    <w:rsid w:val="385E603F"/>
    <w:rsid w:val="385F0607"/>
    <w:rsid w:val="385F0CD8"/>
    <w:rsid w:val="385F5FA8"/>
    <w:rsid w:val="385F7EA5"/>
    <w:rsid w:val="38600A27"/>
    <w:rsid w:val="38601B63"/>
    <w:rsid w:val="38602906"/>
    <w:rsid w:val="3860403A"/>
    <w:rsid w:val="386046B4"/>
    <w:rsid w:val="386051BA"/>
    <w:rsid w:val="38606088"/>
    <w:rsid w:val="38613F89"/>
    <w:rsid w:val="3862042D"/>
    <w:rsid w:val="38620743"/>
    <w:rsid w:val="38620FD0"/>
    <w:rsid w:val="3862132A"/>
    <w:rsid w:val="3862667F"/>
    <w:rsid w:val="38627659"/>
    <w:rsid w:val="38627EDE"/>
    <w:rsid w:val="38630AE9"/>
    <w:rsid w:val="38630E73"/>
    <w:rsid w:val="38635A76"/>
    <w:rsid w:val="38635F01"/>
    <w:rsid w:val="386366E3"/>
    <w:rsid w:val="38637A96"/>
    <w:rsid w:val="38640BA8"/>
    <w:rsid w:val="3865303B"/>
    <w:rsid w:val="38653A79"/>
    <w:rsid w:val="386545FC"/>
    <w:rsid w:val="38656A50"/>
    <w:rsid w:val="38657486"/>
    <w:rsid w:val="386631DB"/>
    <w:rsid w:val="38664CB1"/>
    <w:rsid w:val="386661EE"/>
    <w:rsid w:val="386677F1"/>
    <w:rsid w:val="38673C95"/>
    <w:rsid w:val="38680906"/>
    <w:rsid w:val="38685317"/>
    <w:rsid w:val="38687B4A"/>
    <w:rsid w:val="38690FF0"/>
    <w:rsid w:val="38691398"/>
    <w:rsid w:val="38691BBD"/>
    <w:rsid w:val="38694477"/>
    <w:rsid w:val="38695961"/>
    <w:rsid w:val="386A108F"/>
    <w:rsid w:val="386A2FAD"/>
    <w:rsid w:val="386A604C"/>
    <w:rsid w:val="386B727B"/>
    <w:rsid w:val="386C0943"/>
    <w:rsid w:val="386C12AB"/>
    <w:rsid w:val="386C476A"/>
    <w:rsid w:val="386C4933"/>
    <w:rsid w:val="386C697D"/>
    <w:rsid w:val="386D01FD"/>
    <w:rsid w:val="386D0B7F"/>
    <w:rsid w:val="386D1BEA"/>
    <w:rsid w:val="386D3434"/>
    <w:rsid w:val="386D476C"/>
    <w:rsid w:val="386D5023"/>
    <w:rsid w:val="386D59B3"/>
    <w:rsid w:val="386E2A2B"/>
    <w:rsid w:val="386E2CF3"/>
    <w:rsid w:val="386E3A20"/>
    <w:rsid w:val="386E4133"/>
    <w:rsid w:val="386E622C"/>
    <w:rsid w:val="386F1E89"/>
    <w:rsid w:val="386F2B4A"/>
    <w:rsid w:val="386F3ED1"/>
    <w:rsid w:val="386F7AF0"/>
    <w:rsid w:val="387002F0"/>
    <w:rsid w:val="3870051C"/>
    <w:rsid w:val="38701833"/>
    <w:rsid w:val="3870241E"/>
    <w:rsid w:val="38705509"/>
    <w:rsid w:val="38710670"/>
    <w:rsid w:val="387130ED"/>
    <w:rsid w:val="38713DF6"/>
    <w:rsid w:val="387144D8"/>
    <w:rsid w:val="387162D8"/>
    <w:rsid w:val="3871677D"/>
    <w:rsid w:val="387168C2"/>
    <w:rsid w:val="3872263A"/>
    <w:rsid w:val="387243E8"/>
    <w:rsid w:val="38725972"/>
    <w:rsid w:val="38726C30"/>
    <w:rsid w:val="38726F4B"/>
    <w:rsid w:val="387305DE"/>
    <w:rsid w:val="3873136E"/>
    <w:rsid w:val="38731854"/>
    <w:rsid w:val="38732B9D"/>
    <w:rsid w:val="38735324"/>
    <w:rsid w:val="38737AAA"/>
    <w:rsid w:val="38740160"/>
    <w:rsid w:val="38742D24"/>
    <w:rsid w:val="38744887"/>
    <w:rsid w:val="387463B2"/>
    <w:rsid w:val="3874739E"/>
    <w:rsid w:val="38750CDE"/>
    <w:rsid w:val="38753442"/>
    <w:rsid w:val="3875631F"/>
    <w:rsid w:val="3875633D"/>
    <w:rsid w:val="38757C0F"/>
    <w:rsid w:val="387600A8"/>
    <w:rsid w:val="38760418"/>
    <w:rsid w:val="38760FFA"/>
    <w:rsid w:val="38765263"/>
    <w:rsid w:val="38765C86"/>
    <w:rsid w:val="387719FE"/>
    <w:rsid w:val="387724E2"/>
    <w:rsid w:val="38773437"/>
    <w:rsid w:val="387737AC"/>
    <w:rsid w:val="38781B64"/>
    <w:rsid w:val="38783580"/>
    <w:rsid w:val="38786029"/>
    <w:rsid w:val="38786AD3"/>
    <w:rsid w:val="38791B5B"/>
    <w:rsid w:val="38792D0F"/>
    <w:rsid w:val="387939C8"/>
    <w:rsid w:val="38797524"/>
    <w:rsid w:val="38797A56"/>
    <w:rsid w:val="387A33C4"/>
    <w:rsid w:val="387A58E0"/>
    <w:rsid w:val="387A6293"/>
    <w:rsid w:val="387B0523"/>
    <w:rsid w:val="387B2130"/>
    <w:rsid w:val="387B329C"/>
    <w:rsid w:val="387B47CC"/>
    <w:rsid w:val="387C0DC3"/>
    <w:rsid w:val="387C3D81"/>
    <w:rsid w:val="387C5FA1"/>
    <w:rsid w:val="387C64DF"/>
    <w:rsid w:val="387C7014"/>
    <w:rsid w:val="387D0982"/>
    <w:rsid w:val="387D1EE8"/>
    <w:rsid w:val="387D5266"/>
    <w:rsid w:val="387E0FDF"/>
    <w:rsid w:val="387E1396"/>
    <w:rsid w:val="387E206F"/>
    <w:rsid w:val="387E2B20"/>
    <w:rsid w:val="387E4B3B"/>
    <w:rsid w:val="387E5392"/>
    <w:rsid w:val="387F5257"/>
    <w:rsid w:val="387F6A79"/>
    <w:rsid w:val="387F6B2A"/>
    <w:rsid w:val="387F735C"/>
    <w:rsid w:val="38800011"/>
    <w:rsid w:val="38800734"/>
    <w:rsid w:val="388008B3"/>
    <w:rsid w:val="38803085"/>
    <w:rsid w:val="38804D57"/>
    <w:rsid w:val="38806154"/>
    <w:rsid w:val="38821F74"/>
    <w:rsid w:val="38822931"/>
    <w:rsid w:val="38825614"/>
    <w:rsid w:val="3882709D"/>
    <w:rsid w:val="388273D4"/>
    <w:rsid w:val="388303A3"/>
    <w:rsid w:val="38835502"/>
    <w:rsid w:val="388365F5"/>
    <w:rsid w:val="38841563"/>
    <w:rsid w:val="38845AE3"/>
    <w:rsid w:val="38846B37"/>
    <w:rsid w:val="3885411B"/>
    <w:rsid w:val="3885489F"/>
    <w:rsid w:val="388551DE"/>
    <w:rsid w:val="38855EC9"/>
    <w:rsid w:val="38857873"/>
    <w:rsid w:val="38862974"/>
    <w:rsid w:val="38863E83"/>
    <w:rsid w:val="38865758"/>
    <w:rsid w:val="388754E5"/>
    <w:rsid w:val="38877E93"/>
    <w:rsid w:val="3888063D"/>
    <w:rsid w:val="38880824"/>
    <w:rsid w:val="388832A4"/>
    <w:rsid w:val="38883C0B"/>
    <w:rsid w:val="38885D3C"/>
    <w:rsid w:val="388867A3"/>
    <w:rsid w:val="38886F9E"/>
    <w:rsid w:val="38887767"/>
    <w:rsid w:val="38891E02"/>
    <w:rsid w:val="38892BC5"/>
    <w:rsid w:val="388937BB"/>
    <w:rsid w:val="388961C6"/>
    <w:rsid w:val="38897C33"/>
    <w:rsid w:val="388A1731"/>
    <w:rsid w:val="388A20FE"/>
    <w:rsid w:val="388A61DF"/>
    <w:rsid w:val="388A771C"/>
    <w:rsid w:val="388B6140"/>
    <w:rsid w:val="388C0608"/>
    <w:rsid w:val="388C36FB"/>
    <w:rsid w:val="388C4CC4"/>
    <w:rsid w:val="388C70BF"/>
    <w:rsid w:val="388C7258"/>
    <w:rsid w:val="388C7B88"/>
    <w:rsid w:val="388D1185"/>
    <w:rsid w:val="388D2FD0"/>
    <w:rsid w:val="388D4C6F"/>
    <w:rsid w:val="388D4D7E"/>
    <w:rsid w:val="388D7B4D"/>
    <w:rsid w:val="388E2615"/>
    <w:rsid w:val="388E46C0"/>
    <w:rsid w:val="388E69F2"/>
    <w:rsid w:val="388E7474"/>
    <w:rsid w:val="388F0940"/>
    <w:rsid w:val="388F0AF6"/>
    <w:rsid w:val="388F26F6"/>
    <w:rsid w:val="388F319C"/>
    <w:rsid w:val="388F32EB"/>
    <w:rsid w:val="388F3AA5"/>
    <w:rsid w:val="388F483B"/>
    <w:rsid w:val="388F55F4"/>
    <w:rsid w:val="388F6D48"/>
    <w:rsid w:val="389004F8"/>
    <w:rsid w:val="3890074F"/>
    <w:rsid w:val="3890346B"/>
    <w:rsid w:val="38903B4A"/>
    <w:rsid w:val="38910F96"/>
    <w:rsid w:val="38911C7A"/>
    <w:rsid w:val="38912AC0"/>
    <w:rsid w:val="389175B6"/>
    <w:rsid w:val="389205E6"/>
    <w:rsid w:val="3892285A"/>
    <w:rsid w:val="3892564B"/>
    <w:rsid w:val="38926838"/>
    <w:rsid w:val="38930988"/>
    <w:rsid w:val="38931563"/>
    <w:rsid w:val="38933EC8"/>
    <w:rsid w:val="38935CA5"/>
    <w:rsid w:val="389538C2"/>
    <w:rsid w:val="38961E84"/>
    <w:rsid w:val="38964061"/>
    <w:rsid w:val="38964E74"/>
    <w:rsid w:val="389665CC"/>
    <w:rsid w:val="38966B14"/>
    <w:rsid w:val="3896795A"/>
    <w:rsid w:val="389736C7"/>
    <w:rsid w:val="38975BFC"/>
    <w:rsid w:val="3897742F"/>
    <w:rsid w:val="38980A3F"/>
    <w:rsid w:val="389820A0"/>
    <w:rsid w:val="38983E4E"/>
    <w:rsid w:val="38990E81"/>
    <w:rsid w:val="38991974"/>
    <w:rsid w:val="38993922"/>
    <w:rsid w:val="38994363"/>
    <w:rsid w:val="38994D28"/>
    <w:rsid w:val="38997728"/>
    <w:rsid w:val="389A096D"/>
    <w:rsid w:val="389A0BB8"/>
    <w:rsid w:val="389A33CF"/>
    <w:rsid w:val="389B0EAE"/>
    <w:rsid w:val="389B2134"/>
    <w:rsid w:val="389B38A9"/>
    <w:rsid w:val="389B393F"/>
    <w:rsid w:val="389B3DA9"/>
    <w:rsid w:val="389B56ED"/>
    <w:rsid w:val="389B6A9B"/>
    <w:rsid w:val="389B749B"/>
    <w:rsid w:val="389C1020"/>
    <w:rsid w:val="389C3213"/>
    <w:rsid w:val="389C4F5A"/>
    <w:rsid w:val="389C7F90"/>
    <w:rsid w:val="389D0C7A"/>
    <w:rsid w:val="389D1465"/>
    <w:rsid w:val="389D428C"/>
    <w:rsid w:val="389D5263"/>
    <w:rsid w:val="389D599B"/>
    <w:rsid w:val="389D7626"/>
    <w:rsid w:val="389E342F"/>
    <w:rsid w:val="389E5FD1"/>
    <w:rsid w:val="389E6A5F"/>
    <w:rsid w:val="389E6F8B"/>
    <w:rsid w:val="389F2602"/>
    <w:rsid w:val="389F6C71"/>
    <w:rsid w:val="38A00F55"/>
    <w:rsid w:val="38A01134"/>
    <w:rsid w:val="38A04AB1"/>
    <w:rsid w:val="38A0605F"/>
    <w:rsid w:val="38A071A7"/>
    <w:rsid w:val="38A07EE1"/>
    <w:rsid w:val="38A12761"/>
    <w:rsid w:val="38A12815"/>
    <w:rsid w:val="38A12B82"/>
    <w:rsid w:val="38A14985"/>
    <w:rsid w:val="38A210C6"/>
    <w:rsid w:val="38A23861"/>
    <w:rsid w:val="38A24AEC"/>
    <w:rsid w:val="38A24CCD"/>
    <w:rsid w:val="38A26A7B"/>
    <w:rsid w:val="38A276E0"/>
    <w:rsid w:val="38A30A45"/>
    <w:rsid w:val="38A31879"/>
    <w:rsid w:val="38A31D4E"/>
    <w:rsid w:val="38A340E3"/>
    <w:rsid w:val="38A36C62"/>
    <w:rsid w:val="38A412A0"/>
    <w:rsid w:val="38A4152D"/>
    <w:rsid w:val="38A43733"/>
    <w:rsid w:val="38A43DE4"/>
    <w:rsid w:val="38A4483B"/>
    <w:rsid w:val="38A45546"/>
    <w:rsid w:val="38A505DB"/>
    <w:rsid w:val="38A535D8"/>
    <w:rsid w:val="38A65E3F"/>
    <w:rsid w:val="38A66A21"/>
    <w:rsid w:val="38A722E3"/>
    <w:rsid w:val="38A737D7"/>
    <w:rsid w:val="38A748FD"/>
    <w:rsid w:val="38A74C3A"/>
    <w:rsid w:val="38A75070"/>
    <w:rsid w:val="38A758DC"/>
    <w:rsid w:val="38A75DF3"/>
    <w:rsid w:val="38A81BB8"/>
    <w:rsid w:val="38A820E1"/>
    <w:rsid w:val="38A8464C"/>
    <w:rsid w:val="38A853EC"/>
    <w:rsid w:val="38A8605B"/>
    <w:rsid w:val="38A87E0A"/>
    <w:rsid w:val="38A90DB4"/>
    <w:rsid w:val="38A93D08"/>
    <w:rsid w:val="38A9721D"/>
    <w:rsid w:val="38A97EA8"/>
    <w:rsid w:val="38AA53AC"/>
    <w:rsid w:val="38AB151E"/>
    <w:rsid w:val="38AB19A8"/>
    <w:rsid w:val="38AB36B1"/>
    <w:rsid w:val="38AB625D"/>
    <w:rsid w:val="38AC0ED2"/>
    <w:rsid w:val="38AC16A8"/>
    <w:rsid w:val="38AD2CB8"/>
    <w:rsid w:val="38AD5420"/>
    <w:rsid w:val="38AD686A"/>
    <w:rsid w:val="38AD72D3"/>
    <w:rsid w:val="38AE308F"/>
    <w:rsid w:val="38AE3CA7"/>
    <w:rsid w:val="38AE4DCD"/>
    <w:rsid w:val="38AE7EA6"/>
    <w:rsid w:val="38AF13ED"/>
    <w:rsid w:val="38AF180F"/>
    <w:rsid w:val="38AF451F"/>
    <w:rsid w:val="38AF73EA"/>
    <w:rsid w:val="38B06F3D"/>
    <w:rsid w:val="38B10580"/>
    <w:rsid w:val="38B13162"/>
    <w:rsid w:val="38B16CBE"/>
    <w:rsid w:val="38B16E8E"/>
    <w:rsid w:val="38B202CF"/>
    <w:rsid w:val="38B213C9"/>
    <w:rsid w:val="38B22A36"/>
    <w:rsid w:val="38B247BE"/>
    <w:rsid w:val="38B247E4"/>
    <w:rsid w:val="38B355CC"/>
    <w:rsid w:val="38B36653"/>
    <w:rsid w:val="38B36EDA"/>
    <w:rsid w:val="38B40B71"/>
    <w:rsid w:val="38B41461"/>
    <w:rsid w:val="38B43D6A"/>
    <w:rsid w:val="38B452EA"/>
    <w:rsid w:val="38B464FD"/>
    <w:rsid w:val="38B467AE"/>
    <w:rsid w:val="38B46EE2"/>
    <w:rsid w:val="38B46F01"/>
    <w:rsid w:val="38B52E3C"/>
    <w:rsid w:val="38B573A6"/>
    <w:rsid w:val="38B62526"/>
    <w:rsid w:val="38B63879"/>
    <w:rsid w:val="38B642D4"/>
    <w:rsid w:val="38B71320"/>
    <w:rsid w:val="38B7275C"/>
    <w:rsid w:val="38B74FB9"/>
    <w:rsid w:val="38B773F5"/>
    <w:rsid w:val="38B77462"/>
    <w:rsid w:val="38B83116"/>
    <w:rsid w:val="38B84141"/>
    <w:rsid w:val="38B844F1"/>
    <w:rsid w:val="38B84B43"/>
    <w:rsid w:val="38B901A2"/>
    <w:rsid w:val="38B90269"/>
    <w:rsid w:val="38B90820"/>
    <w:rsid w:val="38B92017"/>
    <w:rsid w:val="38B93DC5"/>
    <w:rsid w:val="38B95B73"/>
    <w:rsid w:val="38BA293C"/>
    <w:rsid w:val="38BA503F"/>
    <w:rsid w:val="38BB25CF"/>
    <w:rsid w:val="38BB2CDD"/>
    <w:rsid w:val="38BB46C7"/>
    <w:rsid w:val="38BB5D8F"/>
    <w:rsid w:val="38BB7220"/>
    <w:rsid w:val="38BC1AC5"/>
    <w:rsid w:val="38BC3F52"/>
    <w:rsid w:val="38BC6935"/>
    <w:rsid w:val="38BD345B"/>
    <w:rsid w:val="38BD6B23"/>
    <w:rsid w:val="38BE14ED"/>
    <w:rsid w:val="38BF0BEC"/>
    <w:rsid w:val="38BF587F"/>
    <w:rsid w:val="38C00A03"/>
    <w:rsid w:val="38C028D3"/>
    <w:rsid w:val="38C032FD"/>
    <w:rsid w:val="38C033A5"/>
    <w:rsid w:val="38C05153"/>
    <w:rsid w:val="38C05824"/>
    <w:rsid w:val="38C1520B"/>
    <w:rsid w:val="38C202C2"/>
    <w:rsid w:val="38C22C79"/>
    <w:rsid w:val="38C2711D"/>
    <w:rsid w:val="38C27D82"/>
    <w:rsid w:val="38C27DC4"/>
    <w:rsid w:val="38C31254"/>
    <w:rsid w:val="38C32995"/>
    <w:rsid w:val="38C330B4"/>
    <w:rsid w:val="38C34C43"/>
    <w:rsid w:val="38C4021E"/>
    <w:rsid w:val="38C435DA"/>
    <w:rsid w:val="38C46260"/>
    <w:rsid w:val="38C5276A"/>
    <w:rsid w:val="38C5282D"/>
    <w:rsid w:val="38C57C68"/>
    <w:rsid w:val="38C57EC1"/>
    <w:rsid w:val="38C605E9"/>
    <w:rsid w:val="38C60F2F"/>
    <w:rsid w:val="38C61650"/>
    <w:rsid w:val="38C62E55"/>
    <w:rsid w:val="38C71EA0"/>
    <w:rsid w:val="38C77153"/>
    <w:rsid w:val="38C77799"/>
    <w:rsid w:val="38C82141"/>
    <w:rsid w:val="38C8225A"/>
    <w:rsid w:val="38C83C1B"/>
    <w:rsid w:val="38C84008"/>
    <w:rsid w:val="38C8497E"/>
    <w:rsid w:val="38C904AC"/>
    <w:rsid w:val="38C94FFA"/>
    <w:rsid w:val="38C961D9"/>
    <w:rsid w:val="38C96A4F"/>
    <w:rsid w:val="38CA2147"/>
    <w:rsid w:val="38CA5FD2"/>
    <w:rsid w:val="38CA6556"/>
    <w:rsid w:val="38CB2392"/>
    <w:rsid w:val="38CB5544"/>
    <w:rsid w:val="38CB7473"/>
    <w:rsid w:val="38CC58A6"/>
    <w:rsid w:val="38CC5B33"/>
    <w:rsid w:val="38CC5D45"/>
    <w:rsid w:val="38CD7870"/>
    <w:rsid w:val="38CE02A3"/>
    <w:rsid w:val="38CE5804"/>
    <w:rsid w:val="38CE6B98"/>
    <w:rsid w:val="38CE781F"/>
    <w:rsid w:val="38CF2341"/>
    <w:rsid w:val="38CF3C75"/>
    <w:rsid w:val="38CF501B"/>
    <w:rsid w:val="38D03D9E"/>
    <w:rsid w:val="38D04F99"/>
    <w:rsid w:val="38D05E24"/>
    <w:rsid w:val="38D13A7E"/>
    <w:rsid w:val="38D14DE7"/>
    <w:rsid w:val="38D17360"/>
    <w:rsid w:val="38D2355B"/>
    <w:rsid w:val="38D33919"/>
    <w:rsid w:val="38D342E7"/>
    <w:rsid w:val="38D3436E"/>
    <w:rsid w:val="38D34E86"/>
    <w:rsid w:val="38D359D5"/>
    <w:rsid w:val="38D35A4C"/>
    <w:rsid w:val="38D45413"/>
    <w:rsid w:val="38D537BF"/>
    <w:rsid w:val="38D539D2"/>
    <w:rsid w:val="38D576D7"/>
    <w:rsid w:val="38D60DF5"/>
    <w:rsid w:val="38D60E0A"/>
    <w:rsid w:val="38D62BC9"/>
    <w:rsid w:val="38D66725"/>
    <w:rsid w:val="38D67A1A"/>
    <w:rsid w:val="38D70D93"/>
    <w:rsid w:val="38D72835"/>
    <w:rsid w:val="38D7622E"/>
    <w:rsid w:val="38D8068B"/>
    <w:rsid w:val="38D806EF"/>
    <w:rsid w:val="38D83BDD"/>
    <w:rsid w:val="38D853B5"/>
    <w:rsid w:val="38D86941"/>
    <w:rsid w:val="38DA0855"/>
    <w:rsid w:val="38DA0A92"/>
    <w:rsid w:val="38DA19F3"/>
    <w:rsid w:val="38DA3BE7"/>
    <w:rsid w:val="38DA6126"/>
    <w:rsid w:val="38DA65CE"/>
    <w:rsid w:val="38DB1F8D"/>
    <w:rsid w:val="38DB20AB"/>
    <w:rsid w:val="38DB3D3B"/>
    <w:rsid w:val="38DB4F9C"/>
    <w:rsid w:val="38DC2560"/>
    <w:rsid w:val="38DC2A28"/>
    <w:rsid w:val="38DC53F7"/>
    <w:rsid w:val="38DD232D"/>
    <w:rsid w:val="38DD49CB"/>
    <w:rsid w:val="38DD51D9"/>
    <w:rsid w:val="38DD5CB4"/>
    <w:rsid w:val="38DD610C"/>
    <w:rsid w:val="38DD7AB3"/>
    <w:rsid w:val="38DE1A7D"/>
    <w:rsid w:val="38DE30B2"/>
    <w:rsid w:val="38DE4E5D"/>
    <w:rsid w:val="38DE504A"/>
    <w:rsid w:val="38DE55D9"/>
    <w:rsid w:val="38DE6BED"/>
    <w:rsid w:val="38DE7670"/>
    <w:rsid w:val="38DF0A2C"/>
    <w:rsid w:val="38DF7CCF"/>
    <w:rsid w:val="38E01351"/>
    <w:rsid w:val="38E01CC7"/>
    <w:rsid w:val="38E025DA"/>
    <w:rsid w:val="38E04A8D"/>
    <w:rsid w:val="38E04CA4"/>
    <w:rsid w:val="38E05FD2"/>
    <w:rsid w:val="38E075A3"/>
    <w:rsid w:val="38E10073"/>
    <w:rsid w:val="38E119FE"/>
    <w:rsid w:val="38E164EB"/>
    <w:rsid w:val="38E1799D"/>
    <w:rsid w:val="38E21043"/>
    <w:rsid w:val="38E2156D"/>
    <w:rsid w:val="38E250CA"/>
    <w:rsid w:val="38E25CFC"/>
    <w:rsid w:val="38E26467"/>
    <w:rsid w:val="38E27D17"/>
    <w:rsid w:val="38E30B05"/>
    <w:rsid w:val="38E30E42"/>
    <w:rsid w:val="38E30F96"/>
    <w:rsid w:val="38E343E8"/>
    <w:rsid w:val="38E34ED8"/>
    <w:rsid w:val="38E41CCD"/>
    <w:rsid w:val="38E42223"/>
    <w:rsid w:val="38E44532"/>
    <w:rsid w:val="38E44D6C"/>
    <w:rsid w:val="38E45B9B"/>
    <w:rsid w:val="38E47E8A"/>
    <w:rsid w:val="38E50D42"/>
    <w:rsid w:val="38E5105E"/>
    <w:rsid w:val="38E510F6"/>
    <w:rsid w:val="38E5124B"/>
    <w:rsid w:val="38E51791"/>
    <w:rsid w:val="38E5315D"/>
    <w:rsid w:val="38E53DE8"/>
    <w:rsid w:val="38E54BBA"/>
    <w:rsid w:val="38E568AF"/>
    <w:rsid w:val="38E57C36"/>
    <w:rsid w:val="38E60D50"/>
    <w:rsid w:val="38E6527E"/>
    <w:rsid w:val="38E70932"/>
    <w:rsid w:val="38E726E0"/>
    <w:rsid w:val="38E749D6"/>
    <w:rsid w:val="38E754D7"/>
    <w:rsid w:val="38E76B84"/>
    <w:rsid w:val="38E814A8"/>
    <w:rsid w:val="38E86458"/>
    <w:rsid w:val="38E91B42"/>
    <w:rsid w:val="38E928FC"/>
    <w:rsid w:val="38E946AA"/>
    <w:rsid w:val="38E958A4"/>
    <w:rsid w:val="38E9712B"/>
    <w:rsid w:val="38E971B6"/>
    <w:rsid w:val="38EA2744"/>
    <w:rsid w:val="38EA40CC"/>
    <w:rsid w:val="38EA5DDD"/>
    <w:rsid w:val="38EA6FCF"/>
    <w:rsid w:val="38EB256D"/>
    <w:rsid w:val="38EC4682"/>
    <w:rsid w:val="38EC5F48"/>
    <w:rsid w:val="38EC7CF6"/>
    <w:rsid w:val="38ED041A"/>
    <w:rsid w:val="38ED0A1F"/>
    <w:rsid w:val="38ED1550"/>
    <w:rsid w:val="38ED44C0"/>
    <w:rsid w:val="38ED6423"/>
    <w:rsid w:val="38ED7091"/>
    <w:rsid w:val="38EE4839"/>
    <w:rsid w:val="38EE6700"/>
    <w:rsid w:val="38EE7F12"/>
    <w:rsid w:val="38EF11F3"/>
    <w:rsid w:val="38EF3C8A"/>
    <w:rsid w:val="38EF5A38"/>
    <w:rsid w:val="38EF77E6"/>
    <w:rsid w:val="38EF7AF9"/>
    <w:rsid w:val="38F03712"/>
    <w:rsid w:val="38F04CF0"/>
    <w:rsid w:val="38F06289"/>
    <w:rsid w:val="38F07BAC"/>
    <w:rsid w:val="38F1016A"/>
    <w:rsid w:val="38F1355F"/>
    <w:rsid w:val="38F142D1"/>
    <w:rsid w:val="38F17A02"/>
    <w:rsid w:val="38F22930"/>
    <w:rsid w:val="38F25761"/>
    <w:rsid w:val="38F25E25"/>
    <w:rsid w:val="38F3070E"/>
    <w:rsid w:val="38F30E93"/>
    <w:rsid w:val="38F31085"/>
    <w:rsid w:val="38F36F74"/>
    <w:rsid w:val="38F372D7"/>
    <w:rsid w:val="38F378D8"/>
    <w:rsid w:val="38F4114D"/>
    <w:rsid w:val="38F43899"/>
    <w:rsid w:val="38F4451D"/>
    <w:rsid w:val="38F44DFD"/>
    <w:rsid w:val="38F45119"/>
    <w:rsid w:val="38F512A1"/>
    <w:rsid w:val="38F52C52"/>
    <w:rsid w:val="38F55DE6"/>
    <w:rsid w:val="38F61E7C"/>
    <w:rsid w:val="38F632ED"/>
    <w:rsid w:val="38F646C5"/>
    <w:rsid w:val="38F646CD"/>
    <w:rsid w:val="38F65019"/>
    <w:rsid w:val="38F7174F"/>
    <w:rsid w:val="38F73027"/>
    <w:rsid w:val="38F739A3"/>
    <w:rsid w:val="38F80D91"/>
    <w:rsid w:val="38F848ED"/>
    <w:rsid w:val="38F8669B"/>
    <w:rsid w:val="38F86F6A"/>
    <w:rsid w:val="38F90391"/>
    <w:rsid w:val="38F90E2B"/>
    <w:rsid w:val="38F922A2"/>
    <w:rsid w:val="38F92413"/>
    <w:rsid w:val="38F94FA3"/>
    <w:rsid w:val="38F961F6"/>
    <w:rsid w:val="38FA64C6"/>
    <w:rsid w:val="38FA6AC4"/>
    <w:rsid w:val="38FB262F"/>
    <w:rsid w:val="38FB43DD"/>
    <w:rsid w:val="38FB618B"/>
    <w:rsid w:val="38FB76E3"/>
    <w:rsid w:val="38FC17E3"/>
    <w:rsid w:val="38FC2B25"/>
    <w:rsid w:val="38FC2B3A"/>
    <w:rsid w:val="38FC5510"/>
    <w:rsid w:val="38FC68EE"/>
    <w:rsid w:val="38FD0155"/>
    <w:rsid w:val="38FD2A39"/>
    <w:rsid w:val="38FD536F"/>
    <w:rsid w:val="38FD63A7"/>
    <w:rsid w:val="38FD6430"/>
    <w:rsid w:val="38FE0016"/>
    <w:rsid w:val="38FE01E2"/>
    <w:rsid w:val="38FE732B"/>
    <w:rsid w:val="38FF13A7"/>
    <w:rsid w:val="38FF23BE"/>
    <w:rsid w:val="38FF3ECD"/>
    <w:rsid w:val="38FF5E4D"/>
    <w:rsid w:val="38FF68D5"/>
    <w:rsid w:val="390016CB"/>
    <w:rsid w:val="390019F4"/>
    <w:rsid w:val="39002EA0"/>
    <w:rsid w:val="39002FB3"/>
    <w:rsid w:val="390034D4"/>
    <w:rsid w:val="390037A2"/>
    <w:rsid w:val="3900614E"/>
    <w:rsid w:val="39007C46"/>
    <w:rsid w:val="39022BAB"/>
    <w:rsid w:val="39024B9C"/>
    <w:rsid w:val="3902501F"/>
    <w:rsid w:val="3902751A"/>
    <w:rsid w:val="390305C4"/>
    <w:rsid w:val="39030C36"/>
    <w:rsid w:val="39034B9C"/>
    <w:rsid w:val="39035512"/>
    <w:rsid w:val="39044033"/>
    <w:rsid w:val="39044D27"/>
    <w:rsid w:val="39044F9B"/>
    <w:rsid w:val="39047736"/>
    <w:rsid w:val="39050DB8"/>
    <w:rsid w:val="3905700A"/>
    <w:rsid w:val="390604FB"/>
    <w:rsid w:val="390606EC"/>
    <w:rsid w:val="39064B1D"/>
    <w:rsid w:val="390667FA"/>
    <w:rsid w:val="39070FD4"/>
    <w:rsid w:val="39072C1B"/>
    <w:rsid w:val="39073E3A"/>
    <w:rsid w:val="39082A65"/>
    <w:rsid w:val="390865B7"/>
    <w:rsid w:val="390907B0"/>
    <w:rsid w:val="39091573"/>
    <w:rsid w:val="39092B07"/>
    <w:rsid w:val="390939CF"/>
    <w:rsid w:val="39095129"/>
    <w:rsid w:val="390A244A"/>
    <w:rsid w:val="390A2872"/>
    <w:rsid w:val="390A3A9B"/>
    <w:rsid w:val="390A65B9"/>
    <w:rsid w:val="390A6E76"/>
    <w:rsid w:val="390B0AC4"/>
    <w:rsid w:val="390B130B"/>
    <w:rsid w:val="390B6187"/>
    <w:rsid w:val="390B6DE3"/>
    <w:rsid w:val="390C022C"/>
    <w:rsid w:val="390C229A"/>
    <w:rsid w:val="390C4BEF"/>
    <w:rsid w:val="390C6314"/>
    <w:rsid w:val="390C769A"/>
    <w:rsid w:val="390D3867"/>
    <w:rsid w:val="390D48B1"/>
    <w:rsid w:val="390D653D"/>
    <w:rsid w:val="390E0B35"/>
    <w:rsid w:val="390E0EFB"/>
    <w:rsid w:val="390E3DDA"/>
    <w:rsid w:val="390E44F6"/>
    <w:rsid w:val="390F0F9B"/>
    <w:rsid w:val="390F1C37"/>
    <w:rsid w:val="390F482E"/>
    <w:rsid w:val="390F648A"/>
    <w:rsid w:val="390F72CC"/>
    <w:rsid w:val="390F73A8"/>
    <w:rsid w:val="390F7E89"/>
    <w:rsid w:val="39100CEA"/>
    <w:rsid w:val="391011E2"/>
    <w:rsid w:val="391038A6"/>
    <w:rsid w:val="3910409E"/>
    <w:rsid w:val="39106041"/>
    <w:rsid w:val="391060DB"/>
    <w:rsid w:val="3910665D"/>
    <w:rsid w:val="3910721C"/>
    <w:rsid w:val="39107A3B"/>
    <w:rsid w:val="39112E4E"/>
    <w:rsid w:val="391137A3"/>
    <w:rsid w:val="39113C01"/>
    <w:rsid w:val="39114812"/>
    <w:rsid w:val="39121A41"/>
    <w:rsid w:val="39122360"/>
    <w:rsid w:val="3912667C"/>
    <w:rsid w:val="39132DD1"/>
    <w:rsid w:val="39137979"/>
    <w:rsid w:val="39140051"/>
    <w:rsid w:val="39140BA2"/>
    <w:rsid w:val="39147127"/>
    <w:rsid w:val="3914724D"/>
    <w:rsid w:val="3914766B"/>
    <w:rsid w:val="3915462F"/>
    <w:rsid w:val="39155878"/>
    <w:rsid w:val="39156841"/>
    <w:rsid w:val="39156D3E"/>
    <w:rsid w:val="39157171"/>
    <w:rsid w:val="39161217"/>
    <w:rsid w:val="39161E77"/>
    <w:rsid w:val="3916459E"/>
    <w:rsid w:val="39167318"/>
    <w:rsid w:val="39167469"/>
    <w:rsid w:val="391758D3"/>
    <w:rsid w:val="39177242"/>
    <w:rsid w:val="39184F8F"/>
    <w:rsid w:val="39186D3D"/>
    <w:rsid w:val="391873E4"/>
    <w:rsid w:val="39190F58"/>
    <w:rsid w:val="39194863"/>
    <w:rsid w:val="39194C1E"/>
    <w:rsid w:val="39196AEA"/>
    <w:rsid w:val="39197E76"/>
    <w:rsid w:val="391A0E3D"/>
    <w:rsid w:val="391A2AB5"/>
    <w:rsid w:val="391A2D07"/>
    <w:rsid w:val="391A3543"/>
    <w:rsid w:val="391A41E7"/>
    <w:rsid w:val="391B05DB"/>
    <w:rsid w:val="391B3365"/>
    <w:rsid w:val="391B682D"/>
    <w:rsid w:val="391B688F"/>
    <w:rsid w:val="391B6B92"/>
    <w:rsid w:val="391B6D60"/>
    <w:rsid w:val="391B798C"/>
    <w:rsid w:val="391B7EC7"/>
    <w:rsid w:val="391C0B65"/>
    <w:rsid w:val="391C0ED0"/>
    <w:rsid w:val="391C2563"/>
    <w:rsid w:val="391C546D"/>
    <w:rsid w:val="391C62EA"/>
    <w:rsid w:val="391D07F7"/>
    <w:rsid w:val="391D25A6"/>
    <w:rsid w:val="391D3E4B"/>
    <w:rsid w:val="391D46A3"/>
    <w:rsid w:val="391D7376"/>
    <w:rsid w:val="391E1E7A"/>
    <w:rsid w:val="391E2573"/>
    <w:rsid w:val="391E4A2F"/>
    <w:rsid w:val="391E666A"/>
    <w:rsid w:val="391E7CAD"/>
    <w:rsid w:val="391F00CC"/>
    <w:rsid w:val="391F3187"/>
    <w:rsid w:val="391F3CCC"/>
    <w:rsid w:val="39201487"/>
    <w:rsid w:val="3920151E"/>
    <w:rsid w:val="39203E44"/>
    <w:rsid w:val="39204B91"/>
    <w:rsid w:val="39204D71"/>
    <w:rsid w:val="39204E68"/>
    <w:rsid w:val="39205BF2"/>
    <w:rsid w:val="39205D26"/>
    <w:rsid w:val="3920699C"/>
    <w:rsid w:val="39207C2A"/>
    <w:rsid w:val="392143E2"/>
    <w:rsid w:val="39217A83"/>
    <w:rsid w:val="39220378"/>
    <w:rsid w:val="39224B5A"/>
    <w:rsid w:val="39225E0E"/>
    <w:rsid w:val="39230041"/>
    <w:rsid w:val="39234E67"/>
    <w:rsid w:val="39235F90"/>
    <w:rsid w:val="39241B86"/>
    <w:rsid w:val="39242F36"/>
    <w:rsid w:val="392456E2"/>
    <w:rsid w:val="392505F0"/>
    <w:rsid w:val="3925145A"/>
    <w:rsid w:val="39253FE8"/>
    <w:rsid w:val="392561E5"/>
    <w:rsid w:val="39262D30"/>
    <w:rsid w:val="39262DD1"/>
    <w:rsid w:val="39264651"/>
    <w:rsid w:val="39266DAF"/>
    <w:rsid w:val="39267103"/>
    <w:rsid w:val="39270C34"/>
    <w:rsid w:val="392721AE"/>
    <w:rsid w:val="39272A95"/>
    <w:rsid w:val="392731FD"/>
    <w:rsid w:val="392751D2"/>
    <w:rsid w:val="39276F80"/>
    <w:rsid w:val="3927799E"/>
    <w:rsid w:val="392806B2"/>
    <w:rsid w:val="39286EF6"/>
    <w:rsid w:val="39292CF8"/>
    <w:rsid w:val="392963AC"/>
    <w:rsid w:val="39296D06"/>
    <w:rsid w:val="392A1ED6"/>
    <w:rsid w:val="392A4BFF"/>
    <w:rsid w:val="392A7B79"/>
    <w:rsid w:val="392B2E21"/>
    <w:rsid w:val="392B3A7A"/>
    <w:rsid w:val="392B58F2"/>
    <w:rsid w:val="392B7033"/>
    <w:rsid w:val="392B7ECF"/>
    <w:rsid w:val="392C17E8"/>
    <w:rsid w:val="392C4597"/>
    <w:rsid w:val="392D0554"/>
    <w:rsid w:val="392D1186"/>
    <w:rsid w:val="392D788C"/>
    <w:rsid w:val="392D7991"/>
    <w:rsid w:val="392E0314"/>
    <w:rsid w:val="392E28CC"/>
    <w:rsid w:val="392E5796"/>
    <w:rsid w:val="392F1BAD"/>
    <w:rsid w:val="392F4273"/>
    <w:rsid w:val="393002D4"/>
    <w:rsid w:val="3930052B"/>
    <w:rsid w:val="39303F36"/>
    <w:rsid w:val="39305703"/>
    <w:rsid w:val="3930586C"/>
    <w:rsid w:val="393065C8"/>
    <w:rsid w:val="393115B8"/>
    <w:rsid w:val="39316051"/>
    <w:rsid w:val="39316C72"/>
    <w:rsid w:val="393172D6"/>
    <w:rsid w:val="39317DFF"/>
    <w:rsid w:val="393236AB"/>
    <w:rsid w:val="393312FC"/>
    <w:rsid w:val="39331DC9"/>
    <w:rsid w:val="39334F5C"/>
    <w:rsid w:val="393400BB"/>
    <w:rsid w:val="3934068E"/>
    <w:rsid w:val="39341B0A"/>
    <w:rsid w:val="39352F22"/>
    <w:rsid w:val="39352FF9"/>
    <w:rsid w:val="393544FF"/>
    <w:rsid w:val="39355B41"/>
    <w:rsid w:val="393608E6"/>
    <w:rsid w:val="39361E12"/>
    <w:rsid w:val="39362A05"/>
    <w:rsid w:val="3936324D"/>
    <w:rsid w:val="393633EC"/>
    <w:rsid w:val="393636EB"/>
    <w:rsid w:val="39365415"/>
    <w:rsid w:val="393730A2"/>
    <w:rsid w:val="3937509F"/>
    <w:rsid w:val="39375EA6"/>
    <w:rsid w:val="393809D4"/>
    <w:rsid w:val="39382F3B"/>
    <w:rsid w:val="39384439"/>
    <w:rsid w:val="39384927"/>
    <w:rsid w:val="393869CC"/>
    <w:rsid w:val="393873DF"/>
    <w:rsid w:val="39392A79"/>
    <w:rsid w:val="393964C4"/>
    <w:rsid w:val="39397392"/>
    <w:rsid w:val="39397BFA"/>
    <w:rsid w:val="39397EFF"/>
    <w:rsid w:val="393A1386"/>
    <w:rsid w:val="393A1CDC"/>
    <w:rsid w:val="393A3324"/>
    <w:rsid w:val="393A332E"/>
    <w:rsid w:val="393A415E"/>
    <w:rsid w:val="393A5B72"/>
    <w:rsid w:val="393B0C7E"/>
    <w:rsid w:val="393B1BB1"/>
    <w:rsid w:val="393B1CEB"/>
    <w:rsid w:val="393B2A2C"/>
    <w:rsid w:val="393B3B99"/>
    <w:rsid w:val="393C0BCF"/>
    <w:rsid w:val="393C55B1"/>
    <w:rsid w:val="393D0552"/>
    <w:rsid w:val="393D0E49"/>
    <w:rsid w:val="393D1A78"/>
    <w:rsid w:val="393D67A4"/>
    <w:rsid w:val="393F076E"/>
    <w:rsid w:val="393F42CA"/>
    <w:rsid w:val="393F4B39"/>
    <w:rsid w:val="393F6582"/>
    <w:rsid w:val="393F786F"/>
    <w:rsid w:val="39400042"/>
    <w:rsid w:val="39400833"/>
    <w:rsid w:val="39400E36"/>
    <w:rsid w:val="394074CD"/>
    <w:rsid w:val="39410A2F"/>
    <w:rsid w:val="39411B4C"/>
    <w:rsid w:val="394144E6"/>
    <w:rsid w:val="3941493B"/>
    <w:rsid w:val="39415B3E"/>
    <w:rsid w:val="39415C15"/>
    <w:rsid w:val="3942025E"/>
    <w:rsid w:val="39420EC0"/>
    <w:rsid w:val="394250B4"/>
    <w:rsid w:val="394328B1"/>
    <w:rsid w:val="394337DE"/>
    <w:rsid w:val="39434806"/>
    <w:rsid w:val="39434D9C"/>
    <w:rsid w:val="39437DF1"/>
    <w:rsid w:val="39440A1B"/>
    <w:rsid w:val="39445D84"/>
    <w:rsid w:val="3945159A"/>
    <w:rsid w:val="3945233A"/>
    <w:rsid w:val="39457BDA"/>
    <w:rsid w:val="39460ED6"/>
    <w:rsid w:val="39461AFC"/>
    <w:rsid w:val="394629EE"/>
    <w:rsid w:val="39462A59"/>
    <w:rsid w:val="39467AF1"/>
    <w:rsid w:val="39470146"/>
    <w:rsid w:val="39470E6B"/>
    <w:rsid w:val="394752B9"/>
    <w:rsid w:val="39475874"/>
    <w:rsid w:val="39475929"/>
    <w:rsid w:val="39476F97"/>
    <w:rsid w:val="39483178"/>
    <w:rsid w:val="3948396D"/>
    <w:rsid w:val="394843D1"/>
    <w:rsid w:val="39487A17"/>
    <w:rsid w:val="394908AC"/>
    <w:rsid w:val="39490AD2"/>
    <w:rsid w:val="39492EB8"/>
    <w:rsid w:val="39495149"/>
    <w:rsid w:val="39496281"/>
    <w:rsid w:val="394974D3"/>
    <w:rsid w:val="394A0101"/>
    <w:rsid w:val="394A1057"/>
    <w:rsid w:val="394A6BD8"/>
    <w:rsid w:val="394A7335"/>
    <w:rsid w:val="394B6BF4"/>
    <w:rsid w:val="394B7113"/>
    <w:rsid w:val="394B72DD"/>
    <w:rsid w:val="394D0F3D"/>
    <w:rsid w:val="394D45F3"/>
    <w:rsid w:val="394D57C3"/>
    <w:rsid w:val="394E09B1"/>
    <w:rsid w:val="394E1BD2"/>
    <w:rsid w:val="394E275F"/>
    <w:rsid w:val="394E2E55"/>
    <w:rsid w:val="394E617D"/>
    <w:rsid w:val="394E6880"/>
    <w:rsid w:val="394E6C03"/>
    <w:rsid w:val="394F0D84"/>
    <w:rsid w:val="394F0E7D"/>
    <w:rsid w:val="394F2DFB"/>
    <w:rsid w:val="39500849"/>
    <w:rsid w:val="39502531"/>
    <w:rsid w:val="3950297B"/>
    <w:rsid w:val="39503197"/>
    <w:rsid w:val="39505FC5"/>
    <w:rsid w:val="39510CF4"/>
    <w:rsid w:val="3951224F"/>
    <w:rsid w:val="39512291"/>
    <w:rsid w:val="39515346"/>
    <w:rsid w:val="39523B49"/>
    <w:rsid w:val="3952542B"/>
    <w:rsid w:val="39526BD6"/>
    <w:rsid w:val="395356EF"/>
    <w:rsid w:val="39535FC7"/>
    <w:rsid w:val="39537D75"/>
    <w:rsid w:val="3954175E"/>
    <w:rsid w:val="39543D7D"/>
    <w:rsid w:val="39545A8F"/>
    <w:rsid w:val="3954623F"/>
    <w:rsid w:val="395465DF"/>
    <w:rsid w:val="3954716F"/>
    <w:rsid w:val="39547A45"/>
    <w:rsid w:val="39550245"/>
    <w:rsid w:val="39550B5F"/>
    <w:rsid w:val="39553AED"/>
    <w:rsid w:val="395562DD"/>
    <w:rsid w:val="39560FDC"/>
    <w:rsid w:val="39561457"/>
    <w:rsid w:val="39561614"/>
    <w:rsid w:val="39561EE2"/>
    <w:rsid w:val="3956276E"/>
    <w:rsid w:val="39565952"/>
    <w:rsid w:val="3956728A"/>
    <w:rsid w:val="39570A5F"/>
    <w:rsid w:val="39572A75"/>
    <w:rsid w:val="395739A5"/>
    <w:rsid w:val="39574BC0"/>
    <w:rsid w:val="39575531"/>
    <w:rsid w:val="39577AF7"/>
    <w:rsid w:val="3958012F"/>
    <w:rsid w:val="39581830"/>
    <w:rsid w:val="39581CCA"/>
    <w:rsid w:val="395835DE"/>
    <w:rsid w:val="39583C48"/>
    <w:rsid w:val="3958538C"/>
    <w:rsid w:val="39586BE4"/>
    <w:rsid w:val="395A01D4"/>
    <w:rsid w:val="395A0970"/>
    <w:rsid w:val="395A25EA"/>
    <w:rsid w:val="395A2C68"/>
    <w:rsid w:val="395A35E3"/>
    <w:rsid w:val="395A4E01"/>
    <w:rsid w:val="395B1E00"/>
    <w:rsid w:val="395B49D1"/>
    <w:rsid w:val="395B4E7C"/>
    <w:rsid w:val="395C21A8"/>
    <w:rsid w:val="395C23D3"/>
    <w:rsid w:val="395C3290"/>
    <w:rsid w:val="395C6941"/>
    <w:rsid w:val="395D0300"/>
    <w:rsid w:val="395D0BF4"/>
    <w:rsid w:val="395D5151"/>
    <w:rsid w:val="395D6E46"/>
    <w:rsid w:val="395E08E0"/>
    <w:rsid w:val="395E2CE2"/>
    <w:rsid w:val="395E3625"/>
    <w:rsid w:val="395F0055"/>
    <w:rsid w:val="395F4D4B"/>
    <w:rsid w:val="395F671A"/>
    <w:rsid w:val="39602492"/>
    <w:rsid w:val="396054F7"/>
    <w:rsid w:val="3960625F"/>
    <w:rsid w:val="39607EAC"/>
    <w:rsid w:val="396106E4"/>
    <w:rsid w:val="39610A9C"/>
    <w:rsid w:val="39616936"/>
    <w:rsid w:val="39620852"/>
    <w:rsid w:val="396227E8"/>
    <w:rsid w:val="3962445C"/>
    <w:rsid w:val="3962620A"/>
    <w:rsid w:val="396262C1"/>
    <w:rsid w:val="39627FB8"/>
    <w:rsid w:val="39635693"/>
    <w:rsid w:val="39643D30"/>
    <w:rsid w:val="396441F8"/>
    <w:rsid w:val="396445F3"/>
    <w:rsid w:val="396471C4"/>
    <w:rsid w:val="39653475"/>
    <w:rsid w:val="39657AA9"/>
    <w:rsid w:val="39661AC3"/>
    <w:rsid w:val="39661AE4"/>
    <w:rsid w:val="39662EF3"/>
    <w:rsid w:val="39664657"/>
    <w:rsid w:val="39665CFB"/>
    <w:rsid w:val="39666F13"/>
    <w:rsid w:val="39673821"/>
    <w:rsid w:val="39674C63"/>
    <w:rsid w:val="396756CC"/>
    <w:rsid w:val="39677580"/>
    <w:rsid w:val="39682337"/>
    <w:rsid w:val="39684383"/>
    <w:rsid w:val="39684404"/>
    <w:rsid w:val="396865DC"/>
    <w:rsid w:val="3968780F"/>
    <w:rsid w:val="39691347"/>
    <w:rsid w:val="396913EF"/>
    <w:rsid w:val="39693A3D"/>
    <w:rsid w:val="396942CC"/>
    <w:rsid w:val="39696FD5"/>
    <w:rsid w:val="39697599"/>
    <w:rsid w:val="396A1741"/>
    <w:rsid w:val="396A3B43"/>
    <w:rsid w:val="396A51A6"/>
    <w:rsid w:val="396A5B57"/>
    <w:rsid w:val="396A5D70"/>
    <w:rsid w:val="396A6380"/>
    <w:rsid w:val="396A676E"/>
    <w:rsid w:val="396B18F5"/>
    <w:rsid w:val="396B2D85"/>
    <w:rsid w:val="396B3311"/>
    <w:rsid w:val="396B5955"/>
    <w:rsid w:val="396B6680"/>
    <w:rsid w:val="396B702C"/>
    <w:rsid w:val="396C52DB"/>
    <w:rsid w:val="396D09A0"/>
    <w:rsid w:val="396D0CAC"/>
    <w:rsid w:val="396D73A6"/>
    <w:rsid w:val="396E1053"/>
    <w:rsid w:val="396E2833"/>
    <w:rsid w:val="396E3D5A"/>
    <w:rsid w:val="396E4AB8"/>
    <w:rsid w:val="396E4DD7"/>
    <w:rsid w:val="396E4E65"/>
    <w:rsid w:val="396E78A8"/>
    <w:rsid w:val="396F0EB0"/>
    <w:rsid w:val="396F26D5"/>
    <w:rsid w:val="396F5860"/>
    <w:rsid w:val="397016EE"/>
    <w:rsid w:val="39701EB1"/>
    <w:rsid w:val="39703A90"/>
    <w:rsid w:val="39707C1D"/>
    <w:rsid w:val="397100A6"/>
    <w:rsid w:val="3971469F"/>
    <w:rsid w:val="3971644D"/>
    <w:rsid w:val="397228F1"/>
    <w:rsid w:val="39725F70"/>
    <w:rsid w:val="397260DB"/>
    <w:rsid w:val="39726BAB"/>
    <w:rsid w:val="3972752D"/>
    <w:rsid w:val="397321C6"/>
    <w:rsid w:val="39732F5D"/>
    <w:rsid w:val="39736B57"/>
    <w:rsid w:val="39741662"/>
    <w:rsid w:val="39742F38"/>
    <w:rsid w:val="397440E8"/>
    <w:rsid w:val="397515E3"/>
    <w:rsid w:val="397523E2"/>
    <w:rsid w:val="39753550"/>
    <w:rsid w:val="397559C9"/>
    <w:rsid w:val="3975731E"/>
    <w:rsid w:val="3975743F"/>
    <w:rsid w:val="397578DB"/>
    <w:rsid w:val="397612FE"/>
    <w:rsid w:val="39764C71"/>
    <w:rsid w:val="39765FC0"/>
    <w:rsid w:val="39773A5A"/>
    <w:rsid w:val="39776DA8"/>
    <w:rsid w:val="39776DD2"/>
    <w:rsid w:val="39782606"/>
    <w:rsid w:val="39782681"/>
    <w:rsid w:val="39783C80"/>
    <w:rsid w:val="39785A2E"/>
    <w:rsid w:val="39786734"/>
    <w:rsid w:val="39793455"/>
    <w:rsid w:val="39794A84"/>
    <w:rsid w:val="3979779C"/>
    <w:rsid w:val="397A79F8"/>
    <w:rsid w:val="397B450F"/>
    <w:rsid w:val="397B647A"/>
    <w:rsid w:val="397B72CC"/>
    <w:rsid w:val="397C06C6"/>
    <w:rsid w:val="397C2090"/>
    <w:rsid w:val="397C33F1"/>
    <w:rsid w:val="397C3770"/>
    <w:rsid w:val="397C3D0A"/>
    <w:rsid w:val="397C551E"/>
    <w:rsid w:val="397D1296"/>
    <w:rsid w:val="397D3044"/>
    <w:rsid w:val="397D62B9"/>
    <w:rsid w:val="397E1517"/>
    <w:rsid w:val="397E2D4D"/>
    <w:rsid w:val="397E43DB"/>
    <w:rsid w:val="397E5B46"/>
    <w:rsid w:val="397F0EC8"/>
    <w:rsid w:val="397F3261"/>
    <w:rsid w:val="397F3AF5"/>
    <w:rsid w:val="397F3DCC"/>
    <w:rsid w:val="397F500E"/>
    <w:rsid w:val="397F71AB"/>
    <w:rsid w:val="39803C62"/>
    <w:rsid w:val="39805477"/>
    <w:rsid w:val="39805539"/>
    <w:rsid w:val="39810D86"/>
    <w:rsid w:val="3981182F"/>
    <w:rsid w:val="39812B34"/>
    <w:rsid w:val="39815B0D"/>
    <w:rsid w:val="39816604"/>
    <w:rsid w:val="398203AB"/>
    <w:rsid w:val="3982065B"/>
    <w:rsid w:val="39820D4E"/>
    <w:rsid w:val="39820FA3"/>
    <w:rsid w:val="398239B2"/>
    <w:rsid w:val="398268AC"/>
    <w:rsid w:val="398269A0"/>
    <w:rsid w:val="39830040"/>
    <w:rsid w:val="398312AC"/>
    <w:rsid w:val="39833122"/>
    <w:rsid w:val="39840991"/>
    <w:rsid w:val="3984196B"/>
    <w:rsid w:val="3984249C"/>
    <w:rsid w:val="398443D3"/>
    <w:rsid w:val="39846181"/>
    <w:rsid w:val="3985086C"/>
    <w:rsid w:val="39852BFB"/>
    <w:rsid w:val="39852EE5"/>
    <w:rsid w:val="398557D0"/>
    <w:rsid w:val="3986273A"/>
    <w:rsid w:val="39864EA1"/>
    <w:rsid w:val="398654C9"/>
    <w:rsid w:val="398664FD"/>
    <w:rsid w:val="3986798D"/>
    <w:rsid w:val="39872B7F"/>
    <w:rsid w:val="39873183"/>
    <w:rsid w:val="39873EC3"/>
    <w:rsid w:val="39875E4B"/>
    <w:rsid w:val="39876E5C"/>
    <w:rsid w:val="39882115"/>
    <w:rsid w:val="39884621"/>
    <w:rsid w:val="398870D1"/>
    <w:rsid w:val="39887B30"/>
    <w:rsid w:val="39890596"/>
    <w:rsid w:val="398919E9"/>
    <w:rsid w:val="39893797"/>
    <w:rsid w:val="39895044"/>
    <w:rsid w:val="39896090"/>
    <w:rsid w:val="3989623C"/>
    <w:rsid w:val="39896D61"/>
    <w:rsid w:val="3989731F"/>
    <w:rsid w:val="39897DA4"/>
    <w:rsid w:val="398A2E3C"/>
    <w:rsid w:val="398A630E"/>
    <w:rsid w:val="398A6320"/>
    <w:rsid w:val="398B08A1"/>
    <w:rsid w:val="398B08C8"/>
    <w:rsid w:val="398B39B3"/>
    <w:rsid w:val="398C3287"/>
    <w:rsid w:val="398C3F0D"/>
    <w:rsid w:val="398C4772"/>
    <w:rsid w:val="398C6DE7"/>
    <w:rsid w:val="398D014E"/>
    <w:rsid w:val="398D63D0"/>
    <w:rsid w:val="398E039A"/>
    <w:rsid w:val="398E34A3"/>
    <w:rsid w:val="398E5251"/>
    <w:rsid w:val="398E5F0F"/>
    <w:rsid w:val="398F0CF0"/>
    <w:rsid w:val="398F3129"/>
    <w:rsid w:val="398F4F6D"/>
    <w:rsid w:val="398F56A4"/>
    <w:rsid w:val="398F5EFB"/>
    <w:rsid w:val="39901237"/>
    <w:rsid w:val="39902180"/>
    <w:rsid w:val="39902D77"/>
    <w:rsid w:val="39904B26"/>
    <w:rsid w:val="3991089E"/>
    <w:rsid w:val="399127D5"/>
    <w:rsid w:val="39913610"/>
    <w:rsid w:val="399139DC"/>
    <w:rsid w:val="399161E1"/>
    <w:rsid w:val="39916577"/>
    <w:rsid w:val="39920C75"/>
    <w:rsid w:val="399212E2"/>
    <w:rsid w:val="399218BB"/>
    <w:rsid w:val="39924D42"/>
    <w:rsid w:val="39925538"/>
    <w:rsid w:val="39925E0A"/>
    <w:rsid w:val="39927671"/>
    <w:rsid w:val="39930025"/>
    <w:rsid w:val="39930B01"/>
    <w:rsid w:val="39931D87"/>
    <w:rsid w:val="3993518D"/>
    <w:rsid w:val="39940401"/>
    <w:rsid w:val="399412BA"/>
    <w:rsid w:val="3994435A"/>
    <w:rsid w:val="3995038E"/>
    <w:rsid w:val="39950CF3"/>
    <w:rsid w:val="399532B3"/>
    <w:rsid w:val="39953421"/>
    <w:rsid w:val="39956132"/>
    <w:rsid w:val="39956186"/>
    <w:rsid w:val="399565E0"/>
    <w:rsid w:val="399625BB"/>
    <w:rsid w:val="39962654"/>
    <w:rsid w:val="39965EB4"/>
    <w:rsid w:val="399676E7"/>
    <w:rsid w:val="39972358"/>
    <w:rsid w:val="39973243"/>
    <w:rsid w:val="39974106"/>
    <w:rsid w:val="39975EF6"/>
    <w:rsid w:val="3997657F"/>
    <w:rsid w:val="39977B7F"/>
    <w:rsid w:val="39982769"/>
    <w:rsid w:val="399860D0"/>
    <w:rsid w:val="39987E7E"/>
    <w:rsid w:val="39991DD2"/>
    <w:rsid w:val="39992F45"/>
    <w:rsid w:val="39994B1E"/>
    <w:rsid w:val="39994C17"/>
    <w:rsid w:val="399971D0"/>
    <w:rsid w:val="399A0ED9"/>
    <w:rsid w:val="399A1116"/>
    <w:rsid w:val="399A2EF7"/>
    <w:rsid w:val="399A59A4"/>
    <w:rsid w:val="399A5E03"/>
    <w:rsid w:val="399B1E64"/>
    <w:rsid w:val="399B2724"/>
    <w:rsid w:val="399C1237"/>
    <w:rsid w:val="399C171C"/>
    <w:rsid w:val="399C2F00"/>
    <w:rsid w:val="399C32F4"/>
    <w:rsid w:val="399C4350"/>
    <w:rsid w:val="399C601E"/>
    <w:rsid w:val="399C7BCB"/>
    <w:rsid w:val="399D36E6"/>
    <w:rsid w:val="399D5494"/>
    <w:rsid w:val="399E50CB"/>
    <w:rsid w:val="399E590D"/>
    <w:rsid w:val="399E71A4"/>
    <w:rsid w:val="399F07E5"/>
    <w:rsid w:val="399F0DB5"/>
    <w:rsid w:val="399F2FBB"/>
    <w:rsid w:val="399F3D26"/>
    <w:rsid w:val="399F745E"/>
    <w:rsid w:val="39A00F5D"/>
    <w:rsid w:val="39A04595"/>
    <w:rsid w:val="39A045C0"/>
    <w:rsid w:val="39A04EA6"/>
    <w:rsid w:val="39A07392"/>
    <w:rsid w:val="39A11D24"/>
    <w:rsid w:val="39A12136"/>
    <w:rsid w:val="39A12B90"/>
    <w:rsid w:val="39A131D7"/>
    <w:rsid w:val="39A13B17"/>
    <w:rsid w:val="39A148C7"/>
    <w:rsid w:val="39A14F85"/>
    <w:rsid w:val="39A15A94"/>
    <w:rsid w:val="39A16D33"/>
    <w:rsid w:val="39A210F1"/>
    <w:rsid w:val="39A22AAB"/>
    <w:rsid w:val="39A358AE"/>
    <w:rsid w:val="39A36C8A"/>
    <w:rsid w:val="39A405D1"/>
    <w:rsid w:val="39A41B5C"/>
    <w:rsid w:val="39A46823"/>
    <w:rsid w:val="39A5191A"/>
    <w:rsid w:val="39A55539"/>
    <w:rsid w:val="39A607ED"/>
    <w:rsid w:val="39A66A16"/>
    <w:rsid w:val="39A700C1"/>
    <w:rsid w:val="39A779CF"/>
    <w:rsid w:val="39A82526"/>
    <w:rsid w:val="39A82FD8"/>
    <w:rsid w:val="39A8517C"/>
    <w:rsid w:val="39A9208B"/>
    <w:rsid w:val="39A93AB3"/>
    <w:rsid w:val="39A95BE7"/>
    <w:rsid w:val="39AA2340"/>
    <w:rsid w:val="39AA32C7"/>
    <w:rsid w:val="39AA3DDC"/>
    <w:rsid w:val="39AA4B70"/>
    <w:rsid w:val="39AA5E8B"/>
    <w:rsid w:val="39AA6EA1"/>
    <w:rsid w:val="39AA76BA"/>
    <w:rsid w:val="39AB184E"/>
    <w:rsid w:val="39AB4C98"/>
    <w:rsid w:val="39AB4D70"/>
    <w:rsid w:val="39AB601D"/>
    <w:rsid w:val="39AB7BB1"/>
    <w:rsid w:val="39AC56D7"/>
    <w:rsid w:val="39AC5976"/>
    <w:rsid w:val="39AC7F28"/>
    <w:rsid w:val="39AD132C"/>
    <w:rsid w:val="39AD1B7B"/>
    <w:rsid w:val="39AD3929"/>
    <w:rsid w:val="39AD61D9"/>
    <w:rsid w:val="39AD741F"/>
    <w:rsid w:val="39AE0442"/>
    <w:rsid w:val="39AE1450"/>
    <w:rsid w:val="39AE377C"/>
    <w:rsid w:val="39AE519F"/>
    <w:rsid w:val="39AE5740"/>
    <w:rsid w:val="39AF176A"/>
    <w:rsid w:val="39AF52F0"/>
    <w:rsid w:val="39AF566B"/>
    <w:rsid w:val="39AF5C4B"/>
    <w:rsid w:val="39AF6354"/>
    <w:rsid w:val="39B0341A"/>
    <w:rsid w:val="39B034EC"/>
    <w:rsid w:val="39B07B51"/>
    <w:rsid w:val="39B12CEE"/>
    <w:rsid w:val="39B17DC4"/>
    <w:rsid w:val="39B221C2"/>
    <w:rsid w:val="39B22F90"/>
    <w:rsid w:val="39B23C7E"/>
    <w:rsid w:val="39B27192"/>
    <w:rsid w:val="39B31E84"/>
    <w:rsid w:val="39B323AD"/>
    <w:rsid w:val="39B32F0A"/>
    <w:rsid w:val="39B33D98"/>
    <w:rsid w:val="39B41A8C"/>
    <w:rsid w:val="39B424A0"/>
    <w:rsid w:val="39B45E40"/>
    <w:rsid w:val="39B50A30"/>
    <w:rsid w:val="39B51797"/>
    <w:rsid w:val="39B52A0B"/>
    <w:rsid w:val="39B5560E"/>
    <w:rsid w:val="39B60304"/>
    <w:rsid w:val="39B61836"/>
    <w:rsid w:val="39B61DFD"/>
    <w:rsid w:val="39B621B6"/>
    <w:rsid w:val="39B63A8C"/>
    <w:rsid w:val="39B64D96"/>
    <w:rsid w:val="39B70A77"/>
    <w:rsid w:val="39B7356C"/>
    <w:rsid w:val="39B7532B"/>
    <w:rsid w:val="39B757F3"/>
    <w:rsid w:val="39B75ADD"/>
    <w:rsid w:val="39B75B34"/>
    <w:rsid w:val="39B76556"/>
    <w:rsid w:val="39B80206"/>
    <w:rsid w:val="39B822CE"/>
    <w:rsid w:val="39B829DE"/>
    <w:rsid w:val="39B8407C"/>
    <w:rsid w:val="39B90520"/>
    <w:rsid w:val="39B90FF3"/>
    <w:rsid w:val="39B9485F"/>
    <w:rsid w:val="39BA0110"/>
    <w:rsid w:val="39BA1A5F"/>
    <w:rsid w:val="39BA1BA2"/>
    <w:rsid w:val="39BA4298"/>
    <w:rsid w:val="39BA530F"/>
    <w:rsid w:val="39BA6046"/>
    <w:rsid w:val="39BA74CD"/>
    <w:rsid w:val="39BA7DF4"/>
    <w:rsid w:val="39BB0814"/>
    <w:rsid w:val="39BB5EDB"/>
    <w:rsid w:val="39BB687D"/>
    <w:rsid w:val="39BB7201"/>
    <w:rsid w:val="39BB7D0D"/>
    <w:rsid w:val="39BC119D"/>
    <w:rsid w:val="39BC1F3F"/>
    <w:rsid w:val="39BC2B3F"/>
    <w:rsid w:val="39BC3B6C"/>
    <w:rsid w:val="39BC591B"/>
    <w:rsid w:val="39BC7266"/>
    <w:rsid w:val="39BD06F3"/>
    <w:rsid w:val="39BD1104"/>
    <w:rsid w:val="39BD1693"/>
    <w:rsid w:val="39BD3D6E"/>
    <w:rsid w:val="39BD78E5"/>
    <w:rsid w:val="39BE11F8"/>
    <w:rsid w:val="39BE5B37"/>
    <w:rsid w:val="39BF0A67"/>
    <w:rsid w:val="39BF109D"/>
    <w:rsid w:val="39BF18AF"/>
    <w:rsid w:val="39BF365D"/>
    <w:rsid w:val="39BF561B"/>
    <w:rsid w:val="39C01934"/>
    <w:rsid w:val="39C01E3E"/>
    <w:rsid w:val="39C04C70"/>
    <w:rsid w:val="39C04F07"/>
    <w:rsid w:val="39C106AD"/>
    <w:rsid w:val="39C11CD5"/>
    <w:rsid w:val="39C124F5"/>
    <w:rsid w:val="39C12F31"/>
    <w:rsid w:val="39C13AB9"/>
    <w:rsid w:val="39C14F3F"/>
    <w:rsid w:val="39C15FE6"/>
    <w:rsid w:val="39C23909"/>
    <w:rsid w:val="39C2500F"/>
    <w:rsid w:val="39C27C0B"/>
    <w:rsid w:val="39C308F7"/>
    <w:rsid w:val="39C3314D"/>
    <w:rsid w:val="39C35344"/>
    <w:rsid w:val="39C3649F"/>
    <w:rsid w:val="39C37BD4"/>
    <w:rsid w:val="39C41070"/>
    <w:rsid w:val="39C412D6"/>
    <w:rsid w:val="39C438AC"/>
    <w:rsid w:val="39C457DC"/>
    <w:rsid w:val="39C46EC5"/>
    <w:rsid w:val="39C47659"/>
    <w:rsid w:val="39C576F9"/>
    <w:rsid w:val="39C62C3D"/>
    <w:rsid w:val="39C633E8"/>
    <w:rsid w:val="39C63426"/>
    <w:rsid w:val="39C66799"/>
    <w:rsid w:val="39C67C99"/>
    <w:rsid w:val="39C701AB"/>
    <w:rsid w:val="39C72511"/>
    <w:rsid w:val="39C742BF"/>
    <w:rsid w:val="39C74432"/>
    <w:rsid w:val="39C804E4"/>
    <w:rsid w:val="39C8126C"/>
    <w:rsid w:val="39C836E4"/>
    <w:rsid w:val="39C867C6"/>
    <w:rsid w:val="39C90037"/>
    <w:rsid w:val="39C92CBF"/>
    <w:rsid w:val="39C944DB"/>
    <w:rsid w:val="39C94598"/>
    <w:rsid w:val="39C96289"/>
    <w:rsid w:val="39CA4792"/>
    <w:rsid w:val="39CB2002"/>
    <w:rsid w:val="39CB3557"/>
    <w:rsid w:val="39CB3D50"/>
    <w:rsid w:val="39CB3DB0"/>
    <w:rsid w:val="39CB5ECF"/>
    <w:rsid w:val="39CB6F58"/>
    <w:rsid w:val="39CC2D05"/>
    <w:rsid w:val="39CC2F55"/>
    <w:rsid w:val="39CC3B9C"/>
    <w:rsid w:val="39CC5DFF"/>
    <w:rsid w:val="39CD1B39"/>
    <w:rsid w:val="39CD2CD2"/>
    <w:rsid w:val="39CD335E"/>
    <w:rsid w:val="39CD3FCC"/>
    <w:rsid w:val="39CD5D7A"/>
    <w:rsid w:val="39CD6B6C"/>
    <w:rsid w:val="39CD7B28"/>
    <w:rsid w:val="39CE2C2C"/>
    <w:rsid w:val="39CE2C53"/>
    <w:rsid w:val="39CE38A0"/>
    <w:rsid w:val="39CE39BF"/>
    <w:rsid w:val="39CF2452"/>
    <w:rsid w:val="39CF4704"/>
    <w:rsid w:val="39D013C6"/>
    <w:rsid w:val="39D0586A"/>
    <w:rsid w:val="39D07618"/>
    <w:rsid w:val="39D10AA3"/>
    <w:rsid w:val="39D117B5"/>
    <w:rsid w:val="39D13394"/>
    <w:rsid w:val="39D1799D"/>
    <w:rsid w:val="39D231F8"/>
    <w:rsid w:val="39D2327E"/>
    <w:rsid w:val="39D23390"/>
    <w:rsid w:val="39D24B04"/>
    <w:rsid w:val="39D2513E"/>
    <w:rsid w:val="39D2516B"/>
    <w:rsid w:val="39D25228"/>
    <w:rsid w:val="39D30EB6"/>
    <w:rsid w:val="39D31885"/>
    <w:rsid w:val="39D3250B"/>
    <w:rsid w:val="39D32872"/>
    <w:rsid w:val="39D32C64"/>
    <w:rsid w:val="39D340A8"/>
    <w:rsid w:val="39D367AF"/>
    <w:rsid w:val="39D4110F"/>
    <w:rsid w:val="39D42485"/>
    <w:rsid w:val="39D4419F"/>
    <w:rsid w:val="39D4535A"/>
    <w:rsid w:val="39D45B04"/>
    <w:rsid w:val="39D46ADE"/>
    <w:rsid w:val="39D527AF"/>
    <w:rsid w:val="39D53485"/>
    <w:rsid w:val="39D557BD"/>
    <w:rsid w:val="39D569DC"/>
    <w:rsid w:val="39D60E50"/>
    <w:rsid w:val="39D64A9C"/>
    <w:rsid w:val="39D65E2E"/>
    <w:rsid w:val="39D70A68"/>
    <w:rsid w:val="39D71BEA"/>
    <w:rsid w:val="39D73000"/>
    <w:rsid w:val="39D76BF8"/>
    <w:rsid w:val="39D81E23"/>
    <w:rsid w:val="39D825D7"/>
    <w:rsid w:val="39D82FFD"/>
    <w:rsid w:val="39D85D05"/>
    <w:rsid w:val="39D864CC"/>
    <w:rsid w:val="39D87235"/>
    <w:rsid w:val="39D910A6"/>
    <w:rsid w:val="39D918F7"/>
    <w:rsid w:val="39D92970"/>
    <w:rsid w:val="39D93A92"/>
    <w:rsid w:val="39D93E8A"/>
    <w:rsid w:val="39D95EEF"/>
    <w:rsid w:val="39D9789D"/>
    <w:rsid w:val="39DA3FF3"/>
    <w:rsid w:val="39DA5F5D"/>
    <w:rsid w:val="39DA7B29"/>
    <w:rsid w:val="39DB4726"/>
    <w:rsid w:val="39DB6A1A"/>
    <w:rsid w:val="39DC14BB"/>
    <w:rsid w:val="39DC5228"/>
    <w:rsid w:val="39DC5FBD"/>
    <w:rsid w:val="39DD29C2"/>
    <w:rsid w:val="39DD75AD"/>
    <w:rsid w:val="39DE7F87"/>
    <w:rsid w:val="39DF11DA"/>
    <w:rsid w:val="39DF26D7"/>
    <w:rsid w:val="39DF32B6"/>
    <w:rsid w:val="39DF3CFF"/>
    <w:rsid w:val="39DF5C78"/>
    <w:rsid w:val="39DF7686"/>
    <w:rsid w:val="39DF785B"/>
    <w:rsid w:val="39E11358"/>
    <w:rsid w:val="39E11825"/>
    <w:rsid w:val="39E11A28"/>
    <w:rsid w:val="39E1201D"/>
    <w:rsid w:val="39E135D3"/>
    <w:rsid w:val="39E14B70"/>
    <w:rsid w:val="39E15381"/>
    <w:rsid w:val="39E21C06"/>
    <w:rsid w:val="39E23581"/>
    <w:rsid w:val="39E3190F"/>
    <w:rsid w:val="39E33963"/>
    <w:rsid w:val="39E35A89"/>
    <w:rsid w:val="39E35AAC"/>
    <w:rsid w:val="39E41315"/>
    <w:rsid w:val="39E430C3"/>
    <w:rsid w:val="39E44E71"/>
    <w:rsid w:val="39E5712A"/>
    <w:rsid w:val="39E6516D"/>
    <w:rsid w:val="39E71F0E"/>
    <w:rsid w:val="39E71F26"/>
    <w:rsid w:val="39E76048"/>
    <w:rsid w:val="39E76710"/>
    <w:rsid w:val="39E82BB3"/>
    <w:rsid w:val="39E83204"/>
    <w:rsid w:val="39E9096D"/>
    <w:rsid w:val="39E918A9"/>
    <w:rsid w:val="39E91ACB"/>
    <w:rsid w:val="39E92488"/>
    <w:rsid w:val="39E92572"/>
    <w:rsid w:val="39E9345E"/>
    <w:rsid w:val="39E9692C"/>
    <w:rsid w:val="39E97C39"/>
    <w:rsid w:val="39EA164A"/>
    <w:rsid w:val="39EA2D41"/>
    <w:rsid w:val="39EA4ECB"/>
    <w:rsid w:val="39EB180C"/>
    <w:rsid w:val="39EB3846"/>
    <w:rsid w:val="39EB4452"/>
    <w:rsid w:val="39EB6200"/>
    <w:rsid w:val="39EB64E4"/>
    <w:rsid w:val="39EC027C"/>
    <w:rsid w:val="39EC61A9"/>
    <w:rsid w:val="39EC6DDF"/>
    <w:rsid w:val="39ED01CA"/>
    <w:rsid w:val="39ED4E8A"/>
    <w:rsid w:val="39ED7FCB"/>
    <w:rsid w:val="39EE4A7A"/>
    <w:rsid w:val="39EE5A89"/>
    <w:rsid w:val="39EE5CF0"/>
    <w:rsid w:val="39EE6725"/>
    <w:rsid w:val="39EE7A9E"/>
    <w:rsid w:val="39EF04FE"/>
    <w:rsid w:val="39EF63D2"/>
    <w:rsid w:val="39F01DA7"/>
    <w:rsid w:val="39F02644"/>
    <w:rsid w:val="39F03582"/>
    <w:rsid w:val="39F03DFD"/>
    <w:rsid w:val="39F0626A"/>
    <w:rsid w:val="39F07CBA"/>
    <w:rsid w:val="39F11721"/>
    <w:rsid w:val="39F13FEE"/>
    <w:rsid w:val="39F1478A"/>
    <w:rsid w:val="39F14AB6"/>
    <w:rsid w:val="39F14D35"/>
    <w:rsid w:val="39F20C9A"/>
    <w:rsid w:val="39F21CD8"/>
    <w:rsid w:val="39F23EC7"/>
    <w:rsid w:val="39F257E0"/>
    <w:rsid w:val="39F27012"/>
    <w:rsid w:val="39F3153D"/>
    <w:rsid w:val="39F327AF"/>
    <w:rsid w:val="39F33E3D"/>
    <w:rsid w:val="39F350B4"/>
    <w:rsid w:val="39F35D9A"/>
    <w:rsid w:val="39F37141"/>
    <w:rsid w:val="39F41558"/>
    <w:rsid w:val="39F42729"/>
    <w:rsid w:val="39F437B1"/>
    <w:rsid w:val="39F50E2C"/>
    <w:rsid w:val="39F5221B"/>
    <w:rsid w:val="39F528CB"/>
    <w:rsid w:val="39F5707E"/>
    <w:rsid w:val="39F571E0"/>
    <w:rsid w:val="39F57E9E"/>
    <w:rsid w:val="39F63EFF"/>
    <w:rsid w:val="39F66BAC"/>
    <w:rsid w:val="39F66D47"/>
    <w:rsid w:val="39F70003"/>
    <w:rsid w:val="39F71049"/>
    <w:rsid w:val="39F723CF"/>
    <w:rsid w:val="39F727BE"/>
    <w:rsid w:val="39F72DF7"/>
    <w:rsid w:val="39F732CE"/>
    <w:rsid w:val="39F75D08"/>
    <w:rsid w:val="39F76011"/>
    <w:rsid w:val="39F8333B"/>
    <w:rsid w:val="39F8436F"/>
    <w:rsid w:val="39F8499A"/>
    <w:rsid w:val="39F84B43"/>
    <w:rsid w:val="39F86543"/>
    <w:rsid w:val="39F8681F"/>
    <w:rsid w:val="39F901C1"/>
    <w:rsid w:val="39F9402B"/>
    <w:rsid w:val="39F97D38"/>
    <w:rsid w:val="39FA0A8E"/>
    <w:rsid w:val="39FA1197"/>
    <w:rsid w:val="39FA1323"/>
    <w:rsid w:val="39FA2880"/>
    <w:rsid w:val="39FA28E7"/>
    <w:rsid w:val="39FA2EA8"/>
    <w:rsid w:val="39FA3DA9"/>
    <w:rsid w:val="39FA4695"/>
    <w:rsid w:val="39FA5E2E"/>
    <w:rsid w:val="39FA6754"/>
    <w:rsid w:val="39FA711D"/>
    <w:rsid w:val="39FB0473"/>
    <w:rsid w:val="39FB0497"/>
    <w:rsid w:val="39FB25CF"/>
    <w:rsid w:val="39FB51A0"/>
    <w:rsid w:val="39FB6819"/>
    <w:rsid w:val="39FC4997"/>
    <w:rsid w:val="39FC665F"/>
    <w:rsid w:val="39FD074A"/>
    <w:rsid w:val="39FD1289"/>
    <w:rsid w:val="39FD3B32"/>
    <w:rsid w:val="39FD589D"/>
    <w:rsid w:val="39FD5F33"/>
    <w:rsid w:val="39FD68D2"/>
    <w:rsid w:val="39FE23D7"/>
    <w:rsid w:val="39FE3CF3"/>
    <w:rsid w:val="39FE4185"/>
    <w:rsid w:val="39FE432E"/>
    <w:rsid w:val="39FE4C20"/>
    <w:rsid w:val="39FF15B7"/>
    <w:rsid w:val="39FF1C0C"/>
    <w:rsid w:val="39FF1CAB"/>
    <w:rsid w:val="39FF2BC7"/>
    <w:rsid w:val="39FF65D2"/>
    <w:rsid w:val="39FF6EFD"/>
    <w:rsid w:val="39FF79BB"/>
    <w:rsid w:val="39FF7EFD"/>
    <w:rsid w:val="3A0015C8"/>
    <w:rsid w:val="3A002F45"/>
    <w:rsid w:val="3A003C32"/>
    <w:rsid w:val="3A00614F"/>
    <w:rsid w:val="3A0075A8"/>
    <w:rsid w:val="3A007B82"/>
    <w:rsid w:val="3A0121A8"/>
    <w:rsid w:val="3A0133B4"/>
    <w:rsid w:val="3A015A23"/>
    <w:rsid w:val="3A0177D1"/>
    <w:rsid w:val="3A02005A"/>
    <w:rsid w:val="3A024410"/>
    <w:rsid w:val="3A024922"/>
    <w:rsid w:val="3A024ED2"/>
    <w:rsid w:val="3A0254F3"/>
    <w:rsid w:val="3A025A4C"/>
    <w:rsid w:val="3A0278D1"/>
    <w:rsid w:val="3A027DA4"/>
    <w:rsid w:val="3A030BF0"/>
    <w:rsid w:val="3A03112B"/>
    <w:rsid w:val="3A0311AE"/>
    <w:rsid w:val="3A032B6B"/>
    <w:rsid w:val="3A033549"/>
    <w:rsid w:val="3A033A7D"/>
    <w:rsid w:val="3A0341D1"/>
    <w:rsid w:val="3A0379ED"/>
    <w:rsid w:val="3A0454A8"/>
    <w:rsid w:val="3A045513"/>
    <w:rsid w:val="3A046706"/>
    <w:rsid w:val="3A05014E"/>
    <w:rsid w:val="3A053149"/>
    <w:rsid w:val="3A054A84"/>
    <w:rsid w:val="3A057791"/>
    <w:rsid w:val="3A06128C"/>
    <w:rsid w:val="3A06303A"/>
    <w:rsid w:val="3A0722A8"/>
    <w:rsid w:val="3A073131"/>
    <w:rsid w:val="3A077147"/>
    <w:rsid w:val="3A080B60"/>
    <w:rsid w:val="3A080BE1"/>
    <w:rsid w:val="3A0830F7"/>
    <w:rsid w:val="3A084BD3"/>
    <w:rsid w:val="3A086D13"/>
    <w:rsid w:val="3A0873D7"/>
    <w:rsid w:val="3A0915BB"/>
    <w:rsid w:val="3A0919FD"/>
    <w:rsid w:val="3A092B2A"/>
    <w:rsid w:val="3A093929"/>
    <w:rsid w:val="3A0948D8"/>
    <w:rsid w:val="3A0967ED"/>
    <w:rsid w:val="3A0A0D7C"/>
    <w:rsid w:val="3A0A2CF1"/>
    <w:rsid w:val="3A0B0650"/>
    <w:rsid w:val="3A0B3349"/>
    <w:rsid w:val="3A0B4AF4"/>
    <w:rsid w:val="3A0B648C"/>
    <w:rsid w:val="3A0B68A2"/>
    <w:rsid w:val="3A0C0EAD"/>
    <w:rsid w:val="3A0C4E41"/>
    <w:rsid w:val="3A0D3122"/>
    <w:rsid w:val="3A0D3E73"/>
    <w:rsid w:val="3A0D43C8"/>
    <w:rsid w:val="3A0D6176"/>
    <w:rsid w:val="3A0E0B18"/>
    <w:rsid w:val="3A0E4858"/>
    <w:rsid w:val="3A0E7517"/>
    <w:rsid w:val="3A0F0047"/>
    <w:rsid w:val="3A0F4AA5"/>
    <w:rsid w:val="3A0F6392"/>
    <w:rsid w:val="3A10210A"/>
    <w:rsid w:val="3A103EB8"/>
    <w:rsid w:val="3A105C66"/>
    <w:rsid w:val="3A107E10"/>
    <w:rsid w:val="3A113ED9"/>
    <w:rsid w:val="3A1143E7"/>
    <w:rsid w:val="3A120468"/>
    <w:rsid w:val="3A1219DE"/>
    <w:rsid w:val="3A121FBA"/>
    <w:rsid w:val="3A12378C"/>
    <w:rsid w:val="3A125175"/>
    <w:rsid w:val="3A125E82"/>
    <w:rsid w:val="3A127C30"/>
    <w:rsid w:val="3A133427"/>
    <w:rsid w:val="3A13361D"/>
    <w:rsid w:val="3A13387E"/>
    <w:rsid w:val="3A13455C"/>
    <w:rsid w:val="3A137505"/>
    <w:rsid w:val="3A1443CF"/>
    <w:rsid w:val="3A145DEA"/>
    <w:rsid w:val="3A1473EC"/>
    <w:rsid w:val="3A1514CF"/>
    <w:rsid w:val="3A157721"/>
    <w:rsid w:val="3A160918"/>
    <w:rsid w:val="3A160B12"/>
    <w:rsid w:val="3A173499"/>
    <w:rsid w:val="3A17403D"/>
    <w:rsid w:val="3A174E3F"/>
    <w:rsid w:val="3A175247"/>
    <w:rsid w:val="3A176E14"/>
    <w:rsid w:val="3A1770A2"/>
    <w:rsid w:val="3A182F97"/>
    <w:rsid w:val="3A1846C8"/>
    <w:rsid w:val="3A185E09"/>
    <w:rsid w:val="3A190FBF"/>
    <w:rsid w:val="3A192D6D"/>
    <w:rsid w:val="3A193A1F"/>
    <w:rsid w:val="3A195092"/>
    <w:rsid w:val="3A19597F"/>
    <w:rsid w:val="3A195B58"/>
    <w:rsid w:val="3A197299"/>
    <w:rsid w:val="3A1A0893"/>
    <w:rsid w:val="3A1A0B2C"/>
    <w:rsid w:val="3A1A4C10"/>
    <w:rsid w:val="3A1A5840"/>
    <w:rsid w:val="3A1A6AE5"/>
    <w:rsid w:val="3A1B1974"/>
    <w:rsid w:val="3A1B1BB9"/>
    <w:rsid w:val="3A1B4551"/>
    <w:rsid w:val="3A1B470B"/>
    <w:rsid w:val="3A1B7DB2"/>
    <w:rsid w:val="3A1C0AAF"/>
    <w:rsid w:val="3A1D36A2"/>
    <w:rsid w:val="3A1D5794"/>
    <w:rsid w:val="3A1E0383"/>
    <w:rsid w:val="3A1E053A"/>
    <w:rsid w:val="3A1E149D"/>
    <w:rsid w:val="3A1E4827"/>
    <w:rsid w:val="3A1E65D5"/>
    <w:rsid w:val="3A1F234D"/>
    <w:rsid w:val="3A1F40FB"/>
    <w:rsid w:val="3A1F7EE6"/>
    <w:rsid w:val="3A20368D"/>
    <w:rsid w:val="3A211C22"/>
    <w:rsid w:val="3A2160C5"/>
    <w:rsid w:val="3A216E4E"/>
    <w:rsid w:val="3A217BF7"/>
    <w:rsid w:val="3A221A8C"/>
    <w:rsid w:val="3A2233BC"/>
    <w:rsid w:val="3A2233F3"/>
    <w:rsid w:val="3A22720D"/>
    <w:rsid w:val="3A230394"/>
    <w:rsid w:val="3A2304C3"/>
    <w:rsid w:val="3A2319B1"/>
    <w:rsid w:val="3A231E3E"/>
    <w:rsid w:val="3A233BEC"/>
    <w:rsid w:val="3A241712"/>
    <w:rsid w:val="3A241FDC"/>
    <w:rsid w:val="3A24449B"/>
    <w:rsid w:val="3A24468E"/>
    <w:rsid w:val="3A246BDD"/>
    <w:rsid w:val="3A251839"/>
    <w:rsid w:val="3A253467"/>
    <w:rsid w:val="3A255BB6"/>
    <w:rsid w:val="3A25798F"/>
    <w:rsid w:val="3A2636DC"/>
    <w:rsid w:val="3A263E74"/>
    <w:rsid w:val="3A26548A"/>
    <w:rsid w:val="3A265C1F"/>
    <w:rsid w:val="3A267238"/>
    <w:rsid w:val="3A272146"/>
    <w:rsid w:val="3A2725E9"/>
    <w:rsid w:val="3A276A8E"/>
    <w:rsid w:val="3A281202"/>
    <w:rsid w:val="3A283C5B"/>
    <w:rsid w:val="3A293470"/>
    <w:rsid w:val="3A29564D"/>
    <w:rsid w:val="3A2A0943"/>
    <w:rsid w:val="3A2A2B7D"/>
    <w:rsid w:val="3A2A31CC"/>
    <w:rsid w:val="3A2A4024"/>
    <w:rsid w:val="3A2A5D4C"/>
    <w:rsid w:val="3A2A64BC"/>
    <w:rsid w:val="3A2B3FF4"/>
    <w:rsid w:val="3A2B43ED"/>
    <w:rsid w:val="3A2B484E"/>
    <w:rsid w:val="3A2B6F44"/>
    <w:rsid w:val="3A2B7F6D"/>
    <w:rsid w:val="3A2C570F"/>
    <w:rsid w:val="3A2D05C6"/>
    <w:rsid w:val="3A2D0C17"/>
    <w:rsid w:val="3A2D155F"/>
    <w:rsid w:val="3A2D228B"/>
    <w:rsid w:val="3A2D4229"/>
    <w:rsid w:val="3A2D4A6A"/>
    <w:rsid w:val="3A2D6818"/>
    <w:rsid w:val="3A2E223C"/>
    <w:rsid w:val="3A2E247B"/>
    <w:rsid w:val="3A2E3EF3"/>
    <w:rsid w:val="3A2E5B1C"/>
    <w:rsid w:val="3A2E5FA9"/>
    <w:rsid w:val="3A2E6510"/>
    <w:rsid w:val="3A2F07E2"/>
    <w:rsid w:val="3A2F2590"/>
    <w:rsid w:val="3A2F57D1"/>
    <w:rsid w:val="3A2F66FC"/>
    <w:rsid w:val="3A30455A"/>
    <w:rsid w:val="3A310694"/>
    <w:rsid w:val="3A313628"/>
    <w:rsid w:val="3A315FB0"/>
    <w:rsid w:val="3A3169B0"/>
    <w:rsid w:val="3A316EDF"/>
    <w:rsid w:val="3A323902"/>
    <w:rsid w:val="3A323E2F"/>
    <w:rsid w:val="3A325402"/>
    <w:rsid w:val="3A325BDD"/>
    <w:rsid w:val="3A32798E"/>
    <w:rsid w:val="3A330C64"/>
    <w:rsid w:val="3A331955"/>
    <w:rsid w:val="3A336B1E"/>
    <w:rsid w:val="3A3428B3"/>
    <w:rsid w:val="3A343DC1"/>
    <w:rsid w:val="3A346676"/>
    <w:rsid w:val="3A352A2C"/>
    <w:rsid w:val="3A3532A8"/>
    <w:rsid w:val="3A3556CD"/>
    <w:rsid w:val="3A36791E"/>
    <w:rsid w:val="3A367F19"/>
    <w:rsid w:val="3A371577"/>
    <w:rsid w:val="3A374969"/>
    <w:rsid w:val="3A3758E9"/>
    <w:rsid w:val="3A377697"/>
    <w:rsid w:val="3A377C51"/>
    <w:rsid w:val="3A383AE9"/>
    <w:rsid w:val="3A383CB2"/>
    <w:rsid w:val="3A38493D"/>
    <w:rsid w:val="3A3903BC"/>
    <w:rsid w:val="3A390D11"/>
    <w:rsid w:val="3A396F6B"/>
    <w:rsid w:val="3A397189"/>
    <w:rsid w:val="3A3A2488"/>
    <w:rsid w:val="3A3A2CE3"/>
    <w:rsid w:val="3A3B7187"/>
    <w:rsid w:val="3A3C3607"/>
    <w:rsid w:val="3A3C4CAD"/>
    <w:rsid w:val="3A3C6A5B"/>
    <w:rsid w:val="3A3D0285"/>
    <w:rsid w:val="3A3E06F2"/>
    <w:rsid w:val="3A3E0A25"/>
    <w:rsid w:val="3A3E11D0"/>
    <w:rsid w:val="3A3E3EB2"/>
    <w:rsid w:val="3A3E4582"/>
    <w:rsid w:val="3A3E63E3"/>
    <w:rsid w:val="3A3E6C77"/>
    <w:rsid w:val="3A3F0BB5"/>
    <w:rsid w:val="3A3F14EB"/>
    <w:rsid w:val="3A3F2A57"/>
    <w:rsid w:val="3A3F53F0"/>
    <w:rsid w:val="3A3F5757"/>
    <w:rsid w:val="3A3F7A95"/>
    <w:rsid w:val="3A3F7CBD"/>
    <w:rsid w:val="3A40479E"/>
    <w:rsid w:val="3A410516"/>
    <w:rsid w:val="3A4138D4"/>
    <w:rsid w:val="3A414072"/>
    <w:rsid w:val="3A415375"/>
    <w:rsid w:val="3A4154E8"/>
    <w:rsid w:val="3A416525"/>
    <w:rsid w:val="3A420010"/>
    <w:rsid w:val="3A424BD7"/>
    <w:rsid w:val="3A427950"/>
    <w:rsid w:val="3A431024"/>
    <w:rsid w:val="3A431C12"/>
    <w:rsid w:val="3A433A26"/>
    <w:rsid w:val="3A433F47"/>
    <w:rsid w:val="3A434B37"/>
    <w:rsid w:val="3A43603C"/>
    <w:rsid w:val="3A436CCA"/>
    <w:rsid w:val="3A437788"/>
    <w:rsid w:val="3A437DEA"/>
    <w:rsid w:val="3A44085B"/>
    <w:rsid w:val="3A440AC3"/>
    <w:rsid w:val="3A4410CE"/>
    <w:rsid w:val="3A443B62"/>
    <w:rsid w:val="3A447A13"/>
    <w:rsid w:val="3A45296A"/>
    <w:rsid w:val="3A4536E5"/>
    <w:rsid w:val="3A454311"/>
    <w:rsid w:val="3A461688"/>
    <w:rsid w:val="3A4678DA"/>
    <w:rsid w:val="3A4723BB"/>
    <w:rsid w:val="3A47453D"/>
    <w:rsid w:val="3A47477D"/>
    <w:rsid w:val="3A47482D"/>
    <w:rsid w:val="3A476BFD"/>
    <w:rsid w:val="3A47779C"/>
    <w:rsid w:val="3A480BD6"/>
    <w:rsid w:val="3A483652"/>
    <w:rsid w:val="3A48382F"/>
    <w:rsid w:val="3A484AD6"/>
    <w:rsid w:val="3A485400"/>
    <w:rsid w:val="3A4854F0"/>
    <w:rsid w:val="3A487591"/>
    <w:rsid w:val="3A4875D7"/>
    <w:rsid w:val="3A491A65"/>
    <w:rsid w:val="3A4934F6"/>
    <w:rsid w:val="3A493887"/>
    <w:rsid w:val="3A4A1178"/>
    <w:rsid w:val="3A4A4214"/>
    <w:rsid w:val="3A4A58C9"/>
    <w:rsid w:val="3A4A5E76"/>
    <w:rsid w:val="3A4A73CA"/>
    <w:rsid w:val="3A4B15E4"/>
    <w:rsid w:val="3A4B6C9E"/>
    <w:rsid w:val="3A4C1484"/>
    <w:rsid w:val="3A4C35B7"/>
    <w:rsid w:val="3A4C7AF9"/>
    <w:rsid w:val="3A4D2EDF"/>
    <w:rsid w:val="3A4D45C0"/>
    <w:rsid w:val="3A4E68C0"/>
    <w:rsid w:val="3A4E6C29"/>
    <w:rsid w:val="3A4F0030"/>
    <w:rsid w:val="3A4F0AA8"/>
    <w:rsid w:val="3A4F0B38"/>
    <w:rsid w:val="3A4F0BDB"/>
    <w:rsid w:val="3A4F2C33"/>
    <w:rsid w:val="3A4F49E1"/>
    <w:rsid w:val="3A4F601E"/>
    <w:rsid w:val="3A4F678F"/>
    <w:rsid w:val="3A500759"/>
    <w:rsid w:val="3A502507"/>
    <w:rsid w:val="3A512D5B"/>
    <w:rsid w:val="3A5133C8"/>
    <w:rsid w:val="3A5134E5"/>
    <w:rsid w:val="3A513549"/>
    <w:rsid w:val="3A515A63"/>
    <w:rsid w:val="3A5167B0"/>
    <w:rsid w:val="3A5169AB"/>
    <w:rsid w:val="3A520D96"/>
    <w:rsid w:val="3A522625"/>
    <w:rsid w:val="3A524858"/>
    <w:rsid w:val="3A525C4F"/>
    <w:rsid w:val="3A527F8C"/>
    <w:rsid w:val="3A530DF9"/>
    <w:rsid w:val="3A536976"/>
    <w:rsid w:val="3A540249"/>
    <w:rsid w:val="3A541916"/>
    <w:rsid w:val="3A541FF7"/>
    <w:rsid w:val="3A543518"/>
    <w:rsid w:val="3A5534EE"/>
    <w:rsid w:val="3A555D6F"/>
    <w:rsid w:val="3A557B1D"/>
    <w:rsid w:val="3A562DC2"/>
    <w:rsid w:val="3A563FC1"/>
    <w:rsid w:val="3A56672D"/>
    <w:rsid w:val="3A57015A"/>
    <w:rsid w:val="3A5706CA"/>
    <w:rsid w:val="3A571AE7"/>
    <w:rsid w:val="3A57245D"/>
    <w:rsid w:val="3A573895"/>
    <w:rsid w:val="3A575643"/>
    <w:rsid w:val="3A581AE1"/>
    <w:rsid w:val="3A583636"/>
    <w:rsid w:val="3A583FB0"/>
    <w:rsid w:val="3A586BF2"/>
    <w:rsid w:val="3A5913BB"/>
    <w:rsid w:val="3A5A1D69"/>
    <w:rsid w:val="3A5A5133"/>
    <w:rsid w:val="3A5B111F"/>
    <w:rsid w:val="3A5B3385"/>
    <w:rsid w:val="3A5B7F61"/>
    <w:rsid w:val="3A5C3405"/>
    <w:rsid w:val="3A5C534F"/>
    <w:rsid w:val="3A5C5E45"/>
    <w:rsid w:val="3A5C70FE"/>
    <w:rsid w:val="3A5D196B"/>
    <w:rsid w:val="3A5D2D2E"/>
    <w:rsid w:val="3A5D453C"/>
    <w:rsid w:val="3A5D48A8"/>
    <w:rsid w:val="3A5D7475"/>
    <w:rsid w:val="3A5E1B31"/>
    <w:rsid w:val="3A5E2137"/>
    <w:rsid w:val="3A5E2DFB"/>
    <w:rsid w:val="3A5E2E76"/>
    <w:rsid w:val="3A5E4C24"/>
    <w:rsid w:val="3A5E59CC"/>
    <w:rsid w:val="3A5E6129"/>
    <w:rsid w:val="3A5E619A"/>
    <w:rsid w:val="3A5E75B6"/>
    <w:rsid w:val="3A5F0FF9"/>
    <w:rsid w:val="3A5F1386"/>
    <w:rsid w:val="3A5F274A"/>
    <w:rsid w:val="3A5F5493"/>
    <w:rsid w:val="3A5F5910"/>
    <w:rsid w:val="3A5F64E9"/>
    <w:rsid w:val="3A5F7CA7"/>
    <w:rsid w:val="3A60099C"/>
    <w:rsid w:val="3A600A36"/>
    <w:rsid w:val="3A602BD9"/>
    <w:rsid w:val="3A604DDE"/>
    <w:rsid w:val="3A606BEE"/>
    <w:rsid w:val="3A6103C1"/>
    <w:rsid w:val="3A61062A"/>
    <w:rsid w:val="3A620ACB"/>
    <w:rsid w:val="3A622985"/>
    <w:rsid w:val="3A623E50"/>
    <w:rsid w:val="3A62457B"/>
    <w:rsid w:val="3A62528E"/>
    <w:rsid w:val="3A625E88"/>
    <w:rsid w:val="3A625FF8"/>
    <w:rsid w:val="3A63048C"/>
    <w:rsid w:val="3A6366DE"/>
    <w:rsid w:val="3A640550"/>
    <w:rsid w:val="3A644593"/>
    <w:rsid w:val="3A644F20"/>
    <w:rsid w:val="3A6454B6"/>
    <w:rsid w:val="3A647617"/>
    <w:rsid w:val="3A651861"/>
    <w:rsid w:val="3A652B37"/>
    <w:rsid w:val="3A654204"/>
    <w:rsid w:val="3A655FB2"/>
    <w:rsid w:val="3A661D2A"/>
    <w:rsid w:val="3A66415E"/>
    <w:rsid w:val="3A666016"/>
    <w:rsid w:val="3A6701B2"/>
    <w:rsid w:val="3A675172"/>
    <w:rsid w:val="3A676793"/>
    <w:rsid w:val="3A68164F"/>
    <w:rsid w:val="3A683CF4"/>
    <w:rsid w:val="3A692B3F"/>
    <w:rsid w:val="3A69487A"/>
    <w:rsid w:val="3A695377"/>
    <w:rsid w:val="3A695CF2"/>
    <w:rsid w:val="3A6A35C8"/>
    <w:rsid w:val="3A6A3F6F"/>
    <w:rsid w:val="3A6A6CFA"/>
    <w:rsid w:val="3A6B2172"/>
    <w:rsid w:val="3A6B2524"/>
    <w:rsid w:val="3A6B2532"/>
    <w:rsid w:val="3A6C6CFB"/>
    <w:rsid w:val="3A6D130B"/>
    <w:rsid w:val="3A6D1460"/>
    <w:rsid w:val="3A6D2136"/>
    <w:rsid w:val="3A6D2DE3"/>
    <w:rsid w:val="3A6D30B9"/>
    <w:rsid w:val="3A6D54FA"/>
    <w:rsid w:val="3A6E23A2"/>
    <w:rsid w:val="3A6E27B8"/>
    <w:rsid w:val="3A6E28F0"/>
    <w:rsid w:val="3A6F07AA"/>
    <w:rsid w:val="3A6F0DA4"/>
    <w:rsid w:val="3A6F10A9"/>
    <w:rsid w:val="3A6F3347"/>
    <w:rsid w:val="3A6F3A2E"/>
    <w:rsid w:val="3A6F7058"/>
    <w:rsid w:val="3A704EFB"/>
    <w:rsid w:val="3A70611C"/>
    <w:rsid w:val="3A706163"/>
    <w:rsid w:val="3A706705"/>
    <w:rsid w:val="3A706CB5"/>
    <w:rsid w:val="3A707DE1"/>
    <w:rsid w:val="3A714739"/>
    <w:rsid w:val="3A714EFD"/>
    <w:rsid w:val="3A717A42"/>
    <w:rsid w:val="3A722701"/>
    <w:rsid w:val="3A726921"/>
    <w:rsid w:val="3A7331D6"/>
    <w:rsid w:val="3A733ACC"/>
    <w:rsid w:val="3A737DB1"/>
    <w:rsid w:val="3A741333"/>
    <w:rsid w:val="3A742699"/>
    <w:rsid w:val="3A744447"/>
    <w:rsid w:val="3A745EFF"/>
    <w:rsid w:val="3A7461F5"/>
    <w:rsid w:val="3A747BF2"/>
    <w:rsid w:val="3A7502BC"/>
    <w:rsid w:val="3A751F6D"/>
    <w:rsid w:val="3A7539C8"/>
    <w:rsid w:val="3A756BBB"/>
    <w:rsid w:val="3A762258"/>
    <w:rsid w:val="3A766411"/>
    <w:rsid w:val="3A7670C9"/>
    <w:rsid w:val="3A774756"/>
    <w:rsid w:val="3A775CE5"/>
    <w:rsid w:val="3A782432"/>
    <w:rsid w:val="3A7830B2"/>
    <w:rsid w:val="3A7856C0"/>
    <w:rsid w:val="3A790053"/>
    <w:rsid w:val="3A79380C"/>
    <w:rsid w:val="3A794A5C"/>
    <w:rsid w:val="3A7974FF"/>
    <w:rsid w:val="3A797A03"/>
    <w:rsid w:val="3A797CAF"/>
    <w:rsid w:val="3A797DB8"/>
    <w:rsid w:val="3A7A1F97"/>
    <w:rsid w:val="3A7A3B5B"/>
    <w:rsid w:val="3A7A7584"/>
    <w:rsid w:val="3A7B0ED9"/>
    <w:rsid w:val="3A7B3A28"/>
    <w:rsid w:val="3A7B4521"/>
    <w:rsid w:val="3A7B57D6"/>
    <w:rsid w:val="3A7B583B"/>
    <w:rsid w:val="3A7C154E"/>
    <w:rsid w:val="3A7C1D7A"/>
    <w:rsid w:val="3A7C33AB"/>
    <w:rsid w:val="3A7C3C90"/>
    <w:rsid w:val="3A7C5B14"/>
    <w:rsid w:val="3A7C74E6"/>
    <w:rsid w:val="3A7D07D5"/>
    <w:rsid w:val="3A7D59F9"/>
    <w:rsid w:val="3A7D77A0"/>
    <w:rsid w:val="3A7E4754"/>
    <w:rsid w:val="3A7E7337"/>
    <w:rsid w:val="3A7F1EE8"/>
    <w:rsid w:val="3A7F4C29"/>
    <w:rsid w:val="3A7F7AC4"/>
    <w:rsid w:val="3A804B9A"/>
    <w:rsid w:val="3A8108D9"/>
    <w:rsid w:val="3A810912"/>
    <w:rsid w:val="3A813937"/>
    <w:rsid w:val="3A815120"/>
    <w:rsid w:val="3A816B64"/>
    <w:rsid w:val="3A81720C"/>
    <w:rsid w:val="3A820ECE"/>
    <w:rsid w:val="3A82188E"/>
    <w:rsid w:val="3A82344E"/>
    <w:rsid w:val="3A824249"/>
    <w:rsid w:val="3A824DB6"/>
    <w:rsid w:val="3A830B2E"/>
    <w:rsid w:val="3A8326D1"/>
    <w:rsid w:val="3A833686"/>
    <w:rsid w:val="3A8343D3"/>
    <w:rsid w:val="3A834C53"/>
    <w:rsid w:val="3A836257"/>
    <w:rsid w:val="3A836438"/>
    <w:rsid w:val="3A837D15"/>
    <w:rsid w:val="3A843EB6"/>
    <w:rsid w:val="3A8522B8"/>
    <w:rsid w:val="3A852E30"/>
    <w:rsid w:val="3A853477"/>
    <w:rsid w:val="3A8538B6"/>
    <w:rsid w:val="3A856654"/>
    <w:rsid w:val="3A862E33"/>
    <w:rsid w:val="3A865F28"/>
    <w:rsid w:val="3A86677B"/>
    <w:rsid w:val="3A872F07"/>
    <w:rsid w:val="3A874BD8"/>
    <w:rsid w:val="3A877641"/>
    <w:rsid w:val="3A880BC8"/>
    <w:rsid w:val="3A880C39"/>
    <w:rsid w:val="3A8811BB"/>
    <w:rsid w:val="3A881CA1"/>
    <w:rsid w:val="3A882310"/>
    <w:rsid w:val="3A8824C5"/>
    <w:rsid w:val="3A88400A"/>
    <w:rsid w:val="3A8859B1"/>
    <w:rsid w:val="3A885E2A"/>
    <w:rsid w:val="3A8874F8"/>
    <w:rsid w:val="3A887E89"/>
    <w:rsid w:val="3A887EF3"/>
    <w:rsid w:val="3A890988"/>
    <w:rsid w:val="3A891719"/>
    <w:rsid w:val="3A8920C9"/>
    <w:rsid w:val="3A895F1A"/>
    <w:rsid w:val="3A8A5A19"/>
    <w:rsid w:val="3A8A7EC2"/>
    <w:rsid w:val="3A8B05EC"/>
    <w:rsid w:val="3A8B2F4F"/>
    <w:rsid w:val="3A8B353F"/>
    <w:rsid w:val="3A8B6A22"/>
    <w:rsid w:val="3A8C13D6"/>
    <w:rsid w:val="3A8C165E"/>
    <w:rsid w:val="3A8C48E1"/>
    <w:rsid w:val="3A8C6A38"/>
    <w:rsid w:val="3A8C79E3"/>
    <w:rsid w:val="3A8D1CF7"/>
    <w:rsid w:val="3A8D1EDA"/>
    <w:rsid w:val="3A8D375B"/>
    <w:rsid w:val="3A8D5E3B"/>
    <w:rsid w:val="3A8D6372"/>
    <w:rsid w:val="3A8E18CD"/>
    <w:rsid w:val="3A8E1EA0"/>
    <w:rsid w:val="3A8E5C2C"/>
    <w:rsid w:val="3A8F302F"/>
    <w:rsid w:val="3A8F4A9C"/>
    <w:rsid w:val="3A8F57EF"/>
    <w:rsid w:val="3A8F6801"/>
    <w:rsid w:val="3A8F7C5F"/>
    <w:rsid w:val="3A900286"/>
    <w:rsid w:val="3A901B12"/>
    <w:rsid w:val="3A911460"/>
    <w:rsid w:val="3A912F0D"/>
    <w:rsid w:val="3A913F41"/>
    <w:rsid w:val="3A922291"/>
    <w:rsid w:val="3A922B1F"/>
    <w:rsid w:val="3A9248CD"/>
    <w:rsid w:val="3A925A6F"/>
    <w:rsid w:val="3A930656"/>
    <w:rsid w:val="3A940645"/>
    <w:rsid w:val="3A94098E"/>
    <w:rsid w:val="3A95066C"/>
    <w:rsid w:val="3A9538C6"/>
    <w:rsid w:val="3A956BF7"/>
    <w:rsid w:val="3A960861"/>
    <w:rsid w:val="3A961AFC"/>
    <w:rsid w:val="3A96323D"/>
    <w:rsid w:val="3A9643BE"/>
    <w:rsid w:val="3A965B5C"/>
    <w:rsid w:val="3A970136"/>
    <w:rsid w:val="3A971B8D"/>
    <w:rsid w:val="3A9741BF"/>
    <w:rsid w:val="3A980E73"/>
    <w:rsid w:val="3A980F54"/>
    <w:rsid w:val="3A983588"/>
    <w:rsid w:val="3A983BCB"/>
    <w:rsid w:val="3A98429F"/>
    <w:rsid w:val="3A9909C3"/>
    <w:rsid w:val="3A99246B"/>
    <w:rsid w:val="3A993EAE"/>
    <w:rsid w:val="3A994867"/>
    <w:rsid w:val="3A995C5C"/>
    <w:rsid w:val="3A9A0212"/>
    <w:rsid w:val="3A9A4772"/>
    <w:rsid w:val="3A9B19D4"/>
    <w:rsid w:val="3A9B21D5"/>
    <w:rsid w:val="3A9B2D7F"/>
    <w:rsid w:val="3A9B336A"/>
    <w:rsid w:val="3A9B3E70"/>
    <w:rsid w:val="3A9B4B53"/>
    <w:rsid w:val="3A9B524E"/>
    <w:rsid w:val="3A9B5551"/>
    <w:rsid w:val="3A9B5E78"/>
    <w:rsid w:val="3A9B6036"/>
    <w:rsid w:val="3A9C0E0F"/>
    <w:rsid w:val="3A9C399E"/>
    <w:rsid w:val="3A9C596E"/>
    <w:rsid w:val="3A9C6F87"/>
    <w:rsid w:val="3A9D0E0A"/>
    <w:rsid w:val="3A9E1B5D"/>
    <w:rsid w:val="3A9E7716"/>
    <w:rsid w:val="3A9F2920"/>
    <w:rsid w:val="3A9F42EF"/>
    <w:rsid w:val="3A9F6292"/>
    <w:rsid w:val="3AA009A1"/>
    <w:rsid w:val="3AA017BE"/>
    <w:rsid w:val="3AA01CBD"/>
    <w:rsid w:val="3AA02174"/>
    <w:rsid w:val="3AA0348E"/>
    <w:rsid w:val="3AA11F36"/>
    <w:rsid w:val="3AA15293"/>
    <w:rsid w:val="3AA20FB4"/>
    <w:rsid w:val="3AA23ABA"/>
    <w:rsid w:val="3AA23AEC"/>
    <w:rsid w:val="3AA2466D"/>
    <w:rsid w:val="3AA25E3B"/>
    <w:rsid w:val="3AA26F37"/>
    <w:rsid w:val="3AA30888"/>
    <w:rsid w:val="3AA31251"/>
    <w:rsid w:val="3AA319F8"/>
    <w:rsid w:val="3AA336AA"/>
    <w:rsid w:val="3AA34D2C"/>
    <w:rsid w:val="3AA35841"/>
    <w:rsid w:val="3AA46CD1"/>
    <w:rsid w:val="3AA47D0C"/>
    <w:rsid w:val="3AA54601"/>
    <w:rsid w:val="3AA547B2"/>
    <w:rsid w:val="3AA65CFD"/>
    <w:rsid w:val="3AA65E54"/>
    <w:rsid w:val="3AA712CF"/>
    <w:rsid w:val="3AA71495"/>
    <w:rsid w:val="3AA72A81"/>
    <w:rsid w:val="3AA7481D"/>
    <w:rsid w:val="3AA82343"/>
    <w:rsid w:val="3AA840F1"/>
    <w:rsid w:val="3AA92DD7"/>
    <w:rsid w:val="3AA92EF2"/>
    <w:rsid w:val="3AA96BA7"/>
    <w:rsid w:val="3AAA1C17"/>
    <w:rsid w:val="3AAB4352"/>
    <w:rsid w:val="3AAC3BE1"/>
    <w:rsid w:val="3AAC5463"/>
    <w:rsid w:val="3AAC5ACD"/>
    <w:rsid w:val="3AAD27BA"/>
    <w:rsid w:val="3AAD713E"/>
    <w:rsid w:val="3AAE70CD"/>
    <w:rsid w:val="3AAF1506"/>
    <w:rsid w:val="3AAF36D1"/>
    <w:rsid w:val="3AAF39A7"/>
    <w:rsid w:val="3AAF6309"/>
    <w:rsid w:val="3AAF688C"/>
    <w:rsid w:val="3AAF722D"/>
    <w:rsid w:val="3AB02FA5"/>
    <w:rsid w:val="3AB038F4"/>
    <w:rsid w:val="3AB05274"/>
    <w:rsid w:val="3AB111F7"/>
    <w:rsid w:val="3AB12F6B"/>
    <w:rsid w:val="3AB1520D"/>
    <w:rsid w:val="3AB165FC"/>
    <w:rsid w:val="3AB17449"/>
    <w:rsid w:val="3AB224E9"/>
    <w:rsid w:val="3AB232B9"/>
    <w:rsid w:val="3AB232E4"/>
    <w:rsid w:val="3AB24E6D"/>
    <w:rsid w:val="3AB25A08"/>
    <w:rsid w:val="3AB26D1E"/>
    <w:rsid w:val="3AB31226"/>
    <w:rsid w:val="3AB331C1"/>
    <w:rsid w:val="3AB363E3"/>
    <w:rsid w:val="3AB40CE8"/>
    <w:rsid w:val="3AB40EB0"/>
    <w:rsid w:val="3AB41B34"/>
    <w:rsid w:val="3AB42A96"/>
    <w:rsid w:val="3AB43CA8"/>
    <w:rsid w:val="3AB43E44"/>
    <w:rsid w:val="3AB443F2"/>
    <w:rsid w:val="3AB450EE"/>
    <w:rsid w:val="3AB47CC5"/>
    <w:rsid w:val="3AB500E2"/>
    <w:rsid w:val="3AB50103"/>
    <w:rsid w:val="3AB60ED4"/>
    <w:rsid w:val="3AB62997"/>
    <w:rsid w:val="3AB64A60"/>
    <w:rsid w:val="3AB64A78"/>
    <w:rsid w:val="3AB65B96"/>
    <w:rsid w:val="3AB65ED2"/>
    <w:rsid w:val="3AB6680E"/>
    <w:rsid w:val="3AB74B43"/>
    <w:rsid w:val="3AB765F7"/>
    <w:rsid w:val="3AB77E88"/>
    <w:rsid w:val="3AB807D8"/>
    <w:rsid w:val="3AB855F9"/>
    <w:rsid w:val="3AB87B1B"/>
    <w:rsid w:val="3AB900AC"/>
    <w:rsid w:val="3AB92CA9"/>
    <w:rsid w:val="3AB92D1F"/>
    <w:rsid w:val="3AB93584"/>
    <w:rsid w:val="3AB94E96"/>
    <w:rsid w:val="3AB962FE"/>
    <w:rsid w:val="3ABA6D5F"/>
    <w:rsid w:val="3ABB1839"/>
    <w:rsid w:val="3ABC194A"/>
    <w:rsid w:val="3ABC3DE8"/>
    <w:rsid w:val="3ABC52C8"/>
    <w:rsid w:val="3ABD2DA7"/>
    <w:rsid w:val="3ABD5DEE"/>
    <w:rsid w:val="3ABE0632"/>
    <w:rsid w:val="3ABE6DB3"/>
    <w:rsid w:val="3ABF0186"/>
    <w:rsid w:val="3ABF38D9"/>
    <w:rsid w:val="3ABF3C58"/>
    <w:rsid w:val="3ABF3EEF"/>
    <w:rsid w:val="3ABF4C50"/>
    <w:rsid w:val="3ABF73E0"/>
    <w:rsid w:val="3AC01336"/>
    <w:rsid w:val="3AC03628"/>
    <w:rsid w:val="3AC058DE"/>
    <w:rsid w:val="3AC05CA6"/>
    <w:rsid w:val="3AC07EB3"/>
    <w:rsid w:val="3AC16F61"/>
    <w:rsid w:val="3AC17EDA"/>
    <w:rsid w:val="3AC2057C"/>
    <w:rsid w:val="3AC20BB7"/>
    <w:rsid w:val="3AC20F01"/>
    <w:rsid w:val="3AC21656"/>
    <w:rsid w:val="3AC23D63"/>
    <w:rsid w:val="3AC30B19"/>
    <w:rsid w:val="3AC30F2B"/>
    <w:rsid w:val="3AC32CD9"/>
    <w:rsid w:val="3AC32FB7"/>
    <w:rsid w:val="3AC34131"/>
    <w:rsid w:val="3AC3685D"/>
    <w:rsid w:val="3AC3717D"/>
    <w:rsid w:val="3AC51F5A"/>
    <w:rsid w:val="3AC52EF5"/>
    <w:rsid w:val="3AC53B56"/>
    <w:rsid w:val="3AC54CA3"/>
    <w:rsid w:val="3AC56A51"/>
    <w:rsid w:val="3AC627E4"/>
    <w:rsid w:val="3AC6749A"/>
    <w:rsid w:val="3AC70A1B"/>
    <w:rsid w:val="3AC7295D"/>
    <w:rsid w:val="3AC73B10"/>
    <w:rsid w:val="3AC76651"/>
    <w:rsid w:val="3AC77D90"/>
    <w:rsid w:val="3AC807DE"/>
    <w:rsid w:val="3AC86100"/>
    <w:rsid w:val="3AC86AD8"/>
    <w:rsid w:val="3AC86F1E"/>
    <w:rsid w:val="3AC870BC"/>
    <w:rsid w:val="3AC871CD"/>
    <w:rsid w:val="3AC9498B"/>
    <w:rsid w:val="3AC95E1B"/>
    <w:rsid w:val="3AC961B6"/>
    <w:rsid w:val="3AC963EA"/>
    <w:rsid w:val="3ACA050B"/>
    <w:rsid w:val="3ACA09EC"/>
    <w:rsid w:val="3ACA42E5"/>
    <w:rsid w:val="3ACA5418"/>
    <w:rsid w:val="3ACA6A05"/>
    <w:rsid w:val="3ACA7679"/>
    <w:rsid w:val="3ACB103F"/>
    <w:rsid w:val="3ACB1E7C"/>
    <w:rsid w:val="3ACC0474"/>
    <w:rsid w:val="3ACC0884"/>
    <w:rsid w:val="3ACC330C"/>
    <w:rsid w:val="3ACC4140"/>
    <w:rsid w:val="3ACC4283"/>
    <w:rsid w:val="3ACC7DDF"/>
    <w:rsid w:val="3ACD2443"/>
    <w:rsid w:val="3ACD45C0"/>
    <w:rsid w:val="3ACD479C"/>
    <w:rsid w:val="3ACD736D"/>
    <w:rsid w:val="3ACE232F"/>
    <w:rsid w:val="3ACE7387"/>
    <w:rsid w:val="3AD03EB0"/>
    <w:rsid w:val="3AD078C4"/>
    <w:rsid w:val="3AD10085"/>
    <w:rsid w:val="3AD1189A"/>
    <w:rsid w:val="3AD12ABD"/>
    <w:rsid w:val="3AD13648"/>
    <w:rsid w:val="3AD142D1"/>
    <w:rsid w:val="3AD20CB9"/>
    <w:rsid w:val="3AD2116E"/>
    <w:rsid w:val="3AD215B3"/>
    <w:rsid w:val="3AD2316E"/>
    <w:rsid w:val="3AD24EEF"/>
    <w:rsid w:val="3AD25E20"/>
    <w:rsid w:val="3AD273C0"/>
    <w:rsid w:val="3AD4054D"/>
    <w:rsid w:val="3AD416D0"/>
    <w:rsid w:val="3AD42024"/>
    <w:rsid w:val="3AD43138"/>
    <w:rsid w:val="3AD46C94"/>
    <w:rsid w:val="3AD57249"/>
    <w:rsid w:val="3AD575DA"/>
    <w:rsid w:val="3AD60C5E"/>
    <w:rsid w:val="3AD610C2"/>
    <w:rsid w:val="3AD62A0C"/>
    <w:rsid w:val="3AD66EB0"/>
    <w:rsid w:val="3AD71B60"/>
    <w:rsid w:val="3AD7510E"/>
    <w:rsid w:val="3AD77027"/>
    <w:rsid w:val="3AD777FB"/>
    <w:rsid w:val="3AD77DDA"/>
    <w:rsid w:val="3AD818AF"/>
    <w:rsid w:val="3AD81AA2"/>
    <w:rsid w:val="3AD84100"/>
    <w:rsid w:val="3AD84313"/>
    <w:rsid w:val="3AD9074E"/>
    <w:rsid w:val="3AD969A0"/>
    <w:rsid w:val="3ADA019D"/>
    <w:rsid w:val="3ADA1753"/>
    <w:rsid w:val="3ADA3505"/>
    <w:rsid w:val="3ADB28A4"/>
    <w:rsid w:val="3ADB3B42"/>
    <w:rsid w:val="3ADB40F3"/>
    <w:rsid w:val="3ADB42BE"/>
    <w:rsid w:val="3ADB60CB"/>
    <w:rsid w:val="3ADB7F65"/>
    <w:rsid w:val="3ADC3A9E"/>
    <w:rsid w:val="3ADC3D9A"/>
    <w:rsid w:val="3ADC7075"/>
    <w:rsid w:val="3ADC71F2"/>
    <w:rsid w:val="3ADD15D4"/>
    <w:rsid w:val="3ADD659D"/>
    <w:rsid w:val="3ADE5721"/>
    <w:rsid w:val="3ADE5D64"/>
    <w:rsid w:val="3ADE727F"/>
    <w:rsid w:val="3ADE7B13"/>
    <w:rsid w:val="3ADE7D48"/>
    <w:rsid w:val="3ADF093F"/>
    <w:rsid w:val="3ADF1782"/>
    <w:rsid w:val="3ADF210B"/>
    <w:rsid w:val="3ADF67F8"/>
    <w:rsid w:val="3ADF7B03"/>
    <w:rsid w:val="3AE01ADD"/>
    <w:rsid w:val="3AE02A8C"/>
    <w:rsid w:val="3AE0388B"/>
    <w:rsid w:val="3AE0640C"/>
    <w:rsid w:val="3AE06D5E"/>
    <w:rsid w:val="3AE0737A"/>
    <w:rsid w:val="3AE07A50"/>
    <w:rsid w:val="3AE10F30"/>
    <w:rsid w:val="3AE113B1"/>
    <w:rsid w:val="3AE13C70"/>
    <w:rsid w:val="3AE17026"/>
    <w:rsid w:val="3AE230F0"/>
    <w:rsid w:val="3AE25855"/>
    <w:rsid w:val="3AE27D54"/>
    <w:rsid w:val="3AE30103"/>
    <w:rsid w:val="3AE31593"/>
    <w:rsid w:val="3AE315CD"/>
    <w:rsid w:val="3AE35129"/>
    <w:rsid w:val="3AE3685C"/>
    <w:rsid w:val="3AE42B1A"/>
    <w:rsid w:val="3AE4507F"/>
    <w:rsid w:val="3AE476D9"/>
    <w:rsid w:val="3AE524FB"/>
    <w:rsid w:val="3AE570F3"/>
    <w:rsid w:val="3AE73A92"/>
    <w:rsid w:val="3AE74CB1"/>
    <w:rsid w:val="3AE77287"/>
    <w:rsid w:val="3AE80991"/>
    <w:rsid w:val="3AE87AE3"/>
    <w:rsid w:val="3AE87E46"/>
    <w:rsid w:val="3AE91C98"/>
    <w:rsid w:val="3AE925FA"/>
    <w:rsid w:val="3AE960B8"/>
    <w:rsid w:val="3AE96BE3"/>
    <w:rsid w:val="3AEA32BE"/>
    <w:rsid w:val="3AEA355D"/>
    <w:rsid w:val="3AEA4709"/>
    <w:rsid w:val="3AEC045D"/>
    <w:rsid w:val="3AEC0481"/>
    <w:rsid w:val="3AEC2009"/>
    <w:rsid w:val="3AEC222F"/>
    <w:rsid w:val="3AEC28F6"/>
    <w:rsid w:val="3AEC66D3"/>
    <w:rsid w:val="3AED3BD1"/>
    <w:rsid w:val="3AED5218"/>
    <w:rsid w:val="3AEE1AC1"/>
    <w:rsid w:val="3AEE244B"/>
    <w:rsid w:val="3AEE6558"/>
    <w:rsid w:val="3AEE6E73"/>
    <w:rsid w:val="3AEE7DE7"/>
    <w:rsid w:val="3AEF00FC"/>
    <w:rsid w:val="3AEF606B"/>
    <w:rsid w:val="3AEF65BB"/>
    <w:rsid w:val="3AEF75EA"/>
    <w:rsid w:val="3AEF7F72"/>
    <w:rsid w:val="3AF02CA1"/>
    <w:rsid w:val="3AF042ED"/>
    <w:rsid w:val="3AF0516E"/>
    <w:rsid w:val="3AF131D5"/>
    <w:rsid w:val="3AF1423A"/>
    <w:rsid w:val="3AF1624E"/>
    <w:rsid w:val="3AF21894"/>
    <w:rsid w:val="3AF235BE"/>
    <w:rsid w:val="3AF253D4"/>
    <w:rsid w:val="3AF25AAC"/>
    <w:rsid w:val="3AF26768"/>
    <w:rsid w:val="3AF31088"/>
    <w:rsid w:val="3AF31810"/>
    <w:rsid w:val="3AF433F2"/>
    <w:rsid w:val="3AF45588"/>
    <w:rsid w:val="3AF45C79"/>
    <w:rsid w:val="3AF45D1C"/>
    <w:rsid w:val="3AF511E2"/>
    <w:rsid w:val="3AF51B69"/>
    <w:rsid w:val="3AF550E9"/>
    <w:rsid w:val="3AF61300"/>
    <w:rsid w:val="3AF61529"/>
    <w:rsid w:val="3AF63E98"/>
    <w:rsid w:val="3AF65D99"/>
    <w:rsid w:val="3AF66562"/>
    <w:rsid w:val="3AF66D50"/>
    <w:rsid w:val="3AF70BD4"/>
    <w:rsid w:val="3AF80AAF"/>
    <w:rsid w:val="3AF85078"/>
    <w:rsid w:val="3AF85119"/>
    <w:rsid w:val="3AF85D39"/>
    <w:rsid w:val="3AF876C8"/>
    <w:rsid w:val="3AF938C0"/>
    <w:rsid w:val="3AF945E7"/>
    <w:rsid w:val="3AF9494C"/>
    <w:rsid w:val="3AFA018A"/>
    <w:rsid w:val="3AFA0DF0"/>
    <w:rsid w:val="3AFA2828"/>
    <w:rsid w:val="3AFA311F"/>
    <w:rsid w:val="3AFA61C6"/>
    <w:rsid w:val="3AFA76DA"/>
    <w:rsid w:val="3AFB2EAC"/>
    <w:rsid w:val="3AFB561D"/>
    <w:rsid w:val="3AFB6916"/>
    <w:rsid w:val="3AFB7C48"/>
    <w:rsid w:val="3AFC2B97"/>
    <w:rsid w:val="3AFC5034"/>
    <w:rsid w:val="3AFD268F"/>
    <w:rsid w:val="3AFD3E13"/>
    <w:rsid w:val="3AFD443D"/>
    <w:rsid w:val="3AFD61EB"/>
    <w:rsid w:val="3AFE01B5"/>
    <w:rsid w:val="3AFE38F2"/>
    <w:rsid w:val="3AFF18F3"/>
    <w:rsid w:val="3AFF1CE7"/>
    <w:rsid w:val="3AFF2044"/>
    <w:rsid w:val="3AFF2E2E"/>
    <w:rsid w:val="3AFF5963"/>
    <w:rsid w:val="3B00043C"/>
    <w:rsid w:val="3B0015CE"/>
    <w:rsid w:val="3B00217F"/>
    <w:rsid w:val="3B003F2D"/>
    <w:rsid w:val="3B004E64"/>
    <w:rsid w:val="3B005CDB"/>
    <w:rsid w:val="3B006A45"/>
    <w:rsid w:val="3B007A89"/>
    <w:rsid w:val="3B0121A5"/>
    <w:rsid w:val="3B01315D"/>
    <w:rsid w:val="3B021806"/>
    <w:rsid w:val="3B021A53"/>
    <w:rsid w:val="3B024988"/>
    <w:rsid w:val="3B027CA5"/>
    <w:rsid w:val="3B031E1C"/>
    <w:rsid w:val="3B033465"/>
    <w:rsid w:val="3B033FD8"/>
    <w:rsid w:val="3B0357CB"/>
    <w:rsid w:val="3B037579"/>
    <w:rsid w:val="3B041787"/>
    <w:rsid w:val="3B043A1D"/>
    <w:rsid w:val="3B04426E"/>
    <w:rsid w:val="3B044C2F"/>
    <w:rsid w:val="3B0467D2"/>
    <w:rsid w:val="3B046B78"/>
    <w:rsid w:val="3B050B60"/>
    <w:rsid w:val="3B056CDE"/>
    <w:rsid w:val="3B057766"/>
    <w:rsid w:val="3B0752BB"/>
    <w:rsid w:val="3B075DBD"/>
    <w:rsid w:val="3B082933"/>
    <w:rsid w:val="3B082DE1"/>
    <w:rsid w:val="3B084B8F"/>
    <w:rsid w:val="3B08562D"/>
    <w:rsid w:val="3B086599"/>
    <w:rsid w:val="3B091E1E"/>
    <w:rsid w:val="3B09415F"/>
    <w:rsid w:val="3B0949EF"/>
    <w:rsid w:val="3B0A1DC9"/>
    <w:rsid w:val="3B0A473E"/>
    <w:rsid w:val="3B0A4D26"/>
    <w:rsid w:val="3B0B3BFF"/>
    <w:rsid w:val="3B0B4558"/>
    <w:rsid w:val="3B0B541A"/>
    <w:rsid w:val="3B0B5F88"/>
    <w:rsid w:val="3B0C08B0"/>
    <w:rsid w:val="3B0C09A6"/>
    <w:rsid w:val="3B0C0B24"/>
    <w:rsid w:val="3B0C28D2"/>
    <w:rsid w:val="3B0C4680"/>
    <w:rsid w:val="3B0C49B5"/>
    <w:rsid w:val="3B0C6213"/>
    <w:rsid w:val="3B0E03F8"/>
    <w:rsid w:val="3B0E2080"/>
    <w:rsid w:val="3B0E30BF"/>
    <w:rsid w:val="3B0E5015"/>
    <w:rsid w:val="3B0E5DB7"/>
    <w:rsid w:val="3B0E664A"/>
    <w:rsid w:val="3B0E7E19"/>
    <w:rsid w:val="3B0F0292"/>
    <w:rsid w:val="3B0F1260"/>
    <w:rsid w:val="3B0F13AF"/>
    <w:rsid w:val="3B0F23C2"/>
    <w:rsid w:val="3B0F5F1E"/>
    <w:rsid w:val="3B106CFD"/>
    <w:rsid w:val="3B110BBE"/>
    <w:rsid w:val="3B110FF5"/>
    <w:rsid w:val="3B111826"/>
    <w:rsid w:val="3B113181"/>
    <w:rsid w:val="3B113E54"/>
    <w:rsid w:val="3B1152F2"/>
    <w:rsid w:val="3B1156F3"/>
    <w:rsid w:val="3B115B0D"/>
    <w:rsid w:val="3B11613A"/>
    <w:rsid w:val="3B117935"/>
    <w:rsid w:val="3B125240"/>
    <w:rsid w:val="3B126270"/>
    <w:rsid w:val="3B126873"/>
    <w:rsid w:val="3B1272C7"/>
    <w:rsid w:val="3B13442F"/>
    <w:rsid w:val="3B135A0E"/>
    <w:rsid w:val="3B135D82"/>
    <w:rsid w:val="3B13644E"/>
    <w:rsid w:val="3B14019F"/>
    <w:rsid w:val="3B1416F3"/>
    <w:rsid w:val="3B141786"/>
    <w:rsid w:val="3B1434D7"/>
    <w:rsid w:val="3B14399B"/>
    <w:rsid w:val="3B146A69"/>
    <w:rsid w:val="3B147332"/>
    <w:rsid w:val="3B15184A"/>
    <w:rsid w:val="3B1530BB"/>
    <w:rsid w:val="3B15545C"/>
    <w:rsid w:val="3B15685A"/>
    <w:rsid w:val="3B163315"/>
    <w:rsid w:val="3B1644E4"/>
    <w:rsid w:val="3B1654FE"/>
    <w:rsid w:val="3B173CB4"/>
    <w:rsid w:val="3B181276"/>
    <w:rsid w:val="3B190274"/>
    <w:rsid w:val="3B190B4B"/>
    <w:rsid w:val="3B190CA1"/>
    <w:rsid w:val="3B191EE5"/>
    <w:rsid w:val="3B196D9D"/>
    <w:rsid w:val="3B1A12EE"/>
    <w:rsid w:val="3B1A1659"/>
    <w:rsid w:val="3B1A3241"/>
    <w:rsid w:val="3B1A4793"/>
    <w:rsid w:val="3B1A5BF3"/>
    <w:rsid w:val="3B1B0BCB"/>
    <w:rsid w:val="3B1B0D67"/>
    <w:rsid w:val="3B1B1FC3"/>
    <w:rsid w:val="3B1B24B7"/>
    <w:rsid w:val="3B1B36BD"/>
    <w:rsid w:val="3B1B48C3"/>
    <w:rsid w:val="3B1B7E6B"/>
    <w:rsid w:val="3B1C2AC6"/>
    <w:rsid w:val="3B1C4513"/>
    <w:rsid w:val="3B1C4713"/>
    <w:rsid w:val="3B1C4F6E"/>
    <w:rsid w:val="3B1D0BEC"/>
    <w:rsid w:val="3B1D1049"/>
    <w:rsid w:val="3B1D1724"/>
    <w:rsid w:val="3B1D283B"/>
    <w:rsid w:val="3B1D5677"/>
    <w:rsid w:val="3B1E0143"/>
    <w:rsid w:val="3B1E1166"/>
    <w:rsid w:val="3B1E13A0"/>
    <w:rsid w:val="3B1E2BB4"/>
    <w:rsid w:val="3B1E4115"/>
    <w:rsid w:val="3B1E56B8"/>
    <w:rsid w:val="3B1E5785"/>
    <w:rsid w:val="3B1F1F5E"/>
    <w:rsid w:val="3B1F2605"/>
    <w:rsid w:val="3B1F5B5F"/>
    <w:rsid w:val="3B1F7119"/>
    <w:rsid w:val="3B201ED9"/>
    <w:rsid w:val="3B2073D7"/>
    <w:rsid w:val="3B2147E8"/>
    <w:rsid w:val="3B2178F1"/>
    <w:rsid w:val="3B217DEC"/>
    <w:rsid w:val="3B221437"/>
    <w:rsid w:val="3B223EA3"/>
    <w:rsid w:val="3B225C51"/>
    <w:rsid w:val="3B227A58"/>
    <w:rsid w:val="3B2319C9"/>
    <w:rsid w:val="3B245E6D"/>
    <w:rsid w:val="3B250AE3"/>
    <w:rsid w:val="3B251BE5"/>
    <w:rsid w:val="3B253993"/>
    <w:rsid w:val="3B25403C"/>
    <w:rsid w:val="3B254FE9"/>
    <w:rsid w:val="3B256038"/>
    <w:rsid w:val="3B2562FC"/>
    <w:rsid w:val="3B257240"/>
    <w:rsid w:val="3B26110E"/>
    <w:rsid w:val="3B2626BD"/>
    <w:rsid w:val="3B26384F"/>
    <w:rsid w:val="3B263F17"/>
    <w:rsid w:val="3B26628E"/>
    <w:rsid w:val="3B2714BA"/>
    <w:rsid w:val="3B273268"/>
    <w:rsid w:val="3B2732B2"/>
    <w:rsid w:val="3B281599"/>
    <w:rsid w:val="3B284C42"/>
    <w:rsid w:val="3B292048"/>
    <w:rsid w:val="3B292B69"/>
    <w:rsid w:val="3B295232"/>
    <w:rsid w:val="3B29564C"/>
    <w:rsid w:val="3B2A0794"/>
    <w:rsid w:val="3B2A0FAA"/>
    <w:rsid w:val="3B2A1A9D"/>
    <w:rsid w:val="3B2A2416"/>
    <w:rsid w:val="3B2A2B7E"/>
    <w:rsid w:val="3B2A2D58"/>
    <w:rsid w:val="3B2A46DB"/>
    <w:rsid w:val="3B2A5086"/>
    <w:rsid w:val="3B2A71FC"/>
    <w:rsid w:val="3B2B1418"/>
    <w:rsid w:val="3B2B17BD"/>
    <w:rsid w:val="3B2B25B6"/>
    <w:rsid w:val="3B2B2853"/>
    <w:rsid w:val="3B2B7333"/>
    <w:rsid w:val="3B2C087E"/>
    <w:rsid w:val="3B2C0F35"/>
    <w:rsid w:val="3B2C4D22"/>
    <w:rsid w:val="3B2C542D"/>
    <w:rsid w:val="3B2D45F6"/>
    <w:rsid w:val="3B2E017B"/>
    <w:rsid w:val="3B2E2848"/>
    <w:rsid w:val="3B2E2D73"/>
    <w:rsid w:val="3B2E527A"/>
    <w:rsid w:val="3B2E64D6"/>
    <w:rsid w:val="3B2E6B43"/>
    <w:rsid w:val="3B2E7012"/>
    <w:rsid w:val="3B2F036E"/>
    <w:rsid w:val="3B2F09FF"/>
    <w:rsid w:val="3B2F16B7"/>
    <w:rsid w:val="3B2F18C9"/>
    <w:rsid w:val="3B2F2C73"/>
    <w:rsid w:val="3B2F3D97"/>
    <w:rsid w:val="3B2F5BC5"/>
    <w:rsid w:val="3B2F65C0"/>
    <w:rsid w:val="3B2F7F36"/>
    <w:rsid w:val="3B30003E"/>
    <w:rsid w:val="3B3024B7"/>
    <w:rsid w:val="3B304339"/>
    <w:rsid w:val="3B3061BC"/>
    <w:rsid w:val="3B306C27"/>
    <w:rsid w:val="3B31058A"/>
    <w:rsid w:val="3B3140E6"/>
    <w:rsid w:val="3B323CA3"/>
    <w:rsid w:val="3B324532"/>
    <w:rsid w:val="3B331C0C"/>
    <w:rsid w:val="3B332327"/>
    <w:rsid w:val="3B332A74"/>
    <w:rsid w:val="3B33394A"/>
    <w:rsid w:val="3B334302"/>
    <w:rsid w:val="3B335ED3"/>
    <w:rsid w:val="3B335F29"/>
    <w:rsid w:val="3B3360B0"/>
    <w:rsid w:val="3B33651B"/>
    <w:rsid w:val="3B34234E"/>
    <w:rsid w:val="3B342804"/>
    <w:rsid w:val="3B344AAD"/>
    <w:rsid w:val="3B350E3B"/>
    <w:rsid w:val="3B353441"/>
    <w:rsid w:val="3B355F7E"/>
    <w:rsid w:val="3B361FC0"/>
    <w:rsid w:val="3B365A66"/>
    <w:rsid w:val="3B365BAF"/>
    <w:rsid w:val="3B37067B"/>
    <w:rsid w:val="3B37375B"/>
    <w:rsid w:val="3B3745CE"/>
    <w:rsid w:val="3B37481A"/>
    <w:rsid w:val="3B38025C"/>
    <w:rsid w:val="3B381919"/>
    <w:rsid w:val="3B384ABA"/>
    <w:rsid w:val="3B385475"/>
    <w:rsid w:val="3B391F42"/>
    <w:rsid w:val="3B3955E1"/>
    <w:rsid w:val="3B3A0C4C"/>
    <w:rsid w:val="3B3A1B15"/>
    <w:rsid w:val="3B3A43AF"/>
    <w:rsid w:val="3B3A4449"/>
    <w:rsid w:val="3B3A743F"/>
    <w:rsid w:val="3B3B31B7"/>
    <w:rsid w:val="3B3B63AC"/>
    <w:rsid w:val="3B3C24A4"/>
    <w:rsid w:val="3B3C601D"/>
    <w:rsid w:val="3B3C613D"/>
    <w:rsid w:val="3B3C65EF"/>
    <w:rsid w:val="3B3C7387"/>
    <w:rsid w:val="3B3D0CDD"/>
    <w:rsid w:val="3B3D0D0E"/>
    <w:rsid w:val="3B3D6073"/>
    <w:rsid w:val="3B3D64F4"/>
    <w:rsid w:val="3B3D6F2F"/>
    <w:rsid w:val="3B3E1336"/>
    <w:rsid w:val="3B3E213A"/>
    <w:rsid w:val="3B3E2CBB"/>
    <w:rsid w:val="3B3E362E"/>
    <w:rsid w:val="3B3E3E26"/>
    <w:rsid w:val="3B3E61A0"/>
    <w:rsid w:val="3B3E6803"/>
    <w:rsid w:val="3B3E6FA5"/>
    <w:rsid w:val="3B3E7727"/>
    <w:rsid w:val="3B3F2CA7"/>
    <w:rsid w:val="3B3F5F12"/>
    <w:rsid w:val="3B4016CB"/>
    <w:rsid w:val="3B40257B"/>
    <w:rsid w:val="3B402FF7"/>
    <w:rsid w:val="3B403411"/>
    <w:rsid w:val="3B406FC3"/>
    <w:rsid w:val="3B411586"/>
    <w:rsid w:val="3B4137E9"/>
    <w:rsid w:val="3B413F32"/>
    <w:rsid w:val="3B41469B"/>
    <w:rsid w:val="3B4200A1"/>
    <w:rsid w:val="3B42143A"/>
    <w:rsid w:val="3B4218BD"/>
    <w:rsid w:val="3B4222C2"/>
    <w:rsid w:val="3B424B80"/>
    <w:rsid w:val="3B4262F3"/>
    <w:rsid w:val="3B427B60"/>
    <w:rsid w:val="3B427E5C"/>
    <w:rsid w:val="3B43181E"/>
    <w:rsid w:val="3B436E66"/>
    <w:rsid w:val="3B4402BD"/>
    <w:rsid w:val="3B44078E"/>
    <w:rsid w:val="3B44206B"/>
    <w:rsid w:val="3B4421F8"/>
    <w:rsid w:val="3B443E1A"/>
    <w:rsid w:val="3B4474B3"/>
    <w:rsid w:val="3B450930"/>
    <w:rsid w:val="3B451940"/>
    <w:rsid w:val="3B45472A"/>
    <w:rsid w:val="3B455D5F"/>
    <w:rsid w:val="3B455DE4"/>
    <w:rsid w:val="3B4636C6"/>
    <w:rsid w:val="3B464036"/>
    <w:rsid w:val="3B466E01"/>
    <w:rsid w:val="3B471B5C"/>
    <w:rsid w:val="3B47340A"/>
    <w:rsid w:val="3B47390A"/>
    <w:rsid w:val="3B4756B8"/>
    <w:rsid w:val="3B475F7A"/>
    <w:rsid w:val="3B481314"/>
    <w:rsid w:val="3B482A6E"/>
    <w:rsid w:val="3B487CEF"/>
    <w:rsid w:val="3B487E2B"/>
    <w:rsid w:val="3B491208"/>
    <w:rsid w:val="3B491430"/>
    <w:rsid w:val="3B4919F4"/>
    <w:rsid w:val="3B493E4C"/>
    <w:rsid w:val="3B49419B"/>
    <w:rsid w:val="3B496D37"/>
    <w:rsid w:val="3B497ED4"/>
    <w:rsid w:val="3B4A1340"/>
    <w:rsid w:val="3B4A33FA"/>
    <w:rsid w:val="3B4A45C2"/>
    <w:rsid w:val="3B4A51A8"/>
    <w:rsid w:val="3B4B164C"/>
    <w:rsid w:val="3B4B1A3B"/>
    <w:rsid w:val="3B4B7B1E"/>
    <w:rsid w:val="3B4C0935"/>
    <w:rsid w:val="3B4C0F20"/>
    <w:rsid w:val="3B4C1668"/>
    <w:rsid w:val="3B4C7172"/>
    <w:rsid w:val="3B4C7198"/>
    <w:rsid w:val="3B4D0803"/>
    <w:rsid w:val="3B4E428B"/>
    <w:rsid w:val="3B4E641A"/>
    <w:rsid w:val="3B4E6A46"/>
    <w:rsid w:val="3B4E7DC0"/>
    <w:rsid w:val="3B4F27BE"/>
    <w:rsid w:val="3B4F45B3"/>
    <w:rsid w:val="3B4F6028"/>
    <w:rsid w:val="3B506C62"/>
    <w:rsid w:val="3B512293"/>
    <w:rsid w:val="3B514788"/>
    <w:rsid w:val="3B516536"/>
    <w:rsid w:val="3B523786"/>
    <w:rsid w:val="3B52487D"/>
    <w:rsid w:val="3B540546"/>
    <w:rsid w:val="3B542403"/>
    <w:rsid w:val="3B5449B0"/>
    <w:rsid w:val="3B546287"/>
    <w:rsid w:val="3B546F95"/>
    <w:rsid w:val="3B547DD5"/>
    <w:rsid w:val="3B551A74"/>
    <w:rsid w:val="3B5534A6"/>
    <w:rsid w:val="3B556B0E"/>
    <w:rsid w:val="3B562232"/>
    <w:rsid w:val="3B5715EE"/>
    <w:rsid w:val="3B57453B"/>
    <w:rsid w:val="3B583D69"/>
    <w:rsid w:val="3B585916"/>
    <w:rsid w:val="3B585B17"/>
    <w:rsid w:val="3B5878C5"/>
    <w:rsid w:val="3B587B93"/>
    <w:rsid w:val="3B590554"/>
    <w:rsid w:val="3B5A363D"/>
    <w:rsid w:val="3B5A3835"/>
    <w:rsid w:val="3B5A4B2D"/>
    <w:rsid w:val="3B5A714C"/>
    <w:rsid w:val="3B5B01CA"/>
    <w:rsid w:val="3B5B2958"/>
    <w:rsid w:val="3B5B2B56"/>
    <w:rsid w:val="3B5B4518"/>
    <w:rsid w:val="3B5B486A"/>
    <w:rsid w:val="3B5B5607"/>
    <w:rsid w:val="3B5B6060"/>
    <w:rsid w:val="3B5B6499"/>
    <w:rsid w:val="3B5B73B5"/>
    <w:rsid w:val="3B5B744E"/>
    <w:rsid w:val="3B5B751B"/>
    <w:rsid w:val="3B5C0AE3"/>
    <w:rsid w:val="3B5C1712"/>
    <w:rsid w:val="3B5C1983"/>
    <w:rsid w:val="3B5C23D4"/>
    <w:rsid w:val="3B5C6EFA"/>
    <w:rsid w:val="3B5D04DB"/>
    <w:rsid w:val="3B5D4EDB"/>
    <w:rsid w:val="3B5D6A48"/>
    <w:rsid w:val="3B5E0047"/>
    <w:rsid w:val="3B5E079F"/>
    <w:rsid w:val="3B5E2A01"/>
    <w:rsid w:val="3B5E2C18"/>
    <w:rsid w:val="3B5E4138"/>
    <w:rsid w:val="3B5E67C4"/>
    <w:rsid w:val="3B5F14D7"/>
    <w:rsid w:val="3B5F2156"/>
    <w:rsid w:val="3B5F2EE2"/>
    <w:rsid w:val="3B5F50F7"/>
    <w:rsid w:val="3B5F5E72"/>
    <w:rsid w:val="3B5F613A"/>
    <w:rsid w:val="3B5F6EA5"/>
    <w:rsid w:val="3B5F758D"/>
    <w:rsid w:val="3B6024D3"/>
    <w:rsid w:val="3B602967"/>
    <w:rsid w:val="3B602C1D"/>
    <w:rsid w:val="3B604268"/>
    <w:rsid w:val="3B6049CB"/>
    <w:rsid w:val="3B60677A"/>
    <w:rsid w:val="3B61040B"/>
    <w:rsid w:val="3B6104CB"/>
    <w:rsid w:val="3B612ACA"/>
    <w:rsid w:val="3B615F60"/>
    <w:rsid w:val="3B61768D"/>
    <w:rsid w:val="3B620D39"/>
    <w:rsid w:val="3B6224F2"/>
    <w:rsid w:val="3B624303"/>
    <w:rsid w:val="3B627275"/>
    <w:rsid w:val="3B627E58"/>
    <w:rsid w:val="3B634251"/>
    <w:rsid w:val="3B637E67"/>
    <w:rsid w:val="3B640848"/>
    <w:rsid w:val="3B64270E"/>
    <w:rsid w:val="3B643213"/>
    <w:rsid w:val="3B645349"/>
    <w:rsid w:val="3B645EE1"/>
    <w:rsid w:val="3B651FE2"/>
    <w:rsid w:val="3B6560F9"/>
    <w:rsid w:val="3B6605C5"/>
    <w:rsid w:val="3B664385"/>
    <w:rsid w:val="3B667C69"/>
    <w:rsid w:val="3B6756EF"/>
    <w:rsid w:val="3B675A34"/>
    <w:rsid w:val="3B683CCA"/>
    <w:rsid w:val="3B68689B"/>
    <w:rsid w:val="3B69041D"/>
    <w:rsid w:val="3B691AD2"/>
    <w:rsid w:val="3B69369F"/>
    <w:rsid w:val="3B69515A"/>
    <w:rsid w:val="3B697D24"/>
    <w:rsid w:val="3B6A11BB"/>
    <w:rsid w:val="3B6A299B"/>
    <w:rsid w:val="3B6A2ED2"/>
    <w:rsid w:val="3B6B3B7F"/>
    <w:rsid w:val="3B6B3CF5"/>
    <w:rsid w:val="3B6C15C2"/>
    <w:rsid w:val="3B6C511E"/>
    <w:rsid w:val="3B6C72E9"/>
    <w:rsid w:val="3B6D0953"/>
    <w:rsid w:val="3B6D2FAD"/>
    <w:rsid w:val="3B6D5C90"/>
    <w:rsid w:val="3B6D66AC"/>
    <w:rsid w:val="3B6D67CA"/>
    <w:rsid w:val="3B6E3B58"/>
    <w:rsid w:val="3B6E4356"/>
    <w:rsid w:val="3B6F115C"/>
    <w:rsid w:val="3B6F4787"/>
    <w:rsid w:val="3B6F4C0F"/>
    <w:rsid w:val="3B7010B2"/>
    <w:rsid w:val="3B701B31"/>
    <w:rsid w:val="3B70544E"/>
    <w:rsid w:val="3B710987"/>
    <w:rsid w:val="3B7121C5"/>
    <w:rsid w:val="3B712438"/>
    <w:rsid w:val="3B712735"/>
    <w:rsid w:val="3B712EE8"/>
    <w:rsid w:val="3B715CF1"/>
    <w:rsid w:val="3B716BD9"/>
    <w:rsid w:val="3B717347"/>
    <w:rsid w:val="3B7212D4"/>
    <w:rsid w:val="3B726358"/>
    <w:rsid w:val="3B726878"/>
    <w:rsid w:val="3B726D80"/>
    <w:rsid w:val="3B7315A8"/>
    <w:rsid w:val="3B73204A"/>
    <w:rsid w:val="3B732951"/>
    <w:rsid w:val="3B732AB9"/>
    <w:rsid w:val="3B733E41"/>
    <w:rsid w:val="3B734F40"/>
    <w:rsid w:val="3B736E2E"/>
    <w:rsid w:val="3B741E5E"/>
    <w:rsid w:val="3B744E3E"/>
    <w:rsid w:val="3B7456B2"/>
    <w:rsid w:val="3B752DFE"/>
    <w:rsid w:val="3B7542E7"/>
    <w:rsid w:val="3B75554C"/>
    <w:rsid w:val="3B7566C9"/>
    <w:rsid w:val="3B7641EF"/>
    <w:rsid w:val="3B765F9D"/>
    <w:rsid w:val="3B7667CB"/>
    <w:rsid w:val="3B76775E"/>
    <w:rsid w:val="3B78186B"/>
    <w:rsid w:val="3B781D15"/>
    <w:rsid w:val="3B7837BF"/>
    <w:rsid w:val="3B783AC3"/>
    <w:rsid w:val="3B787015"/>
    <w:rsid w:val="3B787F67"/>
    <w:rsid w:val="3B7906D0"/>
    <w:rsid w:val="3B795F32"/>
    <w:rsid w:val="3B7A10AA"/>
    <w:rsid w:val="3B7A3CDF"/>
    <w:rsid w:val="3B7A5A8D"/>
    <w:rsid w:val="3B7A60DF"/>
    <w:rsid w:val="3B7A7F60"/>
    <w:rsid w:val="3B7B0633"/>
    <w:rsid w:val="3B7B35B3"/>
    <w:rsid w:val="3B7B36EE"/>
    <w:rsid w:val="3B7B7C6C"/>
    <w:rsid w:val="3B7C2ED4"/>
    <w:rsid w:val="3B7C3266"/>
    <w:rsid w:val="3B7C35D0"/>
    <w:rsid w:val="3B7C5554"/>
    <w:rsid w:val="3B7C7A57"/>
    <w:rsid w:val="3B7D37CF"/>
    <w:rsid w:val="3B7D4A60"/>
    <w:rsid w:val="3B7D5D81"/>
    <w:rsid w:val="3B7D732B"/>
    <w:rsid w:val="3B7D748A"/>
    <w:rsid w:val="3B7E13E6"/>
    <w:rsid w:val="3B7E2A09"/>
    <w:rsid w:val="3B7E37D0"/>
    <w:rsid w:val="3B7E4CA6"/>
    <w:rsid w:val="3B7E7631"/>
    <w:rsid w:val="3B7E7B53"/>
    <w:rsid w:val="3B7F0AC1"/>
    <w:rsid w:val="3B7F1A97"/>
    <w:rsid w:val="3B7F24D9"/>
    <w:rsid w:val="3B7F30A4"/>
    <w:rsid w:val="3B7F4E52"/>
    <w:rsid w:val="3B7F53CB"/>
    <w:rsid w:val="3B801576"/>
    <w:rsid w:val="3B802F39"/>
    <w:rsid w:val="3B803677"/>
    <w:rsid w:val="3B812C3B"/>
    <w:rsid w:val="3B81316A"/>
    <w:rsid w:val="3B814871"/>
    <w:rsid w:val="3B81506E"/>
    <w:rsid w:val="3B8201C4"/>
    <w:rsid w:val="3B821E54"/>
    <w:rsid w:val="3B8227AD"/>
    <w:rsid w:val="3B822B94"/>
    <w:rsid w:val="3B824940"/>
    <w:rsid w:val="3B824942"/>
    <w:rsid w:val="3B83026B"/>
    <w:rsid w:val="3B8308D2"/>
    <w:rsid w:val="3B831508"/>
    <w:rsid w:val="3B837B2B"/>
    <w:rsid w:val="3B837F8F"/>
    <w:rsid w:val="3B8406BA"/>
    <w:rsid w:val="3B84179B"/>
    <w:rsid w:val="3B842468"/>
    <w:rsid w:val="3B842F66"/>
    <w:rsid w:val="3B8434BF"/>
    <w:rsid w:val="3B84690C"/>
    <w:rsid w:val="3B851508"/>
    <w:rsid w:val="3B8526FD"/>
    <w:rsid w:val="3B854432"/>
    <w:rsid w:val="3B86206C"/>
    <w:rsid w:val="3B86213B"/>
    <w:rsid w:val="3B862DCC"/>
    <w:rsid w:val="3B8630B4"/>
    <w:rsid w:val="3B863850"/>
    <w:rsid w:val="3B866C37"/>
    <w:rsid w:val="3B8701AA"/>
    <w:rsid w:val="3B8801D7"/>
    <w:rsid w:val="3B8801E2"/>
    <w:rsid w:val="3B884843"/>
    <w:rsid w:val="3B88603E"/>
    <w:rsid w:val="3B887908"/>
    <w:rsid w:val="3B89012A"/>
    <w:rsid w:val="3B8915F1"/>
    <w:rsid w:val="3B89165C"/>
    <w:rsid w:val="3B892174"/>
    <w:rsid w:val="3B8947FA"/>
    <w:rsid w:val="3B895CD0"/>
    <w:rsid w:val="3B8A17DA"/>
    <w:rsid w:val="3B8A2057"/>
    <w:rsid w:val="3B8A37F6"/>
    <w:rsid w:val="3B8A4EF7"/>
    <w:rsid w:val="3B8A7C1F"/>
    <w:rsid w:val="3B8B2309"/>
    <w:rsid w:val="3B8B3247"/>
    <w:rsid w:val="3B8B3E2A"/>
    <w:rsid w:val="3B8B5C49"/>
    <w:rsid w:val="3B8C3009"/>
    <w:rsid w:val="3B8C3A12"/>
    <w:rsid w:val="3B8C3BCC"/>
    <w:rsid w:val="3B8D22B9"/>
    <w:rsid w:val="3B8D4274"/>
    <w:rsid w:val="3B8D4CB6"/>
    <w:rsid w:val="3B8D6AEC"/>
    <w:rsid w:val="3B8D7567"/>
    <w:rsid w:val="3B8E00D3"/>
    <w:rsid w:val="3B8E32E7"/>
    <w:rsid w:val="3B8E7126"/>
    <w:rsid w:val="3B8E7A32"/>
    <w:rsid w:val="3B8E7CCA"/>
    <w:rsid w:val="3B8F212F"/>
    <w:rsid w:val="3B8F413C"/>
    <w:rsid w:val="3B8F6E75"/>
    <w:rsid w:val="3B903503"/>
    <w:rsid w:val="3B9053BD"/>
    <w:rsid w:val="3B911029"/>
    <w:rsid w:val="3B914B85"/>
    <w:rsid w:val="3B915AA7"/>
    <w:rsid w:val="3B9161BA"/>
    <w:rsid w:val="3B921977"/>
    <w:rsid w:val="3B921D11"/>
    <w:rsid w:val="3B922B8F"/>
    <w:rsid w:val="3B9241ED"/>
    <w:rsid w:val="3B924343"/>
    <w:rsid w:val="3B926F37"/>
    <w:rsid w:val="3B94571E"/>
    <w:rsid w:val="3B946C95"/>
    <w:rsid w:val="3B950C0D"/>
    <w:rsid w:val="3B9512F3"/>
    <w:rsid w:val="3B9520F4"/>
    <w:rsid w:val="3B9528C7"/>
    <w:rsid w:val="3B954675"/>
    <w:rsid w:val="3B954FF7"/>
    <w:rsid w:val="3B956B96"/>
    <w:rsid w:val="3B965F41"/>
    <w:rsid w:val="3B96663F"/>
    <w:rsid w:val="3B973E35"/>
    <w:rsid w:val="3B97408D"/>
    <w:rsid w:val="3B97632A"/>
    <w:rsid w:val="3B98067E"/>
    <w:rsid w:val="3B980AE4"/>
    <w:rsid w:val="3B980D27"/>
    <w:rsid w:val="3B9823B7"/>
    <w:rsid w:val="3B984165"/>
    <w:rsid w:val="3B985E0F"/>
    <w:rsid w:val="3B9905EF"/>
    <w:rsid w:val="3B995539"/>
    <w:rsid w:val="3B9956C9"/>
    <w:rsid w:val="3B99676B"/>
    <w:rsid w:val="3B9A7EDD"/>
    <w:rsid w:val="3B9B05BF"/>
    <w:rsid w:val="3B9B5A04"/>
    <w:rsid w:val="3B9B715E"/>
    <w:rsid w:val="3B9B77FE"/>
    <w:rsid w:val="3B9B7BD2"/>
    <w:rsid w:val="3B9C08E1"/>
    <w:rsid w:val="3B9C1EA7"/>
    <w:rsid w:val="3B9C2BBA"/>
    <w:rsid w:val="3B9C3B15"/>
    <w:rsid w:val="3B9C3C56"/>
    <w:rsid w:val="3B9D0D12"/>
    <w:rsid w:val="3B9D79CE"/>
    <w:rsid w:val="3B9E00F1"/>
    <w:rsid w:val="3B9E333D"/>
    <w:rsid w:val="3B9E4597"/>
    <w:rsid w:val="3B9E69EB"/>
    <w:rsid w:val="3B9E7ED7"/>
    <w:rsid w:val="3B9F3746"/>
    <w:rsid w:val="3B9F54F4"/>
    <w:rsid w:val="3BA055E8"/>
    <w:rsid w:val="3BA05E15"/>
    <w:rsid w:val="3BA06538"/>
    <w:rsid w:val="3BA129F1"/>
    <w:rsid w:val="3BA147B7"/>
    <w:rsid w:val="3BA15C81"/>
    <w:rsid w:val="3BA163C5"/>
    <w:rsid w:val="3BA174BE"/>
    <w:rsid w:val="3BA238C2"/>
    <w:rsid w:val="3BA24A19"/>
    <w:rsid w:val="3BA24FE4"/>
    <w:rsid w:val="3BA2526A"/>
    <w:rsid w:val="3BA27154"/>
    <w:rsid w:val="3BA3080E"/>
    <w:rsid w:val="3BA30BC6"/>
    <w:rsid w:val="3BA3409F"/>
    <w:rsid w:val="3BA3677B"/>
    <w:rsid w:val="3BA37EBC"/>
    <w:rsid w:val="3BA40496"/>
    <w:rsid w:val="3BA404B6"/>
    <w:rsid w:val="3BA40D5C"/>
    <w:rsid w:val="3BA4134C"/>
    <w:rsid w:val="3BA43657"/>
    <w:rsid w:val="3BA448B8"/>
    <w:rsid w:val="3BA45C07"/>
    <w:rsid w:val="3BA477D3"/>
    <w:rsid w:val="3BA47880"/>
    <w:rsid w:val="3BA47D69"/>
    <w:rsid w:val="3BA53C6C"/>
    <w:rsid w:val="3BA55463"/>
    <w:rsid w:val="3BA614BF"/>
    <w:rsid w:val="3BA620AE"/>
    <w:rsid w:val="3BA634D3"/>
    <w:rsid w:val="3BA645C2"/>
    <w:rsid w:val="3BA64AD4"/>
    <w:rsid w:val="3BA66882"/>
    <w:rsid w:val="3BA66A63"/>
    <w:rsid w:val="3BA67B32"/>
    <w:rsid w:val="3BA70357"/>
    <w:rsid w:val="3BA725FA"/>
    <w:rsid w:val="3BA748F6"/>
    <w:rsid w:val="3BA7743F"/>
    <w:rsid w:val="3BA821CD"/>
    <w:rsid w:val="3BA83D2E"/>
    <w:rsid w:val="3BA8780A"/>
    <w:rsid w:val="3BA90120"/>
    <w:rsid w:val="3BA9049D"/>
    <w:rsid w:val="3BA945C4"/>
    <w:rsid w:val="3BA96372"/>
    <w:rsid w:val="3BA97CF8"/>
    <w:rsid w:val="3BAA1905"/>
    <w:rsid w:val="3BAA2CC7"/>
    <w:rsid w:val="3BAA7605"/>
    <w:rsid w:val="3BAB1FA5"/>
    <w:rsid w:val="3BAB67E8"/>
    <w:rsid w:val="3BAC440B"/>
    <w:rsid w:val="3BAC6612"/>
    <w:rsid w:val="3BAC7A40"/>
    <w:rsid w:val="3BAC7C11"/>
    <w:rsid w:val="3BAC7F61"/>
    <w:rsid w:val="3BAD6479"/>
    <w:rsid w:val="3BAE4FCF"/>
    <w:rsid w:val="3BAE5294"/>
    <w:rsid w:val="3BAE5737"/>
    <w:rsid w:val="3BAE657D"/>
    <w:rsid w:val="3BAE6B74"/>
    <w:rsid w:val="3BAE7094"/>
    <w:rsid w:val="3BAF053B"/>
    <w:rsid w:val="3BAF41AB"/>
    <w:rsid w:val="3BAF50FB"/>
    <w:rsid w:val="3BAF7123"/>
    <w:rsid w:val="3BB007B4"/>
    <w:rsid w:val="3BB00FC7"/>
    <w:rsid w:val="3BB014AF"/>
    <w:rsid w:val="3BB024C0"/>
    <w:rsid w:val="3BB0325D"/>
    <w:rsid w:val="3BB0362F"/>
    <w:rsid w:val="3BB03821"/>
    <w:rsid w:val="3BB0396C"/>
    <w:rsid w:val="3BB07701"/>
    <w:rsid w:val="3BB07937"/>
    <w:rsid w:val="3BB10350"/>
    <w:rsid w:val="3BB10A37"/>
    <w:rsid w:val="3BB15ED6"/>
    <w:rsid w:val="3BB16FD5"/>
    <w:rsid w:val="3BB21AA8"/>
    <w:rsid w:val="3BB30F9F"/>
    <w:rsid w:val="3BB32D4D"/>
    <w:rsid w:val="3BB334BF"/>
    <w:rsid w:val="3BB35830"/>
    <w:rsid w:val="3BB371F1"/>
    <w:rsid w:val="3BB41823"/>
    <w:rsid w:val="3BB42CE8"/>
    <w:rsid w:val="3BB459D1"/>
    <w:rsid w:val="3BB476AE"/>
    <w:rsid w:val="3BB47CA9"/>
    <w:rsid w:val="3BB50822"/>
    <w:rsid w:val="3BB52F69"/>
    <w:rsid w:val="3BB54D17"/>
    <w:rsid w:val="3BB567A6"/>
    <w:rsid w:val="3BB6283D"/>
    <w:rsid w:val="3BB645EB"/>
    <w:rsid w:val="3BB70A8F"/>
    <w:rsid w:val="3BB72832"/>
    <w:rsid w:val="3BB73DD6"/>
    <w:rsid w:val="3BB76732"/>
    <w:rsid w:val="3BB77603"/>
    <w:rsid w:val="3BB80364"/>
    <w:rsid w:val="3BB816D4"/>
    <w:rsid w:val="3BB83E5E"/>
    <w:rsid w:val="3BB840E2"/>
    <w:rsid w:val="3BB84297"/>
    <w:rsid w:val="3BB84807"/>
    <w:rsid w:val="3BB865B6"/>
    <w:rsid w:val="3BB8779B"/>
    <w:rsid w:val="3BB91F9B"/>
    <w:rsid w:val="3BB93B4C"/>
    <w:rsid w:val="3BB95A31"/>
    <w:rsid w:val="3BBA0580"/>
    <w:rsid w:val="3BBA38D1"/>
    <w:rsid w:val="3BBB226F"/>
    <w:rsid w:val="3BBB4574"/>
    <w:rsid w:val="3BBB7E54"/>
    <w:rsid w:val="3BBC3665"/>
    <w:rsid w:val="3BBC5D4F"/>
    <w:rsid w:val="3BBC6E11"/>
    <w:rsid w:val="3BBD1E1E"/>
    <w:rsid w:val="3BBD267C"/>
    <w:rsid w:val="3BBD3634"/>
    <w:rsid w:val="3BBD597A"/>
    <w:rsid w:val="3BBD753A"/>
    <w:rsid w:val="3BBE0ECD"/>
    <w:rsid w:val="3BBE12BA"/>
    <w:rsid w:val="3BBE1CBD"/>
    <w:rsid w:val="3BBE3226"/>
    <w:rsid w:val="3BBE38AA"/>
    <w:rsid w:val="3BBE4AC4"/>
    <w:rsid w:val="3BBF1574"/>
    <w:rsid w:val="3BBF29FA"/>
    <w:rsid w:val="3BBF38D9"/>
    <w:rsid w:val="3BBF5492"/>
    <w:rsid w:val="3BBF66A0"/>
    <w:rsid w:val="3BBF7944"/>
    <w:rsid w:val="3BC00874"/>
    <w:rsid w:val="3BC01AAD"/>
    <w:rsid w:val="3BC01CEC"/>
    <w:rsid w:val="3BC03DAD"/>
    <w:rsid w:val="3BC06968"/>
    <w:rsid w:val="3BC1190E"/>
    <w:rsid w:val="3BC136BC"/>
    <w:rsid w:val="3BC16B45"/>
    <w:rsid w:val="3BC25E4B"/>
    <w:rsid w:val="3BC30935"/>
    <w:rsid w:val="3BC35686"/>
    <w:rsid w:val="3BC36FC3"/>
    <w:rsid w:val="3BC411CA"/>
    <w:rsid w:val="3BC4211A"/>
    <w:rsid w:val="3BC460AA"/>
    <w:rsid w:val="3BC46D08"/>
    <w:rsid w:val="3BC53B07"/>
    <w:rsid w:val="3BC55C8D"/>
    <w:rsid w:val="3BC57B8F"/>
    <w:rsid w:val="3BC646E5"/>
    <w:rsid w:val="3BC66F24"/>
    <w:rsid w:val="3BC70A1B"/>
    <w:rsid w:val="3BC76709"/>
    <w:rsid w:val="3BC767F9"/>
    <w:rsid w:val="3BC82C9D"/>
    <w:rsid w:val="3BC83719"/>
    <w:rsid w:val="3BC84EF0"/>
    <w:rsid w:val="3BC8543C"/>
    <w:rsid w:val="3BC91556"/>
    <w:rsid w:val="3BC92571"/>
    <w:rsid w:val="3BC9431F"/>
    <w:rsid w:val="3BC97F6D"/>
    <w:rsid w:val="3BCA6150"/>
    <w:rsid w:val="3BCB176B"/>
    <w:rsid w:val="3BCB37BC"/>
    <w:rsid w:val="3BCB453B"/>
    <w:rsid w:val="3BCB4CCC"/>
    <w:rsid w:val="3BCB62E9"/>
    <w:rsid w:val="3BCB70C7"/>
    <w:rsid w:val="3BCC2061"/>
    <w:rsid w:val="3BCC6222"/>
    <w:rsid w:val="3BCC6E16"/>
    <w:rsid w:val="3BCD02B3"/>
    <w:rsid w:val="3BCD260C"/>
    <w:rsid w:val="3BCD463A"/>
    <w:rsid w:val="3BCE31FA"/>
    <w:rsid w:val="3BCE4159"/>
    <w:rsid w:val="3BCE4598"/>
    <w:rsid w:val="3BCE4B01"/>
    <w:rsid w:val="3BCE525A"/>
    <w:rsid w:val="3BCE5DD9"/>
    <w:rsid w:val="3BCE7B87"/>
    <w:rsid w:val="3BCF75A8"/>
    <w:rsid w:val="3BD01B51"/>
    <w:rsid w:val="3BD0350B"/>
    <w:rsid w:val="3BD03C9D"/>
    <w:rsid w:val="3BD05439"/>
    <w:rsid w:val="3BD10705"/>
    <w:rsid w:val="3BD11425"/>
    <w:rsid w:val="3BD12F39"/>
    <w:rsid w:val="3BD13680"/>
    <w:rsid w:val="3BD17677"/>
    <w:rsid w:val="3BD20652"/>
    <w:rsid w:val="3BD258C9"/>
    <w:rsid w:val="3BD31641"/>
    <w:rsid w:val="3BD32474"/>
    <w:rsid w:val="3BD344DB"/>
    <w:rsid w:val="3BD4606A"/>
    <w:rsid w:val="3BD46AAF"/>
    <w:rsid w:val="3BD4717F"/>
    <w:rsid w:val="3BD50179"/>
    <w:rsid w:val="3BD50A0B"/>
    <w:rsid w:val="3BD50F16"/>
    <w:rsid w:val="3BD553B9"/>
    <w:rsid w:val="3BD57167"/>
    <w:rsid w:val="3BD61609"/>
    <w:rsid w:val="3BD623C4"/>
    <w:rsid w:val="3BD634AB"/>
    <w:rsid w:val="3BD638FA"/>
    <w:rsid w:val="3BD643C7"/>
    <w:rsid w:val="3BD66A3C"/>
    <w:rsid w:val="3BD67BB7"/>
    <w:rsid w:val="3BD71242"/>
    <w:rsid w:val="3BD71B2E"/>
    <w:rsid w:val="3BD72B4E"/>
    <w:rsid w:val="3BD748F9"/>
    <w:rsid w:val="3BD74C8E"/>
    <w:rsid w:val="3BD74F88"/>
    <w:rsid w:val="3BD827B4"/>
    <w:rsid w:val="3BD93BD8"/>
    <w:rsid w:val="3BD93FEC"/>
    <w:rsid w:val="3BD95DF6"/>
    <w:rsid w:val="3BDA1A76"/>
    <w:rsid w:val="3BDA354F"/>
    <w:rsid w:val="3BDA477E"/>
    <w:rsid w:val="3BDA652C"/>
    <w:rsid w:val="3BDA7A57"/>
    <w:rsid w:val="3BDB014B"/>
    <w:rsid w:val="3BDB211E"/>
    <w:rsid w:val="3BDB4052"/>
    <w:rsid w:val="3BDB41DF"/>
    <w:rsid w:val="3BDB543E"/>
    <w:rsid w:val="3BDB6291"/>
    <w:rsid w:val="3BDB6E03"/>
    <w:rsid w:val="3BDC04F6"/>
    <w:rsid w:val="3BDC3B29"/>
    <w:rsid w:val="3BDD0095"/>
    <w:rsid w:val="3BDD2544"/>
    <w:rsid w:val="3BDD426E"/>
    <w:rsid w:val="3BDD51AD"/>
    <w:rsid w:val="3BDD601C"/>
    <w:rsid w:val="3BDD66F2"/>
    <w:rsid w:val="3BDF1D94"/>
    <w:rsid w:val="3BDF2AD4"/>
    <w:rsid w:val="3BDF2C87"/>
    <w:rsid w:val="3BDF3B42"/>
    <w:rsid w:val="3BDF69CD"/>
    <w:rsid w:val="3BDF79A2"/>
    <w:rsid w:val="3BDF7FE6"/>
    <w:rsid w:val="3BE10014"/>
    <w:rsid w:val="3BE108FC"/>
    <w:rsid w:val="3BE112ED"/>
    <w:rsid w:val="3BE127E5"/>
    <w:rsid w:val="3BE13D5E"/>
    <w:rsid w:val="3BE16585"/>
    <w:rsid w:val="3BE1671C"/>
    <w:rsid w:val="3BE169E9"/>
    <w:rsid w:val="3BE17BB8"/>
    <w:rsid w:val="3BE20963"/>
    <w:rsid w:val="3BE20AA9"/>
    <w:rsid w:val="3BE2178C"/>
    <w:rsid w:val="3BE23632"/>
    <w:rsid w:val="3BE244B1"/>
    <w:rsid w:val="3BE26E4E"/>
    <w:rsid w:val="3BE333D3"/>
    <w:rsid w:val="3BE33C0D"/>
    <w:rsid w:val="3BE3534E"/>
    <w:rsid w:val="3BE4509D"/>
    <w:rsid w:val="3BE54307"/>
    <w:rsid w:val="3BE54E48"/>
    <w:rsid w:val="3BE574E9"/>
    <w:rsid w:val="3BE61375"/>
    <w:rsid w:val="3BE617FF"/>
    <w:rsid w:val="3BE62419"/>
    <w:rsid w:val="3BE6258E"/>
    <w:rsid w:val="3BE630AA"/>
    <w:rsid w:val="3BE63123"/>
    <w:rsid w:val="3BE64241"/>
    <w:rsid w:val="3BE70C49"/>
    <w:rsid w:val="3BE71161"/>
    <w:rsid w:val="3BE74967"/>
    <w:rsid w:val="3BE76AFA"/>
    <w:rsid w:val="3BE82A02"/>
    <w:rsid w:val="3BE850ED"/>
    <w:rsid w:val="3BE865EF"/>
    <w:rsid w:val="3BE86E9B"/>
    <w:rsid w:val="3BE87915"/>
    <w:rsid w:val="3BE87FF4"/>
    <w:rsid w:val="3BE924E4"/>
    <w:rsid w:val="3BE97A4D"/>
    <w:rsid w:val="3BEA2F3A"/>
    <w:rsid w:val="3BEA4314"/>
    <w:rsid w:val="3BEB0739"/>
    <w:rsid w:val="3BEB24E7"/>
    <w:rsid w:val="3BEB60DB"/>
    <w:rsid w:val="3BEC215F"/>
    <w:rsid w:val="3BEC256F"/>
    <w:rsid w:val="3BEC30B6"/>
    <w:rsid w:val="3BED0FD1"/>
    <w:rsid w:val="3BED44B1"/>
    <w:rsid w:val="3BEE1FD7"/>
    <w:rsid w:val="3BEE2C84"/>
    <w:rsid w:val="3BEE647B"/>
    <w:rsid w:val="3BEE70B1"/>
    <w:rsid w:val="3BEE7D62"/>
    <w:rsid w:val="3BEE7E22"/>
    <w:rsid w:val="3BEF19A8"/>
    <w:rsid w:val="3BEF57A4"/>
    <w:rsid w:val="3BF00C10"/>
    <w:rsid w:val="3BF07952"/>
    <w:rsid w:val="3BF07AFD"/>
    <w:rsid w:val="3BF1198B"/>
    <w:rsid w:val="3BF12BD4"/>
    <w:rsid w:val="3BF21AC7"/>
    <w:rsid w:val="3BF27D19"/>
    <w:rsid w:val="3BF30907"/>
    <w:rsid w:val="3BF33176"/>
    <w:rsid w:val="3BF33A92"/>
    <w:rsid w:val="3BF345A7"/>
    <w:rsid w:val="3BF350F4"/>
    <w:rsid w:val="3BF35840"/>
    <w:rsid w:val="3BF375EE"/>
    <w:rsid w:val="3BF53366"/>
    <w:rsid w:val="3BF541DA"/>
    <w:rsid w:val="3BF544BC"/>
    <w:rsid w:val="3BF55114"/>
    <w:rsid w:val="3BF56718"/>
    <w:rsid w:val="3BF57526"/>
    <w:rsid w:val="3BF61E4F"/>
    <w:rsid w:val="3BF62357"/>
    <w:rsid w:val="3BF6437E"/>
    <w:rsid w:val="3BF65EDD"/>
    <w:rsid w:val="3BF70B83"/>
    <w:rsid w:val="3BF72535"/>
    <w:rsid w:val="3BF74C33"/>
    <w:rsid w:val="3BF75330"/>
    <w:rsid w:val="3BF77B1E"/>
    <w:rsid w:val="3BF80105"/>
    <w:rsid w:val="3BF82E56"/>
    <w:rsid w:val="3BF87A87"/>
    <w:rsid w:val="3BF910A8"/>
    <w:rsid w:val="3BF95B4F"/>
    <w:rsid w:val="3BFA3789"/>
    <w:rsid w:val="3BFA3BE5"/>
    <w:rsid w:val="3BFA6BCE"/>
    <w:rsid w:val="3BFA7034"/>
    <w:rsid w:val="3BFB4A65"/>
    <w:rsid w:val="3BFB5A4E"/>
    <w:rsid w:val="3BFB7B8B"/>
    <w:rsid w:val="3BFC2946"/>
    <w:rsid w:val="3BFC4586"/>
    <w:rsid w:val="3BFC46F4"/>
    <w:rsid w:val="3BFC5455"/>
    <w:rsid w:val="3BFC5EF5"/>
    <w:rsid w:val="3BFD046C"/>
    <w:rsid w:val="3BFD1975"/>
    <w:rsid w:val="3BFD221A"/>
    <w:rsid w:val="3BFD5C1E"/>
    <w:rsid w:val="3BFE1F56"/>
    <w:rsid w:val="3BFF1CA5"/>
    <w:rsid w:val="3BFF2436"/>
    <w:rsid w:val="3BFF39B1"/>
    <w:rsid w:val="3BFF41E4"/>
    <w:rsid w:val="3C004373"/>
    <w:rsid w:val="3C006D4B"/>
    <w:rsid w:val="3C011D0B"/>
    <w:rsid w:val="3C013330"/>
    <w:rsid w:val="3C017196"/>
    <w:rsid w:val="3C0178EF"/>
    <w:rsid w:val="3C017F57"/>
    <w:rsid w:val="3C017F5D"/>
    <w:rsid w:val="3C022480"/>
    <w:rsid w:val="3C025A83"/>
    <w:rsid w:val="3C027F6F"/>
    <w:rsid w:val="3C0315FB"/>
    <w:rsid w:val="3C0337D4"/>
    <w:rsid w:val="3C033CD5"/>
    <w:rsid w:val="3C034403"/>
    <w:rsid w:val="3C0356A1"/>
    <w:rsid w:val="3C035F1A"/>
    <w:rsid w:val="3C036BDA"/>
    <w:rsid w:val="3C041092"/>
    <w:rsid w:val="3C041100"/>
    <w:rsid w:val="3C0417FB"/>
    <w:rsid w:val="3C0429DD"/>
    <w:rsid w:val="3C0446D8"/>
    <w:rsid w:val="3C046AB8"/>
    <w:rsid w:val="3C046C13"/>
    <w:rsid w:val="3C04752C"/>
    <w:rsid w:val="3C0539E6"/>
    <w:rsid w:val="3C055B26"/>
    <w:rsid w:val="3C057D36"/>
    <w:rsid w:val="3C060031"/>
    <w:rsid w:val="3C060C6C"/>
    <w:rsid w:val="3C0637C5"/>
    <w:rsid w:val="3C065080"/>
    <w:rsid w:val="3C066FA7"/>
    <w:rsid w:val="3C0725A2"/>
    <w:rsid w:val="3C0741D6"/>
    <w:rsid w:val="3C0751EC"/>
    <w:rsid w:val="3C07588A"/>
    <w:rsid w:val="3C076D0B"/>
    <w:rsid w:val="3C0817F8"/>
    <w:rsid w:val="3C082C6F"/>
    <w:rsid w:val="3C08647C"/>
    <w:rsid w:val="3C08753D"/>
    <w:rsid w:val="3C087672"/>
    <w:rsid w:val="3C091D72"/>
    <w:rsid w:val="3C09330F"/>
    <w:rsid w:val="3C0938E6"/>
    <w:rsid w:val="3C09595A"/>
    <w:rsid w:val="3C096856"/>
    <w:rsid w:val="3C096894"/>
    <w:rsid w:val="3C096E11"/>
    <w:rsid w:val="3C0A14A5"/>
    <w:rsid w:val="3C0B0EA9"/>
    <w:rsid w:val="3C0B2B89"/>
    <w:rsid w:val="3C0B4FA6"/>
    <w:rsid w:val="3C0B65F9"/>
    <w:rsid w:val="3C0B7252"/>
    <w:rsid w:val="3C0C38B6"/>
    <w:rsid w:val="3C0C4260"/>
    <w:rsid w:val="3C0D0E94"/>
    <w:rsid w:val="3C0D2960"/>
    <w:rsid w:val="3C0E0886"/>
    <w:rsid w:val="3C0E4427"/>
    <w:rsid w:val="3C0E61D6"/>
    <w:rsid w:val="3C0F198D"/>
    <w:rsid w:val="3C1001A0"/>
    <w:rsid w:val="3C101EF8"/>
    <w:rsid w:val="3C101F4E"/>
    <w:rsid w:val="3C10408D"/>
    <w:rsid w:val="3C1057FB"/>
    <w:rsid w:val="3C106A05"/>
    <w:rsid w:val="3C1102CB"/>
    <w:rsid w:val="3C12216A"/>
    <w:rsid w:val="3C122AA2"/>
    <w:rsid w:val="3C123F18"/>
    <w:rsid w:val="3C127B13"/>
    <w:rsid w:val="3C127C6C"/>
    <w:rsid w:val="3C132809"/>
    <w:rsid w:val="3C1429B6"/>
    <w:rsid w:val="3C142F4F"/>
    <w:rsid w:val="3C1453FB"/>
    <w:rsid w:val="3C14668B"/>
    <w:rsid w:val="3C150B19"/>
    <w:rsid w:val="3C155179"/>
    <w:rsid w:val="3C1557B6"/>
    <w:rsid w:val="3C166A9C"/>
    <w:rsid w:val="3C176464"/>
    <w:rsid w:val="3C177780"/>
    <w:rsid w:val="3C177F2C"/>
    <w:rsid w:val="3C1826FC"/>
    <w:rsid w:val="3C182856"/>
    <w:rsid w:val="3C184ED4"/>
    <w:rsid w:val="3C1934F8"/>
    <w:rsid w:val="3C194460"/>
    <w:rsid w:val="3C1A1451"/>
    <w:rsid w:val="3C1A4AEA"/>
    <w:rsid w:val="3C1A68AD"/>
    <w:rsid w:val="3C1B0A6A"/>
    <w:rsid w:val="3C1B48C9"/>
    <w:rsid w:val="3C1B58D0"/>
    <w:rsid w:val="3C1B6923"/>
    <w:rsid w:val="3C1C08EE"/>
    <w:rsid w:val="3C1C3226"/>
    <w:rsid w:val="3C1C6B44"/>
    <w:rsid w:val="3C1D00DB"/>
    <w:rsid w:val="3C1D1C7C"/>
    <w:rsid w:val="3C1D1EE2"/>
    <w:rsid w:val="3C1D3123"/>
    <w:rsid w:val="3C1D466B"/>
    <w:rsid w:val="3C1D5751"/>
    <w:rsid w:val="3C1E0B0E"/>
    <w:rsid w:val="3C1E28BD"/>
    <w:rsid w:val="3C1E31AC"/>
    <w:rsid w:val="3C1E4164"/>
    <w:rsid w:val="3C1F0277"/>
    <w:rsid w:val="3C1F03E3"/>
    <w:rsid w:val="3C1F3E60"/>
    <w:rsid w:val="3C1F4887"/>
    <w:rsid w:val="3C1F6635"/>
    <w:rsid w:val="3C200B8F"/>
    <w:rsid w:val="3C201181"/>
    <w:rsid w:val="3C20213A"/>
    <w:rsid w:val="3C2022F0"/>
    <w:rsid w:val="3C202B7C"/>
    <w:rsid w:val="3C211DCF"/>
    <w:rsid w:val="3C212EC2"/>
    <w:rsid w:val="3C21415B"/>
    <w:rsid w:val="3C214CB9"/>
    <w:rsid w:val="3C215F09"/>
    <w:rsid w:val="3C21759B"/>
    <w:rsid w:val="3C227C10"/>
    <w:rsid w:val="3C230E3E"/>
    <w:rsid w:val="3C236B1A"/>
    <w:rsid w:val="3C243C4B"/>
    <w:rsid w:val="3C243C71"/>
    <w:rsid w:val="3C245264"/>
    <w:rsid w:val="3C2459F9"/>
    <w:rsid w:val="3C245ED1"/>
    <w:rsid w:val="3C253184"/>
    <w:rsid w:val="3C2548F7"/>
    <w:rsid w:val="3C2567C5"/>
    <w:rsid w:val="3C261771"/>
    <w:rsid w:val="3C2679C3"/>
    <w:rsid w:val="3C274AEF"/>
    <w:rsid w:val="3C275B0D"/>
    <w:rsid w:val="3C276A75"/>
    <w:rsid w:val="3C2771AE"/>
    <w:rsid w:val="3C2854E9"/>
    <w:rsid w:val="3C296830"/>
    <w:rsid w:val="3C2977E6"/>
    <w:rsid w:val="3C2A0971"/>
    <w:rsid w:val="3C2A0E99"/>
    <w:rsid w:val="3C2B03CE"/>
    <w:rsid w:val="3C2B31B0"/>
    <w:rsid w:val="3C2B3679"/>
    <w:rsid w:val="3C2B3C18"/>
    <w:rsid w:val="3C2B6D87"/>
    <w:rsid w:val="3C2C25BD"/>
    <w:rsid w:val="3C2C3893"/>
    <w:rsid w:val="3C2C7FB4"/>
    <w:rsid w:val="3C2D0D52"/>
    <w:rsid w:val="3C2D1537"/>
    <w:rsid w:val="3C2D1FC2"/>
    <w:rsid w:val="3C2D2B00"/>
    <w:rsid w:val="3C2D6106"/>
    <w:rsid w:val="3C2D6FA3"/>
    <w:rsid w:val="3C2D7443"/>
    <w:rsid w:val="3C2E0626"/>
    <w:rsid w:val="3C2E0D86"/>
    <w:rsid w:val="3C2E0FE8"/>
    <w:rsid w:val="3C2E22CB"/>
    <w:rsid w:val="3C2E6878"/>
    <w:rsid w:val="3C2E7570"/>
    <w:rsid w:val="3C2F05A9"/>
    <w:rsid w:val="3C2F1E93"/>
    <w:rsid w:val="3C2F2370"/>
    <w:rsid w:val="3C2F397A"/>
    <w:rsid w:val="3C2F44A4"/>
    <w:rsid w:val="3C2F4ACA"/>
    <w:rsid w:val="3C30097B"/>
    <w:rsid w:val="3C301958"/>
    <w:rsid w:val="3C302214"/>
    <w:rsid w:val="3C303577"/>
    <w:rsid w:val="3C303BF0"/>
    <w:rsid w:val="3C311437"/>
    <w:rsid w:val="3C3118A6"/>
    <w:rsid w:val="3C311AD7"/>
    <w:rsid w:val="3C312D26"/>
    <w:rsid w:val="3C3176E0"/>
    <w:rsid w:val="3C320116"/>
    <w:rsid w:val="3C321F5A"/>
    <w:rsid w:val="3C3245BA"/>
    <w:rsid w:val="3C32574C"/>
    <w:rsid w:val="3C3262C6"/>
    <w:rsid w:val="3C331F38"/>
    <w:rsid w:val="3C333E8E"/>
    <w:rsid w:val="3C335C3C"/>
    <w:rsid w:val="3C335F4F"/>
    <w:rsid w:val="3C3419C0"/>
    <w:rsid w:val="3C342025"/>
    <w:rsid w:val="3C3420E0"/>
    <w:rsid w:val="3C343766"/>
    <w:rsid w:val="3C34604F"/>
    <w:rsid w:val="3C346FA0"/>
    <w:rsid w:val="3C347B92"/>
    <w:rsid w:val="3C3519B4"/>
    <w:rsid w:val="3C351E3D"/>
    <w:rsid w:val="3C3534B5"/>
    <w:rsid w:val="3C356219"/>
    <w:rsid w:val="3C362434"/>
    <w:rsid w:val="3C36344F"/>
    <w:rsid w:val="3C367336"/>
    <w:rsid w:val="3C371BD0"/>
    <w:rsid w:val="3C3814A4"/>
    <w:rsid w:val="3C382DD0"/>
    <w:rsid w:val="3C384FDB"/>
    <w:rsid w:val="3C390623"/>
    <w:rsid w:val="3C39085C"/>
    <w:rsid w:val="3C391CEA"/>
    <w:rsid w:val="3C3A2098"/>
    <w:rsid w:val="3C3A346E"/>
    <w:rsid w:val="3C3A6681"/>
    <w:rsid w:val="3C3A6FCB"/>
    <w:rsid w:val="3C3A771E"/>
    <w:rsid w:val="3C3A79ED"/>
    <w:rsid w:val="3C3B1EF8"/>
    <w:rsid w:val="3C3B726F"/>
    <w:rsid w:val="3C3C0578"/>
    <w:rsid w:val="3C3C0F95"/>
    <w:rsid w:val="3C3C2D43"/>
    <w:rsid w:val="3C3C362A"/>
    <w:rsid w:val="3C3C38A5"/>
    <w:rsid w:val="3C3C510F"/>
    <w:rsid w:val="3C3C7866"/>
    <w:rsid w:val="3C3D247F"/>
    <w:rsid w:val="3C3D3BC2"/>
    <w:rsid w:val="3C3D4818"/>
    <w:rsid w:val="3C3D6ABB"/>
    <w:rsid w:val="3C3E2F5F"/>
    <w:rsid w:val="3C3E33BA"/>
    <w:rsid w:val="3C3E48BA"/>
    <w:rsid w:val="3C3E4D0D"/>
    <w:rsid w:val="3C3E66B3"/>
    <w:rsid w:val="3C3E73E9"/>
    <w:rsid w:val="3C3F0576"/>
    <w:rsid w:val="3C3F1C5A"/>
    <w:rsid w:val="3C3F2833"/>
    <w:rsid w:val="3C3F731F"/>
    <w:rsid w:val="3C402634"/>
    <w:rsid w:val="3C403E6D"/>
    <w:rsid w:val="3C4063D5"/>
    <w:rsid w:val="3C406625"/>
    <w:rsid w:val="3C406CD7"/>
    <w:rsid w:val="3C406DA3"/>
    <w:rsid w:val="3C406EAC"/>
    <w:rsid w:val="3C410359"/>
    <w:rsid w:val="3C411DE4"/>
    <w:rsid w:val="3C4151F8"/>
    <w:rsid w:val="3C416035"/>
    <w:rsid w:val="3C4165AB"/>
    <w:rsid w:val="3C423D71"/>
    <w:rsid w:val="3C424C2F"/>
    <w:rsid w:val="3C425AB9"/>
    <w:rsid w:val="3C425B8B"/>
    <w:rsid w:val="3C4271FA"/>
    <w:rsid w:val="3C430575"/>
    <w:rsid w:val="3C431948"/>
    <w:rsid w:val="3C4340D1"/>
    <w:rsid w:val="3C43798F"/>
    <w:rsid w:val="3C441B1A"/>
    <w:rsid w:val="3C44507B"/>
    <w:rsid w:val="3C445E89"/>
    <w:rsid w:val="3C4474E1"/>
    <w:rsid w:val="3C452098"/>
    <w:rsid w:val="3C4545FD"/>
    <w:rsid w:val="3C460065"/>
    <w:rsid w:val="3C461E13"/>
    <w:rsid w:val="3C462073"/>
    <w:rsid w:val="3C46257A"/>
    <w:rsid w:val="3C463BC1"/>
    <w:rsid w:val="3C46597A"/>
    <w:rsid w:val="3C470898"/>
    <w:rsid w:val="3C470A0A"/>
    <w:rsid w:val="3C47727D"/>
    <w:rsid w:val="3C477F26"/>
    <w:rsid w:val="3C480F3E"/>
    <w:rsid w:val="3C4816E7"/>
    <w:rsid w:val="3C48694D"/>
    <w:rsid w:val="3C491E90"/>
    <w:rsid w:val="3C491ED8"/>
    <w:rsid w:val="3C4936B2"/>
    <w:rsid w:val="3C495460"/>
    <w:rsid w:val="3C4A3F65"/>
    <w:rsid w:val="3C4A7366"/>
    <w:rsid w:val="3C4A75A4"/>
    <w:rsid w:val="3C4B215E"/>
    <w:rsid w:val="3C4B47C8"/>
    <w:rsid w:val="3C4B5075"/>
    <w:rsid w:val="3C4B54A2"/>
    <w:rsid w:val="3C4B66B6"/>
    <w:rsid w:val="3C4B74CA"/>
    <w:rsid w:val="3C4C41D6"/>
    <w:rsid w:val="3C4C6284"/>
    <w:rsid w:val="3C4D08C1"/>
    <w:rsid w:val="3C4D13F4"/>
    <w:rsid w:val="3C4D31A2"/>
    <w:rsid w:val="3C4D4174"/>
    <w:rsid w:val="3C4D6CFE"/>
    <w:rsid w:val="3C4E0CC8"/>
    <w:rsid w:val="3C4E2A76"/>
    <w:rsid w:val="3C4E2F23"/>
    <w:rsid w:val="3C4F0DA2"/>
    <w:rsid w:val="3C4F4B44"/>
    <w:rsid w:val="3C4F6F1A"/>
    <w:rsid w:val="3C4F723F"/>
    <w:rsid w:val="3C502C92"/>
    <w:rsid w:val="3C5039D8"/>
    <w:rsid w:val="3C504A40"/>
    <w:rsid w:val="3C506297"/>
    <w:rsid w:val="3C506421"/>
    <w:rsid w:val="3C507121"/>
    <w:rsid w:val="3C50732D"/>
    <w:rsid w:val="3C513104"/>
    <w:rsid w:val="3C522566"/>
    <w:rsid w:val="3C5233BA"/>
    <w:rsid w:val="3C526776"/>
    <w:rsid w:val="3C526830"/>
    <w:rsid w:val="3C526CEF"/>
    <w:rsid w:val="3C53008C"/>
    <w:rsid w:val="3C53336D"/>
    <w:rsid w:val="3C533E3D"/>
    <w:rsid w:val="3C536A3E"/>
    <w:rsid w:val="3C537136"/>
    <w:rsid w:val="3C5405C7"/>
    <w:rsid w:val="3C540896"/>
    <w:rsid w:val="3C5502A8"/>
    <w:rsid w:val="3C551B9E"/>
    <w:rsid w:val="3C560478"/>
    <w:rsid w:val="3C563686"/>
    <w:rsid w:val="3C564CDE"/>
    <w:rsid w:val="3C565266"/>
    <w:rsid w:val="3C5662BD"/>
    <w:rsid w:val="3C574C93"/>
    <w:rsid w:val="3C575DCE"/>
    <w:rsid w:val="3C577F90"/>
    <w:rsid w:val="3C581420"/>
    <w:rsid w:val="3C583F12"/>
    <w:rsid w:val="3C58437E"/>
    <w:rsid w:val="3C5850E9"/>
    <w:rsid w:val="3C5929E2"/>
    <w:rsid w:val="3C594CA6"/>
    <w:rsid w:val="3C594E5B"/>
    <w:rsid w:val="3C5A0F0C"/>
    <w:rsid w:val="3C5A141B"/>
    <w:rsid w:val="3C5A22F7"/>
    <w:rsid w:val="3C5A4B2B"/>
    <w:rsid w:val="3C5A5481"/>
    <w:rsid w:val="3C5A58BF"/>
    <w:rsid w:val="3C5A766D"/>
    <w:rsid w:val="3C5B314C"/>
    <w:rsid w:val="3C5B3302"/>
    <w:rsid w:val="3C5B4213"/>
    <w:rsid w:val="3C5B6911"/>
    <w:rsid w:val="3C5B695A"/>
    <w:rsid w:val="3C5B75A5"/>
    <w:rsid w:val="3C5B77C4"/>
    <w:rsid w:val="3C5C0FC8"/>
    <w:rsid w:val="3C5C1637"/>
    <w:rsid w:val="3C5C1642"/>
    <w:rsid w:val="3C5C5193"/>
    <w:rsid w:val="3C5C6F51"/>
    <w:rsid w:val="3C5C762F"/>
    <w:rsid w:val="3C5D3122"/>
    <w:rsid w:val="3C5D6C36"/>
    <w:rsid w:val="3C5D7F58"/>
    <w:rsid w:val="3C5E015C"/>
    <w:rsid w:val="3C5E59CA"/>
    <w:rsid w:val="3C5F4C83"/>
    <w:rsid w:val="3C604C0C"/>
    <w:rsid w:val="3C614495"/>
    <w:rsid w:val="3C616C4D"/>
    <w:rsid w:val="3C6176BA"/>
    <w:rsid w:val="3C624D6E"/>
    <w:rsid w:val="3C6250A3"/>
    <w:rsid w:val="3C630334"/>
    <w:rsid w:val="3C630C75"/>
    <w:rsid w:val="3C6329C5"/>
    <w:rsid w:val="3C63471E"/>
    <w:rsid w:val="3C634773"/>
    <w:rsid w:val="3C636E7F"/>
    <w:rsid w:val="3C6373CA"/>
    <w:rsid w:val="3C64040A"/>
    <w:rsid w:val="3C641104"/>
    <w:rsid w:val="3C6430C6"/>
    <w:rsid w:val="3C6473E9"/>
    <w:rsid w:val="3C6479C3"/>
    <w:rsid w:val="3C6504EB"/>
    <w:rsid w:val="3C651671"/>
    <w:rsid w:val="3C6524A8"/>
    <w:rsid w:val="3C6525F7"/>
    <w:rsid w:val="3C65673D"/>
    <w:rsid w:val="3C66231C"/>
    <w:rsid w:val="3C66326D"/>
    <w:rsid w:val="3C666012"/>
    <w:rsid w:val="3C667DC0"/>
    <w:rsid w:val="3C673D92"/>
    <w:rsid w:val="3C67713B"/>
    <w:rsid w:val="3C677B59"/>
    <w:rsid w:val="3C681114"/>
    <w:rsid w:val="3C684650"/>
    <w:rsid w:val="3C690A12"/>
    <w:rsid w:val="3C69102E"/>
    <w:rsid w:val="3C6926A6"/>
    <w:rsid w:val="3C692AFF"/>
    <w:rsid w:val="3C69408C"/>
    <w:rsid w:val="3C695ADF"/>
    <w:rsid w:val="3C6960FA"/>
    <w:rsid w:val="3C697667"/>
    <w:rsid w:val="3C6A3D54"/>
    <w:rsid w:val="3C6A5B02"/>
    <w:rsid w:val="3C6A71F4"/>
    <w:rsid w:val="3C6B13F4"/>
    <w:rsid w:val="3C6B187A"/>
    <w:rsid w:val="3C6B26E4"/>
    <w:rsid w:val="3C6B3628"/>
    <w:rsid w:val="3C6B7ACC"/>
    <w:rsid w:val="3C6C6155"/>
    <w:rsid w:val="3C6C7913"/>
    <w:rsid w:val="3C6D4611"/>
    <w:rsid w:val="3C6D4A38"/>
    <w:rsid w:val="3C6D55F2"/>
    <w:rsid w:val="3C6E07C6"/>
    <w:rsid w:val="3C6E3202"/>
    <w:rsid w:val="3C6E4131"/>
    <w:rsid w:val="3C6E4EC6"/>
    <w:rsid w:val="3C6E5617"/>
    <w:rsid w:val="3C6F5029"/>
    <w:rsid w:val="3C6F6217"/>
    <w:rsid w:val="3C6F639A"/>
    <w:rsid w:val="3C7010CA"/>
    <w:rsid w:val="3C7050E2"/>
    <w:rsid w:val="3C710B37"/>
    <w:rsid w:val="3C710D23"/>
    <w:rsid w:val="3C717D8F"/>
    <w:rsid w:val="3C720E5A"/>
    <w:rsid w:val="3C722C08"/>
    <w:rsid w:val="3C7249B6"/>
    <w:rsid w:val="3C742A08"/>
    <w:rsid w:val="3C7474B8"/>
    <w:rsid w:val="3C750948"/>
    <w:rsid w:val="3C756311"/>
    <w:rsid w:val="3C76158A"/>
    <w:rsid w:val="3C761AAA"/>
    <w:rsid w:val="3C7626F9"/>
    <w:rsid w:val="3C77021F"/>
    <w:rsid w:val="3C770472"/>
    <w:rsid w:val="3C771943"/>
    <w:rsid w:val="3C7772E8"/>
    <w:rsid w:val="3C780A0A"/>
    <w:rsid w:val="3C780F3D"/>
    <w:rsid w:val="3C7818EE"/>
    <w:rsid w:val="3C782E3B"/>
    <w:rsid w:val="3C785826"/>
    <w:rsid w:val="3C7861C8"/>
    <w:rsid w:val="3C793F97"/>
    <w:rsid w:val="3C794C68"/>
    <w:rsid w:val="3C795D45"/>
    <w:rsid w:val="3C7964BB"/>
    <w:rsid w:val="3C79662B"/>
    <w:rsid w:val="3C797AF3"/>
    <w:rsid w:val="3C7A0E0D"/>
    <w:rsid w:val="3C7A1ABD"/>
    <w:rsid w:val="3C7A386B"/>
    <w:rsid w:val="3C7A5192"/>
    <w:rsid w:val="3C7A52D4"/>
    <w:rsid w:val="3C7A596A"/>
    <w:rsid w:val="3C7B2D63"/>
    <w:rsid w:val="3C7B5E91"/>
    <w:rsid w:val="3C7B75CB"/>
    <w:rsid w:val="3C7B7D0F"/>
    <w:rsid w:val="3C7C081B"/>
    <w:rsid w:val="3C7C09C6"/>
    <w:rsid w:val="3C7C1082"/>
    <w:rsid w:val="3C7C2C99"/>
    <w:rsid w:val="3C7C3A87"/>
    <w:rsid w:val="3C7D2A4D"/>
    <w:rsid w:val="3C7E15AD"/>
    <w:rsid w:val="3C7E1C9B"/>
    <w:rsid w:val="3C7E2C6F"/>
    <w:rsid w:val="3C7E335B"/>
    <w:rsid w:val="3C7E5160"/>
    <w:rsid w:val="3C7E77FF"/>
    <w:rsid w:val="3C7F27CA"/>
    <w:rsid w:val="3C7F2B87"/>
    <w:rsid w:val="3C7F2F06"/>
    <w:rsid w:val="3C7F5D0C"/>
    <w:rsid w:val="3C801D3D"/>
    <w:rsid w:val="3C803437"/>
    <w:rsid w:val="3C81151E"/>
    <w:rsid w:val="3C811CD8"/>
    <w:rsid w:val="3C812E4B"/>
    <w:rsid w:val="3C815193"/>
    <w:rsid w:val="3C8174EA"/>
    <w:rsid w:val="3C817BE0"/>
    <w:rsid w:val="3C8303D1"/>
    <w:rsid w:val="3C830753"/>
    <w:rsid w:val="3C831717"/>
    <w:rsid w:val="3C833EA4"/>
    <w:rsid w:val="3C8343DC"/>
    <w:rsid w:val="3C836BC3"/>
    <w:rsid w:val="3C845CE7"/>
    <w:rsid w:val="3C850B8E"/>
    <w:rsid w:val="3C851455"/>
    <w:rsid w:val="3C852C51"/>
    <w:rsid w:val="3C852D0A"/>
    <w:rsid w:val="3C853170"/>
    <w:rsid w:val="3C853D67"/>
    <w:rsid w:val="3C857B95"/>
    <w:rsid w:val="3C861408"/>
    <w:rsid w:val="3C8627B4"/>
    <w:rsid w:val="3C863034"/>
    <w:rsid w:val="3C8640B5"/>
    <w:rsid w:val="3C865009"/>
    <w:rsid w:val="3C86610F"/>
    <w:rsid w:val="3C8666B4"/>
    <w:rsid w:val="3C872EE9"/>
    <w:rsid w:val="3C877917"/>
    <w:rsid w:val="3C89024E"/>
    <w:rsid w:val="3C89179A"/>
    <w:rsid w:val="3C894F96"/>
    <w:rsid w:val="3C89680D"/>
    <w:rsid w:val="3C8A0201"/>
    <w:rsid w:val="3C8A0F85"/>
    <w:rsid w:val="3C8A16DE"/>
    <w:rsid w:val="3C8A1D00"/>
    <w:rsid w:val="3C8A4AE6"/>
    <w:rsid w:val="3C8A58EE"/>
    <w:rsid w:val="3C8A6893"/>
    <w:rsid w:val="3C8B2FD6"/>
    <w:rsid w:val="3C8B3CCA"/>
    <w:rsid w:val="3C8B545E"/>
    <w:rsid w:val="3C8B5A78"/>
    <w:rsid w:val="3C8C02BF"/>
    <w:rsid w:val="3C8C2777"/>
    <w:rsid w:val="3C8C3885"/>
    <w:rsid w:val="3C8C41FE"/>
    <w:rsid w:val="3C8C6EBC"/>
    <w:rsid w:val="3C8C741E"/>
    <w:rsid w:val="3C8D17F0"/>
    <w:rsid w:val="3C8D7A42"/>
    <w:rsid w:val="3C8E1FD4"/>
    <w:rsid w:val="3C8E4865"/>
    <w:rsid w:val="3C8E78B9"/>
    <w:rsid w:val="3C8F1874"/>
    <w:rsid w:val="3C8F1CF6"/>
    <w:rsid w:val="3C8F37BA"/>
    <w:rsid w:val="3C8F541C"/>
    <w:rsid w:val="3C9012E0"/>
    <w:rsid w:val="3C90221E"/>
    <w:rsid w:val="3C902605"/>
    <w:rsid w:val="3C902983"/>
    <w:rsid w:val="3C902A53"/>
    <w:rsid w:val="3C90308E"/>
    <w:rsid w:val="3C90503C"/>
    <w:rsid w:val="3C905D68"/>
    <w:rsid w:val="3C906783"/>
    <w:rsid w:val="3C913019"/>
    <w:rsid w:val="3C9156E6"/>
    <w:rsid w:val="3C9169E0"/>
    <w:rsid w:val="3C917265"/>
    <w:rsid w:val="3C917532"/>
    <w:rsid w:val="3C92069A"/>
    <w:rsid w:val="3C920BB5"/>
    <w:rsid w:val="3C923EEF"/>
    <w:rsid w:val="3C926E07"/>
    <w:rsid w:val="3C930CC6"/>
    <w:rsid w:val="3C933ED1"/>
    <w:rsid w:val="3C940923"/>
    <w:rsid w:val="3C940DD1"/>
    <w:rsid w:val="3C9439CC"/>
    <w:rsid w:val="3C946AA2"/>
    <w:rsid w:val="3C9529F3"/>
    <w:rsid w:val="3C9568F7"/>
    <w:rsid w:val="3C9619C7"/>
    <w:rsid w:val="3C96358C"/>
    <w:rsid w:val="3C964B49"/>
    <w:rsid w:val="3C967B90"/>
    <w:rsid w:val="3C967F1C"/>
    <w:rsid w:val="3C97193F"/>
    <w:rsid w:val="3C9729E4"/>
    <w:rsid w:val="3C97441D"/>
    <w:rsid w:val="3C975DCD"/>
    <w:rsid w:val="3C9778C2"/>
    <w:rsid w:val="3C980980"/>
    <w:rsid w:val="3C981526"/>
    <w:rsid w:val="3C984E35"/>
    <w:rsid w:val="3C990195"/>
    <w:rsid w:val="3C990365"/>
    <w:rsid w:val="3C99066E"/>
    <w:rsid w:val="3C991F50"/>
    <w:rsid w:val="3C99235D"/>
    <w:rsid w:val="3C996732"/>
    <w:rsid w:val="3C9A11D3"/>
    <w:rsid w:val="3C9A5BF8"/>
    <w:rsid w:val="3C9A5CBB"/>
    <w:rsid w:val="3C9B215F"/>
    <w:rsid w:val="3C9B2663"/>
    <w:rsid w:val="3C9B4315"/>
    <w:rsid w:val="3C9B6A09"/>
    <w:rsid w:val="3C9B760D"/>
    <w:rsid w:val="3C9C154C"/>
    <w:rsid w:val="3C9C2562"/>
    <w:rsid w:val="3C9C2A0C"/>
    <w:rsid w:val="3C9C4BD8"/>
    <w:rsid w:val="3C9C5234"/>
    <w:rsid w:val="3C9C5ED7"/>
    <w:rsid w:val="3C9C7C85"/>
    <w:rsid w:val="3C9D17C7"/>
    <w:rsid w:val="3C9D7B54"/>
    <w:rsid w:val="3C9E04B6"/>
    <w:rsid w:val="3C9E0F56"/>
    <w:rsid w:val="3C9E166D"/>
    <w:rsid w:val="3C9E1C4F"/>
    <w:rsid w:val="3C9E48D2"/>
    <w:rsid w:val="3C9F2F36"/>
    <w:rsid w:val="3C9F32D2"/>
    <w:rsid w:val="3C9F6638"/>
    <w:rsid w:val="3CA0136A"/>
    <w:rsid w:val="3CA05045"/>
    <w:rsid w:val="3CA06DE2"/>
    <w:rsid w:val="3CA07775"/>
    <w:rsid w:val="3CA07C16"/>
    <w:rsid w:val="3CA10A57"/>
    <w:rsid w:val="3CA1108C"/>
    <w:rsid w:val="3CA11D44"/>
    <w:rsid w:val="3CA169A4"/>
    <w:rsid w:val="3CA1704A"/>
    <w:rsid w:val="3CA201BD"/>
    <w:rsid w:val="3CA2361B"/>
    <w:rsid w:val="3CA2556C"/>
    <w:rsid w:val="3CA32DC2"/>
    <w:rsid w:val="3CA352E5"/>
    <w:rsid w:val="3CA42FA8"/>
    <w:rsid w:val="3CA43C97"/>
    <w:rsid w:val="3CA46AF1"/>
    <w:rsid w:val="3CA50A4C"/>
    <w:rsid w:val="3CA52FDE"/>
    <w:rsid w:val="3CA54F22"/>
    <w:rsid w:val="3CA60B04"/>
    <w:rsid w:val="3CA61D20"/>
    <w:rsid w:val="3CA6298C"/>
    <w:rsid w:val="3CA64660"/>
    <w:rsid w:val="3CA65983"/>
    <w:rsid w:val="3CA77849"/>
    <w:rsid w:val="3CA803D8"/>
    <w:rsid w:val="3CA8118B"/>
    <w:rsid w:val="3CA8487C"/>
    <w:rsid w:val="3CA84C67"/>
    <w:rsid w:val="3CA8662A"/>
    <w:rsid w:val="3CA90B66"/>
    <w:rsid w:val="3CA95E9D"/>
    <w:rsid w:val="3CAA0C2A"/>
    <w:rsid w:val="3CAA23A2"/>
    <w:rsid w:val="3CAA37A0"/>
    <w:rsid w:val="3CAA4340"/>
    <w:rsid w:val="3CAB0758"/>
    <w:rsid w:val="3CAB4C8D"/>
    <w:rsid w:val="3CAB5F05"/>
    <w:rsid w:val="3CAB6AB0"/>
    <w:rsid w:val="3CAC2F8C"/>
    <w:rsid w:val="3CAC35E8"/>
    <w:rsid w:val="3CAC4B62"/>
    <w:rsid w:val="3CAC61B9"/>
    <w:rsid w:val="3CAC71B6"/>
    <w:rsid w:val="3CAD1E92"/>
    <w:rsid w:val="3CAD3C40"/>
    <w:rsid w:val="3CAD7248"/>
    <w:rsid w:val="3CAE157C"/>
    <w:rsid w:val="3CAF170F"/>
    <w:rsid w:val="3CAF1767"/>
    <w:rsid w:val="3CAF1F69"/>
    <w:rsid w:val="3CAF3BD4"/>
    <w:rsid w:val="3CAF5C0A"/>
    <w:rsid w:val="3CAF7421"/>
    <w:rsid w:val="3CB05344"/>
    <w:rsid w:val="3CB054DF"/>
    <w:rsid w:val="3CB11AC6"/>
    <w:rsid w:val="3CB11C76"/>
    <w:rsid w:val="3CB11D10"/>
    <w:rsid w:val="3CB13731"/>
    <w:rsid w:val="3CB15290"/>
    <w:rsid w:val="3CB22C1A"/>
    <w:rsid w:val="3CB2745A"/>
    <w:rsid w:val="3CB274A9"/>
    <w:rsid w:val="3CB3000D"/>
    <w:rsid w:val="3CB3139C"/>
    <w:rsid w:val="3CB329AF"/>
    <w:rsid w:val="3CB334BB"/>
    <w:rsid w:val="3CB37C5C"/>
    <w:rsid w:val="3CB37D85"/>
    <w:rsid w:val="3CB40E6E"/>
    <w:rsid w:val="3CB411F8"/>
    <w:rsid w:val="3CB42B91"/>
    <w:rsid w:val="3CB43221"/>
    <w:rsid w:val="3CB44FCF"/>
    <w:rsid w:val="3CB46052"/>
    <w:rsid w:val="3CB51856"/>
    <w:rsid w:val="3CB52AF5"/>
    <w:rsid w:val="3CB533E3"/>
    <w:rsid w:val="3CB565ED"/>
    <w:rsid w:val="3CB600E4"/>
    <w:rsid w:val="3CB60D47"/>
    <w:rsid w:val="3CB61B58"/>
    <w:rsid w:val="3CB6212B"/>
    <w:rsid w:val="3CB62A75"/>
    <w:rsid w:val="3CB64D35"/>
    <w:rsid w:val="3CB6585D"/>
    <w:rsid w:val="3CB66F99"/>
    <w:rsid w:val="3CB71D1D"/>
    <w:rsid w:val="3CB72D11"/>
    <w:rsid w:val="3CB73C58"/>
    <w:rsid w:val="3CB74BC2"/>
    <w:rsid w:val="3CB76A42"/>
    <w:rsid w:val="3CB80967"/>
    <w:rsid w:val="3CB80EBB"/>
    <w:rsid w:val="3CB822A6"/>
    <w:rsid w:val="3CB846D9"/>
    <w:rsid w:val="3CB84A6B"/>
    <w:rsid w:val="3CB84E74"/>
    <w:rsid w:val="3CB85E9D"/>
    <w:rsid w:val="3CB925E5"/>
    <w:rsid w:val="3CB959D9"/>
    <w:rsid w:val="3CB9732D"/>
    <w:rsid w:val="3CB97C2F"/>
    <w:rsid w:val="3CBA010B"/>
    <w:rsid w:val="3CBA20A0"/>
    <w:rsid w:val="3CBA222D"/>
    <w:rsid w:val="3CBA31C9"/>
    <w:rsid w:val="3CBA47FC"/>
    <w:rsid w:val="3CBB555F"/>
    <w:rsid w:val="3CBB5B93"/>
    <w:rsid w:val="3CBC002D"/>
    <w:rsid w:val="3CBC0226"/>
    <w:rsid w:val="3CBC1C8A"/>
    <w:rsid w:val="3CBC20D5"/>
    <w:rsid w:val="3CBC30DD"/>
    <w:rsid w:val="3CBC3285"/>
    <w:rsid w:val="3CBC363F"/>
    <w:rsid w:val="3CBC3E83"/>
    <w:rsid w:val="3CBC6CC2"/>
    <w:rsid w:val="3CBC7E69"/>
    <w:rsid w:val="3CBD0327"/>
    <w:rsid w:val="3CBD0ADE"/>
    <w:rsid w:val="3CBD1F56"/>
    <w:rsid w:val="3CBD2D4B"/>
    <w:rsid w:val="3CBD3863"/>
    <w:rsid w:val="3CBD456D"/>
    <w:rsid w:val="3CBE7BFC"/>
    <w:rsid w:val="3CBF1A5E"/>
    <w:rsid w:val="3CBF2CE9"/>
    <w:rsid w:val="3CBF319F"/>
    <w:rsid w:val="3CBF3391"/>
    <w:rsid w:val="3CBF723B"/>
    <w:rsid w:val="3CC01353"/>
    <w:rsid w:val="3CC01BC6"/>
    <w:rsid w:val="3CC02ABB"/>
    <w:rsid w:val="3CC031C7"/>
    <w:rsid w:val="3CC05722"/>
    <w:rsid w:val="3CC1149A"/>
    <w:rsid w:val="3CC11E03"/>
    <w:rsid w:val="3CC144D2"/>
    <w:rsid w:val="3CC14F38"/>
    <w:rsid w:val="3CC1516E"/>
    <w:rsid w:val="3CC15ABF"/>
    <w:rsid w:val="3CC1707F"/>
    <w:rsid w:val="3CC176EC"/>
    <w:rsid w:val="3CC241DD"/>
    <w:rsid w:val="3CC30ABD"/>
    <w:rsid w:val="3CC316B6"/>
    <w:rsid w:val="3CC33464"/>
    <w:rsid w:val="3CC34CDF"/>
    <w:rsid w:val="3CC35212"/>
    <w:rsid w:val="3CC40602"/>
    <w:rsid w:val="3CC43F23"/>
    <w:rsid w:val="3CC50EB8"/>
    <w:rsid w:val="3CC50F8A"/>
    <w:rsid w:val="3CC54E4C"/>
    <w:rsid w:val="3CC6056F"/>
    <w:rsid w:val="3CC72F54"/>
    <w:rsid w:val="3CC74BCD"/>
    <w:rsid w:val="3CC75535"/>
    <w:rsid w:val="3CC770F6"/>
    <w:rsid w:val="3CC80A7A"/>
    <w:rsid w:val="3CC80BD3"/>
    <w:rsid w:val="3CC827AE"/>
    <w:rsid w:val="3CC82828"/>
    <w:rsid w:val="3CC8405F"/>
    <w:rsid w:val="3CC85F66"/>
    <w:rsid w:val="3CC86CCC"/>
    <w:rsid w:val="3CC934B3"/>
    <w:rsid w:val="3CCA47F2"/>
    <w:rsid w:val="3CCB0A1D"/>
    <w:rsid w:val="3CCB1742"/>
    <w:rsid w:val="3CCB602B"/>
    <w:rsid w:val="3CCC21A1"/>
    <w:rsid w:val="3CCC3AD8"/>
    <w:rsid w:val="3CCC48C7"/>
    <w:rsid w:val="3CCC57A3"/>
    <w:rsid w:val="3CCC64AA"/>
    <w:rsid w:val="3CCD42E3"/>
    <w:rsid w:val="3CCD487E"/>
    <w:rsid w:val="3CCD6091"/>
    <w:rsid w:val="3CCD6C33"/>
    <w:rsid w:val="3CCD78C1"/>
    <w:rsid w:val="3CCD7E3F"/>
    <w:rsid w:val="3CCE00C3"/>
    <w:rsid w:val="3CCE33F9"/>
    <w:rsid w:val="3CCE40B1"/>
    <w:rsid w:val="3CCE4D04"/>
    <w:rsid w:val="3CCF1BF1"/>
    <w:rsid w:val="3CCF1E09"/>
    <w:rsid w:val="3CCF5079"/>
    <w:rsid w:val="3CCF5261"/>
    <w:rsid w:val="3CCF5BB2"/>
    <w:rsid w:val="3CCF65F3"/>
    <w:rsid w:val="3CD029E3"/>
    <w:rsid w:val="3CD05999"/>
    <w:rsid w:val="3CD06008"/>
    <w:rsid w:val="3CD13D8B"/>
    <w:rsid w:val="3CD156CD"/>
    <w:rsid w:val="3CD163DD"/>
    <w:rsid w:val="3CD16ED7"/>
    <w:rsid w:val="3CD1792F"/>
    <w:rsid w:val="3CD2085D"/>
    <w:rsid w:val="3CD22649"/>
    <w:rsid w:val="3CD248C9"/>
    <w:rsid w:val="3CD34EF1"/>
    <w:rsid w:val="3CD45671"/>
    <w:rsid w:val="3CD4741F"/>
    <w:rsid w:val="3CD55737"/>
    <w:rsid w:val="3CD559C6"/>
    <w:rsid w:val="3CD57699"/>
    <w:rsid w:val="3CD608E5"/>
    <w:rsid w:val="3CD64439"/>
    <w:rsid w:val="3CD65A9B"/>
    <w:rsid w:val="3CD662EF"/>
    <w:rsid w:val="3CD70B79"/>
    <w:rsid w:val="3CD70CBD"/>
    <w:rsid w:val="3CD7195D"/>
    <w:rsid w:val="3CD728B6"/>
    <w:rsid w:val="3CD72A6B"/>
    <w:rsid w:val="3CD74B5F"/>
    <w:rsid w:val="3CD76F0F"/>
    <w:rsid w:val="3CD8113B"/>
    <w:rsid w:val="3CD84EF8"/>
    <w:rsid w:val="3CD86DF3"/>
    <w:rsid w:val="3CD87BFE"/>
    <w:rsid w:val="3CD92C87"/>
    <w:rsid w:val="3CD94A35"/>
    <w:rsid w:val="3CD951D6"/>
    <w:rsid w:val="3CD95AAB"/>
    <w:rsid w:val="3CD967E3"/>
    <w:rsid w:val="3CD969F7"/>
    <w:rsid w:val="3CDA4076"/>
    <w:rsid w:val="3CDA5E09"/>
    <w:rsid w:val="3CDB07AE"/>
    <w:rsid w:val="3CDB292A"/>
    <w:rsid w:val="3CDB560A"/>
    <w:rsid w:val="3CDB69FF"/>
    <w:rsid w:val="3CDC0A9D"/>
    <w:rsid w:val="3CDD0790"/>
    <w:rsid w:val="3CDD2778"/>
    <w:rsid w:val="3CDD2EB0"/>
    <w:rsid w:val="3CDD4FE7"/>
    <w:rsid w:val="3CDE2004"/>
    <w:rsid w:val="3CDE204C"/>
    <w:rsid w:val="3CDE399D"/>
    <w:rsid w:val="3CDE4999"/>
    <w:rsid w:val="3CDE7BB7"/>
    <w:rsid w:val="3CDF7907"/>
    <w:rsid w:val="3CE02A1F"/>
    <w:rsid w:val="3CE02BE1"/>
    <w:rsid w:val="3CE030B7"/>
    <w:rsid w:val="3CE05DC4"/>
    <w:rsid w:val="3CE065C5"/>
    <w:rsid w:val="3CE138EA"/>
    <w:rsid w:val="3CE13ABD"/>
    <w:rsid w:val="3CE174FA"/>
    <w:rsid w:val="3CE21B3C"/>
    <w:rsid w:val="3CE21DD7"/>
    <w:rsid w:val="3CE30E59"/>
    <w:rsid w:val="3CE31410"/>
    <w:rsid w:val="3CE33C1C"/>
    <w:rsid w:val="3CE33DFD"/>
    <w:rsid w:val="3CE37662"/>
    <w:rsid w:val="3CE42875"/>
    <w:rsid w:val="3CE4402E"/>
    <w:rsid w:val="3CE44A6E"/>
    <w:rsid w:val="3CE51F49"/>
    <w:rsid w:val="3CE528ED"/>
    <w:rsid w:val="3CE533DA"/>
    <w:rsid w:val="3CE53779"/>
    <w:rsid w:val="3CE55188"/>
    <w:rsid w:val="3CE5542B"/>
    <w:rsid w:val="3CE62C67"/>
    <w:rsid w:val="3CE64292"/>
    <w:rsid w:val="3CE73FFB"/>
    <w:rsid w:val="3CE7449B"/>
    <w:rsid w:val="3CE753A4"/>
    <w:rsid w:val="3CE81CD9"/>
    <w:rsid w:val="3CE82ECA"/>
    <w:rsid w:val="3CE83585"/>
    <w:rsid w:val="3CE8383B"/>
    <w:rsid w:val="3CE94CCB"/>
    <w:rsid w:val="3CEA09F1"/>
    <w:rsid w:val="3CEA2307"/>
    <w:rsid w:val="3CEA279F"/>
    <w:rsid w:val="3CEA2E7D"/>
    <w:rsid w:val="3CEA554B"/>
    <w:rsid w:val="3CEA6858"/>
    <w:rsid w:val="3CEA6C43"/>
    <w:rsid w:val="3CEB673A"/>
    <w:rsid w:val="3CEC04AD"/>
    <w:rsid w:val="3CEC29BB"/>
    <w:rsid w:val="3CEC36C9"/>
    <w:rsid w:val="3CEC7746"/>
    <w:rsid w:val="3CED09CE"/>
    <w:rsid w:val="3CED228F"/>
    <w:rsid w:val="3CED4ADC"/>
    <w:rsid w:val="3CED5C09"/>
    <w:rsid w:val="3CEE1349"/>
    <w:rsid w:val="3CEE4C54"/>
    <w:rsid w:val="3CEE78E3"/>
    <w:rsid w:val="3CEE79DC"/>
    <w:rsid w:val="3CEF1907"/>
    <w:rsid w:val="3CEF24AB"/>
    <w:rsid w:val="3CEF377A"/>
    <w:rsid w:val="3CEF4259"/>
    <w:rsid w:val="3CEF6007"/>
    <w:rsid w:val="3CF0217E"/>
    <w:rsid w:val="3CF04526"/>
    <w:rsid w:val="3CF0485B"/>
    <w:rsid w:val="3CF0737F"/>
    <w:rsid w:val="3CF17FD1"/>
    <w:rsid w:val="3CF212EA"/>
    <w:rsid w:val="3CF21964"/>
    <w:rsid w:val="3CF219A6"/>
    <w:rsid w:val="3CF25AF7"/>
    <w:rsid w:val="3CF278A5"/>
    <w:rsid w:val="3CF3232C"/>
    <w:rsid w:val="3CF34D0D"/>
    <w:rsid w:val="3CF36D4F"/>
    <w:rsid w:val="3CF3756A"/>
    <w:rsid w:val="3CF41DDE"/>
    <w:rsid w:val="3CF43A48"/>
    <w:rsid w:val="3CF47AC1"/>
    <w:rsid w:val="3CF600D5"/>
    <w:rsid w:val="3CF6031E"/>
    <w:rsid w:val="3CF60FF7"/>
    <w:rsid w:val="3CF62C1A"/>
    <w:rsid w:val="3CF63839"/>
    <w:rsid w:val="3CF6436D"/>
    <w:rsid w:val="3CF709AA"/>
    <w:rsid w:val="3CF72AEC"/>
    <w:rsid w:val="3CF7310E"/>
    <w:rsid w:val="3CF74EBC"/>
    <w:rsid w:val="3CF75E19"/>
    <w:rsid w:val="3CF835DF"/>
    <w:rsid w:val="3CF8398D"/>
    <w:rsid w:val="3CF85DB2"/>
    <w:rsid w:val="3CF86212"/>
    <w:rsid w:val="3CF862CE"/>
    <w:rsid w:val="3CF87579"/>
    <w:rsid w:val="3CF90C34"/>
    <w:rsid w:val="3CF9244D"/>
    <w:rsid w:val="3CF94102"/>
    <w:rsid w:val="3CF950D8"/>
    <w:rsid w:val="3CF96615"/>
    <w:rsid w:val="3CF96E86"/>
    <w:rsid w:val="3CFA5349"/>
    <w:rsid w:val="3CFA548C"/>
    <w:rsid w:val="3CFA5CD0"/>
    <w:rsid w:val="3CFA5F40"/>
    <w:rsid w:val="3CFA6457"/>
    <w:rsid w:val="3CFB0E50"/>
    <w:rsid w:val="3CFB1E9A"/>
    <w:rsid w:val="3CFB2BFE"/>
    <w:rsid w:val="3CFB3F92"/>
    <w:rsid w:val="3CFB44C3"/>
    <w:rsid w:val="3CFB49AC"/>
    <w:rsid w:val="3CFC0570"/>
    <w:rsid w:val="3CFC0724"/>
    <w:rsid w:val="3CFC24D2"/>
    <w:rsid w:val="3CFC3141"/>
    <w:rsid w:val="3CFC50A5"/>
    <w:rsid w:val="3CFD6976"/>
    <w:rsid w:val="3CFE449C"/>
    <w:rsid w:val="3CFE5C66"/>
    <w:rsid w:val="3CFE624A"/>
    <w:rsid w:val="3CFE6876"/>
    <w:rsid w:val="3CFF0361"/>
    <w:rsid w:val="3CFF25DD"/>
    <w:rsid w:val="3CFF42D8"/>
    <w:rsid w:val="3CFF44FE"/>
    <w:rsid w:val="3CFF4D97"/>
    <w:rsid w:val="3CFF6389"/>
    <w:rsid w:val="3CFF6EF1"/>
    <w:rsid w:val="3CFF7481"/>
    <w:rsid w:val="3CFF7CDC"/>
    <w:rsid w:val="3D006598"/>
    <w:rsid w:val="3D0077D0"/>
    <w:rsid w:val="3D010011"/>
    <w:rsid w:val="3D0112F9"/>
    <w:rsid w:val="3D015D3A"/>
    <w:rsid w:val="3D01679F"/>
    <w:rsid w:val="3D016E5E"/>
    <w:rsid w:val="3D0221DE"/>
    <w:rsid w:val="3D023CE4"/>
    <w:rsid w:val="3D025872"/>
    <w:rsid w:val="3D031E2F"/>
    <w:rsid w:val="3D034E5A"/>
    <w:rsid w:val="3D034E96"/>
    <w:rsid w:val="3D040192"/>
    <w:rsid w:val="3D0465B8"/>
    <w:rsid w:val="3D050505"/>
    <w:rsid w:val="3D05183D"/>
    <w:rsid w:val="3D05272B"/>
    <w:rsid w:val="3D053A7C"/>
    <w:rsid w:val="3D05582A"/>
    <w:rsid w:val="3D0639E8"/>
    <w:rsid w:val="3D071B11"/>
    <w:rsid w:val="3D0726B0"/>
    <w:rsid w:val="3D072A89"/>
    <w:rsid w:val="3D073351"/>
    <w:rsid w:val="3D0742DA"/>
    <w:rsid w:val="3D0754BF"/>
    <w:rsid w:val="3D075683"/>
    <w:rsid w:val="3D0903D6"/>
    <w:rsid w:val="3D092B74"/>
    <w:rsid w:val="3D09328D"/>
    <w:rsid w:val="3D093516"/>
    <w:rsid w:val="3D096343"/>
    <w:rsid w:val="3D0A1093"/>
    <w:rsid w:val="3D0A2744"/>
    <w:rsid w:val="3D0A4BEF"/>
    <w:rsid w:val="3D0B4B0D"/>
    <w:rsid w:val="3D0B60B2"/>
    <w:rsid w:val="3D0B6BD5"/>
    <w:rsid w:val="3D0B73F9"/>
    <w:rsid w:val="3D0B7DCC"/>
    <w:rsid w:val="3D0C0967"/>
    <w:rsid w:val="3D0C6BB9"/>
    <w:rsid w:val="3D0D0C72"/>
    <w:rsid w:val="3D0D14F5"/>
    <w:rsid w:val="3D0D1B9A"/>
    <w:rsid w:val="3D0D2931"/>
    <w:rsid w:val="3D0D46DF"/>
    <w:rsid w:val="3D0E2985"/>
    <w:rsid w:val="3D0E5556"/>
    <w:rsid w:val="3D0E6995"/>
    <w:rsid w:val="3D0F48FB"/>
    <w:rsid w:val="3D0F66A9"/>
    <w:rsid w:val="3D0F7E6D"/>
    <w:rsid w:val="3D101FED"/>
    <w:rsid w:val="3D102424"/>
    <w:rsid w:val="3D106F8C"/>
    <w:rsid w:val="3D112421"/>
    <w:rsid w:val="3D112A47"/>
    <w:rsid w:val="3D1141CF"/>
    <w:rsid w:val="3D1146C6"/>
    <w:rsid w:val="3D11534D"/>
    <w:rsid w:val="3D115D2D"/>
    <w:rsid w:val="3D115F7D"/>
    <w:rsid w:val="3D120C24"/>
    <w:rsid w:val="3D121CF5"/>
    <w:rsid w:val="3D1233C0"/>
    <w:rsid w:val="3D125367"/>
    <w:rsid w:val="3D127F47"/>
    <w:rsid w:val="3D130E93"/>
    <w:rsid w:val="3D13332C"/>
    <w:rsid w:val="3D1347C4"/>
    <w:rsid w:val="3D1367F7"/>
    <w:rsid w:val="3D141F11"/>
    <w:rsid w:val="3D142B6E"/>
    <w:rsid w:val="3D142E25"/>
    <w:rsid w:val="3D1452DD"/>
    <w:rsid w:val="3D145A6E"/>
    <w:rsid w:val="3D147C87"/>
    <w:rsid w:val="3D154830"/>
    <w:rsid w:val="3D1630B0"/>
    <w:rsid w:val="3D165682"/>
    <w:rsid w:val="3D167820"/>
    <w:rsid w:val="3D167A38"/>
    <w:rsid w:val="3D170DEA"/>
    <w:rsid w:val="3D170FAE"/>
    <w:rsid w:val="3D17277E"/>
    <w:rsid w:val="3D17290E"/>
    <w:rsid w:val="3D1755AE"/>
    <w:rsid w:val="3D17730C"/>
    <w:rsid w:val="3D1808B6"/>
    <w:rsid w:val="3D1816DA"/>
    <w:rsid w:val="3D181B4D"/>
    <w:rsid w:val="3D1837B0"/>
    <w:rsid w:val="3D18555E"/>
    <w:rsid w:val="3D186480"/>
    <w:rsid w:val="3D1912D6"/>
    <w:rsid w:val="3D192669"/>
    <w:rsid w:val="3D19432C"/>
    <w:rsid w:val="3D194372"/>
    <w:rsid w:val="3D196CB1"/>
    <w:rsid w:val="3D197528"/>
    <w:rsid w:val="3D1A1C31"/>
    <w:rsid w:val="3D1A5C37"/>
    <w:rsid w:val="3D1A6967"/>
    <w:rsid w:val="3D1B27AF"/>
    <w:rsid w:val="3D1B32DC"/>
    <w:rsid w:val="3D1B504E"/>
    <w:rsid w:val="3D1B6CC6"/>
    <w:rsid w:val="3D1C3A1A"/>
    <w:rsid w:val="3D1C63E4"/>
    <w:rsid w:val="3D1D0FEA"/>
    <w:rsid w:val="3D1D29BA"/>
    <w:rsid w:val="3D1D2B74"/>
    <w:rsid w:val="3D1E069A"/>
    <w:rsid w:val="3D1E0EB7"/>
    <w:rsid w:val="3D1E4B3E"/>
    <w:rsid w:val="3D1E68EC"/>
    <w:rsid w:val="3D1F2901"/>
    <w:rsid w:val="3D1F3ECC"/>
    <w:rsid w:val="3D1F6592"/>
    <w:rsid w:val="3D204412"/>
    <w:rsid w:val="3D2106A9"/>
    <w:rsid w:val="3D210DFB"/>
    <w:rsid w:val="3D21119C"/>
    <w:rsid w:val="3D213B0C"/>
    <w:rsid w:val="3D214440"/>
    <w:rsid w:val="3D22018A"/>
    <w:rsid w:val="3D220A58"/>
    <w:rsid w:val="3D2233D2"/>
    <w:rsid w:val="3D223609"/>
    <w:rsid w:val="3D2236F8"/>
    <w:rsid w:val="3D224057"/>
    <w:rsid w:val="3D2260E7"/>
    <w:rsid w:val="3D22631D"/>
    <w:rsid w:val="3D23371B"/>
    <w:rsid w:val="3D2362EC"/>
    <w:rsid w:val="3D236820"/>
    <w:rsid w:val="3D240A47"/>
    <w:rsid w:val="3D245C8A"/>
    <w:rsid w:val="3D245F63"/>
    <w:rsid w:val="3D251A29"/>
    <w:rsid w:val="3D257C7B"/>
    <w:rsid w:val="3D2608AE"/>
    <w:rsid w:val="3D264699"/>
    <w:rsid w:val="3D2676AB"/>
    <w:rsid w:val="3D267FF8"/>
    <w:rsid w:val="3D271C45"/>
    <w:rsid w:val="3D2739F3"/>
    <w:rsid w:val="3D2757A1"/>
    <w:rsid w:val="3D276F6E"/>
    <w:rsid w:val="3D280CCE"/>
    <w:rsid w:val="3D281519"/>
    <w:rsid w:val="3D290792"/>
    <w:rsid w:val="3D291173"/>
    <w:rsid w:val="3D291C01"/>
    <w:rsid w:val="3D292779"/>
    <w:rsid w:val="3D29758D"/>
    <w:rsid w:val="3D29776B"/>
    <w:rsid w:val="3D2A11E1"/>
    <w:rsid w:val="3D2A2F78"/>
    <w:rsid w:val="3D2A34E3"/>
    <w:rsid w:val="3D2B03DF"/>
    <w:rsid w:val="3D2B24E0"/>
    <w:rsid w:val="3D2B50A8"/>
    <w:rsid w:val="3D2C1009"/>
    <w:rsid w:val="3D2C122F"/>
    <w:rsid w:val="3D2C35E0"/>
    <w:rsid w:val="3D2C4A0C"/>
    <w:rsid w:val="3D2D6B2F"/>
    <w:rsid w:val="3D2E2245"/>
    <w:rsid w:val="3D2E2FD3"/>
    <w:rsid w:val="3D2E4D81"/>
    <w:rsid w:val="3D2F0AF9"/>
    <w:rsid w:val="3D2F28A7"/>
    <w:rsid w:val="3D2F4655"/>
    <w:rsid w:val="3D2F5FD0"/>
    <w:rsid w:val="3D2F6ACA"/>
    <w:rsid w:val="3D300210"/>
    <w:rsid w:val="3D304C99"/>
    <w:rsid w:val="3D3103CE"/>
    <w:rsid w:val="3D3108F0"/>
    <w:rsid w:val="3D310E8E"/>
    <w:rsid w:val="3D3114C0"/>
    <w:rsid w:val="3D3150A8"/>
    <w:rsid w:val="3D316F62"/>
    <w:rsid w:val="3D320E87"/>
    <w:rsid w:val="3D321023"/>
    <w:rsid w:val="3D33058B"/>
    <w:rsid w:val="3D3305EA"/>
    <w:rsid w:val="3D332441"/>
    <w:rsid w:val="3D333210"/>
    <w:rsid w:val="3D335DB9"/>
    <w:rsid w:val="3D341742"/>
    <w:rsid w:val="3D344362"/>
    <w:rsid w:val="3D346110"/>
    <w:rsid w:val="3D347473"/>
    <w:rsid w:val="3D350701"/>
    <w:rsid w:val="3D354196"/>
    <w:rsid w:val="3D35459F"/>
    <w:rsid w:val="3D3632D2"/>
    <w:rsid w:val="3D363C36"/>
    <w:rsid w:val="3D364460"/>
    <w:rsid w:val="3D364732"/>
    <w:rsid w:val="3D37175C"/>
    <w:rsid w:val="3D374376"/>
    <w:rsid w:val="3D374422"/>
    <w:rsid w:val="3D374762"/>
    <w:rsid w:val="3D385C00"/>
    <w:rsid w:val="3D3871D8"/>
    <w:rsid w:val="3D390F4E"/>
    <w:rsid w:val="3D391C53"/>
    <w:rsid w:val="3D391CA6"/>
    <w:rsid w:val="3D392A58"/>
    <w:rsid w:val="3D393592"/>
    <w:rsid w:val="3D393726"/>
    <w:rsid w:val="3D3954D4"/>
    <w:rsid w:val="3D395668"/>
    <w:rsid w:val="3D3A18B6"/>
    <w:rsid w:val="3D3A1978"/>
    <w:rsid w:val="3D3A2447"/>
    <w:rsid w:val="3D3B124C"/>
    <w:rsid w:val="3D3B3B89"/>
    <w:rsid w:val="3D3B56F0"/>
    <w:rsid w:val="3D3B749E"/>
    <w:rsid w:val="3D3C05D3"/>
    <w:rsid w:val="3D3C4672"/>
    <w:rsid w:val="3D3D00B7"/>
    <w:rsid w:val="3D3D3216"/>
    <w:rsid w:val="3D3D3754"/>
    <w:rsid w:val="3D3D4E34"/>
    <w:rsid w:val="3D3D5195"/>
    <w:rsid w:val="3D3D543B"/>
    <w:rsid w:val="3D3D792E"/>
    <w:rsid w:val="3D3E5B5C"/>
    <w:rsid w:val="3D3E7892"/>
    <w:rsid w:val="3D3F7226"/>
    <w:rsid w:val="3D402D06"/>
    <w:rsid w:val="3D402E44"/>
    <w:rsid w:val="3D402EF0"/>
    <w:rsid w:val="3D404AB5"/>
    <w:rsid w:val="3D404B2C"/>
    <w:rsid w:val="3D406B56"/>
    <w:rsid w:val="3D406BF5"/>
    <w:rsid w:val="3D4103E4"/>
    <w:rsid w:val="3D412F1E"/>
    <w:rsid w:val="3D4141D3"/>
    <w:rsid w:val="3D416716"/>
    <w:rsid w:val="3D416CA3"/>
    <w:rsid w:val="3D421874"/>
    <w:rsid w:val="3D423220"/>
    <w:rsid w:val="3D423618"/>
    <w:rsid w:val="3D425F57"/>
    <w:rsid w:val="3D430101"/>
    <w:rsid w:val="3D43374E"/>
    <w:rsid w:val="3D436353"/>
    <w:rsid w:val="3D440A1C"/>
    <w:rsid w:val="3D44491B"/>
    <w:rsid w:val="3D44536D"/>
    <w:rsid w:val="3D446BB6"/>
    <w:rsid w:val="3D45383F"/>
    <w:rsid w:val="3D453E79"/>
    <w:rsid w:val="3D454F3D"/>
    <w:rsid w:val="3D4554D3"/>
    <w:rsid w:val="3D4620FD"/>
    <w:rsid w:val="3D462D9F"/>
    <w:rsid w:val="3D466CE0"/>
    <w:rsid w:val="3D467647"/>
    <w:rsid w:val="3D472A0D"/>
    <w:rsid w:val="3D480BF9"/>
    <w:rsid w:val="3D483969"/>
    <w:rsid w:val="3D485717"/>
    <w:rsid w:val="3D486B76"/>
    <w:rsid w:val="3D49026A"/>
    <w:rsid w:val="3D491BBB"/>
    <w:rsid w:val="3D4960C7"/>
    <w:rsid w:val="3D4A00CA"/>
    <w:rsid w:val="3D4A1496"/>
    <w:rsid w:val="3D4A25FC"/>
    <w:rsid w:val="3D4A483C"/>
    <w:rsid w:val="3D4A5933"/>
    <w:rsid w:val="3D4A761A"/>
    <w:rsid w:val="3D4B4308"/>
    <w:rsid w:val="3D4C00E4"/>
    <w:rsid w:val="3D4C5207"/>
    <w:rsid w:val="3D4D16DF"/>
    <w:rsid w:val="3D4D79EC"/>
    <w:rsid w:val="3D4E10E5"/>
    <w:rsid w:val="3D4E433D"/>
    <w:rsid w:val="3D4E71D1"/>
    <w:rsid w:val="3D4E71F0"/>
    <w:rsid w:val="3D4F07B4"/>
    <w:rsid w:val="3D4F2725"/>
    <w:rsid w:val="3D4F5F69"/>
    <w:rsid w:val="3D5059F8"/>
    <w:rsid w:val="3D511CA9"/>
    <w:rsid w:val="3D51260C"/>
    <w:rsid w:val="3D514715"/>
    <w:rsid w:val="3D514E67"/>
    <w:rsid w:val="3D516CC2"/>
    <w:rsid w:val="3D517DB5"/>
    <w:rsid w:val="3D524E7E"/>
    <w:rsid w:val="3D530494"/>
    <w:rsid w:val="3D532A3A"/>
    <w:rsid w:val="3D533A9C"/>
    <w:rsid w:val="3D537DFE"/>
    <w:rsid w:val="3D537FCF"/>
    <w:rsid w:val="3D540483"/>
    <w:rsid w:val="3D5404F7"/>
    <w:rsid w:val="3D541C11"/>
    <w:rsid w:val="3D54230E"/>
    <w:rsid w:val="3D5466CE"/>
    <w:rsid w:val="3D54685A"/>
    <w:rsid w:val="3D560666"/>
    <w:rsid w:val="3D563D04"/>
    <w:rsid w:val="3D5654D2"/>
    <w:rsid w:val="3D565C33"/>
    <w:rsid w:val="3D566086"/>
    <w:rsid w:val="3D567E34"/>
    <w:rsid w:val="3D570D4C"/>
    <w:rsid w:val="3D572E96"/>
    <w:rsid w:val="3D573AE6"/>
    <w:rsid w:val="3D587E5F"/>
    <w:rsid w:val="3D590DF9"/>
    <w:rsid w:val="3D592046"/>
    <w:rsid w:val="3D594F2A"/>
    <w:rsid w:val="3D595B76"/>
    <w:rsid w:val="3D597924"/>
    <w:rsid w:val="3D597AFB"/>
    <w:rsid w:val="3D5A0F8B"/>
    <w:rsid w:val="3D5A204A"/>
    <w:rsid w:val="3D5A3DC8"/>
    <w:rsid w:val="3D5A49F8"/>
    <w:rsid w:val="3D5B0C59"/>
    <w:rsid w:val="3D5B369C"/>
    <w:rsid w:val="3D5B736D"/>
    <w:rsid w:val="3D5C09B3"/>
    <w:rsid w:val="3D5C2B62"/>
    <w:rsid w:val="3D5C4FEC"/>
    <w:rsid w:val="3D5D11C3"/>
    <w:rsid w:val="3D5D647C"/>
    <w:rsid w:val="3D5D7415"/>
    <w:rsid w:val="3D5D7D32"/>
    <w:rsid w:val="3D5E0D9C"/>
    <w:rsid w:val="3D5E128A"/>
    <w:rsid w:val="3D5E1728"/>
    <w:rsid w:val="3D5E1CA1"/>
    <w:rsid w:val="3D5E4884"/>
    <w:rsid w:val="3D5E48EB"/>
    <w:rsid w:val="3D5E4F3B"/>
    <w:rsid w:val="3D5E57B0"/>
    <w:rsid w:val="3D5E737B"/>
    <w:rsid w:val="3D5E7891"/>
    <w:rsid w:val="3D5E7FFE"/>
    <w:rsid w:val="3D5F0C7F"/>
    <w:rsid w:val="3D5F13DF"/>
    <w:rsid w:val="3D5F222C"/>
    <w:rsid w:val="3D5F318D"/>
    <w:rsid w:val="3D5F4115"/>
    <w:rsid w:val="3D5F5B64"/>
    <w:rsid w:val="3D5F6A55"/>
    <w:rsid w:val="3D600CB3"/>
    <w:rsid w:val="3D601F80"/>
    <w:rsid w:val="3D605157"/>
    <w:rsid w:val="3D605787"/>
    <w:rsid w:val="3D606FAF"/>
    <w:rsid w:val="3D61027B"/>
    <w:rsid w:val="3D61709F"/>
    <w:rsid w:val="3D620E9C"/>
    <w:rsid w:val="3D622C7D"/>
    <w:rsid w:val="3D622F11"/>
    <w:rsid w:val="3D623466"/>
    <w:rsid w:val="3D624A2B"/>
    <w:rsid w:val="3D6267D9"/>
    <w:rsid w:val="3D630819"/>
    <w:rsid w:val="3D631CCC"/>
    <w:rsid w:val="3D632551"/>
    <w:rsid w:val="3D633DB8"/>
    <w:rsid w:val="3D637834"/>
    <w:rsid w:val="3D641D37"/>
    <w:rsid w:val="3D6426FB"/>
    <w:rsid w:val="3D642983"/>
    <w:rsid w:val="3D646847"/>
    <w:rsid w:val="3D647BE8"/>
    <w:rsid w:val="3D651B8F"/>
    <w:rsid w:val="3D65276D"/>
    <w:rsid w:val="3D65311A"/>
    <w:rsid w:val="3D65451B"/>
    <w:rsid w:val="3D6562C9"/>
    <w:rsid w:val="3D6577DF"/>
    <w:rsid w:val="3D667416"/>
    <w:rsid w:val="3D673A93"/>
    <w:rsid w:val="3D673D08"/>
    <w:rsid w:val="3D673DEF"/>
    <w:rsid w:val="3D6742EE"/>
    <w:rsid w:val="3D675F7B"/>
    <w:rsid w:val="3D6808A4"/>
    <w:rsid w:val="3D681DA4"/>
    <w:rsid w:val="3D6858D5"/>
    <w:rsid w:val="3D68709D"/>
    <w:rsid w:val="3D691867"/>
    <w:rsid w:val="3D694A1F"/>
    <w:rsid w:val="3D694AF1"/>
    <w:rsid w:val="3D6955D7"/>
    <w:rsid w:val="3D695DB9"/>
    <w:rsid w:val="3D696CBC"/>
    <w:rsid w:val="3D6A17D5"/>
    <w:rsid w:val="3D6A38DF"/>
    <w:rsid w:val="3D6B1F10"/>
    <w:rsid w:val="3D6B20C9"/>
    <w:rsid w:val="3D6C3AFB"/>
    <w:rsid w:val="3D6C7658"/>
    <w:rsid w:val="3D6D13E7"/>
    <w:rsid w:val="3D6D2D6E"/>
    <w:rsid w:val="3D6D3E7E"/>
    <w:rsid w:val="3D6D43AD"/>
    <w:rsid w:val="3D6D513E"/>
    <w:rsid w:val="3D6D517E"/>
    <w:rsid w:val="3D6D6172"/>
    <w:rsid w:val="3D6D649F"/>
    <w:rsid w:val="3D6D6A63"/>
    <w:rsid w:val="3D6D72B7"/>
    <w:rsid w:val="3D6E0891"/>
    <w:rsid w:val="3D6E0B5B"/>
    <w:rsid w:val="3D6E0F0E"/>
    <w:rsid w:val="3D6E6D3A"/>
    <w:rsid w:val="3D6F7148"/>
    <w:rsid w:val="3D70539A"/>
    <w:rsid w:val="3D71034E"/>
    <w:rsid w:val="3D714641"/>
    <w:rsid w:val="3D715D82"/>
    <w:rsid w:val="3D715E88"/>
    <w:rsid w:val="3D722947"/>
    <w:rsid w:val="3D7309E6"/>
    <w:rsid w:val="3D7334D4"/>
    <w:rsid w:val="3D7342A9"/>
    <w:rsid w:val="3D734E6A"/>
    <w:rsid w:val="3D734E8A"/>
    <w:rsid w:val="3D734EBA"/>
    <w:rsid w:val="3D736340"/>
    <w:rsid w:val="3D736C38"/>
    <w:rsid w:val="3D7424C3"/>
    <w:rsid w:val="3D74475E"/>
    <w:rsid w:val="3D74631C"/>
    <w:rsid w:val="3D74650C"/>
    <w:rsid w:val="3D747534"/>
    <w:rsid w:val="3D750E90"/>
    <w:rsid w:val="3D751925"/>
    <w:rsid w:val="3D7529B0"/>
    <w:rsid w:val="3D762051"/>
    <w:rsid w:val="3D762284"/>
    <w:rsid w:val="3D763623"/>
    <w:rsid w:val="3D763CD0"/>
    <w:rsid w:val="3D764456"/>
    <w:rsid w:val="3D7657A1"/>
    <w:rsid w:val="3D766728"/>
    <w:rsid w:val="3D7711C2"/>
    <w:rsid w:val="3D77291D"/>
    <w:rsid w:val="3D774104"/>
    <w:rsid w:val="3D77594A"/>
    <w:rsid w:val="3D780723"/>
    <w:rsid w:val="3D7808E5"/>
    <w:rsid w:val="3D7824A0"/>
    <w:rsid w:val="3D7858C4"/>
    <w:rsid w:val="3D790443"/>
    <w:rsid w:val="3D795057"/>
    <w:rsid w:val="3D7959A4"/>
    <w:rsid w:val="3D795FDE"/>
    <w:rsid w:val="3D796F5B"/>
    <w:rsid w:val="3D7A0575"/>
    <w:rsid w:val="3D7A6218"/>
    <w:rsid w:val="3D7A6E34"/>
    <w:rsid w:val="3D7A7FC6"/>
    <w:rsid w:val="3D7B1B4E"/>
    <w:rsid w:val="3D7B321B"/>
    <w:rsid w:val="3D7B3D84"/>
    <w:rsid w:val="3D7B5AED"/>
    <w:rsid w:val="3D7B7055"/>
    <w:rsid w:val="3D7B789B"/>
    <w:rsid w:val="3D7C1DAC"/>
    <w:rsid w:val="3D7C2FCD"/>
    <w:rsid w:val="3D7D1390"/>
    <w:rsid w:val="3D7D1865"/>
    <w:rsid w:val="3D7D3B8B"/>
    <w:rsid w:val="3D7D4CC8"/>
    <w:rsid w:val="3D7D54A0"/>
    <w:rsid w:val="3D7D5A2E"/>
    <w:rsid w:val="3D7D74ED"/>
    <w:rsid w:val="3D7D7AB7"/>
    <w:rsid w:val="3D7E0386"/>
    <w:rsid w:val="3D7E2B82"/>
    <w:rsid w:val="3D7E4728"/>
    <w:rsid w:val="3D7E52EF"/>
    <w:rsid w:val="3D7E57B5"/>
    <w:rsid w:val="3D7E738B"/>
    <w:rsid w:val="3D7F1816"/>
    <w:rsid w:val="3D7F55DD"/>
    <w:rsid w:val="3D7F7D5F"/>
    <w:rsid w:val="3D7F7E79"/>
    <w:rsid w:val="3D801355"/>
    <w:rsid w:val="3D801EA2"/>
    <w:rsid w:val="3D801F4D"/>
    <w:rsid w:val="3D803103"/>
    <w:rsid w:val="3D8047B4"/>
    <w:rsid w:val="3D810EA3"/>
    <w:rsid w:val="3D8175A7"/>
    <w:rsid w:val="3D817C2E"/>
    <w:rsid w:val="3D820C29"/>
    <w:rsid w:val="3D8216BA"/>
    <w:rsid w:val="3D83025F"/>
    <w:rsid w:val="3D831DFE"/>
    <w:rsid w:val="3D832510"/>
    <w:rsid w:val="3D834728"/>
    <w:rsid w:val="3D8373C5"/>
    <w:rsid w:val="3D840E45"/>
    <w:rsid w:val="3D8441F8"/>
    <w:rsid w:val="3D8479D9"/>
    <w:rsid w:val="3D850C95"/>
    <w:rsid w:val="3D851324"/>
    <w:rsid w:val="3D854D35"/>
    <w:rsid w:val="3D85662B"/>
    <w:rsid w:val="3D85696B"/>
    <w:rsid w:val="3D8637AE"/>
    <w:rsid w:val="3D86401D"/>
    <w:rsid w:val="3D864BBD"/>
    <w:rsid w:val="3D86595B"/>
    <w:rsid w:val="3D866218"/>
    <w:rsid w:val="3D871AF8"/>
    <w:rsid w:val="3D87623F"/>
    <w:rsid w:val="3D877495"/>
    <w:rsid w:val="3D884CB4"/>
    <w:rsid w:val="3D8903DE"/>
    <w:rsid w:val="3D8949C3"/>
    <w:rsid w:val="3D8956D1"/>
    <w:rsid w:val="3D895707"/>
    <w:rsid w:val="3D89645B"/>
    <w:rsid w:val="3D8A3F82"/>
    <w:rsid w:val="3D8A5D30"/>
    <w:rsid w:val="3D8A670D"/>
    <w:rsid w:val="3D8B21D4"/>
    <w:rsid w:val="3D8B29B8"/>
    <w:rsid w:val="3D8C1AA8"/>
    <w:rsid w:val="3D8C1BAF"/>
    <w:rsid w:val="3D8C5D02"/>
    <w:rsid w:val="3D8C7CFA"/>
    <w:rsid w:val="3D8D2C80"/>
    <w:rsid w:val="3D8D2DD4"/>
    <w:rsid w:val="3D8D3410"/>
    <w:rsid w:val="3D8D4EDE"/>
    <w:rsid w:val="3D8D7BEE"/>
    <w:rsid w:val="3D8D7E18"/>
    <w:rsid w:val="3D8E1214"/>
    <w:rsid w:val="3D8E3A72"/>
    <w:rsid w:val="3D8E3F10"/>
    <w:rsid w:val="3D8E430B"/>
    <w:rsid w:val="3D8E5820"/>
    <w:rsid w:val="3D8E75CE"/>
    <w:rsid w:val="3D8F5D86"/>
    <w:rsid w:val="3D8F6A08"/>
    <w:rsid w:val="3D8F6E30"/>
    <w:rsid w:val="3D8F7BCA"/>
    <w:rsid w:val="3D903E83"/>
    <w:rsid w:val="3D9077EA"/>
    <w:rsid w:val="3D913562"/>
    <w:rsid w:val="3D91562F"/>
    <w:rsid w:val="3D9170BE"/>
    <w:rsid w:val="3D9259C0"/>
    <w:rsid w:val="3D9267FC"/>
    <w:rsid w:val="3D927662"/>
    <w:rsid w:val="3D930670"/>
    <w:rsid w:val="3D9314C6"/>
    <w:rsid w:val="3D932762"/>
    <w:rsid w:val="3D932E36"/>
    <w:rsid w:val="3D934BE4"/>
    <w:rsid w:val="3D93654B"/>
    <w:rsid w:val="3D9372DA"/>
    <w:rsid w:val="3D937698"/>
    <w:rsid w:val="3D94095C"/>
    <w:rsid w:val="3D9425AC"/>
    <w:rsid w:val="3D944C5D"/>
    <w:rsid w:val="3D94539B"/>
    <w:rsid w:val="3D9545F0"/>
    <w:rsid w:val="3D954E00"/>
    <w:rsid w:val="3D954FB9"/>
    <w:rsid w:val="3D956BAE"/>
    <w:rsid w:val="3D960162"/>
    <w:rsid w:val="3D9606F2"/>
    <w:rsid w:val="3D960B78"/>
    <w:rsid w:val="3D962926"/>
    <w:rsid w:val="3D964666"/>
    <w:rsid w:val="3D96660D"/>
    <w:rsid w:val="3D971F1E"/>
    <w:rsid w:val="3D973978"/>
    <w:rsid w:val="3D97485F"/>
    <w:rsid w:val="3D97634E"/>
    <w:rsid w:val="3D9802CA"/>
    <w:rsid w:val="3D982083"/>
    <w:rsid w:val="3D983AFE"/>
    <w:rsid w:val="3D985EE4"/>
    <w:rsid w:val="3D98619F"/>
    <w:rsid w:val="3D990AD9"/>
    <w:rsid w:val="3D991205"/>
    <w:rsid w:val="3D991B0F"/>
    <w:rsid w:val="3D991CB2"/>
    <w:rsid w:val="3D9923BD"/>
    <w:rsid w:val="3D996C9B"/>
    <w:rsid w:val="3D997383"/>
    <w:rsid w:val="3D9A2417"/>
    <w:rsid w:val="3D9A25FC"/>
    <w:rsid w:val="3D9A41C5"/>
    <w:rsid w:val="3D9A76FB"/>
    <w:rsid w:val="3D9B1752"/>
    <w:rsid w:val="3D9B2B19"/>
    <w:rsid w:val="3D9B3B30"/>
    <w:rsid w:val="3D9B618F"/>
    <w:rsid w:val="3D9B6278"/>
    <w:rsid w:val="3D9C6AAC"/>
    <w:rsid w:val="3D9C7DBB"/>
    <w:rsid w:val="3D9D0581"/>
    <w:rsid w:val="3D9D1F07"/>
    <w:rsid w:val="3D9D20C0"/>
    <w:rsid w:val="3D9D4A88"/>
    <w:rsid w:val="3D9D5A63"/>
    <w:rsid w:val="3D9E2A4F"/>
    <w:rsid w:val="3D9F17DB"/>
    <w:rsid w:val="3D9F322F"/>
    <w:rsid w:val="3D9F5C7F"/>
    <w:rsid w:val="3D9F5E02"/>
    <w:rsid w:val="3D9F7841"/>
    <w:rsid w:val="3DA00B4F"/>
    <w:rsid w:val="3DA030E5"/>
    <w:rsid w:val="3DA033BA"/>
    <w:rsid w:val="3DA037A5"/>
    <w:rsid w:val="3DA03BBA"/>
    <w:rsid w:val="3DA05553"/>
    <w:rsid w:val="3DA07301"/>
    <w:rsid w:val="3DA11314"/>
    <w:rsid w:val="3DA14361"/>
    <w:rsid w:val="3DA2001B"/>
    <w:rsid w:val="3DA212CB"/>
    <w:rsid w:val="3DA24F3C"/>
    <w:rsid w:val="3DA2751D"/>
    <w:rsid w:val="3DA27781"/>
    <w:rsid w:val="3DA30416"/>
    <w:rsid w:val="3DA313C3"/>
    <w:rsid w:val="3DA32C63"/>
    <w:rsid w:val="3DA32F44"/>
    <w:rsid w:val="3DA363F6"/>
    <w:rsid w:val="3DA43295"/>
    <w:rsid w:val="3DA44287"/>
    <w:rsid w:val="3DA45043"/>
    <w:rsid w:val="3DA46DF1"/>
    <w:rsid w:val="3DA474D0"/>
    <w:rsid w:val="3DA5194B"/>
    <w:rsid w:val="3DA52599"/>
    <w:rsid w:val="3DA54918"/>
    <w:rsid w:val="3DA558E0"/>
    <w:rsid w:val="3DA55C80"/>
    <w:rsid w:val="3DA57E3A"/>
    <w:rsid w:val="3DA612DD"/>
    <w:rsid w:val="3DA638A8"/>
    <w:rsid w:val="3DA66102"/>
    <w:rsid w:val="3DA67720"/>
    <w:rsid w:val="3DA72E3B"/>
    <w:rsid w:val="3DA74B34"/>
    <w:rsid w:val="3DA752D4"/>
    <w:rsid w:val="3DA764EB"/>
    <w:rsid w:val="3DA778E0"/>
    <w:rsid w:val="3DA800D6"/>
    <w:rsid w:val="3DA805F7"/>
    <w:rsid w:val="3DA80B46"/>
    <w:rsid w:val="3DA82314"/>
    <w:rsid w:val="3DA840DA"/>
    <w:rsid w:val="3DA84343"/>
    <w:rsid w:val="3DA87097"/>
    <w:rsid w:val="3DA878BB"/>
    <w:rsid w:val="3DA908AC"/>
    <w:rsid w:val="3DA91C43"/>
    <w:rsid w:val="3DA94154"/>
    <w:rsid w:val="3DA94408"/>
    <w:rsid w:val="3DAA06EA"/>
    <w:rsid w:val="3DAA2DED"/>
    <w:rsid w:val="3DAA47D2"/>
    <w:rsid w:val="3DAB09C8"/>
    <w:rsid w:val="3DAB0D65"/>
    <w:rsid w:val="3DAB4624"/>
    <w:rsid w:val="3DAB70D5"/>
    <w:rsid w:val="3DAC214A"/>
    <w:rsid w:val="3DAC669C"/>
    <w:rsid w:val="3DAC7A5E"/>
    <w:rsid w:val="3DAD149C"/>
    <w:rsid w:val="3DAD4894"/>
    <w:rsid w:val="3DAD726E"/>
    <w:rsid w:val="3DAE000B"/>
    <w:rsid w:val="3DAE129E"/>
    <w:rsid w:val="3DAE1A1E"/>
    <w:rsid w:val="3DAE2247"/>
    <w:rsid w:val="3DAE50CB"/>
    <w:rsid w:val="3DAE6D08"/>
    <w:rsid w:val="3DAE7C70"/>
    <w:rsid w:val="3DAF7623"/>
    <w:rsid w:val="3DB01C3A"/>
    <w:rsid w:val="3DB0662B"/>
    <w:rsid w:val="3DB11AFC"/>
    <w:rsid w:val="3DB11F2F"/>
    <w:rsid w:val="3DB17760"/>
    <w:rsid w:val="3DB27895"/>
    <w:rsid w:val="3DB324B9"/>
    <w:rsid w:val="3DB334D8"/>
    <w:rsid w:val="3DB34DA8"/>
    <w:rsid w:val="3DB355B1"/>
    <w:rsid w:val="3DB42DAD"/>
    <w:rsid w:val="3DB43CB4"/>
    <w:rsid w:val="3DB443FE"/>
    <w:rsid w:val="3DB50260"/>
    <w:rsid w:val="3DB55618"/>
    <w:rsid w:val="3DB5607B"/>
    <w:rsid w:val="3DB566E2"/>
    <w:rsid w:val="3DB61AF5"/>
    <w:rsid w:val="3DB644B6"/>
    <w:rsid w:val="3DB64500"/>
    <w:rsid w:val="3DB64BD6"/>
    <w:rsid w:val="3DB657B3"/>
    <w:rsid w:val="3DB65F41"/>
    <w:rsid w:val="3DB66B25"/>
    <w:rsid w:val="3DB73365"/>
    <w:rsid w:val="3DB75946"/>
    <w:rsid w:val="3DB773FC"/>
    <w:rsid w:val="3DB8073E"/>
    <w:rsid w:val="3DB80AEF"/>
    <w:rsid w:val="3DB8289D"/>
    <w:rsid w:val="3DB82B5C"/>
    <w:rsid w:val="3DB85049"/>
    <w:rsid w:val="3DB94646"/>
    <w:rsid w:val="3DB94B22"/>
    <w:rsid w:val="3DB94BE5"/>
    <w:rsid w:val="3DB96477"/>
    <w:rsid w:val="3DBA03C3"/>
    <w:rsid w:val="3DBA0695"/>
    <w:rsid w:val="3DBA2709"/>
    <w:rsid w:val="3DBA369A"/>
    <w:rsid w:val="3DBA4867"/>
    <w:rsid w:val="3DBA53EE"/>
    <w:rsid w:val="3DBA5A08"/>
    <w:rsid w:val="3DBA65CE"/>
    <w:rsid w:val="3DBA6AA4"/>
    <w:rsid w:val="3DBA797D"/>
    <w:rsid w:val="3DBB3C5A"/>
    <w:rsid w:val="3DBB4AE6"/>
    <w:rsid w:val="3DBB4DE1"/>
    <w:rsid w:val="3DBB723C"/>
    <w:rsid w:val="3DBC05DF"/>
    <w:rsid w:val="3DBC4161"/>
    <w:rsid w:val="3DBC4EA4"/>
    <w:rsid w:val="3DBD17B8"/>
    <w:rsid w:val="3DBD432E"/>
    <w:rsid w:val="3DBD4357"/>
    <w:rsid w:val="3DBD68FF"/>
    <w:rsid w:val="3DBD7EB3"/>
    <w:rsid w:val="3DBE27A5"/>
    <w:rsid w:val="3DBE5F9F"/>
    <w:rsid w:val="3DBE64A1"/>
    <w:rsid w:val="3DBE67AF"/>
    <w:rsid w:val="3DBE78B4"/>
    <w:rsid w:val="3DBF3314"/>
    <w:rsid w:val="3DBF3C2B"/>
    <w:rsid w:val="3DBF59D9"/>
    <w:rsid w:val="3DBF6CA9"/>
    <w:rsid w:val="3DBF7568"/>
    <w:rsid w:val="3DBF7BA4"/>
    <w:rsid w:val="3DC00792"/>
    <w:rsid w:val="3DC04496"/>
    <w:rsid w:val="3DC04A90"/>
    <w:rsid w:val="3DC079A3"/>
    <w:rsid w:val="3DC07D87"/>
    <w:rsid w:val="3DC11FAB"/>
    <w:rsid w:val="3DC13389"/>
    <w:rsid w:val="3DC14A25"/>
    <w:rsid w:val="3DC15156"/>
    <w:rsid w:val="3DC20832"/>
    <w:rsid w:val="3DC20D2E"/>
    <w:rsid w:val="3DC211C1"/>
    <w:rsid w:val="3DC2196D"/>
    <w:rsid w:val="3DC219FC"/>
    <w:rsid w:val="3DC22A59"/>
    <w:rsid w:val="3DC23168"/>
    <w:rsid w:val="3DC26437"/>
    <w:rsid w:val="3DC27168"/>
    <w:rsid w:val="3DC34217"/>
    <w:rsid w:val="3DC3498E"/>
    <w:rsid w:val="3DC3734E"/>
    <w:rsid w:val="3DC4168B"/>
    <w:rsid w:val="3DC42565"/>
    <w:rsid w:val="3DC43A08"/>
    <w:rsid w:val="3DC456E6"/>
    <w:rsid w:val="3DC46ABA"/>
    <w:rsid w:val="3DC47C3F"/>
    <w:rsid w:val="3DC508D0"/>
    <w:rsid w:val="3DC5147F"/>
    <w:rsid w:val="3DC53F8A"/>
    <w:rsid w:val="3DC54DAD"/>
    <w:rsid w:val="3DC56B27"/>
    <w:rsid w:val="3DC56D68"/>
    <w:rsid w:val="3DC618C7"/>
    <w:rsid w:val="3DC6320C"/>
    <w:rsid w:val="3DC7000C"/>
    <w:rsid w:val="3DC70D32"/>
    <w:rsid w:val="3DC72AE0"/>
    <w:rsid w:val="3DC75214"/>
    <w:rsid w:val="3DC75B21"/>
    <w:rsid w:val="3DC76F84"/>
    <w:rsid w:val="3DC77042"/>
    <w:rsid w:val="3DC84DE8"/>
    <w:rsid w:val="3DC85D47"/>
    <w:rsid w:val="3DC90097"/>
    <w:rsid w:val="3DC91753"/>
    <w:rsid w:val="3DC95016"/>
    <w:rsid w:val="3DC95550"/>
    <w:rsid w:val="3DC96858"/>
    <w:rsid w:val="3DC97D5B"/>
    <w:rsid w:val="3DCA0EBD"/>
    <w:rsid w:val="3DCA1A28"/>
    <w:rsid w:val="3DCB0822"/>
    <w:rsid w:val="3DCB1643"/>
    <w:rsid w:val="3DCB524C"/>
    <w:rsid w:val="3DCB6A74"/>
    <w:rsid w:val="3DCC606F"/>
    <w:rsid w:val="3DCC609E"/>
    <w:rsid w:val="3DCD0836"/>
    <w:rsid w:val="3DCD39C7"/>
    <w:rsid w:val="3DCE0312"/>
    <w:rsid w:val="3DCF0FA4"/>
    <w:rsid w:val="3DCF217A"/>
    <w:rsid w:val="3DCF58FA"/>
    <w:rsid w:val="3DCF70BE"/>
    <w:rsid w:val="3DCF7D84"/>
    <w:rsid w:val="3DD02719"/>
    <w:rsid w:val="3DD02AC1"/>
    <w:rsid w:val="3DD035AF"/>
    <w:rsid w:val="3DD05E38"/>
    <w:rsid w:val="3DD07BE6"/>
    <w:rsid w:val="3DD1020F"/>
    <w:rsid w:val="3DD11BB1"/>
    <w:rsid w:val="3DD1395F"/>
    <w:rsid w:val="3DD1570D"/>
    <w:rsid w:val="3DD16AAA"/>
    <w:rsid w:val="3DD16D59"/>
    <w:rsid w:val="3DD24E3F"/>
    <w:rsid w:val="3DD27E02"/>
    <w:rsid w:val="3DD339DE"/>
    <w:rsid w:val="3DD3661D"/>
    <w:rsid w:val="3DD4041E"/>
    <w:rsid w:val="3DD422D5"/>
    <w:rsid w:val="3DD456E8"/>
    <w:rsid w:val="3DD516A1"/>
    <w:rsid w:val="3DD5193E"/>
    <w:rsid w:val="3DD527F1"/>
    <w:rsid w:val="3DD53439"/>
    <w:rsid w:val="3DD537BA"/>
    <w:rsid w:val="3DD53FBB"/>
    <w:rsid w:val="3DD60F75"/>
    <w:rsid w:val="3DD66CED"/>
    <w:rsid w:val="3DD671C7"/>
    <w:rsid w:val="3DD74996"/>
    <w:rsid w:val="3DD75419"/>
    <w:rsid w:val="3DD75F2D"/>
    <w:rsid w:val="3DD8246F"/>
    <w:rsid w:val="3DD82F3F"/>
    <w:rsid w:val="3DD84CED"/>
    <w:rsid w:val="3DD866C1"/>
    <w:rsid w:val="3DD86A9B"/>
    <w:rsid w:val="3DD86E62"/>
    <w:rsid w:val="3DD91E8A"/>
    <w:rsid w:val="3DD93638"/>
    <w:rsid w:val="3DD95D0F"/>
    <w:rsid w:val="3DD965E5"/>
    <w:rsid w:val="3DD97AD2"/>
    <w:rsid w:val="3DDA2813"/>
    <w:rsid w:val="3DDA7A96"/>
    <w:rsid w:val="3DDB658B"/>
    <w:rsid w:val="3DDC02AC"/>
    <w:rsid w:val="3DDC2697"/>
    <w:rsid w:val="3DDC3628"/>
    <w:rsid w:val="3DDC467D"/>
    <w:rsid w:val="3DDC65D9"/>
    <w:rsid w:val="3DDD2303"/>
    <w:rsid w:val="3DDD3BF2"/>
    <w:rsid w:val="3DDD3E9B"/>
    <w:rsid w:val="3DDD438B"/>
    <w:rsid w:val="3DDF4B52"/>
    <w:rsid w:val="3DDF7E2A"/>
    <w:rsid w:val="3DE018C2"/>
    <w:rsid w:val="3DE01918"/>
    <w:rsid w:val="3DE02DC9"/>
    <w:rsid w:val="3DE059BD"/>
    <w:rsid w:val="3DE07723"/>
    <w:rsid w:val="3DE11DF4"/>
    <w:rsid w:val="3DE12AEB"/>
    <w:rsid w:val="3DE1714C"/>
    <w:rsid w:val="3DE238E0"/>
    <w:rsid w:val="3DE23DBE"/>
    <w:rsid w:val="3DE24C14"/>
    <w:rsid w:val="3DE25B6C"/>
    <w:rsid w:val="3DE25BA0"/>
    <w:rsid w:val="3DE26767"/>
    <w:rsid w:val="3DE32864"/>
    <w:rsid w:val="3DE401FC"/>
    <w:rsid w:val="3DE418E4"/>
    <w:rsid w:val="3DE44963"/>
    <w:rsid w:val="3DE47A1B"/>
    <w:rsid w:val="3DE50B36"/>
    <w:rsid w:val="3DE511B8"/>
    <w:rsid w:val="3DE5160F"/>
    <w:rsid w:val="3DE53388"/>
    <w:rsid w:val="3DE63CB6"/>
    <w:rsid w:val="3DE67131"/>
    <w:rsid w:val="3DE71367"/>
    <w:rsid w:val="3DE73182"/>
    <w:rsid w:val="3DE80DD9"/>
    <w:rsid w:val="3DE8401A"/>
    <w:rsid w:val="3DE90CA8"/>
    <w:rsid w:val="3DE90EAD"/>
    <w:rsid w:val="3DE92AE4"/>
    <w:rsid w:val="3DE93370"/>
    <w:rsid w:val="3DE94611"/>
    <w:rsid w:val="3DE9514C"/>
    <w:rsid w:val="3DEA0F04"/>
    <w:rsid w:val="3DEB063D"/>
    <w:rsid w:val="3DEB1AF2"/>
    <w:rsid w:val="3DEB4A20"/>
    <w:rsid w:val="3DEB4E16"/>
    <w:rsid w:val="3DEB7D47"/>
    <w:rsid w:val="3DEC143A"/>
    <w:rsid w:val="3DEC249D"/>
    <w:rsid w:val="3DEC2A71"/>
    <w:rsid w:val="3DEC493B"/>
    <w:rsid w:val="3DEC564C"/>
    <w:rsid w:val="3DEC5C34"/>
    <w:rsid w:val="3DED128B"/>
    <w:rsid w:val="3DED2012"/>
    <w:rsid w:val="3DED3111"/>
    <w:rsid w:val="3DED635A"/>
    <w:rsid w:val="3DED69EA"/>
    <w:rsid w:val="3DED7F4A"/>
    <w:rsid w:val="3DEE1D27"/>
    <w:rsid w:val="3DEE2762"/>
    <w:rsid w:val="3DEE5747"/>
    <w:rsid w:val="3DEE5AB4"/>
    <w:rsid w:val="3DEE62BF"/>
    <w:rsid w:val="3DEE75C9"/>
    <w:rsid w:val="3DEE7B04"/>
    <w:rsid w:val="3DEF0093"/>
    <w:rsid w:val="3DEF0BF9"/>
    <w:rsid w:val="3DEF16B5"/>
    <w:rsid w:val="3DEF370E"/>
    <w:rsid w:val="3DEF3A21"/>
    <w:rsid w:val="3DEF5471"/>
    <w:rsid w:val="3DF00289"/>
    <w:rsid w:val="3DF0139E"/>
    <w:rsid w:val="3DF0145C"/>
    <w:rsid w:val="3DF02037"/>
    <w:rsid w:val="3DF02A33"/>
    <w:rsid w:val="3DF0365D"/>
    <w:rsid w:val="3DF04678"/>
    <w:rsid w:val="3DF05D9E"/>
    <w:rsid w:val="3DF064DB"/>
    <w:rsid w:val="3DF0662A"/>
    <w:rsid w:val="3DF06AF7"/>
    <w:rsid w:val="3DF06D64"/>
    <w:rsid w:val="3DF109B2"/>
    <w:rsid w:val="3DF111A3"/>
    <w:rsid w:val="3DF12025"/>
    <w:rsid w:val="3DF12A0B"/>
    <w:rsid w:val="3DF16801"/>
    <w:rsid w:val="3DF17B5D"/>
    <w:rsid w:val="3DF17FF3"/>
    <w:rsid w:val="3DF203F7"/>
    <w:rsid w:val="3DF211DD"/>
    <w:rsid w:val="3DF24001"/>
    <w:rsid w:val="3DF2408F"/>
    <w:rsid w:val="3DF24244"/>
    <w:rsid w:val="3DF24C8C"/>
    <w:rsid w:val="3DF24CAC"/>
    <w:rsid w:val="3DF258A4"/>
    <w:rsid w:val="3DF26F3B"/>
    <w:rsid w:val="3DF35237"/>
    <w:rsid w:val="3DF378FD"/>
    <w:rsid w:val="3DF46236"/>
    <w:rsid w:val="3DF503D5"/>
    <w:rsid w:val="3DF527FB"/>
    <w:rsid w:val="3DF52A14"/>
    <w:rsid w:val="3DF55BC7"/>
    <w:rsid w:val="3DF56426"/>
    <w:rsid w:val="3DF57557"/>
    <w:rsid w:val="3DF5764D"/>
    <w:rsid w:val="3DF57EAC"/>
    <w:rsid w:val="3DF60D8A"/>
    <w:rsid w:val="3DF633C5"/>
    <w:rsid w:val="3DF64436"/>
    <w:rsid w:val="3DF670AE"/>
    <w:rsid w:val="3DF71617"/>
    <w:rsid w:val="3DF76AB0"/>
    <w:rsid w:val="3DF80EEB"/>
    <w:rsid w:val="3DF83892"/>
    <w:rsid w:val="3DF8713D"/>
    <w:rsid w:val="3DF8733F"/>
    <w:rsid w:val="3DF902CA"/>
    <w:rsid w:val="3DF919F2"/>
    <w:rsid w:val="3DF94E7F"/>
    <w:rsid w:val="3DF96E3A"/>
    <w:rsid w:val="3DF97BA6"/>
    <w:rsid w:val="3DFA1245"/>
    <w:rsid w:val="3DFA15C3"/>
    <w:rsid w:val="3DFA4212"/>
    <w:rsid w:val="3DFA4C63"/>
    <w:rsid w:val="3DFB09DB"/>
    <w:rsid w:val="3DFB283E"/>
    <w:rsid w:val="3DFB42BB"/>
    <w:rsid w:val="3DFC3E6B"/>
    <w:rsid w:val="3DFC4E7F"/>
    <w:rsid w:val="3DFC57BB"/>
    <w:rsid w:val="3DFC6C2D"/>
    <w:rsid w:val="3DFC6E16"/>
    <w:rsid w:val="3DFD0F59"/>
    <w:rsid w:val="3DFD1720"/>
    <w:rsid w:val="3DFD4754"/>
    <w:rsid w:val="3DFD6502"/>
    <w:rsid w:val="3DFE00DB"/>
    <w:rsid w:val="3DFE0BF8"/>
    <w:rsid w:val="3DFE0DB3"/>
    <w:rsid w:val="3DFE3D39"/>
    <w:rsid w:val="3DFE4BD1"/>
    <w:rsid w:val="3DFE61BA"/>
    <w:rsid w:val="3DFE7BCE"/>
    <w:rsid w:val="3DFF16E9"/>
    <w:rsid w:val="3DFF1835"/>
    <w:rsid w:val="3DFF413C"/>
    <w:rsid w:val="3DFF671E"/>
    <w:rsid w:val="3DFF7C40"/>
    <w:rsid w:val="3E0029FB"/>
    <w:rsid w:val="3E010C46"/>
    <w:rsid w:val="3E0128A0"/>
    <w:rsid w:val="3E014244"/>
    <w:rsid w:val="3E0146C2"/>
    <w:rsid w:val="3E015FF2"/>
    <w:rsid w:val="3E017061"/>
    <w:rsid w:val="3E020026"/>
    <w:rsid w:val="3E0222B5"/>
    <w:rsid w:val="3E022CA6"/>
    <w:rsid w:val="3E024D4C"/>
    <w:rsid w:val="3E027FBC"/>
    <w:rsid w:val="3E0306E1"/>
    <w:rsid w:val="3E034B62"/>
    <w:rsid w:val="3E035205"/>
    <w:rsid w:val="3E035A30"/>
    <w:rsid w:val="3E035F3B"/>
    <w:rsid w:val="3E03620E"/>
    <w:rsid w:val="3E0404E4"/>
    <w:rsid w:val="3E041DBB"/>
    <w:rsid w:val="3E047890"/>
    <w:rsid w:val="3E047E0A"/>
    <w:rsid w:val="3E050D4E"/>
    <w:rsid w:val="3E0523D5"/>
    <w:rsid w:val="3E0538DF"/>
    <w:rsid w:val="3E0553DD"/>
    <w:rsid w:val="3E06143E"/>
    <w:rsid w:val="3E06185A"/>
    <w:rsid w:val="3E063608"/>
    <w:rsid w:val="3E063BD6"/>
    <w:rsid w:val="3E06473E"/>
    <w:rsid w:val="3E076EDC"/>
    <w:rsid w:val="3E081E42"/>
    <w:rsid w:val="3E081F4F"/>
    <w:rsid w:val="3E08555B"/>
    <w:rsid w:val="3E09134A"/>
    <w:rsid w:val="3E0927E2"/>
    <w:rsid w:val="3E0930F8"/>
    <w:rsid w:val="3E09759C"/>
    <w:rsid w:val="3E0A0B56"/>
    <w:rsid w:val="3E0A667E"/>
    <w:rsid w:val="3E0B0C1F"/>
    <w:rsid w:val="3E0B2691"/>
    <w:rsid w:val="3E0B26DF"/>
    <w:rsid w:val="3E0B6E71"/>
    <w:rsid w:val="3E0C2458"/>
    <w:rsid w:val="3E0C2BE9"/>
    <w:rsid w:val="3E0C4997"/>
    <w:rsid w:val="3E0C52B0"/>
    <w:rsid w:val="3E0C543F"/>
    <w:rsid w:val="3E0C7018"/>
    <w:rsid w:val="3E0E22CC"/>
    <w:rsid w:val="3E0E5FD2"/>
    <w:rsid w:val="3E0E6961"/>
    <w:rsid w:val="3E0E6B7D"/>
    <w:rsid w:val="3E0E787F"/>
    <w:rsid w:val="3E0F3476"/>
    <w:rsid w:val="3E0F4642"/>
    <w:rsid w:val="3E0F5707"/>
    <w:rsid w:val="3E0F7A9F"/>
    <w:rsid w:val="3E0F7C3E"/>
    <w:rsid w:val="3E10210F"/>
    <w:rsid w:val="3E102416"/>
    <w:rsid w:val="3E104487"/>
    <w:rsid w:val="3E105C53"/>
    <w:rsid w:val="3E111FAD"/>
    <w:rsid w:val="3E113C9A"/>
    <w:rsid w:val="3E113E28"/>
    <w:rsid w:val="3E11688B"/>
    <w:rsid w:val="3E1201FF"/>
    <w:rsid w:val="3E12166E"/>
    <w:rsid w:val="3E122359"/>
    <w:rsid w:val="3E12547C"/>
    <w:rsid w:val="3E13376F"/>
    <w:rsid w:val="3E133871"/>
    <w:rsid w:val="3E13537A"/>
    <w:rsid w:val="3E1371FC"/>
    <w:rsid w:val="3E137333"/>
    <w:rsid w:val="3E137ADC"/>
    <w:rsid w:val="3E142301"/>
    <w:rsid w:val="3E145F68"/>
    <w:rsid w:val="3E1509D8"/>
    <w:rsid w:val="3E155CC4"/>
    <w:rsid w:val="3E155F41"/>
    <w:rsid w:val="3E156362"/>
    <w:rsid w:val="3E156C6E"/>
    <w:rsid w:val="3E160000"/>
    <w:rsid w:val="3E160540"/>
    <w:rsid w:val="3E16379E"/>
    <w:rsid w:val="3E170C82"/>
    <w:rsid w:val="3E174936"/>
    <w:rsid w:val="3E175815"/>
    <w:rsid w:val="3E17743C"/>
    <w:rsid w:val="3E18333B"/>
    <w:rsid w:val="3E183475"/>
    <w:rsid w:val="3E185006"/>
    <w:rsid w:val="3E186E2F"/>
    <w:rsid w:val="3E186EB3"/>
    <w:rsid w:val="3E1901A4"/>
    <w:rsid w:val="3E1927AB"/>
    <w:rsid w:val="3E1938FB"/>
    <w:rsid w:val="3E194CE3"/>
    <w:rsid w:val="3E1974A2"/>
    <w:rsid w:val="3E1978B4"/>
    <w:rsid w:val="3E1A08F9"/>
    <w:rsid w:val="3E1A5306"/>
    <w:rsid w:val="3E1A56BE"/>
    <w:rsid w:val="3E1A70B4"/>
    <w:rsid w:val="3E1B6A46"/>
    <w:rsid w:val="3E1C0879"/>
    <w:rsid w:val="3E1C0BC5"/>
    <w:rsid w:val="3E1C107E"/>
    <w:rsid w:val="3E1C1B9D"/>
    <w:rsid w:val="3E1C2E2C"/>
    <w:rsid w:val="3E1C4788"/>
    <w:rsid w:val="3E1D0952"/>
    <w:rsid w:val="3E1D1952"/>
    <w:rsid w:val="3E1D3D47"/>
    <w:rsid w:val="3E1D4D5E"/>
    <w:rsid w:val="3E1D4DF6"/>
    <w:rsid w:val="3E1D5959"/>
    <w:rsid w:val="3E1D6BA4"/>
    <w:rsid w:val="3E1E2309"/>
    <w:rsid w:val="3E1E266B"/>
    <w:rsid w:val="3E1E3305"/>
    <w:rsid w:val="3E1F0B55"/>
    <w:rsid w:val="3E1F0B6E"/>
    <w:rsid w:val="3E1F1036"/>
    <w:rsid w:val="3E1F291C"/>
    <w:rsid w:val="3E1F468A"/>
    <w:rsid w:val="3E1F7FAD"/>
    <w:rsid w:val="3E200573"/>
    <w:rsid w:val="3E20308D"/>
    <w:rsid w:val="3E210442"/>
    <w:rsid w:val="3E2148E6"/>
    <w:rsid w:val="3E2152D3"/>
    <w:rsid w:val="3E216388"/>
    <w:rsid w:val="3E216694"/>
    <w:rsid w:val="3E217C9F"/>
    <w:rsid w:val="3E22144F"/>
    <w:rsid w:val="3E2228FC"/>
    <w:rsid w:val="3E22323F"/>
    <w:rsid w:val="3E2241BA"/>
    <w:rsid w:val="3E2349DE"/>
    <w:rsid w:val="3E2356F0"/>
    <w:rsid w:val="3E235B21"/>
    <w:rsid w:val="3E240577"/>
    <w:rsid w:val="3E2452A2"/>
    <w:rsid w:val="3E246184"/>
    <w:rsid w:val="3E255E57"/>
    <w:rsid w:val="3E256A58"/>
    <w:rsid w:val="3E26065A"/>
    <w:rsid w:val="3E2606D6"/>
    <w:rsid w:val="3E2607ED"/>
    <w:rsid w:val="3E263069"/>
    <w:rsid w:val="3E263CAA"/>
    <w:rsid w:val="3E265A58"/>
    <w:rsid w:val="3E28168A"/>
    <w:rsid w:val="3E285C74"/>
    <w:rsid w:val="3E287A22"/>
    <w:rsid w:val="3E2919ED"/>
    <w:rsid w:val="3E29255E"/>
    <w:rsid w:val="3E2947D8"/>
    <w:rsid w:val="3E295C48"/>
    <w:rsid w:val="3E2A2CEF"/>
    <w:rsid w:val="3E2A3A85"/>
    <w:rsid w:val="3E2A7B0D"/>
    <w:rsid w:val="3E2A7CA7"/>
    <w:rsid w:val="3E2B12C1"/>
    <w:rsid w:val="3E2B24DB"/>
    <w:rsid w:val="3E2B46BB"/>
    <w:rsid w:val="3E2C20F0"/>
    <w:rsid w:val="3E2C2B50"/>
    <w:rsid w:val="3E2C4BE1"/>
    <w:rsid w:val="3E2C5CE8"/>
    <w:rsid w:val="3E2D13D7"/>
    <w:rsid w:val="3E2D3254"/>
    <w:rsid w:val="3E2D4AF0"/>
    <w:rsid w:val="3E2D5039"/>
    <w:rsid w:val="3E2E0DB1"/>
    <w:rsid w:val="3E2E2B5F"/>
    <w:rsid w:val="3E2E61BB"/>
    <w:rsid w:val="3E2F4503"/>
    <w:rsid w:val="3E2F6F7F"/>
    <w:rsid w:val="3E300685"/>
    <w:rsid w:val="3E300B1B"/>
    <w:rsid w:val="3E301D91"/>
    <w:rsid w:val="3E302623"/>
    <w:rsid w:val="3E302F6A"/>
    <w:rsid w:val="3E304B29"/>
    <w:rsid w:val="3E311A6F"/>
    <w:rsid w:val="3E3143FD"/>
    <w:rsid w:val="3E315615"/>
    <w:rsid w:val="3E32264F"/>
    <w:rsid w:val="3E322EA9"/>
    <w:rsid w:val="3E330690"/>
    <w:rsid w:val="3E330788"/>
    <w:rsid w:val="3E332048"/>
    <w:rsid w:val="3E3336F3"/>
    <w:rsid w:val="3E3346C6"/>
    <w:rsid w:val="3E3418EB"/>
    <w:rsid w:val="3E342D63"/>
    <w:rsid w:val="3E343AEB"/>
    <w:rsid w:val="3E344619"/>
    <w:rsid w:val="3E3448EE"/>
    <w:rsid w:val="3E350192"/>
    <w:rsid w:val="3E35225A"/>
    <w:rsid w:val="3E35594C"/>
    <w:rsid w:val="3E3603CB"/>
    <w:rsid w:val="3E36191A"/>
    <w:rsid w:val="3E365DBA"/>
    <w:rsid w:val="3E367395"/>
    <w:rsid w:val="3E371A14"/>
    <w:rsid w:val="3E374DBB"/>
    <w:rsid w:val="3E3757FA"/>
    <w:rsid w:val="3E375EB7"/>
    <w:rsid w:val="3E377C66"/>
    <w:rsid w:val="3E3839DE"/>
    <w:rsid w:val="3E38578C"/>
    <w:rsid w:val="3E38773F"/>
    <w:rsid w:val="3E387B72"/>
    <w:rsid w:val="3E387DB5"/>
    <w:rsid w:val="3E391C30"/>
    <w:rsid w:val="3E391FCF"/>
    <w:rsid w:val="3E3932D9"/>
    <w:rsid w:val="3E394051"/>
    <w:rsid w:val="3E394150"/>
    <w:rsid w:val="3E394C75"/>
    <w:rsid w:val="3E3A0EB7"/>
    <w:rsid w:val="3E3A1CE9"/>
    <w:rsid w:val="3E3A6E5B"/>
    <w:rsid w:val="3E3A7756"/>
    <w:rsid w:val="3E3B210B"/>
    <w:rsid w:val="3E3B291E"/>
    <w:rsid w:val="3E3B5FAC"/>
    <w:rsid w:val="3E3B65C0"/>
    <w:rsid w:val="3E3B74BC"/>
    <w:rsid w:val="3E3C1720"/>
    <w:rsid w:val="3E3C17F0"/>
    <w:rsid w:val="3E3C4D3A"/>
    <w:rsid w:val="3E3D0FF4"/>
    <w:rsid w:val="3E3D2DA2"/>
    <w:rsid w:val="3E3D3477"/>
    <w:rsid w:val="3E3E0511"/>
    <w:rsid w:val="3E3E08C7"/>
    <w:rsid w:val="3E3E556E"/>
    <w:rsid w:val="3E3E7246"/>
    <w:rsid w:val="3E3F4D6C"/>
    <w:rsid w:val="3E3F6B1A"/>
    <w:rsid w:val="3E4023A9"/>
    <w:rsid w:val="3E410AE4"/>
    <w:rsid w:val="3E411229"/>
    <w:rsid w:val="3E416BD2"/>
    <w:rsid w:val="3E416FD7"/>
    <w:rsid w:val="3E417476"/>
    <w:rsid w:val="3E4203B8"/>
    <w:rsid w:val="3E423B8C"/>
    <w:rsid w:val="3E4243BC"/>
    <w:rsid w:val="3E4273DB"/>
    <w:rsid w:val="3E427426"/>
    <w:rsid w:val="3E43467E"/>
    <w:rsid w:val="3E43680F"/>
    <w:rsid w:val="3E437F50"/>
    <w:rsid w:val="3E4403FD"/>
    <w:rsid w:val="3E440C32"/>
    <w:rsid w:val="3E442382"/>
    <w:rsid w:val="3E444130"/>
    <w:rsid w:val="3E45391F"/>
    <w:rsid w:val="3E453F6B"/>
    <w:rsid w:val="3E457E71"/>
    <w:rsid w:val="3E46434D"/>
    <w:rsid w:val="3E465806"/>
    <w:rsid w:val="3E465C51"/>
    <w:rsid w:val="3E467EA9"/>
    <w:rsid w:val="3E4709F6"/>
    <w:rsid w:val="3E474440"/>
    <w:rsid w:val="3E47488F"/>
    <w:rsid w:val="3E4760E2"/>
    <w:rsid w:val="3E481E73"/>
    <w:rsid w:val="3E4834DE"/>
    <w:rsid w:val="3E483694"/>
    <w:rsid w:val="3E483BB4"/>
    <w:rsid w:val="3E483F02"/>
    <w:rsid w:val="3E485338"/>
    <w:rsid w:val="3E491747"/>
    <w:rsid w:val="3E4928E7"/>
    <w:rsid w:val="3E494E0C"/>
    <w:rsid w:val="3E495BEB"/>
    <w:rsid w:val="3E497999"/>
    <w:rsid w:val="3E4B290A"/>
    <w:rsid w:val="3E4B5E0F"/>
    <w:rsid w:val="3E4C2743"/>
    <w:rsid w:val="3E4C7FDE"/>
    <w:rsid w:val="3E4D1C70"/>
    <w:rsid w:val="3E4D2492"/>
    <w:rsid w:val="3E4D45AB"/>
    <w:rsid w:val="3E4D4A35"/>
    <w:rsid w:val="3E4D56DB"/>
    <w:rsid w:val="3E4D7489"/>
    <w:rsid w:val="3E4E0559"/>
    <w:rsid w:val="3E4E4FAF"/>
    <w:rsid w:val="3E4E5C5F"/>
    <w:rsid w:val="3E4F018A"/>
    <w:rsid w:val="3E4F1453"/>
    <w:rsid w:val="3E4F1B38"/>
    <w:rsid w:val="3E4F37F0"/>
    <w:rsid w:val="3E4F4F14"/>
    <w:rsid w:val="3E500D27"/>
    <w:rsid w:val="3E501103"/>
    <w:rsid w:val="3E502554"/>
    <w:rsid w:val="3E502AD5"/>
    <w:rsid w:val="3E503AC8"/>
    <w:rsid w:val="3E503C58"/>
    <w:rsid w:val="3E5050D7"/>
    <w:rsid w:val="3E506F79"/>
    <w:rsid w:val="3E507E21"/>
    <w:rsid w:val="3E5144EE"/>
    <w:rsid w:val="3E514AB4"/>
    <w:rsid w:val="3E516FB2"/>
    <w:rsid w:val="3E5220E3"/>
    <w:rsid w:val="3E522CF1"/>
    <w:rsid w:val="3E524A9F"/>
    <w:rsid w:val="3E5279C8"/>
    <w:rsid w:val="3E530AFD"/>
    <w:rsid w:val="3E532EE3"/>
    <w:rsid w:val="3E534203"/>
    <w:rsid w:val="3E537A45"/>
    <w:rsid w:val="3E541570"/>
    <w:rsid w:val="3E54176F"/>
    <w:rsid w:val="3E542340"/>
    <w:rsid w:val="3E544405"/>
    <w:rsid w:val="3E546A69"/>
    <w:rsid w:val="3E5500EC"/>
    <w:rsid w:val="3E5527E2"/>
    <w:rsid w:val="3E55458C"/>
    <w:rsid w:val="3E554590"/>
    <w:rsid w:val="3E5653B3"/>
    <w:rsid w:val="3E5663C6"/>
    <w:rsid w:val="3E5666FD"/>
    <w:rsid w:val="3E5703D2"/>
    <w:rsid w:val="3E572077"/>
    <w:rsid w:val="3E57408C"/>
    <w:rsid w:val="3E574293"/>
    <w:rsid w:val="3E5750C4"/>
    <w:rsid w:val="3E57527A"/>
    <w:rsid w:val="3E575422"/>
    <w:rsid w:val="3E576115"/>
    <w:rsid w:val="3E580CE6"/>
    <w:rsid w:val="3E585D8E"/>
    <w:rsid w:val="3E591927"/>
    <w:rsid w:val="3E592176"/>
    <w:rsid w:val="3E594D47"/>
    <w:rsid w:val="3E595E2E"/>
    <w:rsid w:val="3E5A1BA6"/>
    <w:rsid w:val="3E5A3606"/>
    <w:rsid w:val="3E5A3954"/>
    <w:rsid w:val="3E5A4730"/>
    <w:rsid w:val="3E5A73DE"/>
    <w:rsid w:val="3E5A7DF8"/>
    <w:rsid w:val="3E5B0C01"/>
    <w:rsid w:val="3E5B47D9"/>
    <w:rsid w:val="3E5B755C"/>
    <w:rsid w:val="3E5B7B81"/>
    <w:rsid w:val="3E5C2811"/>
    <w:rsid w:val="3E5C467E"/>
    <w:rsid w:val="3E5C48E9"/>
    <w:rsid w:val="3E5C591E"/>
    <w:rsid w:val="3E5C7924"/>
    <w:rsid w:val="3E5D0946"/>
    <w:rsid w:val="3E5D0DDA"/>
    <w:rsid w:val="3E5D0FDF"/>
    <w:rsid w:val="3E5D3005"/>
    <w:rsid w:val="3E5E0513"/>
    <w:rsid w:val="3E5E22B0"/>
    <w:rsid w:val="3E5E2338"/>
    <w:rsid w:val="3E5E49D6"/>
    <w:rsid w:val="3E5E7780"/>
    <w:rsid w:val="3E5F540E"/>
    <w:rsid w:val="3E5F5E85"/>
    <w:rsid w:val="3E6019A7"/>
    <w:rsid w:val="3E602049"/>
    <w:rsid w:val="3E612583"/>
    <w:rsid w:val="3E612847"/>
    <w:rsid w:val="3E612F34"/>
    <w:rsid w:val="3E614CE2"/>
    <w:rsid w:val="3E6159A8"/>
    <w:rsid w:val="3E6168C8"/>
    <w:rsid w:val="3E617A50"/>
    <w:rsid w:val="3E617BEB"/>
    <w:rsid w:val="3E617D4B"/>
    <w:rsid w:val="3E622809"/>
    <w:rsid w:val="3E6231CB"/>
    <w:rsid w:val="3E626412"/>
    <w:rsid w:val="3E6266EF"/>
    <w:rsid w:val="3E6309CA"/>
    <w:rsid w:val="3E631A68"/>
    <w:rsid w:val="3E633398"/>
    <w:rsid w:val="3E635DF9"/>
    <w:rsid w:val="3E637EF9"/>
    <w:rsid w:val="3E641245"/>
    <w:rsid w:val="3E6431CB"/>
    <w:rsid w:val="3E6447D3"/>
    <w:rsid w:val="3E6469CC"/>
    <w:rsid w:val="3E651473"/>
    <w:rsid w:val="3E651876"/>
    <w:rsid w:val="3E6532EA"/>
    <w:rsid w:val="3E66220E"/>
    <w:rsid w:val="3E6622F9"/>
    <w:rsid w:val="3E6632CE"/>
    <w:rsid w:val="3E66679D"/>
    <w:rsid w:val="3E675C0A"/>
    <w:rsid w:val="3E6805DD"/>
    <w:rsid w:val="3E68075C"/>
    <w:rsid w:val="3E68108D"/>
    <w:rsid w:val="3E682515"/>
    <w:rsid w:val="3E682D62"/>
    <w:rsid w:val="3E683CCE"/>
    <w:rsid w:val="3E686071"/>
    <w:rsid w:val="3E690F80"/>
    <w:rsid w:val="3E694864"/>
    <w:rsid w:val="3E697F21"/>
    <w:rsid w:val="3E6A5FD6"/>
    <w:rsid w:val="3E6A6293"/>
    <w:rsid w:val="3E6B0129"/>
    <w:rsid w:val="3E6B1903"/>
    <w:rsid w:val="3E6B3DB3"/>
    <w:rsid w:val="3E6B473F"/>
    <w:rsid w:val="3E6B5557"/>
    <w:rsid w:val="3E6B5A12"/>
    <w:rsid w:val="3E6B715C"/>
    <w:rsid w:val="3E6B790F"/>
    <w:rsid w:val="3E6B7E2A"/>
    <w:rsid w:val="3E6C07F3"/>
    <w:rsid w:val="3E6C6A4F"/>
    <w:rsid w:val="3E6D3687"/>
    <w:rsid w:val="3E6D72AF"/>
    <w:rsid w:val="3E6D7CEB"/>
    <w:rsid w:val="3E6E11AD"/>
    <w:rsid w:val="3E6E4E6B"/>
    <w:rsid w:val="3E6E59B2"/>
    <w:rsid w:val="3E6E73FF"/>
    <w:rsid w:val="3E6E75D1"/>
    <w:rsid w:val="3E6F06F1"/>
    <w:rsid w:val="3E6F0B10"/>
    <w:rsid w:val="3E6F24F8"/>
    <w:rsid w:val="3E6F439C"/>
    <w:rsid w:val="3E6F7CAE"/>
    <w:rsid w:val="3E700991"/>
    <w:rsid w:val="3E703177"/>
    <w:rsid w:val="3E7041CD"/>
    <w:rsid w:val="3E710AC0"/>
    <w:rsid w:val="3E712EA6"/>
    <w:rsid w:val="3E715F03"/>
    <w:rsid w:val="3E720C2C"/>
    <w:rsid w:val="3E72445E"/>
    <w:rsid w:val="3E724A91"/>
    <w:rsid w:val="3E726C48"/>
    <w:rsid w:val="3E726EF0"/>
    <w:rsid w:val="3E7316AE"/>
    <w:rsid w:val="3E734A16"/>
    <w:rsid w:val="3E740167"/>
    <w:rsid w:val="3E740632"/>
    <w:rsid w:val="3E740EBA"/>
    <w:rsid w:val="3E741060"/>
    <w:rsid w:val="3E742C68"/>
    <w:rsid w:val="3E750541"/>
    <w:rsid w:val="3E75078E"/>
    <w:rsid w:val="3E75253C"/>
    <w:rsid w:val="3E752D2C"/>
    <w:rsid w:val="3E7569E0"/>
    <w:rsid w:val="3E7570D2"/>
    <w:rsid w:val="3E763F68"/>
    <w:rsid w:val="3E774506"/>
    <w:rsid w:val="3E7762B4"/>
    <w:rsid w:val="3E780CDC"/>
    <w:rsid w:val="3E78202C"/>
    <w:rsid w:val="3E784BC3"/>
    <w:rsid w:val="3E79027E"/>
    <w:rsid w:val="3E790EEC"/>
    <w:rsid w:val="3E79140E"/>
    <w:rsid w:val="3E791760"/>
    <w:rsid w:val="3E7921C0"/>
    <w:rsid w:val="3E7964D0"/>
    <w:rsid w:val="3E7A11F2"/>
    <w:rsid w:val="3E7A2248"/>
    <w:rsid w:val="3E7A7906"/>
    <w:rsid w:val="3E7C00E1"/>
    <w:rsid w:val="3E7C1B1C"/>
    <w:rsid w:val="3E7C1FD5"/>
    <w:rsid w:val="3E7C38CA"/>
    <w:rsid w:val="3E7C3C91"/>
    <w:rsid w:val="3E7C6872"/>
    <w:rsid w:val="3E7C69A0"/>
    <w:rsid w:val="3E7C6A06"/>
    <w:rsid w:val="3E7C78DB"/>
    <w:rsid w:val="3E7C7D6E"/>
    <w:rsid w:val="3E7D6214"/>
    <w:rsid w:val="3E7E2C3C"/>
    <w:rsid w:val="3E7E3AE6"/>
    <w:rsid w:val="3E7E5894"/>
    <w:rsid w:val="3E7E7813"/>
    <w:rsid w:val="3E7F160D"/>
    <w:rsid w:val="3E7F1BB7"/>
    <w:rsid w:val="3E7F3346"/>
    <w:rsid w:val="3E7F63BE"/>
    <w:rsid w:val="3E7F6A62"/>
    <w:rsid w:val="3E80785E"/>
    <w:rsid w:val="3E810A37"/>
    <w:rsid w:val="3E811382"/>
    <w:rsid w:val="3E8135D7"/>
    <w:rsid w:val="3E815385"/>
    <w:rsid w:val="3E8201A9"/>
    <w:rsid w:val="3E8224D4"/>
    <w:rsid w:val="3E822F33"/>
    <w:rsid w:val="3E823B0A"/>
    <w:rsid w:val="3E824499"/>
    <w:rsid w:val="3E825BE9"/>
    <w:rsid w:val="3E826F61"/>
    <w:rsid w:val="3E8310FD"/>
    <w:rsid w:val="3E831C20"/>
    <w:rsid w:val="3E831D95"/>
    <w:rsid w:val="3E832EAB"/>
    <w:rsid w:val="3E833CA2"/>
    <w:rsid w:val="3E834C59"/>
    <w:rsid w:val="3E84187B"/>
    <w:rsid w:val="3E845132"/>
    <w:rsid w:val="3E8460A2"/>
    <w:rsid w:val="3E860BB4"/>
    <w:rsid w:val="3E86299B"/>
    <w:rsid w:val="3E862AE7"/>
    <w:rsid w:val="3E864749"/>
    <w:rsid w:val="3E8672A4"/>
    <w:rsid w:val="3E870BD9"/>
    <w:rsid w:val="3E871937"/>
    <w:rsid w:val="3E8751FA"/>
    <w:rsid w:val="3E881C13"/>
    <w:rsid w:val="3E887520"/>
    <w:rsid w:val="3E887B2E"/>
    <w:rsid w:val="3E8926E5"/>
    <w:rsid w:val="3E894239"/>
    <w:rsid w:val="3E896631"/>
    <w:rsid w:val="3E8A0F12"/>
    <w:rsid w:val="3E8A2015"/>
    <w:rsid w:val="3E8A290C"/>
    <w:rsid w:val="3E8A39AA"/>
    <w:rsid w:val="3E8A4AD1"/>
    <w:rsid w:val="3E8B1D5F"/>
    <w:rsid w:val="3E8B6203"/>
    <w:rsid w:val="3E8B65DA"/>
    <w:rsid w:val="3E8C2137"/>
    <w:rsid w:val="3E8C2308"/>
    <w:rsid w:val="3E8C2EB7"/>
    <w:rsid w:val="3E8D0F37"/>
    <w:rsid w:val="3E8D1F7B"/>
    <w:rsid w:val="3E8D3D29"/>
    <w:rsid w:val="3E8D5769"/>
    <w:rsid w:val="3E8D5AD7"/>
    <w:rsid w:val="3E8D5B60"/>
    <w:rsid w:val="3E8E35FE"/>
    <w:rsid w:val="3E8E3F33"/>
    <w:rsid w:val="3E8E42A8"/>
    <w:rsid w:val="3E8F04BB"/>
    <w:rsid w:val="3E8F0B2E"/>
    <w:rsid w:val="3E8F0D43"/>
    <w:rsid w:val="3E8F243A"/>
    <w:rsid w:val="3E8F2463"/>
    <w:rsid w:val="3E8F29C3"/>
    <w:rsid w:val="3E8F3AED"/>
    <w:rsid w:val="3E8F6B4C"/>
    <w:rsid w:val="3E8F6E6D"/>
    <w:rsid w:val="3E90372F"/>
    <w:rsid w:val="3E9079E7"/>
    <w:rsid w:val="3E910B76"/>
    <w:rsid w:val="3E912319"/>
    <w:rsid w:val="3E915634"/>
    <w:rsid w:val="3E916078"/>
    <w:rsid w:val="3E916C1F"/>
    <w:rsid w:val="3E9173A4"/>
    <w:rsid w:val="3E917622"/>
    <w:rsid w:val="3E921340"/>
    <w:rsid w:val="3E9230EE"/>
    <w:rsid w:val="3E927592"/>
    <w:rsid w:val="3E931D2C"/>
    <w:rsid w:val="3E932FFB"/>
    <w:rsid w:val="3E933797"/>
    <w:rsid w:val="3E9365FB"/>
    <w:rsid w:val="3E9400F5"/>
    <w:rsid w:val="3E943665"/>
    <w:rsid w:val="3E952BDE"/>
    <w:rsid w:val="3E953336"/>
    <w:rsid w:val="3E9577F8"/>
    <w:rsid w:val="3E960F0A"/>
    <w:rsid w:val="3E9613CB"/>
    <w:rsid w:val="3E9641B1"/>
    <w:rsid w:val="3E970704"/>
    <w:rsid w:val="3E9715A5"/>
    <w:rsid w:val="3E9735A8"/>
    <w:rsid w:val="3E976956"/>
    <w:rsid w:val="3E98174B"/>
    <w:rsid w:val="3E9841DA"/>
    <w:rsid w:val="3E984A38"/>
    <w:rsid w:val="3E986179"/>
    <w:rsid w:val="3E990920"/>
    <w:rsid w:val="3E9913E7"/>
    <w:rsid w:val="3E994451"/>
    <w:rsid w:val="3E99447C"/>
    <w:rsid w:val="3E994D3F"/>
    <w:rsid w:val="3E9960BB"/>
    <w:rsid w:val="3E9962F4"/>
    <w:rsid w:val="3E9966BE"/>
    <w:rsid w:val="3E9A601C"/>
    <w:rsid w:val="3E9B4698"/>
    <w:rsid w:val="3E9B4F36"/>
    <w:rsid w:val="3E9B5A50"/>
    <w:rsid w:val="3E9C3CA2"/>
    <w:rsid w:val="3E9C3F6D"/>
    <w:rsid w:val="3E9C5D1B"/>
    <w:rsid w:val="3E9D4299"/>
    <w:rsid w:val="3E9D79D9"/>
    <w:rsid w:val="3E9E1424"/>
    <w:rsid w:val="3E9E3004"/>
    <w:rsid w:val="3E9E59DD"/>
    <w:rsid w:val="3E9E5F37"/>
    <w:rsid w:val="3E9F08A8"/>
    <w:rsid w:val="3E9F0FD0"/>
    <w:rsid w:val="3E9F404B"/>
    <w:rsid w:val="3E9F7C6D"/>
    <w:rsid w:val="3EA0017A"/>
    <w:rsid w:val="3EA019D5"/>
    <w:rsid w:val="3EA01D70"/>
    <w:rsid w:val="3EA0587B"/>
    <w:rsid w:val="3EA10373"/>
    <w:rsid w:val="3EA11583"/>
    <w:rsid w:val="3EA13331"/>
    <w:rsid w:val="3EA13ABF"/>
    <w:rsid w:val="3EA17781"/>
    <w:rsid w:val="3EA177D5"/>
    <w:rsid w:val="3EA17E71"/>
    <w:rsid w:val="3EA17FF9"/>
    <w:rsid w:val="3EA21DFC"/>
    <w:rsid w:val="3EA22E6A"/>
    <w:rsid w:val="3EA242FB"/>
    <w:rsid w:val="3EA3354D"/>
    <w:rsid w:val="3EA33702"/>
    <w:rsid w:val="3EA341CD"/>
    <w:rsid w:val="3EA370A9"/>
    <w:rsid w:val="3EA42E21"/>
    <w:rsid w:val="3EA44918"/>
    <w:rsid w:val="3EA472ED"/>
    <w:rsid w:val="3EA51936"/>
    <w:rsid w:val="3EA52A93"/>
    <w:rsid w:val="3EA53A60"/>
    <w:rsid w:val="3EA55BAC"/>
    <w:rsid w:val="3EA572C5"/>
    <w:rsid w:val="3EA6303D"/>
    <w:rsid w:val="3EA6388C"/>
    <w:rsid w:val="3EA6654C"/>
    <w:rsid w:val="3EA7226C"/>
    <w:rsid w:val="3EA76DCF"/>
    <w:rsid w:val="3EA80B63"/>
    <w:rsid w:val="3EA82911"/>
    <w:rsid w:val="3EA866DC"/>
    <w:rsid w:val="3EA90437"/>
    <w:rsid w:val="3EA95023"/>
    <w:rsid w:val="3EAA058E"/>
    <w:rsid w:val="3EAA0E89"/>
    <w:rsid w:val="3EAA48DB"/>
    <w:rsid w:val="3EAA592C"/>
    <w:rsid w:val="3EAA5A7D"/>
    <w:rsid w:val="3EAA6689"/>
    <w:rsid w:val="3EAA7666"/>
    <w:rsid w:val="3EAB2402"/>
    <w:rsid w:val="3EAB2B41"/>
    <w:rsid w:val="3EAB41B0"/>
    <w:rsid w:val="3EAB52E4"/>
    <w:rsid w:val="3EAB6352"/>
    <w:rsid w:val="3EAC1A7D"/>
    <w:rsid w:val="3EAC2095"/>
    <w:rsid w:val="3EAC433E"/>
    <w:rsid w:val="3EAC5023"/>
    <w:rsid w:val="3EAC70F7"/>
    <w:rsid w:val="3EAD1CD6"/>
    <w:rsid w:val="3EAD20E3"/>
    <w:rsid w:val="3EAD4513"/>
    <w:rsid w:val="3EAD4D9F"/>
    <w:rsid w:val="3EAE5A4E"/>
    <w:rsid w:val="3EAE7488"/>
    <w:rsid w:val="3EAF0525"/>
    <w:rsid w:val="3EAF0603"/>
    <w:rsid w:val="3EAF2F70"/>
    <w:rsid w:val="3EAF3CA0"/>
    <w:rsid w:val="3EAF4BA2"/>
    <w:rsid w:val="3EAF6E22"/>
    <w:rsid w:val="3EAF7B85"/>
    <w:rsid w:val="3EB05C6A"/>
    <w:rsid w:val="3EB07A18"/>
    <w:rsid w:val="3EB131E8"/>
    <w:rsid w:val="3EB13B57"/>
    <w:rsid w:val="3EB13B9E"/>
    <w:rsid w:val="3EB1402B"/>
    <w:rsid w:val="3EB153FF"/>
    <w:rsid w:val="3EB16C4B"/>
    <w:rsid w:val="3EB201B0"/>
    <w:rsid w:val="3EB219E2"/>
    <w:rsid w:val="3EB23790"/>
    <w:rsid w:val="3EB278C5"/>
    <w:rsid w:val="3EB3014F"/>
    <w:rsid w:val="3EB31841"/>
    <w:rsid w:val="3EB32772"/>
    <w:rsid w:val="3EB35095"/>
    <w:rsid w:val="3EB43064"/>
    <w:rsid w:val="3EB47508"/>
    <w:rsid w:val="3EB4761D"/>
    <w:rsid w:val="3EB50271"/>
    <w:rsid w:val="3EB53809"/>
    <w:rsid w:val="3EB6000C"/>
    <w:rsid w:val="3EB63280"/>
    <w:rsid w:val="3EB668D1"/>
    <w:rsid w:val="3EB66B30"/>
    <w:rsid w:val="3EB673DB"/>
    <w:rsid w:val="3EB7297D"/>
    <w:rsid w:val="3EB72B54"/>
    <w:rsid w:val="3EB73C0D"/>
    <w:rsid w:val="3EB7479D"/>
    <w:rsid w:val="3EB7632A"/>
    <w:rsid w:val="3EB80B41"/>
    <w:rsid w:val="3EB942EB"/>
    <w:rsid w:val="3EB94B1E"/>
    <w:rsid w:val="3EB968CD"/>
    <w:rsid w:val="3EB97989"/>
    <w:rsid w:val="3EB97ABC"/>
    <w:rsid w:val="3EBA26E4"/>
    <w:rsid w:val="3EBA3C18"/>
    <w:rsid w:val="3EBA43F3"/>
    <w:rsid w:val="3EBB0205"/>
    <w:rsid w:val="3EBB0897"/>
    <w:rsid w:val="3EBB17D0"/>
    <w:rsid w:val="3EBB29A2"/>
    <w:rsid w:val="3EBB3445"/>
    <w:rsid w:val="3EBB3A7C"/>
    <w:rsid w:val="3EBB4325"/>
    <w:rsid w:val="3EBB6587"/>
    <w:rsid w:val="3EBC3B69"/>
    <w:rsid w:val="3EBC3D16"/>
    <w:rsid w:val="3EBC460F"/>
    <w:rsid w:val="3EBC5352"/>
    <w:rsid w:val="3EBC5573"/>
    <w:rsid w:val="3EBC63BD"/>
    <w:rsid w:val="3EBC6B3B"/>
    <w:rsid w:val="3EBD0934"/>
    <w:rsid w:val="3EBD16B4"/>
    <w:rsid w:val="3EBD5D8E"/>
    <w:rsid w:val="3EBD6E70"/>
    <w:rsid w:val="3EBE0387"/>
    <w:rsid w:val="3EBE3BC3"/>
    <w:rsid w:val="3EBE48FC"/>
    <w:rsid w:val="3EBE6710"/>
    <w:rsid w:val="3EBE6AA9"/>
    <w:rsid w:val="3EBF0F87"/>
    <w:rsid w:val="3EBF1A09"/>
    <w:rsid w:val="3EBF3EF4"/>
    <w:rsid w:val="3EBF6952"/>
    <w:rsid w:val="3EC009AE"/>
    <w:rsid w:val="3EC0122E"/>
    <w:rsid w:val="3EC01BF6"/>
    <w:rsid w:val="3EC026B7"/>
    <w:rsid w:val="3EC07CE4"/>
    <w:rsid w:val="3EC07F77"/>
    <w:rsid w:val="3EC12545"/>
    <w:rsid w:val="3EC139D3"/>
    <w:rsid w:val="3EC13C43"/>
    <w:rsid w:val="3EC16814"/>
    <w:rsid w:val="3EC27265"/>
    <w:rsid w:val="3EC27F12"/>
    <w:rsid w:val="3EC30DB5"/>
    <w:rsid w:val="3EC31D05"/>
    <w:rsid w:val="3EC33C3E"/>
    <w:rsid w:val="3EC3774B"/>
    <w:rsid w:val="3EC413AC"/>
    <w:rsid w:val="3EC41586"/>
    <w:rsid w:val="3EC41E65"/>
    <w:rsid w:val="3EC42D70"/>
    <w:rsid w:val="3EC43BDC"/>
    <w:rsid w:val="3EC44454"/>
    <w:rsid w:val="3EC4752A"/>
    <w:rsid w:val="3EC51715"/>
    <w:rsid w:val="3EC51A3A"/>
    <w:rsid w:val="3EC534C3"/>
    <w:rsid w:val="3EC55271"/>
    <w:rsid w:val="3EC611F6"/>
    <w:rsid w:val="3EC62D97"/>
    <w:rsid w:val="3EC65AD7"/>
    <w:rsid w:val="3EC747FC"/>
    <w:rsid w:val="3EC7548D"/>
    <w:rsid w:val="3EC767A1"/>
    <w:rsid w:val="3EC8231A"/>
    <w:rsid w:val="3EC869DE"/>
    <w:rsid w:val="3EC913EE"/>
    <w:rsid w:val="3EC94364"/>
    <w:rsid w:val="3EC94FA6"/>
    <w:rsid w:val="3ECA0ADA"/>
    <w:rsid w:val="3ECA1007"/>
    <w:rsid w:val="3ECA1162"/>
    <w:rsid w:val="3ECA13E6"/>
    <w:rsid w:val="3ECA3582"/>
    <w:rsid w:val="3ECA6436"/>
    <w:rsid w:val="3ECA6D2C"/>
    <w:rsid w:val="3ECA70A4"/>
    <w:rsid w:val="3ECB1DC0"/>
    <w:rsid w:val="3ECB484B"/>
    <w:rsid w:val="3ECB61CE"/>
    <w:rsid w:val="3ECC3927"/>
    <w:rsid w:val="3ECC5302"/>
    <w:rsid w:val="3ECD2378"/>
    <w:rsid w:val="3ECD4126"/>
    <w:rsid w:val="3ECD4601"/>
    <w:rsid w:val="3ECD5815"/>
    <w:rsid w:val="3ECD5FCC"/>
    <w:rsid w:val="3ECD64F8"/>
    <w:rsid w:val="3ECE778A"/>
    <w:rsid w:val="3ECE7988"/>
    <w:rsid w:val="3ECF0E18"/>
    <w:rsid w:val="3ECF4342"/>
    <w:rsid w:val="3ECF6744"/>
    <w:rsid w:val="3ECF7E22"/>
    <w:rsid w:val="3ECF7E9E"/>
    <w:rsid w:val="3ED06CBD"/>
    <w:rsid w:val="3ED0751A"/>
    <w:rsid w:val="3ED100BA"/>
    <w:rsid w:val="3ED1243E"/>
    <w:rsid w:val="3ED16D3D"/>
    <w:rsid w:val="3ED17079"/>
    <w:rsid w:val="3ED17184"/>
    <w:rsid w:val="3ED230B5"/>
    <w:rsid w:val="3ED25217"/>
    <w:rsid w:val="3ED25BE0"/>
    <w:rsid w:val="3ED278D7"/>
    <w:rsid w:val="3ED30C29"/>
    <w:rsid w:val="3ED31516"/>
    <w:rsid w:val="3ED3388D"/>
    <w:rsid w:val="3ED43706"/>
    <w:rsid w:val="3ED437FA"/>
    <w:rsid w:val="3ED5122D"/>
    <w:rsid w:val="3ED54C8A"/>
    <w:rsid w:val="3ED55CA3"/>
    <w:rsid w:val="3ED5611A"/>
    <w:rsid w:val="3ED569A0"/>
    <w:rsid w:val="3ED60F9F"/>
    <w:rsid w:val="3ED610A2"/>
    <w:rsid w:val="3ED61844"/>
    <w:rsid w:val="3ED62BAC"/>
    <w:rsid w:val="3ED633EF"/>
    <w:rsid w:val="3ED64BC8"/>
    <w:rsid w:val="3ED6747E"/>
    <w:rsid w:val="3ED71964"/>
    <w:rsid w:val="3ED7217B"/>
    <w:rsid w:val="3ED731F7"/>
    <w:rsid w:val="3ED74FA5"/>
    <w:rsid w:val="3ED76162"/>
    <w:rsid w:val="3ED8360B"/>
    <w:rsid w:val="3ED90D1D"/>
    <w:rsid w:val="3ED92ACB"/>
    <w:rsid w:val="3EDA4594"/>
    <w:rsid w:val="3EDA5F2B"/>
    <w:rsid w:val="3EDA6461"/>
    <w:rsid w:val="3EDA6843"/>
    <w:rsid w:val="3EDB2CE7"/>
    <w:rsid w:val="3EDB4A95"/>
    <w:rsid w:val="3EDC080D"/>
    <w:rsid w:val="3EDC6A5F"/>
    <w:rsid w:val="3EDD0B8A"/>
    <w:rsid w:val="3EDD614D"/>
    <w:rsid w:val="3EDE1168"/>
    <w:rsid w:val="3EDE79C6"/>
    <w:rsid w:val="3EDE7D2D"/>
    <w:rsid w:val="3EDF1781"/>
    <w:rsid w:val="3EDF2E3B"/>
    <w:rsid w:val="3EDF3E59"/>
    <w:rsid w:val="3EDF4B2F"/>
    <w:rsid w:val="3EE002FD"/>
    <w:rsid w:val="3EE0237F"/>
    <w:rsid w:val="3EE028DC"/>
    <w:rsid w:val="3EE04B9F"/>
    <w:rsid w:val="3EE057E6"/>
    <w:rsid w:val="3EE10A5C"/>
    <w:rsid w:val="3EE1292B"/>
    <w:rsid w:val="3EE17BD1"/>
    <w:rsid w:val="3EE22E98"/>
    <w:rsid w:val="3EE238A4"/>
    <w:rsid w:val="3EE32FD9"/>
    <w:rsid w:val="3EE33927"/>
    <w:rsid w:val="3EE33949"/>
    <w:rsid w:val="3EE42FA9"/>
    <w:rsid w:val="3EE4677D"/>
    <w:rsid w:val="3EE470C5"/>
    <w:rsid w:val="3EE475D5"/>
    <w:rsid w:val="3EE47EB2"/>
    <w:rsid w:val="3EE47F62"/>
    <w:rsid w:val="3EE53B65"/>
    <w:rsid w:val="3EE546DD"/>
    <w:rsid w:val="3EE55913"/>
    <w:rsid w:val="3EE576C2"/>
    <w:rsid w:val="3EE6168C"/>
    <w:rsid w:val="3EE62E30"/>
    <w:rsid w:val="3EE6343A"/>
    <w:rsid w:val="3EE651E8"/>
    <w:rsid w:val="3EE65421"/>
    <w:rsid w:val="3EE6714B"/>
    <w:rsid w:val="3EE707DB"/>
    <w:rsid w:val="3EE75A46"/>
    <w:rsid w:val="3EE77488"/>
    <w:rsid w:val="3EE85404"/>
    <w:rsid w:val="3EE900CD"/>
    <w:rsid w:val="3EE912F9"/>
    <w:rsid w:val="3EE93D37"/>
    <w:rsid w:val="3EE94258"/>
    <w:rsid w:val="3EE94590"/>
    <w:rsid w:val="3EE97D2F"/>
    <w:rsid w:val="3EEA117C"/>
    <w:rsid w:val="3EEA55C1"/>
    <w:rsid w:val="3EEA5A99"/>
    <w:rsid w:val="3EEB0961"/>
    <w:rsid w:val="3EEB0FF0"/>
    <w:rsid w:val="3EEB1A81"/>
    <w:rsid w:val="3EEB463E"/>
    <w:rsid w:val="3EEB7083"/>
    <w:rsid w:val="3EEC1F3C"/>
    <w:rsid w:val="3EEC33CF"/>
    <w:rsid w:val="3EEC6CA2"/>
    <w:rsid w:val="3EEC7EC7"/>
    <w:rsid w:val="3EED049A"/>
    <w:rsid w:val="3EED47C8"/>
    <w:rsid w:val="3EED6576"/>
    <w:rsid w:val="3EED7FD5"/>
    <w:rsid w:val="3EEE428A"/>
    <w:rsid w:val="3EEE5831"/>
    <w:rsid w:val="3EEF22EE"/>
    <w:rsid w:val="3EF00705"/>
    <w:rsid w:val="3EF01892"/>
    <w:rsid w:val="3EF02D22"/>
    <w:rsid w:val="3EF03B13"/>
    <w:rsid w:val="3EF0517C"/>
    <w:rsid w:val="3EF06D88"/>
    <w:rsid w:val="3EF137C2"/>
    <w:rsid w:val="3EF142B8"/>
    <w:rsid w:val="3EF21DDE"/>
    <w:rsid w:val="3EF22C97"/>
    <w:rsid w:val="3EF26EB2"/>
    <w:rsid w:val="3EF30AB1"/>
    <w:rsid w:val="3EF30DD2"/>
    <w:rsid w:val="3EF33319"/>
    <w:rsid w:val="3EF3357B"/>
    <w:rsid w:val="3EF34989"/>
    <w:rsid w:val="3EF350CD"/>
    <w:rsid w:val="3EF3718B"/>
    <w:rsid w:val="3EF43791"/>
    <w:rsid w:val="3EF43DA9"/>
    <w:rsid w:val="3EF44187"/>
    <w:rsid w:val="3EF47671"/>
    <w:rsid w:val="3EF5082C"/>
    <w:rsid w:val="3EF51AD8"/>
    <w:rsid w:val="3EF5367D"/>
    <w:rsid w:val="3EF549DD"/>
    <w:rsid w:val="3EF57C96"/>
    <w:rsid w:val="3EF612F1"/>
    <w:rsid w:val="3EF63332"/>
    <w:rsid w:val="3EF64FCA"/>
    <w:rsid w:val="3EF67B21"/>
    <w:rsid w:val="3EF711ED"/>
    <w:rsid w:val="3EF72957"/>
    <w:rsid w:val="3EF73899"/>
    <w:rsid w:val="3EF75647"/>
    <w:rsid w:val="3EF7734B"/>
    <w:rsid w:val="3EF773F5"/>
    <w:rsid w:val="3EF801CD"/>
    <w:rsid w:val="3EF80364"/>
    <w:rsid w:val="3EF80856"/>
    <w:rsid w:val="3EF84645"/>
    <w:rsid w:val="3EF85C90"/>
    <w:rsid w:val="3EF913BF"/>
    <w:rsid w:val="3EF9316D"/>
    <w:rsid w:val="3EF94F1B"/>
    <w:rsid w:val="3EF973E4"/>
    <w:rsid w:val="3EFA2790"/>
    <w:rsid w:val="3EFA5515"/>
    <w:rsid w:val="3EFB33BF"/>
    <w:rsid w:val="3EFB5137"/>
    <w:rsid w:val="3EFC11A6"/>
    <w:rsid w:val="3EFD0EAF"/>
    <w:rsid w:val="3EFD2755"/>
    <w:rsid w:val="3EFD64A3"/>
    <w:rsid w:val="3EFE21DA"/>
    <w:rsid w:val="3EFE4C27"/>
    <w:rsid w:val="3EFE53B1"/>
    <w:rsid w:val="3EFE5663"/>
    <w:rsid w:val="3EFE5FA4"/>
    <w:rsid w:val="3EFF00CB"/>
    <w:rsid w:val="3EFF2AF1"/>
    <w:rsid w:val="3EFF4D2B"/>
    <w:rsid w:val="3EFF5ACC"/>
    <w:rsid w:val="3F0012A5"/>
    <w:rsid w:val="3F002817"/>
    <w:rsid w:val="3F003EDE"/>
    <w:rsid w:val="3F010FFE"/>
    <w:rsid w:val="3F0119A0"/>
    <w:rsid w:val="3F0131D8"/>
    <w:rsid w:val="3F014694"/>
    <w:rsid w:val="3F01657F"/>
    <w:rsid w:val="3F017132"/>
    <w:rsid w:val="3F0259A9"/>
    <w:rsid w:val="3F0301FE"/>
    <w:rsid w:val="3F031643"/>
    <w:rsid w:val="3F03223E"/>
    <w:rsid w:val="3F032CFE"/>
    <w:rsid w:val="3F033FEC"/>
    <w:rsid w:val="3F037A05"/>
    <w:rsid w:val="3F041198"/>
    <w:rsid w:val="3F051328"/>
    <w:rsid w:val="3F052174"/>
    <w:rsid w:val="3F052A4D"/>
    <w:rsid w:val="3F054892"/>
    <w:rsid w:val="3F054B06"/>
    <w:rsid w:val="3F055FB6"/>
    <w:rsid w:val="3F05731F"/>
    <w:rsid w:val="3F062599"/>
    <w:rsid w:val="3F0652EA"/>
    <w:rsid w:val="3F065B75"/>
    <w:rsid w:val="3F0755ED"/>
    <w:rsid w:val="3F0833B0"/>
    <w:rsid w:val="3F08457E"/>
    <w:rsid w:val="3F086863"/>
    <w:rsid w:val="3F087854"/>
    <w:rsid w:val="3F087868"/>
    <w:rsid w:val="3F0A38C9"/>
    <w:rsid w:val="3F0A3D9B"/>
    <w:rsid w:val="3F0A4A49"/>
    <w:rsid w:val="3F0B2EA0"/>
    <w:rsid w:val="3F0B4C4E"/>
    <w:rsid w:val="3F0C10F2"/>
    <w:rsid w:val="3F0C3045"/>
    <w:rsid w:val="3F0C378D"/>
    <w:rsid w:val="3F0C37B4"/>
    <w:rsid w:val="3F0C5329"/>
    <w:rsid w:val="3F0C6099"/>
    <w:rsid w:val="3F0C6489"/>
    <w:rsid w:val="3F0C67A1"/>
    <w:rsid w:val="3F0D189E"/>
    <w:rsid w:val="3F0D45EC"/>
    <w:rsid w:val="3F0E0173"/>
    <w:rsid w:val="3F0E36DA"/>
    <w:rsid w:val="3F0E43BD"/>
    <w:rsid w:val="3F0E4E1B"/>
    <w:rsid w:val="3F0F097C"/>
    <w:rsid w:val="3F0F10DC"/>
    <w:rsid w:val="3F0F400B"/>
    <w:rsid w:val="3F0F62AB"/>
    <w:rsid w:val="3F106B1A"/>
    <w:rsid w:val="3F11379C"/>
    <w:rsid w:val="3F114693"/>
    <w:rsid w:val="3F12422F"/>
    <w:rsid w:val="3F124475"/>
    <w:rsid w:val="3F125FDD"/>
    <w:rsid w:val="3F1265A5"/>
    <w:rsid w:val="3F1318E4"/>
    <w:rsid w:val="3F133982"/>
    <w:rsid w:val="3F133A85"/>
    <w:rsid w:val="3F141D55"/>
    <w:rsid w:val="3F143319"/>
    <w:rsid w:val="3F1461F9"/>
    <w:rsid w:val="3F147FA7"/>
    <w:rsid w:val="3F150C40"/>
    <w:rsid w:val="3F1529CB"/>
    <w:rsid w:val="3F153C49"/>
    <w:rsid w:val="3F1552B8"/>
    <w:rsid w:val="3F161F71"/>
    <w:rsid w:val="3F1635AD"/>
    <w:rsid w:val="3F164F4C"/>
    <w:rsid w:val="3F165F94"/>
    <w:rsid w:val="3F170A05"/>
    <w:rsid w:val="3F171C90"/>
    <w:rsid w:val="3F183730"/>
    <w:rsid w:val="3F185CE9"/>
    <w:rsid w:val="3F186F2D"/>
    <w:rsid w:val="3F187F4C"/>
    <w:rsid w:val="3F1955BD"/>
    <w:rsid w:val="3F1A2496"/>
    <w:rsid w:val="3F1A64DC"/>
    <w:rsid w:val="3F1B1335"/>
    <w:rsid w:val="3F1B30E3"/>
    <w:rsid w:val="3F1B7587"/>
    <w:rsid w:val="3F1C3F0D"/>
    <w:rsid w:val="3F1C4E43"/>
    <w:rsid w:val="3F1C50AD"/>
    <w:rsid w:val="3F1C518A"/>
    <w:rsid w:val="3F1D231B"/>
    <w:rsid w:val="3F1D36C9"/>
    <w:rsid w:val="3F1D4A96"/>
    <w:rsid w:val="3F1D6CB2"/>
    <w:rsid w:val="3F1D7CB8"/>
    <w:rsid w:val="3F1E0E25"/>
    <w:rsid w:val="3F1E2BD3"/>
    <w:rsid w:val="3F1E2E47"/>
    <w:rsid w:val="3F1E40AB"/>
    <w:rsid w:val="3F1E4FC5"/>
    <w:rsid w:val="3F1E6B14"/>
    <w:rsid w:val="3F1E7077"/>
    <w:rsid w:val="3F1F05DB"/>
    <w:rsid w:val="3F1F4411"/>
    <w:rsid w:val="3F1F465F"/>
    <w:rsid w:val="3F1F4881"/>
    <w:rsid w:val="3F200F13"/>
    <w:rsid w:val="3F201EA9"/>
    <w:rsid w:val="3F2032AF"/>
    <w:rsid w:val="3F2035AE"/>
    <w:rsid w:val="3F203B49"/>
    <w:rsid w:val="3F20694C"/>
    <w:rsid w:val="3F2137E4"/>
    <w:rsid w:val="3F214472"/>
    <w:rsid w:val="3F2148D6"/>
    <w:rsid w:val="3F215E5B"/>
    <w:rsid w:val="3F216F60"/>
    <w:rsid w:val="3F220916"/>
    <w:rsid w:val="3F220D5B"/>
    <w:rsid w:val="3F221B50"/>
    <w:rsid w:val="3F222277"/>
    <w:rsid w:val="3F2226C3"/>
    <w:rsid w:val="3F2226C4"/>
    <w:rsid w:val="3F2231EC"/>
    <w:rsid w:val="3F224721"/>
    <w:rsid w:val="3F2301CA"/>
    <w:rsid w:val="3F2301EA"/>
    <w:rsid w:val="3F231323"/>
    <w:rsid w:val="3F2325EB"/>
    <w:rsid w:val="3F2350B4"/>
    <w:rsid w:val="3F23578A"/>
    <w:rsid w:val="3F235940"/>
    <w:rsid w:val="3F235BB1"/>
    <w:rsid w:val="3F237EA7"/>
    <w:rsid w:val="3F2412FB"/>
    <w:rsid w:val="3F2420E9"/>
    <w:rsid w:val="3F242EDD"/>
    <w:rsid w:val="3F2530A2"/>
    <w:rsid w:val="3F255D10"/>
    <w:rsid w:val="3F261A88"/>
    <w:rsid w:val="3F270551"/>
    <w:rsid w:val="3F271549"/>
    <w:rsid w:val="3F272731"/>
    <w:rsid w:val="3F272BCD"/>
    <w:rsid w:val="3F274B68"/>
    <w:rsid w:val="3F274F4C"/>
    <w:rsid w:val="3F275F2C"/>
    <w:rsid w:val="3F2777BA"/>
    <w:rsid w:val="3F277CDA"/>
    <w:rsid w:val="3F28429E"/>
    <w:rsid w:val="3F2902E2"/>
    <w:rsid w:val="3F292221"/>
    <w:rsid w:val="3F29595B"/>
    <w:rsid w:val="3F2975C4"/>
    <w:rsid w:val="3F2976E2"/>
    <w:rsid w:val="3F2A1578"/>
    <w:rsid w:val="3F2A37F6"/>
    <w:rsid w:val="3F2A5A1C"/>
    <w:rsid w:val="3F2A7745"/>
    <w:rsid w:val="3F2A77CA"/>
    <w:rsid w:val="3F2B71EC"/>
    <w:rsid w:val="3F2C03A4"/>
    <w:rsid w:val="3F2C3167"/>
    <w:rsid w:val="3F2C349F"/>
    <w:rsid w:val="3F2C52F0"/>
    <w:rsid w:val="3F2C5E8E"/>
    <w:rsid w:val="3F2D1332"/>
    <w:rsid w:val="3F2D2E17"/>
    <w:rsid w:val="3F2D63CA"/>
    <w:rsid w:val="3F2E2267"/>
    <w:rsid w:val="3F2E2CC4"/>
    <w:rsid w:val="3F2F0517"/>
    <w:rsid w:val="3F2F3033"/>
    <w:rsid w:val="3F2F4DE1"/>
    <w:rsid w:val="3F2F6B8F"/>
    <w:rsid w:val="3F304C0D"/>
    <w:rsid w:val="3F307C2D"/>
    <w:rsid w:val="3F310B59"/>
    <w:rsid w:val="3F31214F"/>
    <w:rsid w:val="3F312907"/>
    <w:rsid w:val="3F313429"/>
    <w:rsid w:val="3F316A74"/>
    <w:rsid w:val="3F316DAB"/>
    <w:rsid w:val="3F32042D"/>
    <w:rsid w:val="3F320FD2"/>
    <w:rsid w:val="3F32557D"/>
    <w:rsid w:val="3F3256A8"/>
    <w:rsid w:val="3F3330B6"/>
    <w:rsid w:val="3F334824"/>
    <w:rsid w:val="3F3353B5"/>
    <w:rsid w:val="3F3354DB"/>
    <w:rsid w:val="3F33629E"/>
    <w:rsid w:val="3F337FF6"/>
    <w:rsid w:val="3F3423F7"/>
    <w:rsid w:val="3F343D2F"/>
    <w:rsid w:val="3F3441A5"/>
    <w:rsid w:val="3F346842"/>
    <w:rsid w:val="3F346B36"/>
    <w:rsid w:val="3F3478D3"/>
    <w:rsid w:val="3F3501D9"/>
    <w:rsid w:val="3F352D11"/>
    <w:rsid w:val="3F361456"/>
    <w:rsid w:val="3F362057"/>
    <w:rsid w:val="3F3643C1"/>
    <w:rsid w:val="3F375C62"/>
    <w:rsid w:val="3F390A1A"/>
    <w:rsid w:val="3F3917BB"/>
    <w:rsid w:val="3F395C5F"/>
    <w:rsid w:val="3F3963A5"/>
    <w:rsid w:val="3F397A0D"/>
    <w:rsid w:val="3F3A03C2"/>
    <w:rsid w:val="3F3A27E9"/>
    <w:rsid w:val="3F3B1413"/>
    <w:rsid w:val="3F3B3E38"/>
    <w:rsid w:val="3F3B6361"/>
    <w:rsid w:val="3F3B7777"/>
    <w:rsid w:val="3F3C12AC"/>
    <w:rsid w:val="3F3C4FBF"/>
    <w:rsid w:val="3F3C52C8"/>
    <w:rsid w:val="3F3C54EB"/>
    <w:rsid w:val="3F3D02C4"/>
    <w:rsid w:val="3F3D5750"/>
    <w:rsid w:val="3F3D6ED9"/>
    <w:rsid w:val="3F3D74FE"/>
    <w:rsid w:val="3F3E1690"/>
    <w:rsid w:val="3F3E3276"/>
    <w:rsid w:val="3F3E4030"/>
    <w:rsid w:val="3F3E5024"/>
    <w:rsid w:val="3F3E6DD2"/>
    <w:rsid w:val="3F3F0C0D"/>
    <w:rsid w:val="3F3F3F97"/>
    <w:rsid w:val="3F4004DE"/>
    <w:rsid w:val="3F400D9C"/>
    <w:rsid w:val="3F4050D9"/>
    <w:rsid w:val="3F406FEE"/>
    <w:rsid w:val="3F41749B"/>
    <w:rsid w:val="3F4220AF"/>
    <w:rsid w:val="3F4225CA"/>
    <w:rsid w:val="3F42281C"/>
    <w:rsid w:val="3F424B14"/>
    <w:rsid w:val="3F426289"/>
    <w:rsid w:val="3F4301CA"/>
    <w:rsid w:val="3F433158"/>
    <w:rsid w:val="3F4343E8"/>
    <w:rsid w:val="3F4360C7"/>
    <w:rsid w:val="3F440917"/>
    <w:rsid w:val="3F442E52"/>
    <w:rsid w:val="3F44662B"/>
    <w:rsid w:val="3F45136C"/>
    <w:rsid w:val="3F454604"/>
    <w:rsid w:val="3F45464B"/>
    <w:rsid w:val="3F4558E4"/>
    <w:rsid w:val="3F4563B2"/>
    <w:rsid w:val="3F4611BC"/>
    <w:rsid w:val="3F463BC5"/>
    <w:rsid w:val="3F4660C1"/>
    <w:rsid w:val="3F4720D6"/>
    <w:rsid w:val="3F4728A3"/>
    <w:rsid w:val="3F473BD0"/>
    <w:rsid w:val="3F473ED8"/>
    <w:rsid w:val="3F474052"/>
    <w:rsid w:val="3F475259"/>
    <w:rsid w:val="3F476D22"/>
    <w:rsid w:val="3F4831D6"/>
    <w:rsid w:val="3F483F57"/>
    <w:rsid w:val="3F484D1C"/>
    <w:rsid w:val="3F485EA2"/>
    <w:rsid w:val="3F49016C"/>
    <w:rsid w:val="3F493445"/>
    <w:rsid w:val="3F4940F4"/>
    <w:rsid w:val="3F4950AE"/>
    <w:rsid w:val="3F495DD5"/>
    <w:rsid w:val="3F496435"/>
    <w:rsid w:val="3F4A0371"/>
    <w:rsid w:val="3F4A1C1A"/>
    <w:rsid w:val="3F4A1FB3"/>
    <w:rsid w:val="3F4A39C9"/>
    <w:rsid w:val="3F4A4B22"/>
    <w:rsid w:val="3F4A5BB9"/>
    <w:rsid w:val="3F4A750B"/>
    <w:rsid w:val="3F4B21EC"/>
    <w:rsid w:val="3F4C0968"/>
    <w:rsid w:val="3F4C5993"/>
    <w:rsid w:val="3F4D02CB"/>
    <w:rsid w:val="3F4D34B9"/>
    <w:rsid w:val="3F4D3AA8"/>
    <w:rsid w:val="3F4D5267"/>
    <w:rsid w:val="3F4D5CCE"/>
    <w:rsid w:val="3F4D6C5F"/>
    <w:rsid w:val="3F4E170B"/>
    <w:rsid w:val="3F4E1877"/>
    <w:rsid w:val="3F4E45C7"/>
    <w:rsid w:val="3F4E6449"/>
    <w:rsid w:val="3F4F020D"/>
    <w:rsid w:val="3F4F3FBF"/>
    <w:rsid w:val="3F4F5483"/>
    <w:rsid w:val="3F4F7231"/>
    <w:rsid w:val="3F50302F"/>
    <w:rsid w:val="3F504BCE"/>
    <w:rsid w:val="3F512AFB"/>
    <w:rsid w:val="3F515B0A"/>
    <w:rsid w:val="3F515CAF"/>
    <w:rsid w:val="3F51605E"/>
    <w:rsid w:val="3F5164B1"/>
    <w:rsid w:val="3F516F62"/>
    <w:rsid w:val="3F520557"/>
    <w:rsid w:val="3F5221F1"/>
    <w:rsid w:val="3F524A27"/>
    <w:rsid w:val="3F543FDE"/>
    <w:rsid w:val="3F544847"/>
    <w:rsid w:val="3F5465F5"/>
    <w:rsid w:val="3F5529D1"/>
    <w:rsid w:val="3F553214"/>
    <w:rsid w:val="3F560A40"/>
    <w:rsid w:val="3F5611A0"/>
    <w:rsid w:val="3F56236D"/>
    <w:rsid w:val="3F5628F0"/>
    <w:rsid w:val="3F566321"/>
    <w:rsid w:val="3F571CAE"/>
    <w:rsid w:val="3F57308D"/>
    <w:rsid w:val="3F573DDB"/>
    <w:rsid w:val="3F574751"/>
    <w:rsid w:val="3F575469"/>
    <w:rsid w:val="3F576688"/>
    <w:rsid w:val="3F582BBA"/>
    <w:rsid w:val="3F5860E5"/>
    <w:rsid w:val="3F586445"/>
    <w:rsid w:val="3F5900B0"/>
    <w:rsid w:val="3F591756"/>
    <w:rsid w:val="3F593C0C"/>
    <w:rsid w:val="3F595740"/>
    <w:rsid w:val="3F5964F7"/>
    <w:rsid w:val="3F5973C1"/>
    <w:rsid w:val="3F5A0851"/>
    <w:rsid w:val="3F5A3F8E"/>
    <w:rsid w:val="3F5A65BD"/>
    <w:rsid w:val="3F5A728C"/>
    <w:rsid w:val="3F5C18D7"/>
    <w:rsid w:val="3F5C3704"/>
    <w:rsid w:val="3F5C572C"/>
    <w:rsid w:val="3F5C78B9"/>
    <w:rsid w:val="3F5D194E"/>
    <w:rsid w:val="3F5D36FC"/>
    <w:rsid w:val="3F5D7BA0"/>
    <w:rsid w:val="3F5E1222"/>
    <w:rsid w:val="3F5E4797"/>
    <w:rsid w:val="3F5E56C6"/>
    <w:rsid w:val="3F5E5B22"/>
    <w:rsid w:val="3F5E7474"/>
    <w:rsid w:val="3F5F1AF2"/>
    <w:rsid w:val="3F5F5642"/>
    <w:rsid w:val="3F60143E"/>
    <w:rsid w:val="3F602F82"/>
    <w:rsid w:val="3F6031EC"/>
    <w:rsid w:val="3F604CE2"/>
    <w:rsid w:val="3F6068E7"/>
    <w:rsid w:val="3F610610"/>
    <w:rsid w:val="3F61110C"/>
    <w:rsid w:val="3F611ADD"/>
    <w:rsid w:val="3F615F46"/>
    <w:rsid w:val="3F620D12"/>
    <w:rsid w:val="3F6237CC"/>
    <w:rsid w:val="3F624442"/>
    <w:rsid w:val="3F624994"/>
    <w:rsid w:val="3F6251B6"/>
    <w:rsid w:val="3F631903"/>
    <w:rsid w:val="3F632CDC"/>
    <w:rsid w:val="3F634A8A"/>
    <w:rsid w:val="3F63649F"/>
    <w:rsid w:val="3F636838"/>
    <w:rsid w:val="3F64037A"/>
    <w:rsid w:val="3F640CB4"/>
    <w:rsid w:val="3F655964"/>
    <w:rsid w:val="3F656A54"/>
    <w:rsid w:val="3F6665EB"/>
    <w:rsid w:val="3F6668EF"/>
    <w:rsid w:val="3F6671F8"/>
    <w:rsid w:val="3F667404"/>
    <w:rsid w:val="3F670343"/>
    <w:rsid w:val="3F670768"/>
    <w:rsid w:val="3F671CBA"/>
    <w:rsid w:val="3F6727CC"/>
    <w:rsid w:val="3F674671"/>
    <w:rsid w:val="3F676329"/>
    <w:rsid w:val="3F6820A1"/>
    <w:rsid w:val="3F682A27"/>
    <w:rsid w:val="3F687B00"/>
    <w:rsid w:val="3F693859"/>
    <w:rsid w:val="3F695775"/>
    <w:rsid w:val="3F696545"/>
    <w:rsid w:val="3F6975DC"/>
    <w:rsid w:val="3F6A0D23"/>
    <w:rsid w:val="3F6A406B"/>
    <w:rsid w:val="3F6B5D79"/>
    <w:rsid w:val="3F6B6B39"/>
    <w:rsid w:val="3F6C065C"/>
    <w:rsid w:val="3F6C393F"/>
    <w:rsid w:val="3F6C7DE3"/>
    <w:rsid w:val="3F6D41C8"/>
    <w:rsid w:val="3F6E0157"/>
    <w:rsid w:val="3F6E3B5B"/>
    <w:rsid w:val="3F6E5909"/>
    <w:rsid w:val="3F6E7946"/>
    <w:rsid w:val="3F6F42A9"/>
    <w:rsid w:val="3F6F51DD"/>
    <w:rsid w:val="3F6F5F20"/>
    <w:rsid w:val="3F6F71A0"/>
    <w:rsid w:val="3F6F78D3"/>
    <w:rsid w:val="3F6F79D3"/>
    <w:rsid w:val="3F70117A"/>
    <w:rsid w:val="3F702609"/>
    <w:rsid w:val="3F702E5D"/>
    <w:rsid w:val="3F7048A0"/>
    <w:rsid w:val="3F71162C"/>
    <w:rsid w:val="3F71191A"/>
    <w:rsid w:val="3F713F07"/>
    <w:rsid w:val="3F7153F9"/>
    <w:rsid w:val="3F716A19"/>
    <w:rsid w:val="3F7171A7"/>
    <w:rsid w:val="3F717CAF"/>
    <w:rsid w:val="3F723C03"/>
    <w:rsid w:val="3F724648"/>
    <w:rsid w:val="3F724C94"/>
    <w:rsid w:val="3F724CCD"/>
    <w:rsid w:val="3F730790"/>
    <w:rsid w:val="3F7349DE"/>
    <w:rsid w:val="3F736100"/>
    <w:rsid w:val="3F740A45"/>
    <w:rsid w:val="3F746C97"/>
    <w:rsid w:val="3F746CBD"/>
    <w:rsid w:val="3F751CD1"/>
    <w:rsid w:val="3F752438"/>
    <w:rsid w:val="3F755459"/>
    <w:rsid w:val="3F762EF7"/>
    <w:rsid w:val="3F763AE5"/>
    <w:rsid w:val="3F7647BE"/>
    <w:rsid w:val="3F765BBC"/>
    <w:rsid w:val="3F76656C"/>
    <w:rsid w:val="3F767B58"/>
    <w:rsid w:val="3F77294A"/>
    <w:rsid w:val="3F77312E"/>
    <w:rsid w:val="3F77451E"/>
    <w:rsid w:val="3F774742"/>
    <w:rsid w:val="3F774965"/>
    <w:rsid w:val="3F776FC5"/>
    <w:rsid w:val="3F777D79"/>
    <w:rsid w:val="3F780BF5"/>
    <w:rsid w:val="3F7815DD"/>
    <w:rsid w:val="3F78162B"/>
    <w:rsid w:val="3F784F6A"/>
    <w:rsid w:val="3F786788"/>
    <w:rsid w:val="3F786844"/>
    <w:rsid w:val="3F79157A"/>
    <w:rsid w:val="3F7930B4"/>
    <w:rsid w:val="3F795F1D"/>
    <w:rsid w:val="3F79605C"/>
    <w:rsid w:val="3F7A2C0A"/>
    <w:rsid w:val="3F7A2D3C"/>
    <w:rsid w:val="3F7A3C77"/>
    <w:rsid w:val="3F7A3E2D"/>
    <w:rsid w:val="3F7A7CBF"/>
    <w:rsid w:val="3F7A7E3B"/>
    <w:rsid w:val="3F7B0130"/>
    <w:rsid w:val="3F7B12CB"/>
    <w:rsid w:val="3F7B1DD4"/>
    <w:rsid w:val="3F7B36E6"/>
    <w:rsid w:val="3F7B5FDA"/>
    <w:rsid w:val="3F7B6278"/>
    <w:rsid w:val="3F7B76A8"/>
    <w:rsid w:val="3F7C101A"/>
    <w:rsid w:val="3F7C165D"/>
    <w:rsid w:val="3F7C1BC6"/>
    <w:rsid w:val="3F7C2F98"/>
    <w:rsid w:val="3F7C37F0"/>
    <w:rsid w:val="3F7D1B1F"/>
    <w:rsid w:val="3F7D3D9E"/>
    <w:rsid w:val="3F7D507B"/>
    <w:rsid w:val="3F7D5B4C"/>
    <w:rsid w:val="3F7D67BC"/>
    <w:rsid w:val="3F7D7C85"/>
    <w:rsid w:val="3F7E18C4"/>
    <w:rsid w:val="3F7E1AD4"/>
    <w:rsid w:val="3F7E3672"/>
    <w:rsid w:val="3F7E4D8D"/>
    <w:rsid w:val="3F7F7B16"/>
    <w:rsid w:val="3F8024FB"/>
    <w:rsid w:val="3F80388E"/>
    <w:rsid w:val="3F803EA1"/>
    <w:rsid w:val="3F8073EA"/>
    <w:rsid w:val="3F812156"/>
    <w:rsid w:val="3F81224B"/>
    <w:rsid w:val="3F820783"/>
    <w:rsid w:val="3F8213B4"/>
    <w:rsid w:val="3F821DA4"/>
    <w:rsid w:val="3F822CF9"/>
    <w:rsid w:val="3F823040"/>
    <w:rsid w:val="3F824B8F"/>
    <w:rsid w:val="3F8261EA"/>
    <w:rsid w:val="3F827606"/>
    <w:rsid w:val="3F83019F"/>
    <w:rsid w:val="3F830248"/>
    <w:rsid w:val="3F830C89"/>
    <w:rsid w:val="3F8311F0"/>
    <w:rsid w:val="3F832EC7"/>
    <w:rsid w:val="3F833CD9"/>
    <w:rsid w:val="3F834FC6"/>
    <w:rsid w:val="3F835145"/>
    <w:rsid w:val="3F8402CD"/>
    <w:rsid w:val="3F845C4D"/>
    <w:rsid w:val="3F84655A"/>
    <w:rsid w:val="3F854A01"/>
    <w:rsid w:val="3F864C9D"/>
    <w:rsid w:val="3F8659AB"/>
    <w:rsid w:val="3F8659D3"/>
    <w:rsid w:val="3F8663DE"/>
    <w:rsid w:val="3F866824"/>
    <w:rsid w:val="3F8678A0"/>
    <w:rsid w:val="3F874DDB"/>
    <w:rsid w:val="3F8769CB"/>
    <w:rsid w:val="3F87786E"/>
    <w:rsid w:val="3F881C59"/>
    <w:rsid w:val="3F8838CF"/>
    <w:rsid w:val="3F88629F"/>
    <w:rsid w:val="3F8872D4"/>
    <w:rsid w:val="3F890040"/>
    <w:rsid w:val="3F890995"/>
    <w:rsid w:val="3F892743"/>
    <w:rsid w:val="3F8929D2"/>
    <w:rsid w:val="3F894D5F"/>
    <w:rsid w:val="3F89638C"/>
    <w:rsid w:val="3F896494"/>
    <w:rsid w:val="3F8A0269"/>
    <w:rsid w:val="3F8A07DD"/>
    <w:rsid w:val="3F8A2017"/>
    <w:rsid w:val="3F8A286A"/>
    <w:rsid w:val="3F8A6F51"/>
    <w:rsid w:val="3F8B0941"/>
    <w:rsid w:val="3F8B2B40"/>
    <w:rsid w:val="3F8B578D"/>
    <w:rsid w:val="3F8B767F"/>
    <w:rsid w:val="3F8C0042"/>
    <w:rsid w:val="3F8C0541"/>
    <w:rsid w:val="3F8C0B0F"/>
    <w:rsid w:val="3F8C3FE1"/>
    <w:rsid w:val="3F8C5BBE"/>
    <w:rsid w:val="3F8C5D8F"/>
    <w:rsid w:val="3F8C6C60"/>
    <w:rsid w:val="3F8D0513"/>
    <w:rsid w:val="3F8D12B3"/>
    <w:rsid w:val="3F8D4665"/>
    <w:rsid w:val="3F8D5659"/>
    <w:rsid w:val="3F8D6E51"/>
    <w:rsid w:val="3F8D73B9"/>
    <w:rsid w:val="3F8E2A61"/>
    <w:rsid w:val="3F8E3E5B"/>
    <w:rsid w:val="3F8E58AC"/>
    <w:rsid w:val="3F8E5FAB"/>
    <w:rsid w:val="3F8E6388"/>
    <w:rsid w:val="3F8E7FF7"/>
    <w:rsid w:val="3F8F112B"/>
    <w:rsid w:val="3F8F1739"/>
    <w:rsid w:val="3F8F34F0"/>
    <w:rsid w:val="3F8F3AD1"/>
    <w:rsid w:val="3F8F762D"/>
    <w:rsid w:val="3F8F78D4"/>
    <w:rsid w:val="3F901189"/>
    <w:rsid w:val="3F907F1C"/>
    <w:rsid w:val="3F9111CB"/>
    <w:rsid w:val="3F9115F7"/>
    <w:rsid w:val="3F9133A5"/>
    <w:rsid w:val="3F91524E"/>
    <w:rsid w:val="3F916AB7"/>
    <w:rsid w:val="3F917849"/>
    <w:rsid w:val="3F9277EC"/>
    <w:rsid w:val="3F931B4B"/>
    <w:rsid w:val="3F936CCB"/>
    <w:rsid w:val="3F93711E"/>
    <w:rsid w:val="3F9410E8"/>
    <w:rsid w:val="3F942E96"/>
    <w:rsid w:val="3F951C90"/>
    <w:rsid w:val="3F952DB5"/>
    <w:rsid w:val="3F956F89"/>
    <w:rsid w:val="3F957564"/>
    <w:rsid w:val="3F957B5B"/>
    <w:rsid w:val="3F96264A"/>
    <w:rsid w:val="3F964C91"/>
    <w:rsid w:val="3F964E60"/>
    <w:rsid w:val="3F966C0E"/>
    <w:rsid w:val="3F9701CE"/>
    <w:rsid w:val="3F970B8D"/>
    <w:rsid w:val="3F9712F0"/>
    <w:rsid w:val="3F977343"/>
    <w:rsid w:val="3F977363"/>
    <w:rsid w:val="3F980472"/>
    <w:rsid w:val="3F9826E7"/>
    <w:rsid w:val="3F98788F"/>
    <w:rsid w:val="3F990C4C"/>
    <w:rsid w:val="3F993113"/>
    <w:rsid w:val="3F995C3C"/>
    <w:rsid w:val="3F9973ED"/>
    <w:rsid w:val="3F9A2779"/>
    <w:rsid w:val="3F9A4244"/>
    <w:rsid w:val="3F9A5C00"/>
    <w:rsid w:val="3F9A6FCB"/>
    <w:rsid w:val="3F9B06C8"/>
    <w:rsid w:val="3F9B1441"/>
    <w:rsid w:val="3F9B61F3"/>
    <w:rsid w:val="3F9B6745"/>
    <w:rsid w:val="3F9B7017"/>
    <w:rsid w:val="3F9C22EA"/>
    <w:rsid w:val="3F9C5EB6"/>
    <w:rsid w:val="3F9C61FC"/>
    <w:rsid w:val="3F9D021D"/>
    <w:rsid w:val="3F9D067B"/>
    <w:rsid w:val="3F9D1A94"/>
    <w:rsid w:val="3F9D1D4A"/>
    <w:rsid w:val="3F9D3B4A"/>
    <w:rsid w:val="3F9D5247"/>
    <w:rsid w:val="3F9D61EE"/>
    <w:rsid w:val="3F9E07A0"/>
    <w:rsid w:val="3F9E2816"/>
    <w:rsid w:val="3F9E3B30"/>
    <w:rsid w:val="3F9E424F"/>
    <w:rsid w:val="3F9F1F66"/>
    <w:rsid w:val="3F9F3D14"/>
    <w:rsid w:val="3F9F5709"/>
    <w:rsid w:val="3F9F6F85"/>
    <w:rsid w:val="3FA02E73"/>
    <w:rsid w:val="3FA118A5"/>
    <w:rsid w:val="3FA14CA8"/>
    <w:rsid w:val="3FA20941"/>
    <w:rsid w:val="3FA20AA5"/>
    <w:rsid w:val="3FA23805"/>
    <w:rsid w:val="3FA23B70"/>
    <w:rsid w:val="3FA24216"/>
    <w:rsid w:val="3FA24476"/>
    <w:rsid w:val="3FA255B3"/>
    <w:rsid w:val="3FA35151"/>
    <w:rsid w:val="3FA35E95"/>
    <w:rsid w:val="3FA4132B"/>
    <w:rsid w:val="3FA43792"/>
    <w:rsid w:val="3FA44104"/>
    <w:rsid w:val="3FA44694"/>
    <w:rsid w:val="3FA46240"/>
    <w:rsid w:val="3FA4757D"/>
    <w:rsid w:val="3FA50FAB"/>
    <w:rsid w:val="3FA550A3"/>
    <w:rsid w:val="3FA56E51"/>
    <w:rsid w:val="3FA57B08"/>
    <w:rsid w:val="3FA6653B"/>
    <w:rsid w:val="3FA66E58"/>
    <w:rsid w:val="3FA67422"/>
    <w:rsid w:val="3FA702E8"/>
    <w:rsid w:val="3FA7098E"/>
    <w:rsid w:val="3FA7706D"/>
    <w:rsid w:val="3FA77207"/>
    <w:rsid w:val="3FA81778"/>
    <w:rsid w:val="3FA820B2"/>
    <w:rsid w:val="3FA822C9"/>
    <w:rsid w:val="3FA84969"/>
    <w:rsid w:val="3FA94B93"/>
    <w:rsid w:val="3FA96941"/>
    <w:rsid w:val="3FAA10BB"/>
    <w:rsid w:val="3FAA3725"/>
    <w:rsid w:val="3FAA4098"/>
    <w:rsid w:val="3FAA4467"/>
    <w:rsid w:val="3FAA4477"/>
    <w:rsid w:val="3FAA4FD7"/>
    <w:rsid w:val="3FAC01DF"/>
    <w:rsid w:val="3FAC1577"/>
    <w:rsid w:val="3FAC25F1"/>
    <w:rsid w:val="3FAC2E4F"/>
    <w:rsid w:val="3FAC32E5"/>
    <w:rsid w:val="3FAC6431"/>
    <w:rsid w:val="3FAC7BBF"/>
    <w:rsid w:val="3FAD3244"/>
    <w:rsid w:val="3FAD51A2"/>
    <w:rsid w:val="3FAE21A9"/>
    <w:rsid w:val="3FAE2A19"/>
    <w:rsid w:val="3FAF0B96"/>
    <w:rsid w:val="3FAF1A7E"/>
    <w:rsid w:val="3FB04D43"/>
    <w:rsid w:val="3FB057CB"/>
    <w:rsid w:val="3FB05F21"/>
    <w:rsid w:val="3FB06606"/>
    <w:rsid w:val="3FB2282A"/>
    <w:rsid w:val="3FB22C47"/>
    <w:rsid w:val="3FB234C6"/>
    <w:rsid w:val="3FB25834"/>
    <w:rsid w:val="3FB3086A"/>
    <w:rsid w:val="3FB34229"/>
    <w:rsid w:val="3FB36478"/>
    <w:rsid w:val="3FB377C0"/>
    <w:rsid w:val="3FB37DD7"/>
    <w:rsid w:val="3FB416FF"/>
    <w:rsid w:val="3FB43EA3"/>
    <w:rsid w:val="3FB456CB"/>
    <w:rsid w:val="3FB50234"/>
    <w:rsid w:val="3FB5038A"/>
    <w:rsid w:val="3FB5178A"/>
    <w:rsid w:val="3FB5358A"/>
    <w:rsid w:val="3FB53F18"/>
    <w:rsid w:val="3FB540F3"/>
    <w:rsid w:val="3FB561A2"/>
    <w:rsid w:val="3FB578EF"/>
    <w:rsid w:val="3FB64D27"/>
    <w:rsid w:val="3FB663F9"/>
    <w:rsid w:val="3FB83028"/>
    <w:rsid w:val="3FB84384"/>
    <w:rsid w:val="3FB84DD6"/>
    <w:rsid w:val="3FB87B76"/>
    <w:rsid w:val="3FB928FC"/>
    <w:rsid w:val="3FB93A5A"/>
    <w:rsid w:val="3FB97B2C"/>
    <w:rsid w:val="3FBA0444"/>
    <w:rsid w:val="3FBA41F5"/>
    <w:rsid w:val="3FBA6DA0"/>
    <w:rsid w:val="3FBB1CDB"/>
    <w:rsid w:val="3FBB675E"/>
    <w:rsid w:val="3FBB7E49"/>
    <w:rsid w:val="3FBC00FF"/>
    <w:rsid w:val="3FBC3383"/>
    <w:rsid w:val="3FBC6565"/>
    <w:rsid w:val="3FBD063E"/>
    <w:rsid w:val="3FBD23EC"/>
    <w:rsid w:val="3FBD3EC2"/>
    <w:rsid w:val="3FBD419A"/>
    <w:rsid w:val="3FBD57E2"/>
    <w:rsid w:val="3FBD5B66"/>
    <w:rsid w:val="3FBE11FC"/>
    <w:rsid w:val="3FBF18BC"/>
    <w:rsid w:val="3FBF5E84"/>
    <w:rsid w:val="3FC00E7F"/>
    <w:rsid w:val="3FC03565"/>
    <w:rsid w:val="3FC03C8B"/>
    <w:rsid w:val="3FC05D27"/>
    <w:rsid w:val="3FC1012F"/>
    <w:rsid w:val="3FC113F6"/>
    <w:rsid w:val="3FC203C9"/>
    <w:rsid w:val="3FC23270"/>
    <w:rsid w:val="3FC24EF0"/>
    <w:rsid w:val="3FC26C5C"/>
    <w:rsid w:val="3FC27B3D"/>
    <w:rsid w:val="3FC27CD9"/>
    <w:rsid w:val="3FC32BCC"/>
    <w:rsid w:val="3FC337AF"/>
    <w:rsid w:val="3FC338EE"/>
    <w:rsid w:val="3FC4057A"/>
    <w:rsid w:val="3FC43708"/>
    <w:rsid w:val="3FC4377B"/>
    <w:rsid w:val="3FC45529"/>
    <w:rsid w:val="3FC46A7B"/>
    <w:rsid w:val="3FC47113"/>
    <w:rsid w:val="3FC47810"/>
    <w:rsid w:val="3FC50CA0"/>
    <w:rsid w:val="3FC52246"/>
    <w:rsid w:val="3FC547C8"/>
    <w:rsid w:val="3FC56054"/>
    <w:rsid w:val="3FC60959"/>
    <w:rsid w:val="3FC609C8"/>
    <w:rsid w:val="3FC62A5B"/>
    <w:rsid w:val="3FC64970"/>
    <w:rsid w:val="3FC66859"/>
    <w:rsid w:val="3FC714BD"/>
    <w:rsid w:val="3FC72942"/>
    <w:rsid w:val="3FC7423E"/>
    <w:rsid w:val="3FC76DC7"/>
    <w:rsid w:val="3FC80D62"/>
    <w:rsid w:val="3FC83887"/>
    <w:rsid w:val="3FC83D82"/>
    <w:rsid w:val="3FC83E6E"/>
    <w:rsid w:val="3FC913F1"/>
    <w:rsid w:val="3FC96FE3"/>
    <w:rsid w:val="3FC97621"/>
    <w:rsid w:val="3FCA13D5"/>
    <w:rsid w:val="3FCA4B09"/>
    <w:rsid w:val="3FCA68B7"/>
    <w:rsid w:val="3FCB0095"/>
    <w:rsid w:val="3FCB2D5B"/>
    <w:rsid w:val="3FCB3A2F"/>
    <w:rsid w:val="3FCB75F4"/>
    <w:rsid w:val="3FCC0881"/>
    <w:rsid w:val="3FCC262F"/>
    <w:rsid w:val="3FCC62D7"/>
    <w:rsid w:val="3FCC6AD3"/>
    <w:rsid w:val="3FCD0076"/>
    <w:rsid w:val="3FCD2417"/>
    <w:rsid w:val="3FCD33F2"/>
    <w:rsid w:val="3FCD6B4B"/>
    <w:rsid w:val="3FCD7432"/>
    <w:rsid w:val="3FCE0156"/>
    <w:rsid w:val="3FCE37B7"/>
    <w:rsid w:val="3FCE45FA"/>
    <w:rsid w:val="3FCE5B6D"/>
    <w:rsid w:val="3FCE63A8"/>
    <w:rsid w:val="3FCE6F48"/>
    <w:rsid w:val="3FCE70FC"/>
    <w:rsid w:val="3FCE79EF"/>
    <w:rsid w:val="3FCF2120"/>
    <w:rsid w:val="3FCF3ECE"/>
    <w:rsid w:val="3FCF675B"/>
    <w:rsid w:val="3FD00372"/>
    <w:rsid w:val="3FD0045D"/>
    <w:rsid w:val="3FD01F04"/>
    <w:rsid w:val="3FD042EB"/>
    <w:rsid w:val="3FD0513C"/>
    <w:rsid w:val="3FD11FAF"/>
    <w:rsid w:val="3FD12D46"/>
    <w:rsid w:val="3FD1309F"/>
    <w:rsid w:val="3FD1406B"/>
    <w:rsid w:val="3FD140EA"/>
    <w:rsid w:val="3FD157F8"/>
    <w:rsid w:val="3FD15E98"/>
    <w:rsid w:val="3FD16570"/>
    <w:rsid w:val="3FD20098"/>
    <w:rsid w:val="3FD21451"/>
    <w:rsid w:val="3FD21E14"/>
    <w:rsid w:val="3FD23D48"/>
    <w:rsid w:val="3FD25E42"/>
    <w:rsid w:val="3FD3152E"/>
    <w:rsid w:val="3FD31C10"/>
    <w:rsid w:val="3FD332A4"/>
    <w:rsid w:val="3FD35E75"/>
    <w:rsid w:val="3FD37E62"/>
    <w:rsid w:val="3FD43AE3"/>
    <w:rsid w:val="3FD55988"/>
    <w:rsid w:val="3FD61540"/>
    <w:rsid w:val="3FD6525C"/>
    <w:rsid w:val="3FD65AF3"/>
    <w:rsid w:val="3FD720CE"/>
    <w:rsid w:val="3FD730B5"/>
    <w:rsid w:val="3FD739DB"/>
    <w:rsid w:val="3FD76C86"/>
    <w:rsid w:val="3FD808B4"/>
    <w:rsid w:val="3FD87226"/>
    <w:rsid w:val="3FD932C0"/>
    <w:rsid w:val="3FDA11F0"/>
    <w:rsid w:val="3FDA1A36"/>
    <w:rsid w:val="3FDA2580"/>
    <w:rsid w:val="3FDA4D4C"/>
    <w:rsid w:val="3FDA7AD2"/>
    <w:rsid w:val="3FDB2873"/>
    <w:rsid w:val="3FDB2D4F"/>
    <w:rsid w:val="3FDB3FBC"/>
    <w:rsid w:val="3FDB4607"/>
    <w:rsid w:val="3FDB6D16"/>
    <w:rsid w:val="3FDC1E4E"/>
    <w:rsid w:val="3FDC23FE"/>
    <w:rsid w:val="3FDC34E2"/>
    <w:rsid w:val="3FDC770D"/>
    <w:rsid w:val="3FDD2F01"/>
    <w:rsid w:val="3FDD483D"/>
    <w:rsid w:val="3FDE0286"/>
    <w:rsid w:val="3FDE342D"/>
    <w:rsid w:val="3FDF05B5"/>
    <w:rsid w:val="3FDF2363"/>
    <w:rsid w:val="3FDF5DD2"/>
    <w:rsid w:val="3FE0432D"/>
    <w:rsid w:val="3FE060DB"/>
    <w:rsid w:val="3FE075CF"/>
    <w:rsid w:val="3FE07E89"/>
    <w:rsid w:val="3FE1018C"/>
    <w:rsid w:val="3FE1076D"/>
    <w:rsid w:val="3FE1257F"/>
    <w:rsid w:val="3FE15044"/>
    <w:rsid w:val="3FE1654D"/>
    <w:rsid w:val="3FE200A5"/>
    <w:rsid w:val="3FE21020"/>
    <w:rsid w:val="3FE21693"/>
    <w:rsid w:val="3FE2544B"/>
    <w:rsid w:val="3FE25DE3"/>
    <w:rsid w:val="3FE266DC"/>
    <w:rsid w:val="3FE30DF1"/>
    <w:rsid w:val="3FE31C72"/>
    <w:rsid w:val="3FE33267"/>
    <w:rsid w:val="3FE35B67"/>
    <w:rsid w:val="3FE37235"/>
    <w:rsid w:val="3FE37937"/>
    <w:rsid w:val="3FE42370"/>
    <w:rsid w:val="3FE43328"/>
    <w:rsid w:val="3FE45BCB"/>
    <w:rsid w:val="3FE45C93"/>
    <w:rsid w:val="3FE47979"/>
    <w:rsid w:val="3FE536F1"/>
    <w:rsid w:val="3FE53F3C"/>
    <w:rsid w:val="3FE54652"/>
    <w:rsid w:val="3FE5510E"/>
    <w:rsid w:val="3FE60CA8"/>
    <w:rsid w:val="3FE6314C"/>
    <w:rsid w:val="3FE64809"/>
    <w:rsid w:val="3FE67B95"/>
    <w:rsid w:val="3FE720C1"/>
    <w:rsid w:val="3FE72BAA"/>
    <w:rsid w:val="3FE72C0D"/>
    <w:rsid w:val="3FE7403D"/>
    <w:rsid w:val="3FE740B0"/>
    <w:rsid w:val="3FE77469"/>
    <w:rsid w:val="3FE81619"/>
    <w:rsid w:val="3FE821B9"/>
    <w:rsid w:val="3FE85864"/>
    <w:rsid w:val="3FE86162"/>
    <w:rsid w:val="3FE86C0B"/>
    <w:rsid w:val="3FE902A2"/>
    <w:rsid w:val="3FE91433"/>
    <w:rsid w:val="3FE931E1"/>
    <w:rsid w:val="3FE93DF0"/>
    <w:rsid w:val="3FE95980"/>
    <w:rsid w:val="3FE95BA3"/>
    <w:rsid w:val="3FEA2A60"/>
    <w:rsid w:val="3FEA2C94"/>
    <w:rsid w:val="3FEA5BBF"/>
    <w:rsid w:val="3FEB1E9C"/>
    <w:rsid w:val="3FEB3EA1"/>
    <w:rsid w:val="3FEB523C"/>
    <w:rsid w:val="3FEB5332"/>
    <w:rsid w:val="3FEC032B"/>
    <w:rsid w:val="3FEC0F24"/>
    <w:rsid w:val="3FEC25E5"/>
    <w:rsid w:val="3FEC2CD2"/>
    <w:rsid w:val="3FEC4656"/>
    <w:rsid w:val="3FEC4A80"/>
    <w:rsid w:val="3FEC6B6A"/>
    <w:rsid w:val="3FEC731E"/>
    <w:rsid w:val="3FED2167"/>
    <w:rsid w:val="3FED358A"/>
    <w:rsid w:val="3FED73CA"/>
    <w:rsid w:val="3FEE0793"/>
    <w:rsid w:val="3FEE07F8"/>
    <w:rsid w:val="3FEE25A6"/>
    <w:rsid w:val="3FEE300D"/>
    <w:rsid w:val="3FEE4079"/>
    <w:rsid w:val="3FEE563A"/>
    <w:rsid w:val="3FEE6A4A"/>
    <w:rsid w:val="3FEE6F0C"/>
    <w:rsid w:val="3FEE7225"/>
    <w:rsid w:val="3FEF039C"/>
    <w:rsid w:val="3FEF6007"/>
    <w:rsid w:val="3FEF631E"/>
    <w:rsid w:val="3FEF76EF"/>
    <w:rsid w:val="3FEF7B51"/>
    <w:rsid w:val="3FF00EC0"/>
    <w:rsid w:val="3FF04570"/>
    <w:rsid w:val="3FF07B11"/>
    <w:rsid w:val="3FF11256"/>
    <w:rsid w:val="3FF11398"/>
    <w:rsid w:val="3FF14EC1"/>
    <w:rsid w:val="3FF155AF"/>
    <w:rsid w:val="3FF1653A"/>
    <w:rsid w:val="3FF1682D"/>
    <w:rsid w:val="3FF213FE"/>
    <w:rsid w:val="3FF2288E"/>
    <w:rsid w:val="3FF27CBD"/>
    <w:rsid w:val="3FF35387"/>
    <w:rsid w:val="3FF35E0E"/>
    <w:rsid w:val="3FF37726"/>
    <w:rsid w:val="3FF37BBC"/>
    <w:rsid w:val="3FF41428"/>
    <w:rsid w:val="3FF41D22"/>
    <w:rsid w:val="3FF425E2"/>
    <w:rsid w:val="3FF439E2"/>
    <w:rsid w:val="3FF451AE"/>
    <w:rsid w:val="3FF472CC"/>
    <w:rsid w:val="3FF47583"/>
    <w:rsid w:val="3FF5337A"/>
    <w:rsid w:val="3FF5663E"/>
    <w:rsid w:val="3FF57D7F"/>
    <w:rsid w:val="3FF6120F"/>
    <w:rsid w:val="3FF658FE"/>
    <w:rsid w:val="3FF65F3E"/>
    <w:rsid w:val="3FF676AC"/>
    <w:rsid w:val="3FF70553"/>
    <w:rsid w:val="3FF73B50"/>
    <w:rsid w:val="3FF81676"/>
    <w:rsid w:val="3FF81900"/>
    <w:rsid w:val="3FF8227E"/>
    <w:rsid w:val="3FF859F9"/>
    <w:rsid w:val="3FF93849"/>
    <w:rsid w:val="3FF946F0"/>
    <w:rsid w:val="3FF950C3"/>
    <w:rsid w:val="3FFA0F4B"/>
    <w:rsid w:val="3FFA0F65"/>
    <w:rsid w:val="3FFA53EF"/>
    <w:rsid w:val="3FFA644F"/>
    <w:rsid w:val="3FFA719D"/>
    <w:rsid w:val="3FFB1C29"/>
    <w:rsid w:val="3FFB2F15"/>
    <w:rsid w:val="3FFC1167"/>
    <w:rsid w:val="3FFC4DED"/>
    <w:rsid w:val="3FFC4ECC"/>
    <w:rsid w:val="3FFD0A3B"/>
    <w:rsid w:val="3FFD1D39"/>
    <w:rsid w:val="3FFD4DD0"/>
    <w:rsid w:val="3FFD4EDF"/>
    <w:rsid w:val="3FFD6AC2"/>
    <w:rsid w:val="3FFE02BE"/>
    <w:rsid w:val="3FFE3893"/>
    <w:rsid w:val="3FFE3D07"/>
    <w:rsid w:val="3FFE7A37"/>
    <w:rsid w:val="3FFF0C57"/>
    <w:rsid w:val="3FFF22C1"/>
    <w:rsid w:val="3FFF3AC3"/>
    <w:rsid w:val="3FFF3D73"/>
    <w:rsid w:val="3FFF47B3"/>
    <w:rsid w:val="400022D9"/>
    <w:rsid w:val="40003751"/>
    <w:rsid w:val="40004314"/>
    <w:rsid w:val="400072F0"/>
    <w:rsid w:val="4001082B"/>
    <w:rsid w:val="40016417"/>
    <w:rsid w:val="40017262"/>
    <w:rsid w:val="4002406B"/>
    <w:rsid w:val="400242A3"/>
    <w:rsid w:val="40026051"/>
    <w:rsid w:val="400305E7"/>
    <w:rsid w:val="40036186"/>
    <w:rsid w:val="4004001B"/>
    <w:rsid w:val="40040099"/>
    <w:rsid w:val="40041DC9"/>
    <w:rsid w:val="40045F54"/>
    <w:rsid w:val="4004626D"/>
    <w:rsid w:val="40047AC2"/>
    <w:rsid w:val="40050660"/>
    <w:rsid w:val="40050825"/>
    <w:rsid w:val="400543CF"/>
    <w:rsid w:val="40055EE4"/>
    <w:rsid w:val="400568BE"/>
    <w:rsid w:val="4006079C"/>
    <w:rsid w:val="40060B34"/>
    <w:rsid w:val="40063225"/>
    <w:rsid w:val="40063D93"/>
    <w:rsid w:val="40067586"/>
    <w:rsid w:val="40070A53"/>
    <w:rsid w:val="40071265"/>
    <w:rsid w:val="40072023"/>
    <w:rsid w:val="40072094"/>
    <w:rsid w:val="400725C9"/>
    <w:rsid w:val="400733DB"/>
    <w:rsid w:val="40077B0C"/>
    <w:rsid w:val="40081713"/>
    <w:rsid w:val="400829D2"/>
    <w:rsid w:val="400861F5"/>
    <w:rsid w:val="40086414"/>
    <w:rsid w:val="40086618"/>
    <w:rsid w:val="4008777D"/>
    <w:rsid w:val="40087CC1"/>
    <w:rsid w:val="40094437"/>
    <w:rsid w:val="40095632"/>
    <w:rsid w:val="400964EE"/>
    <w:rsid w:val="4009676E"/>
    <w:rsid w:val="40096D12"/>
    <w:rsid w:val="40097566"/>
    <w:rsid w:val="400A0B15"/>
    <w:rsid w:val="400A1882"/>
    <w:rsid w:val="400A190E"/>
    <w:rsid w:val="400A1A7C"/>
    <w:rsid w:val="400A4207"/>
    <w:rsid w:val="400A428E"/>
    <w:rsid w:val="400A442B"/>
    <w:rsid w:val="400A6D34"/>
    <w:rsid w:val="400B13AA"/>
    <w:rsid w:val="400B3037"/>
    <w:rsid w:val="400C0C7E"/>
    <w:rsid w:val="400C4B76"/>
    <w:rsid w:val="400C5122"/>
    <w:rsid w:val="400C671D"/>
    <w:rsid w:val="400D2EC5"/>
    <w:rsid w:val="400D2F95"/>
    <w:rsid w:val="400D3374"/>
    <w:rsid w:val="400E0592"/>
    <w:rsid w:val="400E0926"/>
    <w:rsid w:val="400E0E9A"/>
    <w:rsid w:val="400E2C48"/>
    <w:rsid w:val="400E6B6D"/>
    <w:rsid w:val="400E766F"/>
    <w:rsid w:val="400F1617"/>
    <w:rsid w:val="400F1DB6"/>
    <w:rsid w:val="400F3934"/>
    <w:rsid w:val="4010076E"/>
    <w:rsid w:val="4010308D"/>
    <w:rsid w:val="4010339E"/>
    <w:rsid w:val="40104C12"/>
    <w:rsid w:val="401069C0"/>
    <w:rsid w:val="40107267"/>
    <w:rsid w:val="401102A3"/>
    <w:rsid w:val="40112738"/>
    <w:rsid w:val="40113AEF"/>
    <w:rsid w:val="401144E6"/>
    <w:rsid w:val="40115977"/>
    <w:rsid w:val="40120C65"/>
    <w:rsid w:val="40121715"/>
    <w:rsid w:val="40121737"/>
    <w:rsid w:val="401244E2"/>
    <w:rsid w:val="40132FA8"/>
    <w:rsid w:val="40141361"/>
    <w:rsid w:val="40146EC8"/>
    <w:rsid w:val="40152228"/>
    <w:rsid w:val="40153FD6"/>
    <w:rsid w:val="40157A82"/>
    <w:rsid w:val="40161AFD"/>
    <w:rsid w:val="401641BB"/>
    <w:rsid w:val="40166488"/>
    <w:rsid w:val="4017327F"/>
    <w:rsid w:val="4017467C"/>
    <w:rsid w:val="40181C8D"/>
    <w:rsid w:val="40181D19"/>
    <w:rsid w:val="40181E98"/>
    <w:rsid w:val="40193706"/>
    <w:rsid w:val="40195A39"/>
    <w:rsid w:val="401A060A"/>
    <w:rsid w:val="401A15ED"/>
    <w:rsid w:val="401A2366"/>
    <w:rsid w:val="401A339B"/>
    <w:rsid w:val="401A5433"/>
    <w:rsid w:val="401B3120"/>
    <w:rsid w:val="401B4791"/>
    <w:rsid w:val="401B4C09"/>
    <w:rsid w:val="401B5A2A"/>
    <w:rsid w:val="401B5B07"/>
    <w:rsid w:val="401B7113"/>
    <w:rsid w:val="401B76DD"/>
    <w:rsid w:val="401C2D5A"/>
    <w:rsid w:val="401C6D6E"/>
    <w:rsid w:val="401D0186"/>
    <w:rsid w:val="401D09AD"/>
    <w:rsid w:val="401D2E8B"/>
    <w:rsid w:val="401D5BD9"/>
    <w:rsid w:val="401D5FC7"/>
    <w:rsid w:val="401D732F"/>
    <w:rsid w:val="401E162F"/>
    <w:rsid w:val="401E5274"/>
    <w:rsid w:val="401E7035"/>
    <w:rsid w:val="401F04D1"/>
    <w:rsid w:val="401F09B1"/>
    <w:rsid w:val="401F6C03"/>
    <w:rsid w:val="401F6CDA"/>
    <w:rsid w:val="401F7340"/>
    <w:rsid w:val="40202D32"/>
    <w:rsid w:val="40202D3B"/>
    <w:rsid w:val="4020339D"/>
    <w:rsid w:val="40203A73"/>
    <w:rsid w:val="40204729"/>
    <w:rsid w:val="40205AE7"/>
    <w:rsid w:val="402076FE"/>
    <w:rsid w:val="40210BCD"/>
    <w:rsid w:val="40210EED"/>
    <w:rsid w:val="40210F8F"/>
    <w:rsid w:val="4021297B"/>
    <w:rsid w:val="4021451E"/>
    <w:rsid w:val="4021520F"/>
    <w:rsid w:val="4022126B"/>
    <w:rsid w:val="40221F3C"/>
    <w:rsid w:val="402221E9"/>
    <w:rsid w:val="40223BA2"/>
    <w:rsid w:val="40224945"/>
    <w:rsid w:val="40225986"/>
    <w:rsid w:val="402266F3"/>
    <w:rsid w:val="4023022C"/>
    <w:rsid w:val="402316B4"/>
    <w:rsid w:val="40232515"/>
    <w:rsid w:val="40232583"/>
    <w:rsid w:val="40235567"/>
    <w:rsid w:val="40235F9C"/>
    <w:rsid w:val="4023709F"/>
    <w:rsid w:val="402406BD"/>
    <w:rsid w:val="4024246B"/>
    <w:rsid w:val="402426A6"/>
    <w:rsid w:val="4024421A"/>
    <w:rsid w:val="40244B1F"/>
    <w:rsid w:val="40245672"/>
    <w:rsid w:val="40246DEE"/>
    <w:rsid w:val="4024791B"/>
    <w:rsid w:val="40251D40"/>
    <w:rsid w:val="402558C2"/>
    <w:rsid w:val="402561C6"/>
    <w:rsid w:val="40256C9A"/>
    <w:rsid w:val="40260303"/>
    <w:rsid w:val="402611BC"/>
    <w:rsid w:val="4026121B"/>
    <w:rsid w:val="40265D1F"/>
    <w:rsid w:val="402661E4"/>
    <w:rsid w:val="402715B4"/>
    <w:rsid w:val="40271F5C"/>
    <w:rsid w:val="402722B1"/>
    <w:rsid w:val="402732F5"/>
    <w:rsid w:val="40273D0A"/>
    <w:rsid w:val="4027545C"/>
    <w:rsid w:val="40275AB8"/>
    <w:rsid w:val="40277681"/>
    <w:rsid w:val="40280487"/>
    <w:rsid w:val="402828A7"/>
    <w:rsid w:val="40292506"/>
    <w:rsid w:val="402932CE"/>
    <w:rsid w:val="40296018"/>
    <w:rsid w:val="4029761F"/>
    <w:rsid w:val="40297A82"/>
    <w:rsid w:val="402A2D92"/>
    <w:rsid w:val="402A7AD7"/>
    <w:rsid w:val="402B37FA"/>
    <w:rsid w:val="402C09F0"/>
    <w:rsid w:val="402C1320"/>
    <w:rsid w:val="402C1DC6"/>
    <w:rsid w:val="402C30CE"/>
    <w:rsid w:val="402C7216"/>
    <w:rsid w:val="402C7C04"/>
    <w:rsid w:val="402D12CE"/>
    <w:rsid w:val="402D52D7"/>
    <w:rsid w:val="402D60E7"/>
    <w:rsid w:val="402D7330"/>
    <w:rsid w:val="402D7572"/>
    <w:rsid w:val="402F01BD"/>
    <w:rsid w:val="402F6AE3"/>
    <w:rsid w:val="4030213B"/>
    <w:rsid w:val="4030282F"/>
    <w:rsid w:val="4030576E"/>
    <w:rsid w:val="40307C5E"/>
    <w:rsid w:val="403105B4"/>
    <w:rsid w:val="40311F89"/>
    <w:rsid w:val="4031536C"/>
    <w:rsid w:val="403156CB"/>
    <w:rsid w:val="40315E4C"/>
    <w:rsid w:val="403160D5"/>
    <w:rsid w:val="40316936"/>
    <w:rsid w:val="40320369"/>
    <w:rsid w:val="40322AC8"/>
    <w:rsid w:val="40322DDA"/>
    <w:rsid w:val="40324B88"/>
    <w:rsid w:val="403253BC"/>
    <w:rsid w:val="40330901"/>
    <w:rsid w:val="40336688"/>
    <w:rsid w:val="4034138A"/>
    <w:rsid w:val="40343440"/>
    <w:rsid w:val="40343BEB"/>
    <w:rsid w:val="40350F63"/>
    <w:rsid w:val="40355481"/>
    <w:rsid w:val="40356427"/>
    <w:rsid w:val="40356622"/>
    <w:rsid w:val="40363F4D"/>
    <w:rsid w:val="40370051"/>
    <w:rsid w:val="40371B61"/>
    <w:rsid w:val="4037219F"/>
    <w:rsid w:val="40373801"/>
    <w:rsid w:val="40375679"/>
    <w:rsid w:val="403777A9"/>
    <w:rsid w:val="40380DE9"/>
    <w:rsid w:val="4038207E"/>
    <w:rsid w:val="403859BC"/>
    <w:rsid w:val="40385F17"/>
    <w:rsid w:val="40387CC5"/>
    <w:rsid w:val="40392693"/>
    <w:rsid w:val="40392F9B"/>
    <w:rsid w:val="40393E74"/>
    <w:rsid w:val="40394983"/>
    <w:rsid w:val="40395022"/>
    <w:rsid w:val="403950C4"/>
    <w:rsid w:val="40396FEB"/>
    <w:rsid w:val="403A05AE"/>
    <w:rsid w:val="403A2FFC"/>
    <w:rsid w:val="403A4208"/>
    <w:rsid w:val="403A70BB"/>
    <w:rsid w:val="403B0C58"/>
    <w:rsid w:val="403B1563"/>
    <w:rsid w:val="403B2EBA"/>
    <w:rsid w:val="403C7439"/>
    <w:rsid w:val="403C77B5"/>
    <w:rsid w:val="403D2D45"/>
    <w:rsid w:val="403D31F2"/>
    <w:rsid w:val="403D352D"/>
    <w:rsid w:val="403D5EC8"/>
    <w:rsid w:val="403D651D"/>
    <w:rsid w:val="403E177F"/>
    <w:rsid w:val="403E1BEF"/>
    <w:rsid w:val="403E3B1B"/>
    <w:rsid w:val="403F0442"/>
    <w:rsid w:val="403F1F4B"/>
    <w:rsid w:val="403F2E01"/>
    <w:rsid w:val="403F39C6"/>
    <w:rsid w:val="403F59AB"/>
    <w:rsid w:val="403F72A5"/>
    <w:rsid w:val="403F7753"/>
    <w:rsid w:val="40404C90"/>
    <w:rsid w:val="40405EFC"/>
    <w:rsid w:val="40406BEB"/>
    <w:rsid w:val="404071E7"/>
    <w:rsid w:val="4041301D"/>
    <w:rsid w:val="404136B8"/>
    <w:rsid w:val="40414F3F"/>
    <w:rsid w:val="40416B7A"/>
    <w:rsid w:val="40420B44"/>
    <w:rsid w:val="404228F2"/>
    <w:rsid w:val="40424C83"/>
    <w:rsid w:val="404255DB"/>
    <w:rsid w:val="40427815"/>
    <w:rsid w:val="40430C38"/>
    <w:rsid w:val="404364B8"/>
    <w:rsid w:val="404448BC"/>
    <w:rsid w:val="40444BAC"/>
    <w:rsid w:val="40445456"/>
    <w:rsid w:val="40446455"/>
    <w:rsid w:val="4044666A"/>
    <w:rsid w:val="40446DD4"/>
    <w:rsid w:val="4045372E"/>
    <w:rsid w:val="404552C2"/>
    <w:rsid w:val="40455C48"/>
    <w:rsid w:val="40460634"/>
    <w:rsid w:val="40460693"/>
    <w:rsid w:val="40460794"/>
    <w:rsid w:val="40463023"/>
    <w:rsid w:val="40463096"/>
    <w:rsid w:val="40464190"/>
    <w:rsid w:val="404726E5"/>
    <w:rsid w:val="4047290D"/>
    <w:rsid w:val="40476046"/>
    <w:rsid w:val="4047615A"/>
    <w:rsid w:val="40480AB6"/>
    <w:rsid w:val="404818C6"/>
    <w:rsid w:val="40482474"/>
    <w:rsid w:val="404843AC"/>
    <w:rsid w:val="40485FDD"/>
    <w:rsid w:val="40487606"/>
    <w:rsid w:val="40490124"/>
    <w:rsid w:val="40491ED2"/>
    <w:rsid w:val="40492375"/>
    <w:rsid w:val="404928D0"/>
    <w:rsid w:val="40493638"/>
    <w:rsid w:val="40493C80"/>
    <w:rsid w:val="40494B17"/>
    <w:rsid w:val="4049549D"/>
    <w:rsid w:val="40496720"/>
    <w:rsid w:val="404A1473"/>
    <w:rsid w:val="404A251D"/>
    <w:rsid w:val="404A3D62"/>
    <w:rsid w:val="404A5FA7"/>
    <w:rsid w:val="404B0950"/>
    <w:rsid w:val="404B5C4A"/>
    <w:rsid w:val="404B7437"/>
    <w:rsid w:val="404C3C8F"/>
    <w:rsid w:val="404C3FCF"/>
    <w:rsid w:val="404C53D7"/>
    <w:rsid w:val="404D5FA7"/>
    <w:rsid w:val="404D64E4"/>
    <w:rsid w:val="404D72B2"/>
    <w:rsid w:val="404E42CF"/>
    <w:rsid w:val="404E4CC0"/>
    <w:rsid w:val="404E74E8"/>
    <w:rsid w:val="404F2602"/>
    <w:rsid w:val="404F2B53"/>
    <w:rsid w:val="404F3108"/>
    <w:rsid w:val="404F32ED"/>
    <w:rsid w:val="404F3912"/>
    <w:rsid w:val="404F3A05"/>
    <w:rsid w:val="4050060E"/>
    <w:rsid w:val="405008EF"/>
    <w:rsid w:val="405009AC"/>
    <w:rsid w:val="405014B2"/>
    <w:rsid w:val="405022BD"/>
    <w:rsid w:val="40502771"/>
    <w:rsid w:val="40503261"/>
    <w:rsid w:val="40506C95"/>
    <w:rsid w:val="40512B35"/>
    <w:rsid w:val="405132A9"/>
    <w:rsid w:val="405151AF"/>
    <w:rsid w:val="40522595"/>
    <w:rsid w:val="40524739"/>
    <w:rsid w:val="40526FD9"/>
    <w:rsid w:val="40527058"/>
    <w:rsid w:val="40527732"/>
    <w:rsid w:val="4053079A"/>
    <w:rsid w:val="405312D3"/>
    <w:rsid w:val="405320CB"/>
    <w:rsid w:val="405329AA"/>
    <w:rsid w:val="40533CD8"/>
    <w:rsid w:val="40534611"/>
    <w:rsid w:val="40535BC9"/>
    <w:rsid w:val="405368AD"/>
    <w:rsid w:val="40536C51"/>
    <w:rsid w:val="405371F1"/>
    <w:rsid w:val="40537A7D"/>
    <w:rsid w:val="40543E2B"/>
    <w:rsid w:val="40544701"/>
    <w:rsid w:val="40547059"/>
    <w:rsid w:val="4055027F"/>
    <w:rsid w:val="40550F88"/>
    <w:rsid w:val="405513D0"/>
    <w:rsid w:val="405521EF"/>
    <w:rsid w:val="40552625"/>
    <w:rsid w:val="405530BA"/>
    <w:rsid w:val="405537C8"/>
    <w:rsid w:val="405544EE"/>
    <w:rsid w:val="4055513D"/>
    <w:rsid w:val="4055706F"/>
    <w:rsid w:val="40562D4B"/>
    <w:rsid w:val="4056366E"/>
    <w:rsid w:val="40573F3D"/>
    <w:rsid w:val="40574EC1"/>
    <w:rsid w:val="40575FD7"/>
    <w:rsid w:val="40580367"/>
    <w:rsid w:val="40582115"/>
    <w:rsid w:val="405827D1"/>
    <w:rsid w:val="4058340D"/>
    <w:rsid w:val="405856F5"/>
    <w:rsid w:val="40587535"/>
    <w:rsid w:val="4059095B"/>
    <w:rsid w:val="405924A4"/>
    <w:rsid w:val="40593978"/>
    <w:rsid w:val="40596638"/>
    <w:rsid w:val="405A0271"/>
    <w:rsid w:val="405A40DF"/>
    <w:rsid w:val="405A4E50"/>
    <w:rsid w:val="405A5E8D"/>
    <w:rsid w:val="405A7C3B"/>
    <w:rsid w:val="405B1F6B"/>
    <w:rsid w:val="405B45FB"/>
    <w:rsid w:val="405B4E30"/>
    <w:rsid w:val="405C1114"/>
    <w:rsid w:val="405C143D"/>
    <w:rsid w:val="405C1726"/>
    <w:rsid w:val="405C1C05"/>
    <w:rsid w:val="405C20F5"/>
    <w:rsid w:val="405C30D3"/>
    <w:rsid w:val="405D184C"/>
    <w:rsid w:val="405E41D4"/>
    <w:rsid w:val="405E599C"/>
    <w:rsid w:val="405F0A5A"/>
    <w:rsid w:val="405F16F6"/>
    <w:rsid w:val="405F5252"/>
    <w:rsid w:val="405F6D3D"/>
    <w:rsid w:val="40602B66"/>
    <w:rsid w:val="40605295"/>
    <w:rsid w:val="4061721C"/>
    <w:rsid w:val="40617F0E"/>
    <w:rsid w:val="40621142"/>
    <w:rsid w:val="406211BE"/>
    <w:rsid w:val="40622D75"/>
    <w:rsid w:val="40624A88"/>
    <w:rsid w:val="40624D42"/>
    <w:rsid w:val="406250BB"/>
    <w:rsid w:val="4063051D"/>
    <w:rsid w:val="406311E6"/>
    <w:rsid w:val="406321AD"/>
    <w:rsid w:val="40637893"/>
    <w:rsid w:val="40640ABA"/>
    <w:rsid w:val="4064215A"/>
    <w:rsid w:val="406421C4"/>
    <w:rsid w:val="40642868"/>
    <w:rsid w:val="40645910"/>
    <w:rsid w:val="4064673C"/>
    <w:rsid w:val="40647E75"/>
    <w:rsid w:val="40650293"/>
    <w:rsid w:val="406523A5"/>
    <w:rsid w:val="40655F6F"/>
    <w:rsid w:val="40657FDE"/>
    <w:rsid w:val="406619B4"/>
    <w:rsid w:val="40663A95"/>
    <w:rsid w:val="40664832"/>
    <w:rsid w:val="4066602F"/>
    <w:rsid w:val="406665E0"/>
    <w:rsid w:val="40671712"/>
    <w:rsid w:val="40672358"/>
    <w:rsid w:val="40674587"/>
    <w:rsid w:val="406805AA"/>
    <w:rsid w:val="4068122B"/>
    <w:rsid w:val="406832BB"/>
    <w:rsid w:val="40684ED8"/>
    <w:rsid w:val="406867FC"/>
    <w:rsid w:val="40687416"/>
    <w:rsid w:val="40692574"/>
    <w:rsid w:val="40694322"/>
    <w:rsid w:val="4069519E"/>
    <w:rsid w:val="406960D0"/>
    <w:rsid w:val="40696461"/>
    <w:rsid w:val="406976E4"/>
    <w:rsid w:val="406B009A"/>
    <w:rsid w:val="406B027E"/>
    <w:rsid w:val="406B1E48"/>
    <w:rsid w:val="406B71F8"/>
    <w:rsid w:val="406B7CF2"/>
    <w:rsid w:val="406C6125"/>
    <w:rsid w:val="406C6770"/>
    <w:rsid w:val="406C796F"/>
    <w:rsid w:val="406C7EB1"/>
    <w:rsid w:val="406D2524"/>
    <w:rsid w:val="406D30FC"/>
    <w:rsid w:val="406D3E12"/>
    <w:rsid w:val="406D5BC1"/>
    <w:rsid w:val="406E12C0"/>
    <w:rsid w:val="406E1939"/>
    <w:rsid w:val="406E1BCE"/>
    <w:rsid w:val="406E27D1"/>
    <w:rsid w:val="406E7B8B"/>
    <w:rsid w:val="407018CB"/>
    <w:rsid w:val="40704997"/>
    <w:rsid w:val="40704B2E"/>
    <w:rsid w:val="4070519B"/>
    <w:rsid w:val="407056B1"/>
    <w:rsid w:val="40706CF4"/>
    <w:rsid w:val="40707429"/>
    <w:rsid w:val="40710C0F"/>
    <w:rsid w:val="40711039"/>
    <w:rsid w:val="4071391F"/>
    <w:rsid w:val="40714ED7"/>
    <w:rsid w:val="407225E2"/>
    <w:rsid w:val="40724316"/>
    <w:rsid w:val="407350FE"/>
    <w:rsid w:val="40736149"/>
    <w:rsid w:val="40736643"/>
    <w:rsid w:val="40736F4F"/>
    <w:rsid w:val="407408A0"/>
    <w:rsid w:val="40744D39"/>
    <w:rsid w:val="407451A1"/>
    <w:rsid w:val="40747AD3"/>
    <w:rsid w:val="40747F2B"/>
    <w:rsid w:val="40750F63"/>
    <w:rsid w:val="40756F46"/>
    <w:rsid w:val="40760892"/>
    <w:rsid w:val="40761896"/>
    <w:rsid w:val="407623F3"/>
    <w:rsid w:val="40764414"/>
    <w:rsid w:val="40764AFC"/>
    <w:rsid w:val="4077259B"/>
    <w:rsid w:val="40776142"/>
    <w:rsid w:val="40776A3F"/>
    <w:rsid w:val="40776F9C"/>
    <w:rsid w:val="40782EA8"/>
    <w:rsid w:val="40786313"/>
    <w:rsid w:val="40786454"/>
    <w:rsid w:val="40787828"/>
    <w:rsid w:val="40792EA9"/>
    <w:rsid w:val="40796351"/>
    <w:rsid w:val="407967F9"/>
    <w:rsid w:val="407A0D74"/>
    <w:rsid w:val="407A11E7"/>
    <w:rsid w:val="407A208B"/>
    <w:rsid w:val="407A2C06"/>
    <w:rsid w:val="407A6449"/>
    <w:rsid w:val="407A652F"/>
    <w:rsid w:val="407B2811"/>
    <w:rsid w:val="407B6F44"/>
    <w:rsid w:val="407C4056"/>
    <w:rsid w:val="407C7B80"/>
    <w:rsid w:val="407D21C3"/>
    <w:rsid w:val="407D4CB6"/>
    <w:rsid w:val="407E44EC"/>
    <w:rsid w:val="407E5E33"/>
    <w:rsid w:val="407E6A56"/>
    <w:rsid w:val="407E71CA"/>
    <w:rsid w:val="407F2C61"/>
    <w:rsid w:val="407F3756"/>
    <w:rsid w:val="407F3B46"/>
    <w:rsid w:val="407F6C64"/>
    <w:rsid w:val="407F76A2"/>
    <w:rsid w:val="40805350"/>
    <w:rsid w:val="408056BB"/>
    <w:rsid w:val="408069DF"/>
    <w:rsid w:val="40807741"/>
    <w:rsid w:val="40822003"/>
    <w:rsid w:val="40827192"/>
    <w:rsid w:val="408313E9"/>
    <w:rsid w:val="40833297"/>
    <w:rsid w:val="40833636"/>
    <w:rsid w:val="40836138"/>
    <w:rsid w:val="40837616"/>
    <w:rsid w:val="4083788C"/>
    <w:rsid w:val="40840873"/>
    <w:rsid w:val="408410EB"/>
    <w:rsid w:val="4084737A"/>
    <w:rsid w:val="40861EE8"/>
    <w:rsid w:val="40864ED4"/>
    <w:rsid w:val="408719E0"/>
    <w:rsid w:val="408757A2"/>
    <w:rsid w:val="408806BA"/>
    <w:rsid w:val="40880C4C"/>
    <w:rsid w:val="40880D06"/>
    <w:rsid w:val="408812A1"/>
    <w:rsid w:val="408829FA"/>
    <w:rsid w:val="40885B31"/>
    <w:rsid w:val="40887534"/>
    <w:rsid w:val="40891CFD"/>
    <w:rsid w:val="40892F5B"/>
    <w:rsid w:val="40896772"/>
    <w:rsid w:val="408A0869"/>
    <w:rsid w:val="408A2F94"/>
    <w:rsid w:val="408A343A"/>
    <w:rsid w:val="408A47ED"/>
    <w:rsid w:val="408A531C"/>
    <w:rsid w:val="408A7BEF"/>
    <w:rsid w:val="408A7F9A"/>
    <w:rsid w:val="408B21E6"/>
    <w:rsid w:val="408B2327"/>
    <w:rsid w:val="408B4299"/>
    <w:rsid w:val="408B579D"/>
    <w:rsid w:val="408B6047"/>
    <w:rsid w:val="408C376E"/>
    <w:rsid w:val="408C69CA"/>
    <w:rsid w:val="408D0011"/>
    <w:rsid w:val="408D092B"/>
    <w:rsid w:val="408D1166"/>
    <w:rsid w:val="408D5763"/>
    <w:rsid w:val="408D5E4C"/>
    <w:rsid w:val="408E1514"/>
    <w:rsid w:val="408E22C1"/>
    <w:rsid w:val="408E2379"/>
    <w:rsid w:val="408E324B"/>
    <w:rsid w:val="408E3B4C"/>
    <w:rsid w:val="408E3D89"/>
    <w:rsid w:val="408E53C1"/>
    <w:rsid w:val="408E5B31"/>
    <w:rsid w:val="408E6AD7"/>
    <w:rsid w:val="408F1FDB"/>
    <w:rsid w:val="408F2174"/>
    <w:rsid w:val="408F5668"/>
    <w:rsid w:val="4090365D"/>
    <w:rsid w:val="4090690E"/>
    <w:rsid w:val="4090743C"/>
    <w:rsid w:val="40907B01"/>
    <w:rsid w:val="409140DA"/>
    <w:rsid w:val="40916FFB"/>
    <w:rsid w:val="4091777D"/>
    <w:rsid w:val="40920099"/>
    <w:rsid w:val="4092048B"/>
    <w:rsid w:val="409217D2"/>
    <w:rsid w:val="40921E9D"/>
    <w:rsid w:val="4092395D"/>
    <w:rsid w:val="40925627"/>
    <w:rsid w:val="409273D5"/>
    <w:rsid w:val="409323E2"/>
    <w:rsid w:val="409326F1"/>
    <w:rsid w:val="409328F5"/>
    <w:rsid w:val="40933DD4"/>
    <w:rsid w:val="4093586F"/>
    <w:rsid w:val="40935C2D"/>
    <w:rsid w:val="40935E7D"/>
    <w:rsid w:val="40936C2D"/>
    <w:rsid w:val="409371F2"/>
    <w:rsid w:val="40940BEF"/>
    <w:rsid w:val="4094125E"/>
    <w:rsid w:val="40942C5A"/>
    <w:rsid w:val="40944B67"/>
    <w:rsid w:val="409475F1"/>
    <w:rsid w:val="40950783"/>
    <w:rsid w:val="4095173C"/>
    <w:rsid w:val="40955557"/>
    <w:rsid w:val="4095688F"/>
    <w:rsid w:val="40956927"/>
    <w:rsid w:val="40956EC5"/>
    <w:rsid w:val="40957CCB"/>
    <w:rsid w:val="40964E5A"/>
    <w:rsid w:val="40965D72"/>
    <w:rsid w:val="40972670"/>
    <w:rsid w:val="40972C3D"/>
    <w:rsid w:val="40974249"/>
    <w:rsid w:val="40980764"/>
    <w:rsid w:val="40983CE7"/>
    <w:rsid w:val="409909CC"/>
    <w:rsid w:val="40991697"/>
    <w:rsid w:val="40992431"/>
    <w:rsid w:val="409969B6"/>
    <w:rsid w:val="409A44DC"/>
    <w:rsid w:val="409B0147"/>
    <w:rsid w:val="409B22DF"/>
    <w:rsid w:val="409B341D"/>
    <w:rsid w:val="409B4123"/>
    <w:rsid w:val="409B5382"/>
    <w:rsid w:val="409B5C85"/>
    <w:rsid w:val="409C0254"/>
    <w:rsid w:val="409C34B3"/>
    <w:rsid w:val="409C410E"/>
    <w:rsid w:val="409C7AC9"/>
    <w:rsid w:val="409D4D74"/>
    <w:rsid w:val="409E0F1E"/>
    <w:rsid w:val="409E3FCC"/>
    <w:rsid w:val="409E748A"/>
    <w:rsid w:val="409F01AF"/>
    <w:rsid w:val="409F15FF"/>
    <w:rsid w:val="409F1AF2"/>
    <w:rsid w:val="409F5F96"/>
    <w:rsid w:val="409F6C9B"/>
    <w:rsid w:val="40A03BC5"/>
    <w:rsid w:val="40A11D0E"/>
    <w:rsid w:val="40A13EA7"/>
    <w:rsid w:val="40A142F2"/>
    <w:rsid w:val="40A1586A"/>
    <w:rsid w:val="40A16404"/>
    <w:rsid w:val="40A171BC"/>
    <w:rsid w:val="40A177E3"/>
    <w:rsid w:val="40A216C1"/>
    <w:rsid w:val="40A23390"/>
    <w:rsid w:val="40A233BC"/>
    <w:rsid w:val="40A239FF"/>
    <w:rsid w:val="40A25D95"/>
    <w:rsid w:val="40A266EB"/>
    <w:rsid w:val="40A3030A"/>
    <w:rsid w:val="40A32B3A"/>
    <w:rsid w:val="40A33ABD"/>
    <w:rsid w:val="40A34B96"/>
    <w:rsid w:val="40A34BCF"/>
    <w:rsid w:val="40A350F3"/>
    <w:rsid w:val="40A35A86"/>
    <w:rsid w:val="40A41A95"/>
    <w:rsid w:val="40A435AC"/>
    <w:rsid w:val="40A50042"/>
    <w:rsid w:val="40A55E78"/>
    <w:rsid w:val="40A56F00"/>
    <w:rsid w:val="40A6061B"/>
    <w:rsid w:val="40A62E81"/>
    <w:rsid w:val="40A65428"/>
    <w:rsid w:val="40A672AA"/>
    <w:rsid w:val="40A67324"/>
    <w:rsid w:val="40A7506C"/>
    <w:rsid w:val="40A766D1"/>
    <w:rsid w:val="40A77CE0"/>
    <w:rsid w:val="40A8309D"/>
    <w:rsid w:val="40A8660C"/>
    <w:rsid w:val="40A86BF9"/>
    <w:rsid w:val="40A9038D"/>
    <w:rsid w:val="40A92971"/>
    <w:rsid w:val="40A945E9"/>
    <w:rsid w:val="40A95282"/>
    <w:rsid w:val="40AA0BC3"/>
    <w:rsid w:val="40AA12E3"/>
    <w:rsid w:val="40AB0497"/>
    <w:rsid w:val="40AB46CF"/>
    <w:rsid w:val="40AB493B"/>
    <w:rsid w:val="40AB5B4F"/>
    <w:rsid w:val="40AC3DBD"/>
    <w:rsid w:val="40AC60C6"/>
    <w:rsid w:val="40AD2461"/>
    <w:rsid w:val="40AD420F"/>
    <w:rsid w:val="40AD4AF5"/>
    <w:rsid w:val="40AD6202"/>
    <w:rsid w:val="40AE0A66"/>
    <w:rsid w:val="40AE72B9"/>
    <w:rsid w:val="40AE7F87"/>
    <w:rsid w:val="40AF4141"/>
    <w:rsid w:val="40AF61D9"/>
    <w:rsid w:val="40AF6332"/>
    <w:rsid w:val="40B00607"/>
    <w:rsid w:val="40B01F51"/>
    <w:rsid w:val="40B02584"/>
    <w:rsid w:val="40B04A8D"/>
    <w:rsid w:val="40B05155"/>
    <w:rsid w:val="40B079A2"/>
    <w:rsid w:val="40B214AE"/>
    <w:rsid w:val="40B21825"/>
    <w:rsid w:val="40B24CF1"/>
    <w:rsid w:val="40B26158"/>
    <w:rsid w:val="40B27A77"/>
    <w:rsid w:val="40B32646"/>
    <w:rsid w:val="40B3559D"/>
    <w:rsid w:val="40B440E4"/>
    <w:rsid w:val="40B44C60"/>
    <w:rsid w:val="40B5188F"/>
    <w:rsid w:val="40B530C4"/>
    <w:rsid w:val="40B57568"/>
    <w:rsid w:val="40B63AB4"/>
    <w:rsid w:val="40B67523"/>
    <w:rsid w:val="40B7141E"/>
    <w:rsid w:val="40B775FA"/>
    <w:rsid w:val="40B80747"/>
    <w:rsid w:val="40B81123"/>
    <w:rsid w:val="40B822B2"/>
    <w:rsid w:val="40B85AF6"/>
    <w:rsid w:val="40B871B6"/>
    <w:rsid w:val="40B94091"/>
    <w:rsid w:val="40B97B50"/>
    <w:rsid w:val="40BA0DD8"/>
    <w:rsid w:val="40BA2BBF"/>
    <w:rsid w:val="40BA66CD"/>
    <w:rsid w:val="40BA6883"/>
    <w:rsid w:val="40BA692C"/>
    <w:rsid w:val="40BB14F5"/>
    <w:rsid w:val="40BB2268"/>
    <w:rsid w:val="40BB6E5F"/>
    <w:rsid w:val="40BC09C2"/>
    <w:rsid w:val="40BC26A4"/>
    <w:rsid w:val="40BC6B48"/>
    <w:rsid w:val="40BD2226"/>
    <w:rsid w:val="40BD31EC"/>
    <w:rsid w:val="40BD6CA7"/>
    <w:rsid w:val="40BE01CA"/>
    <w:rsid w:val="40BE37E9"/>
    <w:rsid w:val="40BE466E"/>
    <w:rsid w:val="40BE7C43"/>
    <w:rsid w:val="40BF1208"/>
    <w:rsid w:val="40BF1935"/>
    <w:rsid w:val="40BF2194"/>
    <w:rsid w:val="40BF5BA4"/>
    <w:rsid w:val="40BF619C"/>
    <w:rsid w:val="40C003E6"/>
    <w:rsid w:val="40C02E7B"/>
    <w:rsid w:val="40C0550C"/>
    <w:rsid w:val="40C115E9"/>
    <w:rsid w:val="40C148C1"/>
    <w:rsid w:val="40C157FE"/>
    <w:rsid w:val="40C16DD4"/>
    <w:rsid w:val="40C17CBA"/>
    <w:rsid w:val="40C25606"/>
    <w:rsid w:val="40C323B9"/>
    <w:rsid w:val="40C32ABE"/>
    <w:rsid w:val="40C33A32"/>
    <w:rsid w:val="40C35755"/>
    <w:rsid w:val="40C41559"/>
    <w:rsid w:val="40C41713"/>
    <w:rsid w:val="40C422B4"/>
    <w:rsid w:val="40C43403"/>
    <w:rsid w:val="40C477AB"/>
    <w:rsid w:val="40C53160"/>
    <w:rsid w:val="40C545E7"/>
    <w:rsid w:val="40C55045"/>
    <w:rsid w:val="40C559FD"/>
    <w:rsid w:val="40C5664E"/>
    <w:rsid w:val="40C61775"/>
    <w:rsid w:val="40C62104"/>
    <w:rsid w:val="40C63523"/>
    <w:rsid w:val="40C64F4F"/>
    <w:rsid w:val="40C661A9"/>
    <w:rsid w:val="40C66256"/>
    <w:rsid w:val="40C66A7A"/>
    <w:rsid w:val="40C7284E"/>
    <w:rsid w:val="40C73EB2"/>
    <w:rsid w:val="40C740AE"/>
    <w:rsid w:val="40C81049"/>
    <w:rsid w:val="40C813CB"/>
    <w:rsid w:val="40C84D6A"/>
    <w:rsid w:val="40C8729B"/>
    <w:rsid w:val="40C907D4"/>
    <w:rsid w:val="40C90C14"/>
    <w:rsid w:val="40C96B6F"/>
    <w:rsid w:val="40CA08CD"/>
    <w:rsid w:val="40CA0A76"/>
    <w:rsid w:val="40CA193E"/>
    <w:rsid w:val="40CA3013"/>
    <w:rsid w:val="40CA60BA"/>
    <w:rsid w:val="40CA7A7D"/>
    <w:rsid w:val="40CB24F0"/>
    <w:rsid w:val="40CB28E7"/>
    <w:rsid w:val="40CC698F"/>
    <w:rsid w:val="40CD31A0"/>
    <w:rsid w:val="40CE4185"/>
    <w:rsid w:val="40CE561B"/>
    <w:rsid w:val="40CF410B"/>
    <w:rsid w:val="40CF6505"/>
    <w:rsid w:val="40CF687B"/>
    <w:rsid w:val="40D01DB7"/>
    <w:rsid w:val="40D027D9"/>
    <w:rsid w:val="40D04201"/>
    <w:rsid w:val="40D043A1"/>
    <w:rsid w:val="40D05B99"/>
    <w:rsid w:val="40D0614F"/>
    <w:rsid w:val="40D06265"/>
    <w:rsid w:val="40D07EFD"/>
    <w:rsid w:val="40D16B7C"/>
    <w:rsid w:val="40D20119"/>
    <w:rsid w:val="40D23DD2"/>
    <w:rsid w:val="40D23E96"/>
    <w:rsid w:val="40D26D3D"/>
    <w:rsid w:val="40D274A9"/>
    <w:rsid w:val="40D27557"/>
    <w:rsid w:val="40D317EF"/>
    <w:rsid w:val="40D3481B"/>
    <w:rsid w:val="40D43E92"/>
    <w:rsid w:val="40D460C9"/>
    <w:rsid w:val="40D46754"/>
    <w:rsid w:val="40D476F1"/>
    <w:rsid w:val="40D479EE"/>
    <w:rsid w:val="40D47DFB"/>
    <w:rsid w:val="40D544F2"/>
    <w:rsid w:val="40D5450D"/>
    <w:rsid w:val="40D57808"/>
    <w:rsid w:val="40D6013B"/>
    <w:rsid w:val="40D61FEA"/>
    <w:rsid w:val="40D62844"/>
    <w:rsid w:val="40D65202"/>
    <w:rsid w:val="40D7128C"/>
    <w:rsid w:val="40D73D5E"/>
    <w:rsid w:val="40D74455"/>
    <w:rsid w:val="40D75730"/>
    <w:rsid w:val="40D75A3B"/>
    <w:rsid w:val="40D7676A"/>
    <w:rsid w:val="40D774DE"/>
    <w:rsid w:val="40D808AB"/>
    <w:rsid w:val="40D81790"/>
    <w:rsid w:val="40D82725"/>
    <w:rsid w:val="40D8438B"/>
    <w:rsid w:val="40D914A8"/>
    <w:rsid w:val="40DA0D7C"/>
    <w:rsid w:val="40DA1B83"/>
    <w:rsid w:val="40DA374C"/>
    <w:rsid w:val="40DA6FCE"/>
    <w:rsid w:val="40DB1A26"/>
    <w:rsid w:val="40DB1AC0"/>
    <w:rsid w:val="40DB5220"/>
    <w:rsid w:val="40DC2D46"/>
    <w:rsid w:val="40DC4AF4"/>
    <w:rsid w:val="40DC6426"/>
    <w:rsid w:val="40DC724C"/>
    <w:rsid w:val="40DD358C"/>
    <w:rsid w:val="40DD6120"/>
    <w:rsid w:val="40DD627A"/>
    <w:rsid w:val="40DE0450"/>
    <w:rsid w:val="40DE086C"/>
    <w:rsid w:val="40DE21C8"/>
    <w:rsid w:val="40DE30D7"/>
    <w:rsid w:val="40DE396C"/>
    <w:rsid w:val="40DE7FD5"/>
    <w:rsid w:val="40DF545D"/>
    <w:rsid w:val="40DF62B8"/>
    <w:rsid w:val="40DF6A92"/>
    <w:rsid w:val="40E1035D"/>
    <w:rsid w:val="40E106B3"/>
    <w:rsid w:val="40E165AE"/>
    <w:rsid w:val="40E239D7"/>
    <w:rsid w:val="40E25413"/>
    <w:rsid w:val="40E302AA"/>
    <w:rsid w:val="40E33B71"/>
    <w:rsid w:val="40E347A9"/>
    <w:rsid w:val="40E367C8"/>
    <w:rsid w:val="40E36EF6"/>
    <w:rsid w:val="40E47129"/>
    <w:rsid w:val="40E51714"/>
    <w:rsid w:val="40E52A38"/>
    <w:rsid w:val="40E53D27"/>
    <w:rsid w:val="40E55E82"/>
    <w:rsid w:val="40E56579"/>
    <w:rsid w:val="40E565DE"/>
    <w:rsid w:val="40E56788"/>
    <w:rsid w:val="40E56C11"/>
    <w:rsid w:val="40E57E4D"/>
    <w:rsid w:val="40E6059F"/>
    <w:rsid w:val="40E60690"/>
    <w:rsid w:val="40E6384B"/>
    <w:rsid w:val="40E752E3"/>
    <w:rsid w:val="40E816EB"/>
    <w:rsid w:val="40E8202C"/>
    <w:rsid w:val="40E8523C"/>
    <w:rsid w:val="40E85247"/>
    <w:rsid w:val="40E8544F"/>
    <w:rsid w:val="40E87051"/>
    <w:rsid w:val="40E8793D"/>
    <w:rsid w:val="40E90FBF"/>
    <w:rsid w:val="40E92CBF"/>
    <w:rsid w:val="40E945A9"/>
    <w:rsid w:val="40EA11C7"/>
    <w:rsid w:val="40EA6727"/>
    <w:rsid w:val="40EA7211"/>
    <w:rsid w:val="40EB0779"/>
    <w:rsid w:val="40EB11DB"/>
    <w:rsid w:val="40EB4D37"/>
    <w:rsid w:val="40EC197A"/>
    <w:rsid w:val="40EC5381"/>
    <w:rsid w:val="40EC6AD2"/>
    <w:rsid w:val="40ED10E5"/>
    <w:rsid w:val="40ED4317"/>
    <w:rsid w:val="40ED4F53"/>
    <w:rsid w:val="40ED535C"/>
    <w:rsid w:val="40ED5E6F"/>
    <w:rsid w:val="40ED6D01"/>
    <w:rsid w:val="40EE59D0"/>
    <w:rsid w:val="40EE690E"/>
    <w:rsid w:val="40EF2A79"/>
    <w:rsid w:val="40EF45E5"/>
    <w:rsid w:val="40EF7433"/>
    <w:rsid w:val="40F0084A"/>
    <w:rsid w:val="40F01BEC"/>
    <w:rsid w:val="40F0234E"/>
    <w:rsid w:val="40F02D93"/>
    <w:rsid w:val="40F167F2"/>
    <w:rsid w:val="40F218DC"/>
    <w:rsid w:val="40F228C4"/>
    <w:rsid w:val="40F2471F"/>
    <w:rsid w:val="40F260C6"/>
    <w:rsid w:val="40F30D18"/>
    <w:rsid w:val="40F30F5E"/>
    <w:rsid w:val="40F31841"/>
    <w:rsid w:val="40F31E11"/>
    <w:rsid w:val="40F31E70"/>
    <w:rsid w:val="40F31F0B"/>
    <w:rsid w:val="40F3404C"/>
    <w:rsid w:val="40F40090"/>
    <w:rsid w:val="40F43686"/>
    <w:rsid w:val="40F51626"/>
    <w:rsid w:val="40F526FF"/>
    <w:rsid w:val="40F5358F"/>
    <w:rsid w:val="40F557FD"/>
    <w:rsid w:val="40F5624B"/>
    <w:rsid w:val="40F63458"/>
    <w:rsid w:val="40F63494"/>
    <w:rsid w:val="40F70575"/>
    <w:rsid w:val="40F732A4"/>
    <w:rsid w:val="40F736DC"/>
    <w:rsid w:val="40F77B80"/>
    <w:rsid w:val="40F8055C"/>
    <w:rsid w:val="40F81A19"/>
    <w:rsid w:val="40F840F8"/>
    <w:rsid w:val="40F850B3"/>
    <w:rsid w:val="40F931E4"/>
    <w:rsid w:val="40F956A6"/>
    <w:rsid w:val="40F97454"/>
    <w:rsid w:val="40FA2117"/>
    <w:rsid w:val="40FA4CB6"/>
    <w:rsid w:val="40FB141E"/>
    <w:rsid w:val="40FB4B2A"/>
    <w:rsid w:val="40FB719B"/>
    <w:rsid w:val="40FB7670"/>
    <w:rsid w:val="40FC0B8B"/>
    <w:rsid w:val="40FC44E0"/>
    <w:rsid w:val="40FC5C65"/>
    <w:rsid w:val="40FD1E67"/>
    <w:rsid w:val="40FD201B"/>
    <w:rsid w:val="40FD21EC"/>
    <w:rsid w:val="40FE0F0E"/>
    <w:rsid w:val="40FE2B4E"/>
    <w:rsid w:val="40FE3356"/>
    <w:rsid w:val="40FE34AB"/>
    <w:rsid w:val="40FE4A6B"/>
    <w:rsid w:val="40FE7D11"/>
    <w:rsid w:val="40FF44C7"/>
    <w:rsid w:val="40FF7A38"/>
    <w:rsid w:val="4100002F"/>
    <w:rsid w:val="4100099C"/>
    <w:rsid w:val="410018BF"/>
    <w:rsid w:val="410020DD"/>
    <w:rsid w:val="410032AB"/>
    <w:rsid w:val="410032EA"/>
    <w:rsid w:val="4100432A"/>
    <w:rsid w:val="41005F1C"/>
    <w:rsid w:val="410127AD"/>
    <w:rsid w:val="41014131"/>
    <w:rsid w:val="4101455B"/>
    <w:rsid w:val="41014921"/>
    <w:rsid w:val="41016309"/>
    <w:rsid w:val="41017052"/>
    <w:rsid w:val="410170C4"/>
    <w:rsid w:val="41021E28"/>
    <w:rsid w:val="410302D3"/>
    <w:rsid w:val="4103116B"/>
    <w:rsid w:val="41032081"/>
    <w:rsid w:val="4103216E"/>
    <w:rsid w:val="41037527"/>
    <w:rsid w:val="410403D7"/>
    <w:rsid w:val="41040F99"/>
    <w:rsid w:val="41041EEE"/>
    <w:rsid w:val="410437C0"/>
    <w:rsid w:val="41044318"/>
    <w:rsid w:val="41044576"/>
    <w:rsid w:val="41045EE5"/>
    <w:rsid w:val="41047C8D"/>
    <w:rsid w:val="41051FA7"/>
    <w:rsid w:val="4105229D"/>
    <w:rsid w:val="41053531"/>
    <w:rsid w:val="4105404B"/>
    <w:rsid w:val="41054678"/>
    <w:rsid w:val="41055DF9"/>
    <w:rsid w:val="41061B05"/>
    <w:rsid w:val="41061B71"/>
    <w:rsid w:val="41061E61"/>
    <w:rsid w:val="410634FD"/>
    <w:rsid w:val="41064ECF"/>
    <w:rsid w:val="41067DC3"/>
    <w:rsid w:val="410703C2"/>
    <w:rsid w:val="41070753"/>
    <w:rsid w:val="41071D51"/>
    <w:rsid w:val="41076524"/>
    <w:rsid w:val="41080DA6"/>
    <w:rsid w:val="4108298A"/>
    <w:rsid w:val="410842AB"/>
    <w:rsid w:val="410845D4"/>
    <w:rsid w:val="41084A78"/>
    <w:rsid w:val="41090C75"/>
    <w:rsid w:val="41095EB9"/>
    <w:rsid w:val="4109719F"/>
    <w:rsid w:val="4109735C"/>
    <w:rsid w:val="410A1661"/>
    <w:rsid w:val="410A27F8"/>
    <w:rsid w:val="410A617F"/>
    <w:rsid w:val="410A78B3"/>
    <w:rsid w:val="410B144D"/>
    <w:rsid w:val="410B18BF"/>
    <w:rsid w:val="410B2F0A"/>
    <w:rsid w:val="410B3EDD"/>
    <w:rsid w:val="410B4272"/>
    <w:rsid w:val="410B53D9"/>
    <w:rsid w:val="410B7187"/>
    <w:rsid w:val="410D0752"/>
    <w:rsid w:val="410D498A"/>
    <w:rsid w:val="410D5E33"/>
    <w:rsid w:val="410D73A4"/>
    <w:rsid w:val="410E192B"/>
    <w:rsid w:val="410E3FFA"/>
    <w:rsid w:val="410E4BEE"/>
    <w:rsid w:val="410E611D"/>
    <w:rsid w:val="410F01B1"/>
    <w:rsid w:val="410F19C8"/>
    <w:rsid w:val="410F2360"/>
    <w:rsid w:val="41101BEA"/>
    <w:rsid w:val="411061F3"/>
    <w:rsid w:val="41110C42"/>
    <w:rsid w:val="41113F66"/>
    <w:rsid w:val="4111484F"/>
    <w:rsid w:val="41124215"/>
    <w:rsid w:val="411249BA"/>
    <w:rsid w:val="41126768"/>
    <w:rsid w:val="41127180"/>
    <w:rsid w:val="4113186C"/>
    <w:rsid w:val="411326F9"/>
    <w:rsid w:val="4113302C"/>
    <w:rsid w:val="41133180"/>
    <w:rsid w:val="41133F0D"/>
    <w:rsid w:val="41135371"/>
    <w:rsid w:val="41136A2C"/>
    <w:rsid w:val="41137AF1"/>
    <w:rsid w:val="41140732"/>
    <w:rsid w:val="411424E0"/>
    <w:rsid w:val="4114428E"/>
    <w:rsid w:val="411503BD"/>
    <w:rsid w:val="41151DFF"/>
    <w:rsid w:val="41152797"/>
    <w:rsid w:val="41153BBD"/>
    <w:rsid w:val="41160227"/>
    <w:rsid w:val="411617DE"/>
    <w:rsid w:val="41164A89"/>
    <w:rsid w:val="411705B3"/>
    <w:rsid w:val="41171F51"/>
    <w:rsid w:val="41173B35"/>
    <w:rsid w:val="41173D7E"/>
    <w:rsid w:val="411750BD"/>
    <w:rsid w:val="41175B2C"/>
    <w:rsid w:val="4117646F"/>
    <w:rsid w:val="41180544"/>
    <w:rsid w:val="411824D7"/>
    <w:rsid w:val="41183E32"/>
    <w:rsid w:val="41187073"/>
    <w:rsid w:val="411917F4"/>
    <w:rsid w:val="41192368"/>
    <w:rsid w:val="41197B33"/>
    <w:rsid w:val="411A3A01"/>
    <w:rsid w:val="411A40CF"/>
    <w:rsid w:val="411A73CB"/>
    <w:rsid w:val="411B0F0E"/>
    <w:rsid w:val="411B2B44"/>
    <w:rsid w:val="411B386E"/>
    <w:rsid w:val="411B3DF4"/>
    <w:rsid w:val="411B561D"/>
    <w:rsid w:val="411B735E"/>
    <w:rsid w:val="411C1395"/>
    <w:rsid w:val="411C53F0"/>
    <w:rsid w:val="411C6A34"/>
    <w:rsid w:val="411C75E7"/>
    <w:rsid w:val="411D100E"/>
    <w:rsid w:val="411D2229"/>
    <w:rsid w:val="411D24AC"/>
    <w:rsid w:val="411D24DB"/>
    <w:rsid w:val="411E09D0"/>
    <w:rsid w:val="411E2A95"/>
    <w:rsid w:val="411E335F"/>
    <w:rsid w:val="411F05BB"/>
    <w:rsid w:val="411F442C"/>
    <w:rsid w:val="411F6AF6"/>
    <w:rsid w:val="41200E85"/>
    <w:rsid w:val="41201061"/>
    <w:rsid w:val="41202C33"/>
    <w:rsid w:val="412067A0"/>
    <w:rsid w:val="412070D7"/>
    <w:rsid w:val="41211204"/>
    <w:rsid w:val="412169AB"/>
    <w:rsid w:val="41230975"/>
    <w:rsid w:val="41232723"/>
    <w:rsid w:val="41233FB9"/>
    <w:rsid w:val="412344D1"/>
    <w:rsid w:val="412374C8"/>
    <w:rsid w:val="412414ED"/>
    <w:rsid w:val="412417AC"/>
    <w:rsid w:val="41243998"/>
    <w:rsid w:val="41243D12"/>
    <w:rsid w:val="41244173"/>
    <w:rsid w:val="4124469F"/>
    <w:rsid w:val="412451C6"/>
    <w:rsid w:val="41250259"/>
    <w:rsid w:val="41250F8F"/>
    <w:rsid w:val="412533E7"/>
    <w:rsid w:val="41253DAB"/>
    <w:rsid w:val="412546ED"/>
    <w:rsid w:val="41255B9D"/>
    <w:rsid w:val="412626B7"/>
    <w:rsid w:val="41263FC1"/>
    <w:rsid w:val="41265D6F"/>
    <w:rsid w:val="4127066A"/>
    <w:rsid w:val="41271B58"/>
    <w:rsid w:val="41276645"/>
    <w:rsid w:val="41276D9C"/>
    <w:rsid w:val="412771DF"/>
    <w:rsid w:val="412775BC"/>
    <w:rsid w:val="41281798"/>
    <w:rsid w:val="41281AE7"/>
    <w:rsid w:val="41283576"/>
    <w:rsid w:val="41285F8B"/>
    <w:rsid w:val="412877D8"/>
    <w:rsid w:val="4129108F"/>
    <w:rsid w:val="41295B9F"/>
    <w:rsid w:val="412A07A6"/>
    <w:rsid w:val="412A2C43"/>
    <w:rsid w:val="412A7AD5"/>
    <w:rsid w:val="412B1CB0"/>
    <w:rsid w:val="412B3986"/>
    <w:rsid w:val="412B3DE6"/>
    <w:rsid w:val="412C315F"/>
    <w:rsid w:val="412C4446"/>
    <w:rsid w:val="412C4716"/>
    <w:rsid w:val="412C5A7C"/>
    <w:rsid w:val="412C5F0A"/>
    <w:rsid w:val="412D10FA"/>
    <w:rsid w:val="412D224A"/>
    <w:rsid w:val="412D2400"/>
    <w:rsid w:val="412D2921"/>
    <w:rsid w:val="412D2A38"/>
    <w:rsid w:val="412D2C8C"/>
    <w:rsid w:val="412D515E"/>
    <w:rsid w:val="412D5350"/>
    <w:rsid w:val="412D70FE"/>
    <w:rsid w:val="412E1F2D"/>
    <w:rsid w:val="412E745D"/>
    <w:rsid w:val="412E784E"/>
    <w:rsid w:val="412F06F1"/>
    <w:rsid w:val="412F0F7D"/>
    <w:rsid w:val="412F10C8"/>
    <w:rsid w:val="412F285A"/>
    <w:rsid w:val="412F2E76"/>
    <w:rsid w:val="412F369F"/>
    <w:rsid w:val="412F7046"/>
    <w:rsid w:val="412F7DA3"/>
    <w:rsid w:val="41304DFA"/>
    <w:rsid w:val="41304EAA"/>
    <w:rsid w:val="41310F0B"/>
    <w:rsid w:val="41311DCF"/>
    <w:rsid w:val="41313B73"/>
    <w:rsid w:val="4131559C"/>
    <w:rsid w:val="41315679"/>
    <w:rsid w:val="41317FBC"/>
    <w:rsid w:val="4132000E"/>
    <w:rsid w:val="4132239B"/>
    <w:rsid w:val="41324D53"/>
    <w:rsid w:val="41326E0A"/>
    <w:rsid w:val="413277CA"/>
    <w:rsid w:val="41342ECE"/>
    <w:rsid w:val="41347147"/>
    <w:rsid w:val="41350D1C"/>
    <w:rsid w:val="41351492"/>
    <w:rsid w:val="41352EBD"/>
    <w:rsid w:val="41356359"/>
    <w:rsid w:val="413578F3"/>
    <w:rsid w:val="413606A8"/>
    <w:rsid w:val="41362099"/>
    <w:rsid w:val="413630AF"/>
    <w:rsid w:val="41371AF4"/>
    <w:rsid w:val="41374679"/>
    <w:rsid w:val="4137525A"/>
    <w:rsid w:val="41375FA8"/>
    <w:rsid w:val="413779F2"/>
    <w:rsid w:val="41377F7D"/>
    <w:rsid w:val="41380460"/>
    <w:rsid w:val="413834E9"/>
    <w:rsid w:val="41384420"/>
    <w:rsid w:val="41390199"/>
    <w:rsid w:val="4139067E"/>
    <w:rsid w:val="41391F47"/>
    <w:rsid w:val="413936AC"/>
    <w:rsid w:val="41393870"/>
    <w:rsid w:val="41393CF5"/>
    <w:rsid w:val="41395AA3"/>
    <w:rsid w:val="413A36FE"/>
    <w:rsid w:val="413A4B1F"/>
    <w:rsid w:val="413B1D4F"/>
    <w:rsid w:val="413B2663"/>
    <w:rsid w:val="413B2B40"/>
    <w:rsid w:val="413B5CBF"/>
    <w:rsid w:val="413B7F16"/>
    <w:rsid w:val="413C37E5"/>
    <w:rsid w:val="413C4872"/>
    <w:rsid w:val="413C5593"/>
    <w:rsid w:val="413D295B"/>
    <w:rsid w:val="413D6362"/>
    <w:rsid w:val="413D69B8"/>
    <w:rsid w:val="413D7878"/>
    <w:rsid w:val="413E00EB"/>
    <w:rsid w:val="413E07BD"/>
    <w:rsid w:val="413E093E"/>
    <w:rsid w:val="413E57AF"/>
    <w:rsid w:val="413E57FE"/>
    <w:rsid w:val="413E755D"/>
    <w:rsid w:val="413E7D1A"/>
    <w:rsid w:val="413F05EB"/>
    <w:rsid w:val="413F1848"/>
    <w:rsid w:val="413F2835"/>
    <w:rsid w:val="413F4342"/>
    <w:rsid w:val="413F479E"/>
    <w:rsid w:val="41400928"/>
    <w:rsid w:val="4140499F"/>
    <w:rsid w:val="41406E31"/>
    <w:rsid w:val="41410DFB"/>
    <w:rsid w:val="41412BA9"/>
    <w:rsid w:val="4141686E"/>
    <w:rsid w:val="41416CA6"/>
    <w:rsid w:val="414172BF"/>
    <w:rsid w:val="41424FDF"/>
    <w:rsid w:val="41425B5E"/>
    <w:rsid w:val="41431F4D"/>
    <w:rsid w:val="4143326C"/>
    <w:rsid w:val="4143355D"/>
    <w:rsid w:val="41434B73"/>
    <w:rsid w:val="41437E09"/>
    <w:rsid w:val="41443E4D"/>
    <w:rsid w:val="41444276"/>
    <w:rsid w:val="41445989"/>
    <w:rsid w:val="41447381"/>
    <w:rsid w:val="414508EB"/>
    <w:rsid w:val="414540C2"/>
    <w:rsid w:val="414543A2"/>
    <w:rsid w:val="4145470B"/>
    <w:rsid w:val="4145693F"/>
    <w:rsid w:val="41460486"/>
    <w:rsid w:val="41464CB7"/>
    <w:rsid w:val="41474664"/>
    <w:rsid w:val="41475D36"/>
    <w:rsid w:val="414803DC"/>
    <w:rsid w:val="41483F38"/>
    <w:rsid w:val="41485D02"/>
    <w:rsid w:val="414867C0"/>
    <w:rsid w:val="414922EF"/>
    <w:rsid w:val="4149324C"/>
    <w:rsid w:val="41493682"/>
    <w:rsid w:val="41494C1D"/>
    <w:rsid w:val="41495125"/>
    <w:rsid w:val="41496BCB"/>
    <w:rsid w:val="414A4154"/>
    <w:rsid w:val="414A4871"/>
    <w:rsid w:val="414A5F02"/>
    <w:rsid w:val="414A7CB0"/>
    <w:rsid w:val="414B1D61"/>
    <w:rsid w:val="414B4302"/>
    <w:rsid w:val="414B61DC"/>
    <w:rsid w:val="414B685B"/>
    <w:rsid w:val="414C1B32"/>
    <w:rsid w:val="414C1C7A"/>
    <w:rsid w:val="414C33B0"/>
    <w:rsid w:val="414C3604"/>
    <w:rsid w:val="414C3A28"/>
    <w:rsid w:val="414C4F6F"/>
    <w:rsid w:val="414D3EA5"/>
    <w:rsid w:val="414D59F2"/>
    <w:rsid w:val="414D77A0"/>
    <w:rsid w:val="414E0433"/>
    <w:rsid w:val="414E29CE"/>
    <w:rsid w:val="414E2E93"/>
    <w:rsid w:val="414E5B45"/>
    <w:rsid w:val="414F176A"/>
    <w:rsid w:val="414F3004"/>
    <w:rsid w:val="414F3518"/>
    <w:rsid w:val="414F5674"/>
    <w:rsid w:val="414F56AA"/>
    <w:rsid w:val="414F7384"/>
    <w:rsid w:val="4150392F"/>
    <w:rsid w:val="41505A88"/>
    <w:rsid w:val="4150675D"/>
    <w:rsid w:val="415073D5"/>
    <w:rsid w:val="41507736"/>
    <w:rsid w:val="4151074F"/>
    <w:rsid w:val="4151103E"/>
    <w:rsid w:val="4151480B"/>
    <w:rsid w:val="415154E2"/>
    <w:rsid w:val="415160DA"/>
    <w:rsid w:val="41516812"/>
    <w:rsid w:val="41517290"/>
    <w:rsid w:val="415177BE"/>
    <w:rsid w:val="41517FFE"/>
    <w:rsid w:val="41520324"/>
    <w:rsid w:val="41521985"/>
    <w:rsid w:val="41523008"/>
    <w:rsid w:val="4152378E"/>
    <w:rsid w:val="41524200"/>
    <w:rsid w:val="41524DB6"/>
    <w:rsid w:val="41525D4E"/>
    <w:rsid w:val="41530B66"/>
    <w:rsid w:val="4153125A"/>
    <w:rsid w:val="41532E15"/>
    <w:rsid w:val="41534694"/>
    <w:rsid w:val="415407AC"/>
    <w:rsid w:val="41540B2E"/>
    <w:rsid w:val="415439ED"/>
    <w:rsid w:val="415442A5"/>
    <w:rsid w:val="41546D80"/>
    <w:rsid w:val="4155097D"/>
    <w:rsid w:val="41553927"/>
    <w:rsid w:val="41553A25"/>
    <w:rsid w:val="41555250"/>
    <w:rsid w:val="415574DC"/>
    <w:rsid w:val="41557FD3"/>
    <w:rsid w:val="4156078C"/>
    <w:rsid w:val="4156257F"/>
    <w:rsid w:val="415648A7"/>
    <w:rsid w:val="41570055"/>
    <w:rsid w:val="4157061F"/>
    <w:rsid w:val="415723CD"/>
    <w:rsid w:val="4157515E"/>
    <w:rsid w:val="41585414"/>
    <w:rsid w:val="415856D8"/>
    <w:rsid w:val="41585897"/>
    <w:rsid w:val="415873FA"/>
    <w:rsid w:val="4159263F"/>
    <w:rsid w:val="41594397"/>
    <w:rsid w:val="41596145"/>
    <w:rsid w:val="41596C87"/>
    <w:rsid w:val="41596D43"/>
    <w:rsid w:val="415A0714"/>
    <w:rsid w:val="415A0D8E"/>
    <w:rsid w:val="415A13AB"/>
    <w:rsid w:val="415A4DD4"/>
    <w:rsid w:val="415A6003"/>
    <w:rsid w:val="415A62F6"/>
    <w:rsid w:val="415A75AE"/>
    <w:rsid w:val="415A7E88"/>
    <w:rsid w:val="415B1EBD"/>
    <w:rsid w:val="415B3C6B"/>
    <w:rsid w:val="415B3D9E"/>
    <w:rsid w:val="415B4202"/>
    <w:rsid w:val="415B6601"/>
    <w:rsid w:val="415B75FC"/>
    <w:rsid w:val="415C2347"/>
    <w:rsid w:val="415C4CCA"/>
    <w:rsid w:val="415D1C24"/>
    <w:rsid w:val="415D3E87"/>
    <w:rsid w:val="415D6A98"/>
    <w:rsid w:val="415D6F36"/>
    <w:rsid w:val="415E375B"/>
    <w:rsid w:val="415E7BFF"/>
    <w:rsid w:val="415E7F28"/>
    <w:rsid w:val="415F159E"/>
    <w:rsid w:val="415F19F6"/>
    <w:rsid w:val="415F4253"/>
    <w:rsid w:val="415F6CF4"/>
    <w:rsid w:val="415F7893"/>
    <w:rsid w:val="415F7908"/>
    <w:rsid w:val="415F7A56"/>
    <w:rsid w:val="4160349E"/>
    <w:rsid w:val="41603CB2"/>
    <w:rsid w:val="41605725"/>
    <w:rsid w:val="41614FF9"/>
    <w:rsid w:val="4162149D"/>
    <w:rsid w:val="4162324B"/>
    <w:rsid w:val="416238D5"/>
    <w:rsid w:val="41623A7A"/>
    <w:rsid w:val="41626E05"/>
    <w:rsid w:val="41630D72"/>
    <w:rsid w:val="41633F42"/>
    <w:rsid w:val="41635D9D"/>
    <w:rsid w:val="41636FC4"/>
    <w:rsid w:val="41641EAD"/>
    <w:rsid w:val="41643D9A"/>
    <w:rsid w:val="4165079A"/>
    <w:rsid w:val="41650F8E"/>
    <w:rsid w:val="41652D3C"/>
    <w:rsid w:val="41654AEA"/>
    <w:rsid w:val="41655648"/>
    <w:rsid w:val="4165627D"/>
    <w:rsid w:val="41656898"/>
    <w:rsid w:val="4166151B"/>
    <w:rsid w:val="416657B8"/>
    <w:rsid w:val="41665A0C"/>
    <w:rsid w:val="41670A01"/>
    <w:rsid w:val="4167271B"/>
    <w:rsid w:val="41675303"/>
    <w:rsid w:val="4167664D"/>
    <w:rsid w:val="416804F6"/>
    <w:rsid w:val="41682940"/>
    <w:rsid w:val="416835C8"/>
    <w:rsid w:val="41683BAB"/>
    <w:rsid w:val="41686388"/>
    <w:rsid w:val="41686A7F"/>
    <w:rsid w:val="4169100C"/>
    <w:rsid w:val="41691A27"/>
    <w:rsid w:val="4169503B"/>
    <w:rsid w:val="416A38B4"/>
    <w:rsid w:val="416A39B3"/>
    <w:rsid w:val="416A4E7D"/>
    <w:rsid w:val="416B252C"/>
    <w:rsid w:val="416B30A7"/>
    <w:rsid w:val="416B5E92"/>
    <w:rsid w:val="416B7108"/>
    <w:rsid w:val="416B7C26"/>
    <w:rsid w:val="416C142E"/>
    <w:rsid w:val="416C231C"/>
    <w:rsid w:val="416C488B"/>
    <w:rsid w:val="416C5E78"/>
    <w:rsid w:val="416D1BF0"/>
    <w:rsid w:val="416D399E"/>
    <w:rsid w:val="416D658D"/>
    <w:rsid w:val="416E62DC"/>
    <w:rsid w:val="416E727A"/>
    <w:rsid w:val="416E7E42"/>
    <w:rsid w:val="416F1F12"/>
    <w:rsid w:val="416F392F"/>
    <w:rsid w:val="416F3BBA"/>
    <w:rsid w:val="416F3C10"/>
    <w:rsid w:val="416F5028"/>
    <w:rsid w:val="416F5862"/>
    <w:rsid w:val="416F5968"/>
    <w:rsid w:val="416F5E04"/>
    <w:rsid w:val="416F7194"/>
    <w:rsid w:val="416F7716"/>
    <w:rsid w:val="41700EDB"/>
    <w:rsid w:val="41701871"/>
    <w:rsid w:val="41702F32"/>
    <w:rsid w:val="41703851"/>
    <w:rsid w:val="41707876"/>
    <w:rsid w:val="41707E25"/>
    <w:rsid w:val="41710820"/>
    <w:rsid w:val="4171348E"/>
    <w:rsid w:val="41716D3B"/>
    <w:rsid w:val="4172221D"/>
    <w:rsid w:val="41724C5D"/>
    <w:rsid w:val="41725E0B"/>
    <w:rsid w:val="4172782E"/>
    <w:rsid w:val="41734727"/>
    <w:rsid w:val="41744EE3"/>
    <w:rsid w:val="417502FD"/>
    <w:rsid w:val="41751D23"/>
    <w:rsid w:val="4175530F"/>
    <w:rsid w:val="41760AA5"/>
    <w:rsid w:val="41764F49"/>
    <w:rsid w:val="41765DA5"/>
    <w:rsid w:val="417661AF"/>
    <w:rsid w:val="41766418"/>
    <w:rsid w:val="417669CC"/>
    <w:rsid w:val="41766CF7"/>
    <w:rsid w:val="41772210"/>
    <w:rsid w:val="41773A6F"/>
    <w:rsid w:val="4177481D"/>
    <w:rsid w:val="41780319"/>
    <w:rsid w:val="41780CC1"/>
    <w:rsid w:val="417826D1"/>
    <w:rsid w:val="417844E2"/>
    <w:rsid w:val="41785646"/>
    <w:rsid w:val="4178600A"/>
    <w:rsid w:val="41790595"/>
    <w:rsid w:val="417920A2"/>
    <w:rsid w:val="4179304A"/>
    <w:rsid w:val="417967E7"/>
    <w:rsid w:val="417A00C7"/>
    <w:rsid w:val="417A0713"/>
    <w:rsid w:val="417A0972"/>
    <w:rsid w:val="417A0BD2"/>
    <w:rsid w:val="417A133E"/>
    <w:rsid w:val="417A5C14"/>
    <w:rsid w:val="417B2021"/>
    <w:rsid w:val="417B255F"/>
    <w:rsid w:val="417B3218"/>
    <w:rsid w:val="417B430D"/>
    <w:rsid w:val="417C1E33"/>
    <w:rsid w:val="417C3215"/>
    <w:rsid w:val="417C3AF9"/>
    <w:rsid w:val="417C4983"/>
    <w:rsid w:val="417C4ACF"/>
    <w:rsid w:val="417C6C95"/>
    <w:rsid w:val="417C720B"/>
    <w:rsid w:val="417D0085"/>
    <w:rsid w:val="417D0F4C"/>
    <w:rsid w:val="417E2272"/>
    <w:rsid w:val="417E5DD1"/>
    <w:rsid w:val="417F09A2"/>
    <w:rsid w:val="417F5B87"/>
    <w:rsid w:val="417F6E49"/>
    <w:rsid w:val="417F70DE"/>
    <w:rsid w:val="4181131A"/>
    <w:rsid w:val="41811CA5"/>
    <w:rsid w:val="418158C3"/>
    <w:rsid w:val="41816B7A"/>
    <w:rsid w:val="41817D4A"/>
    <w:rsid w:val="418238EE"/>
    <w:rsid w:val="4182569C"/>
    <w:rsid w:val="418258E3"/>
    <w:rsid w:val="41831414"/>
    <w:rsid w:val="41840AA3"/>
    <w:rsid w:val="41842270"/>
    <w:rsid w:val="41850291"/>
    <w:rsid w:val="41851159"/>
    <w:rsid w:val="41857ED6"/>
    <w:rsid w:val="41860CD2"/>
    <w:rsid w:val="41861EC1"/>
    <w:rsid w:val="41864367"/>
    <w:rsid w:val="418705C4"/>
    <w:rsid w:val="41871268"/>
    <w:rsid w:val="41874A60"/>
    <w:rsid w:val="41876BA4"/>
    <w:rsid w:val="4187758F"/>
    <w:rsid w:val="418828D9"/>
    <w:rsid w:val="41883195"/>
    <w:rsid w:val="41887050"/>
    <w:rsid w:val="4189302A"/>
    <w:rsid w:val="418933D4"/>
    <w:rsid w:val="41894AA1"/>
    <w:rsid w:val="41894C7C"/>
    <w:rsid w:val="41896154"/>
    <w:rsid w:val="418A27A2"/>
    <w:rsid w:val="418A28B4"/>
    <w:rsid w:val="418A4550"/>
    <w:rsid w:val="418A5AB5"/>
    <w:rsid w:val="418B00F4"/>
    <w:rsid w:val="418B1B16"/>
    <w:rsid w:val="418B6F45"/>
    <w:rsid w:val="418B7B3D"/>
    <w:rsid w:val="418C02C8"/>
    <w:rsid w:val="418C03D5"/>
    <w:rsid w:val="418C160A"/>
    <w:rsid w:val="418C639D"/>
    <w:rsid w:val="418C7670"/>
    <w:rsid w:val="418D4040"/>
    <w:rsid w:val="418D7664"/>
    <w:rsid w:val="418E17B1"/>
    <w:rsid w:val="418E1DC0"/>
    <w:rsid w:val="418E1ED1"/>
    <w:rsid w:val="418F0AB2"/>
    <w:rsid w:val="418F16DE"/>
    <w:rsid w:val="418F3A39"/>
    <w:rsid w:val="418F600A"/>
    <w:rsid w:val="419001E6"/>
    <w:rsid w:val="41910B7E"/>
    <w:rsid w:val="41913B31"/>
    <w:rsid w:val="4191500B"/>
    <w:rsid w:val="41916131"/>
    <w:rsid w:val="41916F22"/>
    <w:rsid w:val="4191768D"/>
    <w:rsid w:val="41921AFC"/>
    <w:rsid w:val="41922D8E"/>
    <w:rsid w:val="41931657"/>
    <w:rsid w:val="419347C7"/>
    <w:rsid w:val="419378A9"/>
    <w:rsid w:val="41941599"/>
    <w:rsid w:val="419423AA"/>
    <w:rsid w:val="41942544"/>
    <w:rsid w:val="41943621"/>
    <w:rsid w:val="41944301"/>
    <w:rsid w:val="419453CF"/>
    <w:rsid w:val="41946540"/>
    <w:rsid w:val="41952BC8"/>
    <w:rsid w:val="41955799"/>
    <w:rsid w:val="41960537"/>
    <w:rsid w:val="41960747"/>
    <w:rsid w:val="4196103F"/>
    <w:rsid w:val="41961147"/>
    <w:rsid w:val="41961FA6"/>
    <w:rsid w:val="41964058"/>
    <w:rsid w:val="41965316"/>
    <w:rsid w:val="41966C29"/>
    <w:rsid w:val="41966E55"/>
    <w:rsid w:val="41967399"/>
    <w:rsid w:val="419722B6"/>
    <w:rsid w:val="419754E8"/>
    <w:rsid w:val="41976374"/>
    <w:rsid w:val="4198189A"/>
    <w:rsid w:val="4198283E"/>
    <w:rsid w:val="41984EBF"/>
    <w:rsid w:val="41986679"/>
    <w:rsid w:val="41986978"/>
    <w:rsid w:val="41986C6D"/>
    <w:rsid w:val="419929D9"/>
    <w:rsid w:val="419929E5"/>
    <w:rsid w:val="41993EAC"/>
    <w:rsid w:val="4199411A"/>
    <w:rsid w:val="419944B3"/>
    <w:rsid w:val="419A0B7D"/>
    <w:rsid w:val="419A7402"/>
    <w:rsid w:val="419B050B"/>
    <w:rsid w:val="419B1B0C"/>
    <w:rsid w:val="419B23C7"/>
    <w:rsid w:val="419B2A07"/>
    <w:rsid w:val="419B49AF"/>
    <w:rsid w:val="419B52F9"/>
    <w:rsid w:val="419C6E3F"/>
    <w:rsid w:val="419C7ECA"/>
    <w:rsid w:val="419D0727"/>
    <w:rsid w:val="419D18D0"/>
    <w:rsid w:val="419D24D5"/>
    <w:rsid w:val="419D4283"/>
    <w:rsid w:val="419D7517"/>
    <w:rsid w:val="419E1A5A"/>
    <w:rsid w:val="419E1DAA"/>
    <w:rsid w:val="419E53BB"/>
    <w:rsid w:val="419E624E"/>
    <w:rsid w:val="419E7FFC"/>
    <w:rsid w:val="419F14F0"/>
    <w:rsid w:val="419F2B13"/>
    <w:rsid w:val="419F324D"/>
    <w:rsid w:val="419F3BD1"/>
    <w:rsid w:val="419F433D"/>
    <w:rsid w:val="419F524F"/>
    <w:rsid w:val="419F67B8"/>
    <w:rsid w:val="41A01AA1"/>
    <w:rsid w:val="41A01FC6"/>
    <w:rsid w:val="41A1116B"/>
    <w:rsid w:val="41A15B66"/>
    <w:rsid w:val="41A25917"/>
    <w:rsid w:val="41A25D3E"/>
    <w:rsid w:val="41A27768"/>
    <w:rsid w:val="41A33207"/>
    <w:rsid w:val="41A35873"/>
    <w:rsid w:val="41A3665C"/>
    <w:rsid w:val="41A37D9D"/>
    <w:rsid w:val="41A4122D"/>
    <w:rsid w:val="41A43949"/>
    <w:rsid w:val="41A46023"/>
    <w:rsid w:val="41A5138A"/>
    <w:rsid w:val="41A53138"/>
    <w:rsid w:val="41A57265"/>
    <w:rsid w:val="41A575DC"/>
    <w:rsid w:val="41A57EA0"/>
    <w:rsid w:val="41A61141"/>
    <w:rsid w:val="41A63F57"/>
    <w:rsid w:val="41A64205"/>
    <w:rsid w:val="41A6671D"/>
    <w:rsid w:val="41A731A1"/>
    <w:rsid w:val="41A73354"/>
    <w:rsid w:val="41A74439"/>
    <w:rsid w:val="41A75102"/>
    <w:rsid w:val="41A76EB0"/>
    <w:rsid w:val="41A775E5"/>
    <w:rsid w:val="41A8103D"/>
    <w:rsid w:val="41A83FE1"/>
    <w:rsid w:val="41A842B7"/>
    <w:rsid w:val="41A84C5A"/>
    <w:rsid w:val="41A84D32"/>
    <w:rsid w:val="41A854D3"/>
    <w:rsid w:val="41A90E7A"/>
    <w:rsid w:val="41A955EA"/>
    <w:rsid w:val="41A970CC"/>
    <w:rsid w:val="41AA395D"/>
    <w:rsid w:val="41AA4BF2"/>
    <w:rsid w:val="41AA67B3"/>
    <w:rsid w:val="41AA69A0"/>
    <w:rsid w:val="41AB0362"/>
    <w:rsid w:val="41AB44A5"/>
    <w:rsid w:val="41AB5E49"/>
    <w:rsid w:val="41AB79BE"/>
    <w:rsid w:val="41AC096A"/>
    <w:rsid w:val="41AC13B8"/>
    <w:rsid w:val="41AC434E"/>
    <w:rsid w:val="41AC5D59"/>
    <w:rsid w:val="41AD023F"/>
    <w:rsid w:val="41AD02B4"/>
    <w:rsid w:val="41AD0C74"/>
    <w:rsid w:val="41AD0CA3"/>
    <w:rsid w:val="41AD22DE"/>
    <w:rsid w:val="41AD3FD0"/>
    <w:rsid w:val="41AD44C5"/>
    <w:rsid w:val="41AE245E"/>
    <w:rsid w:val="41AE3884"/>
    <w:rsid w:val="41AE6491"/>
    <w:rsid w:val="41AE6648"/>
    <w:rsid w:val="41AE78F6"/>
    <w:rsid w:val="41AF045B"/>
    <w:rsid w:val="41AF2209"/>
    <w:rsid w:val="41AF2867"/>
    <w:rsid w:val="41AF3322"/>
    <w:rsid w:val="41AF46AC"/>
    <w:rsid w:val="41AF633F"/>
    <w:rsid w:val="41B02916"/>
    <w:rsid w:val="41B058EC"/>
    <w:rsid w:val="41B11ADD"/>
    <w:rsid w:val="41B1276A"/>
    <w:rsid w:val="41B12C75"/>
    <w:rsid w:val="41B13422"/>
    <w:rsid w:val="41B1405B"/>
    <w:rsid w:val="41B15CE2"/>
    <w:rsid w:val="41B15F81"/>
    <w:rsid w:val="41B16D88"/>
    <w:rsid w:val="41B16F85"/>
    <w:rsid w:val="41B17F56"/>
    <w:rsid w:val="41B20C6B"/>
    <w:rsid w:val="41B2322C"/>
    <w:rsid w:val="41B24B95"/>
    <w:rsid w:val="41B25855"/>
    <w:rsid w:val="41B27B83"/>
    <w:rsid w:val="41B30CE6"/>
    <w:rsid w:val="41B31A55"/>
    <w:rsid w:val="41B31CF9"/>
    <w:rsid w:val="41B33AA7"/>
    <w:rsid w:val="41B351B3"/>
    <w:rsid w:val="41B45A71"/>
    <w:rsid w:val="41B51AAC"/>
    <w:rsid w:val="41B521D6"/>
    <w:rsid w:val="41B601C8"/>
    <w:rsid w:val="41B617E9"/>
    <w:rsid w:val="41B70E95"/>
    <w:rsid w:val="41B71B7B"/>
    <w:rsid w:val="41B74111"/>
    <w:rsid w:val="41B753BF"/>
    <w:rsid w:val="41B758F5"/>
    <w:rsid w:val="41B766BE"/>
    <w:rsid w:val="41B815F7"/>
    <w:rsid w:val="41B82E6B"/>
    <w:rsid w:val="41B8730F"/>
    <w:rsid w:val="41B87691"/>
    <w:rsid w:val="41B90308"/>
    <w:rsid w:val="41B94E35"/>
    <w:rsid w:val="41B968FF"/>
    <w:rsid w:val="41BA3087"/>
    <w:rsid w:val="41BA541B"/>
    <w:rsid w:val="41BA6669"/>
    <w:rsid w:val="41BA7709"/>
    <w:rsid w:val="41BB0BAE"/>
    <w:rsid w:val="41BB21C9"/>
    <w:rsid w:val="41BB2351"/>
    <w:rsid w:val="41BB295C"/>
    <w:rsid w:val="41BB69DD"/>
    <w:rsid w:val="41BB6E00"/>
    <w:rsid w:val="41BB74B3"/>
    <w:rsid w:val="41BC3F3A"/>
    <w:rsid w:val="41BD2B78"/>
    <w:rsid w:val="41BD3B10"/>
    <w:rsid w:val="41BD4926"/>
    <w:rsid w:val="41BD66D4"/>
    <w:rsid w:val="41BE244C"/>
    <w:rsid w:val="41BE482F"/>
    <w:rsid w:val="41BE5FC7"/>
    <w:rsid w:val="41BF2BD4"/>
    <w:rsid w:val="41BF3468"/>
    <w:rsid w:val="41BF4746"/>
    <w:rsid w:val="41BF61FD"/>
    <w:rsid w:val="41C061C4"/>
    <w:rsid w:val="41C17E60"/>
    <w:rsid w:val="41C2018E"/>
    <w:rsid w:val="41C20D1A"/>
    <w:rsid w:val="41C21BE4"/>
    <w:rsid w:val="41C21F3C"/>
    <w:rsid w:val="41C255C6"/>
    <w:rsid w:val="41C2782F"/>
    <w:rsid w:val="41C31810"/>
    <w:rsid w:val="41C366B1"/>
    <w:rsid w:val="41C4420D"/>
    <w:rsid w:val="41C44FC6"/>
    <w:rsid w:val="41C45CB4"/>
    <w:rsid w:val="41C474C9"/>
    <w:rsid w:val="41C4769F"/>
    <w:rsid w:val="41C501C5"/>
    <w:rsid w:val="41C51A2C"/>
    <w:rsid w:val="41C537DA"/>
    <w:rsid w:val="41C573A0"/>
    <w:rsid w:val="41C64C7C"/>
    <w:rsid w:val="41C739A8"/>
    <w:rsid w:val="41C75783"/>
    <w:rsid w:val="41C75A56"/>
    <w:rsid w:val="41C77552"/>
    <w:rsid w:val="41C83A99"/>
    <w:rsid w:val="41C852A6"/>
    <w:rsid w:val="41C9151C"/>
    <w:rsid w:val="41C932CA"/>
    <w:rsid w:val="41C95E69"/>
    <w:rsid w:val="41CA0DF1"/>
    <w:rsid w:val="41CA2B9F"/>
    <w:rsid w:val="41CA3EE0"/>
    <w:rsid w:val="41CA50A3"/>
    <w:rsid w:val="41CA5A40"/>
    <w:rsid w:val="41CB5291"/>
    <w:rsid w:val="41CB6718"/>
    <w:rsid w:val="41CB7A0B"/>
    <w:rsid w:val="41CC2DBB"/>
    <w:rsid w:val="41CC6917"/>
    <w:rsid w:val="41CD11D3"/>
    <w:rsid w:val="41CD2F90"/>
    <w:rsid w:val="41CD4EFA"/>
    <w:rsid w:val="41CD6CF7"/>
    <w:rsid w:val="41CD6E83"/>
    <w:rsid w:val="41CD74EF"/>
    <w:rsid w:val="41CE08E1"/>
    <w:rsid w:val="41CE268F"/>
    <w:rsid w:val="41CE2C59"/>
    <w:rsid w:val="41CE369A"/>
    <w:rsid w:val="41CE6B33"/>
    <w:rsid w:val="41CE7BAA"/>
    <w:rsid w:val="41CF2582"/>
    <w:rsid w:val="41CF4659"/>
    <w:rsid w:val="41CF5B7A"/>
    <w:rsid w:val="41CF6289"/>
    <w:rsid w:val="41D028AB"/>
    <w:rsid w:val="41D02A92"/>
    <w:rsid w:val="41D04D0E"/>
    <w:rsid w:val="41D058BB"/>
    <w:rsid w:val="41D06DB9"/>
    <w:rsid w:val="41D103D1"/>
    <w:rsid w:val="41D10456"/>
    <w:rsid w:val="41D13168"/>
    <w:rsid w:val="41D135DC"/>
    <w:rsid w:val="41D13F2D"/>
    <w:rsid w:val="41D167D0"/>
    <w:rsid w:val="41D167EF"/>
    <w:rsid w:val="41D1718A"/>
    <w:rsid w:val="41D23D44"/>
    <w:rsid w:val="41D255CE"/>
    <w:rsid w:val="41D261BD"/>
    <w:rsid w:val="41D32E9B"/>
    <w:rsid w:val="41D33FF9"/>
    <w:rsid w:val="41D3401B"/>
    <w:rsid w:val="41D3573A"/>
    <w:rsid w:val="41D36B4F"/>
    <w:rsid w:val="41D36BEA"/>
    <w:rsid w:val="41D37CA5"/>
    <w:rsid w:val="41D41896"/>
    <w:rsid w:val="41D422CB"/>
    <w:rsid w:val="41D43BB1"/>
    <w:rsid w:val="41D473A2"/>
    <w:rsid w:val="41D47C8C"/>
    <w:rsid w:val="41D56122"/>
    <w:rsid w:val="41D63915"/>
    <w:rsid w:val="41D63C39"/>
    <w:rsid w:val="41D66BC8"/>
    <w:rsid w:val="41D67795"/>
    <w:rsid w:val="41D713E6"/>
    <w:rsid w:val="41D719E6"/>
    <w:rsid w:val="41D72D58"/>
    <w:rsid w:val="41D74C28"/>
    <w:rsid w:val="41D7554B"/>
    <w:rsid w:val="41D77C64"/>
    <w:rsid w:val="41D815D9"/>
    <w:rsid w:val="41D83E0A"/>
    <w:rsid w:val="41D852BC"/>
    <w:rsid w:val="41D86077"/>
    <w:rsid w:val="41D86688"/>
    <w:rsid w:val="41D878E4"/>
    <w:rsid w:val="41D9528C"/>
    <w:rsid w:val="41DB278B"/>
    <w:rsid w:val="41DB2FFE"/>
    <w:rsid w:val="41DB3D53"/>
    <w:rsid w:val="41DB4DAC"/>
    <w:rsid w:val="41DB5034"/>
    <w:rsid w:val="41DB6410"/>
    <w:rsid w:val="41DC535C"/>
    <w:rsid w:val="41DC6398"/>
    <w:rsid w:val="41DD1C54"/>
    <w:rsid w:val="41DD4676"/>
    <w:rsid w:val="41DD659A"/>
    <w:rsid w:val="41DD7626"/>
    <w:rsid w:val="41DD798B"/>
    <w:rsid w:val="41DD7E31"/>
    <w:rsid w:val="41DE0A1F"/>
    <w:rsid w:val="41DE0F74"/>
    <w:rsid w:val="41DE28A1"/>
    <w:rsid w:val="41DE5818"/>
    <w:rsid w:val="41DF2AEE"/>
    <w:rsid w:val="41DF3D8E"/>
    <w:rsid w:val="41DF489C"/>
    <w:rsid w:val="41E03094"/>
    <w:rsid w:val="41E05C51"/>
    <w:rsid w:val="41E061F2"/>
    <w:rsid w:val="41E06866"/>
    <w:rsid w:val="41E06A9F"/>
    <w:rsid w:val="41E07D3E"/>
    <w:rsid w:val="41E10261"/>
    <w:rsid w:val="41E16F5A"/>
    <w:rsid w:val="41E225DE"/>
    <w:rsid w:val="41E24F1E"/>
    <w:rsid w:val="41E254CE"/>
    <w:rsid w:val="41E2613A"/>
    <w:rsid w:val="41E270C9"/>
    <w:rsid w:val="41E30243"/>
    <w:rsid w:val="41E335AC"/>
    <w:rsid w:val="41E33C60"/>
    <w:rsid w:val="41E40104"/>
    <w:rsid w:val="41E41509"/>
    <w:rsid w:val="41E41EB2"/>
    <w:rsid w:val="41E42A3E"/>
    <w:rsid w:val="41E54809"/>
    <w:rsid w:val="41E5504D"/>
    <w:rsid w:val="41E56443"/>
    <w:rsid w:val="41E6340C"/>
    <w:rsid w:val="41E66090"/>
    <w:rsid w:val="41E73D28"/>
    <w:rsid w:val="41E75040"/>
    <w:rsid w:val="41E761CF"/>
    <w:rsid w:val="41E77C8C"/>
    <w:rsid w:val="41E81277"/>
    <w:rsid w:val="41E841DE"/>
    <w:rsid w:val="41E850D9"/>
    <w:rsid w:val="41E902BE"/>
    <w:rsid w:val="41E935AB"/>
    <w:rsid w:val="41E9396D"/>
    <w:rsid w:val="41E9571B"/>
    <w:rsid w:val="41E974C9"/>
    <w:rsid w:val="41EA1493"/>
    <w:rsid w:val="41EA2324"/>
    <w:rsid w:val="41EA3241"/>
    <w:rsid w:val="41EA4FEF"/>
    <w:rsid w:val="41EA5672"/>
    <w:rsid w:val="41EA610A"/>
    <w:rsid w:val="41EB1CEB"/>
    <w:rsid w:val="41EB2876"/>
    <w:rsid w:val="41EB294A"/>
    <w:rsid w:val="41EB50E0"/>
    <w:rsid w:val="41EB6A4C"/>
    <w:rsid w:val="41EB6CB1"/>
    <w:rsid w:val="41EB71EB"/>
    <w:rsid w:val="41EC0D67"/>
    <w:rsid w:val="41EC157C"/>
    <w:rsid w:val="41EC1AA9"/>
    <w:rsid w:val="41EC4B19"/>
    <w:rsid w:val="41EC520B"/>
    <w:rsid w:val="41EC5ACB"/>
    <w:rsid w:val="41EC7030"/>
    <w:rsid w:val="41ED2DB8"/>
    <w:rsid w:val="41ED73A2"/>
    <w:rsid w:val="41ED7771"/>
    <w:rsid w:val="41EE0660"/>
    <w:rsid w:val="41EE0AF7"/>
    <w:rsid w:val="41EE2342"/>
    <w:rsid w:val="41EE4052"/>
    <w:rsid w:val="41EE4D1B"/>
    <w:rsid w:val="41EE5EF7"/>
    <w:rsid w:val="41EE7D99"/>
    <w:rsid w:val="41EF0857"/>
    <w:rsid w:val="41EF37D2"/>
    <w:rsid w:val="41EF57EA"/>
    <w:rsid w:val="41EF60E1"/>
    <w:rsid w:val="41F0090A"/>
    <w:rsid w:val="41F02D3A"/>
    <w:rsid w:val="41F036E1"/>
    <w:rsid w:val="41F04646"/>
    <w:rsid w:val="41F06AA9"/>
    <w:rsid w:val="41F07EEE"/>
    <w:rsid w:val="41F12821"/>
    <w:rsid w:val="41F13778"/>
    <w:rsid w:val="41F14B88"/>
    <w:rsid w:val="41F1613E"/>
    <w:rsid w:val="41F1637D"/>
    <w:rsid w:val="41F22153"/>
    <w:rsid w:val="41F24D8F"/>
    <w:rsid w:val="41F30347"/>
    <w:rsid w:val="41F33DFE"/>
    <w:rsid w:val="41F44A73"/>
    <w:rsid w:val="41F46436"/>
    <w:rsid w:val="41F57D9A"/>
    <w:rsid w:val="41F57EE8"/>
    <w:rsid w:val="41F60564"/>
    <w:rsid w:val="41F63994"/>
    <w:rsid w:val="41F64CF2"/>
    <w:rsid w:val="41F71F64"/>
    <w:rsid w:val="41F725B4"/>
    <w:rsid w:val="41F776AC"/>
    <w:rsid w:val="41F83BB0"/>
    <w:rsid w:val="41F85FC5"/>
    <w:rsid w:val="41F8693A"/>
    <w:rsid w:val="41F8770C"/>
    <w:rsid w:val="41F92D09"/>
    <w:rsid w:val="41F93484"/>
    <w:rsid w:val="41F94F9F"/>
    <w:rsid w:val="41FA1643"/>
    <w:rsid w:val="41FA16D6"/>
    <w:rsid w:val="41FA1B64"/>
    <w:rsid w:val="41FA5106"/>
    <w:rsid w:val="41FA68C7"/>
    <w:rsid w:val="41FA7928"/>
    <w:rsid w:val="41FB2E28"/>
    <w:rsid w:val="41FB36A0"/>
    <w:rsid w:val="41FB4946"/>
    <w:rsid w:val="41FB544E"/>
    <w:rsid w:val="41FB65C4"/>
    <w:rsid w:val="41FB71FC"/>
    <w:rsid w:val="41FB79A0"/>
    <w:rsid w:val="41FC0F58"/>
    <w:rsid w:val="41FD1105"/>
    <w:rsid w:val="41FD11C6"/>
    <w:rsid w:val="41FD2F74"/>
    <w:rsid w:val="41FD4A62"/>
    <w:rsid w:val="41FD7266"/>
    <w:rsid w:val="41FD751D"/>
    <w:rsid w:val="41FE034E"/>
    <w:rsid w:val="41FE6A17"/>
    <w:rsid w:val="41FE6CBE"/>
    <w:rsid w:val="41FF0A9A"/>
    <w:rsid w:val="41FF1B86"/>
    <w:rsid w:val="41FF4F3E"/>
    <w:rsid w:val="41FF6C4C"/>
    <w:rsid w:val="41FF6CEC"/>
    <w:rsid w:val="4200222B"/>
    <w:rsid w:val="42002A64"/>
    <w:rsid w:val="42003172"/>
    <w:rsid w:val="42003F38"/>
    <w:rsid w:val="420049B2"/>
    <w:rsid w:val="42005A4E"/>
    <w:rsid w:val="42005F94"/>
    <w:rsid w:val="42010CB6"/>
    <w:rsid w:val="4201539B"/>
    <w:rsid w:val="4202079C"/>
    <w:rsid w:val="42022339"/>
    <w:rsid w:val="42024A2E"/>
    <w:rsid w:val="420267DC"/>
    <w:rsid w:val="42027077"/>
    <w:rsid w:val="4203064F"/>
    <w:rsid w:val="42036213"/>
    <w:rsid w:val="42042555"/>
    <w:rsid w:val="42043077"/>
    <w:rsid w:val="42044303"/>
    <w:rsid w:val="42044C5E"/>
    <w:rsid w:val="420473BE"/>
    <w:rsid w:val="42051C93"/>
    <w:rsid w:val="42051E29"/>
    <w:rsid w:val="420575AF"/>
    <w:rsid w:val="420614C5"/>
    <w:rsid w:val="42063098"/>
    <w:rsid w:val="42063B75"/>
    <w:rsid w:val="420662CD"/>
    <w:rsid w:val="420669D2"/>
    <w:rsid w:val="42071191"/>
    <w:rsid w:val="42073DF3"/>
    <w:rsid w:val="42074DE8"/>
    <w:rsid w:val="42075BA1"/>
    <w:rsid w:val="4207628E"/>
    <w:rsid w:val="4208304A"/>
    <w:rsid w:val="42087906"/>
    <w:rsid w:val="4209103E"/>
    <w:rsid w:val="420934E8"/>
    <w:rsid w:val="420936C7"/>
    <w:rsid w:val="420941F8"/>
    <w:rsid w:val="42094779"/>
    <w:rsid w:val="420957DF"/>
    <w:rsid w:val="4209607A"/>
    <w:rsid w:val="42097B6B"/>
    <w:rsid w:val="420A2C59"/>
    <w:rsid w:val="420A4CD9"/>
    <w:rsid w:val="420A5691"/>
    <w:rsid w:val="420A6C99"/>
    <w:rsid w:val="420A743F"/>
    <w:rsid w:val="420B186A"/>
    <w:rsid w:val="420B1EC9"/>
    <w:rsid w:val="420B2162"/>
    <w:rsid w:val="420B38E3"/>
    <w:rsid w:val="420B7A69"/>
    <w:rsid w:val="420C2935"/>
    <w:rsid w:val="420C765B"/>
    <w:rsid w:val="420D1417"/>
    <w:rsid w:val="420D3B45"/>
    <w:rsid w:val="420E11F8"/>
    <w:rsid w:val="420E181A"/>
    <w:rsid w:val="420E33D3"/>
    <w:rsid w:val="420E5181"/>
    <w:rsid w:val="420F18CF"/>
    <w:rsid w:val="420F2CA7"/>
    <w:rsid w:val="420F4972"/>
    <w:rsid w:val="420F4A55"/>
    <w:rsid w:val="420F6035"/>
    <w:rsid w:val="420F7E14"/>
    <w:rsid w:val="42100EF9"/>
    <w:rsid w:val="42101488"/>
    <w:rsid w:val="421107CE"/>
    <w:rsid w:val="42114C71"/>
    <w:rsid w:val="421156DC"/>
    <w:rsid w:val="42116A20"/>
    <w:rsid w:val="42117212"/>
    <w:rsid w:val="42122F74"/>
    <w:rsid w:val="421260FF"/>
    <w:rsid w:val="421309EA"/>
    <w:rsid w:val="421343EA"/>
    <w:rsid w:val="4214206C"/>
    <w:rsid w:val="4214434D"/>
    <w:rsid w:val="421502BE"/>
    <w:rsid w:val="42155477"/>
    <w:rsid w:val="421554ED"/>
    <w:rsid w:val="42156510"/>
    <w:rsid w:val="4216064E"/>
    <w:rsid w:val="42161802"/>
    <w:rsid w:val="421637AE"/>
    <w:rsid w:val="42163B03"/>
    <w:rsid w:val="4216697D"/>
    <w:rsid w:val="421673AA"/>
    <w:rsid w:val="42180300"/>
    <w:rsid w:val="4219026C"/>
    <w:rsid w:val="4219401D"/>
    <w:rsid w:val="421952FE"/>
    <w:rsid w:val="421A0B83"/>
    <w:rsid w:val="421A181D"/>
    <w:rsid w:val="421A3B26"/>
    <w:rsid w:val="421A579A"/>
    <w:rsid w:val="421A7ECF"/>
    <w:rsid w:val="421B135F"/>
    <w:rsid w:val="421B164C"/>
    <w:rsid w:val="421B789E"/>
    <w:rsid w:val="421C66F3"/>
    <w:rsid w:val="421D1890"/>
    <w:rsid w:val="421D2E5F"/>
    <w:rsid w:val="421D3616"/>
    <w:rsid w:val="421D4C52"/>
    <w:rsid w:val="421D7172"/>
    <w:rsid w:val="421E1530"/>
    <w:rsid w:val="421E7CE0"/>
    <w:rsid w:val="421F1170"/>
    <w:rsid w:val="421F367D"/>
    <w:rsid w:val="42213106"/>
    <w:rsid w:val="42213EF2"/>
    <w:rsid w:val="42216661"/>
    <w:rsid w:val="42220020"/>
    <w:rsid w:val="42220DE3"/>
    <w:rsid w:val="42221190"/>
    <w:rsid w:val="422263E0"/>
    <w:rsid w:val="422265FA"/>
    <w:rsid w:val="42227689"/>
    <w:rsid w:val="42230F9C"/>
    <w:rsid w:val="422349B3"/>
    <w:rsid w:val="42236044"/>
    <w:rsid w:val="42236C14"/>
    <w:rsid w:val="42240501"/>
    <w:rsid w:val="4224064D"/>
    <w:rsid w:val="4224225E"/>
    <w:rsid w:val="42243B52"/>
    <w:rsid w:val="422449A5"/>
    <w:rsid w:val="42246753"/>
    <w:rsid w:val="422511A0"/>
    <w:rsid w:val="422514AE"/>
    <w:rsid w:val="422529F6"/>
    <w:rsid w:val="42257B9C"/>
    <w:rsid w:val="42261533"/>
    <w:rsid w:val="42261E96"/>
    <w:rsid w:val="42265CFC"/>
    <w:rsid w:val="42276243"/>
    <w:rsid w:val="422773C7"/>
    <w:rsid w:val="42277C6C"/>
    <w:rsid w:val="42285119"/>
    <w:rsid w:val="42290BAE"/>
    <w:rsid w:val="42291FBB"/>
    <w:rsid w:val="42295B17"/>
    <w:rsid w:val="422A012F"/>
    <w:rsid w:val="422B1189"/>
    <w:rsid w:val="422B5D33"/>
    <w:rsid w:val="422B612D"/>
    <w:rsid w:val="422B7962"/>
    <w:rsid w:val="422C1FE7"/>
    <w:rsid w:val="422C3859"/>
    <w:rsid w:val="422C5C23"/>
    <w:rsid w:val="422C7C8A"/>
    <w:rsid w:val="422D1840"/>
    <w:rsid w:val="422D2DB2"/>
    <w:rsid w:val="422D6204"/>
    <w:rsid w:val="422D62BB"/>
    <w:rsid w:val="422E137F"/>
    <w:rsid w:val="422E1E50"/>
    <w:rsid w:val="422E1FA9"/>
    <w:rsid w:val="422E312E"/>
    <w:rsid w:val="422E5823"/>
    <w:rsid w:val="422F0126"/>
    <w:rsid w:val="422F3128"/>
    <w:rsid w:val="422F6475"/>
    <w:rsid w:val="423020F5"/>
    <w:rsid w:val="4230334A"/>
    <w:rsid w:val="423049AD"/>
    <w:rsid w:val="42305C32"/>
    <w:rsid w:val="423063C1"/>
    <w:rsid w:val="42307025"/>
    <w:rsid w:val="42307B9D"/>
    <w:rsid w:val="42310E70"/>
    <w:rsid w:val="42311FBE"/>
    <w:rsid w:val="42320AA1"/>
    <w:rsid w:val="423217F8"/>
    <w:rsid w:val="42321EFA"/>
    <w:rsid w:val="423224F1"/>
    <w:rsid w:val="42324760"/>
    <w:rsid w:val="42324850"/>
    <w:rsid w:val="4232656B"/>
    <w:rsid w:val="423275E6"/>
    <w:rsid w:val="42334BE8"/>
    <w:rsid w:val="42336152"/>
    <w:rsid w:val="423363F8"/>
    <w:rsid w:val="42336996"/>
    <w:rsid w:val="42342697"/>
    <w:rsid w:val="4234333D"/>
    <w:rsid w:val="423440F5"/>
    <w:rsid w:val="4235270E"/>
    <w:rsid w:val="423544BC"/>
    <w:rsid w:val="42355B4F"/>
    <w:rsid w:val="42361FD7"/>
    <w:rsid w:val="42365A74"/>
    <w:rsid w:val="42366486"/>
    <w:rsid w:val="423718BA"/>
    <w:rsid w:val="423746D8"/>
    <w:rsid w:val="423749B1"/>
    <w:rsid w:val="423809BC"/>
    <w:rsid w:val="42381D17"/>
    <w:rsid w:val="423821FE"/>
    <w:rsid w:val="42383FAC"/>
    <w:rsid w:val="423877F7"/>
    <w:rsid w:val="423931A7"/>
    <w:rsid w:val="423A41C8"/>
    <w:rsid w:val="423A525A"/>
    <w:rsid w:val="423A5D78"/>
    <w:rsid w:val="423A5F76"/>
    <w:rsid w:val="423A635C"/>
    <w:rsid w:val="423B3B5D"/>
    <w:rsid w:val="423B5E54"/>
    <w:rsid w:val="423C0698"/>
    <w:rsid w:val="423C1CEE"/>
    <w:rsid w:val="423C3183"/>
    <w:rsid w:val="423D0595"/>
    <w:rsid w:val="423D15C3"/>
    <w:rsid w:val="423D2E16"/>
    <w:rsid w:val="423D5A66"/>
    <w:rsid w:val="423D6A16"/>
    <w:rsid w:val="423D7815"/>
    <w:rsid w:val="423E2EA0"/>
    <w:rsid w:val="423E416C"/>
    <w:rsid w:val="423F05E5"/>
    <w:rsid w:val="423F1711"/>
    <w:rsid w:val="423F17DF"/>
    <w:rsid w:val="423F3138"/>
    <w:rsid w:val="423F650E"/>
    <w:rsid w:val="423F6877"/>
    <w:rsid w:val="42400F72"/>
    <w:rsid w:val="424010B3"/>
    <w:rsid w:val="42402E61"/>
    <w:rsid w:val="4240449D"/>
    <w:rsid w:val="42410D01"/>
    <w:rsid w:val="42415557"/>
    <w:rsid w:val="4241582E"/>
    <w:rsid w:val="42416B41"/>
    <w:rsid w:val="42417305"/>
    <w:rsid w:val="4242307D"/>
    <w:rsid w:val="42424E2B"/>
    <w:rsid w:val="42425BDF"/>
    <w:rsid w:val="424262B6"/>
    <w:rsid w:val="42433289"/>
    <w:rsid w:val="42434139"/>
    <w:rsid w:val="4243599A"/>
    <w:rsid w:val="42435C05"/>
    <w:rsid w:val="424364BD"/>
    <w:rsid w:val="42436E2A"/>
    <w:rsid w:val="42440BA3"/>
    <w:rsid w:val="42441571"/>
    <w:rsid w:val="42445D0E"/>
    <w:rsid w:val="42446DF5"/>
    <w:rsid w:val="42451B52"/>
    <w:rsid w:val="42455657"/>
    <w:rsid w:val="424566C9"/>
    <w:rsid w:val="42462B6D"/>
    <w:rsid w:val="42465AA3"/>
    <w:rsid w:val="42470693"/>
    <w:rsid w:val="424715EE"/>
    <w:rsid w:val="42471A60"/>
    <w:rsid w:val="424720EA"/>
    <w:rsid w:val="424762FF"/>
    <w:rsid w:val="424803E6"/>
    <w:rsid w:val="4248180C"/>
    <w:rsid w:val="42482230"/>
    <w:rsid w:val="42485433"/>
    <w:rsid w:val="42486C3B"/>
    <w:rsid w:val="42490F2D"/>
    <w:rsid w:val="424925D0"/>
    <w:rsid w:val="424925FB"/>
    <w:rsid w:val="424937F0"/>
    <w:rsid w:val="4249440B"/>
    <w:rsid w:val="4249739C"/>
    <w:rsid w:val="424A1283"/>
    <w:rsid w:val="424A2D04"/>
    <w:rsid w:val="424A6AF1"/>
    <w:rsid w:val="424B0183"/>
    <w:rsid w:val="424B0A7B"/>
    <w:rsid w:val="424B2464"/>
    <w:rsid w:val="424B3CDF"/>
    <w:rsid w:val="424B3E92"/>
    <w:rsid w:val="424C4C1A"/>
    <w:rsid w:val="424C7A58"/>
    <w:rsid w:val="424D0574"/>
    <w:rsid w:val="424D161D"/>
    <w:rsid w:val="424D1EE1"/>
    <w:rsid w:val="424D3EFC"/>
    <w:rsid w:val="424D4582"/>
    <w:rsid w:val="424E1A22"/>
    <w:rsid w:val="424E23FF"/>
    <w:rsid w:val="424E567E"/>
    <w:rsid w:val="424F4007"/>
    <w:rsid w:val="424F6A20"/>
    <w:rsid w:val="425024EE"/>
    <w:rsid w:val="425053DE"/>
    <w:rsid w:val="4250579A"/>
    <w:rsid w:val="42507548"/>
    <w:rsid w:val="42512786"/>
    <w:rsid w:val="4251717A"/>
    <w:rsid w:val="42521512"/>
    <w:rsid w:val="42522E43"/>
    <w:rsid w:val="42523B7D"/>
    <w:rsid w:val="42530DE6"/>
    <w:rsid w:val="42531077"/>
    <w:rsid w:val="42532D0B"/>
    <w:rsid w:val="42533212"/>
    <w:rsid w:val="4253691F"/>
    <w:rsid w:val="42536DD7"/>
    <w:rsid w:val="42537038"/>
    <w:rsid w:val="4253743A"/>
    <w:rsid w:val="42545ED6"/>
    <w:rsid w:val="42545F83"/>
    <w:rsid w:val="42547CD2"/>
    <w:rsid w:val="42552DB0"/>
    <w:rsid w:val="4255316C"/>
    <w:rsid w:val="425533B8"/>
    <w:rsid w:val="42554B5E"/>
    <w:rsid w:val="425551D0"/>
    <w:rsid w:val="4255690C"/>
    <w:rsid w:val="425579B4"/>
    <w:rsid w:val="425608D6"/>
    <w:rsid w:val="42561F40"/>
    <w:rsid w:val="42562465"/>
    <w:rsid w:val="42562684"/>
    <w:rsid w:val="42562E6D"/>
    <w:rsid w:val="42563E10"/>
    <w:rsid w:val="425655C4"/>
    <w:rsid w:val="42565831"/>
    <w:rsid w:val="425702A2"/>
    <w:rsid w:val="42574C42"/>
    <w:rsid w:val="42576000"/>
    <w:rsid w:val="42576B28"/>
    <w:rsid w:val="425770C5"/>
    <w:rsid w:val="42581301"/>
    <w:rsid w:val="425863FC"/>
    <w:rsid w:val="42591843"/>
    <w:rsid w:val="42592487"/>
    <w:rsid w:val="425A0117"/>
    <w:rsid w:val="425A03C6"/>
    <w:rsid w:val="425A03EA"/>
    <w:rsid w:val="425A15CF"/>
    <w:rsid w:val="425A29C2"/>
    <w:rsid w:val="425A2B8A"/>
    <w:rsid w:val="425A4679"/>
    <w:rsid w:val="425A6618"/>
    <w:rsid w:val="425B1256"/>
    <w:rsid w:val="425B4067"/>
    <w:rsid w:val="425B67F2"/>
    <w:rsid w:val="425C0EBF"/>
    <w:rsid w:val="425C3259"/>
    <w:rsid w:val="425C413F"/>
    <w:rsid w:val="425C5EED"/>
    <w:rsid w:val="425D0913"/>
    <w:rsid w:val="425D168B"/>
    <w:rsid w:val="425D4606"/>
    <w:rsid w:val="425D6FDF"/>
    <w:rsid w:val="425D7EB7"/>
    <w:rsid w:val="425E4219"/>
    <w:rsid w:val="425E59DD"/>
    <w:rsid w:val="425F01CE"/>
    <w:rsid w:val="425F0F55"/>
    <w:rsid w:val="425F2679"/>
    <w:rsid w:val="425F3425"/>
    <w:rsid w:val="425F3C2F"/>
    <w:rsid w:val="425F3E9E"/>
    <w:rsid w:val="425F45DA"/>
    <w:rsid w:val="425F4EC2"/>
    <w:rsid w:val="425F778B"/>
    <w:rsid w:val="4260230D"/>
    <w:rsid w:val="42602DD4"/>
    <w:rsid w:val="426031AA"/>
    <w:rsid w:val="4261062D"/>
    <w:rsid w:val="42611CE4"/>
    <w:rsid w:val="42613AF4"/>
    <w:rsid w:val="42621029"/>
    <w:rsid w:val="426223B3"/>
    <w:rsid w:val="42622A68"/>
    <w:rsid w:val="42625F31"/>
    <w:rsid w:val="42627DDE"/>
    <w:rsid w:val="426315E8"/>
    <w:rsid w:val="42631B72"/>
    <w:rsid w:val="426349CA"/>
    <w:rsid w:val="42642FF3"/>
    <w:rsid w:val="426540F6"/>
    <w:rsid w:val="42660E9B"/>
    <w:rsid w:val="42665BBF"/>
    <w:rsid w:val="42665C3F"/>
    <w:rsid w:val="426660F8"/>
    <w:rsid w:val="426710B6"/>
    <w:rsid w:val="426717C8"/>
    <w:rsid w:val="42673F3F"/>
    <w:rsid w:val="42674891"/>
    <w:rsid w:val="426753B3"/>
    <w:rsid w:val="4267663F"/>
    <w:rsid w:val="4268065A"/>
    <w:rsid w:val="4269060A"/>
    <w:rsid w:val="42693C07"/>
    <w:rsid w:val="42694E8C"/>
    <w:rsid w:val="426954E9"/>
    <w:rsid w:val="42696074"/>
    <w:rsid w:val="426970D9"/>
    <w:rsid w:val="426A0ECE"/>
    <w:rsid w:val="426A54B1"/>
    <w:rsid w:val="426A65FF"/>
    <w:rsid w:val="426B25D4"/>
    <w:rsid w:val="426B34D5"/>
    <w:rsid w:val="426B442D"/>
    <w:rsid w:val="426B4F78"/>
    <w:rsid w:val="426C1EA8"/>
    <w:rsid w:val="426C3C56"/>
    <w:rsid w:val="426C6422"/>
    <w:rsid w:val="426C7D22"/>
    <w:rsid w:val="426D634C"/>
    <w:rsid w:val="426D7218"/>
    <w:rsid w:val="426D74C6"/>
    <w:rsid w:val="426D783C"/>
    <w:rsid w:val="426E0039"/>
    <w:rsid w:val="426E5C20"/>
    <w:rsid w:val="426E79CE"/>
    <w:rsid w:val="426F2FE4"/>
    <w:rsid w:val="426F5CD3"/>
    <w:rsid w:val="426F60F8"/>
    <w:rsid w:val="426F745B"/>
    <w:rsid w:val="426F77BC"/>
    <w:rsid w:val="42701998"/>
    <w:rsid w:val="4270329C"/>
    <w:rsid w:val="427059FD"/>
    <w:rsid w:val="427125E1"/>
    <w:rsid w:val="42721EA8"/>
    <w:rsid w:val="42723E87"/>
    <w:rsid w:val="427260E0"/>
    <w:rsid w:val="42731488"/>
    <w:rsid w:val="427316AF"/>
    <w:rsid w:val="4273316F"/>
    <w:rsid w:val="42734FE4"/>
    <w:rsid w:val="427369C4"/>
    <w:rsid w:val="427447C8"/>
    <w:rsid w:val="42750D5C"/>
    <w:rsid w:val="42755200"/>
    <w:rsid w:val="42761CB9"/>
    <w:rsid w:val="42764A3E"/>
    <w:rsid w:val="42770F78"/>
    <w:rsid w:val="42773149"/>
    <w:rsid w:val="427755DD"/>
    <w:rsid w:val="4277627D"/>
    <w:rsid w:val="427801E6"/>
    <w:rsid w:val="4278084D"/>
    <w:rsid w:val="42784CF1"/>
    <w:rsid w:val="427871AA"/>
    <w:rsid w:val="427918DD"/>
    <w:rsid w:val="42792413"/>
    <w:rsid w:val="42792C20"/>
    <w:rsid w:val="427A31E3"/>
    <w:rsid w:val="427A6373"/>
    <w:rsid w:val="427B20EB"/>
    <w:rsid w:val="427C033D"/>
    <w:rsid w:val="427C1E39"/>
    <w:rsid w:val="427C658F"/>
    <w:rsid w:val="427C66D9"/>
    <w:rsid w:val="427D1ADF"/>
    <w:rsid w:val="427D2039"/>
    <w:rsid w:val="427D6FBB"/>
    <w:rsid w:val="427E2AD7"/>
    <w:rsid w:val="427F1BDB"/>
    <w:rsid w:val="427F1D8C"/>
    <w:rsid w:val="427F21CE"/>
    <w:rsid w:val="427F607F"/>
    <w:rsid w:val="427F6E1C"/>
    <w:rsid w:val="4280593C"/>
    <w:rsid w:val="4280614C"/>
    <w:rsid w:val="4280722F"/>
    <w:rsid w:val="42807A19"/>
    <w:rsid w:val="42813107"/>
    <w:rsid w:val="4281324E"/>
    <w:rsid w:val="42815744"/>
    <w:rsid w:val="42815953"/>
    <w:rsid w:val="428165BC"/>
    <w:rsid w:val="42817701"/>
    <w:rsid w:val="42821A53"/>
    <w:rsid w:val="428232CC"/>
    <w:rsid w:val="42825CE2"/>
    <w:rsid w:val="428309D4"/>
    <w:rsid w:val="4283276F"/>
    <w:rsid w:val="428335BE"/>
    <w:rsid w:val="428337D2"/>
    <w:rsid w:val="428471F1"/>
    <w:rsid w:val="428533D4"/>
    <w:rsid w:val="42854A17"/>
    <w:rsid w:val="42854D59"/>
    <w:rsid w:val="4286052D"/>
    <w:rsid w:val="42860967"/>
    <w:rsid w:val="42862F6A"/>
    <w:rsid w:val="4286468F"/>
    <w:rsid w:val="42864DE2"/>
    <w:rsid w:val="4286740D"/>
    <w:rsid w:val="428745B9"/>
    <w:rsid w:val="42874EF2"/>
    <w:rsid w:val="42876033"/>
    <w:rsid w:val="42876706"/>
    <w:rsid w:val="428769CE"/>
    <w:rsid w:val="42876CE2"/>
    <w:rsid w:val="42884F34"/>
    <w:rsid w:val="42893B90"/>
    <w:rsid w:val="42895058"/>
    <w:rsid w:val="428A0BA1"/>
    <w:rsid w:val="428A2091"/>
    <w:rsid w:val="428A2B83"/>
    <w:rsid w:val="428A7859"/>
    <w:rsid w:val="428A7BAC"/>
    <w:rsid w:val="428B0472"/>
    <w:rsid w:val="428B0580"/>
    <w:rsid w:val="428B4190"/>
    <w:rsid w:val="428B42EF"/>
    <w:rsid w:val="428B4A24"/>
    <w:rsid w:val="428B7A13"/>
    <w:rsid w:val="428C60A6"/>
    <w:rsid w:val="428D1681"/>
    <w:rsid w:val="428D254A"/>
    <w:rsid w:val="428D48B2"/>
    <w:rsid w:val="428E0070"/>
    <w:rsid w:val="428F279F"/>
    <w:rsid w:val="4290079B"/>
    <w:rsid w:val="42900843"/>
    <w:rsid w:val="42903638"/>
    <w:rsid w:val="429053E8"/>
    <w:rsid w:val="42906DE7"/>
    <w:rsid w:val="4291098B"/>
    <w:rsid w:val="42912EC9"/>
    <w:rsid w:val="42916544"/>
    <w:rsid w:val="4291659D"/>
    <w:rsid w:val="4292190E"/>
    <w:rsid w:val="42923871"/>
    <w:rsid w:val="4292609A"/>
    <w:rsid w:val="429263DE"/>
    <w:rsid w:val="42927B60"/>
    <w:rsid w:val="42927E30"/>
    <w:rsid w:val="42932A7E"/>
    <w:rsid w:val="429338D8"/>
    <w:rsid w:val="42933DB2"/>
    <w:rsid w:val="42935686"/>
    <w:rsid w:val="42937435"/>
    <w:rsid w:val="42937FE3"/>
    <w:rsid w:val="429404A4"/>
    <w:rsid w:val="42940675"/>
    <w:rsid w:val="42942F33"/>
    <w:rsid w:val="42943FC6"/>
    <w:rsid w:val="429513FF"/>
    <w:rsid w:val="42951849"/>
    <w:rsid w:val="429531AD"/>
    <w:rsid w:val="42953641"/>
    <w:rsid w:val="429548D0"/>
    <w:rsid w:val="42956E37"/>
    <w:rsid w:val="4295770E"/>
    <w:rsid w:val="42967EA9"/>
    <w:rsid w:val="42972DB6"/>
    <w:rsid w:val="429733C9"/>
    <w:rsid w:val="4297362A"/>
    <w:rsid w:val="42975C91"/>
    <w:rsid w:val="42976E80"/>
    <w:rsid w:val="42976F25"/>
    <w:rsid w:val="42983BC3"/>
    <w:rsid w:val="42984A4B"/>
    <w:rsid w:val="42985496"/>
    <w:rsid w:val="42997141"/>
    <w:rsid w:val="42997C24"/>
    <w:rsid w:val="429A1263"/>
    <w:rsid w:val="429A1D6F"/>
    <w:rsid w:val="429A6A15"/>
    <w:rsid w:val="429A73BC"/>
    <w:rsid w:val="429B2544"/>
    <w:rsid w:val="429B7C9A"/>
    <w:rsid w:val="429C09DF"/>
    <w:rsid w:val="429D08A1"/>
    <w:rsid w:val="429E1F1A"/>
    <w:rsid w:val="429E219C"/>
    <w:rsid w:val="429E219E"/>
    <w:rsid w:val="429E2606"/>
    <w:rsid w:val="429E6839"/>
    <w:rsid w:val="429F21E7"/>
    <w:rsid w:val="429F227D"/>
    <w:rsid w:val="429F6E44"/>
    <w:rsid w:val="42A06C52"/>
    <w:rsid w:val="42A06DBF"/>
    <w:rsid w:val="42A0756D"/>
    <w:rsid w:val="42A11B51"/>
    <w:rsid w:val="42A15FF5"/>
    <w:rsid w:val="42A17571"/>
    <w:rsid w:val="42A177BF"/>
    <w:rsid w:val="42A17DA3"/>
    <w:rsid w:val="42A21D43"/>
    <w:rsid w:val="42A258CA"/>
    <w:rsid w:val="42A25C1F"/>
    <w:rsid w:val="42A27846"/>
    <w:rsid w:val="42A303B2"/>
    <w:rsid w:val="42A32018"/>
    <w:rsid w:val="42A338A7"/>
    <w:rsid w:val="42A33B1C"/>
    <w:rsid w:val="42A42166"/>
    <w:rsid w:val="42A42416"/>
    <w:rsid w:val="42A42CEC"/>
    <w:rsid w:val="42A43EE0"/>
    <w:rsid w:val="42A45AE6"/>
    <w:rsid w:val="42A45BFC"/>
    <w:rsid w:val="42A465D6"/>
    <w:rsid w:val="42A46F8D"/>
    <w:rsid w:val="42A47894"/>
    <w:rsid w:val="42A51566"/>
    <w:rsid w:val="42A52D17"/>
    <w:rsid w:val="42A6360C"/>
    <w:rsid w:val="42A639F8"/>
    <w:rsid w:val="42A653BA"/>
    <w:rsid w:val="42A65C8C"/>
    <w:rsid w:val="42A72293"/>
    <w:rsid w:val="42A74CC9"/>
    <w:rsid w:val="42A75B63"/>
    <w:rsid w:val="42A774A0"/>
    <w:rsid w:val="42A804A1"/>
    <w:rsid w:val="42A81132"/>
    <w:rsid w:val="42A8369B"/>
    <w:rsid w:val="42A836B8"/>
    <w:rsid w:val="42A84658"/>
    <w:rsid w:val="42A85C7E"/>
    <w:rsid w:val="42A85CB2"/>
    <w:rsid w:val="42A866F4"/>
    <w:rsid w:val="42A87384"/>
    <w:rsid w:val="42A90ECE"/>
    <w:rsid w:val="42A91B58"/>
    <w:rsid w:val="42A964CE"/>
    <w:rsid w:val="42A96C58"/>
    <w:rsid w:val="42AA7468"/>
    <w:rsid w:val="42AA7C7D"/>
    <w:rsid w:val="42AB0C22"/>
    <w:rsid w:val="42AB29D0"/>
    <w:rsid w:val="42AB6E74"/>
    <w:rsid w:val="42AC47E3"/>
    <w:rsid w:val="42AC4C0A"/>
    <w:rsid w:val="42AC5C85"/>
    <w:rsid w:val="42AD0DED"/>
    <w:rsid w:val="42AD28C4"/>
    <w:rsid w:val="42AD2986"/>
    <w:rsid w:val="42AD499A"/>
    <w:rsid w:val="42AD52B2"/>
    <w:rsid w:val="42AD6C5D"/>
    <w:rsid w:val="42AE0712"/>
    <w:rsid w:val="42AE24C0"/>
    <w:rsid w:val="42AE464F"/>
    <w:rsid w:val="42AF1A25"/>
    <w:rsid w:val="42B05700"/>
    <w:rsid w:val="42B061E8"/>
    <w:rsid w:val="42B06238"/>
    <w:rsid w:val="42B06638"/>
    <w:rsid w:val="42B14564"/>
    <w:rsid w:val="42B1476A"/>
    <w:rsid w:val="42B15B0D"/>
    <w:rsid w:val="42B17F68"/>
    <w:rsid w:val="42B20202"/>
    <w:rsid w:val="42B272F4"/>
    <w:rsid w:val="42B311B0"/>
    <w:rsid w:val="42B314E1"/>
    <w:rsid w:val="42B31885"/>
    <w:rsid w:val="42B3247E"/>
    <w:rsid w:val="42B32E0B"/>
    <w:rsid w:val="42B37AD7"/>
    <w:rsid w:val="42B4482C"/>
    <w:rsid w:val="42B44C7C"/>
    <w:rsid w:val="42B45D29"/>
    <w:rsid w:val="42B51968"/>
    <w:rsid w:val="42B51AA1"/>
    <w:rsid w:val="42B51B53"/>
    <w:rsid w:val="42B52091"/>
    <w:rsid w:val="42B5384F"/>
    <w:rsid w:val="42B53A9D"/>
    <w:rsid w:val="42B54E0E"/>
    <w:rsid w:val="42B555FD"/>
    <w:rsid w:val="42B613F1"/>
    <w:rsid w:val="42B6252B"/>
    <w:rsid w:val="42B71C89"/>
    <w:rsid w:val="42B72A57"/>
    <w:rsid w:val="42B73743"/>
    <w:rsid w:val="42B75819"/>
    <w:rsid w:val="42B775C7"/>
    <w:rsid w:val="42B77C03"/>
    <w:rsid w:val="42B82446"/>
    <w:rsid w:val="42B8468D"/>
    <w:rsid w:val="42B850ED"/>
    <w:rsid w:val="42B9180B"/>
    <w:rsid w:val="42B933A9"/>
    <w:rsid w:val="42B9408F"/>
    <w:rsid w:val="42B95ACD"/>
    <w:rsid w:val="42B9763D"/>
    <w:rsid w:val="42B97995"/>
    <w:rsid w:val="42B97ABB"/>
    <w:rsid w:val="42BA0701"/>
    <w:rsid w:val="42BA0E65"/>
    <w:rsid w:val="42BA3E29"/>
    <w:rsid w:val="42BB1537"/>
    <w:rsid w:val="42BB30EF"/>
    <w:rsid w:val="42BB53B3"/>
    <w:rsid w:val="42BC43DB"/>
    <w:rsid w:val="42BC5E32"/>
    <w:rsid w:val="42BD2703"/>
    <w:rsid w:val="42BD7F31"/>
    <w:rsid w:val="42BE0955"/>
    <w:rsid w:val="42BE21D9"/>
    <w:rsid w:val="42BE324C"/>
    <w:rsid w:val="42BE58DE"/>
    <w:rsid w:val="42BF5218"/>
    <w:rsid w:val="42BF5744"/>
    <w:rsid w:val="42BF647C"/>
    <w:rsid w:val="42BF6DCA"/>
    <w:rsid w:val="42C02BD0"/>
    <w:rsid w:val="42C02CF4"/>
    <w:rsid w:val="42C039F3"/>
    <w:rsid w:val="42C04A79"/>
    <w:rsid w:val="42C0564B"/>
    <w:rsid w:val="42C05D49"/>
    <w:rsid w:val="42C10218"/>
    <w:rsid w:val="42C13750"/>
    <w:rsid w:val="42C13FA2"/>
    <w:rsid w:val="42C14806"/>
    <w:rsid w:val="42C1591B"/>
    <w:rsid w:val="42C24431"/>
    <w:rsid w:val="42C2790E"/>
    <w:rsid w:val="42C302C0"/>
    <w:rsid w:val="42C302CC"/>
    <w:rsid w:val="42C341BE"/>
    <w:rsid w:val="42C35F6C"/>
    <w:rsid w:val="42C417CD"/>
    <w:rsid w:val="42C41CE4"/>
    <w:rsid w:val="42C45840"/>
    <w:rsid w:val="42C45867"/>
    <w:rsid w:val="42C53845"/>
    <w:rsid w:val="42C57F36"/>
    <w:rsid w:val="42C6587F"/>
    <w:rsid w:val="42C65A5C"/>
    <w:rsid w:val="42C75A8F"/>
    <w:rsid w:val="42C76941"/>
    <w:rsid w:val="42C76D1B"/>
    <w:rsid w:val="42C81561"/>
    <w:rsid w:val="42C83582"/>
    <w:rsid w:val="42C83ACC"/>
    <w:rsid w:val="42C83DCA"/>
    <w:rsid w:val="42C85C77"/>
    <w:rsid w:val="42C85CDB"/>
    <w:rsid w:val="42C86804"/>
    <w:rsid w:val="42C90487"/>
    <w:rsid w:val="42C925F1"/>
    <w:rsid w:val="42C927DF"/>
    <w:rsid w:val="42C972FA"/>
    <w:rsid w:val="42CA15C4"/>
    <w:rsid w:val="42CA554C"/>
    <w:rsid w:val="42CB1976"/>
    <w:rsid w:val="42CB4D6F"/>
    <w:rsid w:val="42CB7AC3"/>
    <w:rsid w:val="42CB7EE2"/>
    <w:rsid w:val="42CC3CF1"/>
    <w:rsid w:val="42CC4714"/>
    <w:rsid w:val="42CC4E57"/>
    <w:rsid w:val="42CC6A8D"/>
    <w:rsid w:val="42CC7312"/>
    <w:rsid w:val="42CD2DB2"/>
    <w:rsid w:val="42CD3E6F"/>
    <w:rsid w:val="42CD46F7"/>
    <w:rsid w:val="42CD57D8"/>
    <w:rsid w:val="42CD6DEA"/>
    <w:rsid w:val="42CE0BA2"/>
    <w:rsid w:val="42CE1020"/>
    <w:rsid w:val="42CE4911"/>
    <w:rsid w:val="42CE66BF"/>
    <w:rsid w:val="42CE7A13"/>
    <w:rsid w:val="42CF2B62"/>
    <w:rsid w:val="42CF565D"/>
    <w:rsid w:val="42CF707C"/>
    <w:rsid w:val="42D02437"/>
    <w:rsid w:val="42D028C4"/>
    <w:rsid w:val="42D072AC"/>
    <w:rsid w:val="42D07CF3"/>
    <w:rsid w:val="42D13D54"/>
    <w:rsid w:val="42D214DC"/>
    <w:rsid w:val="42D31245"/>
    <w:rsid w:val="42D31F27"/>
    <w:rsid w:val="42D33CD5"/>
    <w:rsid w:val="42D36F8C"/>
    <w:rsid w:val="42D37DB5"/>
    <w:rsid w:val="42D41BE6"/>
    <w:rsid w:val="42D41E73"/>
    <w:rsid w:val="42D43920"/>
    <w:rsid w:val="42D44852"/>
    <w:rsid w:val="42D523AE"/>
    <w:rsid w:val="42D53B65"/>
    <w:rsid w:val="42D5417C"/>
    <w:rsid w:val="42D55C9F"/>
    <w:rsid w:val="42D56A50"/>
    <w:rsid w:val="42D67FA7"/>
    <w:rsid w:val="42D71A17"/>
    <w:rsid w:val="42D737C5"/>
    <w:rsid w:val="42D75573"/>
    <w:rsid w:val="42D76A08"/>
    <w:rsid w:val="42D77C69"/>
    <w:rsid w:val="42D81056"/>
    <w:rsid w:val="42D83C37"/>
    <w:rsid w:val="42D85BCA"/>
    <w:rsid w:val="42D90C1F"/>
    <w:rsid w:val="42D917DC"/>
    <w:rsid w:val="42D94E5B"/>
    <w:rsid w:val="42D95503"/>
    <w:rsid w:val="42D9578F"/>
    <w:rsid w:val="42D96B3D"/>
    <w:rsid w:val="42DA1507"/>
    <w:rsid w:val="42DA3976"/>
    <w:rsid w:val="42DB3787"/>
    <w:rsid w:val="42DB3A2A"/>
    <w:rsid w:val="42DC1196"/>
    <w:rsid w:val="42DC6B92"/>
    <w:rsid w:val="42DC6E59"/>
    <w:rsid w:val="42DC702D"/>
    <w:rsid w:val="42DD3A38"/>
    <w:rsid w:val="42DD6902"/>
    <w:rsid w:val="42DE0102"/>
    <w:rsid w:val="42DE0FF8"/>
    <w:rsid w:val="42DE2F4F"/>
    <w:rsid w:val="42DE4B54"/>
    <w:rsid w:val="42DF18A9"/>
    <w:rsid w:val="42DF267A"/>
    <w:rsid w:val="42DF2EF0"/>
    <w:rsid w:val="42DF5F88"/>
    <w:rsid w:val="42DF66FE"/>
    <w:rsid w:val="42E01643"/>
    <w:rsid w:val="42E102FD"/>
    <w:rsid w:val="42E1252C"/>
    <w:rsid w:val="42E12896"/>
    <w:rsid w:val="42E14644"/>
    <w:rsid w:val="42E147C0"/>
    <w:rsid w:val="42E15DBB"/>
    <w:rsid w:val="42E15F36"/>
    <w:rsid w:val="42E162F3"/>
    <w:rsid w:val="42E163F2"/>
    <w:rsid w:val="42E16D40"/>
    <w:rsid w:val="42E20AA0"/>
    <w:rsid w:val="42E22E09"/>
    <w:rsid w:val="42E23248"/>
    <w:rsid w:val="42E25935"/>
    <w:rsid w:val="42E303BC"/>
    <w:rsid w:val="42E306EC"/>
    <w:rsid w:val="42E32228"/>
    <w:rsid w:val="42E32F41"/>
    <w:rsid w:val="42E3660E"/>
    <w:rsid w:val="42E40DE3"/>
    <w:rsid w:val="42E426A6"/>
    <w:rsid w:val="42E427B3"/>
    <w:rsid w:val="42E5105F"/>
    <w:rsid w:val="42E53271"/>
    <w:rsid w:val="42E54C4D"/>
    <w:rsid w:val="42E5619A"/>
    <w:rsid w:val="42E56E10"/>
    <w:rsid w:val="42E60103"/>
    <w:rsid w:val="42E61C5A"/>
    <w:rsid w:val="42E63277"/>
    <w:rsid w:val="42E73E0F"/>
    <w:rsid w:val="42E7499C"/>
    <w:rsid w:val="42E75F7A"/>
    <w:rsid w:val="42E77168"/>
    <w:rsid w:val="42E82F6F"/>
    <w:rsid w:val="42E8343C"/>
    <w:rsid w:val="42E83C24"/>
    <w:rsid w:val="42E84A33"/>
    <w:rsid w:val="42E859D2"/>
    <w:rsid w:val="42E8618A"/>
    <w:rsid w:val="42E86420"/>
    <w:rsid w:val="42E877A6"/>
    <w:rsid w:val="42E9027E"/>
    <w:rsid w:val="42E9039A"/>
    <w:rsid w:val="42E91151"/>
    <w:rsid w:val="42E934F8"/>
    <w:rsid w:val="42EA174A"/>
    <w:rsid w:val="42EA3374"/>
    <w:rsid w:val="42EA48FB"/>
    <w:rsid w:val="42EA51B1"/>
    <w:rsid w:val="42EB101F"/>
    <w:rsid w:val="42EB4527"/>
    <w:rsid w:val="42EB54C2"/>
    <w:rsid w:val="42EB7271"/>
    <w:rsid w:val="42EC19ED"/>
    <w:rsid w:val="42EC5AE6"/>
    <w:rsid w:val="42ED123B"/>
    <w:rsid w:val="42ED2EAA"/>
    <w:rsid w:val="42ED352D"/>
    <w:rsid w:val="42ED4D97"/>
    <w:rsid w:val="42ED756C"/>
    <w:rsid w:val="42ED7A07"/>
    <w:rsid w:val="42EE030A"/>
    <w:rsid w:val="42EE0B0F"/>
    <w:rsid w:val="42EE539F"/>
    <w:rsid w:val="42EE5E4D"/>
    <w:rsid w:val="42EF0898"/>
    <w:rsid w:val="42EF245B"/>
    <w:rsid w:val="42EF2A41"/>
    <w:rsid w:val="42EF31B0"/>
    <w:rsid w:val="42EF4FB3"/>
    <w:rsid w:val="42EF5DC0"/>
    <w:rsid w:val="42EF6D61"/>
    <w:rsid w:val="42F006E7"/>
    <w:rsid w:val="42F0076D"/>
    <w:rsid w:val="42F03A76"/>
    <w:rsid w:val="42F066CF"/>
    <w:rsid w:val="42F114A1"/>
    <w:rsid w:val="42F1180C"/>
    <w:rsid w:val="42F14AC7"/>
    <w:rsid w:val="42F16811"/>
    <w:rsid w:val="42F17A2A"/>
    <w:rsid w:val="42F205FF"/>
    <w:rsid w:val="42F206F4"/>
    <w:rsid w:val="42F208C9"/>
    <w:rsid w:val="42F223AD"/>
    <w:rsid w:val="42F2318C"/>
    <w:rsid w:val="42F25A6B"/>
    <w:rsid w:val="42F25EA9"/>
    <w:rsid w:val="42F3082F"/>
    <w:rsid w:val="42F35C5E"/>
    <w:rsid w:val="42F36125"/>
    <w:rsid w:val="42F425C9"/>
    <w:rsid w:val="42F46237"/>
    <w:rsid w:val="42F4630E"/>
    <w:rsid w:val="42F47256"/>
    <w:rsid w:val="42F53254"/>
    <w:rsid w:val="42F60F53"/>
    <w:rsid w:val="42F72822"/>
    <w:rsid w:val="42F779C3"/>
    <w:rsid w:val="42F81102"/>
    <w:rsid w:val="42F83689"/>
    <w:rsid w:val="42F87242"/>
    <w:rsid w:val="42F9198D"/>
    <w:rsid w:val="42F91AD0"/>
    <w:rsid w:val="42F9315E"/>
    <w:rsid w:val="42F96044"/>
    <w:rsid w:val="42FA2E4D"/>
    <w:rsid w:val="42FA42A8"/>
    <w:rsid w:val="42FA43F0"/>
    <w:rsid w:val="42FA5B31"/>
    <w:rsid w:val="42FA72CF"/>
    <w:rsid w:val="42FB0EA4"/>
    <w:rsid w:val="42FC07D9"/>
    <w:rsid w:val="42FC1001"/>
    <w:rsid w:val="42FC147E"/>
    <w:rsid w:val="42FC24CB"/>
    <w:rsid w:val="42FC28F0"/>
    <w:rsid w:val="42FC322C"/>
    <w:rsid w:val="42FC76D0"/>
    <w:rsid w:val="42FC7B8A"/>
    <w:rsid w:val="42FC7E57"/>
    <w:rsid w:val="42FD0171"/>
    <w:rsid w:val="42FD18E1"/>
    <w:rsid w:val="42FD3334"/>
    <w:rsid w:val="42FD3F92"/>
    <w:rsid w:val="42FD662C"/>
    <w:rsid w:val="42FD7741"/>
    <w:rsid w:val="42FE0C24"/>
    <w:rsid w:val="42FE0D52"/>
    <w:rsid w:val="42FE3DBB"/>
    <w:rsid w:val="42FE4C26"/>
    <w:rsid w:val="42FE4F4C"/>
    <w:rsid w:val="42FE51F6"/>
    <w:rsid w:val="42FE5942"/>
    <w:rsid w:val="42FE6179"/>
    <w:rsid w:val="42FE67E9"/>
    <w:rsid w:val="42FE6FA4"/>
    <w:rsid w:val="42FF2D1C"/>
    <w:rsid w:val="42FF450A"/>
    <w:rsid w:val="42FF4AC9"/>
    <w:rsid w:val="42FF6DD2"/>
    <w:rsid w:val="430105B2"/>
    <w:rsid w:val="43010842"/>
    <w:rsid w:val="43013449"/>
    <w:rsid w:val="430141DD"/>
    <w:rsid w:val="43014CE6"/>
    <w:rsid w:val="43016274"/>
    <w:rsid w:val="43016A94"/>
    <w:rsid w:val="4301712B"/>
    <w:rsid w:val="430242C3"/>
    <w:rsid w:val="43024327"/>
    <w:rsid w:val="43025063"/>
    <w:rsid w:val="430254C8"/>
    <w:rsid w:val="43026540"/>
    <w:rsid w:val="43030A5E"/>
    <w:rsid w:val="43032783"/>
    <w:rsid w:val="4303280C"/>
    <w:rsid w:val="43032935"/>
    <w:rsid w:val="43032AE0"/>
    <w:rsid w:val="43034564"/>
    <w:rsid w:val="43040FB1"/>
    <w:rsid w:val="43046206"/>
    <w:rsid w:val="43046A02"/>
    <w:rsid w:val="4304710C"/>
    <w:rsid w:val="430473E0"/>
    <w:rsid w:val="430479E8"/>
    <w:rsid w:val="4305580B"/>
    <w:rsid w:val="43056584"/>
    <w:rsid w:val="43060225"/>
    <w:rsid w:val="43061595"/>
    <w:rsid w:val="430622FC"/>
    <w:rsid w:val="43074499"/>
    <w:rsid w:val="43077955"/>
    <w:rsid w:val="430779E2"/>
    <w:rsid w:val="43086074"/>
    <w:rsid w:val="43086156"/>
    <w:rsid w:val="430902B0"/>
    <w:rsid w:val="43092122"/>
    <w:rsid w:val="43092A55"/>
    <w:rsid w:val="43093E7A"/>
    <w:rsid w:val="43095949"/>
    <w:rsid w:val="430965A8"/>
    <w:rsid w:val="430976F7"/>
    <w:rsid w:val="43097725"/>
    <w:rsid w:val="430A1FCC"/>
    <w:rsid w:val="430A2572"/>
    <w:rsid w:val="430A3B9B"/>
    <w:rsid w:val="430A62DC"/>
    <w:rsid w:val="430B0BF9"/>
    <w:rsid w:val="430B16C1"/>
    <w:rsid w:val="430B346F"/>
    <w:rsid w:val="430B370A"/>
    <w:rsid w:val="430B5375"/>
    <w:rsid w:val="430B6487"/>
    <w:rsid w:val="430B7913"/>
    <w:rsid w:val="430C0762"/>
    <w:rsid w:val="430C6805"/>
    <w:rsid w:val="430D0117"/>
    <w:rsid w:val="430D10C0"/>
    <w:rsid w:val="430D13D6"/>
    <w:rsid w:val="430D18D1"/>
    <w:rsid w:val="430D71E7"/>
    <w:rsid w:val="430E2866"/>
    <w:rsid w:val="430E38C4"/>
    <w:rsid w:val="430E54C5"/>
    <w:rsid w:val="430F11B1"/>
    <w:rsid w:val="430F2F5F"/>
    <w:rsid w:val="430F3CF6"/>
    <w:rsid w:val="43102164"/>
    <w:rsid w:val="43104F29"/>
    <w:rsid w:val="43106CD7"/>
    <w:rsid w:val="43107B7E"/>
    <w:rsid w:val="43111E91"/>
    <w:rsid w:val="43120CA1"/>
    <w:rsid w:val="43122A4F"/>
    <w:rsid w:val="4312748A"/>
    <w:rsid w:val="43132791"/>
    <w:rsid w:val="43135E3A"/>
    <w:rsid w:val="4313736D"/>
    <w:rsid w:val="43137CC2"/>
    <w:rsid w:val="43140575"/>
    <w:rsid w:val="43141C75"/>
    <w:rsid w:val="43144A19"/>
    <w:rsid w:val="431467C7"/>
    <w:rsid w:val="43151CB7"/>
    <w:rsid w:val="431520FF"/>
    <w:rsid w:val="43152739"/>
    <w:rsid w:val="43153F62"/>
    <w:rsid w:val="431542ED"/>
    <w:rsid w:val="431679F2"/>
    <w:rsid w:val="43171E14"/>
    <w:rsid w:val="43172D51"/>
    <w:rsid w:val="43173091"/>
    <w:rsid w:val="43175EE3"/>
    <w:rsid w:val="43180823"/>
    <w:rsid w:val="43181013"/>
    <w:rsid w:val="43182BCF"/>
    <w:rsid w:val="431845D3"/>
    <w:rsid w:val="431851DB"/>
    <w:rsid w:val="43186767"/>
    <w:rsid w:val="43192030"/>
    <w:rsid w:val="431931A3"/>
    <w:rsid w:val="4319335E"/>
    <w:rsid w:val="43193D3C"/>
    <w:rsid w:val="43193E49"/>
    <w:rsid w:val="4319699A"/>
    <w:rsid w:val="43196AC5"/>
    <w:rsid w:val="43196E92"/>
    <w:rsid w:val="431971A6"/>
    <w:rsid w:val="431A34CC"/>
    <w:rsid w:val="431A364C"/>
    <w:rsid w:val="431A39DA"/>
    <w:rsid w:val="431A7B56"/>
    <w:rsid w:val="431B4E6A"/>
    <w:rsid w:val="431C1B20"/>
    <w:rsid w:val="431C38CE"/>
    <w:rsid w:val="431C4FBA"/>
    <w:rsid w:val="431C5999"/>
    <w:rsid w:val="431C742A"/>
    <w:rsid w:val="431C7B8E"/>
    <w:rsid w:val="431D21A5"/>
    <w:rsid w:val="431D5C0E"/>
    <w:rsid w:val="431D617E"/>
    <w:rsid w:val="431D76F4"/>
    <w:rsid w:val="431E06AB"/>
    <w:rsid w:val="431E13F4"/>
    <w:rsid w:val="431E31A2"/>
    <w:rsid w:val="431E49E0"/>
    <w:rsid w:val="431E58FA"/>
    <w:rsid w:val="431E783E"/>
    <w:rsid w:val="431F42F8"/>
    <w:rsid w:val="431F61E4"/>
    <w:rsid w:val="431F688C"/>
    <w:rsid w:val="431F6F1A"/>
    <w:rsid w:val="43200E74"/>
    <w:rsid w:val="432033BE"/>
    <w:rsid w:val="43204B83"/>
    <w:rsid w:val="432050DB"/>
    <w:rsid w:val="43210EE4"/>
    <w:rsid w:val="43212C92"/>
    <w:rsid w:val="43213DC6"/>
    <w:rsid w:val="43217136"/>
    <w:rsid w:val="43222DDF"/>
    <w:rsid w:val="43226C44"/>
    <w:rsid w:val="432342ED"/>
    <w:rsid w:val="43234C5C"/>
    <w:rsid w:val="43236A0A"/>
    <w:rsid w:val="43243546"/>
    <w:rsid w:val="43244531"/>
    <w:rsid w:val="43246774"/>
    <w:rsid w:val="43246CA8"/>
    <w:rsid w:val="43251CFB"/>
    <w:rsid w:val="43252F11"/>
    <w:rsid w:val="43252F92"/>
    <w:rsid w:val="43254831"/>
    <w:rsid w:val="43254A32"/>
    <w:rsid w:val="4326011C"/>
    <w:rsid w:val="432602A9"/>
    <w:rsid w:val="43261F7C"/>
    <w:rsid w:val="43263C03"/>
    <w:rsid w:val="43264109"/>
    <w:rsid w:val="4326474D"/>
    <w:rsid w:val="43266313"/>
    <w:rsid w:val="432664FB"/>
    <w:rsid w:val="432731BC"/>
    <w:rsid w:val="43276F7F"/>
    <w:rsid w:val="432776DF"/>
    <w:rsid w:val="432808CB"/>
    <w:rsid w:val="43282273"/>
    <w:rsid w:val="43284021"/>
    <w:rsid w:val="43284449"/>
    <w:rsid w:val="432917A8"/>
    <w:rsid w:val="43291B47"/>
    <w:rsid w:val="43293EE4"/>
    <w:rsid w:val="432940F0"/>
    <w:rsid w:val="43295A50"/>
    <w:rsid w:val="43295FC3"/>
    <w:rsid w:val="432A38CD"/>
    <w:rsid w:val="432A5FEB"/>
    <w:rsid w:val="432A7D99"/>
    <w:rsid w:val="432B01BD"/>
    <w:rsid w:val="432B06DA"/>
    <w:rsid w:val="432B0C7F"/>
    <w:rsid w:val="432B1D63"/>
    <w:rsid w:val="432B35CB"/>
    <w:rsid w:val="432B3B11"/>
    <w:rsid w:val="432B495E"/>
    <w:rsid w:val="432B6170"/>
    <w:rsid w:val="432B75F6"/>
    <w:rsid w:val="432C2148"/>
    <w:rsid w:val="432C2862"/>
    <w:rsid w:val="432C3464"/>
    <w:rsid w:val="432D1637"/>
    <w:rsid w:val="432D27DF"/>
    <w:rsid w:val="432D5CA7"/>
    <w:rsid w:val="432D67AE"/>
    <w:rsid w:val="432E2691"/>
    <w:rsid w:val="432E353B"/>
    <w:rsid w:val="432E3B02"/>
    <w:rsid w:val="432E715D"/>
    <w:rsid w:val="432F0C50"/>
    <w:rsid w:val="432F53AF"/>
    <w:rsid w:val="43302ED5"/>
    <w:rsid w:val="43303CB2"/>
    <w:rsid w:val="433070AC"/>
    <w:rsid w:val="4331074A"/>
    <w:rsid w:val="43311447"/>
    <w:rsid w:val="43313174"/>
    <w:rsid w:val="43314421"/>
    <w:rsid w:val="43315D2E"/>
    <w:rsid w:val="4332020F"/>
    <w:rsid w:val="43320646"/>
    <w:rsid w:val="43321810"/>
    <w:rsid w:val="43321CBB"/>
    <w:rsid w:val="433230F1"/>
    <w:rsid w:val="43324E9F"/>
    <w:rsid w:val="433264A9"/>
    <w:rsid w:val="43331712"/>
    <w:rsid w:val="43332A55"/>
    <w:rsid w:val="43333B4D"/>
    <w:rsid w:val="43335DA1"/>
    <w:rsid w:val="43340C18"/>
    <w:rsid w:val="433417B7"/>
    <w:rsid w:val="433429C6"/>
    <w:rsid w:val="43344300"/>
    <w:rsid w:val="43344580"/>
    <w:rsid w:val="43346E69"/>
    <w:rsid w:val="43347E28"/>
    <w:rsid w:val="433504EC"/>
    <w:rsid w:val="43352A1C"/>
    <w:rsid w:val="43355A10"/>
    <w:rsid w:val="43356E10"/>
    <w:rsid w:val="43362BE2"/>
    <w:rsid w:val="433633DA"/>
    <w:rsid w:val="43364990"/>
    <w:rsid w:val="43364DD3"/>
    <w:rsid w:val="433650FD"/>
    <w:rsid w:val="433724B6"/>
    <w:rsid w:val="43372F01"/>
    <w:rsid w:val="4337422D"/>
    <w:rsid w:val="43374642"/>
    <w:rsid w:val="43374D50"/>
    <w:rsid w:val="43377DD8"/>
    <w:rsid w:val="43380A35"/>
    <w:rsid w:val="433848E7"/>
    <w:rsid w:val="433903B5"/>
    <w:rsid w:val="433907B2"/>
    <w:rsid w:val="4339175D"/>
    <w:rsid w:val="43394480"/>
    <w:rsid w:val="4339622E"/>
    <w:rsid w:val="43396F62"/>
    <w:rsid w:val="43397FDD"/>
    <w:rsid w:val="433A1687"/>
    <w:rsid w:val="433A2FC3"/>
    <w:rsid w:val="433A3653"/>
    <w:rsid w:val="433A5ACC"/>
    <w:rsid w:val="433A64EE"/>
    <w:rsid w:val="433B2F58"/>
    <w:rsid w:val="433B55EE"/>
    <w:rsid w:val="433B79D8"/>
    <w:rsid w:val="433C73D4"/>
    <w:rsid w:val="433C7ACC"/>
    <w:rsid w:val="433C7B83"/>
    <w:rsid w:val="433D023C"/>
    <w:rsid w:val="433D33CA"/>
    <w:rsid w:val="433D42B1"/>
    <w:rsid w:val="433D5485"/>
    <w:rsid w:val="433E234F"/>
    <w:rsid w:val="433E762E"/>
    <w:rsid w:val="433F6A81"/>
    <w:rsid w:val="43401EBE"/>
    <w:rsid w:val="43402366"/>
    <w:rsid w:val="43403099"/>
    <w:rsid w:val="4340580E"/>
    <w:rsid w:val="43411A67"/>
    <w:rsid w:val="43413C2A"/>
    <w:rsid w:val="434150E2"/>
    <w:rsid w:val="43421586"/>
    <w:rsid w:val="43421755"/>
    <w:rsid w:val="43424036"/>
    <w:rsid w:val="43430E5B"/>
    <w:rsid w:val="43432013"/>
    <w:rsid w:val="43432BE5"/>
    <w:rsid w:val="43432C09"/>
    <w:rsid w:val="434370AD"/>
    <w:rsid w:val="43441492"/>
    <w:rsid w:val="434427B2"/>
    <w:rsid w:val="43444EC8"/>
    <w:rsid w:val="43447C43"/>
    <w:rsid w:val="43452993"/>
    <w:rsid w:val="43452E25"/>
    <w:rsid w:val="43454BD3"/>
    <w:rsid w:val="43455505"/>
    <w:rsid w:val="43456849"/>
    <w:rsid w:val="43456981"/>
    <w:rsid w:val="434578C4"/>
    <w:rsid w:val="4346094B"/>
    <w:rsid w:val="43461566"/>
    <w:rsid w:val="434626F9"/>
    <w:rsid w:val="434644E9"/>
    <w:rsid w:val="43465B24"/>
    <w:rsid w:val="434668E8"/>
    <w:rsid w:val="4347073B"/>
    <w:rsid w:val="43476B9D"/>
    <w:rsid w:val="43480109"/>
    <w:rsid w:val="4348021F"/>
    <w:rsid w:val="43481D0B"/>
    <w:rsid w:val="43482915"/>
    <w:rsid w:val="43482B9E"/>
    <w:rsid w:val="4348343B"/>
    <w:rsid w:val="43483E86"/>
    <w:rsid w:val="434846C3"/>
    <w:rsid w:val="43486471"/>
    <w:rsid w:val="43491B2E"/>
    <w:rsid w:val="43495467"/>
    <w:rsid w:val="434972B8"/>
    <w:rsid w:val="434A3F97"/>
    <w:rsid w:val="434A7B09"/>
    <w:rsid w:val="434B1691"/>
    <w:rsid w:val="434B1A52"/>
    <w:rsid w:val="434B3A0D"/>
    <w:rsid w:val="434B6E06"/>
    <w:rsid w:val="434B7D08"/>
    <w:rsid w:val="434C15A3"/>
    <w:rsid w:val="434C2351"/>
    <w:rsid w:val="434C281A"/>
    <w:rsid w:val="434C6F3D"/>
    <w:rsid w:val="434C7B0E"/>
    <w:rsid w:val="434D1CD9"/>
    <w:rsid w:val="434D6868"/>
    <w:rsid w:val="434D7F2B"/>
    <w:rsid w:val="434E154C"/>
    <w:rsid w:val="434E5B41"/>
    <w:rsid w:val="434E6F8C"/>
    <w:rsid w:val="434E7CF8"/>
    <w:rsid w:val="434F0467"/>
    <w:rsid w:val="434F1705"/>
    <w:rsid w:val="434F77FF"/>
    <w:rsid w:val="43502618"/>
    <w:rsid w:val="43503578"/>
    <w:rsid w:val="43505235"/>
    <w:rsid w:val="435066A9"/>
    <w:rsid w:val="43512E02"/>
    <w:rsid w:val="43514D7B"/>
    <w:rsid w:val="43515CE6"/>
    <w:rsid w:val="43516679"/>
    <w:rsid w:val="4352109E"/>
    <w:rsid w:val="43525542"/>
    <w:rsid w:val="435272F0"/>
    <w:rsid w:val="4353535C"/>
    <w:rsid w:val="435412BA"/>
    <w:rsid w:val="43544E16"/>
    <w:rsid w:val="43546DE3"/>
    <w:rsid w:val="435506B7"/>
    <w:rsid w:val="43550A94"/>
    <w:rsid w:val="43550BD5"/>
    <w:rsid w:val="4355149D"/>
    <w:rsid w:val="4355293C"/>
    <w:rsid w:val="43553FDB"/>
    <w:rsid w:val="43555583"/>
    <w:rsid w:val="43560B8E"/>
    <w:rsid w:val="4356276E"/>
    <w:rsid w:val="43562841"/>
    <w:rsid w:val="43566DE0"/>
    <w:rsid w:val="4356791A"/>
    <w:rsid w:val="43567B36"/>
    <w:rsid w:val="43570AB7"/>
    <w:rsid w:val="43574906"/>
    <w:rsid w:val="43574F9E"/>
    <w:rsid w:val="43576344"/>
    <w:rsid w:val="435766B4"/>
    <w:rsid w:val="4358397B"/>
    <w:rsid w:val="4359242C"/>
    <w:rsid w:val="43594E0B"/>
    <w:rsid w:val="4359641F"/>
    <w:rsid w:val="435A6061"/>
    <w:rsid w:val="435A7F52"/>
    <w:rsid w:val="435B1214"/>
    <w:rsid w:val="435B1A11"/>
    <w:rsid w:val="435B43F6"/>
    <w:rsid w:val="435C1559"/>
    <w:rsid w:val="435C3CCA"/>
    <w:rsid w:val="435C4EED"/>
    <w:rsid w:val="435C6249"/>
    <w:rsid w:val="435D158A"/>
    <w:rsid w:val="435D1D4A"/>
    <w:rsid w:val="435D3457"/>
    <w:rsid w:val="435D4C10"/>
    <w:rsid w:val="435D4C1C"/>
    <w:rsid w:val="435D53C6"/>
    <w:rsid w:val="435D635D"/>
    <w:rsid w:val="435D6DD6"/>
    <w:rsid w:val="435D760A"/>
    <w:rsid w:val="435E1DDF"/>
    <w:rsid w:val="435E3EE6"/>
    <w:rsid w:val="435E5C94"/>
    <w:rsid w:val="435E729B"/>
    <w:rsid w:val="435E7881"/>
    <w:rsid w:val="435F6B5B"/>
    <w:rsid w:val="435F72B8"/>
    <w:rsid w:val="43601A0D"/>
    <w:rsid w:val="4360210D"/>
    <w:rsid w:val="4360359D"/>
    <w:rsid w:val="436037BB"/>
    <w:rsid w:val="43610766"/>
    <w:rsid w:val="436109A0"/>
    <w:rsid w:val="43613547"/>
    <w:rsid w:val="43617533"/>
    <w:rsid w:val="4362368B"/>
    <w:rsid w:val="436314FD"/>
    <w:rsid w:val="4363365F"/>
    <w:rsid w:val="436337CE"/>
    <w:rsid w:val="43635016"/>
    <w:rsid w:val="43635059"/>
    <w:rsid w:val="4364376D"/>
    <w:rsid w:val="43650DD1"/>
    <w:rsid w:val="43651ECA"/>
    <w:rsid w:val="43654008"/>
    <w:rsid w:val="43655275"/>
    <w:rsid w:val="43657023"/>
    <w:rsid w:val="4366371E"/>
    <w:rsid w:val="43663830"/>
    <w:rsid w:val="43670FB1"/>
    <w:rsid w:val="43670FED"/>
    <w:rsid w:val="43674A58"/>
    <w:rsid w:val="43675B98"/>
    <w:rsid w:val="4368129D"/>
    <w:rsid w:val="4368266F"/>
    <w:rsid w:val="43683470"/>
    <w:rsid w:val="43684ABE"/>
    <w:rsid w:val="43684D53"/>
    <w:rsid w:val="43685BD5"/>
    <w:rsid w:val="436908C9"/>
    <w:rsid w:val="43693E72"/>
    <w:rsid w:val="43697BEA"/>
    <w:rsid w:val="43697CE0"/>
    <w:rsid w:val="43697FE2"/>
    <w:rsid w:val="436A396D"/>
    <w:rsid w:val="436A61D0"/>
    <w:rsid w:val="436A63E7"/>
    <w:rsid w:val="436B1094"/>
    <w:rsid w:val="436B215F"/>
    <w:rsid w:val="436B49E8"/>
    <w:rsid w:val="436B76D4"/>
    <w:rsid w:val="436C2B97"/>
    <w:rsid w:val="436C3ABA"/>
    <w:rsid w:val="436C4B4E"/>
    <w:rsid w:val="436D12E8"/>
    <w:rsid w:val="436D237B"/>
    <w:rsid w:val="436D77CB"/>
    <w:rsid w:val="436E4F7B"/>
    <w:rsid w:val="436E5C22"/>
    <w:rsid w:val="436F1C50"/>
    <w:rsid w:val="436F5122"/>
    <w:rsid w:val="436F658A"/>
    <w:rsid w:val="437064B7"/>
    <w:rsid w:val="43707776"/>
    <w:rsid w:val="437079A9"/>
    <w:rsid w:val="4371144A"/>
    <w:rsid w:val="437129E0"/>
    <w:rsid w:val="437134B3"/>
    <w:rsid w:val="43713C1A"/>
    <w:rsid w:val="43714522"/>
    <w:rsid w:val="437152C3"/>
    <w:rsid w:val="43721D83"/>
    <w:rsid w:val="437234EE"/>
    <w:rsid w:val="437238D6"/>
    <w:rsid w:val="4372512A"/>
    <w:rsid w:val="4372654F"/>
    <w:rsid w:val="437270F3"/>
    <w:rsid w:val="43727992"/>
    <w:rsid w:val="4373189B"/>
    <w:rsid w:val="43733F8A"/>
    <w:rsid w:val="43735B70"/>
    <w:rsid w:val="43736DBA"/>
    <w:rsid w:val="43737646"/>
    <w:rsid w:val="43741014"/>
    <w:rsid w:val="437413A8"/>
    <w:rsid w:val="43744FE0"/>
    <w:rsid w:val="43753BDA"/>
    <w:rsid w:val="43753F48"/>
    <w:rsid w:val="43755ABB"/>
    <w:rsid w:val="43757DB5"/>
    <w:rsid w:val="43761230"/>
    <w:rsid w:val="437620E8"/>
    <w:rsid w:val="43763EA5"/>
    <w:rsid w:val="43766CEE"/>
    <w:rsid w:val="43770999"/>
    <w:rsid w:val="43775F9F"/>
    <w:rsid w:val="43776D56"/>
    <w:rsid w:val="43777566"/>
    <w:rsid w:val="43783B7C"/>
    <w:rsid w:val="43783DFD"/>
    <w:rsid w:val="43784FA8"/>
    <w:rsid w:val="43785A81"/>
    <w:rsid w:val="43790D20"/>
    <w:rsid w:val="43792ACE"/>
    <w:rsid w:val="43794232"/>
    <w:rsid w:val="437943F5"/>
    <w:rsid w:val="437A4E3E"/>
    <w:rsid w:val="437B01A5"/>
    <w:rsid w:val="437B05F4"/>
    <w:rsid w:val="437B2122"/>
    <w:rsid w:val="437B23A2"/>
    <w:rsid w:val="437B50EE"/>
    <w:rsid w:val="437C0E4B"/>
    <w:rsid w:val="437C11E7"/>
    <w:rsid w:val="437C346F"/>
    <w:rsid w:val="437C436D"/>
    <w:rsid w:val="437C5DED"/>
    <w:rsid w:val="437C6036"/>
    <w:rsid w:val="437C611B"/>
    <w:rsid w:val="437C71E6"/>
    <w:rsid w:val="437D41AF"/>
    <w:rsid w:val="437E03BA"/>
    <w:rsid w:val="437E0EC7"/>
    <w:rsid w:val="437E1E93"/>
    <w:rsid w:val="437E4C77"/>
    <w:rsid w:val="437E5696"/>
    <w:rsid w:val="437E6205"/>
    <w:rsid w:val="437E6337"/>
    <w:rsid w:val="4380301C"/>
    <w:rsid w:val="43805C0B"/>
    <w:rsid w:val="43806D27"/>
    <w:rsid w:val="43811B8C"/>
    <w:rsid w:val="438134B9"/>
    <w:rsid w:val="43813731"/>
    <w:rsid w:val="438148C4"/>
    <w:rsid w:val="438175CD"/>
    <w:rsid w:val="43820896"/>
    <w:rsid w:val="43826658"/>
    <w:rsid w:val="43826BE8"/>
    <w:rsid w:val="4383394D"/>
    <w:rsid w:val="438356FB"/>
    <w:rsid w:val="43835918"/>
    <w:rsid w:val="43836937"/>
    <w:rsid w:val="438374A9"/>
    <w:rsid w:val="43840B26"/>
    <w:rsid w:val="43843083"/>
    <w:rsid w:val="438449D7"/>
    <w:rsid w:val="438523B2"/>
    <w:rsid w:val="43853221"/>
    <w:rsid w:val="438576C5"/>
    <w:rsid w:val="43860D47"/>
    <w:rsid w:val="43866F99"/>
    <w:rsid w:val="43867B49"/>
    <w:rsid w:val="43870213"/>
    <w:rsid w:val="4387343D"/>
    <w:rsid w:val="438751EB"/>
    <w:rsid w:val="4388014A"/>
    <w:rsid w:val="4388034B"/>
    <w:rsid w:val="43880FFB"/>
    <w:rsid w:val="43881A0D"/>
    <w:rsid w:val="43881B76"/>
    <w:rsid w:val="43884243"/>
    <w:rsid w:val="43884ABF"/>
    <w:rsid w:val="43884CDD"/>
    <w:rsid w:val="43887CBB"/>
    <w:rsid w:val="43891781"/>
    <w:rsid w:val="438927A9"/>
    <w:rsid w:val="43893693"/>
    <w:rsid w:val="43894AF1"/>
    <w:rsid w:val="438A0837"/>
    <w:rsid w:val="438A4CDB"/>
    <w:rsid w:val="438A680A"/>
    <w:rsid w:val="438A6A89"/>
    <w:rsid w:val="438B2647"/>
    <w:rsid w:val="438C112A"/>
    <w:rsid w:val="438C2802"/>
    <w:rsid w:val="438C45B0"/>
    <w:rsid w:val="438C63A4"/>
    <w:rsid w:val="438D0165"/>
    <w:rsid w:val="438D0328"/>
    <w:rsid w:val="438D1112"/>
    <w:rsid w:val="438D3408"/>
    <w:rsid w:val="438D3CFB"/>
    <w:rsid w:val="438D6310"/>
    <w:rsid w:val="438E10DE"/>
    <w:rsid w:val="438F22F2"/>
    <w:rsid w:val="438F2A19"/>
    <w:rsid w:val="438F40A0"/>
    <w:rsid w:val="438F496B"/>
    <w:rsid w:val="438F661B"/>
    <w:rsid w:val="4390071E"/>
    <w:rsid w:val="439008CA"/>
    <w:rsid w:val="43900BA1"/>
    <w:rsid w:val="4390267C"/>
    <w:rsid w:val="4390340A"/>
    <w:rsid w:val="43905252"/>
    <w:rsid w:val="439071A3"/>
    <w:rsid w:val="43907A8B"/>
    <w:rsid w:val="43911995"/>
    <w:rsid w:val="43911A3C"/>
    <w:rsid w:val="43911BC6"/>
    <w:rsid w:val="439121B5"/>
    <w:rsid w:val="4391606A"/>
    <w:rsid w:val="43916C2F"/>
    <w:rsid w:val="43917E18"/>
    <w:rsid w:val="43920A9D"/>
    <w:rsid w:val="43921D3A"/>
    <w:rsid w:val="43922256"/>
    <w:rsid w:val="43923B90"/>
    <w:rsid w:val="4393362A"/>
    <w:rsid w:val="43933CCC"/>
    <w:rsid w:val="439369B8"/>
    <w:rsid w:val="43940D01"/>
    <w:rsid w:val="4394233B"/>
    <w:rsid w:val="4394290E"/>
    <w:rsid w:val="43943464"/>
    <w:rsid w:val="4394461F"/>
    <w:rsid w:val="439468F8"/>
    <w:rsid w:val="43947908"/>
    <w:rsid w:val="43951E24"/>
    <w:rsid w:val="43957F31"/>
    <w:rsid w:val="43963680"/>
    <w:rsid w:val="439648C8"/>
    <w:rsid w:val="4396542E"/>
    <w:rsid w:val="43972F54"/>
    <w:rsid w:val="439734FD"/>
    <w:rsid w:val="43973CF5"/>
    <w:rsid w:val="43976382"/>
    <w:rsid w:val="43976683"/>
    <w:rsid w:val="4397797E"/>
    <w:rsid w:val="4398412F"/>
    <w:rsid w:val="43985983"/>
    <w:rsid w:val="439864F0"/>
    <w:rsid w:val="43987274"/>
    <w:rsid w:val="439873F8"/>
    <w:rsid w:val="43991595"/>
    <w:rsid w:val="43991613"/>
    <w:rsid w:val="43993170"/>
    <w:rsid w:val="43994629"/>
    <w:rsid w:val="43994E6F"/>
    <w:rsid w:val="43994F1E"/>
    <w:rsid w:val="43997B68"/>
    <w:rsid w:val="439A3236"/>
    <w:rsid w:val="439A3F6A"/>
    <w:rsid w:val="439A62FF"/>
    <w:rsid w:val="439B0C97"/>
    <w:rsid w:val="439B12F0"/>
    <w:rsid w:val="439B2A45"/>
    <w:rsid w:val="439B4160"/>
    <w:rsid w:val="439B5B7C"/>
    <w:rsid w:val="439B7867"/>
    <w:rsid w:val="439C056B"/>
    <w:rsid w:val="439C0C1F"/>
    <w:rsid w:val="439C3574"/>
    <w:rsid w:val="439C368D"/>
    <w:rsid w:val="439C66BB"/>
    <w:rsid w:val="439D02A5"/>
    <w:rsid w:val="439D1273"/>
    <w:rsid w:val="439D137D"/>
    <w:rsid w:val="439D1487"/>
    <w:rsid w:val="439D2C89"/>
    <w:rsid w:val="439D4A0F"/>
    <w:rsid w:val="439D6726"/>
    <w:rsid w:val="439D6D67"/>
    <w:rsid w:val="439E42E3"/>
    <w:rsid w:val="439E6E16"/>
    <w:rsid w:val="439F2D08"/>
    <w:rsid w:val="43A0005B"/>
    <w:rsid w:val="43A01E09"/>
    <w:rsid w:val="43A02B40"/>
    <w:rsid w:val="43A044FF"/>
    <w:rsid w:val="43A04BAD"/>
    <w:rsid w:val="43A062AD"/>
    <w:rsid w:val="43A10D69"/>
    <w:rsid w:val="43A11A21"/>
    <w:rsid w:val="43A14210"/>
    <w:rsid w:val="43A15B81"/>
    <w:rsid w:val="43A16087"/>
    <w:rsid w:val="43A21C02"/>
    <w:rsid w:val="43A3165D"/>
    <w:rsid w:val="43A318F9"/>
    <w:rsid w:val="43A32849"/>
    <w:rsid w:val="43A35D9D"/>
    <w:rsid w:val="43A37B4B"/>
    <w:rsid w:val="43A4017F"/>
    <w:rsid w:val="43A40FC9"/>
    <w:rsid w:val="43A4368F"/>
    <w:rsid w:val="43A472F0"/>
    <w:rsid w:val="43A50841"/>
    <w:rsid w:val="43A51B15"/>
    <w:rsid w:val="43A538C3"/>
    <w:rsid w:val="43A53A72"/>
    <w:rsid w:val="43A55671"/>
    <w:rsid w:val="43A564DF"/>
    <w:rsid w:val="43A569CD"/>
    <w:rsid w:val="43A574CE"/>
    <w:rsid w:val="43A623E5"/>
    <w:rsid w:val="43A628DF"/>
    <w:rsid w:val="43A63197"/>
    <w:rsid w:val="43A75F7F"/>
    <w:rsid w:val="43A7763B"/>
    <w:rsid w:val="43A80903"/>
    <w:rsid w:val="43A836D3"/>
    <w:rsid w:val="43A839BF"/>
    <w:rsid w:val="43A8409F"/>
    <w:rsid w:val="43A855D0"/>
    <w:rsid w:val="43A87DA1"/>
    <w:rsid w:val="43A91AD9"/>
    <w:rsid w:val="43AA0EDA"/>
    <w:rsid w:val="43AB3176"/>
    <w:rsid w:val="43AB5343"/>
    <w:rsid w:val="43AB780F"/>
    <w:rsid w:val="43AC15BA"/>
    <w:rsid w:val="43AC1D5E"/>
    <w:rsid w:val="43AC2EA4"/>
    <w:rsid w:val="43AC2F7E"/>
    <w:rsid w:val="43AC4C52"/>
    <w:rsid w:val="43AC6A00"/>
    <w:rsid w:val="43AD04C0"/>
    <w:rsid w:val="43AD1BA2"/>
    <w:rsid w:val="43AD1E3D"/>
    <w:rsid w:val="43AD2778"/>
    <w:rsid w:val="43AD4526"/>
    <w:rsid w:val="43AD4A03"/>
    <w:rsid w:val="43AD4E46"/>
    <w:rsid w:val="43AE09CA"/>
    <w:rsid w:val="43AE3034"/>
    <w:rsid w:val="43AE3AFF"/>
    <w:rsid w:val="43AE3BD4"/>
    <w:rsid w:val="43AE4585"/>
    <w:rsid w:val="43AE4D2D"/>
    <w:rsid w:val="43AE5804"/>
    <w:rsid w:val="43AF029E"/>
    <w:rsid w:val="43AF33DE"/>
    <w:rsid w:val="43AF4207"/>
    <w:rsid w:val="43AF4742"/>
    <w:rsid w:val="43AF54FC"/>
    <w:rsid w:val="43AF64F0"/>
    <w:rsid w:val="43AF6D43"/>
    <w:rsid w:val="43B06A6A"/>
    <w:rsid w:val="43B12268"/>
    <w:rsid w:val="43B12C45"/>
    <w:rsid w:val="43B130F6"/>
    <w:rsid w:val="43B14016"/>
    <w:rsid w:val="43B171C3"/>
    <w:rsid w:val="43B21B3C"/>
    <w:rsid w:val="43B236B6"/>
    <w:rsid w:val="43B24586"/>
    <w:rsid w:val="43B31D8E"/>
    <w:rsid w:val="43B326D0"/>
    <w:rsid w:val="43B34232"/>
    <w:rsid w:val="43B35A16"/>
    <w:rsid w:val="43B4164A"/>
    <w:rsid w:val="43B434D5"/>
    <w:rsid w:val="43B43B06"/>
    <w:rsid w:val="43B519EC"/>
    <w:rsid w:val="43B51C76"/>
    <w:rsid w:val="43B534C7"/>
    <w:rsid w:val="43B5471B"/>
    <w:rsid w:val="43B600AD"/>
    <w:rsid w:val="43B615EE"/>
    <w:rsid w:val="43B6162D"/>
    <w:rsid w:val="43B617C6"/>
    <w:rsid w:val="43B6282F"/>
    <w:rsid w:val="43B63935"/>
    <w:rsid w:val="43B65AD0"/>
    <w:rsid w:val="43B66FE4"/>
    <w:rsid w:val="43B70A87"/>
    <w:rsid w:val="43B753A5"/>
    <w:rsid w:val="43B803F8"/>
    <w:rsid w:val="43B81849"/>
    <w:rsid w:val="43B8278B"/>
    <w:rsid w:val="43B835F7"/>
    <w:rsid w:val="43B84475"/>
    <w:rsid w:val="43B86C01"/>
    <w:rsid w:val="43B86CB7"/>
    <w:rsid w:val="43B90306"/>
    <w:rsid w:val="43B91888"/>
    <w:rsid w:val="43B92000"/>
    <w:rsid w:val="43B934A8"/>
    <w:rsid w:val="43B93E08"/>
    <w:rsid w:val="43B94925"/>
    <w:rsid w:val="43B94E4C"/>
    <w:rsid w:val="43B95123"/>
    <w:rsid w:val="43B9736F"/>
    <w:rsid w:val="43B9763F"/>
    <w:rsid w:val="43BB1407"/>
    <w:rsid w:val="43BB2FC1"/>
    <w:rsid w:val="43BB30E7"/>
    <w:rsid w:val="43BB4E95"/>
    <w:rsid w:val="43BB6C43"/>
    <w:rsid w:val="43BB7C60"/>
    <w:rsid w:val="43BC7D1B"/>
    <w:rsid w:val="43BD0C0D"/>
    <w:rsid w:val="43BD26D0"/>
    <w:rsid w:val="43BD318E"/>
    <w:rsid w:val="43BD43E0"/>
    <w:rsid w:val="43BD6E5F"/>
    <w:rsid w:val="43BE0DBB"/>
    <w:rsid w:val="43BE287B"/>
    <w:rsid w:val="43BE6733"/>
    <w:rsid w:val="43BF1177"/>
    <w:rsid w:val="43BF6A80"/>
    <w:rsid w:val="43C006FD"/>
    <w:rsid w:val="43C024AB"/>
    <w:rsid w:val="43C04259"/>
    <w:rsid w:val="43C04731"/>
    <w:rsid w:val="43C114AA"/>
    <w:rsid w:val="43C12D8E"/>
    <w:rsid w:val="43C12F27"/>
    <w:rsid w:val="43C231EF"/>
    <w:rsid w:val="43C318BF"/>
    <w:rsid w:val="43C33D22"/>
    <w:rsid w:val="43C33D49"/>
    <w:rsid w:val="43C34006"/>
    <w:rsid w:val="43C377B6"/>
    <w:rsid w:val="43C401ED"/>
    <w:rsid w:val="43C4254F"/>
    <w:rsid w:val="43C432AE"/>
    <w:rsid w:val="43C43FF7"/>
    <w:rsid w:val="43C50F96"/>
    <w:rsid w:val="43C55D14"/>
    <w:rsid w:val="43C57E2B"/>
    <w:rsid w:val="43C60873"/>
    <w:rsid w:val="43C63CB3"/>
    <w:rsid w:val="43C63E8C"/>
    <w:rsid w:val="43C67158"/>
    <w:rsid w:val="43C7383A"/>
    <w:rsid w:val="43C741C8"/>
    <w:rsid w:val="43C742DC"/>
    <w:rsid w:val="43C801C3"/>
    <w:rsid w:val="43C81360"/>
    <w:rsid w:val="43C83AD3"/>
    <w:rsid w:val="43C84F50"/>
    <w:rsid w:val="43C86274"/>
    <w:rsid w:val="43C875B2"/>
    <w:rsid w:val="43C910FC"/>
    <w:rsid w:val="43C92476"/>
    <w:rsid w:val="43C930C9"/>
    <w:rsid w:val="43C93541"/>
    <w:rsid w:val="43C93C41"/>
    <w:rsid w:val="43C9779E"/>
    <w:rsid w:val="43C97C3C"/>
    <w:rsid w:val="43CA157C"/>
    <w:rsid w:val="43CA332A"/>
    <w:rsid w:val="43CA430E"/>
    <w:rsid w:val="43CA725C"/>
    <w:rsid w:val="43CA7AC2"/>
    <w:rsid w:val="43CB255C"/>
    <w:rsid w:val="43CB418F"/>
    <w:rsid w:val="43CB7108"/>
    <w:rsid w:val="43CC0E50"/>
    <w:rsid w:val="43CC2BFE"/>
    <w:rsid w:val="43CC5D8F"/>
    <w:rsid w:val="43CC5EAA"/>
    <w:rsid w:val="43CC65BD"/>
    <w:rsid w:val="43CD3B33"/>
    <w:rsid w:val="43CD58C9"/>
    <w:rsid w:val="43CD5F25"/>
    <w:rsid w:val="43CD6976"/>
    <w:rsid w:val="43CD7A4D"/>
    <w:rsid w:val="43CE2E1A"/>
    <w:rsid w:val="43CE47D0"/>
    <w:rsid w:val="43CE4AB0"/>
    <w:rsid w:val="43CF26EE"/>
    <w:rsid w:val="43CF3884"/>
    <w:rsid w:val="43CF3AAE"/>
    <w:rsid w:val="43CF505D"/>
    <w:rsid w:val="43D02202"/>
    <w:rsid w:val="43D03B66"/>
    <w:rsid w:val="43D07B0F"/>
    <w:rsid w:val="43D10383"/>
    <w:rsid w:val="43D10909"/>
    <w:rsid w:val="43D16466"/>
    <w:rsid w:val="43D2159D"/>
    <w:rsid w:val="43D23F8D"/>
    <w:rsid w:val="43D249D4"/>
    <w:rsid w:val="43D261FB"/>
    <w:rsid w:val="43D30430"/>
    <w:rsid w:val="43D321DE"/>
    <w:rsid w:val="43D3503C"/>
    <w:rsid w:val="43D408FB"/>
    <w:rsid w:val="43D45F57"/>
    <w:rsid w:val="43D47F5D"/>
    <w:rsid w:val="43D57284"/>
    <w:rsid w:val="43D61CCF"/>
    <w:rsid w:val="43D61DF7"/>
    <w:rsid w:val="43D6268A"/>
    <w:rsid w:val="43D63A7D"/>
    <w:rsid w:val="43D76AC2"/>
    <w:rsid w:val="43D76C2E"/>
    <w:rsid w:val="43D804C6"/>
    <w:rsid w:val="43D81BFD"/>
    <w:rsid w:val="43D8226A"/>
    <w:rsid w:val="43D83C99"/>
    <w:rsid w:val="43D8535A"/>
    <w:rsid w:val="43D85A47"/>
    <w:rsid w:val="43D917BF"/>
    <w:rsid w:val="43D9483A"/>
    <w:rsid w:val="43D9531B"/>
    <w:rsid w:val="43D95780"/>
    <w:rsid w:val="43DA0321"/>
    <w:rsid w:val="43DA0559"/>
    <w:rsid w:val="43DA0D2A"/>
    <w:rsid w:val="43DA2A8F"/>
    <w:rsid w:val="43DA3792"/>
    <w:rsid w:val="43DA4985"/>
    <w:rsid w:val="43DA6642"/>
    <w:rsid w:val="43DA696C"/>
    <w:rsid w:val="43DB1C50"/>
    <w:rsid w:val="43DB5537"/>
    <w:rsid w:val="43DB5854"/>
    <w:rsid w:val="43DB72E5"/>
    <w:rsid w:val="43DC1117"/>
    <w:rsid w:val="43DC34E1"/>
    <w:rsid w:val="43DC34ED"/>
    <w:rsid w:val="43DC4977"/>
    <w:rsid w:val="43DD12AF"/>
    <w:rsid w:val="43DD1DDE"/>
    <w:rsid w:val="43DD2636"/>
    <w:rsid w:val="43DD305D"/>
    <w:rsid w:val="43DD389A"/>
    <w:rsid w:val="43DE0290"/>
    <w:rsid w:val="43DE0B83"/>
    <w:rsid w:val="43DE0DC4"/>
    <w:rsid w:val="43DF0F8E"/>
    <w:rsid w:val="43DF143E"/>
    <w:rsid w:val="43DF27B6"/>
    <w:rsid w:val="43DF40FD"/>
    <w:rsid w:val="43DF5027"/>
    <w:rsid w:val="43DF63AB"/>
    <w:rsid w:val="43E00F06"/>
    <w:rsid w:val="43E01307"/>
    <w:rsid w:val="43E01CFB"/>
    <w:rsid w:val="43E035A6"/>
    <w:rsid w:val="43E048FB"/>
    <w:rsid w:val="43E059E1"/>
    <w:rsid w:val="43E06D85"/>
    <w:rsid w:val="43E15EC3"/>
    <w:rsid w:val="43E16314"/>
    <w:rsid w:val="43E17353"/>
    <w:rsid w:val="43E202FE"/>
    <w:rsid w:val="43E20674"/>
    <w:rsid w:val="43E22422"/>
    <w:rsid w:val="43E23D98"/>
    <w:rsid w:val="43E24D74"/>
    <w:rsid w:val="43E268C5"/>
    <w:rsid w:val="43E27BA9"/>
    <w:rsid w:val="43E333B4"/>
    <w:rsid w:val="43E445DF"/>
    <w:rsid w:val="43E45E85"/>
    <w:rsid w:val="43E51F12"/>
    <w:rsid w:val="43E52DF0"/>
    <w:rsid w:val="43E551C3"/>
    <w:rsid w:val="43E557C0"/>
    <w:rsid w:val="43E64CC4"/>
    <w:rsid w:val="43E650EC"/>
    <w:rsid w:val="43E75A28"/>
    <w:rsid w:val="43E77A38"/>
    <w:rsid w:val="43E80064"/>
    <w:rsid w:val="43E819D5"/>
    <w:rsid w:val="43E837B0"/>
    <w:rsid w:val="43E851C5"/>
    <w:rsid w:val="43E854C6"/>
    <w:rsid w:val="43E8598D"/>
    <w:rsid w:val="43E86866"/>
    <w:rsid w:val="43E908BD"/>
    <w:rsid w:val="43E91A02"/>
    <w:rsid w:val="43E96831"/>
    <w:rsid w:val="43E97C54"/>
    <w:rsid w:val="43EA0D87"/>
    <w:rsid w:val="43EA1506"/>
    <w:rsid w:val="43EA32B9"/>
    <w:rsid w:val="43EB1B46"/>
    <w:rsid w:val="43EB31B5"/>
    <w:rsid w:val="43EB351A"/>
    <w:rsid w:val="43EB74BB"/>
    <w:rsid w:val="43EC14F2"/>
    <w:rsid w:val="43EC2FD6"/>
    <w:rsid w:val="43EC32A0"/>
    <w:rsid w:val="43EC3A5A"/>
    <w:rsid w:val="43EC50C0"/>
    <w:rsid w:val="43EC5BA7"/>
    <w:rsid w:val="43ED0DC6"/>
    <w:rsid w:val="43ED182C"/>
    <w:rsid w:val="43ED46E0"/>
    <w:rsid w:val="43ED589F"/>
    <w:rsid w:val="43ED60BF"/>
    <w:rsid w:val="43EE08E9"/>
    <w:rsid w:val="43EE0957"/>
    <w:rsid w:val="43EE2796"/>
    <w:rsid w:val="43EE526A"/>
    <w:rsid w:val="43EE7018"/>
    <w:rsid w:val="43EF2D90"/>
    <w:rsid w:val="43EF3692"/>
    <w:rsid w:val="43F11397"/>
    <w:rsid w:val="43F12187"/>
    <w:rsid w:val="43F14D5A"/>
    <w:rsid w:val="43F163AA"/>
    <w:rsid w:val="43F16B09"/>
    <w:rsid w:val="43F22F06"/>
    <w:rsid w:val="43F23474"/>
    <w:rsid w:val="43F24430"/>
    <w:rsid w:val="43F263DD"/>
    <w:rsid w:val="43F32EA9"/>
    <w:rsid w:val="43F33419"/>
    <w:rsid w:val="43F3462F"/>
    <w:rsid w:val="43F34981"/>
    <w:rsid w:val="43F35AB7"/>
    <w:rsid w:val="43F37261"/>
    <w:rsid w:val="43F37B08"/>
    <w:rsid w:val="43F40F84"/>
    <w:rsid w:val="43F42155"/>
    <w:rsid w:val="43F452FC"/>
    <w:rsid w:val="43F519B1"/>
    <w:rsid w:val="43F557C9"/>
    <w:rsid w:val="43F559B4"/>
    <w:rsid w:val="43F61428"/>
    <w:rsid w:val="43F61530"/>
    <w:rsid w:val="43F6182A"/>
    <w:rsid w:val="43F62FA6"/>
    <w:rsid w:val="43F6403E"/>
    <w:rsid w:val="43F655E3"/>
    <w:rsid w:val="43F65ECD"/>
    <w:rsid w:val="43F66327"/>
    <w:rsid w:val="43F67150"/>
    <w:rsid w:val="43F67EA8"/>
    <w:rsid w:val="43F703F3"/>
    <w:rsid w:val="43F7069A"/>
    <w:rsid w:val="43F742CE"/>
    <w:rsid w:val="43F75401"/>
    <w:rsid w:val="43F7662D"/>
    <w:rsid w:val="43F80020"/>
    <w:rsid w:val="43F81BFB"/>
    <w:rsid w:val="43F81C45"/>
    <w:rsid w:val="43F839F3"/>
    <w:rsid w:val="43F860E9"/>
    <w:rsid w:val="43F86E9A"/>
    <w:rsid w:val="43F94DFC"/>
    <w:rsid w:val="43F96D1B"/>
    <w:rsid w:val="43F9776B"/>
    <w:rsid w:val="43FA016B"/>
    <w:rsid w:val="43FA0B2A"/>
    <w:rsid w:val="43FA3057"/>
    <w:rsid w:val="43FA5005"/>
    <w:rsid w:val="43FA667C"/>
    <w:rsid w:val="43FA66C0"/>
    <w:rsid w:val="43FA7BBC"/>
    <w:rsid w:val="43FA7E3D"/>
    <w:rsid w:val="43FB163B"/>
    <w:rsid w:val="43FB34E3"/>
    <w:rsid w:val="43FB3527"/>
    <w:rsid w:val="43FC12CE"/>
    <w:rsid w:val="43FC2B2D"/>
    <w:rsid w:val="43FC569C"/>
    <w:rsid w:val="43FD05BD"/>
    <w:rsid w:val="43FD1652"/>
    <w:rsid w:val="43FD2068"/>
    <w:rsid w:val="43FD36FF"/>
    <w:rsid w:val="43FD3887"/>
    <w:rsid w:val="43FD51A5"/>
    <w:rsid w:val="43FD53EB"/>
    <w:rsid w:val="43FD725B"/>
    <w:rsid w:val="43FD743E"/>
    <w:rsid w:val="43FE06F0"/>
    <w:rsid w:val="43FE4B7C"/>
    <w:rsid w:val="43FE4D59"/>
    <w:rsid w:val="43FE4D82"/>
    <w:rsid w:val="43FF1225"/>
    <w:rsid w:val="43FF6EED"/>
    <w:rsid w:val="43FF796B"/>
    <w:rsid w:val="44000AFA"/>
    <w:rsid w:val="44002387"/>
    <w:rsid w:val="44004F9E"/>
    <w:rsid w:val="44006D4C"/>
    <w:rsid w:val="44007EDB"/>
    <w:rsid w:val="440120B0"/>
    <w:rsid w:val="44017814"/>
    <w:rsid w:val="44022AC4"/>
    <w:rsid w:val="44022CEC"/>
    <w:rsid w:val="44024872"/>
    <w:rsid w:val="440305EA"/>
    <w:rsid w:val="44031A64"/>
    <w:rsid w:val="440348AB"/>
    <w:rsid w:val="440426ED"/>
    <w:rsid w:val="44043E2E"/>
    <w:rsid w:val="44044534"/>
    <w:rsid w:val="4404683C"/>
    <w:rsid w:val="44051FB6"/>
    <w:rsid w:val="440521B7"/>
    <w:rsid w:val="440525B4"/>
    <w:rsid w:val="44054E88"/>
    <w:rsid w:val="44055A2D"/>
    <w:rsid w:val="44056110"/>
    <w:rsid w:val="4405646E"/>
    <w:rsid w:val="440565DD"/>
    <w:rsid w:val="4406059B"/>
    <w:rsid w:val="440700DA"/>
    <w:rsid w:val="44071E88"/>
    <w:rsid w:val="440727FF"/>
    <w:rsid w:val="4407622F"/>
    <w:rsid w:val="44076653"/>
    <w:rsid w:val="44090C4A"/>
    <w:rsid w:val="44091E87"/>
    <w:rsid w:val="440950CF"/>
    <w:rsid w:val="44095C00"/>
    <w:rsid w:val="4409691C"/>
    <w:rsid w:val="440A5007"/>
    <w:rsid w:val="440A5825"/>
    <w:rsid w:val="440A655F"/>
    <w:rsid w:val="440A792E"/>
    <w:rsid w:val="440A7D25"/>
    <w:rsid w:val="440B098B"/>
    <w:rsid w:val="440B2A75"/>
    <w:rsid w:val="440B4978"/>
    <w:rsid w:val="440B5E1C"/>
    <w:rsid w:val="440C317A"/>
    <w:rsid w:val="440C3942"/>
    <w:rsid w:val="440C56F0"/>
    <w:rsid w:val="440C719A"/>
    <w:rsid w:val="440C760E"/>
    <w:rsid w:val="440D50C0"/>
    <w:rsid w:val="440D60D4"/>
    <w:rsid w:val="440E025B"/>
    <w:rsid w:val="440E08A3"/>
    <w:rsid w:val="440E6422"/>
    <w:rsid w:val="440E76BA"/>
    <w:rsid w:val="440F410E"/>
    <w:rsid w:val="440F51E1"/>
    <w:rsid w:val="440F6F8F"/>
    <w:rsid w:val="44103433"/>
    <w:rsid w:val="44103E03"/>
    <w:rsid w:val="44110F59"/>
    <w:rsid w:val="44111EF6"/>
    <w:rsid w:val="44113203"/>
    <w:rsid w:val="44124CF1"/>
    <w:rsid w:val="44126357"/>
    <w:rsid w:val="441278C2"/>
    <w:rsid w:val="44130D52"/>
    <w:rsid w:val="4413108B"/>
    <w:rsid w:val="441324D4"/>
    <w:rsid w:val="44133640"/>
    <w:rsid w:val="4413597E"/>
    <w:rsid w:val="44136A7F"/>
    <w:rsid w:val="441376FA"/>
    <w:rsid w:val="441445A5"/>
    <w:rsid w:val="44147E9F"/>
    <w:rsid w:val="44150A49"/>
    <w:rsid w:val="441520EF"/>
    <w:rsid w:val="44152677"/>
    <w:rsid w:val="44153672"/>
    <w:rsid w:val="441546AA"/>
    <w:rsid w:val="44154DB3"/>
    <w:rsid w:val="441617A9"/>
    <w:rsid w:val="44163129"/>
    <w:rsid w:val="44163C75"/>
    <w:rsid w:val="44165930"/>
    <w:rsid w:val="441666F4"/>
    <w:rsid w:val="441674EC"/>
    <w:rsid w:val="441676D3"/>
    <w:rsid w:val="44177FD2"/>
    <w:rsid w:val="4418099C"/>
    <w:rsid w:val="44181C84"/>
    <w:rsid w:val="44181FF3"/>
    <w:rsid w:val="441822E7"/>
    <w:rsid w:val="44184095"/>
    <w:rsid w:val="44185E43"/>
    <w:rsid w:val="44191CE1"/>
    <w:rsid w:val="44193765"/>
    <w:rsid w:val="44193CB0"/>
    <w:rsid w:val="44194BC4"/>
    <w:rsid w:val="44197F15"/>
    <w:rsid w:val="441A7E0D"/>
    <w:rsid w:val="441B3B85"/>
    <w:rsid w:val="441B4AFC"/>
    <w:rsid w:val="441B58DA"/>
    <w:rsid w:val="441B74E4"/>
    <w:rsid w:val="441C3545"/>
    <w:rsid w:val="441C3549"/>
    <w:rsid w:val="441C4681"/>
    <w:rsid w:val="441D36DC"/>
    <w:rsid w:val="441D3743"/>
    <w:rsid w:val="441D49D5"/>
    <w:rsid w:val="441D573C"/>
    <w:rsid w:val="441E180D"/>
    <w:rsid w:val="441E2106"/>
    <w:rsid w:val="441E5A61"/>
    <w:rsid w:val="441E5B8E"/>
    <w:rsid w:val="441E71D2"/>
    <w:rsid w:val="441F05E8"/>
    <w:rsid w:val="441F0A36"/>
    <w:rsid w:val="441F1654"/>
    <w:rsid w:val="441F49BB"/>
    <w:rsid w:val="441F5424"/>
    <w:rsid w:val="441F697F"/>
    <w:rsid w:val="441F7966"/>
    <w:rsid w:val="442027FD"/>
    <w:rsid w:val="44204EDB"/>
    <w:rsid w:val="442055B8"/>
    <w:rsid w:val="4420626A"/>
    <w:rsid w:val="442073EE"/>
    <w:rsid w:val="4421269E"/>
    <w:rsid w:val="44213794"/>
    <w:rsid w:val="44216EB8"/>
    <w:rsid w:val="44220557"/>
    <w:rsid w:val="44220750"/>
    <w:rsid w:val="44220C84"/>
    <w:rsid w:val="44222311"/>
    <w:rsid w:val="44222B26"/>
    <w:rsid w:val="44223166"/>
    <w:rsid w:val="44224F14"/>
    <w:rsid w:val="44226CC2"/>
    <w:rsid w:val="44227892"/>
    <w:rsid w:val="442347E8"/>
    <w:rsid w:val="44235A3D"/>
    <w:rsid w:val="4424030B"/>
    <w:rsid w:val="44240C8C"/>
    <w:rsid w:val="442413AE"/>
    <w:rsid w:val="44242A3A"/>
    <w:rsid w:val="44243452"/>
    <w:rsid w:val="4424448C"/>
    <w:rsid w:val="44244A60"/>
    <w:rsid w:val="44250560"/>
    <w:rsid w:val="442529C4"/>
    <w:rsid w:val="44254A04"/>
    <w:rsid w:val="44266859"/>
    <w:rsid w:val="4426781E"/>
    <w:rsid w:val="44270658"/>
    <w:rsid w:val="4427077C"/>
    <w:rsid w:val="4427252A"/>
    <w:rsid w:val="442742D8"/>
    <w:rsid w:val="44280B6A"/>
    <w:rsid w:val="44282717"/>
    <w:rsid w:val="442865FA"/>
    <w:rsid w:val="44292864"/>
    <w:rsid w:val="4429449C"/>
    <w:rsid w:val="442946B9"/>
    <w:rsid w:val="442A1571"/>
    <w:rsid w:val="442A5B49"/>
    <w:rsid w:val="442A61DE"/>
    <w:rsid w:val="442A7EC4"/>
    <w:rsid w:val="442B18FE"/>
    <w:rsid w:val="442B201A"/>
    <w:rsid w:val="442B6FD9"/>
    <w:rsid w:val="442C2AB4"/>
    <w:rsid w:val="442C5D93"/>
    <w:rsid w:val="442C7B41"/>
    <w:rsid w:val="442D0534"/>
    <w:rsid w:val="442E1B0B"/>
    <w:rsid w:val="442E38B9"/>
    <w:rsid w:val="442E5667"/>
    <w:rsid w:val="442E595A"/>
    <w:rsid w:val="442F6DEA"/>
    <w:rsid w:val="44300BBC"/>
    <w:rsid w:val="44305A50"/>
    <w:rsid w:val="443142DB"/>
    <w:rsid w:val="44315157"/>
    <w:rsid w:val="44316F05"/>
    <w:rsid w:val="44322C1E"/>
    <w:rsid w:val="443239D6"/>
    <w:rsid w:val="443240AC"/>
    <w:rsid w:val="44324820"/>
    <w:rsid w:val="4432539B"/>
    <w:rsid w:val="443304A8"/>
    <w:rsid w:val="44330ECF"/>
    <w:rsid w:val="44333D5B"/>
    <w:rsid w:val="4433405F"/>
    <w:rsid w:val="44336BFB"/>
    <w:rsid w:val="44337121"/>
    <w:rsid w:val="44337263"/>
    <w:rsid w:val="4434031F"/>
    <w:rsid w:val="44340410"/>
    <w:rsid w:val="443417CC"/>
    <w:rsid w:val="443469F5"/>
    <w:rsid w:val="4434759F"/>
    <w:rsid w:val="44352E99"/>
    <w:rsid w:val="443552FE"/>
    <w:rsid w:val="44357604"/>
    <w:rsid w:val="443609BF"/>
    <w:rsid w:val="44364141"/>
    <w:rsid w:val="44365977"/>
    <w:rsid w:val="44365A46"/>
    <w:rsid w:val="44367BAF"/>
    <w:rsid w:val="4437123A"/>
    <w:rsid w:val="44373A20"/>
    <w:rsid w:val="4437557C"/>
    <w:rsid w:val="44376621"/>
    <w:rsid w:val="44377898"/>
    <w:rsid w:val="44380293"/>
    <w:rsid w:val="44382936"/>
    <w:rsid w:val="443844BB"/>
    <w:rsid w:val="44384737"/>
    <w:rsid w:val="443864E5"/>
    <w:rsid w:val="44395496"/>
    <w:rsid w:val="44396516"/>
    <w:rsid w:val="443A04B0"/>
    <w:rsid w:val="443A563E"/>
    <w:rsid w:val="443A5749"/>
    <w:rsid w:val="443A5A67"/>
    <w:rsid w:val="443A5BCD"/>
    <w:rsid w:val="443A69ED"/>
    <w:rsid w:val="443B3479"/>
    <w:rsid w:val="443B5FD6"/>
    <w:rsid w:val="443B6ACE"/>
    <w:rsid w:val="443C2568"/>
    <w:rsid w:val="443C3A44"/>
    <w:rsid w:val="443C4228"/>
    <w:rsid w:val="443C51D0"/>
    <w:rsid w:val="443C7FAA"/>
    <w:rsid w:val="443D1DF4"/>
    <w:rsid w:val="443D361B"/>
    <w:rsid w:val="443D3AFC"/>
    <w:rsid w:val="443D58AA"/>
    <w:rsid w:val="443D74DA"/>
    <w:rsid w:val="443E090F"/>
    <w:rsid w:val="443E5AC1"/>
    <w:rsid w:val="443E6DD6"/>
    <w:rsid w:val="443E6DD9"/>
    <w:rsid w:val="443F0FAC"/>
    <w:rsid w:val="443F3FB6"/>
    <w:rsid w:val="443F5AC6"/>
    <w:rsid w:val="443F5F50"/>
    <w:rsid w:val="444035EC"/>
    <w:rsid w:val="444052FB"/>
    <w:rsid w:val="4440539A"/>
    <w:rsid w:val="444058A7"/>
    <w:rsid w:val="444059A5"/>
    <w:rsid w:val="44405CD1"/>
    <w:rsid w:val="4441183E"/>
    <w:rsid w:val="444147B5"/>
    <w:rsid w:val="44415B71"/>
    <w:rsid w:val="44417602"/>
    <w:rsid w:val="44417623"/>
    <w:rsid w:val="44421112"/>
    <w:rsid w:val="444255B6"/>
    <w:rsid w:val="44426E70"/>
    <w:rsid w:val="44427364"/>
    <w:rsid w:val="44427CF2"/>
    <w:rsid w:val="44434B3D"/>
    <w:rsid w:val="44435B44"/>
    <w:rsid w:val="4444120B"/>
    <w:rsid w:val="444412C1"/>
    <w:rsid w:val="444426BB"/>
    <w:rsid w:val="444430DC"/>
    <w:rsid w:val="44443F80"/>
    <w:rsid w:val="44447F91"/>
    <w:rsid w:val="44450C02"/>
    <w:rsid w:val="444520B3"/>
    <w:rsid w:val="444529B0"/>
    <w:rsid w:val="4445748D"/>
    <w:rsid w:val="44460CF6"/>
    <w:rsid w:val="44460EFF"/>
    <w:rsid w:val="44463A99"/>
    <w:rsid w:val="44466E54"/>
    <w:rsid w:val="44476729"/>
    <w:rsid w:val="444810D2"/>
    <w:rsid w:val="44483DCD"/>
    <w:rsid w:val="444906F3"/>
    <w:rsid w:val="444924A1"/>
    <w:rsid w:val="444925FC"/>
    <w:rsid w:val="44495DBB"/>
    <w:rsid w:val="44497158"/>
    <w:rsid w:val="444A0127"/>
    <w:rsid w:val="444A0870"/>
    <w:rsid w:val="444A1B1E"/>
    <w:rsid w:val="444A243A"/>
    <w:rsid w:val="444A28E2"/>
    <w:rsid w:val="444A39F2"/>
    <w:rsid w:val="444A5133"/>
    <w:rsid w:val="444A7FC7"/>
    <w:rsid w:val="444B50EB"/>
    <w:rsid w:val="444B7A53"/>
    <w:rsid w:val="444C2132"/>
    <w:rsid w:val="444C223E"/>
    <w:rsid w:val="444C6312"/>
    <w:rsid w:val="444C65CA"/>
    <w:rsid w:val="444C672F"/>
    <w:rsid w:val="444D09DA"/>
    <w:rsid w:val="444D1FC9"/>
    <w:rsid w:val="444D2334"/>
    <w:rsid w:val="444D430B"/>
    <w:rsid w:val="444D5F59"/>
    <w:rsid w:val="444E014F"/>
    <w:rsid w:val="444E1AA8"/>
    <w:rsid w:val="444E2335"/>
    <w:rsid w:val="444E298A"/>
    <w:rsid w:val="444E3F5B"/>
    <w:rsid w:val="444E6C47"/>
    <w:rsid w:val="444E7AB7"/>
    <w:rsid w:val="444F02BA"/>
    <w:rsid w:val="444F611F"/>
    <w:rsid w:val="44500447"/>
    <w:rsid w:val="44502A2D"/>
    <w:rsid w:val="4450382F"/>
    <w:rsid w:val="445045EE"/>
    <w:rsid w:val="44505CAE"/>
    <w:rsid w:val="44507864"/>
    <w:rsid w:val="44507CD3"/>
    <w:rsid w:val="44510F63"/>
    <w:rsid w:val="44514ED7"/>
    <w:rsid w:val="445175A7"/>
    <w:rsid w:val="4452106E"/>
    <w:rsid w:val="44521783"/>
    <w:rsid w:val="44523CC0"/>
    <w:rsid w:val="445241F3"/>
    <w:rsid w:val="44530811"/>
    <w:rsid w:val="44531193"/>
    <w:rsid w:val="4453323E"/>
    <w:rsid w:val="4453331F"/>
    <w:rsid w:val="44533D84"/>
    <w:rsid w:val="4453655D"/>
    <w:rsid w:val="4454106F"/>
    <w:rsid w:val="44547D4D"/>
    <w:rsid w:val="44550E45"/>
    <w:rsid w:val="4455128E"/>
    <w:rsid w:val="445514FE"/>
    <w:rsid w:val="4455227B"/>
    <w:rsid w:val="445611EA"/>
    <w:rsid w:val="445618B1"/>
    <w:rsid w:val="44562022"/>
    <w:rsid w:val="44562FD1"/>
    <w:rsid w:val="4456785A"/>
    <w:rsid w:val="44567A05"/>
    <w:rsid w:val="445750DD"/>
    <w:rsid w:val="4457604E"/>
    <w:rsid w:val="44580309"/>
    <w:rsid w:val="44580936"/>
    <w:rsid w:val="44581A07"/>
    <w:rsid w:val="445826E4"/>
    <w:rsid w:val="44591C0D"/>
    <w:rsid w:val="44592057"/>
    <w:rsid w:val="44592FE0"/>
    <w:rsid w:val="445A0A22"/>
    <w:rsid w:val="445A3110"/>
    <w:rsid w:val="445A38E1"/>
    <w:rsid w:val="445A46AE"/>
    <w:rsid w:val="445A645C"/>
    <w:rsid w:val="445A7C46"/>
    <w:rsid w:val="445B0426"/>
    <w:rsid w:val="445B21D4"/>
    <w:rsid w:val="445B7548"/>
    <w:rsid w:val="445C0797"/>
    <w:rsid w:val="445C2210"/>
    <w:rsid w:val="445C47A6"/>
    <w:rsid w:val="445C6678"/>
    <w:rsid w:val="445D23B2"/>
    <w:rsid w:val="445D2FB0"/>
    <w:rsid w:val="445D5F4C"/>
    <w:rsid w:val="445D66D1"/>
    <w:rsid w:val="445D7CFA"/>
    <w:rsid w:val="445E1FCB"/>
    <w:rsid w:val="445E48ED"/>
    <w:rsid w:val="445E6618"/>
    <w:rsid w:val="445F1CC4"/>
    <w:rsid w:val="445F3A72"/>
    <w:rsid w:val="445F52BE"/>
    <w:rsid w:val="445F7C33"/>
    <w:rsid w:val="446015AA"/>
    <w:rsid w:val="44602F9F"/>
    <w:rsid w:val="44606423"/>
    <w:rsid w:val="44613C8E"/>
    <w:rsid w:val="44614604"/>
    <w:rsid w:val="44615A3C"/>
    <w:rsid w:val="446175AE"/>
    <w:rsid w:val="446217B4"/>
    <w:rsid w:val="44622580"/>
    <w:rsid w:val="44623109"/>
    <w:rsid w:val="446251BD"/>
    <w:rsid w:val="44625BF8"/>
    <w:rsid w:val="44627D18"/>
    <w:rsid w:val="446333FF"/>
    <w:rsid w:val="44634470"/>
    <w:rsid w:val="44634D8B"/>
    <w:rsid w:val="44637D40"/>
    <w:rsid w:val="44641089"/>
    <w:rsid w:val="44641A64"/>
    <w:rsid w:val="4464283B"/>
    <w:rsid w:val="44644303"/>
    <w:rsid w:val="44644A01"/>
    <w:rsid w:val="4464552C"/>
    <w:rsid w:val="446474FF"/>
    <w:rsid w:val="446505FA"/>
    <w:rsid w:val="44652109"/>
    <w:rsid w:val="44654E01"/>
    <w:rsid w:val="446612A5"/>
    <w:rsid w:val="44662628"/>
    <w:rsid w:val="44663053"/>
    <w:rsid w:val="44670E84"/>
    <w:rsid w:val="4467501D"/>
    <w:rsid w:val="44676DCB"/>
    <w:rsid w:val="446777BE"/>
    <w:rsid w:val="44681F54"/>
    <w:rsid w:val="44685683"/>
    <w:rsid w:val="4469070A"/>
    <w:rsid w:val="44695E40"/>
    <w:rsid w:val="4469669F"/>
    <w:rsid w:val="446A4C6C"/>
    <w:rsid w:val="446A6770"/>
    <w:rsid w:val="446B0669"/>
    <w:rsid w:val="446B30A5"/>
    <w:rsid w:val="446B6021"/>
    <w:rsid w:val="446B605C"/>
    <w:rsid w:val="446B68BB"/>
    <w:rsid w:val="446B6D75"/>
    <w:rsid w:val="446B7882"/>
    <w:rsid w:val="446C04CD"/>
    <w:rsid w:val="446C153E"/>
    <w:rsid w:val="446C2350"/>
    <w:rsid w:val="446C276A"/>
    <w:rsid w:val="446C3739"/>
    <w:rsid w:val="446C43E1"/>
    <w:rsid w:val="446C4B9D"/>
    <w:rsid w:val="446C58FC"/>
    <w:rsid w:val="446C5B48"/>
    <w:rsid w:val="446C618F"/>
    <w:rsid w:val="446D0C11"/>
    <w:rsid w:val="446D195D"/>
    <w:rsid w:val="446D610C"/>
    <w:rsid w:val="446D794C"/>
    <w:rsid w:val="446D7F8E"/>
    <w:rsid w:val="446E1F07"/>
    <w:rsid w:val="446E293F"/>
    <w:rsid w:val="446E2CBA"/>
    <w:rsid w:val="446E2DED"/>
    <w:rsid w:val="446E4DC9"/>
    <w:rsid w:val="446E69A0"/>
    <w:rsid w:val="446E7E64"/>
    <w:rsid w:val="446F7A2D"/>
    <w:rsid w:val="44700545"/>
    <w:rsid w:val="44701EF8"/>
    <w:rsid w:val="447027E4"/>
    <w:rsid w:val="44705C7F"/>
    <w:rsid w:val="44706B07"/>
    <w:rsid w:val="447107FD"/>
    <w:rsid w:val="447119F7"/>
    <w:rsid w:val="447125A0"/>
    <w:rsid w:val="4471669C"/>
    <w:rsid w:val="44716FC4"/>
    <w:rsid w:val="44724359"/>
    <w:rsid w:val="44725688"/>
    <w:rsid w:val="4473191B"/>
    <w:rsid w:val="447333AB"/>
    <w:rsid w:val="4473423F"/>
    <w:rsid w:val="44735770"/>
    <w:rsid w:val="44735BDB"/>
    <w:rsid w:val="4473751E"/>
    <w:rsid w:val="447377D1"/>
    <w:rsid w:val="44737AB1"/>
    <w:rsid w:val="44742ED4"/>
    <w:rsid w:val="44743703"/>
    <w:rsid w:val="447442CA"/>
    <w:rsid w:val="44744FF8"/>
    <w:rsid w:val="447514E8"/>
    <w:rsid w:val="447527E2"/>
    <w:rsid w:val="447527EF"/>
    <w:rsid w:val="44753296"/>
    <w:rsid w:val="447550D5"/>
    <w:rsid w:val="44760DBC"/>
    <w:rsid w:val="44764D53"/>
    <w:rsid w:val="4476700E"/>
    <w:rsid w:val="447755E0"/>
    <w:rsid w:val="44777F27"/>
    <w:rsid w:val="44780FD8"/>
    <w:rsid w:val="4478190E"/>
    <w:rsid w:val="44784487"/>
    <w:rsid w:val="44786D22"/>
    <w:rsid w:val="44786DDB"/>
    <w:rsid w:val="447879A1"/>
    <w:rsid w:val="44797CF7"/>
    <w:rsid w:val="447A08AC"/>
    <w:rsid w:val="447A21A9"/>
    <w:rsid w:val="447A2D78"/>
    <w:rsid w:val="447A3BE3"/>
    <w:rsid w:val="447A4D50"/>
    <w:rsid w:val="447A6DA3"/>
    <w:rsid w:val="447A7F02"/>
    <w:rsid w:val="447A7F72"/>
    <w:rsid w:val="447B33B1"/>
    <w:rsid w:val="447B3F4B"/>
    <w:rsid w:val="447B3F61"/>
    <w:rsid w:val="447B4624"/>
    <w:rsid w:val="447C0AC8"/>
    <w:rsid w:val="447C48C0"/>
    <w:rsid w:val="447C5195"/>
    <w:rsid w:val="447D039C"/>
    <w:rsid w:val="447D214A"/>
    <w:rsid w:val="447D23C9"/>
    <w:rsid w:val="447D2B30"/>
    <w:rsid w:val="447D4521"/>
    <w:rsid w:val="447D65EE"/>
    <w:rsid w:val="447D6881"/>
    <w:rsid w:val="447E00D7"/>
    <w:rsid w:val="447E11A1"/>
    <w:rsid w:val="447E33EE"/>
    <w:rsid w:val="447E45DC"/>
    <w:rsid w:val="447E47D2"/>
    <w:rsid w:val="447F4114"/>
    <w:rsid w:val="447F5EC2"/>
    <w:rsid w:val="44801220"/>
    <w:rsid w:val="44802B23"/>
    <w:rsid w:val="448043E2"/>
    <w:rsid w:val="448044A0"/>
    <w:rsid w:val="44807DD3"/>
    <w:rsid w:val="44812B4F"/>
    <w:rsid w:val="448142DE"/>
    <w:rsid w:val="44815866"/>
    <w:rsid w:val="448160DE"/>
    <w:rsid w:val="44816692"/>
    <w:rsid w:val="44817E8C"/>
    <w:rsid w:val="44820631"/>
    <w:rsid w:val="448226F3"/>
    <w:rsid w:val="44823C05"/>
    <w:rsid w:val="448254DE"/>
    <w:rsid w:val="448259B3"/>
    <w:rsid w:val="44825BA7"/>
    <w:rsid w:val="44825EE8"/>
    <w:rsid w:val="44825F02"/>
    <w:rsid w:val="44827761"/>
    <w:rsid w:val="448316B7"/>
    <w:rsid w:val="44831E35"/>
    <w:rsid w:val="4483330C"/>
    <w:rsid w:val="4483444D"/>
    <w:rsid w:val="44840958"/>
    <w:rsid w:val="448434D9"/>
    <w:rsid w:val="44855DE0"/>
    <w:rsid w:val="44856BFC"/>
    <w:rsid w:val="448636F5"/>
    <w:rsid w:val="44867121"/>
    <w:rsid w:val="44867DB2"/>
    <w:rsid w:val="44874D00"/>
    <w:rsid w:val="44886565"/>
    <w:rsid w:val="4488786A"/>
    <w:rsid w:val="44891BCB"/>
    <w:rsid w:val="448979F5"/>
    <w:rsid w:val="448A20D1"/>
    <w:rsid w:val="448A34F9"/>
    <w:rsid w:val="448A352B"/>
    <w:rsid w:val="448A4BC2"/>
    <w:rsid w:val="448A62C3"/>
    <w:rsid w:val="448B0841"/>
    <w:rsid w:val="448B1361"/>
    <w:rsid w:val="448B26C2"/>
    <w:rsid w:val="448B2AB9"/>
    <w:rsid w:val="448B2EC3"/>
    <w:rsid w:val="448B4F61"/>
    <w:rsid w:val="448B7262"/>
    <w:rsid w:val="448C05DF"/>
    <w:rsid w:val="448C1D67"/>
    <w:rsid w:val="448D137A"/>
    <w:rsid w:val="448D4A83"/>
    <w:rsid w:val="448D57F7"/>
    <w:rsid w:val="448E25A9"/>
    <w:rsid w:val="448E6105"/>
    <w:rsid w:val="448E6538"/>
    <w:rsid w:val="448E723A"/>
    <w:rsid w:val="448F595D"/>
    <w:rsid w:val="4490049B"/>
    <w:rsid w:val="449005A7"/>
    <w:rsid w:val="44901E7E"/>
    <w:rsid w:val="449021B0"/>
    <w:rsid w:val="44911141"/>
    <w:rsid w:val="4491128A"/>
    <w:rsid w:val="4491165F"/>
    <w:rsid w:val="44913A24"/>
    <w:rsid w:val="44914114"/>
    <w:rsid w:val="44916D49"/>
    <w:rsid w:val="44917EA6"/>
    <w:rsid w:val="449221E8"/>
    <w:rsid w:val="449227A6"/>
    <w:rsid w:val="44923E24"/>
    <w:rsid w:val="44924A52"/>
    <w:rsid w:val="44930287"/>
    <w:rsid w:val="4493196E"/>
    <w:rsid w:val="44932278"/>
    <w:rsid w:val="449328CD"/>
    <w:rsid w:val="44932A01"/>
    <w:rsid w:val="44933678"/>
    <w:rsid w:val="449378FA"/>
    <w:rsid w:val="44940C94"/>
    <w:rsid w:val="4494139D"/>
    <w:rsid w:val="4494321F"/>
    <w:rsid w:val="44945F4F"/>
    <w:rsid w:val="449460FE"/>
    <w:rsid w:val="44951DBC"/>
    <w:rsid w:val="44953938"/>
    <w:rsid w:val="449556E6"/>
    <w:rsid w:val="44957032"/>
    <w:rsid w:val="44961183"/>
    <w:rsid w:val="4496320C"/>
    <w:rsid w:val="449636B4"/>
    <w:rsid w:val="44965B23"/>
    <w:rsid w:val="44965D67"/>
    <w:rsid w:val="4497145E"/>
    <w:rsid w:val="449728EE"/>
    <w:rsid w:val="44974C62"/>
    <w:rsid w:val="44976B90"/>
    <w:rsid w:val="44980413"/>
    <w:rsid w:val="44980611"/>
    <w:rsid w:val="44982BC6"/>
    <w:rsid w:val="44983428"/>
    <w:rsid w:val="44986059"/>
    <w:rsid w:val="44986F84"/>
    <w:rsid w:val="44996C62"/>
    <w:rsid w:val="4499769B"/>
    <w:rsid w:val="449A0F4E"/>
    <w:rsid w:val="449A1196"/>
    <w:rsid w:val="449A71A0"/>
    <w:rsid w:val="449B0822"/>
    <w:rsid w:val="449B53E6"/>
    <w:rsid w:val="449C2ECF"/>
    <w:rsid w:val="449C536F"/>
    <w:rsid w:val="449C6D71"/>
    <w:rsid w:val="449D0A3E"/>
    <w:rsid w:val="449D3C81"/>
    <w:rsid w:val="449D459A"/>
    <w:rsid w:val="449E078A"/>
    <w:rsid w:val="449E1C04"/>
    <w:rsid w:val="449E2AF5"/>
    <w:rsid w:val="449E3D93"/>
    <w:rsid w:val="449E3FC1"/>
    <w:rsid w:val="449E5F80"/>
    <w:rsid w:val="449E68C8"/>
    <w:rsid w:val="449F20EB"/>
    <w:rsid w:val="449F5825"/>
    <w:rsid w:val="449F58CB"/>
    <w:rsid w:val="44A00797"/>
    <w:rsid w:val="44A02E03"/>
    <w:rsid w:val="44A04001"/>
    <w:rsid w:val="44A047EB"/>
    <w:rsid w:val="44A1052F"/>
    <w:rsid w:val="44A122DD"/>
    <w:rsid w:val="44A1408B"/>
    <w:rsid w:val="44A16A85"/>
    <w:rsid w:val="44A21BB1"/>
    <w:rsid w:val="44A227C0"/>
    <w:rsid w:val="44A22E71"/>
    <w:rsid w:val="44A26055"/>
    <w:rsid w:val="44A27E03"/>
    <w:rsid w:val="44A3316C"/>
    <w:rsid w:val="44A332C5"/>
    <w:rsid w:val="44A3408E"/>
    <w:rsid w:val="44A34383"/>
    <w:rsid w:val="44A34DE1"/>
    <w:rsid w:val="44A40821"/>
    <w:rsid w:val="44A40A44"/>
    <w:rsid w:val="44A41DCD"/>
    <w:rsid w:val="44A4318D"/>
    <w:rsid w:val="44A44E84"/>
    <w:rsid w:val="44A46C2C"/>
    <w:rsid w:val="44A50E47"/>
    <w:rsid w:val="44A51898"/>
    <w:rsid w:val="44A5643D"/>
    <w:rsid w:val="44A57F7D"/>
    <w:rsid w:val="44A617FC"/>
    <w:rsid w:val="44A63513"/>
    <w:rsid w:val="44A63C6D"/>
    <w:rsid w:val="44A645A1"/>
    <w:rsid w:val="44A65B45"/>
    <w:rsid w:val="44A671A4"/>
    <w:rsid w:val="44A73516"/>
    <w:rsid w:val="44A75419"/>
    <w:rsid w:val="44A808E5"/>
    <w:rsid w:val="44A8366B"/>
    <w:rsid w:val="44A84E9A"/>
    <w:rsid w:val="44A8512F"/>
    <w:rsid w:val="44A87643"/>
    <w:rsid w:val="44A92F3F"/>
    <w:rsid w:val="44A947CA"/>
    <w:rsid w:val="44AA007C"/>
    <w:rsid w:val="44AA046E"/>
    <w:rsid w:val="44AA1E17"/>
    <w:rsid w:val="44AA3C64"/>
    <w:rsid w:val="44AB315B"/>
    <w:rsid w:val="44AB4F09"/>
    <w:rsid w:val="44AB5733"/>
    <w:rsid w:val="44AB6B65"/>
    <w:rsid w:val="44AB758F"/>
    <w:rsid w:val="44AC3DE7"/>
    <w:rsid w:val="44AC57B6"/>
    <w:rsid w:val="44AC62BB"/>
    <w:rsid w:val="44AD6DEF"/>
    <w:rsid w:val="44AD6ED3"/>
    <w:rsid w:val="44AE0556"/>
    <w:rsid w:val="44AE49FA"/>
    <w:rsid w:val="44AE67A8"/>
    <w:rsid w:val="44AF20E0"/>
    <w:rsid w:val="44AF71F4"/>
    <w:rsid w:val="44B02520"/>
    <w:rsid w:val="44B042CE"/>
    <w:rsid w:val="44B07D8A"/>
    <w:rsid w:val="44B1240C"/>
    <w:rsid w:val="44B21147"/>
    <w:rsid w:val="44B22596"/>
    <w:rsid w:val="44B244EA"/>
    <w:rsid w:val="44B2597F"/>
    <w:rsid w:val="44B26233"/>
    <w:rsid w:val="44B26298"/>
    <w:rsid w:val="44B2775D"/>
    <w:rsid w:val="44B30262"/>
    <w:rsid w:val="44B32C61"/>
    <w:rsid w:val="44B40737"/>
    <w:rsid w:val="44B41810"/>
    <w:rsid w:val="44B440F1"/>
    <w:rsid w:val="44B460D0"/>
    <w:rsid w:val="44B46184"/>
    <w:rsid w:val="44B47745"/>
    <w:rsid w:val="44B5065B"/>
    <w:rsid w:val="44B52A83"/>
    <w:rsid w:val="44B55581"/>
    <w:rsid w:val="44B57B36"/>
    <w:rsid w:val="44B615E2"/>
    <w:rsid w:val="44B65211"/>
    <w:rsid w:val="44B6565C"/>
    <w:rsid w:val="44B72A72"/>
    <w:rsid w:val="44B738AE"/>
    <w:rsid w:val="44B74E29"/>
    <w:rsid w:val="44B7553B"/>
    <w:rsid w:val="44B7617A"/>
    <w:rsid w:val="44B813D4"/>
    <w:rsid w:val="44B81C15"/>
    <w:rsid w:val="44B82E89"/>
    <w:rsid w:val="44B849A2"/>
    <w:rsid w:val="44B84A40"/>
    <w:rsid w:val="44B958C4"/>
    <w:rsid w:val="44BA48DA"/>
    <w:rsid w:val="44BA514C"/>
    <w:rsid w:val="44BB13F3"/>
    <w:rsid w:val="44BB3B40"/>
    <w:rsid w:val="44BB5457"/>
    <w:rsid w:val="44BC0EC5"/>
    <w:rsid w:val="44BC5340"/>
    <w:rsid w:val="44BC627B"/>
    <w:rsid w:val="44BC7095"/>
    <w:rsid w:val="44BC7116"/>
    <w:rsid w:val="44BD08C7"/>
    <w:rsid w:val="44BD4C3D"/>
    <w:rsid w:val="44BD7696"/>
    <w:rsid w:val="44BE2E8F"/>
    <w:rsid w:val="44BE4674"/>
    <w:rsid w:val="44BF09B5"/>
    <w:rsid w:val="44BF1204"/>
    <w:rsid w:val="44BF1545"/>
    <w:rsid w:val="44BF439D"/>
    <w:rsid w:val="44BF443E"/>
    <w:rsid w:val="44BF505E"/>
    <w:rsid w:val="44BF6C07"/>
    <w:rsid w:val="44C015AD"/>
    <w:rsid w:val="44C0516D"/>
    <w:rsid w:val="44C10289"/>
    <w:rsid w:val="44C13B24"/>
    <w:rsid w:val="44C1472D"/>
    <w:rsid w:val="44C15265"/>
    <w:rsid w:val="44C164DB"/>
    <w:rsid w:val="44C166F5"/>
    <w:rsid w:val="44C177A7"/>
    <w:rsid w:val="44C23FA5"/>
    <w:rsid w:val="44C2486E"/>
    <w:rsid w:val="44C259C2"/>
    <w:rsid w:val="44C304A5"/>
    <w:rsid w:val="44C305EF"/>
    <w:rsid w:val="44C31015"/>
    <w:rsid w:val="44C32C45"/>
    <w:rsid w:val="44C32ED5"/>
    <w:rsid w:val="44C33240"/>
    <w:rsid w:val="44C335AB"/>
    <w:rsid w:val="44C37C62"/>
    <w:rsid w:val="44C42D4D"/>
    <w:rsid w:val="44C55076"/>
    <w:rsid w:val="44C574F0"/>
    <w:rsid w:val="44C602C6"/>
    <w:rsid w:val="44C60389"/>
    <w:rsid w:val="44C61D43"/>
    <w:rsid w:val="44C63AF1"/>
    <w:rsid w:val="44C66B47"/>
    <w:rsid w:val="44C67F95"/>
    <w:rsid w:val="44C77869"/>
    <w:rsid w:val="44C77996"/>
    <w:rsid w:val="44C807F1"/>
    <w:rsid w:val="44C80E26"/>
    <w:rsid w:val="44C81ABF"/>
    <w:rsid w:val="44C839F7"/>
    <w:rsid w:val="44C85ABB"/>
    <w:rsid w:val="44C91833"/>
    <w:rsid w:val="44C922B6"/>
    <w:rsid w:val="44C92B5E"/>
    <w:rsid w:val="44CA45EA"/>
    <w:rsid w:val="44CA47EB"/>
    <w:rsid w:val="44CA64D2"/>
    <w:rsid w:val="44CB0EE8"/>
    <w:rsid w:val="44CB1108"/>
    <w:rsid w:val="44CB4337"/>
    <w:rsid w:val="44CB735A"/>
    <w:rsid w:val="44CC09CB"/>
    <w:rsid w:val="44CC2DB0"/>
    <w:rsid w:val="44CC66C5"/>
    <w:rsid w:val="44CD1324"/>
    <w:rsid w:val="44CD226D"/>
    <w:rsid w:val="44CD30D2"/>
    <w:rsid w:val="44CD3FF6"/>
    <w:rsid w:val="44CD4187"/>
    <w:rsid w:val="44CD4DC7"/>
    <w:rsid w:val="44CD4E80"/>
    <w:rsid w:val="44CD5459"/>
    <w:rsid w:val="44CE0BF8"/>
    <w:rsid w:val="44CE23EF"/>
    <w:rsid w:val="44CE4D42"/>
    <w:rsid w:val="44CE5A6E"/>
    <w:rsid w:val="44CE6E4A"/>
    <w:rsid w:val="44CE7869"/>
    <w:rsid w:val="44CF1669"/>
    <w:rsid w:val="44CF16A7"/>
    <w:rsid w:val="44CF21A5"/>
    <w:rsid w:val="44D006A1"/>
    <w:rsid w:val="44D051D2"/>
    <w:rsid w:val="44D06B35"/>
    <w:rsid w:val="44D0772C"/>
    <w:rsid w:val="44D106FA"/>
    <w:rsid w:val="44D13619"/>
    <w:rsid w:val="44D15BB8"/>
    <w:rsid w:val="44D173CC"/>
    <w:rsid w:val="44D21EDB"/>
    <w:rsid w:val="44D22496"/>
    <w:rsid w:val="44D256B2"/>
    <w:rsid w:val="44D2693A"/>
    <w:rsid w:val="44D34460"/>
    <w:rsid w:val="44D45DBC"/>
    <w:rsid w:val="44D46EBF"/>
    <w:rsid w:val="44D473C9"/>
    <w:rsid w:val="44D501D8"/>
    <w:rsid w:val="44D516D6"/>
    <w:rsid w:val="44D51F86"/>
    <w:rsid w:val="44D53D34"/>
    <w:rsid w:val="44D573FB"/>
    <w:rsid w:val="44D623BB"/>
    <w:rsid w:val="44D64678"/>
    <w:rsid w:val="44D648BA"/>
    <w:rsid w:val="44D64A72"/>
    <w:rsid w:val="44D657BB"/>
    <w:rsid w:val="44D7266C"/>
    <w:rsid w:val="44D758FA"/>
    <w:rsid w:val="44D7748B"/>
    <w:rsid w:val="44D77AAC"/>
    <w:rsid w:val="44D81A76"/>
    <w:rsid w:val="44D81DAB"/>
    <w:rsid w:val="44D83825"/>
    <w:rsid w:val="44D851D7"/>
    <w:rsid w:val="44D9117E"/>
    <w:rsid w:val="44D91288"/>
    <w:rsid w:val="44D946E1"/>
    <w:rsid w:val="44D949DA"/>
    <w:rsid w:val="44D94FD0"/>
    <w:rsid w:val="44D97599"/>
    <w:rsid w:val="44D97CC8"/>
    <w:rsid w:val="44DA0346"/>
    <w:rsid w:val="44DA239A"/>
    <w:rsid w:val="44DA759D"/>
    <w:rsid w:val="44DB01A8"/>
    <w:rsid w:val="44DB5FEF"/>
    <w:rsid w:val="44DB6732"/>
    <w:rsid w:val="44DC1567"/>
    <w:rsid w:val="44DC3315"/>
    <w:rsid w:val="44DC5059"/>
    <w:rsid w:val="44DC50C3"/>
    <w:rsid w:val="44DC6BB6"/>
    <w:rsid w:val="44DC7FE3"/>
    <w:rsid w:val="44DD0121"/>
    <w:rsid w:val="44DD2F1F"/>
    <w:rsid w:val="44DD4B85"/>
    <w:rsid w:val="44DD564F"/>
    <w:rsid w:val="44DD6EF8"/>
    <w:rsid w:val="44DE3430"/>
    <w:rsid w:val="44DE611A"/>
    <w:rsid w:val="44DE708D"/>
    <w:rsid w:val="44DF0FA7"/>
    <w:rsid w:val="44DF1057"/>
    <w:rsid w:val="44DF2AD6"/>
    <w:rsid w:val="44DF79D7"/>
    <w:rsid w:val="44DF7DA6"/>
    <w:rsid w:val="44E00565"/>
    <w:rsid w:val="44E01C7E"/>
    <w:rsid w:val="44E038C3"/>
    <w:rsid w:val="44E1092B"/>
    <w:rsid w:val="44E12287"/>
    <w:rsid w:val="44E126D9"/>
    <w:rsid w:val="44E139A6"/>
    <w:rsid w:val="44E226D9"/>
    <w:rsid w:val="44E24DB2"/>
    <w:rsid w:val="44E257DB"/>
    <w:rsid w:val="44E27298"/>
    <w:rsid w:val="44E2797E"/>
    <w:rsid w:val="44E27AF6"/>
    <w:rsid w:val="44E30318"/>
    <w:rsid w:val="44E32A51"/>
    <w:rsid w:val="44E355EF"/>
    <w:rsid w:val="44E35D89"/>
    <w:rsid w:val="44E35EB9"/>
    <w:rsid w:val="44E36EBE"/>
    <w:rsid w:val="44E4041B"/>
    <w:rsid w:val="44E406C7"/>
    <w:rsid w:val="44E410B5"/>
    <w:rsid w:val="44E41E08"/>
    <w:rsid w:val="44E44C2D"/>
    <w:rsid w:val="44E52F1F"/>
    <w:rsid w:val="44E56EC9"/>
    <w:rsid w:val="44E5721A"/>
    <w:rsid w:val="44E61627"/>
    <w:rsid w:val="44E6229A"/>
    <w:rsid w:val="44E666EB"/>
    <w:rsid w:val="44E67811"/>
    <w:rsid w:val="44E67CEF"/>
    <w:rsid w:val="44E70410"/>
    <w:rsid w:val="44E73A68"/>
    <w:rsid w:val="44E801E2"/>
    <w:rsid w:val="44E80DC6"/>
    <w:rsid w:val="44E81CBA"/>
    <w:rsid w:val="44E82E6F"/>
    <w:rsid w:val="44E86207"/>
    <w:rsid w:val="44E87F0C"/>
    <w:rsid w:val="44E900B7"/>
    <w:rsid w:val="44E90467"/>
    <w:rsid w:val="44E90828"/>
    <w:rsid w:val="44E93C84"/>
    <w:rsid w:val="44E95A32"/>
    <w:rsid w:val="44E97761"/>
    <w:rsid w:val="44E977E0"/>
    <w:rsid w:val="44EA1BDA"/>
    <w:rsid w:val="44EA41C0"/>
    <w:rsid w:val="44EA5ED6"/>
    <w:rsid w:val="44EA68D7"/>
    <w:rsid w:val="44EB17AA"/>
    <w:rsid w:val="44EB3558"/>
    <w:rsid w:val="44EB49FC"/>
    <w:rsid w:val="44EB64CD"/>
    <w:rsid w:val="44EB6D91"/>
    <w:rsid w:val="44EB79FC"/>
    <w:rsid w:val="44EC107E"/>
    <w:rsid w:val="44EC1382"/>
    <w:rsid w:val="44EC3F73"/>
    <w:rsid w:val="44EC5E74"/>
    <w:rsid w:val="44EC70BB"/>
    <w:rsid w:val="44ED1491"/>
    <w:rsid w:val="44ED2C53"/>
    <w:rsid w:val="44ED3F1C"/>
    <w:rsid w:val="44ED5522"/>
    <w:rsid w:val="44ED72D0"/>
    <w:rsid w:val="44EE3048"/>
    <w:rsid w:val="44EE31AE"/>
    <w:rsid w:val="44EE459B"/>
    <w:rsid w:val="44EE4DF6"/>
    <w:rsid w:val="44EF214B"/>
    <w:rsid w:val="44EF4B92"/>
    <w:rsid w:val="44EF6BA2"/>
    <w:rsid w:val="44F03F34"/>
    <w:rsid w:val="44F0490C"/>
    <w:rsid w:val="44F10A68"/>
    <w:rsid w:val="44F11A7C"/>
    <w:rsid w:val="44F134C9"/>
    <w:rsid w:val="44F15AD0"/>
    <w:rsid w:val="44F15BF9"/>
    <w:rsid w:val="44F24093"/>
    <w:rsid w:val="44F31333"/>
    <w:rsid w:val="44F33E9F"/>
    <w:rsid w:val="44F357BB"/>
    <w:rsid w:val="44F3689D"/>
    <w:rsid w:val="44F413BA"/>
    <w:rsid w:val="44F453CB"/>
    <w:rsid w:val="44F466CA"/>
    <w:rsid w:val="44F468B0"/>
    <w:rsid w:val="44F469E1"/>
    <w:rsid w:val="44F47E7E"/>
    <w:rsid w:val="44F52628"/>
    <w:rsid w:val="44F529B8"/>
    <w:rsid w:val="44F543D6"/>
    <w:rsid w:val="44F550CB"/>
    <w:rsid w:val="44F57A18"/>
    <w:rsid w:val="44F60FC1"/>
    <w:rsid w:val="44F66674"/>
    <w:rsid w:val="44F66FA7"/>
    <w:rsid w:val="44F7014F"/>
    <w:rsid w:val="44F72966"/>
    <w:rsid w:val="44F74432"/>
    <w:rsid w:val="44F757B4"/>
    <w:rsid w:val="44F763A1"/>
    <w:rsid w:val="44F7641F"/>
    <w:rsid w:val="44F85C75"/>
    <w:rsid w:val="44F87A23"/>
    <w:rsid w:val="44F87BE0"/>
    <w:rsid w:val="44F90CAD"/>
    <w:rsid w:val="44F92119"/>
    <w:rsid w:val="44F93789"/>
    <w:rsid w:val="44F94D47"/>
    <w:rsid w:val="44F95549"/>
    <w:rsid w:val="44F95A44"/>
    <w:rsid w:val="44FA19ED"/>
    <w:rsid w:val="44FA2A5B"/>
    <w:rsid w:val="44FA379B"/>
    <w:rsid w:val="44FA39DA"/>
    <w:rsid w:val="44FA3CB5"/>
    <w:rsid w:val="44FA573F"/>
    <w:rsid w:val="44FA6A22"/>
    <w:rsid w:val="44FA7C3F"/>
    <w:rsid w:val="44FB0C05"/>
    <w:rsid w:val="44FB798B"/>
    <w:rsid w:val="44FC28E5"/>
    <w:rsid w:val="44FC65AD"/>
    <w:rsid w:val="44FC7513"/>
    <w:rsid w:val="44FD2D30"/>
    <w:rsid w:val="44FD5C55"/>
    <w:rsid w:val="44FD7629"/>
    <w:rsid w:val="44FE3AC6"/>
    <w:rsid w:val="44FE5247"/>
    <w:rsid w:val="44FE66BE"/>
    <w:rsid w:val="44FF01DC"/>
    <w:rsid w:val="44FF0DB1"/>
    <w:rsid w:val="44FF1D97"/>
    <w:rsid w:val="44FF5153"/>
    <w:rsid w:val="44FF5255"/>
    <w:rsid w:val="44FF6697"/>
    <w:rsid w:val="44FF66BF"/>
    <w:rsid w:val="44FF7003"/>
    <w:rsid w:val="450021F1"/>
    <w:rsid w:val="45002DE3"/>
    <w:rsid w:val="45010FB7"/>
    <w:rsid w:val="45012A25"/>
    <w:rsid w:val="45012D7B"/>
    <w:rsid w:val="4501362C"/>
    <w:rsid w:val="45014B2B"/>
    <w:rsid w:val="45020967"/>
    <w:rsid w:val="450234C9"/>
    <w:rsid w:val="45025018"/>
    <w:rsid w:val="4502593A"/>
    <w:rsid w:val="45027EEA"/>
    <w:rsid w:val="45031441"/>
    <w:rsid w:val="45031FB6"/>
    <w:rsid w:val="450327C4"/>
    <w:rsid w:val="450328FC"/>
    <w:rsid w:val="450338D7"/>
    <w:rsid w:val="450364A8"/>
    <w:rsid w:val="45036AF3"/>
    <w:rsid w:val="4504461A"/>
    <w:rsid w:val="450459B1"/>
    <w:rsid w:val="4505261C"/>
    <w:rsid w:val="450532CE"/>
    <w:rsid w:val="4505392D"/>
    <w:rsid w:val="450659A1"/>
    <w:rsid w:val="4506785B"/>
    <w:rsid w:val="4507213D"/>
    <w:rsid w:val="45072436"/>
    <w:rsid w:val="45076A0F"/>
    <w:rsid w:val="45077267"/>
    <w:rsid w:val="45077E79"/>
    <w:rsid w:val="45081F45"/>
    <w:rsid w:val="4508410A"/>
    <w:rsid w:val="45085BA5"/>
    <w:rsid w:val="45085EB8"/>
    <w:rsid w:val="45090916"/>
    <w:rsid w:val="45091528"/>
    <w:rsid w:val="45091C30"/>
    <w:rsid w:val="45093896"/>
    <w:rsid w:val="4509661E"/>
    <w:rsid w:val="45097C36"/>
    <w:rsid w:val="450A073E"/>
    <w:rsid w:val="450A1AC0"/>
    <w:rsid w:val="450A43D0"/>
    <w:rsid w:val="450A7DE9"/>
    <w:rsid w:val="450B1E4C"/>
    <w:rsid w:val="450B264A"/>
    <w:rsid w:val="450B2A1F"/>
    <w:rsid w:val="450B31BA"/>
    <w:rsid w:val="450B4E17"/>
    <w:rsid w:val="450B77DC"/>
    <w:rsid w:val="450C161D"/>
    <w:rsid w:val="450C4160"/>
    <w:rsid w:val="450C58FF"/>
    <w:rsid w:val="450C6BD7"/>
    <w:rsid w:val="450C6FA3"/>
    <w:rsid w:val="450D2DCB"/>
    <w:rsid w:val="450D34CE"/>
    <w:rsid w:val="450D6F56"/>
    <w:rsid w:val="450D7972"/>
    <w:rsid w:val="450E2CBE"/>
    <w:rsid w:val="450E5498"/>
    <w:rsid w:val="450E6CCD"/>
    <w:rsid w:val="450E7246"/>
    <w:rsid w:val="450F673E"/>
    <w:rsid w:val="450F6AC5"/>
    <w:rsid w:val="45102FBE"/>
    <w:rsid w:val="45103B7C"/>
    <w:rsid w:val="451050E3"/>
    <w:rsid w:val="4510761C"/>
    <w:rsid w:val="45112376"/>
    <w:rsid w:val="451132F0"/>
    <w:rsid w:val="4511711A"/>
    <w:rsid w:val="451172DF"/>
    <w:rsid w:val="45120AE5"/>
    <w:rsid w:val="45121E60"/>
    <w:rsid w:val="45122D95"/>
    <w:rsid w:val="451231DA"/>
    <w:rsid w:val="451237DC"/>
    <w:rsid w:val="45123D63"/>
    <w:rsid w:val="45124B0D"/>
    <w:rsid w:val="45124BAC"/>
    <w:rsid w:val="45124F88"/>
    <w:rsid w:val="45126D36"/>
    <w:rsid w:val="451324A4"/>
    <w:rsid w:val="451333CC"/>
    <w:rsid w:val="451341FA"/>
    <w:rsid w:val="4513485D"/>
    <w:rsid w:val="45135498"/>
    <w:rsid w:val="45140438"/>
    <w:rsid w:val="45142F3A"/>
    <w:rsid w:val="4514738A"/>
    <w:rsid w:val="451505D5"/>
    <w:rsid w:val="451508BD"/>
    <w:rsid w:val="45150EB9"/>
    <w:rsid w:val="45154098"/>
    <w:rsid w:val="45160DDA"/>
    <w:rsid w:val="45161D4D"/>
    <w:rsid w:val="451707F1"/>
    <w:rsid w:val="45172264"/>
    <w:rsid w:val="4517259F"/>
    <w:rsid w:val="451731DD"/>
    <w:rsid w:val="45177E4B"/>
    <w:rsid w:val="45177E7F"/>
    <w:rsid w:val="45181E73"/>
    <w:rsid w:val="45186E68"/>
    <w:rsid w:val="451906CE"/>
    <w:rsid w:val="45192BB0"/>
    <w:rsid w:val="451939F0"/>
    <w:rsid w:val="4519478C"/>
    <w:rsid w:val="45196317"/>
    <w:rsid w:val="451A097E"/>
    <w:rsid w:val="451A1B5E"/>
    <w:rsid w:val="451A208F"/>
    <w:rsid w:val="451A3548"/>
    <w:rsid w:val="451A4070"/>
    <w:rsid w:val="451A5BEB"/>
    <w:rsid w:val="451A60F4"/>
    <w:rsid w:val="451A7F12"/>
    <w:rsid w:val="451C1550"/>
    <w:rsid w:val="451C44AE"/>
    <w:rsid w:val="451C5E07"/>
    <w:rsid w:val="451D0529"/>
    <w:rsid w:val="451D204E"/>
    <w:rsid w:val="451E392D"/>
    <w:rsid w:val="451E3C1B"/>
    <w:rsid w:val="451E56DB"/>
    <w:rsid w:val="451E577A"/>
    <w:rsid w:val="451F0174"/>
    <w:rsid w:val="451F1453"/>
    <w:rsid w:val="451F222F"/>
    <w:rsid w:val="451F2807"/>
    <w:rsid w:val="451F4853"/>
    <w:rsid w:val="452105A1"/>
    <w:rsid w:val="45216E60"/>
    <w:rsid w:val="45216F7A"/>
    <w:rsid w:val="45221BF7"/>
    <w:rsid w:val="45221D9E"/>
    <w:rsid w:val="45223107"/>
    <w:rsid w:val="452301E3"/>
    <w:rsid w:val="45230F44"/>
    <w:rsid w:val="452330AE"/>
    <w:rsid w:val="45234D20"/>
    <w:rsid w:val="45240818"/>
    <w:rsid w:val="45244CBC"/>
    <w:rsid w:val="452450E9"/>
    <w:rsid w:val="4524554F"/>
    <w:rsid w:val="45246EEE"/>
    <w:rsid w:val="45246F22"/>
    <w:rsid w:val="45247D3A"/>
    <w:rsid w:val="45250025"/>
    <w:rsid w:val="45251DDD"/>
    <w:rsid w:val="45252F0E"/>
    <w:rsid w:val="4525304D"/>
    <w:rsid w:val="452533ED"/>
    <w:rsid w:val="452614E8"/>
    <w:rsid w:val="45262A03"/>
    <w:rsid w:val="45263E91"/>
    <w:rsid w:val="45264590"/>
    <w:rsid w:val="452721A6"/>
    <w:rsid w:val="45276A11"/>
    <w:rsid w:val="45276A8D"/>
    <w:rsid w:val="45276AC4"/>
    <w:rsid w:val="452775FC"/>
    <w:rsid w:val="452779D7"/>
    <w:rsid w:val="45280308"/>
    <w:rsid w:val="452803B1"/>
    <w:rsid w:val="45284FD6"/>
    <w:rsid w:val="4528655A"/>
    <w:rsid w:val="45287CE3"/>
    <w:rsid w:val="452901E6"/>
    <w:rsid w:val="45291BD0"/>
    <w:rsid w:val="45292FA8"/>
    <w:rsid w:val="4529323B"/>
    <w:rsid w:val="45297585"/>
    <w:rsid w:val="452A0524"/>
    <w:rsid w:val="452A22D2"/>
    <w:rsid w:val="452A3676"/>
    <w:rsid w:val="452A4274"/>
    <w:rsid w:val="452A7065"/>
    <w:rsid w:val="452B1BA6"/>
    <w:rsid w:val="452B604A"/>
    <w:rsid w:val="452C4377"/>
    <w:rsid w:val="452C57D7"/>
    <w:rsid w:val="452D1A4C"/>
    <w:rsid w:val="452D1DC2"/>
    <w:rsid w:val="452D211C"/>
    <w:rsid w:val="452D3C06"/>
    <w:rsid w:val="452D4BD5"/>
    <w:rsid w:val="452D6FE8"/>
    <w:rsid w:val="452E0D11"/>
    <w:rsid w:val="452E0DFB"/>
    <w:rsid w:val="452E2FC7"/>
    <w:rsid w:val="452E449D"/>
    <w:rsid w:val="452E6D18"/>
    <w:rsid w:val="452E7D05"/>
    <w:rsid w:val="452F0C64"/>
    <w:rsid w:val="452F2D62"/>
    <w:rsid w:val="452F3F18"/>
    <w:rsid w:val="452F4035"/>
    <w:rsid w:val="452F5B3A"/>
    <w:rsid w:val="452F6379"/>
    <w:rsid w:val="452F78E8"/>
    <w:rsid w:val="453018B3"/>
    <w:rsid w:val="453018D5"/>
    <w:rsid w:val="453019DB"/>
    <w:rsid w:val="45303661"/>
    <w:rsid w:val="4530540F"/>
    <w:rsid w:val="45306805"/>
    <w:rsid w:val="45307B7D"/>
    <w:rsid w:val="453109D2"/>
    <w:rsid w:val="45310CC2"/>
    <w:rsid w:val="45311DBB"/>
    <w:rsid w:val="45313946"/>
    <w:rsid w:val="45321187"/>
    <w:rsid w:val="45321C9B"/>
    <w:rsid w:val="45324CC1"/>
    <w:rsid w:val="45326E77"/>
    <w:rsid w:val="453273D9"/>
    <w:rsid w:val="45330ABA"/>
    <w:rsid w:val="45331082"/>
    <w:rsid w:val="45336CAD"/>
    <w:rsid w:val="453373FB"/>
    <w:rsid w:val="4534224D"/>
    <w:rsid w:val="45350C77"/>
    <w:rsid w:val="45356EC9"/>
    <w:rsid w:val="45357DD0"/>
    <w:rsid w:val="4536086E"/>
    <w:rsid w:val="4536139F"/>
    <w:rsid w:val="45362049"/>
    <w:rsid w:val="4536382F"/>
    <w:rsid w:val="45364E65"/>
    <w:rsid w:val="45365F5E"/>
    <w:rsid w:val="45367B8A"/>
    <w:rsid w:val="453738FE"/>
    <w:rsid w:val="453749EF"/>
    <w:rsid w:val="45375160"/>
    <w:rsid w:val="45375398"/>
    <w:rsid w:val="453776CF"/>
    <w:rsid w:val="453802CC"/>
    <w:rsid w:val="4538141D"/>
    <w:rsid w:val="45382904"/>
    <w:rsid w:val="4538593A"/>
    <w:rsid w:val="45385DF3"/>
    <w:rsid w:val="45386828"/>
    <w:rsid w:val="4538724D"/>
    <w:rsid w:val="4538782B"/>
    <w:rsid w:val="45390767"/>
    <w:rsid w:val="453920BE"/>
    <w:rsid w:val="45392515"/>
    <w:rsid w:val="453941D7"/>
    <w:rsid w:val="453942C3"/>
    <w:rsid w:val="45394835"/>
    <w:rsid w:val="45394B60"/>
    <w:rsid w:val="45394E42"/>
    <w:rsid w:val="453A003B"/>
    <w:rsid w:val="453A02DF"/>
    <w:rsid w:val="453A1F2E"/>
    <w:rsid w:val="453B199C"/>
    <w:rsid w:val="453B25D8"/>
    <w:rsid w:val="453B2B6A"/>
    <w:rsid w:val="453B2BE1"/>
    <w:rsid w:val="453B6FC4"/>
    <w:rsid w:val="453C0D88"/>
    <w:rsid w:val="453C180B"/>
    <w:rsid w:val="453C294A"/>
    <w:rsid w:val="453C3DB3"/>
    <w:rsid w:val="453C725B"/>
    <w:rsid w:val="453D5611"/>
    <w:rsid w:val="453D603A"/>
    <w:rsid w:val="453D6639"/>
    <w:rsid w:val="453E0B5E"/>
    <w:rsid w:val="453E18DA"/>
    <w:rsid w:val="453E24F3"/>
    <w:rsid w:val="453E3FCF"/>
    <w:rsid w:val="453E5D7D"/>
    <w:rsid w:val="453E7B2C"/>
    <w:rsid w:val="453F355F"/>
    <w:rsid w:val="453F38A4"/>
    <w:rsid w:val="453F418E"/>
    <w:rsid w:val="453F5652"/>
    <w:rsid w:val="45400D45"/>
    <w:rsid w:val="45401AF6"/>
    <w:rsid w:val="454038BD"/>
    <w:rsid w:val="4540486D"/>
    <w:rsid w:val="45404BDA"/>
    <w:rsid w:val="45404FBA"/>
    <w:rsid w:val="45405297"/>
    <w:rsid w:val="454113CA"/>
    <w:rsid w:val="45412DB8"/>
    <w:rsid w:val="45414A46"/>
    <w:rsid w:val="45415BC7"/>
    <w:rsid w:val="4541761C"/>
    <w:rsid w:val="45417AD3"/>
    <w:rsid w:val="45420EBC"/>
    <w:rsid w:val="4542745F"/>
    <w:rsid w:val="454315E6"/>
    <w:rsid w:val="4543199C"/>
    <w:rsid w:val="454331F3"/>
    <w:rsid w:val="45434139"/>
    <w:rsid w:val="4543726A"/>
    <w:rsid w:val="45437DA5"/>
    <w:rsid w:val="45440EBA"/>
    <w:rsid w:val="45442348"/>
    <w:rsid w:val="45443176"/>
    <w:rsid w:val="454439B2"/>
    <w:rsid w:val="45444DCB"/>
    <w:rsid w:val="4544558E"/>
    <w:rsid w:val="45447252"/>
    <w:rsid w:val="454554FA"/>
    <w:rsid w:val="4545715D"/>
    <w:rsid w:val="45457D42"/>
    <w:rsid w:val="454607EE"/>
    <w:rsid w:val="45460E2C"/>
    <w:rsid w:val="45462E84"/>
    <w:rsid w:val="45464C32"/>
    <w:rsid w:val="454676EB"/>
    <w:rsid w:val="45467F62"/>
    <w:rsid w:val="45470D73"/>
    <w:rsid w:val="454722BC"/>
    <w:rsid w:val="4547422D"/>
    <w:rsid w:val="45474732"/>
    <w:rsid w:val="454809AA"/>
    <w:rsid w:val="45482758"/>
    <w:rsid w:val="454861F9"/>
    <w:rsid w:val="45486BFC"/>
    <w:rsid w:val="4549288E"/>
    <w:rsid w:val="454930B7"/>
    <w:rsid w:val="45494786"/>
    <w:rsid w:val="4549548A"/>
    <w:rsid w:val="454A1EBC"/>
    <w:rsid w:val="454A2974"/>
    <w:rsid w:val="454A4722"/>
    <w:rsid w:val="454A5CD4"/>
    <w:rsid w:val="454A606C"/>
    <w:rsid w:val="454A7111"/>
    <w:rsid w:val="454B20CD"/>
    <w:rsid w:val="454B3FF6"/>
    <w:rsid w:val="454B524C"/>
    <w:rsid w:val="454B6A4A"/>
    <w:rsid w:val="454B6F23"/>
    <w:rsid w:val="454C453A"/>
    <w:rsid w:val="454D2C02"/>
    <w:rsid w:val="454D4212"/>
    <w:rsid w:val="454D57D5"/>
    <w:rsid w:val="454D75BE"/>
    <w:rsid w:val="454D7D6F"/>
    <w:rsid w:val="454E438F"/>
    <w:rsid w:val="454E64CF"/>
    <w:rsid w:val="454F5415"/>
    <w:rsid w:val="454F5C97"/>
    <w:rsid w:val="454F7F8B"/>
    <w:rsid w:val="45500F6A"/>
    <w:rsid w:val="4550160D"/>
    <w:rsid w:val="4551177C"/>
    <w:rsid w:val="45511BA7"/>
    <w:rsid w:val="45513D03"/>
    <w:rsid w:val="45520893"/>
    <w:rsid w:val="455235D7"/>
    <w:rsid w:val="4552480F"/>
    <w:rsid w:val="45525385"/>
    <w:rsid w:val="455336A1"/>
    <w:rsid w:val="45533D78"/>
    <w:rsid w:val="455356B2"/>
    <w:rsid w:val="45535A3F"/>
    <w:rsid w:val="455373A6"/>
    <w:rsid w:val="4553797C"/>
    <w:rsid w:val="45540A3D"/>
    <w:rsid w:val="455448C0"/>
    <w:rsid w:val="455455A1"/>
    <w:rsid w:val="45545E95"/>
    <w:rsid w:val="45554C69"/>
    <w:rsid w:val="455555DB"/>
    <w:rsid w:val="45561319"/>
    <w:rsid w:val="4556141E"/>
    <w:rsid w:val="4556239D"/>
    <w:rsid w:val="45564F1D"/>
    <w:rsid w:val="45565120"/>
    <w:rsid w:val="45571DB1"/>
    <w:rsid w:val="4557299B"/>
    <w:rsid w:val="45583241"/>
    <w:rsid w:val="4558401B"/>
    <w:rsid w:val="4559189C"/>
    <w:rsid w:val="4559595A"/>
    <w:rsid w:val="45595DF7"/>
    <w:rsid w:val="4559606D"/>
    <w:rsid w:val="45596713"/>
    <w:rsid w:val="45597474"/>
    <w:rsid w:val="455A3548"/>
    <w:rsid w:val="455A3683"/>
    <w:rsid w:val="455B0319"/>
    <w:rsid w:val="455B2F67"/>
    <w:rsid w:val="455B4FD9"/>
    <w:rsid w:val="455B581A"/>
    <w:rsid w:val="455B5B76"/>
    <w:rsid w:val="455C6204"/>
    <w:rsid w:val="455C717C"/>
    <w:rsid w:val="455D146C"/>
    <w:rsid w:val="455D164F"/>
    <w:rsid w:val="455D2358"/>
    <w:rsid w:val="455E04C5"/>
    <w:rsid w:val="455E1F7C"/>
    <w:rsid w:val="455F02AE"/>
    <w:rsid w:val="455F0489"/>
    <w:rsid w:val="455F0D68"/>
    <w:rsid w:val="455F19D3"/>
    <w:rsid w:val="455F2A3B"/>
    <w:rsid w:val="455F300E"/>
    <w:rsid w:val="455F5742"/>
    <w:rsid w:val="455F598B"/>
    <w:rsid w:val="455F6E02"/>
    <w:rsid w:val="455F79AE"/>
    <w:rsid w:val="45602F21"/>
    <w:rsid w:val="45603961"/>
    <w:rsid w:val="4560402B"/>
    <w:rsid w:val="45605648"/>
    <w:rsid w:val="45605CF4"/>
    <w:rsid w:val="45606204"/>
    <w:rsid w:val="45607815"/>
    <w:rsid w:val="45612608"/>
    <w:rsid w:val="45613D01"/>
    <w:rsid w:val="4561639F"/>
    <w:rsid w:val="45616A75"/>
    <w:rsid w:val="456170AA"/>
    <w:rsid w:val="45620EDF"/>
    <w:rsid w:val="45622D3C"/>
    <w:rsid w:val="45633A36"/>
    <w:rsid w:val="45634D66"/>
    <w:rsid w:val="456357E4"/>
    <w:rsid w:val="456404FB"/>
    <w:rsid w:val="456405A7"/>
    <w:rsid w:val="456412CD"/>
    <w:rsid w:val="456417E4"/>
    <w:rsid w:val="456445D8"/>
    <w:rsid w:val="456450B8"/>
    <w:rsid w:val="45646DA6"/>
    <w:rsid w:val="45650877"/>
    <w:rsid w:val="4565155C"/>
    <w:rsid w:val="45652C95"/>
    <w:rsid w:val="456543A8"/>
    <w:rsid w:val="45656324"/>
    <w:rsid w:val="45660D7D"/>
    <w:rsid w:val="45671C63"/>
    <w:rsid w:val="4567502D"/>
    <w:rsid w:val="456767D8"/>
    <w:rsid w:val="4568104C"/>
    <w:rsid w:val="45682DFA"/>
    <w:rsid w:val="456844E0"/>
    <w:rsid w:val="45684BA8"/>
    <w:rsid w:val="45686297"/>
    <w:rsid w:val="45686935"/>
    <w:rsid w:val="456879C1"/>
    <w:rsid w:val="456926CF"/>
    <w:rsid w:val="45692A85"/>
    <w:rsid w:val="45694FE4"/>
    <w:rsid w:val="456A0E32"/>
    <w:rsid w:val="456A18F5"/>
    <w:rsid w:val="456A2C2B"/>
    <w:rsid w:val="456A4DC4"/>
    <w:rsid w:val="456A6AE6"/>
    <w:rsid w:val="456B04D9"/>
    <w:rsid w:val="456B17C8"/>
    <w:rsid w:val="456B1E3B"/>
    <w:rsid w:val="456B28EB"/>
    <w:rsid w:val="456B71A4"/>
    <w:rsid w:val="456B7F76"/>
    <w:rsid w:val="456C0DE4"/>
    <w:rsid w:val="456D0411"/>
    <w:rsid w:val="456D0596"/>
    <w:rsid w:val="456D302D"/>
    <w:rsid w:val="456D4619"/>
    <w:rsid w:val="456D73CD"/>
    <w:rsid w:val="456E113A"/>
    <w:rsid w:val="456E22BF"/>
    <w:rsid w:val="456E4381"/>
    <w:rsid w:val="456E4CAA"/>
    <w:rsid w:val="456E5467"/>
    <w:rsid w:val="456E6054"/>
    <w:rsid w:val="456E6571"/>
    <w:rsid w:val="456F1408"/>
    <w:rsid w:val="456F23DB"/>
    <w:rsid w:val="456F2434"/>
    <w:rsid w:val="456F2B16"/>
    <w:rsid w:val="456F5F37"/>
    <w:rsid w:val="4570109D"/>
    <w:rsid w:val="45701CAF"/>
    <w:rsid w:val="45702FAD"/>
    <w:rsid w:val="45703E51"/>
    <w:rsid w:val="457047E6"/>
    <w:rsid w:val="45704E38"/>
    <w:rsid w:val="45706694"/>
    <w:rsid w:val="457223BB"/>
    <w:rsid w:val="45723C79"/>
    <w:rsid w:val="4572489D"/>
    <w:rsid w:val="4572555E"/>
    <w:rsid w:val="45725A27"/>
    <w:rsid w:val="4572606E"/>
    <w:rsid w:val="4572626F"/>
    <w:rsid w:val="45727F0B"/>
    <w:rsid w:val="45730AF9"/>
    <w:rsid w:val="45732BFA"/>
    <w:rsid w:val="45740AB8"/>
    <w:rsid w:val="45744DF5"/>
    <w:rsid w:val="4575304C"/>
    <w:rsid w:val="45753233"/>
    <w:rsid w:val="45753C6A"/>
    <w:rsid w:val="45754997"/>
    <w:rsid w:val="457556F4"/>
    <w:rsid w:val="457645E4"/>
    <w:rsid w:val="45765089"/>
    <w:rsid w:val="45767B0E"/>
    <w:rsid w:val="4577128F"/>
    <w:rsid w:val="4577303D"/>
    <w:rsid w:val="45774DEB"/>
    <w:rsid w:val="45776395"/>
    <w:rsid w:val="45777C5A"/>
    <w:rsid w:val="457810EA"/>
    <w:rsid w:val="45782CD1"/>
    <w:rsid w:val="45783CBB"/>
    <w:rsid w:val="457847A0"/>
    <w:rsid w:val="45787688"/>
    <w:rsid w:val="45790B64"/>
    <w:rsid w:val="4579171F"/>
    <w:rsid w:val="45795008"/>
    <w:rsid w:val="457A3333"/>
    <w:rsid w:val="457B01B0"/>
    <w:rsid w:val="457B08E5"/>
    <w:rsid w:val="457B0D80"/>
    <w:rsid w:val="457B2B2E"/>
    <w:rsid w:val="457C0654"/>
    <w:rsid w:val="457C0EFB"/>
    <w:rsid w:val="457C1C0A"/>
    <w:rsid w:val="457C4AF8"/>
    <w:rsid w:val="457C68A6"/>
    <w:rsid w:val="457D1155"/>
    <w:rsid w:val="457D3034"/>
    <w:rsid w:val="457D64B3"/>
    <w:rsid w:val="457D756D"/>
    <w:rsid w:val="457E027B"/>
    <w:rsid w:val="457E261E"/>
    <w:rsid w:val="457E2EE4"/>
    <w:rsid w:val="457E31A4"/>
    <w:rsid w:val="457E43CC"/>
    <w:rsid w:val="457E749F"/>
    <w:rsid w:val="457F0FBD"/>
    <w:rsid w:val="457F1EF2"/>
    <w:rsid w:val="457F63EC"/>
    <w:rsid w:val="457F72E8"/>
    <w:rsid w:val="45800144"/>
    <w:rsid w:val="458011E6"/>
    <w:rsid w:val="4580244D"/>
    <w:rsid w:val="45803520"/>
    <w:rsid w:val="45804154"/>
    <w:rsid w:val="45806396"/>
    <w:rsid w:val="458104F7"/>
    <w:rsid w:val="45813B46"/>
    <w:rsid w:val="45815C6A"/>
    <w:rsid w:val="45815FAD"/>
    <w:rsid w:val="45817DCA"/>
    <w:rsid w:val="45832255"/>
    <w:rsid w:val="45833790"/>
    <w:rsid w:val="45833E8D"/>
    <w:rsid w:val="45834316"/>
    <w:rsid w:val="45842920"/>
    <w:rsid w:val="45851689"/>
    <w:rsid w:val="45852B2D"/>
    <w:rsid w:val="458539AC"/>
    <w:rsid w:val="45854FCC"/>
    <w:rsid w:val="4585533A"/>
    <w:rsid w:val="45857508"/>
    <w:rsid w:val="4586075F"/>
    <w:rsid w:val="45860B31"/>
    <w:rsid w:val="458614D2"/>
    <w:rsid w:val="45863281"/>
    <w:rsid w:val="45863949"/>
    <w:rsid w:val="458670A5"/>
    <w:rsid w:val="458673AE"/>
    <w:rsid w:val="45874790"/>
    <w:rsid w:val="4587600E"/>
    <w:rsid w:val="45876D69"/>
    <w:rsid w:val="45877204"/>
    <w:rsid w:val="45884380"/>
    <w:rsid w:val="45884CB1"/>
    <w:rsid w:val="45885250"/>
    <w:rsid w:val="45887DA0"/>
    <w:rsid w:val="4589137A"/>
    <w:rsid w:val="458932F2"/>
    <w:rsid w:val="458A0FC3"/>
    <w:rsid w:val="458A3B6C"/>
    <w:rsid w:val="458A4B1F"/>
    <w:rsid w:val="458A572B"/>
    <w:rsid w:val="458A7AEC"/>
    <w:rsid w:val="458B0897"/>
    <w:rsid w:val="458B7E75"/>
    <w:rsid w:val="458C0345"/>
    <w:rsid w:val="458C04FD"/>
    <w:rsid w:val="458C0826"/>
    <w:rsid w:val="458C08A4"/>
    <w:rsid w:val="458C18BB"/>
    <w:rsid w:val="458D0AB3"/>
    <w:rsid w:val="458D0E99"/>
    <w:rsid w:val="458D12FD"/>
    <w:rsid w:val="458D2952"/>
    <w:rsid w:val="458D460F"/>
    <w:rsid w:val="458D4886"/>
    <w:rsid w:val="458D57CB"/>
    <w:rsid w:val="458E20B9"/>
    <w:rsid w:val="458E3E27"/>
    <w:rsid w:val="458E5E13"/>
    <w:rsid w:val="458E7DED"/>
    <w:rsid w:val="458F1AB8"/>
    <w:rsid w:val="458F1EA8"/>
    <w:rsid w:val="458F482B"/>
    <w:rsid w:val="459028E0"/>
    <w:rsid w:val="459029C9"/>
    <w:rsid w:val="459040FF"/>
    <w:rsid w:val="45912351"/>
    <w:rsid w:val="45927198"/>
    <w:rsid w:val="45927E77"/>
    <w:rsid w:val="45930003"/>
    <w:rsid w:val="459323B9"/>
    <w:rsid w:val="4593301B"/>
    <w:rsid w:val="45935EA0"/>
    <w:rsid w:val="459364EB"/>
    <w:rsid w:val="45941D53"/>
    <w:rsid w:val="45942689"/>
    <w:rsid w:val="45943BEF"/>
    <w:rsid w:val="4594599D"/>
    <w:rsid w:val="459531E3"/>
    <w:rsid w:val="459534C4"/>
    <w:rsid w:val="45954AD7"/>
    <w:rsid w:val="45955EBE"/>
    <w:rsid w:val="459571C4"/>
    <w:rsid w:val="45960980"/>
    <w:rsid w:val="45961716"/>
    <w:rsid w:val="459638A3"/>
    <w:rsid w:val="45965BB9"/>
    <w:rsid w:val="45967968"/>
    <w:rsid w:val="459707AB"/>
    <w:rsid w:val="4597409E"/>
    <w:rsid w:val="459742BC"/>
    <w:rsid w:val="4597548E"/>
    <w:rsid w:val="459760DA"/>
    <w:rsid w:val="4598072C"/>
    <w:rsid w:val="459832A0"/>
    <w:rsid w:val="45990777"/>
    <w:rsid w:val="45992FB4"/>
    <w:rsid w:val="45996F35"/>
    <w:rsid w:val="459A05EE"/>
    <w:rsid w:val="459A2FF4"/>
    <w:rsid w:val="459A35C2"/>
    <w:rsid w:val="459A5C0D"/>
    <w:rsid w:val="459B1323"/>
    <w:rsid w:val="459B31D0"/>
    <w:rsid w:val="459B4F7E"/>
    <w:rsid w:val="459B55E1"/>
    <w:rsid w:val="459B6D2C"/>
    <w:rsid w:val="459C0D63"/>
    <w:rsid w:val="459C5E1E"/>
    <w:rsid w:val="459D0722"/>
    <w:rsid w:val="459D4988"/>
    <w:rsid w:val="459E05CA"/>
    <w:rsid w:val="459E5B5E"/>
    <w:rsid w:val="459E681C"/>
    <w:rsid w:val="459E6C30"/>
    <w:rsid w:val="459F4295"/>
    <w:rsid w:val="45A004B3"/>
    <w:rsid w:val="45A007E6"/>
    <w:rsid w:val="45A015C5"/>
    <w:rsid w:val="45A01B98"/>
    <w:rsid w:val="45A02670"/>
    <w:rsid w:val="45A04342"/>
    <w:rsid w:val="45A05C9B"/>
    <w:rsid w:val="45A05E7A"/>
    <w:rsid w:val="45A060A7"/>
    <w:rsid w:val="45A07231"/>
    <w:rsid w:val="45A100BA"/>
    <w:rsid w:val="45A1515B"/>
    <w:rsid w:val="45A16226"/>
    <w:rsid w:val="45A169E7"/>
    <w:rsid w:val="45A212F1"/>
    <w:rsid w:val="45A22C16"/>
    <w:rsid w:val="45A23765"/>
    <w:rsid w:val="45A24357"/>
    <w:rsid w:val="45A2455E"/>
    <w:rsid w:val="45A25974"/>
    <w:rsid w:val="45A357E7"/>
    <w:rsid w:val="45A37C8B"/>
    <w:rsid w:val="45A41848"/>
    <w:rsid w:val="45A433E5"/>
    <w:rsid w:val="45A44DF9"/>
    <w:rsid w:val="45A46C75"/>
    <w:rsid w:val="45A478F3"/>
    <w:rsid w:val="45A51597"/>
    <w:rsid w:val="45A51959"/>
    <w:rsid w:val="45A52CD8"/>
    <w:rsid w:val="45A55DFD"/>
    <w:rsid w:val="45A601E8"/>
    <w:rsid w:val="45A61594"/>
    <w:rsid w:val="45A656D1"/>
    <w:rsid w:val="45A65C2D"/>
    <w:rsid w:val="45A73098"/>
    <w:rsid w:val="45A73923"/>
    <w:rsid w:val="45A7651F"/>
    <w:rsid w:val="45A779BB"/>
    <w:rsid w:val="45A811F2"/>
    <w:rsid w:val="45A815AD"/>
    <w:rsid w:val="45A858ED"/>
    <w:rsid w:val="45A8769B"/>
    <w:rsid w:val="45A876DD"/>
    <w:rsid w:val="45A90171"/>
    <w:rsid w:val="45A904EF"/>
    <w:rsid w:val="45A92AE9"/>
    <w:rsid w:val="45AA1B8E"/>
    <w:rsid w:val="45AA4BB2"/>
    <w:rsid w:val="45AA51C4"/>
    <w:rsid w:val="45AA5DBB"/>
    <w:rsid w:val="45AA6851"/>
    <w:rsid w:val="45AA6F6F"/>
    <w:rsid w:val="45AB0330"/>
    <w:rsid w:val="45AB0A76"/>
    <w:rsid w:val="45AB114D"/>
    <w:rsid w:val="45AB18B4"/>
    <w:rsid w:val="45AB59AE"/>
    <w:rsid w:val="45AC0F39"/>
    <w:rsid w:val="45AC2F98"/>
    <w:rsid w:val="45AC499B"/>
    <w:rsid w:val="45AC74C7"/>
    <w:rsid w:val="45AC7FDA"/>
    <w:rsid w:val="45AD12CF"/>
    <w:rsid w:val="45AD3DA0"/>
    <w:rsid w:val="45AE19BA"/>
    <w:rsid w:val="45AE54CB"/>
    <w:rsid w:val="45AF27D7"/>
    <w:rsid w:val="45AF3D8A"/>
    <w:rsid w:val="45AF4696"/>
    <w:rsid w:val="45B002FD"/>
    <w:rsid w:val="45B01660"/>
    <w:rsid w:val="45B01EA0"/>
    <w:rsid w:val="45B07DE4"/>
    <w:rsid w:val="45B147A1"/>
    <w:rsid w:val="45B1619F"/>
    <w:rsid w:val="45B2270B"/>
    <w:rsid w:val="45B2276F"/>
    <w:rsid w:val="45B23FE9"/>
    <w:rsid w:val="45B24076"/>
    <w:rsid w:val="45B37C37"/>
    <w:rsid w:val="45B37E39"/>
    <w:rsid w:val="45B41B1D"/>
    <w:rsid w:val="45B46040"/>
    <w:rsid w:val="45B46F1E"/>
    <w:rsid w:val="45B5108C"/>
    <w:rsid w:val="45B51BBF"/>
    <w:rsid w:val="45B527CD"/>
    <w:rsid w:val="45B552AA"/>
    <w:rsid w:val="45B60821"/>
    <w:rsid w:val="45B61DB8"/>
    <w:rsid w:val="45B654DF"/>
    <w:rsid w:val="45B6626B"/>
    <w:rsid w:val="45B66A51"/>
    <w:rsid w:val="45B66C00"/>
    <w:rsid w:val="45B70095"/>
    <w:rsid w:val="45B701D3"/>
    <w:rsid w:val="45B706B5"/>
    <w:rsid w:val="45B70FFA"/>
    <w:rsid w:val="45B7168C"/>
    <w:rsid w:val="45B71FEF"/>
    <w:rsid w:val="45B7210C"/>
    <w:rsid w:val="45B72AFC"/>
    <w:rsid w:val="45B7672B"/>
    <w:rsid w:val="45B86B2E"/>
    <w:rsid w:val="45B86D45"/>
    <w:rsid w:val="45B918A8"/>
    <w:rsid w:val="45B92785"/>
    <w:rsid w:val="45B93656"/>
    <w:rsid w:val="45B9489E"/>
    <w:rsid w:val="45BB117C"/>
    <w:rsid w:val="45BB2D19"/>
    <w:rsid w:val="45BB4EFE"/>
    <w:rsid w:val="45BB5620"/>
    <w:rsid w:val="45BB73CE"/>
    <w:rsid w:val="45BC4CCC"/>
    <w:rsid w:val="45BC4EF4"/>
    <w:rsid w:val="45BC5C38"/>
    <w:rsid w:val="45BC6CA2"/>
    <w:rsid w:val="45BD6325"/>
    <w:rsid w:val="45BD7FDD"/>
    <w:rsid w:val="45BE0C6C"/>
    <w:rsid w:val="45BE2A1A"/>
    <w:rsid w:val="45BE6E0D"/>
    <w:rsid w:val="45BE7889"/>
    <w:rsid w:val="45BF13EA"/>
    <w:rsid w:val="45BF1DBE"/>
    <w:rsid w:val="45BF33C7"/>
    <w:rsid w:val="45C0081F"/>
    <w:rsid w:val="45C020E2"/>
    <w:rsid w:val="45C02C36"/>
    <w:rsid w:val="45C03A8E"/>
    <w:rsid w:val="45C06792"/>
    <w:rsid w:val="45C0754F"/>
    <w:rsid w:val="45C07FCA"/>
    <w:rsid w:val="45C108A7"/>
    <w:rsid w:val="45C10B4B"/>
    <w:rsid w:val="45C110AD"/>
    <w:rsid w:val="45C14591"/>
    <w:rsid w:val="45C17875"/>
    <w:rsid w:val="45C22200"/>
    <w:rsid w:val="45C3411F"/>
    <w:rsid w:val="45C344D5"/>
    <w:rsid w:val="45C35356"/>
    <w:rsid w:val="45C35724"/>
    <w:rsid w:val="45C36261"/>
    <w:rsid w:val="45C37DE2"/>
    <w:rsid w:val="45C40399"/>
    <w:rsid w:val="45C42E27"/>
    <w:rsid w:val="45C465C8"/>
    <w:rsid w:val="45C46806"/>
    <w:rsid w:val="45C5024D"/>
    <w:rsid w:val="45C5122D"/>
    <w:rsid w:val="45C51FFB"/>
    <w:rsid w:val="45C53DA9"/>
    <w:rsid w:val="45C56B2E"/>
    <w:rsid w:val="45C60482"/>
    <w:rsid w:val="45C60C23"/>
    <w:rsid w:val="45C61041"/>
    <w:rsid w:val="45C62595"/>
    <w:rsid w:val="45C6291C"/>
    <w:rsid w:val="45C632C0"/>
    <w:rsid w:val="45C668B5"/>
    <w:rsid w:val="45C66975"/>
    <w:rsid w:val="45C67B21"/>
    <w:rsid w:val="45C724C4"/>
    <w:rsid w:val="45C729D7"/>
    <w:rsid w:val="45C72F1B"/>
    <w:rsid w:val="45C73FC5"/>
    <w:rsid w:val="45C75D73"/>
    <w:rsid w:val="45C81BF5"/>
    <w:rsid w:val="45C83899"/>
    <w:rsid w:val="45C85647"/>
    <w:rsid w:val="45C862BC"/>
    <w:rsid w:val="45C8645F"/>
    <w:rsid w:val="45C90D37"/>
    <w:rsid w:val="45C94ACE"/>
    <w:rsid w:val="45C953D1"/>
    <w:rsid w:val="45C97502"/>
    <w:rsid w:val="45CA125B"/>
    <w:rsid w:val="45CA3D02"/>
    <w:rsid w:val="45CA3FC2"/>
    <w:rsid w:val="45CA7611"/>
    <w:rsid w:val="45CB1204"/>
    <w:rsid w:val="45CB1DC3"/>
    <w:rsid w:val="45CB1FA8"/>
    <w:rsid w:val="45CB2683"/>
    <w:rsid w:val="45CB40A2"/>
    <w:rsid w:val="45CB7B0F"/>
    <w:rsid w:val="45CC15DB"/>
    <w:rsid w:val="45CC6604"/>
    <w:rsid w:val="45CC77CC"/>
    <w:rsid w:val="45CD1803"/>
    <w:rsid w:val="45CD3B2B"/>
    <w:rsid w:val="45CD67DA"/>
    <w:rsid w:val="45CE2B1D"/>
    <w:rsid w:val="45CE486B"/>
    <w:rsid w:val="45CF06F4"/>
    <w:rsid w:val="45CF0804"/>
    <w:rsid w:val="45CF0A45"/>
    <w:rsid w:val="45CF4804"/>
    <w:rsid w:val="45CF4A34"/>
    <w:rsid w:val="45CF6395"/>
    <w:rsid w:val="45CF69D6"/>
    <w:rsid w:val="45D00F6B"/>
    <w:rsid w:val="45D048EF"/>
    <w:rsid w:val="45D05C94"/>
    <w:rsid w:val="45D07BAD"/>
    <w:rsid w:val="45D109A0"/>
    <w:rsid w:val="45D1274E"/>
    <w:rsid w:val="45D16BF2"/>
    <w:rsid w:val="45D20616"/>
    <w:rsid w:val="45D24718"/>
    <w:rsid w:val="45D3296A"/>
    <w:rsid w:val="45D33099"/>
    <w:rsid w:val="45D35D56"/>
    <w:rsid w:val="45D36916"/>
    <w:rsid w:val="45D40490"/>
    <w:rsid w:val="45D407B3"/>
    <w:rsid w:val="45D40C5A"/>
    <w:rsid w:val="45D41317"/>
    <w:rsid w:val="45D42275"/>
    <w:rsid w:val="45D5432A"/>
    <w:rsid w:val="45D62B13"/>
    <w:rsid w:val="45D64089"/>
    <w:rsid w:val="45D64208"/>
    <w:rsid w:val="45D65FB6"/>
    <w:rsid w:val="45D72F96"/>
    <w:rsid w:val="45D73466"/>
    <w:rsid w:val="45D7430F"/>
    <w:rsid w:val="45D8275E"/>
    <w:rsid w:val="45D8422E"/>
    <w:rsid w:val="45D87555"/>
    <w:rsid w:val="45D91D5C"/>
    <w:rsid w:val="45D93725"/>
    <w:rsid w:val="45D93CF8"/>
    <w:rsid w:val="45D94401"/>
    <w:rsid w:val="45D96FF7"/>
    <w:rsid w:val="45D975FB"/>
    <w:rsid w:val="45DA2E5A"/>
    <w:rsid w:val="45DA4AC0"/>
    <w:rsid w:val="45DA561E"/>
    <w:rsid w:val="45DA6DCC"/>
    <w:rsid w:val="45DA7BD5"/>
    <w:rsid w:val="45DB2DA7"/>
    <w:rsid w:val="45DB35CC"/>
    <w:rsid w:val="45DB4C49"/>
    <w:rsid w:val="45DC10F2"/>
    <w:rsid w:val="45DC21D1"/>
    <w:rsid w:val="45DC2B5B"/>
    <w:rsid w:val="45DC3192"/>
    <w:rsid w:val="45DC5978"/>
    <w:rsid w:val="45DD2811"/>
    <w:rsid w:val="45DD7281"/>
    <w:rsid w:val="45DD7344"/>
    <w:rsid w:val="45DD78AB"/>
    <w:rsid w:val="45DD78F9"/>
    <w:rsid w:val="45DE0AB7"/>
    <w:rsid w:val="45DE0FC4"/>
    <w:rsid w:val="45DE130F"/>
    <w:rsid w:val="45DE2A96"/>
    <w:rsid w:val="45DE340E"/>
    <w:rsid w:val="45DE3A82"/>
    <w:rsid w:val="45DE4E6B"/>
    <w:rsid w:val="45DE517E"/>
    <w:rsid w:val="45DF37E0"/>
    <w:rsid w:val="45E00735"/>
    <w:rsid w:val="45E01208"/>
    <w:rsid w:val="45E05087"/>
    <w:rsid w:val="45E06E35"/>
    <w:rsid w:val="45E116E9"/>
    <w:rsid w:val="45E17F55"/>
    <w:rsid w:val="45E17FAA"/>
    <w:rsid w:val="45E22BAD"/>
    <w:rsid w:val="45E2495B"/>
    <w:rsid w:val="45E306D3"/>
    <w:rsid w:val="45E31E4D"/>
    <w:rsid w:val="45E32481"/>
    <w:rsid w:val="45E41EEC"/>
    <w:rsid w:val="45E43EC0"/>
    <w:rsid w:val="45E46305"/>
    <w:rsid w:val="45E470A7"/>
    <w:rsid w:val="45E506BC"/>
    <w:rsid w:val="45E518D3"/>
    <w:rsid w:val="45E52D56"/>
    <w:rsid w:val="45E5444B"/>
    <w:rsid w:val="45E5559A"/>
    <w:rsid w:val="45E561F9"/>
    <w:rsid w:val="45E605CF"/>
    <w:rsid w:val="45E615FB"/>
    <w:rsid w:val="45E62AA0"/>
    <w:rsid w:val="45E62D0C"/>
    <w:rsid w:val="45E63539"/>
    <w:rsid w:val="45E66D09"/>
    <w:rsid w:val="45E72A8B"/>
    <w:rsid w:val="45E76415"/>
    <w:rsid w:val="45E80FAB"/>
    <w:rsid w:val="45E81362"/>
    <w:rsid w:val="45E81E27"/>
    <w:rsid w:val="45E83F3B"/>
    <w:rsid w:val="45E87A97"/>
    <w:rsid w:val="45E92CF6"/>
    <w:rsid w:val="45E936F4"/>
    <w:rsid w:val="45E95B05"/>
    <w:rsid w:val="45E9646F"/>
    <w:rsid w:val="45E96AEC"/>
    <w:rsid w:val="45EA17AD"/>
    <w:rsid w:val="45EA1A61"/>
    <w:rsid w:val="45EA3451"/>
    <w:rsid w:val="45EA380F"/>
    <w:rsid w:val="45EA7CB3"/>
    <w:rsid w:val="45EB289C"/>
    <w:rsid w:val="45EB778E"/>
    <w:rsid w:val="45EC0586"/>
    <w:rsid w:val="45EC57D9"/>
    <w:rsid w:val="45EC7588"/>
    <w:rsid w:val="45ED0973"/>
    <w:rsid w:val="45ED2F28"/>
    <w:rsid w:val="45ED3300"/>
    <w:rsid w:val="45ED50AE"/>
    <w:rsid w:val="45ED51BC"/>
    <w:rsid w:val="45EE0D41"/>
    <w:rsid w:val="45EE1552"/>
    <w:rsid w:val="45EE409D"/>
    <w:rsid w:val="45EE58CD"/>
    <w:rsid w:val="45EE77A4"/>
    <w:rsid w:val="45EE7D8D"/>
    <w:rsid w:val="45EF0E26"/>
    <w:rsid w:val="45EF24D9"/>
    <w:rsid w:val="45EF3A42"/>
    <w:rsid w:val="45EF44BC"/>
    <w:rsid w:val="45EF52CA"/>
    <w:rsid w:val="45EF7078"/>
    <w:rsid w:val="45EF749A"/>
    <w:rsid w:val="45F0208E"/>
    <w:rsid w:val="45F029F3"/>
    <w:rsid w:val="45F12B66"/>
    <w:rsid w:val="45F2082A"/>
    <w:rsid w:val="45F20916"/>
    <w:rsid w:val="45F25741"/>
    <w:rsid w:val="45F27B9E"/>
    <w:rsid w:val="45F30A03"/>
    <w:rsid w:val="45F3276F"/>
    <w:rsid w:val="45F33F22"/>
    <w:rsid w:val="45F33F27"/>
    <w:rsid w:val="45F34461"/>
    <w:rsid w:val="45F37667"/>
    <w:rsid w:val="45F44952"/>
    <w:rsid w:val="45F474AC"/>
    <w:rsid w:val="45F52F1F"/>
    <w:rsid w:val="45F539D9"/>
    <w:rsid w:val="45F54662"/>
    <w:rsid w:val="45F60406"/>
    <w:rsid w:val="45F621B4"/>
    <w:rsid w:val="45F713AC"/>
    <w:rsid w:val="45F71C1E"/>
    <w:rsid w:val="45F74876"/>
    <w:rsid w:val="45F748F7"/>
    <w:rsid w:val="45F75F2C"/>
    <w:rsid w:val="45F76ECC"/>
    <w:rsid w:val="45F773FF"/>
    <w:rsid w:val="45F8417E"/>
    <w:rsid w:val="45F90A6C"/>
    <w:rsid w:val="45F9236D"/>
    <w:rsid w:val="45F94BD1"/>
    <w:rsid w:val="45F96148"/>
    <w:rsid w:val="45FA53F2"/>
    <w:rsid w:val="45FA6DC2"/>
    <w:rsid w:val="45FB3C6E"/>
    <w:rsid w:val="45FC284D"/>
    <w:rsid w:val="45FC3543"/>
    <w:rsid w:val="45FC7254"/>
    <w:rsid w:val="45FC7E59"/>
    <w:rsid w:val="45FD1795"/>
    <w:rsid w:val="45FD29E6"/>
    <w:rsid w:val="45FD587A"/>
    <w:rsid w:val="45FD79E7"/>
    <w:rsid w:val="45FE550D"/>
    <w:rsid w:val="45FE6141"/>
    <w:rsid w:val="45FE77D7"/>
    <w:rsid w:val="45FF1FF0"/>
    <w:rsid w:val="45FF375F"/>
    <w:rsid w:val="45FF3D34"/>
    <w:rsid w:val="45FF78E2"/>
    <w:rsid w:val="46003033"/>
    <w:rsid w:val="460063CB"/>
    <w:rsid w:val="46011E87"/>
    <w:rsid w:val="46012C09"/>
    <w:rsid w:val="46016203"/>
    <w:rsid w:val="46024B08"/>
    <w:rsid w:val="46024FFD"/>
    <w:rsid w:val="46025BB6"/>
    <w:rsid w:val="460323EF"/>
    <w:rsid w:val="46032BDA"/>
    <w:rsid w:val="46036567"/>
    <w:rsid w:val="46036EFB"/>
    <w:rsid w:val="46040D75"/>
    <w:rsid w:val="46046849"/>
    <w:rsid w:val="460479B4"/>
    <w:rsid w:val="46050649"/>
    <w:rsid w:val="46052F83"/>
    <w:rsid w:val="46053443"/>
    <w:rsid w:val="46054AED"/>
    <w:rsid w:val="46055934"/>
    <w:rsid w:val="46056014"/>
    <w:rsid w:val="4606048F"/>
    <w:rsid w:val="46064A31"/>
    <w:rsid w:val="460743C1"/>
    <w:rsid w:val="460753AE"/>
    <w:rsid w:val="460763F6"/>
    <w:rsid w:val="46081EE8"/>
    <w:rsid w:val="46083903"/>
    <w:rsid w:val="46084422"/>
    <w:rsid w:val="46092939"/>
    <w:rsid w:val="4609638B"/>
    <w:rsid w:val="46096F5E"/>
    <w:rsid w:val="4609718D"/>
    <w:rsid w:val="460A3EB2"/>
    <w:rsid w:val="460A5C60"/>
    <w:rsid w:val="460A5E25"/>
    <w:rsid w:val="460A7334"/>
    <w:rsid w:val="460B1812"/>
    <w:rsid w:val="460B3DFF"/>
    <w:rsid w:val="460B44CB"/>
    <w:rsid w:val="460C053E"/>
    <w:rsid w:val="460C1740"/>
    <w:rsid w:val="460C7C2A"/>
    <w:rsid w:val="460D1CB3"/>
    <w:rsid w:val="460D3600"/>
    <w:rsid w:val="460D5750"/>
    <w:rsid w:val="460D6F5C"/>
    <w:rsid w:val="460D74FE"/>
    <w:rsid w:val="460E0594"/>
    <w:rsid w:val="460E12C5"/>
    <w:rsid w:val="460E1CCF"/>
    <w:rsid w:val="460E26EC"/>
    <w:rsid w:val="460E3398"/>
    <w:rsid w:val="460E5165"/>
    <w:rsid w:val="460E7A2D"/>
    <w:rsid w:val="460F14C8"/>
    <w:rsid w:val="460F3276"/>
    <w:rsid w:val="460F771A"/>
    <w:rsid w:val="46101E17"/>
    <w:rsid w:val="46104A14"/>
    <w:rsid w:val="461060B4"/>
    <w:rsid w:val="4610715A"/>
    <w:rsid w:val="46110EB4"/>
    <w:rsid w:val="46111740"/>
    <w:rsid w:val="46111D6C"/>
    <w:rsid w:val="46111FE3"/>
    <w:rsid w:val="4611258C"/>
    <w:rsid w:val="46115CF7"/>
    <w:rsid w:val="46120292"/>
    <w:rsid w:val="461223B6"/>
    <w:rsid w:val="46124972"/>
    <w:rsid w:val="461266FA"/>
    <w:rsid w:val="46130FB8"/>
    <w:rsid w:val="4613262F"/>
    <w:rsid w:val="46132D66"/>
    <w:rsid w:val="461363C5"/>
    <w:rsid w:val="4614088C"/>
    <w:rsid w:val="4614479A"/>
    <w:rsid w:val="46146ADE"/>
    <w:rsid w:val="46147407"/>
    <w:rsid w:val="46160800"/>
    <w:rsid w:val="46160AEE"/>
    <w:rsid w:val="46160FE1"/>
    <w:rsid w:val="46167423"/>
    <w:rsid w:val="46167F64"/>
    <w:rsid w:val="46170455"/>
    <w:rsid w:val="46170C30"/>
    <w:rsid w:val="46175FE0"/>
    <w:rsid w:val="4617667C"/>
    <w:rsid w:val="4618037D"/>
    <w:rsid w:val="46184820"/>
    <w:rsid w:val="461871C0"/>
    <w:rsid w:val="46190A53"/>
    <w:rsid w:val="46190AA2"/>
    <w:rsid w:val="46191C48"/>
    <w:rsid w:val="46191EEF"/>
    <w:rsid w:val="461940F5"/>
    <w:rsid w:val="46194743"/>
    <w:rsid w:val="461956AD"/>
    <w:rsid w:val="46195822"/>
    <w:rsid w:val="46195EA3"/>
    <w:rsid w:val="46197428"/>
    <w:rsid w:val="46197B2C"/>
    <w:rsid w:val="461A0599"/>
    <w:rsid w:val="461A4E7B"/>
    <w:rsid w:val="461A766D"/>
    <w:rsid w:val="461B197A"/>
    <w:rsid w:val="461B1F19"/>
    <w:rsid w:val="461B24B9"/>
    <w:rsid w:val="461B4CC6"/>
    <w:rsid w:val="461B54DD"/>
    <w:rsid w:val="461B5928"/>
    <w:rsid w:val="461B60BF"/>
    <w:rsid w:val="461B712E"/>
    <w:rsid w:val="461B7E6D"/>
    <w:rsid w:val="461C13BF"/>
    <w:rsid w:val="461C2E0A"/>
    <w:rsid w:val="461C3B64"/>
    <w:rsid w:val="461C5E57"/>
    <w:rsid w:val="461C5FB6"/>
    <w:rsid w:val="461D181E"/>
    <w:rsid w:val="461D3BE5"/>
    <w:rsid w:val="461D5993"/>
    <w:rsid w:val="461D5B5D"/>
    <w:rsid w:val="461E2519"/>
    <w:rsid w:val="461E572A"/>
    <w:rsid w:val="461E5AF5"/>
    <w:rsid w:val="461E5C03"/>
    <w:rsid w:val="461E5F13"/>
    <w:rsid w:val="461E795D"/>
    <w:rsid w:val="461F0A9C"/>
    <w:rsid w:val="461F48F4"/>
    <w:rsid w:val="461F4CBD"/>
    <w:rsid w:val="461F5BAF"/>
    <w:rsid w:val="461F6BBA"/>
    <w:rsid w:val="462027DB"/>
    <w:rsid w:val="46202958"/>
    <w:rsid w:val="4620549B"/>
    <w:rsid w:val="46206466"/>
    <w:rsid w:val="46206A3C"/>
    <w:rsid w:val="46206FF6"/>
    <w:rsid w:val="46207231"/>
    <w:rsid w:val="4620791B"/>
    <w:rsid w:val="46210CBC"/>
    <w:rsid w:val="46210E43"/>
    <w:rsid w:val="46214017"/>
    <w:rsid w:val="46220097"/>
    <w:rsid w:val="462211FB"/>
    <w:rsid w:val="462376BD"/>
    <w:rsid w:val="4623773F"/>
    <w:rsid w:val="46241839"/>
    <w:rsid w:val="46244F73"/>
    <w:rsid w:val="46245702"/>
    <w:rsid w:val="46250CEB"/>
    <w:rsid w:val="4625586C"/>
    <w:rsid w:val="46264E79"/>
    <w:rsid w:val="462654B1"/>
    <w:rsid w:val="462655EA"/>
    <w:rsid w:val="4626707A"/>
    <w:rsid w:val="46267A0E"/>
    <w:rsid w:val="46271671"/>
    <w:rsid w:val="46276812"/>
    <w:rsid w:val="462813AD"/>
    <w:rsid w:val="46284338"/>
    <w:rsid w:val="46284DE1"/>
    <w:rsid w:val="46286888"/>
    <w:rsid w:val="4629006D"/>
    <w:rsid w:val="462907DC"/>
    <w:rsid w:val="462909C3"/>
    <w:rsid w:val="46291F4C"/>
    <w:rsid w:val="4629258A"/>
    <w:rsid w:val="46295054"/>
    <w:rsid w:val="462974D6"/>
    <w:rsid w:val="462A00B0"/>
    <w:rsid w:val="462A3694"/>
    <w:rsid w:val="462A3CCD"/>
    <w:rsid w:val="462A6302"/>
    <w:rsid w:val="462A63DE"/>
    <w:rsid w:val="462B453E"/>
    <w:rsid w:val="462B57C6"/>
    <w:rsid w:val="462B6F7C"/>
    <w:rsid w:val="462B6FFB"/>
    <w:rsid w:val="462C016B"/>
    <w:rsid w:val="462C02CC"/>
    <w:rsid w:val="462C5BD6"/>
    <w:rsid w:val="462C6A7B"/>
    <w:rsid w:val="462D264E"/>
    <w:rsid w:val="462D3A3A"/>
    <w:rsid w:val="462D72F1"/>
    <w:rsid w:val="462D7B29"/>
    <w:rsid w:val="462D7C0A"/>
    <w:rsid w:val="462E1AA0"/>
    <w:rsid w:val="462E204A"/>
    <w:rsid w:val="462E2DBC"/>
    <w:rsid w:val="462E537B"/>
    <w:rsid w:val="462E5DF2"/>
    <w:rsid w:val="462E6545"/>
    <w:rsid w:val="462E7BA0"/>
    <w:rsid w:val="462F1A6E"/>
    <w:rsid w:val="462F1B6A"/>
    <w:rsid w:val="462F56C6"/>
    <w:rsid w:val="462F733A"/>
    <w:rsid w:val="463008C5"/>
    <w:rsid w:val="46305C1E"/>
    <w:rsid w:val="463131AB"/>
    <w:rsid w:val="463166F0"/>
    <w:rsid w:val="46316B31"/>
    <w:rsid w:val="46326F64"/>
    <w:rsid w:val="46331CB5"/>
    <w:rsid w:val="463323DC"/>
    <w:rsid w:val="46334D1F"/>
    <w:rsid w:val="4633764A"/>
    <w:rsid w:val="46340F2E"/>
    <w:rsid w:val="46342CDD"/>
    <w:rsid w:val="46344D71"/>
    <w:rsid w:val="46344F73"/>
    <w:rsid w:val="4634679A"/>
    <w:rsid w:val="46346AED"/>
    <w:rsid w:val="46346B10"/>
    <w:rsid w:val="463521B6"/>
    <w:rsid w:val="4635593F"/>
    <w:rsid w:val="46362EF9"/>
    <w:rsid w:val="46364CA7"/>
    <w:rsid w:val="46366A55"/>
    <w:rsid w:val="46366B37"/>
    <w:rsid w:val="463673DA"/>
    <w:rsid w:val="463678B6"/>
    <w:rsid w:val="463700EE"/>
    <w:rsid w:val="463744E7"/>
    <w:rsid w:val="46375AA7"/>
    <w:rsid w:val="46380A1F"/>
    <w:rsid w:val="46380EA2"/>
    <w:rsid w:val="46381849"/>
    <w:rsid w:val="463827CD"/>
    <w:rsid w:val="46386C71"/>
    <w:rsid w:val="463902F3"/>
    <w:rsid w:val="46393F26"/>
    <w:rsid w:val="4639468D"/>
    <w:rsid w:val="46396545"/>
    <w:rsid w:val="463A4797"/>
    <w:rsid w:val="463C0496"/>
    <w:rsid w:val="463C0801"/>
    <w:rsid w:val="463C2469"/>
    <w:rsid w:val="463C6E4E"/>
    <w:rsid w:val="463D4287"/>
    <w:rsid w:val="463D43EA"/>
    <w:rsid w:val="463D56E8"/>
    <w:rsid w:val="463D6035"/>
    <w:rsid w:val="463D7DE3"/>
    <w:rsid w:val="463E0638"/>
    <w:rsid w:val="463E1211"/>
    <w:rsid w:val="463E1CAD"/>
    <w:rsid w:val="463E391F"/>
    <w:rsid w:val="463E3B5B"/>
    <w:rsid w:val="463E4B82"/>
    <w:rsid w:val="463E6BE8"/>
    <w:rsid w:val="463F08C6"/>
    <w:rsid w:val="463F1DAD"/>
    <w:rsid w:val="463F77B2"/>
    <w:rsid w:val="46401681"/>
    <w:rsid w:val="46402205"/>
    <w:rsid w:val="46405B25"/>
    <w:rsid w:val="464078D3"/>
    <w:rsid w:val="464142C7"/>
    <w:rsid w:val="46414540"/>
    <w:rsid w:val="46414B25"/>
    <w:rsid w:val="464159B7"/>
    <w:rsid w:val="46415A4B"/>
    <w:rsid w:val="464173F3"/>
    <w:rsid w:val="46417F06"/>
    <w:rsid w:val="46420213"/>
    <w:rsid w:val="4642189D"/>
    <w:rsid w:val="4642364B"/>
    <w:rsid w:val="46424B25"/>
    <w:rsid w:val="4642529D"/>
    <w:rsid w:val="464253F9"/>
    <w:rsid w:val="464274B2"/>
    <w:rsid w:val="46430BED"/>
    <w:rsid w:val="46431172"/>
    <w:rsid w:val="46432219"/>
    <w:rsid w:val="46446653"/>
    <w:rsid w:val="464473C4"/>
    <w:rsid w:val="46447445"/>
    <w:rsid w:val="464508D5"/>
    <w:rsid w:val="464521B1"/>
    <w:rsid w:val="4645313C"/>
    <w:rsid w:val="46454E28"/>
    <w:rsid w:val="46454EEA"/>
    <w:rsid w:val="46457DD2"/>
    <w:rsid w:val="4646648C"/>
    <w:rsid w:val="46470AC4"/>
    <w:rsid w:val="46470C62"/>
    <w:rsid w:val="46471CD3"/>
    <w:rsid w:val="46472877"/>
    <w:rsid w:val="46475F9E"/>
    <w:rsid w:val="464912F6"/>
    <w:rsid w:val="46492775"/>
    <w:rsid w:val="46492C2C"/>
    <w:rsid w:val="46492F30"/>
    <w:rsid w:val="464949DA"/>
    <w:rsid w:val="464955C6"/>
    <w:rsid w:val="46495F7A"/>
    <w:rsid w:val="464A0752"/>
    <w:rsid w:val="464A71CF"/>
    <w:rsid w:val="464B259D"/>
    <w:rsid w:val="464B30A1"/>
    <w:rsid w:val="464B46B4"/>
    <w:rsid w:val="464B69A4"/>
    <w:rsid w:val="464C02EB"/>
    <w:rsid w:val="464C219C"/>
    <w:rsid w:val="464C325C"/>
    <w:rsid w:val="464C3A94"/>
    <w:rsid w:val="464C5659"/>
    <w:rsid w:val="464C6278"/>
    <w:rsid w:val="464D0358"/>
    <w:rsid w:val="464D1038"/>
    <w:rsid w:val="464D18AF"/>
    <w:rsid w:val="464D1C38"/>
    <w:rsid w:val="464E0351"/>
    <w:rsid w:val="464E104B"/>
    <w:rsid w:val="464E30C8"/>
    <w:rsid w:val="464E52CF"/>
    <w:rsid w:val="464F4558"/>
    <w:rsid w:val="464F5D68"/>
    <w:rsid w:val="464F6233"/>
    <w:rsid w:val="4650168F"/>
    <w:rsid w:val="46503FBA"/>
    <w:rsid w:val="4650434A"/>
    <w:rsid w:val="46506C98"/>
    <w:rsid w:val="46507129"/>
    <w:rsid w:val="465107DA"/>
    <w:rsid w:val="46517D32"/>
    <w:rsid w:val="46522D81"/>
    <w:rsid w:val="46524273"/>
    <w:rsid w:val="4652505E"/>
    <w:rsid w:val="465313B5"/>
    <w:rsid w:val="46533EE9"/>
    <w:rsid w:val="46533F73"/>
    <w:rsid w:val="465346DC"/>
    <w:rsid w:val="46535859"/>
    <w:rsid w:val="46536909"/>
    <w:rsid w:val="4654244D"/>
    <w:rsid w:val="4654322F"/>
    <w:rsid w:val="4654337F"/>
    <w:rsid w:val="465466EE"/>
    <w:rsid w:val="46546F3A"/>
    <w:rsid w:val="4654773A"/>
    <w:rsid w:val="4654780E"/>
    <w:rsid w:val="46551569"/>
    <w:rsid w:val="46551DAF"/>
    <w:rsid w:val="46552F9B"/>
    <w:rsid w:val="46555C55"/>
    <w:rsid w:val="46560A25"/>
    <w:rsid w:val="465626D8"/>
    <w:rsid w:val="465649D7"/>
    <w:rsid w:val="46570937"/>
    <w:rsid w:val="465777BA"/>
    <w:rsid w:val="465810C1"/>
    <w:rsid w:val="465869CB"/>
    <w:rsid w:val="46586D4B"/>
    <w:rsid w:val="46587724"/>
    <w:rsid w:val="4659214C"/>
    <w:rsid w:val="4659529A"/>
    <w:rsid w:val="46595606"/>
    <w:rsid w:val="46596940"/>
    <w:rsid w:val="465A0995"/>
    <w:rsid w:val="465A6BE7"/>
    <w:rsid w:val="465B0F83"/>
    <w:rsid w:val="465B2674"/>
    <w:rsid w:val="465B4463"/>
    <w:rsid w:val="465B6324"/>
    <w:rsid w:val="465B7E08"/>
    <w:rsid w:val="465C1BD7"/>
    <w:rsid w:val="465C36DB"/>
    <w:rsid w:val="465C4DFE"/>
    <w:rsid w:val="465C5C34"/>
    <w:rsid w:val="465C7860"/>
    <w:rsid w:val="465D0485"/>
    <w:rsid w:val="465D2233"/>
    <w:rsid w:val="465D5915"/>
    <w:rsid w:val="465D6074"/>
    <w:rsid w:val="465D66D7"/>
    <w:rsid w:val="465D67DE"/>
    <w:rsid w:val="465D7FEC"/>
    <w:rsid w:val="465E2C56"/>
    <w:rsid w:val="465E371F"/>
    <w:rsid w:val="465E7D59"/>
    <w:rsid w:val="465F0AAD"/>
    <w:rsid w:val="465F0F7D"/>
    <w:rsid w:val="465F0FA5"/>
    <w:rsid w:val="465F578E"/>
    <w:rsid w:val="465F5FAB"/>
    <w:rsid w:val="465F6812"/>
    <w:rsid w:val="46601D24"/>
    <w:rsid w:val="4660220D"/>
    <w:rsid w:val="46607F75"/>
    <w:rsid w:val="4661095D"/>
    <w:rsid w:val="4661696D"/>
    <w:rsid w:val="466214C6"/>
    <w:rsid w:val="4662784A"/>
    <w:rsid w:val="46641814"/>
    <w:rsid w:val="46642635"/>
    <w:rsid w:val="466435C2"/>
    <w:rsid w:val="46645D72"/>
    <w:rsid w:val="4665086B"/>
    <w:rsid w:val="466513AE"/>
    <w:rsid w:val="46651498"/>
    <w:rsid w:val="46654738"/>
    <w:rsid w:val="4665558C"/>
    <w:rsid w:val="46657EBF"/>
    <w:rsid w:val="4666134F"/>
    <w:rsid w:val="46665536"/>
    <w:rsid w:val="466655BA"/>
    <w:rsid w:val="466679ED"/>
    <w:rsid w:val="46671304"/>
    <w:rsid w:val="466730B2"/>
    <w:rsid w:val="46674E60"/>
    <w:rsid w:val="46677C53"/>
    <w:rsid w:val="4668031B"/>
    <w:rsid w:val="46685138"/>
    <w:rsid w:val="46690BD8"/>
    <w:rsid w:val="46694F8E"/>
    <w:rsid w:val="4669507C"/>
    <w:rsid w:val="466979BD"/>
    <w:rsid w:val="466A331E"/>
    <w:rsid w:val="466A3D31"/>
    <w:rsid w:val="466A62EA"/>
    <w:rsid w:val="466A6965"/>
    <w:rsid w:val="466B0100"/>
    <w:rsid w:val="466B0A2E"/>
    <w:rsid w:val="466B0DF4"/>
    <w:rsid w:val="466B289F"/>
    <w:rsid w:val="466B2BA2"/>
    <w:rsid w:val="466B4F52"/>
    <w:rsid w:val="466B55C9"/>
    <w:rsid w:val="466B655F"/>
    <w:rsid w:val="466C0FD9"/>
    <w:rsid w:val="466C2476"/>
    <w:rsid w:val="466C265E"/>
    <w:rsid w:val="466C691A"/>
    <w:rsid w:val="466C6EEB"/>
    <w:rsid w:val="466D082F"/>
    <w:rsid w:val="466D1222"/>
    <w:rsid w:val="466D448D"/>
    <w:rsid w:val="466E0507"/>
    <w:rsid w:val="466E08A7"/>
    <w:rsid w:val="466E0F71"/>
    <w:rsid w:val="466E4440"/>
    <w:rsid w:val="466E61EE"/>
    <w:rsid w:val="466F1F67"/>
    <w:rsid w:val="466F4BDC"/>
    <w:rsid w:val="46700B28"/>
    <w:rsid w:val="46704F45"/>
    <w:rsid w:val="4670640B"/>
    <w:rsid w:val="46707D9E"/>
    <w:rsid w:val="4671131B"/>
    <w:rsid w:val="46712183"/>
    <w:rsid w:val="46713F31"/>
    <w:rsid w:val="46715CDF"/>
    <w:rsid w:val="46716462"/>
    <w:rsid w:val="46717A8D"/>
    <w:rsid w:val="46721B8C"/>
    <w:rsid w:val="467224C3"/>
    <w:rsid w:val="46724ED1"/>
    <w:rsid w:val="467274B1"/>
    <w:rsid w:val="467278F2"/>
    <w:rsid w:val="46727B8A"/>
    <w:rsid w:val="46731A57"/>
    <w:rsid w:val="467327B7"/>
    <w:rsid w:val="46733805"/>
    <w:rsid w:val="46741DDA"/>
    <w:rsid w:val="46743F29"/>
    <w:rsid w:val="46744B52"/>
    <w:rsid w:val="467454A6"/>
    <w:rsid w:val="4674788F"/>
    <w:rsid w:val="46751510"/>
    <w:rsid w:val="467525DB"/>
    <w:rsid w:val="46753A21"/>
    <w:rsid w:val="467557CF"/>
    <w:rsid w:val="46756273"/>
    <w:rsid w:val="46757640"/>
    <w:rsid w:val="46761547"/>
    <w:rsid w:val="46771D0B"/>
    <w:rsid w:val="46773B9A"/>
    <w:rsid w:val="46780062"/>
    <w:rsid w:val="46780A66"/>
    <w:rsid w:val="46780E1B"/>
    <w:rsid w:val="46781C7C"/>
    <w:rsid w:val="4678706D"/>
    <w:rsid w:val="4678710F"/>
    <w:rsid w:val="46794685"/>
    <w:rsid w:val="4679799B"/>
    <w:rsid w:val="467A0C55"/>
    <w:rsid w:val="467A1037"/>
    <w:rsid w:val="467A217E"/>
    <w:rsid w:val="467A33DE"/>
    <w:rsid w:val="467A3826"/>
    <w:rsid w:val="467A5129"/>
    <w:rsid w:val="467A6E3B"/>
    <w:rsid w:val="467B4D4E"/>
    <w:rsid w:val="467B5247"/>
    <w:rsid w:val="467B6B5D"/>
    <w:rsid w:val="467C161A"/>
    <w:rsid w:val="467C4DAF"/>
    <w:rsid w:val="467C68DA"/>
    <w:rsid w:val="467D0864"/>
    <w:rsid w:val="467D4175"/>
    <w:rsid w:val="467D4684"/>
    <w:rsid w:val="467D6363"/>
    <w:rsid w:val="467E19BA"/>
    <w:rsid w:val="467E2E27"/>
    <w:rsid w:val="467E3005"/>
    <w:rsid w:val="467E5C73"/>
    <w:rsid w:val="467E6A50"/>
    <w:rsid w:val="467F21AA"/>
    <w:rsid w:val="467F664E"/>
    <w:rsid w:val="46802007"/>
    <w:rsid w:val="46804174"/>
    <w:rsid w:val="46805F22"/>
    <w:rsid w:val="46806B9F"/>
    <w:rsid w:val="468123C6"/>
    <w:rsid w:val="4681622F"/>
    <w:rsid w:val="46820865"/>
    <w:rsid w:val="46821C9A"/>
    <w:rsid w:val="46821CC1"/>
    <w:rsid w:val="46822561"/>
    <w:rsid w:val="46830F29"/>
    <w:rsid w:val="46835163"/>
    <w:rsid w:val="46835A21"/>
    <w:rsid w:val="46836CBE"/>
    <w:rsid w:val="46842DE4"/>
    <w:rsid w:val="46843C64"/>
    <w:rsid w:val="46845473"/>
    <w:rsid w:val="46845DDB"/>
    <w:rsid w:val="468463FB"/>
    <w:rsid w:val="46850D00"/>
    <w:rsid w:val="4685178A"/>
    <w:rsid w:val="46853538"/>
    <w:rsid w:val="46853C85"/>
    <w:rsid w:val="468544EB"/>
    <w:rsid w:val="46857E2B"/>
    <w:rsid w:val="46863425"/>
    <w:rsid w:val="468679DC"/>
    <w:rsid w:val="46873259"/>
    <w:rsid w:val="46873754"/>
    <w:rsid w:val="46876EAE"/>
    <w:rsid w:val="468772B0"/>
    <w:rsid w:val="4687783C"/>
    <w:rsid w:val="468806D9"/>
    <w:rsid w:val="46880D2B"/>
    <w:rsid w:val="46881157"/>
    <w:rsid w:val="46881623"/>
    <w:rsid w:val="46884D15"/>
    <w:rsid w:val="46884DDA"/>
    <w:rsid w:val="46885E2A"/>
    <w:rsid w:val="468863E9"/>
    <w:rsid w:val="4689127A"/>
    <w:rsid w:val="46891F06"/>
    <w:rsid w:val="4689629B"/>
    <w:rsid w:val="468A0288"/>
    <w:rsid w:val="468A0B4E"/>
    <w:rsid w:val="468A5D68"/>
    <w:rsid w:val="468A651E"/>
    <w:rsid w:val="468B2FAD"/>
    <w:rsid w:val="468B388F"/>
    <w:rsid w:val="468B4F61"/>
    <w:rsid w:val="468B4FF2"/>
    <w:rsid w:val="468B60E7"/>
    <w:rsid w:val="468C07B5"/>
    <w:rsid w:val="468C3709"/>
    <w:rsid w:val="468C48C7"/>
    <w:rsid w:val="468C6191"/>
    <w:rsid w:val="468D293F"/>
    <w:rsid w:val="468D5E35"/>
    <w:rsid w:val="468E2B64"/>
    <w:rsid w:val="468E4AE3"/>
    <w:rsid w:val="468E6903"/>
    <w:rsid w:val="468E75B6"/>
    <w:rsid w:val="468E7C06"/>
    <w:rsid w:val="468E7D88"/>
    <w:rsid w:val="468F0FDD"/>
    <w:rsid w:val="468F2AF0"/>
    <w:rsid w:val="468F312C"/>
    <w:rsid w:val="468F6E4C"/>
    <w:rsid w:val="468F73B4"/>
    <w:rsid w:val="46900D3C"/>
    <w:rsid w:val="46901F78"/>
    <w:rsid w:val="46910CED"/>
    <w:rsid w:val="46911602"/>
    <w:rsid w:val="46916381"/>
    <w:rsid w:val="46916BED"/>
    <w:rsid w:val="46920ECA"/>
    <w:rsid w:val="46921AAD"/>
    <w:rsid w:val="4692755D"/>
    <w:rsid w:val="46927784"/>
    <w:rsid w:val="469304F7"/>
    <w:rsid w:val="46931091"/>
    <w:rsid w:val="46932F3D"/>
    <w:rsid w:val="46935C55"/>
    <w:rsid w:val="46940388"/>
    <w:rsid w:val="46941054"/>
    <w:rsid w:val="46950C60"/>
    <w:rsid w:val="469519CD"/>
    <w:rsid w:val="469555B5"/>
    <w:rsid w:val="46955E71"/>
    <w:rsid w:val="46956601"/>
    <w:rsid w:val="469616EC"/>
    <w:rsid w:val="46961BDB"/>
    <w:rsid w:val="46963997"/>
    <w:rsid w:val="46966CED"/>
    <w:rsid w:val="4697017D"/>
    <w:rsid w:val="469722E6"/>
    <w:rsid w:val="469733DD"/>
    <w:rsid w:val="46973B8C"/>
    <w:rsid w:val="46982488"/>
    <w:rsid w:val="4698326B"/>
    <w:rsid w:val="46985C29"/>
    <w:rsid w:val="469915F1"/>
    <w:rsid w:val="46993386"/>
    <w:rsid w:val="46995DF0"/>
    <w:rsid w:val="469A023F"/>
    <w:rsid w:val="469A5235"/>
    <w:rsid w:val="469A562A"/>
    <w:rsid w:val="469A5A00"/>
    <w:rsid w:val="469A6FE4"/>
    <w:rsid w:val="469B0FAE"/>
    <w:rsid w:val="469B1EC5"/>
    <w:rsid w:val="469C2353"/>
    <w:rsid w:val="469C2B85"/>
    <w:rsid w:val="469C3502"/>
    <w:rsid w:val="469C4190"/>
    <w:rsid w:val="469C5730"/>
    <w:rsid w:val="469C7C60"/>
    <w:rsid w:val="469D3BB5"/>
    <w:rsid w:val="469D473A"/>
    <w:rsid w:val="469D4D26"/>
    <w:rsid w:val="469D65DA"/>
    <w:rsid w:val="469E0F41"/>
    <w:rsid w:val="469E1F08"/>
    <w:rsid w:val="469E6452"/>
    <w:rsid w:val="469F284C"/>
    <w:rsid w:val="469F3F0A"/>
    <w:rsid w:val="469F4884"/>
    <w:rsid w:val="469F7437"/>
    <w:rsid w:val="469F7759"/>
    <w:rsid w:val="46A00003"/>
    <w:rsid w:val="46A00372"/>
    <w:rsid w:val="46A00F78"/>
    <w:rsid w:val="46A02685"/>
    <w:rsid w:val="46A06580"/>
    <w:rsid w:val="46A1330C"/>
    <w:rsid w:val="46A14816"/>
    <w:rsid w:val="46A14E48"/>
    <w:rsid w:val="46A165C4"/>
    <w:rsid w:val="46A169D1"/>
    <w:rsid w:val="46A178FA"/>
    <w:rsid w:val="46A2058E"/>
    <w:rsid w:val="46A20A89"/>
    <w:rsid w:val="46A21160"/>
    <w:rsid w:val="46A240EA"/>
    <w:rsid w:val="46A25D99"/>
    <w:rsid w:val="46A261A6"/>
    <w:rsid w:val="46A423CD"/>
    <w:rsid w:val="46A42FC8"/>
    <w:rsid w:val="46A456C4"/>
    <w:rsid w:val="46A46EB0"/>
    <w:rsid w:val="46A47E62"/>
    <w:rsid w:val="46A50E14"/>
    <w:rsid w:val="46A55352"/>
    <w:rsid w:val="46A613B3"/>
    <w:rsid w:val="46A630AE"/>
    <w:rsid w:val="46A64E3E"/>
    <w:rsid w:val="46A72843"/>
    <w:rsid w:val="46A72A81"/>
    <w:rsid w:val="46A730DC"/>
    <w:rsid w:val="46A75BA4"/>
    <w:rsid w:val="46A77C72"/>
    <w:rsid w:val="46A80DFB"/>
    <w:rsid w:val="46A816DB"/>
    <w:rsid w:val="46A821A6"/>
    <w:rsid w:val="46A83B30"/>
    <w:rsid w:val="46A9025D"/>
    <w:rsid w:val="46A91B51"/>
    <w:rsid w:val="46A923A1"/>
    <w:rsid w:val="46A936CA"/>
    <w:rsid w:val="46A95479"/>
    <w:rsid w:val="46AA04FD"/>
    <w:rsid w:val="46AA10B9"/>
    <w:rsid w:val="46AA2DCF"/>
    <w:rsid w:val="46AA2F9F"/>
    <w:rsid w:val="46AA53A2"/>
    <w:rsid w:val="46AA5861"/>
    <w:rsid w:val="46AA6157"/>
    <w:rsid w:val="46AA65F3"/>
    <w:rsid w:val="46AA7999"/>
    <w:rsid w:val="46AB11F1"/>
    <w:rsid w:val="46AB7A83"/>
    <w:rsid w:val="46AC0C0F"/>
    <w:rsid w:val="46AC1DE5"/>
    <w:rsid w:val="46AC31BB"/>
    <w:rsid w:val="46AC3AE4"/>
    <w:rsid w:val="46AC6D17"/>
    <w:rsid w:val="46AC6EF5"/>
    <w:rsid w:val="46AC73CB"/>
    <w:rsid w:val="46AC7AC8"/>
    <w:rsid w:val="46AD63CE"/>
    <w:rsid w:val="46AD6481"/>
    <w:rsid w:val="46AE0CE1"/>
    <w:rsid w:val="46AE2A8F"/>
    <w:rsid w:val="46AE34E5"/>
    <w:rsid w:val="46AF127D"/>
    <w:rsid w:val="46B02465"/>
    <w:rsid w:val="46B02CAB"/>
    <w:rsid w:val="46B10676"/>
    <w:rsid w:val="46B11EF1"/>
    <w:rsid w:val="46B1257F"/>
    <w:rsid w:val="46B13267"/>
    <w:rsid w:val="46B13E26"/>
    <w:rsid w:val="46B1432D"/>
    <w:rsid w:val="46B215E8"/>
    <w:rsid w:val="46B23193"/>
    <w:rsid w:val="46B25539"/>
    <w:rsid w:val="46B27AB0"/>
    <w:rsid w:val="46B300A5"/>
    <w:rsid w:val="46B314F9"/>
    <w:rsid w:val="46B32A80"/>
    <w:rsid w:val="46B37251"/>
    <w:rsid w:val="46B37B8B"/>
    <w:rsid w:val="46B46D68"/>
    <w:rsid w:val="46B47010"/>
    <w:rsid w:val="46B502C1"/>
    <w:rsid w:val="46B53E1D"/>
    <w:rsid w:val="46B545F7"/>
    <w:rsid w:val="46B54E47"/>
    <w:rsid w:val="46B55975"/>
    <w:rsid w:val="46B61944"/>
    <w:rsid w:val="46B64323"/>
    <w:rsid w:val="46B657EA"/>
    <w:rsid w:val="46B67B95"/>
    <w:rsid w:val="46B715A8"/>
    <w:rsid w:val="46B72CA4"/>
    <w:rsid w:val="46B75DE7"/>
    <w:rsid w:val="46B76FCF"/>
    <w:rsid w:val="46B81B60"/>
    <w:rsid w:val="46B8390E"/>
    <w:rsid w:val="46B856BC"/>
    <w:rsid w:val="46B91A2D"/>
    <w:rsid w:val="46B91CD4"/>
    <w:rsid w:val="46B94C58"/>
    <w:rsid w:val="46B95387"/>
    <w:rsid w:val="46B962F6"/>
    <w:rsid w:val="46B9747D"/>
    <w:rsid w:val="46BA1434"/>
    <w:rsid w:val="46BA3261"/>
    <w:rsid w:val="46BA54C1"/>
    <w:rsid w:val="46BA5BBD"/>
    <w:rsid w:val="46BA7686"/>
    <w:rsid w:val="46BA7E57"/>
    <w:rsid w:val="46BB0759"/>
    <w:rsid w:val="46BB1DCA"/>
    <w:rsid w:val="46BB1FB2"/>
    <w:rsid w:val="46BB4871"/>
    <w:rsid w:val="46BB51AC"/>
    <w:rsid w:val="46BB6361"/>
    <w:rsid w:val="46BB6B53"/>
    <w:rsid w:val="46BB7020"/>
    <w:rsid w:val="46BC1650"/>
    <w:rsid w:val="46BC25E7"/>
    <w:rsid w:val="46BC68ED"/>
    <w:rsid w:val="46BC6FB7"/>
    <w:rsid w:val="46BD2CD2"/>
    <w:rsid w:val="46BD3875"/>
    <w:rsid w:val="46BD5C40"/>
    <w:rsid w:val="46BE1A4C"/>
    <w:rsid w:val="46BF2EEE"/>
    <w:rsid w:val="46BF4C9C"/>
    <w:rsid w:val="46BF5523"/>
    <w:rsid w:val="46BF5DAF"/>
    <w:rsid w:val="46BF5E6D"/>
    <w:rsid w:val="46C00418"/>
    <w:rsid w:val="46C007B7"/>
    <w:rsid w:val="46C027C2"/>
    <w:rsid w:val="46C0283E"/>
    <w:rsid w:val="46C04C25"/>
    <w:rsid w:val="46C04E4C"/>
    <w:rsid w:val="46C07C17"/>
    <w:rsid w:val="46C13F1D"/>
    <w:rsid w:val="46C23EC2"/>
    <w:rsid w:val="46C24363"/>
    <w:rsid w:val="46C2487A"/>
    <w:rsid w:val="46C30979"/>
    <w:rsid w:val="46C44060"/>
    <w:rsid w:val="46C44446"/>
    <w:rsid w:val="46C46F89"/>
    <w:rsid w:val="46C50C70"/>
    <w:rsid w:val="46C541A0"/>
    <w:rsid w:val="46C568A0"/>
    <w:rsid w:val="46C57C37"/>
    <w:rsid w:val="46C57E3B"/>
    <w:rsid w:val="46C62F22"/>
    <w:rsid w:val="46C632CA"/>
    <w:rsid w:val="46C63BE6"/>
    <w:rsid w:val="46C6602A"/>
    <w:rsid w:val="46C673FD"/>
    <w:rsid w:val="46C67DD9"/>
    <w:rsid w:val="46C71DA3"/>
    <w:rsid w:val="46C71EEE"/>
    <w:rsid w:val="46C73B51"/>
    <w:rsid w:val="46C76F99"/>
    <w:rsid w:val="46C82208"/>
    <w:rsid w:val="46C8388C"/>
    <w:rsid w:val="46C90C94"/>
    <w:rsid w:val="46C95B1B"/>
    <w:rsid w:val="46C978C9"/>
    <w:rsid w:val="46CA19B9"/>
    <w:rsid w:val="46CA54CA"/>
    <w:rsid w:val="46CB0B25"/>
    <w:rsid w:val="46CB1CA0"/>
    <w:rsid w:val="46CB20E7"/>
    <w:rsid w:val="46CB4320"/>
    <w:rsid w:val="46CC30CE"/>
    <w:rsid w:val="46CC5A88"/>
    <w:rsid w:val="46CC6BC9"/>
    <w:rsid w:val="46CD00CF"/>
    <w:rsid w:val="46CD40A4"/>
    <w:rsid w:val="46CD455E"/>
    <w:rsid w:val="46CD45BF"/>
    <w:rsid w:val="46CD560B"/>
    <w:rsid w:val="46CE3131"/>
    <w:rsid w:val="46CE3136"/>
    <w:rsid w:val="46CE4638"/>
    <w:rsid w:val="46CE4BA0"/>
    <w:rsid w:val="46CE4EDF"/>
    <w:rsid w:val="46CE59EE"/>
    <w:rsid w:val="46CE7767"/>
    <w:rsid w:val="46CF0EEA"/>
    <w:rsid w:val="46CF32BA"/>
    <w:rsid w:val="46CF5C65"/>
    <w:rsid w:val="46CF66C7"/>
    <w:rsid w:val="46D0030E"/>
    <w:rsid w:val="46D00C57"/>
    <w:rsid w:val="46D01505"/>
    <w:rsid w:val="46D01A4F"/>
    <w:rsid w:val="46D02A05"/>
    <w:rsid w:val="46D044D3"/>
    <w:rsid w:val="46D06EA9"/>
    <w:rsid w:val="46D10617"/>
    <w:rsid w:val="46D149CF"/>
    <w:rsid w:val="46D1677D"/>
    <w:rsid w:val="46D17B6A"/>
    <w:rsid w:val="46D20787"/>
    <w:rsid w:val="46D22C21"/>
    <w:rsid w:val="46D303D0"/>
    <w:rsid w:val="46D30747"/>
    <w:rsid w:val="46D32666"/>
    <w:rsid w:val="46D33F35"/>
    <w:rsid w:val="46D34A08"/>
    <w:rsid w:val="46D3585E"/>
    <w:rsid w:val="46D36D43"/>
    <w:rsid w:val="46D41860"/>
    <w:rsid w:val="46D558C1"/>
    <w:rsid w:val="46D57393"/>
    <w:rsid w:val="46D60179"/>
    <w:rsid w:val="46D701E1"/>
    <w:rsid w:val="46D701EC"/>
    <w:rsid w:val="46D75376"/>
    <w:rsid w:val="46D87B0C"/>
    <w:rsid w:val="46D93CCC"/>
    <w:rsid w:val="46D96F84"/>
    <w:rsid w:val="46DA3884"/>
    <w:rsid w:val="46DA40D6"/>
    <w:rsid w:val="46DA5612"/>
    <w:rsid w:val="46DA56D2"/>
    <w:rsid w:val="46DA7D28"/>
    <w:rsid w:val="46DA7E0E"/>
    <w:rsid w:val="46DB343F"/>
    <w:rsid w:val="46DB44DC"/>
    <w:rsid w:val="46DB5E97"/>
    <w:rsid w:val="46DC0B73"/>
    <w:rsid w:val="46DC584E"/>
    <w:rsid w:val="46DD0EA4"/>
    <w:rsid w:val="46DD15C6"/>
    <w:rsid w:val="46DD1757"/>
    <w:rsid w:val="46DD2912"/>
    <w:rsid w:val="46DD3374"/>
    <w:rsid w:val="46DD5122"/>
    <w:rsid w:val="46DE2E36"/>
    <w:rsid w:val="46DE50C0"/>
    <w:rsid w:val="46DF0708"/>
    <w:rsid w:val="46DF12D2"/>
    <w:rsid w:val="46DF242F"/>
    <w:rsid w:val="46DF533E"/>
    <w:rsid w:val="46DF5A12"/>
    <w:rsid w:val="46DF736D"/>
    <w:rsid w:val="46E01544"/>
    <w:rsid w:val="46E12E64"/>
    <w:rsid w:val="46E161FA"/>
    <w:rsid w:val="46E22723"/>
    <w:rsid w:val="46E25100"/>
    <w:rsid w:val="46E34BF2"/>
    <w:rsid w:val="46E427DA"/>
    <w:rsid w:val="46E44703"/>
    <w:rsid w:val="46E5052A"/>
    <w:rsid w:val="46E50F52"/>
    <w:rsid w:val="46E51999"/>
    <w:rsid w:val="46E5288D"/>
    <w:rsid w:val="46E528C9"/>
    <w:rsid w:val="46E61B86"/>
    <w:rsid w:val="46E62229"/>
    <w:rsid w:val="46E651D7"/>
    <w:rsid w:val="46E666CD"/>
    <w:rsid w:val="46E804F8"/>
    <w:rsid w:val="46E82445"/>
    <w:rsid w:val="46E82E16"/>
    <w:rsid w:val="46E830E9"/>
    <w:rsid w:val="46E841F3"/>
    <w:rsid w:val="46E868F1"/>
    <w:rsid w:val="46E873F3"/>
    <w:rsid w:val="46E9166C"/>
    <w:rsid w:val="46E92EE9"/>
    <w:rsid w:val="46E92FEE"/>
    <w:rsid w:val="46E93AC7"/>
    <w:rsid w:val="46E93EA5"/>
    <w:rsid w:val="46E94B09"/>
    <w:rsid w:val="46E97F6B"/>
    <w:rsid w:val="46E97FC0"/>
    <w:rsid w:val="46EA1CA2"/>
    <w:rsid w:val="46EA3AC1"/>
    <w:rsid w:val="46EA51C7"/>
    <w:rsid w:val="46EA5694"/>
    <w:rsid w:val="46EB0157"/>
    <w:rsid w:val="46EB1814"/>
    <w:rsid w:val="46EB399E"/>
    <w:rsid w:val="46EB3CE3"/>
    <w:rsid w:val="46EB3D58"/>
    <w:rsid w:val="46EB442E"/>
    <w:rsid w:val="46EB4721"/>
    <w:rsid w:val="46EC22D2"/>
    <w:rsid w:val="46EC34CC"/>
    <w:rsid w:val="46EC35B7"/>
    <w:rsid w:val="46EC58F9"/>
    <w:rsid w:val="46EC75BF"/>
    <w:rsid w:val="46ED01C0"/>
    <w:rsid w:val="46ED1809"/>
    <w:rsid w:val="46ED2407"/>
    <w:rsid w:val="46ED280B"/>
    <w:rsid w:val="46ED323B"/>
    <w:rsid w:val="46ED60C4"/>
    <w:rsid w:val="46EE018B"/>
    <w:rsid w:val="46EE1904"/>
    <w:rsid w:val="46EE2C06"/>
    <w:rsid w:val="46EE3180"/>
    <w:rsid w:val="46EE5581"/>
    <w:rsid w:val="46EE6544"/>
    <w:rsid w:val="46EF31C8"/>
    <w:rsid w:val="46EF32EB"/>
    <w:rsid w:val="46EF6468"/>
    <w:rsid w:val="46EF7152"/>
    <w:rsid w:val="46F030A7"/>
    <w:rsid w:val="46F10060"/>
    <w:rsid w:val="46F11B84"/>
    <w:rsid w:val="46F12944"/>
    <w:rsid w:val="46F14C21"/>
    <w:rsid w:val="46F17D02"/>
    <w:rsid w:val="46F21B47"/>
    <w:rsid w:val="46F22218"/>
    <w:rsid w:val="46F240D6"/>
    <w:rsid w:val="46F25071"/>
    <w:rsid w:val="46F25162"/>
    <w:rsid w:val="46F26E20"/>
    <w:rsid w:val="46F34946"/>
    <w:rsid w:val="46F3654D"/>
    <w:rsid w:val="46F3721C"/>
    <w:rsid w:val="46F41D59"/>
    <w:rsid w:val="46F42037"/>
    <w:rsid w:val="46F42DBA"/>
    <w:rsid w:val="46F43381"/>
    <w:rsid w:val="46F4406F"/>
    <w:rsid w:val="46F47709"/>
    <w:rsid w:val="46F506BE"/>
    <w:rsid w:val="46F54B62"/>
    <w:rsid w:val="46F55AC3"/>
    <w:rsid w:val="46F57C0C"/>
    <w:rsid w:val="46F61FD2"/>
    <w:rsid w:val="46F632B7"/>
    <w:rsid w:val="46F74436"/>
    <w:rsid w:val="46F74D8F"/>
    <w:rsid w:val="46F75C25"/>
    <w:rsid w:val="46F80C05"/>
    <w:rsid w:val="46F81F5C"/>
    <w:rsid w:val="46F821BB"/>
    <w:rsid w:val="46F840E9"/>
    <w:rsid w:val="46F84D5C"/>
    <w:rsid w:val="46F8751A"/>
    <w:rsid w:val="46F87A8A"/>
    <w:rsid w:val="46F93E9F"/>
    <w:rsid w:val="46F96400"/>
    <w:rsid w:val="46F96DE0"/>
    <w:rsid w:val="46FA5CD4"/>
    <w:rsid w:val="46FB1435"/>
    <w:rsid w:val="46FB1E0E"/>
    <w:rsid w:val="46FB3C1F"/>
    <w:rsid w:val="46FB4A0B"/>
    <w:rsid w:val="46FB75DC"/>
    <w:rsid w:val="46FC024B"/>
    <w:rsid w:val="46FC0A6C"/>
    <w:rsid w:val="46FC2123"/>
    <w:rsid w:val="46FC22DC"/>
    <w:rsid w:val="46FC7C9E"/>
    <w:rsid w:val="46FD0503"/>
    <w:rsid w:val="46FD15B2"/>
    <w:rsid w:val="46FD2AD5"/>
    <w:rsid w:val="46FD74F1"/>
    <w:rsid w:val="46FE20A2"/>
    <w:rsid w:val="46FE243A"/>
    <w:rsid w:val="46FE338C"/>
    <w:rsid w:val="46FE4489"/>
    <w:rsid w:val="46FF09B2"/>
    <w:rsid w:val="46FF153C"/>
    <w:rsid w:val="46FF32EA"/>
    <w:rsid w:val="46FF3B0B"/>
    <w:rsid w:val="46FF3F15"/>
    <w:rsid w:val="46FF481C"/>
    <w:rsid w:val="47000018"/>
    <w:rsid w:val="470152B5"/>
    <w:rsid w:val="47017063"/>
    <w:rsid w:val="47020939"/>
    <w:rsid w:val="47022DDB"/>
    <w:rsid w:val="47024B89"/>
    <w:rsid w:val="47027073"/>
    <w:rsid w:val="4703102D"/>
    <w:rsid w:val="4703462D"/>
    <w:rsid w:val="47035149"/>
    <w:rsid w:val="47036501"/>
    <w:rsid w:val="47041C0B"/>
    <w:rsid w:val="47044DA5"/>
    <w:rsid w:val="470526DF"/>
    <w:rsid w:val="47057567"/>
    <w:rsid w:val="4705784A"/>
    <w:rsid w:val="47060B1D"/>
    <w:rsid w:val="47061B1E"/>
    <w:rsid w:val="470646EF"/>
    <w:rsid w:val="470703F1"/>
    <w:rsid w:val="4707185F"/>
    <w:rsid w:val="47071E2A"/>
    <w:rsid w:val="47071FDF"/>
    <w:rsid w:val="47084E53"/>
    <w:rsid w:val="47086643"/>
    <w:rsid w:val="47091A49"/>
    <w:rsid w:val="470923BB"/>
    <w:rsid w:val="47094169"/>
    <w:rsid w:val="47094C79"/>
    <w:rsid w:val="47095F17"/>
    <w:rsid w:val="47095F53"/>
    <w:rsid w:val="47097C32"/>
    <w:rsid w:val="470B1C8F"/>
    <w:rsid w:val="470B3A79"/>
    <w:rsid w:val="470B6133"/>
    <w:rsid w:val="470B7EE1"/>
    <w:rsid w:val="470D3C59"/>
    <w:rsid w:val="470D5A07"/>
    <w:rsid w:val="470D72FC"/>
    <w:rsid w:val="470E0FC4"/>
    <w:rsid w:val="470E1780"/>
    <w:rsid w:val="470E352E"/>
    <w:rsid w:val="470E5A94"/>
    <w:rsid w:val="470F133D"/>
    <w:rsid w:val="470F21F9"/>
    <w:rsid w:val="470F2842"/>
    <w:rsid w:val="47100BC2"/>
    <w:rsid w:val="4710374A"/>
    <w:rsid w:val="471051AE"/>
    <w:rsid w:val="471054F8"/>
    <w:rsid w:val="47105AF8"/>
    <w:rsid w:val="4711222F"/>
    <w:rsid w:val="47120055"/>
    <w:rsid w:val="47121270"/>
    <w:rsid w:val="47121BDD"/>
    <w:rsid w:val="47121C46"/>
    <w:rsid w:val="4712287E"/>
    <w:rsid w:val="4712301E"/>
    <w:rsid w:val="471255F5"/>
    <w:rsid w:val="47127B06"/>
    <w:rsid w:val="47135490"/>
    <w:rsid w:val="47137AC7"/>
    <w:rsid w:val="471422B3"/>
    <w:rsid w:val="4714323A"/>
    <w:rsid w:val="47143943"/>
    <w:rsid w:val="47144CB9"/>
    <w:rsid w:val="4714568F"/>
    <w:rsid w:val="471531FB"/>
    <w:rsid w:val="47153E11"/>
    <w:rsid w:val="471548BC"/>
    <w:rsid w:val="47156F84"/>
    <w:rsid w:val="47161613"/>
    <w:rsid w:val="47161C2B"/>
    <w:rsid w:val="4716275F"/>
    <w:rsid w:val="47166A2A"/>
    <w:rsid w:val="47170634"/>
    <w:rsid w:val="4717152A"/>
    <w:rsid w:val="47172AAD"/>
    <w:rsid w:val="47174AD8"/>
    <w:rsid w:val="47175616"/>
    <w:rsid w:val="47176886"/>
    <w:rsid w:val="47180A66"/>
    <w:rsid w:val="47183F33"/>
    <w:rsid w:val="471843AC"/>
    <w:rsid w:val="47190850"/>
    <w:rsid w:val="471A2B65"/>
    <w:rsid w:val="471A5CDB"/>
    <w:rsid w:val="471B2906"/>
    <w:rsid w:val="471B3A4E"/>
    <w:rsid w:val="471C0D9D"/>
    <w:rsid w:val="471C13DF"/>
    <w:rsid w:val="471C1784"/>
    <w:rsid w:val="471C23C0"/>
    <w:rsid w:val="471C2DA6"/>
    <w:rsid w:val="471C3E9C"/>
    <w:rsid w:val="471C5C4A"/>
    <w:rsid w:val="471C6831"/>
    <w:rsid w:val="471D27E1"/>
    <w:rsid w:val="471D358E"/>
    <w:rsid w:val="471D55CB"/>
    <w:rsid w:val="471D682D"/>
    <w:rsid w:val="471E40C9"/>
    <w:rsid w:val="471E5E67"/>
    <w:rsid w:val="471F23CE"/>
    <w:rsid w:val="471F3E06"/>
    <w:rsid w:val="47201318"/>
    <w:rsid w:val="472015A9"/>
    <w:rsid w:val="47203CE6"/>
    <w:rsid w:val="472052AE"/>
    <w:rsid w:val="47207130"/>
    <w:rsid w:val="472106E3"/>
    <w:rsid w:val="472112F7"/>
    <w:rsid w:val="472115C9"/>
    <w:rsid w:val="47213261"/>
    <w:rsid w:val="47213952"/>
    <w:rsid w:val="47215550"/>
    <w:rsid w:val="47215957"/>
    <w:rsid w:val="47222197"/>
    <w:rsid w:val="472226AB"/>
    <w:rsid w:val="4722387D"/>
    <w:rsid w:val="472265B6"/>
    <w:rsid w:val="47226FD9"/>
    <w:rsid w:val="47227270"/>
    <w:rsid w:val="4723067E"/>
    <w:rsid w:val="47231F57"/>
    <w:rsid w:val="4723522B"/>
    <w:rsid w:val="47240FA3"/>
    <w:rsid w:val="47242D51"/>
    <w:rsid w:val="472450A7"/>
    <w:rsid w:val="472471F5"/>
    <w:rsid w:val="47250004"/>
    <w:rsid w:val="47251675"/>
    <w:rsid w:val="47253C30"/>
    <w:rsid w:val="47261EB4"/>
    <w:rsid w:val="47262F6D"/>
    <w:rsid w:val="47263BF3"/>
    <w:rsid w:val="47264039"/>
    <w:rsid w:val="47264B63"/>
    <w:rsid w:val="47264D1B"/>
    <w:rsid w:val="47264D6A"/>
    <w:rsid w:val="4727402C"/>
    <w:rsid w:val="47274150"/>
    <w:rsid w:val="472745EF"/>
    <w:rsid w:val="47275D14"/>
    <w:rsid w:val="47280018"/>
    <w:rsid w:val="4728211C"/>
    <w:rsid w:val="47287475"/>
    <w:rsid w:val="472900B7"/>
    <w:rsid w:val="47292039"/>
    <w:rsid w:val="472965B9"/>
    <w:rsid w:val="47297350"/>
    <w:rsid w:val="47297EB3"/>
    <w:rsid w:val="472A227F"/>
    <w:rsid w:val="472A2BA4"/>
    <w:rsid w:val="472A60F0"/>
    <w:rsid w:val="472B2331"/>
    <w:rsid w:val="472B40E0"/>
    <w:rsid w:val="472B73A2"/>
    <w:rsid w:val="472B73B2"/>
    <w:rsid w:val="472C5E27"/>
    <w:rsid w:val="472C79F1"/>
    <w:rsid w:val="472D61C3"/>
    <w:rsid w:val="472D789A"/>
    <w:rsid w:val="472D7E58"/>
    <w:rsid w:val="472E049B"/>
    <w:rsid w:val="472E246B"/>
    <w:rsid w:val="472E2AE8"/>
    <w:rsid w:val="472E3BD0"/>
    <w:rsid w:val="472E4E37"/>
    <w:rsid w:val="472E597E"/>
    <w:rsid w:val="472E743B"/>
    <w:rsid w:val="472F1E22"/>
    <w:rsid w:val="472F2EF0"/>
    <w:rsid w:val="472F33DF"/>
    <w:rsid w:val="472F41F9"/>
    <w:rsid w:val="472F75F7"/>
    <w:rsid w:val="47301B98"/>
    <w:rsid w:val="47302116"/>
    <w:rsid w:val="47304688"/>
    <w:rsid w:val="47305B9A"/>
    <w:rsid w:val="47307948"/>
    <w:rsid w:val="4731435F"/>
    <w:rsid w:val="47317533"/>
    <w:rsid w:val="4732227C"/>
    <w:rsid w:val="473236C0"/>
    <w:rsid w:val="473306D5"/>
    <w:rsid w:val="47330B7F"/>
    <w:rsid w:val="473311E6"/>
    <w:rsid w:val="47343EA7"/>
    <w:rsid w:val="473471DC"/>
    <w:rsid w:val="47347438"/>
    <w:rsid w:val="47347A4C"/>
    <w:rsid w:val="473513C9"/>
    <w:rsid w:val="47354F5E"/>
    <w:rsid w:val="47355B37"/>
    <w:rsid w:val="47356CBB"/>
    <w:rsid w:val="47356D0C"/>
    <w:rsid w:val="47357FF3"/>
    <w:rsid w:val="4736099E"/>
    <w:rsid w:val="47362BC8"/>
    <w:rsid w:val="473674BC"/>
    <w:rsid w:val="473709EC"/>
    <w:rsid w:val="47370CD6"/>
    <w:rsid w:val="47370E22"/>
    <w:rsid w:val="47371221"/>
    <w:rsid w:val="4737208D"/>
    <w:rsid w:val="47372CA5"/>
    <w:rsid w:val="473733D6"/>
    <w:rsid w:val="47375F60"/>
    <w:rsid w:val="473765BE"/>
    <w:rsid w:val="47376F28"/>
    <w:rsid w:val="473818B9"/>
    <w:rsid w:val="47381ECD"/>
    <w:rsid w:val="473829DE"/>
    <w:rsid w:val="473867FC"/>
    <w:rsid w:val="4739130E"/>
    <w:rsid w:val="47392CEE"/>
    <w:rsid w:val="47394A4E"/>
    <w:rsid w:val="47396EB4"/>
    <w:rsid w:val="473A2575"/>
    <w:rsid w:val="473A31DE"/>
    <w:rsid w:val="473A4323"/>
    <w:rsid w:val="473A457C"/>
    <w:rsid w:val="473A6363"/>
    <w:rsid w:val="473C009B"/>
    <w:rsid w:val="473C18EE"/>
    <w:rsid w:val="473C332E"/>
    <w:rsid w:val="473D089B"/>
    <w:rsid w:val="473D262D"/>
    <w:rsid w:val="473D3E13"/>
    <w:rsid w:val="473D564F"/>
    <w:rsid w:val="473D5E51"/>
    <w:rsid w:val="473D62C9"/>
    <w:rsid w:val="473E00F0"/>
    <w:rsid w:val="473E02B7"/>
    <w:rsid w:val="473E2065"/>
    <w:rsid w:val="473E2C62"/>
    <w:rsid w:val="473E2D06"/>
    <w:rsid w:val="473E49ED"/>
    <w:rsid w:val="473E5A57"/>
    <w:rsid w:val="473F33F0"/>
    <w:rsid w:val="473F4AA4"/>
    <w:rsid w:val="4740402F"/>
    <w:rsid w:val="47404E68"/>
    <w:rsid w:val="4741207B"/>
    <w:rsid w:val="474123CC"/>
    <w:rsid w:val="47412D0C"/>
    <w:rsid w:val="474156B1"/>
    <w:rsid w:val="47424128"/>
    <w:rsid w:val="474260C5"/>
    <w:rsid w:val="47426C78"/>
    <w:rsid w:val="474308F7"/>
    <w:rsid w:val="47431429"/>
    <w:rsid w:val="47434E91"/>
    <w:rsid w:val="47435823"/>
    <w:rsid w:val="474358CD"/>
    <w:rsid w:val="47436505"/>
    <w:rsid w:val="47437970"/>
    <w:rsid w:val="47444691"/>
    <w:rsid w:val="474451A1"/>
    <w:rsid w:val="47451ADD"/>
    <w:rsid w:val="47453769"/>
    <w:rsid w:val="47455B21"/>
    <w:rsid w:val="47456821"/>
    <w:rsid w:val="474606F2"/>
    <w:rsid w:val="474613F4"/>
    <w:rsid w:val="4746716B"/>
    <w:rsid w:val="474721C4"/>
    <w:rsid w:val="47472CA7"/>
    <w:rsid w:val="47480B36"/>
    <w:rsid w:val="47482EE3"/>
    <w:rsid w:val="47484E32"/>
    <w:rsid w:val="47492A25"/>
    <w:rsid w:val="47493076"/>
    <w:rsid w:val="47493101"/>
    <w:rsid w:val="47495579"/>
    <w:rsid w:val="474B0ECB"/>
    <w:rsid w:val="474B210F"/>
    <w:rsid w:val="474B5231"/>
    <w:rsid w:val="474B56EF"/>
    <w:rsid w:val="474B6530"/>
    <w:rsid w:val="474B7378"/>
    <w:rsid w:val="474C107E"/>
    <w:rsid w:val="474D04FA"/>
    <w:rsid w:val="474D22A8"/>
    <w:rsid w:val="474D2433"/>
    <w:rsid w:val="474D674C"/>
    <w:rsid w:val="474D7704"/>
    <w:rsid w:val="474D7BD4"/>
    <w:rsid w:val="474E4535"/>
    <w:rsid w:val="474E49D9"/>
    <w:rsid w:val="474F0EE3"/>
    <w:rsid w:val="474F1FE6"/>
    <w:rsid w:val="474F357E"/>
    <w:rsid w:val="474F3929"/>
    <w:rsid w:val="474F3F56"/>
    <w:rsid w:val="474F4102"/>
    <w:rsid w:val="474F4272"/>
    <w:rsid w:val="474F5288"/>
    <w:rsid w:val="474F770C"/>
    <w:rsid w:val="47504D8D"/>
    <w:rsid w:val="4750686B"/>
    <w:rsid w:val="475101CC"/>
    <w:rsid w:val="4751086A"/>
    <w:rsid w:val="47510B8B"/>
    <w:rsid w:val="4751202E"/>
    <w:rsid w:val="475133F8"/>
    <w:rsid w:val="47513E2B"/>
    <w:rsid w:val="47523575"/>
    <w:rsid w:val="47523B08"/>
    <w:rsid w:val="47523E32"/>
    <w:rsid w:val="47525B10"/>
    <w:rsid w:val="475310E6"/>
    <w:rsid w:val="4753121A"/>
    <w:rsid w:val="475315B5"/>
    <w:rsid w:val="475345C1"/>
    <w:rsid w:val="475353E4"/>
    <w:rsid w:val="47536980"/>
    <w:rsid w:val="475405DA"/>
    <w:rsid w:val="47544186"/>
    <w:rsid w:val="475449D7"/>
    <w:rsid w:val="47550DDA"/>
    <w:rsid w:val="475511C2"/>
    <w:rsid w:val="475541BB"/>
    <w:rsid w:val="47555600"/>
    <w:rsid w:val="47555616"/>
    <w:rsid w:val="4755580F"/>
    <w:rsid w:val="47560BE3"/>
    <w:rsid w:val="47561677"/>
    <w:rsid w:val="475635A1"/>
    <w:rsid w:val="47564260"/>
    <w:rsid w:val="47564884"/>
    <w:rsid w:val="47565F33"/>
    <w:rsid w:val="475664FA"/>
    <w:rsid w:val="47574ED5"/>
    <w:rsid w:val="4757521E"/>
    <w:rsid w:val="47576DD8"/>
    <w:rsid w:val="47577225"/>
    <w:rsid w:val="47587A40"/>
    <w:rsid w:val="47590C4D"/>
    <w:rsid w:val="47593A6D"/>
    <w:rsid w:val="475947A0"/>
    <w:rsid w:val="475950F1"/>
    <w:rsid w:val="475951FA"/>
    <w:rsid w:val="47596E9F"/>
    <w:rsid w:val="475A2C17"/>
    <w:rsid w:val="475A30E1"/>
    <w:rsid w:val="475A49C5"/>
    <w:rsid w:val="475A6890"/>
    <w:rsid w:val="475B6127"/>
    <w:rsid w:val="475C0A25"/>
    <w:rsid w:val="475C24EB"/>
    <w:rsid w:val="475C6527"/>
    <w:rsid w:val="475D1C91"/>
    <w:rsid w:val="475D6387"/>
    <w:rsid w:val="475D64DE"/>
    <w:rsid w:val="475D6670"/>
    <w:rsid w:val="475E191C"/>
    <w:rsid w:val="475E2707"/>
    <w:rsid w:val="475E3E78"/>
    <w:rsid w:val="475E5238"/>
    <w:rsid w:val="475F1299"/>
    <w:rsid w:val="475F3D89"/>
    <w:rsid w:val="475F7720"/>
    <w:rsid w:val="47602729"/>
    <w:rsid w:val="47605D7C"/>
    <w:rsid w:val="47611BB0"/>
    <w:rsid w:val="47613319"/>
    <w:rsid w:val="47613A1D"/>
    <w:rsid w:val="4761585B"/>
    <w:rsid w:val="47615D53"/>
    <w:rsid w:val="4761678A"/>
    <w:rsid w:val="476177F2"/>
    <w:rsid w:val="47621E96"/>
    <w:rsid w:val="47625049"/>
    <w:rsid w:val="476255FB"/>
    <w:rsid w:val="4762581D"/>
    <w:rsid w:val="47627C1A"/>
    <w:rsid w:val="4763323F"/>
    <w:rsid w:val="47633879"/>
    <w:rsid w:val="47635D39"/>
    <w:rsid w:val="47641FB3"/>
    <w:rsid w:val="47654CAC"/>
    <w:rsid w:val="476561F7"/>
    <w:rsid w:val="47661376"/>
    <w:rsid w:val="476615BC"/>
    <w:rsid w:val="476640FE"/>
    <w:rsid w:val="47664870"/>
    <w:rsid w:val="47666CCF"/>
    <w:rsid w:val="476725FC"/>
    <w:rsid w:val="47676B01"/>
    <w:rsid w:val="47685334"/>
    <w:rsid w:val="47690158"/>
    <w:rsid w:val="47690488"/>
    <w:rsid w:val="47691F31"/>
    <w:rsid w:val="47694C08"/>
    <w:rsid w:val="47694F1C"/>
    <w:rsid w:val="476A0D12"/>
    <w:rsid w:val="476A10AC"/>
    <w:rsid w:val="476A1A4C"/>
    <w:rsid w:val="476A2E5A"/>
    <w:rsid w:val="476A6EF9"/>
    <w:rsid w:val="476B0980"/>
    <w:rsid w:val="476B2426"/>
    <w:rsid w:val="476B4326"/>
    <w:rsid w:val="476B4E24"/>
    <w:rsid w:val="476B6BD2"/>
    <w:rsid w:val="476B7748"/>
    <w:rsid w:val="476B77C0"/>
    <w:rsid w:val="476C240D"/>
    <w:rsid w:val="476C4716"/>
    <w:rsid w:val="476D46F8"/>
    <w:rsid w:val="476D64A6"/>
    <w:rsid w:val="476E23F1"/>
    <w:rsid w:val="476E62AD"/>
    <w:rsid w:val="476E7104"/>
    <w:rsid w:val="476E78FE"/>
    <w:rsid w:val="476F0038"/>
    <w:rsid w:val="476F0470"/>
    <w:rsid w:val="476F66C2"/>
    <w:rsid w:val="476F7A5C"/>
    <w:rsid w:val="4770221E"/>
    <w:rsid w:val="477041E8"/>
    <w:rsid w:val="47705F96"/>
    <w:rsid w:val="47707148"/>
    <w:rsid w:val="477105FC"/>
    <w:rsid w:val="477108A1"/>
    <w:rsid w:val="47712FAF"/>
    <w:rsid w:val="47713DB9"/>
    <w:rsid w:val="47715085"/>
    <w:rsid w:val="4772024D"/>
    <w:rsid w:val="47723ABC"/>
    <w:rsid w:val="47725342"/>
    <w:rsid w:val="47725CB6"/>
    <w:rsid w:val="477261B2"/>
    <w:rsid w:val="4773125F"/>
    <w:rsid w:val="47733184"/>
    <w:rsid w:val="477345E9"/>
    <w:rsid w:val="477349E0"/>
    <w:rsid w:val="4773504B"/>
    <w:rsid w:val="47742723"/>
    <w:rsid w:val="47745A86"/>
    <w:rsid w:val="47746EF8"/>
    <w:rsid w:val="477517FF"/>
    <w:rsid w:val="47752E85"/>
    <w:rsid w:val="477535AD"/>
    <w:rsid w:val="47766090"/>
    <w:rsid w:val="47766D73"/>
    <w:rsid w:val="47767A51"/>
    <w:rsid w:val="47772600"/>
    <w:rsid w:val="47774857"/>
    <w:rsid w:val="47775577"/>
    <w:rsid w:val="477768EC"/>
    <w:rsid w:val="47776FCD"/>
    <w:rsid w:val="47777325"/>
    <w:rsid w:val="477809B0"/>
    <w:rsid w:val="47781149"/>
    <w:rsid w:val="47782E40"/>
    <w:rsid w:val="477900FB"/>
    <w:rsid w:val="477912EF"/>
    <w:rsid w:val="4779309D"/>
    <w:rsid w:val="47797541"/>
    <w:rsid w:val="477A0BC3"/>
    <w:rsid w:val="477A36C4"/>
    <w:rsid w:val="477A43A4"/>
    <w:rsid w:val="477A587D"/>
    <w:rsid w:val="477B2175"/>
    <w:rsid w:val="477B488F"/>
    <w:rsid w:val="477B4D9F"/>
    <w:rsid w:val="477B5067"/>
    <w:rsid w:val="477B76E2"/>
    <w:rsid w:val="477C07C1"/>
    <w:rsid w:val="477C0DDF"/>
    <w:rsid w:val="477C2104"/>
    <w:rsid w:val="477C493B"/>
    <w:rsid w:val="477D0158"/>
    <w:rsid w:val="477D4101"/>
    <w:rsid w:val="477D48F2"/>
    <w:rsid w:val="477D5F84"/>
    <w:rsid w:val="477D6AC5"/>
    <w:rsid w:val="477E296B"/>
    <w:rsid w:val="477E4B57"/>
    <w:rsid w:val="477E60E3"/>
    <w:rsid w:val="477E6905"/>
    <w:rsid w:val="477F13E1"/>
    <w:rsid w:val="477F15A5"/>
    <w:rsid w:val="477F2EA5"/>
    <w:rsid w:val="477F442B"/>
    <w:rsid w:val="477F5199"/>
    <w:rsid w:val="477F61D9"/>
    <w:rsid w:val="477F6BEF"/>
    <w:rsid w:val="47801D13"/>
    <w:rsid w:val="4780267D"/>
    <w:rsid w:val="47805043"/>
    <w:rsid w:val="47805632"/>
    <w:rsid w:val="478070A6"/>
    <w:rsid w:val="478101A3"/>
    <w:rsid w:val="478163F5"/>
    <w:rsid w:val="478168E6"/>
    <w:rsid w:val="47820ECD"/>
    <w:rsid w:val="47827417"/>
    <w:rsid w:val="4783172B"/>
    <w:rsid w:val="4783216D"/>
    <w:rsid w:val="47833666"/>
    <w:rsid w:val="47833F1C"/>
    <w:rsid w:val="478403E3"/>
    <w:rsid w:val="47841A42"/>
    <w:rsid w:val="47841B24"/>
    <w:rsid w:val="478438E1"/>
    <w:rsid w:val="47852CE8"/>
    <w:rsid w:val="478557D4"/>
    <w:rsid w:val="4785600C"/>
    <w:rsid w:val="4785664B"/>
    <w:rsid w:val="47857C94"/>
    <w:rsid w:val="47861D62"/>
    <w:rsid w:val="47864A7C"/>
    <w:rsid w:val="478657BA"/>
    <w:rsid w:val="47867370"/>
    <w:rsid w:val="478704A5"/>
    <w:rsid w:val="478745DE"/>
    <w:rsid w:val="47876D4D"/>
    <w:rsid w:val="47881F6B"/>
    <w:rsid w:val="478832E0"/>
    <w:rsid w:val="478838B8"/>
    <w:rsid w:val="47890CF4"/>
    <w:rsid w:val="47895009"/>
    <w:rsid w:val="4789579F"/>
    <w:rsid w:val="47895CE2"/>
    <w:rsid w:val="478973D8"/>
    <w:rsid w:val="47897E5F"/>
    <w:rsid w:val="478A0DF6"/>
    <w:rsid w:val="478A226D"/>
    <w:rsid w:val="478A5272"/>
    <w:rsid w:val="478A52AA"/>
    <w:rsid w:val="478A59A3"/>
    <w:rsid w:val="478A62C0"/>
    <w:rsid w:val="478A6965"/>
    <w:rsid w:val="478A6996"/>
    <w:rsid w:val="478A7058"/>
    <w:rsid w:val="478A7B2A"/>
    <w:rsid w:val="478B21B8"/>
    <w:rsid w:val="478B2DD0"/>
    <w:rsid w:val="478B472D"/>
    <w:rsid w:val="478B5BE9"/>
    <w:rsid w:val="478B6474"/>
    <w:rsid w:val="478C017D"/>
    <w:rsid w:val="478C5097"/>
    <w:rsid w:val="478C5888"/>
    <w:rsid w:val="478C7274"/>
    <w:rsid w:val="478D08F6"/>
    <w:rsid w:val="478D278E"/>
    <w:rsid w:val="478D306B"/>
    <w:rsid w:val="478D4D9A"/>
    <w:rsid w:val="478D5A05"/>
    <w:rsid w:val="478D7F4E"/>
    <w:rsid w:val="478E35A7"/>
    <w:rsid w:val="478E44F5"/>
    <w:rsid w:val="478E5B6B"/>
    <w:rsid w:val="478F0B12"/>
    <w:rsid w:val="478F2F9C"/>
    <w:rsid w:val="478F4630"/>
    <w:rsid w:val="479000C6"/>
    <w:rsid w:val="479003E6"/>
    <w:rsid w:val="4790053B"/>
    <w:rsid w:val="47902426"/>
    <w:rsid w:val="47902C63"/>
    <w:rsid w:val="47904BE7"/>
    <w:rsid w:val="47911E5F"/>
    <w:rsid w:val="47914D50"/>
    <w:rsid w:val="479160F1"/>
    <w:rsid w:val="47916A89"/>
    <w:rsid w:val="47922F63"/>
    <w:rsid w:val="4792415F"/>
    <w:rsid w:val="47925F0D"/>
    <w:rsid w:val="47932321"/>
    <w:rsid w:val="47941618"/>
    <w:rsid w:val="47943210"/>
    <w:rsid w:val="47947185"/>
    <w:rsid w:val="47947ED7"/>
    <w:rsid w:val="479506E9"/>
    <w:rsid w:val="47951367"/>
    <w:rsid w:val="47952AA8"/>
    <w:rsid w:val="47953C4F"/>
    <w:rsid w:val="47963C27"/>
    <w:rsid w:val="47971775"/>
    <w:rsid w:val="47971DA2"/>
    <w:rsid w:val="47973E16"/>
    <w:rsid w:val="47974793"/>
    <w:rsid w:val="47975780"/>
    <w:rsid w:val="47975C19"/>
    <w:rsid w:val="479779C7"/>
    <w:rsid w:val="47982EAC"/>
    <w:rsid w:val="479852C8"/>
    <w:rsid w:val="479866D4"/>
    <w:rsid w:val="4798759C"/>
    <w:rsid w:val="479902FB"/>
    <w:rsid w:val="4799373F"/>
    <w:rsid w:val="479954ED"/>
    <w:rsid w:val="47996DDE"/>
    <w:rsid w:val="479A0F5F"/>
    <w:rsid w:val="479A179F"/>
    <w:rsid w:val="479A3013"/>
    <w:rsid w:val="479A32A5"/>
    <w:rsid w:val="479A6684"/>
    <w:rsid w:val="479A6C56"/>
    <w:rsid w:val="479A7DF4"/>
    <w:rsid w:val="479B1265"/>
    <w:rsid w:val="479B658C"/>
    <w:rsid w:val="479B74B7"/>
    <w:rsid w:val="479B7852"/>
    <w:rsid w:val="479C2B26"/>
    <w:rsid w:val="479C5BCB"/>
    <w:rsid w:val="479C7DAA"/>
    <w:rsid w:val="479D2A76"/>
    <w:rsid w:val="479D371D"/>
    <w:rsid w:val="479D6259"/>
    <w:rsid w:val="479D7974"/>
    <w:rsid w:val="479E0C9E"/>
    <w:rsid w:val="479E0D55"/>
    <w:rsid w:val="479E26CA"/>
    <w:rsid w:val="479E3B5A"/>
    <w:rsid w:val="479E5715"/>
    <w:rsid w:val="479E6B91"/>
    <w:rsid w:val="479E7FAE"/>
    <w:rsid w:val="479F062A"/>
    <w:rsid w:val="479F1D19"/>
    <w:rsid w:val="479F1F78"/>
    <w:rsid w:val="479F4076"/>
    <w:rsid w:val="479F4E5A"/>
    <w:rsid w:val="479F5083"/>
    <w:rsid w:val="479F7191"/>
    <w:rsid w:val="47A05F7D"/>
    <w:rsid w:val="47A111BA"/>
    <w:rsid w:val="47A11890"/>
    <w:rsid w:val="47A13742"/>
    <w:rsid w:val="47A15C92"/>
    <w:rsid w:val="47A22DEA"/>
    <w:rsid w:val="47A23394"/>
    <w:rsid w:val="47A254C5"/>
    <w:rsid w:val="47A26612"/>
    <w:rsid w:val="47A26636"/>
    <w:rsid w:val="47A34213"/>
    <w:rsid w:val="47A3636C"/>
    <w:rsid w:val="47A41C6E"/>
    <w:rsid w:val="47A45C40"/>
    <w:rsid w:val="47A479CC"/>
    <w:rsid w:val="47A503EA"/>
    <w:rsid w:val="47A50BE7"/>
    <w:rsid w:val="47A520E4"/>
    <w:rsid w:val="47A5368E"/>
    <w:rsid w:val="47A54BA9"/>
    <w:rsid w:val="47A55510"/>
    <w:rsid w:val="47A55A73"/>
    <w:rsid w:val="47A57519"/>
    <w:rsid w:val="47A6197F"/>
    <w:rsid w:val="47A619B8"/>
    <w:rsid w:val="47A62556"/>
    <w:rsid w:val="47A62F9E"/>
    <w:rsid w:val="47A63A2D"/>
    <w:rsid w:val="47A655C7"/>
    <w:rsid w:val="47A65946"/>
    <w:rsid w:val="47A67D55"/>
    <w:rsid w:val="47A67F81"/>
    <w:rsid w:val="47A7239C"/>
    <w:rsid w:val="47A7318C"/>
    <w:rsid w:val="47A73A67"/>
    <w:rsid w:val="47A750C1"/>
    <w:rsid w:val="47A76CEC"/>
    <w:rsid w:val="47A77122"/>
    <w:rsid w:val="47A80F1E"/>
    <w:rsid w:val="47A81BD4"/>
    <w:rsid w:val="47A83982"/>
    <w:rsid w:val="47A8634D"/>
    <w:rsid w:val="47A8780C"/>
    <w:rsid w:val="47A9156B"/>
    <w:rsid w:val="47A91C8E"/>
    <w:rsid w:val="47A9609A"/>
    <w:rsid w:val="47A977DD"/>
    <w:rsid w:val="47AA383E"/>
    <w:rsid w:val="47AA594C"/>
    <w:rsid w:val="47AA6D1C"/>
    <w:rsid w:val="47AB17F6"/>
    <w:rsid w:val="47AB3030"/>
    <w:rsid w:val="47AB3B98"/>
    <w:rsid w:val="47AB5220"/>
    <w:rsid w:val="47AC1493"/>
    <w:rsid w:val="47AD0723"/>
    <w:rsid w:val="47AD2F34"/>
    <w:rsid w:val="47AD4BDE"/>
    <w:rsid w:val="47AD567B"/>
    <w:rsid w:val="47AE4E13"/>
    <w:rsid w:val="47AE572D"/>
    <w:rsid w:val="47AF00AC"/>
    <w:rsid w:val="47AF1047"/>
    <w:rsid w:val="47AF4ADF"/>
    <w:rsid w:val="47AF4D11"/>
    <w:rsid w:val="47B00DF5"/>
    <w:rsid w:val="47B02837"/>
    <w:rsid w:val="47B06E63"/>
    <w:rsid w:val="47B07ECD"/>
    <w:rsid w:val="47B10A89"/>
    <w:rsid w:val="47B16CD9"/>
    <w:rsid w:val="47B16CDB"/>
    <w:rsid w:val="47B2035D"/>
    <w:rsid w:val="47B20D90"/>
    <w:rsid w:val="47B255B6"/>
    <w:rsid w:val="47B265AF"/>
    <w:rsid w:val="47B27C6B"/>
    <w:rsid w:val="47B30779"/>
    <w:rsid w:val="47B350B3"/>
    <w:rsid w:val="47B36031"/>
    <w:rsid w:val="47B37D01"/>
    <w:rsid w:val="47B40579"/>
    <w:rsid w:val="47B42327"/>
    <w:rsid w:val="47B440D5"/>
    <w:rsid w:val="47B448F0"/>
    <w:rsid w:val="47B4563E"/>
    <w:rsid w:val="47B510A7"/>
    <w:rsid w:val="47B55DC2"/>
    <w:rsid w:val="47B57E4D"/>
    <w:rsid w:val="47B61DE1"/>
    <w:rsid w:val="47B65454"/>
    <w:rsid w:val="47B67BAE"/>
    <w:rsid w:val="47B708B6"/>
    <w:rsid w:val="47B70A7F"/>
    <w:rsid w:val="47B73271"/>
    <w:rsid w:val="47B73918"/>
    <w:rsid w:val="47B73BC5"/>
    <w:rsid w:val="47B749B2"/>
    <w:rsid w:val="47B75973"/>
    <w:rsid w:val="47B75E34"/>
    <w:rsid w:val="47B80230"/>
    <w:rsid w:val="47B837E7"/>
    <w:rsid w:val="47B8658F"/>
    <w:rsid w:val="47B90933"/>
    <w:rsid w:val="47B93390"/>
    <w:rsid w:val="47B941FA"/>
    <w:rsid w:val="47B95B8F"/>
    <w:rsid w:val="47B972D2"/>
    <w:rsid w:val="47B9793D"/>
    <w:rsid w:val="47BA0528"/>
    <w:rsid w:val="47BA1BF2"/>
    <w:rsid w:val="47BA35BE"/>
    <w:rsid w:val="47BA7F1E"/>
    <w:rsid w:val="47BB01E6"/>
    <w:rsid w:val="47BB1804"/>
    <w:rsid w:val="47BB1865"/>
    <w:rsid w:val="47BB1907"/>
    <w:rsid w:val="47BB2BB0"/>
    <w:rsid w:val="47BB2F13"/>
    <w:rsid w:val="47BB31E1"/>
    <w:rsid w:val="47BB36B5"/>
    <w:rsid w:val="47BB47C3"/>
    <w:rsid w:val="47BB483D"/>
    <w:rsid w:val="47BB6B0B"/>
    <w:rsid w:val="47BB7E19"/>
    <w:rsid w:val="47BB7EDA"/>
    <w:rsid w:val="47BC5E84"/>
    <w:rsid w:val="47BD0186"/>
    <w:rsid w:val="47BD1073"/>
    <w:rsid w:val="47BD1CB4"/>
    <w:rsid w:val="47BD2299"/>
    <w:rsid w:val="47BD5A28"/>
    <w:rsid w:val="47BD685E"/>
    <w:rsid w:val="47BE3A02"/>
    <w:rsid w:val="47BE4F54"/>
    <w:rsid w:val="47BE6D02"/>
    <w:rsid w:val="47C00CCC"/>
    <w:rsid w:val="47C03612"/>
    <w:rsid w:val="47C03863"/>
    <w:rsid w:val="47C03EA2"/>
    <w:rsid w:val="47C03FEB"/>
    <w:rsid w:val="47C06F1E"/>
    <w:rsid w:val="47C071A5"/>
    <w:rsid w:val="47C1229E"/>
    <w:rsid w:val="47C147E7"/>
    <w:rsid w:val="47C16EF4"/>
    <w:rsid w:val="47C21AC5"/>
    <w:rsid w:val="47C2406F"/>
    <w:rsid w:val="47C2502C"/>
    <w:rsid w:val="47C26F0E"/>
    <w:rsid w:val="47C274E4"/>
    <w:rsid w:val="47C307BC"/>
    <w:rsid w:val="47C3116D"/>
    <w:rsid w:val="47C317E6"/>
    <w:rsid w:val="47C3256A"/>
    <w:rsid w:val="47C33E4F"/>
    <w:rsid w:val="47C33E74"/>
    <w:rsid w:val="47C368BD"/>
    <w:rsid w:val="47C4007E"/>
    <w:rsid w:val="47C44203"/>
    <w:rsid w:val="47C4585B"/>
    <w:rsid w:val="47C479A8"/>
    <w:rsid w:val="47C50773"/>
    <w:rsid w:val="47C50E1F"/>
    <w:rsid w:val="47C51F81"/>
    <w:rsid w:val="47C5347F"/>
    <w:rsid w:val="47C54534"/>
    <w:rsid w:val="47C54D69"/>
    <w:rsid w:val="47C57C89"/>
    <w:rsid w:val="47C6104F"/>
    <w:rsid w:val="47C6205A"/>
    <w:rsid w:val="47C63E08"/>
    <w:rsid w:val="47C66D14"/>
    <w:rsid w:val="47C674F6"/>
    <w:rsid w:val="47C7476F"/>
    <w:rsid w:val="47C7581F"/>
    <w:rsid w:val="47C7784B"/>
    <w:rsid w:val="47C81002"/>
    <w:rsid w:val="47C84024"/>
    <w:rsid w:val="47C86E80"/>
    <w:rsid w:val="47C9034E"/>
    <w:rsid w:val="47C920AF"/>
    <w:rsid w:val="47C962C6"/>
    <w:rsid w:val="47CA22BC"/>
    <w:rsid w:val="47CA2E28"/>
    <w:rsid w:val="47CA4106"/>
    <w:rsid w:val="47CA56A6"/>
    <w:rsid w:val="47CB141F"/>
    <w:rsid w:val="47CB3EAF"/>
    <w:rsid w:val="47CB4DCD"/>
    <w:rsid w:val="47CB7671"/>
    <w:rsid w:val="47CC1972"/>
    <w:rsid w:val="47CC4E19"/>
    <w:rsid w:val="47CC5753"/>
    <w:rsid w:val="47CC58C3"/>
    <w:rsid w:val="47CC698C"/>
    <w:rsid w:val="47CC756D"/>
    <w:rsid w:val="47CD33E9"/>
    <w:rsid w:val="47CD5197"/>
    <w:rsid w:val="47CD623E"/>
    <w:rsid w:val="47CD7A10"/>
    <w:rsid w:val="47CE1850"/>
    <w:rsid w:val="47CE2C39"/>
    <w:rsid w:val="47CE3E00"/>
    <w:rsid w:val="47CE551E"/>
    <w:rsid w:val="47CE554A"/>
    <w:rsid w:val="47CE7844"/>
    <w:rsid w:val="47CF06F2"/>
    <w:rsid w:val="47CF2575"/>
    <w:rsid w:val="47CF39DD"/>
    <w:rsid w:val="47CF3BC4"/>
    <w:rsid w:val="47CF53B3"/>
    <w:rsid w:val="47D11C79"/>
    <w:rsid w:val="47D13709"/>
    <w:rsid w:val="47D14C87"/>
    <w:rsid w:val="47D169E9"/>
    <w:rsid w:val="47D209FF"/>
    <w:rsid w:val="47D20CAB"/>
    <w:rsid w:val="47D31AAF"/>
    <w:rsid w:val="47D31E1A"/>
    <w:rsid w:val="47D3233B"/>
    <w:rsid w:val="47D32A4A"/>
    <w:rsid w:val="47D335FF"/>
    <w:rsid w:val="47D349CC"/>
    <w:rsid w:val="47D35031"/>
    <w:rsid w:val="47D3711A"/>
    <w:rsid w:val="47D41231"/>
    <w:rsid w:val="47D43712"/>
    <w:rsid w:val="47D44777"/>
    <w:rsid w:val="47D46525"/>
    <w:rsid w:val="47D4714F"/>
    <w:rsid w:val="47D474AE"/>
    <w:rsid w:val="47D5062C"/>
    <w:rsid w:val="47D5185F"/>
    <w:rsid w:val="47D5255E"/>
    <w:rsid w:val="47D604EF"/>
    <w:rsid w:val="47D61896"/>
    <w:rsid w:val="47D62C34"/>
    <w:rsid w:val="47D67008"/>
    <w:rsid w:val="47D76015"/>
    <w:rsid w:val="47D77080"/>
    <w:rsid w:val="47D77DC3"/>
    <w:rsid w:val="47D8469F"/>
    <w:rsid w:val="47D8491B"/>
    <w:rsid w:val="47D8783B"/>
    <w:rsid w:val="47D9046E"/>
    <w:rsid w:val="47D9065F"/>
    <w:rsid w:val="47D93349"/>
    <w:rsid w:val="47DA0C17"/>
    <w:rsid w:val="47DA11DC"/>
    <w:rsid w:val="47DB3D58"/>
    <w:rsid w:val="47DB3DAD"/>
    <w:rsid w:val="47DB48C2"/>
    <w:rsid w:val="47DB5B06"/>
    <w:rsid w:val="47DC187E"/>
    <w:rsid w:val="47DC362C"/>
    <w:rsid w:val="47DC4D97"/>
    <w:rsid w:val="47DD1A5E"/>
    <w:rsid w:val="47DD40A7"/>
    <w:rsid w:val="47DD5917"/>
    <w:rsid w:val="47DD5E3B"/>
    <w:rsid w:val="47DD6F22"/>
    <w:rsid w:val="47DD7AD0"/>
    <w:rsid w:val="47DE4C4B"/>
    <w:rsid w:val="47DE73A4"/>
    <w:rsid w:val="47DF1780"/>
    <w:rsid w:val="47DF2AEE"/>
    <w:rsid w:val="47DF7E35"/>
    <w:rsid w:val="47E0136E"/>
    <w:rsid w:val="47E0311C"/>
    <w:rsid w:val="47E04ECA"/>
    <w:rsid w:val="47E059F6"/>
    <w:rsid w:val="47E11A47"/>
    <w:rsid w:val="47E11B02"/>
    <w:rsid w:val="47E131DF"/>
    <w:rsid w:val="47E139FB"/>
    <w:rsid w:val="47E1544D"/>
    <w:rsid w:val="47E17DA3"/>
    <w:rsid w:val="47E23229"/>
    <w:rsid w:val="47E240D6"/>
    <w:rsid w:val="47E26926"/>
    <w:rsid w:val="47E26E94"/>
    <w:rsid w:val="47E270A1"/>
    <w:rsid w:val="47E344B7"/>
    <w:rsid w:val="47E349BA"/>
    <w:rsid w:val="47E4214A"/>
    <w:rsid w:val="47E42B63"/>
    <w:rsid w:val="47E435E3"/>
    <w:rsid w:val="47E45A88"/>
    <w:rsid w:val="47E50059"/>
    <w:rsid w:val="47E532EE"/>
    <w:rsid w:val="47E5365C"/>
    <w:rsid w:val="47E5422B"/>
    <w:rsid w:val="47E562EF"/>
    <w:rsid w:val="47E56984"/>
    <w:rsid w:val="47E61ED6"/>
    <w:rsid w:val="47E622D9"/>
    <w:rsid w:val="47E623B1"/>
    <w:rsid w:val="47E66250"/>
    <w:rsid w:val="47E671AE"/>
    <w:rsid w:val="47E6777F"/>
    <w:rsid w:val="47E758BF"/>
    <w:rsid w:val="47E80223"/>
    <w:rsid w:val="47E90419"/>
    <w:rsid w:val="47E90AA0"/>
    <w:rsid w:val="47E94C70"/>
    <w:rsid w:val="47E95D4E"/>
    <w:rsid w:val="47E9650D"/>
    <w:rsid w:val="47EA45FA"/>
    <w:rsid w:val="47EA6A93"/>
    <w:rsid w:val="47EB0F4F"/>
    <w:rsid w:val="47EB2161"/>
    <w:rsid w:val="47EB2E3D"/>
    <w:rsid w:val="47EB386F"/>
    <w:rsid w:val="47EB3B3D"/>
    <w:rsid w:val="47EB5460"/>
    <w:rsid w:val="47EC1AC1"/>
    <w:rsid w:val="47EC731C"/>
    <w:rsid w:val="47EC7D13"/>
    <w:rsid w:val="47ED1BCE"/>
    <w:rsid w:val="47ED3A8B"/>
    <w:rsid w:val="47ED4A81"/>
    <w:rsid w:val="47ED5839"/>
    <w:rsid w:val="47ED662D"/>
    <w:rsid w:val="47EE2A9A"/>
    <w:rsid w:val="47EE3E01"/>
    <w:rsid w:val="47EE5CBF"/>
    <w:rsid w:val="47EE5E9B"/>
    <w:rsid w:val="47EE5F11"/>
    <w:rsid w:val="47EE6444"/>
    <w:rsid w:val="47EF0B53"/>
    <w:rsid w:val="47EF35AD"/>
    <w:rsid w:val="47EF596E"/>
    <w:rsid w:val="47EF6683"/>
    <w:rsid w:val="47EF6C5F"/>
    <w:rsid w:val="47EF7660"/>
    <w:rsid w:val="47EF7803"/>
    <w:rsid w:val="47F00391"/>
    <w:rsid w:val="47F00E85"/>
    <w:rsid w:val="47F04C21"/>
    <w:rsid w:val="47F06392"/>
    <w:rsid w:val="47F068B3"/>
    <w:rsid w:val="47F078FD"/>
    <w:rsid w:val="47F116F8"/>
    <w:rsid w:val="47F142A7"/>
    <w:rsid w:val="47F144CD"/>
    <w:rsid w:val="47F22034"/>
    <w:rsid w:val="47F22E4F"/>
    <w:rsid w:val="47F24BFD"/>
    <w:rsid w:val="47F2670E"/>
    <w:rsid w:val="47F347E0"/>
    <w:rsid w:val="47F3498E"/>
    <w:rsid w:val="47F366F7"/>
    <w:rsid w:val="47F40975"/>
    <w:rsid w:val="47F42C63"/>
    <w:rsid w:val="47F44C19"/>
    <w:rsid w:val="47F44E19"/>
    <w:rsid w:val="47F6050F"/>
    <w:rsid w:val="47F646ED"/>
    <w:rsid w:val="47F67274"/>
    <w:rsid w:val="47F711E9"/>
    <w:rsid w:val="47F71E45"/>
    <w:rsid w:val="47F72214"/>
    <w:rsid w:val="47F74268"/>
    <w:rsid w:val="47F760BD"/>
    <w:rsid w:val="47F76D2E"/>
    <w:rsid w:val="47F83246"/>
    <w:rsid w:val="47F92430"/>
    <w:rsid w:val="47F924BA"/>
    <w:rsid w:val="47F926E1"/>
    <w:rsid w:val="47F93A1F"/>
    <w:rsid w:val="47F94706"/>
    <w:rsid w:val="47F94DD2"/>
    <w:rsid w:val="47F95F8C"/>
    <w:rsid w:val="47F97160"/>
    <w:rsid w:val="47FA07C6"/>
    <w:rsid w:val="47FA09C0"/>
    <w:rsid w:val="47FA428D"/>
    <w:rsid w:val="47FB600A"/>
    <w:rsid w:val="47FB61A8"/>
    <w:rsid w:val="47FB7F56"/>
    <w:rsid w:val="47FC0A78"/>
    <w:rsid w:val="47FC35B9"/>
    <w:rsid w:val="47FC5A7C"/>
    <w:rsid w:val="47FC782A"/>
    <w:rsid w:val="47FD4576"/>
    <w:rsid w:val="47FD4F4F"/>
    <w:rsid w:val="47FD50B0"/>
    <w:rsid w:val="47FD539B"/>
    <w:rsid w:val="47FD58FC"/>
    <w:rsid w:val="47FE17F4"/>
    <w:rsid w:val="47FE35A2"/>
    <w:rsid w:val="47FE7A46"/>
    <w:rsid w:val="47FF162C"/>
    <w:rsid w:val="47FF4854"/>
    <w:rsid w:val="47FF6295"/>
    <w:rsid w:val="4800012E"/>
    <w:rsid w:val="48006E33"/>
    <w:rsid w:val="4800731A"/>
    <w:rsid w:val="48007A58"/>
    <w:rsid w:val="48007C0D"/>
    <w:rsid w:val="480171CC"/>
    <w:rsid w:val="48024364"/>
    <w:rsid w:val="480318C4"/>
    <w:rsid w:val="48032774"/>
    <w:rsid w:val="4803302F"/>
    <w:rsid w:val="4803505C"/>
    <w:rsid w:val="48035A11"/>
    <w:rsid w:val="48036E0A"/>
    <w:rsid w:val="48040C0B"/>
    <w:rsid w:val="4804200A"/>
    <w:rsid w:val="480441B5"/>
    <w:rsid w:val="48050DD4"/>
    <w:rsid w:val="4805272F"/>
    <w:rsid w:val="480531C8"/>
    <w:rsid w:val="48054198"/>
    <w:rsid w:val="48054931"/>
    <w:rsid w:val="480552EE"/>
    <w:rsid w:val="480558D9"/>
    <w:rsid w:val="48056ADA"/>
    <w:rsid w:val="480604F7"/>
    <w:rsid w:val="48060EF4"/>
    <w:rsid w:val="4806314D"/>
    <w:rsid w:val="48064139"/>
    <w:rsid w:val="48066D69"/>
    <w:rsid w:val="4806720E"/>
    <w:rsid w:val="480706A9"/>
    <w:rsid w:val="480755C1"/>
    <w:rsid w:val="480768FB"/>
    <w:rsid w:val="48081689"/>
    <w:rsid w:val="48082673"/>
    <w:rsid w:val="48082F5A"/>
    <w:rsid w:val="4808425A"/>
    <w:rsid w:val="48085415"/>
    <w:rsid w:val="48087E99"/>
    <w:rsid w:val="480908C5"/>
    <w:rsid w:val="48092A14"/>
    <w:rsid w:val="48092B19"/>
    <w:rsid w:val="48093374"/>
    <w:rsid w:val="480956EA"/>
    <w:rsid w:val="480A506C"/>
    <w:rsid w:val="480A53F9"/>
    <w:rsid w:val="480A7DD2"/>
    <w:rsid w:val="480B3DA3"/>
    <w:rsid w:val="480B7815"/>
    <w:rsid w:val="480C2163"/>
    <w:rsid w:val="480C6C1B"/>
    <w:rsid w:val="480D1A37"/>
    <w:rsid w:val="480D2806"/>
    <w:rsid w:val="480D3A23"/>
    <w:rsid w:val="480D3F55"/>
    <w:rsid w:val="480D6AFF"/>
    <w:rsid w:val="480D7C89"/>
    <w:rsid w:val="480E230D"/>
    <w:rsid w:val="480E26B0"/>
    <w:rsid w:val="480E290B"/>
    <w:rsid w:val="480E2E2C"/>
    <w:rsid w:val="480E447D"/>
    <w:rsid w:val="480F13E0"/>
    <w:rsid w:val="480F60D7"/>
    <w:rsid w:val="480F755D"/>
    <w:rsid w:val="481003AE"/>
    <w:rsid w:val="48102B5F"/>
    <w:rsid w:val="481051C7"/>
    <w:rsid w:val="48107B0C"/>
    <w:rsid w:val="4811107C"/>
    <w:rsid w:val="48111FAD"/>
    <w:rsid w:val="48112C11"/>
    <w:rsid w:val="481132D5"/>
    <w:rsid w:val="48114024"/>
    <w:rsid w:val="48117779"/>
    <w:rsid w:val="48124318"/>
    <w:rsid w:val="4812610C"/>
    <w:rsid w:val="48126677"/>
    <w:rsid w:val="481266EB"/>
    <w:rsid w:val="48127352"/>
    <w:rsid w:val="48140F5E"/>
    <w:rsid w:val="48142DC6"/>
    <w:rsid w:val="48143A35"/>
    <w:rsid w:val="48147269"/>
    <w:rsid w:val="48150F23"/>
    <w:rsid w:val="481604EB"/>
    <w:rsid w:val="48162A14"/>
    <w:rsid w:val="4816511D"/>
    <w:rsid w:val="48166028"/>
    <w:rsid w:val="48166B3E"/>
    <w:rsid w:val="481728B6"/>
    <w:rsid w:val="481748FA"/>
    <w:rsid w:val="48175C24"/>
    <w:rsid w:val="481903DC"/>
    <w:rsid w:val="4819260E"/>
    <w:rsid w:val="4819483A"/>
    <w:rsid w:val="48195CF7"/>
    <w:rsid w:val="481961BA"/>
    <w:rsid w:val="4819662E"/>
    <w:rsid w:val="48196749"/>
    <w:rsid w:val="481969A4"/>
    <w:rsid w:val="48197441"/>
    <w:rsid w:val="48197D5A"/>
    <w:rsid w:val="481A01CE"/>
    <w:rsid w:val="481A4CED"/>
    <w:rsid w:val="481A5D55"/>
    <w:rsid w:val="481B05F8"/>
    <w:rsid w:val="481B523D"/>
    <w:rsid w:val="481B7AFF"/>
    <w:rsid w:val="481C2E6A"/>
    <w:rsid w:val="481C3390"/>
    <w:rsid w:val="481C4D7D"/>
    <w:rsid w:val="481C565B"/>
    <w:rsid w:val="481C5B2A"/>
    <w:rsid w:val="481C60BF"/>
    <w:rsid w:val="481D0D23"/>
    <w:rsid w:val="481D2C20"/>
    <w:rsid w:val="481D2C72"/>
    <w:rsid w:val="481D3095"/>
    <w:rsid w:val="481D40ED"/>
    <w:rsid w:val="481D7ECC"/>
    <w:rsid w:val="481E13E1"/>
    <w:rsid w:val="481E1C7B"/>
    <w:rsid w:val="481E3C44"/>
    <w:rsid w:val="481F00B7"/>
    <w:rsid w:val="481F0D43"/>
    <w:rsid w:val="481F1051"/>
    <w:rsid w:val="481F1EE2"/>
    <w:rsid w:val="481F697D"/>
    <w:rsid w:val="48202327"/>
    <w:rsid w:val="482024E1"/>
    <w:rsid w:val="482026C1"/>
    <w:rsid w:val="48202971"/>
    <w:rsid w:val="48205C0E"/>
    <w:rsid w:val="482079BC"/>
    <w:rsid w:val="48211F17"/>
    <w:rsid w:val="48213744"/>
    <w:rsid w:val="48217014"/>
    <w:rsid w:val="48217291"/>
    <w:rsid w:val="48221986"/>
    <w:rsid w:val="482237D7"/>
    <w:rsid w:val="48226D1F"/>
    <w:rsid w:val="482275FE"/>
    <w:rsid w:val="48231BCD"/>
    <w:rsid w:val="48236291"/>
    <w:rsid w:val="4824200D"/>
    <w:rsid w:val="48252DC4"/>
    <w:rsid w:val="48254A99"/>
    <w:rsid w:val="4825666E"/>
    <w:rsid w:val="482570F7"/>
    <w:rsid w:val="48260034"/>
    <w:rsid w:val="4826427F"/>
    <w:rsid w:val="482649C3"/>
    <w:rsid w:val="48264C12"/>
    <w:rsid w:val="482676A4"/>
    <w:rsid w:val="4827165C"/>
    <w:rsid w:val="48272AF9"/>
    <w:rsid w:val="48276F9D"/>
    <w:rsid w:val="4828061F"/>
    <w:rsid w:val="48281095"/>
    <w:rsid w:val="48282530"/>
    <w:rsid w:val="48284D55"/>
    <w:rsid w:val="48286522"/>
    <w:rsid w:val="48286871"/>
    <w:rsid w:val="48292A4C"/>
    <w:rsid w:val="48294D40"/>
    <w:rsid w:val="482A0D6A"/>
    <w:rsid w:val="482A2272"/>
    <w:rsid w:val="482A2334"/>
    <w:rsid w:val="482A2962"/>
    <w:rsid w:val="482A4397"/>
    <w:rsid w:val="482A533B"/>
    <w:rsid w:val="482A6514"/>
    <w:rsid w:val="482A7C30"/>
    <w:rsid w:val="482B18B6"/>
    <w:rsid w:val="482B6F3F"/>
    <w:rsid w:val="482C010F"/>
    <w:rsid w:val="482C0320"/>
    <w:rsid w:val="482C04E4"/>
    <w:rsid w:val="482C3678"/>
    <w:rsid w:val="482C402F"/>
    <w:rsid w:val="482C6361"/>
    <w:rsid w:val="482C6A96"/>
    <w:rsid w:val="482C6B18"/>
    <w:rsid w:val="482D0269"/>
    <w:rsid w:val="482D0A66"/>
    <w:rsid w:val="482D13C8"/>
    <w:rsid w:val="482D34E6"/>
    <w:rsid w:val="482E032B"/>
    <w:rsid w:val="482E20D9"/>
    <w:rsid w:val="482E2597"/>
    <w:rsid w:val="482E5992"/>
    <w:rsid w:val="482E5F75"/>
    <w:rsid w:val="482E6391"/>
    <w:rsid w:val="482E723D"/>
    <w:rsid w:val="482F19AD"/>
    <w:rsid w:val="482F1C61"/>
    <w:rsid w:val="482F55CA"/>
    <w:rsid w:val="48313978"/>
    <w:rsid w:val="48313AC9"/>
    <w:rsid w:val="48315726"/>
    <w:rsid w:val="48322BD2"/>
    <w:rsid w:val="483279BD"/>
    <w:rsid w:val="4833500D"/>
    <w:rsid w:val="48335942"/>
    <w:rsid w:val="48335D86"/>
    <w:rsid w:val="48337309"/>
    <w:rsid w:val="48340669"/>
    <w:rsid w:val="48341828"/>
    <w:rsid w:val="483428B5"/>
    <w:rsid w:val="48343468"/>
    <w:rsid w:val="48345216"/>
    <w:rsid w:val="483471F7"/>
    <w:rsid w:val="48355AFA"/>
    <w:rsid w:val="48360F8E"/>
    <w:rsid w:val="48362D3C"/>
    <w:rsid w:val="48364E62"/>
    <w:rsid w:val="48365E8E"/>
    <w:rsid w:val="48367DEC"/>
    <w:rsid w:val="48371549"/>
    <w:rsid w:val="483772D8"/>
    <w:rsid w:val="48381518"/>
    <w:rsid w:val="48382509"/>
    <w:rsid w:val="48383169"/>
    <w:rsid w:val="4838612F"/>
    <w:rsid w:val="4839066E"/>
    <w:rsid w:val="48391BF8"/>
    <w:rsid w:val="4839282C"/>
    <w:rsid w:val="48395105"/>
    <w:rsid w:val="48396CD0"/>
    <w:rsid w:val="48397747"/>
    <w:rsid w:val="48397F7A"/>
    <w:rsid w:val="483A157C"/>
    <w:rsid w:val="483A2BEA"/>
    <w:rsid w:val="483A3088"/>
    <w:rsid w:val="483A4518"/>
    <w:rsid w:val="483A7055"/>
    <w:rsid w:val="483B00A8"/>
    <w:rsid w:val="483B2A48"/>
    <w:rsid w:val="483B31EA"/>
    <w:rsid w:val="483B47F6"/>
    <w:rsid w:val="483C1185"/>
    <w:rsid w:val="483C4D57"/>
    <w:rsid w:val="483C6775"/>
    <w:rsid w:val="483D056E"/>
    <w:rsid w:val="483D231C"/>
    <w:rsid w:val="483D40CA"/>
    <w:rsid w:val="483D45DA"/>
    <w:rsid w:val="483D4ABD"/>
    <w:rsid w:val="483E0703"/>
    <w:rsid w:val="483E5A6A"/>
    <w:rsid w:val="483E700D"/>
    <w:rsid w:val="483E7E42"/>
    <w:rsid w:val="483F0731"/>
    <w:rsid w:val="483F2CB4"/>
    <w:rsid w:val="483F4D82"/>
    <w:rsid w:val="483F7046"/>
    <w:rsid w:val="483F79A9"/>
    <w:rsid w:val="4840005F"/>
    <w:rsid w:val="48400B2B"/>
    <w:rsid w:val="48401E0D"/>
    <w:rsid w:val="48402A44"/>
    <w:rsid w:val="48403271"/>
    <w:rsid w:val="484051FB"/>
    <w:rsid w:val="4840749F"/>
    <w:rsid w:val="48412F5B"/>
    <w:rsid w:val="484161E9"/>
    <w:rsid w:val="48421054"/>
    <w:rsid w:val="484216E1"/>
    <w:rsid w:val="484237C1"/>
    <w:rsid w:val="48427933"/>
    <w:rsid w:val="484336AB"/>
    <w:rsid w:val="484418FD"/>
    <w:rsid w:val="4844418D"/>
    <w:rsid w:val="48450E0E"/>
    <w:rsid w:val="48455675"/>
    <w:rsid w:val="48457610"/>
    <w:rsid w:val="4846177C"/>
    <w:rsid w:val="484636CE"/>
    <w:rsid w:val="4846442D"/>
    <w:rsid w:val="484646C4"/>
    <w:rsid w:val="48464E08"/>
    <w:rsid w:val="48466369"/>
    <w:rsid w:val="4847319B"/>
    <w:rsid w:val="484744BA"/>
    <w:rsid w:val="48474BEB"/>
    <w:rsid w:val="48474F49"/>
    <w:rsid w:val="48477A5C"/>
    <w:rsid w:val="48480CC1"/>
    <w:rsid w:val="484811BA"/>
    <w:rsid w:val="48482174"/>
    <w:rsid w:val="484829C6"/>
    <w:rsid w:val="48482A6F"/>
    <w:rsid w:val="48484573"/>
    <w:rsid w:val="484909E9"/>
    <w:rsid w:val="484935B2"/>
    <w:rsid w:val="48494CCC"/>
    <w:rsid w:val="48497FAC"/>
    <w:rsid w:val="484A0797"/>
    <w:rsid w:val="484A1FC9"/>
    <w:rsid w:val="484A206C"/>
    <w:rsid w:val="484A44B1"/>
    <w:rsid w:val="484A4A39"/>
    <w:rsid w:val="484A51A6"/>
    <w:rsid w:val="484B3901"/>
    <w:rsid w:val="484B47D3"/>
    <w:rsid w:val="484B5326"/>
    <w:rsid w:val="484B5BB3"/>
    <w:rsid w:val="484C06F4"/>
    <w:rsid w:val="484C0965"/>
    <w:rsid w:val="484C0E8A"/>
    <w:rsid w:val="484C255F"/>
    <w:rsid w:val="484C26C5"/>
    <w:rsid w:val="484C3E60"/>
    <w:rsid w:val="484C692D"/>
    <w:rsid w:val="484D14FE"/>
    <w:rsid w:val="484D265D"/>
    <w:rsid w:val="484D6048"/>
    <w:rsid w:val="484E0362"/>
    <w:rsid w:val="484E277B"/>
    <w:rsid w:val="484E417B"/>
    <w:rsid w:val="484E5313"/>
    <w:rsid w:val="484F08F4"/>
    <w:rsid w:val="484F2FFF"/>
    <w:rsid w:val="484F69EF"/>
    <w:rsid w:val="484F76F6"/>
    <w:rsid w:val="485002AE"/>
    <w:rsid w:val="485022A2"/>
    <w:rsid w:val="48505A94"/>
    <w:rsid w:val="485111C8"/>
    <w:rsid w:val="4851138B"/>
    <w:rsid w:val="485161A4"/>
    <w:rsid w:val="48523848"/>
    <w:rsid w:val="4852624C"/>
    <w:rsid w:val="48526425"/>
    <w:rsid w:val="485265E4"/>
    <w:rsid w:val="48526F22"/>
    <w:rsid w:val="48531B40"/>
    <w:rsid w:val="48533C2F"/>
    <w:rsid w:val="48535370"/>
    <w:rsid w:val="485458B8"/>
    <w:rsid w:val="48552111"/>
    <w:rsid w:val="48554CE6"/>
    <w:rsid w:val="485567E2"/>
    <w:rsid w:val="48560A83"/>
    <w:rsid w:val="48561630"/>
    <w:rsid w:val="485633DE"/>
    <w:rsid w:val="48564CFD"/>
    <w:rsid w:val="48564F55"/>
    <w:rsid w:val="485665BF"/>
    <w:rsid w:val="485671BC"/>
    <w:rsid w:val="48567212"/>
    <w:rsid w:val="485707FD"/>
    <w:rsid w:val="48575A24"/>
    <w:rsid w:val="485762B0"/>
    <w:rsid w:val="48580E9D"/>
    <w:rsid w:val="48580F04"/>
    <w:rsid w:val="48581B13"/>
    <w:rsid w:val="485853A8"/>
    <w:rsid w:val="48586611"/>
    <w:rsid w:val="48597AA1"/>
    <w:rsid w:val="485A20FD"/>
    <w:rsid w:val="485A284D"/>
    <w:rsid w:val="485A470D"/>
    <w:rsid w:val="485A5372"/>
    <w:rsid w:val="485B09F4"/>
    <w:rsid w:val="485B1D34"/>
    <w:rsid w:val="485B5990"/>
    <w:rsid w:val="485B6C46"/>
    <w:rsid w:val="485C1274"/>
    <w:rsid w:val="485C2D48"/>
    <w:rsid w:val="485C5DA7"/>
    <w:rsid w:val="485D0DE3"/>
    <w:rsid w:val="485D29BF"/>
    <w:rsid w:val="485D3A8C"/>
    <w:rsid w:val="485D476D"/>
    <w:rsid w:val="485D6C54"/>
    <w:rsid w:val="485E0E99"/>
    <w:rsid w:val="485E3E0F"/>
    <w:rsid w:val="485E5503"/>
    <w:rsid w:val="485F02FE"/>
    <w:rsid w:val="485F094B"/>
    <w:rsid w:val="4860425D"/>
    <w:rsid w:val="486053C9"/>
    <w:rsid w:val="48616D76"/>
    <w:rsid w:val="4861765B"/>
    <w:rsid w:val="48621D83"/>
    <w:rsid w:val="48623B31"/>
    <w:rsid w:val="48635D3C"/>
    <w:rsid w:val="4863607F"/>
    <w:rsid w:val="48637B85"/>
    <w:rsid w:val="48641D5A"/>
    <w:rsid w:val="48643D4D"/>
    <w:rsid w:val="48646313"/>
    <w:rsid w:val="486463AB"/>
    <w:rsid w:val="48647F75"/>
    <w:rsid w:val="48651FA3"/>
    <w:rsid w:val="48653621"/>
    <w:rsid w:val="48657449"/>
    <w:rsid w:val="48657593"/>
    <w:rsid w:val="4865773E"/>
    <w:rsid w:val="48657AC5"/>
    <w:rsid w:val="486637E6"/>
    <w:rsid w:val="48671147"/>
    <w:rsid w:val="48671296"/>
    <w:rsid w:val="48673535"/>
    <w:rsid w:val="48674A71"/>
    <w:rsid w:val="48674C76"/>
    <w:rsid w:val="486755EB"/>
    <w:rsid w:val="48677399"/>
    <w:rsid w:val="48677EBD"/>
    <w:rsid w:val="486800FD"/>
    <w:rsid w:val="48684EBF"/>
    <w:rsid w:val="48691363"/>
    <w:rsid w:val="4869240E"/>
    <w:rsid w:val="48693111"/>
    <w:rsid w:val="4869784F"/>
    <w:rsid w:val="486A02E1"/>
    <w:rsid w:val="486A0C38"/>
    <w:rsid w:val="486A302F"/>
    <w:rsid w:val="486A50DB"/>
    <w:rsid w:val="486A635F"/>
    <w:rsid w:val="486A7137"/>
    <w:rsid w:val="486A7580"/>
    <w:rsid w:val="486B00B7"/>
    <w:rsid w:val="486B04DE"/>
    <w:rsid w:val="486B1EB6"/>
    <w:rsid w:val="486C2C02"/>
    <w:rsid w:val="486C4206"/>
    <w:rsid w:val="486C49B0"/>
    <w:rsid w:val="486C606E"/>
    <w:rsid w:val="486C6FBB"/>
    <w:rsid w:val="486D24D6"/>
    <w:rsid w:val="486D73A7"/>
    <w:rsid w:val="486D7E06"/>
    <w:rsid w:val="486E0728"/>
    <w:rsid w:val="486E17CF"/>
    <w:rsid w:val="486E3699"/>
    <w:rsid w:val="486E3791"/>
    <w:rsid w:val="486E4CD4"/>
    <w:rsid w:val="486E697A"/>
    <w:rsid w:val="486F0E3D"/>
    <w:rsid w:val="486F26F2"/>
    <w:rsid w:val="486F44A0"/>
    <w:rsid w:val="486F624E"/>
    <w:rsid w:val="486F6991"/>
    <w:rsid w:val="486F6BB0"/>
    <w:rsid w:val="48702804"/>
    <w:rsid w:val="48705D28"/>
    <w:rsid w:val="48707469"/>
    <w:rsid w:val="48710E8F"/>
    <w:rsid w:val="48711FC6"/>
    <w:rsid w:val="4871366A"/>
    <w:rsid w:val="48713997"/>
    <w:rsid w:val="4871646A"/>
    <w:rsid w:val="48717FA6"/>
    <w:rsid w:val="48720405"/>
    <w:rsid w:val="48721435"/>
    <w:rsid w:val="48726579"/>
    <w:rsid w:val="48730ADB"/>
    <w:rsid w:val="4873196F"/>
    <w:rsid w:val="48731A53"/>
    <w:rsid w:val="4873211E"/>
    <w:rsid w:val="487321E2"/>
    <w:rsid w:val="48733219"/>
    <w:rsid w:val="4873341F"/>
    <w:rsid w:val="48733F90"/>
    <w:rsid w:val="487367F7"/>
    <w:rsid w:val="487379CD"/>
    <w:rsid w:val="48741AB6"/>
    <w:rsid w:val="48742673"/>
    <w:rsid w:val="4874727A"/>
    <w:rsid w:val="48752A6D"/>
    <w:rsid w:val="48753776"/>
    <w:rsid w:val="48753ACF"/>
    <w:rsid w:val="48755390"/>
    <w:rsid w:val="48756B03"/>
    <w:rsid w:val="48757D08"/>
    <w:rsid w:val="48763A80"/>
    <w:rsid w:val="48765008"/>
    <w:rsid w:val="4876582E"/>
    <w:rsid w:val="4876623C"/>
    <w:rsid w:val="48766897"/>
    <w:rsid w:val="487675DC"/>
    <w:rsid w:val="48775FBD"/>
    <w:rsid w:val="48782C54"/>
    <w:rsid w:val="48783354"/>
    <w:rsid w:val="487834B1"/>
    <w:rsid w:val="487877F8"/>
    <w:rsid w:val="48790480"/>
    <w:rsid w:val="4879128B"/>
    <w:rsid w:val="48793E07"/>
    <w:rsid w:val="48795846"/>
    <w:rsid w:val="487970CD"/>
    <w:rsid w:val="487A210B"/>
    <w:rsid w:val="487A3C1F"/>
    <w:rsid w:val="487A531F"/>
    <w:rsid w:val="487A584A"/>
    <w:rsid w:val="487A58A4"/>
    <w:rsid w:val="487A591F"/>
    <w:rsid w:val="487B1097"/>
    <w:rsid w:val="487B2E45"/>
    <w:rsid w:val="487B5CC6"/>
    <w:rsid w:val="487C40FE"/>
    <w:rsid w:val="487C4955"/>
    <w:rsid w:val="487C6430"/>
    <w:rsid w:val="487C7FE1"/>
    <w:rsid w:val="487D4E0F"/>
    <w:rsid w:val="487D6BBD"/>
    <w:rsid w:val="487E1A6D"/>
    <w:rsid w:val="487E20DC"/>
    <w:rsid w:val="487E7720"/>
    <w:rsid w:val="487F076D"/>
    <w:rsid w:val="487F1488"/>
    <w:rsid w:val="487F1E36"/>
    <w:rsid w:val="487F3C18"/>
    <w:rsid w:val="487F412E"/>
    <w:rsid w:val="487F4B81"/>
    <w:rsid w:val="487F538F"/>
    <w:rsid w:val="487F53B1"/>
    <w:rsid w:val="4880045B"/>
    <w:rsid w:val="48802209"/>
    <w:rsid w:val="4880581D"/>
    <w:rsid w:val="488103EE"/>
    <w:rsid w:val="48814A73"/>
    <w:rsid w:val="4881611D"/>
    <w:rsid w:val="488164A7"/>
    <w:rsid w:val="48816934"/>
    <w:rsid w:val="4881704D"/>
    <w:rsid w:val="48822425"/>
    <w:rsid w:val="488241D3"/>
    <w:rsid w:val="48824662"/>
    <w:rsid w:val="48831CF9"/>
    <w:rsid w:val="488329FE"/>
    <w:rsid w:val="48832D0E"/>
    <w:rsid w:val="48835ED9"/>
    <w:rsid w:val="488533E1"/>
    <w:rsid w:val="48853CC3"/>
    <w:rsid w:val="48855A71"/>
    <w:rsid w:val="488570E6"/>
    <w:rsid w:val="48861D35"/>
    <w:rsid w:val="48862D8E"/>
    <w:rsid w:val="48863A37"/>
    <w:rsid w:val="48863B3F"/>
    <w:rsid w:val="4886729B"/>
    <w:rsid w:val="48872DBA"/>
    <w:rsid w:val="48873598"/>
    <w:rsid w:val="4887551C"/>
    <w:rsid w:val="48877016"/>
    <w:rsid w:val="48877A3B"/>
    <w:rsid w:val="488917E6"/>
    <w:rsid w:val="488924E4"/>
    <w:rsid w:val="4889543F"/>
    <w:rsid w:val="48895562"/>
    <w:rsid w:val="48895C05"/>
    <w:rsid w:val="48897310"/>
    <w:rsid w:val="488A12DA"/>
    <w:rsid w:val="488A48BB"/>
    <w:rsid w:val="488A698C"/>
    <w:rsid w:val="488B5A5E"/>
    <w:rsid w:val="488B752C"/>
    <w:rsid w:val="488C31F8"/>
    <w:rsid w:val="488C5F0E"/>
    <w:rsid w:val="488C6BFC"/>
    <w:rsid w:val="488C6E00"/>
    <w:rsid w:val="488D29BF"/>
    <w:rsid w:val="488D6991"/>
    <w:rsid w:val="488D7005"/>
    <w:rsid w:val="488D732D"/>
    <w:rsid w:val="488E0BB6"/>
    <w:rsid w:val="488E4926"/>
    <w:rsid w:val="488E54D2"/>
    <w:rsid w:val="488E6ADC"/>
    <w:rsid w:val="488F069E"/>
    <w:rsid w:val="488F48B0"/>
    <w:rsid w:val="488F68F0"/>
    <w:rsid w:val="488F7360"/>
    <w:rsid w:val="48902654"/>
    <w:rsid w:val="48902741"/>
    <w:rsid w:val="48904ABE"/>
    <w:rsid w:val="48905312"/>
    <w:rsid w:val="4891075B"/>
    <w:rsid w:val="489108BA"/>
    <w:rsid w:val="48912042"/>
    <w:rsid w:val="489122ED"/>
    <w:rsid w:val="48912668"/>
    <w:rsid w:val="48914416"/>
    <w:rsid w:val="48917826"/>
    <w:rsid w:val="4892019F"/>
    <w:rsid w:val="4893018E"/>
    <w:rsid w:val="48930205"/>
    <w:rsid w:val="48931F3C"/>
    <w:rsid w:val="489323E0"/>
    <w:rsid w:val="48933D36"/>
    <w:rsid w:val="48935626"/>
    <w:rsid w:val="489363E0"/>
    <w:rsid w:val="489406E9"/>
    <w:rsid w:val="48944890"/>
    <w:rsid w:val="48945CB4"/>
    <w:rsid w:val="48947863"/>
    <w:rsid w:val="48947E12"/>
    <w:rsid w:val="48952158"/>
    <w:rsid w:val="48954B11"/>
    <w:rsid w:val="4896467B"/>
    <w:rsid w:val="48965ED0"/>
    <w:rsid w:val="489727E0"/>
    <w:rsid w:val="48972DA5"/>
    <w:rsid w:val="48975690"/>
    <w:rsid w:val="489765CC"/>
    <w:rsid w:val="489806BF"/>
    <w:rsid w:val="48980A3A"/>
    <w:rsid w:val="48981C49"/>
    <w:rsid w:val="489839F7"/>
    <w:rsid w:val="48984072"/>
    <w:rsid w:val="48984E72"/>
    <w:rsid w:val="489857A5"/>
    <w:rsid w:val="48987D93"/>
    <w:rsid w:val="48991CF6"/>
    <w:rsid w:val="489932CB"/>
    <w:rsid w:val="48994F34"/>
    <w:rsid w:val="48995ACE"/>
    <w:rsid w:val="489A036F"/>
    <w:rsid w:val="489A151D"/>
    <w:rsid w:val="489A6105"/>
    <w:rsid w:val="489B2425"/>
    <w:rsid w:val="489B34E7"/>
    <w:rsid w:val="489B3910"/>
    <w:rsid w:val="489B5295"/>
    <w:rsid w:val="489B66D3"/>
    <w:rsid w:val="489B6803"/>
    <w:rsid w:val="489C180A"/>
    <w:rsid w:val="489C485A"/>
    <w:rsid w:val="489C50D2"/>
    <w:rsid w:val="489C6E12"/>
    <w:rsid w:val="489D0343"/>
    <w:rsid w:val="489D100D"/>
    <w:rsid w:val="489D5DE8"/>
    <w:rsid w:val="489D6C31"/>
    <w:rsid w:val="489E7DD5"/>
    <w:rsid w:val="489F6B33"/>
    <w:rsid w:val="48A00D58"/>
    <w:rsid w:val="48A028AB"/>
    <w:rsid w:val="48A04D55"/>
    <w:rsid w:val="48A14B56"/>
    <w:rsid w:val="48A15446"/>
    <w:rsid w:val="48A2300D"/>
    <w:rsid w:val="48A231B5"/>
    <w:rsid w:val="48A24875"/>
    <w:rsid w:val="48A26623"/>
    <w:rsid w:val="48A34111"/>
    <w:rsid w:val="48A36C56"/>
    <w:rsid w:val="48A36DAC"/>
    <w:rsid w:val="48A37E2B"/>
    <w:rsid w:val="48A405ED"/>
    <w:rsid w:val="48A40D1A"/>
    <w:rsid w:val="48A4239B"/>
    <w:rsid w:val="48A427AD"/>
    <w:rsid w:val="48A43788"/>
    <w:rsid w:val="48A53182"/>
    <w:rsid w:val="48A53E6F"/>
    <w:rsid w:val="48A54201"/>
    <w:rsid w:val="48A54D7E"/>
    <w:rsid w:val="48A54FAE"/>
    <w:rsid w:val="48A55352"/>
    <w:rsid w:val="48A630C4"/>
    <w:rsid w:val="48A64365"/>
    <w:rsid w:val="48A70DC6"/>
    <w:rsid w:val="48A71838"/>
    <w:rsid w:val="48A71E8C"/>
    <w:rsid w:val="48A738E3"/>
    <w:rsid w:val="48A73C0F"/>
    <w:rsid w:val="48A73C3A"/>
    <w:rsid w:val="48A80D23"/>
    <w:rsid w:val="48A81E58"/>
    <w:rsid w:val="48A82A15"/>
    <w:rsid w:val="48A83599"/>
    <w:rsid w:val="48A84918"/>
    <w:rsid w:val="48A851C4"/>
    <w:rsid w:val="48A85CD3"/>
    <w:rsid w:val="48A86DC9"/>
    <w:rsid w:val="48A87FAD"/>
    <w:rsid w:val="48A91760"/>
    <w:rsid w:val="48A94357"/>
    <w:rsid w:val="48A943A0"/>
    <w:rsid w:val="48A9466D"/>
    <w:rsid w:val="48A948A0"/>
    <w:rsid w:val="48A94A29"/>
    <w:rsid w:val="48A958C8"/>
    <w:rsid w:val="48A9629C"/>
    <w:rsid w:val="48A96D19"/>
    <w:rsid w:val="48A979B2"/>
    <w:rsid w:val="48AA548E"/>
    <w:rsid w:val="48AA7B6B"/>
    <w:rsid w:val="48AB197C"/>
    <w:rsid w:val="48AB2723"/>
    <w:rsid w:val="48AB2BB9"/>
    <w:rsid w:val="48AB372A"/>
    <w:rsid w:val="48AB3D4C"/>
    <w:rsid w:val="48AB480D"/>
    <w:rsid w:val="48AB7637"/>
    <w:rsid w:val="48AC04F5"/>
    <w:rsid w:val="48AC1250"/>
    <w:rsid w:val="48AC1485"/>
    <w:rsid w:val="48AC6E49"/>
    <w:rsid w:val="48AD06CA"/>
    <w:rsid w:val="48AD0AEC"/>
    <w:rsid w:val="48AD26A0"/>
    <w:rsid w:val="48AD5737"/>
    <w:rsid w:val="48AD60A5"/>
    <w:rsid w:val="48AE03C2"/>
    <w:rsid w:val="48AE321A"/>
    <w:rsid w:val="48AE4FC8"/>
    <w:rsid w:val="48AE5CCA"/>
    <w:rsid w:val="48AE740B"/>
    <w:rsid w:val="48AF089B"/>
    <w:rsid w:val="48AF2AEE"/>
    <w:rsid w:val="48AF5A07"/>
    <w:rsid w:val="48B00E96"/>
    <w:rsid w:val="48B01D2B"/>
    <w:rsid w:val="48B031BB"/>
    <w:rsid w:val="48B10AE4"/>
    <w:rsid w:val="48B11AF2"/>
    <w:rsid w:val="48B14AB8"/>
    <w:rsid w:val="48B16866"/>
    <w:rsid w:val="48B26B27"/>
    <w:rsid w:val="48B306AC"/>
    <w:rsid w:val="48B30FB6"/>
    <w:rsid w:val="48B31C54"/>
    <w:rsid w:val="48B40105"/>
    <w:rsid w:val="48B41034"/>
    <w:rsid w:val="48B410D9"/>
    <w:rsid w:val="48B4175E"/>
    <w:rsid w:val="48B41B3C"/>
    <w:rsid w:val="48B53585"/>
    <w:rsid w:val="48B55B9D"/>
    <w:rsid w:val="48B620CF"/>
    <w:rsid w:val="48B6350D"/>
    <w:rsid w:val="48B63E7D"/>
    <w:rsid w:val="48B6445C"/>
    <w:rsid w:val="48B65703"/>
    <w:rsid w:val="48B65DD7"/>
    <w:rsid w:val="48B71284"/>
    <w:rsid w:val="48B740E7"/>
    <w:rsid w:val="48B752F7"/>
    <w:rsid w:val="48B85E47"/>
    <w:rsid w:val="48B9147E"/>
    <w:rsid w:val="48B9384C"/>
    <w:rsid w:val="48B9571B"/>
    <w:rsid w:val="48B95753"/>
    <w:rsid w:val="48BA1008"/>
    <w:rsid w:val="48BA1B12"/>
    <w:rsid w:val="48BA1BBF"/>
    <w:rsid w:val="48BB02CE"/>
    <w:rsid w:val="48BB1493"/>
    <w:rsid w:val="48BB2D8D"/>
    <w:rsid w:val="48BC6F7A"/>
    <w:rsid w:val="48BD085C"/>
    <w:rsid w:val="48BD345D"/>
    <w:rsid w:val="48BD3691"/>
    <w:rsid w:val="48BD520B"/>
    <w:rsid w:val="48BD6205"/>
    <w:rsid w:val="48BE0390"/>
    <w:rsid w:val="48BE12B7"/>
    <w:rsid w:val="48BE2FB7"/>
    <w:rsid w:val="48BF0F83"/>
    <w:rsid w:val="48BF4A4F"/>
    <w:rsid w:val="48BF6C4F"/>
    <w:rsid w:val="48BF71D5"/>
    <w:rsid w:val="48C0077A"/>
    <w:rsid w:val="48C02C01"/>
    <w:rsid w:val="48C03606"/>
    <w:rsid w:val="48C1162E"/>
    <w:rsid w:val="48C11A0A"/>
    <w:rsid w:val="48C15A14"/>
    <w:rsid w:val="48C170C4"/>
    <w:rsid w:val="48C20A74"/>
    <w:rsid w:val="48C26CC5"/>
    <w:rsid w:val="48C26D11"/>
    <w:rsid w:val="48C32266"/>
    <w:rsid w:val="48C338CE"/>
    <w:rsid w:val="48C35FF6"/>
    <w:rsid w:val="48C3755E"/>
    <w:rsid w:val="48C40951"/>
    <w:rsid w:val="48C42653"/>
    <w:rsid w:val="48C42A3E"/>
    <w:rsid w:val="48C46F2C"/>
    <w:rsid w:val="48C50F58"/>
    <w:rsid w:val="48C5100E"/>
    <w:rsid w:val="48C52312"/>
    <w:rsid w:val="48C53F4D"/>
    <w:rsid w:val="48C54A68"/>
    <w:rsid w:val="48C66535"/>
    <w:rsid w:val="48C742DC"/>
    <w:rsid w:val="48C753E1"/>
    <w:rsid w:val="48C7608A"/>
    <w:rsid w:val="48C7709B"/>
    <w:rsid w:val="48C77693"/>
    <w:rsid w:val="48C81469"/>
    <w:rsid w:val="48C8165E"/>
    <w:rsid w:val="48C835FE"/>
    <w:rsid w:val="48C83770"/>
    <w:rsid w:val="48C85328"/>
    <w:rsid w:val="48C860EE"/>
    <w:rsid w:val="48C90054"/>
    <w:rsid w:val="48C928D2"/>
    <w:rsid w:val="48C93BB0"/>
    <w:rsid w:val="48C9613D"/>
    <w:rsid w:val="48C97A34"/>
    <w:rsid w:val="48CA190C"/>
    <w:rsid w:val="48CA36F6"/>
    <w:rsid w:val="48CA5028"/>
    <w:rsid w:val="48CA6C2D"/>
    <w:rsid w:val="48CA7928"/>
    <w:rsid w:val="48CB10E6"/>
    <w:rsid w:val="48CB1236"/>
    <w:rsid w:val="48CB31C9"/>
    <w:rsid w:val="48CC0FCE"/>
    <w:rsid w:val="48CC18F2"/>
    <w:rsid w:val="48CC256A"/>
    <w:rsid w:val="48CC2994"/>
    <w:rsid w:val="48CC30E5"/>
    <w:rsid w:val="48CC36A0"/>
    <w:rsid w:val="48CD12CB"/>
    <w:rsid w:val="48CD6BB4"/>
    <w:rsid w:val="48CE11C6"/>
    <w:rsid w:val="48CE566A"/>
    <w:rsid w:val="48CE5AB5"/>
    <w:rsid w:val="48CE79DA"/>
    <w:rsid w:val="48CF1315"/>
    <w:rsid w:val="48CF4F7B"/>
    <w:rsid w:val="48CF69AE"/>
    <w:rsid w:val="48CF7902"/>
    <w:rsid w:val="48D000FD"/>
    <w:rsid w:val="48D01B15"/>
    <w:rsid w:val="48D026C6"/>
    <w:rsid w:val="48D027A5"/>
    <w:rsid w:val="48D04F3E"/>
    <w:rsid w:val="48D128EF"/>
    <w:rsid w:val="48D12A65"/>
    <w:rsid w:val="48D20A29"/>
    <w:rsid w:val="48D3130D"/>
    <w:rsid w:val="48D33786"/>
    <w:rsid w:val="48D367DD"/>
    <w:rsid w:val="48D36CFD"/>
    <w:rsid w:val="48D37C96"/>
    <w:rsid w:val="48D523BA"/>
    <w:rsid w:val="48D526FC"/>
    <w:rsid w:val="48D55097"/>
    <w:rsid w:val="48D55147"/>
    <w:rsid w:val="48D569F9"/>
    <w:rsid w:val="48D60CB6"/>
    <w:rsid w:val="48D61F48"/>
    <w:rsid w:val="48D62909"/>
    <w:rsid w:val="48D6451F"/>
    <w:rsid w:val="48D64ED6"/>
    <w:rsid w:val="48D721F7"/>
    <w:rsid w:val="48D72771"/>
    <w:rsid w:val="48D735E2"/>
    <w:rsid w:val="48D736D7"/>
    <w:rsid w:val="48D73C9F"/>
    <w:rsid w:val="48D77AA7"/>
    <w:rsid w:val="48D80297"/>
    <w:rsid w:val="48D80A52"/>
    <w:rsid w:val="48D81716"/>
    <w:rsid w:val="48D82045"/>
    <w:rsid w:val="48D8276A"/>
    <w:rsid w:val="48D91B9E"/>
    <w:rsid w:val="48D923C7"/>
    <w:rsid w:val="48D94F98"/>
    <w:rsid w:val="48D952C6"/>
    <w:rsid w:val="48D9673E"/>
    <w:rsid w:val="48D9674F"/>
    <w:rsid w:val="48D96D35"/>
    <w:rsid w:val="48D970EB"/>
    <w:rsid w:val="48D97E79"/>
    <w:rsid w:val="48DA2E89"/>
    <w:rsid w:val="48DA538A"/>
    <w:rsid w:val="48DA7B6B"/>
    <w:rsid w:val="48DB2006"/>
    <w:rsid w:val="48DB38E3"/>
    <w:rsid w:val="48DB5F55"/>
    <w:rsid w:val="48DB7593"/>
    <w:rsid w:val="48DC1DE3"/>
    <w:rsid w:val="48DC4C07"/>
    <w:rsid w:val="48DD3AFF"/>
    <w:rsid w:val="48DD4A2C"/>
    <w:rsid w:val="48DD58AD"/>
    <w:rsid w:val="48DD7CEF"/>
    <w:rsid w:val="48DE4DA9"/>
    <w:rsid w:val="48DE6C5C"/>
    <w:rsid w:val="48DF146F"/>
    <w:rsid w:val="48DF1625"/>
    <w:rsid w:val="48DF26C3"/>
    <w:rsid w:val="48DF2B1B"/>
    <w:rsid w:val="48DF33D4"/>
    <w:rsid w:val="48DF7F4A"/>
    <w:rsid w:val="48E00EFA"/>
    <w:rsid w:val="48E0227D"/>
    <w:rsid w:val="48E053E8"/>
    <w:rsid w:val="48E10B59"/>
    <w:rsid w:val="48E11F07"/>
    <w:rsid w:val="48E157CB"/>
    <w:rsid w:val="48E15CBA"/>
    <w:rsid w:val="48E1714C"/>
    <w:rsid w:val="48E21116"/>
    <w:rsid w:val="48E26CFC"/>
    <w:rsid w:val="48E3245B"/>
    <w:rsid w:val="48E32A7C"/>
    <w:rsid w:val="48E3361D"/>
    <w:rsid w:val="48E361F1"/>
    <w:rsid w:val="48E367D4"/>
    <w:rsid w:val="48E40866"/>
    <w:rsid w:val="48E42055"/>
    <w:rsid w:val="48E42798"/>
    <w:rsid w:val="48E46BB8"/>
    <w:rsid w:val="48E477EC"/>
    <w:rsid w:val="48E5353B"/>
    <w:rsid w:val="48E56510"/>
    <w:rsid w:val="48E647B5"/>
    <w:rsid w:val="48E649CB"/>
    <w:rsid w:val="48E715CC"/>
    <w:rsid w:val="48E72288"/>
    <w:rsid w:val="48E727BF"/>
    <w:rsid w:val="48E75E5B"/>
    <w:rsid w:val="48E763A6"/>
    <w:rsid w:val="48E7672C"/>
    <w:rsid w:val="48E76A7C"/>
    <w:rsid w:val="48E76D66"/>
    <w:rsid w:val="48E80A2C"/>
    <w:rsid w:val="48E82818"/>
    <w:rsid w:val="48E86947"/>
    <w:rsid w:val="48E91EBC"/>
    <w:rsid w:val="48E924A4"/>
    <w:rsid w:val="48E925AE"/>
    <w:rsid w:val="48E934C5"/>
    <w:rsid w:val="48E93872"/>
    <w:rsid w:val="48E938EC"/>
    <w:rsid w:val="48E93FF9"/>
    <w:rsid w:val="48E947DF"/>
    <w:rsid w:val="48E94D5E"/>
    <w:rsid w:val="48E94F53"/>
    <w:rsid w:val="48EA0461"/>
    <w:rsid w:val="48EA3B26"/>
    <w:rsid w:val="48EA5F1D"/>
    <w:rsid w:val="48EA697E"/>
    <w:rsid w:val="48EB0A5F"/>
    <w:rsid w:val="48EB1134"/>
    <w:rsid w:val="48EB1638"/>
    <w:rsid w:val="48EB38C9"/>
    <w:rsid w:val="48EB47DC"/>
    <w:rsid w:val="48EB621C"/>
    <w:rsid w:val="48EB6249"/>
    <w:rsid w:val="48EB70E4"/>
    <w:rsid w:val="48EB73AD"/>
    <w:rsid w:val="48EB7FCA"/>
    <w:rsid w:val="48EC5287"/>
    <w:rsid w:val="48EC5AF0"/>
    <w:rsid w:val="48EC7337"/>
    <w:rsid w:val="48EC789E"/>
    <w:rsid w:val="48ED029C"/>
    <w:rsid w:val="48ED376E"/>
    <w:rsid w:val="48ED7388"/>
    <w:rsid w:val="48EE0521"/>
    <w:rsid w:val="48EE1869"/>
    <w:rsid w:val="48EE1D42"/>
    <w:rsid w:val="48EE252E"/>
    <w:rsid w:val="48EE3617"/>
    <w:rsid w:val="48EE37CE"/>
    <w:rsid w:val="48EE5AD0"/>
    <w:rsid w:val="48EE7ABB"/>
    <w:rsid w:val="48EF3C24"/>
    <w:rsid w:val="48EF4268"/>
    <w:rsid w:val="48EF4340"/>
    <w:rsid w:val="48EF5D2E"/>
    <w:rsid w:val="48EF5DA0"/>
    <w:rsid w:val="48F055E1"/>
    <w:rsid w:val="48F0738F"/>
    <w:rsid w:val="48F07A9A"/>
    <w:rsid w:val="48F13107"/>
    <w:rsid w:val="48F14EB5"/>
    <w:rsid w:val="48F172A7"/>
    <w:rsid w:val="48F1791B"/>
    <w:rsid w:val="48F21359"/>
    <w:rsid w:val="48F22379"/>
    <w:rsid w:val="48F24F79"/>
    <w:rsid w:val="48F256CC"/>
    <w:rsid w:val="48F25C35"/>
    <w:rsid w:val="48F26B6F"/>
    <w:rsid w:val="48F35B3F"/>
    <w:rsid w:val="48F36C89"/>
    <w:rsid w:val="48F430E2"/>
    <w:rsid w:val="48F46FCF"/>
    <w:rsid w:val="48F51AE7"/>
    <w:rsid w:val="48F52BF7"/>
    <w:rsid w:val="48F52F0F"/>
    <w:rsid w:val="48F53030"/>
    <w:rsid w:val="48F536BF"/>
    <w:rsid w:val="48F539B6"/>
    <w:rsid w:val="48F56C69"/>
    <w:rsid w:val="48F56FA1"/>
    <w:rsid w:val="48F57CE2"/>
    <w:rsid w:val="48F609E7"/>
    <w:rsid w:val="48F61413"/>
    <w:rsid w:val="48F650FE"/>
    <w:rsid w:val="48F66C93"/>
    <w:rsid w:val="48F6754F"/>
    <w:rsid w:val="48F7218A"/>
    <w:rsid w:val="48F76215"/>
    <w:rsid w:val="48F7696F"/>
    <w:rsid w:val="48F824C1"/>
    <w:rsid w:val="48F829DC"/>
    <w:rsid w:val="48F83277"/>
    <w:rsid w:val="48F836DE"/>
    <w:rsid w:val="48F84107"/>
    <w:rsid w:val="48F919B1"/>
    <w:rsid w:val="48FA020D"/>
    <w:rsid w:val="48FA2E41"/>
    <w:rsid w:val="48FA4602"/>
    <w:rsid w:val="48FA645F"/>
    <w:rsid w:val="48FB060D"/>
    <w:rsid w:val="48FB125F"/>
    <w:rsid w:val="48FB1892"/>
    <w:rsid w:val="48FB42D1"/>
    <w:rsid w:val="48FB71E2"/>
    <w:rsid w:val="48FC13C6"/>
    <w:rsid w:val="48FC21D7"/>
    <w:rsid w:val="48FC238E"/>
    <w:rsid w:val="48FC3F85"/>
    <w:rsid w:val="48FC5178"/>
    <w:rsid w:val="48FD0081"/>
    <w:rsid w:val="48FD385A"/>
    <w:rsid w:val="48FD39AB"/>
    <w:rsid w:val="48FD5F50"/>
    <w:rsid w:val="48FE27A8"/>
    <w:rsid w:val="48FE28A6"/>
    <w:rsid w:val="48FE28C3"/>
    <w:rsid w:val="48FF0265"/>
    <w:rsid w:val="48FF5824"/>
    <w:rsid w:val="48FF6CB3"/>
    <w:rsid w:val="490012F8"/>
    <w:rsid w:val="490016AF"/>
    <w:rsid w:val="4900268C"/>
    <w:rsid w:val="490059D6"/>
    <w:rsid w:val="49010224"/>
    <w:rsid w:val="49010B26"/>
    <w:rsid w:val="4901159C"/>
    <w:rsid w:val="4901505E"/>
    <w:rsid w:val="490177EE"/>
    <w:rsid w:val="49024E6B"/>
    <w:rsid w:val="49025314"/>
    <w:rsid w:val="49025E3B"/>
    <w:rsid w:val="49026884"/>
    <w:rsid w:val="490270C2"/>
    <w:rsid w:val="49027EB1"/>
    <w:rsid w:val="49035633"/>
    <w:rsid w:val="490375A2"/>
    <w:rsid w:val="490421D3"/>
    <w:rsid w:val="49042E3A"/>
    <w:rsid w:val="49044142"/>
    <w:rsid w:val="49046A5C"/>
    <w:rsid w:val="49050213"/>
    <w:rsid w:val="49052092"/>
    <w:rsid w:val="49052769"/>
    <w:rsid w:val="49053B19"/>
    <w:rsid w:val="49054F6F"/>
    <w:rsid w:val="4905596E"/>
    <w:rsid w:val="49057764"/>
    <w:rsid w:val="49057EF8"/>
    <w:rsid w:val="49060960"/>
    <w:rsid w:val="490613E3"/>
    <w:rsid w:val="4906149B"/>
    <w:rsid w:val="49063FB4"/>
    <w:rsid w:val="49064E04"/>
    <w:rsid w:val="49066BB2"/>
    <w:rsid w:val="49071420"/>
    <w:rsid w:val="49072873"/>
    <w:rsid w:val="490746D8"/>
    <w:rsid w:val="49074881"/>
    <w:rsid w:val="49077124"/>
    <w:rsid w:val="490815E2"/>
    <w:rsid w:val="490823AF"/>
    <w:rsid w:val="49082775"/>
    <w:rsid w:val="49084702"/>
    <w:rsid w:val="490848D8"/>
    <w:rsid w:val="49085792"/>
    <w:rsid w:val="49086E03"/>
    <w:rsid w:val="49092D04"/>
    <w:rsid w:val="490966A2"/>
    <w:rsid w:val="490A0B68"/>
    <w:rsid w:val="490A1013"/>
    <w:rsid w:val="490A11F4"/>
    <w:rsid w:val="490A2935"/>
    <w:rsid w:val="490B0067"/>
    <w:rsid w:val="490B0A39"/>
    <w:rsid w:val="490B3853"/>
    <w:rsid w:val="490B5255"/>
    <w:rsid w:val="490B7486"/>
    <w:rsid w:val="490C1130"/>
    <w:rsid w:val="490C1CEF"/>
    <w:rsid w:val="490C527E"/>
    <w:rsid w:val="490C794A"/>
    <w:rsid w:val="490C7F41"/>
    <w:rsid w:val="490C7FF0"/>
    <w:rsid w:val="490D12B6"/>
    <w:rsid w:val="490D3D48"/>
    <w:rsid w:val="490D4436"/>
    <w:rsid w:val="490D6193"/>
    <w:rsid w:val="490E1F0B"/>
    <w:rsid w:val="490E2871"/>
    <w:rsid w:val="490E3079"/>
    <w:rsid w:val="490E3CB9"/>
    <w:rsid w:val="490E5A67"/>
    <w:rsid w:val="490F1A9B"/>
    <w:rsid w:val="490F4D8E"/>
    <w:rsid w:val="490F631C"/>
    <w:rsid w:val="4910358D"/>
    <w:rsid w:val="49105066"/>
    <w:rsid w:val="49105EAF"/>
    <w:rsid w:val="491114D1"/>
    <w:rsid w:val="491164F6"/>
    <w:rsid w:val="49120286"/>
    <w:rsid w:val="49126618"/>
    <w:rsid w:val="49134D90"/>
    <w:rsid w:val="49141DF4"/>
    <w:rsid w:val="49141EA2"/>
    <w:rsid w:val="49143E2E"/>
    <w:rsid w:val="49147222"/>
    <w:rsid w:val="4914760D"/>
    <w:rsid w:val="49153299"/>
    <w:rsid w:val="49156DF5"/>
    <w:rsid w:val="49157498"/>
    <w:rsid w:val="49160466"/>
    <w:rsid w:val="49160ED8"/>
    <w:rsid w:val="4916491B"/>
    <w:rsid w:val="491705D6"/>
    <w:rsid w:val="491712F4"/>
    <w:rsid w:val="49173764"/>
    <w:rsid w:val="49175162"/>
    <w:rsid w:val="49177011"/>
    <w:rsid w:val="4917701E"/>
    <w:rsid w:val="49180694"/>
    <w:rsid w:val="49184B37"/>
    <w:rsid w:val="491868E5"/>
    <w:rsid w:val="4918771A"/>
    <w:rsid w:val="49187FFF"/>
    <w:rsid w:val="491907F2"/>
    <w:rsid w:val="49192C73"/>
    <w:rsid w:val="49192D99"/>
    <w:rsid w:val="491A08B0"/>
    <w:rsid w:val="491A0CE9"/>
    <w:rsid w:val="491A0FE8"/>
    <w:rsid w:val="491A265E"/>
    <w:rsid w:val="491A440C"/>
    <w:rsid w:val="491C44B9"/>
    <w:rsid w:val="491C63D6"/>
    <w:rsid w:val="491D1E57"/>
    <w:rsid w:val="491D3AE4"/>
    <w:rsid w:val="491D4D3C"/>
    <w:rsid w:val="491E0AFA"/>
    <w:rsid w:val="491E147F"/>
    <w:rsid w:val="491E2DBF"/>
    <w:rsid w:val="491E3868"/>
    <w:rsid w:val="491E46F7"/>
    <w:rsid w:val="491E4AFA"/>
    <w:rsid w:val="491E4E7F"/>
    <w:rsid w:val="491F1A22"/>
    <w:rsid w:val="491F24A5"/>
    <w:rsid w:val="491F2D2B"/>
    <w:rsid w:val="491F30C0"/>
    <w:rsid w:val="491F3FD3"/>
    <w:rsid w:val="491F40D1"/>
    <w:rsid w:val="491F4DDA"/>
    <w:rsid w:val="491F6BD0"/>
    <w:rsid w:val="491F7C74"/>
    <w:rsid w:val="4921579A"/>
    <w:rsid w:val="4922204C"/>
    <w:rsid w:val="4922408C"/>
    <w:rsid w:val="49231CAB"/>
    <w:rsid w:val="49233114"/>
    <w:rsid w:val="492356A1"/>
    <w:rsid w:val="492359B6"/>
    <w:rsid w:val="492434DC"/>
    <w:rsid w:val="492435B3"/>
    <w:rsid w:val="4924528A"/>
    <w:rsid w:val="49247038"/>
    <w:rsid w:val="492518C6"/>
    <w:rsid w:val="49254E40"/>
    <w:rsid w:val="49255DFC"/>
    <w:rsid w:val="49261002"/>
    <w:rsid w:val="49263978"/>
    <w:rsid w:val="492643AE"/>
    <w:rsid w:val="492651AF"/>
    <w:rsid w:val="492658EC"/>
    <w:rsid w:val="492732ED"/>
    <w:rsid w:val="49274D49"/>
    <w:rsid w:val="49276330"/>
    <w:rsid w:val="492770D3"/>
    <w:rsid w:val="492839CD"/>
    <w:rsid w:val="492845CA"/>
    <w:rsid w:val="49284D7B"/>
    <w:rsid w:val="49290AF3"/>
    <w:rsid w:val="49292955"/>
    <w:rsid w:val="49292E9A"/>
    <w:rsid w:val="4929464F"/>
    <w:rsid w:val="4929643D"/>
    <w:rsid w:val="49297767"/>
    <w:rsid w:val="492A07DE"/>
    <w:rsid w:val="492A0825"/>
    <w:rsid w:val="492A3D89"/>
    <w:rsid w:val="492A637E"/>
    <w:rsid w:val="492B03C7"/>
    <w:rsid w:val="492B0CB9"/>
    <w:rsid w:val="492B1C6E"/>
    <w:rsid w:val="492B4560"/>
    <w:rsid w:val="492B486B"/>
    <w:rsid w:val="492B6619"/>
    <w:rsid w:val="492C15AB"/>
    <w:rsid w:val="492C1A9B"/>
    <w:rsid w:val="492C30FE"/>
    <w:rsid w:val="492C413F"/>
    <w:rsid w:val="492C4E70"/>
    <w:rsid w:val="492C5A6F"/>
    <w:rsid w:val="492C5CCF"/>
    <w:rsid w:val="492C7CEA"/>
    <w:rsid w:val="492D57AE"/>
    <w:rsid w:val="492D715F"/>
    <w:rsid w:val="492E030A"/>
    <w:rsid w:val="492E375D"/>
    <w:rsid w:val="492E6109"/>
    <w:rsid w:val="492F52C1"/>
    <w:rsid w:val="492F629E"/>
    <w:rsid w:val="4930099E"/>
    <w:rsid w:val="493014BE"/>
    <w:rsid w:val="4930187A"/>
    <w:rsid w:val="49301E81"/>
    <w:rsid w:val="49302F0F"/>
    <w:rsid w:val="49303C2F"/>
    <w:rsid w:val="49303E65"/>
    <w:rsid w:val="49305ABC"/>
    <w:rsid w:val="493077E5"/>
    <w:rsid w:val="49310DEC"/>
    <w:rsid w:val="49315AE0"/>
    <w:rsid w:val="49317FDC"/>
    <w:rsid w:val="493200E4"/>
    <w:rsid w:val="49327580"/>
    <w:rsid w:val="49327C86"/>
    <w:rsid w:val="49330D87"/>
    <w:rsid w:val="49330FD6"/>
    <w:rsid w:val="4933371F"/>
    <w:rsid w:val="493337BF"/>
    <w:rsid w:val="49341657"/>
    <w:rsid w:val="49342852"/>
    <w:rsid w:val="4934622F"/>
    <w:rsid w:val="49346BF6"/>
    <w:rsid w:val="49351245"/>
    <w:rsid w:val="49351BC6"/>
    <w:rsid w:val="49357497"/>
    <w:rsid w:val="493642ED"/>
    <w:rsid w:val="49365D88"/>
    <w:rsid w:val="49366F87"/>
    <w:rsid w:val="49373210"/>
    <w:rsid w:val="4937506D"/>
    <w:rsid w:val="4937711B"/>
    <w:rsid w:val="49382DDA"/>
    <w:rsid w:val="4938465F"/>
    <w:rsid w:val="49384B95"/>
    <w:rsid w:val="49385DD0"/>
    <w:rsid w:val="49390ED4"/>
    <w:rsid w:val="4939145F"/>
    <w:rsid w:val="493924E3"/>
    <w:rsid w:val="49392B8D"/>
    <w:rsid w:val="49393089"/>
    <w:rsid w:val="493935AE"/>
    <w:rsid w:val="49396F88"/>
    <w:rsid w:val="493A28C0"/>
    <w:rsid w:val="493A2D00"/>
    <w:rsid w:val="493A7185"/>
    <w:rsid w:val="493C0826"/>
    <w:rsid w:val="493C25D4"/>
    <w:rsid w:val="493C57C4"/>
    <w:rsid w:val="493C6A78"/>
    <w:rsid w:val="493D00FA"/>
    <w:rsid w:val="493D1C95"/>
    <w:rsid w:val="493D3194"/>
    <w:rsid w:val="493D5513"/>
    <w:rsid w:val="493D6C54"/>
    <w:rsid w:val="493D7951"/>
    <w:rsid w:val="493E3130"/>
    <w:rsid w:val="493E32CF"/>
    <w:rsid w:val="493E459E"/>
    <w:rsid w:val="493E4821"/>
    <w:rsid w:val="493E5113"/>
    <w:rsid w:val="493F0316"/>
    <w:rsid w:val="493F1574"/>
    <w:rsid w:val="493F41BC"/>
    <w:rsid w:val="493F72BF"/>
    <w:rsid w:val="494029CE"/>
    <w:rsid w:val="49405772"/>
    <w:rsid w:val="494058C7"/>
    <w:rsid w:val="49411D79"/>
    <w:rsid w:val="49412CDB"/>
    <w:rsid w:val="4941408E"/>
    <w:rsid w:val="49415E3C"/>
    <w:rsid w:val="494178BA"/>
    <w:rsid w:val="49417BEA"/>
    <w:rsid w:val="49423621"/>
    <w:rsid w:val="494277D1"/>
    <w:rsid w:val="4943085E"/>
    <w:rsid w:val="49431BB4"/>
    <w:rsid w:val="49432AC6"/>
    <w:rsid w:val="4943434B"/>
    <w:rsid w:val="49437E06"/>
    <w:rsid w:val="49441489"/>
    <w:rsid w:val="49442815"/>
    <w:rsid w:val="49442D79"/>
    <w:rsid w:val="494476DB"/>
    <w:rsid w:val="4945066D"/>
    <w:rsid w:val="494616A5"/>
    <w:rsid w:val="49463453"/>
    <w:rsid w:val="49467D21"/>
    <w:rsid w:val="49470B5C"/>
    <w:rsid w:val="49470F79"/>
    <w:rsid w:val="49471489"/>
    <w:rsid w:val="4947574A"/>
    <w:rsid w:val="494837F5"/>
    <w:rsid w:val="49483EC4"/>
    <w:rsid w:val="4948552F"/>
    <w:rsid w:val="494871CB"/>
    <w:rsid w:val="49490AB5"/>
    <w:rsid w:val="49492F43"/>
    <w:rsid w:val="49494733"/>
    <w:rsid w:val="49494880"/>
    <w:rsid w:val="494A00A9"/>
    <w:rsid w:val="494A2F7B"/>
    <w:rsid w:val="494B6818"/>
    <w:rsid w:val="494B6CBB"/>
    <w:rsid w:val="494B7B17"/>
    <w:rsid w:val="494C0022"/>
    <w:rsid w:val="494C22B0"/>
    <w:rsid w:val="494C4021"/>
    <w:rsid w:val="494D610D"/>
    <w:rsid w:val="494D6AA6"/>
    <w:rsid w:val="494D6D05"/>
    <w:rsid w:val="494D7208"/>
    <w:rsid w:val="494E0559"/>
    <w:rsid w:val="494E2307"/>
    <w:rsid w:val="494E26AA"/>
    <w:rsid w:val="494E364E"/>
    <w:rsid w:val="494E5236"/>
    <w:rsid w:val="494E6498"/>
    <w:rsid w:val="494F2F9D"/>
    <w:rsid w:val="494F38F4"/>
    <w:rsid w:val="494F4769"/>
    <w:rsid w:val="49501FDE"/>
    <w:rsid w:val="495024F9"/>
    <w:rsid w:val="49502630"/>
    <w:rsid w:val="49502A35"/>
    <w:rsid w:val="49505FEF"/>
    <w:rsid w:val="4950607F"/>
    <w:rsid w:val="495060AD"/>
    <w:rsid w:val="495065CF"/>
    <w:rsid w:val="49507E2D"/>
    <w:rsid w:val="49514D84"/>
    <w:rsid w:val="49514E3C"/>
    <w:rsid w:val="49520049"/>
    <w:rsid w:val="49522115"/>
    <w:rsid w:val="49524A82"/>
    <w:rsid w:val="49530E7A"/>
    <w:rsid w:val="49530F49"/>
    <w:rsid w:val="49533EE6"/>
    <w:rsid w:val="49535B70"/>
    <w:rsid w:val="4953791E"/>
    <w:rsid w:val="49542C4B"/>
    <w:rsid w:val="495434A1"/>
    <w:rsid w:val="49545147"/>
    <w:rsid w:val="495474A0"/>
    <w:rsid w:val="49547B36"/>
    <w:rsid w:val="49552099"/>
    <w:rsid w:val="4955217A"/>
    <w:rsid w:val="49553696"/>
    <w:rsid w:val="4955379A"/>
    <w:rsid w:val="49554EDB"/>
    <w:rsid w:val="49555444"/>
    <w:rsid w:val="495601CE"/>
    <w:rsid w:val="49562DBD"/>
    <w:rsid w:val="4957129B"/>
    <w:rsid w:val="495723CC"/>
    <w:rsid w:val="4957464A"/>
    <w:rsid w:val="49575660"/>
    <w:rsid w:val="4957740E"/>
    <w:rsid w:val="49583186"/>
    <w:rsid w:val="495850CD"/>
    <w:rsid w:val="495858A0"/>
    <w:rsid w:val="4958759A"/>
    <w:rsid w:val="4959068C"/>
    <w:rsid w:val="49591116"/>
    <w:rsid w:val="495913D8"/>
    <w:rsid w:val="49592F5B"/>
    <w:rsid w:val="495A05F8"/>
    <w:rsid w:val="495A2DB0"/>
    <w:rsid w:val="495A617C"/>
    <w:rsid w:val="495A6EFE"/>
    <w:rsid w:val="495C03CA"/>
    <w:rsid w:val="495C0735"/>
    <w:rsid w:val="495C0A9C"/>
    <w:rsid w:val="495C0B3D"/>
    <w:rsid w:val="495C4A24"/>
    <w:rsid w:val="495C67D2"/>
    <w:rsid w:val="495D1A61"/>
    <w:rsid w:val="495D254A"/>
    <w:rsid w:val="495D4AFD"/>
    <w:rsid w:val="495D5A86"/>
    <w:rsid w:val="495E0E1A"/>
    <w:rsid w:val="495E11AF"/>
    <w:rsid w:val="495E4DEF"/>
    <w:rsid w:val="495E5EE3"/>
    <w:rsid w:val="495E69EE"/>
    <w:rsid w:val="495E7463"/>
    <w:rsid w:val="495E7AC2"/>
    <w:rsid w:val="495F10E1"/>
    <w:rsid w:val="495F2384"/>
    <w:rsid w:val="495F2766"/>
    <w:rsid w:val="495F4514"/>
    <w:rsid w:val="495F62C2"/>
    <w:rsid w:val="49601FEE"/>
    <w:rsid w:val="4960345A"/>
    <w:rsid w:val="49604EC7"/>
    <w:rsid w:val="49605D72"/>
    <w:rsid w:val="4960747F"/>
    <w:rsid w:val="49607C05"/>
    <w:rsid w:val="49611717"/>
    <w:rsid w:val="4961347E"/>
    <w:rsid w:val="496164DE"/>
    <w:rsid w:val="49617C2D"/>
    <w:rsid w:val="496274DF"/>
    <w:rsid w:val="496279DE"/>
    <w:rsid w:val="49630102"/>
    <w:rsid w:val="49631FC1"/>
    <w:rsid w:val="49634005"/>
    <w:rsid w:val="496367FA"/>
    <w:rsid w:val="49640696"/>
    <w:rsid w:val="49640C35"/>
    <w:rsid w:val="496419EC"/>
    <w:rsid w:val="49641B2B"/>
    <w:rsid w:val="4964458B"/>
    <w:rsid w:val="49647D7D"/>
    <w:rsid w:val="496559CD"/>
    <w:rsid w:val="49661DB8"/>
    <w:rsid w:val="49663AF5"/>
    <w:rsid w:val="49664DDF"/>
    <w:rsid w:val="49666368"/>
    <w:rsid w:val="496671C1"/>
    <w:rsid w:val="49667651"/>
    <w:rsid w:val="4966775F"/>
    <w:rsid w:val="4967068A"/>
    <w:rsid w:val="49670780"/>
    <w:rsid w:val="49671E27"/>
    <w:rsid w:val="49674E2C"/>
    <w:rsid w:val="49675177"/>
    <w:rsid w:val="49675666"/>
    <w:rsid w:val="49675C21"/>
    <w:rsid w:val="49676EF2"/>
    <w:rsid w:val="49680B74"/>
    <w:rsid w:val="4968161B"/>
    <w:rsid w:val="49682057"/>
    <w:rsid w:val="496833C9"/>
    <w:rsid w:val="49684D2A"/>
    <w:rsid w:val="49690203"/>
    <w:rsid w:val="49690EEF"/>
    <w:rsid w:val="496910E6"/>
    <w:rsid w:val="49693B09"/>
    <w:rsid w:val="49695393"/>
    <w:rsid w:val="496953F1"/>
    <w:rsid w:val="496964D3"/>
    <w:rsid w:val="49696EC6"/>
    <w:rsid w:val="49697141"/>
    <w:rsid w:val="496975B3"/>
    <w:rsid w:val="496A03C1"/>
    <w:rsid w:val="496B2686"/>
    <w:rsid w:val="496B2B89"/>
    <w:rsid w:val="496B2EB9"/>
    <w:rsid w:val="496C1A8F"/>
    <w:rsid w:val="496C2319"/>
    <w:rsid w:val="496C6BDA"/>
    <w:rsid w:val="496D09DF"/>
    <w:rsid w:val="496D1A21"/>
    <w:rsid w:val="496D4E83"/>
    <w:rsid w:val="496D532D"/>
    <w:rsid w:val="496D5CB6"/>
    <w:rsid w:val="496D64FE"/>
    <w:rsid w:val="496D6C31"/>
    <w:rsid w:val="496E18E1"/>
    <w:rsid w:val="496E4757"/>
    <w:rsid w:val="496E6505"/>
    <w:rsid w:val="496F0653"/>
    <w:rsid w:val="496F5701"/>
    <w:rsid w:val="496F6F12"/>
    <w:rsid w:val="49700977"/>
    <w:rsid w:val="4970227E"/>
    <w:rsid w:val="49704425"/>
    <w:rsid w:val="497055C1"/>
    <w:rsid w:val="497106EE"/>
    <w:rsid w:val="49712030"/>
    <w:rsid w:val="49712F73"/>
    <w:rsid w:val="49713563"/>
    <w:rsid w:val="49715275"/>
    <w:rsid w:val="4971782A"/>
    <w:rsid w:val="49717D00"/>
    <w:rsid w:val="49724248"/>
    <w:rsid w:val="49727646"/>
    <w:rsid w:val="4973173D"/>
    <w:rsid w:val="497447B8"/>
    <w:rsid w:val="4975022C"/>
    <w:rsid w:val="49753871"/>
    <w:rsid w:val="49753D38"/>
    <w:rsid w:val="49755A5C"/>
    <w:rsid w:val="49755AE6"/>
    <w:rsid w:val="49757894"/>
    <w:rsid w:val="4976475D"/>
    <w:rsid w:val="49770301"/>
    <w:rsid w:val="49770737"/>
    <w:rsid w:val="4977185E"/>
    <w:rsid w:val="49772132"/>
    <w:rsid w:val="4977360C"/>
    <w:rsid w:val="49776EB3"/>
    <w:rsid w:val="49777AB0"/>
    <w:rsid w:val="497837DE"/>
    <w:rsid w:val="49785639"/>
    <w:rsid w:val="49787384"/>
    <w:rsid w:val="49793828"/>
    <w:rsid w:val="497955D6"/>
    <w:rsid w:val="497956CA"/>
    <w:rsid w:val="497A2305"/>
    <w:rsid w:val="497A30FC"/>
    <w:rsid w:val="497A3F01"/>
    <w:rsid w:val="497A5A33"/>
    <w:rsid w:val="497B1F13"/>
    <w:rsid w:val="497B6BF6"/>
    <w:rsid w:val="497C06BB"/>
    <w:rsid w:val="497C0C22"/>
    <w:rsid w:val="497C48A2"/>
    <w:rsid w:val="497C50C6"/>
    <w:rsid w:val="497D1516"/>
    <w:rsid w:val="497D499A"/>
    <w:rsid w:val="497D5632"/>
    <w:rsid w:val="497D7A5E"/>
    <w:rsid w:val="497E13D0"/>
    <w:rsid w:val="497E2BEC"/>
    <w:rsid w:val="497E62D4"/>
    <w:rsid w:val="497F00FD"/>
    <w:rsid w:val="497F0713"/>
    <w:rsid w:val="497F16FF"/>
    <w:rsid w:val="497F18A0"/>
    <w:rsid w:val="497F329B"/>
    <w:rsid w:val="497F37F3"/>
    <w:rsid w:val="497F6965"/>
    <w:rsid w:val="497F72F8"/>
    <w:rsid w:val="497F74C1"/>
    <w:rsid w:val="498002B3"/>
    <w:rsid w:val="498007C7"/>
    <w:rsid w:val="49802D6C"/>
    <w:rsid w:val="4980356C"/>
    <w:rsid w:val="49804BB7"/>
    <w:rsid w:val="498056E0"/>
    <w:rsid w:val="498126DD"/>
    <w:rsid w:val="49821DF8"/>
    <w:rsid w:val="4982313D"/>
    <w:rsid w:val="49824751"/>
    <w:rsid w:val="49827E7C"/>
    <w:rsid w:val="49830203"/>
    <w:rsid w:val="49831FB1"/>
    <w:rsid w:val="49835D9A"/>
    <w:rsid w:val="49836455"/>
    <w:rsid w:val="498364F6"/>
    <w:rsid w:val="49836818"/>
    <w:rsid w:val="49837F59"/>
    <w:rsid w:val="49841E8B"/>
    <w:rsid w:val="49842092"/>
    <w:rsid w:val="49843F7B"/>
    <w:rsid w:val="49845560"/>
    <w:rsid w:val="49845D29"/>
    <w:rsid w:val="498503A7"/>
    <w:rsid w:val="49850536"/>
    <w:rsid w:val="49851ED8"/>
    <w:rsid w:val="4985439A"/>
    <w:rsid w:val="49855FCF"/>
    <w:rsid w:val="49860F8A"/>
    <w:rsid w:val="49862B93"/>
    <w:rsid w:val="49867716"/>
    <w:rsid w:val="49867CF3"/>
    <w:rsid w:val="498710EE"/>
    <w:rsid w:val="49875290"/>
    <w:rsid w:val="4987736F"/>
    <w:rsid w:val="49877DA8"/>
    <w:rsid w:val="498811FA"/>
    <w:rsid w:val="4988150D"/>
    <w:rsid w:val="49881B83"/>
    <w:rsid w:val="49886F6A"/>
    <w:rsid w:val="498875C7"/>
    <w:rsid w:val="4989040E"/>
    <w:rsid w:val="49890638"/>
    <w:rsid w:val="49891591"/>
    <w:rsid w:val="498923DB"/>
    <w:rsid w:val="4989333F"/>
    <w:rsid w:val="49895A1F"/>
    <w:rsid w:val="49895B9E"/>
    <w:rsid w:val="498A33AE"/>
    <w:rsid w:val="498A5108"/>
    <w:rsid w:val="498A51E1"/>
    <w:rsid w:val="498A7063"/>
    <w:rsid w:val="498A77E3"/>
    <w:rsid w:val="498B1B56"/>
    <w:rsid w:val="498B355B"/>
    <w:rsid w:val="498B66AC"/>
    <w:rsid w:val="498B66EB"/>
    <w:rsid w:val="498B70B7"/>
    <w:rsid w:val="498C1155"/>
    <w:rsid w:val="498C611B"/>
    <w:rsid w:val="498C7C51"/>
    <w:rsid w:val="498D1081"/>
    <w:rsid w:val="498D268D"/>
    <w:rsid w:val="498D288A"/>
    <w:rsid w:val="498D68C7"/>
    <w:rsid w:val="498D72D3"/>
    <w:rsid w:val="498E0956"/>
    <w:rsid w:val="498E0BBE"/>
    <w:rsid w:val="498E506C"/>
    <w:rsid w:val="498E61FC"/>
    <w:rsid w:val="498E6CA9"/>
    <w:rsid w:val="498F3954"/>
    <w:rsid w:val="498F5898"/>
    <w:rsid w:val="498F7475"/>
    <w:rsid w:val="498F788D"/>
    <w:rsid w:val="49900B72"/>
    <w:rsid w:val="4990255D"/>
    <w:rsid w:val="49902920"/>
    <w:rsid w:val="4990798C"/>
    <w:rsid w:val="499126C4"/>
    <w:rsid w:val="499139ED"/>
    <w:rsid w:val="4991411B"/>
    <w:rsid w:val="49914ECA"/>
    <w:rsid w:val="4991667A"/>
    <w:rsid w:val="49916D81"/>
    <w:rsid w:val="49920446"/>
    <w:rsid w:val="499208F7"/>
    <w:rsid w:val="49921120"/>
    <w:rsid w:val="499222AC"/>
    <w:rsid w:val="49922A8A"/>
    <w:rsid w:val="4992463F"/>
    <w:rsid w:val="49926698"/>
    <w:rsid w:val="49927AEE"/>
    <w:rsid w:val="49932B26"/>
    <w:rsid w:val="49932F56"/>
    <w:rsid w:val="49935E47"/>
    <w:rsid w:val="499373E3"/>
    <w:rsid w:val="4994051E"/>
    <w:rsid w:val="49940662"/>
    <w:rsid w:val="49941865"/>
    <w:rsid w:val="49944349"/>
    <w:rsid w:val="499449C2"/>
    <w:rsid w:val="49946D03"/>
    <w:rsid w:val="499475D9"/>
    <w:rsid w:val="49951CE4"/>
    <w:rsid w:val="49952794"/>
    <w:rsid w:val="49952A27"/>
    <w:rsid w:val="4995535D"/>
    <w:rsid w:val="49955722"/>
    <w:rsid w:val="49956188"/>
    <w:rsid w:val="49957F36"/>
    <w:rsid w:val="49960F2B"/>
    <w:rsid w:val="499620BD"/>
    <w:rsid w:val="49963040"/>
    <w:rsid w:val="499644E2"/>
    <w:rsid w:val="49971F00"/>
    <w:rsid w:val="49973CAE"/>
    <w:rsid w:val="49974C8E"/>
    <w:rsid w:val="499875AE"/>
    <w:rsid w:val="49990614"/>
    <w:rsid w:val="49990A3E"/>
    <w:rsid w:val="49995C78"/>
    <w:rsid w:val="499961BA"/>
    <w:rsid w:val="49997A26"/>
    <w:rsid w:val="49997C92"/>
    <w:rsid w:val="49997DA8"/>
    <w:rsid w:val="499A57B1"/>
    <w:rsid w:val="499A6CD2"/>
    <w:rsid w:val="499B408B"/>
    <w:rsid w:val="499B5A36"/>
    <w:rsid w:val="499C0B00"/>
    <w:rsid w:val="499C11E7"/>
    <w:rsid w:val="499C12C5"/>
    <w:rsid w:val="499C51E2"/>
    <w:rsid w:val="499D2860"/>
    <w:rsid w:val="499D6097"/>
    <w:rsid w:val="499D664B"/>
    <w:rsid w:val="499E09D9"/>
    <w:rsid w:val="499E1A10"/>
    <w:rsid w:val="499E2EAA"/>
    <w:rsid w:val="499E503D"/>
    <w:rsid w:val="499E5213"/>
    <w:rsid w:val="499E682F"/>
    <w:rsid w:val="499E6DEB"/>
    <w:rsid w:val="499F0DB5"/>
    <w:rsid w:val="499F5688"/>
    <w:rsid w:val="499F5FF1"/>
    <w:rsid w:val="49A07007"/>
    <w:rsid w:val="49A10203"/>
    <w:rsid w:val="49A1100A"/>
    <w:rsid w:val="49A1126F"/>
    <w:rsid w:val="49A13C10"/>
    <w:rsid w:val="49A14997"/>
    <w:rsid w:val="49A16851"/>
    <w:rsid w:val="49A16D51"/>
    <w:rsid w:val="49A22B96"/>
    <w:rsid w:val="49A23DFF"/>
    <w:rsid w:val="49A27C2A"/>
    <w:rsid w:val="49A27F56"/>
    <w:rsid w:val="49A31ACA"/>
    <w:rsid w:val="49A3226F"/>
    <w:rsid w:val="49A32653"/>
    <w:rsid w:val="49A33E79"/>
    <w:rsid w:val="49A34A17"/>
    <w:rsid w:val="49A40179"/>
    <w:rsid w:val="49A463AC"/>
    <w:rsid w:val="49A5461D"/>
    <w:rsid w:val="49A55B11"/>
    <w:rsid w:val="49A56155"/>
    <w:rsid w:val="49A572BE"/>
    <w:rsid w:val="49A60395"/>
    <w:rsid w:val="49A61735"/>
    <w:rsid w:val="49A62FC2"/>
    <w:rsid w:val="49A63EF1"/>
    <w:rsid w:val="49A66A81"/>
    <w:rsid w:val="49A73E8A"/>
    <w:rsid w:val="49A74985"/>
    <w:rsid w:val="49A804DC"/>
    <w:rsid w:val="49A81A17"/>
    <w:rsid w:val="49A85EBB"/>
    <w:rsid w:val="49A870A3"/>
    <w:rsid w:val="49A87C69"/>
    <w:rsid w:val="49A93361"/>
    <w:rsid w:val="49A95790"/>
    <w:rsid w:val="49AA19C3"/>
    <w:rsid w:val="49AA1C33"/>
    <w:rsid w:val="49AA25E2"/>
    <w:rsid w:val="49AA3104"/>
    <w:rsid w:val="49AA5F36"/>
    <w:rsid w:val="49AB25E3"/>
    <w:rsid w:val="49AB2A4A"/>
    <w:rsid w:val="49AB5094"/>
    <w:rsid w:val="49AB775A"/>
    <w:rsid w:val="49AC05F5"/>
    <w:rsid w:val="49AC2D5E"/>
    <w:rsid w:val="49AC4E4C"/>
    <w:rsid w:val="49AD1309"/>
    <w:rsid w:val="49AD1724"/>
    <w:rsid w:val="49AD331F"/>
    <w:rsid w:val="49AD36B2"/>
    <w:rsid w:val="49AD3D2E"/>
    <w:rsid w:val="49AD5280"/>
    <w:rsid w:val="49AD57D6"/>
    <w:rsid w:val="49AD59AB"/>
    <w:rsid w:val="49AD702E"/>
    <w:rsid w:val="49AE5C4D"/>
    <w:rsid w:val="49AF0AE3"/>
    <w:rsid w:val="49AF4E76"/>
    <w:rsid w:val="49AF52A7"/>
    <w:rsid w:val="49B0288E"/>
    <w:rsid w:val="49B02FC2"/>
    <w:rsid w:val="49B04D70"/>
    <w:rsid w:val="49B06B1E"/>
    <w:rsid w:val="49B06DCE"/>
    <w:rsid w:val="49B11BF6"/>
    <w:rsid w:val="49B13B80"/>
    <w:rsid w:val="49B15958"/>
    <w:rsid w:val="49B16CC5"/>
    <w:rsid w:val="49B20A95"/>
    <w:rsid w:val="49B21928"/>
    <w:rsid w:val="49B241EB"/>
    <w:rsid w:val="49B2553D"/>
    <w:rsid w:val="49B26D3A"/>
    <w:rsid w:val="49B272F8"/>
    <w:rsid w:val="49B303BC"/>
    <w:rsid w:val="49B34228"/>
    <w:rsid w:val="49B379F2"/>
    <w:rsid w:val="49B37B45"/>
    <w:rsid w:val="49B4139A"/>
    <w:rsid w:val="49B44860"/>
    <w:rsid w:val="49B4602B"/>
    <w:rsid w:val="49B4726E"/>
    <w:rsid w:val="49B50BFD"/>
    <w:rsid w:val="49B511E3"/>
    <w:rsid w:val="49B52386"/>
    <w:rsid w:val="49B54004"/>
    <w:rsid w:val="49B5529D"/>
    <w:rsid w:val="49B605D8"/>
    <w:rsid w:val="49B62248"/>
    <w:rsid w:val="49B6283C"/>
    <w:rsid w:val="49B64662"/>
    <w:rsid w:val="49B73763"/>
    <w:rsid w:val="49B77EAC"/>
    <w:rsid w:val="49B809CF"/>
    <w:rsid w:val="49B81B9F"/>
    <w:rsid w:val="49B821B8"/>
    <w:rsid w:val="49B83031"/>
    <w:rsid w:val="49B900B2"/>
    <w:rsid w:val="49B900C8"/>
    <w:rsid w:val="49B9141C"/>
    <w:rsid w:val="49B937B9"/>
    <w:rsid w:val="49B93C25"/>
    <w:rsid w:val="49BA174B"/>
    <w:rsid w:val="49BA3F41"/>
    <w:rsid w:val="49BA7624"/>
    <w:rsid w:val="49BB2F71"/>
    <w:rsid w:val="49BB382B"/>
    <w:rsid w:val="49BB5BEF"/>
    <w:rsid w:val="49BC17F5"/>
    <w:rsid w:val="49BC3715"/>
    <w:rsid w:val="49BC471E"/>
    <w:rsid w:val="49BD39E0"/>
    <w:rsid w:val="49BD6B49"/>
    <w:rsid w:val="49BE0CB6"/>
    <w:rsid w:val="49BE3DA1"/>
    <w:rsid w:val="49BE73AF"/>
    <w:rsid w:val="49BE7E8B"/>
    <w:rsid w:val="49BF0FC9"/>
    <w:rsid w:val="49BF0FDE"/>
    <w:rsid w:val="49BF149E"/>
    <w:rsid w:val="49BF18E0"/>
    <w:rsid w:val="49BF4FB3"/>
    <w:rsid w:val="49BF5AF6"/>
    <w:rsid w:val="49BF6CDD"/>
    <w:rsid w:val="49C011FA"/>
    <w:rsid w:val="49C03205"/>
    <w:rsid w:val="49C046F1"/>
    <w:rsid w:val="49C1047D"/>
    <w:rsid w:val="49C12A7C"/>
    <w:rsid w:val="49C1358B"/>
    <w:rsid w:val="49C14BAE"/>
    <w:rsid w:val="49C16F7D"/>
    <w:rsid w:val="49C213BC"/>
    <w:rsid w:val="49C21EBE"/>
    <w:rsid w:val="49C3005F"/>
    <w:rsid w:val="49C32CF5"/>
    <w:rsid w:val="49C369F7"/>
    <w:rsid w:val="49C425C9"/>
    <w:rsid w:val="49C43A79"/>
    <w:rsid w:val="49C4485C"/>
    <w:rsid w:val="49C4687C"/>
    <w:rsid w:val="49C47666"/>
    <w:rsid w:val="49C47C64"/>
    <w:rsid w:val="49C56A6D"/>
    <w:rsid w:val="49C633CE"/>
    <w:rsid w:val="49C64593"/>
    <w:rsid w:val="49C654F8"/>
    <w:rsid w:val="49C6610C"/>
    <w:rsid w:val="49C74C97"/>
    <w:rsid w:val="49C8030C"/>
    <w:rsid w:val="49C81B2E"/>
    <w:rsid w:val="49C83ABC"/>
    <w:rsid w:val="49C83E68"/>
    <w:rsid w:val="49C913BF"/>
    <w:rsid w:val="49C9260B"/>
    <w:rsid w:val="49C93C06"/>
    <w:rsid w:val="49C94F4C"/>
    <w:rsid w:val="49C97B1D"/>
    <w:rsid w:val="49CA31C4"/>
    <w:rsid w:val="49CA4084"/>
    <w:rsid w:val="49CA7BE0"/>
    <w:rsid w:val="49CB179D"/>
    <w:rsid w:val="49CB2178"/>
    <w:rsid w:val="49CB2461"/>
    <w:rsid w:val="49CB3B7E"/>
    <w:rsid w:val="49CB7D62"/>
    <w:rsid w:val="49CC2660"/>
    <w:rsid w:val="49CC60D6"/>
    <w:rsid w:val="49CD051B"/>
    <w:rsid w:val="49CD1081"/>
    <w:rsid w:val="49CD5922"/>
    <w:rsid w:val="49CD5F16"/>
    <w:rsid w:val="49CD76D0"/>
    <w:rsid w:val="49CD792E"/>
    <w:rsid w:val="49CE0DBE"/>
    <w:rsid w:val="49CE1918"/>
    <w:rsid w:val="49CE1BC8"/>
    <w:rsid w:val="49CE7528"/>
    <w:rsid w:val="49CF0AEE"/>
    <w:rsid w:val="49CF169A"/>
    <w:rsid w:val="49CF3448"/>
    <w:rsid w:val="49CF398F"/>
    <w:rsid w:val="49CF3F47"/>
    <w:rsid w:val="49CF51F6"/>
    <w:rsid w:val="49CF76B7"/>
    <w:rsid w:val="49D00668"/>
    <w:rsid w:val="49D0406A"/>
    <w:rsid w:val="49D04E1F"/>
    <w:rsid w:val="49D10864"/>
    <w:rsid w:val="49D140BB"/>
    <w:rsid w:val="49D15412"/>
    <w:rsid w:val="49D15FC8"/>
    <w:rsid w:val="49D162AF"/>
    <w:rsid w:val="49D16540"/>
    <w:rsid w:val="49D167F9"/>
    <w:rsid w:val="49D17C1D"/>
    <w:rsid w:val="49D20429"/>
    <w:rsid w:val="49D22F38"/>
    <w:rsid w:val="49D244F6"/>
    <w:rsid w:val="49D25084"/>
    <w:rsid w:val="49D2773F"/>
    <w:rsid w:val="49D32603"/>
    <w:rsid w:val="49D40A5E"/>
    <w:rsid w:val="49D4241E"/>
    <w:rsid w:val="49D4280C"/>
    <w:rsid w:val="49D44301"/>
    <w:rsid w:val="49D449A0"/>
    <w:rsid w:val="49D46CB0"/>
    <w:rsid w:val="49D56585"/>
    <w:rsid w:val="49D62A28"/>
    <w:rsid w:val="49D63BE5"/>
    <w:rsid w:val="49D7054F"/>
    <w:rsid w:val="49D71C79"/>
    <w:rsid w:val="49D73C59"/>
    <w:rsid w:val="49D74B57"/>
    <w:rsid w:val="49D74CDF"/>
    <w:rsid w:val="49D767A1"/>
    <w:rsid w:val="49D81E1A"/>
    <w:rsid w:val="49D85BA3"/>
    <w:rsid w:val="49D8683B"/>
    <w:rsid w:val="49D92519"/>
    <w:rsid w:val="49D942C7"/>
    <w:rsid w:val="49D95ED1"/>
    <w:rsid w:val="49D97E23"/>
    <w:rsid w:val="49DA0AA2"/>
    <w:rsid w:val="49DA1901"/>
    <w:rsid w:val="49DA54F1"/>
    <w:rsid w:val="49DA5671"/>
    <w:rsid w:val="49DA6088"/>
    <w:rsid w:val="49DB1DED"/>
    <w:rsid w:val="49DB1F32"/>
    <w:rsid w:val="49DB4007"/>
    <w:rsid w:val="49DB78D3"/>
    <w:rsid w:val="49DC17D2"/>
    <w:rsid w:val="49DC3DB7"/>
    <w:rsid w:val="49DC3DBC"/>
    <w:rsid w:val="49DC3E27"/>
    <w:rsid w:val="49DC479B"/>
    <w:rsid w:val="49DC4FE4"/>
    <w:rsid w:val="49DC5B65"/>
    <w:rsid w:val="49DD4CEE"/>
    <w:rsid w:val="49DD690C"/>
    <w:rsid w:val="49DD709B"/>
    <w:rsid w:val="49DE6203"/>
    <w:rsid w:val="49DE657D"/>
    <w:rsid w:val="49DE6D23"/>
    <w:rsid w:val="49DF0036"/>
    <w:rsid w:val="49DF11B1"/>
    <w:rsid w:val="49DF2C2B"/>
    <w:rsid w:val="49E01F16"/>
    <w:rsid w:val="49E05655"/>
    <w:rsid w:val="49E05AC4"/>
    <w:rsid w:val="49E07403"/>
    <w:rsid w:val="49E07F7C"/>
    <w:rsid w:val="49E11FA1"/>
    <w:rsid w:val="49E21180"/>
    <w:rsid w:val="49E215D2"/>
    <w:rsid w:val="49E22189"/>
    <w:rsid w:val="49E25350"/>
    <w:rsid w:val="49E27234"/>
    <w:rsid w:val="49E3035C"/>
    <w:rsid w:val="49E30CA1"/>
    <w:rsid w:val="49E35145"/>
    <w:rsid w:val="49E37295"/>
    <w:rsid w:val="49E40558"/>
    <w:rsid w:val="49E41B54"/>
    <w:rsid w:val="49E423A5"/>
    <w:rsid w:val="49E42F19"/>
    <w:rsid w:val="49E43AED"/>
    <w:rsid w:val="49E44EEE"/>
    <w:rsid w:val="49E46193"/>
    <w:rsid w:val="49E506FA"/>
    <w:rsid w:val="49E50EBD"/>
    <w:rsid w:val="49E52C6C"/>
    <w:rsid w:val="49E532AE"/>
    <w:rsid w:val="49E54910"/>
    <w:rsid w:val="49E56F32"/>
    <w:rsid w:val="49E60792"/>
    <w:rsid w:val="49E62323"/>
    <w:rsid w:val="49E62686"/>
    <w:rsid w:val="49E63539"/>
    <w:rsid w:val="49E6404D"/>
    <w:rsid w:val="49E64620"/>
    <w:rsid w:val="49E669E4"/>
    <w:rsid w:val="49E67C20"/>
    <w:rsid w:val="49E74550"/>
    <w:rsid w:val="49E77A48"/>
    <w:rsid w:val="49E83043"/>
    <w:rsid w:val="49E8450A"/>
    <w:rsid w:val="49E84EAA"/>
    <w:rsid w:val="49E862B8"/>
    <w:rsid w:val="49E8733C"/>
    <w:rsid w:val="49E92FE7"/>
    <w:rsid w:val="49E96738"/>
    <w:rsid w:val="49E96C1C"/>
    <w:rsid w:val="49EA0282"/>
    <w:rsid w:val="49EA0438"/>
    <w:rsid w:val="49EA64D4"/>
    <w:rsid w:val="49EA7D84"/>
    <w:rsid w:val="49EB5DA8"/>
    <w:rsid w:val="49EC1F6B"/>
    <w:rsid w:val="49EC224C"/>
    <w:rsid w:val="49EC3FFA"/>
    <w:rsid w:val="49EC4B10"/>
    <w:rsid w:val="49EC59DC"/>
    <w:rsid w:val="49EC69C7"/>
    <w:rsid w:val="49ED1B20"/>
    <w:rsid w:val="49ED6F18"/>
    <w:rsid w:val="49ED6F68"/>
    <w:rsid w:val="49ED77BA"/>
    <w:rsid w:val="49EE06B8"/>
    <w:rsid w:val="49EE426A"/>
    <w:rsid w:val="49EE57D7"/>
    <w:rsid w:val="49EE77D2"/>
    <w:rsid w:val="49EF3AEA"/>
    <w:rsid w:val="49EF4246"/>
    <w:rsid w:val="49EF4E60"/>
    <w:rsid w:val="49EF7646"/>
    <w:rsid w:val="49EF7942"/>
    <w:rsid w:val="49F0162F"/>
    <w:rsid w:val="49F02F2C"/>
    <w:rsid w:val="49F07716"/>
    <w:rsid w:val="49F103FB"/>
    <w:rsid w:val="49F11610"/>
    <w:rsid w:val="49F15094"/>
    <w:rsid w:val="49F1553C"/>
    <w:rsid w:val="49F15899"/>
    <w:rsid w:val="49F15EA7"/>
    <w:rsid w:val="49F20EE5"/>
    <w:rsid w:val="49F21CFA"/>
    <w:rsid w:val="49F316C7"/>
    <w:rsid w:val="49F36AFE"/>
    <w:rsid w:val="49F370C3"/>
    <w:rsid w:val="49F42EAF"/>
    <w:rsid w:val="49F44C5D"/>
    <w:rsid w:val="49F509D5"/>
    <w:rsid w:val="49F63C50"/>
    <w:rsid w:val="49F64E79"/>
    <w:rsid w:val="49F657C7"/>
    <w:rsid w:val="49F676AD"/>
    <w:rsid w:val="49F70343"/>
    <w:rsid w:val="49F70BF1"/>
    <w:rsid w:val="49F721BD"/>
    <w:rsid w:val="49F7299F"/>
    <w:rsid w:val="49F7474D"/>
    <w:rsid w:val="49F76920"/>
    <w:rsid w:val="49F76B47"/>
    <w:rsid w:val="49F8145A"/>
    <w:rsid w:val="49F8402B"/>
    <w:rsid w:val="49F86821"/>
    <w:rsid w:val="49F86E77"/>
    <w:rsid w:val="49F92273"/>
    <w:rsid w:val="49FA314A"/>
    <w:rsid w:val="49FA6274"/>
    <w:rsid w:val="49FA694B"/>
    <w:rsid w:val="49FB151C"/>
    <w:rsid w:val="49FB1B07"/>
    <w:rsid w:val="49FB248F"/>
    <w:rsid w:val="49FB423A"/>
    <w:rsid w:val="49FB423D"/>
    <w:rsid w:val="49FB5243"/>
    <w:rsid w:val="49FC1D63"/>
    <w:rsid w:val="49FC225B"/>
    <w:rsid w:val="49FC2C35"/>
    <w:rsid w:val="49FC585F"/>
    <w:rsid w:val="49FC7FB5"/>
    <w:rsid w:val="49FD3E35"/>
    <w:rsid w:val="49FD56D4"/>
    <w:rsid w:val="49FD6207"/>
    <w:rsid w:val="49FD7A8F"/>
    <w:rsid w:val="49FE049B"/>
    <w:rsid w:val="49FE1F7F"/>
    <w:rsid w:val="49FE391E"/>
    <w:rsid w:val="49FE3D2D"/>
    <w:rsid w:val="49FE5ADB"/>
    <w:rsid w:val="49FE675C"/>
    <w:rsid w:val="49FE735A"/>
    <w:rsid w:val="49FF0A69"/>
    <w:rsid w:val="49FF39E4"/>
    <w:rsid w:val="49FF44E4"/>
    <w:rsid w:val="49FF5F6F"/>
    <w:rsid w:val="49FF66CE"/>
    <w:rsid w:val="4A0008D3"/>
    <w:rsid w:val="4A000C7A"/>
    <w:rsid w:val="4A000E27"/>
    <w:rsid w:val="4A001853"/>
    <w:rsid w:val="4A004538"/>
    <w:rsid w:val="4A007AA5"/>
    <w:rsid w:val="4A013811"/>
    <w:rsid w:val="4A01737A"/>
    <w:rsid w:val="4A017D90"/>
    <w:rsid w:val="4A02381D"/>
    <w:rsid w:val="4A031344"/>
    <w:rsid w:val="4A0330F2"/>
    <w:rsid w:val="4A037596"/>
    <w:rsid w:val="4A042BE1"/>
    <w:rsid w:val="4A046EDC"/>
    <w:rsid w:val="4A050C18"/>
    <w:rsid w:val="4A05330E"/>
    <w:rsid w:val="4A0537CF"/>
    <w:rsid w:val="4A054BE2"/>
    <w:rsid w:val="4A0550BC"/>
    <w:rsid w:val="4A05620B"/>
    <w:rsid w:val="4A056260"/>
    <w:rsid w:val="4A056E6A"/>
    <w:rsid w:val="4A0643BD"/>
    <w:rsid w:val="4A070E34"/>
    <w:rsid w:val="4A072690"/>
    <w:rsid w:val="4A07463D"/>
    <w:rsid w:val="4A080708"/>
    <w:rsid w:val="4A0901FB"/>
    <w:rsid w:val="4A091E94"/>
    <w:rsid w:val="4A093D17"/>
    <w:rsid w:val="4A094696"/>
    <w:rsid w:val="4A095455"/>
    <w:rsid w:val="4A0A0924"/>
    <w:rsid w:val="4A0A1F05"/>
    <w:rsid w:val="4A0A26D2"/>
    <w:rsid w:val="4A0A4480"/>
    <w:rsid w:val="4A0A7F2F"/>
    <w:rsid w:val="4A0B0D31"/>
    <w:rsid w:val="4A0B4CFB"/>
    <w:rsid w:val="4A0B6984"/>
    <w:rsid w:val="4A0C2D1F"/>
    <w:rsid w:val="4A0C3D7E"/>
    <w:rsid w:val="4A0C644A"/>
    <w:rsid w:val="4A0C6865"/>
    <w:rsid w:val="4A0D21C2"/>
    <w:rsid w:val="4A0D23DC"/>
    <w:rsid w:val="4A0D3F70"/>
    <w:rsid w:val="4A0D4DC1"/>
    <w:rsid w:val="4A0D56E7"/>
    <w:rsid w:val="4A0D5D1E"/>
    <w:rsid w:val="4A0E1BAE"/>
    <w:rsid w:val="4A0E3227"/>
    <w:rsid w:val="4A0E4855"/>
    <w:rsid w:val="4A0E4C7A"/>
    <w:rsid w:val="4A0E7992"/>
    <w:rsid w:val="4A0F1A96"/>
    <w:rsid w:val="4A0F2831"/>
    <w:rsid w:val="4A0F33D3"/>
    <w:rsid w:val="4A0F4B57"/>
    <w:rsid w:val="4A0F6632"/>
    <w:rsid w:val="4A0F68FC"/>
    <w:rsid w:val="4A1011A8"/>
    <w:rsid w:val="4A101AC0"/>
    <w:rsid w:val="4A104839"/>
    <w:rsid w:val="4A110AA3"/>
    <w:rsid w:val="4A114E44"/>
    <w:rsid w:val="4A1153A1"/>
    <w:rsid w:val="4A11580F"/>
    <w:rsid w:val="4A117F13"/>
    <w:rsid w:val="4A1208DA"/>
    <w:rsid w:val="4A124D48"/>
    <w:rsid w:val="4A1251F7"/>
    <w:rsid w:val="4A1433AF"/>
    <w:rsid w:val="4A143551"/>
    <w:rsid w:val="4A144FA6"/>
    <w:rsid w:val="4A1452FF"/>
    <w:rsid w:val="4A1474F2"/>
    <w:rsid w:val="4A150E13"/>
    <w:rsid w:val="4A152D72"/>
    <w:rsid w:val="4A156E89"/>
    <w:rsid w:val="4A161077"/>
    <w:rsid w:val="4A162E25"/>
    <w:rsid w:val="4A1672C9"/>
    <w:rsid w:val="4A17247D"/>
    <w:rsid w:val="4A17298F"/>
    <w:rsid w:val="4A172F9F"/>
    <w:rsid w:val="4A174DEF"/>
    <w:rsid w:val="4A176B9D"/>
    <w:rsid w:val="4A180A44"/>
    <w:rsid w:val="4A184D5C"/>
    <w:rsid w:val="4A185318"/>
    <w:rsid w:val="4A187215"/>
    <w:rsid w:val="4A191DEE"/>
    <w:rsid w:val="4A193364"/>
    <w:rsid w:val="4A1937A7"/>
    <w:rsid w:val="4A1946C3"/>
    <w:rsid w:val="4A19692E"/>
    <w:rsid w:val="4A196989"/>
    <w:rsid w:val="4A1A47F4"/>
    <w:rsid w:val="4A1A6989"/>
    <w:rsid w:val="4A1B043B"/>
    <w:rsid w:val="4A1B0507"/>
    <w:rsid w:val="4A1B668D"/>
    <w:rsid w:val="4A1C0380"/>
    <w:rsid w:val="4A1C0D2B"/>
    <w:rsid w:val="4A1C1F96"/>
    <w:rsid w:val="4A1C41B3"/>
    <w:rsid w:val="4A1C4A46"/>
    <w:rsid w:val="4A1C51FA"/>
    <w:rsid w:val="4A1D0657"/>
    <w:rsid w:val="4A1D1CE5"/>
    <w:rsid w:val="4A1D268F"/>
    <w:rsid w:val="4A1D69B8"/>
    <w:rsid w:val="4A1D7230"/>
    <w:rsid w:val="4A1D7D5A"/>
    <w:rsid w:val="4A1E1CDA"/>
    <w:rsid w:val="4A1E617D"/>
    <w:rsid w:val="4A1F1CAF"/>
    <w:rsid w:val="4A203CA4"/>
    <w:rsid w:val="4A205A52"/>
    <w:rsid w:val="4A2117CA"/>
    <w:rsid w:val="4A212CB7"/>
    <w:rsid w:val="4A2246C7"/>
    <w:rsid w:val="4A224968"/>
    <w:rsid w:val="4A2255D4"/>
    <w:rsid w:val="4A225C6E"/>
    <w:rsid w:val="4A226B37"/>
    <w:rsid w:val="4A227AB9"/>
    <w:rsid w:val="4A2319E6"/>
    <w:rsid w:val="4A234591"/>
    <w:rsid w:val="4A235542"/>
    <w:rsid w:val="4A235B57"/>
    <w:rsid w:val="4A242E8E"/>
    <w:rsid w:val="4A244C2D"/>
    <w:rsid w:val="4A25057C"/>
    <w:rsid w:val="4A250D97"/>
    <w:rsid w:val="4A2512BA"/>
    <w:rsid w:val="4A256CA7"/>
    <w:rsid w:val="4A266DE0"/>
    <w:rsid w:val="4A2705EE"/>
    <w:rsid w:val="4A2714EF"/>
    <w:rsid w:val="4A2719AE"/>
    <w:rsid w:val="4A273284"/>
    <w:rsid w:val="4A275032"/>
    <w:rsid w:val="4A27674B"/>
    <w:rsid w:val="4A2770A9"/>
    <w:rsid w:val="4A280DAA"/>
    <w:rsid w:val="4A2813A9"/>
    <w:rsid w:val="4A282B58"/>
    <w:rsid w:val="4A28374B"/>
    <w:rsid w:val="4A283E46"/>
    <w:rsid w:val="4A2856A3"/>
    <w:rsid w:val="4A286FFC"/>
    <w:rsid w:val="4A2929AE"/>
    <w:rsid w:val="4A29628B"/>
    <w:rsid w:val="4A2A25B4"/>
    <w:rsid w:val="4A2A2D74"/>
    <w:rsid w:val="4A2A51F0"/>
    <w:rsid w:val="4A2A5CF3"/>
    <w:rsid w:val="4A2A68D0"/>
    <w:rsid w:val="4A2A71A9"/>
    <w:rsid w:val="4A2A7770"/>
    <w:rsid w:val="4A2B0588"/>
    <w:rsid w:val="4A2B093C"/>
    <w:rsid w:val="4A2B1370"/>
    <w:rsid w:val="4A2B43F6"/>
    <w:rsid w:val="4A2B5B9C"/>
    <w:rsid w:val="4A2B7770"/>
    <w:rsid w:val="4A2C1CAA"/>
    <w:rsid w:val="4A2C20A3"/>
    <w:rsid w:val="4A2C23DC"/>
    <w:rsid w:val="4A2C41D3"/>
    <w:rsid w:val="4A2C7CB6"/>
    <w:rsid w:val="4A2D016F"/>
    <w:rsid w:val="4A2D0A79"/>
    <w:rsid w:val="4A2D3660"/>
    <w:rsid w:val="4A2D3BBB"/>
    <w:rsid w:val="4A2D43AB"/>
    <w:rsid w:val="4A2D4613"/>
    <w:rsid w:val="4A2D7E6A"/>
    <w:rsid w:val="4A2E0ED5"/>
    <w:rsid w:val="4A2E1182"/>
    <w:rsid w:val="4A2E16F9"/>
    <w:rsid w:val="4A2E6B25"/>
    <w:rsid w:val="4A2F038B"/>
    <w:rsid w:val="4A2F2139"/>
    <w:rsid w:val="4A2F2784"/>
    <w:rsid w:val="4A2F2D96"/>
    <w:rsid w:val="4A2F3EE7"/>
    <w:rsid w:val="4A2F40FA"/>
    <w:rsid w:val="4A2F4538"/>
    <w:rsid w:val="4A3011C1"/>
    <w:rsid w:val="4A301A0D"/>
    <w:rsid w:val="4A301D8F"/>
    <w:rsid w:val="4A312A43"/>
    <w:rsid w:val="4A314103"/>
    <w:rsid w:val="4A3153A9"/>
    <w:rsid w:val="4A317C5F"/>
    <w:rsid w:val="4A320963"/>
    <w:rsid w:val="4A321A3E"/>
    <w:rsid w:val="4A321DEC"/>
    <w:rsid w:val="4A3239D7"/>
    <w:rsid w:val="4A325785"/>
    <w:rsid w:val="4A332648"/>
    <w:rsid w:val="4A334488"/>
    <w:rsid w:val="4A34239D"/>
    <w:rsid w:val="4A3459A1"/>
    <w:rsid w:val="4A346732"/>
    <w:rsid w:val="4A3476AD"/>
    <w:rsid w:val="4A34774F"/>
    <w:rsid w:val="4A347B8D"/>
    <w:rsid w:val="4A350306"/>
    <w:rsid w:val="4A35072B"/>
    <w:rsid w:val="4A3513FC"/>
    <w:rsid w:val="4A353DF1"/>
    <w:rsid w:val="4A3546F0"/>
    <w:rsid w:val="4A360626"/>
    <w:rsid w:val="4A360F1A"/>
    <w:rsid w:val="4A361CFF"/>
    <w:rsid w:val="4A3634C7"/>
    <w:rsid w:val="4A364DCC"/>
    <w:rsid w:val="4A3660B1"/>
    <w:rsid w:val="4A370FED"/>
    <w:rsid w:val="4A374FC7"/>
    <w:rsid w:val="4A375F15"/>
    <w:rsid w:val="4A377CB2"/>
    <w:rsid w:val="4A381880"/>
    <w:rsid w:val="4A392F80"/>
    <w:rsid w:val="4A392FB7"/>
    <w:rsid w:val="4A394D65"/>
    <w:rsid w:val="4A396B13"/>
    <w:rsid w:val="4A397A37"/>
    <w:rsid w:val="4A397ED7"/>
    <w:rsid w:val="4A3A2226"/>
    <w:rsid w:val="4A3A30F2"/>
    <w:rsid w:val="4A3A4980"/>
    <w:rsid w:val="4A3B0ADD"/>
    <w:rsid w:val="4A3B71DE"/>
    <w:rsid w:val="4A3B73E9"/>
    <w:rsid w:val="4A3B7A0D"/>
    <w:rsid w:val="4A3C5448"/>
    <w:rsid w:val="4A3D12CF"/>
    <w:rsid w:val="4A3D4856"/>
    <w:rsid w:val="4A3E05CE"/>
    <w:rsid w:val="4A3E4A2A"/>
    <w:rsid w:val="4A3F507F"/>
    <w:rsid w:val="4A3F67C0"/>
    <w:rsid w:val="4A4023B0"/>
    <w:rsid w:val="4A40261E"/>
    <w:rsid w:val="4A413C1A"/>
    <w:rsid w:val="4A4200BE"/>
    <w:rsid w:val="4A4204D1"/>
    <w:rsid w:val="4A4210B0"/>
    <w:rsid w:val="4A421E6C"/>
    <w:rsid w:val="4A423A83"/>
    <w:rsid w:val="4A42563B"/>
    <w:rsid w:val="4A42625E"/>
    <w:rsid w:val="4A4266D6"/>
    <w:rsid w:val="4A426F5A"/>
    <w:rsid w:val="4A430CEC"/>
    <w:rsid w:val="4A4311BD"/>
    <w:rsid w:val="4A431740"/>
    <w:rsid w:val="4A435BE4"/>
    <w:rsid w:val="4A437DF6"/>
    <w:rsid w:val="4A441FB1"/>
    <w:rsid w:val="4A444CC9"/>
    <w:rsid w:val="4A445567"/>
    <w:rsid w:val="4A445B97"/>
    <w:rsid w:val="4A445CBA"/>
    <w:rsid w:val="4A451680"/>
    <w:rsid w:val="4A4554B8"/>
    <w:rsid w:val="4A471230"/>
    <w:rsid w:val="4A473494"/>
    <w:rsid w:val="4A474E74"/>
    <w:rsid w:val="4A48184C"/>
    <w:rsid w:val="4A482D92"/>
    <w:rsid w:val="4A48501F"/>
    <w:rsid w:val="4A48525B"/>
    <w:rsid w:val="4A4861A4"/>
    <w:rsid w:val="4A4863E2"/>
    <w:rsid w:val="4A491095"/>
    <w:rsid w:val="4A49144C"/>
    <w:rsid w:val="4A492443"/>
    <w:rsid w:val="4A495D52"/>
    <w:rsid w:val="4A497D1F"/>
    <w:rsid w:val="4A4B2235"/>
    <w:rsid w:val="4A4B26A2"/>
    <w:rsid w:val="4A4B29B0"/>
    <w:rsid w:val="4A4B3A62"/>
    <w:rsid w:val="4A4C2CEB"/>
    <w:rsid w:val="4A4C4A99"/>
    <w:rsid w:val="4A4C4AC6"/>
    <w:rsid w:val="4A4D0811"/>
    <w:rsid w:val="4A4D1B54"/>
    <w:rsid w:val="4A4D4ABD"/>
    <w:rsid w:val="4A4D659D"/>
    <w:rsid w:val="4A4D6A49"/>
    <w:rsid w:val="4A4E203E"/>
    <w:rsid w:val="4A4E2254"/>
    <w:rsid w:val="4A4E2AC8"/>
    <w:rsid w:val="4A4E6D6B"/>
    <w:rsid w:val="4A4E793F"/>
    <w:rsid w:val="4A4F166F"/>
    <w:rsid w:val="4A4F4589"/>
    <w:rsid w:val="4A4F6358"/>
    <w:rsid w:val="4A507745"/>
    <w:rsid w:val="4A510301"/>
    <w:rsid w:val="4A512DFE"/>
    <w:rsid w:val="4A5141EB"/>
    <w:rsid w:val="4A520E1F"/>
    <w:rsid w:val="4A522065"/>
    <w:rsid w:val="4A524C36"/>
    <w:rsid w:val="4A525E27"/>
    <w:rsid w:val="4A5261A5"/>
    <w:rsid w:val="4A527BD5"/>
    <w:rsid w:val="4A534079"/>
    <w:rsid w:val="4A534425"/>
    <w:rsid w:val="4A537354"/>
    <w:rsid w:val="4A54394D"/>
    <w:rsid w:val="4A544F2B"/>
    <w:rsid w:val="4A5457A0"/>
    <w:rsid w:val="4A553760"/>
    <w:rsid w:val="4A553A52"/>
    <w:rsid w:val="4A554080"/>
    <w:rsid w:val="4A556D8F"/>
    <w:rsid w:val="4A560823"/>
    <w:rsid w:val="4A5610DC"/>
    <w:rsid w:val="4A562089"/>
    <w:rsid w:val="4A563630"/>
    <w:rsid w:val="4A565917"/>
    <w:rsid w:val="4A566E0C"/>
    <w:rsid w:val="4A567FFD"/>
    <w:rsid w:val="4A571AF5"/>
    <w:rsid w:val="4A581BBD"/>
    <w:rsid w:val="4A581C9D"/>
    <w:rsid w:val="4A582473"/>
    <w:rsid w:val="4A58343D"/>
    <w:rsid w:val="4A585ED7"/>
    <w:rsid w:val="4A590F64"/>
    <w:rsid w:val="4A592828"/>
    <w:rsid w:val="4A597150"/>
    <w:rsid w:val="4A597367"/>
    <w:rsid w:val="4A5A3493"/>
    <w:rsid w:val="4A5A4D7A"/>
    <w:rsid w:val="4A5A5156"/>
    <w:rsid w:val="4A5B1180"/>
    <w:rsid w:val="4A5B13B4"/>
    <w:rsid w:val="4A5B218A"/>
    <w:rsid w:val="4A5B4CDC"/>
    <w:rsid w:val="4A5B4E30"/>
    <w:rsid w:val="4A5C08B9"/>
    <w:rsid w:val="4A5C16DC"/>
    <w:rsid w:val="4A5C2802"/>
    <w:rsid w:val="4A5C3466"/>
    <w:rsid w:val="4A5C490E"/>
    <w:rsid w:val="4A5C4DD3"/>
    <w:rsid w:val="4A5C6A4E"/>
    <w:rsid w:val="4A5D0A54"/>
    <w:rsid w:val="4A5D0B6E"/>
    <w:rsid w:val="4A5D1D49"/>
    <w:rsid w:val="4A5D2D7E"/>
    <w:rsid w:val="4A5D2D8B"/>
    <w:rsid w:val="4A5D427B"/>
    <w:rsid w:val="4A5D4EF8"/>
    <w:rsid w:val="4A5D5169"/>
    <w:rsid w:val="4A5D51C0"/>
    <w:rsid w:val="4A5D6CA6"/>
    <w:rsid w:val="4A5D7E15"/>
    <w:rsid w:val="4A5E5DDF"/>
    <w:rsid w:val="4A5F1415"/>
    <w:rsid w:val="4A5F1679"/>
    <w:rsid w:val="4A6022F2"/>
    <w:rsid w:val="4A603150"/>
    <w:rsid w:val="4A603E33"/>
    <w:rsid w:val="4A605514"/>
    <w:rsid w:val="4A6057EE"/>
    <w:rsid w:val="4A606796"/>
    <w:rsid w:val="4A612A04"/>
    <w:rsid w:val="4A614D2A"/>
    <w:rsid w:val="4A616F89"/>
    <w:rsid w:val="4A617C95"/>
    <w:rsid w:val="4A621B5A"/>
    <w:rsid w:val="4A6249BF"/>
    <w:rsid w:val="4A625C2E"/>
    <w:rsid w:val="4A630034"/>
    <w:rsid w:val="4A630B40"/>
    <w:rsid w:val="4A630B8D"/>
    <w:rsid w:val="4A631398"/>
    <w:rsid w:val="4A631DE2"/>
    <w:rsid w:val="4A632A46"/>
    <w:rsid w:val="4A633B90"/>
    <w:rsid w:val="4A636691"/>
    <w:rsid w:val="4A641F99"/>
    <w:rsid w:val="4A646BB7"/>
    <w:rsid w:val="4A647998"/>
    <w:rsid w:val="4A653041"/>
    <w:rsid w:val="4A654D51"/>
    <w:rsid w:val="4A6551B7"/>
    <w:rsid w:val="4A655B5A"/>
    <w:rsid w:val="4A6572FA"/>
    <w:rsid w:val="4A657908"/>
    <w:rsid w:val="4A657C16"/>
    <w:rsid w:val="4A6612E3"/>
    <w:rsid w:val="4A6656EE"/>
    <w:rsid w:val="4A6657FE"/>
    <w:rsid w:val="4A666278"/>
    <w:rsid w:val="4A6718D3"/>
    <w:rsid w:val="4A672A3D"/>
    <w:rsid w:val="4A67453C"/>
    <w:rsid w:val="4A674AFD"/>
    <w:rsid w:val="4A681856"/>
    <w:rsid w:val="4A6855C7"/>
    <w:rsid w:val="4A6859CC"/>
    <w:rsid w:val="4A691A5C"/>
    <w:rsid w:val="4A6970F2"/>
    <w:rsid w:val="4A6A0EE4"/>
    <w:rsid w:val="4A6A4F1F"/>
    <w:rsid w:val="4A6A595F"/>
    <w:rsid w:val="4A6B0820"/>
    <w:rsid w:val="4A6B3D36"/>
    <w:rsid w:val="4A6B6C14"/>
    <w:rsid w:val="4A6B78A3"/>
    <w:rsid w:val="4A6C0C97"/>
    <w:rsid w:val="4A6C3766"/>
    <w:rsid w:val="4A6C513B"/>
    <w:rsid w:val="4A6C6EE9"/>
    <w:rsid w:val="4A6C753F"/>
    <w:rsid w:val="4A6D0266"/>
    <w:rsid w:val="4A6D4A0F"/>
    <w:rsid w:val="4A6D664D"/>
    <w:rsid w:val="4A6E0EB3"/>
    <w:rsid w:val="4A6E2C61"/>
    <w:rsid w:val="4A6E2CCE"/>
    <w:rsid w:val="4A6F0787"/>
    <w:rsid w:val="4A6F3412"/>
    <w:rsid w:val="4A6F440D"/>
    <w:rsid w:val="4A6F4C2B"/>
    <w:rsid w:val="4A6F50AE"/>
    <w:rsid w:val="4A6F69D9"/>
    <w:rsid w:val="4A700238"/>
    <w:rsid w:val="4A700E17"/>
    <w:rsid w:val="4A7033B6"/>
    <w:rsid w:val="4A704B0B"/>
    <w:rsid w:val="4A7052C6"/>
    <w:rsid w:val="4A706487"/>
    <w:rsid w:val="4A706B2E"/>
    <w:rsid w:val="4A71031F"/>
    <w:rsid w:val="4A7106CA"/>
    <w:rsid w:val="4A71156E"/>
    <w:rsid w:val="4A712751"/>
    <w:rsid w:val="4A7144FF"/>
    <w:rsid w:val="4A717546"/>
    <w:rsid w:val="4A7208E3"/>
    <w:rsid w:val="4A7212FD"/>
    <w:rsid w:val="4A730277"/>
    <w:rsid w:val="4A7315F5"/>
    <w:rsid w:val="4A731613"/>
    <w:rsid w:val="4A732907"/>
    <w:rsid w:val="4A7343AE"/>
    <w:rsid w:val="4A741C7E"/>
    <w:rsid w:val="4A743F6F"/>
    <w:rsid w:val="4A74463A"/>
    <w:rsid w:val="4A745D9D"/>
    <w:rsid w:val="4A751150"/>
    <w:rsid w:val="4A7540B5"/>
    <w:rsid w:val="4A755869"/>
    <w:rsid w:val="4A760033"/>
    <w:rsid w:val="4A760FA6"/>
    <w:rsid w:val="4A7637E7"/>
    <w:rsid w:val="4A767D68"/>
    <w:rsid w:val="4A770AA6"/>
    <w:rsid w:val="4A775976"/>
    <w:rsid w:val="4A77763C"/>
    <w:rsid w:val="4A781971"/>
    <w:rsid w:val="4A783AE0"/>
    <w:rsid w:val="4A78588E"/>
    <w:rsid w:val="4A790AE3"/>
    <w:rsid w:val="4A791606"/>
    <w:rsid w:val="4A7933B4"/>
    <w:rsid w:val="4A794E5C"/>
    <w:rsid w:val="4A795210"/>
    <w:rsid w:val="4A797DE0"/>
    <w:rsid w:val="4A7A0F2D"/>
    <w:rsid w:val="4A7A3C0D"/>
    <w:rsid w:val="4A7A517D"/>
    <w:rsid w:val="4A7A7858"/>
    <w:rsid w:val="4A7B2700"/>
    <w:rsid w:val="4A7B3E3A"/>
    <w:rsid w:val="4A7B4828"/>
    <w:rsid w:val="4A7B557D"/>
    <w:rsid w:val="4A7B5D52"/>
    <w:rsid w:val="4A7B7E69"/>
    <w:rsid w:val="4A7C52D1"/>
    <w:rsid w:val="4A7C5F34"/>
    <w:rsid w:val="4A7D10F6"/>
    <w:rsid w:val="4A7D2EA4"/>
    <w:rsid w:val="4A7D7CC8"/>
    <w:rsid w:val="4A7D7EE7"/>
    <w:rsid w:val="4A7E165C"/>
    <w:rsid w:val="4A7E303F"/>
    <w:rsid w:val="4A7E3180"/>
    <w:rsid w:val="4A7E58DB"/>
    <w:rsid w:val="4A7E5B7F"/>
    <w:rsid w:val="4A7E6C1C"/>
    <w:rsid w:val="4A7E7EDF"/>
    <w:rsid w:val="4A7F26AA"/>
    <w:rsid w:val="4A7F274C"/>
    <w:rsid w:val="4A7F3375"/>
    <w:rsid w:val="4A7F4B30"/>
    <w:rsid w:val="4A7F4E6E"/>
    <w:rsid w:val="4A7F6E9C"/>
    <w:rsid w:val="4A802994"/>
    <w:rsid w:val="4A804C37"/>
    <w:rsid w:val="4A8050E2"/>
    <w:rsid w:val="4A814E6C"/>
    <w:rsid w:val="4A821143"/>
    <w:rsid w:val="4A834233"/>
    <w:rsid w:val="4A834312"/>
    <w:rsid w:val="4A84101D"/>
    <w:rsid w:val="4A846E2C"/>
    <w:rsid w:val="4A84738E"/>
    <w:rsid w:val="4A850084"/>
    <w:rsid w:val="4A8505FA"/>
    <w:rsid w:val="4A851D59"/>
    <w:rsid w:val="4A8561FD"/>
    <w:rsid w:val="4A861976"/>
    <w:rsid w:val="4A865069"/>
    <w:rsid w:val="4A8676B1"/>
    <w:rsid w:val="4A8724D7"/>
    <w:rsid w:val="4A875AD1"/>
    <w:rsid w:val="4A876F47"/>
    <w:rsid w:val="4A882382"/>
    <w:rsid w:val="4A8855C8"/>
    <w:rsid w:val="4A890707"/>
    <w:rsid w:val="4A8943E0"/>
    <w:rsid w:val="4A89447F"/>
    <w:rsid w:val="4A8A0650"/>
    <w:rsid w:val="4A8A32BE"/>
    <w:rsid w:val="4A8A50C8"/>
    <w:rsid w:val="4A8A55C1"/>
    <w:rsid w:val="4A8A7C9D"/>
    <w:rsid w:val="4A8B0324"/>
    <w:rsid w:val="4A8B0653"/>
    <w:rsid w:val="4A8B1F1D"/>
    <w:rsid w:val="4A8B279D"/>
    <w:rsid w:val="4A8C0D60"/>
    <w:rsid w:val="4A8C30E7"/>
    <w:rsid w:val="4A8C3A1A"/>
    <w:rsid w:val="4A8D175A"/>
    <w:rsid w:val="4A8D1AC5"/>
    <w:rsid w:val="4A8D5804"/>
    <w:rsid w:val="4A8E0B76"/>
    <w:rsid w:val="4A8E3303"/>
    <w:rsid w:val="4A8E4B02"/>
    <w:rsid w:val="4A8E50B1"/>
    <w:rsid w:val="4A8E5FA5"/>
    <w:rsid w:val="4A8F3492"/>
    <w:rsid w:val="4A8F4985"/>
    <w:rsid w:val="4A8F4B67"/>
    <w:rsid w:val="4A8F59AD"/>
    <w:rsid w:val="4A902382"/>
    <w:rsid w:val="4A903D11"/>
    <w:rsid w:val="4A904BD7"/>
    <w:rsid w:val="4A912A88"/>
    <w:rsid w:val="4A91694F"/>
    <w:rsid w:val="4A916BA1"/>
    <w:rsid w:val="4A9223D9"/>
    <w:rsid w:val="4A926A88"/>
    <w:rsid w:val="4A930874"/>
    <w:rsid w:val="4A930987"/>
    <w:rsid w:val="4A9326C8"/>
    <w:rsid w:val="4A934476"/>
    <w:rsid w:val="4A935647"/>
    <w:rsid w:val="4A935674"/>
    <w:rsid w:val="4A936BB3"/>
    <w:rsid w:val="4A9378E1"/>
    <w:rsid w:val="4A941E17"/>
    <w:rsid w:val="4A9422A2"/>
    <w:rsid w:val="4A945703"/>
    <w:rsid w:val="4A946440"/>
    <w:rsid w:val="4A9471FC"/>
    <w:rsid w:val="4A9532A7"/>
    <w:rsid w:val="4A960A49"/>
    <w:rsid w:val="4A9621B8"/>
    <w:rsid w:val="4A963AE6"/>
    <w:rsid w:val="4A9648F6"/>
    <w:rsid w:val="4A965D14"/>
    <w:rsid w:val="4A970798"/>
    <w:rsid w:val="4A972CA9"/>
    <w:rsid w:val="4A981A8C"/>
    <w:rsid w:val="4A981C28"/>
    <w:rsid w:val="4A984651"/>
    <w:rsid w:val="4A98555D"/>
    <w:rsid w:val="4A987D4E"/>
    <w:rsid w:val="4A987D74"/>
    <w:rsid w:val="4A9925E5"/>
    <w:rsid w:val="4A992BCB"/>
    <w:rsid w:val="4A9950EF"/>
    <w:rsid w:val="4A995804"/>
    <w:rsid w:val="4A9A14B1"/>
    <w:rsid w:val="4A9A1CA8"/>
    <w:rsid w:val="4A9A5C89"/>
    <w:rsid w:val="4A9A5EF6"/>
    <w:rsid w:val="4A9B157C"/>
    <w:rsid w:val="4A9B190A"/>
    <w:rsid w:val="4A9B2152"/>
    <w:rsid w:val="4A9B59F7"/>
    <w:rsid w:val="4A9B61B7"/>
    <w:rsid w:val="4A9B77CE"/>
    <w:rsid w:val="4A9C0CF1"/>
    <w:rsid w:val="4A9C1951"/>
    <w:rsid w:val="4A9C46C7"/>
    <w:rsid w:val="4A9C4823"/>
    <w:rsid w:val="4A9D2E1F"/>
    <w:rsid w:val="4A9D3783"/>
    <w:rsid w:val="4A9D6ACE"/>
    <w:rsid w:val="4A9D6C32"/>
    <w:rsid w:val="4A9D70A2"/>
    <w:rsid w:val="4A9D71DB"/>
    <w:rsid w:val="4A9E2AC0"/>
    <w:rsid w:val="4A9E2F73"/>
    <w:rsid w:val="4A9E34E8"/>
    <w:rsid w:val="4A9F4236"/>
    <w:rsid w:val="4A9F5577"/>
    <w:rsid w:val="4A9F72BE"/>
    <w:rsid w:val="4AA00972"/>
    <w:rsid w:val="4AA03036"/>
    <w:rsid w:val="4AA047AD"/>
    <w:rsid w:val="4AA04A37"/>
    <w:rsid w:val="4AA1411D"/>
    <w:rsid w:val="4AA171E1"/>
    <w:rsid w:val="4AA21F4B"/>
    <w:rsid w:val="4AA235D5"/>
    <w:rsid w:val="4AA246B9"/>
    <w:rsid w:val="4AA414CB"/>
    <w:rsid w:val="4AA4270E"/>
    <w:rsid w:val="4AA44F43"/>
    <w:rsid w:val="4AA46F25"/>
    <w:rsid w:val="4AA5064D"/>
    <w:rsid w:val="4AA523FB"/>
    <w:rsid w:val="4AA53F0C"/>
    <w:rsid w:val="4AA541A9"/>
    <w:rsid w:val="4AA5596D"/>
    <w:rsid w:val="4AA56124"/>
    <w:rsid w:val="4AA56EAF"/>
    <w:rsid w:val="4AA7028D"/>
    <w:rsid w:val="4AA74041"/>
    <w:rsid w:val="4AA77F21"/>
    <w:rsid w:val="4AA80359"/>
    <w:rsid w:val="4AA83D42"/>
    <w:rsid w:val="4AA87105"/>
    <w:rsid w:val="4AA9383D"/>
    <w:rsid w:val="4AA957D1"/>
    <w:rsid w:val="4AA97CA7"/>
    <w:rsid w:val="4AAA7A11"/>
    <w:rsid w:val="4AAB09FA"/>
    <w:rsid w:val="4AAB0E9F"/>
    <w:rsid w:val="4AAB50DC"/>
    <w:rsid w:val="4AAC2C6F"/>
    <w:rsid w:val="4AAC5537"/>
    <w:rsid w:val="4AAC5AF6"/>
    <w:rsid w:val="4AAD26D9"/>
    <w:rsid w:val="4AAD305D"/>
    <w:rsid w:val="4AAD5D67"/>
    <w:rsid w:val="4AAE3488"/>
    <w:rsid w:val="4AAE4DC4"/>
    <w:rsid w:val="4AAE74A3"/>
    <w:rsid w:val="4AAF0D6A"/>
    <w:rsid w:val="4AAF5028"/>
    <w:rsid w:val="4AAF6DD6"/>
    <w:rsid w:val="4AB03279"/>
    <w:rsid w:val="4AB06F34"/>
    <w:rsid w:val="4AB07EAF"/>
    <w:rsid w:val="4AB10F8E"/>
    <w:rsid w:val="4AB12B4E"/>
    <w:rsid w:val="4AB15D58"/>
    <w:rsid w:val="4AB15F1F"/>
    <w:rsid w:val="4AB16503"/>
    <w:rsid w:val="4AB16F5C"/>
    <w:rsid w:val="4AB16FF2"/>
    <w:rsid w:val="4AB17D14"/>
    <w:rsid w:val="4AB22B1A"/>
    <w:rsid w:val="4AB24495"/>
    <w:rsid w:val="4AB278B1"/>
    <w:rsid w:val="4AB30395"/>
    <w:rsid w:val="4AB31638"/>
    <w:rsid w:val="4AB32D6A"/>
    <w:rsid w:val="4AB352FF"/>
    <w:rsid w:val="4AB353A4"/>
    <w:rsid w:val="4AB36025"/>
    <w:rsid w:val="4AB37032"/>
    <w:rsid w:val="4AB37450"/>
    <w:rsid w:val="4AB416D2"/>
    <w:rsid w:val="4AB4263E"/>
    <w:rsid w:val="4AB443EC"/>
    <w:rsid w:val="4AB4569C"/>
    <w:rsid w:val="4AB53D21"/>
    <w:rsid w:val="4AB55FEC"/>
    <w:rsid w:val="4AB60164"/>
    <w:rsid w:val="4AB64F82"/>
    <w:rsid w:val="4AB663B6"/>
    <w:rsid w:val="4AB668F2"/>
    <w:rsid w:val="4AB734C5"/>
    <w:rsid w:val="4AB73D1F"/>
    <w:rsid w:val="4AB76FA5"/>
    <w:rsid w:val="4AB77963"/>
    <w:rsid w:val="4AB80380"/>
    <w:rsid w:val="4AB80FDD"/>
    <w:rsid w:val="4AB8212E"/>
    <w:rsid w:val="4AB83DE3"/>
    <w:rsid w:val="4AB83EDC"/>
    <w:rsid w:val="4AB86E17"/>
    <w:rsid w:val="4AB904B0"/>
    <w:rsid w:val="4AB93923"/>
    <w:rsid w:val="4AB94A7E"/>
    <w:rsid w:val="4AB95273"/>
    <w:rsid w:val="4AB9551D"/>
    <w:rsid w:val="4AB95F8E"/>
    <w:rsid w:val="4ABA0C79"/>
    <w:rsid w:val="4ABA1F4F"/>
    <w:rsid w:val="4ABA21C2"/>
    <w:rsid w:val="4ABA33B0"/>
    <w:rsid w:val="4ABB577A"/>
    <w:rsid w:val="4ABC0DDA"/>
    <w:rsid w:val="4ABC1023"/>
    <w:rsid w:val="4ABC186E"/>
    <w:rsid w:val="4ABC30A5"/>
    <w:rsid w:val="4ABC3301"/>
    <w:rsid w:val="4ABD0008"/>
    <w:rsid w:val="4ABD14F2"/>
    <w:rsid w:val="4ABD2111"/>
    <w:rsid w:val="4ABD5821"/>
    <w:rsid w:val="4ABD676B"/>
    <w:rsid w:val="4ABD7744"/>
    <w:rsid w:val="4ABE0D88"/>
    <w:rsid w:val="4ABE3E78"/>
    <w:rsid w:val="4ABE41DC"/>
    <w:rsid w:val="4ABE4D87"/>
    <w:rsid w:val="4ABE5084"/>
    <w:rsid w:val="4ABF157F"/>
    <w:rsid w:val="4ABF170F"/>
    <w:rsid w:val="4ABF31EA"/>
    <w:rsid w:val="4ABF43E3"/>
    <w:rsid w:val="4ABF5254"/>
    <w:rsid w:val="4AC00FE3"/>
    <w:rsid w:val="4AC02717"/>
    <w:rsid w:val="4AC07235"/>
    <w:rsid w:val="4AC12B9C"/>
    <w:rsid w:val="4AC20D77"/>
    <w:rsid w:val="4AC217D1"/>
    <w:rsid w:val="4AC219DF"/>
    <w:rsid w:val="4AC22FAD"/>
    <w:rsid w:val="4AC23663"/>
    <w:rsid w:val="4AC24C8F"/>
    <w:rsid w:val="4AC24D5B"/>
    <w:rsid w:val="4AC26B09"/>
    <w:rsid w:val="4AC30EF6"/>
    <w:rsid w:val="4AC40AD3"/>
    <w:rsid w:val="4AC41E83"/>
    <w:rsid w:val="4AC42881"/>
    <w:rsid w:val="4AC434B2"/>
    <w:rsid w:val="4AC45D6E"/>
    <w:rsid w:val="4AC46D25"/>
    <w:rsid w:val="4AC477B5"/>
    <w:rsid w:val="4AC517EA"/>
    <w:rsid w:val="4AC52021"/>
    <w:rsid w:val="4AC53338"/>
    <w:rsid w:val="4AC5484B"/>
    <w:rsid w:val="4AC62A9D"/>
    <w:rsid w:val="4AC64CA6"/>
    <w:rsid w:val="4AC72371"/>
    <w:rsid w:val="4AC72FF8"/>
    <w:rsid w:val="4AC767C9"/>
    <w:rsid w:val="4AC80510"/>
    <w:rsid w:val="4AC80D07"/>
    <w:rsid w:val="4AC81B6A"/>
    <w:rsid w:val="4AC84C8B"/>
    <w:rsid w:val="4AC92EE5"/>
    <w:rsid w:val="4AC94384"/>
    <w:rsid w:val="4AC97E97"/>
    <w:rsid w:val="4ACA3C0F"/>
    <w:rsid w:val="4ACA4594"/>
    <w:rsid w:val="4ACA63E3"/>
    <w:rsid w:val="4ACA7ADB"/>
    <w:rsid w:val="4ACB00B3"/>
    <w:rsid w:val="4ACB0FA4"/>
    <w:rsid w:val="4ACB45A1"/>
    <w:rsid w:val="4ACC3B2E"/>
    <w:rsid w:val="4ACC578D"/>
    <w:rsid w:val="4ACC58FE"/>
    <w:rsid w:val="4ACC5BD9"/>
    <w:rsid w:val="4ACC7988"/>
    <w:rsid w:val="4ACD1596"/>
    <w:rsid w:val="4ACD2AD3"/>
    <w:rsid w:val="4ACD3ADB"/>
    <w:rsid w:val="4ACE4B79"/>
    <w:rsid w:val="4ACE7A53"/>
    <w:rsid w:val="4ACE7AC7"/>
    <w:rsid w:val="4ACF1232"/>
    <w:rsid w:val="4ACF7499"/>
    <w:rsid w:val="4AD02541"/>
    <w:rsid w:val="4AD03580"/>
    <w:rsid w:val="4AD10D72"/>
    <w:rsid w:val="4AD11442"/>
    <w:rsid w:val="4AD134FA"/>
    <w:rsid w:val="4AD145E0"/>
    <w:rsid w:val="4AD27C43"/>
    <w:rsid w:val="4AD309EB"/>
    <w:rsid w:val="4AD30D16"/>
    <w:rsid w:val="4AD3433B"/>
    <w:rsid w:val="4AD351BA"/>
    <w:rsid w:val="4AD35351"/>
    <w:rsid w:val="4AD362D0"/>
    <w:rsid w:val="4AD41A3A"/>
    <w:rsid w:val="4AD41CC7"/>
    <w:rsid w:val="4AD420FD"/>
    <w:rsid w:val="4AD4245B"/>
    <w:rsid w:val="4AD42A5E"/>
    <w:rsid w:val="4AD42F7B"/>
    <w:rsid w:val="4AD44D99"/>
    <w:rsid w:val="4AD4683C"/>
    <w:rsid w:val="4AD46C62"/>
    <w:rsid w:val="4AD54A8E"/>
    <w:rsid w:val="4AD625B4"/>
    <w:rsid w:val="4AD66A58"/>
    <w:rsid w:val="4AD66F44"/>
    <w:rsid w:val="4AD827D0"/>
    <w:rsid w:val="4AD83621"/>
    <w:rsid w:val="4AD84218"/>
    <w:rsid w:val="4AD8457E"/>
    <w:rsid w:val="4AD8632C"/>
    <w:rsid w:val="4AD8740D"/>
    <w:rsid w:val="4AD92BEB"/>
    <w:rsid w:val="4AD93E52"/>
    <w:rsid w:val="4AD95415"/>
    <w:rsid w:val="4AD97DEE"/>
    <w:rsid w:val="4ADA20A4"/>
    <w:rsid w:val="4ADA45AC"/>
    <w:rsid w:val="4ADA467C"/>
    <w:rsid w:val="4ADA4C58"/>
    <w:rsid w:val="4ADA5CED"/>
    <w:rsid w:val="4ADA6058"/>
    <w:rsid w:val="4ADB21F1"/>
    <w:rsid w:val="4ADC060D"/>
    <w:rsid w:val="4ADC4178"/>
    <w:rsid w:val="4ADC60D2"/>
    <w:rsid w:val="4ADC7F1C"/>
    <w:rsid w:val="4ADD32B8"/>
    <w:rsid w:val="4ADD3943"/>
    <w:rsid w:val="4ADD3982"/>
    <w:rsid w:val="4ADD7DE7"/>
    <w:rsid w:val="4ADE0460"/>
    <w:rsid w:val="4ADE2BE1"/>
    <w:rsid w:val="4ADE2F2D"/>
    <w:rsid w:val="4ADE3564"/>
    <w:rsid w:val="4ADE3E57"/>
    <w:rsid w:val="4ADE4B50"/>
    <w:rsid w:val="4ADF520B"/>
    <w:rsid w:val="4ADF590D"/>
    <w:rsid w:val="4ADF60F1"/>
    <w:rsid w:val="4AE051E1"/>
    <w:rsid w:val="4AE07099"/>
    <w:rsid w:val="4AE148AB"/>
    <w:rsid w:val="4AE20F59"/>
    <w:rsid w:val="4AE22C66"/>
    <w:rsid w:val="4AE253FD"/>
    <w:rsid w:val="4AE309B1"/>
    <w:rsid w:val="4AE31EB7"/>
    <w:rsid w:val="4AE33A9E"/>
    <w:rsid w:val="4AE425AA"/>
    <w:rsid w:val="4AE42F23"/>
    <w:rsid w:val="4AE47770"/>
    <w:rsid w:val="4AE478DC"/>
    <w:rsid w:val="4AE5012B"/>
    <w:rsid w:val="4AE52E00"/>
    <w:rsid w:val="4AE54A0B"/>
    <w:rsid w:val="4AE553A4"/>
    <w:rsid w:val="4AE55D4A"/>
    <w:rsid w:val="4AE55F49"/>
    <w:rsid w:val="4AE56309"/>
    <w:rsid w:val="4AE616CE"/>
    <w:rsid w:val="4AE64290"/>
    <w:rsid w:val="4AE676E2"/>
    <w:rsid w:val="4AE72D73"/>
    <w:rsid w:val="4AE75720"/>
    <w:rsid w:val="4AE7656F"/>
    <w:rsid w:val="4AE8033E"/>
    <w:rsid w:val="4AE90539"/>
    <w:rsid w:val="4AE90DFD"/>
    <w:rsid w:val="4AE946B9"/>
    <w:rsid w:val="4AE958EC"/>
    <w:rsid w:val="4AE95AF4"/>
    <w:rsid w:val="4AEA14D0"/>
    <w:rsid w:val="4AEA40A1"/>
    <w:rsid w:val="4AEA4D90"/>
    <w:rsid w:val="4AEA6A13"/>
    <w:rsid w:val="4AEC002A"/>
    <w:rsid w:val="4AEC1DD8"/>
    <w:rsid w:val="4AEC2662"/>
    <w:rsid w:val="4AED047C"/>
    <w:rsid w:val="4AED04C4"/>
    <w:rsid w:val="4AED0B2D"/>
    <w:rsid w:val="4AED1F32"/>
    <w:rsid w:val="4AED539A"/>
    <w:rsid w:val="4AED6BE2"/>
    <w:rsid w:val="4AEE015B"/>
    <w:rsid w:val="4AEE0E40"/>
    <w:rsid w:val="4AEE5B50"/>
    <w:rsid w:val="4AEE63B0"/>
    <w:rsid w:val="4AEE6C5A"/>
    <w:rsid w:val="4AEF22CA"/>
    <w:rsid w:val="4AEF3676"/>
    <w:rsid w:val="4AEF3EB2"/>
    <w:rsid w:val="4AEF4D5B"/>
    <w:rsid w:val="4AF010FA"/>
    <w:rsid w:val="4AF0162B"/>
    <w:rsid w:val="4AF018C8"/>
    <w:rsid w:val="4AF07B1A"/>
    <w:rsid w:val="4AF1229E"/>
    <w:rsid w:val="4AF15B77"/>
    <w:rsid w:val="4AF17D8F"/>
    <w:rsid w:val="4AF22F35"/>
    <w:rsid w:val="4AF24FFB"/>
    <w:rsid w:val="4AF313B8"/>
    <w:rsid w:val="4AF31F03"/>
    <w:rsid w:val="4AF3760A"/>
    <w:rsid w:val="4AF40715"/>
    <w:rsid w:val="4AF40C8C"/>
    <w:rsid w:val="4AF4204F"/>
    <w:rsid w:val="4AF464CA"/>
    <w:rsid w:val="4AF509C2"/>
    <w:rsid w:val="4AF511B4"/>
    <w:rsid w:val="4AF551E8"/>
    <w:rsid w:val="4AF57F71"/>
    <w:rsid w:val="4AF616B5"/>
    <w:rsid w:val="4AF63CC3"/>
    <w:rsid w:val="4AF63D85"/>
    <w:rsid w:val="4AF662AE"/>
    <w:rsid w:val="4AF678F4"/>
    <w:rsid w:val="4AF73A7A"/>
    <w:rsid w:val="4AF76230"/>
    <w:rsid w:val="4AF76666"/>
    <w:rsid w:val="4AF8248C"/>
    <w:rsid w:val="4AF84C20"/>
    <w:rsid w:val="4AF869CF"/>
    <w:rsid w:val="4AF874D9"/>
    <w:rsid w:val="4AF87678"/>
    <w:rsid w:val="4AF937EF"/>
    <w:rsid w:val="4AFA2747"/>
    <w:rsid w:val="4AFA50E9"/>
    <w:rsid w:val="4AFA789E"/>
    <w:rsid w:val="4AFA79CE"/>
    <w:rsid w:val="4AFB3E0B"/>
    <w:rsid w:val="4AFC64BF"/>
    <w:rsid w:val="4AFC659E"/>
    <w:rsid w:val="4AFD0124"/>
    <w:rsid w:val="4AFD102B"/>
    <w:rsid w:val="4AFD2237"/>
    <w:rsid w:val="4AFD5CE1"/>
    <w:rsid w:val="4AFD6AA7"/>
    <w:rsid w:val="4AFD6B18"/>
    <w:rsid w:val="4AFD7EDE"/>
    <w:rsid w:val="4AFE2517"/>
    <w:rsid w:val="4AFE366C"/>
    <w:rsid w:val="4AFE4952"/>
    <w:rsid w:val="4AFF1B0B"/>
    <w:rsid w:val="4AFF341B"/>
    <w:rsid w:val="4B000AA5"/>
    <w:rsid w:val="4B00224C"/>
    <w:rsid w:val="4B002D0A"/>
    <w:rsid w:val="4B00531E"/>
    <w:rsid w:val="4B007631"/>
    <w:rsid w:val="4B0076CF"/>
    <w:rsid w:val="4B01514F"/>
    <w:rsid w:val="4B0224C8"/>
    <w:rsid w:val="4B0235C9"/>
    <w:rsid w:val="4B0242DE"/>
    <w:rsid w:val="4B025F8A"/>
    <w:rsid w:val="4B0269DC"/>
    <w:rsid w:val="4B026E75"/>
    <w:rsid w:val="4B0325D5"/>
    <w:rsid w:val="4B042564"/>
    <w:rsid w:val="4B0435C5"/>
    <w:rsid w:val="4B044F77"/>
    <w:rsid w:val="4B046389"/>
    <w:rsid w:val="4B0522EE"/>
    <w:rsid w:val="4B052CDC"/>
    <w:rsid w:val="4B0610EB"/>
    <w:rsid w:val="4B0709C0"/>
    <w:rsid w:val="4B071F90"/>
    <w:rsid w:val="4B074E64"/>
    <w:rsid w:val="4B076C12"/>
    <w:rsid w:val="4B0836CE"/>
    <w:rsid w:val="4B09298A"/>
    <w:rsid w:val="4B092AF7"/>
    <w:rsid w:val="4B0A1502"/>
    <w:rsid w:val="4B0A3767"/>
    <w:rsid w:val="4B0A37DA"/>
    <w:rsid w:val="4B0A3FB7"/>
    <w:rsid w:val="4B0A688B"/>
    <w:rsid w:val="4B0B7A48"/>
    <w:rsid w:val="4B0C11B6"/>
    <w:rsid w:val="4B0C2BF3"/>
    <w:rsid w:val="4B0C5412"/>
    <w:rsid w:val="4B0C6031"/>
    <w:rsid w:val="4B0C7E39"/>
    <w:rsid w:val="4B0C7E89"/>
    <w:rsid w:val="4B0D06CC"/>
    <w:rsid w:val="4B0D1BA0"/>
    <w:rsid w:val="4B0D4CE1"/>
    <w:rsid w:val="4B0D5257"/>
    <w:rsid w:val="4B0D6D5E"/>
    <w:rsid w:val="4B0D743B"/>
    <w:rsid w:val="4B0E200C"/>
    <w:rsid w:val="4B0E61F2"/>
    <w:rsid w:val="4B0E7FA0"/>
    <w:rsid w:val="4B0F3B5C"/>
    <w:rsid w:val="4B0F492C"/>
    <w:rsid w:val="4B0F4CCE"/>
    <w:rsid w:val="4B0F7FA5"/>
    <w:rsid w:val="4B10070C"/>
    <w:rsid w:val="4B101F6A"/>
    <w:rsid w:val="4B102C86"/>
    <w:rsid w:val="4B103D18"/>
    <w:rsid w:val="4B104882"/>
    <w:rsid w:val="4B104F22"/>
    <w:rsid w:val="4B106241"/>
    <w:rsid w:val="4B107BC9"/>
    <w:rsid w:val="4B107F34"/>
    <w:rsid w:val="4B115107"/>
    <w:rsid w:val="4B115470"/>
    <w:rsid w:val="4B121E1D"/>
    <w:rsid w:val="4B125CE2"/>
    <w:rsid w:val="4B130420"/>
    <w:rsid w:val="4B132F8D"/>
    <w:rsid w:val="4B1355B6"/>
    <w:rsid w:val="4B13605E"/>
    <w:rsid w:val="4B137BFE"/>
    <w:rsid w:val="4B141C11"/>
    <w:rsid w:val="4B1459E6"/>
    <w:rsid w:val="4B151D05"/>
    <w:rsid w:val="4B1530DD"/>
    <w:rsid w:val="4B153E43"/>
    <w:rsid w:val="4B154195"/>
    <w:rsid w:val="4B157580"/>
    <w:rsid w:val="4B162906"/>
    <w:rsid w:val="4B16705D"/>
    <w:rsid w:val="4B167A82"/>
    <w:rsid w:val="4B1727E7"/>
    <w:rsid w:val="4B1732F9"/>
    <w:rsid w:val="4B180E1F"/>
    <w:rsid w:val="4B1815F7"/>
    <w:rsid w:val="4B182037"/>
    <w:rsid w:val="4B182BCD"/>
    <w:rsid w:val="4B184129"/>
    <w:rsid w:val="4B185C8F"/>
    <w:rsid w:val="4B18661C"/>
    <w:rsid w:val="4B1901F9"/>
    <w:rsid w:val="4B190EA1"/>
    <w:rsid w:val="4B1A6945"/>
    <w:rsid w:val="4B1A739C"/>
    <w:rsid w:val="4B1B04E9"/>
    <w:rsid w:val="4B1B110F"/>
    <w:rsid w:val="4B1B26BD"/>
    <w:rsid w:val="4B1B446B"/>
    <w:rsid w:val="4B1B54DC"/>
    <w:rsid w:val="4B1C090F"/>
    <w:rsid w:val="4B1C2544"/>
    <w:rsid w:val="4B1C2E35"/>
    <w:rsid w:val="4B1C435F"/>
    <w:rsid w:val="4B1D103F"/>
    <w:rsid w:val="4B1D4687"/>
    <w:rsid w:val="4B1D5C59"/>
    <w:rsid w:val="4B1D6435"/>
    <w:rsid w:val="4B1E1DAD"/>
    <w:rsid w:val="4B1E2F52"/>
    <w:rsid w:val="4B1E4E5F"/>
    <w:rsid w:val="4B1E5795"/>
    <w:rsid w:val="4B1E5F5D"/>
    <w:rsid w:val="4B1F3F5B"/>
    <w:rsid w:val="4B1F5D09"/>
    <w:rsid w:val="4B1F7EAC"/>
    <w:rsid w:val="4B201A81"/>
    <w:rsid w:val="4B214C4F"/>
    <w:rsid w:val="4B223A4B"/>
    <w:rsid w:val="4B224E23"/>
    <w:rsid w:val="4B230849"/>
    <w:rsid w:val="4B235464"/>
    <w:rsid w:val="4B236BD5"/>
    <w:rsid w:val="4B241572"/>
    <w:rsid w:val="4B2450B7"/>
    <w:rsid w:val="4B245A16"/>
    <w:rsid w:val="4B247382"/>
    <w:rsid w:val="4B2477C4"/>
    <w:rsid w:val="4B2546C1"/>
    <w:rsid w:val="4B260CDD"/>
    <w:rsid w:val="4B271062"/>
    <w:rsid w:val="4B2772B4"/>
    <w:rsid w:val="4B28080E"/>
    <w:rsid w:val="4B282AE6"/>
    <w:rsid w:val="4B285430"/>
    <w:rsid w:val="4B2909A3"/>
    <w:rsid w:val="4B293676"/>
    <w:rsid w:val="4B296B88"/>
    <w:rsid w:val="4B2B0311"/>
    <w:rsid w:val="4B2B0B52"/>
    <w:rsid w:val="4B2B14F8"/>
    <w:rsid w:val="4B2B29C4"/>
    <w:rsid w:val="4B2B31AB"/>
    <w:rsid w:val="4B2B5D12"/>
    <w:rsid w:val="4B2B6033"/>
    <w:rsid w:val="4B2B6DA4"/>
    <w:rsid w:val="4B2C4678"/>
    <w:rsid w:val="4B2C48CA"/>
    <w:rsid w:val="4B2C52B0"/>
    <w:rsid w:val="4B2C5595"/>
    <w:rsid w:val="4B2C6678"/>
    <w:rsid w:val="4B2C6C62"/>
    <w:rsid w:val="4B2D09D0"/>
    <w:rsid w:val="4B2D60C0"/>
    <w:rsid w:val="4B2D7671"/>
    <w:rsid w:val="4B2D7E06"/>
    <w:rsid w:val="4B2E0642"/>
    <w:rsid w:val="4B2E0742"/>
    <w:rsid w:val="4B2E23F0"/>
    <w:rsid w:val="4B2E3056"/>
    <w:rsid w:val="4B2E34B9"/>
    <w:rsid w:val="4B2E419E"/>
    <w:rsid w:val="4B2E6D61"/>
    <w:rsid w:val="4B2F0869"/>
    <w:rsid w:val="4B2F19E7"/>
    <w:rsid w:val="4B2F400C"/>
    <w:rsid w:val="4B2F6AF2"/>
    <w:rsid w:val="4B2F7AEE"/>
    <w:rsid w:val="4B3053A6"/>
    <w:rsid w:val="4B306168"/>
    <w:rsid w:val="4B306EA8"/>
    <w:rsid w:val="4B307F16"/>
    <w:rsid w:val="4B3109A2"/>
    <w:rsid w:val="4B310E2D"/>
    <w:rsid w:val="4B314F29"/>
    <w:rsid w:val="4B315A3D"/>
    <w:rsid w:val="4B320132"/>
    <w:rsid w:val="4B321807"/>
    <w:rsid w:val="4B322310"/>
    <w:rsid w:val="4B3317B5"/>
    <w:rsid w:val="4B3325A3"/>
    <w:rsid w:val="4B333913"/>
    <w:rsid w:val="4B3345B1"/>
    <w:rsid w:val="4B33607D"/>
    <w:rsid w:val="4B3417B3"/>
    <w:rsid w:val="4B3418E1"/>
    <w:rsid w:val="4B3419D5"/>
    <w:rsid w:val="4B342AF5"/>
    <w:rsid w:val="4B3519D1"/>
    <w:rsid w:val="4B35377F"/>
    <w:rsid w:val="4B3551F1"/>
    <w:rsid w:val="4B35552D"/>
    <w:rsid w:val="4B355F17"/>
    <w:rsid w:val="4B360B52"/>
    <w:rsid w:val="4B3612A5"/>
    <w:rsid w:val="4B3637F8"/>
    <w:rsid w:val="4B376502"/>
    <w:rsid w:val="4B3774F7"/>
    <w:rsid w:val="4B3817DD"/>
    <w:rsid w:val="4B3833DB"/>
    <w:rsid w:val="4B38501D"/>
    <w:rsid w:val="4B3851FD"/>
    <w:rsid w:val="4B386DCB"/>
    <w:rsid w:val="4B3930F6"/>
    <w:rsid w:val="4B393354"/>
    <w:rsid w:val="4B394F20"/>
    <w:rsid w:val="4B3964CB"/>
    <w:rsid w:val="4B397174"/>
    <w:rsid w:val="4B3977B7"/>
    <w:rsid w:val="4B3A1029"/>
    <w:rsid w:val="4B3A2B43"/>
    <w:rsid w:val="4B3A6FE7"/>
    <w:rsid w:val="4B3B1541"/>
    <w:rsid w:val="4B3B2539"/>
    <w:rsid w:val="4B3B68BB"/>
    <w:rsid w:val="4B3C0EE4"/>
    <w:rsid w:val="4B3C2D5F"/>
    <w:rsid w:val="4B3C4573"/>
    <w:rsid w:val="4B3C4B0D"/>
    <w:rsid w:val="4B3C4D48"/>
    <w:rsid w:val="4B3C5A45"/>
    <w:rsid w:val="4B3C654D"/>
    <w:rsid w:val="4B3D03AA"/>
    <w:rsid w:val="4B3D0885"/>
    <w:rsid w:val="4B3D150E"/>
    <w:rsid w:val="4B3D1C65"/>
    <w:rsid w:val="4B3D2633"/>
    <w:rsid w:val="4B3D4790"/>
    <w:rsid w:val="4B3D74CF"/>
    <w:rsid w:val="4B3E4D70"/>
    <w:rsid w:val="4B3E6269"/>
    <w:rsid w:val="4B3E640A"/>
    <w:rsid w:val="4B3F0159"/>
    <w:rsid w:val="4B3F0FC7"/>
    <w:rsid w:val="4B3F5994"/>
    <w:rsid w:val="4B3F6129"/>
    <w:rsid w:val="4B403C71"/>
    <w:rsid w:val="4B404E9B"/>
    <w:rsid w:val="4B412124"/>
    <w:rsid w:val="4B41331E"/>
    <w:rsid w:val="4B413369"/>
    <w:rsid w:val="4B413ED2"/>
    <w:rsid w:val="4B41513F"/>
    <w:rsid w:val="4B42396E"/>
    <w:rsid w:val="4B423EF4"/>
    <w:rsid w:val="4B4242B2"/>
    <w:rsid w:val="4B425E9C"/>
    <w:rsid w:val="4B4264CF"/>
    <w:rsid w:val="4B427C4A"/>
    <w:rsid w:val="4B43059E"/>
    <w:rsid w:val="4B433196"/>
    <w:rsid w:val="4B4340EE"/>
    <w:rsid w:val="4B434576"/>
    <w:rsid w:val="4B435ECB"/>
    <w:rsid w:val="4B436A33"/>
    <w:rsid w:val="4B4420DB"/>
    <w:rsid w:val="4B4435E9"/>
    <w:rsid w:val="4B447E66"/>
    <w:rsid w:val="4B454349"/>
    <w:rsid w:val="4B462010"/>
    <w:rsid w:val="4B462B47"/>
    <w:rsid w:val="4B464A0E"/>
    <w:rsid w:val="4B46598C"/>
    <w:rsid w:val="4B474D77"/>
    <w:rsid w:val="4B490FD8"/>
    <w:rsid w:val="4B492528"/>
    <w:rsid w:val="4B494ABD"/>
    <w:rsid w:val="4B49547C"/>
    <w:rsid w:val="4B495CC8"/>
    <w:rsid w:val="4B495E1C"/>
    <w:rsid w:val="4B4A5F4D"/>
    <w:rsid w:val="4B4A6500"/>
    <w:rsid w:val="4B4A68DD"/>
    <w:rsid w:val="4B4A6C6B"/>
    <w:rsid w:val="4B4B1FAE"/>
    <w:rsid w:val="4B4B2F68"/>
    <w:rsid w:val="4B4B2FA2"/>
    <w:rsid w:val="4B4C0AC8"/>
    <w:rsid w:val="4B4C1F9E"/>
    <w:rsid w:val="4B4C2D4B"/>
    <w:rsid w:val="4B4D1B11"/>
    <w:rsid w:val="4B4D3A01"/>
    <w:rsid w:val="4B4D6D1A"/>
    <w:rsid w:val="4B4E0382"/>
    <w:rsid w:val="4B4E1E09"/>
    <w:rsid w:val="4B4E4840"/>
    <w:rsid w:val="4B4E65EF"/>
    <w:rsid w:val="4B4F5DFD"/>
    <w:rsid w:val="4B5005B9"/>
    <w:rsid w:val="4B502367"/>
    <w:rsid w:val="4B50324F"/>
    <w:rsid w:val="4B50680B"/>
    <w:rsid w:val="4B513FD4"/>
    <w:rsid w:val="4B516128"/>
    <w:rsid w:val="4B51630B"/>
    <w:rsid w:val="4B516D6D"/>
    <w:rsid w:val="4B517E8D"/>
    <w:rsid w:val="4B522FBB"/>
    <w:rsid w:val="4B52424E"/>
    <w:rsid w:val="4B524A6D"/>
    <w:rsid w:val="4B525068"/>
    <w:rsid w:val="4B530740"/>
    <w:rsid w:val="4B531DB5"/>
    <w:rsid w:val="4B531E57"/>
    <w:rsid w:val="4B534ADE"/>
    <w:rsid w:val="4B536A48"/>
    <w:rsid w:val="4B53769B"/>
    <w:rsid w:val="4B540031"/>
    <w:rsid w:val="4B543B85"/>
    <w:rsid w:val="4B552276"/>
    <w:rsid w:val="4B5538D6"/>
    <w:rsid w:val="4B55511F"/>
    <w:rsid w:val="4B555A1F"/>
    <w:rsid w:val="4B555BCF"/>
    <w:rsid w:val="4B555C31"/>
    <w:rsid w:val="4B556B1D"/>
    <w:rsid w:val="4B55797D"/>
    <w:rsid w:val="4B557D9F"/>
    <w:rsid w:val="4B563269"/>
    <w:rsid w:val="4B563491"/>
    <w:rsid w:val="4B563DF7"/>
    <w:rsid w:val="4B5660E4"/>
    <w:rsid w:val="4B5678B6"/>
    <w:rsid w:val="4B5736F5"/>
    <w:rsid w:val="4B573F6E"/>
    <w:rsid w:val="4B577B99"/>
    <w:rsid w:val="4B58121B"/>
    <w:rsid w:val="4B58190F"/>
    <w:rsid w:val="4B582531"/>
    <w:rsid w:val="4B5829AF"/>
    <w:rsid w:val="4B582A6A"/>
    <w:rsid w:val="4B585BB2"/>
    <w:rsid w:val="4B586BC7"/>
    <w:rsid w:val="4B5901B8"/>
    <w:rsid w:val="4B5903B3"/>
    <w:rsid w:val="4B592AB3"/>
    <w:rsid w:val="4B5960C3"/>
    <w:rsid w:val="4B5A0635"/>
    <w:rsid w:val="4B5A1437"/>
    <w:rsid w:val="4B5A3957"/>
    <w:rsid w:val="4B5B0651"/>
    <w:rsid w:val="4B5B1002"/>
    <w:rsid w:val="4B5B1654"/>
    <w:rsid w:val="4B5B1AA3"/>
    <w:rsid w:val="4B5B3E13"/>
    <w:rsid w:val="4B5B68B0"/>
    <w:rsid w:val="4B5C0D0B"/>
    <w:rsid w:val="4B5C1001"/>
    <w:rsid w:val="4B5C6F5D"/>
    <w:rsid w:val="4B5D1E7C"/>
    <w:rsid w:val="4B5D55F8"/>
    <w:rsid w:val="4B5D6302"/>
    <w:rsid w:val="4B5E0F27"/>
    <w:rsid w:val="4B5E6B6A"/>
    <w:rsid w:val="4B5F07FC"/>
    <w:rsid w:val="4B5F6BFD"/>
    <w:rsid w:val="4B6006D4"/>
    <w:rsid w:val="4B6017C7"/>
    <w:rsid w:val="4B603F19"/>
    <w:rsid w:val="4B60574A"/>
    <w:rsid w:val="4B610176"/>
    <w:rsid w:val="4B6134B0"/>
    <w:rsid w:val="4B614574"/>
    <w:rsid w:val="4B6145DD"/>
    <w:rsid w:val="4B616322"/>
    <w:rsid w:val="4B6202EC"/>
    <w:rsid w:val="4B62206D"/>
    <w:rsid w:val="4B625664"/>
    <w:rsid w:val="4B6329F2"/>
    <w:rsid w:val="4B6350BB"/>
    <w:rsid w:val="4B63541B"/>
    <w:rsid w:val="4B636AF4"/>
    <w:rsid w:val="4B6422B6"/>
    <w:rsid w:val="4B643EDA"/>
    <w:rsid w:val="4B645B84"/>
    <w:rsid w:val="4B645E12"/>
    <w:rsid w:val="4B64600E"/>
    <w:rsid w:val="4B647BC0"/>
    <w:rsid w:val="4B65077D"/>
    <w:rsid w:val="4B655098"/>
    <w:rsid w:val="4B657A4B"/>
    <w:rsid w:val="4B66129A"/>
    <w:rsid w:val="4B661635"/>
    <w:rsid w:val="4B663938"/>
    <w:rsid w:val="4B666F41"/>
    <w:rsid w:val="4B667B1E"/>
    <w:rsid w:val="4B674B1E"/>
    <w:rsid w:val="4B6776B0"/>
    <w:rsid w:val="4B677A04"/>
    <w:rsid w:val="4B6818C5"/>
    <w:rsid w:val="4B681F4E"/>
    <w:rsid w:val="4B682508"/>
    <w:rsid w:val="4B68369B"/>
    <w:rsid w:val="4B683B54"/>
    <w:rsid w:val="4B683E85"/>
    <w:rsid w:val="4B685902"/>
    <w:rsid w:val="4B686BEC"/>
    <w:rsid w:val="4B687542"/>
    <w:rsid w:val="4B690D14"/>
    <w:rsid w:val="4B693835"/>
    <w:rsid w:val="4B6940A7"/>
    <w:rsid w:val="4B69495C"/>
    <w:rsid w:val="4B694A19"/>
    <w:rsid w:val="4B695010"/>
    <w:rsid w:val="4B6978CC"/>
    <w:rsid w:val="4B6A1751"/>
    <w:rsid w:val="4B6A641B"/>
    <w:rsid w:val="4B6B0F4E"/>
    <w:rsid w:val="4B6B2018"/>
    <w:rsid w:val="4B6B3DCC"/>
    <w:rsid w:val="4B6B430A"/>
    <w:rsid w:val="4B6B53F2"/>
    <w:rsid w:val="4B6B563B"/>
    <w:rsid w:val="4B6B600A"/>
    <w:rsid w:val="4B6B6275"/>
    <w:rsid w:val="4B6B71A0"/>
    <w:rsid w:val="4B6C0907"/>
    <w:rsid w:val="4B6C2214"/>
    <w:rsid w:val="4B6C2803"/>
    <w:rsid w:val="4B6C31D3"/>
    <w:rsid w:val="4B6C3245"/>
    <w:rsid w:val="4B6C4D31"/>
    <w:rsid w:val="4B6D2F19"/>
    <w:rsid w:val="4B6D3132"/>
    <w:rsid w:val="4B6D608D"/>
    <w:rsid w:val="4B6E0A3F"/>
    <w:rsid w:val="4B6E58C9"/>
    <w:rsid w:val="4B6E6C91"/>
    <w:rsid w:val="4B6F13A9"/>
    <w:rsid w:val="4B6F4A5C"/>
    <w:rsid w:val="4B70166B"/>
    <w:rsid w:val="4B702A09"/>
    <w:rsid w:val="4B7046FB"/>
    <w:rsid w:val="4B7075A5"/>
    <w:rsid w:val="4B7122DD"/>
    <w:rsid w:val="4B712412"/>
    <w:rsid w:val="4B715F49"/>
    <w:rsid w:val="4B715F8C"/>
    <w:rsid w:val="4B72276A"/>
    <w:rsid w:val="4B7244C7"/>
    <w:rsid w:val="4B7246EA"/>
    <w:rsid w:val="4B7257CF"/>
    <w:rsid w:val="4B72614B"/>
    <w:rsid w:val="4B726781"/>
    <w:rsid w:val="4B727A1F"/>
    <w:rsid w:val="4B727D72"/>
    <w:rsid w:val="4B730627"/>
    <w:rsid w:val="4B7324F9"/>
    <w:rsid w:val="4B735D9D"/>
    <w:rsid w:val="4B7365E9"/>
    <w:rsid w:val="4B7371D5"/>
    <w:rsid w:val="4B7431B1"/>
    <w:rsid w:val="4B744ADE"/>
    <w:rsid w:val="4B75001F"/>
    <w:rsid w:val="4B75083E"/>
    <w:rsid w:val="4B7579FA"/>
    <w:rsid w:val="4B763ADA"/>
    <w:rsid w:val="4B76442C"/>
    <w:rsid w:val="4B76654F"/>
    <w:rsid w:val="4B770DE1"/>
    <w:rsid w:val="4B770E0C"/>
    <w:rsid w:val="4B77165D"/>
    <w:rsid w:val="4B775437"/>
    <w:rsid w:val="4B775B45"/>
    <w:rsid w:val="4B78172A"/>
    <w:rsid w:val="4B781F1E"/>
    <w:rsid w:val="4B785486"/>
    <w:rsid w:val="4B786289"/>
    <w:rsid w:val="4B787B87"/>
    <w:rsid w:val="4B7903A8"/>
    <w:rsid w:val="4B7928D9"/>
    <w:rsid w:val="4B797B0F"/>
    <w:rsid w:val="4B7A0762"/>
    <w:rsid w:val="4B7A31B5"/>
    <w:rsid w:val="4B7A3887"/>
    <w:rsid w:val="4B7A5582"/>
    <w:rsid w:val="4B7B09B5"/>
    <w:rsid w:val="4B7B3206"/>
    <w:rsid w:val="4B7B4D7B"/>
    <w:rsid w:val="4B7B5997"/>
    <w:rsid w:val="4B7B76DB"/>
    <w:rsid w:val="4B7C065B"/>
    <w:rsid w:val="4B7C16BD"/>
    <w:rsid w:val="4B7C2110"/>
    <w:rsid w:val="4B7C2295"/>
    <w:rsid w:val="4B7C3880"/>
    <w:rsid w:val="4B7C4655"/>
    <w:rsid w:val="4B7C7600"/>
    <w:rsid w:val="4B7D0C82"/>
    <w:rsid w:val="4B7D6A62"/>
    <w:rsid w:val="4B7D6A75"/>
    <w:rsid w:val="4B7E0650"/>
    <w:rsid w:val="4B7E4E3D"/>
    <w:rsid w:val="4B7E5126"/>
    <w:rsid w:val="4B7F0E9E"/>
    <w:rsid w:val="4B7F1863"/>
    <w:rsid w:val="4B7F1EE3"/>
    <w:rsid w:val="4B7F2C4C"/>
    <w:rsid w:val="4B7F3761"/>
    <w:rsid w:val="4B805E4A"/>
    <w:rsid w:val="4B807B28"/>
    <w:rsid w:val="4B81057D"/>
    <w:rsid w:val="4B810772"/>
    <w:rsid w:val="4B810BED"/>
    <w:rsid w:val="4B811400"/>
    <w:rsid w:val="4B814B21"/>
    <w:rsid w:val="4B8153B5"/>
    <w:rsid w:val="4B815DCE"/>
    <w:rsid w:val="4B820907"/>
    <w:rsid w:val="4B823FDC"/>
    <w:rsid w:val="4B8244EA"/>
    <w:rsid w:val="4B8247FC"/>
    <w:rsid w:val="4B824C4E"/>
    <w:rsid w:val="4B831BCE"/>
    <w:rsid w:val="4B831DFA"/>
    <w:rsid w:val="4B83510D"/>
    <w:rsid w:val="4B840262"/>
    <w:rsid w:val="4B842010"/>
    <w:rsid w:val="4B842865"/>
    <w:rsid w:val="4B846389"/>
    <w:rsid w:val="4B8534F4"/>
    <w:rsid w:val="4B86222C"/>
    <w:rsid w:val="4B863A31"/>
    <w:rsid w:val="4B864A5F"/>
    <w:rsid w:val="4B865D88"/>
    <w:rsid w:val="4B871683"/>
    <w:rsid w:val="4B871B00"/>
    <w:rsid w:val="4B881E12"/>
    <w:rsid w:val="4B8833C1"/>
    <w:rsid w:val="4B885FA4"/>
    <w:rsid w:val="4B890D87"/>
    <w:rsid w:val="4B895879"/>
    <w:rsid w:val="4B89660E"/>
    <w:rsid w:val="4B897276"/>
    <w:rsid w:val="4B897627"/>
    <w:rsid w:val="4B8A0A31"/>
    <w:rsid w:val="4B8A1D1C"/>
    <w:rsid w:val="4B8A220E"/>
    <w:rsid w:val="4B8A2BD1"/>
    <w:rsid w:val="4B8A47F1"/>
    <w:rsid w:val="4B8A5512"/>
    <w:rsid w:val="4B8A601B"/>
    <w:rsid w:val="4B8A6D7A"/>
    <w:rsid w:val="4B8B00D3"/>
    <w:rsid w:val="4B8B35AB"/>
    <w:rsid w:val="4B8B5DCE"/>
    <w:rsid w:val="4B8B66B6"/>
    <w:rsid w:val="4B8B75AF"/>
    <w:rsid w:val="4B8B7843"/>
    <w:rsid w:val="4B8C3DA5"/>
    <w:rsid w:val="4B8C7FF4"/>
    <w:rsid w:val="4B8D1D61"/>
    <w:rsid w:val="4B8D35BB"/>
    <w:rsid w:val="4B8D45C4"/>
    <w:rsid w:val="4B8D7117"/>
    <w:rsid w:val="4B8E10E1"/>
    <w:rsid w:val="4B8E27B2"/>
    <w:rsid w:val="4B8E2DC1"/>
    <w:rsid w:val="4B8F2936"/>
    <w:rsid w:val="4B8F30BC"/>
    <w:rsid w:val="4B8F33B8"/>
    <w:rsid w:val="4B8F4696"/>
    <w:rsid w:val="4B8F5DC2"/>
    <w:rsid w:val="4B8F7333"/>
    <w:rsid w:val="4B9009B5"/>
    <w:rsid w:val="4B904E59"/>
    <w:rsid w:val="4B9234DA"/>
    <w:rsid w:val="4B9265A7"/>
    <w:rsid w:val="4B9304A5"/>
    <w:rsid w:val="4B9315FB"/>
    <w:rsid w:val="4B932E42"/>
    <w:rsid w:val="4B93707A"/>
    <w:rsid w:val="4B937604"/>
    <w:rsid w:val="4B94223B"/>
    <w:rsid w:val="4B946057"/>
    <w:rsid w:val="4B947063"/>
    <w:rsid w:val="4B9471DB"/>
    <w:rsid w:val="4B95421D"/>
    <w:rsid w:val="4B956425"/>
    <w:rsid w:val="4B956814"/>
    <w:rsid w:val="4B956CE2"/>
    <w:rsid w:val="4B961983"/>
    <w:rsid w:val="4B9619CE"/>
    <w:rsid w:val="4B9656D2"/>
    <w:rsid w:val="4B9667D4"/>
    <w:rsid w:val="4B967555"/>
    <w:rsid w:val="4B970143"/>
    <w:rsid w:val="4B971D44"/>
    <w:rsid w:val="4B972777"/>
    <w:rsid w:val="4B97361A"/>
    <w:rsid w:val="4B97382A"/>
    <w:rsid w:val="4B974FB6"/>
    <w:rsid w:val="4B977F95"/>
    <w:rsid w:val="4B9802A7"/>
    <w:rsid w:val="4B9805BA"/>
    <w:rsid w:val="4B981FF6"/>
    <w:rsid w:val="4B985ABC"/>
    <w:rsid w:val="4B991A45"/>
    <w:rsid w:val="4B99587D"/>
    <w:rsid w:val="4B99630A"/>
    <w:rsid w:val="4B996669"/>
    <w:rsid w:val="4B99706E"/>
    <w:rsid w:val="4B9A1834"/>
    <w:rsid w:val="4B9A49BE"/>
    <w:rsid w:val="4B9A5CD8"/>
    <w:rsid w:val="4B9A7A86"/>
    <w:rsid w:val="4B9B132B"/>
    <w:rsid w:val="4B9B3266"/>
    <w:rsid w:val="4B9B7A7B"/>
    <w:rsid w:val="4B9C03C6"/>
    <w:rsid w:val="4B9C1B1E"/>
    <w:rsid w:val="4B9C37FE"/>
    <w:rsid w:val="4B9C472D"/>
    <w:rsid w:val="4B9C55AC"/>
    <w:rsid w:val="4B9D4CD4"/>
    <w:rsid w:val="4B9D52B8"/>
    <w:rsid w:val="4B9D5AAD"/>
    <w:rsid w:val="4B9E5B8A"/>
    <w:rsid w:val="4B9E6F77"/>
    <w:rsid w:val="4B9E74A5"/>
    <w:rsid w:val="4B9E7576"/>
    <w:rsid w:val="4B9F272A"/>
    <w:rsid w:val="4B9F509C"/>
    <w:rsid w:val="4B9F58B7"/>
    <w:rsid w:val="4B9F599A"/>
    <w:rsid w:val="4B9F640E"/>
    <w:rsid w:val="4BA001D7"/>
    <w:rsid w:val="4BA05606"/>
    <w:rsid w:val="4BA06591"/>
    <w:rsid w:val="4BA12BC2"/>
    <w:rsid w:val="4BA17B3C"/>
    <w:rsid w:val="4BA20BEE"/>
    <w:rsid w:val="4BA20E50"/>
    <w:rsid w:val="4BA2151B"/>
    <w:rsid w:val="4BA22AF7"/>
    <w:rsid w:val="4BA25610"/>
    <w:rsid w:val="4BA25971"/>
    <w:rsid w:val="4BA26273"/>
    <w:rsid w:val="4BA31E01"/>
    <w:rsid w:val="4BA338BD"/>
    <w:rsid w:val="4BA33C6C"/>
    <w:rsid w:val="4BA33E21"/>
    <w:rsid w:val="4BA33FD7"/>
    <w:rsid w:val="4BA34B8C"/>
    <w:rsid w:val="4BA35160"/>
    <w:rsid w:val="4BA353E1"/>
    <w:rsid w:val="4BA35FDF"/>
    <w:rsid w:val="4BA3693A"/>
    <w:rsid w:val="4BA36D26"/>
    <w:rsid w:val="4BA40904"/>
    <w:rsid w:val="4BA41BC2"/>
    <w:rsid w:val="4BA44460"/>
    <w:rsid w:val="4BA45417"/>
    <w:rsid w:val="4BA50FFB"/>
    <w:rsid w:val="4BA516AB"/>
    <w:rsid w:val="4BA52BB9"/>
    <w:rsid w:val="4BA57037"/>
    <w:rsid w:val="4BA5770F"/>
    <w:rsid w:val="4BA61478"/>
    <w:rsid w:val="4BA6467C"/>
    <w:rsid w:val="4BA66BBD"/>
    <w:rsid w:val="4BA70820"/>
    <w:rsid w:val="4BA80223"/>
    <w:rsid w:val="4BA803F5"/>
    <w:rsid w:val="4BA821A3"/>
    <w:rsid w:val="4BA84D9C"/>
    <w:rsid w:val="4BA91A77"/>
    <w:rsid w:val="4BA9556E"/>
    <w:rsid w:val="4BAA1473"/>
    <w:rsid w:val="4BAA3440"/>
    <w:rsid w:val="4BAA6E4F"/>
    <w:rsid w:val="4BAB1C93"/>
    <w:rsid w:val="4BAB260D"/>
    <w:rsid w:val="4BAB328E"/>
    <w:rsid w:val="4BAB3A41"/>
    <w:rsid w:val="4BAB3B2E"/>
    <w:rsid w:val="4BAB57EF"/>
    <w:rsid w:val="4BAC2AD9"/>
    <w:rsid w:val="4BAC2FDD"/>
    <w:rsid w:val="4BAC616D"/>
    <w:rsid w:val="4BAC70A2"/>
    <w:rsid w:val="4BAC75C9"/>
    <w:rsid w:val="4BAC7822"/>
    <w:rsid w:val="4BAD40ED"/>
    <w:rsid w:val="4BAD77B9"/>
    <w:rsid w:val="4BAD7C0A"/>
    <w:rsid w:val="4BAD7DD0"/>
    <w:rsid w:val="4BAE0D51"/>
    <w:rsid w:val="4BAE7BD6"/>
    <w:rsid w:val="4BAE7CFA"/>
    <w:rsid w:val="4BAF0833"/>
    <w:rsid w:val="4BAF1783"/>
    <w:rsid w:val="4BAF1DC3"/>
    <w:rsid w:val="4BAF685D"/>
    <w:rsid w:val="4BB01057"/>
    <w:rsid w:val="4BB02862"/>
    <w:rsid w:val="4BB04D4F"/>
    <w:rsid w:val="4BB0569D"/>
    <w:rsid w:val="4BB0671C"/>
    <w:rsid w:val="4BB06DF6"/>
    <w:rsid w:val="4BB07C37"/>
    <w:rsid w:val="4BB1065E"/>
    <w:rsid w:val="4BB10C02"/>
    <w:rsid w:val="4BB10CEF"/>
    <w:rsid w:val="4BB1658B"/>
    <w:rsid w:val="4BB17561"/>
    <w:rsid w:val="4BB17792"/>
    <w:rsid w:val="4BB21549"/>
    <w:rsid w:val="4BB23021"/>
    <w:rsid w:val="4BB24DCF"/>
    <w:rsid w:val="4BB26B7D"/>
    <w:rsid w:val="4BB30BCB"/>
    <w:rsid w:val="4BB328A0"/>
    <w:rsid w:val="4BB36558"/>
    <w:rsid w:val="4BB37FA4"/>
    <w:rsid w:val="4BB40B47"/>
    <w:rsid w:val="4BB43174"/>
    <w:rsid w:val="4BB4664D"/>
    <w:rsid w:val="4BB46D99"/>
    <w:rsid w:val="4BB55AD1"/>
    <w:rsid w:val="4BB5639C"/>
    <w:rsid w:val="4BB60C79"/>
    <w:rsid w:val="4BB6323D"/>
    <w:rsid w:val="4BB70638"/>
    <w:rsid w:val="4BB74194"/>
    <w:rsid w:val="4BB77248"/>
    <w:rsid w:val="4BB816B0"/>
    <w:rsid w:val="4BB8760F"/>
    <w:rsid w:val="4BB87D59"/>
    <w:rsid w:val="4BB9168C"/>
    <w:rsid w:val="4BB920D8"/>
    <w:rsid w:val="4BB92D86"/>
    <w:rsid w:val="4BB943B0"/>
    <w:rsid w:val="4BB963DC"/>
    <w:rsid w:val="4BBA0128"/>
    <w:rsid w:val="4BBA1ED6"/>
    <w:rsid w:val="4BBB2D1B"/>
    <w:rsid w:val="4BBB3519"/>
    <w:rsid w:val="4BBB4DDF"/>
    <w:rsid w:val="4BBB7188"/>
    <w:rsid w:val="4BBC17AA"/>
    <w:rsid w:val="4BBC4EA3"/>
    <w:rsid w:val="4BBC534D"/>
    <w:rsid w:val="4BBC6033"/>
    <w:rsid w:val="4BBC6B59"/>
    <w:rsid w:val="4BBC7C82"/>
    <w:rsid w:val="4BBD0341"/>
    <w:rsid w:val="4BBD5048"/>
    <w:rsid w:val="4BBD5522"/>
    <w:rsid w:val="4BBD566F"/>
    <w:rsid w:val="4BBE19C6"/>
    <w:rsid w:val="4BBE2F21"/>
    <w:rsid w:val="4BBF129A"/>
    <w:rsid w:val="4BBF1631"/>
    <w:rsid w:val="4BBF181D"/>
    <w:rsid w:val="4BBF1D08"/>
    <w:rsid w:val="4BBF74EC"/>
    <w:rsid w:val="4BBF76CF"/>
    <w:rsid w:val="4BC00642"/>
    <w:rsid w:val="4BC0573E"/>
    <w:rsid w:val="4BC058B5"/>
    <w:rsid w:val="4BC10C51"/>
    <w:rsid w:val="4BC10EAB"/>
    <w:rsid w:val="4BC11FD2"/>
    <w:rsid w:val="4BC13745"/>
    <w:rsid w:val="4BC175EF"/>
    <w:rsid w:val="4BC21B47"/>
    <w:rsid w:val="4BC27510"/>
    <w:rsid w:val="4BC27DA1"/>
    <w:rsid w:val="4BC32B39"/>
    <w:rsid w:val="4BC372BD"/>
    <w:rsid w:val="4BC4572A"/>
    <w:rsid w:val="4BC46B49"/>
    <w:rsid w:val="4BC47F9E"/>
    <w:rsid w:val="4BC52370"/>
    <w:rsid w:val="4BC55E91"/>
    <w:rsid w:val="4BC572F1"/>
    <w:rsid w:val="4BC575D2"/>
    <w:rsid w:val="4BC6087B"/>
    <w:rsid w:val="4BC66286"/>
    <w:rsid w:val="4BC66ACD"/>
    <w:rsid w:val="4BC709CA"/>
    <w:rsid w:val="4BC72032"/>
    <w:rsid w:val="4BC73382"/>
    <w:rsid w:val="4BC83750"/>
    <w:rsid w:val="4BC845F3"/>
    <w:rsid w:val="4BC84812"/>
    <w:rsid w:val="4BC85F53"/>
    <w:rsid w:val="4BC92809"/>
    <w:rsid w:val="4BC973E3"/>
    <w:rsid w:val="4BCA3DC6"/>
    <w:rsid w:val="4BCB40E3"/>
    <w:rsid w:val="4BCC3193"/>
    <w:rsid w:val="4BCC52C8"/>
    <w:rsid w:val="4BCC5887"/>
    <w:rsid w:val="4BCD033E"/>
    <w:rsid w:val="4BCD19DE"/>
    <w:rsid w:val="4BCD1C09"/>
    <w:rsid w:val="4BCD2C86"/>
    <w:rsid w:val="4BCD39B7"/>
    <w:rsid w:val="4BCD427D"/>
    <w:rsid w:val="4BCD7E5B"/>
    <w:rsid w:val="4BCD7F7C"/>
    <w:rsid w:val="4BCF2EE2"/>
    <w:rsid w:val="4BCF33CF"/>
    <w:rsid w:val="4BCF365D"/>
    <w:rsid w:val="4BCF5466"/>
    <w:rsid w:val="4BCF6FE8"/>
    <w:rsid w:val="4BD008C5"/>
    <w:rsid w:val="4BD016F9"/>
    <w:rsid w:val="4BD02D97"/>
    <w:rsid w:val="4BD05255"/>
    <w:rsid w:val="4BD0631F"/>
    <w:rsid w:val="4BD11AC4"/>
    <w:rsid w:val="4BD14BE0"/>
    <w:rsid w:val="4BD20FCE"/>
    <w:rsid w:val="4BD21BD6"/>
    <w:rsid w:val="4BD226E3"/>
    <w:rsid w:val="4BD230FB"/>
    <w:rsid w:val="4BD23AE2"/>
    <w:rsid w:val="4BD25059"/>
    <w:rsid w:val="4BD25472"/>
    <w:rsid w:val="4BD26251"/>
    <w:rsid w:val="4BD27220"/>
    <w:rsid w:val="4BD27AF5"/>
    <w:rsid w:val="4BD27E10"/>
    <w:rsid w:val="4BD316DE"/>
    <w:rsid w:val="4BD335E5"/>
    <w:rsid w:val="4BD35C6C"/>
    <w:rsid w:val="4BD40E87"/>
    <w:rsid w:val="4BD411EA"/>
    <w:rsid w:val="4BD42F98"/>
    <w:rsid w:val="4BD43EA6"/>
    <w:rsid w:val="4BD44D46"/>
    <w:rsid w:val="4BD45503"/>
    <w:rsid w:val="4BD45936"/>
    <w:rsid w:val="4BD47C51"/>
    <w:rsid w:val="4BD50ABE"/>
    <w:rsid w:val="4BD50F5B"/>
    <w:rsid w:val="4BD5286C"/>
    <w:rsid w:val="4BD53AF1"/>
    <w:rsid w:val="4BD53CF4"/>
    <w:rsid w:val="4BD53E33"/>
    <w:rsid w:val="4BD54D02"/>
    <w:rsid w:val="4BD55986"/>
    <w:rsid w:val="4BD61E2A"/>
    <w:rsid w:val="4BD61E34"/>
    <w:rsid w:val="4BD63093"/>
    <w:rsid w:val="4BD65B82"/>
    <w:rsid w:val="4BD66E16"/>
    <w:rsid w:val="4BD72A88"/>
    <w:rsid w:val="4BD74264"/>
    <w:rsid w:val="4BD7436D"/>
    <w:rsid w:val="4BD76DED"/>
    <w:rsid w:val="4BD77539"/>
    <w:rsid w:val="4BD9264C"/>
    <w:rsid w:val="4BD95797"/>
    <w:rsid w:val="4BD96800"/>
    <w:rsid w:val="4BDA28C9"/>
    <w:rsid w:val="4BDA5C54"/>
    <w:rsid w:val="4BDA66F1"/>
    <w:rsid w:val="4BDA717D"/>
    <w:rsid w:val="4BDA76A8"/>
    <w:rsid w:val="4BDB2578"/>
    <w:rsid w:val="4BDC009E"/>
    <w:rsid w:val="4BDC048A"/>
    <w:rsid w:val="4BDC1E4C"/>
    <w:rsid w:val="4BDC3BFA"/>
    <w:rsid w:val="4BDC3C83"/>
    <w:rsid w:val="4BDC5482"/>
    <w:rsid w:val="4BDC5859"/>
    <w:rsid w:val="4BDC646C"/>
    <w:rsid w:val="4BDC698D"/>
    <w:rsid w:val="4BDC6E03"/>
    <w:rsid w:val="4BDD0278"/>
    <w:rsid w:val="4BDD0CDA"/>
    <w:rsid w:val="4BDD2A7E"/>
    <w:rsid w:val="4BDD397C"/>
    <w:rsid w:val="4BDD6CE9"/>
    <w:rsid w:val="4BDD77D4"/>
    <w:rsid w:val="4BDE3E16"/>
    <w:rsid w:val="4BDE4C41"/>
    <w:rsid w:val="4BDE6EBA"/>
    <w:rsid w:val="4BDE78C6"/>
    <w:rsid w:val="4BDE7972"/>
    <w:rsid w:val="4BDF022B"/>
    <w:rsid w:val="4BDF193C"/>
    <w:rsid w:val="4BDF1993"/>
    <w:rsid w:val="4BDF36EB"/>
    <w:rsid w:val="4BDF5520"/>
    <w:rsid w:val="4BDF7B07"/>
    <w:rsid w:val="4BE004D8"/>
    <w:rsid w:val="4BE02779"/>
    <w:rsid w:val="4BE03AA4"/>
    <w:rsid w:val="4BE07B8E"/>
    <w:rsid w:val="4BE1138C"/>
    <w:rsid w:val="4BE13F29"/>
    <w:rsid w:val="4BE156B5"/>
    <w:rsid w:val="4BE17463"/>
    <w:rsid w:val="4BE24279"/>
    <w:rsid w:val="4BE34F89"/>
    <w:rsid w:val="4BE37D35"/>
    <w:rsid w:val="4BE40D01"/>
    <w:rsid w:val="4BE4638E"/>
    <w:rsid w:val="4BE52602"/>
    <w:rsid w:val="4BE551A5"/>
    <w:rsid w:val="4BE56F53"/>
    <w:rsid w:val="4BE57528"/>
    <w:rsid w:val="4BE62CCB"/>
    <w:rsid w:val="4BE64A79"/>
    <w:rsid w:val="4BE658C8"/>
    <w:rsid w:val="4BE713EC"/>
    <w:rsid w:val="4BE7296C"/>
    <w:rsid w:val="4BE77F2F"/>
    <w:rsid w:val="4BE807F1"/>
    <w:rsid w:val="4BE8122B"/>
    <w:rsid w:val="4BE8259F"/>
    <w:rsid w:val="4BE859C8"/>
    <w:rsid w:val="4BE90B7B"/>
    <w:rsid w:val="4BE92E7A"/>
    <w:rsid w:val="4BE9413D"/>
    <w:rsid w:val="4BE96317"/>
    <w:rsid w:val="4BE97493"/>
    <w:rsid w:val="4BE97546"/>
    <w:rsid w:val="4BEA1BAB"/>
    <w:rsid w:val="4BEA4569"/>
    <w:rsid w:val="4BEA5993"/>
    <w:rsid w:val="4BEA6C9B"/>
    <w:rsid w:val="4BEB02E1"/>
    <w:rsid w:val="4BEB10FF"/>
    <w:rsid w:val="4BEB18B5"/>
    <w:rsid w:val="4BEB208F"/>
    <w:rsid w:val="4BEB2956"/>
    <w:rsid w:val="4BEB779B"/>
    <w:rsid w:val="4BEB7BEA"/>
    <w:rsid w:val="4BEC220B"/>
    <w:rsid w:val="4BEC606F"/>
    <w:rsid w:val="4BEC745B"/>
    <w:rsid w:val="4BED06BE"/>
    <w:rsid w:val="4BED0980"/>
    <w:rsid w:val="4BED1542"/>
    <w:rsid w:val="4BED22AB"/>
    <w:rsid w:val="4BED4CFB"/>
    <w:rsid w:val="4BED5E07"/>
    <w:rsid w:val="4BED67DE"/>
    <w:rsid w:val="4BED6976"/>
    <w:rsid w:val="4BEE148C"/>
    <w:rsid w:val="4BEE33F0"/>
    <w:rsid w:val="4BEE5628"/>
    <w:rsid w:val="4BEF0361"/>
    <w:rsid w:val="4BEF1B80"/>
    <w:rsid w:val="4BEF39E7"/>
    <w:rsid w:val="4BEF4536"/>
    <w:rsid w:val="4BEF708B"/>
    <w:rsid w:val="4BEF7513"/>
    <w:rsid w:val="4BEF7DD1"/>
    <w:rsid w:val="4BF017C2"/>
    <w:rsid w:val="4BF03B4A"/>
    <w:rsid w:val="4BF0463F"/>
    <w:rsid w:val="4BF04740"/>
    <w:rsid w:val="4BF04BBC"/>
    <w:rsid w:val="4BF0515F"/>
    <w:rsid w:val="4BF076A6"/>
    <w:rsid w:val="4BF16014"/>
    <w:rsid w:val="4BF2341E"/>
    <w:rsid w:val="4BF40E3E"/>
    <w:rsid w:val="4BF42973"/>
    <w:rsid w:val="4BF4384A"/>
    <w:rsid w:val="4BF43ADF"/>
    <w:rsid w:val="4BF44575"/>
    <w:rsid w:val="4BF44FCD"/>
    <w:rsid w:val="4BF45169"/>
    <w:rsid w:val="4BF47196"/>
    <w:rsid w:val="4BF50590"/>
    <w:rsid w:val="4BF51480"/>
    <w:rsid w:val="4BF52F0E"/>
    <w:rsid w:val="4BF56323"/>
    <w:rsid w:val="4BF61160"/>
    <w:rsid w:val="4BF623B7"/>
    <w:rsid w:val="4BF65FD5"/>
    <w:rsid w:val="4BF74ED8"/>
    <w:rsid w:val="4BF77A2F"/>
    <w:rsid w:val="4BF83930"/>
    <w:rsid w:val="4BF83AF4"/>
    <w:rsid w:val="4BF85586"/>
    <w:rsid w:val="4BF87BB7"/>
    <w:rsid w:val="4BF90C50"/>
    <w:rsid w:val="4BF91957"/>
    <w:rsid w:val="4BF93AFD"/>
    <w:rsid w:val="4BF947AC"/>
    <w:rsid w:val="4BF94EC9"/>
    <w:rsid w:val="4BF96D96"/>
    <w:rsid w:val="4BFA22D2"/>
    <w:rsid w:val="4BFA2652"/>
    <w:rsid w:val="4BFA2B9A"/>
    <w:rsid w:val="4BFA4AFE"/>
    <w:rsid w:val="4BFA4E64"/>
    <w:rsid w:val="4BFB06F7"/>
    <w:rsid w:val="4BFB1FB6"/>
    <w:rsid w:val="4BFB719A"/>
    <w:rsid w:val="4BFC1BC4"/>
    <w:rsid w:val="4BFC24EE"/>
    <w:rsid w:val="4BFC429C"/>
    <w:rsid w:val="4BFD1170"/>
    <w:rsid w:val="4BFD23B0"/>
    <w:rsid w:val="4BFD43B6"/>
    <w:rsid w:val="4BFD4B91"/>
    <w:rsid w:val="4BFD795B"/>
    <w:rsid w:val="4BFE0015"/>
    <w:rsid w:val="4BFE1166"/>
    <w:rsid w:val="4BFE1DC3"/>
    <w:rsid w:val="4BFE21BB"/>
    <w:rsid w:val="4BFE34BB"/>
    <w:rsid w:val="4BFE747A"/>
    <w:rsid w:val="4BFE7D23"/>
    <w:rsid w:val="4BFF06FD"/>
    <w:rsid w:val="4BFF5F7D"/>
    <w:rsid w:val="4BFF74B1"/>
    <w:rsid w:val="4C001FDF"/>
    <w:rsid w:val="4C0118B3"/>
    <w:rsid w:val="4C012406"/>
    <w:rsid w:val="4C013661"/>
    <w:rsid w:val="4C013E8C"/>
    <w:rsid w:val="4C015541"/>
    <w:rsid w:val="4C017B05"/>
    <w:rsid w:val="4C0219BD"/>
    <w:rsid w:val="4C022E1B"/>
    <w:rsid w:val="4C0233B4"/>
    <w:rsid w:val="4C026B03"/>
    <w:rsid w:val="4C027573"/>
    <w:rsid w:val="4C033D8E"/>
    <w:rsid w:val="4C034C4A"/>
    <w:rsid w:val="4C0413EE"/>
    <w:rsid w:val="4C044F95"/>
    <w:rsid w:val="4C050108"/>
    <w:rsid w:val="4C054A64"/>
    <w:rsid w:val="4C055307"/>
    <w:rsid w:val="4C057D54"/>
    <w:rsid w:val="4C065263"/>
    <w:rsid w:val="4C07448F"/>
    <w:rsid w:val="4C077FD8"/>
    <w:rsid w:val="4C080E93"/>
    <w:rsid w:val="4C08120F"/>
    <w:rsid w:val="4C082C41"/>
    <w:rsid w:val="4C084778"/>
    <w:rsid w:val="4C0849EF"/>
    <w:rsid w:val="4C0856E3"/>
    <w:rsid w:val="4C0942CD"/>
    <w:rsid w:val="4C0944BD"/>
    <w:rsid w:val="4C095521"/>
    <w:rsid w:val="4C0A0767"/>
    <w:rsid w:val="4C0A2450"/>
    <w:rsid w:val="4C0A2D87"/>
    <w:rsid w:val="4C0A3B6D"/>
    <w:rsid w:val="4C0A4C0B"/>
    <w:rsid w:val="4C0A4F8C"/>
    <w:rsid w:val="4C0A512E"/>
    <w:rsid w:val="4C0A5ECD"/>
    <w:rsid w:val="4C0A61DA"/>
    <w:rsid w:val="4C0A69B9"/>
    <w:rsid w:val="4C0B148B"/>
    <w:rsid w:val="4C0B1D66"/>
    <w:rsid w:val="4C0B2731"/>
    <w:rsid w:val="4C0B5A33"/>
    <w:rsid w:val="4C0C31F6"/>
    <w:rsid w:val="4C0C624B"/>
    <w:rsid w:val="4C0C702F"/>
    <w:rsid w:val="4C0C733C"/>
    <w:rsid w:val="4C0D0258"/>
    <w:rsid w:val="4C0D2006"/>
    <w:rsid w:val="4C0D46FC"/>
    <w:rsid w:val="4C0D5E47"/>
    <w:rsid w:val="4C0D64AA"/>
    <w:rsid w:val="4C0E2023"/>
    <w:rsid w:val="4C0E4552"/>
    <w:rsid w:val="4C0E66FC"/>
    <w:rsid w:val="4C0F075E"/>
    <w:rsid w:val="4C0F08C4"/>
    <w:rsid w:val="4C0F6FA6"/>
    <w:rsid w:val="4C100483"/>
    <w:rsid w:val="4C101AF6"/>
    <w:rsid w:val="4C1028D9"/>
    <w:rsid w:val="4C1073E8"/>
    <w:rsid w:val="4C1075B8"/>
    <w:rsid w:val="4C107D48"/>
    <w:rsid w:val="4C1108B8"/>
    <w:rsid w:val="4C115F9A"/>
    <w:rsid w:val="4C12514E"/>
    <w:rsid w:val="4C12586E"/>
    <w:rsid w:val="4C127068"/>
    <w:rsid w:val="4C130C92"/>
    <w:rsid w:val="4C135846"/>
    <w:rsid w:val="4C136DB7"/>
    <w:rsid w:val="4C1415E6"/>
    <w:rsid w:val="4C141675"/>
    <w:rsid w:val="4C143394"/>
    <w:rsid w:val="4C143420"/>
    <w:rsid w:val="4C144F84"/>
    <w:rsid w:val="4C147838"/>
    <w:rsid w:val="4C153B88"/>
    <w:rsid w:val="4C154F37"/>
    <w:rsid w:val="4C15535E"/>
    <w:rsid w:val="4C155FA9"/>
    <w:rsid w:val="4C162B75"/>
    <w:rsid w:val="4C1635B0"/>
    <w:rsid w:val="4C16799F"/>
    <w:rsid w:val="4C1710D6"/>
    <w:rsid w:val="4C172E84"/>
    <w:rsid w:val="4C175738"/>
    <w:rsid w:val="4C1772C8"/>
    <w:rsid w:val="4C177328"/>
    <w:rsid w:val="4C177634"/>
    <w:rsid w:val="4C1825A3"/>
    <w:rsid w:val="4C184C85"/>
    <w:rsid w:val="4C190D7E"/>
    <w:rsid w:val="4C191A9D"/>
    <w:rsid w:val="4C192C29"/>
    <w:rsid w:val="4C1930A0"/>
    <w:rsid w:val="4C196BFC"/>
    <w:rsid w:val="4C197C49"/>
    <w:rsid w:val="4C1A0DCB"/>
    <w:rsid w:val="4C1A2A9C"/>
    <w:rsid w:val="4C1A4894"/>
    <w:rsid w:val="4C1B0BC7"/>
    <w:rsid w:val="4C1B21D1"/>
    <w:rsid w:val="4C1B7BC9"/>
    <w:rsid w:val="4C1C049B"/>
    <w:rsid w:val="4C1D7A34"/>
    <w:rsid w:val="4C1E06B7"/>
    <w:rsid w:val="4C1E2465"/>
    <w:rsid w:val="4C1E4213"/>
    <w:rsid w:val="4C1E576F"/>
    <w:rsid w:val="4C1E6A21"/>
    <w:rsid w:val="4C1E71F0"/>
    <w:rsid w:val="4C1F1532"/>
    <w:rsid w:val="4C1F5F2B"/>
    <w:rsid w:val="4C200EC1"/>
    <w:rsid w:val="4C2061DD"/>
    <w:rsid w:val="4C206B2A"/>
    <w:rsid w:val="4C207F8B"/>
    <w:rsid w:val="4C210A0C"/>
    <w:rsid w:val="4C211C2E"/>
    <w:rsid w:val="4C211F55"/>
    <w:rsid w:val="4C2133D8"/>
    <w:rsid w:val="4C2147CA"/>
    <w:rsid w:val="4C223D54"/>
    <w:rsid w:val="4C231829"/>
    <w:rsid w:val="4C234CC7"/>
    <w:rsid w:val="4C235CCD"/>
    <w:rsid w:val="4C237994"/>
    <w:rsid w:val="4C244061"/>
    <w:rsid w:val="4C247D3C"/>
    <w:rsid w:val="4C250E46"/>
    <w:rsid w:val="4C251E11"/>
    <w:rsid w:val="4C2537F3"/>
    <w:rsid w:val="4C26141C"/>
    <w:rsid w:val="4C26270B"/>
    <w:rsid w:val="4C265489"/>
    <w:rsid w:val="4C266AF1"/>
    <w:rsid w:val="4C266BD9"/>
    <w:rsid w:val="4C272A9A"/>
    <w:rsid w:val="4C2757BD"/>
    <w:rsid w:val="4C2769DC"/>
    <w:rsid w:val="4C283A21"/>
    <w:rsid w:val="4C28562C"/>
    <w:rsid w:val="4C2866BD"/>
    <w:rsid w:val="4C290139"/>
    <w:rsid w:val="4C297B8A"/>
    <w:rsid w:val="4C2A0E0A"/>
    <w:rsid w:val="4C2A705C"/>
    <w:rsid w:val="4C2B126A"/>
    <w:rsid w:val="4C2B3D25"/>
    <w:rsid w:val="4C2B6930"/>
    <w:rsid w:val="4C2C1933"/>
    <w:rsid w:val="4C2C2DD4"/>
    <w:rsid w:val="4C2C47D5"/>
    <w:rsid w:val="4C2C49E3"/>
    <w:rsid w:val="4C2C4B82"/>
    <w:rsid w:val="4C2D08FA"/>
    <w:rsid w:val="4C2D26A8"/>
    <w:rsid w:val="4C2D40EB"/>
    <w:rsid w:val="4C2E3605"/>
    <w:rsid w:val="4C2E44EF"/>
    <w:rsid w:val="4C2E5100"/>
    <w:rsid w:val="4C2E6F9F"/>
    <w:rsid w:val="4C2F01CE"/>
    <w:rsid w:val="4C2F2D5F"/>
    <w:rsid w:val="4C2F6420"/>
    <w:rsid w:val="4C3025F1"/>
    <w:rsid w:val="4C304843"/>
    <w:rsid w:val="4C304D42"/>
    <w:rsid w:val="4C3103EA"/>
    <w:rsid w:val="4C310EB0"/>
    <w:rsid w:val="4C316415"/>
    <w:rsid w:val="4C324162"/>
    <w:rsid w:val="4C324F11"/>
    <w:rsid w:val="4C331A82"/>
    <w:rsid w:val="4C3327E4"/>
    <w:rsid w:val="4C3337D0"/>
    <w:rsid w:val="4C336C95"/>
    <w:rsid w:val="4C341C88"/>
    <w:rsid w:val="4C3439F7"/>
    <w:rsid w:val="4C343A36"/>
    <w:rsid w:val="4C346898"/>
    <w:rsid w:val="4C347D2A"/>
    <w:rsid w:val="4C350CC1"/>
    <w:rsid w:val="4C35155C"/>
    <w:rsid w:val="4C354E3A"/>
    <w:rsid w:val="4C3557F9"/>
    <w:rsid w:val="4C355E51"/>
    <w:rsid w:val="4C35762B"/>
    <w:rsid w:val="4C3677AE"/>
    <w:rsid w:val="4C371461"/>
    <w:rsid w:val="4C371778"/>
    <w:rsid w:val="4C371E9A"/>
    <w:rsid w:val="4C3724CF"/>
    <w:rsid w:val="4C372ADC"/>
    <w:rsid w:val="4C373527"/>
    <w:rsid w:val="4C374D22"/>
    <w:rsid w:val="4C3752D5"/>
    <w:rsid w:val="4C3816A5"/>
    <w:rsid w:val="4C382DE6"/>
    <w:rsid w:val="4C3870A4"/>
    <w:rsid w:val="4C390133"/>
    <w:rsid w:val="4C39104D"/>
    <w:rsid w:val="4C392DFB"/>
    <w:rsid w:val="4C39712A"/>
    <w:rsid w:val="4C39729F"/>
    <w:rsid w:val="4C3A4879"/>
    <w:rsid w:val="4C3B072E"/>
    <w:rsid w:val="4C3B351B"/>
    <w:rsid w:val="4C3B4B33"/>
    <w:rsid w:val="4C3B4DC5"/>
    <w:rsid w:val="4C3B73BC"/>
    <w:rsid w:val="4C3C0B3D"/>
    <w:rsid w:val="4C3C0B94"/>
    <w:rsid w:val="4C3C1CFE"/>
    <w:rsid w:val="4C3C5B7B"/>
    <w:rsid w:val="4C3D0D92"/>
    <w:rsid w:val="4C3D14F9"/>
    <w:rsid w:val="4C3D6719"/>
    <w:rsid w:val="4C3E110E"/>
    <w:rsid w:val="4C3E35E1"/>
    <w:rsid w:val="4C3E48B5"/>
    <w:rsid w:val="4C3F0F25"/>
    <w:rsid w:val="4C3F1876"/>
    <w:rsid w:val="4C3F3771"/>
    <w:rsid w:val="4C3F487E"/>
    <w:rsid w:val="4C3F4E73"/>
    <w:rsid w:val="4C3F7A0E"/>
    <w:rsid w:val="4C400396"/>
    <w:rsid w:val="4C400C9B"/>
    <w:rsid w:val="4C4023DB"/>
    <w:rsid w:val="4C402839"/>
    <w:rsid w:val="4C404189"/>
    <w:rsid w:val="4C406423"/>
    <w:rsid w:val="4C41054B"/>
    <w:rsid w:val="4C4112B8"/>
    <w:rsid w:val="4C413703"/>
    <w:rsid w:val="4C415B62"/>
    <w:rsid w:val="4C417136"/>
    <w:rsid w:val="4C417F01"/>
    <w:rsid w:val="4C421AF5"/>
    <w:rsid w:val="4C427CB1"/>
    <w:rsid w:val="4C43011D"/>
    <w:rsid w:val="4C4326D0"/>
    <w:rsid w:val="4C433C79"/>
    <w:rsid w:val="4C434755"/>
    <w:rsid w:val="4C441337"/>
    <w:rsid w:val="4C450FD2"/>
    <w:rsid w:val="4C454C01"/>
    <w:rsid w:val="4C456676"/>
    <w:rsid w:val="4C4579F1"/>
    <w:rsid w:val="4C461C46"/>
    <w:rsid w:val="4C46376A"/>
    <w:rsid w:val="4C466449"/>
    <w:rsid w:val="4C46701E"/>
    <w:rsid w:val="4C470539"/>
    <w:rsid w:val="4C470FFB"/>
    <w:rsid w:val="4C4719BC"/>
    <w:rsid w:val="4C473504"/>
    <w:rsid w:val="4C473587"/>
    <w:rsid w:val="4C473F64"/>
    <w:rsid w:val="4C4754B3"/>
    <w:rsid w:val="4C480036"/>
    <w:rsid w:val="4C481290"/>
    <w:rsid w:val="4C4850B0"/>
    <w:rsid w:val="4C4867AA"/>
    <w:rsid w:val="4C492A33"/>
    <w:rsid w:val="4C497552"/>
    <w:rsid w:val="4C4A14AC"/>
    <w:rsid w:val="4C4A2855"/>
    <w:rsid w:val="4C4A325A"/>
    <w:rsid w:val="4C4A3BF3"/>
    <w:rsid w:val="4C4B0D80"/>
    <w:rsid w:val="4C4B6640"/>
    <w:rsid w:val="4C4B6E39"/>
    <w:rsid w:val="4C4B7808"/>
    <w:rsid w:val="4C4C368D"/>
    <w:rsid w:val="4C4C5B0B"/>
    <w:rsid w:val="4C4C5D42"/>
    <w:rsid w:val="4C4C6FD2"/>
    <w:rsid w:val="4C4D2D4A"/>
    <w:rsid w:val="4C4D68A6"/>
    <w:rsid w:val="4C4E03D8"/>
    <w:rsid w:val="4C4E06E3"/>
    <w:rsid w:val="4C4E2FA9"/>
    <w:rsid w:val="4C4E43E7"/>
    <w:rsid w:val="4C4E775C"/>
    <w:rsid w:val="4C4F261E"/>
    <w:rsid w:val="4C4F2DDA"/>
    <w:rsid w:val="4C4F3916"/>
    <w:rsid w:val="4C4F4439"/>
    <w:rsid w:val="4C4F5C93"/>
    <w:rsid w:val="4C4F6835"/>
    <w:rsid w:val="4C4F7DBC"/>
    <w:rsid w:val="4C5002C3"/>
    <w:rsid w:val="4C500E5F"/>
    <w:rsid w:val="4C50437E"/>
    <w:rsid w:val="4C5055C0"/>
    <w:rsid w:val="4C50768B"/>
    <w:rsid w:val="4C510125"/>
    <w:rsid w:val="4C51283A"/>
    <w:rsid w:val="4C516396"/>
    <w:rsid w:val="4C517B92"/>
    <w:rsid w:val="4C523FB3"/>
    <w:rsid w:val="4C527DBA"/>
    <w:rsid w:val="4C532B6F"/>
    <w:rsid w:val="4C534EC9"/>
    <w:rsid w:val="4C53692F"/>
    <w:rsid w:val="4C545E87"/>
    <w:rsid w:val="4C5502AB"/>
    <w:rsid w:val="4C550BA2"/>
    <w:rsid w:val="4C55121D"/>
    <w:rsid w:val="4C551D9B"/>
    <w:rsid w:val="4C55536B"/>
    <w:rsid w:val="4C5601AC"/>
    <w:rsid w:val="4C560DA1"/>
    <w:rsid w:val="4C560F29"/>
    <w:rsid w:val="4C56173B"/>
    <w:rsid w:val="4C562493"/>
    <w:rsid w:val="4C5639AD"/>
    <w:rsid w:val="4C5661DE"/>
    <w:rsid w:val="4C567E51"/>
    <w:rsid w:val="4C571F8A"/>
    <w:rsid w:val="4C575977"/>
    <w:rsid w:val="4C57771F"/>
    <w:rsid w:val="4C577725"/>
    <w:rsid w:val="4C582037"/>
    <w:rsid w:val="4C583BC9"/>
    <w:rsid w:val="4C583ECB"/>
    <w:rsid w:val="4C58405B"/>
    <w:rsid w:val="4C584C3E"/>
    <w:rsid w:val="4C586C2C"/>
    <w:rsid w:val="4C587DA5"/>
    <w:rsid w:val="4C5900BC"/>
    <w:rsid w:val="4C5916EF"/>
    <w:rsid w:val="4C592E7C"/>
    <w:rsid w:val="4C59524B"/>
    <w:rsid w:val="4C595B16"/>
    <w:rsid w:val="4C5A1876"/>
    <w:rsid w:val="4C5A22DF"/>
    <w:rsid w:val="4C5A4269"/>
    <w:rsid w:val="4C5A4D92"/>
    <w:rsid w:val="4C5A5654"/>
    <w:rsid w:val="4C5A5B9B"/>
    <w:rsid w:val="4C5B0FC3"/>
    <w:rsid w:val="4C5B4A3A"/>
    <w:rsid w:val="4C5B5479"/>
    <w:rsid w:val="4C5B5FAC"/>
    <w:rsid w:val="4C5D0378"/>
    <w:rsid w:val="4C5D11DF"/>
    <w:rsid w:val="4C5D47F6"/>
    <w:rsid w:val="4C5D4CD3"/>
    <w:rsid w:val="4C5D659D"/>
    <w:rsid w:val="4C5E0AB3"/>
    <w:rsid w:val="4C5E0B42"/>
    <w:rsid w:val="4C5E2B83"/>
    <w:rsid w:val="4C5E4611"/>
    <w:rsid w:val="4C5E6D05"/>
    <w:rsid w:val="4C5E7F8C"/>
    <w:rsid w:val="4C5F36F7"/>
    <w:rsid w:val="4C5F3D9D"/>
    <w:rsid w:val="4C5F3EC1"/>
    <w:rsid w:val="4C5F4CE2"/>
    <w:rsid w:val="4C5F5C2D"/>
    <w:rsid w:val="4C6042A7"/>
    <w:rsid w:val="4C60482B"/>
    <w:rsid w:val="4C607AFD"/>
    <w:rsid w:val="4C61141F"/>
    <w:rsid w:val="4C612351"/>
    <w:rsid w:val="4C61338E"/>
    <w:rsid w:val="4C6165D1"/>
    <w:rsid w:val="4C61684E"/>
    <w:rsid w:val="4C6205A3"/>
    <w:rsid w:val="4C6217F6"/>
    <w:rsid w:val="4C625792"/>
    <w:rsid w:val="4C626257"/>
    <w:rsid w:val="4C6267F5"/>
    <w:rsid w:val="4C627CDE"/>
    <w:rsid w:val="4C63256E"/>
    <w:rsid w:val="4C632FC4"/>
    <w:rsid w:val="4C63431C"/>
    <w:rsid w:val="4C634502"/>
    <w:rsid w:val="4C6360CA"/>
    <w:rsid w:val="4C6367AD"/>
    <w:rsid w:val="4C641E95"/>
    <w:rsid w:val="4C644042"/>
    <w:rsid w:val="4C6451CF"/>
    <w:rsid w:val="4C651E42"/>
    <w:rsid w:val="4C653BF0"/>
    <w:rsid w:val="4C6555DD"/>
    <w:rsid w:val="4C6562E6"/>
    <w:rsid w:val="4C6566E4"/>
    <w:rsid w:val="4C660A94"/>
    <w:rsid w:val="4C66159A"/>
    <w:rsid w:val="4C667968"/>
    <w:rsid w:val="4C671411"/>
    <w:rsid w:val="4C6726C0"/>
    <w:rsid w:val="4C67281C"/>
    <w:rsid w:val="4C673B1B"/>
    <w:rsid w:val="4C675291"/>
    <w:rsid w:val="4C675BBA"/>
    <w:rsid w:val="4C675F59"/>
    <w:rsid w:val="4C676111"/>
    <w:rsid w:val="4C6809CA"/>
    <w:rsid w:val="4C684C57"/>
    <w:rsid w:val="4C6856E3"/>
    <w:rsid w:val="4C686721"/>
    <w:rsid w:val="4C6917C3"/>
    <w:rsid w:val="4C694FE0"/>
    <w:rsid w:val="4C6A0232"/>
    <w:rsid w:val="4C6A0567"/>
    <w:rsid w:val="4C6A7509"/>
    <w:rsid w:val="4C6B4A45"/>
    <w:rsid w:val="4C6C31D0"/>
    <w:rsid w:val="4C6C3AF0"/>
    <w:rsid w:val="4C6D00A4"/>
    <w:rsid w:val="4C6D0CF6"/>
    <w:rsid w:val="4C6D441A"/>
    <w:rsid w:val="4C6D519A"/>
    <w:rsid w:val="4C6D61F7"/>
    <w:rsid w:val="4C6D7242"/>
    <w:rsid w:val="4C6E0E52"/>
    <w:rsid w:val="4C6E6790"/>
    <w:rsid w:val="4C6E6A69"/>
    <w:rsid w:val="4C6E7FFA"/>
    <w:rsid w:val="4C6F0F12"/>
    <w:rsid w:val="4C6F2CC0"/>
    <w:rsid w:val="4C6F4A09"/>
    <w:rsid w:val="4C6F4A6E"/>
    <w:rsid w:val="4C703AF9"/>
    <w:rsid w:val="4C703CF9"/>
    <w:rsid w:val="4C70766C"/>
    <w:rsid w:val="4C710F14"/>
    <w:rsid w:val="4C713035"/>
    <w:rsid w:val="4C713CDF"/>
    <w:rsid w:val="4C71494F"/>
    <w:rsid w:val="4C714F5E"/>
    <w:rsid w:val="4C716343"/>
    <w:rsid w:val="4C720BE2"/>
    <w:rsid w:val="4C720E97"/>
    <w:rsid w:val="4C721C3F"/>
    <w:rsid w:val="4C72455F"/>
    <w:rsid w:val="4C7254F5"/>
    <w:rsid w:val="4C73006B"/>
    <w:rsid w:val="4C735331"/>
    <w:rsid w:val="4C7354D5"/>
    <w:rsid w:val="4C735DFD"/>
    <w:rsid w:val="4C742085"/>
    <w:rsid w:val="4C742D96"/>
    <w:rsid w:val="4C744632"/>
    <w:rsid w:val="4C744CC4"/>
    <w:rsid w:val="4C7453C8"/>
    <w:rsid w:val="4C746F87"/>
    <w:rsid w:val="4C75766E"/>
    <w:rsid w:val="4C76017C"/>
    <w:rsid w:val="4C7622A1"/>
    <w:rsid w:val="4C765DFD"/>
    <w:rsid w:val="4C7675E6"/>
    <w:rsid w:val="4C771B75"/>
    <w:rsid w:val="4C781DAF"/>
    <w:rsid w:val="4C786019"/>
    <w:rsid w:val="4C786216"/>
    <w:rsid w:val="4C787DC7"/>
    <w:rsid w:val="4C790149"/>
    <w:rsid w:val="4C793B3F"/>
    <w:rsid w:val="4C7958ED"/>
    <w:rsid w:val="4C7966A3"/>
    <w:rsid w:val="4C7A1105"/>
    <w:rsid w:val="4C7A14F8"/>
    <w:rsid w:val="4C7A2B12"/>
    <w:rsid w:val="4C7A3B96"/>
    <w:rsid w:val="4C7A3D6D"/>
    <w:rsid w:val="4C7B10AA"/>
    <w:rsid w:val="4C7B78B7"/>
    <w:rsid w:val="4C7B7F1A"/>
    <w:rsid w:val="4C7C04B3"/>
    <w:rsid w:val="4C7C0D12"/>
    <w:rsid w:val="4C7C1C4A"/>
    <w:rsid w:val="4C7C2A6A"/>
    <w:rsid w:val="4C7C31D9"/>
    <w:rsid w:val="4C7C4536"/>
    <w:rsid w:val="4C7C630A"/>
    <w:rsid w:val="4C7C718B"/>
    <w:rsid w:val="4C7D2A69"/>
    <w:rsid w:val="4C7D2EBE"/>
    <w:rsid w:val="4C7D3666"/>
    <w:rsid w:val="4C7D6B0F"/>
    <w:rsid w:val="4C7E190A"/>
    <w:rsid w:val="4C7E2F03"/>
    <w:rsid w:val="4C7E4CB1"/>
    <w:rsid w:val="4C7F1DD7"/>
    <w:rsid w:val="4C7F2432"/>
    <w:rsid w:val="4C7F3A3D"/>
    <w:rsid w:val="4C7F3F66"/>
    <w:rsid w:val="4C7F6EE9"/>
    <w:rsid w:val="4C802510"/>
    <w:rsid w:val="4C803267"/>
    <w:rsid w:val="4C806C7C"/>
    <w:rsid w:val="4C807DC5"/>
    <w:rsid w:val="4C8107A0"/>
    <w:rsid w:val="4C8147A2"/>
    <w:rsid w:val="4C814E3B"/>
    <w:rsid w:val="4C820AF8"/>
    <w:rsid w:val="4C820C46"/>
    <w:rsid w:val="4C8233A9"/>
    <w:rsid w:val="4C825730"/>
    <w:rsid w:val="4C825CA7"/>
    <w:rsid w:val="4C83051A"/>
    <w:rsid w:val="4C831C1E"/>
    <w:rsid w:val="4C831F78"/>
    <w:rsid w:val="4C83377F"/>
    <w:rsid w:val="4C834804"/>
    <w:rsid w:val="4C841BD5"/>
    <w:rsid w:val="4C84477F"/>
    <w:rsid w:val="4C8449BE"/>
    <w:rsid w:val="4C8524E4"/>
    <w:rsid w:val="4C852DAA"/>
    <w:rsid w:val="4C855C1F"/>
    <w:rsid w:val="4C856040"/>
    <w:rsid w:val="4C857960"/>
    <w:rsid w:val="4C8637A9"/>
    <w:rsid w:val="4C863E30"/>
    <w:rsid w:val="4C87000A"/>
    <w:rsid w:val="4C871C2A"/>
    <w:rsid w:val="4C87313A"/>
    <w:rsid w:val="4C881767"/>
    <w:rsid w:val="4C884AE6"/>
    <w:rsid w:val="4C887845"/>
    <w:rsid w:val="4C891FD4"/>
    <w:rsid w:val="4C8959E0"/>
    <w:rsid w:val="4C895A93"/>
    <w:rsid w:val="4C8A0112"/>
    <w:rsid w:val="4C8A18A8"/>
    <w:rsid w:val="4C8A1E54"/>
    <w:rsid w:val="4C8A5D4C"/>
    <w:rsid w:val="4C8A6922"/>
    <w:rsid w:val="4C8B005F"/>
    <w:rsid w:val="4C8B4210"/>
    <w:rsid w:val="4C8B6D5F"/>
    <w:rsid w:val="4C8C2F4B"/>
    <w:rsid w:val="4C8C3872"/>
    <w:rsid w:val="4C8C5DB1"/>
    <w:rsid w:val="4C8C719F"/>
    <w:rsid w:val="4C8C73CE"/>
    <w:rsid w:val="4C8D1398"/>
    <w:rsid w:val="4C8D4A02"/>
    <w:rsid w:val="4C8D4D26"/>
    <w:rsid w:val="4C8D73BB"/>
    <w:rsid w:val="4C8E74EC"/>
    <w:rsid w:val="4C8F18CC"/>
    <w:rsid w:val="4C8F2C21"/>
    <w:rsid w:val="4C8F2E4D"/>
    <w:rsid w:val="4C8F5111"/>
    <w:rsid w:val="4C8F6023"/>
    <w:rsid w:val="4C8F6098"/>
    <w:rsid w:val="4C8F6448"/>
    <w:rsid w:val="4C901F15"/>
    <w:rsid w:val="4C9038B4"/>
    <w:rsid w:val="4C910BFE"/>
    <w:rsid w:val="4C910FA7"/>
    <w:rsid w:val="4C912661"/>
    <w:rsid w:val="4C912C37"/>
    <w:rsid w:val="4C913618"/>
    <w:rsid w:val="4C9149E5"/>
    <w:rsid w:val="4C9170DB"/>
    <w:rsid w:val="4C92020B"/>
    <w:rsid w:val="4C92075D"/>
    <w:rsid w:val="4C924B99"/>
    <w:rsid w:val="4C925257"/>
    <w:rsid w:val="4C925C7D"/>
    <w:rsid w:val="4C9269AF"/>
    <w:rsid w:val="4C92753D"/>
    <w:rsid w:val="4C93024D"/>
    <w:rsid w:val="4C932A1E"/>
    <w:rsid w:val="4C932B36"/>
    <w:rsid w:val="4C934C01"/>
    <w:rsid w:val="4C940979"/>
    <w:rsid w:val="4C942727"/>
    <w:rsid w:val="4C942B6D"/>
    <w:rsid w:val="4C9444D5"/>
    <w:rsid w:val="4C950750"/>
    <w:rsid w:val="4C9548F6"/>
    <w:rsid w:val="4C955710"/>
    <w:rsid w:val="4C96024D"/>
    <w:rsid w:val="4C961188"/>
    <w:rsid w:val="4C96309C"/>
    <w:rsid w:val="4C966345"/>
    <w:rsid w:val="4C96649F"/>
    <w:rsid w:val="4C9757F6"/>
    <w:rsid w:val="4C97658C"/>
    <w:rsid w:val="4C976722"/>
    <w:rsid w:val="4C976B51"/>
    <w:rsid w:val="4C976F8A"/>
    <w:rsid w:val="4C977853"/>
    <w:rsid w:val="4C980FBB"/>
    <w:rsid w:val="4C982217"/>
    <w:rsid w:val="4C9824F8"/>
    <w:rsid w:val="4C983FC5"/>
    <w:rsid w:val="4C9840BF"/>
    <w:rsid w:val="4C9840E4"/>
    <w:rsid w:val="4C985B44"/>
    <w:rsid w:val="4C9869B3"/>
    <w:rsid w:val="4C991AEB"/>
    <w:rsid w:val="4C993D47"/>
    <w:rsid w:val="4C994054"/>
    <w:rsid w:val="4C995102"/>
    <w:rsid w:val="4C995F8F"/>
    <w:rsid w:val="4C997F4A"/>
    <w:rsid w:val="4C9A2248"/>
    <w:rsid w:val="4C9A2FAF"/>
    <w:rsid w:val="4C9A375E"/>
    <w:rsid w:val="4C9A631E"/>
    <w:rsid w:val="4C9B0D5D"/>
    <w:rsid w:val="4C9B15B0"/>
    <w:rsid w:val="4C9B15FC"/>
    <w:rsid w:val="4C9B1D07"/>
    <w:rsid w:val="4C9B29F8"/>
    <w:rsid w:val="4C9B407A"/>
    <w:rsid w:val="4C9B47B3"/>
    <w:rsid w:val="4C9B72B0"/>
    <w:rsid w:val="4C9B7812"/>
    <w:rsid w:val="4C9C1771"/>
    <w:rsid w:val="4C9C440D"/>
    <w:rsid w:val="4C9C5650"/>
    <w:rsid w:val="4C9C5E5D"/>
    <w:rsid w:val="4C9C5F6B"/>
    <w:rsid w:val="4C9D00C0"/>
    <w:rsid w:val="4C9D1FEF"/>
    <w:rsid w:val="4C9D4304"/>
    <w:rsid w:val="4C9D5A7F"/>
    <w:rsid w:val="4C9D6AA1"/>
    <w:rsid w:val="4C9E35A6"/>
    <w:rsid w:val="4C9E4A8F"/>
    <w:rsid w:val="4C9E4FA9"/>
    <w:rsid w:val="4C9E5354"/>
    <w:rsid w:val="4C9E7F31"/>
    <w:rsid w:val="4C9F663F"/>
    <w:rsid w:val="4CA02851"/>
    <w:rsid w:val="4CA03224"/>
    <w:rsid w:val="4CA12ACE"/>
    <w:rsid w:val="4CA15667"/>
    <w:rsid w:val="4CA21129"/>
    <w:rsid w:val="4CA2242C"/>
    <w:rsid w:val="4CA23096"/>
    <w:rsid w:val="4CA30BBC"/>
    <w:rsid w:val="4CA3296A"/>
    <w:rsid w:val="4CA35AC9"/>
    <w:rsid w:val="4CA37CC7"/>
    <w:rsid w:val="4CA428BB"/>
    <w:rsid w:val="4CA43A83"/>
    <w:rsid w:val="4CA50490"/>
    <w:rsid w:val="4CA55482"/>
    <w:rsid w:val="4CA558F2"/>
    <w:rsid w:val="4CA55F85"/>
    <w:rsid w:val="4CA566E2"/>
    <w:rsid w:val="4CA601B0"/>
    <w:rsid w:val="4CA60321"/>
    <w:rsid w:val="4CA61449"/>
    <w:rsid w:val="4CA62376"/>
    <w:rsid w:val="4CA62932"/>
    <w:rsid w:val="4CA7245A"/>
    <w:rsid w:val="4CA73E2A"/>
    <w:rsid w:val="4CA74208"/>
    <w:rsid w:val="4CA74C93"/>
    <w:rsid w:val="4CA77B53"/>
    <w:rsid w:val="4CA77E33"/>
    <w:rsid w:val="4CA81B2E"/>
    <w:rsid w:val="4CA83BB4"/>
    <w:rsid w:val="4CA86FFB"/>
    <w:rsid w:val="4CA90340"/>
    <w:rsid w:val="4CA928C2"/>
    <w:rsid w:val="4CA94424"/>
    <w:rsid w:val="4CA94988"/>
    <w:rsid w:val="4CA95D86"/>
    <w:rsid w:val="4CAA019C"/>
    <w:rsid w:val="4CAA1A7E"/>
    <w:rsid w:val="4CAA1C44"/>
    <w:rsid w:val="4CAA1F4A"/>
    <w:rsid w:val="4CAA3CF8"/>
    <w:rsid w:val="4CAA5AA7"/>
    <w:rsid w:val="4CAB54EF"/>
    <w:rsid w:val="4CAB6015"/>
    <w:rsid w:val="4CAC0EBD"/>
    <w:rsid w:val="4CAC149A"/>
    <w:rsid w:val="4CAC1E06"/>
    <w:rsid w:val="4CAC4259"/>
    <w:rsid w:val="4CAC4526"/>
    <w:rsid w:val="4CAC7A71"/>
    <w:rsid w:val="4CAD21F3"/>
    <w:rsid w:val="4CAD39C5"/>
    <w:rsid w:val="4CAD5597"/>
    <w:rsid w:val="4CAE1A3B"/>
    <w:rsid w:val="4CAE38BC"/>
    <w:rsid w:val="4CAE49AF"/>
    <w:rsid w:val="4CAE5726"/>
    <w:rsid w:val="4CAE67DE"/>
    <w:rsid w:val="4CAF130F"/>
    <w:rsid w:val="4CAF647D"/>
    <w:rsid w:val="4CB00C05"/>
    <w:rsid w:val="4CB0625F"/>
    <w:rsid w:val="4CB11B9C"/>
    <w:rsid w:val="4CB132D9"/>
    <w:rsid w:val="4CB1343A"/>
    <w:rsid w:val="4CB137D6"/>
    <w:rsid w:val="4CB13E54"/>
    <w:rsid w:val="4CB15087"/>
    <w:rsid w:val="4CB30DFF"/>
    <w:rsid w:val="4CB357BF"/>
    <w:rsid w:val="4CB36223"/>
    <w:rsid w:val="4CB428AE"/>
    <w:rsid w:val="4CB5100D"/>
    <w:rsid w:val="4CB52327"/>
    <w:rsid w:val="4CB535E7"/>
    <w:rsid w:val="4CB56D37"/>
    <w:rsid w:val="4CB57EAF"/>
    <w:rsid w:val="4CB608EF"/>
    <w:rsid w:val="4CB61310"/>
    <w:rsid w:val="4CB61608"/>
    <w:rsid w:val="4CB61816"/>
    <w:rsid w:val="4CB6269D"/>
    <w:rsid w:val="4CB65E12"/>
    <w:rsid w:val="4CB66A60"/>
    <w:rsid w:val="4CB66B41"/>
    <w:rsid w:val="4CB67BC0"/>
    <w:rsid w:val="4CB701C3"/>
    <w:rsid w:val="4CB70539"/>
    <w:rsid w:val="4CB71FD0"/>
    <w:rsid w:val="4CB74893"/>
    <w:rsid w:val="4CB77648"/>
    <w:rsid w:val="4CB80E4F"/>
    <w:rsid w:val="4CB86415"/>
    <w:rsid w:val="4CB867E9"/>
    <w:rsid w:val="4CB87E8C"/>
    <w:rsid w:val="4CB905B5"/>
    <w:rsid w:val="4CB91E5E"/>
    <w:rsid w:val="4CB9218D"/>
    <w:rsid w:val="4CB93F3C"/>
    <w:rsid w:val="4CB9572B"/>
    <w:rsid w:val="4CB97103"/>
    <w:rsid w:val="4CBA51ED"/>
    <w:rsid w:val="4CBA541E"/>
    <w:rsid w:val="4CBA6A88"/>
    <w:rsid w:val="4CBA6AF1"/>
    <w:rsid w:val="4CBA7E4D"/>
    <w:rsid w:val="4CBB7459"/>
    <w:rsid w:val="4CBB7D44"/>
    <w:rsid w:val="4CBC08E9"/>
    <w:rsid w:val="4CBC57D4"/>
    <w:rsid w:val="4CBD57DA"/>
    <w:rsid w:val="4CBD7ED0"/>
    <w:rsid w:val="4CBE09D8"/>
    <w:rsid w:val="4CBE0CCC"/>
    <w:rsid w:val="4CBE0DCF"/>
    <w:rsid w:val="4CBE1552"/>
    <w:rsid w:val="4CBE31B6"/>
    <w:rsid w:val="4CBE5ED0"/>
    <w:rsid w:val="4CBE5F56"/>
    <w:rsid w:val="4CBE6151"/>
    <w:rsid w:val="4CBF35FB"/>
    <w:rsid w:val="4CBF5472"/>
    <w:rsid w:val="4CBF59F6"/>
    <w:rsid w:val="4CBF63EA"/>
    <w:rsid w:val="4CBF6517"/>
    <w:rsid w:val="4CC0351C"/>
    <w:rsid w:val="4CC045B0"/>
    <w:rsid w:val="4CC056DF"/>
    <w:rsid w:val="4CC119E9"/>
    <w:rsid w:val="4CC132CB"/>
    <w:rsid w:val="4CC156F6"/>
    <w:rsid w:val="4CC15ECB"/>
    <w:rsid w:val="4CC20D1D"/>
    <w:rsid w:val="4CC21042"/>
    <w:rsid w:val="4CC2475B"/>
    <w:rsid w:val="4CC254E6"/>
    <w:rsid w:val="4CC2626E"/>
    <w:rsid w:val="4CC27294"/>
    <w:rsid w:val="4CC34DBA"/>
    <w:rsid w:val="4CC36366"/>
    <w:rsid w:val="4CC36B68"/>
    <w:rsid w:val="4CC40DA6"/>
    <w:rsid w:val="4CC4300C"/>
    <w:rsid w:val="4CC43351"/>
    <w:rsid w:val="4CC46CC8"/>
    <w:rsid w:val="4CC47E03"/>
    <w:rsid w:val="4CC5050B"/>
    <w:rsid w:val="4CC50B32"/>
    <w:rsid w:val="4CC54473"/>
    <w:rsid w:val="4CC56D84"/>
    <w:rsid w:val="4CC56ECF"/>
    <w:rsid w:val="4CC60500"/>
    <w:rsid w:val="4CC647E8"/>
    <w:rsid w:val="4CC648B4"/>
    <w:rsid w:val="4CC65A17"/>
    <w:rsid w:val="4CC677F4"/>
    <w:rsid w:val="4CC7001F"/>
    <w:rsid w:val="4CC7174C"/>
    <w:rsid w:val="4CC71F4D"/>
    <w:rsid w:val="4CC72AFC"/>
    <w:rsid w:val="4CC748AA"/>
    <w:rsid w:val="4CC74B2D"/>
    <w:rsid w:val="4CC7578C"/>
    <w:rsid w:val="4CC76658"/>
    <w:rsid w:val="4CC7713D"/>
    <w:rsid w:val="4CC773A0"/>
    <w:rsid w:val="4CC77463"/>
    <w:rsid w:val="4CC805CD"/>
    <w:rsid w:val="4CC8118C"/>
    <w:rsid w:val="4CC8239D"/>
    <w:rsid w:val="4CC823D1"/>
    <w:rsid w:val="4CC83B70"/>
    <w:rsid w:val="4CC83B8B"/>
    <w:rsid w:val="4CC90141"/>
    <w:rsid w:val="4CC90623"/>
    <w:rsid w:val="4CC9136A"/>
    <w:rsid w:val="4CC93940"/>
    <w:rsid w:val="4CC96874"/>
    <w:rsid w:val="4CC97C5A"/>
    <w:rsid w:val="4CCA201B"/>
    <w:rsid w:val="4CCA27E0"/>
    <w:rsid w:val="4CCA3270"/>
    <w:rsid w:val="4CCA7EF7"/>
    <w:rsid w:val="4CCB580D"/>
    <w:rsid w:val="4CCB6F4E"/>
    <w:rsid w:val="4CCC1EC1"/>
    <w:rsid w:val="4CCC2E25"/>
    <w:rsid w:val="4CCC59FE"/>
    <w:rsid w:val="4CCC6994"/>
    <w:rsid w:val="4CCC6A96"/>
    <w:rsid w:val="4CCD0096"/>
    <w:rsid w:val="4CCE0DBD"/>
    <w:rsid w:val="4CCE3D5D"/>
    <w:rsid w:val="4CCE5C39"/>
    <w:rsid w:val="4CCE776C"/>
    <w:rsid w:val="4CCF0552"/>
    <w:rsid w:val="4CCF19B1"/>
    <w:rsid w:val="4CCF20E6"/>
    <w:rsid w:val="4CCF375F"/>
    <w:rsid w:val="4CD001EF"/>
    <w:rsid w:val="4CD04AE8"/>
    <w:rsid w:val="4CD06FEF"/>
    <w:rsid w:val="4CD11285"/>
    <w:rsid w:val="4CD124FE"/>
    <w:rsid w:val="4CD174D7"/>
    <w:rsid w:val="4CD20EB9"/>
    <w:rsid w:val="4CD24250"/>
    <w:rsid w:val="4CD256BF"/>
    <w:rsid w:val="4CD2672D"/>
    <w:rsid w:val="4CD314A1"/>
    <w:rsid w:val="4CD31A1F"/>
    <w:rsid w:val="4CD31E56"/>
    <w:rsid w:val="4CD34FFD"/>
    <w:rsid w:val="4CD366CA"/>
    <w:rsid w:val="4CD3719D"/>
    <w:rsid w:val="4CD41378"/>
    <w:rsid w:val="4CD45888"/>
    <w:rsid w:val="4CD46093"/>
    <w:rsid w:val="4CD47D9C"/>
    <w:rsid w:val="4CD562CF"/>
    <w:rsid w:val="4CD606E2"/>
    <w:rsid w:val="4CD60F91"/>
    <w:rsid w:val="4CD624E5"/>
    <w:rsid w:val="4CD62D3F"/>
    <w:rsid w:val="4CD659A5"/>
    <w:rsid w:val="4CD66609"/>
    <w:rsid w:val="4CD6689C"/>
    <w:rsid w:val="4CD675CB"/>
    <w:rsid w:val="4CD82614"/>
    <w:rsid w:val="4CD845DA"/>
    <w:rsid w:val="4CD872D6"/>
    <w:rsid w:val="4CD92A4E"/>
    <w:rsid w:val="4CD951A1"/>
    <w:rsid w:val="4CD9638C"/>
    <w:rsid w:val="4CDA019A"/>
    <w:rsid w:val="4CDA045B"/>
    <w:rsid w:val="4CDA2830"/>
    <w:rsid w:val="4CDA2EC6"/>
    <w:rsid w:val="4CDA3579"/>
    <w:rsid w:val="4CDA6172"/>
    <w:rsid w:val="4CDA76DE"/>
    <w:rsid w:val="4CDB2104"/>
    <w:rsid w:val="4CDB3A29"/>
    <w:rsid w:val="4CDB5302"/>
    <w:rsid w:val="4CDB65A8"/>
    <w:rsid w:val="4CDC1D29"/>
    <w:rsid w:val="4CDC6792"/>
    <w:rsid w:val="4CDC7873"/>
    <w:rsid w:val="4CDD02C1"/>
    <w:rsid w:val="4CDD3315"/>
    <w:rsid w:val="4CDD40CE"/>
    <w:rsid w:val="4CDD495D"/>
    <w:rsid w:val="4CDD5E7C"/>
    <w:rsid w:val="4CDD7C2A"/>
    <w:rsid w:val="4CDE39A2"/>
    <w:rsid w:val="4CDF1BF4"/>
    <w:rsid w:val="4CDF7E46"/>
    <w:rsid w:val="4CE0041F"/>
    <w:rsid w:val="4CE03BBE"/>
    <w:rsid w:val="4CE04B71"/>
    <w:rsid w:val="4CE0771A"/>
    <w:rsid w:val="4CE10E9D"/>
    <w:rsid w:val="4CE1169E"/>
    <w:rsid w:val="4CE17899"/>
    <w:rsid w:val="4CE22604"/>
    <w:rsid w:val="4CE23492"/>
    <w:rsid w:val="4CE23832"/>
    <w:rsid w:val="4CE23ECB"/>
    <w:rsid w:val="4CE251D5"/>
    <w:rsid w:val="4CE2789C"/>
    <w:rsid w:val="4CE31A76"/>
    <w:rsid w:val="4CE33180"/>
    <w:rsid w:val="4CE36FF9"/>
    <w:rsid w:val="4CE37043"/>
    <w:rsid w:val="4CE41368"/>
    <w:rsid w:val="4CE428D9"/>
    <w:rsid w:val="4CE4545C"/>
    <w:rsid w:val="4CE511D4"/>
    <w:rsid w:val="4CE520C0"/>
    <w:rsid w:val="4CE52F83"/>
    <w:rsid w:val="4CE55D6C"/>
    <w:rsid w:val="4CE575E6"/>
    <w:rsid w:val="4CE57CFA"/>
    <w:rsid w:val="4CE61908"/>
    <w:rsid w:val="4CE63B56"/>
    <w:rsid w:val="4CE67F5D"/>
    <w:rsid w:val="4CE8003F"/>
    <w:rsid w:val="4CE8279A"/>
    <w:rsid w:val="4CE82D13"/>
    <w:rsid w:val="4CE86F17"/>
    <w:rsid w:val="4CE90CC5"/>
    <w:rsid w:val="4CE924D7"/>
    <w:rsid w:val="4CE92A73"/>
    <w:rsid w:val="4CE94821"/>
    <w:rsid w:val="4CE953FD"/>
    <w:rsid w:val="4CE95494"/>
    <w:rsid w:val="4CEA0599"/>
    <w:rsid w:val="4CEA4AA4"/>
    <w:rsid w:val="4CEB0FD0"/>
    <w:rsid w:val="4CEB4169"/>
    <w:rsid w:val="4CEB5554"/>
    <w:rsid w:val="4CEB79F4"/>
    <w:rsid w:val="4CEC1053"/>
    <w:rsid w:val="4CEC2563"/>
    <w:rsid w:val="4CEC4311"/>
    <w:rsid w:val="4CEC60BF"/>
    <w:rsid w:val="4CEC7770"/>
    <w:rsid w:val="4CEC79C8"/>
    <w:rsid w:val="4CED064C"/>
    <w:rsid w:val="4CED3838"/>
    <w:rsid w:val="4CED4824"/>
    <w:rsid w:val="4CED58CA"/>
    <w:rsid w:val="4CED6F45"/>
    <w:rsid w:val="4CED7717"/>
    <w:rsid w:val="4CED77C7"/>
    <w:rsid w:val="4CED7DE7"/>
    <w:rsid w:val="4CEE0089"/>
    <w:rsid w:val="4CEE03B5"/>
    <w:rsid w:val="4CEE093C"/>
    <w:rsid w:val="4CEE2238"/>
    <w:rsid w:val="4CEE40BA"/>
    <w:rsid w:val="4CEE41AB"/>
    <w:rsid w:val="4CEF1A65"/>
    <w:rsid w:val="4CEF2E5D"/>
    <w:rsid w:val="4CEF5BAF"/>
    <w:rsid w:val="4CEF795D"/>
    <w:rsid w:val="4CF0214B"/>
    <w:rsid w:val="4CF02BAE"/>
    <w:rsid w:val="4CF03B56"/>
    <w:rsid w:val="4CF03E01"/>
    <w:rsid w:val="4CF11836"/>
    <w:rsid w:val="4CF11A96"/>
    <w:rsid w:val="4CF15896"/>
    <w:rsid w:val="4CF17D0F"/>
    <w:rsid w:val="4CF220F9"/>
    <w:rsid w:val="4CF22188"/>
    <w:rsid w:val="4CF26484"/>
    <w:rsid w:val="4CF338F1"/>
    <w:rsid w:val="4CF34480"/>
    <w:rsid w:val="4CF37AF5"/>
    <w:rsid w:val="4CF431C6"/>
    <w:rsid w:val="4CF4336D"/>
    <w:rsid w:val="4CF50257"/>
    <w:rsid w:val="4CF51418"/>
    <w:rsid w:val="4CF54CC9"/>
    <w:rsid w:val="4CF55FDC"/>
    <w:rsid w:val="4CF5774D"/>
    <w:rsid w:val="4CF60CEC"/>
    <w:rsid w:val="4CF6146E"/>
    <w:rsid w:val="4CF61F0A"/>
    <w:rsid w:val="4CF63424"/>
    <w:rsid w:val="4CF65190"/>
    <w:rsid w:val="4CF735E0"/>
    <w:rsid w:val="4CF739BE"/>
    <w:rsid w:val="4CF76530"/>
    <w:rsid w:val="4CF80F08"/>
    <w:rsid w:val="4CF85F6B"/>
    <w:rsid w:val="4CF90B4E"/>
    <w:rsid w:val="4CF91FCC"/>
    <w:rsid w:val="4CF927F4"/>
    <w:rsid w:val="4CF929B2"/>
    <w:rsid w:val="4CF92F1A"/>
    <w:rsid w:val="4CF946FE"/>
    <w:rsid w:val="4CFA088B"/>
    <w:rsid w:val="4CFA3750"/>
    <w:rsid w:val="4CFA6A2E"/>
    <w:rsid w:val="4CFB09F8"/>
    <w:rsid w:val="4CFB12B0"/>
    <w:rsid w:val="4CFB27A6"/>
    <w:rsid w:val="4CFB4554"/>
    <w:rsid w:val="4CFB7250"/>
    <w:rsid w:val="4CFC5D7C"/>
    <w:rsid w:val="4CFC634A"/>
    <w:rsid w:val="4CFD02CC"/>
    <w:rsid w:val="4CFD02D8"/>
    <w:rsid w:val="4CFD16EA"/>
    <w:rsid w:val="4CFD19F7"/>
    <w:rsid w:val="4CFD4FFF"/>
    <w:rsid w:val="4CFD720C"/>
    <w:rsid w:val="4CFE316B"/>
    <w:rsid w:val="4CFE40E9"/>
    <w:rsid w:val="4CFE5DF2"/>
    <w:rsid w:val="4CFF0AC5"/>
    <w:rsid w:val="4CFF2296"/>
    <w:rsid w:val="4CFF5D54"/>
    <w:rsid w:val="4D001B6A"/>
    <w:rsid w:val="4D001C67"/>
    <w:rsid w:val="4D0049A8"/>
    <w:rsid w:val="4D004B62"/>
    <w:rsid w:val="4D011847"/>
    <w:rsid w:val="4D0123C9"/>
    <w:rsid w:val="4D01701D"/>
    <w:rsid w:val="4D020E76"/>
    <w:rsid w:val="4D020F47"/>
    <w:rsid w:val="4D021960"/>
    <w:rsid w:val="4D021D86"/>
    <w:rsid w:val="4D0258DA"/>
    <w:rsid w:val="4D025DE7"/>
    <w:rsid w:val="4D02766F"/>
    <w:rsid w:val="4D027B8E"/>
    <w:rsid w:val="4D037E68"/>
    <w:rsid w:val="4D043409"/>
    <w:rsid w:val="4D04646F"/>
    <w:rsid w:val="4D050CCC"/>
    <w:rsid w:val="4D054951"/>
    <w:rsid w:val="4D0619FF"/>
    <w:rsid w:val="4D061D9F"/>
    <w:rsid w:val="4D072E8F"/>
    <w:rsid w:val="4D073BC9"/>
    <w:rsid w:val="4D07739D"/>
    <w:rsid w:val="4D083C75"/>
    <w:rsid w:val="4D0841D1"/>
    <w:rsid w:val="4D084A79"/>
    <w:rsid w:val="4D085A48"/>
    <w:rsid w:val="4D085A60"/>
    <w:rsid w:val="4D0860F6"/>
    <w:rsid w:val="4D086FFB"/>
    <w:rsid w:val="4D094148"/>
    <w:rsid w:val="4D094EC3"/>
    <w:rsid w:val="4D096C71"/>
    <w:rsid w:val="4D096F13"/>
    <w:rsid w:val="4D0A2F51"/>
    <w:rsid w:val="4D0B59EE"/>
    <w:rsid w:val="4D0B5FEA"/>
    <w:rsid w:val="4D0C0E30"/>
    <w:rsid w:val="4D0C35D3"/>
    <w:rsid w:val="4D0C49B3"/>
    <w:rsid w:val="4D0C5871"/>
    <w:rsid w:val="4D0C5ADA"/>
    <w:rsid w:val="4D0C6251"/>
    <w:rsid w:val="4D0C6761"/>
    <w:rsid w:val="4D0D3BB8"/>
    <w:rsid w:val="4D0E0191"/>
    <w:rsid w:val="4D0E072B"/>
    <w:rsid w:val="4D0E24B5"/>
    <w:rsid w:val="4D0E2DA9"/>
    <w:rsid w:val="4D0E305B"/>
    <w:rsid w:val="4D0E4169"/>
    <w:rsid w:val="4D0E5895"/>
    <w:rsid w:val="4D0F1621"/>
    <w:rsid w:val="4D0F1C52"/>
    <w:rsid w:val="4D0F2AAE"/>
    <w:rsid w:val="4D0F36CC"/>
    <w:rsid w:val="4D0F41F2"/>
    <w:rsid w:val="4D0F6133"/>
    <w:rsid w:val="4D0F7FFF"/>
    <w:rsid w:val="4D101B13"/>
    <w:rsid w:val="4D111FCA"/>
    <w:rsid w:val="4D115B0B"/>
    <w:rsid w:val="4D115B26"/>
    <w:rsid w:val="4D1172E0"/>
    <w:rsid w:val="4D120AF9"/>
    <w:rsid w:val="4D1216E3"/>
    <w:rsid w:val="4D1267D1"/>
    <w:rsid w:val="4D12763B"/>
    <w:rsid w:val="4D1277C9"/>
    <w:rsid w:val="4D136FCC"/>
    <w:rsid w:val="4D144003"/>
    <w:rsid w:val="4D146BD4"/>
    <w:rsid w:val="4D1473C4"/>
    <w:rsid w:val="4D155616"/>
    <w:rsid w:val="4D156294"/>
    <w:rsid w:val="4D156923"/>
    <w:rsid w:val="4D157761"/>
    <w:rsid w:val="4D16138E"/>
    <w:rsid w:val="4D16313C"/>
    <w:rsid w:val="4D163DAA"/>
    <w:rsid w:val="4D165CE1"/>
    <w:rsid w:val="4D171E58"/>
    <w:rsid w:val="4D1737B3"/>
    <w:rsid w:val="4D174B77"/>
    <w:rsid w:val="4D175555"/>
    <w:rsid w:val="4D1760B7"/>
    <w:rsid w:val="4D1772E6"/>
    <w:rsid w:val="4D1829A9"/>
    <w:rsid w:val="4D183E14"/>
    <w:rsid w:val="4D185127"/>
    <w:rsid w:val="4D186EB4"/>
    <w:rsid w:val="4D191DA4"/>
    <w:rsid w:val="4D192724"/>
    <w:rsid w:val="4D19484D"/>
    <w:rsid w:val="4D197E75"/>
    <w:rsid w:val="4D1A0287"/>
    <w:rsid w:val="4D1A16ED"/>
    <w:rsid w:val="4D1A2C2C"/>
    <w:rsid w:val="4D1A74CB"/>
    <w:rsid w:val="4D1A7E8A"/>
    <w:rsid w:val="4D1B0752"/>
    <w:rsid w:val="4D1B41BB"/>
    <w:rsid w:val="4D1B69A4"/>
    <w:rsid w:val="4D1C0C54"/>
    <w:rsid w:val="4D1C122D"/>
    <w:rsid w:val="4D1C1598"/>
    <w:rsid w:val="4D1C3115"/>
    <w:rsid w:val="4D1C39FF"/>
    <w:rsid w:val="4D1C49D6"/>
    <w:rsid w:val="4D1C5C41"/>
    <w:rsid w:val="4D1C6BF6"/>
    <w:rsid w:val="4D1C71DC"/>
    <w:rsid w:val="4D1D0D0C"/>
    <w:rsid w:val="4D1D1666"/>
    <w:rsid w:val="4D1D271C"/>
    <w:rsid w:val="4D1D31B3"/>
    <w:rsid w:val="4D1D44CA"/>
    <w:rsid w:val="4D1D5E4C"/>
    <w:rsid w:val="4D1E7B0C"/>
    <w:rsid w:val="4D1F0243"/>
    <w:rsid w:val="4D1F46E6"/>
    <w:rsid w:val="4D1F560F"/>
    <w:rsid w:val="4D1F58BE"/>
    <w:rsid w:val="4D1F623D"/>
    <w:rsid w:val="4D1F6494"/>
    <w:rsid w:val="4D201349"/>
    <w:rsid w:val="4D20220D"/>
    <w:rsid w:val="4D2025A6"/>
    <w:rsid w:val="4D203FBB"/>
    <w:rsid w:val="4D2046EE"/>
    <w:rsid w:val="4D2072ED"/>
    <w:rsid w:val="4D211BAD"/>
    <w:rsid w:val="4D2121A4"/>
    <w:rsid w:val="4D213A30"/>
    <w:rsid w:val="4D214BCC"/>
    <w:rsid w:val="4D2161F3"/>
    <w:rsid w:val="4D216E5F"/>
    <w:rsid w:val="4D2201F5"/>
    <w:rsid w:val="4D220322"/>
    <w:rsid w:val="4D221AE1"/>
    <w:rsid w:val="4D221BA8"/>
    <w:rsid w:val="4D227D33"/>
    <w:rsid w:val="4D233159"/>
    <w:rsid w:val="4D234153"/>
    <w:rsid w:val="4D2341A5"/>
    <w:rsid w:val="4D237191"/>
    <w:rsid w:val="4D237951"/>
    <w:rsid w:val="4D24185F"/>
    <w:rsid w:val="4D241CFD"/>
    <w:rsid w:val="4D243AAB"/>
    <w:rsid w:val="4D24499B"/>
    <w:rsid w:val="4D25052E"/>
    <w:rsid w:val="4D2515D1"/>
    <w:rsid w:val="4D256418"/>
    <w:rsid w:val="4D260FE9"/>
    <w:rsid w:val="4D2678A8"/>
    <w:rsid w:val="4D2717ED"/>
    <w:rsid w:val="4D275349"/>
    <w:rsid w:val="4D275FBE"/>
    <w:rsid w:val="4D2770F7"/>
    <w:rsid w:val="4D2910C1"/>
    <w:rsid w:val="4D29188C"/>
    <w:rsid w:val="4D292314"/>
    <w:rsid w:val="4D292B00"/>
    <w:rsid w:val="4D292E6F"/>
    <w:rsid w:val="4D295043"/>
    <w:rsid w:val="4D295DAA"/>
    <w:rsid w:val="4D297313"/>
    <w:rsid w:val="4D297BFC"/>
    <w:rsid w:val="4D297F47"/>
    <w:rsid w:val="4D2A0DFA"/>
    <w:rsid w:val="4D2A34C2"/>
    <w:rsid w:val="4D2A4537"/>
    <w:rsid w:val="4D2B0D40"/>
    <w:rsid w:val="4D2B0EC0"/>
    <w:rsid w:val="4D2B4829"/>
    <w:rsid w:val="4D2B4E39"/>
    <w:rsid w:val="4D2B55DD"/>
    <w:rsid w:val="4D2B6ACB"/>
    <w:rsid w:val="4D2C131B"/>
    <w:rsid w:val="4D2C2AA8"/>
    <w:rsid w:val="4D2C2E13"/>
    <w:rsid w:val="4D2C3346"/>
    <w:rsid w:val="4D2C6E03"/>
    <w:rsid w:val="4D2C74E7"/>
    <w:rsid w:val="4D2C7B52"/>
    <w:rsid w:val="4D2D1921"/>
    <w:rsid w:val="4D2D44C3"/>
    <w:rsid w:val="4D2D630C"/>
    <w:rsid w:val="4D2E0486"/>
    <w:rsid w:val="4D2E2B7B"/>
    <w:rsid w:val="4D2E3FCF"/>
    <w:rsid w:val="4D2E492A"/>
    <w:rsid w:val="4D2F209B"/>
    <w:rsid w:val="4D2F321C"/>
    <w:rsid w:val="4D2F49D4"/>
    <w:rsid w:val="4D3009D0"/>
    <w:rsid w:val="4D302450"/>
    <w:rsid w:val="4D30352B"/>
    <w:rsid w:val="4D305AEE"/>
    <w:rsid w:val="4D3124C9"/>
    <w:rsid w:val="4D314DC8"/>
    <w:rsid w:val="4D317A44"/>
    <w:rsid w:val="4D317F76"/>
    <w:rsid w:val="4D320A0C"/>
    <w:rsid w:val="4D326131"/>
    <w:rsid w:val="4D326C48"/>
    <w:rsid w:val="4D330192"/>
    <w:rsid w:val="4D333CEE"/>
    <w:rsid w:val="4D342901"/>
    <w:rsid w:val="4D344A7D"/>
    <w:rsid w:val="4D346F32"/>
    <w:rsid w:val="4D350B8B"/>
    <w:rsid w:val="4D353401"/>
    <w:rsid w:val="4D355E6D"/>
    <w:rsid w:val="4D356F81"/>
    <w:rsid w:val="4D3637DE"/>
    <w:rsid w:val="4D363C01"/>
    <w:rsid w:val="4D364191"/>
    <w:rsid w:val="4D367D5C"/>
    <w:rsid w:val="4D370A0E"/>
    <w:rsid w:val="4D372DE5"/>
    <w:rsid w:val="4D37308F"/>
    <w:rsid w:val="4D375425"/>
    <w:rsid w:val="4D3761B3"/>
    <w:rsid w:val="4D380BA4"/>
    <w:rsid w:val="4D381304"/>
    <w:rsid w:val="4D381CBD"/>
    <w:rsid w:val="4D382CA9"/>
    <w:rsid w:val="4D38606A"/>
    <w:rsid w:val="4D3968BD"/>
    <w:rsid w:val="4D3A507C"/>
    <w:rsid w:val="4D3A595B"/>
    <w:rsid w:val="4D3A5D4A"/>
    <w:rsid w:val="4D3B063E"/>
    <w:rsid w:val="4D3B0DF4"/>
    <w:rsid w:val="4D3B10B6"/>
    <w:rsid w:val="4D3B1D7F"/>
    <w:rsid w:val="4D3B2BA3"/>
    <w:rsid w:val="4D3B4215"/>
    <w:rsid w:val="4D3B4743"/>
    <w:rsid w:val="4D3C262E"/>
    <w:rsid w:val="4D3C7046"/>
    <w:rsid w:val="4D3D4B6D"/>
    <w:rsid w:val="4D3D6410"/>
    <w:rsid w:val="4D3D691B"/>
    <w:rsid w:val="4D3E0700"/>
    <w:rsid w:val="4D3E2600"/>
    <w:rsid w:val="4D3E7191"/>
    <w:rsid w:val="4D3F056E"/>
    <w:rsid w:val="4D3F08E5"/>
    <w:rsid w:val="4D3F2242"/>
    <w:rsid w:val="4D3F2693"/>
    <w:rsid w:val="4D3F6BD2"/>
    <w:rsid w:val="4D4001B9"/>
    <w:rsid w:val="4D40640B"/>
    <w:rsid w:val="4D41011D"/>
    <w:rsid w:val="4D4107F9"/>
    <w:rsid w:val="4D4108AF"/>
    <w:rsid w:val="4D41311B"/>
    <w:rsid w:val="4D41760B"/>
    <w:rsid w:val="4D4203F0"/>
    <w:rsid w:val="4D422183"/>
    <w:rsid w:val="4D423F31"/>
    <w:rsid w:val="4D42511F"/>
    <w:rsid w:val="4D425594"/>
    <w:rsid w:val="4D4272CB"/>
    <w:rsid w:val="4D427AB2"/>
    <w:rsid w:val="4D437486"/>
    <w:rsid w:val="4D440475"/>
    <w:rsid w:val="4D4405FC"/>
    <w:rsid w:val="4D441442"/>
    <w:rsid w:val="4D442169"/>
    <w:rsid w:val="4D442384"/>
    <w:rsid w:val="4D44414D"/>
    <w:rsid w:val="4D4452EA"/>
    <w:rsid w:val="4D445EFB"/>
    <w:rsid w:val="4D446D70"/>
    <w:rsid w:val="4D45281B"/>
    <w:rsid w:val="4D45392C"/>
    <w:rsid w:val="4D455A02"/>
    <w:rsid w:val="4D4642C1"/>
    <w:rsid w:val="4D4660D3"/>
    <w:rsid w:val="4D4670F3"/>
    <w:rsid w:val="4D467117"/>
    <w:rsid w:val="4D467EC5"/>
    <w:rsid w:val="4D470322"/>
    <w:rsid w:val="4D47053C"/>
    <w:rsid w:val="4D471A63"/>
    <w:rsid w:val="4D475921"/>
    <w:rsid w:val="4D4759EB"/>
    <w:rsid w:val="4D475E9E"/>
    <w:rsid w:val="4D476295"/>
    <w:rsid w:val="4D476D46"/>
    <w:rsid w:val="4D477799"/>
    <w:rsid w:val="4D480A44"/>
    <w:rsid w:val="4D483079"/>
    <w:rsid w:val="4D4833F1"/>
    <w:rsid w:val="4D486618"/>
    <w:rsid w:val="4D48787F"/>
    <w:rsid w:val="4D492C1F"/>
    <w:rsid w:val="4D493511"/>
    <w:rsid w:val="4D494005"/>
    <w:rsid w:val="4D4978AC"/>
    <w:rsid w:val="4D4A10CC"/>
    <w:rsid w:val="4D4A5D98"/>
    <w:rsid w:val="4D4B1038"/>
    <w:rsid w:val="4D4B1764"/>
    <w:rsid w:val="4D4B268D"/>
    <w:rsid w:val="4D4B447E"/>
    <w:rsid w:val="4D4B450B"/>
    <w:rsid w:val="4D4B54DB"/>
    <w:rsid w:val="4D4B5F20"/>
    <w:rsid w:val="4D4C0513"/>
    <w:rsid w:val="4D4C3002"/>
    <w:rsid w:val="4D4C36A4"/>
    <w:rsid w:val="4D4C6234"/>
    <w:rsid w:val="4D4C71D1"/>
    <w:rsid w:val="4D4D074C"/>
    <w:rsid w:val="4D4D6B1F"/>
    <w:rsid w:val="4D4E01F5"/>
    <w:rsid w:val="4D4E0B28"/>
    <w:rsid w:val="4D4E3908"/>
    <w:rsid w:val="4D4E4F85"/>
    <w:rsid w:val="4D4E6D7A"/>
    <w:rsid w:val="4D4F28AA"/>
    <w:rsid w:val="4D4F4179"/>
    <w:rsid w:val="4D502AF2"/>
    <w:rsid w:val="4D505397"/>
    <w:rsid w:val="4D505822"/>
    <w:rsid w:val="4D510618"/>
    <w:rsid w:val="4D5123C6"/>
    <w:rsid w:val="4D5128ED"/>
    <w:rsid w:val="4D521C2F"/>
    <w:rsid w:val="4D522A0D"/>
    <w:rsid w:val="4D522B17"/>
    <w:rsid w:val="4D524E01"/>
    <w:rsid w:val="4D525435"/>
    <w:rsid w:val="4D526B76"/>
    <w:rsid w:val="4D532520"/>
    <w:rsid w:val="4D532D07"/>
    <w:rsid w:val="4D533277"/>
    <w:rsid w:val="4D534390"/>
    <w:rsid w:val="4D5368C5"/>
    <w:rsid w:val="4D5436F8"/>
    <w:rsid w:val="4D545956"/>
    <w:rsid w:val="4D547111"/>
    <w:rsid w:val="4D547905"/>
    <w:rsid w:val="4D550108"/>
    <w:rsid w:val="4D551EB6"/>
    <w:rsid w:val="4D5554F7"/>
    <w:rsid w:val="4D556CF0"/>
    <w:rsid w:val="4D56049A"/>
    <w:rsid w:val="4D5655A7"/>
    <w:rsid w:val="4D5679DC"/>
    <w:rsid w:val="4D573BA0"/>
    <w:rsid w:val="4D573E80"/>
    <w:rsid w:val="4D574E71"/>
    <w:rsid w:val="4D577088"/>
    <w:rsid w:val="4D5854B9"/>
    <w:rsid w:val="4D587F6E"/>
    <w:rsid w:val="4D592376"/>
    <w:rsid w:val="4D5A360C"/>
    <w:rsid w:val="4D5A3970"/>
    <w:rsid w:val="4D5A4D1B"/>
    <w:rsid w:val="4D5A571F"/>
    <w:rsid w:val="4D5B071C"/>
    <w:rsid w:val="4D5B0EA9"/>
    <w:rsid w:val="4D5B4FF3"/>
    <w:rsid w:val="4D5B7DDF"/>
    <w:rsid w:val="4D5C0979"/>
    <w:rsid w:val="4D5C10B8"/>
    <w:rsid w:val="4D5C1497"/>
    <w:rsid w:val="4D5C18D9"/>
    <w:rsid w:val="4D5C1A47"/>
    <w:rsid w:val="4D5C27F9"/>
    <w:rsid w:val="4D5C3245"/>
    <w:rsid w:val="4D5D0D6B"/>
    <w:rsid w:val="4D5D2548"/>
    <w:rsid w:val="4D5E02AE"/>
    <w:rsid w:val="4D5E2745"/>
    <w:rsid w:val="4D5E7BD4"/>
    <w:rsid w:val="4D5F17ED"/>
    <w:rsid w:val="4D5F2741"/>
    <w:rsid w:val="4D5F4AE3"/>
    <w:rsid w:val="4D5F5669"/>
    <w:rsid w:val="4D600EC9"/>
    <w:rsid w:val="4D601C85"/>
    <w:rsid w:val="4D602609"/>
    <w:rsid w:val="4D60346A"/>
    <w:rsid w:val="4D605EA1"/>
    <w:rsid w:val="4D61085B"/>
    <w:rsid w:val="4D614B2C"/>
    <w:rsid w:val="4D615296"/>
    <w:rsid w:val="4D61579A"/>
    <w:rsid w:val="4D616AAD"/>
    <w:rsid w:val="4D617968"/>
    <w:rsid w:val="4D622825"/>
    <w:rsid w:val="4D6245D3"/>
    <w:rsid w:val="4D6258B3"/>
    <w:rsid w:val="4D6379F7"/>
    <w:rsid w:val="4D64034B"/>
    <w:rsid w:val="4D6420F9"/>
    <w:rsid w:val="4D64241B"/>
    <w:rsid w:val="4D642A3C"/>
    <w:rsid w:val="4D645CE9"/>
    <w:rsid w:val="4D64659D"/>
    <w:rsid w:val="4D6472B3"/>
    <w:rsid w:val="4D65448D"/>
    <w:rsid w:val="4D654BD1"/>
    <w:rsid w:val="4D6613D8"/>
    <w:rsid w:val="4D661FE8"/>
    <w:rsid w:val="4D662CF2"/>
    <w:rsid w:val="4D6640C3"/>
    <w:rsid w:val="4D671BE9"/>
    <w:rsid w:val="4D671E47"/>
    <w:rsid w:val="4D672B5A"/>
    <w:rsid w:val="4D6777C0"/>
    <w:rsid w:val="4D680D9C"/>
    <w:rsid w:val="4D682ECF"/>
    <w:rsid w:val="4D69111B"/>
    <w:rsid w:val="4D69348C"/>
    <w:rsid w:val="4D694CF4"/>
    <w:rsid w:val="4D695B68"/>
    <w:rsid w:val="4D697710"/>
    <w:rsid w:val="4D697CEA"/>
    <w:rsid w:val="4D6A0186"/>
    <w:rsid w:val="4D6A1936"/>
    <w:rsid w:val="4D6A64FE"/>
    <w:rsid w:val="4D6B16DA"/>
    <w:rsid w:val="4D6B3488"/>
    <w:rsid w:val="4D6B6C2E"/>
    <w:rsid w:val="4D6B792C"/>
    <w:rsid w:val="4D6C1852"/>
    <w:rsid w:val="4D6C2FCA"/>
    <w:rsid w:val="4D6C4652"/>
    <w:rsid w:val="4D6C69A5"/>
    <w:rsid w:val="4D6C7200"/>
    <w:rsid w:val="4D6D0C84"/>
    <w:rsid w:val="4D6D22E8"/>
    <w:rsid w:val="4D6D36A4"/>
    <w:rsid w:val="4D6D5452"/>
    <w:rsid w:val="4D6E254B"/>
    <w:rsid w:val="4D6F4467"/>
    <w:rsid w:val="4D6F7AFD"/>
    <w:rsid w:val="4D7001EC"/>
    <w:rsid w:val="4D700C4E"/>
    <w:rsid w:val="4D70120F"/>
    <w:rsid w:val="4D70648F"/>
    <w:rsid w:val="4D706CF0"/>
    <w:rsid w:val="4D707D79"/>
    <w:rsid w:val="4D710281"/>
    <w:rsid w:val="4D7107EC"/>
    <w:rsid w:val="4D711F54"/>
    <w:rsid w:val="4D71358E"/>
    <w:rsid w:val="4D71506B"/>
    <w:rsid w:val="4D717433"/>
    <w:rsid w:val="4D717B02"/>
    <w:rsid w:val="4D720CBA"/>
    <w:rsid w:val="4D72372E"/>
    <w:rsid w:val="4D7246E0"/>
    <w:rsid w:val="4D724F1D"/>
    <w:rsid w:val="4D73058E"/>
    <w:rsid w:val="4D73250C"/>
    <w:rsid w:val="4D732EA2"/>
    <w:rsid w:val="4D732F2E"/>
    <w:rsid w:val="4D735EAE"/>
    <w:rsid w:val="4D7367E0"/>
    <w:rsid w:val="4D737C3B"/>
    <w:rsid w:val="4D740805"/>
    <w:rsid w:val="4D74108C"/>
    <w:rsid w:val="4D7507CE"/>
    <w:rsid w:val="4D752558"/>
    <w:rsid w:val="4D75339F"/>
    <w:rsid w:val="4D754306"/>
    <w:rsid w:val="4D7560B4"/>
    <w:rsid w:val="4D757A5C"/>
    <w:rsid w:val="4D760537"/>
    <w:rsid w:val="4D762888"/>
    <w:rsid w:val="4D764687"/>
    <w:rsid w:val="4D764E46"/>
    <w:rsid w:val="4D764EA0"/>
    <w:rsid w:val="4D767C29"/>
    <w:rsid w:val="4D773101"/>
    <w:rsid w:val="4D7762D0"/>
    <w:rsid w:val="4D782FD9"/>
    <w:rsid w:val="4D783A25"/>
    <w:rsid w:val="4D784F82"/>
    <w:rsid w:val="4D792384"/>
    <w:rsid w:val="4D7934CD"/>
    <w:rsid w:val="4D7935D0"/>
    <w:rsid w:val="4D793CA5"/>
    <w:rsid w:val="4D7A1691"/>
    <w:rsid w:val="4D7A191D"/>
    <w:rsid w:val="4D7A2F9B"/>
    <w:rsid w:val="4D7A36CB"/>
    <w:rsid w:val="4D7A7945"/>
    <w:rsid w:val="4D7B4CD1"/>
    <w:rsid w:val="4D7B7F49"/>
    <w:rsid w:val="4D7C5695"/>
    <w:rsid w:val="4D7C5DE7"/>
    <w:rsid w:val="4D7C661C"/>
    <w:rsid w:val="4D7D3330"/>
    <w:rsid w:val="4D7E2604"/>
    <w:rsid w:val="4D7E2A5C"/>
    <w:rsid w:val="4D7E2B35"/>
    <w:rsid w:val="4D7E4702"/>
    <w:rsid w:val="4D7E732B"/>
    <w:rsid w:val="4D7E765F"/>
    <w:rsid w:val="4D7F0CE1"/>
    <w:rsid w:val="4D7F33D7"/>
    <w:rsid w:val="4D7F5D43"/>
    <w:rsid w:val="4D7F6634"/>
    <w:rsid w:val="4D7F6F33"/>
    <w:rsid w:val="4D7F7FB0"/>
    <w:rsid w:val="4D801F9D"/>
    <w:rsid w:val="4D8046B5"/>
    <w:rsid w:val="4D80478B"/>
    <w:rsid w:val="4D805770"/>
    <w:rsid w:val="4D807F66"/>
    <w:rsid w:val="4D810EFD"/>
    <w:rsid w:val="4D811896"/>
    <w:rsid w:val="4D8200B7"/>
    <w:rsid w:val="4D8207D1"/>
    <w:rsid w:val="4D821820"/>
    <w:rsid w:val="4D8225C4"/>
    <w:rsid w:val="4D822EB0"/>
    <w:rsid w:val="4D82334B"/>
    <w:rsid w:val="4D823F99"/>
    <w:rsid w:val="4D82546E"/>
    <w:rsid w:val="4D826A23"/>
    <w:rsid w:val="4D832097"/>
    <w:rsid w:val="4D832419"/>
    <w:rsid w:val="4D834C75"/>
    <w:rsid w:val="4D835C29"/>
    <w:rsid w:val="4D83653C"/>
    <w:rsid w:val="4D8409ED"/>
    <w:rsid w:val="4D844549"/>
    <w:rsid w:val="4D84736B"/>
    <w:rsid w:val="4D851255"/>
    <w:rsid w:val="4D851E2E"/>
    <w:rsid w:val="4D857D45"/>
    <w:rsid w:val="4D8602C2"/>
    <w:rsid w:val="4D862227"/>
    <w:rsid w:val="4D863F4B"/>
    <w:rsid w:val="4D8665C3"/>
    <w:rsid w:val="4D874268"/>
    <w:rsid w:val="4D8757B4"/>
    <w:rsid w:val="4D875DE8"/>
    <w:rsid w:val="4D8764FA"/>
    <w:rsid w:val="4D880522"/>
    <w:rsid w:val="4D880AB8"/>
    <w:rsid w:val="4D88228C"/>
    <w:rsid w:val="4D884A5B"/>
    <w:rsid w:val="4D885D05"/>
    <w:rsid w:val="4D891B60"/>
    <w:rsid w:val="4D891F5D"/>
    <w:rsid w:val="4D894D60"/>
    <w:rsid w:val="4D895DE8"/>
    <w:rsid w:val="4D896004"/>
    <w:rsid w:val="4D8A179A"/>
    <w:rsid w:val="4D8B051B"/>
    <w:rsid w:val="4D8B20FD"/>
    <w:rsid w:val="4D8B3B2A"/>
    <w:rsid w:val="4D8C0627"/>
    <w:rsid w:val="4D8C1650"/>
    <w:rsid w:val="4D8C33FE"/>
    <w:rsid w:val="4D8C5C65"/>
    <w:rsid w:val="4D8C5F91"/>
    <w:rsid w:val="4D8C7B3F"/>
    <w:rsid w:val="4D8D6791"/>
    <w:rsid w:val="4D8E114A"/>
    <w:rsid w:val="4D8E361A"/>
    <w:rsid w:val="4D8E4500"/>
    <w:rsid w:val="4D8E53C8"/>
    <w:rsid w:val="4D8E5467"/>
    <w:rsid w:val="4D8E7271"/>
    <w:rsid w:val="4D8F3F46"/>
    <w:rsid w:val="4D8F7853"/>
    <w:rsid w:val="4D902EEE"/>
    <w:rsid w:val="4D90451E"/>
    <w:rsid w:val="4D9046D4"/>
    <w:rsid w:val="4D90604B"/>
    <w:rsid w:val="4D90660C"/>
    <w:rsid w:val="4D911A3F"/>
    <w:rsid w:val="4D913211"/>
    <w:rsid w:val="4D913ADD"/>
    <w:rsid w:val="4D913C92"/>
    <w:rsid w:val="4D9170C4"/>
    <w:rsid w:val="4D92310A"/>
    <w:rsid w:val="4D923747"/>
    <w:rsid w:val="4D923EA4"/>
    <w:rsid w:val="4D924EB8"/>
    <w:rsid w:val="4D926FB5"/>
    <w:rsid w:val="4D930C30"/>
    <w:rsid w:val="4D931926"/>
    <w:rsid w:val="4D9329DF"/>
    <w:rsid w:val="4D93372C"/>
    <w:rsid w:val="4D933887"/>
    <w:rsid w:val="4D942E5A"/>
    <w:rsid w:val="4D944998"/>
    <w:rsid w:val="4D945ECE"/>
    <w:rsid w:val="4D950505"/>
    <w:rsid w:val="4D951248"/>
    <w:rsid w:val="4D9549A9"/>
    <w:rsid w:val="4D955F1D"/>
    <w:rsid w:val="4D956757"/>
    <w:rsid w:val="4D9569FE"/>
    <w:rsid w:val="4D965776"/>
    <w:rsid w:val="4D9674FB"/>
    <w:rsid w:val="4D970721"/>
    <w:rsid w:val="4D9724CF"/>
    <w:rsid w:val="4D972E4D"/>
    <w:rsid w:val="4D9732B3"/>
    <w:rsid w:val="4D9752A9"/>
    <w:rsid w:val="4D9779F5"/>
    <w:rsid w:val="4D981DA3"/>
    <w:rsid w:val="4D990B22"/>
    <w:rsid w:val="4D990CF0"/>
    <w:rsid w:val="4D9924E3"/>
    <w:rsid w:val="4D992831"/>
    <w:rsid w:val="4D997BC9"/>
    <w:rsid w:val="4D9A1FBF"/>
    <w:rsid w:val="4D9A2D9D"/>
    <w:rsid w:val="4D9A38A9"/>
    <w:rsid w:val="4D9A3D6D"/>
    <w:rsid w:val="4D9A5134"/>
    <w:rsid w:val="4D9A64CD"/>
    <w:rsid w:val="4D9A6671"/>
    <w:rsid w:val="4D9A7089"/>
    <w:rsid w:val="4D9B50BA"/>
    <w:rsid w:val="4D9B6DCB"/>
    <w:rsid w:val="4D9C0793"/>
    <w:rsid w:val="4D9C2AD1"/>
    <w:rsid w:val="4D9C5D37"/>
    <w:rsid w:val="4D9C654A"/>
    <w:rsid w:val="4D9C7039"/>
    <w:rsid w:val="4D9C7489"/>
    <w:rsid w:val="4D9C7C8B"/>
    <w:rsid w:val="4D9D0B53"/>
    <w:rsid w:val="4D9D1380"/>
    <w:rsid w:val="4D9D3633"/>
    <w:rsid w:val="4D9D560B"/>
    <w:rsid w:val="4D9E04A3"/>
    <w:rsid w:val="4D9E3209"/>
    <w:rsid w:val="4D9E622B"/>
    <w:rsid w:val="4D9F1383"/>
    <w:rsid w:val="4D9F3A3B"/>
    <w:rsid w:val="4D9F5F4F"/>
    <w:rsid w:val="4D9F6EF1"/>
    <w:rsid w:val="4DA00689"/>
    <w:rsid w:val="4DA04FEC"/>
    <w:rsid w:val="4DA05835"/>
    <w:rsid w:val="4DA05FC3"/>
    <w:rsid w:val="4DA07439"/>
    <w:rsid w:val="4DA12683"/>
    <w:rsid w:val="4DA1374B"/>
    <w:rsid w:val="4DA16EA9"/>
    <w:rsid w:val="4DA22C22"/>
    <w:rsid w:val="4DA30E74"/>
    <w:rsid w:val="4DA32181"/>
    <w:rsid w:val="4DA321AA"/>
    <w:rsid w:val="4DA33012"/>
    <w:rsid w:val="4DA37683"/>
    <w:rsid w:val="4DA37E2C"/>
    <w:rsid w:val="4DA40B2A"/>
    <w:rsid w:val="4DA41328"/>
    <w:rsid w:val="4DA42E3E"/>
    <w:rsid w:val="4DA43504"/>
    <w:rsid w:val="4DA43E2D"/>
    <w:rsid w:val="4DA44413"/>
    <w:rsid w:val="4DA44FF6"/>
    <w:rsid w:val="4DA478AD"/>
    <w:rsid w:val="4DA60964"/>
    <w:rsid w:val="4DA62712"/>
    <w:rsid w:val="4DA62B8E"/>
    <w:rsid w:val="4DA76F03"/>
    <w:rsid w:val="4DA82C48"/>
    <w:rsid w:val="4DA840F4"/>
    <w:rsid w:val="4DA846DC"/>
    <w:rsid w:val="4DA879C4"/>
    <w:rsid w:val="4DA9370F"/>
    <w:rsid w:val="4DA96713"/>
    <w:rsid w:val="4DAA0571"/>
    <w:rsid w:val="4DAA05F3"/>
    <w:rsid w:val="4DAA371F"/>
    <w:rsid w:val="4DAA596A"/>
    <w:rsid w:val="4DAB41CC"/>
    <w:rsid w:val="4DAB4BAF"/>
    <w:rsid w:val="4DAB4EA5"/>
    <w:rsid w:val="4DAB7D28"/>
    <w:rsid w:val="4DAC0A13"/>
    <w:rsid w:val="4DAC4C36"/>
    <w:rsid w:val="4DAC4FDE"/>
    <w:rsid w:val="4DAC584E"/>
    <w:rsid w:val="4DAC75D2"/>
    <w:rsid w:val="4DAD005E"/>
    <w:rsid w:val="4DAD06F9"/>
    <w:rsid w:val="4DAD0C4C"/>
    <w:rsid w:val="4DAD1D47"/>
    <w:rsid w:val="4DAD345D"/>
    <w:rsid w:val="4DAD3AA0"/>
    <w:rsid w:val="4DAE14E0"/>
    <w:rsid w:val="4DAE4449"/>
    <w:rsid w:val="4DAE5A6A"/>
    <w:rsid w:val="4DAE7818"/>
    <w:rsid w:val="4DAF146C"/>
    <w:rsid w:val="4DAF264A"/>
    <w:rsid w:val="4DAF340D"/>
    <w:rsid w:val="4DB0026E"/>
    <w:rsid w:val="4DB03B03"/>
    <w:rsid w:val="4DB11134"/>
    <w:rsid w:val="4DB12E65"/>
    <w:rsid w:val="4DB13934"/>
    <w:rsid w:val="4DB210B7"/>
    <w:rsid w:val="4DB21248"/>
    <w:rsid w:val="4DB246CD"/>
    <w:rsid w:val="4DB26485"/>
    <w:rsid w:val="4DB27309"/>
    <w:rsid w:val="4DB33341"/>
    <w:rsid w:val="4DB34E2F"/>
    <w:rsid w:val="4DB37B7C"/>
    <w:rsid w:val="4DB43081"/>
    <w:rsid w:val="4DB436D8"/>
    <w:rsid w:val="4DB454EC"/>
    <w:rsid w:val="4DB473A2"/>
    <w:rsid w:val="4DB50458"/>
    <w:rsid w:val="4DB50BA7"/>
    <w:rsid w:val="4DB51C83"/>
    <w:rsid w:val="4DB51FD7"/>
    <w:rsid w:val="4DB5332A"/>
    <w:rsid w:val="4DB54003"/>
    <w:rsid w:val="4DB54397"/>
    <w:rsid w:val="4DB61109"/>
    <w:rsid w:val="4DB63C61"/>
    <w:rsid w:val="4DB63CBD"/>
    <w:rsid w:val="4DB65932"/>
    <w:rsid w:val="4DB72B71"/>
    <w:rsid w:val="4DB766CD"/>
    <w:rsid w:val="4DB817C0"/>
    <w:rsid w:val="4DB8312A"/>
    <w:rsid w:val="4DB9016C"/>
    <w:rsid w:val="4DB921C9"/>
    <w:rsid w:val="4DB92548"/>
    <w:rsid w:val="4DBA0372"/>
    <w:rsid w:val="4DBA0643"/>
    <w:rsid w:val="4DBA440F"/>
    <w:rsid w:val="4DBA7F6B"/>
    <w:rsid w:val="4DBB1AD3"/>
    <w:rsid w:val="4DBB30A6"/>
    <w:rsid w:val="4DBB47F0"/>
    <w:rsid w:val="4DBC3CE3"/>
    <w:rsid w:val="4DBC5B34"/>
    <w:rsid w:val="4DBC6125"/>
    <w:rsid w:val="4DBD0194"/>
    <w:rsid w:val="4DBD1B0B"/>
    <w:rsid w:val="4DBD7A5B"/>
    <w:rsid w:val="4DBE1B95"/>
    <w:rsid w:val="4DBE650E"/>
    <w:rsid w:val="4DBF05ED"/>
    <w:rsid w:val="4DBF1A26"/>
    <w:rsid w:val="4DBF37D4"/>
    <w:rsid w:val="4DC0326F"/>
    <w:rsid w:val="4DC06ACE"/>
    <w:rsid w:val="4DC07DBA"/>
    <w:rsid w:val="4DC159DB"/>
    <w:rsid w:val="4DC258D6"/>
    <w:rsid w:val="4DC25BEF"/>
    <w:rsid w:val="4DC31516"/>
    <w:rsid w:val="4DC364F3"/>
    <w:rsid w:val="4DC37DCD"/>
    <w:rsid w:val="4DC426BE"/>
    <w:rsid w:val="4DC42B98"/>
    <w:rsid w:val="4DC442C6"/>
    <w:rsid w:val="4DC4703C"/>
    <w:rsid w:val="4DC4719A"/>
    <w:rsid w:val="4DC5187D"/>
    <w:rsid w:val="4DC51E40"/>
    <w:rsid w:val="4DC57B32"/>
    <w:rsid w:val="4DC617B7"/>
    <w:rsid w:val="4DC62DB4"/>
    <w:rsid w:val="4DC63C98"/>
    <w:rsid w:val="4DC64B29"/>
    <w:rsid w:val="4DC67934"/>
    <w:rsid w:val="4DC70BD8"/>
    <w:rsid w:val="4DC75669"/>
    <w:rsid w:val="4DC77ECE"/>
    <w:rsid w:val="4DC808DA"/>
    <w:rsid w:val="4DC83175"/>
    <w:rsid w:val="4DC83AED"/>
    <w:rsid w:val="4DC86B2C"/>
    <w:rsid w:val="4DC94652"/>
    <w:rsid w:val="4DC96400"/>
    <w:rsid w:val="4DC96EE0"/>
    <w:rsid w:val="4DCA2B2F"/>
    <w:rsid w:val="4DCA3CEF"/>
    <w:rsid w:val="4DCA3DC8"/>
    <w:rsid w:val="4DCA56DA"/>
    <w:rsid w:val="4DCB2178"/>
    <w:rsid w:val="4DCB2A58"/>
    <w:rsid w:val="4DCB2CAF"/>
    <w:rsid w:val="4DCB3F26"/>
    <w:rsid w:val="4DCB4939"/>
    <w:rsid w:val="4DCB4B44"/>
    <w:rsid w:val="4DCB4CA4"/>
    <w:rsid w:val="4DCC2264"/>
    <w:rsid w:val="4DCC2EE8"/>
    <w:rsid w:val="4DCC5490"/>
    <w:rsid w:val="4DCD4142"/>
    <w:rsid w:val="4DCD42F0"/>
    <w:rsid w:val="4DCD4B10"/>
    <w:rsid w:val="4DCD5EF0"/>
    <w:rsid w:val="4DCD6EBA"/>
    <w:rsid w:val="4DCE4B2D"/>
    <w:rsid w:val="4DCE5528"/>
    <w:rsid w:val="4DCE59D3"/>
    <w:rsid w:val="4DCF2582"/>
    <w:rsid w:val="4DCF3AFC"/>
    <w:rsid w:val="4DCF7EBB"/>
    <w:rsid w:val="4DD059E1"/>
    <w:rsid w:val="4DD12178"/>
    <w:rsid w:val="4DD150D4"/>
    <w:rsid w:val="4DD1746B"/>
    <w:rsid w:val="4DD20112"/>
    <w:rsid w:val="4DD212AB"/>
    <w:rsid w:val="4DD21759"/>
    <w:rsid w:val="4DD23507"/>
    <w:rsid w:val="4DD252B5"/>
    <w:rsid w:val="4DD3292B"/>
    <w:rsid w:val="4DD3727F"/>
    <w:rsid w:val="4DD3767D"/>
    <w:rsid w:val="4DD432B0"/>
    <w:rsid w:val="4DD454D1"/>
    <w:rsid w:val="4DD51249"/>
    <w:rsid w:val="4DD51392"/>
    <w:rsid w:val="4DD52B48"/>
    <w:rsid w:val="4DD5415D"/>
    <w:rsid w:val="4DD5524B"/>
    <w:rsid w:val="4DD631AA"/>
    <w:rsid w:val="4DD637A3"/>
    <w:rsid w:val="4DD6644D"/>
    <w:rsid w:val="4DD70995"/>
    <w:rsid w:val="4DD70E76"/>
    <w:rsid w:val="4DD71518"/>
    <w:rsid w:val="4DD8030F"/>
    <w:rsid w:val="4DD83BCC"/>
    <w:rsid w:val="4DD84DB6"/>
    <w:rsid w:val="4DD851A0"/>
    <w:rsid w:val="4DD86643"/>
    <w:rsid w:val="4DD87E5E"/>
    <w:rsid w:val="4DD9058B"/>
    <w:rsid w:val="4DD92483"/>
    <w:rsid w:val="4DD92AE7"/>
    <w:rsid w:val="4DD94895"/>
    <w:rsid w:val="4DD97B58"/>
    <w:rsid w:val="4DDA23BB"/>
    <w:rsid w:val="4DDA48D4"/>
    <w:rsid w:val="4DDB2B8B"/>
    <w:rsid w:val="4DDB7977"/>
    <w:rsid w:val="4DDC044E"/>
    <w:rsid w:val="4DDC4D92"/>
    <w:rsid w:val="4DDC65A8"/>
    <w:rsid w:val="4DDD3C5A"/>
    <w:rsid w:val="4DDD47BD"/>
    <w:rsid w:val="4DDD6BE4"/>
    <w:rsid w:val="4DDE00FE"/>
    <w:rsid w:val="4DDE1EAC"/>
    <w:rsid w:val="4DDE443F"/>
    <w:rsid w:val="4DDE62FD"/>
    <w:rsid w:val="4DDE7254"/>
    <w:rsid w:val="4DDF1451"/>
    <w:rsid w:val="4DDF1AE9"/>
    <w:rsid w:val="4DDF1EA2"/>
    <w:rsid w:val="4DDF5C24"/>
    <w:rsid w:val="4DDF79D2"/>
    <w:rsid w:val="4DE04F2F"/>
    <w:rsid w:val="4DE05FC9"/>
    <w:rsid w:val="4DE10E52"/>
    <w:rsid w:val="4DE11A27"/>
    <w:rsid w:val="4DE12BEC"/>
    <w:rsid w:val="4DE1374A"/>
    <w:rsid w:val="4DE16996"/>
    <w:rsid w:val="4DE27CC8"/>
    <w:rsid w:val="4DE30CDF"/>
    <w:rsid w:val="4DE338B9"/>
    <w:rsid w:val="4DE33966"/>
    <w:rsid w:val="4DE374C2"/>
    <w:rsid w:val="4DE37760"/>
    <w:rsid w:val="4DE4080B"/>
    <w:rsid w:val="4DE408D5"/>
    <w:rsid w:val="4DE4148C"/>
    <w:rsid w:val="4DE4323A"/>
    <w:rsid w:val="4DE433A0"/>
    <w:rsid w:val="4DE44FE8"/>
    <w:rsid w:val="4DE5170F"/>
    <w:rsid w:val="4DE521E9"/>
    <w:rsid w:val="4DE535FF"/>
    <w:rsid w:val="4DE5371E"/>
    <w:rsid w:val="4DE5484C"/>
    <w:rsid w:val="4DE54D40"/>
    <w:rsid w:val="4DE55A86"/>
    <w:rsid w:val="4DE60D60"/>
    <w:rsid w:val="4DE64EC9"/>
    <w:rsid w:val="4DE66236"/>
    <w:rsid w:val="4DE665D2"/>
    <w:rsid w:val="4DE66E99"/>
    <w:rsid w:val="4DE70AF0"/>
    <w:rsid w:val="4DE76439"/>
    <w:rsid w:val="4DE80981"/>
    <w:rsid w:val="4DE84AD8"/>
    <w:rsid w:val="4DE86E7B"/>
    <w:rsid w:val="4DE90850"/>
    <w:rsid w:val="4DE9156D"/>
    <w:rsid w:val="4DE942ED"/>
    <w:rsid w:val="4DEA4CF4"/>
    <w:rsid w:val="4DEA7544"/>
    <w:rsid w:val="4DEB281B"/>
    <w:rsid w:val="4DEB2AE6"/>
    <w:rsid w:val="4DEB2C79"/>
    <w:rsid w:val="4DEB35E2"/>
    <w:rsid w:val="4DEC535A"/>
    <w:rsid w:val="4DED0341"/>
    <w:rsid w:val="4DED3925"/>
    <w:rsid w:val="4DED4371"/>
    <w:rsid w:val="4DED6349"/>
    <w:rsid w:val="4DEE3FB8"/>
    <w:rsid w:val="4DEE4F59"/>
    <w:rsid w:val="4DEE78CF"/>
    <w:rsid w:val="4DEE7D7E"/>
    <w:rsid w:val="4DEF0EBC"/>
    <w:rsid w:val="4DEF1712"/>
    <w:rsid w:val="4DEF1B4A"/>
    <w:rsid w:val="4DEF230B"/>
    <w:rsid w:val="4DEF5972"/>
    <w:rsid w:val="4DF00AB6"/>
    <w:rsid w:val="4DF02908"/>
    <w:rsid w:val="4DF154AF"/>
    <w:rsid w:val="4DF1707F"/>
    <w:rsid w:val="4DF25957"/>
    <w:rsid w:val="4DF35797"/>
    <w:rsid w:val="4DF41455"/>
    <w:rsid w:val="4DF416CF"/>
    <w:rsid w:val="4DF41C64"/>
    <w:rsid w:val="4DF41F4C"/>
    <w:rsid w:val="4DF44002"/>
    <w:rsid w:val="4DF47921"/>
    <w:rsid w:val="4DF5033F"/>
    <w:rsid w:val="4DF530F4"/>
    <w:rsid w:val="4DF571F5"/>
    <w:rsid w:val="4DF57288"/>
    <w:rsid w:val="4DF60E55"/>
    <w:rsid w:val="4DF619BA"/>
    <w:rsid w:val="4DF62ED4"/>
    <w:rsid w:val="4DF63CB0"/>
    <w:rsid w:val="4DF64584"/>
    <w:rsid w:val="4DF64B12"/>
    <w:rsid w:val="4DF705E5"/>
    <w:rsid w:val="4DF70914"/>
    <w:rsid w:val="4DF70A42"/>
    <w:rsid w:val="4DF711BF"/>
    <w:rsid w:val="4DF71207"/>
    <w:rsid w:val="4DF76086"/>
    <w:rsid w:val="4DF77045"/>
    <w:rsid w:val="4DF81A75"/>
    <w:rsid w:val="4DF94646"/>
    <w:rsid w:val="4DF949D7"/>
    <w:rsid w:val="4DF94F37"/>
    <w:rsid w:val="4DF96CE5"/>
    <w:rsid w:val="4DFA2A5E"/>
    <w:rsid w:val="4DFA5AD6"/>
    <w:rsid w:val="4DFA5E1B"/>
    <w:rsid w:val="4DFB2947"/>
    <w:rsid w:val="4DFB2C2B"/>
    <w:rsid w:val="4DFB65D5"/>
    <w:rsid w:val="4DFB6C6A"/>
    <w:rsid w:val="4DFB6F66"/>
    <w:rsid w:val="4DFC0584"/>
    <w:rsid w:val="4DFC0F77"/>
    <w:rsid w:val="4DFC155A"/>
    <w:rsid w:val="4DFC2FFD"/>
    <w:rsid w:val="4DFC329A"/>
    <w:rsid w:val="4DFC4A28"/>
    <w:rsid w:val="4DFD4702"/>
    <w:rsid w:val="4DFE254E"/>
    <w:rsid w:val="4DFE3378"/>
    <w:rsid w:val="4DFE3A1A"/>
    <w:rsid w:val="4DFE42FC"/>
    <w:rsid w:val="4DFE75B9"/>
    <w:rsid w:val="4DFF04B8"/>
    <w:rsid w:val="4DFF082B"/>
    <w:rsid w:val="4DFF1E22"/>
    <w:rsid w:val="4DFF7A72"/>
    <w:rsid w:val="4E002DD8"/>
    <w:rsid w:val="4E003A00"/>
    <w:rsid w:val="4E00555B"/>
    <w:rsid w:val="4E0062C6"/>
    <w:rsid w:val="4E010090"/>
    <w:rsid w:val="4E010615"/>
    <w:rsid w:val="4E0112F9"/>
    <w:rsid w:val="4E012702"/>
    <w:rsid w:val="4E013DEC"/>
    <w:rsid w:val="4E015B9A"/>
    <w:rsid w:val="4E016BB7"/>
    <w:rsid w:val="4E016FBE"/>
    <w:rsid w:val="4E0232D7"/>
    <w:rsid w:val="4E023AD5"/>
    <w:rsid w:val="4E0302C9"/>
    <w:rsid w:val="4E030E28"/>
    <w:rsid w:val="4E031912"/>
    <w:rsid w:val="4E031D1D"/>
    <w:rsid w:val="4E033CFC"/>
    <w:rsid w:val="4E034A76"/>
    <w:rsid w:val="4E035DB6"/>
    <w:rsid w:val="4E037DFF"/>
    <w:rsid w:val="4E037EE6"/>
    <w:rsid w:val="4E04321E"/>
    <w:rsid w:val="4E04568A"/>
    <w:rsid w:val="4E045743"/>
    <w:rsid w:val="4E047438"/>
    <w:rsid w:val="4E047D27"/>
    <w:rsid w:val="4E0517CC"/>
    <w:rsid w:val="4E052BA9"/>
    <w:rsid w:val="4E054045"/>
    <w:rsid w:val="4E054A8D"/>
    <w:rsid w:val="4E054F98"/>
    <w:rsid w:val="4E056D40"/>
    <w:rsid w:val="4E060D84"/>
    <w:rsid w:val="4E061402"/>
    <w:rsid w:val="4E064079"/>
    <w:rsid w:val="4E065F47"/>
    <w:rsid w:val="4E067654"/>
    <w:rsid w:val="4E07119A"/>
    <w:rsid w:val="4E077E22"/>
    <w:rsid w:val="4E0833CC"/>
    <w:rsid w:val="4E083C12"/>
    <w:rsid w:val="4E0875E2"/>
    <w:rsid w:val="4E09014D"/>
    <w:rsid w:val="4E090986"/>
    <w:rsid w:val="4E094A4F"/>
    <w:rsid w:val="4E097F07"/>
    <w:rsid w:val="4E0A0EF3"/>
    <w:rsid w:val="4E0A1856"/>
    <w:rsid w:val="4E0A20C3"/>
    <w:rsid w:val="4E0A5081"/>
    <w:rsid w:val="4E0B00C5"/>
    <w:rsid w:val="4E0B128C"/>
    <w:rsid w:val="4E0B25E4"/>
    <w:rsid w:val="4E0B4C6B"/>
    <w:rsid w:val="4E0B6A19"/>
    <w:rsid w:val="4E0B6C26"/>
    <w:rsid w:val="4E0C05CF"/>
    <w:rsid w:val="4E0C779B"/>
    <w:rsid w:val="4E0C79EA"/>
    <w:rsid w:val="4E0D09E3"/>
    <w:rsid w:val="4E0D35E7"/>
    <w:rsid w:val="4E0D453F"/>
    <w:rsid w:val="4E0D56E5"/>
    <w:rsid w:val="4E0D5D57"/>
    <w:rsid w:val="4E0E3C66"/>
    <w:rsid w:val="4E0F02B7"/>
    <w:rsid w:val="4E0F0CBC"/>
    <w:rsid w:val="4E0F0EAD"/>
    <w:rsid w:val="4E0F3392"/>
    <w:rsid w:val="4E0F686C"/>
    <w:rsid w:val="4E102B54"/>
    <w:rsid w:val="4E10402F"/>
    <w:rsid w:val="4E110862"/>
    <w:rsid w:val="4E11118C"/>
    <w:rsid w:val="4E111BDC"/>
    <w:rsid w:val="4E115992"/>
    <w:rsid w:val="4E1170F0"/>
    <w:rsid w:val="4E117704"/>
    <w:rsid w:val="4E1202C4"/>
    <w:rsid w:val="4E121B55"/>
    <w:rsid w:val="4E12250E"/>
    <w:rsid w:val="4E125FF9"/>
    <w:rsid w:val="4E127DA7"/>
    <w:rsid w:val="4E131820"/>
    <w:rsid w:val="4E13385C"/>
    <w:rsid w:val="4E13667D"/>
    <w:rsid w:val="4E141C88"/>
    <w:rsid w:val="4E141D71"/>
    <w:rsid w:val="4E143B1F"/>
    <w:rsid w:val="4E1458CD"/>
    <w:rsid w:val="4E147C51"/>
    <w:rsid w:val="4E151100"/>
    <w:rsid w:val="4E151DA3"/>
    <w:rsid w:val="4E151F53"/>
    <w:rsid w:val="4E153D98"/>
    <w:rsid w:val="4E155253"/>
    <w:rsid w:val="4E157CCB"/>
    <w:rsid w:val="4E163165"/>
    <w:rsid w:val="4E164371"/>
    <w:rsid w:val="4E1650B6"/>
    <w:rsid w:val="4E167FBB"/>
    <w:rsid w:val="4E170092"/>
    <w:rsid w:val="4E172C1E"/>
    <w:rsid w:val="4E173610"/>
    <w:rsid w:val="4E17691C"/>
    <w:rsid w:val="4E1805BF"/>
    <w:rsid w:val="4E183C32"/>
    <w:rsid w:val="4E18401A"/>
    <w:rsid w:val="4E192052"/>
    <w:rsid w:val="4E19336A"/>
    <w:rsid w:val="4E194E4F"/>
    <w:rsid w:val="4E1A033A"/>
    <w:rsid w:val="4E1A6550"/>
    <w:rsid w:val="4E1A70F4"/>
    <w:rsid w:val="4E1A762A"/>
    <w:rsid w:val="4E1B020D"/>
    <w:rsid w:val="4E1B13D3"/>
    <w:rsid w:val="4E1B1742"/>
    <w:rsid w:val="4E1C0C26"/>
    <w:rsid w:val="4E1C29D4"/>
    <w:rsid w:val="4E1C4782"/>
    <w:rsid w:val="4E1C741C"/>
    <w:rsid w:val="4E1D0004"/>
    <w:rsid w:val="4E1D0323"/>
    <w:rsid w:val="4E1E04FA"/>
    <w:rsid w:val="4E1E499E"/>
    <w:rsid w:val="4E1E4ED1"/>
    <w:rsid w:val="4E1E571B"/>
    <w:rsid w:val="4E1E7219"/>
    <w:rsid w:val="4E1E7797"/>
    <w:rsid w:val="4E1F24C4"/>
    <w:rsid w:val="4E1F4272"/>
    <w:rsid w:val="4E1F6361"/>
    <w:rsid w:val="4E1F7A26"/>
    <w:rsid w:val="4E200716"/>
    <w:rsid w:val="4E2023C2"/>
    <w:rsid w:val="4E2025EA"/>
    <w:rsid w:val="4E2029A4"/>
    <w:rsid w:val="4E203CAC"/>
    <w:rsid w:val="4E2077F1"/>
    <w:rsid w:val="4E211718"/>
    <w:rsid w:val="4E212877"/>
    <w:rsid w:val="4E213F3E"/>
    <w:rsid w:val="4E213FA3"/>
    <w:rsid w:val="4E2140F4"/>
    <w:rsid w:val="4E214E73"/>
    <w:rsid w:val="4E215AE3"/>
    <w:rsid w:val="4E21623C"/>
    <w:rsid w:val="4E216598"/>
    <w:rsid w:val="4E217FEA"/>
    <w:rsid w:val="4E2226C4"/>
    <w:rsid w:val="4E224D71"/>
    <w:rsid w:val="4E227570"/>
    <w:rsid w:val="4E230E95"/>
    <w:rsid w:val="4E231FB4"/>
    <w:rsid w:val="4E2323E4"/>
    <w:rsid w:val="4E235B10"/>
    <w:rsid w:val="4E235D9D"/>
    <w:rsid w:val="4E240D1D"/>
    <w:rsid w:val="4E240F03"/>
    <w:rsid w:val="4E241889"/>
    <w:rsid w:val="4E251D3A"/>
    <w:rsid w:val="4E2528D1"/>
    <w:rsid w:val="4E254D3A"/>
    <w:rsid w:val="4E2552EC"/>
    <w:rsid w:val="4E255D2C"/>
    <w:rsid w:val="4E26090D"/>
    <w:rsid w:val="4E261AA5"/>
    <w:rsid w:val="4E263000"/>
    <w:rsid w:val="4E263853"/>
    <w:rsid w:val="4E2676B1"/>
    <w:rsid w:val="4E267CE6"/>
    <w:rsid w:val="4E274726"/>
    <w:rsid w:val="4E276C1B"/>
    <w:rsid w:val="4E280B54"/>
    <w:rsid w:val="4E2844A0"/>
    <w:rsid w:val="4E28529C"/>
    <w:rsid w:val="4E286018"/>
    <w:rsid w:val="4E28610E"/>
    <w:rsid w:val="4E286FB0"/>
    <w:rsid w:val="4E2875CB"/>
    <w:rsid w:val="4E287A26"/>
    <w:rsid w:val="4E290021"/>
    <w:rsid w:val="4E291FE4"/>
    <w:rsid w:val="4E293B34"/>
    <w:rsid w:val="4E2960C7"/>
    <w:rsid w:val="4E296E9F"/>
    <w:rsid w:val="4E297CCC"/>
    <w:rsid w:val="4E2A3343"/>
    <w:rsid w:val="4E2A3474"/>
    <w:rsid w:val="4E2A50F1"/>
    <w:rsid w:val="4E2A57A9"/>
    <w:rsid w:val="4E2A6045"/>
    <w:rsid w:val="4E2A7396"/>
    <w:rsid w:val="4E2A7AD5"/>
    <w:rsid w:val="4E2B0E69"/>
    <w:rsid w:val="4E2B2C17"/>
    <w:rsid w:val="4E2B2F33"/>
    <w:rsid w:val="4E2B5CEA"/>
    <w:rsid w:val="4E2B70BB"/>
    <w:rsid w:val="4E2B74D5"/>
    <w:rsid w:val="4E2B7E42"/>
    <w:rsid w:val="4E2C11BD"/>
    <w:rsid w:val="4E2C5C4A"/>
    <w:rsid w:val="4E2C5DC6"/>
    <w:rsid w:val="4E2D2E0C"/>
    <w:rsid w:val="4E2D4BE1"/>
    <w:rsid w:val="4E2E4192"/>
    <w:rsid w:val="4E2F201A"/>
    <w:rsid w:val="4E2F2707"/>
    <w:rsid w:val="4E30022D"/>
    <w:rsid w:val="4E300241"/>
    <w:rsid w:val="4E302240"/>
    <w:rsid w:val="4E30399A"/>
    <w:rsid w:val="4E30647F"/>
    <w:rsid w:val="4E311C06"/>
    <w:rsid w:val="4E314BC2"/>
    <w:rsid w:val="4E3213F3"/>
    <w:rsid w:val="4E3221F7"/>
    <w:rsid w:val="4E3228F3"/>
    <w:rsid w:val="4E323FA5"/>
    <w:rsid w:val="4E3247D7"/>
    <w:rsid w:val="4E3348B7"/>
    <w:rsid w:val="4E337B64"/>
    <w:rsid w:val="4E340D9C"/>
    <w:rsid w:val="4E3441C2"/>
    <w:rsid w:val="4E3453BE"/>
    <w:rsid w:val="4E345F70"/>
    <w:rsid w:val="4E347B01"/>
    <w:rsid w:val="4E352E25"/>
    <w:rsid w:val="4E353A96"/>
    <w:rsid w:val="4E355844"/>
    <w:rsid w:val="4E356DC4"/>
    <w:rsid w:val="4E3606EA"/>
    <w:rsid w:val="4E361358"/>
    <w:rsid w:val="4E36286F"/>
    <w:rsid w:val="4E363FDC"/>
    <w:rsid w:val="4E365948"/>
    <w:rsid w:val="4E37050A"/>
    <w:rsid w:val="4E3715BC"/>
    <w:rsid w:val="4E3736A6"/>
    <w:rsid w:val="4E373DF8"/>
    <w:rsid w:val="4E375A60"/>
    <w:rsid w:val="4E37780E"/>
    <w:rsid w:val="4E3779B2"/>
    <w:rsid w:val="4E382467"/>
    <w:rsid w:val="4E383064"/>
    <w:rsid w:val="4E393586"/>
    <w:rsid w:val="4E39492D"/>
    <w:rsid w:val="4E395334"/>
    <w:rsid w:val="4E3A2449"/>
    <w:rsid w:val="4E3A2539"/>
    <w:rsid w:val="4E3A2F69"/>
    <w:rsid w:val="4E3B2BF0"/>
    <w:rsid w:val="4E3B3239"/>
    <w:rsid w:val="4E3B65C9"/>
    <w:rsid w:val="4E3C0196"/>
    <w:rsid w:val="4E3C3076"/>
    <w:rsid w:val="4E3C4E24"/>
    <w:rsid w:val="4E3C5889"/>
    <w:rsid w:val="4E3C6BD2"/>
    <w:rsid w:val="4E3C6D19"/>
    <w:rsid w:val="4E3D18EA"/>
    <w:rsid w:val="4E3D1A7E"/>
    <w:rsid w:val="4E3D70E2"/>
    <w:rsid w:val="4E3D71AB"/>
    <w:rsid w:val="4E3E04AC"/>
    <w:rsid w:val="4E3E0983"/>
    <w:rsid w:val="4E3E09D7"/>
    <w:rsid w:val="4E3E14EB"/>
    <w:rsid w:val="4E3E294A"/>
    <w:rsid w:val="4E3E4261"/>
    <w:rsid w:val="4E3E6DEE"/>
    <w:rsid w:val="4E3F0215"/>
    <w:rsid w:val="4E3F15FC"/>
    <w:rsid w:val="4E3F66C2"/>
    <w:rsid w:val="4E4010D5"/>
    <w:rsid w:val="4E401E63"/>
    <w:rsid w:val="4E401F49"/>
    <w:rsid w:val="4E40569A"/>
    <w:rsid w:val="4E4067A7"/>
    <w:rsid w:val="4E406B8A"/>
    <w:rsid w:val="4E406DDB"/>
    <w:rsid w:val="4E4107C9"/>
    <w:rsid w:val="4E411EA9"/>
    <w:rsid w:val="4E41243B"/>
    <w:rsid w:val="4E413604"/>
    <w:rsid w:val="4E434405"/>
    <w:rsid w:val="4E435593"/>
    <w:rsid w:val="4E4361B3"/>
    <w:rsid w:val="4E43750F"/>
    <w:rsid w:val="4E437F61"/>
    <w:rsid w:val="4E447ECF"/>
    <w:rsid w:val="4E45017D"/>
    <w:rsid w:val="4E452B94"/>
    <w:rsid w:val="4E453CD9"/>
    <w:rsid w:val="4E456CE3"/>
    <w:rsid w:val="4E464567"/>
    <w:rsid w:val="4E465151"/>
    <w:rsid w:val="4E4671A0"/>
    <w:rsid w:val="4E467A51"/>
    <w:rsid w:val="4E467CA6"/>
    <w:rsid w:val="4E4719DF"/>
    <w:rsid w:val="4E472ADD"/>
    <w:rsid w:val="4E473EF5"/>
    <w:rsid w:val="4E474702"/>
    <w:rsid w:val="4E4759C6"/>
    <w:rsid w:val="4E481A1B"/>
    <w:rsid w:val="4E483EDA"/>
    <w:rsid w:val="4E485577"/>
    <w:rsid w:val="4E485CF7"/>
    <w:rsid w:val="4E4869FD"/>
    <w:rsid w:val="4E48715A"/>
    <w:rsid w:val="4E48798B"/>
    <w:rsid w:val="4E493D43"/>
    <w:rsid w:val="4E4979A8"/>
    <w:rsid w:val="4E497DF7"/>
    <w:rsid w:val="4E4A12EF"/>
    <w:rsid w:val="4E4A3B4C"/>
    <w:rsid w:val="4E4A5793"/>
    <w:rsid w:val="4E4A6555"/>
    <w:rsid w:val="4E4B32B9"/>
    <w:rsid w:val="4E4B4EB2"/>
    <w:rsid w:val="4E4B5017"/>
    <w:rsid w:val="4E4B7C6A"/>
    <w:rsid w:val="4E4C150B"/>
    <w:rsid w:val="4E4C2B8C"/>
    <w:rsid w:val="4E4C4AFA"/>
    <w:rsid w:val="4E4C680E"/>
    <w:rsid w:val="4E4C7F4F"/>
    <w:rsid w:val="4E4D0DDF"/>
    <w:rsid w:val="4E4D7031"/>
    <w:rsid w:val="4E4D7749"/>
    <w:rsid w:val="4E4E02EF"/>
    <w:rsid w:val="4E4E112E"/>
    <w:rsid w:val="4E4E44F6"/>
    <w:rsid w:val="4E4E5F2C"/>
    <w:rsid w:val="4E4F0218"/>
    <w:rsid w:val="4E4F3D01"/>
    <w:rsid w:val="4E4F5DFC"/>
    <w:rsid w:val="4E4F6905"/>
    <w:rsid w:val="4E4F7106"/>
    <w:rsid w:val="4E5008D0"/>
    <w:rsid w:val="4E500C3F"/>
    <w:rsid w:val="4E50120C"/>
    <w:rsid w:val="4E501598"/>
    <w:rsid w:val="4E5024FE"/>
    <w:rsid w:val="4E51661F"/>
    <w:rsid w:val="4E517865"/>
    <w:rsid w:val="4E52289A"/>
    <w:rsid w:val="4E525AD6"/>
    <w:rsid w:val="4E53150C"/>
    <w:rsid w:val="4E532EA2"/>
    <w:rsid w:val="4E535361"/>
    <w:rsid w:val="4E535D46"/>
    <w:rsid w:val="4E536DB0"/>
    <w:rsid w:val="4E53773C"/>
    <w:rsid w:val="4E5403C0"/>
    <w:rsid w:val="4E54216E"/>
    <w:rsid w:val="4E542868"/>
    <w:rsid w:val="4E5464E9"/>
    <w:rsid w:val="4E546612"/>
    <w:rsid w:val="4E5474D6"/>
    <w:rsid w:val="4E557C94"/>
    <w:rsid w:val="4E563BD2"/>
    <w:rsid w:val="4E564138"/>
    <w:rsid w:val="4E566574"/>
    <w:rsid w:val="4E570203"/>
    <w:rsid w:val="4E571D5F"/>
    <w:rsid w:val="4E573A0C"/>
    <w:rsid w:val="4E575794"/>
    <w:rsid w:val="4E577EB0"/>
    <w:rsid w:val="4E5864F2"/>
    <w:rsid w:val="4E590239"/>
    <w:rsid w:val="4E5931B8"/>
    <w:rsid w:val="4E593A09"/>
    <w:rsid w:val="4E5959D6"/>
    <w:rsid w:val="4E5964F7"/>
    <w:rsid w:val="4E597784"/>
    <w:rsid w:val="4E597982"/>
    <w:rsid w:val="4E5A514A"/>
    <w:rsid w:val="4E5B34FC"/>
    <w:rsid w:val="4E5B6B5F"/>
    <w:rsid w:val="4E5B79A0"/>
    <w:rsid w:val="4E5C54C6"/>
    <w:rsid w:val="4E5C5905"/>
    <w:rsid w:val="4E5C680E"/>
    <w:rsid w:val="4E5C7274"/>
    <w:rsid w:val="4E5D0341"/>
    <w:rsid w:val="4E5D2DD2"/>
    <w:rsid w:val="4E5D3783"/>
    <w:rsid w:val="4E5D6746"/>
    <w:rsid w:val="4E5E3241"/>
    <w:rsid w:val="4E5E4C18"/>
    <w:rsid w:val="4E5E57C4"/>
    <w:rsid w:val="4E5F0C0E"/>
    <w:rsid w:val="4E5F5982"/>
    <w:rsid w:val="4E5F6030"/>
    <w:rsid w:val="4E5F697C"/>
    <w:rsid w:val="4E600B13"/>
    <w:rsid w:val="4E6018DB"/>
    <w:rsid w:val="4E602517"/>
    <w:rsid w:val="4E604F8D"/>
    <w:rsid w:val="4E606D65"/>
    <w:rsid w:val="4E610A1E"/>
    <w:rsid w:val="4E61488B"/>
    <w:rsid w:val="4E6162CB"/>
    <w:rsid w:val="4E616639"/>
    <w:rsid w:val="4E620A47"/>
    <w:rsid w:val="4E62222F"/>
    <w:rsid w:val="4E62272A"/>
    <w:rsid w:val="4E623C1C"/>
    <w:rsid w:val="4E6323B1"/>
    <w:rsid w:val="4E633C51"/>
    <w:rsid w:val="4E634A61"/>
    <w:rsid w:val="4E634C14"/>
    <w:rsid w:val="4E6356E6"/>
    <w:rsid w:val="4E6359E5"/>
    <w:rsid w:val="4E6360DE"/>
    <w:rsid w:val="4E636855"/>
    <w:rsid w:val="4E641B9E"/>
    <w:rsid w:val="4E644589"/>
    <w:rsid w:val="4E645A6E"/>
    <w:rsid w:val="4E6525CD"/>
    <w:rsid w:val="4E65437B"/>
    <w:rsid w:val="4E656129"/>
    <w:rsid w:val="4E6600F3"/>
    <w:rsid w:val="4E660AF6"/>
    <w:rsid w:val="4E665027"/>
    <w:rsid w:val="4E6655FD"/>
    <w:rsid w:val="4E670C45"/>
    <w:rsid w:val="4E672E45"/>
    <w:rsid w:val="4E675C6F"/>
    <w:rsid w:val="4E680309"/>
    <w:rsid w:val="4E683E6B"/>
    <w:rsid w:val="4E6867AE"/>
    <w:rsid w:val="4E6908F9"/>
    <w:rsid w:val="4E692B3C"/>
    <w:rsid w:val="4E694A00"/>
    <w:rsid w:val="4E69725B"/>
    <w:rsid w:val="4E697477"/>
    <w:rsid w:val="4E6A1991"/>
    <w:rsid w:val="4E6A4621"/>
    <w:rsid w:val="4E6A6F1A"/>
    <w:rsid w:val="4E6A73C2"/>
    <w:rsid w:val="4E6A78E3"/>
    <w:rsid w:val="4E6A7BE3"/>
    <w:rsid w:val="4E6B10BB"/>
    <w:rsid w:val="4E6B144B"/>
    <w:rsid w:val="4E6B76D9"/>
    <w:rsid w:val="4E6C3227"/>
    <w:rsid w:val="4E6C395B"/>
    <w:rsid w:val="4E6C5868"/>
    <w:rsid w:val="4E6D278B"/>
    <w:rsid w:val="4E6D6203"/>
    <w:rsid w:val="4E6D74EB"/>
    <w:rsid w:val="4E6E043B"/>
    <w:rsid w:val="4E6E344D"/>
    <w:rsid w:val="4E6E5455"/>
    <w:rsid w:val="4E6F0752"/>
    <w:rsid w:val="4E6F0D56"/>
    <w:rsid w:val="4E6F59F8"/>
    <w:rsid w:val="4E6F6FA8"/>
    <w:rsid w:val="4E701485"/>
    <w:rsid w:val="4E701699"/>
    <w:rsid w:val="4E7054E1"/>
    <w:rsid w:val="4E707A86"/>
    <w:rsid w:val="4E710F72"/>
    <w:rsid w:val="4E714AA9"/>
    <w:rsid w:val="4E716530"/>
    <w:rsid w:val="4E717DB8"/>
    <w:rsid w:val="4E720846"/>
    <w:rsid w:val="4E724CEA"/>
    <w:rsid w:val="4E72647F"/>
    <w:rsid w:val="4E72668C"/>
    <w:rsid w:val="4E731A88"/>
    <w:rsid w:val="4E7341FB"/>
    <w:rsid w:val="4E736BF3"/>
    <w:rsid w:val="4E74107F"/>
    <w:rsid w:val="4E7445BE"/>
    <w:rsid w:val="4E74636C"/>
    <w:rsid w:val="4E7500F3"/>
    <w:rsid w:val="4E75082D"/>
    <w:rsid w:val="4E7520E4"/>
    <w:rsid w:val="4E754B22"/>
    <w:rsid w:val="4E760336"/>
    <w:rsid w:val="4E766588"/>
    <w:rsid w:val="4E77033A"/>
    <w:rsid w:val="4E772300"/>
    <w:rsid w:val="4E77322E"/>
    <w:rsid w:val="4E7740AE"/>
    <w:rsid w:val="4E774306"/>
    <w:rsid w:val="4E775E5C"/>
    <w:rsid w:val="4E7810D4"/>
    <w:rsid w:val="4E7812DF"/>
    <w:rsid w:val="4E781F0A"/>
    <w:rsid w:val="4E782796"/>
    <w:rsid w:val="4E786507"/>
    <w:rsid w:val="4E787F9E"/>
    <w:rsid w:val="4E792417"/>
    <w:rsid w:val="4E79283F"/>
    <w:rsid w:val="4E792A43"/>
    <w:rsid w:val="4E7941A2"/>
    <w:rsid w:val="4E797E26"/>
    <w:rsid w:val="4E7A03D2"/>
    <w:rsid w:val="4E7A08D1"/>
    <w:rsid w:val="4E7A644B"/>
    <w:rsid w:val="4E7B3B9E"/>
    <w:rsid w:val="4E7B594C"/>
    <w:rsid w:val="4E7B76FB"/>
    <w:rsid w:val="4E7C3473"/>
    <w:rsid w:val="4E7C3FC0"/>
    <w:rsid w:val="4E7C5AD8"/>
    <w:rsid w:val="4E7D2BF2"/>
    <w:rsid w:val="4E7D563C"/>
    <w:rsid w:val="4E7D643F"/>
    <w:rsid w:val="4E7D6D7D"/>
    <w:rsid w:val="4E7D7ABA"/>
    <w:rsid w:val="4E7F0D8B"/>
    <w:rsid w:val="4E7F6B08"/>
    <w:rsid w:val="4E8008F1"/>
    <w:rsid w:val="4E8011B5"/>
    <w:rsid w:val="4E80426E"/>
    <w:rsid w:val="4E810FA4"/>
    <w:rsid w:val="4E8122FA"/>
    <w:rsid w:val="4E816CDB"/>
    <w:rsid w:val="4E824F2D"/>
    <w:rsid w:val="4E8259A3"/>
    <w:rsid w:val="4E830CA5"/>
    <w:rsid w:val="4E831018"/>
    <w:rsid w:val="4E8314AE"/>
    <w:rsid w:val="4E8319E6"/>
    <w:rsid w:val="4E832A53"/>
    <w:rsid w:val="4E836B6B"/>
    <w:rsid w:val="4E84293E"/>
    <w:rsid w:val="4E844D41"/>
    <w:rsid w:val="4E845DD1"/>
    <w:rsid w:val="4E8462A0"/>
    <w:rsid w:val="4E84656D"/>
    <w:rsid w:val="4E850579"/>
    <w:rsid w:val="4E852778"/>
    <w:rsid w:val="4E855305"/>
    <w:rsid w:val="4E8567CB"/>
    <w:rsid w:val="4E856E74"/>
    <w:rsid w:val="4E861570"/>
    <w:rsid w:val="4E8651D3"/>
    <w:rsid w:val="4E8727E3"/>
    <w:rsid w:val="4E874532"/>
    <w:rsid w:val="4E884DEF"/>
    <w:rsid w:val="4E8A02B5"/>
    <w:rsid w:val="4E8A5B90"/>
    <w:rsid w:val="4E8A7492"/>
    <w:rsid w:val="4E8A7EF1"/>
    <w:rsid w:val="4E8B1B4F"/>
    <w:rsid w:val="4E8B4335"/>
    <w:rsid w:val="4E8B4E97"/>
    <w:rsid w:val="4E8B6EBF"/>
    <w:rsid w:val="4E8C2811"/>
    <w:rsid w:val="4E8C7B5A"/>
    <w:rsid w:val="4E8D38D2"/>
    <w:rsid w:val="4E8D6872"/>
    <w:rsid w:val="4E8E1784"/>
    <w:rsid w:val="4E8E69C0"/>
    <w:rsid w:val="4E8F079F"/>
    <w:rsid w:val="4E8F1537"/>
    <w:rsid w:val="4E8F1A62"/>
    <w:rsid w:val="4E8F44BE"/>
    <w:rsid w:val="4E8F764A"/>
    <w:rsid w:val="4E90237F"/>
    <w:rsid w:val="4E902622"/>
    <w:rsid w:val="4E90766F"/>
    <w:rsid w:val="4E9133C2"/>
    <w:rsid w:val="4E913CF2"/>
    <w:rsid w:val="4E915170"/>
    <w:rsid w:val="4E9177FE"/>
    <w:rsid w:val="4E920EE8"/>
    <w:rsid w:val="4E92466E"/>
    <w:rsid w:val="4E927ABF"/>
    <w:rsid w:val="4E931470"/>
    <w:rsid w:val="4E935028"/>
    <w:rsid w:val="4E93713A"/>
    <w:rsid w:val="4E9407BC"/>
    <w:rsid w:val="4E942743"/>
    <w:rsid w:val="4E9443E8"/>
    <w:rsid w:val="4E9449AE"/>
    <w:rsid w:val="4E944C60"/>
    <w:rsid w:val="4E945A5C"/>
    <w:rsid w:val="4E945C3D"/>
    <w:rsid w:val="4E9538C3"/>
    <w:rsid w:val="4E955C33"/>
    <w:rsid w:val="4E962786"/>
    <w:rsid w:val="4E965DAC"/>
    <w:rsid w:val="4E9667EE"/>
    <w:rsid w:val="4E9702AC"/>
    <w:rsid w:val="4E971B5D"/>
    <w:rsid w:val="4E9724F5"/>
    <w:rsid w:val="4E975AD7"/>
    <w:rsid w:val="4E9767AB"/>
    <w:rsid w:val="4E980F7A"/>
    <w:rsid w:val="4E9838A7"/>
    <w:rsid w:val="4E985DC5"/>
    <w:rsid w:val="4E9904C8"/>
    <w:rsid w:val="4E991F0B"/>
    <w:rsid w:val="4E994E15"/>
    <w:rsid w:val="4E996CD0"/>
    <w:rsid w:val="4E9A0C44"/>
    <w:rsid w:val="4E9A5CE9"/>
    <w:rsid w:val="4E9A62A5"/>
    <w:rsid w:val="4E9A6FEE"/>
    <w:rsid w:val="4E9B0E76"/>
    <w:rsid w:val="4E9B5FEF"/>
    <w:rsid w:val="4E9B7D9D"/>
    <w:rsid w:val="4E9C056E"/>
    <w:rsid w:val="4E9C0BC5"/>
    <w:rsid w:val="4E9C26BF"/>
    <w:rsid w:val="4E9C50B5"/>
    <w:rsid w:val="4E9C6AF3"/>
    <w:rsid w:val="4E9C721A"/>
    <w:rsid w:val="4E9D1D67"/>
    <w:rsid w:val="4E9D422A"/>
    <w:rsid w:val="4E9D56BF"/>
    <w:rsid w:val="4E9D67FB"/>
    <w:rsid w:val="4E9D73B0"/>
    <w:rsid w:val="4E9D7BD3"/>
    <w:rsid w:val="4E9E0C0D"/>
    <w:rsid w:val="4E9E163B"/>
    <w:rsid w:val="4E9E3C5D"/>
    <w:rsid w:val="4E9E77F7"/>
    <w:rsid w:val="4E9E788D"/>
    <w:rsid w:val="4EA053B3"/>
    <w:rsid w:val="4EA07161"/>
    <w:rsid w:val="4EA07FD5"/>
    <w:rsid w:val="4EA13CE0"/>
    <w:rsid w:val="4EA20CE3"/>
    <w:rsid w:val="4EA2112B"/>
    <w:rsid w:val="4EA229FA"/>
    <w:rsid w:val="4EA22E98"/>
    <w:rsid w:val="4EA2613A"/>
    <w:rsid w:val="4EA2737D"/>
    <w:rsid w:val="4EA312FE"/>
    <w:rsid w:val="4EA33323"/>
    <w:rsid w:val="4EA34E76"/>
    <w:rsid w:val="4EA36892"/>
    <w:rsid w:val="4EA3747C"/>
    <w:rsid w:val="4EA406F6"/>
    <w:rsid w:val="4EA40A65"/>
    <w:rsid w:val="4EA40AAA"/>
    <w:rsid w:val="4EA43411"/>
    <w:rsid w:val="4EA533B8"/>
    <w:rsid w:val="4EA56E6D"/>
    <w:rsid w:val="4EA64C76"/>
    <w:rsid w:val="4EA672BC"/>
    <w:rsid w:val="4EA74993"/>
    <w:rsid w:val="4EA763A6"/>
    <w:rsid w:val="4EA766C6"/>
    <w:rsid w:val="4EA76741"/>
    <w:rsid w:val="4EA8070C"/>
    <w:rsid w:val="4EA824BA"/>
    <w:rsid w:val="4EA8347A"/>
    <w:rsid w:val="4EA84268"/>
    <w:rsid w:val="4EA85648"/>
    <w:rsid w:val="4EA8711B"/>
    <w:rsid w:val="4EA913DD"/>
    <w:rsid w:val="4EA923B8"/>
    <w:rsid w:val="4EA92A2A"/>
    <w:rsid w:val="4EA92AE0"/>
    <w:rsid w:val="4EA941CC"/>
    <w:rsid w:val="4EA96CB6"/>
    <w:rsid w:val="4EAA1ACE"/>
    <w:rsid w:val="4EAA22D5"/>
    <w:rsid w:val="4EAA3D57"/>
    <w:rsid w:val="4EAA4484"/>
    <w:rsid w:val="4EAA459F"/>
    <w:rsid w:val="4EAA56B5"/>
    <w:rsid w:val="4EAA6232"/>
    <w:rsid w:val="4EAA7239"/>
    <w:rsid w:val="4EAA7FE0"/>
    <w:rsid w:val="4EAB057C"/>
    <w:rsid w:val="4EAB1DFB"/>
    <w:rsid w:val="4EAB6A87"/>
    <w:rsid w:val="4EAB7F8E"/>
    <w:rsid w:val="4EAC01FC"/>
    <w:rsid w:val="4EAC1F19"/>
    <w:rsid w:val="4EAC3639"/>
    <w:rsid w:val="4EAC3D58"/>
    <w:rsid w:val="4EAC5131"/>
    <w:rsid w:val="4EAC6F42"/>
    <w:rsid w:val="4EAD344C"/>
    <w:rsid w:val="4EAD34DD"/>
    <w:rsid w:val="4EAD471B"/>
    <w:rsid w:val="4EAD73F0"/>
    <w:rsid w:val="4EAD7AD0"/>
    <w:rsid w:val="4EAE270C"/>
    <w:rsid w:val="4EAE2FF3"/>
    <w:rsid w:val="4EAE3744"/>
    <w:rsid w:val="4EAE7D7D"/>
    <w:rsid w:val="4EAF0979"/>
    <w:rsid w:val="4EAF0E6B"/>
    <w:rsid w:val="4EAF1A9A"/>
    <w:rsid w:val="4EAF3848"/>
    <w:rsid w:val="4EAF703B"/>
    <w:rsid w:val="4EAF71A5"/>
    <w:rsid w:val="4EB00B88"/>
    <w:rsid w:val="4EB05E33"/>
    <w:rsid w:val="4EB11F7D"/>
    <w:rsid w:val="4EB15812"/>
    <w:rsid w:val="4EB17D2C"/>
    <w:rsid w:val="4EB22579"/>
    <w:rsid w:val="4EB25017"/>
    <w:rsid w:val="4EB250E6"/>
    <w:rsid w:val="4EB3158A"/>
    <w:rsid w:val="4EB318CF"/>
    <w:rsid w:val="4EB325F9"/>
    <w:rsid w:val="4EB33338"/>
    <w:rsid w:val="4EB33829"/>
    <w:rsid w:val="4EB34B20"/>
    <w:rsid w:val="4EB358C8"/>
    <w:rsid w:val="4EB36E4C"/>
    <w:rsid w:val="4EB405FB"/>
    <w:rsid w:val="4EB40E5E"/>
    <w:rsid w:val="4EB42325"/>
    <w:rsid w:val="4EB44B8B"/>
    <w:rsid w:val="4EB45A8C"/>
    <w:rsid w:val="4EB470B0"/>
    <w:rsid w:val="4EB52EAD"/>
    <w:rsid w:val="4EB559FD"/>
    <w:rsid w:val="4EB6109F"/>
    <w:rsid w:val="4EB640F1"/>
    <w:rsid w:val="4EB66985"/>
    <w:rsid w:val="4EB66F22"/>
    <w:rsid w:val="4EB8094F"/>
    <w:rsid w:val="4EB83CBD"/>
    <w:rsid w:val="4EB83F5C"/>
    <w:rsid w:val="4EB86BA1"/>
    <w:rsid w:val="4EB871EB"/>
    <w:rsid w:val="4EB91B4E"/>
    <w:rsid w:val="4EB92CBE"/>
    <w:rsid w:val="4EB946C7"/>
    <w:rsid w:val="4EB96475"/>
    <w:rsid w:val="4EBA2CA1"/>
    <w:rsid w:val="4EBA2DEE"/>
    <w:rsid w:val="4EBA4AE3"/>
    <w:rsid w:val="4EBA532C"/>
    <w:rsid w:val="4EBA746F"/>
    <w:rsid w:val="4EBB2D8F"/>
    <w:rsid w:val="4EBB416A"/>
    <w:rsid w:val="4EBB53B2"/>
    <w:rsid w:val="4EBB6D1F"/>
    <w:rsid w:val="4EBC01AF"/>
    <w:rsid w:val="4EBC426C"/>
    <w:rsid w:val="4EBD4210"/>
    <w:rsid w:val="4EBD5695"/>
    <w:rsid w:val="4EBE143F"/>
    <w:rsid w:val="4EBE1CDD"/>
    <w:rsid w:val="4EBE43CB"/>
    <w:rsid w:val="4EBE56A0"/>
    <w:rsid w:val="4EBE7F2F"/>
    <w:rsid w:val="4EBF04B1"/>
    <w:rsid w:val="4EBF1799"/>
    <w:rsid w:val="4EBF70C1"/>
    <w:rsid w:val="4EC00C58"/>
    <w:rsid w:val="4EC02555"/>
    <w:rsid w:val="4EC040F9"/>
    <w:rsid w:val="4EC04E6D"/>
    <w:rsid w:val="4EC05A55"/>
    <w:rsid w:val="4EC07B5F"/>
    <w:rsid w:val="4EC14021"/>
    <w:rsid w:val="4EC14B27"/>
    <w:rsid w:val="4EC20355"/>
    <w:rsid w:val="4EC209D3"/>
    <w:rsid w:val="4EC21248"/>
    <w:rsid w:val="4EC221B6"/>
    <w:rsid w:val="4EC2357B"/>
    <w:rsid w:val="4EC25894"/>
    <w:rsid w:val="4EC26210"/>
    <w:rsid w:val="4EC27184"/>
    <w:rsid w:val="4EC279CC"/>
    <w:rsid w:val="4EC304DB"/>
    <w:rsid w:val="4EC3367F"/>
    <w:rsid w:val="4EC33C3A"/>
    <w:rsid w:val="4EC42DAB"/>
    <w:rsid w:val="4EC44C59"/>
    <w:rsid w:val="4EC45545"/>
    <w:rsid w:val="4EC47DD1"/>
    <w:rsid w:val="4EC50A36"/>
    <w:rsid w:val="4EC512BE"/>
    <w:rsid w:val="4EC516B6"/>
    <w:rsid w:val="4EC5306C"/>
    <w:rsid w:val="4EC547A2"/>
    <w:rsid w:val="4EC56BC8"/>
    <w:rsid w:val="4EC67249"/>
    <w:rsid w:val="4EC72940"/>
    <w:rsid w:val="4EC74844"/>
    <w:rsid w:val="4EC750F4"/>
    <w:rsid w:val="4EC76987"/>
    <w:rsid w:val="4EC769FD"/>
    <w:rsid w:val="4EC77F20"/>
    <w:rsid w:val="4EC82D90"/>
    <w:rsid w:val="4EC87578"/>
    <w:rsid w:val="4EC92B5C"/>
    <w:rsid w:val="4EC963EA"/>
    <w:rsid w:val="4ECA0682"/>
    <w:rsid w:val="4ECA68D4"/>
    <w:rsid w:val="4ECB0E0C"/>
    <w:rsid w:val="4ECB21A1"/>
    <w:rsid w:val="4ECC43FA"/>
    <w:rsid w:val="4ECC7CA4"/>
    <w:rsid w:val="4ECD1134"/>
    <w:rsid w:val="4ECD19D4"/>
    <w:rsid w:val="4ECD1F20"/>
    <w:rsid w:val="4ECD29C7"/>
    <w:rsid w:val="4ECD3CCE"/>
    <w:rsid w:val="4ECE0172"/>
    <w:rsid w:val="4ECE5195"/>
    <w:rsid w:val="4ECF13C9"/>
    <w:rsid w:val="4ECF3EEA"/>
    <w:rsid w:val="4ECF4085"/>
    <w:rsid w:val="4ECF7A46"/>
    <w:rsid w:val="4ED03843"/>
    <w:rsid w:val="4ED0539D"/>
    <w:rsid w:val="4ED11A10"/>
    <w:rsid w:val="4ED137BE"/>
    <w:rsid w:val="4ED13B16"/>
    <w:rsid w:val="4ED17C62"/>
    <w:rsid w:val="4ED212E5"/>
    <w:rsid w:val="4ED22C92"/>
    <w:rsid w:val="4ED23DD4"/>
    <w:rsid w:val="4ED307D3"/>
    <w:rsid w:val="4ED30E33"/>
    <w:rsid w:val="4ED31DB2"/>
    <w:rsid w:val="4ED32933"/>
    <w:rsid w:val="4ED32EA3"/>
    <w:rsid w:val="4ED32FA7"/>
    <w:rsid w:val="4ED33865"/>
    <w:rsid w:val="4ED40086"/>
    <w:rsid w:val="4ED41007"/>
    <w:rsid w:val="4ED43D8A"/>
    <w:rsid w:val="4ED4505D"/>
    <w:rsid w:val="4ED51530"/>
    <w:rsid w:val="4ED52497"/>
    <w:rsid w:val="4ED55E22"/>
    <w:rsid w:val="4ED56DC3"/>
    <w:rsid w:val="4ED60DD5"/>
    <w:rsid w:val="4ED6285E"/>
    <w:rsid w:val="4ED63927"/>
    <w:rsid w:val="4ED65279"/>
    <w:rsid w:val="4ED655C1"/>
    <w:rsid w:val="4ED67027"/>
    <w:rsid w:val="4ED70F4C"/>
    <w:rsid w:val="4ED735AB"/>
    <w:rsid w:val="4ED736E4"/>
    <w:rsid w:val="4ED74DB7"/>
    <w:rsid w:val="4ED77988"/>
    <w:rsid w:val="4ED80CF4"/>
    <w:rsid w:val="4ED80FF1"/>
    <w:rsid w:val="4ED81308"/>
    <w:rsid w:val="4ED82D9F"/>
    <w:rsid w:val="4ED82DC2"/>
    <w:rsid w:val="4ED83285"/>
    <w:rsid w:val="4ED84019"/>
    <w:rsid w:val="4ED85BF4"/>
    <w:rsid w:val="4ED9021D"/>
    <w:rsid w:val="4ED908C5"/>
    <w:rsid w:val="4ED922A8"/>
    <w:rsid w:val="4ED92913"/>
    <w:rsid w:val="4ED96B17"/>
    <w:rsid w:val="4EDA0F7D"/>
    <w:rsid w:val="4EDA2D39"/>
    <w:rsid w:val="4EDA3192"/>
    <w:rsid w:val="4EDB288F"/>
    <w:rsid w:val="4EDB69F5"/>
    <w:rsid w:val="4EDB720F"/>
    <w:rsid w:val="4EDB72D1"/>
    <w:rsid w:val="4EDB7EFD"/>
    <w:rsid w:val="4EDC448F"/>
    <w:rsid w:val="4EDC53EC"/>
    <w:rsid w:val="4EDC62B6"/>
    <w:rsid w:val="4EDD03B5"/>
    <w:rsid w:val="4EDD2163"/>
    <w:rsid w:val="4EDD2CC1"/>
    <w:rsid w:val="4EDD614A"/>
    <w:rsid w:val="4EDD6607"/>
    <w:rsid w:val="4EDD690D"/>
    <w:rsid w:val="4EDD6D53"/>
    <w:rsid w:val="4EDD7ED7"/>
    <w:rsid w:val="4EDE0D99"/>
    <w:rsid w:val="4EDE5EDB"/>
    <w:rsid w:val="4EDF1132"/>
    <w:rsid w:val="4EDF237F"/>
    <w:rsid w:val="4EDF445E"/>
    <w:rsid w:val="4EDF49D9"/>
    <w:rsid w:val="4EDF6859"/>
    <w:rsid w:val="4EE05B65"/>
    <w:rsid w:val="4EE07514"/>
    <w:rsid w:val="4EE07EA5"/>
    <w:rsid w:val="4EE121CB"/>
    <w:rsid w:val="4EE136F4"/>
    <w:rsid w:val="4EE17399"/>
    <w:rsid w:val="4EE25698"/>
    <w:rsid w:val="4EE334F2"/>
    <w:rsid w:val="4EE40E93"/>
    <w:rsid w:val="4EE47F0B"/>
    <w:rsid w:val="4EE51018"/>
    <w:rsid w:val="4EE5726A"/>
    <w:rsid w:val="4EE57D03"/>
    <w:rsid w:val="4EE63CFF"/>
    <w:rsid w:val="4EE65383"/>
    <w:rsid w:val="4EE65DA3"/>
    <w:rsid w:val="4EE70AD6"/>
    <w:rsid w:val="4EE7146F"/>
    <w:rsid w:val="4EE719D5"/>
    <w:rsid w:val="4EE7341F"/>
    <w:rsid w:val="4EE74D90"/>
    <w:rsid w:val="4EE77FD4"/>
    <w:rsid w:val="4EE80B08"/>
    <w:rsid w:val="4EE85292"/>
    <w:rsid w:val="4EE904C5"/>
    <w:rsid w:val="4EE90AE4"/>
    <w:rsid w:val="4EE90E1F"/>
    <w:rsid w:val="4EE91CFF"/>
    <w:rsid w:val="4EE92780"/>
    <w:rsid w:val="4EE94D97"/>
    <w:rsid w:val="4EEA2AD2"/>
    <w:rsid w:val="4EEA4880"/>
    <w:rsid w:val="4EEA6F3B"/>
    <w:rsid w:val="4EEA7ADA"/>
    <w:rsid w:val="4EEC23A6"/>
    <w:rsid w:val="4EEC3FE5"/>
    <w:rsid w:val="4EEC684A"/>
    <w:rsid w:val="4EEC7927"/>
    <w:rsid w:val="4EED1BAD"/>
    <w:rsid w:val="4EED26CB"/>
    <w:rsid w:val="4EED38E1"/>
    <w:rsid w:val="4EED3F7B"/>
    <w:rsid w:val="4EED444F"/>
    <w:rsid w:val="4EED50BA"/>
    <w:rsid w:val="4EEE31B4"/>
    <w:rsid w:val="4EEE3F21"/>
    <w:rsid w:val="4EEE5B7D"/>
    <w:rsid w:val="4EEF1E97"/>
    <w:rsid w:val="4EEF633A"/>
    <w:rsid w:val="4EEF743E"/>
    <w:rsid w:val="4EF00214"/>
    <w:rsid w:val="4EF04538"/>
    <w:rsid w:val="4EF050F2"/>
    <w:rsid w:val="4EF0517F"/>
    <w:rsid w:val="4EF062CC"/>
    <w:rsid w:val="4EF06CA1"/>
    <w:rsid w:val="4EF15388"/>
    <w:rsid w:val="4EF15C72"/>
    <w:rsid w:val="4EF23735"/>
    <w:rsid w:val="4EF25A88"/>
    <w:rsid w:val="4EF25C98"/>
    <w:rsid w:val="4EF31987"/>
    <w:rsid w:val="4EF32E4E"/>
    <w:rsid w:val="4EF342DE"/>
    <w:rsid w:val="4EF37BD9"/>
    <w:rsid w:val="4EF43951"/>
    <w:rsid w:val="4EF456FF"/>
    <w:rsid w:val="4EF52B98"/>
    <w:rsid w:val="4EF57C42"/>
    <w:rsid w:val="4EF61477"/>
    <w:rsid w:val="4EF643A0"/>
    <w:rsid w:val="4EF74E7E"/>
    <w:rsid w:val="4EF76F64"/>
    <w:rsid w:val="4EF7758C"/>
    <w:rsid w:val="4EF808B0"/>
    <w:rsid w:val="4EF80CF1"/>
    <w:rsid w:val="4EF83441"/>
    <w:rsid w:val="4EF844D3"/>
    <w:rsid w:val="4EF851EF"/>
    <w:rsid w:val="4EF86362"/>
    <w:rsid w:val="4EF86CC0"/>
    <w:rsid w:val="4EF86F9D"/>
    <w:rsid w:val="4EF87C53"/>
    <w:rsid w:val="4EF92D15"/>
    <w:rsid w:val="4EF94AC3"/>
    <w:rsid w:val="4EFA76AD"/>
    <w:rsid w:val="4EFB083B"/>
    <w:rsid w:val="4EFB2A70"/>
    <w:rsid w:val="4EFB41B9"/>
    <w:rsid w:val="4EFB4BF7"/>
    <w:rsid w:val="4EFB6C75"/>
    <w:rsid w:val="4EFB72EB"/>
    <w:rsid w:val="4EFC30DC"/>
    <w:rsid w:val="4EFC3BDD"/>
    <w:rsid w:val="4EFC6A21"/>
    <w:rsid w:val="4EFD1E11"/>
    <w:rsid w:val="4EFD45B3"/>
    <w:rsid w:val="4EFD59E3"/>
    <w:rsid w:val="4EFD6F57"/>
    <w:rsid w:val="4EFE20DA"/>
    <w:rsid w:val="4EFE6F6C"/>
    <w:rsid w:val="4EFF0F13"/>
    <w:rsid w:val="4EFF10BE"/>
    <w:rsid w:val="4EFF5318"/>
    <w:rsid w:val="4EFF5B7A"/>
    <w:rsid w:val="4EFF657E"/>
    <w:rsid w:val="4EFF7563"/>
    <w:rsid w:val="4EFF7C5E"/>
    <w:rsid w:val="4F000EFC"/>
    <w:rsid w:val="4F0022F6"/>
    <w:rsid w:val="4F0040A4"/>
    <w:rsid w:val="4F004367"/>
    <w:rsid w:val="4F0056A8"/>
    <w:rsid w:val="4F014A44"/>
    <w:rsid w:val="4F014BA1"/>
    <w:rsid w:val="4F02066C"/>
    <w:rsid w:val="4F020D3F"/>
    <w:rsid w:val="4F0214B3"/>
    <w:rsid w:val="4F021BCA"/>
    <w:rsid w:val="4F022692"/>
    <w:rsid w:val="4F027E1C"/>
    <w:rsid w:val="4F031B9F"/>
    <w:rsid w:val="4F03400A"/>
    <w:rsid w:val="4F035942"/>
    <w:rsid w:val="4F036164"/>
    <w:rsid w:val="4F0379B0"/>
    <w:rsid w:val="4F041858"/>
    <w:rsid w:val="4F041B10"/>
    <w:rsid w:val="4F041C20"/>
    <w:rsid w:val="4F042D98"/>
    <w:rsid w:val="4F043066"/>
    <w:rsid w:val="4F043B94"/>
    <w:rsid w:val="4F051AF9"/>
    <w:rsid w:val="4F057775"/>
    <w:rsid w:val="4F05790C"/>
    <w:rsid w:val="4F0602E8"/>
    <w:rsid w:val="4F06470A"/>
    <w:rsid w:val="4F066EFC"/>
    <w:rsid w:val="4F070EE5"/>
    <w:rsid w:val="4F072673"/>
    <w:rsid w:val="4F072754"/>
    <w:rsid w:val="4F073684"/>
    <w:rsid w:val="4F076CC7"/>
    <w:rsid w:val="4F0771E0"/>
    <w:rsid w:val="4F083C3D"/>
    <w:rsid w:val="4F087AC6"/>
    <w:rsid w:val="4F0911AA"/>
    <w:rsid w:val="4F091ADF"/>
    <w:rsid w:val="4F094C8C"/>
    <w:rsid w:val="4F095074"/>
    <w:rsid w:val="4F0952FF"/>
    <w:rsid w:val="4F0973FC"/>
    <w:rsid w:val="4F097C45"/>
    <w:rsid w:val="4F0A115A"/>
    <w:rsid w:val="4F0A21E4"/>
    <w:rsid w:val="4F0A6371"/>
    <w:rsid w:val="4F0A6CD0"/>
    <w:rsid w:val="4F0B2565"/>
    <w:rsid w:val="4F0B3174"/>
    <w:rsid w:val="4F0B60E4"/>
    <w:rsid w:val="4F0B6B44"/>
    <w:rsid w:val="4F0C0C9A"/>
    <w:rsid w:val="4F0C2752"/>
    <w:rsid w:val="4F0C2A48"/>
    <w:rsid w:val="4F0C35E4"/>
    <w:rsid w:val="4F0C47F7"/>
    <w:rsid w:val="4F0C4A7F"/>
    <w:rsid w:val="4F0C5136"/>
    <w:rsid w:val="4F0C738F"/>
    <w:rsid w:val="4F0D72C2"/>
    <w:rsid w:val="4F0E056F"/>
    <w:rsid w:val="4F0E2D58"/>
    <w:rsid w:val="4F0E6DB8"/>
    <w:rsid w:val="4F0F157F"/>
    <w:rsid w:val="4F0F2043"/>
    <w:rsid w:val="4F0F221C"/>
    <w:rsid w:val="4F0F2376"/>
    <w:rsid w:val="4F0F2FC1"/>
    <w:rsid w:val="4F0F42E7"/>
    <w:rsid w:val="4F0F75E6"/>
    <w:rsid w:val="4F10290A"/>
    <w:rsid w:val="4F10577B"/>
    <w:rsid w:val="4F10747F"/>
    <w:rsid w:val="4F107CEE"/>
    <w:rsid w:val="4F11005F"/>
    <w:rsid w:val="4F1136B3"/>
    <w:rsid w:val="4F1136E1"/>
    <w:rsid w:val="4F11492A"/>
    <w:rsid w:val="4F115C2D"/>
    <w:rsid w:val="4F12295A"/>
    <w:rsid w:val="4F122C4C"/>
    <w:rsid w:val="4F124551"/>
    <w:rsid w:val="4F132029"/>
    <w:rsid w:val="4F135B85"/>
    <w:rsid w:val="4F1363D8"/>
    <w:rsid w:val="4F1418FD"/>
    <w:rsid w:val="4F144D58"/>
    <w:rsid w:val="4F1561E8"/>
    <w:rsid w:val="4F161B19"/>
    <w:rsid w:val="4F163299"/>
    <w:rsid w:val="4F164952"/>
    <w:rsid w:val="4F165675"/>
    <w:rsid w:val="4F166263"/>
    <w:rsid w:val="4F17030F"/>
    <w:rsid w:val="4F1748A3"/>
    <w:rsid w:val="4F175785"/>
    <w:rsid w:val="4F18078D"/>
    <w:rsid w:val="4F1817B2"/>
    <w:rsid w:val="4F181F3A"/>
    <w:rsid w:val="4F18763F"/>
    <w:rsid w:val="4F187F69"/>
    <w:rsid w:val="4F192C66"/>
    <w:rsid w:val="4F194A3C"/>
    <w:rsid w:val="4F195165"/>
    <w:rsid w:val="4F196F13"/>
    <w:rsid w:val="4F197BD8"/>
    <w:rsid w:val="4F1A0BCA"/>
    <w:rsid w:val="4F1A7658"/>
    <w:rsid w:val="4F1B0EDE"/>
    <w:rsid w:val="4F1B386B"/>
    <w:rsid w:val="4F1B712F"/>
    <w:rsid w:val="4F1C04D9"/>
    <w:rsid w:val="4F1C60BB"/>
    <w:rsid w:val="4F1D02D6"/>
    <w:rsid w:val="4F1D07B2"/>
    <w:rsid w:val="4F1D29D2"/>
    <w:rsid w:val="4F1D2EA8"/>
    <w:rsid w:val="4F1D43F5"/>
    <w:rsid w:val="4F1E0335"/>
    <w:rsid w:val="4F1E09DB"/>
    <w:rsid w:val="4F1E17D3"/>
    <w:rsid w:val="4F1E452A"/>
    <w:rsid w:val="4F1E5158"/>
    <w:rsid w:val="4F1F0499"/>
    <w:rsid w:val="4F1F277C"/>
    <w:rsid w:val="4F1F4168"/>
    <w:rsid w:val="4F1F449B"/>
    <w:rsid w:val="4F1F46B7"/>
    <w:rsid w:val="4F1F607B"/>
    <w:rsid w:val="4F2002A2"/>
    <w:rsid w:val="4F203EC6"/>
    <w:rsid w:val="4F204746"/>
    <w:rsid w:val="4F2064F4"/>
    <w:rsid w:val="4F207170"/>
    <w:rsid w:val="4F215025"/>
    <w:rsid w:val="4F215ABA"/>
    <w:rsid w:val="4F216168"/>
    <w:rsid w:val="4F2167A9"/>
    <w:rsid w:val="4F217DCF"/>
    <w:rsid w:val="4F2204BE"/>
    <w:rsid w:val="4F222301"/>
    <w:rsid w:val="4F226E38"/>
    <w:rsid w:val="4F227E34"/>
    <w:rsid w:val="4F2304F6"/>
    <w:rsid w:val="4F231B40"/>
    <w:rsid w:val="4F23305F"/>
    <w:rsid w:val="4F234726"/>
    <w:rsid w:val="4F2401F4"/>
    <w:rsid w:val="4F241610"/>
    <w:rsid w:val="4F247D92"/>
    <w:rsid w:val="4F2508EC"/>
    <w:rsid w:val="4F251C07"/>
    <w:rsid w:val="4F251D5C"/>
    <w:rsid w:val="4F253B0A"/>
    <w:rsid w:val="4F2558B8"/>
    <w:rsid w:val="4F25767E"/>
    <w:rsid w:val="4F257D84"/>
    <w:rsid w:val="4F2676BC"/>
    <w:rsid w:val="4F26772F"/>
    <w:rsid w:val="4F270856"/>
    <w:rsid w:val="4F271800"/>
    <w:rsid w:val="4F272DEC"/>
    <w:rsid w:val="4F275D19"/>
    <w:rsid w:val="4F276AFA"/>
    <w:rsid w:val="4F27776F"/>
    <w:rsid w:val="4F277882"/>
    <w:rsid w:val="4F282BE2"/>
    <w:rsid w:val="4F2935FA"/>
    <w:rsid w:val="4F2953A8"/>
    <w:rsid w:val="4F295999"/>
    <w:rsid w:val="4F2A0007"/>
    <w:rsid w:val="4F2A1121"/>
    <w:rsid w:val="4F2A25EC"/>
    <w:rsid w:val="4F2A2D3C"/>
    <w:rsid w:val="4F2A2ECF"/>
    <w:rsid w:val="4F2A44D5"/>
    <w:rsid w:val="4F2A731E"/>
    <w:rsid w:val="4F2C1345"/>
    <w:rsid w:val="4F2C2F51"/>
    <w:rsid w:val="4F2C30EB"/>
    <w:rsid w:val="4F2C4E99"/>
    <w:rsid w:val="4F2C520F"/>
    <w:rsid w:val="4F2C5A73"/>
    <w:rsid w:val="4F2C5BB0"/>
    <w:rsid w:val="4F2C73B5"/>
    <w:rsid w:val="4F2D2696"/>
    <w:rsid w:val="4F2D446F"/>
    <w:rsid w:val="4F2D639A"/>
    <w:rsid w:val="4F2E0C11"/>
    <w:rsid w:val="4F2E0E0B"/>
    <w:rsid w:val="4F2E2111"/>
    <w:rsid w:val="4F2E4F2B"/>
    <w:rsid w:val="4F2E6E63"/>
    <w:rsid w:val="4F2F0657"/>
    <w:rsid w:val="4F2F09B2"/>
    <w:rsid w:val="4F2F5439"/>
    <w:rsid w:val="4F2F5983"/>
    <w:rsid w:val="4F2F6737"/>
    <w:rsid w:val="4F30012F"/>
    <w:rsid w:val="4F302BDB"/>
    <w:rsid w:val="4F302DF0"/>
    <w:rsid w:val="4F3062AE"/>
    <w:rsid w:val="4F30636D"/>
    <w:rsid w:val="4F310701"/>
    <w:rsid w:val="4F312505"/>
    <w:rsid w:val="4F3140D9"/>
    <w:rsid w:val="4F31425D"/>
    <w:rsid w:val="4F31742A"/>
    <w:rsid w:val="4F324A67"/>
    <w:rsid w:val="4F3262E4"/>
    <w:rsid w:val="4F327779"/>
    <w:rsid w:val="4F333020"/>
    <w:rsid w:val="4F3342D7"/>
    <w:rsid w:val="4F337108"/>
    <w:rsid w:val="4F33734F"/>
    <w:rsid w:val="4F337FD5"/>
    <w:rsid w:val="4F3415CC"/>
    <w:rsid w:val="4F343CE0"/>
    <w:rsid w:val="4F3501F1"/>
    <w:rsid w:val="4F350EE9"/>
    <w:rsid w:val="4F351F9F"/>
    <w:rsid w:val="4F352A5B"/>
    <w:rsid w:val="4F353041"/>
    <w:rsid w:val="4F353DEF"/>
    <w:rsid w:val="4F35753F"/>
    <w:rsid w:val="4F36657E"/>
    <w:rsid w:val="4F372AE6"/>
    <w:rsid w:val="4F372C7F"/>
    <w:rsid w:val="4F38124D"/>
    <w:rsid w:val="4F381582"/>
    <w:rsid w:val="4F381A8F"/>
    <w:rsid w:val="4F382EB9"/>
    <w:rsid w:val="4F384153"/>
    <w:rsid w:val="4F3855EC"/>
    <w:rsid w:val="4F3877A3"/>
    <w:rsid w:val="4F390909"/>
    <w:rsid w:val="4F394A09"/>
    <w:rsid w:val="4F3A18BA"/>
    <w:rsid w:val="4F3A4FAD"/>
    <w:rsid w:val="4F3A6733"/>
    <w:rsid w:val="4F3A75B6"/>
    <w:rsid w:val="4F3B1580"/>
    <w:rsid w:val="4F3B4D8E"/>
    <w:rsid w:val="4F3B50DC"/>
    <w:rsid w:val="4F3B76D3"/>
    <w:rsid w:val="4F3C1333"/>
    <w:rsid w:val="4F3C241E"/>
    <w:rsid w:val="4F3C510D"/>
    <w:rsid w:val="4F3C6073"/>
    <w:rsid w:val="4F3C647C"/>
    <w:rsid w:val="4F3C6789"/>
    <w:rsid w:val="4F3D0E54"/>
    <w:rsid w:val="4F3D2B4D"/>
    <w:rsid w:val="4F3D70A6"/>
    <w:rsid w:val="4F3D7A4C"/>
    <w:rsid w:val="4F3E1011"/>
    <w:rsid w:val="4F3E1E28"/>
    <w:rsid w:val="4F3E1EA4"/>
    <w:rsid w:val="4F3E1FE1"/>
    <w:rsid w:val="4F3E43AC"/>
    <w:rsid w:val="4F3F2E1E"/>
    <w:rsid w:val="4F3F2EF0"/>
    <w:rsid w:val="4F3F4973"/>
    <w:rsid w:val="4F4026F2"/>
    <w:rsid w:val="4F402B33"/>
    <w:rsid w:val="4F413D75"/>
    <w:rsid w:val="4F414E90"/>
    <w:rsid w:val="4F416B96"/>
    <w:rsid w:val="4F420CA9"/>
    <w:rsid w:val="4F42290E"/>
    <w:rsid w:val="4F4246BC"/>
    <w:rsid w:val="4F425205"/>
    <w:rsid w:val="4F43134F"/>
    <w:rsid w:val="4F43493C"/>
    <w:rsid w:val="4F43694E"/>
    <w:rsid w:val="4F4417A9"/>
    <w:rsid w:val="4F44241B"/>
    <w:rsid w:val="4F4425D1"/>
    <w:rsid w:val="4F44293C"/>
    <w:rsid w:val="4F442CA7"/>
    <w:rsid w:val="4F442CD9"/>
    <w:rsid w:val="4F44334C"/>
    <w:rsid w:val="4F443F90"/>
    <w:rsid w:val="4F45166E"/>
    <w:rsid w:val="4F4552C7"/>
    <w:rsid w:val="4F455F5A"/>
    <w:rsid w:val="4F460DE2"/>
    <w:rsid w:val="4F465DA6"/>
    <w:rsid w:val="4F470814"/>
    <w:rsid w:val="4F471B82"/>
    <w:rsid w:val="4F471CD3"/>
    <w:rsid w:val="4F472CC7"/>
    <w:rsid w:val="4F4738D7"/>
    <w:rsid w:val="4F473A81"/>
    <w:rsid w:val="4F474D48"/>
    <w:rsid w:val="4F475CBC"/>
    <w:rsid w:val="4F4768DB"/>
    <w:rsid w:val="4F481133"/>
    <w:rsid w:val="4F485B4C"/>
    <w:rsid w:val="4F48637F"/>
    <w:rsid w:val="4F4900BD"/>
    <w:rsid w:val="4F4904B8"/>
    <w:rsid w:val="4F4915A7"/>
    <w:rsid w:val="4F492035"/>
    <w:rsid w:val="4F493B97"/>
    <w:rsid w:val="4F493C9D"/>
    <w:rsid w:val="4F4977F9"/>
    <w:rsid w:val="4F4A1C44"/>
    <w:rsid w:val="4F4A3285"/>
    <w:rsid w:val="4F4A3D86"/>
    <w:rsid w:val="4F4A531F"/>
    <w:rsid w:val="4F4A6BE3"/>
    <w:rsid w:val="4F4A79C8"/>
    <w:rsid w:val="4F4B0EA9"/>
    <w:rsid w:val="4F4B7798"/>
    <w:rsid w:val="4F4C6150"/>
    <w:rsid w:val="4F4C69C8"/>
    <w:rsid w:val="4F4C72E9"/>
    <w:rsid w:val="4F4D56CF"/>
    <w:rsid w:val="4F4D5FC8"/>
    <w:rsid w:val="4F4E0F9B"/>
    <w:rsid w:val="4F4E2CB7"/>
    <w:rsid w:val="4F4E3C74"/>
    <w:rsid w:val="4F4E3CBE"/>
    <w:rsid w:val="4F4E41FB"/>
    <w:rsid w:val="4F4E4E0F"/>
    <w:rsid w:val="4F4E4EE9"/>
    <w:rsid w:val="4F4E6379"/>
    <w:rsid w:val="4F4F15B7"/>
    <w:rsid w:val="4F4F5BD5"/>
    <w:rsid w:val="4F4F639A"/>
    <w:rsid w:val="4F4F7BE1"/>
    <w:rsid w:val="4F50038B"/>
    <w:rsid w:val="4F5040AF"/>
    <w:rsid w:val="4F504BCB"/>
    <w:rsid w:val="4F505235"/>
    <w:rsid w:val="4F511463"/>
    <w:rsid w:val="4F5119C1"/>
    <w:rsid w:val="4F511FB2"/>
    <w:rsid w:val="4F513B54"/>
    <w:rsid w:val="4F5144D1"/>
    <w:rsid w:val="4F5148FF"/>
    <w:rsid w:val="4F515258"/>
    <w:rsid w:val="4F522C31"/>
    <w:rsid w:val="4F522FF7"/>
    <w:rsid w:val="4F52327D"/>
    <w:rsid w:val="4F526F44"/>
    <w:rsid w:val="4F5278CB"/>
    <w:rsid w:val="4F532425"/>
    <w:rsid w:val="4F535C16"/>
    <w:rsid w:val="4F5368C9"/>
    <w:rsid w:val="4F540A9A"/>
    <w:rsid w:val="4F542502"/>
    <w:rsid w:val="4F5505BE"/>
    <w:rsid w:val="4F552B7E"/>
    <w:rsid w:val="4F552FAF"/>
    <w:rsid w:val="4F553AA5"/>
    <w:rsid w:val="4F554AE8"/>
    <w:rsid w:val="4F560037"/>
    <w:rsid w:val="4F561F16"/>
    <w:rsid w:val="4F562811"/>
    <w:rsid w:val="4F562C0A"/>
    <w:rsid w:val="4F563988"/>
    <w:rsid w:val="4F563CC4"/>
    <w:rsid w:val="4F564B0B"/>
    <w:rsid w:val="4F564FF7"/>
    <w:rsid w:val="4F5666E6"/>
    <w:rsid w:val="4F566F53"/>
    <w:rsid w:val="4F572905"/>
    <w:rsid w:val="4F574DAE"/>
    <w:rsid w:val="4F581B73"/>
    <w:rsid w:val="4F5827E0"/>
    <w:rsid w:val="4F583EE0"/>
    <w:rsid w:val="4F5871AB"/>
    <w:rsid w:val="4F5876FA"/>
    <w:rsid w:val="4F58791E"/>
    <w:rsid w:val="4F596C0D"/>
    <w:rsid w:val="4F596DBB"/>
    <w:rsid w:val="4F5A29BC"/>
    <w:rsid w:val="4F5A37B4"/>
    <w:rsid w:val="4F5A605D"/>
    <w:rsid w:val="4F5B059C"/>
    <w:rsid w:val="4F5B1872"/>
    <w:rsid w:val="4F5B577E"/>
    <w:rsid w:val="4F5B74ED"/>
    <w:rsid w:val="4F5B752C"/>
    <w:rsid w:val="4F5C097D"/>
    <w:rsid w:val="4F5C1452"/>
    <w:rsid w:val="4F5C2791"/>
    <w:rsid w:val="4F5C34D5"/>
    <w:rsid w:val="4F5C61A0"/>
    <w:rsid w:val="4F5C775C"/>
    <w:rsid w:val="4F5D223E"/>
    <w:rsid w:val="4F5D5354"/>
    <w:rsid w:val="4F5E0CBD"/>
    <w:rsid w:val="4F5E0E15"/>
    <w:rsid w:val="4F5E48D9"/>
    <w:rsid w:val="4F5E5A58"/>
    <w:rsid w:val="4F5E5E6E"/>
    <w:rsid w:val="4F5F4806"/>
    <w:rsid w:val="4F5F701C"/>
    <w:rsid w:val="4F610FE6"/>
    <w:rsid w:val="4F611C1E"/>
    <w:rsid w:val="4F61520D"/>
    <w:rsid w:val="4F6159F2"/>
    <w:rsid w:val="4F6161C1"/>
    <w:rsid w:val="4F616CFF"/>
    <w:rsid w:val="4F617740"/>
    <w:rsid w:val="4F6208BA"/>
    <w:rsid w:val="4F62190F"/>
    <w:rsid w:val="4F622420"/>
    <w:rsid w:val="4F622668"/>
    <w:rsid w:val="4F6239F4"/>
    <w:rsid w:val="4F624BE8"/>
    <w:rsid w:val="4F62546A"/>
    <w:rsid w:val="4F626108"/>
    <w:rsid w:val="4F626B0C"/>
    <w:rsid w:val="4F630850"/>
    <w:rsid w:val="4F635444"/>
    <w:rsid w:val="4F635A31"/>
    <w:rsid w:val="4F63736F"/>
    <w:rsid w:val="4F6406D2"/>
    <w:rsid w:val="4F64077E"/>
    <w:rsid w:val="4F641203"/>
    <w:rsid w:val="4F644E29"/>
    <w:rsid w:val="4F647939"/>
    <w:rsid w:val="4F65156F"/>
    <w:rsid w:val="4F651D65"/>
    <w:rsid w:val="4F652159"/>
    <w:rsid w:val="4F653170"/>
    <w:rsid w:val="4F6559B5"/>
    <w:rsid w:val="4F661CD0"/>
    <w:rsid w:val="4F663595"/>
    <w:rsid w:val="4F665C40"/>
    <w:rsid w:val="4F67529D"/>
    <w:rsid w:val="4F675ED1"/>
    <w:rsid w:val="4F67741D"/>
    <w:rsid w:val="4F680661"/>
    <w:rsid w:val="4F6807DA"/>
    <w:rsid w:val="4F684D63"/>
    <w:rsid w:val="4F687654"/>
    <w:rsid w:val="4F691C49"/>
    <w:rsid w:val="4F6959E3"/>
    <w:rsid w:val="4F69689C"/>
    <w:rsid w:val="4F6978DD"/>
    <w:rsid w:val="4F6A1D53"/>
    <w:rsid w:val="4F6A4986"/>
    <w:rsid w:val="4F6A7396"/>
    <w:rsid w:val="4F6A776F"/>
    <w:rsid w:val="4F6B2CAC"/>
    <w:rsid w:val="4F6B59C1"/>
    <w:rsid w:val="4F6B64B5"/>
    <w:rsid w:val="4F6C0B59"/>
    <w:rsid w:val="4F6C0CE0"/>
    <w:rsid w:val="4F6C1739"/>
    <w:rsid w:val="4F6C29EF"/>
    <w:rsid w:val="4F6C798B"/>
    <w:rsid w:val="4F6D10C1"/>
    <w:rsid w:val="4F6D24E6"/>
    <w:rsid w:val="4F6D6265"/>
    <w:rsid w:val="4F6E24C1"/>
    <w:rsid w:val="4F6E3703"/>
    <w:rsid w:val="4F6E725F"/>
    <w:rsid w:val="4F6E7D86"/>
    <w:rsid w:val="4F6F14C0"/>
    <w:rsid w:val="4F6F2AE3"/>
    <w:rsid w:val="4F6F4D85"/>
    <w:rsid w:val="4F6F6ED3"/>
    <w:rsid w:val="4F6F7442"/>
    <w:rsid w:val="4F700283"/>
    <w:rsid w:val="4F700707"/>
    <w:rsid w:val="4F700E05"/>
    <w:rsid w:val="4F703D98"/>
    <w:rsid w:val="4F706588"/>
    <w:rsid w:val="4F71072F"/>
    <w:rsid w:val="4F716D4F"/>
    <w:rsid w:val="4F7277CD"/>
    <w:rsid w:val="4F727982"/>
    <w:rsid w:val="4F7323B5"/>
    <w:rsid w:val="4F732AC8"/>
    <w:rsid w:val="4F734876"/>
    <w:rsid w:val="4F735774"/>
    <w:rsid w:val="4F73767F"/>
    <w:rsid w:val="4F737972"/>
    <w:rsid w:val="4F740500"/>
    <w:rsid w:val="4F7417D5"/>
    <w:rsid w:val="4F7505EE"/>
    <w:rsid w:val="4F754A92"/>
    <w:rsid w:val="4F75657B"/>
    <w:rsid w:val="4F761173"/>
    <w:rsid w:val="4F762366"/>
    <w:rsid w:val="4F76393D"/>
    <w:rsid w:val="4F764366"/>
    <w:rsid w:val="4F76521D"/>
    <w:rsid w:val="4F766114"/>
    <w:rsid w:val="4F767012"/>
    <w:rsid w:val="4F7725B8"/>
    <w:rsid w:val="4F772C1D"/>
    <w:rsid w:val="4F77327D"/>
    <w:rsid w:val="4F774A39"/>
    <w:rsid w:val="4F775585"/>
    <w:rsid w:val="4F7777E9"/>
    <w:rsid w:val="4F783A78"/>
    <w:rsid w:val="4F786330"/>
    <w:rsid w:val="4F786A15"/>
    <w:rsid w:val="4F786EFC"/>
    <w:rsid w:val="4F79059B"/>
    <w:rsid w:val="4F790CAD"/>
    <w:rsid w:val="4F793B29"/>
    <w:rsid w:val="4F795BEA"/>
    <w:rsid w:val="4F797711"/>
    <w:rsid w:val="4F7A12EB"/>
    <w:rsid w:val="4F7A3197"/>
    <w:rsid w:val="4F7B197C"/>
    <w:rsid w:val="4F7B372A"/>
    <w:rsid w:val="4F7C19ED"/>
    <w:rsid w:val="4F7C5E20"/>
    <w:rsid w:val="4F7C6427"/>
    <w:rsid w:val="4F7C7B18"/>
    <w:rsid w:val="4F7C7BCE"/>
    <w:rsid w:val="4F7D13F7"/>
    <w:rsid w:val="4F7D1473"/>
    <w:rsid w:val="4F7D23C8"/>
    <w:rsid w:val="4F7D2EC3"/>
    <w:rsid w:val="4F7D3946"/>
    <w:rsid w:val="4F7D3E93"/>
    <w:rsid w:val="4F7D5A16"/>
    <w:rsid w:val="4F7D5FDB"/>
    <w:rsid w:val="4F7E0512"/>
    <w:rsid w:val="4F7E5790"/>
    <w:rsid w:val="4F7E5A42"/>
    <w:rsid w:val="4F7F06F3"/>
    <w:rsid w:val="4F7F146C"/>
    <w:rsid w:val="4F7F321A"/>
    <w:rsid w:val="4F7F3277"/>
    <w:rsid w:val="4F7F3BC3"/>
    <w:rsid w:val="4F7F3BD1"/>
    <w:rsid w:val="4F7F480E"/>
    <w:rsid w:val="4F7F68E8"/>
    <w:rsid w:val="4F7F76BE"/>
    <w:rsid w:val="4F801C3F"/>
    <w:rsid w:val="4F806827"/>
    <w:rsid w:val="4F806A8D"/>
    <w:rsid w:val="4F806F93"/>
    <w:rsid w:val="4F807A31"/>
    <w:rsid w:val="4F812529"/>
    <w:rsid w:val="4F8149D4"/>
    <w:rsid w:val="4F820F5D"/>
    <w:rsid w:val="4F8228DC"/>
    <w:rsid w:val="4F822BC2"/>
    <w:rsid w:val="4F822D0B"/>
    <w:rsid w:val="4F823E17"/>
    <w:rsid w:val="4F824AB9"/>
    <w:rsid w:val="4F826270"/>
    <w:rsid w:val="4F8265F7"/>
    <w:rsid w:val="4F8346C0"/>
    <w:rsid w:val="4F840831"/>
    <w:rsid w:val="4F846300"/>
    <w:rsid w:val="4F846A83"/>
    <w:rsid w:val="4F847B89"/>
    <w:rsid w:val="4F8507EC"/>
    <w:rsid w:val="4F8575B9"/>
    <w:rsid w:val="4F862221"/>
    <w:rsid w:val="4F8627FB"/>
    <w:rsid w:val="4F864909"/>
    <w:rsid w:val="4F873003"/>
    <w:rsid w:val="4F8741D0"/>
    <w:rsid w:val="4F87507A"/>
    <w:rsid w:val="4F876573"/>
    <w:rsid w:val="4F8765F8"/>
    <w:rsid w:val="4F876E9F"/>
    <w:rsid w:val="4F883DE8"/>
    <w:rsid w:val="4F8922EB"/>
    <w:rsid w:val="4F894247"/>
    <w:rsid w:val="4F895E47"/>
    <w:rsid w:val="4F8A495C"/>
    <w:rsid w:val="4F8A49BB"/>
    <w:rsid w:val="4F8A59AE"/>
    <w:rsid w:val="4F8A7273"/>
    <w:rsid w:val="4F8B42DD"/>
    <w:rsid w:val="4F8B5318"/>
    <w:rsid w:val="4F8B6063"/>
    <w:rsid w:val="4F8B7E11"/>
    <w:rsid w:val="4F8C24D7"/>
    <w:rsid w:val="4F8C3381"/>
    <w:rsid w:val="4F8C62F8"/>
    <w:rsid w:val="4F8C7A5C"/>
    <w:rsid w:val="4F8D0335"/>
    <w:rsid w:val="4F8D0749"/>
    <w:rsid w:val="4F8D1DDB"/>
    <w:rsid w:val="4F8D3E65"/>
    <w:rsid w:val="4F8E0E39"/>
    <w:rsid w:val="4F8E16AF"/>
    <w:rsid w:val="4F8E345D"/>
    <w:rsid w:val="4F8E41EF"/>
    <w:rsid w:val="4F8E5B53"/>
    <w:rsid w:val="4F8E7901"/>
    <w:rsid w:val="4F8F0BF4"/>
    <w:rsid w:val="4F8F2270"/>
    <w:rsid w:val="4F8F2796"/>
    <w:rsid w:val="4F8F63DD"/>
    <w:rsid w:val="4F8F6521"/>
    <w:rsid w:val="4F8F6870"/>
    <w:rsid w:val="4F903491"/>
    <w:rsid w:val="4F905428"/>
    <w:rsid w:val="4F9069C5"/>
    <w:rsid w:val="4F9111A0"/>
    <w:rsid w:val="4F911B90"/>
    <w:rsid w:val="4F912F4E"/>
    <w:rsid w:val="4F915C73"/>
    <w:rsid w:val="4F916D8B"/>
    <w:rsid w:val="4F917157"/>
    <w:rsid w:val="4F920AB3"/>
    <w:rsid w:val="4F925205"/>
    <w:rsid w:val="4F9252A2"/>
    <w:rsid w:val="4F9273CB"/>
    <w:rsid w:val="4F9273F2"/>
    <w:rsid w:val="4F93361D"/>
    <w:rsid w:val="4F9368FE"/>
    <w:rsid w:val="4F936CC6"/>
    <w:rsid w:val="4F940486"/>
    <w:rsid w:val="4F942234"/>
    <w:rsid w:val="4F943D96"/>
    <w:rsid w:val="4F944AAD"/>
    <w:rsid w:val="4F946FC5"/>
    <w:rsid w:val="4F94767E"/>
    <w:rsid w:val="4F950530"/>
    <w:rsid w:val="4F954317"/>
    <w:rsid w:val="4F9547AA"/>
    <w:rsid w:val="4F9547EC"/>
    <w:rsid w:val="4F9640B1"/>
    <w:rsid w:val="4F965649"/>
    <w:rsid w:val="4F9667B6"/>
    <w:rsid w:val="4F96744A"/>
    <w:rsid w:val="4F9741FD"/>
    <w:rsid w:val="4F975807"/>
    <w:rsid w:val="4F977BEA"/>
    <w:rsid w:val="4F980780"/>
    <w:rsid w:val="4F98252E"/>
    <w:rsid w:val="4F98300E"/>
    <w:rsid w:val="4F9930E0"/>
    <w:rsid w:val="4F99375F"/>
    <w:rsid w:val="4F996E2A"/>
    <w:rsid w:val="4F9A0054"/>
    <w:rsid w:val="4F9A2A8D"/>
    <w:rsid w:val="4F9A5127"/>
    <w:rsid w:val="4F9A62A6"/>
    <w:rsid w:val="4F9A7569"/>
    <w:rsid w:val="4F9B0FDE"/>
    <w:rsid w:val="4F9B43A2"/>
    <w:rsid w:val="4F9B4837"/>
    <w:rsid w:val="4F9B5B7A"/>
    <w:rsid w:val="4F9B62E6"/>
    <w:rsid w:val="4F9B74C2"/>
    <w:rsid w:val="4F9C3DCC"/>
    <w:rsid w:val="4F9C4ACD"/>
    <w:rsid w:val="4F9C534F"/>
    <w:rsid w:val="4F9D09E1"/>
    <w:rsid w:val="4F9D141F"/>
    <w:rsid w:val="4F9D1D4C"/>
    <w:rsid w:val="4F9D2B4F"/>
    <w:rsid w:val="4F9D3ED9"/>
    <w:rsid w:val="4F9D4379"/>
    <w:rsid w:val="4F9D7B44"/>
    <w:rsid w:val="4F9E0730"/>
    <w:rsid w:val="4F9E1217"/>
    <w:rsid w:val="4F9E30E2"/>
    <w:rsid w:val="4F9E4C8B"/>
    <w:rsid w:val="4F9E57E0"/>
    <w:rsid w:val="4F9F0232"/>
    <w:rsid w:val="4F9F1B0F"/>
    <w:rsid w:val="4F9F50DF"/>
    <w:rsid w:val="4F9F566B"/>
    <w:rsid w:val="4FA01398"/>
    <w:rsid w:val="4FA03191"/>
    <w:rsid w:val="4FA07A2A"/>
    <w:rsid w:val="4FA145D2"/>
    <w:rsid w:val="4FA15887"/>
    <w:rsid w:val="4FA16D52"/>
    <w:rsid w:val="4FA17635"/>
    <w:rsid w:val="4FA201D0"/>
    <w:rsid w:val="4FA233AD"/>
    <w:rsid w:val="4FA233C9"/>
    <w:rsid w:val="4FA2362A"/>
    <w:rsid w:val="4FA23CC5"/>
    <w:rsid w:val="4FA2515B"/>
    <w:rsid w:val="4FA2675D"/>
    <w:rsid w:val="4FA26F09"/>
    <w:rsid w:val="4FA323B1"/>
    <w:rsid w:val="4FA35CE3"/>
    <w:rsid w:val="4FA40B44"/>
    <w:rsid w:val="4FA40ED3"/>
    <w:rsid w:val="4FA42C81"/>
    <w:rsid w:val="4FA432A0"/>
    <w:rsid w:val="4FA47125"/>
    <w:rsid w:val="4FA517A7"/>
    <w:rsid w:val="4FA528BF"/>
    <w:rsid w:val="4FA55626"/>
    <w:rsid w:val="4FA61921"/>
    <w:rsid w:val="4FA6239B"/>
    <w:rsid w:val="4FA6255E"/>
    <w:rsid w:val="4FA62E9D"/>
    <w:rsid w:val="4FA640A1"/>
    <w:rsid w:val="4FA64C4B"/>
    <w:rsid w:val="4FA65358"/>
    <w:rsid w:val="4FA669F9"/>
    <w:rsid w:val="4FA676CA"/>
    <w:rsid w:val="4FA72F23"/>
    <w:rsid w:val="4FA73FEF"/>
    <w:rsid w:val="4FA744A0"/>
    <w:rsid w:val="4FA778A0"/>
    <w:rsid w:val="4FA85E46"/>
    <w:rsid w:val="4FA90297"/>
    <w:rsid w:val="4FA90B6F"/>
    <w:rsid w:val="4FA9296C"/>
    <w:rsid w:val="4FA931B8"/>
    <w:rsid w:val="4FA949BE"/>
    <w:rsid w:val="4FA95577"/>
    <w:rsid w:val="4FA964E9"/>
    <w:rsid w:val="4FA96EC9"/>
    <w:rsid w:val="4FAA18A4"/>
    <w:rsid w:val="4FAA2FE5"/>
    <w:rsid w:val="4FAA4322"/>
    <w:rsid w:val="4FAB2261"/>
    <w:rsid w:val="4FAB4475"/>
    <w:rsid w:val="4FAB7A90"/>
    <w:rsid w:val="4FAC0DDD"/>
    <w:rsid w:val="4FAC106B"/>
    <w:rsid w:val="4FAC304E"/>
    <w:rsid w:val="4FAC52CF"/>
    <w:rsid w:val="4FAC7D88"/>
    <w:rsid w:val="4FAD2D3C"/>
    <w:rsid w:val="4FAD422B"/>
    <w:rsid w:val="4FAD7E30"/>
    <w:rsid w:val="4FAE09C2"/>
    <w:rsid w:val="4FAE23B1"/>
    <w:rsid w:val="4FAE3B00"/>
    <w:rsid w:val="4FAE58AE"/>
    <w:rsid w:val="4FAF1251"/>
    <w:rsid w:val="4FAF1488"/>
    <w:rsid w:val="4FAF2A38"/>
    <w:rsid w:val="4FAF50DF"/>
    <w:rsid w:val="4FB010C2"/>
    <w:rsid w:val="4FB0261B"/>
    <w:rsid w:val="4FB04679"/>
    <w:rsid w:val="4FB05A0F"/>
    <w:rsid w:val="4FB07878"/>
    <w:rsid w:val="4FB102E7"/>
    <w:rsid w:val="4FB11D0A"/>
    <w:rsid w:val="4FB14135"/>
    <w:rsid w:val="4FB1539E"/>
    <w:rsid w:val="4FB178C4"/>
    <w:rsid w:val="4FB17902"/>
    <w:rsid w:val="4FB20036"/>
    <w:rsid w:val="4FB215C3"/>
    <w:rsid w:val="4FB21842"/>
    <w:rsid w:val="4FB235F0"/>
    <w:rsid w:val="4FB3056D"/>
    <w:rsid w:val="4FB30F76"/>
    <w:rsid w:val="4FB32C07"/>
    <w:rsid w:val="4FB34069"/>
    <w:rsid w:val="4FB348DF"/>
    <w:rsid w:val="4FB355BA"/>
    <w:rsid w:val="4FB35A4D"/>
    <w:rsid w:val="4FB401D9"/>
    <w:rsid w:val="4FB46540"/>
    <w:rsid w:val="4FB46C68"/>
    <w:rsid w:val="4FB46DC0"/>
    <w:rsid w:val="4FB5272B"/>
    <w:rsid w:val="4FB530E0"/>
    <w:rsid w:val="4FB53D2D"/>
    <w:rsid w:val="4FB5405B"/>
    <w:rsid w:val="4FB54E8E"/>
    <w:rsid w:val="4FB56C3C"/>
    <w:rsid w:val="4FB605E3"/>
    <w:rsid w:val="4FB606F4"/>
    <w:rsid w:val="4FB61588"/>
    <w:rsid w:val="4FB7022C"/>
    <w:rsid w:val="4FB70C06"/>
    <w:rsid w:val="4FB71F1B"/>
    <w:rsid w:val="4FB76E58"/>
    <w:rsid w:val="4FB77331"/>
    <w:rsid w:val="4FB810A4"/>
    <w:rsid w:val="4FB81A7E"/>
    <w:rsid w:val="4FB82BD0"/>
    <w:rsid w:val="4FB83E5C"/>
    <w:rsid w:val="4FB8497E"/>
    <w:rsid w:val="4FB862CC"/>
    <w:rsid w:val="4FB8672C"/>
    <w:rsid w:val="4FB86A79"/>
    <w:rsid w:val="4FB91214"/>
    <w:rsid w:val="4FB97C87"/>
    <w:rsid w:val="4FBA04DF"/>
    <w:rsid w:val="4FBA06F6"/>
    <w:rsid w:val="4FBA23B3"/>
    <w:rsid w:val="4FBA333D"/>
    <w:rsid w:val="4FBA4253"/>
    <w:rsid w:val="4FBA6948"/>
    <w:rsid w:val="4FBA783D"/>
    <w:rsid w:val="4FBB3BE5"/>
    <w:rsid w:val="4FBB3F6A"/>
    <w:rsid w:val="4FBB5C91"/>
    <w:rsid w:val="4FBB6A39"/>
    <w:rsid w:val="4FBB74DF"/>
    <w:rsid w:val="4FBB7DA6"/>
    <w:rsid w:val="4FBB7FCB"/>
    <w:rsid w:val="4FBC120C"/>
    <w:rsid w:val="4FBC3915"/>
    <w:rsid w:val="4FBC446F"/>
    <w:rsid w:val="4FBC4785"/>
    <w:rsid w:val="4FBD0D56"/>
    <w:rsid w:val="4FBD391B"/>
    <w:rsid w:val="4FBD3D43"/>
    <w:rsid w:val="4FBD4355"/>
    <w:rsid w:val="4FBE0032"/>
    <w:rsid w:val="4FBE01E7"/>
    <w:rsid w:val="4FBE3865"/>
    <w:rsid w:val="4FBE7D1A"/>
    <w:rsid w:val="4FBF0651"/>
    <w:rsid w:val="4FBF5ABC"/>
    <w:rsid w:val="4FBF7C7D"/>
    <w:rsid w:val="4FC033CE"/>
    <w:rsid w:val="4FC10E4D"/>
    <w:rsid w:val="4FC115F4"/>
    <w:rsid w:val="4FC13922"/>
    <w:rsid w:val="4FC1669B"/>
    <w:rsid w:val="4FC205A7"/>
    <w:rsid w:val="4FC22509"/>
    <w:rsid w:val="4FC25B8B"/>
    <w:rsid w:val="4FC275AB"/>
    <w:rsid w:val="4FC27B2B"/>
    <w:rsid w:val="4FC31E08"/>
    <w:rsid w:val="4FC3754B"/>
    <w:rsid w:val="4FC413E0"/>
    <w:rsid w:val="4FC4156F"/>
    <w:rsid w:val="4FC41575"/>
    <w:rsid w:val="4FC422CB"/>
    <w:rsid w:val="4FC47104"/>
    <w:rsid w:val="4FC504FB"/>
    <w:rsid w:val="4FC52689"/>
    <w:rsid w:val="4FC564AC"/>
    <w:rsid w:val="4FC60E49"/>
    <w:rsid w:val="4FC6153F"/>
    <w:rsid w:val="4FC66FE6"/>
    <w:rsid w:val="4FC6709B"/>
    <w:rsid w:val="4FC71035"/>
    <w:rsid w:val="4FC71C77"/>
    <w:rsid w:val="4FC74BC1"/>
    <w:rsid w:val="4FC75BC2"/>
    <w:rsid w:val="4FC76DD2"/>
    <w:rsid w:val="4FC77813"/>
    <w:rsid w:val="4FC82E13"/>
    <w:rsid w:val="4FC86390"/>
    <w:rsid w:val="4FC87915"/>
    <w:rsid w:val="4FC9093A"/>
    <w:rsid w:val="4FC926E8"/>
    <w:rsid w:val="4FC96681"/>
    <w:rsid w:val="4FC96B8B"/>
    <w:rsid w:val="4FC97FC6"/>
    <w:rsid w:val="4FCA02F3"/>
    <w:rsid w:val="4FCA264C"/>
    <w:rsid w:val="4FCB231E"/>
    <w:rsid w:val="4FCB46B2"/>
    <w:rsid w:val="4FCC1ED0"/>
    <w:rsid w:val="4FCC46C0"/>
    <w:rsid w:val="4FCC4A71"/>
    <w:rsid w:val="4FCC4EEF"/>
    <w:rsid w:val="4FCD042A"/>
    <w:rsid w:val="4FCD4C3E"/>
    <w:rsid w:val="4FCD637F"/>
    <w:rsid w:val="4FCD667C"/>
    <w:rsid w:val="4FCE41A2"/>
    <w:rsid w:val="4FCE780F"/>
    <w:rsid w:val="4FCE7A5E"/>
    <w:rsid w:val="4FCF0E91"/>
    <w:rsid w:val="4FCF3870"/>
    <w:rsid w:val="4FD03A76"/>
    <w:rsid w:val="4FD07F3D"/>
    <w:rsid w:val="4FD15FA4"/>
    <w:rsid w:val="4FD17921"/>
    <w:rsid w:val="4FD20248"/>
    <w:rsid w:val="4FD20646"/>
    <w:rsid w:val="4FD2386F"/>
    <w:rsid w:val="4FD27B6B"/>
    <w:rsid w:val="4FD30AB0"/>
    <w:rsid w:val="4FD317B8"/>
    <w:rsid w:val="4FD33566"/>
    <w:rsid w:val="4FD35314"/>
    <w:rsid w:val="4FD40D19"/>
    <w:rsid w:val="4FD41DD3"/>
    <w:rsid w:val="4FD4254F"/>
    <w:rsid w:val="4FD44136"/>
    <w:rsid w:val="4FD45FF9"/>
    <w:rsid w:val="4FD5108C"/>
    <w:rsid w:val="4FD532D0"/>
    <w:rsid w:val="4FD60ED8"/>
    <w:rsid w:val="4FD6108E"/>
    <w:rsid w:val="4FD6417B"/>
    <w:rsid w:val="4FD6635C"/>
    <w:rsid w:val="4FD66634"/>
    <w:rsid w:val="4FD708C1"/>
    <w:rsid w:val="4FD712A8"/>
    <w:rsid w:val="4FD7178A"/>
    <w:rsid w:val="4FD73056"/>
    <w:rsid w:val="4FD73F27"/>
    <w:rsid w:val="4FD74E04"/>
    <w:rsid w:val="4FD77C0B"/>
    <w:rsid w:val="4FD80B7D"/>
    <w:rsid w:val="4FD846DB"/>
    <w:rsid w:val="4FD8635C"/>
    <w:rsid w:val="4FD866E3"/>
    <w:rsid w:val="4FD94612"/>
    <w:rsid w:val="4FDA2B47"/>
    <w:rsid w:val="4FDA48F5"/>
    <w:rsid w:val="4FDA53D7"/>
    <w:rsid w:val="4FDA66A3"/>
    <w:rsid w:val="4FDB0B2A"/>
    <w:rsid w:val="4FDC009F"/>
    <w:rsid w:val="4FDC066D"/>
    <w:rsid w:val="4FDC2124"/>
    <w:rsid w:val="4FDC241B"/>
    <w:rsid w:val="4FDC68BF"/>
    <w:rsid w:val="4FDC71D2"/>
    <w:rsid w:val="4FDD43E5"/>
    <w:rsid w:val="4FDD6193"/>
    <w:rsid w:val="4FDE1332"/>
    <w:rsid w:val="4FDE254F"/>
    <w:rsid w:val="4FDE2637"/>
    <w:rsid w:val="4FDE2965"/>
    <w:rsid w:val="4FDE2CE1"/>
    <w:rsid w:val="4FDF1F0B"/>
    <w:rsid w:val="4FDF286D"/>
    <w:rsid w:val="4FDF63AF"/>
    <w:rsid w:val="4FDF7053"/>
    <w:rsid w:val="4FE030B4"/>
    <w:rsid w:val="4FE05712"/>
    <w:rsid w:val="4FE07B37"/>
    <w:rsid w:val="4FE10F17"/>
    <w:rsid w:val="4FE1195C"/>
    <w:rsid w:val="4FE13ED5"/>
    <w:rsid w:val="4FE148D5"/>
    <w:rsid w:val="4FE17A31"/>
    <w:rsid w:val="4FE22D0E"/>
    <w:rsid w:val="4FE234DA"/>
    <w:rsid w:val="4FE26AC3"/>
    <w:rsid w:val="4FE3290D"/>
    <w:rsid w:val="4FE33133"/>
    <w:rsid w:val="4FE33176"/>
    <w:rsid w:val="4FE34983"/>
    <w:rsid w:val="4FE41A35"/>
    <w:rsid w:val="4FE439C5"/>
    <w:rsid w:val="4FE4651D"/>
    <w:rsid w:val="4FE47B73"/>
    <w:rsid w:val="4FE50619"/>
    <w:rsid w:val="4FE52340"/>
    <w:rsid w:val="4FE526D2"/>
    <w:rsid w:val="4FE54C54"/>
    <w:rsid w:val="4FE56D58"/>
    <w:rsid w:val="4FE614EB"/>
    <w:rsid w:val="4FE627B0"/>
    <w:rsid w:val="4FE63299"/>
    <w:rsid w:val="4FE65D10"/>
    <w:rsid w:val="4FE707F9"/>
    <w:rsid w:val="4FE70DC0"/>
    <w:rsid w:val="4FE71676"/>
    <w:rsid w:val="4FE71AF7"/>
    <w:rsid w:val="4FE74BB9"/>
    <w:rsid w:val="4FE775AB"/>
    <w:rsid w:val="4FE84278"/>
    <w:rsid w:val="4FE84F8C"/>
    <w:rsid w:val="4FE85264"/>
    <w:rsid w:val="4FE85BFB"/>
    <w:rsid w:val="4FE8656C"/>
    <w:rsid w:val="4FE92414"/>
    <w:rsid w:val="4FE95555"/>
    <w:rsid w:val="4FE958A7"/>
    <w:rsid w:val="4FEA0BA5"/>
    <w:rsid w:val="4FEA0C4E"/>
    <w:rsid w:val="4FEA41EC"/>
    <w:rsid w:val="4FEA7374"/>
    <w:rsid w:val="4FEA775C"/>
    <w:rsid w:val="4FEB08B0"/>
    <w:rsid w:val="4FEB1883"/>
    <w:rsid w:val="4FEB33DB"/>
    <w:rsid w:val="4FEB3E89"/>
    <w:rsid w:val="4FEB4D54"/>
    <w:rsid w:val="4FEC0A32"/>
    <w:rsid w:val="4FEC293F"/>
    <w:rsid w:val="4FED1597"/>
    <w:rsid w:val="4FED2152"/>
    <w:rsid w:val="4FED4228"/>
    <w:rsid w:val="4FED4628"/>
    <w:rsid w:val="4FED57BD"/>
    <w:rsid w:val="4FED650C"/>
    <w:rsid w:val="4FED6778"/>
    <w:rsid w:val="4FED7EBC"/>
    <w:rsid w:val="4FEE0059"/>
    <w:rsid w:val="4FEE0289"/>
    <w:rsid w:val="4FEE214E"/>
    <w:rsid w:val="4FEE7AF1"/>
    <w:rsid w:val="4FEF0773"/>
    <w:rsid w:val="4FEF1282"/>
    <w:rsid w:val="4FEF5079"/>
    <w:rsid w:val="4FEF7BF6"/>
    <w:rsid w:val="4FF0236A"/>
    <w:rsid w:val="4FF05CAF"/>
    <w:rsid w:val="4FF05EC6"/>
    <w:rsid w:val="4FF07621"/>
    <w:rsid w:val="4FF148A5"/>
    <w:rsid w:val="4FF206DD"/>
    <w:rsid w:val="4FF25474"/>
    <w:rsid w:val="4FF27E90"/>
    <w:rsid w:val="4FF33E16"/>
    <w:rsid w:val="4FF35083"/>
    <w:rsid w:val="4FF35AA1"/>
    <w:rsid w:val="4FF35CDD"/>
    <w:rsid w:val="4FF375C9"/>
    <w:rsid w:val="4FF416D0"/>
    <w:rsid w:val="4FF42C25"/>
    <w:rsid w:val="4FF43C08"/>
    <w:rsid w:val="4FF450A0"/>
    <w:rsid w:val="4FF4564E"/>
    <w:rsid w:val="4FF460B0"/>
    <w:rsid w:val="4FF47DD3"/>
    <w:rsid w:val="4FF5172F"/>
    <w:rsid w:val="4FF56C59"/>
    <w:rsid w:val="4FF60C29"/>
    <w:rsid w:val="4FF61376"/>
    <w:rsid w:val="4FF61CEB"/>
    <w:rsid w:val="4FF75ED3"/>
    <w:rsid w:val="4FF77255"/>
    <w:rsid w:val="4FF80FEC"/>
    <w:rsid w:val="4FF85E21"/>
    <w:rsid w:val="4FF921B4"/>
    <w:rsid w:val="4FFA2B4A"/>
    <w:rsid w:val="4FFA575F"/>
    <w:rsid w:val="4FFA7093"/>
    <w:rsid w:val="4FFB1405"/>
    <w:rsid w:val="4FFB3352"/>
    <w:rsid w:val="4FFB420F"/>
    <w:rsid w:val="4FFB7CBC"/>
    <w:rsid w:val="4FFC0D0F"/>
    <w:rsid w:val="4FFC114C"/>
    <w:rsid w:val="4FFC288D"/>
    <w:rsid w:val="4FFC3CAF"/>
    <w:rsid w:val="4FFD05E3"/>
    <w:rsid w:val="4FFD2EC2"/>
    <w:rsid w:val="4FFE124E"/>
    <w:rsid w:val="4FFE17C4"/>
    <w:rsid w:val="4FFE2A37"/>
    <w:rsid w:val="4FFE3746"/>
    <w:rsid w:val="4FFE4A87"/>
    <w:rsid w:val="4FFE6835"/>
    <w:rsid w:val="4FFF25AD"/>
    <w:rsid w:val="4FFF6109"/>
    <w:rsid w:val="50003F77"/>
    <w:rsid w:val="50006977"/>
    <w:rsid w:val="500100D3"/>
    <w:rsid w:val="50011D5F"/>
    <w:rsid w:val="50011E81"/>
    <w:rsid w:val="5002020D"/>
    <w:rsid w:val="50025BF9"/>
    <w:rsid w:val="5002627B"/>
    <w:rsid w:val="500315BC"/>
    <w:rsid w:val="500319DF"/>
    <w:rsid w:val="5003209D"/>
    <w:rsid w:val="50033E4B"/>
    <w:rsid w:val="50040B80"/>
    <w:rsid w:val="50041363"/>
    <w:rsid w:val="50041972"/>
    <w:rsid w:val="50042C33"/>
    <w:rsid w:val="50045AFA"/>
    <w:rsid w:val="5005313C"/>
    <w:rsid w:val="50057992"/>
    <w:rsid w:val="50060080"/>
    <w:rsid w:val="50062FF8"/>
    <w:rsid w:val="50063DD3"/>
    <w:rsid w:val="500656EA"/>
    <w:rsid w:val="500657E5"/>
    <w:rsid w:val="50065E24"/>
    <w:rsid w:val="5006782F"/>
    <w:rsid w:val="500714AC"/>
    <w:rsid w:val="50075FB4"/>
    <w:rsid w:val="50076AB7"/>
    <w:rsid w:val="50076F2C"/>
    <w:rsid w:val="50081462"/>
    <w:rsid w:val="50084BE1"/>
    <w:rsid w:val="500855AF"/>
    <w:rsid w:val="50093876"/>
    <w:rsid w:val="50096F43"/>
    <w:rsid w:val="50096F88"/>
    <w:rsid w:val="500971CD"/>
    <w:rsid w:val="500A342C"/>
    <w:rsid w:val="500A515F"/>
    <w:rsid w:val="500A6B9C"/>
    <w:rsid w:val="500B0F52"/>
    <w:rsid w:val="500B22AB"/>
    <w:rsid w:val="500B2D00"/>
    <w:rsid w:val="500B3467"/>
    <w:rsid w:val="500B5A9A"/>
    <w:rsid w:val="500D0826"/>
    <w:rsid w:val="500D1647"/>
    <w:rsid w:val="500D20D1"/>
    <w:rsid w:val="500D4CCA"/>
    <w:rsid w:val="500D6A78"/>
    <w:rsid w:val="500E459E"/>
    <w:rsid w:val="500E7D95"/>
    <w:rsid w:val="500F0A42"/>
    <w:rsid w:val="500F388E"/>
    <w:rsid w:val="500F751E"/>
    <w:rsid w:val="50100316"/>
    <w:rsid w:val="50101324"/>
    <w:rsid w:val="5010235F"/>
    <w:rsid w:val="501025C1"/>
    <w:rsid w:val="50103002"/>
    <w:rsid w:val="501053F4"/>
    <w:rsid w:val="50111EE2"/>
    <w:rsid w:val="501120A0"/>
    <w:rsid w:val="50113623"/>
    <w:rsid w:val="501162EB"/>
    <w:rsid w:val="501162FB"/>
    <w:rsid w:val="50120532"/>
    <w:rsid w:val="501221BE"/>
    <w:rsid w:val="501222E0"/>
    <w:rsid w:val="50126F5F"/>
    <w:rsid w:val="50131B39"/>
    <w:rsid w:val="50131BB5"/>
    <w:rsid w:val="501346EF"/>
    <w:rsid w:val="501359B4"/>
    <w:rsid w:val="5014045B"/>
    <w:rsid w:val="50140C50"/>
    <w:rsid w:val="50146059"/>
    <w:rsid w:val="501476C9"/>
    <w:rsid w:val="50151DD1"/>
    <w:rsid w:val="50153B7F"/>
    <w:rsid w:val="50154B9B"/>
    <w:rsid w:val="5015592D"/>
    <w:rsid w:val="50161448"/>
    <w:rsid w:val="5016793C"/>
    <w:rsid w:val="50170050"/>
    <w:rsid w:val="50170743"/>
    <w:rsid w:val="501716A5"/>
    <w:rsid w:val="501725A1"/>
    <w:rsid w:val="5017446C"/>
    <w:rsid w:val="501744FE"/>
    <w:rsid w:val="501778F7"/>
    <w:rsid w:val="50180925"/>
    <w:rsid w:val="50181EFE"/>
    <w:rsid w:val="501853A8"/>
    <w:rsid w:val="501871CB"/>
    <w:rsid w:val="50190211"/>
    <w:rsid w:val="5019366F"/>
    <w:rsid w:val="5019541D"/>
    <w:rsid w:val="501A1195"/>
    <w:rsid w:val="501A3245"/>
    <w:rsid w:val="501B07E3"/>
    <w:rsid w:val="501B19FB"/>
    <w:rsid w:val="501C0736"/>
    <w:rsid w:val="501C2CFD"/>
    <w:rsid w:val="501C315F"/>
    <w:rsid w:val="501D030A"/>
    <w:rsid w:val="501D04CE"/>
    <w:rsid w:val="501D51FA"/>
    <w:rsid w:val="501D6138"/>
    <w:rsid w:val="501E0C85"/>
    <w:rsid w:val="501E274B"/>
    <w:rsid w:val="501E2A33"/>
    <w:rsid w:val="501E36EC"/>
    <w:rsid w:val="501E4797"/>
    <w:rsid w:val="501E4E6D"/>
    <w:rsid w:val="501E6ED7"/>
    <w:rsid w:val="501F07C6"/>
    <w:rsid w:val="501F19FF"/>
    <w:rsid w:val="501F2617"/>
    <w:rsid w:val="501F35CA"/>
    <w:rsid w:val="501F49FD"/>
    <w:rsid w:val="501F6331"/>
    <w:rsid w:val="50203AD0"/>
    <w:rsid w:val="50203C86"/>
    <w:rsid w:val="50204092"/>
    <w:rsid w:val="50210776"/>
    <w:rsid w:val="502119D7"/>
    <w:rsid w:val="50212524"/>
    <w:rsid w:val="50212A5A"/>
    <w:rsid w:val="50213118"/>
    <w:rsid w:val="5022233B"/>
    <w:rsid w:val="5022270A"/>
    <w:rsid w:val="5022399A"/>
    <w:rsid w:val="5022403F"/>
    <w:rsid w:val="5023004A"/>
    <w:rsid w:val="502344EE"/>
    <w:rsid w:val="50234B0D"/>
    <w:rsid w:val="502377FC"/>
    <w:rsid w:val="50242014"/>
    <w:rsid w:val="50244A22"/>
    <w:rsid w:val="5024569E"/>
    <w:rsid w:val="50245B70"/>
    <w:rsid w:val="50250266"/>
    <w:rsid w:val="50250358"/>
    <w:rsid w:val="50251DF2"/>
    <w:rsid w:val="50253947"/>
    <w:rsid w:val="50263F5A"/>
    <w:rsid w:val="50266A34"/>
    <w:rsid w:val="5027129F"/>
    <w:rsid w:val="502713AE"/>
    <w:rsid w:val="50271F86"/>
    <w:rsid w:val="50276254"/>
    <w:rsid w:val="50276FCA"/>
    <w:rsid w:val="50277195"/>
    <w:rsid w:val="50281B04"/>
    <w:rsid w:val="50284888"/>
    <w:rsid w:val="50285660"/>
    <w:rsid w:val="50294C9A"/>
    <w:rsid w:val="502A7566"/>
    <w:rsid w:val="502A7E1B"/>
    <w:rsid w:val="502B0234"/>
    <w:rsid w:val="502B3B66"/>
    <w:rsid w:val="502B5125"/>
    <w:rsid w:val="502B5976"/>
    <w:rsid w:val="502B6022"/>
    <w:rsid w:val="502B6EFE"/>
    <w:rsid w:val="502C01D1"/>
    <w:rsid w:val="502C022B"/>
    <w:rsid w:val="502C2D69"/>
    <w:rsid w:val="502C45F4"/>
    <w:rsid w:val="502C6A6D"/>
    <w:rsid w:val="502D14B9"/>
    <w:rsid w:val="502D2C76"/>
    <w:rsid w:val="502D3F73"/>
    <w:rsid w:val="502D635B"/>
    <w:rsid w:val="502D7064"/>
    <w:rsid w:val="502D711A"/>
    <w:rsid w:val="502D73C5"/>
    <w:rsid w:val="502E69EF"/>
    <w:rsid w:val="502F5B6B"/>
    <w:rsid w:val="502F5D18"/>
    <w:rsid w:val="5030003C"/>
    <w:rsid w:val="50300363"/>
    <w:rsid w:val="50300E37"/>
    <w:rsid w:val="50302767"/>
    <w:rsid w:val="5030429C"/>
    <w:rsid w:val="50306C0B"/>
    <w:rsid w:val="50306FB5"/>
    <w:rsid w:val="503075A5"/>
    <w:rsid w:val="503116ED"/>
    <w:rsid w:val="50311FB1"/>
    <w:rsid w:val="50312BAD"/>
    <w:rsid w:val="50314404"/>
    <w:rsid w:val="5032295C"/>
    <w:rsid w:val="503264DF"/>
    <w:rsid w:val="5033015C"/>
    <w:rsid w:val="50330AC1"/>
    <w:rsid w:val="5033397D"/>
    <w:rsid w:val="50334005"/>
    <w:rsid w:val="50343AA8"/>
    <w:rsid w:val="50353BA0"/>
    <w:rsid w:val="50354404"/>
    <w:rsid w:val="50355FCF"/>
    <w:rsid w:val="50362B57"/>
    <w:rsid w:val="50364BAA"/>
    <w:rsid w:val="50370939"/>
    <w:rsid w:val="50371D47"/>
    <w:rsid w:val="5037533E"/>
    <w:rsid w:val="503805C4"/>
    <w:rsid w:val="503812E5"/>
    <w:rsid w:val="5038161B"/>
    <w:rsid w:val="50381CB0"/>
    <w:rsid w:val="50381E12"/>
    <w:rsid w:val="50385CB2"/>
    <w:rsid w:val="503867CE"/>
    <w:rsid w:val="503868DA"/>
    <w:rsid w:val="503872E3"/>
    <w:rsid w:val="50391666"/>
    <w:rsid w:val="503922FD"/>
    <w:rsid w:val="50392777"/>
    <w:rsid w:val="50393783"/>
    <w:rsid w:val="503938CE"/>
    <w:rsid w:val="50393DEA"/>
    <w:rsid w:val="503944EB"/>
    <w:rsid w:val="503963D2"/>
    <w:rsid w:val="5039786D"/>
    <w:rsid w:val="503A35E5"/>
    <w:rsid w:val="503A3C96"/>
    <w:rsid w:val="503A5393"/>
    <w:rsid w:val="503B1837"/>
    <w:rsid w:val="503C0FED"/>
    <w:rsid w:val="503C26C0"/>
    <w:rsid w:val="503C350C"/>
    <w:rsid w:val="503C5084"/>
    <w:rsid w:val="503D1674"/>
    <w:rsid w:val="503D1F71"/>
    <w:rsid w:val="503D341D"/>
    <w:rsid w:val="503D3B2F"/>
    <w:rsid w:val="503D4023"/>
    <w:rsid w:val="503D6720"/>
    <w:rsid w:val="503D67A1"/>
    <w:rsid w:val="503E454D"/>
    <w:rsid w:val="503E4E84"/>
    <w:rsid w:val="503E6C32"/>
    <w:rsid w:val="503F0BFC"/>
    <w:rsid w:val="503F29AA"/>
    <w:rsid w:val="503F5D11"/>
    <w:rsid w:val="503F78E6"/>
    <w:rsid w:val="50402BD8"/>
    <w:rsid w:val="50404690"/>
    <w:rsid w:val="50406E4E"/>
    <w:rsid w:val="50407A78"/>
    <w:rsid w:val="50411D04"/>
    <w:rsid w:val="50412BC6"/>
    <w:rsid w:val="50414974"/>
    <w:rsid w:val="50416722"/>
    <w:rsid w:val="50417A35"/>
    <w:rsid w:val="504306EC"/>
    <w:rsid w:val="5043249A"/>
    <w:rsid w:val="50433EBB"/>
    <w:rsid w:val="50435BFC"/>
    <w:rsid w:val="50441C4F"/>
    <w:rsid w:val="50442AF2"/>
    <w:rsid w:val="50442AF7"/>
    <w:rsid w:val="50443456"/>
    <w:rsid w:val="50446212"/>
    <w:rsid w:val="504464B2"/>
    <w:rsid w:val="50446783"/>
    <w:rsid w:val="50446B20"/>
    <w:rsid w:val="50455DD3"/>
    <w:rsid w:val="50460C1C"/>
    <w:rsid w:val="50461F8A"/>
    <w:rsid w:val="50462872"/>
    <w:rsid w:val="504639A3"/>
    <w:rsid w:val="50463D38"/>
    <w:rsid w:val="50473B4F"/>
    <w:rsid w:val="5047440A"/>
    <w:rsid w:val="50474642"/>
    <w:rsid w:val="50482229"/>
    <w:rsid w:val="50483F54"/>
    <w:rsid w:val="50484A2B"/>
    <w:rsid w:val="50487A0F"/>
    <w:rsid w:val="50487EBE"/>
    <w:rsid w:val="50491D59"/>
    <w:rsid w:val="50492BA0"/>
    <w:rsid w:val="504A1A7A"/>
    <w:rsid w:val="504A27AE"/>
    <w:rsid w:val="504A5B34"/>
    <w:rsid w:val="504A66D2"/>
    <w:rsid w:val="504A7CCC"/>
    <w:rsid w:val="504B38B5"/>
    <w:rsid w:val="504B38CA"/>
    <w:rsid w:val="504B57F2"/>
    <w:rsid w:val="504B5DE8"/>
    <w:rsid w:val="504C221A"/>
    <w:rsid w:val="504C2EF8"/>
    <w:rsid w:val="504C469B"/>
    <w:rsid w:val="504C6D72"/>
    <w:rsid w:val="504C6F91"/>
    <w:rsid w:val="504D7948"/>
    <w:rsid w:val="504E522B"/>
    <w:rsid w:val="504F501D"/>
    <w:rsid w:val="504F52E3"/>
    <w:rsid w:val="504F6B9F"/>
    <w:rsid w:val="50502E09"/>
    <w:rsid w:val="505033D6"/>
    <w:rsid w:val="50503827"/>
    <w:rsid w:val="50504BB7"/>
    <w:rsid w:val="50505C48"/>
    <w:rsid w:val="50510252"/>
    <w:rsid w:val="5051105B"/>
    <w:rsid w:val="505134DB"/>
    <w:rsid w:val="50514F57"/>
    <w:rsid w:val="50516C86"/>
    <w:rsid w:val="5052092F"/>
    <w:rsid w:val="50526681"/>
    <w:rsid w:val="50526B81"/>
    <w:rsid w:val="50527D83"/>
    <w:rsid w:val="50531056"/>
    <w:rsid w:val="505333D6"/>
    <w:rsid w:val="50534C3A"/>
    <w:rsid w:val="50537DD4"/>
    <w:rsid w:val="505401E4"/>
    <w:rsid w:val="505422F6"/>
    <w:rsid w:val="505428F9"/>
    <w:rsid w:val="50543C56"/>
    <w:rsid w:val="505443C2"/>
    <w:rsid w:val="5054731E"/>
    <w:rsid w:val="505475F5"/>
    <w:rsid w:val="50547B79"/>
    <w:rsid w:val="505521CD"/>
    <w:rsid w:val="505528ED"/>
    <w:rsid w:val="505529D5"/>
    <w:rsid w:val="505530A0"/>
    <w:rsid w:val="50565FEA"/>
    <w:rsid w:val="50566671"/>
    <w:rsid w:val="50566BFB"/>
    <w:rsid w:val="50575F45"/>
    <w:rsid w:val="505801C2"/>
    <w:rsid w:val="50581ADB"/>
    <w:rsid w:val="5058241B"/>
    <w:rsid w:val="50582438"/>
    <w:rsid w:val="50586542"/>
    <w:rsid w:val="505878DB"/>
    <w:rsid w:val="50590501"/>
    <w:rsid w:val="50590E3F"/>
    <w:rsid w:val="50591CBD"/>
    <w:rsid w:val="50597F0F"/>
    <w:rsid w:val="505A141E"/>
    <w:rsid w:val="505A32A9"/>
    <w:rsid w:val="505A77E4"/>
    <w:rsid w:val="505B0298"/>
    <w:rsid w:val="505B060C"/>
    <w:rsid w:val="505B3C87"/>
    <w:rsid w:val="505B3D8A"/>
    <w:rsid w:val="505B5E9B"/>
    <w:rsid w:val="505C17AE"/>
    <w:rsid w:val="505D1006"/>
    <w:rsid w:val="505D239B"/>
    <w:rsid w:val="505D39EA"/>
    <w:rsid w:val="505D7058"/>
    <w:rsid w:val="505D7080"/>
    <w:rsid w:val="505D7A7B"/>
    <w:rsid w:val="505D7E76"/>
    <w:rsid w:val="505E05E1"/>
    <w:rsid w:val="505E1082"/>
    <w:rsid w:val="505E5526"/>
    <w:rsid w:val="505E5C22"/>
    <w:rsid w:val="505E60CF"/>
    <w:rsid w:val="505E72D4"/>
    <w:rsid w:val="505F0227"/>
    <w:rsid w:val="505F0E17"/>
    <w:rsid w:val="505F521F"/>
    <w:rsid w:val="505F681A"/>
    <w:rsid w:val="50600638"/>
    <w:rsid w:val="5060129E"/>
    <w:rsid w:val="506026E2"/>
    <w:rsid w:val="506036AA"/>
    <w:rsid w:val="506062C6"/>
    <w:rsid w:val="50610B72"/>
    <w:rsid w:val="50614E84"/>
    <w:rsid w:val="50615016"/>
    <w:rsid w:val="506247AB"/>
    <w:rsid w:val="50631C20"/>
    <w:rsid w:val="50632B3C"/>
    <w:rsid w:val="506375CD"/>
    <w:rsid w:val="50642410"/>
    <w:rsid w:val="50642488"/>
    <w:rsid w:val="50643BA7"/>
    <w:rsid w:val="50643F63"/>
    <w:rsid w:val="50645282"/>
    <w:rsid w:val="506459F1"/>
    <w:rsid w:val="50650662"/>
    <w:rsid w:val="50655075"/>
    <w:rsid w:val="506557EA"/>
    <w:rsid w:val="50655EBA"/>
    <w:rsid w:val="506568B4"/>
    <w:rsid w:val="506568D8"/>
    <w:rsid w:val="50661B3C"/>
    <w:rsid w:val="5066262C"/>
    <w:rsid w:val="50665AA7"/>
    <w:rsid w:val="50665BE5"/>
    <w:rsid w:val="50671112"/>
    <w:rsid w:val="50672CDB"/>
    <w:rsid w:val="50675CF4"/>
    <w:rsid w:val="50676DDC"/>
    <w:rsid w:val="50680152"/>
    <w:rsid w:val="50687C16"/>
    <w:rsid w:val="50691277"/>
    <w:rsid w:val="50692424"/>
    <w:rsid w:val="50697A27"/>
    <w:rsid w:val="506A211C"/>
    <w:rsid w:val="506A3ECB"/>
    <w:rsid w:val="506B0BEA"/>
    <w:rsid w:val="506B1E14"/>
    <w:rsid w:val="506B2EE3"/>
    <w:rsid w:val="506B379F"/>
    <w:rsid w:val="506B7C43"/>
    <w:rsid w:val="506C232D"/>
    <w:rsid w:val="506C5235"/>
    <w:rsid w:val="506C6141"/>
    <w:rsid w:val="506D2114"/>
    <w:rsid w:val="506D2D18"/>
    <w:rsid w:val="506D5769"/>
    <w:rsid w:val="506D61DE"/>
    <w:rsid w:val="506E2BAE"/>
    <w:rsid w:val="506E6E6F"/>
    <w:rsid w:val="506E7A92"/>
    <w:rsid w:val="506F02A4"/>
    <w:rsid w:val="506F2AD1"/>
    <w:rsid w:val="506F4EF7"/>
    <w:rsid w:val="50700DB5"/>
    <w:rsid w:val="50701BDA"/>
    <w:rsid w:val="50702648"/>
    <w:rsid w:val="50707007"/>
    <w:rsid w:val="5071309F"/>
    <w:rsid w:val="50715259"/>
    <w:rsid w:val="50720FD1"/>
    <w:rsid w:val="50721F90"/>
    <w:rsid w:val="50724B2D"/>
    <w:rsid w:val="50727B58"/>
    <w:rsid w:val="507341EC"/>
    <w:rsid w:val="50743680"/>
    <w:rsid w:val="50744D49"/>
    <w:rsid w:val="507552DF"/>
    <w:rsid w:val="50757EB0"/>
    <w:rsid w:val="50760AC1"/>
    <w:rsid w:val="50761F32"/>
    <w:rsid w:val="507630D5"/>
    <w:rsid w:val="50764CF5"/>
    <w:rsid w:val="50765DBD"/>
    <w:rsid w:val="50766FA2"/>
    <w:rsid w:val="50770396"/>
    <w:rsid w:val="50770436"/>
    <w:rsid w:val="507718E7"/>
    <w:rsid w:val="50771C52"/>
    <w:rsid w:val="50772C4C"/>
    <w:rsid w:val="507765E7"/>
    <w:rsid w:val="5077768A"/>
    <w:rsid w:val="507813DF"/>
    <w:rsid w:val="50792360"/>
    <w:rsid w:val="50792720"/>
    <w:rsid w:val="5079410E"/>
    <w:rsid w:val="50795EBA"/>
    <w:rsid w:val="50795EBC"/>
    <w:rsid w:val="50796564"/>
    <w:rsid w:val="50797CC1"/>
    <w:rsid w:val="50797DFA"/>
    <w:rsid w:val="507A1151"/>
    <w:rsid w:val="507A17D2"/>
    <w:rsid w:val="507A1BAC"/>
    <w:rsid w:val="507A1C34"/>
    <w:rsid w:val="507A4363"/>
    <w:rsid w:val="507B60D8"/>
    <w:rsid w:val="507B6DD6"/>
    <w:rsid w:val="507B7E86"/>
    <w:rsid w:val="507C59AC"/>
    <w:rsid w:val="507C61E0"/>
    <w:rsid w:val="507C769B"/>
    <w:rsid w:val="507D635D"/>
    <w:rsid w:val="507E1724"/>
    <w:rsid w:val="507E34D2"/>
    <w:rsid w:val="507E6391"/>
    <w:rsid w:val="507E749F"/>
    <w:rsid w:val="507F48A9"/>
    <w:rsid w:val="507F724A"/>
    <w:rsid w:val="507F7E70"/>
    <w:rsid w:val="508015CB"/>
    <w:rsid w:val="50802104"/>
    <w:rsid w:val="508023C1"/>
    <w:rsid w:val="508036EE"/>
    <w:rsid w:val="5080549C"/>
    <w:rsid w:val="50811214"/>
    <w:rsid w:val="50812FC2"/>
    <w:rsid w:val="508172A2"/>
    <w:rsid w:val="50822FAF"/>
    <w:rsid w:val="50827466"/>
    <w:rsid w:val="508278E3"/>
    <w:rsid w:val="50831D1B"/>
    <w:rsid w:val="50832EE6"/>
    <w:rsid w:val="50834653"/>
    <w:rsid w:val="50834F8C"/>
    <w:rsid w:val="50836D3A"/>
    <w:rsid w:val="508378F0"/>
    <w:rsid w:val="50843944"/>
    <w:rsid w:val="5084426D"/>
    <w:rsid w:val="50844271"/>
    <w:rsid w:val="50851129"/>
    <w:rsid w:val="50852AB2"/>
    <w:rsid w:val="50855026"/>
    <w:rsid w:val="508570A2"/>
    <w:rsid w:val="5086061C"/>
    <w:rsid w:val="5086080E"/>
    <w:rsid w:val="50860996"/>
    <w:rsid w:val="508651A4"/>
    <w:rsid w:val="50865335"/>
    <w:rsid w:val="50867921"/>
    <w:rsid w:val="5087151A"/>
    <w:rsid w:val="50872877"/>
    <w:rsid w:val="508728E3"/>
    <w:rsid w:val="50874A7C"/>
    <w:rsid w:val="50875F67"/>
    <w:rsid w:val="508807F5"/>
    <w:rsid w:val="50881C75"/>
    <w:rsid w:val="50883755"/>
    <w:rsid w:val="50884351"/>
    <w:rsid w:val="508854A0"/>
    <w:rsid w:val="50891EDA"/>
    <w:rsid w:val="508925D1"/>
    <w:rsid w:val="50894BE5"/>
    <w:rsid w:val="50895355"/>
    <w:rsid w:val="508979DE"/>
    <w:rsid w:val="508A1E77"/>
    <w:rsid w:val="508A1F0C"/>
    <w:rsid w:val="508A37B5"/>
    <w:rsid w:val="508A3B49"/>
    <w:rsid w:val="508A6075"/>
    <w:rsid w:val="508A74C8"/>
    <w:rsid w:val="508A7D3A"/>
    <w:rsid w:val="508B27AA"/>
    <w:rsid w:val="508B3378"/>
    <w:rsid w:val="508B3E41"/>
    <w:rsid w:val="508B4609"/>
    <w:rsid w:val="508B5332"/>
    <w:rsid w:val="508C0099"/>
    <w:rsid w:val="508C2093"/>
    <w:rsid w:val="508C3BBD"/>
    <w:rsid w:val="508D0272"/>
    <w:rsid w:val="508D77DD"/>
    <w:rsid w:val="508D7BB9"/>
    <w:rsid w:val="508E0E95"/>
    <w:rsid w:val="508E16CD"/>
    <w:rsid w:val="508E547A"/>
    <w:rsid w:val="508E5E86"/>
    <w:rsid w:val="508E6517"/>
    <w:rsid w:val="508F1B83"/>
    <w:rsid w:val="508F322C"/>
    <w:rsid w:val="508F4A3A"/>
    <w:rsid w:val="50901817"/>
    <w:rsid w:val="50902491"/>
    <w:rsid w:val="5090259D"/>
    <w:rsid w:val="50903205"/>
    <w:rsid w:val="509064F2"/>
    <w:rsid w:val="50912BD1"/>
    <w:rsid w:val="50912EB9"/>
    <w:rsid w:val="50916F19"/>
    <w:rsid w:val="509176A9"/>
    <w:rsid w:val="50920FEB"/>
    <w:rsid w:val="50923421"/>
    <w:rsid w:val="509251CF"/>
    <w:rsid w:val="50925C97"/>
    <w:rsid w:val="50926F7D"/>
    <w:rsid w:val="509273D8"/>
    <w:rsid w:val="509371F1"/>
    <w:rsid w:val="50937B6E"/>
    <w:rsid w:val="50937EA6"/>
    <w:rsid w:val="50940F47"/>
    <w:rsid w:val="5094543F"/>
    <w:rsid w:val="50946C0C"/>
    <w:rsid w:val="50947199"/>
    <w:rsid w:val="50950FE8"/>
    <w:rsid w:val="5095292F"/>
    <w:rsid w:val="50955D59"/>
    <w:rsid w:val="50956CEA"/>
    <w:rsid w:val="50960447"/>
    <w:rsid w:val="509620FB"/>
    <w:rsid w:val="5096292B"/>
    <w:rsid w:val="50962F12"/>
    <w:rsid w:val="50963AE5"/>
    <w:rsid w:val="50964CC0"/>
    <w:rsid w:val="50966A6E"/>
    <w:rsid w:val="509671E9"/>
    <w:rsid w:val="50967ACE"/>
    <w:rsid w:val="50970A38"/>
    <w:rsid w:val="50970DAE"/>
    <w:rsid w:val="509727E6"/>
    <w:rsid w:val="509753E9"/>
    <w:rsid w:val="50981128"/>
    <w:rsid w:val="5098324A"/>
    <w:rsid w:val="50984293"/>
    <w:rsid w:val="5099184A"/>
    <w:rsid w:val="50994292"/>
    <w:rsid w:val="50994D6D"/>
    <w:rsid w:val="50995A93"/>
    <w:rsid w:val="5099655E"/>
    <w:rsid w:val="509972C8"/>
    <w:rsid w:val="509A133B"/>
    <w:rsid w:val="509A47E0"/>
    <w:rsid w:val="509B0528"/>
    <w:rsid w:val="509B1BCB"/>
    <w:rsid w:val="509B24DB"/>
    <w:rsid w:val="509B4395"/>
    <w:rsid w:val="509C14BA"/>
    <w:rsid w:val="509C436A"/>
    <w:rsid w:val="509C7DFC"/>
    <w:rsid w:val="509D6459"/>
    <w:rsid w:val="509E01E5"/>
    <w:rsid w:val="509E3B74"/>
    <w:rsid w:val="509E42B3"/>
    <w:rsid w:val="509E56AE"/>
    <w:rsid w:val="509E5922"/>
    <w:rsid w:val="509E5EE0"/>
    <w:rsid w:val="509F1549"/>
    <w:rsid w:val="509F17AA"/>
    <w:rsid w:val="509F6E0B"/>
    <w:rsid w:val="509F741A"/>
    <w:rsid w:val="509F7D64"/>
    <w:rsid w:val="50A0169A"/>
    <w:rsid w:val="50A019DC"/>
    <w:rsid w:val="50A02916"/>
    <w:rsid w:val="50A07809"/>
    <w:rsid w:val="50A07B06"/>
    <w:rsid w:val="50A07D66"/>
    <w:rsid w:val="50A07DE0"/>
    <w:rsid w:val="50A11202"/>
    <w:rsid w:val="50A13664"/>
    <w:rsid w:val="50A218B6"/>
    <w:rsid w:val="50A21CC1"/>
    <w:rsid w:val="50A21F5F"/>
    <w:rsid w:val="50A23A44"/>
    <w:rsid w:val="50A3118B"/>
    <w:rsid w:val="50A31D6E"/>
    <w:rsid w:val="50A373DC"/>
    <w:rsid w:val="50A420A4"/>
    <w:rsid w:val="50A43956"/>
    <w:rsid w:val="50A43A3C"/>
    <w:rsid w:val="50A43C01"/>
    <w:rsid w:val="50A4400D"/>
    <w:rsid w:val="50A457CB"/>
    <w:rsid w:val="50A5313B"/>
    <w:rsid w:val="50A53155"/>
    <w:rsid w:val="50A54F03"/>
    <w:rsid w:val="50A55428"/>
    <w:rsid w:val="50A5584E"/>
    <w:rsid w:val="50A55D89"/>
    <w:rsid w:val="50A579C2"/>
    <w:rsid w:val="50A61D7D"/>
    <w:rsid w:val="50A627B3"/>
    <w:rsid w:val="50A629C6"/>
    <w:rsid w:val="50A64EC4"/>
    <w:rsid w:val="50A72E96"/>
    <w:rsid w:val="50A8054F"/>
    <w:rsid w:val="50A80E34"/>
    <w:rsid w:val="50A867A1"/>
    <w:rsid w:val="50A92D5F"/>
    <w:rsid w:val="50A937DE"/>
    <w:rsid w:val="50AA0F9B"/>
    <w:rsid w:val="50AA177A"/>
    <w:rsid w:val="50AA2519"/>
    <w:rsid w:val="50AA27D7"/>
    <w:rsid w:val="50AA3F1E"/>
    <w:rsid w:val="50AA42C7"/>
    <w:rsid w:val="50AA565F"/>
    <w:rsid w:val="50AB003F"/>
    <w:rsid w:val="50AB321F"/>
    <w:rsid w:val="50AB7425"/>
    <w:rsid w:val="50AC0E37"/>
    <w:rsid w:val="50AC1731"/>
    <w:rsid w:val="50AC1D83"/>
    <w:rsid w:val="50AC3D46"/>
    <w:rsid w:val="50AC5460"/>
    <w:rsid w:val="50AC6291"/>
    <w:rsid w:val="50AD025B"/>
    <w:rsid w:val="50AD16F5"/>
    <w:rsid w:val="50AD2735"/>
    <w:rsid w:val="50AD3DB7"/>
    <w:rsid w:val="50AD3FE0"/>
    <w:rsid w:val="50AD4CCC"/>
    <w:rsid w:val="50AD59E0"/>
    <w:rsid w:val="50AE254C"/>
    <w:rsid w:val="50AE3675"/>
    <w:rsid w:val="50AE6221"/>
    <w:rsid w:val="50AE6CE7"/>
    <w:rsid w:val="50AF5D81"/>
    <w:rsid w:val="50AF6360"/>
    <w:rsid w:val="50AF7A85"/>
    <w:rsid w:val="50AF7B2F"/>
    <w:rsid w:val="50B05655"/>
    <w:rsid w:val="50B07712"/>
    <w:rsid w:val="50B10295"/>
    <w:rsid w:val="50B10B52"/>
    <w:rsid w:val="50B10EF3"/>
    <w:rsid w:val="50B11AF9"/>
    <w:rsid w:val="50B1385B"/>
    <w:rsid w:val="50B138A7"/>
    <w:rsid w:val="50B13DF1"/>
    <w:rsid w:val="50B14847"/>
    <w:rsid w:val="50B14861"/>
    <w:rsid w:val="50B213CE"/>
    <w:rsid w:val="50B21859"/>
    <w:rsid w:val="50B27480"/>
    <w:rsid w:val="50B27620"/>
    <w:rsid w:val="50B27752"/>
    <w:rsid w:val="50B436E6"/>
    <w:rsid w:val="50B440E4"/>
    <w:rsid w:val="50B44E73"/>
    <w:rsid w:val="50B45146"/>
    <w:rsid w:val="50B453BB"/>
    <w:rsid w:val="50B47FD8"/>
    <w:rsid w:val="50B51C1E"/>
    <w:rsid w:val="50B52250"/>
    <w:rsid w:val="50B52C6C"/>
    <w:rsid w:val="50B5627E"/>
    <w:rsid w:val="50B60EBE"/>
    <w:rsid w:val="50B611AA"/>
    <w:rsid w:val="50B61C88"/>
    <w:rsid w:val="50B63E8E"/>
    <w:rsid w:val="50B67110"/>
    <w:rsid w:val="50B7298F"/>
    <w:rsid w:val="50B74C36"/>
    <w:rsid w:val="50B75092"/>
    <w:rsid w:val="50B769E4"/>
    <w:rsid w:val="50B76B84"/>
    <w:rsid w:val="50B83899"/>
    <w:rsid w:val="50B87488"/>
    <w:rsid w:val="50B907EE"/>
    <w:rsid w:val="50B9275C"/>
    <w:rsid w:val="50B92E2E"/>
    <w:rsid w:val="50B92F08"/>
    <w:rsid w:val="50B9375A"/>
    <w:rsid w:val="50B96C00"/>
    <w:rsid w:val="50BA22A7"/>
    <w:rsid w:val="50BA5024"/>
    <w:rsid w:val="50BB0282"/>
    <w:rsid w:val="50BB2978"/>
    <w:rsid w:val="50BB480F"/>
    <w:rsid w:val="50BB4EA3"/>
    <w:rsid w:val="50BB6667"/>
    <w:rsid w:val="50BB7A74"/>
    <w:rsid w:val="50BC0E10"/>
    <w:rsid w:val="50BC0F04"/>
    <w:rsid w:val="50BC3456"/>
    <w:rsid w:val="50BC3FFA"/>
    <w:rsid w:val="50BD049E"/>
    <w:rsid w:val="50BD0A54"/>
    <w:rsid w:val="50BD3AD5"/>
    <w:rsid w:val="50BD6778"/>
    <w:rsid w:val="50BE3824"/>
    <w:rsid w:val="50BE5FC4"/>
    <w:rsid w:val="50BE7150"/>
    <w:rsid w:val="50BE73C9"/>
    <w:rsid w:val="50BE7D72"/>
    <w:rsid w:val="50BF0818"/>
    <w:rsid w:val="50BF3B17"/>
    <w:rsid w:val="50BF7F12"/>
    <w:rsid w:val="50C01D3C"/>
    <w:rsid w:val="50C028F7"/>
    <w:rsid w:val="50C03357"/>
    <w:rsid w:val="50C038F5"/>
    <w:rsid w:val="50C04FEB"/>
    <w:rsid w:val="50C05C9C"/>
    <w:rsid w:val="50C102D5"/>
    <w:rsid w:val="50C10A62"/>
    <w:rsid w:val="50C11611"/>
    <w:rsid w:val="50C13378"/>
    <w:rsid w:val="50C17863"/>
    <w:rsid w:val="50C23D07"/>
    <w:rsid w:val="50C24680"/>
    <w:rsid w:val="50C3182D"/>
    <w:rsid w:val="50C3490A"/>
    <w:rsid w:val="50C35389"/>
    <w:rsid w:val="50C425EF"/>
    <w:rsid w:val="50C47696"/>
    <w:rsid w:val="50C5106D"/>
    <w:rsid w:val="50C51101"/>
    <w:rsid w:val="50C52267"/>
    <w:rsid w:val="50C555A5"/>
    <w:rsid w:val="50C55C77"/>
    <w:rsid w:val="50C57353"/>
    <w:rsid w:val="50C671EC"/>
    <w:rsid w:val="50C7131D"/>
    <w:rsid w:val="50C71414"/>
    <w:rsid w:val="50C7199D"/>
    <w:rsid w:val="50C730CB"/>
    <w:rsid w:val="50C76017"/>
    <w:rsid w:val="50C827B4"/>
    <w:rsid w:val="50C8299F"/>
    <w:rsid w:val="50C83FAC"/>
    <w:rsid w:val="50C85080"/>
    <w:rsid w:val="50C86E43"/>
    <w:rsid w:val="50C912AB"/>
    <w:rsid w:val="50C946D8"/>
    <w:rsid w:val="50C94989"/>
    <w:rsid w:val="50CA259C"/>
    <w:rsid w:val="50CA2BBB"/>
    <w:rsid w:val="50CA3508"/>
    <w:rsid w:val="50CA6717"/>
    <w:rsid w:val="50CB75EA"/>
    <w:rsid w:val="50CC06E1"/>
    <w:rsid w:val="50CC248F"/>
    <w:rsid w:val="50CD1D3A"/>
    <w:rsid w:val="50CD21EB"/>
    <w:rsid w:val="50CD266E"/>
    <w:rsid w:val="50CD4459"/>
    <w:rsid w:val="50CD7AD8"/>
    <w:rsid w:val="50CE056D"/>
    <w:rsid w:val="50CE0BBE"/>
    <w:rsid w:val="50CE1AAD"/>
    <w:rsid w:val="50CE37F8"/>
    <w:rsid w:val="50CF01D2"/>
    <w:rsid w:val="50CF1F80"/>
    <w:rsid w:val="50CF3D2E"/>
    <w:rsid w:val="50CF5EEA"/>
    <w:rsid w:val="50D00C98"/>
    <w:rsid w:val="50D0724B"/>
    <w:rsid w:val="50D13F4A"/>
    <w:rsid w:val="50D17E3A"/>
    <w:rsid w:val="50D2381E"/>
    <w:rsid w:val="50D2558F"/>
    <w:rsid w:val="50D3012C"/>
    <w:rsid w:val="50D30256"/>
    <w:rsid w:val="50D3566A"/>
    <w:rsid w:val="50D35B8D"/>
    <w:rsid w:val="50D41344"/>
    <w:rsid w:val="50D43A3A"/>
    <w:rsid w:val="50D45F73"/>
    <w:rsid w:val="50D4620D"/>
    <w:rsid w:val="50D465EE"/>
    <w:rsid w:val="50D4718B"/>
    <w:rsid w:val="50D47596"/>
    <w:rsid w:val="50D51C95"/>
    <w:rsid w:val="50D531EC"/>
    <w:rsid w:val="50D5389C"/>
    <w:rsid w:val="50D55C2F"/>
    <w:rsid w:val="50D568DC"/>
    <w:rsid w:val="50D56CA1"/>
    <w:rsid w:val="50D61560"/>
    <w:rsid w:val="50D650BC"/>
    <w:rsid w:val="50D67D5B"/>
    <w:rsid w:val="50D74ACD"/>
    <w:rsid w:val="50D81C77"/>
    <w:rsid w:val="50D8261F"/>
    <w:rsid w:val="50D837A8"/>
    <w:rsid w:val="50D83814"/>
    <w:rsid w:val="50D852D8"/>
    <w:rsid w:val="50D856B2"/>
    <w:rsid w:val="50D87445"/>
    <w:rsid w:val="50D9042C"/>
    <w:rsid w:val="50D91050"/>
    <w:rsid w:val="50D932EF"/>
    <w:rsid w:val="50D965DE"/>
    <w:rsid w:val="50D97EE8"/>
    <w:rsid w:val="50DA7442"/>
    <w:rsid w:val="50DA768E"/>
    <w:rsid w:val="50DB2A7C"/>
    <w:rsid w:val="50DB3D34"/>
    <w:rsid w:val="50DB42B0"/>
    <w:rsid w:val="50DB448D"/>
    <w:rsid w:val="50DB6B76"/>
    <w:rsid w:val="50DC04EE"/>
    <w:rsid w:val="50DC31A8"/>
    <w:rsid w:val="50DC3946"/>
    <w:rsid w:val="50DC521C"/>
    <w:rsid w:val="50DC62E1"/>
    <w:rsid w:val="50DC7867"/>
    <w:rsid w:val="50DD197E"/>
    <w:rsid w:val="50DD4660"/>
    <w:rsid w:val="50DD4669"/>
    <w:rsid w:val="50DD469C"/>
    <w:rsid w:val="50DD6105"/>
    <w:rsid w:val="50DE574F"/>
    <w:rsid w:val="50DE6667"/>
    <w:rsid w:val="50DF0B27"/>
    <w:rsid w:val="50DF429E"/>
    <w:rsid w:val="50DF57CF"/>
    <w:rsid w:val="50DF5A88"/>
    <w:rsid w:val="50DF5FA4"/>
    <w:rsid w:val="50E01296"/>
    <w:rsid w:val="50E023DF"/>
    <w:rsid w:val="50E02F25"/>
    <w:rsid w:val="50E0418D"/>
    <w:rsid w:val="50E05F3B"/>
    <w:rsid w:val="50E10D65"/>
    <w:rsid w:val="50E1107E"/>
    <w:rsid w:val="50E1178F"/>
    <w:rsid w:val="50E1335D"/>
    <w:rsid w:val="50E164AD"/>
    <w:rsid w:val="50E20B60"/>
    <w:rsid w:val="50E2175C"/>
    <w:rsid w:val="50E21CB3"/>
    <w:rsid w:val="50E237F9"/>
    <w:rsid w:val="50E25A58"/>
    <w:rsid w:val="50E278E1"/>
    <w:rsid w:val="50E27F05"/>
    <w:rsid w:val="50E31407"/>
    <w:rsid w:val="50E332BC"/>
    <w:rsid w:val="50E357F0"/>
    <w:rsid w:val="50E35A2B"/>
    <w:rsid w:val="50E35EB0"/>
    <w:rsid w:val="50E36C3A"/>
    <w:rsid w:val="50E377D9"/>
    <w:rsid w:val="50E37ED1"/>
    <w:rsid w:val="50E4136E"/>
    <w:rsid w:val="50E4338C"/>
    <w:rsid w:val="50E517A3"/>
    <w:rsid w:val="50E53551"/>
    <w:rsid w:val="50E56E5F"/>
    <w:rsid w:val="50E615A0"/>
    <w:rsid w:val="50E64171"/>
    <w:rsid w:val="50E66ADB"/>
    <w:rsid w:val="50E703D0"/>
    <w:rsid w:val="50E7376D"/>
    <w:rsid w:val="50E7551B"/>
    <w:rsid w:val="50E81293"/>
    <w:rsid w:val="50E83041"/>
    <w:rsid w:val="50E83769"/>
    <w:rsid w:val="50E84DEF"/>
    <w:rsid w:val="50E86615"/>
    <w:rsid w:val="50E86DB2"/>
    <w:rsid w:val="50E87F9F"/>
    <w:rsid w:val="50E90ABA"/>
    <w:rsid w:val="50E91243"/>
    <w:rsid w:val="50EA047A"/>
    <w:rsid w:val="50EA0B67"/>
    <w:rsid w:val="50EA2CE9"/>
    <w:rsid w:val="50EA372C"/>
    <w:rsid w:val="50EA6DB9"/>
    <w:rsid w:val="50EB1C76"/>
    <w:rsid w:val="50EB451E"/>
    <w:rsid w:val="50EC16BE"/>
    <w:rsid w:val="50EC1FBA"/>
    <w:rsid w:val="50EC2B32"/>
    <w:rsid w:val="50EC5C45"/>
    <w:rsid w:val="50EC7FE3"/>
    <w:rsid w:val="50ED0658"/>
    <w:rsid w:val="50ED2406"/>
    <w:rsid w:val="50ED4968"/>
    <w:rsid w:val="50EE0490"/>
    <w:rsid w:val="50EE13D9"/>
    <w:rsid w:val="50EE3CE5"/>
    <w:rsid w:val="50EE4AFC"/>
    <w:rsid w:val="50EE669A"/>
    <w:rsid w:val="50EE68AA"/>
    <w:rsid w:val="50EF12E9"/>
    <w:rsid w:val="50EF2622"/>
    <w:rsid w:val="50EF3944"/>
    <w:rsid w:val="50EF3D02"/>
    <w:rsid w:val="50EF43D0"/>
    <w:rsid w:val="50EF4AED"/>
    <w:rsid w:val="50EF617E"/>
    <w:rsid w:val="50F01167"/>
    <w:rsid w:val="50F06E23"/>
    <w:rsid w:val="50F10148"/>
    <w:rsid w:val="50F13B58"/>
    <w:rsid w:val="50F173CB"/>
    <w:rsid w:val="50F24B94"/>
    <w:rsid w:val="50F25C6E"/>
    <w:rsid w:val="50F360E5"/>
    <w:rsid w:val="50F43C0D"/>
    <w:rsid w:val="50F479C3"/>
    <w:rsid w:val="50F52ADD"/>
    <w:rsid w:val="50F60BA1"/>
    <w:rsid w:val="50F623BE"/>
    <w:rsid w:val="50F639B0"/>
    <w:rsid w:val="50F64D81"/>
    <w:rsid w:val="50F65C8C"/>
    <w:rsid w:val="50F6750C"/>
    <w:rsid w:val="50F71E35"/>
    <w:rsid w:val="50F72721"/>
    <w:rsid w:val="50F74A4D"/>
    <w:rsid w:val="50F77B2E"/>
    <w:rsid w:val="50F814D6"/>
    <w:rsid w:val="50F81506"/>
    <w:rsid w:val="50F82DA6"/>
    <w:rsid w:val="50F84DCE"/>
    <w:rsid w:val="50F86B9A"/>
    <w:rsid w:val="50F86F03"/>
    <w:rsid w:val="50F87728"/>
    <w:rsid w:val="50F90834"/>
    <w:rsid w:val="50F934A0"/>
    <w:rsid w:val="50F9524E"/>
    <w:rsid w:val="50F95DD1"/>
    <w:rsid w:val="50F96FFC"/>
    <w:rsid w:val="50FA0EA6"/>
    <w:rsid w:val="50FB0FC7"/>
    <w:rsid w:val="50FB69A7"/>
    <w:rsid w:val="50FB7BF7"/>
    <w:rsid w:val="50FC0141"/>
    <w:rsid w:val="50FC089B"/>
    <w:rsid w:val="50FC15AB"/>
    <w:rsid w:val="50FC6397"/>
    <w:rsid w:val="50FC7764"/>
    <w:rsid w:val="50FD2A5A"/>
    <w:rsid w:val="50FD2C9E"/>
    <w:rsid w:val="50FE0AB7"/>
    <w:rsid w:val="50FE2865"/>
    <w:rsid w:val="50FE30A6"/>
    <w:rsid w:val="50FE4613"/>
    <w:rsid w:val="50FE57E0"/>
    <w:rsid w:val="50FF3888"/>
    <w:rsid w:val="50FF62F8"/>
    <w:rsid w:val="50FF74F2"/>
    <w:rsid w:val="50FF7D4E"/>
    <w:rsid w:val="50FF7F15"/>
    <w:rsid w:val="5100038B"/>
    <w:rsid w:val="51000AED"/>
    <w:rsid w:val="5100482F"/>
    <w:rsid w:val="510065DD"/>
    <w:rsid w:val="51010087"/>
    <w:rsid w:val="51011273"/>
    <w:rsid w:val="5101589B"/>
    <w:rsid w:val="51016C15"/>
    <w:rsid w:val="51022355"/>
    <w:rsid w:val="51025ED1"/>
    <w:rsid w:val="510269CE"/>
    <w:rsid w:val="51027638"/>
    <w:rsid w:val="5103153C"/>
    <w:rsid w:val="51031C29"/>
    <w:rsid w:val="51031D8D"/>
    <w:rsid w:val="51032128"/>
    <w:rsid w:val="51033699"/>
    <w:rsid w:val="51033794"/>
    <w:rsid w:val="5104017A"/>
    <w:rsid w:val="51041158"/>
    <w:rsid w:val="51043B5D"/>
    <w:rsid w:val="510460CD"/>
    <w:rsid w:val="51046C19"/>
    <w:rsid w:val="510501AB"/>
    <w:rsid w:val="51051DF0"/>
    <w:rsid w:val="51051E45"/>
    <w:rsid w:val="51053392"/>
    <w:rsid w:val="510537DD"/>
    <w:rsid w:val="51053CA2"/>
    <w:rsid w:val="510544A6"/>
    <w:rsid w:val="510559A1"/>
    <w:rsid w:val="51055C5B"/>
    <w:rsid w:val="510576FA"/>
    <w:rsid w:val="51060782"/>
    <w:rsid w:val="51061CE7"/>
    <w:rsid w:val="510631E3"/>
    <w:rsid w:val="51063BD3"/>
    <w:rsid w:val="51066109"/>
    <w:rsid w:val="5106695D"/>
    <w:rsid w:val="51071719"/>
    <w:rsid w:val="51072269"/>
    <w:rsid w:val="510734C7"/>
    <w:rsid w:val="51073809"/>
    <w:rsid w:val="51075C82"/>
    <w:rsid w:val="51076769"/>
    <w:rsid w:val="51080F9B"/>
    <w:rsid w:val="510843F7"/>
    <w:rsid w:val="51084BD7"/>
    <w:rsid w:val="51085492"/>
    <w:rsid w:val="5108607B"/>
    <w:rsid w:val="51090CE9"/>
    <w:rsid w:val="51092E00"/>
    <w:rsid w:val="510936E3"/>
    <w:rsid w:val="51093E2B"/>
    <w:rsid w:val="51095DCA"/>
    <w:rsid w:val="510A1FD1"/>
    <w:rsid w:val="510A2FB8"/>
    <w:rsid w:val="510A361A"/>
    <w:rsid w:val="510A745C"/>
    <w:rsid w:val="510C0A70"/>
    <w:rsid w:val="510C1A2F"/>
    <w:rsid w:val="510C4F82"/>
    <w:rsid w:val="510D063E"/>
    <w:rsid w:val="510D2AA8"/>
    <w:rsid w:val="510D7F7A"/>
    <w:rsid w:val="510E1E6E"/>
    <w:rsid w:val="510E20E8"/>
    <w:rsid w:val="510E46B6"/>
    <w:rsid w:val="510E4D2B"/>
    <w:rsid w:val="510F05CE"/>
    <w:rsid w:val="510F337D"/>
    <w:rsid w:val="510F33C7"/>
    <w:rsid w:val="510F4A72"/>
    <w:rsid w:val="510F7C50"/>
    <w:rsid w:val="511120F7"/>
    <w:rsid w:val="51114346"/>
    <w:rsid w:val="51115901"/>
    <w:rsid w:val="51120D5D"/>
    <w:rsid w:val="511217AA"/>
    <w:rsid w:val="51121CFE"/>
    <w:rsid w:val="51121E6C"/>
    <w:rsid w:val="5112495F"/>
    <w:rsid w:val="51135940"/>
    <w:rsid w:val="51136FA0"/>
    <w:rsid w:val="51143D71"/>
    <w:rsid w:val="51145BE4"/>
    <w:rsid w:val="5115074B"/>
    <w:rsid w:val="5115431A"/>
    <w:rsid w:val="51161B0F"/>
    <w:rsid w:val="51163DCB"/>
    <w:rsid w:val="51167616"/>
    <w:rsid w:val="51167BAE"/>
    <w:rsid w:val="51171C2C"/>
    <w:rsid w:val="51173258"/>
    <w:rsid w:val="511772AE"/>
    <w:rsid w:val="5118316A"/>
    <w:rsid w:val="511856D5"/>
    <w:rsid w:val="51187F9A"/>
    <w:rsid w:val="511931FB"/>
    <w:rsid w:val="511957DF"/>
    <w:rsid w:val="511958BF"/>
    <w:rsid w:val="5119769F"/>
    <w:rsid w:val="511A10DA"/>
    <w:rsid w:val="511A3A37"/>
    <w:rsid w:val="511A3ACC"/>
    <w:rsid w:val="511A58F1"/>
    <w:rsid w:val="511A6D4F"/>
    <w:rsid w:val="511B3417"/>
    <w:rsid w:val="511B4A2A"/>
    <w:rsid w:val="511B51C5"/>
    <w:rsid w:val="511B6F73"/>
    <w:rsid w:val="511B7424"/>
    <w:rsid w:val="511C5F28"/>
    <w:rsid w:val="511C7920"/>
    <w:rsid w:val="511C7A57"/>
    <w:rsid w:val="511D0F3D"/>
    <w:rsid w:val="511D1AE5"/>
    <w:rsid w:val="511D2CEB"/>
    <w:rsid w:val="511D353C"/>
    <w:rsid w:val="511D44EC"/>
    <w:rsid w:val="511D4D7B"/>
    <w:rsid w:val="511E0D45"/>
    <w:rsid w:val="511E0EE0"/>
    <w:rsid w:val="511E77AF"/>
    <w:rsid w:val="511F1731"/>
    <w:rsid w:val="511F1C48"/>
    <w:rsid w:val="511F2654"/>
    <w:rsid w:val="511F2F07"/>
    <w:rsid w:val="511F5308"/>
    <w:rsid w:val="51200A2D"/>
    <w:rsid w:val="512043DB"/>
    <w:rsid w:val="51204589"/>
    <w:rsid w:val="51204F2A"/>
    <w:rsid w:val="512050A8"/>
    <w:rsid w:val="51210D64"/>
    <w:rsid w:val="512125D2"/>
    <w:rsid w:val="51214893"/>
    <w:rsid w:val="51215730"/>
    <w:rsid w:val="512200B2"/>
    <w:rsid w:val="51220301"/>
    <w:rsid w:val="51221EC3"/>
    <w:rsid w:val="51222982"/>
    <w:rsid w:val="512247A5"/>
    <w:rsid w:val="51231B89"/>
    <w:rsid w:val="51232A55"/>
    <w:rsid w:val="51234079"/>
    <w:rsid w:val="51234AF0"/>
    <w:rsid w:val="5124260C"/>
    <w:rsid w:val="512440F7"/>
    <w:rsid w:val="51245ED2"/>
    <w:rsid w:val="51246655"/>
    <w:rsid w:val="51246EB8"/>
    <w:rsid w:val="51251D0A"/>
    <w:rsid w:val="51254295"/>
    <w:rsid w:val="51257DF2"/>
    <w:rsid w:val="5126627D"/>
    <w:rsid w:val="51267BE4"/>
    <w:rsid w:val="51271709"/>
    <w:rsid w:val="51275918"/>
    <w:rsid w:val="512814FD"/>
    <w:rsid w:val="51283F24"/>
    <w:rsid w:val="51286278"/>
    <w:rsid w:val="51292447"/>
    <w:rsid w:val="5129259F"/>
    <w:rsid w:val="51294BFF"/>
    <w:rsid w:val="512953B4"/>
    <w:rsid w:val="512978E2"/>
    <w:rsid w:val="512A18AC"/>
    <w:rsid w:val="512A365A"/>
    <w:rsid w:val="512A4988"/>
    <w:rsid w:val="512A4FF6"/>
    <w:rsid w:val="512A7F85"/>
    <w:rsid w:val="512B188B"/>
    <w:rsid w:val="512B2595"/>
    <w:rsid w:val="512B5253"/>
    <w:rsid w:val="512B584E"/>
    <w:rsid w:val="512C1180"/>
    <w:rsid w:val="512C535E"/>
    <w:rsid w:val="512C73D2"/>
    <w:rsid w:val="512D15D4"/>
    <w:rsid w:val="512D2B3D"/>
    <w:rsid w:val="512D5ABA"/>
    <w:rsid w:val="512D7D4B"/>
    <w:rsid w:val="512E05D7"/>
    <w:rsid w:val="512E314A"/>
    <w:rsid w:val="512E58B8"/>
    <w:rsid w:val="512E6A9A"/>
    <w:rsid w:val="512F0C70"/>
    <w:rsid w:val="512F6BBB"/>
    <w:rsid w:val="512F6EC2"/>
    <w:rsid w:val="512F7091"/>
    <w:rsid w:val="51301B01"/>
    <w:rsid w:val="513029C4"/>
    <w:rsid w:val="51304C7E"/>
    <w:rsid w:val="51312C3A"/>
    <w:rsid w:val="513149E8"/>
    <w:rsid w:val="51316717"/>
    <w:rsid w:val="513210C3"/>
    <w:rsid w:val="51321A31"/>
    <w:rsid w:val="513242BC"/>
    <w:rsid w:val="5132430A"/>
    <w:rsid w:val="51324FD6"/>
    <w:rsid w:val="51325062"/>
    <w:rsid w:val="51325458"/>
    <w:rsid w:val="51327D23"/>
    <w:rsid w:val="51330760"/>
    <w:rsid w:val="51331174"/>
    <w:rsid w:val="513321DF"/>
    <w:rsid w:val="5133250E"/>
    <w:rsid w:val="513338D4"/>
    <w:rsid w:val="51337C64"/>
    <w:rsid w:val="51340035"/>
    <w:rsid w:val="51340B11"/>
    <w:rsid w:val="5134275D"/>
    <w:rsid w:val="51347B3B"/>
    <w:rsid w:val="513517D7"/>
    <w:rsid w:val="51353957"/>
    <w:rsid w:val="51357465"/>
    <w:rsid w:val="513575AB"/>
    <w:rsid w:val="5135775A"/>
    <w:rsid w:val="51360251"/>
    <w:rsid w:val="513635D0"/>
    <w:rsid w:val="51363DAD"/>
    <w:rsid w:val="513675CD"/>
    <w:rsid w:val="51372E12"/>
    <w:rsid w:val="51374339"/>
    <w:rsid w:val="51375A94"/>
    <w:rsid w:val="5138108E"/>
    <w:rsid w:val="51383FC9"/>
    <w:rsid w:val="5138583C"/>
    <w:rsid w:val="51390D05"/>
    <w:rsid w:val="51394169"/>
    <w:rsid w:val="51396DD6"/>
    <w:rsid w:val="5139719B"/>
    <w:rsid w:val="513A2283"/>
    <w:rsid w:val="513A6339"/>
    <w:rsid w:val="513B0AD8"/>
    <w:rsid w:val="513B0F0A"/>
    <w:rsid w:val="513B13C3"/>
    <w:rsid w:val="513B18BD"/>
    <w:rsid w:val="513B193D"/>
    <w:rsid w:val="513B2C5D"/>
    <w:rsid w:val="513B5867"/>
    <w:rsid w:val="513B5932"/>
    <w:rsid w:val="513B63CD"/>
    <w:rsid w:val="513C0992"/>
    <w:rsid w:val="513C11EA"/>
    <w:rsid w:val="513C2301"/>
    <w:rsid w:val="513C5764"/>
    <w:rsid w:val="513D15DF"/>
    <w:rsid w:val="513D338D"/>
    <w:rsid w:val="513D439B"/>
    <w:rsid w:val="513D460D"/>
    <w:rsid w:val="513D52A4"/>
    <w:rsid w:val="513E0EB3"/>
    <w:rsid w:val="513E1776"/>
    <w:rsid w:val="513E368E"/>
    <w:rsid w:val="513E512B"/>
    <w:rsid w:val="513E5565"/>
    <w:rsid w:val="513E55FA"/>
    <w:rsid w:val="513F0D1B"/>
    <w:rsid w:val="513F5164"/>
    <w:rsid w:val="513F5505"/>
    <w:rsid w:val="513F6821"/>
    <w:rsid w:val="513F7105"/>
    <w:rsid w:val="513F75DA"/>
    <w:rsid w:val="51402485"/>
    <w:rsid w:val="51402E7D"/>
    <w:rsid w:val="51403035"/>
    <w:rsid w:val="51404548"/>
    <w:rsid w:val="51404C2B"/>
    <w:rsid w:val="5140643C"/>
    <w:rsid w:val="514069D9"/>
    <w:rsid w:val="514104D3"/>
    <w:rsid w:val="51410E26"/>
    <w:rsid w:val="514113E8"/>
    <w:rsid w:val="51414027"/>
    <w:rsid w:val="5141446C"/>
    <w:rsid w:val="514209A3"/>
    <w:rsid w:val="51420D88"/>
    <w:rsid w:val="51422BBD"/>
    <w:rsid w:val="51423589"/>
    <w:rsid w:val="514251EB"/>
    <w:rsid w:val="51425511"/>
    <w:rsid w:val="51425DDA"/>
    <w:rsid w:val="5142769C"/>
    <w:rsid w:val="51427ECE"/>
    <w:rsid w:val="51431DF8"/>
    <w:rsid w:val="514364CA"/>
    <w:rsid w:val="51441601"/>
    <w:rsid w:val="51442719"/>
    <w:rsid w:val="5144291C"/>
    <w:rsid w:val="51450494"/>
    <w:rsid w:val="51454B8D"/>
    <w:rsid w:val="51456A5B"/>
    <w:rsid w:val="5146028F"/>
    <w:rsid w:val="51461F1E"/>
    <w:rsid w:val="5146304F"/>
    <w:rsid w:val="51463C89"/>
    <w:rsid w:val="51467396"/>
    <w:rsid w:val="51474CD6"/>
    <w:rsid w:val="51475FBA"/>
    <w:rsid w:val="5147641C"/>
    <w:rsid w:val="514821D7"/>
    <w:rsid w:val="51484397"/>
    <w:rsid w:val="51490780"/>
    <w:rsid w:val="51491D32"/>
    <w:rsid w:val="51492253"/>
    <w:rsid w:val="51494DD6"/>
    <w:rsid w:val="51497F83"/>
    <w:rsid w:val="514A28BA"/>
    <w:rsid w:val="514A44E8"/>
    <w:rsid w:val="514A5AAA"/>
    <w:rsid w:val="514B0061"/>
    <w:rsid w:val="514B1E0E"/>
    <w:rsid w:val="514B5913"/>
    <w:rsid w:val="514C058E"/>
    <w:rsid w:val="514C074E"/>
    <w:rsid w:val="514C1822"/>
    <w:rsid w:val="514C233D"/>
    <w:rsid w:val="514C3367"/>
    <w:rsid w:val="514C4A24"/>
    <w:rsid w:val="514D7178"/>
    <w:rsid w:val="514D758A"/>
    <w:rsid w:val="514E10F6"/>
    <w:rsid w:val="514E6AF9"/>
    <w:rsid w:val="514F2AD8"/>
    <w:rsid w:val="514F30C0"/>
    <w:rsid w:val="514F4E6E"/>
    <w:rsid w:val="51500343"/>
    <w:rsid w:val="51501312"/>
    <w:rsid w:val="51507281"/>
    <w:rsid w:val="515105F3"/>
    <w:rsid w:val="5151147C"/>
    <w:rsid w:val="51513130"/>
    <w:rsid w:val="5151508A"/>
    <w:rsid w:val="515151CC"/>
    <w:rsid w:val="51516632"/>
    <w:rsid w:val="515171AF"/>
    <w:rsid w:val="51517678"/>
    <w:rsid w:val="51517F2E"/>
    <w:rsid w:val="5152078E"/>
    <w:rsid w:val="5152622D"/>
    <w:rsid w:val="51527191"/>
    <w:rsid w:val="515330EE"/>
    <w:rsid w:val="51534A93"/>
    <w:rsid w:val="5153663E"/>
    <w:rsid w:val="515406D7"/>
    <w:rsid w:val="51543199"/>
    <w:rsid w:val="5155155C"/>
    <w:rsid w:val="51552B8A"/>
    <w:rsid w:val="51555A14"/>
    <w:rsid w:val="515600A8"/>
    <w:rsid w:val="515626A1"/>
    <w:rsid w:val="5156444F"/>
    <w:rsid w:val="515661FD"/>
    <w:rsid w:val="51572221"/>
    <w:rsid w:val="51573BB5"/>
    <w:rsid w:val="515801C7"/>
    <w:rsid w:val="51583D23"/>
    <w:rsid w:val="51586419"/>
    <w:rsid w:val="51590CC2"/>
    <w:rsid w:val="515941C5"/>
    <w:rsid w:val="515A09E8"/>
    <w:rsid w:val="515A2E9A"/>
    <w:rsid w:val="515A41E2"/>
    <w:rsid w:val="515A5923"/>
    <w:rsid w:val="515B1A65"/>
    <w:rsid w:val="515B1B21"/>
    <w:rsid w:val="515B4CE3"/>
    <w:rsid w:val="515B7CB7"/>
    <w:rsid w:val="515C2B9B"/>
    <w:rsid w:val="515C2E14"/>
    <w:rsid w:val="515C4414"/>
    <w:rsid w:val="515C678C"/>
    <w:rsid w:val="515C67E1"/>
    <w:rsid w:val="515C7D4A"/>
    <w:rsid w:val="515D16D3"/>
    <w:rsid w:val="515D42A4"/>
    <w:rsid w:val="515E0235"/>
    <w:rsid w:val="515E0A34"/>
    <w:rsid w:val="515F3A4B"/>
    <w:rsid w:val="515F6BC4"/>
    <w:rsid w:val="5160005D"/>
    <w:rsid w:val="51601795"/>
    <w:rsid w:val="51601B48"/>
    <w:rsid w:val="51604AC8"/>
    <w:rsid w:val="516052CE"/>
    <w:rsid w:val="516114E4"/>
    <w:rsid w:val="5161270B"/>
    <w:rsid w:val="51616211"/>
    <w:rsid w:val="516218B7"/>
    <w:rsid w:val="51622B6C"/>
    <w:rsid w:val="51622DF4"/>
    <w:rsid w:val="51624BA3"/>
    <w:rsid w:val="5163705D"/>
    <w:rsid w:val="516426F1"/>
    <w:rsid w:val="51644DBE"/>
    <w:rsid w:val="51646489"/>
    <w:rsid w:val="51651750"/>
    <w:rsid w:val="516528E4"/>
    <w:rsid w:val="5165573E"/>
    <w:rsid w:val="51656440"/>
    <w:rsid w:val="51660FE2"/>
    <w:rsid w:val="51662699"/>
    <w:rsid w:val="51666A97"/>
    <w:rsid w:val="51673409"/>
    <w:rsid w:val="5167456C"/>
    <w:rsid w:val="516758E8"/>
    <w:rsid w:val="5167665C"/>
    <w:rsid w:val="51677F27"/>
    <w:rsid w:val="5168001C"/>
    <w:rsid w:val="51680448"/>
    <w:rsid w:val="51680842"/>
    <w:rsid w:val="516813B7"/>
    <w:rsid w:val="51681E6F"/>
    <w:rsid w:val="516831B9"/>
    <w:rsid w:val="5168587E"/>
    <w:rsid w:val="516872E4"/>
    <w:rsid w:val="51692847"/>
    <w:rsid w:val="51694182"/>
    <w:rsid w:val="51695F30"/>
    <w:rsid w:val="51696407"/>
    <w:rsid w:val="516A1CA8"/>
    <w:rsid w:val="516A3217"/>
    <w:rsid w:val="516A3885"/>
    <w:rsid w:val="516A5507"/>
    <w:rsid w:val="516A7EFA"/>
    <w:rsid w:val="516B2E0F"/>
    <w:rsid w:val="516B5167"/>
    <w:rsid w:val="516B614C"/>
    <w:rsid w:val="516C3C72"/>
    <w:rsid w:val="516C5A20"/>
    <w:rsid w:val="516C6703"/>
    <w:rsid w:val="516C77AE"/>
    <w:rsid w:val="516C77CE"/>
    <w:rsid w:val="516C7D38"/>
    <w:rsid w:val="516D29DF"/>
    <w:rsid w:val="516D4AB8"/>
    <w:rsid w:val="516D7E90"/>
    <w:rsid w:val="516E0CE2"/>
    <w:rsid w:val="516E1280"/>
    <w:rsid w:val="516E1798"/>
    <w:rsid w:val="516E2100"/>
    <w:rsid w:val="516E2568"/>
    <w:rsid w:val="516E30A4"/>
    <w:rsid w:val="516E3547"/>
    <w:rsid w:val="516E5322"/>
    <w:rsid w:val="516E79EA"/>
    <w:rsid w:val="516F006C"/>
    <w:rsid w:val="516F0BB6"/>
    <w:rsid w:val="516F1AA0"/>
    <w:rsid w:val="516F22C4"/>
    <w:rsid w:val="51700F30"/>
    <w:rsid w:val="5170278C"/>
    <w:rsid w:val="51705511"/>
    <w:rsid w:val="51705A1E"/>
    <w:rsid w:val="517104C3"/>
    <w:rsid w:val="51711289"/>
    <w:rsid w:val="51712D48"/>
    <w:rsid w:val="51713037"/>
    <w:rsid w:val="517219DD"/>
    <w:rsid w:val="5172503A"/>
    <w:rsid w:val="51731944"/>
    <w:rsid w:val="51731C17"/>
    <w:rsid w:val="51732D01"/>
    <w:rsid w:val="517338F9"/>
    <w:rsid w:val="51733B77"/>
    <w:rsid w:val="51734070"/>
    <w:rsid w:val="51734669"/>
    <w:rsid w:val="51735001"/>
    <w:rsid w:val="51735108"/>
    <w:rsid w:val="51735660"/>
    <w:rsid w:val="51736DAF"/>
    <w:rsid w:val="517401CC"/>
    <w:rsid w:val="517448D5"/>
    <w:rsid w:val="517448EB"/>
    <w:rsid w:val="517501A9"/>
    <w:rsid w:val="51750D79"/>
    <w:rsid w:val="5175178D"/>
    <w:rsid w:val="5175252B"/>
    <w:rsid w:val="51752B27"/>
    <w:rsid w:val="51753B1C"/>
    <w:rsid w:val="517548AD"/>
    <w:rsid w:val="5176064D"/>
    <w:rsid w:val="51763067"/>
    <w:rsid w:val="51766B27"/>
    <w:rsid w:val="51775BD7"/>
    <w:rsid w:val="51780EAC"/>
    <w:rsid w:val="51783E3A"/>
    <w:rsid w:val="517843C5"/>
    <w:rsid w:val="517862DB"/>
    <w:rsid w:val="517943B9"/>
    <w:rsid w:val="51796546"/>
    <w:rsid w:val="517A013D"/>
    <w:rsid w:val="517B5C63"/>
    <w:rsid w:val="517B67ED"/>
    <w:rsid w:val="517C0715"/>
    <w:rsid w:val="517C0CB4"/>
    <w:rsid w:val="517C4963"/>
    <w:rsid w:val="517D0E4E"/>
    <w:rsid w:val="517D19DC"/>
    <w:rsid w:val="517D3175"/>
    <w:rsid w:val="517D51C1"/>
    <w:rsid w:val="517D5E7F"/>
    <w:rsid w:val="517D74A4"/>
    <w:rsid w:val="517D757C"/>
    <w:rsid w:val="517D7C2E"/>
    <w:rsid w:val="517E3943"/>
    <w:rsid w:val="517F051B"/>
    <w:rsid w:val="517F39A6"/>
    <w:rsid w:val="517F5754"/>
    <w:rsid w:val="518014CC"/>
    <w:rsid w:val="51802922"/>
    <w:rsid w:val="5180327A"/>
    <w:rsid w:val="51805EFD"/>
    <w:rsid w:val="51807327"/>
    <w:rsid w:val="518128DD"/>
    <w:rsid w:val="51812F72"/>
    <w:rsid w:val="51815064"/>
    <w:rsid w:val="518208CD"/>
    <w:rsid w:val="51821009"/>
    <w:rsid w:val="518220A1"/>
    <w:rsid w:val="51822890"/>
    <w:rsid w:val="51823496"/>
    <w:rsid w:val="5182537B"/>
    <w:rsid w:val="51826ABC"/>
    <w:rsid w:val="51826FF2"/>
    <w:rsid w:val="518272E4"/>
    <w:rsid w:val="51832817"/>
    <w:rsid w:val="518339D9"/>
    <w:rsid w:val="51835AD9"/>
    <w:rsid w:val="51836B18"/>
    <w:rsid w:val="51840FBC"/>
    <w:rsid w:val="518421AD"/>
    <w:rsid w:val="5184487E"/>
    <w:rsid w:val="51845481"/>
    <w:rsid w:val="51845A6B"/>
    <w:rsid w:val="51850890"/>
    <w:rsid w:val="51850F13"/>
    <w:rsid w:val="51856AE2"/>
    <w:rsid w:val="5186574C"/>
    <w:rsid w:val="51870AAC"/>
    <w:rsid w:val="5187285A"/>
    <w:rsid w:val="51874106"/>
    <w:rsid w:val="51874608"/>
    <w:rsid w:val="51876B81"/>
    <w:rsid w:val="51877B7C"/>
    <w:rsid w:val="51882601"/>
    <w:rsid w:val="51882C66"/>
    <w:rsid w:val="518848F3"/>
    <w:rsid w:val="51885E41"/>
    <w:rsid w:val="5189040D"/>
    <w:rsid w:val="51893D8C"/>
    <w:rsid w:val="51894824"/>
    <w:rsid w:val="518965D2"/>
    <w:rsid w:val="518A5931"/>
    <w:rsid w:val="518A62D7"/>
    <w:rsid w:val="518A7022"/>
    <w:rsid w:val="518B3E5D"/>
    <w:rsid w:val="518B3F7C"/>
    <w:rsid w:val="518B5CE1"/>
    <w:rsid w:val="518B5E70"/>
    <w:rsid w:val="518B6028"/>
    <w:rsid w:val="518B6E2B"/>
    <w:rsid w:val="518B7B2A"/>
    <w:rsid w:val="518C0213"/>
    <w:rsid w:val="518C6243"/>
    <w:rsid w:val="518D24BD"/>
    <w:rsid w:val="518D2863"/>
    <w:rsid w:val="518D3A50"/>
    <w:rsid w:val="518D7071"/>
    <w:rsid w:val="518E1E3B"/>
    <w:rsid w:val="518E38FE"/>
    <w:rsid w:val="518E3BE9"/>
    <w:rsid w:val="518E5247"/>
    <w:rsid w:val="518E6440"/>
    <w:rsid w:val="518F170F"/>
    <w:rsid w:val="518F1B39"/>
    <w:rsid w:val="518F2CF2"/>
    <w:rsid w:val="518F33C5"/>
    <w:rsid w:val="518F4379"/>
    <w:rsid w:val="518F5536"/>
    <w:rsid w:val="518F61D0"/>
    <w:rsid w:val="51905BB3"/>
    <w:rsid w:val="51905DC9"/>
    <w:rsid w:val="5190681A"/>
    <w:rsid w:val="51907133"/>
    <w:rsid w:val="51907801"/>
    <w:rsid w:val="51912D1E"/>
    <w:rsid w:val="51920D0A"/>
    <w:rsid w:val="51932EE3"/>
    <w:rsid w:val="51934A1B"/>
    <w:rsid w:val="51936DF7"/>
    <w:rsid w:val="51937BA3"/>
    <w:rsid w:val="5194178A"/>
    <w:rsid w:val="51950C49"/>
    <w:rsid w:val="51951383"/>
    <w:rsid w:val="51954E18"/>
    <w:rsid w:val="51956D25"/>
    <w:rsid w:val="51960CEF"/>
    <w:rsid w:val="51961864"/>
    <w:rsid w:val="519628A1"/>
    <w:rsid w:val="51962A9D"/>
    <w:rsid w:val="5196484B"/>
    <w:rsid w:val="51966EAF"/>
    <w:rsid w:val="51967FF2"/>
    <w:rsid w:val="51971095"/>
    <w:rsid w:val="519758C5"/>
    <w:rsid w:val="51976C8F"/>
    <w:rsid w:val="51976F41"/>
    <w:rsid w:val="51977623"/>
    <w:rsid w:val="5198235F"/>
    <w:rsid w:val="5198366F"/>
    <w:rsid w:val="51984B41"/>
    <w:rsid w:val="51993A8A"/>
    <w:rsid w:val="519A07DF"/>
    <w:rsid w:val="519A0E23"/>
    <w:rsid w:val="519A1675"/>
    <w:rsid w:val="519A258E"/>
    <w:rsid w:val="519A433C"/>
    <w:rsid w:val="519B2B05"/>
    <w:rsid w:val="519B4013"/>
    <w:rsid w:val="519B402E"/>
    <w:rsid w:val="519C232D"/>
    <w:rsid w:val="519C2895"/>
    <w:rsid w:val="519C35D9"/>
    <w:rsid w:val="519C4558"/>
    <w:rsid w:val="519C4CAF"/>
    <w:rsid w:val="519C508D"/>
    <w:rsid w:val="519C629E"/>
    <w:rsid w:val="519C6CBF"/>
    <w:rsid w:val="519D207E"/>
    <w:rsid w:val="519D2392"/>
    <w:rsid w:val="519D3E4A"/>
    <w:rsid w:val="519D3E5C"/>
    <w:rsid w:val="519D5BDA"/>
    <w:rsid w:val="519D780F"/>
    <w:rsid w:val="519E27F3"/>
    <w:rsid w:val="519E2EA9"/>
    <w:rsid w:val="519E3934"/>
    <w:rsid w:val="519E3D30"/>
    <w:rsid w:val="519E51DF"/>
    <w:rsid w:val="519E6970"/>
    <w:rsid w:val="519E789D"/>
    <w:rsid w:val="519F1486"/>
    <w:rsid w:val="519F1952"/>
    <w:rsid w:val="519F5DF6"/>
    <w:rsid w:val="519F6C6C"/>
    <w:rsid w:val="51A026BC"/>
    <w:rsid w:val="51A02CC3"/>
    <w:rsid w:val="51A0391C"/>
    <w:rsid w:val="51A056CA"/>
    <w:rsid w:val="51A05B5A"/>
    <w:rsid w:val="51A067F2"/>
    <w:rsid w:val="51A100B8"/>
    <w:rsid w:val="51A10F13"/>
    <w:rsid w:val="51A1123B"/>
    <w:rsid w:val="51A118B9"/>
    <w:rsid w:val="51A11B6E"/>
    <w:rsid w:val="51A139BC"/>
    <w:rsid w:val="51A159FE"/>
    <w:rsid w:val="51A16977"/>
    <w:rsid w:val="51A202A0"/>
    <w:rsid w:val="51A21502"/>
    <w:rsid w:val="51A21650"/>
    <w:rsid w:val="51A244D2"/>
    <w:rsid w:val="51A26D1E"/>
    <w:rsid w:val="51A26F77"/>
    <w:rsid w:val="51A27694"/>
    <w:rsid w:val="51A329E8"/>
    <w:rsid w:val="51A344CC"/>
    <w:rsid w:val="51A34D05"/>
    <w:rsid w:val="51A42038"/>
    <w:rsid w:val="51A451BA"/>
    <w:rsid w:val="51A465F8"/>
    <w:rsid w:val="51A52CE0"/>
    <w:rsid w:val="51A60F32"/>
    <w:rsid w:val="51A6116B"/>
    <w:rsid w:val="51A613AE"/>
    <w:rsid w:val="51A6387C"/>
    <w:rsid w:val="51A64986"/>
    <w:rsid w:val="51A67184"/>
    <w:rsid w:val="51A72608"/>
    <w:rsid w:val="51A729CE"/>
    <w:rsid w:val="51A72AA8"/>
    <w:rsid w:val="51A72EFC"/>
    <w:rsid w:val="51A73BD4"/>
    <w:rsid w:val="51A82529"/>
    <w:rsid w:val="51A83C79"/>
    <w:rsid w:val="51A840C1"/>
    <w:rsid w:val="51A8684A"/>
    <w:rsid w:val="51A90A23"/>
    <w:rsid w:val="51A91456"/>
    <w:rsid w:val="51A93B81"/>
    <w:rsid w:val="51A94A70"/>
    <w:rsid w:val="51A95109"/>
    <w:rsid w:val="51A972D7"/>
    <w:rsid w:val="51A97CDA"/>
    <w:rsid w:val="51AA02F7"/>
    <w:rsid w:val="51AB479B"/>
    <w:rsid w:val="51AB5627"/>
    <w:rsid w:val="51AB5B24"/>
    <w:rsid w:val="51AB6549"/>
    <w:rsid w:val="51AB6DFB"/>
    <w:rsid w:val="51AC0513"/>
    <w:rsid w:val="51AC22A0"/>
    <w:rsid w:val="51AC22C1"/>
    <w:rsid w:val="51AC296C"/>
    <w:rsid w:val="51AC52FA"/>
    <w:rsid w:val="51AD2E9F"/>
    <w:rsid w:val="51AE26BC"/>
    <w:rsid w:val="51AE3578"/>
    <w:rsid w:val="51AE428B"/>
    <w:rsid w:val="51AE539A"/>
    <w:rsid w:val="51AF240B"/>
    <w:rsid w:val="51AF3C9E"/>
    <w:rsid w:val="51AF54F7"/>
    <w:rsid w:val="51B00244"/>
    <w:rsid w:val="51B01DB1"/>
    <w:rsid w:val="51B03B5F"/>
    <w:rsid w:val="51B15B29"/>
    <w:rsid w:val="51B1646C"/>
    <w:rsid w:val="51B17D5C"/>
    <w:rsid w:val="51B225DB"/>
    <w:rsid w:val="51B24255"/>
    <w:rsid w:val="51B27D38"/>
    <w:rsid w:val="51B31788"/>
    <w:rsid w:val="51B33541"/>
    <w:rsid w:val="51B353FD"/>
    <w:rsid w:val="51B35699"/>
    <w:rsid w:val="51B42093"/>
    <w:rsid w:val="51B45A68"/>
    <w:rsid w:val="51B51175"/>
    <w:rsid w:val="51B512CA"/>
    <w:rsid w:val="51B51E44"/>
    <w:rsid w:val="51B525C2"/>
    <w:rsid w:val="51B55619"/>
    <w:rsid w:val="51B573C7"/>
    <w:rsid w:val="51B579BE"/>
    <w:rsid w:val="51B62A1E"/>
    <w:rsid w:val="51B639B7"/>
    <w:rsid w:val="51B6647F"/>
    <w:rsid w:val="51B67533"/>
    <w:rsid w:val="51B704D1"/>
    <w:rsid w:val="51B72F48"/>
    <w:rsid w:val="51B74E75"/>
    <w:rsid w:val="51B760F6"/>
    <w:rsid w:val="51B77833"/>
    <w:rsid w:val="51B816BD"/>
    <w:rsid w:val="51B82A14"/>
    <w:rsid w:val="51B8376E"/>
    <w:rsid w:val="51B86EB8"/>
    <w:rsid w:val="51B91E3B"/>
    <w:rsid w:val="51B933E7"/>
    <w:rsid w:val="51B94BEA"/>
    <w:rsid w:val="51BA5E2C"/>
    <w:rsid w:val="51BA678C"/>
    <w:rsid w:val="51BB0909"/>
    <w:rsid w:val="51BB195E"/>
    <w:rsid w:val="51BB2504"/>
    <w:rsid w:val="51BB4086"/>
    <w:rsid w:val="51BB5AF2"/>
    <w:rsid w:val="51BB7B24"/>
    <w:rsid w:val="51BC2FE5"/>
    <w:rsid w:val="51BC5B23"/>
    <w:rsid w:val="51BC6590"/>
    <w:rsid w:val="51BC69A8"/>
    <w:rsid w:val="51BD002A"/>
    <w:rsid w:val="51BD037A"/>
    <w:rsid w:val="51BD179E"/>
    <w:rsid w:val="51BD5F37"/>
    <w:rsid w:val="51BD627C"/>
    <w:rsid w:val="51BD7B70"/>
    <w:rsid w:val="51BE2D00"/>
    <w:rsid w:val="51BE2DB1"/>
    <w:rsid w:val="51BE2F0D"/>
    <w:rsid w:val="51BE48F8"/>
    <w:rsid w:val="51BE5E97"/>
    <w:rsid w:val="51BF0246"/>
    <w:rsid w:val="51BF0FF1"/>
    <w:rsid w:val="51BF5C1E"/>
    <w:rsid w:val="51BF76AA"/>
    <w:rsid w:val="51BF76FF"/>
    <w:rsid w:val="51C022BC"/>
    <w:rsid w:val="51C04E17"/>
    <w:rsid w:val="51C063C2"/>
    <w:rsid w:val="51C07B1A"/>
    <w:rsid w:val="51C07CD4"/>
    <w:rsid w:val="51C1184F"/>
    <w:rsid w:val="51C131FC"/>
    <w:rsid w:val="51C1339A"/>
    <w:rsid w:val="51C13FBE"/>
    <w:rsid w:val="51C15D6C"/>
    <w:rsid w:val="51C15F61"/>
    <w:rsid w:val="51C16A52"/>
    <w:rsid w:val="51C21FC2"/>
    <w:rsid w:val="51C23892"/>
    <w:rsid w:val="51C2449A"/>
    <w:rsid w:val="51C26E72"/>
    <w:rsid w:val="51C273F1"/>
    <w:rsid w:val="51C27D36"/>
    <w:rsid w:val="51C30881"/>
    <w:rsid w:val="51C323AB"/>
    <w:rsid w:val="51C32FC6"/>
    <w:rsid w:val="51C4753D"/>
    <w:rsid w:val="51C4760A"/>
    <w:rsid w:val="51C47F57"/>
    <w:rsid w:val="51C54982"/>
    <w:rsid w:val="51C54FA9"/>
    <w:rsid w:val="51C55D72"/>
    <w:rsid w:val="51C57DE7"/>
    <w:rsid w:val="51C63383"/>
    <w:rsid w:val="51C65E44"/>
    <w:rsid w:val="51C72038"/>
    <w:rsid w:val="51C770FB"/>
    <w:rsid w:val="51C8534D"/>
    <w:rsid w:val="51C90A78"/>
    <w:rsid w:val="51C94C21"/>
    <w:rsid w:val="51C9605C"/>
    <w:rsid w:val="51C969CF"/>
    <w:rsid w:val="51C977C8"/>
    <w:rsid w:val="51CA0E60"/>
    <w:rsid w:val="51CA1FA3"/>
    <w:rsid w:val="51CA21E2"/>
    <w:rsid w:val="51CB0E4E"/>
    <w:rsid w:val="51CB14AD"/>
    <w:rsid w:val="51CB6BEB"/>
    <w:rsid w:val="51CC23C8"/>
    <w:rsid w:val="51CC28A8"/>
    <w:rsid w:val="51CC46AC"/>
    <w:rsid w:val="51CC64BF"/>
    <w:rsid w:val="51CD2963"/>
    <w:rsid w:val="51CD69B3"/>
    <w:rsid w:val="51CD70D5"/>
    <w:rsid w:val="51CE0489"/>
    <w:rsid w:val="51CE1AD8"/>
    <w:rsid w:val="51CE1EC1"/>
    <w:rsid w:val="51CE3B30"/>
    <w:rsid w:val="51CE4143"/>
    <w:rsid w:val="51CE634E"/>
    <w:rsid w:val="51CE66DB"/>
    <w:rsid w:val="51CF0133"/>
    <w:rsid w:val="51CF024A"/>
    <w:rsid w:val="51CF02D3"/>
    <w:rsid w:val="51CF19F5"/>
    <w:rsid w:val="51CF55DA"/>
    <w:rsid w:val="51CF6EBA"/>
    <w:rsid w:val="51D01E40"/>
    <w:rsid w:val="51D02E85"/>
    <w:rsid w:val="51D0342F"/>
    <w:rsid w:val="51D04589"/>
    <w:rsid w:val="51D05FAF"/>
    <w:rsid w:val="51D07D5D"/>
    <w:rsid w:val="51D11D27"/>
    <w:rsid w:val="51D13AD5"/>
    <w:rsid w:val="51D20595"/>
    <w:rsid w:val="51D269DA"/>
    <w:rsid w:val="51D26EE6"/>
    <w:rsid w:val="51D27F79"/>
    <w:rsid w:val="51D33CF1"/>
    <w:rsid w:val="51D35374"/>
    <w:rsid w:val="51D3784E"/>
    <w:rsid w:val="51D443D7"/>
    <w:rsid w:val="51D45B6C"/>
    <w:rsid w:val="51D50DF6"/>
    <w:rsid w:val="51D51F00"/>
    <w:rsid w:val="51D527BA"/>
    <w:rsid w:val="51D53A81"/>
    <w:rsid w:val="51D60D59"/>
    <w:rsid w:val="51D610EC"/>
    <w:rsid w:val="51D61B5E"/>
    <w:rsid w:val="51D62A75"/>
    <w:rsid w:val="51D669D1"/>
    <w:rsid w:val="51D750C5"/>
    <w:rsid w:val="51D75590"/>
    <w:rsid w:val="51D75E6A"/>
    <w:rsid w:val="51D77A8A"/>
    <w:rsid w:val="51D81308"/>
    <w:rsid w:val="51D81616"/>
    <w:rsid w:val="51D83903"/>
    <w:rsid w:val="51D85776"/>
    <w:rsid w:val="51D9757D"/>
    <w:rsid w:val="51D97D3E"/>
    <w:rsid w:val="51DA0BDC"/>
    <w:rsid w:val="51DA25AF"/>
    <w:rsid w:val="51DA3048"/>
    <w:rsid w:val="51DA6973"/>
    <w:rsid w:val="51DA6E2E"/>
    <w:rsid w:val="51DB2378"/>
    <w:rsid w:val="51DB3282"/>
    <w:rsid w:val="51DB7F97"/>
    <w:rsid w:val="51DC0DF8"/>
    <w:rsid w:val="51DC2FD9"/>
    <w:rsid w:val="51DC45A3"/>
    <w:rsid w:val="51DD5735"/>
    <w:rsid w:val="51DD6566"/>
    <w:rsid w:val="51DD691E"/>
    <w:rsid w:val="51DD6BC9"/>
    <w:rsid w:val="51DE3EF3"/>
    <w:rsid w:val="51DE58F6"/>
    <w:rsid w:val="51DF05D3"/>
    <w:rsid w:val="51DF1BB3"/>
    <w:rsid w:val="51DF3F3E"/>
    <w:rsid w:val="51DF5D1D"/>
    <w:rsid w:val="51E00276"/>
    <w:rsid w:val="51E11F6A"/>
    <w:rsid w:val="51E13D91"/>
    <w:rsid w:val="51E1448D"/>
    <w:rsid w:val="51E1554A"/>
    <w:rsid w:val="51E1562D"/>
    <w:rsid w:val="51E15B34"/>
    <w:rsid w:val="51E1640E"/>
    <w:rsid w:val="51E21180"/>
    <w:rsid w:val="51E22151"/>
    <w:rsid w:val="51E23F34"/>
    <w:rsid w:val="51E24360"/>
    <w:rsid w:val="51E2484A"/>
    <w:rsid w:val="51E25CE3"/>
    <w:rsid w:val="51E27A91"/>
    <w:rsid w:val="51E30D5C"/>
    <w:rsid w:val="51E32B2A"/>
    <w:rsid w:val="51E33C61"/>
    <w:rsid w:val="51E418E0"/>
    <w:rsid w:val="51E41D8E"/>
    <w:rsid w:val="51E4475C"/>
    <w:rsid w:val="51E4535F"/>
    <w:rsid w:val="51E46154"/>
    <w:rsid w:val="51E468BB"/>
    <w:rsid w:val="51E470AB"/>
    <w:rsid w:val="51E47CAD"/>
    <w:rsid w:val="51E50990"/>
    <w:rsid w:val="51E5280C"/>
    <w:rsid w:val="51E5535B"/>
    <w:rsid w:val="51E6045F"/>
    <w:rsid w:val="51E633C9"/>
    <w:rsid w:val="51E6513F"/>
    <w:rsid w:val="51E657D3"/>
    <w:rsid w:val="51E66C69"/>
    <w:rsid w:val="51E72320"/>
    <w:rsid w:val="51E728D6"/>
    <w:rsid w:val="51E731B0"/>
    <w:rsid w:val="51E74AD4"/>
    <w:rsid w:val="51E83B53"/>
    <w:rsid w:val="51E8639F"/>
    <w:rsid w:val="51E8779D"/>
    <w:rsid w:val="51E92103"/>
    <w:rsid w:val="51E94053"/>
    <w:rsid w:val="51E97071"/>
    <w:rsid w:val="51EA17F5"/>
    <w:rsid w:val="51EA1BE8"/>
    <w:rsid w:val="51EA2146"/>
    <w:rsid w:val="51EA4E96"/>
    <w:rsid w:val="51EA52CE"/>
    <w:rsid w:val="51EB4B97"/>
    <w:rsid w:val="51EB5A85"/>
    <w:rsid w:val="51EC090F"/>
    <w:rsid w:val="51EC0F1C"/>
    <w:rsid w:val="51EC0F2D"/>
    <w:rsid w:val="51EC2CC1"/>
    <w:rsid w:val="51EC7F6D"/>
    <w:rsid w:val="51ED2192"/>
    <w:rsid w:val="51ED4DB3"/>
    <w:rsid w:val="51ED63AB"/>
    <w:rsid w:val="51ED6B61"/>
    <w:rsid w:val="51EE0B2B"/>
    <w:rsid w:val="51EE28D9"/>
    <w:rsid w:val="51EE4687"/>
    <w:rsid w:val="51EE6847"/>
    <w:rsid w:val="51EE6EFC"/>
    <w:rsid w:val="51EF529F"/>
    <w:rsid w:val="51EF68D7"/>
    <w:rsid w:val="51F0112D"/>
    <w:rsid w:val="51F01493"/>
    <w:rsid w:val="51F021AD"/>
    <w:rsid w:val="51F06797"/>
    <w:rsid w:val="51F10428"/>
    <w:rsid w:val="51F10642"/>
    <w:rsid w:val="51F12F68"/>
    <w:rsid w:val="51F162B1"/>
    <w:rsid w:val="51F167D1"/>
    <w:rsid w:val="51F201EF"/>
    <w:rsid w:val="51F223CA"/>
    <w:rsid w:val="51F234F1"/>
    <w:rsid w:val="51F24178"/>
    <w:rsid w:val="51F2421C"/>
    <w:rsid w:val="51F24E46"/>
    <w:rsid w:val="51F25441"/>
    <w:rsid w:val="51F25A25"/>
    <w:rsid w:val="51F2795F"/>
    <w:rsid w:val="51F307BC"/>
    <w:rsid w:val="51F31C9E"/>
    <w:rsid w:val="51F35257"/>
    <w:rsid w:val="51F36142"/>
    <w:rsid w:val="51F42FC5"/>
    <w:rsid w:val="51F46659"/>
    <w:rsid w:val="51F47A17"/>
    <w:rsid w:val="51F53C68"/>
    <w:rsid w:val="51F56AD2"/>
    <w:rsid w:val="51F577C4"/>
    <w:rsid w:val="51F57DFD"/>
    <w:rsid w:val="51F64B9F"/>
    <w:rsid w:val="51F7178E"/>
    <w:rsid w:val="51F7407E"/>
    <w:rsid w:val="51F7568B"/>
    <w:rsid w:val="51F83124"/>
    <w:rsid w:val="51F83758"/>
    <w:rsid w:val="51F83A40"/>
    <w:rsid w:val="51F85006"/>
    <w:rsid w:val="51F85062"/>
    <w:rsid w:val="51F9186D"/>
    <w:rsid w:val="51F92E88"/>
    <w:rsid w:val="51F96C04"/>
    <w:rsid w:val="51F97A22"/>
    <w:rsid w:val="51FA16D9"/>
    <w:rsid w:val="51FA302C"/>
    <w:rsid w:val="51FA3520"/>
    <w:rsid w:val="51FA3CE2"/>
    <w:rsid w:val="51FA4171"/>
    <w:rsid w:val="51FA61C5"/>
    <w:rsid w:val="51FA6F31"/>
    <w:rsid w:val="51FA7063"/>
    <w:rsid w:val="51FA74D0"/>
    <w:rsid w:val="51FB0061"/>
    <w:rsid w:val="51FB21AF"/>
    <w:rsid w:val="51FB24DE"/>
    <w:rsid w:val="51FB2AE9"/>
    <w:rsid w:val="51FB3B2B"/>
    <w:rsid w:val="51FB5957"/>
    <w:rsid w:val="51FC3AE9"/>
    <w:rsid w:val="51FC4FF6"/>
    <w:rsid w:val="51FC6DA4"/>
    <w:rsid w:val="51FC70B7"/>
    <w:rsid w:val="51FC7429"/>
    <w:rsid w:val="51FC796B"/>
    <w:rsid w:val="51FD2B1C"/>
    <w:rsid w:val="51FD2FB0"/>
    <w:rsid w:val="51FD48CA"/>
    <w:rsid w:val="51FE30C1"/>
    <w:rsid w:val="51FE4025"/>
    <w:rsid w:val="51FE67C9"/>
    <w:rsid w:val="51FF0051"/>
    <w:rsid w:val="51FF0643"/>
    <w:rsid w:val="51FF11D8"/>
    <w:rsid w:val="51FF1D70"/>
    <w:rsid w:val="51FF2E33"/>
    <w:rsid w:val="51FF32E3"/>
    <w:rsid w:val="51FF4AE6"/>
    <w:rsid w:val="51FF53E1"/>
    <w:rsid w:val="51FF7559"/>
    <w:rsid w:val="52000E80"/>
    <w:rsid w:val="52003D20"/>
    <w:rsid w:val="52003F89"/>
    <w:rsid w:val="52004658"/>
    <w:rsid w:val="52005284"/>
    <w:rsid w:val="52005830"/>
    <w:rsid w:val="52007D8D"/>
    <w:rsid w:val="5201085F"/>
    <w:rsid w:val="52011CB2"/>
    <w:rsid w:val="5201260D"/>
    <w:rsid w:val="520143BB"/>
    <w:rsid w:val="52017C3C"/>
    <w:rsid w:val="52020133"/>
    <w:rsid w:val="52021624"/>
    <w:rsid w:val="52021EE1"/>
    <w:rsid w:val="52024883"/>
    <w:rsid w:val="520270E8"/>
    <w:rsid w:val="52031004"/>
    <w:rsid w:val="520420FD"/>
    <w:rsid w:val="52045C59"/>
    <w:rsid w:val="520542E1"/>
    <w:rsid w:val="520619D1"/>
    <w:rsid w:val="52067C23"/>
    <w:rsid w:val="52075749"/>
    <w:rsid w:val="52077265"/>
    <w:rsid w:val="520774F7"/>
    <w:rsid w:val="52077BE4"/>
    <w:rsid w:val="520806F5"/>
    <w:rsid w:val="52080AB4"/>
    <w:rsid w:val="520813BC"/>
    <w:rsid w:val="52081BED"/>
    <w:rsid w:val="52085831"/>
    <w:rsid w:val="520914C1"/>
    <w:rsid w:val="52091B85"/>
    <w:rsid w:val="5209326F"/>
    <w:rsid w:val="520A2E9E"/>
    <w:rsid w:val="520A3291"/>
    <w:rsid w:val="520A3D0E"/>
    <w:rsid w:val="520A5BE6"/>
    <w:rsid w:val="520A6B82"/>
    <w:rsid w:val="520A7DB7"/>
    <w:rsid w:val="520B251D"/>
    <w:rsid w:val="520B348B"/>
    <w:rsid w:val="520B7A0B"/>
    <w:rsid w:val="520B7EE1"/>
    <w:rsid w:val="520C3863"/>
    <w:rsid w:val="520C5011"/>
    <w:rsid w:val="520C748A"/>
    <w:rsid w:val="520D0FB1"/>
    <w:rsid w:val="520D1996"/>
    <w:rsid w:val="520D42C1"/>
    <w:rsid w:val="520D67C1"/>
    <w:rsid w:val="520D7203"/>
    <w:rsid w:val="520E3C16"/>
    <w:rsid w:val="520E4575"/>
    <w:rsid w:val="520E6AD8"/>
    <w:rsid w:val="520F125D"/>
    <w:rsid w:val="520F19F3"/>
    <w:rsid w:val="520F24BE"/>
    <w:rsid w:val="520F26A6"/>
    <w:rsid w:val="520F2AE8"/>
    <w:rsid w:val="52100D3A"/>
    <w:rsid w:val="52102040"/>
    <w:rsid w:val="52102850"/>
    <w:rsid w:val="52103F28"/>
    <w:rsid w:val="521045FE"/>
    <w:rsid w:val="521117A7"/>
    <w:rsid w:val="521142C4"/>
    <w:rsid w:val="521151C5"/>
    <w:rsid w:val="52121413"/>
    <w:rsid w:val="521233E7"/>
    <w:rsid w:val="52123D5B"/>
    <w:rsid w:val="52124378"/>
    <w:rsid w:val="5212481A"/>
    <w:rsid w:val="521307F0"/>
    <w:rsid w:val="521340EE"/>
    <w:rsid w:val="5213732C"/>
    <w:rsid w:val="52137603"/>
    <w:rsid w:val="52140592"/>
    <w:rsid w:val="521414EF"/>
    <w:rsid w:val="52143B4A"/>
    <w:rsid w:val="52145688"/>
    <w:rsid w:val="521509AB"/>
    <w:rsid w:val="52151C14"/>
    <w:rsid w:val="52151F45"/>
    <w:rsid w:val="52152F73"/>
    <w:rsid w:val="5216182E"/>
    <w:rsid w:val="521625FF"/>
    <w:rsid w:val="52165614"/>
    <w:rsid w:val="52170F44"/>
    <w:rsid w:val="52171E30"/>
    <w:rsid w:val="52174AA4"/>
    <w:rsid w:val="52174C8E"/>
    <w:rsid w:val="5217598C"/>
    <w:rsid w:val="5217788B"/>
    <w:rsid w:val="5218167A"/>
    <w:rsid w:val="52186303"/>
    <w:rsid w:val="52186AA9"/>
    <w:rsid w:val="5219152C"/>
    <w:rsid w:val="5219226D"/>
    <w:rsid w:val="52195BA8"/>
    <w:rsid w:val="521A00EA"/>
    <w:rsid w:val="521A36CE"/>
    <w:rsid w:val="521A3F9A"/>
    <w:rsid w:val="521A5200"/>
    <w:rsid w:val="521A5D85"/>
    <w:rsid w:val="521A722A"/>
    <w:rsid w:val="521B0F9B"/>
    <w:rsid w:val="521B2B8C"/>
    <w:rsid w:val="521B5A22"/>
    <w:rsid w:val="521B7081"/>
    <w:rsid w:val="521B70D9"/>
    <w:rsid w:val="521C11F4"/>
    <w:rsid w:val="521C162A"/>
    <w:rsid w:val="521C2FA3"/>
    <w:rsid w:val="521C3624"/>
    <w:rsid w:val="521C6129"/>
    <w:rsid w:val="521D2C74"/>
    <w:rsid w:val="521D3568"/>
    <w:rsid w:val="521D4A89"/>
    <w:rsid w:val="521D4F6D"/>
    <w:rsid w:val="521D6D1B"/>
    <w:rsid w:val="521D7526"/>
    <w:rsid w:val="521E15C3"/>
    <w:rsid w:val="521E31BF"/>
    <w:rsid w:val="521E3232"/>
    <w:rsid w:val="521E54EC"/>
    <w:rsid w:val="521E616C"/>
    <w:rsid w:val="521E7BF3"/>
    <w:rsid w:val="521F08BA"/>
    <w:rsid w:val="521F0CE5"/>
    <w:rsid w:val="521F2A93"/>
    <w:rsid w:val="52200184"/>
    <w:rsid w:val="5220070B"/>
    <w:rsid w:val="5220260D"/>
    <w:rsid w:val="5220314E"/>
    <w:rsid w:val="5220517E"/>
    <w:rsid w:val="5220533C"/>
    <w:rsid w:val="52207E0C"/>
    <w:rsid w:val="522100E1"/>
    <w:rsid w:val="522110BB"/>
    <w:rsid w:val="5221129C"/>
    <w:rsid w:val="52213037"/>
    <w:rsid w:val="52214ED3"/>
    <w:rsid w:val="5221680B"/>
    <w:rsid w:val="52222550"/>
    <w:rsid w:val="5222272C"/>
    <w:rsid w:val="52223095"/>
    <w:rsid w:val="52223754"/>
    <w:rsid w:val="52224331"/>
    <w:rsid w:val="52227BD3"/>
    <w:rsid w:val="522307D5"/>
    <w:rsid w:val="52232583"/>
    <w:rsid w:val="522341C3"/>
    <w:rsid w:val="52234718"/>
    <w:rsid w:val="522408FB"/>
    <w:rsid w:val="5224454D"/>
    <w:rsid w:val="52244B0A"/>
    <w:rsid w:val="5224526D"/>
    <w:rsid w:val="52245990"/>
    <w:rsid w:val="522462FB"/>
    <w:rsid w:val="5224727F"/>
    <w:rsid w:val="52251D4C"/>
    <w:rsid w:val="522532C0"/>
    <w:rsid w:val="52262073"/>
    <w:rsid w:val="52263438"/>
    <w:rsid w:val="52263E21"/>
    <w:rsid w:val="522662FA"/>
    <w:rsid w:val="52270757"/>
    <w:rsid w:val="522717EE"/>
    <w:rsid w:val="5227311A"/>
    <w:rsid w:val="52274C80"/>
    <w:rsid w:val="52276C0C"/>
    <w:rsid w:val="52280003"/>
    <w:rsid w:val="52280185"/>
    <w:rsid w:val="52280345"/>
    <w:rsid w:val="52281131"/>
    <w:rsid w:val="52283C91"/>
    <w:rsid w:val="52286ED8"/>
    <w:rsid w:val="522916A8"/>
    <w:rsid w:val="52291B63"/>
    <w:rsid w:val="52292D56"/>
    <w:rsid w:val="52294CEC"/>
    <w:rsid w:val="522956BF"/>
    <w:rsid w:val="52295D9F"/>
    <w:rsid w:val="52296D09"/>
    <w:rsid w:val="52297B2D"/>
    <w:rsid w:val="522A0501"/>
    <w:rsid w:val="522A26AA"/>
    <w:rsid w:val="522A3903"/>
    <w:rsid w:val="522A3C93"/>
    <w:rsid w:val="522A7093"/>
    <w:rsid w:val="522B0252"/>
    <w:rsid w:val="522B05D5"/>
    <w:rsid w:val="522B0C2B"/>
    <w:rsid w:val="522B1438"/>
    <w:rsid w:val="522B2D56"/>
    <w:rsid w:val="522B58DB"/>
    <w:rsid w:val="522C17CB"/>
    <w:rsid w:val="522C1AD2"/>
    <w:rsid w:val="522D1654"/>
    <w:rsid w:val="522D3402"/>
    <w:rsid w:val="522D364F"/>
    <w:rsid w:val="522D4D15"/>
    <w:rsid w:val="522D51B0"/>
    <w:rsid w:val="522D5FAE"/>
    <w:rsid w:val="522E0CC5"/>
    <w:rsid w:val="522E2410"/>
    <w:rsid w:val="522E34D6"/>
    <w:rsid w:val="522E54F9"/>
    <w:rsid w:val="522F0DB3"/>
    <w:rsid w:val="522F0F18"/>
    <w:rsid w:val="522F4186"/>
    <w:rsid w:val="522F6471"/>
    <w:rsid w:val="522F68D9"/>
    <w:rsid w:val="5230127E"/>
    <w:rsid w:val="52302EF2"/>
    <w:rsid w:val="52304CA0"/>
    <w:rsid w:val="52305701"/>
    <w:rsid w:val="52306A4E"/>
    <w:rsid w:val="5231752C"/>
    <w:rsid w:val="52317E52"/>
    <w:rsid w:val="523200B5"/>
    <w:rsid w:val="52320A18"/>
    <w:rsid w:val="52322221"/>
    <w:rsid w:val="523227C6"/>
    <w:rsid w:val="52326220"/>
    <w:rsid w:val="52326C6A"/>
    <w:rsid w:val="523302EC"/>
    <w:rsid w:val="52330518"/>
    <w:rsid w:val="52334A98"/>
    <w:rsid w:val="52336282"/>
    <w:rsid w:val="5233653E"/>
    <w:rsid w:val="523429E2"/>
    <w:rsid w:val="52343E93"/>
    <w:rsid w:val="52344790"/>
    <w:rsid w:val="52344B41"/>
    <w:rsid w:val="52346027"/>
    <w:rsid w:val="52350508"/>
    <w:rsid w:val="52353387"/>
    <w:rsid w:val="523549B3"/>
    <w:rsid w:val="52354E7B"/>
    <w:rsid w:val="523602B0"/>
    <w:rsid w:val="523614F6"/>
    <w:rsid w:val="5236566E"/>
    <w:rsid w:val="523734C2"/>
    <w:rsid w:val="52374280"/>
    <w:rsid w:val="52377DDC"/>
    <w:rsid w:val="523809FB"/>
    <w:rsid w:val="52383B1A"/>
    <w:rsid w:val="52383B54"/>
    <w:rsid w:val="52384A5B"/>
    <w:rsid w:val="5238633C"/>
    <w:rsid w:val="52386FBD"/>
    <w:rsid w:val="52391DA6"/>
    <w:rsid w:val="523942A5"/>
    <w:rsid w:val="52394657"/>
    <w:rsid w:val="5239507C"/>
    <w:rsid w:val="52397523"/>
    <w:rsid w:val="523977AE"/>
    <w:rsid w:val="52397FF8"/>
    <w:rsid w:val="523A167B"/>
    <w:rsid w:val="523A3021"/>
    <w:rsid w:val="523A3491"/>
    <w:rsid w:val="523A37BE"/>
    <w:rsid w:val="523A3F05"/>
    <w:rsid w:val="523A5B1F"/>
    <w:rsid w:val="523B1EAA"/>
    <w:rsid w:val="523B29F5"/>
    <w:rsid w:val="523B3440"/>
    <w:rsid w:val="523B5F68"/>
    <w:rsid w:val="523C0185"/>
    <w:rsid w:val="523C32A0"/>
    <w:rsid w:val="523C3645"/>
    <w:rsid w:val="523C4995"/>
    <w:rsid w:val="523C53F3"/>
    <w:rsid w:val="523C5F10"/>
    <w:rsid w:val="523D4EAE"/>
    <w:rsid w:val="523E560F"/>
    <w:rsid w:val="523E73BD"/>
    <w:rsid w:val="523E75BD"/>
    <w:rsid w:val="523F04E7"/>
    <w:rsid w:val="523F235D"/>
    <w:rsid w:val="523F3135"/>
    <w:rsid w:val="523F4EE3"/>
    <w:rsid w:val="52400793"/>
    <w:rsid w:val="52403E84"/>
    <w:rsid w:val="52406162"/>
    <w:rsid w:val="52410C5B"/>
    <w:rsid w:val="52411F92"/>
    <w:rsid w:val="524143D4"/>
    <w:rsid w:val="52416EAD"/>
    <w:rsid w:val="52421326"/>
    <w:rsid w:val="52424290"/>
    <w:rsid w:val="52425EB1"/>
    <w:rsid w:val="524263F2"/>
    <w:rsid w:val="5242693C"/>
    <w:rsid w:val="5243030A"/>
    <w:rsid w:val="5243362B"/>
    <w:rsid w:val="524349D3"/>
    <w:rsid w:val="524354A2"/>
    <w:rsid w:val="52436C5F"/>
    <w:rsid w:val="52446C48"/>
    <w:rsid w:val="52450254"/>
    <w:rsid w:val="52450697"/>
    <w:rsid w:val="5245699D"/>
    <w:rsid w:val="5246001F"/>
    <w:rsid w:val="52463DB9"/>
    <w:rsid w:val="52465A97"/>
    <w:rsid w:val="52471E17"/>
    <w:rsid w:val="5247258B"/>
    <w:rsid w:val="52472FB7"/>
    <w:rsid w:val="524746F8"/>
    <w:rsid w:val="524753D3"/>
    <w:rsid w:val="5248023B"/>
    <w:rsid w:val="52481FEA"/>
    <w:rsid w:val="52483D98"/>
    <w:rsid w:val="52485989"/>
    <w:rsid w:val="52495D62"/>
    <w:rsid w:val="52497B10"/>
    <w:rsid w:val="524A0194"/>
    <w:rsid w:val="524A3079"/>
    <w:rsid w:val="524A3FB4"/>
    <w:rsid w:val="524A5B58"/>
    <w:rsid w:val="524A7610"/>
    <w:rsid w:val="524B1ADA"/>
    <w:rsid w:val="524B3888"/>
    <w:rsid w:val="524B7D2C"/>
    <w:rsid w:val="524C0854"/>
    <w:rsid w:val="524C16C3"/>
    <w:rsid w:val="524C330A"/>
    <w:rsid w:val="524D0DC7"/>
    <w:rsid w:val="524D4868"/>
    <w:rsid w:val="524D4CA2"/>
    <w:rsid w:val="524D5A84"/>
    <w:rsid w:val="524D63C0"/>
    <w:rsid w:val="524D6DAE"/>
    <w:rsid w:val="524D7600"/>
    <w:rsid w:val="524E18B2"/>
    <w:rsid w:val="524E4064"/>
    <w:rsid w:val="524E5126"/>
    <w:rsid w:val="524E6ABE"/>
    <w:rsid w:val="524F1749"/>
    <w:rsid w:val="524F6801"/>
    <w:rsid w:val="52500E9E"/>
    <w:rsid w:val="52502118"/>
    <w:rsid w:val="52503A9A"/>
    <w:rsid w:val="52505775"/>
    <w:rsid w:val="525057AA"/>
    <w:rsid w:val="52505FAE"/>
    <w:rsid w:val="525070F0"/>
    <w:rsid w:val="5251037B"/>
    <w:rsid w:val="525147CA"/>
    <w:rsid w:val="52514894"/>
    <w:rsid w:val="525210BA"/>
    <w:rsid w:val="52523856"/>
    <w:rsid w:val="52523B85"/>
    <w:rsid w:val="525243CD"/>
    <w:rsid w:val="5252790F"/>
    <w:rsid w:val="5253273C"/>
    <w:rsid w:val="52532F3C"/>
    <w:rsid w:val="525334E5"/>
    <w:rsid w:val="525367B9"/>
    <w:rsid w:val="52546BE0"/>
    <w:rsid w:val="52551EF0"/>
    <w:rsid w:val="525521AB"/>
    <w:rsid w:val="52554706"/>
    <w:rsid w:val="5256161C"/>
    <w:rsid w:val="525625DB"/>
    <w:rsid w:val="5256365E"/>
    <w:rsid w:val="52565A1E"/>
    <w:rsid w:val="52570C10"/>
    <w:rsid w:val="5257223C"/>
    <w:rsid w:val="52572AAC"/>
    <w:rsid w:val="525735D2"/>
    <w:rsid w:val="52574FE1"/>
    <w:rsid w:val="52583A3C"/>
    <w:rsid w:val="52585CAD"/>
    <w:rsid w:val="52586DE8"/>
    <w:rsid w:val="52592449"/>
    <w:rsid w:val="525941F7"/>
    <w:rsid w:val="52595FA5"/>
    <w:rsid w:val="525A1D1D"/>
    <w:rsid w:val="525A3ACB"/>
    <w:rsid w:val="525A3FB4"/>
    <w:rsid w:val="525B57E5"/>
    <w:rsid w:val="525C1BC3"/>
    <w:rsid w:val="525C3216"/>
    <w:rsid w:val="525C3CE7"/>
    <w:rsid w:val="525C4813"/>
    <w:rsid w:val="525C7843"/>
    <w:rsid w:val="525D5028"/>
    <w:rsid w:val="525D5EB6"/>
    <w:rsid w:val="525D66CD"/>
    <w:rsid w:val="525E35BB"/>
    <w:rsid w:val="525E44C6"/>
    <w:rsid w:val="525F10E1"/>
    <w:rsid w:val="525F123E"/>
    <w:rsid w:val="525F3E0F"/>
    <w:rsid w:val="525F7333"/>
    <w:rsid w:val="526024D6"/>
    <w:rsid w:val="52603241"/>
    <w:rsid w:val="526037D7"/>
    <w:rsid w:val="52603D62"/>
    <w:rsid w:val="52605C88"/>
    <w:rsid w:val="52610F3A"/>
    <w:rsid w:val="52611673"/>
    <w:rsid w:val="526130AB"/>
    <w:rsid w:val="5261380C"/>
    <w:rsid w:val="5261584E"/>
    <w:rsid w:val="52621300"/>
    <w:rsid w:val="52621DCD"/>
    <w:rsid w:val="526238F8"/>
    <w:rsid w:val="52626428"/>
    <w:rsid w:val="52630BD1"/>
    <w:rsid w:val="52632790"/>
    <w:rsid w:val="52632E2B"/>
    <w:rsid w:val="52634497"/>
    <w:rsid w:val="52635075"/>
    <w:rsid w:val="52642D2F"/>
    <w:rsid w:val="5264494A"/>
    <w:rsid w:val="526450B0"/>
    <w:rsid w:val="526451A8"/>
    <w:rsid w:val="52650DED"/>
    <w:rsid w:val="526515A2"/>
    <w:rsid w:val="5265190D"/>
    <w:rsid w:val="52652D32"/>
    <w:rsid w:val="52657DC2"/>
    <w:rsid w:val="52661111"/>
    <w:rsid w:val="52662470"/>
    <w:rsid w:val="52666914"/>
    <w:rsid w:val="52670806"/>
    <w:rsid w:val="52677672"/>
    <w:rsid w:val="526804A5"/>
    <w:rsid w:val="5268268C"/>
    <w:rsid w:val="52683A31"/>
    <w:rsid w:val="5268443A"/>
    <w:rsid w:val="526861E8"/>
    <w:rsid w:val="52686602"/>
    <w:rsid w:val="52687225"/>
    <w:rsid w:val="52690E54"/>
    <w:rsid w:val="526936C5"/>
    <w:rsid w:val="52695D51"/>
    <w:rsid w:val="526A01B2"/>
    <w:rsid w:val="526A3790"/>
    <w:rsid w:val="526A4EFB"/>
    <w:rsid w:val="526A6351"/>
    <w:rsid w:val="526A6404"/>
    <w:rsid w:val="526B2BD0"/>
    <w:rsid w:val="526B3F2A"/>
    <w:rsid w:val="526B5CD8"/>
    <w:rsid w:val="526C1D1C"/>
    <w:rsid w:val="526C44B6"/>
    <w:rsid w:val="526D0751"/>
    <w:rsid w:val="526D1699"/>
    <w:rsid w:val="526D37FE"/>
    <w:rsid w:val="526D5732"/>
    <w:rsid w:val="526D7CA2"/>
    <w:rsid w:val="526E1A25"/>
    <w:rsid w:val="526E53C8"/>
    <w:rsid w:val="526E7576"/>
    <w:rsid w:val="526F0D33"/>
    <w:rsid w:val="526F3A1A"/>
    <w:rsid w:val="526F3EE3"/>
    <w:rsid w:val="526F57C8"/>
    <w:rsid w:val="526F6B2D"/>
    <w:rsid w:val="52701540"/>
    <w:rsid w:val="527032EE"/>
    <w:rsid w:val="52705E6E"/>
    <w:rsid w:val="52713EF5"/>
    <w:rsid w:val="52720E14"/>
    <w:rsid w:val="52722901"/>
    <w:rsid w:val="5272350A"/>
    <w:rsid w:val="527252B8"/>
    <w:rsid w:val="52727066"/>
    <w:rsid w:val="527276B4"/>
    <w:rsid w:val="52727EB1"/>
    <w:rsid w:val="527307FD"/>
    <w:rsid w:val="52734B8D"/>
    <w:rsid w:val="527350D1"/>
    <w:rsid w:val="52737C64"/>
    <w:rsid w:val="52737C93"/>
    <w:rsid w:val="527400A5"/>
    <w:rsid w:val="527434F3"/>
    <w:rsid w:val="52747852"/>
    <w:rsid w:val="527545B9"/>
    <w:rsid w:val="52754F0B"/>
    <w:rsid w:val="52756035"/>
    <w:rsid w:val="52756B57"/>
    <w:rsid w:val="52757844"/>
    <w:rsid w:val="527602C7"/>
    <w:rsid w:val="52760C06"/>
    <w:rsid w:val="52763B95"/>
    <w:rsid w:val="52764721"/>
    <w:rsid w:val="527723C4"/>
    <w:rsid w:val="52772848"/>
    <w:rsid w:val="527728CF"/>
    <w:rsid w:val="5277374B"/>
    <w:rsid w:val="5277467D"/>
    <w:rsid w:val="5277690F"/>
    <w:rsid w:val="52783526"/>
    <w:rsid w:val="52786C19"/>
    <w:rsid w:val="5279010F"/>
    <w:rsid w:val="52793237"/>
    <w:rsid w:val="527966EE"/>
    <w:rsid w:val="527A194B"/>
    <w:rsid w:val="527A1D8F"/>
    <w:rsid w:val="527A5569"/>
    <w:rsid w:val="527A5F1B"/>
    <w:rsid w:val="527B23BF"/>
    <w:rsid w:val="527B555D"/>
    <w:rsid w:val="527B6107"/>
    <w:rsid w:val="527B7B57"/>
    <w:rsid w:val="527C1C93"/>
    <w:rsid w:val="527C3D34"/>
    <w:rsid w:val="527C74B8"/>
    <w:rsid w:val="527D47C7"/>
    <w:rsid w:val="527D5F08"/>
    <w:rsid w:val="527D667E"/>
    <w:rsid w:val="527D67C1"/>
    <w:rsid w:val="527D7C3F"/>
    <w:rsid w:val="527E3C5D"/>
    <w:rsid w:val="527E434F"/>
    <w:rsid w:val="527E5A0B"/>
    <w:rsid w:val="527F1783"/>
    <w:rsid w:val="527F41B4"/>
    <w:rsid w:val="527F77CE"/>
    <w:rsid w:val="527F7996"/>
    <w:rsid w:val="5280693F"/>
    <w:rsid w:val="52806B2C"/>
    <w:rsid w:val="52807437"/>
    <w:rsid w:val="528076BB"/>
    <w:rsid w:val="52807855"/>
    <w:rsid w:val="5281374D"/>
    <w:rsid w:val="528145D8"/>
    <w:rsid w:val="5281488E"/>
    <w:rsid w:val="528154FB"/>
    <w:rsid w:val="52815D19"/>
    <w:rsid w:val="52817153"/>
    <w:rsid w:val="52825436"/>
    <w:rsid w:val="5282603C"/>
    <w:rsid w:val="528271A9"/>
    <w:rsid w:val="5282757E"/>
    <w:rsid w:val="52830639"/>
    <w:rsid w:val="52831274"/>
    <w:rsid w:val="5283320A"/>
    <w:rsid w:val="52834CEE"/>
    <w:rsid w:val="528445A5"/>
    <w:rsid w:val="5284469A"/>
    <w:rsid w:val="52844992"/>
    <w:rsid w:val="52846D9A"/>
    <w:rsid w:val="5285323E"/>
    <w:rsid w:val="52854FEC"/>
    <w:rsid w:val="52855108"/>
    <w:rsid w:val="52856F28"/>
    <w:rsid w:val="52862B12"/>
    <w:rsid w:val="52863E55"/>
    <w:rsid w:val="528648C0"/>
    <w:rsid w:val="528677EA"/>
    <w:rsid w:val="528707DC"/>
    <w:rsid w:val="52870A24"/>
    <w:rsid w:val="52874434"/>
    <w:rsid w:val="52876FD9"/>
    <w:rsid w:val="52877C09"/>
    <w:rsid w:val="52880638"/>
    <w:rsid w:val="52881D7F"/>
    <w:rsid w:val="52882138"/>
    <w:rsid w:val="52884ADC"/>
    <w:rsid w:val="52885001"/>
    <w:rsid w:val="528869F9"/>
    <w:rsid w:val="52887419"/>
    <w:rsid w:val="528913DE"/>
    <w:rsid w:val="52893D92"/>
    <w:rsid w:val="528943B0"/>
    <w:rsid w:val="528944AB"/>
    <w:rsid w:val="5289687D"/>
    <w:rsid w:val="528A0854"/>
    <w:rsid w:val="528A2602"/>
    <w:rsid w:val="528A42DC"/>
    <w:rsid w:val="528A4C77"/>
    <w:rsid w:val="528B1918"/>
    <w:rsid w:val="528B1ED6"/>
    <w:rsid w:val="528B2A95"/>
    <w:rsid w:val="528B2D66"/>
    <w:rsid w:val="528B637A"/>
    <w:rsid w:val="528C00A1"/>
    <w:rsid w:val="528C4FE5"/>
    <w:rsid w:val="528C5A87"/>
    <w:rsid w:val="528C6095"/>
    <w:rsid w:val="528C7313"/>
    <w:rsid w:val="528D1027"/>
    <w:rsid w:val="528D15F2"/>
    <w:rsid w:val="528D20F2"/>
    <w:rsid w:val="528D285B"/>
    <w:rsid w:val="528D3959"/>
    <w:rsid w:val="528D42BC"/>
    <w:rsid w:val="528E0576"/>
    <w:rsid w:val="528E2C70"/>
    <w:rsid w:val="528E3A65"/>
    <w:rsid w:val="528E4F98"/>
    <w:rsid w:val="528E5F11"/>
    <w:rsid w:val="528E7D11"/>
    <w:rsid w:val="528F2A37"/>
    <w:rsid w:val="528F7C18"/>
    <w:rsid w:val="5290006C"/>
    <w:rsid w:val="52900663"/>
    <w:rsid w:val="52903812"/>
    <w:rsid w:val="52903BBA"/>
    <w:rsid w:val="52903D98"/>
    <w:rsid w:val="52905813"/>
    <w:rsid w:val="52906027"/>
    <w:rsid w:val="52906848"/>
    <w:rsid w:val="52911BE2"/>
    <w:rsid w:val="52915CC4"/>
    <w:rsid w:val="529178B6"/>
    <w:rsid w:val="529212C1"/>
    <w:rsid w:val="529214B7"/>
    <w:rsid w:val="52925F88"/>
    <w:rsid w:val="52926C9E"/>
    <w:rsid w:val="52927709"/>
    <w:rsid w:val="5293012E"/>
    <w:rsid w:val="52932842"/>
    <w:rsid w:val="52936834"/>
    <w:rsid w:val="529369ED"/>
    <w:rsid w:val="52941517"/>
    <w:rsid w:val="529415BE"/>
    <w:rsid w:val="5294522F"/>
    <w:rsid w:val="52950AD8"/>
    <w:rsid w:val="52950FA7"/>
    <w:rsid w:val="52951AB7"/>
    <w:rsid w:val="52952D1F"/>
    <w:rsid w:val="52952D55"/>
    <w:rsid w:val="5295348A"/>
    <w:rsid w:val="5295585C"/>
    <w:rsid w:val="529671F9"/>
    <w:rsid w:val="52974D1F"/>
    <w:rsid w:val="529754A0"/>
    <w:rsid w:val="52977AA4"/>
    <w:rsid w:val="52980998"/>
    <w:rsid w:val="52980E47"/>
    <w:rsid w:val="529835FD"/>
    <w:rsid w:val="52990A97"/>
    <w:rsid w:val="52992845"/>
    <w:rsid w:val="52992E68"/>
    <w:rsid w:val="52994922"/>
    <w:rsid w:val="52996F39"/>
    <w:rsid w:val="529A036B"/>
    <w:rsid w:val="529A07CE"/>
    <w:rsid w:val="529A56E5"/>
    <w:rsid w:val="529A65BD"/>
    <w:rsid w:val="529B2709"/>
    <w:rsid w:val="529B480F"/>
    <w:rsid w:val="529B5DD5"/>
    <w:rsid w:val="529C11E0"/>
    <w:rsid w:val="529C40E3"/>
    <w:rsid w:val="529C5910"/>
    <w:rsid w:val="529D3A5E"/>
    <w:rsid w:val="529E42FF"/>
    <w:rsid w:val="529E4FA4"/>
    <w:rsid w:val="529E60AD"/>
    <w:rsid w:val="529E68A9"/>
    <w:rsid w:val="529E78FF"/>
    <w:rsid w:val="529F04BE"/>
    <w:rsid w:val="529F262B"/>
    <w:rsid w:val="529F42FB"/>
    <w:rsid w:val="529F46CB"/>
    <w:rsid w:val="529F5040"/>
    <w:rsid w:val="529F5259"/>
    <w:rsid w:val="529F56A1"/>
    <w:rsid w:val="52A01938"/>
    <w:rsid w:val="52A01E26"/>
    <w:rsid w:val="52A02093"/>
    <w:rsid w:val="52A03BD4"/>
    <w:rsid w:val="52A05CCE"/>
    <w:rsid w:val="52A102FC"/>
    <w:rsid w:val="52A10E51"/>
    <w:rsid w:val="52A116FA"/>
    <w:rsid w:val="52A1794C"/>
    <w:rsid w:val="52A21CCF"/>
    <w:rsid w:val="52A259F0"/>
    <w:rsid w:val="52A25C03"/>
    <w:rsid w:val="52A334A1"/>
    <w:rsid w:val="52A336C4"/>
    <w:rsid w:val="52A34800"/>
    <w:rsid w:val="52A37D07"/>
    <w:rsid w:val="52A42F98"/>
    <w:rsid w:val="52A511EA"/>
    <w:rsid w:val="52A55F1D"/>
    <w:rsid w:val="52A5743C"/>
    <w:rsid w:val="52A631B4"/>
    <w:rsid w:val="52A64E63"/>
    <w:rsid w:val="52A66D10"/>
    <w:rsid w:val="52A71F1E"/>
    <w:rsid w:val="52A76756"/>
    <w:rsid w:val="52A767B0"/>
    <w:rsid w:val="52A80EAD"/>
    <w:rsid w:val="52AA097C"/>
    <w:rsid w:val="52AA216D"/>
    <w:rsid w:val="52AA2646"/>
    <w:rsid w:val="52AB0D58"/>
    <w:rsid w:val="52AC1547"/>
    <w:rsid w:val="52AC19FF"/>
    <w:rsid w:val="52AC1FD6"/>
    <w:rsid w:val="52AC38AF"/>
    <w:rsid w:val="52AC3EB8"/>
    <w:rsid w:val="52AC573A"/>
    <w:rsid w:val="52AC605F"/>
    <w:rsid w:val="52AD009F"/>
    <w:rsid w:val="52AD3364"/>
    <w:rsid w:val="52AD3CA8"/>
    <w:rsid w:val="52AD55D2"/>
    <w:rsid w:val="52AD6661"/>
    <w:rsid w:val="52AD6B22"/>
    <w:rsid w:val="52AE3379"/>
    <w:rsid w:val="52AE5970"/>
    <w:rsid w:val="52AF02BB"/>
    <w:rsid w:val="52AF2069"/>
    <w:rsid w:val="52AF22F7"/>
    <w:rsid w:val="52AF3E17"/>
    <w:rsid w:val="52AF489E"/>
    <w:rsid w:val="52AF512D"/>
    <w:rsid w:val="52AF6285"/>
    <w:rsid w:val="52AF70F7"/>
    <w:rsid w:val="52B00738"/>
    <w:rsid w:val="52B02227"/>
    <w:rsid w:val="52B034C4"/>
    <w:rsid w:val="52B04B74"/>
    <w:rsid w:val="52B04EA6"/>
    <w:rsid w:val="52B1279C"/>
    <w:rsid w:val="52B14B86"/>
    <w:rsid w:val="52B15DE1"/>
    <w:rsid w:val="52B21491"/>
    <w:rsid w:val="52B23907"/>
    <w:rsid w:val="52B256B5"/>
    <w:rsid w:val="52B341AD"/>
    <w:rsid w:val="52B34B48"/>
    <w:rsid w:val="52B379C6"/>
    <w:rsid w:val="52B37A98"/>
    <w:rsid w:val="52B41144"/>
    <w:rsid w:val="52B4142D"/>
    <w:rsid w:val="52B42038"/>
    <w:rsid w:val="52B433E8"/>
    <w:rsid w:val="52B43687"/>
    <w:rsid w:val="52B454A8"/>
    <w:rsid w:val="52B456DE"/>
    <w:rsid w:val="52B458D1"/>
    <w:rsid w:val="52B4653D"/>
    <w:rsid w:val="52B57D20"/>
    <w:rsid w:val="52B57FEB"/>
    <w:rsid w:val="52B603FC"/>
    <w:rsid w:val="52B633F7"/>
    <w:rsid w:val="52B67DAF"/>
    <w:rsid w:val="52B705DF"/>
    <w:rsid w:val="52B70E85"/>
    <w:rsid w:val="52B7194F"/>
    <w:rsid w:val="52B753C1"/>
    <w:rsid w:val="52B75568"/>
    <w:rsid w:val="52B7716F"/>
    <w:rsid w:val="52B809B9"/>
    <w:rsid w:val="52B842CE"/>
    <w:rsid w:val="52B91F94"/>
    <w:rsid w:val="52B92EE7"/>
    <w:rsid w:val="52B9356C"/>
    <w:rsid w:val="52B939D6"/>
    <w:rsid w:val="52B949FB"/>
    <w:rsid w:val="52B94C95"/>
    <w:rsid w:val="52B959D7"/>
    <w:rsid w:val="52B96A43"/>
    <w:rsid w:val="52B97730"/>
    <w:rsid w:val="52BA27BB"/>
    <w:rsid w:val="52BA335F"/>
    <w:rsid w:val="52BA4770"/>
    <w:rsid w:val="52BA48C4"/>
    <w:rsid w:val="52BA6B9C"/>
    <w:rsid w:val="52BB0A0D"/>
    <w:rsid w:val="52BB18E9"/>
    <w:rsid w:val="52BB6C5F"/>
    <w:rsid w:val="52BC16F4"/>
    <w:rsid w:val="52BC29D7"/>
    <w:rsid w:val="52BC3241"/>
    <w:rsid w:val="52BC42FE"/>
    <w:rsid w:val="52BC4786"/>
    <w:rsid w:val="52BC5E72"/>
    <w:rsid w:val="52BC6534"/>
    <w:rsid w:val="52BC6E98"/>
    <w:rsid w:val="52BD094B"/>
    <w:rsid w:val="52BD6598"/>
    <w:rsid w:val="52BE148F"/>
    <w:rsid w:val="52BE22AC"/>
    <w:rsid w:val="52BE30EA"/>
    <w:rsid w:val="52BE405A"/>
    <w:rsid w:val="52BE482B"/>
    <w:rsid w:val="52BE5FB7"/>
    <w:rsid w:val="52BE7204"/>
    <w:rsid w:val="52BE7F33"/>
    <w:rsid w:val="52BF03A6"/>
    <w:rsid w:val="52BF04FB"/>
    <w:rsid w:val="52BF3059"/>
    <w:rsid w:val="52BF6AC4"/>
    <w:rsid w:val="52BF714B"/>
    <w:rsid w:val="52BF7DD2"/>
    <w:rsid w:val="52C00150"/>
    <w:rsid w:val="52C01F15"/>
    <w:rsid w:val="52C02E16"/>
    <w:rsid w:val="52C04276"/>
    <w:rsid w:val="52C06024"/>
    <w:rsid w:val="52C11CC3"/>
    <w:rsid w:val="52C131AC"/>
    <w:rsid w:val="52C13AA2"/>
    <w:rsid w:val="52C150B0"/>
    <w:rsid w:val="52C15CB6"/>
    <w:rsid w:val="52C16146"/>
    <w:rsid w:val="52C16922"/>
    <w:rsid w:val="52C22DBB"/>
    <w:rsid w:val="52C23EEA"/>
    <w:rsid w:val="52C33D66"/>
    <w:rsid w:val="52C35ACC"/>
    <w:rsid w:val="52C35B14"/>
    <w:rsid w:val="52C378C2"/>
    <w:rsid w:val="52C37A8F"/>
    <w:rsid w:val="52C37AFB"/>
    <w:rsid w:val="52C46F5C"/>
    <w:rsid w:val="52C47657"/>
    <w:rsid w:val="52C5188C"/>
    <w:rsid w:val="52C5363A"/>
    <w:rsid w:val="52C5502D"/>
    <w:rsid w:val="52C57ECF"/>
    <w:rsid w:val="52C605D2"/>
    <w:rsid w:val="52C621BD"/>
    <w:rsid w:val="52C72970"/>
    <w:rsid w:val="52C73039"/>
    <w:rsid w:val="52C75266"/>
    <w:rsid w:val="52C777D0"/>
    <w:rsid w:val="52C804AE"/>
    <w:rsid w:val="52C8312A"/>
    <w:rsid w:val="52C84ED8"/>
    <w:rsid w:val="52C86949"/>
    <w:rsid w:val="52C86D6D"/>
    <w:rsid w:val="52C926DA"/>
    <w:rsid w:val="52C958EE"/>
    <w:rsid w:val="52CA0C50"/>
    <w:rsid w:val="52CA29FF"/>
    <w:rsid w:val="52CA2DCE"/>
    <w:rsid w:val="52CA425E"/>
    <w:rsid w:val="52CA50F4"/>
    <w:rsid w:val="52CA663A"/>
    <w:rsid w:val="52CA66DB"/>
    <w:rsid w:val="52CB64A5"/>
    <w:rsid w:val="52CC02BF"/>
    <w:rsid w:val="52CC0A47"/>
    <w:rsid w:val="52CC5BD5"/>
    <w:rsid w:val="52CC6956"/>
    <w:rsid w:val="52CD24EF"/>
    <w:rsid w:val="52CE0FB6"/>
    <w:rsid w:val="52CE2E21"/>
    <w:rsid w:val="52CE323C"/>
    <w:rsid w:val="52CE3E53"/>
    <w:rsid w:val="52CE49E7"/>
    <w:rsid w:val="52CF0D5D"/>
    <w:rsid w:val="52CF44B9"/>
    <w:rsid w:val="52CF6267"/>
    <w:rsid w:val="52D006BC"/>
    <w:rsid w:val="52D02C72"/>
    <w:rsid w:val="52D036C8"/>
    <w:rsid w:val="52D03D8D"/>
    <w:rsid w:val="52D054FF"/>
    <w:rsid w:val="52D14385"/>
    <w:rsid w:val="52D1756C"/>
    <w:rsid w:val="52D23FA9"/>
    <w:rsid w:val="52D24131"/>
    <w:rsid w:val="52D26BA1"/>
    <w:rsid w:val="52D26DC2"/>
    <w:rsid w:val="52D27B05"/>
    <w:rsid w:val="52D35945"/>
    <w:rsid w:val="52D35E4A"/>
    <w:rsid w:val="52D35FD4"/>
    <w:rsid w:val="52D41ACF"/>
    <w:rsid w:val="52D4290B"/>
    <w:rsid w:val="52D4387D"/>
    <w:rsid w:val="52D46C00"/>
    <w:rsid w:val="52D47047"/>
    <w:rsid w:val="52D47475"/>
    <w:rsid w:val="52D47B62"/>
    <w:rsid w:val="52D47D21"/>
    <w:rsid w:val="52D5264B"/>
    <w:rsid w:val="52D52D48"/>
    <w:rsid w:val="52D55853"/>
    <w:rsid w:val="52D60B21"/>
    <w:rsid w:val="52D63A99"/>
    <w:rsid w:val="52D65847"/>
    <w:rsid w:val="52D675F5"/>
    <w:rsid w:val="52D7336D"/>
    <w:rsid w:val="52D735CE"/>
    <w:rsid w:val="52D7511B"/>
    <w:rsid w:val="52D75456"/>
    <w:rsid w:val="52D802A7"/>
    <w:rsid w:val="52D86862"/>
    <w:rsid w:val="52D87524"/>
    <w:rsid w:val="52D91923"/>
    <w:rsid w:val="52D92741"/>
    <w:rsid w:val="52D95337"/>
    <w:rsid w:val="52D9630D"/>
    <w:rsid w:val="52D970E6"/>
    <w:rsid w:val="52DA377C"/>
    <w:rsid w:val="52DA3D53"/>
    <w:rsid w:val="52DA7539"/>
    <w:rsid w:val="52DB10B0"/>
    <w:rsid w:val="52DB33E2"/>
    <w:rsid w:val="52DB3D30"/>
    <w:rsid w:val="52DC0984"/>
    <w:rsid w:val="52DD6B78"/>
    <w:rsid w:val="52DE0E46"/>
    <w:rsid w:val="52DE294E"/>
    <w:rsid w:val="52DE4557"/>
    <w:rsid w:val="52DE7B86"/>
    <w:rsid w:val="52DF030A"/>
    <w:rsid w:val="52DF0F46"/>
    <w:rsid w:val="52DF15E6"/>
    <w:rsid w:val="52DF7932"/>
    <w:rsid w:val="52E00474"/>
    <w:rsid w:val="52E01E0D"/>
    <w:rsid w:val="52E036E5"/>
    <w:rsid w:val="52E04FF4"/>
    <w:rsid w:val="52E07B90"/>
    <w:rsid w:val="52E21F49"/>
    <w:rsid w:val="52E2243E"/>
    <w:rsid w:val="52E22737"/>
    <w:rsid w:val="52E33AC0"/>
    <w:rsid w:val="52E348A9"/>
    <w:rsid w:val="52E35324"/>
    <w:rsid w:val="52E361B6"/>
    <w:rsid w:val="52E42D7B"/>
    <w:rsid w:val="52E432F2"/>
    <w:rsid w:val="52E45C3F"/>
    <w:rsid w:val="52E46546"/>
    <w:rsid w:val="52E633F2"/>
    <w:rsid w:val="52E63429"/>
    <w:rsid w:val="52E635B0"/>
    <w:rsid w:val="52E66442"/>
    <w:rsid w:val="52E67042"/>
    <w:rsid w:val="52E70521"/>
    <w:rsid w:val="52E72CFA"/>
    <w:rsid w:val="52E73786"/>
    <w:rsid w:val="52E73F48"/>
    <w:rsid w:val="52E75437"/>
    <w:rsid w:val="52E772E7"/>
    <w:rsid w:val="52E77591"/>
    <w:rsid w:val="52E77A54"/>
    <w:rsid w:val="52E835EC"/>
    <w:rsid w:val="52E837CD"/>
    <w:rsid w:val="52E847AF"/>
    <w:rsid w:val="52E86006"/>
    <w:rsid w:val="52E8669F"/>
    <w:rsid w:val="52E86A4F"/>
    <w:rsid w:val="52E87329"/>
    <w:rsid w:val="52E94AA7"/>
    <w:rsid w:val="52E9573C"/>
    <w:rsid w:val="52EA12F3"/>
    <w:rsid w:val="52EA46FC"/>
    <w:rsid w:val="52EA4E4F"/>
    <w:rsid w:val="52EA5A01"/>
    <w:rsid w:val="52EB206A"/>
    <w:rsid w:val="52EB28EB"/>
    <w:rsid w:val="52EB2A32"/>
    <w:rsid w:val="52EB4CD8"/>
    <w:rsid w:val="52EB5D78"/>
    <w:rsid w:val="52EC2E7F"/>
    <w:rsid w:val="52EC506B"/>
    <w:rsid w:val="52EC6E19"/>
    <w:rsid w:val="52EC7550"/>
    <w:rsid w:val="52ED04A2"/>
    <w:rsid w:val="52ED0D39"/>
    <w:rsid w:val="52ED2343"/>
    <w:rsid w:val="52ED493F"/>
    <w:rsid w:val="52ED77D4"/>
    <w:rsid w:val="52EE6181"/>
    <w:rsid w:val="52EE677C"/>
    <w:rsid w:val="52EF06B7"/>
    <w:rsid w:val="52EF29E9"/>
    <w:rsid w:val="52EF6909"/>
    <w:rsid w:val="52F004FD"/>
    <w:rsid w:val="52F05A83"/>
    <w:rsid w:val="52F05F79"/>
    <w:rsid w:val="52F061DD"/>
    <w:rsid w:val="52F071FA"/>
    <w:rsid w:val="52F1442F"/>
    <w:rsid w:val="52F218C4"/>
    <w:rsid w:val="52F21F55"/>
    <w:rsid w:val="52F263F9"/>
    <w:rsid w:val="52F26750"/>
    <w:rsid w:val="52F30423"/>
    <w:rsid w:val="52F340F5"/>
    <w:rsid w:val="52F36C22"/>
    <w:rsid w:val="52F37F52"/>
    <w:rsid w:val="52F41729"/>
    <w:rsid w:val="52F42171"/>
    <w:rsid w:val="52F43F1F"/>
    <w:rsid w:val="52F4423D"/>
    <w:rsid w:val="52F44F74"/>
    <w:rsid w:val="52F50EB2"/>
    <w:rsid w:val="52F51F24"/>
    <w:rsid w:val="52F540F8"/>
    <w:rsid w:val="52F60580"/>
    <w:rsid w:val="52F61A46"/>
    <w:rsid w:val="52F63D05"/>
    <w:rsid w:val="52F6415B"/>
    <w:rsid w:val="52F715A0"/>
    <w:rsid w:val="52F757BE"/>
    <w:rsid w:val="52F75C0E"/>
    <w:rsid w:val="52F82808"/>
    <w:rsid w:val="52F830C3"/>
    <w:rsid w:val="52F8470B"/>
    <w:rsid w:val="52F85E4C"/>
    <w:rsid w:val="52F91536"/>
    <w:rsid w:val="52F9414F"/>
    <w:rsid w:val="52F96A79"/>
    <w:rsid w:val="52F9765B"/>
    <w:rsid w:val="52F9777F"/>
    <w:rsid w:val="52FA333D"/>
    <w:rsid w:val="52FA5318"/>
    <w:rsid w:val="52FB3500"/>
    <w:rsid w:val="52FB52AE"/>
    <w:rsid w:val="52FC027F"/>
    <w:rsid w:val="52FC1DC7"/>
    <w:rsid w:val="52FC2DD4"/>
    <w:rsid w:val="52FC53FE"/>
    <w:rsid w:val="52FD0538"/>
    <w:rsid w:val="52FD1026"/>
    <w:rsid w:val="52FD60CC"/>
    <w:rsid w:val="52FD6199"/>
    <w:rsid w:val="52FD649D"/>
    <w:rsid w:val="52FD70ED"/>
    <w:rsid w:val="52FD71A3"/>
    <w:rsid w:val="52FE057D"/>
    <w:rsid w:val="52FE264B"/>
    <w:rsid w:val="52FE3A47"/>
    <w:rsid w:val="52FE4D9E"/>
    <w:rsid w:val="52FF01BB"/>
    <w:rsid w:val="52FF17BD"/>
    <w:rsid w:val="52FF4295"/>
    <w:rsid w:val="52FF5A9D"/>
    <w:rsid w:val="52FF6B71"/>
    <w:rsid w:val="53003C90"/>
    <w:rsid w:val="53004D9F"/>
    <w:rsid w:val="5300647E"/>
    <w:rsid w:val="530116A3"/>
    <w:rsid w:val="530162E7"/>
    <w:rsid w:val="53017CDD"/>
    <w:rsid w:val="53020BF4"/>
    <w:rsid w:val="5302663C"/>
    <w:rsid w:val="53026BC9"/>
    <w:rsid w:val="53027388"/>
    <w:rsid w:val="5303023E"/>
    <w:rsid w:val="5303175A"/>
    <w:rsid w:val="530323B4"/>
    <w:rsid w:val="53035F10"/>
    <w:rsid w:val="53043B0A"/>
    <w:rsid w:val="53043CC0"/>
    <w:rsid w:val="530443EF"/>
    <w:rsid w:val="5304456F"/>
    <w:rsid w:val="5305043B"/>
    <w:rsid w:val="530529F2"/>
    <w:rsid w:val="53057705"/>
    <w:rsid w:val="53061A90"/>
    <w:rsid w:val="53062820"/>
    <w:rsid w:val="530629B5"/>
    <w:rsid w:val="5306614B"/>
    <w:rsid w:val="53066E89"/>
    <w:rsid w:val="5307019F"/>
    <w:rsid w:val="530733B4"/>
    <w:rsid w:val="530733F6"/>
    <w:rsid w:val="53074969"/>
    <w:rsid w:val="53075942"/>
    <w:rsid w:val="5308153E"/>
    <w:rsid w:val="530815A6"/>
    <w:rsid w:val="53081779"/>
    <w:rsid w:val="53084200"/>
    <w:rsid w:val="53085941"/>
    <w:rsid w:val="53086608"/>
    <w:rsid w:val="53086EDD"/>
    <w:rsid w:val="53086EF3"/>
    <w:rsid w:val="530878B8"/>
    <w:rsid w:val="53093D14"/>
    <w:rsid w:val="53094CE8"/>
    <w:rsid w:val="530A140D"/>
    <w:rsid w:val="530A3743"/>
    <w:rsid w:val="530A4FB1"/>
    <w:rsid w:val="530A6B20"/>
    <w:rsid w:val="530A729F"/>
    <w:rsid w:val="530B1014"/>
    <w:rsid w:val="530B2B81"/>
    <w:rsid w:val="530B3959"/>
    <w:rsid w:val="530B6CF6"/>
    <w:rsid w:val="530B6F66"/>
    <w:rsid w:val="530C1269"/>
    <w:rsid w:val="530C1DF4"/>
    <w:rsid w:val="530C3017"/>
    <w:rsid w:val="530C74BB"/>
    <w:rsid w:val="530D2341"/>
    <w:rsid w:val="530D24F1"/>
    <w:rsid w:val="530D2B65"/>
    <w:rsid w:val="530D6BE2"/>
    <w:rsid w:val="530E0072"/>
    <w:rsid w:val="530E07DA"/>
    <w:rsid w:val="530E3233"/>
    <w:rsid w:val="530F0D59"/>
    <w:rsid w:val="530F2B07"/>
    <w:rsid w:val="530F3598"/>
    <w:rsid w:val="530F65E3"/>
    <w:rsid w:val="5310110B"/>
    <w:rsid w:val="53102F64"/>
    <w:rsid w:val="531036C2"/>
    <w:rsid w:val="53104667"/>
    <w:rsid w:val="53104735"/>
    <w:rsid w:val="53105563"/>
    <w:rsid w:val="53105CC6"/>
    <w:rsid w:val="53110949"/>
    <w:rsid w:val="53112B15"/>
    <w:rsid w:val="53113E22"/>
    <w:rsid w:val="53114AD1"/>
    <w:rsid w:val="5311687F"/>
    <w:rsid w:val="531169F3"/>
    <w:rsid w:val="53117C96"/>
    <w:rsid w:val="531202EC"/>
    <w:rsid w:val="531221BF"/>
    <w:rsid w:val="53125585"/>
    <w:rsid w:val="531279FF"/>
    <w:rsid w:val="53130849"/>
    <w:rsid w:val="531363D3"/>
    <w:rsid w:val="53137E85"/>
    <w:rsid w:val="5314011E"/>
    <w:rsid w:val="53140CAC"/>
    <w:rsid w:val="5314246F"/>
    <w:rsid w:val="5314426D"/>
    <w:rsid w:val="53145311"/>
    <w:rsid w:val="53146370"/>
    <w:rsid w:val="53153F09"/>
    <w:rsid w:val="5315461A"/>
    <w:rsid w:val="53155374"/>
    <w:rsid w:val="53160162"/>
    <w:rsid w:val="531620E8"/>
    <w:rsid w:val="53163E96"/>
    <w:rsid w:val="53165C44"/>
    <w:rsid w:val="531719BC"/>
    <w:rsid w:val="53180B34"/>
    <w:rsid w:val="53181924"/>
    <w:rsid w:val="53182FF5"/>
    <w:rsid w:val="531915FF"/>
    <w:rsid w:val="53193986"/>
    <w:rsid w:val="531A295E"/>
    <w:rsid w:val="531A4192"/>
    <w:rsid w:val="531A5A9F"/>
    <w:rsid w:val="531A6015"/>
    <w:rsid w:val="531A64BF"/>
    <w:rsid w:val="531B1173"/>
    <w:rsid w:val="531B14AC"/>
    <w:rsid w:val="531B2852"/>
    <w:rsid w:val="531B2AE5"/>
    <w:rsid w:val="531B420E"/>
    <w:rsid w:val="531C2CCD"/>
    <w:rsid w:val="531D0A0F"/>
    <w:rsid w:val="531D273D"/>
    <w:rsid w:val="531D4811"/>
    <w:rsid w:val="531E0F9C"/>
    <w:rsid w:val="531E1C95"/>
    <w:rsid w:val="531E57F1"/>
    <w:rsid w:val="531E58B9"/>
    <w:rsid w:val="531E734D"/>
    <w:rsid w:val="531F68B8"/>
    <w:rsid w:val="53202F66"/>
    <w:rsid w:val="53203E2D"/>
    <w:rsid w:val="53204B1B"/>
    <w:rsid w:val="53204D14"/>
    <w:rsid w:val="53206AC2"/>
    <w:rsid w:val="53207960"/>
    <w:rsid w:val="532105A3"/>
    <w:rsid w:val="532145E9"/>
    <w:rsid w:val="532164E8"/>
    <w:rsid w:val="53216B55"/>
    <w:rsid w:val="53217ECD"/>
    <w:rsid w:val="5322283B"/>
    <w:rsid w:val="53223F18"/>
    <w:rsid w:val="5322563D"/>
    <w:rsid w:val="53227641"/>
    <w:rsid w:val="53227978"/>
    <w:rsid w:val="53230361"/>
    <w:rsid w:val="532309AE"/>
    <w:rsid w:val="53231574"/>
    <w:rsid w:val="532327C9"/>
    <w:rsid w:val="53232D29"/>
    <w:rsid w:val="5323569C"/>
    <w:rsid w:val="532365B3"/>
    <w:rsid w:val="53237609"/>
    <w:rsid w:val="532407D3"/>
    <w:rsid w:val="53244EE3"/>
    <w:rsid w:val="53250062"/>
    <w:rsid w:val="5325057D"/>
    <w:rsid w:val="5325232B"/>
    <w:rsid w:val="5325456B"/>
    <w:rsid w:val="53262BF4"/>
    <w:rsid w:val="5326365D"/>
    <w:rsid w:val="5326510E"/>
    <w:rsid w:val="53265F50"/>
    <w:rsid w:val="532676A1"/>
    <w:rsid w:val="53271813"/>
    <w:rsid w:val="53274422"/>
    <w:rsid w:val="53277E51"/>
    <w:rsid w:val="53281E1B"/>
    <w:rsid w:val="53283354"/>
    <w:rsid w:val="532837EA"/>
    <w:rsid w:val="53283BC9"/>
    <w:rsid w:val="53286001"/>
    <w:rsid w:val="53286818"/>
    <w:rsid w:val="53290535"/>
    <w:rsid w:val="53291DEA"/>
    <w:rsid w:val="532923CE"/>
    <w:rsid w:val="53296823"/>
    <w:rsid w:val="53296945"/>
    <w:rsid w:val="532A1A8C"/>
    <w:rsid w:val="532A35EF"/>
    <w:rsid w:val="532A4848"/>
    <w:rsid w:val="532A5B93"/>
    <w:rsid w:val="532A7941"/>
    <w:rsid w:val="532A7C0C"/>
    <w:rsid w:val="532B4466"/>
    <w:rsid w:val="532C190B"/>
    <w:rsid w:val="532C35FB"/>
    <w:rsid w:val="532C36B9"/>
    <w:rsid w:val="532C5467"/>
    <w:rsid w:val="532C6140"/>
    <w:rsid w:val="532C7ACB"/>
    <w:rsid w:val="532C7C55"/>
    <w:rsid w:val="532E5B77"/>
    <w:rsid w:val="532E7431"/>
    <w:rsid w:val="532F0AEC"/>
    <w:rsid w:val="532F1602"/>
    <w:rsid w:val="532F2F80"/>
    <w:rsid w:val="532F31A9"/>
    <w:rsid w:val="532F4F57"/>
    <w:rsid w:val="532F6D06"/>
    <w:rsid w:val="532F767A"/>
    <w:rsid w:val="53301F7C"/>
    <w:rsid w:val="53311014"/>
    <w:rsid w:val="53312A7E"/>
    <w:rsid w:val="53312B3F"/>
    <w:rsid w:val="5331446E"/>
    <w:rsid w:val="53314C5D"/>
    <w:rsid w:val="53316F22"/>
    <w:rsid w:val="5332099B"/>
    <w:rsid w:val="533216AB"/>
    <w:rsid w:val="53321D18"/>
    <w:rsid w:val="533231A6"/>
    <w:rsid w:val="533232D6"/>
    <w:rsid w:val="5332649E"/>
    <w:rsid w:val="5332746D"/>
    <w:rsid w:val="533308FD"/>
    <w:rsid w:val="53331D46"/>
    <w:rsid w:val="53332C9A"/>
    <w:rsid w:val="53333D4C"/>
    <w:rsid w:val="53334A48"/>
    <w:rsid w:val="5333635B"/>
    <w:rsid w:val="53346859"/>
    <w:rsid w:val="533478EE"/>
    <w:rsid w:val="53347A41"/>
    <w:rsid w:val="53353072"/>
    <w:rsid w:val="53353178"/>
    <w:rsid w:val="53355292"/>
    <w:rsid w:val="533662E6"/>
    <w:rsid w:val="5337070E"/>
    <w:rsid w:val="533723F3"/>
    <w:rsid w:val="5337526C"/>
    <w:rsid w:val="53375611"/>
    <w:rsid w:val="5337597E"/>
    <w:rsid w:val="533802B0"/>
    <w:rsid w:val="53380D60"/>
    <w:rsid w:val="5338150F"/>
    <w:rsid w:val="533832DF"/>
    <w:rsid w:val="53383694"/>
    <w:rsid w:val="533842CA"/>
    <w:rsid w:val="53384978"/>
    <w:rsid w:val="53384C80"/>
    <w:rsid w:val="53392673"/>
    <w:rsid w:val="53394028"/>
    <w:rsid w:val="533941CB"/>
    <w:rsid w:val="533945EA"/>
    <w:rsid w:val="5339476F"/>
    <w:rsid w:val="53395DD6"/>
    <w:rsid w:val="53396BFE"/>
    <w:rsid w:val="53397B84"/>
    <w:rsid w:val="533A0D91"/>
    <w:rsid w:val="533A39B7"/>
    <w:rsid w:val="533A5BFF"/>
    <w:rsid w:val="533A6285"/>
    <w:rsid w:val="533A6472"/>
    <w:rsid w:val="533A6CB8"/>
    <w:rsid w:val="533A7325"/>
    <w:rsid w:val="533B19FC"/>
    <w:rsid w:val="533B1B4E"/>
    <w:rsid w:val="533B2DC9"/>
    <w:rsid w:val="533B38FC"/>
    <w:rsid w:val="533B64CF"/>
    <w:rsid w:val="533B708F"/>
    <w:rsid w:val="533C0170"/>
    <w:rsid w:val="533C074E"/>
    <w:rsid w:val="533C0C4C"/>
    <w:rsid w:val="533C2921"/>
    <w:rsid w:val="533C4199"/>
    <w:rsid w:val="533C41B8"/>
    <w:rsid w:val="533C54F5"/>
    <w:rsid w:val="533D0B63"/>
    <w:rsid w:val="533D58C6"/>
    <w:rsid w:val="533D61A0"/>
    <w:rsid w:val="533D7674"/>
    <w:rsid w:val="533E1936"/>
    <w:rsid w:val="533E33EC"/>
    <w:rsid w:val="533E519B"/>
    <w:rsid w:val="53400F13"/>
    <w:rsid w:val="53400FF4"/>
    <w:rsid w:val="534020B0"/>
    <w:rsid w:val="5340433D"/>
    <w:rsid w:val="534043BC"/>
    <w:rsid w:val="534053B7"/>
    <w:rsid w:val="53405F6E"/>
    <w:rsid w:val="53407165"/>
    <w:rsid w:val="53411FC4"/>
    <w:rsid w:val="53417926"/>
    <w:rsid w:val="53422777"/>
    <w:rsid w:val="53422EDD"/>
    <w:rsid w:val="53422F35"/>
    <w:rsid w:val="53424C8B"/>
    <w:rsid w:val="53425964"/>
    <w:rsid w:val="53425B4A"/>
    <w:rsid w:val="53426A39"/>
    <w:rsid w:val="53426C8A"/>
    <w:rsid w:val="53426F62"/>
    <w:rsid w:val="53430A03"/>
    <w:rsid w:val="5343271F"/>
    <w:rsid w:val="534327B1"/>
    <w:rsid w:val="53433CD7"/>
    <w:rsid w:val="53433DCD"/>
    <w:rsid w:val="53436CB1"/>
    <w:rsid w:val="53436EBB"/>
    <w:rsid w:val="53440147"/>
    <w:rsid w:val="534470C9"/>
    <w:rsid w:val="53450535"/>
    <w:rsid w:val="534529CD"/>
    <w:rsid w:val="53453AFE"/>
    <w:rsid w:val="534564F4"/>
    <w:rsid w:val="53456749"/>
    <w:rsid w:val="5346271D"/>
    <w:rsid w:val="5346321D"/>
    <w:rsid w:val="5346796B"/>
    <w:rsid w:val="534706EB"/>
    <w:rsid w:val="53471C77"/>
    <w:rsid w:val="534722A1"/>
    <w:rsid w:val="534751B5"/>
    <w:rsid w:val="534754A8"/>
    <w:rsid w:val="53480EC7"/>
    <w:rsid w:val="53483186"/>
    <w:rsid w:val="534834A1"/>
    <w:rsid w:val="53486019"/>
    <w:rsid w:val="53494264"/>
    <w:rsid w:val="5349426B"/>
    <w:rsid w:val="534959D8"/>
    <w:rsid w:val="534A1D91"/>
    <w:rsid w:val="534A3FB3"/>
    <w:rsid w:val="534A62B7"/>
    <w:rsid w:val="534C0852"/>
    <w:rsid w:val="534C20A1"/>
    <w:rsid w:val="534C29D5"/>
    <w:rsid w:val="534C4661"/>
    <w:rsid w:val="534C5B09"/>
    <w:rsid w:val="534C68D8"/>
    <w:rsid w:val="534C6AB1"/>
    <w:rsid w:val="534C78B7"/>
    <w:rsid w:val="534C7AEF"/>
    <w:rsid w:val="534D4075"/>
    <w:rsid w:val="534D53DE"/>
    <w:rsid w:val="534D7756"/>
    <w:rsid w:val="534E545F"/>
    <w:rsid w:val="534E5955"/>
    <w:rsid w:val="534E61E1"/>
    <w:rsid w:val="534E7AD3"/>
    <w:rsid w:val="534F1565"/>
    <w:rsid w:val="534F6994"/>
    <w:rsid w:val="534F7EC5"/>
    <w:rsid w:val="53504ADA"/>
    <w:rsid w:val="53505888"/>
    <w:rsid w:val="53507284"/>
    <w:rsid w:val="53507CD8"/>
    <w:rsid w:val="53507D32"/>
    <w:rsid w:val="53513120"/>
    <w:rsid w:val="53514ECE"/>
    <w:rsid w:val="5352223A"/>
    <w:rsid w:val="53522758"/>
    <w:rsid w:val="535279B1"/>
    <w:rsid w:val="53532731"/>
    <w:rsid w:val="535350EA"/>
    <w:rsid w:val="5353545C"/>
    <w:rsid w:val="53541072"/>
    <w:rsid w:val="53541376"/>
    <w:rsid w:val="53541A98"/>
    <w:rsid w:val="53541CDA"/>
    <w:rsid w:val="535449BE"/>
    <w:rsid w:val="53544F11"/>
    <w:rsid w:val="5354676C"/>
    <w:rsid w:val="535467FB"/>
    <w:rsid w:val="53551067"/>
    <w:rsid w:val="535518CA"/>
    <w:rsid w:val="53552D68"/>
    <w:rsid w:val="53557C1B"/>
    <w:rsid w:val="53560736"/>
    <w:rsid w:val="53562AE0"/>
    <w:rsid w:val="53563C96"/>
    <w:rsid w:val="535660A8"/>
    <w:rsid w:val="5356683E"/>
    <w:rsid w:val="53566988"/>
    <w:rsid w:val="535673AF"/>
    <w:rsid w:val="535736CB"/>
    <w:rsid w:val="53573E65"/>
    <w:rsid w:val="53574588"/>
    <w:rsid w:val="53581187"/>
    <w:rsid w:val="53582700"/>
    <w:rsid w:val="535844AE"/>
    <w:rsid w:val="53585A2C"/>
    <w:rsid w:val="5358625C"/>
    <w:rsid w:val="53590226"/>
    <w:rsid w:val="53595CD8"/>
    <w:rsid w:val="535A0017"/>
    <w:rsid w:val="535A2C88"/>
    <w:rsid w:val="535A36A0"/>
    <w:rsid w:val="535A3B69"/>
    <w:rsid w:val="535A51E8"/>
    <w:rsid w:val="535A5AD0"/>
    <w:rsid w:val="535B55E6"/>
    <w:rsid w:val="535B7B08"/>
    <w:rsid w:val="535C3872"/>
    <w:rsid w:val="535D0132"/>
    <w:rsid w:val="535D049D"/>
    <w:rsid w:val="535D1AC5"/>
    <w:rsid w:val="535D2428"/>
    <w:rsid w:val="535D3C13"/>
    <w:rsid w:val="535E064C"/>
    <w:rsid w:val="535E4FF9"/>
    <w:rsid w:val="535E7BBF"/>
    <w:rsid w:val="535F16F7"/>
    <w:rsid w:val="535F3A8F"/>
    <w:rsid w:val="535F6489"/>
    <w:rsid w:val="536000FA"/>
    <w:rsid w:val="536026AE"/>
    <w:rsid w:val="53602D36"/>
    <w:rsid w:val="53603118"/>
    <w:rsid w:val="53604A73"/>
    <w:rsid w:val="53605111"/>
    <w:rsid w:val="53607807"/>
    <w:rsid w:val="53607919"/>
    <w:rsid w:val="53607C69"/>
    <w:rsid w:val="53610DA9"/>
    <w:rsid w:val="53610EB3"/>
    <w:rsid w:val="536111D2"/>
    <w:rsid w:val="536123B6"/>
    <w:rsid w:val="53612E98"/>
    <w:rsid w:val="53613E7C"/>
    <w:rsid w:val="53614F23"/>
    <w:rsid w:val="536157AF"/>
    <w:rsid w:val="5361715A"/>
    <w:rsid w:val="53624E0A"/>
    <w:rsid w:val="5362532D"/>
    <w:rsid w:val="536270DB"/>
    <w:rsid w:val="53630DA4"/>
    <w:rsid w:val="53633D6E"/>
    <w:rsid w:val="53634C01"/>
    <w:rsid w:val="53635899"/>
    <w:rsid w:val="536410A5"/>
    <w:rsid w:val="53642BF7"/>
    <w:rsid w:val="53642E53"/>
    <w:rsid w:val="536443AF"/>
    <w:rsid w:val="53644B92"/>
    <w:rsid w:val="53647A67"/>
    <w:rsid w:val="53650A60"/>
    <w:rsid w:val="53650BBA"/>
    <w:rsid w:val="53654E1D"/>
    <w:rsid w:val="5365592B"/>
    <w:rsid w:val="53656BCB"/>
    <w:rsid w:val="53666205"/>
    <w:rsid w:val="53666FD1"/>
    <w:rsid w:val="53667C4F"/>
    <w:rsid w:val="53670B95"/>
    <w:rsid w:val="536716D4"/>
    <w:rsid w:val="536746F1"/>
    <w:rsid w:val="5367649F"/>
    <w:rsid w:val="536802A3"/>
    <w:rsid w:val="53682217"/>
    <w:rsid w:val="53684537"/>
    <w:rsid w:val="53685B50"/>
    <w:rsid w:val="53686783"/>
    <w:rsid w:val="53691421"/>
    <w:rsid w:val="53692459"/>
    <w:rsid w:val="53692526"/>
    <w:rsid w:val="53695F11"/>
    <w:rsid w:val="536969B1"/>
    <w:rsid w:val="536A0AFB"/>
    <w:rsid w:val="536A2159"/>
    <w:rsid w:val="536A2433"/>
    <w:rsid w:val="536A255C"/>
    <w:rsid w:val="536A2E4F"/>
    <w:rsid w:val="536B0B11"/>
    <w:rsid w:val="536B1A18"/>
    <w:rsid w:val="536B1F0F"/>
    <w:rsid w:val="536B275A"/>
    <w:rsid w:val="536B2780"/>
    <w:rsid w:val="536C2606"/>
    <w:rsid w:val="536C33E7"/>
    <w:rsid w:val="536E0F54"/>
    <w:rsid w:val="536E2309"/>
    <w:rsid w:val="536E3CD2"/>
    <w:rsid w:val="536E7F2B"/>
    <w:rsid w:val="536F1C96"/>
    <w:rsid w:val="536F1F5F"/>
    <w:rsid w:val="536F625B"/>
    <w:rsid w:val="536F65A6"/>
    <w:rsid w:val="536F6E11"/>
    <w:rsid w:val="536F7A4A"/>
    <w:rsid w:val="53701AB2"/>
    <w:rsid w:val="53703C59"/>
    <w:rsid w:val="53704BFE"/>
    <w:rsid w:val="5370798C"/>
    <w:rsid w:val="5371089E"/>
    <w:rsid w:val="5371346F"/>
    <w:rsid w:val="53720A63"/>
    <w:rsid w:val="537246DB"/>
    <w:rsid w:val="53733096"/>
    <w:rsid w:val="53735FFC"/>
    <w:rsid w:val="5373753A"/>
    <w:rsid w:val="53740BBC"/>
    <w:rsid w:val="53741E9D"/>
    <w:rsid w:val="537426EE"/>
    <w:rsid w:val="537449EF"/>
    <w:rsid w:val="53746E0E"/>
    <w:rsid w:val="53750562"/>
    <w:rsid w:val="53754241"/>
    <w:rsid w:val="5375476A"/>
    <w:rsid w:val="53755060"/>
    <w:rsid w:val="53760DD8"/>
    <w:rsid w:val="5376103E"/>
    <w:rsid w:val="537678B7"/>
    <w:rsid w:val="53771207"/>
    <w:rsid w:val="537806AC"/>
    <w:rsid w:val="53783E68"/>
    <w:rsid w:val="53784B50"/>
    <w:rsid w:val="53786204"/>
    <w:rsid w:val="53786DA8"/>
    <w:rsid w:val="537908DE"/>
    <w:rsid w:val="5379604F"/>
    <w:rsid w:val="537961D3"/>
    <w:rsid w:val="53797021"/>
    <w:rsid w:val="537A2677"/>
    <w:rsid w:val="537A3A86"/>
    <w:rsid w:val="537A4EEE"/>
    <w:rsid w:val="537A720E"/>
    <w:rsid w:val="537A77D1"/>
    <w:rsid w:val="537C1FFF"/>
    <w:rsid w:val="537C2114"/>
    <w:rsid w:val="537C59B1"/>
    <w:rsid w:val="537C6B56"/>
    <w:rsid w:val="537D2167"/>
    <w:rsid w:val="537D5CC3"/>
    <w:rsid w:val="537D5CEC"/>
    <w:rsid w:val="537E1A3B"/>
    <w:rsid w:val="537F7AB5"/>
    <w:rsid w:val="537F7C8D"/>
    <w:rsid w:val="537F7ECE"/>
    <w:rsid w:val="53802B44"/>
    <w:rsid w:val="53803A05"/>
    <w:rsid w:val="538057B3"/>
    <w:rsid w:val="5380591C"/>
    <w:rsid w:val="53807561"/>
    <w:rsid w:val="538102FF"/>
    <w:rsid w:val="53810451"/>
    <w:rsid w:val="53812DA5"/>
    <w:rsid w:val="5382039A"/>
    <w:rsid w:val="53822CB3"/>
    <w:rsid w:val="5382777D"/>
    <w:rsid w:val="53831BBE"/>
    <w:rsid w:val="53835248"/>
    <w:rsid w:val="538353AE"/>
    <w:rsid w:val="53835C22"/>
    <w:rsid w:val="53844875"/>
    <w:rsid w:val="538452A3"/>
    <w:rsid w:val="5384599B"/>
    <w:rsid w:val="538500EF"/>
    <w:rsid w:val="538501A4"/>
    <w:rsid w:val="5385101B"/>
    <w:rsid w:val="53852D75"/>
    <w:rsid w:val="53854D7B"/>
    <w:rsid w:val="53857696"/>
    <w:rsid w:val="53861634"/>
    <w:rsid w:val="53864205"/>
    <w:rsid w:val="538664D6"/>
    <w:rsid w:val="53872483"/>
    <w:rsid w:val="53872AC4"/>
    <w:rsid w:val="53873BB8"/>
    <w:rsid w:val="53874D93"/>
    <w:rsid w:val="53876596"/>
    <w:rsid w:val="53876B42"/>
    <w:rsid w:val="53877239"/>
    <w:rsid w:val="53880CAC"/>
    <w:rsid w:val="53890B0C"/>
    <w:rsid w:val="538916F6"/>
    <w:rsid w:val="53891A24"/>
    <w:rsid w:val="538928BA"/>
    <w:rsid w:val="53894668"/>
    <w:rsid w:val="53896B1D"/>
    <w:rsid w:val="538A03E0"/>
    <w:rsid w:val="538A1CF7"/>
    <w:rsid w:val="538A45C5"/>
    <w:rsid w:val="538A5600"/>
    <w:rsid w:val="538A5B83"/>
    <w:rsid w:val="538A7271"/>
    <w:rsid w:val="538B2DF6"/>
    <w:rsid w:val="538C5BF6"/>
    <w:rsid w:val="538D3F90"/>
    <w:rsid w:val="538E1C7E"/>
    <w:rsid w:val="538E2997"/>
    <w:rsid w:val="538E4123"/>
    <w:rsid w:val="538E413D"/>
    <w:rsid w:val="538E6122"/>
    <w:rsid w:val="538E6947"/>
    <w:rsid w:val="538E7ED0"/>
    <w:rsid w:val="538F3C48"/>
    <w:rsid w:val="538F59F6"/>
    <w:rsid w:val="538F63CC"/>
    <w:rsid w:val="538F69F8"/>
    <w:rsid w:val="538F7367"/>
    <w:rsid w:val="5390319D"/>
    <w:rsid w:val="5390611A"/>
    <w:rsid w:val="5391565A"/>
    <w:rsid w:val="539159F0"/>
    <w:rsid w:val="53922A60"/>
    <w:rsid w:val="539256A8"/>
    <w:rsid w:val="539266E3"/>
    <w:rsid w:val="53927BD7"/>
    <w:rsid w:val="539315DF"/>
    <w:rsid w:val="539323B1"/>
    <w:rsid w:val="53933738"/>
    <w:rsid w:val="53933C38"/>
    <w:rsid w:val="53937294"/>
    <w:rsid w:val="539379E4"/>
    <w:rsid w:val="539418A4"/>
    <w:rsid w:val="539424AF"/>
    <w:rsid w:val="53943171"/>
    <w:rsid w:val="53945851"/>
    <w:rsid w:val="53946825"/>
    <w:rsid w:val="53950B32"/>
    <w:rsid w:val="53952E53"/>
    <w:rsid w:val="5395372A"/>
    <w:rsid w:val="539603B9"/>
    <w:rsid w:val="53960ED0"/>
    <w:rsid w:val="53962CE1"/>
    <w:rsid w:val="53963CFA"/>
    <w:rsid w:val="53966D85"/>
    <w:rsid w:val="539712FA"/>
    <w:rsid w:val="539714AF"/>
    <w:rsid w:val="539725B9"/>
    <w:rsid w:val="53973206"/>
    <w:rsid w:val="53974D40"/>
    <w:rsid w:val="53975A8D"/>
    <w:rsid w:val="539768B4"/>
    <w:rsid w:val="5397777A"/>
    <w:rsid w:val="53977F56"/>
    <w:rsid w:val="53980081"/>
    <w:rsid w:val="53980569"/>
    <w:rsid w:val="53980AB1"/>
    <w:rsid w:val="53980D4F"/>
    <w:rsid w:val="53981CF5"/>
    <w:rsid w:val="53983F5C"/>
    <w:rsid w:val="53984ED9"/>
    <w:rsid w:val="53986910"/>
    <w:rsid w:val="53986FA1"/>
    <w:rsid w:val="539877EA"/>
    <w:rsid w:val="53994D4F"/>
    <w:rsid w:val="53997B70"/>
    <w:rsid w:val="539A22B4"/>
    <w:rsid w:val="539A267B"/>
    <w:rsid w:val="539A4AC7"/>
    <w:rsid w:val="539A61FB"/>
    <w:rsid w:val="539A64DD"/>
    <w:rsid w:val="539A6875"/>
    <w:rsid w:val="539A6A3E"/>
    <w:rsid w:val="539B083F"/>
    <w:rsid w:val="539B13BC"/>
    <w:rsid w:val="539B25ED"/>
    <w:rsid w:val="539B439B"/>
    <w:rsid w:val="539B4F9B"/>
    <w:rsid w:val="539B5473"/>
    <w:rsid w:val="539C7CAB"/>
    <w:rsid w:val="539D0FFC"/>
    <w:rsid w:val="539D10B7"/>
    <w:rsid w:val="539D11A0"/>
    <w:rsid w:val="539D5DDC"/>
    <w:rsid w:val="539D76D3"/>
    <w:rsid w:val="539E248C"/>
    <w:rsid w:val="539E46B5"/>
    <w:rsid w:val="539E4CC6"/>
    <w:rsid w:val="539E7661"/>
    <w:rsid w:val="539F157E"/>
    <w:rsid w:val="539F20DD"/>
    <w:rsid w:val="539F3E8B"/>
    <w:rsid w:val="539F6883"/>
    <w:rsid w:val="539F7425"/>
    <w:rsid w:val="53A02CA1"/>
    <w:rsid w:val="53A05E55"/>
    <w:rsid w:val="53A07C03"/>
    <w:rsid w:val="53A21BCD"/>
    <w:rsid w:val="53A21DE6"/>
    <w:rsid w:val="53A21EEC"/>
    <w:rsid w:val="53A22553"/>
    <w:rsid w:val="53A23700"/>
    <w:rsid w:val="53A2397B"/>
    <w:rsid w:val="53A23C3F"/>
    <w:rsid w:val="53A25729"/>
    <w:rsid w:val="53A30B5C"/>
    <w:rsid w:val="53A3190E"/>
    <w:rsid w:val="53A34B09"/>
    <w:rsid w:val="53A35B51"/>
    <w:rsid w:val="53A36F02"/>
    <w:rsid w:val="53A37E3B"/>
    <w:rsid w:val="53A414A2"/>
    <w:rsid w:val="53A4275F"/>
    <w:rsid w:val="53A42867"/>
    <w:rsid w:val="53A45945"/>
    <w:rsid w:val="53A47561"/>
    <w:rsid w:val="53A52127"/>
    <w:rsid w:val="53A52C20"/>
    <w:rsid w:val="53A538A9"/>
    <w:rsid w:val="53A546CE"/>
    <w:rsid w:val="53A5660F"/>
    <w:rsid w:val="53A5778E"/>
    <w:rsid w:val="53A616BE"/>
    <w:rsid w:val="53A65919"/>
    <w:rsid w:val="53A65BE5"/>
    <w:rsid w:val="53A717C6"/>
    <w:rsid w:val="53A720AE"/>
    <w:rsid w:val="53A76F46"/>
    <w:rsid w:val="53A77900"/>
    <w:rsid w:val="53A80274"/>
    <w:rsid w:val="53A80E48"/>
    <w:rsid w:val="53A8294A"/>
    <w:rsid w:val="53A83393"/>
    <w:rsid w:val="53A8610F"/>
    <w:rsid w:val="53A862AE"/>
    <w:rsid w:val="53A90996"/>
    <w:rsid w:val="53A912DA"/>
    <w:rsid w:val="53A932A3"/>
    <w:rsid w:val="53A95ED5"/>
    <w:rsid w:val="53AA4330"/>
    <w:rsid w:val="53AA6D54"/>
    <w:rsid w:val="53AB4A90"/>
    <w:rsid w:val="53AB5652"/>
    <w:rsid w:val="53AB6CD4"/>
    <w:rsid w:val="53AC0356"/>
    <w:rsid w:val="53AC0B89"/>
    <w:rsid w:val="53AC135A"/>
    <w:rsid w:val="53AC3D0F"/>
    <w:rsid w:val="53AC47FA"/>
    <w:rsid w:val="53AC65A8"/>
    <w:rsid w:val="53AC6AE2"/>
    <w:rsid w:val="53AD43DD"/>
    <w:rsid w:val="53AD5208"/>
    <w:rsid w:val="53AD73B0"/>
    <w:rsid w:val="53AE0572"/>
    <w:rsid w:val="53AE7715"/>
    <w:rsid w:val="53AE7F97"/>
    <w:rsid w:val="53AF20B9"/>
    <w:rsid w:val="53AF7E46"/>
    <w:rsid w:val="53B0083A"/>
    <w:rsid w:val="53B0489B"/>
    <w:rsid w:val="53B062D4"/>
    <w:rsid w:val="53B10062"/>
    <w:rsid w:val="53B11872"/>
    <w:rsid w:val="53B11993"/>
    <w:rsid w:val="53B11DA9"/>
    <w:rsid w:val="53B11E10"/>
    <w:rsid w:val="53B13ABF"/>
    <w:rsid w:val="53B164F4"/>
    <w:rsid w:val="53B21D22"/>
    <w:rsid w:val="53B242F2"/>
    <w:rsid w:val="53B24AC7"/>
    <w:rsid w:val="53B316E5"/>
    <w:rsid w:val="53B31AE1"/>
    <w:rsid w:val="53B31EAF"/>
    <w:rsid w:val="53B33C85"/>
    <w:rsid w:val="53B3407D"/>
    <w:rsid w:val="53B35B89"/>
    <w:rsid w:val="53B369F9"/>
    <w:rsid w:val="53B37061"/>
    <w:rsid w:val="53B37937"/>
    <w:rsid w:val="53B416CB"/>
    <w:rsid w:val="53B4661F"/>
    <w:rsid w:val="53B5142D"/>
    <w:rsid w:val="53B53ED9"/>
    <w:rsid w:val="53B556BD"/>
    <w:rsid w:val="53B640DC"/>
    <w:rsid w:val="53B64E22"/>
    <w:rsid w:val="53B65679"/>
    <w:rsid w:val="53B67427"/>
    <w:rsid w:val="53B70DC9"/>
    <w:rsid w:val="53B73033"/>
    <w:rsid w:val="53B75582"/>
    <w:rsid w:val="53B76A61"/>
    <w:rsid w:val="53B76C93"/>
    <w:rsid w:val="53B76D66"/>
    <w:rsid w:val="53B76E63"/>
    <w:rsid w:val="53B8104D"/>
    <w:rsid w:val="53B813F1"/>
    <w:rsid w:val="53B8319F"/>
    <w:rsid w:val="53B84F4D"/>
    <w:rsid w:val="53B859D6"/>
    <w:rsid w:val="53B86CFB"/>
    <w:rsid w:val="53B92A73"/>
    <w:rsid w:val="53B95683"/>
    <w:rsid w:val="53B960B5"/>
    <w:rsid w:val="53B960E0"/>
    <w:rsid w:val="53BA3471"/>
    <w:rsid w:val="53BA4FE2"/>
    <w:rsid w:val="53BB1844"/>
    <w:rsid w:val="53BB4A3D"/>
    <w:rsid w:val="53BB5A61"/>
    <w:rsid w:val="53BB764F"/>
    <w:rsid w:val="53BC2C8F"/>
    <w:rsid w:val="53BD2563"/>
    <w:rsid w:val="53BD5AE8"/>
    <w:rsid w:val="53BD6924"/>
    <w:rsid w:val="53BD6A07"/>
    <w:rsid w:val="53BD6EA5"/>
    <w:rsid w:val="53BF0089"/>
    <w:rsid w:val="53BF2568"/>
    <w:rsid w:val="53BF3CA0"/>
    <w:rsid w:val="53BF452D"/>
    <w:rsid w:val="53BF4C42"/>
    <w:rsid w:val="53BF62DB"/>
    <w:rsid w:val="53C03E02"/>
    <w:rsid w:val="53C03F26"/>
    <w:rsid w:val="53C04396"/>
    <w:rsid w:val="53C04910"/>
    <w:rsid w:val="53C06BE3"/>
    <w:rsid w:val="53C06F3C"/>
    <w:rsid w:val="53C10F2F"/>
    <w:rsid w:val="53C113FC"/>
    <w:rsid w:val="53C20A91"/>
    <w:rsid w:val="53C20FC1"/>
    <w:rsid w:val="53C2317A"/>
    <w:rsid w:val="53C2401E"/>
    <w:rsid w:val="53C24642"/>
    <w:rsid w:val="53C257B8"/>
    <w:rsid w:val="53C25DCC"/>
    <w:rsid w:val="53C303C5"/>
    <w:rsid w:val="53C315D6"/>
    <w:rsid w:val="53C3212C"/>
    <w:rsid w:val="53C41B44"/>
    <w:rsid w:val="53C421A6"/>
    <w:rsid w:val="53C438F2"/>
    <w:rsid w:val="53C450F2"/>
    <w:rsid w:val="53C456DC"/>
    <w:rsid w:val="53C4637C"/>
    <w:rsid w:val="53C50BCF"/>
    <w:rsid w:val="53C51418"/>
    <w:rsid w:val="53C532FA"/>
    <w:rsid w:val="53C53F5C"/>
    <w:rsid w:val="53C546E8"/>
    <w:rsid w:val="53C5766A"/>
    <w:rsid w:val="53C576E3"/>
    <w:rsid w:val="53C60B41"/>
    <w:rsid w:val="53C654FA"/>
    <w:rsid w:val="53C658BC"/>
    <w:rsid w:val="53C66203"/>
    <w:rsid w:val="53C66256"/>
    <w:rsid w:val="53C66AC7"/>
    <w:rsid w:val="53C72B28"/>
    <w:rsid w:val="53C7314D"/>
    <w:rsid w:val="53C733E2"/>
    <w:rsid w:val="53C7367C"/>
    <w:rsid w:val="53C7401A"/>
    <w:rsid w:val="53C75190"/>
    <w:rsid w:val="53C80AB1"/>
    <w:rsid w:val="53C83B79"/>
    <w:rsid w:val="53C879B7"/>
    <w:rsid w:val="53C90E62"/>
    <w:rsid w:val="53C93130"/>
    <w:rsid w:val="53C951B3"/>
    <w:rsid w:val="53C970D4"/>
    <w:rsid w:val="53CA2AB3"/>
    <w:rsid w:val="53CA3915"/>
    <w:rsid w:val="53CA4C80"/>
    <w:rsid w:val="53CA68D8"/>
    <w:rsid w:val="53CB0DA4"/>
    <w:rsid w:val="53CB1124"/>
    <w:rsid w:val="53CB14A9"/>
    <w:rsid w:val="53CB38DF"/>
    <w:rsid w:val="53CB596B"/>
    <w:rsid w:val="53CB5A7A"/>
    <w:rsid w:val="53CB640D"/>
    <w:rsid w:val="53CB74FD"/>
    <w:rsid w:val="53CC2F73"/>
    <w:rsid w:val="53CC6C4A"/>
    <w:rsid w:val="53CD28E2"/>
    <w:rsid w:val="53CD2CA5"/>
    <w:rsid w:val="53CD67BD"/>
    <w:rsid w:val="53CE0B86"/>
    <w:rsid w:val="53CE29C2"/>
    <w:rsid w:val="53CE4770"/>
    <w:rsid w:val="53CE59E2"/>
    <w:rsid w:val="53CE651E"/>
    <w:rsid w:val="53CE6578"/>
    <w:rsid w:val="53CF1DF4"/>
    <w:rsid w:val="53CF458E"/>
    <w:rsid w:val="53CF5CEB"/>
    <w:rsid w:val="53D02297"/>
    <w:rsid w:val="53D0274A"/>
    <w:rsid w:val="53D05D05"/>
    <w:rsid w:val="53D12A6B"/>
    <w:rsid w:val="53D14D47"/>
    <w:rsid w:val="53D15908"/>
    <w:rsid w:val="53D17DBD"/>
    <w:rsid w:val="53D224B3"/>
    <w:rsid w:val="53D23D2F"/>
    <w:rsid w:val="53D310AE"/>
    <w:rsid w:val="53D33B35"/>
    <w:rsid w:val="53D344A0"/>
    <w:rsid w:val="53D3570D"/>
    <w:rsid w:val="53D37FD9"/>
    <w:rsid w:val="53D53023"/>
    <w:rsid w:val="53D539EB"/>
    <w:rsid w:val="53D54264"/>
    <w:rsid w:val="53D5512C"/>
    <w:rsid w:val="53D578AD"/>
    <w:rsid w:val="53D63202"/>
    <w:rsid w:val="53D63625"/>
    <w:rsid w:val="53D706A2"/>
    <w:rsid w:val="53D70CE4"/>
    <w:rsid w:val="53D77AC9"/>
    <w:rsid w:val="53D814E4"/>
    <w:rsid w:val="53D81581"/>
    <w:rsid w:val="53D839C4"/>
    <w:rsid w:val="53D839DD"/>
    <w:rsid w:val="53D855EF"/>
    <w:rsid w:val="53D9109E"/>
    <w:rsid w:val="53D94F3D"/>
    <w:rsid w:val="53D95EEB"/>
    <w:rsid w:val="53D9731C"/>
    <w:rsid w:val="53DA4EC3"/>
    <w:rsid w:val="53DB561F"/>
    <w:rsid w:val="53DC50DF"/>
    <w:rsid w:val="53DC5F07"/>
    <w:rsid w:val="53DC60F7"/>
    <w:rsid w:val="53DD0E57"/>
    <w:rsid w:val="53DD158B"/>
    <w:rsid w:val="53DD4076"/>
    <w:rsid w:val="53DD49B3"/>
    <w:rsid w:val="53DD4ADF"/>
    <w:rsid w:val="53DD5F7C"/>
    <w:rsid w:val="53DE3680"/>
    <w:rsid w:val="53DE679D"/>
    <w:rsid w:val="53DE67F8"/>
    <w:rsid w:val="53DE791F"/>
    <w:rsid w:val="53DF24DA"/>
    <w:rsid w:val="53DF5A4B"/>
    <w:rsid w:val="53E04BF9"/>
    <w:rsid w:val="53E0650E"/>
    <w:rsid w:val="53E10D66"/>
    <w:rsid w:val="53E126F6"/>
    <w:rsid w:val="53E144A4"/>
    <w:rsid w:val="53E212CA"/>
    <w:rsid w:val="53E214EF"/>
    <w:rsid w:val="53E33DF1"/>
    <w:rsid w:val="53E3596B"/>
    <w:rsid w:val="53E35ACD"/>
    <w:rsid w:val="53E37A74"/>
    <w:rsid w:val="53E41D81"/>
    <w:rsid w:val="53E421E6"/>
    <w:rsid w:val="53E42FAF"/>
    <w:rsid w:val="53E47046"/>
    <w:rsid w:val="53E5021D"/>
    <w:rsid w:val="53E53868"/>
    <w:rsid w:val="53E55A01"/>
    <w:rsid w:val="53E57D2B"/>
    <w:rsid w:val="53E61ABA"/>
    <w:rsid w:val="53E62999"/>
    <w:rsid w:val="53E6373D"/>
    <w:rsid w:val="53E64970"/>
    <w:rsid w:val="53E660B1"/>
    <w:rsid w:val="53E73AEA"/>
    <w:rsid w:val="53E75832"/>
    <w:rsid w:val="53E775E0"/>
    <w:rsid w:val="53E77CBE"/>
    <w:rsid w:val="53E805AC"/>
    <w:rsid w:val="53E82F40"/>
    <w:rsid w:val="53E86799"/>
    <w:rsid w:val="53E878E2"/>
    <w:rsid w:val="53E915AA"/>
    <w:rsid w:val="53E93358"/>
    <w:rsid w:val="53E965F3"/>
    <w:rsid w:val="53EA3F93"/>
    <w:rsid w:val="53EA4C3A"/>
    <w:rsid w:val="53EA4CBF"/>
    <w:rsid w:val="53EB12BA"/>
    <w:rsid w:val="53EB4482"/>
    <w:rsid w:val="53EB62FB"/>
    <w:rsid w:val="53EB7352"/>
    <w:rsid w:val="53EB78EA"/>
    <w:rsid w:val="53EC109A"/>
    <w:rsid w:val="53EC1388"/>
    <w:rsid w:val="53EC6205"/>
    <w:rsid w:val="53EC68F7"/>
    <w:rsid w:val="53EC6970"/>
    <w:rsid w:val="53ED4E83"/>
    <w:rsid w:val="53EE4E13"/>
    <w:rsid w:val="53EE799C"/>
    <w:rsid w:val="53EE7BD2"/>
    <w:rsid w:val="53EF0251"/>
    <w:rsid w:val="53EF35EC"/>
    <w:rsid w:val="53EF7C6D"/>
    <w:rsid w:val="53F00B8B"/>
    <w:rsid w:val="53F01D34"/>
    <w:rsid w:val="53F0601F"/>
    <w:rsid w:val="53F131C4"/>
    <w:rsid w:val="53F20A08"/>
    <w:rsid w:val="53F21B8A"/>
    <w:rsid w:val="53F21D13"/>
    <w:rsid w:val="53F23E43"/>
    <w:rsid w:val="53F266B1"/>
    <w:rsid w:val="53F2778F"/>
    <w:rsid w:val="53F35F85"/>
    <w:rsid w:val="53F36221"/>
    <w:rsid w:val="53F36EE5"/>
    <w:rsid w:val="53F45250"/>
    <w:rsid w:val="53F464BD"/>
    <w:rsid w:val="53F50F2E"/>
    <w:rsid w:val="53F55E0A"/>
    <w:rsid w:val="53F5614F"/>
    <w:rsid w:val="53F56FA3"/>
    <w:rsid w:val="53F57F4F"/>
    <w:rsid w:val="53F61038"/>
    <w:rsid w:val="53F67644"/>
    <w:rsid w:val="53F71F19"/>
    <w:rsid w:val="53F73CC7"/>
    <w:rsid w:val="53F758F5"/>
    <w:rsid w:val="53F817ED"/>
    <w:rsid w:val="53F82C99"/>
    <w:rsid w:val="53F8359B"/>
    <w:rsid w:val="53F91088"/>
    <w:rsid w:val="53F94527"/>
    <w:rsid w:val="53F96327"/>
    <w:rsid w:val="53F96CDD"/>
    <w:rsid w:val="53F97E95"/>
    <w:rsid w:val="53FA07D4"/>
    <w:rsid w:val="53FA49D2"/>
    <w:rsid w:val="53FA5565"/>
    <w:rsid w:val="53FA6572"/>
    <w:rsid w:val="53FB1734"/>
    <w:rsid w:val="53FB308C"/>
    <w:rsid w:val="53FB35FD"/>
    <w:rsid w:val="53FC12DE"/>
    <w:rsid w:val="53FC1764"/>
    <w:rsid w:val="53FC4989"/>
    <w:rsid w:val="53FC752F"/>
    <w:rsid w:val="53FD0BB2"/>
    <w:rsid w:val="53FD20BF"/>
    <w:rsid w:val="53FD5056"/>
    <w:rsid w:val="53FD66AE"/>
    <w:rsid w:val="53FD6E04"/>
    <w:rsid w:val="53FE57C8"/>
    <w:rsid w:val="53FE7070"/>
    <w:rsid w:val="53FF0DCE"/>
    <w:rsid w:val="53FF2764"/>
    <w:rsid w:val="53FF2B7C"/>
    <w:rsid w:val="53FF3638"/>
    <w:rsid w:val="53FF3C3B"/>
    <w:rsid w:val="53FF492A"/>
    <w:rsid w:val="53FF58C9"/>
    <w:rsid w:val="53FF7D53"/>
    <w:rsid w:val="540006A2"/>
    <w:rsid w:val="54001810"/>
    <w:rsid w:val="54001829"/>
    <w:rsid w:val="540111F5"/>
    <w:rsid w:val="54014B46"/>
    <w:rsid w:val="54015EA2"/>
    <w:rsid w:val="54017416"/>
    <w:rsid w:val="5402266C"/>
    <w:rsid w:val="54022B2C"/>
    <w:rsid w:val="5402366E"/>
    <w:rsid w:val="54023E19"/>
    <w:rsid w:val="540255D9"/>
    <w:rsid w:val="540308AD"/>
    <w:rsid w:val="540350EF"/>
    <w:rsid w:val="54037335"/>
    <w:rsid w:val="54041F40"/>
    <w:rsid w:val="5404513F"/>
    <w:rsid w:val="54046F12"/>
    <w:rsid w:val="54047791"/>
    <w:rsid w:val="5404788C"/>
    <w:rsid w:val="54047EF9"/>
    <w:rsid w:val="54050C0B"/>
    <w:rsid w:val="5405381F"/>
    <w:rsid w:val="5406215C"/>
    <w:rsid w:val="54063F0A"/>
    <w:rsid w:val="54065698"/>
    <w:rsid w:val="54065CB8"/>
    <w:rsid w:val="5406648B"/>
    <w:rsid w:val="540733C5"/>
    <w:rsid w:val="54077C82"/>
    <w:rsid w:val="54077FBB"/>
    <w:rsid w:val="54080F16"/>
    <w:rsid w:val="54085ED4"/>
    <w:rsid w:val="5408687A"/>
    <w:rsid w:val="540916FA"/>
    <w:rsid w:val="540934EF"/>
    <w:rsid w:val="540939FA"/>
    <w:rsid w:val="5409590A"/>
    <w:rsid w:val="540A12F9"/>
    <w:rsid w:val="540A3A7F"/>
    <w:rsid w:val="540A3D6B"/>
    <w:rsid w:val="540A5672"/>
    <w:rsid w:val="540A5703"/>
    <w:rsid w:val="540A7C04"/>
    <w:rsid w:val="540B0E96"/>
    <w:rsid w:val="540B32CF"/>
    <w:rsid w:val="540B54B1"/>
    <w:rsid w:val="540B681B"/>
    <w:rsid w:val="540B7773"/>
    <w:rsid w:val="540C1892"/>
    <w:rsid w:val="540C4D32"/>
    <w:rsid w:val="540C5299"/>
    <w:rsid w:val="540C7047"/>
    <w:rsid w:val="540C7DCC"/>
    <w:rsid w:val="540D079F"/>
    <w:rsid w:val="540D0B70"/>
    <w:rsid w:val="540D2C5D"/>
    <w:rsid w:val="540D5379"/>
    <w:rsid w:val="540D62C1"/>
    <w:rsid w:val="540E2DBF"/>
    <w:rsid w:val="540F02BB"/>
    <w:rsid w:val="540F6B2F"/>
    <w:rsid w:val="540F7CC5"/>
    <w:rsid w:val="541008E5"/>
    <w:rsid w:val="54102F40"/>
    <w:rsid w:val="54102FDB"/>
    <w:rsid w:val="54103DD7"/>
    <w:rsid w:val="54104BB4"/>
    <w:rsid w:val="54104D89"/>
    <w:rsid w:val="54106219"/>
    <w:rsid w:val="54106B37"/>
    <w:rsid w:val="54111887"/>
    <w:rsid w:val="54112176"/>
    <w:rsid w:val="541128AF"/>
    <w:rsid w:val="54113DA9"/>
    <w:rsid w:val="5411465D"/>
    <w:rsid w:val="54115011"/>
    <w:rsid w:val="54116992"/>
    <w:rsid w:val="54124779"/>
    <w:rsid w:val="54131F6C"/>
    <w:rsid w:val="5413220C"/>
    <w:rsid w:val="5413358B"/>
    <w:rsid w:val="54136627"/>
    <w:rsid w:val="541369AD"/>
    <w:rsid w:val="5414112F"/>
    <w:rsid w:val="54145377"/>
    <w:rsid w:val="541508BA"/>
    <w:rsid w:val="54151D90"/>
    <w:rsid w:val="54151EA4"/>
    <w:rsid w:val="541525BF"/>
    <w:rsid w:val="5415293A"/>
    <w:rsid w:val="54153EF4"/>
    <w:rsid w:val="54160751"/>
    <w:rsid w:val="54165D67"/>
    <w:rsid w:val="54167A18"/>
    <w:rsid w:val="54170B13"/>
    <w:rsid w:val="541732D5"/>
    <w:rsid w:val="54175723"/>
    <w:rsid w:val="54177EC5"/>
    <w:rsid w:val="54183346"/>
    <w:rsid w:val="54183680"/>
    <w:rsid w:val="54183FF5"/>
    <w:rsid w:val="541859EC"/>
    <w:rsid w:val="5418642E"/>
    <w:rsid w:val="541907EA"/>
    <w:rsid w:val="541937F0"/>
    <w:rsid w:val="54194664"/>
    <w:rsid w:val="54195A6E"/>
    <w:rsid w:val="54196D5B"/>
    <w:rsid w:val="541A1764"/>
    <w:rsid w:val="541A3913"/>
    <w:rsid w:val="541A4FC6"/>
    <w:rsid w:val="541A5BE0"/>
    <w:rsid w:val="541A6E1B"/>
    <w:rsid w:val="541A79B6"/>
    <w:rsid w:val="541B28A2"/>
    <w:rsid w:val="541B59D7"/>
    <w:rsid w:val="541C1980"/>
    <w:rsid w:val="541C372E"/>
    <w:rsid w:val="541C54DC"/>
    <w:rsid w:val="541C66FC"/>
    <w:rsid w:val="541D0FCB"/>
    <w:rsid w:val="541D3002"/>
    <w:rsid w:val="541D45D1"/>
    <w:rsid w:val="541D49D4"/>
    <w:rsid w:val="541E12AF"/>
    <w:rsid w:val="541E3520"/>
    <w:rsid w:val="541E3671"/>
    <w:rsid w:val="541F42A2"/>
    <w:rsid w:val="541F4FCC"/>
    <w:rsid w:val="541F623B"/>
    <w:rsid w:val="541F6D7A"/>
    <w:rsid w:val="54200A8C"/>
    <w:rsid w:val="54206B9F"/>
    <w:rsid w:val="54210B62"/>
    <w:rsid w:val="54210CEF"/>
    <w:rsid w:val="54212AF2"/>
    <w:rsid w:val="54216F96"/>
    <w:rsid w:val="54217529"/>
    <w:rsid w:val="54226876"/>
    <w:rsid w:val="54227C5E"/>
    <w:rsid w:val="54231D88"/>
    <w:rsid w:val="54232BC0"/>
    <w:rsid w:val="54236484"/>
    <w:rsid w:val="54242075"/>
    <w:rsid w:val="542425E2"/>
    <w:rsid w:val="5424271B"/>
    <w:rsid w:val="54246E44"/>
    <w:rsid w:val="5425139E"/>
    <w:rsid w:val="54252256"/>
    <w:rsid w:val="542538B0"/>
    <w:rsid w:val="54260FE5"/>
    <w:rsid w:val="5426635A"/>
    <w:rsid w:val="542667DC"/>
    <w:rsid w:val="542720D3"/>
    <w:rsid w:val="54272508"/>
    <w:rsid w:val="542726BD"/>
    <w:rsid w:val="54273B19"/>
    <w:rsid w:val="54273E81"/>
    <w:rsid w:val="54280325"/>
    <w:rsid w:val="54280337"/>
    <w:rsid w:val="542851D0"/>
    <w:rsid w:val="54290784"/>
    <w:rsid w:val="5429409D"/>
    <w:rsid w:val="54295B69"/>
    <w:rsid w:val="54295E4B"/>
    <w:rsid w:val="54297BF9"/>
    <w:rsid w:val="542A11B5"/>
    <w:rsid w:val="542A24A3"/>
    <w:rsid w:val="542A7007"/>
    <w:rsid w:val="542B0869"/>
    <w:rsid w:val="542B1BC3"/>
    <w:rsid w:val="542B3971"/>
    <w:rsid w:val="542B571F"/>
    <w:rsid w:val="542B64D1"/>
    <w:rsid w:val="542B79AA"/>
    <w:rsid w:val="542C0846"/>
    <w:rsid w:val="542C0A6A"/>
    <w:rsid w:val="542C5284"/>
    <w:rsid w:val="542C5C75"/>
    <w:rsid w:val="542C7FD6"/>
    <w:rsid w:val="542D1CD6"/>
    <w:rsid w:val="542D593B"/>
    <w:rsid w:val="542D76E9"/>
    <w:rsid w:val="542E35AE"/>
    <w:rsid w:val="542F72A2"/>
    <w:rsid w:val="542F7309"/>
    <w:rsid w:val="542F776E"/>
    <w:rsid w:val="54300F87"/>
    <w:rsid w:val="54304B53"/>
    <w:rsid w:val="54312BAA"/>
    <w:rsid w:val="54313851"/>
    <w:rsid w:val="54316AAD"/>
    <w:rsid w:val="54323CA9"/>
    <w:rsid w:val="54324CFF"/>
    <w:rsid w:val="543309DF"/>
    <w:rsid w:val="54330EB2"/>
    <w:rsid w:val="543317E7"/>
    <w:rsid w:val="54334390"/>
    <w:rsid w:val="54336421"/>
    <w:rsid w:val="54336CC9"/>
    <w:rsid w:val="54340D7B"/>
    <w:rsid w:val="54341F4A"/>
    <w:rsid w:val="54350059"/>
    <w:rsid w:val="54351458"/>
    <w:rsid w:val="54352A41"/>
    <w:rsid w:val="54354CE5"/>
    <w:rsid w:val="54355DF7"/>
    <w:rsid w:val="543618F8"/>
    <w:rsid w:val="54361BEC"/>
    <w:rsid w:val="54361F8C"/>
    <w:rsid w:val="5436213C"/>
    <w:rsid w:val="543636AC"/>
    <w:rsid w:val="5436388A"/>
    <w:rsid w:val="543640C4"/>
    <w:rsid w:val="54364251"/>
    <w:rsid w:val="54365CA0"/>
    <w:rsid w:val="54370568"/>
    <w:rsid w:val="5437281E"/>
    <w:rsid w:val="54372AB5"/>
    <w:rsid w:val="54372D88"/>
    <w:rsid w:val="5437318B"/>
    <w:rsid w:val="54377C7F"/>
    <w:rsid w:val="54381F92"/>
    <w:rsid w:val="54383EFF"/>
    <w:rsid w:val="54384AED"/>
    <w:rsid w:val="5438608E"/>
    <w:rsid w:val="54386C9C"/>
    <w:rsid w:val="54390279"/>
    <w:rsid w:val="5439129E"/>
    <w:rsid w:val="54392F79"/>
    <w:rsid w:val="5439302B"/>
    <w:rsid w:val="54393C08"/>
    <w:rsid w:val="54397798"/>
    <w:rsid w:val="54397A74"/>
    <w:rsid w:val="543A0058"/>
    <w:rsid w:val="543A1063"/>
    <w:rsid w:val="543A3BB4"/>
    <w:rsid w:val="543A4B42"/>
    <w:rsid w:val="543A6071"/>
    <w:rsid w:val="543B1FE7"/>
    <w:rsid w:val="543B5AE5"/>
    <w:rsid w:val="543C3DD0"/>
    <w:rsid w:val="543C4700"/>
    <w:rsid w:val="543C5B7E"/>
    <w:rsid w:val="543D5452"/>
    <w:rsid w:val="543D5D65"/>
    <w:rsid w:val="543E18F6"/>
    <w:rsid w:val="543E6336"/>
    <w:rsid w:val="543F151A"/>
    <w:rsid w:val="543F4198"/>
    <w:rsid w:val="543F498E"/>
    <w:rsid w:val="543F77BD"/>
    <w:rsid w:val="54405AC1"/>
    <w:rsid w:val="544063ED"/>
    <w:rsid w:val="54410387"/>
    <w:rsid w:val="54412749"/>
    <w:rsid w:val="54414F42"/>
    <w:rsid w:val="54415C74"/>
    <w:rsid w:val="54420AEA"/>
    <w:rsid w:val="54420CBA"/>
    <w:rsid w:val="544214B6"/>
    <w:rsid w:val="544215D9"/>
    <w:rsid w:val="5442162A"/>
    <w:rsid w:val="54424EA8"/>
    <w:rsid w:val="54427524"/>
    <w:rsid w:val="544342A4"/>
    <w:rsid w:val="544345F3"/>
    <w:rsid w:val="54436F0C"/>
    <w:rsid w:val="5444212F"/>
    <w:rsid w:val="54442C85"/>
    <w:rsid w:val="54446AA2"/>
    <w:rsid w:val="5445433A"/>
    <w:rsid w:val="54454CF0"/>
    <w:rsid w:val="54455E89"/>
    <w:rsid w:val="544607AB"/>
    <w:rsid w:val="54464192"/>
    <w:rsid w:val="544641AB"/>
    <w:rsid w:val="54466E71"/>
    <w:rsid w:val="54472D85"/>
    <w:rsid w:val="544730A5"/>
    <w:rsid w:val="5447544E"/>
    <w:rsid w:val="544762D1"/>
    <w:rsid w:val="54483A8E"/>
    <w:rsid w:val="54484523"/>
    <w:rsid w:val="5449149D"/>
    <w:rsid w:val="544914C2"/>
    <w:rsid w:val="5449538C"/>
    <w:rsid w:val="54495639"/>
    <w:rsid w:val="544A1F1B"/>
    <w:rsid w:val="544A78FD"/>
    <w:rsid w:val="544B1C97"/>
    <w:rsid w:val="544B28DA"/>
    <w:rsid w:val="544B2F92"/>
    <w:rsid w:val="544B49A2"/>
    <w:rsid w:val="544B50F3"/>
    <w:rsid w:val="544B5DC1"/>
    <w:rsid w:val="544B5DE5"/>
    <w:rsid w:val="544B7B6F"/>
    <w:rsid w:val="544C0AF2"/>
    <w:rsid w:val="544D2034"/>
    <w:rsid w:val="544D66EF"/>
    <w:rsid w:val="544D6B61"/>
    <w:rsid w:val="544D779F"/>
    <w:rsid w:val="544E100F"/>
    <w:rsid w:val="544E29DB"/>
    <w:rsid w:val="544E58B1"/>
    <w:rsid w:val="54501C8B"/>
    <w:rsid w:val="54504AEC"/>
    <w:rsid w:val="54507B31"/>
    <w:rsid w:val="54510997"/>
    <w:rsid w:val="54513C9C"/>
    <w:rsid w:val="54514C79"/>
    <w:rsid w:val="5451532F"/>
    <w:rsid w:val="5451548B"/>
    <w:rsid w:val="54516500"/>
    <w:rsid w:val="54520EFE"/>
    <w:rsid w:val="545215C9"/>
    <w:rsid w:val="5452177E"/>
    <w:rsid w:val="54522470"/>
    <w:rsid w:val="545252E8"/>
    <w:rsid w:val="5452714F"/>
    <w:rsid w:val="54530704"/>
    <w:rsid w:val="54530EB9"/>
    <w:rsid w:val="54530FAD"/>
    <w:rsid w:val="54532EC8"/>
    <w:rsid w:val="54535436"/>
    <w:rsid w:val="5453794B"/>
    <w:rsid w:val="5454111A"/>
    <w:rsid w:val="54541A90"/>
    <w:rsid w:val="54547F90"/>
    <w:rsid w:val="5455279C"/>
    <w:rsid w:val="54554E92"/>
    <w:rsid w:val="54570843"/>
    <w:rsid w:val="54571C99"/>
    <w:rsid w:val="545729B8"/>
    <w:rsid w:val="54572D12"/>
    <w:rsid w:val="54574766"/>
    <w:rsid w:val="545804DE"/>
    <w:rsid w:val="5458228C"/>
    <w:rsid w:val="54583802"/>
    <w:rsid w:val="54583FB9"/>
    <w:rsid w:val="54584F9E"/>
    <w:rsid w:val="545863D3"/>
    <w:rsid w:val="54586DBB"/>
    <w:rsid w:val="545921F6"/>
    <w:rsid w:val="54592E9D"/>
    <w:rsid w:val="54593B74"/>
    <w:rsid w:val="54596730"/>
    <w:rsid w:val="545A5C36"/>
    <w:rsid w:val="545A6004"/>
    <w:rsid w:val="545A6B19"/>
    <w:rsid w:val="545A6F39"/>
    <w:rsid w:val="545A71C5"/>
    <w:rsid w:val="545B09C9"/>
    <w:rsid w:val="545B0B19"/>
    <w:rsid w:val="545B4698"/>
    <w:rsid w:val="545B5CA0"/>
    <w:rsid w:val="545B74F3"/>
    <w:rsid w:val="545B7A84"/>
    <w:rsid w:val="545C1D7C"/>
    <w:rsid w:val="545C40BA"/>
    <w:rsid w:val="545C4D54"/>
    <w:rsid w:val="545C7FCE"/>
    <w:rsid w:val="545D0950"/>
    <w:rsid w:val="545D166D"/>
    <w:rsid w:val="545D1960"/>
    <w:rsid w:val="545D6ECB"/>
    <w:rsid w:val="545E3D46"/>
    <w:rsid w:val="545E4633"/>
    <w:rsid w:val="545E6CB3"/>
    <w:rsid w:val="545E77AC"/>
    <w:rsid w:val="545F186C"/>
    <w:rsid w:val="545F1FF2"/>
    <w:rsid w:val="545F4B6E"/>
    <w:rsid w:val="545F7ABE"/>
    <w:rsid w:val="54601810"/>
    <w:rsid w:val="54602068"/>
    <w:rsid w:val="54604831"/>
    <w:rsid w:val="54604B65"/>
    <w:rsid w:val="54607EAA"/>
    <w:rsid w:val="54614DBD"/>
    <w:rsid w:val="546155E5"/>
    <w:rsid w:val="54617393"/>
    <w:rsid w:val="54622056"/>
    <w:rsid w:val="54622C8E"/>
    <w:rsid w:val="546236A9"/>
    <w:rsid w:val="5463135D"/>
    <w:rsid w:val="546314A0"/>
    <w:rsid w:val="546316FF"/>
    <w:rsid w:val="54631D2B"/>
    <w:rsid w:val="546401D0"/>
    <w:rsid w:val="54640C31"/>
    <w:rsid w:val="54640F93"/>
    <w:rsid w:val="54641DA5"/>
    <w:rsid w:val="54654E2E"/>
    <w:rsid w:val="54655E06"/>
    <w:rsid w:val="5465685F"/>
    <w:rsid w:val="5466238B"/>
    <w:rsid w:val="54662BFB"/>
    <w:rsid w:val="54663793"/>
    <w:rsid w:val="546649A9"/>
    <w:rsid w:val="546724CF"/>
    <w:rsid w:val="54672F21"/>
    <w:rsid w:val="54680B9F"/>
    <w:rsid w:val="5468108F"/>
    <w:rsid w:val="546839D7"/>
    <w:rsid w:val="54684787"/>
    <w:rsid w:val="54684BC5"/>
    <w:rsid w:val="5468633B"/>
    <w:rsid w:val="54686973"/>
    <w:rsid w:val="54691782"/>
    <w:rsid w:val="546925EB"/>
    <w:rsid w:val="546926EB"/>
    <w:rsid w:val="54693AC2"/>
    <w:rsid w:val="54695468"/>
    <w:rsid w:val="54696247"/>
    <w:rsid w:val="546A01E4"/>
    <w:rsid w:val="546A419F"/>
    <w:rsid w:val="546A5321"/>
    <w:rsid w:val="546A70A7"/>
    <w:rsid w:val="546B0211"/>
    <w:rsid w:val="546B1FBF"/>
    <w:rsid w:val="546B29C8"/>
    <w:rsid w:val="546B2CF6"/>
    <w:rsid w:val="546B5F49"/>
    <w:rsid w:val="546C56E3"/>
    <w:rsid w:val="546C5C10"/>
    <w:rsid w:val="546C5CD9"/>
    <w:rsid w:val="546D02B4"/>
    <w:rsid w:val="546D143D"/>
    <w:rsid w:val="546D21DB"/>
    <w:rsid w:val="546D62C0"/>
    <w:rsid w:val="546E385E"/>
    <w:rsid w:val="546E3A9F"/>
    <w:rsid w:val="546E6337"/>
    <w:rsid w:val="546F2F08"/>
    <w:rsid w:val="546F5F19"/>
    <w:rsid w:val="54705621"/>
    <w:rsid w:val="547066F4"/>
    <w:rsid w:val="547075D6"/>
    <w:rsid w:val="54712031"/>
    <w:rsid w:val="54712388"/>
    <w:rsid w:val="54713E32"/>
    <w:rsid w:val="54714509"/>
    <w:rsid w:val="5471530E"/>
    <w:rsid w:val="54715AEA"/>
    <w:rsid w:val="54715E64"/>
    <w:rsid w:val="547215A0"/>
    <w:rsid w:val="54721851"/>
    <w:rsid w:val="54722E68"/>
    <w:rsid w:val="5472334E"/>
    <w:rsid w:val="54723504"/>
    <w:rsid w:val="54724115"/>
    <w:rsid w:val="547246E1"/>
    <w:rsid w:val="5472768A"/>
    <w:rsid w:val="547277F2"/>
    <w:rsid w:val="547303CD"/>
    <w:rsid w:val="54731113"/>
    <w:rsid w:val="54732FDB"/>
    <w:rsid w:val="54735A0C"/>
    <w:rsid w:val="547370C6"/>
    <w:rsid w:val="5473782F"/>
    <w:rsid w:val="5474356A"/>
    <w:rsid w:val="54745318"/>
    <w:rsid w:val="54751090"/>
    <w:rsid w:val="547511DB"/>
    <w:rsid w:val="54752E3E"/>
    <w:rsid w:val="54757803"/>
    <w:rsid w:val="54760ABC"/>
    <w:rsid w:val="54765DDA"/>
    <w:rsid w:val="547673C4"/>
    <w:rsid w:val="54771836"/>
    <w:rsid w:val="54773905"/>
    <w:rsid w:val="54774E08"/>
    <w:rsid w:val="54780254"/>
    <w:rsid w:val="5478087A"/>
    <w:rsid w:val="547846DC"/>
    <w:rsid w:val="54786104"/>
    <w:rsid w:val="54790B80"/>
    <w:rsid w:val="5479292E"/>
    <w:rsid w:val="547941BD"/>
    <w:rsid w:val="547A2977"/>
    <w:rsid w:val="547A66A6"/>
    <w:rsid w:val="547B13AE"/>
    <w:rsid w:val="547B41F7"/>
    <w:rsid w:val="547B4820"/>
    <w:rsid w:val="547B5C4A"/>
    <w:rsid w:val="547B741D"/>
    <w:rsid w:val="547C020E"/>
    <w:rsid w:val="547C16CA"/>
    <w:rsid w:val="547C241E"/>
    <w:rsid w:val="547C2477"/>
    <w:rsid w:val="547C41CC"/>
    <w:rsid w:val="547C4941"/>
    <w:rsid w:val="547C5F7A"/>
    <w:rsid w:val="547D58D9"/>
    <w:rsid w:val="547D68C4"/>
    <w:rsid w:val="547D78E9"/>
    <w:rsid w:val="547E5217"/>
    <w:rsid w:val="547E6086"/>
    <w:rsid w:val="547E7DC7"/>
    <w:rsid w:val="547E7F44"/>
    <w:rsid w:val="547F029F"/>
    <w:rsid w:val="547F1F7A"/>
    <w:rsid w:val="547F3CBD"/>
    <w:rsid w:val="547F7051"/>
    <w:rsid w:val="547F7572"/>
    <w:rsid w:val="547F7727"/>
    <w:rsid w:val="54800C9A"/>
    <w:rsid w:val="54800DC6"/>
    <w:rsid w:val="54802E72"/>
    <w:rsid w:val="5481087C"/>
    <w:rsid w:val="54810F74"/>
    <w:rsid w:val="54811282"/>
    <w:rsid w:val="548117E3"/>
    <w:rsid w:val="54813591"/>
    <w:rsid w:val="54814343"/>
    <w:rsid w:val="548155DF"/>
    <w:rsid w:val="54815C87"/>
    <w:rsid w:val="54817A35"/>
    <w:rsid w:val="54820F9B"/>
    <w:rsid w:val="54821895"/>
    <w:rsid w:val="54831A0B"/>
    <w:rsid w:val="548337AD"/>
    <w:rsid w:val="54833F51"/>
    <w:rsid w:val="5483555B"/>
    <w:rsid w:val="54837097"/>
    <w:rsid w:val="54837309"/>
    <w:rsid w:val="54837AE3"/>
    <w:rsid w:val="5484281F"/>
    <w:rsid w:val="54842D99"/>
    <w:rsid w:val="54843081"/>
    <w:rsid w:val="548457F1"/>
    <w:rsid w:val="548545FA"/>
    <w:rsid w:val="548553F0"/>
    <w:rsid w:val="54857525"/>
    <w:rsid w:val="5486329D"/>
    <w:rsid w:val="54866DF9"/>
    <w:rsid w:val="54872947"/>
    <w:rsid w:val="54872E78"/>
    <w:rsid w:val="548806AA"/>
    <w:rsid w:val="54880DC3"/>
    <w:rsid w:val="548829F3"/>
    <w:rsid w:val="54895381"/>
    <w:rsid w:val="548968E9"/>
    <w:rsid w:val="548A0E88"/>
    <w:rsid w:val="548A3D59"/>
    <w:rsid w:val="548B0D77"/>
    <w:rsid w:val="548B19DC"/>
    <w:rsid w:val="548B2661"/>
    <w:rsid w:val="548B4424"/>
    <w:rsid w:val="548C0077"/>
    <w:rsid w:val="548C6BDC"/>
    <w:rsid w:val="548D0188"/>
    <w:rsid w:val="548D1F04"/>
    <w:rsid w:val="548D25DB"/>
    <w:rsid w:val="548D270C"/>
    <w:rsid w:val="548D462B"/>
    <w:rsid w:val="548D6D17"/>
    <w:rsid w:val="548E0B39"/>
    <w:rsid w:val="548E0FA2"/>
    <w:rsid w:val="548E3F00"/>
    <w:rsid w:val="548E5CAE"/>
    <w:rsid w:val="548F1485"/>
    <w:rsid w:val="548F2152"/>
    <w:rsid w:val="548F5EFF"/>
    <w:rsid w:val="54900EBE"/>
    <w:rsid w:val="54901A26"/>
    <w:rsid w:val="5490306C"/>
    <w:rsid w:val="54905ECA"/>
    <w:rsid w:val="54907C78"/>
    <w:rsid w:val="549119B5"/>
    <w:rsid w:val="54914F38"/>
    <w:rsid w:val="549171B2"/>
    <w:rsid w:val="54922376"/>
    <w:rsid w:val="5492336C"/>
    <w:rsid w:val="5492579E"/>
    <w:rsid w:val="54927769"/>
    <w:rsid w:val="54930412"/>
    <w:rsid w:val="549307FD"/>
    <w:rsid w:val="54931516"/>
    <w:rsid w:val="549329E0"/>
    <w:rsid w:val="549332C4"/>
    <w:rsid w:val="54933F46"/>
    <w:rsid w:val="5493435A"/>
    <w:rsid w:val="54936607"/>
    <w:rsid w:val="54942314"/>
    <w:rsid w:val="5494569B"/>
    <w:rsid w:val="549459BA"/>
    <w:rsid w:val="54947DC4"/>
    <w:rsid w:val="54952156"/>
    <w:rsid w:val="549534E0"/>
    <w:rsid w:val="549552C7"/>
    <w:rsid w:val="549660C6"/>
    <w:rsid w:val="549677E4"/>
    <w:rsid w:val="54971006"/>
    <w:rsid w:val="549713A4"/>
    <w:rsid w:val="54976119"/>
    <w:rsid w:val="5497650E"/>
    <w:rsid w:val="54976AA9"/>
    <w:rsid w:val="54977805"/>
    <w:rsid w:val="54985D03"/>
    <w:rsid w:val="549860C1"/>
    <w:rsid w:val="549902FC"/>
    <w:rsid w:val="54990CD4"/>
    <w:rsid w:val="54992FD0"/>
    <w:rsid w:val="54993F4C"/>
    <w:rsid w:val="54995A20"/>
    <w:rsid w:val="54996AA7"/>
    <w:rsid w:val="54996B2C"/>
    <w:rsid w:val="549A0285"/>
    <w:rsid w:val="549A1DBE"/>
    <w:rsid w:val="549A1F19"/>
    <w:rsid w:val="549A28A4"/>
    <w:rsid w:val="549A4653"/>
    <w:rsid w:val="549A4D4E"/>
    <w:rsid w:val="549B1975"/>
    <w:rsid w:val="549B1A80"/>
    <w:rsid w:val="549B3396"/>
    <w:rsid w:val="549B6A88"/>
    <w:rsid w:val="549C03CB"/>
    <w:rsid w:val="549C04A6"/>
    <w:rsid w:val="549C32EC"/>
    <w:rsid w:val="549C34CA"/>
    <w:rsid w:val="549C486F"/>
    <w:rsid w:val="549C661D"/>
    <w:rsid w:val="549C7252"/>
    <w:rsid w:val="549C7724"/>
    <w:rsid w:val="549D1635"/>
    <w:rsid w:val="549D354E"/>
    <w:rsid w:val="549D4B07"/>
    <w:rsid w:val="549D7D00"/>
    <w:rsid w:val="549E0324"/>
    <w:rsid w:val="549E2395"/>
    <w:rsid w:val="549E777E"/>
    <w:rsid w:val="549F1511"/>
    <w:rsid w:val="549F3511"/>
    <w:rsid w:val="549F4D06"/>
    <w:rsid w:val="549F5287"/>
    <w:rsid w:val="549F610D"/>
    <w:rsid w:val="549F7EBB"/>
    <w:rsid w:val="54A00509"/>
    <w:rsid w:val="54A159E1"/>
    <w:rsid w:val="54A21AC0"/>
    <w:rsid w:val="54A22ACB"/>
    <w:rsid w:val="54A23E4C"/>
    <w:rsid w:val="54A27F94"/>
    <w:rsid w:val="54A344EA"/>
    <w:rsid w:val="54A35BFD"/>
    <w:rsid w:val="54A41F49"/>
    <w:rsid w:val="54A454D1"/>
    <w:rsid w:val="54A46ACC"/>
    <w:rsid w:val="54A47238"/>
    <w:rsid w:val="54A51975"/>
    <w:rsid w:val="54A526EB"/>
    <w:rsid w:val="54A54956"/>
    <w:rsid w:val="54A61249"/>
    <w:rsid w:val="54A61B67"/>
    <w:rsid w:val="54A6749B"/>
    <w:rsid w:val="54A7229E"/>
    <w:rsid w:val="54A770C2"/>
    <w:rsid w:val="54A77723"/>
    <w:rsid w:val="54A778D9"/>
    <w:rsid w:val="54A83EE0"/>
    <w:rsid w:val="54A84FC1"/>
    <w:rsid w:val="54A86D6F"/>
    <w:rsid w:val="54A87049"/>
    <w:rsid w:val="54A92AE8"/>
    <w:rsid w:val="54A930AA"/>
    <w:rsid w:val="54A93C24"/>
    <w:rsid w:val="54A94834"/>
    <w:rsid w:val="54A95758"/>
    <w:rsid w:val="54A97538"/>
    <w:rsid w:val="54A97ABD"/>
    <w:rsid w:val="54A97F8C"/>
    <w:rsid w:val="54AA0D3A"/>
    <w:rsid w:val="54AA36F2"/>
    <w:rsid w:val="54AA453A"/>
    <w:rsid w:val="54AA6676"/>
    <w:rsid w:val="54AA722A"/>
    <w:rsid w:val="54AB2D04"/>
    <w:rsid w:val="54AB4AB2"/>
    <w:rsid w:val="54AB4AF6"/>
    <w:rsid w:val="54AB5279"/>
    <w:rsid w:val="54AB59CA"/>
    <w:rsid w:val="54AB660D"/>
    <w:rsid w:val="54AB710B"/>
    <w:rsid w:val="54AC6140"/>
    <w:rsid w:val="54AC760F"/>
    <w:rsid w:val="54AD082A"/>
    <w:rsid w:val="54AD1A2B"/>
    <w:rsid w:val="54AD25D8"/>
    <w:rsid w:val="54AD4386"/>
    <w:rsid w:val="54AD45FC"/>
    <w:rsid w:val="54AD5412"/>
    <w:rsid w:val="54AD62C9"/>
    <w:rsid w:val="54AD6A7C"/>
    <w:rsid w:val="54AE00FE"/>
    <w:rsid w:val="54AE2EBB"/>
    <w:rsid w:val="54AE441C"/>
    <w:rsid w:val="54AF2FF9"/>
    <w:rsid w:val="54AF4208"/>
    <w:rsid w:val="54AF6350"/>
    <w:rsid w:val="54B0031A"/>
    <w:rsid w:val="54B010D5"/>
    <w:rsid w:val="54B014DE"/>
    <w:rsid w:val="54B020C8"/>
    <w:rsid w:val="54B03E76"/>
    <w:rsid w:val="54B05008"/>
    <w:rsid w:val="54B06644"/>
    <w:rsid w:val="54B12469"/>
    <w:rsid w:val="54B13126"/>
    <w:rsid w:val="54B1627B"/>
    <w:rsid w:val="54B22CCC"/>
    <w:rsid w:val="54B265C5"/>
    <w:rsid w:val="54B34407"/>
    <w:rsid w:val="54B3589D"/>
    <w:rsid w:val="54B402FB"/>
    <w:rsid w:val="54B408B1"/>
    <w:rsid w:val="54B40D8A"/>
    <w:rsid w:val="54B41297"/>
    <w:rsid w:val="54B416BB"/>
    <w:rsid w:val="54B423E6"/>
    <w:rsid w:val="54B424EE"/>
    <w:rsid w:val="54B4397F"/>
    <w:rsid w:val="54B45DC3"/>
    <w:rsid w:val="54B501BD"/>
    <w:rsid w:val="54B55AE8"/>
    <w:rsid w:val="54B55BD1"/>
    <w:rsid w:val="54B55D63"/>
    <w:rsid w:val="54B576DE"/>
    <w:rsid w:val="54B57740"/>
    <w:rsid w:val="54B612B8"/>
    <w:rsid w:val="54B61DA3"/>
    <w:rsid w:val="54B640DF"/>
    <w:rsid w:val="54B6641E"/>
    <w:rsid w:val="54B75204"/>
    <w:rsid w:val="54B774AE"/>
    <w:rsid w:val="54B82FAC"/>
    <w:rsid w:val="54B90D7E"/>
    <w:rsid w:val="54B920B7"/>
    <w:rsid w:val="54B94AEC"/>
    <w:rsid w:val="54B95421"/>
    <w:rsid w:val="54B971CF"/>
    <w:rsid w:val="54B97EC6"/>
    <w:rsid w:val="54BA1F22"/>
    <w:rsid w:val="54BA35B8"/>
    <w:rsid w:val="54BA525A"/>
    <w:rsid w:val="54BA568B"/>
    <w:rsid w:val="54BA5C12"/>
    <w:rsid w:val="54BA6AA3"/>
    <w:rsid w:val="54BB1482"/>
    <w:rsid w:val="54BB37C1"/>
    <w:rsid w:val="54BB429C"/>
    <w:rsid w:val="54BB54BF"/>
    <w:rsid w:val="54BC253D"/>
    <w:rsid w:val="54BC281B"/>
    <w:rsid w:val="54BC6CBF"/>
    <w:rsid w:val="54BD0F4C"/>
    <w:rsid w:val="54BD459F"/>
    <w:rsid w:val="54BD6152"/>
    <w:rsid w:val="54BE2A37"/>
    <w:rsid w:val="54BE3220"/>
    <w:rsid w:val="54BF08C7"/>
    <w:rsid w:val="54BF0CB2"/>
    <w:rsid w:val="54BF17C7"/>
    <w:rsid w:val="54BF230B"/>
    <w:rsid w:val="54BF40B9"/>
    <w:rsid w:val="54BF4AB6"/>
    <w:rsid w:val="54BF6A11"/>
    <w:rsid w:val="54C0055D"/>
    <w:rsid w:val="54C01E28"/>
    <w:rsid w:val="54C02294"/>
    <w:rsid w:val="54C06CFC"/>
    <w:rsid w:val="54C11331"/>
    <w:rsid w:val="54C12C6E"/>
    <w:rsid w:val="54C142D5"/>
    <w:rsid w:val="54C1437F"/>
    <w:rsid w:val="54C1488F"/>
    <w:rsid w:val="54C14FFB"/>
    <w:rsid w:val="54C154E6"/>
    <w:rsid w:val="54C16083"/>
    <w:rsid w:val="54C16D66"/>
    <w:rsid w:val="54C208BF"/>
    <w:rsid w:val="54C22CB7"/>
    <w:rsid w:val="54C26448"/>
    <w:rsid w:val="54C27C3F"/>
    <w:rsid w:val="54C31DFB"/>
    <w:rsid w:val="54C31F1D"/>
    <w:rsid w:val="54C349BA"/>
    <w:rsid w:val="54C37BA3"/>
    <w:rsid w:val="54C427E5"/>
    <w:rsid w:val="54C43A16"/>
    <w:rsid w:val="54C45BE3"/>
    <w:rsid w:val="54C47921"/>
    <w:rsid w:val="54C47CB2"/>
    <w:rsid w:val="54C52CCD"/>
    <w:rsid w:val="54C535F0"/>
    <w:rsid w:val="54C53DC5"/>
    <w:rsid w:val="54C618EB"/>
    <w:rsid w:val="54C61E69"/>
    <w:rsid w:val="54C621D2"/>
    <w:rsid w:val="54C644DB"/>
    <w:rsid w:val="54C64852"/>
    <w:rsid w:val="54C65ED7"/>
    <w:rsid w:val="54C730D6"/>
    <w:rsid w:val="54C818E7"/>
    <w:rsid w:val="54C822CA"/>
    <w:rsid w:val="54C82BAB"/>
    <w:rsid w:val="54C82F08"/>
    <w:rsid w:val="54C85664"/>
    <w:rsid w:val="54C86293"/>
    <w:rsid w:val="54C87B5F"/>
    <w:rsid w:val="54C91DFE"/>
    <w:rsid w:val="54C91FB4"/>
    <w:rsid w:val="54C92BB1"/>
    <w:rsid w:val="54C936EE"/>
    <w:rsid w:val="54C94F38"/>
    <w:rsid w:val="54C94FC5"/>
    <w:rsid w:val="54CA13DC"/>
    <w:rsid w:val="54CB0CB0"/>
    <w:rsid w:val="54CB196F"/>
    <w:rsid w:val="54CB351E"/>
    <w:rsid w:val="54CB4C03"/>
    <w:rsid w:val="54CB51CA"/>
    <w:rsid w:val="54CC5DAC"/>
    <w:rsid w:val="54CC7BFA"/>
    <w:rsid w:val="54CD4A28"/>
    <w:rsid w:val="54CD6E9E"/>
    <w:rsid w:val="54CD78D3"/>
    <w:rsid w:val="54CE0151"/>
    <w:rsid w:val="54CE227B"/>
    <w:rsid w:val="54CE499B"/>
    <w:rsid w:val="54CE4AE4"/>
    <w:rsid w:val="54CF22E7"/>
    <w:rsid w:val="54CF254E"/>
    <w:rsid w:val="54CF3934"/>
    <w:rsid w:val="54CF4DC4"/>
    <w:rsid w:val="54CF6505"/>
    <w:rsid w:val="54CF69F2"/>
    <w:rsid w:val="54CF7E21"/>
    <w:rsid w:val="54D03A0E"/>
    <w:rsid w:val="54D048AC"/>
    <w:rsid w:val="54D06254"/>
    <w:rsid w:val="54D062C6"/>
    <w:rsid w:val="54D1293E"/>
    <w:rsid w:val="54D17984"/>
    <w:rsid w:val="54D211B6"/>
    <w:rsid w:val="54D2203E"/>
    <w:rsid w:val="54D26A76"/>
    <w:rsid w:val="54D273CE"/>
    <w:rsid w:val="54D32861"/>
    <w:rsid w:val="54D403E6"/>
    <w:rsid w:val="54D4165B"/>
    <w:rsid w:val="54D44008"/>
    <w:rsid w:val="54D46E61"/>
    <w:rsid w:val="54D503B8"/>
    <w:rsid w:val="54D51B2F"/>
    <w:rsid w:val="54D52212"/>
    <w:rsid w:val="54D52452"/>
    <w:rsid w:val="54D61E55"/>
    <w:rsid w:val="54D65C14"/>
    <w:rsid w:val="54D70684"/>
    <w:rsid w:val="54D740BB"/>
    <w:rsid w:val="54D758A7"/>
    <w:rsid w:val="54D77655"/>
    <w:rsid w:val="54D77818"/>
    <w:rsid w:val="54D83366"/>
    <w:rsid w:val="54D8521F"/>
    <w:rsid w:val="54D9161F"/>
    <w:rsid w:val="54D91975"/>
    <w:rsid w:val="54D95167"/>
    <w:rsid w:val="54D9517B"/>
    <w:rsid w:val="54D97871"/>
    <w:rsid w:val="54DA0A47"/>
    <w:rsid w:val="54DA0EF3"/>
    <w:rsid w:val="54DA42F9"/>
    <w:rsid w:val="54DA7145"/>
    <w:rsid w:val="54DB1E9D"/>
    <w:rsid w:val="54DB5397"/>
    <w:rsid w:val="54DC110F"/>
    <w:rsid w:val="54DC2EBD"/>
    <w:rsid w:val="54DC500C"/>
    <w:rsid w:val="54DC7CDD"/>
    <w:rsid w:val="54DE0155"/>
    <w:rsid w:val="54DE0EDF"/>
    <w:rsid w:val="54DE2411"/>
    <w:rsid w:val="54DE4E87"/>
    <w:rsid w:val="54DE4F4A"/>
    <w:rsid w:val="54DE6D0D"/>
    <w:rsid w:val="54DF1675"/>
    <w:rsid w:val="54DF284C"/>
    <w:rsid w:val="54DF48B9"/>
    <w:rsid w:val="54DF4B8C"/>
    <w:rsid w:val="54DF6509"/>
    <w:rsid w:val="54E00E95"/>
    <w:rsid w:val="54E01B07"/>
    <w:rsid w:val="54E029AD"/>
    <w:rsid w:val="54E0475B"/>
    <w:rsid w:val="54E104D3"/>
    <w:rsid w:val="54E1091A"/>
    <w:rsid w:val="54E11DCB"/>
    <w:rsid w:val="54E12281"/>
    <w:rsid w:val="54E131D1"/>
    <w:rsid w:val="54E16725"/>
    <w:rsid w:val="54E20DFF"/>
    <w:rsid w:val="54E21DAA"/>
    <w:rsid w:val="54E22803"/>
    <w:rsid w:val="54E22EB5"/>
    <w:rsid w:val="54E24AEA"/>
    <w:rsid w:val="54E26918"/>
    <w:rsid w:val="54E30980"/>
    <w:rsid w:val="54E318CE"/>
    <w:rsid w:val="54E32BFD"/>
    <w:rsid w:val="54E3323A"/>
    <w:rsid w:val="54E34130"/>
    <w:rsid w:val="54E3424B"/>
    <w:rsid w:val="54E35FFA"/>
    <w:rsid w:val="54E3691F"/>
    <w:rsid w:val="54E405A7"/>
    <w:rsid w:val="54E4075C"/>
    <w:rsid w:val="54E41ACC"/>
    <w:rsid w:val="54E434C1"/>
    <w:rsid w:val="54E4535C"/>
    <w:rsid w:val="54E47129"/>
    <w:rsid w:val="54E47ED0"/>
    <w:rsid w:val="54E50E17"/>
    <w:rsid w:val="54E53C40"/>
    <w:rsid w:val="54E60EB3"/>
    <w:rsid w:val="54E63EBB"/>
    <w:rsid w:val="54E640DB"/>
    <w:rsid w:val="54E64B88"/>
    <w:rsid w:val="54E65B87"/>
    <w:rsid w:val="54E67898"/>
    <w:rsid w:val="54E707D7"/>
    <w:rsid w:val="54E75DA3"/>
    <w:rsid w:val="54E77655"/>
    <w:rsid w:val="54E92359"/>
    <w:rsid w:val="54E94927"/>
    <w:rsid w:val="54E97508"/>
    <w:rsid w:val="54EA382C"/>
    <w:rsid w:val="54EA55DA"/>
    <w:rsid w:val="54EA7388"/>
    <w:rsid w:val="54EB1352"/>
    <w:rsid w:val="54EB24E5"/>
    <w:rsid w:val="54EB2D30"/>
    <w:rsid w:val="54EB2E5C"/>
    <w:rsid w:val="54EB6ED1"/>
    <w:rsid w:val="54EC1A5F"/>
    <w:rsid w:val="54EC2FD9"/>
    <w:rsid w:val="54EC3C31"/>
    <w:rsid w:val="54ED0239"/>
    <w:rsid w:val="54ED0C26"/>
    <w:rsid w:val="54ED6E78"/>
    <w:rsid w:val="54EE73C8"/>
    <w:rsid w:val="54EF0E42"/>
    <w:rsid w:val="54EF2BF0"/>
    <w:rsid w:val="54EF3E4B"/>
    <w:rsid w:val="54EF70B3"/>
    <w:rsid w:val="54EF73CF"/>
    <w:rsid w:val="54F00716"/>
    <w:rsid w:val="54F010B9"/>
    <w:rsid w:val="54F021AC"/>
    <w:rsid w:val="54F0352B"/>
    <w:rsid w:val="54F0447D"/>
    <w:rsid w:val="54F077DD"/>
    <w:rsid w:val="54F12951"/>
    <w:rsid w:val="54F14BBA"/>
    <w:rsid w:val="54F15FB6"/>
    <w:rsid w:val="54F16968"/>
    <w:rsid w:val="54F226E1"/>
    <w:rsid w:val="54F22956"/>
    <w:rsid w:val="54F23183"/>
    <w:rsid w:val="54F26BEF"/>
    <w:rsid w:val="54F27B59"/>
    <w:rsid w:val="54F31121"/>
    <w:rsid w:val="54F32D2F"/>
    <w:rsid w:val="54F33615"/>
    <w:rsid w:val="54F40207"/>
    <w:rsid w:val="54F405FD"/>
    <w:rsid w:val="54F4174B"/>
    <w:rsid w:val="54F41FB5"/>
    <w:rsid w:val="54F430A5"/>
    <w:rsid w:val="54F43C2F"/>
    <w:rsid w:val="54F46459"/>
    <w:rsid w:val="54F46D90"/>
    <w:rsid w:val="54F50D3F"/>
    <w:rsid w:val="54F52691"/>
    <w:rsid w:val="54F554C3"/>
    <w:rsid w:val="54F5564F"/>
    <w:rsid w:val="54F55A60"/>
    <w:rsid w:val="54F60484"/>
    <w:rsid w:val="54F60EEF"/>
    <w:rsid w:val="54F621D1"/>
    <w:rsid w:val="54F63F7F"/>
    <w:rsid w:val="54F655C1"/>
    <w:rsid w:val="54F65CC1"/>
    <w:rsid w:val="54F71AA5"/>
    <w:rsid w:val="54F7381B"/>
    <w:rsid w:val="54F75A5D"/>
    <w:rsid w:val="54F833D3"/>
    <w:rsid w:val="54F86BA1"/>
    <w:rsid w:val="54F87F3C"/>
    <w:rsid w:val="54F93A6F"/>
    <w:rsid w:val="54F95460"/>
    <w:rsid w:val="54F9581D"/>
    <w:rsid w:val="54F975CB"/>
    <w:rsid w:val="54FA3343"/>
    <w:rsid w:val="54FB1595"/>
    <w:rsid w:val="54FB1DD1"/>
    <w:rsid w:val="54FB4092"/>
    <w:rsid w:val="54FB53C3"/>
    <w:rsid w:val="54FB5435"/>
    <w:rsid w:val="54FB5DEA"/>
    <w:rsid w:val="54FB77E7"/>
    <w:rsid w:val="54FC1762"/>
    <w:rsid w:val="54FC17AF"/>
    <w:rsid w:val="54FC2703"/>
    <w:rsid w:val="54FC3316"/>
    <w:rsid w:val="54FC46E4"/>
    <w:rsid w:val="54FD596E"/>
    <w:rsid w:val="54FD5F31"/>
    <w:rsid w:val="54FD6EC6"/>
    <w:rsid w:val="54FD72F8"/>
    <w:rsid w:val="54FE2A13"/>
    <w:rsid w:val="54FE71CA"/>
    <w:rsid w:val="54FF603F"/>
    <w:rsid w:val="54FF6E59"/>
    <w:rsid w:val="55002136"/>
    <w:rsid w:val="55002206"/>
    <w:rsid w:val="5500355F"/>
    <w:rsid w:val="55004DFD"/>
    <w:rsid w:val="55005A82"/>
    <w:rsid w:val="55006275"/>
    <w:rsid w:val="550137B4"/>
    <w:rsid w:val="550151AD"/>
    <w:rsid w:val="55015274"/>
    <w:rsid w:val="55020B76"/>
    <w:rsid w:val="55020C81"/>
    <w:rsid w:val="55022DBD"/>
    <w:rsid w:val="55027762"/>
    <w:rsid w:val="5503044A"/>
    <w:rsid w:val="550310E3"/>
    <w:rsid w:val="550346B4"/>
    <w:rsid w:val="550348EE"/>
    <w:rsid w:val="5503669C"/>
    <w:rsid w:val="5503750D"/>
    <w:rsid w:val="55037739"/>
    <w:rsid w:val="550446FC"/>
    <w:rsid w:val="550466F6"/>
    <w:rsid w:val="55051416"/>
    <w:rsid w:val="55052414"/>
    <w:rsid w:val="550541C2"/>
    <w:rsid w:val="5505466C"/>
    <w:rsid w:val="55055F70"/>
    <w:rsid w:val="550577C6"/>
    <w:rsid w:val="55061217"/>
    <w:rsid w:val="55062202"/>
    <w:rsid w:val="550658BA"/>
    <w:rsid w:val="55067F3A"/>
    <w:rsid w:val="55070DBA"/>
    <w:rsid w:val="55072F4D"/>
    <w:rsid w:val="550735B3"/>
    <w:rsid w:val="55074F6C"/>
    <w:rsid w:val="5507517A"/>
    <w:rsid w:val="55075986"/>
    <w:rsid w:val="55081F04"/>
    <w:rsid w:val="55083AC5"/>
    <w:rsid w:val="55085A60"/>
    <w:rsid w:val="55086737"/>
    <w:rsid w:val="5508798F"/>
    <w:rsid w:val="55093111"/>
    <w:rsid w:val="5509380B"/>
    <w:rsid w:val="55096A12"/>
    <w:rsid w:val="55097A66"/>
    <w:rsid w:val="550A17D8"/>
    <w:rsid w:val="550A5C7C"/>
    <w:rsid w:val="550A7A2A"/>
    <w:rsid w:val="550A7ADF"/>
    <w:rsid w:val="550B0409"/>
    <w:rsid w:val="550B19EE"/>
    <w:rsid w:val="550B5821"/>
    <w:rsid w:val="550B72FE"/>
    <w:rsid w:val="550C37A2"/>
    <w:rsid w:val="550C5017"/>
    <w:rsid w:val="550C5377"/>
    <w:rsid w:val="550C7CDB"/>
    <w:rsid w:val="550D12C8"/>
    <w:rsid w:val="550D3076"/>
    <w:rsid w:val="550D355B"/>
    <w:rsid w:val="550D4D66"/>
    <w:rsid w:val="550D67B5"/>
    <w:rsid w:val="550D696B"/>
    <w:rsid w:val="550D73BB"/>
    <w:rsid w:val="550D751A"/>
    <w:rsid w:val="550E2A9D"/>
    <w:rsid w:val="550E4DCC"/>
    <w:rsid w:val="550F0162"/>
    <w:rsid w:val="550F226B"/>
    <w:rsid w:val="550F3998"/>
    <w:rsid w:val="550F3BDA"/>
    <w:rsid w:val="550F5041"/>
    <w:rsid w:val="550F63EC"/>
    <w:rsid w:val="550F6DEF"/>
    <w:rsid w:val="55102257"/>
    <w:rsid w:val="55102B67"/>
    <w:rsid w:val="551041B4"/>
    <w:rsid w:val="551065D7"/>
    <w:rsid w:val="551068BB"/>
    <w:rsid w:val="55110DB9"/>
    <w:rsid w:val="551159C5"/>
    <w:rsid w:val="5512068D"/>
    <w:rsid w:val="55125282"/>
    <w:rsid w:val="55126DA4"/>
    <w:rsid w:val="55127351"/>
    <w:rsid w:val="55127748"/>
    <w:rsid w:val="55141763"/>
    <w:rsid w:val="55144405"/>
    <w:rsid w:val="55144C39"/>
    <w:rsid w:val="55152B5E"/>
    <w:rsid w:val="551557CA"/>
    <w:rsid w:val="551560C9"/>
    <w:rsid w:val="5516017D"/>
    <w:rsid w:val="55160C9A"/>
    <w:rsid w:val="55164621"/>
    <w:rsid w:val="55164CE6"/>
    <w:rsid w:val="551663CF"/>
    <w:rsid w:val="5516678F"/>
    <w:rsid w:val="55167559"/>
    <w:rsid w:val="5517093B"/>
    <w:rsid w:val="551717C3"/>
    <w:rsid w:val="55171CEF"/>
    <w:rsid w:val="55173EF5"/>
    <w:rsid w:val="55175CA3"/>
    <w:rsid w:val="55177224"/>
    <w:rsid w:val="551810C8"/>
    <w:rsid w:val="55181313"/>
    <w:rsid w:val="5518319B"/>
    <w:rsid w:val="5519349A"/>
    <w:rsid w:val="55197C6D"/>
    <w:rsid w:val="551A2DDD"/>
    <w:rsid w:val="551A465D"/>
    <w:rsid w:val="551A4F37"/>
    <w:rsid w:val="551A5ACD"/>
    <w:rsid w:val="551A78C0"/>
    <w:rsid w:val="551B39E5"/>
    <w:rsid w:val="551B3F99"/>
    <w:rsid w:val="551B6673"/>
    <w:rsid w:val="551B7F9F"/>
    <w:rsid w:val="551C150B"/>
    <w:rsid w:val="551C1589"/>
    <w:rsid w:val="551C6D0B"/>
    <w:rsid w:val="551C6D86"/>
    <w:rsid w:val="551D01F0"/>
    <w:rsid w:val="551D2366"/>
    <w:rsid w:val="551D3310"/>
    <w:rsid w:val="551D531A"/>
    <w:rsid w:val="551D6CB2"/>
    <w:rsid w:val="551E05DA"/>
    <w:rsid w:val="551E08BC"/>
    <w:rsid w:val="551E2819"/>
    <w:rsid w:val="551E2F39"/>
    <w:rsid w:val="551E3BF4"/>
    <w:rsid w:val="551E5284"/>
    <w:rsid w:val="551E58D6"/>
    <w:rsid w:val="551E5DF4"/>
    <w:rsid w:val="551E7032"/>
    <w:rsid w:val="551F1D4C"/>
    <w:rsid w:val="551F2730"/>
    <w:rsid w:val="551F49BC"/>
    <w:rsid w:val="551F6004"/>
    <w:rsid w:val="552002EB"/>
    <w:rsid w:val="55200E06"/>
    <w:rsid w:val="55200FFC"/>
    <w:rsid w:val="552045DA"/>
    <w:rsid w:val="5520502C"/>
    <w:rsid w:val="5520537B"/>
    <w:rsid w:val="5520724E"/>
    <w:rsid w:val="55212A35"/>
    <w:rsid w:val="5521354E"/>
    <w:rsid w:val="55214D74"/>
    <w:rsid w:val="55214FFF"/>
    <w:rsid w:val="55215864"/>
    <w:rsid w:val="55216A0F"/>
    <w:rsid w:val="5522237F"/>
    <w:rsid w:val="55222FC6"/>
    <w:rsid w:val="55223203"/>
    <w:rsid w:val="55224444"/>
    <w:rsid w:val="55231287"/>
    <w:rsid w:val="552370FA"/>
    <w:rsid w:val="55237205"/>
    <w:rsid w:val="552373D8"/>
    <w:rsid w:val="55242298"/>
    <w:rsid w:val="55242B83"/>
    <w:rsid w:val="5524499A"/>
    <w:rsid w:val="55244AAB"/>
    <w:rsid w:val="55246EE4"/>
    <w:rsid w:val="55252381"/>
    <w:rsid w:val="552524CE"/>
    <w:rsid w:val="55254496"/>
    <w:rsid w:val="55254A18"/>
    <w:rsid w:val="55255918"/>
    <w:rsid w:val="55255BBE"/>
    <w:rsid w:val="55256612"/>
    <w:rsid w:val="5526060E"/>
    <w:rsid w:val="55264138"/>
    <w:rsid w:val="55264684"/>
    <w:rsid w:val="55264AC6"/>
    <w:rsid w:val="55265C4E"/>
    <w:rsid w:val="55266AFD"/>
    <w:rsid w:val="552703F4"/>
    <w:rsid w:val="552705AC"/>
    <w:rsid w:val="552705DC"/>
    <w:rsid w:val="55270DC9"/>
    <w:rsid w:val="5527238A"/>
    <w:rsid w:val="55272463"/>
    <w:rsid w:val="55272BA6"/>
    <w:rsid w:val="5527628F"/>
    <w:rsid w:val="552770F4"/>
    <w:rsid w:val="55284BA3"/>
    <w:rsid w:val="55287EB0"/>
    <w:rsid w:val="5529627D"/>
    <w:rsid w:val="552A0DC1"/>
    <w:rsid w:val="552A152E"/>
    <w:rsid w:val="552A18E2"/>
    <w:rsid w:val="552A3C28"/>
    <w:rsid w:val="552A46E3"/>
    <w:rsid w:val="552A49AF"/>
    <w:rsid w:val="552A59D6"/>
    <w:rsid w:val="552B0D27"/>
    <w:rsid w:val="552B174F"/>
    <w:rsid w:val="552B4042"/>
    <w:rsid w:val="552C04BF"/>
    <w:rsid w:val="552C1C96"/>
    <w:rsid w:val="552C542B"/>
    <w:rsid w:val="552C5BF2"/>
    <w:rsid w:val="552C5E92"/>
    <w:rsid w:val="552C6050"/>
    <w:rsid w:val="552D1A7A"/>
    <w:rsid w:val="552D23DF"/>
    <w:rsid w:val="552D3719"/>
    <w:rsid w:val="552D3D96"/>
    <w:rsid w:val="552D4350"/>
    <w:rsid w:val="552D54C7"/>
    <w:rsid w:val="552E0348"/>
    <w:rsid w:val="552E25A8"/>
    <w:rsid w:val="552E2FE9"/>
    <w:rsid w:val="552E47D1"/>
    <w:rsid w:val="552F0DC7"/>
    <w:rsid w:val="552F123F"/>
    <w:rsid w:val="552F1841"/>
    <w:rsid w:val="552F3BE5"/>
    <w:rsid w:val="552F424E"/>
    <w:rsid w:val="552F56E3"/>
    <w:rsid w:val="552F6C70"/>
    <w:rsid w:val="55301B7C"/>
    <w:rsid w:val="5530667E"/>
    <w:rsid w:val="5531074D"/>
    <w:rsid w:val="5531145B"/>
    <w:rsid w:val="55313209"/>
    <w:rsid w:val="55314FB7"/>
    <w:rsid w:val="55322ADD"/>
    <w:rsid w:val="55322B38"/>
    <w:rsid w:val="55323F5E"/>
    <w:rsid w:val="55326680"/>
    <w:rsid w:val="55326728"/>
    <w:rsid w:val="5532794D"/>
    <w:rsid w:val="553304AB"/>
    <w:rsid w:val="55330A9C"/>
    <w:rsid w:val="55334C4F"/>
    <w:rsid w:val="55334E75"/>
    <w:rsid w:val="55344223"/>
    <w:rsid w:val="55346855"/>
    <w:rsid w:val="553567CE"/>
    <w:rsid w:val="5536008C"/>
    <w:rsid w:val="553625CD"/>
    <w:rsid w:val="55363DC5"/>
    <w:rsid w:val="55366A71"/>
    <w:rsid w:val="55366B66"/>
    <w:rsid w:val="553700F3"/>
    <w:rsid w:val="5537519F"/>
    <w:rsid w:val="55376345"/>
    <w:rsid w:val="553772CC"/>
    <w:rsid w:val="55382BA4"/>
    <w:rsid w:val="553920BD"/>
    <w:rsid w:val="5539249F"/>
    <w:rsid w:val="553928F3"/>
    <w:rsid w:val="553944A0"/>
    <w:rsid w:val="553A1661"/>
    <w:rsid w:val="553A2B69"/>
    <w:rsid w:val="553B3C46"/>
    <w:rsid w:val="553B4087"/>
    <w:rsid w:val="553B4C53"/>
    <w:rsid w:val="553C08DD"/>
    <w:rsid w:val="553C2AC2"/>
    <w:rsid w:val="553C395C"/>
    <w:rsid w:val="553C5157"/>
    <w:rsid w:val="553C5FF3"/>
    <w:rsid w:val="553C7F1F"/>
    <w:rsid w:val="553D06F7"/>
    <w:rsid w:val="553D1BAE"/>
    <w:rsid w:val="553D6B48"/>
    <w:rsid w:val="553E1482"/>
    <w:rsid w:val="553E4435"/>
    <w:rsid w:val="553E7695"/>
    <w:rsid w:val="553E76D4"/>
    <w:rsid w:val="553F0882"/>
    <w:rsid w:val="553F6EB4"/>
    <w:rsid w:val="554009EC"/>
    <w:rsid w:val="5540344C"/>
    <w:rsid w:val="55404DAA"/>
    <w:rsid w:val="55404E47"/>
    <w:rsid w:val="55406745"/>
    <w:rsid w:val="55407BF5"/>
    <w:rsid w:val="55410F72"/>
    <w:rsid w:val="5543118E"/>
    <w:rsid w:val="5543130D"/>
    <w:rsid w:val="55432F3C"/>
    <w:rsid w:val="55434CEA"/>
    <w:rsid w:val="55440A8C"/>
    <w:rsid w:val="5544456A"/>
    <w:rsid w:val="55450A62"/>
    <w:rsid w:val="55454FB8"/>
    <w:rsid w:val="55456CB4"/>
    <w:rsid w:val="55465184"/>
    <w:rsid w:val="55466313"/>
    <w:rsid w:val="55466588"/>
    <w:rsid w:val="55472A28"/>
    <w:rsid w:val="55472E8E"/>
    <w:rsid w:val="55474E28"/>
    <w:rsid w:val="55476387"/>
    <w:rsid w:val="55477636"/>
    <w:rsid w:val="55481046"/>
    <w:rsid w:val="55485798"/>
    <w:rsid w:val="55487293"/>
    <w:rsid w:val="554913FE"/>
    <w:rsid w:val="55494FB9"/>
    <w:rsid w:val="554967A4"/>
    <w:rsid w:val="55497F1B"/>
    <w:rsid w:val="554A1253"/>
    <w:rsid w:val="554A6355"/>
    <w:rsid w:val="554A7153"/>
    <w:rsid w:val="554B4F35"/>
    <w:rsid w:val="554C1DF1"/>
    <w:rsid w:val="554C3B9F"/>
    <w:rsid w:val="554C731E"/>
    <w:rsid w:val="554D0C49"/>
    <w:rsid w:val="554D59F2"/>
    <w:rsid w:val="554D7917"/>
    <w:rsid w:val="554F077B"/>
    <w:rsid w:val="554F1294"/>
    <w:rsid w:val="554F18E1"/>
    <w:rsid w:val="554F368F"/>
    <w:rsid w:val="554F6F2D"/>
    <w:rsid w:val="554F73B9"/>
    <w:rsid w:val="554F7551"/>
    <w:rsid w:val="555044BA"/>
    <w:rsid w:val="5550678D"/>
    <w:rsid w:val="55511CDF"/>
    <w:rsid w:val="55513B61"/>
    <w:rsid w:val="55513CF5"/>
    <w:rsid w:val="55514C40"/>
    <w:rsid w:val="55517407"/>
    <w:rsid w:val="5552179C"/>
    <w:rsid w:val="5552317F"/>
    <w:rsid w:val="55524F2D"/>
    <w:rsid w:val="555253B6"/>
    <w:rsid w:val="55525889"/>
    <w:rsid w:val="55530B8A"/>
    <w:rsid w:val="555313D1"/>
    <w:rsid w:val="555332BD"/>
    <w:rsid w:val="5553476F"/>
    <w:rsid w:val="55534893"/>
    <w:rsid w:val="55535BAE"/>
    <w:rsid w:val="5553606B"/>
    <w:rsid w:val="55540CA5"/>
    <w:rsid w:val="55543B99"/>
    <w:rsid w:val="55545149"/>
    <w:rsid w:val="55546119"/>
    <w:rsid w:val="55546EF7"/>
    <w:rsid w:val="55550447"/>
    <w:rsid w:val="5555098B"/>
    <w:rsid w:val="55554D3E"/>
    <w:rsid w:val="55556B10"/>
    <w:rsid w:val="555571D9"/>
    <w:rsid w:val="55564A1D"/>
    <w:rsid w:val="5556640C"/>
    <w:rsid w:val="55566A05"/>
    <w:rsid w:val="55567F3C"/>
    <w:rsid w:val="55570796"/>
    <w:rsid w:val="555709F5"/>
    <w:rsid w:val="55574EC9"/>
    <w:rsid w:val="55580A4D"/>
    <w:rsid w:val="55580EEA"/>
    <w:rsid w:val="55583378"/>
    <w:rsid w:val="55583CBB"/>
    <w:rsid w:val="555869E7"/>
    <w:rsid w:val="55587C75"/>
    <w:rsid w:val="55587D6E"/>
    <w:rsid w:val="55592760"/>
    <w:rsid w:val="555962BC"/>
    <w:rsid w:val="55596466"/>
    <w:rsid w:val="555A181E"/>
    <w:rsid w:val="555A19D4"/>
    <w:rsid w:val="555A217D"/>
    <w:rsid w:val="555A2FB0"/>
    <w:rsid w:val="555B0286"/>
    <w:rsid w:val="555B1303"/>
    <w:rsid w:val="555B1606"/>
    <w:rsid w:val="555B6707"/>
    <w:rsid w:val="555C0825"/>
    <w:rsid w:val="555C2098"/>
    <w:rsid w:val="555C5C8D"/>
    <w:rsid w:val="555C682D"/>
    <w:rsid w:val="555D119A"/>
    <w:rsid w:val="555D3B1E"/>
    <w:rsid w:val="555D5DAC"/>
    <w:rsid w:val="555D770B"/>
    <w:rsid w:val="555E1B24"/>
    <w:rsid w:val="555E226D"/>
    <w:rsid w:val="555E317E"/>
    <w:rsid w:val="555E3454"/>
    <w:rsid w:val="555E38D2"/>
    <w:rsid w:val="555E6BA7"/>
    <w:rsid w:val="555E7D76"/>
    <w:rsid w:val="555F0412"/>
    <w:rsid w:val="555F460E"/>
    <w:rsid w:val="555F5D4F"/>
    <w:rsid w:val="555F6924"/>
    <w:rsid w:val="555F6A99"/>
    <w:rsid w:val="555F7964"/>
    <w:rsid w:val="5560066F"/>
    <w:rsid w:val="556026A6"/>
    <w:rsid w:val="556028E8"/>
    <w:rsid w:val="55603AE1"/>
    <w:rsid w:val="55606120"/>
    <w:rsid w:val="55606486"/>
    <w:rsid w:val="5560764A"/>
    <w:rsid w:val="55611E69"/>
    <w:rsid w:val="55616C77"/>
    <w:rsid w:val="556175EC"/>
    <w:rsid w:val="55621614"/>
    <w:rsid w:val="556233C2"/>
    <w:rsid w:val="55624DB4"/>
    <w:rsid w:val="55630D89"/>
    <w:rsid w:val="5563538C"/>
    <w:rsid w:val="55635B60"/>
    <w:rsid w:val="55651104"/>
    <w:rsid w:val="556516C9"/>
    <w:rsid w:val="556517EF"/>
    <w:rsid w:val="55653307"/>
    <w:rsid w:val="5565363E"/>
    <w:rsid w:val="5565384F"/>
    <w:rsid w:val="55653E48"/>
    <w:rsid w:val="55654C4D"/>
    <w:rsid w:val="55654C60"/>
    <w:rsid w:val="5566095C"/>
    <w:rsid w:val="55666E06"/>
    <w:rsid w:val="556709D9"/>
    <w:rsid w:val="55671948"/>
    <w:rsid w:val="55674E7D"/>
    <w:rsid w:val="5567558D"/>
    <w:rsid w:val="55675850"/>
    <w:rsid w:val="55676375"/>
    <w:rsid w:val="55676C2B"/>
    <w:rsid w:val="55682B57"/>
    <w:rsid w:val="55684751"/>
    <w:rsid w:val="55686CEC"/>
    <w:rsid w:val="55686E01"/>
    <w:rsid w:val="556877CA"/>
    <w:rsid w:val="55690BF5"/>
    <w:rsid w:val="556919D2"/>
    <w:rsid w:val="55693089"/>
    <w:rsid w:val="5569324E"/>
    <w:rsid w:val="556941DF"/>
    <w:rsid w:val="556A08D2"/>
    <w:rsid w:val="556A2277"/>
    <w:rsid w:val="556B42F2"/>
    <w:rsid w:val="556B4C51"/>
    <w:rsid w:val="556B5F7A"/>
    <w:rsid w:val="556B7358"/>
    <w:rsid w:val="556C11A7"/>
    <w:rsid w:val="556C479C"/>
    <w:rsid w:val="556D1D67"/>
    <w:rsid w:val="556D64A5"/>
    <w:rsid w:val="556D64D5"/>
    <w:rsid w:val="556E21D5"/>
    <w:rsid w:val="556E259A"/>
    <w:rsid w:val="556E620B"/>
    <w:rsid w:val="556E7EA1"/>
    <w:rsid w:val="556F1F83"/>
    <w:rsid w:val="556F4582"/>
    <w:rsid w:val="556F5ADF"/>
    <w:rsid w:val="556F6CD4"/>
    <w:rsid w:val="55702BF9"/>
    <w:rsid w:val="55705593"/>
    <w:rsid w:val="55705B0E"/>
    <w:rsid w:val="55711440"/>
    <w:rsid w:val="55711993"/>
    <w:rsid w:val="55711B94"/>
    <w:rsid w:val="55711D78"/>
    <w:rsid w:val="55712480"/>
    <w:rsid w:val="5571478C"/>
    <w:rsid w:val="55717AA9"/>
    <w:rsid w:val="55720047"/>
    <w:rsid w:val="55724052"/>
    <w:rsid w:val="5572469F"/>
    <w:rsid w:val="55725AF9"/>
    <w:rsid w:val="5572737D"/>
    <w:rsid w:val="55727ABD"/>
    <w:rsid w:val="557355CF"/>
    <w:rsid w:val="55735655"/>
    <w:rsid w:val="5574098A"/>
    <w:rsid w:val="55743CB9"/>
    <w:rsid w:val="55744269"/>
    <w:rsid w:val="557468AB"/>
    <w:rsid w:val="55747599"/>
    <w:rsid w:val="55752B46"/>
    <w:rsid w:val="55752CD1"/>
    <w:rsid w:val="55753827"/>
    <w:rsid w:val="5575527A"/>
    <w:rsid w:val="55760C1C"/>
    <w:rsid w:val="55763FD6"/>
    <w:rsid w:val="55764EC8"/>
    <w:rsid w:val="557650C0"/>
    <w:rsid w:val="55765A97"/>
    <w:rsid w:val="55766E6E"/>
    <w:rsid w:val="55767312"/>
    <w:rsid w:val="55770037"/>
    <w:rsid w:val="55770087"/>
    <w:rsid w:val="55773AF1"/>
    <w:rsid w:val="55774994"/>
    <w:rsid w:val="55775D97"/>
    <w:rsid w:val="55775F45"/>
    <w:rsid w:val="55776205"/>
    <w:rsid w:val="55780E38"/>
    <w:rsid w:val="55780EB4"/>
    <w:rsid w:val="55782BE6"/>
    <w:rsid w:val="55783BDC"/>
    <w:rsid w:val="55784099"/>
    <w:rsid w:val="5579070C"/>
    <w:rsid w:val="55793685"/>
    <w:rsid w:val="557936E5"/>
    <w:rsid w:val="5579520F"/>
    <w:rsid w:val="557A09CE"/>
    <w:rsid w:val="557A3BFF"/>
    <w:rsid w:val="557A3DE7"/>
    <w:rsid w:val="557B27DB"/>
    <w:rsid w:val="557B2A3B"/>
    <w:rsid w:val="557B352D"/>
    <w:rsid w:val="557B4484"/>
    <w:rsid w:val="557C1FAA"/>
    <w:rsid w:val="557C4677"/>
    <w:rsid w:val="557C6AC9"/>
    <w:rsid w:val="557D2219"/>
    <w:rsid w:val="557D4671"/>
    <w:rsid w:val="557D5C56"/>
    <w:rsid w:val="557D644E"/>
    <w:rsid w:val="557D74AE"/>
    <w:rsid w:val="557D7B97"/>
    <w:rsid w:val="557E3F74"/>
    <w:rsid w:val="557E4224"/>
    <w:rsid w:val="557E5D22"/>
    <w:rsid w:val="557E5DB2"/>
    <w:rsid w:val="557E60A6"/>
    <w:rsid w:val="557E66D5"/>
    <w:rsid w:val="557E6B70"/>
    <w:rsid w:val="557E7DFD"/>
    <w:rsid w:val="557F0FC1"/>
    <w:rsid w:val="557F3BF8"/>
    <w:rsid w:val="557F623A"/>
    <w:rsid w:val="557F79C3"/>
    <w:rsid w:val="55800B30"/>
    <w:rsid w:val="55804307"/>
    <w:rsid w:val="5580511A"/>
    <w:rsid w:val="55805F3E"/>
    <w:rsid w:val="558061DD"/>
    <w:rsid w:val="558077B3"/>
    <w:rsid w:val="55807C59"/>
    <w:rsid w:val="55812841"/>
    <w:rsid w:val="55821A66"/>
    <w:rsid w:val="55823A64"/>
    <w:rsid w:val="55823C7F"/>
    <w:rsid w:val="55826AB7"/>
    <w:rsid w:val="55827453"/>
    <w:rsid w:val="558275C0"/>
    <w:rsid w:val="55832438"/>
    <w:rsid w:val="55833E1F"/>
    <w:rsid w:val="55836F9D"/>
    <w:rsid w:val="558414CC"/>
    <w:rsid w:val="5584270D"/>
    <w:rsid w:val="55843BFF"/>
    <w:rsid w:val="55844AA5"/>
    <w:rsid w:val="55844E99"/>
    <w:rsid w:val="558477DD"/>
    <w:rsid w:val="55847995"/>
    <w:rsid w:val="55850529"/>
    <w:rsid w:val="55850DED"/>
    <w:rsid w:val="55850EFA"/>
    <w:rsid w:val="55853555"/>
    <w:rsid w:val="558546D1"/>
    <w:rsid w:val="55854CD4"/>
    <w:rsid w:val="558570B1"/>
    <w:rsid w:val="5586238A"/>
    <w:rsid w:val="558639E2"/>
    <w:rsid w:val="558644BE"/>
    <w:rsid w:val="55866F63"/>
    <w:rsid w:val="55867E9D"/>
    <w:rsid w:val="55872741"/>
    <w:rsid w:val="55872E29"/>
    <w:rsid w:val="558772CD"/>
    <w:rsid w:val="5588094F"/>
    <w:rsid w:val="558812B5"/>
    <w:rsid w:val="5588199E"/>
    <w:rsid w:val="5588393C"/>
    <w:rsid w:val="5588483B"/>
    <w:rsid w:val="55885FAD"/>
    <w:rsid w:val="55886BA1"/>
    <w:rsid w:val="558914CE"/>
    <w:rsid w:val="558923FA"/>
    <w:rsid w:val="55894DF3"/>
    <w:rsid w:val="55897540"/>
    <w:rsid w:val="558A05F7"/>
    <w:rsid w:val="558A0B6B"/>
    <w:rsid w:val="558A0D0B"/>
    <w:rsid w:val="558A1814"/>
    <w:rsid w:val="558A1873"/>
    <w:rsid w:val="558A2919"/>
    <w:rsid w:val="558A2B54"/>
    <w:rsid w:val="558A3278"/>
    <w:rsid w:val="558A38DC"/>
    <w:rsid w:val="558A46C7"/>
    <w:rsid w:val="558A7C9A"/>
    <w:rsid w:val="558B6501"/>
    <w:rsid w:val="558C0C7C"/>
    <w:rsid w:val="558C0E3B"/>
    <w:rsid w:val="558C1865"/>
    <w:rsid w:val="558C48E3"/>
    <w:rsid w:val="558D0DCD"/>
    <w:rsid w:val="558E07C0"/>
    <w:rsid w:val="558E087A"/>
    <w:rsid w:val="558E0B23"/>
    <w:rsid w:val="558E0F7E"/>
    <w:rsid w:val="558E2409"/>
    <w:rsid w:val="558F36ED"/>
    <w:rsid w:val="558F4DEF"/>
    <w:rsid w:val="558F7F2F"/>
    <w:rsid w:val="55901193"/>
    <w:rsid w:val="55901C5D"/>
    <w:rsid w:val="5590309F"/>
    <w:rsid w:val="55905119"/>
    <w:rsid w:val="55906E06"/>
    <w:rsid w:val="5590739C"/>
    <w:rsid w:val="55912FA7"/>
    <w:rsid w:val="559134B7"/>
    <w:rsid w:val="55913CA7"/>
    <w:rsid w:val="55914960"/>
    <w:rsid w:val="55933AFE"/>
    <w:rsid w:val="5594094B"/>
    <w:rsid w:val="55940E46"/>
    <w:rsid w:val="559429E6"/>
    <w:rsid w:val="55942C5A"/>
    <w:rsid w:val="55943A56"/>
    <w:rsid w:val="559460CF"/>
    <w:rsid w:val="5594785A"/>
    <w:rsid w:val="55955E1E"/>
    <w:rsid w:val="55957F5B"/>
    <w:rsid w:val="55960CCF"/>
    <w:rsid w:val="559612BE"/>
    <w:rsid w:val="55961D82"/>
    <w:rsid w:val="55961E7F"/>
    <w:rsid w:val="55962AAE"/>
    <w:rsid w:val="5596306C"/>
    <w:rsid w:val="55965E7B"/>
    <w:rsid w:val="55966485"/>
    <w:rsid w:val="55971833"/>
    <w:rsid w:val="55974E07"/>
    <w:rsid w:val="55975860"/>
    <w:rsid w:val="55976F9C"/>
    <w:rsid w:val="559806C1"/>
    <w:rsid w:val="55985036"/>
    <w:rsid w:val="55986DE4"/>
    <w:rsid w:val="55991D15"/>
    <w:rsid w:val="559942DC"/>
    <w:rsid w:val="559A167F"/>
    <w:rsid w:val="559A33D1"/>
    <w:rsid w:val="559A3F49"/>
    <w:rsid w:val="559B0336"/>
    <w:rsid w:val="559B0682"/>
    <w:rsid w:val="559B0A66"/>
    <w:rsid w:val="559B1C90"/>
    <w:rsid w:val="559B2D78"/>
    <w:rsid w:val="559B3472"/>
    <w:rsid w:val="559B4861"/>
    <w:rsid w:val="559C74C8"/>
    <w:rsid w:val="559C755E"/>
    <w:rsid w:val="559D045F"/>
    <w:rsid w:val="559D089E"/>
    <w:rsid w:val="559D2ADF"/>
    <w:rsid w:val="559D368A"/>
    <w:rsid w:val="559D43FA"/>
    <w:rsid w:val="559D65E1"/>
    <w:rsid w:val="559E0172"/>
    <w:rsid w:val="559E2C43"/>
    <w:rsid w:val="559E30D3"/>
    <w:rsid w:val="559E385E"/>
    <w:rsid w:val="559F1AA1"/>
    <w:rsid w:val="559F4616"/>
    <w:rsid w:val="55A0213D"/>
    <w:rsid w:val="55A114D7"/>
    <w:rsid w:val="55A16490"/>
    <w:rsid w:val="55A20422"/>
    <w:rsid w:val="55A20F89"/>
    <w:rsid w:val="55A252C6"/>
    <w:rsid w:val="55A2647A"/>
    <w:rsid w:val="55A35789"/>
    <w:rsid w:val="55A35B19"/>
    <w:rsid w:val="55A40041"/>
    <w:rsid w:val="55A41C2D"/>
    <w:rsid w:val="55A4297C"/>
    <w:rsid w:val="55A4361C"/>
    <w:rsid w:val="55A439DB"/>
    <w:rsid w:val="55A45FA9"/>
    <w:rsid w:val="55A478E4"/>
    <w:rsid w:val="55A50F8E"/>
    <w:rsid w:val="55A5295B"/>
    <w:rsid w:val="55A5573A"/>
    <w:rsid w:val="55A559A5"/>
    <w:rsid w:val="55A60435"/>
    <w:rsid w:val="55A651BC"/>
    <w:rsid w:val="55A66DA3"/>
    <w:rsid w:val="55A677AF"/>
    <w:rsid w:val="55A67DC3"/>
    <w:rsid w:val="55A7033E"/>
    <w:rsid w:val="55A70772"/>
    <w:rsid w:val="55A7171D"/>
    <w:rsid w:val="55A734CB"/>
    <w:rsid w:val="55A74189"/>
    <w:rsid w:val="55A74996"/>
    <w:rsid w:val="55A75B25"/>
    <w:rsid w:val="55A76458"/>
    <w:rsid w:val="55A84132"/>
    <w:rsid w:val="55A8612D"/>
    <w:rsid w:val="55A87C87"/>
    <w:rsid w:val="55A90FF1"/>
    <w:rsid w:val="55A91E13"/>
    <w:rsid w:val="55A95724"/>
    <w:rsid w:val="55A96C93"/>
    <w:rsid w:val="55AA2FBB"/>
    <w:rsid w:val="55AA379C"/>
    <w:rsid w:val="55AA4D69"/>
    <w:rsid w:val="55AA6B17"/>
    <w:rsid w:val="55AA6BB4"/>
    <w:rsid w:val="55AB4A5A"/>
    <w:rsid w:val="55AB6644"/>
    <w:rsid w:val="55AB71A7"/>
    <w:rsid w:val="55AC0AE1"/>
    <w:rsid w:val="55AC288F"/>
    <w:rsid w:val="55AC30E0"/>
    <w:rsid w:val="55AC40B5"/>
    <w:rsid w:val="55AC44E7"/>
    <w:rsid w:val="55AC6D33"/>
    <w:rsid w:val="55AC7D35"/>
    <w:rsid w:val="55AD03B6"/>
    <w:rsid w:val="55AD0CE5"/>
    <w:rsid w:val="55AD26FF"/>
    <w:rsid w:val="55AE4D39"/>
    <w:rsid w:val="55AE750F"/>
    <w:rsid w:val="55AF05D2"/>
    <w:rsid w:val="55AF2380"/>
    <w:rsid w:val="55AF2CD7"/>
    <w:rsid w:val="55AF4A3C"/>
    <w:rsid w:val="55AF7741"/>
    <w:rsid w:val="55B02A26"/>
    <w:rsid w:val="55B0394A"/>
    <w:rsid w:val="55B04256"/>
    <w:rsid w:val="55B04979"/>
    <w:rsid w:val="55B128D6"/>
    <w:rsid w:val="55B13E6D"/>
    <w:rsid w:val="55B152E8"/>
    <w:rsid w:val="55B160F8"/>
    <w:rsid w:val="55B177EA"/>
    <w:rsid w:val="55B239B2"/>
    <w:rsid w:val="55B31E70"/>
    <w:rsid w:val="55B322D0"/>
    <w:rsid w:val="55B37488"/>
    <w:rsid w:val="55B37B61"/>
    <w:rsid w:val="55B37DE2"/>
    <w:rsid w:val="55B41744"/>
    <w:rsid w:val="55B4175F"/>
    <w:rsid w:val="55B43593"/>
    <w:rsid w:val="55B44386"/>
    <w:rsid w:val="55B5247C"/>
    <w:rsid w:val="55B53B32"/>
    <w:rsid w:val="55B55BE8"/>
    <w:rsid w:val="55B61C6E"/>
    <w:rsid w:val="55B654BC"/>
    <w:rsid w:val="55B72EBF"/>
    <w:rsid w:val="55B73203"/>
    <w:rsid w:val="55B77D28"/>
    <w:rsid w:val="55B81234"/>
    <w:rsid w:val="55B81C7E"/>
    <w:rsid w:val="55B84138"/>
    <w:rsid w:val="55B84E6F"/>
    <w:rsid w:val="55B856D8"/>
    <w:rsid w:val="55B8578A"/>
    <w:rsid w:val="55B91F15"/>
    <w:rsid w:val="55B94FAC"/>
    <w:rsid w:val="55B95423"/>
    <w:rsid w:val="55BA06E4"/>
    <w:rsid w:val="55BA31FE"/>
    <w:rsid w:val="55BA6F69"/>
    <w:rsid w:val="55BB0D24"/>
    <w:rsid w:val="55BB270A"/>
    <w:rsid w:val="55BB7B39"/>
    <w:rsid w:val="55BC2689"/>
    <w:rsid w:val="55BC2C58"/>
    <w:rsid w:val="55BC2D43"/>
    <w:rsid w:val="55BD16B1"/>
    <w:rsid w:val="55BD25E8"/>
    <w:rsid w:val="55BD2CEE"/>
    <w:rsid w:val="55BD46CE"/>
    <w:rsid w:val="55BD64F7"/>
    <w:rsid w:val="55BE1150"/>
    <w:rsid w:val="55BE2F2A"/>
    <w:rsid w:val="55BE30DF"/>
    <w:rsid w:val="55BE396B"/>
    <w:rsid w:val="55BE423F"/>
    <w:rsid w:val="55BE7E48"/>
    <w:rsid w:val="55BF0093"/>
    <w:rsid w:val="55BF0CC1"/>
    <w:rsid w:val="55BF108B"/>
    <w:rsid w:val="55BF2695"/>
    <w:rsid w:val="55BF2AA7"/>
    <w:rsid w:val="55BF3EC2"/>
    <w:rsid w:val="55BF5E2C"/>
    <w:rsid w:val="55BF6453"/>
    <w:rsid w:val="55BF6A67"/>
    <w:rsid w:val="55C027DF"/>
    <w:rsid w:val="55C0458D"/>
    <w:rsid w:val="55C050EC"/>
    <w:rsid w:val="55C06DF4"/>
    <w:rsid w:val="55C13238"/>
    <w:rsid w:val="55C15171"/>
    <w:rsid w:val="55C15A8A"/>
    <w:rsid w:val="55C174A1"/>
    <w:rsid w:val="55C20305"/>
    <w:rsid w:val="55C220B3"/>
    <w:rsid w:val="55C23A57"/>
    <w:rsid w:val="55C27441"/>
    <w:rsid w:val="55C40C9B"/>
    <w:rsid w:val="55C458F9"/>
    <w:rsid w:val="55C45B5F"/>
    <w:rsid w:val="55C51BA3"/>
    <w:rsid w:val="55C56AF1"/>
    <w:rsid w:val="55C57F9A"/>
    <w:rsid w:val="55C67DF5"/>
    <w:rsid w:val="55C70CAD"/>
    <w:rsid w:val="55C80178"/>
    <w:rsid w:val="55C90C59"/>
    <w:rsid w:val="55C94D0E"/>
    <w:rsid w:val="55C951EF"/>
    <w:rsid w:val="55CA022D"/>
    <w:rsid w:val="55CA0F67"/>
    <w:rsid w:val="55CA1562"/>
    <w:rsid w:val="55CA33E4"/>
    <w:rsid w:val="55CA39AC"/>
    <w:rsid w:val="55CA71B9"/>
    <w:rsid w:val="55CB540B"/>
    <w:rsid w:val="55CB5C81"/>
    <w:rsid w:val="55CC1183"/>
    <w:rsid w:val="55CC2F32"/>
    <w:rsid w:val="55CC368F"/>
    <w:rsid w:val="55CD26BC"/>
    <w:rsid w:val="55CD2CFF"/>
    <w:rsid w:val="55CD3D59"/>
    <w:rsid w:val="55CD4719"/>
    <w:rsid w:val="55CD7039"/>
    <w:rsid w:val="55CE2806"/>
    <w:rsid w:val="55CE3C8F"/>
    <w:rsid w:val="55CE42C4"/>
    <w:rsid w:val="55CE5FAF"/>
    <w:rsid w:val="55CE6CAA"/>
    <w:rsid w:val="55CE76F0"/>
    <w:rsid w:val="55CF1864"/>
    <w:rsid w:val="55CF4E8C"/>
    <w:rsid w:val="55CF657E"/>
    <w:rsid w:val="55D01A01"/>
    <w:rsid w:val="55D029E1"/>
    <w:rsid w:val="55D02C8E"/>
    <w:rsid w:val="55D05E98"/>
    <w:rsid w:val="55D10145"/>
    <w:rsid w:val="55D10548"/>
    <w:rsid w:val="55D10FF4"/>
    <w:rsid w:val="55D122F6"/>
    <w:rsid w:val="55D1665C"/>
    <w:rsid w:val="55D20559"/>
    <w:rsid w:val="55D22413"/>
    <w:rsid w:val="55D22CE2"/>
    <w:rsid w:val="55D26268"/>
    <w:rsid w:val="55D26FD2"/>
    <w:rsid w:val="55D339E1"/>
    <w:rsid w:val="55D35166"/>
    <w:rsid w:val="55D41DE6"/>
    <w:rsid w:val="55D440CD"/>
    <w:rsid w:val="55D478E0"/>
    <w:rsid w:val="55D50CD5"/>
    <w:rsid w:val="55D55D8C"/>
    <w:rsid w:val="55D55EC7"/>
    <w:rsid w:val="55D63DB0"/>
    <w:rsid w:val="55D6790C"/>
    <w:rsid w:val="55D7191A"/>
    <w:rsid w:val="55D76F08"/>
    <w:rsid w:val="55D772EF"/>
    <w:rsid w:val="55D818D6"/>
    <w:rsid w:val="55D8413C"/>
    <w:rsid w:val="55D86649"/>
    <w:rsid w:val="55D87B28"/>
    <w:rsid w:val="55D911AB"/>
    <w:rsid w:val="55D9169A"/>
    <w:rsid w:val="55D94F9F"/>
    <w:rsid w:val="55DA1235"/>
    <w:rsid w:val="55DA564E"/>
    <w:rsid w:val="55DA5913"/>
    <w:rsid w:val="55DA68E8"/>
    <w:rsid w:val="55DA7B0E"/>
    <w:rsid w:val="55DB0BA8"/>
    <w:rsid w:val="55DB13C7"/>
    <w:rsid w:val="55DB27FF"/>
    <w:rsid w:val="55DB3175"/>
    <w:rsid w:val="55DB33DA"/>
    <w:rsid w:val="55DB4F23"/>
    <w:rsid w:val="55DB5DF6"/>
    <w:rsid w:val="55DC3184"/>
    <w:rsid w:val="55DC3D9A"/>
    <w:rsid w:val="55DD0C9B"/>
    <w:rsid w:val="55DD1A43"/>
    <w:rsid w:val="55DD2C04"/>
    <w:rsid w:val="55DD513F"/>
    <w:rsid w:val="55DD6EED"/>
    <w:rsid w:val="55DD7CF9"/>
    <w:rsid w:val="55DE53E1"/>
    <w:rsid w:val="55DF0386"/>
    <w:rsid w:val="55DF2EAA"/>
    <w:rsid w:val="55DF4C70"/>
    <w:rsid w:val="55DF7E5A"/>
    <w:rsid w:val="55E0078B"/>
    <w:rsid w:val="55E01727"/>
    <w:rsid w:val="55E01B05"/>
    <w:rsid w:val="55E069DD"/>
    <w:rsid w:val="55E06C6B"/>
    <w:rsid w:val="55E102C5"/>
    <w:rsid w:val="55E14425"/>
    <w:rsid w:val="55E20C6D"/>
    <w:rsid w:val="55E22755"/>
    <w:rsid w:val="55E24503"/>
    <w:rsid w:val="55E24620"/>
    <w:rsid w:val="55E262B1"/>
    <w:rsid w:val="55E30171"/>
    <w:rsid w:val="55E34A37"/>
    <w:rsid w:val="55E36308"/>
    <w:rsid w:val="55E4027B"/>
    <w:rsid w:val="55E40C52"/>
    <w:rsid w:val="55E42029"/>
    <w:rsid w:val="55E464CD"/>
    <w:rsid w:val="55E47D36"/>
    <w:rsid w:val="55E506CA"/>
    <w:rsid w:val="55E507FD"/>
    <w:rsid w:val="55E50C34"/>
    <w:rsid w:val="55E53544"/>
    <w:rsid w:val="55E53FF3"/>
    <w:rsid w:val="55E5548B"/>
    <w:rsid w:val="55E6068B"/>
    <w:rsid w:val="55E6169A"/>
    <w:rsid w:val="55E62245"/>
    <w:rsid w:val="55E657CB"/>
    <w:rsid w:val="55E70297"/>
    <w:rsid w:val="55E71477"/>
    <w:rsid w:val="55E7165F"/>
    <w:rsid w:val="55E71B19"/>
    <w:rsid w:val="55E738C7"/>
    <w:rsid w:val="55E73FC1"/>
    <w:rsid w:val="55E77D6B"/>
    <w:rsid w:val="55E80421"/>
    <w:rsid w:val="55E81648"/>
    <w:rsid w:val="55E86F4B"/>
    <w:rsid w:val="55E92BE2"/>
    <w:rsid w:val="55E93AE3"/>
    <w:rsid w:val="55E942E3"/>
    <w:rsid w:val="55E95892"/>
    <w:rsid w:val="55EA33B8"/>
    <w:rsid w:val="55EA4047"/>
    <w:rsid w:val="55EA4201"/>
    <w:rsid w:val="55EB2B9D"/>
    <w:rsid w:val="55EB785C"/>
    <w:rsid w:val="55EB78A9"/>
    <w:rsid w:val="55EB7D20"/>
    <w:rsid w:val="55EC0829"/>
    <w:rsid w:val="55EC2084"/>
    <w:rsid w:val="55EC2C79"/>
    <w:rsid w:val="55EC35D4"/>
    <w:rsid w:val="55EC37DA"/>
    <w:rsid w:val="55EC6253"/>
    <w:rsid w:val="55EC6734"/>
    <w:rsid w:val="55ED238C"/>
    <w:rsid w:val="55ED3085"/>
    <w:rsid w:val="55EE0A0B"/>
    <w:rsid w:val="55EE10FA"/>
    <w:rsid w:val="55EE2D26"/>
    <w:rsid w:val="55EE2EA8"/>
    <w:rsid w:val="55EE2F14"/>
    <w:rsid w:val="55EE5E3C"/>
    <w:rsid w:val="55EF09CE"/>
    <w:rsid w:val="55EF0E66"/>
    <w:rsid w:val="55EF2767"/>
    <w:rsid w:val="55EF4E9C"/>
    <w:rsid w:val="55F04E72"/>
    <w:rsid w:val="55F04F22"/>
    <w:rsid w:val="55F05779"/>
    <w:rsid w:val="55F103D4"/>
    <w:rsid w:val="55F10BEA"/>
    <w:rsid w:val="55F11349"/>
    <w:rsid w:val="55F14250"/>
    <w:rsid w:val="55F14746"/>
    <w:rsid w:val="55F17F99"/>
    <w:rsid w:val="55F2126C"/>
    <w:rsid w:val="55F22468"/>
    <w:rsid w:val="55F23098"/>
    <w:rsid w:val="55F304BE"/>
    <w:rsid w:val="55F3226C"/>
    <w:rsid w:val="55F35109"/>
    <w:rsid w:val="55F36D31"/>
    <w:rsid w:val="55F37B2A"/>
    <w:rsid w:val="55F43F97"/>
    <w:rsid w:val="55F45FE4"/>
    <w:rsid w:val="55F47692"/>
    <w:rsid w:val="55F55737"/>
    <w:rsid w:val="55F61D5C"/>
    <w:rsid w:val="55F63D88"/>
    <w:rsid w:val="55F6406C"/>
    <w:rsid w:val="55F71571"/>
    <w:rsid w:val="55F731B4"/>
    <w:rsid w:val="55F824BF"/>
    <w:rsid w:val="55F837A5"/>
    <w:rsid w:val="55F83D27"/>
    <w:rsid w:val="55F85AD5"/>
    <w:rsid w:val="55F864D9"/>
    <w:rsid w:val="55F941EF"/>
    <w:rsid w:val="55F96E66"/>
    <w:rsid w:val="55FA184D"/>
    <w:rsid w:val="55FA624F"/>
    <w:rsid w:val="55FA7A9F"/>
    <w:rsid w:val="55FB09FD"/>
    <w:rsid w:val="55FB150F"/>
    <w:rsid w:val="55FB55C5"/>
    <w:rsid w:val="55FB7B9D"/>
    <w:rsid w:val="55FC2A88"/>
    <w:rsid w:val="55FC3817"/>
    <w:rsid w:val="55FC6467"/>
    <w:rsid w:val="55FD133D"/>
    <w:rsid w:val="55FD344C"/>
    <w:rsid w:val="55FD6413"/>
    <w:rsid w:val="55FD74B4"/>
    <w:rsid w:val="55FE0850"/>
    <w:rsid w:val="55FE42C0"/>
    <w:rsid w:val="55FE6395"/>
    <w:rsid w:val="55FF3307"/>
    <w:rsid w:val="55FF4536"/>
    <w:rsid w:val="55FF50B5"/>
    <w:rsid w:val="55FF651E"/>
    <w:rsid w:val="55FF6E63"/>
    <w:rsid w:val="5600257F"/>
    <w:rsid w:val="56002BDB"/>
    <w:rsid w:val="56004F16"/>
    <w:rsid w:val="5600504C"/>
    <w:rsid w:val="56011A6F"/>
    <w:rsid w:val="56015D2B"/>
    <w:rsid w:val="56020701"/>
    <w:rsid w:val="560221AE"/>
    <w:rsid w:val="56022303"/>
    <w:rsid w:val="56022FEE"/>
    <w:rsid w:val="56026953"/>
    <w:rsid w:val="56027B9F"/>
    <w:rsid w:val="5603381E"/>
    <w:rsid w:val="5603524E"/>
    <w:rsid w:val="560360B2"/>
    <w:rsid w:val="56037D8D"/>
    <w:rsid w:val="5604091D"/>
    <w:rsid w:val="56040F00"/>
    <w:rsid w:val="56040F4B"/>
    <w:rsid w:val="56041A4F"/>
    <w:rsid w:val="560426CB"/>
    <w:rsid w:val="56045124"/>
    <w:rsid w:val="560501F2"/>
    <w:rsid w:val="56051FA0"/>
    <w:rsid w:val="56062EB2"/>
    <w:rsid w:val="56063C40"/>
    <w:rsid w:val="56066B90"/>
    <w:rsid w:val="56071871"/>
    <w:rsid w:val="56075376"/>
    <w:rsid w:val="56080D5E"/>
    <w:rsid w:val="56081DE5"/>
    <w:rsid w:val="56082B4F"/>
    <w:rsid w:val="560843A1"/>
    <w:rsid w:val="56084B53"/>
    <w:rsid w:val="560874CC"/>
    <w:rsid w:val="56092E43"/>
    <w:rsid w:val="56095F34"/>
    <w:rsid w:val="560976E8"/>
    <w:rsid w:val="560A18A0"/>
    <w:rsid w:val="560B192A"/>
    <w:rsid w:val="560B1CAC"/>
    <w:rsid w:val="560B3A5A"/>
    <w:rsid w:val="560C009E"/>
    <w:rsid w:val="560C1580"/>
    <w:rsid w:val="560C332E"/>
    <w:rsid w:val="560C4D9D"/>
    <w:rsid w:val="560C74D5"/>
    <w:rsid w:val="560D191F"/>
    <w:rsid w:val="560D2163"/>
    <w:rsid w:val="560D2571"/>
    <w:rsid w:val="560D3A2C"/>
    <w:rsid w:val="560D72BC"/>
    <w:rsid w:val="560E1C57"/>
    <w:rsid w:val="560E3442"/>
    <w:rsid w:val="560E354A"/>
    <w:rsid w:val="560E52F8"/>
    <w:rsid w:val="560E5CAC"/>
    <w:rsid w:val="560E7975"/>
    <w:rsid w:val="560E7F4C"/>
    <w:rsid w:val="560F4F26"/>
    <w:rsid w:val="560F5D14"/>
    <w:rsid w:val="561072C2"/>
    <w:rsid w:val="561074A3"/>
    <w:rsid w:val="56110448"/>
    <w:rsid w:val="561179A4"/>
    <w:rsid w:val="56117BB5"/>
    <w:rsid w:val="56117FB3"/>
    <w:rsid w:val="56121DC3"/>
    <w:rsid w:val="5612303A"/>
    <w:rsid w:val="56123C1D"/>
    <w:rsid w:val="56127A23"/>
    <w:rsid w:val="56130B60"/>
    <w:rsid w:val="5613290E"/>
    <w:rsid w:val="56135E24"/>
    <w:rsid w:val="56137F20"/>
    <w:rsid w:val="56143D1E"/>
    <w:rsid w:val="56145719"/>
    <w:rsid w:val="561546F9"/>
    <w:rsid w:val="56154ED8"/>
    <w:rsid w:val="56161B59"/>
    <w:rsid w:val="56167E80"/>
    <w:rsid w:val="56171FB8"/>
    <w:rsid w:val="56172FB9"/>
    <w:rsid w:val="561753A8"/>
    <w:rsid w:val="56175F8B"/>
    <w:rsid w:val="56176CA4"/>
    <w:rsid w:val="56182834"/>
    <w:rsid w:val="56185C73"/>
    <w:rsid w:val="56186177"/>
    <w:rsid w:val="56186810"/>
    <w:rsid w:val="56187F25"/>
    <w:rsid w:val="56190555"/>
    <w:rsid w:val="56195C15"/>
    <w:rsid w:val="561978FD"/>
    <w:rsid w:val="5619797C"/>
    <w:rsid w:val="561A05B9"/>
    <w:rsid w:val="561A1EEF"/>
    <w:rsid w:val="561A3126"/>
    <w:rsid w:val="561B1472"/>
    <w:rsid w:val="561B354C"/>
    <w:rsid w:val="561B621E"/>
    <w:rsid w:val="561B7A15"/>
    <w:rsid w:val="561C5C67"/>
    <w:rsid w:val="561C79DF"/>
    <w:rsid w:val="561D30EC"/>
    <w:rsid w:val="561D553B"/>
    <w:rsid w:val="561D5BA6"/>
    <w:rsid w:val="561D72D1"/>
    <w:rsid w:val="561E05BA"/>
    <w:rsid w:val="561E35DE"/>
    <w:rsid w:val="561E47D1"/>
    <w:rsid w:val="561E521A"/>
    <w:rsid w:val="561F2208"/>
    <w:rsid w:val="561F417C"/>
    <w:rsid w:val="561F465F"/>
    <w:rsid w:val="561F5D5C"/>
    <w:rsid w:val="561F79F4"/>
    <w:rsid w:val="56204DB6"/>
    <w:rsid w:val="5620635A"/>
    <w:rsid w:val="56207A74"/>
    <w:rsid w:val="5621327D"/>
    <w:rsid w:val="5621502B"/>
    <w:rsid w:val="56220DA3"/>
    <w:rsid w:val="5622215E"/>
    <w:rsid w:val="56222F84"/>
    <w:rsid w:val="5622607B"/>
    <w:rsid w:val="562267C7"/>
    <w:rsid w:val="56226C88"/>
    <w:rsid w:val="562308B0"/>
    <w:rsid w:val="562341D8"/>
    <w:rsid w:val="56235919"/>
    <w:rsid w:val="5623616A"/>
    <w:rsid w:val="56237876"/>
    <w:rsid w:val="562405D8"/>
    <w:rsid w:val="562412CC"/>
    <w:rsid w:val="56242D6E"/>
    <w:rsid w:val="5624379A"/>
    <w:rsid w:val="562471CD"/>
    <w:rsid w:val="56250239"/>
    <w:rsid w:val="56252BF2"/>
    <w:rsid w:val="5625459E"/>
    <w:rsid w:val="56257F9F"/>
    <w:rsid w:val="56260894"/>
    <w:rsid w:val="56261760"/>
    <w:rsid w:val="56265EB1"/>
    <w:rsid w:val="5627460C"/>
    <w:rsid w:val="562763BA"/>
    <w:rsid w:val="56276ACB"/>
    <w:rsid w:val="56280882"/>
    <w:rsid w:val="56281CFF"/>
    <w:rsid w:val="56287FA8"/>
    <w:rsid w:val="56290384"/>
    <w:rsid w:val="56291F44"/>
    <w:rsid w:val="56292132"/>
    <w:rsid w:val="562928FA"/>
    <w:rsid w:val="56293878"/>
    <w:rsid w:val="56293EE0"/>
    <w:rsid w:val="56297121"/>
    <w:rsid w:val="562A14DA"/>
    <w:rsid w:val="562A3CD8"/>
    <w:rsid w:val="562A7103"/>
    <w:rsid w:val="562B3E41"/>
    <w:rsid w:val="562B40FC"/>
    <w:rsid w:val="562B6078"/>
    <w:rsid w:val="562C39D0"/>
    <w:rsid w:val="562C4BF8"/>
    <w:rsid w:val="562D1FB1"/>
    <w:rsid w:val="562D299E"/>
    <w:rsid w:val="562D51EF"/>
    <w:rsid w:val="562D75ED"/>
    <w:rsid w:val="562E08C2"/>
    <w:rsid w:val="562E3560"/>
    <w:rsid w:val="562E422A"/>
    <w:rsid w:val="562E599A"/>
    <w:rsid w:val="562E70CC"/>
    <w:rsid w:val="562E7748"/>
    <w:rsid w:val="56300869"/>
    <w:rsid w:val="56301712"/>
    <w:rsid w:val="563034C0"/>
    <w:rsid w:val="56312D95"/>
    <w:rsid w:val="56315574"/>
    <w:rsid w:val="563163EF"/>
    <w:rsid w:val="56320AD2"/>
    <w:rsid w:val="56323B98"/>
    <w:rsid w:val="563263D1"/>
    <w:rsid w:val="56326F2C"/>
    <w:rsid w:val="56327239"/>
    <w:rsid w:val="56332482"/>
    <w:rsid w:val="56332FB1"/>
    <w:rsid w:val="56333546"/>
    <w:rsid w:val="5633556C"/>
    <w:rsid w:val="56336B0D"/>
    <w:rsid w:val="563403BF"/>
    <w:rsid w:val="56346F01"/>
    <w:rsid w:val="56350667"/>
    <w:rsid w:val="56350AD7"/>
    <w:rsid w:val="56352C7B"/>
    <w:rsid w:val="56353ACA"/>
    <w:rsid w:val="5635625A"/>
    <w:rsid w:val="56356D29"/>
    <w:rsid w:val="56357D2E"/>
    <w:rsid w:val="56365413"/>
    <w:rsid w:val="563665FD"/>
    <w:rsid w:val="56372CE9"/>
    <w:rsid w:val="56374014"/>
    <w:rsid w:val="563918E3"/>
    <w:rsid w:val="56391B27"/>
    <w:rsid w:val="56397051"/>
    <w:rsid w:val="563A0FCF"/>
    <w:rsid w:val="563A2C91"/>
    <w:rsid w:val="563A33E5"/>
    <w:rsid w:val="563A43BC"/>
    <w:rsid w:val="563A60ED"/>
    <w:rsid w:val="563A6612"/>
    <w:rsid w:val="563B3C13"/>
    <w:rsid w:val="563B5030"/>
    <w:rsid w:val="563C00B7"/>
    <w:rsid w:val="563C1E65"/>
    <w:rsid w:val="563C4613"/>
    <w:rsid w:val="563C64C0"/>
    <w:rsid w:val="563D1EC6"/>
    <w:rsid w:val="563D2E9B"/>
    <w:rsid w:val="563D3E2F"/>
    <w:rsid w:val="563D5BDD"/>
    <w:rsid w:val="563D5EB7"/>
    <w:rsid w:val="563E146B"/>
    <w:rsid w:val="563E21EB"/>
    <w:rsid w:val="563E68B6"/>
    <w:rsid w:val="563F1955"/>
    <w:rsid w:val="563F1EDA"/>
    <w:rsid w:val="563F1F73"/>
    <w:rsid w:val="563F3703"/>
    <w:rsid w:val="563F3E8D"/>
    <w:rsid w:val="563F54B2"/>
    <w:rsid w:val="5640122A"/>
    <w:rsid w:val="56406961"/>
    <w:rsid w:val="56407A11"/>
    <w:rsid w:val="564152E3"/>
    <w:rsid w:val="5641629A"/>
    <w:rsid w:val="564162B0"/>
    <w:rsid w:val="564164DB"/>
    <w:rsid w:val="5641747C"/>
    <w:rsid w:val="564200DD"/>
    <w:rsid w:val="56422331"/>
    <w:rsid w:val="56424FA2"/>
    <w:rsid w:val="564252E7"/>
    <w:rsid w:val="5643039A"/>
    <w:rsid w:val="56432F34"/>
    <w:rsid w:val="56435F3C"/>
    <w:rsid w:val="5643645D"/>
    <w:rsid w:val="564403AA"/>
    <w:rsid w:val="56440D70"/>
    <w:rsid w:val="56444AC6"/>
    <w:rsid w:val="56446F6C"/>
    <w:rsid w:val="5645125A"/>
    <w:rsid w:val="56454FCD"/>
    <w:rsid w:val="56461C50"/>
    <w:rsid w:val="56462BE9"/>
    <w:rsid w:val="56466840"/>
    <w:rsid w:val="56467BD2"/>
    <w:rsid w:val="564725B8"/>
    <w:rsid w:val="56472941"/>
    <w:rsid w:val="56473925"/>
    <w:rsid w:val="5647453D"/>
    <w:rsid w:val="564759C2"/>
    <w:rsid w:val="564822B6"/>
    <w:rsid w:val="564845A6"/>
    <w:rsid w:val="56484A62"/>
    <w:rsid w:val="56486A5C"/>
    <w:rsid w:val="56490A51"/>
    <w:rsid w:val="56491D79"/>
    <w:rsid w:val="56492452"/>
    <w:rsid w:val="56495EF2"/>
    <w:rsid w:val="56496330"/>
    <w:rsid w:val="564A26C1"/>
    <w:rsid w:val="564A42A3"/>
    <w:rsid w:val="564A44E8"/>
    <w:rsid w:val="564B2FA4"/>
    <w:rsid w:val="564B3E56"/>
    <w:rsid w:val="564B468F"/>
    <w:rsid w:val="564B4910"/>
    <w:rsid w:val="564B4D4C"/>
    <w:rsid w:val="564B654C"/>
    <w:rsid w:val="564B6C4E"/>
    <w:rsid w:val="564B75A2"/>
    <w:rsid w:val="564C4F11"/>
    <w:rsid w:val="564C5E20"/>
    <w:rsid w:val="564C5FB4"/>
    <w:rsid w:val="564C6D05"/>
    <w:rsid w:val="564C7BCE"/>
    <w:rsid w:val="564D0F6E"/>
    <w:rsid w:val="564D5561"/>
    <w:rsid w:val="564D594B"/>
    <w:rsid w:val="564D68C8"/>
    <w:rsid w:val="564E1B99"/>
    <w:rsid w:val="564E37B6"/>
    <w:rsid w:val="564E4074"/>
    <w:rsid w:val="564E55F7"/>
    <w:rsid w:val="565007C1"/>
    <w:rsid w:val="56500841"/>
    <w:rsid w:val="56501831"/>
    <w:rsid w:val="565038C4"/>
    <w:rsid w:val="56504A6C"/>
    <w:rsid w:val="565076BF"/>
    <w:rsid w:val="56507F39"/>
    <w:rsid w:val="56511C8A"/>
    <w:rsid w:val="56516110"/>
    <w:rsid w:val="56521E26"/>
    <w:rsid w:val="56522FA0"/>
    <w:rsid w:val="565307F5"/>
    <w:rsid w:val="56537AC2"/>
    <w:rsid w:val="56537FC9"/>
    <w:rsid w:val="56542A33"/>
    <w:rsid w:val="56543ABA"/>
    <w:rsid w:val="56545E16"/>
    <w:rsid w:val="56547532"/>
    <w:rsid w:val="56551E7D"/>
    <w:rsid w:val="56552F27"/>
    <w:rsid w:val="56554CD5"/>
    <w:rsid w:val="565644CF"/>
    <w:rsid w:val="56567F6A"/>
    <w:rsid w:val="565703D1"/>
    <w:rsid w:val="56570A4D"/>
    <w:rsid w:val="56574EF1"/>
    <w:rsid w:val="565753CA"/>
    <w:rsid w:val="56575BBC"/>
    <w:rsid w:val="565767CC"/>
    <w:rsid w:val="56576C9F"/>
    <w:rsid w:val="56577A93"/>
    <w:rsid w:val="56580F86"/>
    <w:rsid w:val="56582A17"/>
    <w:rsid w:val="565847C5"/>
    <w:rsid w:val="56586573"/>
    <w:rsid w:val="56586F65"/>
    <w:rsid w:val="565921B2"/>
    <w:rsid w:val="5659390E"/>
    <w:rsid w:val="56597128"/>
    <w:rsid w:val="565A156F"/>
    <w:rsid w:val="565A22EB"/>
    <w:rsid w:val="565A2EA5"/>
    <w:rsid w:val="565A6E77"/>
    <w:rsid w:val="565B1A48"/>
    <w:rsid w:val="565B6E70"/>
    <w:rsid w:val="565C2507"/>
    <w:rsid w:val="565C2DA7"/>
    <w:rsid w:val="565C42B5"/>
    <w:rsid w:val="565C5548"/>
    <w:rsid w:val="565C5D99"/>
    <w:rsid w:val="565C6682"/>
    <w:rsid w:val="565C7D19"/>
    <w:rsid w:val="565D002E"/>
    <w:rsid w:val="565D1503"/>
    <w:rsid w:val="565D168C"/>
    <w:rsid w:val="565D1DDC"/>
    <w:rsid w:val="565D3039"/>
    <w:rsid w:val="565D6244"/>
    <w:rsid w:val="565D7C3E"/>
    <w:rsid w:val="565E03C9"/>
    <w:rsid w:val="565E0BE3"/>
    <w:rsid w:val="565E46E2"/>
    <w:rsid w:val="565E4CBC"/>
    <w:rsid w:val="565E57F8"/>
    <w:rsid w:val="565E627F"/>
    <w:rsid w:val="565F3322"/>
    <w:rsid w:val="565F35CD"/>
    <w:rsid w:val="565F3DA6"/>
    <w:rsid w:val="565F4159"/>
    <w:rsid w:val="565F5B54"/>
    <w:rsid w:val="566007EF"/>
    <w:rsid w:val="56601047"/>
    <w:rsid w:val="5660442A"/>
    <w:rsid w:val="56612644"/>
    <w:rsid w:val="5661367A"/>
    <w:rsid w:val="56616015"/>
    <w:rsid w:val="56616D4A"/>
    <w:rsid w:val="56617B1E"/>
    <w:rsid w:val="56621725"/>
    <w:rsid w:val="5662376F"/>
    <w:rsid w:val="566248AD"/>
    <w:rsid w:val="56627258"/>
    <w:rsid w:val="56627402"/>
    <w:rsid w:val="56631C66"/>
    <w:rsid w:val="5663315F"/>
    <w:rsid w:val="56635F96"/>
    <w:rsid w:val="5664290B"/>
    <w:rsid w:val="56642C1B"/>
    <w:rsid w:val="56644F18"/>
    <w:rsid w:val="56644F1E"/>
    <w:rsid w:val="5664667D"/>
    <w:rsid w:val="566519E1"/>
    <w:rsid w:val="566556CB"/>
    <w:rsid w:val="566567F6"/>
    <w:rsid w:val="56657940"/>
    <w:rsid w:val="56660C5B"/>
    <w:rsid w:val="56661710"/>
    <w:rsid w:val="56665134"/>
    <w:rsid w:val="56666EE2"/>
    <w:rsid w:val="56670498"/>
    <w:rsid w:val="56671D4E"/>
    <w:rsid w:val="56671D97"/>
    <w:rsid w:val="56675802"/>
    <w:rsid w:val="56682C5A"/>
    <w:rsid w:val="566838F9"/>
    <w:rsid w:val="5668404C"/>
    <w:rsid w:val="56695E3A"/>
    <w:rsid w:val="566969D2"/>
    <w:rsid w:val="566A074D"/>
    <w:rsid w:val="566A36CF"/>
    <w:rsid w:val="566A49A0"/>
    <w:rsid w:val="566A5FE7"/>
    <w:rsid w:val="566A696C"/>
    <w:rsid w:val="566B2CEC"/>
    <w:rsid w:val="566B5B65"/>
    <w:rsid w:val="566B7DFC"/>
    <w:rsid w:val="566C013E"/>
    <w:rsid w:val="566C201F"/>
    <w:rsid w:val="566C3168"/>
    <w:rsid w:val="566C6439"/>
    <w:rsid w:val="566D3D58"/>
    <w:rsid w:val="566D3E5D"/>
    <w:rsid w:val="566D441A"/>
    <w:rsid w:val="566D5FFB"/>
    <w:rsid w:val="566D64C3"/>
    <w:rsid w:val="566E1384"/>
    <w:rsid w:val="566E223B"/>
    <w:rsid w:val="566E551E"/>
    <w:rsid w:val="566E6310"/>
    <w:rsid w:val="566E7AA2"/>
    <w:rsid w:val="566F1CCA"/>
    <w:rsid w:val="566F2F46"/>
    <w:rsid w:val="566F4E48"/>
    <w:rsid w:val="5670419D"/>
    <w:rsid w:val="567042C9"/>
    <w:rsid w:val="5670611A"/>
    <w:rsid w:val="56707B76"/>
    <w:rsid w:val="56707D61"/>
    <w:rsid w:val="56713C6E"/>
    <w:rsid w:val="56717FD7"/>
    <w:rsid w:val="567250FE"/>
    <w:rsid w:val="56727369"/>
    <w:rsid w:val="567308EF"/>
    <w:rsid w:val="567315FF"/>
    <w:rsid w:val="567327F0"/>
    <w:rsid w:val="56732C0E"/>
    <w:rsid w:val="567333AD"/>
    <w:rsid w:val="56740038"/>
    <w:rsid w:val="567429A1"/>
    <w:rsid w:val="5674538A"/>
    <w:rsid w:val="567453C4"/>
    <w:rsid w:val="56747858"/>
    <w:rsid w:val="56747C84"/>
    <w:rsid w:val="567535C9"/>
    <w:rsid w:val="567551C0"/>
    <w:rsid w:val="56755377"/>
    <w:rsid w:val="5675570B"/>
    <w:rsid w:val="567577DB"/>
    <w:rsid w:val="5675781F"/>
    <w:rsid w:val="567600AE"/>
    <w:rsid w:val="567649A8"/>
    <w:rsid w:val="56764C4B"/>
    <w:rsid w:val="5676561F"/>
    <w:rsid w:val="567710EF"/>
    <w:rsid w:val="56772E9D"/>
    <w:rsid w:val="567745EB"/>
    <w:rsid w:val="56776602"/>
    <w:rsid w:val="567809C3"/>
    <w:rsid w:val="56782A9D"/>
    <w:rsid w:val="56786C15"/>
    <w:rsid w:val="56787786"/>
    <w:rsid w:val="5679190F"/>
    <w:rsid w:val="567925FC"/>
    <w:rsid w:val="56795517"/>
    <w:rsid w:val="5679712B"/>
    <w:rsid w:val="5679787F"/>
    <w:rsid w:val="567A0BDF"/>
    <w:rsid w:val="567A1602"/>
    <w:rsid w:val="567A2316"/>
    <w:rsid w:val="567A314C"/>
    <w:rsid w:val="567A771E"/>
    <w:rsid w:val="567A7A2E"/>
    <w:rsid w:val="567B1855"/>
    <w:rsid w:val="567B2F42"/>
    <w:rsid w:val="567B782E"/>
    <w:rsid w:val="567C0D81"/>
    <w:rsid w:val="567C25EA"/>
    <w:rsid w:val="567C40C1"/>
    <w:rsid w:val="567C4DFB"/>
    <w:rsid w:val="567C7621"/>
    <w:rsid w:val="567D48F7"/>
    <w:rsid w:val="567D49A9"/>
    <w:rsid w:val="567D4DE2"/>
    <w:rsid w:val="567D63F8"/>
    <w:rsid w:val="567E0E3E"/>
    <w:rsid w:val="567E247E"/>
    <w:rsid w:val="567E2F96"/>
    <w:rsid w:val="567E4ECE"/>
    <w:rsid w:val="567F1D52"/>
    <w:rsid w:val="567F3871"/>
    <w:rsid w:val="567F61F6"/>
    <w:rsid w:val="567F6A58"/>
    <w:rsid w:val="567F7FA4"/>
    <w:rsid w:val="568003A7"/>
    <w:rsid w:val="56801639"/>
    <w:rsid w:val="56801DBB"/>
    <w:rsid w:val="568036C9"/>
    <w:rsid w:val="56805EFD"/>
    <w:rsid w:val="56807095"/>
    <w:rsid w:val="56807484"/>
    <w:rsid w:val="568170E9"/>
    <w:rsid w:val="56821166"/>
    <w:rsid w:val="56824BF3"/>
    <w:rsid w:val="56824D89"/>
    <w:rsid w:val="56826DF8"/>
    <w:rsid w:val="56827948"/>
    <w:rsid w:val="56830487"/>
    <w:rsid w:val="568319A7"/>
    <w:rsid w:val="56835820"/>
    <w:rsid w:val="56837A94"/>
    <w:rsid w:val="56837EE1"/>
    <w:rsid w:val="56841962"/>
    <w:rsid w:val="568455BA"/>
    <w:rsid w:val="56847888"/>
    <w:rsid w:val="56847F8C"/>
    <w:rsid w:val="568528C1"/>
    <w:rsid w:val="56853B0E"/>
    <w:rsid w:val="56854CB5"/>
    <w:rsid w:val="568627D3"/>
    <w:rsid w:val="56864A04"/>
    <w:rsid w:val="56870A65"/>
    <w:rsid w:val="56871DA7"/>
    <w:rsid w:val="568725FD"/>
    <w:rsid w:val="56875CC2"/>
    <w:rsid w:val="56876E58"/>
    <w:rsid w:val="56883CD1"/>
    <w:rsid w:val="568841FE"/>
    <w:rsid w:val="5688673C"/>
    <w:rsid w:val="568875DB"/>
    <w:rsid w:val="56887996"/>
    <w:rsid w:val="56890308"/>
    <w:rsid w:val="56890C3B"/>
    <w:rsid w:val="56890E23"/>
    <w:rsid w:val="56891B64"/>
    <w:rsid w:val="56892BD1"/>
    <w:rsid w:val="5689497F"/>
    <w:rsid w:val="56897CA9"/>
    <w:rsid w:val="568A3CC6"/>
    <w:rsid w:val="568A4CFA"/>
    <w:rsid w:val="568A50CF"/>
    <w:rsid w:val="568A6730"/>
    <w:rsid w:val="568A7075"/>
    <w:rsid w:val="568B4E3B"/>
    <w:rsid w:val="568B73E6"/>
    <w:rsid w:val="568C0DB7"/>
    <w:rsid w:val="568C46D7"/>
    <w:rsid w:val="568C6E9E"/>
    <w:rsid w:val="568C7242"/>
    <w:rsid w:val="568C7C64"/>
    <w:rsid w:val="568D0913"/>
    <w:rsid w:val="568D168C"/>
    <w:rsid w:val="568D446F"/>
    <w:rsid w:val="568D48D7"/>
    <w:rsid w:val="568E3C3D"/>
    <w:rsid w:val="568E3E5E"/>
    <w:rsid w:val="568E3EDE"/>
    <w:rsid w:val="568E4376"/>
    <w:rsid w:val="568E6439"/>
    <w:rsid w:val="568F0938"/>
    <w:rsid w:val="568F4925"/>
    <w:rsid w:val="56901DC8"/>
    <w:rsid w:val="56904BE4"/>
    <w:rsid w:val="56905D0D"/>
    <w:rsid w:val="569071B7"/>
    <w:rsid w:val="56910A6B"/>
    <w:rsid w:val="56913373"/>
    <w:rsid w:val="569217A4"/>
    <w:rsid w:val="569246E8"/>
    <w:rsid w:val="56925F29"/>
    <w:rsid w:val="5692770B"/>
    <w:rsid w:val="56932B85"/>
    <w:rsid w:val="56933A4F"/>
    <w:rsid w:val="56933BD5"/>
    <w:rsid w:val="56944610"/>
    <w:rsid w:val="5694661D"/>
    <w:rsid w:val="56951575"/>
    <w:rsid w:val="569523A5"/>
    <w:rsid w:val="56952D74"/>
    <w:rsid w:val="56955A19"/>
    <w:rsid w:val="5695618C"/>
    <w:rsid w:val="5695725C"/>
    <w:rsid w:val="569629A8"/>
    <w:rsid w:val="56962DDC"/>
    <w:rsid w:val="56965C3A"/>
    <w:rsid w:val="56967E8E"/>
    <w:rsid w:val="5697042D"/>
    <w:rsid w:val="56970810"/>
    <w:rsid w:val="5697139C"/>
    <w:rsid w:val="56972797"/>
    <w:rsid w:val="5697353F"/>
    <w:rsid w:val="56974A19"/>
    <w:rsid w:val="569759C3"/>
    <w:rsid w:val="5697663C"/>
    <w:rsid w:val="56982186"/>
    <w:rsid w:val="56982E14"/>
    <w:rsid w:val="56983EAC"/>
    <w:rsid w:val="56984D1F"/>
    <w:rsid w:val="569927EE"/>
    <w:rsid w:val="56993EA6"/>
    <w:rsid w:val="56995A62"/>
    <w:rsid w:val="56996B0F"/>
    <w:rsid w:val="56997021"/>
    <w:rsid w:val="569972B8"/>
    <w:rsid w:val="569A0A51"/>
    <w:rsid w:val="569A241B"/>
    <w:rsid w:val="569A2BE8"/>
    <w:rsid w:val="569A4274"/>
    <w:rsid w:val="569A4DDE"/>
    <w:rsid w:val="569A6B8C"/>
    <w:rsid w:val="569B1B33"/>
    <w:rsid w:val="569C0B56"/>
    <w:rsid w:val="569C1962"/>
    <w:rsid w:val="569C2904"/>
    <w:rsid w:val="569C5A79"/>
    <w:rsid w:val="569C6DA8"/>
    <w:rsid w:val="569C731A"/>
    <w:rsid w:val="569D22F7"/>
    <w:rsid w:val="569D4B0F"/>
    <w:rsid w:val="569D64FD"/>
    <w:rsid w:val="569E0285"/>
    <w:rsid w:val="569E3FF6"/>
    <w:rsid w:val="569E41A9"/>
    <w:rsid w:val="569E4416"/>
    <w:rsid w:val="569E4421"/>
    <w:rsid w:val="569F0646"/>
    <w:rsid w:val="569F1F0E"/>
    <w:rsid w:val="569F23F4"/>
    <w:rsid w:val="569F41A2"/>
    <w:rsid w:val="569F4DC7"/>
    <w:rsid w:val="569F5E8B"/>
    <w:rsid w:val="56A057EC"/>
    <w:rsid w:val="56A0760B"/>
    <w:rsid w:val="56A0786B"/>
    <w:rsid w:val="56A11831"/>
    <w:rsid w:val="56A12D4D"/>
    <w:rsid w:val="56A143BE"/>
    <w:rsid w:val="56A14429"/>
    <w:rsid w:val="56A144C0"/>
    <w:rsid w:val="56A1616C"/>
    <w:rsid w:val="56A204F4"/>
    <w:rsid w:val="56A241DD"/>
    <w:rsid w:val="56A24BF9"/>
    <w:rsid w:val="56A25A40"/>
    <w:rsid w:val="56A25C36"/>
    <w:rsid w:val="56A32DC2"/>
    <w:rsid w:val="56A33C92"/>
    <w:rsid w:val="56A35774"/>
    <w:rsid w:val="56A36794"/>
    <w:rsid w:val="56A37C80"/>
    <w:rsid w:val="56A4186B"/>
    <w:rsid w:val="56A47A0A"/>
    <w:rsid w:val="56A54805"/>
    <w:rsid w:val="56A60E36"/>
    <w:rsid w:val="56A62BEF"/>
    <w:rsid w:val="56A63783"/>
    <w:rsid w:val="56A64A71"/>
    <w:rsid w:val="56A66775"/>
    <w:rsid w:val="56A67586"/>
    <w:rsid w:val="56A70289"/>
    <w:rsid w:val="56A83000"/>
    <w:rsid w:val="56A8690E"/>
    <w:rsid w:val="56A87492"/>
    <w:rsid w:val="56A874FB"/>
    <w:rsid w:val="56A908B3"/>
    <w:rsid w:val="56A917B1"/>
    <w:rsid w:val="56A93273"/>
    <w:rsid w:val="56A943CB"/>
    <w:rsid w:val="56A967F3"/>
    <w:rsid w:val="56A96C73"/>
    <w:rsid w:val="56A96D34"/>
    <w:rsid w:val="56A96DCF"/>
    <w:rsid w:val="56AA203F"/>
    <w:rsid w:val="56AA2C0C"/>
    <w:rsid w:val="56AA3DFF"/>
    <w:rsid w:val="56AB2B47"/>
    <w:rsid w:val="56AB7A29"/>
    <w:rsid w:val="56AB7DC3"/>
    <w:rsid w:val="56AC0C4D"/>
    <w:rsid w:val="56AC218A"/>
    <w:rsid w:val="56AC431C"/>
    <w:rsid w:val="56AC4419"/>
    <w:rsid w:val="56AC619E"/>
    <w:rsid w:val="56AD1146"/>
    <w:rsid w:val="56AD2D63"/>
    <w:rsid w:val="56AD4B11"/>
    <w:rsid w:val="56AD68BF"/>
    <w:rsid w:val="56AE6760"/>
    <w:rsid w:val="56AF05DF"/>
    <w:rsid w:val="56AF1B02"/>
    <w:rsid w:val="56AF2410"/>
    <w:rsid w:val="56AF312F"/>
    <w:rsid w:val="56AF4EB6"/>
    <w:rsid w:val="56B00323"/>
    <w:rsid w:val="56B02D5A"/>
    <w:rsid w:val="56B075A1"/>
    <w:rsid w:val="56B131D4"/>
    <w:rsid w:val="56B2111C"/>
    <w:rsid w:val="56B22BE0"/>
    <w:rsid w:val="56B23ED5"/>
    <w:rsid w:val="56B25162"/>
    <w:rsid w:val="56B31D56"/>
    <w:rsid w:val="56B33D6E"/>
    <w:rsid w:val="56B35A9C"/>
    <w:rsid w:val="56B3692D"/>
    <w:rsid w:val="56B37C4E"/>
    <w:rsid w:val="56B41C60"/>
    <w:rsid w:val="56B440F1"/>
    <w:rsid w:val="56B448D8"/>
    <w:rsid w:val="56B45405"/>
    <w:rsid w:val="56B45E9F"/>
    <w:rsid w:val="56B47C66"/>
    <w:rsid w:val="56B47FFE"/>
    <w:rsid w:val="56B55774"/>
    <w:rsid w:val="56B57E6A"/>
    <w:rsid w:val="56B62346"/>
    <w:rsid w:val="56B760B7"/>
    <w:rsid w:val="56B7773E"/>
    <w:rsid w:val="56B7792A"/>
    <w:rsid w:val="56B77B44"/>
    <w:rsid w:val="56B80C90"/>
    <w:rsid w:val="56B80FD4"/>
    <w:rsid w:val="56B840A5"/>
    <w:rsid w:val="56B8552A"/>
    <w:rsid w:val="56B860EB"/>
    <w:rsid w:val="56B90D23"/>
    <w:rsid w:val="56B91708"/>
    <w:rsid w:val="56B934B6"/>
    <w:rsid w:val="56B94900"/>
    <w:rsid w:val="56B95F8F"/>
    <w:rsid w:val="56B977FB"/>
    <w:rsid w:val="56BA0FDC"/>
    <w:rsid w:val="56BA16F6"/>
    <w:rsid w:val="56BA319D"/>
    <w:rsid w:val="56BA5328"/>
    <w:rsid w:val="56BA5480"/>
    <w:rsid w:val="56BA722E"/>
    <w:rsid w:val="56BA732E"/>
    <w:rsid w:val="56BB2B85"/>
    <w:rsid w:val="56BB4F27"/>
    <w:rsid w:val="56BB686A"/>
    <w:rsid w:val="56BB711E"/>
    <w:rsid w:val="56BB7D0B"/>
    <w:rsid w:val="56BC13FA"/>
    <w:rsid w:val="56BC40A4"/>
    <w:rsid w:val="56BC7324"/>
    <w:rsid w:val="56BD2275"/>
    <w:rsid w:val="56BD3FCB"/>
    <w:rsid w:val="56BE014A"/>
    <w:rsid w:val="56BE0631"/>
    <w:rsid w:val="56BE0ACC"/>
    <w:rsid w:val="56BE4696"/>
    <w:rsid w:val="56BE6250"/>
    <w:rsid w:val="56BE6D1E"/>
    <w:rsid w:val="56BE7AB9"/>
    <w:rsid w:val="56BF1C6F"/>
    <w:rsid w:val="56BF4844"/>
    <w:rsid w:val="56BF6E31"/>
    <w:rsid w:val="56BF7059"/>
    <w:rsid w:val="56C00ADC"/>
    <w:rsid w:val="56C01DA8"/>
    <w:rsid w:val="56C02A96"/>
    <w:rsid w:val="56C04042"/>
    <w:rsid w:val="56C05663"/>
    <w:rsid w:val="56C105BC"/>
    <w:rsid w:val="56C15D4E"/>
    <w:rsid w:val="56C161D8"/>
    <w:rsid w:val="56C1680E"/>
    <w:rsid w:val="56C23675"/>
    <w:rsid w:val="56C24012"/>
    <w:rsid w:val="56C24094"/>
    <w:rsid w:val="56C24716"/>
    <w:rsid w:val="56C30C98"/>
    <w:rsid w:val="56C34335"/>
    <w:rsid w:val="56C35B81"/>
    <w:rsid w:val="56C408AC"/>
    <w:rsid w:val="56C43C09"/>
    <w:rsid w:val="56C44B23"/>
    <w:rsid w:val="56C44C7C"/>
    <w:rsid w:val="56C500AD"/>
    <w:rsid w:val="56C53206"/>
    <w:rsid w:val="56C5361C"/>
    <w:rsid w:val="56C600E7"/>
    <w:rsid w:val="56C61E97"/>
    <w:rsid w:val="56C62F14"/>
    <w:rsid w:val="56C635D8"/>
    <w:rsid w:val="56C65BD3"/>
    <w:rsid w:val="56C66707"/>
    <w:rsid w:val="56C76F1F"/>
    <w:rsid w:val="56C7782F"/>
    <w:rsid w:val="56C7784B"/>
    <w:rsid w:val="56C803D5"/>
    <w:rsid w:val="56C849B2"/>
    <w:rsid w:val="56C87388"/>
    <w:rsid w:val="56C9121F"/>
    <w:rsid w:val="56C92776"/>
    <w:rsid w:val="56C9741A"/>
    <w:rsid w:val="56C97471"/>
    <w:rsid w:val="56CA2C4C"/>
    <w:rsid w:val="56CA44A4"/>
    <w:rsid w:val="56CA56C3"/>
    <w:rsid w:val="56CA7AFD"/>
    <w:rsid w:val="56CB143B"/>
    <w:rsid w:val="56CB31E9"/>
    <w:rsid w:val="56CB744A"/>
    <w:rsid w:val="56CC23A4"/>
    <w:rsid w:val="56CC5D09"/>
    <w:rsid w:val="56CD0747"/>
    <w:rsid w:val="56CD1D6A"/>
    <w:rsid w:val="56CD51B3"/>
    <w:rsid w:val="56CD7707"/>
    <w:rsid w:val="56CE4A87"/>
    <w:rsid w:val="56CE4EBC"/>
    <w:rsid w:val="56CE4EC1"/>
    <w:rsid w:val="56CE6B81"/>
    <w:rsid w:val="56CF0F2B"/>
    <w:rsid w:val="56D007FF"/>
    <w:rsid w:val="56D02E08"/>
    <w:rsid w:val="56D037CA"/>
    <w:rsid w:val="56D06A51"/>
    <w:rsid w:val="56D106EB"/>
    <w:rsid w:val="56D114C1"/>
    <w:rsid w:val="56D21B7B"/>
    <w:rsid w:val="56D227CA"/>
    <w:rsid w:val="56D24578"/>
    <w:rsid w:val="56D3300B"/>
    <w:rsid w:val="56D35E0B"/>
    <w:rsid w:val="56D36900"/>
    <w:rsid w:val="56D3735C"/>
    <w:rsid w:val="56D402F0"/>
    <w:rsid w:val="56D40AB7"/>
    <w:rsid w:val="56D4209E"/>
    <w:rsid w:val="56D43479"/>
    <w:rsid w:val="56D45B12"/>
    <w:rsid w:val="56D47D5A"/>
    <w:rsid w:val="56D504FC"/>
    <w:rsid w:val="56D51C1C"/>
    <w:rsid w:val="56D536D5"/>
    <w:rsid w:val="56D55E16"/>
    <w:rsid w:val="56D56FE1"/>
    <w:rsid w:val="56D57BA3"/>
    <w:rsid w:val="56D63AED"/>
    <w:rsid w:val="56D66CFA"/>
    <w:rsid w:val="56D71B8E"/>
    <w:rsid w:val="56D7393C"/>
    <w:rsid w:val="56D73A46"/>
    <w:rsid w:val="56D7455D"/>
    <w:rsid w:val="56D748D1"/>
    <w:rsid w:val="56D77DE0"/>
    <w:rsid w:val="56D830CF"/>
    <w:rsid w:val="56D83457"/>
    <w:rsid w:val="56D83D90"/>
    <w:rsid w:val="56D83DF0"/>
    <w:rsid w:val="56D922C0"/>
    <w:rsid w:val="56D93B58"/>
    <w:rsid w:val="56D95906"/>
    <w:rsid w:val="56D976B4"/>
    <w:rsid w:val="56DA167E"/>
    <w:rsid w:val="56DA1B8B"/>
    <w:rsid w:val="56DA2EDE"/>
    <w:rsid w:val="56DA600B"/>
    <w:rsid w:val="56DA744F"/>
    <w:rsid w:val="56DA7AB8"/>
    <w:rsid w:val="56DB4B36"/>
    <w:rsid w:val="56DB56A7"/>
    <w:rsid w:val="56DB6DB4"/>
    <w:rsid w:val="56DB78D0"/>
    <w:rsid w:val="56DC0B7D"/>
    <w:rsid w:val="56DC0F52"/>
    <w:rsid w:val="56DC4338"/>
    <w:rsid w:val="56DC53F6"/>
    <w:rsid w:val="56DD185F"/>
    <w:rsid w:val="56DD3A28"/>
    <w:rsid w:val="56DD4475"/>
    <w:rsid w:val="56DD61E8"/>
    <w:rsid w:val="56DD7347"/>
    <w:rsid w:val="56DE2F1C"/>
    <w:rsid w:val="56DF0A43"/>
    <w:rsid w:val="56DF14F6"/>
    <w:rsid w:val="56DF397A"/>
    <w:rsid w:val="56DF6C95"/>
    <w:rsid w:val="56DF7E86"/>
    <w:rsid w:val="56E01563"/>
    <w:rsid w:val="56E037ED"/>
    <w:rsid w:val="56E05C34"/>
    <w:rsid w:val="56E10C5F"/>
    <w:rsid w:val="56E11662"/>
    <w:rsid w:val="56E12CB4"/>
    <w:rsid w:val="56E15A0F"/>
    <w:rsid w:val="56E16569"/>
    <w:rsid w:val="56E2065A"/>
    <w:rsid w:val="56E20B7B"/>
    <w:rsid w:val="56E211A9"/>
    <w:rsid w:val="56E26154"/>
    <w:rsid w:val="56E30533"/>
    <w:rsid w:val="56E30764"/>
    <w:rsid w:val="56E322E1"/>
    <w:rsid w:val="56E36785"/>
    <w:rsid w:val="56E37F4A"/>
    <w:rsid w:val="56E4505B"/>
    <w:rsid w:val="56E51454"/>
    <w:rsid w:val="56E515B4"/>
    <w:rsid w:val="56E61DD1"/>
    <w:rsid w:val="56E6540B"/>
    <w:rsid w:val="56E72911"/>
    <w:rsid w:val="56E83D9B"/>
    <w:rsid w:val="56E86972"/>
    <w:rsid w:val="56E91A3D"/>
    <w:rsid w:val="56E92663"/>
    <w:rsid w:val="56E94DF1"/>
    <w:rsid w:val="56E95231"/>
    <w:rsid w:val="56E96232"/>
    <w:rsid w:val="56E977BA"/>
    <w:rsid w:val="56EA3698"/>
    <w:rsid w:val="56EA7B13"/>
    <w:rsid w:val="56EB20B4"/>
    <w:rsid w:val="56EB250A"/>
    <w:rsid w:val="56EB2722"/>
    <w:rsid w:val="56EB2779"/>
    <w:rsid w:val="56EC3DAC"/>
    <w:rsid w:val="56EC58D0"/>
    <w:rsid w:val="56EC6BBF"/>
    <w:rsid w:val="56ED13B1"/>
    <w:rsid w:val="56ED6CD2"/>
    <w:rsid w:val="56EE10A3"/>
    <w:rsid w:val="56EE25D4"/>
    <w:rsid w:val="56EF4B20"/>
    <w:rsid w:val="56EF512A"/>
    <w:rsid w:val="56F00EA2"/>
    <w:rsid w:val="56F01053"/>
    <w:rsid w:val="56F02C50"/>
    <w:rsid w:val="56F0421C"/>
    <w:rsid w:val="56F05104"/>
    <w:rsid w:val="56F06352"/>
    <w:rsid w:val="56F06FC1"/>
    <w:rsid w:val="56F11165"/>
    <w:rsid w:val="56F20776"/>
    <w:rsid w:val="56F24C1A"/>
    <w:rsid w:val="56F25B8A"/>
    <w:rsid w:val="56F269C8"/>
    <w:rsid w:val="56F27A24"/>
    <w:rsid w:val="56F3629C"/>
    <w:rsid w:val="56F36BD1"/>
    <w:rsid w:val="56F40992"/>
    <w:rsid w:val="56F4100D"/>
    <w:rsid w:val="56F41EFE"/>
    <w:rsid w:val="56F4288F"/>
    <w:rsid w:val="56F444EE"/>
    <w:rsid w:val="56F44F15"/>
    <w:rsid w:val="56F46F6B"/>
    <w:rsid w:val="56F60F76"/>
    <w:rsid w:val="56F64B10"/>
    <w:rsid w:val="56F664B8"/>
    <w:rsid w:val="56F66AEF"/>
    <w:rsid w:val="56F70462"/>
    <w:rsid w:val="56F7461E"/>
    <w:rsid w:val="56F804D1"/>
    <w:rsid w:val="56F839F0"/>
    <w:rsid w:val="56F90385"/>
    <w:rsid w:val="56F933EE"/>
    <w:rsid w:val="56F936D0"/>
    <w:rsid w:val="56F93E68"/>
    <w:rsid w:val="56F94D26"/>
    <w:rsid w:val="56F96600"/>
    <w:rsid w:val="56F96E7B"/>
    <w:rsid w:val="56F97FA2"/>
    <w:rsid w:val="56FA3E54"/>
    <w:rsid w:val="56FA587C"/>
    <w:rsid w:val="56FB19FA"/>
    <w:rsid w:val="56FB7D17"/>
    <w:rsid w:val="56FC34AC"/>
    <w:rsid w:val="56FC70A5"/>
    <w:rsid w:val="56FC76C5"/>
    <w:rsid w:val="56FD4248"/>
    <w:rsid w:val="56FD4B37"/>
    <w:rsid w:val="56FD6B86"/>
    <w:rsid w:val="56FD6F36"/>
    <w:rsid w:val="56FE536D"/>
    <w:rsid w:val="56FE6A2A"/>
    <w:rsid w:val="56FE711B"/>
    <w:rsid w:val="56FF14FB"/>
    <w:rsid w:val="56FF195E"/>
    <w:rsid w:val="56FF2E93"/>
    <w:rsid w:val="56FF529C"/>
    <w:rsid w:val="570010E5"/>
    <w:rsid w:val="57001550"/>
    <w:rsid w:val="57004BF9"/>
    <w:rsid w:val="57007337"/>
    <w:rsid w:val="57007679"/>
    <w:rsid w:val="57007EBC"/>
    <w:rsid w:val="57011555"/>
    <w:rsid w:val="570126E0"/>
    <w:rsid w:val="57014FE4"/>
    <w:rsid w:val="57015B72"/>
    <w:rsid w:val="57016C0B"/>
    <w:rsid w:val="57022BC8"/>
    <w:rsid w:val="57022C17"/>
    <w:rsid w:val="5702376B"/>
    <w:rsid w:val="570258BB"/>
    <w:rsid w:val="57030BD5"/>
    <w:rsid w:val="57034731"/>
    <w:rsid w:val="57034BAE"/>
    <w:rsid w:val="57034FA7"/>
    <w:rsid w:val="57035150"/>
    <w:rsid w:val="570375C9"/>
    <w:rsid w:val="570411D1"/>
    <w:rsid w:val="57041E39"/>
    <w:rsid w:val="570434C9"/>
    <w:rsid w:val="57044A0A"/>
    <w:rsid w:val="570475A4"/>
    <w:rsid w:val="57054838"/>
    <w:rsid w:val="5705494D"/>
    <w:rsid w:val="570556BE"/>
    <w:rsid w:val="57060D40"/>
    <w:rsid w:val="5706139C"/>
    <w:rsid w:val="57062943"/>
    <w:rsid w:val="57064221"/>
    <w:rsid w:val="570660D6"/>
    <w:rsid w:val="57067E6D"/>
    <w:rsid w:val="57071488"/>
    <w:rsid w:val="570719BA"/>
    <w:rsid w:val="57072E88"/>
    <w:rsid w:val="57073E20"/>
    <w:rsid w:val="5708077E"/>
    <w:rsid w:val="57081A13"/>
    <w:rsid w:val="57083B3A"/>
    <w:rsid w:val="570854B5"/>
    <w:rsid w:val="57085F6B"/>
    <w:rsid w:val="57090B04"/>
    <w:rsid w:val="57095CCC"/>
    <w:rsid w:val="57095FD3"/>
    <w:rsid w:val="570974C0"/>
    <w:rsid w:val="570A087C"/>
    <w:rsid w:val="570A0EC0"/>
    <w:rsid w:val="570A1F63"/>
    <w:rsid w:val="570A5644"/>
    <w:rsid w:val="570B12A2"/>
    <w:rsid w:val="570B1838"/>
    <w:rsid w:val="570B6AF7"/>
    <w:rsid w:val="570B70C6"/>
    <w:rsid w:val="570B7A8A"/>
    <w:rsid w:val="570B7BC4"/>
    <w:rsid w:val="570C5CDB"/>
    <w:rsid w:val="570D19CB"/>
    <w:rsid w:val="570D2653"/>
    <w:rsid w:val="570D2A16"/>
    <w:rsid w:val="570D3802"/>
    <w:rsid w:val="570D3CE3"/>
    <w:rsid w:val="570D4623"/>
    <w:rsid w:val="570D505B"/>
    <w:rsid w:val="570D55B0"/>
    <w:rsid w:val="570D735E"/>
    <w:rsid w:val="570E6A3E"/>
    <w:rsid w:val="570F1328"/>
    <w:rsid w:val="570F20C7"/>
    <w:rsid w:val="570F64AB"/>
    <w:rsid w:val="571046EE"/>
    <w:rsid w:val="571050A0"/>
    <w:rsid w:val="57111B5E"/>
    <w:rsid w:val="571132F2"/>
    <w:rsid w:val="57114B56"/>
    <w:rsid w:val="571156FA"/>
    <w:rsid w:val="571170BF"/>
    <w:rsid w:val="57120E18"/>
    <w:rsid w:val="57122084"/>
    <w:rsid w:val="57122BC6"/>
    <w:rsid w:val="57122D3C"/>
    <w:rsid w:val="5712700E"/>
    <w:rsid w:val="5712706A"/>
    <w:rsid w:val="571278F9"/>
    <w:rsid w:val="57127D50"/>
    <w:rsid w:val="5713306F"/>
    <w:rsid w:val="5713707A"/>
    <w:rsid w:val="571406EC"/>
    <w:rsid w:val="57144B90"/>
    <w:rsid w:val="57145388"/>
    <w:rsid w:val="57150D48"/>
    <w:rsid w:val="571526B6"/>
    <w:rsid w:val="571577F0"/>
    <w:rsid w:val="57157E7F"/>
    <w:rsid w:val="57160908"/>
    <w:rsid w:val="57165127"/>
    <w:rsid w:val="571701DC"/>
    <w:rsid w:val="57174680"/>
    <w:rsid w:val="571864E1"/>
    <w:rsid w:val="571906FB"/>
    <w:rsid w:val="57191B56"/>
    <w:rsid w:val="571934A5"/>
    <w:rsid w:val="57193F55"/>
    <w:rsid w:val="571A1A30"/>
    <w:rsid w:val="571A1EA4"/>
    <w:rsid w:val="571A372A"/>
    <w:rsid w:val="571A4A01"/>
    <w:rsid w:val="571A4B5C"/>
    <w:rsid w:val="571A6538"/>
    <w:rsid w:val="571B1801"/>
    <w:rsid w:val="571B2939"/>
    <w:rsid w:val="571B3221"/>
    <w:rsid w:val="571B4526"/>
    <w:rsid w:val="571B4B00"/>
    <w:rsid w:val="571B6CE8"/>
    <w:rsid w:val="571B7CCD"/>
    <w:rsid w:val="571C06D9"/>
    <w:rsid w:val="571C1C97"/>
    <w:rsid w:val="571C2043"/>
    <w:rsid w:val="571C2784"/>
    <w:rsid w:val="571C3A45"/>
    <w:rsid w:val="571D0DE0"/>
    <w:rsid w:val="571D1E09"/>
    <w:rsid w:val="571E156B"/>
    <w:rsid w:val="571E55B1"/>
    <w:rsid w:val="571E5A0F"/>
    <w:rsid w:val="571E7ECD"/>
    <w:rsid w:val="571F1612"/>
    <w:rsid w:val="571F1CF9"/>
    <w:rsid w:val="571F3226"/>
    <w:rsid w:val="57203535"/>
    <w:rsid w:val="572039A1"/>
    <w:rsid w:val="57203D0E"/>
    <w:rsid w:val="572052E3"/>
    <w:rsid w:val="572111BB"/>
    <w:rsid w:val="57212E09"/>
    <w:rsid w:val="57215673"/>
    <w:rsid w:val="57215CC0"/>
    <w:rsid w:val="5721633A"/>
    <w:rsid w:val="572172AD"/>
    <w:rsid w:val="57221502"/>
    <w:rsid w:val="57223D6F"/>
    <w:rsid w:val="572253C2"/>
    <w:rsid w:val="5723044D"/>
    <w:rsid w:val="57233025"/>
    <w:rsid w:val="57234DD3"/>
    <w:rsid w:val="57236B81"/>
    <w:rsid w:val="57240B48"/>
    <w:rsid w:val="572422CE"/>
    <w:rsid w:val="57243FF4"/>
    <w:rsid w:val="57244E1C"/>
    <w:rsid w:val="5724557D"/>
    <w:rsid w:val="572528F9"/>
    <w:rsid w:val="57252910"/>
    <w:rsid w:val="572545D3"/>
    <w:rsid w:val="57255484"/>
    <w:rsid w:val="572628D4"/>
    <w:rsid w:val="57262AF6"/>
    <w:rsid w:val="572700D9"/>
    <w:rsid w:val="57271445"/>
    <w:rsid w:val="57271610"/>
    <w:rsid w:val="57272B15"/>
    <w:rsid w:val="57273AB7"/>
    <w:rsid w:val="572743C0"/>
    <w:rsid w:val="572763D8"/>
    <w:rsid w:val="5728063B"/>
    <w:rsid w:val="572823EA"/>
    <w:rsid w:val="57283E05"/>
    <w:rsid w:val="572904F0"/>
    <w:rsid w:val="572926C4"/>
    <w:rsid w:val="57292ED2"/>
    <w:rsid w:val="572956A2"/>
    <w:rsid w:val="572978B5"/>
    <w:rsid w:val="572A0FF2"/>
    <w:rsid w:val="572A5F86"/>
    <w:rsid w:val="572A7F10"/>
    <w:rsid w:val="572B0DB1"/>
    <w:rsid w:val="572B3FFE"/>
    <w:rsid w:val="572B6143"/>
    <w:rsid w:val="572B79D7"/>
    <w:rsid w:val="572B7C6C"/>
    <w:rsid w:val="572C012C"/>
    <w:rsid w:val="572C121C"/>
    <w:rsid w:val="572C28F0"/>
    <w:rsid w:val="572C50C1"/>
    <w:rsid w:val="572C6D41"/>
    <w:rsid w:val="572D13C0"/>
    <w:rsid w:val="572D17AE"/>
    <w:rsid w:val="572D2453"/>
    <w:rsid w:val="572D5C52"/>
    <w:rsid w:val="572E039E"/>
    <w:rsid w:val="572E4332"/>
    <w:rsid w:val="572E7C77"/>
    <w:rsid w:val="572F19CA"/>
    <w:rsid w:val="572F3778"/>
    <w:rsid w:val="572F57F8"/>
    <w:rsid w:val="572F7F5B"/>
    <w:rsid w:val="5730129E"/>
    <w:rsid w:val="5730339A"/>
    <w:rsid w:val="57304F35"/>
    <w:rsid w:val="5730619A"/>
    <w:rsid w:val="573112CD"/>
    <w:rsid w:val="57312A2E"/>
    <w:rsid w:val="57315742"/>
    <w:rsid w:val="573174F0"/>
    <w:rsid w:val="57317889"/>
    <w:rsid w:val="57317AC4"/>
    <w:rsid w:val="573214BA"/>
    <w:rsid w:val="573221CF"/>
    <w:rsid w:val="57323268"/>
    <w:rsid w:val="57323A48"/>
    <w:rsid w:val="573241D9"/>
    <w:rsid w:val="57324A4D"/>
    <w:rsid w:val="573261F2"/>
    <w:rsid w:val="57327C15"/>
    <w:rsid w:val="57331DF4"/>
    <w:rsid w:val="573322A3"/>
    <w:rsid w:val="57334980"/>
    <w:rsid w:val="57334CB8"/>
    <w:rsid w:val="57336347"/>
    <w:rsid w:val="57340D8E"/>
    <w:rsid w:val="573423A8"/>
    <w:rsid w:val="57346615"/>
    <w:rsid w:val="57354828"/>
    <w:rsid w:val="573568B4"/>
    <w:rsid w:val="57356994"/>
    <w:rsid w:val="573570F8"/>
    <w:rsid w:val="57361457"/>
    <w:rsid w:val="57362D58"/>
    <w:rsid w:val="573651A9"/>
    <w:rsid w:val="57371162"/>
    <w:rsid w:val="5737168D"/>
    <w:rsid w:val="57373415"/>
    <w:rsid w:val="57375785"/>
    <w:rsid w:val="573759D7"/>
    <w:rsid w:val="57376467"/>
    <w:rsid w:val="57376AD1"/>
    <w:rsid w:val="57380A7F"/>
    <w:rsid w:val="573824D6"/>
    <w:rsid w:val="573861D4"/>
    <w:rsid w:val="57387FD1"/>
    <w:rsid w:val="57392639"/>
    <w:rsid w:val="57394170"/>
    <w:rsid w:val="573945F7"/>
    <w:rsid w:val="57396808"/>
    <w:rsid w:val="57396991"/>
    <w:rsid w:val="57397BDD"/>
    <w:rsid w:val="573A0E9B"/>
    <w:rsid w:val="573A21F9"/>
    <w:rsid w:val="573A3649"/>
    <w:rsid w:val="573A3ECB"/>
    <w:rsid w:val="573B036F"/>
    <w:rsid w:val="573B4C1D"/>
    <w:rsid w:val="573C7074"/>
    <w:rsid w:val="573C7C43"/>
    <w:rsid w:val="573D1EF4"/>
    <w:rsid w:val="573D370B"/>
    <w:rsid w:val="573D6AD0"/>
    <w:rsid w:val="573D71D7"/>
    <w:rsid w:val="573D7E29"/>
    <w:rsid w:val="573E1C0D"/>
    <w:rsid w:val="573E39BB"/>
    <w:rsid w:val="573E3FC9"/>
    <w:rsid w:val="573E4254"/>
    <w:rsid w:val="573F0824"/>
    <w:rsid w:val="573F56BB"/>
    <w:rsid w:val="57400478"/>
    <w:rsid w:val="574014E1"/>
    <w:rsid w:val="574024AE"/>
    <w:rsid w:val="57402582"/>
    <w:rsid w:val="57402D23"/>
    <w:rsid w:val="57405985"/>
    <w:rsid w:val="57406618"/>
    <w:rsid w:val="57406740"/>
    <w:rsid w:val="57410B05"/>
    <w:rsid w:val="57415259"/>
    <w:rsid w:val="57420661"/>
    <w:rsid w:val="57420F1E"/>
    <w:rsid w:val="574216FD"/>
    <w:rsid w:val="5742176C"/>
    <w:rsid w:val="574238DA"/>
    <w:rsid w:val="574256EF"/>
    <w:rsid w:val="574274BB"/>
    <w:rsid w:val="57427C04"/>
    <w:rsid w:val="57430A0D"/>
    <w:rsid w:val="5743275E"/>
    <w:rsid w:val="5744377B"/>
    <w:rsid w:val="57454249"/>
    <w:rsid w:val="57454D4A"/>
    <w:rsid w:val="57460BED"/>
    <w:rsid w:val="574635A2"/>
    <w:rsid w:val="574647BD"/>
    <w:rsid w:val="57464961"/>
    <w:rsid w:val="57464C52"/>
    <w:rsid w:val="57465AAA"/>
    <w:rsid w:val="57466925"/>
    <w:rsid w:val="57473AFE"/>
    <w:rsid w:val="574808E2"/>
    <w:rsid w:val="57485A0D"/>
    <w:rsid w:val="574911CD"/>
    <w:rsid w:val="57491CB7"/>
    <w:rsid w:val="57492863"/>
    <w:rsid w:val="574A2360"/>
    <w:rsid w:val="574A4D59"/>
    <w:rsid w:val="574A50BA"/>
    <w:rsid w:val="574A6804"/>
    <w:rsid w:val="574A6A8B"/>
    <w:rsid w:val="574A7041"/>
    <w:rsid w:val="574B0874"/>
    <w:rsid w:val="574B4A9D"/>
    <w:rsid w:val="574B5930"/>
    <w:rsid w:val="574C257C"/>
    <w:rsid w:val="574D00A2"/>
    <w:rsid w:val="574D1E50"/>
    <w:rsid w:val="574D3BFE"/>
    <w:rsid w:val="574D4456"/>
    <w:rsid w:val="574E5FB4"/>
    <w:rsid w:val="574F11DA"/>
    <w:rsid w:val="574F3D66"/>
    <w:rsid w:val="574F3E1A"/>
    <w:rsid w:val="574F46D7"/>
    <w:rsid w:val="574F5BC8"/>
    <w:rsid w:val="574F5C12"/>
    <w:rsid w:val="574F6FB0"/>
    <w:rsid w:val="574F722F"/>
    <w:rsid w:val="574F7E36"/>
    <w:rsid w:val="57501730"/>
    <w:rsid w:val="57507E64"/>
    <w:rsid w:val="57511940"/>
    <w:rsid w:val="57511B24"/>
    <w:rsid w:val="57521214"/>
    <w:rsid w:val="57527466"/>
    <w:rsid w:val="5753390A"/>
    <w:rsid w:val="575345F8"/>
    <w:rsid w:val="57535931"/>
    <w:rsid w:val="57541287"/>
    <w:rsid w:val="57541992"/>
    <w:rsid w:val="575427B7"/>
    <w:rsid w:val="575431DF"/>
    <w:rsid w:val="57544C2C"/>
    <w:rsid w:val="57544C5A"/>
    <w:rsid w:val="57544F8D"/>
    <w:rsid w:val="575479F9"/>
    <w:rsid w:val="57550741"/>
    <w:rsid w:val="5755327F"/>
    <w:rsid w:val="57560D05"/>
    <w:rsid w:val="575635E0"/>
    <w:rsid w:val="57564C7B"/>
    <w:rsid w:val="575651A9"/>
    <w:rsid w:val="57566034"/>
    <w:rsid w:val="57566F57"/>
    <w:rsid w:val="5757155B"/>
    <w:rsid w:val="57572B9F"/>
    <w:rsid w:val="57573BEF"/>
    <w:rsid w:val="57574A7D"/>
    <w:rsid w:val="57574BBE"/>
    <w:rsid w:val="57577109"/>
    <w:rsid w:val="575817A3"/>
    <w:rsid w:val="5758362D"/>
    <w:rsid w:val="57590062"/>
    <w:rsid w:val="57590CE0"/>
    <w:rsid w:val="575925A3"/>
    <w:rsid w:val="57593233"/>
    <w:rsid w:val="575A26B6"/>
    <w:rsid w:val="575B0FEC"/>
    <w:rsid w:val="575B27BF"/>
    <w:rsid w:val="575B456D"/>
    <w:rsid w:val="575B5DEA"/>
    <w:rsid w:val="575B5DFC"/>
    <w:rsid w:val="575B631B"/>
    <w:rsid w:val="575C02E5"/>
    <w:rsid w:val="575C2093"/>
    <w:rsid w:val="575D00FF"/>
    <w:rsid w:val="575D37A1"/>
    <w:rsid w:val="575E405D"/>
    <w:rsid w:val="575F3247"/>
    <w:rsid w:val="575F3EB4"/>
    <w:rsid w:val="575F3ED4"/>
    <w:rsid w:val="57601B83"/>
    <w:rsid w:val="57605801"/>
    <w:rsid w:val="5761173E"/>
    <w:rsid w:val="576158FB"/>
    <w:rsid w:val="576176AA"/>
    <w:rsid w:val="57621539"/>
    <w:rsid w:val="57622855"/>
    <w:rsid w:val="57624E59"/>
    <w:rsid w:val="57625B2C"/>
    <w:rsid w:val="57630B2F"/>
    <w:rsid w:val="576310AD"/>
    <w:rsid w:val="576322D4"/>
    <w:rsid w:val="57633449"/>
    <w:rsid w:val="57633618"/>
    <w:rsid w:val="576378C6"/>
    <w:rsid w:val="57646B6A"/>
    <w:rsid w:val="57646D20"/>
    <w:rsid w:val="57647D46"/>
    <w:rsid w:val="57650F48"/>
    <w:rsid w:val="57652C71"/>
    <w:rsid w:val="5765363E"/>
    <w:rsid w:val="576553EC"/>
    <w:rsid w:val="576578F5"/>
    <w:rsid w:val="57664032"/>
    <w:rsid w:val="57664CC0"/>
    <w:rsid w:val="57672F12"/>
    <w:rsid w:val="576734B1"/>
    <w:rsid w:val="576751A2"/>
    <w:rsid w:val="576764F7"/>
    <w:rsid w:val="57681298"/>
    <w:rsid w:val="5768228F"/>
    <w:rsid w:val="576834D6"/>
    <w:rsid w:val="5768408A"/>
    <w:rsid w:val="57684EDC"/>
    <w:rsid w:val="5768566C"/>
    <w:rsid w:val="57685B93"/>
    <w:rsid w:val="576861E6"/>
    <w:rsid w:val="57690014"/>
    <w:rsid w:val="57691D11"/>
    <w:rsid w:val="576A0ED3"/>
    <w:rsid w:val="576A0FE7"/>
    <w:rsid w:val="576A78C0"/>
    <w:rsid w:val="576B0055"/>
    <w:rsid w:val="576B029A"/>
    <w:rsid w:val="576B6F10"/>
    <w:rsid w:val="576C0528"/>
    <w:rsid w:val="576C5580"/>
    <w:rsid w:val="576C677A"/>
    <w:rsid w:val="576C75AD"/>
    <w:rsid w:val="576D24F2"/>
    <w:rsid w:val="576D42A0"/>
    <w:rsid w:val="576D604E"/>
    <w:rsid w:val="576D6C39"/>
    <w:rsid w:val="576E0518"/>
    <w:rsid w:val="576E08CA"/>
    <w:rsid w:val="576E764B"/>
    <w:rsid w:val="576F080B"/>
    <w:rsid w:val="576F1DC6"/>
    <w:rsid w:val="576F6D35"/>
    <w:rsid w:val="576F7FC6"/>
    <w:rsid w:val="57701675"/>
    <w:rsid w:val="577055A3"/>
    <w:rsid w:val="57706BB6"/>
    <w:rsid w:val="577107C3"/>
    <w:rsid w:val="57710CB6"/>
    <w:rsid w:val="577111FA"/>
    <w:rsid w:val="57713D91"/>
    <w:rsid w:val="577157E6"/>
    <w:rsid w:val="57715B3F"/>
    <w:rsid w:val="5772116C"/>
    <w:rsid w:val="57727B09"/>
    <w:rsid w:val="57733A83"/>
    <w:rsid w:val="577363AB"/>
    <w:rsid w:val="5774562F"/>
    <w:rsid w:val="577473DD"/>
    <w:rsid w:val="577613A7"/>
    <w:rsid w:val="57763155"/>
    <w:rsid w:val="57770C7B"/>
    <w:rsid w:val="577735EB"/>
    <w:rsid w:val="57776ECD"/>
    <w:rsid w:val="57777A4F"/>
    <w:rsid w:val="57783371"/>
    <w:rsid w:val="57784242"/>
    <w:rsid w:val="5778511F"/>
    <w:rsid w:val="577861BC"/>
    <w:rsid w:val="57790112"/>
    <w:rsid w:val="57792146"/>
    <w:rsid w:val="577927A3"/>
    <w:rsid w:val="577927EC"/>
    <w:rsid w:val="57792C45"/>
    <w:rsid w:val="57793014"/>
    <w:rsid w:val="577947C9"/>
    <w:rsid w:val="577949F3"/>
    <w:rsid w:val="5779764C"/>
    <w:rsid w:val="577A0B1A"/>
    <w:rsid w:val="577A1A4C"/>
    <w:rsid w:val="577A27CB"/>
    <w:rsid w:val="577A4D84"/>
    <w:rsid w:val="577A6998"/>
    <w:rsid w:val="577B076B"/>
    <w:rsid w:val="577B1F6C"/>
    <w:rsid w:val="577B2658"/>
    <w:rsid w:val="577B3AE2"/>
    <w:rsid w:val="577B69BD"/>
    <w:rsid w:val="577B70F8"/>
    <w:rsid w:val="577B7AC1"/>
    <w:rsid w:val="577C128B"/>
    <w:rsid w:val="577D0987"/>
    <w:rsid w:val="577D2735"/>
    <w:rsid w:val="577D3668"/>
    <w:rsid w:val="577D4843"/>
    <w:rsid w:val="577D5546"/>
    <w:rsid w:val="577D571D"/>
    <w:rsid w:val="577D6E73"/>
    <w:rsid w:val="577D7A0C"/>
    <w:rsid w:val="577E025B"/>
    <w:rsid w:val="577E202E"/>
    <w:rsid w:val="577E3339"/>
    <w:rsid w:val="577E34BE"/>
    <w:rsid w:val="577E64AD"/>
    <w:rsid w:val="57800C1F"/>
    <w:rsid w:val="578032F3"/>
    <w:rsid w:val="57805280"/>
    <w:rsid w:val="578053A3"/>
    <w:rsid w:val="57805669"/>
    <w:rsid w:val="578109AF"/>
    <w:rsid w:val="57813C6A"/>
    <w:rsid w:val="57823957"/>
    <w:rsid w:val="57830786"/>
    <w:rsid w:val="578307F8"/>
    <w:rsid w:val="57832A3D"/>
    <w:rsid w:val="57832FE9"/>
    <w:rsid w:val="57833AC4"/>
    <w:rsid w:val="578356FB"/>
    <w:rsid w:val="5783573B"/>
    <w:rsid w:val="57835872"/>
    <w:rsid w:val="57836F5B"/>
    <w:rsid w:val="57842182"/>
    <w:rsid w:val="57842C6E"/>
    <w:rsid w:val="57843025"/>
    <w:rsid w:val="57844E60"/>
    <w:rsid w:val="578452C2"/>
    <w:rsid w:val="57845A83"/>
    <w:rsid w:val="578516E2"/>
    <w:rsid w:val="57851BCA"/>
    <w:rsid w:val="578536F1"/>
    <w:rsid w:val="5785783C"/>
    <w:rsid w:val="57862942"/>
    <w:rsid w:val="578636D8"/>
    <w:rsid w:val="5786426B"/>
    <w:rsid w:val="57864B01"/>
    <w:rsid w:val="578810DA"/>
    <w:rsid w:val="5788422D"/>
    <w:rsid w:val="578860F6"/>
    <w:rsid w:val="578A05D1"/>
    <w:rsid w:val="578A13CE"/>
    <w:rsid w:val="578A1A61"/>
    <w:rsid w:val="578A21C1"/>
    <w:rsid w:val="578A2317"/>
    <w:rsid w:val="578A3A1A"/>
    <w:rsid w:val="578A6C00"/>
    <w:rsid w:val="578B3C10"/>
    <w:rsid w:val="578B63DA"/>
    <w:rsid w:val="578B719D"/>
    <w:rsid w:val="578C3CEA"/>
    <w:rsid w:val="578C6C71"/>
    <w:rsid w:val="578D3476"/>
    <w:rsid w:val="578D56B7"/>
    <w:rsid w:val="578E1617"/>
    <w:rsid w:val="578E4942"/>
    <w:rsid w:val="578F1872"/>
    <w:rsid w:val="578F2469"/>
    <w:rsid w:val="578F4217"/>
    <w:rsid w:val="578F6BCB"/>
    <w:rsid w:val="57902AC4"/>
    <w:rsid w:val="57905F95"/>
    <w:rsid w:val="579066AE"/>
    <w:rsid w:val="57910068"/>
    <w:rsid w:val="57911D3D"/>
    <w:rsid w:val="57917F8F"/>
    <w:rsid w:val="5792383C"/>
    <w:rsid w:val="57923D07"/>
    <w:rsid w:val="57925AB5"/>
    <w:rsid w:val="57927711"/>
    <w:rsid w:val="57932DC4"/>
    <w:rsid w:val="57934944"/>
    <w:rsid w:val="579411BA"/>
    <w:rsid w:val="5794182D"/>
    <w:rsid w:val="57942845"/>
    <w:rsid w:val="57945CD1"/>
    <w:rsid w:val="57946E25"/>
    <w:rsid w:val="57947105"/>
    <w:rsid w:val="57951BC2"/>
    <w:rsid w:val="57960DA6"/>
    <w:rsid w:val="57963460"/>
    <w:rsid w:val="579637F7"/>
    <w:rsid w:val="5797131D"/>
    <w:rsid w:val="579734C8"/>
    <w:rsid w:val="57976B76"/>
    <w:rsid w:val="57980D40"/>
    <w:rsid w:val="57980FBE"/>
    <w:rsid w:val="579813FC"/>
    <w:rsid w:val="57990078"/>
    <w:rsid w:val="57991E7D"/>
    <w:rsid w:val="5799315B"/>
    <w:rsid w:val="579932E7"/>
    <w:rsid w:val="57996C36"/>
    <w:rsid w:val="579A0A9A"/>
    <w:rsid w:val="579A1556"/>
    <w:rsid w:val="579A6164"/>
    <w:rsid w:val="579B0E0D"/>
    <w:rsid w:val="579B119C"/>
    <w:rsid w:val="579B29E6"/>
    <w:rsid w:val="579B2BBB"/>
    <w:rsid w:val="579B2D83"/>
    <w:rsid w:val="579B3AA5"/>
    <w:rsid w:val="579B50C3"/>
    <w:rsid w:val="579C110D"/>
    <w:rsid w:val="579C1FA4"/>
    <w:rsid w:val="579C2F7F"/>
    <w:rsid w:val="579C3E76"/>
    <w:rsid w:val="579C46F1"/>
    <w:rsid w:val="579C55B7"/>
    <w:rsid w:val="579C7E83"/>
    <w:rsid w:val="579D3611"/>
    <w:rsid w:val="579D3B37"/>
    <w:rsid w:val="579D3CE0"/>
    <w:rsid w:val="579D4B86"/>
    <w:rsid w:val="579D543B"/>
    <w:rsid w:val="579D6934"/>
    <w:rsid w:val="579E08FE"/>
    <w:rsid w:val="579E4204"/>
    <w:rsid w:val="579E5E58"/>
    <w:rsid w:val="579E7ED7"/>
    <w:rsid w:val="579F4FA4"/>
    <w:rsid w:val="579F5479"/>
    <w:rsid w:val="57A00704"/>
    <w:rsid w:val="57A050F7"/>
    <w:rsid w:val="57A07179"/>
    <w:rsid w:val="57A10DAA"/>
    <w:rsid w:val="57A15C82"/>
    <w:rsid w:val="57A17187"/>
    <w:rsid w:val="57A203EE"/>
    <w:rsid w:val="57A24B21"/>
    <w:rsid w:val="57A26840"/>
    <w:rsid w:val="57A27CE8"/>
    <w:rsid w:val="57A27F01"/>
    <w:rsid w:val="57A31A70"/>
    <w:rsid w:val="57A32C6A"/>
    <w:rsid w:val="57A37CC2"/>
    <w:rsid w:val="57A409F0"/>
    <w:rsid w:val="57A41612"/>
    <w:rsid w:val="57A44F18"/>
    <w:rsid w:val="57A451D9"/>
    <w:rsid w:val="57A51154"/>
    <w:rsid w:val="57A51C8C"/>
    <w:rsid w:val="57A53A3A"/>
    <w:rsid w:val="57A54617"/>
    <w:rsid w:val="57A54F0E"/>
    <w:rsid w:val="57A557E8"/>
    <w:rsid w:val="57A726CA"/>
    <w:rsid w:val="57A747B4"/>
    <w:rsid w:val="57A75A04"/>
    <w:rsid w:val="57A75BD8"/>
    <w:rsid w:val="57A76C9C"/>
    <w:rsid w:val="57A852D8"/>
    <w:rsid w:val="57A858DC"/>
    <w:rsid w:val="57A8672B"/>
    <w:rsid w:val="57A90506"/>
    <w:rsid w:val="57A92A96"/>
    <w:rsid w:val="57AA2DFF"/>
    <w:rsid w:val="57AA31A8"/>
    <w:rsid w:val="57AA3378"/>
    <w:rsid w:val="57AA647A"/>
    <w:rsid w:val="57AB06F3"/>
    <w:rsid w:val="57AB314C"/>
    <w:rsid w:val="57AB33E0"/>
    <w:rsid w:val="57AB43F8"/>
    <w:rsid w:val="57AB6DD5"/>
    <w:rsid w:val="57AC287A"/>
    <w:rsid w:val="57AC301B"/>
    <w:rsid w:val="57AC3C6A"/>
    <w:rsid w:val="57AC4DC9"/>
    <w:rsid w:val="57AC77FC"/>
    <w:rsid w:val="57AD1AFA"/>
    <w:rsid w:val="57AD362E"/>
    <w:rsid w:val="57AD4244"/>
    <w:rsid w:val="57AD4DFB"/>
    <w:rsid w:val="57AD4FA5"/>
    <w:rsid w:val="57AD7BB9"/>
    <w:rsid w:val="57AE0494"/>
    <w:rsid w:val="57AE0B41"/>
    <w:rsid w:val="57AE0B6B"/>
    <w:rsid w:val="57AE1422"/>
    <w:rsid w:val="57AE6D93"/>
    <w:rsid w:val="57AF2B0B"/>
    <w:rsid w:val="57AF3A2D"/>
    <w:rsid w:val="57B01531"/>
    <w:rsid w:val="57B10631"/>
    <w:rsid w:val="57B123DF"/>
    <w:rsid w:val="57B12F00"/>
    <w:rsid w:val="57B130E8"/>
    <w:rsid w:val="57B148C1"/>
    <w:rsid w:val="57B1634D"/>
    <w:rsid w:val="57B17F9E"/>
    <w:rsid w:val="57B2093F"/>
    <w:rsid w:val="57B22C3D"/>
    <w:rsid w:val="57B23CB5"/>
    <w:rsid w:val="57B31019"/>
    <w:rsid w:val="57B323AE"/>
    <w:rsid w:val="57B32BB4"/>
    <w:rsid w:val="57B343A9"/>
    <w:rsid w:val="57B36157"/>
    <w:rsid w:val="57B41EF5"/>
    <w:rsid w:val="57B4311E"/>
    <w:rsid w:val="57B43C7D"/>
    <w:rsid w:val="57B4547E"/>
    <w:rsid w:val="57B45940"/>
    <w:rsid w:val="57B50DA1"/>
    <w:rsid w:val="57B51D71"/>
    <w:rsid w:val="57B54490"/>
    <w:rsid w:val="57B63E99"/>
    <w:rsid w:val="57B649D0"/>
    <w:rsid w:val="57B66C5A"/>
    <w:rsid w:val="57B70478"/>
    <w:rsid w:val="57B712B0"/>
    <w:rsid w:val="57B7551B"/>
    <w:rsid w:val="57B7595D"/>
    <w:rsid w:val="57B76D9C"/>
    <w:rsid w:val="57B818D9"/>
    <w:rsid w:val="57B8376D"/>
    <w:rsid w:val="57B847ED"/>
    <w:rsid w:val="57B92FD3"/>
    <w:rsid w:val="57B95737"/>
    <w:rsid w:val="57B95BEC"/>
    <w:rsid w:val="57B974E6"/>
    <w:rsid w:val="57BA011F"/>
    <w:rsid w:val="57BA3152"/>
    <w:rsid w:val="57BA5C5E"/>
    <w:rsid w:val="57BB0A64"/>
    <w:rsid w:val="57BB1FCF"/>
    <w:rsid w:val="57BB4A66"/>
    <w:rsid w:val="57BB73FE"/>
    <w:rsid w:val="57BC3E99"/>
    <w:rsid w:val="57BC3EBC"/>
    <w:rsid w:val="57BC6BE7"/>
    <w:rsid w:val="57BC7091"/>
    <w:rsid w:val="57BD0771"/>
    <w:rsid w:val="57BD262E"/>
    <w:rsid w:val="57BD5228"/>
    <w:rsid w:val="57BD6030"/>
    <w:rsid w:val="57BD759C"/>
    <w:rsid w:val="57BE0355"/>
    <w:rsid w:val="57BE05F2"/>
    <w:rsid w:val="57BE55F9"/>
    <w:rsid w:val="57BE68AA"/>
    <w:rsid w:val="57BE74C0"/>
    <w:rsid w:val="57BF3223"/>
    <w:rsid w:val="57BF6A57"/>
    <w:rsid w:val="57C02622"/>
    <w:rsid w:val="57C061B5"/>
    <w:rsid w:val="57C06991"/>
    <w:rsid w:val="57C069AE"/>
    <w:rsid w:val="57C06AC6"/>
    <w:rsid w:val="57C114F6"/>
    <w:rsid w:val="57C1241A"/>
    <w:rsid w:val="57C125AC"/>
    <w:rsid w:val="57C2283E"/>
    <w:rsid w:val="57C325A1"/>
    <w:rsid w:val="57C33A6C"/>
    <w:rsid w:val="57C35C82"/>
    <w:rsid w:val="57C40364"/>
    <w:rsid w:val="57C41BF1"/>
    <w:rsid w:val="57C41DBB"/>
    <w:rsid w:val="57C444B7"/>
    <w:rsid w:val="57C44682"/>
    <w:rsid w:val="57C447C2"/>
    <w:rsid w:val="57C44FF9"/>
    <w:rsid w:val="57C46E06"/>
    <w:rsid w:val="57C511D4"/>
    <w:rsid w:val="57C53B6E"/>
    <w:rsid w:val="57C540DC"/>
    <w:rsid w:val="57C55E8A"/>
    <w:rsid w:val="57C562DA"/>
    <w:rsid w:val="57C655C3"/>
    <w:rsid w:val="57C66315"/>
    <w:rsid w:val="57C670E2"/>
    <w:rsid w:val="57C678DD"/>
    <w:rsid w:val="57C70572"/>
    <w:rsid w:val="57C71C02"/>
    <w:rsid w:val="57C739B1"/>
    <w:rsid w:val="57C76D7E"/>
    <w:rsid w:val="57C77E54"/>
    <w:rsid w:val="57C81A02"/>
    <w:rsid w:val="57C85765"/>
    <w:rsid w:val="57C862F0"/>
    <w:rsid w:val="57C90751"/>
    <w:rsid w:val="57C921EA"/>
    <w:rsid w:val="57C938FB"/>
    <w:rsid w:val="57C93BCD"/>
    <w:rsid w:val="57C945D3"/>
    <w:rsid w:val="57C96FA8"/>
    <w:rsid w:val="57C9767E"/>
    <w:rsid w:val="57CA10F1"/>
    <w:rsid w:val="57CA16F3"/>
    <w:rsid w:val="57CA4B84"/>
    <w:rsid w:val="57CA524F"/>
    <w:rsid w:val="57CA5A63"/>
    <w:rsid w:val="57CA6927"/>
    <w:rsid w:val="57CA6A87"/>
    <w:rsid w:val="57CA72D5"/>
    <w:rsid w:val="57CB0383"/>
    <w:rsid w:val="57CB1AC4"/>
    <w:rsid w:val="57CB395E"/>
    <w:rsid w:val="57CC0883"/>
    <w:rsid w:val="57CC1639"/>
    <w:rsid w:val="57CC1813"/>
    <w:rsid w:val="57CC4BC2"/>
    <w:rsid w:val="57CC546B"/>
    <w:rsid w:val="57CC5EBF"/>
    <w:rsid w:val="57CD4D3F"/>
    <w:rsid w:val="57CE11E3"/>
    <w:rsid w:val="57CE2E0D"/>
    <w:rsid w:val="57CE2F91"/>
    <w:rsid w:val="57CE5491"/>
    <w:rsid w:val="57CE5E7A"/>
    <w:rsid w:val="57CE6216"/>
    <w:rsid w:val="57CE6FB5"/>
    <w:rsid w:val="57CF08C3"/>
    <w:rsid w:val="57CF2865"/>
    <w:rsid w:val="57CF5097"/>
    <w:rsid w:val="57CF6972"/>
    <w:rsid w:val="57CF6D09"/>
    <w:rsid w:val="57D01CB3"/>
    <w:rsid w:val="57D0303B"/>
    <w:rsid w:val="57D0369D"/>
    <w:rsid w:val="57D04971"/>
    <w:rsid w:val="57D04F5B"/>
    <w:rsid w:val="57D10185"/>
    <w:rsid w:val="57D12A81"/>
    <w:rsid w:val="57D13527"/>
    <w:rsid w:val="57D1482F"/>
    <w:rsid w:val="57D165DD"/>
    <w:rsid w:val="57D17711"/>
    <w:rsid w:val="57D17B9A"/>
    <w:rsid w:val="57D24E95"/>
    <w:rsid w:val="57D25685"/>
    <w:rsid w:val="57D30122"/>
    <w:rsid w:val="57D305A7"/>
    <w:rsid w:val="57D32355"/>
    <w:rsid w:val="57D367F9"/>
    <w:rsid w:val="57D36B15"/>
    <w:rsid w:val="57D37005"/>
    <w:rsid w:val="57D40AF1"/>
    <w:rsid w:val="57D416E6"/>
    <w:rsid w:val="57D42C07"/>
    <w:rsid w:val="57D44C12"/>
    <w:rsid w:val="57D51F9B"/>
    <w:rsid w:val="57D55747"/>
    <w:rsid w:val="57D575DA"/>
    <w:rsid w:val="57D61E46"/>
    <w:rsid w:val="57D638D5"/>
    <w:rsid w:val="57D66BD7"/>
    <w:rsid w:val="57D83D8C"/>
    <w:rsid w:val="57D83E10"/>
    <w:rsid w:val="57D843DA"/>
    <w:rsid w:val="57D86F33"/>
    <w:rsid w:val="57D8796C"/>
    <w:rsid w:val="57D91602"/>
    <w:rsid w:val="57D9172D"/>
    <w:rsid w:val="57D91936"/>
    <w:rsid w:val="57D936E4"/>
    <w:rsid w:val="57D93FEC"/>
    <w:rsid w:val="57D96DF1"/>
    <w:rsid w:val="57D973C0"/>
    <w:rsid w:val="57D97DE1"/>
    <w:rsid w:val="57DA0118"/>
    <w:rsid w:val="57DA350D"/>
    <w:rsid w:val="57DA661F"/>
    <w:rsid w:val="57DB24F8"/>
    <w:rsid w:val="57DB2E53"/>
    <w:rsid w:val="57DB397E"/>
    <w:rsid w:val="57DB56AE"/>
    <w:rsid w:val="57DB696B"/>
    <w:rsid w:val="57DB740C"/>
    <w:rsid w:val="57DC0126"/>
    <w:rsid w:val="57DC2A49"/>
    <w:rsid w:val="57DD33CB"/>
    <w:rsid w:val="57DD4F82"/>
    <w:rsid w:val="57DD7DCB"/>
    <w:rsid w:val="57DE1033"/>
    <w:rsid w:val="57DE348C"/>
    <w:rsid w:val="57DE44F3"/>
    <w:rsid w:val="57DE484E"/>
    <w:rsid w:val="57DE65E8"/>
    <w:rsid w:val="57DF13CA"/>
    <w:rsid w:val="57DF3568"/>
    <w:rsid w:val="57DF5163"/>
    <w:rsid w:val="57E02763"/>
    <w:rsid w:val="57E0285A"/>
    <w:rsid w:val="57E04A72"/>
    <w:rsid w:val="57E079C3"/>
    <w:rsid w:val="57E07C89"/>
    <w:rsid w:val="57E07CFB"/>
    <w:rsid w:val="57E13796"/>
    <w:rsid w:val="57E1544B"/>
    <w:rsid w:val="57E16ABC"/>
    <w:rsid w:val="57E17D6A"/>
    <w:rsid w:val="57E200A3"/>
    <w:rsid w:val="57E216B6"/>
    <w:rsid w:val="57E24C8E"/>
    <w:rsid w:val="57E2545A"/>
    <w:rsid w:val="57E30E76"/>
    <w:rsid w:val="57E37736"/>
    <w:rsid w:val="57E37D4B"/>
    <w:rsid w:val="57E40841"/>
    <w:rsid w:val="57E41116"/>
    <w:rsid w:val="57E43703"/>
    <w:rsid w:val="57E43918"/>
    <w:rsid w:val="57E44562"/>
    <w:rsid w:val="57E44E3A"/>
    <w:rsid w:val="57E45D05"/>
    <w:rsid w:val="57E470D8"/>
    <w:rsid w:val="57E52089"/>
    <w:rsid w:val="57E53AFB"/>
    <w:rsid w:val="57E55763"/>
    <w:rsid w:val="57E5652D"/>
    <w:rsid w:val="57E56A0F"/>
    <w:rsid w:val="57E62D59"/>
    <w:rsid w:val="57E62EC0"/>
    <w:rsid w:val="57E6632B"/>
    <w:rsid w:val="57E72AFB"/>
    <w:rsid w:val="57E72C95"/>
    <w:rsid w:val="57E73C03"/>
    <w:rsid w:val="57E74053"/>
    <w:rsid w:val="57E747D8"/>
    <w:rsid w:val="57E75E01"/>
    <w:rsid w:val="57E80FEC"/>
    <w:rsid w:val="57E83927"/>
    <w:rsid w:val="57E91B79"/>
    <w:rsid w:val="57E93112"/>
    <w:rsid w:val="57E9504D"/>
    <w:rsid w:val="57E97DCB"/>
    <w:rsid w:val="57EA30FA"/>
    <w:rsid w:val="57EA3B43"/>
    <w:rsid w:val="57EA58F1"/>
    <w:rsid w:val="57EA7209"/>
    <w:rsid w:val="57EA769F"/>
    <w:rsid w:val="57EA7905"/>
    <w:rsid w:val="57EA7C00"/>
    <w:rsid w:val="57EB1843"/>
    <w:rsid w:val="57EB5663"/>
    <w:rsid w:val="57EC1669"/>
    <w:rsid w:val="57EC1BAB"/>
    <w:rsid w:val="57EC1D19"/>
    <w:rsid w:val="57EC5917"/>
    <w:rsid w:val="57EC60EF"/>
    <w:rsid w:val="57EE15E1"/>
    <w:rsid w:val="57EE1C5D"/>
    <w:rsid w:val="57EE3633"/>
    <w:rsid w:val="57EE53E1"/>
    <w:rsid w:val="57EF0DA5"/>
    <w:rsid w:val="57EF0F78"/>
    <w:rsid w:val="57EF3F72"/>
    <w:rsid w:val="57EF4CB5"/>
    <w:rsid w:val="57F02CE4"/>
    <w:rsid w:val="57F10C0E"/>
    <w:rsid w:val="57F13576"/>
    <w:rsid w:val="57F14ED1"/>
    <w:rsid w:val="57F17265"/>
    <w:rsid w:val="57F21D4E"/>
    <w:rsid w:val="57F24C6F"/>
    <w:rsid w:val="57F318EB"/>
    <w:rsid w:val="57F34730"/>
    <w:rsid w:val="57F353A5"/>
    <w:rsid w:val="57F35DA8"/>
    <w:rsid w:val="57F360FF"/>
    <w:rsid w:val="57F4051E"/>
    <w:rsid w:val="57F40B6D"/>
    <w:rsid w:val="57F41351"/>
    <w:rsid w:val="57F41643"/>
    <w:rsid w:val="57F42160"/>
    <w:rsid w:val="57F430D3"/>
    <w:rsid w:val="57F45B6C"/>
    <w:rsid w:val="57F47057"/>
    <w:rsid w:val="57F512CB"/>
    <w:rsid w:val="57F549C2"/>
    <w:rsid w:val="57F55084"/>
    <w:rsid w:val="57F56770"/>
    <w:rsid w:val="57F57B7C"/>
    <w:rsid w:val="57F6255C"/>
    <w:rsid w:val="57F62947"/>
    <w:rsid w:val="57F66044"/>
    <w:rsid w:val="57F665F4"/>
    <w:rsid w:val="57F7353F"/>
    <w:rsid w:val="57F73F35"/>
    <w:rsid w:val="57F75F10"/>
    <w:rsid w:val="57F8000E"/>
    <w:rsid w:val="57F81DBC"/>
    <w:rsid w:val="57F84A9A"/>
    <w:rsid w:val="57F84C33"/>
    <w:rsid w:val="57F87605"/>
    <w:rsid w:val="57F87A8D"/>
    <w:rsid w:val="57FA1ED8"/>
    <w:rsid w:val="57FA1FD8"/>
    <w:rsid w:val="57FA4C16"/>
    <w:rsid w:val="57FA4D3C"/>
    <w:rsid w:val="57FA7C93"/>
    <w:rsid w:val="57FB18AC"/>
    <w:rsid w:val="57FB1EA0"/>
    <w:rsid w:val="57FB365A"/>
    <w:rsid w:val="57FB5D50"/>
    <w:rsid w:val="57FC31E6"/>
    <w:rsid w:val="57FC64F9"/>
    <w:rsid w:val="57FD3660"/>
    <w:rsid w:val="57FD5351"/>
    <w:rsid w:val="57FD73D2"/>
    <w:rsid w:val="57FE314A"/>
    <w:rsid w:val="57FE3212"/>
    <w:rsid w:val="57FE35F6"/>
    <w:rsid w:val="57FF1C4E"/>
    <w:rsid w:val="57FF2BFF"/>
    <w:rsid w:val="57FF3E7B"/>
    <w:rsid w:val="57FF75EE"/>
    <w:rsid w:val="58003366"/>
    <w:rsid w:val="58003E07"/>
    <w:rsid w:val="58004F77"/>
    <w:rsid w:val="58005114"/>
    <w:rsid w:val="58005A58"/>
    <w:rsid w:val="58007A0C"/>
    <w:rsid w:val="5801034C"/>
    <w:rsid w:val="58020E8D"/>
    <w:rsid w:val="580214BF"/>
    <w:rsid w:val="5802153B"/>
    <w:rsid w:val="5802243F"/>
    <w:rsid w:val="58022C3B"/>
    <w:rsid w:val="580249E9"/>
    <w:rsid w:val="58024B86"/>
    <w:rsid w:val="58024F00"/>
    <w:rsid w:val="58025C93"/>
    <w:rsid w:val="58033666"/>
    <w:rsid w:val="58035BF4"/>
    <w:rsid w:val="58036A40"/>
    <w:rsid w:val="58037D75"/>
    <w:rsid w:val="58040625"/>
    <w:rsid w:val="58044C05"/>
    <w:rsid w:val="580469B3"/>
    <w:rsid w:val="58047601"/>
    <w:rsid w:val="5804772E"/>
    <w:rsid w:val="58047C4F"/>
    <w:rsid w:val="58047EFD"/>
    <w:rsid w:val="58047FBA"/>
    <w:rsid w:val="5805272B"/>
    <w:rsid w:val="580544D9"/>
    <w:rsid w:val="58055774"/>
    <w:rsid w:val="5805720D"/>
    <w:rsid w:val="5806097D"/>
    <w:rsid w:val="58062172"/>
    <w:rsid w:val="58062B30"/>
    <w:rsid w:val="58064575"/>
    <w:rsid w:val="5806582A"/>
    <w:rsid w:val="58065F40"/>
    <w:rsid w:val="58066093"/>
    <w:rsid w:val="580707C4"/>
    <w:rsid w:val="58076959"/>
    <w:rsid w:val="58085208"/>
    <w:rsid w:val="5808652D"/>
    <w:rsid w:val="58086E95"/>
    <w:rsid w:val="58090325"/>
    <w:rsid w:val="580919C0"/>
    <w:rsid w:val="5809221B"/>
    <w:rsid w:val="580943C7"/>
    <w:rsid w:val="58095D77"/>
    <w:rsid w:val="58097201"/>
    <w:rsid w:val="580A082E"/>
    <w:rsid w:val="580A1AEF"/>
    <w:rsid w:val="580A2E5C"/>
    <w:rsid w:val="580A2EF6"/>
    <w:rsid w:val="580A30C1"/>
    <w:rsid w:val="580A3A49"/>
    <w:rsid w:val="580A7AE0"/>
    <w:rsid w:val="580A7D41"/>
    <w:rsid w:val="580B0E42"/>
    <w:rsid w:val="580B10AE"/>
    <w:rsid w:val="580B5194"/>
    <w:rsid w:val="580B5BD0"/>
    <w:rsid w:val="580B5F93"/>
    <w:rsid w:val="580B6693"/>
    <w:rsid w:val="580C3793"/>
    <w:rsid w:val="580C3AB9"/>
    <w:rsid w:val="580D166F"/>
    <w:rsid w:val="580D1877"/>
    <w:rsid w:val="580D791A"/>
    <w:rsid w:val="580E5A83"/>
    <w:rsid w:val="580E7831"/>
    <w:rsid w:val="580F5357"/>
    <w:rsid w:val="580F6BAE"/>
    <w:rsid w:val="580F6C59"/>
    <w:rsid w:val="580F6D75"/>
    <w:rsid w:val="580F789A"/>
    <w:rsid w:val="581035A9"/>
    <w:rsid w:val="58106D66"/>
    <w:rsid w:val="58107721"/>
    <w:rsid w:val="581110D0"/>
    <w:rsid w:val="58112E7E"/>
    <w:rsid w:val="5811500E"/>
    <w:rsid w:val="58116D34"/>
    <w:rsid w:val="5812169B"/>
    <w:rsid w:val="58121E00"/>
    <w:rsid w:val="58122B18"/>
    <w:rsid w:val="58124259"/>
    <w:rsid w:val="5813102B"/>
    <w:rsid w:val="5813187D"/>
    <w:rsid w:val="5813309A"/>
    <w:rsid w:val="58133ED3"/>
    <w:rsid w:val="58134E48"/>
    <w:rsid w:val="5813526D"/>
    <w:rsid w:val="58140DF3"/>
    <w:rsid w:val="58142320"/>
    <w:rsid w:val="5814296E"/>
    <w:rsid w:val="5814471C"/>
    <w:rsid w:val="58144935"/>
    <w:rsid w:val="58145212"/>
    <w:rsid w:val="58150255"/>
    <w:rsid w:val="58150BC0"/>
    <w:rsid w:val="58151502"/>
    <w:rsid w:val="58154094"/>
    <w:rsid w:val="5815647A"/>
    <w:rsid w:val="58156E12"/>
    <w:rsid w:val="58160494"/>
    <w:rsid w:val="58160E3E"/>
    <w:rsid w:val="581617A2"/>
    <w:rsid w:val="58162F85"/>
    <w:rsid w:val="58163183"/>
    <w:rsid w:val="5816406A"/>
    <w:rsid w:val="58174B55"/>
    <w:rsid w:val="58175BBA"/>
    <w:rsid w:val="581771F0"/>
    <w:rsid w:val="581806B0"/>
    <w:rsid w:val="58185003"/>
    <w:rsid w:val="58186C95"/>
    <w:rsid w:val="58190CA6"/>
    <w:rsid w:val="58191433"/>
    <w:rsid w:val="581946E8"/>
    <w:rsid w:val="581948DD"/>
    <w:rsid w:val="581977B3"/>
    <w:rsid w:val="58197B19"/>
    <w:rsid w:val="581A072A"/>
    <w:rsid w:val="581A12AA"/>
    <w:rsid w:val="581A6175"/>
    <w:rsid w:val="581B03F8"/>
    <w:rsid w:val="581B1F4E"/>
    <w:rsid w:val="581B5AAA"/>
    <w:rsid w:val="581B73D3"/>
    <w:rsid w:val="581D2005"/>
    <w:rsid w:val="581D27F0"/>
    <w:rsid w:val="581D5CC6"/>
    <w:rsid w:val="581D73B1"/>
    <w:rsid w:val="581D7A74"/>
    <w:rsid w:val="581E030E"/>
    <w:rsid w:val="581E36CB"/>
    <w:rsid w:val="581F250F"/>
    <w:rsid w:val="581F42A0"/>
    <w:rsid w:val="581F559B"/>
    <w:rsid w:val="581F685D"/>
    <w:rsid w:val="581F70D7"/>
    <w:rsid w:val="581F74EB"/>
    <w:rsid w:val="58203E26"/>
    <w:rsid w:val="58207565"/>
    <w:rsid w:val="58212CD6"/>
    <w:rsid w:val="582157B7"/>
    <w:rsid w:val="58215EFA"/>
    <w:rsid w:val="582162E8"/>
    <w:rsid w:val="582165AC"/>
    <w:rsid w:val="58217D95"/>
    <w:rsid w:val="582200B5"/>
    <w:rsid w:val="5822189F"/>
    <w:rsid w:val="58226A99"/>
    <w:rsid w:val="58226E39"/>
    <w:rsid w:val="582340E5"/>
    <w:rsid w:val="5823749B"/>
    <w:rsid w:val="58242BB1"/>
    <w:rsid w:val="58243FD6"/>
    <w:rsid w:val="58247055"/>
    <w:rsid w:val="58247C3F"/>
    <w:rsid w:val="58254B7B"/>
    <w:rsid w:val="58256929"/>
    <w:rsid w:val="582572BF"/>
    <w:rsid w:val="5826241E"/>
    <w:rsid w:val="58262DD6"/>
    <w:rsid w:val="58265137"/>
    <w:rsid w:val="582708F3"/>
    <w:rsid w:val="58270A49"/>
    <w:rsid w:val="58270C70"/>
    <w:rsid w:val="5827137E"/>
    <w:rsid w:val="582726A1"/>
    <w:rsid w:val="582738AE"/>
    <w:rsid w:val="5827457B"/>
    <w:rsid w:val="58274FEF"/>
    <w:rsid w:val="582752F9"/>
    <w:rsid w:val="58280A89"/>
    <w:rsid w:val="58286887"/>
    <w:rsid w:val="582901C7"/>
    <w:rsid w:val="58292157"/>
    <w:rsid w:val="5829221A"/>
    <w:rsid w:val="5829580D"/>
    <w:rsid w:val="58296419"/>
    <w:rsid w:val="582966DC"/>
    <w:rsid w:val="582970FD"/>
    <w:rsid w:val="58297B6D"/>
    <w:rsid w:val="582A0D9F"/>
    <w:rsid w:val="582A6D30"/>
    <w:rsid w:val="582B03E3"/>
    <w:rsid w:val="582B0CF8"/>
    <w:rsid w:val="582B2143"/>
    <w:rsid w:val="582B222F"/>
    <w:rsid w:val="582B3532"/>
    <w:rsid w:val="582B36B9"/>
    <w:rsid w:val="582B3FD8"/>
    <w:rsid w:val="582B57B9"/>
    <w:rsid w:val="582B5F72"/>
    <w:rsid w:val="582B6618"/>
    <w:rsid w:val="582C4029"/>
    <w:rsid w:val="582C7CB7"/>
    <w:rsid w:val="582E04B0"/>
    <w:rsid w:val="582E207F"/>
    <w:rsid w:val="582E23E1"/>
    <w:rsid w:val="582E38AA"/>
    <w:rsid w:val="582E57DE"/>
    <w:rsid w:val="582E7179"/>
    <w:rsid w:val="582F0447"/>
    <w:rsid w:val="582F1556"/>
    <w:rsid w:val="582F64DC"/>
    <w:rsid w:val="582F7046"/>
    <w:rsid w:val="582F72E7"/>
    <w:rsid w:val="5830325A"/>
    <w:rsid w:val="583077A8"/>
    <w:rsid w:val="58311772"/>
    <w:rsid w:val="58312C07"/>
    <w:rsid w:val="583152CE"/>
    <w:rsid w:val="5832158A"/>
    <w:rsid w:val="583251B3"/>
    <w:rsid w:val="5833142C"/>
    <w:rsid w:val="583341D1"/>
    <w:rsid w:val="58344A22"/>
    <w:rsid w:val="58346163"/>
    <w:rsid w:val="583461CF"/>
    <w:rsid w:val="58346B6C"/>
    <w:rsid w:val="58350705"/>
    <w:rsid w:val="58353010"/>
    <w:rsid w:val="58354DBE"/>
    <w:rsid w:val="58356F2D"/>
    <w:rsid w:val="58360B36"/>
    <w:rsid w:val="583615F3"/>
    <w:rsid w:val="58364D37"/>
    <w:rsid w:val="58365D87"/>
    <w:rsid w:val="58366D88"/>
    <w:rsid w:val="58371F07"/>
    <w:rsid w:val="583733A3"/>
    <w:rsid w:val="583770A1"/>
    <w:rsid w:val="5838153F"/>
    <w:rsid w:val="583818DB"/>
    <w:rsid w:val="58382B00"/>
    <w:rsid w:val="583837C2"/>
    <w:rsid w:val="583905E1"/>
    <w:rsid w:val="583953AB"/>
    <w:rsid w:val="5839690B"/>
    <w:rsid w:val="583971F9"/>
    <w:rsid w:val="58397404"/>
    <w:rsid w:val="583A0626"/>
    <w:rsid w:val="583A1FD3"/>
    <w:rsid w:val="583A2CB5"/>
    <w:rsid w:val="583A5C13"/>
    <w:rsid w:val="583A7050"/>
    <w:rsid w:val="583B0612"/>
    <w:rsid w:val="583B5E9D"/>
    <w:rsid w:val="583B614D"/>
    <w:rsid w:val="583B7541"/>
    <w:rsid w:val="583B7EFB"/>
    <w:rsid w:val="583C439E"/>
    <w:rsid w:val="583C56F7"/>
    <w:rsid w:val="583C7535"/>
    <w:rsid w:val="583D0117"/>
    <w:rsid w:val="583D271E"/>
    <w:rsid w:val="583E2BE0"/>
    <w:rsid w:val="583E2D6E"/>
    <w:rsid w:val="583E3D07"/>
    <w:rsid w:val="583E5481"/>
    <w:rsid w:val="583E5C0C"/>
    <w:rsid w:val="583F03D5"/>
    <w:rsid w:val="583F12E8"/>
    <w:rsid w:val="583F3265"/>
    <w:rsid w:val="583F5C3D"/>
    <w:rsid w:val="583F5FF7"/>
    <w:rsid w:val="583F79EB"/>
    <w:rsid w:val="58400505"/>
    <w:rsid w:val="58403763"/>
    <w:rsid w:val="58405387"/>
    <w:rsid w:val="5841073B"/>
    <w:rsid w:val="584119B5"/>
    <w:rsid w:val="5841704F"/>
    <w:rsid w:val="58421289"/>
    <w:rsid w:val="58421B8E"/>
    <w:rsid w:val="5842572D"/>
    <w:rsid w:val="584274DB"/>
    <w:rsid w:val="58433087"/>
    <w:rsid w:val="5844035B"/>
    <w:rsid w:val="584414A5"/>
    <w:rsid w:val="58443253"/>
    <w:rsid w:val="584468DB"/>
    <w:rsid w:val="58446D1C"/>
    <w:rsid w:val="58447AFB"/>
    <w:rsid w:val="58450234"/>
    <w:rsid w:val="58450D79"/>
    <w:rsid w:val="58451EF2"/>
    <w:rsid w:val="584537A9"/>
    <w:rsid w:val="58453D06"/>
    <w:rsid w:val="58456349"/>
    <w:rsid w:val="584579B2"/>
    <w:rsid w:val="58457D88"/>
    <w:rsid w:val="58461F12"/>
    <w:rsid w:val="58464E8D"/>
    <w:rsid w:val="58465CDE"/>
    <w:rsid w:val="58466FCB"/>
    <w:rsid w:val="58470634"/>
    <w:rsid w:val="58471456"/>
    <w:rsid w:val="58472D43"/>
    <w:rsid w:val="58475DBA"/>
    <w:rsid w:val="584816FC"/>
    <w:rsid w:val="58482856"/>
    <w:rsid w:val="584872DE"/>
    <w:rsid w:val="58490869"/>
    <w:rsid w:val="58492617"/>
    <w:rsid w:val="5849279B"/>
    <w:rsid w:val="5849381E"/>
    <w:rsid w:val="584A2DE2"/>
    <w:rsid w:val="584A6390"/>
    <w:rsid w:val="584B2834"/>
    <w:rsid w:val="584B28B6"/>
    <w:rsid w:val="584B45E2"/>
    <w:rsid w:val="584B4E74"/>
    <w:rsid w:val="584B5A03"/>
    <w:rsid w:val="584C0626"/>
    <w:rsid w:val="584C2108"/>
    <w:rsid w:val="584C37BF"/>
    <w:rsid w:val="584C5771"/>
    <w:rsid w:val="584C587A"/>
    <w:rsid w:val="584C6310"/>
    <w:rsid w:val="584D06C0"/>
    <w:rsid w:val="584E2170"/>
    <w:rsid w:val="584E2BB2"/>
    <w:rsid w:val="584E5370"/>
    <w:rsid w:val="584E5E80"/>
    <w:rsid w:val="584E7888"/>
    <w:rsid w:val="584E7C2E"/>
    <w:rsid w:val="584F06C1"/>
    <w:rsid w:val="584F242A"/>
    <w:rsid w:val="584F5283"/>
    <w:rsid w:val="585028EB"/>
    <w:rsid w:val="585039A6"/>
    <w:rsid w:val="58507E4A"/>
    <w:rsid w:val="58510FD2"/>
    <w:rsid w:val="585118B0"/>
    <w:rsid w:val="585133F9"/>
    <w:rsid w:val="585170DF"/>
    <w:rsid w:val="58520085"/>
    <w:rsid w:val="5852043D"/>
    <w:rsid w:val="5852064B"/>
    <w:rsid w:val="58520BEC"/>
    <w:rsid w:val="5852479B"/>
    <w:rsid w:val="58531B77"/>
    <w:rsid w:val="58532E8F"/>
    <w:rsid w:val="58535244"/>
    <w:rsid w:val="5853762B"/>
    <w:rsid w:val="585428CB"/>
    <w:rsid w:val="58545C37"/>
    <w:rsid w:val="585461D6"/>
    <w:rsid w:val="5854632D"/>
    <w:rsid w:val="5855006D"/>
    <w:rsid w:val="58550EA3"/>
    <w:rsid w:val="58550FBC"/>
    <w:rsid w:val="58554413"/>
    <w:rsid w:val="585548A6"/>
    <w:rsid w:val="58555460"/>
    <w:rsid w:val="58556E86"/>
    <w:rsid w:val="5855720E"/>
    <w:rsid w:val="585607EF"/>
    <w:rsid w:val="585610E3"/>
    <w:rsid w:val="585614FD"/>
    <w:rsid w:val="58564472"/>
    <w:rsid w:val="58564D34"/>
    <w:rsid w:val="58567760"/>
    <w:rsid w:val="58570881"/>
    <w:rsid w:val="5857454B"/>
    <w:rsid w:val="58586B05"/>
    <w:rsid w:val="58594513"/>
    <w:rsid w:val="58597777"/>
    <w:rsid w:val="585A2A77"/>
    <w:rsid w:val="585A3895"/>
    <w:rsid w:val="585A4825"/>
    <w:rsid w:val="585B59E6"/>
    <w:rsid w:val="585B7BCD"/>
    <w:rsid w:val="585C075C"/>
    <w:rsid w:val="585C28A3"/>
    <w:rsid w:val="585C2F78"/>
    <w:rsid w:val="585C306A"/>
    <w:rsid w:val="585C3C2E"/>
    <w:rsid w:val="585C67EF"/>
    <w:rsid w:val="585D1775"/>
    <w:rsid w:val="585D2567"/>
    <w:rsid w:val="585D3F0C"/>
    <w:rsid w:val="585D4277"/>
    <w:rsid w:val="585D4315"/>
    <w:rsid w:val="585E160F"/>
    <w:rsid w:val="585E228F"/>
    <w:rsid w:val="585E2FE3"/>
    <w:rsid w:val="585E341B"/>
    <w:rsid w:val="585E7DE9"/>
    <w:rsid w:val="585F008D"/>
    <w:rsid w:val="585F19BC"/>
    <w:rsid w:val="585F1E3B"/>
    <w:rsid w:val="585F62DF"/>
    <w:rsid w:val="58600406"/>
    <w:rsid w:val="58604AB4"/>
    <w:rsid w:val="58606524"/>
    <w:rsid w:val="58613E05"/>
    <w:rsid w:val="5862209F"/>
    <w:rsid w:val="586236D9"/>
    <w:rsid w:val="58624685"/>
    <w:rsid w:val="586338A7"/>
    <w:rsid w:val="58636176"/>
    <w:rsid w:val="58641DE4"/>
    <w:rsid w:val="58641F5A"/>
    <w:rsid w:val="586423C0"/>
    <w:rsid w:val="586438F5"/>
    <w:rsid w:val="586456A3"/>
    <w:rsid w:val="58647451"/>
    <w:rsid w:val="586475A6"/>
    <w:rsid w:val="58654F91"/>
    <w:rsid w:val="58655DA3"/>
    <w:rsid w:val="586631C9"/>
    <w:rsid w:val="586635E2"/>
    <w:rsid w:val="5866766D"/>
    <w:rsid w:val="58670955"/>
    <w:rsid w:val="586757B9"/>
    <w:rsid w:val="58677F60"/>
    <w:rsid w:val="58692CBA"/>
    <w:rsid w:val="586A03F8"/>
    <w:rsid w:val="586A0E03"/>
    <w:rsid w:val="586B07E0"/>
    <w:rsid w:val="586B112A"/>
    <w:rsid w:val="586B2BD6"/>
    <w:rsid w:val="586B48E8"/>
    <w:rsid w:val="586B5580"/>
    <w:rsid w:val="586B5D39"/>
    <w:rsid w:val="586B6A32"/>
    <w:rsid w:val="586B6C99"/>
    <w:rsid w:val="586B7496"/>
    <w:rsid w:val="586C4558"/>
    <w:rsid w:val="586C6306"/>
    <w:rsid w:val="586C6A45"/>
    <w:rsid w:val="586D0050"/>
    <w:rsid w:val="586D09FC"/>
    <w:rsid w:val="586D1BD9"/>
    <w:rsid w:val="586D67FB"/>
    <w:rsid w:val="586E02D0"/>
    <w:rsid w:val="586E2D68"/>
    <w:rsid w:val="586E4554"/>
    <w:rsid w:val="586E70A3"/>
    <w:rsid w:val="586E7784"/>
    <w:rsid w:val="586F0C14"/>
    <w:rsid w:val="586F37AB"/>
    <w:rsid w:val="58700069"/>
    <w:rsid w:val="587002F1"/>
    <w:rsid w:val="58701FDD"/>
    <w:rsid w:val="58705377"/>
    <w:rsid w:val="587126B0"/>
    <w:rsid w:val="58713C37"/>
    <w:rsid w:val="58716105"/>
    <w:rsid w:val="58720B4D"/>
    <w:rsid w:val="5872328E"/>
    <w:rsid w:val="58723F81"/>
    <w:rsid w:val="58725E54"/>
    <w:rsid w:val="58727DC0"/>
    <w:rsid w:val="5873306D"/>
    <w:rsid w:val="587334B5"/>
    <w:rsid w:val="58733672"/>
    <w:rsid w:val="58733B38"/>
    <w:rsid w:val="58733C30"/>
    <w:rsid w:val="587358E6"/>
    <w:rsid w:val="587360E8"/>
    <w:rsid w:val="58737694"/>
    <w:rsid w:val="58740EB0"/>
    <w:rsid w:val="5874165D"/>
    <w:rsid w:val="587475D4"/>
    <w:rsid w:val="587507D9"/>
    <w:rsid w:val="58751023"/>
    <w:rsid w:val="5875165E"/>
    <w:rsid w:val="5875340D"/>
    <w:rsid w:val="587547D2"/>
    <w:rsid w:val="587578B0"/>
    <w:rsid w:val="587611F4"/>
    <w:rsid w:val="58763A2B"/>
    <w:rsid w:val="58770B2E"/>
    <w:rsid w:val="587753D7"/>
    <w:rsid w:val="58781133"/>
    <w:rsid w:val="5878114F"/>
    <w:rsid w:val="58781DA3"/>
    <w:rsid w:val="587873A1"/>
    <w:rsid w:val="58792631"/>
    <w:rsid w:val="587A0A23"/>
    <w:rsid w:val="587A4AA2"/>
    <w:rsid w:val="587A6C75"/>
    <w:rsid w:val="587A72D9"/>
    <w:rsid w:val="587A7E63"/>
    <w:rsid w:val="587B05A4"/>
    <w:rsid w:val="587B479B"/>
    <w:rsid w:val="587B51DF"/>
    <w:rsid w:val="587B5783"/>
    <w:rsid w:val="587C0C3F"/>
    <w:rsid w:val="587C1217"/>
    <w:rsid w:val="587C29ED"/>
    <w:rsid w:val="587C702D"/>
    <w:rsid w:val="587D0513"/>
    <w:rsid w:val="587D17A8"/>
    <w:rsid w:val="587D49B7"/>
    <w:rsid w:val="587D559A"/>
    <w:rsid w:val="587D6765"/>
    <w:rsid w:val="587D789B"/>
    <w:rsid w:val="587E3B4F"/>
    <w:rsid w:val="587E4221"/>
    <w:rsid w:val="587E6A0D"/>
    <w:rsid w:val="587E6A63"/>
    <w:rsid w:val="587F1F21"/>
    <w:rsid w:val="587F428B"/>
    <w:rsid w:val="587F4864"/>
    <w:rsid w:val="587F51E0"/>
    <w:rsid w:val="587F6D29"/>
    <w:rsid w:val="587F6E6C"/>
    <w:rsid w:val="58801DB1"/>
    <w:rsid w:val="588058FB"/>
    <w:rsid w:val="5880714E"/>
    <w:rsid w:val="588126DB"/>
    <w:rsid w:val="58813029"/>
    <w:rsid w:val="588144B9"/>
    <w:rsid w:val="58815E8B"/>
    <w:rsid w:val="58816D0C"/>
    <w:rsid w:val="58817556"/>
    <w:rsid w:val="588205ED"/>
    <w:rsid w:val="58820E79"/>
    <w:rsid w:val="588215F4"/>
    <w:rsid w:val="588231B0"/>
    <w:rsid w:val="588236DE"/>
    <w:rsid w:val="58823D7B"/>
    <w:rsid w:val="588241BB"/>
    <w:rsid w:val="58825CA3"/>
    <w:rsid w:val="58827B66"/>
    <w:rsid w:val="5883051A"/>
    <w:rsid w:val="58831FCD"/>
    <w:rsid w:val="588333DA"/>
    <w:rsid w:val="58834547"/>
    <w:rsid w:val="588419AA"/>
    <w:rsid w:val="5884292C"/>
    <w:rsid w:val="58845D45"/>
    <w:rsid w:val="58847AF3"/>
    <w:rsid w:val="58847BBC"/>
    <w:rsid w:val="58851609"/>
    <w:rsid w:val="5886150C"/>
    <w:rsid w:val="58861913"/>
    <w:rsid w:val="5886355D"/>
    <w:rsid w:val="5886561A"/>
    <w:rsid w:val="588668AD"/>
    <w:rsid w:val="588734C8"/>
    <w:rsid w:val="588759AC"/>
    <w:rsid w:val="58875F3A"/>
    <w:rsid w:val="58883DA0"/>
    <w:rsid w:val="588875E4"/>
    <w:rsid w:val="58892C4B"/>
    <w:rsid w:val="5889510A"/>
    <w:rsid w:val="588966FF"/>
    <w:rsid w:val="58896EB8"/>
    <w:rsid w:val="588A0080"/>
    <w:rsid w:val="588A378D"/>
    <w:rsid w:val="588A3951"/>
    <w:rsid w:val="588A40DB"/>
    <w:rsid w:val="588A4D1C"/>
    <w:rsid w:val="588A5552"/>
    <w:rsid w:val="588A6D1D"/>
    <w:rsid w:val="588B0E82"/>
    <w:rsid w:val="588B1778"/>
    <w:rsid w:val="588B22C9"/>
    <w:rsid w:val="588B5DFE"/>
    <w:rsid w:val="588B65C4"/>
    <w:rsid w:val="588B6CAC"/>
    <w:rsid w:val="588B70D4"/>
    <w:rsid w:val="588B79B0"/>
    <w:rsid w:val="588C054D"/>
    <w:rsid w:val="588C0756"/>
    <w:rsid w:val="588C1E1F"/>
    <w:rsid w:val="588C4193"/>
    <w:rsid w:val="588C4B0F"/>
    <w:rsid w:val="588C55E3"/>
    <w:rsid w:val="588C69A8"/>
    <w:rsid w:val="588C712B"/>
    <w:rsid w:val="588D3AC3"/>
    <w:rsid w:val="588E2720"/>
    <w:rsid w:val="588E42B2"/>
    <w:rsid w:val="588E44CE"/>
    <w:rsid w:val="588F6E1D"/>
    <w:rsid w:val="5890055A"/>
    <w:rsid w:val="589028B3"/>
    <w:rsid w:val="589046EA"/>
    <w:rsid w:val="58904781"/>
    <w:rsid w:val="58913758"/>
    <w:rsid w:val="58913FAE"/>
    <w:rsid w:val="5891523E"/>
    <w:rsid w:val="58921CAA"/>
    <w:rsid w:val="58922210"/>
    <w:rsid w:val="58923FB0"/>
    <w:rsid w:val="5892543E"/>
    <w:rsid w:val="589264C3"/>
    <w:rsid w:val="5893269F"/>
    <w:rsid w:val="5893510A"/>
    <w:rsid w:val="58937D37"/>
    <w:rsid w:val="58944A65"/>
    <w:rsid w:val="5894704C"/>
    <w:rsid w:val="58951D01"/>
    <w:rsid w:val="589562AC"/>
    <w:rsid w:val="58956445"/>
    <w:rsid w:val="58966556"/>
    <w:rsid w:val="58973611"/>
    <w:rsid w:val="5897524F"/>
    <w:rsid w:val="58975A79"/>
    <w:rsid w:val="58976CEB"/>
    <w:rsid w:val="58977827"/>
    <w:rsid w:val="58977C0C"/>
    <w:rsid w:val="58977E20"/>
    <w:rsid w:val="589805EE"/>
    <w:rsid w:val="589812B0"/>
    <w:rsid w:val="589817D3"/>
    <w:rsid w:val="5898359F"/>
    <w:rsid w:val="5898534D"/>
    <w:rsid w:val="589870FB"/>
    <w:rsid w:val="58991A4C"/>
    <w:rsid w:val="589A10C5"/>
    <w:rsid w:val="589A35E3"/>
    <w:rsid w:val="589A3BD0"/>
    <w:rsid w:val="589A65F2"/>
    <w:rsid w:val="589A6E03"/>
    <w:rsid w:val="589A7317"/>
    <w:rsid w:val="589B5DFA"/>
    <w:rsid w:val="589C308F"/>
    <w:rsid w:val="589C4E3D"/>
    <w:rsid w:val="589C6BEB"/>
    <w:rsid w:val="589D14F2"/>
    <w:rsid w:val="589D2963"/>
    <w:rsid w:val="589D45C6"/>
    <w:rsid w:val="589D615E"/>
    <w:rsid w:val="589E1D6D"/>
    <w:rsid w:val="589E2941"/>
    <w:rsid w:val="589E3797"/>
    <w:rsid w:val="589E6181"/>
    <w:rsid w:val="589E720F"/>
    <w:rsid w:val="589E7841"/>
    <w:rsid w:val="589F1F17"/>
    <w:rsid w:val="589F5E1A"/>
    <w:rsid w:val="589F65B2"/>
    <w:rsid w:val="589F6A32"/>
    <w:rsid w:val="58A03640"/>
    <w:rsid w:val="58A04049"/>
    <w:rsid w:val="58A04985"/>
    <w:rsid w:val="58A066ED"/>
    <w:rsid w:val="58A072B3"/>
    <w:rsid w:val="58A07A42"/>
    <w:rsid w:val="58A107EE"/>
    <w:rsid w:val="58A129CB"/>
    <w:rsid w:val="58A14202"/>
    <w:rsid w:val="58A175BF"/>
    <w:rsid w:val="58A17D50"/>
    <w:rsid w:val="58A22362"/>
    <w:rsid w:val="58A24F33"/>
    <w:rsid w:val="58A25F92"/>
    <w:rsid w:val="58A261CC"/>
    <w:rsid w:val="58A27BEF"/>
    <w:rsid w:val="58A27F7A"/>
    <w:rsid w:val="58A31F79"/>
    <w:rsid w:val="58A3441E"/>
    <w:rsid w:val="58A36161"/>
    <w:rsid w:val="58A40196"/>
    <w:rsid w:val="58A4166F"/>
    <w:rsid w:val="58A41F44"/>
    <w:rsid w:val="58A437E5"/>
    <w:rsid w:val="58A43F3E"/>
    <w:rsid w:val="58A539A7"/>
    <w:rsid w:val="58A57A8B"/>
    <w:rsid w:val="58A61818"/>
    <w:rsid w:val="58A6310A"/>
    <w:rsid w:val="58A64066"/>
    <w:rsid w:val="58A65CBC"/>
    <w:rsid w:val="58A67A6A"/>
    <w:rsid w:val="58A70AC4"/>
    <w:rsid w:val="58A71284"/>
    <w:rsid w:val="58A75590"/>
    <w:rsid w:val="58A837E2"/>
    <w:rsid w:val="58A87664"/>
    <w:rsid w:val="58A91308"/>
    <w:rsid w:val="58A92235"/>
    <w:rsid w:val="58A94E84"/>
    <w:rsid w:val="58A957AC"/>
    <w:rsid w:val="58A9755A"/>
    <w:rsid w:val="58AA13B0"/>
    <w:rsid w:val="58AA327A"/>
    <w:rsid w:val="58AA36C5"/>
    <w:rsid w:val="58AA6296"/>
    <w:rsid w:val="58AB0DF7"/>
    <w:rsid w:val="58AB0F00"/>
    <w:rsid w:val="58AB32D2"/>
    <w:rsid w:val="58AB42E3"/>
    <w:rsid w:val="58AB5080"/>
    <w:rsid w:val="58AB6B34"/>
    <w:rsid w:val="58AB73F1"/>
    <w:rsid w:val="58AC0673"/>
    <w:rsid w:val="58AC2BA6"/>
    <w:rsid w:val="58AC3A02"/>
    <w:rsid w:val="58AC4E81"/>
    <w:rsid w:val="58AD0DF8"/>
    <w:rsid w:val="58AE1375"/>
    <w:rsid w:val="58AE3B36"/>
    <w:rsid w:val="58AE4B70"/>
    <w:rsid w:val="58AE54BF"/>
    <w:rsid w:val="58B008E9"/>
    <w:rsid w:val="58B03366"/>
    <w:rsid w:val="58B06B3A"/>
    <w:rsid w:val="58B06F6A"/>
    <w:rsid w:val="58B07834"/>
    <w:rsid w:val="58B13598"/>
    <w:rsid w:val="58B1513D"/>
    <w:rsid w:val="58B16FFE"/>
    <w:rsid w:val="58B20BDD"/>
    <w:rsid w:val="58B24661"/>
    <w:rsid w:val="58B2658F"/>
    <w:rsid w:val="58B27AAA"/>
    <w:rsid w:val="58B31A8B"/>
    <w:rsid w:val="58B33F35"/>
    <w:rsid w:val="58B35164"/>
    <w:rsid w:val="58B35FDF"/>
    <w:rsid w:val="58B40D70"/>
    <w:rsid w:val="58B425AA"/>
    <w:rsid w:val="58B42ACF"/>
    <w:rsid w:val="58B546FE"/>
    <w:rsid w:val="58B54D54"/>
    <w:rsid w:val="58B552F0"/>
    <w:rsid w:val="58B55EFF"/>
    <w:rsid w:val="58B56FEB"/>
    <w:rsid w:val="58B61C68"/>
    <w:rsid w:val="58B62A15"/>
    <w:rsid w:val="58B63F65"/>
    <w:rsid w:val="58B65828"/>
    <w:rsid w:val="58B71C77"/>
    <w:rsid w:val="58B73A25"/>
    <w:rsid w:val="58B75831"/>
    <w:rsid w:val="58B760D2"/>
    <w:rsid w:val="58B76395"/>
    <w:rsid w:val="58B77EC9"/>
    <w:rsid w:val="58B802DF"/>
    <w:rsid w:val="58B82940"/>
    <w:rsid w:val="58B852B5"/>
    <w:rsid w:val="58B86827"/>
    <w:rsid w:val="58B87159"/>
    <w:rsid w:val="58B8779D"/>
    <w:rsid w:val="58B93D89"/>
    <w:rsid w:val="58B948D1"/>
    <w:rsid w:val="58B94946"/>
    <w:rsid w:val="58B94C39"/>
    <w:rsid w:val="58B959EF"/>
    <w:rsid w:val="58B96941"/>
    <w:rsid w:val="58BA1767"/>
    <w:rsid w:val="58BA1AC6"/>
    <w:rsid w:val="58BA31BA"/>
    <w:rsid w:val="58BA3515"/>
    <w:rsid w:val="58BA4839"/>
    <w:rsid w:val="58BA59F2"/>
    <w:rsid w:val="58BA69B2"/>
    <w:rsid w:val="58BB022F"/>
    <w:rsid w:val="58BB10EA"/>
    <w:rsid w:val="58BB580F"/>
    <w:rsid w:val="58BB5F11"/>
    <w:rsid w:val="58BB6136"/>
    <w:rsid w:val="58BB72D1"/>
    <w:rsid w:val="58BC06AB"/>
    <w:rsid w:val="58BC103B"/>
    <w:rsid w:val="58BC1051"/>
    <w:rsid w:val="58BC3C32"/>
    <w:rsid w:val="58BC6966"/>
    <w:rsid w:val="58BD1B3B"/>
    <w:rsid w:val="58BD2AA6"/>
    <w:rsid w:val="58BD377C"/>
    <w:rsid w:val="58BD6B62"/>
    <w:rsid w:val="58BE2977"/>
    <w:rsid w:val="58BF2323"/>
    <w:rsid w:val="58BF28C3"/>
    <w:rsid w:val="58BF28DA"/>
    <w:rsid w:val="58BF6D7E"/>
    <w:rsid w:val="58C06842"/>
    <w:rsid w:val="58C148A4"/>
    <w:rsid w:val="58C15804"/>
    <w:rsid w:val="58C16652"/>
    <w:rsid w:val="58C223CA"/>
    <w:rsid w:val="58C23C13"/>
    <w:rsid w:val="58C2451D"/>
    <w:rsid w:val="58C24BD6"/>
    <w:rsid w:val="58C24F15"/>
    <w:rsid w:val="58C300D0"/>
    <w:rsid w:val="58C32349"/>
    <w:rsid w:val="58C3686E"/>
    <w:rsid w:val="58C37522"/>
    <w:rsid w:val="58C4371A"/>
    <w:rsid w:val="58C47953"/>
    <w:rsid w:val="58C47EF0"/>
    <w:rsid w:val="58C52737"/>
    <w:rsid w:val="58C6010C"/>
    <w:rsid w:val="58C60C2E"/>
    <w:rsid w:val="58C612BA"/>
    <w:rsid w:val="58C61EBA"/>
    <w:rsid w:val="58C61EBD"/>
    <w:rsid w:val="58C6432E"/>
    <w:rsid w:val="58C67F77"/>
    <w:rsid w:val="58C71B7A"/>
    <w:rsid w:val="58C72BED"/>
    <w:rsid w:val="58C730AB"/>
    <w:rsid w:val="58C779E0"/>
    <w:rsid w:val="58C84242"/>
    <w:rsid w:val="58C844B5"/>
    <w:rsid w:val="58C85C32"/>
    <w:rsid w:val="58C900DE"/>
    <w:rsid w:val="58C90439"/>
    <w:rsid w:val="58CA794A"/>
    <w:rsid w:val="58CB2979"/>
    <w:rsid w:val="58CB6310"/>
    <w:rsid w:val="58CB6622"/>
    <w:rsid w:val="58CB6F6F"/>
    <w:rsid w:val="58CB7C42"/>
    <w:rsid w:val="58CC4595"/>
    <w:rsid w:val="58CD36E0"/>
    <w:rsid w:val="58CD434A"/>
    <w:rsid w:val="58CD4FF7"/>
    <w:rsid w:val="58CE005B"/>
    <w:rsid w:val="58CE0D6F"/>
    <w:rsid w:val="58CE266F"/>
    <w:rsid w:val="58CE3B67"/>
    <w:rsid w:val="58CE6FC1"/>
    <w:rsid w:val="58CF4E67"/>
    <w:rsid w:val="58CF5213"/>
    <w:rsid w:val="58D00F8B"/>
    <w:rsid w:val="58D02549"/>
    <w:rsid w:val="58D0277D"/>
    <w:rsid w:val="58D02D39"/>
    <w:rsid w:val="58D11755"/>
    <w:rsid w:val="58D128E8"/>
    <w:rsid w:val="58D1566C"/>
    <w:rsid w:val="58D15D63"/>
    <w:rsid w:val="58D173B3"/>
    <w:rsid w:val="58D17568"/>
    <w:rsid w:val="58D17A90"/>
    <w:rsid w:val="58D20C61"/>
    <w:rsid w:val="58D24AEA"/>
    <w:rsid w:val="58D26AB1"/>
    <w:rsid w:val="58D40EA9"/>
    <w:rsid w:val="58D414EA"/>
    <w:rsid w:val="58D42829"/>
    <w:rsid w:val="58D4408A"/>
    <w:rsid w:val="58D45739"/>
    <w:rsid w:val="58D46606"/>
    <w:rsid w:val="58D47663"/>
    <w:rsid w:val="58D520FD"/>
    <w:rsid w:val="58D52318"/>
    <w:rsid w:val="58D529FB"/>
    <w:rsid w:val="58D53917"/>
    <w:rsid w:val="58D565A1"/>
    <w:rsid w:val="58D62464"/>
    <w:rsid w:val="58D65280"/>
    <w:rsid w:val="58D65CD9"/>
    <w:rsid w:val="58D66099"/>
    <w:rsid w:val="58D72319"/>
    <w:rsid w:val="58D726E2"/>
    <w:rsid w:val="58D740C7"/>
    <w:rsid w:val="58D743F5"/>
    <w:rsid w:val="58D757B9"/>
    <w:rsid w:val="58D75E75"/>
    <w:rsid w:val="58D7704E"/>
    <w:rsid w:val="58D82F61"/>
    <w:rsid w:val="58D83A3D"/>
    <w:rsid w:val="58D91795"/>
    <w:rsid w:val="58D96F28"/>
    <w:rsid w:val="58DA1014"/>
    <w:rsid w:val="58DA1063"/>
    <w:rsid w:val="58DA54DA"/>
    <w:rsid w:val="58DA5965"/>
    <w:rsid w:val="58DA6DE9"/>
    <w:rsid w:val="58DA7713"/>
    <w:rsid w:val="58DB39EC"/>
    <w:rsid w:val="58DB73AF"/>
    <w:rsid w:val="58DC2F9B"/>
    <w:rsid w:val="58DC7267"/>
    <w:rsid w:val="58DD05CF"/>
    <w:rsid w:val="58DD0FB2"/>
    <w:rsid w:val="58DD1C00"/>
    <w:rsid w:val="58DD31EC"/>
    <w:rsid w:val="58DD5B18"/>
    <w:rsid w:val="58DE3013"/>
    <w:rsid w:val="58DE3DCC"/>
    <w:rsid w:val="58DE5456"/>
    <w:rsid w:val="58DE5EB3"/>
    <w:rsid w:val="58DE747F"/>
    <w:rsid w:val="58DE7B3D"/>
    <w:rsid w:val="58DF2AB7"/>
    <w:rsid w:val="58DF2B76"/>
    <w:rsid w:val="58DF37A3"/>
    <w:rsid w:val="58DF3D3F"/>
    <w:rsid w:val="58DF3D9A"/>
    <w:rsid w:val="58DF4D2A"/>
    <w:rsid w:val="58E01304"/>
    <w:rsid w:val="58E02A3F"/>
    <w:rsid w:val="58E052CF"/>
    <w:rsid w:val="58E07749"/>
    <w:rsid w:val="58E10AA2"/>
    <w:rsid w:val="58E10D95"/>
    <w:rsid w:val="58E141BA"/>
    <w:rsid w:val="58E1665D"/>
    <w:rsid w:val="58E16CF4"/>
    <w:rsid w:val="58E22BBA"/>
    <w:rsid w:val="58E23E3C"/>
    <w:rsid w:val="58E25CD4"/>
    <w:rsid w:val="58E30CBE"/>
    <w:rsid w:val="58E3481A"/>
    <w:rsid w:val="58E35184"/>
    <w:rsid w:val="58E36A84"/>
    <w:rsid w:val="58E36D9E"/>
    <w:rsid w:val="58E40592"/>
    <w:rsid w:val="58E41BF7"/>
    <w:rsid w:val="58E42630"/>
    <w:rsid w:val="58E43F29"/>
    <w:rsid w:val="58E460AB"/>
    <w:rsid w:val="58E46791"/>
    <w:rsid w:val="58E467E4"/>
    <w:rsid w:val="58E4695E"/>
    <w:rsid w:val="58E56A80"/>
    <w:rsid w:val="58E60D47"/>
    <w:rsid w:val="58E60E12"/>
    <w:rsid w:val="58E628F6"/>
    <w:rsid w:val="58E62B79"/>
    <w:rsid w:val="58E660B8"/>
    <w:rsid w:val="58E66C06"/>
    <w:rsid w:val="58E7363B"/>
    <w:rsid w:val="58E862D4"/>
    <w:rsid w:val="58E86856"/>
    <w:rsid w:val="58E93DFA"/>
    <w:rsid w:val="58E953DC"/>
    <w:rsid w:val="58E971B2"/>
    <w:rsid w:val="58E97957"/>
    <w:rsid w:val="58EA0B59"/>
    <w:rsid w:val="58EA0FB6"/>
    <w:rsid w:val="58EA10DA"/>
    <w:rsid w:val="58EA4316"/>
    <w:rsid w:val="58EA7B42"/>
    <w:rsid w:val="58EA7CFB"/>
    <w:rsid w:val="58EB1921"/>
    <w:rsid w:val="58EB36CF"/>
    <w:rsid w:val="58EB6464"/>
    <w:rsid w:val="58EC21ED"/>
    <w:rsid w:val="58EC25C9"/>
    <w:rsid w:val="58EC3877"/>
    <w:rsid w:val="58EC468B"/>
    <w:rsid w:val="58EC5431"/>
    <w:rsid w:val="58ED2977"/>
    <w:rsid w:val="58ED38EB"/>
    <w:rsid w:val="58ED42D3"/>
    <w:rsid w:val="58ED52CF"/>
    <w:rsid w:val="58ED5C75"/>
    <w:rsid w:val="58ED6710"/>
    <w:rsid w:val="58ED7447"/>
    <w:rsid w:val="58ED7D97"/>
    <w:rsid w:val="58EE31BF"/>
    <w:rsid w:val="58EE364B"/>
    <w:rsid w:val="58EE3C97"/>
    <w:rsid w:val="58EE486F"/>
    <w:rsid w:val="58EF0B7A"/>
    <w:rsid w:val="58EF1411"/>
    <w:rsid w:val="58EF4EA2"/>
    <w:rsid w:val="58F05D4C"/>
    <w:rsid w:val="58F069E3"/>
    <w:rsid w:val="58F070CC"/>
    <w:rsid w:val="58F11C6E"/>
    <w:rsid w:val="58F20EA8"/>
    <w:rsid w:val="58F22CAF"/>
    <w:rsid w:val="58F2337B"/>
    <w:rsid w:val="58F23D48"/>
    <w:rsid w:val="58F24A5D"/>
    <w:rsid w:val="58F307D5"/>
    <w:rsid w:val="58F31C0A"/>
    <w:rsid w:val="58F32A85"/>
    <w:rsid w:val="58F36EF8"/>
    <w:rsid w:val="58F41004"/>
    <w:rsid w:val="58F41BBE"/>
    <w:rsid w:val="58F41BF4"/>
    <w:rsid w:val="58F4319D"/>
    <w:rsid w:val="58F44C79"/>
    <w:rsid w:val="58F44E3D"/>
    <w:rsid w:val="58F509F1"/>
    <w:rsid w:val="58F5162C"/>
    <w:rsid w:val="58F5181A"/>
    <w:rsid w:val="58F5279F"/>
    <w:rsid w:val="58F5454D"/>
    <w:rsid w:val="58F570AB"/>
    <w:rsid w:val="58F65AFF"/>
    <w:rsid w:val="58F66BD1"/>
    <w:rsid w:val="58F70E56"/>
    <w:rsid w:val="58F73615"/>
    <w:rsid w:val="58F73C36"/>
    <w:rsid w:val="58F73E70"/>
    <w:rsid w:val="58F85DEC"/>
    <w:rsid w:val="58F900BE"/>
    <w:rsid w:val="58F9403E"/>
    <w:rsid w:val="58F95F64"/>
    <w:rsid w:val="58F979C4"/>
    <w:rsid w:val="58FA10A3"/>
    <w:rsid w:val="58FA1B64"/>
    <w:rsid w:val="58FA20FB"/>
    <w:rsid w:val="58FA528A"/>
    <w:rsid w:val="58FA63D4"/>
    <w:rsid w:val="58FA68A0"/>
    <w:rsid w:val="58FA7BF1"/>
    <w:rsid w:val="58FB1323"/>
    <w:rsid w:val="58FB178C"/>
    <w:rsid w:val="58FB3640"/>
    <w:rsid w:val="58FB4E5D"/>
    <w:rsid w:val="58FB7FCD"/>
    <w:rsid w:val="58FC00C0"/>
    <w:rsid w:val="58FC13A4"/>
    <w:rsid w:val="58FC1D80"/>
    <w:rsid w:val="58FC3B2E"/>
    <w:rsid w:val="58FC4BF5"/>
    <w:rsid w:val="58FC58DC"/>
    <w:rsid w:val="58FD43FD"/>
    <w:rsid w:val="58FD5ACB"/>
    <w:rsid w:val="58FD62BE"/>
    <w:rsid w:val="58FD7D40"/>
    <w:rsid w:val="58FE1654"/>
    <w:rsid w:val="58FE19C4"/>
    <w:rsid w:val="58FE4EFB"/>
    <w:rsid w:val="58FE65EC"/>
    <w:rsid w:val="58FE78A6"/>
    <w:rsid w:val="58FE79CA"/>
    <w:rsid w:val="58FF093D"/>
    <w:rsid w:val="58FF1CC6"/>
    <w:rsid w:val="58FF2B2A"/>
    <w:rsid w:val="58FF2B83"/>
    <w:rsid w:val="58FF33FE"/>
    <w:rsid w:val="58FF4074"/>
    <w:rsid w:val="58FF53CC"/>
    <w:rsid w:val="590044BF"/>
    <w:rsid w:val="59006218"/>
    <w:rsid w:val="59012EF2"/>
    <w:rsid w:val="59012F8D"/>
    <w:rsid w:val="5901420E"/>
    <w:rsid w:val="5903019B"/>
    <w:rsid w:val="59032905"/>
    <w:rsid w:val="59032E40"/>
    <w:rsid w:val="5903310E"/>
    <w:rsid w:val="59033D78"/>
    <w:rsid w:val="59036C6A"/>
    <w:rsid w:val="590405BF"/>
    <w:rsid w:val="5904324B"/>
    <w:rsid w:val="590433A3"/>
    <w:rsid w:val="5904431A"/>
    <w:rsid w:val="59044FCA"/>
    <w:rsid w:val="590454E8"/>
    <w:rsid w:val="59050C34"/>
    <w:rsid w:val="59060509"/>
    <w:rsid w:val="590617C1"/>
    <w:rsid w:val="590649AC"/>
    <w:rsid w:val="59064AA9"/>
    <w:rsid w:val="59066A61"/>
    <w:rsid w:val="59070080"/>
    <w:rsid w:val="59071037"/>
    <w:rsid w:val="5907490E"/>
    <w:rsid w:val="59076E99"/>
    <w:rsid w:val="59080725"/>
    <w:rsid w:val="590824D3"/>
    <w:rsid w:val="59084281"/>
    <w:rsid w:val="59090807"/>
    <w:rsid w:val="59091DA7"/>
    <w:rsid w:val="590972B9"/>
    <w:rsid w:val="59097FF9"/>
    <w:rsid w:val="590A0142"/>
    <w:rsid w:val="590A23AA"/>
    <w:rsid w:val="590A6D78"/>
    <w:rsid w:val="590A6F16"/>
    <w:rsid w:val="590B057A"/>
    <w:rsid w:val="590B19EC"/>
    <w:rsid w:val="590B1F73"/>
    <w:rsid w:val="590B1FC3"/>
    <w:rsid w:val="590B3D71"/>
    <w:rsid w:val="590B68F5"/>
    <w:rsid w:val="590B6931"/>
    <w:rsid w:val="590B7E91"/>
    <w:rsid w:val="590C1515"/>
    <w:rsid w:val="590C3E75"/>
    <w:rsid w:val="590C4F16"/>
    <w:rsid w:val="590C7AD7"/>
    <w:rsid w:val="590D0BCF"/>
    <w:rsid w:val="590D11B6"/>
    <w:rsid w:val="590D17D2"/>
    <w:rsid w:val="590D4585"/>
    <w:rsid w:val="590D743B"/>
    <w:rsid w:val="590D7AE9"/>
    <w:rsid w:val="590E08CD"/>
    <w:rsid w:val="590E294D"/>
    <w:rsid w:val="590E560F"/>
    <w:rsid w:val="590E56BE"/>
    <w:rsid w:val="590E5CC9"/>
    <w:rsid w:val="590E7575"/>
    <w:rsid w:val="590F13E3"/>
    <w:rsid w:val="590F1AB3"/>
    <w:rsid w:val="591006A9"/>
    <w:rsid w:val="59100F74"/>
    <w:rsid w:val="59102A3D"/>
    <w:rsid w:val="59103135"/>
    <w:rsid w:val="59105934"/>
    <w:rsid w:val="591075D9"/>
    <w:rsid w:val="59112587"/>
    <w:rsid w:val="591170B2"/>
    <w:rsid w:val="59123351"/>
    <w:rsid w:val="59125193"/>
    <w:rsid w:val="59126EAD"/>
    <w:rsid w:val="59133316"/>
    <w:rsid w:val="59133694"/>
    <w:rsid w:val="59133BFF"/>
    <w:rsid w:val="591342FE"/>
    <w:rsid w:val="5914114E"/>
    <w:rsid w:val="59145232"/>
    <w:rsid w:val="59146EAD"/>
    <w:rsid w:val="59154784"/>
    <w:rsid w:val="59155906"/>
    <w:rsid w:val="59156E44"/>
    <w:rsid w:val="5915728A"/>
    <w:rsid w:val="59162E41"/>
    <w:rsid w:val="59165302"/>
    <w:rsid w:val="59170968"/>
    <w:rsid w:val="59172716"/>
    <w:rsid w:val="59172746"/>
    <w:rsid w:val="59173D50"/>
    <w:rsid w:val="59174297"/>
    <w:rsid w:val="591744C4"/>
    <w:rsid w:val="59175A34"/>
    <w:rsid w:val="59176A07"/>
    <w:rsid w:val="59176B3B"/>
    <w:rsid w:val="591816AC"/>
    <w:rsid w:val="59183BD6"/>
    <w:rsid w:val="591846FB"/>
    <w:rsid w:val="59184AF5"/>
    <w:rsid w:val="591863AE"/>
    <w:rsid w:val="5918648F"/>
    <w:rsid w:val="59190F0B"/>
    <w:rsid w:val="5919648E"/>
    <w:rsid w:val="59196736"/>
    <w:rsid w:val="59197C75"/>
    <w:rsid w:val="591A2206"/>
    <w:rsid w:val="591A2837"/>
    <w:rsid w:val="591A2BA2"/>
    <w:rsid w:val="591A395F"/>
    <w:rsid w:val="591A3FB4"/>
    <w:rsid w:val="591A5806"/>
    <w:rsid w:val="591B096B"/>
    <w:rsid w:val="591B14AD"/>
    <w:rsid w:val="591B1C8E"/>
    <w:rsid w:val="591B5D03"/>
    <w:rsid w:val="591B7209"/>
    <w:rsid w:val="591B7986"/>
    <w:rsid w:val="591B7D84"/>
    <w:rsid w:val="591C1ADA"/>
    <w:rsid w:val="591C2853"/>
    <w:rsid w:val="591C28AF"/>
    <w:rsid w:val="591C41D0"/>
    <w:rsid w:val="591C5F35"/>
    <w:rsid w:val="591C5F7E"/>
    <w:rsid w:val="591D2082"/>
    <w:rsid w:val="591D5ED4"/>
    <w:rsid w:val="591D7EBC"/>
    <w:rsid w:val="591E31FF"/>
    <w:rsid w:val="591E3AA4"/>
    <w:rsid w:val="591E5852"/>
    <w:rsid w:val="591E7C30"/>
    <w:rsid w:val="591E7CE6"/>
    <w:rsid w:val="591F15CA"/>
    <w:rsid w:val="591F24B6"/>
    <w:rsid w:val="591F4E37"/>
    <w:rsid w:val="5920011F"/>
    <w:rsid w:val="592018CA"/>
    <w:rsid w:val="59205A6E"/>
    <w:rsid w:val="592117E6"/>
    <w:rsid w:val="59212E5C"/>
    <w:rsid w:val="59213594"/>
    <w:rsid w:val="59214F86"/>
    <w:rsid w:val="59215342"/>
    <w:rsid w:val="59222412"/>
    <w:rsid w:val="59223C84"/>
    <w:rsid w:val="59227859"/>
    <w:rsid w:val="592320CE"/>
    <w:rsid w:val="5923215E"/>
    <w:rsid w:val="592328CD"/>
    <w:rsid w:val="59235F02"/>
    <w:rsid w:val="59242D9C"/>
    <w:rsid w:val="5925171A"/>
    <w:rsid w:val="59253085"/>
    <w:rsid w:val="59257A04"/>
    <w:rsid w:val="59260BAB"/>
    <w:rsid w:val="59264BC4"/>
    <w:rsid w:val="59265E21"/>
    <w:rsid w:val="59266DFD"/>
    <w:rsid w:val="59273CA0"/>
    <w:rsid w:val="59274B3C"/>
    <w:rsid w:val="592801D5"/>
    <w:rsid w:val="59281BE0"/>
    <w:rsid w:val="59281C45"/>
    <w:rsid w:val="59282B75"/>
    <w:rsid w:val="59283411"/>
    <w:rsid w:val="592866D1"/>
    <w:rsid w:val="592941F7"/>
    <w:rsid w:val="5929575A"/>
    <w:rsid w:val="59297174"/>
    <w:rsid w:val="592A069B"/>
    <w:rsid w:val="592A09BF"/>
    <w:rsid w:val="592A134B"/>
    <w:rsid w:val="592A5FEB"/>
    <w:rsid w:val="592B61C1"/>
    <w:rsid w:val="592B63CF"/>
    <w:rsid w:val="592B7F6F"/>
    <w:rsid w:val="592C0B61"/>
    <w:rsid w:val="592C29C8"/>
    <w:rsid w:val="592C7611"/>
    <w:rsid w:val="592D2647"/>
    <w:rsid w:val="592D4279"/>
    <w:rsid w:val="592E180D"/>
    <w:rsid w:val="592E332A"/>
    <w:rsid w:val="592E3529"/>
    <w:rsid w:val="592E4A84"/>
    <w:rsid w:val="592F1066"/>
    <w:rsid w:val="592F16E4"/>
    <w:rsid w:val="592F5CB1"/>
    <w:rsid w:val="592F633A"/>
    <w:rsid w:val="592F7292"/>
    <w:rsid w:val="5930071B"/>
    <w:rsid w:val="59301E0F"/>
    <w:rsid w:val="59303996"/>
    <w:rsid w:val="59305585"/>
    <w:rsid w:val="593058FE"/>
    <w:rsid w:val="593065F3"/>
    <w:rsid w:val="593117AB"/>
    <w:rsid w:val="59313FD1"/>
    <w:rsid w:val="59314FEE"/>
    <w:rsid w:val="59315571"/>
    <w:rsid w:val="59315576"/>
    <w:rsid w:val="593212FE"/>
    <w:rsid w:val="593220AD"/>
    <w:rsid w:val="5932734D"/>
    <w:rsid w:val="5932754F"/>
    <w:rsid w:val="593307DD"/>
    <w:rsid w:val="5933263A"/>
    <w:rsid w:val="59335C0C"/>
    <w:rsid w:val="5933709C"/>
    <w:rsid w:val="5934151A"/>
    <w:rsid w:val="59342805"/>
    <w:rsid w:val="593432C8"/>
    <w:rsid w:val="593439E9"/>
    <w:rsid w:val="59344DC7"/>
    <w:rsid w:val="59345076"/>
    <w:rsid w:val="59351DC0"/>
    <w:rsid w:val="59353FBE"/>
    <w:rsid w:val="5935418A"/>
    <w:rsid w:val="5935488A"/>
    <w:rsid w:val="59356297"/>
    <w:rsid w:val="5935723F"/>
    <w:rsid w:val="59357316"/>
    <w:rsid w:val="59357D2F"/>
    <w:rsid w:val="5936115A"/>
    <w:rsid w:val="593612B9"/>
    <w:rsid w:val="593649F7"/>
    <w:rsid w:val="59367040"/>
    <w:rsid w:val="59372AA4"/>
    <w:rsid w:val="59374B66"/>
    <w:rsid w:val="59375A1D"/>
    <w:rsid w:val="59382505"/>
    <w:rsid w:val="59383C44"/>
    <w:rsid w:val="593908DE"/>
    <w:rsid w:val="59396B30"/>
    <w:rsid w:val="59397EDF"/>
    <w:rsid w:val="593A2391"/>
    <w:rsid w:val="593A2F8F"/>
    <w:rsid w:val="593A439E"/>
    <w:rsid w:val="593A5ADF"/>
    <w:rsid w:val="593A78CE"/>
    <w:rsid w:val="593B3565"/>
    <w:rsid w:val="593C03CE"/>
    <w:rsid w:val="593C03FF"/>
    <w:rsid w:val="593C41BB"/>
    <w:rsid w:val="593C42A8"/>
    <w:rsid w:val="593C6736"/>
    <w:rsid w:val="593D2CB0"/>
    <w:rsid w:val="593D4A70"/>
    <w:rsid w:val="593D51A1"/>
    <w:rsid w:val="593D5457"/>
    <w:rsid w:val="593D5B1A"/>
    <w:rsid w:val="593D612D"/>
    <w:rsid w:val="593D630C"/>
    <w:rsid w:val="593D711D"/>
    <w:rsid w:val="593E2434"/>
    <w:rsid w:val="593E3137"/>
    <w:rsid w:val="593E4146"/>
    <w:rsid w:val="593E5EF4"/>
    <w:rsid w:val="593E74E0"/>
    <w:rsid w:val="593F1288"/>
    <w:rsid w:val="593F1DBC"/>
    <w:rsid w:val="593F1F50"/>
    <w:rsid w:val="593F3A1A"/>
    <w:rsid w:val="593F46D4"/>
    <w:rsid w:val="593F56AC"/>
    <w:rsid w:val="593F5D74"/>
    <w:rsid w:val="593F6EA1"/>
    <w:rsid w:val="59401C6C"/>
    <w:rsid w:val="59402397"/>
    <w:rsid w:val="59402D02"/>
    <w:rsid w:val="59403C6E"/>
    <w:rsid w:val="59407EBE"/>
    <w:rsid w:val="59411A24"/>
    <w:rsid w:val="59412DE1"/>
    <w:rsid w:val="59412F16"/>
    <w:rsid w:val="594131B9"/>
    <w:rsid w:val="5941592B"/>
    <w:rsid w:val="59417793"/>
    <w:rsid w:val="59424045"/>
    <w:rsid w:val="59426606"/>
    <w:rsid w:val="5943175D"/>
    <w:rsid w:val="5943350B"/>
    <w:rsid w:val="59433854"/>
    <w:rsid w:val="59433D91"/>
    <w:rsid w:val="594352B9"/>
    <w:rsid w:val="59443908"/>
    <w:rsid w:val="594505D2"/>
    <w:rsid w:val="59451E18"/>
    <w:rsid w:val="5945244A"/>
    <w:rsid w:val="594548AE"/>
    <w:rsid w:val="594554D5"/>
    <w:rsid w:val="59461845"/>
    <w:rsid w:val="59464561"/>
    <w:rsid w:val="59464DA9"/>
    <w:rsid w:val="59467978"/>
    <w:rsid w:val="594700E3"/>
    <w:rsid w:val="5947124D"/>
    <w:rsid w:val="59472AF3"/>
    <w:rsid w:val="59473573"/>
    <w:rsid w:val="59484FC5"/>
    <w:rsid w:val="59487EB2"/>
    <w:rsid w:val="59491BBB"/>
    <w:rsid w:val="59491DE8"/>
    <w:rsid w:val="59491F95"/>
    <w:rsid w:val="59492A03"/>
    <w:rsid w:val="594A4899"/>
    <w:rsid w:val="594A55D4"/>
    <w:rsid w:val="594A6647"/>
    <w:rsid w:val="594B2C03"/>
    <w:rsid w:val="594B4906"/>
    <w:rsid w:val="594B58F4"/>
    <w:rsid w:val="594B649D"/>
    <w:rsid w:val="594C0007"/>
    <w:rsid w:val="594C3147"/>
    <w:rsid w:val="594C6863"/>
    <w:rsid w:val="594D2DC3"/>
    <w:rsid w:val="594E10CA"/>
    <w:rsid w:val="594E222C"/>
    <w:rsid w:val="594E2814"/>
    <w:rsid w:val="594E37F8"/>
    <w:rsid w:val="594E39B9"/>
    <w:rsid w:val="594E3CE1"/>
    <w:rsid w:val="594E53E5"/>
    <w:rsid w:val="594F3C5E"/>
    <w:rsid w:val="594F433C"/>
    <w:rsid w:val="594F4645"/>
    <w:rsid w:val="59501373"/>
    <w:rsid w:val="59502526"/>
    <w:rsid w:val="59502855"/>
    <w:rsid w:val="59503014"/>
    <w:rsid w:val="595046FA"/>
    <w:rsid w:val="59504E4A"/>
    <w:rsid w:val="59505C28"/>
    <w:rsid w:val="5951181E"/>
    <w:rsid w:val="59511B73"/>
    <w:rsid w:val="59512D8A"/>
    <w:rsid w:val="59513FBD"/>
    <w:rsid w:val="5952110E"/>
    <w:rsid w:val="5952374E"/>
    <w:rsid w:val="5952400F"/>
    <w:rsid w:val="595345F5"/>
    <w:rsid w:val="59536896"/>
    <w:rsid w:val="595369C1"/>
    <w:rsid w:val="59537DCE"/>
    <w:rsid w:val="59542857"/>
    <w:rsid w:val="5954396A"/>
    <w:rsid w:val="59544FB5"/>
    <w:rsid w:val="5954561D"/>
    <w:rsid w:val="59545718"/>
    <w:rsid w:val="595506A2"/>
    <w:rsid w:val="5955323E"/>
    <w:rsid w:val="59553B5E"/>
    <w:rsid w:val="59554FEC"/>
    <w:rsid w:val="595607E3"/>
    <w:rsid w:val="59562432"/>
    <w:rsid w:val="59574FE2"/>
    <w:rsid w:val="59575208"/>
    <w:rsid w:val="59585445"/>
    <w:rsid w:val="595924F8"/>
    <w:rsid w:val="59592D2E"/>
    <w:rsid w:val="59594620"/>
    <w:rsid w:val="59594ADC"/>
    <w:rsid w:val="5959698D"/>
    <w:rsid w:val="5959767E"/>
    <w:rsid w:val="59597927"/>
    <w:rsid w:val="595A3223"/>
    <w:rsid w:val="595A7C56"/>
    <w:rsid w:val="595B0854"/>
    <w:rsid w:val="595B4CF8"/>
    <w:rsid w:val="595B6AA6"/>
    <w:rsid w:val="595B76B4"/>
    <w:rsid w:val="595C1523"/>
    <w:rsid w:val="595C37BE"/>
    <w:rsid w:val="595C45CC"/>
    <w:rsid w:val="595C56A7"/>
    <w:rsid w:val="595C56C4"/>
    <w:rsid w:val="595C637A"/>
    <w:rsid w:val="595C7DF4"/>
    <w:rsid w:val="595D0313"/>
    <w:rsid w:val="595D14DC"/>
    <w:rsid w:val="595D32DA"/>
    <w:rsid w:val="595D34F5"/>
    <w:rsid w:val="595D546C"/>
    <w:rsid w:val="595E0345"/>
    <w:rsid w:val="595E4EDA"/>
    <w:rsid w:val="595E6596"/>
    <w:rsid w:val="595E74AC"/>
    <w:rsid w:val="595F2EC7"/>
    <w:rsid w:val="595F3988"/>
    <w:rsid w:val="595F5340"/>
    <w:rsid w:val="5960163C"/>
    <w:rsid w:val="59602D03"/>
    <w:rsid w:val="59603907"/>
    <w:rsid w:val="59603AB5"/>
    <w:rsid w:val="596040BD"/>
    <w:rsid w:val="596040D5"/>
    <w:rsid w:val="5960561F"/>
    <w:rsid w:val="596077FA"/>
    <w:rsid w:val="59613562"/>
    <w:rsid w:val="59613991"/>
    <w:rsid w:val="596174F5"/>
    <w:rsid w:val="59617E35"/>
    <w:rsid w:val="59617F77"/>
    <w:rsid w:val="596223F0"/>
    <w:rsid w:val="59630196"/>
    <w:rsid w:val="59633BAD"/>
    <w:rsid w:val="59635B05"/>
    <w:rsid w:val="59636479"/>
    <w:rsid w:val="59640793"/>
    <w:rsid w:val="59641B83"/>
    <w:rsid w:val="59644834"/>
    <w:rsid w:val="59644A3A"/>
    <w:rsid w:val="5964760B"/>
    <w:rsid w:val="596516D3"/>
    <w:rsid w:val="596521DC"/>
    <w:rsid w:val="59653481"/>
    <w:rsid w:val="59655FA4"/>
    <w:rsid w:val="596573C2"/>
    <w:rsid w:val="59657925"/>
    <w:rsid w:val="59660EE6"/>
    <w:rsid w:val="59661F2B"/>
    <w:rsid w:val="5966263D"/>
    <w:rsid w:val="5966544B"/>
    <w:rsid w:val="59671AD4"/>
    <w:rsid w:val="596733BB"/>
    <w:rsid w:val="59680905"/>
    <w:rsid w:val="596811C3"/>
    <w:rsid w:val="59681324"/>
    <w:rsid w:val="59682EF9"/>
    <w:rsid w:val="59684D1F"/>
    <w:rsid w:val="59687D31"/>
    <w:rsid w:val="596908AC"/>
    <w:rsid w:val="59691B39"/>
    <w:rsid w:val="59691FED"/>
    <w:rsid w:val="596A0579"/>
    <w:rsid w:val="596A0A97"/>
    <w:rsid w:val="596A3A82"/>
    <w:rsid w:val="596A4728"/>
    <w:rsid w:val="596A5151"/>
    <w:rsid w:val="596A58FA"/>
    <w:rsid w:val="596A6CE9"/>
    <w:rsid w:val="596B3395"/>
    <w:rsid w:val="596B480F"/>
    <w:rsid w:val="596B560C"/>
    <w:rsid w:val="596B6C35"/>
    <w:rsid w:val="596C0E3E"/>
    <w:rsid w:val="596C1821"/>
    <w:rsid w:val="596C23A1"/>
    <w:rsid w:val="596C2A61"/>
    <w:rsid w:val="596C74DE"/>
    <w:rsid w:val="596D24B9"/>
    <w:rsid w:val="596D4A2C"/>
    <w:rsid w:val="596D67DA"/>
    <w:rsid w:val="596E2E2D"/>
    <w:rsid w:val="596E7083"/>
    <w:rsid w:val="596F12C9"/>
    <w:rsid w:val="596F2552"/>
    <w:rsid w:val="596F423B"/>
    <w:rsid w:val="596F4300"/>
    <w:rsid w:val="596F471E"/>
    <w:rsid w:val="59700C85"/>
    <w:rsid w:val="5970262C"/>
    <w:rsid w:val="597049D0"/>
    <w:rsid w:val="59704E92"/>
    <w:rsid w:val="59705BAE"/>
    <w:rsid w:val="59710078"/>
    <w:rsid w:val="597102E2"/>
    <w:rsid w:val="59710611"/>
    <w:rsid w:val="5971361E"/>
    <w:rsid w:val="59720FEC"/>
    <w:rsid w:val="59722042"/>
    <w:rsid w:val="59723DF0"/>
    <w:rsid w:val="59726C6D"/>
    <w:rsid w:val="5973025B"/>
    <w:rsid w:val="597307C2"/>
    <w:rsid w:val="59730A21"/>
    <w:rsid w:val="5973309F"/>
    <w:rsid w:val="597333E9"/>
    <w:rsid w:val="59735024"/>
    <w:rsid w:val="59735C70"/>
    <w:rsid w:val="59736F48"/>
    <w:rsid w:val="59737050"/>
    <w:rsid w:val="59737A9B"/>
    <w:rsid w:val="59741916"/>
    <w:rsid w:val="59741C41"/>
    <w:rsid w:val="59750590"/>
    <w:rsid w:val="59750A96"/>
    <w:rsid w:val="59750DB1"/>
    <w:rsid w:val="5975743C"/>
    <w:rsid w:val="59762F6D"/>
    <w:rsid w:val="597633C7"/>
    <w:rsid w:val="597638E0"/>
    <w:rsid w:val="5976568E"/>
    <w:rsid w:val="597658A2"/>
    <w:rsid w:val="59767D0B"/>
    <w:rsid w:val="59771406"/>
    <w:rsid w:val="59771CC0"/>
    <w:rsid w:val="59772EB0"/>
    <w:rsid w:val="597731B4"/>
    <w:rsid w:val="59774F39"/>
    <w:rsid w:val="59775A81"/>
    <w:rsid w:val="597769C7"/>
    <w:rsid w:val="5978001E"/>
    <w:rsid w:val="597856D8"/>
    <w:rsid w:val="59786F11"/>
    <w:rsid w:val="59791DD3"/>
    <w:rsid w:val="597933D0"/>
    <w:rsid w:val="5979517E"/>
    <w:rsid w:val="59796150"/>
    <w:rsid w:val="597A0C6C"/>
    <w:rsid w:val="597A321A"/>
    <w:rsid w:val="597A5C58"/>
    <w:rsid w:val="597A5F5D"/>
    <w:rsid w:val="597B0EF6"/>
    <w:rsid w:val="597B3F2E"/>
    <w:rsid w:val="597B40A3"/>
    <w:rsid w:val="597B512F"/>
    <w:rsid w:val="597C2FEA"/>
    <w:rsid w:val="597C6A1D"/>
    <w:rsid w:val="597D1BF4"/>
    <w:rsid w:val="597D1F72"/>
    <w:rsid w:val="597D327D"/>
    <w:rsid w:val="597D3CD1"/>
    <w:rsid w:val="597D454E"/>
    <w:rsid w:val="597E12C3"/>
    <w:rsid w:val="597E2795"/>
    <w:rsid w:val="597E2D83"/>
    <w:rsid w:val="597E6094"/>
    <w:rsid w:val="597E73D8"/>
    <w:rsid w:val="597F5299"/>
    <w:rsid w:val="597F6DA6"/>
    <w:rsid w:val="597F6EE3"/>
    <w:rsid w:val="598000B4"/>
    <w:rsid w:val="598045CC"/>
    <w:rsid w:val="59810274"/>
    <w:rsid w:val="5981496A"/>
    <w:rsid w:val="59815163"/>
    <w:rsid w:val="59815DE1"/>
    <w:rsid w:val="59821704"/>
    <w:rsid w:val="59825894"/>
    <w:rsid w:val="59827FC3"/>
    <w:rsid w:val="59835FFD"/>
    <w:rsid w:val="59837C58"/>
    <w:rsid w:val="598454B4"/>
    <w:rsid w:val="59845882"/>
    <w:rsid w:val="5985147F"/>
    <w:rsid w:val="59851D75"/>
    <w:rsid w:val="59851D96"/>
    <w:rsid w:val="59853338"/>
    <w:rsid w:val="59853B23"/>
    <w:rsid w:val="598558D1"/>
    <w:rsid w:val="59860BF1"/>
    <w:rsid w:val="598614C8"/>
    <w:rsid w:val="59861649"/>
    <w:rsid w:val="598633F7"/>
    <w:rsid w:val="59867BF3"/>
    <w:rsid w:val="598729A5"/>
    <w:rsid w:val="59872D96"/>
    <w:rsid w:val="59875E61"/>
    <w:rsid w:val="598760E6"/>
    <w:rsid w:val="598767F9"/>
    <w:rsid w:val="5987789B"/>
    <w:rsid w:val="59883613"/>
    <w:rsid w:val="59883E35"/>
    <w:rsid w:val="598853C1"/>
    <w:rsid w:val="59886E35"/>
    <w:rsid w:val="59890190"/>
    <w:rsid w:val="59890834"/>
    <w:rsid w:val="598952C5"/>
    <w:rsid w:val="598A113A"/>
    <w:rsid w:val="598A2EE8"/>
    <w:rsid w:val="598A4522"/>
    <w:rsid w:val="598A77FC"/>
    <w:rsid w:val="598B0D30"/>
    <w:rsid w:val="598B14EE"/>
    <w:rsid w:val="598B6C60"/>
    <w:rsid w:val="598B7322"/>
    <w:rsid w:val="598C088F"/>
    <w:rsid w:val="598C3104"/>
    <w:rsid w:val="598C3EB5"/>
    <w:rsid w:val="598C4CD1"/>
    <w:rsid w:val="598C5387"/>
    <w:rsid w:val="598D29D8"/>
    <w:rsid w:val="598D31CC"/>
    <w:rsid w:val="598D3F0A"/>
    <w:rsid w:val="598D4659"/>
    <w:rsid w:val="598E26B8"/>
    <w:rsid w:val="598E476E"/>
    <w:rsid w:val="598E5607"/>
    <w:rsid w:val="598E5973"/>
    <w:rsid w:val="598E5E30"/>
    <w:rsid w:val="598F04FE"/>
    <w:rsid w:val="598F09E8"/>
    <w:rsid w:val="598F27A1"/>
    <w:rsid w:val="598F49A2"/>
    <w:rsid w:val="598F4E68"/>
    <w:rsid w:val="59901B05"/>
    <w:rsid w:val="599042AB"/>
    <w:rsid w:val="59905198"/>
    <w:rsid w:val="5991071A"/>
    <w:rsid w:val="59911AC0"/>
    <w:rsid w:val="59912270"/>
    <w:rsid w:val="599140C8"/>
    <w:rsid w:val="59914276"/>
    <w:rsid w:val="59916651"/>
    <w:rsid w:val="5992097D"/>
    <w:rsid w:val="59920DF9"/>
    <w:rsid w:val="59923099"/>
    <w:rsid w:val="59923CB0"/>
    <w:rsid w:val="59926906"/>
    <w:rsid w:val="59931BA0"/>
    <w:rsid w:val="59933CA5"/>
    <w:rsid w:val="59934492"/>
    <w:rsid w:val="59936DC8"/>
    <w:rsid w:val="59942DF4"/>
    <w:rsid w:val="59943771"/>
    <w:rsid w:val="59943ABD"/>
    <w:rsid w:val="59943D66"/>
    <w:rsid w:val="59944019"/>
    <w:rsid w:val="59945B14"/>
    <w:rsid w:val="5994681B"/>
    <w:rsid w:val="59953B09"/>
    <w:rsid w:val="59956439"/>
    <w:rsid w:val="59960A74"/>
    <w:rsid w:val="599610E6"/>
    <w:rsid w:val="5996123D"/>
    <w:rsid w:val="59961A9A"/>
    <w:rsid w:val="599649A3"/>
    <w:rsid w:val="599678C9"/>
    <w:rsid w:val="59967ADE"/>
    <w:rsid w:val="599717C2"/>
    <w:rsid w:val="59971AF0"/>
    <w:rsid w:val="5997249A"/>
    <w:rsid w:val="59973856"/>
    <w:rsid w:val="599747B2"/>
    <w:rsid w:val="5999137D"/>
    <w:rsid w:val="599919E2"/>
    <w:rsid w:val="5999312B"/>
    <w:rsid w:val="599937DC"/>
    <w:rsid w:val="59994DBA"/>
    <w:rsid w:val="599975CF"/>
    <w:rsid w:val="5999798B"/>
    <w:rsid w:val="599A3354"/>
    <w:rsid w:val="599A442D"/>
    <w:rsid w:val="599A4FB2"/>
    <w:rsid w:val="599A64DF"/>
    <w:rsid w:val="599A71A9"/>
    <w:rsid w:val="599A7661"/>
    <w:rsid w:val="599B0475"/>
    <w:rsid w:val="599B4277"/>
    <w:rsid w:val="599B546A"/>
    <w:rsid w:val="599C0E6D"/>
    <w:rsid w:val="599C373B"/>
    <w:rsid w:val="599D2768"/>
    <w:rsid w:val="599D4BCB"/>
    <w:rsid w:val="599D5E47"/>
    <w:rsid w:val="599D630C"/>
    <w:rsid w:val="599D6336"/>
    <w:rsid w:val="599D7559"/>
    <w:rsid w:val="599E153A"/>
    <w:rsid w:val="599E2E37"/>
    <w:rsid w:val="599F20BC"/>
    <w:rsid w:val="599F3352"/>
    <w:rsid w:val="599F5552"/>
    <w:rsid w:val="599F60D2"/>
    <w:rsid w:val="59A00552"/>
    <w:rsid w:val="59A0270B"/>
    <w:rsid w:val="59A02CB7"/>
    <w:rsid w:val="59A044B9"/>
    <w:rsid w:val="59A04FF9"/>
    <w:rsid w:val="59A1006E"/>
    <w:rsid w:val="59A10231"/>
    <w:rsid w:val="59A11317"/>
    <w:rsid w:val="59A14BE1"/>
    <w:rsid w:val="59A1506F"/>
    <w:rsid w:val="59A16339"/>
    <w:rsid w:val="59A1739E"/>
    <w:rsid w:val="59A20E9B"/>
    <w:rsid w:val="59A25C2F"/>
    <w:rsid w:val="59A275AD"/>
    <w:rsid w:val="59A30FBC"/>
    <w:rsid w:val="59A321FB"/>
    <w:rsid w:val="59A32FFC"/>
    <w:rsid w:val="59A3385F"/>
    <w:rsid w:val="59A33FA9"/>
    <w:rsid w:val="59A37EC9"/>
    <w:rsid w:val="59A37EE6"/>
    <w:rsid w:val="59A425E7"/>
    <w:rsid w:val="59A42EB9"/>
    <w:rsid w:val="59A53E96"/>
    <w:rsid w:val="59A55F2E"/>
    <w:rsid w:val="59A55F73"/>
    <w:rsid w:val="59A55F84"/>
    <w:rsid w:val="59A560B6"/>
    <w:rsid w:val="59A62375"/>
    <w:rsid w:val="59A66224"/>
    <w:rsid w:val="59A70825"/>
    <w:rsid w:val="59A7244C"/>
    <w:rsid w:val="59A73A9A"/>
    <w:rsid w:val="59A74B23"/>
    <w:rsid w:val="59A7628D"/>
    <w:rsid w:val="59A838E9"/>
    <w:rsid w:val="59A85A64"/>
    <w:rsid w:val="59A87812"/>
    <w:rsid w:val="59A9017D"/>
    <w:rsid w:val="59A92B2B"/>
    <w:rsid w:val="59A92BA4"/>
    <w:rsid w:val="59A93BFA"/>
    <w:rsid w:val="59A94DD5"/>
    <w:rsid w:val="59A96486"/>
    <w:rsid w:val="59A96B00"/>
    <w:rsid w:val="59A972F4"/>
    <w:rsid w:val="59AA0910"/>
    <w:rsid w:val="59AA17DC"/>
    <w:rsid w:val="59AA1D2E"/>
    <w:rsid w:val="59AA35E5"/>
    <w:rsid w:val="59AA4258"/>
    <w:rsid w:val="59AA4777"/>
    <w:rsid w:val="59AA64E0"/>
    <w:rsid w:val="59AA7722"/>
    <w:rsid w:val="59AB3A62"/>
    <w:rsid w:val="59AB5E75"/>
    <w:rsid w:val="59AC1F37"/>
    <w:rsid w:val="59AC508C"/>
    <w:rsid w:val="59AC5554"/>
    <w:rsid w:val="59AC6F21"/>
    <w:rsid w:val="59AC7302"/>
    <w:rsid w:val="59AD307A"/>
    <w:rsid w:val="59AD4E28"/>
    <w:rsid w:val="59AD6BD6"/>
    <w:rsid w:val="59AE592B"/>
    <w:rsid w:val="59AF0BA0"/>
    <w:rsid w:val="59AF1BB1"/>
    <w:rsid w:val="59AF5743"/>
    <w:rsid w:val="59AF6DF2"/>
    <w:rsid w:val="59B06278"/>
    <w:rsid w:val="59B1056C"/>
    <w:rsid w:val="59B12E17"/>
    <w:rsid w:val="59B1302B"/>
    <w:rsid w:val="59B14AC4"/>
    <w:rsid w:val="59B15BF0"/>
    <w:rsid w:val="59B166C6"/>
    <w:rsid w:val="59B300EB"/>
    <w:rsid w:val="59B31033"/>
    <w:rsid w:val="59B31E34"/>
    <w:rsid w:val="59B33103"/>
    <w:rsid w:val="59B41F21"/>
    <w:rsid w:val="59B437E1"/>
    <w:rsid w:val="59B44408"/>
    <w:rsid w:val="59B47373"/>
    <w:rsid w:val="59B47597"/>
    <w:rsid w:val="59B47F65"/>
    <w:rsid w:val="59B52E52"/>
    <w:rsid w:val="59B624A5"/>
    <w:rsid w:val="59B62AC9"/>
    <w:rsid w:val="59B6376A"/>
    <w:rsid w:val="59B63CDD"/>
    <w:rsid w:val="59B65657"/>
    <w:rsid w:val="59B71F1E"/>
    <w:rsid w:val="59B7386E"/>
    <w:rsid w:val="59B77A55"/>
    <w:rsid w:val="59B817D3"/>
    <w:rsid w:val="59B81BD2"/>
    <w:rsid w:val="59B82923"/>
    <w:rsid w:val="59B83EF9"/>
    <w:rsid w:val="59B84C4F"/>
    <w:rsid w:val="59B860E0"/>
    <w:rsid w:val="59B87B25"/>
    <w:rsid w:val="59B91E35"/>
    <w:rsid w:val="59B951B1"/>
    <w:rsid w:val="59B95834"/>
    <w:rsid w:val="59B97F47"/>
    <w:rsid w:val="59B97F62"/>
    <w:rsid w:val="59BA30E5"/>
    <w:rsid w:val="59BA391C"/>
    <w:rsid w:val="59BA7AB3"/>
    <w:rsid w:val="59BA7B81"/>
    <w:rsid w:val="59BB0682"/>
    <w:rsid w:val="59BB46C0"/>
    <w:rsid w:val="59BB5797"/>
    <w:rsid w:val="59BB6B03"/>
    <w:rsid w:val="59BB7545"/>
    <w:rsid w:val="59BC1C78"/>
    <w:rsid w:val="59BC22E6"/>
    <w:rsid w:val="59BC3821"/>
    <w:rsid w:val="59BC506B"/>
    <w:rsid w:val="59BC78A1"/>
    <w:rsid w:val="59BD150F"/>
    <w:rsid w:val="59BD684B"/>
    <w:rsid w:val="59BD6F40"/>
    <w:rsid w:val="59BD7A74"/>
    <w:rsid w:val="59BE1749"/>
    <w:rsid w:val="59BE5287"/>
    <w:rsid w:val="59BE7035"/>
    <w:rsid w:val="59BE7A5A"/>
    <w:rsid w:val="59BF1BB9"/>
    <w:rsid w:val="59BF3820"/>
    <w:rsid w:val="59BF3B9A"/>
    <w:rsid w:val="59BF3CBA"/>
    <w:rsid w:val="59BF4FFE"/>
    <w:rsid w:val="59BF584C"/>
    <w:rsid w:val="59BF6AD5"/>
    <w:rsid w:val="59BF7331"/>
    <w:rsid w:val="59C03329"/>
    <w:rsid w:val="59C03AF8"/>
    <w:rsid w:val="59C04147"/>
    <w:rsid w:val="59C04B5B"/>
    <w:rsid w:val="59C06909"/>
    <w:rsid w:val="59C07DE9"/>
    <w:rsid w:val="59C103E0"/>
    <w:rsid w:val="59C12681"/>
    <w:rsid w:val="59C15707"/>
    <w:rsid w:val="59C20FCE"/>
    <w:rsid w:val="59C214B5"/>
    <w:rsid w:val="59C21782"/>
    <w:rsid w:val="59C23470"/>
    <w:rsid w:val="59C23DC9"/>
    <w:rsid w:val="59C24ABB"/>
    <w:rsid w:val="59C25874"/>
    <w:rsid w:val="59C26B25"/>
    <w:rsid w:val="59C271F3"/>
    <w:rsid w:val="59C31225"/>
    <w:rsid w:val="59C33A3E"/>
    <w:rsid w:val="59C3464B"/>
    <w:rsid w:val="59C3557F"/>
    <w:rsid w:val="59C35FBD"/>
    <w:rsid w:val="59C363FA"/>
    <w:rsid w:val="59C37AB8"/>
    <w:rsid w:val="59C4289D"/>
    <w:rsid w:val="59C42947"/>
    <w:rsid w:val="59C430B7"/>
    <w:rsid w:val="59C433AF"/>
    <w:rsid w:val="59C52172"/>
    <w:rsid w:val="59C53F20"/>
    <w:rsid w:val="59C56616"/>
    <w:rsid w:val="59C61C6F"/>
    <w:rsid w:val="59C701F3"/>
    <w:rsid w:val="59C71ECF"/>
    <w:rsid w:val="59C7413C"/>
    <w:rsid w:val="59C75678"/>
    <w:rsid w:val="59C76480"/>
    <w:rsid w:val="59C81151"/>
    <w:rsid w:val="59C812C8"/>
    <w:rsid w:val="59C81C62"/>
    <w:rsid w:val="59C836D0"/>
    <w:rsid w:val="59C83A10"/>
    <w:rsid w:val="59C845B7"/>
    <w:rsid w:val="59C845F8"/>
    <w:rsid w:val="59C867CF"/>
    <w:rsid w:val="59C86B3A"/>
    <w:rsid w:val="59C95A83"/>
    <w:rsid w:val="59C96464"/>
    <w:rsid w:val="59CA1AF9"/>
    <w:rsid w:val="59CA1B78"/>
    <w:rsid w:val="59CA59DA"/>
    <w:rsid w:val="59CA692D"/>
    <w:rsid w:val="59CA7788"/>
    <w:rsid w:val="59CB6748"/>
    <w:rsid w:val="59CB6877"/>
    <w:rsid w:val="59CC10D9"/>
    <w:rsid w:val="59CC1752"/>
    <w:rsid w:val="59CC3786"/>
    <w:rsid w:val="59CC52AE"/>
    <w:rsid w:val="59CC5E97"/>
    <w:rsid w:val="59CC61AC"/>
    <w:rsid w:val="59CD04B5"/>
    <w:rsid w:val="59CD1026"/>
    <w:rsid w:val="59CD6BFE"/>
    <w:rsid w:val="59CD6D8F"/>
    <w:rsid w:val="59CD7278"/>
    <w:rsid w:val="59CE016A"/>
    <w:rsid w:val="59CE11BE"/>
    <w:rsid w:val="59CE24EE"/>
    <w:rsid w:val="59CE54CA"/>
    <w:rsid w:val="59CF04CD"/>
    <w:rsid w:val="59CF2FF0"/>
    <w:rsid w:val="59CF3323"/>
    <w:rsid w:val="59CF4AA6"/>
    <w:rsid w:val="59CF646B"/>
    <w:rsid w:val="59D0262B"/>
    <w:rsid w:val="59D028AF"/>
    <w:rsid w:val="59D03A06"/>
    <w:rsid w:val="59D04644"/>
    <w:rsid w:val="59D05C24"/>
    <w:rsid w:val="59D075A6"/>
    <w:rsid w:val="59D10FDE"/>
    <w:rsid w:val="59D117D0"/>
    <w:rsid w:val="59D14103"/>
    <w:rsid w:val="59D235B0"/>
    <w:rsid w:val="59D24EA0"/>
    <w:rsid w:val="59D2663D"/>
    <w:rsid w:val="59D3038A"/>
    <w:rsid w:val="59D31A87"/>
    <w:rsid w:val="59D32AE1"/>
    <w:rsid w:val="59D4236E"/>
    <w:rsid w:val="59D423B5"/>
    <w:rsid w:val="59D43C7B"/>
    <w:rsid w:val="59D5500D"/>
    <w:rsid w:val="59D55C1B"/>
    <w:rsid w:val="59D625D1"/>
    <w:rsid w:val="59D656E1"/>
    <w:rsid w:val="59D6612D"/>
    <w:rsid w:val="59D72FC7"/>
    <w:rsid w:val="59D800F7"/>
    <w:rsid w:val="59D83BAB"/>
    <w:rsid w:val="59D845ED"/>
    <w:rsid w:val="59D85848"/>
    <w:rsid w:val="59D86349"/>
    <w:rsid w:val="59D926A0"/>
    <w:rsid w:val="59D92D25"/>
    <w:rsid w:val="59D94D1C"/>
    <w:rsid w:val="59D95C1D"/>
    <w:rsid w:val="59D979CB"/>
    <w:rsid w:val="59DA1F55"/>
    <w:rsid w:val="59DA21C8"/>
    <w:rsid w:val="59DA2E8A"/>
    <w:rsid w:val="59DB1995"/>
    <w:rsid w:val="59DB3743"/>
    <w:rsid w:val="59DB3BF6"/>
    <w:rsid w:val="59DB4682"/>
    <w:rsid w:val="59DB56E6"/>
    <w:rsid w:val="59DB773E"/>
    <w:rsid w:val="59DB7AFB"/>
    <w:rsid w:val="59DC3906"/>
    <w:rsid w:val="59DD0199"/>
    <w:rsid w:val="59DD395F"/>
    <w:rsid w:val="59DD570D"/>
    <w:rsid w:val="59DD74BB"/>
    <w:rsid w:val="59DE0FA3"/>
    <w:rsid w:val="59DE1485"/>
    <w:rsid w:val="59DE4FE1"/>
    <w:rsid w:val="59DE6A41"/>
    <w:rsid w:val="59DE7609"/>
    <w:rsid w:val="59DF0C90"/>
    <w:rsid w:val="59DF576E"/>
    <w:rsid w:val="59DF76D7"/>
    <w:rsid w:val="59DF7BBD"/>
    <w:rsid w:val="59E00902"/>
    <w:rsid w:val="59E00D5A"/>
    <w:rsid w:val="59E051FD"/>
    <w:rsid w:val="59E07AA9"/>
    <w:rsid w:val="59E07DCA"/>
    <w:rsid w:val="59E12A28"/>
    <w:rsid w:val="59E15BD4"/>
    <w:rsid w:val="59E243BE"/>
    <w:rsid w:val="59E24AD2"/>
    <w:rsid w:val="59E36664"/>
    <w:rsid w:val="59E36A9C"/>
    <w:rsid w:val="59E40F55"/>
    <w:rsid w:val="59E42F9D"/>
    <w:rsid w:val="59E50FA1"/>
    <w:rsid w:val="59E52814"/>
    <w:rsid w:val="59E545C2"/>
    <w:rsid w:val="59E56370"/>
    <w:rsid w:val="59E60AD6"/>
    <w:rsid w:val="59E629DC"/>
    <w:rsid w:val="59E655D1"/>
    <w:rsid w:val="59E71477"/>
    <w:rsid w:val="59E720E8"/>
    <w:rsid w:val="59E7451D"/>
    <w:rsid w:val="59E74589"/>
    <w:rsid w:val="59E764D1"/>
    <w:rsid w:val="59E7658C"/>
    <w:rsid w:val="59E832FB"/>
    <w:rsid w:val="59E849BE"/>
    <w:rsid w:val="59E849D9"/>
    <w:rsid w:val="59E84AA5"/>
    <w:rsid w:val="59E85E60"/>
    <w:rsid w:val="59E86CBB"/>
    <w:rsid w:val="59E92315"/>
    <w:rsid w:val="59E940B2"/>
    <w:rsid w:val="59E96214"/>
    <w:rsid w:val="59E96729"/>
    <w:rsid w:val="59EA1382"/>
    <w:rsid w:val="59EA1BD8"/>
    <w:rsid w:val="59EA2F3B"/>
    <w:rsid w:val="59EA7346"/>
    <w:rsid w:val="59EA7E2A"/>
    <w:rsid w:val="59EB4C9E"/>
    <w:rsid w:val="59EB7EDD"/>
    <w:rsid w:val="59EC06C3"/>
    <w:rsid w:val="59EC27EE"/>
    <w:rsid w:val="59EC3BA2"/>
    <w:rsid w:val="59EC4579"/>
    <w:rsid w:val="59EC5950"/>
    <w:rsid w:val="59ED3294"/>
    <w:rsid w:val="59ED3476"/>
    <w:rsid w:val="59ED3F6C"/>
    <w:rsid w:val="59ED4660"/>
    <w:rsid w:val="59ED499D"/>
    <w:rsid w:val="59EE0B1A"/>
    <w:rsid w:val="59EE1399"/>
    <w:rsid w:val="59EE31A9"/>
    <w:rsid w:val="59EE3C99"/>
    <w:rsid w:val="59EE5511"/>
    <w:rsid w:val="59EE7226"/>
    <w:rsid w:val="59EF5441"/>
    <w:rsid w:val="59EF7044"/>
    <w:rsid w:val="59EF71EF"/>
    <w:rsid w:val="59F01958"/>
    <w:rsid w:val="59F01B4B"/>
    <w:rsid w:val="59F01FBA"/>
    <w:rsid w:val="59F03F39"/>
    <w:rsid w:val="59F04F9C"/>
    <w:rsid w:val="59F111B9"/>
    <w:rsid w:val="59F14D15"/>
    <w:rsid w:val="59F16B18"/>
    <w:rsid w:val="59F1740B"/>
    <w:rsid w:val="59F20A8D"/>
    <w:rsid w:val="59F22B55"/>
    <w:rsid w:val="59F26EC9"/>
    <w:rsid w:val="59F27234"/>
    <w:rsid w:val="59F273E9"/>
    <w:rsid w:val="59F32249"/>
    <w:rsid w:val="59F3238B"/>
    <w:rsid w:val="59F3335B"/>
    <w:rsid w:val="59F34F1B"/>
    <w:rsid w:val="59F34F31"/>
    <w:rsid w:val="59F3686F"/>
    <w:rsid w:val="59F36CDF"/>
    <w:rsid w:val="59F42758"/>
    <w:rsid w:val="59F42A57"/>
    <w:rsid w:val="59F51775"/>
    <w:rsid w:val="59F52990"/>
    <w:rsid w:val="59F54101"/>
    <w:rsid w:val="59F56313"/>
    <w:rsid w:val="59F66A67"/>
    <w:rsid w:val="59F67887"/>
    <w:rsid w:val="59F74329"/>
    <w:rsid w:val="59F760A3"/>
    <w:rsid w:val="59F803A7"/>
    <w:rsid w:val="59F805C0"/>
    <w:rsid w:val="59F82547"/>
    <w:rsid w:val="59F86319"/>
    <w:rsid w:val="59F91837"/>
    <w:rsid w:val="59F91E1B"/>
    <w:rsid w:val="59F94FB2"/>
    <w:rsid w:val="59FA1E82"/>
    <w:rsid w:val="59FA4157"/>
    <w:rsid w:val="59FB1D53"/>
    <w:rsid w:val="59FB2037"/>
    <w:rsid w:val="59FB30B7"/>
    <w:rsid w:val="59FB5B93"/>
    <w:rsid w:val="59FB5D2D"/>
    <w:rsid w:val="59FB6D28"/>
    <w:rsid w:val="59FC0916"/>
    <w:rsid w:val="59FC2FBB"/>
    <w:rsid w:val="59FC4782"/>
    <w:rsid w:val="59FD190B"/>
    <w:rsid w:val="59FD435C"/>
    <w:rsid w:val="59FE0E0B"/>
    <w:rsid w:val="59FE0F9E"/>
    <w:rsid w:val="59FE16CA"/>
    <w:rsid w:val="59FE2AD8"/>
    <w:rsid w:val="59FE5684"/>
    <w:rsid w:val="59FE56A9"/>
    <w:rsid w:val="59FE6559"/>
    <w:rsid w:val="59FE775C"/>
    <w:rsid w:val="59FE7819"/>
    <w:rsid w:val="59FF1CA8"/>
    <w:rsid w:val="59FF3F68"/>
    <w:rsid w:val="59FF791E"/>
    <w:rsid w:val="5A0013FC"/>
    <w:rsid w:val="5A001BC6"/>
    <w:rsid w:val="5A003FAC"/>
    <w:rsid w:val="5A0050FD"/>
    <w:rsid w:val="5A00764E"/>
    <w:rsid w:val="5A010C64"/>
    <w:rsid w:val="5A011459"/>
    <w:rsid w:val="5A01595F"/>
    <w:rsid w:val="5A0173C4"/>
    <w:rsid w:val="5A0255F3"/>
    <w:rsid w:val="5A025697"/>
    <w:rsid w:val="5A02672A"/>
    <w:rsid w:val="5A032C9A"/>
    <w:rsid w:val="5A03471B"/>
    <w:rsid w:val="5A0354BA"/>
    <w:rsid w:val="5A03726C"/>
    <w:rsid w:val="5A0409F5"/>
    <w:rsid w:val="5A044619"/>
    <w:rsid w:val="5A04713E"/>
    <w:rsid w:val="5A0507C0"/>
    <w:rsid w:val="5A051343"/>
    <w:rsid w:val="5A051549"/>
    <w:rsid w:val="5A054940"/>
    <w:rsid w:val="5A056A12"/>
    <w:rsid w:val="5A06144C"/>
    <w:rsid w:val="5A065417"/>
    <w:rsid w:val="5A070D39"/>
    <w:rsid w:val="5A07278A"/>
    <w:rsid w:val="5A0752CB"/>
    <w:rsid w:val="5A076BAF"/>
    <w:rsid w:val="5A080814"/>
    <w:rsid w:val="5A086360"/>
    <w:rsid w:val="5A09126C"/>
    <w:rsid w:val="5A0917B6"/>
    <w:rsid w:val="5A094288"/>
    <w:rsid w:val="5A094754"/>
    <w:rsid w:val="5A09562C"/>
    <w:rsid w:val="5A096502"/>
    <w:rsid w:val="5A0A107B"/>
    <w:rsid w:val="5A0A227A"/>
    <w:rsid w:val="5A0A2F1C"/>
    <w:rsid w:val="5A0A4028"/>
    <w:rsid w:val="5A0A43A8"/>
    <w:rsid w:val="5A0A464E"/>
    <w:rsid w:val="5A0A5DD6"/>
    <w:rsid w:val="5A0B1BCE"/>
    <w:rsid w:val="5A0B22D5"/>
    <w:rsid w:val="5A0B56DC"/>
    <w:rsid w:val="5A0C1B4F"/>
    <w:rsid w:val="5A0C5FF2"/>
    <w:rsid w:val="5A0C7DA1"/>
    <w:rsid w:val="5A0D08D7"/>
    <w:rsid w:val="5A0D0C04"/>
    <w:rsid w:val="5A0D181B"/>
    <w:rsid w:val="5A0D2AD4"/>
    <w:rsid w:val="5A0D31D0"/>
    <w:rsid w:val="5A0D4CDF"/>
    <w:rsid w:val="5A0D5EE4"/>
    <w:rsid w:val="5A0E1D6B"/>
    <w:rsid w:val="5A0E3A9C"/>
    <w:rsid w:val="5A0E3B19"/>
    <w:rsid w:val="5A0E58C7"/>
    <w:rsid w:val="5A0E7690"/>
    <w:rsid w:val="5A0F163F"/>
    <w:rsid w:val="5A0F662E"/>
    <w:rsid w:val="5A0F7469"/>
    <w:rsid w:val="5A101373"/>
    <w:rsid w:val="5A103441"/>
    <w:rsid w:val="5A104A2A"/>
    <w:rsid w:val="5A10566E"/>
    <w:rsid w:val="5A105AE3"/>
    <w:rsid w:val="5A107A16"/>
    <w:rsid w:val="5A113609"/>
    <w:rsid w:val="5A1153B7"/>
    <w:rsid w:val="5A117165"/>
    <w:rsid w:val="5A1216FC"/>
    <w:rsid w:val="5A127540"/>
    <w:rsid w:val="5A127DD2"/>
    <w:rsid w:val="5A13112F"/>
    <w:rsid w:val="5A132EDD"/>
    <w:rsid w:val="5A13557A"/>
    <w:rsid w:val="5A137381"/>
    <w:rsid w:val="5A14058C"/>
    <w:rsid w:val="5A144CFE"/>
    <w:rsid w:val="5A152532"/>
    <w:rsid w:val="5A1530F9"/>
    <w:rsid w:val="5A160C1F"/>
    <w:rsid w:val="5A161D31"/>
    <w:rsid w:val="5A1667A4"/>
    <w:rsid w:val="5A166E71"/>
    <w:rsid w:val="5A171837"/>
    <w:rsid w:val="5A17367F"/>
    <w:rsid w:val="5A1775A9"/>
    <w:rsid w:val="5A18099E"/>
    <w:rsid w:val="5A183DAA"/>
    <w:rsid w:val="5A18788E"/>
    <w:rsid w:val="5A187A0B"/>
    <w:rsid w:val="5A19185D"/>
    <w:rsid w:val="5A193452"/>
    <w:rsid w:val="5A19426B"/>
    <w:rsid w:val="5A195F69"/>
    <w:rsid w:val="5A1A31EA"/>
    <w:rsid w:val="5A1A441A"/>
    <w:rsid w:val="5A1B200E"/>
    <w:rsid w:val="5A1B7FE4"/>
    <w:rsid w:val="5A1C4819"/>
    <w:rsid w:val="5A1D0B3F"/>
    <w:rsid w:val="5A1D0C32"/>
    <w:rsid w:val="5A1D1FAE"/>
    <w:rsid w:val="5A1D3434"/>
    <w:rsid w:val="5A1D3D5C"/>
    <w:rsid w:val="5A1D40AC"/>
    <w:rsid w:val="5A1D74F1"/>
    <w:rsid w:val="5A1E1882"/>
    <w:rsid w:val="5A1E7FA3"/>
    <w:rsid w:val="5A1F3552"/>
    <w:rsid w:val="5A1F3E49"/>
    <w:rsid w:val="5A1F5027"/>
    <w:rsid w:val="5A1F5D26"/>
    <w:rsid w:val="5A1F7DB7"/>
    <w:rsid w:val="5A200905"/>
    <w:rsid w:val="5A201177"/>
    <w:rsid w:val="5A201A9E"/>
    <w:rsid w:val="5A20235B"/>
    <w:rsid w:val="5A20384C"/>
    <w:rsid w:val="5A20427A"/>
    <w:rsid w:val="5A2074C4"/>
    <w:rsid w:val="5A21190D"/>
    <w:rsid w:val="5A211F8F"/>
    <w:rsid w:val="5A214763"/>
    <w:rsid w:val="5A217302"/>
    <w:rsid w:val="5A225816"/>
    <w:rsid w:val="5A2269D0"/>
    <w:rsid w:val="5A226B82"/>
    <w:rsid w:val="5A2275C4"/>
    <w:rsid w:val="5A230822"/>
    <w:rsid w:val="5A233D48"/>
    <w:rsid w:val="5A236E98"/>
    <w:rsid w:val="5A237440"/>
    <w:rsid w:val="5A241910"/>
    <w:rsid w:val="5A2447F3"/>
    <w:rsid w:val="5A2471DD"/>
    <w:rsid w:val="5A2473C4"/>
    <w:rsid w:val="5A250854"/>
    <w:rsid w:val="5A250E62"/>
    <w:rsid w:val="5A252C10"/>
    <w:rsid w:val="5A2614B6"/>
    <w:rsid w:val="5A2624A4"/>
    <w:rsid w:val="5A264F35"/>
    <w:rsid w:val="5A270BCC"/>
    <w:rsid w:val="5A270C0A"/>
    <w:rsid w:val="5A27288D"/>
    <w:rsid w:val="5A272E2C"/>
    <w:rsid w:val="5A27453B"/>
    <w:rsid w:val="5A281AFC"/>
    <w:rsid w:val="5A285D45"/>
    <w:rsid w:val="5A29616F"/>
    <w:rsid w:val="5A2963D2"/>
    <w:rsid w:val="5A296BA4"/>
    <w:rsid w:val="5A2A0994"/>
    <w:rsid w:val="5A2A227F"/>
    <w:rsid w:val="5A2A46CB"/>
    <w:rsid w:val="5A2B4DEE"/>
    <w:rsid w:val="5A2B5A1A"/>
    <w:rsid w:val="5A2B7B1F"/>
    <w:rsid w:val="5A2C0443"/>
    <w:rsid w:val="5A2C5B56"/>
    <w:rsid w:val="5A2C6D7D"/>
    <w:rsid w:val="5A2D23EA"/>
    <w:rsid w:val="5A2D2B6D"/>
    <w:rsid w:val="5A2D7C9D"/>
    <w:rsid w:val="5A2E0476"/>
    <w:rsid w:val="5A2E41BB"/>
    <w:rsid w:val="5A2E450F"/>
    <w:rsid w:val="5A2E54F6"/>
    <w:rsid w:val="5A2E5F69"/>
    <w:rsid w:val="5A2E6DC3"/>
    <w:rsid w:val="5A2E7499"/>
    <w:rsid w:val="5A2E7D17"/>
    <w:rsid w:val="5A2F3A8F"/>
    <w:rsid w:val="5A2F44D7"/>
    <w:rsid w:val="5A2F5320"/>
    <w:rsid w:val="5A2F69AB"/>
    <w:rsid w:val="5A2F6FEA"/>
    <w:rsid w:val="5A30158A"/>
    <w:rsid w:val="5A310ED8"/>
    <w:rsid w:val="5A311EBB"/>
    <w:rsid w:val="5A312BE2"/>
    <w:rsid w:val="5A31337C"/>
    <w:rsid w:val="5A323AEF"/>
    <w:rsid w:val="5A323C13"/>
    <w:rsid w:val="5A331454"/>
    <w:rsid w:val="5A3317D1"/>
    <w:rsid w:val="5A3410A5"/>
    <w:rsid w:val="5A34616D"/>
    <w:rsid w:val="5A346EB9"/>
    <w:rsid w:val="5A3474E6"/>
    <w:rsid w:val="5A347F11"/>
    <w:rsid w:val="5A351955"/>
    <w:rsid w:val="5A354779"/>
    <w:rsid w:val="5A355B13"/>
    <w:rsid w:val="5A355EB8"/>
    <w:rsid w:val="5A3572F7"/>
    <w:rsid w:val="5A3612C1"/>
    <w:rsid w:val="5A362315"/>
    <w:rsid w:val="5A36306F"/>
    <w:rsid w:val="5A36318B"/>
    <w:rsid w:val="5A364E1D"/>
    <w:rsid w:val="5A3707F0"/>
    <w:rsid w:val="5A371306"/>
    <w:rsid w:val="5A371DA1"/>
    <w:rsid w:val="5A372C69"/>
    <w:rsid w:val="5A373A50"/>
    <w:rsid w:val="5A37721E"/>
    <w:rsid w:val="5A380B96"/>
    <w:rsid w:val="5A385F7A"/>
    <w:rsid w:val="5A386DE8"/>
    <w:rsid w:val="5A390BE2"/>
    <w:rsid w:val="5A3929F8"/>
    <w:rsid w:val="5A3965CC"/>
    <w:rsid w:val="5A3A1F0D"/>
    <w:rsid w:val="5A3A2B60"/>
    <w:rsid w:val="5A3A2B9E"/>
    <w:rsid w:val="5A3A490E"/>
    <w:rsid w:val="5A3A52BB"/>
    <w:rsid w:val="5A3A6325"/>
    <w:rsid w:val="5A3B0686"/>
    <w:rsid w:val="5A3B234C"/>
    <w:rsid w:val="5A3B2434"/>
    <w:rsid w:val="5A3B2BD8"/>
    <w:rsid w:val="5A3B4ACA"/>
    <w:rsid w:val="5A3B557C"/>
    <w:rsid w:val="5A3B6392"/>
    <w:rsid w:val="5A3B68D8"/>
    <w:rsid w:val="5A3B6CEE"/>
    <w:rsid w:val="5A3C15A0"/>
    <w:rsid w:val="5A3C1755"/>
    <w:rsid w:val="5A3C3AD5"/>
    <w:rsid w:val="5A3C4F4B"/>
    <w:rsid w:val="5A3D29B1"/>
    <w:rsid w:val="5A3D42DE"/>
    <w:rsid w:val="5A3D43FE"/>
    <w:rsid w:val="5A3E3A91"/>
    <w:rsid w:val="5A3E3CD2"/>
    <w:rsid w:val="5A3E61ED"/>
    <w:rsid w:val="5A3E6D79"/>
    <w:rsid w:val="5A3E7F6B"/>
    <w:rsid w:val="5A3F0176"/>
    <w:rsid w:val="5A3F0BDC"/>
    <w:rsid w:val="5A3F0EE0"/>
    <w:rsid w:val="5A3F1319"/>
    <w:rsid w:val="5A401124"/>
    <w:rsid w:val="5A40138F"/>
    <w:rsid w:val="5A403EEE"/>
    <w:rsid w:val="5A404EBD"/>
    <w:rsid w:val="5A406C20"/>
    <w:rsid w:val="5A407642"/>
    <w:rsid w:val="5A407A4A"/>
    <w:rsid w:val="5A416278"/>
    <w:rsid w:val="5A4165E4"/>
    <w:rsid w:val="5A4210DC"/>
    <w:rsid w:val="5A4214D2"/>
    <w:rsid w:val="5A421A14"/>
    <w:rsid w:val="5A4237C2"/>
    <w:rsid w:val="5A4265E7"/>
    <w:rsid w:val="5A427C66"/>
    <w:rsid w:val="5A43094D"/>
    <w:rsid w:val="5A433C7D"/>
    <w:rsid w:val="5A43595E"/>
    <w:rsid w:val="5A437857"/>
    <w:rsid w:val="5A44079D"/>
    <w:rsid w:val="5A4418D7"/>
    <w:rsid w:val="5A442D2C"/>
    <w:rsid w:val="5A44578C"/>
    <w:rsid w:val="5A4464B7"/>
    <w:rsid w:val="5A446991"/>
    <w:rsid w:val="5A44753A"/>
    <w:rsid w:val="5A447CCD"/>
    <w:rsid w:val="5A4524C4"/>
    <w:rsid w:val="5A4532B2"/>
    <w:rsid w:val="5A45491F"/>
    <w:rsid w:val="5A455061"/>
    <w:rsid w:val="5A45526D"/>
    <w:rsid w:val="5A455ACA"/>
    <w:rsid w:val="5A456C27"/>
    <w:rsid w:val="5A456F22"/>
    <w:rsid w:val="5A4572E3"/>
    <w:rsid w:val="5A460C39"/>
    <w:rsid w:val="5A461648"/>
    <w:rsid w:val="5A464CAF"/>
    <w:rsid w:val="5A472596"/>
    <w:rsid w:val="5A474691"/>
    <w:rsid w:val="5A47702B"/>
    <w:rsid w:val="5A480691"/>
    <w:rsid w:val="5A481588"/>
    <w:rsid w:val="5A4823EE"/>
    <w:rsid w:val="5A484022"/>
    <w:rsid w:val="5A490C10"/>
    <w:rsid w:val="5A490FF5"/>
    <w:rsid w:val="5A494B51"/>
    <w:rsid w:val="5A49507E"/>
    <w:rsid w:val="5A4968FF"/>
    <w:rsid w:val="5A4A0933"/>
    <w:rsid w:val="5A4A2677"/>
    <w:rsid w:val="5A4A2A68"/>
    <w:rsid w:val="5A4A431E"/>
    <w:rsid w:val="5A4A43AC"/>
    <w:rsid w:val="5A4A504A"/>
    <w:rsid w:val="5A4A5A04"/>
    <w:rsid w:val="5A4A7908"/>
    <w:rsid w:val="5A4B15CF"/>
    <w:rsid w:val="5A4B279C"/>
    <w:rsid w:val="5A4B32B3"/>
    <w:rsid w:val="5A4B4771"/>
    <w:rsid w:val="5A4B5D4A"/>
    <w:rsid w:val="5A4C228D"/>
    <w:rsid w:val="5A4C39FF"/>
    <w:rsid w:val="5A4C4641"/>
    <w:rsid w:val="5A4C5C77"/>
    <w:rsid w:val="5A4D06E3"/>
    <w:rsid w:val="5A4D2273"/>
    <w:rsid w:val="5A4D65D0"/>
    <w:rsid w:val="5A4E2167"/>
    <w:rsid w:val="5A4F5EDF"/>
    <w:rsid w:val="5A4F639E"/>
    <w:rsid w:val="5A500A54"/>
    <w:rsid w:val="5A505060"/>
    <w:rsid w:val="5A507C94"/>
    <w:rsid w:val="5A512369"/>
    <w:rsid w:val="5A512DA2"/>
    <w:rsid w:val="5A513A05"/>
    <w:rsid w:val="5A515EBA"/>
    <w:rsid w:val="5A5178AE"/>
    <w:rsid w:val="5A517EA9"/>
    <w:rsid w:val="5A517F60"/>
    <w:rsid w:val="5A52186D"/>
    <w:rsid w:val="5A5312A5"/>
    <w:rsid w:val="5A532442"/>
    <w:rsid w:val="5A533C21"/>
    <w:rsid w:val="5A5359CF"/>
    <w:rsid w:val="5A53777D"/>
    <w:rsid w:val="5A544D62"/>
    <w:rsid w:val="5A55121C"/>
    <w:rsid w:val="5A551748"/>
    <w:rsid w:val="5A5534F6"/>
    <w:rsid w:val="5A5561C3"/>
    <w:rsid w:val="5A556BCB"/>
    <w:rsid w:val="5A563BEC"/>
    <w:rsid w:val="5A5654C0"/>
    <w:rsid w:val="5A56726E"/>
    <w:rsid w:val="5A571923"/>
    <w:rsid w:val="5A5727B0"/>
    <w:rsid w:val="5A5754FB"/>
    <w:rsid w:val="5A581783"/>
    <w:rsid w:val="5A5835B5"/>
    <w:rsid w:val="5A584D94"/>
    <w:rsid w:val="5A59123B"/>
    <w:rsid w:val="5A5917A0"/>
    <w:rsid w:val="5A5939ED"/>
    <w:rsid w:val="5A595798"/>
    <w:rsid w:val="5A597866"/>
    <w:rsid w:val="5A5A0B0C"/>
    <w:rsid w:val="5A5B2AD6"/>
    <w:rsid w:val="5A5B5D06"/>
    <w:rsid w:val="5A5C3A49"/>
    <w:rsid w:val="5A5C40A0"/>
    <w:rsid w:val="5A5C7A16"/>
    <w:rsid w:val="5A5D23AA"/>
    <w:rsid w:val="5A5D60C5"/>
    <w:rsid w:val="5A5D684E"/>
    <w:rsid w:val="5A5E1BF6"/>
    <w:rsid w:val="5A5E2313"/>
    <w:rsid w:val="5A5E28CD"/>
    <w:rsid w:val="5A5F06E9"/>
    <w:rsid w:val="5A5F079A"/>
    <w:rsid w:val="5A5F32CD"/>
    <w:rsid w:val="5A5F39F0"/>
    <w:rsid w:val="5A5F698A"/>
    <w:rsid w:val="5A5F6F71"/>
    <w:rsid w:val="5A6015B3"/>
    <w:rsid w:val="5A60768D"/>
    <w:rsid w:val="5A610FBB"/>
    <w:rsid w:val="5A6124F5"/>
    <w:rsid w:val="5A614CDA"/>
    <w:rsid w:val="5A615E65"/>
    <w:rsid w:val="5A61633E"/>
    <w:rsid w:val="5A623BFA"/>
    <w:rsid w:val="5A625C12"/>
    <w:rsid w:val="5A626759"/>
    <w:rsid w:val="5A635217"/>
    <w:rsid w:val="5A637923"/>
    <w:rsid w:val="5A6417A2"/>
    <w:rsid w:val="5A64198B"/>
    <w:rsid w:val="5A64321F"/>
    <w:rsid w:val="5A644F0B"/>
    <w:rsid w:val="5A6469FE"/>
    <w:rsid w:val="5A64764F"/>
    <w:rsid w:val="5A653FA6"/>
    <w:rsid w:val="5A6542A3"/>
    <w:rsid w:val="5A655703"/>
    <w:rsid w:val="5A66142C"/>
    <w:rsid w:val="5A6631BF"/>
    <w:rsid w:val="5A663955"/>
    <w:rsid w:val="5A665F4E"/>
    <w:rsid w:val="5A67147B"/>
    <w:rsid w:val="5A67266E"/>
    <w:rsid w:val="5A672EA9"/>
    <w:rsid w:val="5A677082"/>
    <w:rsid w:val="5A6776CD"/>
    <w:rsid w:val="5A677DAC"/>
    <w:rsid w:val="5A681064"/>
    <w:rsid w:val="5A683181"/>
    <w:rsid w:val="5A6837C4"/>
    <w:rsid w:val="5A6851D2"/>
    <w:rsid w:val="5A687588"/>
    <w:rsid w:val="5A68774D"/>
    <w:rsid w:val="5A687DA5"/>
    <w:rsid w:val="5A690989"/>
    <w:rsid w:val="5A692883"/>
    <w:rsid w:val="5A6951F3"/>
    <w:rsid w:val="5A696FA1"/>
    <w:rsid w:val="5A697C1F"/>
    <w:rsid w:val="5A6A06C9"/>
    <w:rsid w:val="5A6A3DCE"/>
    <w:rsid w:val="5A6A4AC7"/>
    <w:rsid w:val="5A6A7BD9"/>
    <w:rsid w:val="5A6B0418"/>
    <w:rsid w:val="5A6B1145"/>
    <w:rsid w:val="5A6B234A"/>
    <w:rsid w:val="5A6B2D19"/>
    <w:rsid w:val="5A6B4055"/>
    <w:rsid w:val="5A6B50D1"/>
    <w:rsid w:val="5A6C0465"/>
    <w:rsid w:val="5A6C083F"/>
    <w:rsid w:val="5A6C2FE9"/>
    <w:rsid w:val="5A6C66DD"/>
    <w:rsid w:val="5A6C6FDE"/>
    <w:rsid w:val="5A6D11D8"/>
    <w:rsid w:val="5A6D332E"/>
    <w:rsid w:val="5A6D34FF"/>
    <w:rsid w:val="5A6E0A5B"/>
    <w:rsid w:val="5A6E146D"/>
    <w:rsid w:val="5A6F20DD"/>
    <w:rsid w:val="5A6F22CF"/>
    <w:rsid w:val="5A6F2F6F"/>
    <w:rsid w:val="5A706581"/>
    <w:rsid w:val="5A7119EE"/>
    <w:rsid w:val="5A7140A7"/>
    <w:rsid w:val="5A717734"/>
    <w:rsid w:val="5A7179F5"/>
    <w:rsid w:val="5A7210B6"/>
    <w:rsid w:val="5A721814"/>
    <w:rsid w:val="5A72448F"/>
    <w:rsid w:val="5A734229"/>
    <w:rsid w:val="5A737E20"/>
    <w:rsid w:val="5A74028C"/>
    <w:rsid w:val="5A741E5B"/>
    <w:rsid w:val="5A7422B7"/>
    <w:rsid w:val="5A74434C"/>
    <w:rsid w:val="5A7476F4"/>
    <w:rsid w:val="5A7519D1"/>
    <w:rsid w:val="5A751CF2"/>
    <w:rsid w:val="5A751DEA"/>
    <w:rsid w:val="5A753636"/>
    <w:rsid w:val="5A753B98"/>
    <w:rsid w:val="5A753F56"/>
    <w:rsid w:val="5A754563"/>
    <w:rsid w:val="5A7549E0"/>
    <w:rsid w:val="5A755946"/>
    <w:rsid w:val="5A7575F3"/>
    <w:rsid w:val="5A757865"/>
    <w:rsid w:val="5A762CB6"/>
    <w:rsid w:val="5A76346C"/>
    <w:rsid w:val="5A765E30"/>
    <w:rsid w:val="5A766C6C"/>
    <w:rsid w:val="5A767910"/>
    <w:rsid w:val="5A767C8F"/>
    <w:rsid w:val="5A772296"/>
    <w:rsid w:val="5A7727F8"/>
    <w:rsid w:val="5A774801"/>
    <w:rsid w:val="5A776381"/>
    <w:rsid w:val="5A781BAB"/>
    <w:rsid w:val="5A783407"/>
    <w:rsid w:val="5A784FE6"/>
    <w:rsid w:val="5A7871E4"/>
    <w:rsid w:val="5A791926"/>
    <w:rsid w:val="5A7930CE"/>
    <w:rsid w:val="5A793DE5"/>
    <w:rsid w:val="5A796958"/>
    <w:rsid w:val="5A796B97"/>
    <w:rsid w:val="5A797C8D"/>
    <w:rsid w:val="5A7A3EAC"/>
    <w:rsid w:val="5A7A55ED"/>
    <w:rsid w:val="5A7A7E91"/>
    <w:rsid w:val="5A7A7FBE"/>
    <w:rsid w:val="5A7B0A6C"/>
    <w:rsid w:val="5A7B164E"/>
    <w:rsid w:val="5A7B2723"/>
    <w:rsid w:val="5A7C139D"/>
    <w:rsid w:val="5A7C4299"/>
    <w:rsid w:val="5A7C4560"/>
    <w:rsid w:val="5A7C4F26"/>
    <w:rsid w:val="5A7D0C9E"/>
    <w:rsid w:val="5A7D2A4C"/>
    <w:rsid w:val="5A7D33FE"/>
    <w:rsid w:val="5A7D47FA"/>
    <w:rsid w:val="5A7D5F22"/>
    <w:rsid w:val="5A7E0296"/>
    <w:rsid w:val="5A7E331D"/>
    <w:rsid w:val="5A7E3654"/>
    <w:rsid w:val="5A7E462F"/>
    <w:rsid w:val="5A7E7F70"/>
    <w:rsid w:val="5A7E7FCF"/>
    <w:rsid w:val="5A7F0572"/>
    <w:rsid w:val="5A7F1BAE"/>
    <w:rsid w:val="5A7F1D3F"/>
    <w:rsid w:val="5A7F3347"/>
    <w:rsid w:val="5A7F4A16"/>
    <w:rsid w:val="5A81078E"/>
    <w:rsid w:val="5A81253D"/>
    <w:rsid w:val="5A814EAD"/>
    <w:rsid w:val="5A82092F"/>
    <w:rsid w:val="5A82143F"/>
    <w:rsid w:val="5A821E11"/>
    <w:rsid w:val="5A8260B4"/>
    <w:rsid w:val="5A8262B5"/>
    <w:rsid w:val="5A827841"/>
    <w:rsid w:val="5A834D83"/>
    <w:rsid w:val="5A8357FB"/>
    <w:rsid w:val="5A836C2D"/>
    <w:rsid w:val="5A845B89"/>
    <w:rsid w:val="5A846212"/>
    <w:rsid w:val="5A847BB0"/>
    <w:rsid w:val="5A851901"/>
    <w:rsid w:val="5A867B53"/>
    <w:rsid w:val="5A8712A8"/>
    <w:rsid w:val="5A871B1D"/>
    <w:rsid w:val="5A875679"/>
    <w:rsid w:val="5A877487"/>
    <w:rsid w:val="5A88152C"/>
    <w:rsid w:val="5A8848E9"/>
    <w:rsid w:val="5A8855EF"/>
    <w:rsid w:val="5A886285"/>
    <w:rsid w:val="5A891162"/>
    <w:rsid w:val="5A8919ED"/>
    <w:rsid w:val="5A892E6A"/>
    <w:rsid w:val="5A8930F9"/>
    <w:rsid w:val="5A893558"/>
    <w:rsid w:val="5A893F37"/>
    <w:rsid w:val="5A8940B0"/>
    <w:rsid w:val="5A897643"/>
    <w:rsid w:val="5A8A08F0"/>
    <w:rsid w:val="5A8A31B3"/>
    <w:rsid w:val="5A8A38F2"/>
    <w:rsid w:val="5A8A5C64"/>
    <w:rsid w:val="5A8A6FA6"/>
    <w:rsid w:val="5A8B219E"/>
    <w:rsid w:val="5A8B5169"/>
    <w:rsid w:val="5A8B6288"/>
    <w:rsid w:val="5A8B6F17"/>
    <w:rsid w:val="5A8C01A7"/>
    <w:rsid w:val="5A8C0EE1"/>
    <w:rsid w:val="5A8C4A32"/>
    <w:rsid w:val="5A8C4BD1"/>
    <w:rsid w:val="5A8D15E5"/>
    <w:rsid w:val="5A8D7133"/>
    <w:rsid w:val="5A8D780A"/>
    <w:rsid w:val="5A8E07B6"/>
    <w:rsid w:val="5A8E1044"/>
    <w:rsid w:val="5A8E13D4"/>
    <w:rsid w:val="5A8E1A20"/>
    <w:rsid w:val="5A8E28F8"/>
    <w:rsid w:val="5A8E2EAB"/>
    <w:rsid w:val="5A8E37B2"/>
    <w:rsid w:val="5A8E4162"/>
    <w:rsid w:val="5A8E42EF"/>
    <w:rsid w:val="5A8E4C59"/>
    <w:rsid w:val="5A8E4EF3"/>
    <w:rsid w:val="5A8E77E6"/>
    <w:rsid w:val="5A8F34DA"/>
    <w:rsid w:val="5A8F6D5B"/>
    <w:rsid w:val="5A900D5F"/>
    <w:rsid w:val="5A902478"/>
    <w:rsid w:val="5A902780"/>
    <w:rsid w:val="5A910C0E"/>
    <w:rsid w:val="5A911857"/>
    <w:rsid w:val="5A9134E7"/>
    <w:rsid w:val="5A9137B3"/>
    <w:rsid w:val="5A91417E"/>
    <w:rsid w:val="5A9164F8"/>
    <w:rsid w:val="5A920D5A"/>
    <w:rsid w:val="5A921C7B"/>
    <w:rsid w:val="5A9235FA"/>
    <w:rsid w:val="5A923AFE"/>
    <w:rsid w:val="5A92474A"/>
    <w:rsid w:val="5A9253B2"/>
    <w:rsid w:val="5A92576F"/>
    <w:rsid w:val="5A93222B"/>
    <w:rsid w:val="5A93401E"/>
    <w:rsid w:val="5A9360C7"/>
    <w:rsid w:val="5A94091A"/>
    <w:rsid w:val="5A940BC0"/>
    <w:rsid w:val="5A9421F5"/>
    <w:rsid w:val="5A943A15"/>
    <w:rsid w:val="5A945C11"/>
    <w:rsid w:val="5A946B65"/>
    <w:rsid w:val="5A947598"/>
    <w:rsid w:val="5A947624"/>
    <w:rsid w:val="5A951B44"/>
    <w:rsid w:val="5A9542CF"/>
    <w:rsid w:val="5A955FE8"/>
    <w:rsid w:val="5A956F8D"/>
    <w:rsid w:val="5A95755A"/>
    <w:rsid w:val="5A9621C3"/>
    <w:rsid w:val="5A963B0E"/>
    <w:rsid w:val="5A9658BC"/>
    <w:rsid w:val="5A9734DB"/>
    <w:rsid w:val="5A974C33"/>
    <w:rsid w:val="5A975CAE"/>
    <w:rsid w:val="5A97661A"/>
    <w:rsid w:val="5A981634"/>
    <w:rsid w:val="5A981B78"/>
    <w:rsid w:val="5A984766"/>
    <w:rsid w:val="5A987435"/>
    <w:rsid w:val="5A987886"/>
    <w:rsid w:val="5A990A3E"/>
    <w:rsid w:val="5A990F66"/>
    <w:rsid w:val="5A992006"/>
    <w:rsid w:val="5A9950C1"/>
    <w:rsid w:val="5A9968C7"/>
    <w:rsid w:val="5A9970A6"/>
    <w:rsid w:val="5A997E79"/>
    <w:rsid w:val="5A9A270B"/>
    <w:rsid w:val="5A9A3238"/>
    <w:rsid w:val="5A9A3496"/>
    <w:rsid w:val="5A9A53AC"/>
    <w:rsid w:val="5A9A7E94"/>
    <w:rsid w:val="5A9B2D02"/>
    <w:rsid w:val="5A9B5737"/>
    <w:rsid w:val="5A9B7809"/>
    <w:rsid w:val="5A9C195F"/>
    <w:rsid w:val="5A9C7376"/>
    <w:rsid w:val="5A9D1CA2"/>
    <w:rsid w:val="5A9D1F0C"/>
    <w:rsid w:val="5A9D2C91"/>
    <w:rsid w:val="5A9D4E9D"/>
    <w:rsid w:val="5A9D5007"/>
    <w:rsid w:val="5A9D70BB"/>
    <w:rsid w:val="5A9E32D5"/>
    <w:rsid w:val="5A9E3492"/>
    <w:rsid w:val="5A9F0C15"/>
    <w:rsid w:val="5A9F18E9"/>
    <w:rsid w:val="5A9F1D62"/>
    <w:rsid w:val="5A9F2C14"/>
    <w:rsid w:val="5A9F3427"/>
    <w:rsid w:val="5A9F4737"/>
    <w:rsid w:val="5A9F6E67"/>
    <w:rsid w:val="5AA0127A"/>
    <w:rsid w:val="5AA032AC"/>
    <w:rsid w:val="5AA10025"/>
    <w:rsid w:val="5AA15D7E"/>
    <w:rsid w:val="5AA16DCE"/>
    <w:rsid w:val="5AA219DE"/>
    <w:rsid w:val="5AA224B3"/>
    <w:rsid w:val="5AA2321A"/>
    <w:rsid w:val="5AA24261"/>
    <w:rsid w:val="5AA26213"/>
    <w:rsid w:val="5AA30683"/>
    <w:rsid w:val="5AA33B8B"/>
    <w:rsid w:val="5AA34EE5"/>
    <w:rsid w:val="5AA4447D"/>
    <w:rsid w:val="5AA4622B"/>
    <w:rsid w:val="5AA4660C"/>
    <w:rsid w:val="5AA47FD9"/>
    <w:rsid w:val="5AA51174"/>
    <w:rsid w:val="5AA522C4"/>
    <w:rsid w:val="5AA61BEE"/>
    <w:rsid w:val="5AA61FA3"/>
    <w:rsid w:val="5AA63D51"/>
    <w:rsid w:val="5AA63F46"/>
    <w:rsid w:val="5AA6434F"/>
    <w:rsid w:val="5AA65E21"/>
    <w:rsid w:val="5AA760C2"/>
    <w:rsid w:val="5AA77AC9"/>
    <w:rsid w:val="5AA8538B"/>
    <w:rsid w:val="5AA85FCD"/>
    <w:rsid w:val="5AA903B9"/>
    <w:rsid w:val="5AA91A93"/>
    <w:rsid w:val="5AA93841"/>
    <w:rsid w:val="5AA956F6"/>
    <w:rsid w:val="5AAA2273"/>
    <w:rsid w:val="5AAA2F8A"/>
    <w:rsid w:val="5AAA39CE"/>
    <w:rsid w:val="5AAA5DF0"/>
    <w:rsid w:val="5AAB580B"/>
    <w:rsid w:val="5AAD0304"/>
    <w:rsid w:val="5AAD5152"/>
    <w:rsid w:val="5AAD59AB"/>
    <w:rsid w:val="5AAE0E58"/>
    <w:rsid w:val="5AAE2C06"/>
    <w:rsid w:val="5AAE2D9B"/>
    <w:rsid w:val="5AAE327C"/>
    <w:rsid w:val="5AAE480E"/>
    <w:rsid w:val="5AAF1AB6"/>
    <w:rsid w:val="5AAF422B"/>
    <w:rsid w:val="5AAF43CC"/>
    <w:rsid w:val="5AB02E22"/>
    <w:rsid w:val="5AB04526"/>
    <w:rsid w:val="5AB04BD0"/>
    <w:rsid w:val="5AB051A1"/>
    <w:rsid w:val="5AB0697E"/>
    <w:rsid w:val="5AB109BC"/>
    <w:rsid w:val="5AB1647F"/>
    <w:rsid w:val="5AB20948"/>
    <w:rsid w:val="5AB21352"/>
    <w:rsid w:val="5AB218B5"/>
    <w:rsid w:val="5AB21FD6"/>
    <w:rsid w:val="5AB220C2"/>
    <w:rsid w:val="5AB22BC8"/>
    <w:rsid w:val="5AB230A3"/>
    <w:rsid w:val="5AB26B9A"/>
    <w:rsid w:val="5AB3021C"/>
    <w:rsid w:val="5AB350AA"/>
    <w:rsid w:val="5AB3646E"/>
    <w:rsid w:val="5AB36FCE"/>
    <w:rsid w:val="5AB435E4"/>
    <w:rsid w:val="5AB43BB3"/>
    <w:rsid w:val="5AB43C11"/>
    <w:rsid w:val="5AB45C90"/>
    <w:rsid w:val="5AB47F59"/>
    <w:rsid w:val="5AB5008C"/>
    <w:rsid w:val="5AB50438"/>
    <w:rsid w:val="5AB51B38"/>
    <w:rsid w:val="5AB52C6C"/>
    <w:rsid w:val="5AB55B16"/>
    <w:rsid w:val="5AB70B64"/>
    <w:rsid w:val="5AB73F7A"/>
    <w:rsid w:val="5AB741B0"/>
    <w:rsid w:val="5AB76505"/>
    <w:rsid w:val="5AB76D48"/>
    <w:rsid w:val="5AB81898"/>
    <w:rsid w:val="5AB81CD6"/>
    <w:rsid w:val="5AB83A84"/>
    <w:rsid w:val="5AB87F28"/>
    <w:rsid w:val="5AB915EF"/>
    <w:rsid w:val="5AB96579"/>
    <w:rsid w:val="5AB97EAE"/>
    <w:rsid w:val="5ABA3F0F"/>
    <w:rsid w:val="5ABA5A4E"/>
    <w:rsid w:val="5ABA6622"/>
    <w:rsid w:val="5ABA66DA"/>
    <w:rsid w:val="5ABB079A"/>
    <w:rsid w:val="5ABB1518"/>
    <w:rsid w:val="5ABB3A03"/>
    <w:rsid w:val="5ABB3E3E"/>
    <w:rsid w:val="5ABB3F52"/>
    <w:rsid w:val="5ABB4610"/>
    <w:rsid w:val="5ABB4895"/>
    <w:rsid w:val="5ABB539F"/>
    <w:rsid w:val="5ABC14E1"/>
    <w:rsid w:val="5ABC158F"/>
    <w:rsid w:val="5ABC17C7"/>
    <w:rsid w:val="5ABC261D"/>
    <w:rsid w:val="5ABC3575"/>
    <w:rsid w:val="5ABC6449"/>
    <w:rsid w:val="5ABC682F"/>
    <w:rsid w:val="5ABD2648"/>
    <w:rsid w:val="5ABD553F"/>
    <w:rsid w:val="5ABD56FE"/>
    <w:rsid w:val="5ABE3C2A"/>
    <w:rsid w:val="5ABE6564"/>
    <w:rsid w:val="5ABE6DE8"/>
    <w:rsid w:val="5ABE7EC5"/>
    <w:rsid w:val="5ABF18B1"/>
    <w:rsid w:val="5ABF3065"/>
    <w:rsid w:val="5ABF3B31"/>
    <w:rsid w:val="5ABF49BE"/>
    <w:rsid w:val="5ABF4E13"/>
    <w:rsid w:val="5ABF6EB9"/>
    <w:rsid w:val="5AC02939"/>
    <w:rsid w:val="5AC05F3A"/>
    <w:rsid w:val="5AC064BF"/>
    <w:rsid w:val="5AC10B8B"/>
    <w:rsid w:val="5AC13248"/>
    <w:rsid w:val="5AC149CA"/>
    <w:rsid w:val="5AC174A3"/>
    <w:rsid w:val="5AC20713"/>
    <w:rsid w:val="5AC21234"/>
    <w:rsid w:val="5AC23F53"/>
    <w:rsid w:val="5AC24903"/>
    <w:rsid w:val="5AC275E0"/>
    <w:rsid w:val="5AC31A36"/>
    <w:rsid w:val="5AC34F01"/>
    <w:rsid w:val="5AC36E61"/>
    <w:rsid w:val="5AC4067B"/>
    <w:rsid w:val="5AC42429"/>
    <w:rsid w:val="5AC46702"/>
    <w:rsid w:val="5AC468CD"/>
    <w:rsid w:val="5AC57947"/>
    <w:rsid w:val="5AC60257"/>
    <w:rsid w:val="5AC61022"/>
    <w:rsid w:val="5AC62645"/>
    <w:rsid w:val="5AC661A1"/>
    <w:rsid w:val="5AC71612"/>
    <w:rsid w:val="5AC7301A"/>
    <w:rsid w:val="5AC73CC7"/>
    <w:rsid w:val="5AC762E2"/>
    <w:rsid w:val="5AC8016B"/>
    <w:rsid w:val="5AC82177"/>
    <w:rsid w:val="5AC84BC6"/>
    <w:rsid w:val="5AC86513"/>
    <w:rsid w:val="5AC87E14"/>
    <w:rsid w:val="5AC90892"/>
    <w:rsid w:val="5AC915AA"/>
    <w:rsid w:val="5AC92FB0"/>
    <w:rsid w:val="5AC93EE4"/>
    <w:rsid w:val="5AC94A85"/>
    <w:rsid w:val="5AC95C92"/>
    <w:rsid w:val="5AC979A3"/>
    <w:rsid w:val="5ACA25EF"/>
    <w:rsid w:val="5ACA36EA"/>
    <w:rsid w:val="5ACA5B60"/>
    <w:rsid w:val="5ACA6A18"/>
    <w:rsid w:val="5ACA6DF0"/>
    <w:rsid w:val="5ACB62FB"/>
    <w:rsid w:val="5ACB652E"/>
    <w:rsid w:val="5ACB6B4C"/>
    <w:rsid w:val="5ACC1D6C"/>
    <w:rsid w:val="5ACC215A"/>
    <w:rsid w:val="5ACC4486"/>
    <w:rsid w:val="5ACC458A"/>
    <w:rsid w:val="5ACC6A4D"/>
    <w:rsid w:val="5ACD3202"/>
    <w:rsid w:val="5ACD39D4"/>
    <w:rsid w:val="5ACD5782"/>
    <w:rsid w:val="5ACE08E9"/>
    <w:rsid w:val="5ACE2079"/>
    <w:rsid w:val="5ACE2B0B"/>
    <w:rsid w:val="5ACE32A8"/>
    <w:rsid w:val="5ACE5056"/>
    <w:rsid w:val="5ACE687D"/>
    <w:rsid w:val="5ACF2285"/>
    <w:rsid w:val="5AD07020"/>
    <w:rsid w:val="5AD12746"/>
    <w:rsid w:val="5AD133C1"/>
    <w:rsid w:val="5AD14B46"/>
    <w:rsid w:val="5AD14D9B"/>
    <w:rsid w:val="5AD20FEA"/>
    <w:rsid w:val="5AD21722"/>
    <w:rsid w:val="5AD2411F"/>
    <w:rsid w:val="5AD3266C"/>
    <w:rsid w:val="5AD32D36"/>
    <w:rsid w:val="5AD36A99"/>
    <w:rsid w:val="5AD36E07"/>
    <w:rsid w:val="5AD40154"/>
    <w:rsid w:val="5AD41ADC"/>
    <w:rsid w:val="5AD42FAA"/>
    <w:rsid w:val="5AD44FC6"/>
    <w:rsid w:val="5AD52888"/>
    <w:rsid w:val="5AD54636"/>
    <w:rsid w:val="5AD5646E"/>
    <w:rsid w:val="5AD6113A"/>
    <w:rsid w:val="5AD63E09"/>
    <w:rsid w:val="5AD7060C"/>
    <w:rsid w:val="5AD70C5A"/>
    <w:rsid w:val="5AD771C1"/>
    <w:rsid w:val="5AD84127"/>
    <w:rsid w:val="5AD843AA"/>
    <w:rsid w:val="5AD84403"/>
    <w:rsid w:val="5AD85ED5"/>
    <w:rsid w:val="5AD86750"/>
    <w:rsid w:val="5AD87665"/>
    <w:rsid w:val="5AD92379"/>
    <w:rsid w:val="5ADA4D3F"/>
    <w:rsid w:val="5ADA5278"/>
    <w:rsid w:val="5ADA76C1"/>
    <w:rsid w:val="5ADA7996"/>
    <w:rsid w:val="5ADA7E9F"/>
    <w:rsid w:val="5ADB3C58"/>
    <w:rsid w:val="5ADB56F0"/>
    <w:rsid w:val="5ADB6968"/>
    <w:rsid w:val="5ADC2343"/>
    <w:rsid w:val="5ADC502C"/>
    <w:rsid w:val="5ADC59C5"/>
    <w:rsid w:val="5ADC6BD8"/>
    <w:rsid w:val="5ADC7773"/>
    <w:rsid w:val="5ADD1120"/>
    <w:rsid w:val="5ADD16DE"/>
    <w:rsid w:val="5ADD4B47"/>
    <w:rsid w:val="5ADE1E7A"/>
    <w:rsid w:val="5ADE57FB"/>
    <w:rsid w:val="5ADE67B6"/>
    <w:rsid w:val="5ADE798F"/>
    <w:rsid w:val="5ADF1011"/>
    <w:rsid w:val="5ADF3244"/>
    <w:rsid w:val="5ADF330A"/>
    <w:rsid w:val="5ADF3707"/>
    <w:rsid w:val="5ADF3718"/>
    <w:rsid w:val="5ADF5F16"/>
    <w:rsid w:val="5AE03C2D"/>
    <w:rsid w:val="5AE1143A"/>
    <w:rsid w:val="5AE11EB4"/>
    <w:rsid w:val="5AE1468A"/>
    <w:rsid w:val="5AE14D89"/>
    <w:rsid w:val="5AE16521"/>
    <w:rsid w:val="5AE20B01"/>
    <w:rsid w:val="5AE223F5"/>
    <w:rsid w:val="5AE262B6"/>
    <w:rsid w:val="5AE26D53"/>
    <w:rsid w:val="5AE30B57"/>
    <w:rsid w:val="5AE32BCD"/>
    <w:rsid w:val="5AE426B5"/>
    <w:rsid w:val="5AE42ACB"/>
    <w:rsid w:val="5AE441A1"/>
    <w:rsid w:val="5AE4717C"/>
    <w:rsid w:val="5AE5060C"/>
    <w:rsid w:val="5AE51C8A"/>
    <w:rsid w:val="5AE54355"/>
    <w:rsid w:val="5AE55A3B"/>
    <w:rsid w:val="5AE61610"/>
    <w:rsid w:val="5AE630EB"/>
    <w:rsid w:val="5AE63D76"/>
    <w:rsid w:val="5AE71214"/>
    <w:rsid w:val="5AE71A90"/>
    <w:rsid w:val="5AE71C70"/>
    <w:rsid w:val="5AE74BAD"/>
    <w:rsid w:val="5AE74DBA"/>
    <w:rsid w:val="5AE76118"/>
    <w:rsid w:val="5AE76595"/>
    <w:rsid w:val="5AE80C1E"/>
    <w:rsid w:val="5AE824B9"/>
    <w:rsid w:val="5AE82D2D"/>
    <w:rsid w:val="5AE85782"/>
    <w:rsid w:val="5AE86F7A"/>
    <w:rsid w:val="5AE87C8B"/>
    <w:rsid w:val="5AE91E90"/>
    <w:rsid w:val="5AE938ED"/>
    <w:rsid w:val="5AE96F8D"/>
    <w:rsid w:val="5AE97091"/>
    <w:rsid w:val="5AEA03E7"/>
    <w:rsid w:val="5AEA5F62"/>
    <w:rsid w:val="5AEA5F7A"/>
    <w:rsid w:val="5AEA734D"/>
    <w:rsid w:val="5AEB18AD"/>
    <w:rsid w:val="5AEC0471"/>
    <w:rsid w:val="5AEC2A00"/>
    <w:rsid w:val="5AEC372E"/>
    <w:rsid w:val="5AEC47E0"/>
    <w:rsid w:val="5AEC6705"/>
    <w:rsid w:val="5AED1980"/>
    <w:rsid w:val="5AED2FF7"/>
    <w:rsid w:val="5AED455B"/>
    <w:rsid w:val="5AED705A"/>
    <w:rsid w:val="5AED793B"/>
    <w:rsid w:val="5AEE258B"/>
    <w:rsid w:val="5AEE2E15"/>
    <w:rsid w:val="5AEE3690"/>
    <w:rsid w:val="5AEE3BE5"/>
    <w:rsid w:val="5AEF1351"/>
    <w:rsid w:val="5AEF2C9B"/>
    <w:rsid w:val="5AEF3F1B"/>
    <w:rsid w:val="5AEF5439"/>
    <w:rsid w:val="5AF01470"/>
    <w:rsid w:val="5AF0196C"/>
    <w:rsid w:val="5AF06C4D"/>
    <w:rsid w:val="5AF076C2"/>
    <w:rsid w:val="5AF07DB9"/>
    <w:rsid w:val="5AF131DC"/>
    <w:rsid w:val="5AF1648D"/>
    <w:rsid w:val="5AF2145C"/>
    <w:rsid w:val="5AF21A20"/>
    <w:rsid w:val="5AF222AB"/>
    <w:rsid w:val="5AF2343A"/>
    <w:rsid w:val="5AF251E8"/>
    <w:rsid w:val="5AF25CC8"/>
    <w:rsid w:val="5AF26F96"/>
    <w:rsid w:val="5AF30F60"/>
    <w:rsid w:val="5AF31C7C"/>
    <w:rsid w:val="5AF34ABD"/>
    <w:rsid w:val="5AF35877"/>
    <w:rsid w:val="5AF36F60"/>
    <w:rsid w:val="5AF41016"/>
    <w:rsid w:val="5AF463D1"/>
    <w:rsid w:val="5AF50101"/>
    <w:rsid w:val="5AF50835"/>
    <w:rsid w:val="5AF51FE1"/>
    <w:rsid w:val="5AF52F61"/>
    <w:rsid w:val="5AF53669"/>
    <w:rsid w:val="5AF53743"/>
    <w:rsid w:val="5AF56A87"/>
    <w:rsid w:val="5AF57CB4"/>
    <w:rsid w:val="5AF63E64"/>
    <w:rsid w:val="5AF67F56"/>
    <w:rsid w:val="5AF71723"/>
    <w:rsid w:val="5AF72E4A"/>
    <w:rsid w:val="5AF73CE0"/>
    <w:rsid w:val="5AF745AD"/>
    <w:rsid w:val="5AF820D3"/>
    <w:rsid w:val="5AF84E5F"/>
    <w:rsid w:val="5AF85AD2"/>
    <w:rsid w:val="5AF917C1"/>
    <w:rsid w:val="5AF947C9"/>
    <w:rsid w:val="5AF95A53"/>
    <w:rsid w:val="5AF96A82"/>
    <w:rsid w:val="5AFA15A6"/>
    <w:rsid w:val="5AFA22EF"/>
    <w:rsid w:val="5AFA4EAB"/>
    <w:rsid w:val="5AFA5E4B"/>
    <w:rsid w:val="5AFB03A5"/>
    <w:rsid w:val="5AFB3E0B"/>
    <w:rsid w:val="5AFB73AA"/>
    <w:rsid w:val="5AFB7B6B"/>
    <w:rsid w:val="5AFC6485"/>
    <w:rsid w:val="5AFC7B63"/>
    <w:rsid w:val="5AFC7E15"/>
    <w:rsid w:val="5AFD2297"/>
    <w:rsid w:val="5AFD34D8"/>
    <w:rsid w:val="5AFD6BB8"/>
    <w:rsid w:val="5AFE131D"/>
    <w:rsid w:val="5AFE1F79"/>
    <w:rsid w:val="5AFE2EA0"/>
    <w:rsid w:val="5AFE35B0"/>
    <w:rsid w:val="5AFE3B8D"/>
    <w:rsid w:val="5AFE4084"/>
    <w:rsid w:val="5AFE4F0A"/>
    <w:rsid w:val="5AFE712A"/>
    <w:rsid w:val="5AFF11B3"/>
    <w:rsid w:val="5AFF3461"/>
    <w:rsid w:val="5AFF5070"/>
    <w:rsid w:val="5AFF7584"/>
    <w:rsid w:val="5AFF7905"/>
    <w:rsid w:val="5B000359"/>
    <w:rsid w:val="5B002643"/>
    <w:rsid w:val="5B003DB6"/>
    <w:rsid w:val="5B007C2F"/>
    <w:rsid w:val="5B010C91"/>
    <w:rsid w:val="5B010D15"/>
    <w:rsid w:val="5B011FA8"/>
    <w:rsid w:val="5B012F22"/>
    <w:rsid w:val="5B01367D"/>
    <w:rsid w:val="5B014225"/>
    <w:rsid w:val="5B0166A4"/>
    <w:rsid w:val="5B0171D9"/>
    <w:rsid w:val="5B021074"/>
    <w:rsid w:val="5B026233"/>
    <w:rsid w:val="5B030687"/>
    <w:rsid w:val="5B030FC4"/>
    <w:rsid w:val="5B032A95"/>
    <w:rsid w:val="5B03340D"/>
    <w:rsid w:val="5B0373F5"/>
    <w:rsid w:val="5B037B32"/>
    <w:rsid w:val="5B040D58"/>
    <w:rsid w:val="5B041784"/>
    <w:rsid w:val="5B04316E"/>
    <w:rsid w:val="5B044F1C"/>
    <w:rsid w:val="5B050CBE"/>
    <w:rsid w:val="5B05357B"/>
    <w:rsid w:val="5B056787"/>
    <w:rsid w:val="5B060C94"/>
    <w:rsid w:val="5B0659C5"/>
    <w:rsid w:val="5B0664B5"/>
    <w:rsid w:val="5B070B67"/>
    <w:rsid w:val="5B070DD5"/>
    <w:rsid w:val="5B0713CB"/>
    <w:rsid w:val="5B0745E8"/>
    <w:rsid w:val="5B0764F6"/>
    <w:rsid w:val="5B081259"/>
    <w:rsid w:val="5B084A0C"/>
    <w:rsid w:val="5B092A24"/>
    <w:rsid w:val="5B09395A"/>
    <w:rsid w:val="5B093F8A"/>
    <w:rsid w:val="5B09727E"/>
    <w:rsid w:val="5B0A0784"/>
    <w:rsid w:val="5B0A148B"/>
    <w:rsid w:val="5B0A3289"/>
    <w:rsid w:val="5B0A5D35"/>
    <w:rsid w:val="5B0A6F72"/>
    <w:rsid w:val="5B0B0058"/>
    <w:rsid w:val="5B0B2BEB"/>
    <w:rsid w:val="5B0B44FC"/>
    <w:rsid w:val="5B0B6F50"/>
    <w:rsid w:val="5B0B7120"/>
    <w:rsid w:val="5B0B7756"/>
    <w:rsid w:val="5B0C0BCB"/>
    <w:rsid w:val="5B0C206D"/>
    <w:rsid w:val="5B0D2022"/>
    <w:rsid w:val="5B0D3DD0"/>
    <w:rsid w:val="5B0D4C47"/>
    <w:rsid w:val="5B0D5B7E"/>
    <w:rsid w:val="5B0D6FE4"/>
    <w:rsid w:val="5B0D7C81"/>
    <w:rsid w:val="5B0E52C1"/>
    <w:rsid w:val="5B0E7B48"/>
    <w:rsid w:val="5B0F0CA8"/>
    <w:rsid w:val="5B0F2860"/>
    <w:rsid w:val="5B0F5D9A"/>
    <w:rsid w:val="5B101B12"/>
    <w:rsid w:val="5B102218"/>
    <w:rsid w:val="5B10566E"/>
    <w:rsid w:val="5B1121C4"/>
    <w:rsid w:val="5B1135C8"/>
    <w:rsid w:val="5B115639"/>
    <w:rsid w:val="5B127639"/>
    <w:rsid w:val="5B1323A5"/>
    <w:rsid w:val="5B1330E4"/>
    <w:rsid w:val="5B133B9F"/>
    <w:rsid w:val="5B136F0D"/>
    <w:rsid w:val="5B144B25"/>
    <w:rsid w:val="5B150ED7"/>
    <w:rsid w:val="5B152C85"/>
    <w:rsid w:val="5B154B1A"/>
    <w:rsid w:val="5B1617F2"/>
    <w:rsid w:val="5B162F71"/>
    <w:rsid w:val="5B164E85"/>
    <w:rsid w:val="5B165608"/>
    <w:rsid w:val="5B16743A"/>
    <w:rsid w:val="5B16799F"/>
    <w:rsid w:val="5B170FBA"/>
    <w:rsid w:val="5B171032"/>
    <w:rsid w:val="5B171A3C"/>
    <w:rsid w:val="5B172EA1"/>
    <w:rsid w:val="5B174C4F"/>
    <w:rsid w:val="5B175BE2"/>
    <w:rsid w:val="5B1769FD"/>
    <w:rsid w:val="5B177FF3"/>
    <w:rsid w:val="5B181D5A"/>
    <w:rsid w:val="5B182775"/>
    <w:rsid w:val="5B184523"/>
    <w:rsid w:val="5B186A8B"/>
    <w:rsid w:val="5B187B8B"/>
    <w:rsid w:val="5B191D69"/>
    <w:rsid w:val="5B192007"/>
    <w:rsid w:val="5B19368B"/>
    <w:rsid w:val="5B193C28"/>
    <w:rsid w:val="5B1A029B"/>
    <w:rsid w:val="5B1A065A"/>
    <w:rsid w:val="5B1A0C09"/>
    <w:rsid w:val="5B1A24DB"/>
    <w:rsid w:val="5B1A3CB1"/>
    <w:rsid w:val="5B1A473F"/>
    <w:rsid w:val="5B1A5B33"/>
    <w:rsid w:val="5B1A7934"/>
    <w:rsid w:val="5B1B2610"/>
    <w:rsid w:val="5B1B4DD5"/>
    <w:rsid w:val="5B1B5D52"/>
    <w:rsid w:val="5B1B6721"/>
    <w:rsid w:val="5B1B6AA6"/>
    <w:rsid w:val="5B1C04B7"/>
    <w:rsid w:val="5B1C2265"/>
    <w:rsid w:val="5B1C51A3"/>
    <w:rsid w:val="5B1C6508"/>
    <w:rsid w:val="5B1C6D7E"/>
    <w:rsid w:val="5B1C7E4E"/>
    <w:rsid w:val="5B1C7F97"/>
    <w:rsid w:val="5B1D41E5"/>
    <w:rsid w:val="5B1D5133"/>
    <w:rsid w:val="5B1D7A49"/>
    <w:rsid w:val="5B1E0327"/>
    <w:rsid w:val="5B1E5FDD"/>
    <w:rsid w:val="5B1E6613"/>
    <w:rsid w:val="5B1E7D8B"/>
    <w:rsid w:val="5B1F0252"/>
    <w:rsid w:val="5B1F079D"/>
    <w:rsid w:val="5B1F1D55"/>
    <w:rsid w:val="5B1F3A25"/>
    <w:rsid w:val="5B1F3B03"/>
    <w:rsid w:val="5B1F5BE1"/>
    <w:rsid w:val="5B202F2C"/>
    <w:rsid w:val="5B204297"/>
    <w:rsid w:val="5B2045CA"/>
    <w:rsid w:val="5B207FA2"/>
    <w:rsid w:val="5B2108AF"/>
    <w:rsid w:val="5B21162A"/>
    <w:rsid w:val="5B211B69"/>
    <w:rsid w:val="5B211DFD"/>
    <w:rsid w:val="5B215ACE"/>
    <w:rsid w:val="5B216800"/>
    <w:rsid w:val="5B216B51"/>
    <w:rsid w:val="5B216C93"/>
    <w:rsid w:val="5B216DE0"/>
    <w:rsid w:val="5B21787C"/>
    <w:rsid w:val="5B221C56"/>
    <w:rsid w:val="5B223F16"/>
    <w:rsid w:val="5B22565C"/>
    <w:rsid w:val="5B22721A"/>
    <w:rsid w:val="5B232693"/>
    <w:rsid w:val="5B2335F4"/>
    <w:rsid w:val="5B24111A"/>
    <w:rsid w:val="5B242091"/>
    <w:rsid w:val="5B244CA5"/>
    <w:rsid w:val="5B246E72"/>
    <w:rsid w:val="5B24757B"/>
    <w:rsid w:val="5B25166F"/>
    <w:rsid w:val="5B253D2C"/>
    <w:rsid w:val="5B2555BE"/>
    <w:rsid w:val="5B257882"/>
    <w:rsid w:val="5B260F79"/>
    <w:rsid w:val="5B2630E4"/>
    <w:rsid w:val="5B263E10"/>
    <w:rsid w:val="5B264E92"/>
    <w:rsid w:val="5B266B19"/>
    <w:rsid w:val="5B266E03"/>
    <w:rsid w:val="5B2703BF"/>
    <w:rsid w:val="5B270F35"/>
    <w:rsid w:val="5B272CF2"/>
    <w:rsid w:val="5B272D68"/>
    <w:rsid w:val="5B2738E4"/>
    <w:rsid w:val="5B2757EE"/>
    <w:rsid w:val="5B2776D1"/>
    <w:rsid w:val="5B280461"/>
    <w:rsid w:val="5B280C0A"/>
    <w:rsid w:val="5B28184F"/>
    <w:rsid w:val="5B286E5C"/>
    <w:rsid w:val="5B292967"/>
    <w:rsid w:val="5B292AD5"/>
    <w:rsid w:val="5B294982"/>
    <w:rsid w:val="5B297E9E"/>
    <w:rsid w:val="5B2A022D"/>
    <w:rsid w:val="5B2A2BD4"/>
    <w:rsid w:val="5B2A4043"/>
    <w:rsid w:val="5B2A5347"/>
    <w:rsid w:val="5B2A5C18"/>
    <w:rsid w:val="5B2A64EF"/>
    <w:rsid w:val="5B2A767F"/>
    <w:rsid w:val="5B2B06FA"/>
    <w:rsid w:val="5B2C196C"/>
    <w:rsid w:val="5B2C2DA1"/>
    <w:rsid w:val="5B2C347C"/>
    <w:rsid w:val="5B2C4086"/>
    <w:rsid w:val="5B2C40AB"/>
    <w:rsid w:val="5B2C6093"/>
    <w:rsid w:val="5B2C7CD9"/>
    <w:rsid w:val="5B2D14BD"/>
    <w:rsid w:val="5B2D164A"/>
    <w:rsid w:val="5B2D4231"/>
    <w:rsid w:val="5B2D6220"/>
    <w:rsid w:val="5B2D6686"/>
    <w:rsid w:val="5B2D7FCE"/>
    <w:rsid w:val="5B2F2C8C"/>
    <w:rsid w:val="5B2F4180"/>
    <w:rsid w:val="5B2F6FAB"/>
    <w:rsid w:val="5B300256"/>
    <w:rsid w:val="5B3014E5"/>
    <w:rsid w:val="5B3036D3"/>
    <w:rsid w:val="5B303F63"/>
    <w:rsid w:val="5B305A3D"/>
    <w:rsid w:val="5B305D11"/>
    <w:rsid w:val="5B307ABF"/>
    <w:rsid w:val="5B312145"/>
    <w:rsid w:val="5B320CF5"/>
    <w:rsid w:val="5B321A89"/>
    <w:rsid w:val="5B3226CB"/>
    <w:rsid w:val="5B32287B"/>
    <w:rsid w:val="5B323837"/>
    <w:rsid w:val="5B33135D"/>
    <w:rsid w:val="5B332E75"/>
    <w:rsid w:val="5B333F70"/>
    <w:rsid w:val="5B337E29"/>
    <w:rsid w:val="5B340EDD"/>
    <w:rsid w:val="5B341533"/>
    <w:rsid w:val="5B345801"/>
    <w:rsid w:val="5B351579"/>
    <w:rsid w:val="5B353327"/>
    <w:rsid w:val="5B3545FF"/>
    <w:rsid w:val="5B3550D5"/>
    <w:rsid w:val="5B3624FA"/>
    <w:rsid w:val="5B3648A8"/>
    <w:rsid w:val="5B370AC3"/>
    <w:rsid w:val="5B37709F"/>
    <w:rsid w:val="5B381961"/>
    <w:rsid w:val="5B384449"/>
    <w:rsid w:val="5B390E3B"/>
    <w:rsid w:val="5B392E17"/>
    <w:rsid w:val="5B3941C2"/>
    <w:rsid w:val="5B394BC5"/>
    <w:rsid w:val="5B3A251B"/>
    <w:rsid w:val="5B3A26EB"/>
    <w:rsid w:val="5B3A3C64"/>
    <w:rsid w:val="5B3A4895"/>
    <w:rsid w:val="5B3A7907"/>
    <w:rsid w:val="5B3B3FC5"/>
    <w:rsid w:val="5B3C28B4"/>
    <w:rsid w:val="5B3C2907"/>
    <w:rsid w:val="5B3C3A56"/>
    <w:rsid w:val="5B3D3EC2"/>
    <w:rsid w:val="5B3D3F8A"/>
    <w:rsid w:val="5B3D40D6"/>
    <w:rsid w:val="5B3D4733"/>
    <w:rsid w:val="5B3E21DC"/>
    <w:rsid w:val="5B3E233F"/>
    <w:rsid w:val="5B3E6680"/>
    <w:rsid w:val="5B3F14B5"/>
    <w:rsid w:val="5B3F3068"/>
    <w:rsid w:val="5B3F3599"/>
    <w:rsid w:val="5B3F3670"/>
    <w:rsid w:val="5B3F6B82"/>
    <w:rsid w:val="5B3F6EEE"/>
    <w:rsid w:val="5B3F7178"/>
    <w:rsid w:val="5B3F7BDF"/>
    <w:rsid w:val="5B3F7D02"/>
    <w:rsid w:val="5B403EDB"/>
    <w:rsid w:val="5B4041A6"/>
    <w:rsid w:val="5B4054DD"/>
    <w:rsid w:val="5B41377B"/>
    <w:rsid w:val="5B413BAE"/>
    <w:rsid w:val="5B414987"/>
    <w:rsid w:val="5B415B24"/>
    <w:rsid w:val="5B4223F6"/>
    <w:rsid w:val="5B4271CA"/>
    <w:rsid w:val="5B427271"/>
    <w:rsid w:val="5B433C96"/>
    <w:rsid w:val="5B435A44"/>
    <w:rsid w:val="5B435CAE"/>
    <w:rsid w:val="5B4362FD"/>
    <w:rsid w:val="5B436457"/>
    <w:rsid w:val="5B436B98"/>
    <w:rsid w:val="5B4377F2"/>
    <w:rsid w:val="5B441308"/>
    <w:rsid w:val="5B44356A"/>
    <w:rsid w:val="5B444423"/>
    <w:rsid w:val="5B445621"/>
    <w:rsid w:val="5B446013"/>
    <w:rsid w:val="5B450D15"/>
    <w:rsid w:val="5B450D77"/>
    <w:rsid w:val="5B4517BC"/>
    <w:rsid w:val="5B460A5B"/>
    <w:rsid w:val="5B4615E8"/>
    <w:rsid w:val="5B463948"/>
    <w:rsid w:val="5B4649BB"/>
    <w:rsid w:val="5B4672E2"/>
    <w:rsid w:val="5B4677CB"/>
    <w:rsid w:val="5B47072B"/>
    <w:rsid w:val="5B474E9D"/>
    <w:rsid w:val="5B4754CE"/>
    <w:rsid w:val="5B476268"/>
    <w:rsid w:val="5B4765B5"/>
    <w:rsid w:val="5B4800FC"/>
    <w:rsid w:val="5B48102A"/>
    <w:rsid w:val="5B4812AC"/>
    <w:rsid w:val="5B48305A"/>
    <w:rsid w:val="5B4837C4"/>
    <w:rsid w:val="5B48690E"/>
    <w:rsid w:val="5B496305"/>
    <w:rsid w:val="5B4A1181"/>
    <w:rsid w:val="5B4A1828"/>
    <w:rsid w:val="5B4A26E8"/>
    <w:rsid w:val="5B4A5024"/>
    <w:rsid w:val="5B4A56A6"/>
    <w:rsid w:val="5B4A6DD2"/>
    <w:rsid w:val="5B4B2B4A"/>
    <w:rsid w:val="5B4B48F9"/>
    <w:rsid w:val="5B4C11AD"/>
    <w:rsid w:val="5B4C1CD2"/>
    <w:rsid w:val="5B4C1D2E"/>
    <w:rsid w:val="5B4C2F7A"/>
    <w:rsid w:val="5B4C491E"/>
    <w:rsid w:val="5B4C7A7A"/>
    <w:rsid w:val="5B4D0671"/>
    <w:rsid w:val="5B4D0CC2"/>
    <w:rsid w:val="5B4D0DDD"/>
    <w:rsid w:val="5B4D241F"/>
    <w:rsid w:val="5B4D283C"/>
    <w:rsid w:val="5B4D68C3"/>
    <w:rsid w:val="5B4D6FDE"/>
    <w:rsid w:val="5B4E07AA"/>
    <w:rsid w:val="5B4E49F0"/>
    <w:rsid w:val="5B4E6FDD"/>
    <w:rsid w:val="5B4F263B"/>
    <w:rsid w:val="5B4F2708"/>
    <w:rsid w:val="5B4F3332"/>
    <w:rsid w:val="5B4F43E9"/>
    <w:rsid w:val="5B4F74CF"/>
    <w:rsid w:val="5B4F780B"/>
    <w:rsid w:val="5B500161"/>
    <w:rsid w:val="5B5008A7"/>
    <w:rsid w:val="5B5013B0"/>
    <w:rsid w:val="5B501F0F"/>
    <w:rsid w:val="5B50278A"/>
    <w:rsid w:val="5B503CBD"/>
    <w:rsid w:val="5B505E97"/>
    <w:rsid w:val="5B5063B8"/>
    <w:rsid w:val="5B510803"/>
    <w:rsid w:val="5B511B73"/>
    <w:rsid w:val="5B5157C0"/>
    <w:rsid w:val="5B5163B3"/>
    <w:rsid w:val="5B517029"/>
    <w:rsid w:val="5B520E29"/>
    <w:rsid w:val="5B521EEB"/>
    <w:rsid w:val="5B523ED9"/>
    <w:rsid w:val="5B525C87"/>
    <w:rsid w:val="5B526D22"/>
    <w:rsid w:val="5B5328C4"/>
    <w:rsid w:val="5B5354BA"/>
    <w:rsid w:val="5B542FED"/>
    <w:rsid w:val="5B54402C"/>
    <w:rsid w:val="5B54603F"/>
    <w:rsid w:val="5B5473DC"/>
    <w:rsid w:val="5B547C51"/>
    <w:rsid w:val="5B550DB6"/>
    <w:rsid w:val="5B557525"/>
    <w:rsid w:val="5B557645"/>
    <w:rsid w:val="5B5639C9"/>
    <w:rsid w:val="5B5648CD"/>
    <w:rsid w:val="5B566AFE"/>
    <w:rsid w:val="5B567172"/>
    <w:rsid w:val="5B570024"/>
    <w:rsid w:val="5B570062"/>
    <w:rsid w:val="5B5714EF"/>
    <w:rsid w:val="5B574B00"/>
    <w:rsid w:val="5B58083F"/>
    <w:rsid w:val="5B584901"/>
    <w:rsid w:val="5B584B28"/>
    <w:rsid w:val="5B584D16"/>
    <w:rsid w:val="5B5852D8"/>
    <w:rsid w:val="5B586CB5"/>
    <w:rsid w:val="5B59067D"/>
    <w:rsid w:val="5B590DC3"/>
    <w:rsid w:val="5B5917F7"/>
    <w:rsid w:val="5B591DBE"/>
    <w:rsid w:val="5B592D11"/>
    <w:rsid w:val="5B5942B2"/>
    <w:rsid w:val="5B594E80"/>
    <w:rsid w:val="5B5A31D6"/>
    <w:rsid w:val="5B5A4BB1"/>
    <w:rsid w:val="5B5B0FE0"/>
    <w:rsid w:val="5B5B117C"/>
    <w:rsid w:val="5B5B1AC4"/>
    <w:rsid w:val="5B5B72AF"/>
    <w:rsid w:val="5B5B76C2"/>
    <w:rsid w:val="5B5B778F"/>
    <w:rsid w:val="5B5B780F"/>
    <w:rsid w:val="5B5C08B4"/>
    <w:rsid w:val="5B5C3405"/>
    <w:rsid w:val="5B5C40DA"/>
    <w:rsid w:val="5B5C4D58"/>
    <w:rsid w:val="5B5C671C"/>
    <w:rsid w:val="5B5C6B06"/>
    <w:rsid w:val="5B5D1941"/>
    <w:rsid w:val="5B5D5A46"/>
    <w:rsid w:val="5B5D5F9E"/>
    <w:rsid w:val="5B5D67B3"/>
    <w:rsid w:val="5B5E2FA1"/>
    <w:rsid w:val="5B5E5D9F"/>
    <w:rsid w:val="5B5F03A4"/>
    <w:rsid w:val="5B5F2152"/>
    <w:rsid w:val="5B600C99"/>
    <w:rsid w:val="5B601226"/>
    <w:rsid w:val="5B604E62"/>
    <w:rsid w:val="5B6065F6"/>
    <w:rsid w:val="5B6073A6"/>
    <w:rsid w:val="5B60773B"/>
    <w:rsid w:val="5B611BE0"/>
    <w:rsid w:val="5B61236E"/>
    <w:rsid w:val="5B6135A1"/>
    <w:rsid w:val="5B614BF4"/>
    <w:rsid w:val="5B615ECA"/>
    <w:rsid w:val="5B62228A"/>
    <w:rsid w:val="5B623239"/>
    <w:rsid w:val="5B6237DD"/>
    <w:rsid w:val="5B62748F"/>
    <w:rsid w:val="5B634104"/>
    <w:rsid w:val="5B635A41"/>
    <w:rsid w:val="5B6360E6"/>
    <w:rsid w:val="5B637E94"/>
    <w:rsid w:val="5B6410ED"/>
    <w:rsid w:val="5B643612"/>
    <w:rsid w:val="5B645D1D"/>
    <w:rsid w:val="5B64672F"/>
    <w:rsid w:val="5B647195"/>
    <w:rsid w:val="5B647768"/>
    <w:rsid w:val="5B650470"/>
    <w:rsid w:val="5B651869"/>
    <w:rsid w:val="5B652F32"/>
    <w:rsid w:val="5B6534FF"/>
    <w:rsid w:val="5B65650D"/>
    <w:rsid w:val="5B6573F6"/>
    <w:rsid w:val="5B657B52"/>
    <w:rsid w:val="5B661D46"/>
    <w:rsid w:val="5B662EAD"/>
    <w:rsid w:val="5B664AAA"/>
    <w:rsid w:val="5B6709EF"/>
    <w:rsid w:val="5B670CC7"/>
    <w:rsid w:val="5B672F24"/>
    <w:rsid w:val="5B67316E"/>
    <w:rsid w:val="5B673C13"/>
    <w:rsid w:val="5B677054"/>
    <w:rsid w:val="5B6836FC"/>
    <w:rsid w:val="5B68497F"/>
    <w:rsid w:val="5B686CE2"/>
    <w:rsid w:val="5B687259"/>
    <w:rsid w:val="5B687393"/>
    <w:rsid w:val="5B690172"/>
    <w:rsid w:val="5B690C52"/>
    <w:rsid w:val="5B690E2A"/>
    <w:rsid w:val="5B693D73"/>
    <w:rsid w:val="5B69741E"/>
    <w:rsid w:val="5B6A1223"/>
    <w:rsid w:val="5B6A2D43"/>
    <w:rsid w:val="5B6A2FD1"/>
    <w:rsid w:val="5B6A3C1A"/>
    <w:rsid w:val="5B6A6CB0"/>
    <w:rsid w:val="5B6A746C"/>
    <w:rsid w:val="5B6A7475"/>
    <w:rsid w:val="5B6B023F"/>
    <w:rsid w:val="5B6B05C9"/>
    <w:rsid w:val="5B6B1B37"/>
    <w:rsid w:val="5B6B74FE"/>
    <w:rsid w:val="5B6B756E"/>
    <w:rsid w:val="5B6C2693"/>
    <w:rsid w:val="5B6C2BA5"/>
    <w:rsid w:val="5B6C31AC"/>
    <w:rsid w:val="5B6C3BFE"/>
    <w:rsid w:val="5B6D116F"/>
    <w:rsid w:val="5B6D2E51"/>
    <w:rsid w:val="5B6D486F"/>
    <w:rsid w:val="5B6D769E"/>
    <w:rsid w:val="5B6E4408"/>
    <w:rsid w:val="5B6E4464"/>
    <w:rsid w:val="5B6E62DE"/>
    <w:rsid w:val="5B6E67F7"/>
    <w:rsid w:val="5B6F1A57"/>
    <w:rsid w:val="5B6F25B3"/>
    <w:rsid w:val="5B6F3FE4"/>
    <w:rsid w:val="5B6F4A8B"/>
    <w:rsid w:val="5B6F5D79"/>
    <w:rsid w:val="5B6F63C5"/>
    <w:rsid w:val="5B6F7BFC"/>
    <w:rsid w:val="5B7025B1"/>
    <w:rsid w:val="5B70610D"/>
    <w:rsid w:val="5B706BB5"/>
    <w:rsid w:val="5B71082A"/>
    <w:rsid w:val="5B710AEB"/>
    <w:rsid w:val="5B7113FE"/>
    <w:rsid w:val="5B712359"/>
    <w:rsid w:val="5B7140F8"/>
    <w:rsid w:val="5B722965"/>
    <w:rsid w:val="5B722ED6"/>
    <w:rsid w:val="5B726329"/>
    <w:rsid w:val="5B740CD9"/>
    <w:rsid w:val="5B745BFD"/>
    <w:rsid w:val="5B751694"/>
    <w:rsid w:val="5B751975"/>
    <w:rsid w:val="5B755720"/>
    <w:rsid w:val="5B762465"/>
    <w:rsid w:val="5B7640A5"/>
    <w:rsid w:val="5B767A9D"/>
    <w:rsid w:val="5B767BC7"/>
    <w:rsid w:val="5B773217"/>
    <w:rsid w:val="5B773940"/>
    <w:rsid w:val="5B77414E"/>
    <w:rsid w:val="5B77418E"/>
    <w:rsid w:val="5B77438F"/>
    <w:rsid w:val="5B77749C"/>
    <w:rsid w:val="5B781CEC"/>
    <w:rsid w:val="5B783C06"/>
    <w:rsid w:val="5B7867D7"/>
    <w:rsid w:val="5B7877A7"/>
    <w:rsid w:val="5B790CF5"/>
    <w:rsid w:val="5B793214"/>
    <w:rsid w:val="5B7A10F7"/>
    <w:rsid w:val="5B7A6F8C"/>
    <w:rsid w:val="5B7B0F25"/>
    <w:rsid w:val="5B7B7466"/>
    <w:rsid w:val="5B7C274A"/>
    <w:rsid w:val="5B7C2E20"/>
    <w:rsid w:val="5B7C6166"/>
    <w:rsid w:val="5B7C71A8"/>
    <w:rsid w:val="5B7D1AE1"/>
    <w:rsid w:val="5B7D4616"/>
    <w:rsid w:val="5B7D4DA4"/>
    <w:rsid w:val="5B7E25C1"/>
    <w:rsid w:val="5B7E6A7C"/>
    <w:rsid w:val="5B7F171E"/>
    <w:rsid w:val="5B7F3D40"/>
    <w:rsid w:val="5B800848"/>
    <w:rsid w:val="5B800A46"/>
    <w:rsid w:val="5B804D74"/>
    <w:rsid w:val="5B804F69"/>
    <w:rsid w:val="5B81031A"/>
    <w:rsid w:val="5B810DF3"/>
    <w:rsid w:val="5B812EE8"/>
    <w:rsid w:val="5B8147BE"/>
    <w:rsid w:val="5B82245A"/>
    <w:rsid w:val="5B834092"/>
    <w:rsid w:val="5B83660C"/>
    <w:rsid w:val="5B8423BE"/>
    <w:rsid w:val="5B85187F"/>
    <w:rsid w:val="5B85570E"/>
    <w:rsid w:val="5B85605C"/>
    <w:rsid w:val="5B86187F"/>
    <w:rsid w:val="5B863B83"/>
    <w:rsid w:val="5B863BB5"/>
    <w:rsid w:val="5B865931"/>
    <w:rsid w:val="5B865CF4"/>
    <w:rsid w:val="5B870566"/>
    <w:rsid w:val="5B873B74"/>
    <w:rsid w:val="5B874E3C"/>
    <w:rsid w:val="5B8816A9"/>
    <w:rsid w:val="5B882EF1"/>
    <w:rsid w:val="5B882FD7"/>
    <w:rsid w:val="5B8836FB"/>
    <w:rsid w:val="5B884B8B"/>
    <w:rsid w:val="5B884D4F"/>
    <w:rsid w:val="5B885B4D"/>
    <w:rsid w:val="5B8878FB"/>
    <w:rsid w:val="5B89775C"/>
    <w:rsid w:val="5B8A0BEC"/>
    <w:rsid w:val="5B8A3673"/>
    <w:rsid w:val="5B8A5421"/>
    <w:rsid w:val="5B8A70F2"/>
    <w:rsid w:val="5B8A71CF"/>
    <w:rsid w:val="5B8B0B36"/>
    <w:rsid w:val="5B8B207C"/>
    <w:rsid w:val="5B8B2F47"/>
    <w:rsid w:val="5B8C0569"/>
    <w:rsid w:val="5B8C350C"/>
    <w:rsid w:val="5B8C35E7"/>
    <w:rsid w:val="5B8C551D"/>
    <w:rsid w:val="5B8C73EB"/>
    <w:rsid w:val="5B8D3163"/>
    <w:rsid w:val="5B8E09FD"/>
    <w:rsid w:val="5B8E13D3"/>
    <w:rsid w:val="5B8E1ED8"/>
    <w:rsid w:val="5B8E2FA9"/>
    <w:rsid w:val="5B8E4BE6"/>
    <w:rsid w:val="5B8E6AED"/>
    <w:rsid w:val="5B8F03F1"/>
    <w:rsid w:val="5B8F08E8"/>
    <w:rsid w:val="5B8F0C89"/>
    <w:rsid w:val="5B8F1E8D"/>
    <w:rsid w:val="5B8F37A8"/>
    <w:rsid w:val="5B8F47E5"/>
    <w:rsid w:val="5B8F4C5A"/>
    <w:rsid w:val="5B8F6EDB"/>
    <w:rsid w:val="5B9002BD"/>
    <w:rsid w:val="5B901D87"/>
    <w:rsid w:val="5B904A18"/>
    <w:rsid w:val="5B905D5F"/>
    <w:rsid w:val="5B907D27"/>
    <w:rsid w:val="5B9111FD"/>
    <w:rsid w:val="5B920779"/>
    <w:rsid w:val="5B921A72"/>
    <w:rsid w:val="5B9236C0"/>
    <w:rsid w:val="5B9242D5"/>
    <w:rsid w:val="5B9264A1"/>
    <w:rsid w:val="5B9302DF"/>
    <w:rsid w:val="5B9331E7"/>
    <w:rsid w:val="5B9339C5"/>
    <w:rsid w:val="5B9373A5"/>
    <w:rsid w:val="5B94004E"/>
    <w:rsid w:val="5B940A49"/>
    <w:rsid w:val="5B94328C"/>
    <w:rsid w:val="5B9444F1"/>
    <w:rsid w:val="5B944BE6"/>
    <w:rsid w:val="5B953DC6"/>
    <w:rsid w:val="5B953DFE"/>
    <w:rsid w:val="5B95475A"/>
    <w:rsid w:val="5B955B74"/>
    <w:rsid w:val="5B961A42"/>
    <w:rsid w:val="5B97228C"/>
    <w:rsid w:val="5B9731F0"/>
    <w:rsid w:val="5B975D90"/>
    <w:rsid w:val="5B977B3E"/>
    <w:rsid w:val="5B981565"/>
    <w:rsid w:val="5B984FCA"/>
    <w:rsid w:val="5B99014E"/>
    <w:rsid w:val="5B9927E7"/>
    <w:rsid w:val="5B9A63A6"/>
    <w:rsid w:val="5B9A710D"/>
    <w:rsid w:val="5B9B1EC6"/>
    <w:rsid w:val="5B9B584E"/>
    <w:rsid w:val="5B9B762E"/>
    <w:rsid w:val="5B9B7B40"/>
    <w:rsid w:val="5B9C5154"/>
    <w:rsid w:val="5B9C7BA0"/>
    <w:rsid w:val="5B9D2F81"/>
    <w:rsid w:val="5B9D6256"/>
    <w:rsid w:val="5B9D6FD1"/>
    <w:rsid w:val="5B9E26E1"/>
    <w:rsid w:val="5B9E45C4"/>
    <w:rsid w:val="5B9E711E"/>
    <w:rsid w:val="5B9F1982"/>
    <w:rsid w:val="5B9F3AC2"/>
    <w:rsid w:val="5B9F6D38"/>
    <w:rsid w:val="5B9F72EA"/>
    <w:rsid w:val="5BA0126D"/>
    <w:rsid w:val="5BA0246C"/>
    <w:rsid w:val="5BA02B88"/>
    <w:rsid w:val="5BA02C52"/>
    <w:rsid w:val="5BA02DD0"/>
    <w:rsid w:val="5BA069F2"/>
    <w:rsid w:val="5BA071EA"/>
    <w:rsid w:val="5BA07EFE"/>
    <w:rsid w:val="5BA109BC"/>
    <w:rsid w:val="5BA1276A"/>
    <w:rsid w:val="5BA1292D"/>
    <w:rsid w:val="5BA202C3"/>
    <w:rsid w:val="5BA20303"/>
    <w:rsid w:val="5BA219EB"/>
    <w:rsid w:val="5BA23E64"/>
    <w:rsid w:val="5BA24B1F"/>
    <w:rsid w:val="5BA30291"/>
    <w:rsid w:val="5BA36FC9"/>
    <w:rsid w:val="5BA37B35"/>
    <w:rsid w:val="5BA45C66"/>
    <w:rsid w:val="5BA504AD"/>
    <w:rsid w:val="5BA5225B"/>
    <w:rsid w:val="5BA5657C"/>
    <w:rsid w:val="5BA56BAA"/>
    <w:rsid w:val="5BA56EC8"/>
    <w:rsid w:val="5BA6419B"/>
    <w:rsid w:val="5BA65FD3"/>
    <w:rsid w:val="5BA71E78"/>
    <w:rsid w:val="5BA7249C"/>
    <w:rsid w:val="5BA74225"/>
    <w:rsid w:val="5BA7562A"/>
    <w:rsid w:val="5BA77E67"/>
    <w:rsid w:val="5BA80535"/>
    <w:rsid w:val="5BA839D8"/>
    <w:rsid w:val="5BA83AF8"/>
    <w:rsid w:val="5BA858A7"/>
    <w:rsid w:val="5BA86138"/>
    <w:rsid w:val="5BA9654A"/>
    <w:rsid w:val="5BA97F15"/>
    <w:rsid w:val="5BAA161F"/>
    <w:rsid w:val="5BAA3538"/>
    <w:rsid w:val="5BAA4FCF"/>
    <w:rsid w:val="5BAA55A1"/>
    <w:rsid w:val="5BAA5AC3"/>
    <w:rsid w:val="5BAA6A95"/>
    <w:rsid w:val="5BAA7871"/>
    <w:rsid w:val="5BAB233B"/>
    <w:rsid w:val="5BAB4C50"/>
    <w:rsid w:val="5BAB50D2"/>
    <w:rsid w:val="5BAB5397"/>
    <w:rsid w:val="5BAC11DF"/>
    <w:rsid w:val="5BAC183B"/>
    <w:rsid w:val="5BAC1ED4"/>
    <w:rsid w:val="5BAD110F"/>
    <w:rsid w:val="5BAD6B57"/>
    <w:rsid w:val="5BAD7361"/>
    <w:rsid w:val="5BAE18D3"/>
    <w:rsid w:val="5BAE5416"/>
    <w:rsid w:val="5BAE70C6"/>
    <w:rsid w:val="5BAF30D9"/>
    <w:rsid w:val="5BAF438E"/>
    <w:rsid w:val="5BAF4E87"/>
    <w:rsid w:val="5BAF6C35"/>
    <w:rsid w:val="5BB01980"/>
    <w:rsid w:val="5BB01A89"/>
    <w:rsid w:val="5BB05C18"/>
    <w:rsid w:val="5BB13741"/>
    <w:rsid w:val="5BB16E51"/>
    <w:rsid w:val="5BB23516"/>
    <w:rsid w:val="5BB24814"/>
    <w:rsid w:val="5BB24978"/>
    <w:rsid w:val="5BB26726"/>
    <w:rsid w:val="5BB27DF8"/>
    <w:rsid w:val="5BB31288"/>
    <w:rsid w:val="5BB3376F"/>
    <w:rsid w:val="5BB3575B"/>
    <w:rsid w:val="5BB36D43"/>
    <w:rsid w:val="5BB40B28"/>
    <w:rsid w:val="5BB4249E"/>
    <w:rsid w:val="5BB4596C"/>
    <w:rsid w:val="5BB466E5"/>
    <w:rsid w:val="5BB46942"/>
    <w:rsid w:val="5BB51F64"/>
    <w:rsid w:val="5BB560A5"/>
    <w:rsid w:val="5BB57FC4"/>
    <w:rsid w:val="5BB6331D"/>
    <w:rsid w:val="5BB64468"/>
    <w:rsid w:val="5BB64A4B"/>
    <w:rsid w:val="5BB66216"/>
    <w:rsid w:val="5BB67A93"/>
    <w:rsid w:val="5BB7133F"/>
    <w:rsid w:val="5BB7586B"/>
    <w:rsid w:val="5BB75BFE"/>
    <w:rsid w:val="5BB81099"/>
    <w:rsid w:val="5BB85436"/>
    <w:rsid w:val="5BB85847"/>
    <w:rsid w:val="5BB8629D"/>
    <w:rsid w:val="5BB9199D"/>
    <w:rsid w:val="5BB9483F"/>
    <w:rsid w:val="5BB959AA"/>
    <w:rsid w:val="5BB95D06"/>
    <w:rsid w:val="5BB96002"/>
    <w:rsid w:val="5BB966AB"/>
    <w:rsid w:val="5BB97AB4"/>
    <w:rsid w:val="5BB97EC0"/>
    <w:rsid w:val="5BBA55DA"/>
    <w:rsid w:val="5BBA689E"/>
    <w:rsid w:val="5BBA7AEA"/>
    <w:rsid w:val="5BBA7C59"/>
    <w:rsid w:val="5BBB1A7E"/>
    <w:rsid w:val="5BBB382C"/>
    <w:rsid w:val="5BBB4DE3"/>
    <w:rsid w:val="5BBB7CD0"/>
    <w:rsid w:val="5BBC0EAA"/>
    <w:rsid w:val="5BBC1352"/>
    <w:rsid w:val="5BBC5BCE"/>
    <w:rsid w:val="5BBC5F28"/>
    <w:rsid w:val="5BBC75A4"/>
    <w:rsid w:val="5BBD52FD"/>
    <w:rsid w:val="5BBE1105"/>
    <w:rsid w:val="5BBE156E"/>
    <w:rsid w:val="5BBE331C"/>
    <w:rsid w:val="5BBE3939"/>
    <w:rsid w:val="5BBE3B33"/>
    <w:rsid w:val="5BBE50D4"/>
    <w:rsid w:val="5BBE7ADC"/>
    <w:rsid w:val="5BBF233F"/>
    <w:rsid w:val="5BBF4564"/>
    <w:rsid w:val="5BBF5835"/>
    <w:rsid w:val="5BBF6A41"/>
    <w:rsid w:val="5BBF714E"/>
    <w:rsid w:val="5BBF764F"/>
    <w:rsid w:val="5BC01C10"/>
    <w:rsid w:val="5BC052E6"/>
    <w:rsid w:val="5BC11382"/>
    <w:rsid w:val="5BC1147D"/>
    <w:rsid w:val="5BC14BBB"/>
    <w:rsid w:val="5BC1645D"/>
    <w:rsid w:val="5BC16969"/>
    <w:rsid w:val="5BC22B1A"/>
    <w:rsid w:val="5BC24D1C"/>
    <w:rsid w:val="5BC31863"/>
    <w:rsid w:val="5BC31D7F"/>
    <w:rsid w:val="5BC326E1"/>
    <w:rsid w:val="5BC33FFC"/>
    <w:rsid w:val="5BC35F2A"/>
    <w:rsid w:val="5BC36B85"/>
    <w:rsid w:val="5BC400ED"/>
    <w:rsid w:val="5BC40A02"/>
    <w:rsid w:val="5BC40C67"/>
    <w:rsid w:val="5BC4138C"/>
    <w:rsid w:val="5BC528FD"/>
    <w:rsid w:val="5BC57D70"/>
    <w:rsid w:val="5BC621D1"/>
    <w:rsid w:val="5BC70423"/>
    <w:rsid w:val="5BC70A4D"/>
    <w:rsid w:val="5BC724CC"/>
    <w:rsid w:val="5BC737E1"/>
    <w:rsid w:val="5BC76675"/>
    <w:rsid w:val="5BC776FE"/>
    <w:rsid w:val="5BC80191"/>
    <w:rsid w:val="5BC81EAF"/>
    <w:rsid w:val="5BC85F49"/>
    <w:rsid w:val="5BC86087"/>
    <w:rsid w:val="5BC9131F"/>
    <w:rsid w:val="5BC93E65"/>
    <w:rsid w:val="5BC971B6"/>
    <w:rsid w:val="5BCA2404"/>
    <w:rsid w:val="5BCA3A6F"/>
    <w:rsid w:val="5BCA7AFE"/>
    <w:rsid w:val="5BCA7F13"/>
    <w:rsid w:val="5BCB0B78"/>
    <w:rsid w:val="5BCB196C"/>
    <w:rsid w:val="5BCB1B66"/>
    <w:rsid w:val="5BCB20AE"/>
    <w:rsid w:val="5BCB20E0"/>
    <w:rsid w:val="5BCB3176"/>
    <w:rsid w:val="5BCB34D3"/>
    <w:rsid w:val="5BCC099F"/>
    <w:rsid w:val="5BCC3184"/>
    <w:rsid w:val="5BCC3570"/>
    <w:rsid w:val="5BCC3C8B"/>
    <w:rsid w:val="5BCC63ED"/>
    <w:rsid w:val="5BCC6458"/>
    <w:rsid w:val="5BCC6A09"/>
    <w:rsid w:val="5BCD0E09"/>
    <w:rsid w:val="5BCD17B1"/>
    <w:rsid w:val="5BCD1E2F"/>
    <w:rsid w:val="5BCD2374"/>
    <w:rsid w:val="5BCD355F"/>
    <w:rsid w:val="5BCD4792"/>
    <w:rsid w:val="5BCD51C4"/>
    <w:rsid w:val="5BCD7218"/>
    <w:rsid w:val="5BCE3938"/>
    <w:rsid w:val="5BCE56D9"/>
    <w:rsid w:val="5BCE732F"/>
    <w:rsid w:val="5BCE7A03"/>
    <w:rsid w:val="5BCE7B2F"/>
    <w:rsid w:val="5BCF142A"/>
    <w:rsid w:val="5BCF3F2F"/>
    <w:rsid w:val="5BCF552A"/>
    <w:rsid w:val="5BCF669F"/>
    <w:rsid w:val="5BCF72D8"/>
    <w:rsid w:val="5BCF7320"/>
    <w:rsid w:val="5BCF769D"/>
    <w:rsid w:val="5BD0556F"/>
    <w:rsid w:val="5BD13050"/>
    <w:rsid w:val="5BD13381"/>
    <w:rsid w:val="5BD16A40"/>
    <w:rsid w:val="5BD205F5"/>
    <w:rsid w:val="5BD2074C"/>
    <w:rsid w:val="5BD20B76"/>
    <w:rsid w:val="5BD22130"/>
    <w:rsid w:val="5BD24811"/>
    <w:rsid w:val="5BD24AFB"/>
    <w:rsid w:val="5BD26D67"/>
    <w:rsid w:val="5BD26DC8"/>
    <w:rsid w:val="5BD31EC6"/>
    <w:rsid w:val="5BD3328F"/>
    <w:rsid w:val="5BD3501A"/>
    <w:rsid w:val="5BD36818"/>
    <w:rsid w:val="5BD40D92"/>
    <w:rsid w:val="5BD41D02"/>
    <w:rsid w:val="5BD41D6B"/>
    <w:rsid w:val="5BD42B40"/>
    <w:rsid w:val="5BD47BAE"/>
    <w:rsid w:val="5BD52630"/>
    <w:rsid w:val="5BD564FF"/>
    <w:rsid w:val="5BD57548"/>
    <w:rsid w:val="5BD60666"/>
    <w:rsid w:val="5BD62414"/>
    <w:rsid w:val="5BD63075"/>
    <w:rsid w:val="5BD6343B"/>
    <w:rsid w:val="5BD63D1C"/>
    <w:rsid w:val="5BD64450"/>
    <w:rsid w:val="5BD64622"/>
    <w:rsid w:val="5BD65D5C"/>
    <w:rsid w:val="5BD66003"/>
    <w:rsid w:val="5BD668B8"/>
    <w:rsid w:val="5BD71297"/>
    <w:rsid w:val="5BD716C6"/>
    <w:rsid w:val="5BD71B7C"/>
    <w:rsid w:val="5BD743DE"/>
    <w:rsid w:val="5BD75AB2"/>
    <w:rsid w:val="5BD7618C"/>
    <w:rsid w:val="5BD82CE5"/>
    <w:rsid w:val="5BD832A1"/>
    <w:rsid w:val="5BD83954"/>
    <w:rsid w:val="5BD8589E"/>
    <w:rsid w:val="5BD90156"/>
    <w:rsid w:val="5BD91F04"/>
    <w:rsid w:val="5BD9221F"/>
    <w:rsid w:val="5BD92FA3"/>
    <w:rsid w:val="5BD93310"/>
    <w:rsid w:val="5BD95465"/>
    <w:rsid w:val="5BD95872"/>
    <w:rsid w:val="5BD963A8"/>
    <w:rsid w:val="5BD96494"/>
    <w:rsid w:val="5BDA019D"/>
    <w:rsid w:val="5BDB5B8D"/>
    <w:rsid w:val="5BDB7004"/>
    <w:rsid w:val="5BDB7A2A"/>
    <w:rsid w:val="5BDC37A3"/>
    <w:rsid w:val="5BDC4CAA"/>
    <w:rsid w:val="5BDC5206"/>
    <w:rsid w:val="5BDC684B"/>
    <w:rsid w:val="5BDC6998"/>
    <w:rsid w:val="5BDC6F39"/>
    <w:rsid w:val="5BDD1BBF"/>
    <w:rsid w:val="5BDD45E1"/>
    <w:rsid w:val="5BDD7C46"/>
    <w:rsid w:val="5BDE0DE8"/>
    <w:rsid w:val="5BDE39BF"/>
    <w:rsid w:val="5BDE625E"/>
    <w:rsid w:val="5BDE751B"/>
    <w:rsid w:val="5BDE7657"/>
    <w:rsid w:val="5BDF2B19"/>
    <w:rsid w:val="5BE00489"/>
    <w:rsid w:val="5BE12172"/>
    <w:rsid w:val="5BE12E76"/>
    <w:rsid w:val="5BE158F6"/>
    <w:rsid w:val="5BE1748A"/>
    <w:rsid w:val="5BE22CC0"/>
    <w:rsid w:val="5BE2525D"/>
    <w:rsid w:val="5BE2700B"/>
    <w:rsid w:val="5BE2707B"/>
    <w:rsid w:val="5BE32CC1"/>
    <w:rsid w:val="5BE349AE"/>
    <w:rsid w:val="5BE35DD6"/>
    <w:rsid w:val="5BE37A86"/>
    <w:rsid w:val="5BE452A5"/>
    <w:rsid w:val="5BE52050"/>
    <w:rsid w:val="5BE5408B"/>
    <w:rsid w:val="5BE55D7C"/>
    <w:rsid w:val="5BE56AFB"/>
    <w:rsid w:val="5BE57775"/>
    <w:rsid w:val="5BE57B77"/>
    <w:rsid w:val="5BE609AC"/>
    <w:rsid w:val="5BE61F3B"/>
    <w:rsid w:val="5BE64117"/>
    <w:rsid w:val="5BE663CF"/>
    <w:rsid w:val="5BE677E6"/>
    <w:rsid w:val="5BE70092"/>
    <w:rsid w:val="5BE70AC5"/>
    <w:rsid w:val="5BE734DC"/>
    <w:rsid w:val="5BE74621"/>
    <w:rsid w:val="5BE80A4F"/>
    <w:rsid w:val="5BE81698"/>
    <w:rsid w:val="5BE865EB"/>
    <w:rsid w:val="5BE87BF6"/>
    <w:rsid w:val="5BE923E9"/>
    <w:rsid w:val="5BE92A98"/>
    <w:rsid w:val="5BEA1782"/>
    <w:rsid w:val="5BEA2363"/>
    <w:rsid w:val="5BEA3114"/>
    <w:rsid w:val="5BEA36BE"/>
    <w:rsid w:val="5BEA5EBF"/>
    <w:rsid w:val="5BEA7ADA"/>
    <w:rsid w:val="5BEB32C6"/>
    <w:rsid w:val="5BEB7738"/>
    <w:rsid w:val="5BEC1DF6"/>
    <w:rsid w:val="5BEC3D44"/>
    <w:rsid w:val="5BEC3D78"/>
    <w:rsid w:val="5BEC4A4F"/>
    <w:rsid w:val="5BED032F"/>
    <w:rsid w:val="5BED59B0"/>
    <w:rsid w:val="5BED6316"/>
    <w:rsid w:val="5BEE174B"/>
    <w:rsid w:val="5BEF219F"/>
    <w:rsid w:val="5BEF22FD"/>
    <w:rsid w:val="5BEF34D6"/>
    <w:rsid w:val="5BEF4FBD"/>
    <w:rsid w:val="5BEF797A"/>
    <w:rsid w:val="5BF00249"/>
    <w:rsid w:val="5BF037DA"/>
    <w:rsid w:val="5BF07D9A"/>
    <w:rsid w:val="5BF1005A"/>
    <w:rsid w:val="5BF1024A"/>
    <w:rsid w:val="5BF11053"/>
    <w:rsid w:val="5BF1296B"/>
    <w:rsid w:val="5BF136F2"/>
    <w:rsid w:val="5BF14F24"/>
    <w:rsid w:val="5BF1724E"/>
    <w:rsid w:val="5BF17864"/>
    <w:rsid w:val="5BF226BA"/>
    <w:rsid w:val="5BF22FC6"/>
    <w:rsid w:val="5BF233C2"/>
    <w:rsid w:val="5BF2528B"/>
    <w:rsid w:val="5BF258FE"/>
    <w:rsid w:val="5BF25D9B"/>
    <w:rsid w:val="5BF279AE"/>
    <w:rsid w:val="5BF31218"/>
    <w:rsid w:val="5BF316E9"/>
    <w:rsid w:val="5BF35EE6"/>
    <w:rsid w:val="5BF36603"/>
    <w:rsid w:val="5BF36859"/>
    <w:rsid w:val="5BF37234"/>
    <w:rsid w:val="5BF40AEC"/>
    <w:rsid w:val="5BF412EC"/>
    <w:rsid w:val="5BF43521"/>
    <w:rsid w:val="5BF43905"/>
    <w:rsid w:val="5BF45FDC"/>
    <w:rsid w:val="5BF54751"/>
    <w:rsid w:val="5BF54965"/>
    <w:rsid w:val="5BF54D4C"/>
    <w:rsid w:val="5BF559A6"/>
    <w:rsid w:val="5BF56BCA"/>
    <w:rsid w:val="5BF574E4"/>
    <w:rsid w:val="5BF60D08"/>
    <w:rsid w:val="5BF61043"/>
    <w:rsid w:val="5BF62AB6"/>
    <w:rsid w:val="5BF64864"/>
    <w:rsid w:val="5BF65877"/>
    <w:rsid w:val="5BF705DC"/>
    <w:rsid w:val="5BF7636B"/>
    <w:rsid w:val="5BF8083B"/>
    <w:rsid w:val="5BF824F3"/>
    <w:rsid w:val="5BF83BDB"/>
    <w:rsid w:val="5BF84A80"/>
    <w:rsid w:val="5BF8532B"/>
    <w:rsid w:val="5BF8682E"/>
    <w:rsid w:val="5BF907F8"/>
    <w:rsid w:val="5BF925A6"/>
    <w:rsid w:val="5BF9344C"/>
    <w:rsid w:val="5BF94355"/>
    <w:rsid w:val="5BF94F9D"/>
    <w:rsid w:val="5BFA0C12"/>
    <w:rsid w:val="5BFA158B"/>
    <w:rsid w:val="5BFA4278"/>
    <w:rsid w:val="5BFB1E7B"/>
    <w:rsid w:val="5BFB2F9F"/>
    <w:rsid w:val="5BFB30DE"/>
    <w:rsid w:val="5BFB446D"/>
    <w:rsid w:val="5BFB56B2"/>
    <w:rsid w:val="5BFB631F"/>
    <w:rsid w:val="5BFC07EE"/>
    <w:rsid w:val="5BFC5BF3"/>
    <w:rsid w:val="5BFC633D"/>
    <w:rsid w:val="5BFD22CC"/>
    <w:rsid w:val="5BFD3E45"/>
    <w:rsid w:val="5BFE3307"/>
    <w:rsid w:val="5BFE3B6D"/>
    <w:rsid w:val="5BFE4FBD"/>
    <w:rsid w:val="5BFF1759"/>
    <w:rsid w:val="5BFF386C"/>
    <w:rsid w:val="5BFF5181"/>
    <w:rsid w:val="5C002CB9"/>
    <w:rsid w:val="5C003935"/>
    <w:rsid w:val="5C0045DE"/>
    <w:rsid w:val="5C0056E3"/>
    <w:rsid w:val="5C006528"/>
    <w:rsid w:val="5C01211D"/>
    <w:rsid w:val="5C013209"/>
    <w:rsid w:val="5C017FDC"/>
    <w:rsid w:val="5C0221AF"/>
    <w:rsid w:val="5C0229F2"/>
    <w:rsid w:val="5C0276AD"/>
    <w:rsid w:val="5C030079"/>
    <w:rsid w:val="5C030087"/>
    <w:rsid w:val="5C031F14"/>
    <w:rsid w:val="5C03252E"/>
    <w:rsid w:val="5C0347FE"/>
    <w:rsid w:val="5C043425"/>
    <w:rsid w:val="5C04738C"/>
    <w:rsid w:val="5C052CF9"/>
    <w:rsid w:val="5C0536DB"/>
    <w:rsid w:val="5C0546BF"/>
    <w:rsid w:val="5C055141"/>
    <w:rsid w:val="5C05719D"/>
    <w:rsid w:val="5C063E0F"/>
    <w:rsid w:val="5C07081F"/>
    <w:rsid w:val="5C071C3E"/>
    <w:rsid w:val="5C071F44"/>
    <w:rsid w:val="5C074CC3"/>
    <w:rsid w:val="5C076A71"/>
    <w:rsid w:val="5C080307"/>
    <w:rsid w:val="5C08057C"/>
    <w:rsid w:val="5C08332D"/>
    <w:rsid w:val="5C0833DF"/>
    <w:rsid w:val="5C084598"/>
    <w:rsid w:val="5C0909AD"/>
    <w:rsid w:val="5C0936FF"/>
    <w:rsid w:val="5C094F99"/>
    <w:rsid w:val="5C096361"/>
    <w:rsid w:val="5C0A0310"/>
    <w:rsid w:val="5C0A0F5D"/>
    <w:rsid w:val="5C0A1DD1"/>
    <w:rsid w:val="5C0A250F"/>
    <w:rsid w:val="5C0A6B94"/>
    <w:rsid w:val="5C0A7177"/>
    <w:rsid w:val="5C0B49A2"/>
    <w:rsid w:val="5C0B4B29"/>
    <w:rsid w:val="5C0C052C"/>
    <w:rsid w:val="5C0C0A03"/>
    <w:rsid w:val="5C0C0ABE"/>
    <w:rsid w:val="5C0C22DA"/>
    <w:rsid w:val="5C0C257E"/>
    <w:rsid w:val="5C0C5203"/>
    <w:rsid w:val="5C0D0CBC"/>
    <w:rsid w:val="5C0D2CB4"/>
    <w:rsid w:val="5C0D4977"/>
    <w:rsid w:val="5C0D4CE2"/>
    <w:rsid w:val="5C0D5C6A"/>
    <w:rsid w:val="5C0D5E26"/>
    <w:rsid w:val="5C0D764F"/>
    <w:rsid w:val="5C0E2039"/>
    <w:rsid w:val="5C0E6052"/>
    <w:rsid w:val="5C0F5926"/>
    <w:rsid w:val="5C103475"/>
    <w:rsid w:val="5C104C6A"/>
    <w:rsid w:val="5C110814"/>
    <w:rsid w:val="5C11169E"/>
    <w:rsid w:val="5C1126A3"/>
    <w:rsid w:val="5C112C8C"/>
    <w:rsid w:val="5C115B42"/>
    <w:rsid w:val="5C116D47"/>
    <w:rsid w:val="5C120E54"/>
    <w:rsid w:val="5C1226BD"/>
    <w:rsid w:val="5C125416"/>
    <w:rsid w:val="5C1268F7"/>
    <w:rsid w:val="5C132532"/>
    <w:rsid w:val="5C133668"/>
    <w:rsid w:val="5C1358B5"/>
    <w:rsid w:val="5C135D05"/>
    <w:rsid w:val="5C137DDC"/>
    <w:rsid w:val="5C14118E"/>
    <w:rsid w:val="5C143972"/>
    <w:rsid w:val="5C1445C4"/>
    <w:rsid w:val="5C1473E0"/>
    <w:rsid w:val="5C150625"/>
    <w:rsid w:val="5C1548F4"/>
    <w:rsid w:val="5C1609FD"/>
    <w:rsid w:val="5C1618D5"/>
    <w:rsid w:val="5C164F06"/>
    <w:rsid w:val="5C166ABA"/>
    <w:rsid w:val="5C166CB5"/>
    <w:rsid w:val="5C167A97"/>
    <w:rsid w:val="5C1725DA"/>
    <w:rsid w:val="5C180C7F"/>
    <w:rsid w:val="5C186C6F"/>
    <w:rsid w:val="5C186ED1"/>
    <w:rsid w:val="5C190553"/>
    <w:rsid w:val="5C191AE4"/>
    <w:rsid w:val="5C1942D0"/>
    <w:rsid w:val="5C1949F7"/>
    <w:rsid w:val="5C1965C4"/>
    <w:rsid w:val="5C1967A5"/>
    <w:rsid w:val="5C1A223C"/>
    <w:rsid w:val="5C1A2CA6"/>
    <w:rsid w:val="5C1A5ADB"/>
    <w:rsid w:val="5C1B076F"/>
    <w:rsid w:val="5C1B126D"/>
    <w:rsid w:val="5C1B251D"/>
    <w:rsid w:val="5C1B333C"/>
    <w:rsid w:val="5C1B55ED"/>
    <w:rsid w:val="5C1B6A99"/>
    <w:rsid w:val="5C1B73EB"/>
    <w:rsid w:val="5C1D0043"/>
    <w:rsid w:val="5C1D05B2"/>
    <w:rsid w:val="5C1D44E7"/>
    <w:rsid w:val="5C1D55FB"/>
    <w:rsid w:val="5C1E0247"/>
    <w:rsid w:val="5C1E200D"/>
    <w:rsid w:val="5C1E32CD"/>
    <w:rsid w:val="5C1E4B62"/>
    <w:rsid w:val="5C1E5292"/>
    <w:rsid w:val="5C1E5468"/>
    <w:rsid w:val="5C1E557E"/>
    <w:rsid w:val="5C1F16D7"/>
    <w:rsid w:val="5C1F45C8"/>
    <w:rsid w:val="5C1F4D22"/>
    <w:rsid w:val="5C1F510A"/>
    <w:rsid w:val="5C210B18"/>
    <w:rsid w:val="5C2145B9"/>
    <w:rsid w:val="5C226CAB"/>
    <w:rsid w:val="5C230652"/>
    <w:rsid w:val="5C231A1C"/>
    <w:rsid w:val="5C2327F2"/>
    <w:rsid w:val="5C23474C"/>
    <w:rsid w:val="5C2368B3"/>
    <w:rsid w:val="5C23701A"/>
    <w:rsid w:val="5C237623"/>
    <w:rsid w:val="5C24393D"/>
    <w:rsid w:val="5C245186"/>
    <w:rsid w:val="5C245548"/>
    <w:rsid w:val="5C245875"/>
    <w:rsid w:val="5C2465EF"/>
    <w:rsid w:val="5C251041"/>
    <w:rsid w:val="5C25339C"/>
    <w:rsid w:val="5C25514A"/>
    <w:rsid w:val="5C263A98"/>
    <w:rsid w:val="5C270EC2"/>
    <w:rsid w:val="5C2719D5"/>
    <w:rsid w:val="5C272C70"/>
    <w:rsid w:val="5C272E64"/>
    <w:rsid w:val="5C273CB4"/>
    <w:rsid w:val="5C273E95"/>
    <w:rsid w:val="5C2740C9"/>
    <w:rsid w:val="5C2769EA"/>
    <w:rsid w:val="5C277114"/>
    <w:rsid w:val="5C2806DD"/>
    <w:rsid w:val="5C283CEC"/>
    <w:rsid w:val="5C2869E8"/>
    <w:rsid w:val="5C286A9A"/>
    <w:rsid w:val="5C287DD8"/>
    <w:rsid w:val="5C292E8C"/>
    <w:rsid w:val="5C293CB8"/>
    <w:rsid w:val="5C294C3A"/>
    <w:rsid w:val="5C2A09B2"/>
    <w:rsid w:val="5C2A238B"/>
    <w:rsid w:val="5C2A627A"/>
    <w:rsid w:val="5C2A6C04"/>
    <w:rsid w:val="5C2A7A15"/>
    <w:rsid w:val="5C2B0B4D"/>
    <w:rsid w:val="5C2B388F"/>
    <w:rsid w:val="5C2B3D75"/>
    <w:rsid w:val="5C2B6FD0"/>
    <w:rsid w:val="5C2B74AA"/>
    <w:rsid w:val="5C2C0286"/>
    <w:rsid w:val="5C2C11F2"/>
    <w:rsid w:val="5C2C3CDA"/>
    <w:rsid w:val="5C2C56DB"/>
    <w:rsid w:val="5C2C64D8"/>
    <w:rsid w:val="5C2E04A2"/>
    <w:rsid w:val="5C2E2250"/>
    <w:rsid w:val="5C2E3516"/>
    <w:rsid w:val="5C2E36CB"/>
    <w:rsid w:val="5C2F0CAE"/>
    <w:rsid w:val="5C2F4185"/>
    <w:rsid w:val="5C2F421A"/>
    <w:rsid w:val="5C2F616E"/>
    <w:rsid w:val="5C2F7D76"/>
    <w:rsid w:val="5C301A31"/>
    <w:rsid w:val="5C302315"/>
    <w:rsid w:val="5C303915"/>
    <w:rsid w:val="5C304ED6"/>
    <w:rsid w:val="5C311526"/>
    <w:rsid w:val="5C315538"/>
    <w:rsid w:val="5C322734"/>
    <w:rsid w:val="5C324CF0"/>
    <w:rsid w:val="5C325E60"/>
    <w:rsid w:val="5C330FDC"/>
    <w:rsid w:val="5C332155"/>
    <w:rsid w:val="5C333616"/>
    <w:rsid w:val="5C335AB8"/>
    <w:rsid w:val="5C3375B7"/>
    <w:rsid w:val="5C341831"/>
    <w:rsid w:val="5C3435DF"/>
    <w:rsid w:val="5C34538D"/>
    <w:rsid w:val="5C3453D5"/>
    <w:rsid w:val="5C351711"/>
    <w:rsid w:val="5C3524DE"/>
    <w:rsid w:val="5C357930"/>
    <w:rsid w:val="5C363CBD"/>
    <w:rsid w:val="5C364000"/>
    <w:rsid w:val="5C3655A9"/>
    <w:rsid w:val="5C367357"/>
    <w:rsid w:val="5C370A04"/>
    <w:rsid w:val="5C381321"/>
    <w:rsid w:val="5C381FE0"/>
    <w:rsid w:val="5C3830CF"/>
    <w:rsid w:val="5C384E7D"/>
    <w:rsid w:val="5C38658F"/>
    <w:rsid w:val="5C38753D"/>
    <w:rsid w:val="5C3911C0"/>
    <w:rsid w:val="5C391356"/>
    <w:rsid w:val="5C39244F"/>
    <w:rsid w:val="5C392920"/>
    <w:rsid w:val="5C393362"/>
    <w:rsid w:val="5C3951A3"/>
    <w:rsid w:val="5C395423"/>
    <w:rsid w:val="5C397A72"/>
    <w:rsid w:val="5C397EB9"/>
    <w:rsid w:val="5C3A1EDF"/>
    <w:rsid w:val="5C3A2094"/>
    <w:rsid w:val="5C3A5607"/>
    <w:rsid w:val="5C3B0C77"/>
    <w:rsid w:val="5C3B2B5A"/>
    <w:rsid w:val="5C3B2BBF"/>
    <w:rsid w:val="5C3B496D"/>
    <w:rsid w:val="5C3B670D"/>
    <w:rsid w:val="5C3C2E8A"/>
    <w:rsid w:val="5C3C6029"/>
    <w:rsid w:val="5C3D0377"/>
    <w:rsid w:val="5C3D06E5"/>
    <w:rsid w:val="5C3D4782"/>
    <w:rsid w:val="5C3D5706"/>
    <w:rsid w:val="5C3D5B54"/>
    <w:rsid w:val="5C3D5DE3"/>
    <w:rsid w:val="5C3E1D48"/>
    <w:rsid w:val="5C3E1F39"/>
    <w:rsid w:val="5C3E265C"/>
    <w:rsid w:val="5C3E620B"/>
    <w:rsid w:val="5C3E7830"/>
    <w:rsid w:val="5C3F3D1E"/>
    <w:rsid w:val="5C3F5FE2"/>
    <w:rsid w:val="5C3F68A7"/>
    <w:rsid w:val="5C4001D5"/>
    <w:rsid w:val="5C402886"/>
    <w:rsid w:val="5C404E35"/>
    <w:rsid w:val="5C407F62"/>
    <w:rsid w:val="5C4161B1"/>
    <w:rsid w:val="5C421EE9"/>
    <w:rsid w:val="5C425CFC"/>
    <w:rsid w:val="5C427058"/>
    <w:rsid w:val="5C427AAA"/>
    <w:rsid w:val="5C431A5D"/>
    <w:rsid w:val="5C433822"/>
    <w:rsid w:val="5C441A74"/>
    <w:rsid w:val="5C441EA4"/>
    <w:rsid w:val="5C443C67"/>
    <w:rsid w:val="5C444B32"/>
    <w:rsid w:val="5C447CC6"/>
    <w:rsid w:val="5C451348"/>
    <w:rsid w:val="5C4557EC"/>
    <w:rsid w:val="5C45759A"/>
    <w:rsid w:val="5C462351"/>
    <w:rsid w:val="5C4625CD"/>
    <w:rsid w:val="5C4656CF"/>
    <w:rsid w:val="5C467737"/>
    <w:rsid w:val="5C471564"/>
    <w:rsid w:val="5C4751C1"/>
    <w:rsid w:val="5C480E38"/>
    <w:rsid w:val="5C481930"/>
    <w:rsid w:val="5C48222B"/>
    <w:rsid w:val="5C483302"/>
    <w:rsid w:val="5C484871"/>
    <w:rsid w:val="5C484BB0"/>
    <w:rsid w:val="5C484FF4"/>
    <w:rsid w:val="5C48524D"/>
    <w:rsid w:val="5C485468"/>
    <w:rsid w:val="5C485C56"/>
    <w:rsid w:val="5C487355"/>
    <w:rsid w:val="5C490A22"/>
    <w:rsid w:val="5C49300D"/>
    <w:rsid w:val="5C4947BE"/>
    <w:rsid w:val="5C49708A"/>
    <w:rsid w:val="5C497514"/>
    <w:rsid w:val="5C4A2E02"/>
    <w:rsid w:val="5C4A4BB0"/>
    <w:rsid w:val="5C4A6731"/>
    <w:rsid w:val="5C4B6A21"/>
    <w:rsid w:val="5C4C0928"/>
    <w:rsid w:val="5C4C6173"/>
    <w:rsid w:val="5C4C6B7A"/>
    <w:rsid w:val="5C4C7FF5"/>
    <w:rsid w:val="5C4D1399"/>
    <w:rsid w:val="5C4D19CD"/>
    <w:rsid w:val="5C4D1A2E"/>
    <w:rsid w:val="5C4D1CF2"/>
    <w:rsid w:val="5C4D246E"/>
    <w:rsid w:val="5C4D2A65"/>
    <w:rsid w:val="5C4D3D60"/>
    <w:rsid w:val="5C4D4754"/>
    <w:rsid w:val="5C4D5F78"/>
    <w:rsid w:val="5C4E0517"/>
    <w:rsid w:val="5C4E068B"/>
    <w:rsid w:val="5C4E28F2"/>
    <w:rsid w:val="5C4E46A0"/>
    <w:rsid w:val="5C4E6A19"/>
    <w:rsid w:val="5C4F010C"/>
    <w:rsid w:val="5C4F01A9"/>
    <w:rsid w:val="5C4F0418"/>
    <w:rsid w:val="5C4F15F5"/>
    <w:rsid w:val="5C4F21C6"/>
    <w:rsid w:val="5C4F5B28"/>
    <w:rsid w:val="5C504241"/>
    <w:rsid w:val="5C504816"/>
    <w:rsid w:val="5C50666A"/>
    <w:rsid w:val="5C5123E2"/>
    <w:rsid w:val="5C51268C"/>
    <w:rsid w:val="5C512D28"/>
    <w:rsid w:val="5C5138D1"/>
    <w:rsid w:val="5C514191"/>
    <w:rsid w:val="5C515216"/>
    <w:rsid w:val="5C524875"/>
    <w:rsid w:val="5C5269EB"/>
    <w:rsid w:val="5C52744C"/>
    <w:rsid w:val="5C5305C6"/>
    <w:rsid w:val="5C531572"/>
    <w:rsid w:val="5C533A65"/>
    <w:rsid w:val="5C534707"/>
    <w:rsid w:val="5C537F09"/>
    <w:rsid w:val="5C544E7D"/>
    <w:rsid w:val="5C545BC5"/>
    <w:rsid w:val="5C550F13"/>
    <w:rsid w:val="5C5513CB"/>
    <w:rsid w:val="5C5539F9"/>
    <w:rsid w:val="5C553C81"/>
    <w:rsid w:val="5C560154"/>
    <w:rsid w:val="5C5608CB"/>
    <w:rsid w:val="5C5617A7"/>
    <w:rsid w:val="5C563555"/>
    <w:rsid w:val="5C563FE5"/>
    <w:rsid w:val="5C565523"/>
    <w:rsid w:val="5C566A8E"/>
    <w:rsid w:val="5C5703D7"/>
    <w:rsid w:val="5C5716CF"/>
    <w:rsid w:val="5C573DD5"/>
    <w:rsid w:val="5C5767C2"/>
    <w:rsid w:val="5C577173"/>
    <w:rsid w:val="5C58107B"/>
    <w:rsid w:val="5C581867"/>
    <w:rsid w:val="5C583771"/>
    <w:rsid w:val="5C583C5B"/>
    <w:rsid w:val="5C584438"/>
    <w:rsid w:val="5C58551F"/>
    <w:rsid w:val="5C591620"/>
    <w:rsid w:val="5C592A58"/>
    <w:rsid w:val="5C593045"/>
    <w:rsid w:val="5C594096"/>
    <w:rsid w:val="5C5940CF"/>
    <w:rsid w:val="5C596060"/>
    <w:rsid w:val="5C5A0499"/>
    <w:rsid w:val="5C5A0930"/>
    <w:rsid w:val="5C5A3CCE"/>
    <w:rsid w:val="5C5A69C7"/>
    <w:rsid w:val="5C5A6D58"/>
    <w:rsid w:val="5C5B3426"/>
    <w:rsid w:val="5C5B44C8"/>
    <w:rsid w:val="5C5B500F"/>
    <w:rsid w:val="5C5B6DBD"/>
    <w:rsid w:val="5C5B738C"/>
    <w:rsid w:val="5C5C2CE9"/>
    <w:rsid w:val="5C5C3190"/>
    <w:rsid w:val="5C5C4383"/>
    <w:rsid w:val="5C5C4855"/>
    <w:rsid w:val="5C5D0D87"/>
    <w:rsid w:val="5C5D2B35"/>
    <w:rsid w:val="5C5D2DC6"/>
    <w:rsid w:val="5C5D3D2F"/>
    <w:rsid w:val="5C5D4249"/>
    <w:rsid w:val="5C5D6E1A"/>
    <w:rsid w:val="5C5E6419"/>
    <w:rsid w:val="5C5F0AE8"/>
    <w:rsid w:val="5C5F16C1"/>
    <w:rsid w:val="5C5F4137"/>
    <w:rsid w:val="5C5F50E3"/>
    <w:rsid w:val="5C5F68AD"/>
    <w:rsid w:val="5C5F797C"/>
    <w:rsid w:val="5C601749"/>
    <w:rsid w:val="5C6024A0"/>
    <w:rsid w:val="5C602626"/>
    <w:rsid w:val="5C602CF5"/>
    <w:rsid w:val="5C6043D4"/>
    <w:rsid w:val="5C606167"/>
    <w:rsid w:val="5C606182"/>
    <w:rsid w:val="5C60665C"/>
    <w:rsid w:val="5C607CD5"/>
    <w:rsid w:val="5C611C32"/>
    <w:rsid w:val="5C615FD0"/>
    <w:rsid w:val="5C62014C"/>
    <w:rsid w:val="5C621BB1"/>
    <w:rsid w:val="5C621D8C"/>
    <w:rsid w:val="5C6221A2"/>
    <w:rsid w:val="5C623C49"/>
    <w:rsid w:val="5C623F46"/>
    <w:rsid w:val="5C624A5B"/>
    <w:rsid w:val="5C625A3A"/>
    <w:rsid w:val="5C62639E"/>
    <w:rsid w:val="5C6345A4"/>
    <w:rsid w:val="5C6429DB"/>
    <w:rsid w:val="5C64324A"/>
    <w:rsid w:val="5C644B13"/>
    <w:rsid w:val="5C645C72"/>
    <w:rsid w:val="5C65182B"/>
    <w:rsid w:val="5C6519EA"/>
    <w:rsid w:val="5C653E6B"/>
    <w:rsid w:val="5C657C3C"/>
    <w:rsid w:val="5C667075"/>
    <w:rsid w:val="5C66733D"/>
    <w:rsid w:val="5C672A9D"/>
    <w:rsid w:val="5C673445"/>
    <w:rsid w:val="5C6748B2"/>
    <w:rsid w:val="5C675762"/>
    <w:rsid w:val="5C67791B"/>
    <w:rsid w:val="5C681899"/>
    <w:rsid w:val="5C681C7A"/>
    <w:rsid w:val="5C682496"/>
    <w:rsid w:val="5C6845C7"/>
    <w:rsid w:val="5C6914DA"/>
    <w:rsid w:val="5C6927EC"/>
    <w:rsid w:val="5C694DD1"/>
    <w:rsid w:val="5C695D93"/>
    <w:rsid w:val="5C6A2F62"/>
    <w:rsid w:val="5C6A682E"/>
    <w:rsid w:val="5C6C0FCA"/>
    <w:rsid w:val="5C6C0FEC"/>
    <w:rsid w:val="5C6C35C8"/>
    <w:rsid w:val="5C6C3BD0"/>
    <w:rsid w:val="5C6C4F24"/>
    <w:rsid w:val="5C6C6022"/>
    <w:rsid w:val="5C6C6C7F"/>
    <w:rsid w:val="5C6D1741"/>
    <w:rsid w:val="5C6D29E7"/>
    <w:rsid w:val="5C6E0D96"/>
    <w:rsid w:val="5C6E2F87"/>
    <w:rsid w:val="5C6E57A1"/>
    <w:rsid w:val="5C6F39C2"/>
    <w:rsid w:val="5C6F6022"/>
    <w:rsid w:val="5C700ABB"/>
    <w:rsid w:val="5C7038E9"/>
    <w:rsid w:val="5C704651"/>
    <w:rsid w:val="5C71038F"/>
    <w:rsid w:val="5C711FA6"/>
    <w:rsid w:val="5C7165E1"/>
    <w:rsid w:val="5C720150"/>
    <w:rsid w:val="5C726580"/>
    <w:rsid w:val="5C732359"/>
    <w:rsid w:val="5C734262"/>
    <w:rsid w:val="5C734AFA"/>
    <w:rsid w:val="5C734F6B"/>
    <w:rsid w:val="5C735A4E"/>
    <w:rsid w:val="5C736F8B"/>
    <w:rsid w:val="5C7406D5"/>
    <w:rsid w:val="5C741C2D"/>
    <w:rsid w:val="5C74325C"/>
    <w:rsid w:val="5C744F09"/>
    <w:rsid w:val="5C74645F"/>
    <w:rsid w:val="5C747BD7"/>
    <w:rsid w:val="5C753960"/>
    <w:rsid w:val="5C753E74"/>
    <w:rsid w:val="5C75446B"/>
    <w:rsid w:val="5C757728"/>
    <w:rsid w:val="5C7612E3"/>
    <w:rsid w:val="5C761B9A"/>
    <w:rsid w:val="5C763BF7"/>
    <w:rsid w:val="5C763FFE"/>
    <w:rsid w:val="5C766579"/>
    <w:rsid w:val="5C7742B9"/>
    <w:rsid w:val="5C7763FF"/>
    <w:rsid w:val="5C7774FE"/>
    <w:rsid w:val="5C780DF2"/>
    <w:rsid w:val="5C78216D"/>
    <w:rsid w:val="5C7834CB"/>
    <w:rsid w:val="5C7866CB"/>
    <w:rsid w:val="5C78679A"/>
    <w:rsid w:val="5C78796F"/>
    <w:rsid w:val="5C790656"/>
    <w:rsid w:val="5C7922E1"/>
    <w:rsid w:val="5C7942A5"/>
    <w:rsid w:val="5C794EB2"/>
    <w:rsid w:val="5C795079"/>
    <w:rsid w:val="5C79623E"/>
    <w:rsid w:val="5C7A0ADF"/>
    <w:rsid w:val="5C7A0CAF"/>
    <w:rsid w:val="5C7A2B31"/>
    <w:rsid w:val="5C7A4748"/>
    <w:rsid w:val="5C7A6342"/>
    <w:rsid w:val="5C7B120D"/>
    <w:rsid w:val="5C7B5943"/>
    <w:rsid w:val="5C7B5EF3"/>
    <w:rsid w:val="5C7B745F"/>
    <w:rsid w:val="5C7C4287"/>
    <w:rsid w:val="5C7C72F3"/>
    <w:rsid w:val="5C7C7852"/>
    <w:rsid w:val="5C7D4A92"/>
    <w:rsid w:val="5C7D4F86"/>
    <w:rsid w:val="5C7D6D34"/>
    <w:rsid w:val="5C7E10FB"/>
    <w:rsid w:val="5C7E485A"/>
    <w:rsid w:val="5C7E70E9"/>
    <w:rsid w:val="5C7F0CFE"/>
    <w:rsid w:val="5C7F0D24"/>
    <w:rsid w:val="5C7F75E3"/>
    <w:rsid w:val="5C7F7B96"/>
    <w:rsid w:val="5C801F78"/>
    <w:rsid w:val="5C804E4C"/>
    <w:rsid w:val="5C813644"/>
    <w:rsid w:val="5C814A76"/>
    <w:rsid w:val="5C820FA3"/>
    <w:rsid w:val="5C82434A"/>
    <w:rsid w:val="5C824AD4"/>
    <w:rsid w:val="5C824B5A"/>
    <w:rsid w:val="5C825F1A"/>
    <w:rsid w:val="5C8337E6"/>
    <w:rsid w:val="5C835F64"/>
    <w:rsid w:val="5C836B56"/>
    <w:rsid w:val="5C837F16"/>
    <w:rsid w:val="5C843B2D"/>
    <w:rsid w:val="5C843ED6"/>
    <w:rsid w:val="5C844566"/>
    <w:rsid w:val="5C853455"/>
    <w:rsid w:val="5C853E3A"/>
    <w:rsid w:val="5C855952"/>
    <w:rsid w:val="5C855BE8"/>
    <w:rsid w:val="5C856FF9"/>
    <w:rsid w:val="5C86208C"/>
    <w:rsid w:val="5C863A15"/>
    <w:rsid w:val="5C865695"/>
    <w:rsid w:val="5C8659B4"/>
    <w:rsid w:val="5C871960"/>
    <w:rsid w:val="5C87325D"/>
    <w:rsid w:val="5C8774B6"/>
    <w:rsid w:val="5C877B6E"/>
    <w:rsid w:val="5C891B7C"/>
    <w:rsid w:val="5C8956D8"/>
    <w:rsid w:val="5C8963F6"/>
    <w:rsid w:val="5C897492"/>
    <w:rsid w:val="5C8A31FF"/>
    <w:rsid w:val="5C8A3266"/>
    <w:rsid w:val="5C8A54F9"/>
    <w:rsid w:val="5C8B40EC"/>
    <w:rsid w:val="5C8B5B86"/>
    <w:rsid w:val="5C8C2053"/>
    <w:rsid w:val="5C8C26B4"/>
    <w:rsid w:val="5C8C341B"/>
    <w:rsid w:val="5C8C5B00"/>
    <w:rsid w:val="5C8C6822"/>
    <w:rsid w:val="5C8C6F77"/>
    <w:rsid w:val="5C8D3328"/>
    <w:rsid w:val="5C8D4DCF"/>
    <w:rsid w:val="5C8E177D"/>
    <w:rsid w:val="5C8E2CEF"/>
    <w:rsid w:val="5C8E5C48"/>
    <w:rsid w:val="5C8E63CB"/>
    <w:rsid w:val="5C8F0D4E"/>
    <w:rsid w:val="5C8F2F8B"/>
    <w:rsid w:val="5C8F2F9F"/>
    <w:rsid w:val="5C8F6A67"/>
    <w:rsid w:val="5C902F0B"/>
    <w:rsid w:val="5C904481"/>
    <w:rsid w:val="5C904B8D"/>
    <w:rsid w:val="5C910A31"/>
    <w:rsid w:val="5C911570"/>
    <w:rsid w:val="5C91458D"/>
    <w:rsid w:val="5C921142"/>
    <w:rsid w:val="5C925B38"/>
    <w:rsid w:val="5C9347A9"/>
    <w:rsid w:val="5C934DD0"/>
    <w:rsid w:val="5C936557"/>
    <w:rsid w:val="5C937755"/>
    <w:rsid w:val="5C937880"/>
    <w:rsid w:val="5C940863"/>
    <w:rsid w:val="5C941999"/>
    <w:rsid w:val="5C941ABA"/>
    <w:rsid w:val="5C944DA8"/>
    <w:rsid w:val="5C944EF4"/>
    <w:rsid w:val="5C9522CF"/>
    <w:rsid w:val="5C952F4A"/>
    <w:rsid w:val="5C955228"/>
    <w:rsid w:val="5C95546E"/>
    <w:rsid w:val="5C961BA3"/>
    <w:rsid w:val="5C9622A6"/>
    <w:rsid w:val="5C962DCF"/>
    <w:rsid w:val="5C9669E3"/>
    <w:rsid w:val="5C967DF5"/>
    <w:rsid w:val="5C971A27"/>
    <w:rsid w:val="5C980C2B"/>
    <w:rsid w:val="5C9813BA"/>
    <w:rsid w:val="5C98162D"/>
    <w:rsid w:val="5C981A85"/>
    <w:rsid w:val="5C983515"/>
    <w:rsid w:val="5C983B6D"/>
    <w:rsid w:val="5C98591B"/>
    <w:rsid w:val="5C9943AA"/>
    <w:rsid w:val="5C995E2C"/>
    <w:rsid w:val="5C99680E"/>
    <w:rsid w:val="5C9970EA"/>
    <w:rsid w:val="5C9A15FC"/>
    <w:rsid w:val="5C9A41EB"/>
    <w:rsid w:val="5C9A592C"/>
    <w:rsid w:val="5C9A78E6"/>
    <w:rsid w:val="5C9B078A"/>
    <w:rsid w:val="5C9B4033"/>
    <w:rsid w:val="5C9D10CC"/>
    <w:rsid w:val="5C9D30FF"/>
    <w:rsid w:val="5C9D39F8"/>
    <w:rsid w:val="5C9D4822"/>
    <w:rsid w:val="5C9D7CF4"/>
    <w:rsid w:val="5C9E02EB"/>
    <w:rsid w:val="5C9E2E3A"/>
    <w:rsid w:val="5C9E402C"/>
    <w:rsid w:val="5C9E433D"/>
    <w:rsid w:val="5C9E7E9B"/>
    <w:rsid w:val="5C9F2FA2"/>
    <w:rsid w:val="5C9F314E"/>
    <w:rsid w:val="5C9F5598"/>
    <w:rsid w:val="5C9F7056"/>
    <w:rsid w:val="5CA024D2"/>
    <w:rsid w:val="5CA02A22"/>
    <w:rsid w:val="5CA0306F"/>
    <w:rsid w:val="5CA0453A"/>
    <w:rsid w:val="5CA12373"/>
    <w:rsid w:val="5CA16EC6"/>
    <w:rsid w:val="5CA226B5"/>
    <w:rsid w:val="5CA2297D"/>
    <w:rsid w:val="5CA22C3E"/>
    <w:rsid w:val="5CA2451A"/>
    <w:rsid w:val="5CA249EC"/>
    <w:rsid w:val="5CA2679A"/>
    <w:rsid w:val="5CA2680A"/>
    <w:rsid w:val="5CA31CB7"/>
    <w:rsid w:val="5CA3285D"/>
    <w:rsid w:val="5CA35AFA"/>
    <w:rsid w:val="5CA37ECD"/>
    <w:rsid w:val="5CA40490"/>
    <w:rsid w:val="5CA40764"/>
    <w:rsid w:val="5CA414AE"/>
    <w:rsid w:val="5CA45D13"/>
    <w:rsid w:val="5CA47E6E"/>
    <w:rsid w:val="5CA50038"/>
    <w:rsid w:val="5CA5082B"/>
    <w:rsid w:val="5CA5200E"/>
    <w:rsid w:val="5CA52A3F"/>
    <w:rsid w:val="5CA614E5"/>
    <w:rsid w:val="5CA6278E"/>
    <w:rsid w:val="5CA635BB"/>
    <w:rsid w:val="5CA63ECF"/>
    <w:rsid w:val="5CA644DC"/>
    <w:rsid w:val="5CA6628A"/>
    <w:rsid w:val="5CA70254"/>
    <w:rsid w:val="5CA70655"/>
    <w:rsid w:val="5CA71965"/>
    <w:rsid w:val="5CA73DB1"/>
    <w:rsid w:val="5CA7449A"/>
    <w:rsid w:val="5CA7535F"/>
    <w:rsid w:val="5CA82E50"/>
    <w:rsid w:val="5CA83404"/>
    <w:rsid w:val="5CA92BF3"/>
    <w:rsid w:val="5CA92D9E"/>
    <w:rsid w:val="5CA943D8"/>
    <w:rsid w:val="5CA97C7F"/>
    <w:rsid w:val="5CAA1CA9"/>
    <w:rsid w:val="5CAA36E9"/>
    <w:rsid w:val="5CAA445C"/>
    <w:rsid w:val="5CAA4847"/>
    <w:rsid w:val="5CAA55ED"/>
    <w:rsid w:val="5CAA564F"/>
    <w:rsid w:val="5CAB20B8"/>
    <w:rsid w:val="5CAB2510"/>
    <w:rsid w:val="5CAB38A1"/>
    <w:rsid w:val="5CAB3BBE"/>
    <w:rsid w:val="5CAB5170"/>
    <w:rsid w:val="5CAB54B0"/>
    <w:rsid w:val="5CAC7619"/>
    <w:rsid w:val="5CAC7D41"/>
    <w:rsid w:val="5CAC7FF4"/>
    <w:rsid w:val="5CAD20F3"/>
    <w:rsid w:val="5CAD57D9"/>
    <w:rsid w:val="5CAD6132"/>
    <w:rsid w:val="5CAD70A9"/>
    <w:rsid w:val="5CAE15E3"/>
    <w:rsid w:val="5CAE23C6"/>
    <w:rsid w:val="5CAE3391"/>
    <w:rsid w:val="5CAE46DA"/>
    <w:rsid w:val="5CAE475D"/>
    <w:rsid w:val="5CAE56F1"/>
    <w:rsid w:val="5CAE7601"/>
    <w:rsid w:val="5CAE7B57"/>
    <w:rsid w:val="5CAF49FE"/>
    <w:rsid w:val="5CB0001B"/>
    <w:rsid w:val="5CB00D05"/>
    <w:rsid w:val="5CB00EB7"/>
    <w:rsid w:val="5CB0535B"/>
    <w:rsid w:val="5CB0776F"/>
    <w:rsid w:val="5CB12A41"/>
    <w:rsid w:val="5CB12E81"/>
    <w:rsid w:val="5CB15BE4"/>
    <w:rsid w:val="5CB165D3"/>
    <w:rsid w:val="5CB169DD"/>
    <w:rsid w:val="5CB16C80"/>
    <w:rsid w:val="5CB2695C"/>
    <w:rsid w:val="5CB278ED"/>
    <w:rsid w:val="5CB32755"/>
    <w:rsid w:val="5CB339D2"/>
    <w:rsid w:val="5CB36BF9"/>
    <w:rsid w:val="5CB376CC"/>
    <w:rsid w:val="5CB37978"/>
    <w:rsid w:val="5CB4448B"/>
    <w:rsid w:val="5CB444DE"/>
    <w:rsid w:val="5CB44934"/>
    <w:rsid w:val="5CB44D92"/>
    <w:rsid w:val="5CB47A53"/>
    <w:rsid w:val="5CB52971"/>
    <w:rsid w:val="5CB53FD1"/>
    <w:rsid w:val="5CB5471F"/>
    <w:rsid w:val="5CB55D08"/>
    <w:rsid w:val="5CB564CD"/>
    <w:rsid w:val="5CB5683E"/>
    <w:rsid w:val="5CB600B4"/>
    <w:rsid w:val="5CB62246"/>
    <w:rsid w:val="5CB64AC9"/>
    <w:rsid w:val="5CB66F95"/>
    <w:rsid w:val="5CB702BC"/>
    <w:rsid w:val="5CB71C5E"/>
    <w:rsid w:val="5CB72374"/>
    <w:rsid w:val="5CB7796E"/>
    <w:rsid w:val="5CB7798B"/>
    <w:rsid w:val="5CB848CC"/>
    <w:rsid w:val="5CB85FBE"/>
    <w:rsid w:val="5CB93294"/>
    <w:rsid w:val="5CBA1B3D"/>
    <w:rsid w:val="5CBA1C0E"/>
    <w:rsid w:val="5CBA1D36"/>
    <w:rsid w:val="5CBA3AE4"/>
    <w:rsid w:val="5CBA4AFD"/>
    <w:rsid w:val="5CBA7F88"/>
    <w:rsid w:val="5CBB0910"/>
    <w:rsid w:val="5CBB3F9D"/>
    <w:rsid w:val="5CBB6337"/>
    <w:rsid w:val="5CBB785C"/>
    <w:rsid w:val="5CBC0C5C"/>
    <w:rsid w:val="5CBC3D00"/>
    <w:rsid w:val="5CBC7274"/>
    <w:rsid w:val="5CBD0CC6"/>
    <w:rsid w:val="5CBD1826"/>
    <w:rsid w:val="5CBD35D4"/>
    <w:rsid w:val="5CBD60EF"/>
    <w:rsid w:val="5CBD7973"/>
    <w:rsid w:val="5CBE7B0C"/>
    <w:rsid w:val="5CBF10FA"/>
    <w:rsid w:val="5CBF248C"/>
    <w:rsid w:val="5CBF27BF"/>
    <w:rsid w:val="5CBF35E6"/>
    <w:rsid w:val="5CBF591E"/>
    <w:rsid w:val="5CC04444"/>
    <w:rsid w:val="5CC04E72"/>
    <w:rsid w:val="5CC130C4"/>
    <w:rsid w:val="5CC22C81"/>
    <w:rsid w:val="5CC24BEA"/>
    <w:rsid w:val="5CC2508E"/>
    <w:rsid w:val="5CC25852"/>
    <w:rsid w:val="5CC26E3C"/>
    <w:rsid w:val="5CC27D47"/>
    <w:rsid w:val="5CC32C7C"/>
    <w:rsid w:val="5CC42428"/>
    <w:rsid w:val="5CC42BB4"/>
    <w:rsid w:val="5CC43D88"/>
    <w:rsid w:val="5CC44962"/>
    <w:rsid w:val="5CC457AD"/>
    <w:rsid w:val="5CC47458"/>
    <w:rsid w:val="5CC52489"/>
    <w:rsid w:val="5CC53758"/>
    <w:rsid w:val="5CC60EFA"/>
    <w:rsid w:val="5CC616AB"/>
    <w:rsid w:val="5CC61BF1"/>
    <w:rsid w:val="5CC6418B"/>
    <w:rsid w:val="5CC6703C"/>
    <w:rsid w:val="5CC71F91"/>
    <w:rsid w:val="5CC74453"/>
    <w:rsid w:val="5CC75AA2"/>
    <w:rsid w:val="5CC77036"/>
    <w:rsid w:val="5CC8005B"/>
    <w:rsid w:val="5CC826A5"/>
    <w:rsid w:val="5CC830C4"/>
    <w:rsid w:val="5CC842C2"/>
    <w:rsid w:val="5CC93458"/>
    <w:rsid w:val="5CC93B2E"/>
    <w:rsid w:val="5CC94572"/>
    <w:rsid w:val="5CCA021A"/>
    <w:rsid w:val="5CCA10F8"/>
    <w:rsid w:val="5CCA1406"/>
    <w:rsid w:val="5CCA4E29"/>
    <w:rsid w:val="5CCA7DBF"/>
    <w:rsid w:val="5CCB252C"/>
    <w:rsid w:val="5CCB3F43"/>
    <w:rsid w:val="5CCB6F19"/>
    <w:rsid w:val="5CCB7A9F"/>
    <w:rsid w:val="5CCB7CC2"/>
    <w:rsid w:val="5CCB7D75"/>
    <w:rsid w:val="5CCC1A69"/>
    <w:rsid w:val="5CCC3817"/>
    <w:rsid w:val="5CCC3CFF"/>
    <w:rsid w:val="5CCC562C"/>
    <w:rsid w:val="5CCD047F"/>
    <w:rsid w:val="5CCD1EC7"/>
    <w:rsid w:val="5CCD2ED0"/>
    <w:rsid w:val="5CCD7CBB"/>
    <w:rsid w:val="5CCE30DB"/>
    <w:rsid w:val="5CCE4339"/>
    <w:rsid w:val="5CCE57E1"/>
    <w:rsid w:val="5CCE758F"/>
    <w:rsid w:val="5CCF0EF5"/>
    <w:rsid w:val="5CCF2D77"/>
    <w:rsid w:val="5CCF31C3"/>
    <w:rsid w:val="5CCF3889"/>
    <w:rsid w:val="5CCF456B"/>
    <w:rsid w:val="5CCF47E0"/>
    <w:rsid w:val="5CCF7E14"/>
    <w:rsid w:val="5CD01559"/>
    <w:rsid w:val="5CD0489B"/>
    <w:rsid w:val="5CD050B5"/>
    <w:rsid w:val="5CD05D03"/>
    <w:rsid w:val="5CD10703"/>
    <w:rsid w:val="5CD16E8B"/>
    <w:rsid w:val="5CD1707F"/>
    <w:rsid w:val="5CD170FD"/>
    <w:rsid w:val="5CD2262C"/>
    <w:rsid w:val="5CD22AC0"/>
    <w:rsid w:val="5CD23447"/>
    <w:rsid w:val="5CD24B4A"/>
    <w:rsid w:val="5CD24D17"/>
    <w:rsid w:val="5CD2518D"/>
    <w:rsid w:val="5CD270DC"/>
    <w:rsid w:val="5CD31049"/>
    <w:rsid w:val="5CD34BA6"/>
    <w:rsid w:val="5CD43329"/>
    <w:rsid w:val="5CD433DF"/>
    <w:rsid w:val="5CD46F4D"/>
    <w:rsid w:val="5CD526CC"/>
    <w:rsid w:val="5CD5332C"/>
    <w:rsid w:val="5CD53D45"/>
    <w:rsid w:val="5CD55308"/>
    <w:rsid w:val="5CD555BF"/>
    <w:rsid w:val="5CD56851"/>
    <w:rsid w:val="5CD56B70"/>
    <w:rsid w:val="5CD61014"/>
    <w:rsid w:val="5CD637E2"/>
    <w:rsid w:val="5CD66C9C"/>
    <w:rsid w:val="5CD72CFD"/>
    <w:rsid w:val="5CD7363D"/>
    <w:rsid w:val="5CD75204"/>
    <w:rsid w:val="5CD80424"/>
    <w:rsid w:val="5CD839BE"/>
    <w:rsid w:val="5CD84FCF"/>
    <w:rsid w:val="5CD91104"/>
    <w:rsid w:val="5CD91BC5"/>
    <w:rsid w:val="5CD924CD"/>
    <w:rsid w:val="5CD93847"/>
    <w:rsid w:val="5CD93F42"/>
    <w:rsid w:val="5CD95678"/>
    <w:rsid w:val="5CDA07F6"/>
    <w:rsid w:val="5CDA1E1C"/>
    <w:rsid w:val="5CDA3F26"/>
    <w:rsid w:val="5CDA5504"/>
    <w:rsid w:val="5CDB620B"/>
    <w:rsid w:val="5CDC0A90"/>
    <w:rsid w:val="5CDC3F9E"/>
    <w:rsid w:val="5CDC7EFE"/>
    <w:rsid w:val="5CDD2CD9"/>
    <w:rsid w:val="5CDD3C76"/>
    <w:rsid w:val="5CDD5E39"/>
    <w:rsid w:val="5CDE6232"/>
    <w:rsid w:val="5CDF37F1"/>
    <w:rsid w:val="5CDF507D"/>
    <w:rsid w:val="5CDF63ED"/>
    <w:rsid w:val="5CDF79EE"/>
    <w:rsid w:val="5CE045E7"/>
    <w:rsid w:val="5CE10C25"/>
    <w:rsid w:val="5CE14ED3"/>
    <w:rsid w:val="5CE16980"/>
    <w:rsid w:val="5CE17709"/>
    <w:rsid w:val="5CE2128D"/>
    <w:rsid w:val="5CE21551"/>
    <w:rsid w:val="5CE2303B"/>
    <w:rsid w:val="5CE24DE9"/>
    <w:rsid w:val="5CE4045F"/>
    <w:rsid w:val="5CE40B61"/>
    <w:rsid w:val="5CE4527D"/>
    <w:rsid w:val="5CE46DB3"/>
    <w:rsid w:val="5CE533CF"/>
    <w:rsid w:val="5CE56791"/>
    <w:rsid w:val="5CE56CFD"/>
    <w:rsid w:val="5CE573C3"/>
    <w:rsid w:val="5CE60D7D"/>
    <w:rsid w:val="5CE66065"/>
    <w:rsid w:val="5CE70651"/>
    <w:rsid w:val="5CE81F53"/>
    <w:rsid w:val="5CE84B02"/>
    <w:rsid w:val="5CE8654D"/>
    <w:rsid w:val="5CE90749"/>
    <w:rsid w:val="5CE9261B"/>
    <w:rsid w:val="5CE927F2"/>
    <w:rsid w:val="5CE93BFC"/>
    <w:rsid w:val="5CE95CFA"/>
    <w:rsid w:val="5CE96177"/>
    <w:rsid w:val="5CEA1D4B"/>
    <w:rsid w:val="5CEA5152"/>
    <w:rsid w:val="5CEA7BF4"/>
    <w:rsid w:val="5CEB1CA7"/>
    <w:rsid w:val="5CEB1EEF"/>
    <w:rsid w:val="5CEB2603"/>
    <w:rsid w:val="5CEB4C0A"/>
    <w:rsid w:val="5CEB567B"/>
    <w:rsid w:val="5CEB5775"/>
    <w:rsid w:val="5CEB6393"/>
    <w:rsid w:val="5CEC037E"/>
    <w:rsid w:val="5CEC3846"/>
    <w:rsid w:val="5CEC389B"/>
    <w:rsid w:val="5CEC3CF5"/>
    <w:rsid w:val="5CEC51D4"/>
    <w:rsid w:val="5CEC6C76"/>
    <w:rsid w:val="5CED210B"/>
    <w:rsid w:val="5CED2190"/>
    <w:rsid w:val="5CEE0F5C"/>
    <w:rsid w:val="5CEE19DF"/>
    <w:rsid w:val="5CEE37C0"/>
    <w:rsid w:val="5CEE5E83"/>
    <w:rsid w:val="5CEE7C31"/>
    <w:rsid w:val="5CEF074A"/>
    <w:rsid w:val="5CEF0F84"/>
    <w:rsid w:val="5CEF2F5A"/>
    <w:rsid w:val="5CEF332D"/>
    <w:rsid w:val="5CF01AF8"/>
    <w:rsid w:val="5CF035AC"/>
    <w:rsid w:val="5CF0555B"/>
    <w:rsid w:val="5CF05758"/>
    <w:rsid w:val="5CF05767"/>
    <w:rsid w:val="5CF06D15"/>
    <w:rsid w:val="5CF07A70"/>
    <w:rsid w:val="5CF1005C"/>
    <w:rsid w:val="5CF10BAD"/>
    <w:rsid w:val="5CF1327E"/>
    <w:rsid w:val="5CF13D37"/>
    <w:rsid w:val="5CF16BE6"/>
    <w:rsid w:val="5CF21275"/>
    <w:rsid w:val="5CF24766"/>
    <w:rsid w:val="5CF27722"/>
    <w:rsid w:val="5CF3013D"/>
    <w:rsid w:val="5CF31571"/>
    <w:rsid w:val="5CF33A14"/>
    <w:rsid w:val="5CF35248"/>
    <w:rsid w:val="5CF36FF6"/>
    <w:rsid w:val="5CF37634"/>
    <w:rsid w:val="5CF411D4"/>
    <w:rsid w:val="5CF50FC0"/>
    <w:rsid w:val="5CF51E42"/>
    <w:rsid w:val="5CF52D6E"/>
    <w:rsid w:val="5CF55A11"/>
    <w:rsid w:val="5CF6064B"/>
    <w:rsid w:val="5CF60894"/>
    <w:rsid w:val="5CF60E57"/>
    <w:rsid w:val="5CF615B6"/>
    <w:rsid w:val="5CF653BF"/>
    <w:rsid w:val="5CF662B9"/>
    <w:rsid w:val="5CF66FC3"/>
    <w:rsid w:val="5CF71946"/>
    <w:rsid w:val="5CF74D19"/>
    <w:rsid w:val="5CF74DF0"/>
    <w:rsid w:val="5CF76BF6"/>
    <w:rsid w:val="5CF813C3"/>
    <w:rsid w:val="5CF81AB9"/>
    <w:rsid w:val="5CF84EF0"/>
    <w:rsid w:val="5CF93684"/>
    <w:rsid w:val="5CFA0384"/>
    <w:rsid w:val="5CFA0C83"/>
    <w:rsid w:val="5CFA4828"/>
    <w:rsid w:val="5CFA65D6"/>
    <w:rsid w:val="5CFB0B3D"/>
    <w:rsid w:val="5CFB3CCD"/>
    <w:rsid w:val="5CFB497D"/>
    <w:rsid w:val="5CFB5EAA"/>
    <w:rsid w:val="5CFB6789"/>
    <w:rsid w:val="5CFC40FC"/>
    <w:rsid w:val="5CFD284A"/>
    <w:rsid w:val="5CFD3C54"/>
    <w:rsid w:val="5CFD4363"/>
    <w:rsid w:val="5CFD562C"/>
    <w:rsid w:val="5CFD7E74"/>
    <w:rsid w:val="5CFE2BB5"/>
    <w:rsid w:val="5CFE56C2"/>
    <w:rsid w:val="5CFE60C6"/>
    <w:rsid w:val="5CFE75E9"/>
    <w:rsid w:val="5CFF1E3E"/>
    <w:rsid w:val="5CFF382F"/>
    <w:rsid w:val="5CFF599B"/>
    <w:rsid w:val="5D00019B"/>
    <w:rsid w:val="5D001F09"/>
    <w:rsid w:val="5D004ADA"/>
    <w:rsid w:val="5D005D74"/>
    <w:rsid w:val="5D011713"/>
    <w:rsid w:val="5D0134C1"/>
    <w:rsid w:val="5D014342"/>
    <w:rsid w:val="5D015BB7"/>
    <w:rsid w:val="5D015E10"/>
    <w:rsid w:val="5D017965"/>
    <w:rsid w:val="5D0252E3"/>
    <w:rsid w:val="5D02548B"/>
    <w:rsid w:val="5D0277C5"/>
    <w:rsid w:val="5D0336DD"/>
    <w:rsid w:val="5D0357F6"/>
    <w:rsid w:val="5D037730"/>
    <w:rsid w:val="5D037AA3"/>
    <w:rsid w:val="5D041203"/>
    <w:rsid w:val="5D042351"/>
    <w:rsid w:val="5D042FB1"/>
    <w:rsid w:val="5D0442B4"/>
    <w:rsid w:val="5D044644"/>
    <w:rsid w:val="5D047455"/>
    <w:rsid w:val="5D047E1B"/>
    <w:rsid w:val="5D053080"/>
    <w:rsid w:val="5D055892"/>
    <w:rsid w:val="5D055EF0"/>
    <w:rsid w:val="5D0605D0"/>
    <w:rsid w:val="5D062A20"/>
    <w:rsid w:val="5D0631CD"/>
    <w:rsid w:val="5D064F7B"/>
    <w:rsid w:val="5D06557A"/>
    <w:rsid w:val="5D0663C0"/>
    <w:rsid w:val="5D066D29"/>
    <w:rsid w:val="5D066E5E"/>
    <w:rsid w:val="5D072AA1"/>
    <w:rsid w:val="5D07484F"/>
    <w:rsid w:val="5D080CF3"/>
    <w:rsid w:val="5D081B2B"/>
    <w:rsid w:val="5D082FAC"/>
    <w:rsid w:val="5D086F45"/>
    <w:rsid w:val="5D096819"/>
    <w:rsid w:val="5D0A3F64"/>
    <w:rsid w:val="5D0B433F"/>
    <w:rsid w:val="5D0B4BFD"/>
    <w:rsid w:val="5D0B6444"/>
    <w:rsid w:val="5D0C00B7"/>
    <w:rsid w:val="5D0C1746"/>
    <w:rsid w:val="5D0C1BB0"/>
    <w:rsid w:val="5D0C34A3"/>
    <w:rsid w:val="5D0C518A"/>
    <w:rsid w:val="5D0D455B"/>
    <w:rsid w:val="5D0D612A"/>
    <w:rsid w:val="5D0D74BD"/>
    <w:rsid w:val="5D0E16B0"/>
    <w:rsid w:val="5D0E3E30"/>
    <w:rsid w:val="5D0E5553"/>
    <w:rsid w:val="5D0F5FDC"/>
    <w:rsid w:val="5D0F6FBD"/>
    <w:rsid w:val="5D103FE2"/>
    <w:rsid w:val="5D104520"/>
    <w:rsid w:val="5D10483F"/>
    <w:rsid w:val="5D107BA8"/>
    <w:rsid w:val="5D1124C0"/>
    <w:rsid w:val="5D1128EC"/>
    <w:rsid w:val="5D1150CD"/>
    <w:rsid w:val="5D1207CF"/>
    <w:rsid w:val="5D1217CA"/>
    <w:rsid w:val="5D12352F"/>
    <w:rsid w:val="5D123920"/>
    <w:rsid w:val="5D125160"/>
    <w:rsid w:val="5D1278E0"/>
    <w:rsid w:val="5D136571"/>
    <w:rsid w:val="5D1368B0"/>
    <w:rsid w:val="5D1368E3"/>
    <w:rsid w:val="5D137E2E"/>
    <w:rsid w:val="5D1402F9"/>
    <w:rsid w:val="5D142F08"/>
    <w:rsid w:val="5D143EC4"/>
    <w:rsid w:val="5D145449"/>
    <w:rsid w:val="5D1454D9"/>
    <w:rsid w:val="5D1458EA"/>
    <w:rsid w:val="5D151F38"/>
    <w:rsid w:val="5D1538E2"/>
    <w:rsid w:val="5D1551BE"/>
    <w:rsid w:val="5D155870"/>
    <w:rsid w:val="5D156F6C"/>
    <w:rsid w:val="5D157DDF"/>
    <w:rsid w:val="5D16072B"/>
    <w:rsid w:val="5D161570"/>
    <w:rsid w:val="5D1648C8"/>
    <w:rsid w:val="5D170101"/>
    <w:rsid w:val="5D170F36"/>
    <w:rsid w:val="5D1714E5"/>
    <w:rsid w:val="5D1725BD"/>
    <w:rsid w:val="5D172CE4"/>
    <w:rsid w:val="5D1755BF"/>
    <w:rsid w:val="5D177188"/>
    <w:rsid w:val="5D182D61"/>
    <w:rsid w:val="5D184CAE"/>
    <w:rsid w:val="5D1859F9"/>
    <w:rsid w:val="5D186A5C"/>
    <w:rsid w:val="5D187DDA"/>
    <w:rsid w:val="5D193354"/>
    <w:rsid w:val="5D196598"/>
    <w:rsid w:val="5D1A0A26"/>
    <w:rsid w:val="5D1A4582"/>
    <w:rsid w:val="5D1A656F"/>
    <w:rsid w:val="5D1A757A"/>
    <w:rsid w:val="5D1B0428"/>
    <w:rsid w:val="5D1B0692"/>
    <w:rsid w:val="5D1B5EF2"/>
    <w:rsid w:val="5D1C02FB"/>
    <w:rsid w:val="5D1C1718"/>
    <w:rsid w:val="5D1C479E"/>
    <w:rsid w:val="5D1C654D"/>
    <w:rsid w:val="5D1C6663"/>
    <w:rsid w:val="5D1D07F6"/>
    <w:rsid w:val="5D1D22C5"/>
    <w:rsid w:val="5D1D50BA"/>
    <w:rsid w:val="5D1D5386"/>
    <w:rsid w:val="5D1E2DBA"/>
    <w:rsid w:val="5D1E2E04"/>
    <w:rsid w:val="5D1E6EFA"/>
    <w:rsid w:val="5D202983"/>
    <w:rsid w:val="5D204BC0"/>
    <w:rsid w:val="5D207DB2"/>
    <w:rsid w:val="5D210F03"/>
    <w:rsid w:val="5D2113C6"/>
    <w:rsid w:val="5D211DB5"/>
    <w:rsid w:val="5D213452"/>
    <w:rsid w:val="5D21471A"/>
    <w:rsid w:val="5D22456C"/>
    <w:rsid w:val="5D224A92"/>
    <w:rsid w:val="5D224AC8"/>
    <w:rsid w:val="5D235B2D"/>
    <w:rsid w:val="5D23736F"/>
    <w:rsid w:val="5D245401"/>
    <w:rsid w:val="5D2454EF"/>
    <w:rsid w:val="5D2461F7"/>
    <w:rsid w:val="5D251D29"/>
    <w:rsid w:val="5D253BAB"/>
    <w:rsid w:val="5D25683C"/>
    <w:rsid w:val="5D261179"/>
    <w:rsid w:val="5D26398F"/>
    <w:rsid w:val="5D263C24"/>
    <w:rsid w:val="5D26561D"/>
    <w:rsid w:val="5D267EA7"/>
    <w:rsid w:val="5D274F41"/>
    <w:rsid w:val="5D276544"/>
    <w:rsid w:val="5D276C9F"/>
    <w:rsid w:val="5D277224"/>
    <w:rsid w:val="5D277C85"/>
    <w:rsid w:val="5D2808B8"/>
    <w:rsid w:val="5D283143"/>
    <w:rsid w:val="5D2869D7"/>
    <w:rsid w:val="5D290C69"/>
    <w:rsid w:val="5D292A17"/>
    <w:rsid w:val="5D293580"/>
    <w:rsid w:val="5D29577B"/>
    <w:rsid w:val="5D296EBB"/>
    <w:rsid w:val="5D2A1D37"/>
    <w:rsid w:val="5D2A3A35"/>
    <w:rsid w:val="5D2A5089"/>
    <w:rsid w:val="5D2B418E"/>
    <w:rsid w:val="5D2B5C3A"/>
    <w:rsid w:val="5D2B5D28"/>
    <w:rsid w:val="5D2B7BF4"/>
    <w:rsid w:val="5D2C1ACE"/>
    <w:rsid w:val="5D2C3369"/>
    <w:rsid w:val="5D2C3456"/>
    <w:rsid w:val="5D2C3FDA"/>
    <w:rsid w:val="5D2C42B6"/>
    <w:rsid w:val="5D2D2508"/>
    <w:rsid w:val="5D2D3AF7"/>
    <w:rsid w:val="5D2D4C93"/>
    <w:rsid w:val="5D2D5BBD"/>
    <w:rsid w:val="5D2D69AC"/>
    <w:rsid w:val="5D2D72C4"/>
    <w:rsid w:val="5D2D77BB"/>
    <w:rsid w:val="5D2E1C18"/>
    <w:rsid w:val="5D2E44D2"/>
    <w:rsid w:val="5D2E4801"/>
    <w:rsid w:val="5D2E5DB1"/>
    <w:rsid w:val="5D2E6280"/>
    <w:rsid w:val="5D2E6AE6"/>
    <w:rsid w:val="5D2F4EBB"/>
    <w:rsid w:val="5D301FF8"/>
    <w:rsid w:val="5D302C9F"/>
    <w:rsid w:val="5D303DA6"/>
    <w:rsid w:val="5D306545"/>
    <w:rsid w:val="5D310D37"/>
    <w:rsid w:val="5D3117A5"/>
    <w:rsid w:val="5D313783"/>
    <w:rsid w:val="5D3150DA"/>
    <w:rsid w:val="5D317702"/>
    <w:rsid w:val="5D323FC2"/>
    <w:rsid w:val="5D325D70"/>
    <w:rsid w:val="5D326893"/>
    <w:rsid w:val="5D3274BE"/>
    <w:rsid w:val="5D327B1E"/>
    <w:rsid w:val="5D330992"/>
    <w:rsid w:val="5D330FB2"/>
    <w:rsid w:val="5D3342C8"/>
    <w:rsid w:val="5D334845"/>
    <w:rsid w:val="5D335644"/>
    <w:rsid w:val="5D33787C"/>
    <w:rsid w:val="5D337B06"/>
    <w:rsid w:val="5D337DB9"/>
    <w:rsid w:val="5D340DF9"/>
    <w:rsid w:val="5D344A78"/>
    <w:rsid w:val="5D345B40"/>
    <w:rsid w:val="5D34733D"/>
    <w:rsid w:val="5D35009B"/>
    <w:rsid w:val="5D350129"/>
    <w:rsid w:val="5D351C70"/>
    <w:rsid w:val="5D354600"/>
    <w:rsid w:val="5D3546AE"/>
    <w:rsid w:val="5D355860"/>
    <w:rsid w:val="5D355F88"/>
    <w:rsid w:val="5D36146B"/>
    <w:rsid w:val="5D364BA9"/>
    <w:rsid w:val="5D372358"/>
    <w:rsid w:val="5D375134"/>
    <w:rsid w:val="5D381E48"/>
    <w:rsid w:val="5D3900DF"/>
    <w:rsid w:val="5D394CE9"/>
    <w:rsid w:val="5D3970FE"/>
    <w:rsid w:val="5D3A3F2B"/>
    <w:rsid w:val="5D3A44EB"/>
    <w:rsid w:val="5D3A4598"/>
    <w:rsid w:val="5D3A4C25"/>
    <w:rsid w:val="5D3A60FB"/>
    <w:rsid w:val="5D3A69D3"/>
    <w:rsid w:val="5D3B6683"/>
    <w:rsid w:val="5D3C0DF8"/>
    <w:rsid w:val="5D3C274B"/>
    <w:rsid w:val="5D3C5420"/>
    <w:rsid w:val="5D3C6815"/>
    <w:rsid w:val="5D3D026A"/>
    <w:rsid w:val="5D3D1206"/>
    <w:rsid w:val="5D3D1DBB"/>
    <w:rsid w:val="5D3D4924"/>
    <w:rsid w:val="5D3D64C3"/>
    <w:rsid w:val="5D3E00E0"/>
    <w:rsid w:val="5D3E30FE"/>
    <w:rsid w:val="5D3E433B"/>
    <w:rsid w:val="5D3E548C"/>
    <w:rsid w:val="5D3F048D"/>
    <w:rsid w:val="5D3F05FA"/>
    <w:rsid w:val="5D3F1B51"/>
    <w:rsid w:val="5D3F223B"/>
    <w:rsid w:val="5D3F4885"/>
    <w:rsid w:val="5D3F5111"/>
    <w:rsid w:val="5D4036F2"/>
    <w:rsid w:val="5D40739C"/>
    <w:rsid w:val="5D4075FA"/>
    <w:rsid w:val="5D4130E3"/>
    <w:rsid w:val="5D415FB3"/>
    <w:rsid w:val="5D416A41"/>
    <w:rsid w:val="5D4173DB"/>
    <w:rsid w:val="5D41775D"/>
    <w:rsid w:val="5D422728"/>
    <w:rsid w:val="5D42314C"/>
    <w:rsid w:val="5D424C8F"/>
    <w:rsid w:val="5D431D2B"/>
    <w:rsid w:val="5D4322D6"/>
    <w:rsid w:val="5D433344"/>
    <w:rsid w:val="5D435270"/>
    <w:rsid w:val="5D435D1D"/>
    <w:rsid w:val="5D4401CF"/>
    <w:rsid w:val="5D441D7E"/>
    <w:rsid w:val="5D443CF5"/>
    <w:rsid w:val="5D447851"/>
    <w:rsid w:val="5D4602CB"/>
    <w:rsid w:val="5D4666E9"/>
    <w:rsid w:val="5D467A6D"/>
    <w:rsid w:val="5D471D42"/>
    <w:rsid w:val="5D47511B"/>
    <w:rsid w:val="5D475B2E"/>
    <w:rsid w:val="5D475B92"/>
    <w:rsid w:val="5D485594"/>
    <w:rsid w:val="5D487342"/>
    <w:rsid w:val="5D493A18"/>
    <w:rsid w:val="5D493D14"/>
    <w:rsid w:val="5D49692A"/>
    <w:rsid w:val="5D497937"/>
    <w:rsid w:val="5D4A1A1A"/>
    <w:rsid w:val="5D4A68F3"/>
    <w:rsid w:val="5D4B0BE0"/>
    <w:rsid w:val="5D4B37E5"/>
    <w:rsid w:val="5D4B44AF"/>
    <w:rsid w:val="5D4B588A"/>
    <w:rsid w:val="5D4B6E32"/>
    <w:rsid w:val="5D4B7368"/>
    <w:rsid w:val="5D4B770B"/>
    <w:rsid w:val="5D4C2D10"/>
    <w:rsid w:val="5D4C3247"/>
    <w:rsid w:val="5D4C3B66"/>
    <w:rsid w:val="5D4C593F"/>
    <w:rsid w:val="5D4D49F4"/>
    <w:rsid w:val="5D4D5E9D"/>
    <w:rsid w:val="5D4E1C4D"/>
    <w:rsid w:val="5D4E3213"/>
    <w:rsid w:val="5D4E60FF"/>
    <w:rsid w:val="5D4F42C0"/>
    <w:rsid w:val="5D4F441F"/>
    <w:rsid w:val="5D4F5EF1"/>
    <w:rsid w:val="5D4F6922"/>
    <w:rsid w:val="5D4F6E91"/>
    <w:rsid w:val="5D50411A"/>
    <w:rsid w:val="5D504F0B"/>
    <w:rsid w:val="5D5063AF"/>
    <w:rsid w:val="5D506AC9"/>
    <w:rsid w:val="5D5074DB"/>
    <w:rsid w:val="5D5104A7"/>
    <w:rsid w:val="5D514B10"/>
    <w:rsid w:val="5D51505E"/>
    <w:rsid w:val="5D516469"/>
    <w:rsid w:val="5D520286"/>
    <w:rsid w:val="5D5204FA"/>
    <w:rsid w:val="5D521F6E"/>
    <w:rsid w:val="5D52311E"/>
    <w:rsid w:val="5D5243D5"/>
    <w:rsid w:val="5D52454A"/>
    <w:rsid w:val="5D52548E"/>
    <w:rsid w:val="5D530D5F"/>
    <w:rsid w:val="5D5312C4"/>
    <w:rsid w:val="5D5340D1"/>
    <w:rsid w:val="5D541C7E"/>
    <w:rsid w:val="5D545E17"/>
    <w:rsid w:val="5D5465CA"/>
    <w:rsid w:val="5D547849"/>
    <w:rsid w:val="5D551A5E"/>
    <w:rsid w:val="5D551A8E"/>
    <w:rsid w:val="5D55380D"/>
    <w:rsid w:val="5D560AB2"/>
    <w:rsid w:val="5D5743EF"/>
    <w:rsid w:val="5D5757D7"/>
    <w:rsid w:val="5D5757E1"/>
    <w:rsid w:val="5D576CA3"/>
    <w:rsid w:val="5D5819EB"/>
    <w:rsid w:val="5D584738"/>
    <w:rsid w:val="5D59154F"/>
    <w:rsid w:val="5D591684"/>
    <w:rsid w:val="5D5926B4"/>
    <w:rsid w:val="5D594BF1"/>
    <w:rsid w:val="5D597F43"/>
    <w:rsid w:val="5D5A05C3"/>
    <w:rsid w:val="5D5A2B14"/>
    <w:rsid w:val="5D5A52C7"/>
    <w:rsid w:val="5D5A5687"/>
    <w:rsid w:val="5D5A7075"/>
    <w:rsid w:val="5D5B218E"/>
    <w:rsid w:val="5D5B3F2E"/>
    <w:rsid w:val="5D5C103F"/>
    <w:rsid w:val="5D5C1F34"/>
    <w:rsid w:val="5D5C4B9B"/>
    <w:rsid w:val="5D5D3553"/>
    <w:rsid w:val="5D5E4388"/>
    <w:rsid w:val="5D5E55F4"/>
    <w:rsid w:val="5D5E6B65"/>
    <w:rsid w:val="5D5F3DB5"/>
    <w:rsid w:val="5D5F5267"/>
    <w:rsid w:val="5D5F6F90"/>
    <w:rsid w:val="5D610B9B"/>
    <w:rsid w:val="5D6121B1"/>
    <w:rsid w:val="5D613406"/>
    <w:rsid w:val="5D613C6B"/>
    <w:rsid w:val="5D61428F"/>
    <w:rsid w:val="5D616655"/>
    <w:rsid w:val="5D622736"/>
    <w:rsid w:val="5D633BC6"/>
    <w:rsid w:val="5D63417B"/>
    <w:rsid w:val="5D635F29"/>
    <w:rsid w:val="5D64064B"/>
    <w:rsid w:val="5D641CA2"/>
    <w:rsid w:val="5D64247E"/>
    <w:rsid w:val="5D642684"/>
    <w:rsid w:val="5D645B96"/>
    <w:rsid w:val="5D652661"/>
    <w:rsid w:val="5D652DA0"/>
    <w:rsid w:val="5D6545AE"/>
    <w:rsid w:val="5D6567A1"/>
    <w:rsid w:val="5D657D32"/>
    <w:rsid w:val="5D6609C6"/>
    <w:rsid w:val="5D66178D"/>
    <w:rsid w:val="5D661F0D"/>
    <w:rsid w:val="5D665A1A"/>
    <w:rsid w:val="5D670658"/>
    <w:rsid w:val="5D6748B5"/>
    <w:rsid w:val="5D675118"/>
    <w:rsid w:val="5D6761CF"/>
    <w:rsid w:val="5D67698B"/>
    <w:rsid w:val="5D68036C"/>
    <w:rsid w:val="5D681792"/>
    <w:rsid w:val="5D683540"/>
    <w:rsid w:val="5D695555"/>
    <w:rsid w:val="5D6A50D8"/>
    <w:rsid w:val="5D6B1282"/>
    <w:rsid w:val="5D6B3B7D"/>
    <w:rsid w:val="5D6B3CB0"/>
    <w:rsid w:val="5D6B5921"/>
    <w:rsid w:val="5D6D0B56"/>
    <w:rsid w:val="5D6D6DA8"/>
    <w:rsid w:val="5D6D7849"/>
    <w:rsid w:val="5D6E061C"/>
    <w:rsid w:val="5D6E0B26"/>
    <w:rsid w:val="5D6E0CD9"/>
    <w:rsid w:val="5D6E17C1"/>
    <w:rsid w:val="5D6E241A"/>
    <w:rsid w:val="5D6F375E"/>
    <w:rsid w:val="5D6F544E"/>
    <w:rsid w:val="5D6F5BDF"/>
    <w:rsid w:val="5D6F65A3"/>
    <w:rsid w:val="5D703BF4"/>
    <w:rsid w:val="5D706720"/>
    <w:rsid w:val="5D706898"/>
    <w:rsid w:val="5D707F26"/>
    <w:rsid w:val="5D716287"/>
    <w:rsid w:val="5D716D12"/>
    <w:rsid w:val="5D720862"/>
    <w:rsid w:val="5D72222B"/>
    <w:rsid w:val="5D72383A"/>
    <w:rsid w:val="5D7243BE"/>
    <w:rsid w:val="5D731EE5"/>
    <w:rsid w:val="5D7336BB"/>
    <w:rsid w:val="5D733E13"/>
    <w:rsid w:val="5D7348C9"/>
    <w:rsid w:val="5D740137"/>
    <w:rsid w:val="5D74628C"/>
    <w:rsid w:val="5D750BAC"/>
    <w:rsid w:val="5D752101"/>
    <w:rsid w:val="5D7531E7"/>
    <w:rsid w:val="5D753619"/>
    <w:rsid w:val="5D764860"/>
    <w:rsid w:val="5D76595F"/>
    <w:rsid w:val="5D7719D5"/>
    <w:rsid w:val="5D775E79"/>
    <w:rsid w:val="5D7843A7"/>
    <w:rsid w:val="5D78609D"/>
    <w:rsid w:val="5D786B5D"/>
    <w:rsid w:val="5D78723B"/>
    <w:rsid w:val="5D792D3D"/>
    <w:rsid w:val="5D79399F"/>
    <w:rsid w:val="5D795086"/>
    <w:rsid w:val="5D79574D"/>
    <w:rsid w:val="5D795E20"/>
    <w:rsid w:val="5D7A14C5"/>
    <w:rsid w:val="5D7A1F6F"/>
    <w:rsid w:val="5D7A351C"/>
    <w:rsid w:val="5D7A395F"/>
    <w:rsid w:val="5D7A51C0"/>
    <w:rsid w:val="5D7A7717"/>
    <w:rsid w:val="5D7A7945"/>
    <w:rsid w:val="5D7B49AE"/>
    <w:rsid w:val="5D7C0074"/>
    <w:rsid w:val="5D7C241C"/>
    <w:rsid w:val="5D7C348F"/>
    <w:rsid w:val="5D7C4701"/>
    <w:rsid w:val="5D7C523D"/>
    <w:rsid w:val="5D7D3803"/>
    <w:rsid w:val="5D7D663C"/>
    <w:rsid w:val="5D7E021E"/>
    <w:rsid w:val="5D7E0B92"/>
    <w:rsid w:val="5D7E2D63"/>
    <w:rsid w:val="5D7E36B8"/>
    <w:rsid w:val="5D7E38DB"/>
    <w:rsid w:val="5D7E7207"/>
    <w:rsid w:val="5D7F001D"/>
    <w:rsid w:val="5D7F0889"/>
    <w:rsid w:val="5D7F1C5E"/>
    <w:rsid w:val="5D7F3B30"/>
    <w:rsid w:val="5D7F3B9E"/>
    <w:rsid w:val="5D7F3C08"/>
    <w:rsid w:val="5D800180"/>
    <w:rsid w:val="5D807381"/>
    <w:rsid w:val="5D810AA5"/>
    <w:rsid w:val="5D81181A"/>
    <w:rsid w:val="5D812854"/>
    <w:rsid w:val="5D8132DE"/>
    <w:rsid w:val="5D814602"/>
    <w:rsid w:val="5D81714F"/>
    <w:rsid w:val="5D821D20"/>
    <w:rsid w:val="5D8231DF"/>
    <w:rsid w:val="5D82336E"/>
    <w:rsid w:val="5D830AB1"/>
    <w:rsid w:val="5D831FA8"/>
    <w:rsid w:val="5D8331B0"/>
    <w:rsid w:val="5D8342F1"/>
    <w:rsid w:val="5D83481E"/>
    <w:rsid w:val="5D834881"/>
    <w:rsid w:val="5D841B17"/>
    <w:rsid w:val="5D843E5C"/>
    <w:rsid w:val="5D8440F2"/>
    <w:rsid w:val="5D844640"/>
    <w:rsid w:val="5D845E20"/>
    <w:rsid w:val="5D845EA0"/>
    <w:rsid w:val="5D846B5A"/>
    <w:rsid w:val="5D850596"/>
    <w:rsid w:val="5D852344"/>
    <w:rsid w:val="5D855F42"/>
    <w:rsid w:val="5D8564A4"/>
    <w:rsid w:val="5D861B31"/>
    <w:rsid w:val="5D861F38"/>
    <w:rsid w:val="5D865889"/>
    <w:rsid w:val="5D8660BC"/>
    <w:rsid w:val="5D866963"/>
    <w:rsid w:val="5D866F60"/>
    <w:rsid w:val="5D867E6A"/>
    <w:rsid w:val="5D867FC0"/>
    <w:rsid w:val="5D870E20"/>
    <w:rsid w:val="5D8722B7"/>
    <w:rsid w:val="5D8772D3"/>
    <w:rsid w:val="5D880229"/>
    <w:rsid w:val="5D881A0D"/>
    <w:rsid w:val="5D881E34"/>
    <w:rsid w:val="5D885B92"/>
    <w:rsid w:val="5D887378"/>
    <w:rsid w:val="5D887D08"/>
    <w:rsid w:val="5D89143D"/>
    <w:rsid w:val="5D8958E1"/>
    <w:rsid w:val="5D8A5BAC"/>
    <w:rsid w:val="5D8A795A"/>
    <w:rsid w:val="5D8B0440"/>
    <w:rsid w:val="5D8B1FAD"/>
    <w:rsid w:val="5D8B218C"/>
    <w:rsid w:val="5D8B36D2"/>
    <w:rsid w:val="5D8B5480"/>
    <w:rsid w:val="5D8C0945"/>
    <w:rsid w:val="5D8C3E39"/>
    <w:rsid w:val="5D8C52B5"/>
    <w:rsid w:val="5D8D0140"/>
    <w:rsid w:val="5D8D5CDD"/>
    <w:rsid w:val="5D8D6B59"/>
    <w:rsid w:val="5D8D7359"/>
    <w:rsid w:val="5D8E7F07"/>
    <w:rsid w:val="5D8F1753"/>
    <w:rsid w:val="5D8F4F70"/>
    <w:rsid w:val="5D8F5F73"/>
    <w:rsid w:val="5D8F6D1E"/>
    <w:rsid w:val="5D8F7BE9"/>
    <w:rsid w:val="5D901979"/>
    <w:rsid w:val="5D91293B"/>
    <w:rsid w:val="5D9131E9"/>
    <w:rsid w:val="5D9162D0"/>
    <w:rsid w:val="5D9205BD"/>
    <w:rsid w:val="5D921587"/>
    <w:rsid w:val="5D921815"/>
    <w:rsid w:val="5D924A61"/>
    <w:rsid w:val="5D9345FC"/>
    <w:rsid w:val="5D934A4B"/>
    <w:rsid w:val="5D9407D9"/>
    <w:rsid w:val="5D941B1E"/>
    <w:rsid w:val="5D942156"/>
    <w:rsid w:val="5D942587"/>
    <w:rsid w:val="5D9451A9"/>
    <w:rsid w:val="5D946A3D"/>
    <w:rsid w:val="5D947C54"/>
    <w:rsid w:val="5D950196"/>
    <w:rsid w:val="5D9543AA"/>
    <w:rsid w:val="5D9555C5"/>
    <w:rsid w:val="5D9562FF"/>
    <w:rsid w:val="5D962BBC"/>
    <w:rsid w:val="5D963292"/>
    <w:rsid w:val="5D963CCA"/>
    <w:rsid w:val="5D965FD0"/>
    <w:rsid w:val="5D966A55"/>
    <w:rsid w:val="5D9678FB"/>
    <w:rsid w:val="5D967B2A"/>
    <w:rsid w:val="5D9702C9"/>
    <w:rsid w:val="5D971D26"/>
    <w:rsid w:val="5D972AB6"/>
    <w:rsid w:val="5D973050"/>
    <w:rsid w:val="5D976B3F"/>
    <w:rsid w:val="5D976E4C"/>
    <w:rsid w:val="5D982B96"/>
    <w:rsid w:val="5D984274"/>
    <w:rsid w:val="5D98780A"/>
    <w:rsid w:val="5D9903D4"/>
    <w:rsid w:val="5D99194B"/>
    <w:rsid w:val="5D995DEF"/>
    <w:rsid w:val="5D997B9D"/>
    <w:rsid w:val="5D9A41C8"/>
    <w:rsid w:val="5D9A49D4"/>
    <w:rsid w:val="5D9B1436"/>
    <w:rsid w:val="5D9B28C6"/>
    <w:rsid w:val="5D9B29EF"/>
    <w:rsid w:val="5D9B34F7"/>
    <w:rsid w:val="5D9B4780"/>
    <w:rsid w:val="5D9B6B5A"/>
    <w:rsid w:val="5D9C35BD"/>
    <w:rsid w:val="5D9C58DF"/>
    <w:rsid w:val="5D9C7C1E"/>
    <w:rsid w:val="5D9D1B16"/>
    <w:rsid w:val="5D9D3F34"/>
    <w:rsid w:val="5D9D6927"/>
    <w:rsid w:val="5D9D767D"/>
    <w:rsid w:val="5D9E1657"/>
    <w:rsid w:val="5D9E51B4"/>
    <w:rsid w:val="5D9F0F2C"/>
    <w:rsid w:val="5D9F1078"/>
    <w:rsid w:val="5D9F590E"/>
    <w:rsid w:val="5DA0062D"/>
    <w:rsid w:val="5DA052A8"/>
    <w:rsid w:val="5DA0717E"/>
    <w:rsid w:val="5DA13B67"/>
    <w:rsid w:val="5DA14CA4"/>
    <w:rsid w:val="5DA16931"/>
    <w:rsid w:val="5DA16D2F"/>
    <w:rsid w:val="5DA220FA"/>
    <w:rsid w:val="5DA23C41"/>
    <w:rsid w:val="5DA309D1"/>
    <w:rsid w:val="5DA30A1C"/>
    <w:rsid w:val="5DA32799"/>
    <w:rsid w:val="5DA327CA"/>
    <w:rsid w:val="5DA33C1E"/>
    <w:rsid w:val="5DA347E4"/>
    <w:rsid w:val="5DA402F0"/>
    <w:rsid w:val="5DA41BA7"/>
    <w:rsid w:val="5DA41C1A"/>
    <w:rsid w:val="5DA43064"/>
    <w:rsid w:val="5DA459B3"/>
    <w:rsid w:val="5DA45F37"/>
    <w:rsid w:val="5DA51B22"/>
    <w:rsid w:val="5DA52FE5"/>
    <w:rsid w:val="5DA53BC7"/>
    <w:rsid w:val="5DA543FA"/>
    <w:rsid w:val="5DA54794"/>
    <w:rsid w:val="5DA547F7"/>
    <w:rsid w:val="5DA54E78"/>
    <w:rsid w:val="5DA550B9"/>
    <w:rsid w:val="5DA6050C"/>
    <w:rsid w:val="5DA60978"/>
    <w:rsid w:val="5DA622BA"/>
    <w:rsid w:val="5DA64068"/>
    <w:rsid w:val="5DA64593"/>
    <w:rsid w:val="5DA65EFA"/>
    <w:rsid w:val="5DA76336"/>
    <w:rsid w:val="5DA80DA7"/>
    <w:rsid w:val="5DA83A3A"/>
    <w:rsid w:val="5DA95699"/>
    <w:rsid w:val="5DA97014"/>
    <w:rsid w:val="5DAA0F2B"/>
    <w:rsid w:val="5DAA3B58"/>
    <w:rsid w:val="5DAA3FE1"/>
    <w:rsid w:val="5DAA45A4"/>
    <w:rsid w:val="5DAA46C9"/>
    <w:rsid w:val="5DAA5DDB"/>
    <w:rsid w:val="5DAA7A9B"/>
    <w:rsid w:val="5DAB0597"/>
    <w:rsid w:val="5DAB77EA"/>
    <w:rsid w:val="5DAC1254"/>
    <w:rsid w:val="5DAC1712"/>
    <w:rsid w:val="5DAC1D02"/>
    <w:rsid w:val="5DAC384B"/>
    <w:rsid w:val="5DAC3DBC"/>
    <w:rsid w:val="5DAC494D"/>
    <w:rsid w:val="5DAD3649"/>
    <w:rsid w:val="5DAD3FDC"/>
    <w:rsid w:val="5DAD53F7"/>
    <w:rsid w:val="5DAD7AF0"/>
    <w:rsid w:val="5DAE1B10"/>
    <w:rsid w:val="5DAE5877"/>
    <w:rsid w:val="5DAE6832"/>
    <w:rsid w:val="5DAF116F"/>
    <w:rsid w:val="5DAF5613"/>
    <w:rsid w:val="5DAF6DC6"/>
    <w:rsid w:val="5DB0168E"/>
    <w:rsid w:val="5DB02219"/>
    <w:rsid w:val="5DB029E6"/>
    <w:rsid w:val="5DB032FB"/>
    <w:rsid w:val="5DB04CDC"/>
    <w:rsid w:val="5DB04EE7"/>
    <w:rsid w:val="5DB06256"/>
    <w:rsid w:val="5DB06C95"/>
    <w:rsid w:val="5DB1138B"/>
    <w:rsid w:val="5DB12CE2"/>
    <w:rsid w:val="5DB12F27"/>
    <w:rsid w:val="5DB13B05"/>
    <w:rsid w:val="5DB1622D"/>
    <w:rsid w:val="5DB2281B"/>
    <w:rsid w:val="5DB244B6"/>
    <w:rsid w:val="5DB245A1"/>
    <w:rsid w:val="5DB26EB1"/>
    <w:rsid w:val="5DB306D6"/>
    <w:rsid w:val="5DB30AEF"/>
    <w:rsid w:val="5DB30B4D"/>
    <w:rsid w:val="5DB30BC1"/>
    <w:rsid w:val="5DB30FC2"/>
    <w:rsid w:val="5DB3325D"/>
    <w:rsid w:val="5DB339D6"/>
    <w:rsid w:val="5DB359EA"/>
    <w:rsid w:val="5DB41A1A"/>
    <w:rsid w:val="5DB41FDD"/>
    <w:rsid w:val="5DB42C29"/>
    <w:rsid w:val="5DB46785"/>
    <w:rsid w:val="5DB47740"/>
    <w:rsid w:val="5DB50C67"/>
    <w:rsid w:val="5DB51E47"/>
    <w:rsid w:val="5DB524FD"/>
    <w:rsid w:val="5DB531F1"/>
    <w:rsid w:val="5DB53F4F"/>
    <w:rsid w:val="5DB5461A"/>
    <w:rsid w:val="5DB55C4C"/>
    <w:rsid w:val="5DB6074F"/>
    <w:rsid w:val="5DB60B1C"/>
    <w:rsid w:val="5DB61AE2"/>
    <w:rsid w:val="5DB633CA"/>
    <w:rsid w:val="5DB67A98"/>
    <w:rsid w:val="5DB70023"/>
    <w:rsid w:val="5DB70BC5"/>
    <w:rsid w:val="5DB727A3"/>
    <w:rsid w:val="5DB73058"/>
    <w:rsid w:val="5DB76275"/>
    <w:rsid w:val="5DB82482"/>
    <w:rsid w:val="5DB830C8"/>
    <w:rsid w:val="5DB8352F"/>
    <w:rsid w:val="5DB8393B"/>
    <w:rsid w:val="5DB91FED"/>
    <w:rsid w:val="5DB926F2"/>
    <w:rsid w:val="5DB93D9B"/>
    <w:rsid w:val="5DB979C5"/>
    <w:rsid w:val="5DBA021A"/>
    <w:rsid w:val="5DBA1429"/>
    <w:rsid w:val="5DBA41D6"/>
    <w:rsid w:val="5DBA75C6"/>
    <w:rsid w:val="5DBA7B13"/>
    <w:rsid w:val="5DBB1EB0"/>
    <w:rsid w:val="5DBB5D65"/>
    <w:rsid w:val="5DBB7408"/>
    <w:rsid w:val="5DBC3D60"/>
    <w:rsid w:val="5DBC7D30"/>
    <w:rsid w:val="5DBD19CB"/>
    <w:rsid w:val="5DBE3DC1"/>
    <w:rsid w:val="5DBE5856"/>
    <w:rsid w:val="5DBE5C60"/>
    <w:rsid w:val="5DBE5CD8"/>
    <w:rsid w:val="5DBE7604"/>
    <w:rsid w:val="5DBF24B4"/>
    <w:rsid w:val="5DBF2719"/>
    <w:rsid w:val="5DBF512A"/>
    <w:rsid w:val="5DBF6207"/>
    <w:rsid w:val="5DBF70F0"/>
    <w:rsid w:val="5DBF79E3"/>
    <w:rsid w:val="5DC01C29"/>
    <w:rsid w:val="5DC02077"/>
    <w:rsid w:val="5DC02F4A"/>
    <w:rsid w:val="5DC03116"/>
    <w:rsid w:val="5DC10EA2"/>
    <w:rsid w:val="5DC1219E"/>
    <w:rsid w:val="5DC126BE"/>
    <w:rsid w:val="5DC13151"/>
    <w:rsid w:val="5DC15346"/>
    <w:rsid w:val="5DC170F4"/>
    <w:rsid w:val="5DC20A76"/>
    <w:rsid w:val="5DC25A71"/>
    <w:rsid w:val="5DC27910"/>
    <w:rsid w:val="5DC310BE"/>
    <w:rsid w:val="5DC32E6C"/>
    <w:rsid w:val="5DC331FB"/>
    <w:rsid w:val="5DC33801"/>
    <w:rsid w:val="5DC34C1A"/>
    <w:rsid w:val="5DC371EB"/>
    <w:rsid w:val="5DC4212A"/>
    <w:rsid w:val="5DC42740"/>
    <w:rsid w:val="5DC436B8"/>
    <w:rsid w:val="5DC46574"/>
    <w:rsid w:val="5DC50992"/>
    <w:rsid w:val="5DC52F62"/>
    <w:rsid w:val="5DC55F9A"/>
    <w:rsid w:val="5DC57323"/>
    <w:rsid w:val="5DC61989"/>
    <w:rsid w:val="5DC62560"/>
    <w:rsid w:val="5DC6470A"/>
    <w:rsid w:val="5DC64FA3"/>
    <w:rsid w:val="5DC664B8"/>
    <w:rsid w:val="5DC7154B"/>
    <w:rsid w:val="5DC7527B"/>
    <w:rsid w:val="5DC752FD"/>
    <w:rsid w:val="5DC76549"/>
    <w:rsid w:val="5DC80482"/>
    <w:rsid w:val="5DC82230"/>
    <w:rsid w:val="5DC8414A"/>
    <w:rsid w:val="5DC866D4"/>
    <w:rsid w:val="5DC93374"/>
    <w:rsid w:val="5DC944B4"/>
    <w:rsid w:val="5DC96C82"/>
    <w:rsid w:val="5DCA244C"/>
    <w:rsid w:val="5DCA41FA"/>
    <w:rsid w:val="5DCA5944"/>
    <w:rsid w:val="5DCA5FA9"/>
    <w:rsid w:val="5DCA7D57"/>
    <w:rsid w:val="5DCB3ACF"/>
    <w:rsid w:val="5DCB5858"/>
    <w:rsid w:val="5DCC2E04"/>
    <w:rsid w:val="5DCC6063"/>
    <w:rsid w:val="5DCC728A"/>
    <w:rsid w:val="5DCD470F"/>
    <w:rsid w:val="5DCD7847"/>
    <w:rsid w:val="5DCE2552"/>
    <w:rsid w:val="5DCE561A"/>
    <w:rsid w:val="5DCE5755"/>
    <w:rsid w:val="5DCF1811"/>
    <w:rsid w:val="5DCF2497"/>
    <w:rsid w:val="5DCF3A41"/>
    <w:rsid w:val="5DCF5051"/>
    <w:rsid w:val="5DCF5727"/>
    <w:rsid w:val="5DCF7044"/>
    <w:rsid w:val="5DCF7A63"/>
    <w:rsid w:val="5DD00075"/>
    <w:rsid w:val="5DD00304"/>
    <w:rsid w:val="5DD0085C"/>
    <w:rsid w:val="5DD02B36"/>
    <w:rsid w:val="5DD02B68"/>
    <w:rsid w:val="5DD02DCD"/>
    <w:rsid w:val="5DD07337"/>
    <w:rsid w:val="5DD07E46"/>
    <w:rsid w:val="5DD10C6D"/>
    <w:rsid w:val="5DD10F21"/>
    <w:rsid w:val="5DD111A1"/>
    <w:rsid w:val="5DD17F47"/>
    <w:rsid w:val="5DD2630F"/>
    <w:rsid w:val="5DD26CE9"/>
    <w:rsid w:val="5DD36223"/>
    <w:rsid w:val="5DD378E6"/>
    <w:rsid w:val="5DD41DA3"/>
    <w:rsid w:val="5DD51DF1"/>
    <w:rsid w:val="5DD532B4"/>
    <w:rsid w:val="5DD563A5"/>
    <w:rsid w:val="5DD56FF0"/>
    <w:rsid w:val="5DD570E8"/>
    <w:rsid w:val="5DD575E7"/>
    <w:rsid w:val="5DD60DF1"/>
    <w:rsid w:val="5DD623E4"/>
    <w:rsid w:val="5DD67BDE"/>
    <w:rsid w:val="5DD701D5"/>
    <w:rsid w:val="5DD706C5"/>
    <w:rsid w:val="5DD7322A"/>
    <w:rsid w:val="5DD73CFF"/>
    <w:rsid w:val="5DD744D0"/>
    <w:rsid w:val="5DD76352"/>
    <w:rsid w:val="5DD76917"/>
    <w:rsid w:val="5DD76949"/>
    <w:rsid w:val="5DD81818"/>
    <w:rsid w:val="5DD84E2C"/>
    <w:rsid w:val="5DD86E72"/>
    <w:rsid w:val="5DD87545"/>
    <w:rsid w:val="5DD915DE"/>
    <w:rsid w:val="5DD92690"/>
    <w:rsid w:val="5DD92868"/>
    <w:rsid w:val="5DD93039"/>
    <w:rsid w:val="5DD9443E"/>
    <w:rsid w:val="5DD946FC"/>
    <w:rsid w:val="5DD961EC"/>
    <w:rsid w:val="5DD96D88"/>
    <w:rsid w:val="5DD97B50"/>
    <w:rsid w:val="5DDA1FA8"/>
    <w:rsid w:val="5DDA4421"/>
    <w:rsid w:val="5DDA485D"/>
    <w:rsid w:val="5DDA5674"/>
    <w:rsid w:val="5DDA5CC5"/>
    <w:rsid w:val="5DDA6040"/>
    <w:rsid w:val="5DDA6087"/>
    <w:rsid w:val="5DDB01B6"/>
    <w:rsid w:val="5DDB1F64"/>
    <w:rsid w:val="5DDB2EC0"/>
    <w:rsid w:val="5DDB4C66"/>
    <w:rsid w:val="5DDB5771"/>
    <w:rsid w:val="5DDB6CD3"/>
    <w:rsid w:val="5DDB6ECD"/>
    <w:rsid w:val="5DDC067B"/>
    <w:rsid w:val="5DDC155D"/>
    <w:rsid w:val="5DDC3C01"/>
    <w:rsid w:val="5DDC5CDC"/>
    <w:rsid w:val="5DDC6FDF"/>
    <w:rsid w:val="5DDD2180"/>
    <w:rsid w:val="5DDD2FD5"/>
    <w:rsid w:val="5DDD66E6"/>
    <w:rsid w:val="5DDE2707"/>
    <w:rsid w:val="5DDE5721"/>
    <w:rsid w:val="5DDE6FA2"/>
    <w:rsid w:val="5DDF1F7B"/>
    <w:rsid w:val="5DDF3AD7"/>
    <w:rsid w:val="5DDF4B11"/>
    <w:rsid w:val="5DDF61F5"/>
    <w:rsid w:val="5DDF6716"/>
    <w:rsid w:val="5DE033D1"/>
    <w:rsid w:val="5DE03A1E"/>
    <w:rsid w:val="5DE04F42"/>
    <w:rsid w:val="5DE057CC"/>
    <w:rsid w:val="5DE0757A"/>
    <w:rsid w:val="5DE078B7"/>
    <w:rsid w:val="5DE10FFA"/>
    <w:rsid w:val="5DE11444"/>
    <w:rsid w:val="5DE11544"/>
    <w:rsid w:val="5DE11AD5"/>
    <w:rsid w:val="5DE132F2"/>
    <w:rsid w:val="5DE13BCB"/>
    <w:rsid w:val="5DE13C23"/>
    <w:rsid w:val="5DE162BB"/>
    <w:rsid w:val="5DE2257A"/>
    <w:rsid w:val="5DE2505B"/>
    <w:rsid w:val="5DE27796"/>
    <w:rsid w:val="5DE30E18"/>
    <w:rsid w:val="5DE32A87"/>
    <w:rsid w:val="5DE33A6D"/>
    <w:rsid w:val="5DE352BC"/>
    <w:rsid w:val="5DE364EB"/>
    <w:rsid w:val="5DE4135D"/>
    <w:rsid w:val="5DE42C54"/>
    <w:rsid w:val="5DE44DAF"/>
    <w:rsid w:val="5DE51034"/>
    <w:rsid w:val="5DE5254C"/>
    <w:rsid w:val="5DE52DE2"/>
    <w:rsid w:val="5DE54262"/>
    <w:rsid w:val="5DE54B90"/>
    <w:rsid w:val="5DE55025"/>
    <w:rsid w:val="5DE60909"/>
    <w:rsid w:val="5DE60D18"/>
    <w:rsid w:val="5DE61183"/>
    <w:rsid w:val="5DE634A4"/>
    <w:rsid w:val="5DE6366C"/>
    <w:rsid w:val="5DE639DC"/>
    <w:rsid w:val="5DE64FB2"/>
    <w:rsid w:val="5DE701B1"/>
    <w:rsid w:val="5DE70CA1"/>
    <w:rsid w:val="5DE7306E"/>
    <w:rsid w:val="5DE74DAC"/>
    <w:rsid w:val="5DE74E6C"/>
    <w:rsid w:val="5DE76D37"/>
    <w:rsid w:val="5DE77792"/>
    <w:rsid w:val="5DE80B25"/>
    <w:rsid w:val="5DE82408"/>
    <w:rsid w:val="5DE8281A"/>
    <w:rsid w:val="5DE828D3"/>
    <w:rsid w:val="5DE84681"/>
    <w:rsid w:val="5DE87ACD"/>
    <w:rsid w:val="5DE9484F"/>
    <w:rsid w:val="5DEA03F9"/>
    <w:rsid w:val="5DEA21A7"/>
    <w:rsid w:val="5DEA522D"/>
    <w:rsid w:val="5DEA664B"/>
    <w:rsid w:val="5DEA6FBF"/>
    <w:rsid w:val="5DEB5F1F"/>
    <w:rsid w:val="5DEB604E"/>
    <w:rsid w:val="5DEC1C6F"/>
    <w:rsid w:val="5DEC1DC1"/>
    <w:rsid w:val="5DEC23C3"/>
    <w:rsid w:val="5DEC281F"/>
    <w:rsid w:val="5DEC38ED"/>
    <w:rsid w:val="5DEC5F34"/>
    <w:rsid w:val="5DEC61DD"/>
    <w:rsid w:val="5DEC6A18"/>
    <w:rsid w:val="5DEC7DC2"/>
    <w:rsid w:val="5DED1C97"/>
    <w:rsid w:val="5DED5239"/>
    <w:rsid w:val="5DED613B"/>
    <w:rsid w:val="5DEE21C9"/>
    <w:rsid w:val="5DEE4E3F"/>
    <w:rsid w:val="5DEF1EB3"/>
    <w:rsid w:val="5DEF22BA"/>
    <w:rsid w:val="5DEF2382"/>
    <w:rsid w:val="5DEF3C61"/>
    <w:rsid w:val="5DEF4633"/>
    <w:rsid w:val="5DEF6BD9"/>
    <w:rsid w:val="5DF06A6F"/>
    <w:rsid w:val="5DF0765F"/>
    <w:rsid w:val="5DF10490"/>
    <w:rsid w:val="5DF15864"/>
    <w:rsid w:val="5DF179D9"/>
    <w:rsid w:val="5DF21D5D"/>
    <w:rsid w:val="5DF23751"/>
    <w:rsid w:val="5DF23D5D"/>
    <w:rsid w:val="5DF254FF"/>
    <w:rsid w:val="5DF272AD"/>
    <w:rsid w:val="5DF31958"/>
    <w:rsid w:val="5DF31D02"/>
    <w:rsid w:val="5DF336B2"/>
    <w:rsid w:val="5DF34C59"/>
    <w:rsid w:val="5DF35FE0"/>
    <w:rsid w:val="5DF41277"/>
    <w:rsid w:val="5DF42BD6"/>
    <w:rsid w:val="5DF43025"/>
    <w:rsid w:val="5DF43A4E"/>
    <w:rsid w:val="5DF440E4"/>
    <w:rsid w:val="5DF474C9"/>
    <w:rsid w:val="5DF47726"/>
    <w:rsid w:val="5DF50115"/>
    <w:rsid w:val="5DF5035A"/>
    <w:rsid w:val="5DF50B4C"/>
    <w:rsid w:val="5DF50F39"/>
    <w:rsid w:val="5DF52180"/>
    <w:rsid w:val="5DF53A27"/>
    <w:rsid w:val="5DF63241"/>
    <w:rsid w:val="5DF634CD"/>
    <w:rsid w:val="5DF64FF0"/>
    <w:rsid w:val="5DF7163A"/>
    <w:rsid w:val="5DF71985"/>
    <w:rsid w:val="5DF72B16"/>
    <w:rsid w:val="5DF748C4"/>
    <w:rsid w:val="5DF76331"/>
    <w:rsid w:val="5DF76FFF"/>
    <w:rsid w:val="5DF9063C"/>
    <w:rsid w:val="5DF90711"/>
    <w:rsid w:val="5DF9083F"/>
    <w:rsid w:val="5DF94AE0"/>
    <w:rsid w:val="5DF968FA"/>
    <w:rsid w:val="5DF96D8A"/>
    <w:rsid w:val="5DFA3A1F"/>
    <w:rsid w:val="5DFA5259"/>
    <w:rsid w:val="5DFA7281"/>
    <w:rsid w:val="5DFB0858"/>
    <w:rsid w:val="5DFB0C2B"/>
    <w:rsid w:val="5DFB1EA9"/>
    <w:rsid w:val="5DFB2606"/>
    <w:rsid w:val="5DFB7F34"/>
    <w:rsid w:val="5DFC012C"/>
    <w:rsid w:val="5DFC08AB"/>
    <w:rsid w:val="5DFC351B"/>
    <w:rsid w:val="5DFC3D6C"/>
    <w:rsid w:val="5DFC4D8E"/>
    <w:rsid w:val="5DFC4E8C"/>
    <w:rsid w:val="5DFC6EB7"/>
    <w:rsid w:val="5DFD0EA1"/>
    <w:rsid w:val="5DFD2E6F"/>
    <w:rsid w:val="5DFD4A20"/>
    <w:rsid w:val="5DFD71B1"/>
    <w:rsid w:val="5DFE0AC8"/>
    <w:rsid w:val="5DFE1736"/>
    <w:rsid w:val="5DFE20F6"/>
    <w:rsid w:val="5DFE2D8B"/>
    <w:rsid w:val="5DFE336E"/>
    <w:rsid w:val="5DFE3EA4"/>
    <w:rsid w:val="5DFE5ACF"/>
    <w:rsid w:val="5DFF1377"/>
    <w:rsid w:val="5E0019CA"/>
    <w:rsid w:val="5E0050D3"/>
    <w:rsid w:val="5E005E6E"/>
    <w:rsid w:val="5E007D87"/>
    <w:rsid w:val="5E01622C"/>
    <w:rsid w:val="5E021BE6"/>
    <w:rsid w:val="5E025E27"/>
    <w:rsid w:val="5E026CF4"/>
    <w:rsid w:val="5E027D54"/>
    <w:rsid w:val="5E032031"/>
    <w:rsid w:val="5E0320ED"/>
    <w:rsid w:val="5E03241E"/>
    <w:rsid w:val="5E033269"/>
    <w:rsid w:val="5E036BFE"/>
    <w:rsid w:val="5E03717E"/>
    <w:rsid w:val="5E037450"/>
    <w:rsid w:val="5E041DC0"/>
    <w:rsid w:val="5E042443"/>
    <w:rsid w:val="5E042A52"/>
    <w:rsid w:val="5E043D35"/>
    <w:rsid w:val="5E043D38"/>
    <w:rsid w:val="5E046916"/>
    <w:rsid w:val="5E046A15"/>
    <w:rsid w:val="5E046F65"/>
    <w:rsid w:val="5E04746A"/>
    <w:rsid w:val="5E047B9E"/>
    <w:rsid w:val="5E047DBF"/>
    <w:rsid w:val="5E0527C8"/>
    <w:rsid w:val="5E053485"/>
    <w:rsid w:val="5E053D08"/>
    <w:rsid w:val="5E055516"/>
    <w:rsid w:val="5E0619A0"/>
    <w:rsid w:val="5E062D59"/>
    <w:rsid w:val="5E064DB1"/>
    <w:rsid w:val="5E0672D1"/>
    <w:rsid w:val="5E0700D7"/>
    <w:rsid w:val="5E07263F"/>
    <w:rsid w:val="5E0802F5"/>
    <w:rsid w:val="5E08087F"/>
    <w:rsid w:val="5E0835D4"/>
    <w:rsid w:val="5E084742"/>
    <w:rsid w:val="5E084D23"/>
    <w:rsid w:val="5E0A1696"/>
    <w:rsid w:val="5E0A2849"/>
    <w:rsid w:val="5E0A295E"/>
    <w:rsid w:val="5E0A7A36"/>
    <w:rsid w:val="5E0B036F"/>
    <w:rsid w:val="5E0B5101"/>
    <w:rsid w:val="5E0C1527"/>
    <w:rsid w:val="5E0C3FF9"/>
    <w:rsid w:val="5E0C4813"/>
    <w:rsid w:val="5E0D137B"/>
    <w:rsid w:val="5E0D1A93"/>
    <w:rsid w:val="5E0D2339"/>
    <w:rsid w:val="5E0D4632"/>
    <w:rsid w:val="5E0E614F"/>
    <w:rsid w:val="5E0E6926"/>
    <w:rsid w:val="5E0F1705"/>
    <w:rsid w:val="5E0F4B11"/>
    <w:rsid w:val="5E0F60B1"/>
    <w:rsid w:val="5E0F6395"/>
    <w:rsid w:val="5E0F7E5F"/>
    <w:rsid w:val="5E1014C1"/>
    <w:rsid w:val="5E10181F"/>
    <w:rsid w:val="5E101F5A"/>
    <w:rsid w:val="5E103C56"/>
    <w:rsid w:val="5E1051A2"/>
    <w:rsid w:val="5E1110F8"/>
    <w:rsid w:val="5E111D4F"/>
    <w:rsid w:val="5E111E29"/>
    <w:rsid w:val="5E113BD7"/>
    <w:rsid w:val="5E113DFC"/>
    <w:rsid w:val="5E113FB3"/>
    <w:rsid w:val="5E114EA9"/>
    <w:rsid w:val="5E115985"/>
    <w:rsid w:val="5E1229F9"/>
    <w:rsid w:val="5E124E3C"/>
    <w:rsid w:val="5E1279C4"/>
    <w:rsid w:val="5E130B8B"/>
    <w:rsid w:val="5E131AE1"/>
    <w:rsid w:val="5E135BA1"/>
    <w:rsid w:val="5E141040"/>
    <w:rsid w:val="5E14191A"/>
    <w:rsid w:val="5E141A79"/>
    <w:rsid w:val="5E1436C8"/>
    <w:rsid w:val="5E1471B5"/>
    <w:rsid w:val="5E147B10"/>
    <w:rsid w:val="5E151814"/>
    <w:rsid w:val="5E15204D"/>
    <w:rsid w:val="5E155E85"/>
    <w:rsid w:val="5E1634FC"/>
    <w:rsid w:val="5E1642AA"/>
    <w:rsid w:val="5E174F66"/>
    <w:rsid w:val="5E1753DB"/>
    <w:rsid w:val="5E176134"/>
    <w:rsid w:val="5E1831B8"/>
    <w:rsid w:val="5E190CDE"/>
    <w:rsid w:val="5E1977D5"/>
    <w:rsid w:val="5E1A0379"/>
    <w:rsid w:val="5E1A24E8"/>
    <w:rsid w:val="5E1A3862"/>
    <w:rsid w:val="5E1A4235"/>
    <w:rsid w:val="5E1A4FFD"/>
    <w:rsid w:val="5E1A7122"/>
    <w:rsid w:val="5E1A7295"/>
    <w:rsid w:val="5E1B195C"/>
    <w:rsid w:val="5E1B3D5C"/>
    <w:rsid w:val="5E1B4A56"/>
    <w:rsid w:val="5E1B5103"/>
    <w:rsid w:val="5E1B6804"/>
    <w:rsid w:val="5E1C24AD"/>
    <w:rsid w:val="5E1C410A"/>
    <w:rsid w:val="5E1C432A"/>
    <w:rsid w:val="5E1C51EC"/>
    <w:rsid w:val="5E1C66D3"/>
    <w:rsid w:val="5E1D102D"/>
    <w:rsid w:val="5E1D5784"/>
    <w:rsid w:val="5E1E00A2"/>
    <w:rsid w:val="5E1E0C90"/>
    <w:rsid w:val="5E1E1915"/>
    <w:rsid w:val="5E1E3C5B"/>
    <w:rsid w:val="5E1E4546"/>
    <w:rsid w:val="5E1E4DA0"/>
    <w:rsid w:val="5E1E62F4"/>
    <w:rsid w:val="5E1E7CB3"/>
    <w:rsid w:val="5E1F38FC"/>
    <w:rsid w:val="5E1F3AF8"/>
    <w:rsid w:val="5E1F6927"/>
    <w:rsid w:val="5E20206C"/>
    <w:rsid w:val="5E203E1A"/>
    <w:rsid w:val="5E204E78"/>
    <w:rsid w:val="5E212866"/>
    <w:rsid w:val="5E2161BF"/>
    <w:rsid w:val="5E2168EE"/>
    <w:rsid w:val="5E2200B6"/>
    <w:rsid w:val="5E2224EE"/>
    <w:rsid w:val="5E225DE5"/>
    <w:rsid w:val="5E227B93"/>
    <w:rsid w:val="5E232A79"/>
    <w:rsid w:val="5E234800"/>
    <w:rsid w:val="5E237D0D"/>
    <w:rsid w:val="5E242036"/>
    <w:rsid w:val="5E245B93"/>
    <w:rsid w:val="5E24654F"/>
    <w:rsid w:val="5E246639"/>
    <w:rsid w:val="5E246AC6"/>
    <w:rsid w:val="5E250774"/>
    <w:rsid w:val="5E250ED0"/>
    <w:rsid w:val="5E2542F6"/>
    <w:rsid w:val="5E25629E"/>
    <w:rsid w:val="5E2600E3"/>
    <w:rsid w:val="5E261AA4"/>
    <w:rsid w:val="5E263627"/>
    <w:rsid w:val="5E2636F4"/>
    <w:rsid w:val="5E264F67"/>
    <w:rsid w:val="5E265285"/>
    <w:rsid w:val="5E266B24"/>
    <w:rsid w:val="5E27164D"/>
    <w:rsid w:val="5E271CE1"/>
    <w:rsid w:val="5E272426"/>
    <w:rsid w:val="5E2733FB"/>
    <w:rsid w:val="5E273B3C"/>
    <w:rsid w:val="5E274D72"/>
    <w:rsid w:val="5E280F21"/>
    <w:rsid w:val="5E281C48"/>
    <w:rsid w:val="5E282CCF"/>
    <w:rsid w:val="5E28378F"/>
    <w:rsid w:val="5E284C1F"/>
    <w:rsid w:val="5E287CCF"/>
    <w:rsid w:val="5E29133F"/>
    <w:rsid w:val="5E2947C6"/>
    <w:rsid w:val="5E294DBD"/>
    <w:rsid w:val="5E2977F0"/>
    <w:rsid w:val="5E2A0C80"/>
    <w:rsid w:val="5E2A2569"/>
    <w:rsid w:val="5E2A25B2"/>
    <w:rsid w:val="5E2A2EEB"/>
    <w:rsid w:val="5E2A3F68"/>
    <w:rsid w:val="5E2A45F1"/>
    <w:rsid w:val="5E2A6373"/>
    <w:rsid w:val="5E2A6A47"/>
    <w:rsid w:val="5E2B0704"/>
    <w:rsid w:val="5E2B5A4E"/>
    <w:rsid w:val="5E2C0A11"/>
    <w:rsid w:val="5E2C2851"/>
    <w:rsid w:val="5E2C6C63"/>
    <w:rsid w:val="5E2D2E8B"/>
    <w:rsid w:val="5E2D4A30"/>
    <w:rsid w:val="5E2D5305"/>
    <w:rsid w:val="5E2D6537"/>
    <w:rsid w:val="5E2D7601"/>
    <w:rsid w:val="5E2E0A91"/>
    <w:rsid w:val="5E2E19DF"/>
    <w:rsid w:val="5E2E29DB"/>
    <w:rsid w:val="5E2E2BC4"/>
    <w:rsid w:val="5E2F036C"/>
    <w:rsid w:val="5E2F0501"/>
    <w:rsid w:val="5E2F22B0"/>
    <w:rsid w:val="5E2F30BA"/>
    <w:rsid w:val="5E2F7D75"/>
    <w:rsid w:val="5E3024BF"/>
    <w:rsid w:val="5E30357F"/>
    <w:rsid w:val="5E310815"/>
    <w:rsid w:val="5E310B53"/>
    <w:rsid w:val="5E311551"/>
    <w:rsid w:val="5E311643"/>
    <w:rsid w:val="5E3120A8"/>
    <w:rsid w:val="5E313273"/>
    <w:rsid w:val="5E313974"/>
    <w:rsid w:val="5E31427A"/>
    <w:rsid w:val="5E315831"/>
    <w:rsid w:val="5E316028"/>
    <w:rsid w:val="5E317DD6"/>
    <w:rsid w:val="5E320747"/>
    <w:rsid w:val="5E32112A"/>
    <w:rsid w:val="5E3239CA"/>
    <w:rsid w:val="5E3242FA"/>
    <w:rsid w:val="5E327542"/>
    <w:rsid w:val="5E3308A2"/>
    <w:rsid w:val="5E331DA0"/>
    <w:rsid w:val="5E33507F"/>
    <w:rsid w:val="5E337FF2"/>
    <w:rsid w:val="5E344AE2"/>
    <w:rsid w:val="5E3450C3"/>
    <w:rsid w:val="5E3457D5"/>
    <w:rsid w:val="5E34602F"/>
    <w:rsid w:val="5E3478C6"/>
    <w:rsid w:val="5E351E1B"/>
    <w:rsid w:val="5E351E20"/>
    <w:rsid w:val="5E354E3C"/>
    <w:rsid w:val="5E361890"/>
    <w:rsid w:val="5E364C03"/>
    <w:rsid w:val="5E36692A"/>
    <w:rsid w:val="5E3721D5"/>
    <w:rsid w:val="5E3735CA"/>
    <w:rsid w:val="5E37533D"/>
    <w:rsid w:val="5E376B39"/>
    <w:rsid w:val="5E3775FA"/>
    <w:rsid w:val="5E3834DC"/>
    <w:rsid w:val="5E3847D9"/>
    <w:rsid w:val="5E385608"/>
    <w:rsid w:val="5E3873B6"/>
    <w:rsid w:val="5E390185"/>
    <w:rsid w:val="5E391380"/>
    <w:rsid w:val="5E392465"/>
    <w:rsid w:val="5E39312E"/>
    <w:rsid w:val="5E394EDC"/>
    <w:rsid w:val="5E3A1FD1"/>
    <w:rsid w:val="5E3A214C"/>
    <w:rsid w:val="5E3A6C2F"/>
    <w:rsid w:val="5E3A7E42"/>
    <w:rsid w:val="5E3B2ACC"/>
    <w:rsid w:val="5E3B306F"/>
    <w:rsid w:val="5E3B38E1"/>
    <w:rsid w:val="5E3B7D36"/>
    <w:rsid w:val="5E3C373D"/>
    <w:rsid w:val="5E3C677A"/>
    <w:rsid w:val="5E3D49CC"/>
    <w:rsid w:val="5E3D6467"/>
    <w:rsid w:val="5E3D69D8"/>
    <w:rsid w:val="5E3E0745"/>
    <w:rsid w:val="5E3E24F3"/>
    <w:rsid w:val="5E3E2C98"/>
    <w:rsid w:val="5E3E2F95"/>
    <w:rsid w:val="5E3E53FC"/>
    <w:rsid w:val="5E3E66CB"/>
    <w:rsid w:val="5E3E6996"/>
    <w:rsid w:val="5E3E69DA"/>
    <w:rsid w:val="5E3F5C98"/>
    <w:rsid w:val="5E3F6786"/>
    <w:rsid w:val="5E4005E5"/>
    <w:rsid w:val="5E40066C"/>
    <w:rsid w:val="5E400EC6"/>
    <w:rsid w:val="5E40270F"/>
    <w:rsid w:val="5E40359B"/>
    <w:rsid w:val="5E410A3F"/>
    <w:rsid w:val="5E410E2B"/>
    <w:rsid w:val="5E4133E5"/>
    <w:rsid w:val="5E41379B"/>
    <w:rsid w:val="5E413D91"/>
    <w:rsid w:val="5E417129"/>
    <w:rsid w:val="5E420235"/>
    <w:rsid w:val="5E423BA6"/>
    <w:rsid w:val="5E425EC0"/>
    <w:rsid w:val="5E4331C0"/>
    <w:rsid w:val="5E43452D"/>
    <w:rsid w:val="5E435D5B"/>
    <w:rsid w:val="5E437B09"/>
    <w:rsid w:val="5E4426FE"/>
    <w:rsid w:val="5E442CB7"/>
    <w:rsid w:val="5E443A70"/>
    <w:rsid w:val="5E446EBF"/>
    <w:rsid w:val="5E447901"/>
    <w:rsid w:val="5E4505BD"/>
    <w:rsid w:val="5E451834"/>
    <w:rsid w:val="5E454EA8"/>
    <w:rsid w:val="5E4562C8"/>
    <w:rsid w:val="5E4600D8"/>
    <w:rsid w:val="5E460981"/>
    <w:rsid w:val="5E46313D"/>
    <w:rsid w:val="5E466A05"/>
    <w:rsid w:val="5E4722DF"/>
    <w:rsid w:val="5E4736A0"/>
    <w:rsid w:val="5E4748D2"/>
    <w:rsid w:val="5E47584B"/>
    <w:rsid w:val="5E4775F9"/>
    <w:rsid w:val="5E48659D"/>
    <w:rsid w:val="5E486963"/>
    <w:rsid w:val="5E494E44"/>
    <w:rsid w:val="5E4A026A"/>
    <w:rsid w:val="5E4A2CDD"/>
    <w:rsid w:val="5E4A544A"/>
    <w:rsid w:val="5E4A70E9"/>
    <w:rsid w:val="5E4A7B05"/>
    <w:rsid w:val="5E4A7EF0"/>
    <w:rsid w:val="5E4B1A6A"/>
    <w:rsid w:val="5E4B2CBC"/>
    <w:rsid w:val="5E4B327F"/>
    <w:rsid w:val="5E4B4F0E"/>
    <w:rsid w:val="5E4C0427"/>
    <w:rsid w:val="5E4C10B3"/>
    <w:rsid w:val="5E4C24E4"/>
    <w:rsid w:val="5E4C2E61"/>
    <w:rsid w:val="5E4C6AA4"/>
    <w:rsid w:val="5E4C7578"/>
    <w:rsid w:val="5E4C7A24"/>
    <w:rsid w:val="5E4C7C20"/>
    <w:rsid w:val="5E4D2736"/>
    <w:rsid w:val="5E4E06A6"/>
    <w:rsid w:val="5E4E4834"/>
    <w:rsid w:val="5E4F056A"/>
    <w:rsid w:val="5E4F2952"/>
    <w:rsid w:val="5E4F34F7"/>
    <w:rsid w:val="5E4F4700"/>
    <w:rsid w:val="5E4F64AE"/>
    <w:rsid w:val="5E4F70D9"/>
    <w:rsid w:val="5E50299B"/>
    <w:rsid w:val="5E505003"/>
    <w:rsid w:val="5E515A83"/>
    <w:rsid w:val="5E515FC3"/>
    <w:rsid w:val="5E521D73"/>
    <w:rsid w:val="5E521F28"/>
    <w:rsid w:val="5E522449"/>
    <w:rsid w:val="5E5236D0"/>
    <w:rsid w:val="5E524F38"/>
    <w:rsid w:val="5E527056"/>
    <w:rsid w:val="5E527E8C"/>
    <w:rsid w:val="5E533339"/>
    <w:rsid w:val="5E5341F0"/>
    <w:rsid w:val="5E5403CF"/>
    <w:rsid w:val="5E541E21"/>
    <w:rsid w:val="5E542418"/>
    <w:rsid w:val="5E543AC4"/>
    <w:rsid w:val="5E544052"/>
    <w:rsid w:val="5E547C34"/>
    <w:rsid w:val="5E550B8D"/>
    <w:rsid w:val="5E5513D4"/>
    <w:rsid w:val="5E5548EA"/>
    <w:rsid w:val="5E560A76"/>
    <w:rsid w:val="5E563CB7"/>
    <w:rsid w:val="5E563CE0"/>
    <w:rsid w:val="5E565A8E"/>
    <w:rsid w:val="5E57156B"/>
    <w:rsid w:val="5E572030"/>
    <w:rsid w:val="5E572D1D"/>
    <w:rsid w:val="5E577622"/>
    <w:rsid w:val="5E5804B1"/>
    <w:rsid w:val="5E581806"/>
    <w:rsid w:val="5E5826DF"/>
    <w:rsid w:val="5E5835E8"/>
    <w:rsid w:val="5E583C85"/>
    <w:rsid w:val="5E583CFE"/>
    <w:rsid w:val="5E5847E2"/>
    <w:rsid w:val="5E586FC8"/>
    <w:rsid w:val="5E587A58"/>
    <w:rsid w:val="5E591C45"/>
    <w:rsid w:val="5E5932C5"/>
    <w:rsid w:val="5E59732C"/>
    <w:rsid w:val="5E5A1314"/>
    <w:rsid w:val="5E5A37D0"/>
    <w:rsid w:val="5E5A7025"/>
    <w:rsid w:val="5E5B12F6"/>
    <w:rsid w:val="5E5B2DF6"/>
    <w:rsid w:val="5E5B30A5"/>
    <w:rsid w:val="5E5B4913"/>
    <w:rsid w:val="5E5B4E53"/>
    <w:rsid w:val="5E5B62CD"/>
    <w:rsid w:val="5E5B7AAE"/>
    <w:rsid w:val="5E5C57BE"/>
    <w:rsid w:val="5E5C5A15"/>
    <w:rsid w:val="5E5C6162"/>
    <w:rsid w:val="5E5D0BCB"/>
    <w:rsid w:val="5E5D349E"/>
    <w:rsid w:val="5E5D3F0F"/>
    <w:rsid w:val="5E5D4EB0"/>
    <w:rsid w:val="5E5D506F"/>
    <w:rsid w:val="5E5D5321"/>
    <w:rsid w:val="5E5D5EDA"/>
    <w:rsid w:val="5E5E2B95"/>
    <w:rsid w:val="5E5E4943"/>
    <w:rsid w:val="5E5E5C71"/>
    <w:rsid w:val="5E5E5F0F"/>
    <w:rsid w:val="5E5E6A20"/>
    <w:rsid w:val="5E5F1000"/>
    <w:rsid w:val="5E5F5349"/>
    <w:rsid w:val="5E5F5A21"/>
    <w:rsid w:val="5E5F7204"/>
    <w:rsid w:val="5E600064"/>
    <w:rsid w:val="5E6006BB"/>
    <w:rsid w:val="5E602469"/>
    <w:rsid w:val="5E602490"/>
    <w:rsid w:val="5E617EAA"/>
    <w:rsid w:val="5E620D7D"/>
    <w:rsid w:val="5E621C20"/>
    <w:rsid w:val="5E622685"/>
    <w:rsid w:val="5E624DB0"/>
    <w:rsid w:val="5E6301AB"/>
    <w:rsid w:val="5E630729"/>
    <w:rsid w:val="5E631301"/>
    <w:rsid w:val="5E6313A9"/>
    <w:rsid w:val="5E63417B"/>
    <w:rsid w:val="5E63579F"/>
    <w:rsid w:val="5E636240"/>
    <w:rsid w:val="5E644E45"/>
    <w:rsid w:val="5E6460FC"/>
    <w:rsid w:val="5E650F54"/>
    <w:rsid w:val="5E65187C"/>
    <w:rsid w:val="5E651E79"/>
    <w:rsid w:val="5E661855"/>
    <w:rsid w:val="5E664434"/>
    <w:rsid w:val="5E6655EA"/>
    <w:rsid w:val="5E666A64"/>
    <w:rsid w:val="5E670212"/>
    <w:rsid w:val="5E671A49"/>
    <w:rsid w:val="5E6730AC"/>
    <w:rsid w:val="5E6737F7"/>
    <w:rsid w:val="5E677C9B"/>
    <w:rsid w:val="5E681BB4"/>
    <w:rsid w:val="5E6837F3"/>
    <w:rsid w:val="5E68756F"/>
    <w:rsid w:val="5E6909CB"/>
    <w:rsid w:val="5E690DBC"/>
    <w:rsid w:val="5E691BB1"/>
    <w:rsid w:val="5E693A13"/>
    <w:rsid w:val="5E6957C1"/>
    <w:rsid w:val="5E6A0ACA"/>
    <w:rsid w:val="5E6A0F1D"/>
    <w:rsid w:val="5E6A153A"/>
    <w:rsid w:val="5E6A1E0A"/>
    <w:rsid w:val="5E6A778C"/>
    <w:rsid w:val="5E6B113F"/>
    <w:rsid w:val="5E6B20D3"/>
    <w:rsid w:val="5E6B2613"/>
    <w:rsid w:val="5E6B42DC"/>
    <w:rsid w:val="5E6B667F"/>
    <w:rsid w:val="5E6B6B50"/>
    <w:rsid w:val="5E6C3504"/>
    <w:rsid w:val="5E6C4620"/>
    <w:rsid w:val="5E6C5205"/>
    <w:rsid w:val="5E6C52B2"/>
    <w:rsid w:val="5E6C571E"/>
    <w:rsid w:val="5E6C6921"/>
    <w:rsid w:val="5E6C7F5C"/>
    <w:rsid w:val="5E6D1EC3"/>
    <w:rsid w:val="5E6D2C3D"/>
    <w:rsid w:val="5E6E102A"/>
    <w:rsid w:val="5E6E159B"/>
    <w:rsid w:val="5E6E2957"/>
    <w:rsid w:val="5E6E2DD8"/>
    <w:rsid w:val="5E6F08FE"/>
    <w:rsid w:val="5E6F0AF5"/>
    <w:rsid w:val="5E6F2A54"/>
    <w:rsid w:val="5E6F6B81"/>
    <w:rsid w:val="5E6F6D2D"/>
    <w:rsid w:val="5E6F73EB"/>
    <w:rsid w:val="5E70048B"/>
    <w:rsid w:val="5E700844"/>
    <w:rsid w:val="5E702CD8"/>
    <w:rsid w:val="5E704035"/>
    <w:rsid w:val="5E710B1A"/>
    <w:rsid w:val="5E7128C8"/>
    <w:rsid w:val="5E7151D4"/>
    <w:rsid w:val="5E717CE0"/>
    <w:rsid w:val="5E7248A5"/>
    <w:rsid w:val="5E724F47"/>
    <w:rsid w:val="5E72703B"/>
    <w:rsid w:val="5E7303EE"/>
    <w:rsid w:val="5E730906"/>
    <w:rsid w:val="5E731CA8"/>
    <w:rsid w:val="5E733197"/>
    <w:rsid w:val="5E734D3C"/>
    <w:rsid w:val="5E735F60"/>
    <w:rsid w:val="5E7404AC"/>
    <w:rsid w:val="5E743592"/>
    <w:rsid w:val="5E744166"/>
    <w:rsid w:val="5E7448DB"/>
    <w:rsid w:val="5E745F14"/>
    <w:rsid w:val="5E7471C5"/>
    <w:rsid w:val="5E750205"/>
    <w:rsid w:val="5E756A75"/>
    <w:rsid w:val="5E765979"/>
    <w:rsid w:val="5E766130"/>
    <w:rsid w:val="5E7750EA"/>
    <w:rsid w:val="5E775B46"/>
    <w:rsid w:val="5E776851"/>
    <w:rsid w:val="5E781EA8"/>
    <w:rsid w:val="5E785A05"/>
    <w:rsid w:val="5E791374"/>
    <w:rsid w:val="5E79177D"/>
    <w:rsid w:val="5E793037"/>
    <w:rsid w:val="5E79581F"/>
    <w:rsid w:val="5E796E7A"/>
    <w:rsid w:val="5E7A3E4F"/>
    <w:rsid w:val="5E7A79CF"/>
    <w:rsid w:val="5E7B1ACD"/>
    <w:rsid w:val="5E7B2C45"/>
    <w:rsid w:val="5E7B3747"/>
    <w:rsid w:val="5E7B54F5"/>
    <w:rsid w:val="5E7B6A07"/>
    <w:rsid w:val="5E7B72A3"/>
    <w:rsid w:val="5E7B7E56"/>
    <w:rsid w:val="5E7C1710"/>
    <w:rsid w:val="5E7C7844"/>
    <w:rsid w:val="5E7D1355"/>
    <w:rsid w:val="5E7D240C"/>
    <w:rsid w:val="5E7D4589"/>
    <w:rsid w:val="5E7D5A1B"/>
    <w:rsid w:val="5E7D74BF"/>
    <w:rsid w:val="5E7D766B"/>
    <w:rsid w:val="5E7E03F2"/>
    <w:rsid w:val="5E7E1E69"/>
    <w:rsid w:val="5E7E50BF"/>
    <w:rsid w:val="5E7F0087"/>
    <w:rsid w:val="5E7F31EC"/>
    <w:rsid w:val="5E7F3234"/>
    <w:rsid w:val="5E7F3237"/>
    <w:rsid w:val="5E7F39E1"/>
    <w:rsid w:val="5E7F5A64"/>
    <w:rsid w:val="5E8048B9"/>
    <w:rsid w:val="5E80501F"/>
    <w:rsid w:val="5E805AD3"/>
    <w:rsid w:val="5E806603"/>
    <w:rsid w:val="5E80700B"/>
    <w:rsid w:val="5E8117C9"/>
    <w:rsid w:val="5E812F0A"/>
    <w:rsid w:val="5E820631"/>
    <w:rsid w:val="5E825D52"/>
    <w:rsid w:val="5E825DC1"/>
    <w:rsid w:val="5E825E49"/>
    <w:rsid w:val="5E826883"/>
    <w:rsid w:val="5E827B7B"/>
    <w:rsid w:val="5E830DC6"/>
    <w:rsid w:val="5E832431"/>
    <w:rsid w:val="5E8343A9"/>
    <w:rsid w:val="5E83662B"/>
    <w:rsid w:val="5E84084D"/>
    <w:rsid w:val="5E842434"/>
    <w:rsid w:val="5E8458EE"/>
    <w:rsid w:val="5E850121"/>
    <w:rsid w:val="5E852D1B"/>
    <w:rsid w:val="5E8545C5"/>
    <w:rsid w:val="5E861F57"/>
    <w:rsid w:val="5E8626F9"/>
    <w:rsid w:val="5E863619"/>
    <w:rsid w:val="5E86478C"/>
    <w:rsid w:val="5E8659D4"/>
    <w:rsid w:val="5E866D7C"/>
    <w:rsid w:val="5E870FAD"/>
    <w:rsid w:val="5E872365"/>
    <w:rsid w:val="5E872DB7"/>
    <w:rsid w:val="5E873CB0"/>
    <w:rsid w:val="5E874993"/>
    <w:rsid w:val="5E880217"/>
    <w:rsid w:val="5E88188C"/>
    <w:rsid w:val="5E8819C0"/>
    <w:rsid w:val="5E8819E5"/>
    <w:rsid w:val="5E892B2C"/>
    <w:rsid w:val="5E8941A1"/>
    <w:rsid w:val="5E8944EF"/>
    <w:rsid w:val="5E896E02"/>
    <w:rsid w:val="5E897AB4"/>
    <w:rsid w:val="5E897C12"/>
    <w:rsid w:val="5E8A398A"/>
    <w:rsid w:val="5E8A5738"/>
    <w:rsid w:val="5E8A623E"/>
    <w:rsid w:val="5E8A7205"/>
    <w:rsid w:val="5E8B1BDC"/>
    <w:rsid w:val="5E8B2320"/>
    <w:rsid w:val="5E8B32C6"/>
    <w:rsid w:val="5E8B4A7A"/>
    <w:rsid w:val="5E8B6D34"/>
    <w:rsid w:val="5E8C325E"/>
    <w:rsid w:val="5E8C5954"/>
    <w:rsid w:val="5E8D2101"/>
    <w:rsid w:val="5E8D3352"/>
    <w:rsid w:val="5E8E205F"/>
    <w:rsid w:val="5E8E347A"/>
    <w:rsid w:val="5E8E4446"/>
    <w:rsid w:val="5E8F0FA0"/>
    <w:rsid w:val="5E8F269E"/>
    <w:rsid w:val="5E8F2D4E"/>
    <w:rsid w:val="5E8F3DCD"/>
    <w:rsid w:val="5E8F4E90"/>
    <w:rsid w:val="5E8F5D26"/>
    <w:rsid w:val="5E8F74A8"/>
    <w:rsid w:val="5E8F7EE7"/>
    <w:rsid w:val="5E900E44"/>
    <w:rsid w:val="5E901542"/>
    <w:rsid w:val="5E9020F1"/>
    <w:rsid w:val="5E9071F2"/>
    <w:rsid w:val="5E907E2E"/>
    <w:rsid w:val="5E9118FC"/>
    <w:rsid w:val="5E91258D"/>
    <w:rsid w:val="5E912F6A"/>
    <w:rsid w:val="5E9135EE"/>
    <w:rsid w:val="5E9151E8"/>
    <w:rsid w:val="5E916AC6"/>
    <w:rsid w:val="5E923C77"/>
    <w:rsid w:val="5E923CFE"/>
    <w:rsid w:val="5E924F52"/>
    <w:rsid w:val="5E926D8C"/>
    <w:rsid w:val="5E9300A5"/>
    <w:rsid w:val="5E930A90"/>
    <w:rsid w:val="5E9311C9"/>
    <w:rsid w:val="5E93283E"/>
    <w:rsid w:val="5E93329D"/>
    <w:rsid w:val="5E934209"/>
    <w:rsid w:val="5E9345EC"/>
    <w:rsid w:val="5E936837"/>
    <w:rsid w:val="5E936BEB"/>
    <w:rsid w:val="5E9379DA"/>
    <w:rsid w:val="5E9418C2"/>
    <w:rsid w:val="5E944CEF"/>
    <w:rsid w:val="5E9465B6"/>
    <w:rsid w:val="5E947EE5"/>
    <w:rsid w:val="5E952D13"/>
    <w:rsid w:val="5E954808"/>
    <w:rsid w:val="5E960125"/>
    <w:rsid w:val="5E960581"/>
    <w:rsid w:val="5E9615B0"/>
    <w:rsid w:val="5E961ECD"/>
    <w:rsid w:val="5E96232F"/>
    <w:rsid w:val="5E963CA0"/>
    <w:rsid w:val="5E9640DD"/>
    <w:rsid w:val="5E97276E"/>
    <w:rsid w:val="5E974DDD"/>
    <w:rsid w:val="5E98053D"/>
    <w:rsid w:val="5E981191"/>
    <w:rsid w:val="5E983EAA"/>
    <w:rsid w:val="5E9860A7"/>
    <w:rsid w:val="5E9865C0"/>
    <w:rsid w:val="5E986608"/>
    <w:rsid w:val="5E987E55"/>
    <w:rsid w:val="5E99597B"/>
    <w:rsid w:val="5E9963C1"/>
    <w:rsid w:val="5E997B62"/>
    <w:rsid w:val="5E9A1E1F"/>
    <w:rsid w:val="5E9A2A21"/>
    <w:rsid w:val="5E9A4863"/>
    <w:rsid w:val="5E9A6C90"/>
    <w:rsid w:val="5E9B0A4D"/>
    <w:rsid w:val="5E9B16F3"/>
    <w:rsid w:val="5E9B25A5"/>
    <w:rsid w:val="5E9B2D14"/>
    <w:rsid w:val="5E9B6682"/>
    <w:rsid w:val="5E9B7945"/>
    <w:rsid w:val="5E9C56DF"/>
    <w:rsid w:val="5E9C6047"/>
    <w:rsid w:val="5E9C7604"/>
    <w:rsid w:val="5E9D1C4C"/>
    <w:rsid w:val="5E9D2D0B"/>
    <w:rsid w:val="5E9D314E"/>
    <w:rsid w:val="5E9D352C"/>
    <w:rsid w:val="5E9D546B"/>
    <w:rsid w:val="5E9D631A"/>
    <w:rsid w:val="5E9D6574"/>
    <w:rsid w:val="5E9D7B9B"/>
    <w:rsid w:val="5E9E051E"/>
    <w:rsid w:val="5E9E2432"/>
    <w:rsid w:val="5E9E38C2"/>
    <w:rsid w:val="5E9F0E2F"/>
    <w:rsid w:val="5E9F11E3"/>
    <w:rsid w:val="5E9F1E9E"/>
    <w:rsid w:val="5E9F3790"/>
    <w:rsid w:val="5E9F4D52"/>
    <w:rsid w:val="5E9F5687"/>
    <w:rsid w:val="5E9F5760"/>
    <w:rsid w:val="5E9F7435"/>
    <w:rsid w:val="5EA00488"/>
    <w:rsid w:val="5EA04E8A"/>
    <w:rsid w:val="5EA13984"/>
    <w:rsid w:val="5EA1668C"/>
    <w:rsid w:val="5EA1678B"/>
    <w:rsid w:val="5EA20CD3"/>
    <w:rsid w:val="5EA20D73"/>
    <w:rsid w:val="5EA211A1"/>
    <w:rsid w:val="5EA21C67"/>
    <w:rsid w:val="5EA22243"/>
    <w:rsid w:val="5EA22A81"/>
    <w:rsid w:val="5EA24E14"/>
    <w:rsid w:val="5EA26338"/>
    <w:rsid w:val="5EA26C9E"/>
    <w:rsid w:val="5EA321DE"/>
    <w:rsid w:val="5EA336D3"/>
    <w:rsid w:val="5EA33C0D"/>
    <w:rsid w:val="5EA35160"/>
    <w:rsid w:val="5EA36397"/>
    <w:rsid w:val="5EA42C9D"/>
    <w:rsid w:val="5EA467FA"/>
    <w:rsid w:val="5EA51879"/>
    <w:rsid w:val="5EA51E0F"/>
    <w:rsid w:val="5EA52572"/>
    <w:rsid w:val="5EA52E16"/>
    <w:rsid w:val="5EA52F97"/>
    <w:rsid w:val="5EA54320"/>
    <w:rsid w:val="5EA57D81"/>
    <w:rsid w:val="5EA62054"/>
    <w:rsid w:val="5EA64086"/>
    <w:rsid w:val="5EA66125"/>
    <w:rsid w:val="5EA66A16"/>
    <w:rsid w:val="5EA70567"/>
    <w:rsid w:val="5EA71680"/>
    <w:rsid w:val="5EA76027"/>
    <w:rsid w:val="5EA762EA"/>
    <w:rsid w:val="5EA76ADD"/>
    <w:rsid w:val="5EA87E3B"/>
    <w:rsid w:val="5EA923A6"/>
    <w:rsid w:val="5EA93E10"/>
    <w:rsid w:val="5EA959EE"/>
    <w:rsid w:val="5EA96BCC"/>
    <w:rsid w:val="5EAA0150"/>
    <w:rsid w:val="5EAA0D45"/>
    <w:rsid w:val="5EAA23D7"/>
    <w:rsid w:val="5EAA2B12"/>
    <w:rsid w:val="5EAA4B19"/>
    <w:rsid w:val="5EAA653F"/>
    <w:rsid w:val="5EAA79D4"/>
    <w:rsid w:val="5EAB402C"/>
    <w:rsid w:val="5EAB4A36"/>
    <w:rsid w:val="5EAB6013"/>
    <w:rsid w:val="5EAB6551"/>
    <w:rsid w:val="5EAC311D"/>
    <w:rsid w:val="5EAC3900"/>
    <w:rsid w:val="5EAC5CBD"/>
    <w:rsid w:val="5EAC7607"/>
    <w:rsid w:val="5EAD072D"/>
    <w:rsid w:val="5EAD2AD7"/>
    <w:rsid w:val="5EAD7FF5"/>
    <w:rsid w:val="5EAE0429"/>
    <w:rsid w:val="5EAE068F"/>
    <w:rsid w:val="5EAE1426"/>
    <w:rsid w:val="5EAE3C58"/>
    <w:rsid w:val="5EAE58CA"/>
    <w:rsid w:val="5EAE7678"/>
    <w:rsid w:val="5EAF2115"/>
    <w:rsid w:val="5EAF310B"/>
    <w:rsid w:val="5EAF5F88"/>
    <w:rsid w:val="5EAF7499"/>
    <w:rsid w:val="5EB01642"/>
    <w:rsid w:val="5EB03690"/>
    <w:rsid w:val="5EB13FE0"/>
    <w:rsid w:val="5EB145E2"/>
    <w:rsid w:val="5EB153BA"/>
    <w:rsid w:val="5EB17168"/>
    <w:rsid w:val="5EB206DB"/>
    <w:rsid w:val="5EB21D38"/>
    <w:rsid w:val="5EB21D42"/>
    <w:rsid w:val="5EB223F0"/>
    <w:rsid w:val="5EB30BB1"/>
    <w:rsid w:val="5EB32061"/>
    <w:rsid w:val="5EB34C8F"/>
    <w:rsid w:val="5EB36A3D"/>
    <w:rsid w:val="5EB40666"/>
    <w:rsid w:val="5EB427B5"/>
    <w:rsid w:val="5EB42D8F"/>
    <w:rsid w:val="5EB506B9"/>
    <w:rsid w:val="5EB50A07"/>
    <w:rsid w:val="5EB511BC"/>
    <w:rsid w:val="5EB52B19"/>
    <w:rsid w:val="5EB54B04"/>
    <w:rsid w:val="5EB55AE8"/>
    <w:rsid w:val="5EB56C59"/>
    <w:rsid w:val="5EB56D43"/>
    <w:rsid w:val="5EB629D1"/>
    <w:rsid w:val="5EB6477F"/>
    <w:rsid w:val="5EB6652D"/>
    <w:rsid w:val="5EB73437"/>
    <w:rsid w:val="5EB74EB2"/>
    <w:rsid w:val="5EB7722C"/>
    <w:rsid w:val="5EB822A5"/>
    <w:rsid w:val="5EB836F4"/>
    <w:rsid w:val="5EB84469"/>
    <w:rsid w:val="5EB86216"/>
    <w:rsid w:val="5EB9570B"/>
    <w:rsid w:val="5EBA3CDF"/>
    <w:rsid w:val="5EBA48F5"/>
    <w:rsid w:val="5EBB1D20"/>
    <w:rsid w:val="5EBB3B43"/>
    <w:rsid w:val="5EBB4295"/>
    <w:rsid w:val="5EBB4333"/>
    <w:rsid w:val="5EBB5B36"/>
    <w:rsid w:val="5EBB7FE7"/>
    <w:rsid w:val="5EBC058C"/>
    <w:rsid w:val="5EBC30A5"/>
    <w:rsid w:val="5EBC4A76"/>
    <w:rsid w:val="5EBD3D5F"/>
    <w:rsid w:val="5EBD4286"/>
    <w:rsid w:val="5EBD78BB"/>
    <w:rsid w:val="5EBE0317"/>
    <w:rsid w:val="5EBE2726"/>
    <w:rsid w:val="5EBE4044"/>
    <w:rsid w:val="5EBE53E1"/>
    <w:rsid w:val="5EBF0AC9"/>
    <w:rsid w:val="5EBF1506"/>
    <w:rsid w:val="5EBF1885"/>
    <w:rsid w:val="5EBF3633"/>
    <w:rsid w:val="5EC0115A"/>
    <w:rsid w:val="5EC073AC"/>
    <w:rsid w:val="5EC127B9"/>
    <w:rsid w:val="5EC147B3"/>
    <w:rsid w:val="5EC16C5C"/>
    <w:rsid w:val="5EC21376"/>
    <w:rsid w:val="5EC219CA"/>
    <w:rsid w:val="5EC223CF"/>
    <w:rsid w:val="5EC23124"/>
    <w:rsid w:val="5EC24800"/>
    <w:rsid w:val="5EC2580C"/>
    <w:rsid w:val="5EC27110"/>
    <w:rsid w:val="5EC320B0"/>
    <w:rsid w:val="5EC3754D"/>
    <w:rsid w:val="5EC4414D"/>
    <w:rsid w:val="5EC450EE"/>
    <w:rsid w:val="5EC46E9C"/>
    <w:rsid w:val="5EC53C78"/>
    <w:rsid w:val="5EC549C2"/>
    <w:rsid w:val="5EC54C15"/>
    <w:rsid w:val="5EC55D18"/>
    <w:rsid w:val="5EC60FB7"/>
    <w:rsid w:val="5EC62C14"/>
    <w:rsid w:val="5EC650A2"/>
    <w:rsid w:val="5EC667DB"/>
    <w:rsid w:val="5EC66B2A"/>
    <w:rsid w:val="5EC76558"/>
    <w:rsid w:val="5EC7698C"/>
    <w:rsid w:val="5EC81402"/>
    <w:rsid w:val="5EC82EB3"/>
    <w:rsid w:val="5EC832E5"/>
    <w:rsid w:val="5EC8333F"/>
    <w:rsid w:val="5EC834A4"/>
    <w:rsid w:val="5EC83F5E"/>
    <w:rsid w:val="5EC86B2F"/>
    <w:rsid w:val="5EC901A1"/>
    <w:rsid w:val="5EC92704"/>
    <w:rsid w:val="5EC953EE"/>
    <w:rsid w:val="5EC95A71"/>
    <w:rsid w:val="5EC96260"/>
    <w:rsid w:val="5EC97D58"/>
    <w:rsid w:val="5EC97FBF"/>
    <w:rsid w:val="5ECA1FD8"/>
    <w:rsid w:val="5ECA3D86"/>
    <w:rsid w:val="5ECA6C89"/>
    <w:rsid w:val="5ECA7DB1"/>
    <w:rsid w:val="5ECB1C3A"/>
    <w:rsid w:val="5ECB4FD0"/>
    <w:rsid w:val="5ECB647C"/>
    <w:rsid w:val="5ECC0645"/>
    <w:rsid w:val="5ECC1925"/>
    <w:rsid w:val="5ECC3D6F"/>
    <w:rsid w:val="5ECC3FA2"/>
    <w:rsid w:val="5ECC6C19"/>
    <w:rsid w:val="5ECC7AFE"/>
    <w:rsid w:val="5ECD2709"/>
    <w:rsid w:val="5ECD62B1"/>
    <w:rsid w:val="5ECD6E1B"/>
    <w:rsid w:val="5ECE2653"/>
    <w:rsid w:val="5ECE3366"/>
    <w:rsid w:val="5ECE3882"/>
    <w:rsid w:val="5ECE49C2"/>
    <w:rsid w:val="5ECE7D1A"/>
    <w:rsid w:val="5ECE7DD0"/>
    <w:rsid w:val="5ECF1260"/>
    <w:rsid w:val="5ECF6DFD"/>
    <w:rsid w:val="5ED001B1"/>
    <w:rsid w:val="5ED05841"/>
    <w:rsid w:val="5ED06F5A"/>
    <w:rsid w:val="5ED10D46"/>
    <w:rsid w:val="5ED115B9"/>
    <w:rsid w:val="5ED11BAC"/>
    <w:rsid w:val="5ED13367"/>
    <w:rsid w:val="5ED14FE4"/>
    <w:rsid w:val="5ED15115"/>
    <w:rsid w:val="5ED20AD1"/>
    <w:rsid w:val="5ED224B7"/>
    <w:rsid w:val="5ED23C47"/>
    <w:rsid w:val="5ED262F9"/>
    <w:rsid w:val="5ED267E1"/>
    <w:rsid w:val="5ED27470"/>
    <w:rsid w:val="5ED31071"/>
    <w:rsid w:val="5ED35331"/>
    <w:rsid w:val="5ED46E84"/>
    <w:rsid w:val="5ED504D7"/>
    <w:rsid w:val="5ED5056C"/>
    <w:rsid w:val="5ED510A9"/>
    <w:rsid w:val="5ED51574"/>
    <w:rsid w:val="5ED519A8"/>
    <w:rsid w:val="5ED53047"/>
    <w:rsid w:val="5ED54C05"/>
    <w:rsid w:val="5ED56005"/>
    <w:rsid w:val="5ED56562"/>
    <w:rsid w:val="5ED5716B"/>
    <w:rsid w:val="5ED57CA3"/>
    <w:rsid w:val="5ED609A8"/>
    <w:rsid w:val="5ED65415"/>
    <w:rsid w:val="5ED657C7"/>
    <w:rsid w:val="5ED66BCF"/>
    <w:rsid w:val="5ED66C86"/>
    <w:rsid w:val="5ED717B5"/>
    <w:rsid w:val="5ED82947"/>
    <w:rsid w:val="5ED83EA0"/>
    <w:rsid w:val="5ED85164"/>
    <w:rsid w:val="5ED864A3"/>
    <w:rsid w:val="5ED87C0A"/>
    <w:rsid w:val="5ED9374C"/>
    <w:rsid w:val="5ED9629A"/>
    <w:rsid w:val="5EDA046D"/>
    <w:rsid w:val="5EDA0684"/>
    <w:rsid w:val="5EDA0AC1"/>
    <w:rsid w:val="5EDA4616"/>
    <w:rsid w:val="5EDA66BF"/>
    <w:rsid w:val="5EDB27DB"/>
    <w:rsid w:val="5EDB41E5"/>
    <w:rsid w:val="5EDB7EDD"/>
    <w:rsid w:val="5EDC5076"/>
    <w:rsid w:val="5EDC6282"/>
    <w:rsid w:val="5EDC67E4"/>
    <w:rsid w:val="5EDD1D0C"/>
    <w:rsid w:val="5EDD477A"/>
    <w:rsid w:val="5EDD676D"/>
    <w:rsid w:val="5EDD7F5D"/>
    <w:rsid w:val="5EDE168D"/>
    <w:rsid w:val="5EDE3A4B"/>
    <w:rsid w:val="5EDF21E5"/>
    <w:rsid w:val="5EDF27F5"/>
    <w:rsid w:val="5EDF37B0"/>
    <w:rsid w:val="5EDF3CD6"/>
    <w:rsid w:val="5EDF446A"/>
    <w:rsid w:val="5EDF5A84"/>
    <w:rsid w:val="5EE00256"/>
    <w:rsid w:val="5EE017FC"/>
    <w:rsid w:val="5EE03314"/>
    <w:rsid w:val="5EE050F0"/>
    <w:rsid w:val="5EE05B38"/>
    <w:rsid w:val="5EE11561"/>
    <w:rsid w:val="5EE11C44"/>
    <w:rsid w:val="5EE14F8C"/>
    <w:rsid w:val="5EE17159"/>
    <w:rsid w:val="5EE2108F"/>
    <w:rsid w:val="5EE22BB6"/>
    <w:rsid w:val="5EE22FF1"/>
    <w:rsid w:val="5EE2565A"/>
    <w:rsid w:val="5EE27322"/>
    <w:rsid w:val="5EE276D6"/>
    <w:rsid w:val="5EE30254"/>
    <w:rsid w:val="5EE30B66"/>
    <w:rsid w:val="5EE31793"/>
    <w:rsid w:val="5EE412EC"/>
    <w:rsid w:val="5EE4309A"/>
    <w:rsid w:val="5EE443AC"/>
    <w:rsid w:val="5EE44E48"/>
    <w:rsid w:val="5EE44EF0"/>
    <w:rsid w:val="5EE4753E"/>
    <w:rsid w:val="5EE51288"/>
    <w:rsid w:val="5EE52DAE"/>
    <w:rsid w:val="5EE544C5"/>
    <w:rsid w:val="5EE57BEC"/>
    <w:rsid w:val="5EE611DF"/>
    <w:rsid w:val="5EE61C47"/>
    <w:rsid w:val="5EE65064"/>
    <w:rsid w:val="5EE720B8"/>
    <w:rsid w:val="5EE72B8A"/>
    <w:rsid w:val="5EE748AB"/>
    <w:rsid w:val="5EE74938"/>
    <w:rsid w:val="5EE82FE5"/>
    <w:rsid w:val="5EE86881"/>
    <w:rsid w:val="5EE90A8E"/>
    <w:rsid w:val="5EE91315"/>
    <w:rsid w:val="5EE9437F"/>
    <w:rsid w:val="5EE94B54"/>
    <w:rsid w:val="5EE95DEC"/>
    <w:rsid w:val="5EE979F8"/>
    <w:rsid w:val="5EE97A43"/>
    <w:rsid w:val="5EE97A49"/>
    <w:rsid w:val="5EEA2F9C"/>
    <w:rsid w:val="5EEA45A2"/>
    <w:rsid w:val="5EEA61D6"/>
    <w:rsid w:val="5EEB1EC9"/>
    <w:rsid w:val="5EEB267A"/>
    <w:rsid w:val="5EEB38E5"/>
    <w:rsid w:val="5EEB6476"/>
    <w:rsid w:val="5EEB6DC7"/>
    <w:rsid w:val="5EEB7373"/>
    <w:rsid w:val="5EEC01A1"/>
    <w:rsid w:val="5EEC1D66"/>
    <w:rsid w:val="5EEC1F4F"/>
    <w:rsid w:val="5EEC478E"/>
    <w:rsid w:val="5EEC644D"/>
    <w:rsid w:val="5EED22E2"/>
    <w:rsid w:val="5EED64FD"/>
    <w:rsid w:val="5EED76FC"/>
    <w:rsid w:val="5EEE084A"/>
    <w:rsid w:val="5EEE1543"/>
    <w:rsid w:val="5EEE216B"/>
    <w:rsid w:val="5EEE3F19"/>
    <w:rsid w:val="5EEE5C79"/>
    <w:rsid w:val="5EEE5CC7"/>
    <w:rsid w:val="5EEF2900"/>
    <w:rsid w:val="5EF0255E"/>
    <w:rsid w:val="5EF051B8"/>
    <w:rsid w:val="5EF05EE3"/>
    <w:rsid w:val="5EF069A8"/>
    <w:rsid w:val="5EF073C7"/>
    <w:rsid w:val="5EF07C3F"/>
    <w:rsid w:val="5EF157B7"/>
    <w:rsid w:val="5EF22E1A"/>
    <w:rsid w:val="5EF26FEB"/>
    <w:rsid w:val="5EF271CB"/>
    <w:rsid w:val="5EF3074C"/>
    <w:rsid w:val="5EF31A07"/>
    <w:rsid w:val="5EF3322C"/>
    <w:rsid w:val="5EF332DD"/>
    <w:rsid w:val="5EF33B3C"/>
    <w:rsid w:val="5EF41AEB"/>
    <w:rsid w:val="5EF42DEE"/>
    <w:rsid w:val="5EF446BC"/>
    <w:rsid w:val="5EF52F7B"/>
    <w:rsid w:val="5EF534D8"/>
    <w:rsid w:val="5EF552A7"/>
    <w:rsid w:val="5EF57055"/>
    <w:rsid w:val="5EF60CAF"/>
    <w:rsid w:val="5EF62DCD"/>
    <w:rsid w:val="5EF67D06"/>
    <w:rsid w:val="5EF7101F"/>
    <w:rsid w:val="5EF75194"/>
    <w:rsid w:val="5EF77271"/>
    <w:rsid w:val="5EF8120A"/>
    <w:rsid w:val="5EF8237F"/>
    <w:rsid w:val="5EF84972"/>
    <w:rsid w:val="5EF84D97"/>
    <w:rsid w:val="5EF854C2"/>
    <w:rsid w:val="5EF86B45"/>
    <w:rsid w:val="5EF86BA7"/>
    <w:rsid w:val="5EF9400D"/>
    <w:rsid w:val="5EF942B8"/>
    <w:rsid w:val="5EF944CD"/>
    <w:rsid w:val="5EF95083"/>
    <w:rsid w:val="5EF95FAE"/>
    <w:rsid w:val="5EFA09A7"/>
    <w:rsid w:val="5EFA0B0F"/>
    <w:rsid w:val="5EFA1182"/>
    <w:rsid w:val="5EFA466C"/>
    <w:rsid w:val="5EFA592A"/>
    <w:rsid w:val="5EFA5CE1"/>
    <w:rsid w:val="5EFB03E4"/>
    <w:rsid w:val="5EFB3CFF"/>
    <w:rsid w:val="5EFC2E4E"/>
    <w:rsid w:val="5EFC4888"/>
    <w:rsid w:val="5EFC6636"/>
    <w:rsid w:val="5EFD23AE"/>
    <w:rsid w:val="5EFD415C"/>
    <w:rsid w:val="5EFE3D6A"/>
    <w:rsid w:val="5EFE598C"/>
    <w:rsid w:val="5EFE610E"/>
    <w:rsid w:val="5EFE67F5"/>
    <w:rsid w:val="5EFE73E3"/>
    <w:rsid w:val="5EFF06D8"/>
    <w:rsid w:val="5EFF17CF"/>
    <w:rsid w:val="5EFF1C82"/>
    <w:rsid w:val="5EFF27FE"/>
    <w:rsid w:val="5EFF410C"/>
    <w:rsid w:val="5EFF4DE6"/>
    <w:rsid w:val="5EFF504D"/>
    <w:rsid w:val="5EFF6126"/>
    <w:rsid w:val="5EFF7ED4"/>
    <w:rsid w:val="5F0003CD"/>
    <w:rsid w:val="5F0010C6"/>
    <w:rsid w:val="5F0015CB"/>
    <w:rsid w:val="5F002C5F"/>
    <w:rsid w:val="5F007A9A"/>
    <w:rsid w:val="5F0100E5"/>
    <w:rsid w:val="5F013A8A"/>
    <w:rsid w:val="5F013C4C"/>
    <w:rsid w:val="5F0157EF"/>
    <w:rsid w:val="5F01685A"/>
    <w:rsid w:val="5F021058"/>
    <w:rsid w:val="5F021772"/>
    <w:rsid w:val="5F021884"/>
    <w:rsid w:val="5F02557F"/>
    <w:rsid w:val="5F025C16"/>
    <w:rsid w:val="5F033A3D"/>
    <w:rsid w:val="5F033ADB"/>
    <w:rsid w:val="5F033DBA"/>
    <w:rsid w:val="5F040189"/>
    <w:rsid w:val="5F0452FC"/>
    <w:rsid w:val="5F0454EA"/>
    <w:rsid w:val="5F0513A2"/>
    <w:rsid w:val="5F05298A"/>
    <w:rsid w:val="5F053010"/>
    <w:rsid w:val="5F0579F7"/>
    <w:rsid w:val="5F057FF3"/>
    <w:rsid w:val="5F060EBB"/>
    <w:rsid w:val="5F0639A5"/>
    <w:rsid w:val="5F0674B4"/>
    <w:rsid w:val="5F067C8C"/>
    <w:rsid w:val="5F070510"/>
    <w:rsid w:val="5F07224B"/>
    <w:rsid w:val="5F074312"/>
    <w:rsid w:val="5F074FDA"/>
    <w:rsid w:val="5F076D88"/>
    <w:rsid w:val="5F081A02"/>
    <w:rsid w:val="5F081ABC"/>
    <w:rsid w:val="5F0855C5"/>
    <w:rsid w:val="5F090D52"/>
    <w:rsid w:val="5F092B01"/>
    <w:rsid w:val="5F093498"/>
    <w:rsid w:val="5F097D96"/>
    <w:rsid w:val="5F0A16CA"/>
    <w:rsid w:val="5F0A2FA3"/>
    <w:rsid w:val="5F0B0627"/>
    <w:rsid w:val="5F0B21A1"/>
    <w:rsid w:val="5F0B2FC7"/>
    <w:rsid w:val="5F0B4ACB"/>
    <w:rsid w:val="5F0B5240"/>
    <w:rsid w:val="5F0B5546"/>
    <w:rsid w:val="5F0B7D72"/>
    <w:rsid w:val="5F0B7FA7"/>
    <w:rsid w:val="5F0C016E"/>
    <w:rsid w:val="5F0C3D06"/>
    <w:rsid w:val="5F0D0843"/>
    <w:rsid w:val="5F0D2E4F"/>
    <w:rsid w:val="5F0D3921"/>
    <w:rsid w:val="5F0D3DD3"/>
    <w:rsid w:val="5F0D7C99"/>
    <w:rsid w:val="5F0E0117"/>
    <w:rsid w:val="5F0E06FD"/>
    <w:rsid w:val="5F0E45BB"/>
    <w:rsid w:val="5F0E6369"/>
    <w:rsid w:val="5F0F017D"/>
    <w:rsid w:val="5F0F06FB"/>
    <w:rsid w:val="5F0F257D"/>
    <w:rsid w:val="5F0F66F3"/>
    <w:rsid w:val="5F100637"/>
    <w:rsid w:val="5F1020E1"/>
    <w:rsid w:val="5F102664"/>
    <w:rsid w:val="5F104CE3"/>
    <w:rsid w:val="5F105C3D"/>
    <w:rsid w:val="5F10619D"/>
    <w:rsid w:val="5F1071B9"/>
    <w:rsid w:val="5F107B83"/>
    <w:rsid w:val="5F113BE4"/>
    <w:rsid w:val="5F116B44"/>
    <w:rsid w:val="5F1176E8"/>
    <w:rsid w:val="5F1233BF"/>
    <w:rsid w:val="5F125E59"/>
    <w:rsid w:val="5F126869"/>
    <w:rsid w:val="5F131BD1"/>
    <w:rsid w:val="5F13397F"/>
    <w:rsid w:val="5F137196"/>
    <w:rsid w:val="5F1424DC"/>
    <w:rsid w:val="5F153DAE"/>
    <w:rsid w:val="5F157663"/>
    <w:rsid w:val="5F1576F7"/>
    <w:rsid w:val="5F160B12"/>
    <w:rsid w:val="5F161839"/>
    <w:rsid w:val="5F16521D"/>
    <w:rsid w:val="5F17346F"/>
    <w:rsid w:val="5F1750F2"/>
    <w:rsid w:val="5F177490"/>
    <w:rsid w:val="5F177A3A"/>
    <w:rsid w:val="5F180F96"/>
    <w:rsid w:val="5F182D44"/>
    <w:rsid w:val="5F1858B1"/>
    <w:rsid w:val="5F1871E8"/>
    <w:rsid w:val="5F195393"/>
    <w:rsid w:val="5F1A2F60"/>
    <w:rsid w:val="5F1A3805"/>
    <w:rsid w:val="5F1A6ABC"/>
    <w:rsid w:val="5F1B04DA"/>
    <w:rsid w:val="5F1B08EA"/>
    <w:rsid w:val="5F1B1D0F"/>
    <w:rsid w:val="5F1B1D66"/>
    <w:rsid w:val="5F1B6BCE"/>
    <w:rsid w:val="5F1C0A86"/>
    <w:rsid w:val="5F1C2834"/>
    <w:rsid w:val="5F1C6CD8"/>
    <w:rsid w:val="5F1D1892"/>
    <w:rsid w:val="5F1D2F10"/>
    <w:rsid w:val="5F1D3660"/>
    <w:rsid w:val="5F1D47FE"/>
    <w:rsid w:val="5F1D65AC"/>
    <w:rsid w:val="5F1E04D4"/>
    <w:rsid w:val="5F1E13FD"/>
    <w:rsid w:val="5F1E2FCC"/>
    <w:rsid w:val="5F1E42EC"/>
    <w:rsid w:val="5F1F0576"/>
    <w:rsid w:val="5F1F0DB8"/>
    <w:rsid w:val="5F1F14D7"/>
    <w:rsid w:val="5F1F2305"/>
    <w:rsid w:val="5F1F2324"/>
    <w:rsid w:val="5F1F3A66"/>
    <w:rsid w:val="5F1F4FC2"/>
    <w:rsid w:val="5F1F61E7"/>
    <w:rsid w:val="5F1F7EFB"/>
    <w:rsid w:val="5F201ABF"/>
    <w:rsid w:val="5F2142EE"/>
    <w:rsid w:val="5F2145D1"/>
    <w:rsid w:val="5F21609C"/>
    <w:rsid w:val="5F220C6D"/>
    <w:rsid w:val="5F223BC2"/>
    <w:rsid w:val="5F224101"/>
    <w:rsid w:val="5F225970"/>
    <w:rsid w:val="5F23002A"/>
    <w:rsid w:val="5F230BC9"/>
    <w:rsid w:val="5F2403CD"/>
    <w:rsid w:val="5F245B8C"/>
    <w:rsid w:val="5F247488"/>
    <w:rsid w:val="5F24793A"/>
    <w:rsid w:val="5F2508DC"/>
    <w:rsid w:val="5F254E4F"/>
    <w:rsid w:val="5F260476"/>
    <w:rsid w:val="5F261904"/>
    <w:rsid w:val="5F265461"/>
    <w:rsid w:val="5F265C81"/>
    <w:rsid w:val="5F266A64"/>
    <w:rsid w:val="5F2675F1"/>
    <w:rsid w:val="5F27742B"/>
    <w:rsid w:val="5F286FBC"/>
    <w:rsid w:val="5F290C61"/>
    <w:rsid w:val="5F290D83"/>
    <w:rsid w:val="5F2913F5"/>
    <w:rsid w:val="5F2931A3"/>
    <w:rsid w:val="5F294F51"/>
    <w:rsid w:val="5F295881"/>
    <w:rsid w:val="5F2A02B5"/>
    <w:rsid w:val="5F2A2411"/>
    <w:rsid w:val="5F2A27C6"/>
    <w:rsid w:val="5F2A32FA"/>
    <w:rsid w:val="5F2A7A80"/>
    <w:rsid w:val="5F2B0CC9"/>
    <w:rsid w:val="5F2B2A77"/>
    <w:rsid w:val="5F2B6BAE"/>
    <w:rsid w:val="5F2B6F1B"/>
    <w:rsid w:val="5F2C497E"/>
    <w:rsid w:val="5F2C4DCC"/>
    <w:rsid w:val="5F2D0626"/>
    <w:rsid w:val="5F2D1C7B"/>
    <w:rsid w:val="5F2D226A"/>
    <w:rsid w:val="5F2D2C93"/>
    <w:rsid w:val="5F2D3212"/>
    <w:rsid w:val="5F2D33BC"/>
    <w:rsid w:val="5F2E27C8"/>
    <w:rsid w:val="5F2E2D52"/>
    <w:rsid w:val="5F2E310B"/>
    <w:rsid w:val="5F2E6A0B"/>
    <w:rsid w:val="5F2F1036"/>
    <w:rsid w:val="5F2F2EB8"/>
    <w:rsid w:val="5F2F459E"/>
    <w:rsid w:val="5F2F4D0C"/>
    <w:rsid w:val="5F2F716C"/>
    <w:rsid w:val="5F2F71B3"/>
    <w:rsid w:val="5F2F7659"/>
    <w:rsid w:val="5F301D3D"/>
    <w:rsid w:val="5F3034AF"/>
    <w:rsid w:val="5F3042F5"/>
    <w:rsid w:val="5F304531"/>
    <w:rsid w:val="5F3046FD"/>
    <w:rsid w:val="5F3051F0"/>
    <w:rsid w:val="5F3062DF"/>
    <w:rsid w:val="5F3131CD"/>
    <w:rsid w:val="5F31409D"/>
    <w:rsid w:val="5F3215AC"/>
    <w:rsid w:val="5F322057"/>
    <w:rsid w:val="5F325CBE"/>
    <w:rsid w:val="5F3348F7"/>
    <w:rsid w:val="5F337104"/>
    <w:rsid w:val="5F337B7D"/>
    <w:rsid w:val="5F341A4B"/>
    <w:rsid w:val="5F341B4E"/>
    <w:rsid w:val="5F34763C"/>
    <w:rsid w:val="5F347E58"/>
    <w:rsid w:val="5F350373"/>
    <w:rsid w:val="5F351B48"/>
    <w:rsid w:val="5F3538F6"/>
    <w:rsid w:val="5F355603"/>
    <w:rsid w:val="5F36141C"/>
    <w:rsid w:val="5F3618EB"/>
    <w:rsid w:val="5F3629B4"/>
    <w:rsid w:val="5F364BDB"/>
    <w:rsid w:val="5F370367"/>
    <w:rsid w:val="5F374345"/>
    <w:rsid w:val="5F374CFE"/>
    <w:rsid w:val="5F3804CF"/>
    <w:rsid w:val="5F381638"/>
    <w:rsid w:val="5F390348"/>
    <w:rsid w:val="5F3927FC"/>
    <w:rsid w:val="5F3A00F2"/>
    <w:rsid w:val="5F3A0F0C"/>
    <w:rsid w:val="5F3A402C"/>
    <w:rsid w:val="5F3A715E"/>
    <w:rsid w:val="5F3B522A"/>
    <w:rsid w:val="5F3B6A32"/>
    <w:rsid w:val="5F3B723E"/>
    <w:rsid w:val="5F3B72F1"/>
    <w:rsid w:val="5F3C02E0"/>
    <w:rsid w:val="5F3C1128"/>
    <w:rsid w:val="5F3C1148"/>
    <w:rsid w:val="5F3C2ED6"/>
    <w:rsid w:val="5F3C7AA2"/>
    <w:rsid w:val="5F3D09FC"/>
    <w:rsid w:val="5F3D1770"/>
    <w:rsid w:val="5F3D27AA"/>
    <w:rsid w:val="5F3D4EAE"/>
    <w:rsid w:val="5F3E5D4B"/>
    <w:rsid w:val="5F3E6C4E"/>
    <w:rsid w:val="5F3F0A41"/>
    <w:rsid w:val="5F3F3392"/>
    <w:rsid w:val="5F3F3603"/>
    <w:rsid w:val="5F3F4090"/>
    <w:rsid w:val="5F4007CE"/>
    <w:rsid w:val="5F404517"/>
    <w:rsid w:val="5F404F13"/>
    <w:rsid w:val="5F4153C2"/>
    <w:rsid w:val="5F41673E"/>
    <w:rsid w:val="5F424152"/>
    <w:rsid w:val="5F4265FD"/>
    <w:rsid w:val="5F427DC1"/>
    <w:rsid w:val="5F433EA1"/>
    <w:rsid w:val="5F4355E2"/>
    <w:rsid w:val="5F43744B"/>
    <w:rsid w:val="5F441D8B"/>
    <w:rsid w:val="5F44309B"/>
    <w:rsid w:val="5F443B39"/>
    <w:rsid w:val="5F447100"/>
    <w:rsid w:val="5F451236"/>
    <w:rsid w:val="5F462822"/>
    <w:rsid w:val="5F463D55"/>
    <w:rsid w:val="5F463F63"/>
    <w:rsid w:val="5F464AD4"/>
    <w:rsid w:val="5F465B03"/>
    <w:rsid w:val="5F477D9E"/>
    <w:rsid w:val="5F4812B6"/>
    <w:rsid w:val="5F48187B"/>
    <w:rsid w:val="5F485685"/>
    <w:rsid w:val="5F487ACD"/>
    <w:rsid w:val="5F487CE6"/>
    <w:rsid w:val="5F491F3C"/>
    <w:rsid w:val="5F492D80"/>
    <w:rsid w:val="5F4955F3"/>
    <w:rsid w:val="5F495D43"/>
    <w:rsid w:val="5F496B13"/>
    <w:rsid w:val="5F497A28"/>
    <w:rsid w:val="5F497D13"/>
    <w:rsid w:val="5F497EBF"/>
    <w:rsid w:val="5F4A08E5"/>
    <w:rsid w:val="5F4A0903"/>
    <w:rsid w:val="5F4A0E3B"/>
    <w:rsid w:val="5F4A1700"/>
    <w:rsid w:val="5F4B0517"/>
    <w:rsid w:val="5F4B1DFD"/>
    <w:rsid w:val="5F4B3119"/>
    <w:rsid w:val="5F4B4EC7"/>
    <w:rsid w:val="5F4B575F"/>
    <w:rsid w:val="5F4C0716"/>
    <w:rsid w:val="5F4C22E4"/>
    <w:rsid w:val="5F4C5CB7"/>
    <w:rsid w:val="5F4C6694"/>
    <w:rsid w:val="5F4D50E3"/>
    <w:rsid w:val="5F4D62EE"/>
    <w:rsid w:val="5F4D718F"/>
    <w:rsid w:val="5F4D7B24"/>
    <w:rsid w:val="5F4E26F5"/>
    <w:rsid w:val="5F4E2C09"/>
    <w:rsid w:val="5F4E49B7"/>
    <w:rsid w:val="5F4E4B5F"/>
    <w:rsid w:val="5F4E6765"/>
    <w:rsid w:val="5F4F0E5B"/>
    <w:rsid w:val="5F4F2C5C"/>
    <w:rsid w:val="5F4F6756"/>
    <w:rsid w:val="5F5003AC"/>
    <w:rsid w:val="5F512137"/>
    <w:rsid w:val="5F514ADF"/>
    <w:rsid w:val="5F514F4C"/>
    <w:rsid w:val="5F530220"/>
    <w:rsid w:val="5F531FCE"/>
    <w:rsid w:val="5F5350D7"/>
    <w:rsid w:val="5F536192"/>
    <w:rsid w:val="5F536263"/>
    <w:rsid w:val="5F536572"/>
    <w:rsid w:val="5F541503"/>
    <w:rsid w:val="5F543A96"/>
    <w:rsid w:val="5F545E36"/>
    <w:rsid w:val="5F546472"/>
    <w:rsid w:val="5F5465DF"/>
    <w:rsid w:val="5F547653"/>
    <w:rsid w:val="5F550DB2"/>
    <w:rsid w:val="5F5521EA"/>
    <w:rsid w:val="5F552890"/>
    <w:rsid w:val="5F553551"/>
    <w:rsid w:val="5F557AF4"/>
    <w:rsid w:val="5F560855"/>
    <w:rsid w:val="5F56251F"/>
    <w:rsid w:val="5F562ABA"/>
    <w:rsid w:val="5F563A58"/>
    <w:rsid w:val="5F564E68"/>
    <w:rsid w:val="5F575F56"/>
    <w:rsid w:val="5F576C4E"/>
    <w:rsid w:val="5F577B4E"/>
    <w:rsid w:val="5F577D10"/>
    <w:rsid w:val="5F583125"/>
    <w:rsid w:val="5F585836"/>
    <w:rsid w:val="5F586378"/>
    <w:rsid w:val="5F592239"/>
    <w:rsid w:val="5F593A88"/>
    <w:rsid w:val="5F594AC3"/>
    <w:rsid w:val="5F5A24AF"/>
    <w:rsid w:val="5F5A3869"/>
    <w:rsid w:val="5F5A3E3C"/>
    <w:rsid w:val="5F5A4029"/>
    <w:rsid w:val="5F5A6FB5"/>
    <w:rsid w:val="5F5A7FD7"/>
    <w:rsid w:val="5F5C0CD1"/>
    <w:rsid w:val="5F5C0E43"/>
    <w:rsid w:val="5F5C200F"/>
    <w:rsid w:val="5F5C5169"/>
    <w:rsid w:val="5F5C605E"/>
    <w:rsid w:val="5F5D00E6"/>
    <w:rsid w:val="5F5D14A3"/>
    <w:rsid w:val="5F5D4BFA"/>
    <w:rsid w:val="5F5E109E"/>
    <w:rsid w:val="5F5E61FB"/>
    <w:rsid w:val="5F5F0B76"/>
    <w:rsid w:val="5F5F44BD"/>
    <w:rsid w:val="5F5F4AF5"/>
    <w:rsid w:val="5F5F4E16"/>
    <w:rsid w:val="5F5F581D"/>
    <w:rsid w:val="5F5F6BC4"/>
    <w:rsid w:val="5F60088D"/>
    <w:rsid w:val="5F60125F"/>
    <w:rsid w:val="5F603AC2"/>
    <w:rsid w:val="5F610B6B"/>
    <w:rsid w:val="5F610B8F"/>
    <w:rsid w:val="5F6154DC"/>
    <w:rsid w:val="5F6162A3"/>
    <w:rsid w:val="5F6212FF"/>
    <w:rsid w:val="5F625217"/>
    <w:rsid w:val="5F627120"/>
    <w:rsid w:val="5F632C9A"/>
    <w:rsid w:val="5F63348B"/>
    <w:rsid w:val="5F633DFC"/>
    <w:rsid w:val="5F6366B5"/>
    <w:rsid w:val="5F64242D"/>
    <w:rsid w:val="5F645F89"/>
    <w:rsid w:val="5F647D76"/>
    <w:rsid w:val="5F661ECA"/>
    <w:rsid w:val="5F6635CF"/>
    <w:rsid w:val="5F673EC6"/>
    <w:rsid w:val="5F6744B0"/>
    <w:rsid w:val="5F67637E"/>
    <w:rsid w:val="5F677623"/>
    <w:rsid w:val="5F677827"/>
    <w:rsid w:val="5F677C49"/>
    <w:rsid w:val="5F680012"/>
    <w:rsid w:val="5F6804E7"/>
    <w:rsid w:val="5F681F1D"/>
    <w:rsid w:val="5F682568"/>
    <w:rsid w:val="5F682826"/>
    <w:rsid w:val="5F682B26"/>
    <w:rsid w:val="5F682C05"/>
    <w:rsid w:val="5F683CCB"/>
    <w:rsid w:val="5F68472C"/>
    <w:rsid w:val="5F685A79"/>
    <w:rsid w:val="5F69139B"/>
    <w:rsid w:val="5F6918F1"/>
    <w:rsid w:val="5F691E20"/>
    <w:rsid w:val="5F69359F"/>
    <w:rsid w:val="5F694826"/>
    <w:rsid w:val="5F697A43"/>
    <w:rsid w:val="5F6A554B"/>
    <w:rsid w:val="5F6B25A7"/>
    <w:rsid w:val="5F6B37BB"/>
    <w:rsid w:val="5F6B4785"/>
    <w:rsid w:val="5F6B5569"/>
    <w:rsid w:val="5F6B7317"/>
    <w:rsid w:val="5F6C0925"/>
    <w:rsid w:val="5F6C5C7E"/>
    <w:rsid w:val="5F6C7093"/>
    <w:rsid w:val="5F6D12E1"/>
    <w:rsid w:val="5F6D308F"/>
    <w:rsid w:val="5F6D5F33"/>
    <w:rsid w:val="5F6D7239"/>
    <w:rsid w:val="5F6D7533"/>
    <w:rsid w:val="5F6E0BB6"/>
    <w:rsid w:val="5F6E5059"/>
    <w:rsid w:val="5F6E57C4"/>
    <w:rsid w:val="5F6E6E08"/>
    <w:rsid w:val="5F6F2447"/>
    <w:rsid w:val="5F6F45C4"/>
    <w:rsid w:val="5F6F45FF"/>
    <w:rsid w:val="5F6F5174"/>
    <w:rsid w:val="5F6F677B"/>
    <w:rsid w:val="5F700DD2"/>
    <w:rsid w:val="5F70157C"/>
    <w:rsid w:val="5F702B80"/>
    <w:rsid w:val="5F7037E5"/>
    <w:rsid w:val="5F703FAA"/>
    <w:rsid w:val="5F706CAA"/>
    <w:rsid w:val="5F710660"/>
    <w:rsid w:val="5F716BC3"/>
    <w:rsid w:val="5F71728E"/>
    <w:rsid w:val="5F717FA2"/>
    <w:rsid w:val="5F7206A6"/>
    <w:rsid w:val="5F7232BB"/>
    <w:rsid w:val="5F724B4A"/>
    <w:rsid w:val="5F7268F8"/>
    <w:rsid w:val="5F73441E"/>
    <w:rsid w:val="5F7408C2"/>
    <w:rsid w:val="5F7420BA"/>
    <w:rsid w:val="5F7424B2"/>
    <w:rsid w:val="5F742AC8"/>
    <w:rsid w:val="5F745F62"/>
    <w:rsid w:val="5F751F44"/>
    <w:rsid w:val="5F754C66"/>
    <w:rsid w:val="5F7563E8"/>
    <w:rsid w:val="5F763AEB"/>
    <w:rsid w:val="5F767659"/>
    <w:rsid w:val="5F767B79"/>
    <w:rsid w:val="5F770F1B"/>
    <w:rsid w:val="5F772D91"/>
    <w:rsid w:val="5F773F0E"/>
    <w:rsid w:val="5F777DD3"/>
    <w:rsid w:val="5F777E90"/>
    <w:rsid w:val="5F781682"/>
    <w:rsid w:val="5F7823AC"/>
    <w:rsid w:val="5F7832BF"/>
    <w:rsid w:val="5F785962"/>
    <w:rsid w:val="5F7923E0"/>
    <w:rsid w:val="5F792867"/>
    <w:rsid w:val="5F795ED8"/>
    <w:rsid w:val="5F796EFB"/>
    <w:rsid w:val="5F7A0282"/>
    <w:rsid w:val="5F7A39FE"/>
    <w:rsid w:val="5F7A755A"/>
    <w:rsid w:val="5F7A7AD6"/>
    <w:rsid w:val="5F7B035C"/>
    <w:rsid w:val="5F7B42E3"/>
    <w:rsid w:val="5F7B4E36"/>
    <w:rsid w:val="5F7B6A09"/>
    <w:rsid w:val="5F7C05F6"/>
    <w:rsid w:val="5F7C1524"/>
    <w:rsid w:val="5F7C32D2"/>
    <w:rsid w:val="5F7C4F15"/>
    <w:rsid w:val="5F7C5A01"/>
    <w:rsid w:val="5F7D1EC8"/>
    <w:rsid w:val="5F7D39FA"/>
    <w:rsid w:val="5F7D6C03"/>
    <w:rsid w:val="5F7E0093"/>
    <w:rsid w:val="5F7E2070"/>
    <w:rsid w:val="5F7E2C64"/>
    <w:rsid w:val="5F7E34EF"/>
    <w:rsid w:val="5F7F0E39"/>
    <w:rsid w:val="5F7F102D"/>
    <w:rsid w:val="5F7F57EA"/>
    <w:rsid w:val="5F7F6C0C"/>
    <w:rsid w:val="5F7F7267"/>
    <w:rsid w:val="5F80228A"/>
    <w:rsid w:val="5F8068B2"/>
    <w:rsid w:val="5F81147C"/>
    <w:rsid w:val="5F812FDF"/>
    <w:rsid w:val="5F815444"/>
    <w:rsid w:val="5F816A14"/>
    <w:rsid w:val="5F816B3B"/>
    <w:rsid w:val="5F8240FA"/>
    <w:rsid w:val="5F824661"/>
    <w:rsid w:val="5F824D03"/>
    <w:rsid w:val="5F830B05"/>
    <w:rsid w:val="5F83118A"/>
    <w:rsid w:val="5F831E8A"/>
    <w:rsid w:val="5F832414"/>
    <w:rsid w:val="5F8328B3"/>
    <w:rsid w:val="5F832A25"/>
    <w:rsid w:val="5F834BD3"/>
    <w:rsid w:val="5F8403D9"/>
    <w:rsid w:val="5F841C80"/>
    <w:rsid w:val="5F8426C2"/>
    <w:rsid w:val="5F844426"/>
    <w:rsid w:val="5F845B4C"/>
    <w:rsid w:val="5F845E21"/>
    <w:rsid w:val="5F84662B"/>
    <w:rsid w:val="5F846F39"/>
    <w:rsid w:val="5F8504AF"/>
    <w:rsid w:val="5F8515AA"/>
    <w:rsid w:val="5F852D8D"/>
    <w:rsid w:val="5F852E98"/>
    <w:rsid w:val="5F853FC9"/>
    <w:rsid w:val="5F85487D"/>
    <w:rsid w:val="5F8549F1"/>
    <w:rsid w:val="5F857F66"/>
    <w:rsid w:val="5F8605F5"/>
    <w:rsid w:val="5F8623A3"/>
    <w:rsid w:val="5F864151"/>
    <w:rsid w:val="5F867CB5"/>
    <w:rsid w:val="5F872A58"/>
    <w:rsid w:val="5F87728B"/>
    <w:rsid w:val="5F881C77"/>
    <w:rsid w:val="5F882AE3"/>
    <w:rsid w:val="5F887BFE"/>
    <w:rsid w:val="5F887EC9"/>
    <w:rsid w:val="5F89163F"/>
    <w:rsid w:val="5F8919CD"/>
    <w:rsid w:val="5F893C41"/>
    <w:rsid w:val="5F89424D"/>
    <w:rsid w:val="5F8959EF"/>
    <w:rsid w:val="5F8964E5"/>
    <w:rsid w:val="5F8968E7"/>
    <w:rsid w:val="5F8A1E93"/>
    <w:rsid w:val="5F8A2166"/>
    <w:rsid w:val="5F8A6636"/>
    <w:rsid w:val="5F8B1768"/>
    <w:rsid w:val="5F8B2D14"/>
    <w:rsid w:val="5F8B729B"/>
    <w:rsid w:val="5F8B79B9"/>
    <w:rsid w:val="5F8B7BAB"/>
    <w:rsid w:val="5F8B7EC4"/>
    <w:rsid w:val="5F8C1444"/>
    <w:rsid w:val="5F8C200A"/>
    <w:rsid w:val="5F8C30E7"/>
    <w:rsid w:val="5F8C5268"/>
    <w:rsid w:val="5F8C58F0"/>
    <w:rsid w:val="5F8D0A0B"/>
    <w:rsid w:val="5F8D3732"/>
    <w:rsid w:val="5F8D482A"/>
    <w:rsid w:val="5F8D54E0"/>
    <w:rsid w:val="5F8E2C43"/>
    <w:rsid w:val="5F8E3006"/>
    <w:rsid w:val="5F8E66A7"/>
    <w:rsid w:val="5F8F1018"/>
    <w:rsid w:val="5F8F3BE9"/>
    <w:rsid w:val="5F8F63A2"/>
    <w:rsid w:val="5F8F6B35"/>
    <w:rsid w:val="5F8F74AA"/>
    <w:rsid w:val="5F900CD0"/>
    <w:rsid w:val="5F902F55"/>
    <w:rsid w:val="5F90368A"/>
    <w:rsid w:val="5F9040D5"/>
    <w:rsid w:val="5F9046CC"/>
    <w:rsid w:val="5F9069FE"/>
    <w:rsid w:val="5F906D7E"/>
    <w:rsid w:val="5F906FBF"/>
    <w:rsid w:val="5F911719"/>
    <w:rsid w:val="5F915A0B"/>
    <w:rsid w:val="5F916509"/>
    <w:rsid w:val="5F920D48"/>
    <w:rsid w:val="5F9258E0"/>
    <w:rsid w:val="5F926F9A"/>
    <w:rsid w:val="5F930113"/>
    <w:rsid w:val="5F93061C"/>
    <w:rsid w:val="5F932DC7"/>
    <w:rsid w:val="5F933698"/>
    <w:rsid w:val="5F93686E"/>
    <w:rsid w:val="5F937BEC"/>
    <w:rsid w:val="5F9413A5"/>
    <w:rsid w:val="5F942D12"/>
    <w:rsid w:val="5F944AC0"/>
    <w:rsid w:val="5F944E8A"/>
    <w:rsid w:val="5F950838"/>
    <w:rsid w:val="5F9531F7"/>
    <w:rsid w:val="5F9533FB"/>
    <w:rsid w:val="5F9562B0"/>
    <w:rsid w:val="5F95631A"/>
    <w:rsid w:val="5F957865"/>
    <w:rsid w:val="5F9617E1"/>
    <w:rsid w:val="5F964481"/>
    <w:rsid w:val="5F965492"/>
    <w:rsid w:val="5F967857"/>
    <w:rsid w:val="5F97010C"/>
    <w:rsid w:val="5F970B2B"/>
    <w:rsid w:val="5F9712BF"/>
    <w:rsid w:val="5F97237B"/>
    <w:rsid w:val="5F977B9A"/>
    <w:rsid w:val="5F98434D"/>
    <w:rsid w:val="5F9875DD"/>
    <w:rsid w:val="5F990C2B"/>
    <w:rsid w:val="5F9920D6"/>
    <w:rsid w:val="5F993E84"/>
    <w:rsid w:val="5F994492"/>
    <w:rsid w:val="5F994DD3"/>
    <w:rsid w:val="5F9958C6"/>
    <w:rsid w:val="5F99786C"/>
    <w:rsid w:val="5F9A3717"/>
    <w:rsid w:val="5F9A40ED"/>
    <w:rsid w:val="5F9A63AA"/>
    <w:rsid w:val="5F9A7BFD"/>
    <w:rsid w:val="5F9B2629"/>
    <w:rsid w:val="5F9B496B"/>
    <w:rsid w:val="5F9B75B0"/>
    <w:rsid w:val="5F9C19DD"/>
    <w:rsid w:val="5F9C400E"/>
    <w:rsid w:val="5F9C5573"/>
    <w:rsid w:val="5F9D03B8"/>
    <w:rsid w:val="5F9D1F85"/>
    <w:rsid w:val="5F9D31BC"/>
    <w:rsid w:val="5F9D5868"/>
    <w:rsid w:val="5F9D61ED"/>
    <w:rsid w:val="5F9E593F"/>
    <w:rsid w:val="5F9E6AD0"/>
    <w:rsid w:val="5F9F3465"/>
    <w:rsid w:val="5F9F6407"/>
    <w:rsid w:val="5F9F73D9"/>
    <w:rsid w:val="5FA02DA2"/>
    <w:rsid w:val="5FA0342D"/>
    <w:rsid w:val="5FA0480F"/>
    <w:rsid w:val="5FA05697"/>
    <w:rsid w:val="5FA07ECF"/>
    <w:rsid w:val="5FA12D39"/>
    <w:rsid w:val="5FA16DF0"/>
    <w:rsid w:val="5FA2062A"/>
    <w:rsid w:val="5FA2512D"/>
    <w:rsid w:val="5FA2596D"/>
    <w:rsid w:val="5FA3091E"/>
    <w:rsid w:val="5FA334EF"/>
    <w:rsid w:val="5FA3387C"/>
    <w:rsid w:val="5FA347AB"/>
    <w:rsid w:val="5FA3483B"/>
    <w:rsid w:val="5FA34D03"/>
    <w:rsid w:val="5FA358B3"/>
    <w:rsid w:val="5FA36AB1"/>
    <w:rsid w:val="5FA40546"/>
    <w:rsid w:val="5FA42829"/>
    <w:rsid w:val="5FA4349B"/>
    <w:rsid w:val="5FA44021"/>
    <w:rsid w:val="5FA453DB"/>
    <w:rsid w:val="5FA46BFA"/>
    <w:rsid w:val="5FA479B9"/>
    <w:rsid w:val="5FA511B6"/>
    <w:rsid w:val="5FA51580"/>
    <w:rsid w:val="5FA52D5E"/>
    <w:rsid w:val="5FA54011"/>
    <w:rsid w:val="5FA55B60"/>
    <w:rsid w:val="5FA56CCD"/>
    <w:rsid w:val="5FA6034F"/>
    <w:rsid w:val="5FA62A45"/>
    <w:rsid w:val="5FA65DB2"/>
    <w:rsid w:val="5FA665A1"/>
    <w:rsid w:val="5FA74871"/>
    <w:rsid w:val="5FA7535E"/>
    <w:rsid w:val="5FA77416"/>
    <w:rsid w:val="5FA8041E"/>
    <w:rsid w:val="5FA81D2D"/>
    <w:rsid w:val="5FA82319"/>
    <w:rsid w:val="5FA844F3"/>
    <w:rsid w:val="5FA9218D"/>
    <w:rsid w:val="5FAA07F1"/>
    <w:rsid w:val="5FAA27E4"/>
    <w:rsid w:val="5FAA2DA9"/>
    <w:rsid w:val="5FAA6092"/>
    <w:rsid w:val="5FAB1C81"/>
    <w:rsid w:val="5FAB3BB8"/>
    <w:rsid w:val="5FAB5467"/>
    <w:rsid w:val="5FAC0C4C"/>
    <w:rsid w:val="5FAC3111"/>
    <w:rsid w:val="5FAC6EA8"/>
    <w:rsid w:val="5FAD0A9E"/>
    <w:rsid w:val="5FAD16DE"/>
    <w:rsid w:val="5FAD2975"/>
    <w:rsid w:val="5FAD2EC9"/>
    <w:rsid w:val="5FAD43B4"/>
    <w:rsid w:val="5FAD45A1"/>
    <w:rsid w:val="5FAD5A48"/>
    <w:rsid w:val="5FAE03F3"/>
    <w:rsid w:val="5FAE15AC"/>
    <w:rsid w:val="5FAE4386"/>
    <w:rsid w:val="5FAE5C66"/>
    <w:rsid w:val="5FAF0602"/>
    <w:rsid w:val="5FAF0984"/>
    <w:rsid w:val="5FAF1783"/>
    <w:rsid w:val="5FAF18FA"/>
    <w:rsid w:val="5FAF22CD"/>
    <w:rsid w:val="5FAF51FC"/>
    <w:rsid w:val="5FAF7F3C"/>
    <w:rsid w:val="5FB00FC7"/>
    <w:rsid w:val="5FB011CE"/>
    <w:rsid w:val="5FB01E99"/>
    <w:rsid w:val="5FB02C7C"/>
    <w:rsid w:val="5FB10811"/>
    <w:rsid w:val="5FB16987"/>
    <w:rsid w:val="5FB1752D"/>
    <w:rsid w:val="5FB21C34"/>
    <w:rsid w:val="5FB23198"/>
    <w:rsid w:val="5FB24F46"/>
    <w:rsid w:val="5FB261DF"/>
    <w:rsid w:val="5FB27537"/>
    <w:rsid w:val="5FB30413"/>
    <w:rsid w:val="5FB32A6C"/>
    <w:rsid w:val="5FB349A6"/>
    <w:rsid w:val="5FB364EA"/>
    <w:rsid w:val="5FB365D1"/>
    <w:rsid w:val="5FB46F10"/>
    <w:rsid w:val="5FB526D9"/>
    <w:rsid w:val="5FB5412C"/>
    <w:rsid w:val="5FB54A36"/>
    <w:rsid w:val="5FB55E07"/>
    <w:rsid w:val="5FB61232"/>
    <w:rsid w:val="5FB629A8"/>
    <w:rsid w:val="5FB63702"/>
    <w:rsid w:val="5FB66832"/>
    <w:rsid w:val="5FB67717"/>
    <w:rsid w:val="5FB7107F"/>
    <w:rsid w:val="5FB76D6F"/>
    <w:rsid w:val="5FB82B2C"/>
    <w:rsid w:val="5FB91DD7"/>
    <w:rsid w:val="5FB92B44"/>
    <w:rsid w:val="5FB94527"/>
    <w:rsid w:val="5FB94A9C"/>
    <w:rsid w:val="5FB94FC9"/>
    <w:rsid w:val="5FB962D5"/>
    <w:rsid w:val="5FB97FA5"/>
    <w:rsid w:val="5FBA0B42"/>
    <w:rsid w:val="5FBA3DFB"/>
    <w:rsid w:val="5FBA71C7"/>
    <w:rsid w:val="5FBB029F"/>
    <w:rsid w:val="5FBB033F"/>
    <w:rsid w:val="5FBB1139"/>
    <w:rsid w:val="5FBC4902"/>
    <w:rsid w:val="5FBC5F27"/>
    <w:rsid w:val="5FBE0C8A"/>
    <w:rsid w:val="5FBE1B3D"/>
    <w:rsid w:val="5FBE3DAA"/>
    <w:rsid w:val="5FBE7D8F"/>
    <w:rsid w:val="5FBF1411"/>
    <w:rsid w:val="5FBF1587"/>
    <w:rsid w:val="5FBF2ADD"/>
    <w:rsid w:val="5FBF31B3"/>
    <w:rsid w:val="5FBF402F"/>
    <w:rsid w:val="5FBF7663"/>
    <w:rsid w:val="5FC01A71"/>
    <w:rsid w:val="5FC03B07"/>
    <w:rsid w:val="5FC058B5"/>
    <w:rsid w:val="5FC07C51"/>
    <w:rsid w:val="5FC10AD2"/>
    <w:rsid w:val="5FC1162D"/>
    <w:rsid w:val="5FC17C32"/>
    <w:rsid w:val="5FC23025"/>
    <w:rsid w:val="5FC2380F"/>
    <w:rsid w:val="5FC26F03"/>
    <w:rsid w:val="5FC275F0"/>
    <w:rsid w:val="5FC30F01"/>
    <w:rsid w:val="5FC310AC"/>
    <w:rsid w:val="5FC311D5"/>
    <w:rsid w:val="5FC34C5B"/>
    <w:rsid w:val="5FC3721D"/>
    <w:rsid w:val="5FC41011"/>
    <w:rsid w:val="5FC44C79"/>
    <w:rsid w:val="5FC47980"/>
    <w:rsid w:val="5FC52ECB"/>
    <w:rsid w:val="5FC53830"/>
    <w:rsid w:val="5FC53D09"/>
    <w:rsid w:val="5FC540DE"/>
    <w:rsid w:val="5FC609F2"/>
    <w:rsid w:val="5FC62724"/>
    <w:rsid w:val="5FC765EB"/>
    <w:rsid w:val="5FC77DD4"/>
    <w:rsid w:val="5FC80612"/>
    <w:rsid w:val="5FC829BC"/>
    <w:rsid w:val="5FC83EC4"/>
    <w:rsid w:val="5FC8476A"/>
    <w:rsid w:val="5FC92639"/>
    <w:rsid w:val="5FC948F8"/>
    <w:rsid w:val="5FC96CA6"/>
    <w:rsid w:val="5FCA0963"/>
    <w:rsid w:val="5FCA14A1"/>
    <w:rsid w:val="5FCA38DC"/>
    <w:rsid w:val="5FCA52C5"/>
    <w:rsid w:val="5FCB39BB"/>
    <w:rsid w:val="5FCB7B2A"/>
    <w:rsid w:val="5FCC24AC"/>
    <w:rsid w:val="5FCC28E5"/>
    <w:rsid w:val="5FCC55AE"/>
    <w:rsid w:val="5FCD3E81"/>
    <w:rsid w:val="5FCD52BA"/>
    <w:rsid w:val="5FCD7FD2"/>
    <w:rsid w:val="5FCE07CD"/>
    <w:rsid w:val="5FCE0B0D"/>
    <w:rsid w:val="5FCE11FB"/>
    <w:rsid w:val="5FCE16B0"/>
    <w:rsid w:val="5FCE4BE3"/>
    <w:rsid w:val="5FCE501B"/>
    <w:rsid w:val="5FCF1761"/>
    <w:rsid w:val="5FCF2ABA"/>
    <w:rsid w:val="5FCF4E2F"/>
    <w:rsid w:val="5FCF5AF8"/>
    <w:rsid w:val="5FCF64AB"/>
    <w:rsid w:val="5FCF78A6"/>
    <w:rsid w:val="5FD01870"/>
    <w:rsid w:val="5FD0361E"/>
    <w:rsid w:val="5FD120CA"/>
    <w:rsid w:val="5FD14E09"/>
    <w:rsid w:val="5FD17AC2"/>
    <w:rsid w:val="5FD27F36"/>
    <w:rsid w:val="5FD30799"/>
    <w:rsid w:val="5FD31D13"/>
    <w:rsid w:val="5FD36345"/>
    <w:rsid w:val="5FD36E6B"/>
    <w:rsid w:val="5FD36FB6"/>
    <w:rsid w:val="5FD37F95"/>
    <w:rsid w:val="5FD41360"/>
    <w:rsid w:val="5FD4342C"/>
    <w:rsid w:val="5FD47026"/>
    <w:rsid w:val="5FD4756F"/>
    <w:rsid w:val="5FD502D9"/>
    <w:rsid w:val="5FD50C35"/>
    <w:rsid w:val="5FD50D82"/>
    <w:rsid w:val="5FD56835"/>
    <w:rsid w:val="5FD56E87"/>
    <w:rsid w:val="5FD621A4"/>
    <w:rsid w:val="5FD62F01"/>
    <w:rsid w:val="5FD650D9"/>
    <w:rsid w:val="5FD6732B"/>
    <w:rsid w:val="5FD74DA6"/>
    <w:rsid w:val="5FD74F92"/>
    <w:rsid w:val="5FD759F2"/>
    <w:rsid w:val="5FD760CD"/>
    <w:rsid w:val="5FD77808"/>
    <w:rsid w:val="5FD8371D"/>
    <w:rsid w:val="5FD84743"/>
    <w:rsid w:val="5FD84C7A"/>
    <w:rsid w:val="5FD87942"/>
    <w:rsid w:val="5FD90725"/>
    <w:rsid w:val="5FD90764"/>
    <w:rsid w:val="5FD91D18"/>
    <w:rsid w:val="5FD92CE7"/>
    <w:rsid w:val="5FDA0F1A"/>
    <w:rsid w:val="5FDA305B"/>
    <w:rsid w:val="5FDA35BE"/>
    <w:rsid w:val="5FDA449D"/>
    <w:rsid w:val="5FDA4AC4"/>
    <w:rsid w:val="5FDA62A2"/>
    <w:rsid w:val="5FDA715B"/>
    <w:rsid w:val="5FDB0323"/>
    <w:rsid w:val="5FDB26EF"/>
    <w:rsid w:val="5FDB761F"/>
    <w:rsid w:val="5FDB7FE8"/>
    <w:rsid w:val="5FDC1718"/>
    <w:rsid w:val="5FDC1FC3"/>
    <w:rsid w:val="5FDC2CE9"/>
    <w:rsid w:val="5FDC5C0C"/>
    <w:rsid w:val="5FDC6467"/>
    <w:rsid w:val="5FDD1F3F"/>
    <w:rsid w:val="5FDD492F"/>
    <w:rsid w:val="5FDE33CF"/>
    <w:rsid w:val="5FDE5251"/>
    <w:rsid w:val="5FDF3861"/>
    <w:rsid w:val="5FDF5896"/>
    <w:rsid w:val="5FE0086B"/>
    <w:rsid w:val="5FE00C90"/>
    <w:rsid w:val="5FE01AB3"/>
    <w:rsid w:val="5FE06F20"/>
    <w:rsid w:val="5FE07D05"/>
    <w:rsid w:val="5FE10B3E"/>
    <w:rsid w:val="5FE1243E"/>
    <w:rsid w:val="5FE13A7D"/>
    <w:rsid w:val="5FE1582B"/>
    <w:rsid w:val="5FE17006"/>
    <w:rsid w:val="5FE175D9"/>
    <w:rsid w:val="5FE17AD8"/>
    <w:rsid w:val="5FE22029"/>
    <w:rsid w:val="5FE232F4"/>
    <w:rsid w:val="5FE23B1D"/>
    <w:rsid w:val="5FE24921"/>
    <w:rsid w:val="5FE31A73"/>
    <w:rsid w:val="5FE33352"/>
    <w:rsid w:val="5FE354A7"/>
    <w:rsid w:val="5FE35FF6"/>
    <w:rsid w:val="5FE36710"/>
    <w:rsid w:val="5FE377F5"/>
    <w:rsid w:val="5FE42D08"/>
    <w:rsid w:val="5FE4557A"/>
    <w:rsid w:val="5FE46445"/>
    <w:rsid w:val="5FE532A2"/>
    <w:rsid w:val="5FE5552C"/>
    <w:rsid w:val="5FE570CA"/>
    <w:rsid w:val="5FE57651"/>
    <w:rsid w:val="5FE61D1A"/>
    <w:rsid w:val="5FE62E42"/>
    <w:rsid w:val="5FE64732"/>
    <w:rsid w:val="5FE64BF0"/>
    <w:rsid w:val="5FE67CCE"/>
    <w:rsid w:val="5FE71934"/>
    <w:rsid w:val="5FE73A36"/>
    <w:rsid w:val="5FE747D8"/>
    <w:rsid w:val="5FE76D8C"/>
    <w:rsid w:val="5FE82705"/>
    <w:rsid w:val="5FE84E0C"/>
    <w:rsid w:val="5FE8585B"/>
    <w:rsid w:val="5FE904E2"/>
    <w:rsid w:val="5FE90AE4"/>
    <w:rsid w:val="5FE910FE"/>
    <w:rsid w:val="5FE9338C"/>
    <w:rsid w:val="5FE949D0"/>
    <w:rsid w:val="5FE96700"/>
    <w:rsid w:val="5FEA0B84"/>
    <w:rsid w:val="5FEA46E0"/>
    <w:rsid w:val="5FEA53B6"/>
    <w:rsid w:val="5FEB1311"/>
    <w:rsid w:val="5FEB4656"/>
    <w:rsid w:val="5FEB66AA"/>
    <w:rsid w:val="5FEC1CFE"/>
    <w:rsid w:val="5FEC66C8"/>
    <w:rsid w:val="5FEC6B5E"/>
    <w:rsid w:val="5FED1A34"/>
    <w:rsid w:val="5FED2639"/>
    <w:rsid w:val="5FED28E7"/>
    <w:rsid w:val="5FED3B35"/>
    <w:rsid w:val="5FED52A2"/>
    <w:rsid w:val="5FEE0AB2"/>
    <w:rsid w:val="5FEE65FD"/>
    <w:rsid w:val="5FEE6D38"/>
    <w:rsid w:val="5FEF0952"/>
    <w:rsid w:val="5FEF1CF6"/>
    <w:rsid w:val="5FEF225A"/>
    <w:rsid w:val="5FEF50C1"/>
    <w:rsid w:val="5FEF5A3F"/>
    <w:rsid w:val="5FEF7F48"/>
    <w:rsid w:val="5FF02A22"/>
    <w:rsid w:val="5FF057E4"/>
    <w:rsid w:val="5FF05A6E"/>
    <w:rsid w:val="5FF07E12"/>
    <w:rsid w:val="5FF11F12"/>
    <w:rsid w:val="5FF15E8B"/>
    <w:rsid w:val="5FF27034"/>
    <w:rsid w:val="5FF27A39"/>
    <w:rsid w:val="5FF41F25"/>
    <w:rsid w:val="5FF427D0"/>
    <w:rsid w:val="5FF4555F"/>
    <w:rsid w:val="5FF50F0F"/>
    <w:rsid w:val="5FF57FBB"/>
    <w:rsid w:val="5FF615BD"/>
    <w:rsid w:val="5FF61A44"/>
    <w:rsid w:val="5FF659BF"/>
    <w:rsid w:val="5FF67C26"/>
    <w:rsid w:val="5FF72C8F"/>
    <w:rsid w:val="5FF732A1"/>
    <w:rsid w:val="5FF7504F"/>
    <w:rsid w:val="5FF76A02"/>
    <w:rsid w:val="5FF84C06"/>
    <w:rsid w:val="5FF84E22"/>
    <w:rsid w:val="5FF85492"/>
    <w:rsid w:val="5FF85CCE"/>
    <w:rsid w:val="5FF915CA"/>
    <w:rsid w:val="5FF91718"/>
    <w:rsid w:val="5FF93BB4"/>
    <w:rsid w:val="5FFA069B"/>
    <w:rsid w:val="5FFA27B2"/>
    <w:rsid w:val="5FFA2BA8"/>
    <w:rsid w:val="5FFA3418"/>
    <w:rsid w:val="5FFA670C"/>
    <w:rsid w:val="5FFB0471"/>
    <w:rsid w:val="5FFB683C"/>
    <w:rsid w:val="5FFC167E"/>
    <w:rsid w:val="5FFC2665"/>
    <w:rsid w:val="5FFC2F6A"/>
    <w:rsid w:val="5FFC4413"/>
    <w:rsid w:val="5FFC4F1A"/>
    <w:rsid w:val="5FFC5A7B"/>
    <w:rsid w:val="5FFD0C77"/>
    <w:rsid w:val="5FFD7907"/>
    <w:rsid w:val="5FFE1F39"/>
    <w:rsid w:val="5FFE2C0E"/>
    <w:rsid w:val="5FFF35AE"/>
    <w:rsid w:val="5FFF3ED2"/>
    <w:rsid w:val="5FFF5CB2"/>
    <w:rsid w:val="60001041"/>
    <w:rsid w:val="60001E2C"/>
    <w:rsid w:val="60004DB0"/>
    <w:rsid w:val="600052D9"/>
    <w:rsid w:val="6000568F"/>
    <w:rsid w:val="60006241"/>
    <w:rsid w:val="60006806"/>
    <w:rsid w:val="60007F09"/>
    <w:rsid w:val="60010B9D"/>
    <w:rsid w:val="60011A2A"/>
    <w:rsid w:val="60011BE0"/>
    <w:rsid w:val="60017ED4"/>
    <w:rsid w:val="6002397A"/>
    <w:rsid w:val="60023C8F"/>
    <w:rsid w:val="600242AA"/>
    <w:rsid w:val="600251E1"/>
    <w:rsid w:val="60031C46"/>
    <w:rsid w:val="6003761E"/>
    <w:rsid w:val="60037EAC"/>
    <w:rsid w:val="600413E2"/>
    <w:rsid w:val="600420C4"/>
    <w:rsid w:val="600437E9"/>
    <w:rsid w:val="60043CF7"/>
    <w:rsid w:val="60044E6E"/>
    <w:rsid w:val="60050660"/>
    <w:rsid w:val="60050811"/>
    <w:rsid w:val="6005151A"/>
    <w:rsid w:val="600532A3"/>
    <w:rsid w:val="600534FA"/>
    <w:rsid w:val="60064C11"/>
    <w:rsid w:val="60065292"/>
    <w:rsid w:val="60066D64"/>
    <w:rsid w:val="6007029D"/>
    <w:rsid w:val="600725DB"/>
    <w:rsid w:val="600734E4"/>
    <w:rsid w:val="600737DF"/>
    <w:rsid w:val="60075DEF"/>
    <w:rsid w:val="60075E5A"/>
    <w:rsid w:val="60077599"/>
    <w:rsid w:val="6008100A"/>
    <w:rsid w:val="6008154F"/>
    <w:rsid w:val="6008552C"/>
    <w:rsid w:val="60085DAB"/>
    <w:rsid w:val="60091AEC"/>
    <w:rsid w:val="600935D0"/>
    <w:rsid w:val="6009394C"/>
    <w:rsid w:val="600961F6"/>
    <w:rsid w:val="60096F7E"/>
    <w:rsid w:val="60097D62"/>
    <w:rsid w:val="600A269D"/>
    <w:rsid w:val="600A4623"/>
    <w:rsid w:val="600A4D82"/>
    <w:rsid w:val="600A6B30"/>
    <w:rsid w:val="600B195E"/>
    <w:rsid w:val="600B23EC"/>
    <w:rsid w:val="600B2C32"/>
    <w:rsid w:val="600B4656"/>
    <w:rsid w:val="600C0AFA"/>
    <w:rsid w:val="600C3338"/>
    <w:rsid w:val="600D2F94"/>
    <w:rsid w:val="600D43BE"/>
    <w:rsid w:val="600E0D6D"/>
    <w:rsid w:val="600E6687"/>
    <w:rsid w:val="600E6E8E"/>
    <w:rsid w:val="600E7458"/>
    <w:rsid w:val="600F2399"/>
    <w:rsid w:val="600F4A8D"/>
    <w:rsid w:val="600F63DE"/>
    <w:rsid w:val="600F7E94"/>
    <w:rsid w:val="601015F6"/>
    <w:rsid w:val="601042D7"/>
    <w:rsid w:val="6010714C"/>
    <w:rsid w:val="60107EBF"/>
    <w:rsid w:val="60114363"/>
    <w:rsid w:val="60115EB0"/>
    <w:rsid w:val="60116111"/>
    <w:rsid w:val="60122050"/>
    <w:rsid w:val="60123C37"/>
    <w:rsid w:val="60123E30"/>
    <w:rsid w:val="6013046A"/>
    <w:rsid w:val="60131910"/>
    <w:rsid w:val="60132460"/>
    <w:rsid w:val="60132B5C"/>
    <w:rsid w:val="601355FA"/>
    <w:rsid w:val="601370DB"/>
    <w:rsid w:val="60142202"/>
    <w:rsid w:val="601427B8"/>
    <w:rsid w:val="60145C01"/>
    <w:rsid w:val="601502B0"/>
    <w:rsid w:val="60161553"/>
    <w:rsid w:val="60161979"/>
    <w:rsid w:val="601623F8"/>
    <w:rsid w:val="601654D5"/>
    <w:rsid w:val="60167C83"/>
    <w:rsid w:val="6017124D"/>
    <w:rsid w:val="60173AAA"/>
    <w:rsid w:val="6017749F"/>
    <w:rsid w:val="60177F8C"/>
    <w:rsid w:val="60184C1D"/>
    <w:rsid w:val="60185660"/>
    <w:rsid w:val="601856F1"/>
    <w:rsid w:val="60192D92"/>
    <w:rsid w:val="601945DF"/>
    <w:rsid w:val="60194FC5"/>
    <w:rsid w:val="60196D73"/>
    <w:rsid w:val="601975C1"/>
    <w:rsid w:val="601A422B"/>
    <w:rsid w:val="601A790F"/>
    <w:rsid w:val="601B0D3D"/>
    <w:rsid w:val="601B2AEB"/>
    <w:rsid w:val="601B32AE"/>
    <w:rsid w:val="601B3EB6"/>
    <w:rsid w:val="601B4AB2"/>
    <w:rsid w:val="601B4D30"/>
    <w:rsid w:val="601B6F8F"/>
    <w:rsid w:val="601C0564"/>
    <w:rsid w:val="601C3588"/>
    <w:rsid w:val="601C4AB5"/>
    <w:rsid w:val="601C7269"/>
    <w:rsid w:val="601D2D07"/>
    <w:rsid w:val="601D5AE3"/>
    <w:rsid w:val="601D6342"/>
    <w:rsid w:val="601E01A2"/>
    <w:rsid w:val="601E082E"/>
    <w:rsid w:val="601E25DC"/>
    <w:rsid w:val="601F0CC7"/>
    <w:rsid w:val="601F3433"/>
    <w:rsid w:val="6020045A"/>
    <w:rsid w:val="6020116B"/>
    <w:rsid w:val="60201FC4"/>
    <w:rsid w:val="60202D2E"/>
    <w:rsid w:val="602036EA"/>
    <w:rsid w:val="602045A6"/>
    <w:rsid w:val="60205070"/>
    <w:rsid w:val="602120CC"/>
    <w:rsid w:val="60213E7A"/>
    <w:rsid w:val="60215C4A"/>
    <w:rsid w:val="602171E3"/>
    <w:rsid w:val="60223B0F"/>
    <w:rsid w:val="60224B4B"/>
    <w:rsid w:val="60230375"/>
    <w:rsid w:val="60231965"/>
    <w:rsid w:val="60233244"/>
    <w:rsid w:val="60234096"/>
    <w:rsid w:val="60235B31"/>
    <w:rsid w:val="60235E44"/>
    <w:rsid w:val="602448EA"/>
    <w:rsid w:val="60247C3D"/>
    <w:rsid w:val="60253286"/>
    <w:rsid w:val="60255718"/>
    <w:rsid w:val="60256E3E"/>
    <w:rsid w:val="60261490"/>
    <w:rsid w:val="60261640"/>
    <w:rsid w:val="60262837"/>
    <w:rsid w:val="602631A4"/>
    <w:rsid w:val="60264121"/>
    <w:rsid w:val="60265F3E"/>
    <w:rsid w:val="60271367"/>
    <w:rsid w:val="6027562A"/>
    <w:rsid w:val="60283289"/>
    <w:rsid w:val="6028377A"/>
    <w:rsid w:val="602844E5"/>
    <w:rsid w:val="60290A8A"/>
    <w:rsid w:val="602936DC"/>
    <w:rsid w:val="60295AA8"/>
    <w:rsid w:val="60296F98"/>
    <w:rsid w:val="602970B6"/>
    <w:rsid w:val="60297497"/>
    <w:rsid w:val="602A2D2E"/>
    <w:rsid w:val="602A3924"/>
    <w:rsid w:val="602A5AE3"/>
    <w:rsid w:val="602A7A30"/>
    <w:rsid w:val="602B05B7"/>
    <w:rsid w:val="602B0A69"/>
    <w:rsid w:val="602B19D6"/>
    <w:rsid w:val="602B6AA7"/>
    <w:rsid w:val="602C1292"/>
    <w:rsid w:val="602C4CF9"/>
    <w:rsid w:val="602D0A71"/>
    <w:rsid w:val="602D1A02"/>
    <w:rsid w:val="602D281F"/>
    <w:rsid w:val="602D4796"/>
    <w:rsid w:val="602D5326"/>
    <w:rsid w:val="602D6CC3"/>
    <w:rsid w:val="602E0FA1"/>
    <w:rsid w:val="602E2DCE"/>
    <w:rsid w:val="602E523C"/>
    <w:rsid w:val="602F47E9"/>
    <w:rsid w:val="602F7EBD"/>
    <w:rsid w:val="60302650"/>
    <w:rsid w:val="603040BD"/>
    <w:rsid w:val="6030761F"/>
    <w:rsid w:val="60315853"/>
    <w:rsid w:val="60316AC6"/>
    <w:rsid w:val="60316E73"/>
    <w:rsid w:val="60324DC7"/>
    <w:rsid w:val="60325913"/>
    <w:rsid w:val="60326087"/>
    <w:rsid w:val="603268CD"/>
    <w:rsid w:val="603269C5"/>
    <w:rsid w:val="60327E35"/>
    <w:rsid w:val="6033259E"/>
    <w:rsid w:val="603358D5"/>
    <w:rsid w:val="60335DCE"/>
    <w:rsid w:val="60336BFF"/>
    <w:rsid w:val="60340051"/>
    <w:rsid w:val="60340BC8"/>
    <w:rsid w:val="60340F92"/>
    <w:rsid w:val="60341DFF"/>
    <w:rsid w:val="60343BAD"/>
    <w:rsid w:val="60345021"/>
    <w:rsid w:val="6035022A"/>
    <w:rsid w:val="603503F2"/>
    <w:rsid w:val="60350489"/>
    <w:rsid w:val="603539B1"/>
    <w:rsid w:val="60356A5B"/>
    <w:rsid w:val="60363DC9"/>
    <w:rsid w:val="6036401A"/>
    <w:rsid w:val="60366394"/>
    <w:rsid w:val="60367925"/>
    <w:rsid w:val="603717E2"/>
    <w:rsid w:val="6037369D"/>
    <w:rsid w:val="60374429"/>
    <w:rsid w:val="603744C2"/>
    <w:rsid w:val="6037544B"/>
    <w:rsid w:val="60375C18"/>
    <w:rsid w:val="60377229"/>
    <w:rsid w:val="603775A4"/>
    <w:rsid w:val="6038371D"/>
    <w:rsid w:val="60384C39"/>
    <w:rsid w:val="60385CA1"/>
    <w:rsid w:val="60387521"/>
    <w:rsid w:val="6039236E"/>
    <w:rsid w:val="60393777"/>
    <w:rsid w:val="60396BAB"/>
    <w:rsid w:val="60397EA0"/>
    <w:rsid w:val="603A167A"/>
    <w:rsid w:val="603A68FA"/>
    <w:rsid w:val="603A7CF1"/>
    <w:rsid w:val="603B13E0"/>
    <w:rsid w:val="603B2A19"/>
    <w:rsid w:val="603B318E"/>
    <w:rsid w:val="603B4F3C"/>
    <w:rsid w:val="603B69DB"/>
    <w:rsid w:val="603C0CB4"/>
    <w:rsid w:val="603C0E54"/>
    <w:rsid w:val="603C295B"/>
    <w:rsid w:val="603C3A56"/>
    <w:rsid w:val="603C7D09"/>
    <w:rsid w:val="603D0811"/>
    <w:rsid w:val="603D367E"/>
    <w:rsid w:val="603D3EBB"/>
    <w:rsid w:val="603D4B0A"/>
    <w:rsid w:val="603D5158"/>
    <w:rsid w:val="603D53C2"/>
    <w:rsid w:val="603D7BC0"/>
    <w:rsid w:val="603E28D1"/>
    <w:rsid w:val="603E30C7"/>
    <w:rsid w:val="603E347C"/>
    <w:rsid w:val="603E3665"/>
    <w:rsid w:val="603E41B5"/>
    <w:rsid w:val="603E4A2C"/>
    <w:rsid w:val="603F28A0"/>
    <w:rsid w:val="6040020B"/>
    <w:rsid w:val="6040151C"/>
    <w:rsid w:val="60402552"/>
    <w:rsid w:val="6040276C"/>
    <w:rsid w:val="60402F8F"/>
    <w:rsid w:val="604162CA"/>
    <w:rsid w:val="60416CAC"/>
    <w:rsid w:val="604220C0"/>
    <w:rsid w:val="6042276E"/>
    <w:rsid w:val="6042323F"/>
    <w:rsid w:val="6042451C"/>
    <w:rsid w:val="60430294"/>
    <w:rsid w:val="60434D17"/>
    <w:rsid w:val="604364E6"/>
    <w:rsid w:val="604370B1"/>
    <w:rsid w:val="60443706"/>
    <w:rsid w:val="60443CBE"/>
    <w:rsid w:val="60445866"/>
    <w:rsid w:val="6044750E"/>
    <w:rsid w:val="60450058"/>
    <w:rsid w:val="60452444"/>
    <w:rsid w:val="6045312D"/>
    <w:rsid w:val="6045400C"/>
    <w:rsid w:val="60454E33"/>
    <w:rsid w:val="60455DBA"/>
    <w:rsid w:val="60457B68"/>
    <w:rsid w:val="60462C0D"/>
    <w:rsid w:val="604638E0"/>
    <w:rsid w:val="604708A9"/>
    <w:rsid w:val="60471B32"/>
    <w:rsid w:val="6047263F"/>
    <w:rsid w:val="604768BC"/>
    <w:rsid w:val="604770AF"/>
    <w:rsid w:val="60480D8A"/>
    <w:rsid w:val="6048134D"/>
    <w:rsid w:val="60483ACF"/>
    <w:rsid w:val="60483AFC"/>
    <w:rsid w:val="60484910"/>
    <w:rsid w:val="60484AA1"/>
    <w:rsid w:val="60484CF2"/>
    <w:rsid w:val="60492B74"/>
    <w:rsid w:val="604962FC"/>
    <w:rsid w:val="604966BD"/>
    <w:rsid w:val="604A33D1"/>
    <w:rsid w:val="604A7057"/>
    <w:rsid w:val="604A73E6"/>
    <w:rsid w:val="604B2450"/>
    <w:rsid w:val="604B413F"/>
    <w:rsid w:val="604B4F6D"/>
    <w:rsid w:val="604C0A9E"/>
    <w:rsid w:val="604C48D7"/>
    <w:rsid w:val="604D10B1"/>
    <w:rsid w:val="604D2EC1"/>
    <w:rsid w:val="604D3DCF"/>
    <w:rsid w:val="604D4D70"/>
    <w:rsid w:val="604E188B"/>
    <w:rsid w:val="604E7952"/>
    <w:rsid w:val="604F0D58"/>
    <w:rsid w:val="604F338F"/>
    <w:rsid w:val="604F5AF3"/>
    <w:rsid w:val="604F7351"/>
    <w:rsid w:val="60507A3A"/>
    <w:rsid w:val="6051122F"/>
    <w:rsid w:val="605129B1"/>
    <w:rsid w:val="6051650D"/>
    <w:rsid w:val="605204D7"/>
    <w:rsid w:val="60522BFE"/>
    <w:rsid w:val="60525FC0"/>
    <w:rsid w:val="60536011"/>
    <w:rsid w:val="605424A1"/>
    <w:rsid w:val="605437B3"/>
    <w:rsid w:val="6054424F"/>
    <w:rsid w:val="60545FFD"/>
    <w:rsid w:val="60553502"/>
    <w:rsid w:val="60556D7A"/>
    <w:rsid w:val="60557DC5"/>
    <w:rsid w:val="60561B3A"/>
    <w:rsid w:val="60561C9D"/>
    <w:rsid w:val="60563B24"/>
    <w:rsid w:val="6056497F"/>
    <w:rsid w:val="60567FC7"/>
    <w:rsid w:val="6057124D"/>
    <w:rsid w:val="60574947"/>
    <w:rsid w:val="60574EA6"/>
    <w:rsid w:val="60576396"/>
    <w:rsid w:val="60576E12"/>
    <w:rsid w:val="60580DD8"/>
    <w:rsid w:val="60581427"/>
    <w:rsid w:val="60581D30"/>
    <w:rsid w:val="60584385"/>
    <w:rsid w:val="60584FCC"/>
    <w:rsid w:val="60591866"/>
    <w:rsid w:val="60593614"/>
    <w:rsid w:val="60597AB8"/>
    <w:rsid w:val="605A2C70"/>
    <w:rsid w:val="605A7EC5"/>
    <w:rsid w:val="605B3830"/>
    <w:rsid w:val="605C4D38"/>
    <w:rsid w:val="605C4EB2"/>
    <w:rsid w:val="605C5650"/>
    <w:rsid w:val="605D1356"/>
    <w:rsid w:val="605D1C94"/>
    <w:rsid w:val="605D3104"/>
    <w:rsid w:val="605D4842"/>
    <w:rsid w:val="605D5A1A"/>
    <w:rsid w:val="605D6BB5"/>
    <w:rsid w:val="605E0C2A"/>
    <w:rsid w:val="605E3023"/>
    <w:rsid w:val="605E309A"/>
    <w:rsid w:val="605F052B"/>
    <w:rsid w:val="605F2220"/>
    <w:rsid w:val="605F4C42"/>
    <w:rsid w:val="605F55D6"/>
    <w:rsid w:val="606003E4"/>
    <w:rsid w:val="60601020"/>
    <w:rsid w:val="606015D0"/>
    <w:rsid w:val="6060290A"/>
    <w:rsid w:val="606036A1"/>
    <w:rsid w:val="6061134F"/>
    <w:rsid w:val="606171FC"/>
    <w:rsid w:val="6061778B"/>
    <w:rsid w:val="60617C7E"/>
    <w:rsid w:val="6062071A"/>
    <w:rsid w:val="60624676"/>
    <w:rsid w:val="60624BBE"/>
    <w:rsid w:val="60624D7A"/>
    <w:rsid w:val="60625B06"/>
    <w:rsid w:val="60625C93"/>
    <w:rsid w:val="6062705E"/>
    <w:rsid w:val="606326E4"/>
    <w:rsid w:val="60634492"/>
    <w:rsid w:val="60634D15"/>
    <w:rsid w:val="60636240"/>
    <w:rsid w:val="6064066E"/>
    <w:rsid w:val="60640FCF"/>
    <w:rsid w:val="60641052"/>
    <w:rsid w:val="60642E9C"/>
    <w:rsid w:val="60644CD3"/>
    <w:rsid w:val="60647271"/>
    <w:rsid w:val="6065020A"/>
    <w:rsid w:val="6065645C"/>
    <w:rsid w:val="606614DE"/>
    <w:rsid w:val="606623AA"/>
    <w:rsid w:val="6066494F"/>
    <w:rsid w:val="60667EE2"/>
    <w:rsid w:val="606721D5"/>
    <w:rsid w:val="60673F83"/>
    <w:rsid w:val="60675196"/>
    <w:rsid w:val="60675D31"/>
    <w:rsid w:val="606760BC"/>
    <w:rsid w:val="60676AA6"/>
    <w:rsid w:val="606807B3"/>
    <w:rsid w:val="60681AA9"/>
    <w:rsid w:val="606A3A73"/>
    <w:rsid w:val="606B273A"/>
    <w:rsid w:val="606B4B75"/>
    <w:rsid w:val="606B6875"/>
    <w:rsid w:val="606C2ECA"/>
    <w:rsid w:val="606C3347"/>
    <w:rsid w:val="606C7255"/>
    <w:rsid w:val="606D0BB0"/>
    <w:rsid w:val="606E3563"/>
    <w:rsid w:val="606E7913"/>
    <w:rsid w:val="606F299E"/>
    <w:rsid w:val="606F2E37"/>
    <w:rsid w:val="606F2ECA"/>
    <w:rsid w:val="606F4BE5"/>
    <w:rsid w:val="606F6F90"/>
    <w:rsid w:val="606F72DB"/>
    <w:rsid w:val="6070010A"/>
    <w:rsid w:val="6070413F"/>
    <w:rsid w:val="607045AB"/>
    <w:rsid w:val="60706EED"/>
    <w:rsid w:val="6071020E"/>
    <w:rsid w:val="6071407C"/>
    <w:rsid w:val="60714E01"/>
    <w:rsid w:val="60716BAF"/>
    <w:rsid w:val="60730B79"/>
    <w:rsid w:val="60731D9D"/>
    <w:rsid w:val="607357D8"/>
    <w:rsid w:val="607360A8"/>
    <w:rsid w:val="6074092F"/>
    <w:rsid w:val="60741065"/>
    <w:rsid w:val="6074131D"/>
    <w:rsid w:val="6074165C"/>
    <w:rsid w:val="607448F1"/>
    <w:rsid w:val="60745143"/>
    <w:rsid w:val="60757D10"/>
    <w:rsid w:val="607614B2"/>
    <w:rsid w:val="60762418"/>
    <w:rsid w:val="607641C6"/>
    <w:rsid w:val="60765F74"/>
    <w:rsid w:val="60766B4D"/>
    <w:rsid w:val="60770965"/>
    <w:rsid w:val="60771A5A"/>
    <w:rsid w:val="60771CE9"/>
    <w:rsid w:val="60771CEC"/>
    <w:rsid w:val="60774342"/>
    <w:rsid w:val="60776410"/>
    <w:rsid w:val="6078155E"/>
    <w:rsid w:val="60782299"/>
    <w:rsid w:val="60786190"/>
    <w:rsid w:val="60787F3E"/>
    <w:rsid w:val="60791DA1"/>
    <w:rsid w:val="60791F08"/>
    <w:rsid w:val="60791F1B"/>
    <w:rsid w:val="607926CA"/>
    <w:rsid w:val="60793CB6"/>
    <w:rsid w:val="60795A64"/>
    <w:rsid w:val="607967CB"/>
    <w:rsid w:val="60796F8C"/>
    <w:rsid w:val="607A288B"/>
    <w:rsid w:val="607B5C80"/>
    <w:rsid w:val="607C1488"/>
    <w:rsid w:val="607C2750"/>
    <w:rsid w:val="607C2B27"/>
    <w:rsid w:val="607C4917"/>
    <w:rsid w:val="607C7302"/>
    <w:rsid w:val="607C7DEE"/>
    <w:rsid w:val="607D013A"/>
    <w:rsid w:val="607D37A6"/>
    <w:rsid w:val="607D3D3E"/>
    <w:rsid w:val="607D4EB4"/>
    <w:rsid w:val="607D5554"/>
    <w:rsid w:val="607D7B99"/>
    <w:rsid w:val="607E307A"/>
    <w:rsid w:val="607E751E"/>
    <w:rsid w:val="607F2AF6"/>
    <w:rsid w:val="607F2BA8"/>
    <w:rsid w:val="60800175"/>
    <w:rsid w:val="608027D0"/>
    <w:rsid w:val="60803223"/>
    <w:rsid w:val="60803296"/>
    <w:rsid w:val="60805859"/>
    <w:rsid w:val="60806DF2"/>
    <w:rsid w:val="60806E07"/>
    <w:rsid w:val="608108A6"/>
    <w:rsid w:val="608108BD"/>
    <w:rsid w:val="60811C4B"/>
    <w:rsid w:val="60811F24"/>
    <w:rsid w:val="60813EFB"/>
    <w:rsid w:val="60820DBC"/>
    <w:rsid w:val="608234C4"/>
    <w:rsid w:val="608244FE"/>
    <w:rsid w:val="60824919"/>
    <w:rsid w:val="608250F0"/>
    <w:rsid w:val="60831160"/>
    <w:rsid w:val="608368E3"/>
    <w:rsid w:val="608427D8"/>
    <w:rsid w:val="60844B35"/>
    <w:rsid w:val="608467B9"/>
    <w:rsid w:val="60847E28"/>
    <w:rsid w:val="608508AD"/>
    <w:rsid w:val="60850EA0"/>
    <w:rsid w:val="6085265B"/>
    <w:rsid w:val="60853036"/>
    <w:rsid w:val="60854409"/>
    <w:rsid w:val="608544A1"/>
    <w:rsid w:val="60856FA7"/>
    <w:rsid w:val="60857CE3"/>
    <w:rsid w:val="608637BC"/>
    <w:rsid w:val="6086447E"/>
    <w:rsid w:val="608671E3"/>
    <w:rsid w:val="608739A7"/>
    <w:rsid w:val="60874625"/>
    <w:rsid w:val="608759C5"/>
    <w:rsid w:val="6087617A"/>
    <w:rsid w:val="60885312"/>
    <w:rsid w:val="60885401"/>
    <w:rsid w:val="60885CA7"/>
    <w:rsid w:val="608863D8"/>
    <w:rsid w:val="60886D5C"/>
    <w:rsid w:val="60887219"/>
    <w:rsid w:val="60887821"/>
    <w:rsid w:val="60891908"/>
    <w:rsid w:val="6089214B"/>
    <w:rsid w:val="60892BD9"/>
    <w:rsid w:val="60894B47"/>
    <w:rsid w:val="60895471"/>
    <w:rsid w:val="60897ECB"/>
    <w:rsid w:val="608A0A8C"/>
    <w:rsid w:val="608A11F9"/>
    <w:rsid w:val="608A1223"/>
    <w:rsid w:val="608A17F0"/>
    <w:rsid w:val="608A7A25"/>
    <w:rsid w:val="608B1DE7"/>
    <w:rsid w:val="608B4D11"/>
    <w:rsid w:val="608B51E5"/>
    <w:rsid w:val="608B6453"/>
    <w:rsid w:val="608C1C3B"/>
    <w:rsid w:val="608C39E9"/>
    <w:rsid w:val="608C5797"/>
    <w:rsid w:val="608D52D4"/>
    <w:rsid w:val="608D693F"/>
    <w:rsid w:val="608E6A06"/>
    <w:rsid w:val="608E77AC"/>
    <w:rsid w:val="608E7EF1"/>
    <w:rsid w:val="608F4B22"/>
    <w:rsid w:val="608F5556"/>
    <w:rsid w:val="608F5A9C"/>
    <w:rsid w:val="608F5C3A"/>
    <w:rsid w:val="608F7035"/>
    <w:rsid w:val="608F7DD9"/>
    <w:rsid w:val="60902CB2"/>
    <w:rsid w:val="609067A9"/>
    <w:rsid w:val="60906D06"/>
    <w:rsid w:val="609101BC"/>
    <w:rsid w:val="60911000"/>
    <w:rsid w:val="60912DAE"/>
    <w:rsid w:val="60917251"/>
    <w:rsid w:val="60920B9C"/>
    <w:rsid w:val="60920E1F"/>
    <w:rsid w:val="60921C10"/>
    <w:rsid w:val="60923712"/>
    <w:rsid w:val="6092728F"/>
    <w:rsid w:val="60927D3F"/>
    <w:rsid w:val="60927E06"/>
    <w:rsid w:val="60931D9C"/>
    <w:rsid w:val="60932FCA"/>
    <w:rsid w:val="60934B7A"/>
    <w:rsid w:val="60936074"/>
    <w:rsid w:val="60936857"/>
    <w:rsid w:val="609374FC"/>
    <w:rsid w:val="6094289E"/>
    <w:rsid w:val="609453C6"/>
    <w:rsid w:val="60947624"/>
    <w:rsid w:val="609567B5"/>
    <w:rsid w:val="609575A8"/>
    <w:rsid w:val="60957740"/>
    <w:rsid w:val="60961EBC"/>
    <w:rsid w:val="609634B7"/>
    <w:rsid w:val="60963C62"/>
    <w:rsid w:val="60964868"/>
    <w:rsid w:val="60965B40"/>
    <w:rsid w:val="60966616"/>
    <w:rsid w:val="6096709F"/>
    <w:rsid w:val="60973456"/>
    <w:rsid w:val="609736DC"/>
    <w:rsid w:val="609805E0"/>
    <w:rsid w:val="60982CE7"/>
    <w:rsid w:val="60983270"/>
    <w:rsid w:val="60987949"/>
    <w:rsid w:val="60996106"/>
    <w:rsid w:val="6099620C"/>
    <w:rsid w:val="60997EF7"/>
    <w:rsid w:val="609A060D"/>
    <w:rsid w:val="609A282A"/>
    <w:rsid w:val="609A31EA"/>
    <w:rsid w:val="609A3376"/>
    <w:rsid w:val="609A3FE7"/>
    <w:rsid w:val="609A4BD3"/>
    <w:rsid w:val="609A4F3C"/>
    <w:rsid w:val="609B1E7E"/>
    <w:rsid w:val="609B3C2C"/>
    <w:rsid w:val="609B59DA"/>
    <w:rsid w:val="609B70C6"/>
    <w:rsid w:val="609C1B0E"/>
    <w:rsid w:val="609C2EF0"/>
    <w:rsid w:val="609D1752"/>
    <w:rsid w:val="609D1CF7"/>
    <w:rsid w:val="609D3E38"/>
    <w:rsid w:val="609D42CD"/>
    <w:rsid w:val="609D5BF6"/>
    <w:rsid w:val="609D7126"/>
    <w:rsid w:val="609D79A4"/>
    <w:rsid w:val="609E17DD"/>
    <w:rsid w:val="609E2858"/>
    <w:rsid w:val="609E3461"/>
    <w:rsid w:val="609E54CA"/>
    <w:rsid w:val="609F0EFF"/>
    <w:rsid w:val="609F213F"/>
    <w:rsid w:val="609F5BB1"/>
    <w:rsid w:val="60A05CDD"/>
    <w:rsid w:val="60A05F23"/>
    <w:rsid w:val="60A07EE0"/>
    <w:rsid w:val="60A10CBF"/>
    <w:rsid w:val="60A1629C"/>
    <w:rsid w:val="60A2017D"/>
    <w:rsid w:val="60A25A21"/>
    <w:rsid w:val="60A25CDC"/>
    <w:rsid w:val="60A26D69"/>
    <w:rsid w:val="60A30D33"/>
    <w:rsid w:val="60A31DD0"/>
    <w:rsid w:val="60A32AE1"/>
    <w:rsid w:val="60A456E6"/>
    <w:rsid w:val="60A50260"/>
    <w:rsid w:val="60A52CFD"/>
    <w:rsid w:val="60A559F2"/>
    <w:rsid w:val="60A57959"/>
    <w:rsid w:val="60A57CF9"/>
    <w:rsid w:val="60A6305A"/>
    <w:rsid w:val="60A67113"/>
    <w:rsid w:val="60A70DDC"/>
    <w:rsid w:val="60A740CE"/>
    <w:rsid w:val="60A74A52"/>
    <w:rsid w:val="60A76116"/>
    <w:rsid w:val="60A765D4"/>
    <w:rsid w:val="60A76A75"/>
    <w:rsid w:val="60A775C2"/>
    <w:rsid w:val="60A83703"/>
    <w:rsid w:val="60A87970"/>
    <w:rsid w:val="60A919ED"/>
    <w:rsid w:val="60A936CF"/>
    <w:rsid w:val="60A9459B"/>
    <w:rsid w:val="60A96349"/>
    <w:rsid w:val="60AA200A"/>
    <w:rsid w:val="60AA32DE"/>
    <w:rsid w:val="60AA3E6F"/>
    <w:rsid w:val="60AB2F26"/>
    <w:rsid w:val="60AC29B4"/>
    <w:rsid w:val="60AC32EE"/>
    <w:rsid w:val="60AC5E39"/>
    <w:rsid w:val="60AD10F6"/>
    <w:rsid w:val="60AD13D3"/>
    <w:rsid w:val="60AD570E"/>
    <w:rsid w:val="60AD7607"/>
    <w:rsid w:val="60AE0D88"/>
    <w:rsid w:val="60AE1334"/>
    <w:rsid w:val="60AE1BB1"/>
    <w:rsid w:val="60AE2BD9"/>
    <w:rsid w:val="60AE3960"/>
    <w:rsid w:val="60AE7E03"/>
    <w:rsid w:val="60AF1486"/>
    <w:rsid w:val="60AF2477"/>
    <w:rsid w:val="60AF2CEA"/>
    <w:rsid w:val="60AF592A"/>
    <w:rsid w:val="60AF76D8"/>
    <w:rsid w:val="60AF7BD1"/>
    <w:rsid w:val="60B00078"/>
    <w:rsid w:val="60B06349"/>
    <w:rsid w:val="60B07F24"/>
    <w:rsid w:val="60B116A2"/>
    <w:rsid w:val="60B13450"/>
    <w:rsid w:val="60B13699"/>
    <w:rsid w:val="60B13B61"/>
    <w:rsid w:val="60B14DF9"/>
    <w:rsid w:val="60B15E6A"/>
    <w:rsid w:val="60B16294"/>
    <w:rsid w:val="60B22A8D"/>
    <w:rsid w:val="60B23346"/>
    <w:rsid w:val="60B23E03"/>
    <w:rsid w:val="60B24717"/>
    <w:rsid w:val="60B33F1D"/>
    <w:rsid w:val="60B3449C"/>
    <w:rsid w:val="60B349C5"/>
    <w:rsid w:val="60B3541A"/>
    <w:rsid w:val="60B371C8"/>
    <w:rsid w:val="60B44CEE"/>
    <w:rsid w:val="60B46A9C"/>
    <w:rsid w:val="60B46AEE"/>
    <w:rsid w:val="60B530DC"/>
    <w:rsid w:val="60B531C6"/>
    <w:rsid w:val="60B5389D"/>
    <w:rsid w:val="60B571C4"/>
    <w:rsid w:val="60B57F7E"/>
    <w:rsid w:val="60B60A66"/>
    <w:rsid w:val="60B61220"/>
    <w:rsid w:val="60B655C0"/>
    <w:rsid w:val="60B7097F"/>
    <w:rsid w:val="60B719D8"/>
    <w:rsid w:val="60B73D67"/>
    <w:rsid w:val="60B75748"/>
    <w:rsid w:val="60B75E84"/>
    <w:rsid w:val="60B80231"/>
    <w:rsid w:val="60B81809"/>
    <w:rsid w:val="60B822D4"/>
    <w:rsid w:val="60B82A30"/>
    <w:rsid w:val="60B8432C"/>
    <w:rsid w:val="60B90C1E"/>
    <w:rsid w:val="60BA0FE6"/>
    <w:rsid w:val="60BA121F"/>
    <w:rsid w:val="60BA1BBA"/>
    <w:rsid w:val="60BA2960"/>
    <w:rsid w:val="60BA368F"/>
    <w:rsid w:val="60BA4113"/>
    <w:rsid w:val="60BA67A8"/>
    <w:rsid w:val="60BA7611"/>
    <w:rsid w:val="60BB280B"/>
    <w:rsid w:val="60BB42CE"/>
    <w:rsid w:val="60BB5AEC"/>
    <w:rsid w:val="60BB7E2A"/>
    <w:rsid w:val="60BC004F"/>
    <w:rsid w:val="60BC472D"/>
    <w:rsid w:val="60BC4B8B"/>
    <w:rsid w:val="60BD0047"/>
    <w:rsid w:val="60BD1DF5"/>
    <w:rsid w:val="60BD43DC"/>
    <w:rsid w:val="60BE1A25"/>
    <w:rsid w:val="60BE78DB"/>
    <w:rsid w:val="60BF020C"/>
    <w:rsid w:val="60BF1B7D"/>
    <w:rsid w:val="60BF27A3"/>
    <w:rsid w:val="60BF3DBF"/>
    <w:rsid w:val="60C018E5"/>
    <w:rsid w:val="60C03693"/>
    <w:rsid w:val="60C04DBB"/>
    <w:rsid w:val="60C07B37"/>
    <w:rsid w:val="60C107EF"/>
    <w:rsid w:val="60C16F3B"/>
    <w:rsid w:val="60C211B9"/>
    <w:rsid w:val="60C2206A"/>
    <w:rsid w:val="60C22C25"/>
    <w:rsid w:val="60C237D8"/>
    <w:rsid w:val="60C2491A"/>
    <w:rsid w:val="60C26C7D"/>
    <w:rsid w:val="60C34022"/>
    <w:rsid w:val="60C34F31"/>
    <w:rsid w:val="60C35174"/>
    <w:rsid w:val="60C368D2"/>
    <w:rsid w:val="60C378D2"/>
    <w:rsid w:val="60C413D5"/>
    <w:rsid w:val="60C43183"/>
    <w:rsid w:val="60C46D6A"/>
    <w:rsid w:val="60C50CA9"/>
    <w:rsid w:val="60C5514D"/>
    <w:rsid w:val="60C56EFB"/>
    <w:rsid w:val="60C61CB1"/>
    <w:rsid w:val="60C64DD6"/>
    <w:rsid w:val="60C66AC5"/>
    <w:rsid w:val="60C70EC5"/>
    <w:rsid w:val="60C71864"/>
    <w:rsid w:val="60C71C22"/>
    <w:rsid w:val="60C72C73"/>
    <w:rsid w:val="60C72D19"/>
    <w:rsid w:val="60C73F93"/>
    <w:rsid w:val="60C75C32"/>
    <w:rsid w:val="60C75CC8"/>
    <w:rsid w:val="60C767CF"/>
    <w:rsid w:val="60C81ADB"/>
    <w:rsid w:val="60C83823"/>
    <w:rsid w:val="60C84583"/>
    <w:rsid w:val="60C85339"/>
    <w:rsid w:val="60C85C14"/>
    <w:rsid w:val="60C929FF"/>
    <w:rsid w:val="60C95C7A"/>
    <w:rsid w:val="60C96143"/>
    <w:rsid w:val="60C967B7"/>
    <w:rsid w:val="60C969EB"/>
    <w:rsid w:val="60C97CB3"/>
    <w:rsid w:val="60CA0561"/>
    <w:rsid w:val="60CA0C44"/>
    <w:rsid w:val="60CA0D14"/>
    <w:rsid w:val="60CA2C96"/>
    <w:rsid w:val="60CA62C0"/>
    <w:rsid w:val="60CB076D"/>
    <w:rsid w:val="60CB2763"/>
    <w:rsid w:val="60CC028A"/>
    <w:rsid w:val="60CC0D9D"/>
    <w:rsid w:val="60CC2038"/>
    <w:rsid w:val="60CC4D75"/>
    <w:rsid w:val="60CC64DC"/>
    <w:rsid w:val="60CD3D29"/>
    <w:rsid w:val="60CD4AC4"/>
    <w:rsid w:val="60CD58C8"/>
    <w:rsid w:val="60CE2314"/>
    <w:rsid w:val="60CE297C"/>
    <w:rsid w:val="60CE3E25"/>
    <w:rsid w:val="60CE4002"/>
    <w:rsid w:val="60CE4867"/>
    <w:rsid w:val="60CE5DB0"/>
    <w:rsid w:val="60CE6912"/>
    <w:rsid w:val="60CE739E"/>
    <w:rsid w:val="60CF14F5"/>
    <w:rsid w:val="60CF1B28"/>
    <w:rsid w:val="60CF38D6"/>
    <w:rsid w:val="60CF4A25"/>
    <w:rsid w:val="60D01911"/>
    <w:rsid w:val="60D04D8C"/>
    <w:rsid w:val="60D13AF2"/>
    <w:rsid w:val="60D1764E"/>
    <w:rsid w:val="60D22281"/>
    <w:rsid w:val="60D22F68"/>
    <w:rsid w:val="60D24AAE"/>
    <w:rsid w:val="60D31618"/>
    <w:rsid w:val="60D3257C"/>
    <w:rsid w:val="60D327AA"/>
    <w:rsid w:val="60D333C6"/>
    <w:rsid w:val="60D375BC"/>
    <w:rsid w:val="60D37652"/>
    <w:rsid w:val="60D3786A"/>
    <w:rsid w:val="60D40393"/>
    <w:rsid w:val="60D4098E"/>
    <w:rsid w:val="60D40EEC"/>
    <w:rsid w:val="60D41453"/>
    <w:rsid w:val="60D44A78"/>
    <w:rsid w:val="60D44E88"/>
    <w:rsid w:val="60D45976"/>
    <w:rsid w:val="60D45F50"/>
    <w:rsid w:val="60D4767D"/>
    <w:rsid w:val="60D55390"/>
    <w:rsid w:val="60D62EB6"/>
    <w:rsid w:val="60D6476F"/>
    <w:rsid w:val="60D66A94"/>
    <w:rsid w:val="60D71E88"/>
    <w:rsid w:val="60D847A8"/>
    <w:rsid w:val="60D84E80"/>
    <w:rsid w:val="60D85EE9"/>
    <w:rsid w:val="60D86C2E"/>
    <w:rsid w:val="60D92BCA"/>
    <w:rsid w:val="60D93445"/>
    <w:rsid w:val="60D94675"/>
    <w:rsid w:val="60D94755"/>
    <w:rsid w:val="60D94A78"/>
    <w:rsid w:val="60D95C38"/>
    <w:rsid w:val="60D97379"/>
    <w:rsid w:val="60DA0809"/>
    <w:rsid w:val="60DA0BF8"/>
    <w:rsid w:val="60DA1F1C"/>
    <w:rsid w:val="60DA29A7"/>
    <w:rsid w:val="60DA3937"/>
    <w:rsid w:val="60DA70C8"/>
    <w:rsid w:val="60DB202B"/>
    <w:rsid w:val="60DB227B"/>
    <w:rsid w:val="60DC04FC"/>
    <w:rsid w:val="60DC27F4"/>
    <w:rsid w:val="60DC34AF"/>
    <w:rsid w:val="60DC3F05"/>
    <w:rsid w:val="60DC4863"/>
    <w:rsid w:val="60DC5CFA"/>
    <w:rsid w:val="60DC6522"/>
    <w:rsid w:val="60DC6EAE"/>
    <w:rsid w:val="60DD2497"/>
    <w:rsid w:val="60DD4245"/>
    <w:rsid w:val="60DD45B9"/>
    <w:rsid w:val="60DD5FF3"/>
    <w:rsid w:val="60DD718A"/>
    <w:rsid w:val="60DE0512"/>
    <w:rsid w:val="60DE061A"/>
    <w:rsid w:val="60DF1AAA"/>
    <w:rsid w:val="60DF1D6B"/>
    <w:rsid w:val="60DF21DE"/>
    <w:rsid w:val="60DF2630"/>
    <w:rsid w:val="60DF3F31"/>
    <w:rsid w:val="60DF4D37"/>
    <w:rsid w:val="60DF620F"/>
    <w:rsid w:val="60DF6CC0"/>
    <w:rsid w:val="60E02A75"/>
    <w:rsid w:val="60E03423"/>
    <w:rsid w:val="60E0467B"/>
    <w:rsid w:val="60E04F50"/>
    <w:rsid w:val="60E05AE3"/>
    <w:rsid w:val="60E05DBE"/>
    <w:rsid w:val="60E07891"/>
    <w:rsid w:val="60E143CA"/>
    <w:rsid w:val="60E16769"/>
    <w:rsid w:val="60E21325"/>
    <w:rsid w:val="60E21690"/>
    <w:rsid w:val="60E2185B"/>
    <w:rsid w:val="60E23609"/>
    <w:rsid w:val="60E25A69"/>
    <w:rsid w:val="60E27AAD"/>
    <w:rsid w:val="60E3043F"/>
    <w:rsid w:val="60E31987"/>
    <w:rsid w:val="60E31B2A"/>
    <w:rsid w:val="60E32AD5"/>
    <w:rsid w:val="60E32FFC"/>
    <w:rsid w:val="60E33BEA"/>
    <w:rsid w:val="60E37B05"/>
    <w:rsid w:val="60E41B72"/>
    <w:rsid w:val="60E41EE0"/>
    <w:rsid w:val="60E42D4B"/>
    <w:rsid w:val="60E42E74"/>
    <w:rsid w:val="60E4448C"/>
    <w:rsid w:val="60E4516C"/>
    <w:rsid w:val="60E47381"/>
    <w:rsid w:val="60E5134B"/>
    <w:rsid w:val="60E526BF"/>
    <w:rsid w:val="60E530F9"/>
    <w:rsid w:val="60E56871"/>
    <w:rsid w:val="60E6189F"/>
    <w:rsid w:val="60E70C20"/>
    <w:rsid w:val="60E72E0D"/>
    <w:rsid w:val="60E74880"/>
    <w:rsid w:val="60E7695C"/>
    <w:rsid w:val="60E76E71"/>
    <w:rsid w:val="60E80643"/>
    <w:rsid w:val="60E8634F"/>
    <w:rsid w:val="60E909FC"/>
    <w:rsid w:val="60E90E3C"/>
    <w:rsid w:val="60E92BEA"/>
    <w:rsid w:val="60E94928"/>
    <w:rsid w:val="60E9572D"/>
    <w:rsid w:val="60EA02FE"/>
    <w:rsid w:val="60EA0A81"/>
    <w:rsid w:val="60EA6944"/>
    <w:rsid w:val="60EA6B5E"/>
    <w:rsid w:val="60EA6BBD"/>
    <w:rsid w:val="60EA7D3C"/>
    <w:rsid w:val="60EB1644"/>
    <w:rsid w:val="60EB178E"/>
    <w:rsid w:val="60EB2416"/>
    <w:rsid w:val="60EC26DA"/>
    <w:rsid w:val="60EC4488"/>
    <w:rsid w:val="60EC4CB4"/>
    <w:rsid w:val="60EC5807"/>
    <w:rsid w:val="60EC789A"/>
    <w:rsid w:val="60EC79CC"/>
    <w:rsid w:val="60ED17B4"/>
    <w:rsid w:val="60ED22B5"/>
    <w:rsid w:val="60ED2568"/>
    <w:rsid w:val="60ED35FB"/>
    <w:rsid w:val="60EE010F"/>
    <w:rsid w:val="60EE0200"/>
    <w:rsid w:val="60EE0C44"/>
    <w:rsid w:val="60EE1FAE"/>
    <w:rsid w:val="60EE2557"/>
    <w:rsid w:val="60EE3D75"/>
    <w:rsid w:val="60EE52B3"/>
    <w:rsid w:val="60EF1131"/>
    <w:rsid w:val="60EF4977"/>
    <w:rsid w:val="60F021CA"/>
    <w:rsid w:val="60F02768"/>
    <w:rsid w:val="60F0438E"/>
    <w:rsid w:val="60F04CC1"/>
    <w:rsid w:val="60F11A9E"/>
    <w:rsid w:val="60F11E42"/>
    <w:rsid w:val="60F12213"/>
    <w:rsid w:val="60F13EBF"/>
    <w:rsid w:val="60F14DCB"/>
    <w:rsid w:val="60F15403"/>
    <w:rsid w:val="60F15F42"/>
    <w:rsid w:val="60F20198"/>
    <w:rsid w:val="60F320B3"/>
    <w:rsid w:val="60F33888"/>
    <w:rsid w:val="60F33A68"/>
    <w:rsid w:val="60F36175"/>
    <w:rsid w:val="60F409AF"/>
    <w:rsid w:val="60F4153A"/>
    <w:rsid w:val="60F436B9"/>
    <w:rsid w:val="60F45801"/>
    <w:rsid w:val="60F466A7"/>
    <w:rsid w:val="60F46ED2"/>
    <w:rsid w:val="60F5158E"/>
    <w:rsid w:val="60F55411"/>
    <w:rsid w:val="60F56A97"/>
    <w:rsid w:val="60F5712B"/>
    <w:rsid w:val="60F577E0"/>
    <w:rsid w:val="60F6285F"/>
    <w:rsid w:val="60F670B5"/>
    <w:rsid w:val="60F678E4"/>
    <w:rsid w:val="60F67E0C"/>
    <w:rsid w:val="60F71C9A"/>
    <w:rsid w:val="60F73EB0"/>
    <w:rsid w:val="60F74C63"/>
    <w:rsid w:val="60F75ECD"/>
    <w:rsid w:val="60F80BC0"/>
    <w:rsid w:val="60F80F00"/>
    <w:rsid w:val="60F82B3C"/>
    <w:rsid w:val="60F83D92"/>
    <w:rsid w:val="60F90953"/>
    <w:rsid w:val="60F92651"/>
    <w:rsid w:val="60F957C3"/>
    <w:rsid w:val="60FA216D"/>
    <w:rsid w:val="60FA24C9"/>
    <w:rsid w:val="60FA6BA5"/>
    <w:rsid w:val="60FA6CD7"/>
    <w:rsid w:val="60FA79B0"/>
    <w:rsid w:val="60FB0D7E"/>
    <w:rsid w:val="60FB111C"/>
    <w:rsid w:val="60FB291D"/>
    <w:rsid w:val="60FB2F12"/>
    <w:rsid w:val="60FC3AEA"/>
    <w:rsid w:val="60FC46BE"/>
    <w:rsid w:val="60FC46F0"/>
    <w:rsid w:val="60FD0443"/>
    <w:rsid w:val="60FD5033"/>
    <w:rsid w:val="60FD6309"/>
    <w:rsid w:val="60FD6695"/>
    <w:rsid w:val="60FE69B5"/>
    <w:rsid w:val="60FF33FF"/>
    <w:rsid w:val="60FF3C7C"/>
    <w:rsid w:val="60FF41BB"/>
    <w:rsid w:val="60FF41BE"/>
    <w:rsid w:val="60FF6565"/>
    <w:rsid w:val="61001CE1"/>
    <w:rsid w:val="61005BAB"/>
    <w:rsid w:val="61005D68"/>
    <w:rsid w:val="610062E3"/>
    <w:rsid w:val="61007F33"/>
    <w:rsid w:val="6101099B"/>
    <w:rsid w:val="61015A72"/>
    <w:rsid w:val="61016185"/>
    <w:rsid w:val="61016585"/>
    <w:rsid w:val="61021EFD"/>
    <w:rsid w:val="61022D6E"/>
    <w:rsid w:val="61023CAB"/>
    <w:rsid w:val="61025A59"/>
    <w:rsid w:val="6103102A"/>
    <w:rsid w:val="610351D4"/>
    <w:rsid w:val="610418EE"/>
    <w:rsid w:val="6104357C"/>
    <w:rsid w:val="61045260"/>
    <w:rsid w:val="61045C75"/>
    <w:rsid w:val="6104606C"/>
    <w:rsid w:val="61046A0D"/>
    <w:rsid w:val="61047A23"/>
    <w:rsid w:val="6105016C"/>
    <w:rsid w:val="61050295"/>
    <w:rsid w:val="610528AD"/>
    <w:rsid w:val="61052A3F"/>
    <w:rsid w:val="610619ED"/>
    <w:rsid w:val="61067035"/>
    <w:rsid w:val="610678AE"/>
    <w:rsid w:val="610712C2"/>
    <w:rsid w:val="61071811"/>
    <w:rsid w:val="61071C8B"/>
    <w:rsid w:val="61081180"/>
    <w:rsid w:val="61083887"/>
    <w:rsid w:val="61085F7A"/>
    <w:rsid w:val="610879AD"/>
    <w:rsid w:val="6109328C"/>
    <w:rsid w:val="610935D6"/>
    <w:rsid w:val="610949DD"/>
    <w:rsid w:val="6109503A"/>
    <w:rsid w:val="610960CE"/>
    <w:rsid w:val="610A2B60"/>
    <w:rsid w:val="610B0295"/>
    <w:rsid w:val="610B1BD5"/>
    <w:rsid w:val="610B6443"/>
    <w:rsid w:val="610B7004"/>
    <w:rsid w:val="610B7637"/>
    <w:rsid w:val="610B7E5B"/>
    <w:rsid w:val="610C2208"/>
    <w:rsid w:val="610C68D8"/>
    <w:rsid w:val="610D0ABC"/>
    <w:rsid w:val="610D11D1"/>
    <w:rsid w:val="610E08A2"/>
    <w:rsid w:val="610E2650"/>
    <w:rsid w:val="610E43FE"/>
    <w:rsid w:val="610E4C67"/>
    <w:rsid w:val="610E5D72"/>
    <w:rsid w:val="610E7D66"/>
    <w:rsid w:val="610F0E49"/>
    <w:rsid w:val="610F5D94"/>
    <w:rsid w:val="610F75D9"/>
    <w:rsid w:val="61103067"/>
    <w:rsid w:val="61104407"/>
    <w:rsid w:val="61107217"/>
    <w:rsid w:val="61112140"/>
    <w:rsid w:val="61113EEE"/>
    <w:rsid w:val="61114379"/>
    <w:rsid w:val="61114EB7"/>
    <w:rsid w:val="61116C36"/>
    <w:rsid w:val="61116EF0"/>
    <w:rsid w:val="61120392"/>
    <w:rsid w:val="61124939"/>
    <w:rsid w:val="61126596"/>
    <w:rsid w:val="61126A5A"/>
    <w:rsid w:val="6112752A"/>
    <w:rsid w:val="6113058B"/>
    <w:rsid w:val="61132728"/>
    <w:rsid w:val="611352FC"/>
    <w:rsid w:val="61135791"/>
    <w:rsid w:val="61135EB8"/>
    <w:rsid w:val="61136686"/>
    <w:rsid w:val="61137C66"/>
    <w:rsid w:val="611440D5"/>
    <w:rsid w:val="61146BAF"/>
    <w:rsid w:val="611475C1"/>
    <w:rsid w:val="61147DD9"/>
    <w:rsid w:val="611539DF"/>
    <w:rsid w:val="6115578D"/>
    <w:rsid w:val="61156888"/>
    <w:rsid w:val="61157CE0"/>
    <w:rsid w:val="61162B31"/>
    <w:rsid w:val="61165E8B"/>
    <w:rsid w:val="611660D9"/>
    <w:rsid w:val="61166A20"/>
    <w:rsid w:val="61167757"/>
    <w:rsid w:val="61171304"/>
    <w:rsid w:val="611759A9"/>
    <w:rsid w:val="61180C57"/>
    <w:rsid w:val="6118174D"/>
    <w:rsid w:val="611834D4"/>
    <w:rsid w:val="61183A30"/>
    <w:rsid w:val="6118527D"/>
    <w:rsid w:val="611867DD"/>
    <w:rsid w:val="61186C5D"/>
    <w:rsid w:val="6118702B"/>
    <w:rsid w:val="61187487"/>
    <w:rsid w:val="611936E8"/>
    <w:rsid w:val="61194492"/>
    <w:rsid w:val="61195549"/>
    <w:rsid w:val="611A0FF5"/>
    <w:rsid w:val="611A2A42"/>
    <w:rsid w:val="611A7FD8"/>
    <w:rsid w:val="611B0FA1"/>
    <w:rsid w:val="611B4D6D"/>
    <w:rsid w:val="611B4DF5"/>
    <w:rsid w:val="611B6B1B"/>
    <w:rsid w:val="611C2FBF"/>
    <w:rsid w:val="611C4C66"/>
    <w:rsid w:val="611C4F8A"/>
    <w:rsid w:val="611C7B8E"/>
    <w:rsid w:val="611D1AAB"/>
    <w:rsid w:val="611D24E9"/>
    <w:rsid w:val="611D461D"/>
    <w:rsid w:val="611D6D37"/>
    <w:rsid w:val="611E161B"/>
    <w:rsid w:val="611E1D6F"/>
    <w:rsid w:val="611E1E1B"/>
    <w:rsid w:val="611E2EDC"/>
    <w:rsid w:val="611F1104"/>
    <w:rsid w:val="611F2AAF"/>
    <w:rsid w:val="611F3E5B"/>
    <w:rsid w:val="611F485D"/>
    <w:rsid w:val="611F660B"/>
    <w:rsid w:val="611F6F3D"/>
    <w:rsid w:val="611F73FB"/>
    <w:rsid w:val="61201B17"/>
    <w:rsid w:val="61203F61"/>
    <w:rsid w:val="612105D5"/>
    <w:rsid w:val="61212F9E"/>
    <w:rsid w:val="61215820"/>
    <w:rsid w:val="612161F2"/>
    <w:rsid w:val="61220B4C"/>
    <w:rsid w:val="6122434D"/>
    <w:rsid w:val="6122442E"/>
    <w:rsid w:val="612266BB"/>
    <w:rsid w:val="61226F6D"/>
    <w:rsid w:val="61227EAA"/>
    <w:rsid w:val="6123048F"/>
    <w:rsid w:val="61236322"/>
    <w:rsid w:val="6124022E"/>
    <w:rsid w:val="612403C0"/>
    <w:rsid w:val="61241E74"/>
    <w:rsid w:val="61243C22"/>
    <w:rsid w:val="61243F90"/>
    <w:rsid w:val="61247BC4"/>
    <w:rsid w:val="61251748"/>
    <w:rsid w:val="612577B5"/>
    <w:rsid w:val="61260CA8"/>
    <w:rsid w:val="61265BEC"/>
    <w:rsid w:val="612662AD"/>
    <w:rsid w:val="612662BE"/>
    <w:rsid w:val="61271964"/>
    <w:rsid w:val="61271D7F"/>
    <w:rsid w:val="61273712"/>
    <w:rsid w:val="61286C64"/>
    <w:rsid w:val="61291238"/>
    <w:rsid w:val="612914EE"/>
    <w:rsid w:val="612956DC"/>
    <w:rsid w:val="612969BF"/>
    <w:rsid w:val="61297E91"/>
    <w:rsid w:val="612A0D8F"/>
    <w:rsid w:val="612A1AE3"/>
    <w:rsid w:val="612A1F81"/>
    <w:rsid w:val="612A5791"/>
    <w:rsid w:val="612B10BA"/>
    <w:rsid w:val="612B443D"/>
    <w:rsid w:val="612B4D63"/>
    <w:rsid w:val="612B588D"/>
    <w:rsid w:val="612C00B1"/>
    <w:rsid w:val="612C0CF6"/>
    <w:rsid w:val="612C2AD6"/>
    <w:rsid w:val="612C58F6"/>
    <w:rsid w:val="612C6F7A"/>
    <w:rsid w:val="612D1541"/>
    <w:rsid w:val="612D176D"/>
    <w:rsid w:val="612D6136"/>
    <w:rsid w:val="612E0699"/>
    <w:rsid w:val="612E4AA0"/>
    <w:rsid w:val="612E4CE5"/>
    <w:rsid w:val="612E684E"/>
    <w:rsid w:val="612E777B"/>
    <w:rsid w:val="612F0591"/>
    <w:rsid w:val="612F060F"/>
    <w:rsid w:val="612F138E"/>
    <w:rsid w:val="612F45C2"/>
    <w:rsid w:val="61300818"/>
    <w:rsid w:val="61301D12"/>
    <w:rsid w:val="61303A8D"/>
    <w:rsid w:val="61304811"/>
    <w:rsid w:val="613048BB"/>
    <w:rsid w:val="613100ED"/>
    <w:rsid w:val="6131557B"/>
    <w:rsid w:val="6131633F"/>
    <w:rsid w:val="61317340"/>
    <w:rsid w:val="613227E3"/>
    <w:rsid w:val="61324497"/>
    <w:rsid w:val="613253B3"/>
    <w:rsid w:val="613272EF"/>
    <w:rsid w:val="61330309"/>
    <w:rsid w:val="61333E65"/>
    <w:rsid w:val="613351EF"/>
    <w:rsid w:val="61336843"/>
    <w:rsid w:val="61347BF0"/>
    <w:rsid w:val="61347CD3"/>
    <w:rsid w:val="61351007"/>
    <w:rsid w:val="613514F9"/>
    <w:rsid w:val="61351E29"/>
    <w:rsid w:val="61357BDD"/>
    <w:rsid w:val="61363955"/>
    <w:rsid w:val="613702A8"/>
    <w:rsid w:val="61371BA7"/>
    <w:rsid w:val="61377DF9"/>
    <w:rsid w:val="61377EF7"/>
    <w:rsid w:val="61380A8B"/>
    <w:rsid w:val="61381225"/>
    <w:rsid w:val="61381FAA"/>
    <w:rsid w:val="61386B09"/>
    <w:rsid w:val="61387631"/>
    <w:rsid w:val="613876CD"/>
    <w:rsid w:val="61387E0E"/>
    <w:rsid w:val="61393496"/>
    <w:rsid w:val="613942BF"/>
    <w:rsid w:val="6139480A"/>
    <w:rsid w:val="61394AD6"/>
    <w:rsid w:val="6139771D"/>
    <w:rsid w:val="613A1697"/>
    <w:rsid w:val="613A3445"/>
    <w:rsid w:val="613A51F3"/>
    <w:rsid w:val="613A638F"/>
    <w:rsid w:val="613B0F6B"/>
    <w:rsid w:val="613B18DA"/>
    <w:rsid w:val="613B4AA2"/>
    <w:rsid w:val="613C52E6"/>
    <w:rsid w:val="613C57EC"/>
    <w:rsid w:val="613D23D3"/>
    <w:rsid w:val="613D4CE3"/>
    <w:rsid w:val="613E0E81"/>
    <w:rsid w:val="613E2000"/>
    <w:rsid w:val="613F0A5C"/>
    <w:rsid w:val="613F2EE2"/>
    <w:rsid w:val="613F4DE6"/>
    <w:rsid w:val="613F6527"/>
    <w:rsid w:val="613F6EE5"/>
    <w:rsid w:val="61400DC7"/>
    <w:rsid w:val="614011DC"/>
    <w:rsid w:val="614024C2"/>
    <w:rsid w:val="614044EB"/>
    <w:rsid w:val="61405D9B"/>
    <w:rsid w:val="61406361"/>
    <w:rsid w:val="61410440"/>
    <w:rsid w:val="614104BF"/>
    <w:rsid w:val="61410E47"/>
    <w:rsid w:val="61411054"/>
    <w:rsid w:val="6141195E"/>
    <w:rsid w:val="61412A26"/>
    <w:rsid w:val="614132CF"/>
    <w:rsid w:val="614147D4"/>
    <w:rsid w:val="61415251"/>
    <w:rsid w:val="614156A8"/>
    <w:rsid w:val="6142054C"/>
    <w:rsid w:val="614222D7"/>
    <w:rsid w:val="61423765"/>
    <w:rsid w:val="61423A3B"/>
    <w:rsid w:val="6142679E"/>
    <w:rsid w:val="61430FEE"/>
    <w:rsid w:val="61437B9C"/>
    <w:rsid w:val="614404C2"/>
    <w:rsid w:val="61441286"/>
    <w:rsid w:val="61443949"/>
    <w:rsid w:val="614442C4"/>
    <w:rsid w:val="61446072"/>
    <w:rsid w:val="614468A9"/>
    <w:rsid w:val="614477C8"/>
    <w:rsid w:val="61450C58"/>
    <w:rsid w:val="61452399"/>
    <w:rsid w:val="61453B98"/>
    <w:rsid w:val="61454B88"/>
    <w:rsid w:val="6145501E"/>
    <w:rsid w:val="61456EA0"/>
    <w:rsid w:val="61457054"/>
    <w:rsid w:val="614576B2"/>
    <w:rsid w:val="61457CB7"/>
    <w:rsid w:val="6146003C"/>
    <w:rsid w:val="61461DEA"/>
    <w:rsid w:val="614650A5"/>
    <w:rsid w:val="61466477"/>
    <w:rsid w:val="61475B62"/>
    <w:rsid w:val="61477910"/>
    <w:rsid w:val="61482DBA"/>
    <w:rsid w:val="6148346C"/>
    <w:rsid w:val="6149181A"/>
    <w:rsid w:val="61493688"/>
    <w:rsid w:val="61493967"/>
    <w:rsid w:val="61495F32"/>
    <w:rsid w:val="61497B2C"/>
    <w:rsid w:val="614A218A"/>
    <w:rsid w:val="614A4E4D"/>
    <w:rsid w:val="614B11AE"/>
    <w:rsid w:val="614B711D"/>
    <w:rsid w:val="614C258E"/>
    <w:rsid w:val="614C3178"/>
    <w:rsid w:val="614C5F5A"/>
    <w:rsid w:val="614D0B2B"/>
    <w:rsid w:val="614D13CA"/>
    <w:rsid w:val="614D562B"/>
    <w:rsid w:val="614D5744"/>
    <w:rsid w:val="614D6727"/>
    <w:rsid w:val="614D73EA"/>
    <w:rsid w:val="614E51BA"/>
    <w:rsid w:val="614F0A9B"/>
    <w:rsid w:val="614F1DC2"/>
    <w:rsid w:val="614F2E8B"/>
    <w:rsid w:val="614F4548"/>
    <w:rsid w:val="614F48DB"/>
    <w:rsid w:val="614F7ED2"/>
    <w:rsid w:val="61500EBB"/>
    <w:rsid w:val="61502397"/>
    <w:rsid w:val="61504A17"/>
    <w:rsid w:val="6150539E"/>
    <w:rsid w:val="6151078F"/>
    <w:rsid w:val="615113BA"/>
    <w:rsid w:val="615115DB"/>
    <w:rsid w:val="6151253D"/>
    <w:rsid w:val="615205A2"/>
    <w:rsid w:val="61520E37"/>
    <w:rsid w:val="615237D1"/>
    <w:rsid w:val="615248E5"/>
    <w:rsid w:val="61531B34"/>
    <w:rsid w:val="61532E31"/>
    <w:rsid w:val="61534507"/>
    <w:rsid w:val="6153541C"/>
    <w:rsid w:val="615362B5"/>
    <w:rsid w:val="61536E12"/>
    <w:rsid w:val="6154250D"/>
    <w:rsid w:val="61543F9E"/>
    <w:rsid w:val="6155027F"/>
    <w:rsid w:val="615511C2"/>
    <w:rsid w:val="61554209"/>
    <w:rsid w:val="615564D1"/>
    <w:rsid w:val="61562DDB"/>
    <w:rsid w:val="61565DA5"/>
    <w:rsid w:val="61573642"/>
    <w:rsid w:val="61573FF7"/>
    <w:rsid w:val="61575B90"/>
    <w:rsid w:val="615815E4"/>
    <w:rsid w:val="615838CB"/>
    <w:rsid w:val="61585C12"/>
    <w:rsid w:val="61585C46"/>
    <w:rsid w:val="6158630B"/>
    <w:rsid w:val="6159018A"/>
    <w:rsid w:val="615913AC"/>
    <w:rsid w:val="61596B9E"/>
    <w:rsid w:val="615A4ABF"/>
    <w:rsid w:val="615A5895"/>
    <w:rsid w:val="615A7643"/>
    <w:rsid w:val="615B0071"/>
    <w:rsid w:val="615B2E7E"/>
    <w:rsid w:val="615B4568"/>
    <w:rsid w:val="615B45BF"/>
    <w:rsid w:val="615B7DF2"/>
    <w:rsid w:val="615C0979"/>
    <w:rsid w:val="615C0E12"/>
    <w:rsid w:val="615C16F3"/>
    <w:rsid w:val="615C33BC"/>
    <w:rsid w:val="615C4405"/>
    <w:rsid w:val="615C44E2"/>
    <w:rsid w:val="615C58DC"/>
    <w:rsid w:val="615C6EAA"/>
    <w:rsid w:val="615D0D8F"/>
    <w:rsid w:val="615D0EE2"/>
    <w:rsid w:val="615D1AB0"/>
    <w:rsid w:val="615D5172"/>
    <w:rsid w:val="615D6EDF"/>
    <w:rsid w:val="615D7134"/>
    <w:rsid w:val="615E0C1A"/>
    <w:rsid w:val="615F0724"/>
    <w:rsid w:val="615F10FE"/>
    <w:rsid w:val="615F17FF"/>
    <w:rsid w:val="615F2EAC"/>
    <w:rsid w:val="615F3653"/>
    <w:rsid w:val="615F4C5A"/>
    <w:rsid w:val="615F7F56"/>
    <w:rsid w:val="616031BE"/>
    <w:rsid w:val="61605860"/>
    <w:rsid w:val="61606FA1"/>
    <w:rsid w:val="61607F86"/>
    <w:rsid w:val="616108EC"/>
    <w:rsid w:val="616109D2"/>
    <w:rsid w:val="61610BCA"/>
    <w:rsid w:val="61615C84"/>
    <w:rsid w:val="616218C1"/>
    <w:rsid w:val="6162474A"/>
    <w:rsid w:val="61624850"/>
    <w:rsid w:val="61626FCC"/>
    <w:rsid w:val="61630BEE"/>
    <w:rsid w:val="6163200C"/>
    <w:rsid w:val="61634101"/>
    <w:rsid w:val="616357C4"/>
    <w:rsid w:val="6163767F"/>
    <w:rsid w:val="61637835"/>
    <w:rsid w:val="616404C2"/>
    <w:rsid w:val="61642270"/>
    <w:rsid w:val="616441E1"/>
    <w:rsid w:val="61644200"/>
    <w:rsid w:val="61646714"/>
    <w:rsid w:val="61647E17"/>
    <w:rsid w:val="61650242"/>
    <w:rsid w:val="61650614"/>
    <w:rsid w:val="61655639"/>
    <w:rsid w:val="61655B26"/>
    <w:rsid w:val="616561FC"/>
    <w:rsid w:val="61660A97"/>
    <w:rsid w:val="616613DA"/>
    <w:rsid w:val="6166544F"/>
    <w:rsid w:val="61665FE8"/>
    <w:rsid w:val="61666702"/>
    <w:rsid w:val="61667CC3"/>
    <w:rsid w:val="61671696"/>
    <w:rsid w:val="61672DD8"/>
    <w:rsid w:val="6167448B"/>
    <w:rsid w:val="61675733"/>
    <w:rsid w:val="61676669"/>
    <w:rsid w:val="6168003D"/>
    <w:rsid w:val="616809EA"/>
    <w:rsid w:val="6168311F"/>
    <w:rsid w:val="61683228"/>
    <w:rsid w:val="61683E04"/>
    <w:rsid w:val="61684442"/>
    <w:rsid w:val="61686637"/>
    <w:rsid w:val="6169203B"/>
    <w:rsid w:val="616927AB"/>
    <w:rsid w:val="61693D2A"/>
    <w:rsid w:val="616A1502"/>
    <w:rsid w:val="616A5DA6"/>
    <w:rsid w:val="616A7418"/>
    <w:rsid w:val="616B00AE"/>
    <w:rsid w:val="616B42A4"/>
    <w:rsid w:val="616C22AD"/>
    <w:rsid w:val="616C3E03"/>
    <w:rsid w:val="616C7377"/>
    <w:rsid w:val="616D0C95"/>
    <w:rsid w:val="616D55C9"/>
    <w:rsid w:val="616D5C09"/>
    <w:rsid w:val="616D5E79"/>
    <w:rsid w:val="616E1341"/>
    <w:rsid w:val="616E2A35"/>
    <w:rsid w:val="616E635B"/>
    <w:rsid w:val="616F12F4"/>
    <w:rsid w:val="616F222D"/>
    <w:rsid w:val="616F5107"/>
    <w:rsid w:val="616F6A7E"/>
    <w:rsid w:val="616F7865"/>
    <w:rsid w:val="616F7C09"/>
    <w:rsid w:val="61702679"/>
    <w:rsid w:val="6170330B"/>
    <w:rsid w:val="61703921"/>
    <w:rsid w:val="617044FB"/>
    <w:rsid w:val="617050B9"/>
    <w:rsid w:val="61706E67"/>
    <w:rsid w:val="61707AA4"/>
    <w:rsid w:val="61707D36"/>
    <w:rsid w:val="61711C04"/>
    <w:rsid w:val="617140C2"/>
    <w:rsid w:val="617167E5"/>
    <w:rsid w:val="6171686F"/>
    <w:rsid w:val="617170BB"/>
    <w:rsid w:val="61720E31"/>
    <w:rsid w:val="61722225"/>
    <w:rsid w:val="61722BDF"/>
    <w:rsid w:val="61722BEC"/>
    <w:rsid w:val="617245B9"/>
    <w:rsid w:val="61730705"/>
    <w:rsid w:val="61730824"/>
    <w:rsid w:val="61731105"/>
    <w:rsid w:val="61732822"/>
    <w:rsid w:val="61734BA9"/>
    <w:rsid w:val="617438DB"/>
    <w:rsid w:val="6174417D"/>
    <w:rsid w:val="617472C0"/>
    <w:rsid w:val="61750921"/>
    <w:rsid w:val="61751F0D"/>
    <w:rsid w:val="617526CF"/>
    <w:rsid w:val="6175447D"/>
    <w:rsid w:val="6175457A"/>
    <w:rsid w:val="61754FE3"/>
    <w:rsid w:val="617565F6"/>
    <w:rsid w:val="6175702A"/>
    <w:rsid w:val="617611C7"/>
    <w:rsid w:val="61761FA3"/>
    <w:rsid w:val="617666EC"/>
    <w:rsid w:val="61772657"/>
    <w:rsid w:val="617737C5"/>
    <w:rsid w:val="61776447"/>
    <w:rsid w:val="61783F6D"/>
    <w:rsid w:val="617867B0"/>
    <w:rsid w:val="61786F13"/>
    <w:rsid w:val="617902A3"/>
    <w:rsid w:val="61794F77"/>
    <w:rsid w:val="61797B48"/>
    <w:rsid w:val="617A1A94"/>
    <w:rsid w:val="617A4A51"/>
    <w:rsid w:val="617A5F38"/>
    <w:rsid w:val="617A7252"/>
    <w:rsid w:val="617A7CE6"/>
    <w:rsid w:val="617B004B"/>
    <w:rsid w:val="617C1CB0"/>
    <w:rsid w:val="617C5039"/>
    <w:rsid w:val="617C580C"/>
    <w:rsid w:val="617D1584"/>
    <w:rsid w:val="617D4684"/>
    <w:rsid w:val="617D64C9"/>
    <w:rsid w:val="617E259B"/>
    <w:rsid w:val="617E72B2"/>
    <w:rsid w:val="617E77D6"/>
    <w:rsid w:val="617E7959"/>
    <w:rsid w:val="617F2EE1"/>
    <w:rsid w:val="617F2F53"/>
    <w:rsid w:val="617F354E"/>
    <w:rsid w:val="617F52FC"/>
    <w:rsid w:val="617F6320"/>
    <w:rsid w:val="617F70AA"/>
    <w:rsid w:val="617F7AF0"/>
    <w:rsid w:val="618038BB"/>
    <w:rsid w:val="61804080"/>
    <w:rsid w:val="6180467D"/>
    <w:rsid w:val="618239F8"/>
    <w:rsid w:val="6183303E"/>
    <w:rsid w:val="61836EA0"/>
    <w:rsid w:val="61840B64"/>
    <w:rsid w:val="61841B49"/>
    <w:rsid w:val="6184208A"/>
    <w:rsid w:val="61842912"/>
    <w:rsid w:val="618502AB"/>
    <w:rsid w:val="61851145"/>
    <w:rsid w:val="61852723"/>
    <w:rsid w:val="61852FDE"/>
    <w:rsid w:val="61856179"/>
    <w:rsid w:val="61860CBC"/>
    <w:rsid w:val="618648DC"/>
    <w:rsid w:val="6186668A"/>
    <w:rsid w:val="6187302B"/>
    <w:rsid w:val="61882403"/>
    <w:rsid w:val="61886CC3"/>
    <w:rsid w:val="61890727"/>
    <w:rsid w:val="618910FC"/>
    <w:rsid w:val="618914B4"/>
    <w:rsid w:val="61893887"/>
    <w:rsid w:val="6189579A"/>
    <w:rsid w:val="618A08A6"/>
    <w:rsid w:val="618A317B"/>
    <w:rsid w:val="618A5B95"/>
    <w:rsid w:val="618B0124"/>
    <w:rsid w:val="618B07A8"/>
    <w:rsid w:val="618B1EF3"/>
    <w:rsid w:val="618B5A4F"/>
    <w:rsid w:val="618B79AF"/>
    <w:rsid w:val="618C17C7"/>
    <w:rsid w:val="618C3301"/>
    <w:rsid w:val="618C532D"/>
    <w:rsid w:val="618C5372"/>
    <w:rsid w:val="618C55D4"/>
    <w:rsid w:val="618D5C6B"/>
    <w:rsid w:val="618D744E"/>
    <w:rsid w:val="618D7A19"/>
    <w:rsid w:val="618E4982"/>
    <w:rsid w:val="618F0EAC"/>
    <w:rsid w:val="618F19E3"/>
    <w:rsid w:val="618F4DF8"/>
    <w:rsid w:val="618F5AEA"/>
    <w:rsid w:val="618F6D19"/>
    <w:rsid w:val="618F6E04"/>
    <w:rsid w:val="619012B7"/>
    <w:rsid w:val="619044B6"/>
    <w:rsid w:val="619138C3"/>
    <w:rsid w:val="6191727B"/>
    <w:rsid w:val="6192144C"/>
    <w:rsid w:val="6192502F"/>
    <w:rsid w:val="619259D4"/>
    <w:rsid w:val="61933540"/>
    <w:rsid w:val="61937245"/>
    <w:rsid w:val="6194040C"/>
    <w:rsid w:val="61941B7F"/>
    <w:rsid w:val="6194334C"/>
    <w:rsid w:val="61945F82"/>
    <w:rsid w:val="61946FF9"/>
    <w:rsid w:val="61947A0C"/>
    <w:rsid w:val="61947C70"/>
    <w:rsid w:val="6195042A"/>
    <w:rsid w:val="619568CD"/>
    <w:rsid w:val="61957214"/>
    <w:rsid w:val="61961018"/>
    <w:rsid w:val="61966BDC"/>
    <w:rsid w:val="61970898"/>
    <w:rsid w:val="61971AD4"/>
    <w:rsid w:val="619731B7"/>
    <w:rsid w:val="619743F4"/>
    <w:rsid w:val="61974862"/>
    <w:rsid w:val="61976E75"/>
    <w:rsid w:val="6198016C"/>
    <w:rsid w:val="6198173E"/>
    <w:rsid w:val="61981990"/>
    <w:rsid w:val="61983D15"/>
    <w:rsid w:val="61985066"/>
    <w:rsid w:val="619863BE"/>
    <w:rsid w:val="61990147"/>
    <w:rsid w:val="619931B3"/>
    <w:rsid w:val="61994610"/>
    <w:rsid w:val="61996AEF"/>
    <w:rsid w:val="619A0388"/>
    <w:rsid w:val="619A1F6A"/>
    <w:rsid w:val="619A2136"/>
    <w:rsid w:val="619A2DD6"/>
    <w:rsid w:val="619A4273"/>
    <w:rsid w:val="619B7CBB"/>
    <w:rsid w:val="619C08C2"/>
    <w:rsid w:val="619C1FA6"/>
    <w:rsid w:val="619C2EE2"/>
    <w:rsid w:val="619C4100"/>
    <w:rsid w:val="619C639C"/>
    <w:rsid w:val="619D0D68"/>
    <w:rsid w:val="619D0FEF"/>
    <w:rsid w:val="619D28EC"/>
    <w:rsid w:val="619D39D4"/>
    <w:rsid w:val="619D55B8"/>
    <w:rsid w:val="619D5782"/>
    <w:rsid w:val="619D6185"/>
    <w:rsid w:val="619D639C"/>
    <w:rsid w:val="619D7124"/>
    <w:rsid w:val="619E5802"/>
    <w:rsid w:val="619E7BFA"/>
    <w:rsid w:val="619F599E"/>
    <w:rsid w:val="619F6DC0"/>
    <w:rsid w:val="61A02415"/>
    <w:rsid w:val="61A03E4B"/>
    <w:rsid w:val="61A067CD"/>
    <w:rsid w:val="61A11716"/>
    <w:rsid w:val="61A134C4"/>
    <w:rsid w:val="61A13872"/>
    <w:rsid w:val="61A1473B"/>
    <w:rsid w:val="61A1579B"/>
    <w:rsid w:val="61A158C4"/>
    <w:rsid w:val="61A1651C"/>
    <w:rsid w:val="61A170E7"/>
    <w:rsid w:val="61A17454"/>
    <w:rsid w:val="61A21357"/>
    <w:rsid w:val="61A21FCF"/>
    <w:rsid w:val="61A25B29"/>
    <w:rsid w:val="61A30FEA"/>
    <w:rsid w:val="61A31137"/>
    <w:rsid w:val="61A3723C"/>
    <w:rsid w:val="61A42FB4"/>
    <w:rsid w:val="61A43982"/>
    <w:rsid w:val="61A444C7"/>
    <w:rsid w:val="61A44D62"/>
    <w:rsid w:val="61A46B11"/>
    <w:rsid w:val="61A47CEF"/>
    <w:rsid w:val="61A51F86"/>
    <w:rsid w:val="61A57653"/>
    <w:rsid w:val="61A60ADB"/>
    <w:rsid w:val="61A60B3D"/>
    <w:rsid w:val="61A62418"/>
    <w:rsid w:val="61A62889"/>
    <w:rsid w:val="61A62E42"/>
    <w:rsid w:val="61A66B65"/>
    <w:rsid w:val="61A75F2A"/>
    <w:rsid w:val="61A767CF"/>
    <w:rsid w:val="61A77FF5"/>
    <w:rsid w:val="61A811DF"/>
    <w:rsid w:val="61A82AA5"/>
    <w:rsid w:val="61A84853"/>
    <w:rsid w:val="61A878D4"/>
    <w:rsid w:val="61A92EC2"/>
    <w:rsid w:val="61AA15DF"/>
    <w:rsid w:val="61AA3DCA"/>
    <w:rsid w:val="61AB1547"/>
    <w:rsid w:val="61AB2AFE"/>
    <w:rsid w:val="61AB4343"/>
    <w:rsid w:val="61AB60F1"/>
    <w:rsid w:val="61AB7E06"/>
    <w:rsid w:val="61AB7E9F"/>
    <w:rsid w:val="61AC288A"/>
    <w:rsid w:val="61AC29D7"/>
    <w:rsid w:val="61AC2B03"/>
    <w:rsid w:val="61AD1E69"/>
    <w:rsid w:val="61AD3C17"/>
    <w:rsid w:val="61AD7AE3"/>
    <w:rsid w:val="61AE3E14"/>
    <w:rsid w:val="61AE4D3D"/>
    <w:rsid w:val="61AE5BE1"/>
    <w:rsid w:val="61AE798F"/>
    <w:rsid w:val="61AF31ED"/>
    <w:rsid w:val="61AF3E33"/>
    <w:rsid w:val="61AF4221"/>
    <w:rsid w:val="61AF6594"/>
    <w:rsid w:val="61AF73E0"/>
    <w:rsid w:val="61B00506"/>
    <w:rsid w:val="61B027E8"/>
    <w:rsid w:val="61B03707"/>
    <w:rsid w:val="61B069BA"/>
    <w:rsid w:val="61B07C17"/>
    <w:rsid w:val="61B122E4"/>
    <w:rsid w:val="61B13163"/>
    <w:rsid w:val="61B15B61"/>
    <w:rsid w:val="61B2061D"/>
    <w:rsid w:val="61B2122D"/>
    <w:rsid w:val="61B256D1"/>
    <w:rsid w:val="61B26849"/>
    <w:rsid w:val="61B2747F"/>
    <w:rsid w:val="61B31169"/>
    <w:rsid w:val="61B342C8"/>
    <w:rsid w:val="61B34AFE"/>
    <w:rsid w:val="61B34FA6"/>
    <w:rsid w:val="61B36100"/>
    <w:rsid w:val="61B36C80"/>
    <w:rsid w:val="61B41449"/>
    <w:rsid w:val="61B41D47"/>
    <w:rsid w:val="61B50D1E"/>
    <w:rsid w:val="61B50EEE"/>
    <w:rsid w:val="61B52ACC"/>
    <w:rsid w:val="61B53D41"/>
    <w:rsid w:val="61B551C2"/>
    <w:rsid w:val="61B64D3E"/>
    <w:rsid w:val="61B70C96"/>
    <w:rsid w:val="61B72CE8"/>
    <w:rsid w:val="61B74A96"/>
    <w:rsid w:val="61B75196"/>
    <w:rsid w:val="61B76844"/>
    <w:rsid w:val="61B825BC"/>
    <w:rsid w:val="61B82F05"/>
    <w:rsid w:val="61B83587"/>
    <w:rsid w:val="61B8391F"/>
    <w:rsid w:val="61B84B09"/>
    <w:rsid w:val="61B86D12"/>
    <w:rsid w:val="61B9080E"/>
    <w:rsid w:val="61B96A60"/>
    <w:rsid w:val="61BA27D8"/>
    <w:rsid w:val="61BA6082"/>
    <w:rsid w:val="61BA6334"/>
    <w:rsid w:val="61BA646B"/>
    <w:rsid w:val="61BB1E0C"/>
    <w:rsid w:val="61BB4098"/>
    <w:rsid w:val="61BB6DE5"/>
    <w:rsid w:val="61BC02FE"/>
    <w:rsid w:val="61BC285C"/>
    <w:rsid w:val="61BC3E5A"/>
    <w:rsid w:val="61BC46E9"/>
    <w:rsid w:val="61BC5089"/>
    <w:rsid w:val="61BC5C36"/>
    <w:rsid w:val="61BC77BF"/>
    <w:rsid w:val="61BC7B89"/>
    <w:rsid w:val="61BD0A86"/>
    <w:rsid w:val="61BD297C"/>
    <w:rsid w:val="61BD31A8"/>
    <w:rsid w:val="61BE06AD"/>
    <w:rsid w:val="61BE5E24"/>
    <w:rsid w:val="61BE7832"/>
    <w:rsid w:val="61BF00B8"/>
    <w:rsid w:val="61BF0E4D"/>
    <w:rsid w:val="61BF1B9C"/>
    <w:rsid w:val="61BF4F3C"/>
    <w:rsid w:val="61BF767D"/>
    <w:rsid w:val="61BF770C"/>
    <w:rsid w:val="61BF78E7"/>
    <w:rsid w:val="61C01D80"/>
    <w:rsid w:val="61C022DD"/>
    <w:rsid w:val="61C058FE"/>
    <w:rsid w:val="61C05A85"/>
    <w:rsid w:val="61C1284E"/>
    <w:rsid w:val="61C12DE2"/>
    <w:rsid w:val="61C13B66"/>
    <w:rsid w:val="61C16B32"/>
    <w:rsid w:val="61C23E72"/>
    <w:rsid w:val="61C2695C"/>
    <w:rsid w:val="61C30A64"/>
    <w:rsid w:val="61C3168D"/>
    <w:rsid w:val="61C37D07"/>
    <w:rsid w:val="61C40F61"/>
    <w:rsid w:val="61C46668"/>
    <w:rsid w:val="61C471B3"/>
    <w:rsid w:val="61C5466C"/>
    <w:rsid w:val="61C55405"/>
    <w:rsid w:val="61C61324"/>
    <w:rsid w:val="61C631E3"/>
    <w:rsid w:val="61C63BFA"/>
    <w:rsid w:val="61C6687F"/>
    <w:rsid w:val="61C70AE7"/>
    <w:rsid w:val="61C71C22"/>
    <w:rsid w:val="61C72517"/>
    <w:rsid w:val="61C7291B"/>
    <w:rsid w:val="61C74AD0"/>
    <w:rsid w:val="61C75E9E"/>
    <w:rsid w:val="61C7641B"/>
    <w:rsid w:val="61C80422"/>
    <w:rsid w:val="61C80A51"/>
    <w:rsid w:val="61C80A6F"/>
    <w:rsid w:val="61C8265E"/>
    <w:rsid w:val="61C83434"/>
    <w:rsid w:val="61C8671B"/>
    <w:rsid w:val="61C874F1"/>
    <w:rsid w:val="61C925DA"/>
    <w:rsid w:val="61C9273F"/>
    <w:rsid w:val="61CA08D9"/>
    <w:rsid w:val="61CA338F"/>
    <w:rsid w:val="61CA5805"/>
    <w:rsid w:val="61CA6230"/>
    <w:rsid w:val="61CA70CC"/>
    <w:rsid w:val="61CA73E7"/>
    <w:rsid w:val="61CB00FC"/>
    <w:rsid w:val="61CB2A64"/>
    <w:rsid w:val="61CB606C"/>
    <w:rsid w:val="61CB6793"/>
    <w:rsid w:val="61CC2988"/>
    <w:rsid w:val="61CD250B"/>
    <w:rsid w:val="61CD3451"/>
    <w:rsid w:val="61CD6067"/>
    <w:rsid w:val="61CE1DDF"/>
    <w:rsid w:val="61CE31A0"/>
    <w:rsid w:val="61CE3746"/>
    <w:rsid w:val="61CE379B"/>
    <w:rsid w:val="61CE3A26"/>
    <w:rsid w:val="61CE3B8D"/>
    <w:rsid w:val="61CE4EAD"/>
    <w:rsid w:val="61CE7EF9"/>
    <w:rsid w:val="61CF0031"/>
    <w:rsid w:val="61CF35F7"/>
    <w:rsid w:val="61CF3CA8"/>
    <w:rsid w:val="61CF71E3"/>
    <w:rsid w:val="61D03DA9"/>
    <w:rsid w:val="61D05B58"/>
    <w:rsid w:val="61D075EC"/>
    <w:rsid w:val="61D07906"/>
    <w:rsid w:val="61D11761"/>
    <w:rsid w:val="61D12BD1"/>
    <w:rsid w:val="61D13262"/>
    <w:rsid w:val="61D20BF1"/>
    <w:rsid w:val="61D215E7"/>
    <w:rsid w:val="61D218D0"/>
    <w:rsid w:val="61D2367E"/>
    <w:rsid w:val="61D2591C"/>
    <w:rsid w:val="61D30EF3"/>
    <w:rsid w:val="61D400BF"/>
    <w:rsid w:val="61D41430"/>
    <w:rsid w:val="61D4321C"/>
    <w:rsid w:val="61D451FF"/>
    <w:rsid w:val="61D45648"/>
    <w:rsid w:val="61D45C00"/>
    <w:rsid w:val="61D55C48"/>
    <w:rsid w:val="61D612A8"/>
    <w:rsid w:val="61D63C8C"/>
    <w:rsid w:val="61D67F4A"/>
    <w:rsid w:val="61D7273F"/>
    <w:rsid w:val="61D72874"/>
    <w:rsid w:val="61D73548"/>
    <w:rsid w:val="61D73C91"/>
    <w:rsid w:val="61D813F5"/>
    <w:rsid w:val="61D8229A"/>
    <w:rsid w:val="61D840E6"/>
    <w:rsid w:val="61D90EB0"/>
    <w:rsid w:val="61D91737"/>
    <w:rsid w:val="61DA03D6"/>
    <w:rsid w:val="61DA0784"/>
    <w:rsid w:val="61DA2372"/>
    <w:rsid w:val="61DA2E84"/>
    <w:rsid w:val="61DA4314"/>
    <w:rsid w:val="61DA7570"/>
    <w:rsid w:val="61DB2BD9"/>
    <w:rsid w:val="61DC19A6"/>
    <w:rsid w:val="61DC270C"/>
    <w:rsid w:val="61DC614B"/>
    <w:rsid w:val="61DD145C"/>
    <w:rsid w:val="61DD1805"/>
    <w:rsid w:val="61DD1CE1"/>
    <w:rsid w:val="61DD5317"/>
    <w:rsid w:val="61DE0EB4"/>
    <w:rsid w:val="61DE2022"/>
    <w:rsid w:val="61DE5853"/>
    <w:rsid w:val="61DE739F"/>
    <w:rsid w:val="61DF2F49"/>
    <w:rsid w:val="61DF3E95"/>
    <w:rsid w:val="61DF3FED"/>
    <w:rsid w:val="61DF40C7"/>
    <w:rsid w:val="61DF6CF6"/>
    <w:rsid w:val="61DF7A21"/>
    <w:rsid w:val="61E002E2"/>
    <w:rsid w:val="61E10F0B"/>
    <w:rsid w:val="61E11507"/>
    <w:rsid w:val="61E12B12"/>
    <w:rsid w:val="61E155AC"/>
    <w:rsid w:val="61E15E5B"/>
    <w:rsid w:val="61E15FB7"/>
    <w:rsid w:val="61E16E72"/>
    <w:rsid w:val="61E23396"/>
    <w:rsid w:val="61E239A4"/>
    <w:rsid w:val="61E2410F"/>
    <w:rsid w:val="61E2444A"/>
    <w:rsid w:val="61E26DB3"/>
    <w:rsid w:val="61E30AF1"/>
    <w:rsid w:val="61E33ADD"/>
    <w:rsid w:val="61E37639"/>
    <w:rsid w:val="61E433B1"/>
    <w:rsid w:val="61E44A5C"/>
    <w:rsid w:val="61E53AA7"/>
    <w:rsid w:val="61E57855"/>
    <w:rsid w:val="61E635CD"/>
    <w:rsid w:val="61E6383E"/>
    <w:rsid w:val="61E67129"/>
    <w:rsid w:val="61E729DB"/>
    <w:rsid w:val="61E80059"/>
    <w:rsid w:val="61E812A4"/>
    <w:rsid w:val="61E82EA1"/>
    <w:rsid w:val="61E909C7"/>
    <w:rsid w:val="61E9114E"/>
    <w:rsid w:val="61E91312"/>
    <w:rsid w:val="61E92645"/>
    <w:rsid w:val="61E93DB8"/>
    <w:rsid w:val="61E97DCB"/>
    <w:rsid w:val="61EA0EF0"/>
    <w:rsid w:val="61EA369A"/>
    <w:rsid w:val="61EA3E09"/>
    <w:rsid w:val="61EA5F8E"/>
    <w:rsid w:val="61EB0C67"/>
    <w:rsid w:val="61EB125E"/>
    <w:rsid w:val="61EB2991"/>
    <w:rsid w:val="61EB2D6A"/>
    <w:rsid w:val="61EB473F"/>
    <w:rsid w:val="61EB48BE"/>
    <w:rsid w:val="61EB5299"/>
    <w:rsid w:val="61EC55E1"/>
    <w:rsid w:val="61EC6729"/>
    <w:rsid w:val="61ED1597"/>
    <w:rsid w:val="61ED495B"/>
    <w:rsid w:val="61ED5978"/>
    <w:rsid w:val="61ED6BC4"/>
    <w:rsid w:val="61ED77BB"/>
    <w:rsid w:val="61EE2228"/>
    <w:rsid w:val="61EE5FDE"/>
    <w:rsid w:val="61EE6FB0"/>
    <w:rsid w:val="61EF288C"/>
    <w:rsid w:val="61EF28F5"/>
    <w:rsid w:val="61EF6EFC"/>
    <w:rsid w:val="61F00855"/>
    <w:rsid w:val="61F01D56"/>
    <w:rsid w:val="61F05AA1"/>
    <w:rsid w:val="61F0606E"/>
    <w:rsid w:val="61F061FA"/>
    <w:rsid w:val="61F07C7B"/>
    <w:rsid w:val="61F07FA8"/>
    <w:rsid w:val="61F173F3"/>
    <w:rsid w:val="61F21F72"/>
    <w:rsid w:val="61F25ACE"/>
    <w:rsid w:val="61F335F4"/>
    <w:rsid w:val="61F37C9E"/>
    <w:rsid w:val="61F40127"/>
    <w:rsid w:val="61F40669"/>
    <w:rsid w:val="61F4100B"/>
    <w:rsid w:val="61F41846"/>
    <w:rsid w:val="61F422F9"/>
    <w:rsid w:val="61F45C4B"/>
    <w:rsid w:val="61F45CEA"/>
    <w:rsid w:val="61F47A98"/>
    <w:rsid w:val="61F47BB9"/>
    <w:rsid w:val="61F50387"/>
    <w:rsid w:val="61F50657"/>
    <w:rsid w:val="61F52707"/>
    <w:rsid w:val="61F5296C"/>
    <w:rsid w:val="61F53810"/>
    <w:rsid w:val="61F62E65"/>
    <w:rsid w:val="61F70E2F"/>
    <w:rsid w:val="61F71336"/>
    <w:rsid w:val="61F7155B"/>
    <w:rsid w:val="61F742F1"/>
    <w:rsid w:val="61F74799"/>
    <w:rsid w:val="61F8409E"/>
    <w:rsid w:val="61F86EDB"/>
    <w:rsid w:val="61F94093"/>
    <w:rsid w:val="61F9440E"/>
    <w:rsid w:val="61F94CFE"/>
    <w:rsid w:val="61F950AE"/>
    <w:rsid w:val="61FA0444"/>
    <w:rsid w:val="61FA237B"/>
    <w:rsid w:val="61FA4982"/>
    <w:rsid w:val="61FB0E26"/>
    <w:rsid w:val="61FB21BD"/>
    <w:rsid w:val="61FB2217"/>
    <w:rsid w:val="61FB4D8E"/>
    <w:rsid w:val="61FC129B"/>
    <w:rsid w:val="61FC2A08"/>
    <w:rsid w:val="61FC4B9F"/>
    <w:rsid w:val="61FC5872"/>
    <w:rsid w:val="61FC694D"/>
    <w:rsid w:val="61FE22AD"/>
    <w:rsid w:val="61FE3027"/>
    <w:rsid w:val="61FE584E"/>
    <w:rsid w:val="61FE5862"/>
    <w:rsid w:val="61FF01EB"/>
    <w:rsid w:val="61FF2762"/>
    <w:rsid w:val="61FF370F"/>
    <w:rsid w:val="61FF45AF"/>
    <w:rsid w:val="61FF6FEE"/>
    <w:rsid w:val="6200468F"/>
    <w:rsid w:val="62004B2E"/>
    <w:rsid w:val="6200602F"/>
    <w:rsid w:val="620117B3"/>
    <w:rsid w:val="6201252D"/>
    <w:rsid w:val="62013EBA"/>
    <w:rsid w:val="62015265"/>
    <w:rsid w:val="620221EA"/>
    <w:rsid w:val="62031A89"/>
    <w:rsid w:val="62034E16"/>
    <w:rsid w:val="62035A19"/>
    <w:rsid w:val="62035F2D"/>
    <w:rsid w:val="62037B4F"/>
    <w:rsid w:val="6204091A"/>
    <w:rsid w:val="6204749E"/>
    <w:rsid w:val="62047ED8"/>
    <w:rsid w:val="62051CA5"/>
    <w:rsid w:val="620535B3"/>
    <w:rsid w:val="6205734E"/>
    <w:rsid w:val="62057E78"/>
    <w:rsid w:val="620610FB"/>
    <w:rsid w:val="62064575"/>
    <w:rsid w:val="62065A1D"/>
    <w:rsid w:val="62070C89"/>
    <w:rsid w:val="62074A71"/>
    <w:rsid w:val="620841BC"/>
    <w:rsid w:val="62085790"/>
    <w:rsid w:val="62085F01"/>
    <w:rsid w:val="620900E1"/>
    <w:rsid w:val="62092959"/>
    <w:rsid w:val="6209484B"/>
    <w:rsid w:val="620A4DC0"/>
    <w:rsid w:val="620A72BB"/>
    <w:rsid w:val="620B03A1"/>
    <w:rsid w:val="620B0BC9"/>
    <w:rsid w:val="620C1090"/>
    <w:rsid w:val="620C110D"/>
    <w:rsid w:val="620C2843"/>
    <w:rsid w:val="620C3034"/>
    <w:rsid w:val="620C4A86"/>
    <w:rsid w:val="620D06C5"/>
    <w:rsid w:val="620D0B5A"/>
    <w:rsid w:val="620D1272"/>
    <w:rsid w:val="620D5725"/>
    <w:rsid w:val="620D6DAC"/>
    <w:rsid w:val="620D70A7"/>
    <w:rsid w:val="620D71A2"/>
    <w:rsid w:val="620E1E31"/>
    <w:rsid w:val="620E37DB"/>
    <w:rsid w:val="620E4F7C"/>
    <w:rsid w:val="620E6B26"/>
    <w:rsid w:val="620E76B8"/>
    <w:rsid w:val="620F183C"/>
    <w:rsid w:val="620F3203"/>
    <w:rsid w:val="620F48D2"/>
    <w:rsid w:val="621023F8"/>
    <w:rsid w:val="62103D00"/>
    <w:rsid w:val="621041A6"/>
    <w:rsid w:val="62106AB4"/>
    <w:rsid w:val="62107F74"/>
    <w:rsid w:val="6211064A"/>
    <w:rsid w:val="621106F4"/>
    <w:rsid w:val="621118D8"/>
    <w:rsid w:val="62112663"/>
    <w:rsid w:val="62115166"/>
    <w:rsid w:val="62120443"/>
    <w:rsid w:val="62122F41"/>
    <w:rsid w:val="621243C2"/>
    <w:rsid w:val="62126170"/>
    <w:rsid w:val="62131CD9"/>
    <w:rsid w:val="62134CF5"/>
    <w:rsid w:val="62135A3E"/>
    <w:rsid w:val="6213717B"/>
    <w:rsid w:val="6214325B"/>
    <w:rsid w:val="62143B01"/>
    <w:rsid w:val="62143C96"/>
    <w:rsid w:val="62145A44"/>
    <w:rsid w:val="621467BA"/>
    <w:rsid w:val="62146D6D"/>
    <w:rsid w:val="62146F60"/>
    <w:rsid w:val="62147075"/>
    <w:rsid w:val="62151BF3"/>
    <w:rsid w:val="621541C2"/>
    <w:rsid w:val="62155870"/>
    <w:rsid w:val="62155934"/>
    <w:rsid w:val="621573C6"/>
    <w:rsid w:val="62157A0E"/>
    <w:rsid w:val="62161995"/>
    <w:rsid w:val="62165C60"/>
    <w:rsid w:val="621662C2"/>
    <w:rsid w:val="62166DC4"/>
    <w:rsid w:val="62170B12"/>
    <w:rsid w:val="621719D8"/>
    <w:rsid w:val="62172BB5"/>
    <w:rsid w:val="62174079"/>
    <w:rsid w:val="62174F1C"/>
    <w:rsid w:val="62175241"/>
    <w:rsid w:val="621756EB"/>
    <w:rsid w:val="62194529"/>
    <w:rsid w:val="6219748C"/>
    <w:rsid w:val="621974FF"/>
    <w:rsid w:val="621A0316"/>
    <w:rsid w:val="621A1743"/>
    <w:rsid w:val="621A2C02"/>
    <w:rsid w:val="621B127A"/>
    <w:rsid w:val="621B4399"/>
    <w:rsid w:val="621B78A3"/>
    <w:rsid w:val="621C0D9D"/>
    <w:rsid w:val="621C2496"/>
    <w:rsid w:val="621C43B7"/>
    <w:rsid w:val="621C48C7"/>
    <w:rsid w:val="621C6FEF"/>
    <w:rsid w:val="621C79EF"/>
    <w:rsid w:val="621D1910"/>
    <w:rsid w:val="621D22CC"/>
    <w:rsid w:val="621D2915"/>
    <w:rsid w:val="621D5B2A"/>
    <w:rsid w:val="621D65B8"/>
    <w:rsid w:val="621E0BD4"/>
    <w:rsid w:val="621E170A"/>
    <w:rsid w:val="621E27ED"/>
    <w:rsid w:val="621E2A56"/>
    <w:rsid w:val="621E2D67"/>
    <w:rsid w:val="621E78AA"/>
    <w:rsid w:val="621F4382"/>
    <w:rsid w:val="621F43E9"/>
    <w:rsid w:val="621F47AA"/>
    <w:rsid w:val="6220088D"/>
    <w:rsid w:val="62201F40"/>
    <w:rsid w:val="6220263B"/>
    <w:rsid w:val="62206ADF"/>
    <w:rsid w:val="622124CE"/>
    <w:rsid w:val="62214DFA"/>
    <w:rsid w:val="622163B3"/>
    <w:rsid w:val="62227C07"/>
    <w:rsid w:val="6223037D"/>
    <w:rsid w:val="62230D58"/>
    <w:rsid w:val="6223212B"/>
    <w:rsid w:val="62233ED9"/>
    <w:rsid w:val="62235A80"/>
    <w:rsid w:val="62237366"/>
    <w:rsid w:val="62241160"/>
    <w:rsid w:val="622436BE"/>
    <w:rsid w:val="62250594"/>
    <w:rsid w:val="6225083D"/>
    <w:rsid w:val="62254286"/>
    <w:rsid w:val="62261C1B"/>
    <w:rsid w:val="622639C9"/>
    <w:rsid w:val="622645F7"/>
    <w:rsid w:val="6227291A"/>
    <w:rsid w:val="622746AC"/>
    <w:rsid w:val="622752A2"/>
    <w:rsid w:val="622814F0"/>
    <w:rsid w:val="62287742"/>
    <w:rsid w:val="62291116"/>
    <w:rsid w:val="622962DE"/>
    <w:rsid w:val="6229697B"/>
    <w:rsid w:val="62297E0B"/>
    <w:rsid w:val="622A201C"/>
    <w:rsid w:val="622A2D43"/>
    <w:rsid w:val="622A34BA"/>
    <w:rsid w:val="622A5268"/>
    <w:rsid w:val="622B0503"/>
    <w:rsid w:val="622B345B"/>
    <w:rsid w:val="622B4F39"/>
    <w:rsid w:val="622C52FC"/>
    <w:rsid w:val="622C5484"/>
    <w:rsid w:val="622C6B2F"/>
    <w:rsid w:val="622D1C0C"/>
    <w:rsid w:val="622D2AF4"/>
    <w:rsid w:val="622D2FAA"/>
    <w:rsid w:val="622D4B74"/>
    <w:rsid w:val="622D504B"/>
    <w:rsid w:val="622D678C"/>
    <w:rsid w:val="622D6B06"/>
    <w:rsid w:val="622D7C1E"/>
    <w:rsid w:val="622E2220"/>
    <w:rsid w:val="622E23AB"/>
    <w:rsid w:val="622E7C1C"/>
    <w:rsid w:val="622F0AD0"/>
    <w:rsid w:val="622F2F4E"/>
    <w:rsid w:val="62304EF5"/>
    <w:rsid w:val="6230510D"/>
    <w:rsid w:val="623068C3"/>
    <w:rsid w:val="623103E2"/>
    <w:rsid w:val="62312A9A"/>
    <w:rsid w:val="623142D2"/>
    <w:rsid w:val="62314848"/>
    <w:rsid w:val="62317611"/>
    <w:rsid w:val="62320319"/>
    <w:rsid w:val="62320580"/>
    <w:rsid w:val="623205C0"/>
    <w:rsid w:val="623212EE"/>
    <w:rsid w:val="6232236E"/>
    <w:rsid w:val="62322A89"/>
    <w:rsid w:val="62326812"/>
    <w:rsid w:val="62327C88"/>
    <w:rsid w:val="62334A5A"/>
    <w:rsid w:val="62342596"/>
    <w:rsid w:val="62344338"/>
    <w:rsid w:val="623460E6"/>
    <w:rsid w:val="62346E54"/>
    <w:rsid w:val="62347D2C"/>
    <w:rsid w:val="62347FA2"/>
    <w:rsid w:val="6235097C"/>
    <w:rsid w:val="62351B77"/>
    <w:rsid w:val="623525B3"/>
    <w:rsid w:val="62356676"/>
    <w:rsid w:val="62357F0D"/>
    <w:rsid w:val="623600B0"/>
    <w:rsid w:val="62360F7F"/>
    <w:rsid w:val="62362107"/>
    <w:rsid w:val="6236279A"/>
    <w:rsid w:val="62363B19"/>
    <w:rsid w:val="62364701"/>
    <w:rsid w:val="62364ED8"/>
    <w:rsid w:val="6236783E"/>
    <w:rsid w:val="6237043C"/>
    <w:rsid w:val="6237162B"/>
    <w:rsid w:val="62372158"/>
    <w:rsid w:val="62373E29"/>
    <w:rsid w:val="623773C0"/>
    <w:rsid w:val="6237788C"/>
    <w:rsid w:val="62383096"/>
    <w:rsid w:val="623907C5"/>
    <w:rsid w:val="62390BC7"/>
    <w:rsid w:val="623934D7"/>
    <w:rsid w:val="623936FD"/>
    <w:rsid w:val="62395C6E"/>
    <w:rsid w:val="62397226"/>
    <w:rsid w:val="62397BA1"/>
    <w:rsid w:val="623A1223"/>
    <w:rsid w:val="623A38BA"/>
    <w:rsid w:val="623A400D"/>
    <w:rsid w:val="623A76EB"/>
    <w:rsid w:val="623B0ABF"/>
    <w:rsid w:val="623B56C7"/>
    <w:rsid w:val="623B7475"/>
    <w:rsid w:val="623C143F"/>
    <w:rsid w:val="623C4A8D"/>
    <w:rsid w:val="623C4C27"/>
    <w:rsid w:val="623C4F9B"/>
    <w:rsid w:val="623C58D9"/>
    <w:rsid w:val="623C6D84"/>
    <w:rsid w:val="623D26D8"/>
    <w:rsid w:val="623D4822"/>
    <w:rsid w:val="623D5225"/>
    <w:rsid w:val="623D6977"/>
    <w:rsid w:val="623E0D13"/>
    <w:rsid w:val="623E44BB"/>
    <w:rsid w:val="623E51B7"/>
    <w:rsid w:val="623E5FD0"/>
    <w:rsid w:val="623E6F65"/>
    <w:rsid w:val="623F0EEA"/>
    <w:rsid w:val="623F567D"/>
    <w:rsid w:val="623F6AAD"/>
    <w:rsid w:val="62400175"/>
    <w:rsid w:val="62402CDD"/>
    <w:rsid w:val="62404133"/>
    <w:rsid w:val="62405FD6"/>
    <w:rsid w:val="624125B1"/>
    <w:rsid w:val="62416092"/>
    <w:rsid w:val="62422353"/>
    <w:rsid w:val="624225B5"/>
    <w:rsid w:val="6242445E"/>
    <w:rsid w:val="62426A55"/>
    <w:rsid w:val="624336B0"/>
    <w:rsid w:val="624345A4"/>
    <w:rsid w:val="62436124"/>
    <w:rsid w:val="624364C4"/>
    <w:rsid w:val="624368A9"/>
    <w:rsid w:val="62436F7C"/>
    <w:rsid w:val="624419EC"/>
    <w:rsid w:val="62441E42"/>
    <w:rsid w:val="6244565E"/>
    <w:rsid w:val="62447573"/>
    <w:rsid w:val="62447F17"/>
    <w:rsid w:val="6245003F"/>
    <w:rsid w:val="62451FE3"/>
    <w:rsid w:val="624520A2"/>
    <w:rsid w:val="62453471"/>
    <w:rsid w:val="62453E65"/>
    <w:rsid w:val="62464C86"/>
    <w:rsid w:val="6246514E"/>
    <w:rsid w:val="62465E1A"/>
    <w:rsid w:val="62471115"/>
    <w:rsid w:val="62473A9F"/>
    <w:rsid w:val="6247406C"/>
    <w:rsid w:val="62474B3F"/>
    <w:rsid w:val="624756F3"/>
    <w:rsid w:val="62480E5E"/>
    <w:rsid w:val="62481B92"/>
    <w:rsid w:val="62485CF7"/>
    <w:rsid w:val="62487DE4"/>
    <w:rsid w:val="62490BE0"/>
    <w:rsid w:val="6249131C"/>
    <w:rsid w:val="624913B8"/>
    <w:rsid w:val="62491DB7"/>
    <w:rsid w:val="624972D7"/>
    <w:rsid w:val="62497A89"/>
    <w:rsid w:val="624A2CE8"/>
    <w:rsid w:val="624A44A9"/>
    <w:rsid w:val="624A590A"/>
    <w:rsid w:val="624A5CB4"/>
    <w:rsid w:val="624A62B2"/>
    <w:rsid w:val="624A6ECC"/>
    <w:rsid w:val="624A76B8"/>
    <w:rsid w:val="624A7977"/>
    <w:rsid w:val="624A7C71"/>
    <w:rsid w:val="624B06E9"/>
    <w:rsid w:val="624B15F3"/>
    <w:rsid w:val="624B2E21"/>
    <w:rsid w:val="624B3430"/>
    <w:rsid w:val="624B53DC"/>
    <w:rsid w:val="624B7144"/>
    <w:rsid w:val="624C061B"/>
    <w:rsid w:val="624C1682"/>
    <w:rsid w:val="624C41B9"/>
    <w:rsid w:val="624C78D4"/>
    <w:rsid w:val="624C7B52"/>
    <w:rsid w:val="624D2976"/>
    <w:rsid w:val="624D3A0C"/>
    <w:rsid w:val="624D3F38"/>
    <w:rsid w:val="624D4635"/>
    <w:rsid w:val="624D53FA"/>
    <w:rsid w:val="624D67B8"/>
    <w:rsid w:val="624D71A8"/>
    <w:rsid w:val="624D7A0E"/>
    <w:rsid w:val="624E291A"/>
    <w:rsid w:val="624E3DF9"/>
    <w:rsid w:val="624E4D42"/>
    <w:rsid w:val="624E518B"/>
    <w:rsid w:val="624F0696"/>
    <w:rsid w:val="624F0C97"/>
    <w:rsid w:val="624F1172"/>
    <w:rsid w:val="624F4865"/>
    <w:rsid w:val="624F4CCE"/>
    <w:rsid w:val="62502908"/>
    <w:rsid w:val="62502FB6"/>
    <w:rsid w:val="62504A60"/>
    <w:rsid w:val="625073D7"/>
    <w:rsid w:val="6251249F"/>
    <w:rsid w:val="62514EEA"/>
    <w:rsid w:val="62514F78"/>
    <w:rsid w:val="62516C98"/>
    <w:rsid w:val="62522A10"/>
    <w:rsid w:val="62524D49"/>
    <w:rsid w:val="625261F0"/>
    <w:rsid w:val="62527E8F"/>
    <w:rsid w:val="62534CF0"/>
    <w:rsid w:val="62540291"/>
    <w:rsid w:val="62540537"/>
    <w:rsid w:val="625422E5"/>
    <w:rsid w:val="625452D9"/>
    <w:rsid w:val="62551822"/>
    <w:rsid w:val="62551C5A"/>
    <w:rsid w:val="62561AEB"/>
    <w:rsid w:val="62562501"/>
    <w:rsid w:val="625642AF"/>
    <w:rsid w:val="62564FA5"/>
    <w:rsid w:val="6256539B"/>
    <w:rsid w:val="625679E5"/>
    <w:rsid w:val="625702B8"/>
    <w:rsid w:val="62571B9B"/>
    <w:rsid w:val="62571DF0"/>
    <w:rsid w:val="62572845"/>
    <w:rsid w:val="6257436A"/>
    <w:rsid w:val="62574A1B"/>
    <w:rsid w:val="625838F0"/>
    <w:rsid w:val="625921C9"/>
    <w:rsid w:val="625964C3"/>
    <w:rsid w:val="6259672C"/>
    <w:rsid w:val="625978FB"/>
    <w:rsid w:val="625A7172"/>
    <w:rsid w:val="625A7ECD"/>
    <w:rsid w:val="625B18C5"/>
    <w:rsid w:val="625B230E"/>
    <w:rsid w:val="625B4533"/>
    <w:rsid w:val="625B6C39"/>
    <w:rsid w:val="625B6FBC"/>
    <w:rsid w:val="625B74C6"/>
    <w:rsid w:val="625C1358"/>
    <w:rsid w:val="625C1AFB"/>
    <w:rsid w:val="625C2C9A"/>
    <w:rsid w:val="625C58C6"/>
    <w:rsid w:val="625C5B39"/>
    <w:rsid w:val="625C69FB"/>
    <w:rsid w:val="625D0450"/>
    <w:rsid w:val="625D388F"/>
    <w:rsid w:val="625E018B"/>
    <w:rsid w:val="625E13B5"/>
    <w:rsid w:val="625F0597"/>
    <w:rsid w:val="62600C89"/>
    <w:rsid w:val="62607ECC"/>
    <w:rsid w:val="62610D92"/>
    <w:rsid w:val="62612C54"/>
    <w:rsid w:val="62614A02"/>
    <w:rsid w:val="62623AA2"/>
    <w:rsid w:val="62630A9F"/>
    <w:rsid w:val="62631D46"/>
    <w:rsid w:val="62632505"/>
    <w:rsid w:val="62632699"/>
    <w:rsid w:val="62634C1E"/>
    <w:rsid w:val="626367F2"/>
    <w:rsid w:val="62640D13"/>
    <w:rsid w:val="626436DA"/>
    <w:rsid w:val="62644101"/>
    <w:rsid w:val="62644150"/>
    <w:rsid w:val="62645990"/>
    <w:rsid w:val="62650345"/>
    <w:rsid w:val="62652744"/>
    <w:rsid w:val="62653804"/>
    <w:rsid w:val="626544F2"/>
    <w:rsid w:val="6265548D"/>
    <w:rsid w:val="626562A0"/>
    <w:rsid w:val="62661FA3"/>
    <w:rsid w:val="62663D4C"/>
    <w:rsid w:val="62664FAC"/>
    <w:rsid w:val="626762A7"/>
    <w:rsid w:val="6267666C"/>
    <w:rsid w:val="62677621"/>
    <w:rsid w:val="62680E7E"/>
    <w:rsid w:val="6268123D"/>
    <w:rsid w:val="62684EC1"/>
    <w:rsid w:val="62685D90"/>
    <w:rsid w:val="626869FD"/>
    <w:rsid w:val="6269142E"/>
    <w:rsid w:val="62691B04"/>
    <w:rsid w:val="6269762A"/>
    <w:rsid w:val="626A1496"/>
    <w:rsid w:val="626A1534"/>
    <w:rsid w:val="626A1B08"/>
    <w:rsid w:val="626A3B5D"/>
    <w:rsid w:val="626A3CC3"/>
    <w:rsid w:val="626A6179"/>
    <w:rsid w:val="626A673E"/>
    <w:rsid w:val="626A7D5A"/>
    <w:rsid w:val="626B0C63"/>
    <w:rsid w:val="626B31A9"/>
    <w:rsid w:val="626B3216"/>
    <w:rsid w:val="626B6729"/>
    <w:rsid w:val="626B762E"/>
    <w:rsid w:val="626C104E"/>
    <w:rsid w:val="626C3B45"/>
    <w:rsid w:val="626C5880"/>
    <w:rsid w:val="626D29C1"/>
    <w:rsid w:val="626D65E3"/>
    <w:rsid w:val="626D6640"/>
    <w:rsid w:val="626D6A62"/>
    <w:rsid w:val="626E720D"/>
    <w:rsid w:val="626F35C2"/>
    <w:rsid w:val="626F5370"/>
    <w:rsid w:val="626F5A9C"/>
    <w:rsid w:val="626F653F"/>
    <w:rsid w:val="626F65DF"/>
    <w:rsid w:val="626F711E"/>
    <w:rsid w:val="626F7AC3"/>
    <w:rsid w:val="6271191E"/>
    <w:rsid w:val="62713A30"/>
    <w:rsid w:val="6271639C"/>
    <w:rsid w:val="627209BD"/>
    <w:rsid w:val="62720DA1"/>
    <w:rsid w:val="62721E95"/>
    <w:rsid w:val="627222EF"/>
    <w:rsid w:val="62723AC3"/>
    <w:rsid w:val="6272459B"/>
    <w:rsid w:val="62724CDF"/>
    <w:rsid w:val="62725DF9"/>
    <w:rsid w:val="62726C0F"/>
    <w:rsid w:val="62730B71"/>
    <w:rsid w:val="62733FAA"/>
    <w:rsid w:val="62734A37"/>
    <w:rsid w:val="62740BD9"/>
    <w:rsid w:val="62741384"/>
    <w:rsid w:val="62742987"/>
    <w:rsid w:val="62744735"/>
    <w:rsid w:val="62746345"/>
    <w:rsid w:val="627472F8"/>
    <w:rsid w:val="62747372"/>
    <w:rsid w:val="6274758F"/>
    <w:rsid w:val="627477E0"/>
    <w:rsid w:val="62754478"/>
    <w:rsid w:val="62754CEA"/>
    <w:rsid w:val="62754E68"/>
    <w:rsid w:val="62755A2C"/>
    <w:rsid w:val="62756442"/>
    <w:rsid w:val="62763978"/>
    <w:rsid w:val="627666FF"/>
    <w:rsid w:val="627668F2"/>
    <w:rsid w:val="627703FF"/>
    <w:rsid w:val="6277148A"/>
    <w:rsid w:val="627717C6"/>
    <w:rsid w:val="62771F7F"/>
    <w:rsid w:val="62773A49"/>
    <w:rsid w:val="62775BEF"/>
    <w:rsid w:val="62776D3A"/>
    <w:rsid w:val="62777628"/>
    <w:rsid w:val="62781C6E"/>
    <w:rsid w:val="627821ED"/>
    <w:rsid w:val="62782477"/>
    <w:rsid w:val="62783047"/>
    <w:rsid w:val="62785094"/>
    <w:rsid w:val="62791D4B"/>
    <w:rsid w:val="62791E33"/>
    <w:rsid w:val="627949FD"/>
    <w:rsid w:val="62794CD3"/>
    <w:rsid w:val="62794E16"/>
    <w:rsid w:val="62797F9D"/>
    <w:rsid w:val="627A260C"/>
    <w:rsid w:val="627B3D15"/>
    <w:rsid w:val="627B5AC3"/>
    <w:rsid w:val="627B7EA5"/>
    <w:rsid w:val="627C0B43"/>
    <w:rsid w:val="627C183B"/>
    <w:rsid w:val="627C3B92"/>
    <w:rsid w:val="627C537F"/>
    <w:rsid w:val="627C53DB"/>
    <w:rsid w:val="627C787D"/>
    <w:rsid w:val="627D16E1"/>
    <w:rsid w:val="627D5CDF"/>
    <w:rsid w:val="627D751D"/>
    <w:rsid w:val="627D79A4"/>
    <w:rsid w:val="627D7E9D"/>
    <w:rsid w:val="627E0E6E"/>
    <w:rsid w:val="627E15CF"/>
    <w:rsid w:val="627E24F0"/>
    <w:rsid w:val="627E3463"/>
    <w:rsid w:val="627E48F1"/>
    <w:rsid w:val="627E55B4"/>
    <w:rsid w:val="627E7169"/>
    <w:rsid w:val="627F5949"/>
    <w:rsid w:val="6280052E"/>
    <w:rsid w:val="6280132C"/>
    <w:rsid w:val="628030DA"/>
    <w:rsid w:val="62805714"/>
    <w:rsid w:val="62806A1B"/>
    <w:rsid w:val="6280743E"/>
    <w:rsid w:val="628077A6"/>
    <w:rsid w:val="62807C37"/>
    <w:rsid w:val="62810D5A"/>
    <w:rsid w:val="62810F0E"/>
    <w:rsid w:val="62813525"/>
    <w:rsid w:val="62813EF2"/>
    <w:rsid w:val="62814221"/>
    <w:rsid w:val="62825571"/>
    <w:rsid w:val="62830E1C"/>
    <w:rsid w:val="62831E5F"/>
    <w:rsid w:val="62832BCA"/>
    <w:rsid w:val="6283449C"/>
    <w:rsid w:val="6283498E"/>
    <w:rsid w:val="628357B4"/>
    <w:rsid w:val="62840673"/>
    <w:rsid w:val="62841D1C"/>
    <w:rsid w:val="6284307A"/>
    <w:rsid w:val="6284372B"/>
    <w:rsid w:val="62843C67"/>
    <w:rsid w:val="628452C4"/>
    <w:rsid w:val="628539FF"/>
    <w:rsid w:val="62856942"/>
    <w:rsid w:val="628611A2"/>
    <w:rsid w:val="6286797F"/>
    <w:rsid w:val="628703AD"/>
    <w:rsid w:val="62870C97"/>
    <w:rsid w:val="62873EAC"/>
    <w:rsid w:val="62876A62"/>
    <w:rsid w:val="628841B8"/>
    <w:rsid w:val="6288488F"/>
    <w:rsid w:val="62890576"/>
    <w:rsid w:val="62891C3D"/>
    <w:rsid w:val="62891CB7"/>
    <w:rsid w:val="628934CE"/>
    <w:rsid w:val="62894684"/>
    <w:rsid w:val="62894F6A"/>
    <w:rsid w:val="62896A92"/>
    <w:rsid w:val="628A0116"/>
    <w:rsid w:val="628A3F58"/>
    <w:rsid w:val="628A43B1"/>
    <w:rsid w:val="628A43B4"/>
    <w:rsid w:val="628A5D2A"/>
    <w:rsid w:val="628A610C"/>
    <w:rsid w:val="628A64F9"/>
    <w:rsid w:val="628A6575"/>
    <w:rsid w:val="628B746C"/>
    <w:rsid w:val="628C0638"/>
    <w:rsid w:val="628C1A7E"/>
    <w:rsid w:val="628C2737"/>
    <w:rsid w:val="628C2B45"/>
    <w:rsid w:val="628C3FC9"/>
    <w:rsid w:val="628C5F22"/>
    <w:rsid w:val="628D57F7"/>
    <w:rsid w:val="628D5EF2"/>
    <w:rsid w:val="628D68EA"/>
    <w:rsid w:val="628E1C9B"/>
    <w:rsid w:val="628E50B7"/>
    <w:rsid w:val="628E6C9D"/>
    <w:rsid w:val="628F026C"/>
    <w:rsid w:val="628F08E1"/>
    <w:rsid w:val="628F156F"/>
    <w:rsid w:val="628F344E"/>
    <w:rsid w:val="628F52E7"/>
    <w:rsid w:val="628F539B"/>
    <w:rsid w:val="628F5A13"/>
    <w:rsid w:val="628F77C1"/>
    <w:rsid w:val="628F79A0"/>
    <w:rsid w:val="62900218"/>
    <w:rsid w:val="62900449"/>
    <w:rsid w:val="62906FB9"/>
    <w:rsid w:val="62913539"/>
    <w:rsid w:val="62914838"/>
    <w:rsid w:val="629152E7"/>
    <w:rsid w:val="62917095"/>
    <w:rsid w:val="629178DD"/>
    <w:rsid w:val="6292105F"/>
    <w:rsid w:val="62922E0D"/>
    <w:rsid w:val="62925F7C"/>
    <w:rsid w:val="62926FD7"/>
    <w:rsid w:val="629274A0"/>
    <w:rsid w:val="629278F2"/>
    <w:rsid w:val="62932444"/>
    <w:rsid w:val="6293292B"/>
    <w:rsid w:val="62932A15"/>
    <w:rsid w:val="6293474E"/>
    <w:rsid w:val="62935DB1"/>
    <w:rsid w:val="62943029"/>
    <w:rsid w:val="62944DD7"/>
    <w:rsid w:val="62946B85"/>
    <w:rsid w:val="6295025A"/>
    <w:rsid w:val="6296008D"/>
    <w:rsid w:val="6296078B"/>
    <w:rsid w:val="62960B4F"/>
    <w:rsid w:val="629628FD"/>
    <w:rsid w:val="6296649E"/>
    <w:rsid w:val="62966DA1"/>
    <w:rsid w:val="62970C2B"/>
    <w:rsid w:val="6297399A"/>
    <w:rsid w:val="629746E0"/>
    <w:rsid w:val="629755D1"/>
    <w:rsid w:val="6297636E"/>
    <w:rsid w:val="629765D4"/>
    <w:rsid w:val="62976675"/>
    <w:rsid w:val="62977EBD"/>
    <w:rsid w:val="62980300"/>
    <w:rsid w:val="62982A7F"/>
    <w:rsid w:val="62982C7F"/>
    <w:rsid w:val="6298696F"/>
    <w:rsid w:val="6299032B"/>
    <w:rsid w:val="6299063F"/>
    <w:rsid w:val="629916DA"/>
    <w:rsid w:val="629917AC"/>
    <w:rsid w:val="62992048"/>
    <w:rsid w:val="629921A4"/>
    <w:rsid w:val="629923ED"/>
    <w:rsid w:val="62992B61"/>
    <w:rsid w:val="6299361C"/>
    <w:rsid w:val="62993E49"/>
    <w:rsid w:val="6299419B"/>
    <w:rsid w:val="62994A45"/>
    <w:rsid w:val="629A2524"/>
    <w:rsid w:val="629A267A"/>
    <w:rsid w:val="629A499D"/>
    <w:rsid w:val="629B049F"/>
    <w:rsid w:val="629B43B7"/>
    <w:rsid w:val="629B4FED"/>
    <w:rsid w:val="629B7D70"/>
    <w:rsid w:val="629C7113"/>
    <w:rsid w:val="629D0E83"/>
    <w:rsid w:val="629D30D5"/>
    <w:rsid w:val="629D3C8C"/>
    <w:rsid w:val="629D5835"/>
    <w:rsid w:val="629E17B2"/>
    <w:rsid w:val="629E1E6C"/>
    <w:rsid w:val="629E2A4D"/>
    <w:rsid w:val="629E3011"/>
    <w:rsid w:val="629E5CEB"/>
    <w:rsid w:val="629E641C"/>
    <w:rsid w:val="629F0EE6"/>
    <w:rsid w:val="629F4BEA"/>
    <w:rsid w:val="629F6AAE"/>
    <w:rsid w:val="62A0230D"/>
    <w:rsid w:val="62A0552A"/>
    <w:rsid w:val="62A104EB"/>
    <w:rsid w:val="62A113CE"/>
    <w:rsid w:val="62A11F89"/>
    <w:rsid w:val="62A13110"/>
    <w:rsid w:val="62A1407A"/>
    <w:rsid w:val="62A15DCF"/>
    <w:rsid w:val="62A17C51"/>
    <w:rsid w:val="62A20CBE"/>
    <w:rsid w:val="62A212A2"/>
    <w:rsid w:val="62A22F0F"/>
    <w:rsid w:val="62A236E5"/>
    <w:rsid w:val="62A23EAC"/>
    <w:rsid w:val="62A25746"/>
    <w:rsid w:val="62A27150"/>
    <w:rsid w:val="62A274F4"/>
    <w:rsid w:val="62A31B02"/>
    <w:rsid w:val="62A3326C"/>
    <w:rsid w:val="62A337F3"/>
    <w:rsid w:val="62A33CEE"/>
    <w:rsid w:val="62A36DC8"/>
    <w:rsid w:val="62A37DD2"/>
    <w:rsid w:val="62A40EB5"/>
    <w:rsid w:val="62A43D1A"/>
    <w:rsid w:val="62A509FF"/>
    <w:rsid w:val="62A50D92"/>
    <w:rsid w:val="62A52B40"/>
    <w:rsid w:val="62A53372"/>
    <w:rsid w:val="62A54A68"/>
    <w:rsid w:val="62A54CFA"/>
    <w:rsid w:val="62A5584D"/>
    <w:rsid w:val="62A569C6"/>
    <w:rsid w:val="62A7289E"/>
    <w:rsid w:val="62A72D5C"/>
    <w:rsid w:val="62A73AFF"/>
    <w:rsid w:val="62A74B0A"/>
    <w:rsid w:val="62A768B8"/>
    <w:rsid w:val="62A76F61"/>
    <w:rsid w:val="62A845DF"/>
    <w:rsid w:val="62A866D0"/>
    <w:rsid w:val="62A868C5"/>
    <w:rsid w:val="62A87BED"/>
    <w:rsid w:val="62A9456E"/>
    <w:rsid w:val="62AA45FB"/>
    <w:rsid w:val="62AA63A9"/>
    <w:rsid w:val="62AB3C97"/>
    <w:rsid w:val="62AB5087"/>
    <w:rsid w:val="62AB7DAA"/>
    <w:rsid w:val="62AC162C"/>
    <w:rsid w:val="62AC1B36"/>
    <w:rsid w:val="62AC5387"/>
    <w:rsid w:val="62AC5E82"/>
    <w:rsid w:val="62AC7981"/>
    <w:rsid w:val="62AD4ADB"/>
    <w:rsid w:val="62AD7C47"/>
    <w:rsid w:val="62AE2542"/>
    <w:rsid w:val="62AE2F8D"/>
    <w:rsid w:val="62AE5A8B"/>
    <w:rsid w:val="62AF1C11"/>
    <w:rsid w:val="62AF1D0D"/>
    <w:rsid w:val="62AF39D2"/>
    <w:rsid w:val="62AF7E63"/>
    <w:rsid w:val="62B0492B"/>
    <w:rsid w:val="62B0700C"/>
    <w:rsid w:val="62B07A33"/>
    <w:rsid w:val="62B114E5"/>
    <w:rsid w:val="62B17737"/>
    <w:rsid w:val="62B2173C"/>
    <w:rsid w:val="62B27782"/>
    <w:rsid w:val="62B32113"/>
    <w:rsid w:val="62B334AF"/>
    <w:rsid w:val="62B40CC6"/>
    <w:rsid w:val="62B42BA3"/>
    <w:rsid w:val="62B4549B"/>
    <w:rsid w:val="62B47227"/>
    <w:rsid w:val="62B55EAA"/>
    <w:rsid w:val="62B56008"/>
    <w:rsid w:val="62B571A4"/>
    <w:rsid w:val="62B60B61"/>
    <w:rsid w:val="62B611F1"/>
    <w:rsid w:val="62B6437B"/>
    <w:rsid w:val="62B65555"/>
    <w:rsid w:val="62B674A5"/>
    <w:rsid w:val="62B679CE"/>
    <w:rsid w:val="62B721A9"/>
    <w:rsid w:val="62B74D35"/>
    <w:rsid w:val="62B80AA0"/>
    <w:rsid w:val="62B80AC5"/>
    <w:rsid w:val="62B8128B"/>
    <w:rsid w:val="62B82D7F"/>
    <w:rsid w:val="62B87803"/>
    <w:rsid w:val="62B87A5E"/>
    <w:rsid w:val="62B91420"/>
    <w:rsid w:val="62B92A90"/>
    <w:rsid w:val="62B93E7A"/>
    <w:rsid w:val="62B9483E"/>
    <w:rsid w:val="62B94E8D"/>
    <w:rsid w:val="62B965EC"/>
    <w:rsid w:val="62B96805"/>
    <w:rsid w:val="62B97F96"/>
    <w:rsid w:val="62BA1B0A"/>
    <w:rsid w:val="62BB05B6"/>
    <w:rsid w:val="62BB2959"/>
    <w:rsid w:val="62BB36D4"/>
    <w:rsid w:val="62BC1246"/>
    <w:rsid w:val="62BC4186"/>
    <w:rsid w:val="62BD0FD5"/>
    <w:rsid w:val="62BD432E"/>
    <w:rsid w:val="62BD60DC"/>
    <w:rsid w:val="62BD6E0C"/>
    <w:rsid w:val="62BE189C"/>
    <w:rsid w:val="62BE2676"/>
    <w:rsid w:val="62BE41EB"/>
    <w:rsid w:val="62BE5B8D"/>
    <w:rsid w:val="62BF3C60"/>
    <w:rsid w:val="62BF5528"/>
    <w:rsid w:val="62BF610B"/>
    <w:rsid w:val="62BF7664"/>
    <w:rsid w:val="62C03357"/>
    <w:rsid w:val="62C04708"/>
    <w:rsid w:val="62C05294"/>
    <w:rsid w:val="62C0570A"/>
    <w:rsid w:val="62C05BCC"/>
    <w:rsid w:val="62C07245"/>
    <w:rsid w:val="62C10CB3"/>
    <w:rsid w:val="62C16B6E"/>
    <w:rsid w:val="62C17277"/>
    <w:rsid w:val="62C202DE"/>
    <w:rsid w:val="62C21944"/>
    <w:rsid w:val="62C21FE8"/>
    <w:rsid w:val="62C236F2"/>
    <w:rsid w:val="62C24FAB"/>
    <w:rsid w:val="62C25536"/>
    <w:rsid w:val="62C26FC5"/>
    <w:rsid w:val="62C276CF"/>
    <w:rsid w:val="62C27B3C"/>
    <w:rsid w:val="62C27B96"/>
    <w:rsid w:val="62C31218"/>
    <w:rsid w:val="62C348DD"/>
    <w:rsid w:val="62C3746A"/>
    <w:rsid w:val="62C444C3"/>
    <w:rsid w:val="62C456BC"/>
    <w:rsid w:val="62C507C9"/>
    <w:rsid w:val="62C54F90"/>
    <w:rsid w:val="62C551EA"/>
    <w:rsid w:val="62C62AAC"/>
    <w:rsid w:val="62C65FF9"/>
    <w:rsid w:val="62C66CD9"/>
    <w:rsid w:val="62C74262"/>
    <w:rsid w:val="62C766CD"/>
    <w:rsid w:val="62C76DD4"/>
    <w:rsid w:val="62C76F5B"/>
    <w:rsid w:val="62C81060"/>
    <w:rsid w:val="62C81E74"/>
    <w:rsid w:val="62C84912"/>
    <w:rsid w:val="62C84EFE"/>
    <w:rsid w:val="62C85C6B"/>
    <w:rsid w:val="62C85CBA"/>
    <w:rsid w:val="62C92EBB"/>
    <w:rsid w:val="62C95CC1"/>
    <w:rsid w:val="62C96730"/>
    <w:rsid w:val="62C9684B"/>
    <w:rsid w:val="62C96890"/>
    <w:rsid w:val="62C97CBB"/>
    <w:rsid w:val="62CA05DA"/>
    <w:rsid w:val="62CA67C7"/>
    <w:rsid w:val="62CB0941"/>
    <w:rsid w:val="62CB1A71"/>
    <w:rsid w:val="62CB28D6"/>
    <w:rsid w:val="62CB597E"/>
    <w:rsid w:val="62CB6940"/>
    <w:rsid w:val="62CB722F"/>
    <w:rsid w:val="62CB7E0D"/>
    <w:rsid w:val="62CC27C3"/>
    <w:rsid w:val="62CC2B14"/>
    <w:rsid w:val="62CC4571"/>
    <w:rsid w:val="62CC7E82"/>
    <w:rsid w:val="62CD2097"/>
    <w:rsid w:val="62CD590D"/>
    <w:rsid w:val="62CE02E9"/>
    <w:rsid w:val="62CE03EB"/>
    <w:rsid w:val="62CF061A"/>
    <w:rsid w:val="62CF4061"/>
    <w:rsid w:val="62CF72EA"/>
    <w:rsid w:val="62CF7A45"/>
    <w:rsid w:val="62D00233"/>
    <w:rsid w:val="62D00439"/>
    <w:rsid w:val="62D022B3"/>
    <w:rsid w:val="62D06BBE"/>
    <w:rsid w:val="62D107F3"/>
    <w:rsid w:val="62D1086B"/>
    <w:rsid w:val="62D11C3D"/>
    <w:rsid w:val="62D129E1"/>
    <w:rsid w:val="62D16D14"/>
    <w:rsid w:val="62D17DD9"/>
    <w:rsid w:val="62D26A7D"/>
    <w:rsid w:val="62D27B3D"/>
    <w:rsid w:val="62D31E48"/>
    <w:rsid w:val="62D32DCD"/>
    <w:rsid w:val="62D358FF"/>
    <w:rsid w:val="62D4227A"/>
    <w:rsid w:val="62D43425"/>
    <w:rsid w:val="62D46715"/>
    <w:rsid w:val="62D5038E"/>
    <w:rsid w:val="62D53540"/>
    <w:rsid w:val="62D578C9"/>
    <w:rsid w:val="62D653F0"/>
    <w:rsid w:val="62D6719E"/>
    <w:rsid w:val="62D70080"/>
    <w:rsid w:val="62D71CE3"/>
    <w:rsid w:val="62D7301A"/>
    <w:rsid w:val="62D740A1"/>
    <w:rsid w:val="62D74C62"/>
    <w:rsid w:val="62D7678C"/>
    <w:rsid w:val="62D80B9A"/>
    <w:rsid w:val="62D81168"/>
    <w:rsid w:val="62D8207A"/>
    <w:rsid w:val="62D831A1"/>
    <w:rsid w:val="62D83505"/>
    <w:rsid w:val="62D84CC4"/>
    <w:rsid w:val="62D85AD8"/>
    <w:rsid w:val="62D867E4"/>
    <w:rsid w:val="62D90A3C"/>
    <w:rsid w:val="62D9137C"/>
    <w:rsid w:val="62D93224"/>
    <w:rsid w:val="62DA438B"/>
    <w:rsid w:val="62DA59A9"/>
    <w:rsid w:val="62DA6030"/>
    <w:rsid w:val="62DA698E"/>
    <w:rsid w:val="62DA6AE2"/>
    <w:rsid w:val="62DB0C58"/>
    <w:rsid w:val="62DB1FA0"/>
    <w:rsid w:val="62DB4024"/>
    <w:rsid w:val="62DB47B4"/>
    <w:rsid w:val="62DB4D80"/>
    <w:rsid w:val="62DC1677"/>
    <w:rsid w:val="62DC40B4"/>
    <w:rsid w:val="62DC787F"/>
    <w:rsid w:val="62DD052C"/>
    <w:rsid w:val="62DD4D78"/>
    <w:rsid w:val="62DD677E"/>
    <w:rsid w:val="62DD6A50"/>
    <w:rsid w:val="62DE1949"/>
    <w:rsid w:val="62DE28DD"/>
    <w:rsid w:val="62DE42A4"/>
    <w:rsid w:val="62DF24F6"/>
    <w:rsid w:val="62DF2620"/>
    <w:rsid w:val="62DF5A64"/>
    <w:rsid w:val="62E056CD"/>
    <w:rsid w:val="62E0626E"/>
    <w:rsid w:val="62E06EE1"/>
    <w:rsid w:val="62E1225E"/>
    <w:rsid w:val="62E1674B"/>
    <w:rsid w:val="62E16861"/>
    <w:rsid w:val="62E17F81"/>
    <w:rsid w:val="62E21FE6"/>
    <w:rsid w:val="62E23D94"/>
    <w:rsid w:val="62E25B42"/>
    <w:rsid w:val="62E278F0"/>
    <w:rsid w:val="62E27CF1"/>
    <w:rsid w:val="62E32E5F"/>
    <w:rsid w:val="62E33669"/>
    <w:rsid w:val="62E35B0B"/>
    <w:rsid w:val="62E35D3E"/>
    <w:rsid w:val="62E36E48"/>
    <w:rsid w:val="62E4312E"/>
    <w:rsid w:val="62E436D1"/>
    <w:rsid w:val="62E45271"/>
    <w:rsid w:val="62E47B0C"/>
    <w:rsid w:val="62E53885"/>
    <w:rsid w:val="62E53AA1"/>
    <w:rsid w:val="62E5447C"/>
    <w:rsid w:val="62E55633"/>
    <w:rsid w:val="62E55EA5"/>
    <w:rsid w:val="62E63E9A"/>
    <w:rsid w:val="62E649EA"/>
    <w:rsid w:val="62E65114"/>
    <w:rsid w:val="62E713AB"/>
    <w:rsid w:val="62E80C7F"/>
    <w:rsid w:val="62E83B63"/>
    <w:rsid w:val="62E86672"/>
    <w:rsid w:val="62E919A0"/>
    <w:rsid w:val="62E9227E"/>
    <w:rsid w:val="62E93375"/>
    <w:rsid w:val="62E95123"/>
    <w:rsid w:val="62EA2C49"/>
    <w:rsid w:val="62EA49F7"/>
    <w:rsid w:val="62EA4F57"/>
    <w:rsid w:val="62EB1970"/>
    <w:rsid w:val="62EB24E4"/>
    <w:rsid w:val="62EC076F"/>
    <w:rsid w:val="62EC0DA3"/>
    <w:rsid w:val="62EC4ABD"/>
    <w:rsid w:val="62EC573B"/>
    <w:rsid w:val="62EC6826"/>
    <w:rsid w:val="62EC717B"/>
    <w:rsid w:val="62ED06F3"/>
    <w:rsid w:val="62ED111E"/>
    <w:rsid w:val="62ED4C62"/>
    <w:rsid w:val="62ED4CCD"/>
    <w:rsid w:val="62ED4E04"/>
    <w:rsid w:val="62ED6DE7"/>
    <w:rsid w:val="62ED6EFE"/>
    <w:rsid w:val="62EE098B"/>
    <w:rsid w:val="62EE0D9A"/>
    <w:rsid w:val="62EE44E7"/>
    <w:rsid w:val="62EE4B17"/>
    <w:rsid w:val="62EE63FA"/>
    <w:rsid w:val="62EE79D5"/>
    <w:rsid w:val="62EF025F"/>
    <w:rsid w:val="62EF1C6C"/>
    <w:rsid w:val="62EF200D"/>
    <w:rsid w:val="62F04EC6"/>
    <w:rsid w:val="62F10709"/>
    <w:rsid w:val="62F11C8F"/>
    <w:rsid w:val="62F13654"/>
    <w:rsid w:val="62F23F48"/>
    <w:rsid w:val="62F31AFE"/>
    <w:rsid w:val="62F37747"/>
    <w:rsid w:val="62F37D50"/>
    <w:rsid w:val="62F40B35"/>
    <w:rsid w:val="62F44CB8"/>
    <w:rsid w:val="62F452D9"/>
    <w:rsid w:val="62F45876"/>
    <w:rsid w:val="62F51D1A"/>
    <w:rsid w:val="62F534CA"/>
    <w:rsid w:val="62F53596"/>
    <w:rsid w:val="62F53AC8"/>
    <w:rsid w:val="62F54CD7"/>
    <w:rsid w:val="62F55479"/>
    <w:rsid w:val="62F5703C"/>
    <w:rsid w:val="62F57B9B"/>
    <w:rsid w:val="62F6036F"/>
    <w:rsid w:val="62F603AF"/>
    <w:rsid w:val="62F615EE"/>
    <w:rsid w:val="62F623A3"/>
    <w:rsid w:val="62F6339C"/>
    <w:rsid w:val="62F64A26"/>
    <w:rsid w:val="62F653C2"/>
    <w:rsid w:val="62F66167"/>
    <w:rsid w:val="62F670D5"/>
    <w:rsid w:val="62F675F7"/>
    <w:rsid w:val="62F67BFF"/>
    <w:rsid w:val="62F71070"/>
    <w:rsid w:val="62F8166B"/>
    <w:rsid w:val="62F835B8"/>
    <w:rsid w:val="62F85D11"/>
    <w:rsid w:val="62F871FA"/>
    <w:rsid w:val="62F92E8C"/>
    <w:rsid w:val="62F933A7"/>
    <w:rsid w:val="62F96613"/>
    <w:rsid w:val="62F970BC"/>
    <w:rsid w:val="62FA0D31"/>
    <w:rsid w:val="62FA10DE"/>
    <w:rsid w:val="62FA5DE3"/>
    <w:rsid w:val="62FA7330"/>
    <w:rsid w:val="62FB09B2"/>
    <w:rsid w:val="62FB0F12"/>
    <w:rsid w:val="62FB2867"/>
    <w:rsid w:val="62FB29CB"/>
    <w:rsid w:val="62FB4DB5"/>
    <w:rsid w:val="62FB4E56"/>
    <w:rsid w:val="62FB5AB3"/>
    <w:rsid w:val="62FB6C04"/>
    <w:rsid w:val="62FB7E62"/>
    <w:rsid w:val="62FC30BA"/>
    <w:rsid w:val="62FC3469"/>
    <w:rsid w:val="62FC5DF9"/>
    <w:rsid w:val="62FD0BCE"/>
    <w:rsid w:val="62FD297C"/>
    <w:rsid w:val="62FD472A"/>
    <w:rsid w:val="62FD6392"/>
    <w:rsid w:val="62FD77EF"/>
    <w:rsid w:val="62FE04A2"/>
    <w:rsid w:val="62FE4D37"/>
    <w:rsid w:val="62FE5D89"/>
    <w:rsid w:val="62FE7692"/>
    <w:rsid w:val="62FE7A18"/>
    <w:rsid w:val="62FF4EDE"/>
    <w:rsid w:val="62FF5DB4"/>
    <w:rsid w:val="62FF5EF8"/>
    <w:rsid w:val="62FF66F4"/>
    <w:rsid w:val="63000215"/>
    <w:rsid w:val="630006A9"/>
    <w:rsid w:val="630006BE"/>
    <w:rsid w:val="63000723"/>
    <w:rsid w:val="63002190"/>
    <w:rsid w:val="6300455F"/>
    <w:rsid w:val="630075F0"/>
    <w:rsid w:val="6300773C"/>
    <w:rsid w:val="6301327A"/>
    <w:rsid w:val="63021D41"/>
    <w:rsid w:val="6302470A"/>
    <w:rsid w:val="63025F08"/>
    <w:rsid w:val="630261E5"/>
    <w:rsid w:val="6302694D"/>
    <w:rsid w:val="630278E8"/>
    <w:rsid w:val="6303331C"/>
    <w:rsid w:val="63037151"/>
    <w:rsid w:val="63043D0B"/>
    <w:rsid w:val="63046BFA"/>
    <w:rsid w:val="63051831"/>
    <w:rsid w:val="63051DA8"/>
    <w:rsid w:val="6305260A"/>
    <w:rsid w:val="63052847"/>
    <w:rsid w:val="63052BCE"/>
    <w:rsid w:val="6305308B"/>
    <w:rsid w:val="6306279A"/>
    <w:rsid w:val="63063E4D"/>
    <w:rsid w:val="630642BE"/>
    <w:rsid w:val="63065CD5"/>
    <w:rsid w:val="63067EA2"/>
    <w:rsid w:val="6307361A"/>
    <w:rsid w:val="630737FB"/>
    <w:rsid w:val="63074F46"/>
    <w:rsid w:val="630755A9"/>
    <w:rsid w:val="630808F7"/>
    <w:rsid w:val="630853EF"/>
    <w:rsid w:val="63090F83"/>
    <w:rsid w:val="63091321"/>
    <w:rsid w:val="63092D9F"/>
    <w:rsid w:val="630930CF"/>
    <w:rsid w:val="63097573"/>
    <w:rsid w:val="630A3096"/>
    <w:rsid w:val="630A50B7"/>
    <w:rsid w:val="630A6E47"/>
    <w:rsid w:val="630B2CB7"/>
    <w:rsid w:val="630B32EB"/>
    <w:rsid w:val="630B6EFD"/>
    <w:rsid w:val="630C22C1"/>
    <w:rsid w:val="630C2BBF"/>
    <w:rsid w:val="630C2F5E"/>
    <w:rsid w:val="630D310E"/>
    <w:rsid w:val="630D3B28"/>
    <w:rsid w:val="630D723D"/>
    <w:rsid w:val="630E06E5"/>
    <w:rsid w:val="630E3A34"/>
    <w:rsid w:val="630E587E"/>
    <w:rsid w:val="630E6497"/>
    <w:rsid w:val="630E6937"/>
    <w:rsid w:val="630F0980"/>
    <w:rsid w:val="630F1249"/>
    <w:rsid w:val="630F26B0"/>
    <w:rsid w:val="630F44C7"/>
    <w:rsid w:val="630F4761"/>
    <w:rsid w:val="631018DF"/>
    <w:rsid w:val="63102DB5"/>
    <w:rsid w:val="63106792"/>
    <w:rsid w:val="631129C0"/>
    <w:rsid w:val="63113490"/>
    <w:rsid w:val="6311467A"/>
    <w:rsid w:val="63123391"/>
    <w:rsid w:val="63133F4E"/>
    <w:rsid w:val="63140F7C"/>
    <w:rsid w:val="631416F0"/>
    <w:rsid w:val="63141A74"/>
    <w:rsid w:val="63145D1E"/>
    <w:rsid w:val="63147CC6"/>
    <w:rsid w:val="63152B80"/>
    <w:rsid w:val="63156130"/>
    <w:rsid w:val="63156C6F"/>
    <w:rsid w:val="63162D55"/>
    <w:rsid w:val="63163A3E"/>
    <w:rsid w:val="631650CD"/>
    <w:rsid w:val="631721DB"/>
    <w:rsid w:val="6317253D"/>
    <w:rsid w:val="63173DAA"/>
    <w:rsid w:val="6318038E"/>
    <w:rsid w:val="63181564"/>
    <w:rsid w:val="63185A08"/>
    <w:rsid w:val="631877B6"/>
    <w:rsid w:val="631913A7"/>
    <w:rsid w:val="631942AE"/>
    <w:rsid w:val="631A1780"/>
    <w:rsid w:val="631A3512"/>
    <w:rsid w:val="631A352E"/>
    <w:rsid w:val="631A52DC"/>
    <w:rsid w:val="631B06BA"/>
    <w:rsid w:val="631B1054"/>
    <w:rsid w:val="631B1734"/>
    <w:rsid w:val="631B2E02"/>
    <w:rsid w:val="631B37C4"/>
    <w:rsid w:val="631B72A6"/>
    <w:rsid w:val="631C0D56"/>
    <w:rsid w:val="631C5498"/>
    <w:rsid w:val="631D14B5"/>
    <w:rsid w:val="631D35FB"/>
    <w:rsid w:val="631D6B7A"/>
    <w:rsid w:val="631E5373"/>
    <w:rsid w:val="631E594C"/>
    <w:rsid w:val="631F0B45"/>
    <w:rsid w:val="631F12AA"/>
    <w:rsid w:val="631F144F"/>
    <w:rsid w:val="631F2CCC"/>
    <w:rsid w:val="631F37D5"/>
    <w:rsid w:val="631F6D97"/>
    <w:rsid w:val="632048BD"/>
    <w:rsid w:val="6320666B"/>
    <w:rsid w:val="63206F94"/>
    <w:rsid w:val="63211123"/>
    <w:rsid w:val="63211CEF"/>
    <w:rsid w:val="63212269"/>
    <w:rsid w:val="632173C1"/>
    <w:rsid w:val="63221091"/>
    <w:rsid w:val="632223E3"/>
    <w:rsid w:val="63222753"/>
    <w:rsid w:val="63225184"/>
    <w:rsid w:val="632272B6"/>
    <w:rsid w:val="63227F63"/>
    <w:rsid w:val="6323058D"/>
    <w:rsid w:val="63231FDA"/>
    <w:rsid w:val="632411E5"/>
    <w:rsid w:val="63244046"/>
    <w:rsid w:val="632443AD"/>
    <w:rsid w:val="6324462F"/>
    <w:rsid w:val="6324615B"/>
    <w:rsid w:val="63250023"/>
    <w:rsid w:val="63250A82"/>
    <w:rsid w:val="63251ED3"/>
    <w:rsid w:val="63252675"/>
    <w:rsid w:val="63253D48"/>
    <w:rsid w:val="63260125"/>
    <w:rsid w:val="6326364E"/>
    <w:rsid w:val="63271693"/>
    <w:rsid w:val="632717A7"/>
    <w:rsid w:val="632717F7"/>
    <w:rsid w:val="63274F95"/>
    <w:rsid w:val="6327574C"/>
    <w:rsid w:val="632758C7"/>
    <w:rsid w:val="63275C4B"/>
    <w:rsid w:val="632779F9"/>
    <w:rsid w:val="63281413"/>
    <w:rsid w:val="63282479"/>
    <w:rsid w:val="63283C1D"/>
    <w:rsid w:val="63285CDF"/>
    <w:rsid w:val="6328691F"/>
    <w:rsid w:val="632919C3"/>
    <w:rsid w:val="63291BE4"/>
    <w:rsid w:val="63295453"/>
    <w:rsid w:val="6329551F"/>
    <w:rsid w:val="632A3451"/>
    <w:rsid w:val="632A420C"/>
    <w:rsid w:val="632B0B79"/>
    <w:rsid w:val="632B3634"/>
    <w:rsid w:val="632B3EF0"/>
    <w:rsid w:val="632B573B"/>
    <w:rsid w:val="632B5D1C"/>
    <w:rsid w:val="632B64E7"/>
    <w:rsid w:val="632C14B3"/>
    <w:rsid w:val="632C5010"/>
    <w:rsid w:val="632D1C0C"/>
    <w:rsid w:val="632D295C"/>
    <w:rsid w:val="632D2A9A"/>
    <w:rsid w:val="632E042E"/>
    <w:rsid w:val="632E12ED"/>
    <w:rsid w:val="632E199A"/>
    <w:rsid w:val="632E2B36"/>
    <w:rsid w:val="632E43B0"/>
    <w:rsid w:val="632E4E68"/>
    <w:rsid w:val="632F278C"/>
    <w:rsid w:val="632F5624"/>
    <w:rsid w:val="632F618E"/>
    <w:rsid w:val="632F62F8"/>
    <w:rsid w:val="632F68AE"/>
    <w:rsid w:val="63301739"/>
    <w:rsid w:val="63302D52"/>
    <w:rsid w:val="63303611"/>
    <w:rsid w:val="63310878"/>
    <w:rsid w:val="63311D08"/>
    <w:rsid w:val="63312951"/>
    <w:rsid w:val="633137E9"/>
    <w:rsid w:val="633165EF"/>
    <w:rsid w:val="63316ACA"/>
    <w:rsid w:val="633220A8"/>
    <w:rsid w:val="63324708"/>
    <w:rsid w:val="633250E1"/>
    <w:rsid w:val="6332532B"/>
    <w:rsid w:val="63330FFD"/>
    <w:rsid w:val="63332842"/>
    <w:rsid w:val="6333373A"/>
    <w:rsid w:val="633345F0"/>
    <w:rsid w:val="6333639E"/>
    <w:rsid w:val="63342472"/>
    <w:rsid w:val="63343EC4"/>
    <w:rsid w:val="6334664D"/>
    <w:rsid w:val="63350368"/>
    <w:rsid w:val="63350A29"/>
    <w:rsid w:val="63352116"/>
    <w:rsid w:val="63353229"/>
    <w:rsid w:val="63353273"/>
    <w:rsid w:val="63360412"/>
    <w:rsid w:val="63360671"/>
    <w:rsid w:val="63360B92"/>
    <w:rsid w:val="633809E6"/>
    <w:rsid w:val="63380AEB"/>
    <w:rsid w:val="63381B0E"/>
    <w:rsid w:val="63381C06"/>
    <w:rsid w:val="63382D30"/>
    <w:rsid w:val="63387160"/>
    <w:rsid w:val="63391F7B"/>
    <w:rsid w:val="633A406D"/>
    <w:rsid w:val="633A4BC4"/>
    <w:rsid w:val="633A597E"/>
    <w:rsid w:val="633A772C"/>
    <w:rsid w:val="633B33BD"/>
    <w:rsid w:val="633B407E"/>
    <w:rsid w:val="633B48BB"/>
    <w:rsid w:val="633B4E5E"/>
    <w:rsid w:val="633B6885"/>
    <w:rsid w:val="633C1C91"/>
    <w:rsid w:val="633C2325"/>
    <w:rsid w:val="633D01CF"/>
    <w:rsid w:val="633D0FCB"/>
    <w:rsid w:val="633D5E90"/>
    <w:rsid w:val="633D721D"/>
    <w:rsid w:val="633E2F2A"/>
    <w:rsid w:val="633E2FDF"/>
    <w:rsid w:val="633E321C"/>
    <w:rsid w:val="633E4C00"/>
    <w:rsid w:val="633E68B9"/>
    <w:rsid w:val="633F0199"/>
    <w:rsid w:val="633F05C4"/>
    <w:rsid w:val="633F11E7"/>
    <w:rsid w:val="633F46AC"/>
    <w:rsid w:val="633F4D43"/>
    <w:rsid w:val="633F4EB4"/>
    <w:rsid w:val="63400ABB"/>
    <w:rsid w:val="63401965"/>
    <w:rsid w:val="63401B7F"/>
    <w:rsid w:val="63403F90"/>
    <w:rsid w:val="634104DC"/>
    <w:rsid w:val="63414D84"/>
    <w:rsid w:val="63416D0D"/>
    <w:rsid w:val="6341779D"/>
    <w:rsid w:val="63417F5E"/>
    <w:rsid w:val="63420691"/>
    <w:rsid w:val="63423447"/>
    <w:rsid w:val="63423E75"/>
    <w:rsid w:val="6342476E"/>
    <w:rsid w:val="6342772E"/>
    <w:rsid w:val="63434FC5"/>
    <w:rsid w:val="634405AB"/>
    <w:rsid w:val="63443A46"/>
    <w:rsid w:val="634467FD"/>
    <w:rsid w:val="63447B45"/>
    <w:rsid w:val="634630EF"/>
    <w:rsid w:val="6346389B"/>
    <w:rsid w:val="63464323"/>
    <w:rsid w:val="6347180B"/>
    <w:rsid w:val="63471CF2"/>
    <w:rsid w:val="63471E49"/>
    <w:rsid w:val="63472E3E"/>
    <w:rsid w:val="63473BF7"/>
    <w:rsid w:val="63475650"/>
    <w:rsid w:val="63475D74"/>
    <w:rsid w:val="6349032F"/>
    <w:rsid w:val="63492914"/>
    <w:rsid w:val="634929ED"/>
    <w:rsid w:val="63493E13"/>
    <w:rsid w:val="63497970"/>
    <w:rsid w:val="634A0F0F"/>
    <w:rsid w:val="634A369D"/>
    <w:rsid w:val="634A36E8"/>
    <w:rsid w:val="634A4350"/>
    <w:rsid w:val="634A7AE7"/>
    <w:rsid w:val="634B1F60"/>
    <w:rsid w:val="634B401A"/>
    <w:rsid w:val="634B401D"/>
    <w:rsid w:val="634B603C"/>
    <w:rsid w:val="634B654C"/>
    <w:rsid w:val="634C0CCC"/>
    <w:rsid w:val="634C2793"/>
    <w:rsid w:val="634C34F9"/>
    <w:rsid w:val="634C3904"/>
    <w:rsid w:val="634D373C"/>
    <w:rsid w:val="634E2E7F"/>
    <w:rsid w:val="634E31D8"/>
    <w:rsid w:val="634E4F86"/>
    <w:rsid w:val="634F07DE"/>
    <w:rsid w:val="634F10AA"/>
    <w:rsid w:val="634F7890"/>
    <w:rsid w:val="635051A2"/>
    <w:rsid w:val="63505631"/>
    <w:rsid w:val="63505768"/>
    <w:rsid w:val="63506F50"/>
    <w:rsid w:val="63512CC8"/>
    <w:rsid w:val="63514A76"/>
    <w:rsid w:val="6351550F"/>
    <w:rsid w:val="635170B5"/>
    <w:rsid w:val="63517B5E"/>
    <w:rsid w:val="63520F1A"/>
    <w:rsid w:val="63521AFC"/>
    <w:rsid w:val="63523925"/>
    <w:rsid w:val="63524709"/>
    <w:rsid w:val="63527E14"/>
    <w:rsid w:val="635306A7"/>
    <w:rsid w:val="6353259C"/>
    <w:rsid w:val="63534C92"/>
    <w:rsid w:val="635356F3"/>
    <w:rsid w:val="63536055"/>
    <w:rsid w:val="635369CC"/>
    <w:rsid w:val="63536A40"/>
    <w:rsid w:val="6354160F"/>
    <w:rsid w:val="63550013"/>
    <w:rsid w:val="63560F2C"/>
    <w:rsid w:val="63561072"/>
    <w:rsid w:val="6356208C"/>
    <w:rsid w:val="63566BC2"/>
    <w:rsid w:val="6356720B"/>
    <w:rsid w:val="63571482"/>
    <w:rsid w:val="635726A7"/>
    <w:rsid w:val="63575556"/>
    <w:rsid w:val="635765BE"/>
    <w:rsid w:val="63580FE3"/>
    <w:rsid w:val="635822A8"/>
    <w:rsid w:val="63583DC3"/>
    <w:rsid w:val="63584057"/>
    <w:rsid w:val="63584CBF"/>
    <w:rsid w:val="63586994"/>
    <w:rsid w:val="63590C6A"/>
    <w:rsid w:val="635962CA"/>
    <w:rsid w:val="63597E24"/>
    <w:rsid w:val="635A1B7D"/>
    <w:rsid w:val="635A2CDB"/>
    <w:rsid w:val="635A392B"/>
    <w:rsid w:val="635A68C3"/>
    <w:rsid w:val="635B1537"/>
    <w:rsid w:val="635B4170"/>
    <w:rsid w:val="635B76A3"/>
    <w:rsid w:val="635C3B47"/>
    <w:rsid w:val="635D166D"/>
    <w:rsid w:val="635D2B8F"/>
    <w:rsid w:val="635D341B"/>
    <w:rsid w:val="635D7303"/>
    <w:rsid w:val="635D78BF"/>
    <w:rsid w:val="635E2180"/>
    <w:rsid w:val="635F0633"/>
    <w:rsid w:val="635F3637"/>
    <w:rsid w:val="635F53E5"/>
    <w:rsid w:val="635F7193"/>
    <w:rsid w:val="63604804"/>
    <w:rsid w:val="6360481F"/>
    <w:rsid w:val="63606609"/>
    <w:rsid w:val="63606C92"/>
    <w:rsid w:val="636107B4"/>
    <w:rsid w:val="6361115D"/>
    <w:rsid w:val="6361124A"/>
    <w:rsid w:val="63612F0B"/>
    <w:rsid w:val="6361369A"/>
    <w:rsid w:val="636178F1"/>
    <w:rsid w:val="63620A31"/>
    <w:rsid w:val="63622617"/>
    <w:rsid w:val="636243BC"/>
    <w:rsid w:val="63624ED5"/>
    <w:rsid w:val="63626C83"/>
    <w:rsid w:val="63627396"/>
    <w:rsid w:val="63630CFE"/>
    <w:rsid w:val="636333C1"/>
    <w:rsid w:val="63633AA7"/>
    <w:rsid w:val="6363661A"/>
    <w:rsid w:val="636408C0"/>
    <w:rsid w:val="63640DE6"/>
    <w:rsid w:val="63641161"/>
    <w:rsid w:val="636429FB"/>
    <w:rsid w:val="636447A9"/>
    <w:rsid w:val="63651808"/>
    <w:rsid w:val="636533E8"/>
    <w:rsid w:val="636543F6"/>
    <w:rsid w:val="63657B08"/>
    <w:rsid w:val="63660521"/>
    <w:rsid w:val="63661048"/>
    <w:rsid w:val="636650D0"/>
    <w:rsid w:val="636724EC"/>
    <w:rsid w:val="63673215"/>
    <w:rsid w:val="63673808"/>
    <w:rsid w:val="636828F3"/>
    <w:rsid w:val="63683159"/>
    <w:rsid w:val="63687D3C"/>
    <w:rsid w:val="63687F56"/>
    <w:rsid w:val="636912D8"/>
    <w:rsid w:val="63695D57"/>
    <w:rsid w:val="63696264"/>
    <w:rsid w:val="63696644"/>
    <w:rsid w:val="636A0DA9"/>
    <w:rsid w:val="636A243B"/>
    <w:rsid w:val="636A502F"/>
    <w:rsid w:val="636A5478"/>
    <w:rsid w:val="636A56D4"/>
    <w:rsid w:val="636B1FDC"/>
    <w:rsid w:val="636B3D8A"/>
    <w:rsid w:val="636B5451"/>
    <w:rsid w:val="636B5B1D"/>
    <w:rsid w:val="636C18B0"/>
    <w:rsid w:val="636C2E5C"/>
    <w:rsid w:val="636C365E"/>
    <w:rsid w:val="636C36C0"/>
    <w:rsid w:val="636C36C9"/>
    <w:rsid w:val="636C54CA"/>
    <w:rsid w:val="636C6390"/>
    <w:rsid w:val="636C7B02"/>
    <w:rsid w:val="636D20F0"/>
    <w:rsid w:val="636D5D54"/>
    <w:rsid w:val="636E020A"/>
    <w:rsid w:val="636E0643"/>
    <w:rsid w:val="636E0BBA"/>
    <w:rsid w:val="636E5628"/>
    <w:rsid w:val="636E7F56"/>
    <w:rsid w:val="636F312B"/>
    <w:rsid w:val="637010A6"/>
    <w:rsid w:val="637013A0"/>
    <w:rsid w:val="637075F2"/>
    <w:rsid w:val="63711839"/>
    <w:rsid w:val="63715118"/>
    <w:rsid w:val="63715C2F"/>
    <w:rsid w:val="63716EC6"/>
    <w:rsid w:val="63717421"/>
    <w:rsid w:val="637213F3"/>
    <w:rsid w:val="6372223E"/>
    <w:rsid w:val="6372320D"/>
    <w:rsid w:val="6372336A"/>
    <w:rsid w:val="6372753B"/>
    <w:rsid w:val="63730E90"/>
    <w:rsid w:val="63732C3E"/>
    <w:rsid w:val="637349EC"/>
    <w:rsid w:val="63735F31"/>
    <w:rsid w:val="63741E5B"/>
    <w:rsid w:val="637468F1"/>
    <w:rsid w:val="63750765"/>
    <w:rsid w:val="63751C6E"/>
    <w:rsid w:val="63752F73"/>
    <w:rsid w:val="63753B27"/>
    <w:rsid w:val="63754525"/>
    <w:rsid w:val="637635D8"/>
    <w:rsid w:val="637644DD"/>
    <w:rsid w:val="63765563"/>
    <w:rsid w:val="637655A7"/>
    <w:rsid w:val="63765A4A"/>
    <w:rsid w:val="637663F6"/>
    <w:rsid w:val="6376734C"/>
    <w:rsid w:val="637707DC"/>
    <w:rsid w:val="63771607"/>
    <w:rsid w:val="6377272F"/>
    <w:rsid w:val="63780255"/>
    <w:rsid w:val="637807A0"/>
    <w:rsid w:val="63782443"/>
    <w:rsid w:val="6378483D"/>
    <w:rsid w:val="637851A1"/>
    <w:rsid w:val="63785D3E"/>
    <w:rsid w:val="63786C3A"/>
    <w:rsid w:val="63787342"/>
    <w:rsid w:val="637936D7"/>
    <w:rsid w:val="637A03FC"/>
    <w:rsid w:val="637A1D96"/>
    <w:rsid w:val="637A221F"/>
    <w:rsid w:val="637A3116"/>
    <w:rsid w:val="637A443A"/>
    <w:rsid w:val="637A5CB2"/>
    <w:rsid w:val="637A5D7B"/>
    <w:rsid w:val="637B1AF3"/>
    <w:rsid w:val="637B1D2E"/>
    <w:rsid w:val="637B43F6"/>
    <w:rsid w:val="637B52AD"/>
    <w:rsid w:val="637C1792"/>
    <w:rsid w:val="637C1BDA"/>
    <w:rsid w:val="637C31BE"/>
    <w:rsid w:val="637C49ED"/>
    <w:rsid w:val="637C5F97"/>
    <w:rsid w:val="637C7D45"/>
    <w:rsid w:val="637D1D0F"/>
    <w:rsid w:val="637D586B"/>
    <w:rsid w:val="637D6060"/>
    <w:rsid w:val="637D721E"/>
    <w:rsid w:val="637D73FD"/>
    <w:rsid w:val="637E01DE"/>
    <w:rsid w:val="637E1259"/>
    <w:rsid w:val="637E268A"/>
    <w:rsid w:val="637E52E4"/>
    <w:rsid w:val="637F0BF5"/>
    <w:rsid w:val="637F15E3"/>
    <w:rsid w:val="637F3391"/>
    <w:rsid w:val="637F360D"/>
    <w:rsid w:val="637F5460"/>
    <w:rsid w:val="637F7835"/>
    <w:rsid w:val="638008B4"/>
    <w:rsid w:val="638035B7"/>
    <w:rsid w:val="6380470F"/>
    <w:rsid w:val="63807109"/>
    <w:rsid w:val="63812F50"/>
    <w:rsid w:val="638135AD"/>
    <w:rsid w:val="63822E81"/>
    <w:rsid w:val="63825066"/>
    <w:rsid w:val="638266A5"/>
    <w:rsid w:val="638332EE"/>
    <w:rsid w:val="638333BD"/>
    <w:rsid w:val="63833662"/>
    <w:rsid w:val="638345A8"/>
    <w:rsid w:val="638365D1"/>
    <w:rsid w:val="63842EFD"/>
    <w:rsid w:val="63842FC5"/>
    <w:rsid w:val="6384309D"/>
    <w:rsid w:val="63844E4C"/>
    <w:rsid w:val="63845627"/>
    <w:rsid w:val="63846BFA"/>
    <w:rsid w:val="6385019B"/>
    <w:rsid w:val="63850472"/>
    <w:rsid w:val="638559B0"/>
    <w:rsid w:val="63855E3B"/>
    <w:rsid w:val="63861052"/>
    <w:rsid w:val="63862972"/>
    <w:rsid w:val="63863FB7"/>
    <w:rsid w:val="63864084"/>
    <w:rsid w:val="638666C8"/>
    <w:rsid w:val="6386704D"/>
    <w:rsid w:val="638677C3"/>
    <w:rsid w:val="63870498"/>
    <w:rsid w:val="63873200"/>
    <w:rsid w:val="6387348B"/>
    <w:rsid w:val="638766EA"/>
    <w:rsid w:val="63877D83"/>
    <w:rsid w:val="6388493C"/>
    <w:rsid w:val="63886F0E"/>
    <w:rsid w:val="638906B4"/>
    <w:rsid w:val="63892943"/>
    <w:rsid w:val="63894D89"/>
    <w:rsid w:val="638958BA"/>
    <w:rsid w:val="638A6C51"/>
    <w:rsid w:val="638A6D0B"/>
    <w:rsid w:val="638B41C2"/>
    <w:rsid w:val="638B442C"/>
    <w:rsid w:val="638B5F0E"/>
    <w:rsid w:val="638B7F88"/>
    <w:rsid w:val="638C0197"/>
    <w:rsid w:val="638C2977"/>
    <w:rsid w:val="638C5DED"/>
    <w:rsid w:val="638C6E9B"/>
    <w:rsid w:val="638D1F52"/>
    <w:rsid w:val="638D67F3"/>
    <w:rsid w:val="638E1826"/>
    <w:rsid w:val="638E3994"/>
    <w:rsid w:val="638E7A78"/>
    <w:rsid w:val="638E7F9A"/>
    <w:rsid w:val="638F065A"/>
    <w:rsid w:val="638F4004"/>
    <w:rsid w:val="63900C5C"/>
    <w:rsid w:val="639014D2"/>
    <w:rsid w:val="63901A42"/>
    <w:rsid w:val="639037F0"/>
    <w:rsid w:val="639041EE"/>
    <w:rsid w:val="63904B00"/>
    <w:rsid w:val="63907A94"/>
    <w:rsid w:val="63911317"/>
    <w:rsid w:val="63913CD7"/>
    <w:rsid w:val="63914519"/>
    <w:rsid w:val="6392542D"/>
    <w:rsid w:val="639257BA"/>
    <w:rsid w:val="63926B24"/>
    <w:rsid w:val="63927568"/>
    <w:rsid w:val="63927FB4"/>
    <w:rsid w:val="63930CDD"/>
    <w:rsid w:val="63932A29"/>
    <w:rsid w:val="6393508F"/>
    <w:rsid w:val="63935E90"/>
    <w:rsid w:val="63940BC2"/>
    <w:rsid w:val="63942FC8"/>
    <w:rsid w:val="63947E1D"/>
    <w:rsid w:val="639506E7"/>
    <w:rsid w:val="6395099A"/>
    <w:rsid w:val="63952FBF"/>
    <w:rsid w:val="639560E0"/>
    <w:rsid w:val="63961174"/>
    <w:rsid w:val="63972996"/>
    <w:rsid w:val="63974CB3"/>
    <w:rsid w:val="6397692D"/>
    <w:rsid w:val="63977C47"/>
    <w:rsid w:val="63986B11"/>
    <w:rsid w:val="63987CDC"/>
    <w:rsid w:val="63987D9F"/>
    <w:rsid w:val="639968B7"/>
    <w:rsid w:val="639A2904"/>
    <w:rsid w:val="639A30FC"/>
    <w:rsid w:val="639A466F"/>
    <w:rsid w:val="639A641D"/>
    <w:rsid w:val="639B1317"/>
    <w:rsid w:val="639B1D7D"/>
    <w:rsid w:val="639B20E8"/>
    <w:rsid w:val="639B4D5E"/>
    <w:rsid w:val="639C03E7"/>
    <w:rsid w:val="639C3F43"/>
    <w:rsid w:val="639C43A5"/>
    <w:rsid w:val="639D1015"/>
    <w:rsid w:val="639D174A"/>
    <w:rsid w:val="639D200C"/>
    <w:rsid w:val="639D3EBB"/>
    <w:rsid w:val="639D6AA8"/>
    <w:rsid w:val="639D729A"/>
    <w:rsid w:val="639D7B4D"/>
    <w:rsid w:val="639D7CBB"/>
    <w:rsid w:val="639E343B"/>
    <w:rsid w:val="639F46D1"/>
    <w:rsid w:val="639F57E1"/>
    <w:rsid w:val="63A0423C"/>
    <w:rsid w:val="63A062DE"/>
    <w:rsid w:val="63A07634"/>
    <w:rsid w:val="63A07FA8"/>
    <w:rsid w:val="63A112CD"/>
    <w:rsid w:val="63A1155A"/>
    <w:rsid w:val="63A118A9"/>
    <w:rsid w:val="63A159FD"/>
    <w:rsid w:val="63A16745"/>
    <w:rsid w:val="63A177AC"/>
    <w:rsid w:val="63A2338B"/>
    <w:rsid w:val="63A23524"/>
    <w:rsid w:val="63A24ED8"/>
    <w:rsid w:val="63A273A0"/>
    <w:rsid w:val="63A34A2F"/>
    <w:rsid w:val="63A44E16"/>
    <w:rsid w:val="63A52C5C"/>
    <w:rsid w:val="63A54F9A"/>
    <w:rsid w:val="63A57426"/>
    <w:rsid w:val="63A63014"/>
    <w:rsid w:val="63A64CE9"/>
    <w:rsid w:val="63A65755"/>
    <w:rsid w:val="63A6642A"/>
    <w:rsid w:val="63A728E8"/>
    <w:rsid w:val="63A73501"/>
    <w:rsid w:val="63A74DE3"/>
    <w:rsid w:val="63A83723"/>
    <w:rsid w:val="63A8374B"/>
    <w:rsid w:val="63A85275"/>
    <w:rsid w:val="63A92489"/>
    <w:rsid w:val="63A92582"/>
    <w:rsid w:val="63A9366A"/>
    <w:rsid w:val="63A9396B"/>
    <w:rsid w:val="63A941EF"/>
    <w:rsid w:val="63A96660"/>
    <w:rsid w:val="63AA4AA8"/>
    <w:rsid w:val="63AA66E9"/>
    <w:rsid w:val="63AA6726"/>
    <w:rsid w:val="63AA771D"/>
    <w:rsid w:val="63AB24E0"/>
    <w:rsid w:val="63AB4186"/>
    <w:rsid w:val="63AB53B3"/>
    <w:rsid w:val="63AB7283"/>
    <w:rsid w:val="63AC0EA9"/>
    <w:rsid w:val="63AC175C"/>
    <w:rsid w:val="63AC3A61"/>
    <w:rsid w:val="63AC7645"/>
    <w:rsid w:val="63AC7EFE"/>
    <w:rsid w:val="63AD1304"/>
    <w:rsid w:val="63AD4BBC"/>
    <w:rsid w:val="63AD5033"/>
    <w:rsid w:val="63AD6171"/>
    <w:rsid w:val="63AE1EC8"/>
    <w:rsid w:val="63AE3C76"/>
    <w:rsid w:val="63B012AD"/>
    <w:rsid w:val="63B03E93"/>
    <w:rsid w:val="63B04E51"/>
    <w:rsid w:val="63B06D26"/>
    <w:rsid w:val="63B079EF"/>
    <w:rsid w:val="63B10D62"/>
    <w:rsid w:val="63B15515"/>
    <w:rsid w:val="63B16DC6"/>
    <w:rsid w:val="63B178DB"/>
    <w:rsid w:val="63B20297"/>
    <w:rsid w:val="63B20910"/>
    <w:rsid w:val="63B23767"/>
    <w:rsid w:val="63B24C74"/>
    <w:rsid w:val="63B30A2E"/>
    <w:rsid w:val="63B3128D"/>
    <w:rsid w:val="63B319E7"/>
    <w:rsid w:val="63B337BB"/>
    <w:rsid w:val="63B35731"/>
    <w:rsid w:val="63B35E5D"/>
    <w:rsid w:val="63B41D86"/>
    <w:rsid w:val="63B429E0"/>
    <w:rsid w:val="63B47D2D"/>
    <w:rsid w:val="63B514A9"/>
    <w:rsid w:val="63B53257"/>
    <w:rsid w:val="63B5334E"/>
    <w:rsid w:val="63B6127F"/>
    <w:rsid w:val="63B632F5"/>
    <w:rsid w:val="63B64F92"/>
    <w:rsid w:val="63B65F1F"/>
    <w:rsid w:val="63B72F62"/>
    <w:rsid w:val="63B74DCB"/>
    <w:rsid w:val="63B75221"/>
    <w:rsid w:val="63B8083F"/>
    <w:rsid w:val="63B81E84"/>
    <w:rsid w:val="63B84AF5"/>
    <w:rsid w:val="63B865A0"/>
    <w:rsid w:val="63B868A3"/>
    <w:rsid w:val="63B9114E"/>
    <w:rsid w:val="63B91953"/>
    <w:rsid w:val="63B93827"/>
    <w:rsid w:val="63B948A0"/>
    <w:rsid w:val="63B965C8"/>
    <w:rsid w:val="63B97FF5"/>
    <w:rsid w:val="63BA162D"/>
    <w:rsid w:val="63BA261B"/>
    <w:rsid w:val="63BA4CBD"/>
    <w:rsid w:val="63BA4E72"/>
    <w:rsid w:val="63BA6ABF"/>
    <w:rsid w:val="63BB08AB"/>
    <w:rsid w:val="63BC45E5"/>
    <w:rsid w:val="63BC6393"/>
    <w:rsid w:val="63BC67D9"/>
    <w:rsid w:val="63BD210C"/>
    <w:rsid w:val="63BD3EBA"/>
    <w:rsid w:val="63BD58A2"/>
    <w:rsid w:val="63BE035D"/>
    <w:rsid w:val="63BE56A2"/>
    <w:rsid w:val="63BE5E5D"/>
    <w:rsid w:val="63BF0F65"/>
    <w:rsid w:val="63BF32C7"/>
    <w:rsid w:val="63BF40D6"/>
    <w:rsid w:val="63BF5E84"/>
    <w:rsid w:val="63BF6FD1"/>
    <w:rsid w:val="63C01BA2"/>
    <w:rsid w:val="63C06724"/>
    <w:rsid w:val="63C10ABB"/>
    <w:rsid w:val="63C11593"/>
    <w:rsid w:val="63C12310"/>
    <w:rsid w:val="63C130CF"/>
    <w:rsid w:val="63C139AA"/>
    <w:rsid w:val="63C13BF2"/>
    <w:rsid w:val="63C15B21"/>
    <w:rsid w:val="63C21EC7"/>
    <w:rsid w:val="63C21FDC"/>
    <w:rsid w:val="63C23EF5"/>
    <w:rsid w:val="63C270AD"/>
    <w:rsid w:val="63C27722"/>
    <w:rsid w:val="63C31CDD"/>
    <w:rsid w:val="63C35974"/>
    <w:rsid w:val="63C37572"/>
    <w:rsid w:val="63C377A2"/>
    <w:rsid w:val="63C40272"/>
    <w:rsid w:val="63C416EC"/>
    <w:rsid w:val="63C4349A"/>
    <w:rsid w:val="63C45248"/>
    <w:rsid w:val="63C46DE2"/>
    <w:rsid w:val="63C54F0C"/>
    <w:rsid w:val="63C60FC0"/>
    <w:rsid w:val="63C61C6E"/>
    <w:rsid w:val="63C67212"/>
    <w:rsid w:val="63C70660"/>
    <w:rsid w:val="63C76D63"/>
    <w:rsid w:val="63C77D26"/>
    <w:rsid w:val="63C811DC"/>
    <w:rsid w:val="63C864E7"/>
    <w:rsid w:val="63C866D6"/>
    <w:rsid w:val="63C909D9"/>
    <w:rsid w:val="63C90AB0"/>
    <w:rsid w:val="63C94F54"/>
    <w:rsid w:val="63C96D02"/>
    <w:rsid w:val="63CA4D92"/>
    <w:rsid w:val="63CA4E8C"/>
    <w:rsid w:val="63CA6C14"/>
    <w:rsid w:val="63CA720B"/>
    <w:rsid w:val="63CB2A7A"/>
    <w:rsid w:val="63CB5341"/>
    <w:rsid w:val="63CB6022"/>
    <w:rsid w:val="63CB62E5"/>
    <w:rsid w:val="63CB6CB5"/>
    <w:rsid w:val="63CC1115"/>
    <w:rsid w:val="63CC2EC3"/>
    <w:rsid w:val="63CD05A1"/>
    <w:rsid w:val="63CD266F"/>
    <w:rsid w:val="63CD41A6"/>
    <w:rsid w:val="63CD67F3"/>
    <w:rsid w:val="63CE0540"/>
    <w:rsid w:val="63CE121A"/>
    <w:rsid w:val="63CE4319"/>
    <w:rsid w:val="63CE60C7"/>
    <w:rsid w:val="63CF256B"/>
    <w:rsid w:val="63CF39D4"/>
    <w:rsid w:val="63CF418D"/>
    <w:rsid w:val="63CF49E2"/>
    <w:rsid w:val="63D01B04"/>
    <w:rsid w:val="63D01E3F"/>
    <w:rsid w:val="63D038AB"/>
    <w:rsid w:val="63D062E3"/>
    <w:rsid w:val="63D07D6F"/>
    <w:rsid w:val="63D17DB1"/>
    <w:rsid w:val="63D21525"/>
    <w:rsid w:val="63D22E0A"/>
    <w:rsid w:val="63D23FB7"/>
    <w:rsid w:val="63D2510C"/>
    <w:rsid w:val="63D25B16"/>
    <w:rsid w:val="63D25BB7"/>
    <w:rsid w:val="63D27842"/>
    <w:rsid w:val="63D3192F"/>
    <w:rsid w:val="63D31CEA"/>
    <w:rsid w:val="63D3327D"/>
    <w:rsid w:val="63D336DD"/>
    <w:rsid w:val="63D414C7"/>
    <w:rsid w:val="63D41A02"/>
    <w:rsid w:val="63D41C94"/>
    <w:rsid w:val="63D41DF9"/>
    <w:rsid w:val="63D43B3C"/>
    <w:rsid w:val="63D44704"/>
    <w:rsid w:val="63D47B81"/>
    <w:rsid w:val="63D51175"/>
    <w:rsid w:val="63D511F7"/>
    <w:rsid w:val="63D57455"/>
    <w:rsid w:val="63D57F87"/>
    <w:rsid w:val="63D60A48"/>
    <w:rsid w:val="63D63DC8"/>
    <w:rsid w:val="63D654B9"/>
    <w:rsid w:val="63D674A3"/>
    <w:rsid w:val="63D7141F"/>
    <w:rsid w:val="63D74F7B"/>
    <w:rsid w:val="63D77671"/>
    <w:rsid w:val="63D77B26"/>
    <w:rsid w:val="63D812B9"/>
    <w:rsid w:val="63D83304"/>
    <w:rsid w:val="63D84785"/>
    <w:rsid w:val="63D8565F"/>
    <w:rsid w:val="63D86402"/>
    <w:rsid w:val="63D9190E"/>
    <w:rsid w:val="63D94601"/>
    <w:rsid w:val="63D95197"/>
    <w:rsid w:val="63DA0F0F"/>
    <w:rsid w:val="63DA2543"/>
    <w:rsid w:val="63DA4A6C"/>
    <w:rsid w:val="63DA4B06"/>
    <w:rsid w:val="63DB1737"/>
    <w:rsid w:val="63DB32F8"/>
    <w:rsid w:val="63DC0E2F"/>
    <w:rsid w:val="63DC3D43"/>
    <w:rsid w:val="63DC4C88"/>
    <w:rsid w:val="63DC7C3A"/>
    <w:rsid w:val="63DC7DA3"/>
    <w:rsid w:val="63DD0945"/>
    <w:rsid w:val="63DD3493"/>
    <w:rsid w:val="63DD455C"/>
    <w:rsid w:val="63DD50A9"/>
    <w:rsid w:val="63DD6C45"/>
    <w:rsid w:val="63DD7931"/>
    <w:rsid w:val="63DE27AE"/>
    <w:rsid w:val="63DE7678"/>
    <w:rsid w:val="63DF02D4"/>
    <w:rsid w:val="63DF2EB9"/>
    <w:rsid w:val="63DF6AD9"/>
    <w:rsid w:val="63E14F2C"/>
    <w:rsid w:val="63E31B72"/>
    <w:rsid w:val="63E32529"/>
    <w:rsid w:val="63E34F0E"/>
    <w:rsid w:val="63E36016"/>
    <w:rsid w:val="63E37DC4"/>
    <w:rsid w:val="63E37E36"/>
    <w:rsid w:val="63E41962"/>
    <w:rsid w:val="63E425D7"/>
    <w:rsid w:val="63E4550C"/>
    <w:rsid w:val="63E458EA"/>
    <w:rsid w:val="63E47130"/>
    <w:rsid w:val="63E47698"/>
    <w:rsid w:val="63E55BC6"/>
    <w:rsid w:val="63E6151F"/>
    <w:rsid w:val="63E638BD"/>
    <w:rsid w:val="63E63A67"/>
    <w:rsid w:val="63E66497"/>
    <w:rsid w:val="63E66F5A"/>
    <w:rsid w:val="63E678B4"/>
    <w:rsid w:val="63E708D1"/>
    <w:rsid w:val="63E72A54"/>
    <w:rsid w:val="63E75CC4"/>
    <w:rsid w:val="63E803B2"/>
    <w:rsid w:val="63E812D8"/>
    <w:rsid w:val="63E8362C"/>
    <w:rsid w:val="63E853DA"/>
    <w:rsid w:val="63E861DD"/>
    <w:rsid w:val="63E87188"/>
    <w:rsid w:val="63E91153"/>
    <w:rsid w:val="63E92F01"/>
    <w:rsid w:val="63E9324F"/>
    <w:rsid w:val="63E93F19"/>
    <w:rsid w:val="63E9766D"/>
    <w:rsid w:val="63E97D52"/>
    <w:rsid w:val="63EA497C"/>
    <w:rsid w:val="63EA4E68"/>
    <w:rsid w:val="63EA73A4"/>
    <w:rsid w:val="63EB1BA9"/>
    <w:rsid w:val="63EB232F"/>
    <w:rsid w:val="63EB6C79"/>
    <w:rsid w:val="63EC076A"/>
    <w:rsid w:val="63EC5653"/>
    <w:rsid w:val="63ED0C43"/>
    <w:rsid w:val="63ED1923"/>
    <w:rsid w:val="63ED204F"/>
    <w:rsid w:val="63ED29F1"/>
    <w:rsid w:val="63ED3D4B"/>
    <w:rsid w:val="63ED5167"/>
    <w:rsid w:val="63EE0517"/>
    <w:rsid w:val="63EE18E8"/>
    <w:rsid w:val="63EE1BAF"/>
    <w:rsid w:val="63EE21A6"/>
    <w:rsid w:val="63EE6769"/>
    <w:rsid w:val="63EE75A9"/>
    <w:rsid w:val="63EF1758"/>
    <w:rsid w:val="63EF2FE9"/>
    <w:rsid w:val="63EF49BB"/>
    <w:rsid w:val="63F024E1"/>
    <w:rsid w:val="63F02E31"/>
    <w:rsid w:val="63F02F58"/>
    <w:rsid w:val="63F02FC5"/>
    <w:rsid w:val="63F0603D"/>
    <w:rsid w:val="63F06154"/>
    <w:rsid w:val="63F15247"/>
    <w:rsid w:val="63F15F61"/>
    <w:rsid w:val="63F1728F"/>
    <w:rsid w:val="63F17526"/>
    <w:rsid w:val="63F2038A"/>
    <w:rsid w:val="63F21891"/>
    <w:rsid w:val="63F21DB5"/>
    <w:rsid w:val="63F35EC1"/>
    <w:rsid w:val="63F36356"/>
    <w:rsid w:val="63F368C6"/>
    <w:rsid w:val="63F435A1"/>
    <w:rsid w:val="63F43D7F"/>
    <w:rsid w:val="63F449CF"/>
    <w:rsid w:val="63F4631A"/>
    <w:rsid w:val="63F467D8"/>
    <w:rsid w:val="63F47351"/>
    <w:rsid w:val="63F47F74"/>
    <w:rsid w:val="63F518A5"/>
    <w:rsid w:val="63F523ED"/>
    <w:rsid w:val="63F55C10"/>
    <w:rsid w:val="63F55D49"/>
    <w:rsid w:val="63F56858"/>
    <w:rsid w:val="63F673FA"/>
    <w:rsid w:val="63F73E6B"/>
    <w:rsid w:val="63F74842"/>
    <w:rsid w:val="63F83144"/>
    <w:rsid w:val="63F84591"/>
    <w:rsid w:val="63F905F2"/>
    <w:rsid w:val="63F90AB2"/>
    <w:rsid w:val="63F91396"/>
    <w:rsid w:val="63F975E8"/>
    <w:rsid w:val="63FA0049"/>
    <w:rsid w:val="63FA10A9"/>
    <w:rsid w:val="63FA7144"/>
    <w:rsid w:val="63FB2F12"/>
    <w:rsid w:val="63FC06B4"/>
    <w:rsid w:val="63FC569B"/>
    <w:rsid w:val="63FC6681"/>
    <w:rsid w:val="63FC6BAD"/>
    <w:rsid w:val="63FC70D8"/>
    <w:rsid w:val="63FC7472"/>
    <w:rsid w:val="63FD02B4"/>
    <w:rsid w:val="63FD075A"/>
    <w:rsid w:val="63FD1B44"/>
    <w:rsid w:val="63FD1C33"/>
    <w:rsid w:val="63FD25EA"/>
    <w:rsid w:val="63FE3A57"/>
    <w:rsid w:val="63FE3F28"/>
    <w:rsid w:val="63FE4BFE"/>
    <w:rsid w:val="63FE505D"/>
    <w:rsid w:val="63FE69AC"/>
    <w:rsid w:val="63FF349C"/>
    <w:rsid w:val="63FF6166"/>
    <w:rsid w:val="63FF66A8"/>
    <w:rsid w:val="64002705"/>
    <w:rsid w:val="64004069"/>
    <w:rsid w:val="64004706"/>
    <w:rsid w:val="6400548B"/>
    <w:rsid w:val="64007E2C"/>
    <w:rsid w:val="6401024A"/>
    <w:rsid w:val="64011C94"/>
    <w:rsid w:val="6401649C"/>
    <w:rsid w:val="64020214"/>
    <w:rsid w:val="64020242"/>
    <w:rsid w:val="64021955"/>
    <w:rsid w:val="64022660"/>
    <w:rsid w:val="64030466"/>
    <w:rsid w:val="64030D55"/>
    <w:rsid w:val="64033FC2"/>
    <w:rsid w:val="64034288"/>
    <w:rsid w:val="64034AD2"/>
    <w:rsid w:val="64041AE8"/>
    <w:rsid w:val="64043B68"/>
    <w:rsid w:val="64043C19"/>
    <w:rsid w:val="64044275"/>
    <w:rsid w:val="64047D3A"/>
    <w:rsid w:val="64047E67"/>
    <w:rsid w:val="64055983"/>
    <w:rsid w:val="64055F8C"/>
    <w:rsid w:val="640569A4"/>
    <w:rsid w:val="64061D04"/>
    <w:rsid w:val="64065124"/>
    <w:rsid w:val="640815D9"/>
    <w:rsid w:val="6408280C"/>
    <w:rsid w:val="64084086"/>
    <w:rsid w:val="64085A7D"/>
    <w:rsid w:val="6408782B"/>
    <w:rsid w:val="640900E7"/>
    <w:rsid w:val="64095351"/>
    <w:rsid w:val="64095643"/>
    <w:rsid w:val="6409777C"/>
    <w:rsid w:val="640A1577"/>
    <w:rsid w:val="640A37EA"/>
    <w:rsid w:val="640B0E25"/>
    <w:rsid w:val="640B10C9"/>
    <w:rsid w:val="640B2A07"/>
    <w:rsid w:val="640B2E77"/>
    <w:rsid w:val="640B731B"/>
    <w:rsid w:val="640C058F"/>
    <w:rsid w:val="640C27D5"/>
    <w:rsid w:val="640C5408"/>
    <w:rsid w:val="640D3093"/>
    <w:rsid w:val="640D448F"/>
    <w:rsid w:val="640D517D"/>
    <w:rsid w:val="640D5928"/>
    <w:rsid w:val="640D6A68"/>
    <w:rsid w:val="640E172B"/>
    <w:rsid w:val="640E2416"/>
    <w:rsid w:val="640E48B2"/>
    <w:rsid w:val="640F0BB9"/>
    <w:rsid w:val="640F1388"/>
    <w:rsid w:val="640F3F59"/>
    <w:rsid w:val="640F4D03"/>
    <w:rsid w:val="6410048D"/>
    <w:rsid w:val="64103F57"/>
    <w:rsid w:val="641066DF"/>
    <w:rsid w:val="64111A72"/>
    <w:rsid w:val="64112FF4"/>
    <w:rsid w:val="641146E6"/>
    <w:rsid w:val="64116075"/>
    <w:rsid w:val="64116879"/>
    <w:rsid w:val="641176BE"/>
    <w:rsid w:val="64117830"/>
    <w:rsid w:val="6412053C"/>
    <w:rsid w:val="6412059B"/>
    <w:rsid w:val="64122AEF"/>
    <w:rsid w:val="64124205"/>
    <w:rsid w:val="6412642B"/>
    <w:rsid w:val="641301F5"/>
    <w:rsid w:val="64131199"/>
    <w:rsid w:val="64133269"/>
    <w:rsid w:val="64133D6A"/>
    <w:rsid w:val="641343EF"/>
    <w:rsid w:val="64134B12"/>
    <w:rsid w:val="641361E3"/>
    <w:rsid w:val="64137F7D"/>
    <w:rsid w:val="64142142"/>
    <w:rsid w:val="64142324"/>
    <w:rsid w:val="64142831"/>
    <w:rsid w:val="64142B36"/>
    <w:rsid w:val="64144E35"/>
    <w:rsid w:val="641461CF"/>
    <w:rsid w:val="64146A26"/>
    <w:rsid w:val="64153558"/>
    <w:rsid w:val="64153CF6"/>
    <w:rsid w:val="641566A1"/>
    <w:rsid w:val="64161946"/>
    <w:rsid w:val="64163588"/>
    <w:rsid w:val="64165761"/>
    <w:rsid w:val="64166D73"/>
    <w:rsid w:val="6417181C"/>
    <w:rsid w:val="6418047D"/>
    <w:rsid w:val="64182C89"/>
    <w:rsid w:val="64184D88"/>
    <w:rsid w:val="64192076"/>
    <w:rsid w:val="641934E8"/>
    <w:rsid w:val="641937E6"/>
    <w:rsid w:val="6419500B"/>
    <w:rsid w:val="641A0030"/>
    <w:rsid w:val="641A130C"/>
    <w:rsid w:val="641A13B5"/>
    <w:rsid w:val="641A2DDA"/>
    <w:rsid w:val="641A4015"/>
    <w:rsid w:val="641A47C8"/>
    <w:rsid w:val="641A649B"/>
    <w:rsid w:val="641A6855"/>
    <w:rsid w:val="641A755E"/>
    <w:rsid w:val="641B57B0"/>
    <w:rsid w:val="641B65F7"/>
    <w:rsid w:val="641B6CFA"/>
    <w:rsid w:val="641C32D6"/>
    <w:rsid w:val="641C48FE"/>
    <w:rsid w:val="641C5084"/>
    <w:rsid w:val="641C6E32"/>
    <w:rsid w:val="641C76D4"/>
    <w:rsid w:val="641D27DE"/>
    <w:rsid w:val="641D655D"/>
    <w:rsid w:val="641E04BF"/>
    <w:rsid w:val="641E0DFC"/>
    <w:rsid w:val="641E23BC"/>
    <w:rsid w:val="641E2BAA"/>
    <w:rsid w:val="641E704E"/>
    <w:rsid w:val="641F4B74"/>
    <w:rsid w:val="641F6922"/>
    <w:rsid w:val="64202DC6"/>
    <w:rsid w:val="64203D5C"/>
    <w:rsid w:val="64205235"/>
    <w:rsid w:val="64205BC6"/>
    <w:rsid w:val="642108EC"/>
    <w:rsid w:val="6421269A"/>
    <w:rsid w:val="64213E18"/>
    <w:rsid w:val="6421449B"/>
    <w:rsid w:val="642151E9"/>
    <w:rsid w:val="6421636E"/>
    <w:rsid w:val="64216B3E"/>
    <w:rsid w:val="642213EA"/>
    <w:rsid w:val="642301C1"/>
    <w:rsid w:val="64230C8E"/>
    <w:rsid w:val="64234664"/>
    <w:rsid w:val="64236413"/>
    <w:rsid w:val="6424218B"/>
    <w:rsid w:val="64244CEF"/>
    <w:rsid w:val="642503DD"/>
    <w:rsid w:val="6425410B"/>
    <w:rsid w:val="64261AAB"/>
    <w:rsid w:val="64264155"/>
    <w:rsid w:val="642672D9"/>
    <w:rsid w:val="642673ED"/>
    <w:rsid w:val="64271037"/>
    <w:rsid w:val="64281C7B"/>
    <w:rsid w:val="64283A29"/>
    <w:rsid w:val="64283C89"/>
    <w:rsid w:val="64286655"/>
    <w:rsid w:val="64287ECD"/>
    <w:rsid w:val="6429050D"/>
    <w:rsid w:val="6429154F"/>
    <w:rsid w:val="642922F9"/>
    <w:rsid w:val="6429465D"/>
    <w:rsid w:val="64294B00"/>
    <w:rsid w:val="64294DFB"/>
    <w:rsid w:val="642951BE"/>
    <w:rsid w:val="642A1A86"/>
    <w:rsid w:val="642A2529"/>
    <w:rsid w:val="642A353F"/>
    <w:rsid w:val="642A4BF8"/>
    <w:rsid w:val="642A59F3"/>
    <w:rsid w:val="642A5F90"/>
    <w:rsid w:val="642A77A1"/>
    <w:rsid w:val="642A78FD"/>
    <w:rsid w:val="642B2562"/>
    <w:rsid w:val="642B3D4B"/>
    <w:rsid w:val="642C30B1"/>
    <w:rsid w:val="642C3481"/>
    <w:rsid w:val="642C4FF0"/>
    <w:rsid w:val="642D103F"/>
    <w:rsid w:val="642D54E3"/>
    <w:rsid w:val="642E173A"/>
    <w:rsid w:val="642E2D48"/>
    <w:rsid w:val="642E5AE4"/>
    <w:rsid w:val="642F125B"/>
    <w:rsid w:val="642F46A7"/>
    <w:rsid w:val="642F4DB7"/>
    <w:rsid w:val="642F5934"/>
    <w:rsid w:val="642F5FD8"/>
    <w:rsid w:val="642F7433"/>
    <w:rsid w:val="643011A4"/>
    <w:rsid w:val="643028DD"/>
    <w:rsid w:val="64302E1A"/>
    <w:rsid w:val="643053F8"/>
    <w:rsid w:val="64310A9C"/>
    <w:rsid w:val="64311BC4"/>
    <w:rsid w:val="643147FC"/>
    <w:rsid w:val="64315E63"/>
    <w:rsid w:val="6431750A"/>
    <w:rsid w:val="64322880"/>
    <w:rsid w:val="64322AF9"/>
    <w:rsid w:val="643264C2"/>
    <w:rsid w:val="64326656"/>
    <w:rsid w:val="64330783"/>
    <w:rsid w:val="64333354"/>
    <w:rsid w:val="64336FCD"/>
    <w:rsid w:val="64337A1F"/>
    <w:rsid w:val="64340620"/>
    <w:rsid w:val="643439F9"/>
    <w:rsid w:val="643447E4"/>
    <w:rsid w:val="6434608F"/>
    <w:rsid w:val="64346872"/>
    <w:rsid w:val="64346F53"/>
    <w:rsid w:val="64350456"/>
    <w:rsid w:val="64351345"/>
    <w:rsid w:val="64352B5B"/>
    <w:rsid w:val="64354398"/>
    <w:rsid w:val="6435789F"/>
    <w:rsid w:val="6436397D"/>
    <w:rsid w:val="64367104"/>
    <w:rsid w:val="64370594"/>
    <w:rsid w:val="64371CD5"/>
    <w:rsid w:val="6437345D"/>
    <w:rsid w:val="64373FE7"/>
    <w:rsid w:val="64375F54"/>
    <w:rsid w:val="643763DF"/>
    <w:rsid w:val="64381A24"/>
    <w:rsid w:val="64384624"/>
    <w:rsid w:val="64387636"/>
    <w:rsid w:val="64393E88"/>
    <w:rsid w:val="64394431"/>
    <w:rsid w:val="6439518F"/>
    <w:rsid w:val="64395C36"/>
    <w:rsid w:val="64397041"/>
    <w:rsid w:val="643979E4"/>
    <w:rsid w:val="643A0F52"/>
    <w:rsid w:val="643A2B20"/>
    <w:rsid w:val="643A3DC4"/>
    <w:rsid w:val="643A3F7A"/>
    <w:rsid w:val="643B19AE"/>
    <w:rsid w:val="643B200B"/>
    <w:rsid w:val="643B2E62"/>
    <w:rsid w:val="643C1282"/>
    <w:rsid w:val="643C4141"/>
    <w:rsid w:val="643C5726"/>
    <w:rsid w:val="643C74D4"/>
    <w:rsid w:val="643D26AD"/>
    <w:rsid w:val="643D3D60"/>
    <w:rsid w:val="643D4406"/>
    <w:rsid w:val="643E0467"/>
    <w:rsid w:val="643E149E"/>
    <w:rsid w:val="643E1C20"/>
    <w:rsid w:val="643E2A10"/>
    <w:rsid w:val="643E324C"/>
    <w:rsid w:val="643E48FB"/>
    <w:rsid w:val="643E4FFA"/>
    <w:rsid w:val="643E6516"/>
    <w:rsid w:val="643F0D73"/>
    <w:rsid w:val="643F3B6F"/>
    <w:rsid w:val="64402D87"/>
    <w:rsid w:val="64405216"/>
    <w:rsid w:val="64406140"/>
    <w:rsid w:val="64406FC4"/>
    <w:rsid w:val="64410F8F"/>
    <w:rsid w:val="64414217"/>
    <w:rsid w:val="644156DF"/>
    <w:rsid w:val="644166AF"/>
    <w:rsid w:val="64417B17"/>
    <w:rsid w:val="644256A7"/>
    <w:rsid w:val="64427C2D"/>
    <w:rsid w:val="64430863"/>
    <w:rsid w:val="64432611"/>
    <w:rsid w:val="64436AB5"/>
    <w:rsid w:val="64440713"/>
    <w:rsid w:val="64441042"/>
    <w:rsid w:val="64442076"/>
    <w:rsid w:val="64444295"/>
    <w:rsid w:val="644442D9"/>
    <w:rsid w:val="644442FB"/>
    <w:rsid w:val="64444EBF"/>
    <w:rsid w:val="64445C48"/>
    <w:rsid w:val="644477BA"/>
    <w:rsid w:val="6445360E"/>
    <w:rsid w:val="6445489B"/>
    <w:rsid w:val="644549BB"/>
    <w:rsid w:val="64454D98"/>
    <w:rsid w:val="64454E19"/>
    <w:rsid w:val="64460353"/>
    <w:rsid w:val="644619E9"/>
    <w:rsid w:val="64465475"/>
    <w:rsid w:val="644663AD"/>
    <w:rsid w:val="644665A5"/>
    <w:rsid w:val="64467298"/>
    <w:rsid w:val="64470133"/>
    <w:rsid w:val="64474131"/>
    <w:rsid w:val="644864CC"/>
    <w:rsid w:val="64492ED0"/>
    <w:rsid w:val="64492F6F"/>
    <w:rsid w:val="64494D7E"/>
    <w:rsid w:val="644A1BF1"/>
    <w:rsid w:val="644A347B"/>
    <w:rsid w:val="644A48C8"/>
    <w:rsid w:val="644A7472"/>
    <w:rsid w:val="644B075D"/>
    <w:rsid w:val="644B15DB"/>
    <w:rsid w:val="644B199A"/>
    <w:rsid w:val="644C12F0"/>
    <w:rsid w:val="644C25DC"/>
    <w:rsid w:val="644C27A0"/>
    <w:rsid w:val="644C3E26"/>
    <w:rsid w:val="644C4FA3"/>
    <w:rsid w:val="644C7A98"/>
    <w:rsid w:val="644D0465"/>
    <w:rsid w:val="644D16E1"/>
    <w:rsid w:val="644D348F"/>
    <w:rsid w:val="644E1676"/>
    <w:rsid w:val="644E23C6"/>
    <w:rsid w:val="644E392D"/>
    <w:rsid w:val="644E687F"/>
    <w:rsid w:val="644E735F"/>
    <w:rsid w:val="644E771D"/>
    <w:rsid w:val="644F0FB6"/>
    <w:rsid w:val="644F3F20"/>
    <w:rsid w:val="644F5459"/>
    <w:rsid w:val="6450005B"/>
    <w:rsid w:val="645011FD"/>
    <w:rsid w:val="6450165E"/>
    <w:rsid w:val="64503D0E"/>
    <w:rsid w:val="64505146"/>
    <w:rsid w:val="64505D7A"/>
    <w:rsid w:val="645111D2"/>
    <w:rsid w:val="64512859"/>
    <w:rsid w:val="645136E7"/>
    <w:rsid w:val="6451701A"/>
    <w:rsid w:val="64520AA6"/>
    <w:rsid w:val="64524F4A"/>
    <w:rsid w:val="64526CF8"/>
    <w:rsid w:val="64527D77"/>
    <w:rsid w:val="64540075"/>
    <w:rsid w:val="645409DA"/>
    <w:rsid w:val="64540CC2"/>
    <w:rsid w:val="64541432"/>
    <w:rsid w:val="64542A70"/>
    <w:rsid w:val="64543F65"/>
    <w:rsid w:val="64547783"/>
    <w:rsid w:val="6455217C"/>
    <w:rsid w:val="645522BE"/>
    <w:rsid w:val="645531DB"/>
    <w:rsid w:val="64553D8A"/>
    <w:rsid w:val="64564FAD"/>
    <w:rsid w:val="645666EE"/>
    <w:rsid w:val="645667E8"/>
    <w:rsid w:val="64566927"/>
    <w:rsid w:val="64566F11"/>
    <w:rsid w:val="64567EDF"/>
    <w:rsid w:val="645717CD"/>
    <w:rsid w:val="64572560"/>
    <w:rsid w:val="64575B33"/>
    <w:rsid w:val="645760BC"/>
    <w:rsid w:val="64577B7E"/>
    <w:rsid w:val="64580750"/>
    <w:rsid w:val="6458100E"/>
    <w:rsid w:val="64583414"/>
    <w:rsid w:val="64584023"/>
    <w:rsid w:val="64587179"/>
    <w:rsid w:val="64587C66"/>
    <w:rsid w:val="64590086"/>
    <w:rsid w:val="6459035F"/>
    <w:rsid w:val="64595C53"/>
    <w:rsid w:val="64595E52"/>
    <w:rsid w:val="645962D8"/>
    <w:rsid w:val="645A3694"/>
    <w:rsid w:val="645A5BAC"/>
    <w:rsid w:val="645A5F57"/>
    <w:rsid w:val="645B124A"/>
    <w:rsid w:val="645B2FC6"/>
    <w:rsid w:val="645B3DFE"/>
    <w:rsid w:val="645B798F"/>
    <w:rsid w:val="645C1057"/>
    <w:rsid w:val="645C1924"/>
    <w:rsid w:val="645C799D"/>
    <w:rsid w:val="645E06A8"/>
    <w:rsid w:val="645E5688"/>
    <w:rsid w:val="645E569D"/>
    <w:rsid w:val="645E6ED5"/>
    <w:rsid w:val="645E744B"/>
    <w:rsid w:val="645F4EAB"/>
    <w:rsid w:val="645F72FB"/>
    <w:rsid w:val="64600C30"/>
    <w:rsid w:val="64602371"/>
    <w:rsid w:val="64607667"/>
    <w:rsid w:val="64611214"/>
    <w:rsid w:val="646122F9"/>
    <w:rsid w:val="64614080"/>
    <w:rsid w:val="6461518D"/>
    <w:rsid w:val="646234EC"/>
    <w:rsid w:val="646300A9"/>
    <w:rsid w:val="646351D9"/>
    <w:rsid w:val="64636185"/>
    <w:rsid w:val="64636949"/>
    <w:rsid w:val="64640027"/>
    <w:rsid w:val="64641864"/>
    <w:rsid w:val="646426C2"/>
    <w:rsid w:val="64646C64"/>
    <w:rsid w:val="646507D9"/>
    <w:rsid w:val="64661FEA"/>
    <w:rsid w:val="646627A3"/>
    <w:rsid w:val="64662B1A"/>
    <w:rsid w:val="64663625"/>
    <w:rsid w:val="64666D06"/>
    <w:rsid w:val="6467076F"/>
    <w:rsid w:val="646729A4"/>
    <w:rsid w:val="6467420F"/>
    <w:rsid w:val="64675204"/>
    <w:rsid w:val="64675F32"/>
    <w:rsid w:val="646766C1"/>
    <w:rsid w:val="64677673"/>
    <w:rsid w:val="646802C9"/>
    <w:rsid w:val="64680B03"/>
    <w:rsid w:val="64680C73"/>
    <w:rsid w:val="6468651B"/>
    <w:rsid w:val="64687C70"/>
    <w:rsid w:val="6469522B"/>
    <w:rsid w:val="646962CE"/>
    <w:rsid w:val="646A12FD"/>
    <w:rsid w:val="646A14F7"/>
    <w:rsid w:val="646A5FF4"/>
    <w:rsid w:val="646B223B"/>
    <w:rsid w:val="646C232B"/>
    <w:rsid w:val="646C4E31"/>
    <w:rsid w:val="646C5C06"/>
    <w:rsid w:val="646C600B"/>
    <w:rsid w:val="646D178E"/>
    <w:rsid w:val="646D1D84"/>
    <w:rsid w:val="646D3B32"/>
    <w:rsid w:val="646D58E0"/>
    <w:rsid w:val="646D6183"/>
    <w:rsid w:val="646E4703"/>
    <w:rsid w:val="646E50CC"/>
    <w:rsid w:val="646E576A"/>
    <w:rsid w:val="646F3406"/>
    <w:rsid w:val="646F78AA"/>
    <w:rsid w:val="647010E9"/>
    <w:rsid w:val="647019E7"/>
    <w:rsid w:val="64711BF3"/>
    <w:rsid w:val="64711C13"/>
    <w:rsid w:val="64722EF6"/>
    <w:rsid w:val="64723303"/>
    <w:rsid w:val="64725E29"/>
    <w:rsid w:val="6472739A"/>
    <w:rsid w:val="64732345"/>
    <w:rsid w:val="64737361"/>
    <w:rsid w:val="64740A1C"/>
    <w:rsid w:val="64741C77"/>
    <w:rsid w:val="64742DE4"/>
    <w:rsid w:val="64744A8A"/>
    <w:rsid w:val="647470A6"/>
    <w:rsid w:val="647470FC"/>
    <w:rsid w:val="64756C7C"/>
    <w:rsid w:val="64761A8C"/>
    <w:rsid w:val="647629E6"/>
    <w:rsid w:val="64762AB1"/>
    <w:rsid w:val="6477050C"/>
    <w:rsid w:val="647749B0"/>
    <w:rsid w:val="64775A27"/>
    <w:rsid w:val="64776ED1"/>
    <w:rsid w:val="64791A88"/>
    <w:rsid w:val="647A0318"/>
    <w:rsid w:val="647A1DAB"/>
    <w:rsid w:val="647A264F"/>
    <w:rsid w:val="647A3C5A"/>
    <w:rsid w:val="647A4AC8"/>
    <w:rsid w:val="647A5AE9"/>
    <w:rsid w:val="647B131C"/>
    <w:rsid w:val="647B2325"/>
    <w:rsid w:val="647B323D"/>
    <w:rsid w:val="647C1FC7"/>
    <w:rsid w:val="647C3D75"/>
    <w:rsid w:val="647C4807"/>
    <w:rsid w:val="647D14D7"/>
    <w:rsid w:val="647D2198"/>
    <w:rsid w:val="647E58FA"/>
    <w:rsid w:val="647E5D3F"/>
    <w:rsid w:val="647F1315"/>
    <w:rsid w:val="647F22E0"/>
    <w:rsid w:val="647F3B35"/>
    <w:rsid w:val="647F59E9"/>
    <w:rsid w:val="647F6D8A"/>
    <w:rsid w:val="64801AB7"/>
    <w:rsid w:val="64805613"/>
    <w:rsid w:val="648073F9"/>
    <w:rsid w:val="6481138B"/>
    <w:rsid w:val="64811712"/>
    <w:rsid w:val="64813139"/>
    <w:rsid w:val="6481740B"/>
    <w:rsid w:val="64822C89"/>
    <w:rsid w:val="648230DF"/>
    <w:rsid w:val="64823BEE"/>
    <w:rsid w:val="648275DD"/>
    <w:rsid w:val="64833355"/>
    <w:rsid w:val="64833FCA"/>
    <w:rsid w:val="64834B4E"/>
    <w:rsid w:val="64835103"/>
    <w:rsid w:val="64835951"/>
    <w:rsid w:val="6483682A"/>
    <w:rsid w:val="648423C7"/>
    <w:rsid w:val="64845230"/>
    <w:rsid w:val="64845AD2"/>
    <w:rsid w:val="64846B9B"/>
    <w:rsid w:val="64847A32"/>
    <w:rsid w:val="64850E7B"/>
    <w:rsid w:val="64852BFC"/>
    <w:rsid w:val="64853B8C"/>
    <w:rsid w:val="648543C8"/>
    <w:rsid w:val="64861CA1"/>
    <w:rsid w:val="648669A1"/>
    <w:rsid w:val="64867473"/>
    <w:rsid w:val="64867902"/>
    <w:rsid w:val="64870BA5"/>
    <w:rsid w:val="64870D0E"/>
    <w:rsid w:val="6487161C"/>
    <w:rsid w:val="64881FA4"/>
    <w:rsid w:val="64885FF7"/>
    <w:rsid w:val="64886137"/>
    <w:rsid w:val="64897E3C"/>
    <w:rsid w:val="648A0240"/>
    <w:rsid w:val="648A360C"/>
    <w:rsid w:val="648A40A2"/>
    <w:rsid w:val="648A46E4"/>
    <w:rsid w:val="648A7BF4"/>
    <w:rsid w:val="648B532D"/>
    <w:rsid w:val="648B5974"/>
    <w:rsid w:val="648C045C"/>
    <w:rsid w:val="648C220A"/>
    <w:rsid w:val="648C4472"/>
    <w:rsid w:val="648C78AC"/>
    <w:rsid w:val="648D138E"/>
    <w:rsid w:val="648D1ADE"/>
    <w:rsid w:val="648D5F82"/>
    <w:rsid w:val="648D7C4D"/>
    <w:rsid w:val="648D7D30"/>
    <w:rsid w:val="648E27BA"/>
    <w:rsid w:val="648E5BCC"/>
    <w:rsid w:val="648E6923"/>
    <w:rsid w:val="648E720B"/>
    <w:rsid w:val="648F0D59"/>
    <w:rsid w:val="648F1CFA"/>
    <w:rsid w:val="648F223E"/>
    <w:rsid w:val="649005D1"/>
    <w:rsid w:val="649015CE"/>
    <w:rsid w:val="64907E65"/>
    <w:rsid w:val="64915A72"/>
    <w:rsid w:val="64921199"/>
    <w:rsid w:val="649216BA"/>
    <w:rsid w:val="6492203F"/>
    <w:rsid w:val="64923598"/>
    <w:rsid w:val="64925346"/>
    <w:rsid w:val="64930081"/>
    <w:rsid w:val="6493090D"/>
    <w:rsid w:val="649360E6"/>
    <w:rsid w:val="649361C3"/>
    <w:rsid w:val="649410BE"/>
    <w:rsid w:val="6494225D"/>
    <w:rsid w:val="64942E6C"/>
    <w:rsid w:val="64945C74"/>
    <w:rsid w:val="64946021"/>
    <w:rsid w:val="64947310"/>
    <w:rsid w:val="6494748A"/>
    <w:rsid w:val="64961430"/>
    <w:rsid w:val="64961704"/>
    <w:rsid w:val="64963088"/>
    <w:rsid w:val="64964415"/>
    <w:rsid w:val="64964E36"/>
    <w:rsid w:val="64966BE4"/>
    <w:rsid w:val="64970BAF"/>
    <w:rsid w:val="6497295D"/>
    <w:rsid w:val="64975011"/>
    <w:rsid w:val="64977239"/>
    <w:rsid w:val="64983163"/>
    <w:rsid w:val="64984225"/>
    <w:rsid w:val="64984A70"/>
    <w:rsid w:val="64986E00"/>
    <w:rsid w:val="64990483"/>
    <w:rsid w:val="64992B79"/>
    <w:rsid w:val="64994927"/>
    <w:rsid w:val="649950EB"/>
    <w:rsid w:val="649966D5"/>
    <w:rsid w:val="649A162D"/>
    <w:rsid w:val="649A2A9F"/>
    <w:rsid w:val="649A3955"/>
    <w:rsid w:val="649A3F22"/>
    <w:rsid w:val="649B244D"/>
    <w:rsid w:val="649B251D"/>
    <w:rsid w:val="649B4ABB"/>
    <w:rsid w:val="649C17A2"/>
    <w:rsid w:val="649C4CD0"/>
    <w:rsid w:val="649C61C5"/>
    <w:rsid w:val="649E018F"/>
    <w:rsid w:val="649E0BD2"/>
    <w:rsid w:val="649E0C74"/>
    <w:rsid w:val="649E1DCD"/>
    <w:rsid w:val="649E43FB"/>
    <w:rsid w:val="649E47C9"/>
    <w:rsid w:val="649E494E"/>
    <w:rsid w:val="649E6F1B"/>
    <w:rsid w:val="649F3495"/>
    <w:rsid w:val="64A00978"/>
    <w:rsid w:val="64A01811"/>
    <w:rsid w:val="64A060C3"/>
    <w:rsid w:val="64A0611B"/>
    <w:rsid w:val="64A07164"/>
    <w:rsid w:val="64A10C94"/>
    <w:rsid w:val="64A118DA"/>
    <w:rsid w:val="64A119D3"/>
    <w:rsid w:val="64A137C1"/>
    <w:rsid w:val="64A137DB"/>
    <w:rsid w:val="64A15B17"/>
    <w:rsid w:val="64A20793"/>
    <w:rsid w:val="64A216CA"/>
    <w:rsid w:val="64A21A2D"/>
    <w:rsid w:val="64A24D02"/>
    <w:rsid w:val="64A3255D"/>
    <w:rsid w:val="64A32D33"/>
    <w:rsid w:val="64A32F1D"/>
    <w:rsid w:val="64A34A06"/>
    <w:rsid w:val="64A357A5"/>
    <w:rsid w:val="64A36185"/>
    <w:rsid w:val="64A37553"/>
    <w:rsid w:val="64A404F0"/>
    <w:rsid w:val="64A40D96"/>
    <w:rsid w:val="64A42C1F"/>
    <w:rsid w:val="64A42E07"/>
    <w:rsid w:val="64A47615"/>
    <w:rsid w:val="64A47B5D"/>
    <w:rsid w:val="64A5151D"/>
    <w:rsid w:val="64A5157C"/>
    <w:rsid w:val="64A532CB"/>
    <w:rsid w:val="64A54544"/>
    <w:rsid w:val="64A55079"/>
    <w:rsid w:val="64A74B06"/>
    <w:rsid w:val="64A757E8"/>
    <w:rsid w:val="64A80032"/>
    <w:rsid w:val="64A841EE"/>
    <w:rsid w:val="64A85F96"/>
    <w:rsid w:val="64A87E46"/>
    <w:rsid w:val="64A917F5"/>
    <w:rsid w:val="64A96FA4"/>
    <w:rsid w:val="64AA08B6"/>
    <w:rsid w:val="64AA14E6"/>
    <w:rsid w:val="64AA2690"/>
    <w:rsid w:val="64AA4932"/>
    <w:rsid w:val="64AA6B34"/>
    <w:rsid w:val="64AB0CF5"/>
    <w:rsid w:val="64AB2A45"/>
    <w:rsid w:val="64AB40BC"/>
    <w:rsid w:val="64AB4917"/>
    <w:rsid w:val="64AB53B7"/>
    <w:rsid w:val="64AB56E0"/>
    <w:rsid w:val="64AB6C48"/>
    <w:rsid w:val="64AB7ABF"/>
    <w:rsid w:val="64AC465A"/>
    <w:rsid w:val="64AC58C9"/>
    <w:rsid w:val="64AC5DA7"/>
    <w:rsid w:val="64AC6408"/>
    <w:rsid w:val="64AD03D2"/>
    <w:rsid w:val="64AD2180"/>
    <w:rsid w:val="64AD2C74"/>
    <w:rsid w:val="64AD3AD7"/>
    <w:rsid w:val="64AD3F2E"/>
    <w:rsid w:val="64AD481C"/>
    <w:rsid w:val="64AD7237"/>
    <w:rsid w:val="64AE0D31"/>
    <w:rsid w:val="64AE12E6"/>
    <w:rsid w:val="64AE41C9"/>
    <w:rsid w:val="64AE68B2"/>
    <w:rsid w:val="64AE7549"/>
    <w:rsid w:val="64AF1DEE"/>
    <w:rsid w:val="64AF3018"/>
    <w:rsid w:val="64AF3CE1"/>
    <w:rsid w:val="64AF414A"/>
    <w:rsid w:val="64AF4728"/>
    <w:rsid w:val="64AF57A4"/>
    <w:rsid w:val="64AF5C1A"/>
    <w:rsid w:val="64AF5DE8"/>
    <w:rsid w:val="64AF5EF8"/>
    <w:rsid w:val="64AF64BE"/>
    <w:rsid w:val="64B003B7"/>
    <w:rsid w:val="64B06591"/>
    <w:rsid w:val="64B11C70"/>
    <w:rsid w:val="64B12AD6"/>
    <w:rsid w:val="64B1342B"/>
    <w:rsid w:val="64B13A1E"/>
    <w:rsid w:val="64B1766B"/>
    <w:rsid w:val="64B20D1C"/>
    <w:rsid w:val="64B24123"/>
    <w:rsid w:val="64B24203"/>
    <w:rsid w:val="64B259E8"/>
    <w:rsid w:val="64B41760"/>
    <w:rsid w:val="64B4763C"/>
    <w:rsid w:val="64B5059A"/>
    <w:rsid w:val="64B516DE"/>
    <w:rsid w:val="64B53731"/>
    <w:rsid w:val="64B57114"/>
    <w:rsid w:val="64B60849"/>
    <w:rsid w:val="64B60FDD"/>
    <w:rsid w:val="64B61035"/>
    <w:rsid w:val="64B653F3"/>
    <w:rsid w:val="64B70063"/>
    <w:rsid w:val="64B72EBA"/>
    <w:rsid w:val="64B73ECF"/>
    <w:rsid w:val="64B755F1"/>
    <w:rsid w:val="64B80849"/>
    <w:rsid w:val="64B8434A"/>
    <w:rsid w:val="64B84F1D"/>
    <w:rsid w:val="64B862B1"/>
    <w:rsid w:val="64B91048"/>
    <w:rsid w:val="64B9496D"/>
    <w:rsid w:val="64B94D6A"/>
    <w:rsid w:val="64B96D77"/>
    <w:rsid w:val="64B9779E"/>
    <w:rsid w:val="64BA0C79"/>
    <w:rsid w:val="64BA2DB0"/>
    <w:rsid w:val="64BA74E4"/>
    <w:rsid w:val="64BB3D54"/>
    <w:rsid w:val="64BB489D"/>
    <w:rsid w:val="64BB5760"/>
    <w:rsid w:val="64BD6867"/>
    <w:rsid w:val="64BE0292"/>
    <w:rsid w:val="64BE25DF"/>
    <w:rsid w:val="64BE4115"/>
    <w:rsid w:val="64BE438D"/>
    <w:rsid w:val="64BE4784"/>
    <w:rsid w:val="64BE4B4D"/>
    <w:rsid w:val="64BE7227"/>
    <w:rsid w:val="64BE7CE1"/>
    <w:rsid w:val="64BE7D39"/>
    <w:rsid w:val="64BF5D90"/>
    <w:rsid w:val="64BF7984"/>
    <w:rsid w:val="64C00105"/>
    <w:rsid w:val="64C01EB3"/>
    <w:rsid w:val="64C03C61"/>
    <w:rsid w:val="64C11CC6"/>
    <w:rsid w:val="64C139FA"/>
    <w:rsid w:val="64C179D9"/>
    <w:rsid w:val="64C21FD1"/>
    <w:rsid w:val="64C23918"/>
    <w:rsid w:val="64C25C2B"/>
    <w:rsid w:val="64C27FCD"/>
    <w:rsid w:val="64C30DCB"/>
    <w:rsid w:val="64C32497"/>
    <w:rsid w:val="64C32B9E"/>
    <w:rsid w:val="64C32E6E"/>
    <w:rsid w:val="64C37BF6"/>
    <w:rsid w:val="64C4167D"/>
    <w:rsid w:val="64C51278"/>
    <w:rsid w:val="64C524D7"/>
    <w:rsid w:val="64C554BE"/>
    <w:rsid w:val="64C5571C"/>
    <w:rsid w:val="64C55E85"/>
    <w:rsid w:val="64C64381"/>
    <w:rsid w:val="64C649BF"/>
    <w:rsid w:val="64C64FF0"/>
    <w:rsid w:val="64C657AE"/>
    <w:rsid w:val="64C67DDE"/>
    <w:rsid w:val="64C76F55"/>
    <w:rsid w:val="64C84737"/>
    <w:rsid w:val="64C84E80"/>
    <w:rsid w:val="64C853E7"/>
    <w:rsid w:val="64C8553E"/>
    <w:rsid w:val="64C86FBA"/>
    <w:rsid w:val="64C9019A"/>
    <w:rsid w:val="64C90E02"/>
    <w:rsid w:val="64C953F4"/>
    <w:rsid w:val="64C9644F"/>
    <w:rsid w:val="64C96A10"/>
    <w:rsid w:val="64CA0536"/>
    <w:rsid w:val="64CA0F84"/>
    <w:rsid w:val="64CA3F5B"/>
    <w:rsid w:val="64CA4AE0"/>
    <w:rsid w:val="64CB0A9E"/>
    <w:rsid w:val="64CB27C0"/>
    <w:rsid w:val="64CB393C"/>
    <w:rsid w:val="64CB3F66"/>
    <w:rsid w:val="64CB5927"/>
    <w:rsid w:val="64CC21B0"/>
    <w:rsid w:val="64CC310D"/>
    <w:rsid w:val="64CC6F37"/>
    <w:rsid w:val="64CC7AE3"/>
    <w:rsid w:val="64CC7E22"/>
    <w:rsid w:val="64CD46F5"/>
    <w:rsid w:val="64CD4E2C"/>
    <w:rsid w:val="64CD637E"/>
    <w:rsid w:val="64CE1030"/>
    <w:rsid w:val="64CE7CB1"/>
    <w:rsid w:val="64CF0042"/>
    <w:rsid w:val="64CF2E8C"/>
    <w:rsid w:val="64CF32A3"/>
    <w:rsid w:val="64D05BFF"/>
    <w:rsid w:val="64D12254"/>
    <w:rsid w:val="64D12312"/>
    <w:rsid w:val="64D13A61"/>
    <w:rsid w:val="64D2036D"/>
    <w:rsid w:val="64D264EB"/>
    <w:rsid w:val="64D30F5B"/>
    <w:rsid w:val="64D413C6"/>
    <w:rsid w:val="64D41552"/>
    <w:rsid w:val="64D433D4"/>
    <w:rsid w:val="64D43BB1"/>
    <w:rsid w:val="64D4595F"/>
    <w:rsid w:val="64D45B0B"/>
    <w:rsid w:val="64D50945"/>
    <w:rsid w:val="64D54FB3"/>
    <w:rsid w:val="64D55A81"/>
    <w:rsid w:val="64D5643B"/>
    <w:rsid w:val="64D616D7"/>
    <w:rsid w:val="64D63485"/>
    <w:rsid w:val="64D65114"/>
    <w:rsid w:val="64D6523E"/>
    <w:rsid w:val="64D65FCB"/>
    <w:rsid w:val="64D67929"/>
    <w:rsid w:val="64D724A4"/>
    <w:rsid w:val="64D73B44"/>
    <w:rsid w:val="64D74547"/>
    <w:rsid w:val="64D75322"/>
    <w:rsid w:val="64D76587"/>
    <w:rsid w:val="64D771FD"/>
    <w:rsid w:val="64D81A9A"/>
    <w:rsid w:val="64D82CC7"/>
    <w:rsid w:val="64D836A1"/>
    <w:rsid w:val="64D83B41"/>
    <w:rsid w:val="64D8428F"/>
    <w:rsid w:val="64D8544F"/>
    <w:rsid w:val="64D911C7"/>
    <w:rsid w:val="64D92F75"/>
    <w:rsid w:val="64D96FA3"/>
    <w:rsid w:val="64D97995"/>
    <w:rsid w:val="64DA2DE1"/>
    <w:rsid w:val="64DA5786"/>
    <w:rsid w:val="64DA7945"/>
    <w:rsid w:val="64DB22B5"/>
    <w:rsid w:val="64DB274E"/>
    <w:rsid w:val="64DB4F3F"/>
    <w:rsid w:val="64DC042E"/>
    <w:rsid w:val="64DC23E6"/>
    <w:rsid w:val="64DC3D91"/>
    <w:rsid w:val="64DD1448"/>
    <w:rsid w:val="64DD1E0B"/>
    <w:rsid w:val="64DD2A65"/>
    <w:rsid w:val="64DD7688"/>
    <w:rsid w:val="64DE058B"/>
    <w:rsid w:val="64DE1B02"/>
    <w:rsid w:val="64DE1E75"/>
    <w:rsid w:val="64DE2339"/>
    <w:rsid w:val="64DE4D85"/>
    <w:rsid w:val="64DE56FE"/>
    <w:rsid w:val="64DF0890"/>
    <w:rsid w:val="64DF408D"/>
    <w:rsid w:val="64DF432B"/>
    <w:rsid w:val="64E020C6"/>
    <w:rsid w:val="64E04304"/>
    <w:rsid w:val="64E07DF0"/>
    <w:rsid w:val="64E1008C"/>
    <w:rsid w:val="64E10E5A"/>
    <w:rsid w:val="64E11345"/>
    <w:rsid w:val="64E12AE5"/>
    <w:rsid w:val="64E15D00"/>
    <w:rsid w:val="64E16A41"/>
    <w:rsid w:val="64E2007C"/>
    <w:rsid w:val="64E21E2A"/>
    <w:rsid w:val="64E2210E"/>
    <w:rsid w:val="64E24703"/>
    <w:rsid w:val="64E315A8"/>
    <w:rsid w:val="64E323A1"/>
    <w:rsid w:val="64E35BA2"/>
    <w:rsid w:val="64E43618"/>
    <w:rsid w:val="64E46DD0"/>
    <w:rsid w:val="64E50D68"/>
    <w:rsid w:val="64E512A4"/>
    <w:rsid w:val="64E5191A"/>
    <w:rsid w:val="64E55F38"/>
    <w:rsid w:val="64E56330"/>
    <w:rsid w:val="64E60BF8"/>
    <w:rsid w:val="64E61B09"/>
    <w:rsid w:val="64E652E1"/>
    <w:rsid w:val="64E67A94"/>
    <w:rsid w:val="64E71890"/>
    <w:rsid w:val="64E72E2D"/>
    <w:rsid w:val="64E738E4"/>
    <w:rsid w:val="64E77440"/>
    <w:rsid w:val="64E827DB"/>
    <w:rsid w:val="64E858F4"/>
    <w:rsid w:val="64E86EDF"/>
    <w:rsid w:val="64E96FF6"/>
    <w:rsid w:val="64E9765C"/>
    <w:rsid w:val="64EA0EF4"/>
    <w:rsid w:val="64EA170E"/>
    <w:rsid w:val="64EA33D4"/>
    <w:rsid w:val="64EA3C5C"/>
    <w:rsid w:val="64EA540C"/>
    <w:rsid w:val="64EA5676"/>
    <w:rsid w:val="64EA5D49"/>
    <w:rsid w:val="64EA6F30"/>
    <w:rsid w:val="64EB4076"/>
    <w:rsid w:val="64EB604D"/>
    <w:rsid w:val="64EB61B4"/>
    <w:rsid w:val="64EB733D"/>
    <w:rsid w:val="64EC0283"/>
    <w:rsid w:val="64EC0EFA"/>
    <w:rsid w:val="64EC2351"/>
    <w:rsid w:val="64EC2CA8"/>
    <w:rsid w:val="64EC48EB"/>
    <w:rsid w:val="64EC50EB"/>
    <w:rsid w:val="64EC51E7"/>
    <w:rsid w:val="64EC5237"/>
    <w:rsid w:val="64ED07CF"/>
    <w:rsid w:val="64EE2A48"/>
    <w:rsid w:val="64EE43C3"/>
    <w:rsid w:val="64EE6A20"/>
    <w:rsid w:val="64EE729B"/>
    <w:rsid w:val="64EF09EB"/>
    <w:rsid w:val="64EF2DB9"/>
    <w:rsid w:val="64EF4547"/>
    <w:rsid w:val="64EF6E4D"/>
    <w:rsid w:val="64EF6FEA"/>
    <w:rsid w:val="64EF7D39"/>
    <w:rsid w:val="64F000A4"/>
    <w:rsid w:val="64F0039A"/>
    <w:rsid w:val="64F0114E"/>
    <w:rsid w:val="64F02600"/>
    <w:rsid w:val="64F02AD3"/>
    <w:rsid w:val="64F043B9"/>
    <w:rsid w:val="64F05345"/>
    <w:rsid w:val="64F102BF"/>
    <w:rsid w:val="64F10AEE"/>
    <w:rsid w:val="64F1206D"/>
    <w:rsid w:val="64F13512"/>
    <w:rsid w:val="64F144DB"/>
    <w:rsid w:val="64F16511"/>
    <w:rsid w:val="64F2435C"/>
    <w:rsid w:val="64F2596B"/>
    <w:rsid w:val="64F32289"/>
    <w:rsid w:val="64F34037"/>
    <w:rsid w:val="64F42AB6"/>
    <w:rsid w:val="64F43226"/>
    <w:rsid w:val="64F44370"/>
    <w:rsid w:val="64F47DAF"/>
    <w:rsid w:val="64F50F9F"/>
    <w:rsid w:val="64F61C4F"/>
    <w:rsid w:val="64F652F9"/>
    <w:rsid w:val="64F658D5"/>
    <w:rsid w:val="64F7097C"/>
    <w:rsid w:val="64F71249"/>
    <w:rsid w:val="64F71F5D"/>
    <w:rsid w:val="64F73745"/>
    <w:rsid w:val="64F76491"/>
    <w:rsid w:val="64F8164D"/>
    <w:rsid w:val="64F81CAE"/>
    <w:rsid w:val="64F8248B"/>
    <w:rsid w:val="64F82619"/>
    <w:rsid w:val="64F86BF0"/>
    <w:rsid w:val="64F8789F"/>
    <w:rsid w:val="64F90083"/>
    <w:rsid w:val="64F9082A"/>
    <w:rsid w:val="64F92C6C"/>
    <w:rsid w:val="64F943AD"/>
    <w:rsid w:val="64F953C5"/>
    <w:rsid w:val="64F963F4"/>
    <w:rsid w:val="64F97173"/>
    <w:rsid w:val="64F9756E"/>
    <w:rsid w:val="64FA0BCD"/>
    <w:rsid w:val="64FA1044"/>
    <w:rsid w:val="64FA2E9D"/>
    <w:rsid w:val="64FA5C15"/>
    <w:rsid w:val="64FA6BBD"/>
    <w:rsid w:val="64FA78C8"/>
    <w:rsid w:val="64FB0D2E"/>
    <w:rsid w:val="64FB12D1"/>
    <w:rsid w:val="64FB3D04"/>
    <w:rsid w:val="64FB42BF"/>
    <w:rsid w:val="64FB47E3"/>
    <w:rsid w:val="64FB6666"/>
    <w:rsid w:val="64FC154D"/>
    <w:rsid w:val="64FC728E"/>
    <w:rsid w:val="64FC7E63"/>
    <w:rsid w:val="64FD3107"/>
    <w:rsid w:val="64FD4E9E"/>
    <w:rsid w:val="64FD58D2"/>
    <w:rsid w:val="64FD6C64"/>
    <w:rsid w:val="64FE29DC"/>
    <w:rsid w:val="64FE3881"/>
    <w:rsid w:val="64FE478A"/>
    <w:rsid w:val="64FF465D"/>
    <w:rsid w:val="64FF5D54"/>
    <w:rsid w:val="64FF6193"/>
    <w:rsid w:val="65000502"/>
    <w:rsid w:val="6500344F"/>
    <w:rsid w:val="65006AFE"/>
    <w:rsid w:val="65010F75"/>
    <w:rsid w:val="65013FCF"/>
    <w:rsid w:val="6501408E"/>
    <w:rsid w:val="650224CC"/>
    <w:rsid w:val="65031260"/>
    <w:rsid w:val="65031DA0"/>
    <w:rsid w:val="65034937"/>
    <w:rsid w:val="650350E3"/>
    <w:rsid w:val="650454B3"/>
    <w:rsid w:val="65046244"/>
    <w:rsid w:val="65051FBC"/>
    <w:rsid w:val="65053D6A"/>
    <w:rsid w:val="65054564"/>
    <w:rsid w:val="6505489C"/>
    <w:rsid w:val="6505496F"/>
    <w:rsid w:val="65055B18"/>
    <w:rsid w:val="65062D4A"/>
    <w:rsid w:val="65065913"/>
    <w:rsid w:val="65067576"/>
    <w:rsid w:val="65071065"/>
    <w:rsid w:val="65075270"/>
    <w:rsid w:val="65075927"/>
    <w:rsid w:val="65075D34"/>
    <w:rsid w:val="65077AE2"/>
    <w:rsid w:val="6508277B"/>
    <w:rsid w:val="65082DF3"/>
    <w:rsid w:val="650853E7"/>
    <w:rsid w:val="65091AAC"/>
    <w:rsid w:val="65093C3A"/>
    <w:rsid w:val="65093EA2"/>
    <w:rsid w:val="650A1380"/>
    <w:rsid w:val="650A5824"/>
    <w:rsid w:val="650A75D2"/>
    <w:rsid w:val="650B2F75"/>
    <w:rsid w:val="650C1683"/>
    <w:rsid w:val="650C1ABD"/>
    <w:rsid w:val="650C2059"/>
    <w:rsid w:val="650C2B4B"/>
    <w:rsid w:val="650C50F9"/>
    <w:rsid w:val="650C6EA7"/>
    <w:rsid w:val="650D1A71"/>
    <w:rsid w:val="650D2C1F"/>
    <w:rsid w:val="650D3DC7"/>
    <w:rsid w:val="650D410A"/>
    <w:rsid w:val="650D58BF"/>
    <w:rsid w:val="650E26F1"/>
    <w:rsid w:val="650E5143"/>
    <w:rsid w:val="650F181D"/>
    <w:rsid w:val="650F3EE6"/>
    <w:rsid w:val="650F46E8"/>
    <w:rsid w:val="650F4BE9"/>
    <w:rsid w:val="65102C34"/>
    <w:rsid w:val="65102E3B"/>
    <w:rsid w:val="65106F49"/>
    <w:rsid w:val="65107A63"/>
    <w:rsid w:val="6511246B"/>
    <w:rsid w:val="6511270F"/>
    <w:rsid w:val="651127BF"/>
    <w:rsid w:val="651144BD"/>
    <w:rsid w:val="65114691"/>
    <w:rsid w:val="651174F0"/>
    <w:rsid w:val="651200CE"/>
    <w:rsid w:val="6512135F"/>
    <w:rsid w:val="651329A2"/>
    <w:rsid w:val="65137559"/>
    <w:rsid w:val="651421FF"/>
    <w:rsid w:val="65142D94"/>
    <w:rsid w:val="651437EC"/>
    <w:rsid w:val="65143FAD"/>
    <w:rsid w:val="65145B7A"/>
    <w:rsid w:val="65147E79"/>
    <w:rsid w:val="6515001E"/>
    <w:rsid w:val="65150451"/>
    <w:rsid w:val="65150796"/>
    <w:rsid w:val="65150D04"/>
    <w:rsid w:val="651511CB"/>
    <w:rsid w:val="65160375"/>
    <w:rsid w:val="65162E1E"/>
    <w:rsid w:val="65164BED"/>
    <w:rsid w:val="65165F77"/>
    <w:rsid w:val="651664A6"/>
    <w:rsid w:val="65167D25"/>
    <w:rsid w:val="65173C9C"/>
    <w:rsid w:val="65174882"/>
    <w:rsid w:val="65174A38"/>
    <w:rsid w:val="65177936"/>
    <w:rsid w:val="65180DC6"/>
    <w:rsid w:val="65181CEF"/>
    <w:rsid w:val="65187A55"/>
    <w:rsid w:val="65196722"/>
    <w:rsid w:val="65197815"/>
    <w:rsid w:val="651A00E9"/>
    <w:rsid w:val="651A3495"/>
    <w:rsid w:val="651A3E29"/>
    <w:rsid w:val="651A5A67"/>
    <w:rsid w:val="651B15D0"/>
    <w:rsid w:val="651B17E0"/>
    <w:rsid w:val="651B533C"/>
    <w:rsid w:val="651B58C7"/>
    <w:rsid w:val="651B6863"/>
    <w:rsid w:val="651B6D83"/>
    <w:rsid w:val="651B7513"/>
    <w:rsid w:val="651B7747"/>
    <w:rsid w:val="651B778F"/>
    <w:rsid w:val="651B7E8F"/>
    <w:rsid w:val="651C20E9"/>
    <w:rsid w:val="651C2A8C"/>
    <w:rsid w:val="651C3F68"/>
    <w:rsid w:val="651C45D5"/>
    <w:rsid w:val="651C64CB"/>
    <w:rsid w:val="651C743F"/>
    <w:rsid w:val="651D1ACC"/>
    <w:rsid w:val="651D2E7A"/>
    <w:rsid w:val="651D3FC4"/>
    <w:rsid w:val="651D5558"/>
    <w:rsid w:val="651D7306"/>
    <w:rsid w:val="651E13B0"/>
    <w:rsid w:val="651E1B4D"/>
    <w:rsid w:val="651E4E2C"/>
    <w:rsid w:val="651E6BDA"/>
    <w:rsid w:val="651F15F8"/>
    <w:rsid w:val="651F1E96"/>
    <w:rsid w:val="651F550A"/>
    <w:rsid w:val="651F61C4"/>
    <w:rsid w:val="651F6937"/>
    <w:rsid w:val="651F7418"/>
    <w:rsid w:val="65202952"/>
    <w:rsid w:val="65204915"/>
    <w:rsid w:val="65207558"/>
    <w:rsid w:val="6521022B"/>
    <w:rsid w:val="65211E78"/>
    <w:rsid w:val="652204DD"/>
    <w:rsid w:val="65222B6E"/>
    <w:rsid w:val="65224AD7"/>
    <w:rsid w:val="65225546"/>
    <w:rsid w:val="65226125"/>
    <w:rsid w:val="652266CA"/>
    <w:rsid w:val="652268DA"/>
    <w:rsid w:val="652276C7"/>
    <w:rsid w:val="65230F24"/>
    <w:rsid w:val="652310DA"/>
    <w:rsid w:val="6523380F"/>
    <w:rsid w:val="6524015B"/>
    <w:rsid w:val="65242442"/>
    <w:rsid w:val="65242BC9"/>
    <w:rsid w:val="6524394D"/>
    <w:rsid w:val="652452D8"/>
    <w:rsid w:val="652467D3"/>
    <w:rsid w:val="65247A26"/>
    <w:rsid w:val="65247AD5"/>
    <w:rsid w:val="65247FC2"/>
    <w:rsid w:val="652507F9"/>
    <w:rsid w:val="652532BE"/>
    <w:rsid w:val="6525538F"/>
    <w:rsid w:val="652557CC"/>
    <w:rsid w:val="6525631E"/>
    <w:rsid w:val="65257F68"/>
    <w:rsid w:val="65264497"/>
    <w:rsid w:val="65270184"/>
    <w:rsid w:val="65271F32"/>
    <w:rsid w:val="652817B4"/>
    <w:rsid w:val="6528717A"/>
    <w:rsid w:val="652872CE"/>
    <w:rsid w:val="6529060A"/>
    <w:rsid w:val="6529148A"/>
    <w:rsid w:val="65293EFC"/>
    <w:rsid w:val="65297A59"/>
    <w:rsid w:val="652A1A23"/>
    <w:rsid w:val="652A37D1"/>
    <w:rsid w:val="652A61E7"/>
    <w:rsid w:val="652B466B"/>
    <w:rsid w:val="652C10F2"/>
    <w:rsid w:val="652C3D7F"/>
    <w:rsid w:val="652C53ED"/>
    <w:rsid w:val="652C7549"/>
    <w:rsid w:val="652D1B5C"/>
    <w:rsid w:val="652E1513"/>
    <w:rsid w:val="652E2D03"/>
    <w:rsid w:val="652E417F"/>
    <w:rsid w:val="652E506F"/>
    <w:rsid w:val="652E7A0D"/>
    <w:rsid w:val="652F2B95"/>
    <w:rsid w:val="652F3219"/>
    <w:rsid w:val="652F7039"/>
    <w:rsid w:val="652F7F16"/>
    <w:rsid w:val="6530590C"/>
    <w:rsid w:val="653077B7"/>
    <w:rsid w:val="65312DB1"/>
    <w:rsid w:val="65314B5F"/>
    <w:rsid w:val="6531577F"/>
    <w:rsid w:val="65315B45"/>
    <w:rsid w:val="653162E3"/>
    <w:rsid w:val="6531690D"/>
    <w:rsid w:val="65317201"/>
    <w:rsid w:val="6532268C"/>
    <w:rsid w:val="65322B33"/>
    <w:rsid w:val="65322CBF"/>
    <w:rsid w:val="65323CA2"/>
    <w:rsid w:val="653243AE"/>
    <w:rsid w:val="6532453E"/>
    <w:rsid w:val="65327271"/>
    <w:rsid w:val="65330FBA"/>
    <w:rsid w:val="653320C8"/>
    <w:rsid w:val="653366A0"/>
    <w:rsid w:val="65336B29"/>
    <w:rsid w:val="653423BF"/>
    <w:rsid w:val="653456C1"/>
    <w:rsid w:val="65347D89"/>
    <w:rsid w:val="653528A1"/>
    <w:rsid w:val="65352C3C"/>
    <w:rsid w:val="65352EBF"/>
    <w:rsid w:val="65362175"/>
    <w:rsid w:val="65366619"/>
    <w:rsid w:val="65366998"/>
    <w:rsid w:val="653672AF"/>
    <w:rsid w:val="653700B7"/>
    <w:rsid w:val="653731A6"/>
    <w:rsid w:val="65375A0C"/>
    <w:rsid w:val="6537605A"/>
    <w:rsid w:val="65384140"/>
    <w:rsid w:val="65385EEE"/>
    <w:rsid w:val="65386C6F"/>
    <w:rsid w:val="65387C9C"/>
    <w:rsid w:val="65391A5B"/>
    <w:rsid w:val="65393A14"/>
    <w:rsid w:val="653A164E"/>
    <w:rsid w:val="653A2CD0"/>
    <w:rsid w:val="653A7C15"/>
    <w:rsid w:val="653A7EB8"/>
    <w:rsid w:val="653B01F0"/>
    <w:rsid w:val="653B2730"/>
    <w:rsid w:val="653B359F"/>
    <w:rsid w:val="653B3C30"/>
    <w:rsid w:val="653B59DE"/>
    <w:rsid w:val="653B778C"/>
    <w:rsid w:val="653B7BF1"/>
    <w:rsid w:val="653C19BA"/>
    <w:rsid w:val="653C392E"/>
    <w:rsid w:val="653C794D"/>
    <w:rsid w:val="653D1651"/>
    <w:rsid w:val="653D1756"/>
    <w:rsid w:val="653D1E8A"/>
    <w:rsid w:val="653D2343"/>
    <w:rsid w:val="653D2B76"/>
    <w:rsid w:val="653D4903"/>
    <w:rsid w:val="653D5A4E"/>
    <w:rsid w:val="653E102A"/>
    <w:rsid w:val="653E71D7"/>
    <w:rsid w:val="653F126A"/>
    <w:rsid w:val="653F239E"/>
    <w:rsid w:val="653F52B5"/>
    <w:rsid w:val="653F54CE"/>
    <w:rsid w:val="65406C84"/>
    <w:rsid w:val="65412512"/>
    <w:rsid w:val="65414258"/>
    <w:rsid w:val="6541493B"/>
    <w:rsid w:val="65416891"/>
    <w:rsid w:val="65417DE8"/>
    <w:rsid w:val="65420A69"/>
    <w:rsid w:val="65420B1A"/>
    <w:rsid w:val="65423943"/>
    <w:rsid w:val="6542499A"/>
    <w:rsid w:val="65424FBE"/>
    <w:rsid w:val="65426BFE"/>
    <w:rsid w:val="654272CB"/>
    <w:rsid w:val="65434B11"/>
    <w:rsid w:val="65436640"/>
    <w:rsid w:val="65440040"/>
    <w:rsid w:val="65442AE4"/>
    <w:rsid w:val="65443565"/>
    <w:rsid w:val="654455E9"/>
    <w:rsid w:val="65446573"/>
    <w:rsid w:val="6545060B"/>
    <w:rsid w:val="654523B9"/>
    <w:rsid w:val="65453BED"/>
    <w:rsid w:val="65454BDE"/>
    <w:rsid w:val="65456A7B"/>
    <w:rsid w:val="65457DE3"/>
    <w:rsid w:val="6546100C"/>
    <w:rsid w:val="65464A24"/>
    <w:rsid w:val="65464FB1"/>
    <w:rsid w:val="65474383"/>
    <w:rsid w:val="65476131"/>
    <w:rsid w:val="654825B3"/>
    <w:rsid w:val="6548459E"/>
    <w:rsid w:val="654849CF"/>
    <w:rsid w:val="654900FB"/>
    <w:rsid w:val="65491A29"/>
    <w:rsid w:val="65491EA9"/>
    <w:rsid w:val="65493C57"/>
    <w:rsid w:val="65497ED3"/>
    <w:rsid w:val="654A19A1"/>
    <w:rsid w:val="654A27C5"/>
    <w:rsid w:val="654B3C55"/>
    <w:rsid w:val="654B3CFD"/>
    <w:rsid w:val="654B3E73"/>
    <w:rsid w:val="654B4786"/>
    <w:rsid w:val="654B4F71"/>
    <w:rsid w:val="654C1999"/>
    <w:rsid w:val="654C4377"/>
    <w:rsid w:val="654D0A78"/>
    <w:rsid w:val="654D631B"/>
    <w:rsid w:val="654D7A05"/>
    <w:rsid w:val="654E0609"/>
    <w:rsid w:val="654E0C2A"/>
    <w:rsid w:val="654E3963"/>
    <w:rsid w:val="654F19EE"/>
    <w:rsid w:val="654F3671"/>
    <w:rsid w:val="654F47E0"/>
    <w:rsid w:val="655009FF"/>
    <w:rsid w:val="6550341E"/>
    <w:rsid w:val="65503985"/>
    <w:rsid w:val="65503CCE"/>
    <w:rsid w:val="655119C9"/>
    <w:rsid w:val="65512720"/>
    <w:rsid w:val="65512D8B"/>
    <w:rsid w:val="65515201"/>
    <w:rsid w:val="65515BDD"/>
    <w:rsid w:val="65516FAF"/>
    <w:rsid w:val="65517B9E"/>
    <w:rsid w:val="655217D0"/>
    <w:rsid w:val="655302C7"/>
    <w:rsid w:val="65530F79"/>
    <w:rsid w:val="65534747"/>
    <w:rsid w:val="655403D4"/>
    <w:rsid w:val="65544F71"/>
    <w:rsid w:val="655459C4"/>
    <w:rsid w:val="655478A4"/>
    <w:rsid w:val="65554CF2"/>
    <w:rsid w:val="65556197"/>
    <w:rsid w:val="65556AA0"/>
    <w:rsid w:val="6556103C"/>
    <w:rsid w:val="655642D4"/>
    <w:rsid w:val="655645C6"/>
    <w:rsid w:val="65565756"/>
    <w:rsid w:val="65570C8C"/>
    <w:rsid w:val="655721CB"/>
    <w:rsid w:val="6558033E"/>
    <w:rsid w:val="65580EAA"/>
    <w:rsid w:val="65583834"/>
    <w:rsid w:val="65592483"/>
    <w:rsid w:val="655A2308"/>
    <w:rsid w:val="655A40B6"/>
    <w:rsid w:val="655A42A0"/>
    <w:rsid w:val="655A444D"/>
    <w:rsid w:val="655A67DD"/>
    <w:rsid w:val="655B15B0"/>
    <w:rsid w:val="655B1BDC"/>
    <w:rsid w:val="655B2009"/>
    <w:rsid w:val="655B23D8"/>
    <w:rsid w:val="655B398A"/>
    <w:rsid w:val="655B7E2E"/>
    <w:rsid w:val="655C11E7"/>
    <w:rsid w:val="655C2B7E"/>
    <w:rsid w:val="655D063C"/>
    <w:rsid w:val="655D20EC"/>
    <w:rsid w:val="655D309F"/>
    <w:rsid w:val="655D56FD"/>
    <w:rsid w:val="655D5954"/>
    <w:rsid w:val="655D7702"/>
    <w:rsid w:val="655D7AC7"/>
    <w:rsid w:val="655E14F4"/>
    <w:rsid w:val="655E1ECB"/>
    <w:rsid w:val="655E20CB"/>
    <w:rsid w:val="655E3038"/>
    <w:rsid w:val="655E4143"/>
    <w:rsid w:val="655F16CC"/>
    <w:rsid w:val="655F202B"/>
    <w:rsid w:val="655F347A"/>
    <w:rsid w:val="655F3743"/>
    <w:rsid w:val="655F6D3A"/>
    <w:rsid w:val="655F791E"/>
    <w:rsid w:val="65605444"/>
    <w:rsid w:val="656071F2"/>
    <w:rsid w:val="65610197"/>
    <w:rsid w:val="65613696"/>
    <w:rsid w:val="65621B39"/>
    <w:rsid w:val="65622E79"/>
    <w:rsid w:val="65624D19"/>
    <w:rsid w:val="65624D39"/>
    <w:rsid w:val="656265AA"/>
    <w:rsid w:val="6562740E"/>
    <w:rsid w:val="65640326"/>
    <w:rsid w:val="65643F62"/>
    <w:rsid w:val="65644F35"/>
    <w:rsid w:val="656455D9"/>
    <w:rsid w:val="65646CE3"/>
    <w:rsid w:val="65652A5B"/>
    <w:rsid w:val="65654809"/>
    <w:rsid w:val="65654A90"/>
    <w:rsid w:val="65660E25"/>
    <w:rsid w:val="65661673"/>
    <w:rsid w:val="6566243E"/>
    <w:rsid w:val="6567027A"/>
    <w:rsid w:val="65672FA4"/>
    <w:rsid w:val="65674A25"/>
    <w:rsid w:val="656767D3"/>
    <w:rsid w:val="65676920"/>
    <w:rsid w:val="65685D4E"/>
    <w:rsid w:val="656916EF"/>
    <w:rsid w:val="656942F9"/>
    <w:rsid w:val="65695A9D"/>
    <w:rsid w:val="656960A7"/>
    <w:rsid w:val="656A683A"/>
    <w:rsid w:val="656A7B19"/>
    <w:rsid w:val="656B0071"/>
    <w:rsid w:val="656B3CCB"/>
    <w:rsid w:val="656B3E2B"/>
    <w:rsid w:val="656B4523"/>
    <w:rsid w:val="656B46CF"/>
    <w:rsid w:val="656C01F6"/>
    <w:rsid w:val="656C203B"/>
    <w:rsid w:val="656C2F8E"/>
    <w:rsid w:val="656C3DE9"/>
    <w:rsid w:val="656D0E22"/>
    <w:rsid w:val="656D1C09"/>
    <w:rsid w:val="656E02E4"/>
    <w:rsid w:val="656E047F"/>
    <w:rsid w:val="656E190F"/>
    <w:rsid w:val="656E28CE"/>
    <w:rsid w:val="656E2B1E"/>
    <w:rsid w:val="656E2D82"/>
    <w:rsid w:val="656E3157"/>
    <w:rsid w:val="656E5AC1"/>
    <w:rsid w:val="656F47C7"/>
    <w:rsid w:val="656F7435"/>
    <w:rsid w:val="65701070"/>
    <w:rsid w:val="657014BB"/>
    <w:rsid w:val="65704481"/>
    <w:rsid w:val="65705507"/>
    <w:rsid w:val="65705687"/>
    <w:rsid w:val="65712730"/>
    <w:rsid w:val="65713BA1"/>
    <w:rsid w:val="65717652"/>
    <w:rsid w:val="657219D1"/>
    <w:rsid w:val="65726993"/>
    <w:rsid w:val="6572780E"/>
    <w:rsid w:val="65731AB6"/>
    <w:rsid w:val="657333CA"/>
    <w:rsid w:val="65735178"/>
    <w:rsid w:val="657360FE"/>
    <w:rsid w:val="657366EF"/>
    <w:rsid w:val="6574074D"/>
    <w:rsid w:val="657413E3"/>
    <w:rsid w:val="65743F2D"/>
    <w:rsid w:val="657449B3"/>
    <w:rsid w:val="657457F3"/>
    <w:rsid w:val="65750EF0"/>
    <w:rsid w:val="65753CD6"/>
    <w:rsid w:val="65754D07"/>
    <w:rsid w:val="657561A0"/>
    <w:rsid w:val="65757323"/>
    <w:rsid w:val="657607C4"/>
    <w:rsid w:val="65764C68"/>
    <w:rsid w:val="657655DE"/>
    <w:rsid w:val="65765CD8"/>
    <w:rsid w:val="65766A16"/>
    <w:rsid w:val="6577050B"/>
    <w:rsid w:val="65777D1C"/>
    <w:rsid w:val="657809E0"/>
    <w:rsid w:val="6578453C"/>
    <w:rsid w:val="657846BD"/>
    <w:rsid w:val="6578595E"/>
    <w:rsid w:val="65791D50"/>
    <w:rsid w:val="657929EB"/>
    <w:rsid w:val="65793539"/>
    <w:rsid w:val="65794E34"/>
    <w:rsid w:val="657A0B9E"/>
    <w:rsid w:val="657A5826"/>
    <w:rsid w:val="657A6506"/>
    <w:rsid w:val="657B5D57"/>
    <w:rsid w:val="657B67D8"/>
    <w:rsid w:val="657B7F59"/>
    <w:rsid w:val="657C227E"/>
    <w:rsid w:val="657D1805"/>
    <w:rsid w:val="657D1B52"/>
    <w:rsid w:val="657D3EBE"/>
    <w:rsid w:val="657D50EC"/>
    <w:rsid w:val="657D53A3"/>
    <w:rsid w:val="657D5FF6"/>
    <w:rsid w:val="657D66A7"/>
    <w:rsid w:val="657D7DA4"/>
    <w:rsid w:val="657E1A1A"/>
    <w:rsid w:val="657E23E5"/>
    <w:rsid w:val="657E29A4"/>
    <w:rsid w:val="657E36D4"/>
    <w:rsid w:val="657F0BFA"/>
    <w:rsid w:val="657F1D6E"/>
    <w:rsid w:val="657F6B2C"/>
    <w:rsid w:val="657F6FAB"/>
    <w:rsid w:val="65801643"/>
    <w:rsid w:val="6580209E"/>
    <w:rsid w:val="65805068"/>
    <w:rsid w:val="65811DAA"/>
    <w:rsid w:val="65813D24"/>
    <w:rsid w:val="65813F72"/>
    <w:rsid w:val="65815627"/>
    <w:rsid w:val="65815AE7"/>
    <w:rsid w:val="65815DF3"/>
    <w:rsid w:val="658168A9"/>
    <w:rsid w:val="658168F5"/>
    <w:rsid w:val="65816CA0"/>
    <w:rsid w:val="658172A8"/>
    <w:rsid w:val="65817895"/>
    <w:rsid w:val="6582042E"/>
    <w:rsid w:val="65824D57"/>
    <w:rsid w:val="65824FF4"/>
    <w:rsid w:val="65835AA7"/>
    <w:rsid w:val="658374B5"/>
    <w:rsid w:val="65842999"/>
    <w:rsid w:val="65842DD6"/>
    <w:rsid w:val="65842EE1"/>
    <w:rsid w:val="65843185"/>
    <w:rsid w:val="6584560E"/>
    <w:rsid w:val="65847144"/>
    <w:rsid w:val="65847385"/>
    <w:rsid w:val="65847407"/>
    <w:rsid w:val="6585133F"/>
    <w:rsid w:val="658523C4"/>
    <w:rsid w:val="65855276"/>
    <w:rsid w:val="65856C59"/>
    <w:rsid w:val="6585728D"/>
    <w:rsid w:val="658605EC"/>
    <w:rsid w:val="658612D7"/>
    <w:rsid w:val="658630FD"/>
    <w:rsid w:val="65864EAB"/>
    <w:rsid w:val="658729D1"/>
    <w:rsid w:val="65872D40"/>
    <w:rsid w:val="6587477F"/>
    <w:rsid w:val="65876E75"/>
    <w:rsid w:val="6588551F"/>
    <w:rsid w:val="658866C4"/>
    <w:rsid w:val="6588754C"/>
    <w:rsid w:val="65887B1A"/>
    <w:rsid w:val="658904F7"/>
    <w:rsid w:val="658941BC"/>
    <w:rsid w:val="6589499B"/>
    <w:rsid w:val="65896149"/>
    <w:rsid w:val="658A0818"/>
    <w:rsid w:val="658A200F"/>
    <w:rsid w:val="658A426F"/>
    <w:rsid w:val="658A6B91"/>
    <w:rsid w:val="658A7B74"/>
    <w:rsid w:val="658A7C58"/>
    <w:rsid w:val="658B0713"/>
    <w:rsid w:val="658B0827"/>
    <w:rsid w:val="658B1598"/>
    <w:rsid w:val="658B2578"/>
    <w:rsid w:val="658B63E8"/>
    <w:rsid w:val="658B79BE"/>
    <w:rsid w:val="658C2E2C"/>
    <w:rsid w:val="658C587C"/>
    <w:rsid w:val="658C58F1"/>
    <w:rsid w:val="658C6239"/>
    <w:rsid w:val="658C7FE7"/>
    <w:rsid w:val="658D0951"/>
    <w:rsid w:val="658D1A6F"/>
    <w:rsid w:val="658D448B"/>
    <w:rsid w:val="658D5FCD"/>
    <w:rsid w:val="658D6624"/>
    <w:rsid w:val="658E1FB1"/>
    <w:rsid w:val="658E4EBE"/>
    <w:rsid w:val="658E5B0E"/>
    <w:rsid w:val="658E6ECA"/>
    <w:rsid w:val="658E7A69"/>
    <w:rsid w:val="658F06DC"/>
    <w:rsid w:val="658F0EF9"/>
    <w:rsid w:val="658F571D"/>
    <w:rsid w:val="65900E7D"/>
    <w:rsid w:val="65901886"/>
    <w:rsid w:val="65902389"/>
    <w:rsid w:val="6590357D"/>
    <w:rsid w:val="65903F5B"/>
    <w:rsid w:val="65905D2A"/>
    <w:rsid w:val="6590734F"/>
    <w:rsid w:val="65907AD8"/>
    <w:rsid w:val="65913850"/>
    <w:rsid w:val="65915585"/>
    <w:rsid w:val="659155FE"/>
    <w:rsid w:val="65922A3E"/>
    <w:rsid w:val="65924C40"/>
    <w:rsid w:val="65924C65"/>
    <w:rsid w:val="659265C0"/>
    <w:rsid w:val="6592787A"/>
    <w:rsid w:val="6593581A"/>
    <w:rsid w:val="65936139"/>
    <w:rsid w:val="659375C8"/>
    <w:rsid w:val="6594236F"/>
    <w:rsid w:val="65942CF1"/>
    <w:rsid w:val="65943DCC"/>
    <w:rsid w:val="659448ED"/>
    <w:rsid w:val="65951159"/>
    <w:rsid w:val="65953340"/>
    <w:rsid w:val="65953A56"/>
    <w:rsid w:val="65954D6B"/>
    <w:rsid w:val="65956F43"/>
    <w:rsid w:val="65962A07"/>
    <w:rsid w:val="65962C14"/>
    <w:rsid w:val="65964ABA"/>
    <w:rsid w:val="65976E26"/>
    <w:rsid w:val="659770B8"/>
    <w:rsid w:val="6598043F"/>
    <w:rsid w:val="659836EC"/>
    <w:rsid w:val="65983892"/>
    <w:rsid w:val="65984BDE"/>
    <w:rsid w:val="65991C7A"/>
    <w:rsid w:val="6599343B"/>
    <w:rsid w:val="659A0BDD"/>
    <w:rsid w:val="659A0F7E"/>
    <w:rsid w:val="659A6BA8"/>
    <w:rsid w:val="659A7E37"/>
    <w:rsid w:val="659B022A"/>
    <w:rsid w:val="659B206D"/>
    <w:rsid w:val="659B3C3E"/>
    <w:rsid w:val="659B42E3"/>
    <w:rsid w:val="659B647C"/>
    <w:rsid w:val="659B749C"/>
    <w:rsid w:val="659C46CE"/>
    <w:rsid w:val="659C4D0E"/>
    <w:rsid w:val="659C4D19"/>
    <w:rsid w:val="659D0447"/>
    <w:rsid w:val="659D1D6A"/>
    <w:rsid w:val="659D265B"/>
    <w:rsid w:val="659D3FA3"/>
    <w:rsid w:val="659D7610"/>
    <w:rsid w:val="659F41BF"/>
    <w:rsid w:val="659F469E"/>
    <w:rsid w:val="659F7D1B"/>
    <w:rsid w:val="65A05841"/>
    <w:rsid w:val="65A07341"/>
    <w:rsid w:val="65A10527"/>
    <w:rsid w:val="65A1321D"/>
    <w:rsid w:val="65A13A93"/>
    <w:rsid w:val="65A13CDC"/>
    <w:rsid w:val="65A17F37"/>
    <w:rsid w:val="65A215B9"/>
    <w:rsid w:val="65A22735"/>
    <w:rsid w:val="65A234AA"/>
    <w:rsid w:val="65A2454F"/>
    <w:rsid w:val="65A25A5D"/>
    <w:rsid w:val="65A26A4F"/>
    <w:rsid w:val="65A2736F"/>
    <w:rsid w:val="65A417D5"/>
    <w:rsid w:val="65A41888"/>
    <w:rsid w:val="65A42F8C"/>
    <w:rsid w:val="65A45331"/>
    <w:rsid w:val="65A45A1F"/>
    <w:rsid w:val="65A46458"/>
    <w:rsid w:val="65A467D6"/>
    <w:rsid w:val="65A469FB"/>
    <w:rsid w:val="65A51821"/>
    <w:rsid w:val="65A5311F"/>
    <w:rsid w:val="65A65725"/>
    <w:rsid w:val="65A66EDC"/>
    <w:rsid w:val="65A672FB"/>
    <w:rsid w:val="65A71ADE"/>
    <w:rsid w:val="65A74A42"/>
    <w:rsid w:val="65A7514A"/>
    <w:rsid w:val="65A7575A"/>
    <w:rsid w:val="65A76BCF"/>
    <w:rsid w:val="65A80E17"/>
    <w:rsid w:val="65A84E39"/>
    <w:rsid w:val="65A87152"/>
    <w:rsid w:val="65A876FF"/>
    <w:rsid w:val="65A90B99"/>
    <w:rsid w:val="65A91435"/>
    <w:rsid w:val="65A92947"/>
    <w:rsid w:val="65A96DEB"/>
    <w:rsid w:val="65AA1571"/>
    <w:rsid w:val="65AA2760"/>
    <w:rsid w:val="65AA43C0"/>
    <w:rsid w:val="65AA5B01"/>
    <w:rsid w:val="65AA5DA5"/>
    <w:rsid w:val="65AB0048"/>
    <w:rsid w:val="65AB02D3"/>
    <w:rsid w:val="65AB0A36"/>
    <w:rsid w:val="65AB2B63"/>
    <w:rsid w:val="65AB36CB"/>
    <w:rsid w:val="65AB451A"/>
    <w:rsid w:val="65AB4911"/>
    <w:rsid w:val="65AB66C0"/>
    <w:rsid w:val="65AC163A"/>
    <w:rsid w:val="65AC2438"/>
    <w:rsid w:val="65AC2985"/>
    <w:rsid w:val="65AC2FF2"/>
    <w:rsid w:val="65AC6993"/>
    <w:rsid w:val="65AD1106"/>
    <w:rsid w:val="65AD203B"/>
    <w:rsid w:val="65AD3AAF"/>
    <w:rsid w:val="65AD4510"/>
    <w:rsid w:val="65AD6F69"/>
    <w:rsid w:val="65AE0A39"/>
    <w:rsid w:val="65AE0C21"/>
    <w:rsid w:val="65AE3F5C"/>
    <w:rsid w:val="65AE4402"/>
    <w:rsid w:val="65AE5CF6"/>
    <w:rsid w:val="65AE6472"/>
    <w:rsid w:val="65AE696A"/>
    <w:rsid w:val="65AF14E6"/>
    <w:rsid w:val="65AF23F0"/>
    <w:rsid w:val="65AF35C2"/>
    <w:rsid w:val="65B0017A"/>
    <w:rsid w:val="65B0107C"/>
    <w:rsid w:val="65B011D8"/>
    <w:rsid w:val="65B01F28"/>
    <w:rsid w:val="65B03CD6"/>
    <w:rsid w:val="65B1072A"/>
    <w:rsid w:val="65B10DED"/>
    <w:rsid w:val="65B1194B"/>
    <w:rsid w:val="65B14293"/>
    <w:rsid w:val="65B176A8"/>
    <w:rsid w:val="65B17A4E"/>
    <w:rsid w:val="65B17FD2"/>
    <w:rsid w:val="65B218BC"/>
    <w:rsid w:val="65B226EC"/>
    <w:rsid w:val="65B23EF2"/>
    <w:rsid w:val="65B24355"/>
    <w:rsid w:val="65B2623E"/>
    <w:rsid w:val="65B339F2"/>
    <w:rsid w:val="65B35574"/>
    <w:rsid w:val="65B40F7D"/>
    <w:rsid w:val="65B41119"/>
    <w:rsid w:val="65B45359"/>
    <w:rsid w:val="65B50DD3"/>
    <w:rsid w:val="65B52C14"/>
    <w:rsid w:val="65B5531A"/>
    <w:rsid w:val="65B5753E"/>
    <w:rsid w:val="65B57F02"/>
    <w:rsid w:val="65B64922"/>
    <w:rsid w:val="65B65064"/>
    <w:rsid w:val="65B67180"/>
    <w:rsid w:val="65B71508"/>
    <w:rsid w:val="65B732B6"/>
    <w:rsid w:val="65B8048D"/>
    <w:rsid w:val="65B80DDC"/>
    <w:rsid w:val="65B831FB"/>
    <w:rsid w:val="65B83B45"/>
    <w:rsid w:val="65B85280"/>
    <w:rsid w:val="65B863F8"/>
    <w:rsid w:val="65B8689F"/>
    <w:rsid w:val="65B869C4"/>
    <w:rsid w:val="65B8702E"/>
    <w:rsid w:val="65B966C2"/>
    <w:rsid w:val="65B97414"/>
    <w:rsid w:val="65BA08C4"/>
    <w:rsid w:val="65BA290B"/>
    <w:rsid w:val="65BA38A2"/>
    <w:rsid w:val="65BA4B55"/>
    <w:rsid w:val="65BA52DF"/>
    <w:rsid w:val="65BA5DCE"/>
    <w:rsid w:val="65BB267B"/>
    <w:rsid w:val="65BB4652"/>
    <w:rsid w:val="65BB6A86"/>
    <w:rsid w:val="65BC08CD"/>
    <w:rsid w:val="65BC38FA"/>
    <w:rsid w:val="65BC5EB3"/>
    <w:rsid w:val="65BC6780"/>
    <w:rsid w:val="65BC6C6F"/>
    <w:rsid w:val="65BD0AAD"/>
    <w:rsid w:val="65BD18C8"/>
    <w:rsid w:val="65BE0030"/>
    <w:rsid w:val="65BF03BD"/>
    <w:rsid w:val="65BF0500"/>
    <w:rsid w:val="65BF14C6"/>
    <w:rsid w:val="65BF58CB"/>
    <w:rsid w:val="65BF660F"/>
    <w:rsid w:val="65C00560"/>
    <w:rsid w:val="65C007B6"/>
    <w:rsid w:val="65C01FFE"/>
    <w:rsid w:val="65C07C91"/>
    <w:rsid w:val="65C13D88"/>
    <w:rsid w:val="65C13DCF"/>
    <w:rsid w:val="65C15EE3"/>
    <w:rsid w:val="65C204B9"/>
    <w:rsid w:val="65C20897"/>
    <w:rsid w:val="65C21C5B"/>
    <w:rsid w:val="65C22647"/>
    <w:rsid w:val="65C22D05"/>
    <w:rsid w:val="65C3163F"/>
    <w:rsid w:val="65C324AD"/>
    <w:rsid w:val="65C336DB"/>
    <w:rsid w:val="65C366A8"/>
    <w:rsid w:val="65C37848"/>
    <w:rsid w:val="65C37DC1"/>
    <w:rsid w:val="65C4144E"/>
    <w:rsid w:val="65C42009"/>
    <w:rsid w:val="65C449AE"/>
    <w:rsid w:val="65C46CD4"/>
    <w:rsid w:val="65C505BC"/>
    <w:rsid w:val="65C50BE5"/>
    <w:rsid w:val="65C60DEB"/>
    <w:rsid w:val="65C634F9"/>
    <w:rsid w:val="65C6799D"/>
    <w:rsid w:val="65C72274"/>
    <w:rsid w:val="65C75D76"/>
    <w:rsid w:val="65C77700"/>
    <w:rsid w:val="65C77BFA"/>
    <w:rsid w:val="65C80092"/>
    <w:rsid w:val="65C81EEE"/>
    <w:rsid w:val="65C854A5"/>
    <w:rsid w:val="65C854C3"/>
    <w:rsid w:val="65C86F0A"/>
    <w:rsid w:val="65C904A9"/>
    <w:rsid w:val="65C9123C"/>
    <w:rsid w:val="65C97D90"/>
    <w:rsid w:val="65CA1CC2"/>
    <w:rsid w:val="65CA303B"/>
    <w:rsid w:val="65CA5470"/>
    <w:rsid w:val="65CA715D"/>
    <w:rsid w:val="65CB0619"/>
    <w:rsid w:val="65CB0B10"/>
    <w:rsid w:val="65CB2978"/>
    <w:rsid w:val="65CB537C"/>
    <w:rsid w:val="65CC17BD"/>
    <w:rsid w:val="65CC32D6"/>
    <w:rsid w:val="65CC4888"/>
    <w:rsid w:val="65CC4D27"/>
    <w:rsid w:val="65CC5505"/>
    <w:rsid w:val="65CC6636"/>
    <w:rsid w:val="65CC777F"/>
    <w:rsid w:val="65CD2ADA"/>
    <w:rsid w:val="65CD5C9C"/>
    <w:rsid w:val="65CD7C9E"/>
    <w:rsid w:val="65CE0600"/>
    <w:rsid w:val="65CE1B06"/>
    <w:rsid w:val="65CE27BD"/>
    <w:rsid w:val="65CE2AA4"/>
    <w:rsid w:val="65CE4EFC"/>
    <w:rsid w:val="65CE6852"/>
    <w:rsid w:val="65CF31A3"/>
    <w:rsid w:val="65CF638C"/>
    <w:rsid w:val="65D00B2A"/>
    <w:rsid w:val="65D02ED4"/>
    <w:rsid w:val="65D04378"/>
    <w:rsid w:val="65D05645"/>
    <w:rsid w:val="65D05A38"/>
    <w:rsid w:val="65D0781C"/>
    <w:rsid w:val="65D1115A"/>
    <w:rsid w:val="65D11E9E"/>
    <w:rsid w:val="65D17283"/>
    <w:rsid w:val="65D253CC"/>
    <w:rsid w:val="65D26342"/>
    <w:rsid w:val="65D3030E"/>
    <w:rsid w:val="65D31404"/>
    <w:rsid w:val="65D34A62"/>
    <w:rsid w:val="65D3540D"/>
    <w:rsid w:val="65D379A3"/>
    <w:rsid w:val="65D379BE"/>
    <w:rsid w:val="65D379C4"/>
    <w:rsid w:val="65D40ACD"/>
    <w:rsid w:val="65D43CD9"/>
    <w:rsid w:val="65D43EFD"/>
    <w:rsid w:val="65D44923"/>
    <w:rsid w:val="65D46252"/>
    <w:rsid w:val="65D4762D"/>
    <w:rsid w:val="65D506D3"/>
    <w:rsid w:val="65D5114A"/>
    <w:rsid w:val="65D5373C"/>
    <w:rsid w:val="65D560AB"/>
    <w:rsid w:val="65D62752"/>
    <w:rsid w:val="65D6285D"/>
    <w:rsid w:val="65D70325"/>
    <w:rsid w:val="65D75707"/>
    <w:rsid w:val="65D768A7"/>
    <w:rsid w:val="65D774B5"/>
    <w:rsid w:val="65D81B7A"/>
    <w:rsid w:val="65D8240B"/>
    <w:rsid w:val="65D921AC"/>
    <w:rsid w:val="65D92F86"/>
    <w:rsid w:val="65D976D1"/>
    <w:rsid w:val="65DA0D53"/>
    <w:rsid w:val="65DA3F3F"/>
    <w:rsid w:val="65DA437E"/>
    <w:rsid w:val="65DA51F7"/>
    <w:rsid w:val="65DB22B7"/>
    <w:rsid w:val="65DB2E22"/>
    <w:rsid w:val="65DB3CEC"/>
    <w:rsid w:val="65DB55A4"/>
    <w:rsid w:val="65DC0B09"/>
    <w:rsid w:val="65DC10F9"/>
    <w:rsid w:val="65DC2824"/>
    <w:rsid w:val="65DC2D1D"/>
    <w:rsid w:val="65DD0843"/>
    <w:rsid w:val="65DD2F37"/>
    <w:rsid w:val="65DD30FB"/>
    <w:rsid w:val="65DD4F46"/>
    <w:rsid w:val="65DD571B"/>
    <w:rsid w:val="65DD724F"/>
    <w:rsid w:val="65DE1320"/>
    <w:rsid w:val="65DE510C"/>
    <w:rsid w:val="65DF0A5F"/>
    <w:rsid w:val="65DF0F07"/>
    <w:rsid w:val="65DF280D"/>
    <w:rsid w:val="65DF2D17"/>
    <w:rsid w:val="65DF37BF"/>
    <w:rsid w:val="65DF5689"/>
    <w:rsid w:val="65DF6369"/>
    <w:rsid w:val="65E0111E"/>
    <w:rsid w:val="65E04C7C"/>
    <w:rsid w:val="65E10EF0"/>
    <w:rsid w:val="65E15BEC"/>
    <w:rsid w:val="65E17293"/>
    <w:rsid w:val="65E219D5"/>
    <w:rsid w:val="65E21C31"/>
    <w:rsid w:val="65E25E59"/>
    <w:rsid w:val="65E30D35"/>
    <w:rsid w:val="65E30D4A"/>
    <w:rsid w:val="65E313B9"/>
    <w:rsid w:val="65E322FD"/>
    <w:rsid w:val="65E344D7"/>
    <w:rsid w:val="65E34BA8"/>
    <w:rsid w:val="65E360EC"/>
    <w:rsid w:val="65E41539"/>
    <w:rsid w:val="65E41BD1"/>
    <w:rsid w:val="65E4204C"/>
    <w:rsid w:val="65E47122"/>
    <w:rsid w:val="65E47E23"/>
    <w:rsid w:val="65E51041"/>
    <w:rsid w:val="65E52270"/>
    <w:rsid w:val="65E54EAD"/>
    <w:rsid w:val="65E61A71"/>
    <w:rsid w:val="65E64613"/>
    <w:rsid w:val="65E6594A"/>
    <w:rsid w:val="65E66160"/>
    <w:rsid w:val="65E676F8"/>
    <w:rsid w:val="65E67983"/>
    <w:rsid w:val="65E70F66"/>
    <w:rsid w:val="65E73470"/>
    <w:rsid w:val="65E7466C"/>
    <w:rsid w:val="65E7521F"/>
    <w:rsid w:val="65E75AA3"/>
    <w:rsid w:val="65E86E06"/>
    <w:rsid w:val="65E86F33"/>
    <w:rsid w:val="65E8747A"/>
    <w:rsid w:val="65E9184C"/>
    <w:rsid w:val="65E91B04"/>
    <w:rsid w:val="65E9368C"/>
    <w:rsid w:val="65E93C1D"/>
    <w:rsid w:val="65E944A5"/>
    <w:rsid w:val="65E94779"/>
    <w:rsid w:val="65E971E8"/>
    <w:rsid w:val="65EA024F"/>
    <w:rsid w:val="65EA3B85"/>
    <w:rsid w:val="65EB29E8"/>
    <w:rsid w:val="65EB301F"/>
    <w:rsid w:val="65EB47A7"/>
    <w:rsid w:val="65EB7404"/>
    <w:rsid w:val="65EB746D"/>
    <w:rsid w:val="65EC0485"/>
    <w:rsid w:val="65EC0A86"/>
    <w:rsid w:val="65EC32C5"/>
    <w:rsid w:val="65EC42EC"/>
    <w:rsid w:val="65EC599E"/>
    <w:rsid w:val="65EC71C0"/>
    <w:rsid w:val="65ED4F2A"/>
    <w:rsid w:val="65ED6CD8"/>
    <w:rsid w:val="65EE0CA2"/>
    <w:rsid w:val="65EE2944"/>
    <w:rsid w:val="65EE2DA5"/>
    <w:rsid w:val="65EE3455"/>
    <w:rsid w:val="65EE47FE"/>
    <w:rsid w:val="65EF2827"/>
    <w:rsid w:val="65EF4F05"/>
    <w:rsid w:val="65F00576"/>
    <w:rsid w:val="65F009F3"/>
    <w:rsid w:val="65F04A1A"/>
    <w:rsid w:val="65F056C5"/>
    <w:rsid w:val="65F067C8"/>
    <w:rsid w:val="65F07DFC"/>
    <w:rsid w:val="65F1102F"/>
    <w:rsid w:val="65F14B69"/>
    <w:rsid w:val="65F20792"/>
    <w:rsid w:val="65F238A1"/>
    <w:rsid w:val="65F242EE"/>
    <w:rsid w:val="65F25FF7"/>
    <w:rsid w:val="65F26060"/>
    <w:rsid w:val="65F30067"/>
    <w:rsid w:val="65F31D13"/>
    <w:rsid w:val="65F3237A"/>
    <w:rsid w:val="65F362B8"/>
    <w:rsid w:val="65F41349"/>
    <w:rsid w:val="65F41639"/>
    <w:rsid w:val="65F42534"/>
    <w:rsid w:val="65F4293E"/>
    <w:rsid w:val="65F435E4"/>
    <w:rsid w:val="65F4475D"/>
    <w:rsid w:val="65F44938"/>
    <w:rsid w:val="65F44DB4"/>
    <w:rsid w:val="65F44F8C"/>
    <w:rsid w:val="65F500A7"/>
    <w:rsid w:val="65F51502"/>
    <w:rsid w:val="65F52031"/>
    <w:rsid w:val="65F5577F"/>
    <w:rsid w:val="65F5628D"/>
    <w:rsid w:val="65F61051"/>
    <w:rsid w:val="65F659AF"/>
    <w:rsid w:val="65F678EE"/>
    <w:rsid w:val="65F7036C"/>
    <w:rsid w:val="65F71905"/>
    <w:rsid w:val="65F76B60"/>
    <w:rsid w:val="65F77DEF"/>
    <w:rsid w:val="65F83E57"/>
    <w:rsid w:val="65F8567D"/>
    <w:rsid w:val="65F85EF4"/>
    <w:rsid w:val="65F90C91"/>
    <w:rsid w:val="65F91B21"/>
    <w:rsid w:val="65F921C8"/>
    <w:rsid w:val="65F9492B"/>
    <w:rsid w:val="65F97496"/>
    <w:rsid w:val="65FA05F6"/>
    <w:rsid w:val="65FA12E8"/>
    <w:rsid w:val="65FA13F5"/>
    <w:rsid w:val="65FA31A3"/>
    <w:rsid w:val="65FA7647"/>
    <w:rsid w:val="65FA7E24"/>
    <w:rsid w:val="65FB3042"/>
    <w:rsid w:val="65FC13FC"/>
    <w:rsid w:val="65FC2DF8"/>
    <w:rsid w:val="65FC33BF"/>
    <w:rsid w:val="65FC516D"/>
    <w:rsid w:val="65FC6509"/>
    <w:rsid w:val="65FC6F1B"/>
    <w:rsid w:val="65FC70B9"/>
    <w:rsid w:val="65FD0207"/>
    <w:rsid w:val="65FD0430"/>
    <w:rsid w:val="65FD140A"/>
    <w:rsid w:val="65FD7CC9"/>
    <w:rsid w:val="65FE3BEF"/>
    <w:rsid w:val="65FE5435"/>
    <w:rsid w:val="65FE5AD9"/>
    <w:rsid w:val="65FE5FFE"/>
    <w:rsid w:val="65FE6451"/>
    <w:rsid w:val="65FE65B4"/>
    <w:rsid w:val="65FE7137"/>
    <w:rsid w:val="65FF07B9"/>
    <w:rsid w:val="65FF20B8"/>
    <w:rsid w:val="65FF2365"/>
    <w:rsid w:val="6600137E"/>
    <w:rsid w:val="660051BA"/>
    <w:rsid w:val="660078DA"/>
    <w:rsid w:val="66010796"/>
    <w:rsid w:val="660109D5"/>
    <w:rsid w:val="66012783"/>
    <w:rsid w:val="660170FE"/>
    <w:rsid w:val="660215F4"/>
    <w:rsid w:val="660226AB"/>
    <w:rsid w:val="66024774"/>
    <w:rsid w:val="66026CA1"/>
    <w:rsid w:val="660318E3"/>
    <w:rsid w:val="6603474E"/>
    <w:rsid w:val="660404C6"/>
    <w:rsid w:val="66041B2E"/>
    <w:rsid w:val="66042274"/>
    <w:rsid w:val="660433DE"/>
    <w:rsid w:val="66044022"/>
    <w:rsid w:val="660465B7"/>
    <w:rsid w:val="66051844"/>
    <w:rsid w:val="66054CB8"/>
    <w:rsid w:val="6606324D"/>
    <w:rsid w:val="66064C1A"/>
    <w:rsid w:val="66070225"/>
    <w:rsid w:val="660723DB"/>
    <w:rsid w:val="66073F59"/>
    <w:rsid w:val="660744DE"/>
    <w:rsid w:val="66074DCD"/>
    <w:rsid w:val="660758C0"/>
    <w:rsid w:val="66081D64"/>
    <w:rsid w:val="660839BE"/>
    <w:rsid w:val="660842FC"/>
    <w:rsid w:val="66085AAE"/>
    <w:rsid w:val="66086A7B"/>
    <w:rsid w:val="66091638"/>
    <w:rsid w:val="66092497"/>
    <w:rsid w:val="66095592"/>
    <w:rsid w:val="6609758F"/>
    <w:rsid w:val="66097A9F"/>
    <w:rsid w:val="660A0BE3"/>
    <w:rsid w:val="660A20D9"/>
    <w:rsid w:val="660A3F5C"/>
    <w:rsid w:val="660A5ADC"/>
    <w:rsid w:val="660A5FB6"/>
    <w:rsid w:val="660A6F26"/>
    <w:rsid w:val="660B00DC"/>
    <w:rsid w:val="660B226C"/>
    <w:rsid w:val="660B3602"/>
    <w:rsid w:val="660B3FF5"/>
    <w:rsid w:val="660B4B1B"/>
    <w:rsid w:val="660B63BC"/>
    <w:rsid w:val="660B7F26"/>
    <w:rsid w:val="660C23C3"/>
    <w:rsid w:val="660C43EA"/>
    <w:rsid w:val="660C4C9B"/>
    <w:rsid w:val="660C5E6D"/>
    <w:rsid w:val="660D1128"/>
    <w:rsid w:val="660D2ED6"/>
    <w:rsid w:val="660D4F89"/>
    <w:rsid w:val="660E12A1"/>
    <w:rsid w:val="660E2BEC"/>
    <w:rsid w:val="660E4132"/>
    <w:rsid w:val="660E6C4E"/>
    <w:rsid w:val="660F72F7"/>
    <w:rsid w:val="660F7F3A"/>
    <w:rsid w:val="66100C18"/>
    <w:rsid w:val="66102ED0"/>
    <w:rsid w:val="66106E6A"/>
    <w:rsid w:val="66107108"/>
    <w:rsid w:val="661100A5"/>
    <w:rsid w:val="66120609"/>
    <w:rsid w:val="66120B08"/>
    <w:rsid w:val="66122A83"/>
    <w:rsid w:val="66123F09"/>
    <w:rsid w:val="66124612"/>
    <w:rsid w:val="661264FA"/>
    <w:rsid w:val="66126D7D"/>
    <w:rsid w:val="661275CF"/>
    <w:rsid w:val="66133630"/>
    <w:rsid w:val="66134265"/>
    <w:rsid w:val="66136FE6"/>
    <w:rsid w:val="66137762"/>
    <w:rsid w:val="66140709"/>
    <w:rsid w:val="66141EEF"/>
    <w:rsid w:val="66143CF5"/>
    <w:rsid w:val="661453B0"/>
    <w:rsid w:val="66150D20"/>
    <w:rsid w:val="66152E36"/>
    <w:rsid w:val="6615622F"/>
    <w:rsid w:val="66157FDD"/>
    <w:rsid w:val="661707C0"/>
    <w:rsid w:val="66170870"/>
    <w:rsid w:val="66183441"/>
    <w:rsid w:val="66184715"/>
    <w:rsid w:val="66187ACD"/>
    <w:rsid w:val="6619570D"/>
    <w:rsid w:val="66195D1F"/>
    <w:rsid w:val="6619647B"/>
    <w:rsid w:val="661A1A97"/>
    <w:rsid w:val="661A232A"/>
    <w:rsid w:val="661A55F3"/>
    <w:rsid w:val="661A700F"/>
    <w:rsid w:val="661A727E"/>
    <w:rsid w:val="661B04D6"/>
    <w:rsid w:val="661B0810"/>
    <w:rsid w:val="661B0F07"/>
    <w:rsid w:val="661B46E0"/>
    <w:rsid w:val="661B61A9"/>
    <w:rsid w:val="661B7AB4"/>
    <w:rsid w:val="661C02F9"/>
    <w:rsid w:val="661C136B"/>
    <w:rsid w:val="661C1ABD"/>
    <w:rsid w:val="661C75BD"/>
    <w:rsid w:val="661D0A78"/>
    <w:rsid w:val="661D1688"/>
    <w:rsid w:val="661D252A"/>
    <w:rsid w:val="661D65C0"/>
    <w:rsid w:val="661D76A0"/>
    <w:rsid w:val="661E0457"/>
    <w:rsid w:val="661E0743"/>
    <w:rsid w:val="661E0ABD"/>
    <w:rsid w:val="661E50E3"/>
    <w:rsid w:val="661E61AB"/>
    <w:rsid w:val="661F0E5C"/>
    <w:rsid w:val="661F3314"/>
    <w:rsid w:val="661F5CB3"/>
    <w:rsid w:val="661F70AE"/>
    <w:rsid w:val="661F7BD3"/>
    <w:rsid w:val="66200158"/>
    <w:rsid w:val="6620116C"/>
    <w:rsid w:val="662051D6"/>
    <w:rsid w:val="6620577B"/>
    <w:rsid w:val="66212E26"/>
    <w:rsid w:val="66214BD4"/>
    <w:rsid w:val="662159D8"/>
    <w:rsid w:val="66216982"/>
    <w:rsid w:val="66226839"/>
    <w:rsid w:val="66227692"/>
    <w:rsid w:val="66230554"/>
    <w:rsid w:val="66236B9E"/>
    <w:rsid w:val="66237408"/>
    <w:rsid w:val="66237AA6"/>
    <w:rsid w:val="66242392"/>
    <w:rsid w:val="66242E74"/>
    <w:rsid w:val="66245A6A"/>
    <w:rsid w:val="66246F63"/>
    <w:rsid w:val="66253DE5"/>
    <w:rsid w:val="662546D9"/>
    <w:rsid w:val="6625622C"/>
    <w:rsid w:val="662621EA"/>
    <w:rsid w:val="662673C2"/>
    <w:rsid w:val="662679BE"/>
    <w:rsid w:val="662711D2"/>
    <w:rsid w:val="66272852"/>
    <w:rsid w:val="66272C43"/>
    <w:rsid w:val="66273D2E"/>
    <w:rsid w:val="66276BB1"/>
    <w:rsid w:val="66276ED0"/>
    <w:rsid w:val="662778D1"/>
    <w:rsid w:val="66282A1B"/>
    <w:rsid w:val="66283247"/>
    <w:rsid w:val="662841B4"/>
    <w:rsid w:val="66285F62"/>
    <w:rsid w:val="662902D8"/>
    <w:rsid w:val="66291CDA"/>
    <w:rsid w:val="66291D6F"/>
    <w:rsid w:val="66295315"/>
    <w:rsid w:val="66296D5F"/>
    <w:rsid w:val="662A1F26"/>
    <w:rsid w:val="662A4879"/>
    <w:rsid w:val="662A7F2C"/>
    <w:rsid w:val="662B15AE"/>
    <w:rsid w:val="662B3993"/>
    <w:rsid w:val="662B6110"/>
    <w:rsid w:val="662C23B3"/>
    <w:rsid w:val="662D17CA"/>
    <w:rsid w:val="662D482C"/>
    <w:rsid w:val="662D5327"/>
    <w:rsid w:val="662D6DA8"/>
    <w:rsid w:val="662E0238"/>
    <w:rsid w:val="662E109F"/>
    <w:rsid w:val="662E2520"/>
    <w:rsid w:val="662E4F41"/>
    <w:rsid w:val="662F26C4"/>
    <w:rsid w:val="662F64E6"/>
    <w:rsid w:val="662F72F1"/>
    <w:rsid w:val="66303069"/>
    <w:rsid w:val="66304E17"/>
    <w:rsid w:val="66314CD1"/>
    <w:rsid w:val="66320B62"/>
    <w:rsid w:val="66320B8F"/>
    <w:rsid w:val="6632109F"/>
    <w:rsid w:val="6632293D"/>
    <w:rsid w:val="663237D5"/>
    <w:rsid w:val="66326363"/>
    <w:rsid w:val="66326DE1"/>
    <w:rsid w:val="66331334"/>
    <w:rsid w:val="66333218"/>
    <w:rsid w:val="66334988"/>
    <w:rsid w:val="66337C4E"/>
    <w:rsid w:val="66340BA8"/>
    <w:rsid w:val="66340FCD"/>
    <w:rsid w:val="66342969"/>
    <w:rsid w:val="66344907"/>
    <w:rsid w:val="66355005"/>
    <w:rsid w:val="66355510"/>
    <w:rsid w:val="663568D1"/>
    <w:rsid w:val="663653AF"/>
    <w:rsid w:val="663669CA"/>
    <w:rsid w:val="66366AE1"/>
    <w:rsid w:val="663678CB"/>
    <w:rsid w:val="6637461E"/>
    <w:rsid w:val="663749A5"/>
    <w:rsid w:val="66375483"/>
    <w:rsid w:val="663755AC"/>
    <w:rsid w:val="66376EC6"/>
    <w:rsid w:val="66377F53"/>
    <w:rsid w:val="663812EA"/>
    <w:rsid w:val="663822EC"/>
    <w:rsid w:val="66383CCB"/>
    <w:rsid w:val="663849C4"/>
    <w:rsid w:val="66391346"/>
    <w:rsid w:val="66393436"/>
    <w:rsid w:val="663A2F14"/>
    <w:rsid w:val="663B13AC"/>
    <w:rsid w:val="663B5218"/>
    <w:rsid w:val="663B6445"/>
    <w:rsid w:val="663C01D0"/>
    <w:rsid w:val="663C37BC"/>
    <w:rsid w:val="663C7605"/>
    <w:rsid w:val="663C7C5F"/>
    <w:rsid w:val="663D540F"/>
    <w:rsid w:val="663E4428"/>
    <w:rsid w:val="663E4D52"/>
    <w:rsid w:val="663E5786"/>
    <w:rsid w:val="663E65EC"/>
    <w:rsid w:val="663E7534"/>
    <w:rsid w:val="663E7D2D"/>
    <w:rsid w:val="663F0C0B"/>
    <w:rsid w:val="663F1237"/>
    <w:rsid w:val="663F30A2"/>
    <w:rsid w:val="663F32AC"/>
    <w:rsid w:val="663F67DE"/>
    <w:rsid w:val="66401D56"/>
    <w:rsid w:val="66401FA8"/>
    <w:rsid w:val="66404F18"/>
    <w:rsid w:val="66413ADD"/>
    <w:rsid w:val="66415276"/>
    <w:rsid w:val="6641565F"/>
    <w:rsid w:val="66417024"/>
    <w:rsid w:val="664224EC"/>
    <w:rsid w:val="664240C0"/>
    <w:rsid w:val="66424439"/>
    <w:rsid w:val="66427B3E"/>
    <w:rsid w:val="66427FA1"/>
    <w:rsid w:val="66430925"/>
    <w:rsid w:val="6643137B"/>
    <w:rsid w:val="66431AAB"/>
    <w:rsid w:val="66432D9C"/>
    <w:rsid w:val="66442BD0"/>
    <w:rsid w:val="664516B4"/>
    <w:rsid w:val="664538EE"/>
    <w:rsid w:val="6645446A"/>
    <w:rsid w:val="664567D2"/>
    <w:rsid w:val="66461360"/>
    <w:rsid w:val="664663E8"/>
    <w:rsid w:val="66476D2B"/>
    <w:rsid w:val="66476D8C"/>
    <w:rsid w:val="66486A87"/>
    <w:rsid w:val="66490E8D"/>
    <w:rsid w:val="66495905"/>
    <w:rsid w:val="664A0804"/>
    <w:rsid w:val="664A237C"/>
    <w:rsid w:val="664A2A8B"/>
    <w:rsid w:val="664A412A"/>
    <w:rsid w:val="664A4A1C"/>
    <w:rsid w:val="664B1C51"/>
    <w:rsid w:val="664B2380"/>
    <w:rsid w:val="664B39FF"/>
    <w:rsid w:val="664C15BD"/>
    <w:rsid w:val="664C20F8"/>
    <w:rsid w:val="664C2331"/>
    <w:rsid w:val="664D0C6F"/>
    <w:rsid w:val="664D7605"/>
    <w:rsid w:val="664D7F9B"/>
    <w:rsid w:val="664E321E"/>
    <w:rsid w:val="664E34EF"/>
    <w:rsid w:val="664E4946"/>
    <w:rsid w:val="664F1389"/>
    <w:rsid w:val="664F1741"/>
    <w:rsid w:val="664F232C"/>
    <w:rsid w:val="664F5AC3"/>
    <w:rsid w:val="664F632A"/>
    <w:rsid w:val="664F703E"/>
    <w:rsid w:val="664F7993"/>
    <w:rsid w:val="665017C9"/>
    <w:rsid w:val="66501D31"/>
    <w:rsid w:val="6650370B"/>
    <w:rsid w:val="66521231"/>
    <w:rsid w:val="66524A62"/>
    <w:rsid w:val="66524D8D"/>
    <w:rsid w:val="66534520"/>
    <w:rsid w:val="66535EF2"/>
    <w:rsid w:val="66540B05"/>
    <w:rsid w:val="66541328"/>
    <w:rsid w:val="66541F53"/>
    <w:rsid w:val="66543B95"/>
    <w:rsid w:val="66544DC5"/>
    <w:rsid w:val="66544FA9"/>
    <w:rsid w:val="66547CDE"/>
    <w:rsid w:val="66551AB4"/>
    <w:rsid w:val="66552ACF"/>
    <w:rsid w:val="665561F8"/>
    <w:rsid w:val="6656366D"/>
    <w:rsid w:val="66564873"/>
    <w:rsid w:val="66565FB4"/>
    <w:rsid w:val="665705F5"/>
    <w:rsid w:val="66571353"/>
    <w:rsid w:val="66571DA9"/>
    <w:rsid w:val="665723A3"/>
    <w:rsid w:val="66573403"/>
    <w:rsid w:val="66575B8C"/>
    <w:rsid w:val="66576847"/>
    <w:rsid w:val="665808D4"/>
    <w:rsid w:val="66583784"/>
    <w:rsid w:val="665839C5"/>
    <w:rsid w:val="66590099"/>
    <w:rsid w:val="66590B8C"/>
    <w:rsid w:val="665925BF"/>
    <w:rsid w:val="66592EC6"/>
    <w:rsid w:val="665931F4"/>
    <w:rsid w:val="6659436D"/>
    <w:rsid w:val="6659499B"/>
    <w:rsid w:val="665A00E6"/>
    <w:rsid w:val="665A3DBB"/>
    <w:rsid w:val="665A7368"/>
    <w:rsid w:val="665B1E79"/>
    <w:rsid w:val="665B6338"/>
    <w:rsid w:val="665C20B0"/>
    <w:rsid w:val="665C2DE4"/>
    <w:rsid w:val="665C32B6"/>
    <w:rsid w:val="665C3E5E"/>
    <w:rsid w:val="665C4BD7"/>
    <w:rsid w:val="665C5C0C"/>
    <w:rsid w:val="665C746E"/>
    <w:rsid w:val="665C76A8"/>
    <w:rsid w:val="665D134D"/>
    <w:rsid w:val="665D138A"/>
    <w:rsid w:val="665D1B75"/>
    <w:rsid w:val="665D28B5"/>
    <w:rsid w:val="665D29C6"/>
    <w:rsid w:val="665D64A0"/>
    <w:rsid w:val="665E3732"/>
    <w:rsid w:val="665E4829"/>
    <w:rsid w:val="665E71FE"/>
    <w:rsid w:val="665F7066"/>
    <w:rsid w:val="665F74AA"/>
    <w:rsid w:val="666049AF"/>
    <w:rsid w:val="6660660F"/>
    <w:rsid w:val="66611474"/>
    <w:rsid w:val="66611DB1"/>
    <w:rsid w:val="66614F3E"/>
    <w:rsid w:val="66616D3B"/>
    <w:rsid w:val="666221B9"/>
    <w:rsid w:val="666240A6"/>
    <w:rsid w:val="66626667"/>
    <w:rsid w:val="66630D48"/>
    <w:rsid w:val="66632DCE"/>
    <w:rsid w:val="6663343E"/>
    <w:rsid w:val="66633A77"/>
    <w:rsid w:val="666351EC"/>
    <w:rsid w:val="666359F2"/>
    <w:rsid w:val="66636F9A"/>
    <w:rsid w:val="66637935"/>
    <w:rsid w:val="66643B44"/>
    <w:rsid w:val="66644AC0"/>
    <w:rsid w:val="6664518E"/>
    <w:rsid w:val="66645896"/>
    <w:rsid w:val="66645AA3"/>
    <w:rsid w:val="66652D12"/>
    <w:rsid w:val="66653F2F"/>
    <w:rsid w:val="66655364"/>
    <w:rsid w:val="66655D94"/>
    <w:rsid w:val="66661D0B"/>
    <w:rsid w:val="66664CDC"/>
    <w:rsid w:val="66666A8A"/>
    <w:rsid w:val="66672531"/>
    <w:rsid w:val="6667763A"/>
    <w:rsid w:val="66680A54"/>
    <w:rsid w:val="66681859"/>
    <w:rsid w:val="66682803"/>
    <w:rsid w:val="666841D7"/>
    <w:rsid w:val="66686C88"/>
    <w:rsid w:val="66687061"/>
    <w:rsid w:val="66695635"/>
    <w:rsid w:val="66697233"/>
    <w:rsid w:val="666A0917"/>
    <w:rsid w:val="666A0DE9"/>
    <w:rsid w:val="666A1DE1"/>
    <w:rsid w:val="666A4179"/>
    <w:rsid w:val="666A58BA"/>
    <w:rsid w:val="666B40A1"/>
    <w:rsid w:val="666B5E4F"/>
    <w:rsid w:val="666C01DA"/>
    <w:rsid w:val="666C4FA3"/>
    <w:rsid w:val="666C5552"/>
    <w:rsid w:val="666C5C86"/>
    <w:rsid w:val="666D011A"/>
    <w:rsid w:val="666D1BC7"/>
    <w:rsid w:val="666D4B40"/>
    <w:rsid w:val="666E2AF9"/>
    <w:rsid w:val="666E7A27"/>
    <w:rsid w:val="666F0C16"/>
    <w:rsid w:val="666F1DE3"/>
    <w:rsid w:val="666F3F89"/>
    <w:rsid w:val="666F593F"/>
    <w:rsid w:val="666F60C2"/>
    <w:rsid w:val="66700A2E"/>
    <w:rsid w:val="667016B7"/>
    <w:rsid w:val="66702314"/>
    <w:rsid w:val="66703465"/>
    <w:rsid w:val="667112EB"/>
    <w:rsid w:val="66712BBB"/>
    <w:rsid w:val="667241CF"/>
    <w:rsid w:val="66725674"/>
    <w:rsid w:val="667264C2"/>
    <w:rsid w:val="667305FA"/>
    <w:rsid w:val="6674153C"/>
    <w:rsid w:val="667419B9"/>
    <w:rsid w:val="667440DC"/>
    <w:rsid w:val="66746F0F"/>
    <w:rsid w:val="667473F9"/>
    <w:rsid w:val="66750788"/>
    <w:rsid w:val="6675128B"/>
    <w:rsid w:val="66751C6B"/>
    <w:rsid w:val="66753787"/>
    <w:rsid w:val="66761720"/>
    <w:rsid w:val="66763171"/>
    <w:rsid w:val="667641C9"/>
    <w:rsid w:val="667643A8"/>
    <w:rsid w:val="667725F5"/>
    <w:rsid w:val="66772A46"/>
    <w:rsid w:val="66772BFE"/>
    <w:rsid w:val="66773A7C"/>
    <w:rsid w:val="667747F4"/>
    <w:rsid w:val="6678677C"/>
    <w:rsid w:val="66786D22"/>
    <w:rsid w:val="66793AAD"/>
    <w:rsid w:val="66794A10"/>
    <w:rsid w:val="667968A1"/>
    <w:rsid w:val="667A13D5"/>
    <w:rsid w:val="667A2EF9"/>
    <w:rsid w:val="667A3B6B"/>
    <w:rsid w:val="667A42E4"/>
    <w:rsid w:val="667A6D8B"/>
    <w:rsid w:val="667B2536"/>
    <w:rsid w:val="667B3996"/>
    <w:rsid w:val="667B6DB9"/>
    <w:rsid w:val="667C0091"/>
    <w:rsid w:val="667C1E0A"/>
    <w:rsid w:val="667C2227"/>
    <w:rsid w:val="667C37E3"/>
    <w:rsid w:val="667C4500"/>
    <w:rsid w:val="667C5A64"/>
    <w:rsid w:val="667D292E"/>
    <w:rsid w:val="667E28D5"/>
    <w:rsid w:val="667E49FA"/>
    <w:rsid w:val="667E5B82"/>
    <w:rsid w:val="667F0582"/>
    <w:rsid w:val="667F3EAA"/>
    <w:rsid w:val="667F53F7"/>
    <w:rsid w:val="66800AFB"/>
    <w:rsid w:val="668022CC"/>
    <w:rsid w:val="66803181"/>
    <w:rsid w:val="66807B4C"/>
    <w:rsid w:val="66807CBC"/>
    <w:rsid w:val="66810F6F"/>
    <w:rsid w:val="66814054"/>
    <w:rsid w:val="66817C53"/>
    <w:rsid w:val="66824FD0"/>
    <w:rsid w:val="66826B8D"/>
    <w:rsid w:val="668274B1"/>
    <w:rsid w:val="66833198"/>
    <w:rsid w:val="6683451E"/>
    <w:rsid w:val="66836399"/>
    <w:rsid w:val="668366EC"/>
    <w:rsid w:val="6684145F"/>
    <w:rsid w:val="66841F6B"/>
    <w:rsid w:val="66844F91"/>
    <w:rsid w:val="66846F11"/>
    <w:rsid w:val="668533B4"/>
    <w:rsid w:val="66854724"/>
    <w:rsid w:val="66854D92"/>
    <w:rsid w:val="66860EDB"/>
    <w:rsid w:val="66862C89"/>
    <w:rsid w:val="66864A2D"/>
    <w:rsid w:val="6687209D"/>
    <w:rsid w:val="66873A5E"/>
    <w:rsid w:val="668744DE"/>
    <w:rsid w:val="66880021"/>
    <w:rsid w:val="66882EA5"/>
    <w:rsid w:val="66884C53"/>
    <w:rsid w:val="66885E00"/>
    <w:rsid w:val="66886271"/>
    <w:rsid w:val="66886A01"/>
    <w:rsid w:val="66894455"/>
    <w:rsid w:val="66895021"/>
    <w:rsid w:val="6689553F"/>
    <w:rsid w:val="668A0AEE"/>
    <w:rsid w:val="668A17FD"/>
    <w:rsid w:val="668A2779"/>
    <w:rsid w:val="668A4527"/>
    <w:rsid w:val="668A5910"/>
    <w:rsid w:val="668B029F"/>
    <w:rsid w:val="668B07E0"/>
    <w:rsid w:val="668B449E"/>
    <w:rsid w:val="668B5AF9"/>
    <w:rsid w:val="668B7D75"/>
    <w:rsid w:val="668C07F7"/>
    <w:rsid w:val="668C2539"/>
    <w:rsid w:val="668C2830"/>
    <w:rsid w:val="668C3421"/>
    <w:rsid w:val="668C5838"/>
    <w:rsid w:val="668C6E93"/>
    <w:rsid w:val="668D0C53"/>
    <w:rsid w:val="668D1650"/>
    <w:rsid w:val="668D20E3"/>
    <w:rsid w:val="668D2269"/>
    <w:rsid w:val="668D2F14"/>
    <w:rsid w:val="668D4A8B"/>
    <w:rsid w:val="668E3573"/>
    <w:rsid w:val="668F1A55"/>
    <w:rsid w:val="668F4233"/>
    <w:rsid w:val="668F5FE1"/>
    <w:rsid w:val="668F6144"/>
    <w:rsid w:val="668F7D8F"/>
    <w:rsid w:val="669016C2"/>
    <w:rsid w:val="669049CC"/>
    <w:rsid w:val="669058B5"/>
    <w:rsid w:val="66916BD1"/>
    <w:rsid w:val="66930587"/>
    <w:rsid w:val="66937A59"/>
    <w:rsid w:val="66937C23"/>
    <w:rsid w:val="66940A56"/>
    <w:rsid w:val="66940E49"/>
    <w:rsid w:val="6694184A"/>
    <w:rsid w:val="669431E1"/>
    <w:rsid w:val="669453A6"/>
    <w:rsid w:val="6694616F"/>
    <w:rsid w:val="66950DDA"/>
    <w:rsid w:val="6695111E"/>
    <w:rsid w:val="66952F38"/>
    <w:rsid w:val="669532CB"/>
    <w:rsid w:val="66961D05"/>
    <w:rsid w:val="66967370"/>
    <w:rsid w:val="669722EF"/>
    <w:rsid w:val="66973195"/>
    <w:rsid w:val="669769C5"/>
    <w:rsid w:val="66976C44"/>
    <w:rsid w:val="66982636"/>
    <w:rsid w:val="66984625"/>
    <w:rsid w:val="6698537E"/>
    <w:rsid w:val="66991970"/>
    <w:rsid w:val="669929BC"/>
    <w:rsid w:val="66992BD5"/>
    <w:rsid w:val="66993991"/>
    <w:rsid w:val="6699617C"/>
    <w:rsid w:val="66996E60"/>
    <w:rsid w:val="669971F6"/>
    <w:rsid w:val="669A2F7A"/>
    <w:rsid w:val="669B2FA6"/>
    <w:rsid w:val="669B4986"/>
    <w:rsid w:val="669B4F74"/>
    <w:rsid w:val="669B6734"/>
    <w:rsid w:val="669C06FE"/>
    <w:rsid w:val="669C24AC"/>
    <w:rsid w:val="669C425A"/>
    <w:rsid w:val="669C4DE2"/>
    <w:rsid w:val="669C52F3"/>
    <w:rsid w:val="669D0A38"/>
    <w:rsid w:val="669D0DAB"/>
    <w:rsid w:val="669D1529"/>
    <w:rsid w:val="669D5217"/>
    <w:rsid w:val="669D6585"/>
    <w:rsid w:val="669E0ABE"/>
    <w:rsid w:val="669E146C"/>
    <w:rsid w:val="669E1C28"/>
    <w:rsid w:val="669E26F5"/>
    <w:rsid w:val="669E3068"/>
    <w:rsid w:val="669E4476"/>
    <w:rsid w:val="669E6224"/>
    <w:rsid w:val="669E7FD2"/>
    <w:rsid w:val="669F22A8"/>
    <w:rsid w:val="669F33D2"/>
    <w:rsid w:val="669F3874"/>
    <w:rsid w:val="669F6118"/>
    <w:rsid w:val="669F7B62"/>
    <w:rsid w:val="669F7CB3"/>
    <w:rsid w:val="66A001EE"/>
    <w:rsid w:val="66A013DD"/>
    <w:rsid w:val="66A01E2A"/>
    <w:rsid w:val="66A01F9C"/>
    <w:rsid w:val="66A02AE2"/>
    <w:rsid w:val="66A07AEB"/>
    <w:rsid w:val="66A07BA4"/>
    <w:rsid w:val="66A17AC3"/>
    <w:rsid w:val="66A17DBA"/>
    <w:rsid w:val="66A23263"/>
    <w:rsid w:val="66A23F66"/>
    <w:rsid w:val="66A30F7B"/>
    <w:rsid w:val="66A3360C"/>
    <w:rsid w:val="66A355E9"/>
    <w:rsid w:val="66A44090"/>
    <w:rsid w:val="66A51361"/>
    <w:rsid w:val="66A55805"/>
    <w:rsid w:val="66A57170"/>
    <w:rsid w:val="66A643D0"/>
    <w:rsid w:val="66A648F6"/>
    <w:rsid w:val="66A64DD5"/>
    <w:rsid w:val="66A74B8E"/>
    <w:rsid w:val="66A74C60"/>
    <w:rsid w:val="66A80E51"/>
    <w:rsid w:val="66A82855"/>
    <w:rsid w:val="66A8411A"/>
    <w:rsid w:val="66A852F5"/>
    <w:rsid w:val="66A86A70"/>
    <w:rsid w:val="66A9062D"/>
    <w:rsid w:val="66A94597"/>
    <w:rsid w:val="66A9519D"/>
    <w:rsid w:val="66AA2E1B"/>
    <w:rsid w:val="66AA4BC9"/>
    <w:rsid w:val="66AA64C9"/>
    <w:rsid w:val="66AA6977"/>
    <w:rsid w:val="66AB0941"/>
    <w:rsid w:val="66AB26EF"/>
    <w:rsid w:val="66AB42B0"/>
    <w:rsid w:val="66AC1B17"/>
    <w:rsid w:val="66AC3F2B"/>
    <w:rsid w:val="66AC56D2"/>
    <w:rsid w:val="66AC61B1"/>
    <w:rsid w:val="66AC656E"/>
    <w:rsid w:val="66AC6B93"/>
    <w:rsid w:val="66AC7A28"/>
    <w:rsid w:val="66AC7D60"/>
    <w:rsid w:val="66AD2398"/>
    <w:rsid w:val="66AD2475"/>
    <w:rsid w:val="66AD46B9"/>
    <w:rsid w:val="66AD4AAD"/>
    <w:rsid w:val="66AD6467"/>
    <w:rsid w:val="66AE2B5D"/>
    <w:rsid w:val="66AE4CFE"/>
    <w:rsid w:val="66AE57C5"/>
    <w:rsid w:val="66AE5C95"/>
    <w:rsid w:val="66AF0431"/>
    <w:rsid w:val="66AF21DF"/>
    <w:rsid w:val="66AF3431"/>
    <w:rsid w:val="66AF572C"/>
    <w:rsid w:val="66AF62C1"/>
    <w:rsid w:val="66B01BFD"/>
    <w:rsid w:val="66B028AC"/>
    <w:rsid w:val="66B07D06"/>
    <w:rsid w:val="66B1065C"/>
    <w:rsid w:val="66B17C70"/>
    <w:rsid w:val="66B21CD0"/>
    <w:rsid w:val="66B23A7E"/>
    <w:rsid w:val="66B2591B"/>
    <w:rsid w:val="66B2655C"/>
    <w:rsid w:val="66B27F22"/>
    <w:rsid w:val="66B30E6B"/>
    <w:rsid w:val="66B32FD4"/>
    <w:rsid w:val="66B42566"/>
    <w:rsid w:val="66B45A48"/>
    <w:rsid w:val="66B47A5E"/>
    <w:rsid w:val="66B50838"/>
    <w:rsid w:val="66B5531C"/>
    <w:rsid w:val="66B6109C"/>
    <w:rsid w:val="66B617C0"/>
    <w:rsid w:val="66B64513"/>
    <w:rsid w:val="66B65BF5"/>
    <w:rsid w:val="66B66CC0"/>
    <w:rsid w:val="66B66E41"/>
    <w:rsid w:val="66B6744F"/>
    <w:rsid w:val="66B70DB0"/>
    <w:rsid w:val="66B75538"/>
    <w:rsid w:val="66B77A46"/>
    <w:rsid w:val="66B855C4"/>
    <w:rsid w:val="66B86D82"/>
    <w:rsid w:val="66B912B0"/>
    <w:rsid w:val="66B9139D"/>
    <w:rsid w:val="66B930A5"/>
    <w:rsid w:val="66B94E0C"/>
    <w:rsid w:val="66B94F27"/>
    <w:rsid w:val="66B9509F"/>
    <w:rsid w:val="66BA0884"/>
    <w:rsid w:val="66BA7997"/>
    <w:rsid w:val="66BA7F3D"/>
    <w:rsid w:val="66BB02D9"/>
    <w:rsid w:val="66BB0B84"/>
    <w:rsid w:val="66BB6DD6"/>
    <w:rsid w:val="66BC14F2"/>
    <w:rsid w:val="66BC2017"/>
    <w:rsid w:val="66BC3A20"/>
    <w:rsid w:val="66BC3C0D"/>
    <w:rsid w:val="66BC48FC"/>
    <w:rsid w:val="66BC66AA"/>
    <w:rsid w:val="66BD0EAD"/>
    <w:rsid w:val="66BE2423"/>
    <w:rsid w:val="66BE7AC1"/>
    <w:rsid w:val="66BF16A9"/>
    <w:rsid w:val="66BF7400"/>
    <w:rsid w:val="66C004E1"/>
    <w:rsid w:val="66C019D3"/>
    <w:rsid w:val="66C0263F"/>
    <w:rsid w:val="66C027E9"/>
    <w:rsid w:val="66C030E0"/>
    <w:rsid w:val="66C034EE"/>
    <w:rsid w:val="66C043ED"/>
    <w:rsid w:val="66C1334D"/>
    <w:rsid w:val="66C13CC1"/>
    <w:rsid w:val="66C13F37"/>
    <w:rsid w:val="66C20165"/>
    <w:rsid w:val="66C24ADF"/>
    <w:rsid w:val="66C2523C"/>
    <w:rsid w:val="66C31DE7"/>
    <w:rsid w:val="66C321D0"/>
    <w:rsid w:val="66C32BE9"/>
    <w:rsid w:val="66C35155"/>
    <w:rsid w:val="66C363BC"/>
    <w:rsid w:val="66C365F1"/>
    <w:rsid w:val="66C37A39"/>
    <w:rsid w:val="66C451BD"/>
    <w:rsid w:val="66C518B5"/>
    <w:rsid w:val="66C51A03"/>
    <w:rsid w:val="66C537B1"/>
    <w:rsid w:val="66C54210"/>
    <w:rsid w:val="66C56A41"/>
    <w:rsid w:val="66C575B9"/>
    <w:rsid w:val="66C57C55"/>
    <w:rsid w:val="66C60526"/>
    <w:rsid w:val="66C60DE4"/>
    <w:rsid w:val="66C624DA"/>
    <w:rsid w:val="66C63ED8"/>
    <w:rsid w:val="66C6770C"/>
    <w:rsid w:val="66C712EB"/>
    <w:rsid w:val="66C739CD"/>
    <w:rsid w:val="66C73BF3"/>
    <w:rsid w:val="66C756DB"/>
    <w:rsid w:val="66C7577B"/>
    <w:rsid w:val="66C83210"/>
    <w:rsid w:val="66C832A1"/>
    <w:rsid w:val="66C847DB"/>
    <w:rsid w:val="66C85A8A"/>
    <w:rsid w:val="66C86894"/>
    <w:rsid w:val="66C9374B"/>
    <w:rsid w:val="66C97765"/>
    <w:rsid w:val="66CA0801"/>
    <w:rsid w:val="66CA0DC7"/>
    <w:rsid w:val="66CA1ABC"/>
    <w:rsid w:val="66CA526B"/>
    <w:rsid w:val="66CA66BD"/>
    <w:rsid w:val="66CA7019"/>
    <w:rsid w:val="66CB061F"/>
    <w:rsid w:val="66CB1AD1"/>
    <w:rsid w:val="66CB2934"/>
    <w:rsid w:val="66CB6744"/>
    <w:rsid w:val="66CC0212"/>
    <w:rsid w:val="66CC06F9"/>
    <w:rsid w:val="66CC0FE3"/>
    <w:rsid w:val="66CC1C62"/>
    <w:rsid w:val="66CC3263"/>
    <w:rsid w:val="66CC41FF"/>
    <w:rsid w:val="66CC4A99"/>
    <w:rsid w:val="66CC7CA7"/>
    <w:rsid w:val="66CD1787"/>
    <w:rsid w:val="66CD4D5B"/>
    <w:rsid w:val="66CD6B09"/>
    <w:rsid w:val="66CE1713"/>
    <w:rsid w:val="66CE5C81"/>
    <w:rsid w:val="66CE73AF"/>
    <w:rsid w:val="66CE7576"/>
    <w:rsid w:val="66CF041B"/>
    <w:rsid w:val="66CF1CEB"/>
    <w:rsid w:val="66CF4630"/>
    <w:rsid w:val="66CF4DD0"/>
    <w:rsid w:val="66CF5B82"/>
    <w:rsid w:val="66CF67DF"/>
    <w:rsid w:val="66D02156"/>
    <w:rsid w:val="66D04977"/>
    <w:rsid w:val="66D04A67"/>
    <w:rsid w:val="66D0556E"/>
    <w:rsid w:val="66D0783F"/>
    <w:rsid w:val="66D07B34"/>
    <w:rsid w:val="66D103A8"/>
    <w:rsid w:val="66D129D4"/>
    <w:rsid w:val="66D12BC5"/>
    <w:rsid w:val="66D13FFA"/>
    <w:rsid w:val="66D165FA"/>
    <w:rsid w:val="66D21963"/>
    <w:rsid w:val="66D21BB2"/>
    <w:rsid w:val="66D25ECE"/>
    <w:rsid w:val="66D27C53"/>
    <w:rsid w:val="66D30817"/>
    <w:rsid w:val="66D31225"/>
    <w:rsid w:val="66D32349"/>
    <w:rsid w:val="66D32372"/>
    <w:rsid w:val="66D325E4"/>
    <w:rsid w:val="66D334A2"/>
    <w:rsid w:val="66D34D2C"/>
    <w:rsid w:val="66D36C5E"/>
    <w:rsid w:val="66D40B75"/>
    <w:rsid w:val="66D41C46"/>
    <w:rsid w:val="66D439F4"/>
    <w:rsid w:val="66D460EA"/>
    <w:rsid w:val="66D47E98"/>
    <w:rsid w:val="66D52D87"/>
    <w:rsid w:val="66D55F92"/>
    <w:rsid w:val="66D60206"/>
    <w:rsid w:val="66D659BE"/>
    <w:rsid w:val="66D6776C"/>
    <w:rsid w:val="66D71736"/>
    <w:rsid w:val="66D71D69"/>
    <w:rsid w:val="66D87988"/>
    <w:rsid w:val="66D90AC8"/>
    <w:rsid w:val="66D910FE"/>
    <w:rsid w:val="66D93700"/>
    <w:rsid w:val="66D94689"/>
    <w:rsid w:val="66D954AE"/>
    <w:rsid w:val="66D96A62"/>
    <w:rsid w:val="66D9725C"/>
    <w:rsid w:val="66DA1241"/>
    <w:rsid w:val="66DA2844"/>
    <w:rsid w:val="66DA31D9"/>
    <w:rsid w:val="66DA5B19"/>
    <w:rsid w:val="66DB1226"/>
    <w:rsid w:val="66DB153D"/>
    <w:rsid w:val="66DB2FD4"/>
    <w:rsid w:val="66DB321B"/>
    <w:rsid w:val="66DB36E9"/>
    <w:rsid w:val="66DB7FD0"/>
    <w:rsid w:val="66DC08E7"/>
    <w:rsid w:val="66DC0AFB"/>
    <w:rsid w:val="66DC126B"/>
    <w:rsid w:val="66DC33B2"/>
    <w:rsid w:val="66DC6D4D"/>
    <w:rsid w:val="66DC7A48"/>
    <w:rsid w:val="66DD11D0"/>
    <w:rsid w:val="66DD4F9F"/>
    <w:rsid w:val="66DE4873"/>
    <w:rsid w:val="66DE6DBE"/>
    <w:rsid w:val="66DF3531"/>
    <w:rsid w:val="66DF7B00"/>
    <w:rsid w:val="66E02C2E"/>
    <w:rsid w:val="66E036AC"/>
    <w:rsid w:val="66E0683D"/>
    <w:rsid w:val="66E13C88"/>
    <w:rsid w:val="66E14AEB"/>
    <w:rsid w:val="66E16111"/>
    <w:rsid w:val="66E21F5C"/>
    <w:rsid w:val="66E225B5"/>
    <w:rsid w:val="66E2321F"/>
    <w:rsid w:val="66E26E7C"/>
    <w:rsid w:val="66E27CEA"/>
    <w:rsid w:val="66E300DB"/>
    <w:rsid w:val="66E303DC"/>
    <w:rsid w:val="66E3063A"/>
    <w:rsid w:val="66E33E0D"/>
    <w:rsid w:val="66E3590D"/>
    <w:rsid w:val="66E3632D"/>
    <w:rsid w:val="66E4014A"/>
    <w:rsid w:val="66E413F8"/>
    <w:rsid w:val="66E41953"/>
    <w:rsid w:val="66E421F8"/>
    <w:rsid w:val="66E42BA0"/>
    <w:rsid w:val="66E4799A"/>
    <w:rsid w:val="66E50A16"/>
    <w:rsid w:val="66E50CF7"/>
    <w:rsid w:val="66E56BA7"/>
    <w:rsid w:val="66E6278E"/>
    <w:rsid w:val="66E651D2"/>
    <w:rsid w:val="66E65A2B"/>
    <w:rsid w:val="66E7407E"/>
    <w:rsid w:val="66E75C1F"/>
    <w:rsid w:val="66E75E1D"/>
    <w:rsid w:val="66E77BCB"/>
    <w:rsid w:val="66E82AC5"/>
    <w:rsid w:val="66E87183"/>
    <w:rsid w:val="66E8749F"/>
    <w:rsid w:val="66E92A3D"/>
    <w:rsid w:val="66E9417E"/>
    <w:rsid w:val="66E9681D"/>
    <w:rsid w:val="66E96F6A"/>
    <w:rsid w:val="66EA3218"/>
    <w:rsid w:val="66EB4A39"/>
    <w:rsid w:val="66EB5DE1"/>
    <w:rsid w:val="66EC13BE"/>
    <w:rsid w:val="66EC2AFF"/>
    <w:rsid w:val="66EC3434"/>
    <w:rsid w:val="66EC37BC"/>
    <w:rsid w:val="66EC51E2"/>
    <w:rsid w:val="66ED0F5A"/>
    <w:rsid w:val="66ED4AB6"/>
    <w:rsid w:val="66EE3264"/>
    <w:rsid w:val="66EF381A"/>
    <w:rsid w:val="66EF5834"/>
    <w:rsid w:val="66EF6A80"/>
    <w:rsid w:val="66F009A4"/>
    <w:rsid w:val="66F02910"/>
    <w:rsid w:val="66F10A4A"/>
    <w:rsid w:val="66F14089"/>
    <w:rsid w:val="66F145A6"/>
    <w:rsid w:val="66F17590"/>
    <w:rsid w:val="66F2031E"/>
    <w:rsid w:val="66F225F3"/>
    <w:rsid w:val="66F26F4A"/>
    <w:rsid w:val="66F30DEC"/>
    <w:rsid w:val="66F3128D"/>
    <w:rsid w:val="66F31E95"/>
    <w:rsid w:val="66F3247A"/>
    <w:rsid w:val="66F33615"/>
    <w:rsid w:val="66F34A06"/>
    <w:rsid w:val="66F366C0"/>
    <w:rsid w:val="66F41291"/>
    <w:rsid w:val="66F422E8"/>
    <w:rsid w:val="66F42721"/>
    <w:rsid w:val="66F427D6"/>
    <w:rsid w:val="66F44096"/>
    <w:rsid w:val="66F45E44"/>
    <w:rsid w:val="66F4663E"/>
    <w:rsid w:val="66F51752"/>
    <w:rsid w:val="66F51EF8"/>
    <w:rsid w:val="66F53737"/>
    <w:rsid w:val="66F53BB1"/>
    <w:rsid w:val="66F55CAD"/>
    <w:rsid w:val="66F606B1"/>
    <w:rsid w:val="66F61BAB"/>
    <w:rsid w:val="66F61BBC"/>
    <w:rsid w:val="66F61F16"/>
    <w:rsid w:val="66F66060"/>
    <w:rsid w:val="66F66782"/>
    <w:rsid w:val="66F667CF"/>
    <w:rsid w:val="66F66A68"/>
    <w:rsid w:val="66F66AA1"/>
    <w:rsid w:val="66F67E0E"/>
    <w:rsid w:val="66F72AA5"/>
    <w:rsid w:val="66F75934"/>
    <w:rsid w:val="66F75944"/>
    <w:rsid w:val="66F76FD9"/>
    <w:rsid w:val="66F80339"/>
    <w:rsid w:val="66F80D5A"/>
    <w:rsid w:val="66F810A2"/>
    <w:rsid w:val="66F81DD8"/>
    <w:rsid w:val="66F828EE"/>
    <w:rsid w:val="66F82C54"/>
    <w:rsid w:val="66F83470"/>
    <w:rsid w:val="66F83B86"/>
    <w:rsid w:val="66F83C73"/>
    <w:rsid w:val="66F9321A"/>
    <w:rsid w:val="66F9345B"/>
    <w:rsid w:val="66F94337"/>
    <w:rsid w:val="66F95B50"/>
    <w:rsid w:val="66F95BB8"/>
    <w:rsid w:val="66F96A64"/>
    <w:rsid w:val="66F978FF"/>
    <w:rsid w:val="66FA39C2"/>
    <w:rsid w:val="66FA3EB6"/>
    <w:rsid w:val="66FA638B"/>
    <w:rsid w:val="66FB5004"/>
    <w:rsid w:val="66FC0EB3"/>
    <w:rsid w:val="66FC4464"/>
    <w:rsid w:val="66FC5590"/>
    <w:rsid w:val="66FC79B9"/>
    <w:rsid w:val="66FD119D"/>
    <w:rsid w:val="66FD1328"/>
    <w:rsid w:val="66FD353E"/>
    <w:rsid w:val="66FD73EF"/>
    <w:rsid w:val="66FE27C7"/>
    <w:rsid w:val="66FE3167"/>
    <w:rsid w:val="66FE4F14"/>
    <w:rsid w:val="66FE65C0"/>
    <w:rsid w:val="66FE6CC3"/>
    <w:rsid w:val="66FE7839"/>
    <w:rsid w:val="66FF6853"/>
    <w:rsid w:val="67002405"/>
    <w:rsid w:val="67002A3B"/>
    <w:rsid w:val="670047E9"/>
    <w:rsid w:val="67006EDF"/>
    <w:rsid w:val="67011422"/>
    <w:rsid w:val="67011A66"/>
    <w:rsid w:val="67015AB5"/>
    <w:rsid w:val="670203B7"/>
    <w:rsid w:val="67024A05"/>
    <w:rsid w:val="67025077"/>
    <w:rsid w:val="670267B3"/>
    <w:rsid w:val="6703077D"/>
    <w:rsid w:val="670342D9"/>
    <w:rsid w:val="670363C5"/>
    <w:rsid w:val="67042216"/>
    <w:rsid w:val="670423C8"/>
    <w:rsid w:val="67042A69"/>
    <w:rsid w:val="67044388"/>
    <w:rsid w:val="67045488"/>
    <w:rsid w:val="670462A6"/>
    <w:rsid w:val="670477B7"/>
    <w:rsid w:val="67050051"/>
    <w:rsid w:val="670536A6"/>
    <w:rsid w:val="670538BB"/>
    <w:rsid w:val="67053CB2"/>
    <w:rsid w:val="67053E67"/>
    <w:rsid w:val="670544F5"/>
    <w:rsid w:val="67055F7B"/>
    <w:rsid w:val="6706285B"/>
    <w:rsid w:val="670630BA"/>
    <w:rsid w:val="67063C79"/>
    <w:rsid w:val="670646DE"/>
    <w:rsid w:val="6707201B"/>
    <w:rsid w:val="6707220C"/>
    <w:rsid w:val="67073449"/>
    <w:rsid w:val="67073DC9"/>
    <w:rsid w:val="670747A0"/>
    <w:rsid w:val="670749A4"/>
    <w:rsid w:val="67077F72"/>
    <w:rsid w:val="670818F0"/>
    <w:rsid w:val="67083DE4"/>
    <w:rsid w:val="6708580E"/>
    <w:rsid w:val="670859D2"/>
    <w:rsid w:val="67086636"/>
    <w:rsid w:val="67087B42"/>
    <w:rsid w:val="67090503"/>
    <w:rsid w:val="67092027"/>
    <w:rsid w:val="67094BF8"/>
    <w:rsid w:val="6709567A"/>
    <w:rsid w:val="67095D94"/>
    <w:rsid w:val="670A35C0"/>
    <w:rsid w:val="670A38BA"/>
    <w:rsid w:val="670A3E82"/>
    <w:rsid w:val="670A4166"/>
    <w:rsid w:val="670A5668"/>
    <w:rsid w:val="670B2F6E"/>
    <w:rsid w:val="670B4947"/>
    <w:rsid w:val="670C09A8"/>
    <w:rsid w:val="670C13E0"/>
    <w:rsid w:val="670C2131"/>
    <w:rsid w:val="670C5884"/>
    <w:rsid w:val="670C6280"/>
    <w:rsid w:val="670C65E8"/>
    <w:rsid w:val="670D15E9"/>
    <w:rsid w:val="670D208F"/>
    <w:rsid w:val="670E0E72"/>
    <w:rsid w:val="670E32EB"/>
    <w:rsid w:val="670F4D18"/>
    <w:rsid w:val="670F7122"/>
    <w:rsid w:val="670F7329"/>
    <w:rsid w:val="670F75E6"/>
    <w:rsid w:val="6710052F"/>
    <w:rsid w:val="67104FC1"/>
    <w:rsid w:val="671059A6"/>
    <w:rsid w:val="6711207B"/>
    <w:rsid w:val="67112E9A"/>
    <w:rsid w:val="67114C48"/>
    <w:rsid w:val="671169F6"/>
    <w:rsid w:val="67117F52"/>
    <w:rsid w:val="67122238"/>
    <w:rsid w:val="67122503"/>
    <w:rsid w:val="6712451C"/>
    <w:rsid w:val="67127AC7"/>
    <w:rsid w:val="67130295"/>
    <w:rsid w:val="671304E9"/>
    <w:rsid w:val="671309C0"/>
    <w:rsid w:val="67134241"/>
    <w:rsid w:val="67135244"/>
    <w:rsid w:val="67136C12"/>
    <w:rsid w:val="671432C6"/>
    <w:rsid w:val="67144738"/>
    <w:rsid w:val="671464E6"/>
    <w:rsid w:val="67151B65"/>
    <w:rsid w:val="671621FD"/>
    <w:rsid w:val="6716225F"/>
    <w:rsid w:val="6716400D"/>
    <w:rsid w:val="67170922"/>
    <w:rsid w:val="67170ED0"/>
    <w:rsid w:val="67177D85"/>
    <w:rsid w:val="671812FC"/>
    <w:rsid w:val="6718269B"/>
    <w:rsid w:val="67184229"/>
    <w:rsid w:val="67186F4B"/>
    <w:rsid w:val="67191256"/>
    <w:rsid w:val="67191473"/>
    <w:rsid w:val="67191D4F"/>
    <w:rsid w:val="67192E6D"/>
    <w:rsid w:val="671938D0"/>
    <w:rsid w:val="67193AFD"/>
    <w:rsid w:val="67194153"/>
    <w:rsid w:val="671944B5"/>
    <w:rsid w:val="67194F34"/>
    <w:rsid w:val="671958AB"/>
    <w:rsid w:val="671972A0"/>
    <w:rsid w:val="671A1927"/>
    <w:rsid w:val="671A2486"/>
    <w:rsid w:val="671A2570"/>
    <w:rsid w:val="671B1755"/>
    <w:rsid w:val="671B2EEF"/>
    <w:rsid w:val="671C7710"/>
    <w:rsid w:val="671C7FA9"/>
    <w:rsid w:val="671D0A63"/>
    <w:rsid w:val="671D192D"/>
    <w:rsid w:val="671D2AEC"/>
    <w:rsid w:val="671D5367"/>
    <w:rsid w:val="671E1113"/>
    <w:rsid w:val="671F0ADB"/>
    <w:rsid w:val="671F36C6"/>
    <w:rsid w:val="671F424D"/>
    <w:rsid w:val="6720245A"/>
    <w:rsid w:val="67204E8B"/>
    <w:rsid w:val="672058AB"/>
    <w:rsid w:val="67206C39"/>
    <w:rsid w:val="67207822"/>
    <w:rsid w:val="67212227"/>
    <w:rsid w:val="67212644"/>
    <w:rsid w:val="67214C62"/>
    <w:rsid w:val="67217378"/>
    <w:rsid w:val="67220C03"/>
    <w:rsid w:val="6722430F"/>
    <w:rsid w:val="6722757B"/>
    <w:rsid w:val="67234F98"/>
    <w:rsid w:val="6723579F"/>
    <w:rsid w:val="67236ADB"/>
    <w:rsid w:val="67245209"/>
    <w:rsid w:val="67246C2F"/>
    <w:rsid w:val="672506F4"/>
    <w:rsid w:val="67252CF5"/>
    <w:rsid w:val="67256946"/>
    <w:rsid w:val="67263F29"/>
    <w:rsid w:val="672640A2"/>
    <w:rsid w:val="67264120"/>
    <w:rsid w:val="67266371"/>
    <w:rsid w:val="67270EE9"/>
    <w:rsid w:val="67272E2D"/>
    <w:rsid w:val="67273374"/>
    <w:rsid w:val="672743E8"/>
    <w:rsid w:val="67274BFB"/>
    <w:rsid w:val="67277A95"/>
    <w:rsid w:val="672804DE"/>
    <w:rsid w:val="67286A40"/>
    <w:rsid w:val="6729268D"/>
    <w:rsid w:val="67292AA1"/>
    <w:rsid w:val="67295FE3"/>
    <w:rsid w:val="672A03C4"/>
    <w:rsid w:val="672A7AB8"/>
    <w:rsid w:val="672B05A8"/>
    <w:rsid w:val="672B672A"/>
    <w:rsid w:val="672C03A0"/>
    <w:rsid w:val="672C1A82"/>
    <w:rsid w:val="672C25D2"/>
    <w:rsid w:val="672C2EB4"/>
    <w:rsid w:val="672C3830"/>
    <w:rsid w:val="672C4DAA"/>
    <w:rsid w:val="672C55DE"/>
    <w:rsid w:val="672C6851"/>
    <w:rsid w:val="672D09BE"/>
    <w:rsid w:val="672D1356"/>
    <w:rsid w:val="672D1422"/>
    <w:rsid w:val="672D4570"/>
    <w:rsid w:val="672D48D8"/>
    <w:rsid w:val="672E03A0"/>
    <w:rsid w:val="672E175D"/>
    <w:rsid w:val="672E1A2C"/>
    <w:rsid w:val="672E5040"/>
    <w:rsid w:val="672E5535"/>
    <w:rsid w:val="672E57FA"/>
    <w:rsid w:val="672F43EE"/>
    <w:rsid w:val="672F48CC"/>
    <w:rsid w:val="67300445"/>
    <w:rsid w:val="67301A51"/>
    <w:rsid w:val="67302E1C"/>
    <w:rsid w:val="67303132"/>
    <w:rsid w:val="67303449"/>
    <w:rsid w:val="67310F0D"/>
    <w:rsid w:val="67311233"/>
    <w:rsid w:val="67312167"/>
    <w:rsid w:val="67313CD0"/>
    <w:rsid w:val="67314E6D"/>
    <w:rsid w:val="673152EA"/>
    <w:rsid w:val="673212CF"/>
    <w:rsid w:val="67322330"/>
    <w:rsid w:val="67322349"/>
    <w:rsid w:val="673237FC"/>
    <w:rsid w:val="673316DF"/>
    <w:rsid w:val="67334BBF"/>
    <w:rsid w:val="673372DA"/>
    <w:rsid w:val="6734245C"/>
    <w:rsid w:val="6734529F"/>
    <w:rsid w:val="6734598E"/>
    <w:rsid w:val="67351044"/>
    <w:rsid w:val="67352825"/>
    <w:rsid w:val="673574BA"/>
    <w:rsid w:val="67357BB4"/>
    <w:rsid w:val="67357F99"/>
    <w:rsid w:val="673624D4"/>
    <w:rsid w:val="6736315F"/>
    <w:rsid w:val="673639CF"/>
    <w:rsid w:val="67363C15"/>
    <w:rsid w:val="673646AF"/>
    <w:rsid w:val="67365FCF"/>
    <w:rsid w:val="6736645D"/>
    <w:rsid w:val="673675F3"/>
    <w:rsid w:val="673821D5"/>
    <w:rsid w:val="67382A98"/>
    <w:rsid w:val="67383895"/>
    <w:rsid w:val="67384054"/>
    <w:rsid w:val="67391992"/>
    <w:rsid w:val="6739218D"/>
    <w:rsid w:val="67392596"/>
    <w:rsid w:val="6739464B"/>
    <w:rsid w:val="67397CFB"/>
    <w:rsid w:val="673A0B2F"/>
    <w:rsid w:val="673A249E"/>
    <w:rsid w:val="673A3E6B"/>
    <w:rsid w:val="673A7845"/>
    <w:rsid w:val="673B3A73"/>
    <w:rsid w:val="673B4EB6"/>
    <w:rsid w:val="673C070F"/>
    <w:rsid w:val="673C229D"/>
    <w:rsid w:val="673C6346"/>
    <w:rsid w:val="673C74E2"/>
    <w:rsid w:val="673C75CD"/>
    <w:rsid w:val="673C7C30"/>
    <w:rsid w:val="673D1BF7"/>
    <w:rsid w:val="673D2307"/>
    <w:rsid w:val="673D251F"/>
    <w:rsid w:val="673D3AEF"/>
    <w:rsid w:val="673D3C8F"/>
    <w:rsid w:val="673D5A07"/>
    <w:rsid w:val="673D6624"/>
    <w:rsid w:val="673D77EB"/>
    <w:rsid w:val="673E3563"/>
    <w:rsid w:val="673E51D1"/>
    <w:rsid w:val="673E5DDC"/>
    <w:rsid w:val="673F00C5"/>
    <w:rsid w:val="673F0F3C"/>
    <w:rsid w:val="673F27F0"/>
    <w:rsid w:val="673F320E"/>
    <w:rsid w:val="67401089"/>
    <w:rsid w:val="674047A3"/>
    <w:rsid w:val="674055DF"/>
    <w:rsid w:val="674171A2"/>
    <w:rsid w:val="67417592"/>
    <w:rsid w:val="67423054"/>
    <w:rsid w:val="674232AF"/>
    <w:rsid w:val="67423A03"/>
    <w:rsid w:val="67424E02"/>
    <w:rsid w:val="674306AA"/>
    <w:rsid w:val="67434F6B"/>
    <w:rsid w:val="67437398"/>
    <w:rsid w:val="67442FA9"/>
    <w:rsid w:val="67445CF3"/>
    <w:rsid w:val="67450B39"/>
    <w:rsid w:val="6745342E"/>
    <w:rsid w:val="674548F2"/>
    <w:rsid w:val="67455F68"/>
    <w:rsid w:val="67461FC9"/>
    <w:rsid w:val="67462C8B"/>
    <w:rsid w:val="67466A9C"/>
    <w:rsid w:val="67477800"/>
    <w:rsid w:val="6748116B"/>
    <w:rsid w:val="6748599A"/>
    <w:rsid w:val="67486190"/>
    <w:rsid w:val="67491987"/>
    <w:rsid w:val="67492634"/>
    <w:rsid w:val="674943E2"/>
    <w:rsid w:val="6749459E"/>
    <w:rsid w:val="674A0140"/>
    <w:rsid w:val="674A015A"/>
    <w:rsid w:val="674A1F08"/>
    <w:rsid w:val="674A2ED1"/>
    <w:rsid w:val="674A351B"/>
    <w:rsid w:val="674A3B91"/>
    <w:rsid w:val="674A63AC"/>
    <w:rsid w:val="674A69CD"/>
    <w:rsid w:val="674B2542"/>
    <w:rsid w:val="674B6DBB"/>
    <w:rsid w:val="674B71F7"/>
    <w:rsid w:val="674C7A2E"/>
    <w:rsid w:val="674D024D"/>
    <w:rsid w:val="674D11C2"/>
    <w:rsid w:val="674D37A6"/>
    <w:rsid w:val="674D5D81"/>
    <w:rsid w:val="674D7098"/>
    <w:rsid w:val="674E075B"/>
    <w:rsid w:val="674E19F8"/>
    <w:rsid w:val="674E4A24"/>
    <w:rsid w:val="674F0197"/>
    <w:rsid w:val="674F3119"/>
    <w:rsid w:val="674F3B08"/>
    <w:rsid w:val="674F41F4"/>
    <w:rsid w:val="674F5770"/>
    <w:rsid w:val="674F58C8"/>
    <w:rsid w:val="674F5C04"/>
    <w:rsid w:val="674F5DC7"/>
    <w:rsid w:val="674F7F55"/>
    <w:rsid w:val="67500476"/>
    <w:rsid w:val="675039C2"/>
    <w:rsid w:val="67505B64"/>
    <w:rsid w:val="675114E9"/>
    <w:rsid w:val="675116DD"/>
    <w:rsid w:val="675122F8"/>
    <w:rsid w:val="675146D3"/>
    <w:rsid w:val="6751773B"/>
    <w:rsid w:val="67521CAD"/>
    <w:rsid w:val="6752283B"/>
    <w:rsid w:val="67524CE1"/>
    <w:rsid w:val="6752500D"/>
    <w:rsid w:val="675256ED"/>
    <w:rsid w:val="67526356"/>
    <w:rsid w:val="67530E4A"/>
    <w:rsid w:val="675344CA"/>
    <w:rsid w:val="67535201"/>
    <w:rsid w:val="6753659E"/>
    <w:rsid w:val="67541CC0"/>
    <w:rsid w:val="67542D87"/>
    <w:rsid w:val="6755062E"/>
    <w:rsid w:val="67553A2B"/>
    <w:rsid w:val="67560B99"/>
    <w:rsid w:val="675629F9"/>
    <w:rsid w:val="67566AFF"/>
    <w:rsid w:val="67572F4E"/>
    <w:rsid w:val="67573315"/>
    <w:rsid w:val="67584625"/>
    <w:rsid w:val="67585E5B"/>
    <w:rsid w:val="675863D3"/>
    <w:rsid w:val="6759126B"/>
    <w:rsid w:val="6759214B"/>
    <w:rsid w:val="67593E94"/>
    <w:rsid w:val="67596A97"/>
    <w:rsid w:val="675A143E"/>
    <w:rsid w:val="675A2ED2"/>
    <w:rsid w:val="675A6BAE"/>
    <w:rsid w:val="675A78DF"/>
    <w:rsid w:val="675B06F2"/>
    <w:rsid w:val="675B2367"/>
    <w:rsid w:val="675B32B6"/>
    <w:rsid w:val="675B5EC3"/>
    <w:rsid w:val="675C5582"/>
    <w:rsid w:val="675C60FC"/>
    <w:rsid w:val="675D1E04"/>
    <w:rsid w:val="675D2227"/>
    <w:rsid w:val="675D3B8A"/>
    <w:rsid w:val="675D60DF"/>
    <w:rsid w:val="675D6DC0"/>
    <w:rsid w:val="675D7E8D"/>
    <w:rsid w:val="675E1366"/>
    <w:rsid w:val="675E2F1D"/>
    <w:rsid w:val="675E4F42"/>
    <w:rsid w:val="675E4FD6"/>
    <w:rsid w:val="675F0272"/>
    <w:rsid w:val="675F15A8"/>
    <w:rsid w:val="675F16E0"/>
    <w:rsid w:val="675F2883"/>
    <w:rsid w:val="675F3C06"/>
    <w:rsid w:val="675F65EF"/>
    <w:rsid w:val="6760172C"/>
    <w:rsid w:val="6760271B"/>
    <w:rsid w:val="676044C8"/>
    <w:rsid w:val="67614F75"/>
    <w:rsid w:val="67616051"/>
    <w:rsid w:val="67617ACE"/>
    <w:rsid w:val="67620FF8"/>
    <w:rsid w:val="676236F6"/>
    <w:rsid w:val="676254A4"/>
    <w:rsid w:val="6762718C"/>
    <w:rsid w:val="676353B3"/>
    <w:rsid w:val="67635FC8"/>
    <w:rsid w:val="6764121C"/>
    <w:rsid w:val="67642FCA"/>
    <w:rsid w:val="67643B28"/>
    <w:rsid w:val="6764746E"/>
    <w:rsid w:val="67654BA1"/>
    <w:rsid w:val="67654F94"/>
    <w:rsid w:val="676562A4"/>
    <w:rsid w:val="67656D42"/>
    <w:rsid w:val="67657833"/>
    <w:rsid w:val="67660A5B"/>
    <w:rsid w:val="6766452C"/>
    <w:rsid w:val="67667E72"/>
    <w:rsid w:val="67670D0C"/>
    <w:rsid w:val="676722DC"/>
    <w:rsid w:val="676738F0"/>
    <w:rsid w:val="676759AA"/>
    <w:rsid w:val="67675B48"/>
    <w:rsid w:val="6767677E"/>
    <w:rsid w:val="67676CDE"/>
    <w:rsid w:val="6767777D"/>
    <w:rsid w:val="67680804"/>
    <w:rsid w:val="67680F05"/>
    <w:rsid w:val="6768126C"/>
    <w:rsid w:val="676821EE"/>
    <w:rsid w:val="67683ED3"/>
    <w:rsid w:val="676905E0"/>
    <w:rsid w:val="6769301A"/>
    <w:rsid w:val="67694A84"/>
    <w:rsid w:val="67695363"/>
    <w:rsid w:val="67696832"/>
    <w:rsid w:val="676A11CF"/>
    <w:rsid w:val="676A2DDC"/>
    <w:rsid w:val="676A2FC6"/>
    <w:rsid w:val="676A342A"/>
    <w:rsid w:val="676A4E9C"/>
    <w:rsid w:val="676A5255"/>
    <w:rsid w:val="676A708C"/>
    <w:rsid w:val="676B07FC"/>
    <w:rsid w:val="676B1A1C"/>
    <w:rsid w:val="676B40F0"/>
    <w:rsid w:val="676B638B"/>
    <w:rsid w:val="676B6497"/>
    <w:rsid w:val="676C00D0"/>
    <w:rsid w:val="676C019A"/>
    <w:rsid w:val="676C343A"/>
    <w:rsid w:val="676C5425"/>
    <w:rsid w:val="676D025A"/>
    <w:rsid w:val="676D0A82"/>
    <w:rsid w:val="676D0E58"/>
    <w:rsid w:val="676D1DA7"/>
    <w:rsid w:val="676D4A08"/>
    <w:rsid w:val="676D551F"/>
    <w:rsid w:val="676D5C17"/>
    <w:rsid w:val="676D6737"/>
    <w:rsid w:val="676D7FC6"/>
    <w:rsid w:val="676E209B"/>
    <w:rsid w:val="676E2F15"/>
    <w:rsid w:val="676E3D1A"/>
    <w:rsid w:val="676E5BC3"/>
    <w:rsid w:val="676E5BF7"/>
    <w:rsid w:val="676F10E2"/>
    <w:rsid w:val="676F196F"/>
    <w:rsid w:val="677039D6"/>
    <w:rsid w:val="677040A3"/>
    <w:rsid w:val="67704929"/>
    <w:rsid w:val="67704C60"/>
    <w:rsid w:val="67705236"/>
    <w:rsid w:val="67705E13"/>
    <w:rsid w:val="6770722E"/>
    <w:rsid w:val="67707E4E"/>
    <w:rsid w:val="677109DF"/>
    <w:rsid w:val="67712E3F"/>
    <w:rsid w:val="67713939"/>
    <w:rsid w:val="67717495"/>
    <w:rsid w:val="67723916"/>
    <w:rsid w:val="67726442"/>
    <w:rsid w:val="6773320D"/>
    <w:rsid w:val="67740FAC"/>
    <w:rsid w:val="67744B6C"/>
    <w:rsid w:val="6774611C"/>
    <w:rsid w:val="67746328"/>
    <w:rsid w:val="67752176"/>
    <w:rsid w:val="67753429"/>
    <w:rsid w:val="677551D7"/>
    <w:rsid w:val="677552C2"/>
    <w:rsid w:val="677564D7"/>
    <w:rsid w:val="67756B4A"/>
    <w:rsid w:val="677610A8"/>
    <w:rsid w:val="677623FA"/>
    <w:rsid w:val="67762CFD"/>
    <w:rsid w:val="677658EC"/>
    <w:rsid w:val="67770DF7"/>
    <w:rsid w:val="67775F80"/>
    <w:rsid w:val="677772D0"/>
    <w:rsid w:val="67780845"/>
    <w:rsid w:val="67784CC7"/>
    <w:rsid w:val="67786A75"/>
    <w:rsid w:val="67792874"/>
    <w:rsid w:val="677A0A3F"/>
    <w:rsid w:val="677A15F8"/>
    <w:rsid w:val="677A27ED"/>
    <w:rsid w:val="677A31A7"/>
    <w:rsid w:val="677A4699"/>
    <w:rsid w:val="677A5271"/>
    <w:rsid w:val="677A61AB"/>
    <w:rsid w:val="677B1E4A"/>
    <w:rsid w:val="677B47B7"/>
    <w:rsid w:val="677B6565"/>
    <w:rsid w:val="677B70C2"/>
    <w:rsid w:val="677C0FC6"/>
    <w:rsid w:val="677C2577"/>
    <w:rsid w:val="677C2BD0"/>
    <w:rsid w:val="677C3A5D"/>
    <w:rsid w:val="677C50DC"/>
    <w:rsid w:val="677C633D"/>
    <w:rsid w:val="677C70B4"/>
    <w:rsid w:val="677D18BE"/>
    <w:rsid w:val="677D22DE"/>
    <w:rsid w:val="677D36AC"/>
    <w:rsid w:val="677D408C"/>
    <w:rsid w:val="677D4646"/>
    <w:rsid w:val="677D63AA"/>
    <w:rsid w:val="677E5C60"/>
    <w:rsid w:val="677E60F9"/>
    <w:rsid w:val="677E783A"/>
    <w:rsid w:val="677F1331"/>
    <w:rsid w:val="677F5D82"/>
    <w:rsid w:val="677F6056"/>
    <w:rsid w:val="677F6F51"/>
    <w:rsid w:val="677F7E04"/>
    <w:rsid w:val="678026DC"/>
    <w:rsid w:val="678035B7"/>
    <w:rsid w:val="67803B7C"/>
    <w:rsid w:val="6780592A"/>
    <w:rsid w:val="67807A31"/>
    <w:rsid w:val="67807F85"/>
    <w:rsid w:val="67810B05"/>
    <w:rsid w:val="6781413F"/>
    <w:rsid w:val="67816139"/>
    <w:rsid w:val="678161BB"/>
    <w:rsid w:val="678216A2"/>
    <w:rsid w:val="678227F1"/>
    <w:rsid w:val="6782389F"/>
    <w:rsid w:val="67825B46"/>
    <w:rsid w:val="67841F6B"/>
    <w:rsid w:val="6784366C"/>
    <w:rsid w:val="6784541A"/>
    <w:rsid w:val="678455FC"/>
    <w:rsid w:val="6785004D"/>
    <w:rsid w:val="67851192"/>
    <w:rsid w:val="67851D6A"/>
    <w:rsid w:val="67852034"/>
    <w:rsid w:val="67852F40"/>
    <w:rsid w:val="678561F7"/>
    <w:rsid w:val="67861287"/>
    <w:rsid w:val="67862D48"/>
    <w:rsid w:val="678673A1"/>
    <w:rsid w:val="6786745C"/>
    <w:rsid w:val="67871AEB"/>
    <w:rsid w:val="678725B8"/>
    <w:rsid w:val="67874F0A"/>
    <w:rsid w:val="67876CB8"/>
    <w:rsid w:val="678809D9"/>
    <w:rsid w:val="67886862"/>
    <w:rsid w:val="678876F1"/>
    <w:rsid w:val="67887F30"/>
    <w:rsid w:val="67890C82"/>
    <w:rsid w:val="67892B80"/>
    <w:rsid w:val="6789494D"/>
    <w:rsid w:val="67896ED4"/>
    <w:rsid w:val="678A24C7"/>
    <w:rsid w:val="678A4349"/>
    <w:rsid w:val="678A67A9"/>
    <w:rsid w:val="678A76F6"/>
    <w:rsid w:val="678A781D"/>
    <w:rsid w:val="678A7CFE"/>
    <w:rsid w:val="678B1E3E"/>
    <w:rsid w:val="678B330B"/>
    <w:rsid w:val="678B39AB"/>
    <w:rsid w:val="678B554C"/>
    <w:rsid w:val="678C06A5"/>
    <w:rsid w:val="678C06FD"/>
    <w:rsid w:val="678C3F86"/>
    <w:rsid w:val="678C643D"/>
    <w:rsid w:val="678C6C1F"/>
    <w:rsid w:val="678D10B0"/>
    <w:rsid w:val="678D1B62"/>
    <w:rsid w:val="678D2C55"/>
    <w:rsid w:val="678D429A"/>
    <w:rsid w:val="678D5C9F"/>
    <w:rsid w:val="678D60F7"/>
    <w:rsid w:val="678D79C8"/>
    <w:rsid w:val="678E0047"/>
    <w:rsid w:val="678E0112"/>
    <w:rsid w:val="678E15AC"/>
    <w:rsid w:val="678E44EB"/>
    <w:rsid w:val="678E4891"/>
    <w:rsid w:val="678E6299"/>
    <w:rsid w:val="678E72C4"/>
    <w:rsid w:val="678E7CBC"/>
    <w:rsid w:val="678F07BF"/>
    <w:rsid w:val="678F126F"/>
    <w:rsid w:val="678F3DBF"/>
    <w:rsid w:val="678F7110"/>
    <w:rsid w:val="678F7301"/>
    <w:rsid w:val="678F7623"/>
    <w:rsid w:val="67900263"/>
    <w:rsid w:val="67901C4F"/>
    <w:rsid w:val="67902011"/>
    <w:rsid w:val="67902F87"/>
    <w:rsid w:val="679030DF"/>
    <w:rsid w:val="67906419"/>
    <w:rsid w:val="6790738C"/>
    <w:rsid w:val="67910DA7"/>
    <w:rsid w:val="679118E5"/>
    <w:rsid w:val="67915CB0"/>
    <w:rsid w:val="6791755B"/>
    <w:rsid w:val="67917B37"/>
    <w:rsid w:val="67917EEF"/>
    <w:rsid w:val="67922197"/>
    <w:rsid w:val="679236E4"/>
    <w:rsid w:val="67926756"/>
    <w:rsid w:val="6793168A"/>
    <w:rsid w:val="679338AF"/>
    <w:rsid w:val="679413D5"/>
    <w:rsid w:val="67944EC0"/>
    <w:rsid w:val="67950065"/>
    <w:rsid w:val="67955334"/>
    <w:rsid w:val="67955879"/>
    <w:rsid w:val="67955AC1"/>
    <w:rsid w:val="67957627"/>
    <w:rsid w:val="67962301"/>
    <w:rsid w:val="6796339F"/>
    <w:rsid w:val="67966EFB"/>
    <w:rsid w:val="679706A4"/>
    <w:rsid w:val="67970C70"/>
    <w:rsid w:val="679773B7"/>
    <w:rsid w:val="67980529"/>
    <w:rsid w:val="67991A38"/>
    <w:rsid w:val="67994442"/>
    <w:rsid w:val="6799494E"/>
    <w:rsid w:val="67996A21"/>
    <w:rsid w:val="679A139F"/>
    <w:rsid w:val="679A2E90"/>
    <w:rsid w:val="679A4C3E"/>
    <w:rsid w:val="679A4D1E"/>
    <w:rsid w:val="679A69EC"/>
    <w:rsid w:val="679B09B6"/>
    <w:rsid w:val="679B22D5"/>
    <w:rsid w:val="679B4A60"/>
    <w:rsid w:val="679B646E"/>
    <w:rsid w:val="679B6D62"/>
    <w:rsid w:val="679C0B0D"/>
    <w:rsid w:val="679C1888"/>
    <w:rsid w:val="679C1F17"/>
    <w:rsid w:val="679C4559"/>
    <w:rsid w:val="679D071E"/>
    <w:rsid w:val="679D10FB"/>
    <w:rsid w:val="679D64DC"/>
    <w:rsid w:val="679E0143"/>
    <w:rsid w:val="679E15E8"/>
    <w:rsid w:val="679F0D0F"/>
    <w:rsid w:val="679F2254"/>
    <w:rsid w:val="679F36D1"/>
    <w:rsid w:val="679F4855"/>
    <w:rsid w:val="679F5850"/>
    <w:rsid w:val="67A00AFE"/>
    <w:rsid w:val="67A01897"/>
    <w:rsid w:val="67A028D7"/>
    <w:rsid w:val="67A02C13"/>
    <w:rsid w:val="67A037F7"/>
    <w:rsid w:val="67A057A8"/>
    <w:rsid w:val="67A12803"/>
    <w:rsid w:val="67A13FCE"/>
    <w:rsid w:val="67A1421E"/>
    <w:rsid w:val="67A1634F"/>
    <w:rsid w:val="67A16835"/>
    <w:rsid w:val="67A17682"/>
    <w:rsid w:val="67A23AF2"/>
    <w:rsid w:val="67A24503"/>
    <w:rsid w:val="67A24A75"/>
    <w:rsid w:val="67A2570B"/>
    <w:rsid w:val="67A26C35"/>
    <w:rsid w:val="67A323AC"/>
    <w:rsid w:val="67A3506C"/>
    <w:rsid w:val="67A36C5B"/>
    <w:rsid w:val="67A40E29"/>
    <w:rsid w:val="67A45D5B"/>
    <w:rsid w:val="67A46A24"/>
    <w:rsid w:val="67A47355"/>
    <w:rsid w:val="67A4786A"/>
    <w:rsid w:val="67A47F28"/>
    <w:rsid w:val="67A50E81"/>
    <w:rsid w:val="67A535E2"/>
    <w:rsid w:val="67A535E8"/>
    <w:rsid w:val="67A55390"/>
    <w:rsid w:val="67A555B6"/>
    <w:rsid w:val="67A564B0"/>
    <w:rsid w:val="67A56BBB"/>
    <w:rsid w:val="67A60BDB"/>
    <w:rsid w:val="67A61834"/>
    <w:rsid w:val="67A6201F"/>
    <w:rsid w:val="67A62DE6"/>
    <w:rsid w:val="67A63E75"/>
    <w:rsid w:val="67A641FC"/>
    <w:rsid w:val="67A67C29"/>
    <w:rsid w:val="67A71109"/>
    <w:rsid w:val="67A8040E"/>
    <w:rsid w:val="67A840C2"/>
    <w:rsid w:val="67A84933"/>
    <w:rsid w:val="67A8697C"/>
    <w:rsid w:val="67A91325"/>
    <w:rsid w:val="67A93751"/>
    <w:rsid w:val="67A94727"/>
    <w:rsid w:val="67A95E11"/>
    <w:rsid w:val="67A97262"/>
    <w:rsid w:val="67AA29A7"/>
    <w:rsid w:val="67AA4045"/>
    <w:rsid w:val="67AA6841"/>
    <w:rsid w:val="67AB0BF9"/>
    <w:rsid w:val="67AB2A84"/>
    <w:rsid w:val="67AB5297"/>
    <w:rsid w:val="67AB6E4B"/>
    <w:rsid w:val="67AB781A"/>
    <w:rsid w:val="67AB7CE7"/>
    <w:rsid w:val="67AC039C"/>
    <w:rsid w:val="67AC212D"/>
    <w:rsid w:val="67AC28B8"/>
    <w:rsid w:val="67AC3E71"/>
    <w:rsid w:val="67AC671F"/>
    <w:rsid w:val="67AD0413"/>
    <w:rsid w:val="67AD3200"/>
    <w:rsid w:val="67AD449B"/>
    <w:rsid w:val="67AE0BB3"/>
    <w:rsid w:val="67AE48F1"/>
    <w:rsid w:val="67AE54AE"/>
    <w:rsid w:val="67AE55EA"/>
    <w:rsid w:val="67AE693B"/>
    <w:rsid w:val="67AF0758"/>
    <w:rsid w:val="67AF7C77"/>
    <w:rsid w:val="67B058DD"/>
    <w:rsid w:val="67B1064E"/>
    <w:rsid w:val="67B11B9E"/>
    <w:rsid w:val="67B11F87"/>
    <w:rsid w:val="67B1720A"/>
    <w:rsid w:val="67B24F18"/>
    <w:rsid w:val="67B25BC5"/>
    <w:rsid w:val="67B25D57"/>
    <w:rsid w:val="67B267DE"/>
    <w:rsid w:val="67B30275"/>
    <w:rsid w:val="67B326AE"/>
    <w:rsid w:val="67B33A1A"/>
    <w:rsid w:val="67B33C81"/>
    <w:rsid w:val="67B35EE9"/>
    <w:rsid w:val="67B36479"/>
    <w:rsid w:val="67B36D3B"/>
    <w:rsid w:val="67B3750E"/>
    <w:rsid w:val="67B4104A"/>
    <w:rsid w:val="67B42652"/>
    <w:rsid w:val="67B456EA"/>
    <w:rsid w:val="67B45B83"/>
    <w:rsid w:val="67B45DE5"/>
    <w:rsid w:val="67B46630"/>
    <w:rsid w:val="67B51A77"/>
    <w:rsid w:val="67B548F6"/>
    <w:rsid w:val="67B5752B"/>
    <w:rsid w:val="67B61CC3"/>
    <w:rsid w:val="67B64415"/>
    <w:rsid w:val="67B65669"/>
    <w:rsid w:val="67B657F0"/>
    <w:rsid w:val="67B65CC6"/>
    <w:rsid w:val="67B70247"/>
    <w:rsid w:val="67B70480"/>
    <w:rsid w:val="67B717D5"/>
    <w:rsid w:val="67B73C7E"/>
    <w:rsid w:val="67B76001"/>
    <w:rsid w:val="67B7628A"/>
    <w:rsid w:val="67B802CD"/>
    <w:rsid w:val="67B804B1"/>
    <w:rsid w:val="67B80D18"/>
    <w:rsid w:val="67B81568"/>
    <w:rsid w:val="67B82551"/>
    <w:rsid w:val="67B83316"/>
    <w:rsid w:val="67B83489"/>
    <w:rsid w:val="67B83789"/>
    <w:rsid w:val="67B83B32"/>
    <w:rsid w:val="67B86C13"/>
    <w:rsid w:val="67B86FA0"/>
    <w:rsid w:val="67B91421"/>
    <w:rsid w:val="67B9242C"/>
    <w:rsid w:val="67B932AA"/>
    <w:rsid w:val="67B955FF"/>
    <w:rsid w:val="67BA0E3C"/>
    <w:rsid w:val="67BA0F4B"/>
    <w:rsid w:val="67BA377B"/>
    <w:rsid w:val="67BA3A39"/>
    <w:rsid w:val="67BA52E0"/>
    <w:rsid w:val="67BA6A87"/>
    <w:rsid w:val="67BA708E"/>
    <w:rsid w:val="67BB0C58"/>
    <w:rsid w:val="67BB42C1"/>
    <w:rsid w:val="67BB4BB4"/>
    <w:rsid w:val="67BB6416"/>
    <w:rsid w:val="67BC1BF5"/>
    <w:rsid w:val="67BC1EAA"/>
    <w:rsid w:val="67BC1EF5"/>
    <w:rsid w:val="67BC2E06"/>
    <w:rsid w:val="67BC6D23"/>
    <w:rsid w:val="67BD092C"/>
    <w:rsid w:val="67BD20FC"/>
    <w:rsid w:val="67BD23A4"/>
    <w:rsid w:val="67BD424F"/>
    <w:rsid w:val="67BD6A8D"/>
    <w:rsid w:val="67BD7C0E"/>
    <w:rsid w:val="67BD7E0B"/>
    <w:rsid w:val="67BE05B2"/>
    <w:rsid w:val="67BE17F3"/>
    <w:rsid w:val="67BE3F17"/>
    <w:rsid w:val="67BE4CCD"/>
    <w:rsid w:val="67BE57E3"/>
    <w:rsid w:val="67BE5B86"/>
    <w:rsid w:val="67BF2D2A"/>
    <w:rsid w:val="67BF660E"/>
    <w:rsid w:val="67BF690C"/>
    <w:rsid w:val="67C021CA"/>
    <w:rsid w:val="67C02756"/>
    <w:rsid w:val="67C0470E"/>
    <w:rsid w:val="67C11B9C"/>
    <w:rsid w:val="67C15CF6"/>
    <w:rsid w:val="67C21F0D"/>
    <w:rsid w:val="67C2230C"/>
    <w:rsid w:val="67C223E6"/>
    <w:rsid w:val="67C232B1"/>
    <w:rsid w:val="67C23481"/>
    <w:rsid w:val="67C25F42"/>
    <w:rsid w:val="67C26A9E"/>
    <w:rsid w:val="67C27CF0"/>
    <w:rsid w:val="67C30C5B"/>
    <w:rsid w:val="67C32B5F"/>
    <w:rsid w:val="67C3328D"/>
    <w:rsid w:val="67C3628F"/>
    <w:rsid w:val="67C366F2"/>
    <w:rsid w:val="67C36F3E"/>
    <w:rsid w:val="67C41CBB"/>
    <w:rsid w:val="67C437D3"/>
    <w:rsid w:val="67C439C6"/>
    <w:rsid w:val="67C43A69"/>
    <w:rsid w:val="67C473FE"/>
    <w:rsid w:val="67C47F0C"/>
    <w:rsid w:val="67C51FCF"/>
    <w:rsid w:val="67C524D3"/>
    <w:rsid w:val="67C537CC"/>
    <w:rsid w:val="67C53CF4"/>
    <w:rsid w:val="67C53FCF"/>
    <w:rsid w:val="67C54AE9"/>
    <w:rsid w:val="67C5540A"/>
    <w:rsid w:val="67C615F0"/>
    <w:rsid w:val="67C61D1E"/>
    <w:rsid w:val="67C63079"/>
    <w:rsid w:val="67C635F6"/>
    <w:rsid w:val="67C63C85"/>
    <w:rsid w:val="67C648EF"/>
    <w:rsid w:val="67C65A33"/>
    <w:rsid w:val="67C707BA"/>
    <w:rsid w:val="67C7085E"/>
    <w:rsid w:val="67C717AB"/>
    <w:rsid w:val="67C758D9"/>
    <w:rsid w:val="67C779FD"/>
    <w:rsid w:val="67C8097D"/>
    <w:rsid w:val="67C810C2"/>
    <w:rsid w:val="67C84225"/>
    <w:rsid w:val="67C879CB"/>
    <w:rsid w:val="67C95523"/>
    <w:rsid w:val="67C96BF3"/>
    <w:rsid w:val="67C9711D"/>
    <w:rsid w:val="67C97CC3"/>
    <w:rsid w:val="67CA2680"/>
    <w:rsid w:val="67CA3270"/>
    <w:rsid w:val="67CB3049"/>
    <w:rsid w:val="67CC09A9"/>
    <w:rsid w:val="67CC4DBC"/>
    <w:rsid w:val="67CD1B70"/>
    <w:rsid w:val="67CD5013"/>
    <w:rsid w:val="67CE0B3C"/>
    <w:rsid w:val="67CE3081"/>
    <w:rsid w:val="67CE4123"/>
    <w:rsid w:val="67CE48E7"/>
    <w:rsid w:val="67CE6A19"/>
    <w:rsid w:val="67CE6DB7"/>
    <w:rsid w:val="67CF069A"/>
    <w:rsid w:val="67CF5869"/>
    <w:rsid w:val="67D00572"/>
    <w:rsid w:val="67D0240D"/>
    <w:rsid w:val="67D04F6F"/>
    <w:rsid w:val="67D0519E"/>
    <w:rsid w:val="67D068B1"/>
    <w:rsid w:val="67D06BBB"/>
    <w:rsid w:val="67D112FC"/>
    <w:rsid w:val="67D143D7"/>
    <w:rsid w:val="67D16B28"/>
    <w:rsid w:val="67D207CA"/>
    <w:rsid w:val="67D272CE"/>
    <w:rsid w:val="67D27562"/>
    <w:rsid w:val="67D3016F"/>
    <w:rsid w:val="67D31EFE"/>
    <w:rsid w:val="67D429AB"/>
    <w:rsid w:val="67D42AF3"/>
    <w:rsid w:val="67D43D2A"/>
    <w:rsid w:val="67D47503"/>
    <w:rsid w:val="67D5044D"/>
    <w:rsid w:val="67D51E33"/>
    <w:rsid w:val="67D5211A"/>
    <w:rsid w:val="67D52FCE"/>
    <w:rsid w:val="67D53EC8"/>
    <w:rsid w:val="67D55C76"/>
    <w:rsid w:val="67D55FB3"/>
    <w:rsid w:val="67D570F9"/>
    <w:rsid w:val="67D57406"/>
    <w:rsid w:val="67D619EE"/>
    <w:rsid w:val="67D6379C"/>
    <w:rsid w:val="67D66F0D"/>
    <w:rsid w:val="67D71EB4"/>
    <w:rsid w:val="67D74396"/>
    <w:rsid w:val="67D759A4"/>
    <w:rsid w:val="67D75FFE"/>
    <w:rsid w:val="67D77C40"/>
    <w:rsid w:val="67D8761D"/>
    <w:rsid w:val="67D90194"/>
    <w:rsid w:val="67D918D5"/>
    <w:rsid w:val="67D963B8"/>
    <w:rsid w:val="67DA14DE"/>
    <w:rsid w:val="67DA2BF6"/>
    <w:rsid w:val="67DA4EEB"/>
    <w:rsid w:val="67DA57A7"/>
    <w:rsid w:val="67DA7730"/>
    <w:rsid w:val="67DA7F59"/>
    <w:rsid w:val="67DB0DB2"/>
    <w:rsid w:val="67DB1034"/>
    <w:rsid w:val="67DB287E"/>
    <w:rsid w:val="67DB47B0"/>
    <w:rsid w:val="67DB7004"/>
    <w:rsid w:val="67DB7D6A"/>
    <w:rsid w:val="67DC5256"/>
    <w:rsid w:val="67DD036B"/>
    <w:rsid w:val="67DD0FCE"/>
    <w:rsid w:val="67DD1BDA"/>
    <w:rsid w:val="67DD240C"/>
    <w:rsid w:val="67DD2D7C"/>
    <w:rsid w:val="67DD3051"/>
    <w:rsid w:val="67DD4B2A"/>
    <w:rsid w:val="67DD5681"/>
    <w:rsid w:val="67DD78AD"/>
    <w:rsid w:val="67DD7FA5"/>
    <w:rsid w:val="67DE4B8D"/>
    <w:rsid w:val="67DF08A2"/>
    <w:rsid w:val="67DF3962"/>
    <w:rsid w:val="67DF4C3C"/>
    <w:rsid w:val="67DF4D46"/>
    <w:rsid w:val="67DF7262"/>
    <w:rsid w:val="67E05C3A"/>
    <w:rsid w:val="67E05DA8"/>
    <w:rsid w:val="67E060E9"/>
    <w:rsid w:val="67E10A7E"/>
    <w:rsid w:val="67E1286C"/>
    <w:rsid w:val="67E22141"/>
    <w:rsid w:val="67E22BE0"/>
    <w:rsid w:val="67E33EB0"/>
    <w:rsid w:val="67E341BD"/>
    <w:rsid w:val="67E34416"/>
    <w:rsid w:val="67E4235D"/>
    <w:rsid w:val="67E45EB9"/>
    <w:rsid w:val="67E460B6"/>
    <w:rsid w:val="67E469E8"/>
    <w:rsid w:val="67E507DD"/>
    <w:rsid w:val="67E518D6"/>
    <w:rsid w:val="67E617FF"/>
    <w:rsid w:val="67E61C31"/>
    <w:rsid w:val="67E64811"/>
    <w:rsid w:val="67E65EAB"/>
    <w:rsid w:val="67E66C84"/>
    <w:rsid w:val="67E67E83"/>
    <w:rsid w:val="67E70524"/>
    <w:rsid w:val="67E71E3E"/>
    <w:rsid w:val="67E72606"/>
    <w:rsid w:val="67E73BF2"/>
    <w:rsid w:val="67E73BFB"/>
    <w:rsid w:val="67E74BD2"/>
    <w:rsid w:val="67E74DAE"/>
    <w:rsid w:val="67E75368"/>
    <w:rsid w:val="67E81E4D"/>
    <w:rsid w:val="67E83118"/>
    <w:rsid w:val="67E852D5"/>
    <w:rsid w:val="67E90AE3"/>
    <w:rsid w:val="67E92EA9"/>
    <w:rsid w:val="67E934CF"/>
    <w:rsid w:val="67E93D8B"/>
    <w:rsid w:val="67E973AA"/>
    <w:rsid w:val="67E97973"/>
    <w:rsid w:val="67E97C6E"/>
    <w:rsid w:val="67EA067D"/>
    <w:rsid w:val="67EA24F8"/>
    <w:rsid w:val="67EA2C55"/>
    <w:rsid w:val="67EA6FED"/>
    <w:rsid w:val="67EA79EB"/>
    <w:rsid w:val="67EB25A8"/>
    <w:rsid w:val="67EB5179"/>
    <w:rsid w:val="67EB5499"/>
    <w:rsid w:val="67EB7247"/>
    <w:rsid w:val="67EB7433"/>
    <w:rsid w:val="67EB747B"/>
    <w:rsid w:val="67EC00F2"/>
    <w:rsid w:val="67EC1862"/>
    <w:rsid w:val="67EC27B5"/>
    <w:rsid w:val="67EC4555"/>
    <w:rsid w:val="67ED11DA"/>
    <w:rsid w:val="67ED357D"/>
    <w:rsid w:val="67ED35DA"/>
    <w:rsid w:val="67ED4868"/>
    <w:rsid w:val="67ED7463"/>
    <w:rsid w:val="67EE0AE5"/>
    <w:rsid w:val="67EE0FC7"/>
    <w:rsid w:val="67EE2B09"/>
    <w:rsid w:val="67EE45F4"/>
    <w:rsid w:val="67EE4F89"/>
    <w:rsid w:val="67EF6907"/>
    <w:rsid w:val="67F00EE7"/>
    <w:rsid w:val="67F02AB0"/>
    <w:rsid w:val="67F02FCA"/>
    <w:rsid w:val="67F0485E"/>
    <w:rsid w:val="67F077F7"/>
    <w:rsid w:val="67F105D6"/>
    <w:rsid w:val="67F1641A"/>
    <w:rsid w:val="67F22493"/>
    <w:rsid w:val="67F24A7A"/>
    <w:rsid w:val="67F307F2"/>
    <w:rsid w:val="67F31F56"/>
    <w:rsid w:val="67F3434E"/>
    <w:rsid w:val="67F43F20"/>
    <w:rsid w:val="67F464DC"/>
    <w:rsid w:val="67F4676D"/>
    <w:rsid w:val="67F46E08"/>
    <w:rsid w:val="67F4775D"/>
    <w:rsid w:val="67F500C6"/>
    <w:rsid w:val="67F51E74"/>
    <w:rsid w:val="67F56318"/>
    <w:rsid w:val="67F56DB2"/>
    <w:rsid w:val="67F5796C"/>
    <w:rsid w:val="67F602C9"/>
    <w:rsid w:val="67F612F5"/>
    <w:rsid w:val="67F616AF"/>
    <w:rsid w:val="67F66BCE"/>
    <w:rsid w:val="67F67CB7"/>
    <w:rsid w:val="67F70971"/>
    <w:rsid w:val="67F7170B"/>
    <w:rsid w:val="67F71C1E"/>
    <w:rsid w:val="67F72090"/>
    <w:rsid w:val="67F74AB9"/>
    <w:rsid w:val="67F74E5D"/>
    <w:rsid w:val="67F77A6F"/>
    <w:rsid w:val="67F81964"/>
    <w:rsid w:val="67F81B86"/>
    <w:rsid w:val="67F8607E"/>
    <w:rsid w:val="67F94E75"/>
    <w:rsid w:val="67F97555"/>
    <w:rsid w:val="67FA1B80"/>
    <w:rsid w:val="67FA56DC"/>
    <w:rsid w:val="67FB2660"/>
    <w:rsid w:val="67FB3202"/>
    <w:rsid w:val="67FB38F5"/>
    <w:rsid w:val="67FC1454"/>
    <w:rsid w:val="67FD51CC"/>
    <w:rsid w:val="67FD6F7B"/>
    <w:rsid w:val="67FE38AF"/>
    <w:rsid w:val="67FE3B5E"/>
    <w:rsid w:val="67FF042A"/>
    <w:rsid w:val="67FF0888"/>
    <w:rsid w:val="67FF0F45"/>
    <w:rsid w:val="67FF2CF3"/>
    <w:rsid w:val="67FF35EF"/>
    <w:rsid w:val="67FF7197"/>
    <w:rsid w:val="68001115"/>
    <w:rsid w:val="680030D6"/>
    <w:rsid w:val="68004A7F"/>
    <w:rsid w:val="68007FFE"/>
    <w:rsid w:val="68012F0F"/>
    <w:rsid w:val="68016113"/>
    <w:rsid w:val="68020550"/>
    <w:rsid w:val="680221DC"/>
    <w:rsid w:val="680227E3"/>
    <w:rsid w:val="68024591"/>
    <w:rsid w:val="68027FA0"/>
    <w:rsid w:val="68030A35"/>
    <w:rsid w:val="68033236"/>
    <w:rsid w:val="680354B3"/>
    <w:rsid w:val="68040309"/>
    <w:rsid w:val="68043285"/>
    <w:rsid w:val="6804519D"/>
    <w:rsid w:val="680463E8"/>
    <w:rsid w:val="6804655B"/>
    <w:rsid w:val="68054771"/>
    <w:rsid w:val="68055F4C"/>
    <w:rsid w:val="68060525"/>
    <w:rsid w:val="680623D1"/>
    <w:rsid w:val="68062C9F"/>
    <w:rsid w:val="68064081"/>
    <w:rsid w:val="68065F32"/>
    <w:rsid w:val="680705A5"/>
    <w:rsid w:val="68074FF1"/>
    <w:rsid w:val="680762BA"/>
    <w:rsid w:val="6807722A"/>
    <w:rsid w:val="68077DF9"/>
    <w:rsid w:val="68082925"/>
    <w:rsid w:val="6808378D"/>
    <w:rsid w:val="68085DE2"/>
    <w:rsid w:val="6808604B"/>
    <w:rsid w:val="68087C23"/>
    <w:rsid w:val="68087D1C"/>
    <w:rsid w:val="68091DC3"/>
    <w:rsid w:val="6809591F"/>
    <w:rsid w:val="6809711B"/>
    <w:rsid w:val="680B5B3B"/>
    <w:rsid w:val="680B78E9"/>
    <w:rsid w:val="680C118C"/>
    <w:rsid w:val="680C4AAA"/>
    <w:rsid w:val="680C6130"/>
    <w:rsid w:val="680D18B3"/>
    <w:rsid w:val="680D1969"/>
    <w:rsid w:val="680D2629"/>
    <w:rsid w:val="680D3662"/>
    <w:rsid w:val="680D44B2"/>
    <w:rsid w:val="680D4C16"/>
    <w:rsid w:val="680E063A"/>
    <w:rsid w:val="680E086B"/>
    <w:rsid w:val="680E1188"/>
    <w:rsid w:val="680E2F36"/>
    <w:rsid w:val="680E526C"/>
    <w:rsid w:val="680E64F1"/>
    <w:rsid w:val="680E73DA"/>
    <w:rsid w:val="680F7D32"/>
    <w:rsid w:val="68103D0F"/>
    <w:rsid w:val="68104F00"/>
    <w:rsid w:val="68106CAE"/>
    <w:rsid w:val="68111495"/>
    <w:rsid w:val="68111A8C"/>
    <w:rsid w:val="68111AD5"/>
    <w:rsid w:val="68112A26"/>
    <w:rsid w:val="68115A04"/>
    <w:rsid w:val="68116D79"/>
    <w:rsid w:val="6811786D"/>
    <w:rsid w:val="68121BE7"/>
    <w:rsid w:val="681244FC"/>
    <w:rsid w:val="68125922"/>
    <w:rsid w:val="68126913"/>
    <w:rsid w:val="68133988"/>
    <w:rsid w:val="6813679E"/>
    <w:rsid w:val="681433EF"/>
    <w:rsid w:val="68144DEA"/>
    <w:rsid w:val="68146FD4"/>
    <w:rsid w:val="68150768"/>
    <w:rsid w:val="68161876"/>
    <w:rsid w:val="68164673"/>
    <w:rsid w:val="68170338"/>
    <w:rsid w:val="68171D97"/>
    <w:rsid w:val="681744E0"/>
    <w:rsid w:val="6817503B"/>
    <w:rsid w:val="6817628E"/>
    <w:rsid w:val="68184E6F"/>
    <w:rsid w:val="68185BEC"/>
    <w:rsid w:val="68190258"/>
    <w:rsid w:val="68194172"/>
    <w:rsid w:val="681941C2"/>
    <w:rsid w:val="68195CA2"/>
    <w:rsid w:val="681961AD"/>
    <w:rsid w:val="681A0335"/>
    <w:rsid w:val="681A12FC"/>
    <w:rsid w:val="681A18DB"/>
    <w:rsid w:val="681A7B2C"/>
    <w:rsid w:val="681B41EE"/>
    <w:rsid w:val="681B4D81"/>
    <w:rsid w:val="681B5D80"/>
    <w:rsid w:val="681B62C8"/>
    <w:rsid w:val="681B7432"/>
    <w:rsid w:val="681C10D1"/>
    <w:rsid w:val="681C1AF7"/>
    <w:rsid w:val="681C1EE4"/>
    <w:rsid w:val="681C2B17"/>
    <w:rsid w:val="681C54E8"/>
    <w:rsid w:val="681D060C"/>
    <w:rsid w:val="681D2D36"/>
    <w:rsid w:val="681D2DE0"/>
    <w:rsid w:val="681D5108"/>
    <w:rsid w:val="681D761D"/>
    <w:rsid w:val="681E1C64"/>
    <w:rsid w:val="681E73AB"/>
    <w:rsid w:val="681F0D5F"/>
    <w:rsid w:val="681F1498"/>
    <w:rsid w:val="681F15E7"/>
    <w:rsid w:val="681F1608"/>
    <w:rsid w:val="681F3395"/>
    <w:rsid w:val="681F59AF"/>
    <w:rsid w:val="68201CD9"/>
    <w:rsid w:val="68204BCE"/>
    <w:rsid w:val="682054F9"/>
    <w:rsid w:val="68210EBB"/>
    <w:rsid w:val="68212C69"/>
    <w:rsid w:val="68216F19"/>
    <w:rsid w:val="6821710D"/>
    <w:rsid w:val="68220746"/>
    <w:rsid w:val="68224276"/>
    <w:rsid w:val="68224C33"/>
    <w:rsid w:val="682269E1"/>
    <w:rsid w:val="682279A9"/>
    <w:rsid w:val="682329EA"/>
    <w:rsid w:val="68232E85"/>
    <w:rsid w:val="682409AB"/>
    <w:rsid w:val="68242759"/>
    <w:rsid w:val="68244D36"/>
    <w:rsid w:val="6824701C"/>
    <w:rsid w:val="68247DD8"/>
    <w:rsid w:val="6825280A"/>
    <w:rsid w:val="682536CF"/>
    <w:rsid w:val="682620B1"/>
    <w:rsid w:val="682634EB"/>
    <w:rsid w:val="68264723"/>
    <w:rsid w:val="68265C38"/>
    <w:rsid w:val="68266D62"/>
    <w:rsid w:val="682701EF"/>
    <w:rsid w:val="68271D2A"/>
    <w:rsid w:val="682727FB"/>
    <w:rsid w:val="68272865"/>
    <w:rsid w:val="68272D86"/>
    <w:rsid w:val="682732A7"/>
    <w:rsid w:val="68273322"/>
    <w:rsid w:val="6827345C"/>
    <w:rsid w:val="68273FF7"/>
    <w:rsid w:val="68274120"/>
    <w:rsid w:val="682749F1"/>
    <w:rsid w:val="68277C2A"/>
    <w:rsid w:val="68281838"/>
    <w:rsid w:val="6828218F"/>
    <w:rsid w:val="68282249"/>
    <w:rsid w:val="68283C8B"/>
    <w:rsid w:val="68284298"/>
    <w:rsid w:val="68293235"/>
    <w:rsid w:val="682A1944"/>
    <w:rsid w:val="682A1E6F"/>
    <w:rsid w:val="682A229E"/>
    <w:rsid w:val="682A582C"/>
    <w:rsid w:val="682A7CEC"/>
    <w:rsid w:val="682B0196"/>
    <w:rsid w:val="682B1D3A"/>
    <w:rsid w:val="682B2CF9"/>
    <w:rsid w:val="682B7F8C"/>
    <w:rsid w:val="682C1010"/>
    <w:rsid w:val="682C160E"/>
    <w:rsid w:val="682C19AE"/>
    <w:rsid w:val="682C260C"/>
    <w:rsid w:val="682D25BE"/>
    <w:rsid w:val="682D2F31"/>
    <w:rsid w:val="682D3309"/>
    <w:rsid w:val="682D593B"/>
    <w:rsid w:val="682D5AB2"/>
    <w:rsid w:val="682E014B"/>
    <w:rsid w:val="682E19A4"/>
    <w:rsid w:val="682E1B79"/>
    <w:rsid w:val="682E20C1"/>
    <w:rsid w:val="682E35D8"/>
    <w:rsid w:val="682E4B68"/>
    <w:rsid w:val="682E5386"/>
    <w:rsid w:val="682E57B3"/>
    <w:rsid w:val="682E63BC"/>
    <w:rsid w:val="682F001D"/>
    <w:rsid w:val="682F03CD"/>
    <w:rsid w:val="682F0DD2"/>
    <w:rsid w:val="682F4069"/>
    <w:rsid w:val="682F7A3E"/>
    <w:rsid w:val="68304FEE"/>
    <w:rsid w:val="683071D0"/>
    <w:rsid w:val="683110C4"/>
    <w:rsid w:val="68317E85"/>
    <w:rsid w:val="68320D59"/>
    <w:rsid w:val="6832131A"/>
    <w:rsid w:val="683229E5"/>
    <w:rsid w:val="683230C8"/>
    <w:rsid w:val="683235ED"/>
    <w:rsid w:val="683255DE"/>
    <w:rsid w:val="6832564A"/>
    <w:rsid w:val="68327DEB"/>
    <w:rsid w:val="68331281"/>
    <w:rsid w:val="683313F9"/>
    <w:rsid w:val="6833145C"/>
    <w:rsid w:val="6833299C"/>
    <w:rsid w:val="68341EAC"/>
    <w:rsid w:val="68342933"/>
    <w:rsid w:val="68343DC4"/>
    <w:rsid w:val="683464C5"/>
    <w:rsid w:val="68346BCC"/>
    <w:rsid w:val="68347522"/>
    <w:rsid w:val="68352296"/>
    <w:rsid w:val="683536BE"/>
    <w:rsid w:val="68354702"/>
    <w:rsid w:val="68354DFF"/>
    <w:rsid w:val="68356714"/>
    <w:rsid w:val="68360A3C"/>
    <w:rsid w:val="68362B30"/>
    <w:rsid w:val="68363E0D"/>
    <w:rsid w:val="68365553"/>
    <w:rsid w:val="683706DE"/>
    <w:rsid w:val="68370BAF"/>
    <w:rsid w:val="68372311"/>
    <w:rsid w:val="68376930"/>
    <w:rsid w:val="683809C6"/>
    <w:rsid w:val="68384242"/>
    <w:rsid w:val="68384C5E"/>
    <w:rsid w:val="68386205"/>
    <w:rsid w:val="68391610"/>
    <w:rsid w:val="683917AA"/>
    <w:rsid w:val="683926A8"/>
    <w:rsid w:val="6839533E"/>
    <w:rsid w:val="683A13BC"/>
    <w:rsid w:val="683A1F7D"/>
    <w:rsid w:val="683A3A89"/>
    <w:rsid w:val="683A590B"/>
    <w:rsid w:val="683A6AE6"/>
    <w:rsid w:val="683A6F19"/>
    <w:rsid w:val="683B6A2E"/>
    <w:rsid w:val="683B7530"/>
    <w:rsid w:val="683B7EF5"/>
    <w:rsid w:val="683C2DC1"/>
    <w:rsid w:val="683C2DEC"/>
    <w:rsid w:val="683C3F47"/>
    <w:rsid w:val="683C4C6E"/>
    <w:rsid w:val="683C5C08"/>
    <w:rsid w:val="683C5CF5"/>
    <w:rsid w:val="683C6586"/>
    <w:rsid w:val="683C7AA3"/>
    <w:rsid w:val="683D1E50"/>
    <w:rsid w:val="683D2750"/>
    <w:rsid w:val="683D4D69"/>
    <w:rsid w:val="683D5150"/>
    <w:rsid w:val="683E019A"/>
    <w:rsid w:val="683E1A6D"/>
    <w:rsid w:val="683E3F1B"/>
    <w:rsid w:val="683E7376"/>
    <w:rsid w:val="683E7CBF"/>
    <w:rsid w:val="683F24FA"/>
    <w:rsid w:val="683F57E5"/>
    <w:rsid w:val="683F5E57"/>
    <w:rsid w:val="683F7341"/>
    <w:rsid w:val="68401EE9"/>
    <w:rsid w:val="68406E4E"/>
    <w:rsid w:val="6841330B"/>
    <w:rsid w:val="68413EEA"/>
    <w:rsid w:val="6841412B"/>
    <w:rsid w:val="684150B9"/>
    <w:rsid w:val="68420D46"/>
    <w:rsid w:val="68424832"/>
    <w:rsid w:val="68425FA3"/>
    <w:rsid w:val="68427403"/>
    <w:rsid w:val="684352D5"/>
    <w:rsid w:val="68435CC2"/>
    <w:rsid w:val="68437083"/>
    <w:rsid w:val="6844104D"/>
    <w:rsid w:val="68442DFB"/>
    <w:rsid w:val="68443E96"/>
    <w:rsid w:val="68444276"/>
    <w:rsid w:val="68447580"/>
    <w:rsid w:val="6845310D"/>
    <w:rsid w:val="68456231"/>
    <w:rsid w:val="68456BA0"/>
    <w:rsid w:val="684572FE"/>
    <w:rsid w:val="68457F86"/>
    <w:rsid w:val="684626D0"/>
    <w:rsid w:val="684661E6"/>
    <w:rsid w:val="68466B73"/>
    <w:rsid w:val="6846757A"/>
    <w:rsid w:val="6847596D"/>
    <w:rsid w:val="68475AD3"/>
    <w:rsid w:val="68477554"/>
    <w:rsid w:val="684828EC"/>
    <w:rsid w:val="68483B74"/>
    <w:rsid w:val="6848469A"/>
    <w:rsid w:val="68486A44"/>
    <w:rsid w:val="6849013B"/>
    <w:rsid w:val="68490412"/>
    <w:rsid w:val="68490917"/>
    <w:rsid w:val="68494026"/>
    <w:rsid w:val="6849772C"/>
    <w:rsid w:val="684A2A56"/>
    <w:rsid w:val="684A2AF0"/>
    <w:rsid w:val="684B0889"/>
    <w:rsid w:val="684B23DC"/>
    <w:rsid w:val="684B3D5C"/>
    <w:rsid w:val="684B60AA"/>
    <w:rsid w:val="684B7025"/>
    <w:rsid w:val="684B7B60"/>
    <w:rsid w:val="684B7EAC"/>
    <w:rsid w:val="684C0433"/>
    <w:rsid w:val="684C5C16"/>
    <w:rsid w:val="684C7418"/>
    <w:rsid w:val="684D0BEC"/>
    <w:rsid w:val="684D1456"/>
    <w:rsid w:val="684D191B"/>
    <w:rsid w:val="684D1945"/>
    <w:rsid w:val="684D6426"/>
    <w:rsid w:val="684D6CF1"/>
    <w:rsid w:val="684D7F02"/>
    <w:rsid w:val="684E371E"/>
    <w:rsid w:val="684E5A28"/>
    <w:rsid w:val="684E5D72"/>
    <w:rsid w:val="684F051A"/>
    <w:rsid w:val="684F2E89"/>
    <w:rsid w:val="684F3C7A"/>
    <w:rsid w:val="684F6E36"/>
    <w:rsid w:val="685017A0"/>
    <w:rsid w:val="68501A07"/>
    <w:rsid w:val="68503917"/>
    <w:rsid w:val="6850429B"/>
    <w:rsid w:val="685047AB"/>
    <w:rsid w:val="6850488D"/>
    <w:rsid w:val="685069A5"/>
    <w:rsid w:val="685079F2"/>
    <w:rsid w:val="685120CC"/>
    <w:rsid w:val="68517FDD"/>
    <w:rsid w:val="6852293C"/>
    <w:rsid w:val="68525518"/>
    <w:rsid w:val="685272C6"/>
    <w:rsid w:val="685317E9"/>
    <w:rsid w:val="685318F6"/>
    <w:rsid w:val="6853303E"/>
    <w:rsid w:val="68534DEC"/>
    <w:rsid w:val="68535250"/>
    <w:rsid w:val="68540F9A"/>
    <w:rsid w:val="68541290"/>
    <w:rsid w:val="68541376"/>
    <w:rsid w:val="68550B65"/>
    <w:rsid w:val="68551E6A"/>
    <w:rsid w:val="68552CA8"/>
    <w:rsid w:val="68553D85"/>
    <w:rsid w:val="68555098"/>
    <w:rsid w:val="6855651E"/>
    <w:rsid w:val="68556DB1"/>
    <w:rsid w:val="68556DB7"/>
    <w:rsid w:val="68556F94"/>
    <w:rsid w:val="68557103"/>
    <w:rsid w:val="68561413"/>
    <w:rsid w:val="68562500"/>
    <w:rsid w:val="68563483"/>
    <w:rsid w:val="68564EDC"/>
    <w:rsid w:val="68570D81"/>
    <w:rsid w:val="68571104"/>
    <w:rsid w:val="685748DD"/>
    <w:rsid w:val="68580655"/>
    <w:rsid w:val="685806DB"/>
    <w:rsid w:val="685812C9"/>
    <w:rsid w:val="68581C64"/>
    <w:rsid w:val="68581CF0"/>
    <w:rsid w:val="68584F18"/>
    <w:rsid w:val="68587136"/>
    <w:rsid w:val="68594AF9"/>
    <w:rsid w:val="6859547E"/>
    <w:rsid w:val="685A0FFC"/>
    <w:rsid w:val="685A261F"/>
    <w:rsid w:val="685A43CD"/>
    <w:rsid w:val="685A617B"/>
    <w:rsid w:val="685A70AD"/>
    <w:rsid w:val="685A7B68"/>
    <w:rsid w:val="685B21F7"/>
    <w:rsid w:val="685B5F96"/>
    <w:rsid w:val="685B6B1A"/>
    <w:rsid w:val="685B7D3F"/>
    <w:rsid w:val="685C0145"/>
    <w:rsid w:val="685C1EF3"/>
    <w:rsid w:val="685C6397"/>
    <w:rsid w:val="685D143A"/>
    <w:rsid w:val="685D1B2A"/>
    <w:rsid w:val="685D3254"/>
    <w:rsid w:val="685E13B0"/>
    <w:rsid w:val="685E210F"/>
    <w:rsid w:val="685E28DA"/>
    <w:rsid w:val="685E3EBD"/>
    <w:rsid w:val="685E5279"/>
    <w:rsid w:val="685E607F"/>
    <w:rsid w:val="685F19E3"/>
    <w:rsid w:val="685F1D41"/>
    <w:rsid w:val="685F6E91"/>
    <w:rsid w:val="685F7C35"/>
    <w:rsid w:val="6860007F"/>
    <w:rsid w:val="68601F35"/>
    <w:rsid w:val="68602388"/>
    <w:rsid w:val="68611FF8"/>
    <w:rsid w:val="686139AD"/>
    <w:rsid w:val="6861575B"/>
    <w:rsid w:val="68620DAB"/>
    <w:rsid w:val="68622F1A"/>
    <w:rsid w:val="68623356"/>
    <w:rsid w:val="686233F5"/>
    <w:rsid w:val="68625A70"/>
    <w:rsid w:val="68632C80"/>
    <w:rsid w:val="686340C5"/>
    <w:rsid w:val="68634AEE"/>
    <w:rsid w:val="68635F2C"/>
    <w:rsid w:val="68637725"/>
    <w:rsid w:val="68641CF6"/>
    <w:rsid w:val="6864524C"/>
    <w:rsid w:val="68646931"/>
    <w:rsid w:val="6865279D"/>
    <w:rsid w:val="68652F67"/>
    <w:rsid w:val="686616DB"/>
    <w:rsid w:val="68661CD2"/>
    <w:rsid w:val="68662D72"/>
    <w:rsid w:val="686715D4"/>
    <w:rsid w:val="68677BDA"/>
    <w:rsid w:val="68680141"/>
    <w:rsid w:val="68680898"/>
    <w:rsid w:val="68684D3A"/>
    <w:rsid w:val="6868654D"/>
    <w:rsid w:val="68686AEA"/>
    <w:rsid w:val="686925DC"/>
    <w:rsid w:val="686927C5"/>
    <w:rsid w:val="68693C51"/>
    <w:rsid w:val="68693D84"/>
    <w:rsid w:val="68694D77"/>
    <w:rsid w:val="68696F3D"/>
    <w:rsid w:val="686A0AB4"/>
    <w:rsid w:val="686A1C23"/>
    <w:rsid w:val="686A1D66"/>
    <w:rsid w:val="686A3AA5"/>
    <w:rsid w:val="686A3AD9"/>
    <w:rsid w:val="686A462D"/>
    <w:rsid w:val="686B2395"/>
    <w:rsid w:val="686B27C8"/>
    <w:rsid w:val="686B482C"/>
    <w:rsid w:val="686B5650"/>
    <w:rsid w:val="686C5281"/>
    <w:rsid w:val="686C635E"/>
    <w:rsid w:val="686C6CDB"/>
    <w:rsid w:val="686D1C58"/>
    <w:rsid w:val="686D24D1"/>
    <w:rsid w:val="686D4100"/>
    <w:rsid w:val="686D5EAE"/>
    <w:rsid w:val="686D68D4"/>
    <w:rsid w:val="686D6EAF"/>
    <w:rsid w:val="686E1C26"/>
    <w:rsid w:val="686E1F33"/>
    <w:rsid w:val="686E3FE4"/>
    <w:rsid w:val="686E4F90"/>
    <w:rsid w:val="686E7166"/>
    <w:rsid w:val="686F0ED6"/>
    <w:rsid w:val="686F2762"/>
    <w:rsid w:val="686F3FAB"/>
    <w:rsid w:val="686F40F6"/>
    <w:rsid w:val="686F51AE"/>
    <w:rsid w:val="686F57C4"/>
    <w:rsid w:val="68704083"/>
    <w:rsid w:val="687049A7"/>
    <w:rsid w:val="6870599E"/>
    <w:rsid w:val="68706054"/>
    <w:rsid w:val="68710D40"/>
    <w:rsid w:val="68713911"/>
    <w:rsid w:val="68715C6B"/>
    <w:rsid w:val="68715F54"/>
    <w:rsid w:val="68721717"/>
    <w:rsid w:val="68721751"/>
    <w:rsid w:val="687217CE"/>
    <w:rsid w:val="68724DA1"/>
    <w:rsid w:val="687318F4"/>
    <w:rsid w:val="68732100"/>
    <w:rsid w:val="68733660"/>
    <w:rsid w:val="6873723D"/>
    <w:rsid w:val="687409E3"/>
    <w:rsid w:val="6874286B"/>
    <w:rsid w:val="687436E1"/>
    <w:rsid w:val="6874548F"/>
    <w:rsid w:val="68746624"/>
    <w:rsid w:val="68746C44"/>
    <w:rsid w:val="687474F3"/>
    <w:rsid w:val="6875397F"/>
    <w:rsid w:val="68754D66"/>
    <w:rsid w:val="68757459"/>
    <w:rsid w:val="68761FE1"/>
    <w:rsid w:val="68763247"/>
    <w:rsid w:val="68767773"/>
    <w:rsid w:val="687716E8"/>
    <w:rsid w:val="68774F7F"/>
    <w:rsid w:val="68775DA4"/>
    <w:rsid w:val="68776D2D"/>
    <w:rsid w:val="68780C13"/>
    <w:rsid w:val="68782654"/>
    <w:rsid w:val="68782C45"/>
    <w:rsid w:val="68784231"/>
    <w:rsid w:val="6878474F"/>
    <w:rsid w:val="68784853"/>
    <w:rsid w:val="68785B9F"/>
    <w:rsid w:val="68790CF7"/>
    <w:rsid w:val="68792AA5"/>
    <w:rsid w:val="68796B4F"/>
    <w:rsid w:val="687A4A6F"/>
    <w:rsid w:val="687A681D"/>
    <w:rsid w:val="687B2E41"/>
    <w:rsid w:val="687B37F1"/>
    <w:rsid w:val="687B51FF"/>
    <w:rsid w:val="687B6083"/>
    <w:rsid w:val="687C0A24"/>
    <w:rsid w:val="687C1925"/>
    <w:rsid w:val="687C4103"/>
    <w:rsid w:val="687C4343"/>
    <w:rsid w:val="687C493B"/>
    <w:rsid w:val="687C7443"/>
    <w:rsid w:val="687D3127"/>
    <w:rsid w:val="687D3E34"/>
    <w:rsid w:val="687D54C9"/>
    <w:rsid w:val="687E0B87"/>
    <w:rsid w:val="687E0B9C"/>
    <w:rsid w:val="687E1EA1"/>
    <w:rsid w:val="687E2D50"/>
    <w:rsid w:val="687E3F89"/>
    <w:rsid w:val="687E455F"/>
    <w:rsid w:val="687E630D"/>
    <w:rsid w:val="687F0831"/>
    <w:rsid w:val="687F1DA3"/>
    <w:rsid w:val="687F47D4"/>
    <w:rsid w:val="687F5BE1"/>
    <w:rsid w:val="688007C3"/>
    <w:rsid w:val="688017C0"/>
    <w:rsid w:val="68802085"/>
    <w:rsid w:val="688031D2"/>
    <w:rsid w:val="68805C64"/>
    <w:rsid w:val="68806BAE"/>
    <w:rsid w:val="6881195A"/>
    <w:rsid w:val="68815085"/>
    <w:rsid w:val="68815DFE"/>
    <w:rsid w:val="688164B9"/>
    <w:rsid w:val="688169BE"/>
    <w:rsid w:val="68817BAC"/>
    <w:rsid w:val="68822F0A"/>
    <w:rsid w:val="68827408"/>
    <w:rsid w:val="68831B76"/>
    <w:rsid w:val="688334B8"/>
    <w:rsid w:val="68833924"/>
    <w:rsid w:val="688349FF"/>
    <w:rsid w:val="688356D2"/>
    <w:rsid w:val="68836876"/>
    <w:rsid w:val="68837537"/>
    <w:rsid w:val="68840459"/>
    <w:rsid w:val="688405F1"/>
    <w:rsid w:val="688431F8"/>
    <w:rsid w:val="688436A3"/>
    <w:rsid w:val="688471B6"/>
    <w:rsid w:val="688558EE"/>
    <w:rsid w:val="6885707C"/>
    <w:rsid w:val="6885783E"/>
    <w:rsid w:val="68857E23"/>
    <w:rsid w:val="68865B9C"/>
    <w:rsid w:val="688665D2"/>
    <w:rsid w:val="68866B0F"/>
    <w:rsid w:val="68867766"/>
    <w:rsid w:val="68871751"/>
    <w:rsid w:val="68880F3A"/>
    <w:rsid w:val="68882CE8"/>
    <w:rsid w:val="6888604B"/>
    <w:rsid w:val="6888718C"/>
    <w:rsid w:val="68890DEB"/>
    <w:rsid w:val="68894CED"/>
    <w:rsid w:val="688965FF"/>
    <w:rsid w:val="688A1D42"/>
    <w:rsid w:val="688A2F04"/>
    <w:rsid w:val="688A447B"/>
    <w:rsid w:val="688A4CB2"/>
    <w:rsid w:val="688A7E11"/>
    <w:rsid w:val="688B0A2A"/>
    <w:rsid w:val="688B18B9"/>
    <w:rsid w:val="688B36F3"/>
    <w:rsid w:val="688B6758"/>
    <w:rsid w:val="688C31CF"/>
    <w:rsid w:val="688D02FE"/>
    <w:rsid w:val="688D1867"/>
    <w:rsid w:val="688D2938"/>
    <w:rsid w:val="688D300E"/>
    <w:rsid w:val="688D36E5"/>
    <w:rsid w:val="688D47A2"/>
    <w:rsid w:val="688D7732"/>
    <w:rsid w:val="688D7C63"/>
    <w:rsid w:val="688E11A6"/>
    <w:rsid w:val="688E2E39"/>
    <w:rsid w:val="688E3350"/>
    <w:rsid w:val="688E4077"/>
    <w:rsid w:val="688E5747"/>
    <w:rsid w:val="688E63FB"/>
    <w:rsid w:val="688E6AB2"/>
    <w:rsid w:val="688F051A"/>
    <w:rsid w:val="688F28AE"/>
    <w:rsid w:val="688F37C9"/>
    <w:rsid w:val="68906041"/>
    <w:rsid w:val="68907DEF"/>
    <w:rsid w:val="68911B17"/>
    <w:rsid w:val="68916985"/>
    <w:rsid w:val="689217A7"/>
    <w:rsid w:val="68923629"/>
    <w:rsid w:val="68923B67"/>
    <w:rsid w:val="68932F5C"/>
    <w:rsid w:val="68934499"/>
    <w:rsid w:val="68940042"/>
    <w:rsid w:val="6894209E"/>
    <w:rsid w:val="68945B31"/>
    <w:rsid w:val="689478DF"/>
    <w:rsid w:val="689502B3"/>
    <w:rsid w:val="68951A30"/>
    <w:rsid w:val="68955405"/>
    <w:rsid w:val="68961AC2"/>
    <w:rsid w:val="68961CEF"/>
    <w:rsid w:val="68967E6C"/>
    <w:rsid w:val="68970B65"/>
    <w:rsid w:val="689722E6"/>
    <w:rsid w:val="68973A58"/>
    <w:rsid w:val="6897562C"/>
    <w:rsid w:val="689773CF"/>
    <w:rsid w:val="68981051"/>
    <w:rsid w:val="68986ABC"/>
    <w:rsid w:val="68987DA2"/>
    <w:rsid w:val="6899153E"/>
    <w:rsid w:val="689927A1"/>
    <w:rsid w:val="68994169"/>
    <w:rsid w:val="68994EF5"/>
    <w:rsid w:val="689955EA"/>
    <w:rsid w:val="68997B89"/>
    <w:rsid w:val="689A2A1B"/>
    <w:rsid w:val="689A6532"/>
    <w:rsid w:val="689A6D89"/>
    <w:rsid w:val="689A6E4F"/>
    <w:rsid w:val="689A7135"/>
    <w:rsid w:val="689B161C"/>
    <w:rsid w:val="689B1B1F"/>
    <w:rsid w:val="689B1FB4"/>
    <w:rsid w:val="689B3C50"/>
    <w:rsid w:val="689B6EBF"/>
    <w:rsid w:val="689C05C9"/>
    <w:rsid w:val="689C1346"/>
    <w:rsid w:val="689C2AD8"/>
    <w:rsid w:val="689C2C37"/>
    <w:rsid w:val="689C6793"/>
    <w:rsid w:val="689C6E82"/>
    <w:rsid w:val="689D4C86"/>
    <w:rsid w:val="689D7088"/>
    <w:rsid w:val="689E11ED"/>
    <w:rsid w:val="689E250C"/>
    <w:rsid w:val="689E3BDB"/>
    <w:rsid w:val="689E42BA"/>
    <w:rsid w:val="689F0032"/>
    <w:rsid w:val="689F73C7"/>
    <w:rsid w:val="68A00301"/>
    <w:rsid w:val="68A060AF"/>
    <w:rsid w:val="68A1024E"/>
    <w:rsid w:val="68A112AF"/>
    <w:rsid w:val="68A119DF"/>
    <w:rsid w:val="68A14B27"/>
    <w:rsid w:val="68A22B1E"/>
    <w:rsid w:val="68A33FC6"/>
    <w:rsid w:val="68A366E0"/>
    <w:rsid w:val="68A42530"/>
    <w:rsid w:val="68A44B73"/>
    <w:rsid w:val="68A45410"/>
    <w:rsid w:val="68A45648"/>
    <w:rsid w:val="68A54EA3"/>
    <w:rsid w:val="68A613C0"/>
    <w:rsid w:val="68A65864"/>
    <w:rsid w:val="68A658B7"/>
    <w:rsid w:val="68A666E7"/>
    <w:rsid w:val="68A67612"/>
    <w:rsid w:val="68A70AA5"/>
    <w:rsid w:val="68A7147B"/>
    <w:rsid w:val="68A74AFF"/>
    <w:rsid w:val="68A74C91"/>
    <w:rsid w:val="68A815DC"/>
    <w:rsid w:val="68A828FF"/>
    <w:rsid w:val="68A83123"/>
    <w:rsid w:val="68A84482"/>
    <w:rsid w:val="68A8457D"/>
    <w:rsid w:val="68A84BDA"/>
    <w:rsid w:val="68A90D75"/>
    <w:rsid w:val="68A94B79"/>
    <w:rsid w:val="68A94EE0"/>
    <w:rsid w:val="68AA0334"/>
    <w:rsid w:val="68AA0BDE"/>
    <w:rsid w:val="68AA3833"/>
    <w:rsid w:val="68AA5354"/>
    <w:rsid w:val="68AA5CEF"/>
    <w:rsid w:val="68AB0A97"/>
    <w:rsid w:val="68AB2E7A"/>
    <w:rsid w:val="68AB57BE"/>
    <w:rsid w:val="68AB69D7"/>
    <w:rsid w:val="68AB73D1"/>
    <w:rsid w:val="68AC464B"/>
    <w:rsid w:val="68AC4A10"/>
    <w:rsid w:val="68AC7398"/>
    <w:rsid w:val="68AD09A1"/>
    <w:rsid w:val="68AD1093"/>
    <w:rsid w:val="68AD63C2"/>
    <w:rsid w:val="68AD6BF3"/>
    <w:rsid w:val="68AE0CE2"/>
    <w:rsid w:val="68AE270F"/>
    <w:rsid w:val="68AE4DB6"/>
    <w:rsid w:val="68AE614F"/>
    <w:rsid w:val="68AF1894"/>
    <w:rsid w:val="68AF296B"/>
    <w:rsid w:val="68AF2A13"/>
    <w:rsid w:val="68AF301C"/>
    <w:rsid w:val="68AF4719"/>
    <w:rsid w:val="68AF66C4"/>
    <w:rsid w:val="68B0336E"/>
    <w:rsid w:val="68B03FED"/>
    <w:rsid w:val="68B05B70"/>
    <w:rsid w:val="68B07F3A"/>
    <w:rsid w:val="68B1076B"/>
    <w:rsid w:val="68B10949"/>
    <w:rsid w:val="68B10DA4"/>
    <w:rsid w:val="68B24209"/>
    <w:rsid w:val="68B2471A"/>
    <w:rsid w:val="68B24E64"/>
    <w:rsid w:val="68B25665"/>
    <w:rsid w:val="68B25FB7"/>
    <w:rsid w:val="68B263AD"/>
    <w:rsid w:val="68B27D65"/>
    <w:rsid w:val="68B33CB6"/>
    <w:rsid w:val="68B3786D"/>
    <w:rsid w:val="68B42B03"/>
    <w:rsid w:val="68B43ADD"/>
    <w:rsid w:val="68B43DBF"/>
    <w:rsid w:val="68B51201"/>
    <w:rsid w:val="68B5238E"/>
    <w:rsid w:val="68B5646E"/>
    <w:rsid w:val="68B57855"/>
    <w:rsid w:val="68B57D7D"/>
    <w:rsid w:val="68B608BC"/>
    <w:rsid w:val="68B63CF9"/>
    <w:rsid w:val="68B64EE7"/>
    <w:rsid w:val="68B650CF"/>
    <w:rsid w:val="68B65AA7"/>
    <w:rsid w:val="68B70C11"/>
    <w:rsid w:val="68B7181F"/>
    <w:rsid w:val="68B72779"/>
    <w:rsid w:val="68B72C99"/>
    <w:rsid w:val="68B735CD"/>
    <w:rsid w:val="68B826D8"/>
    <w:rsid w:val="68B82A1F"/>
    <w:rsid w:val="68B83031"/>
    <w:rsid w:val="68B834D5"/>
    <w:rsid w:val="68B860A6"/>
    <w:rsid w:val="68B91A5A"/>
    <w:rsid w:val="68B956C5"/>
    <w:rsid w:val="68B96CA1"/>
    <w:rsid w:val="68B97536"/>
    <w:rsid w:val="68BA1EB3"/>
    <w:rsid w:val="68BA2B69"/>
    <w:rsid w:val="68BA342B"/>
    <w:rsid w:val="68BA407B"/>
    <w:rsid w:val="68BA46B5"/>
    <w:rsid w:val="68BA4E6C"/>
    <w:rsid w:val="68BA78CF"/>
    <w:rsid w:val="68BB0C15"/>
    <w:rsid w:val="68BB0D9D"/>
    <w:rsid w:val="68BB46FC"/>
    <w:rsid w:val="68BB70AE"/>
    <w:rsid w:val="68BC0BE4"/>
    <w:rsid w:val="68BC2510"/>
    <w:rsid w:val="68BC4A27"/>
    <w:rsid w:val="68BC6E36"/>
    <w:rsid w:val="68BC707B"/>
    <w:rsid w:val="68BD3877"/>
    <w:rsid w:val="68BE2BAE"/>
    <w:rsid w:val="68BE495C"/>
    <w:rsid w:val="68BE5B6E"/>
    <w:rsid w:val="68BE670A"/>
    <w:rsid w:val="68BF1E69"/>
    <w:rsid w:val="68BF3B9B"/>
    <w:rsid w:val="68C006D4"/>
    <w:rsid w:val="68C0149A"/>
    <w:rsid w:val="68C01660"/>
    <w:rsid w:val="68C05C4F"/>
    <w:rsid w:val="68C06926"/>
    <w:rsid w:val="68C10FC2"/>
    <w:rsid w:val="68C11ECE"/>
    <w:rsid w:val="68C124A4"/>
    <w:rsid w:val="68C1253C"/>
    <w:rsid w:val="68C14587"/>
    <w:rsid w:val="68C15100"/>
    <w:rsid w:val="68C201CA"/>
    <w:rsid w:val="68C207A0"/>
    <w:rsid w:val="68C219F8"/>
    <w:rsid w:val="68C25C13"/>
    <w:rsid w:val="68C27158"/>
    <w:rsid w:val="68C301C4"/>
    <w:rsid w:val="68C30205"/>
    <w:rsid w:val="68C31F72"/>
    <w:rsid w:val="68C331B9"/>
    <w:rsid w:val="68C33D20"/>
    <w:rsid w:val="68C36416"/>
    <w:rsid w:val="68C40B26"/>
    <w:rsid w:val="68C46D46"/>
    <w:rsid w:val="68C46ED0"/>
    <w:rsid w:val="68C47B26"/>
    <w:rsid w:val="68C502DC"/>
    <w:rsid w:val="68C5177F"/>
    <w:rsid w:val="68C528AC"/>
    <w:rsid w:val="68C52AB9"/>
    <w:rsid w:val="68C53596"/>
    <w:rsid w:val="68C53F3C"/>
    <w:rsid w:val="68C606AA"/>
    <w:rsid w:val="68C614FF"/>
    <w:rsid w:val="68C62E11"/>
    <w:rsid w:val="68C63810"/>
    <w:rsid w:val="68C63E13"/>
    <w:rsid w:val="68C643B9"/>
    <w:rsid w:val="68C64660"/>
    <w:rsid w:val="68C656C9"/>
    <w:rsid w:val="68C67E89"/>
    <w:rsid w:val="68C72FCA"/>
    <w:rsid w:val="68C74A62"/>
    <w:rsid w:val="68C76BF4"/>
    <w:rsid w:val="68C77CB4"/>
    <w:rsid w:val="68C820B7"/>
    <w:rsid w:val="68C857DA"/>
    <w:rsid w:val="68C868F7"/>
    <w:rsid w:val="68C87BA3"/>
    <w:rsid w:val="68C87EAD"/>
    <w:rsid w:val="68C91693"/>
    <w:rsid w:val="68C958EA"/>
    <w:rsid w:val="68C95A84"/>
    <w:rsid w:val="68CA0D5A"/>
    <w:rsid w:val="68CA1553"/>
    <w:rsid w:val="68CA3301"/>
    <w:rsid w:val="68CA4D2B"/>
    <w:rsid w:val="68CA4F6C"/>
    <w:rsid w:val="68CA50AF"/>
    <w:rsid w:val="68CA5689"/>
    <w:rsid w:val="68CA77A4"/>
    <w:rsid w:val="68CB18F9"/>
    <w:rsid w:val="68CB2E81"/>
    <w:rsid w:val="68CB6F3A"/>
    <w:rsid w:val="68CC0292"/>
    <w:rsid w:val="68CC031C"/>
    <w:rsid w:val="68CC06E5"/>
    <w:rsid w:val="68CC0F05"/>
    <w:rsid w:val="68CC52CB"/>
    <w:rsid w:val="68CD1043"/>
    <w:rsid w:val="68CD34FD"/>
    <w:rsid w:val="68CD4B9F"/>
    <w:rsid w:val="68CD4DA2"/>
    <w:rsid w:val="68CE688D"/>
    <w:rsid w:val="68CE74C8"/>
    <w:rsid w:val="68CE7A6F"/>
    <w:rsid w:val="68CF4DBB"/>
    <w:rsid w:val="68CF63A7"/>
    <w:rsid w:val="68CF6418"/>
    <w:rsid w:val="68CF7775"/>
    <w:rsid w:val="68D017B0"/>
    <w:rsid w:val="68D0468F"/>
    <w:rsid w:val="68D0643D"/>
    <w:rsid w:val="68D0664D"/>
    <w:rsid w:val="68D07318"/>
    <w:rsid w:val="68D1007F"/>
    <w:rsid w:val="68D128E1"/>
    <w:rsid w:val="68D1568E"/>
    <w:rsid w:val="68D17D5F"/>
    <w:rsid w:val="68D20407"/>
    <w:rsid w:val="68D21E86"/>
    <w:rsid w:val="68D256A2"/>
    <w:rsid w:val="68D25B98"/>
    <w:rsid w:val="68D26659"/>
    <w:rsid w:val="68D300DD"/>
    <w:rsid w:val="68D30D95"/>
    <w:rsid w:val="68D3156D"/>
    <w:rsid w:val="68D40438"/>
    <w:rsid w:val="68D43987"/>
    <w:rsid w:val="68D43F4F"/>
    <w:rsid w:val="68D453B3"/>
    <w:rsid w:val="68D45F2D"/>
    <w:rsid w:val="68D51451"/>
    <w:rsid w:val="68D51AAF"/>
    <w:rsid w:val="68D5282E"/>
    <w:rsid w:val="68D52EEA"/>
    <w:rsid w:val="68D53E8D"/>
    <w:rsid w:val="68D63331"/>
    <w:rsid w:val="68D66149"/>
    <w:rsid w:val="68D66492"/>
    <w:rsid w:val="68D67EF7"/>
    <w:rsid w:val="68D71856"/>
    <w:rsid w:val="68D756E5"/>
    <w:rsid w:val="68D777CC"/>
    <w:rsid w:val="68D83F4F"/>
    <w:rsid w:val="68D87507"/>
    <w:rsid w:val="68D876F9"/>
    <w:rsid w:val="68D92E7F"/>
    <w:rsid w:val="68D93544"/>
    <w:rsid w:val="68DA4684"/>
    <w:rsid w:val="68DA4848"/>
    <w:rsid w:val="68DA6A16"/>
    <w:rsid w:val="68DB550E"/>
    <w:rsid w:val="68DB5E56"/>
    <w:rsid w:val="68DB72BC"/>
    <w:rsid w:val="68DC0CB8"/>
    <w:rsid w:val="68DC3034"/>
    <w:rsid w:val="68DC5D93"/>
    <w:rsid w:val="68DD467B"/>
    <w:rsid w:val="68DD5AD4"/>
    <w:rsid w:val="68DD7113"/>
    <w:rsid w:val="68DD74D8"/>
    <w:rsid w:val="68DD7939"/>
    <w:rsid w:val="68DE277B"/>
    <w:rsid w:val="68DE4A62"/>
    <w:rsid w:val="68DE4FFE"/>
    <w:rsid w:val="68DE6DAC"/>
    <w:rsid w:val="68DF6A79"/>
    <w:rsid w:val="68E00213"/>
    <w:rsid w:val="68E00A78"/>
    <w:rsid w:val="68E00D76"/>
    <w:rsid w:val="68E048D2"/>
    <w:rsid w:val="68E05A97"/>
    <w:rsid w:val="68E1064A"/>
    <w:rsid w:val="68E10D74"/>
    <w:rsid w:val="68E12901"/>
    <w:rsid w:val="68E1689C"/>
    <w:rsid w:val="68E21C73"/>
    <w:rsid w:val="68E269B7"/>
    <w:rsid w:val="68E30B5A"/>
    <w:rsid w:val="68E322A8"/>
    <w:rsid w:val="68E324F2"/>
    <w:rsid w:val="68E343C2"/>
    <w:rsid w:val="68E36170"/>
    <w:rsid w:val="68E36491"/>
    <w:rsid w:val="68E40FDA"/>
    <w:rsid w:val="68E44AB8"/>
    <w:rsid w:val="68E502EF"/>
    <w:rsid w:val="68E503E3"/>
    <w:rsid w:val="68E55367"/>
    <w:rsid w:val="68E5597A"/>
    <w:rsid w:val="68E5638C"/>
    <w:rsid w:val="68E61661"/>
    <w:rsid w:val="68E63EB3"/>
    <w:rsid w:val="68E70983"/>
    <w:rsid w:val="68E70D56"/>
    <w:rsid w:val="68E72104"/>
    <w:rsid w:val="68E72F9F"/>
    <w:rsid w:val="68E744FF"/>
    <w:rsid w:val="68E76220"/>
    <w:rsid w:val="68E766D9"/>
    <w:rsid w:val="68E82F3B"/>
    <w:rsid w:val="68E85E7D"/>
    <w:rsid w:val="68E879CD"/>
    <w:rsid w:val="68E902C9"/>
    <w:rsid w:val="68E9042F"/>
    <w:rsid w:val="68E94052"/>
    <w:rsid w:val="68EA24C7"/>
    <w:rsid w:val="68EA3793"/>
    <w:rsid w:val="68EA39B4"/>
    <w:rsid w:val="68EA5751"/>
    <w:rsid w:val="68EA7444"/>
    <w:rsid w:val="68EB13C7"/>
    <w:rsid w:val="68EB1F35"/>
    <w:rsid w:val="68EB5679"/>
    <w:rsid w:val="68EB5D34"/>
    <w:rsid w:val="68EB66C8"/>
    <w:rsid w:val="68EC17D8"/>
    <w:rsid w:val="68EC23C5"/>
    <w:rsid w:val="68EC4DA2"/>
    <w:rsid w:val="68EC771B"/>
    <w:rsid w:val="68ED1C25"/>
    <w:rsid w:val="68ED1EDD"/>
    <w:rsid w:val="68ED1FFB"/>
    <w:rsid w:val="68ED2261"/>
    <w:rsid w:val="68ED244F"/>
    <w:rsid w:val="68ED3493"/>
    <w:rsid w:val="68ED5241"/>
    <w:rsid w:val="68ED540D"/>
    <w:rsid w:val="68EE0ADC"/>
    <w:rsid w:val="68EE27B7"/>
    <w:rsid w:val="68EE40EE"/>
    <w:rsid w:val="68EE432A"/>
    <w:rsid w:val="68EE4E26"/>
    <w:rsid w:val="68EE5381"/>
    <w:rsid w:val="68EF0FB9"/>
    <w:rsid w:val="68EF169F"/>
    <w:rsid w:val="68EF2D67"/>
    <w:rsid w:val="68EF720B"/>
    <w:rsid w:val="68F00DA7"/>
    <w:rsid w:val="68F0610E"/>
    <w:rsid w:val="68F12404"/>
    <w:rsid w:val="68F149F4"/>
    <w:rsid w:val="68F14C3B"/>
    <w:rsid w:val="68F15433"/>
    <w:rsid w:val="68F15A4B"/>
    <w:rsid w:val="68F16ADF"/>
    <w:rsid w:val="68F17366"/>
    <w:rsid w:val="68F21441"/>
    <w:rsid w:val="68F22857"/>
    <w:rsid w:val="68F228B5"/>
    <w:rsid w:val="68F24605"/>
    <w:rsid w:val="68F2471A"/>
    <w:rsid w:val="68F27F54"/>
    <w:rsid w:val="68F32066"/>
    <w:rsid w:val="68F328F2"/>
    <w:rsid w:val="68F330E1"/>
    <w:rsid w:val="68F35F86"/>
    <w:rsid w:val="68F378DD"/>
    <w:rsid w:val="68F44821"/>
    <w:rsid w:val="68F465CF"/>
    <w:rsid w:val="68F510D9"/>
    <w:rsid w:val="68F51A9C"/>
    <w:rsid w:val="68F52006"/>
    <w:rsid w:val="68F53785"/>
    <w:rsid w:val="68F55EA4"/>
    <w:rsid w:val="68F5772E"/>
    <w:rsid w:val="68F6059A"/>
    <w:rsid w:val="68F61895"/>
    <w:rsid w:val="68F61AF0"/>
    <w:rsid w:val="68F61D1C"/>
    <w:rsid w:val="68F640F6"/>
    <w:rsid w:val="68F71895"/>
    <w:rsid w:val="68F71C1C"/>
    <w:rsid w:val="68F72C3F"/>
    <w:rsid w:val="68F72D18"/>
    <w:rsid w:val="68F75899"/>
    <w:rsid w:val="68F76F02"/>
    <w:rsid w:val="68F81BE7"/>
    <w:rsid w:val="68F8329E"/>
    <w:rsid w:val="68F908EC"/>
    <w:rsid w:val="68F93288"/>
    <w:rsid w:val="68FA0EAB"/>
    <w:rsid w:val="68FA44D6"/>
    <w:rsid w:val="68FA5E59"/>
    <w:rsid w:val="68FB170C"/>
    <w:rsid w:val="68FB5BB0"/>
    <w:rsid w:val="68FB795E"/>
    <w:rsid w:val="68FC0BC0"/>
    <w:rsid w:val="68FC2202"/>
    <w:rsid w:val="68FC220A"/>
    <w:rsid w:val="68FC7232"/>
    <w:rsid w:val="68FD05F7"/>
    <w:rsid w:val="68FD3D64"/>
    <w:rsid w:val="68FE0420"/>
    <w:rsid w:val="68FE11FC"/>
    <w:rsid w:val="68FE3099"/>
    <w:rsid w:val="68FE4EE8"/>
    <w:rsid w:val="68FF6D95"/>
    <w:rsid w:val="69004F74"/>
    <w:rsid w:val="69006D22"/>
    <w:rsid w:val="69007E03"/>
    <w:rsid w:val="69010DA6"/>
    <w:rsid w:val="690115E5"/>
    <w:rsid w:val="69012911"/>
    <w:rsid w:val="69012A9A"/>
    <w:rsid w:val="6901614A"/>
    <w:rsid w:val="690162D8"/>
    <w:rsid w:val="69017E9F"/>
    <w:rsid w:val="69020CEC"/>
    <w:rsid w:val="690225D6"/>
    <w:rsid w:val="690305C1"/>
    <w:rsid w:val="69034A64"/>
    <w:rsid w:val="69035A7B"/>
    <w:rsid w:val="69036813"/>
    <w:rsid w:val="69046928"/>
    <w:rsid w:val="69050634"/>
    <w:rsid w:val="69050904"/>
    <w:rsid w:val="6905258B"/>
    <w:rsid w:val="69054339"/>
    <w:rsid w:val="6905702D"/>
    <w:rsid w:val="69057A92"/>
    <w:rsid w:val="69064BB2"/>
    <w:rsid w:val="690664DA"/>
    <w:rsid w:val="69074555"/>
    <w:rsid w:val="69074F86"/>
    <w:rsid w:val="69076303"/>
    <w:rsid w:val="69081858"/>
    <w:rsid w:val="6908207B"/>
    <w:rsid w:val="69083E29"/>
    <w:rsid w:val="69085584"/>
    <w:rsid w:val="69086D1C"/>
    <w:rsid w:val="69092D7D"/>
    <w:rsid w:val="69092F6C"/>
    <w:rsid w:val="690A594E"/>
    <w:rsid w:val="690A5DF3"/>
    <w:rsid w:val="690A6B79"/>
    <w:rsid w:val="690A7BA1"/>
    <w:rsid w:val="690B34E8"/>
    <w:rsid w:val="690B361F"/>
    <w:rsid w:val="690B56C7"/>
    <w:rsid w:val="690B7213"/>
    <w:rsid w:val="690B7999"/>
    <w:rsid w:val="690C1384"/>
    <w:rsid w:val="690C1867"/>
    <w:rsid w:val="690C18BF"/>
    <w:rsid w:val="690C1B6B"/>
    <w:rsid w:val="690C3919"/>
    <w:rsid w:val="690C54E6"/>
    <w:rsid w:val="690C6499"/>
    <w:rsid w:val="690D143F"/>
    <w:rsid w:val="690D2642"/>
    <w:rsid w:val="690D7691"/>
    <w:rsid w:val="690E1673"/>
    <w:rsid w:val="690E575F"/>
    <w:rsid w:val="690F3409"/>
    <w:rsid w:val="690F51B7"/>
    <w:rsid w:val="690F6BEF"/>
    <w:rsid w:val="690F6F65"/>
    <w:rsid w:val="6910007F"/>
    <w:rsid w:val="6910095E"/>
    <w:rsid w:val="69103FE6"/>
    <w:rsid w:val="6910765A"/>
    <w:rsid w:val="691113EC"/>
    <w:rsid w:val="69114A68"/>
    <w:rsid w:val="691150BC"/>
    <w:rsid w:val="69117109"/>
    <w:rsid w:val="691172EE"/>
    <w:rsid w:val="691174A4"/>
    <w:rsid w:val="69121925"/>
    <w:rsid w:val="6912299F"/>
    <w:rsid w:val="69122FC2"/>
    <w:rsid w:val="691264C2"/>
    <w:rsid w:val="69126A56"/>
    <w:rsid w:val="69127BA5"/>
    <w:rsid w:val="691322AB"/>
    <w:rsid w:val="69132EFA"/>
    <w:rsid w:val="691337C2"/>
    <w:rsid w:val="69135570"/>
    <w:rsid w:val="69137792"/>
    <w:rsid w:val="6914246E"/>
    <w:rsid w:val="691427CE"/>
    <w:rsid w:val="69143E52"/>
    <w:rsid w:val="691446B8"/>
    <w:rsid w:val="69146C72"/>
    <w:rsid w:val="69147C84"/>
    <w:rsid w:val="691509DA"/>
    <w:rsid w:val="69152DF3"/>
    <w:rsid w:val="691555C0"/>
    <w:rsid w:val="691578D9"/>
    <w:rsid w:val="691602F4"/>
    <w:rsid w:val="69160B5B"/>
    <w:rsid w:val="69161CA4"/>
    <w:rsid w:val="6916531F"/>
    <w:rsid w:val="69166546"/>
    <w:rsid w:val="69171127"/>
    <w:rsid w:val="691716E6"/>
    <w:rsid w:val="69171F34"/>
    <w:rsid w:val="691737EF"/>
    <w:rsid w:val="6917405B"/>
    <w:rsid w:val="69175677"/>
    <w:rsid w:val="69180510"/>
    <w:rsid w:val="69181662"/>
    <w:rsid w:val="69182133"/>
    <w:rsid w:val="691841F1"/>
    <w:rsid w:val="69184CE0"/>
    <w:rsid w:val="691868F3"/>
    <w:rsid w:val="69190A3A"/>
    <w:rsid w:val="69190D2F"/>
    <w:rsid w:val="691925BE"/>
    <w:rsid w:val="6919428D"/>
    <w:rsid w:val="69194C07"/>
    <w:rsid w:val="69197F8F"/>
    <w:rsid w:val="691A0D14"/>
    <w:rsid w:val="691A3D02"/>
    <w:rsid w:val="691A4069"/>
    <w:rsid w:val="691B0E19"/>
    <w:rsid w:val="691B1DAE"/>
    <w:rsid w:val="691B249C"/>
    <w:rsid w:val="691B3B5C"/>
    <w:rsid w:val="691B55A1"/>
    <w:rsid w:val="691C6445"/>
    <w:rsid w:val="691C78D4"/>
    <w:rsid w:val="691D1406"/>
    <w:rsid w:val="691D21D2"/>
    <w:rsid w:val="691D375F"/>
    <w:rsid w:val="691D37DB"/>
    <w:rsid w:val="691D3E72"/>
    <w:rsid w:val="691D5B26"/>
    <w:rsid w:val="691D66EC"/>
    <w:rsid w:val="691D6DD1"/>
    <w:rsid w:val="691E18AB"/>
    <w:rsid w:val="691E2F4F"/>
    <w:rsid w:val="691E4615"/>
    <w:rsid w:val="691E6521"/>
    <w:rsid w:val="691E68CF"/>
    <w:rsid w:val="691E6DC0"/>
    <w:rsid w:val="691E7A28"/>
    <w:rsid w:val="691F0616"/>
    <w:rsid w:val="691F21A2"/>
    <w:rsid w:val="691F6794"/>
    <w:rsid w:val="691F7BE8"/>
    <w:rsid w:val="691F7F41"/>
    <w:rsid w:val="69201173"/>
    <w:rsid w:val="69203E7E"/>
    <w:rsid w:val="692040CC"/>
    <w:rsid w:val="69204A36"/>
    <w:rsid w:val="69206429"/>
    <w:rsid w:val="692073C4"/>
    <w:rsid w:val="69216C99"/>
    <w:rsid w:val="692178F1"/>
    <w:rsid w:val="692179D4"/>
    <w:rsid w:val="6922313D"/>
    <w:rsid w:val="69224EEB"/>
    <w:rsid w:val="692264AA"/>
    <w:rsid w:val="6922688C"/>
    <w:rsid w:val="69230179"/>
    <w:rsid w:val="69232A11"/>
    <w:rsid w:val="692331D9"/>
    <w:rsid w:val="69233247"/>
    <w:rsid w:val="692364F5"/>
    <w:rsid w:val="69236EB5"/>
    <w:rsid w:val="6925226F"/>
    <w:rsid w:val="69252F07"/>
    <w:rsid w:val="69255135"/>
    <w:rsid w:val="69256789"/>
    <w:rsid w:val="69262206"/>
    <w:rsid w:val="69266638"/>
    <w:rsid w:val="6926722C"/>
    <w:rsid w:val="69270753"/>
    <w:rsid w:val="69271596"/>
    <w:rsid w:val="69272501"/>
    <w:rsid w:val="6927428A"/>
    <w:rsid w:val="692769A5"/>
    <w:rsid w:val="69281E4A"/>
    <w:rsid w:val="69286306"/>
    <w:rsid w:val="6928642D"/>
    <w:rsid w:val="69286B27"/>
    <w:rsid w:val="6928760B"/>
    <w:rsid w:val="69296CEB"/>
    <w:rsid w:val="692A1FF1"/>
    <w:rsid w:val="692A37F7"/>
    <w:rsid w:val="692A5107"/>
    <w:rsid w:val="692B4C87"/>
    <w:rsid w:val="692B4D61"/>
    <w:rsid w:val="692B5079"/>
    <w:rsid w:val="692B79C3"/>
    <w:rsid w:val="692C0FF8"/>
    <w:rsid w:val="692C5D69"/>
    <w:rsid w:val="692C7858"/>
    <w:rsid w:val="692D054C"/>
    <w:rsid w:val="692D0CE8"/>
    <w:rsid w:val="692D3ABD"/>
    <w:rsid w:val="692D4B35"/>
    <w:rsid w:val="692D5E66"/>
    <w:rsid w:val="692D6138"/>
    <w:rsid w:val="692D6C76"/>
    <w:rsid w:val="692E2178"/>
    <w:rsid w:val="692F0143"/>
    <w:rsid w:val="692F13B6"/>
    <w:rsid w:val="692F491C"/>
    <w:rsid w:val="692F585A"/>
    <w:rsid w:val="692F678B"/>
    <w:rsid w:val="692F74A3"/>
    <w:rsid w:val="692F7608"/>
    <w:rsid w:val="69301386"/>
    <w:rsid w:val="693029BB"/>
    <w:rsid w:val="693030FA"/>
    <w:rsid w:val="6930661B"/>
    <w:rsid w:val="69310DC0"/>
    <w:rsid w:val="693115D2"/>
    <w:rsid w:val="69311739"/>
    <w:rsid w:val="69314016"/>
    <w:rsid w:val="69314334"/>
    <w:rsid w:val="6931512E"/>
    <w:rsid w:val="69320EA6"/>
    <w:rsid w:val="69321F89"/>
    <w:rsid w:val="69322F91"/>
    <w:rsid w:val="6933166E"/>
    <w:rsid w:val="69333419"/>
    <w:rsid w:val="69334D9B"/>
    <w:rsid w:val="693370F8"/>
    <w:rsid w:val="69340E55"/>
    <w:rsid w:val="693448A9"/>
    <w:rsid w:val="69344C1E"/>
    <w:rsid w:val="6934500F"/>
    <w:rsid w:val="693465ED"/>
    <w:rsid w:val="6934689C"/>
    <w:rsid w:val="693469CC"/>
    <w:rsid w:val="69347DE7"/>
    <w:rsid w:val="69360996"/>
    <w:rsid w:val="69361D9A"/>
    <w:rsid w:val="69362744"/>
    <w:rsid w:val="693634DB"/>
    <w:rsid w:val="69364C4E"/>
    <w:rsid w:val="693650A8"/>
    <w:rsid w:val="69366BE8"/>
    <w:rsid w:val="69372DBE"/>
    <w:rsid w:val="693737F3"/>
    <w:rsid w:val="6937496B"/>
    <w:rsid w:val="693764BC"/>
    <w:rsid w:val="6937688B"/>
    <w:rsid w:val="6938019F"/>
    <w:rsid w:val="69381261"/>
    <w:rsid w:val="6938470E"/>
    <w:rsid w:val="69390486"/>
    <w:rsid w:val="6939071B"/>
    <w:rsid w:val="693966D8"/>
    <w:rsid w:val="6939728B"/>
    <w:rsid w:val="69397DE9"/>
    <w:rsid w:val="693A1BAB"/>
    <w:rsid w:val="693A3ABD"/>
    <w:rsid w:val="693A5D86"/>
    <w:rsid w:val="693B0290"/>
    <w:rsid w:val="693B2068"/>
    <w:rsid w:val="693B41FE"/>
    <w:rsid w:val="693B715C"/>
    <w:rsid w:val="693B7D5A"/>
    <w:rsid w:val="693C3AD3"/>
    <w:rsid w:val="693C3D84"/>
    <w:rsid w:val="693C52A8"/>
    <w:rsid w:val="693D1D24"/>
    <w:rsid w:val="693D5375"/>
    <w:rsid w:val="693D7F76"/>
    <w:rsid w:val="693E43FB"/>
    <w:rsid w:val="693E5A9D"/>
    <w:rsid w:val="693E5CE8"/>
    <w:rsid w:val="693E784B"/>
    <w:rsid w:val="693F1738"/>
    <w:rsid w:val="693F19BC"/>
    <w:rsid w:val="693F5549"/>
    <w:rsid w:val="6940035B"/>
    <w:rsid w:val="694003AD"/>
    <w:rsid w:val="69401815"/>
    <w:rsid w:val="6940276C"/>
    <w:rsid w:val="694035C3"/>
    <w:rsid w:val="69405D88"/>
    <w:rsid w:val="69406914"/>
    <w:rsid w:val="69407674"/>
    <w:rsid w:val="694110E9"/>
    <w:rsid w:val="694133E0"/>
    <w:rsid w:val="694154E7"/>
    <w:rsid w:val="6942033D"/>
    <w:rsid w:val="694203CF"/>
    <w:rsid w:val="69421A7E"/>
    <w:rsid w:val="6942558D"/>
    <w:rsid w:val="69427BE7"/>
    <w:rsid w:val="69430073"/>
    <w:rsid w:val="69431305"/>
    <w:rsid w:val="69433677"/>
    <w:rsid w:val="694406B5"/>
    <w:rsid w:val="694439A8"/>
    <w:rsid w:val="694463C7"/>
    <w:rsid w:val="69447305"/>
    <w:rsid w:val="6945507D"/>
    <w:rsid w:val="69456B6D"/>
    <w:rsid w:val="69456CBE"/>
    <w:rsid w:val="69456E2B"/>
    <w:rsid w:val="6946188F"/>
    <w:rsid w:val="69462ACB"/>
    <w:rsid w:val="69463258"/>
    <w:rsid w:val="69473148"/>
    <w:rsid w:val="69477C33"/>
    <w:rsid w:val="694819CF"/>
    <w:rsid w:val="69482477"/>
    <w:rsid w:val="69484A8D"/>
    <w:rsid w:val="694858F0"/>
    <w:rsid w:val="69490AAE"/>
    <w:rsid w:val="694926E6"/>
    <w:rsid w:val="6949420D"/>
    <w:rsid w:val="6949531B"/>
    <w:rsid w:val="6949557D"/>
    <w:rsid w:val="694A16A0"/>
    <w:rsid w:val="694A2693"/>
    <w:rsid w:val="694A2DE1"/>
    <w:rsid w:val="694A414A"/>
    <w:rsid w:val="694A4441"/>
    <w:rsid w:val="694A61EF"/>
    <w:rsid w:val="694B09D7"/>
    <w:rsid w:val="694B4271"/>
    <w:rsid w:val="694B691D"/>
    <w:rsid w:val="694C18F8"/>
    <w:rsid w:val="694C1F68"/>
    <w:rsid w:val="694C2300"/>
    <w:rsid w:val="694C4C98"/>
    <w:rsid w:val="694C5701"/>
    <w:rsid w:val="694D4978"/>
    <w:rsid w:val="694E2184"/>
    <w:rsid w:val="694E3F32"/>
    <w:rsid w:val="694F1121"/>
    <w:rsid w:val="694F14B1"/>
    <w:rsid w:val="694F3806"/>
    <w:rsid w:val="694F4082"/>
    <w:rsid w:val="694F644F"/>
    <w:rsid w:val="6950151A"/>
    <w:rsid w:val="695016E8"/>
    <w:rsid w:val="69502941"/>
    <w:rsid w:val="69502D4F"/>
    <w:rsid w:val="695157D0"/>
    <w:rsid w:val="6951757E"/>
    <w:rsid w:val="695232F6"/>
    <w:rsid w:val="695240D6"/>
    <w:rsid w:val="69524D33"/>
    <w:rsid w:val="6953099C"/>
    <w:rsid w:val="69531548"/>
    <w:rsid w:val="695372DF"/>
    <w:rsid w:val="69540E1C"/>
    <w:rsid w:val="6954408B"/>
    <w:rsid w:val="69544463"/>
    <w:rsid w:val="6954706E"/>
    <w:rsid w:val="69547C7C"/>
    <w:rsid w:val="69550ED5"/>
    <w:rsid w:val="69553977"/>
    <w:rsid w:val="695541F2"/>
    <w:rsid w:val="695575A6"/>
    <w:rsid w:val="69561038"/>
    <w:rsid w:val="6956118E"/>
    <w:rsid w:val="695625CB"/>
    <w:rsid w:val="69564B94"/>
    <w:rsid w:val="695666D7"/>
    <w:rsid w:val="69574E63"/>
    <w:rsid w:val="6958090C"/>
    <w:rsid w:val="69581437"/>
    <w:rsid w:val="69584DB0"/>
    <w:rsid w:val="69586680"/>
    <w:rsid w:val="69586875"/>
    <w:rsid w:val="69586B5E"/>
    <w:rsid w:val="69587371"/>
    <w:rsid w:val="695953C5"/>
    <w:rsid w:val="69595560"/>
    <w:rsid w:val="69597D05"/>
    <w:rsid w:val="695A564E"/>
    <w:rsid w:val="695A6BD9"/>
    <w:rsid w:val="695B0066"/>
    <w:rsid w:val="695B1366"/>
    <w:rsid w:val="695B208A"/>
    <w:rsid w:val="695B21AB"/>
    <w:rsid w:val="695B664F"/>
    <w:rsid w:val="695C2FAB"/>
    <w:rsid w:val="695C7961"/>
    <w:rsid w:val="695C7A0B"/>
    <w:rsid w:val="695D23C7"/>
    <w:rsid w:val="695D403E"/>
    <w:rsid w:val="695D4175"/>
    <w:rsid w:val="695D48EB"/>
    <w:rsid w:val="695D5C8A"/>
    <w:rsid w:val="695D5F23"/>
    <w:rsid w:val="695E2350"/>
    <w:rsid w:val="695E27E7"/>
    <w:rsid w:val="695E4DA3"/>
    <w:rsid w:val="695E6497"/>
    <w:rsid w:val="695E7B16"/>
    <w:rsid w:val="695F1ABB"/>
    <w:rsid w:val="695F31EE"/>
    <w:rsid w:val="695F3456"/>
    <w:rsid w:val="69601EB7"/>
    <w:rsid w:val="69602435"/>
    <w:rsid w:val="69603C65"/>
    <w:rsid w:val="69605A13"/>
    <w:rsid w:val="696077C1"/>
    <w:rsid w:val="696106B7"/>
    <w:rsid w:val="69611594"/>
    <w:rsid w:val="69613540"/>
    <w:rsid w:val="69613DE3"/>
    <w:rsid w:val="6962038A"/>
    <w:rsid w:val="6962178B"/>
    <w:rsid w:val="69623539"/>
    <w:rsid w:val="696325FA"/>
    <w:rsid w:val="69635503"/>
    <w:rsid w:val="696372B1"/>
    <w:rsid w:val="69643755"/>
    <w:rsid w:val="69644A43"/>
    <w:rsid w:val="696464E3"/>
    <w:rsid w:val="6965127B"/>
    <w:rsid w:val="696528DE"/>
    <w:rsid w:val="6965572A"/>
    <w:rsid w:val="69666987"/>
    <w:rsid w:val="69666AA9"/>
    <w:rsid w:val="6966795A"/>
    <w:rsid w:val="6967036D"/>
    <w:rsid w:val="69674FF3"/>
    <w:rsid w:val="696821E0"/>
    <w:rsid w:val="69682C05"/>
    <w:rsid w:val="69687A85"/>
    <w:rsid w:val="69690D46"/>
    <w:rsid w:val="69692B1A"/>
    <w:rsid w:val="69693B59"/>
    <w:rsid w:val="6969687B"/>
    <w:rsid w:val="696A112C"/>
    <w:rsid w:val="696A458A"/>
    <w:rsid w:val="696A4AE4"/>
    <w:rsid w:val="696A4B79"/>
    <w:rsid w:val="696A4EED"/>
    <w:rsid w:val="696A7DF8"/>
    <w:rsid w:val="696B2119"/>
    <w:rsid w:val="696B34DB"/>
    <w:rsid w:val="696B361D"/>
    <w:rsid w:val="696B4177"/>
    <w:rsid w:val="696C085C"/>
    <w:rsid w:val="696C17E6"/>
    <w:rsid w:val="696C2D19"/>
    <w:rsid w:val="696C3BCA"/>
    <w:rsid w:val="696C43B8"/>
    <w:rsid w:val="696D1EDE"/>
    <w:rsid w:val="696D231A"/>
    <w:rsid w:val="696D45EF"/>
    <w:rsid w:val="696D66A0"/>
    <w:rsid w:val="696D6EE0"/>
    <w:rsid w:val="696D6F35"/>
    <w:rsid w:val="696D7C88"/>
    <w:rsid w:val="696E0F76"/>
    <w:rsid w:val="696E318D"/>
    <w:rsid w:val="696E45AE"/>
    <w:rsid w:val="696E4CB7"/>
    <w:rsid w:val="696E6382"/>
    <w:rsid w:val="696F20FA"/>
    <w:rsid w:val="696F3B98"/>
    <w:rsid w:val="696F3EA8"/>
    <w:rsid w:val="6970004C"/>
    <w:rsid w:val="69703A00"/>
    <w:rsid w:val="69703DAF"/>
    <w:rsid w:val="69706493"/>
    <w:rsid w:val="6970756E"/>
    <w:rsid w:val="697119CE"/>
    <w:rsid w:val="69714B3B"/>
    <w:rsid w:val="69715E72"/>
    <w:rsid w:val="69715F8B"/>
    <w:rsid w:val="69717C20"/>
    <w:rsid w:val="697205B0"/>
    <w:rsid w:val="6972256C"/>
    <w:rsid w:val="69722ED5"/>
    <w:rsid w:val="697274F4"/>
    <w:rsid w:val="697324EE"/>
    <w:rsid w:val="69733998"/>
    <w:rsid w:val="697339B5"/>
    <w:rsid w:val="697346BD"/>
    <w:rsid w:val="697415F1"/>
    <w:rsid w:val="69741D3B"/>
    <w:rsid w:val="6974326C"/>
    <w:rsid w:val="697517C0"/>
    <w:rsid w:val="697528CB"/>
    <w:rsid w:val="69756C82"/>
    <w:rsid w:val="69757DD5"/>
    <w:rsid w:val="69762BAE"/>
    <w:rsid w:val="69762CD5"/>
    <w:rsid w:val="69763488"/>
    <w:rsid w:val="69763D81"/>
    <w:rsid w:val="69766FE4"/>
    <w:rsid w:val="69770734"/>
    <w:rsid w:val="697719C7"/>
    <w:rsid w:val="69771F9B"/>
    <w:rsid w:val="69772919"/>
    <w:rsid w:val="69777FBA"/>
    <w:rsid w:val="697812B8"/>
    <w:rsid w:val="69784607"/>
    <w:rsid w:val="69787200"/>
    <w:rsid w:val="69790883"/>
    <w:rsid w:val="69791438"/>
    <w:rsid w:val="697927D4"/>
    <w:rsid w:val="69792CCA"/>
    <w:rsid w:val="69796AD5"/>
    <w:rsid w:val="697A077E"/>
    <w:rsid w:val="697A1E65"/>
    <w:rsid w:val="697A334D"/>
    <w:rsid w:val="697A531F"/>
    <w:rsid w:val="697A67C7"/>
    <w:rsid w:val="697A690F"/>
    <w:rsid w:val="697B001D"/>
    <w:rsid w:val="697B04AE"/>
    <w:rsid w:val="697B0A9F"/>
    <w:rsid w:val="697B12AB"/>
    <w:rsid w:val="697B1C0E"/>
    <w:rsid w:val="697B45FB"/>
    <w:rsid w:val="697B6FEF"/>
    <w:rsid w:val="697C2F9E"/>
    <w:rsid w:val="697C3D03"/>
    <w:rsid w:val="697C60F4"/>
    <w:rsid w:val="697D0373"/>
    <w:rsid w:val="697D4817"/>
    <w:rsid w:val="697D48A2"/>
    <w:rsid w:val="697D65C5"/>
    <w:rsid w:val="697E20D0"/>
    <w:rsid w:val="697E40EB"/>
    <w:rsid w:val="697E554D"/>
    <w:rsid w:val="697E59F3"/>
    <w:rsid w:val="697F233D"/>
    <w:rsid w:val="69801C11"/>
    <w:rsid w:val="69806314"/>
    <w:rsid w:val="69810878"/>
    <w:rsid w:val="698200F7"/>
    <w:rsid w:val="69820538"/>
    <w:rsid w:val="69820A67"/>
    <w:rsid w:val="698223D7"/>
    <w:rsid w:val="69823966"/>
    <w:rsid w:val="69823D3D"/>
    <w:rsid w:val="69825989"/>
    <w:rsid w:val="69826F10"/>
    <w:rsid w:val="69831701"/>
    <w:rsid w:val="69831DB3"/>
    <w:rsid w:val="69832312"/>
    <w:rsid w:val="69833542"/>
    <w:rsid w:val="698336F8"/>
    <w:rsid w:val="69833DCE"/>
    <w:rsid w:val="6984121F"/>
    <w:rsid w:val="69841846"/>
    <w:rsid w:val="69842B01"/>
    <w:rsid w:val="698449C2"/>
    <w:rsid w:val="6984549D"/>
    <w:rsid w:val="69845BA5"/>
    <w:rsid w:val="69847953"/>
    <w:rsid w:val="6985191D"/>
    <w:rsid w:val="69852BA4"/>
    <w:rsid w:val="698540F0"/>
    <w:rsid w:val="69855479"/>
    <w:rsid w:val="69863E5B"/>
    <w:rsid w:val="69864150"/>
    <w:rsid w:val="69871C1A"/>
    <w:rsid w:val="698721C6"/>
    <w:rsid w:val="69872BD6"/>
    <w:rsid w:val="69872FA0"/>
    <w:rsid w:val="69877444"/>
    <w:rsid w:val="69880439"/>
    <w:rsid w:val="69881641"/>
    <w:rsid w:val="69882AE9"/>
    <w:rsid w:val="6988618F"/>
    <w:rsid w:val="69886D18"/>
    <w:rsid w:val="69887706"/>
    <w:rsid w:val="69890FB4"/>
    <w:rsid w:val="69892706"/>
    <w:rsid w:val="698931BC"/>
    <w:rsid w:val="69894B64"/>
    <w:rsid w:val="6989734F"/>
    <w:rsid w:val="69897B64"/>
    <w:rsid w:val="698A0B2E"/>
    <w:rsid w:val="698A1748"/>
    <w:rsid w:val="698A3E05"/>
    <w:rsid w:val="698A4088"/>
    <w:rsid w:val="698A6F34"/>
    <w:rsid w:val="698B0107"/>
    <w:rsid w:val="698B200D"/>
    <w:rsid w:val="698B6E18"/>
    <w:rsid w:val="698B7FC2"/>
    <w:rsid w:val="698C0247"/>
    <w:rsid w:val="698C040E"/>
    <w:rsid w:val="698C0D08"/>
    <w:rsid w:val="698C0DA2"/>
    <w:rsid w:val="698C2CAC"/>
    <w:rsid w:val="698C4A5A"/>
    <w:rsid w:val="698C6808"/>
    <w:rsid w:val="698C6DF9"/>
    <w:rsid w:val="698D0EE6"/>
    <w:rsid w:val="698D30CD"/>
    <w:rsid w:val="698D4F45"/>
    <w:rsid w:val="698D7239"/>
    <w:rsid w:val="698E07D2"/>
    <w:rsid w:val="698E15C7"/>
    <w:rsid w:val="698E432E"/>
    <w:rsid w:val="698E4A46"/>
    <w:rsid w:val="698E4A5F"/>
    <w:rsid w:val="698F00A6"/>
    <w:rsid w:val="698F1514"/>
    <w:rsid w:val="698F6480"/>
    <w:rsid w:val="698F6943"/>
    <w:rsid w:val="699023DB"/>
    <w:rsid w:val="69903903"/>
    <w:rsid w:val="6990454A"/>
    <w:rsid w:val="699102C2"/>
    <w:rsid w:val="6991065F"/>
    <w:rsid w:val="69913E1E"/>
    <w:rsid w:val="69915F4E"/>
    <w:rsid w:val="69916223"/>
    <w:rsid w:val="6992400B"/>
    <w:rsid w:val="699247F3"/>
    <w:rsid w:val="699252C4"/>
    <w:rsid w:val="69925B6A"/>
    <w:rsid w:val="69926A05"/>
    <w:rsid w:val="69926A87"/>
    <w:rsid w:val="69927144"/>
    <w:rsid w:val="69930066"/>
    <w:rsid w:val="699312D6"/>
    <w:rsid w:val="69933910"/>
    <w:rsid w:val="6993527A"/>
    <w:rsid w:val="69936754"/>
    <w:rsid w:val="69941325"/>
    <w:rsid w:val="699413F1"/>
    <w:rsid w:val="6994390F"/>
    <w:rsid w:val="6994393A"/>
    <w:rsid w:val="699456BD"/>
    <w:rsid w:val="69945C3F"/>
    <w:rsid w:val="699502B1"/>
    <w:rsid w:val="699514E5"/>
    <w:rsid w:val="69954777"/>
    <w:rsid w:val="69955386"/>
    <w:rsid w:val="69963670"/>
    <w:rsid w:val="69963B0C"/>
    <w:rsid w:val="69964526"/>
    <w:rsid w:val="699658A6"/>
    <w:rsid w:val="699658DF"/>
    <w:rsid w:val="6997509B"/>
    <w:rsid w:val="69975174"/>
    <w:rsid w:val="699807EF"/>
    <w:rsid w:val="69980C8D"/>
    <w:rsid w:val="69981136"/>
    <w:rsid w:val="699851AD"/>
    <w:rsid w:val="699864C5"/>
    <w:rsid w:val="6999257D"/>
    <w:rsid w:val="69997CC9"/>
    <w:rsid w:val="699A2823"/>
    <w:rsid w:val="699A4131"/>
    <w:rsid w:val="699A7AF2"/>
    <w:rsid w:val="699B0E95"/>
    <w:rsid w:val="699B2EEF"/>
    <w:rsid w:val="699B4C9D"/>
    <w:rsid w:val="699B5379"/>
    <w:rsid w:val="699C2688"/>
    <w:rsid w:val="699C412D"/>
    <w:rsid w:val="699C5A47"/>
    <w:rsid w:val="699C5E39"/>
    <w:rsid w:val="699C7091"/>
    <w:rsid w:val="699D176F"/>
    <w:rsid w:val="699D2369"/>
    <w:rsid w:val="699D27C3"/>
    <w:rsid w:val="699D3B18"/>
    <w:rsid w:val="699E02E9"/>
    <w:rsid w:val="699E3CA0"/>
    <w:rsid w:val="699F1009"/>
    <w:rsid w:val="699F29DF"/>
    <w:rsid w:val="699F478D"/>
    <w:rsid w:val="699F4CF4"/>
    <w:rsid w:val="699F58C1"/>
    <w:rsid w:val="699F653B"/>
    <w:rsid w:val="69A00505"/>
    <w:rsid w:val="69A022B3"/>
    <w:rsid w:val="69A02499"/>
    <w:rsid w:val="69A04061"/>
    <w:rsid w:val="69A04BDD"/>
    <w:rsid w:val="69A06FF1"/>
    <w:rsid w:val="69A13310"/>
    <w:rsid w:val="69A2427D"/>
    <w:rsid w:val="69A2602B"/>
    <w:rsid w:val="69A3323B"/>
    <w:rsid w:val="69A33A47"/>
    <w:rsid w:val="69A3798A"/>
    <w:rsid w:val="69A40063"/>
    <w:rsid w:val="69A422AA"/>
    <w:rsid w:val="69A47CEB"/>
    <w:rsid w:val="69A5448A"/>
    <w:rsid w:val="69A555C4"/>
    <w:rsid w:val="69A55B1C"/>
    <w:rsid w:val="69A62BA0"/>
    <w:rsid w:val="69A71147"/>
    <w:rsid w:val="69A73642"/>
    <w:rsid w:val="69A756EE"/>
    <w:rsid w:val="69A7605A"/>
    <w:rsid w:val="69A81E39"/>
    <w:rsid w:val="69A859D6"/>
    <w:rsid w:val="69A94C8C"/>
    <w:rsid w:val="69A9560C"/>
    <w:rsid w:val="69A9775E"/>
    <w:rsid w:val="69AA1D72"/>
    <w:rsid w:val="69AA21F2"/>
    <w:rsid w:val="69AA3132"/>
    <w:rsid w:val="69AA3EE8"/>
    <w:rsid w:val="69AA4EE0"/>
    <w:rsid w:val="69AB2093"/>
    <w:rsid w:val="69AB2DDB"/>
    <w:rsid w:val="69AC0C58"/>
    <w:rsid w:val="69AC0C79"/>
    <w:rsid w:val="69AC3F71"/>
    <w:rsid w:val="69AC6EAA"/>
    <w:rsid w:val="69AC72CF"/>
    <w:rsid w:val="69AC76D4"/>
    <w:rsid w:val="69AD3498"/>
    <w:rsid w:val="69AD360D"/>
    <w:rsid w:val="69AE40CB"/>
    <w:rsid w:val="69AF0249"/>
    <w:rsid w:val="69AF244E"/>
    <w:rsid w:val="69AF52B5"/>
    <w:rsid w:val="69B04076"/>
    <w:rsid w:val="69B047D3"/>
    <w:rsid w:val="69B0699A"/>
    <w:rsid w:val="69B12712"/>
    <w:rsid w:val="69B144C0"/>
    <w:rsid w:val="69B1626F"/>
    <w:rsid w:val="69B207B8"/>
    <w:rsid w:val="69B225B2"/>
    <w:rsid w:val="69B22F81"/>
    <w:rsid w:val="69B23B9D"/>
    <w:rsid w:val="69B248AE"/>
    <w:rsid w:val="69B2769A"/>
    <w:rsid w:val="69B314AB"/>
    <w:rsid w:val="69B33D95"/>
    <w:rsid w:val="69B37095"/>
    <w:rsid w:val="69B43787"/>
    <w:rsid w:val="69B47B0D"/>
    <w:rsid w:val="69B5065E"/>
    <w:rsid w:val="69B537EC"/>
    <w:rsid w:val="69B610D2"/>
    <w:rsid w:val="69B61AD7"/>
    <w:rsid w:val="69B65300"/>
    <w:rsid w:val="69B67D29"/>
    <w:rsid w:val="69B70B96"/>
    <w:rsid w:val="69B765DB"/>
    <w:rsid w:val="69B77290"/>
    <w:rsid w:val="69B77CE7"/>
    <w:rsid w:val="69B813AB"/>
    <w:rsid w:val="69B8298B"/>
    <w:rsid w:val="69B86AEE"/>
    <w:rsid w:val="69B875FD"/>
    <w:rsid w:val="69B92109"/>
    <w:rsid w:val="69B94E7E"/>
    <w:rsid w:val="69B95123"/>
    <w:rsid w:val="69B952B6"/>
    <w:rsid w:val="69BA32DC"/>
    <w:rsid w:val="69BA57B0"/>
    <w:rsid w:val="69BA6289"/>
    <w:rsid w:val="69BB504D"/>
    <w:rsid w:val="69BB533F"/>
    <w:rsid w:val="69BB5636"/>
    <w:rsid w:val="69BB5ACE"/>
    <w:rsid w:val="69BB6163"/>
    <w:rsid w:val="69BB70ED"/>
    <w:rsid w:val="69BC0531"/>
    <w:rsid w:val="69BC4CA2"/>
    <w:rsid w:val="69BC4F1C"/>
    <w:rsid w:val="69BD10B7"/>
    <w:rsid w:val="69BD19C1"/>
    <w:rsid w:val="69BD2E65"/>
    <w:rsid w:val="69BD5579"/>
    <w:rsid w:val="69BE1ACE"/>
    <w:rsid w:val="69BE2739"/>
    <w:rsid w:val="69BE64BF"/>
    <w:rsid w:val="69BE6638"/>
    <w:rsid w:val="69BE6B1E"/>
    <w:rsid w:val="69BF1CEA"/>
    <w:rsid w:val="69BF22ED"/>
    <w:rsid w:val="69BF3751"/>
    <w:rsid w:val="69BF53B0"/>
    <w:rsid w:val="69BF656A"/>
    <w:rsid w:val="69C02956"/>
    <w:rsid w:val="69C10D2B"/>
    <w:rsid w:val="69C12398"/>
    <w:rsid w:val="69C12F13"/>
    <w:rsid w:val="69C14C9D"/>
    <w:rsid w:val="69C2047C"/>
    <w:rsid w:val="69C21285"/>
    <w:rsid w:val="69C22C62"/>
    <w:rsid w:val="69C22F6F"/>
    <w:rsid w:val="69C24B58"/>
    <w:rsid w:val="69C26181"/>
    <w:rsid w:val="69C266CE"/>
    <w:rsid w:val="69C35CE3"/>
    <w:rsid w:val="69C36917"/>
    <w:rsid w:val="69C42446"/>
    <w:rsid w:val="69C441F4"/>
    <w:rsid w:val="69C45FA2"/>
    <w:rsid w:val="69C4693C"/>
    <w:rsid w:val="69C47565"/>
    <w:rsid w:val="69C50153"/>
    <w:rsid w:val="69C53150"/>
    <w:rsid w:val="69C53AC8"/>
    <w:rsid w:val="69C54DB1"/>
    <w:rsid w:val="69C62A73"/>
    <w:rsid w:val="69C62B2E"/>
    <w:rsid w:val="69C63B95"/>
    <w:rsid w:val="69C64F81"/>
    <w:rsid w:val="69C67F6C"/>
    <w:rsid w:val="69C722EC"/>
    <w:rsid w:val="69C74A13"/>
    <w:rsid w:val="69C74AE9"/>
    <w:rsid w:val="69C75745"/>
    <w:rsid w:val="69C86AD4"/>
    <w:rsid w:val="69C87191"/>
    <w:rsid w:val="69C90AA3"/>
    <w:rsid w:val="69C935B8"/>
    <w:rsid w:val="69C95F49"/>
    <w:rsid w:val="69C966FE"/>
    <w:rsid w:val="69C96889"/>
    <w:rsid w:val="69C9738B"/>
    <w:rsid w:val="69C97A5C"/>
    <w:rsid w:val="69CA49C7"/>
    <w:rsid w:val="69CA4C44"/>
    <w:rsid w:val="69CA5638"/>
    <w:rsid w:val="69CA7330"/>
    <w:rsid w:val="69CA771A"/>
    <w:rsid w:val="69CB37D4"/>
    <w:rsid w:val="69CB43ED"/>
    <w:rsid w:val="69CB58BC"/>
    <w:rsid w:val="69CB61CF"/>
    <w:rsid w:val="69CC12FA"/>
    <w:rsid w:val="69CC227F"/>
    <w:rsid w:val="69CC4101"/>
    <w:rsid w:val="69CC4E56"/>
    <w:rsid w:val="69CC505D"/>
    <w:rsid w:val="69CC6D31"/>
    <w:rsid w:val="69CC7408"/>
    <w:rsid w:val="69CC7994"/>
    <w:rsid w:val="69CD09F4"/>
    <w:rsid w:val="69CD1276"/>
    <w:rsid w:val="69CD5917"/>
    <w:rsid w:val="69CD7D75"/>
    <w:rsid w:val="69CE04C5"/>
    <w:rsid w:val="69CE0BCF"/>
    <w:rsid w:val="69CE3E84"/>
    <w:rsid w:val="69CE76F6"/>
    <w:rsid w:val="69CE7F59"/>
    <w:rsid w:val="69CF6213"/>
    <w:rsid w:val="69CF7D64"/>
    <w:rsid w:val="69D0030E"/>
    <w:rsid w:val="69D00A51"/>
    <w:rsid w:val="69D00DEB"/>
    <w:rsid w:val="69D02B99"/>
    <w:rsid w:val="69D045B0"/>
    <w:rsid w:val="69D07214"/>
    <w:rsid w:val="69D106BF"/>
    <w:rsid w:val="69D112C7"/>
    <w:rsid w:val="69D1246D"/>
    <w:rsid w:val="69D130CF"/>
    <w:rsid w:val="69D16E03"/>
    <w:rsid w:val="69D16E72"/>
    <w:rsid w:val="69D170E4"/>
    <w:rsid w:val="69D23E98"/>
    <w:rsid w:val="69D243B2"/>
    <w:rsid w:val="69D332E1"/>
    <w:rsid w:val="69D34437"/>
    <w:rsid w:val="69D35328"/>
    <w:rsid w:val="69D35788"/>
    <w:rsid w:val="69D361E5"/>
    <w:rsid w:val="69D365BA"/>
    <w:rsid w:val="69D41E11"/>
    <w:rsid w:val="69D41F5D"/>
    <w:rsid w:val="69D4260E"/>
    <w:rsid w:val="69D42C6E"/>
    <w:rsid w:val="69D501AF"/>
    <w:rsid w:val="69D510D8"/>
    <w:rsid w:val="69D53720"/>
    <w:rsid w:val="69D56AFA"/>
    <w:rsid w:val="69D579A2"/>
    <w:rsid w:val="69D57C48"/>
    <w:rsid w:val="69D6044E"/>
    <w:rsid w:val="69D63F27"/>
    <w:rsid w:val="69D64615"/>
    <w:rsid w:val="69D66145"/>
    <w:rsid w:val="69D72179"/>
    <w:rsid w:val="69D739F8"/>
    <w:rsid w:val="69D8119A"/>
    <w:rsid w:val="69D81A4D"/>
    <w:rsid w:val="69D83BCE"/>
    <w:rsid w:val="69D87C9F"/>
    <w:rsid w:val="69D903AF"/>
    <w:rsid w:val="69D9094F"/>
    <w:rsid w:val="69D967BC"/>
    <w:rsid w:val="69D973A8"/>
    <w:rsid w:val="69D97CE2"/>
    <w:rsid w:val="69DA174D"/>
    <w:rsid w:val="69DA1BE5"/>
    <w:rsid w:val="69DA45BB"/>
    <w:rsid w:val="69DA52D8"/>
    <w:rsid w:val="69DB11CB"/>
    <w:rsid w:val="69DB153D"/>
    <w:rsid w:val="69DB29FD"/>
    <w:rsid w:val="69DC1DCB"/>
    <w:rsid w:val="69DC26B1"/>
    <w:rsid w:val="69DC64E0"/>
    <w:rsid w:val="69DC6B40"/>
    <w:rsid w:val="69DD04E1"/>
    <w:rsid w:val="69DD2E7D"/>
    <w:rsid w:val="69DD3507"/>
    <w:rsid w:val="69DD52B6"/>
    <w:rsid w:val="69DD632D"/>
    <w:rsid w:val="69DD6DBC"/>
    <w:rsid w:val="69DD7064"/>
    <w:rsid w:val="69DE3063"/>
    <w:rsid w:val="69DE5EE7"/>
    <w:rsid w:val="69DE7F53"/>
    <w:rsid w:val="69DF0A71"/>
    <w:rsid w:val="69DF38CB"/>
    <w:rsid w:val="69DF44A7"/>
    <w:rsid w:val="69DF4B8A"/>
    <w:rsid w:val="69E00729"/>
    <w:rsid w:val="69E02BA9"/>
    <w:rsid w:val="69E06B54"/>
    <w:rsid w:val="69E10DBC"/>
    <w:rsid w:val="69E13B72"/>
    <w:rsid w:val="69E14DA6"/>
    <w:rsid w:val="69E20B1E"/>
    <w:rsid w:val="69E228CC"/>
    <w:rsid w:val="69E25095"/>
    <w:rsid w:val="69E27A12"/>
    <w:rsid w:val="69E3274A"/>
    <w:rsid w:val="69E36894"/>
    <w:rsid w:val="69E3734C"/>
    <w:rsid w:val="69E376B3"/>
    <w:rsid w:val="69E4773D"/>
    <w:rsid w:val="69E4777B"/>
    <w:rsid w:val="69E50AF3"/>
    <w:rsid w:val="69E52A56"/>
    <w:rsid w:val="69E61E65"/>
    <w:rsid w:val="69E70660"/>
    <w:rsid w:val="69E71C90"/>
    <w:rsid w:val="69E80B4E"/>
    <w:rsid w:val="69E858C8"/>
    <w:rsid w:val="69E91EAC"/>
    <w:rsid w:val="69E930A4"/>
    <w:rsid w:val="69E93C5A"/>
    <w:rsid w:val="69E959FF"/>
    <w:rsid w:val="69E95A08"/>
    <w:rsid w:val="69EA072E"/>
    <w:rsid w:val="69EA2D89"/>
    <w:rsid w:val="69EA41D7"/>
    <w:rsid w:val="69EA530C"/>
    <w:rsid w:val="69EB2713"/>
    <w:rsid w:val="69EB3B55"/>
    <w:rsid w:val="69EC3E4B"/>
    <w:rsid w:val="69EC4E08"/>
    <w:rsid w:val="69EC54F9"/>
    <w:rsid w:val="69EC5BE5"/>
    <w:rsid w:val="69EC6F1D"/>
    <w:rsid w:val="69EC72A7"/>
    <w:rsid w:val="69EC7D48"/>
    <w:rsid w:val="69ED1834"/>
    <w:rsid w:val="69ED657F"/>
    <w:rsid w:val="69ED6930"/>
    <w:rsid w:val="69EF0792"/>
    <w:rsid w:val="69EF62CB"/>
    <w:rsid w:val="69F029A7"/>
    <w:rsid w:val="69F04FE9"/>
    <w:rsid w:val="69F053A7"/>
    <w:rsid w:val="69F124A9"/>
    <w:rsid w:val="69F12B0F"/>
    <w:rsid w:val="69F14FD0"/>
    <w:rsid w:val="69F218BB"/>
    <w:rsid w:val="69F24F19"/>
    <w:rsid w:val="69F30635"/>
    <w:rsid w:val="69F340DB"/>
    <w:rsid w:val="69F34AD9"/>
    <w:rsid w:val="69F36887"/>
    <w:rsid w:val="69F432D6"/>
    <w:rsid w:val="69F43C85"/>
    <w:rsid w:val="69F43D0B"/>
    <w:rsid w:val="69F464B8"/>
    <w:rsid w:val="69F4698D"/>
    <w:rsid w:val="69F47129"/>
    <w:rsid w:val="69F50911"/>
    <w:rsid w:val="69F50AB8"/>
    <w:rsid w:val="69F51FDD"/>
    <w:rsid w:val="69F5308B"/>
    <w:rsid w:val="69F543AD"/>
    <w:rsid w:val="69F61B52"/>
    <w:rsid w:val="69F61ED3"/>
    <w:rsid w:val="69F6470E"/>
    <w:rsid w:val="69F655A2"/>
    <w:rsid w:val="69F66377"/>
    <w:rsid w:val="69F6662E"/>
    <w:rsid w:val="69F714C4"/>
    <w:rsid w:val="69F77118"/>
    <w:rsid w:val="69F7716E"/>
    <w:rsid w:val="69F804C8"/>
    <w:rsid w:val="69F83E9D"/>
    <w:rsid w:val="69F84700"/>
    <w:rsid w:val="69F85BB3"/>
    <w:rsid w:val="69F92F00"/>
    <w:rsid w:val="69F9598D"/>
    <w:rsid w:val="69F9796A"/>
    <w:rsid w:val="69FA04D3"/>
    <w:rsid w:val="69FA0778"/>
    <w:rsid w:val="69FA089D"/>
    <w:rsid w:val="69FA19C4"/>
    <w:rsid w:val="69FA6396"/>
    <w:rsid w:val="69FA678F"/>
    <w:rsid w:val="69FB10EF"/>
    <w:rsid w:val="69FB2DD5"/>
    <w:rsid w:val="69FB2DF3"/>
    <w:rsid w:val="69FB451C"/>
    <w:rsid w:val="69FC0606"/>
    <w:rsid w:val="69FC398E"/>
    <w:rsid w:val="69FC4283"/>
    <w:rsid w:val="69FD14B4"/>
    <w:rsid w:val="69FD3262"/>
    <w:rsid w:val="69FD492E"/>
    <w:rsid w:val="69FF04DC"/>
    <w:rsid w:val="69FF0D95"/>
    <w:rsid w:val="69FF347E"/>
    <w:rsid w:val="69FF511A"/>
    <w:rsid w:val="69FF5216"/>
    <w:rsid w:val="69FF522C"/>
    <w:rsid w:val="6A0026EA"/>
    <w:rsid w:val="6A004496"/>
    <w:rsid w:val="6A005402"/>
    <w:rsid w:val="6A016C65"/>
    <w:rsid w:val="6A01703C"/>
    <w:rsid w:val="6A017A71"/>
    <w:rsid w:val="6A0200F5"/>
    <w:rsid w:val="6A021C96"/>
    <w:rsid w:val="6A022F6E"/>
    <w:rsid w:val="6A024583"/>
    <w:rsid w:val="6A025FE6"/>
    <w:rsid w:val="6A032CC6"/>
    <w:rsid w:val="6A034103"/>
    <w:rsid w:val="6A034C97"/>
    <w:rsid w:val="6A043A6A"/>
    <w:rsid w:val="6A045637"/>
    <w:rsid w:val="6A046029"/>
    <w:rsid w:val="6A046207"/>
    <w:rsid w:val="6A046EF4"/>
    <w:rsid w:val="6A050368"/>
    <w:rsid w:val="6A057242"/>
    <w:rsid w:val="6A061647"/>
    <w:rsid w:val="6A064585"/>
    <w:rsid w:val="6A066A76"/>
    <w:rsid w:val="6A072AD7"/>
    <w:rsid w:val="6A0740E0"/>
    <w:rsid w:val="6A075A35"/>
    <w:rsid w:val="6A085520"/>
    <w:rsid w:val="6A087B46"/>
    <w:rsid w:val="6A0942FC"/>
    <w:rsid w:val="6A094C61"/>
    <w:rsid w:val="6A0950F1"/>
    <w:rsid w:val="6A0953F7"/>
    <w:rsid w:val="6A0960AB"/>
    <w:rsid w:val="6A097E59"/>
    <w:rsid w:val="6A0A2CBE"/>
    <w:rsid w:val="6A0A3E8A"/>
    <w:rsid w:val="6A0B04BB"/>
    <w:rsid w:val="6A0B4855"/>
    <w:rsid w:val="6A0B4A77"/>
    <w:rsid w:val="6A0B70AD"/>
    <w:rsid w:val="6A0B7FC4"/>
    <w:rsid w:val="6A0C00A0"/>
    <w:rsid w:val="6A0C16F7"/>
    <w:rsid w:val="6A0C225F"/>
    <w:rsid w:val="6A0C7486"/>
    <w:rsid w:val="6A0C7949"/>
    <w:rsid w:val="6A0D5D15"/>
    <w:rsid w:val="6A0D61BB"/>
    <w:rsid w:val="6A0E164B"/>
    <w:rsid w:val="6A0E1913"/>
    <w:rsid w:val="6A0E3ECC"/>
    <w:rsid w:val="6A0E430B"/>
    <w:rsid w:val="6A0E6CF5"/>
    <w:rsid w:val="6A0E79B8"/>
    <w:rsid w:val="6A0F6A13"/>
    <w:rsid w:val="6A0F7111"/>
    <w:rsid w:val="6A100FD1"/>
    <w:rsid w:val="6A1011E7"/>
    <w:rsid w:val="6A1026F9"/>
    <w:rsid w:val="6A102F95"/>
    <w:rsid w:val="6A10568B"/>
    <w:rsid w:val="6A107439"/>
    <w:rsid w:val="6A112110"/>
    <w:rsid w:val="6A114F5F"/>
    <w:rsid w:val="6A1155B8"/>
    <w:rsid w:val="6A116D0D"/>
    <w:rsid w:val="6A1231B1"/>
    <w:rsid w:val="6A13107A"/>
    <w:rsid w:val="6A132A85"/>
    <w:rsid w:val="6A134BCD"/>
    <w:rsid w:val="6A14250A"/>
    <w:rsid w:val="6A142841"/>
    <w:rsid w:val="6A15131F"/>
    <w:rsid w:val="6A151AD9"/>
    <w:rsid w:val="6A152CA1"/>
    <w:rsid w:val="6A153E42"/>
    <w:rsid w:val="6A154A4F"/>
    <w:rsid w:val="6A1550DB"/>
    <w:rsid w:val="6A156E2B"/>
    <w:rsid w:val="6A160231"/>
    <w:rsid w:val="6A16270D"/>
    <w:rsid w:val="6A164324"/>
    <w:rsid w:val="6A164A3C"/>
    <w:rsid w:val="6A166FE1"/>
    <w:rsid w:val="6A170A36"/>
    <w:rsid w:val="6A170EE8"/>
    <w:rsid w:val="6A173C39"/>
    <w:rsid w:val="6A1753E8"/>
    <w:rsid w:val="6A18009C"/>
    <w:rsid w:val="6A181486"/>
    <w:rsid w:val="6A183CF5"/>
    <w:rsid w:val="6A184540"/>
    <w:rsid w:val="6A1862EE"/>
    <w:rsid w:val="6A1938B8"/>
    <w:rsid w:val="6A19395C"/>
    <w:rsid w:val="6A194676"/>
    <w:rsid w:val="6A195D31"/>
    <w:rsid w:val="6A19743A"/>
    <w:rsid w:val="6A1A2066"/>
    <w:rsid w:val="6A1A2AFF"/>
    <w:rsid w:val="6A1A2B1E"/>
    <w:rsid w:val="6A1A3869"/>
    <w:rsid w:val="6A1A3E14"/>
    <w:rsid w:val="6A1B18DB"/>
    <w:rsid w:val="6A1B2326"/>
    <w:rsid w:val="6A1B7B8C"/>
    <w:rsid w:val="6A1C19E9"/>
    <w:rsid w:val="6A1C1EC3"/>
    <w:rsid w:val="6A1C33EF"/>
    <w:rsid w:val="6A1C547E"/>
    <w:rsid w:val="6A1C5DDE"/>
    <w:rsid w:val="6A1D0FBA"/>
    <w:rsid w:val="6A1D25E2"/>
    <w:rsid w:val="6A1D2B51"/>
    <w:rsid w:val="6A1D3904"/>
    <w:rsid w:val="6A1D4E66"/>
    <w:rsid w:val="6A1E0956"/>
    <w:rsid w:val="6A1E7A59"/>
    <w:rsid w:val="6A1F142A"/>
    <w:rsid w:val="6A1F4921"/>
    <w:rsid w:val="6A20009F"/>
    <w:rsid w:val="6A200AFD"/>
    <w:rsid w:val="6A2015B1"/>
    <w:rsid w:val="6A201656"/>
    <w:rsid w:val="6A202BA5"/>
    <w:rsid w:val="6A20679D"/>
    <w:rsid w:val="6A211646"/>
    <w:rsid w:val="6A2118B1"/>
    <w:rsid w:val="6A2133F4"/>
    <w:rsid w:val="6A2151A2"/>
    <w:rsid w:val="6A21550B"/>
    <w:rsid w:val="6A216C05"/>
    <w:rsid w:val="6A220F1A"/>
    <w:rsid w:val="6A221234"/>
    <w:rsid w:val="6A221F20"/>
    <w:rsid w:val="6A2230B3"/>
    <w:rsid w:val="6A225349"/>
    <w:rsid w:val="6A233574"/>
    <w:rsid w:val="6A2353BE"/>
    <w:rsid w:val="6A236684"/>
    <w:rsid w:val="6A242BA0"/>
    <w:rsid w:val="6A244C92"/>
    <w:rsid w:val="6A246A40"/>
    <w:rsid w:val="6A250328"/>
    <w:rsid w:val="6A25348F"/>
    <w:rsid w:val="6A254410"/>
    <w:rsid w:val="6A254BD0"/>
    <w:rsid w:val="6A260A0B"/>
    <w:rsid w:val="6A2627B9"/>
    <w:rsid w:val="6A26333E"/>
    <w:rsid w:val="6A271D57"/>
    <w:rsid w:val="6A274783"/>
    <w:rsid w:val="6A276745"/>
    <w:rsid w:val="6A280469"/>
    <w:rsid w:val="6A281ECB"/>
    <w:rsid w:val="6A282268"/>
    <w:rsid w:val="6A2829D5"/>
    <w:rsid w:val="6A287F49"/>
    <w:rsid w:val="6A2904FB"/>
    <w:rsid w:val="6A294057"/>
    <w:rsid w:val="6A2A0A42"/>
    <w:rsid w:val="6A2A0CB7"/>
    <w:rsid w:val="6A2A5E71"/>
    <w:rsid w:val="6A2A7011"/>
    <w:rsid w:val="6A2A7E33"/>
    <w:rsid w:val="6A2B1700"/>
    <w:rsid w:val="6A2B2818"/>
    <w:rsid w:val="6A2B3E2E"/>
    <w:rsid w:val="6A2B4273"/>
    <w:rsid w:val="6A2B7DCF"/>
    <w:rsid w:val="6A2C1D99"/>
    <w:rsid w:val="6A2C53F8"/>
    <w:rsid w:val="6A2D5AEE"/>
    <w:rsid w:val="6A2D7FEB"/>
    <w:rsid w:val="6A2E0035"/>
    <w:rsid w:val="6A2E2B88"/>
    <w:rsid w:val="6A2E65CC"/>
    <w:rsid w:val="6A2E73C3"/>
    <w:rsid w:val="6A2E78BF"/>
    <w:rsid w:val="6A2E7A5F"/>
    <w:rsid w:val="6A2F0686"/>
    <w:rsid w:val="6A2F2E13"/>
    <w:rsid w:val="6A2F5554"/>
    <w:rsid w:val="6A2F668E"/>
    <w:rsid w:val="6A2F7D0F"/>
    <w:rsid w:val="6A301CE3"/>
    <w:rsid w:val="6A30294A"/>
    <w:rsid w:val="6A3053E5"/>
    <w:rsid w:val="6A3057DD"/>
    <w:rsid w:val="6A3134A4"/>
    <w:rsid w:val="6A313B90"/>
    <w:rsid w:val="6A315BE8"/>
    <w:rsid w:val="6A323F3A"/>
    <w:rsid w:val="6A325601"/>
    <w:rsid w:val="6A326C4F"/>
    <w:rsid w:val="6A3273AF"/>
    <w:rsid w:val="6A331379"/>
    <w:rsid w:val="6A332502"/>
    <w:rsid w:val="6A334ED5"/>
    <w:rsid w:val="6A336897"/>
    <w:rsid w:val="6A337A47"/>
    <w:rsid w:val="6A3412C8"/>
    <w:rsid w:val="6A3417F0"/>
    <w:rsid w:val="6A3430A0"/>
    <w:rsid w:val="6A3456EA"/>
    <w:rsid w:val="6A34679C"/>
    <w:rsid w:val="6A350C4E"/>
    <w:rsid w:val="6A3550F2"/>
    <w:rsid w:val="6A35569A"/>
    <w:rsid w:val="6A3556A6"/>
    <w:rsid w:val="6A35611A"/>
    <w:rsid w:val="6A372C18"/>
    <w:rsid w:val="6A3749C6"/>
    <w:rsid w:val="6A374FA7"/>
    <w:rsid w:val="6A383046"/>
    <w:rsid w:val="6A386990"/>
    <w:rsid w:val="6A395829"/>
    <w:rsid w:val="6A3A2708"/>
    <w:rsid w:val="6A3A6264"/>
    <w:rsid w:val="6A3B3EF0"/>
    <w:rsid w:val="6A3C1FDC"/>
    <w:rsid w:val="6A3C7682"/>
    <w:rsid w:val="6A3D3FA6"/>
    <w:rsid w:val="6A3D5D54"/>
    <w:rsid w:val="6A3D6F42"/>
    <w:rsid w:val="6A3D7B02"/>
    <w:rsid w:val="6A3E279B"/>
    <w:rsid w:val="6A3E5777"/>
    <w:rsid w:val="6A3F17D8"/>
    <w:rsid w:val="6A3F1ACC"/>
    <w:rsid w:val="6A3F7D1E"/>
    <w:rsid w:val="6A401229"/>
    <w:rsid w:val="6A401E6D"/>
    <w:rsid w:val="6A4051A0"/>
    <w:rsid w:val="6A407361"/>
    <w:rsid w:val="6A413A96"/>
    <w:rsid w:val="6A415844"/>
    <w:rsid w:val="6A4175F2"/>
    <w:rsid w:val="6A42067F"/>
    <w:rsid w:val="6A42448E"/>
    <w:rsid w:val="6A42689C"/>
    <w:rsid w:val="6A427BAE"/>
    <w:rsid w:val="6A433447"/>
    <w:rsid w:val="6A442BC8"/>
    <w:rsid w:val="6A442D86"/>
    <w:rsid w:val="6A444E6C"/>
    <w:rsid w:val="6A4504F8"/>
    <w:rsid w:val="6A455033"/>
    <w:rsid w:val="6A4566A4"/>
    <w:rsid w:val="6A460108"/>
    <w:rsid w:val="6A46086D"/>
    <w:rsid w:val="6A460EF6"/>
    <w:rsid w:val="6A461178"/>
    <w:rsid w:val="6A462972"/>
    <w:rsid w:val="6A464C09"/>
    <w:rsid w:val="6A465B24"/>
    <w:rsid w:val="6A470981"/>
    <w:rsid w:val="6A472697"/>
    <w:rsid w:val="6A47287B"/>
    <w:rsid w:val="6A472CE6"/>
    <w:rsid w:val="6A4745DE"/>
    <w:rsid w:val="6A475399"/>
    <w:rsid w:val="6A4765A7"/>
    <w:rsid w:val="6A4809E3"/>
    <w:rsid w:val="6A4844BB"/>
    <w:rsid w:val="6A484E25"/>
    <w:rsid w:val="6A4877E1"/>
    <w:rsid w:val="6A491011"/>
    <w:rsid w:val="6A49294B"/>
    <w:rsid w:val="6A4946F9"/>
    <w:rsid w:val="6A4952BA"/>
    <w:rsid w:val="6A495D3A"/>
    <w:rsid w:val="6A496353"/>
    <w:rsid w:val="6A4964A7"/>
    <w:rsid w:val="6A496D56"/>
    <w:rsid w:val="6A497BD0"/>
    <w:rsid w:val="6A4A7E16"/>
    <w:rsid w:val="6A4B0471"/>
    <w:rsid w:val="6A4B6148"/>
    <w:rsid w:val="6A4B7222"/>
    <w:rsid w:val="6A4B7D7B"/>
    <w:rsid w:val="6A4C5C9E"/>
    <w:rsid w:val="6A4C6FCF"/>
    <w:rsid w:val="6A4D003D"/>
    <w:rsid w:val="6A4D234E"/>
    <w:rsid w:val="6A4E038C"/>
    <w:rsid w:val="6A4E1D0F"/>
    <w:rsid w:val="6A4E23EC"/>
    <w:rsid w:val="6A4E2689"/>
    <w:rsid w:val="6A4E3B2B"/>
    <w:rsid w:val="6A4E4FE8"/>
    <w:rsid w:val="6A4E60DD"/>
    <w:rsid w:val="6A4E72FA"/>
    <w:rsid w:val="6A4E748B"/>
    <w:rsid w:val="6A4E7F61"/>
    <w:rsid w:val="6A4F0CAC"/>
    <w:rsid w:val="6A4F5F93"/>
    <w:rsid w:val="6A4F6066"/>
    <w:rsid w:val="6A500B3C"/>
    <w:rsid w:val="6A5010AD"/>
    <w:rsid w:val="6A502786"/>
    <w:rsid w:val="6A50293B"/>
    <w:rsid w:val="6A503CD9"/>
    <w:rsid w:val="6A505A86"/>
    <w:rsid w:val="6A505A87"/>
    <w:rsid w:val="6A505BEF"/>
    <w:rsid w:val="6A507835"/>
    <w:rsid w:val="6A507B8C"/>
    <w:rsid w:val="6A512331"/>
    <w:rsid w:val="6A5135AE"/>
    <w:rsid w:val="6A517CF6"/>
    <w:rsid w:val="6A521800"/>
    <w:rsid w:val="6A525B7A"/>
    <w:rsid w:val="6A52769A"/>
    <w:rsid w:val="6A531264"/>
    <w:rsid w:val="6A5352AE"/>
    <w:rsid w:val="6A53650D"/>
    <w:rsid w:val="6A536EDB"/>
    <w:rsid w:val="6A537326"/>
    <w:rsid w:val="6A537D13"/>
    <w:rsid w:val="6A5410DE"/>
    <w:rsid w:val="6A5437CA"/>
    <w:rsid w:val="6A5462AA"/>
    <w:rsid w:val="6A546C2D"/>
    <w:rsid w:val="6A5512F0"/>
    <w:rsid w:val="6A55309E"/>
    <w:rsid w:val="6A56150C"/>
    <w:rsid w:val="6A5645D1"/>
    <w:rsid w:val="6A564BF3"/>
    <w:rsid w:val="6A564E8E"/>
    <w:rsid w:val="6A570BC4"/>
    <w:rsid w:val="6A575068"/>
    <w:rsid w:val="6A580EEF"/>
    <w:rsid w:val="6A584114"/>
    <w:rsid w:val="6A58493C"/>
    <w:rsid w:val="6A587593"/>
    <w:rsid w:val="6A587E3E"/>
    <w:rsid w:val="6A59011F"/>
    <w:rsid w:val="6A591F1B"/>
    <w:rsid w:val="6A5935EB"/>
    <w:rsid w:val="6A593B84"/>
    <w:rsid w:val="6A5964DC"/>
    <w:rsid w:val="6A597BB0"/>
    <w:rsid w:val="6A5A1ADB"/>
    <w:rsid w:val="6A5A1FAD"/>
    <w:rsid w:val="6A5A380F"/>
    <w:rsid w:val="6A5A4B58"/>
    <w:rsid w:val="6A5A6906"/>
    <w:rsid w:val="6A5A796A"/>
    <w:rsid w:val="6A5B028C"/>
    <w:rsid w:val="6A5B0D72"/>
    <w:rsid w:val="6A5B3236"/>
    <w:rsid w:val="6A5B7124"/>
    <w:rsid w:val="6A5C0796"/>
    <w:rsid w:val="6A5C267E"/>
    <w:rsid w:val="6A5C442C"/>
    <w:rsid w:val="6A5C603F"/>
    <w:rsid w:val="6A5C612F"/>
    <w:rsid w:val="6A5C61DA"/>
    <w:rsid w:val="6A5C61E8"/>
    <w:rsid w:val="6A5D1F52"/>
    <w:rsid w:val="6A5D6AFB"/>
    <w:rsid w:val="6A5E127F"/>
    <w:rsid w:val="6A5E5483"/>
    <w:rsid w:val="6A5E5F7A"/>
    <w:rsid w:val="6A5E63F6"/>
    <w:rsid w:val="6A5F03DC"/>
    <w:rsid w:val="6A5F216E"/>
    <w:rsid w:val="6A5F4AB0"/>
    <w:rsid w:val="6A5F5CCB"/>
    <w:rsid w:val="6A6010FA"/>
    <w:rsid w:val="6A60436C"/>
    <w:rsid w:val="6A6047BD"/>
    <w:rsid w:val="6A605BDE"/>
    <w:rsid w:val="6A6117CE"/>
    <w:rsid w:val="6A612314"/>
    <w:rsid w:val="6A613681"/>
    <w:rsid w:val="6A614905"/>
    <w:rsid w:val="6A615EE7"/>
    <w:rsid w:val="6A621DD6"/>
    <w:rsid w:val="6A621FA1"/>
    <w:rsid w:val="6A623431"/>
    <w:rsid w:val="6A6257BB"/>
    <w:rsid w:val="6A626A2A"/>
    <w:rsid w:val="6A627B6F"/>
    <w:rsid w:val="6A633A0D"/>
    <w:rsid w:val="6A653E3D"/>
    <w:rsid w:val="6A65482F"/>
    <w:rsid w:val="6A6606AF"/>
    <w:rsid w:val="6A661DB2"/>
    <w:rsid w:val="6A6634FD"/>
    <w:rsid w:val="6A6645EC"/>
    <w:rsid w:val="6A665C31"/>
    <w:rsid w:val="6A667059"/>
    <w:rsid w:val="6A667924"/>
    <w:rsid w:val="6A667BA2"/>
    <w:rsid w:val="6A674775"/>
    <w:rsid w:val="6A674B7F"/>
    <w:rsid w:val="6A681023"/>
    <w:rsid w:val="6A682DB9"/>
    <w:rsid w:val="6A682DD1"/>
    <w:rsid w:val="6A684706"/>
    <w:rsid w:val="6A6872A3"/>
    <w:rsid w:val="6A690733"/>
    <w:rsid w:val="6A691044"/>
    <w:rsid w:val="6A691E74"/>
    <w:rsid w:val="6A6938A5"/>
    <w:rsid w:val="6A694D9B"/>
    <w:rsid w:val="6A695519"/>
    <w:rsid w:val="6A696B49"/>
    <w:rsid w:val="6A6A02D6"/>
    <w:rsid w:val="6A6A08D4"/>
    <w:rsid w:val="6A6A4884"/>
    <w:rsid w:val="6A6A6CA3"/>
    <w:rsid w:val="6A6B3750"/>
    <w:rsid w:val="6A6B466F"/>
    <w:rsid w:val="6A6B64D8"/>
    <w:rsid w:val="6A6C20CD"/>
    <w:rsid w:val="6A6C2D2A"/>
    <w:rsid w:val="6A6C631D"/>
    <w:rsid w:val="6A6D02E7"/>
    <w:rsid w:val="6A6D03E7"/>
    <w:rsid w:val="6A6D1C85"/>
    <w:rsid w:val="6A6D6639"/>
    <w:rsid w:val="6A6E272E"/>
    <w:rsid w:val="6A6F0D41"/>
    <w:rsid w:val="6A6F28D9"/>
    <w:rsid w:val="6A6F2A2D"/>
    <w:rsid w:val="6A6F36AA"/>
    <w:rsid w:val="6A6F5CE6"/>
    <w:rsid w:val="6A70346A"/>
    <w:rsid w:val="6A7052DA"/>
    <w:rsid w:val="6A705A35"/>
    <w:rsid w:val="6A70612A"/>
    <w:rsid w:val="6A7071A3"/>
    <w:rsid w:val="6A70753B"/>
    <w:rsid w:val="6A707ED8"/>
    <w:rsid w:val="6A71265F"/>
    <w:rsid w:val="6A71659F"/>
    <w:rsid w:val="6A717721"/>
    <w:rsid w:val="6A72319D"/>
    <w:rsid w:val="6A725AAC"/>
    <w:rsid w:val="6A731776"/>
    <w:rsid w:val="6A73248D"/>
    <w:rsid w:val="6A734C2C"/>
    <w:rsid w:val="6A741527"/>
    <w:rsid w:val="6A745C1A"/>
    <w:rsid w:val="6A753740"/>
    <w:rsid w:val="6A7554EE"/>
    <w:rsid w:val="6A764A7E"/>
    <w:rsid w:val="6A767A30"/>
    <w:rsid w:val="6A7702B8"/>
    <w:rsid w:val="6A773014"/>
    <w:rsid w:val="6A780AD4"/>
    <w:rsid w:val="6A784A88"/>
    <w:rsid w:val="6A786D8C"/>
    <w:rsid w:val="6A79181C"/>
    <w:rsid w:val="6A793230"/>
    <w:rsid w:val="6A794FDE"/>
    <w:rsid w:val="6A796942"/>
    <w:rsid w:val="6A7A2DF9"/>
    <w:rsid w:val="6A7A3858"/>
    <w:rsid w:val="6A7A47C9"/>
    <w:rsid w:val="6A7A48B2"/>
    <w:rsid w:val="6A7A4CEC"/>
    <w:rsid w:val="6A7A66A0"/>
    <w:rsid w:val="6A7A6FA8"/>
    <w:rsid w:val="6A7B27A9"/>
    <w:rsid w:val="6A7B5B5E"/>
    <w:rsid w:val="6A7B6B3B"/>
    <w:rsid w:val="6A7B7546"/>
    <w:rsid w:val="6A7C062B"/>
    <w:rsid w:val="6A7C0D67"/>
    <w:rsid w:val="6A7C64B2"/>
    <w:rsid w:val="6A7C687C"/>
    <w:rsid w:val="6A7D0134"/>
    <w:rsid w:val="6A7D4827"/>
    <w:rsid w:val="6A7D4E0C"/>
    <w:rsid w:val="6A7E25F5"/>
    <w:rsid w:val="6A7E2CFF"/>
    <w:rsid w:val="6A7E3409"/>
    <w:rsid w:val="6A7E4549"/>
    <w:rsid w:val="6A7E757B"/>
    <w:rsid w:val="6A7F1BCF"/>
    <w:rsid w:val="6A7F2393"/>
    <w:rsid w:val="6A7F409A"/>
    <w:rsid w:val="6A7F45BF"/>
    <w:rsid w:val="6A7F636D"/>
    <w:rsid w:val="6A7F66C2"/>
    <w:rsid w:val="6A800E7C"/>
    <w:rsid w:val="6A806218"/>
    <w:rsid w:val="6A807C7D"/>
    <w:rsid w:val="6A8120E5"/>
    <w:rsid w:val="6A813E48"/>
    <w:rsid w:val="6A813E93"/>
    <w:rsid w:val="6A81400C"/>
    <w:rsid w:val="6A815C41"/>
    <w:rsid w:val="6A8167F9"/>
    <w:rsid w:val="6A8247EE"/>
    <w:rsid w:val="6A824D49"/>
    <w:rsid w:val="6A826856"/>
    <w:rsid w:val="6A830A68"/>
    <w:rsid w:val="6A835E5D"/>
    <w:rsid w:val="6A841BD5"/>
    <w:rsid w:val="6A843312"/>
    <w:rsid w:val="6A84533B"/>
    <w:rsid w:val="6A84611C"/>
    <w:rsid w:val="6A846A7C"/>
    <w:rsid w:val="6A847607"/>
    <w:rsid w:val="6A855BD2"/>
    <w:rsid w:val="6A85704F"/>
    <w:rsid w:val="6A86594D"/>
    <w:rsid w:val="6A8742D3"/>
    <w:rsid w:val="6A876FCF"/>
    <w:rsid w:val="6A88249E"/>
    <w:rsid w:val="6A883473"/>
    <w:rsid w:val="6A885221"/>
    <w:rsid w:val="6A890236"/>
    <w:rsid w:val="6A89370B"/>
    <w:rsid w:val="6A8970E2"/>
    <w:rsid w:val="6A8A3EC1"/>
    <w:rsid w:val="6A8A4024"/>
    <w:rsid w:val="6A8A5F80"/>
    <w:rsid w:val="6A8A6063"/>
    <w:rsid w:val="6A8A6AD8"/>
    <w:rsid w:val="6A8A6F22"/>
    <w:rsid w:val="6A8B284A"/>
    <w:rsid w:val="6A8B3277"/>
    <w:rsid w:val="6A8B3D7E"/>
    <w:rsid w:val="6A8B4D12"/>
    <w:rsid w:val="6A8C0077"/>
    <w:rsid w:val="6A8C4D73"/>
    <w:rsid w:val="6A8C59EB"/>
    <w:rsid w:val="6A8C5F30"/>
    <w:rsid w:val="6A8C6819"/>
    <w:rsid w:val="6A8C72FA"/>
    <w:rsid w:val="6A8D0791"/>
    <w:rsid w:val="6A8D0A8A"/>
    <w:rsid w:val="6A8D2468"/>
    <w:rsid w:val="6A8D6CDC"/>
    <w:rsid w:val="6A8E0132"/>
    <w:rsid w:val="6A8E035E"/>
    <w:rsid w:val="6A8E0FBE"/>
    <w:rsid w:val="6A8E3AF7"/>
    <w:rsid w:val="6A8E549C"/>
    <w:rsid w:val="6A8E65B0"/>
    <w:rsid w:val="6A8E67FB"/>
    <w:rsid w:val="6A8E6C0F"/>
    <w:rsid w:val="6A8E7655"/>
    <w:rsid w:val="6A8F2FE6"/>
    <w:rsid w:val="6A8F3A58"/>
    <w:rsid w:val="6A8F4802"/>
    <w:rsid w:val="6A8F48EE"/>
    <w:rsid w:val="6A8F6FF7"/>
    <w:rsid w:val="6A90057A"/>
    <w:rsid w:val="6A902414"/>
    <w:rsid w:val="6A90461A"/>
    <w:rsid w:val="6A906B67"/>
    <w:rsid w:val="6A906F5C"/>
    <w:rsid w:val="6A907BF0"/>
    <w:rsid w:val="6A907F7C"/>
    <w:rsid w:val="6A9135AB"/>
    <w:rsid w:val="6A915F8E"/>
    <w:rsid w:val="6A9216C3"/>
    <w:rsid w:val="6A921C4B"/>
    <w:rsid w:val="6A933BC6"/>
    <w:rsid w:val="6A94006A"/>
    <w:rsid w:val="6A941978"/>
    <w:rsid w:val="6A9456AC"/>
    <w:rsid w:val="6A945A9B"/>
    <w:rsid w:val="6A9461CE"/>
    <w:rsid w:val="6A951A63"/>
    <w:rsid w:val="6A954075"/>
    <w:rsid w:val="6A954A11"/>
    <w:rsid w:val="6A955B90"/>
    <w:rsid w:val="6A961785"/>
    <w:rsid w:val="6A962173"/>
    <w:rsid w:val="6A962A1B"/>
    <w:rsid w:val="6A9648A6"/>
    <w:rsid w:val="6A97162D"/>
    <w:rsid w:val="6A971908"/>
    <w:rsid w:val="6A9728F1"/>
    <w:rsid w:val="6A972B20"/>
    <w:rsid w:val="6A9736B6"/>
    <w:rsid w:val="6A973924"/>
    <w:rsid w:val="6A9739A1"/>
    <w:rsid w:val="6A973ABE"/>
    <w:rsid w:val="6A973B65"/>
    <w:rsid w:val="6A974CB4"/>
    <w:rsid w:val="6A975464"/>
    <w:rsid w:val="6A9774CA"/>
    <w:rsid w:val="6A9811DC"/>
    <w:rsid w:val="6A982BB4"/>
    <w:rsid w:val="6A984A9D"/>
    <w:rsid w:val="6A991400"/>
    <w:rsid w:val="6A9917CB"/>
    <w:rsid w:val="6A995F75"/>
    <w:rsid w:val="6A9A0460"/>
    <w:rsid w:val="6A9A5533"/>
    <w:rsid w:val="6A9A6D03"/>
    <w:rsid w:val="6A9A723D"/>
    <w:rsid w:val="6A9A7B38"/>
    <w:rsid w:val="6A9B17CE"/>
    <w:rsid w:val="6A9B4745"/>
    <w:rsid w:val="6A9B4D03"/>
    <w:rsid w:val="6A9B6275"/>
    <w:rsid w:val="6A9C038F"/>
    <w:rsid w:val="6A9C0CCD"/>
    <w:rsid w:val="6A9C26C4"/>
    <w:rsid w:val="6A9C2A7B"/>
    <w:rsid w:val="6A9C2F2D"/>
    <w:rsid w:val="6A9C3C11"/>
    <w:rsid w:val="6A9C4AF2"/>
    <w:rsid w:val="6A9C65CE"/>
    <w:rsid w:val="6A9C6F1F"/>
    <w:rsid w:val="6A9D0076"/>
    <w:rsid w:val="6A9D4852"/>
    <w:rsid w:val="6A9D62FD"/>
    <w:rsid w:val="6A9D6672"/>
    <w:rsid w:val="6A9D7623"/>
    <w:rsid w:val="6A9E21DB"/>
    <w:rsid w:val="6A9E4A45"/>
    <w:rsid w:val="6A9E5A1B"/>
    <w:rsid w:val="6A9E67F3"/>
    <w:rsid w:val="6A9F004F"/>
    <w:rsid w:val="6A9F0291"/>
    <w:rsid w:val="6A9F154D"/>
    <w:rsid w:val="6A9F256B"/>
    <w:rsid w:val="6A9F45C2"/>
    <w:rsid w:val="6AA04DD8"/>
    <w:rsid w:val="6AA050EF"/>
    <w:rsid w:val="6AA055DF"/>
    <w:rsid w:val="6AA11332"/>
    <w:rsid w:val="6AA13425"/>
    <w:rsid w:val="6AA14535"/>
    <w:rsid w:val="6AA15FA4"/>
    <w:rsid w:val="6AA162E3"/>
    <w:rsid w:val="6AA204B0"/>
    <w:rsid w:val="6AA2229C"/>
    <w:rsid w:val="6AA22BAC"/>
    <w:rsid w:val="6AA22E66"/>
    <w:rsid w:val="6AA2489B"/>
    <w:rsid w:val="6AA270BB"/>
    <w:rsid w:val="6AA30F4C"/>
    <w:rsid w:val="6AA3205B"/>
    <w:rsid w:val="6AA36AD3"/>
    <w:rsid w:val="6AA36EBB"/>
    <w:rsid w:val="6AA42029"/>
    <w:rsid w:val="6AA433C5"/>
    <w:rsid w:val="6AA45378"/>
    <w:rsid w:val="6AA45DD3"/>
    <w:rsid w:val="6AA47B81"/>
    <w:rsid w:val="6AA501F1"/>
    <w:rsid w:val="6AA502AE"/>
    <w:rsid w:val="6AA52F2E"/>
    <w:rsid w:val="6AA54025"/>
    <w:rsid w:val="6AA55E4B"/>
    <w:rsid w:val="6AA60546"/>
    <w:rsid w:val="6AA622AB"/>
    <w:rsid w:val="6AA62FA8"/>
    <w:rsid w:val="6AA638F9"/>
    <w:rsid w:val="6AA656A7"/>
    <w:rsid w:val="6AA70E28"/>
    <w:rsid w:val="6AA71193"/>
    <w:rsid w:val="6AA738F4"/>
    <w:rsid w:val="6AA74F3F"/>
    <w:rsid w:val="6AA80BCD"/>
    <w:rsid w:val="6AA84736"/>
    <w:rsid w:val="6AA84B55"/>
    <w:rsid w:val="6AA84DED"/>
    <w:rsid w:val="6AA87672"/>
    <w:rsid w:val="6AA92607"/>
    <w:rsid w:val="6AA933EA"/>
    <w:rsid w:val="6AA941C8"/>
    <w:rsid w:val="6AA95198"/>
    <w:rsid w:val="6AAA0797"/>
    <w:rsid w:val="6AAA11F3"/>
    <w:rsid w:val="6AAA25E9"/>
    <w:rsid w:val="6AAA3E7D"/>
    <w:rsid w:val="6AAB042C"/>
    <w:rsid w:val="6AAB3FE4"/>
    <w:rsid w:val="6AAB53B4"/>
    <w:rsid w:val="6AAB593A"/>
    <w:rsid w:val="6AAB6533"/>
    <w:rsid w:val="6AAD2EDA"/>
    <w:rsid w:val="6AAD44B9"/>
    <w:rsid w:val="6AAD4AC2"/>
    <w:rsid w:val="6AAD6A36"/>
    <w:rsid w:val="6AAE2E58"/>
    <w:rsid w:val="6AAE48F0"/>
    <w:rsid w:val="6AAE6EA6"/>
    <w:rsid w:val="6AB00F86"/>
    <w:rsid w:val="6AB0352A"/>
    <w:rsid w:val="6AB03A8C"/>
    <w:rsid w:val="6AB03F92"/>
    <w:rsid w:val="6AB04641"/>
    <w:rsid w:val="6AB04778"/>
    <w:rsid w:val="6AB06526"/>
    <w:rsid w:val="6AB12F6E"/>
    <w:rsid w:val="6AB1440D"/>
    <w:rsid w:val="6AB156D8"/>
    <w:rsid w:val="6AB203B9"/>
    <w:rsid w:val="6AB26742"/>
    <w:rsid w:val="6AB30C82"/>
    <w:rsid w:val="6AB42FB0"/>
    <w:rsid w:val="6AB46016"/>
    <w:rsid w:val="6AB467FE"/>
    <w:rsid w:val="6AB47927"/>
    <w:rsid w:val="6AB53A70"/>
    <w:rsid w:val="6AB53B3C"/>
    <w:rsid w:val="6AB55F87"/>
    <w:rsid w:val="6AB56DF3"/>
    <w:rsid w:val="6AB64496"/>
    <w:rsid w:val="6AB64A7A"/>
    <w:rsid w:val="6AB671BB"/>
    <w:rsid w:val="6AB701CA"/>
    <w:rsid w:val="6AB726E7"/>
    <w:rsid w:val="6AB7288A"/>
    <w:rsid w:val="6AB72AA3"/>
    <w:rsid w:val="6AB72D9B"/>
    <w:rsid w:val="6AB75698"/>
    <w:rsid w:val="6AB75B07"/>
    <w:rsid w:val="6AB82348"/>
    <w:rsid w:val="6AB8422B"/>
    <w:rsid w:val="6AB87A5E"/>
    <w:rsid w:val="6AB91833"/>
    <w:rsid w:val="6AB9187F"/>
    <w:rsid w:val="6AB932FD"/>
    <w:rsid w:val="6AB947AC"/>
    <w:rsid w:val="6AB94C6D"/>
    <w:rsid w:val="6AB97AD1"/>
    <w:rsid w:val="6ABA22D0"/>
    <w:rsid w:val="6ABA2701"/>
    <w:rsid w:val="6ABA42EC"/>
    <w:rsid w:val="6ABA44E6"/>
    <w:rsid w:val="6ABA55F7"/>
    <w:rsid w:val="6ABA73A5"/>
    <w:rsid w:val="6ABA77AD"/>
    <w:rsid w:val="6ABB175F"/>
    <w:rsid w:val="6ABB2DFA"/>
    <w:rsid w:val="6ABB5B88"/>
    <w:rsid w:val="6ABC136F"/>
    <w:rsid w:val="6ABC2BAC"/>
    <w:rsid w:val="6ABC4D60"/>
    <w:rsid w:val="6ABC4ECB"/>
    <w:rsid w:val="6ABC577D"/>
    <w:rsid w:val="6ABC638E"/>
    <w:rsid w:val="6ABD0AE6"/>
    <w:rsid w:val="6ABD3359"/>
    <w:rsid w:val="6ABD549F"/>
    <w:rsid w:val="6ABD54CC"/>
    <w:rsid w:val="6ABD6C0D"/>
    <w:rsid w:val="6ABE009D"/>
    <w:rsid w:val="6ABE5F53"/>
    <w:rsid w:val="6ABE6E95"/>
    <w:rsid w:val="6ABE758A"/>
    <w:rsid w:val="6ABF3F56"/>
    <w:rsid w:val="6ABF49BB"/>
    <w:rsid w:val="6AC02B45"/>
    <w:rsid w:val="6AC02C0D"/>
    <w:rsid w:val="6AC0558E"/>
    <w:rsid w:val="6AC1049D"/>
    <w:rsid w:val="6AC10733"/>
    <w:rsid w:val="6AC138E5"/>
    <w:rsid w:val="6AC1485D"/>
    <w:rsid w:val="6AC16985"/>
    <w:rsid w:val="6AC2149D"/>
    <w:rsid w:val="6AC216E9"/>
    <w:rsid w:val="6AC223A0"/>
    <w:rsid w:val="6AC27EAE"/>
    <w:rsid w:val="6AC326FD"/>
    <w:rsid w:val="6AC33298"/>
    <w:rsid w:val="6AC344AB"/>
    <w:rsid w:val="6AC41FD2"/>
    <w:rsid w:val="6AC43F0F"/>
    <w:rsid w:val="6AC448D1"/>
    <w:rsid w:val="6AC51DE6"/>
    <w:rsid w:val="6AC56475"/>
    <w:rsid w:val="6AC56FB1"/>
    <w:rsid w:val="6AC60A9C"/>
    <w:rsid w:val="6AC60CBF"/>
    <w:rsid w:val="6AC65D4A"/>
    <w:rsid w:val="6AC67AF8"/>
    <w:rsid w:val="6AC74AFE"/>
    <w:rsid w:val="6AC803FA"/>
    <w:rsid w:val="6AC81AC2"/>
    <w:rsid w:val="6AC81C6F"/>
    <w:rsid w:val="6AC83870"/>
    <w:rsid w:val="6AC84763"/>
    <w:rsid w:val="6AC85D80"/>
    <w:rsid w:val="6AC9176D"/>
    <w:rsid w:val="6AC968B6"/>
    <w:rsid w:val="6AC975E8"/>
    <w:rsid w:val="6ACA36AD"/>
    <w:rsid w:val="6ACA6640"/>
    <w:rsid w:val="6ACB1211"/>
    <w:rsid w:val="6ACB15B2"/>
    <w:rsid w:val="6ACB3360"/>
    <w:rsid w:val="6ACB4013"/>
    <w:rsid w:val="6ACB505B"/>
    <w:rsid w:val="6ACC06D2"/>
    <w:rsid w:val="6ACC65AA"/>
    <w:rsid w:val="6ACD0E86"/>
    <w:rsid w:val="6ACD3676"/>
    <w:rsid w:val="6ACD3FD1"/>
    <w:rsid w:val="6ACD6702"/>
    <w:rsid w:val="6ACE2CE5"/>
    <w:rsid w:val="6ACE47D8"/>
    <w:rsid w:val="6ACE4BFE"/>
    <w:rsid w:val="6ACE5268"/>
    <w:rsid w:val="6ACF2E50"/>
    <w:rsid w:val="6AD00533"/>
    <w:rsid w:val="6AD03309"/>
    <w:rsid w:val="6AD05952"/>
    <w:rsid w:val="6AD05D4B"/>
    <w:rsid w:val="6AD062CF"/>
    <w:rsid w:val="6AD06BC8"/>
    <w:rsid w:val="6AD073F4"/>
    <w:rsid w:val="6AD0778C"/>
    <w:rsid w:val="6AD14E1A"/>
    <w:rsid w:val="6AD16513"/>
    <w:rsid w:val="6AD17F6E"/>
    <w:rsid w:val="6AD20B92"/>
    <w:rsid w:val="6AD218B8"/>
    <w:rsid w:val="6AD24DD2"/>
    <w:rsid w:val="6AD26437"/>
    <w:rsid w:val="6AD2649C"/>
    <w:rsid w:val="6AD30E33"/>
    <w:rsid w:val="6AD3193B"/>
    <w:rsid w:val="6AD31D64"/>
    <w:rsid w:val="6AD35C14"/>
    <w:rsid w:val="6AD37478"/>
    <w:rsid w:val="6AD37541"/>
    <w:rsid w:val="6AD466B8"/>
    <w:rsid w:val="6AD46DD1"/>
    <w:rsid w:val="6AD47BDE"/>
    <w:rsid w:val="6AD534B5"/>
    <w:rsid w:val="6AD53E05"/>
    <w:rsid w:val="6AD55800"/>
    <w:rsid w:val="6AD6004B"/>
    <w:rsid w:val="6AD62431"/>
    <w:rsid w:val="6AD6255B"/>
    <w:rsid w:val="6AD64B93"/>
    <w:rsid w:val="6AD64D16"/>
    <w:rsid w:val="6AD651ED"/>
    <w:rsid w:val="6AD66408"/>
    <w:rsid w:val="6AD70C43"/>
    <w:rsid w:val="6AD71D05"/>
    <w:rsid w:val="6AD83C99"/>
    <w:rsid w:val="6AD95A7D"/>
    <w:rsid w:val="6AD9723D"/>
    <w:rsid w:val="6AD9782B"/>
    <w:rsid w:val="6ADA17F5"/>
    <w:rsid w:val="6ADA6134"/>
    <w:rsid w:val="6ADC2981"/>
    <w:rsid w:val="6ADC30AB"/>
    <w:rsid w:val="6ADC556D"/>
    <w:rsid w:val="6ADC5F8F"/>
    <w:rsid w:val="6ADC69E1"/>
    <w:rsid w:val="6ADD3BF8"/>
    <w:rsid w:val="6ADE12E5"/>
    <w:rsid w:val="6ADE5F45"/>
    <w:rsid w:val="6ADE7592"/>
    <w:rsid w:val="6ADF0BB9"/>
    <w:rsid w:val="6ADF2055"/>
    <w:rsid w:val="6ADF7217"/>
    <w:rsid w:val="6AE00865"/>
    <w:rsid w:val="6AE03473"/>
    <w:rsid w:val="6AE0505D"/>
    <w:rsid w:val="6AE0640C"/>
    <w:rsid w:val="6AE10938"/>
    <w:rsid w:val="6AE10FF1"/>
    <w:rsid w:val="6AE127F5"/>
    <w:rsid w:val="6AE13436"/>
    <w:rsid w:val="6AE14476"/>
    <w:rsid w:val="6AE14931"/>
    <w:rsid w:val="6AE22B83"/>
    <w:rsid w:val="6AE30927"/>
    <w:rsid w:val="6AE30A5A"/>
    <w:rsid w:val="6AE34B4E"/>
    <w:rsid w:val="6AE368FC"/>
    <w:rsid w:val="6AE378AB"/>
    <w:rsid w:val="6AE44AD1"/>
    <w:rsid w:val="6AE461D0"/>
    <w:rsid w:val="6AE52D00"/>
    <w:rsid w:val="6AE53106"/>
    <w:rsid w:val="6AE6017E"/>
    <w:rsid w:val="6AE61F48"/>
    <w:rsid w:val="6AE620FA"/>
    <w:rsid w:val="6AE6328B"/>
    <w:rsid w:val="6AE646D7"/>
    <w:rsid w:val="6AE6604A"/>
    <w:rsid w:val="6AE663EC"/>
    <w:rsid w:val="6AE678BD"/>
    <w:rsid w:val="6AE71E6D"/>
    <w:rsid w:val="6AE8037E"/>
    <w:rsid w:val="6AE82164"/>
    <w:rsid w:val="6AE83F12"/>
    <w:rsid w:val="6AE85CC0"/>
    <w:rsid w:val="6AE90A41"/>
    <w:rsid w:val="6AE91D94"/>
    <w:rsid w:val="6AE93500"/>
    <w:rsid w:val="6AE94799"/>
    <w:rsid w:val="6AE95313"/>
    <w:rsid w:val="6AE969CD"/>
    <w:rsid w:val="6AE96A85"/>
    <w:rsid w:val="6AEA0E15"/>
    <w:rsid w:val="6AEA1A38"/>
    <w:rsid w:val="6AEA24B2"/>
    <w:rsid w:val="6AEA331E"/>
    <w:rsid w:val="6AEA413C"/>
    <w:rsid w:val="6AEB1B66"/>
    <w:rsid w:val="6AEB4ABB"/>
    <w:rsid w:val="6AEB57B0"/>
    <w:rsid w:val="6AEC13DC"/>
    <w:rsid w:val="6AEC1C54"/>
    <w:rsid w:val="6AEC4BE7"/>
    <w:rsid w:val="6AED0E5A"/>
    <w:rsid w:val="6AED32D6"/>
    <w:rsid w:val="6AED777A"/>
    <w:rsid w:val="6AEE069E"/>
    <w:rsid w:val="6AEE3240"/>
    <w:rsid w:val="6AEE5A3A"/>
    <w:rsid w:val="6AEE7CC5"/>
    <w:rsid w:val="6AEF06A6"/>
    <w:rsid w:val="6AEF1144"/>
    <w:rsid w:val="6AEF23EE"/>
    <w:rsid w:val="6AEF34F2"/>
    <w:rsid w:val="6AEF52A0"/>
    <w:rsid w:val="6AEF6ECA"/>
    <w:rsid w:val="6AEF704E"/>
    <w:rsid w:val="6AF01018"/>
    <w:rsid w:val="6AF01A9B"/>
    <w:rsid w:val="6AF0374A"/>
    <w:rsid w:val="6AF05909"/>
    <w:rsid w:val="6AF13B88"/>
    <w:rsid w:val="6AF17575"/>
    <w:rsid w:val="6AF208ED"/>
    <w:rsid w:val="6AF24D91"/>
    <w:rsid w:val="6AF2504C"/>
    <w:rsid w:val="6AF251E8"/>
    <w:rsid w:val="6AF26D3D"/>
    <w:rsid w:val="6AF32123"/>
    <w:rsid w:val="6AF32C6A"/>
    <w:rsid w:val="6AF333A6"/>
    <w:rsid w:val="6AF40B09"/>
    <w:rsid w:val="6AF428B7"/>
    <w:rsid w:val="6AF466E2"/>
    <w:rsid w:val="6AF517FB"/>
    <w:rsid w:val="6AF5553D"/>
    <w:rsid w:val="6AF6251D"/>
    <w:rsid w:val="6AF66315"/>
    <w:rsid w:val="6AF6662F"/>
    <w:rsid w:val="6AF66D9D"/>
    <w:rsid w:val="6AF759A6"/>
    <w:rsid w:val="6AF821CD"/>
    <w:rsid w:val="6AF8328F"/>
    <w:rsid w:val="6AF84B77"/>
    <w:rsid w:val="6AF86AEC"/>
    <w:rsid w:val="6AF91C7B"/>
    <w:rsid w:val="6AF95B02"/>
    <w:rsid w:val="6AF9611F"/>
    <w:rsid w:val="6AF97ECD"/>
    <w:rsid w:val="6AFA3B0F"/>
    <w:rsid w:val="6AFB1E97"/>
    <w:rsid w:val="6AFB3C45"/>
    <w:rsid w:val="6AFB3C6D"/>
    <w:rsid w:val="6AFB4DE7"/>
    <w:rsid w:val="6AFB51A4"/>
    <w:rsid w:val="6AFB7215"/>
    <w:rsid w:val="6AFC176B"/>
    <w:rsid w:val="6AFC573B"/>
    <w:rsid w:val="6AFC79BD"/>
    <w:rsid w:val="6AFD0263"/>
    <w:rsid w:val="6AFD2259"/>
    <w:rsid w:val="6AFD24DA"/>
    <w:rsid w:val="6AFD4C1F"/>
    <w:rsid w:val="6AFE0445"/>
    <w:rsid w:val="6AFE1D0B"/>
    <w:rsid w:val="6AFE48F1"/>
    <w:rsid w:val="6AFE54E3"/>
    <w:rsid w:val="6AFE6FAA"/>
    <w:rsid w:val="6AFF133A"/>
    <w:rsid w:val="6B00125C"/>
    <w:rsid w:val="6B001889"/>
    <w:rsid w:val="6B001CBC"/>
    <w:rsid w:val="6B005971"/>
    <w:rsid w:val="6B006143"/>
    <w:rsid w:val="6B011F97"/>
    <w:rsid w:val="6B013226"/>
    <w:rsid w:val="6B0229E9"/>
    <w:rsid w:val="6B023991"/>
    <w:rsid w:val="6B0248AA"/>
    <w:rsid w:val="6B027750"/>
    <w:rsid w:val="6B0320D7"/>
    <w:rsid w:val="6B0331D8"/>
    <w:rsid w:val="6B03455A"/>
    <w:rsid w:val="6B03666D"/>
    <w:rsid w:val="6B040620"/>
    <w:rsid w:val="6B0413A1"/>
    <w:rsid w:val="6B041FE7"/>
    <w:rsid w:val="6B042639"/>
    <w:rsid w:val="6B042B75"/>
    <w:rsid w:val="6B046521"/>
    <w:rsid w:val="6B051167"/>
    <w:rsid w:val="6B0512AA"/>
    <w:rsid w:val="6B052831"/>
    <w:rsid w:val="6B054AC4"/>
    <w:rsid w:val="6B056872"/>
    <w:rsid w:val="6B0625EA"/>
    <w:rsid w:val="6B06285A"/>
    <w:rsid w:val="6B06345C"/>
    <w:rsid w:val="6B064398"/>
    <w:rsid w:val="6B072196"/>
    <w:rsid w:val="6B075151"/>
    <w:rsid w:val="6B07518C"/>
    <w:rsid w:val="6B07792A"/>
    <w:rsid w:val="6B080110"/>
    <w:rsid w:val="6B0845B4"/>
    <w:rsid w:val="6B0865E1"/>
    <w:rsid w:val="6B090119"/>
    <w:rsid w:val="6B093EA5"/>
    <w:rsid w:val="6B0A032C"/>
    <w:rsid w:val="6B0A363C"/>
    <w:rsid w:val="6B0A5D24"/>
    <w:rsid w:val="6B0A76C8"/>
    <w:rsid w:val="6B0B1692"/>
    <w:rsid w:val="6B0B19AE"/>
    <w:rsid w:val="6B0B6E42"/>
    <w:rsid w:val="6B0B7C00"/>
    <w:rsid w:val="6B0C2230"/>
    <w:rsid w:val="6B0C5E52"/>
    <w:rsid w:val="6B0C7B33"/>
    <w:rsid w:val="6B0D07E2"/>
    <w:rsid w:val="6B0D2453"/>
    <w:rsid w:val="6B0D316A"/>
    <w:rsid w:val="6B0D350A"/>
    <w:rsid w:val="6B0D3978"/>
    <w:rsid w:val="6B0D5727"/>
    <w:rsid w:val="6B0D5B30"/>
    <w:rsid w:val="6B0E09DA"/>
    <w:rsid w:val="6B0E38E3"/>
    <w:rsid w:val="6B0F11B6"/>
    <w:rsid w:val="6B0F149F"/>
    <w:rsid w:val="6B0F5DA9"/>
    <w:rsid w:val="6B0F5F8D"/>
    <w:rsid w:val="6B0F6E77"/>
    <w:rsid w:val="6B100793"/>
    <w:rsid w:val="6B1008E4"/>
    <w:rsid w:val="6B101992"/>
    <w:rsid w:val="6B103941"/>
    <w:rsid w:val="6B1041C6"/>
    <w:rsid w:val="6B105C42"/>
    <w:rsid w:val="6B1116BB"/>
    <w:rsid w:val="6B113DD4"/>
    <w:rsid w:val="6B115F6F"/>
    <w:rsid w:val="6B1174E1"/>
    <w:rsid w:val="6B120C9C"/>
    <w:rsid w:val="6B121AC5"/>
    <w:rsid w:val="6B122264"/>
    <w:rsid w:val="6B122906"/>
    <w:rsid w:val="6B122D3D"/>
    <w:rsid w:val="6B12590D"/>
    <w:rsid w:val="6B126460"/>
    <w:rsid w:val="6B132C47"/>
    <w:rsid w:val="6B132F8F"/>
    <w:rsid w:val="6B133FDC"/>
    <w:rsid w:val="6B1362C5"/>
    <w:rsid w:val="6B136D8D"/>
    <w:rsid w:val="6B136FC3"/>
    <w:rsid w:val="6B143E3A"/>
    <w:rsid w:val="6B146AB5"/>
    <w:rsid w:val="6B147469"/>
    <w:rsid w:val="6B150604"/>
    <w:rsid w:val="6B15282D"/>
    <w:rsid w:val="6B152CE6"/>
    <w:rsid w:val="6B1533F2"/>
    <w:rsid w:val="6B160A7F"/>
    <w:rsid w:val="6B16204E"/>
    <w:rsid w:val="6B162A69"/>
    <w:rsid w:val="6B1652CB"/>
    <w:rsid w:val="6B166364"/>
    <w:rsid w:val="6B1747F7"/>
    <w:rsid w:val="6B1765A5"/>
    <w:rsid w:val="6B177973"/>
    <w:rsid w:val="6B1828E5"/>
    <w:rsid w:val="6B182AF2"/>
    <w:rsid w:val="6B184094"/>
    <w:rsid w:val="6B186CB9"/>
    <w:rsid w:val="6B190C87"/>
    <w:rsid w:val="6B19231D"/>
    <w:rsid w:val="6B192554"/>
    <w:rsid w:val="6B1940CB"/>
    <w:rsid w:val="6B194C54"/>
    <w:rsid w:val="6B197922"/>
    <w:rsid w:val="6B197E0C"/>
    <w:rsid w:val="6B1A3787"/>
    <w:rsid w:val="6B1A4720"/>
    <w:rsid w:val="6B1B42E7"/>
    <w:rsid w:val="6B1B6095"/>
    <w:rsid w:val="6B1B6F30"/>
    <w:rsid w:val="6B1B7E43"/>
    <w:rsid w:val="6B1C00BF"/>
    <w:rsid w:val="6B1C1E0E"/>
    <w:rsid w:val="6B1C2BBD"/>
    <w:rsid w:val="6B1C6A18"/>
    <w:rsid w:val="6B1D005F"/>
    <w:rsid w:val="6B1D2C76"/>
    <w:rsid w:val="6B1E16E2"/>
    <w:rsid w:val="6B1E27A9"/>
    <w:rsid w:val="6B1E5815"/>
    <w:rsid w:val="6B1E7934"/>
    <w:rsid w:val="6B1E7B31"/>
    <w:rsid w:val="6B1F2E09"/>
    <w:rsid w:val="6B2018FE"/>
    <w:rsid w:val="6B2026B8"/>
    <w:rsid w:val="6B2033DC"/>
    <w:rsid w:val="6B2036AC"/>
    <w:rsid w:val="6B2108C9"/>
    <w:rsid w:val="6B2111D2"/>
    <w:rsid w:val="6B217424"/>
    <w:rsid w:val="6B21748B"/>
    <w:rsid w:val="6B2248D9"/>
    <w:rsid w:val="6B224CC6"/>
    <w:rsid w:val="6B2313EE"/>
    <w:rsid w:val="6B232396"/>
    <w:rsid w:val="6B23277A"/>
    <w:rsid w:val="6B2334C7"/>
    <w:rsid w:val="6B234374"/>
    <w:rsid w:val="6B234F4A"/>
    <w:rsid w:val="6B243C5D"/>
    <w:rsid w:val="6B244C0A"/>
    <w:rsid w:val="6B250CC2"/>
    <w:rsid w:val="6B261B6A"/>
    <w:rsid w:val="6B2630E8"/>
    <w:rsid w:val="6B264A3A"/>
    <w:rsid w:val="6B26541A"/>
    <w:rsid w:val="6B265F66"/>
    <w:rsid w:val="6B272C8C"/>
    <w:rsid w:val="6B272C9F"/>
    <w:rsid w:val="6B272EDA"/>
    <w:rsid w:val="6B2741D7"/>
    <w:rsid w:val="6B275BCB"/>
    <w:rsid w:val="6B277D63"/>
    <w:rsid w:val="6B282560"/>
    <w:rsid w:val="6B284C99"/>
    <w:rsid w:val="6B286A04"/>
    <w:rsid w:val="6B291D9C"/>
    <w:rsid w:val="6B293105"/>
    <w:rsid w:val="6B296E17"/>
    <w:rsid w:val="6B296F18"/>
    <w:rsid w:val="6B297923"/>
    <w:rsid w:val="6B2A0087"/>
    <w:rsid w:val="6B2A197B"/>
    <w:rsid w:val="6B2A2EA9"/>
    <w:rsid w:val="6B2A452A"/>
    <w:rsid w:val="6B2A606B"/>
    <w:rsid w:val="6B2A75BF"/>
    <w:rsid w:val="6B2B298A"/>
    <w:rsid w:val="6B2B454C"/>
    <w:rsid w:val="6B2B4C3C"/>
    <w:rsid w:val="6B2C02A3"/>
    <w:rsid w:val="6B2C2051"/>
    <w:rsid w:val="6B2C470C"/>
    <w:rsid w:val="6B2C4B97"/>
    <w:rsid w:val="6B2C6715"/>
    <w:rsid w:val="6B2C6A23"/>
    <w:rsid w:val="6B2D0C56"/>
    <w:rsid w:val="6B2D0F20"/>
    <w:rsid w:val="6B2D1A3D"/>
    <w:rsid w:val="6B2D2653"/>
    <w:rsid w:val="6B2D401B"/>
    <w:rsid w:val="6B2D5DC9"/>
    <w:rsid w:val="6B2E0510"/>
    <w:rsid w:val="6B2E6145"/>
    <w:rsid w:val="6B2F350D"/>
    <w:rsid w:val="6B2F3761"/>
    <w:rsid w:val="6B302AF4"/>
    <w:rsid w:val="6B307B4F"/>
    <w:rsid w:val="6B3142A8"/>
    <w:rsid w:val="6B316CED"/>
    <w:rsid w:val="6B3214E0"/>
    <w:rsid w:val="6B321631"/>
    <w:rsid w:val="6B3233DF"/>
    <w:rsid w:val="6B3240D9"/>
    <w:rsid w:val="6B33180B"/>
    <w:rsid w:val="6B336FB6"/>
    <w:rsid w:val="6B3401C8"/>
    <w:rsid w:val="6B340F05"/>
    <w:rsid w:val="6B34370B"/>
    <w:rsid w:val="6B343C06"/>
    <w:rsid w:val="6B3453A9"/>
    <w:rsid w:val="6B345F3A"/>
    <w:rsid w:val="6B34623F"/>
    <w:rsid w:val="6B347C36"/>
    <w:rsid w:val="6B3501CF"/>
    <w:rsid w:val="6B354038"/>
    <w:rsid w:val="6B3549C8"/>
    <w:rsid w:val="6B360AAE"/>
    <w:rsid w:val="6B362ECF"/>
    <w:rsid w:val="6B36424E"/>
    <w:rsid w:val="6B366B2D"/>
    <w:rsid w:val="6B3709E1"/>
    <w:rsid w:val="6B3709F5"/>
    <w:rsid w:val="6B371066"/>
    <w:rsid w:val="6B3727A3"/>
    <w:rsid w:val="6B373F27"/>
    <w:rsid w:val="6B3754C0"/>
    <w:rsid w:val="6B3756C0"/>
    <w:rsid w:val="6B376C47"/>
    <w:rsid w:val="6B38120B"/>
    <w:rsid w:val="6B381289"/>
    <w:rsid w:val="6B38197A"/>
    <w:rsid w:val="6B381A24"/>
    <w:rsid w:val="6B392084"/>
    <w:rsid w:val="6B39476E"/>
    <w:rsid w:val="6B395F0C"/>
    <w:rsid w:val="6B3978E5"/>
    <w:rsid w:val="6B3A2BB1"/>
    <w:rsid w:val="6B3A39F9"/>
    <w:rsid w:val="6B3A6360"/>
    <w:rsid w:val="6B3B0095"/>
    <w:rsid w:val="6B3B04E6"/>
    <w:rsid w:val="6B3B2294"/>
    <w:rsid w:val="6B3B3325"/>
    <w:rsid w:val="6B3B3C1F"/>
    <w:rsid w:val="6B3B5255"/>
    <w:rsid w:val="6B3B681F"/>
    <w:rsid w:val="6B3C0340"/>
    <w:rsid w:val="6B3C0752"/>
    <w:rsid w:val="6B3C274C"/>
    <w:rsid w:val="6B3C4DDA"/>
    <w:rsid w:val="6B3C54D1"/>
    <w:rsid w:val="6B3C600C"/>
    <w:rsid w:val="6B3C61EB"/>
    <w:rsid w:val="6B3D0AA1"/>
    <w:rsid w:val="6B3D1532"/>
    <w:rsid w:val="6B3D24B0"/>
    <w:rsid w:val="6B3D49AD"/>
    <w:rsid w:val="6B3D5B12"/>
    <w:rsid w:val="6B3E1071"/>
    <w:rsid w:val="6B3E2B4E"/>
    <w:rsid w:val="6B3E3B32"/>
    <w:rsid w:val="6B3E7B38"/>
    <w:rsid w:val="6B3E7FD6"/>
    <w:rsid w:val="6B3F06B8"/>
    <w:rsid w:val="6B3F0B98"/>
    <w:rsid w:val="6B3F7336"/>
    <w:rsid w:val="6B3F7C41"/>
    <w:rsid w:val="6B40085C"/>
    <w:rsid w:val="6B401105"/>
    <w:rsid w:val="6B410F78"/>
    <w:rsid w:val="6B41123B"/>
    <w:rsid w:val="6B4138F1"/>
    <w:rsid w:val="6B41597C"/>
    <w:rsid w:val="6B4161CC"/>
    <w:rsid w:val="6B417EE4"/>
    <w:rsid w:val="6B420419"/>
    <w:rsid w:val="6B421874"/>
    <w:rsid w:val="6B431148"/>
    <w:rsid w:val="6B431B02"/>
    <w:rsid w:val="6B4324CA"/>
    <w:rsid w:val="6B432BF0"/>
    <w:rsid w:val="6B434534"/>
    <w:rsid w:val="6B4355EC"/>
    <w:rsid w:val="6B437904"/>
    <w:rsid w:val="6B44130D"/>
    <w:rsid w:val="6B44440A"/>
    <w:rsid w:val="6B4452D8"/>
    <w:rsid w:val="6B451364"/>
    <w:rsid w:val="6B453112"/>
    <w:rsid w:val="6B454EC0"/>
    <w:rsid w:val="6B455DA5"/>
    <w:rsid w:val="6B460273"/>
    <w:rsid w:val="6B460C38"/>
    <w:rsid w:val="6B461154"/>
    <w:rsid w:val="6B463DB7"/>
    <w:rsid w:val="6B473AF8"/>
    <w:rsid w:val="6B4751B5"/>
    <w:rsid w:val="6B480E55"/>
    <w:rsid w:val="6B4810A0"/>
    <w:rsid w:val="6B483A74"/>
    <w:rsid w:val="6B494EFF"/>
    <w:rsid w:val="6B495A1C"/>
    <w:rsid w:val="6B496FB8"/>
    <w:rsid w:val="6B4A0729"/>
    <w:rsid w:val="6B4A3471"/>
    <w:rsid w:val="6B4A5783"/>
    <w:rsid w:val="6B4A697B"/>
    <w:rsid w:val="6B4B11DD"/>
    <w:rsid w:val="6B4B12D4"/>
    <w:rsid w:val="6B4B2179"/>
    <w:rsid w:val="6B4B2A90"/>
    <w:rsid w:val="6B4B3A9F"/>
    <w:rsid w:val="6B4B3B36"/>
    <w:rsid w:val="6B4C0C39"/>
    <w:rsid w:val="6B4C44A1"/>
    <w:rsid w:val="6B4D13D8"/>
    <w:rsid w:val="6B4D1FC7"/>
    <w:rsid w:val="6B4D2E17"/>
    <w:rsid w:val="6B4E3852"/>
    <w:rsid w:val="6B4E646B"/>
    <w:rsid w:val="6B4F25BD"/>
    <w:rsid w:val="6B4F33C5"/>
    <w:rsid w:val="6B4F3DBC"/>
    <w:rsid w:val="6B4F3F91"/>
    <w:rsid w:val="6B4F659A"/>
    <w:rsid w:val="6B50163C"/>
    <w:rsid w:val="6B502BB4"/>
    <w:rsid w:val="6B50561E"/>
    <w:rsid w:val="6B505979"/>
    <w:rsid w:val="6B507648"/>
    <w:rsid w:val="6B510E38"/>
    <w:rsid w:val="6B51381D"/>
    <w:rsid w:val="6B515625"/>
    <w:rsid w:val="6B5169A3"/>
    <w:rsid w:val="6B5232C6"/>
    <w:rsid w:val="6B524FB3"/>
    <w:rsid w:val="6B5251F4"/>
    <w:rsid w:val="6B52582F"/>
    <w:rsid w:val="6B525EE6"/>
    <w:rsid w:val="6B526213"/>
    <w:rsid w:val="6B526A01"/>
    <w:rsid w:val="6B5274DB"/>
    <w:rsid w:val="6B5275DD"/>
    <w:rsid w:val="6B533758"/>
    <w:rsid w:val="6B533A81"/>
    <w:rsid w:val="6B533EB4"/>
    <w:rsid w:val="6B543355"/>
    <w:rsid w:val="6B546DA9"/>
    <w:rsid w:val="6B5510B2"/>
    <w:rsid w:val="6B551D99"/>
    <w:rsid w:val="6B553D19"/>
    <w:rsid w:val="6B554BEC"/>
    <w:rsid w:val="6B55512C"/>
    <w:rsid w:val="6B555575"/>
    <w:rsid w:val="6B5577B9"/>
    <w:rsid w:val="6B560C49"/>
    <w:rsid w:val="6B561325"/>
    <w:rsid w:val="6B563571"/>
    <w:rsid w:val="6B56531F"/>
    <w:rsid w:val="6B565E83"/>
    <w:rsid w:val="6B5670CE"/>
    <w:rsid w:val="6B567DE0"/>
    <w:rsid w:val="6B571831"/>
    <w:rsid w:val="6B59096C"/>
    <w:rsid w:val="6B595E89"/>
    <w:rsid w:val="6B596BBE"/>
    <w:rsid w:val="6B597433"/>
    <w:rsid w:val="6B5A1A48"/>
    <w:rsid w:val="6B5A310B"/>
    <w:rsid w:val="6B5A695E"/>
    <w:rsid w:val="6B5B0B88"/>
    <w:rsid w:val="6B5B2EFF"/>
    <w:rsid w:val="6B5B46E4"/>
    <w:rsid w:val="6B5B702D"/>
    <w:rsid w:val="6B5C014A"/>
    <w:rsid w:val="6B5C045C"/>
    <w:rsid w:val="6B5C220A"/>
    <w:rsid w:val="6B5C337A"/>
    <w:rsid w:val="6B5C7F2E"/>
    <w:rsid w:val="6B5D66AE"/>
    <w:rsid w:val="6B5D6998"/>
    <w:rsid w:val="6B5D725A"/>
    <w:rsid w:val="6B5E086B"/>
    <w:rsid w:val="6B5E3AF7"/>
    <w:rsid w:val="6B5E4E8E"/>
    <w:rsid w:val="6B5F5B5F"/>
    <w:rsid w:val="6B601CFA"/>
    <w:rsid w:val="6B60266D"/>
    <w:rsid w:val="6B602D13"/>
    <w:rsid w:val="6B60344B"/>
    <w:rsid w:val="6B6074B3"/>
    <w:rsid w:val="6B607F4C"/>
    <w:rsid w:val="6B61185D"/>
    <w:rsid w:val="6B61598A"/>
    <w:rsid w:val="6B621DBD"/>
    <w:rsid w:val="6B621F16"/>
    <w:rsid w:val="6B624C66"/>
    <w:rsid w:val="6B625A72"/>
    <w:rsid w:val="6B625D8E"/>
    <w:rsid w:val="6B6300DF"/>
    <w:rsid w:val="6B630500"/>
    <w:rsid w:val="6B630E78"/>
    <w:rsid w:val="6B6312EC"/>
    <w:rsid w:val="6B633598"/>
    <w:rsid w:val="6B636044"/>
    <w:rsid w:val="6B63616F"/>
    <w:rsid w:val="6B6446DD"/>
    <w:rsid w:val="6B64587D"/>
    <w:rsid w:val="6B6570D3"/>
    <w:rsid w:val="6B657311"/>
    <w:rsid w:val="6B66073E"/>
    <w:rsid w:val="6B660EFA"/>
    <w:rsid w:val="6B66357C"/>
    <w:rsid w:val="6B667834"/>
    <w:rsid w:val="6B67048D"/>
    <w:rsid w:val="6B6712DB"/>
    <w:rsid w:val="6B673A71"/>
    <w:rsid w:val="6B6743F9"/>
    <w:rsid w:val="6B680BAF"/>
    <w:rsid w:val="6B6842FA"/>
    <w:rsid w:val="6B686E01"/>
    <w:rsid w:val="6B692EB8"/>
    <w:rsid w:val="6B69597E"/>
    <w:rsid w:val="6B6A2130"/>
    <w:rsid w:val="6B6A2B79"/>
    <w:rsid w:val="6B6A39D4"/>
    <w:rsid w:val="6B6A5CD8"/>
    <w:rsid w:val="6B6B1262"/>
    <w:rsid w:val="6B6B2528"/>
    <w:rsid w:val="6B6B2FD3"/>
    <w:rsid w:val="6B6B32C8"/>
    <w:rsid w:val="6B6B340F"/>
    <w:rsid w:val="6B6B3AC2"/>
    <w:rsid w:val="6B6B4532"/>
    <w:rsid w:val="6B6B5272"/>
    <w:rsid w:val="6B6C036A"/>
    <w:rsid w:val="6B6C069F"/>
    <w:rsid w:val="6B6C1A17"/>
    <w:rsid w:val="6B6D11CB"/>
    <w:rsid w:val="6B6D2669"/>
    <w:rsid w:val="6B6D4417"/>
    <w:rsid w:val="6B6E0360"/>
    <w:rsid w:val="6B6E08BB"/>
    <w:rsid w:val="6B6E16F5"/>
    <w:rsid w:val="6B6E231B"/>
    <w:rsid w:val="6B6E413D"/>
    <w:rsid w:val="6B6E432D"/>
    <w:rsid w:val="6B6E4757"/>
    <w:rsid w:val="6B6F018F"/>
    <w:rsid w:val="6B6F09B6"/>
    <w:rsid w:val="6B6F0AC4"/>
    <w:rsid w:val="6B6F1F3D"/>
    <w:rsid w:val="6B6F2CF5"/>
    <w:rsid w:val="6B6F63E1"/>
    <w:rsid w:val="6B6F7C99"/>
    <w:rsid w:val="6B7106F6"/>
    <w:rsid w:val="6B711467"/>
    <w:rsid w:val="6B71223F"/>
    <w:rsid w:val="6B71286D"/>
    <w:rsid w:val="6B713F07"/>
    <w:rsid w:val="6B714110"/>
    <w:rsid w:val="6B715CB5"/>
    <w:rsid w:val="6B721A2E"/>
    <w:rsid w:val="6B726CE1"/>
    <w:rsid w:val="6B730171"/>
    <w:rsid w:val="6B734F54"/>
    <w:rsid w:val="6B736053"/>
    <w:rsid w:val="6B73622B"/>
    <w:rsid w:val="6B7408F7"/>
    <w:rsid w:val="6B74261B"/>
    <w:rsid w:val="6B742A91"/>
    <w:rsid w:val="6B74351F"/>
    <w:rsid w:val="6B7438E1"/>
    <w:rsid w:val="6B7450E2"/>
    <w:rsid w:val="6B7477F1"/>
    <w:rsid w:val="6B753F21"/>
    <w:rsid w:val="6B761510"/>
    <w:rsid w:val="6B761A50"/>
    <w:rsid w:val="6B767190"/>
    <w:rsid w:val="6B767445"/>
    <w:rsid w:val="6B767770"/>
    <w:rsid w:val="6B77191D"/>
    <w:rsid w:val="6B7730BB"/>
    <w:rsid w:val="6B773D9E"/>
    <w:rsid w:val="6B777044"/>
    <w:rsid w:val="6B780A49"/>
    <w:rsid w:val="6B7812EA"/>
    <w:rsid w:val="6B781412"/>
    <w:rsid w:val="6B7834E8"/>
    <w:rsid w:val="6B785296"/>
    <w:rsid w:val="6B786794"/>
    <w:rsid w:val="6B79100E"/>
    <w:rsid w:val="6B7925B5"/>
    <w:rsid w:val="6B792DBC"/>
    <w:rsid w:val="6B796275"/>
    <w:rsid w:val="6B79702B"/>
    <w:rsid w:val="6B797260"/>
    <w:rsid w:val="6B7A0523"/>
    <w:rsid w:val="6B7A583E"/>
    <w:rsid w:val="6B7A7F38"/>
    <w:rsid w:val="6B7B2FD8"/>
    <w:rsid w:val="6B7B3B2E"/>
    <w:rsid w:val="6B7B4B4F"/>
    <w:rsid w:val="6B7B5B1B"/>
    <w:rsid w:val="6B7B6FF0"/>
    <w:rsid w:val="6B7B77C9"/>
    <w:rsid w:val="6B7B7BF4"/>
    <w:rsid w:val="6B7B7D43"/>
    <w:rsid w:val="6B7C0807"/>
    <w:rsid w:val="6B7C139E"/>
    <w:rsid w:val="6B7C2730"/>
    <w:rsid w:val="6B7C2964"/>
    <w:rsid w:val="6B7C3A10"/>
    <w:rsid w:val="6B7C3AB6"/>
    <w:rsid w:val="6B7C465A"/>
    <w:rsid w:val="6B7C4B02"/>
    <w:rsid w:val="6B7C6092"/>
    <w:rsid w:val="6B7D0281"/>
    <w:rsid w:val="6B7D2CFA"/>
    <w:rsid w:val="6B7D3B41"/>
    <w:rsid w:val="6B7D3DF4"/>
    <w:rsid w:val="6B7D4482"/>
    <w:rsid w:val="6B7D6319"/>
    <w:rsid w:val="6B7E03D2"/>
    <w:rsid w:val="6B7E1057"/>
    <w:rsid w:val="6B7E3B17"/>
    <w:rsid w:val="6B7E4876"/>
    <w:rsid w:val="6B7E5284"/>
    <w:rsid w:val="6B7F0757"/>
    <w:rsid w:val="6B8005EE"/>
    <w:rsid w:val="6B8016E9"/>
    <w:rsid w:val="6B80239C"/>
    <w:rsid w:val="6B80414A"/>
    <w:rsid w:val="6B805886"/>
    <w:rsid w:val="6B8063FE"/>
    <w:rsid w:val="6B8109CE"/>
    <w:rsid w:val="6B811F63"/>
    <w:rsid w:val="6B820A9E"/>
    <w:rsid w:val="6B820C37"/>
    <w:rsid w:val="6B821CF1"/>
    <w:rsid w:val="6B822230"/>
    <w:rsid w:val="6B822A3C"/>
    <w:rsid w:val="6B824366"/>
    <w:rsid w:val="6B826114"/>
    <w:rsid w:val="6B827EC3"/>
    <w:rsid w:val="6B832F1D"/>
    <w:rsid w:val="6B833C3B"/>
    <w:rsid w:val="6B835287"/>
    <w:rsid w:val="6B8359E9"/>
    <w:rsid w:val="6B8367C7"/>
    <w:rsid w:val="6B841E8D"/>
    <w:rsid w:val="6B842586"/>
    <w:rsid w:val="6B84516E"/>
    <w:rsid w:val="6B85330F"/>
    <w:rsid w:val="6B8559D9"/>
    <w:rsid w:val="6B855B42"/>
    <w:rsid w:val="6B855C05"/>
    <w:rsid w:val="6B8560CA"/>
    <w:rsid w:val="6B856308"/>
    <w:rsid w:val="6B8563E0"/>
    <w:rsid w:val="6B85757D"/>
    <w:rsid w:val="6B857FB3"/>
    <w:rsid w:val="6B862100"/>
    <w:rsid w:val="6B8665E7"/>
    <w:rsid w:val="6B870A3A"/>
    <w:rsid w:val="6B87197D"/>
    <w:rsid w:val="6B871EB0"/>
    <w:rsid w:val="6B874966"/>
    <w:rsid w:val="6B8754D9"/>
    <w:rsid w:val="6B8758CF"/>
    <w:rsid w:val="6B8811A4"/>
    <w:rsid w:val="6B881251"/>
    <w:rsid w:val="6B882ED8"/>
    <w:rsid w:val="6B883457"/>
    <w:rsid w:val="6B88347D"/>
    <w:rsid w:val="6B8974A3"/>
    <w:rsid w:val="6B8A0846"/>
    <w:rsid w:val="6B8A0FCC"/>
    <w:rsid w:val="6B8A1982"/>
    <w:rsid w:val="6B8A4FC9"/>
    <w:rsid w:val="6B8B737F"/>
    <w:rsid w:val="6B8C2459"/>
    <w:rsid w:val="6B8D0689"/>
    <w:rsid w:val="6B8D09F1"/>
    <w:rsid w:val="6B8D3301"/>
    <w:rsid w:val="6B8D38E9"/>
    <w:rsid w:val="6B8D5C5E"/>
    <w:rsid w:val="6B8D6802"/>
    <w:rsid w:val="6B8D6867"/>
    <w:rsid w:val="6B8E2D0B"/>
    <w:rsid w:val="6B8E35AE"/>
    <w:rsid w:val="6B8E4AB9"/>
    <w:rsid w:val="6B8E5A02"/>
    <w:rsid w:val="6B8E61C7"/>
    <w:rsid w:val="6B8E64AD"/>
    <w:rsid w:val="6B8F250E"/>
    <w:rsid w:val="6B8F25DF"/>
    <w:rsid w:val="6B8F40B4"/>
    <w:rsid w:val="6B8F438D"/>
    <w:rsid w:val="6B900B29"/>
    <w:rsid w:val="6B902695"/>
    <w:rsid w:val="6B9062F3"/>
    <w:rsid w:val="6B910106"/>
    <w:rsid w:val="6B9145AA"/>
    <w:rsid w:val="6B914840"/>
    <w:rsid w:val="6B916358"/>
    <w:rsid w:val="6B923E7E"/>
    <w:rsid w:val="6B9246C9"/>
    <w:rsid w:val="6B930322"/>
    <w:rsid w:val="6B930C25"/>
    <w:rsid w:val="6B9320D0"/>
    <w:rsid w:val="6B936419"/>
    <w:rsid w:val="6B941499"/>
    <w:rsid w:val="6B9419A4"/>
    <w:rsid w:val="6B947BF6"/>
    <w:rsid w:val="6B9505BE"/>
    <w:rsid w:val="6B95350B"/>
    <w:rsid w:val="6B95409A"/>
    <w:rsid w:val="6B956A6A"/>
    <w:rsid w:val="6B960667"/>
    <w:rsid w:val="6B96146C"/>
    <w:rsid w:val="6B961BC0"/>
    <w:rsid w:val="6B961DFC"/>
    <w:rsid w:val="6B962012"/>
    <w:rsid w:val="6B963E35"/>
    <w:rsid w:val="6B96499B"/>
    <w:rsid w:val="6B96571C"/>
    <w:rsid w:val="6B966104"/>
    <w:rsid w:val="6B97119D"/>
    <w:rsid w:val="6B971B16"/>
    <w:rsid w:val="6B976BCF"/>
    <w:rsid w:val="6B9802A3"/>
    <w:rsid w:val="6B980783"/>
    <w:rsid w:val="6B98458E"/>
    <w:rsid w:val="6B985938"/>
    <w:rsid w:val="6B987059"/>
    <w:rsid w:val="6B9876E6"/>
    <w:rsid w:val="6B991E8C"/>
    <w:rsid w:val="6B99520C"/>
    <w:rsid w:val="6B99614D"/>
    <w:rsid w:val="6B9968B3"/>
    <w:rsid w:val="6B9A16B0"/>
    <w:rsid w:val="6B9A2C9A"/>
    <w:rsid w:val="6B9A5B5E"/>
    <w:rsid w:val="6B9A5C0B"/>
    <w:rsid w:val="6B9A6100"/>
    <w:rsid w:val="6B9B03F2"/>
    <w:rsid w:val="6B9B0F84"/>
    <w:rsid w:val="6B9B313C"/>
    <w:rsid w:val="6B9B4A99"/>
    <w:rsid w:val="6B9B71D6"/>
    <w:rsid w:val="6B9B737D"/>
    <w:rsid w:val="6B9C080D"/>
    <w:rsid w:val="6B9C1F4E"/>
    <w:rsid w:val="6B9C6483"/>
    <w:rsid w:val="6B9C7602"/>
    <w:rsid w:val="6B9D0F9E"/>
    <w:rsid w:val="6B9D4848"/>
    <w:rsid w:val="6B9D53DE"/>
    <w:rsid w:val="6B9D6AAA"/>
    <w:rsid w:val="6B9D774C"/>
    <w:rsid w:val="6B9E307A"/>
    <w:rsid w:val="6B9E6880"/>
    <w:rsid w:val="6B9F063B"/>
    <w:rsid w:val="6B9F14BB"/>
    <w:rsid w:val="6B9F313A"/>
    <w:rsid w:val="6B9F4541"/>
    <w:rsid w:val="6B9F6960"/>
    <w:rsid w:val="6B9F6CC6"/>
    <w:rsid w:val="6BA001C8"/>
    <w:rsid w:val="6BA00546"/>
    <w:rsid w:val="6BA131EF"/>
    <w:rsid w:val="6BA14477"/>
    <w:rsid w:val="6BA20565"/>
    <w:rsid w:val="6BA2241D"/>
    <w:rsid w:val="6BA2389E"/>
    <w:rsid w:val="6BA240C1"/>
    <w:rsid w:val="6BA3128D"/>
    <w:rsid w:val="6BA35B0F"/>
    <w:rsid w:val="6BA360DE"/>
    <w:rsid w:val="6BA427ED"/>
    <w:rsid w:val="6BA4394B"/>
    <w:rsid w:val="6BA442DD"/>
    <w:rsid w:val="6BA479B8"/>
    <w:rsid w:val="6BA5042F"/>
    <w:rsid w:val="6BA50981"/>
    <w:rsid w:val="6BA51E03"/>
    <w:rsid w:val="6BA53BB1"/>
    <w:rsid w:val="6BA5599F"/>
    <w:rsid w:val="6BA57EA7"/>
    <w:rsid w:val="6BA6224A"/>
    <w:rsid w:val="6BA6494C"/>
    <w:rsid w:val="6BA65B42"/>
    <w:rsid w:val="6BA73DCD"/>
    <w:rsid w:val="6BA741F2"/>
    <w:rsid w:val="6BA757B4"/>
    <w:rsid w:val="6BA77929"/>
    <w:rsid w:val="6BA81F28"/>
    <w:rsid w:val="6BA82FD3"/>
    <w:rsid w:val="6BA8699C"/>
    <w:rsid w:val="6BA90DE6"/>
    <w:rsid w:val="6BA918F3"/>
    <w:rsid w:val="6BA92F23"/>
    <w:rsid w:val="6BA95681"/>
    <w:rsid w:val="6BAB2EAA"/>
    <w:rsid w:val="6BAB5731"/>
    <w:rsid w:val="6BAB630C"/>
    <w:rsid w:val="6BAB686D"/>
    <w:rsid w:val="6BAB7ACC"/>
    <w:rsid w:val="6BAC0289"/>
    <w:rsid w:val="6BAC1C01"/>
    <w:rsid w:val="6BAC3463"/>
    <w:rsid w:val="6BAC4F3F"/>
    <w:rsid w:val="6BAC55CE"/>
    <w:rsid w:val="6BAC6F97"/>
    <w:rsid w:val="6BAD1411"/>
    <w:rsid w:val="6BAD2A66"/>
    <w:rsid w:val="6BAD3293"/>
    <w:rsid w:val="6BAD7EC7"/>
    <w:rsid w:val="6BAE515B"/>
    <w:rsid w:val="6BAE6F0A"/>
    <w:rsid w:val="6BAF268E"/>
    <w:rsid w:val="6BAF26B8"/>
    <w:rsid w:val="6BAF4198"/>
    <w:rsid w:val="6BAF4A30"/>
    <w:rsid w:val="6BAF7F4C"/>
    <w:rsid w:val="6BB04DC4"/>
    <w:rsid w:val="6BB06B57"/>
    <w:rsid w:val="6BB07E6A"/>
    <w:rsid w:val="6BB11BC9"/>
    <w:rsid w:val="6BB12556"/>
    <w:rsid w:val="6BB12A95"/>
    <w:rsid w:val="6BB1786A"/>
    <w:rsid w:val="6BB2117C"/>
    <w:rsid w:val="6BB24174"/>
    <w:rsid w:val="6BB24899"/>
    <w:rsid w:val="6BB258ED"/>
    <w:rsid w:val="6BB261B5"/>
    <w:rsid w:val="6BB31F68"/>
    <w:rsid w:val="6BB33364"/>
    <w:rsid w:val="6BB34520"/>
    <w:rsid w:val="6BB34FE3"/>
    <w:rsid w:val="6BB40298"/>
    <w:rsid w:val="6BB41665"/>
    <w:rsid w:val="6BB42292"/>
    <w:rsid w:val="6BB427E5"/>
    <w:rsid w:val="6BB47E4B"/>
    <w:rsid w:val="6BB52AF5"/>
    <w:rsid w:val="6BB52D4D"/>
    <w:rsid w:val="6BB53656"/>
    <w:rsid w:val="6BB6557D"/>
    <w:rsid w:val="6BB666ED"/>
    <w:rsid w:val="6BB8097D"/>
    <w:rsid w:val="6BB81476"/>
    <w:rsid w:val="6BB81B36"/>
    <w:rsid w:val="6BB838E4"/>
    <w:rsid w:val="6BB84C99"/>
    <w:rsid w:val="6BB87C66"/>
    <w:rsid w:val="6BB87D88"/>
    <w:rsid w:val="6BB87F4D"/>
    <w:rsid w:val="6BB973E3"/>
    <w:rsid w:val="6BBA3439"/>
    <w:rsid w:val="6BBA3B00"/>
    <w:rsid w:val="6BBA58AE"/>
    <w:rsid w:val="6BBB07E6"/>
    <w:rsid w:val="6BBB1626"/>
    <w:rsid w:val="6BBB33D4"/>
    <w:rsid w:val="6BBB4678"/>
    <w:rsid w:val="6BBB58D9"/>
    <w:rsid w:val="6BBB7A3C"/>
    <w:rsid w:val="6BBC23C0"/>
    <w:rsid w:val="6BBC4452"/>
    <w:rsid w:val="6BBD0EFB"/>
    <w:rsid w:val="6BBD1287"/>
    <w:rsid w:val="6BBD5421"/>
    <w:rsid w:val="6BBD5DEB"/>
    <w:rsid w:val="6BBD714D"/>
    <w:rsid w:val="6BBD7716"/>
    <w:rsid w:val="6BBE3E47"/>
    <w:rsid w:val="6BBE52E8"/>
    <w:rsid w:val="6BBE7436"/>
    <w:rsid w:val="6BBF2EC5"/>
    <w:rsid w:val="6BBF4651"/>
    <w:rsid w:val="6BBF5431"/>
    <w:rsid w:val="6BBF5BB4"/>
    <w:rsid w:val="6BBF5D79"/>
    <w:rsid w:val="6BBF6778"/>
    <w:rsid w:val="6BC009EB"/>
    <w:rsid w:val="6BC02609"/>
    <w:rsid w:val="6BC02799"/>
    <w:rsid w:val="6BC02D4E"/>
    <w:rsid w:val="6BC0331E"/>
    <w:rsid w:val="6BC06C3D"/>
    <w:rsid w:val="6BC07443"/>
    <w:rsid w:val="6BC07754"/>
    <w:rsid w:val="6BC104B5"/>
    <w:rsid w:val="6BC11098"/>
    <w:rsid w:val="6BC12504"/>
    <w:rsid w:val="6BC13CCA"/>
    <w:rsid w:val="6BC140C1"/>
    <w:rsid w:val="6BC1647E"/>
    <w:rsid w:val="6BC172F1"/>
    <w:rsid w:val="6BC27CCC"/>
    <w:rsid w:val="6BC3179D"/>
    <w:rsid w:val="6BC31A31"/>
    <w:rsid w:val="6BC31E8D"/>
    <w:rsid w:val="6BC32289"/>
    <w:rsid w:val="6BC350F9"/>
    <w:rsid w:val="6BC404DB"/>
    <w:rsid w:val="6BC42755"/>
    <w:rsid w:val="6BC449E9"/>
    <w:rsid w:val="6BC4672D"/>
    <w:rsid w:val="6BC50044"/>
    <w:rsid w:val="6BC50A80"/>
    <w:rsid w:val="6BC51DE3"/>
    <w:rsid w:val="6BC536D0"/>
    <w:rsid w:val="6BC539A2"/>
    <w:rsid w:val="6BC543D2"/>
    <w:rsid w:val="6BC57D35"/>
    <w:rsid w:val="6BC60132"/>
    <w:rsid w:val="6BC61363"/>
    <w:rsid w:val="6BC62B46"/>
    <w:rsid w:val="6BC66CB3"/>
    <w:rsid w:val="6BC71D79"/>
    <w:rsid w:val="6BC73780"/>
    <w:rsid w:val="6BC73B27"/>
    <w:rsid w:val="6BC742A5"/>
    <w:rsid w:val="6BC76594"/>
    <w:rsid w:val="6BC76C90"/>
    <w:rsid w:val="6BC81825"/>
    <w:rsid w:val="6BC9131C"/>
    <w:rsid w:val="6BC936D5"/>
    <w:rsid w:val="6BC93977"/>
    <w:rsid w:val="6BC95AF1"/>
    <w:rsid w:val="6BCA0CBA"/>
    <w:rsid w:val="6BCA26DC"/>
    <w:rsid w:val="6BCA2852"/>
    <w:rsid w:val="6BCA3AC0"/>
    <w:rsid w:val="6BCA566C"/>
    <w:rsid w:val="6BCB2323"/>
    <w:rsid w:val="6BCB2668"/>
    <w:rsid w:val="6BCB29C7"/>
    <w:rsid w:val="6BCB3B57"/>
    <w:rsid w:val="6BCC55E2"/>
    <w:rsid w:val="6BCC61AB"/>
    <w:rsid w:val="6BCC7390"/>
    <w:rsid w:val="6BCC76E9"/>
    <w:rsid w:val="6BCD6A2F"/>
    <w:rsid w:val="6BCE3108"/>
    <w:rsid w:val="6BCE3EDE"/>
    <w:rsid w:val="6BCE6C7A"/>
    <w:rsid w:val="6BCE7CF0"/>
    <w:rsid w:val="6BCF1AF8"/>
    <w:rsid w:val="6BCF4B2C"/>
    <w:rsid w:val="6BCF6E80"/>
    <w:rsid w:val="6BD0030E"/>
    <w:rsid w:val="6BD0415A"/>
    <w:rsid w:val="6BD05FBC"/>
    <w:rsid w:val="6BD10E4A"/>
    <w:rsid w:val="6BD128CF"/>
    <w:rsid w:val="6BD12BF8"/>
    <w:rsid w:val="6BD146C1"/>
    <w:rsid w:val="6BD149A6"/>
    <w:rsid w:val="6BD15DDD"/>
    <w:rsid w:val="6BD165C5"/>
    <w:rsid w:val="6BD174C0"/>
    <w:rsid w:val="6BD20128"/>
    <w:rsid w:val="6BD2201D"/>
    <w:rsid w:val="6BD221D7"/>
    <w:rsid w:val="6BD27DD1"/>
    <w:rsid w:val="6BD3071E"/>
    <w:rsid w:val="6BD30FB7"/>
    <w:rsid w:val="6BD32FA4"/>
    <w:rsid w:val="6BD33AB4"/>
    <w:rsid w:val="6BD34359"/>
    <w:rsid w:val="6BD34BC2"/>
    <w:rsid w:val="6BD36970"/>
    <w:rsid w:val="6BD36B10"/>
    <w:rsid w:val="6BD423A3"/>
    <w:rsid w:val="6BD5099E"/>
    <w:rsid w:val="6BD526E8"/>
    <w:rsid w:val="6BD61A2D"/>
    <w:rsid w:val="6BD64D74"/>
    <w:rsid w:val="6BD6583C"/>
    <w:rsid w:val="6BD65DE9"/>
    <w:rsid w:val="6BD70D2B"/>
    <w:rsid w:val="6BD716E3"/>
    <w:rsid w:val="6BD75990"/>
    <w:rsid w:val="6BD7660E"/>
    <w:rsid w:val="6BD76A04"/>
    <w:rsid w:val="6BD8159C"/>
    <w:rsid w:val="6BD81C98"/>
    <w:rsid w:val="6BD83F86"/>
    <w:rsid w:val="6BD91AAD"/>
    <w:rsid w:val="6BD9385B"/>
    <w:rsid w:val="6BD94891"/>
    <w:rsid w:val="6BD9731F"/>
    <w:rsid w:val="6BDA0265"/>
    <w:rsid w:val="6BDA0815"/>
    <w:rsid w:val="6BDA0CC1"/>
    <w:rsid w:val="6BDA1427"/>
    <w:rsid w:val="6BDA3186"/>
    <w:rsid w:val="6BDA6D12"/>
    <w:rsid w:val="6BDB25FB"/>
    <w:rsid w:val="6BDB2E34"/>
    <w:rsid w:val="6BDB3855"/>
    <w:rsid w:val="6BDB6B7C"/>
    <w:rsid w:val="6BDB75D3"/>
    <w:rsid w:val="6BDC10CF"/>
    <w:rsid w:val="6BDC3189"/>
    <w:rsid w:val="6BDC6417"/>
    <w:rsid w:val="6BDC7FE8"/>
    <w:rsid w:val="6BDD3C18"/>
    <w:rsid w:val="6BDD5BBD"/>
    <w:rsid w:val="6BDD77EF"/>
    <w:rsid w:val="6BDE30D8"/>
    <w:rsid w:val="6BDE3191"/>
    <w:rsid w:val="6BDE4E25"/>
    <w:rsid w:val="6BDF2471"/>
    <w:rsid w:val="6BDF3221"/>
    <w:rsid w:val="6BDF3567"/>
    <w:rsid w:val="6BDF3D5D"/>
    <w:rsid w:val="6BDF70C3"/>
    <w:rsid w:val="6BE0108D"/>
    <w:rsid w:val="6BE02664"/>
    <w:rsid w:val="6BE02E3B"/>
    <w:rsid w:val="6BE04814"/>
    <w:rsid w:val="6BE048D0"/>
    <w:rsid w:val="6BE04BE9"/>
    <w:rsid w:val="6BE07A32"/>
    <w:rsid w:val="6BE137A4"/>
    <w:rsid w:val="6BE14E0C"/>
    <w:rsid w:val="6BE14EE1"/>
    <w:rsid w:val="6BE15717"/>
    <w:rsid w:val="6BE16F41"/>
    <w:rsid w:val="6BE20961"/>
    <w:rsid w:val="6BE24E05"/>
    <w:rsid w:val="6BE259B8"/>
    <w:rsid w:val="6BE26BB3"/>
    <w:rsid w:val="6BE26E62"/>
    <w:rsid w:val="6BE2720B"/>
    <w:rsid w:val="6BE308F4"/>
    <w:rsid w:val="6BE379BB"/>
    <w:rsid w:val="6BE4292B"/>
    <w:rsid w:val="6BE446D9"/>
    <w:rsid w:val="6BE47D88"/>
    <w:rsid w:val="6BE50451"/>
    <w:rsid w:val="6BE52AD5"/>
    <w:rsid w:val="6BE566A3"/>
    <w:rsid w:val="6BE56D52"/>
    <w:rsid w:val="6BE624B8"/>
    <w:rsid w:val="6BE62AFE"/>
    <w:rsid w:val="6BE648F5"/>
    <w:rsid w:val="6BE741CA"/>
    <w:rsid w:val="6BE75F78"/>
    <w:rsid w:val="6BE86FF4"/>
    <w:rsid w:val="6BE92EDA"/>
    <w:rsid w:val="6BE956D3"/>
    <w:rsid w:val="6BE96226"/>
    <w:rsid w:val="6BE97F42"/>
    <w:rsid w:val="6BEA2801"/>
    <w:rsid w:val="6BEA40DB"/>
    <w:rsid w:val="6BEA5A68"/>
    <w:rsid w:val="6BEB1E1D"/>
    <w:rsid w:val="6BEB1F0C"/>
    <w:rsid w:val="6BEC0B3A"/>
    <w:rsid w:val="6BEC358E"/>
    <w:rsid w:val="6BEC5795"/>
    <w:rsid w:val="6BED016E"/>
    <w:rsid w:val="6BED17F6"/>
    <w:rsid w:val="6BED432A"/>
    <w:rsid w:val="6BED4717"/>
    <w:rsid w:val="6BEE141B"/>
    <w:rsid w:val="6BEE15CC"/>
    <w:rsid w:val="6BEE3248"/>
    <w:rsid w:val="6BEE634C"/>
    <w:rsid w:val="6BEF307E"/>
    <w:rsid w:val="6BEF6068"/>
    <w:rsid w:val="6BEF70F7"/>
    <w:rsid w:val="6BF00892"/>
    <w:rsid w:val="6BF012D0"/>
    <w:rsid w:val="6BF02538"/>
    <w:rsid w:val="6BF03F65"/>
    <w:rsid w:val="6BF0539B"/>
    <w:rsid w:val="6BF05B6F"/>
    <w:rsid w:val="6BF07717"/>
    <w:rsid w:val="6BF14513"/>
    <w:rsid w:val="6BF17D4E"/>
    <w:rsid w:val="6BF21472"/>
    <w:rsid w:val="6BF23936"/>
    <w:rsid w:val="6BF32B6E"/>
    <w:rsid w:val="6BF3491C"/>
    <w:rsid w:val="6BF40694"/>
    <w:rsid w:val="6BF43752"/>
    <w:rsid w:val="6BF4454F"/>
    <w:rsid w:val="6BF4574B"/>
    <w:rsid w:val="6BF45D4B"/>
    <w:rsid w:val="6BF46AF8"/>
    <w:rsid w:val="6BF529CA"/>
    <w:rsid w:val="6BF54E30"/>
    <w:rsid w:val="6BF55FF8"/>
    <w:rsid w:val="6BF569C7"/>
    <w:rsid w:val="6BF57A02"/>
    <w:rsid w:val="6BF6265F"/>
    <w:rsid w:val="6BF6440D"/>
    <w:rsid w:val="6BF64FFD"/>
    <w:rsid w:val="6BF67822"/>
    <w:rsid w:val="6BF73407"/>
    <w:rsid w:val="6BF7534C"/>
    <w:rsid w:val="6BF7534E"/>
    <w:rsid w:val="6BF777EE"/>
    <w:rsid w:val="6BF839D4"/>
    <w:rsid w:val="6BF863D7"/>
    <w:rsid w:val="6BF86EC5"/>
    <w:rsid w:val="6BF90BEC"/>
    <w:rsid w:val="6BF92D72"/>
    <w:rsid w:val="6BF93EC1"/>
    <w:rsid w:val="6BF95CAB"/>
    <w:rsid w:val="6BF9674E"/>
    <w:rsid w:val="6BF976C1"/>
    <w:rsid w:val="6BFA0F1A"/>
    <w:rsid w:val="6BFA12BC"/>
    <w:rsid w:val="6BFA214F"/>
    <w:rsid w:val="6BFA274F"/>
    <w:rsid w:val="6BFA3EFD"/>
    <w:rsid w:val="6BFA5E74"/>
    <w:rsid w:val="6BFA70BC"/>
    <w:rsid w:val="6BFB03D9"/>
    <w:rsid w:val="6BFB1A23"/>
    <w:rsid w:val="6BFB26B9"/>
    <w:rsid w:val="6BFB2EB2"/>
    <w:rsid w:val="6BFB498C"/>
    <w:rsid w:val="6BFB7C75"/>
    <w:rsid w:val="6BFC6A7C"/>
    <w:rsid w:val="6BFC7B3D"/>
    <w:rsid w:val="6BFD1C3F"/>
    <w:rsid w:val="6BFD790C"/>
    <w:rsid w:val="6BFE0CD7"/>
    <w:rsid w:val="6BFE3589"/>
    <w:rsid w:val="6BFE52BA"/>
    <w:rsid w:val="6BFF1CFD"/>
    <w:rsid w:val="6BFF22C6"/>
    <w:rsid w:val="6BFF3B80"/>
    <w:rsid w:val="6BFF3C0B"/>
    <w:rsid w:val="6BFF7765"/>
    <w:rsid w:val="6C000472"/>
    <w:rsid w:val="6C0028EB"/>
    <w:rsid w:val="6C003275"/>
    <w:rsid w:val="6C00528B"/>
    <w:rsid w:val="6C005B06"/>
    <w:rsid w:val="6C005BFC"/>
    <w:rsid w:val="6C005CB1"/>
    <w:rsid w:val="6C007039"/>
    <w:rsid w:val="6C007369"/>
    <w:rsid w:val="6C007B16"/>
    <w:rsid w:val="6C014383"/>
    <w:rsid w:val="6C020B6A"/>
    <w:rsid w:val="6C0211AC"/>
    <w:rsid w:val="6C022DB1"/>
    <w:rsid w:val="6C025952"/>
    <w:rsid w:val="6C026F34"/>
    <w:rsid w:val="6C0271DB"/>
    <w:rsid w:val="6C027255"/>
    <w:rsid w:val="6C027D8D"/>
    <w:rsid w:val="6C031BD1"/>
    <w:rsid w:val="6C0409BA"/>
    <w:rsid w:val="6C0409ED"/>
    <w:rsid w:val="6C044D7B"/>
    <w:rsid w:val="6C044EAC"/>
    <w:rsid w:val="6C04788E"/>
    <w:rsid w:val="6C047A1C"/>
    <w:rsid w:val="6C0504CD"/>
    <w:rsid w:val="6C0515A8"/>
    <w:rsid w:val="6C054438"/>
    <w:rsid w:val="6C0561D3"/>
    <w:rsid w:val="6C06114D"/>
    <w:rsid w:val="6C061447"/>
    <w:rsid w:val="6C066D46"/>
    <w:rsid w:val="6C0703C8"/>
    <w:rsid w:val="6C070C5C"/>
    <w:rsid w:val="6C07298D"/>
    <w:rsid w:val="6C0730C4"/>
    <w:rsid w:val="6C074F5C"/>
    <w:rsid w:val="6C077397"/>
    <w:rsid w:val="6C0814FB"/>
    <w:rsid w:val="6C082A0B"/>
    <w:rsid w:val="6C0833DF"/>
    <w:rsid w:val="6C0905E4"/>
    <w:rsid w:val="6C090D2C"/>
    <w:rsid w:val="6C091115"/>
    <w:rsid w:val="6C09788E"/>
    <w:rsid w:val="6C0A01FF"/>
    <w:rsid w:val="6C0A4CB4"/>
    <w:rsid w:val="6C0A51D7"/>
    <w:rsid w:val="6C0A59C5"/>
    <w:rsid w:val="6C0B435C"/>
    <w:rsid w:val="6C0B471A"/>
    <w:rsid w:val="6C0C2FCB"/>
    <w:rsid w:val="6C0C59DE"/>
    <w:rsid w:val="6C0C5AD2"/>
    <w:rsid w:val="6C0C6EEE"/>
    <w:rsid w:val="6C0E12A2"/>
    <w:rsid w:val="6C0E1756"/>
    <w:rsid w:val="6C0E21EB"/>
    <w:rsid w:val="6C0E229B"/>
    <w:rsid w:val="6C0F0C36"/>
    <w:rsid w:val="6C0F16A3"/>
    <w:rsid w:val="6C0F54CE"/>
    <w:rsid w:val="6C0F6EC8"/>
    <w:rsid w:val="6C0F7D1C"/>
    <w:rsid w:val="6C101972"/>
    <w:rsid w:val="6C1019F1"/>
    <w:rsid w:val="6C10435D"/>
    <w:rsid w:val="6C116020"/>
    <w:rsid w:val="6C1208AF"/>
    <w:rsid w:val="6C1256EA"/>
    <w:rsid w:val="6C130803"/>
    <w:rsid w:val="6C130807"/>
    <w:rsid w:val="6C13263C"/>
    <w:rsid w:val="6C13293F"/>
    <w:rsid w:val="6C132CAA"/>
    <w:rsid w:val="6C133210"/>
    <w:rsid w:val="6C1338EE"/>
    <w:rsid w:val="6C134AB3"/>
    <w:rsid w:val="6C141EFD"/>
    <w:rsid w:val="6C143603"/>
    <w:rsid w:val="6C1477F4"/>
    <w:rsid w:val="6C147F90"/>
    <w:rsid w:val="6C1519AA"/>
    <w:rsid w:val="6C152AE5"/>
    <w:rsid w:val="6C156F89"/>
    <w:rsid w:val="6C16299A"/>
    <w:rsid w:val="6C16354D"/>
    <w:rsid w:val="6C164AAF"/>
    <w:rsid w:val="6C16659E"/>
    <w:rsid w:val="6C16685D"/>
    <w:rsid w:val="6C166FE1"/>
    <w:rsid w:val="6C171CDA"/>
    <w:rsid w:val="6C1778B0"/>
    <w:rsid w:val="6C1825D5"/>
    <w:rsid w:val="6C190B6F"/>
    <w:rsid w:val="6C192C49"/>
    <w:rsid w:val="6C195A52"/>
    <w:rsid w:val="6C196BD0"/>
    <w:rsid w:val="6C197F7E"/>
    <w:rsid w:val="6C1A5E9A"/>
    <w:rsid w:val="6C1A634D"/>
    <w:rsid w:val="6C1A768E"/>
    <w:rsid w:val="6C1B1805"/>
    <w:rsid w:val="6C1B1CA3"/>
    <w:rsid w:val="6C1B20C5"/>
    <w:rsid w:val="6C1B24EC"/>
    <w:rsid w:val="6C1C0317"/>
    <w:rsid w:val="6C1C2519"/>
    <w:rsid w:val="6C1C2EFC"/>
    <w:rsid w:val="6C1C3FFB"/>
    <w:rsid w:val="6C1C6A85"/>
    <w:rsid w:val="6C1C712E"/>
    <w:rsid w:val="6C1C75DE"/>
    <w:rsid w:val="6C1D408F"/>
    <w:rsid w:val="6C1D6076"/>
    <w:rsid w:val="6C1D699D"/>
    <w:rsid w:val="6C1D7BEB"/>
    <w:rsid w:val="6C1F1BB5"/>
    <w:rsid w:val="6C1F5132"/>
    <w:rsid w:val="6C1F7D34"/>
    <w:rsid w:val="6C200945"/>
    <w:rsid w:val="6C20148A"/>
    <w:rsid w:val="6C20475F"/>
    <w:rsid w:val="6C2104C4"/>
    <w:rsid w:val="6C21592D"/>
    <w:rsid w:val="6C215B73"/>
    <w:rsid w:val="6C215E63"/>
    <w:rsid w:val="6C215EC8"/>
    <w:rsid w:val="6C2216A6"/>
    <w:rsid w:val="6C2221DB"/>
    <w:rsid w:val="6C222F4D"/>
    <w:rsid w:val="6C223454"/>
    <w:rsid w:val="6C2257BC"/>
    <w:rsid w:val="6C225DDC"/>
    <w:rsid w:val="6C22726F"/>
    <w:rsid w:val="6C2330D0"/>
    <w:rsid w:val="6C2351F1"/>
    <w:rsid w:val="6C241291"/>
    <w:rsid w:val="6C244496"/>
    <w:rsid w:val="6C24541E"/>
    <w:rsid w:val="6C2471CC"/>
    <w:rsid w:val="6C252C84"/>
    <w:rsid w:val="6C2547F4"/>
    <w:rsid w:val="6C260106"/>
    <w:rsid w:val="6C26132F"/>
    <w:rsid w:val="6C261FB7"/>
    <w:rsid w:val="6C26460D"/>
    <w:rsid w:val="6C264CF2"/>
    <w:rsid w:val="6C265197"/>
    <w:rsid w:val="6C2671C7"/>
    <w:rsid w:val="6C267219"/>
    <w:rsid w:val="6C267EBB"/>
    <w:rsid w:val="6C270A6A"/>
    <w:rsid w:val="6C271228"/>
    <w:rsid w:val="6C276731"/>
    <w:rsid w:val="6C2814C5"/>
    <w:rsid w:val="6C2816D6"/>
    <w:rsid w:val="6C2854FA"/>
    <w:rsid w:val="6C292392"/>
    <w:rsid w:val="6C2928CD"/>
    <w:rsid w:val="6C29402E"/>
    <w:rsid w:val="6C2947E2"/>
    <w:rsid w:val="6C294D21"/>
    <w:rsid w:val="6C295771"/>
    <w:rsid w:val="6C295A22"/>
    <w:rsid w:val="6C2A305D"/>
    <w:rsid w:val="6C2A3DF6"/>
    <w:rsid w:val="6C2A6DEC"/>
    <w:rsid w:val="6C2B0057"/>
    <w:rsid w:val="6C2B03CB"/>
    <w:rsid w:val="6C2B055A"/>
    <w:rsid w:val="6C2B1D93"/>
    <w:rsid w:val="6C2B1F26"/>
    <w:rsid w:val="6C2B2308"/>
    <w:rsid w:val="6C2C053E"/>
    <w:rsid w:val="6C2C4877"/>
    <w:rsid w:val="6C2C6B71"/>
    <w:rsid w:val="6C2C7E2E"/>
    <w:rsid w:val="6C2D05C6"/>
    <w:rsid w:val="6C2D0F38"/>
    <w:rsid w:val="6C2D40B8"/>
    <w:rsid w:val="6C2D7173"/>
    <w:rsid w:val="6C2E10E7"/>
    <w:rsid w:val="6C2E1DF8"/>
    <w:rsid w:val="6C2E55B7"/>
    <w:rsid w:val="6C2F06A5"/>
    <w:rsid w:val="6C2F085B"/>
    <w:rsid w:val="6C2F1D19"/>
    <w:rsid w:val="6C2F456B"/>
    <w:rsid w:val="6C2F5FD6"/>
    <w:rsid w:val="6C302A39"/>
    <w:rsid w:val="6C303DC2"/>
    <w:rsid w:val="6C305B70"/>
    <w:rsid w:val="6C3062FB"/>
    <w:rsid w:val="6C30791F"/>
    <w:rsid w:val="6C307E68"/>
    <w:rsid w:val="6C3118E9"/>
    <w:rsid w:val="6C315BF1"/>
    <w:rsid w:val="6C315E57"/>
    <w:rsid w:val="6C326694"/>
    <w:rsid w:val="6C326A9A"/>
    <w:rsid w:val="6C3311BD"/>
    <w:rsid w:val="6C3322D5"/>
    <w:rsid w:val="6C333C7F"/>
    <w:rsid w:val="6C3340AA"/>
    <w:rsid w:val="6C33740F"/>
    <w:rsid w:val="6C3413BA"/>
    <w:rsid w:val="6C3439C0"/>
    <w:rsid w:val="6C3445DC"/>
    <w:rsid w:val="6C344D0C"/>
    <w:rsid w:val="6C347D99"/>
    <w:rsid w:val="6C35296D"/>
    <w:rsid w:val="6C3545CA"/>
    <w:rsid w:val="6C354B1E"/>
    <w:rsid w:val="6C354F35"/>
    <w:rsid w:val="6C35609F"/>
    <w:rsid w:val="6C35654B"/>
    <w:rsid w:val="6C360CAD"/>
    <w:rsid w:val="6C362E21"/>
    <w:rsid w:val="6C3631FE"/>
    <w:rsid w:val="6C363A46"/>
    <w:rsid w:val="6C36538F"/>
    <w:rsid w:val="6C370482"/>
    <w:rsid w:val="6C372988"/>
    <w:rsid w:val="6C374031"/>
    <w:rsid w:val="6C375151"/>
    <w:rsid w:val="6C376364"/>
    <w:rsid w:val="6C376EFF"/>
    <w:rsid w:val="6C377421"/>
    <w:rsid w:val="6C380F1E"/>
    <w:rsid w:val="6C384A0D"/>
    <w:rsid w:val="6C384A25"/>
    <w:rsid w:val="6C3867D3"/>
    <w:rsid w:val="6C391003"/>
    <w:rsid w:val="6C391AA7"/>
    <w:rsid w:val="6C3941C7"/>
    <w:rsid w:val="6C395592"/>
    <w:rsid w:val="6C3A079D"/>
    <w:rsid w:val="6C3A1A4F"/>
    <w:rsid w:val="6C3A2A19"/>
    <w:rsid w:val="6C3A3696"/>
    <w:rsid w:val="6C3A3AEB"/>
    <w:rsid w:val="6C3A69EF"/>
    <w:rsid w:val="6C3C2767"/>
    <w:rsid w:val="6C3C2DD8"/>
    <w:rsid w:val="6C3C6B60"/>
    <w:rsid w:val="6C3C7DB2"/>
    <w:rsid w:val="6C3D203B"/>
    <w:rsid w:val="6C3D3213"/>
    <w:rsid w:val="6C3D3BAD"/>
    <w:rsid w:val="6C3D43F1"/>
    <w:rsid w:val="6C3D64DF"/>
    <w:rsid w:val="6C3D7E60"/>
    <w:rsid w:val="6C3E354D"/>
    <w:rsid w:val="6C3F14DF"/>
    <w:rsid w:val="6C3F17FF"/>
    <w:rsid w:val="6C3F6F1E"/>
    <w:rsid w:val="6C401DCB"/>
    <w:rsid w:val="6C4038DA"/>
    <w:rsid w:val="6C4073A0"/>
    <w:rsid w:val="6C411B2C"/>
    <w:rsid w:val="6C412520"/>
    <w:rsid w:val="6C417D7E"/>
    <w:rsid w:val="6C4258A4"/>
    <w:rsid w:val="6C434580"/>
    <w:rsid w:val="6C4362DE"/>
    <w:rsid w:val="6C436DFB"/>
    <w:rsid w:val="6C437250"/>
    <w:rsid w:val="6C440EAF"/>
    <w:rsid w:val="6C44161C"/>
    <w:rsid w:val="6C441828"/>
    <w:rsid w:val="6C444E22"/>
    <w:rsid w:val="6C44776E"/>
    <w:rsid w:val="6C450EF0"/>
    <w:rsid w:val="6C4550E2"/>
    <w:rsid w:val="6C455370"/>
    <w:rsid w:val="6C4560FA"/>
    <w:rsid w:val="6C457C21"/>
    <w:rsid w:val="6C467142"/>
    <w:rsid w:val="6C470004"/>
    <w:rsid w:val="6C47110C"/>
    <w:rsid w:val="6C472741"/>
    <w:rsid w:val="6C472EBA"/>
    <w:rsid w:val="6C4746EB"/>
    <w:rsid w:val="6C474C68"/>
    <w:rsid w:val="6C481BD6"/>
    <w:rsid w:val="6C483FD4"/>
    <w:rsid w:val="6C4857B7"/>
    <w:rsid w:val="6C48727D"/>
    <w:rsid w:val="6C490037"/>
    <w:rsid w:val="6C492150"/>
    <w:rsid w:val="6C494D21"/>
    <w:rsid w:val="6C496C32"/>
    <w:rsid w:val="6C4A080D"/>
    <w:rsid w:val="6C4A35E0"/>
    <w:rsid w:val="6C4A4E3D"/>
    <w:rsid w:val="6C4A5767"/>
    <w:rsid w:val="6C4A7945"/>
    <w:rsid w:val="6C4B4A70"/>
    <w:rsid w:val="6C4B4F88"/>
    <w:rsid w:val="6C4B6506"/>
    <w:rsid w:val="6C4B68CC"/>
    <w:rsid w:val="6C4C04D0"/>
    <w:rsid w:val="6C4C1F17"/>
    <w:rsid w:val="6C4C227F"/>
    <w:rsid w:val="6C4C235F"/>
    <w:rsid w:val="6C4C2F6D"/>
    <w:rsid w:val="6C4D2844"/>
    <w:rsid w:val="6C4D59FA"/>
    <w:rsid w:val="6C4D6722"/>
    <w:rsid w:val="6C4E1942"/>
    <w:rsid w:val="6C4E249B"/>
    <w:rsid w:val="6C4E4249"/>
    <w:rsid w:val="6C4E502A"/>
    <w:rsid w:val="6C4E5AE6"/>
    <w:rsid w:val="6C4E6816"/>
    <w:rsid w:val="6C4F627B"/>
    <w:rsid w:val="6C4F7452"/>
    <w:rsid w:val="6C5008E1"/>
    <w:rsid w:val="6C501AB4"/>
    <w:rsid w:val="6C5026D6"/>
    <w:rsid w:val="6C50419C"/>
    <w:rsid w:val="6C506771"/>
    <w:rsid w:val="6C510BF4"/>
    <w:rsid w:val="6C511D71"/>
    <w:rsid w:val="6C51446C"/>
    <w:rsid w:val="6C515AE7"/>
    <w:rsid w:val="6C517895"/>
    <w:rsid w:val="6C52225C"/>
    <w:rsid w:val="6C522BCB"/>
    <w:rsid w:val="6C523D39"/>
    <w:rsid w:val="6C524D5F"/>
    <w:rsid w:val="6C526264"/>
    <w:rsid w:val="6C5314BD"/>
    <w:rsid w:val="6C532CD3"/>
    <w:rsid w:val="6C532E37"/>
    <w:rsid w:val="6C533F4A"/>
    <w:rsid w:val="6C5374D3"/>
    <w:rsid w:val="6C537AB1"/>
    <w:rsid w:val="6C54027D"/>
    <w:rsid w:val="6C54281C"/>
    <w:rsid w:val="6C5434FF"/>
    <w:rsid w:val="6C545CA7"/>
    <w:rsid w:val="6C547A40"/>
    <w:rsid w:val="6C550C71"/>
    <w:rsid w:val="6C55253B"/>
    <w:rsid w:val="6C553829"/>
    <w:rsid w:val="6C5561CB"/>
    <w:rsid w:val="6C557385"/>
    <w:rsid w:val="6C564DD5"/>
    <w:rsid w:val="6C565CFF"/>
    <w:rsid w:val="6C567677"/>
    <w:rsid w:val="6C567793"/>
    <w:rsid w:val="6C57075D"/>
    <w:rsid w:val="6C57094C"/>
    <w:rsid w:val="6C570A57"/>
    <w:rsid w:val="6C574FFC"/>
    <w:rsid w:val="6C575806"/>
    <w:rsid w:val="6C575E75"/>
    <w:rsid w:val="6C5767F0"/>
    <w:rsid w:val="6C5775A1"/>
    <w:rsid w:val="6C580109"/>
    <w:rsid w:val="6C580C23"/>
    <w:rsid w:val="6C5847AC"/>
    <w:rsid w:val="6C585844"/>
    <w:rsid w:val="6C586E75"/>
    <w:rsid w:val="6C590132"/>
    <w:rsid w:val="6C590C00"/>
    <w:rsid w:val="6C591261"/>
    <w:rsid w:val="6C596D7E"/>
    <w:rsid w:val="6C5A2BED"/>
    <w:rsid w:val="6C5A7AD2"/>
    <w:rsid w:val="6C5A7C20"/>
    <w:rsid w:val="6C5B1181"/>
    <w:rsid w:val="6C5B4564"/>
    <w:rsid w:val="6C5C05C5"/>
    <w:rsid w:val="6C5C0714"/>
    <w:rsid w:val="6C5C1FC7"/>
    <w:rsid w:val="6C5C3015"/>
    <w:rsid w:val="6C5D1A55"/>
    <w:rsid w:val="6C5D58E5"/>
    <w:rsid w:val="6C5D7DEB"/>
    <w:rsid w:val="6C5E0930"/>
    <w:rsid w:val="6C5E18EB"/>
    <w:rsid w:val="6C5E66E4"/>
    <w:rsid w:val="6C5F0204"/>
    <w:rsid w:val="6C5F0FD0"/>
    <w:rsid w:val="6C5F1FB2"/>
    <w:rsid w:val="6C5F3CBB"/>
    <w:rsid w:val="6C5F6456"/>
    <w:rsid w:val="6C5F6F46"/>
    <w:rsid w:val="6C6056D0"/>
    <w:rsid w:val="6C610927"/>
    <w:rsid w:val="6C611866"/>
    <w:rsid w:val="6C615D2A"/>
    <w:rsid w:val="6C6209F4"/>
    <w:rsid w:val="6C6279BE"/>
    <w:rsid w:val="6C627CF4"/>
    <w:rsid w:val="6C63075E"/>
    <w:rsid w:val="6C635F46"/>
    <w:rsid w:val="6C6367AC"/>
    <w:rsid w:val="6C642911"/>
    <w:rsid w:val="6C643A6C"/>
    <w:rsid w:val="6C64581A"/>
    <w:rsid w:val="6C651B4A"/>
    <w:rsid w:val="6C65277D"/>
    <w:rsid w:val="6C656DD2"/>
    <w:rsid w:val="6C657644"/>
    <w:rsid w:val="6C65774B"/>
    <w:rsid w:val="6C6603F6"/>
    <w:rsid w:val="6C661592"/>
    <w:rsid w:val="6C6622C5"/>
    <w:rsid w:val="6C663340"/>
    <w:rsid w:val="6C663687"/>
    <w:rsid w:val="6C66393C"/>
    <w:rsid w:val="6C6677E4"/>
    <w:rsid w:val="6C673E6D"/>
    <w:rsid w:val="6C68246B"/>
    <w:rsid w:val="6C682CFE"/>
    <w:rsid w:val="6C690512"/>
    <w:rsid w:val="6C690679"/>
    <w:rsid w:val="6C690A46"/>
    <w:rsid w:val="6C690CE6"/>
    <w:rsid w:val="6C691082"/>
    <w:rsid w:val="6C691739"/>
    <w:rsid w:val="6C691D8E"/>
    <w:rsid w:val="6C692464"/>
    <w:rsid w:val="6C692E30"/>
    <w:rsid w:val="6C6972D4"/>
    <w:rsid w:val="6C697FF8"/>
    <w:rsid w:val="6C6A1488"/>
    <w:rsid w:val="6C6A38FA"/>
    <w:rsid w:val="6C6A6EB7"/>
    <w:rsid w:val="6C6B0957"/>
    <w:rsid w:val="6C6B3757"/>
    <w:rsid w:val="6C6B4DFB"/>
    <w:rsid w:val="6C6B668E"/>
    <w:rsid w:val="6C6B6BA9"/>
    <w:rsid w:val="6C6C00A3"/>
    <w:rsid w:val="6C6C15D8"/>
    <w:rsid w:val="6C6C2AC6"/>
    <w:rsid w:val="6C6D0B73"/>
    <w:rsid w:val="6C6D1E7B"/>
    <w:rsid w:val="6C6D229D"/>
    <w:rsid w:val="6C6E48B2"/>
    <w:rsid w:val="6C6E48EB"/>
    <w:rsid w:val="6C6E4C81"/>
    <w:rsid w:val="6C6E55AB"/>
    <w:rsid w:val="6C6F0D80"/>
    <w:rsid w:val="6C6F1379"/>
    <w:rsid w:val="6C6F32DA"/>
    <w:rsid w:val="6C6F5C68"/>
    <w:rsid w:val="6C6F6652"/>
    <w:rsid w:val="6C6F73D5"/>
    <w:rsid w:val="6C700197"/>
    <w:rsid w:val="6C700663"/>
    <w:rsid w:val="6C703F9D"/>
    <w:rsid w:val="6C7041BF"/>
    <w:rsid w:val="6C7046F7"/>
    <w:rsid w:val="6C7049B4"/>
    <w:rsid w:val="6C7052FA"/>
    <w:rsid w:val="6C705F6D"/>
    <w:rsid w:val="6C706E7E"/>
    <w:rsid w:val="6C707ECB"/>
    <w:rsid w:val="6C711CE5"/>
    <w:rsid w:val="6C714328"/>
    <w:rsid w:val="6C7147E0"/>
    <w:rsid w:val="6C721660"/>
    <w:rsid w:val="6C7227EB"/>
    <w:rsid w:val="6C724423"/>
    <w:rsid w:val="6C727516"/>
    <w:rsid w:val="6C7277FE"/>
    <w:rsid w:val="6C733CAF"/>
    <w:rsid w:val="6C7353BC"/>
    <w:rsid w:val="6C7378AE"/>
    <w:rsid w:val="6C737CDE"/>
    <w:rsid w:val="6C737F91"/>
    <w:rsid w:val="6C743003"/>
    <w:rsid w:val="6C74510B"/>
    <w:rsid w:val="6C756439"/>
    <w:rsid w:val="6C756DFD"/>
    <w:rsid w:val="6C757A27"/>
    <w:rsid w:val="6C760F2A"/>
    <w:rsid w:val="6C76669A"/>
    <w:rsid w:val="6C766BE2"/>
    <w:rsid w:val="6C766FE7"/>
    <w:rsid w:val="6C7672FB"/>
    <w:rsid w:val="6C771779"/>
    <w:rsid w:val="6C7718BC"/>
    <w:rsid w:val="6C772DBB"/>
    <w:rsid w:val="6C776340"/>
    <w:rsid w:val="6C7767EC"/>
    <w:rsid w:val="6C7768F1"/>
    <w:rsid w:val="6C7812C6"/>
    <w:rsid w:val="6C782C00"/>
    <w:rsid w:val="6C783074"/>
    <w:rsid w:val="6C7837BE"/>
    <w:rsid w:val="6C787517"/>
    <w:rsid w:val="6C79122E"/>
    <w:rsid w:val="6C7916F9"/>
    <w:rsid w:val="6C7926BE"/>
    <w:rsid w:val="6C797012"/>
    <w:rsid w:val="6C797B16"/>
    <w:rsid w:val="6C797E42"/>
    <w:rsid w:val="6C7A3290"/>
    <w:rsid w:val="6C7A503E"/>
    <w:rsid w:val="6C7A54F6"/>
    <w:rsid w:val="6C7A6DEC"/>
    <w:rsid w:val="6C7A7EBF"/>
    <w:rsid w:val="6C7B11E0"/>
    <w:rsid w:val="6C7B1B23"/>
    <w:rsid w:val="6C7B3CAF"/>
    <w:rsid w:val="6C7B43A0"/>
    <w:rsid w:val="6C7B4FDE"/>
    <w:rsid w:val="6C7B6907"/>
    <w:rsid w:val="6C7C043F"/>
    <w:rsid w:val="6C7C0DB6"/>
    <w:rsid w:val="6C7C13B7"/>
    <w:rsid w:val="6C7C2BA4"/>
    <w:rsid w:val="6C7C2F2A"/>
    <w:rsid w:val="6C7C3DE0"/>
    <w:rsid w:val="6C7C6D72"/>
    <w:rsid w:val="6C7C7008"/>
    <w:rsid w:val="6C7D068A"/>
    <w:rsid w:val="6C7D1A0D"/>
    <w:rsid w:val="6C7D4B2E"/>
    <w:rsid w:val="6C7D68DC"/>
    <w:rsid w:val="6C7E359B"/>
    <w:rsid w:val="6C7E36C6"/>
    <w:rsid w:val="6C7F32A3"/>
    <w:rsid w:val="6C7F395F"/>
    <w:rsid w:val="6C7F4402"/>
    <w:rsid w:val="6C7F53DF"/>
    <w:rsid w:val="6C7F571D"/>
    <w:rsid w:val="6C7F7C12"/>
    <w:rsid w:val="6C802C84"/>
    <w:rsid w:val="6C805D14"/>
    <w:rsid w:val="6C81017A"/>
    <w:rsid w:val="6C81661E"/>
    <w:rsid w:val="6C82794E"/>
    <w:rsid w:val="6C835AB7"/>
    <w:rsid w:val="6C836885"/>
    <w:rsid w:val="6C840474"/>
    <w:rsid w:val="6C841BBB"/>
    <w:rsid w:val="6C847C6A"/>
    <w:rsid w:val="6C8542AF"/>
    <w:rsid w:val="6C8610BC"/>
    <w:rsid w:val="6C861C34"/>
    <w:rsid w:val="6C8639E2"/>
    <w:rsid w:val="6C86428D"/>
    <w:rsid w:val="6C865790"/>
    <w:rsid w:val="6C865F99"/>
    <w:rsid w:val="6C867440"/>
    <w:rsid w:val="6C871509"/>
    <w:rsid w:val="6C8723DF"/>
    <w:rsid w:val="6C874736"/>
    <w:rsid w:val="6C875BB5"/>
    <w:rsid w:val="6C877F69"/>
    <w:rsid w:val="6C881B6B"/>
    <w:rsid w:val="6C882FBA"/>
    <w:rsid w:val="6C88322E"/>
    <w:rsid w:val="6C884D07"/>
    <w:rsid w:val="6C8854DC"/>
    <w:rsid w:val="6C886152"/>
    <w:rsid w:val="6C886E2A"/>
    <w:rsid w:val="6C896D9A"/>
    <w:rsid w:val="6C89702F"/>
    <w:rsid w:val="6C897F5F"/>
    <w:rsid w:val="6C8A28A2"/>
    <w:rsid w:val="6C8A48FB"/>
    <w:rsid w:val="6C8B18E1"/>
    <w:rsid w:val="6C8B2DA7"/>
    <w:rsid w:val="6C8B4AD3"/>
    <w:rsid w:val="6C8B67F6"/>
    <w:rsid w:val="6C8C4DD7"/>
    <w:rsid w:val="6C8C6B1F"/>
    <w:rsid w:val="6C8C7F96"/>
    <w:rsid w:val="6C8D08BA"/>
    <w:rsid w:val="6C8D2572"/>
    <w:rsid w:val="6C8D4D71"/>
    <w:rsid w:val="6C8D711E"/>
    <w:rsid w:val="6C8E0315"/>
    <w:rsid w:val="6C8E0AE9"/>
    <w:rsid w:val="6C8E2D75"/>
    <w:rsid w:val="6C8E6D3B"/>
    <w:rsid w:val="6C8F7123"/>
    <w:rsid w:val="6C9003BD"/>
    <w:rsid w:val="6C903D8C"/>
    <w:rsid w:val="6C9048E4"/>
    <w:rsid w:val="6C904F88"/>
    <w:rsid w:val="6C905D74"/>
    <w:rsid w:val="6C90660F"/>
    <w:rsid w:val="6C910945"/>
    <w:rsid w:val="6C911C5C"/>
    <w:rsid w:val="6C9205D9"/>
    <w:rsid w:val="6C920FBC"/>
    <w:rsid w:val="6C921DD5"/>
    <w:rsid w:val="6C922387"/>
    <w:rsid w:val="6C9225D9"/>
    <w:rsid w:val="6C924135"/>
    <w:rsid w:val="6C925C86"/>
    <w:rsid w:val="6C930B0D"/>
    <w:rsid w:val="6C931FA2"/>
    <w:rsid w:val="6C934D06"/>
    <w:rsid w:val="6C935521"/>
    <w:rsid w:val="6C935ADF"/>
    <w:rsid w:val="6C9360FF"/>
    <w:rsid w:val="6C937528"/>
    <w:rsid w:val="6C942417"/>
    <w:rsid w:val="6C9428FF"/>
    <w:rsid w:val="6C944351"/>
    <w:rsid w:val="6C945A86"/>
    <w:rsid w:val="6C946796"/>
    <w:rsid w:val="6C955B85"/>
    <w:rsid w:val="6C9577C8"/>
    <w:rsid w:val="6C957C39"/>
    <w:rsid w:val="6C96068C"/>
    <w:rsid w:val="6C9674AB"/>
    <w:rsid w:val="6C970750"/>
    <w:rsid w:val="6C97388D"/>
    <w:rsid w:val="6C97466E"/>
    <w:rsid w:val="6C975BF0"/>
    <w:rsid w:val="6C976C1F"/>
    <w:rsid w:val="6C9805BA"/>
    <w:rsid w:val="6C981CF1"/>
    <w:rsid w:val="6C98243C"/>
    <w:rsid w:val="6C9828FB"/>
    <w:rsid w:val="6C983716"/>
    <w:rsid w:val="6C9854C4"/>
    <w:rsid w:val="6C986F43"/>
    <w:rsid w:val="6C9878FF"/>
    <w:rsid w:val="6C991F1C"/>
    <w:rsid w:val="6C992049"/>
    <w:rsid w:val="6C9A0B62"/>
    <w:rsid w:val="6C9A6DE2"/>
    <w:rsid w:val="6C9B0FA1"/>
    <w:rsid w:val="6C9B2CBB"/>
    <w:rsid w:val="6C9B625B"/>
    <w:rsid w:val="6C9C3206"/>
    <w:rsid w:val="6C9C5A58"/>
    <w:rsid w:val="6C9C6D62"/>
    <w:rsid w:val="6C9D0161"/>
    <w:rsid w:val="6C9E39F3"/>
    <w:rsid w:val="6C9E3E74"/>
    <w:rsid w:val="6C9E4780"/>
    <w:rsid w:val="6C9F1808"/>
    <w:rsid w:val="6C9F278E"/>
    <w:rsid w:val="6C9F2CF6"/>
    <w:rsid w:val="6C9F4AA4"/>
    <w:rsid w:val="6CA00F4F"/>
    <w:rsid w:val="6CA03AED"/>
    <w:rsid w:val="6CA10F26"/>
    <w:rsid w:val="6CA125CA"/>
    <w:rsid w:val="6CA13A1D"/>
    <w:rsid w:val="6CA1565E"/>
    <w:rsid w:val="6CA16A6E"/>
    <w:rsid w:val="6CA200F0"/>
    <w:rsid w:val="6CA20189"/>
    <w:rsid w:val="6CA219AF"/>
    <w:rsid w:val="6CA22562"/>
    <w:rsid w:val="6CA25EFE"/>
    <w:rsid w:val="6CA2718C"/>
    <w:rsid w:val="6CA31619"/>
    <w:rsid w:val="6CA33997"/>
    <w:rsid w:val="6CA34594"/>
    <w:rsid w:val="6CA354FA"/>
    <w:rsid w:val="6CA420BB"/>
    <w:rsid w:val="6CA441F6"/>
    <w:rsid w:val="6CA443E7"/>
    <w:rsid w:val="6CA4511E"/>
    <w:rsid w:val="6CA45DFD"/>
    <w:rsid w:val="6CA47361"/>
    <w:rsid w:val="6CA50FA7"/>
    <w:rsid w:val="6CA51D0A"/>
    <w:rsid w:val="6CA5261A"/>
    <w:rsid w:val="6CA54AC8"/>
    <w:rsid w:val="6CA616DB"/>
    <w:rsid w:val="6CA64085"/>
    <w:rsid w:val="6CA642C8"/>
    <w:rsid w:val="6CA65E33"/>
    <w:rsid w:val="6CA66B90"/>
    <w:rsid w:val="6CA67490"/>
    <w:rsid w:val="6CA67BE1"/>
    <w:rsid w:val="6CA82D12"/>
    <w:rsid w:val="6CA8341E"/>
    <w:rsid w:val="6CA83959"/>
    <w:rsid w:val="6CA8470C"/>
    <w:rsid w:val="6CA84A32"/>
    <w:rsid w:val="6CA87C41"/>
    <w:rsid w:val="6CA87DFD"/>
    <w:rsid w:val="6CA9147F"/>
    <w:rsid w:val="6CA914B7"/>
    <w:rsid w:val="6CA9649D"/>
    <w:rsid w:val="6CA96F48"/>
    <w:rsid w:val="6CAA35E4"/>
    <w:rsid w:val="6CAA4020"/>
    <w:rsid w:val="6CAA4603"/>
    <w:rsid w:val="6CAA46F5"/>
    <w:rsid w:val="6CAA68FB"/>
    <w:rsid w:val="6CAB169B"/>
    <w:rsid w:val="6CAB1E75"/>
    <w:rsid w:val="6CAB51F7"/>
    <w:rsid w:val="6CAB64B6"/>
    <w:rsid w:val="6CAB6C30"/>
    <w:rsid w:val="6CAD0F6F"/>
    <w:rsid w:val="6CAD23CC"/>
    <w:rsid w:val="6CAD430D"/>
    <w:rsid w:val="6CAE0F8C"/>
    <w:rsid w:val="6CAE2F39"/>
    <w:rsid w:val="6CAE3371"/>
    <w:rsid w:val="6CAE3D8D"/>
    <w:rsid w:val="6CAE4CE7"/>
    <w:rsid w:val="6CAF118B"/>
    <w:rsid w:val="6CAF349B"/>
    <w:rsid w:val="6CB0280D"/>
    <w:rsid w:val="6CB02B74"/>
    <w:rsid w:val="6CB0611C"/>
    <w:rsid w:val="6CB078BF"/>
    <w:rsid w:val="6CB07D37"/>
    <w:rsid w:val="6CB16A0D"/>
    <w:rsid w:val="6CB20EBC"/>
    <w:rsid w:val="6CB21AAC"/>
    <w:rsid w:val="6CB2383D"/>
    <w:rsid w:val="6CB243A3"/>
    <w:rsid w:val="6CB24CF1"/>
    <w:rsid w:val="6CB317BA"/>
    <w:rsid w:val="6CB322FE"/>
    <w:rsid w:val="6CB34F17"/>
    <w:rsid w:val="6CB35689"/>
    <w:rsid w:val="6CB36898"/>
    <w:rsid w:val="6CB41A97"/>
    <w:rsid w:val="6CB427DF"/>
    <w:rsid w:val="6CB44492"/>
    <w:rsid w:val="6CB467A2"/>
    <w:rsid w:val="6CB47211"/>
    <w:rsid w:val="6CB50E04"/>
    <w:rsid w:val="6CB56076"/>
    <w:rsid w:val="6CB56FF2"/>
    <w:rsid w:val="6CB57E24"/>
    <w:rsid w:val="6CB60AB2"/>
    <w:rsid w:val="6CB64150"/>
    <w:rsid w:val="6CB66A3E"/>
    <w:rsid w:val="6CB67FD8"/>
    <w:rsid w:val="6CB70040"/>
    <w:rsid w:val="6CB7053B"/>
    <w:rsid w:val="6CB71323"/>
    <w:rsid w:val="6CB718A3"/>
    <w:rsid w:val="6CB71DEE"/>
    <w:rsid w:val="6CB72660"/>
    <w:rsid w:val="6CB73565"/>
    <w:rsid w:val="6CB74481"/>
    <w:rsid w:val="6CB75B94"/>
    <w:rsid w:val="6CB87914"/>
    <w:rsid w:val="6CB90DFC"/>
    <w:rsid w:val="6CB92D45"/>
    <w:rsid w:val="6CB93DB8"/>
    <w:rsid w:val="6CB943CA"/>
    <w:rsid w:val="6CB97B51"/>
    <w:rsid w:val="6CBA18DE"/>
    <w:rsid w:val="6CBA4047"/>
    <w:rsid w:val="6CBA434D"/>
    <w:rsid w:val="6CBA589E"/>
    <w:rsid w:val="6CBA6410"/>
    <w:rsid w:val="6CBB2471"/>
    <w:rsid w:val="6CBB3023"/>
    <w:rsid w:val="6CBC11B2"/>
    <w:rsid w:val="6CBC2023"/>
    <w:rsid w:val="6CBC30AD"/>
    <w:rsid w:val="6CBC63FA"/>
    <w:rsid w:val="6CBC7404"/>
    <w:rsid w:val="6CBC77FD"/>
    <w:rsid w:val="6CBD06C9"/>
    <w:rsid w:val="6CBD2596"/>
    <w:rsid w:val="6CBD4F2A"/>
    <w:rsid w:val="6CBD554D"/>
    <w:rsid w:val="6CBD6989"/>
    <w:rsid w:val="6CBD6B51"/>
    <w:rsid w:val="6CBE317C"/>
    <w:rsid w:val="6CBE7962"/>
    <w:rsid w:val="6CBF0DF2"/>
    <w:rsid w:val="6CBF0EF8"/>
    <w:rsid w:val="6CBF4A63"/>
    <w:rsid w:val="6CBF5146"/>
    <w:rsid w:val="6CBF6EF4"/>
    <w:rsid w:val="6CC00E2D"/>
    <w:rsid w:val="6CC014DA"/>
    <w:rsid w:val="6CC025B6"/>
    <w:rsid w:val="6CC079EF"/>
    <w:rsid w:val="6CC10442"/>
    <w:rsid w:val="6CC10EBE"/>
    <w:rsid w:val="6CC11FDB"/>
    <w:rsid w:val="6CC120C5"/>
    <w:rsid w:val="6CC12C6C"/>
    <w:rsid w:val="6CC13712"/>
    <w:rsid w:val="6CC13719"/>
    <w:rsid w:val="6CC14B9F"/>
    <w:rsid w:val="6CC16191"/>
    <w:rsid w:val="6CC22541"/>
    <w:rsid w:val="6CC25CED"/>
    <w:rsid w:val="6CC27773"/>
    <w:rsid w:val="6CC30793"/>
    <w:rsid w:val="6CC30A05"/>
    <w:rsid w:val="6CC30BC9"/>
    <w:rsid w:val="6CC36719"/>
    <w:rsid w:val="6CC428B1"/>
    <w:rsid w:val="6CC462B9"/>
    <w:rsid w:val="6CC4758D"/>
    <w:rsid w:val="6CC52CE3"/>
    <w:rsid w:val="6CC56897"/>
    <w:rsid w:val="6CC5767D"/>
    <w:rsid w:val="6CC60283"/>
    <w:rsid w:val="6CC61676"/>
    <w:rsid w:val="6CC62031"/>
    <w:rsid w:val="6CC63C1F"/>
    <w:rsid w:val="6CC73EA4"/>
    <w:rsid w:val="6CC8224D"/>
    <w:rsid w:val="6CC82361"/>
    <w:rsid w:val="6CC83FFB"/>
    <w:rsid w:val="6CC85DA9"/>
    <w:rsid w:val="6CC86BC6"/>
    <w:rsid w:val="6CC87B57"/>
    <w:rsid w:val="6CC901E1"/>
    <w:rsid w:val="6CC92B8D"/>
    <w:rsid w:val="6CC933EE"/>
    <w:rsid w:val="6CC938CF"/>
    <w:rsid w:val="6CC95B4D"/>
    <w:rsid w:val="6CC96E37"/>
    <w:rsid w:val="6CCB0C70"/>
    <w:rsid w:val="6CCB17E1"/>
    <w:rsid w:val="6CCB2333"/>
    <w:rsid w:val="6CCB2CC8"/>
    <w:rsid w:val="6CCB5899"/>
    <w:rsid w:val="6CCB7647"/>
    <w:rsid w:val="6CCC093C"/>
    <w:rsid w:val="6CCC3BC0"/>
    <w:rsid w:val="6CCC4A03"/>
    <w:rsid w:val="6CCC7210"/>
    <w:rsid w:val="6CCD22B0"/>
    <w:rsid w:val="6CCD33BF"/>
    <w:rsid w:val="6CCD374B"/>
    <w:rsid w:val="6CCD412F"/>
    <w:rsid w:val="6CCD555F"/>
    <w:rsid w:val="6CCD58D9"/>
    <w:rsid w:val="6CCE0EE6"/>
    <w:rsid w:val="6CCE1F06"/>
    <w:rsid w:val="6CCE7137"/>
    <w:rsid w:val="6CCF1AF5"/>
    <w:rsid w:val="6CCF3442"/>
    <w:rsid w:val="6CCF672D"/>
    <w:rsid w:val="6CCF6921"/>
    <w:rsid w:val="6CD010B4"/>
    <w:rsid w:val="6CD02AD1"/>
    <w:rsid w:val="6CD06CF5"/>
    <w:rsid w:val="6CD07184"/>
    <w:rsid w:val="6CD13E3C"/>
    <w:rsid w:val="6CD169A8"/>
    <w:rsid w:val="6CD24943"/>
    <w:rsid w:val="6CD24E7A"/>
    <w:rsid w:val="6CD2667B"/>
    <w:rsid w:val="6CD26860"/>
    <w:rsid w:val="6CD3162C"/>
    <w:rsid w:val="6CD3489F"/>
    <w:rsid w:val="6CD37D66"/>
    <w:rsid w:val="6CD44852"/>
    <w:rsid w:val="6CD504C6"/>
    <w:rsid w:val="6CD52274"/>
    <w:rsid w:val="6CD5316F"/>
    <w:rsid w:val="6CD562EA"/>
    <w:rsid w:val="6CD57E32"/>
    <w:rsid w:val="6CD62255"/>
    <w:rsid w:val="6CD7423E"/>
    <w:rsid w:val="6CD75FEC"/>
    <w:rsid w:val="6CD81D64"/>
    <w:rsid w:val="6CD82B23"/>
    <w:rsid w:val="6CD941D3"/>
    <w:rsid w:val="6CD96208"/>
    <w:rsid w:val="6CD97FB6"/>
    <w:rsid w:val="6CDA08CE"/>
    <w:rsid w:val="6CDA629C"/>
    <w:rsid w:val="6CDB0200"/>
    <w:rsid w:val="6CDB2459"/>
    <w:rsid w:val="6CDB38B6"/>
    <w:rsid w:val="6CDB3ECD"/>
    <w:rsid w:val="6CDB536F"/>
    <w:rsid w:val="6CDB5ADB"/>
    <w:rsid w:val="6CDB75EB"/>
    <w:rsid w:val="6CDC031A"/>
    <w:rsid w:val="6CDC1854"/>
    <w:rsid w:val="6CDC1B77"/>
    <w:rsid w:val="6CDC2E3A"/>
    <w:rsid w:val="6CDC6E48"/>
    <w:rsid w:val="6CDC7AA6"/>
    <w:rsid w:val="6CDC7C0C"/>
    <w:rsid w:val="6CDD16DE"/>
    <w:rsid w:val="6CDD43C5"/>
    <w:rsid w:val="6CDD5B47"/>
    <w:rsid w:val="6CDD63F2"/>
    <w:rsid w:val="6CDE0AF3"/>
    <w:rsid w:val="6CDE20D1"/>
    <w:rsid w:val="6CDE381E"/>
    <w:rsid w:val="6CDE42D3"/>
    <w:rsid w:val="6CDE438C"/>
    <w:rsid w:val="6CDE474D"/>
    <w:rsid w:val="6CDE580B"/>
    <w:rsid w:val="6CDE707F"/>
    <w:rsid w:val="6CDF07ED"/>
    <w:rsid w:val="6CDF5755"/>
    <w:rsid w:val="6CDF6D8A"/>
    <w:rsid w:val="6CDF760B"/>
    <w:rsid w:val="6CE06343"/>
    <w:rsid w:val="6CE07715"/>
    <w:rsid w:val="6CE1331E"/>
    <w:rsid w:val="6CE1667E"/>
    <w:rsid w:val="6CE17312"/>
    <w:rsid w:val="6CE22475"/>
    <w:rsid w:val="6CE241A1"/>
    <w:rsid w:val="6CE26DEE"/>
    <w:rsid w:val="6CE27FC7"/>
    <w:rsid w:val="6CE30E35"/>
    <w:rsid w:val="6CE3136F"/>
    <w:rsid w:val="6CE32CAD"/>
    <w:rsid w:val="6CE34991"/>
    <w:rsid w:val="6CE360D6"/>
    <w:rsid w:val="6CE4234E"/>
    <w:rsid w:val="6CE52115"/>
    <w:rsid w:val="6CE54BAD"/>
    <w:rsid w:val="6CE55E74"/>
    <w:rsid w:val="6CE5627F"/>
    <w:rsid w:val="6CE5766E"/>
    <w:rsid w:val="6CE60925"/>
    <w:rsid w:val="6CE626D3"/>
    <w:rsid w:val="6CE7542D"/>
    <w:rsid w:val="6CE7651C"/>
    <w:rsid w:val="6CE8644B"/>
    <w:rsid w:val="6CE87F8C"/>
    <w:rsid w:val="6CE966FE"/>
    <w:rsid w:val="6CEA21C3"/>
    <w:rsid w:val="6CEA5E19"/>
    <w:rsid w:val="6CEB581D"/>
    <w:rsid w:val="6CEB5F3B"/>
    <w:rsid w:val="6CEB62D4"/>
    <w:rsid w:val="6CEB697F"/>
    <w:rsid w:val="6CEB77AF"/>
    <w:rsid w:val="6CEB7CE9"/>
    <w:rsid w:val="6CEC4225"/>
    <w:rsid w:val="6CEC62AD"/>
    <w:rsid w:val="6CEC7906"/>
    <w:rsid w:val="6CED191F"/>
    <w:rsid w:val="6CED272F"/>
    <w:rsid w:val="6CED2A84"/>
    <w:rsid w:val="6CED3A62"/>
    <w:rsid w:val="6CED5810"/>
    <w:rsid w:val="6CEE0AE0"/>
    <w:rsid w:val="6CEE1D2F"/>
    <w:rsid w:val="6CEE487B"/>
    <w:rsid w:val="6CEE4B12"/>
    <w:rsid w:val="6CEF1361"/>
    <w:rsid w:val="6CEF77DA"/>
    <w:rsid w:val="6CF03323"/>
    <w:rsid w:val="6CF03552"/>
    <w:rsid w:val="6CF05300"/>
    <w:rsid w:val="6CF13AC4"/>
    <w:rsid w:val="6CF16580"/>
    <w:rsid w:val="6CF211C7"/>
    <w:rsid w:val="6CF21B9F"/>
    <w:rsid w:val="6CF22A81"/>
    <w:rsid w:val="6CF22D40"/>
    <w:rsid w:val="6CF22E26"/>
    <w:rsid w:val="6CF26F77"/>
    <w:rsid w:val="6CF272CA"/>
    <w:rsid w:val="6CF3094C"/>
    <w:rsid w:val="6CF30B58"/>
    <w:rsid w:val="6CF345CA"/>
    <w:rsid w:val="6CF37CE2"/>
    <w:rsid w:val="6CF44DF0"/>
    <w:rsid w:val="6CF478AE"/>
    <w:rsid w:val="6CF50B68"/>
    <w:rsid w:val="6CF52602"/>
    <w:rsid w:val="6CF52916"/>
    <w:rsid w:val="6CF530F3"/>
    <w:rsid w:val="6CF546C4"/>
    <w:rsid w:val="6CF56202"/>
    <w:rsid w:val="6CF607A3"/>
    <w:rsid w:val="6CF62782"/>
    <w:rsid w:val="6CF633DA"/>
    <w:rsid w:val="6CF636D0"/>
    <w:rsid w:val="6CF77AF3"/>
    <w:rsid w:val="6CF802C5"/>
    <w:rsid w:val="6CF81A4B"/>
    <w:rsid w:val="6CF81FBC"/>
    <w:rsid w:val="6CF91F8E"/>
    <w:rsid w:val="6CF941B4"/>
    <w:rsid w:val="6CFA38A3"/>
    <w:rsid w:val="6CFA5B58"/>
    <w:rsid w:val="6CFA6474"/>
    <w:rsid w:val="6CFA7F2C"/>
    <w:rsid w:val="6CFC1EF7"/>
    <w:rsid w:val="6CFC643B"/>
    <w:rsid w:val="6CFD3965"/>
    <w:rsid w:val="6CFD3C3B"/>
    <w:rsid w:val="6CFD3DDD"/>
    <w:rsid w:val="6CFD3E2A"/>
    <w:rsid w:val="6CFD567F"/>
    <w:rsid w:val="6CFD64F4"/>
    <w:rsid w:val="6CFE36B4"/>
    <w:rsid w:val="6CFE5C6F"/>
    <w:rsid w:val="6CFE7470"/>
    <w:rsid w:val="6CFE7A1D"/>
    <w:rsid w:val="6CFF105E"/>
    <w:rsid w:val="6CFF2645"/>
    <w:rsid w:val="6CFF2876"/>
    <w:rsid w:val="6CFF4B44"/>
    <w:rsid w:val="6CFF5543"/>
    <w:rsid w:val="6CFF6285"/>
    <w:rsid w:val="6CFF667E"/>
    <w:rsid w:val="6CFF6CC3"/>
    <w:rsid w:val="6D001DC1"/>
    <w:rsid w:val="6D010507"/>
    <w:rsid w:val="6D012763"/>
    <w:rsid w:val="6D013069"/>
    <w:rsid w:val="6D01750D"/>
    <w:rsid w:val="6D017EB9"/>
    <w:rsid w:val="6D021606"/>
    <w:rsid w:val="6D022035"/>
    <w:rsid w:val="6D022827"/>
    <w:rsid w:val="6D030DBC"/>
    <w:rsid w:val="6D033285"/>
    <w:rsid w:val="6D034D91"/>
    <w:rsid w:val="6D035033"/>
    <w:rsid w:val="6D036DE1"/>
    <w:rsid w:val="6D043841"/>
    <w:rsid w:val="6D047DE3"/>
    <w:rsid w:val="6D050134"/>
    <w:rsid w:val="6D050DAB"/>
    <w:rsid w:val="6D05646A"/>
    <w:rsid w:val="6D056FFD"/>
    <w:rsid w:val="6D05765A"/>
    <w:rsid w:val="6D06067F"/>
    <w:rsid w:val="6D062587"/>
    <w:rsid w:val="6D062D75"/>
    <w:rsid w:val="6D063587"/>
    <w:rsid w:val="6D06717E"/>
    <w:rsid w:val="6D076D41"/>
    <w:rsid w:val="6D077932"/>
    <w:rsid w:val="6D08459D"/>
    <w:rsid w:val="6D085EC7"/>
    <w:rsid w:val="6D087D49"/>
    <w:rsid w:val="6D090170"/>
    <w:rsid w:val="6D093393"/>
    <w:rsid w:val="6D0A1D9C"/>
    <w:rsid w:val="6D0A799A"/>
    <w:rsid w:val="6D0B205B"/>
    <w:rsid w:val="6D0B213A"/>
    <w:rsid w:val="6D0C0889"/>
    <w:rsid w:val="6D0C28E5"/>
    <w:rsid w:val="6D0D270A"/>
    <w:rsid w:val="6D0D4104"/>
    <w:rsid w:val="6D0D5EB2"/>
    <w:rsid w:val="6D0D7148"/>
    <w:rsid w:val="6D0D7C60"/>
    <w:rsid w:val="6D0E31A9"/>
    <w:rsid w:val="6D0E574D"/>
    <w:rsid w:val="6D0E5786"/>
    <w:rsid w:val="6D0E6966"/>
    <w:rsid w:val="6D0F0B5D"/>
    <w:rsid w:val="6D100BCF"/>
    <w:rsid w:val="6D107750"/>
    <w:rsid w:val="6D11077A"/>
    <w:rsid w:val="6D11229B"/>
    <w:rsid w:val="6D112827"/>
    <w:rsid w:val="6D112EFF"/>
    <w:rsid w:val="6D114510"/>
    <w:rsid w:val="6D12171A"/>
    <w:rsid w:val="6D1221A0"/>
    <w:rsid w:val="6D1303A1"/>
    <w:rsid w:val="6D13171E"/>
    <w:rsid w:val="6D136E14"/>
    <w:rsid w:val="6D137AC0"/>
    <w:rsid w:val="6D142047"/>
    <w:rsid w:val="6D142D9C"/>
    <w:rsid w:val="6D143F5C"/>
    <w:rsid w:val="6D144D86"/>
    <w:rsid w:val="6D147240"/>
    <w:rsid w:val="6D147927"/>
    <w:rsid w:val="6D15178C"/>
    <w:rsid w:val="6D151F32"/>
    <w:rsid w:val="6D1558EC"/>
    <w:rsid w:val="6D155DE5"/>
    <w:rsid w:val="6D1629AC"/>
    <w:rsid w:val="6D162C9A"/>
    <w:rsid w:val="6D164F04"/>
    <w:rsid w:val="6D175A11"/>
    <w:rsid w:val="6D176D30"/>
    <w:rsid w:val="6D183C2D"/>
    <w:rsid w:val="6D183EB6"/>
    <w:rsid w:val="6D18680A"/>
    <w:rsid w:val="6D186E2C"/>
    <w:rsid w:val="6D1919FD"/>
    <w:rsid w:val="6D191E48"/>
    <w:rsid w:val="6D193FE7"/>
    <w:rsid w:val="6D1963FF"/>
    <w:rsid w:val="6D1A237D"/>
    <w:rsid w:val="6D1A412B"/>
    <w:rsid w:val="6D1A6199"/>
    <w:rsid w:val="6D1B05CF"/>
    <w:rsid w:val="6D1C037E"/>
    <w:rsid w:val="6D1C2792"/>
    <w:rsid w:val="6D1C37DA"/>
    <w:rsid w:val="6D1D36C1"/>
    <w:rsid w:val="6D1D4B18"/>
    <w:rsid w:val="6D1E00BF"/>
    <w:rsid w:val="6D1E07F1"/>
    <w:rsid w:val="6D1E3C1B"/>
    <w:rsid w:val="6D1E640D"/>
    <w:rsid w:val="6D1E79E7"/>
    <w:rsid w:val="6D1F412E"/>
    <w:rsid w:val="6D1F414C"/>
    <w:rsid w:val="6D2024A3"/>
    <w:rsid w:val="6D20667E"/>
    <w:rsid w:val="6D21085C"/>
    <w:rsid w:val="6D21195D"/>
    <w:rsid w:val="6D2125EF"/>
    <w:rsid w:val="6D21370B"/>
    <w:rsid w:val="6D215840"/>
    <w:rsid w:val="6D220667"/>
    <w:rsid w:val="6D222AAF"/>
    <w:rsid w:val="6D22312D"/>
    <w:rsid w:val="6D2237EE"/>
    <w:rsid w:val="6D226388"/>
    <w:rsid w:val="6D226B63"/>
    <w:rsid w:val="6D2316A0"/>
    <w:rsid w:val="6D231884"/>
    <w:rsid w:val="6D233347"/>
    <w:rsid w:val="6D2356D5"/>
    <w:rsid w:val="6D241444"/>
    <w:rsid w:val="6D241608"/>
    <w:rsid w:val="6D241C8F"/>
    <w:rsid w:val="6D243BF4"/>
    <w:rsid w:val="6D25144D"/>
    <w:rsid w:val="6D2531FB"/>
    <w:rsid w:val="6D2553D0"/>
    <w:rsid w:val="6D26312B"/>
    <w:rsid w:val="6D264001"/>
    <w:rsid w:val="6D266F73"/>
    <w:rsid w:val="6D267E2D"/>
    <w:rsid w:val="6D276982"/>
    <w:rsid w:val="6D276F79"/>
    <w:rsid w:val="6D2772A0"/>
    <w:rsid w:val="6D2805B9"/>
    <w:rsid w:val="6D280AD9"/>
    <w:rsid w:val="6D283114"/>
    <w:rsid w:val="6D283D50"/>
    <w:rsid w:val="6D2848C0"/>
    <w:rsid w:val="6D284A9A"/>
    <w:rsid w:val="6D286A4F"/>
    <w:rsid w:val="6D286B5F"/>
    <w:rsid w:val="6D296556"/>
    <w:rsid w:val="6D2A0812"/>
    <w:rsid w:val="6D2A1CAD"/>
    <w:rsid w:val="6D2A25C0"/>
    <w:rsid w:val="6D2A2982"/>
    <w:rsid w:val="6D2A2BC7"/>
    <w:rsid w:val="6D2B0973"/>
    <w:rsid w:val="6D2B0B29"/>
    <w:rsid w:val="6D2B2088"/>
    <w:rsid w:val="6D2B477A"/>
    <w:rsid w:val="6D2B6338"/>
    <w:rsid w:val="6D2C52A2"/>
    <w:rsid w:val="6D2C684E"/>
    <w:rsid w:val="6D2C6D8E"/>
    <w:rsid w:val="6D2D0302"/>
    <w:rsid w:val="6D2D1303"/>
    <w:rsid w:val="6D2D20B0"/>
    <w:rsid w:val="6D2D3A15"/>
    <w:rsid w:val="6D2D5C29"/>
    <w:rsid w:val="6D2D649E"/>
    <w:rsid w:val="6D2E16EE"/>
    <w:rsid w:val="6D2E7DA7"/>
    <w:rsid w:val="6D2F293B"/>
    <w:rsid w:val="6D2F2DCA"/>
    <w:rsid w:val="6D2F3C23"/>
    <w:rsid w:val="6D2F407A"/>
    <w:rsid w:val="6D2F586E"/>
    <w:rsid w:val="6D2F5FB2"/>
    <w:rsid w:val="6D2F6CDF"/>
    <w:rsid w:val="6D2F7BD6"/>
    <w:rsid w:val="6D301481"/>
    <w:rsid w:val="6D30394E"/>
    <w:rsid w:val="6D3056A3"/>
    <w:rsid w:val="6D311114"/>
    <w:rsid w:val="6D3129C8"/>
    <w:rsid w:val="6D312E63"/>
    <w:rsid w:val="6D321110"/>
    <w:rsid w:val="6D321474"/>
    <w:rsid w:val="6D325918"/>
    <w:rsid w:val="6D325EDF"/>
    <w:rsid w:val="6D331831"/>
    <w:rsid w:val="6D333A34"/>
    <w:rsid w:val="6D3352EB"/>
    <w:rsid w:val="6D3357EF"/>
    <w:rsid w:val="6D340CC2"/>
    <w:rsid w:val="6D341690"/>
    <w:rsid w:val="6D3426AE"/>
    <w:rsid w:val="6D343B19"/>
    <w:rsid w:val="6D344EC4"/>
    <w:rsid w:val="6D3451EC"/>
    <w:rsid w:val="6D347138"/>
    <w:rsid w:val="6D34781D"/>
    <w:rsid w:val="6D35297A"/>
    <w:rsid w:val="6D354D12"/>
    <w:rsid w:val="6D355804"/>
    <w:rsid w:val="6D3609B8"/>
    <w:rsid w:val="6D360F25"/>
    <w:rsid w:val="6D360FD1"/>
    <w:rsid w:val="6D365C8E"/>
    <w:rsid w:val="6D371181"/>
    <w:rsid w:val="6D373755"/>
    <w:rsid w:val="6D3745E1"/>
    <w:rsid w:val="6D374A82"/>
    <w:rsid w:val="6D374CDD"/>
    <w:rsid w:val="6D3763A9"/>
    <w:rsid w:val="6D381BE7"/>
    <w:rsid w:val="6D38522D"/>
    <w:rsid w:val="6D385618"/>
    <w:rsid w:val="6D386E0D"/>
    <w:rsid w:val="6D387183"/>
    <w:rsid w:val="6D390A55"/>
    <w:rsid w:val="6D394EF9"/>
    <w:rsid w:val="6D396AD0"/>
    <w:rsid w:val="6D396D51"/>
    <w:rsid w:val="6D3A437D"/>
    <w:rsid w:val="6D3A657B"/>
    <w:rsid w:val="6D3A7EAC"/>
    <w:rsid w:val="6D3B47CD"/>
    <w:rsid w:val="6D3B55E3"/>
    <w:rsid w:val="6D3B7EED"/>
    <w:rsid w:val="6D3C0545"/>
    <w:rsid w:val="6D3C22F3"/>
    <w:rsid w:val="6D3C3AB3"/>
    <w:rsid w:val="6D3C6E8F"/>
    <w:rsid w:val="6D3D03E9"/>
    <w:rsid w:val="6D3D2C7B"/>
    <w:rsid w:val="6D3D4E73"/>
    <w:rsid w:val="6D3D7168"/>
    <w:rsid w:val="6D3E0B47"/>
    <w:rsid w:val="6D3E250F"/>
    <w:rsid w:val="6D3E3D8C"/>
    <w:rsid w:val="6D3E53E2"/>
    <w:rsid w:val="6D3F07B7"/>
    <w:rsid w:val="6D3F1FD7"/>
    <w:rsid w:val="6D3F3B91"/>
    <w:rsid w:val="6D4019A4"/>
    <w:rsid w:val="6D401DE3"/>
    <w:rsid w:val="6D403720"/>
    <w:rsid w:val="6D405558"/>
    <w:rsid w:val="6D414387"/>
    <w:rsid w:val="6D416BEC"/>
    <w:rsid w:val="6D4177F5"/>
    <w:rsid w:val="6D422D69"/>
    <w:rsid w:val="6D42712C"/>
    <w:rsid w:val="6D430951"/>
    <w:rsid w:val="6D433682"/>
    <w:rsid w:val="6D433781"/>
    <w:rsid w:val="6D434711"/>
    <w:rsid w:val="6D437B25"/>
    <w:rsid w:val="6D437F2E"/>
    <w:rsid w:val="6D4410F6"/>
    <w:rsid w:val="6D44119C"/>
    <w:rsid w:val="6D441962"/>
    <w:rsid w:val="6D441AFB"/>
    <w:rsid w:val="6D443E85"/>
    <w:rsid w:val="6D443F80"/>
    <w:rsid w:val="6D4451AB"/>
    <w:rsid w:val="6D4457A4"/>
    <w:rsid w:val="6D445EB1"/>
    <w:rsid w:val="6D447A9F"/>
    <w:rsid w:val="6D450F60"/>
    <w:rsid w:val="6D45202F"/>
    <w:rsid w:val="6D45389E"/>
    <w:rsid w:val="6D45564C"/>
    <w:rsid w:val="6D4573FA"/>
    <w:rsid w:val="6D46022A"/>
    <w:rsid w:val="6D460A1A"/>
    <w:rsid w:val="6D4626ED"/>
    <w:rsid w:val="6D463172"/>
    <w:rsid w:val="6D4657A9"/>
    <w:rsid w:val="6D4713C4"/>
    <w:rsid w:val="6D475ABD"/>
    <w:rsid w:val="6D4769BD"/>
    <w:rsid w:val="6D48513C"/>
    <w:rsid w:val="6D486DAC"/>
    <w:rsid w:val="6D486EEA"/>
    <w:rsid w:val="6D49415A"/>
    <w:rsid w:val="6D495B63"/>
    <w:rsid w:val="6D4A08D8"/>
    <w:rsid w:val="6D4A2C62"/>
    <w:rsid w:val="6D4B0788"/>
    <w:rsid w:val="6D4B1514"/>
    <w:rsid w:val="6D4B1CBB"/>
    <w:rsid w:val="6D4C1333"/>
    <w:rsid w:val="6D4C6526"/>
    <w:rsid w:val="6D4C69DA"/>
    <w:rsid w:val="6D4C7324"/>
    <w:rsid w:val="6D4D2752"/>
    <w:rsid w:val="6D4D4500"/>
    <w:rsid w:val="6D4D45DB"/>
    <w:rsid w:val="6D4D61C0"/>
    <w:rsid w:val="6D4D62AE"/>
    <w:rsid w:val="6D4D6A46"/>
    <w:rsid w:val="6D4D769E"/>
    <w:rsid w:val="6D4E2653"/>
    <w:rsid w:val="6D4E2F4D"/>
    <w:rsid w:val="6D4E6997"/>
    <w:rsid w:val="6D4F0278"/>
    <w:rsid w:val="6D4F20C9"/>
    <w:rsid w:val="6D4F64CA"/>
    <w:rsid w:val="6D501F47"/>
    <w:rsid w:val="6D5056A7"/>
    <w:rsid w:val="6D505D9E"/>
    <w:rsid w:val="6D5060AD"/>
    <w:rsid w:val="6D507614"/>
    <w:rsid w:val="6D513FF0"/>
    <w:rsid w:val="6D5209B1"/>
    <w:rsid w:val="6D52102F"/>
    <w:rsid w:val="6D5219A4"/>
    <w:rsid w:val="6D521B17"/>
    <w:rsid w:val="6D521E7E"/>
    <w:rsid w:val="6D5238C5"/>
    <w:rsid w:val="6D527D58"/>
    <w:rsid w:val="6D5318DD"/>
    <w:rsid w:val="6D532568"/>
    <w:rsid w:val="6D536D97"/>
    <w:rsid w:val="6D537722"/>
    <w:rsid w:val="6D541EB8"/>
    <w:rsid w:val="6D543673"/>
    <w:rsid w:val="6D543AE1"/>
    <w:rsid w:val="6D543BCB"/>
    <w:rsid w:val="6D54588F"/>
    <w:rsid w:val="6D54763D"/>
    <w:rsid w:val="6D5533B5"/>
    <w:rsid w:val="6D55797B"/>
    <w:rsid w:val="6D560EAF"/>
    <w:rsid w:val="6D565160"/>
    <w:rsid w:val="6D565781"/>
    <w:rsid w:val="6D567859"/>
    <w:rsid w:val="6D572E2F"/>
    <w:rsid w:val="6D5743E9"/>
    <w:rsid w:val="6D574CE0"/>
    <w:rsid w:val="6D57537F"/>
    <w:rsid w:val="6D57712D"/>
    <w:rsid w:val="6D582E02"/>
    <w:rsid w:val="6D585093"/>
    <w:rsid w:val="6D585EAB"/>
    <w:rsid w:val="6D587E5D"/>
    <w:rsid w:val="6D5910F7"/>
    <w:rsid w:val="6D592EA5"/>
    <w:rsid w:val="6D594C53"/>
    <w:rsid w:val="6D595571"/>
    <w:rsid w:val="6D59574F"/>
    <w:rsid w:val="6D595E67"/>
    <w:rsid w:val="6D5A0320"/>
    <w:rsid w:val="6D5A453F"/>
    <w:rsid w:val="6D5B09CB"/>
    <w:rsid w:val="6D5B65D7"/>
    <w:rsid w:val="6D5B6C1D"/>
    <w:rsid w:val="6D5C2C40"/>
    <w:rsid w:val="6D5C305C"/>
    <w:rsid w:val="6D5C5811"/>
    <w:rsid w:val="6D5C60F3"/>
    <w:rsid w:val="6D5C771E"/>
    <w:rsid w:val="6D5D4085"/>
    <w:rsid w:val="6D5D5560"/>
    <w:rsid w:val="6D5D5E03"/>
    <w:rsid w:val="6D5D6019"/>
    <w:rsid w:val="6D5E04BB"/>
    <w:rsid w:val="6D5E206A"/>
    <w:rsid w:val="6D5E2269"/>
    <w:rsid w:val="6D5E670D"/>
    <w:rsid w:val="6D5F15C1"/>
    <w:rsid w:val="6D5F21BC"/>
    <w:rsid w:val="6D5F2FF6"/>
    <w:rsid w:val="6D5F3A60"/>
    <w:rsid w:val="6D5F3AE2"/>
    <w:rsid w:val="6D5F6CFB"/>
    <w:rsid w:val="6D602485"/>
    <w:rsid w:val="6D604233"/>
    <w:rsid w:val="6D607371"/>
    <w:rsid w:val="6D6105B3"/>
    <w:rsid w:val="6D610C89"/>
    <w:rsid w:val="6D611D5A"/>
    <w:rsid w:val="6D6134C8"/>
    <w:rsid w:val="6D617FAC"/>
    <w:rsid w:val="6D624A97"/>
    <w:rsid w:val="6D624DFC"/>
    <w:rsid w:val="6D626C4C"/>
    <w:rsid w:val="6D6272AE"/>
    <w:rsid w:val="6D636A7D"/>
    <w:rsid w:val="6D643447"/>
    <w:rsid w:val="6D653E3B"/>
    <w:rsid w:val="6D655433"/>
    <w:rsid w:val="6D655CEE"/>
    <w:rsid w:val="6D6568DA"/>
    <w:rsid w:val="6D664ACD"/>
    <w:rsid w:val="6D6651E3"/>
    <w:rsid w:val="6D6668C3"/>
    <w:rsid w:val="6D667370"/>
    <w:rsid w:val="6D667910"/>
    <w:rsid w:val="6D677565"/>
    <w:rsid w:val="6D68133A"/>
    <w:rsid w:val="6D682B8E"/>
    <w:rsid w:val="6D683BE4"/>
    <w:rsid w:val="6D693D43"/>
    <w:rsid w:val="6D69475D"/>
    <w:rsid w:val="6D696196"/>
    <w:rsid w:val="6D6A597D"/>
    <w:rsid w:val="6D6A6E60"/>
    <w:rsid w:val="6D6A7136"/>
    <w:rsid w:val="6D6B371F"/>
    <w:rsid w:val="6D6B3F9E"/>
    <w:rsid w:val="6D6B4DFF"/>
    <w:rsid w:val="6D6C0E2A"/>
    <w:rsid w:val="6D6C2BD8"/>
    <w:rsid w:val="6D6C77FB"/>
    <w:rsid w:val="6D6C7E91"/>
    <w:rsid w:val="6D6D2692"/>
    <w:rsid w:val="6D6D2A4F"/>
    <w:rsid w:val="6D6D4BA2"/>
    <w:rsid w:val="6D6E3577"/>
    <w:rsid w:val="6D6E4D3D"/>
    <w:rsid w:val="6D6E7C26"/>
    <w:rsid w:val="6D6F26C8"/>
    <w:rsid w:val="6D6F37D1"/>
    <w:rsid w:val="6D6F50E0"/>
    <w:rsid w:val="6D7029EB"/>
    <w:rsid w:val="6D7101EF"/>
    <w:rsid w:val="6D711C78"/>
    <w:rsid w:val="6D713D53"/>
    <w:rsid w:val="6D714693"/>
    <w:rsid w:val="6D71617E"/>
    <w:rsid w:val="6D716441"/>
    <w:rsid w:val="6D7221B9"/>
    <w:rsid w:val="6D7225DF"/>
    <w:rsid w:val="6D725612"/>
    <w:rsid w:val="6D7257D6"/>
    <w:rsid w:val="6D734E65"/>
    <w:rsid w:val="6D737015"/>
    <w:rsid w:val="6D741A8D"/>
    <w:rsid w:val="6D741EA9"/>
    <w:rsid w:val="6D7552A7"/>
    <w:rsid w:val="6D7555C0"/>
    <w:rsid w:val="6D760046"/>
    <w:rsid w:val="6D761CA9"/>
    <w:rsid w:val="6D7626D4"/>
    <w:rsid w:val="6D763A57"/>
    <w:rsid w:val="6D763BEA"/>
    <w:rsid w:val="6D76486D"/>
    <w:rsid w:val="6D7657C6"/>
    <w:rsid w:val="6D765805"/>
    <w:rsid w:val="6D767ADD"/>
    <w:rsid w:val="6D77213A"/>
    <w:rsid w:val="6D777848"/>
    <w:rsid w:val="6D780733"/>
    <w:rsid w:val="6D780E39"/>
    <w:rsid w:val="6D78102D"/>
    <w:rsid w:val="6D784F73"/>
    <w:rsid w:val="6D785A21"/>
    <w:rsid w:val="6D790FD2"/>
    <w:rsid w:val="6D793B62"/>
    <w:rsid w:val="6D7947EE"/>
    <w:rsid w:val="6D7952F5"/>
    <w:rsid w:val="6D7966FF"/>
    <w:rsid w:val="6D7A5894"/>
    <w:rsid w:val="6D7A61C9"/>
    <w:rsid w:val="6D7B0D9A"/>
    <w:rsid w:val="6D7B222A"/>
    <w:rsid w:val="6D7B2E1B"/>
    <w:rsid w:val="6D7B3AC5"/>
    <w:rsid w:val="6D7C0222"/>
    <w:rsid w:val="6D7C0AE9"/>
    <w:rsid w:val="6D7C1EBB"/>
    <w:rsid w:val="6D7C6B93"/>
    <w:rsid w:val="6D7D01EE"/>
    <w:rsid w:val="6D7D1F79"/>
    <w:rsid w:val="6D7D4B47"/>
    <w:rsid w:val="6D7E0B5E"/>
    <w:rsid w:val="6D7E290C"/>
    <w:rsid w:val="6D7E312C"/>
    <w:rsid w:val="6D7E46BA"/>
    <w:rsid w:val="6D7E5877"/>
    <w:rsid w:val="6D7E660E"/>
    <w:rsid w:val="6D7F1FD2"/>
    <w:rsid w:val="6D7F3FFA"/>
    <w:rsid w:val="6D7F7B76"/>
    <w:rsid w:val="6D8048D6"/>
    <w:rsid w:val="6D811270"/>
    <w:rsid w:val="6D811C77"/>
    <w:rsid w:val="6D8134CB"/>
    <w:rsid w:val="6D814733"/>
    <w:rsid w:val="6D815738"/>
    <w:rsid w:val="6D815972"/>
    <w:rsid w:val="6D82030B"/>
    <w:rsid w:val="6D82064E"/>
    <w:rsid w:val="6D821B12"/>
    <w:rsid w:val="6D821C9F"/>
    <w:rsid w:val="6D8223FC"/>
    <w:rsid w:val="6D822BD3"/>
    <w:rsid w:val="6D823EB2"/>
    <w:rsid w:val="6D8242C6"/>
    <w:rsid w:val="6D82573C"/>
    <w:rsid w:val="6D826AA2"/>
    <w:rsid w:val="6D826D9E"/>
    <w:rsid w:val="6D830243"/>
    <w:rsid w:val="6D830A6D"/>
    <w:rsid w:val="6D831866"/>
    <w:rsid w:val="6D836174"/>
    <w:rsid w:val="6D847121"/>
    <w:rsid w:val="6D847BA7"/>
    <w:rsid w:val="6D853878"/>
    <w:rsid w:val="6D853C9A"/>
    <w:rsid w:val="6D853FBC"/>
    <w:rsid w:val="6D854A1D"/>
    <w:rsid w:val="6D85569A"/>
    <w:rsid w:val="6D855A48"/>
    <w:rsid w:val="6D85733D"/>
    <w:rsid w:val="6D85750E"/>
    <w:rsid w:val="6D86010A"/>
    <w:rsid w:val="6D8617C0"/>
    <w:rsid w:val="6D866D66"/>
    <w:rsid w:val="6D870701"/>
    <w:rsid w:val="6D8718CE"/>
    <w:rsid w:val="6D8749FD"/>
    <w:rsid w:val="6D875C64"/>
    <w:rsid w:val="6D877A12"/>
    <w:rsid w:val="6D8819DC"/>
    <w:rsid w:val="6D881FDC"/>
    <w:rsid w:val="6D88378A"/>
    <w:rsid w:val="6D890558"/>
    <w:rsid w:val="6D890A95"/>
    <w:rsid w:val="6D894333"/>
    <w:rsid w:val="6D896CA6"/>
    <w:rsid w:val="6D8A305E"/>
    <w:rsid w:val="6D8A457D"/>
    <w:rsid w:val="6D8A5754"/>
    <w:rsid w:val="6D8A5B06"/>
    <w:rsid w:val="6D8A5DBB"/>
    <w:rsid w:val="6D8A7502"/>
    <w:rsid w:val="6D8B0F4C"/>
    <w:rsid w:val="6D8B1D1F"/>
    <w:rsid w:val="6D8B4173"/>
    <w:rsid w:val="6D8B4605"/>
    <w:rsid w:val="6D8B494D"/>
    <w:rsid w:val="6D8B4B59"/>
    <w:rsid w:val="6D8B588B"/>
    <w:rsid w:val="6D8C1837"/>
    <w:rsid w:val="6D8C36B9"/>
    <w:rsid w:val="6D8C4DF7"/>
    <w:rsid w:val="6D8D0DA1"/>
    <w:rsid w:val="6D8D2B4F"/>
    <w:rsid w:val="6D8E1708"/>
    <w:rsid w:val="6D8E17B3"/>
    <w:rsid w:val="6D8E61F1"/>
    <w:rsid w:val="6D8E6720"/>
    <w:rsid w:val="6D8E6A7C"/>
    <w:rsid w:val="6D8F4B19"/>
    <w:rsid w:val="6D8F5499"/>
    <w:rsid w:val="6D8F5E6C"/>
    <w:rsid w:val="6D9003EF"/>
    <w:rsid w:val="6D9013F8"/>
    <w:rsid w:val="6D901B30"/>
    <w:rsid w:val="6D904D20"/>
    <w:rsid w:val="6D910891"/>
    <w:rsid w:val="6D91216D"/>
    <w:rsid w:val="6D9161F7"/>
    <w:rsid w:val="6D917E8F"/>
    <w:rsid w:val="6D920165"/>
    <w:rsid w:val="6D923A3D"/>
    <w:rsid w:val="6D925B74"/>
    <w:rsid w:val="6D927784"/>
    <w:rsid w:val="6D9304B1"/>
    <w:rsid w:val="6D932B4F"/>
    <w:rsid w:val="6D93649F"/>
    <w:rsid w:val="6D943EDD"/>
    <w:rsid w:val="6D947FDD"/>
    <w:rsid w:val="6D947FFC"/>
    <w:rsid w:val="6D95010D"/>
    <w:rsid w:val="6D9511F5"/>
    <w:rsid w:val="6D951258"/>
    <w:rsid w:val="6D95190B"/>
    <w:rsid w:val="6D960632"/>
    <w:rsid w:val="6D961B55"/>
    <w:rsid w:val="6D962BFF"/>
    <w:rsid w:val="6D964261"/>
    <w:rsid w:val="6D967037"/>
    <w:rsid w:val="6D967C55"/>
    <w:rsid w:val="6D9711A5"/>
    <w:rsid w:val="6D9739CD"/>
    <w:rsid w:val="6D975485"/>
    <w:rsid w:val="6D977578"/>
    <w:rsid w:val="6D981C1F"/>
    <w:rsid w:val="6D986097"/>
    <w:rsid w:val="6D9871CC"/>
    <w:rsid w:val="6D992397"/>
    <w:rsid w:val="6D997745"/>
    <w:rsid w:val="6D9A130C"/>
    <w:rsid w:val="6D9A1AF8"/>
    <w:rsid w:val="6D9A4605"/>
    <w:rsid w:val="6D9A4D95"/>
    <w:rsid w:val="6D9A4E9B"/>
    <w:rsid w:val="6D9A532F"/>
    <w:rsid w:val="6D9A57B3"/>
    <w:rsid w:val="6D9A7D95"/>
    <w:rsid w:val="6D9B062E"/>
    <w:rsid w:val="6D9B34BE"/>
    <w:rsid w:val="6D9B716A"/>
    <w:rsid w:val="6D9B7A7A"/>
    <w:rsid w:val="6D9C177A"/>
    <w:rsid w:val="6D9C41A2"/>
    <w:rsid w:val="6D9C5AA7"/>
    <w:rsid w:val="6D9C7755"/>
    <w:rsid w:val="6D9D4134"/>
    <w:rsid w:val="6D9E2685"/>
    <w:rsid w:val="6D9E2FAE"/>
    <w:rsid w:val="6D9E5D17"/>
    <w:rsid w:val="6D9E6B0A"/>
    <w:rsid w:val="6D9E7B72"/>
    <w:rsid w:val="6D9F2668"/>
    <w:rsid w:val="6D9F61B7"/>
    <w:rsid w:val="6DA02882"/>
    <w:rsid w:val="6DA02C5B"/>
    <w:rsid w:val="6DA06D26"/>
    <w:rsid w:val="6DA07A76"/>
    <w:rsid w:val="6DA118D9"/>
    <w:rsid w:val="6DA1220C"/>
    <w:rsid w:val="6DA1359F"/>
    <w:rsid w:val="6DA138A8"/>
    <w:rsid w:val="6DA14587"/>
    <w:rsid w:val="6DA1476C"/>
    <w:rsid w:val="6DA20437"/>
    <w:rsid w:val="6DA22436"/>
    <w:rsid w:val="6DA22A9E"/>
    <w:rsid w:val="6DA23527"/>
    <w:rsid w:val="6DA2484C"/>
    <w:rsid w:val="6DA25BE6"/>
    <w:rsid w:val="6DA265FA"/>
    <w:rsid w:val="6DA305C4"/>
    <w:rsid w:val="6DA31966"/>
    <w:rsid w:val="6DA31E1B"/>
    <w:rsid w:val="6DA32372"/>
    <w:rsid w:val="6DA338E8"/>
    <w:rsid w:val="6DA338EA"/>
    <w:rsid w:val="6DA36865"/>
    <w:rsid w:val="6DA43390"/>
    <w:rsid w:val="6DA46816"/>
    <w:rsid w:val="6DA46EF9"/>
    <w:rsid w:val="6DA50C70"/>
    <w:rsid w:val="6DA51FEE"/>
    <w:rsid w:val="6DA5433C"/>
    <w:rsid w:val="6DA560EA"/>
    <w:rsid w:val="6DA575B4"/>
    <w:rsid w:val="6DA615A7"/>
    <w:rsid w:val="6DA63D6E"/>
    <w:rsid w:val="6DA73C10"/>
    <w:rsid w:val="6DA74366"/>
    <w:rsid w:val="6DA7784F"/>
    <w:rsid w:val="6DA8304E"/>
    <w:rsid w:val="6DA86868"/>
    <w:rsid w:val="6DA90BA5"/>
    <w:rsid w:val="6DA91F67"/>
    <w:rsid w:val="6DA92627"/>
    <w:rsid w:val="6DA93E2C"/>
    <w:rsid w:val="6DA94EBA"/>
    <w:rsid w:val="6DA9779C"/>
    <w:rsid w:val="6DAA04FF"/>
    <w:rsid w:val="6DAA3701"/>
    <w:rsid w:val="6DAB0E5C"/>
    <w:rsid w:val="6DAB2B9D"/>
    <w:rsid w:val="6DAB2C8A"/>
    <w:rsid w:val="6DAB2FF5"/>
    <w:rsid w:val="6DAB3227"/>
    <w:rsid w:val="6DAB5E84"/>
    <w:rsid w:val="6DAB6812"/>
    <w:rsid w:val="6DAB78BD"/>
    <w:rsid w:val="6DAC0A9C"/>
    <w:rsid w:val="6DAC1227"/>
    <w:rsid w:val="6DAC209A"/>
    <w:rsid w:val="6DAC35D9"/>
    <w:rsid w:val="6DAC407C"/>
    <w:rsid w:val="6DAD4F9F"/>
    <w:rsid w:val="6DAE0702"/>
    <w:rsid w:val="6DAE1443"/>
    <w:rsid w:val="6DAE38F5"/>
    <w:rsid w:val="6DAE4ED6"/>
    <w:rsid w:val="6DAF0097"/>
    <w:rsid w:val="6DAF2A8F"/>
    <w:rsid w:val="6DAF6549"/>
    <w:rsid w:val="6DB00603"/>
    <w:rsid w:val="6DB01464"/>
    <w:rsid w:val="6DB01507"/>
    <w:rsid w:val="6DB106DC"/>
    <w:rsid w:val="6DB12CE1"/>
    <w:rsid w:val="6DB13A3A"/>
    <w:rsid w:val="6DB141CC"/>
    <w:rsid w:val="6DB17432"/>
    <w:rsid w:val="6DB17AA4"/>
    <w:rsid w:val="6DB222F9"/>
    <w:rsid w:val="6DB225B5"/>
    <w:rsid w:val="6DB2406B"/>
    <w:rsid w:val="6DB24ECA"/>
    <w:rsid w:val="6DB34248"/>
    <w:rsid w:val="6DB34E43"/>
    <w:rsid w:val="6DB35777"/>
    <w:rsid w:val="6DB36661"/>
    <w:rsid w:val="6DB436C8"/>
    <w:rsid w:val="6DB467B1"/>
    <w:rsid w:val="6DB477EA"/>
    <w:rsid w:val="6DB51579"/>
    <w:rsid w:val="6DB523BB"/>
    <w:rsid w:val="6DB531BA"/>
    <w:rsid w:val="6DB537A8"/>
    <w:rsid w:val="6DB547F6"/>
    <w:rsid w:val="6DB571B8"/>
    <w:rsid w:val="6DB6259F"/>
    <w:rsid w:val="6DB63516"/>
    <w:rsid w:val="6DB63E53"/>
    <w:rsid w:val="6DB6508F"/>
    <w:rsid w:val="6DB664F7"/>
    <w:rsid w:val="6DB66549"/>
    <w:rsid w:val="6DB672DB"/>
    <w:rsid w:val="6DB7026B"/>
    <w:rsid w:val="6DB7071D"/>
    <w:rsid w:val="6DB708FE"/>
    <w:rsid w:val="6DB710DC"/>
    <w:rsid w:val="6DB717A9"/>
    <w:rsid w:val="6DB71DF6"/>
    <w:rsid w:val="6DB73E89"/>
    <w:rsid w:val="6DB74CDB"/>
    <w:rsid w:val="6DB75630"/>
    <w:rsid w:val="6DB76401"/>
    <w:rsid w:val="6DB8011B"/>
    <w:rsid w:val="6DB80D3C"/>
    <w:rsid w:val="6DB8130B"/>
    <w:rsid w:val="6DB8406F"/>
    <w:rsid w:val="6DB85E1E"/>
    <w:rsid w:val="6DB9034D"/>
    <w:rsid w:val="6DB909B8"/>
    <w:rsid w:val="6DB914CC"/>
    <w:rsid w:val="6DB920FA"/>
    <w:rsid w:val="6DB93944"/>
    <w:rsid w:val="6DB95438"/>
    <w:rsid w:val="6DBA2EED"/>
    <w:rsid w:val="6DBA365C"/>
    <w:rsid w:val="6DBA429F"/>
    <w:rsid w:val="6DBA4969"/>
    <w:rsid w:val="6DBA50FC"/>
    <w:rsid w:val="6DBB1ABC"/>
    <w:rsid w:val="6DBB3B60"/>
    <w:rsid w:val="6DBB6731"/>
    <w:rsid w:val="6DBB6DE3"/>
    <w:rsid w:val="6DBC08FF"/>
    <w:rsid w:val="6DBC51E2"/>
    <w:rsid w:val="6DBC5F7C"/>
    <w:rsid w:val="6DBC6650"/>
    <w:rsid w:val="6DBC6FE7"/>
    <w:rsid w:val="6DBD1686"/>
    <w:rsid w:val="6DBD2CA0"/>
    <w:rsid w:val="6DBD3434"/>
    <w:rsid w:val="6DBD4ED3"/>
    <w:rsid w:val="6DBD5675"/>
    <w:rsid w:val="6DBE0F5A"/>
    <w:rsid w:val="6DBE1EA2"/>
    <w:rsid w:val="6DBE346D"/>
    <w:rsid w:val="6DBE4035"/>
    <w:rsid w:val="6DBE5C24"/>
    <w:rsid w:val="6DBE69DD"/>
    <w:rsid w:val="6DBE6BAF"/>
    <w:rsid w:val="6DBE6D91"/>
    <w:rsid w:val="6DBF603E"/>
    <w:rsid w:val="6DBF747A"/>
    <w:rsid w:val="6DC01176"/>
    <w:rsid w:val="6DC029FB"/>
    <w:rsid w:val="6DC02F24"/>
    <w:rsid w:val="6DC0325B"/>
    <w:rsid w:val="6DC04CD2"/>
    <w:rsid w:val="6DC05D8D"/>
    <w:rsid w:val="6DC05DDE"/>
    <w:rsid w:val="6DC063F4"/>
    <w:rsid w:val="6DC15086"/>
    <w:rsid w:val="6DC15643"/>
    <w:rsid w:val="6DC20257"/>
    <w:rsid w:val="6DC24F18"/>
    <w:rsid w:val="6DC312EF"/>
    <w:rsid w:val="6DC3327E"/>
    <w:rsid w:val="6DC36570"/>
    <w:rsid w:val="6DC36F56"/>
    <w:rsid w:val="6DC42A14"/>
    <w:rsid w:val="6DC431D2"/>
    <w:rsid w:val="6DC45789"/>
    <w:rsid w:val="6DC50478"/>
    <w:rsid w:val="6DC5053A"/>
    <w:rsid w:val="6DC524CA"/>
    <w:rsid w:val="6DC55FAB"/>
    <w:rsid w:val="6DC5678C"/>
    <w:rsid w:val="6DC710C7"/>
    <w:rsid w:val="6DC72505"/>
    <w:rsid w:val="6DC747D0"/>
    <w:rsid w:val="6DC76143"/>
    <w:rsid w:val="6DC76E76"/>
    <w:rsid w:val="6DC80CEB"/>
    <w:rsid w:val="6DC81346"/>
    <w:rsid w:val="6DC86826"/>
    <w:rsid w:val="6DC9002B"/>
    <w:rsid w:val="6DC91645"/>
    <w:rsid w:val="6DC91765"/>
    <w:rsid w:val="6DCA0C8F"/>
    <w:rsid w:val="6DCA1C8C"/>
    <w:rsid w:val="6DCA1E81"/>
    <w:rsid w:val="6DCA3150"/>
    <w:rsid w:val="6DCA3DA3"/>
    <w:rsid w:val="6DCA5B51"/>
    <w:rsid w:val="6DCB2C93"/>
    <w:rsid w:val="6DCB45E0"/>
    <w:rsid w:val="6DCB5960"/>
    <w:rsid w:val="6DCC0641"/>
    <w:rsid w:val="6DCC18C9"/>
    <w:rsid w:val="6DCC3677"/>
    <w:rsid w:val="6DCC4C5A"/>
    <w:rsid w:val="6DCC78D5"/>
    <w:rsid w:val="6DCD4FE4"/>
    <w:rsid w:val="6DCD69E4"/>
    <w:rsid w:val="6DCD6AE2"/>
    <w:rsid w:val="6DCD782D"/>
    <w:rsid w:val="6DCE5641"/>
    <w:rsid w:val="6DCE5BFC"/>
    <w:rsid w:val="6DCF05AE"/>
    <w:rsid w:val="6DCF10C7"/>
    <w:rsid w:val="6DCF1539"/>
    <w:rsid w:val="6DCF1F2A"/>
    <w:rsid w:val="6DCF2CF2"/>
    <w:rsid w:val="6DCF4F15"/>
    <w:rsid w:val="6DCF5E98"/>
    <w:rsid w:val="6DCF6A00"/>
    <w:rsid w:val="6DCF7E7E"/>
    <w:rsid w:val="6DD0012D"/>
    <w:rsid w:val="6DD003B5"/>
    <w:rsid w:val="6DD02D95"/>
    <w:rsid w:val="6DD0461D"/>
    <w:rsid w:val="6DD052C7"/>
    <w:rsid w:val="6DD06FC2"/>
    <w:rsid w:val="6DD10C8D"/>
    <w:rsid w:val="6DD1172F"/>
    <w:rsid w:val="6DD21820"/>
    <w:rsid w:val="6DD22128"/>
    <w:rsid w:val="6DD23AE8"/>
    <w:rsid w:val="6DD24A05"/>
    <w:rsid w:val="6DD251DE"/>
    <w:rsid w:val="6DD2627A"/>
    <w:rsid w:val="6DD30EA9"/>
    <w:rsid w:val="6DD32900"/>
    <w:rsid w:val="6DD32E9C"/>
    <w:rsid w:val="6DD33D44"/>
    <w:rsid w:val="6DD462AF"/>
    <w:rsid w:val="6DD5392E"/>
    <w:rsid w:val="6DD53C0F"/>
    <w:rsid w:val="6DD54C21"/>
    <w:rsid w:val="6DD5603F"/>
    <w:rsid w:val="6DD57D41"/>
    <w:rsid w:val="6DD6088C"/>
    <w:rsid w:val="6DD62748"/>
    <w:rsid w:val="6DD62CAD"/>
    <w:rsid w:val="6DD62FE1"/>
    <w:rsid w:val="6DD63457"/>
    <w:rsid w:val="6DD63D66"/>
    <w:rsid w:val="6DD642C4"/>
    <w:rsid w:val="6DD644F6"/>
    <w:rsid w:val="6DD662A4"/>
    <w:rsid w:val="6DD704F7"/>
    <w:rsid w:val="6DD729BC"/>
    <w:rsid w:val="6DD74F45"/>
    <w:rsid w:val="6DD7791C"/>
    <w:rsid w:val="6DD8201C"/>
    <w:rsid w:val="6DD82FCF"/>
    <w:rsid w:val="6DD840A3"/>
    <w:rsid w:val="6DD85C65"/>
    <w:rsid w:val="6DD864C0"/>
    <w:rsid w:val="6DD91F01"/>
    <w:rsid w:val="6DD93A7C"/>
    <w:rsid w:val="6DDA0CF1"/>
    <w:rsid w:val="6DDA1504"/>
    <w:rsid w:val="6DDA2238"/>
    <w:rsid w:val="6DDA2E80"/>
    <w:rsid w:val="6DDA3F92"/>
    <w:rsid w:val="6DDA7097"/>
    <w:rsid w:val="6DDB185C"/>
    <w:rsid w:val="6DDB2F70"/>
    <w:rsid w:val="6DDB5FB0"/>
    <w:rsid w:val="6DDB64CE"/>
    <w:rsid w:val="6DDB691A"/>
    <w:rsid w:val="6DDB7D5E"/>
    <w:rsid w:val="6DDC5565"/>
    <w:rsid w:val="6DDC6F6C"/>
    <w:rsid w:val="6DDC7067"/>
    <w:rsid w:val="6DDC764B"/>
    <w:rsid w:val="6DDD2EAF"/>
    <w:rsid w:val="6DDD3AD6"/>
    <w:rsid w:val="6DDD4417"/>
    <w:rsid w:val="6DDD5884"/>
    <w:rsid w:val="6DDD69F5"/>
    <w:rsid w:val="6DDD73F0"/>
    <w:rsid w:val="6DDD74F4"/>
    <w:rsid w:val="6DDD7632"/>
    <w:rsid w:val="6DDD7E70"/>
    <w:rsid w:val="6DDD7FA7"/>
    <w:rsid w:val="6DDE33AA"/>
    <w:rsid w:val="6DDE3FA6"/>
    <w:rsid w:val="6DDE4802"/>
    <w:rsid w:val="6DDF12F7"/>
    <w:rsid w:val="6DDF271A"/>
    <w:rsid w:val="6DDF5378"/>
    <w:rsid w:val="6DE008D3"/>
    <w:rsid w:val="6DE02980"/>
    <w:rsid w:val="6DE035C6"/>
    <w:rsid w:val="6DE05280"/>
    <w:rsid w:val="6DE07122"/>
    <w:rsid w:val="6DE13A12"/>
    <w:rsid w:val="6DE14BFD"/>
    <w:rsid w:val="6DE210EC"/>
    <w:rsid w:val="6DE218FD"/>
    <w:rsid w:val="6DE22623"/>
    <w:rsid w:val="6DE24239"/>
    <w:rsid w:val="6DE24C48"/>
    <w:rsid w:val="6DE2733E"/>
    <w:rsid w:val="6DE32544"/>
    <w:rsid w:val="6DE365A2"/>
    <w:rsid w:val="6DE36729"/>
    <w:rsid w:val="6DE36C13"/>
    <w:rsid w:val="6DE41CDF"/>
    <w:rsid w:val="6DE42E5A"/>
    <w:rsid w:val="6DE44E65"/>
    <w:rsid w:val="6DE46C76"/>
    <w:rsid w:val="6DE47F5D"/>
    <w:rsid w:val="6DE50BDD"/>
    <w:rsid w:val="6DE5124D"/>
    <w:rsid w:val="6DE51F44"/>
    <w:rsid w:val="6DE5298B"/>
    <w:rsid w:val="6DE541BD"/>
    <w:rsid w:val="6DE57D58"/>
    <w:rsid w:val="6DE57FF7"/>
    <w:rsid w:val="6DE60142"/>
    <w:rsid w:val="6DE64007"/>
    <w:rsid w:val="6DE64EE1"/>
    <w:rsid w:val="6DE652A6"/>
    <w:rsid w:val="6DE704B1"/>
    <w:rsid w:val="6DE71743"/>
    <w:rsid w:val="6DE733D6"/>
    <w:rsid w:val="6DE7435E"/>
    <w:rsid w:val="6DE74955"/>
    <w:rsid w:val="6DE75D76"/>
    <w:rsid w:val="6DE76D4A"/>
    <w:rsid w:val="6DE8373F"/>
    <w:rsid w:val="6DE85C69"/>
    <w:rsid w:val="6DE85FD7"/>
    <w:rsid w:val="6DE90E7C"/>
    <w:rsid w:val="6DE9247B"/>
    <w:rsid w:val="6DE9321C"/>
    <w:rsid w:val="6DE9463C"/>
    <w:rsid w:val="6DE95AE1"/>
    <w:rsid w:val="6DEA0635"/>
    <w:rsid w:val="6DEA11B3"/>
    <w:rsid w:val="6DEA61F3"/>
    <w:rsid w:val="6DEA6790"/>
    <w:rsid w:val="6DEA7FA1"/>
    <w:rsid w:val="6DEB1FF1"/>
    <w:rsid w:val="6DEB25C2"/>
    <w:rsid w:val="6DEB3A2C"/>
    <w:rsid w:val="6DEB53E0"/>
    <w:rsid w:val="6DEB75B9"/>
    <w:rsid w:val="6DEC063D"/>
    <w:rsid w:val="6DEC1F6B"/>
    <w:rsid w:val="6DEC407D"/>
    <w:rsid w:val="6DEC45DD"/>
    <w:rsid w:val="6DEC46A1"/>
    <w:rsid w:val="6DEC5AC7"/>
    <w:rsid w:val="6DED0127"/>
    <w:rsid w:val="6DED20AA"/>
    <w:rsid w:val="6DED37B3"/>
    <w:rsid w:val="6DED66D5"/>
    <w:rsid w:val="6DED6714"/>
    <w:rsid w:val="6DED71FA"/>
    <w:rsid w:val="6DEE0E0A"/>
    <w:rsid w:val="6DEE183F"/>
    <w:rsid w:val="6DEE1CF1"/>
    <w:rsid w:val="6DEE3325"/>
    <w:rsid w:val="6DEE5CE3"/>
    <w:rsid w:val="6DEE7625"/>
    <w:rsid w:val="6DEE7A91"/>
    <w:rsid w:val="6DEF61E5"/>
    <w:rsid w:val="6DF0182B"/>
    <w:rsid w:val="6DF02224"/>
    <w:rsid w:val="6DF0426A"/>
    <w:rsid w:val="6DF05E6F"/>
    <w:rsid w:val="6DF1132F"/>
    <w:rsid w:val="6DF12C29"/>
    <w:rsid w:val="6DF14FFA"/>
    <w:rsid w:val="6DF162FB"/>
    <w:rsid w:val="6DF17581"/>
    <w:rsid w:val="6DF22BF9"/>
    <w:rsid w:val="6DF3009E"/>
    <w:rsid w:val="6DF34CD9"/>
    <w:rsid w:val="6DF350A8"/>
    <w:rsid w:val="6DF355CF"/>
    <w:rsid w:val="6DF356AE"/>
    <w:rsid w:val="6DF36E56"/>
    <w:rsid w:val="6DF4088F"/>
    <w:rsid w:val="6DF40E20"/>
    <w:rsid w:val="6DF42BCE"/>
    <w:rsid w:val="6DF46B4F"/>
    <w:rsid w:val="6DF5784D"/>
    <w:rsid w:val="6DF57E44"/>
    <w:rsid w:val="6DF606F4"/>
    <w:rsid w:val="6DF60CDD"/>
    <w:rsid w:val="6DF6187E"/>
    <w:rsid w:val="6DF66946"/>
    <w:rsid w:val="6DF760F1"/>
    <w:rsid w:val="6DF77990"/>
    <w:rsid w:val="6DF8036A"/>
    <w:rsid w:val="6DF80910"/>
    <w:rsid w:val="6DF8159F"/>
    <w:rsid w:val="6DF826BE"/>
    <w:rsid w:val="6DF82E54"/>
    <w:rsid w:val="6DF835FD"/>
    <w:rsid w:val="6DF83AD0"/>
    <w:rsid w:val="6DF8446C"/>
    <w:rsid w:val="6DF90D27"/>
    <w:rsid w:val="6DF91888"/>
    <w:rsid w:val="6DF94F36"/>
    <w:rsid w:val="6DF95EC8"/>
    <w:rsid w:val="6DFA093D"/>
    <w:rsid w:val="6DFA0AEE"/>
    <w:rsid w:val="6DFA1D1E"/>
    <w:rsid w:val="6DFA4CC9"/>
    <w:rsid w:val="6DFB3F5C"/>
    <w:rsid w:val="6DFB5D0A"/>
    <w:rsid w:val="6DFC784E"/>
    <w:rsid w:val="6DFD08A6"/>
    <w:rsid w:val="6DFD1A82"/>
    <w:rsid w:val="6DFD1D17"/>
    <w:rsid w:val="6DFD568C"/>
    <w:rsid w:val="6DFD7438"/>
    <w:rsid w:val="6DFE3513"/>
    <w:rsid w:val="6DFE5E5C"/>
    <w:rsid w:val="6DFF1EC2"/>
    <w:rsid w:val="6DFF38D5"/>
    <w:rsid w:val="6DFF3A4C"/>
    <w:rsid w:val="6DFF3CF9"/>
    <w:rsid w:val="6DFF3D69"/>
    <w:rsid w:val="6DFF44BF"/>
    <w:rsid w:val="6DFF4DDE"/>
    <w:rsid w:val="6E0000C5"/>
    <w:rsid w:val="6E000BC1"/>
    <w:rsid w:val="6E001573"/>
    <w:rsid w:val="6E002AE5"/>
    <w:rsid w:val="6E002DE1"/>
    <w:rsid w:val="6E00321F"/>
    <w:rsid w:val="6E003712"/>
    <w:rsid w:val="6E004087"/>
    <w:rsid w:val="6E0077C5"/>
    <w:rsid w:val="6E012DF2"/>
    <w:rsid w:val="6E016817"/>
    <w:rsid w:val="6E021FC4"/>
    <w:rsid w:val="6E022A6E"/>
    <w:rsid w:val="6E02353D"/>
    <w:rsid w:val="6E026A1E"/>
    <w:rsid w:val="6E026FBA"/>
    <w:rsid w:val="6E030710"/>
    <w:rsid w:val="6E040818"/>
    <w:rsid w:val="6E041063"/>
    <w:rsid w:val="6E044771"/>
    <w:rsid w:val="6E04566F"/>
    <w:rsid w:val="6E04626A"/>
    <w:rsid w:val="6E055C01"/>
    <w:rsid w:val="6E062BA1"/>
    <w:rsid w:val="6E0641B7"/>
    <w:rsid w:val="6E070B53"/>
    <w:rsid w:val="6E070C3D"/>
    <w:rsid w:val="6E072901"/>
    <w:rsid w:val="6E075955"/>
    <w:rsid w:val="6E076DA5"/>
    <w:rsid w:val="6E077A61"/>
    <w:rsid w:val="6E084582"/>
    <w:rsid w:val="6E085B41"/>
    <w:rsid w:val="6E087B62"/>
    <w:rsid w:val="6E09100A"/>
    <w:rsid w:val="6E092B26"/>
    <w:rsid w:val="6E0948CB"/>
    <w:rsid w:val="6E095305"/>
    <w:rsid w:val="6E09562F"/>
    <w:rsid w:val="6E0A1572"/>
    <w:rsid w:val="6E0A1CA3"/>
    <w:rsid w:val="6E0A23F1"/>
    <w:rsid w:val="6E0A34EA"/>
    <w:rsid w:val="6E0A612C"/>
    <w:rsid w:val="6E0A6B4A"/>
    <w:rsid w:val="6E0A6D90"/>
    <w:rsid w:val="6E0A6EA2"/>
    <w:rsid w:val="6E0A70DC"/>
    <w:rsid w:val="6E0B036D"/>
    <w:rsid w:val="6E0B1A73"/>
    <w:rsid w:val="6E0B4933"/>
    <w:rsid w:val="6E0B64EA"/>
    <w:rsid w:val="6E0C0EA1"/>
    <w:rsid w:val="6E0C237E"/>
    <w:rsid w:val="6E0C6169"/>
    <w:rsid w:val="6E0C62AD"/>
    <w:rsid w:val="6E0C7F17"/>
    <w:rsid w:val="6E0D0088"/>
    <w:rsid w:val="6E0D1640"/>
    <w:rsid w:val="6E0D41DB"/>
    <w:rsid w:val="6E0D4393"/>
    <w:rsid w:val="6E0D6F64"/>
    <w:rsid w:val="6E0E03F4"/>
    <w:rsid w:val="6E0E5A3E"/>
    <w:rsid w:val="6E0E6033"/>
    <w:rsid w:val="6E0F5979"/>
    <w:rsid w:val="6E0F7A08"/>
    <w:rsid w:val="6E1014A2"/>
    <w:rsid w:val="6E102AB4"/>
    <w:rsid w:val="6E104395"/>
    <w:rsid w:val="6E10454B"/>
    <w:rsid w:val="6E106A42"/>
    <w:rsid w:val="6E107711"/>
    <w:rsid w:val="6E10777C"/>
    <w:rsid w:val="6E110BE0"/>
    <w:rsid w:val="6E111AF6"/>
    <w:rsid w:val="6E112438"/>
    <w:rsid w:val="6E113780"/>
    <w:rsid w:val="6E1154EF"/>
    <w:rsid w:val="6E11552E"/>
    <w:rsid w:val="6E1158E4"/>
    <w:rsid w:val="6E120BCE"/>
    <w:rsid w:val="6E124ACF"/>
    <w:rsid w:val="6E1312A6"/>
    <w:rsid w:val="6E132DD6"/>
    <w:rsid w:val="6E1356C7"/>
    <w:rsid w:val="6E1360AA"/>
    <w:rsid w:val="6E136FC8"/>
    <w:rsid w:val="6E137F9B"/>
    <w:rsid w:val="6E142BB2"/>
    <w:rsid w:val="6E144266"/>
    <w:rsid w:val="6E14501E"/>
    <w:rsid w:val="6E14564B"/>
    <w:rsid w:val="6E1461A6"/>
    <w:rsid w:val="6E146DCC"/>
    <w:rsid w:val="6E152767"/>
    <w:rsid w:val="6E153270"/>
    <w:rsid w:val="6E155830"/>
    <w:rsid w:val="6E160D96"/>
    <w:rsid w:val="6E162B44"/>
    <w:rsid w:val="6E163300"/>
    <w:rsid w:val="6E166B86"/>
    <w:rsid w:val="6E166FE8"/>
    <w:rsid w:val="6E170742"/>
    <w:rsid w:val="6E1713F2"/>
    <w:rsid w:val="6E171D4A"/>
    <w:rsid w:val="6E173DA5"/>
    <w:rsid w:val="6E1804E6"/>
    <w:rsid w:val="6E1814A6"/>
    <w:rsid w:val="6E182D60"/>
    <w:rsid w:val="6E183EF5"/>
    <w:rsid w:val="6E18687F"/>
    <w:rsid w:val="6E1868BC"/>
    <w:rsid w:val="6E187783"/>
    <w:rsid w:val="6E190AB3"/>
    <w:rsid w:val="6E192B1B"/>
    <w:rsid w:val="6E193A1A"/>
    <w:rsid w:val="6E1A7A74"/>
    <w:rsid w:val="6E1A7A85"/>
    <w:rsid w:val="6E1B37F7"/>
    <w:rsid w:val="6E1B37F9"/>
    <w:rsid w:val="6E1B45FE"/>
    <w:rsid w:val="6E1B5947"/>
    <w:rsid w:val="6E1B63AC"/>
    <w:rsid w:val="6E1B6B26"/>
    <w:rsid w:val="6E1C4845"/>
    <w:rsid w:val="6E1C5DFB"/>
    <w:rsid w:val="6E1C64D5"/>
    <w:rsid w:val="6E1D0376"/>
    <w:rsid w:val="6E1D2124"/>
    <w:rsid w:val="6E1D6833"/>
    <w:rsid w:val="6E1D7ADD"/>
    <w:rsid w:val="6E1D7E40"/>
    <w:rsid w:val="6E1E4550"/>
    <w:rsid w:val="6E1E5318"/>
    <w:rsid w:val="6E1E73FF"/>
    <w:rsid w:val="6E1E7EE9"/>
    <w:rsid w:val="6E1F5E9D"/>
    <w:rsid w:val="6E20125F"/>
    <w:rsid w:val="6E201C15"/>
    <w:rsid w:val="6E202840"/>
    <w:rsid w:val="6E2048D9"/>
    <w:rsid w:val="6E205C8E"/>
    <w:rsid w:val="6E2123B7"/>
    <w:rsid w:val="6E221611"/>
    <w:rsid w:val="6E22170A"/>
    <w:rsid w:val="6E2230D2"/>
    <w:rsid w:val="6E22598D"/>
    <w:rsid w:val="6E2301B5"/>
    <w:rsid w:val="6E23688A"/>
    <w:rsid w:val="6E24196E"/>
    <w:rsid w:val="6E24261A"/>
    <w:rsid w:val="6E2434B3"/>
    <w:rsid w:val="6E244BAD"/>
    <w:rsid w:val="6E250AD5"/>
    <w:rsid w:val="6E250FD9"/>
    <w:rsid w:val="6E251EEF"/>
    <w:rsid w:val="6E252C93"/>
    <w:rsid w:val="6E253AAA"/>
    <w:rsid w:val="6E2562DE"/>
    <w:rsid w:val="6E25637F"/>
    <w:rsid w:val="6E261968"/>
    <w:rsid w:val="6E26547D"/>
    <w:rsid w:val="6E265A59"/>
    <w:rsid w:val="6E26799E"/>
    <w:rsid w:val="6E272E6B"/>
    <w:rsid w:val="6E272FA3"/>
    <w:rsid w:val="6E274D51"/>
    <w:rsid w:val="6E276AFF"/>
    <w:rsid w:val="6E281C20"/>
    <w:rsid w:val="6E284443"/>
    <w:rsid w:val="6E290A62"/>
    <w:rsid w:val="6E2943EE"/>
    <w:rsid w:val="6E2949AF"/>
    <w:rsid w:val="6E295C4B"/>
    <w:rsid w:val="6E296D1B"/>
    <w:rsid w:val="6E297E68"/>
    <w:rsid w:val="6E2A65EF"/>
    <w:rsid w:val="6E2B0D85"/>
    <w:rsid w:val="6E2B2A93"/>
    <w:rsid w:val="6E2C17AF"/>
    <w:rsid w:val="6E2C3644"/>
    <w:rsid w:val="6E2C4E31"/>
    <w:rsid w:val="6E2C71EF"/>
    <w:rsid w:val="6E2D00F8"/>
    <w:rsid w:val="6E2D246D"/>
    <w:rsid w:val="6E2D397D"/>
    <w:rsid w:val="6E2D4F77"/>
    <w:rsid w:val="6E2E1D79"/>
    <w:rsid w:val="6E2E3F9B"/>
    <w:rsid w:val="6E2E4D54"/>
    <w:rsid w:val="6E2E629D"/>
    <w:rsid w:val="6E2E7D48"/>
    <w:rsid w:val="6E2E7E8E"/>
    <w:rsid w:val="6E2F1219"/>
    <w:rsid w:val="6E2F2834"/>
    <w:rsid w:val="6E2F3C06"/>
    <w:rsid w:val="6E2F5C74"/>
    <w:rsid w:val="6E301E58"/>
    <w:rsid w:val="6E3022FE"/>
    <w:rsid w:val="6E30690B"/>
    <w:rsid w:val="6E311912"/>
    <w:rsid w:val="6E312F45"/>
    <w:rsid w:val="6E313E22"/>
    <w:rsid w:val="6E315515"/>
    <w:rsid w:val="6E31797E"/>
    <w:rsid w:val="6E32075B"/>
    <w:rsid w:val="6E320B57"/>
    <w:rsid w:val="6E320F98"/>
    <w:rsid w:val="6E32134D"/>
    <w:rsid w:val="6E3249F3"/>
    <w:rsid w:val="6E3311DE"/>
    <w:rsid w:val="6E3336F6"/>
    <w:rsid w:val="6E336CED"/>
    <w:rsid w:val="6E337B9A"/>
    <w:rsid w:val="6E337F31"/>
    <w:rsid w:val="6E34121C"/>
    <w:rsid w:val="6E35158A"/>
    <w:rsid w:val="6E35359F"/>
    <w:rsid w:val="6E3556C0"/>
    <w:rsid w:val="6E355CBB"/>
    <w:rsid w:val="6E35746E"/>
    <w:rsid w:val="6E361438"/>
    <w:rsid w:val="6E363782"/>
    <w:rsid w:val="6E365E66"/>
    <w:rsid w:val="6E3670E0"/>
    <w:rsid w:val="6E367A2B"/>
    <w:rsid w:val="6E382BD2"/>
    <w:rsid w:val="6E3851B0"/>
    <w:rsid w:val="6E386F5E"/>
    <w:rsid w:val="6E391026"/>
    <w:rsid w:val="6E396833"/>
    <w:rsid w:val="6E3A2CD6"/>
    <w:rsid w:val="6E3A4A84"/>
    <w:rsid w:val="6E3A5210"/>
    <w:rsid w:val="6E3B6A4F"/>
    <w:rsid w:val="6E3B7411"/>
    <w:rsid w:val="6E3C4083"/>
    <w:rsid w:val="6E3D1FD3"/>
    <w:rsid w:val="6E3D27C7"/>
    <w:rsid w:val="6E3D4BF3"/>
    <w:rsid w:val="6E3D4D64"/>
    <w:rsid w:val="6E3D6A79"/>
    <w:rsid w:val="6E3E14AB"/>
    <w:rsid w:val="6E3E3B02"/>
    <w:rsid w:val="6E3E4DF5"/>
    <w:rsid w:val="6E3E7AAF"/>
    <w:rsid w:val="6E3E7CE2"/>
    <w:rsid w:val="6E3F3ADA"/>
    <w:rsid w:val="6E3F653F"/>
    <w:rsid w:val="6E400501"/>
    <w:rsid w:val="6E401727"/>
    <w:rsid w:val="6E403E81"/>
    <w:rsid w:val="6E4063DF"/>
    <w:rsid w:val="6E4064BE"/>
    <w:rsid w:val="6E411B42"/>
    <w:rsid w:val="6E413F52"/>
    <w:rsid w:val="6E414065"/>
    <w:rsid w:val="6E415143"/>
    <w:rsid w:val="6E423939"/>
    <w:rsid w:val="6E427CFD"/>
    <w:rsid w:val="6E431D4C"/>
    <w:rsid w:val="6E4330EF"/>
    <w:rsid w:val="6E447033"/>
    <w:rsid w:val="6E4476B1"/>
    <w:rsid w:val="6E451BE4"/>
    <w:rsid w:val="6E452BF0"/>
    <w:rsid w:val="6E452E3C"/>
    <w:rsid w:val="6E453429"/>
    <w:rsid w:val="6E454ADD"/>
    <w:rsid w:val="6E46088F"/>
    <w:rsid w:val="6E4678CD"/>
    <w:rsid w:val="6E470694"/>
    <w:rsid w:val="6E470A5E"/>
    <w:rsid w:val="6E480585"/>
    <w:rsid w:val="6E480905"/>
    <w:rsid w:val="6E480C2E"/>
    <w:rsid w:val="6E4829C8"/>
    <w:rsid w:val="6E4859FC"/>
    <w:rsid w:val="6E486BBB"/>
    <w:rsid w:val="6E4902DE"/>
    <w:rsid w:val="6E49116B"/>
    <w:rsid w:val="6E492F1A"/>
    <w:rsid w:val="6E495182"/>
    <w:rsid w:val="6E4A0A40"/>
    <w:rsid w:val="6E4A0A47"/>
    <w:rsid w:val="6E4A50E5"/>
    <w:rsid w:val="6E4A53A7"/>
    <w:rsid w:val="6E4B067C"/>
    <w:rsid w:val="6E4B0BD1"/>
    <w:rsid w:val="6E4B57C5"/>
    <w:rsid w:val="6E4B6F06"/>
    <w:rsid w:val="6E4B75E2"/>
    <w:rsid w:val="6E4C0B81"/>
    <w:rsid w:val="6E4C0C5C"/>
    <w:rsid w:val="6E4C2817"/>
    <w:rsid w:val="6E4C562B"/>
    <w:rsid w:val="6E4D0861"/>
    <w:rsid w:val="6E4D1826"/>
    <w:rsid w:val="6E4D2FFE"/>
    <w:rsid w:val="6E4E154F"/>
    <w:rsid w:val="6E4E3F21"/>
    <w:rsid w:val="6E4E50C4"/>
    <w:rsid w:val="6E4E50F2"/>
    <w:rsid w:val="6E4E661B"/>
    <w:rsid w:val="6E4E6782"/>
    <w:rsid w:val="6E4F03E1"/>
    <w:rsid w:val="6E4F2EAB"/>
    <w:rsid w:val="6E4F2F3F"/>
    <w:rsid w:val="6E4F3F3B"/>
    <w:rsid w:val="6E4F4594"/>
    <w:rsid w:val="6E4F6056"/>
    <w:rsid w:val="6E4F6D17"/>
    <w:rsid w:val="6E501273"/>
    <w:rsid w:val="6E501734"/>
    <w:rsid w:val="6E501DAD"/>
    <w:rsid w:val="6E5042A8"/>
    <w:rsid w:val="6E505671"/>
    <w:rsid w:val="6E505997"/>
    <w:rsid w:val="6E5074AD"/>
    <w:rsid w:val="6E511A7E"/>
    <w:rsid w:val="6E511DCE"/>
    <w:rsid w:val="6E5212E8"/>
    <w:rsid w:val="6E5216B8"/>
    <w:rsid w:val="6E525DD1"/>
    <w:rsid w:val="6E526272"/>
    <w:rsid w:val="6E531FEA"/>
    <w:rsid w:val="6E5328F7"/>
    <w:rsid w:val="6E535B46"/>
    <w:rsid w:val="6E536842"/>
    <w:rsid w:val="6E5375A5"/>
    <w:rsid w:val="6E5378F4"/>
    <w:rsid w:val="6E542195"/>
    <w:rsid w:val="6E54236D"/>
    <w:rsid w:val="6E542684"/>
    <w:rsid w:val="6E54779E"/>
    <w:rsid w:val="6E547FB8"/>
    <w:rsid w:val="6E5518BE"/>
    <w:rsid w:val="6E5519D5"/>
    <w:rsid w:val="6E5560DD"/>
    <w:rsid w:val="6E5604EA"/>
    <w:rsid w:val="6E56311D"/>
    <w:rsid w:val="6E56369A"/>
    <w:rsid w:val="6E567FDC"/>
    <w:rsid w:val="6E572F02"/>
    <w:rsid w:val="6E573EED"/>
    <w:rsid w:val="6E5803D1"/>
    <w:rsid w:val="6E5805C6"/>
    <w:rsid w:val="6E582668"/>
    <w:rsid w:val="6E58315D"/>
    <w:rsid w:val="6E583F49"/>
    <w:rsid w:val="6E587601"/>
    <w:rsid w:val="6E591E5A"/>
    <w:rsid w:val="6E591F79"/>
    <w:rsid w:val="6E596DFE"/>
    <w:rsid w:val="6E5A0C83"/>
    <w:rsid w:val="6E5A20E6"/>
    <w:rsid w:val="6E5A2DB5"/>
    <w:rsid w:val="6E5A5CBD"/>
    <w:rsid w:val="6E5B3C84"/>
    <w:rsid w:val="6E5B49FB"/>
    <w:rsid w:val="6E5B69FB"/>
    <w:rsid w:val="6E5B7627"/>
    <w:rsid w:val="6E5C0E9F"/>
    <w:rsid w:val="6E5C19CE"/>
    <w:rsid w:val="6E5C7E29"/>
    <w:rsid w:val="6E5D0773"/>
    <w:rsid w:val="6E5D0F7D"/>
    <w:rsid w:val="6E5D2615"/>
    <w:rsid w:val="6E5D49CC"/>
    <w:rsid w:val="6E5D4C17"/>
    <w:rsid w:val="6E5D69C5"/>
    <w:rsid w:val="6E5D71F9"/>
    <w:rsid w:val="6E5E2434"/>
    <w:rsid w:val="6E5E5A28"/>
    <w:rsid w:val="6E5F0696"/>
    <w:rsid w:val="6E5F098F"/>
    <w:rsid w:val="6E5F1847"/>
    <w:rsid w:val="6E5F54D8"/>
    <w:rsid w:val="6E5F6148"/>
    <w:rsid w:val="6E5F750A"/>
    <w:rsid w:val="6E600263"/>
    <w:rsid w:val="6E600808"/>
    <w:rsid w:val="6E600D0E"/>
    <w:rsid w:val="6E602011"/>
    <w:rsid w:val="6E60221B"/>
    <w:rsid w:val="6E602435"/>
    <w:rsid w:val="6E611811"/>
    <w:rsid w:val="6E614A03"/>
    <w:rsid w:val="6E617A23"/>
    <w:rsid w:val="6E621798"/>
    <w:rsid w:val="6E62222D"/>
    <w:rsid w:val="6E623FDB"/>
    <w:rsid w:val="6E624442"/>
    <w:rsid w:val="6E625D89"/>
    <w:rsid w:val="6E627E38"/>
    <w:rsid w:val="6E63453A"/>
    <w:rsid w:val="6E642616"/>
    <w:rsid w:val="6E645FA5"/>
    <w:rsid w:val="6E647AAD"/>
    <w:rsid w:val="6E650F3D"/>
    <w:rsid w:val="6E65267E"/>
    <w:rsid w:val="6E654F1B"/>
    <w:rsid w:val="6E656E27"/>
    <w:rsid w:val="6E657908"/>
    <w:rsid w:val="6E66062E"/>
    <w:rsid w:val="6E660726"/>
    <w:rsid w:val="6E661D1D"/>
    <w:rsid w:val="6E66587A"/>
    <w:rsid w:val="6E6660B0"/>
    <w:rsid w:val="6E666511"/>
    <w:rsid w:val="6E67025A"/>
    <w:rsid w:val="6E671595"/>
    <w:rsid w:val="6E672517"/>
    <w:rsid w:val="6E672E7A"/>
    <w:rsid w:val="6E67414E"/>
    <w:rsid w:val="6E677844"/>
    <w:rsid w:val="6E6778A5"/>
    <w:rsid w:val="6E682EC4"/>
    <w:rsid w:val="6E6846A0"/>
    <w:rsid w:val="6E686A6C"/>
    <w:rsid w:val="6E686AB1"/>
    <w:rsid w:val="6E686BC9"/>
    <w:rsid w:val="6E68767D"/>
    <w:rsid w:val="6E690E74"/>
    <w:rsid w:val="6E6933A5"/>
    <w:rsid w:val="6E6935BC"/>
    <w:rsid w:val="6E69533E"/>
    <w:rsid w:val="6E69536A"/>
    <w:rsid w:val="6E696972"/>
    <w:rsid w:val="6E6971BB"/>
    <w:rsid w:val="6E6A1D85"/>
    <w:rsid w:val="6E6A2660"/>
    <w:rsid w:val="6E6A3973"/>
    <w:rsid w:val="6E6A3D7F"/>
    <w:rsid w:val="6E6A4F88"/>
    <w:rsid w:val="6E6B0C8A"/>
    <w:rsid w:val="6E6B10E2"/>
    <w:rsid w:val="6E6B4DAF"/>
    <w:rsid w:val="6E6B7C79"/>
    <w:rsid w:val="6E6C09B6"/>
    <w:rsid w:val="6E6C24F1"/>
    <w:rsid w:val="6E6C3E0C"/>
    <w:rsid w:val="6E6C3E68"/>
    <w:rsid w:val="6E6C4E5A"/>
    <w:rsid w:val="6E6C605B"/>
    <w:rsid w:val="6E6C623F"/>
    <w:rsid w:val="6E6D25E6"/>
    <w:rsid w:val="6E6E0BD2"/>
    <w:rsid w:val="6E6E1D94"/>
    <w:rsid w:val="6E6E2FC7"/>
    <w:rsid w:val="6E6E3574"/>
    <w:rsid w:val="6E6E6817"/>
    <w:rsid w:val="6E6F4BC0"/>
    <w:rsid w:val="6E6F67D1"/>
    <w:rsid w:val="6E6F6897"/>
    <w:rsid w:val="6E7004A6"/>
    <w:rsid w:val="6E700B4D"/>
    <w:rsid w:val="6E701777"/>
    <w:rsid w:val="6E701BEE"/>
    <w:rsid w:val="6E70494A"/>
    <w:rsid w:val="6E7066F8"/>
    <w:rsid w:val="6E707183"/>
    <w:rsid w:val="6E707D06"/>
    <w:rsid w:val="6E711758"/>
    <w:rsid w:val="6E712470"/>
    <w:rsid w:val="6E7159CD"/>
    <w:rsid w:val="6E717AEC"/>
    <w:rsid w:val="6E7206C2"/>
    <w:rsid w:val="6E7220B1"/>
    <w:rsid w:val="6E725B19"/>
    <w:rsid w:val="6E731D44"/>
    <w:rsid w:val="6E732F6B"/>
    <w:rsid w:val="6E7333EF"/>
    <w:rsid w:val="6E734042"/>
    <w:rsid w:val="6E737080"/>
    <w:rsid w:val="6E737A96"/>
    <w:rsid w:val="6E741745"/>
    <w:rsid w:val="6E745DE6"/>
    <w:rsid w:val="6E7479BE"/>
    <w:rsid w:val="6E756E56"/>
    <w:rsid w:val="6E761835"/>
    <w:rsid w:val="6E761EC2"/>
    <w:rsid w:val="6E76556A"/>
    <w:rsid w:val="6E775CD9"/>
    <w:rsid w:val="6E777A87"/>
    <w:rsid w:val="6E782DA0"/>
    <w:rsid w:val="6E7837FF"/>
    <w:rsid w:val="6E7855AD"/>
    <w:rsid w:val="6E785F23"/>
    <w:rsid w:val="6E786B72"/>
    <w:rsid w:val="6E7878AD"/>
    <w:rsid w:val="6E791F84"/>
    <w:rsid w:val="6E793407"/>
    <w:rsid w:val="6E793DB2"/>
    <w:rsid w:val="6E797603"/>
    <w:rsid w:val="6E7A040C"/>
    <w:rsid w:val="6E7A19E9"/>
    <w:rsid w:val="6E7A1CD3"/>
    <w:rsid w:val="6E7A6C03"/>
    <w:rsid w:val="6E7A71F8"/>
    <w:rsid w:val="6E7B08CD"/>
    <w:rsid w:val="6E7B48A4"/>
    <w:rsid w:val="6E7B54E8"/>
    <w:rsid w:val="6E7C2B72"/>
    <w:rsid w:val="6E7C49C0"/>
    <w:rsid w:val="6E7C5CC3"/>
    <w:rsid w:val="6E7C7264"/>
    <w:rsid w:val="6E7D03FB"/>
    <w:rsid w:val="6E7D2BC3"/>
    <w:rsid w:val="6E7D5B6B"/>
    <w:rsid w:val="6E7D5D39"/>
    <w:rsid w:val="6E7D7805"/>
    <w:rsid w:val="6E7E0555"/>
    <w:rsid w:val="6E7E07C9"/>
    <w:rsid w:val="6E7E0CFD"/>
    <w:rsid w:val="6E7F170D"/>
    <w:rsid w:val="6E7F63F0"/>
    <w:rsid w:val="6E7F693B"/>
    <w:rsid w:val="6E801B94"/>
    <w:rsid w:val="6E8021A5"/>
    <w:rsid w:val="6E802896"/>
    <w:rsid w:val="6E80394C"/>
    <w:rsid w:val="6E804461"/>
    <w:rsid w:val="6E8072C0"/>
    <w:rsid w:val="6E807751"/>
    <w:rsid w:val="6E810905"/>
    <w:rsid w:val="6E8112F5"/>
    <w:rsid w:val="6E8126B3"/>
    <w:rsid w:val="6E8201DA"/>
    <w:rsid w:val="6E820239"/>
    <w:rsid w:val="6E821C36"/>
    <w:rsid w:val="6E82467D"/>
    <w:rsid w:val="6E82642B"/>
    <w:rsid w:val="6E83027E"/>
    <w:rsid w:val="6E831AAD"/>
    <w:rsid w:val="6E833323"/>
    <w:rsid w:val="6E834C0B"/>
    <w:rsid w:val="6E835171"/>
    <w:rsid w:val="6E836CE0"/>
    <w:rsid w:val="6E8444C6"/>
    <w:rsid w:val="6E8473C6"/>
    <w:rsid w:val="6E8504CB"/>
    <w:rsid w:val="6E852A8E"/>
    <w:rsid w:val="6E853194"/>
    <w:rsid w:val="6E854992"/>
    <w:rsid w:val="6E8603F0"/>
    <w:rsid w:val="6E8631A8"/>
    <w:rsid w:val="6E87113B"/>
    <w:rsid w:val="6E873A42"/>
    <w:rsid w:val="6E8757F0"/>
    <w:rsid w:val="6E881C94"/>
    <w:rsid w:val="6E885136"/>
    <w:rsid w:val="6E885AF0"/>
    <w:rsid w:val="6E8873FD"/>
    <w:rsid w:val="6E89169A"/>
    <w:rsid w:val="6E891910"/>
    <w:rsid w:val="6E8932E9"/>
    <w:rsid w:val="6E893520"/>
    <w:rsid w:val="6E893726"/>
    <w:rsid w:val="6E893F2B"/>
    <w:rsid w:val="6E8953EB"/>
    <w:rsid w:val="6E8954CD"/>
    <w:rsid w:val="6E895A0C"/>
    <w:rsid w:val="6E8A2F09"/>
    <w:rsid w:val="6E8A7499"/>
    <w:rsid w:val="6E8B1913"/>
    <w:rsid w:val="6E8B19D2"/>
    <w:rsid w:val="6E8B26EE"/>
    <w:rsid w:val="6E8B4399"/>
    <w:rsid w:val="6E8B4B00"/>
    <w:rsid w:val="6E8B512E"/>
    <w:rsid w:val="6E8B52E0"/>
    <w:rsid w:val="6E8C1058"/>
    <w:rsid w:val="6E8C15DC"/>
    <w:rsid w:val="6E8C4D7E"/>
    <w:rsid w:val="6E8C5943"/>
    <w:rsid w:val="6E8C5DA7"/>
    <w:rsid w:val="6E8C5FDA"/>
    <w:rsid w:val="6E8C6E59"/>
    <w:rsid w:val="6E8D37A1"/>
    <w:rsid w:val="6E8D3D28"/>
    <w:rsid w:val="6E8D5280"/>
    <w:rsid w:val="6E8D72AA"/>
    <w:rsid w:val="6E8D7821"/>
    <w:rsid w:val="6E8E297A"/>
    <w:rsid w:val="6E8E3022"/>
    <w:rsid w:val="6E8E4DD0"/>
    <w:rsid w:val="6E8E5809"/>
    <w:rsid w:val="6E8E7F45"/>
    <w:rsid w:val="6E8F0CDE"/>
    <w:rsid w:val="6E8F31AC"/>
    <w:rsid w:val="6E8F35B1"/>
    <w:rsid w:val="6E8F3A35"/>
    <w:rsid w:val="6E8F5CB6"/>
    <w:rsid w:val="6E8F7F97"/>
    <w:rsid w:val="6E900723"/>
    <w:rsid w:val="6E900BB8"/>
    <w:rsid w:val="6E9015C7"/>
    <w:rsid w:val="6E9028F6"/>
    <w:rsid w:val="6E9039AA"/>
    <w:rsid w:val="6E906BF6"/>
    <w:rsid w:val="6E91041D"/>
    <w:rsid w:val="6E910EE1"/>
    <w:rsid w:val="6E9113E2"/>
    <w:rsid w:val="6E911447"/>
    <w:rsid w:val="6E9119A5"/>
    <w:rsid w:val="6E9128A6"/>
    <w:rsid w:val="6E91491B"/>
    <w:rsid w:val="6E916ACA"/>
    <w:rsid w:val="6E92178E"/>
    <w:rsid w:val="6E922B16"/>
    <w:rsid w:val="6E923636"/>
    <w:rsid w:val="6E92549B"/>
    <w:rsid w:val="6E93126D"/>
    <w:rsid w:val="6E93155A"/>
    <w:rsid w:val="6E931AD3"/>
    <w:rsid w:val="6E932B2B"/>
    <w:rsid w:val="6E933802"/>
    <w:rsid w:val="6E934195"/>
    <w:rsid w:val="6E937BFD"/>
    <w:rsid w:val="6E9437BA"/>
    <w:rsid w:val="6E943FBB"/>
    <w:rsid w:val="6E945148"/>
    <w:rsid w:val="6E945D0C"/>
    <w:rsid w:val="6E947B77"/>
    <w:rsid w:val="6E947F9F"/>
    <w:rsid w:val="6E95001C"/>
    <w:rsid w:val="6E955409"/>
    <w:rsid w:val="6E95544B"/>
    <w:rsid w:val="6E95615F"/>
    <w:rsid w:val="6E957A83"/>
    <w:rsid w:val="6E962958"/>
    <w:rsid w:val="6E97065A"/>
    <w:rsid w:val="6E974D1A"/>
    <w:rsid w:val="6E9764B7"/>
    <w:rsid w:val="6E981926"/>
    <w:rsid w:val="6E982FCD"/>
    <w:rsid w:val="6E983DCC"/>
    <w:rsid w:val="6E983F05"/>
    <w:rsid w:val="6E985A05"/>
    <w:rsid w:val="6E985C4F"/>
    <w:rsid w:val="6E990121"/>
    <w:rsid w:val="6E9956BE"/>
    <w:rsid w:val="6E9A3775"/>
    <w:rsid w:val="6E9A79E9"/>
    <w:rsid w:val="6E9B1322"/>
    <w:rsid w:val="6E9B1D11"/>
    <w:rsid w:val="6E9B4BF6"/>
    <w:rsid w:val="6E9C02AF"/>
    <w:rsid w:val="6E9C573F"/>
    <w:rsid w:val="6E9C74ED"/>
    <w:rsid w:val="6E9D14A6"/>
    <w:rsid w:val="6E9D1B01"/>
    <w:rsid w:val="6E9D3265"/>
    <w:rsid w:val="6E9D506D"/>
    <w:rsid w:val="6E9D724F"/>
    <w:rsid w:val="6E9E267D"/>
    <w:rsid w:val="6E9E3EB9"/>
    <w:rsid w:val="6E9E4599"/>
    <w:rsid w:val="6E9E4B4C"/>
    <w:rsid w:val="6E9F10CE"/>
    <w:rsid w:val="6E9F59DB"/>
    <w:rsid w:val="6E9F6FDD"/>
    <w:rsid w:val="6E9F7071"/>
    <w:rsid w:val="6EA03E7C"/>
    <w:rsid w:val="6EA04B3D"/>
    <w:rsid w:val="6EA04D17"/>
    <w:rsid w:val="6EA06663"/>
    <w:rsid w:val="6EA13529"/>
    <w:rsid w:val="6EA136DF"/>
    <w:rsid w:val="6EA165BF"/>
    <w:rsid w:val="6EA168B2"/>
    <w:rsid w:val="6EA2087C"/>
    <w:rsid w:val="6EA2093D"/>
    <w:rsid w:val="6EA211E0"/>
    <w:rsid w:val="6EA2210A"/>
    <w:rsid w:val="6EA2262A"/>
    <w:rsid w:val="6EA23042"/>
    <w:rsid w:val="6EA25D30"/>
    <w:rsid w:val="6EA41100"/>
    <w:rsid w:val="6EA42B95"/>
    <w:rsid w:val="6EA445F4"/>
    <w:rsid w:val="6EA463A2"/>
    <w:rsid w:val="6EA46B14"/>
    <w:rsid w:val="6EA50915"/>
    <w:rsid w:val="6EA529BE"/>
    <w:rsid w:val="6EA52A23"/>
    <w:rsid w:val="6EA563D0"/>
    <w:rsid w:val="6EA6020E"/>
    <w:rsid w:val="6EA60FA1"/>
    <w:rsid w:val="6EA6162E"/>
    <w:rsid w:val="6EA61BA6"/>
    <w:rsid w:val="6EA65977"/>
    <w:rsid w:val="6EA67204"/>
    <w:rsid w:val="6EA70923"/>
    <w:rsid w:val="6EA72C78"/>
    <w:rsid w:val="6EA74AD7"/>
    <w:rsid w:val="6EA75E92"/>
    <w:rsid w:val="6EA81149"/>
    <w:rsid w:val="6EA81477"/>
    <w:rsid w:val="6EA840E4"/>
    <w:rsid w:val="6EA87263"/>
    <w:rsid w:val="6EA87B8C"/>
    <w:rsid w:val="6EA91C0A"/>
    <w:rsid w:val="6EA91D9E"/>
    <w:rsid w:val="6EA9329A"/>
    <w:rsid w:val="6EA944B1"/>
    <w:rsid w:val="6EA97922"/>
    <w:rsid w:val="6EA97E5C"/>
    <w:rsid w:val="6EAA0DB2"/>
    <w:rsid w:val="6EAA3B3E"/>
    <w:rsid w:val="6EAA3C16"/>
    <w:rsid w:val="6EAA61E1"/>
    <w:rsid w:val="6EAA720E"/>
    <w:rsid w:val="6EAA7474"/>
    <w:rsid w:val="6EAB36F8"/>
    <w:rsid w:val="6EAB3BD4"/>
    <w:rsid w:val="6EAD16FA"/>
    <w:rsid w:val="6EAD245B"/>
    <w:rsid w:val="6EAD2D07"/>
    <w:rsid w:val="6EAD37EE"/>
    <w:rsid w:val="6EAD62A3"/>
    <w:rsid w:val="6EAD7A6A"/>
    <w:rsid w:val="6EAE0FCF"/>
    <w:rsid w:val="6EAE3A30"/>
    <w:rsid w:val="6EAE5472"/>
    <w:rsid w:val="6EAE5FF2"/>
    <w:rsid w:val="6EAF6E1E"/>
    <w:rsid w:val="6EAF7707"/>
    <w:rsid w:val="6EB011EB"/>
    <w:rsid w:val="6EB034E3"/>
    <w:rsid w:val="6EB07E38"/>
    <w:rsid w:val="6EB1286D"/>
    <w:rsid w:val="6EB160B4"/>
    <w:rsid w:val="6EB17E1C"/>
    <w:rsid w:val="6EB20ABF"/>
    <w:rsid w:val="6EB237C2"/>
    <w:rsid w:val="6EB23974"/>
    <w:rsid w:val="6EB26D11"/>
    <w:rsid w:val="6EB32A89"/>
    <w:rsid w:val="6EB331CE"/>
    <w:rsid w:val="6EB34837"/>
    <w:rsid w:val="6EB365AA"/>
    <w:rsid w:val="6EB365E5"/>
    <w:rsid w:val="6EB3767A"/>
    <w:rsid w:val="6EB4031C"/>
    <w:rsid w:val="6EB41E64"/>
    <w:rsid w:val="6EB50775"/>
    <w:rsid w:val="6EB532F4"/>
    <w:rsid w:val="6EB54050"/>
    <w:rsid w:val="6EB557D6"/>
    <w:rsid w:val="6EB61AE4"/>
    <w:rsid w:val="6EB62093"/>
    <w:rsid w:val="6EB67355"/>
    <w:rsid w:val="6EB67E76"/>
    <w:rsid w:val="6EB74086"/>
    <w:rsid w:val="6EB74327"/>
    <w:rsid w:val="6EB762B1"/>
    <w:rsid w:val="6EB7733D"/>
    <w:rsid w:val="6EB8009F"/>
    <w:rsid w:val="6EB81830"/>
    <w:rsid w:val="6EB81904"/>
    <w:rsid w:val="6EB81E4D"/>
    <w:rsid w:val="6EB94846"/>
    <w:rsid w:val="6EB95C2A"/>
    <w:rsid w:val="6EBA3E17"/>
    <w:rsid w:val="6EBB091B"/>
    <w:rsid w:val="6EBB3F3B"/>
    <w:rsid w:val="6EBB5C2A"/>
    <w:rsid w:val="6EBB5C87"/>
    <w:rsid w:val="6EBB7166"/>
    <w:rsid w:val="6EBB7D13"/>
    <w:rsid w:val="6EBC36EB"/>
    <w:rsid w:val="6EBC6B6B"/>
    <w:rsid w:val="6EBD0E5D"/>
    <w:rsid w:val="6EBD120A"/>
    <w:rsid w:val="6EBD50F4"/>
    <w:rsid w:val="6EBD7464"/>
    <w:rsid w:val="6EBD79AE"/>
    <w:rsid w:val="6EBE2CC6"/>
    <w:rsid w:val="6EBE3907"/>
    <w:rsid w:val="6EBE4489"/>
    <w:rsid w:val="6EBF142E"/>
    <w:rsid w:val="6EBF1B48"/>
    <w:rsid w:val="6EBF3031"/>
    <w:rsid w:val="6EBF4F8A"/>
    <w:rsid w:val="6EBF5247"/>
    <w:rsid w:val="6EBF6AEE"/>
    <w:rsid w:val="6EC00BE2"/>
    <w:rsid w:val="6EC0368C"/>
    <w:rsid w:val="6EC048E7"/>
    <w:rsid w:val="6EC06EAB"/>
    <w:rsid w:val="6EC10D02"/>
    <w:rsid w:val="6EC10F70"/>
    <w:rsid w:val="6EC111D9"/>
    <w:rsid w:val="6EC1295E"/>
    <w:rsid w:val="6EC1305B"/>
    <w:rsid w:val="6EC135EB"/>
    <w:rsid w:val="6EC138B8"/>
    <w:rsid w:val="6EC1436D"/>
    <w:rsid w:val="6EC16F54"/>
    <w:rsid w:val="6EC21082"/>
    <w:rsid w:val="6EC223F7"/>
    <w:rsid w:val="6EC234D6"/>
    <w:rsid w:val="6EC25A1F"/>
    <w:rsid w:val="6EC30F1E"/>
    <w:rsid w:val="6EC32CCC"/>
    <w:rsid w:val="6EC343D9"/>
    <w:rsid w:val="6EC35541"/>
    <w:rsid w:val="6EC35C5A"/>
    <w:rsid w:val="6EC37964"/>
    <w:rsid w:val="6EC407F2"/>
    <w:rsid w:val="6EC41959"/>
    <w:rsid w:val="6EC425A0"/>
    <w:rsid w:val="6EC46A44"/>
    <w:rsid w:val="6EC51346"/>
    <w:rsid w:val="6EC559BA"/>
    <w:rsid w:val="6EC560AE"/>
    <w:rsid w:val="6EC57815"/>
    <w:rsid w:val="6EC6456A"/>
    <w:rsid w:val="6EC65EB7"/>
    <w:rsid w:val="6EC66318"/>
    <w:rsid w:val="6EC72090"/>
    <w:rsid w:val="6EC730ED"/>
    <w:rsid w:val="6EC7787C"/>
    <w:rsid w:val="6EC77C36"/>
    <w:rsid w:val="6EC802E2"/>
    <w:rsid w:val="6EC80ED3"/>
    <w:rsid w:val="6EC824A4"/>
    <w:rsid w:val="6EC82EAB"/>
    <w:rsid w:val="6EC84342"/>
    <w:rsid w:val="6EC91572"/>
    <w:rsid w:val="6EC922AC"/>
    <w:rsid w:val="6EC92970"/>
    <w:rsid w:val="6EC93661"/>
    <w:rsid w:val="6EC95E08"/>
    <w:rsid w:val="6EC97C8D"/>
    <w:rsid w:val="6ECA3F6E"/>
    <w:rsid w:val="6ECA6B87"/>
    <w:rsid w:val="6ECA769B"/>
    <w:rsid w:val="6ECB7DD2"/>
    <w:rsid w:val="6ECC1036"/>
    <w:rsid w:val="6ECC302C"/>
    <w:rsid w:val="6ECC3133"/>
    <w:rsid w:val="6ECC69B9"/>
    <w:rsid w:val="6ECD085D"/>
    <w:rsid w:val="6ECD2136"/>
    <w:rsid w:val="6ECD27A0"/>
    <w:rsid w:val="6ECD3B4B"/>
    <w:rsid w:val="6ECD4AAC"/>
    <w:rsid w:val="6ECD58F9"/>
    <w:rsid w:val="6ECD5A20"/>
    <w:rsid w:val="6ECE341F"/>
    <w:rsid w:val="6ECE76A6"/>
    <w:rsid w:val="6ECE76CE"/>
    <w:rsid w:val="6ECF2F0A"/>
    <w:rsid w:val="6ECF304C"/>
    <w:rsid w:val="6ECF65B9"/>
    <w:rsid w:val="6ECF78C3"/>
    <w:rsid w:val="6ED02ACD"/>
    <w:rsid w:val="6ED02EF1"/>
    <w:rsid w:val="6ED053E9"/>
    <w:rsid w:val="6ED07197"/>
    <w:rsid w:val="6ED07F05"/>
    <w:rsid w:val="6ED12D50"/>
    <w:rsid w:val="6ED15704"/>
    <w:rsid w:val="6ED21161"/>
    <w:rsid w:val="6ED222D6"/>
    <w:rsid w:val="6ED22F86"/>
    <w:rsid w:val="6ED24CBD"/>
    <w:rsid w:val="6ED278B4"/>
    <w:rsid w:val="6ED3073C"/>
    <w:rsid w:val="6ED30A35"/>
    <w:rsid w:val="6ED34786"/>
    <w:rsid w:val="6ED3483D"/>
    <w:rsid w:val="6ED3534F"/>
    <w:rsid w:val="6ED3739F"/>
    <w:rsid w:val="6ED42E4A"/>
    <w:rsid w:val="6ED50C51"/>
    <w:rsid w:val="6ED528DE"/>
    <w:rsid w:val="6ED52B8A"/>
    <w:rsid w:val="6ED52D4F"/>
    <w:rsid w:val="6ED53D6E"/>
    <w:rsid w:val="6ED547AD"/>
    <w:rsid w:val="6ED56DBF"/>
    <w:rsid w:val="6ED61009"/>
    <w:rsid w:val="6ED6546F"/>
    <w:rsid w:val="6ED722D3"/>
    <w:rsid w:val="6ED7315F"/>
    <w:rsid w:val="6ED749C9"/>
    <w:rsid w:val="6ED76777"/>
    <w:rsid w:val="6ED83E10"/>
    <w:rsid w:val="6ED8429D"/>
    <w:rsid w:val="6ED847DF"/>
    <w:rsid w:val="6ED864E3"/>
    <w:rsid w:val="6ED924EF"/>
    <w:rsid w:val="6ED926EF"/>
    <w:rsid w:val="6EDA0016"/>
    <w:rsid w:val="6EDA6F7E"/>
    <w:rsid w:val="6EDB1E57"/>
    <w:rsid w:val="6EDB2C14"/>
    <w:rsid w:val="6EDB549D"/>
    <w:rsid w:val="6EDB5AFC"/>
    <w:rsid w:val="6EDC003B"/>
    <w:rsid w:val="6EDC1070"/>
    <w:rsid w:val="6EDC399C"/>
    <w:rsid w:val="6EDC3D31"/>
    <w:rsid w:val="6EDC3D8E"/>
    <w:rsid w:val="6EDC4A5C"/>
    <w:rsid w:val="6EDC5FEE"/>
    <w:rsid w:val="6EDD18B4"/>
    <w:rsid w:val="6EDD2FEC"/>
    <w:rsid w:val="6EDD49C3"/>
    <w:rsid w:val="6EDE50D1"/>
    <w:rsid w:val="6EDE6399"/>
    <w:rsid w:val="6EDE6813"/>
    <w:rsid w:val="6EDF0383"/>
    <w:rsid w:val="6EDF4CA4"/>
    <w:rsid w:val="6EDF562C"/>
    <w:rsid w:val="6EDF73DA"/>
    <w:rsid w:val="6EE03FD2"/>
    <w:rsid w:val="6EE04F94"/>
    <w:rsid w:val="6EE113A4"/>
    <w:rsid w:val="6EE152EE"/>
    <w:rsid w:val="6EE175F6"/>
    <w:rsid w:val="6EE178C7"/>
    <w:rsid w:val="6EE23F5D"/>
    <w:rsid w:val="6EE352C5"/>
    <w:rsid w:val="6EE3705B"/>
    <w:rsid w:val="6EE37AB3"/>
    <w:rsid w:val="6EE40E94"/>
    <w:rsid w:val="6EE425CF"/>
    <w:rsid w:val="6EE42C42"/>
    <w:rsid w:val="6EE47BF5"/>
    <w:rsid w:val="6EE50629"/>
    <w:rsid w:val="6EE52D6F"/>
    <w:rsid w:val="6EE53863"/>
    <w:rsid w:val="6EE573DC"/>
    <w:rsid w:val="6EE57E40"/>
    <w:rsid w:val="6EE60768"/>
    <w:rsid w:val="6EE61395"/>
    <w:rsid w:val="6EE64C0C"/>
    <w:rsid w:val="6EE655DC"/>
    <w:rsid w:val="6EE70F7E"/>
    <w:rsid w:val="6EE73E73"/>
    <w:rsid w:val="6EE75764"/>
    <w:rsid w:val="6EE777FE"/>
    <w:rsid w:val="6EE778C4"/>
    <w:rsid w:val="6EE8023B"/>
    <w:rsid w:val="6EE80984"/>
    <w:rsid w:val="6EE825E8"/>
    <w:rsid w:val="6EE82732"/>
    <w:rsid w:val="6EE844E0"/>
    <w:rsid w:val="6EE852BA"/>
    <w:rsid w:val="6EE85A47"/>
    <w:rsid w:val="6EE90259"/>
    <w:rsid w:val="6EE904CF"/>
    <w:rsid w:val="6EE90D5D"/>
    <w:rsid w:val="6EE91396"/>
    <w:rsid w:val="6EE94BEF"/>
    <w:rsid w:val="6EE97AD1"/>
    <w:rsid w:val="6EE97C7B"/>
    <w:rsid w:val="6EEA04CF"/>
    <w:rsid w:val="6EEA46FD"/>
    <w:rsid w:val="6EEA6DEB"/>
    <w:rsid w:val="6EEB1929"/>
    <w:rsid w:val="6EEB2223"/>
    <w:rsid w:val="6EEB56E6"/>
    <w:rsid w:val="6EEB5D7F"/>
    <w:rsid w:val="6EEC4F78"/>
    <w:rsid w:val="6EEC56D7"/>
    <w:rsid w:val="6EEC6416"/>
    <w:rsid w:val="6EEC6A8F"/>
    <w:rsid w:val="6EEC6AA0"/>
    <w:rsid w:val="6EED03D0"/>
    <w:rsid w:val="6EED0E86"/>
    <w:rsid w:val="6EED1458"/>
    <w:rsid w:val="6EED1FF5"/>
    <w:rsid w:val="6EEE0B47"/>
    <w:rsid w:val="6EEE3AC1"/>
    <w:rsid w:val="6EEE586F"/>
    <w:rsid w:val="6EEE63C3"/>
    <w:rsid w:val="6EEE7FDF"/>
    <w:rsid w:val="6EEF65D8"/>
    <w:rsid w:val="6EEF7550"/>
    <w:rsid w:val="6EF00221"/>
    <w:rsid w:val="6EF00976"/>
    <w:rsid w:val="6EF0582F"/>
    <w:rsid w:val="6EF07839"/>
    <w:rsid w:val="6EF1313C"/>
    <w:rsid w:val="6EF13952"/>
    <w:rsid w:val="6EF17C44"/>
    <w:rsid w:val="6EF2048B"/>
    <w:rsid w:val="6EF2290B"/>
    <w:rsid w:val="6EF2535F"/>
    <w:rsid w:val="6EF32018"/>
    <w:rsid w:val="6EF32606"/>
    <w:rsid w:val="6EF338D5"/>
    <w:rsid w:val="6EF368E8"/>
    <w:rsid w:val="6EF410D7"/>
    <w:rsid w:val="6EF42A6B"/>
    <w:rsid w:val="6EF4312A"/>
    <w:rsid w:val="6EF43EBC"/>
    <w:rsid w:val="6EF51D2C"/>
    <w:rsid w:val="6EF56BFD"/>
    <w:rsid w:val="6EF57DF2"/>
    <w:rsid w:val="6EF61EC2"/>
    <w:rsid w:val="6EF641EE"/>
    <w:rsid w:val="6EF647E8"/>
    <w:rsid w:val="6EF64A43"/>
    <w:rsid w:val="6EF65532"/>
    <w:rsid w:val="6EF65C74"/>
    <w:rsid w:val="6EF66108"/>
    <w:rsid w:val="6EF734D8"/>
    <w:rsid w:val="6EF74724"/>
    <w:rsid w:val="6EF74EF6"/>
    <w:rsid w:val="6EF773B9"/>
    <w:rsid w:val="6EF8049C"/>
    <w:rsid w:val="6EF804C9"/>
    <w:rsid w:val="6EF80849"/>
    <w:rsid w:val="6EF822D5"/>
    <w:rsid w:val="6EF84186"/>
    <w:rsid w:val="6EF84876"/>
    <w:rsid w:val="6EF84C00"/>
    <w:rsid w:val="6EF864DA"/>
    <w:rsid w:val="6EF9315A"/>
    <w:rsid w:val="6EF933BB"/>
    <w:rsid w:val="6EF94749"/>
    <w:rsid w:val="6EF94940"/>
    <w:rsid w:val="6EF966EE"/>
    <w:rsid w:val="6EFA06B8"/>
    <w:rsid w:val="6EFA2466"/>
    <w:rsid w:val="6EFA286C"/>
    <w:rsid w:val="6EFA3489"/>
    <w:rsid w:val="6EFA4214"/>
    <w:rsid w:val="6EFA4AE8"/>
    <w:rsid w:val="6EFA5D3A"/>
    <w:rsid w:val="6EFB36FE"/>
    <w:rsid w:val="6EFB45F9"/>
    <w:rsid w:val="6EFC084C"/>
    <w:rsid w:val="6EFC1531"/>
    <w:rsid w:val="6EFC2034"/>
    <w:rsid w:val="6EFC3083"/>
    <w:rsid w:val="6EFC4430"/>
    <w:rsid w:val="6EFC61DE"/>
    <w:rsid w:val="6EFD14F1"/>
    <w:rsid w:val="6EFD3928"/>
    <w:rsid w:val="6EFD6920"/>
    <w:rsid w:val="6EFE1F56"/>
    <w:rsid w:val="6EFE2F7A"/>
    <w:rsid w:val="6EFE5DDB"/>
    <w:rsid w:val="6EFE75A9"/>
    <w:rsid w:val="6EFF247D"/>
    <w:rsid w:val="6EFF3293"/>
    <w:rsid w:val="6EFF48EC"/>
    <w:rsid w:val="6EFF5CCE"/>
    <w:rsid w:val="6EFF7A7C"/>
    <w:rsid w:val="6F000971"/>
    <w:rsid w:val="6F007864"/>
    <w:rsid w:val="6F007F85"/>
    <w:rsid w:val="6F010730"/>
    <w:rsid w:val="6F0137F4"/>
    <w:rsid w:val="6F016737"/>
    <w:rsid w:val="6F022D8B"/>
    <w:rsid w:val="6F0230C8"/>
    <w:rsid w:val="6F0234B6"/>
    <w:rsid w:val="6F023DF0"/>
    <w:rsid w:val="6F0244CC"/>
    <w:rsid w:val="6F0249DE"/>
    <w:rsid w:val="6F0278E7"/>
    <w:rsid w:val="6F032F05"/>
    <w:rsid w:val="6F034359"/>
    <w:rsid w:val="6F0357BE"/>
    <w:rsid w:val="6F03756C"/>
    <w:rsid w:val="6F042B48"/>
    <w:rsid w:val="6F046E40"/>
    <w:rsid w:val="6F0532E4"/>
    <w:rsid w:val="6F053664"/>
    <w:rsid w:val="6F056C41"/>
    <w:rsid w:val="6F06170C"/>
    <w:rsid w:val="6F06223F"/>
    <w:rsid w:val="6F066688"/>
    <w:rsid w:val="6F06705D"/>
    <w:rsid w:val="6F0671CF"/>
    <w:rsid w:val="6F073602"/>
    <w:rsid w:val="6F073B1D"/>
    <w:rsid w:val="6F080EDD"/>
    <w:rsid w:val="6F082DD5"/>
    <w:rsid w:val="6F08320C"/>
    <w:rsid w:val="6F086931"/>
    <w:rsid w:val="6F0926A9"/>
    <w:rsid w:val="6F092DFC"/>
    <w:rsid w:val="6F094457"/>
    <w:rsid w:val="6F0A06C1"/>
    <w:rsid w:val="6F0A6985"/>
    <w:rsid w:val="6F0B01CF"/>
    <w:rsid w:val="6F0B4673"/>
    <w:rsid w:val="6F0B6CBF"/>
    <w:rsid w:val="6F0C1F9F"/>
    <w:rsid w:val="6F0D2199"/>
    <w:rsid w:val="6F0D26C3"/>
    <w:rsid w:val="6F0D3569"/>
    <w:rsid w:val="6F0D3F47"/>
    <w:rsid w:val="6F0E2A6F"/>
    <w:rsid w:val="6F0E4B3B"/>
    <w:rsid w:val="6F0F097E"/>
    <w:rsid w:val="6F0F6FA4"/>
    <w:rsid w:val="6F1035A2"/>
    <w:rsid w:val="6F10538F"/>
    <w:rsid w:val="6F1057E5"/>
    <w:rsid w:val="6F111EBA"/>
    <w:rsid w:val="6F1151E2"/>
    <w:rsid w:val="6F11681F"/>
    <w:rsid w:val="6F12009C"/>
    <w:rsid w:val="6F125712"/>
    <w:rsid w:val="6F125A01"/>
    <w:rsid w:val="6F133A47"/>
    <w:rsid w:val="6F136F85"/>
    <w:rsid w:val="6F137380"/>
    <w:rsid w:val="6F137C43"/>
    <w:rsid w:val="6F14023A"/>
    <w:rsid w:val="6F1468E1"/>
    <w:rsid w:val="6F147412"/>
    <w:rsid w:val="6F15104E"/>
    <w:rsid w:val="6F152DFC"/>
    <w:rsid w:val="6F160938"/>
    <w:rsid w:val="6F162186"/>
    <w:rsid w:val="6F1661AA"/>
    <w:rsid w:val="6F1703F3"/>
    <w:rsid w:val="6F173018"/>
    <w:rsid w:val="6F174DC6"/>
    <w:rsid w:val="6F176B74"/>
    <w:rsid w:val="6F180986"/>
    <w:rsid w:val="6F187FDD"/>
    <w:rsid w:val="6F190B3E"/>
    <w:rsid w:val="6F192753"/>
    <w:rsid w:val="6F1928EC"/>
    <w:rsid w:val="6F196D90"/>
    <w:rsid w:val="6F197B82"/>
    <w:rsid w:val="6F1A48B6"/>
    <w:rsid w:val="6F1A6204"/>
    <w:rsid w:val="6F1A6664"/>
    <w:rsid w:val="6F1A7E73"/>
    <w:rsid w:val="6F1B1400"/>
    <w:rsid w:val="6F1B2797"/>
    <w:rsid w:val="6F1B4821"/>
    <w:rsid w:val="6F1B5E0C"/>
    <w:rsid w:val="6F1B7250"/>
    <w:rsid w:val="6F1C1314"/>
    <w:rsid w:val="6F1C23DC"/>
    <w:rsid w:val="6F1C3E6A"/>
    <w:rsid w:val="6F1C5BE4"/>
    <w:rsid w:val="6F1C759B"/>
    <w:rsid w:val="6F1C7A8B"/>
    <w:rsid w:val="6F1C7C44"/>
    <w:rsid w:val="6F1D38A1"/>
    <w:rsid w:val="6F1D7848"/>
    <w:rsid w:val="6F1E06C1"/>
    <w:rsid w:val="6F1E1E56"/>
    <w:rsid w:val="6F1E2564"/>
    <w:rsid w:val="6F1E43A6"/>
    <w:rsid w:val="6F1E6154"/>
    <w:rsid w:val="6F1E7915"/>
    <w:rsid w:val="6F1E7F02"/>
    <w:rsid w:val="6F1F39F4"/>
    <w:rsid w:val="6F1F65C5"/>
    <w:rsid w:val="6F1F70F9"/>
    <w:rsid w:val="6F21265D"/>
    <w:rsid w:val="6F216E28"/>
    <w:rsid w:val="6F217808"/>
    <w:rsid w:val="6F226D11"/>
    <w:rsid w:val="6F230B42"/>
    <w:rsid w:val="6F2319BD"/>
    <w:rsid w:val="6F2320A2"/>
    <w:rsid w:val="6F23376B"/>
    <w:rsid w:val="6F234695"/>
    <w:rsid w:val="6F236D2B"/>
    <w:rsid w:val="6F2417B7"/>
    <w:rsid w:val="6F244008"/>
    <w:rsid w:val="6F2441A3"/>
    <w:rsid w:val="6F2474E3"/>
    <w:rsid w:val="6F250228"/>
    <w:rsid w:val="6F250CF6"/>
    <w:rsid w:val="6F251EA8"/>
    <w:rsid w:val="6F2551D4"/>
    <w:rsid w:val="6F255735"/>
    <w:rsid w:val="6F255EB7"/>
    <w:rsid w:val="6F256125"/>
    <w:rsid w:val="6F2568E5"/>
    <w:rsid w:val="6F260345"/>
    <w:rsid w:val="6F261577"/>
    <w:rsid w:val="6F265009"/>
    <w:rsid w:val="6F2675A8"/>
    <w:rsid w:val="6F274D57"/>
    <w:rsid w:val="6F275D37"/>
    <w:rsid w:val="6F27665F"/>
    <w:rsid w:val="6F277B2A"/>
    <w:rsid w:val="6F280D81"/>
    <w:rsid w:val="6F281F38"/>
    <w:rsid w:val="6F282B2F"/>
    <w:rsid w:val="6F284330"/>
    <w:rsid w:val="6F286FD3"/>
    <w:rsid w:val="6F293C77"/>
    <w:rsid w:val="6F294644"/>
    <w:rsid w:val="6F294833"/>
    <w:rsid w:val="6F2968A7"/>
    <w:rsid w:val="6F2A2D4B"/>
    <w:rsid w:val="6F2A4C6E"/>
    <w:rsid w:val="6F2B0871"/>
    <w:rsid w:val="6F2B261F"/>
    <w:rsid w:val="6F2C2935"/>
    <w:rsid w:val="6F2C4003"/>
    <w:rsid w:val="6F2D6698"/>
    <w:rsid w:val="6F2E03C9"/>
    <w:rsid w:val="6F2E053C"/>
    <w:rsid w:val="6F2E179A"/>
    <w:rsid w:val="6F2E7DC6"/>
    <w:rsid w:val="6F2F1170"/>
    <w:rsid w:val="6F2F50B1"/>
    <w:rsid w:val="6F2F65B3"/>
    <w:rsid w:val="6F305D3E"/>
    <w:rsid w:val="6F305E87"/>
    <w:rsid w:val="6F307C36"/>
    <w:rsid w:val="6F313EAB"/>
    <w:rsid w:val="6F320EF3"/>
    <w:rsid w:val="6F321409"/>
    <w:rsid w:val="6F3239AE"/>
    <w:rsid w:val="6F324BCF"/>
    <w:rsid w:val="6F327E52"/>
    <w:rsid w:val="6F331335"/>
    <w:rsid w:val="6F3410CC"/>
    <w:rsid w:val="6F34175B"/>
    <w:rsid w:val="6F341C7B"/>
    <w:rsid w:val="6F343BCA"/>
    <w:rsid w:val="6F34478A"/>
    <w:rsid w:val="6F344D48"/>
    <w:rsid w:val="6F347726"/>
    <w:rsid w:val="6F3516F0"/>
    <w:rsid w:val="6F35349E"/>
    <w:rsid w:val="6F353874"/>
    <w:rsid w:val="6F354B66"/>
    <w:rsid w:val="6F35524C"/>
    <w:rsid w:val="6F355C1A"/>
    <w:rsid w:val="6F36020B"/>
    <w:rsid w:val="6F361938"/>
    <w:rsid w:val="6F362141"/>
    <w:rsid w:val="6F3647C6"/>
    <w:rsid w:val="6F372F84"/>
    <w:rsid w:val="6F375468"/>
    <w:rsid w:val="6F375765"/>
    <w:rsid w:val="6F377216"/>
    <w:rsid w:val="6F383FD3"/>
    <w:rsid w:val="6F385CDC"/>
    <w:rsid w:val="6F3931C4"/>
    <w:rsid w:val="6F394D3C"/>
    <w:rsid w:val="6F3A121E"/>
    <w:rsid w:val="6F3A2ED5"/>
    <w:rsid w:val="6F3A592B"/>
    <w:rsid w:val="6F3A5D4A"/>
    <w:rsid w:val="6F3B1A8C"/>
    <w:rsid w:val="6F3B2F33"/>
    <w:rsid w:val="6F3B3C0A"/>
    <w:rsid w:val="6F3B532D"/>
    <w:rsid w:val="6F3B60F1"/>
    <w:rsid w:val="6F3B6D06"/>
    <w:rsid w:val="6F3C09F3"/>
    <w:rsid w:val="6F3C12BD"/>
    <w:rsid w:val="6F3C1A78"/>
    <w:rsid w:val="6F3C27D6"/>
    <w:rsid w:val="6F3C2A7E"/>
    <w:rsid w:val="6F3C2F1C"/>
    <w:rsid w:val="6F3C482C"/>
    <w:rsid w:val="6F3C5945"/>
    <w:rsid w:val="6F3C65DA"/>
    <w:rsid w:val="6F3C6B8A"/>
    <w:rsid w:val="6F3C70EA"/>
    <w:rsid w:val="6F3D09AC"/>
    <w:rsid w:val="6F3D678D"/>
    <w:rsid w:val="6F3D6BE9"/>
    <w:rsid w:val="6F3E05A4"/>
    <w:rsid w:val="6F3E2352"/>
    <w:rsid w:val="6F3E4275"/>
    <w:rsid w:val="6F3E4345"/>
    <w:rsid w:val="6F3E67F6"/>
    <w:rsid w:val="6F3F0CB0"/>
    <w:rsid w:val="6F3F341C"/>
    <w:rsid w:val="6F3F446E"/>
    <w:rsid w:val="6F4007E3"/>
    <w:rsid w:val="6F40256E"/>
    <w:rsid w:val="6F411E43"/>
    <w:rsid w:val="6F415A63"/>
    <w:rsid w:val="6F422162"/>
    <w:rsid w:val="6F4223E1"/>
    <w:rsid w:val="6F423DD7"/>
    <w:rsid w:val="6F424CA2"/>
    <w:rsid w:val="6F431CC5"/>
    <w:rsid w:val="6F432DEE"/>
    <w:rsid w:val="6F432F6A"/>
    <w:rsid w:val="6F437F40"/>
    <w:rsid w:val="6F44105A"/>
    <w:rsid w:val="6F4436E1"/>
    <w:rsid w:val="6F44427E"/>
    <w:rsid w:val="6F4502DF"/>
    <w:rsid w:val="6F457B85"/>
    <w:rsid w:val="6F462205"/>
    <w:rsid w:val="6F467459"/>
    <w:rsid w:val="6F47468E"/>
    <w:rsid w:val="6F476BBC"/>
    <w:rsid w:val="6F4806D1"/>
    <w:rsid w:val="6F481423"/>
    <w:rsid w:val="6F48408F"/>
    <w:rsid w:val="6F484F7F"/>
    <w:rsid w:val="6F4850D4"/>
    <w:rsid w:val="6F487966"/>
    <w:rsid w:val="6F490509"/>
    <w:rsid w:val="6F49158C"/>
    <w:rsid w:val="6F492E06"/>
    <w:rsid w:val="6F494E06"/>
    <w:rsid w:val="6F4A2C57"/>
    <w:rsid w:val="6F4A6F49"/>
    <w:rsid w:val="6F4A7D0E"/>
    <w:rsid w:val="6F4B04EB"/>
    <w:rsid w:val="6F4B0F13"/>
    <w:rsid w:val="6F4B1DF4"/>
    <w:rsid w:val="6F4B2A10"/>
    <w:rsid w:val="6F4B2CC1"/>
    <w:rsid w:val="6F4B429D"/>
    <w:rsid w:val="6F4B4A6A"/>
    <w:rsid w:val="6F4B4A6F"/>
    <w:rsid w:val="6F4D07E7"/>
    <w:rsid w:val="6F4D08C5"/>
    <w:rsid w:val="6F4D1253"/>
    <w:rsid w:val="6F4D218F"/>
    <w:rsid w:val="6F4D672C"/>
    <w:rsid w:val="6F4D6A39"/>
    <w:rsid w:val="6F4E11B1"/>
    <w:rsid w:val="6F4E5686"/>
    <w:rsid w:val="6F4E6ADF"/>
    <w:rsid w:val="6F4F22A5"/>
    <w:rsid w:val="6F4F2A6A"/>
    <w:rsid w:val="6F4F4560"/>
    <w:rsid w:val="6F4F4910"/>
    <w:rsid w:val="6F4F5B18"/>
    <w:rsid w:val="6F5002D8"/>
    <w:rsid w:val="6F5043EC"/>
    <w:rsid w:val="6F51306A"/>
    <w:rsid w:val="6F51652A"/>
    <w:rsid w:val="6F5173A9"/>
    <w:rsid w:val="6F517DEA"/>
    <w:rsid w:val="6F5222A2"/>
    <w:rsid w:val="6F522F79"/>
    <w:rsid w:val="6F524050"/>
    <w:rsid w:val="6F524546"/>
    <w:rsid w:val="6F5273B2"/>
    <w:rsid w:val="6F527D12"/>
    <w:rsid w:val="6F532816"/>
    <w:rsid w:val="6F533219"/>
    <w:rsid w:val="6F540146"/>
    <w:rsid w:val="6F541B76"/>
    <w:rsid w:val="6F541EC8"/>
    <w:rsid w:val="6F542632"/>
    <w:rsid w:val="6F543924"/>
    <w:rsid w:val="6F54601A"/>
    <w:rsid w:val="6F54630F"/>
    <w:rsid w:val="6F547DC8"/>
    <w:rsid w:val="6F550564"/>
    <w:rsid w:val="6F55198C"/>
    <w:rsid w:val="6F551F2B"/>
    <w:rsid w:val="6F554700"/>
    <w:rsid w:val="6F554E6C"/>
    <w:rsid w:val="6F5558EE"/>
    <w:rsid w:val="6F55769C"/>
    <w:rsid w:val="6F56213F"/>
    <w:rsid w:val="6F562144"/>
    <w:rsid w:val="6F5637D4"/>
    <w:rsid w:val="6F570A64"/>
    <w:rsid w:val="6F571666"/>
    <w:rsid w:val="6F57527F"/>
    <w:rsid w:val="6F5778B8"/>
    <w:rsid w:val="6F582267"/>
    <w:rsid w:val="6F5827A1"/>
    <w:rsid w:val="6F585AD9"/>
    <w:rsid w:val="6F5860C9"/>
    <w:rsid w:val="6F5917CA"/>
    <w:rsid w:val="6F5953DE"/>
    <w:rsid w:val="6F59718C"/>
    <w:rsid w:val="6F597F94"/>
    <w:rsid w:val="6F5A162A"/>
    <w:rsid w:val="6F5A2F04"/>
    <w:rsid w:val="6F5A4CB2"/>
    <w:rsid w:val="6F5A4FC4"/>
    <w:rsid w:val="6F5B3E32"/>
    <w:rsid w:val="6F5B73A8"/>
    <w:rsid w:val="6F5C0DC4"/>
    <w:rsid w:val="6F5C141C"/>
    <w:rsid w:val="6F5C4120"/>
    <w:rsid w:val="6F5C6C7D"/>
    <w:rsid w:val="6F5D1E19"/>
    <w:rsid w:val="6F5D2DB6"/>
    <w:rsid w:val="6F5D2EB7"/>
    <w:rsid w:val="6F5D3711"/>
    <w:rsid w:val="6F5D3D2C"/>
    <w:rsid w:val="6F5D3EEF"/>
    <w:rsid w:val="6F5E0155"/>
    <w:rsid w:val="6F5E3595"/>
    <w:rsid w:val="6F5E3BFA"/>
    <w:rsid w:val="6F5E55A3"/>
    <w:rsid w:val="6F5E5AC1"/>
    <w:rsid w:val="6F5E62B5"/>
    <w:rsid w:val="6F5F0599"/>
    <w:rsid w:val="6F5F0E86"/>
    <w:rsid w:val="6F5F2196"/>
    <w:rsid w:val="6F5F310B"/>
    <w:rsid w:val="6F6001A1"/>
    <w:rsid w:val="6F60051B"/>
    <w:rsid w:val="6F603C13"/>
    <w:rsid w:val="6F6056E7"/>
    <w:rsid w:val="6F60676D"/>
    <w:rsid w:val="6F6101E2"/>
    <w:rsid w:val="6F611852"/>
    <w:rsid w:val="6F6124E5"/>
    <w:rsid w:val="6F615463"/>
    <w:rsid w:val="6F6159EC"/>
    <w:rsid w:val="6F616041"/>
    <w:rsid w:val="6F616377"/>
    <w:rsid w:val="6F617F42"/>
    <w:rsid w:val="6F622F4F"/>
    <w:rsid w:val="6F625E35"/>
    <w:rsid w:val="6F6264EC"/>
    <w:rsid w:val="6F627466"/>
    <w:rsid w:val="6F627BB0"/>
    <w:rsid w:val="6F63000B"/>
    <w:rsid w:val="6F631FA7"/>
    <w:rsid w:val="6F6340DE"/>
    <w:rsid w:val="6F634ED2"/>
    <w:rsid w:val="6F640523"/>
    <w:rsid w:val="6F642EA3"/>
    <w:rsid w:val="6F64675A"/>
    <w:rsid w:val="6F651772"/>
    <w:rsid w:val="6F651FD5"/>
    <w:rsid w:val="6F6523B2"/>
    <w:rsid w:val="6F653D83"/>
    <w:rsid w:val="6F654CF8"/>
    <w:rsid w:val="6F657F68"/>
    <w:rsid w:val="6F660530"/>
    <w:rsid w:val="6F6618A9"/>
    <w:rsid w:val="6F665EEE"/>
    <w:rsid w:val="6F66656D"/>
    <w:rsid w:val="6F667120"/>
    <w:rsid w:val="6F667AFB"/>
    <w:rsid w:val="6F6702A3"/>
    <w:rsid w:val="6F673A77"/>
    <w:rsid w:val="6F673ADC"/>
    <w:rsid w:val="6F677E65"/>
    <w:rsid w:val="6F6823E7"/>
    <w:rsid w:val="6F68283F"/>
    <w:rsid w:val="6F685621"/>
    <w:rsid w:val="6F685A10"/>
    <w:rsid w:val="6F692090"/>
    <w:rsid w:val="6F69693F"/>
    <w:rsid w:val="6F6971DA"/>
    <w:rsid w:val="6F697E58"/>
    <w:rsid w:val="6F6A0861"/>
    <w:rsid w:val="6F6A137A"/>
    <w:rsid w:val="6F6A1399"/>
    <w:rsid w:val="6F6A1A5C"/>
    <w:rsid w:val="6F6A28FA"/>
    <w:rsid w:val="6F6A3B7F"/>
    <w:rsid w:val="6F6A4ECF"/>
    <w:rsid w:val="6F6A5F99"/>
    <w:rsid w:val="6F6A64A7"/>
    <w:rsid w:val="6F6B5112"/>
    <w:rsid w:val="6F6B6EC0"/>
    <w:rsid w:val="6F6C08B9"/>
    <w:rsid w:val="6F6C1F70"/>
    <w:rsid w:val="6F6C499C"/>
    <w:rsid w:val="6F6D0E8A"/>
    <w:rsid w:val="6F6D2C38"/>
    <w:rsid w:val="6F6D70DC"/>
    <w:rsid w:val="6F6E0CDE"/>
    <w:rsid w:val="6F6E1534"/>
    <w:rsid w:val="6F6E31AE"/>
    <w:rsid w:val="6F6E3439"/>
    <w:rsid w:val="6F6E4788"/>
    <w:rsid w:val="6F6E4CE8"/>
    <w:rsid w:val="6F6E74EB"/>
    <w:rsid w:val="6F6F075E"/>
    <w:rsid w:val="6F6F2AA7"/>
    <w:rsid w:val="6F6F4C02"/>
    <w:rsid w:val="6F700ECC"/>
    <w:rsid w:val="6F7044D6"/>
    <w:rsid w:val="6F704719"/>
    <w:rsid w:val="6F707D0D"/>
    <w:rsid w:val="6F712728"/>
    <w:rsid w:val="6F713B40"/>
    <w:rsid w:val="6F715E6C"/>
    <w:rsid w:val="6F72024E"/>
    <w:rsid w:val="6F721C7D"/>
    <w:rsid w:val="6F721ED9"/>
    <w:rsid w:val="6F725BBB"/>
    <w:rsid w:val="6F73220D"/>
    <w:rsid w:val="6F733D6A"/>
    <w:rsid w:val="6F734FF1"/>
    <w:rsid w:val="6F735020"/>
    <w:rsid w:val="6F73615E"/>
    <w:rsid w:val="6F736167"/>
    <w:rsid w:val="6F736A67"/>
    <w:rsid w:val="6F7407F3"/>
    <w:rsid w:val="6F742218"/>
    <w:rsid w:val="6F743FC6"/>
    <w:rsid w:val="6F7468EB"/>
    <w:rsid w:val="6F74788E"/>
    <w:rsid w:val="6F7503C7"/>
    <w:rsid w:val="6F751AEC"/>
    <w:rsid w:val="6F753A7C"/>
    <w:rsid w:val="6F7572B8"/>
    <w:rsid w:val="6F760FD5"/>
    <w:rsid w:val="6F76453C"/>
    <w:rsid w:val="6F7655D9"/>
    <w:rsid w:val="6F76710D"/>
    <w:rsid w:val="6F767D3E"/>
    <w:rsid w:val="6F770CC7"/>
    <w:rsid w:val="6F771E66"/>
    <w:rsid w:val="6F7723CE"/>
    <w:rsid w:val="6F772711"/>
    <w:rsid w:val="6F780663"/>
    <w:rsid w:val="6F78181D"/>
    <w:rsid w:val="6F782AA7"/>
    <w:rsid w:val="6F78316E"/>
    <w:rsid w:val="6F7833B7"/>
    <w:rsid w:val="6F784E40"/>
    <w:rsid w:val="6F7869B5"/>
    <w:rsid w:val="6F78707D"/>
    <w:rsid w:val="6F791DF6"/>
    <w:rsid w:val="6F792EBD"/>
    <w:rsid w:val="6F795A80"/>
    <w:rsid w:val="6F79782E"/>
    <w:rsid w:val="6F7A3C33"/>
    <w:rsid w:val="6F7A558A"/>
    <w:rsid w:val="6F7A7103"/>
    <w:rsid w:val="6F7B5355"/>
    <w:rsid w:val="6F7B6F1E"/>
    <w:rsid w:val="6F7C2E7B"/>
    <w:rsid w:val="6F7C7456"/>
    <w:rsid w:val="6F7D0F85"/>
    <w:rsid w:val="6F7D57AA"/>
    <w:rsid w:val="6F7D7EAF"/>
    <w:rsid w:val="6F7E1AF2"/>
    <w:rsid w:val="6F7E3097"/>
    <w:rsid w:val="6F7E4C4C"/>
    <w:rsid w:val="6F7E4E45"/>
    <w:rsid w:val="6F7E589F"/>
    <w:rsid w:val="6F7F0F84"/>
    <w:rsid w:val="6F7F4719"/>
    <w:rsid w:val="6F7F70B6"/>
    <w:rsid w:val="6F800BBD"/>
    <w:rsid w:val="6F8025B5"/>
    <w:rsid w:val="6F8028BA"/>
    <w:rsid w:val="6F80296B"/>
    <w:rsid w:val="6F80353E"/>
    <w:rsid w:val="6F806E0F"/>
    <w:rsid w:val="6F807252"/>
    <w:rsid w:val="6F807B62"/>
    <w:rsid w:val="6F810491"/>
    <w:rsid w:val="6F814935"/>
    <w:rsid w:val="6F820605"/>
    <w:rsid w:val="6F8306AD"/>
    <w:rsid w:val="6F83094D"/>
    <w:rsid w:val="6F83245B"/>
    <w:rsid w:val="6F832964"/>
    <w:rsid w:val="6F832F30"/>
    <w:rsid w:val="6F836B40"/>
    <w:rsid w:val="6F842B01"/>
    <w:rsid w:val="6F8449BF"/>
    <w:rsid w:val="6F8470BC"/>
    <w:rsid w:val="6F850787"/>
    <w:rsid w:val="6F8523EA"/>
    <w:rsid w:val="6F852BA1"/>
    <w:rsid w:val="6F854425"/>
    <w:rsid w:val="6F8561D3"/>
    <w:rsid w:val="6F860EA1"/>
    <w:rsid w:val="6F863474"/>
    <w:rsid w:val="6F863CF9"/>
    <w:rsid w:val="6F866C02"/>
    <w:rsid w:val="6F870255"/>
    <w:rsid w:val="6F876315"/>
    <w:rsid w:val="6F880FC2"/>
    <w:rsid w:val="6F8811D1"/>
    <w:rsid w:val="6F8815E2"/>
    <w:rsid w:val="6F88457C"/>
    <w:rsid w:val="6F885421"/>
    <w:rsid w:val="6F885CC3"/>
    <w:rsid w:val="6F8866D3"/>
    <w:rsid w:val="6F887A72"/>
    <w:rsid w:val="6F890B1D"/>
    <w:rsid w:val="6F891957"/>
    <w:rsid w:val="6F891B0C"/>
    <w:rsid w:val="6F897C0A"/>
    <w:rsid w:val="6F8A0689"/>
    <w:rsid w:val="6F8A37EA"/>
    <w:rsid w:val="6F8A4F8C"/>
    <w:rsid w:val="6F8A5583"/>
    <w:rsid w:val="6F8A704E"/>
    <w:rsid w:val="6F8B0168"/>
    <w:rsid w:val="6F8B1310"/>
    <w:rsid w:val="6F8B1B91"/>
    <w:rsid w:val="6F8B4892"/>
    <w:rsid w:val="6F8C181F"/>
    <w:rsid w:val="6F8C28FC"/>
    <w:rsid w:val="6F8C7459"/>
    <w:rsid w:val="6F8D0C19"/>
    <w:rsid w:val="6F8D1319"/>
    <w:rsid w:val="6F8D2183"/>
    <w:rsid w:val="6F8D27C3"/>
    <w:rsid w:val="6F8D32DA"/>
    <w:rsid w:val="6F8D54DF"/>
    <w:rsid w:val="6F8D7759"/>
    <w:rsid w:val="6F8E3295"/>
    <w:rsid w:val="6F8E48AA"/>
    <w:rsid w:val="6F8F0E00"/>
    <w:rsid w:val="6F8F1A3D"/>
    <w:rsid w:val="6F8F2BAE"/>
    <w:rsid w:val="6F8F6824"/>
    <w:rsid w:val="6F901DA2"/>
    <w:rsid w:val="6F902069"/>
    <w:rsid w:val="6F906926"/>
    <w:rsid w:val="6F910005"/>
    <w:rsid w:val="6F91045E"/>
    <w:rsid w:val="6F912376"/>
    <w:rsid w:val="6F912DCA"/>
    <w:rsid w:val="6F913F7C"/>
    <w:rsid w:val="6F914B78"/>
    <w:rsid w:val="6F9176F4"/>
    <w:rsid w:val="6F9208F0"/>
    <w:rsid w:val="6F922643"/>
    <w:rsid w:val="6F92269E"/>
    <w:rsid w:val="6F9251A5"/>
    <w:rsid w:val="6F926B42"/>
    <w:rsid w:val="6F92717A"/>
    <w:rsid w:val="6F931714"/>
    <w:rsid w:val="6F9422B3"/>
    <w:rsid w:val="6F943663"/>
    <w:rsid w:val="6F946585"/>
    <w:rsid w:val="6F946925"/>
    <w:rsid w:val="6F946EDF"/>
    <w:rsid w:val="6F947AC5"/>
    <w:rsid w:val="6F95213D"/>
    <w:rsid w:val="6F952696"/>
    <w:rsid w:val="6F954370"/>
    <w:rsid w:val="6F955CAB"/>
    <w:rsid w:val="6F960DA8"/>
    <w:rsid w:val="6F962FAB"/>
    <w:rsid w:val="6F963671"/>
    <w:rsid w:val="6F963F3C"/>
    <w:rsid w:val="6F9666F7"/>
    <w:rsid w:val="6F971939"/>
    <w:rsid w:val="6F975F07"/>
    <w:rsid w:val="6F9772B8"/>
    <w:rsid w:val="6F9779DE"/>
    <w:rsid w:val="6F977CB5"/>
    <w:rsid w:val="6F981017"/>
    <w:rsid w:val="6F986346"/>
    <w:rsid w:val="6F9878D6"/>
    <w:rsid w:val="6F991A53"/>
    <w:rsid w:val="6F9925DA"/>
    <w:rsid w:val="6F992E14"/>
    <w:rsid w:val="6F9937A9"/>
    <w:rsid w:val="6F995003"/>
    <w:rsid w:val="6F9957DB"/>
    <w:rsid w:val="6F99621D"/>
    <w:rsid w:val="6F997A6F"/>
    <w:rsid w:val="6F997CCB"/>
    <w:rsid w:val="6F997ED1"/>
    <w:rsid w:val="6F9A3937"/>
    <w:rsid w:val="6F9A455D"/>
    <w:rsid w:val="6F9A6322"/>
    <w:rsid w:val="6F9B1553"/>
    <w:rsid w:val="6F9B1682"/>
    <w:rsid w:val="6F9B2107"/>
    <w:rsid w:val="6F9B3504"/>
    <w:rsid w:val="6F9B44EF"/>
    <w:rsid w:val="6F9B59F7"/>
    <w:rsid w:val="6F9C0E28"/>
    <w:rsid w:val="6F9C19A6"/>
    <w:rsid w:val="6F9C351D"/>
    <w:rsid w:val="6F9C5645"/>
    <w:rsid w:val="6F9D335A"/>
    <w:rsid w:val="6F9D39F9"/>
    <w:rsid w:val="6F9D3E20"/>
    <w:rsid w:val="6F9D49A7"/>
    <w:rsid w:val="6F9E1043"/>
    <w:rsid w:val="6F9E39EB"/>
    <w:rsid w:val="6F9E54E7"/>
    <w:rsid w:val="6F9F745F"/>
    <w:rsid w:val="6FA0237A"/>
    <w:rsid w:val="6FA0428B"/>
    <w:rsid w:val="6FA04DBB"/>
    <w:rsid w:val="6FA10B33"/>
    <w:rsid w:val="6FA11632"/>
    <w:rsid w:val="6FA1502E"/>
    <w:rsid w:val="6FA17C22"/>
    <w:rsid w:val="6FA20054"/>
    <w:rsid w:val="6FA24A03"/>
    <w:rsid w:val="6FA339C8"/>
    <w:rsid w:val="6FA3612A"/>
    <w:rsid w:val="6FA3648C"/>
    <w:rsid w:val="6FA36659"/>
    <w:rsid w:val="6FA366A4"/>
    <w:rsid w:val="6FA3754B"/>
    <w:rsid w:val="6FA45EA2"/>
    <w:rsid w:val="6FA5155E"/>
    <w:rsid w:val="6FA5220E"/>
    <w:rsid w:val="6FA523D2"/>
    <w:rsid w:val="6FA53D5D"/>
    <w:rsid w:val="6FA56875"/>
    <w:rsid w:val="6FA61D6F"/>
    <w:rsid w:val="6FA657F4"/>
    <w:rsid w:val="6FA65D96"/>
    <w:rsid w:val="6FA7439C"/>
    <w:rsid w:val="6FA757F9"/>
    <w:rsid w:val="6FA7614A"/>
    <w:rsid w:val="6FA8315A"/>
    <w:rsid w:val="6FA83C70"/>
    <w:rsid w:val="6FA83E30"/>
    <w:rsid w:val="6FA846E1"/>
    <w:rsid w:val="6FA873CB"/>
    <w:rsid w:val="6FA91667"/>
    <w:rsid w:val="6FA91F9C"/>
    <w:rsid w:val="6FA9476E"/>
    <w:rsid w:val="6FAA342C"/>
    <w:rsid w:val="6FAA3F1E"/>
    <w:rsid w:val="6FAA5649"/>
    <w:rsid w:val="6FAA5C3A"/>
    <w:rsid w:val="6FAA5FFD"/>
    <w:rsid w:val="6FAA73DF"/>
    <w:rsid w:val="6FAB53AB"/>
    <w:rsid w:val="6FAC19B2"/>
    <w:rsid w:val="6FAC3760"/>
    <w:rsid w:val="6FAC65B8"/>
    <w:rsid w:val="6FAC70D0"/>
    <w:rsid w:val="6FAC7C04"/>
    <w:rsid w:val="6FAC7DBF"/>
    <w:rsid w:val="6FAD3AAE"/>
    <w:rsid w:val="6FAD3B2C"/>
    <w:rsid w:val="6FAD473C"/>
    <w:rsid w:val="6FAD5000"/>
    <w:rsid w:val="6FAD572A"/>
    <w:rsid w:val="6FAD74D8"/>
    <w:rsid w:val="6FAE1236"/>
    <w:rsid w:val="6FAE2B26"/>
    <w:rsid w:val="6FAE323D"/>
    <w:rsid w:val="6FAE619B"/>
    <w:rsid w:val="6FAF14A2"/>
    <w:rsid w:val="6FAF2E9A"/>
    <w:rsid w:val="6FAF46CD"/>
    <w:rsid w:val="6FAF7E3D"/>
    <w:rsid w:val="6FB0132C"/>
    <w:rsid w:val="6FB02163"/>
    <w:rsid w:val="6FB10EC1"/>
    <w:rsid w:val="6FB13528"/>
    <w:rsid w:val="6FB1521A"/>
    <w:rsid w:val="6FB22B12"/>
    <w:rsid w:val="6FB24AEE"/>
    <w:rsid w:val="6FB27375"/>
    <w:rsid w:val="6FB30FC4"/>
    <w:rsid w:val="6FB31095"/>
    <w:rsid w:val="6FB31E0D"/>
    <w:rsid w:val="6FB344DE"/>
    <w:rsid w:val="6FB3589B"/>
    <w:rsid w:val="6FB35C1F"/>
    <w:rsid w:val="6FB40867"/>
    <w:rsid w:val="6FB40B76"/>
    <w:rsid w:val="6FB40BCD"/>
    <w:rsid w:val="6FB466CF"/>
    <w:rsid w:val="6FB50A17"/>
    <w:rsid w:val="6FB52624"/>
    <w:rsid w:val="6FB53110"/>
    <w:rsid w:val="6FB559B5"/>
    <w:rsid w:val="6FB60DC3"/>
    <w:rsid w:val="6FB62831"/>
    <w:rsid w:val="6FB62B82"/>
    <w:rsid w:val="6FB6638D"/>
    <w:rsid w:val="6FB678D2"/>
    <w:rsid w:val="6FB7179E"/>
    <w:rsid w:val="6FB777D0"/>
    <w:rsid w:val="6FB85167"/>
    <w:rsid w:val="6FB85B71"/>
    <w:rsid w:val="6FB878D6"/>
    <w:rsid w:val="6FB940CF"/>
    <w:rsid w:val="6FB94142"/>
    <w:rsid w:val="6FB959F7"/>
    <w:rsid w:val="6FB97C2B"/>
    <w:rsid w:val="6FBA018A"/>
    <w:rsid w:val="6FBA17E0"/>
    <w:rsid w:val="6FBA2F21"/>
    <w:rsid w:val="6FBA447B"/>
    <w:rsid w:val="6FBA5914"/>
    <w:rsid w:val="6FBB39A3"/>
    <w:rsid w:val="6FBB52B7"/>
    <w:rsid w:val="6FBB7E47"/>
    <w:rsid w:val="6FBC4149"/>
    <w:rsid w:val="6FBC5841"/>
    <w:rsid w:val="6FBC6395"/>
    <w:rsid w:val="6FBC771B"/>
    <w:rsid w:val="6FBC7BE5"/>
    <w:rsid w:val="6FBD0AE1"/>
    <w:rsid w:val="6FBD18A2"/>
    <w:rsid w:val="6FBD2BEF"/>
    <w:rsid w:val="6FBD3BBF"/>
    <w:rsid w:val="6FBD596D"/>
    <w:rsid w:val="6FBE16E5"/>
    <w:rsid w:val="6FBE221D"/>
    <w:rsid w:val="6FBE31BF"/>
    <w:rsid w:val="6FBE4C94"/>
    <w:rsid w:val="6FBE7937"/>
    <w:rsid w:val="6FC05A3D"/>
    <w:rsid w:val="6FC0720B"/>
    <w:rsid w:val="6FC12FC7"/>
    <w:rsid w:val="6FC203A0"/>
    <w:rsid w:val="6FC23A48"/>
    <w:rsid w:val="6FC24D3D"/>
    <w:rsid w:val="6FC2583D"/>
    <w:rsid w:val="6FC26546"/>
    <w:rsid w:val="6FC30AAA"/>
    <w:rsid w:val="6FC3328F"/>
    <w:rsid w:val="6FC34F4E"/>
    <w:rsid w:val="6FC35714"/>
    <w:rsid w:val="6FC36324"/>
    <w:rsid w:val="6FC36CFC"/>
    <w:rsid w:val="6FC3703E"/>
    <w:rsid w:val="6FC4538E"/>
    <w:rsid w:val="6FC45FBE"/>
    <w:rsid w:val="6FC46AE5"/>
    <w:rsid w:val="6FC502FA"/>
    <w:rsid w:val="6FC52A74"/>
    <w:rsid w:val="6FC565D0"/>
    <w:rsid w:val="6FC56AE8"/>
    <w:rsid w:val="6FC57670"/>
    <w:rsid w:val="6FC626FB"/>
    <w:rsid w:val="6FC7200A"/>
    <w:rsid w:val="6FC7201B"/>
    <w:rsid w:val="6FC73B90"/>
    <w:rsid w:val="6FC77D4A"/>
    <w:rsid w:val="6FC82564"/>
    <w:rsid w:val="6FC82EAA"/>
    <w:rsid w:val="6FC84312"/>
    <w:rsid w:val="6FC860C0"/>
    <w:rsid w:val="6FC90343"/>
    <w:rsid w:val="6FC907F8"/>
    <w:rsid w:val="6FCA008A"/>
    <w:rsid w:val="6FCA1E38"/>
    <w:rsid w:val="6FCA4F8D"/>
    <w:rsid w:val="6FCA5A4B"/>
    <w:rsid w:val="6FCA62DC"/>
    <w:rsid w:val="6FCA664A"/>
    <w:rsid w:val="6FCA6C83"/>
    <w:rsid w:val="6FCA701D"/>
    <w:rsid w:val="6FCB3EA6"/>
    <w:rsid w:val="6FCC0D39"/>
    <w:rsid w:val="6FCC3E02"/>
    <w:rsid w:val="6FCC4324"/>
    <w:rsid w:val="6FCC5BB0"/>
    <w:rsid w:val="6FCC5F73"/>
    <w:rsid w:val="6FCC6260"/>
    <w:rsid w:val="6FCC72BA"/>
    <w:rsid w:val="6FCC7443"/>
    <w:rsid w:val="6FCC795E"/>
    <w:rsid w:val="6FCD0E2A"/>
    <w:rsid w:val="6FCD1928"/>
    <w:rsid w:val="6FCD3754"/>
    <w:rsid w:val="6FCD5D25"/>
    <w:rsid w:val="6FCD6151"/>
    <w:rsid w:val="6FCD681B"/>
    <w:rsid w:val="6FCD7B15"/>
    <w:rsid w:val="6FCE3775"/>
    <w:rsid w:val="6FCE5E4A"/>
    <w:rsid w:val="6FCE7B7A"/>
    <w:rsid w:val="6FCF2635"/>
    <w:rsid w:val="6FCF38F2"/>
    <w:rsid w:val="6FCF43CF"/>
    <w:rsid w:val="6FCF744E"/>
    <w:rsid w:val="6FD01065"/>
    <w:rsid w:val="6FD0162A"/>
    <w:rsid w:val="6FD07D18"/>
    <w:rsid w:val="6FD11161"/>
    <w:rsid w:val="6FD131C7"/>
    <w:rsid w:val="6FD165D7"/>
    <w:rsid w:val="6FD1766A"/>
    <w:rsid w:val="6FD21625"/>
    <w:rsid w:val="6FD23EEF"/>
    <w:rsid w:val="6FD2616C"/>
    <w:rsid w:val="6FD26F3F"/>
    <w:rsid w:val="6FD33AC8"/>
    <w:rsid w:val="6FD33CC2"/>
    <w:rsid w:val="6FD41A13"/>
    <w:rsid w:val="6FD42BE9"/>
    <w:rsid w:val="6FD51847"/>
    <w:rsid w:val="6FD600C6"/>
    <w:rsid w:val="6FD607DD"/>
    <w:rsid w:val="6FD63D52"/>
    <w:rsid w:val="6FD64C81"/>
    <w:rsid w:val="6FD64F8F"/>
    <w:rsid w:val="6FD66A2F"/>
    <w:rsid w:val="6FD72A2B"/>
    <w:rsid w:val="6FD73A41"/>
    <w:rsid w:val="6FD76303"/>
    <w:rsid w:val="6FD77CB0"/>
    <w:rsid w:val="6FD809F9"/>
    <w:rsid w:val="6FD815CE"/>
    <w:rsid w:val="6FD838D9"/>
    <w:rsid w:val="6FD91C62"/>
    <w:rsid w:val="6FD9207B"/>
    <w:rsid w:val="6FD9357C"/>
    <w:rsid w:val="6FD94C48"/>
    <w:rsid w:val="6FDB2297"/>
    <w:rsid w:val="6FDB4045"/>
    <w:rsid w:val="6FDC1B6B"/>
    <w:rsid w:val="6FDC4D5E"/>
    <w:rsid w:val="6FDD1BCA"/>
    <w:rsid w:val="6FDD3CA0"/>
    <w:rsid w:val="6FDD4509"/>
    <w:rsid w:val="6FDD5585"/>
    <w:rsid w:val="6FDD600F"/>
    <w:rsid w:val="6FDD642F"/>
    <w:rsid w:val="6FDD774B"/>
    <w:rsid w:val="6FDD7DBD"/>
    <w:rsid w:val="6FDE48F3"/>
    <w:rsid w:val="6FDE51B9"/>
    <w:rsid w:val="6FDE5532"/>
    <w:rsid w:val="6FDE58E3"/>
    <w:rsid w:val="6FDF1A5B"/>
    <w:rsid w:val="6FE0165C"/>
    <w:rsid w:val="6FE0340A"/>
    <w:rsid w:val="6FE1574F"/>
    <w:rsid w:val="6FE160CC"/>
    <w:rsid w:val="6FE177F6"/>
    <w:rsid w:val="6FE25C14"/>
    <w:rsid w:val="6FE27182"/>
    <w:rsid w:val="6FE2755C"/>
    <w:rsid w:val="6FE31BB4"/>
    <w:rsid w:val="6FE325CC"/>
    <w:rsid w:val="6FE32EFA"/>
    <w:rsid w:val="6FE34B68"/>
    <w:rsid w:val="6FE34BF6"/>
    <w:rsid w:val="6FE36817"/>
    <w:rsid w:val="6FE5312D"/>
    <w:rsid w:val="6FE54EC4"/>
    <w:rsid w:val="6FE57BEB"/>
    <w:rsid w:val="6FE63CCB"/>
    <w:rsid w:val="6FE6492A"/>
    <w:rsid w:val="6FE6646C"/>
    <w:rsid w:val="6FE7389E"/>
    <w:rsid w:val="6FE74798"/>
    <w:rsid w:val="6FE77CB9"/>
    <w:rsid w:val="6FE80510"/>
    <w:rsid w:val="6FE82804"/>
    <w:rsid w:val="6FE82B8F"/>
    <w:rsid w:val="6FE86762"/>
    <w:rsid w:val="6FE86D42"/>
    <w:rsid w:val="6FE9092D"/>
    <w:rsid w:val="6FE92314"/>
    <w:rsid w:val="6FE9394F"/>
    <w:rsid w:val="6FE96142"/>
    <w:rsid w:val="6FEA072C"/>
    <w:rsid w:val="6FEA08BF"/>
    <w:rsid w:val="6FEA4288"/>
    <w:rsid w:val="6FEA5494"/>
    <w:rsid w:val="6FEA7F06"/>
    <w:rsid w:val="6FEB0934"/>
    <w:rsid w:val="6FEB11A1"/>
    <w:rsid w:val="6FEB4920"/>
    <w:rsid w:val="6FEB735C"/>
    <w:rsid w:val="6FEC1700"/>
    <w:rsid w:val="6FEC1DAE"/>
    <w:rsid w:val="6FEC414A"/>
    <w:rsid w:val="6FEC5766"/>
    <w:rsid w:val="6FEC6252"/>
    <w:rsid w:val="6FEC73BF"/>
    <w:rsid w:val="6FED0122"/>
    <w:rsid w:val="6FED466F"/>
    <w:rsid w:val="6FED5B27"/>
    <w:rsid w:val="6FEE06D0"/>
    <w:rsid w:val="6FEE0C04"/>
    <w:rsid w:val="6FEE163E"/>
    <w:rsid w:val="6FEE1FCA"/>
    <w:rsid w:val="6FEF1353"/>
    <w:rsid w:val="6FEF189F"/>
    <w:rsid w:val="6FEF3704"/>
    <w:rsid w:val="6FEF7AF1"/>
    <w:rsid w:val="6FF00911"/>
    <w:rsid w:val="6FF05ED7"/>
    <w:rsid w:val="6FF10634"/>
    <w:rsid w:val="6FF11928"/>
    <w:rsid w:val="6FF11ABB"/>
    <w:rsid w:val="6FF15617"/>
    <w:rsid w:val="6FF173C5"/>
    <w:rsid w:val="6FF2260C"/>
    <w:rsid w:val="6FF22B12"/>
    <w:rsid w:val="6FF2313D"/>
    <w:rsid w:val="6FF23B05"/>
    <w:rsid w:val="6FF24837"/>
    <w:rsid w:val="6FF26E77"/>
    <w:rsid w:val="6FF3138F"/>
    <w:rsid w:val="6FF31971"/>
    <w:rsid w:val="6FF31FC3"/>
    <w:rsid w:val="6FF32ECE"/>
    <w:rsid w:val="6FF330B2"/>
    <w:rsid w:val="6FF3342E"/>
    <w:rsid w:val="6FF375E1"/>
    <w:rsid w:val="6FF43359"/>
    <w:rsid w:val="6FF4605E"/>
    <w:rsid w:val="6FF52883"/>
    <w:rsid w:val="6FF551F0"/>
    <w:rsid w:val="6FF57D37"/>
    <w:rsid w:val="6FF60E7F"/>
    <w:rsid w:val="6FF611EC"/>
    <w:rsid w:val="6FF670D1"/>
    <w:rsid w:val="6FF67D85"/>
    <w:rsid w:val="6FF702F2"/>
    <w:rsid w:val="6FF70753"/>
    <w:rsid w:val="6FF8293B"/>
    <w:rsid w:val="6FF84BF7"/>
    <w:rsid w:val="6FF87423"/>
    <w:rsid w:val="6FF9170D"/>
    <w:rsid w:val="6FF951C7"/>
    <w:rsid w:val="6FF96B2E"/>
    <w:rsid w:val="6FF972EE"/>
    <w:rsid w:val="6FFA2972"/>
    <w:rsid w:val="6FFA34C4"/>
    <w:rsid w:val="6FFB45A2"/>
    <w:rsid w:val="6FFB46E7"/>
    <w:rsid w:val="6FFB6495"/>
    <w:rsid w:val="6FFB72EB"/>
    <w:rsid w:val="6FFC6E20"/>
    <w:rsid w:val="6FFC710D"/>
    <w:rsid w:val="6FFD134F"/>
    <w:rsid w:val="6FFD3ACA"/>
    <w:rsid w:val="6FFD3FBC"/>
    <w:rsid w:val="6FFD4F05"/>
    <w:rsid w:val="6FFD7690"/>
    <w:rsid w:val="6FFE06F2"/>
    <w:rsid w:val="6FFE1AE2"/>
    <w:rsid w:val="6FFE2A5D"/>
    <w:rsid w:val="6FFE3A86"/>
    <w:rsid w:val="6FFE5802"/>
    <w:rsid w:val="6FFE75C7"/>
    <w:rsid w:val="6FFF1655"/>
    <w:rsid w:val="6FFF21C0"/>
    <w:rsid w:val="6FFF5071"/>
    <w:rsid w:val="6FFF7311"/>
    <w:rsid w:val="70000265"/>
    <w:rsid w:val="70001CFE"/>
    <w:rsid w:val="7000585A"/>
    <w:rsid w:val="7001074A"/>
    <w:rsid w:val="700156B6"/>
    <w:rsid w:val="700177EA"/>
    <w:rsid w:val="700215D2"/>
    <w:rsid w:val="70023868"/>
    <w:rsid w:val="70025A76"/>
    <w:rsid w:val="70034E7A"/>
    <w:rsid w:val="700370F8"/>
    <w:rsid w:val="70037FC8"/>
    <w:rsid w:val="7004359C"/>
    <w:rsid w:val="700449E7"/>
    <w:rsid w:val="700510C2"/>
    <w:rsid w:val="70051DD5"/>
    <w:rsid w:val="7005270A"/>
    <w:rsid w:val="7006325F"/>
    <w:rsid w:val="70063B7A"/>
    <w:rsid w:val="70066957"/>
    <w:rsid w:val="70067CA6"/>
    <w:rsid w:val="7007339C"/>
    <w:rsid w:val="70080979"/>
    <w:rsid w:val="70082BC2"/>
    <w:rsid w:val="70084B0C"/>
    <w:rsid w:val="700912C8"/>
    <w:rsid w:val="70096E04"/>
    <w:rsid w:val="700A0487"/>
    <w:rsid w:val="700A492A"/>
    <w:rsid w:val="700A6939"/>
    <w:rsid w:val="700B1B17"/>
    <w:rsid w:val="700B265F"/>
    <w:rsid w:val="700B62DD"/>
    <w:rsid w:val="700C06A3"/>
    <w:rsid w:val="700C1217"/>
    <w:rsid w:val="700C2451"/>
    <w:rsid w:val="700C269C"/>
    <w:rsid w:val="700C6B99"/>
    <w:rsid w:val="700D3C59"/>
    <w:rsid w:val="700D4BED"/>
    <w:rsid w:val="700D7404"/>
    <w:rsid w:val="700D7FB9"/>
    <w:rsid w:val="700E1665"/>
    <w:rsid w:val="700E1CED"/>
    <w:rsid w:val="700E441B"/>
    <w:rsid w:val="700E4969"/>
    <w:rsid w:val="700E7005"/>
    <w:rsid w:val="700E7936"/>
    <w:rsid w:val="700E7A48"/>
    <w:rsid w:val="700F193A"/>
    <w:rsid w:val="700F1F41"/>
    <w:rsid w:val="700F27EC"/>
    <w:rsid w:val="700F62E3"/>
    <w:rsid w:val="700F6C48"/>
    <w:rsid w:val="70101998"/>
    <w:rsid w:val="7010209B"/>
    <w:rsid w:val="701051AB"/>
    <w:rsid w:val="701133E3"/>
    <w:rsid w:val="70115367"/>
    <w:rsid w:val="70115CB9"/>
    <w:rsid w:val="70121BA2"/>
    <w:rsid w:val="70122F9C"/>
    <w:rsid w:val="70123A24"/>
    <w:rsid w:val="701251AA"/>
    <w:rsid w:val="70125E9D"/>
    <w:rsid w:val="70125FD5"/>
    <w:rsid w:val="70127D2E"/>
    <w:rsid w:val="701337DF"/>
    <w:rsid w:val="701344F3"/>
    <w:rsid w:val="70137936"/>
    <w:rsid w:val="701403FF"/>
    <w:rsid w:val="70145200"/>
    <w:rsid w:val="70147557"/>
    <w:rsid w:val="70150127"/>
    <w:rsid w:val="7015387B"/>
    <w:rsid w:val="701547D4"/>
    <w:rsid w:val="70155657"/>
    <w:rsid w:val="701557A9"/>
    <w:rsid w:val="70161521"/>
    <w:rsid w:val="70165D1E"/>
    <w:rsid w:val="70171CE1"/>
    <w:rsid w:val="70173E7A"/>
    <w:rsid w:val="701768E9"/>
    <w:rsid w:val="70180DF5"/>
    <w:rsid w:val="70182BA3"/>
    <w:rsid w:val="7018390F"/>
    <w:rsid w:val="70186517"/>
    <w:rsid w:val="70194B6E"/>
    <w:rsid w:val="70195DCF"/>
    <w:rsid w:val="701961ED"/>
    <w:rsid w:val="7019691C"/>
    <w:rsid w:val="701A01A5"/>
    <w:rsid w:val="701A100B"/>
    <w:rsid w:val="701A2DBF"/>
    <w:rsid w:val="701A4796"/>
    <w:rsid w:val="701A55E5"/>
    <w:rsid w:val="701B0016"/>
    <w:rsid w:val="701B0414"/>
    <w:rsid w:val="701B08E6"/>
    <w:rsid w:val="701B25C3"/>
    <w:rsid w:val="701B3365"/>
    <w:rsid w:val="701B3FCC"/>
    <w:rsid w:val="701B5F90"/>
    <w:rsid w:val="701B6B38"/>
    <w:rsid w:val="701B7558"/>
    <w:rsid w:val="701B7769"/>
    <w:rsid w:val="701C4611"/>
    <w:rsid w:val="701D0CCC"/>
    <w:rsid w:val="701D465E"/>
    <w:rsid w:val="701E1B68"/>
    <w:rsid w:val="701E2184"/>
    <w:rsid w:val="701E3F32"/>
    <w:rsid w:val="701E5708"/>
    <w:rsid w:val="701E606E"/>
    <w:rsid w:val="701E6FE2"/>
    <w:rsid w:val="701E77AF"/>
    <w:rsid w:val="701F03D6"/>
    <w:rsid w:val="701F74FE"/>
    <w:rsid w:val="7020098E"/>
    <w:rsid w:val="702020CF"/>
    <w:rsid w:val="70205EFC"/>
    <w:rsid w:val="70206657"/>
    <w:rsid w:val="70206EAD"/>
    <w:rsid w:val="702147BE"/>
    <w:rsid w:val="70217376"/>
    <w:rsid w:val="70220917"/>
    <w:rsid w:val="70221C74"/>
    <w:rsid w:val="70221E69"/>
    <w:rsid w:val="70221F5A"/>
    <w:rsid w:val="70223A22"/>
    <w:rsid w:val="702275C0"/>
    <w:rsid w:val="70231548"/>
    <w:rsid w:val="70234BE6"/>
    <w:rsid w:val="70235E29"/>
    <w:rsid w:val="70235E7F"/>
    <w:rsid w:val="702363E6"/>
    <w:rsid w:val="70236ACF"/>
    <w:rsid w:val="702414AC"/>
    <w:rsid w:val="70243511"/>
    <w:rsid w:val="702440BB"/>
    <w:rsid w:val="70253512"/>
    <w:rsid w:val="702552C0"/>
    <w:rsid w:val="70263260"/>
    <w:rsid w:val="70264800"/>
    <w:rsid w:val="70272A74"/>
    <w:rsid w:val="70275DBB"/>
    <w:rsid w:val="70283076"/>
    <w:rsid w:val="70285269"/>
    <w:rsid w:val="70291255"/>
    <w:rsid w:val="70294DB1"/>
    <w:rsid w:val="702A0B29"/>
    <w:rsid w:val="702A252A"/>
    <w:rsid w:val="702A28D7"/>
    <w:rsid w:val="702A3CB9"/>
    <w:rsid w:val="702A4EFA"/>
    <w:rsid w:val="702B0575"/>
    <w:rsid w:val="702B1923"/>
    <w:rsid w:val="702C2AF3"/>
    <w:rsid w:val="702C3A4A"/>
    <w:rsid w:val="702C48A1"/>
    <w:rsid w:val="702D0E13"/>
    <w:rsid w:val="702E23C7"/>
    <w:rsid w:val="702E2D8C"/>
    <w:rsid w:val="702E68AC"/>
    <w:rsid w:val="702F12A2"/>
    <w:rsid w:val="702F37BE"/>
    <w:rsid w:val="702F4391"/>
    <w:rsid w:val="702F526B"/>
    <w:rsid w:val="702F6FF3"/>
    <w:rsid w:val="702F7393"/>
    <w:rsid w:val="702F7EED"/>
    <w:rsid w:val="703025E3"/>
    <w:rsid w:val="703056E1"/>
    <w:rsid w:val="7030715F"/>
    <w:rsid w:val="70310109"/>
    <w:rsid w:val="70311C13"/>
    <w:rsid w:val="703126E7"/>
    <w:rsid w:val="70316E4B"/>
    <w:rsid w:val="70317A12"/>
    <w:rsid w:val="703208FB"/>
    <w:rsid w:val="70333E81"/>
    <w:rsid w:val="70335C2F"/>
    <w:rsid w:val="70337526"/>
    <w:rsid w:val="703379DD"/>
    <w:rsid w:val="7034028F"/>
    <w:rsid w:val="70342699"/>
    <w:rsid w:val="7034392C"/>
    <w:rsid w:val="703450BC"/>
    <w:rsid w:val="70346514"/>
    <w:rsid w:val="70346BDC"/>
    <w:rsid w:val="7035609D"/>
    <w:rsid w:val="703572B9"/>
    <w:rsid w:val="70357BF9"/>
    <w:rsid w:val="70363DEB"/>
    <w:rsid w:val="7036571F"/>
    <w:rsid w:val="703674CE"/>
    <w:rsid w:val="70373D1C"/>
    <w:rsid w:val="703764F0"/>
    <w:rsid w:val="70376A9F"/>
    <w:rsid w:val="70380103"/>
    <w:rsid w:val="7038050A"/>
    <w:rsid w:val="70381498"/>
    <w:rsid w:val="703816C1"/>
    <w:rsid w:val="70381E44"/>
    <w:rsid w:val="703822CF"/>
    <w:rsid w:val="70382E7C"/>
    <w:rsid w:val="70384FF4"/>
    <w:rsid w:val="703920A5"/>
    <w:rsid w:val="70393F4B"/>
    <w:rsid w:val="7039546D"/>
    <w:rsid w:val="703965C1"/>
    <w:rsid w:val="703A03E6"/>
    <w:rsid w:val="703A2D9F"/>
    <w:rsid w:val="703A4EDF"/>
    <w:rsid w:val="703A6FBE"/>
    <w:rsid w:val="703B6CD7"/>
    <w:rsid w:val="703C0167"/>
    <w:rsid w:val="703C0BB5"/>
    <w:rsid w:val="703C5E2E"/>
    <w:rsid w:val="703C6A2F"/>
    <w:rsid w:val="703C7E47"/>
    <w:rsid w:val="703D03FC"/>
    <w:rsid w:val="703D085C"/>
    <w:rsid w:val="703D112A"/>
    <w:rsid w:val="703D1676"/>
    <w:rsid w:val="703D7411"/>
    <w:rsid w:val="703E0A79"/>
    <w:rsid w:val="703E5095"/>
    <w:rsid w:val="703E627D"/>
    <w:rsid w:val="703E6382"/>
    <w:rsid w:val="703F0530"/>
    <w:rsid w:val="703F2826"/>
    <w:rsid w:val="703F45D4"/>
    <w:rsid w:val="70400046"/>
    <w:rsid w:val="70400F3B"/>
    <w:rsid w:val="704020FA"/>
    <w:rsid w:val="70406A30"/>
    <w:rsid w:val="70416D3D"/>
    <w:rsid w:val="70422316"/>
    <w:rsid w:val="70422898"/>
    <w:rsid w:val="70425E72"/>
    <w:rsid w:val="70425EB9"/>
    <w:rsid w:val="70426F6A"/>
    <w:rsid w:val="70431E2D"/>
    <w:rsid w:val="70431E6B"/>
    <w:rsid w:val="70432DA3"/>
    <w:rsid w:val="7043336C"/>
    <w:rsid w:val="70433C7B"/>
    <w:rsid w:val="704368F9"/>
    <w:rsid w:val="7044521C"/>
    <w:rsid w:val="70447E3C"/>
    <w:rsid w:val="70453BB5"/>
    <w:rsid w:val="70454311"/>
    <w:rsid w:val="704547F7"/>
    <w:rsid w:val="70455004"/>
    <w:rsid w:val="70462F0F"/>
    <w:rsid w:val="70465A61"/>
    <w:rsid w:val="70465B8B"/>
    <w:rsid w:val="70467169"/>
    <w:rsid w:val="70467840"/>
    <w:rsid w:val="70471329"/>
    <w:rsid w:val="704716DB"/>
    <w:rsid w:val="70473489"/>
    <w:rsid w:val="7047630E"/>
    <w:rsid w:val="70480FAF"/>
    <w:rsid w:val="70481468"/>
    <w:rsid w:val="7048258E"/>
    <w:rsid w:val="704827E0"/>
    <w:rsid w:val="704900BB"/>
    <w:rsid w:val="704922F4"/>
    <w:rsid w:val="70492F9C"/>
    <w:rsid w:val="7049347A"/>
    <w:rsid w:val="70495453"/>
    <w:rsid w:val="704A011C"/>
    <w:rsid w:val="704A31DA"/>
    <w:rsid w:val="704A4D27"/>
    <w:rsid w:val="704B010A"/>
    <w:rsid w:val="704B11CB"/>
    <w:rsid w:val="704B461F"/>
    <w:rsid w:val="704B69D1"/>
    <w:rsid w:val="704C0A9F"/>
    <w:rsid w:val="704C0F6E"/>
    <w:rsid w:val="704C172A"/>
    <w:rsid w:val="704C3577"/>
    <w:rsid w:val="704C3A54"/>
    <w:rsid w:val="704C4F43"/>
    <w:rsid w:val="704D2854"/>
    <w:rsid w:val="704D3058"/>
    <w:rsid w:val="704E0B46"/>
    <w:rsid w:val="704E0CBB"/>
    <w:rsid w:val="704E2A69"/>
    <w:rsid w:val="704E355A"/>
    <w:rsid w:val="704E3A0C"/>
    <w:rsid w:val="704E46DF"/>
    <w:rsid w:val="704E4817"/>
    <w:rsid w:val="704E74CD"/>
    <w:rsid w:val="704F058F"/>
    <w:rsid w:val="704F138E"/>
    <w:rsid w:val="704F1915"/>
    <w:rsid w:val="704F48B3"/>
    <w:rsid w:val="704F4E9C"/>
    <w:rsid w:val="7050022B"/>
    <w:rsid w:val="70503BEE"/>
    <w:rsid w:val="70505B3A"/>
    <w:rsid w:val="705064BC"/>
    <w:rsid w:val="70507A6D"/>
    <w:rsid w:val="70510E67"/>
    <w:rsid w:val="705160B5"/>
    <w:rsid w:val="70521FBA"/>
    <w:rsid w:val="705222F2"/>
    <w:rsid w:val="7052238D"/>
    <w:rsid w:val="70526DE2"/>
    <w:rsid w:val="70531E2E"/>
    <w:rsid w:val="70534029"/>
    <w:rsid w:val="705362D1"/>
    <w:rsid w:val="70537AF8"/>
    <w:rsid w:val="7054487A"/>
    <w:rsid w:val="70545BA6"/>
    <w:rsid w:val="70545D78"/>
    <w:rsid w:val="705515DB"/>
    <w:rsid w:val="705518A1"/>
    <w:rsid w:val="7055204A"/>
    <w:rsid w:val="70555866"/>
    <w:rsid w:val="7055771B"/>
    <w:rsid w:val="705605B6"/>
    <w:rsid w:val="70561270"/>
    <w:rsid w:val="705636CC"/>
    <w:rsid w:val="70567B70"/>
    <w:rsid w:val="70570F03"/>
    <w:rsid w:val="705729D3"/>
    <w:rsid w:val="70577A84"/>
    <w:rsid w:val="70577BDE"/>
    <w:rsid w:val="70581E29"/>
    <w:rsid w:val="7058244F"/>
    <w:rsid w:val="70585696"/>
    <w:rsid w:val="70587444"/>
    <w:rsid w:val="70587B2E"/>
    <w:rsid w:val="705908BC"/>
    <w:rsid w:val="70594DC4"/>
    <w:rsid w:val="705A19EC"/>
    <w:rsid w:val="705B04D8"/>
    <w:rsid w:val="705B0CE2"/>
    <w:rsid w:val="705B346C"/>
    <w:rsid w:val="705B5122"/>
    <w:rsid w:val="705B51CB"/>
    <w:rsid w:val="705B6F34"/>
    <w:rsid w:val="705C0F12"/>
    <w:rsid w:val="705C33D8"/>
    <w:rsid w:val="705C3469"/>
    <w:rsid w:val="705C63A1"/>
    <w:rsid w:val="705D0534"/>
    <w:rsid w:val="705D1D6F"/>
    <w:rsid w:val="705D2CAC"/>
    <w:rsid w:val="705D4A5A"/>
    <w:rsid w:val="705D74A0"/>
    <w:rsid w:val="705E18BB"/>
    <w:rsid w:val="705E2773"/>
    <w:rsid w:val="705E6C04"/>
    <w:rsid w:val="705F0223"/>
    <w:rsid w:val="705F07D2"/>
    <w:rsid w:val="705F3AA3"/>
    <w:rsid w:val="705F55EB"/>
    <w:rsid w:val="705F663F"/>
    <w:rsid w:val="705F6A24"/>
    <w:rsid w:val="7060279C"/>
    <w:rsid w:val="7060454A"/>
    <w:rsid w:val="70605773"/>
    <w:rsid w:val="70607562"/>
    <w:rsid w:val="70610B73"/>
    <w:rsid w:val="7061175D"/>
    <w:rsid w:val="706119D6"/>
    <w:rsid w:val="7061213A"/>
    <w:rsid w:val="7061628D"/>
    <w:rsid w:val="706202C3"/>
    <w:rsid w:val="70621FA4"/>
    <w:rsid w:val="70633312"/>
    <w:rsid w:val="70633EC6"/>
    <w:rsid w:val="70635EE3"/>
    <w:rsid w:val="706367FF"/>
    <w:rsid w:val="70637F02"/>
    <w:rsid w:val="70643C03"/>
    <w:rsid w:val="7064403B"/>
    <w:rsid w:val="706448C3"/>
    <w:rsid w:val="70645DE9"/>
    <w:rsid w:val="70647373"/>
    <w:rsid w:val="7065143D"/>
    <w:rsid w:val="70654152"/>
    <w:rsid w:val="70655E6C"/>
    <w:rsid w:val="70666005"/>
    <w:rsid w:val="70676A5A"/>
    <w:rsid w:val="706811B0"/>
    <w:rsid w:val="70682381"/>
    <w:rsid w:val="70685CF4"/>
    <w:rsid w:val="706860CE"/>
    <w:rsid w:val="70690614"/>
    <w:rsid w:val="70691651"/>
    <w:rsid w:val="70694A49"/>
    <w:rsid w:val="706965B1"/>
    <w:rsid w:val="706A360E"/>
    <w:rsid w:val="706A7177"/>
    <w:rsid w:val="706A79B5"/>
    <w:rsid w:val="706B04AD"/>
    <w:rsid w:val="706B2330"/>
    <w:rsid w:val="706B34C1"/>
    <w:rsid w:val="706B361B"/>
    <w:rsid w:val="706C1141"/>
    <w:rsid w:val="706C2EEF"/>
    <w:rsid w:val="706C3290"/>
    <w:rsid w:val="706C4DA0"/>
    <w:rsid w:val="706C5B05"/>
    <w:rsid w:val="706C7393"/>
    <w:rsid w:val="706D1B18"/>
    <w:rsid w:val="706D6F95"/>
    <w:rsid w:val="706D710F"/>
    <w:rsid w:val="706D7219"/>
    <w:rsid w:val="706E3D02"/>
    <w:rsid w:val="706E4681"/>
    <w:rsid w:val="706E4EB9"/>
    <w:rsid w:val="706E6C67"/>
    <w:rsid w:val="706E6F5E"/>
    <w:rsid w:val="706F1148"/>
    <w:rsid w:val="706F1B67"/>
    <w:rsid w:val="706F3C7D"/>
    <w:rsid w:val="706F413D"/>
    <w:rsid w:val="706F478E"/>
    <w:rsid w:val="706F50D7"/>
    <w:rsid w:val="706F53D8"/>
    <w:rsid w:val="70700C31"/>
    <w:rsid w:val="70716758"/>
    <w:rsid w:val="70716DA6"/>
    <w:rsid w:val="70717BC2"/>
    <w:rsid w:val="70717C09"/>
    <w:rsid w:val="7072321E"/>
    <w:rsid w:val="707256A0"/>
    <w:rsid w:val="70730A2E"/>
    <w:rsid w:val="707312FD"/>
    <w:rsid w:val="70731F04"/>
    <w:rsid w:val="70733A46"/>
    <w:rsid w:val="707352C8"/>
    <w:rsid w:val="70736458"/>
    <w:rsid w:val="707366FE"/>
    <w:rsid w:val="707404AB"/>
    <w:rsid w:val="70746C4C"/>
    <w:rsid w:val="707504E9"/>
    <w:rsid w:val="70750887"/>
    <w:rsid w:val="70750D16"/>
    <w:rsid w:val="70750EC5"/>
    <w:rsid w:val="7075449A"/>
    <w:rsid w:val="70754D68"/>
    <w:rsid w:val="70756248"/>
    <w:rsid w:val="707564C4"/>
    <w:rsid w:val="70757299"/>
    <w:rsid w:val="70757FF6"/>
    <w:rsid w:val="70763D6E"/>
    <w:rsid w:val="70765B1C"/>
    <w:rsid w:val="7076668A"/>
    <w:rsid w:val="70771C34"/>
    <w:rsid w:val="70773CAE"/>
    <w:rsid w:val="70781894"/>
    <w:rsid w:val="70785D38"/>
    <w:rsid w:val="70787698"/>
    <w:rsid w:val="70790109"/>
    <w:rsid w:val="70792530"/>
    <w:rsid w:val="707930C3"/>
    <w:rsid w:val="70794C91"/>
    <w:rsid w:val="70797B1A"/>
    <w:rsid w:val="707A1AB0"/>
    <w:rsid w:val="707A3815"/>
    <w:rsid w:val="707A385E"/>
    <w:rsid w:val="707A389D"/>
    <w:rsid w:val="707B3132"/>
    <w:rsid w:val="707B7ADE"/>
    <w:rsid w:val="707C2641"/>
    <w:rsid w:val="707C2A9B"/>
    <w:rsid w:val="707C55AA"/>
    <w:rsid w:val="707C7788"/>
    <w:rsid w:val="707D16C2"/>
    <w:rsid w:val="707D1AE0"/>
    <w:rsid w:val="707D1FC9"/>
    <w:rsid w:val="707D6EAA"/>
    <w:rsid w:val="707E0D8C"/>
    <w:rsid w:val="707E2AEB"/>
    <w:rsid w:val="707E6550"/>
    <w:rsid w:val="707E7F1A"/>
    <w:rsid w:val="707F70C6"/>
    <w:rsid w:val="70803150"/>
    <w:rsid w:val="7080540B"/>
    <w:rsid w:val="708062D8"/>
    <w:rsid w:val="70806636"/>
    <w:rsid w:val="70812BA6"/>
    <w:rsid w:val="70812E3F"/>
    <w:rsid w:val="70815461"/>
    <w:rsid w:val="70815797"/>
    <w:rsid w:val="70815B82"/>
    <w:rsid w:val="70816A26"/>
    <w:rsid w:val="70817FC6"/>
    <w:rsid w:val="70820556"/>
    <w:rsid w:val="708244C1"/>
    <w:rsid w:val="70827575"/>
    <w:rsid w:val="70835054"/>
    <w:rsid w:val="70840695"/>
    <w:rsid w:val="708446DD"/>
    <w:rsid w:val="7084648B"/>
    <w:rsid w:val="7084695D"/>
    <w:rsid w:val="7085106F"/>
    <w:rsid w:val="70852E8C"/>
    <w:rsid w:val="70853FB1"/>
    <w:rsid w:val="70854F86"/>
    <w:rsid w:val="7085726E"/>
    <w:rsid w:val="70857324"/>
    <w:rsid w:val="70860455"/>
    <w:rsid w:val="70862004"/>
    <w:rsid w:val="70862203"/>
    <w:rsid w:val="708650CE"/>
    <w:rsid w:val="70866F48"/>
    <w:rsid w:val="70871AD7"/>
    <w:rsid w:val="70872A01"/>
    <w:rsid w:val="70873531"/>
    <w:rsid w:val="708741CD"/>
    <w:rsid w:val="70877D29"/>
    <w:rsid w:val="708805E8"/>
    <w:rsid w:val="708822B6"/>
    <w:rsid w:val="70886667"/>
    <w:rsid w:val="7088676E"/>
    <w:rsid w:val="708904FC"/>
    <w:rsid w:val="70890CB7"/>
    <w:rsid w:val="70891CF3"/>
    <w:rsid w:val="70893AA1"/>
    <w:rsid w:val="70895765"/>
    <w:rsid w:val="70895CA8"/>
    <w:rsid w:val="708A15C7"/>
    <w:rsid w:val="708A37B0"/>
    <w:rsid w:val="708A46EF"/>
    <w:rsid w:val="708A5704"/>
    <w:rsid w:val="708A6C91"/>
    <w:rsid w:val="708B3079"/>
    <w:rsid w:val="708B5A6B"/>
    <w:rsid w:val="708B7819"/>
    <w:rsid w:val="708C17E3"/>
    <w:rsid w:val="708C3591"/>
    <w:rsid w:val="708C533F"/>
    <w:rsid w:val="708C6794"/>
    <w:rsid w:val="708D66A9"/>
    <w:rsid w:val="708E2E66"/>
    <w:rsid w:val="708F6BDE"/>
    <w:rsid w:val="70901D61"/>
    <w:rsid w:val="70904F00"/>
    <w:rsid w:val="70910BA8"/>
    <w:rsid w:val="70910F61"/>
    <w:rsid w:val="70911369"/>
    <w:rsid w:val="70932B72"/>
    <w:rsid w:val="70934920"/>
    <w:rsid w:val="70935B71"/>
    <w:rsid w:val="709366CE"/>
    <w:rsid w:val="709460AE"/>
    <w:rsid w:val="709519E6"/>
    <w:rsid w:val="70952446"/>
    <w:rsid w:val="70953098"/>
    <w:rsid w:val="709541F4"/>
    <w:rsid w:val="70954B4C"/>
    <w:rsid w:val="70954D22"/>
    <w:rsid w:val="70966018"/>
    <w:rsid w:val="709661BE"/>
    <w:rsid w:val="70967F6C"/>
    <w:rsid w:val="7097038A"/>
    <w:rsid w:val="709727A0"/>
    <w:rsid w:val="70983692"/>
    <w:rsid w:val="70990127"/>
    <w:rsid w:val="709909C3"/>
    <w:rsid w:val="7099178C"/>
    <w:rsid w:val="70992B37"/>
    <w:rsid w:val="70995462"/>
    <w:rsid w:val="709A3F00"/>
    <w:rsid w:val="709A5CAE"/>
    <w:rsid w:val="709A5CB6"/>
    <w:rsid w:val="709A7A5C"/>
    <w:rsid w:val="709B5583"/>
    <w:rsid w:val="709C1D46"/>
    <w:rsid w:val="709C58E9"/>
    <w:rsid w:val="709C6C3E"/>
    <w:rsid w:val="709C7318"/>
    <w:rsid w:val="709C78A1"/>
    <w:rsid w:val="709D1579"/>
    <w:rsid w:val="709D16AE"/>
    <w:rsid w:val="709D185E"/>
    <w:rsid w:val="709D579F"/>
    <w:rsid w:val="709D5B99"/>
    <w:rsid w:val="709E3A43"/>
    <w:rsid w:val="709E7ABC"/>
    <w:rsid w:val="709F1268"/>
    <w:rsid w:val="709F1517"/>
    <w:rsid w:val="709F1A36"/>
    <w:rsid w:val="709F2182"/>
    <w:rsid w:val="709F2893"/>
    <w:rsid w:val="709F32C5"/>
    <w:rsid w:val="709F3565"/>
    <w:rsid w:val="709F7257"/>
    <w:rsid w:val="70A068F9"/>
    <w:rsid w:val="70A07707"/>
    <w:rsid w:val="70A1406F"/>
    <w:rsid w:val="70A1528F"/>
    <w:rsid w:val="70A15E85"/>
    <w:rsid w:val="70A1703D"/>
    <w:rsid w:val="70A242BA"/>
    <w:rsid w:val="70A26911"/>
    <w:rsid w:val="70A27323"/>
    <w:rsid w:val="70A33D42"/>
    <w:rsid w:val="70A33D54"/>
    <w:rsid w:val="70A408DB"/>
    <w:rsid w:val="70A445E7"/>
    <w:rsid w:val="70A4765A"/>
    <w:rsid w:val="70A50D8C"/>
    <w:rsid w:val="70A520C3"/>
    <w:rsid w:val="70A543B9"/>
    <w:rsid w:val="70A55232"/>
    <w:rsid w:val="70A67995"/>
    <w:rsid w:val="70A67BBE"/>
    <w:rsid w:val="70A7041C"/>
    <w:rsid w:val="70A71F84"/>
    <w:rsid w:val="70A72F10"/>
    <w:rsid w:val="70A73F27"/>
    <w:rsid w:val="70A777A4"/>
    <w:rsid w:val="70A80973"/>
    <w:rsid w:val="70A84D80"/>
    <w:rsid w:val="70A857E1"/>
    <w:rsid w:val="70A87CEF"/>
    <w:rsid w:val="70A93C7D"/>
    <w:rsid w:val="70A94143"/>
    <w:rsid w:val="70A9543C"/>
    <w:rsid w:val="70A971E8"/>
    <w:rsid w:val="70A97BAD"/>
    <w:rsid w:val="70AA0FB0"/>
    <w:rsid w:val="70AA1A9F"/>
    <w:rsid w:val="70AA29CD"/>
    <w:rsid w:val="70AA36BE"/>
    <w:rsid w:val="70AA6E55"/>
    <w:rsid w:val="70AA6F37"/>
    <w:rsid w:val="70AB042B"/>
    <w:rsid w:val="70AB1C6A"/>
    <w:rsid w:val="70AB1F8C"/>
    <w:rsid w:val="70AB2988"/>
    <w:rsid w:val="70AB6E04"/>
    <w:rsid w:val="70AC04F3"/>
    <w:rsid w:val="70AC23DC"/>
    <w:rsid w:val="70AC4844"/>
    <w:rsid w:val="70AC59E2"/>
    <w:rsid w:val="70AC72AA"/>
    <w:rsid w:val="70AD6730"/>
    <w:rsid w:val="70AD6FF9"/>
    <w:rsid w:val="70AD73F2"/>
    <w:rsid w:val="70AE175A"/>
    <w:rsid w:val="70AE3508"/>
    <w:rsid w:val="70AE5F6F"/>
    <w:rsid w:val="70AF25F2"/>
    <w:rsid w:val="70AF4068"/>
    <w:rsid w:val="70B00342"/>
    <w:rsid w:val="70B0102E"/>
    <w:rsid w:val="70B02DA9"/>
    <w:rsid w:val="70B02FAD"/>
    <w:rsid w:val="70B03C45"/>
    <w:rsid w:val="70B063C9"/>
    <w:rsid w:val="70B06B33"/>
    <w:rsid w:val="70B07280"/>
    <w:rsid w:val="70B1297D"/>
    <w:rsid w:val="70B14DCB"/>
    <w:rsid w:val="70B1597A"/>
    <w:rsid w:val="70B176FE"/>
    <w:rsid w:val="70B2014F"/>
    <w:rsid w:val="70B2124A"/>
    <w:rsid w:val="70B256C9"/>
    <w:rsid w:val="70B258CF"/>
    <w:rsid w:val="70B27DC4"/>
    <w:rsid w:val="70B328CC"/>
    <w:rsid w:val="70B32E6B"/>
    <w:rsid w:val="70B3356A"/>
    <w:rsid w:val="70B33A16"/>
    <w:rsid w:val="70B33D0F"/>
    <w:rsid w:val="70B35E92"/>
    <w:rsid w:val="70B36532"/>
    <w:rsid w:val="70B36D70"/>
    <w:rsid w:val="70B379F0"/>
    <w:rsid w:val="70B401BD"/>
    <w:rsid w:val="70B4172A"/>
    <w:rsid w:val="70B42271"/>
    <w:rsid w:val="70B42BBA"/>
    <w:rsid w:val="70B46B98"/>
    <w:rsid w:val="70B51812"/>
    <w:rsid w:val="70B52AE8"/>
    <w:rsid w:val="70B53F76"/>
    <w:rsid w:val="70B5404A"/>
    <w:rsid w:val="70B546E4"/>
    <w:rsid w:val="70B54896"/>
    <w:rsid w:val="70B556D8"/>
    <w:rsid w:val="70B56644"/>
    <w:rsid w:val="70B623BC"/>
    <w:rsid w:val="70B64B03"/>
    <w:rsid w:val="70B666F7"/>
    <w:rsid w:val="70B7060E"/>
    <w:rsid w:val="70B72C7C"/>
    <w:rsid w:val="70B82EC6"/>
    <w:rsid w:val="70B84386"/>
    <w:rsid w:val="70B85476"/>
    <w:rsid w:val="70B86135"/>
    <w:rsid w:val="70B95944"/>
    <w:rsid w:val="70BA20CF"/>
    <w:rsid w:val="70BA5B43"/>
    <w:rsid w:val="70BB456B"/>
    <w:rsid w:val="70BB7177"/>
    <w:rsid w:val="70BB7EBB"/>
    <w:rsid w:val="70BC0A71"/>
    <w:rsid w:val="70BC3E77"/>
    <w:rsid w:val="70BC5C25"/>
    <w:rsid w:val="70BD0A52"/>
    <w:rsid w:val="70BD199D"/>
    <w:rsid w:val="70BD21C4"/>
    <w:rsid w:val="70BD3CD5"/>
    <w:rsid w:val="70BD7BEF"/>
    <w:rsid w:val="70BE1EDC"/>
    <w:rsid w:val="70BE2544"/>
    <w:rsid w:val="70BE38AB"/>
    <w:rsid w:val="70BE6C10"/>
    <w:rsid w:val="70BF1360"/>
    <w:rsid w:val="70BF3967"/>
    <w:rsid w:val="70BF5715"/>
    <w:rsid w:val="70BF7CCC"/>
    <w:rsid w:val="70C00A7E"/>
    <w:rsid w:val="70C04FE9"/>
    <w:rsid w:val="70C1148D"/>
    <w:rsid w:val="70C13061"/>
    <w:rsid w:val="70C13D2D"/>
    <w:rsid w:val="70C15151"/>
    <w:rsid w:val="70C2045E"/>
    <w:rsid w:val="70C20D61"/>
    <w:rsid w:val="70C26FB3"/>
    <w:rsid w:val="70C3146A"/>
    <w:rsid w:val="70C332D4"/>
    <w:rsid w:val="70C33D52"/>
    <w:rsid w:val="70C34AA6"/>
    <w:rsid w:val="70C36F51"/>
    <w:rsid w:val="70C40644"/>
    <w:rsid w:val="70C40F7D"/>
    <w:rsid w:val="70C41FF7"/>
    <w:rsid w:val="70C42D2B"/>
    <w:rsid w:val="70C44839"/>
    <w:rsid w:val="70C44AD9"/>
    <w:rsid w:val="70C5131C"/>
    <w:rsid w:val="70C525FF"/>
    <w:rsid w:val="70C5331E"/>
    <w:rsid w:val="70C573B0"/>
    <w:rsid w:val="70C60851"/>
    <w:rsid w:val="70C61007"/>
    <w:rsid w:val="70C64CF5"/>
    <w:rsid w:val="70C6572E"/>
    <w:rsid w:val="70C74854"/>
    <w:rsid w:val="70C76378"/>
    <w:rsid w:val="70C76FD8"/>
    <w:rsid w:val="70C825B7"/>
    <w:rsid w:val="70C8281B"/>
    <w:rsid w:val="70C83423"/>
    <w:rsid w:val="70C83C00"/>
    <w:rsid w:val="70C83FA1"/>
    <w:rsid w:val="70C85964"/>
    <w:rsid w:val="70C86EFB"/>
    <w:rsid w:val="70C920F0"/>
    <w:rsid w:val="70C924BF"/>
    <w:rsid w:val="70C9629C"/>
    <w:rsid w:val="70C96594"/>
    <w:rsid w:val="70C96A87"/>
    <w:rsid w:val="70CA16C5"/>
    <w:rsid w:val="70CA3010"/>
    <w:rsid w:val="70CA37B5"/>
    <w:rsid w:val="70CA394F"/>
    <w:rsid w:val="70CA4657"/>
    <w:rsid w:val="70CA4BBC"/>
    <w:rsid w:val="70CA5878"/>
    <w:rsid w:val="70CA6162"/>
    <w:rsid w:val="70CB35EB"/>
    <w:rsid w:val="70CB4CB5"/>
    <w:rsid w:val="70CB5961"/>
    <w:rsid w:val="70CB79B0"/>
    <w:rsid w:val="70CC00DD"/>
    <w:rsid w:val="70CC07D9"/>
    <w:rsid w:val="70CC53CF"/>
    <w:rsid w:val="70CD08D4"/>
    <w:rsid w:val="70CD16CB"/>
    <w:rsid w:val="70CD7E32"/>
    <w:rsid w:val="70CE0F75"/>
    <w:rsid w:val="70CE3BAA"/>
    <w:rsid w:val="70D04C34"/>
    <w:rsid w:val="70D07156"/>
    <w:rsid w:val="70D10EED"/>
    <w:rsid w:val="70D171F6"/>
    <w:rsid w:val="70D17881"/>
    <w:rsid w:val="70D22280"/>
    <w:rsid w:val="70D2369A"/>
    <w:rsid w:val="70D25448"/>
    <w:rsid w:val="70D26415"/>
    <w:rsid w:val="70D306D4"/>
    <w:rsid w:val="70D3219F"/>
    <w:rsid w:val="70D32F6E"/>
    <w:rsid w:val="70D3556F"/>
    <w:rsid w:val="70D41E39"/>
    <w:rsid w:val="70D44A6D"/>
    <w:rsid w:val="70D45421"/>
    <w:rsid w:val="70D47C27"/>
    <w:rsid w:val="70D529D0"/>
    <w:rsid w:val="70D54425"/>
    <w:rsid w:val="70D54F38"/>
    <w:rsid w:val="70D60242"/>
    <w:rsid w:val="70D64AC3"/>
    <w:rsid w:val="70D66C60"/>
    <w:rsid w:val="70D70CB1"/>
    <w:rsid w:val="70D725C8"/>
    <w:rsid w:val="70D72A5F"/>
    <w:rsid w:val="70D73053"/>
    <w:rsid w:val="70D731DB"/>
    <w:rsid w:val="70D75F53"/>
    <w:rsid w:val="70D77694"/>
    <w:rsid w:val="70D80585"/>
    <w:rsid w:val="70D94A29"/>
    <w:rsid w:val="70DA0208"/>
    <w:rsid w:val="70DA2184"/>
    <w:rsid w:val="70DA42FD"/>
    <w:rsid w:val="70DA4CC5"/>
    <w:rsid w:val="70DA60AB"/>
    <w:rsid w:val="70DC0075"/>
    <w:rsid w:val="70DC0A55"/>
    <w:rsid w:val="70DC0EC0"/>
    <w:rsid w:val="70DC1E23"/>
    <w:rsid w:val="70DC68F1"/>
    <w:rsid w:val="70DC753B"/>
    <w:rsid w:val="70DD274A"/>
    <w:rsid w:val="70DD294E"/>
    <w:rsid w:val="70DD3DED"/>
    <w:rsid w:val="70DD4745"/>
    <w:rsid w:val="70DD5B9B"/>
    <w:rsid w:val="70DE203F"/>
    <w:rsid w:val="70DE2F2A"/>
    <w:rsid w:val="70DF36C1"/>
    <w:rsid w:val="70E00746"/>
    <w:rsid w:val="70E00B8F"/>
    <w:rsid w:val="70E01E87"/>
    <w:rsid w:val="70E025D0"/>
    <w:rsid w:val="70E10989"/>
    <w:rsid w:val="70E14DE6"/>
    <w:rsid w:val="70E1568B"/>
    <w:rsid w:val="70E20689"/>
    <w:rsid w:val="70E225DC"/>
    <w:rsid w:val="70E247A7"/>
    <w:rsid w:val="70E27D9A"/>
    <w:rsid w:val="70E32D14"/>
    <w:rsid w:val="70E36344"/>
    <w:rsid w:val="70E37655"/>
    <w:rsid w:val="70E3772C"/>
    <w:rsid w:val="70E411CA"/>
    <w:rsid w:val="70E41437"/>
    <w:rsid w:val="70E433CD"/>
    <w:rsid w:val="70E446A8"/>
    <w:rsid w:val="70E447DC"/>
    <w:rsid w:val="70E500CF"/>
    <w:rsid w:val="70E546AA"/>
    <w:rsid w:val="70E56387"/>
    <w:rsid w:val="70E6019D"/>
    <w:rsid w:val="70E60EF4"/>
    <w:rsid w:val="70E61366"/>
    <w:rsid w:val="70E6244D"/>
    <w:rsid w:val="70E6670A"/>
    <w:rsid w:val="70E76A1A"/>
    <w:rsid w:val="70E777FF"/>
    <w:rsid w:val="70E8464B"/>
    <w:rsid w:val="70E84C6C"/>
    <w:rsid w:val="70E92792"/>
    <w:rsid w:val="70E92F39"/>
    <w:rsid w:val="70E93533"/>
    <w:rsid w:val="70E94E08"/>
    <w:rsid w:val="70EA1EA5"/>
    <w:rsid w:val="70EA3E00"/>
    <w:rsid w:val="70EA5F96"/>
    <w:rsid w:val="70EA68EC"/>
    <w:rsid w:val="70EB475C"/>
    <w:rsid w:val="70EB650A"/>
    <w:rsid w:val="70EC0D8E"/>
    <w:rsid w:val="70EC2E58"/>
    <w:rsid w:val="70EC5A32"/>
    <w:rsid w:val="70EC6BB9"/>
    <w:rsid w:val="70ED08D4"/>
    <w:rsid w:val="70ED2282"/>
    <w:rsid w:val="70ED4030"/>
    <w:rsid w:val="70EE0C42"/>
    <w:rsid w:val="70EE23DA"/>
    <w:rsid w:val="70EE24C1"/>
    <w:rsid w:val="70EE2D4A"/>
    <w:rsid w:val="70EE2E58"/>
    <w:rsid w:val="70EE591B"/>
    <w:rsid w:val="70EE5FFA"/>
    <w:rsid w:val="70EE66BF"/>
    <w:rsid w:val="70EE7484"/>
    <w:rsid w:val="70EF0EE4"/>
    <w:rsid w:val="70EF6DAB"/>
    <w:rsid w:val="70EF72AD"/>
    <w:rsid w:val="70EF7AA9"/>
    <w:rsid w:val="70F01D72"/>
    <w:rsid w:val="70F02073"/>
    <w:rsid w:val="70F058CE"/>
    <w:rsid w:val="70F07884"/>
    <w:rsid w:val="70F1174C"/>
    <w:rsid w:val="70F1644F"/>
    <w:rsid w:val="70F20180"/>
    <w:rsid w:val="70F20E16"/>
    <w:rsid w:val="70F20EE6"/>
    <w:rsid w:val="70F25BF0"/>
    <w:rsid w:val="70F27898"/>
    <w:rsid w:val="70F27D66"/>
    <w:rsid w:val="70F3688E"/>
    <w:rsid w:val="70F3716D"/>
    <w:rsid w:val="70F403C7"/>
    <w:rsid w:val="70F40A97"/>
    <w:rsid w:val="70F40C57"/>
    <w:rsid w:val="70F42ADA"/>
    <w:rsid w:val="70F467DE"/>
    <w:rsid w:val="70F51137"/>
    <w:rsid w:val="70F52EE5"/>
    <w:rsid w:val="70F537D8"/>
    <w:rsid w:val="70F53DCC"/>
    <w:rsid w:val="70F540F7"/>
    <w:rsid w:val="70F55465"/>
    <w:rsid w:val="70F57389"/>
    <w:rsid w:val="70F60E79"/>
    <w:rsid w:val="70F61506"/>
    <w:rsid w:val="70F641D5"/>
    <w:rsid w:val="70F65308"/>
    <w:rsid w:val="70F71AC9"/>
    <w:rsid w:val="70F72433"/>
    <w:rsid w:val="70F72A2A"/>
    <w:rsid w:val="70F73101"/>
    <w:rsid w:val="70F748AD"/>
    <w:rsid w:val="70F76C5D"/>
    <w:rsid w:val="70F80C27"/>
    <w:rsid w:val="70F8159E"/>
    <w:rsid w:val="70F81679"/>
    <w:rsid w:val="70F829D5"/>
    <w:rsid w:val="70F84783"/>
    <w:rsid w:val="70F857E7"/>
    <w:rsid w:val="70F860CB"/>
    <w:rsid w:val="70F92213"/>
    <w:rsid w:val="70F93937"/>
    <w:rsid w:val="70F93F80"/>
    <w:rsid w:val="70F96A9F"/>
    <w:rsid w:val="70FA25FF"/>
    <w:rsid w:val="70FB0D32"/>
    <w:rsid w:val="70FB119D"/>
    <w:rsid w:val="70FB1594"/>
    <w:rsid w:val="70FB5F5B"/>
    <w:rsid w:val="70FC0717"/>
    <w:rsid w:val="70FC2815"/>
    <w:rsid w:val="70FC33E1"/>
    <w:rsid w:val="70FC61FE"/>
    <w:rsid w:val="70FC67DE"/>
    <w:rsid w:val="70FC7F9E"/>
    <w:rsid w:val="70FD0F3E"/>
    <w:rsid w:val="70FE2D9D"/>
    <w:rsid w:val="70FE623D"/>
    <w:rsid w:val="70FE7890"/>
    <w:rsid w:val="70FF28CC"/>
    <w:rsid w:val="70FF6DAB"/>
    <w:rsid w:val="7101188A"/>
    <w:rsid w:val="710137C2"/>
    <w:rsid w:val="710153C2"/>
    <w:rsid w:val="71017ADB"/>
    <w:rsid w:val="710218E0"/>
    <w:rsid w:val="71021DE0"/>
    <w:rsid w:val="71022B95"/>
    <w:rsid w:val="71023D91"/>
    <w:rsid w:val="710246BD"/>
    <w:rsid w:val="71025602"/>
    <w:rsid w:val="71025B17"/>
    <w:rsid w:val="71031AA6"/>
    <w:rsid w:val="710334F3"/>
    <w:rsid w:val="71033AE0"/>
    <w:rsid w:val="71035A1A"/>
    <w:rsid w:val="71035A2D"/>
    <w:rsid w:val="71035FB5"/>
    <w:rsid w:val="710366B1"/>
    <w:rsid w:val="71036FC0"/>
    <w:rsid w:val="7104137A"/>
    <w:rsid w:val="71044E9D"/>
    <w:rsid w:val="7104581E"/>
    <w:rsid w:val="7104645B"/>
    <w:rsid w:val="7105007B"/>
    <w:rsid w:val="71051911"/>
    <w:rsid w:val="71052712"/>
    <w:rsid w:val="7105342B"/>
    <w:rsid w:val="71053D69"/>
    <w:rsid w:val="71057FA1"/>
    <w:rsid w:val="71063BA2"/>
    <w:rsid w:val="71065A03"/>
    <w:rsid w:val="71066C42"/>
    <w:rsid w:val="71067A16"/>
    <w:rsid w:val="71072C18"/>
    <w:rsid w:val="710740F6"/>
    <w:rsid w:val="7107437E"/>
    <w:rsid w:val="71075FC7"/>
    <w:rsid w:val="7108068A"/>
    <w:rsid w:val="71080E6A"/>
    <w:rsid w:val="710812D5"/>
    <w:rsid w:val="71085985"/>
    <w:rsid w:val="710859E4"/>
    <w:rsid w:val="710870BC"/>
    <w:rsid w:val="71090B77"/>
    <w:rsid w:val="71091764"/>
    <w:rsid w:val="71092E34"/>
    <w:rsid w:val="71093E1C"/>
    <w:rsid w:val="71094F58"/>
    <w:rsid w:val="710965DE"/>
    <w:rsid w:val="71096990"/>
    <w:rsid w:val="71097D79"/>
    <w:rsid w:val="710A1147"/>
    <w:rsid w:val="710A284E"/>
    <w:rsid w:val="710B50BD"/>
    <w:rsid w:val="710B6BAC"/>
    <w:rsid w:val="710C62D3"/>
    <w:rsid w:val="710C6B8D"/>
    <w:rsid w:val="710D0D8C"/>
    <w:rsid w:val="710D2F5C"/>
    <w:rsid w:val="710D65A4"/>
    <w:rsid w:val="710D6D75"/>
    <w:rsid w:val="710E00E4"/>
    <w:rsid w:val="710F0A22"/>
    <w:rsid w:val="710F37C4"/>
    <w:rsid w:val="710F674F"/>
    <w:rsid w:val="7110006A"/>
    <w:rsid w:val="71102A0B"/>
    <w:rsid w:val="711041C2"/>
    <w:rsid w:val="71105F71"/>
    <w:rsid w:val="711060E4"/>
    <w:rsid w:val="71107643"/>
    <w:rsid w:val="71107D1F"/>
    <w:rsid w:val="7111229B"/>
    <w:rsid w:val="71113AA3"/>
    <w:rsid w:val="711200BC"/>
    <w:rsid w:val="71120272"/>
    <w:rsid w:val="71120BE6"/>
    <w:rsid w:val="71123A97"/>
    <w:rsid w:val="71125845"/>
    <w:rsid w:val="7112654D"/>
    <w:rsid w:val="71127757"/>
    <w:rsid w:val="7113154C"/>
    <w:rsid w:val="711335D5"/>
    <w:rsid w:val="71133AE8"/>
    <w:rsid w:val="711361A6"/>
    <w:rsid w:val="7113780F"/>
    <w:rsid w:val="7114337A"/>
    <w:rsid w:val="71144A65"/>
    <w:rsid w:val="71145A61"/>
    <w:rsid w:val="711517D9"/>
    <w:rsid w:val="7116047C"/>
    <w:rsid w:val="71161E4A"/>
    <w:rsid w:val="71161F56"/>
    <w:rsid w:val="71163697"/>
    <w:rsid w:val="71164570"/>
    <w:rsid w:val="711669AA"/>
    <w:rsid w:val="711710AD"/>
    <w:rsid w:val="711733E6"/>
    <w:rsid w:val="71174095"/>
    <w:rsid w:val="71175551"/>
    <w:rsid w:val="711772FF"/>
    <w:rsid w:val="71182597"/>
    <w:rsid w:val="711915D1"/>
    <w:rsid w:val="71195F7E"/>
    <w:rsid w:val="71197447"/>
    <w:rsid w:val="711A0B9D"/>
    <w:rsid w:val="711A294B"/>
    <w:rsid w:val="711A32FB"/>
    <w:rsid w:val="711A34A8"/>
    <w:rsid w:val="711A4BFF"/>
    <w:rsid w:val="711A6FFF"/>
    <w:rsid w:val="711A7D18"/>
    <w:rsid w:val="711C30A4"/>
    <w:rsid w:val="711C4915"/>
    <w:rsid w:val="711C560B"/>
    <w:rsid w:val="711C5DC8"/>
    <w:rsid w:val="711D0A5B"/>
    <w:rsid w:val="711D243B"/>
    <w:rsid w:val="711D2C54"/>
    <w:rsid w:val="711D3905"/>
    <w:rsid w:val="711D51AC"/>
    <w:rsid w:val="711E1178"/>
    <w:rsid w:val="711E1BDD"/>
    <w:rsid w:val="711E3BFD"/>
    <w:rsid w:val="711E5B18"/>
    <w:rsid w:val="711F4749"/>
    <w:rsid w:val="711F52F6"/>
    <w:rsid w:val="711F62B3"/>
    <w:rsid w:val="711F7F62"/>
    <w:rsid w:val="7120098D"/>
    <w:rsid w:val="71200C76"/>
    <w:rsid w:val="71202899"/>
    <w:rsid w:val="71205BD9"/>
    <w:rsid w:val="71210200"/>
    <w:rsid w:val="71211781"/>
    <w:rsid w:val="71211937"/>
    <w:rsid w:val="71211F2C"/>
    <w:rsid w:val="71214694"/>
    <w:rsid w:val="71217069"/>
    <w:rsid w:val="712173EB"/>
    <w:rsid w:val="712210CB"/>
    <w:rsid w:val="7123334E"/>
    <w:rsid w:val="71235CA4"/>
    <w:rsid w:val="71237A52"/>
    <w:rsid w:val="712437CA"/>
    <w:rsid w:val="71245578"/>
    <w:rsid w:val="71247F4B"/>
    <w:rsid w:val="712516BB"/>
    <w:rsid w:val="71254C00"/>
    <w:rsid w:val="71255166"/>
    <w:rsid w:val="71255393"/>
    <w:rsid w:val="71257036"/>
    <w:rsid w:val="712573E8"/>
    <w:rsid w:val="7126031D"/>
    <w:rsid w:val="712612F0"/>
    <w:rsid w:val="712621B1"/>
    <w:rsid w:val="71263444"/>
    <w:rsid w:val="712676E2"/>
    <w:rsid w:val="712722CE"/>
    <w:rsid w:val="71273359"/>
    <w:rsid w:val="71280E29"/>
    <w:rsid w:val="71284DA3"/>
    <w:rsid w:val="71285068"/>
    <w:rsid w:val="71293D73"/>
    <w:rsid w:val="71295517"/>
    <w:rsid w:val="7129585C"/>
    <w:rsid w:val="71295C20"/>
    <w:rsid w:val="71296F3C"/>
    <w:rsid w:val="71296FB4"/>
    <w:rsid w:val="71297032"/>
    <w:rsid w:val="712A185C"/>
    <w:rsid w:val="712A195C"/>
    <w:rsid w:val="712A3EF4"/>
    <w:rsid w:val="712A5284"/>
    <w:rsid w:val="712A5937"/>
    <w:rsid w:val="712A5D7C"/>
    <w:rsid w:val="712B2DAA"/>
    <w:rsid w:val="712B4B58"/>
    <w:rsid w:val="712B6906"/>
    <w:rsid w:val="712B7120"/>
    <w:rsid w:val="712C417C"/>
    <w:rsid w:val="712C58BD"/>
    <w:rsid w:val="712C7546"/>
    <w:rsid w:val="712D13AD"/>
    <w:rsid w:val="712D3EA3"/>
    <w:rsid w:val="712D4D29"/>
    <w:rsid w:val="712D587C"/>
    <w:rsid w:val="712D6672"/>
    <w:rsid w:val="712D6B22"/>
    <w:rsid w:val="712E0AAC"/>
    <w:rsid w:val="712E2A3B"/>
    <w:rsid w:val="712E2EAA"/>
    <w:rsid w:val="712E58FF"/>
    <w:rsid w:val="712E63F7"/>
    <w:rsid w:val="712E686B"/>
    <w:rsid w:val="712E6D3E"/>
    <w:rsid w:val="712F0791"/>
    <w:rsid w:val="712F0F78"/>
    <w:rsid w:val="712F1DB0"/>
    <w:rsid w:val="712F1EAB"/>
    <w:rsid w:val="712F4635"/>
    <w:rsid w:val="712F49A0"/>
    <w:rsid w:val="712F7E59"/>
    <w:rsid w:val="713003C1"/>
    <w:rsid w:val="7130216F"/>
    <w:rsid w:val="71303AA4"/>
    <w:rsid w:val="71306613"/>
    <w:rsid w:val="7130691D"/>
    <w:rsid w:val="71307C56"/>
    <w:rsid w:val="713109AD"/>
    <w:rsid w:val="71310D08"/>
    <w:rsid w:val="71316BE8"/>
    <w:rsid w:val="7132172F"/>
    <w:rsid w:val="71322C9C"/>
    <w:rsid w:val="71324139"/>
    <w:rsid w:val="71325EE7"/>
    <w:rsid w:val="71327BB6"/>
    <w:rsid w:val="71327C95"/>
    <w:rsid w:val="71331D62"/>
    <w:rsid w:val="71332C5E"/>
    <w:rsid w:val="71332FAC"/>
    <w:rsid w:val="713341F2"/>
    <w:rsid w:val="71336011"/>
    <w:rsid w:val="71341AE9"/>
    <w:rsid w:val="713428A8"/>
    <w:rsid w:val="71344CE2"/>
    <w:rsid w:val="713453AD"/>
    <w:rsid w:val="71345C77"/>
    <w:rsid w:val="71347EB1"/>
    <w:rsid w:val="7135220F"/>
    <w:rsid w:val="71352A9F"/>
    <w:rsid w:val="71353C29"/>
    <w:rsid w:val="71355B37"/>
    <w:rsid w:val="71356BCF"/>
    <w:rsid w:val="71356F18"/>
    <w:rsid w:val="71357785"/>
    <w:rsid w:val="71357BDC"/>
    <w:rsid w:val="713615EF"/>
    <w:rsid w:val="71370062"/>
    <w:rsid w:val="7137174F"/>
    <w:rsid w:val="713729D0"/>
    <w:rsid w:val="71372F01"/>
    <w:rsid w:val="713734FD"/>
    <w:rsid w:val="71373A07"/>
    <w:rsid w:val="71381023"/>
    <w:rsid w:val="71387545"/>
    <w:rsid w:val="7138766A"/>
    <w:rsid w:val="71391097"/>
    <w:rsid w:val="713955DD"/>
    <w:rsid w:val="7139692C"/>
    <w:rsid w:val="71397275"/>
    <w:rsid w:val="713A09BC"/>
    <w:rsid w:val="713A3FD7"/>
    <w:rsid w:val="713A4D9B"/>
    <w:rsid w:val="713A594F"/>
    <w:rsid w:val="713A6130"/>
    <w:rsid w:val="713A7769"/>
    <w:rsid w:val="713A77A8"/>
    <w:rsid w:val="713C0B14"/>
    <w:rsid w:val="713C1725"/>
    <w:rsid w:val="713C50AA"/>
    <w:rsid w:val="713C5F44"/>
    <w:rsid w:val="713C6D66"/>
    <w:rsid w:val="713D3157"/>
    <w:rsid w:val="713D78C0"/>
    <w:rsid w:val="713E0C51"/>
    <w:rsid w:val="713E1A17"/>
    <w:rsid w:val="713E290C"/>
    <w:rsid w:val="713E2ADE"/>
    <w:rsid w:val="713E6789"/>
    <w:rsid w:val="713E7CD2"/>
    <w:rsid w:val="713F0604"/>
    <w:rsid w:val="713F3D33"/>
    <w:rsid w:val="713F4A67"/>
    <w:rsid w:val="713F6856"/>
    <w:rsid w:val="71401A5D"/>
    <w:rsid w:val="714032E7"/>
    <w:rsid w:val="714125CE"/>
    <w:rsid w:val="7141437C"/>
    <w:rsid w:val="714233A6"/>
    <w:rsid w:val="71424E4F"/>
    <w:rsid w:val="71427266"/>
    <w:rsid w:val="714300F4"/>
    <w:rsid w:val="71434084"/>
    <w:rsid w:val="71436346"/>
    <w:rsid w:val="714425EE"/>
    <w:rsid w:val="714449D4"/>
    <w:rsid w:val="71445C1A"/>
    <w:rsid w:val="71445EE6"/>
    <w:rsid w:val="714479C8"/>
    <w:rsid w:val="71450267"/>
    <w:rsid w:val="71451C1D"/>
    <w:rsid w:val="7145465B"/>
    <w:rsid w:val="71460F4D"/>
    <w:rsid w:val="71462001"/>
    <w:rsid w:val="7146344E"/>
    <w:rsid w:val="714668EE"/>
    <w:rsid w:val="714670CB"/>
    <w:rsid w:val="714676BB"/>
    <w:rsid w:val="714677F9"/>
    <w:rsid w:val="71467BE4"/>
    <w:rsid w:val="71470B3D"/>
    <w:rsid w:val="71474CC7"/>
    <w:rsid w:val="7148086A"/>
    <w:rsid w:val="71483743"/>
    <w:rsid w:val="7148395C"/>
    <w:rsid w:val="714845AB"/>
    <w:rsid w:val="7148570A"/>
    <w:rsid w:val="7148585B"/>
    <w:rsid w:val="71486482"/>
    <w:rsid w:val="71486F9A"/>
    <w:rsid w:val="714905F5"/>
    <w:rsid w:val="71494DE5"/>
    <w:rsid w:val="714A1495"/>
    <w:rsid w:val="714A3317"/>
    <w:rsid w:val="714A593E"/>
    <w:rsid w:val="714A6ADA"/>
    <w:rsid w:val="714A76D4"/>
    <w:rsid w:val="714B3A04"/>
    <w:rsid w:val="714B6A36"/>
    <w:rsid w:val="714B6FA9"/>
    <w:rsid w:val="714C1439"/>
    <w:rsid w:val="714C2D8A"/>
    <w:rsid w:val="714C6B67"/>
    <w:rsid w:val="714C7EEE"/>
    <w:rsid w:val="714D01EF"/>
    <w:rsid w:val="714D03D6"/>
    <w:rsid w:val="714D2C12"/>
    <w:rsid w:val="714D4ACF"/>
    <w:rsid w:val="714D50C2"/>
    <w:rsid w:val="714D7652"/>
    <w:rsid w:val="714E0847"/>
    <w:rsid w:val="714E19DC"/>
    <w:rsid w:val="714E3D16"/>
    <w:rsid w:val="714E5BE3"/>
    <w:rsid w:val="714E7574"/>
    <w:rsid w:val="714F5DA7"/>
    <w:rsid w:val="714F747A"/>
    <w:rsid w:val="71500A63"/>
    <w:rsid w:val="715025ED"/>
    <w:rsid w:val="7150376F"/>
    <w:rsid w:val="715111B9"/>
    <w:rsid w:val="71513447"/>
    <w:rsid w:val="71513A0A"/>
    <w:rsid w:val="71516148"/>
    <w:rsid w:val="71517169"/>
    <w:rsid w:val="71520337"/>
    <w:rsid w:val="715220E5"/>
    <w:rsid w:val="71522288"/>
    <w:rsid w:val="71523429"/>
    <w:rsid w:val="71526519"/>
    <w:rsid w:val="71526589"/>
    <w:rsid w:val="71530026"/>
    <w:rsid w:val="71533C48"/>
    <w:rsid w:val="7153596E"/>
    <w:rsid w:val="71535E5D"/>
    <w:rsid w:val="71535F36"/>
    <w:rsid w:val="715412B8"/>
    <w:rsid w:val="715417F8"/>
    <w:rsid w:val="71541EF8"/>
    <w:rsid w:val="715421D6"/>
    <w:rsid w:val="71542301"/>
    <w:rsid w:val="71543E08"/>
    <w:rsid w:val="715440AF"/>
    <w:rsid w:val="7154431E"/>
    <w:rsid w:val="71551BD5"/>
    <w:rsid w:val="71552671"/>
    <w:rsid w:val="71552DD0"/>
    <w:rsid w:val="71555191"/>
    <w:rsid w:val="71555F59"/>
    <w:rsid w:val="7155660E"/>
    <w:rsid w:val="71557C79"/>
    <w:rsid w:val="71557E27"/>
    <w:rsid w:val="71566079"/>
    <w:rsid w:val="71566212"/>
    <w:rsid w:val="71566DD5"/>
    <w:rsid w:val="71571821"/>
    <w:rsid w:val="71573B9F"/>
    <w:rsid w:val="71574CFC"/>
    <w:rsid w:val="7157594D"/>
    <w:rsid w:val="715776FB"/>
    <w:rsid w:val="7158344A"/>
    <w:rsid w:val="71590F19"/>
    <w:rsid w:val="715916C6"/>
    <w:rsid w:val="71592D13"/>
    <w:rsid w:val="71593474"/>
    <w:rsid w:val="715948DA"/>
    <w:rsid w:val="71596B67"/>
    <w:rsid w:val="71597917"/>
    <w:rsid w:val="715A5D6A"/>
    <w:rsid w:val="715B1DCB"/>
    <w:rsid w:val="715B1DD0"/>
    <w:rsid w:val="715B3690"/>
    <w:rsid w:val="715B3FA1"/>
    <w:rsid w:val="715B522D"/>
    <w:rsid w:val="715C11B6"/>
    <w:rsid w:val="715C2428"/>
    <w:rsid w:val="715C54D8"/>
    <w:rsid w:val="715C5885"/>
    <w:rsid w:val="715C7816"/>
    <w:rsid w:val="715D3729"/>
    <w:rsid w:val="715D7825"/>
    <w:rsid w:val="715E43B6"/>
    <w:rsid w:val="715E5B6D"/>
    <w:rsid w:val="715E67B8"/>
    <w:rsid w:val="715E6CDC"/>
    <w:rsid w:val="715E72B4"/>
    <w:rsid w:val="715E7702"/>
    <w:rsid w:val="715F473D"/>
    <w:rsid w:val="715F6242"/>
    <w:rsid w:val="715F7484"/>
    <w:rsid w:val="71600CA6"/>
    <w:rsid w:val="71601921"/>
    <w:rsid w:val="71603845"/>
    <w:rsid w:val="71612065"/>
    <w:rsid w:val="71612B50"/>
    <w:rsid w:val="7161307A"/>
    <w:rsid w:val="71614623"/>
    <w:rsid w:val="71615990"/>
    <w:rsid w:val="71616139"/>
    <w:rsid w:val="71616253"/>
    <w:rsid w:val="7161661A"/>
    <w:rsid w:val="716167CC"/>
    <w:rsid w:val="71617F8D"/>
    <w:rsid w:val="71620B57"/>
    <w:rsid w:val="71625E25"/>
    <w:rsid w:val="7162772A"/>
    <w:rsid w:val="71630796"/>
    <w:rsid w:val="71633DC6"/>
    <w:rsid w:val="716360A0"/>
    <w:rsid w:val="7163695C"/>
    <w:rsid w:val="71640AF6"/>
    <w:rsid w:val="716441E4"/>
    <w:rsid w:val="71646FCF"/>
    <w:rsid w:val="7165113F"/>
    <w:rsid w:val="7165605B"/>
    <w:rsid w:val="71662034"/>
    <w:rsid w:val="71663DE2"/>
    <w:rsid w:val="716652B6"/>
    <w:rsid w:val="716663A4"/>
    <w:rsid w:val="71667461"/>
    <w:rsid w:val="716700E7"/>
    <w:rsid w:val="71671EF1"/>
    <w:rsid w:val="7167469A"/>
    <w:rsid w:val="7167582C"/>
    <w:rsid w:val="716770E4"/>
    <w:rsid w:val="716873BF"/>
    <w:rsid w:val="71687ABE"/>
    <w:rsid w:val="71693194"/>
    <w:rsid w:val="716A1FED"/>
    <w:rsid w:val="716A2BAA"/>
    <w:rsid w:val="716A38D3"/>
    <w:rsid w:val="716A5126"/>
    <w:rsid w:val="716A5681"/>
    <w:rsid w:val="716A5D71"/>
    <w:rsid w:val="716A6CEF"/>
    <w:rsid w:val="716B1DDB"/>
    <w:rsid w:val="716B25E2"/>
    <w:rsid w:val="716B44D2"/>
    <w:rsid w:val="716B452F"/>
    <w:rsid w:val="716B513F"/>
    <w:rsid w:val="716C688E"/>
    <w:rsid w:val="716D12B7"/>
    <w:rsid w:val="716D2FD9"/>
    <w:rsid w:val="716D33C3"/>
    <w:rsid w:val="716D355F"/>
    <w:rsid w:val="716D4F9A"/>
    <w:rsid w:val="716D61D3"/>
    <w:rsid w:val="716D626E"/>
    <w:rsid w:val="716D6F1F"/>
    <w:rsid w:val="716D7282"/>
    <w:rsid w:val="716E307C"/>
    <w:rsid w:val="716E3CE3"/>
    <w:rsid w:val="716E3EA6"/>
    <w:rsid w:val="716F2C97"/>
    <w:rsid w:val="716F5C86"/>
    <w:rsid w:val="716F6070"/>
    <w:rsid w:val="716F6B00"/>
    <w:rsid w:val="716F713B"/>
    <w:rsid w:val="717008A5"/>
    <w:rsid w:val="71704C61"/>
    <w:rsid w:val="71706A0F"/>
    <w:rsid w:val="71712F29"/>
    <w:rsid w:val="71713032"/>
    <w:rsid w:val="717143FF"/>
    <w:rsid w:val="71714726"/>
    <w:rsid w:val="71716B9F"/>
    <w:rsid w:val="7172079C"/>
    <w:rsid w:val="717209D9"/>
    <w:rsid w:val="71720B85"/>
    <w:rsid w:val="71722787"/>
    <w:rsid w:val="7172381A"/>
    <w:rsid w:val="71723F75"/>
    <w:rsid w:val="71725481"/>
    <w:rsid w:val="7172737E"/>
    <w:rsid w:val="71732196"/>
    <w:rsid w:val="717354D5"/>
    <w:rsid w:val="717359DE"/>
    <w:rsid w:val="71736911"/>
    <w:rsid w:val="71737188"/>
    <w:rsid w:val="717402AD"/>
    <w:rsid w:val="71741DD7"/>
    <w:rsid w:val="71741E64"/>
    <w:rsid w:val="71743661"/>
    <w:rsid w:val="71746D3F"/>
    <w:rsid w:val="71747EC5"/>
    <w:rsid w:val="71750972"/>
    <w:rsid w:val="71754F05"/>
    <w:rsid w:val="71755543"/>
    <w:rsid w:val="71756588"/>
    <w:rsid w:val="717604C9"/>
    <w:rsid w:val="7176064D"/>
    <w:rsid w:val="717670E7"/>
    <w:rsid w:val="71770865"/>
    <w:rsid w:val="71771B4C"/>
    <w:rsid w:val="71777D9E"/>
    <w:rsid w:val="71777E63"/>
    <w:rsid w:val="7178279E"/>
    <w:rsid w:val="71783928"/>
    <w:rsid w:val="71783B84"/>
    <w:rsid w:val="71793279"/>
    <w:rsid w:val="717A3C13"/>
    <w:rsid w:val="717A4E34"/>
    <w:rsid w:val="717A4E7B"/>
    <w:rsid w:val="717A67E4"/>
    <w:rsid w:val="717B3721"/>
    <w:rsid w:val="717B4E74"/>
    <w:rsid w:val="717B5076"/>
    <w:rsid w:val="717B5EE1"/>
    <w:rsid w:val="717B685A"/>
    <w:rsid w:val="717B788E"/>
    <w:rsid w:val="717D1478"/>
    <w:rsid w:val="717D1F34"/>
    <w:rsid w:val="717D474E"/>
    <w:rsid w:val="717E112C"/>
    <w:rsid w:val="717E2EDA"/>
    <w:rsid w:val="717F0567"/>
    <w:rsid w:val="717F11C6"/>
    <w:rsid w:val="717F2F25"/>
    <w:rsid w:val="7180069F"/>
    <w:rsid w:val="71800753"/>
    <w:rsid w:val="718030F6"/>
    <w:rsid w:val="718034BD"/>
    <w:rsid w:val="718038AB"/>
    <w:rsid w:val="718044EF"/>
    <w:rsid w:val="71804EA4"/>
    <w:rsid w:val="718079E3"/>
    <w:rsid w:val="71816E6E"/>
    <w:rsid w:val="71820A50"/>
    <w:rsid w:val="71825C86"/>
    <w:rsid w:val="718304F0"/>
    <w:rsid w:val="718344DD"/>
    <w:rsid w:val="71836406"/>
    <w:rsid w:val="71836EEA"/>
    <w:rsid w:val="71837B47"/>
    <w:rsid w:val="71841E97"/>
    <w:rsid w:val="718502AA"/>
    <w:rsid w:val="7185070D"/>
    <w:rsid w:val="718508EE"/>
    <w:rsid w:val="71853486"/>
    <w:rsid w:val="71853DE3"/>
    <w:rsid w:val="71855ED3"/>
    <w:rsid w:val="718577AF"/>
    <w:rsid w:val="7186159C"/>
    <w:rsid w:val="718627B6"/>
    <w:rsid w:val="7186296C"/>
    <w:rsid w:val="71862F85"/>
    <w:rsid w:val="71863E36"/>
    <w:rsid w:val="71864485"/>
    <w:rsid w:val="71864D87"/>
    <w:rsid w:val="71866233"/>
    <w:rsid w:val="71867FE1"/>
    <w:rsid w:val="7187076F"/>
    <w:rsid w:val="718713E8"/>
    <w:rsid w:val="71872601"/>
    <w:rsid w:val="71873A40"/>
    <w:rsid w:val="71875A6E"/>
    <w:rsid w:val="71876217"/>
    <w:rsid w:val="718764F1"/>
    <w:rsid w:val="718767E4"/>
    <w:rsid w:val="718801FD"/>
    <w:rsid w:val="71881EBD"/>
    <w:rsid w:val="71881FAB"/>
    <w:rsid w:val="71883D59"/>
    <w:rsid w:val="718907D9"/>
    <w:rsid w:val="718935A3"/>
    <w:rsid w:val="71894E49"/>
    <w:rsid w:val="71896884"/>
    <w:rsid w:val="7189718D"/>
    <w:rsid w:val="718A288C"/>
    <w:rsid w:val="718A2CBF"/>
    <w:rsid w:val="718A334B"/>
    <w:rsid w:val="718A3708"/>
    <w:rsid w:val="718A62BA"/>
    <w:rsid w:val="718A62D9"/>
    <w:rsid w:val="718A71F1"/>
    <w:rsid w:val="718A783E"/>
    <w:rsid w:val="718B1EA4"/>
    <w:rsid w:val="718B242D"/>
    <w:rsid w:val="718B3849"/>
    <w:rsid w:val="718B5369"/>
    <w:rsid w:val="718B6F5B"/>
    <w:rsid w:val="718C1A9B"/>
    <w:rsid w:val="718C57D7"/>
    <w:rsid w:val="718C67DA"/>
    <w:rsid w:val="718D35F1"/>
    <w:rsid w:val="718D5813"/>
    <w:rsid w:val="718D5895"/>
    <w:rsid w:val="718E450B"/>
    <w:rsid w:val="718E6A06"/>
    <w:rsid w:val="718F158B"/>
    <w:rsid w:val="718F19C7"/>
    <w:rsid w:val="718F25FC"/>
    <w:rsid w:val="718F3339"/>
    <w:rsid w:val="718F3644"/>
    <w:rsid w:val="718F40F9"/>
    <w:rsid w:val="718F50E7"/>
    <w:rsid w:val="718F60EA"/>
    <w:rsid w:val="718F67EB"/>
    <w:rsid w:val="718F6E95"/>
    <w:rsid w:val="71900A0A"/>
    <w:rsid w:val="71902C0D"/>
    <w:rsid w:val="71904D74"/>
    <w:rsid w:val="71913600"/>
    <w:rsid w:val="719170B1"/>
    <w:rsid w:val="71920908"/>
    <w:rsid w:val="71922E87"/>
    <w:rsid w:val="71924A6B"/>
    <w:rsid w:val="71924BD7"/>
    <w:rsid w:val="719250B5"/>
    <w:rsid w:val="71927706"/>
    <w:rsid w:val="71933C95"/>
    <w:rsid w:val="71935EFB"/>
    <w:rsid w:val="7194120C"/>
    <w:rsid w:val="71944E9B"/>
    <w:rsid w:val="719465E7"/>
    <w:rsid w:val="71947DD4"/>
    <w:rsid w:val="71950224"/>
    <w:rsid w:val="71950706"/>
    <w:rsid w:val="71950A73"/>
    <w:rsid w:val="719533EC"/>
    <w:rsid w:val="71956476"/>
    <w:rsid w:val="71965A26"/>
    <w:rsid w:val="71970440"/>
    <w:rsid w:val="719717AF"/>
    <w:rsid w:val="719721EE"/>
    <w:rsid w:val="71973495"/>
    <w:rsid w:val="71974011"/>
    <w:rsid w:val="7197463F"/>
    <w:rsid w:val="7197501A"/>
    <w:rsid w:val="71975D0C"/>
    <w:rsid w:val="719830A7"/>
    <w:rsid w:val="719838A6"/>
    <w:rsid w:val="719866C0"/>
    <w:rsid w:val="71991D6D"/>
    <w:rsid w:val="71991DDC"/>
    <w:rsid w:val="71994E91"/>
    <w:rsid w:val="71995F47"/>
    <w:rsid w:val="71995F66"/>
    <w:rsid w:val="71996409"/>
    <w:rsid w:val="71997F62"/>
    <w:rsid w:val="719A0F60"/>
    <w:rsid w:val="719A22A2"/>
    <w:rsid w:val="719A31FD"/>
    <w:rsid w:val="719A4516"/>
    <w:rsid w:val="719A4CAD"/>
    <w:rsid w:val="719A5ADA"/>
    <w:rsid w:val="719B1CDE"/>
    <w:rsid w:val="719B3273"/>
    <w:rsid w:val="719B567C"/>
    <w:rsid w:val="719B70D6"/>
    <w:rsid w:val="719B7F30"/>
    <w:rsid w:val="719C04E7"/>
    <w:rsid w:val="719C5A56"/>
    <w:rsid w:val="719C7804"/>
    <w:rsid w:val="719D0846"/>
    <w:rsid w:val="719D296F"/>
    <w:rsid w:val="719D30AE"/>
    <w:rsid w:val="719D359B"/>
    <w:rsid w:val="719D5319"/>
    <w:rsid w:val="719E091F"/>
    <w:rsid w:val="719E0A9B"/>
    <w:rsid w:val="719E2C71"/>
    <w:rsid w:val="719E2F66"/>
    <w:rsid w:val="719E357C"/>
    <w:rsid w:val="719E3A36"/>
    <w:rsid w:val="719E4A90"/>
    <w:rsid w:val="719E4DE8"/>
    <w:rsid w:val="719E50A5"/>
    <w:rsid w:val="719E532A"/>
    <w:rsid w:val="719E5623"/>
    <w:rsid w:val="719E770A"/>
    <w:rsid w:val="719F0551"/>
    <w:rsid w:val="719F2969"/>
    <w:rsid w:val="719F5BDF"/>
    <w:rsid w:val="719F706F"/>
    <w:rsid w:val="71A00447"/>
    <w:rsid w:val="71A004FF"/>
    <w:rsid w:val="71A010A2"/>
    <w:rsid w:val="71A072F4"/>
    <w:rsid w:val="71A10428"/>
    <w:rsid w:val="71A12BD8"/>
    <w:rsid w:val="71A1306D"/>
    <w:rsid w:val="71A130D0"/>
    <w:rsid w:val="71A14E1B"/>
    <w:rsid w:val="71A165C4"/>
    <w:rsid w:val="71A16BC9"/>
    <w:rsid w:val="71A17978"/>
    <w:rsid w:val="71A17D59"/>
    <w:rsid w:val="71A22E1F"/>
    <w:rsid w:val="71A30B93"/>
    <w:rsid w:val="71A32824"/>
    <w:rsid w:val="71A32941"/>
    <w:rsid w:val="71A33657"/>
    <w:rsid w:val="71A33A71"/>
    <w:rsid w:val="71A41A51"/>
    <w:rsid w:val="71A50C22"/>
    <w:rsid w:val="71A5127C"/>
    <w:rsid w:val="71A55C17"/>
    <w:rsid w:val="71A55F82"/>
    <w:rsid w:val="71A574E0"/>
    <w:rsid w:val="71A62F1F"/>
    <w:rsid w:val="71A6448B"/>
    <w:rsid w:val="71A72653"/>
    <w:rsid w:val="71A745DD"/>
    <w:rsid w:val="71A74C23"/>
    <w:rsid w:val="71A77388"/>
    <w:rsid w:val="71A8682D"/>
    <w:rsid w:val="71A87D31"/>
    <w:rsid w:val="71A926E3"/>
    <w:rsid w:val="71A93272"/>
    <w:rsid w:val="71AA0173"/>
    <w:rsid w:val="71AA1F21"/>
    <w:rsid w:val="71AA229B"/>
    <w:rsid w:val="71AA2DA2"/>
    <w:rsid w:val="71AA5E05"/>
    <w:rsid w:val="71AB2578"/>
    <w:rsid w:val="71AB4182"/>
    <w:rsid w:val="71AB44FE"/>
    <w:rsid w:val="71AB5C99"/>
    <w:rsid w:val="71AC3EEB"/>
    <w:rsid w:val="71AC406A"/>
    <w:rsid w:val="71AC68CF"/>
    <w:rsid w:val="71AC6AA2"/>
    <w:rsid w:val="71AD0177"/>
    <w:rsid w:val="71AD1A11"/>
    <w:rsid w:val="71AD7C63"/>
    <w:rsid w:val="71AE2BF3"/>
    <w:rsid w:val="71AE35F1"/>
    <w:rsid w:val="71AE6B75"/>
    <w:rsid w:val="71AF1B11"/>
    <w:rsid w:val="71AF2244"/>
    <w:rsid w:val="71AF227D"/>
    <w:rsid w:val="71AF2451"/>
    <w:rsid w:val="71AF51A9"/>
    <w:rsid w:val="71AF6A35"/>
    <w:rsid w:val="71B01181"/>
    <w:rsid w:val="71B10B5E"/>
    <w:rsid w:val="71B1115C"/>
    <w:rsid w:val="71B132B0"/>
    <w:rsid w:val="71B20DD6"/>
    <w:rsid w:val="71B22A92"/>
    <w:rsid w:val="71B2527A"/>
    <w:rsid w:val="71B25913"/>
    <w:rsid w:val="71B26913"/>
    <w:rsid w:val="71B31392"/>
    <w:rsid w:val="71B31607"/>
    <w:rsid w:val="71B33DA4"/>
    <w:rsid w:val="71B42183"/>
    <w:rsid w:val="71B42DA0"/>
    <w:rsid w:val="71B44B4E"/>
    <w:rsid w:val="71B5052E"/>
    <w:rsid w:val="71B50532"/>
    <w:rsid w:val="71B50545"/>
    <w:rsid w:val="71B529D6"/>
    <w:rsid w:val="71B5698A"/>
    <w:rsid w:val="71B608C6"/>
    <w:rsid w:val="71B665D3"/>
    <w:rsid w:val="71B723F2"/>
    <w:rsid w:val="71B72890"/>
    <w:rsid w:val="71B7463E"/>
    <w:rsid w:val="71B74892"/>
    <w:rsid w:val="71B763EC"/>
    <w:rsid w:val="71B82D06"/>
    <w:rsid w:val="71B84BD8"/>
    <w:rsid w:val="71B86567"/>
    <w:rsid w:val="71B87379"/>
    <w:rsid w:val="71B903B6"/>
    <w:rsid w:val="71B90959"/>
    <w:rsid w:val="71B92164"/>
    <w:rsid w:val="71B93A56"/>
    <w:rsid w:val="71B9406D"/>
    <w:rsid w:val="71B943D6"/>
    <w:rsid w:val="71B94B26"/>
    <w:rsid w:val="71B958CC"/>
    <w:rsid w:val="71B95E44"/>
    <w:rsid w:val="71B96AFB"/>
    <w:rsid w:val="71BA10A6"/>
    <w:rsid w:val="71BA7C8A"/>
    <w:rsid w:val="71BB412E"/>
    <w:rsid w:val="71BC09FE"/>
    <w:rsid w:val="71BC1C54"/>
    <w:rsid w:val="71BC3A02"/>
    <w:rsid w:val="71BC48BA"/>
    <w:rsid w:val="71BC5573"/>
    <w:rsid w:val="71BC7EA6"/>
    <w:rsid w:val="71BD0CAE"/>
    <w:rsid w:val="71BD3C60"/>
    <w:rsid w:val="71BD7368"/>
    <w:rsid w:val="71BE0EB7"/>
    <w:rsid w:val="71BE2B73"/>
    <w:rsid w:val="71BE53A9"/>
    <w:rsid w:val="71BE5855"/>
    <w:rsid w:val="71BF7668"/>
    <w:rsid w:val="71C01745"/>
    <w:rsid w:val="71C01A00"/>
    <w:rsid w:val="71C0206B"/>
    <w:rsid w:val="71C02EA0"/>
    <w:rsid w:val="71C03DCB"/>
    <w:rsid w:val="71C04A96"/>
    <w:rsid w:val="71C04F18"/>
    <w:rsid w:val="71C07F9F"/>
    <w:rsid w:val="71C11019"/>
    <w:rsid w:val="71C1222B"/>
    <w:rsid w:val="71C137C8"/>
    <w:rsid w:val="71C22190"/>
    <w:rsid w:val="71C24A75"/>
    <w:rsid w:val="71C27838"/>
    <w:rsid w:val="71C32FE3"/>
    <w:rsid w:val="71C341FC"/>
    <w:rsid w:val="71C3671F"/>
    <w:rsid w:val="71C43DB6"/>
    <w:rsid w:val="71C4714B"/>
    <w:rsid w:val="71C4751B"/>
    <w:rsid w:val="71C478E5"/>
    <w:rsid w:val="71C50B09"/>
    <w:rsid w:val="71C50D8A"/>
    <w:rsid w:val="71C53656"/>
    <w:rsid w:val="71C54FAD"/>
    <w:rsid w:val="71C5545A"/>
    <w:rsid w:val="71C561B9"/>
    <w:rsid w:val="71C5627B"/>
    <w:rsid w:val="71C56D5B"/>
    <w:rsid w:val="71C572F7"/>
    <w:rsid w:val="71C61635"/>
    <w:rsid w:val="71C6395B"/>
    <w:rsid w:val="71C65E64"/>
    <w:rsid w:val="71C661A0"/>
    <w:rsid w:val="71C70D25"/>
    <w:rsid w:val="71C7196A"/>
    <w:rsid w:val="71C72961"/>
    <w:rsid w:val="71C72AD3"/>
    <w:rsid w:val="71C76DE6"/>
    <w:rsid w:val="71C76F2E"/>
    <w:rsid w:val="71C82150"/>
    <w:rsid w:val="71C823A7"/>
    <w:rsid w:val="71C84B3A"/>
    <w:rsid w:val="71C8684B"/>
    <w:rsid w:val="71C871EB"/>
    <w:rsid w:val="71C948BD"/>
    <w:rsid w:val="71CA1EBD"/>
    <w:rsid w:val="71CA25C3"/>
    <w:rsid w:val="71CA4371"/>
    <w:rsid w:val="71CB088F"/>
    <w:rsid w:val="71CB196D"/>
    <w:rsid w:val="71CB1E97"/>
    <w:rsid w:val="71CC00E9"/>
    <w:rsid w:val="71CC3354"/>
    <w:rsid w:val="71CC6099"/>
    <w:rsid w:val="71CC63BD"/>
    <w:rsid w:val="71CC7CE2"/>
    <w:rsid w:val="71CD20B4"/>
    <w:rsid w:val="71CD355E"/>
    <w:rsid w:val="71CD36FF"/>
    <w:rsid w:val="71CD4211"/>
    <w:rsid w:val="71CD4EC8"/>
    <w:rsid w:val="71CD5C10"/>
    <w:rsid w:val="71CD751C"/>
    <w:rsid w:val="71CD79BE"/>
    <w:rsid w:val="71CE046F"/>
    <w:rsid w:val="71CE0581"/>
    <w:rsid w:val="71CE1A5D"/>
    <w:rsid w:val="71CE20ED"/>
    <w:rsid w:val="71CE4D18"/>
    <w:rsid w:val="71CE761C"/>
    <w:rsid w:val="71CF5DF0"/>
    <w:rsid w:val="71CF64B9"/>
    <w:rsid w:val="71CF69E7"/>
    <w:rsid w:val="71CF7BDA"/>
    <w:rsid w:val="71D022E5"/>
    <w:rsid w:val="71D051F9"/>
    <w:rsid w:val="71D05BAD"/>
    <w:rsid w:val="71D061DC"/>
    <w:rsid w:val="71D074AE"/>
    <w:rsid w:val="71D13952"/>
    <w:rsid w:val="71D13EFA"/>
    <w:rsid w:val="71D15E9D"/>
    <w:rsid w:val="71D15F44"/>
    <w:rsid w:val="71D1650B"/>
    <w:rsid w:val="71D170D8"/>
    <w:rsid w:val="71D21478"/>
    <w:rsid w:val="71D23F4A"/>
    <w:rsid w:val="71D24C01"/>
    <w:rsid w:val="71D30605"/>
    <w:rsid w:val="71D34BD6"/>
    <w:rsid w:val="71D376CA"/>
    <w:rsid w:val="71D37DBD"/>
    <w:rsid w:val="71D406A4"/>
    <w:rsid w:val="71D44170"/>
    <w:rsid w:val="71D4481E"/>
    <w:rsid w:val="71D44E39"/>
    <w:rsid w:val="71D5087F"/>
    <w:rsid w:val="71D53305"/>
    <w:rsid w:val="71D60D75"/>
    <w:rsid w:val="71D62D16"/>
    <w:rsid w:val="71D677CE"/>
    <w:rsid w:val="71D67A5B"/>
    <w:rsid w:val="71D7083C"/>
    <w:rsid w:val="71D76B77"/>
    <w:rsid w:val="71D7705C"/>
    <w:rsid w:val="71D80099"/>
    <w:rsid w:val="71D90A07"/>
    <w:rsid w:val="71D90A58"/>
    <w:rsid w:val="71D92806"/>
    <w:rsid w:val="71D945B4"/>
    <w:rsid w:val="71DA1E96"/>
    <w:rsid w:val="71DA3698"/>
    <w:rsid w:val="71DA64AA"/>
    <w:rsid w:val="71DA6BE8"/>
    <w:rsid w:val="71DB032D"/>
    <w:rsid w:val="71DB1B20"/>
    <w:rsid w:val="71DB20DB"/>
    <w:rsid w:val="71DB657E"/>
    <w:rsid w:val="71DC40A5"/>
    <w:rsid w:val="71DC5B46"/>
    <w:rsid w:val="71DD2374"/>
    <w:rsid w:val="71DD7875"/>
    <w:rsid w:val="71DE0938"/>
    <w:rsid w:val="71DE1BCB"/>
    <w:rsid w:val="71DE34B3"/>
    <w:rsid w:val="71DE4C42"/>
    <w:rsid w:val="71DE4D86"/>
    <w:rsid w:val="71DE606F"/>
    <w:rsid w:val="71DE78B9"/>
    <w:rsid w:val="71DF0184"/>
    <w:rsid w:val="71DF0332"/>
    <w:rsid w:val="71E012C8"/>
    <w:rsid w:val="71E01DE7"/>
    <w:rsid w:val="71E02DC1"/>
    <w:rsid w:val="71E05992"/>
    <w:rsid w:val="71E06A73"/>
    <w:rsid w:val="71E116BB"/>
    <w:rsid w:val="71E117BB"/>
    <w:rsid w:val="71E13469"/>
    <w:rsid w:val="71E14D2D"/>
    <w:rsid w:val="71E15F74"/>
    <w:rsid w:val="71E20228"/>
    <w:rsid w:val="71E20615"/>
    <w:rsid w:val="71E21126"/>
    <w:rsid w:val="71E21F50"/>
    <w:rsid w:val="71E32B1D"/>
    <w:rsid w:val="71E35433"/>
    <w:rsid w:val="71E35554"/>
    <w:rsid w:val="71E44313"/>
    <w:rsid w:val="71E4674D"/>
    <w:rsid w:val="71E47B92"/>
    <w:rsid w:val="71E47CF4"/>
    <w:rsid w:val="71E50778"/>
    <w:rsid w:val="71E52522"/>
    <w:rsid w:val="71E5383A"/>
    <w:rsid w:val="71E540B6"/>
    <w:rsid w:val="71E54119"/>
    <w:rsid w:val="71E558FE"/>
    <w:rsid w:val="71E55DE2"/>
    <w:rsid w:val="71E573FD"/>
    <w:rsid w:val="71E61AFA"/>
    <w:rsid w:val="71E61ECF"/>
    <w:rsid w:val="71E6359B"/>
    <w:rsid w:val="71E65719"/>
    <w:rsid w:val="71E700C3"/>
    <w:rsid w:val="71E74F23"/>
    <w:rsid w:val="71E7506F"/>
    <w:rsid w:val="71E76CD1"/>
    <w:rsid w:val="71E770E3"/>
    <w:rsid w:val="71E7716F"/>
    <w:rsid w:val="71E800C7"/>
    <w:rsid w:val="71E815FC"/>
    <w:rsid w:val="71E82A49"/>
    <w:rsid w:val="71E8323B"/>
    <w:rsid w:val="71E8396D"/>
    <w:rsid w:val="71E91832"/>
    <w:rsid w:val="71E9494C"/>
    <w:rsid w:val="71E9498C"/>
    <w:rsid w:val="71E96CF5"/>
    <w:rsid w:val="71E97338"/>
    <w:rsid w:val="71EA0185"/>
    <w:rsid w:val="71EA3AFD"/>
    <w:rsid w:val="71EA4188"/>
    <w:rsid w:val="71EA577A"/>
    <w:rsid w:val="71EA67C2"/>
    <w:rsid w:val="71EB453D"/>
    <w:rsid w:val="71EC078C"/>
    <w:rsid w:val="71EC253A"/>
    <w:rsid w:val="71EC42E8"/>
    <w:rsid w:val="71EC540C"/>
    <w:rsid w:val="71ED0060"/>
    <w:rsid w:val="71ED0897"/>
    <w:rsid w:val="71ED1AC6"/>
    <w:rsid w:val="71ED1D38"/>
    <w:rsid w:val="71ED21B3"/>
    <w:rsid w:val="71ED53C5"/>
    <w:rsid w:val="71ED6873"/>
    <w:rsid w:val="71EE044D"/>
    <w:rsid w:val="71EE04C6"/>
    <w:rsid w:val="71EE0EE5"/>
    <w:rsid w:val="71EE15BC"/>
    <w:rsid w:val="71EE52D7"/>
    <w:rsid w:val="71EE637A"/>
    <w:rsid w:val="71EF1426"/>
    <w:rsid w:val="71EF202A"/>
    <w:rsid w:val="71EF52EB"/>
    <w:rsid w:val="71EF5814"/>
    <w:rsid w:val="71EF656B"/>
    <w:rsid w:val="71EF65B2"/>
    <w:rsid w:val="71F036E2"/>
    <w:rsid w:val="71F07579"/>
    <w:rsid w:val="71F118FE"/>
    <w:rsid w:val="71F122CA"/>
    <w:rsid w:val="71F13C53"/>
    <w:rsid w:val="71F14AF3"/>
    <w:rsid w:val="71F20B18"/>
    <w:rsid w:val="71F25676"/>
    <w:rsid w:val="71F2770E"/>
    <w:rsid w:val="71F31237"/>
    <w:rsid w:val="71F31B1A"/>
    <w:rsid w:val="71F406F2"/>
    <w:rsid w:val="71F413EE"/>
    <w:rsid w:val="71F4224E"/>
    <w:rsid w:val="71F4319C"/>
    <w:rsid w:val="71F440F7"/>
    <w:rsid w:val="71F45626"/>
    <w:rsid w:val="71F45C1D"/>
    <w:rsid w:val="71F47640"/>
    <w:rsid w:val="71F51B4D"/>
    <w:rsid w:val="71F52CD2"/>
    <w:rsid w:val="71F53020"/>
    <w:rsid w:val="71F54117"/>
    <w:rsid w:val="71F5429F"/>
    <w:rsid w:val="71F5435A"/>
    <w:rsid w:val="71F61DE5"/>
    <w:rsid w:val="71F646A9"/>
    <w:rsid w:val="71F65166"/>
    <w:rsid w:val="71F66DD0"/>
    <w:rsid w:val="71F66E02"/>
    <w:rsid w:val="71F66E8E"/>
    <w:rsid w:val="71F66F14"/>
    <w:rsid w:val="71F674FD"/>
    <w:rsid w:val="71F71048"/>
    <w:rsid w:val="71F736F4"/>
    <w:rsid w:val="71F75356"/>
    <w:rsid w:val="71F777A3"/>
    <w:rsid w:val="71F80EDE"/>
    <w:rsid w:val="71F83E99"/>
    <w:rsid w:val="71F86164"/>
    <w:rsid w:val="71F907B3"/>
    <w:rsid w:val="71F92A97"/>
    <w:rsid w:val="71F92EA9"/>
    <w:rsid w:val="71F93C4D"/>
    <w:rsid w:val="71F965ED"/>
    <w:rsid w:val="71F96A05"/>
    <w:rsid w:val="71F9786F"/>
    <w:rsid w:val="71FA1C7E"/>
    <w:rsid w:val="71FA20CB"/>
    <w:rsid w:val="71FA3967"/>
    <w:rsid w:val="71FA4ED0"/>
    <w:rsid w:val="71FA5587"/>
    <w:rsid w:val="71FA6F11"/>
    <w:rsid w:val="71FA7C7A"/>
    <w:rsid w:val="71FA7DF6"/>
    <w:rsid w:val="71FB0713"/>
    <w:rsid w:val="71FB09CF"/>
    <w:rsid w:val="71FB259A"/>
    <w:rsid w:val="71FB277D"/>
    <w:rsid w:val="71FB3C3C"/>
    <w:rsid w:val="71FB4231"/>
    <w:rsid w:val="71FB452B"/>
    <w:rsid w:val="71FB54C7"/>
    <w:rsid w:val="71FC11AC"/>
    <w:rsid w:val="71FC1DBA"/>
    <w:rsid w:val="71FC5752"/>
    <w:rsid w:val="71FD28DE"/>
    <w:rsid w:val="71FD4747"/>
    <w:rsid w:val="71FD64F5"/>
    <w:rsid w:val="71FE04BF"/>
    <w:rsid w:val="71FE13A2"/>
    <w:rsid w:val="71FE401B"/>
    <w:rsid w:val="71FE71F1"/>
    <w:rsid w:val="71FF0167"/>
    <w:rsid w:val="72002F84"/>
    <w:rsid w:val="72010A1C"/>
    <w:rsid w:val="72012F73"/>
    <w:rsid w:val="72016D35"/>
    <w:rsid w:val="720171C8"/>
    <w:rsid w:val="72017CB8"/>
    <w:rsid w:val="7202023F"/>
    <w:rsid w:val="72020DF7"/>
    <w:rsid w:val="72021B5A"/>
    <w:rsid w:val="72021D5D"/>
    <w:rsid w:val="72025DF2"/>
    <w:rsid w:val="720270A0"/>
    <w:rsid w:val="7202790F"/>
    <w:rsid w:val="7203215A"/>
    <w:rsid w:val="720328E5"/>
    <w:rsid w:val="72035AD5"/>
    <w:rsid w:val="720421BC"/>
    <w:rsid w:val="72043B5C"/>
    <w:rsid w:val="720504F0"/>
    <w:rsid w:val="720506E1"/>
    <w:rsid w:val="720535FB"/>
    <w:rsid w:val="72067140"/>
    <w:rsid w:val="72071122"/>
    <w:rsid w:val="7207445B"/>
    <w:rsid w:val="720807ED"/>
    <w:rsid w:val="7208370E"/>
    <w:rsid w:val="72084D97"/>
    <w:rsid w:val="7208563B"/>
    <w:rsid w:val="7208602B"/>
    <w:rsid w:val="72087F6E"/>
    <w:rsid w:val="72094BBA"/>
    <w:rsid w:val="72094CBA"/>
    <w:rsid w:val="72094FDC"/>
    <w:rsid w:val="72097D64"/>
    <w:rsid w:val="720A025E"/>
    <w:rsid w:val="720A0C12"/>
    <w:rsid w:val="720A18B5"/>
    <w:rsid w:val="720A29C0"/>
    <w:rsid w:val="720A5F51"/>
    <w:rsid w:val="720A657E"/>
    <w:rsid w:val="720A71BA"/>
    <w:rsid w:val="720A7E56"/>
    <w:rsid w:val="720B022F"/>
    <w:rsid w:val="720B10BF"/>
    <w:rsid w:val="720B2B6A"/>
    <w:rsid w:val="720B35BE"/>
    <w:rsid w:val="720B5B34"/>
    <w:rsid w:val="720B74DB"/>
    <w:rsid w:val="720C250D"/>
    <w:rsid w:val="720C2BDC"/>
    <w:rsid w:val="720C3E4A"/>
    <w:rsid w:val="720C45CB"/>
    <w:rsid w:val="720C498A"/>
    <w:rsid w:val="720C6738"/>
    <w:rsid w:val="720C7562"/>
    <w:rsid w:val="720D0A69"/>
    <w:rsid w:val="720D1C60"/>
    <w:rsid w:val="720D24B0"/>
    <w:rsid w:val="720D5AEA"/>
    <w:rsid w:val="720E0702"/>
    <w:rsid w:val="720E2019"/>
    <w:rsid w:val="720E3986"/>
    <w:rsid w:val="720E578B"/>
    <w:rsid w:val="720E5E3F"/>
    <w:rsid w:val="720F2D81"/>
    <w:rsid w:val="720F3175"/>
    <w:rsid w:val="720F48FE"/>
    <w:rsid w:val="720F6228"/>
    <w:rsid w:val="720F626B"/>
    <w:rsid w:val="720F69AB"/>
    <w:rsid w:val="720F78BB"/>
    <w:rsid w:val="72101891"/>
    <w:rsid w:val="721052CB"/>
    <w:rsid w:val="72106A78"/>
    <w:rsid w:val="721114C0"/>
    <w:rsid w:val="72111992"/>
    <w:rsid w:val="72112814"/>
    <w:rsid w:val="721138B1"/>
    <w:rsid w:val="72113D4E"/>
    <w:rsid w:val="721213E2"/>
    <w:rsid w:val="72121874"/>
    <w:rsid w:val="72125C50"/>
    <w:rsid w:val="7212775E"/>
    <w:rsid w:val="721358DA"/>
    <w:rsid w:val="72135B4B"/>
    <w:rsid w:val="72136D86"/>
    <w:rsid w:val="72141A90"/>
    <w:rsid w:val="72142763"/>
    <w:rsid w:val="72143D3E"/>
    <w:rsid w:val="721455EC"/>
    <w:rsid w:val="72153BAA"/>
    <w:rsid w:val="72155D12"/>
    <w:rsid w:val="721657A4"/>
    <w:rsid w:val="72165809"/>
    <w:rsid w:val="721675B7"/>
    <w:rsid w:val="72167FDD"/>
    <w:rsid w:val="72174BB1"/>
    <w:rsid w:val="721750DD"/>
    <w:rsid w:val="72181581"/>
    <w:rsid w:val="7218332F"/>
    <w:rsid w:val="72190832"/>
    <w:rsid w:val="72190E55"/>
    <w:rsid w:val="72191874"/>
    <w:rsid w:val="72192C03"/>
    <w:rsid w:val="721966DA"/>
    <w:rsid w:val="721A059E"/>
    <w:rsid w:val="721A12D6"/>
    <w:rsid w:val="721A7637"/>
    <w:rsid w:val="721B1965"/>
    <w:rsid w:val="721B2E1F"/>
    <w:rsid w:val="721B2F15"/>
    <w:rsid w:val="721B697B"/>
    <w:rsid w:val="721B6FB3"/>
    <w:rsid w:val="721C3014"/>
    <w:rsid w:val="721D0945"/>
    <w:rsid w:val="721D68B4"/>
    <w:rsid w:val="721D6B97"/>
    <w:rsid w:val="721E5934"/>
    <w:rsid w:val="721E646B"/>
    <w:rsid w:val="721E752F"/>
    <w:rsid w:val="721F2101"/>
    <w:rsid w:val="721F2FAC"/>
    <w:rsid w:val="721F44CA"/>
    <w:rsid w:val="721F59A0"/>
    <w:rsid w:val="721F6AF2"/>
    <w:rsid w:val="721F6F65"/>
    <w:rsid w:val="721F6F7D"/>
    <w:rsid w:val="72201870"/>
    <w:rsid w:val="722021E3"/>
    <w:rsid w:val="72202E25"/>
    <w:rsid w:val="72203F91"/>
    <w:rsid w:val="72206167"/>
    <w:rsid w:val="722214BD"/>
    <w:rsid w:val="722220FA"/>
    <w:rsid w:val="7222222E"/>
    <w:rsid w:val="72224B5B"/>
    <w:rsid w:val="72225F5B"/>
    <w:rsid w:val="72227D09"/>
    <w:rsid w:val="72230ED5"/>
    <w:rsid w:val="72231CD3"/>
    <w:rsid w:val="72233A82"/>
    <w:rsid w:val="722456A0"/>
    <w:rsid w:val="72247F25"/>
    <w:rsid w:val="72250D8B"/>
    <w:rsid w:val="722515A8"/>
    <w:rsid w:val="72252C36"/>
    <w:rsid w:val="72253C9E"/>
    <w:rsid w:val="722577FA"/>
    <w:rsid w:val="722633D4"/>
    <w:rsid w:val="7226345C"/>
    <w:rsid w:val="72263F71"/>
    <w:rsid w:val="722642DD"/>
    <w:rsid w:val="7226547B"/>
    <w:rsid w:val="72267108"/>
    <w:rsid w:val="72270127"/>
    <w:rsid w:val="722716D7"/>
    <w:rsid w:val="722717C4"/>
    <w:rsid w:val="72271851"/>
    <w:rsid w:val="722723F9"/>
    <w:rsid w:val="72275556"/>
    <w:rsid w:val="72277E7D"/>
    <w:rsid w:val="722815B7"/>
    <w:rsid w:val="72285B80"/>
    <w:rsid w:val="722872EA"/>
    <w:rsid w:val="722876FF"/>
    <w:rsid w:val="72287EDA"/>
    <w:rsid w:val="722907D8"/>
    <w:rsid w:val="72292C8C"/>
    <w:rsid w:val="7229422F"/>
    <w:rsid w:val="72297031"/>
    <w:rsid w:val="722A0FF1"/>
    <w:rsid w:val="722A12B4"/>
    <w:rsid w:val="722A3062"/>
    <w:rsid w:val="722A3594"/>
    <w:rsid w:val="722A5C6E"/>
    <w:rsid w:val="722B1806"/>
    <w:rsid w:val="722B3D97"/>
    <w:rsid w:val="722B70D5"/>
    <w:rsid w:val="722C2936"/>
    <w:rsid w:val="722C67B6"/>
    <w:rsid w:val="722C7F38"/>
    <w:rsid w:val="722D2858"/>
    <w:rsid w:val="722E2B52"/>
    <w:rsid w:val="722E359B"/>
    <w:rsid w:val="722E4900"/>
    <w:rsid w:val="722E55ED"/>
    <w:rsid w:val="722F0678"/>
    <w:rsid w:val="722F2896"/>
    <w:rsid w:val="722F294A"/>
    <w:rsid w:val="722F2C0D"/>
    <w:rsid w:val="72300AB1"/>
    <w:rsid w:val="72305C8D"/>
    <w:rsid w:val="72310DA3"/>
    <w:rsid w:val="72312642"/>
    <w:rsid w:val="72313D26"/>
    <w:rsid w:val="723169D9"/>
    <w:rsid w:val="72322BAC"/>
    <w:rsid w:val="72323CC5"/>
    <w:rsid w:val="72333FC9"/>
    <w:rsid w:val="72334B8A"/>
    <w:rsid w:val="72337FD1"/>
    <w:rsid w:val="72345C00"/>
    <w:rsid w:val="72345C8F"/>
    <w:rsid w:val="72347A3D"/>
    <w:rsid w:val="723544CE"/>
    <w:rsid w:val="72355832"/>
    <w:rsid w:val="72355F95"/>
    <w:rsid w:val="72356599"/>
    <w:rsid w:val="72356904"/>
    <w:rsid w:val="72361A07"/>
    <w:rsid w:val="72362F11"/>
    <w:rsid w:val="723637B5"/>
    <w:rsid w:val="723649A5"/>
    <w:rsid w:val="723661E6"/>
    <w:rsid w:val="72367C59"/>
    <w:rsid w:val="72373C4B"/>
    <w:rsid w:val="72374DBB"/>
    <w:rsid w:val="72375668"/>
    <w:rsid w:val="72376B0D"/>
    <w:rsid w:val="723A368C"/>
    <w:rsid w:val="723A3953"/>
    <w:rsid w:val="723A48E6"/>
    <w:rsid w:val="723A6286"/>
    <w:rsid w:val="723A74C8"/>
    <w:rsid w:val="723B2D68"/>
    <w:rsid w:val="723B701D"/>
    <w:rsid w:val="723C0751"/>
    <w:rsid w:val="723C0915"/>
    <w:rsid w:val="723C12C1"/>
    <w:rsid w:val="723D0E97"/>
    <w:rsid w:val="723D0FE7"/>
    <w:rsid w:val="723D170F"/>
    <w:rsid w:val="723D249F"/>
    <w:rsid w:val="723D4B43"/>
    <w:rsid w:val="723D4D22"/>
    <w:rsid w:val="723D6F28"/>
    <w:rsid w:val="723E2669"/>
    <w:rsid w:val="723E4404"/>
    <w:rsid w:val="723E4E76"/>
    <w:rsid w:val="723E59B2"/>
    <w:rsid w:val="723F1996"/>
    <w:rsid w:val="723F4D5F"/>
    <w:rsid w:val="723F5152"/>
    <w:rsid w:val="723F6274"/>
    <w:rsid w:val="723F6B0D"/>
    <w:rsid w:val="723F7511"/>
    <w:rsid w:val="72404633"/>
    <w:rsid w:val="7241389E"/>
    <w:rsid w:val="72416C9E"/>
    <w:rsid w:val="724203AC"/>
    <w:rsid w:val="7242072E"/>
    <w:rsid w:val="724219B2"/>
    <w:rsid w:val="7242215A"/>
    <w:rsid w:val="7242304A"/>
    <w:rsid w:val="72423485"/>
    <w:rsid w:val="72424D2E"/>
    <w:rsid w:val="724274E2"/>
    <w:rsid w:val="72430D76"/>
    <w:rsid w:val="72431297"/>
    <w:rsid w:val="724317B8"/>
    <w:rsid w:val="72435914"/>
    <w:rsid w:val="72435FE9"/>
    <w:rsid w:val="72445652"/>
    <w:rsid w:val="72454294"/>
    <w:rsid w:val="724545F2"/>
    <w:rsid w:val="7245721D"/>
    <w:rsid w:val="72461C77"/>
    <w:rsid w:val="72461F6E"/>
    <w:rsid w:val="72464B3F"/>
    <w:rsid w:val="72465B95"/>
    <w:rsid w:val="724759C2"/>
    <w:rsid w:val="72477A13"/>
    <w:rsid w:val="72480A69"/>
    <w:rsid w:val="72481146"/>
    <w:rsid w:val="72482E57"/>
    <w:rsid w:val="72492537"/>
    <w:rsid w:val="724A27BC"/>
    <w:rsid w:val="724A2BCD"/>
    <w:rsid w:val="724A3704"/>
    <w:rsid w:val="724A4585"/>
    <w:rsid w:val="724A54B2"/>
    <w:rsid w:val="724A5580"/>
    <w:rsid w:val="724A59F0"/>
    <w:rsid w:val="724A6876"/>
    <w:rsid w:val="724A7260"/>
    <w:rsid w:val="724B001B"/>
    <w:rsid w:val="724B076D"/>
    <w:rsid w:val="724B4950"/>
    <w:rsid w:val="724C122A"/>
    <w:rsid w:val="724C2664"/>
    <w:rsid w:val="724C5D39"/>
    <w:rsid w:val="724C7596"/>
    <w:rsid w:val="724D0AFE"/>
    <w:rsid w:val="724D1B12"/>
    <w:rsid w:val="724D281C"/>
    <w:rsid w:val="724E0F20"/>
    <w:rsid w:val="724E11C4"/>
    <w:rsid w:val="724E2C5D"/>
    <w:rsid w:val="724E32D1"/>
    <w:rsid w:val="724E52A3"/>
    <w:rsid w:val="724E69A2"/>
    <w:rsid w:val="724E6D50"/>
    <w:rsid w:val="724F0D1A"/>
    <w:rsid w:val="724F11ED"/>
    <w:rsid w:val="724F1EF6"/>
    <w:rsid w:val="724F4877"/>
    <w:rsid w:val="724F7590"/>
    <w:rsid w:val="72500831"/>
    <w:rsid w:val="72502843"/>
    <w:rsid w:val="7250634D"/>
    <w:rsid w:val="725069DC"/>
    <w:rsid w:val="72507A3D"/>
    <w:rsid w:val="725105EF"/>
    <w:rsid w:val="72512191"/>
    <w:rsid w:val="72512B3E"/>
    <w:rsid w:val="72513DDF"/>
    <w:rsid w:val="72514A93"/>
    <w:rsid w:val="7251510B"/>
    <w:rsid w:val="72521176"/>
    <w:rsid w:val="72521F11"/>
    <w:rsid w:val="7252339E"/>
    <w:rsid w:val="725243A8"/>
    <w:rsid w:val="7253199F"/>
    <w:rsid w:val="725320D0"/>
    <w:rsid w:val="725325B9"/>
    <w:rsid w:val="725327C4"/>
    <w:rsid w:val="72532A14"/>
    <w:rsid w:val="72532FCB"/>
    <w:rsid w:val="72533ACC"/>
    <w:rsid w:val="72534367"/>
    <w:rsid w:val="72534572"/>
    <w:rsid w:val="72534B96"/>
    <w:rsid w:val="72535CB3"/>
    <w:rsid w:val="72536115"/>
    <w:rsid w:val="72537217"/>
    <w:rsid w:val="72541E8D"/>
    <w:rsid w:val="725445AE"/>
    <w:rsid w:val="725517B3"/>
    <w:rsid w:val="72552B3F"/>
    <w:rsid w:val="725561A2"/>
    <w:rsid w:val="72556331"/>
    <w:rsid w:val="7256189F"/>
    <w:rsid w:val="725620A9"/>
    <w:rsid w:val="72562F6D"/>
    <w:rsid w:val="72563E57"/>
    <w:rsid w:val="725764D3"/>
    <w:rsid w:val="72576650"/>
    <w:rsid w:val="7258073B"/>
    <w:rsid w:val="72582F9A"/>
    <w:rsid w:val="72586F54"/>
    <w:rsid w:val="72591622"/>
    <w:rsid w:val="72593834"/>
    <w:rsid w:val="72597833"/>
    <w:rsid w:val="72597959"/>
    <w:rsid w:val="725A0881"/>
    <w:rsid w:val="725A561D"/>
    <w:rsid w:val="725B146D"/>
    <w:rsid w:val="725B321B"/>
    <w:rsid w:val="725B7E91"/>
    <w:rsid w:val="725C4E8A"/>
    <w:rsid w:val="725C7E94"/>
    <w:rsid w:val="725D01F5"/>
    <w:rsid w:val="725D1447"/>
    <w:rsid w:val="725D1A15"/>
    <w:rsid w:val="725D22A5"/>
    <w:rsid w:val="725D3437"/>
    <w:rsid w:val="725D6D65"/>
    <w:rsid w:val="725D6DC1"/>
    <w:rsid w:val="725D6F93"/>
    <w:rsid w:val="725E0382"/>
    <w:rsid w:val="725E1513"/>
    <w:rsid w:val="725E2D0C"/>
    <w:rsid w:val="725E4ABA"/>
    <w:rsid w:val="725E75D2"/>
    <w:rsid w:val="725F0F5E"/>
    <w:rsid w:val="725F18AF"/>
    <w:rsid w:val="725F1F6F"/>
    <w:rsid w:val="725F3795"/>
    <w:rsid w:val="725F589A"/>
    <w:rsid w:val="72600832"/>
    <w:rsid w:val="72603F26"/>
    <w:rsid w:val="72604266"/>
    <w:rsid w:val="72604CD6"/>
    <w:rsid w:val="72610962"/>
    <w:rsid w:val="72613D08"/>
    <w:rsid w:val="726152EF"/>
    <w:rsid w:val="72616199"/>
    <w:rsid w:val="72616B76"/>
    <w:rsid w:val="7261737F"/>
    <w:rsid w:val="7262396F"/>
    <w:rsid w:val="726245AA"/>
    <w:rsid w:val="726256B1"/>
    <w:rsid w:val="7262796D"/>
    <w:rsid w:val="726301F3"/>
    <w:rsid w:val="72636F78"/>
    <w:rsid w:val="72640322"/>
    <w:rsid w:val="726410CC"/>
    <w:rsid w:val="7264358B"/>
    <w:rsid w:val="72643A9C"/>
    <w:rsid w:val="72644609"/>
    <w:rsid w:val="726447C6"/>
    <w:rsid w:val="726453E3"/>
    <w:rsid w:val="726456C5"/>
    <w:rsid w:val="726522EC"/>
    <w:rsid w:val="7265409A"/>
    <w:rsid w:val="72655483"/>
    <w:rsid w:val="72655E48"/>
    <w:rsid w:val="72660D3F"/>
    <w:rsid w:val="72673320"/>
    <w:rsid w:val="72673542"/>
    <w:rsid w:val="726755B9"/>
    <w:rsid w:val="72677E12"/>
    <w:rsid w:val="72681337"/>
    <w:rsid w:val="72683E78"/>
    <w:rsid w:val="72686F4A"/>
    <w:rsid w:val="72687B8F"/>
    <w:rsid w:val="72691DDC"/>
    <w:rsid w:val="726928A7"/>
    <w:rsid w:val="72692F31"/>
    <w:rsid w:val="7269309C"/>
    <w:rsid w:val="72693B8A"/>
    <w:rsid w:val="72697908"/>
    <w:rsid w:val="726A0120"/>
    <w:rsid w:val="726A1061"/>
    <w:rsid w:val="726A1066"/>
    <w:rsid w:val="726A11DE"/>
    <w:rsid w:val="726A345E"/>
    <w:rsid w:val="726A430F"/>
    <w:rsid w:val="726A789A"/>
    <w:rsid w:val="726B5A35"/>
    <w:rsid w:val="726B5B54"/>
    <w:rsid w:val="726C00E7"/>
    <w:rsid w:val="726C01FE"/>
    <w:rsid w:val="726C5429"/>
    <w:rsid w:val="726C6B55"/>
    <w:rsid w:val="726D1DDE"/>
    <w:rsid w:val="726D7699"/>
    <w:rsid w:val="726D7E7B"/>
    <w:rsid w:val="726E07A1"/>
    <w:rsid w:val="726E11A1"/>
    <w:rsid w:val="726E2F4F"/>
    <w:rsid w:val="726E73F3"/>
    <w:rsid w:val="726E7B11"/>
    <w:rsid w:val="726F3370"/>
    <w:rsid w:val="726F3E45"/>
    <w:rsid w:val="726F4F19"/>
    <w:rsid w:val="726F6CC7"/>
    <w:rsid w:val="726F7C81"/>
    <w:rsid w:val="72702A7D"/>
    <w:rsid w:val="7270316B"/>
    <w:rsid w:val="72704CB4"/>
    <w:rsid w:val="72706A63"/>
    <w:rsid w:val="72707D11"/>
    <w:rsid w:val="72707DAC"/>
    <w:rsid w:val="7271123C"/>
    <w:rsid w:val="727147ED"/>
    <w:rsid w:val="72716493"/>
    <w:rsid w:val="7272130F"/>
    <w:rsid w:val="7272762F"/>
    <w:rsid w:val="72730565"/>
    <w:rsid w:val="727316FA"/>
    <w:rsid w:val="72741739"/>
    <w:rsid w:val="727442DD"/>
    <w:rsid w:val="7274556F"/>
    <w:rsid w:val="7275252F"/>
    <w:rsid w:val="72756797"/>
    <w:rsid w:val="72757BBD"/>
    <w:rsid w:val="72760055"/>
    <w:rsid w:val="72762744"/>
    <w:rsid w:val="727644F9"/>
    <w:rsid w:val="72766423"/>
    <w:rsid w:val="7277424B"/>
    <w:rsid w:val="72774C9A"/>
    <w:rsid w:val="72776159"/>
    <w:rsid w:val="727822E2"/>
    <w:rsid w:val="7278396D"/>
    <w:rsid w:val="72783B8F"/>
    <w:rsid w:val="7278770A"/>
    <w:rsid w:val="727918F3"/>
    <w:rsid w:val="727A0E5E"/>
    <w:rsid w:val="727B0FCF"/>
    <w:rsid w:val="727C43E0"/>
    <w:rsid w:val="727D1E59"/>
    <w:rsid w:val="727D624B"/>
    <w:rsid w:val="727D75E3"/>
    <w:rsid w:val="727D7636"/>
    <w:rsid w:val="727D77DF"/>
    <w:rsid w:val="727E2543"/>
    <w:rsid w:val="727E5A09"/>
    <w:rsid w:val="727E69BE"/>
    <w:rsid w:val="727E6F0A"/>
    <w:rsid w:val="727F0ABA"/>
    <w:rsid w:val="727F515C"/>
    <w:rsid w:val="727F5D9F"/>
    <w:rsid w:val="72800ED4"/>
    <w:rsid w:val="7280201C"/>
    <w:rsid w:val="72804262"/>
    <w:rsid w:val="72810B83"/>
    <w:rsid w:val="72810D89"/>
    <w:rsid w:val="7281101E"/>
    <w:rsid w:val="728140C9"/>
    <w:rsid w:val="728148C6"/>
    <w:rsid w:val="72814DBF"/>
    <w:rsid w:val="72815BE2"/>
    <w:rsid w:val="7282075A"/>
    <w:rsid w:val="72822301"/>
    <w:rsid w:val="72822E9E"/>
    <w:rsid w:val="72824A8C"/>
    <w:rsid w:val="72826E0C"/>
    <w:rsid w:val="72826F00"/>
    <w:rsid w:val="728275F0"/>
    <w:rsid w:val="72835A76"/>
    <w:rsid w:val="72836814"/>
    <w:rsid w:val="72836EA8"/>
    <w:rsid w:val="728400B9"/>
    <w:rsid w:val="72840EBB"/>
    <w:rsid w:val="72842772"/>
    <w:rsid w:val="7284674B"/>
    <w:rsid w:val="72847168"/>
    <w:rsid w:val="72850298"/>
    <w:rsid w:val="7285077E"/>
    <w:rsid w:val="72850DAB"/>
    <w:rsid w:val="7285473C"/>
    <w:rsid w:val="72860B42"/>
    <w:rsid w:val="72861478"/>
    <w:rsid w:val="72863B31"/>
    <w:rsid w:val="728704B4"/>
    <w:rsid w:val="72871F01"/>
    <w:rsid w:val="72871FD2"/>
    <w:rsid w:val="72872262"/>
    <w:rsid w:val="72873462"/>
    <w:rsid w:val="728753A5"/>
    <w:rsid w:val="728770A1"/>
    <w:rsid w:val="728824B9"/>
    <w:rsid w:val="72883412"/>
    <w:rsid w:val="728860DC"/>
    <w:rsid w:val="7289063A"/>
    <w:rsid w:val="728936E7"/>
    <w:rsid w:val="72893A6F"/>
    <w:rsid w:val="7289422C"/>
    <w:rsid w:val="7289545F"/>
    <w:rsid w:val="72897D89"/>
    <w:rsid w:val="728A1A7C"/>
    <w:rsid w:val="728A3B01"/>
    <w:rsid w:val="728B2DDC"/>
    <w:rsid w:val="728B4D80"/>
    <w:rsid w:val="728B4FBA"/>
    <w:rsid w:val="728C571F"/>
    <w:rsid w:val="728C5ACB"/>
    <w:rsid w:val="728C7879"/>
    <w:rsid w:val="728D68EF"/>
    <w:rsid w:val="728D7575"/>
    <w:rsid w:val="728E35F1"/>
    <w:rsid w:val="728F12F7"/>
    <w:rsid w:val="728F14BC"/>
    <w:rsid w:val="728F2610"/>
    <w:rsid w:val="72901D07"/>
    <w:rsid w:val="72903C3F"/>
    <w:rsid w:val="72903FD8"/>
    <w:rsid w:val="729130E1"/>
    <w:rsid w:val="72914E8F"/>
    <w:rsid w:val="72916C3D"/>
    <w:rsid w:val="72917A90"/>
    <w:rsid w:val="72921F19"/>
    <w:rsid w:val="729222B4"/>
    <w:rsid w:val="72923C44"/>
    <w:rsid w:val="72924C0D"/>
    <w:rsid w:val="729259EE"/>
    <w:rsid w:val="7292721B"/>
    <w:rsid w:val="72930C07"/>
    <w:rsid w:val="7294037B"/>
    <w:rsid w:val="7294300F"/>
    <w:rsid w:val="729445D6"/>
    <w:rsid w:val="72944CFF"/>
    <w:rsid w:val="7294672D"/>
    <w:rsid w:val="72950A96"/>
    <w:rsid w:val="7295497F"/>
    <w:rsid w:val="72960637"/>
    <w:rsid w:val="729606F7"/>
    <w:rsid w:val="72962E02"/>
    <w:rsid w:val="72964253"/>
    <w:rsid w:val="72970386"/>
    <w:rsid w:val="729707CF"/>
    <w:rsid w:val="72971A6E"/>
    <w:rsid w:val="729761DC"/>
    <w:rsid w:val="72976D88"/>
    <w:rsid w:val="72985B92"/>
    <w:rsid w:val="72987FCC"/>
    <w:rsid w:val="72991E8C"/>
    <w:rsid w:val="72995877"/>
    <w:rsid w:val="729A1AC7"/>
    <w:rsid w:val="729A1F2C"/>
    <w:rsid w:val="729A1F96"/>
    <w:rsid w:val="729A70AD"/>
    <w:rsid w:val="729A75CE"/>
    <w:rsid w:val="729A78AB"/>
    <w:rsid w:val="729B18D8"/>
    <w:rsid w:val="729B3093"/>
    <w:rsid w:val="729B666C"/>
    <w:rsid w:val="729B7ABC"/>
    <w:rsid w:val="729C190B"/>
    <w:rsid w:val="729C40E7"/>
    <w:rsid w:val="729C5033"/>
    <w:rsid w:val="729C60CB"/>
    <w:rsid w:val="729D0256"/>
    <w:rsid w:val="729D04EF"/>
    <w:rsid w:val="729D1A86"/>
    <w:rsid w:val="729D1EA4"/>
    <w:rsid w:val="729D55E2"/>
    <w:rsid w:val="729D62DD"/>
    <w:rsid w:val="729D7428"/>
    <w:rsid w:val="729E2515"/>
    <w:rsid w:val="729E36AF"/>
    <w:rsid w:val="729E4247"/>
    <w:rsid w:val="729F16E9"/>
    <w:rsid w:val="729F3B4C"/>
    <w:rsid w:val="729F51EA"/>
    <w:rsid w:val="729F737F"/>
    <w:rsid w:val="72A018DC"/>
    <w:rsid w:val="72A019B9"/>
    <w:rsid w:val="72A01C21"/>
    <w:rsid w:val="72A02A00"/>
    <w:rsid w:val="72A03324"/>
    <w:rsid w:val="72A050D2"/>
    <w:rsid w:val="72A05A0D"/>
    <w:rsid w:val="72A11BDF"/>
    <w:rsid w:val="72A17885"/>
    <w:rsid w:val="72A20E4A"/>
    <w:rsid w:val="72A252EE"/>
    <w:rsid w:val="72A273FA"/>
    <w:rsid w:val="72A33828"/>
    <w:rsid w:val="72A40F5A"/>
    <w:rsid w:val="72A4298A"/>
    <w:rsid w:val="72A42EC4"/>
    <w:rsid w:val="72A44BC2"/>
    <w:rsid w:val="72A45384"/>
    <w:rsid w:val="72A468A8"/>
    <w:rsid w:val="72A5093A"/>
    <w:rsid w:val="72A51015"/>
    <w:rsid w:val="72A5379F"/>
    <w:rsid w:val="72A620AD"/>
    <w:rsid w:val="72A66B65"/>
    <w:rsid w:val="72A72905"/>
    <w:rsid w:val="72A746B3"/>
    <w:rsid w:val="72A76461"/>
    <w:rsid w:val="72A8130B"/>
    <w:rsid w:val="72A83EDC"/>
    <w:rsid w:val="72A853BE"/>
    <w:rsid w:val="72A8669D"/>
    <w:rsid w:val="72A87C19"/>
    <w:rsid w:val="72A9042B"/>
    <w:rsid w:val="72A91C7B"/>
    <w:rsid w:val="72A921D9"/>
    <w:rsid w:val="72A93DB2"/>
    <w:rsid w:val="72A93F87"/>
    <w:rsid w:val="72A97760"/>
    <w:rsid w:val="72AA278E"/>
    <w:rsid w:val="72AA34C2"/>
    <w:rsid w:val="72AA35BF"/>
    <w:rsid w:val="72AA5372"/>
    <w:rsid w:val="72AA59FD"/>
    <w:rsid w:val="72AA67FC"/>
    <w:rsid w:val="72AB4913"/>
    <w:rsid w:val="72AB5DE3"/>
    <w:rsid w:val="72AB5F51"/>
    <w:rsid w:val="72AB7080"/>
    <w:rsid w:val="72AC05B1"/>
    <w:rsid w:val="72AC1CC9"/>
    <w:rsid w:val="72AC3A26"/>
    <w:rsid w:val="72AC5DEC"/>
    <w:rsid w:val="72AD26DF"/>
    <w:rsid w:val="72AD49AF"/>
    <w:rsid w:val="72AD517D"/>
    <w:rsid w:val="72AD6BBE"/>
    <w:rsid w:val="72AE16EB"/>
    <w:rsid w:val="72AE3C93"/>
    <w:rsid w:val="72AE58E1"/>
    <w:rsid w:val="72AE5A41"/>
    <w:rsid w:val="72AE69DA"/>
    <w:rsid w:val="72AF0B50"/>
    <w:rsid w:val="72AF13F9"/>
    <w:rsid w:val="72AF5315"/>
    <w:rsid w:val="72B017B9"/>
    <w:rsid w:val="72B03567"/>
    <w:rsid w:val="72B058FD"/>
    <w:rsid w:val="72B07BA2"/>
    <w:rsid w:val="72B1108D"/>
    <w:rsid w:val="72B16249"/>
    <w:rsid w:val="72B166CF"/>
    <w:rsid w:val="72B172DF"/>
    <w:rsid w:val="72B22833"/>
    <w:rsid w:val="72B23DF5"/>
    <w:rsid w:val="72B247A1"/>
    <w:rsid w:val="72B300BA"/>
    <w:rsid w:val="72B31E06"/>
    <w:rsid w:val="72B31F44"/>
    <w:rsid w:val="72B33057"/>
    <w:rsid w:val="72B34E05"/>
    <w:rsid w:val="72B37705"/>
    <w:rsid w:val="72B45172"/>
    <w:rsid w:val="72B466AA"/>
    <w:rsid w:val="72B4754E"/>
    <w:rsid w:val="72B5223D"/>
    <w:rsid w:val="72B54D9D"/>
    <w:rsid w:val="72B55021"/>
    <w:rsid w:val="72B57436"/>
    <w:rsid w:val="72B648F6"/>
    <w:rsid w:val="72B6607D"/>
    <w:rsid w:val="72B666A4"/>
    <w:rsid w:val="72B72002"/>
    <w:rsid w:val="72B74068"/>
    <w:rsid w:val="72B74101"/>
    <w:rsid w:val="72B8066E"/>
    <w:rsid w:val="72B80E00"/>
    <w:rsid w:val="72B8241C"/>
    <w:rsid w:val="72B832BB"/>
    <w:rsid w:val="72B839D1"/>
    <w:rsid w:val="72B85CE1"/>
    <w:rsid w:val="72B868C0"/>
    <w:rsid w:val="72B91C82"/>
    <w:rsid w:val="72B926C4"/>
    <w:rsid w:val="72B95AFC"/>
    <w:rsid w:val="72BA2638"/>
    <w:rsid w:val="72BA43E6"/>
    <w:rsid w:val="72BA6194"/>
    <w:rsid w:val="72BA62F1"/>
    <w:rsid w:val="72BA68FE"/>
    <w:rsid w:val="72BB015E"/>
    <w:rsid w:val="72BB455A"/>
    <w:rsid w:val="72BB4D8D"/>
    <w:rsid w:val="72BB5267"/>
    <w:rsid w:val="72BC7612"/>
    <w:rsid w:val="72BD05C5"/>
    <w:rsid w:val="72BD3460"/>
    <w:rsid w:val="72BD3C24"/>
    <w:rsid w:val="72BD3ED6"/>
    <w:rsid w:val="72BD4257"/>
    <w:rsid w:val="72BD5C84"/>
    <w:rsid w:val="72BE07E2"/>
    <w:rsid w:val="72BE2723"/>
    <w:rsid w:val="72BE4098"/>
    <w:rsid w:val="72BF1763"/>
    <w:rsid w:val="72BF19FC"/>
    <w:rsid w:val="72BF37AA"/>
    <w:rsid w:val="72BF492E"/>
    <w:rsid w:val="72BF7022"/>
    <w:rsid w:val="72C02163"/>
    <w:rsid w:val="72C03AA7"/>
    <w:rsid w:val="72C07522"/>
    <w:rsid w:val="72C11EBC"/>
    <w:rsid w:val="72C12716"/>
    <w:rsid w:val="72C138A7"/>
    <w:rsid w:val="72C14B02"/>
    <w:rsid w:val="72C15774"/>
    <w:rsid w:val="72C16863"/>
    <w:rsid w:val="72C205C7"/>
    <w:rsid w:val="72C214EC"/>
    <w:rsid w:val="72C23818"/>
    <w:rsid w:val="72C24A83"/>
    <w:rsid w:val="72C25048"/>
    <w:rsid w:val="72C2773E"/>
    <w:rsid w:val="72C30AE4"/>
    <w:rsid w:val="72C35D96"/>
    <w:rsid w:val="72C366CC"/>
    <w:rsid w:val="72C36EB5"/>
    <w:rsid w:val="72C45265"/>
    <w:rsid w:val="72C473A3"/>
    <w:rsid w:val="72C60FDD"/>
    <w:rsid w:val="72C619D4"/>
    <w:rsid w:val="72C6252C"/>
    <w:rsid w:val="72C62D8B"/>
    <w:rsid w:val="72C641B7"/>
    <w:rsid w:val="72C65FD5"/>
    <w:rsid w:val="72C702A6"/>
    <w:rsid w:val="72C7045D"/>
    <w:rsid w:val="72C708F5"/>
    <w:rsid w:val="72C70CB1"/>
    <w:rsid w:val="72C72735"/>
    <w:rsid w:val="72C75314"/>
    <w:rsid w:val="72C75B47"/>
    <w:rsid w:val="72C76C64"/>
    <w:rsid w:val="72C77465"/>
    <w:rsid w:val="72C801D1"/>
    <w:rsid w:val="72C82099"/>
    <w:rsid w:val="72C90354"/>
    <w:rsid w:val="72C9146C"/>
    <w:rsid w:val="72C91575"/>
    <w:rsid w:val="72C91F13"/>
    <w:rsid w:val="72C9287B"/>
    <w:rsid w:val="72C9657E"/>
    <w:rsid w:val="72C97DA9"/>
    <w:rsid w:val="72CA14FB"/>
    <w:rsid w:val="72CA214F"/>
    <w:rsid w:val="72CA46A5"/>
    <w:rsid w:val="72CA6159"/>
    <w:rsid w:val="72CB2090"/>
    <w:rsid w:val="72CB35C7"/>
    <w:rsid w:val="72CB3A5F"/>
    <w:rsid w:val="72CB65F3"/>
    <w:rsid w:val="72CB7259"/>
    <w:rsid w:val="72CC236B"/>
    <w:rsid w:val="72CC2578"/>
    <w:rsid w:val="72CC4119"/>
    <w:rsid w:val="72CC754C"/>
    <w:rsid w:val="72CD1172"/>
    <w:rsid w:val="72CD3C33"/>
    <w:rsid w:val="72CD5522"/>
    <w:rsid w:val="72CE150E"/>
    <w:rsid w:val="72CE18EC"/>
    <w:rsid w:val="72CE1C3F"/>
    <w:rsid w:val="72CE221F"/>
    <w:rsid w:val="72CE597E"/>
    <w:rsid w:val="72CE5BF7"/>
    <w:rsid w:val="72CE60E3"/>
    <w:rsid w:val="72CE7E91"/>
    <w:rsid w:val="72CF0625"/>
    <w:rsid w:val="72CF1881"/>
    <w:rsid w:val="72CF2886"/>
    <w:rsid w:val="72CF48B0"/>
    <w:rsid w:val="72D0021E"/>
    <w:rsid w:val="72D00517"/>
    <w:rsid w:val="72D03C09"/>
    <w:rsid w:val="72D04111"/>
    <w:rsid w:val="72D059B7"/>
    <w:rsid w:val="72D1172F"/>
    <w:rsid w:val="72D15A1F"/>
    <w:rsid w:val="72D20508"/>
    <w:rsid w:val="72D20752"/>
    <w:rsid w:val="72D20D47"/>
    <w:rsid w:val="72D2478B"/>
    <w:rsid w:val="72D27981"/>
    <w:rsid w:val="72D305D9"/>
    <w:rsid w:val="72D30A9E"/>
    <w:rsid w:val="72D3133B"/>
    <w:rsid w:val="72D31686"/>
    <w:rsid w:val="72D336FA"/>
    <w:rsid w:val="72D34780"/>
    <w:rsid w:val="72D35B6A"/>
    <w:rsid w:val="72D366A0"/>
    <w:rsid w:val="72D3715E"/>
    <w:rsid w:val="72D37256"/>
    <w:rsid w:val="72D4073F"/>
    <w:rsid w:val="72D41CF8"/>
    <w:rsid w:val="72D52FCE"/>
    <w:rsid w:val="72D56FC4"/>
    <w:rsid w:val="72D57472"/>
    <w:rsid w:val="72D609D7"/>
    <w:rsid w:val="72D60AF4"/>
    <w:rsid w:val="72D63291"/>
    <w:rsid w:val="72D64159"/>
    <w:rsid w:val="72D64389"/>
    <w:rsid w:val="72D65D2C"/>
    <w:rsid w:val="72D66D46"/>
    <w:rsid w:val="72D66F5A"/>
    <w:rsid w:val="72D6783B"/>
    <w:rsid w:val="72D72E50"/>
    <w:rsid w:val="72D73EF6"/>
    <w:rsid w:val="72D74CD3"/>
    <w:rsid w:val="72D74F98"/>
    <w:rsid w:val="72D80D10"/>
    <w:rsid w:val="72D810D9"/>
    <w:rsid w:val="72D825E8"/>
    <w:rsid w:val="72D82ABE"/>
    <w:rsid w:val="72D8486C"/>
    <w:rsid w:val="72D862EF"/>
    <w:rsid w:val="72D86504"/>
    <w:rsid w:val="72D869E3"/>
    <w:rsid w:val="72D9141E"/>
    <w:rsid w:val="72D92D0A"/>
    <w:rsid w:val="72D95F2E"/>
    <w:rsid w:val="72DA05E4"/>
    <w:rsid w:val="72DA6836"/>
    <w:rsid w:val="72DA7FDE"/>
    <w:rsid w:val="72DB14A7"/>
    <w:rsid w:val="72DB1977"/>
    <w:rsid w:val="72DB435C"/>
    <w:rsid w:val="72DB5AFC"/>
    <w:rsid w:val="72DB610A"/>
    <w:rsid w:val="72DC530B"/>
    <w:rsid w:val="72DC657A"/>
    <w:rsid w:val="72DC7583"/>
    <w:rsid w:val="72DD00D4"/>
    <w:rsid w:val="72DD1E82"/>
    <w:rsid w:val="72DD5C9C"/>
    <w:rsid w:val="72DD6326"/>
    <w:rsid w:val="72DE6229"/>
    <w:rsid w:val="72DE65CF"/>
    <w:rsid w:val="72DF0DCB"/>
    <w:rsid w:val="72DF209E"/>
    <w:rsid w:val="72DF2F21"/>
    <w:rsid w:val="72DF3121"/>
    <w:rsid w:val="72DF3E4C"/>
    <w:rsid w:val="72DF508C"/>
    <w:rsid w:val="72DF5BFA"/>
    <w:rsid w:val="72E019B5"/>
    <w:rsid w:val="72E04D55"/>
    <w:rsid w:val="72E10AED"/>
    <w:rsid w:val="72E11A53"/>
    <w:rsid w:val="72E14A27"/>
    <w:rsid w:val="72E17BC5"/>
    <w:rsid w:val="72E21FC3"/>
    <w:rsid w:val="72E2393D"/>
    <w:rsid w:val="72E256EB"/>
    <w:rsid w:val="72E27499"/>
    <w:rsid w:val="72E27AFD"/>
    <w:rsid w:val="72E31665"/>
    <w:rsid w:val="72E31909"/>
    <w:rsid w:val="72E31B18"/>
    <w:rsid w:val="72E41463"/>
    <w:rsid w:val="72E4193A"/>
    <w:rsid w:val="72E41E5B"/>
    <w:rsid w:val="72E431B2"/>
    <w:rsid w:val="72E442F1"/>
    <w:rsid w:val="72E476B5"/>
    <w:rsid w:val="72E509D8"/>
    <w:rsid w:val="72E614AC"/>
    <w:rsid w:val="72E62A9C"/>
    <w:rsid w:val="72E638E0"/>
    <w:rsid w:val="72E66F89"/>
    <w:rsid w:val="72E67768"/>
    <w:rsid w:val="72E70460"/>
    <w:rsid w:val="72E72D01"/>
    <w:rsid w:val="72E7451A"/>
    <w:rsid w:val="72E74AAF"/>
    <w:rsid w:val="72E801A1"/>
    <w:rsid w:val="72E80704"/>
    <w:rsid w:val="72E83AC2"/>
    <w:rsid w:val="72E8679E"/>
    <w:rsid w:val="72E90827"/>
    <w:rsid w:val="72E90901"/>
    <w:rsid w:val="72E927FF"/>
    <w:rsid w:val="72E9331D"/>
    <w:rsid w:val="72E94CCB"/>
    <w:rsid w:val="72E9679C"/>
    <w:rsid w:val="72E9740D"/>
    <w:rsid w:val="72E97556"/>
    <w:rsid w:val="72E9769B"/>
    <w:rsid w:val="72E9779A"/>
    <w:rsid w:val="72E97DCC"/>
    <w:rsid w:val="72EA1AF7"/>
    <w:rsid w:val="72EA3C8F"/>
    <w:rsid w:val="72EA6B5F"/>
    <w:rsid w:val="72EA79EA"/>
    <w:rsid w:val="72EB219F"/>
    <w:rsid w:val="72EC0317"/>
    <w:rsid w:val="72EC169B"/>
    <w:rsid w:val="72EC1FD2"/>
    <w:rsid w:val="72EC617F"/>
    <w:rsid w:val="72EC649F"/>
    <w:rsid w:val="72EC6569"/>
    <w:rsid w:val="72EC6E5A"/>
    <w:rsid w:val="72ED12B0"/>
    <w:rsid w:val="72ED47BB"/>
    <w:rsid w:val="72ED4C37"/>
    <w:rsid w:val="72ED7B44"/>
    <w:rsid w:val="72EE0533"/>
    <w:rsid w:val="72EE22E1"/>
    <w:rsid w:val="72EE3A94"/>
    <w:rsid w:val="72EE408F"/>
    <w:rsid w:val="72EE4EC1"/>
    <w:rsid w:val="72EE5E3E"/>
    <w:rsid w:val="72EF4F30"/>
    <w:rsid w:val="72F0605A"/>
    <w:rsid w:val="72F06E48"/>
    <w:rsid w:val="72F13B80"/>
    <w:rsid w:val="72F14D6E"/>
    <w:rsid w:val="72F153E5"/>
    <w:rsid w:val="72F1592E"/>
    <w:rsid w:val="72F20D29"/>
    <w:rsid w:val="72F24FF2"/>
    <w:rsid w:val="72F27979"/>
    <w:rsid w:val="72F311F3"/>
    <w:rsid w:val="72F32456"/>
    <w:rsid w:val="72F33F62"/>
    <w:rsid w:val="72F36AA4"/>
    <w:rsid w:val="72F378F8"/>
    <w:rsid w:val="72F40782"/>
    <w:rsid w:val="72F46310"/>
    <w:rsid w:val="72F46BAB"/>
    <w:rsid w:val="72F503BE"/>
    <w:rsid w:val="72F524E3"/>
    <w:rsid w:val="72F53ED4"/>
    <w:rsid w:val="72F5541E"/>
    <w:rsid w:val="72F66000"/>
    <w:rsid w:val="72F66504"/>
    <w:rsid w:val="72F705E6"/>
    <w:rsid w:val="72F71196"/>
    <w:rsid w:val="72F72643"/>
    <w:rsid w:val="72F75D6E"/>
    <w:rsid w:val="72F773E8"/>
    <w:rsid w:val="72F82101"/>
    <w:rsid w:val="72F8287C"/>
    <w:rsid w:val="72F83160"/>
    <w:rsid w:val="72F84F0E"/>
    <w:rsid w:val="72F87113"/>
    <w:rsid w:val="72F92FA8"/>
    <w:rsid w:val="72F97723"/>
    <w:rsid w:val="72FA0947"/>
    <w:rsid w:val="72FA2A34"/>
    <w:rsid w:val="72FA6ED8"/>
    <w:rsid w:val="72FB055A"/>
    <w:rsid w:val="72FB13B2"/>
    <w:rsid w:val="72FB23D9"/>
    <w:rsid w:val="72FB50F1"/>
    <w:rsid w:val="72FB7D7C"/>
    <w:rsid w:val="72FC0C75"/>
    <w:rsid w:val="72FC0E56"/>
    <w:rsid w:val="72FC490E"/>
    <w:rsid w:val="72FC49FE"/>
    <w:rsid w:val="72FC67AC"/>
    <w:rsid w:val="72FC75DB"/>
    <w:rsid w:val="72FD0776"/>
    <w:rsid w:val="72FD2525"/>
    <w:rsid w:val="72FD42D3"/>
    <w:rsid w:val="72FE0514"/>
    <w:rsid w:val="72FE3595"/>
    <w:rsid w:val="72FE65BA"/>
    <w:rsid w:val="72FF629D"/>
    <w:rsid w:val="73001DD1"/>
    <w:rsid w:val="73005B71"/>
    <w:rsid w:val="73006D2B"/>
    <w:rsid w:val="730076A1"/>
    <w:rsid w:val="73010267"/>
    <w:rsid w:val="73010FFC"/>
    <w:rsid w:val="73012015"/>
    <w:rsid w:val="73012FB8"/>
    <w:rsid w:val="73013DC3"/>
    <w:rsid w:val="730169F6"/>
    <w:rsid w:val="73020D90"/>
    <w:rsid w:val="730218E9"/>
    <w:rsid w:val="730241B0"/>
    <w:rsid w:val="73024AE7"/>
    <w:rsid w:val="73025522"/>
    <w:rsid w:val="730257DC"/>
    <w:rsid w:val="73025C98"/>
    <w:rsid w:val="73025D8D"/>
    <w:rsid w:val="7303263B"/>
    <w:rsid w:val="730333A6"/>
    <w:rsid w:val="73044836"/>
    <w:rsid w:val="73045661"/>
    <w:rsid w:val="73046699"/>
    <w:rsid w:val="730467CD"/>
    <w:rsid w:val="7304780E"/>
    <w:rsid w:val="73047ABD"/>
    <w:rsid w:val="73052C83"/>
    <w:rsid w:val="73053DBF"/>
    <w:rsid w:val="73057B87"/>
    <w:rsid w:val="730632E9"/>
    <w:rsid w:val="7306587D"/>
    <w:rsid w:val="73066520"/>
    <w:rsid w:val="7306762B"/>
    <w:rsid w:val="730700A6"/>
    <w:rsid w:val="73070F3B"/>
    <w:rsid w:val="73075151"/>
    <w:rsid w:val="73076042"/>
    <w:rsid w:val="73076EFF"/>
    <w:rsid w:val="730833A3"/>
    <w:rsid w:val="73084463"/>
    <w:rsid w:val="73087218"/>
    <w:rsid w:val="730906A8"/>
    <w:rsid w:val="73090EC9"/>
    <w:rsid w:val="73091290"/>
    <w:rsid w:val="73096D80"/>
    <w:rsid w:val="7309711B"/>
    <w:rsid w:val="730A2BFF"/>
    <w:rsid w:val="730A4658"/>
    <w:rsid w:val="730A58F2"/>
    <w:rsid w:val="730A6686"/>
    <w:rsid w:val="730B2E93"/>
    <w:rsid w:val="730B36DA"/>
    <w:rsid w:val="730B4C41"/>
    <w:rsid w:val="730C0D92"/>
    <w:rsid w:val="730C2768"/>
    <w:rsid w:val="730C31A1"/>
    <w:rsid w:val="730C61D8"/>
    <w:rsid w:val="730C7B36"/>
    <w:rsid w:val="730D4085"/>
    <w:rsid w:val="730D67C7"/>
    <w:rsid w:val="730E4732"/>
    <w:rsid w:val="730E51D1"/>
    <w:rsid w:val="730E64E0"/>
    <w:rsid w:val="730E7A58"/>
    <w:rsid w:val="730F048D"/>
    <w:rsid w:val="730F1134"/>
    <w:rsid w:val="730F3BC4"/>
    <w:rsid w:val="730F785D"/>
    <w:rsid w:val="73102258"/>
    <w:rsid w:val="73104006"/>
    <w:rsid w:val="731104BD"/>
    <w:rsid w:val="731107FB"/>
    <w:rsid w:val="73112874"/>
    <w:rsid w:val="7311333F"/>
    <w:rsid w:val="73116800"/>
    <w:rsid w:val="73117D7E"/>
    <w:rsid w:val="73120DFB"/>
    <w:rsid w:val="73124222"/>
    <w:rsid w:val="7312497B"/>
    <w:rsid w:val="73131D48"/>
    <w:rsid w:val="73132E9B"/>
    <w:rsid w:val="731331C0"/>
    <w:rsid w:val="7314432B"/>
    <w:rsid w:val="7314568D"/>
    <w:rsid w:val="73150B3E"/>
    <w:rsid w:val="73150E8C"/>
    <w:rsid w:val="73156E31"/>
    <w:rsid w:val="7316181C"/>
    <w:rsid w:val="73165394"/>
    <w:rsid w:val="7316740C"/>
    <w:rsid w:val="73167ABB"/>
    <w:rsid w:val="7317026B"/>
    <w:rsid w:val="73171838"/>
    <w:rsid w:val="73175B3D"/>
    <w:rsid w:val="73177BAF"/>
    <w:rsid w:val="7318110C"/>
    <w:rsid w:val="73181626"/>
    <w:rsid w:val="73182D5F"/>
    <w:rsid w:val="73186436"/>
    <w:rsid w:val="731A1BF5"/>
    <w:rsid w:val="731A2D6E"/>
    <w:rsid w:val="731A4616"/>
    <w:rsid w:val="731A4E85"/>
    <w:rsid w:val="731A57A5"/>
    <w:rsid w:val="731B027F"/>
    <w:rsid w:val="731B0AD6"/>
    <w:rsid w:val="731B2ABD"/>
    <w:rsid w:val="731B34DE"/>
    <w:rsid w:val="731B41FE"/>
    <w:rsid w:val="731B68B9"/>
    <w:rsid w:val="731B6A89"/>
    <w:rsid w:val="731C0849"/>
    <w:rsid w:val="731C0BFD"/>
    <w:rsid w:val="731C1390"/>
    <w:rsid w:val="731C1CB6"/>
    <w:rsid w:val="731C6E4F"/>
    <w:rsid w:val="731C7B0F"/>
    <w:rsid w:val="731D0617"/>
    <w:rsid w:val="731D0BAF"/>
    <w:rsid w:val="731D16EF"/>
    <w:rsid w:val="731D1944"/>
    <w:rsid w:val="731D685A"/>
    <w:rsid w:val="731E0927"/>
    <w:rsid w:val="731E1DBF"/>
    <w:rsid w:val="731E2092"/>
    <w:rsid w:val="731E21F5"/>
    <w:rsid w:val="731E2BC7"/>
    <w:rsid w:val="731E4248"/>
    <w:rsid w:val="731F06ED"/>
    <w:rsid w:val="731F134B"/>
    <w:rsid w:val="731F249B"/>
    <w:rsid w:val="73200929"/>
    <w:rsid w:val="7320185C"/>
    <w:rsid w:val="73207A75"/>
    <w:rsid w:val="732114CF"/>
    <w:rsid w:val="73214465"/>
    <w:rsid w:val="7321692F"/>
    <w:rsid w:val="73222243"/>
    <w:rsid w:val="73223D39"/>
    <w:rsid w:val="73225CA8"/>
    <w:rsid w:val="732265AD"/>
    <w:rsid w:val="73231E23"/>
    <w:rsid w:val="73241EBD"/>
    <w:rsid w:val="73243F55"/>
    <w:rsid w:val="732445F1"/>
    <w:rsid w:val="73247AB1"/>
    <w:rsid w:val="73256EFA"/>
    <w:rsid w:val="73257D7B"/>
    <w:rsid w:val="73261311"/>
    <w:rsid w:val="7326196A"/>
    <w:rsid w:val="73261A7B"/>
    <w:rsid w:val="73262760"/>
    <w:rsid w:val="73263829"/>
    <w:rsid w:val="732645FE"/>
    <w:rsid w:val="73274A9A"/>
    <w:rsid w:val="732775A1"/>
    <w:rsid w:val="73283C31"/>
    <w:rsid w:val="73284917"/>
    <w:rsid w:val="73284FC8"/>
    <w:rsid w:val="732857F3"/>
    <w:rsid w:val="73286802"/>
    <w:rsid w:val="73290C32"/>
    <w:rsid w:val="73291A6B"/>
    <w:rsid w:val="732950C8"/>
    <w:rsid w:val="732A3CD1"/>
    <w:rsid w:val="732A6145"/>
    <w:rsid w:val="732B0E40"/>
    <w:rsid w:val="732B1615"/>
    <w:rsid w:val="732B20B8"/>
    <w:rsid w:val="732B24A9"/>
    <w:rsid w:val="732B25B2"/>
    <w:rsid w:val="732B2AA0"/>
    <w:rsid w:val="732B3CF3"/>
    <w:rsid w:val="732B52E4"/>
    <w:rsid w:val="732B7822"/>
    <w:rsid w:val="732C0CB6"/>
    <w:rsid w:val="732C1547"/>
    <w:rsid w:val="732C2059"/>
    <w:rsid w:val="732C5D20"/>
    <w:rsid w:val="732C6966"/>
    <w:rsid w:val="732D2796"/>
    <w:rsid w:val="732D2E0A"/>
    <w:rsid w:val="732D69A0"/>
    <w:rsid w:val="732E1691"/>
    <w:rsid w:val="732E1B6B"/>
    <w:rsid w:val="732E6B82"/>
    <w:rsid w:val="732E75F6"/>
    <w:rsid w:val="732F6D19"/>
    <w:rsid w:val="73301E1F"/>
    <w:rsid w:val="733028FA"/>
    <w:rsid w:val="73303710"/>
    <w:rsid w:val="733046A8"/>
    <w:rsid w:val="73306456"/>
    <w:rsid w:val="73307800"/>
    <w:rsid w:val="73310FF5"/>
    <w:rsid w:val="73311CF3"/>
    <w:rsid w:val="73316192"/>
    <w:rsid w:val="733221CE"/>
    <w:rsid w:val="73324E4E"/>
    <w:rsid w:val="73335F46"/>
    <w:rsid w:val="73337CF4"/>
    <w:rsid w:val="73341B54"/>
    <w:rsid w:val="73342A8E"/>
    <w:rsid w:val="733440C3"/>
    <w:rsid w:val="733511C5"/>
    <w:rsid w:val="73351CBE"/>
    <w:rsid w:val="7335259E"/>
    <w:rsid w:val="73352CB8"/>
    <w:rsid w:val="733545BE"/>
    <w:rsid w:val="7335593A"/>
    <w:rsid w:val="733614CC"/>
    <w:rsid w:val="73361B49"/>
    <w:rsid w:val="733621BD"/>
    <w:rsid w:val="7336330F"/>
    <w:rsid w:val="733660A3"/>
    <w:rsid w:val="73366951"/>
    <w:rsid w:val="73367407"/>
    <w:rsid w:val="733701CA"/>
    <w:rsid w:val="733725AC"/>
    <w:rsid w:val="73375A36"/>
    <w:rsid w:val="7337607E"/>
    <w:rsid w:val="733776BB"/>
    <w:rsid w:val="733777E5"/>
    <w:rsid w:val="733817AF"/>
    <w:rsid w:val="7338355D"/>
    <w:rsid w:val="733862FD"/>
    <w:rsid w:val="7339555F"/>
    <w:rsid w:val="73397984"/>
    <w:rsid w:val="73397A01"/>
    <w:rsid w:val="733A0C17"/>
    <w:rsid w:val="733A0F3F"/>
    <w:rsid w:val="733A10F5"/>
    <w:rsid w:val="733A6046"/>
    <w:rsid w:val="733A6CBD"/>
    <w:rsid w:val="733B63B3"/>
    <w:rsid w:val="733C0943"/>
    <w:rsid w:val="733C6F53"/>
    <w:rsid w:val="733C7545"/>
    <w:rsid w:val="733D2F5F"/>
    <w:rsid w:val="733D5627"/>
    <w:rsid w:val="733D6108"/>
    <w:rsid w:val="733D6639"/>
    <w:rsid w:val="733E1093"/>
    <w:rsid w:val="733E17AF"/>
    <w:rsid w:val="733F0D8F"/>
    <w:rsid w:val="733F2B3D"/>
    <w:rsid w:val="733F35F9"/>
    <w:rsid w:val="733F48EB"/>
    <w:rsid w:val="733F55E7"/>
    <w:rsid w:val="733F560D"/>
    <w:rsid w:val="734028E9"/>
    <w:rsid w:val="7340546C"/>
    <w:rsid w:val="73406C5B"/>
    <w:rsid w:val="73410663"/>
    <w:rsid w:val="734161D0"/>
    <w:rsid w:val="73423CA5"/>
    <w:rsid w:val="734343DB"/>
    <w:rsid w:val="73434804"/>
    <w:rsid w:val="73436838"/>
    <w:rsid w:val="73444502"/>
    <w:rsid w:val="73455896"/>
    <w:rsid w:val="73463ECB"/>
    <w:rsid w:val="73467A28"/>
    <w:rsid w:val="7347020E"/>
    <w:rsid w:val="734704D0"/>
    <w:rsid w:val="734718C6"/>
    <w:rsid w:val="73474DA4"/>
    <w:rsid w:val="7348033A"/>
    <w:rsid w:val="734819F2"/>
    <w:rsid w:val="73486490"/>
    <w:rsid w:val="73487C44"/>
    <w:rsid w:val="73492B25"/>
    <w:rsid w:val="73493B6A"/>
    <w:rsid w:val="7349576A"/>
    <w:rsid w:val="734A058D"/>
    <w:rsid w:val="734A4F1B"/>
    <w:rsid w:val="734B14E2"/>
    <w:rsid w:val="734B1B9C"/>
    <w:rsid w:val="734B2C78"/>
    <w:rsid w:val="734B7138"/>
    <w:rsid w:val="734B7734"/>
    <w:rsid w:val="734C0B58"/>
    <w:rsid w:val="734C0DB6"/>
    <w:rsid w:val="734C321E"/>
    <w:rsid w:val="734C6F0E"/>
    <w:rsid w:val="734C7EFF"/>
    <w:rsid w:val="734D7008"/>
    <w:rsid w:val="734D7FD8"/>
    <w:rsid w:val="734E0D31"/>
    <w:rsid w:val="734E0FCD"/>
    <w:rsid w:val="734E3EC6"/>
    <w:rsid w:val="734E4B2E"/>
    <w:rsid w:val="734F0FD2"/>
    <w:rsid w:val="734F32C4"/>
    <w:rsid w:val="734F51D3"/>
    <w:rsid w:val="734F5D5C"/>
    <w:rsid w:val="734F6817"/>
    <w:rsid w:val="734F716D"/>
    <w:rsid w:val="73502E3D"/>
    <w:rsid w:val="73504555"/>
    <w:rsid w:val="73504784"/>
    <w:rsid w:val="73504D4A"/>
    <w:rsid w:val="73506550"/>
    <w:rsid w:val="73506AF8"/>
    <w:rsid w:val="73510A68"/>
    <w:rsid w:val="73510BC5"/>
    <w:rsid w:val="73510CEE"/>
    <w:rsid w:val="73512629"/>
    <w:rsid w:val="73515A0E"/>
    <w:rsid w:val="73517DC5"/>
    <w:rsid w:val="73520AC2"/>
    <w:rsid w:val="73522870"/>
    <w:rsid w:val="73522D1C"/>
    <w:rsid w:val="7352461E"/>
    <w:rsid w:val="7352575D"/>
    <w:rsid w:val="73530396"/>
    <w:rsid w:val="73531975"/>
    <w:rsid w:val="73532145"/>
    <w:rsid w:val="735332CB"/>
    <w:rsid w:val="7354081E"/>
    <w:rsid w:val="73540D98"/>
    <w:rsid w:val="735417BE"/>
    <w:rsid w:val="73545972"/>
    <w:rsid w:val="735465E8"/>
    <w:rsid w:val="73550875"/>
    <w:rsid w:val="7355410F"/>
    <w:rsid w:val="735544D4"/>
    <w:rsid w:val="73560ACB"/>
    <w:rsid w:val="7356633D"/>
    <w:rsid w:val="735669C6"/>
    <w:rsid w:val="735754B8"/>
    <w:rsid w:val="73577E87"/>
    <w:rsid w:val="7358297A"/>
    <w:rsid w:val="735841A0"/>
    <w:rsid w:val="7358514C"/>
    <w:rsid w:val="73585319"/>
    <w:rsid w:val="735859AD"/>
    <w:rsid w:val="73587243"/>
    <w:rsid w:val="73591701"/>
    <w:rsid w:val="73591E51"/>
    <w:rsid w:val="7359395E"/>
    <w:rsid w:val="73593E7F"/>
    <w:rsid w:val="735A1725"/>
    <w:rsid w:val="735A2CE4"/>
    <w:rsid w:val="735A34D3"/>
    <w:rsid w:val="735A5430"/>
    <w:rsid w:val="735A61C9"/>
    <w:rsid w:val="735B2233"/>
    <w:rsid w:val="735B71A6"/>
    <w:rsid w:val="735C13E0"/>
    <w:rsid w:val="735C2B21"/>
    <w:rsid w:val="735C36EF"/>
    <w:rsid w:val="735C549D"/>
    <w:rsid w:val="735C724B"/>
    <w:rsid w:val="735D2A4B"/>
    <w:rsid w:val="735D5E66"/>
    <w:rsid w:val="735E4D16"/>
    <w:rsid w:val="735E7467"/>
    <w:rsid w:val="735F0AE9"/>
    <w:rsid w:val="735F20AD"/>
    <w:rsid w:val="735F2C2C"/>
    <w:rsid w:val="735F404D"/>
    <w:rsid w:val="735F4F8D"/>
    <w:rsid w:val="735F6D3B"/>
    <w:rsid w:val="735F77CE"/>
    <w:rsid w:val="73602932"/>
    <w:rsid w:val="73610D05"/>
    <w:rsid w:val="7361369D"/>
    <w:rsid w:val="73613B47"/>
    <w:rsid w:val="73615CD3"/>
    <w:rsid w:val="7362076E"/>
    <w:rsid w:val="736307BD"/>
    <w:rsid w:val="7363407E"/>
    <w:rsid w:val="73634A7D"/>
    <w:rsid w:val="7363682B"/>
    <w:rsid w:val="7364348C"/>
    <w:rsid w:val="736438A3"/>
    <w:rsid w:val="73643EAF"/>
    <w:rsid w:val="736507F6"/>
    <w:rsid w:val="73651984"/>
    <w:rsid w:val="736545BF"/>
    <w:rsid w:val="73656075"/>
    <w:rsid w:val="7365729C"/>
    <w:rsid w:val="736600CA"/>
    <w:rsid w:val="73661E78"/>
    <w:rsid w:val="736626AE"/>
    <w:rsid w:val="7366631C"/>
    <w:rsid w:val="73666F0F"/>
    <w:rsid w:val="73675A0A"/>
    <w:rsid w:val="73676811"/>
    <w:rsid w:val="73677E41"/>
    <w:rsid w:val="736812EA"/>
    <w:rsid w:val="73681591"/>
    <w:rsid w:val="73682094"/>
    <w:rsid w:val="73682724"/>
    <w:rsid w:val="73682E63"/>
    <w:rsid w:val="73683E42"/>
    <w:rsid w:val="73685BF0"/>
    <w:rsid w:val="736867A1"/>
    <w:rsid w:val="73691968"/>
    <w:rsid w:val="73691A00"/>
    <w:rsid w:val="73697BBA"/>
    <w:rsid w:val="736A28C3"/>
    <w:rsid w:val="736A5E0C"/>
    <w:rsid w:val="736A7BD4"/>
    <w:rsid w:val="736B0438"/>
    <w:rsid w:val="736B06F3"/>
    <w:rsid w:val="736B0CFB"/>
    <w:rsid w:val="736B34B9"/>
    <w:rsid w:val="736B3932"/>
    <w:rsid w:val="736B3F84"/>
    <w:rsid w:val="736C0ED5"/>
    <w:rsid w:val="736C56AD"/>
    <w:rsid w:val="736C5EDD"/>
    <w:rsid w:val="736C7658"/>
    <w:rsid w:val="736D0E1E"/>
    <w:rsid w:val="736D1458"/>
    <w:rsid w:val="736D3206"/>
    <w:rsid w:val="736D3915"/>
    <w:rsid w:val="736D3E90"/>
    <w:rsid w:val="736D555A"/>
    <w:rsid w:val="736D5653"/>
    <w:rsid w:val="736D7557"/>
    <w:rsid w:val="736D7926"/>
    <w:rsid w:val="736E2441"/>
    <w:rsid w:val="736E2C25"/>
    <w:rsid w:val="736E3374"/>
    <w:rsid w:val="736E51D0"/>
    <w:rsid w:val="736E6F7E"/>
    <w:rsid w:val="736F0C5B"/>
    <w:rsid w:val="736F3082"/>
    <w:rsid w:val="736F3B53"/>
    <w:rsid w:val="736F5C2F"/>
    <w:rsid w:val="736F69D8"/>
    <w:rsid w:val="73702427"/>
    <w:rsid w:val="73702CF6"/>
    <w:rsid w:val="73707280"/>
    <w:rsid w:val="7371163E"/>
    <w:rsid w:val="73715FEE"/>
    <w:rsid w:val="73717555"/>
    <w:rsid w:val="73721EB0"/>
    <w:rsid w:val="7372226A"/>
    <w:rsid w:val="73722F12"/>
    <w:rsid w:val="73724CC1"/>
    <w:rsid w:val="73725054"/>
    <w:rsid w:val="73726F35"/>
    <w:rsid w:val="73732677"/>
    <w:rsid w:val="737351D0"/>
    <w:rsid w:val="73740A39"/>
    <w:rsid w:val="73741B86"/>
    <w:rsid w:val="73751105"/>
    <w:rsid w:val="7375150F"/>
    <w:rsid w:val="73751BE6"/>
    <w:rsid w:val="737547B1"/>
    <w:rsid w:val="73760167"/>
    <w:rsid w:val="73760918"/>
    <w:rsid w:val="7376120B"/>
    <w:rsid w:val="73761736"/>
    <w:rsid w:val="73762E32"/>
    <w:rsid w:val="73764B58"/>
    <w:rsid w:val="737669C9"/>
    <w:rsid w:val="737706CA"/>
    <w:rsid w:val="73771468"/>
    <w:rsid w:val="737722D7"/>
    <w:rsid w:val="73774085"/>
    <w:rsid w:val="7377413B"/>
    <w:rsid w:val="7377570E"/>
    <w:rsid w:val="73775B6D"/>
    <w:rsid w:val="73777603"/>
    <w:rsid w:val="73781BAB"/>
    <w:rsid w:val="73783B0B"/>
    <w:rsid w:val="73784DBD"/>
    <w:rsid w:val="73786316"/>
    <w:rsid w:val="7378685A"/>
    <w:rsid w:val="737874F8"/>
    <w:rsid w:val="73790916"/>
    <w:rsid w:val="73790A08"/>
    <w:rsid w:val="73792CC0"/>
    <w:rsid w:val="7379321C"/>
    <w:rsid w:val="73794C1A"/>
    <w:rsid w:val="7379604F"/>
    <w:rsid w:val="7379791B"/>
    <w:rsid w:val="737A60AA"/>
    <w:rsid w:val="737A74F3"/>
    <w:rsid w:val="737B01D7"/>
    <w:rsid w:val="737B2478"/>
    <w:rsid w:val="737B2DBE"/>
    <w:rsid w:val="737B3606"/>
    <w:rsid w:val="737B402A"/>
    <w:rsid w:val="737B5492"/>
    <w:rsid w:val="737C169B"/>
    <w:rsid w:val="737C78ED"/>
    <w:rsid w:val="737D644F"/>
    <w:rsid w:val="737D6A5E"/>
    <w:rsid w:val="737E2412"/>
    <w:rsid w:val="737E5413"/>
    <w:rsid w:val="737E5EBB"/>
    <w:rsid w:val="737F118B"/>
    <w:rsid w:val="737F6997"/>
    <w:rsid w:val="737F6D80"/>
    <w:rsid w:val="738005FE"/>
    <w:rsid w:val="73800E64"/>
    <w:rsid w:val="7380162F"/>
    <w:rsid w:val="738021F5"/>
    <w:rsid w:val="738121B7"/>
    <w:rsid w:val="73812205"/>
    <w:rsid w:val="73812C97"/>
    <w:rsid w:val="73812F4F"/>
    <w:rsid w:val="73813156"/>
    <w:rsid w:val="7381383E"/>
    <w:rsid w:val="7381476B"/>
    <w:rsid w:val="73814F04"/>
    <w:rsid w:val="73817DAA"/>
    <w:rsid w:val="7382483C"/>
    <w:rsid w:val="73824EA4"/>
    <w:rsid w:val="73830C7C"/>
    <w:rsid w:val="73834A2F"/>
    <w:rsid w:val="73834BD7"/>
    <w:rsid w:val="738430F5"/>
    <w:rsid w:val="7384594D"/>
    <w:rsid w:val="73852C46"/>
    <w:rsid w:val="73853D3E"/>
    <w:rsid w:val="73856869"/>
    <w:rsid w:val="73860097"/>
    <w:rsid w:val="7386076C"/>
    <w:rsid w:val="738642C8"/>
    <w:rsid w:val="73865DCC"/>
    <w:rsid w:val="73867FF2"/>
    <w:rsid w:val="738730B5"/>
    <w:rsid w:val="73873A49"/>
    <w:rsid w:val="7387586C"/>
    <w:rsid w:val="73875ADD"/>
    <w:rsid w:val="7387688C"/>
    <w:rsid w:val="73876FB4"/>
    <w:rsid w:val="73877081"/>
    <w:rsid w:val="73877A65"/>
    <w:rsid w:val="73880040"/>
    <w:rsid w:val="738806AE"/>
    <w:rsid w:val="7388256A"/>
    <w:rsid w:val="7388317E"/>
    <w:rsid w:val="73886292"/>
    <w:rsid w:val="738873F2"/>
    <w:rsid w:val="73890CCE"/>
    <w:rsid w:val="73893DB8"/>
    <w:rsid w:val="73894B7F"/>
    <w:rsid w:val="73896332"/>
    <w:rsid w:val="738A1DB9"/>
    <w:rsid w:val="738A24C6"/>
    <w:rsid w:val="738A2AA4"/>
    <w:rsid w:val="738A46EA"/>
    <w:rsid w:val="738B0A6B"/>
    <w:rsid w:val="738B18DE"/>
    <w:rsid w:val="738B45B4"/>
    <w:rsid w:val="738B58EE"/>
    <w:rsid w:val="738B631F"/>
    <w:rsid w:val="738B702F"/>
    <w:rsid w:val="738B7391"/>
    <w:rsid w:val="738C6285"/>
    <w:rsid w:val="738C7315"/>
    <w:rsid w:val="738D194F"/>
    <w:rsid w:val="738D1AFA"/>
    <w:rsid w:val="738D38A8"/>
    <w:rsid w:val="738D6C97"/>
    <w:rsid w:val="738E2DDF"/>
    <w:rsid w:val="738E35BC"/>
    <w:rsid w:val="738E51EA"/>
    <w:rsid w:val="738E629B"/>
    <w:rsid w:val="738F1387"/>
    <w:rsid w:val="738F426F"/>
    <w:rsid w:val="738F5872"/>
    <w:rsid w:val="738F5E07"/>
    <w:rsid w:val="739015EB"/>
    <w:rsid w:val="73911B8E"/>
    <w:rsid w:val="739138C2"/>
    <w:rsid w:val="73915781"/>
    <w:rsid w:val="73916786"/>
    <w:rsid w:val="73922C6D"/>
    <w:rsid w:val="73924331"/>
    <w:rsid w:val="73927111"/>
    <w:rsid w:val="7393006F"/>
    <w:rsid w:val="73934405"/>
    <w:rsid w:val="739369E5"/>
    <w:rsid w:val="7393713A"/>
    <w:rsid w:val="73942F26"/>
    <w:rsid w:val="739463CB"/>
    <w:rsid w:val="7395275D"/>
    <w:rsid w:val="73952A9F"/>
    <w:rsid w:val="73952F4D"/>
    <w:rsid w:val="7395475B"/>
    <w:rsid w:val="73956CB5"/>
    <w:rsid w:val="7396790F"/>
    <w:rsid w:val="73970283"/>
    <w:rsid w:val="73970453"/>
    <w:rsid w:val="7397476B"/>
    <w:rsid w:val="7397495D"/>
    <w:rsid w:val="73974BB2"/>
    <w:rsid w:val="73976FA4"/>
    <w:rsid w:val="73977F18"/>
    <w:rsid w:val="73982105"/>
    <w:rsid w:val="7399224D"/>
    <w:rsid w:val="73993647"/>
    <w:rsid w:val="739A5FC5"/>
    <w:rsid w:val="739B138C"/>
    <w:rsid w:val="739B23A0"/>
    <w:rsid w:val="739B6045"/>
    <w:rsid w:val="739B6B24"/>
    <w:rsid w:val="739C39B3"/>
    <w:rsid w:val="739C3AEB"/>
    <w:rsid w:val="739D7D4C"/>
    <w:rsid w:val="739E2239"/>
    <w:rsid w:val="739E3A19"/>
    <w:rsid w:val="739E5AB6"/>
    <w:rsid w:val="739E6587"/>
    <w:rsid w:val="739E6A93"/>
    <w:rsid w:val="739F17F7"/>
    <w:rsid w:val="739F2B8F"/>
    <w:rsid w:val="739F35DC"/>
    <w:rsid w:val="739F538A"/>
    <w:rsid w:val="739F5C00"/>
    <w:rsid w:val="739F7AC4"/>
    <w:rsid w:val="73A011C7"/>
    <w:rsid w:val="73A0182E"/>
    <w:rsid w:val="73A01BE4"/>
    <w:rsid w:val="73A0288F"/>
    <w:rsid w:val="73A02BD2"/>
    <w:rsid w:val="73A06ACC"/>
    <w:rsid w:val="73A11102"/>
    <w:rsid w:val="73A11255"/>
    <w:rsid w:val="73A11E31"/>
    <w:rsid w:val="73A129D8"/>
    <w:rsid w:val="73A155A6"/>
    <w:rsid w:val="73A17D44"/>
    <w:rsid w:val="73A17EFA"/>
    <w:rsid w:val="73A23E26"/>
    <w:rsid w:val="73A26D66"/>
    <w:rsid w:val="73A2766E"/>
    <w:rsid w:val="73A306E6"/>
    <w:rsid w:val="73A30C4E"/>
    <w:rsid w:val="73A3131E"/>
    <w:rsid w:val="73A330CC"/>
    <w:rsid w:val="73A33B75"/>
    <w:rsid w:val="73A371DB"/>
    <w:rsid w:val="73A41FB4"/>
    <w:rsid w:val="73A448BC"/>
    <w:rsid w:val="73A44E8A"/>
    <w:rsid w:val="73A477D1"/>
    <w:rsid w:val="73A47A56"/>
    <w:rsid w:val="73A511F8"/>
    <w:rsid w:val="73A5190A"/>
    <w:rsid w:val="73A527A7"/>
    <w:rsid w:val="73A5615A"/>
    <w:rsid w:val="73A56ACA"/>
    <w:rsid w:val="73A6142E"/>
    <w:rsid w:val="73A62BA5"/>
    <w:rsid w:val="73A63C37"/>
    <w:rsid w:val="73A647AE"/>
    <w:rsid w:val="73A6496A"/>
    <w:rsid w:val="73A64B88"/>
    <w:rsid w:val="73A64BDE"/>
    <w:rsid w:val="73A66718"/>
    <w:rsid w:val="73A704B8"/>
    <w:rsid w:val="73A745A8"/>
    <w:rsid w:val="73A8018C"/>
    <w:rsid w:val="73A806E2"/>
    <w:rsid w:val="73A80AA3"/>
    <w:rsid w:val="73A81128"/>
    <w:rsid w:val="73A83C81"/>
    <w:rsid w:val="73A86934"/>
    <w:rsid w:val="73A8710E"/>
    <w:rsid w:val="73A902D1"/>
    <w:rsid w:val="73A9210A"/>
    <w:rsid w:val="73AA26AC"/>
    <w:rsid w:val="73AA445A"/>
    <w:rsid w:val="73AA7753"/>
    <w:rsid w:val="73AB1B34"/>
    <w:rsid w:val="73AB1F81"/>
    <w:rsid w:val="73AB2D95"/>
    <w:rsid w:val="73AB4145"/>
    <w:rsid w:val="73AC1539"/>
    <w:rsid w:val="73AC29F6"/>
    <w:rsid w:val="73AC5A6A"/>
    <w:rsid w:val="73AC67C0"/>
    <w:rsid w:val="73AC7AA8"/>
    <w:rsid w:val="73AD3F4B"/>
    <w:rsid w:val="73AD4A98"/>
    <w:rsid w:val="73AD771C"/>
    <w:rsid w:val="73AD77F7"/>
    <w:rsid w:val="73AD7AA7"/>
    <w:rsid w:val="73AE09B2"/>
    <w:rsid w:val="73AE253E"/>
    <w:rsid w:val="73AE2935"/>
    <w:rsid w:val="73AE32C6"/>
    <w:rsid w:val="73AE364D"/>
    <w:rsid w:val="73AE6AD1"/>
    <w:rsid w:val="73AE7E72"/>
    <w:rsid w:val="73AF1A71"/>
    <w:rsid w:val="73AF3858"/>
    <w:rsid w:val="73AF3F96"/>
    <w:rsid w:val="73B02D02"/>
    <w:rsid w:val="73B057E9"/>
    <w:rsid w:val="73B106E7"/>
    <w:rsid w:val="73B10E8C"/>
    <w:rsid w:val="73B157D3"/>
    <w:rsid w:val="73B1623D"/>
    <w:rsid w:val="73B1708D"/>
    <w:rsid w:val="73B21AF9"/>
    <w:rsid w:val="73B2330F"/>
    <w:rsid w:val="73B269D8"/>
    <w:rsid w:val="73B334DF"/>
    <w:rsid w:val="73B33669"/>
    <w:rsid w:val="73B35208"/>
    <w:rsid w:val="73B37E4C"/>
    <w:rsid w:val="73B42B18"/>
    <w:rsid w:val="73B431A9"/>
    <w:rsid w:val="73B45E1E"/>
    <w:rsid w:val="73B476CA"/>
    <w:rsid w:val="73B50B5A"/>
    <w:rsid w:val="73B54BAD"/>
    <w:rsid w:val="73B54F31"/>
    <w:rsid w:val="73B56EA3"/>
    <w:rsid w:val="73B61051"/>
    <w:rsid w:val="73B66D73"/>
    <w:rsid w:val="73B70925"/>
    <w:rsid w:val="73B7171B"/>
    <w:rsid w:val="73B76B77"/>
    <w:rsid w:val="73B77615"/>
    <w:rsid w:val="73B91C33"/>
    <w:rsid w:val="73B928EF"/>
    <w:rsid w:val="73B9469D"/>
    <w:rsid w:val="73BA096B"/>
    <w:rsid w:val="73BA21C4"/>
    <w:rsid w:val="73BA50BA"/>
    <w:rsid w:val="73BA56D0"/>
    <w:rsid w:val="73BB1901"/>
    <w:rsid w:val="73BB1DFB"/>
    <w:rsid w:val="73BB355B"/>
    <w:rsid w:val="73BB4752"/>
    <w:rsid w:val="73BB7213"/>
    <w:rsid w:val="73BC23E0"/>
    <w:rsid w:val="73BC3F44"/>
    <w:rsid w:val="73BC418E"/>
    <w:rsid w:val="73BC4D17"/>
    <w:rsid w:val="73BC5F3C"/>
    <w:rsid w:val="73BC7987"/>
    <w:rsid w:val="73BC7B00"/>
    <w:rsid w:val="73BD0413"/>
    <w:rsid w:val="73BD5740"/>
    <w:rsid w:val="73BD6911"/>
    <w:rsid w:val="73BE002B"/>
    <w:rsid w:val="73BE1CB4"/>
    <w:rsid w:val="73BE521F"/>
    <w:rsid w:val="73BE5518"/>
    <w:rsid w:val="73BE59AC"/>
    <w:rsid w:val="73BF2101"/>
    <w:rsid w:val="73BF751D"/>
    <w:rsid w:val="73C000A0"/>
    <w:rsid w:val="73C0209A"/>
    <w:rsid w:val="73C02A65"/>
    <w:rsid w:val="73C03C7E"/>
    <w:rsid w:val="73C05A2C"/>
    <w:rsid w:val="73C05C6D"/>
    <w:rsid w:val="73C117F3"/>
    <w:rsid w:val="73C11CB0"/>
    <w:rsid w:val="73C12B7F"/>
    <w:rsid w:val="73C13552"/>
    <w:rsid w:val="73C14453"/>
    <w:rsid w:val="73C164CC"/>
    <w:rsid w:val="73C16D4D"/>
    <w:rsid w:val="73C179F6"/>
    <w:rsid w:val="73C214C7"/>
    <w:rsid w:val="73C22FDB"/>
    <w:rsid w:val="73C25EEB"/>
    <w:rsid w:val="73C26C6B"/>
    <w:rsid w:val="73C277A7"/>
    <w:rsid w:val="73C27BC6"/>
    <w:rsid w:val="73C3002E"/>
    <w:rsid w:val="73C31078"/>
    <w:rsid w:val="73C32E31"/>
    <w:rsid w:val="73C3376E"/>
    <w:rsid w:val="73C350A9"/>
    <w:rsid w:val="73C3551C"/>
    <w:rsid w:val="73C36391"/>
    <w:rsid w:val="73C372CA"/>
    <w:rsid w:val="73C403F4"/>
    <w:rsid w:val="73C4191A"/>
    <w:rsid w:val="73C427EA"/>
    <w:rsid w:val="73C44DF0"/>
    <w:rsid w:val="73C45C96"/>
    <w:rsid w:val="73C46371"/>
    <w:rsid w:val="73C51294"/>
    <w:rsid w:val="73C517D1"/>
    <w:rsid w:val="73C52264"/>
    <w:rsid w:val="73C53DE9"/>
    <w:rsid w:val="73C705AA"/>
    <w:rsid w:val="73C73274"/>
    <w:rsid w:val="73C7645B"/>
    <w:rsid w:val="73C80D84"/>
    <w:rsid w:val="73C810B0"/>
    <w:rsid w:val="73C82B32"/>
    <w:rsid w:val="73C86E54"/>
    <w:rsid w:val="73C92407"/>
    <w:rsid w:val="73C96862"/>
    <w:rsid w:val="73C96EC6"/>
    <w:rsid w:val="73C96F49"/>
    <w:rsid w:val="73C9730E"/>
    <w:rsid w:val="73C977A1"/>
    <w:rsid w:val="73CA0659"/>
    <w:rsid w:val="73CA18F0"/>
    <w:rsid w:val="73CA421A"/>
    <w:rsid w:val="73CA68AB"/>
    <w:rsid w:val="73CA761C"/>
    <w:rsid w:val="73CB0288"/>
    <w:rsid w:val="73CB617F"/>
    <w:rsid w:val="73CC0391"/>
    <w:rsid w:val="73CC2623"/>
    <w:rsid w:val="73CC5951"/>
    <w:rsid w:val="73CC5BF3"/>
    <w:rsid w:val="73CC77BB"/>
    <w:rsid w:val="73CD0149"/>
    <w:rsid w:val="73CD1EF7"/>
    <w:rsid w:val="73CD639B"/>
    <w:rsid w:val="73CD63FF"/>
    <w:rsid w:val="73CD7D3D"/>
    <w:rsid w:val="73CE4C7D"/>
    <w:rsid w:val="73CF1470"/>
    <w:rsid w:val="73CF3EC1"/>
    <w:rsid w:val="73CF3EF7"/>
    <w:rsid w:val="73CF5298"/>
    <w:rsid w:val="73CF5C6F"/>
    <w:rsid w:val="73CF6ED6"/>
    <w:rsid w:val="73D019E7"/>
    <w:rsid w:val="73D041D2"/>
    <w:rsid w:val="73D0440F"/>
    <w:rsid w:val="73D116C9"/>
    <w:rsid w:val="73D155B7"/>
    <w:rsid w:val="73D211B7"/>
    <w:rsid w:val="73D27DE5"/>
    <w:rsid w:val="73D31512"/>
    <w:rsid w:val="73D33020"/>
    <w:rsid w:val="73D3315C"/>
    <w:rsid w:val="73D354D5"/>
    <w:rsid w:val="73D35A4C"/>
    <w:rsid w:val="73D414D7"/>
    <w:rsid w:val="73D44D72"/>
    <w:rsid w:val="73D44E1D"/>
    <w:rsid w:val="73D45B04"/>
    <w:rsid w:val="73D52935"/>
    <w:rsid w:val="73D56A03"/>
    <w:rsid w:val="73D56C31"/>
    <w:rsid w:val="73D61E53"/>
    <w:rsid w:val="73D634A1"/>
    <w:rsid w:val="73D63C11"/>
    <w:rsid w:val="73D7114C"/>
    <w:rsid w:val="73D72205"/>
    <w:rsid w:val="73D72D76"/>
    <w:rsid w:val="73D73B1A"/>
    <w:rsid w:val="73D74B24"/>
    <w:rsid w:val="73D76C1F"/>
    <w:rsid w:val="73D836A4"/>
    <w:rsid w:val="73D85635"/>
    <w:rsid w:val="73D94D40"/>
    <w:rsid w:val="73D9579D"/>
    <w:rsid w:val="73D96A28"/>
    <w:rsid w:val="73DA1BE9"/>
    <w:rsid w:val="73DA238F"/>
    <w:rsid w:val="73DA3E74"/>
    <w:rsid w:val="73DA7F72"/>
    <w:rsid w:val="73DB0AB8"/>
    <w:rsid w:val="73DB26D9"/>
    <w:rsid w:val="73DB2866"/>
    <w:rsid w:val="73DB2875"/>
    <w:rsid w:val="73DB3FB6"/>
    <w:rsid w:val="73DB76E2"/>
    <w:rsid w:val="73DC11E6"/>
    <w:rsid w:val="73DC213A"/>
    <w:rsid w:val="73DC25E4"/>
    <w:rsid w:val="73DC3B7C"/>
    <w:rsid w:val="73DC3D05"/>
    <w:rsid w:val="73DC60F9"/>
    <w:rsid w:val="73DC65DE"/>
    <w:rsid w:val="73DD4830"/>
    <w:rsid w:val="73DD5B70"/>
    <w:rsid w:val="73DD7081"/>
    <w:rsid w:val="73DE2B2C"/>
    <w:rsid w:val="73DE64FC"/>
    <w:rsid w:val="73DE76F1"/>
    <w:rsid w:val="73DF34AF"/>
    <w:rsid w:val="73DF45AA"/>
    <w:rsid w:val="73E05257"/>
    <w:rsid w:val="73E060CE"/>
    <w:rsid w:val="73E138D7"/>
    <w:rsid w:val="73E13BF4"/>
    <w:rsid w:val="73E15003"/>
    <w:rsid w:val="73E17726"/>
    <w:rsid w:val="73E17B82"/>
    <w:rsid w:val="73E23F81"/>
    <w:rsid w:val="73E31007"/>
    <w:rsid w:val="73E3171A"/>
    <w:rsid w:val="73E378E1"/>
    <w:rsid w:val="73E4345E"/>
    <w:rsid w:val="73E5174B"/>
    <w:rsid w:val="73E536E4"/>
    <w:rsid w:val="73E55492"/>
    <w:rsid w:val="73E570B9"/>
    <w:rsid w:val="73E57241"/>
    <w:rsid w:val="73E610C9"/>
    <w:rsid w:val="73E62159"/>
    <w:rsid w:val="73E62FB9"/>
    <w:rsid w:val="73E67373"/>
    <w:rsid w:val="73E70E18"/>
    <w:rsid w:val="73E71397"/>
    <w:rsid w:val="73E73ED1"/>
    <w:rsid w:val="73E7570B"/>
    <w:rsid w:val="73E8275F"/>
    <w:rsid w:val="73E83292"/>
    <w:rsid w:val="73E839E9"/>
    <w:rsid w:val="73E85098"/>
    <w:rsid w:val="73E951FC"/>
    <w:rsid w:val="73EA08A7"/>
    <w:rsid w:val="73EA0CFB"/>
    <w:rsid w:val="73EA0EDA"/>
    <w:rsid w:val="73EA2AA9"/>
    <w:rsid w:val="73EA3533"/>
    <w:rsid w:val="73EA4857"/>
    <w:rsid w:val="73EA4F28"/>
    <w:rsid w:val="73EB05CF"/>
    <w:rsid w:val="73EB0693"/>
    <w:rsid w:val="73EB2C62"/>
    <w:rsid w:val="73EC291A"/>
    <w:rsid w:val="73EC37FA"/>
    <w:rsid w:val="73EC5505"/>
    <w:rsid w:val="73ED07EB"/>
    <w:rsid w:val="73ED2599"/>
    <w:rsid w:val="73ED2E25"/>
    <w:rsid w:val="73ED2E90"/>
    <w:rsid w:val="73ED63CB"/>
    <w:rsid w:val="73EE73BE"/>
    <w:rsid w:val="73EE7DEB"/>
    <w:rsid w:val="73EE7E40"/>
    <w:rsid w:val="73EF00BF"/>
    <w:rsid w:val="73EF03E1"/>
    <w:rsid w:val="73EF0CEB"/>
    <w:rsid w:val="73EF2252"/>
    <w:rsid w:val="73EF2D9B"/>
    <w:rsid w:val="73EF54D3"/>
    <w:rsid w:val="73EF6441"/>
    <w:rsid w:val="73EF6A15"/>
    <w:rsid w:val="73F04352"/>
    <w:rsid w:val="73F0718B"/>
    <w:rsid w:val="73F07E5B"/>
    <w:rsid w:val="73F1154B"/>
    <w:rsid w:val="73F13F46"/>
    <w:rsid w:val="73F15E96"/>
    <w:rsid w:val="73F21735"/>
    <w:rsid w:val="73F32299"/>
    <w:rsid w:val="73F33F0F"/>
    <w:rsid w:val="73F35F1C"/>
    <w:rsid w:val="73F40AA2"/>
    <w:rsid w:val="73F41B79"/>
    <w:rsid w:val="73F43927"/>
    <w:rsid w:val="73F456D6"/>
    <w:rsid w:val="73F46526"/>
    <w:rsid w:val="73F55966"/>
    <w:rsid w:val="73F6144E"/>
    <w:rsid w:val="73F660F7"/>
    <w:rsid w:val="73F676A0"/>
    <w:rsid w:val="73F70A49"/>
    <w:rsid w:val="73F73418"/>
    <w:rsid w:val="73F81BD8"/>
    <w:rsid w:val="73F83B3E"/>
    <w:rsid w:val="73F92CEC"/>
    <w:rsid w:val="73F92DB2"/>
    <w:rsid w:val="73F93A68"/>
    <w:rsid w:val="73F93BF2"/>
    <w:rsid w:val="73F97190"/>
    <w:rsid w:val="73FA4018"/>
    <w:rsid w:val="73FA55D5"/>
    <w:rsid w:val="73FA7DE8"/>
    <w:rsid w:val="73FB345E"/>
    <w:rsid w:val="73FB6966"/>
    <w:rsid w:val="73FB6A64"/>
    <w:rsid w:val="73FC0657"/>
    <w:rsid w:val="73FC14DA"/>
    <w:rsid w:val="73FC27DC"/>
    <w:rsid w:val="73FD287C"/>
    <w:rsid w:val="73FD477F"/>
    <w:rsid w:val="73FE0302"/>
    <w:rsid w:val="73FE47A6"/>
    <w:rsid w:val="73FE624A"/>
    <w:rsid w:val="73FF129D"/>
    <w:rsid w:val="73FF2098"/>
    <w:rsid w:val="74000C04"/>
    <w:rsid w:val="740020C7"/>
    <w:rsid w:val="740022CC"/>
    <w:rsid w:val="7400407A"/>
    <w:rsid w:val="74012A01"/>
    <w:rsid w:val="74015CD1"/>
    <w:rsid w:val="74017B54"/>
    <w:rsid w:val="74024296"/>
    <w:rsid w:val="74025D7E"/>
    <w:rsid w:val="740303EB"/>
    <w:rsid w:val="740305F1"/>
    <w:rsid w:val="7403526E"/>
    <w:rsid w:val="74035919"/>
    <w:rsid w:val="74037EE1"/>
    <w:rsid w:val="740404D8"/>
    <w:rsid w:val="74042A53"/>
    <w:rsid w:val="74044652"/>
    <w:rsid w:val="74047709"/>
    <w:rsid w:val="74052F11"/>
    <w:rsid w:val="7405385C"/>
    <w:rsid w:val="740542B2"/>
    <w:rsid w:val="74055CEE"/>
    <w:rsid w:val="74056336"/>
    <w:rsid w:val="74057648"/>
    <w:rsid w:val="7406129A"/>
    <w:rsid w:val="74063515"/>
    <w:rsid w:val="74065409"/>
    <w:rsid w:val="7407365B"/>
    <w:rsid w:val="740765AC"/>
    <w:rsid w:val="74076C48"/>
    <w:rsid w:val="74080E6F"/>
    <w:rsid w:val="74081181"/>
    <w:rsid w:val="74081DC8"/>
    <w:rsid w:val="740825E4"/>
    <w:rsid w:val="740828A2"/>
    <w:rsid w:val="7408484E"/>
    <w:rsid w:val="74085625"/>
    <w:rsid w:val="74085E6A"/>
    <w:rsid w:val="74086690"/>
    <w:rsid w:val="74086D8F"/>
    <w:rsid w:val="74087117"/>
    <w:rsid w:val="74092751"/>
    <w:rsid w:val="74092E99"/>
    <w:rsid w:val="74094125"/>
    <w:rsid w:val="74096212"/>
    <w:rsid w:val="740A1C05"/>
    <w:rsid w:val="740A33B4"/>
    <w:rsid w:val="740A3B05"/>
    <w:rsid w:val="740A4EF9"/>
    <w:rsid w:val="740A5909"/>
    <w:rsid w:val="740A7670"/>
    <w:rsid w:val="740B0213"/>
    <w:rsid w:val="740B2351"/>
    <w:rsid w:val="740B23E6"/>
    <w:rsid w:val="740B44F7"/>
    <w:rsid w:val="740B64F7"/>
    <w:rsid w:val="740C042F"/>
    <w:rsid w:val="740C16A3"/>
    <w:rsid w:val="740C249B"/>
    <w:rsid w:val="740C5579"/>
    <w:rsid w:val="740C6EC3"/>
    <w:rsid w:val="740D30DB"/>
    <w:rsid w:val="740D422D"/>
    <w:rsid w:val="740D6797"/>
    <w:rsid w:val="740D6C1E"/>
    <w:rsid w:val="740D7F89"/>
    <w:rsid w:val="740E02D5"/>
    <w:rsid w:val="740E04A5"/>
    <w:rsid w:val="740E2A73"/>
    <w:rsid w:val="740E4255"/>
    <w:rsid w:val="740E4260"/>
    <w:rsid w:val="740F331E"/>
    <w:rsid w:val="740F45B6"/>
    <w:rsid w:val="740F4CD6"/>
    <w:rsid w:val="740F6228"/>
    <w:rsid w:val="740F62D8"/>
    <w:rsid w:val="74100036"/>
    <w:rsid w:val="741009FC"/>
    <w:rsid w:val="74101222"/>
    <w:rsid w:val="741015EA"/>
    <w:rsid w:val="74101B20"/>
    <w:rsid w:val="74102BF5"/>
    <w:rsid w:val="74103625"/>
    <w:rsid w:val="741114F5"/>
    <w:rsid w:val="741144D9"/>
    <w:rsid w:val="74116287"/>
    <w:rsid w:val="741178B5"/>
    <w:rsid w:val="74123DAE"/>
    <w:rsid w:val="74127414"/>
    <w:rsid w:val="741300E6"/>
    <w:rsid w:val="74130252"/>
    <w:rsid w:val="74132357"/>
    <w:rsid w:val="74134377"/>
    <w:rsid w:val="741347A5"/>
    <w:rsid w:val="7413608B"/>
    <w:rsid w:val="7413678F"/>
    <w:rsid w:val="741371AE"/>
    <w:rsid w:val="741405AD"/>
    <w:rsid w:val="74142FE2"/>
    <w:rsid w:val="74143FCA"/>
    <w:rsid w:val="74145D78"/>
    <w:rsid w:val="74145DAA"/>
    <w:rsid w:val="741468F9"/>
    <w:rsid w:val="74150181"/>
    <w:rsid w:val="7415120D"/>
    <w:rsid w:val="741520C0"/>
    <w:rsid w:val="7415255B"/>
    <w:rsid w:val="74156632"/>
    <w:rsid w:val="74161AF0"/>
    <w:rsid w:val="74165326"/>
    <w:rsid w:val="7416564C"/>
    <w:rsid w:val="741661E7"/>
    <w:rsid w:val="74166C59"/>
    <w:rsid w:val="74167A1B"/>
    <w:rsid w:val="741725F6"/>
    <w:rsid w:val="74177510"/>
    <w:rsid w:val="74177616"/>
    <w:rsid w:val="74177EF7"/>
    <w:rsid w:val="74180517"/>
    <w:rsid w:val="74181387"/>
    <w:rsid w:val="74181C08"/>
    <w:rsid w:val="74186BFD"/>
    <w:rsid w:val="7419039C"/>
    <w:rsid w:val="7419156A"/>
    <w:rsid w:val="7419269B"/>
    <w:rsid w:val="74193F58"/>
    <w:rsid w:val="741953E8"/>
    <w:rsid w:val="741A180B"/>
    <w:rsid w:val="741A2D5E"/>
    <w:rsid w:val="741A3FE2"/>
    <w:rsid w:val="741A4194"/>
    <w:rsid w:val="741B046F"/>
    <w:rsid w:val="741B0EB4"/>
    <w:rsid w:val="741B2C62"/>
    <w:rsid w:val="741B33B2"/>
    <w:rsid w:val="741B4249"/>
    <w:rsid w:val="741B6FE6"/>
    <w:rsid w:val="741B7106"/>
    <w:rsid w:val="741B77AB"/>
    <w:rsid w:val="741B7D08"/>
    <w:rsid w:val="741C2828"/>
    <w:rsid w:val="741C28D9"/>
    <w:rsid w:val="741C2BF8"/>
    <w:rsid w:val="741C4C2C"/>
    <w:rsid w:val="741C50D4"/>
    <w:rsid w:val="741C69DA"/>
    <w:rsid w:val="741D16A4"/>
    <w:rsid w:val="741D2E7E"/>
    <w:rsid w:val="741D35C4"/>
    <w:rsid w:val="741D5D4F"/>
    <w:rsid w:val="741D6331"/>
    <w:rsid w:val="741E09A4"/>
    <w:rsid w:val="741E51F9"/>
    <w:rsid w:val="741F21AB"/>
    <w:rsid w:val="741F25BF"/>
    <w:rsid w:val="7420014D"/>
    <w:rsid w:val="7420296E"/>
    <w:rsid w:val="74202E3D"/>
    <w:rsid w:val="7420471D"/>
    <w:rsid w:val="742064CB"/>
    <w:rsid w:val="74210AD9"/>
    <w:rsid w:val="74210FA9"/>
    <w:rsid w:val="74212243"/>
    <w:rsid w:val="74213FF1"/>
    <w:rsid w:val="7421670E"/>
    <w:rsid w:val="74217E29"/>
    <w:rsid w:val="74220495"/>
    <w:rsid w:val="74221C6E"/>
    <w:rsid w:val="74222B96"/>
    <w:rsid w:val="7422500A"/>
    <w:rsid w:val="74227126"/>
    <w:rsid w:val="74232316"/>
    <w:rsid w:val="74232E64"/>
    <w:rsid w:val="7423420D"/>
    <w:rsid w:val="7424106B"/>
    <w:rsid w:val="742416BA"/>
    <w:rsid w:val="74242CF0"/>
    <w:rsid w:val="742446FB"/>
    <w:rsid w:val="74244DD1"/>
    <w:rsid w:val="742469E0"/>
    <w:rsid w:val="742524FB"/>
    <w:rsid w:val="7425365D"/>
    <w:rsid w:val="74253AE1"/>
    <w:rsid w:val="74253CFC"/>
    <w:rsid w:val="74255177"/>
    <w:rsid w:val="74257B1A"/>
    <w:rsid w:val="74260814"/>
    <w:rsid w:val="74262BE4"/>
    <w:rsid w:val="7426369E"/>
    <w:rsid w:val="74264160"/>
    <w:rsid w:val="74264E1B"/>
    <w:rsid w:val="74267FAF"/>
    <w:rsid w:val="742762AB"/>
    <w:rsid w:val="742835D1"/>
    <w:rsid w:val="74283FBE"/>
    <w:rsid w:val="7428569D"/>
    <w:rsid w:val="74292A25"/>
    <w:rsid w:val="74293D37"/>
    <w:rsid w:val="74294E78"/>
    <w:rsid w:val="74297BAF"/>
    <w:rsid w:val="742A0CA1"/>
    <w:rsid w:val="742A10F7"/>
    <w:rsid w:val="742A407F"/>
    <w:rsid w:val="742A559B"/>
    <w:rsid w:val="742A69D6"/>
    <w:rsid w:val="742A7349"/>
    <w:rsid w:val="742B295E"/>
    <w:rsid w:val="742B51BA"/>
    <w:rsid w:val="742B697E"/>
    <w:rsid w:val="742B77FD"/>
    <w:rsid w:val="742D03EA"/>
    <w:rsid w:val="742D0BE7"/>
    <w:rsid w:val="742D1A0C"/>
    <w:rsid w:val="742D209E"/>
    <w:rsid w:val="742D385E"/>
    <w:rsid w:val="742D6206"/>
    <w:rsid w:val="742D672D"/>
    <w:rsid w:val="742D6E39"/>
    <w:rsid w:val="742D7179"/>
    <w:rsid w:val="742E1551"/>
    <w:rsid w:val="742E6EA1"/>
    <w:rsid w:val="742E7BA8"/>
    <w:rsid w:val="742F2BB2"/>
    <w:rsid w:val="742F36BA"/>
    <w:rsid w:val="742F670E"/>
    <w:rsid w:val="743005A4"/>
    <w:rsid w:val="74303CED"/>
    <w:rsid w:val="74304C0D"/>
    <w:rsid w:val="7430760E"/>
    <w:rsid w:val="743106D8"/>
    <w:rsid w:val="7431087C"/>
    <w:rsid w:val="74312486"/>
    <w:rsid w:val="7431586B"/>
    <w:rsid w:val="74327FF0"/>
    <w:rsid w:val="743307A5"/>
    <w:rsid w:val="743315F7"/>
    <w:rsid w:val="74331C7E"/>
    <w:rsid w:val="74335480"/>
    <w:rsid w:val="74335F15"/>
    <w:rsid w:val="74335F8F"/>
    <w:rsid w:val="74337EFD"/>
    <w:rsid w:val="743404F4"/>
    <w:rsid w:val="74341F76"/>
    <w:rsid w:val="74342EF0"/>
    <w:rsid w:val="74343D24"/>
    <w:rsid w:val="743456A8"/>
    <w:rsid w:val="7434641A"/>
    <w:rsid w:val="743502AD"/>
    <w:rsid w:val="74350BBE"/>
    <w:rsid w:val="74353556"/>
    <w:rsid w:val="7435648C"/>
    <w:rsid w:val="743616D9"/>
    <w:rsid w:val="74364FDF"/>
    <w:rsid w:val="7436502D"/>
    <w:rsid w:val="74367022"/>
    <w:rsid w:val="74367A9C"/>
    <w:rsid w:val="74367ADE"/>
    <w:rsid w:val="74367F1C"/>
    <w:rsid w:val="743779F8"/>
    <w:rsid w:val="74381E70"/>
    <w:rsid w:val="7438384B"/>
    <w:rsid w:val="74387CB8"/>
    <w:rsid w:val="74393014"/>
    <w:rsid w:val="743930F2"/>
    <w:rsid w:val="74393A30"/>
    <w:rsid w:val="74394350"/>
    <w:rsid w:val="7439758C"/>
    <w:rsid w:val="743A65C6"/>
    <w:rsid w:val="743B1556"/>
    <w:rsid w:val="743B3304"/>
    <w:rsid w:val="743B4721"/>
    <w:rsid w:val="743B5D37"/>
    <w:rsid w:val="743C14F6"/>
    <w:rsid w:val="743C2825"/>
    <w:rsid w:val="743D0242"/>
    <w:rsid w:val="743D1C12"/>
    <w:rsid w:val="743D2F5B"/>
    <w:rsid w:val="743D3A4E"/>
    <w:rsid w:val="743D52CE"/>
    <w:rsid w:val="743D6AAD"/>
    <w:rsid w:val="743E04F0"/>
    <w:rsid w:val="743E23D3"/>
    <w:rsid w:val="743E2D72"/>
    <w:rsid w:val="743E330F"/>
    <w:rsid w:val="743E4BA3"/>
    <w:rsid w:val="743E56DB"/>
    <w:rsid w:val="743F1F29"/>
    <w:rsid w:val="743F348A"/>
    <w:rsid w:val="743F3CFB"/>
    <w:rsid w:val="743F666E"/>
    <w:rsid w:val="743F7103"/>
    <w:rsid w:val="7440091B"/>
    <w:rsid w:val="74410A11"/>
    <w:rsid w:val="74412124"/>
    <w:rsid w:val="74416441"/>
    <w:rsid w:val="744245F4"/>
    <w:rsid w:val="744258B9"/>
    <w:rsid w:val="7443172F"/>
    <w:rsid w:val="74431D08"/>
    <w:rsid w:val="744321B9"/>
    <w:rsid w:val="7443665D"/>
    <w:rsid w:val="74437BB5"/>
    <w:rsid w:val="74444E5B"/>
    <w:rsid w:val="74452229"/>
    <w:rsid w:val="74454183"/>
    <w:rsid w:val="74455A37"/>
    <w:rsid w:val="74455F31"/>
    <w:rsid w:val="74456AFF"/>
    <w:rsid w:val="74460B5C"/>
    <w:rsid w:val="7446511C"/>
    <w:rsid w:val="74465A10"/>
    <w:rsid w:val="744679A8"/>
    <w:rsid w:val="74470446"/>
    <w:rsid w:val="74471CA9"/>
    <w:rsid w:val="744723A3"/>
    <w:rsid w:val="744751A5"/>
    <w:rsid w:val="7447610D"/>
    <w:rsid w:val="7447614D"/>
    <w:rsid w:val="74477EFB"/>
    <w:rsid w:val="74480420"/>
    <w:rsid w:val="744834A7"/>
    <w:rsid w:val="7448353A"/>
    <w:rsid w:val="7449079A"/>
    <w:rsid w:val="74492A54"/>
    <w:rsid w:val="7449321D"/>
    <w:rsid w:val="74493C73"/>
    <w:rsid w:val="744979C2"/>
    <w:rsid w:val="744A3547"/>
    <w:rsid w:val="744A566D"/>
    <w:rsid w:val="744A64FC"/>
    <w:rsid w:val="744A79EB"/>
    <w:rsid w:val="744B487B"/>
    <w:rsid w:val="744B4B26"/>
    <w:rsid w:val="744B56A6"/>
    <w:rsid w:val="744B6BB8"/>
    <w:rsid w:val="744B6DE7"/>
    <w:rsid w:val="744C15E8"/>
    <w:rsid w:val="744C1A3F"/>
    <w:rsid w:val="744C2656"/>
    <w:rsid w:val="744C27D6"/>
    <w:rsid w:val="744C3252"/>
    <w:rsid w:val="744C3764"/>
    <w:rsid w:val="744C4834"/>
    <w:rsid w:val="744C5512"/>
    <w:rsid w:val="744C72C0"/>
    <w:rsid w:val="744D4DE6"/>
    <w:rsid w:val="744E2B97"/>
    <w:rsid w:val="744E3B58"/>
    <w:rsid w:val="744E5CAA"/>
    <w:rsid w:val="744F0B5E"/>
    <w:rsid w:val="744F0BCB"/>
    <w:rsid w:val="744F0EEE"/>
    <w:rsid w:val="744F4C3F"/>
    <w:rsid w:val="744F7652"/>
    <w:rsid w:val="74507BB7"/>
    <w:rsid w:val="74510D7A"/>
    <w:rsid w:val="7451239C"/>
    <w:rsid w:val="74512B28"/>
    <w:rsid w:val="745148D6"/>
    <w:rsid w:val="7452064E"/>
    <w:rsid w:val="74521C88"/>
    <w:rsid w:val="745236D2"/>
    <w:rsid w:val="7452521E"/>
    <w:rsid w:val="74531563"/>
    <w:rsid w:val="74533214"/>
    <w:rsid w:val="74534940"/>
    <w:rsid w:val="74535579"/>
    <w:rsid w:val="745368A0"/>
    <w:rsid w:val="74542F3F"/>
    <w:rsid w:val="74543CAE"/>
    <w:rsid w:val="74554A11"/>
    <w:rsid w:val="74557FF5"/>
    <w:rsid w:val="7456013E"/>
    <w:rsid w:val="74561EEC"/>
    <w:rsid w:val="745626FD"/>
    <w:rsid w:val="745646C7"/>
    <w:rsid w:val="74566390"/>
    <w:rsid w:val="7457164D"/>
    <w:rsid w:val="7457323E"/>
    <w:rsid w:val="74573C49"/>
    <w:rsid w:val="74575C64"/>
    <w:rsid w:val="74581B65"/>
    <w:rsid w:val="74581FA0"/>
    <w:rsid w:val="7458485B"/>
    <w:rsid w:val="745919DD"/>
    <w:rsid w:val="745925A1"/>
    <w:rsid w:val="74592E62"/>
    <w:rsid w:val="7459350A"/>
    <w:rsid w:val="74597CAA"/>
    <w:rsid w:val="745A04E0"/>
    <w:rsid w:val="745A15B7"/>
    <w:rsid w:val="745A1A8D"/>
    <w:rsid w:val="745A2B8A"/>
    <w:rsid w:val="745A467B"/>
    <w:rsid w:val="745B0BE0"/>
    <w:rsid w:val="745B25CA"/>
    <w:rsid w:val="745B3E58"/>
    <w:rsid w:val="745B49CF"/>
    <w:rsid w:val="745B5755"/>
    <w:rsid w:val="745B5BFF"/>
    <w:rsid w:val="745B7503"/>
    <w:rsid w:val="745C2327"/>
    <w:rsid w:val="745C24F1"/>
    <w:rsid w:val="745C4160"/>
    <w:rsid w:val="745C64F1"/>
    <w:rsid w:val="745C662B"/>
    <w:rsid w:val="745D55A5"/>
    <w:rsid w:val="745D6B04"/>
    <w:rsid w:val="745D6D46"/>
    <w:rsid w:val="745D771F"/>
    <w:rsid w:val="745E0274"/>
    <w:rsid w:val="745E0A6F"/>
    <w:rsid w:val="745E5245"/>
    <w:rsid w:val="745E64BA"/>
    <w:rsid w:val="745E6FF3"/>
    <w:rsid w:val="745E7807"/>
    <w:rsid w:val="745F1EB9"/>
    <w:rsid w:val="745F5B50"/>
    <w:rsid w:val="745F70DE"/>
    <w:rsid w:val="74600FBD"/>
    <w:rsid w:val="7460127D"/>
    <w:rsid w:val="74602D6B"/>
    <w:rsid w:val="74604B19"/>
    <w:rsid w:val="74604CE3"/>
    <w:rsid w:val="74605796"/>
    <w:rsid w:val="7460720F"/>
    <w:rsid w:val="746125A2"/>
    <w:rsid w:val="74617CA3"/>
    <w:rsid w:val="74620891"/>
    <w:rsid w:val="746217A5"/>
    <w:rsid w:val="7462249D"/>
    <w:rsid w:val="74624D35"/>
    <w:rsid w:val="74626AE3"/>
    <w:rsid w:val="7463241C"/>
    <w:rsid w:val="74634609"/>
    <w:rsid w:val="74634BEC"/>
    <w:rsid w:val="746361A1"/>
    <w:rsid w:val="74640AAD"/>
    <w:rsid w:val="7464244A"/>
    <w:rsid w:val="746424E6"/>
    <w:rsid w:val="7464471D"/>
    <w:rsid w:val="74654825"/>
    <w:rsid w:val="746573A7"/>
    <w:rsid w:val="74657AC9"/>
    <w:rsid w:val="74672CB3"/>
    <w:rsid w:val="74673274"/>
    <w:rsid w:val="7467373E"/>
    <w:rsid w:val="746740F9"/>
    <w:rsid w:val="74676D8A"/>
    <w:rsid w:val="74677CC4"/>
    <w:rsid w:val="74681C20"/>
    <w:rsid w:val="74682946"/>
    <w:rsid w:val="74684BCE"/>
    <w:rsid w:val="74687E72"/>
    <w:rsid w:val="74695EEF"/>
    <w:rsid w:val="746960C4"/>
    <w:rsid w:val="746A0C2F"/>
    <w:rsid w:val="746A1E3C"/>
    <w:rsid w:val="746A5998"/>
    <w:rsid w:val="746A64FE"/>
    <w:rsid w:val="746C0C97"/>
    <w:rsid w:val="746C1710"/>
    <w:rsid w:val="746C4648"/>
    <w:rsid w:val="746C5BB4"/>
    <w:rsid w:val="746D0E91"/>
    <w:rsid w:val="746D63E8"/>
    <w:rsid w:val="746E0947"/>
    <w:rsid w:val="746E2181"/>
    <w:rsid w:val="746E36DA"/>
    <w:rsid w:val="746E42B5"/>
    <w:rsid w:val="746E5488"/>
    <w:rsid w:val="746F2508"/>
    <w:rsid w:val="746F2FAE"/>
    <w:rsid w:val="746F49A2"/>
    <w:rsid w:val="746F5A11"/>
    <w:rsid w:val="746F7452"/>
    <w:rsid w:val="74705BDF"/>
    <w:rsid w:val="747063F7"/>
    <w:rsid w:val="74706A68"/>
    <w:rsid w:val="747131CA"/>
    <w:rsid w:val="7471577D"/>
    <w:rsid w:val="747173C7"/>
    <w:rsid w:val="74721C2E"/>
    <w:rsid w:val="74723B5C"/>
    <w:rsid w:val="7472484C"/>
    <w:rsid w:val="74730F18"/>
    <w:rsid w:val="74732A9E"/>
    <w:rsid w:val="74733422"/>
    <w:rsid w:val="74733AE1"/>
    <w:rsid w:val="747405C4"/>
    <w:rsid w:val="74740E2C"/>
    <w:rsid w:val="74744461"/>
    <w:rsid w:val="74744A68"/>
    <w:rsid w:val="74745D74"/>
    <w:rsid w:val="7474677B"/>
    <w:rsid w:val="7475051F"/>
    <w:rsid w:val="7475289B"/>
    <w:rsid w:val="747607E0"/>
    <w:rsid w:val="7476258E"/>
    <w:rsid w:val="74775C0B"/>
    <w:rsid w:val="74784423"/>
    <w:rsid w:val="74784559"/>
    <w:rsid w:val="747846C3"/>
    <w:rsid w:val="747861E3"/>
    <w:rsid w:val="74786307"/>
    <w:rsid w:val="74787586"/>
    <w:rsid w:val="74787EE0"/>
    <w:rsid w:val="74790CA4"/>
    <w:rsid w:val="7479207F"/>
    <w:rsid w:val="74792686"/>
    <w:rsid w:val="747A74E4"/>
    <w:rsid w:val="747B1953"/>
    <w:rsid w:val="747B24B7"/>
    <w:rsid w:val="747B2F53"/>
    <w:rsid w:val="747C1C85"/>
    <w:rsid w:val="747D0D98"/>
    <w:rsid w:val="747D1B6F"/>
    <w:rsid w:val="747D65D9"/>
    <w:rsid w:val="747D68EB"/>
    <w:rsid w:val="747E03B6"/>
    <w:rsid w:val="747E0535"/>
    <w:rsid w:val="747E1443"/>
    <w:rsid w:val="747E1C9E"/>
    <w:rsid w:val="747E2BEC"/>
    <w:rsid w:val="747F63B3"/>
    <w:rsid w:val="747F7695"/>
    <w:rsid w:val="7480508A"/>
    <w:rsid w:val="748051BB"/>
    <w:rsid w:val="74806F69"/>
    <w:rsid w:val="74807EEA"/>
    <w:rsid w:val="74811A13"/>
    <w:rsid w:val="74811C2C"/>
    <w:rsid w:val="7481774B"/>
    <w:rsid w:val="74820F33"/>
    <w:rsid w:val="748217BC"/>
    <w:rsid w:val="7482248A"/>
    <w:rsid w:val="748236A5"/>
    <w:rsid w:val="74823F04"/>
    <w:rsid w:val="7482534E"/>
    <w:rsid w:val="74825636"/>
    <w:rsid w:val="74827185"/>
    <w:rsid w:val="748273FF"/>
    <w:rsid w:val="7482755D"/>
    <w:rsid w:val="7483082E"/>
    <w:rsid w:val="748317D6"/>
    <w:rsid w:val="748350E4"/>
    <w:rsid w:val="74842032"/>
    <w:rsid w:val="74842EFD"/>
    <w:rsid w:val="74843551"/>
    <w:rsid w:val="7484380B"/>
    <w:rsid w:val="7484680C"/>
    <w:rsid w:val="74847BFC"/>
    <w:rsid w:val="74850032"/>
    <w:rsid w:val="74850A24"/>
    <w:rsid w:val="748527D2"/>
    <w:rsid w:val="74852EB2"/>
    <w:rsid w:val="74856371"/>
    <w:rsid w:val="74856C75"/>
    <w:rsid w:val="74861204"/>
    <w:rsid w:val="748676FE"/>
    <w:rsid w:val="748724FB"/>
    <w:rsid w:val="7487654A"/>
    <w:rsid w:val="748807E2"/>
    <w:rsid w:val="74884070"/>
    <w:rsid w:val="74886533"/>
    <w:rsid w:val="74890514"/>
    <w:rsid w:val="748921AF"/>
    <w:rsid w:val="748922C2"/>
    <w:rsid w:val="74892C60"/>
    <w:rsid w:val="74893AC9"/>
    <w:rsid w:val="748A0D6C"/>
    <w:rsid w:val="748A197B"/>
    <w:rsid w:val="748A1BD0"/>
    <w:rsid w:val="748A428C"/>
    <w:rsid w:val="748A53C5"/>
    <w:rsid w:val="748B16A9"/>
    <w:rsid w:val="748B306C"/>
    <w:rsid w:val="748B3D8C"/>
    <w:rsid w:val="748B4980"/>
    <w:rsid w:val="748B4CC9"/>
    <w:rsid w:val="748B7AFB"/>
    <w:rsid w:val="748B7B45"/>
    <w:rsid w:val="748B7CAA"/>
    <w:rsid w:val="748C0004"/>
    <w:rsid w:val="748C1DB2"/>
    <w:rsid w:val="748C3FC9"/>
    <w:rsid w:val="748C4124"/>
    <w:rsid w:val="748C590E"/>
    <w:rsid w:val="748D1686"/>
    <w:rsid w:val="748D3F87"/>
    <w:rsid w:val="748D4D45"/>
    <w:rsid w:val="748D6B9A"/>
    <w:rsid w:val="748E1CF0"/>
    <w:rsid w:val="748E5B2A"/>
    <w:rsid w:val="748F53D1"/>
    <w:rsid w:val="748F53FE"/>
    <w:rsid w:val="748F6A35"/>
    <w:rsid w:val="7490056B"/>
    <w:rsid w:val="749018A2"/>
    <w:rsid w:val="74901C31"/>
    <w:rsid w:val="74902643"/>
    <w:rsid w:val="74910454"/>
    <w:rsid w:val="74914485"/>
    <w:rsid w:val="7491561A"/>
    <w:rsid w:val="749173C8"/>
    <w:rsid w:val="7492133B"/>
    <w:rsid w:val="749237CF"/>
    <w:rsid w:val="74926606"/>
    <w:rsid w:val="749312CB"/>
    <w:rsid w:val="74933140"/>
    <w:rsid w:val="74934EEE"/>
    <w:rsid w:val="7493558E"/>
    <w:rsid w:val="74936C9D"/>
    <w:rsid w:val="74937820"/>
    <w:rsid w:val="7494573C"/>
    <w:rsid w:val="74952EB7"/>
    <w:rsid w:val="7495469D"/>
    <w:rsid w:val="74955E3C"/>
    <w:rsid w:val="74956EB9"/>
    <w:rsid w:val="74960E74"/>
    <w:rsid w:val="7496138D"/>
    <w:rsid w:val="74962C31"/>
    <w:rsid w:val="74963C90"/>
    <w:rsid w:val="749645EA"/>
    <w:rsid w:val="749649DF"/>
    <w:rsid w:val="74965721"/>
    <w:rsid w:val="7496678D"/>
    <w:rsid w:val="7497042E"/>
    <w:rsid w:val="749710DC"/>
    <w:rsid w:val="7497281D"/>
    <w:rsid w:val="74972BDE"/>
    <w:rsid w:val="749748A3"/>
    <w:rsid w:val="74980757"/>
    <w:rsid w:val="749807F5"/>
    <w:rsid w:val="749818A7"/>
    <w:rsid w:val="749869A9"/>
    <w:rsid w:val="74990371"/>
    <w:rsid w:val="74991645"/>
    <w:rsid w:val="74992C20"/>
    <w:rsid w:val="74993127"/>
    <w:rsid w:val="7499513D"/>
    <w:rsid w:val="749A238C"/>
    <w:rsid w:val="749A44CF"/>
    <w:rsid w:val="749A5251"/>
    <w:rsid w:val="749A7D0E"/>
    <w:rsid w:val="749B0247"/>
    <w:rsid w:val="749B08CE"/>
    <w:rsid w:val="749B2938"/>
    <w:rsid w:val="749B56AA"/>
    <w:rsid w:val="749B7035"/>
    <w:rsid w:val="749B74D1"/>
    <w:rsid w:val="749C3808"/>
    <w:rsid w:val="749D29A0"/>
    <w:rsid w:val="749D5D6D"/>
    <w:rsid w:val="749D668F"/>
    <w:rsid w:val="749D7B1B"/>
    <w:rsid w:val="749E2F2C"/>
    <w:rsid w:val="749E3893"/>
    <w:rsid w:val="749E7E82"/>
    <w:rsid w:val="749F0559"/>
    <w:rsid w:val="749F0FAF"/>
    <w:rsid w:val="749F7209"/>
    <w:rsid w:val="749F7D37"/>
    <w:rsid w:val="74A013B9"/>
    <w:rsid w:val="74A0243F"/>
    <w:rsid w:val="74A17097"/>
    <w:rsid w:val="74A215D5"/>
    <w:rsid w:val="74A23383"/>
    <w:rsid w:val="74A25132"/>
    <w:rsid w:val="74A25A85"/>
    <w:rsid w:val="74A302A1"/>
    <w:rsid w:val="74A34D9B"/>
    <w:rsid w:val="74A40398"/>
    <w:rsid w:val="74A41FD9"/>
    <w:rsid w:val="74A42D99"/>
    <w:rsid w:val="74A44814"/>
    <w:rsid w:val="74A470FC"/>
    <w:rsid w:val="74A47D78"/>
    <w:rsid w:val="74A5155D"/>
    <w:rsid w:val="74A52E74"/>
    <w:rsid w:val="74A54C22"/>
    <w:rsid w:val="74A54D85"/>
    <w:rsid w:val="74A569D0"/>
    <w:rsid w:val="74A66A9B"/>
    <w:rsid w:val="74A7099A"/>
    <w:rsid w:val="74A7223E"/>
    <w:rsid w:val="74A72748"/>
    <w:rsid w:val="74A7682B"/>
    <w:rsid w:val="74A844D0"/>
    <w:rsid w:val="74A87B3F"/>
    <w:rsid w:val="74A92964"/>
    <w:rsid w:val="74A94712"/>
    <w:rsid w:val="74AA048A"/>
    <w:rsid w:val="74AA2238"/>
    <w:rsid w:val="74AA620F"/>
    <w:rsid w:val="74AB0261"/>
    <w:rsid w:val="74AB02D5"/>
    <w:rsid w:val="74AB2198"/>
    <w:rsid w:val="74AC06CC"/>
    <w:rsid w:val="74AC2938"/>
    <w:rsid w:val="74AC4202"/>
    <w:rsid w:val="74AC5FB0"/>
    <w:rsid w:val="74AC7D5E"/>
    <w:rsid w:val="74AD0AFC"/>
    <w:rsid w:val="74AD12BD"/>
    <w:rsid w:val="74AD2747"/>
    <w:rsid w:val="74AD5EF9"/>
    <w:rsid w:val="74AD69C8"/>
    <w:rsid w:val="74AD7904"/>
    <w:rsid w:val="74AE036B"/>
    <w:rsid w:val="74AE053B"/>
    <w:rsid w:val="74AE387F"/>
    <w:rsid w:val="74AE573C"/>
    <w:rsid w:val="74AE68E4"/>
    <w:rsid w:val="74AF0AA4"/>
    <w:rsid w:val="74AF3C7E"/>
    <w:rsid w:val="74B07180"/>
    <w:rsid w:val="74B1235F"/>
    <w:rsid w:val="74B133B5"/>
    <w:rsid w:val="74B135C7"/>
    <w:rsid w:val="74B15375"/>
    <w:rsid w:val="74B17E02"/>
    <w:rsid w:val="74B20194"/>
    <w:rsid w:val="74B211D6"/>
    <w:rsid w:val="74B227A5"/>
    <w:rsid w:val="74B2592C"/>
    <w:rsid w:val="74B30CA1"/>
    <w:rsid w:val="74B310ED"/>
    <w:rsid w:val="74B3391D"/>
    <w:rsid w:val="74B34AF5"/>
    <w:rsid w:val="74B35591"/>
    <w:rsid w:val="74B41185"/>
    <w:rsid w:val="74B418B4"/>
    <w:rsid w:val="74B4291D"/>
    <w:rsid w:val="74B44E65"/>
    <w:rsid w:val="74B4507D"/>
    <w:rsid w:val="74B479AB"/>
    <w:rsid w:val="74B47CBF"/>
    <w:rsid w:val="74B51309"/>
    <w:rsid w:val="74B530B7"/>
    <w:rsid w:val="74B538CB"/>
    <w:rsid w:val="74B54916"/>
    <w:rsid w:val="74B60DFD"/>
    <w:rsid w:val="74B60E48"/>
    <w:rsid w:val="74B613F4"/>
    <w:rsid w:val="74B6390B"/>
    <w:rsid w:val="74B64418"/>
    <w:rsid w:val="74B6689D"/>
    <w:rsid w:val="74B66A46"/>
    <w:rsid w:val="74B749C5"/>
    <w:rsid w:val="74B81B56"/>
    <w:rsid w:val="74B82BA7"/>
    <w:rsid w:val="74B84955"/>
    <w:rsid w:val="74B87006"/>
    <w:rsid w:val="74B9247B"/>
    <w:rsid w:val="74B94727"/>
    <w:rsid w:val="74B95CA3"/>
    <w:rsid w:val="74BA74C3"/>
    <w:rsid w:val="74BB0881"/>
    <w:rsid w:val="74BB1C18"/>
    <w:rsid w:val="74BB61F3"/>
    <w:rsid w:val="74BB7925"/>
    <w:rsid w:val="74BC06DA"/>
    <w:rsid w:val="74BD01BD"/>
    <w:rsid w:val="74BD066F"/>
    <w:rsid w:val="74BD1967"/>
    <w:rsid w:val="74BD1F6B"/>
    <w:rsid w:val="74BD4499"/>
    <w:rsid w:val="74BD640F"/>
    <w:rsid w:val="74BE07E5"/>
    <w:rsid w:val="74BE1F81"/>
    <w:rsid w:val="74BE2E0E"/>
    <w:rsid w:val="74BE5D48"/>
    <w:rsid w:val="74BE6D87"/>
    <w:rsid w:val="74BE7A92"/>
    <w:rsid w:val="74BF323B"/>
    <w:rsid w:val="74BF3F35"/>
    <w:rsid w:val="74BF5194"/>
    <w:rsid w:val="74BF5A36"/>
    <w:rsid w:val="74BF5CE3"/>
    <w:rsid w:val="74BF6081"/>
    <w:rsid w:val="74C0380A"/>
    <w:rsid w:val="74C03B43"/>
    <w:rsid w:val="74C0422F"/>
    <w:rsid w:val="74C07CAE"/>
    <w:rsid w:val="74C12A19"/>
    <w:rsid w:val="74C14A77"/>
    <w:rsid w:val="74C14D1A"/>
    <w:rsid w:val="74C20EA1"/>
    <w:rsid w:val="74C23515"/>
    <w:rsid w:val="74C235D2"/>
    <w:rsid w:val="74C24326"/>
    <w:rsid w:val="74C244D4"/>
    <w:rsid w:val="74C25EE4"/>
    <w:rsid w:val="74C26688"/>
    <w:rsid w:val="74C303AA"/>
    <w:rsid w:val="74C358A7"/>
    <w:rsid w:val="74C36BB6"/>
    <w:rsid w:val="74C37449"/>
    <w:rsid w:val="74C4183A"/>
    <w:rsid w:val="74C432FA"/>
    <w:rsid w:val="74C44F05"/>
    <w:rsid w:val="74C46221"/>
    <w:rsid w:val="74C46442"/>
    <w:rsid w:val="74C4658C"/>
    <w:rsid w:val="74C47F9C"/>
    <w:rsid w:val="74C50E20"/>
    <w:rsid w:val="74C52CCA"/>
    <w:rsid w:val="74C5562A"/>
    <w:rsid w:val="74C61C3B"/>
    <w:rsid w:val="74C62534"/>
    <w:rsid w:val="74C652C4"/>
    <w:rsid w:val="74C72DEA"/>
    <w:rsid w:val="74C74B98"/>
    <w:rsid w:val="74C755EA"/>
    <w:rsid w:val="74C76B73"/>
    <w:rsid w:val="74C80558"/>
    <w:rsid w:val="74C8164B"/>
    <w:rsid w:val="74C82D66"/>
    <w:rsid w:val="74C82D9C"/>
    <w:rsid w:val="74C9187F"/>
    <w:rsid w:val="74C96B62"/>
    <w:rsid w:val="74C97E1D"/>
    <w:rsid w:val="74CA3325"/>
    <w:rsid w:val="74CA4688"/>
    <w:rsid w:val="74CA6436"/>
    <w:rsid w:val="74CB79B4"/>
    <w:rsid w:val="74CC0105"/>
    <w:rsid w:val="74CC0400"/>
    <w:rsid w:val="74CC0E14"/>
    <w:rsid w:val="74CC21AE"/>
    <w:rsid w:val="74CC256B"/>
    <w:rsid w:val="74CC2B9D"/>
    <w:rsid w:val="74CC34DA"/>
    <w:rsid w:val="74CC3748"/>
    <w:rsid w:val="74CC6652"/>
    <w:rsid w:val="74CD1939"/>
    <w:rsid w:val="74CD28EC"/>
    <w:rsid w:val="74CD4F74"/>
    <w:rsid w:val="74CD57D9"/>
    <w:rsid w:val="74CD5A3B"/>
    <w:rsid w:val="74CE4179"/>
    <w:rsid w:val="74CE5F27"/>
    <w:rsid w:val="74CF151E"/>
    <w:rsid w:val="74CF1C9F"/>
    <w:rsid w:val="74CF2001"/>
    <w:rsid w:val="74CF2CC8"/>
    <w:rsid w:val="74CF36F1"/>
    <w:rsid w:val="74CF4ED6"/>
    <w:rsid w:val="74CF6F2B"/>
    <w:rsid w:val="74D0167A"/>
    <w:rsid w:val="74D04818"/>
    <w:rsid w:val="74D051B0"/>
    <w:rsid w:val="74D06143"/>
    <w:rsid w:val="74D063D5"/>
    <w:rsid w:val="74D07EF1"/>
    <w:rsid w:val="74D126BF"/>
    <w:rsid w:val="74D13C69"/>
    <w:rsid w:val="74D13E3E"/>
    <w:rsid w:val="74D15A17"/>
    <w:rsid w:val="74D21961"/>
    <w:rsid w:val="74D2274B"/>
    <w:rsid w:val="74D2336D"/>
    <w:rsid w:val="74D268C1"/>
    <w:rsid w:val="74D30693"/>
    <w:rsid w:val="74D3093A"/>
    <w:rsid w:val="74D3131A"/>
    <w:rsid w:val="74D3178F"/>
    <w:rsid w:val="74D31B48"/>
    <w:rsid w:val="74D32D29"/>
    <w:rsid w:val="74D3353D"/>
    <w:rsid w:val="74D379E1"/>
    <w:rsid w:val="74D37E9F"/>
    <w:rsid w:val="74D530D1"/>
    <w:rsid w:val="74D53759"/>
    <w:rsid w:val="74D628A3"/>
    <w:rsid w:val="74D62C01"/>
    <w:rsid w:val="74D6302D"/>
    <w:rsid w:val="74D6413D"/>
    <w:rsid w:val="74D73179"/>
    <w:rsid w:val="74D774B9"/>
    <w:rsid w:val="74D774D1"/>
    <w:rsid w:val="74D77ACC"/>
    <w:rsid w:val="74D81694"/>
    <w:rsid w:val="74D83353"/>
    <w:rsid w:val="74D843A1"/>
    <w:rsid w:val="74D84FF7"/>
    <w:rsid w:val="74D8656F"/>
    <w:rsid w:val="74D925D0"/>
    <w:rsid w:val="74D92E12"/>
    <w:rsid w:val="74D930E4"/>
    <w:rsid w:val="74D93BE4"/>
    <w:rsid w:val="74D95226"/>
    <w:rsid w:val="74D95501"/>
    <w:rsid w:val="74DA01F2"/>
    <w:rsid w:val="74DA2B1D"/>
    <w:rsid w:val="74DA3C85"/>
    <w:rsid w:val="74DB0AED"/>
    <w:rsid w:val="74DB4C39"/>
    <w:rsid w:val="74DB4EF0"/>
    <w:rsid w:val="74DC1857"/>
    <w:rsid w:val="74DC38B4"/>
    <w:rsid w:val="74DC4AE7"/>
    <w:rsid w:val="74DC6AB5"/>
    <w:rsid w:val="74DD1DBA"/>
    <w:rsid w:val="74DD237D"/>
    <w:rsid w:val="74DD260E"/>
    <w:rsid w:val="74DD616A"/>
    <w:rsid w:val="74DE7806"/>
    <w:rsid w:val="74DF6442"/>
    <w:rsid w:val="74E012DC"/>
    <w:rsid w:val="74E0215D"/>
    <w:rsid w:val="74E03F88"/>
    <w:rsid w:val="74E0465F"/>
    <w:rsid w:val="74E04853"/>
    <w:rsid w:val="74E05C5A"/>
    <w:rsid w:val="74E06078"/>
    <w:rsid w:val="74E07C56"/>
    <w:rsid w:val="74E07CE4"/>
    <w:rsid w:val="74E07FC1"/>
    <w:rsid w:val="74E125DF"/>
    <w:rsid w:val="74E12754"/>
    <w:rsid w:val="74E207AF"/>
    <w:rsid w:val="74E21AB3"/>
    <w:rsid w:val="74E2347C"/>
    <w:rsid w:val="74E25E76"/>
    <w:rsid w:val="74E27C24"/>
    <w:rsid w:val="74E30A2A"/>
    <w:rsid w:val="74E30E27"/>
    <w:rsid w:val="74E32708"/>
    <w:rsid w:val="74E33556"/>
    <w:rsid w:val="74E35E3C"/>
    <w:rsid w:val="74E36253"/>
    <w:rsid w:val="74E370CF"/>
    <w:rsid w:val="74E41BEE"/>
    <w:rsid w:val="74E4260C"/>
    <w:rsid w:val="74E4574A"/>
    <w:rsid w:val="74E4667B"/>
    <w:rsid w:val="74E50B73"/>
    <w:rsid w:val="74E53270"/>
    <w:rsid w:val="74E54FF2"/>
    <w:rsid w:val="74E61381"/>
    <w:rsid w:val="74E63744"/>
    <w:rsid w:val="74E67714"/>
    <w:rsid w:val="74E72F9B"/>
    <w:rsid w:val="74E7348C"/>
    <w:rsid w:val="74E746F4"/>
    <w:rsid w:val="74E749EE"/>
    <w:rsid w:val="74E777A5"/>
    <w:rsid w:val="74E83D07"/>
    <w:rsid w:val="74E87A5D"/>
    <w:rsid w:val="74E87AB4"/>
    <w:rsid w:val="74E9284A"/>
    <w:rsid w:val="74E92D60"/>
    <w:rsid w:val="74E94BD9"/>
    <w:rsid w:val="74E97204"/>
    <w:rsid w:val="74E9725B"/>
    <w:rsid w:val="74EA0887"/>
    <w:rsid w:val="74EA18FD"/>
    <w:rsid w:val="74EA2BAB"/>
    <w:rsid w:val="74EA53FB"/>
    <w:rsid w:val="74EB0E06"/>
    <w:rsid w:val="74EB4D2A"/>
    <w:rsid w:val="74EC037C"/>
    <w:rsid w:val="74EC0DEC"/>
    <w:rsid w:val="74EC2851"/>
    <w:rsid w:val="74EC332D"/>
    <w:rsid w:val="74EC3427"/>
    <w:rsid w:val="74EC6F0E"/>
    <w:rsid w:val="74ED1ED6"/>
    <w:rsid w:val="74ED348A"/>
    <w:rsid w:val="74ED3FC4"/>
    <w:rsid w:val="74ED414D"/>
    <w:rsid w:val="74ED7305"/>
    <w:rsid w:val="74EE3366"/>
    <w:rsid w:val="74EE7C94"/>
    <w:rsid w:val="74EF07EE"/>
    <w:rsid w:val="74EF52E3"/>
    <w:rsid w:val="74EF5EA1"/>
    <w:rsid w:val="74EF7749"/>
    <w:rsid w:val="74F02341"/>
    <w:rsid w:val="74F033AD"/>
    <w:rsid w:val="74F05498"/>
    <w:rsid w:val="74F11C15"/>
    <w:rsid w:val="74F144BD"/>
    <w:rsid w:val="74F14D7F"/>
    <w:rsid w:val="74F160B9"/>
    <w:rsid w:val="74F31967"/>
    <w:rsid w:val="74F31E31"/>
    <w:rsid w:val="74F33BDF"/>
    <w:rsid w:val="74F34E1F"/>
    <w:rsid w:val="74F3598D"/>
    <w:rsid w:val="74F4131A"/>
    <w:rsid w:val="74F42505"/>
    <w:rsid w:val="74F43519"/>
    <w:rsid w:val="74F43AA8"/>
    <w:rsid w:val="74F47392"/>
    <w:rsid w:val="74F47BBA"/>
    <w:rsid w:val="74F50668"/>
    <w:rsid w:val="74F51705"/>
    <w:rsid w:val="74F57957"/>
    <w:rsid w:val="74F6277E"/>
    <w:rsid w:val="74F647A8"/>
    <w:rsid w:val="74F6547D"/>
    <w:rsid w:val="74F6722B"/>
    <w:rsid w:val="74F70B39"/>
    <w:rsid w:val="74F71921"/>
    <w:rsid w:val="74F7338E"/>
    <w:rsid w:val="74F7708E"/>
    <w:rsid w:val="74F8079A"/>
    <w:rsid w:val="74F82FA3"/>
    <w:rsid w:val="74F831A1"/>
    <w:rsid w:val="74F86F9D"/>
    <w:rsid w:val="74F87447"/>
    <w:rsid w:val="74F87FAB"/>
    <w:rsid w:val="74F90479"/>
    <w:rsid w:val="74F91BBA"/>
    <w:rsid w:val="74F9212E"/>
    <w:rsid w:val="74F92DB8"/>
    <w:rsid w:val="74F93C46"/>
    <w:rsid w:val="74F973D0"/>
    <w:rsid w:val="74FA0C12"/>
    <w:rsid w:val="74FA216F"/>
    <w:rsid w:val="74FA31C0"/>
    <w:rsid w:val="74FA6D1C"/>
    <w:rsid w:val="74FB2E64"/>
    <w:rsid w:val="74FB31D4"/>
    <w:rsid w:val="74FB53EF"/>
    <w:rsid w:val="74FC053B"/>
    <w:rsid w:val="74FC2045"/>
    <w:rsid w:val="74FD4A5E"/>
    <w:rsid w:val="74FF2584"/>
    <w:rsid w:val="74FF4332"/>
    <w:rsid w:val="74FF67F2"/>
    <w:rsid w:val="74FF6962"/>
    <w:rsid w:val="74FF6D12"/>
    <w:rsid w:val="74FF747A"/>
    <w:rsid w:val="750000AA"/>
    <w:rsid w:val="75000263"/>
    <w:rsid w:val="75000C59"/>
    <w:rsid w:val="750013E8"/>
    <w:rsid w:val="7500460C"/>
    <w:rsid w:val="75006486"/>
    <w:rsid w:val="75006808"/>
    <w:rsid w:val="7501165C"/>
    <w:rsid w:val="75011FF4"/>
    <w:rsid w:val="75012467"/>
    <w:rsid w:val="7501454E"/>
    <w:rsid w:val="750162FC"/>
    <w:rsid w:val="750202C6"/>
    <w:rsid w:val="75024B99"/>
    <w:rsid w:val="7502522A"/>
    <w:rsid w:val="75034210"/>
    <w:rsid w:val="75036D34"/>
    <w:rsid w:val="75041948"/>
    <w:rsid w:val="7504491C"/>
    <w:rsid w:val="75044989"/>
    <w:rsid w:val="7504558C"/>
    <w:rsid w:val="75046850"/>
    <w:rsid w:val="75047B9A"/>
    <w:rsid w:val="75052B54"/>
    <w:rsid w:val="75052F1A"/>
    <w:rsid w:val="750542D9"/>
    <w:rsid w:val="750600DB"/>
    <w:rsid w:val="75061B64"/>
    <w:rsid w:val="75061C10"/>
    <w:rsid w:val="75063912"/>
    <w:rsid w:val="75064209"/>
    <w:rsid w:val="75070188"/>
    <w:rsid w:val="750718C3"/>
    <w:rsid w:val="750758DC"/>
    <w:rsid w:val="75075900"/>
    <w:rsid w:val="7507768A"/>
    <w:rsid w:val="7508042F"/>
    <w:rsid w:val="75081294"/>
    <w:rsid w:val="7508493D"/>
    <w:rsid w:val="75090646"/>
    <w:rsid w:val="750951B1"/>
    <w:rsid w:val="75095997"/>
    <w:rsid w:val="750A2200"/>
    <w:rsid w:val="750A2943"/>
    <w:rsid w:val="750A39A9"/>
    <w:rsid w:val="750A39C2"/>
    <w:rsid w:val="750A4751"/>
    <w:rsid w:val="750A5DB0"/>
    <w:rsid w:val="750A70BD"/>
    <w:rsid w:val="750A7B67"/>
    <w:rsid w:val="750B717B"/>
    <w:rsid w:val="750B742E"/>
    <w:rsid w:val="750C16C4"/>
    <w:rsid w:val="750C4CA1"/>
    <w:rsid w:val="750C68F8"/>
    <w:rsid w:val="750C6A4F"/>
    <w:rsid w:val="750D68EF"/>
    <w:rsid w:val="750E09EA"/>
    <w:rsid w:val="750E27C7"/>
    <w:rsid w:val="750E4C99"/>
    <w:rsid w:val="750E6C6B"/>
    <w:rsid w:val="750E6D0A"/>
    <w:rsid w:val="750E7A18"/>
    <w:rsid w:val="750F3DE0"/>
    <w:rsid w:val="750F6F95"/>
    <w:rsid w:val="751002F7"/>
    <w:rsid w:val="75100BD5"/>
    <w:rsid w:val="75101B82"/>
    <w:rsid w:val="75104791"/>
    <w:rsid w:val="751064BB"/>
    <w:rsid w:val="7510653F"/>
    <w:rsid w:val="75115C4B"/>
    <w:rsid w:val="751175EA"/>
    <w:rsid w:val="7513293D"/>
    <w:rsid w:val="75133BF1"/>
    <w:rsid w:val="75134B2D"/>
    <w:rsid w:val="751353F7"/>
    <w:rsid w:val="7513602F"/>
    <w:rsid w:val="75137DDD"/>
    <w:rsid w:val="75141EAB"/>
    <w:rsid w:val="751425E9"/>
    <w:rsid w:val="75153B55"/>
    <w:rsid w:val="751549BD"/>
    <w:rsid w:val="75160524"/>
    <w:rsid w:val="75162B50"/>
    <w:rsid w:val="751703C4"/>
    <w:rsid w:val="75172006"/>
    <w:rsid w:val="75175B20"/>
    <w:rsid w:val="75183646"/>
    <w:rsid w:val="75184714"/>
    <w:rsid w:val="75184F05"/>
    <w:rsid w:val="751853F4"/>
    <w:rsid w:val="75191A68"/>
    <w:rsid w:val="75194D46"/>
    <w:rsid w:val="7519542A"/>
    <w:rsid w:val="751A00A9"/>
    <w:rsid w:val="751A0EF3"/>
    <w:rsid w:val="751A4779"/>
    <w:rsid w:val="751A5305"/>
    <w:rsid w:val="751A73BE"/>
    <w:rsid w:val="751C0EF2"/>
    <w:rsid w:val="751C15AD"/>
    <w:rsid w:val="751C169D"/>
    <w:rsid w:val="751C1EB5"/>
    <w:rsid w:val="751C3136"/>
    <w:rsid w:val="751C3CCD"/>
    <w:rsid w:val="751C4529"/>
    <w:rsid w:val="751C5085"/>
    <w:rsid w:val="751D0C5C"/>
    <w:rsid w:val="751D2073"/>
    <w:rsid w:val="751D2133"/>
    <w:rsid w:val="751D2A0A"/>
    <w:rsid w:val="751D34E6"/>
    <w:rsid w:val="751D6EAE"/>
    <w:rsid w:val="751E5830"/>
    <w:rsid w:val="751F2194"/>
    <w:rsid w:val="751F49D4"/>
    <w:rsid w:val="752000B7"/>
    <w:rsid w:val="752012DB"/>
    <w:rsid w:val="75204D65"/>
    <w:rsid w:val="752075F4"/>
    <w:rsid w:val="75210585"/>
    <w:rsid w:val="7521074C"/>
    <w:rsid w:val="7521165A"/>
    <w:rsid w:val="75211DCC"/>
    <w:rsid w:val="752124FA"/>
    <w:rsid w:val="7521699E"/>
    <w:rsid w:val="75221196"/>
    <w:rsid w:val="75221288"/>
    <w:rsid w:val="75221A1C"/>
    <w:rsid w:val="75223F8F"/>
    <w:rsid w:val="75226272"/>
    <w:rsid w:val="752263F0"/>
    <w:rsid w:val="75226430"/>
    <w:rsid w:val="75226929"/>
    <w:rsid w:val="75233075"/>
    <w:rsid w:val="75237C23"/>
    <w:rsid w:val="7524023C"/>
    <w:rsid w:val="75241FEA"/>
    <w:rsid w:val="75243D99"/>
    <w:rsid w:val="752456FB"/>
    <w:rsid w:val="75260A99"/>
    <w:rsid w:val="752631A7"/>
    <w:rsid w:val="75263FB5"/>
    <w:rsid w:val="75266EA8"/>
    <w:rsid w:val="75267B11"/>
    <w:rsid w:val="75271ADB"/>
    <w:rsid w:val="75273889"/>
    <w:rsid w:val="75274CA1"/>
    <w:rsid w:val="7528138A"/>
    <w:rsid w:val="752833A1"/>
    <w:rsid w:val="752843D2"/>
    <w:rsid w:val="75287833"/>
    <w:rsid w:val="7529016C"/>
    <w:rsid w:val="7529170F"/>
    <w:rsid w:val="75291D0C"/>
    <w:rsid w:val="75295853"/>
    <w:rsid w:val="75295E16"/>
    <w:rsid w:val="752962B5"/>
    <w:rsid w:val="75296EEB"/>
    <w:rsid w:val="752A0AE7"/>
    <w:rsid w:val="752A7E05"/>
    <w:rsid w:val="752B0845"/>
    <w:rsid w:val="752B15CB"/>
    <w:rsid w:val="752B31CC"/>
    <w:rsid w:val="752B3379"/>
    <w:rsid w:val="752B4A48"/>
    <w:rsid w:val="752C0E9F"/>
    <w:rsid w:val="752C2C6C"/>
    <w:rsid w:val="752C2CC4"/>
    <w:rsid w:val="752C300C"/>
    <w:rsid w:val="752C5A03"/>
    <w:rsid w:val="752C5ED8"/>
    <w:rsid w:val="752C66E7"/>
    <w:rsid w:val="752D1EC8"/>
    <w:rsid w:val="752D4797"/>
    <w:rsid w:val="752D79AF"/>
    <w:rsid w:val="752E10BB"/>
    <w:rsid w:val="752E2E69"/>
    <w:rsid w:val="752E387E"/>
    <w:rsid w:val="752E4C17"/>
    <w:rsid w:val="752E4EA8"/>
    <w:rsid w:val="752E6890"/>
    <w:rsid w:val="752F1C88"/>
    <w:rsid w:val="7530098F"/>
    <w:rsid w:val="75302FBA"/>
    <w:rsid w:val="753059D3"/>
    <w:rsid w:val="75306578"/>
    <w:rsid w:val="75306BE1"/>
    <w:rsid w:val="75311E5B"/>
    <w:rsid w:val="753200B8"/>
    <w:rsid w:val="7532142F"/>
    <w:rsid w:val="75321D1A"/>
    <w:rsid w:val="75322959"/>
    <w:rsid w:val="75324CE8"/>
    <w:rsid w:val="75325BAA"/>
    <w:rsid w:val="75330480"/>
    <w:rsid w:val="75331A99"/>
    <w:rsid w:val="75332B89"/>
    <w:rsid w:val="753331DA"/>
    <w:rsid w:val="75335F09"/>
    <w:rsid w:val="75336C15"/>
    <w:rsid w:val="75345515"/>
    <w:rsid w:val="75346F51"/>
    <w:rsid w:val="75347FE1"/>
    <w:rsid w:val="753509C1"/>
    <w:rsid w:val="753524B9"/>
    <w:rsid w:val="753541F8"/>
    <w:rsid w:val="7536001A"/>
    <w:rsid w:val="75361B5B"/>
    <w:rsid w:val="75363ACC"/>
    <w:rsid w:val="75364E65"/>
    <w:rsid w:val="75366D4E"/>
    <w:rsid w:val="75366F8A"/>
    <w:rsid w:val="753676C3"/>
    <w:rsid w:val="75372596"/>
    <w:rsid w:val="753771B5"/>
    <w:rsid w:val="753811F0"/>
    <w:rsid w:val="75381404"/>
    <w:rsid w:val="75383588"/>
    <w:rsid w:val="75383CE8"/>
    <w:rsid w:val="75390065"/>
    <w:rsid w:val="75391DEA"/>
    <w:rsid w:val="75396923"/>
    <w:rsid w:val="7539704C"/>
    <w:rsid w:val="75397C3B"/>
    <w:rsid w:val="753A180E"/>
    <w:rsid w:val="753A384D"/>
    <w:rsid w:val="753A5C0B"/>
    <w:rsid w:val="753A7438"/>
    <w:rsid w:val="753A7A60"/>
    <w:rsid w:val="753B2042"/>
    <w:rsid w:val="753B3A84"/>
    <w:rsid w:val="753B3AB4"/>
    <w:rsid w:val="753B515D"/>
    <w:rsid w:val="753C37D8"/>
    <w:rsid w:val="753C7334"/>
    <w:rsid w:val="753D08FF"/>
    <w:rsid w:val="753D4533"/>
    <w:rsid w:val="753D4E5A"/>
    <w:rsid w:val="753D52A7"/>
    <w:rsid w:val="753D73E8"/>
    <w:rsid w:val="753D7FC4"/>
    <w:rsid w:val="753E27D9"/>
    <w:rsid w:val="753E571C"/>
    <w:rsid w:val="753E6F2A"/>
    <w:rsid w:val="753E722F"/>
    <w:rsid w:val="753F0BD2"/>
    <w:rsid w:val="753F177D"/>
    <w:rsid w:val="753F5076"/>
    <w:rsid w:val="753F6E24"/>
    <w:rsid w:val="754000AF"/>
    <w:rsid w:val="75400ABF"/>
    <w:rsid w:val="7540695D"/>
    <w:rsid w:val="75410DEE"/>
    <w:rsid w:val="75412B9C"/>
    <w:rsid w:val="75414B5F"/>
    <w:rsid w:val="754157DE"/>
    <w:rsid w:val="754200FE"/>
    <w:rsid w:val="754206C3"/>
    <w:rsid w:val="75422471"/>
    <w:rsid w:val="75425809"/>
    <w:rsid w:val="754362E9"/>
    <w:rsid w:val="754372F2"/>
    <w:rsid w:val="7544005F"/>
    <w:rsid w:val="754424E7"/>
    <w:rsid w:val="7544268D"/>
    <w:rsid w:val="754426E4"/>
    <w:rsid w:val="7544443B"/>
    <w:rsid w:val="754461E9"/>
    <w:rsid w:val="75447C03"/>
    <w:rsid w:val="75451D0C"/>
    <w:rsid w:val="75453B2A"/>
    <w:rsid w:val="75455217"/>
    <w:rsid w:val="75457B94"/>
    <w:rsid w:val="754602FA"/>
    <w:rsid w:val="7546108D"/>
    <w:rsid w:val="754618A3"/>
    <w:rsid w:val="754725FF"/>
    <w:rsid w:val="754730F9"/>
    <w:rsid w:val="754732AE"/>
    <w:rsid w:val="754746AE"/>
    <w:rsid w:val="75474E66"/>
    <w:rsid w:val="75475CD9"/>
    <w:rsid w:val="754771E6"/>
    <w:rsid w:val="7548217D"/>
    <w:rsid w:val="7548286D"/>
    <w:rsid w:val="75483C08"/>
    <w:rsid w:val="75487539"/>
    <w:rsid w:val="7548774E"/>
    <w:rsid w:val="754877AE"/>
    <w:rsid w:val="7549004D"/>
    <w:rsid w:val="75490BFD"/>
    <w:rsid w:val="75491A51"/>
    <w:rsid w:val="754937FF"/>
    <w:rsid w:val="75497CA3"/>
    <w:rsid w:val="754A01F4"/>
    <w:rsid w:val="754A0CD6"/>
    <w:rsid w:val="754A2051"/>
    <w:rsid w:val="754A70EF"/>
    <w:rsid w:val="754B0B4C"/>
    <w:rsid w:val="754B4CAD"/>
    <w:rsid w:val="754B6154"/>
    <w:rsid w:val="754B7577"/>
    <w:rsid w:val="754C33A3"/>
    <w:rsid w:val="754C48B0"/>
    <w:rsid w:val="754D0B1B"/>
    <w:rsid w:val="754D1541"/>
    <w:rsid w:val="754D5ACD"/>
    <w:rsid w:val="754E0E15"/>
    <w:rsid w:val="754E259B"/>
    <w:rsid w:val="754E66A1"/>
    <w:rsid w:val="754E7E02"/>
    <w:rsid w:val="754F55B7"/>
    <w:rsid w:val="75500415"/>
    <w:rsid w:val="75501031"/>
    <w:rsid w:val="75502DDF"/>
    <w:rsid w:val="75504B8E"/>
    <w:rsid w:val="75510383"/>
    <w:rsid w:val="75516C9D"/>
    <w:rsid w:val="755212F7"/>
    <w:rsid w:val="75521549"/>
    <w:rsid w:val="755232DA"/>
    <w:rsid w:val="75524DAA"/>
    <w:rsid w:val="75525E28"/>
    <w:rsid w:val="75526065"/>
    <w:rsid w:val="75526B58"/>
    <w:rsid w:val="755271B5"/>
    <w:rsid w:val="75530B22"/>
    <w:rsid w:val="7553104E"/>
    <w:rsid w:val="755335E9"/>
    <w:rsid w:val="7553467E"/>
    <w:rsid w:val="75534DE4"/>
    <w:rsid w:val="75535553"/>
    <w:rsid w:val="7553700A"/>
    <w:rsid w:val="755377C8"/>
    <w:rsid w:val="75542618"/>
    <w:rsid w:val="755521A4"/>
    <w:rsid w:val="75552838"/>
    <w:rsid w:val="755550E4"/>
    <w:rsid w:val="75555A8B"/>
    <w:rsid w:val="75556682"/>
    <w:rsid w:val="75564CDF"/>
    <w:rsid w:val="755653EE"/>
    <w:rsid w:val="7556718C"/>
    <w:rsid w:val="75567E1A"/>
    <w:rsid w:val="755723C0"/>
    <w:rsid w:val="7557416E"/>
    <w:rsid w:val="75574608"/>
    <w:rsid w:val="75575F1C"/>
    <w:rsid w:val="755839D5"/>
    <w:rsid w:val="75591764"/>
    <w:rsid w:val="75596138"/>
    <w:rsid w:val="755A1EB0"/>
    <w:rsid w:val="755A2BB0"/>
    <w:rsid w:val="755A4625"/>
    <w:rsid w:val="755A5A0C"/>
    <w:rsid w:val="755A7238"/>
    <w:rsid w:val="755B0F56"/>
    <w:rsid w:val="755B226F"/>
    <w:rsid w:val="755B2545"/>
    <w:rsid w:val="755C1644"/>
    <w:rsid w:val="755C3876"/>
    <w:rsid w:val="755C3BC2"/>
    <w:rsid w:val="755C5157"/>
    <w:rsid w:val="755D3193"/>
    <w:rsid w:val="755D54FC"/>
    <w:rsid w:val="755D6D4B"/>
    <w:rsid w:val="755E4EFA"/>
    <w:rsid w:val="755F4D3F"/>
    <w:rsid w:val="755F5957"/>
    <w:rsid w:val="755F5BFA"/>
    <w:rsid w:val="755F5CAE"/>
    <w:rsid w:val="755F6BE3"/>
    <w:rsid w:val="75610B49"/>
    <w:rsid w:val="75611408"/>
    <w:rsid w:val="7561323F"/>
    <w:rsid w:val="75614FED"/>
    <w:rsid w:val="75616D72"/>
    <w:rsid w:val="75616D9B"/>
    <w:rsid w:val="75621289"/>
    <w:rsid w:val="75622B13"/>
    <w:rsid w:val="75622BA9"/>
    <w:rsid w:val="75623BD8"/>
    <w:rsid w:val="75624811"/>
    <w:rsid w:val="756248C1"/>
    <w:rsid w:val="75624F18"/>
    <w:rsid w:val="7562676A"/>
    <w:rsid w:val="75627406"/>
    <w:rsid w:val="75627947"/>
    <w:rsid w:val="75630D65"/>
    <w:rsid w:val="7563305D"/>
    <w:rsid w:val="75635FA7"/>
    <w:rsid w:val="75640639"/>
    <w:rsid w:val="75641B34"/>
    <w:rsid w:val="75642008"/>
    <w:rsid w:val="75642168"/>
    <w:rsid w:val="75644ADD"/>
    <w:rsid w:val="75644D84"/>
    <w:rsid w:val="75645889"/>
    <w:rsid w:val="7564688B"/>
    <w:rsid w:val="756475BD"/>
    <w:rsid w:val="756556EE"/>
    <w:rsid w:val="75660971"/>
    <w:rsid w:val="756615D5"/>
    <w:rsid w:val="75663B9A"/>
    <w:rsid w:val="75664928"/>
    <w:rsid w:val="756661A9"/>
    <w:rsid w:val="75671722"/>
    <w:rsid w:val="75671EB5"/>
    <w:rsid w:val="75671ED7"/>
    <w:rsid w:val="7567229A"/>
    <w:rsid w:val="75680129"/>
    <w:rsid w:val="756819EF"/>
    <w:rsid w:val="75681AC5"/>
    <w:rsid w:val="756845CD"/>
    <w:rsid w:val="75686583"/>
    <w:rsid w:val="756920F3"/>
    <w:rsid w:val="7569258E"/>
    <w:rsid w:val="756932A9"/>
    <w:rsid w:val="75693EA1"/>
    <w:rsid w:val="75696657"/>
    <w:rsid w:val="75696978"/>
    <w:rsid w:val="756A4B5E"/>
    <w:rsid w:val="756A77A7"/>
    <w:rsid w:val="756B19C7"/>
    <w:rsid w:val="756B2BB7"/>
    <w:rsid w:val="756B730A"/>
    <w:rsid w:val="756B773E"/>
    <w:rsid w:val="756C079A"/>
    <w:rsid w:val="756C13CF"/>
    <w:rsid w:val="756C3C36"/>
    <w:rsid w:val="756C3F48"/>
    <w:rsid w:val="756C62EB"/>
    <w:rsid w:val="756D154D"/>
    <w:rsid w:val="756D5BCA"/>
    <w:rsid w:val="756E3266"/>
    <w:rsid w:val="756E58DA"/>
    <w:rsid w:val="756E770A"/>
    <w:rsid w:val="75701566"/>
    <w:rsid w:val="75703482"/>
    <w:rsid w:val="75706C8C"/>
    <w:rsid w:val="75706FDE"/>
    <w:rsid w:val="75711491"/>
    <w:rsid w:val="75711A3B"/>
    <w:rsid w:val="75720FA8"/>
    <w:rsid w:val="757212AF"/>
    <w:rsid w:val="75721B90"/>
    <w:rsid w:val="75722BFB"/>
    <w:rsid w:val="75722D56"/>
    <w:rsid w:val="75722DB1"/>
    <w:rsid w:val="75734190"/>
    <w:rsid w:val="75735A9C"/>
    <w:rsid w:val="757375B0"/>
    <w:rsid w:val="757403BC"/>
    <w:rsid w:val="75740D36"/>
    <w:rsid w:val="75742F72"/>
    <w:rsid w:val="75745CF9"/>
    <w:rsid w:val="75750A98"/>
    <w:rsid w:val="757514DF"/>
    <w:rsid w:val="75752800"/>
    <w:rsid w:val="757545F4"/>
    <w:rsid w:val="75755B80"/>
    <w:rsid w:val="75756976"/>
    <w:rsid w:val="757765BE"/>
    <w:rsid w:val="757765F2"/>
    <w:rsid w:val="7578272B"/>
    <w:rsid w:val="757829E1"/>
    <w:rsid w:val="757840E4"/>
    <w:rsid w:val="757858B3"/>
    <w:rsid w:val="75790588"/>
    <w:rsid w:val="75792336"/>
    <w:rsid w:val="757A0429"/>
    <w:rsid w:val="757A04C8"/>
    <w:rsid w:val="757A1C0A"/>
    <w:rsid w:val="757A39A5"/>
    <w:rsid w:val="757A4300"/>
    <w:rsid w:val="757A4F5A"/>
    <w:rsid w:val="757A60AE"/>
    <w:rsid w:val="757A6153"/>
    <w:rsid w:val="757A6D52"/>
    <w:rsid w:val="757B007E"/>
    <w:rsid w:val="757B3C14"/>
    <w:rsid w:val="757B6DFF"/>
    <w:rsid w:val="757C028F"/>
    <w:rsid w:val="757C0746"/>
    <w:rsid w:val="757C1A61"/>
    <w:rsid w:val="757C5804"/>
    <w:rsid w:val="757C5983"/>
    <w:rsid w:val="757D16FB"/>
    <w:rsid w:val="757D539F"/>
    <w:rsid w:val="757E526A"/>
    <w:rsid w:val="757E6715"/>
    <w:rsid w:val="757F3A79"/>
    <w:rsid w:val="757F3AFB"/>
    <w:rsid w:val="757F4DAC"/>
    <w:rsid w:val="757F6C10"/>
    <w:rsid w:val="757F6C9C"/>
    <w:rsid w:val="757F6D15"/>
    <w:rsid w:val="758000A0"/>
    <w:rsid w:val="75803660"/>
    <w:rsid w:val="75807459"/>
    <w:rsid w:val="75807D03"/>
    <w:rsid w:val="758111EB"/>
    <w:rsid w:val="75812C71"/>
    <w:rsid w:val="75816038"/>
    <w:rsid w:val="75816872"/>
    <w:rsid w:val="7581743D"/>
    <w:rsid w:val="75822BBB"/>
    <w:rsid w:val="758232E5"/>
    <w:rsid w:val="75826D11"/>
    <w:rsid w:val="7582764E"/>
    <w:rsid w:val="758279F3"/>
    <w:rsid w:val="75842EC1"/>
    <w:rsid w:val="75843A14"/>
    <w:rsid w:val="75847DB4"/>
    <w:rsid w:val="75851F66"/>
    <w:rsid w:val="758650CA"/>
    <w:rsid w:val="75865120"/>
    <w:rsid w:val="75866801"/>
    <w:rsid w:val="75870520"/>
    <w:rsid w:val="75874D60"/>
    <w:rsid w:val="75876249"/>
    <w:rsid w:val="75877499"/>
    <w:rsid w:val="75880E08"/>
    <w:rsid w:val="75881364"/>
    <w:rsid w:val="75883048"/>
    <w:rsid w:val="7588678A"/>
    <w:rsid w:val="75886E0C"/>
    <w:rsid w:val="7589009F"/>
    <w:rsid w:val="75890954"/>
    <w:rsid w:val="758919A7"/>
    <w:rsid w:val="75893BAF"/>
    <w:rsid w:val="75894543"/>
    <w:rsid w:val="758954EF"/>
    <w:rsid w:val="758A3D23"/>
    <w:rsid w:val="758A718D"/>
    <w:rsid w:val="758B02BC"/>
    <w:rsid w:val="758B206A"/>
    <w:rsid w:val="758B68F4"/>
    <w:rsid w:val="758B7F6C"/>
    <w:rsid w:val="758C0FF3"/>
    <w:rsid w:val="758C1355"/>
    <w:rsid w:val="758C5322"/>
    <w:rsid w:val="758C6643"/>
    <w:rsid w:val="758D02AB"/>
    <w:rsid w:val="758D10AA"/>
    <w:rsid w:val="758D2A0B"/>
    <w:rsid w:val="758D4B0A"/>
    <w:rsid w:val="758D5DE2"/>
    <w:rsid w:val="758D6444"/>
    <w:rsid w:val="758D76A1"/>
    <w:rsid w:val="758D7B90"/>
    <w:rsid w:val="758E06B1"/>
    <w:rsid w:val="758E06B8"/>
    <w:rsid w:val="758E2CCD"/>
    <w:rsid w:val="758E3586"/>
    <w:rsid w:val="758E3908"/>
    <w:rsid w:val="758E56B6"/>
    <w:rsid w:val="758E7F20"/>
    <w:rsid w:val="758F0C8C"/>
    <w:rsid w:val="758F5960"/>
    <w:rsid w:val="758F5D47"/>
    <w:rsid w:val="758F6635"/>
    <w:rsid w:val="758F784A"/>
    <w:rsid w:val="759011CE"/>
    <w:rsid w:val="75902EDA"/>
    <w:rsid w:val="75903A68"/>
    <w:rsid w:val="75905ACB"/>
    <w:rsid w:val="75907250"/>
    <w:rsid w:val="75913BF6"/>
    <w:rsid w:val="7591430D"/>
    <w:rsid w:val="759159B6"/>
    <w:rsid w:val="7592164A"/>
    <w:rsid w:val="75921E95"/>
    <w:rsid w:val="759221CE"/>
    <w:rsid w:val="759251A6"/>
    <w:rsid w:val="75925452"/>
    <w:rsid w:val="75930FD6"/>
    <w:rsid w:val="75932CCC"/>
    <w:rsid w:val="75935272"/>
    <w:rsid w:val="75936EF0"/>
    <w:rsid w:val="75937D45"/>
    <w:rsid w:val="75946424"/>
    <w:rsid w:val="75946BED"/>
    <w:rsid w:val="7595133F"/>
    <w:rsid w:val="75952BC5"/>
    <w:rsid w:val="75952EE8"/>
    <w:rsid w:val="75954C96"/>
    <w:rsid w:val="75955F03"/>
    <w:rsid w:val="759579C4"/>
    <w:rsid w:val="75963A07"/>
    <w:rsid w:val="75964ED9"/>
    <w:rsid w:val="75970A0E"/>
    <w:rsid w:val="7597492D"/>
    <w:rsid w:val="75974981"/>
    <w:rsid w:val="75976C60"/>
    <w:rsid w:val="75986535"/>
    <w:rsid w:val="75986EB1"/>
    <w:rsid w:val="759A04FF"/>
    <w:rsid w:val="759A4BC5"/>
    <w:rsid w:val="759B4CA8"/>
    <w:rsid w:val="759C014B"/>
    <w:rsid w:val="759C256E"/>
    <w:rsid w:val="759C5D3B"/>
    <w:rsid w:val="759C6138"/>
    <w:rsid w:val="759C6172"/>
    <w:rsid w:val="759C64ED"/>
    <w:rsid w:val="759D20DD"/>
    <w:rsid w:val="759D2392"/>
    <w:rsid w:val="759D7CDB"/>
    <w:rsid w:val="759E1430"/>
    <w:rsid w:val="759E3B4B"/>
    <w:rsid w:val="759E7FEF"/>
    <w:rsid w:val="759F78C3"/>
    <w:rsid w:val="75A02E0D"/>
    <w:rsid w:val="75A03D67"/>
    <w:rsid w:val="75A1188D"/>
    <w:rsid w:val="75A13DFE"/>
    <w:rsid w:val="75A13F27"/>
    <w:rsid w:val="75A153E9"/>
    <w:rsid w:val="75A21147"/>
    <w:rsid w:val="75A21FAA"/>
    <w:rsid w:val="75A23867"/>
    <w:rsid w:val="75A2456D"/>
    <w:rsid w:val="75A24B7B"/>
    <w:rsid w:val="75A24D93"/>
    <w:rsid w:val="75A26D12"/>
    <w:rsid w:val="75A30BB1"/>
    <w:rsid w:val="75A32E71"/>
    <w:rsid w:val="75A341F2"/>
    <w:rsid w:val="75A35605"/>
    <w:rsid w:val="75A370BA"/>
    <w:rsid w:val="75A4312B"/>
    <w:rsid w:val="75A44ED9"/>
    <w:rsid w:val="75A5137D"/>
    <w:rsid w:val="75A515FF"/>
    <w:rsid w:val="75A519C0"/>
    <w:rsid w:val="75A52BE4"/>
    <w:rsid w:val="75A5485D"/>
    <w:rsid w:val="75A54CD6"/>
    <w:rsid w:val="75A54E5C"/>
    <w:rsid w:val="75A56925"/>
    <w:rsid w:val="75A57354"/>
    <w:rsid w:val="75A60C51"/>
    <w:rsid w:val="75A650F5"/>
    <w:rsid w:val="75A66EA3"/>
    <w:rsid w:val="75A70A12"/>
    <w:rsid w:val="75A7207F"/>
    <w:rsid w:val="75A725A6"/>
    <w:rsid w:val="75A736A5"/>
    <w:rsid w:val="75A7498C"/>
    <w:rsid w:val="75A760AB"/>
    <w:rsid w:val="75A822C8"/>
    <w:rsid w:val="75A82C1C"/>
    <w:rsid w:val="75A8328C"/>
    <w:rsid w:val="75A849CA"/>
    <w:rsid w:val="75A872AC"/>
    <w:rsid w:val="75A90999"/>
    <w:rsid w:val="75A924F0"/>
    <w:rsid w:val="75A93CE4"/>
    <w:rsid w:val="75A966F2"/>
    <w:rsid w:val="75A97711"/>
    <w:rsid w:val="75A97CB6"/>
    <w:rsid w:val="75AA2CBD"/>
    <w:rsid w:val="75AA7EA4"/>
    <w:rsid w:val="75AB270C"/>
    <w:rsid w:val="75AB6147"/>
    <w:rsid w:val="75AB6C03"/>
    <w:rsid w:val="75AB743D"/>
    <w:rsid w:val="75AC07FE"/>
    <w:rsid w:val="75AC3360"/>
    <w:rsid w:val="75AC3C0D"/>
    <w:rsid w:val="75AC5345"/>
    <w:rsid w:val="75AD002E"/>
    <w:rsid w:val="75AD0232"/>
    <w:rsid w:val="75AD1FE0"/>
    <w:rsid w:val="75AD3016"/>
    <w:rsid w:val="75AD5370"/>
    <w:rsid w:val="75AD5D99"/>
    <w:rsid w:val="75AD5F61"/>
    <w:rsid w:val="75AD6516"/>
    <w:rsid w:val="75AE25D4"/>
    <w:rsid w:val="75AE5276"/>
    <w:rsid w:val="75AE527D"/>
    <w:rsid w:val="75AE65F2"/>
    <w:rsid w:val="75AE7B06"/>
    <w:rsid w:val="75AF3FAA"/>
    <w:rsid w:val="75AF5D58"/>
    <w:rsid w:val="75B01353"/>
    <w:rsid w:val="75B03708"/>
    <w:rsid w:val="75B0387E"/>
    <w:rsid w:val="75B07D22"/>
    <w:rsid w:val="75B1060F"/>
    <w:rsid w:val="75B172CA"/>
    <w:rsid w:val="75B204AD"/>
    <w:rsid w:val="75B20845"/>
    <w:rsid w:val="75B22378"/>
    <w:rsid w:val="75B24D34"/>
    <w:rsid w:val="75B25848"/>
    <w:rsid w:val="75B25DE5"/>
    <w:rsid w:val="75B25EBF"/>
    <w:rsid w:val="75B275F6"/>
    <w:rsid w:val="75B32F2F"/>
    <w:rsid w:val="75B3511C"/>
    <w:rsid w:val="75B413E2"/>
    <w:rsid w:val="75B42730"/>
    <w:rsid w:val="75B4336E"/>
    <w:rsid w:val="75B442F5"/>
    <w:rsid w:val="75B44BDD"/>
    <w:rsid w:val="75B45749"/>
    <w:rsid w:val="75B51F34"/>
    <w:rsid w:val="75B570E6"/>
    <w:rsid w:val="75B570FA"/>
    <w:rsid w:val="75B618B0"/>
    <w:rsid w:val="75B62E18"/>
    <w:rsid w:val="75B66035"/>
    <w:rsid w:val="75B710B1"/>
    <w:rsid w:val="75B71CEF"/>
    <w:rsid w:val="75B72E5F"/>
    <w:rsid w:val="75B740FC"/>
    <w:rsid w:val="75B743DF"/>
    <w:rsid w:val="75B74C0D"/>
    <w:rsid w:val="75B75197"/>
    <w:rsid w:val="75B75911"/>
    <w:rsid w:val="75B769B0"/>
    <w:rsid w:val="75B80545"/>
    <w:rsid w:val="75B90985"/>
    <w:rsid w:val="75B91D7B"/>
    <w:rsid w:val="75B92CAD"/>
    <w:rsid w:val="75B94A68"/>
    <w:rsid w:val="75B94E29"/>
    <w:rsid w:val="75B9501B"/>
    <w:rsid w:val="75B96BD7"/>
    <w:rsid w:val="75BA231B"/>
    <w:rsid w:val="75BA294F"/>
    <w:rsid w:val="75BA64AB"/>
    <w:rsid w:val="75BB01DE"/>
    <w:rsid w:val="75BB0840"/>
    <w:rsid w:val="75BB0B9C"/>
    <w:rsid w:val="75BB0D7A"/>
    <w:rsid w:val="75BB37E4"/>
    <w:rsid w:val="75BB65EE"/>
    <w:rsid w:val="75BB74C6"/>
    <w:rsid w:val="75BB77A5"/>
    <w:rsid w:val="75BC42B9"/>
    <w:rsid w:val="75BC5723"/>
    <w:rsid w:val="75BC66C7"/>
    <w:rsid w:val="75BC7E02"/>
    <w:rsid w:val="75BD1783"/>
    <w:rsid w:val="75BE1D21"/>
    <w:rsid w:val="75BE41ED"/>
    <w:rsid w:val="75BE5F9B"/>
    <w:rsid w:val="75BE65C0"/>
    <w:rsid w:val="75BF2429"/>
    <w:rsid w:val="75BF31D5"/>
    <w:rsid w:val="75BF3AC1"/>
    <w:rsid w:val="75BF574A"/>
    <w:rsid w:val="75BF5EDF"/>
    <w:rsid w:val="75BF7F65"/>
    <w:rsid w:val="75C05415"/>
    <w:rsid w:val="75C07A71"/>
    <w:rsid w:val="75C114BC"/>
    <w:rsid w:val="75C1274F"/>
    <w:rsid w:val="75C1389B"/>
    <w:rsid w:val="75C20B83"/>
    <w:rsid w:val="75C21594"/>
    <w:rsid w:val="75C225E1"/>
    <w:rsid w:val="75C27978"/>
    <w:rsid w:val="75C32BA4"/>
    <w:rsid w:val="75C335B1"/>
    <w:rsid w:val="75C337A5"/>
    <w:rsid w:val="75C37A55"/>
    <w:rsid w:val="75C40380"/>
    <w:rsid w:val="75C44F28"/>
    <w:rsid w:val="75C5212B"/>
    <w:rsid w:val="75C537CD"/>
    <w:rsid w:val="75C55B35"/>
    <w:rsid w:val="75C64E50"/>
    <w:rsid w:val="75C65976"/>
    <w:rsid w:val="75C6620F"/>
    <w:rsid w:val="75C72835"/>
    <w:rsid w:val="75C73C2E"/>
    <w:rsid w:val="75C777FE"/>
    <w:rsid w:val="75C80561"/>
    <w:rsid w:val="75C83F05"/>
    <w:rsid w:val="75C8506C"/>
    <w:rsid w:val="75C86896"/>
    <w:rsid w:val="75C918F5"/>
    <w:rsid w:val="75C934A8"/>
    <w:rsid w:val="75C93BAE"/>
    <w:rsid w:val="75C96E16"/>
    <w:rsid w:val="75CB2646"/>
    <w:rsid w:val="75CB2BAE"/>
    <w:rsid w:val="75CB5D17"/>
    <w:rsid w:val="75CB62F8"/>
    <w:rsid w:val="75CB690A"/>
    <w:rsid w:val="75CB699B"/>
    <w:rsid w:val="75CC1383"/>
    <w:rsid w:val="75CC22D1"/>
    <w:rsid w:val="75CC4ABD"/>
    <w:rsid w:val="75CD2682"/>
    <w:rsid w:val="75CD365C"/>
    <w:rsid w:val="75CD39BD"/>
    <w:rsid w:val="75CD61DE"/>
    <w:rsid w:val="75CD6C5C"/>
    <w:rsid w:val="75CD7E1F"/>
    <w:rsid w:val="75CE2708"/>
    <w:rsid w:val="75CE2E3D"/>
    <w:rsid w:val="75CE7475"/>
    <w:rsid w:val="75CF01A8"/>
    <w:rsid w:val="75CF25A0"/>
    <w:rsid w:val="75CF63FA"/>
    <w:rsid w:val="75CF6455"/>
    <w:rsid w:val="75CF7221"/>
    <w:rsid w:val="75CF7897"/>
    <w:rsid w:val="75D02172"/>
    <w:rsid w:val="75D03F20"/>
    <w:rsid w:val="75D05CCE"/>
    <w:rsid w:val="75D145FA"/>
    <w:rsid w:val="75D15B03"/>
    <w:rsid w:val="75D164B8"/>
    <w:rsid w:val="75D21A46"/>
    <w:rsid w:val="75D21BC6"/>
    <w:rsid w:val="75D237F5"/>
    <w:rsid w:val="75D25EEA"/>
    <w:rsid w:val="75D2632D"/>
    <w:rsid w:val="75D27C98"/>
    <w:rsid w:val="75D306BC"/>
    <w:rsid w:val="75D307FB"/>
    <w:rsid w:val="75D30E1D"/>
    <w:rsid w:val="75D3261B"/>
    <w:rsid w:val="75D3345E"/>
    <w:rsid w:val="75D33591"/>
    <w:rsid w:val="75D35E9C"/>
    <w:rsid w:val="75D361E5"/>
    <w:rsid w:val="75D457BF"/>
    <w:rsid w:val="75D47084"/>
    <w:rsid w:val="75D4756D"/>
    <w:rsid w:val="75D51537"/>
    <w:rsid w:val="75D532E5"/>
    <w:rsid w:val="75D5514C"/>
    <w:rsid w:val="75D573D4"/>
    <w:rsid w:val="75D57408"/>
    <w:rsid w:val="75D57A5A"/>
    <w:rsid w:val="75D60D99"/>
    <w:rsid w:val="75D63A95"/>
    <w:rsid w:val="75D67759"/>
    <w:rsid w:val="75D67789"/>
    <w:rsid w:val="75D67E8E"/>
    <w:rsid w:val="75D73501"/>
    <w:rsid w:val="75D76153"/>
    <w:rsid w:val="75D77708"/>
    <w:rsid w:val="75D837BA"/>
    <w:rsid w:val="75D85240"/>
    <w:rsid w:val="75D92479"/>
    <w:rsid w:val="75D92DD5"/>
    <w:rsid w:val="75D94865"/>
    <w:rsid w:val="75D95FA8"/>
    <w:rsid w:val="75D97BA7"/>
    <w:rsid w:val="75DA6B4D"/>
    <w:rsid w:val="75DB4D9F"/>
    <w:rsid w:val="75DB61A0"/>
    <w:rsid w:val="75DB6ECD"/>
    <w:rsid w:val="75DC0B17"/>
    <w:rsid w:val="75DC1C27"/>
    <w:rsid w:val="75DC28C5"/>
    <w:rsid w:val="75DC4673"/>
    <w:rsid w:val="75DC697D"/>
    <w:rsid w:val="75DD4091"/>
    <w:rsid w:val="75DD459D"/>
    <w:rsid w:val="75DD4A5B"/>
    <w:rsid w:val="75DD619C"/>
    <w:rsid w:val="75DD6BAB"/>
    <w:rsid w:val="75DD7D9A"/>
    <w:rsid w:val="75DE0ABC"/>
    <w:rsid w:val="75DE0FC6"/>
    <w:rsid w:val="75DE488F"/>
    <w:rsid w:val="75DE706E"/>
    <w:rsid w:val="75DF1EF8"/>
    <w:rsid w:val="75DF3D26"/>
    <w:rsid w:val="75DF3E08"/>
    <w:rsid w:val="75DF3E53"/>
    <w:rsid w:val="75DF49E0"/>
    <w:rsid w:val="75DF4D94"/>
    <w:rsid w:val="75DF5F11"/>
    <w:rsid w:val="75E02492"/>
    <w:rsid w:val="75E02830"/>
    <w:rsid w:val="75E03C3F"/>
    <w:rsid w:val="75E06517"/>
    <w:rsid w:val="75E1159B"/>
    <w:rsid w:val="75E11C8A"/>
    <w:rsid w:val="75E135C6"/>
    <w:rsid w:val="75E14CE9"/>
    <w:rsid w:val="75E200B7"/>
    <w:rsid w:val="75E20BB8"/>
    <w:rsid w:val="75E23A14"/>
    <w:rsid w:val="75E26031"/>
    <w:rsid w:val="75E27656"/>
    <w:rsid w:val="75E31EA6"/>
    <w:rsid w:val="75E357F9"/>
    <w:rsid w:val="75E35A02"/>
    <w:rsid w:val="75E37E6A"/>
    <w:rsid w:val="75E4177A"/>
    <w:rsid w:val="75E429C1"/>
    <w:rsid w:val="75E42D00"/>
    <w:rsid w:val="75E43528"/>
    <w:rsid w:val="75E50F67"/>
    <w:rsid w:val="75E51AE3"/>
    <w:rsid w:val="75E55C1E"/>
    <w:rsid w:val="75E579CC"/>
    <w:rsid w:val="75E60478"/>
    <w:rsid w:val="75E62225"/>
    <w:rsid w:val="75E654F2"/>
    <w:rsid w:val="75E65D37"/>
    <w:rsid w:val="75E663D6"/>
    <w:rsid w:val="75E727E6"/>
    <w:rsid w:val="75E738CF"/>
    <w:rsid w:val="75E769CD"/>
    <w:rsid w:val="75E8126A"/>
    <w:rsid w:val="75E81A36"/>
    <w:rsid w:val="75E82F78"/>
    <w:rsid w:val="75E83018"/>
    <w:rsid w:val="75E849A4"/>
    <w:rsid w:val="75E869E8"/>
    <w:rsid w:val="75E874BC"/>
    <w:rsid w:val="75E912BD"/>
    <w:rsid w:val="75E931D8"/>
    <w:rsid w:val="75E95587"/>
    <w:rsid w:val="75EA3234"/>
    <w:rsid w:val="75EA4FE2"/>
    <w:rsid w:val="75EA6980"/>
    <w:rsid w:val="75EA698A"/>
    <w:rsid w:val="75EA6D90"/>
    <w:rsid w:val="75EB0D5A"/>
    <w:rsid w:val="75EB238D"/>
    <w:rsid w:val="75EB2B08"/>
    <w:rsid w:val="75EB5205"/>
    <w:rsid w:val="75EB600B"/>
    <w:rsid w:val="75EB6FFD"/>
    <w:rsid w:val="75EC30C0"/>
    <w:rsid w:val="75EC5498"/>
    <w:rsid w:val="75ED05D6"/>
    <w:rsid w:val="75ED4AD2"/>
    <w:rsid w:val="75ED6880"/>
    <w:rsid w:val="75EE3B8D"/>
    <w:rsid w:val="75EF018D"/>
    <w:rsid w:val="75EF25F8"/>
    <w:rsid w:val="75EF43A6"/>
    <w:rsid w:val="75EF4BAF"/>
    <w:rsid w:val="75EF5D0E"/>
    <w:rsid w:val="75EF70DC"/>
    <w:rsid w:val="75F0011F"/>
    <w:rsid w:val="75F04612"/>
    <w:rsid w:val="75F145C2"/>
    <w:rsid w:val="75F157D6"/>
    <w:rsid w:val="75F15F5E"/>
    <w:rsid w:val="75F1685F"/>
    <w:rsid w:val="75F23E97"/>
    <w:rsid w:val="75F25C45"/>
    <w:rsid w:val="75F34DDF"/>
    <w:rsid w:val="75F4055B"/>
    <w:rsid w:val="75F406CA"/>
    <w:rsid w:val="75F40A5D"/>
    <w:rsid w:val="75F44A98"/>
    <w:rsid w:val="75F51CF6"/>
    <w:rsid w:val="75F52CE2"/>
    <w:rsid w:val="75F55735"/>
    <w:rsid w:val="75F6437C"/>
    <w:rsid w:val="75F65680"/>
    <w:rsid w:val="75F65746"/>
    <w:rsid w:val="75F66D26"/>
    <w:rsid w:val="75F714AD"/>
    <w:rsid w:val="75F75951"/>
    <w:rsid w:val="75F776FF"/>
    <w:rsid w:val="75F825B3"/>
    <w:rsid w:val="75F84234"/>
    <w:rsid w:val="75F92AF3"/>
    <w:rsid w:val="75F94D56"/>
    <w:rsid w:val="75F95225"/>
    <w:rsid w:val="75F956C4"/>
    <w:rsid w:val="75F97A40"/>
    <w:rsid w:val="75FA095D"/>
    <w:rsid w:val="75FA2D4B"/>
    <w:rsid w:val="75FA2FD8"/>
    <w:rsid w:val="75FA37A2"/>
    <w:rsid w:val="75FA45D4"/>
    <w:rsid w:val="75FA56F7"/>
    <w:rsid w:val="75FA6207"/>
    <w:rsid w:val="75FA6711"/>
    <w:rsid w:val="75FB1725"/>
    <w:rsid w:val="75FB51A1"/>
    <w:rsid w:val="75FB6CE2"/>
    <w:rsid w:val="75FB71EF"/>
    <w:rsid w:val="75FB76C6"/>
    <w:rsid w:val="75FB77D2"/>
    <w:rsid w:val="75FC08AA"/>
    <w:rsid w:val="75FC0D15"/>
    <w:rsid w:val="75FC211A"/>
    <w:rsid w:val="75FC40E1"/>
    <w:rsid w:val="75FC4735"/>
    <w:rsid w:val="75FC6AC3"/>
    <w:rsid w:val="75FC7C3B"/>
    <w:rsid w:val="75FD0801"/>
    <w:rsid w:val="75FD17C6"/>
    <w:rsid w:val="75FD7567"/>
    <w:rsid w:val="75FE25CB"/>
    <w:rsid w:val="75FE2666"/>
    <w:rsid w:val="75FE45EA"/>
    <w:rsid w:val="75FE50E4"/>
    <w:rsid w:val="75FE53CA"/>
    <w:rsid w:val="75FE6CDF"/>
    <w:rsid w:val="75FE728D"/>
    <w:rsid w:val="75FF0362"/>
    <w:rsid w:val="75FF0A4C"/>
    <w:rsid w:val="75FF14BE"/>
    <w:rsid w:val="75FF2649"/>
    <w:rsid w:val="75FF4746"/>
    <w:rsid w:val="75FF4F04"/>
    <w:rsid w:val="75FF5423"/>
    <w:rsid w:val="760017AD"/>
    <w:rsid w:val="76004806"/>
    <w:rsid w:val="76004A0E"/>
    <w:rsid w:val="760065B4"/>
    <w:rsid w:val="76007805"/>
    <w:rsid w:val="7601057E"/>
    <w:rsid w:val="760112E1"/>
    <w:rsid w:val="760140DA"/>
    <w:rsid w:val="76015D45"/>
    <w:rsid w:val="76016040"/>
    <w:rsid w:val="76027D14"/>
    <w:rsid w:val="760327D0"/>
    <w:rsid w:val="76034C34"/>
    <w:rsid w:val="76035799"/>
    <w:rsid w:val="76037356"/>
    <w:rsid w:val="76037E52"/>
    <w:rsid w:val="76041198"/>
    <w:rsid w:val="76041851"/>
    <w:rsid w:val="76041A24"/>
    <w:rsid w:val="7604734F"/>
    <w:rsid w:val="76050C77"/>
    <w:rsid w:val="76051268"/>
    <w:rsid w:val="76055A39"/>
    <w:rsid w:val="760616F0"/>
    <w:rsid w:val="76067942"/>
    <w:rsid w:val="76072520"/>
    <w:rsid w:val="76080D97"/>
    <w:rsid w:val="76080F02"/>
    <w:rsid w:val="76085468"/>
    <w:rsid w:val="76085C78"/>
    <w:rsid w:val="76086253"/>
    <w:rsid w:val="760909D7"/>
    <w:rsid w:val="76091A72"/>
    <w:rsid w:val="76095C9E"/>
    <w:rsid w:val="760A030B"/>
    <w:rsid w:val="760A0EAA"/>
    <w:rsid w:val="760A11E0"/>
    <w:rsid w:val="760A34CD"/>
    <w:rsid w:val="760A5684"/>
    <w:rsid w:val="760B334B"/>
    <w:rsid w:val="760B3389"/>
    <w:rsid w:val="760B452D"/>
    <w:rsid w:val="760B4F58"/>
    <w:rsid w:val="760B6511"/>
    <w:rsid w:val="760B721A"/>
    <w:rsid w:val="760B72BC"/>
    <w:rsid w:val="760C229D"/>
    <w:rsid w:val="760D044B"/>
    <w:rsid w:val="760D1206"/>
    <w:rsid w:val="760D1E18"/>
    <w:rsid w:val="760D2A7F"/>
    <w:rsid w:val="760D3942"/>
    <w:rsid w:val="760D47E5"/>
    <w:rsid w:val="760E4964"/>
    <w:rsid w:val="760E77E5"/>
    <w:rsid w:val="760F0407"/>
    <w:rsid w:val="760F0E16"/>
    <w:rsid w:val="760F3594"/>
    <w:rsid w:val="760F40D7"/>
    <w:rsid w:val="760F4A49"/>
    <w:rsid w:val="760F67F7"/>
    <w:rsid w:val="760F705F"/>
    <w:rsid w:val="760F789E"/>
    <w:rsid w:val="7610256F"/>
    <w:rsid w:val="761050D9"/>
    <w:rsid w:val="761107C1"/>
    <w:rsid w:val="76116A13"/>
    <w:rsid w:val="76117735"/>
    <w:rsid w:val="76124539"/>
    <w:rsid w:val="7612456C"/>
    <w:rsid w:val="76124BFD"/>
    <w:rsid w:val="761262E7"/>
    <w:rsid w:val="761266D4"/>
    <w:rsid w:val="761279AC"/>
    <w:rsid w:val="7613150A"/>
    <w:rsid w:val="7613174C"/>
    <w:rsid w:val="76133483"/>
    <w:rsid w:val="76135A14"/>
    <w:rsid w:val="76136A98"/>
    <w:rsid w:val="761402B1"/>
    <w:rsid w:val="76143E0D"/>
    <w:rsid w:val="76143F19"/>
    <w:rsid w:val="76144DAE"/>
    <w:rsid w:val="76150899"/>
    <w:rsid w:val="76150A27"/>
    <w:rsid w:val="76156317"/>
    <w:rsid w:val="76157B85"/>
    <w:rsid w:val="761609FE"/>
    <w:rsid w:val="761620F6"/>
    <w:rsid w:val="761642AB"/>
    <w:rsid w:val="7616561F"/>
    <w:rsid w:val="76165A6A"/>
    <w:rsid w:val="761671D1"/>
    <w:rsid w:val="76170E62"/>
    <w:rsid w:val="761834CF"/>
    <w:rsid w:val="76184396"/>
    <w:rsid w:val="76186AF4"/>
    <w:rsid w:val="76191040"/>
    <w:rsid w:val="761910FD"/>
    <w:rsid w:val="76191423"/>
    <w:rsid w:val="76191F3F"/>
    <w:rsid w:val="76194D2B"/>
    <w:rsid w:val="76196ED6"/>
    <w:rsid w:val="76197675"/>
    <w:rsid w:val="76197CE7"/>
    <w:rsid w:val="761A2C44"/>
    <w:rsid w:val="761A3596"/>
    <w:rsid w:val="761A519B"/>
    <w:rsid w:val="761A7E93"/>
    <w:rsid w:val="761B0054"/>
    <w:rsid w:val="761B33ED"/>
    <w:rsid w:val="761B49FD"/>
    <w:rsid w:val="761B7C3A"/>
    <w:rsid w:val="761C0A5E"/>
    <w:rsid w:val="761C0F14"/>
    <w:rsid w:val="761C2F41"/>
    <w:rsid w:val="761C4CC0"/>
    <w:rsid w:val="761C679E"/>
    <w:rsid w:val="761D459A"/>
    <w:rsid w:val="761D53B8"/>
    <w:rsid w:val="761D65A0"/>
    <w:rsid w:val="761E0D87"/>
    <w:rsid w:val="761E2E2B"/>
    <w:rsid w:val="761E48DE"/>
    <w:rsid w:val="761E4ABF"/>
    <w:rsid w:val="761E4C8C"/>
    <w:rsid w:val="761E6A3A"/>
    <w:rsid w:val="761F189B"/>
    <w:rsid w:val="761F3701"/>
    <w:rsid w:val="761F6A4D"/>
    <w:rsid w:val="761F746D"/>
    <w:rsid w:val="76200831"/>
    <w:rsid w:val="7620086F"/>
    <w:rsid w:val="76200A04"/>
    <w:rsid w:val="7620250E"/>
    <w:rsid w:val="762045BE"/>
    <w:rsid w:val="76206D49"/>
    <w:rsid w:val="7620778A"/>
    <w:rsid w:val="7621563B"/>
    <w:rsid w:val="7621652A"/>
    <w:rsid w:val="76222D1A"/>
    <w:rsid w:val="76224C0E"/>
    <w:rsid w:val="76226B94"/>
    <w:rsid w:val="762302F4"/>
    <w:rsid w:val="762322A2"/>
    <w:rsid w:val="762324D9"/>
    <w:rsid w:val="762336D7"/>
    <w:rsid w:val="76234D22"/>
    <w:rsid w:val="76241ADB"/>
    <w:rsid w:val="76242DC7"/>
    <w:rsid w:val="7624655B"/>
    <w:rsid w:val="762471F0"/>
    <w:rsid w:val="762554EB"/>
    <w:rsid w:val="76256F02"/>
    <w:rsid w:val="76260918"/>
    <w:rsid w:val="76261D92"/>
    <w:rsid w:val="7626518E"/>
    <w:rsid w:val="76266555"/>
    <w:rsid w:val="76266986"/>
    <w:rsid w:val="76271520"/>
    <w:rsid w:val="76272C7C"/>
    <w:rsid w:val="76273C44"/>
    <w:rsid w:val="76277E2B"/>
    <w:rsid w:val="76277FE4"/>
    <w:rsid w:val="7628310A"/>
    <w:rsid w:val="76283D5C"/>
    <w:rsid w:val="76287001"/>
    <w:rsid w:val="762878B8"/>
    <w:rsid w:val="76291BD2"/>
    <w:rsid w:val="76292071"/>
    <w:rsid w:val="76292910"/>
    <w:rsid w:val="76292BD1"/>
    <w:rsid w:val="76296425"/>
    <w:rsid w:val="762A1882"/>
    <w:rsid w:val="762A33B1"/>
    <w:rsid w:val="762A5379"/>
    <w:rsid w:val="762A53DF"/>
    <w:rsid w:val="762A7AD4"/>
    <w:rsid w:val="762B1157"/>
    <w:rsid w:val="762B1A86"/>
    <w:rsid w:val="762B5549"/>
    <w:rsid w:val="762C0FBA"/>
    <w:rsid w:val="762C1173"/>
    <w:rsid w:val="762C2AEC"/>
    <w:rsid w:val="762C4795"/>
    <w:rsid w:val="762C52DE"/>
    <w:rsid w:val="762C55FB"/>
    <w:rsid w:val="762C5F00"/>
    <w:rsid w:val="762D19E3"/>
    <w:rsid w:val="762D3121"/>
    <w:rsid w:val="762D672F"/>
    <w:rsid w:val="762D7D05"/>
    <w:rsid w:val="762E42FD"/>
    <w:rsid w:val="762F0C47"/>
    <w:rsid w:val="762F15AC"/>
    <w:rsid w:val="762F1BD8"/>
    <w:rsid w:val="762F4303"/>
    <w:rsid w:val="762F5F64"/>
    <w:rsid w:val="762F632D"/>
    <w:rsid w:val="762F6E99"/>
    <w:rsid w:val="762F71BF"/>
    <w:rsid w:val="76303A95"/>
    <w:rsid w:val="763060EB"/>
    <w:rsid w:val="763117F4"/>
    <w:rsid w:val="76311FC7"/>
    <w:rsid w:val="76312A67"/>
    <w:rsid w:val="76312C11"/>
    <w:rsid w:val="76312EF6"/>
    <w:rsid w:val="763149BF"/>
    <w:rsid w:val="76322593"/>
    <w:rsid w:val="7632290E"/>
    <w:rsid w:val="763329FA"/>
    <w:rsid w:val="76333E9D"/>
    <w:rsid w:val="76334774"/>
    <w:rsid w:val="76336396"/>
    <w:rsid w:val="76340195"/>
    <w:rsid w:val="76342EA7"/>
    <w:rsid w:val="763444AF"/>
    <w:rsid w:val="7634625D"/>
    <w:rsid w:val="76346936"/>
    <w:rsid w:val="76346B56"/>
    <w:rsid w:val="76360227"/>
    <w:rsid w:val="76361FD5"/>
    <w:rsid w:val="76373D48"/>
    <w:rsid w:val="76373F9F"/>
    <w:rsid w:val="76375D4D"/>
    <w:rsid w:val="76377315"/>
    <w:rsid w:val="76377AFB"/>
    <w:rsid w:val="763823D0"/>
    <w:rsid w:val="76390B2D"/>
    <w:rsid w:val="76391AA6"/>
    <w:rsid w:val="76391AC6"/>
    <w:rsid w:val="7639203F"/>
    <w:rsid w:val="76392230"/>
    <w:rsid w:val="76393548"/>
    <w:rsid w:val="76393874"/>
    <w:rsid w:val="76397D18"/>
    <w:rsid w:val="763A188B"/>
    <w:rsid w:val="763A42E1"/>
    <w:rsid w:val="763B299B"/>
    <w:rsid w:val="763B3A90"/>
    <w:rsid w:val="763B6BB8"/>
    <w:rsid w:val="763B739C"/>
    <w:rsid w:val="763B75EC"/>
    <w:rsid w:val="763C0602"/>
    <w:rsid w:val="763C15B6"/>
    <w:rsid w:val="763C2917"/>
    <w:rsid w:val="763C3364"/>
    <w:rsid w:val="763C3ACB"/>
    <w:rsid w:val="763C6907"/>
    <w:rsid w:val="763D0E44"/>
    <w:rsid w:val="763D2BF5"/>
    <w:rsid w:val="763D4224"/>
    <w:rsid w:val="763D7808"/>
    <w:rsid w:val="763D7847"/>
    <w:rsid w:val="763E0776"/>
    <w:rsid w:val="763E09B9"/>
    <w:rsid w:val="763E1EEB"/>
    <w:rsid w:val="763E2DA1"/>
    <w:rsid w:val="763E532E"/>
    <w:rsid w:val="763E614C"/>
    <w:rsid w:val="763E70DC"/>
    <w:rsid w:val="763F09E6"/>
    <w:rsid w:val="763F21AA"/>
    <w:rsid w:val="764010A6"/>
    <w:rsid w:val="76404C02"/>
    <w:rsid w:val="76405288"/>
    <w:rsid w:val="764072C4"/>
    <w:rsid w:val="76407928"/>
    <w:rsid w:val="76407E59"/>
    <w:rsid w:val="76411AEA"/>
    <w:rsid w:val="76414738"/>
    <w:rsid w:val="764158CF"/>
    <w:rsid w:val="76421E9D"/>
    <w:rsid w:val="76422502"/>
    <w:rsid w:val="76424044"/>
    <w:rsid w:val="76427060"/>
    <w:rsid w:val="76427C07"/>
    <w:rsid w:val="764346F2"/>
    <w:rsid w:val="76437C52"/>
    <w:rsid w:val="76442A07"/>
    <w:rsid w:val="76442CCC"/>
    <w:rsid w:val="764455C0"/>
    <w:rsid w:val="7645046A"/>
    <w:rsid w:val="76452218"/>
    <w:rsid w:val="76456040"/>
    <w:rsid w:val="764566A8"/>
    <w:rsid w:val="76456FB3"/>
    <w:rsid w:val="76461005"/>
    <w:rsid w:val="76465F91"/>
    <w:rsid w:val="76466FD8"/>
    <w:rsid w:val="76472434"/>
    <w:rsid w:val="764741E2"/>
    <w:rsid w:val="7647515B"/>
    <w:rsid w:val="7647519E"/>
    <w:rsid w:val="76477A44"/>
    <w:rsid w:val="76481F50"/>
    <w:rsid w:val="7648752F"/>
    <w:rsid w:val="76487F5B"/>
    <w:rsid w:val="76495B07"/>
    <w:rsid w:val="764A2CDE"/>
    <w:rsid w:val="764B4563"/>
    <w:rsid w:val="764B4F6C"/>
    <w:rsid w:val="764B632B"/>
    <w:rsid w:val="764B64BB"/>
    <w:rsid w:val="764B6FD2"/>
    <w:rsid w:val="764C0272"/>
    <w:rsid w:val="764C5FBF"/>
    <w:rsid w:val="764C7A4B"/>
    <w:rsid w:val="764D37C3"/>
    <w:rsid w:val="764D45B9"/>
    <w:rsid w:val="764D5571"/>
    <w:rsid w:val="764E0923"/>
    <w:rsid w:val="764E1400"/>
    <w:rsid w:val="764E2556"/>
    <w:rsid w:val="764E2702"/>
    <w:rsid w:val="764E6755"/>
    <w:rsid w:val="764F12E9"/>
    <w:rsid w:val="764F3097"/>
    <w:rsid w:val="764F3DCD"/>
    <w:rsid w:val="764F43B0"/>
    <w:rsid w:val="764F57EC"/>
    <w:rsid w:val="764F64BE"/>
    <w:rsid w:val="764F6FBA"/>
    <w:rsid w:val="76503F74"/>
    <w:rsid w:val="76504D7D"/>
    <w:rsid w:val="76507295"/>
    <w:rsid w:val="765126F5"/>
    <w:rsid w:val="7651323E"/>
    <w:rsid w:val="76524935"/>
    <w:rsid w:val="76532FF5"/>
    <w:rsid w:val="765336FE"/>
    <w:rsid w:val="765406AD"/>
    <w:rsid w:val="76542858"/>
    <w:rsid w:val="76544B51"/>
    <w:rsid w:val="765468FF"/>
    <w:rsid w:val="7654775F"/>
    <w:rsid w:val="76554E3A"/>
    <w:rsid w:val="765565DF"/>
    <w:rsid w:val="765577B6"/>
    <w:rsid w:val="765606D8"/>
    <w:rsid w:val="76562E9B"/>
    <w:rsid w:val="7656362A"/>
    <w:rsid w:val="76564426"/>
    <w:rsid w:val="765661D4"/>
    <w:rsid w:val="76567929"/>
    <w:rsid w:val="765701E8"/>
    <w:rsid w:val="7657031B"/>
    <w:rsid w:val="76571AE0"/>
    <w:rsid w:val="76571F4C"/>
    <w:rsid w:val="765733DC"/>
    <w:rsid w:val="76574433"/>
    <w:rsid w:val="76581700"/>
    <w:rsid w:val="765847E6"/>
    <w:rsid w:val="765860E0"/>
    <w:rsid w:val="765863F0"/>
    <w:rsid w:val="765866C1"/>
    <w:rsid w:val="765879F4"/>
    <w:rsid w:val="76587A24"/>
    <w:rsid w:val="7659099E"/>
    <w:rsid w:val="76592168"/>
    <w:rsid w:val="76593F16"/>
    <w:rsid w:val="76595CC4"/>
    <w:rsid w:val="76596E0C"/>
    <w:rsid w:val="765A00C6"/>
    <w:rsid w:val="765B1A3C"/>
    <w:rsid w:val="765B1E90"/>
    <w:rsid w:val="765B265C"/>
    <w:rsid w:val="765B5EE0"/>
    <w:rsid w:val="765B6218"/>
    <w:rsid w:val="765B6421"/>
    <w:rsid w:val="765B7C8E"/>
    <w:rsid w:val="765C4E81"/>
    <w:rsid w:val="765C7562"/>
    <w:rsid w:val="765C7EF6"/>
    <w:rsid w:val="765D3A06"/>
    <w:rsid w:val="765D4BC1"/>
    <w:rsid w:val="765D664F"/>
    <w:rsid w:val="765E2694"/>
    <w:rsid w:val="765E499E"/>
    <w:rsid w:val="765E4D50"/>
    <w:rsid w:val="765F0903"/>
    <w:rsid w:val="765F49AC"/>
    <w:rsid w:val="765F75BE"/>
    <w:rsid w:val="766034F6"/>
    <w:rsid w:val="76604F4D"/>
    <w:rsid w:val="76612DCA"/>
    <w:rsid w:val="76621D63"/>
    <w:rsid w:val="766236D2"/>
    <w:rsid w:val="766249AC"/>
    <w:rsid w:val="7662726E"/>
    <w:rsid w:val="766308F1"/>
    <w:rsid w:val="766331F3"/>
    <w:rsid w:val="76633E80"/>
    <w:rsid w:val="76635DC4"/>
    <w:rsid w:val="76636371"/>
    <w:rsid w:val="766364F4"/>
    <w:rsid w:val="76636B42"/>
    <w:rsid w:val="76637F91"/>
    <w:rsid w:val="76644914"/>
    <w:rsid w:val="76650B0D"/>
    <w:rsid w:val="766510C4"/>
    <w:rsid w:val="766528BB"/>
    <w:rsid w:val="76652D49"/>
    <w:rsid w:val="76655AAF"/>
    <w:rsid w:val="76660446"/>
    <w:rsid w:val="76661B74"/>
    <w:rsid w:val="766703E1"/>
    <w:rsid w:val="76673547"/>
    <w:rsid w:val="76673C77"/>
    <w:rsid w:val="76674885"/>
    <w:rsid w:val="76674D8B"/>
    <w:rsid w:val="76676D13"/>
    <w:rsid w:val="76676F7D"/>
    <w:rsid w:val="766823AB"/>
    <w:rsid w:val="766824EA"/>
    <w:rsid w:val="76686A69"/>
    <w:rsid w:val="76687DD0"/>
    <w:rsid w:val="76692FDA"/>
    <w:rsid w:val="76697065"/>
    <w:rsid w:val="766A0B10"/>
    <w:rsid w:val="766A1C7F"/>
    <w:rsid w:val="766A22DF"/>
    <w:rsid w:val="766A30C6"/>
    <w:rsid w:val="766A5173"/>
    <w:rsid w:val="766A6123"/>
    <w:rsid w:val="766A72FA"/>
    <w:rsid w:val="766A73BA"/>
    <w:rsid w:val="766A7E35"/>
    <w:rsid w:val="766B0829"/>
    <w:rsid w:val="766B4556"/>
    <w:rsid w:val="766B6041"/>
    <w:rsid w:val="766C0F95"/>
    <w:rsid w:val="766C3C49"/>
    <w:rsid w:val="766C59F7"/>
    <w:rsid w:val="766C5C7C"/>
    <w:rsid w:val="766C6C3F"/>
    <w:rsid w:val="766C7212"/>
    <w:rsid w:val="766C74D1"/>
    <w:rsid w:val="766D176F"/>
    <w:rsid w:val="766D2262"/>
    <w:rsid w:val="766D53A4"/>
    <w:rsid w:val="766D6CFF"/>
    <w:rsid w:val="766D79C1"/>
    <w:rsid w:val="766E1821"/>
    <w:rsid w:val="766E410F"/>
    <w:rsid w:val="766E4CF2"/>
    <w:rsid w:val="766E6BBD"/>
    <w:rsid w:val="766E7477"/>
    <w:rsid w:val="766E7942"/>
    <w:rsid w:val="766F1796"/>
    <w:rsid w:val="766F3739"/>
    <w:rsid w:val="766F658A"/>
    <w:rsid w:val="766F7295"/>
    <w:rsid w:val="7670477B"/>
    <w:rsid w:val="76705094"/>
    <w:rsid w:val="76711029"/>
    <w:rsid w:val="7671125F"/>
    <w:rsid w:val="767114A9"/>
    <w:rsid w:val="76711856"/>
    <w:rsid w:val="767147EA"/>
    <w:rsid w:val="76720117"/>
    <w:rsid w:val="7672082C"/>
    <w:rsid w:val="767232C3"/>
    <w:rsid w:val="767234DD"/>
    <w:rsid w:val="767251A6"/>
    <w:rsid w:val="76726888"/>
    <w:rsid w:val="76733229"/>
    <w:rsid w:val="76736E71"/>
    <w:rsid w:val="76737F04"/>
    <w:rsid w:val="767413B9"/>
    <w:rsid w:val="767415D3"/>
    <w:rsid w:val="76742AFE"/>
    <w:rsid w:val="767515E9"/>
    <w:rsid w:val="76754CE2"/>
    <w:rsid w:val="76756C27"/>
    <w:rsid w:val="767623BE"/>
    <w:rsid w:val="76764B2C"/>
    <w:rsid w:val="76766876"/>
    <w:rsid w:val="76767F28"/>
    <w:rsid w:val="767728F2"/>
    <w:rsid w:val="767753EB"/>
    <w:rsid w:val="767767A4"/>
    <w:rsid w:val="76776C07"/>
    <w:rsid w:val="76783410"/>
    <w:rsid w:val="76783F09"/>
    <w:rsid w:val="767912D1"/>
    <w:rsid w:val="767931BC"/>
    <w:rsid w:val="767943D6"/>
    <w:rsid w:val="7679515A"/>
    <w:rsid w:val="76795653"/>
    <w:rsid w:val="76796366"/>
    <w:rsid w:val="76796D93"/>
    <w:rsid w:val="767A20EA"/>
    <w:rsid w:val="767A4B45"/>
    <w:rsid w:val="767A5AB9"/>
    <w:rsid w:val="767A677A"/>
    <w:rsid w:val="767A68A9"/>
    <w:rsid w:val="767B0330"/>
    <w:rsid w:val="767B2AB8"/>
    <w:rsid w:val="767B3327"/>
    <w:rsid w:val="767B3E8C"/>
    <w:rsid w:val="767B3F54"/>
    <w:rsid w:val="767B78F5"/>
    <w:rsid w:val="767C01C9"/>
    <w:rsid w:val="767C19B2"/>
    <w:rsid w:val="767C4DBF"/>
    <w:rsid w:val="767C5005"/>
    <w:rsid w:val="767D0656"/>
    <w:rsid w:val="767D5E56"/>
    <w:rsid w:val="767E0E7C"/>
    <w:rsid w:val="767E1BCE"/>
    <w:rsid w:val="767E397C"/>
    <w:rsid w:val="767E572A"/>
    <w:rsid w:val="767E6461"/>
    <w:rsid w:val="767F00E1"/>
    <w:rsid w:val="767F128B"/>
    <w:rsid w:val="767F2930"/>
    <w:rsid w:val="767F7A3D"/>
    <w:rsid w:val="768014A2"/>
    <w:rsid w:val="76803C59"/>
    <w:rsid w:val="768052EC"/>
    <w:rsid w:val="76805BF8"/>
    <w:rsid w:val="7681677C"/>
    <w:rsid w:val="76816FC9"/>
    <w:rsid w:val="76820722"/>
    <w:rsid w:val="768216BE"/>
    <w:rsid w:val="76822E34"/>
    <w:rsid w:val="7682521B"/>
    <w:rsid w:val="768260DE"/>
    <w:rsid w:val="76830F93"/>
    <w:rsid w:val="768327DD"/>
    <w:rsid w:val="76834547"/>
    <w:rsid w:val="7683486E"/>
    <w:rsid w:val="76840BF8"/>
    <w:rsid w:val="76843C6D"/>
    <w:rsid w:val="768442D6"/>
    <w:rsid w:val="76844741"/>
    <w:rsid w:val="76850B33"/>
    <w:rsid w:val="76850BF6"/>
    <w:rsid w:val="76852052"/>
    <w:rsid w:val="76852720"/>
    <w:rsid w:val="76852F5D"/>
    <w:rsid w:val="76856AB9"/>
    <w:rsid w:val="7686153E"/>
    <w:rsid w:val="768635ED"/>
    <w:rsid w:val="7686604C"/>
    <w:rsid w:val="76866AB1"/>
    <w:rsid w:val="76872004"/>
    <w:rsid w:val="76872831"/>
    <w:rsid w:val="76876CD5"/>
    <w:rsid w:val="7688145B"/>
    <w:rsid w:val="768851A9"/>
    <w:rsid w:val="768865A9"/>
    <w:rsid w:val="768947FB"/>
    <w:rsid w:val="768A0573"/>
    <w:rsid w:val="768A2321"/>
    <w:rsid w:val="768A31CD"/>
    <w:rsid w:val="768A40CF"/>
    <w:rsid w:val="768B2645"/>
    <w:rsid w:val="768B293D"/>
    <w:rsid w:val="768B4557"/>
    <w:rsid w:val="768C0572"/>
    <w:rsid w:val="768C105A"/>
    <w:rsid w:val="768C42EB"/>
    <w:rsid w:val="768C5DB0"/>
    <w:rsid w:val="768C7E47"/>
    <w:rsid w:val="768D285A"/>
    <w:rsid w:val="768D3BBF"/>
    <w:rsid w:val="768D6C37"/>
    <w:rsid w:val="768E0063"/>
    <w:rsid w:val="768E3072"/>
    <w:rsid w:val="768E64B9"/>
    <w:rsid w:val="768F0FA4"/>
    <w:rsid w:val="768F16E6"/>
    <w:rsid w:val="768F268A"/>
    <w:rsid w:val="768F2DBA"/>
    <w:rsid w:val="768F3120"/>
    <w:rsid w:val="768F36D8"/>
    <w:rsid w:val="768F5B89"/>
    <w:rsid w:val="768F7938"/>
    <w:rsid w:val="768F7FC3"/>
    <w:rsid w:val="76902A46"/>
    <w:rsid w:val="769036A0"/>
    <w:rsid w:val="769108FF"/>
    <w:rsid w:val="7691545E"/>
    <w:rsid w:val="76916862"/>
    <w:rsid w:val="769216DE"/>
    <w:rsid w:val="769218C9"/>
    <w:rsid w:val="7692203A"/>
    <w:rsid w:val="769224AE"/>
    <w:rsid w:val="769242CB"/>
    <w:rsid w:val="769247A1"/>
    <w:rsid w:val="76930B91"/>
    <w:rsid w:val="7693567A"/>
    <w:rsid w:val="76937428"/>
    <w:rsid w:val="769413F2"/>
    <w:rsid w:val="76941B1A"/>
    <w:rsid w:val="769431A0"/>
    <w:rsid w:val="76944F4E"/>
    <w:rsid w:val="769467B3"/>
    <w:rsid w:val="76946CFC"/>
    <w:rsid w:val="76950D6D"/>
    <w:rsid w:val="76951223"/>
    <w:rsid w:val="769534B1"/>
    <w:rsid w:val="769573FD"/>
    <w:rsid w:val="7696084C"/>
    <w:rsid w:val="76966F18"/>
    <w:rsid w:val="76967E32"/>
    <w:rsid w:val="769709D0"/>
    <w:rsid w:val="76972344"/>
    <w:rsid w:val="769767EC"/>
    <w:rsid w:val="769778EA"/>
    <w:rsid w:val="76977C68"/>
    <w:rsid w:val="76980DCE"/>
    <w:rsid w:val="76982BED"/>
    <w:rsid w:val="76982C90"/>
    <w:rsid w:val="76984A3E"/>
    <w:rsid w:val="769907B6"/>
    <w:rsid w:val="76992564"/>
    <w:rsid w:val="76992619"/>
    <w:rsid w:val="76995E61"/>
    <w:rsid w:val="769972F2"/>
    <w:rsid w:val="769A13C1"/>
    <w:rsid w:val="769A2888"/>
    <w:rsid w:val="769A2942"/>
    <w:rsid w:val="769A6A08"/>
    <w:rsid w:val="769B0718"/>
    <w:rsid w:val="769B0913"/>
    <w:rsid w:val="769B2D30"/>
    <w:rsid w:val="769B4C95"/>
    <w:rsid w:val="769B54EB"/>
    <w:rsid w:val="769B62DC"/>
    <w:rsid w:val="769C3B2F"/>
    <w:rsid w:val="769C54F3"/>
    <w:rsid w:val="769C5AC3"/>
    <w:rsid w:val="769C660C"/>
    <w:rsid w:val="769D02A6"/>
    <w:rsid w:val="769D072A"/>
    <w:rsid w:val="769D382B"/>
    <w:rsid w:val="769E3964"/>
    <w:rsid w:val="769E3E87"/>
    <w:rsid w:val="769E6518"/>
    <w:rsid w:val="769F0874"/>
    <w:rsid w:val="769F13D2"/>
    <w:rsid w:val="769F1D04"/>
    <w:rsid w:val="769F401E"/>
    <w:rsid w:val="769F6CE8"/>
    <w:rsid w:val="76A01F07"/>
    <w:rsid w:val="76A07D97"/>
    <w:rsid w:val="76A10290"/>
    <w:rsid w:val="76A14624"/>
    <w:rsid w:val="76A15002"/>
    <w:rsid w:val="76A170A8"/>
    <w:rsid w:val="76A21419"/>
    <w:rsid w:val="76A25AB4"/>
    <w:rsid w:val="76A262C7"/>
    <w:rsid w:val="76A333E3"/>
    <w:rsid w:val="76A407C2"/>
    <w:rsid w:val="76A41635"/>
    <w:rsid w:val="76A423A7"/>
    <w:rsid w:val="76A43394"/>
    <w:rsid w:val="76A446E6"/>
    <w:rsid w:val="76A44C18"/>
    <w:rsid w:val="76A45309"/>
    <w:rsid w:val="76A45340"/>
    <w:rsid w:val="76A4686D"/>
    <w:rsid w:val="76A519F0"/>
    <w:rsid w:val="76A520C7"/>
    <w:rsid w:val="76A52D81"/>
    <w:rsid w:val="76A53A4A"/>
    <w:rsid w:val="76A553AD"/>
    <w:rsid w:val="76A563A1"/>
    <w:rsid w:val="76A634CF"/>
    <w:rsid w:val="76A71125"/>
    <w:rsid w:val="76A73011"/>
    <w:rsid w:val="76A73D5F"/>
    <w:rsid w:val="76A74763"/>
    <w:rsid w:val="76A74C81"/>
    <w:rsid w:val="76A771DD"/>
    <w:rsid w:val="76A809F9"/>
    <w:rsid w:val="76A827A7"/>
    <w:rsid w:val="76A86212"/>
    <w:rsid w:val="76A93377"/>
    <w:rsid w:val="76A94E7F"/>
    <w:rsid w:val="76A95301"/>
    <w:rsid w:val="76A962E4"/>
    <w:rsid w:val="76AA29C3"/>
    <w:rsid w:val="76AA4771"/>
    <w:rsid w:val="76AB0C56"/>
    <w:rsid w:val="76AB1346"/>
    <w:rsid w:val="76AB193B"/>
    <w:rsid w:val="76AB2F86"/>
    <w:rsid w:val="76AB6E17"/>
    <w:rsid w:val="76AC04E9"/>
    <w:rsid w:val="76AC1FF9"/>
    <w:rsid w:val="76AC2297"/>
    <w:rsid w:val="76AC4A43"/>
    <w:rsid w:val="76AC673B"/>
    <w:rsid w:val="76AC7D36"/>
    <w:rsid w:val="76AD195E"/>
    <w:rsid w:val="76AD4E1A"/>
    <w:rsid w:val="76AD6DCA"/>
    <w:rsid w:val="76AE24B4"/>
    <w:rsid w:val="76AE250F"/>
    <w:rsid w:val="76AE379B"/>
    <w:rsid w:val="76AE4262"/>
    <w:rsid w:val="76AE6140"/>
    <w:rsid w:val="76AF1D88"/>
    <w:rsid w:val="76AF4532"/>
    <w:rsid w:val="76AF5DAE"/>
    <w:rsid w:val="76AF69A2"/>
    <w:rsid w:val="76B011A8"/>
    <w:rsid w:val="76B03634"/>
    <w:rsid w:val="76B05E24"/>
    <w:rsid w:val="76B12C85"/>
    <w:rsid w:val="76B13D52"/>
    <w:rsid w:val="76B141C2"/>
    <w:rsid w:val="76B16769"/>
    <w:rsid w:val="76B178AE"/>
    <w:rsid w:val="76B23350"/>
    <w:rsid w:val="76B24BE3"/>
    <w:rsid w:val="76B25EDD"/>
    <w:rsid w:val="76B34F7A"/>
    <w:rsid w:val="76B36A39"/>
    <w:rsid w:val="76B37ACA"/>
    <w:rsid w:val="76B41215"/>
    <w:rsid w:val="76B441CE"/>
    <w:rsid w:val="76B449BE"/>
    <w:rsid w:val="76B45CD1"/>
    <w:rsid w:val="76B4739E"/>
    <w:rsid w:val="76B63116"/>
    <w:rsid w:val="76B63174"/>
    <w:rsid w:val="76B633FE"/>
    <w:rsid w:val="76B64755"/>
    <w:rsid w:val="76B653BA"/>
    <w:rsid w:val="76B77441"/>
    <w:rsid w:val="76B82876"/>
    <w:rsid w:val="76B86E8E"/>
    <w:rsid w:val="76B93BF1"/>
    <w:rsid w:val="76B93FEC"/>
    <w:rsid w:val="76B949B4"/>
    <w:rsid w:val="76BA602A"/>
    <w:rsid w:val="76BA690C"/>
    <w:rsid w:val="76BA7BDE"/>
    <w:rsid w:val="76BB5749"/>
    <w:rsid w:val="76BC2E18"/>
    <w:rsid w:val="76BC3B6A"/>
    <w:rsid w:val="76BD26BC"/>
    <w:rsid w:val="76BD3DFD"/>
    <w:rsid w:val="76BD4494"/>
    <w:rsid w:val="76BD44A5"/>
    <w:rsid w:val="76BD532B"/>
    <w:rsid w:val="76BD57C8"/>
    <w:rsid w:val="76BD6253"/>
    <w:rsid w:val="76BE1FCB"/>
    <w:rsid w:val="76BE4F54"/>
    <w:rsid w:val="76C0157E"/>
    <w:rsid w:val="76C021E7"/>
    <w:rsid w:val="76C03C90"/>
    <w:rsid w:val="76C03F95"/>
    <w:rsid w:val="76C042A3"/>
    <w:rsid w:val="76C04D68"/>
    <w:rsid w:val="76C0530C"/>
    <w:rsid w:val="76C05D43"/>
    <w:rsid w:val="76C11228"/>
    <w:rsid w:val="76C125DE"/>
    <w:rsid w:val="76C15784"/>
    <w:rsid w:val="76C173EC"/>
    <w:rsid w:val="76C20097"/>
    <w:rsid w:val="76C22C2D"/>
    <w:rsid w:val="76C2509E"/>
    <w:rsid w:val="76C26D16"/>
    <w:rsid w:val="76C3548D"/>
    <w:rsid w:val="76C3652E"/>
    <w:rsid w:val="76C375E1"/>
    <w:rsid w:val="76C40F39"/>
    <w:rsid w:val="76C46039"/>
    <w:rsid w:val="76C515AB"/>
    <w:rsid w:val="76C5258F"/>
    <w:rsid w:val="76C53A1F"/>
    <w:rsid w:val="76C541B2"/>
    <w:rsid w:val="76C60399"/>
    <w:rsid w:val="76C60F35"/>
    <w:rsid w:val="76C64EAF"/>
    <w:rsid w:val="76C65D5C"/>
    <w:rsid w:val="76C72E0C"/>
    <w:rsid w:val="76C75323"/>
    <w:rsid w:val="76C75337"/>
    <w:rsid w:val="76C770D1"/>
    <w:rsid w:val="76C82A02"/>
    <w:rsid w:val="76C83441"/>
    <w:rsid w:val="76C9109B"/>
    <w:rsid w:val="76C9205E"/>
    <w:rsid w:val="76C923A0"/>
    <w:rsid w:val="76C92E49"/>
    <w:rsid w:val="76C94E50"/>
    <w:rsid w:val="76C94F71"/>
    <w:rsid w:val="76CA0687"/>
    <w:rsid w:val="76CA0970"/>
    <w:rsid w:val="76CA0C1B"/>
    <w:rsid w:val="76CA152E"/>
    <w:rsid w:val="76CA17D8"/>
    <w:rsid w:val="76CA2492"/>
    <w:rsid w:val="76CA3249"/>
    <w:rsid w:val="76CA6BC2"/>
    <w:rsid w:val="76CA6F0E"/>
    <w:rsid w:val="76CB54BF"/>
    <w:rsid w:val="76CC0B8C"/>
    <w:rsid w:val="76CC293A"/>
    <w:rsid w:val="76CC50A1"/>
    <w:rsid w:val="76CD190B"/>
    <w:rsid w:val="76CD3C84"/>
    <w:rsid w:val="76CD6D53"/>
    <w:rsid w:val="76CD7596"/>
    <w:rsid w:val="76CE33B8"/>
    <w:rsid w:val="76CE47E1"/>
    <w:rsid w:val="76CE4D82"/>
    <w:rsid w:val="76CE66B2"/>
    <w:rsid w:val="76CF2106"/>
    <w:rsid w:val="76CF7274"/>
    <w:rsid w:val="76CF7461"/>
    <w:rsid w:val="76D0185E"/>
    <w:rsid w:val="76D01BEE"/>
    <w:rsid w:val="76D02273"/>
    <w:rsid w:val="76D0242A"/>
    <w:rsid w:val="76D03B80"/>
    <w:rsid w:val="76D078DB"/>
    <w:rsid w:val="76D10F4D"/>
    <w:rsid w:val="76D11515"/>
    <w:rsid w:val="76D11FC2"/>
    <w:rsid w:val="76D161A2"/>
    <w:rsid w:val="76D1734A"/>
    <w:rsid w:val="76D1743F"/>
    <w:rsid w:val="76D21D17"/>
    <w:rsid w:val="76D23D36"/>
    <w:rsid w:val="76D26835"/>
    <w:rsid w:val="76D34E68"/>
    <w:rsid w:val="76D35A76"/>
    <w:rsid w:val="76D36023"/>
    <w:rsid w:val="76D417EE"/>
    <w:rsid w:val="76D41A81"/>
    <w:rsid w:val="76D42084"/>
    <w:rsid w:val="76D45952"/>
    <w:rsid w:val="76D4697A"/>
    <w:rsid w:val="76D47D5E"/>
    <w:rsid w:val="76D53BFA"/>
    <w:rsid w:val="76D55C89"/>
    <w:rsid w:val="76D57A40"/>
    <w:rsid w:val="76D61294"/>
    <w:rsid w:val="76D65566"/>
    <w:rsid w:val="76D65CCD"/>
    <w:rsid w:val="76D67065"/>
    <w:rsid w:val="76D67314"/>
    <w:rsid w:val="76D706E6"/>
    <w:rsid w:val="76D70846"/>
    <w:rsid w:val="76D7228F"/>
    <w:rsid w:val="76D74348"/>
    <w:rsid w:val="76D74998"/>
    <w:rsid w:val="76D82B19"/>
    <w:rsid w:val="76D85664"/>
    <w:rsid w:val="76D865A5"/>
    <w:rsid w:val="76D86C7B"/>
    <w:rsid w:val="76D87530"/>
    <w:rsid w:val="76D919DF"/>
    <w:rsid w:val="76D91C44"/>
    <w:rsid w:val="76D924D7"/>
    <w:rsid w:val="76DA1B71"/>
    <w:rsid w:val="76DA25AC"/>
    <w:rsid w:val="76DA3325"/>
    <w:rsid w:val="76DA4D10"/>
    <w:rsid w:val="76DA5057"/>
    <w:rsid w:val="76DA54C3"/>
    <w:rsid w:val="76DA6A84"/>
    <w:rsid w:val="76DB2892"/>
    <w:rsid w:val="76DB2B7D"/>
    <w:rsid w:val="76DB41DC"/>
    <w:rsid w:val="76DB492B"/>
    <w:rsid w:val="76DB6F22"/>
    <w:rsid w:val="76DB78CD"/>
    <w:rsid w:val="76DC0816"/>
    <w:rsid w:val="76DC42E4"/>
    <w:rsid w:val="76DC5491"/>
    <w:rsid w:val="76DD06A3"/>
    <w:rsid w:val="76DD433C"/>
    <w:rsid w:val="76DD68F5"/>
    <w:rsid w:val="76DE441B"/>
    <w:rsid w:val="76DE48C7"/>
    <w:rsid w:val="76DF111B"/>
    <w:rsid w:val="76DF266D"/>
    <w:rsid w:val="76DF570D"/>
    <w:rsid w:val="76DF6B4E"/>
    <w:rsid w:val="76E00193"/>
    <w:rsid w:val="76E0044C"/>
    <w:rsid w:val="76E005F3"/>
    <w:rsid w:val="76E00735"/>
    <w:rsid w:val="76E00ADD"/>
    <w:rsid w:val="76E01243"/>
    <w:rsid w:val="76E0160E"/>
    <w:rsid w:val="76E0164E"/>
    <w:rsid w:val="76E03787"/>
    <w:rsid w:val="76E0749D"/>
    <w:rsid w:val="76E1263F"/>
    <w:rsid w:val="76E12A43"/>
    <w:rsid w:val="76E141F9"/>
    <w:rsid w:val="76E14BD8"/>
    <w:rsid w:val="76E21B2F"/>
    <w:rsid w:val="76E2215D"/>
    <w:rsid w:val="76E23F0B"/>
    <w:rsid w:val="76E328C5"/>
    <w:rsid w:val="76E32C52"/>
    <w:rsid w:val="76E35AE9"/>
    <w:rsid w:val="76E375F9"/>
    <w:rsid w:val="76E37C32"/>
    <w:rsid w:val="76E37C8B"/>
    <w:rsid w:val="76E41A31"/>
    <w:rsid w:val="76E42B01"/>
    <w:rsid w:val="76E43645"/>
    <w:rsid w:val="76E45ED5"/>
    <w:rsid w:val="76E46FA8"/>
    <w:rsid w:val="76E47E35"/>
    <w:rsid w:val="76E5092B"/>
    <w:rsid w:val="76E51C15"/>
    <w:rsid w:val="76E539FB"/>
    <w:rsid w:val="76E5450F"/>
    <w:rsid w:val="76E557A9"/>
    <w:rsid w:val="76E55DF2"/>
    <w:rsid w:val="76E575D8"/>
    <w:rsid w:val="76E57EA7"/>
    <w:rsid w:val="76E61C4D"/>
    <w:rsid w:val="76E7145E"/>
    <w:rsid w:val="76E732D0"/>
    <w:rsid w:val="76E746D8"/>
    <w:rsid w:val="76E80339"/>
    <w:rsid w:val="76E82F33"/>
    <w:rsid w:val="76E83466"/>
    <w:rsid w:val="76E83F7B"/>
    <w:rsid w:val="76E90249"/>
    <w:rsid w:val="76E90C2B"/>
    <w:rsid w:val="76E95279"/>
    <w:rsid w:val="76E969F9"/>
    <w:rsid w:val="76E974E1"/>
    <w:rsid w:val="76EA19E4"/>
    <w:rsid w:val="76EA221B"/>
    <w:rsid w:val="76EA47BF"/>
    <w:rsid w:val="76EB1211"/>
    <w:rsid w:val="76EB247E"/>
    <w:rsid w:val="76EB3EDA"/>
    <w:rsid w:val="76EB573A"/>
    <w:rsid w:val="76EB7A0B"/>
    <w:rsid w:val="76EC2FAE"/>
    <w:rsid w:val="76EC4D8A"/>
    <w:rsid w:val="76EC6B38"/>
    <w:rsid w:val="76EC6CDD"/>
    <w:rsid w:val="76EC70A4"/>
    <w:rsid w:val="76EE0B02"/>
    <w:rsid w:val="76EE1151"/>
    <w:rsid w:val="76EE1723"/>
    <w:rsid w:val="76EE28B0"/>
    <w:rsid w:val="76EE2C2B"/>
    <w:rsid w:val="76EE3BC2"/>
    <w:rsid w:val="76EE5700"/>
    <w:rsid w:val="76EF03D6"/>
    <w:rsid w:val="76EF6628"/>
    <w:rsid w:val="76F0554B"/>
    <w:rsid w:val="76F05C30"/>
    <w:rsid w:val="76F160F6"/>
    <w:rsid w:val="76F2417D"/>
    <w:rsid w:val="76F24C68"/>
    <w:rsid w:val="76F27503"/>
    <w:rsid w:val="76F3071D"/>
    <w:rsid w:val="76F31C74"/>
    <w:rsid w:val="76F3360E"/>
    <w:rsid w:val="76F3560D"/>
    <w:rsid w:val="76F43A03"/>
    <w:rsid w:val="76F45079"/>
    <w:rsid w:val="76F4557F"/>
    <w:rsid w:val="76F459ED"/>
    <w:rsid w:val="76F51E90"/>
    <w:rsid w:val="76F5252C"/>
    <w:rsid w:val="76F52AFE"/>
    <w:rsid w:val="76F55C40"/>
    <w:rsid w:val="76F56754"/>
    <w:rsid w:val="76F609B2"/>
    <w:rsid w:val="76F6473C"/>
    <w:rsid w:val="76F723E6"/>
    <w:rsid w:val="76F738EA"/>
    <w:rsid w:val="76F75313"/>
    <w:rsid w:val="76F7541E"/>
    <w:rsid w:val="76F8372F"/>
    <w:rsid w:val="76F868AE"/>
    <w:rsid w:val="76F94278"/>
    <w:rsid w:val="76F94DEF"/>
    <w:rsid w:val="76FA11CE"/>
    <w:rsid w:val="76FA1255"/>
    <w:rsid w:val="76FA2AE8"/>
    <w:rsid w:val="76FA5974"/>
    <w:rsid w:val="76FB1516"/>
    <w:rsid w:val="76FB4D89"/>
    <w:rsid w:val="76FC05B4"/>
    <w:rsid w:val="76FC25D4"/>
    <w:rsid w:val="76FC7C9F"/>
    <w:rsid w:val="76FC7D28"/>
    <w:rsid w:val="76FC7E00"/>
    <w:rsid w:val="76FD0D45"/>
    <w:rsid w:val="76FD2AF3"/>
    <w:rsid w:val="76FD6488"/>
    <w:rsid w:val="76FD6F97"/>
    <w:rsid w:val="76FD7B9F"/>
    <w:rsid w:val="76FE04EC"/>
    <w:rsid w:val="76FE2720"/>
    <w:rsid w:val="76FE3F87"/>
    <w:rsid w:val="76FE632F"/>
    <w:rsid w:val="76FE7ED6"/>
    <w:rsid w:val="76FF05DB"/>
    <w:rsid w:val="76FF2D0F"/>
    <w:rsid w:val="76FF3B1C"/>
    <w:rsid w:val="76FF3BB0"/>
    <w:rsid w:val="76FF48B0"/>
    <w:rsid w:val="76FF4ABD"/>
    <w:rsid w:val="76FF51BA"/>
    <w:rsid w:val="76FF66D5"/>
    <w:rsid w:val="76FF76FA"/>
    <w:rsid w:val="77000835"/>
    <w:rsid w:val="77001200"/>
    <w:rsid w:val="77002647"/>
    <w:rsid w:val="77003DB7"/>
    <w:rsid w:val="77005309"/>
    <w:rsid w:val="77006AEE"/>
    <w:rsid w:val="77011017"/>
    <w:rsid w:val="77014D0C"/>
    <w:rsid w:val="77016811"/>
    <w:rsid w:val="77021C50"/>
    <w:rsid w:val="770245BF"/>
    <w:rsid w:val="7702635B"/>
    <w:rsid w:val="770358FB"/>
    <w:rsid w:val="77037C56"/>
    <w:rsid w:val="77040C74"/>
    <w:rsid w:val="77042B7E"/>
    <w:rsid w:val="77043E82"/>
    <w:rsid w:val="770445A3"/>
    <w:rsid w:val="77045606"/>
    <w:rsid w:val="77051044"/>
    <w:rsid w:val="770519A8"/>
    <w:rsid w:val="77054C0B"/>
    <w:rsid w:val="770554AB"/>
    <w:rsid w:val="77057BFA"/>
    <w:rsid w:val="77061504"/>
    <w:rsid w:val="77062342"/>
    <w:rsid w:val="7706409E"/>
    <w:rsid w:val="77065E4C"/>
    <w:rsid w:val="77067268"/>
    <w:rsid w:val="770703F0"/>
    <w:rsid w:val="77071A09"/>
    <w:rsid w:val="77073972"/>
    <w:rsid w:val="77075720"/>
    <w:rsid w:val="7708084E"/>
    <w:rsid w:val="77086969"/>
    <w:rsid w:val="77087B4D"/>
    <w:rsid w:val="77090716"/>
    <w:rsid w:val="77090B81"/>
    <w:rsid w:val="77097658"/>
    <w:rsid w:val="770976EA"/>
    <w:rsid w:val="77097833"/>
    <w:rsid w:val="77097AF4"/>
    <w:rsid w:val="770A2024"/>
    <w:rsid w:val="770A21A2"/>
    <w:rsid w:val="770A2725"/>
    <w:rsid w:val="770A356F"/>
    <w:rsid w:val="770A5A70"/>
    <w:rsid w:val="770A6DDA"/>
    <w:rsid w:val="770A7572"/>
    <w:rsid w:val="770B1FE4"/>
    <w:rsid w:val="770B2153"/>
    <w:rsid w:val="770B2AF9"/>
    <w:rsid w:val="770B3462"/>
    <w:rsid w:val="770C0F88"/>
    <w:rsid w:val="770C17FE"/>
    <w:rsid w:val="770C2D36"/>
    <w:rsid w:val="770C4BE8"/>
    <w:rsid w:val="770C4D4A"/>
    <w:rsid w:val="770C4E0B"/>
    <w:rsid w:val="770C6338"/>
    <w:rsid w:val="770C7339"/>
    <w:rsid w:val="770D24E5"/>
    <w:rsid w:val="770D3445"/>
    <w:rsid w:val="770D3A52"/>
    <w:rsid w:val="770E0614"/>
    <w:rsid w:val="770E2F52"/>
    <w:rsid w:val="770E366B"/>
    <w:rsid w:val="770F160C"/>
    <w:rsid w:val="770F1685"/>
    <w:rsid w:val="770F21D7"/>
    <w:rsid w:val="770F2826"/>
    <w:rsid w:val="770F2861"/>
    <w:rsid w:val="770F7B7F"/>
    <w:rsid w:val="77100590"/>
    <w:rsid w:val="77100A78"/>
    <w:rsid w:val="77104239"/>
    <w:rsid w:val="77106CCA"/>
    <w:rsid w:val="77107706"/>
    <w:rsid w:val="7711110F"/>
    <w:rsid w:val="77111D34"/>
    <w:rsid w:val="77113E63"/>
    <w:rsid w:val="77117455"/>
    <w:rsid w:val="771174E9"/>
    <w:rsid w:val="77122026"/>
    <w:rsid w:val="7712273E"/>
    <w:rsid w:val="771334B6"/>
    <w:rsid w:val="77136175"/>
    <w:rsid w:val="77141BDB"/>
    <w:rsid w:val="77141EC7"/>
    <w:rsid w:val="77142A21"/>
    <w:rsid w:val="77144477"/>
    <w:rsid w:val="77147E3D"/>
    <w:rsid w:val="77150313"/>
    <w:rsid w:val="771509A7"/>
    <w:rsid w:val="77151D39"/>
    <w:rsid w:val="771541DF"/>
    <w:rsid w:val="771542E1"/>
    <w:rsid w:val="7715608F"/>
    <w:rsid w:val="77161E07"/>
    <w:rsid w:val="77162D24"/>
    <w:rsid w:val="77162EEA"/>
    <w:rsid w:val="77166B20"/>
    <w:rsid w:val="77167266"/>
    <w:rsid w:val="77170059"/>
    <w:rsid w:val="77171827"/>
    <w:rsid w:val="77175F54"/>
    <w:rsid w:val="7717695B"/>
    <w:rsid w:val="77177AE1"/>
    <w:rsid w:val="77177E92"/>
    <w:rsid w:val="77181085"/>
    <w:rsid w:val="77181EF9"/>
    <w:rsid w:val="77183B1D"/>
    <w:rsid w:val="77183DD1"/>
    <w:rsid w:val="77184757"/>
    <w:rsid w:val="77185B7F"/>
    <w:rsid w:val="77185E98"/>
    <w:rsid w:val="771867F3"/>
    <w:rsid w:val="7718792D"/>
    <w:rsid w:val="771900E5"/>
    <w:rsid w:val="771A44CC"/>
    <w:rsid w:val="771A4DB8"/>
    <w:rsid w:val="771A5453"/>
    <w:rsid w:val="771A55DC"/>
    <w:rsid w:val="771A6642"/>
    <w:rsid w:val="771A6E22"/>
    <w:rsid w:val="771B62B1"/>
    <w:rsid w:val="771C1E27"/>
    <w:rsid w:val="771C30D8"/>
    <w:rsid w:val="771C3558"/>
    <w:rsid w:val="771C3E93"/>
    <w:rsid w:val="771D1B2B"/>
    <w:rsid w:val="771D3195"/>
    <w:rsid w:val="771D36DA"/>
    <w:rsid w:val="771D37C6"/>
    <w:rsid w:val="771D4F43"/>
    <w:rsid w:val="771D6CF6"/>
    <w:rsid w:val="771D73F3"/>
    <w:rsid w:val="771E3F3E"/>
    <w:rsid w:val="771E4103"/>
    <w:rsid w:val="771E692F"/>
    <w:rsid w:val="771E75C0"/>
    <w:rsid w:val="771F0CBB"/>
    <w:rsid w:val="77202EE9"/>
    <w:rsid w:val="772036A3"/>
    <w:rsid w:val="77206334"/>
    <w:rsid w:val="7720730A"/>
    <w:rsid w:val="77212C85"/>
    <w:rsid w:val="7721370C"/>
    <w:rsid w:val="772146A2"/>
    <w:rsid w:val="772161D9"/>
    <w:rsid w:val="77225C3D"/>
    <w:rsid w:val="77225D99"/>
    <w:rsid w:val="772269FE"/>
    <w:rsid w:val="7723194C"/>
    <w:rsid w:val="772330FA"/>
    <w:rsid w:val="77233FAD"/>
    <w:rsid w:val="772351A9"/>
    <w:rsid w:val="77235414"/>
    <w:rsid w:val="772365A3"/>
    <w:rsid w:val="772375CF"/>
    <w:rsid w:val="77242776"/>
    <w:rsid w:val="772462D2"/>
    <w:rsid w:val="77247CDA"/>
    <w:rsid w:val="77253DF8"/>
    <w:rsid w:val="7726029C"/>
    <w:rsid w:val="77262C21"/>
    <w:rsid w:val="772632CB"/>
    <w:rsid w:val="7726497A"/>
    <w:rsid w:val="77270120"/>
    <w:rsid w:val="77270687"/>
    <w:rsid w:val="772728BB"/>
    <w:rsid w:val="77274014"/>
    <w:rsid w:val="772745DE"/>
    <w:rsid w:val="772746B3"/>
    <w:rsid w:val="77277B70"/>
    <w:rsid w:val="77286A7D"/>
    <w:rsid w:val="77286C33"/>
    <w:rsid w:val="77291B3A"/>
    <w:rsid w:val="772923D0"/>
    <w:rsid w:val="772938E8"/>
    <w:rsid w:val="772939C2"/>
    <w:rsid w:val="77293C31"/>
    <w:rsid w:val="77294208"/>
    <w:rsid w:val="772A379E"/>
    <w:rsid w:val="772A5634"/>
    <w:rsid w:val="772A5C19"/>
    <w:rsid w:val="772B0EFA"/>
    <w:rsid w:val="772B2CA0"/>
    <w:rsid w:val="772B3B04"/>
    <w:rsid w:val="772B7660"/>
    <w:rsid w:val="772C162A"/>
    <w:rsid w:val="772C33D8"/>
    <w:rsid w:val="772C4FC1"/>
    <w:rsid w:val="772C5237"/>
    <w:rsid w:val="772C625F"/>
    <w:rsid w:val="772C7198"/>
    <w:rsid w:val="772C7E71"/>
    <w:rsid w:val="772D0585"/>
    <w:rsid w:val="772D6695"/>
    <w:rsid w:val="772E1816"/>
    <w:rsid w:val="772E7150"/>
    <w:rsid w:val="772E7BF1"/>
    <w:rsid w:val="772F253F"/>
    <w:rsid w:val="772F3D97"/>
    <w:rsid w:val="77300D11"/>
    <w:rsid w:val="773012DC"/>
    <w:rsid w:val="77302EC9"/>
    <w:rsid w:val="77304C77"/>
    <w:rsid w:val="773109EF"/>
    <w:rsid w:val="7731154A"/>
    <w:rsid w:val="773120B7"/>
    <w:rsid w:val="7731279D"/>
    <w:rsid w:val="773164DE"/>
    <w:rsid w:val="77316C41"/>
    <w:rsid w:val="77324854"/>
    <w:rsid w:val="77324E93"/>
    <w:rsid w:val="77332AA0"/>
    <w:rsid w:val="77334767"/>
    <w:rsid w:val="77334B9E"/>
    <w:rsid w:val="77342DD9"/>
    <w:rsid w:val="77343CA2"/>
    <w:rsid w:val="77344600"/>
    <w:rsid w:val="7734590A"/>
    <w:rsid w:val="77351486"/>
    <w:rsid w:val="7735600A"/>
    <w:rsid w:val="77361421"/>
    <w:rsid w:val="77366F97"/>
    <w:rsid w:val="773724A9"/>
    <w:rsid w:val="77374B3A"/>
    <w:rsid w:val="77381D7D"/>
    <w:rsid w:val="77384995"/>
    <w:rsid w:val="773870E0"/>
    <w:rsid w:val="773879DB"/>
    <w:rsid w:val="77387FCF"/>
    <w:rsid w:val="7739286C"/>
    <w:rsid w:val="77394C15"/>
    <w:rsid w:val="773A06C7"/>
    <w:rsid w:val="773A2834"/>
    <w:rsid w:val="773A3D47"/>
    <w:rsid w:val="773A4FF2"/>
    <w:rsid w:val="773A5AF5"/>
    <w:rsid w:val="773B03F6"/>
    <w:rsid w:val="773B1541"/>
    <w:rsid w:val="773B4E97"/>
    <w:rsid w:val="773B5D0E"/>
    <w:rsid w:val="773B7AF1"/>
    <w:rsid w:val="773C186D"/>
    <w:rsid w:val="773C7ABF"/>
    <w:rsid w:val="773D21E0"/>
    <w:rsid w:val="773D2B41"/>
    <w:rsid w:val="773D3837"/>
    <w:rsid w:val="773D3B24"/>
    <w:rsid w:val="773D4FE2"/>
    <w:rsid w:val="773D54C1"/>
    <w:rsid w:val="773D6051"/>
    <w:rsid w:val="773D6723"/>
    <w:rsid w:val="773E0DBD"/>
    <w:rsid w:val="773E2944"/>
    <w:rsid w:val="773F135E"/>
    <w:rsid w:val="773F310C"/>
    <w:rsid w:val="773F4EBA"/>
    <w:rsid w:val="77400C32"/>
    <w:rsid w:val="77404120"/>
    <w:rsid w:val="77404A94"/>
    <w:rsid w:val="774051AD"/>
    <w:rsid w:val="77406CAD"/>
    <w:rsid w:val="77411462"/>
    <w:rsid w:val="77411BC2"/>
    <w:rsid w:val="774150D6"/>
    <w:rsid w:val="774167D1"/>
    <w:rsid w:val="77416E84"/>
    <w:rsid w:val="77420E4E"/>
    <w:rsid w:val="77421762"/>
    <w:rsid w:val="77422292"/>
    <w:rsid w:val="77423580"/>
    <w:rsid w:val="774249AA"/>
    <w:rsid w:val="77425E1D"/>
    <w:rsid w:val="774279C4"/>
    <w:rsid w:val="774318C4"/>
    <w:rsid w:val="774331FB"/>
    <w:rsid w:val="77434688"/>
    <w:rsid w:val="77436C14"/>
    <w:rsid w:val="77440722"/>
    <w:rsid w:val="77440804"/>
    <w:rsid w:val="77444BC6"/>
    <w:rsid w:val="77456248"/>
    <w:rsid w:val="77462342"/>
    <w:rsid w:val="774626EC"/>
    <w:rsid w:val="7746394F"/>
    <w:rsid w:val="77464153"/>
    <w:rsid w:val="7746449A"/>
    <w:rsid w:val="77470447"/>
    <w:rsid w:val="7747192B"/>
    <w:rsid w:val="77471B48"/>
    <w:rsid w:val="77471D41"/>
    <w:rsid w:val="77473D7E"/>
    <w:rsid w:val="77474E3F"/>
    <w:rsid w:val="77476464"/>
    <w:rsid w:val="774808F2"/>
    <w:rsid w:val="774820F5"/>
    <w:rsid w:val="7748643A"/>
    <w:rsid w:val="774921DC"/>
    <w:rsid w:val="7749397A"/>
    <w:rsid w:val="77493F8A"/>
    <w:rsid w:val="77494CC6"/>
    <w:rsid w:val="77497A24"/>
    <w:rsid w:val="774A385E"/>
    <w:rsid w:val="774A5805"/>
    <w:rsid w:val="774B0CF4"/>
    <w:rsid w:val="774B1AB0"/>
    <w:rsid w:val="774B3C5A"/>
    <w:rsid w:val="774B4571"/>
    <w:rsid w:val="774B5FF5"/>
    <w:rsid w:val="774B72D5"/>
    <w:rsid w:val="774C090D"/>
    <w:rsid w:val="774C0A76"/>
    <w:rsid w:val="774C0C49"/>
    <w:rsid w:val="774C2D2D"/>
    <w:rsid w:val="774C3647"/>
    <w:rsid w:val="774C75D7"/>
    <w:rsid w:val="774C78F0"/>
    <w:rsid w:val="774D3A7A"/>
    <w:rsid w:val="774D4AD7"/>
    <w:rsid w:val="774E334F"/>
    <w:rsid w:val="77505319"/>
    <w:rsid w:val="77507D5F"/>
    <w:rsid w:val="77510CAA"/>
    <w:rsid w:val="77512E3F"/>
    <w:rsid w:val="775135AE"/>
    <w:rsid w:val="775148D2"/>
    <w:rsid w:val="77514BED"/>
    <w:rsid w:val="77521091"/>
    <w:rsid w:val="77521CC0"/>
    <w:rsid w:val="77524329"/>
    <w:rsid w:val="7752485A"/>
    <w:rsid w:val="775248E8"/>
    <w:rsid w:val="77531C26"/>
    <w:rsid w:val="77533239"/>
    <w:rsid w:val="7753405F"/>
    <w:rsid w:val="77534E09"/>
    <w:rsid w:val="77536BB7"/>
    <w:rsid w:val="77546436"/>
    <w:rsid w:val="77547DBE"/>
    <w:rsid w:val="7755275E"/>
    <w:rsid w:val="7755292F"/>
    <w:rsid w:val="7755408F"/>
    <w:rsid w:val="77555AA2"/>
    <w:rsid w:val="77556C7F"/>
    <w:rsid w:val="77560455"/>
    <w:rsid w:val="77560A55"/>
    <w:rsid w:val="775614AF"/>
    <w:rsid w:val="77562203"/>
    <w:rsid w:val="775626EC"/>
    <w:rsid w:val="775672CA"/>
    <w:rsid w:val="7757075A"/>
    <w:rsid w:val="77573D20"/>
    <w:rsid w:val="775754BE"/>
    <w:rsid w:val="7758241F"/>
    <w:rsid w:val="775833A4"/>
    <w:rsid w:val="77584177"/>
    <w:rsid w:val="775841CD"/>
    <w:rsid w:val="77584B36"/>
    <w:rsid w:val="77585F7B"/>
    <w:rsid w:val="775918E8"/>
    <w:rsid w:val="775957A3"/>
    <w:rsid w:val="775A0559"/>
    <w:rsid w:val="775A1084"/>
    <w:rsid w:val="775A1595"/>
    <w:rsid w:val="775A5F6B"/>
    <w:rsid w:val="775A6197"/>
    <w:rsid w:val="775A7F45"/>
    <w:rsid w:val="775B142B"/>
    <w:rsid w:val="775B7921"/>
    <w:rsid w:val="775C1F10"/>
    <w:rsid w:val="775C601F"/>
    <w:rsid w:val="775C7E2D"/>
    <w:rsid w:val="775D09E3"/>
    <w:rsid w:val="775D17E4"/>
    <w:rsid w:val="775D3592"/>
    <w:rsid w:val="775E45EC"/>
    <w:rsid w:val="775F00A0"/>
    <w:rsid w:val="775F1F37"/>
    <w:rsid w:val="775F2867"/>
    <w:rsid w:val="77600525"/>
    <w:rsid w:val="77601ABD"/>
    <w:rsid w:val="77601B37"/>
    <w:rsid w:val="77602701"/>
    <w:rsid w:val="77610A57"/>
    <w:rsid w:val="776112D4"/>
    <w:rsid w:val="77611571"/>
    <w:rsid w:val="77612F4D"/>
    <w:rsid w:val="776167B0"/>
    <w:rsid w:val="776209F2"/>
    <w:rsid w:val="77621AC0"/>
    <w:rsid w:val="77624D81"/>
    <w:rsid w:val="7762504C"/>
    <w:rsid w:val="77626DFA"/>
    <w:rsid w:val="77626FAE"/>
    <w:rsid w:val="7763043E"/>
    <w:rsid w:val="77634BFF"/>
    <w:rsid w:val="77635A61"/>
    <w:rsid w:val="77640A6E"/>
    <w:rsid w:val="77640DC4"/>
    <w:rsid w:val="776422AF"/>
    <w:rsid w:val="77642B72"/>
    <w:rsid w:val="7764359E"/>
    <w:rsid w:val="77644920"/>
    <w:rsid w:val="77646E48"/>
    <w:rsid w:val="77655E80"/>
    <w:rsid w:val="77660628"/>
    <w:rsid w:val="77660698"/>
    <w:rsid w:val="77660C7B"/>
    <w:rsid w:val="776642F5"/>
    <w:rsid w:val="776663E4"/>
    <w:rsid w:val="776664C1"/>
    <w:rsid w:val="776668EA"/>
    <w:rsid w:val="77667D09"/>
    <w:rsid w:val="77670757"/>
    <w:rsid w:val="77671AA5"/>
    <w:rsid w:val="7767567E"/>
    <w:rsid w:val="776808B4"/>
    <w:rsid w:val="7768225C"/>
    <w:rsid w:val="77682428"/>
    <w:rsid w:val="77690189"/>
    <w:rsid w:val="77694495"/>
    <w:rsid w:val="7769480A"/>
    <w:rsid w:val="776963DA"/>
    <w:rsid w:val="776A34A3"/>
    <w:rsid w:val="776A59BB"/>
    <w:rsid w:val="776B3F01"/>
    <w:rsid w:val="776B4E89"/>
    <w:rsid w:val="776B7744"/>
    <w:rsid w:val="776C0E75"/>
    <w:rsid w:val="776C3B9C"/>
    <w:rsid w:val="776C3F2D"/>
    <w:rsid w:val="776C3FBA"/>
    <w:rsid w:val="776C453D"/>
    <w:rsid w:val="776C7C79"/>
    <w:rsid w:val="776D2012"/>
    <w:rsid w:val="776D47E2"/>
    <w:rsid w:val="776D5ECB"/>
    <w:rsid w:val="776D7CFF"/>
    <w:rsid w:val="776E1470"/>
    <w:rsid w:val="776E1C43"/>
    <w:rsid w:val="776E39D4"/>
    <w:rsid w:val="776E4541"/>
    <w:rsid w:val="776E6EDE"/>
    <w:rsid w:val="776F2A59"/>
    <w:rsid w:val="776F354E"/>
    <w:rsid w:val="776F7B60"/>
    <w:rsid w:val="77701EA6"/>
    <w:rsid w:val="777032C5"/>
    <w:rsid w:val="77704E9F"/>
    <w:rsid w:val="77710438"/>
    <w:rsid w:val="77711301"/>
    <w:rsid w:val="77714733"/>
    <w:rsid w:val="777175B5"/>
    <w:rsid w:val="777234E1"/>
    <w:rsid w:val="77724D2A"/>
    <w:rsid w:val="7772528F"/>
    <w:rsid w:val="777302D4"/>
    <w:rsid w:val="77732981"/>
    <w:rsid w:val="77732DB5"/>
    <w:rsid w:val="777330AB"/>
    <w:rsid w:val="77733EE5"/>
    <w:rsid w:val="777357E3"/>
    <w:rsid w:val="77735918"/>
    <w:rsid w:val="77736F8B"/>
    <w:rsid w:val="77737B6C"/>
    <w:rsid w:val="777413C3"/>
    <w:rsid w:val="77741723"/>
    <w:rsid w:val="77746A5D"/>
    <w:rsid w:val="77746BCA"/>
    <w:rsid w:val="77753204"/>
    <w:rsid w:val="777541F1"/>
    <w:rsid w:val="77754D7F"/>
    <w:rsid w:val="7775551D"/>
    <w:rsid w:val="77756B2D"/>
    <w:rsid w:val="777629AF"/>
    <w:rsid w:val="77764653"/>
    <w:rsid w:val="77770AF7"/>
    <w:rsid w:val="777728A5"/>
    <w:rsid w:val="77780BE2"/>
    <w:rsid w:val="777811D4"/>
    <w:rsid w:val="77784870"/>
    <w:rsid w:val="7778661E"/>
    <w:rsid w:val="7779119C"/>
    <w:rsid w:val="77791F13"/>
    <w:rsid w:val="77793094"/>
    <w:rsid w:val="777A0D22"/>
    <w:rsid w:val="777A1797"/>
    <w:rsid w:val="777A4144"/>
    <w:rsid w:val="777A676F"/>
    <w:rsid w:val="777B230A"/>
    <w:rsid w:val="777B5949"/>
    <w:rsid w:val="777B67FE"/>
    <w:rsid w:val="777B6A24"/>
    <w:rsid w:val="777C0FE5"/>
    <w:rsid w:val="777C39EC"/>
    <w:rsid w:val="777C610E"/>
    <w:rsid w:val="777C7EBC"/>
    <w:rsid w:val="777D1A16"/>
    <w:rsid w:val="777D1E86"/>
    <w:rsid w:val="777D5014"/>
    <w:rsid w:val="777D6927"/>
    <w:rsid w:val="777D7350"/>
    <w:rsid w:val="777E0525"/>
    <w:rsid w:val="777E13AC"/>
    <w:rsid w:val="777E2398"/>
    <w:rsid w:val="777F175A"/>
    <w:rsid w:val="777F2AE3"/>
    <w:rsid w:val="777F37C0"/>
    <w:rsid w:val="777F4BFF"/>
    <w:rsid w:val="777F64D6"/>
    <w:rsid w:val="77804158"/>
    <w:rsid w:val="77811976"/>
    <w:rsid w:val="77813724"/>
    <w:rsid w:val="778154D2"/>
    <w:rsid w:val="778164BA"/>
    <w:rsid w:val="77820733"/>
    <w:rsid w:val="7782124A"/>
    <w:rsid w:val="77821E16"/>
    <w:rsid w:val="77831DDC"/>
    <w:rsid w:val="77835A9E"/>
    <w:rsid w:val="778362E7"/>
    <w:rsid w:val="77840EB8"/>
    <w:rsid w:val="778431A0"/>
    <w:rsid w:val="77843214"/>
    <w:rsid w:val="77843B0F"/>
    <w:rsid w:val="77844FC2"/>
    <w:rsid w:val="778507DB"/>
    <w:rsid w:val="77850954"/>
    <w:rsid w:val="77851372"/>
    <w:rsid w:val="778538F4"/>
    <w:rsid w:val="77860258"/>
    <w:rsid w:val="77860D3A"/>
    <w:rsid w:val="77862AE9"/>
    <w:rsid w:val="778631F7"/>
    <w:rsid w:val="77866127"/>
    <w:rsid w:val="77866432"/>
    <w:rsid w:val="77873DD1"/>
    <w:rsid w:val="77874408"/>
    <w:rsid w:val="778821E1"/>
    <w:rsid w:val="7788408B"/>
    <w:rsid w:val="77885B82"/>
    <w:rsid w:val="7789082B"/>
    <w:rsid w:val="77890E3C"/>
    <w:rsid w:val="778925D9"/>
    <w:rsid w:val="77894387"/>
    <w:rsid w:val="778A50A7"/>
    <w:rsid w:val="778B00FF"/>
    <w:rsid w:val="778B160C"/>
    <w:rsid w:val="778B27BA"/>
    <w:rsid w:val="778B4D0C"/>
    <w:rsid w:val="778B6351"/>
    <w:rsid w:val="778C2C1E"/>
    <w:rsid w:val="778C3762"/>
    <w:rsid w:val="778C6721"/>
    <w:rsid w:val="778D033F"/>
    <w:rsid w:val="778D04ED"/>
    <w:rsid w:val="778D3D42"/>
    <w:rsid w:val="778E0042"/>
    <w:rsid w:val="778E2E99"/>
    <w:rsid w:val="778E4093"/>
    <w:rsid w:val="778E659F"/>
    <w:rsid w:val="778E7227"/>
    <w:rsid w:val="778F17F1"/>
    <w:rsid w:val="778F4C82"/>
    <w:rsid w:val="778F583C"/>
    <w:rsid w:val="778F5FCB"/>
    <w:rsid w:val="778F6237"/>
    <w:rsid w:val="77905715"/>
    <w:rsid w:val="7791148D"/>
    <w:rsid w:val="7791280E"/>
    <w:rsid w:val="7792494C"/>
    <w:rsid w:val="77925931"/>
    <w:rsid w:val="779276DF"/>
    <w:rsid w:val="77931173"/>
    <w:rsid w:val="77931781"/>
    <w:rsid w:val="77931CAA"/>
    <w:rsid w:val="77933051"/>
    <w:rsid w:val="7793320B"/>
    <w:rsid w:val="77933457"/>
    <w:rsid w:val="77935205"/>
    <w:rsid w:val="77936FD8"/>
    <w:rsid w:val="7794603B"/>
    <w:rsid w:val="77947903"/>
    <w:rsid w:val="77947D1A"/>
    <w:rsid w:val="77950F7E"/>
    <w:rsid w:val="779530F2"/>
    <w:rsid w:val="77955CCB"/>
    <w:rsid w:val="7795622A"/>
    <w:rsid w:val="779571D0"/>
    <w:rsid w:val="77957A84"/>
    <w:rsid w:val="77960439"/>
    <w:rsid w:val="7796169A"/>
    <w:rsid w:val="779638A1"/>
    <w:rsid w:val="77963B82"/>
    <w:rsid w:val="77965711"/>
    <w:rsid w:val="779761A5"/>
    <w:rsid w:val="77980A6E"/>
    <w:rsid w:val="77983871"/>
    <w:rsid w:val="779872F1"/>
    <w:rsid w:val="77987659"/>
    <w:rsid w:val="779915E5"/>
    <w:rsid w:val="77991C4E"/>
    <w:rsid w:val="77992439"/>
    <w:rsid w:val="779A170C"/>
    <w:rsid w:val="779A2A38"/>
    <w:rsid w:val="779A2E4D"/>
    <w:rsid w:val="779A31F2"/>
    <w:rsid w:val="779A47E6"/>
    <w:rsid w:val="779A6594"/>
    <w:rsid w:val="779B0B75"/>
    <w:rsid w:val="779B2E28"/>
    <w:rsid w:val="779B2E87"/>
    <w:rsid w:val="779B327C"/>
    <w:rsid w:val="779B361A"/>
    <w:rsid w:val="779B40BB"/>
    <w:rsid w:val="779C1F25"/>
    <w:rsid w:val="779C1F80"/>
    <w:rsid w:val="779C2158"/>
    <w:rsid w:val="779C40BA"/>
    <w:rsid w:val="779C67B0"/>
    <w:rsid w:val="779C7142"/>
    <w:rsid w:val="779D6084"/>
    <w:rsid w:val="779D7E32"/>
    <w:rsid w:val="779E031E"/>
    <w:rsid w:val="779E3CBD"/>
    <w:rsid w:val="779E5942"/>
    <w:rsid w:val="779E6A75"/>
    <w:rsid w:val="779F12EF"/>
    <w:rsid w:val="779F1DFC"/>
    <w:rsid w:val="779F3BAA"/>
    <w:rsid w:val="77A02332"/>
    <w:rsid w:val="77A066D6"/>
    <w:rsid w:val="77A06F50"/>
    <w:rsid w:val="77A07900"/>
    <w:rsid w:val="77A103A6"/>
    <w:rsid w:val="77A10A81"/>
    <w:rsid w:val="77A13DC6"/>
    <w:rsid w:val="77A143FC"/>
    <w:rsid w:val="77A15B74"/>
    <w:rsid w:val="77A21F0E"/>
    <w:rsid w:val="77A32BB3"/>
    <w:rsid w:val="77A358D1"/>
    <w:rsid w:val="77A411C1"/>
    <w:rsid w:val="77A45620"/>
    <w:rsid w:val="77A45665"/>
    <w:rsid w:val="77A46119"/>
    <w:rsid w:val="77A46C91"/>
    <w:rsid w:val="77A501F1"/>
    <w:rsid w:val="77A5215F"/>
    <w:rsid w:val="77A561F1"/>
    <w:rsid w:val="77A5657C"/>
    <w:rsid w:val="77A574D0"/>
    <w:rsid w:val="77A613DD"/>
    <w:rsid w:val="77A6318B"/>
    <w:rsid w:val="77A64F39"/>
    <w:rsid w:val="77A70DAE"/>
    <w:rsid w:val="77A7129C"/>
    <w:rsid w:val="77A71B1A"/>
    <w:rsid w:val="77A72B11"/>
    <w:rsid w:val="77A85155"/>
    <w:rsid w:val="77A860A6"/>
    <w:rsid w:val="77A86F03"/>
    <w:rsid w:val="77A92C7B"/>
    <w:rsid w:val="77A94A29"/>
    <w:rsid w:val="77A967D7"/>
    <w:rsid w:val="77A96C3D"/>
    <w:rsid w:val="77AA1870"/>
    <w:rsid w:val="77AA18CC"/>
    <w:rsid w:val="77AA2BD3"/>
    <w:rsid w:val="77AA2D01"/>
    <w:rsid w:val="77AA454C"/>
    <w:rsid w:val="77AA5312"/>
    <w:rsid w:val="77AA5585"/>
    <w:rsid w:val="77AB1CCE"/>
    <w:rsid w:val="77AB20DE"/>
    <w:rsid w:val="77AB254F"/>
    <w:rsid w:val="77AB3B0A"/>
    <w:rsid w:val="77AC0147"/>
    <w:rsid w:val="77AC172F"/>
    <w:rsid w:val="77AC39CB"/>
    <w:rsid w:val="77AC54F3"/>
    <w:rsid w:val="77AC580B"/>
    <w:rsid w:val="77AD185E"/>
    <w:rsid w:val="77AD4519"/>
    <w:rsid w:val="77AD5207"/>
    <w:rsid w:val="77AD6983"/>
    <w:rsid w:val="77AD6B10"/>
    <w:rsid w:val="77AD7022"/>
    <w:rsid w:val="77AE0291"/>
    <w:rsid w:val="77AE203F"/>
    <w:rsid w:val="77AE5FD0"/>
    <w:rsid w:val="77AE7587"/>
    <w:rsid w:val="77AE791E"/>
    <w:rsid w:val="77AF5670"/>
    <w:rsid w:val="77AF64E3"/>
    <w:rsid w:val="77B03CDB"/>
    <w:rsid w:val="77B04009"/>
    <w:rsid w:val="77B07B65"/>
    <w:rsid w:val="77B07ED5"/>
    <w:rsid w:val="77B11FE8"/>
    <w:rsid w:val="77B1231E"/>
    <w:rsid w:val="77B1573E"/>
    <w:rsid w:val="77B16B68"/>
    <w:rsid w:val="77B16F91"/>
    <w:rsid w:val="77B238DE"/>
    <w:rsid w:val="77B31048"/>
    <w:rsid w:val="77B358A8"/>
    <w:rsid w:val="77B37656"/>
    <w:rsid w:val="77B4002F"/>
    <w:rsid w:val="77B442E5"/>
    <w:rsid w:val="77B450BE"/>
    <w:rsid w:val="77B533CE"/>
    <w:rsid w:val="77B5378E"/>
    <w:rsid w:val="77B57CE6"/>
    <w:rsid w:val="77B63DA3"/>
    <w:rsid w:val="77B70EF4"/>
    <w:rsid w:val="77B721AD"/>
    <w:rsid w:val="77B748CA"/>
    <w:rsid w:val="77B75398"/>
    <w:rsid w:val="77B779A4"/>
    <w:rsid w:val="77B80753"/>
    <w:rsid w:val="77B8186A"/>
    <w:rsid w:val="77B85A11"/>
    <w:rsid w:val="77B86667"/>
    <w:rsid w:val="77B9104A"/>
    <w:rsid w:val="77B91110"/>
    <w:rsid w:val="77B91A3C"/>
    <w:rsid w:val="77B92AFE"/>
    <w:rsid w:val="77B92EBE"/>
    <w:rsid w:val="77BA35B2"/>
    <w:rsid w:val="77BA4E88"/>
    <w:rsid w:val="77BA5C11"/>
    <w:rsid w:val="77BB0BA3"/>
    <w:rsid w:val="77BB3B58"/>
    <w:rsid w:val="77BB3C0E"/>
    <w:rsid w:val="77BB4256"/>
    <w:rsid w:val="77BC0366"/>
    <w:rsid w:val="77BC29AE"/>
    <w:rsid w:val="77BC475C"/>
    <w:rsid w:val="77BC4FE8"/>
    <w:rsid w:val="77BC650A"/>
    <w:rsid w:val="77BC7D7F"/>
    <w:rsid w:val="77BD2282"/>
    <w:rsid w:val="77BD6914"/>
    <w:rsid w:val="77BE04D4"/>
    <w:rsid w:val="77BE0618"/>
    <w:rsid w:val="77BE23CD"/>
    <w:rsid w:val="77BE7F4E"/>
    <w:rsid w:val="77BF02F5"/>
    <w:rsid w:val="77BF1E80"/>
    <w:rsid w:val="77BF249E"/>
    <w:rsid w:val="77BF424C"/>
    <w:rsid w:val="77BF5221"/>
    <w:rsid w:val="77BF5FFA"/>
    <w:rsid w:val="77BF694D"/>
    <w:rsid w:val="77C03844"/>
    <w:rsid w:val="77C05699"/>
    <w:rsid w:val="77C07E93"/>
    <w:rsid w:val="77C11D73"/>
    <w:rsid w:val="77C179AD"/>
    <w:rsid w:val="77C17FC5"/>
    <w:rsid w:val="77C2072D"/>
    <w:rsid w:val="77C215F9"/>
    <w:rsid w:val="77C21D26"/>
    <w:rsid w:val="77C24B37"/>
    <w:rsid w:val="77C264FC"/>
    <w:rsid w:val="77C27C65"/>
    <w:rsid w:val="77C27FD0"/>
    <w:rsid w:val="77C349B3"/>
    <w:rsid w:val="77C356D1"/>
    <w:rsid w:val="77C35AEB"/>
    <w:rsid w:val="77C36EA2"/>
    <w:rsid w:val="77C37C18"/>
    <w:rsid w:val="77C41863"/>
    <w:rsid w:val="77C42C28"/>
    <w:rsid w:val="77C44A97"/>
    <w:rsid w:val="77C47AB5"/>
    <w:rsid w:val="77C50121"/>
    <w:rsid w:val="77C5456D"/>
    <w:rsid w:val="77C605F1"/>
    <w:rsid w:val="77C64106"/>
    <w:rsid w:val="77C7035A"/>
    <w:rsid w:val="77C70E30"/>
    <w:rsid w:val="77C7119B"/>
    <w:rsid w:val="77C74EAF"/>
    <w:rsid w:val="77C80AC5"/>
    <w:rsid w:val="77C81353"/>
    <w:rsid w:val="77C83101"/>
    <w:rsid w:val="77C86C27"/>
    <w:rsid w:val="77C8712A"/>
    <w:rsid w:val="77C910A2"/>
    <w:rsid w:val="77C936E0"/>
    <w:rsid w:val="77C9440D"/>
    <w:rsid w:val="77C96E79"/>
    <w:rsid w:val="77CA45BF"/>
    <w:rsid w:val="77CA4F22"/>
    <w:rsid w:val="77CA58BA"/>
    <w:rsid w:val="77CB0463"/>
    <w:rsid w:val="77CB1F0C"/>
    <w:rsid w:val="77CB499F"/>
    <w:rsid w:val="77CB733A"/>
    <w:rsid w:val="77CC12C2"/>
    <w:rsid w:val="77CC302E"/>
    <w:rsid w:val="77CC339C"/>
    <w:rsid w:val="77CC5083"/>
    <w:rsid w:val="77CD36FA"/>
    <w:rsid w:val="77CD39D5"/>
    <w:rsid w:val="77CD4BBB"/>
    <w:rsid w:val="77CD6969"/>
    <w:rsid w:val="77CE3A53"/>
    <w:rsid w:val="77CE4F95"/>
    <w:rsid w:val="77CF0EC8"/>
    <w:rsid w:val="77CF117F"/>
    <w:rsid w:val="77CF4AC9"/>
    <w:rsid w:val="77CF5792"/>
    <w:rsid w:val="77CF5EB2"/>
    <w:rsid w:val="77D01FB6"/>
    <w:rsid w:val="77D031AD"/>
    <w:rsid w:val="77D0645A"/>
    <w:rsid w:val="77D159E2"/>
    <w:rsid w:val="77D221D2"/>
    <w:rsid w:val="77D23F80"/>
    <w:rsid w:val="77D25555"/>
    <w:rsid w:val="77D25D2E"/>
    <w:rsid w:val="77D276D4"/>
    <w:rsid w:val="77D32D01"/>
    <w:rsid w:val="77D36376"/>
    <w:rsid w:val="77D365E8"/>
    <w:rsid w:val="77D37E16"/>
    <w:rsid w:val="77D45166"/>
    <w:rsid w:val="77D45F4A"/>
    <w:rsid w:val="77D47CF8"/>
    <w:rsid w:val="77D50881"/>
    <w:rsid w:val="77D53A70"/>
    <w:rsid w:val="77D5404E"/>
    <w:rsid w:val="77D55142"/>
    <w:rsid w:val="77D5549B"/>
    <w:rsid w:val="77D5581E"/>
    <w:rsid w:val="77D55E6A"/>
    <w:rsid w:val="77D57314"/>
    <w:rsid w:val="77D575CC"/>
    <w:rsid w:val="77D60760"/>
    <w:rsid w:val="77D60FA9"/>
    <w:rsid w:val="77D71596"/>
    <w:rsid w:val="77D73344"/>
    <w:rsid w:val="77D7454F"/>
    <w:rsid w:val="77D818F2"/>
    <w:rsid w:val="77D81CAE"/>
    <w:rsid w:val="77D84B28"/>
    <w:rsid w:val="77D863C4"/>
    <w:rsid w:val="77D86FAD"/>
    <w:rsid w:val="77D870BC"/>
    <w:rsid w:val="77D900F0"/>
    <w:rsid w:val="77D90660"/>
    <w:rsid w:val="77D91571"/>
    <w:rsid w:val="77D91CDE"/>
    <w:rsid w:val="77D93B23"/>
    <w:rsid w:val="77D941FF"/>
    <w:rsid w:val="77D9530E"/>
    <w:rsid w:val="77D9567A"/>
    <w:rsid w:val="77D961DC"/>
    <w:rsid w:val="77DA0571"/>
    <w:rsid w:val="77DA1086"/>
    <w:rsid w:val="77DA4B9C"/>
    <w:rsid w:val="77DA5DCD"/>
    <w:rsid w:val="77DA6E30"/>
    <w:rsid w:val="77DC095A"/>
    <w:rsid w:val="77DC4ECC"/>
    <w:rsid w:val="77DC5A62"/>
    <w:rsid w:val="77DC5F06"/>
    <w:rsid w:val="77DC6A97"/>
    <w:rsid w:val="77DD047F"/>
    <w:rsid w:val="77DD6EF2"/>
    <w:rsid w:val="77DE0B76"/>
    <w:rsid w:val="77DE2925"/>
    <w:rsid w:val="77DE3122"/>
    <w:rsid w:val="77DE46D3"/>
    <w:rsid w:val="77DE5CD6"/>
    <w:rsid w:val="77DE6A6D"/>
    <w:rsid w:val="77DE7DCB"/>
    <w:rsid w:val="77DF38DB"/>
    <w:rsid w:val="77DF7332"/>
    <w:rsid w:val="77E014C5"/>
    <w:rsid w:val="77E03518"/>
    <w:rsid w:val="77E0403F"/>
    <w:rsid w:val="77E048EF"/>
    <w:rsid w:val="77E04F20"/>
    <w:rsid w:val="77E0534C"/>
    <w:rsid w:val="77E07CA0"/>
    <w:rsid w:val="77E1062B"/>
    <w:rsid w:val="77E12415"/>
    <w:rsid w:val="77E141C3"/>
    <w:rsid w:val="77E15F71"/>
    <w:rsid w:val="77E23E4B"/>
    <w:rsid w:val="77E30497"/>
    <w:rsid w:val="77E31623"/>
    <w:rsid w:val="77E31CE9"/>
    <w:rsid w:val="77E32D64"/>
    <w:rsid w:val="77E3618D"/>
    <w:rsid w:val="77E37F3B"/>
    <w:rsid w:val="77E400EC"/>
    <w:rsid w:val="77E435D6"/>
    <w:rsid w:val="77E44A94"/>
    <w:rsid w:val="77E45A61"/>
    <w:rsid w:val="77E51F05"/>
    <w:rsid w:val="77E5622B"/>
    <w:rsid w:val="77E5718B"/>
    <w:rsid w:val="77E61678"/>
    <w:rsid w:val="77E616E5"/>
    <w:rsid w:val="77E62117"/>
    <w:rsid w:val="77E63E67"/>
    <w:rsid w:val="77E73245"/>
    <w:rsid w:val="77E75355"/>
    <w:rsid w:val="77E77FA4"/>
    <w:rsid w:val="77E837A3"/>
    <w:rsid w:val="77E83F11"/>
    <w:rsid w:val="77E84C71"/>
    <w:rsid w:val="77E86660"/>
    <w:rsid w:val="77E86DD1"/>
    <w:rsid w:val="77E912C9"/>
    <w:rsid w:val="77E93077"/>
    <w:rsid w:val="77E945B1"/>
    <w:rsid w:val="77E962F3"/>
    <w:rsid w:val="77E97615"/>
    <w:rsid w:val="77E97A92"/>
    <w:rsid w:val="77EA245A"/>
    <w:rsid w:val="77EA331F"/>
    <w:rsid w:val="77EB00B2"/>
    <w:rsid w:val="77EB19AF"/>
    <w:rsid w:val="77EB3293"/>
    <w:rsid w:val="77EB5041"/>
    <w:rsid w:val="77EB6DF0"/>
    <w:rsid w:val="77EC0739"/>
    <w:rsid w:val="77EC19C7"/>
    <w:rsid w:val="77EC735B"/>
    <w:rsid w:val="77ED0DBA"/>
    <w:rsid w:val="77ED4C3A"/>
    <w:rsid w:val="77ED63B3"/>
    <w:rsid w:val="77EE07F9"/>
    <w:rsid w:val="77EE1990"/>
    <w:rsid w:val="77EE4488"/>
    <w:rsid w:val="77EE7811"/>
    <w:rsid w:val="77EE7E77"/>
    <w:rsid w:val="77EF1307"/>
    <w:rsid w:val="77EF406A"/>
    <w:rsid w:val="77EF5C78"/>
    <w:rsid w:val="77F008AA"/>
    <w:rsid w:val="77F02658"/>
    <w:rsid w:val="77F03DCB"/>
    <w:rsid w:val="77F04406"/>
    <w:rsid w:val="77F10B1E"/>
    <w:rsid w:val="77F11F49"/>
    <w:rsid w:val="77F12D0A"/>
    <w:rsid w:val="77F167F8"/>
    <w:rsid w:val="77F2017E"/>
    <w:rsid w:val="77F229E6"/>
    <w:rsid w:val="77F24622"/>
    <w:rsid w:val="77F26571"/>
    <w:rsid w:val="77F43240"/>
    <w:rsid w:val="77F434A8"/>
    <w:rsid w:val="77F4365C"/>
    <w:rsid w:val="77F43EF6"/>
    <w:rsid w:val="77F45862"/>
    <w:rsid w:val="77F51049"/>
    <w:rsid w:val="77F51A1C"/>
    <w:rsid w:val="77F54044"/>
    <w:rsid w:val="77F55C9F"/>
    <w:rsid w:val="77F55EC0"/>
    <w:rsid w:val="77F57F38"/>
    <w:rsid w:val="77F617F0"/>
    <w:rsid w:val="77F62EFB"/>
    <w:rsid w:val="77F6364C"/>
    <w:rsid w:val="77F64D4A"/>
    <w:rsid w:val="77F65DEF"/>
    <w:rsid w:val="77F6641B"/>
    <w:rsid w:val="77F6725F"/>
    <w:rsid w:val="77F72A4B"/>
    <w:rsid w:val="77F83015"/>
    <w:rsid w:val="77F86619"/>
    <w:rsid w:val="77F911B4"/>
    <w:rsid w:val="77F937EA"/>
    <w:rsid w:val="77F939CB"/>
    <w:rsid w:val="77F951E6"/>
    <w:rsid w:val="77F959B0"/>
    <w:rsid w:val="77FA0FFC"/>
    <w:rsid w:val="77FA1F8A"/>
    <w:rsid w:val="77FA3313"/>
    <w:rsid w:val="77FA34D6"/>
    <w:rsid w:val="77FA53CA"/>
    <w:rsid w:val="77FA7033"/>
    <w:rsid w:val="77FB4829"/>
    <w:rsid w:val="77FB6CB2"/>
    <w:rsid w:val="77FC2DAB"/>
    <w:rsid w:val="77FC724F"/>
    <w:rsid w:val="77FD1F91"/>
    <w:rsid w:val="77FD3F2A"/>
    <w:rsid w:val="77FD51E6"/>
    <w:rsid w:val="77FE16B0"/>
    <w:rsid w:val="77FE294A"/>
    <w:rsid w:val="77FE6BF6"/>
    <w:rsid w:val="77FF0844"/>
    <w:rsid w:val="77FF289B"/>
    <w:rsid w:val="77FF4D29"/>
    <w:rsid w:val="77FF76BB"/>
    <w:rsid w:val="78000AED"/>
    <w:rsid w:val="780021A3"/>
    <w:rsid w:val="780043C8"/>
    <w:rsid w:val="78004D0A"/>
    <w:rsid w:val="780051B5"/>
    <w:rsid w:val="78005E82"/>
    <w:rsid w:val="78006964"/>
    <w:rsid w:val="78006D3F"/>
    <w:rsid w:val="7800714D"/>
    <w:rsid w:val="78012A39"/>
    <w:rsid w:val="78015642"/>
    <w:rsid w:val="78016613"/>
    <w:rsid w:val="7801792D"/>
    <w:rsid w:val="78021A3C"/>
    <w:rsid w:val="78022DE7"/>
    <w:rsid w:val="780305DD"/>
    <w:rsid w:val="7803238B"/>
    <w:rsid w:val="78034139"/>
    <w:rsid w:val="780346B9"/>
    <w:rsid w:val="78044785"/>
    <w:rsid w:val="78046963"/>
    <w:rsid w:val="7805352D"/>
    <w:rsid w:val="7805518F"/>
    <w:rsid w:val="780600CD"/>
    <w:rsid w:val="78061E7B"/>
    <w:rsid w:val="78062401"/>
    <w:rsid w:val="78063C29"/>
    <w:rsid w:val="780649BD"/>
    <w:rsid w:val="78064F1C"/>
    <w:rsid w:val="780659D7"/>
    <w:rsid w:val="7807449D"/>
    <w:rsid w:val="78075B62"/>
    <w:rsid w:val="78077F70"/>
    <w:rsid w:val="78080A1E"/>
    <w:rsid w:val="78082771"/>
    <w:rsid w:val="78082B13"/>
    <w:rsid w:val="78085BF3"/>
    <w:rsid w:val="78093B6A"/>
    <w:rsid w:val="780A1873"/>
    <w:rsid w:val="780A371A"/>
    <w:rsid w:val="780A459D"/>
    <w:rsid w:val="780A47CE"/>
    <w:rsid w:val="780B001E"/>
    <w:rsid w:val="780B1240"/>
    <w:rsid w:val="780B3DF6"/>
    <w:rsid w:val="780B4085"/>
    <w:rsid w:val="780B6032"/>
    <w:rsid w:val="780B7492"/>
    <w:rsid w:val="780C1426"/>
    <w:rsid w:val="780C266A"/>
    <w:rsid w:val="780D1CBF"/>
    <w:rsid w:val="780D24E5"/>
    <w:rsid w:val="780D37BA"/>
    <w:rsid w:val="780D4FB8"/>
    <w:rsid w:val="780D4FED"/>
    <w:rsid w:val="780D6D66"/>
    <w:rsid w:val="780E2ADE"/>
    <w:rsid w:val="780F08F1"/>
    <w:rsid w:val="780F0D30"/>
    <w:rsid w:val="780F6F82"/>
    <w:rsid w:val="780F76AC"/>
    <w:rsid w:val="78101A9B"/>
    <w:rsid w:val="78101D81"/>
    <w:rsid w:val="78106856"/>
    <w:rsid w:val="781101D6"/>
    <w:rsid w:val="78111AD0"/>
    <w:rsid w:val="78112253"/>
    <w:rsid w:val="78112CFA"/>
    <w:rsid w:val="78115DDB"/>
    <w:rsid w:val="78116641"/>
    <w:rsid w:val="78124286"/>
    <w:rsid w:val="7812537D"/>
    <w:rsid w:val="78126A72"/>
    <w:rsid w:val="781323D2"/>
    <w:rsid w:val="78135A3E"/>
    <w:rsid w:val="78140451"/>
    <w:rsid w:val="78141957"/>
    <w:rsid w:val="78144598"/>
    <w:rsid w:val="781478C1"/>
    <w:rsid w:val="781546E3"/>
    <w:rsid w:val="781550AE"/>
    <w:rsid w:val="78156CC3"/>
    <w:rsid w:val="78156D98"/>
    <w:rsid w:val="78160310"/>
    <w:rsid w:val="78161CB9"/>
    <w:rsid w:val="78171359"/>
    <w:rsid w:val="78172B01"/>
    <w:rsid w:val="78175E36"/>
    <w:rsid w:val="78177082"/>
    <w:rsid w:val="78177BE5"/>
    <w:rsid w:val="78181814"/>
    <w:rsid w:val="781827BD"/>
    <w:rsid w:val="78182DE8"/>
    <w:rsid w:val="78182DED"/>
    <w:rsid w:val="781833E4"/>
    <w:rsid w:val="78183B93"/>
    <w:rsid w:val="78186CAC"/>
    <w:rsid w:val="78187251"/>
    <w:rsid w:val="7819154E"/>
    <w:rsid w:val="7819395D"/>
    <w:rsid w:val="78197E01"/>
    <w:rsid w:val="781A76D5"/>
    <w:rsid w:val="781B444A"/>
    <w:rsid w:val="781B5752"/>
    <w:rsid w:val="781C16CC"/>
    <w:rsid w:val="781C6159"/>
    <w:rsid w:val="781D09CD"/>
    <w:rsid w:val="781E5417"/>
    <w:rsid w:val="781E71C5"/>
    <w:rsid w:val="781E766A"/>
    <w:rsid w:val="781E7C7B"/>
    <w:rsid w:val="781F087D"/>
    <w:rsid w:val="781F49FE"/>
    <w:rsid w:val="781F6DFC"/>
    <w:rsid w:val="781F6F8A"/>
    <w:rsid w:val="781F7511"/>
    <w:rsid w:val="781F75B7"/>
    <w:rsid w:val="78200551"/>
    <w:rsid w:val="7820086F"/>
    <w:rsid w:val="7820118F"/>
    <w:rsid w:val="782026F4"/>
    <w:rsid w:val="782038EE"/>
    <w:rsid w:val="78212811"/>
    <w:rsid w:val="78216177"/>
    <w:rsid w:val="782233DA"/>
    <w:rsid w:val="78224843"/>
    <w:rsid w:val="782341B2"/>
    <w:rsid w:val="78235058"/>
    <w:rsid w:val="78235886"/>
    <w:rsid w:val="78245CFE"/>
    <w:rsid w:val="78246EA7"/>
    <w:rsid w:val="78250553"/>
    <w:rsid w:val="78251700"/>
    <w:rsid w:val="78252B16"/>
    <w:rsid w:val="78254309"/>
    <w:rsid w:val="782627E4"/>
    <w:rsid w:val="782642CC"/>
    <w:rsid w:val="782679DE"/>
    <w:rsid w:val="78271283"/>
    <w:rsid w:val="78276B74"/>
    <w:rsid w:val="78281DF2"/>
    <w:rsid w:val="78285630"/>
    <w:rsid w:val="782868C6"/>
    <w:rsid w:val="78286DEE"/>
    <w:rsid w:val="78292927"/>
    <w:rsid w:val="7829361E"/>
    <w:rsid w:val="78295C74"/>
    <w:rsid w:val="78295EDA"/>
    <w:rsid w:val="782A6CD9"/>
    <w:rsid w:val="782A7918"/>
    <w:rsid w:val="782B0C9A"/>
    <w:rsid w:val="782B0E6B"/>
    <w:rsid w:val="782B5247"/>
    <w:rsid w:val="782C14A0"/>
    <w:rsid w:val="782C201B"/>
    <w:rsid w:val="782C21D0"/>
    <w:rsid w:val="782C3C84"/>
    <w:rsid w:val="782C56F1"/>
    <w:rsid w:val="782C7B34"/>
    <w:rsid w:val="782D11B6"/>
    <w:rsid w:val="782D7408"/>
    <w:rsid w:val="782E0532"/>
    <w:rsid w:val="782E1308"/>
    <w:rsid w:val="782E340F"/>
    <w:rsid w:val="782E36B7"/>
    <w:rsid w:val="782E3BC8"/>
    <w:rsid w:val="782E654C"/>
    <w:rsid w:val="782E7646"/>
    <w:rsid w:val="782F13D2"/>
    <w:rsid w:val="782F1434"/>
    <w:rsid w:val="782F1554"/>
    <w:rsid w:val="782F3D20"/>
    <w:rsid w:val="782F7A78"/>
    <w:rsid w:val="78306EF8"/>
    <w:rsid w:val="78311E50"/>
    <w:rsid w:val="783144C2"/>
    <w:rsid w:val="78320EC2"/>
    <w:rsid w:val="78323C8A"/>
    <w:rsid w:val="78330CB7"/>
    <w:rsid w:val="783339D9"/>
    <w:rsid w:val="783361F9"/>
    <w:rsid w:val="78340796"/>
    <w:rsid w:val="783412F3"/>
    <w:rsid w:val="78341FD3"/>
    <w:rsid w:val="78342545"/>
    <w:rsid w:val="78342C95"/>
    <w:rsid w:val="783469E8"/>
    <w:rsid w:val="7834772E"/>
    <w:rsid w:val="78347A3A"/>
    <w:rsid w:val="78350ECA"/>
    <w:rsid w:val="783536B7"/>
    <w:rsid w:val="783562BD"/>
    <w:rsid w:val="78360B4E"/>
    <w:rsid w:val="78362761"/>
    <w:rsid w:val="7836311D"/>
    <w:rsid w:val="78363A9B"/>
    <w:rsid w:val="783652E4"/>
    <w:rsid w:val="78366638"/>
    <w:rsid w:val="78370287"/>
    <w:rsid w:val="78370ECD"/>
    <w:rsid w:val="78372035"/>
    <w:rsid w:val="783764D9"/>
    <w:rsid w:val="78380189"/>
    <w:rsid w:val="78382EAD"/>
    <w:rsid w:val="7838362B"/>
    <w:rsid w:val="78393FFF"/>
    <w:rsid w:val="78395DAD"/>
    <w:rsid w:val="78396BBE"/>
    <w:rsid w:val="78397978"/>
    <w:rsid w:val="78397B5B"/>
    <w:rsid w:val="783A1FB8"/>
    <w:rsid w:val="783A4B66"/>
    <w:rsid w:val="783B1B25"/>
    <w:rsid w:val="783B22A8"/>
    <w:rsid w:val="783B29CA"/>
    <w:rsid w:val="783B2ACB"/>
    <w:rsid w:val="783B4ED8"/>
    <w:rsid w:val="783B52EE"/>
    <w:rsid w:val="783B67B7"/>
    <w:rsid w:val="783C1DDB"/>
    <w:rsid w:val="783C2E25"/>
    <w:rsid w:val="783C43EE"/>
    <w:rsid w:val="783C589D"/>
    <w:rsid w:val="783C764B"/>
    <w:rsid w:val="783D0796"/>
    <w:rsid w:val="783D1181"/>
    <w:rsid w:val="783D2995"/>
    <w:rsid w:val="783D5600"/>
    <w:rsid w:val="783D63F0"/>
    <w:rsid w:val="783D6892"/>
    <w:rsid w:val="783D7021"/>
    <w:rsid w:val="783E0680"/>
    <w:rsid w:val="783E1615"/>
    <w:rsid w:val="783E271A"/>
    <w:rsid w:val="783E334D"/>
    <w:rsid w:val="783E33C3"/>
    <w:rsid w:val="783E4413"/>
    <w:rsid w:val="783E66FF"/>
    <w:rsid w:val="783F1A6C"/>
    <w:rsid w:val="783F414A"/>
    <w:rsid w:val="783F4CD0"/>
    <w:rsid w:val="783F55EA"/>
    <w:rsid w:val="783F628E"/>
    <w:rsid w:val="783F66EE"/>
    <w:rsid w:val="7840503B"/>
    <w:rsid w:val="784050F6"/>
    <w:rsid w:val="7840538D"/>
    <w:rsid w:val="7840713B"/>
    <w:rsid w:val="78407DDA"/>
    <w:rsid w:val="78414C61"/>
    <w:rsid w:val="784201ED"/>
    <w:rsid w:val="78420A46"/>
    <w:rsid w:val="78420DFA"/>
    <w:rsid w:val="7842203E"/>
    <w:rsid w:val="784351B3"/>
    <w:rsid w:val="78442320"/>
    <w:rsid w:val="78447C7F"/>
    <w:rsid w:val="78450BF6"/>
    <w:rsid w:val="784529A4"/>
    <w:rsid w:val="784530E3"/>
    <w:rsid w:val="78453552"/>
    <w:rsid w:val="784573E7"/>
    <w:rsid w:val="784604CA"/>
    <w:rsid w:val="78462278"/>
    <w:rsid w:val="78462C29"/>
    <w:rsid w:val="78463035"/>
    <w:rsid w:val="78465F1F"/>
    <w:rsid w:val="78470E55"/>
    <w:rsid w:val="78471B3C"/>
    <w:rsid w:val="78474872"/>
    <w:rsid w:val="7847671C"/>
    <w:rsid w:val="78477CE4"/>
    <w:rsid w:val="78482494"/>
    <w:rsid w:val="78484242"/>
    <w:rsid w:val="78484D85"/>
    <w:rsid w:val="78485263"/>
    <w:rsid w:val="78485904"/>
    <w:rsid w:val="78485FF0"/>
    <w:rsid w:val="78491B75"/>
    <w:rsid w:val="784926EF"/>
    <w:rsid w:val="78494BF7"/>
    <w:rsid w:val="78495E70"/>
    <w:rsid w:val="78496264"/>
    <w:rsid w:val="78496EBF"/>
    <w:rsid w:val="784A152F"/>
    <w:rsid w:val="784A1D68"/>
    <w:rsid w:val="784A33A1"/>
    <w:rsid w:val="784A4FD9"/>
    <w:rsid w:val="784A6072"/>
    <w:rsid w:val="784A620C"/>
    <w:rsid w:val="784A7FBA"/>
    <w:rsid w:val="784B1BBA"/>
    <w:rsid w:val="784B2663"/>
    <w:rsid w:val="784B788E"/>
    <w:rsid w:val="784C0566"/>
    <w:rsid w:val="784C3351"/>
    <w:rsid w:val="784C38C0"/>
    <w:rsid w:val="784C50CF"/>
    <w:rsid w:val="784C530A"/>
    <w:rsid w:val="784C5490"/>
    <w:rsid w:val="784D2C9C"/>
    <w:rsid w:val="784D2F1F"/>
    <w:rsid w:val="784D3606"/>
    <w:rsid w:val="784D3AFD"/>
    <w:rsid w:val="784D7AAA"/>
    <w:rsid w:val="784D7C43"/>
    <w:rsid w:val="784E0DC4"/>
    <w:rsid w:val="784E1244"/>
    <w:rsid w:val="784E3ABE"/>
    <w:rsid w:val="784F34E1"/>
    <w:rsid w:val="784F4D06"/>
    <w:rsid w:val="784F55D0"/>
    <w:rsid w:val="78500E7C"/>
    <w:rsid w:val="785030F6"/>
    <w:rsid w:val="78505AD2"/>
    <w:rsid w:val="78510851"/>
    <w:rsid w:val="78515783"/>
    <w:rsid w:val="78516802"/>
    <w:rsid w:val="78516F62"/>
    <w:rsid w:val="78521E29"/>
    <w:rsid w:val="785250C1"/>
    <w:rsid w:val="78526BCC"/>
    <w:rsid w:val="78526E6F"/>
    <w:rsid w:val="78531F73"/>
    <w:rsid w:val="785331E4"/>
    <w:rsid w:val="785350F6"/>
    <w:rsid w:val="78540E39"/>
    <w:rsid w:val="7854125C"/>
    <w:rsid w:val="78551A83"/>
    <w:rsid w:val="78551AE6"/>
    <w:rsid w:val="78561441"/>
    <w:rsid w:val="7856695F"/>
    <w:rsid w:val="78570929"/>
    <w:rsid w:val="78572184"/>
    <w:rsid w:val="785726D7"/>
    <w:rsid w:val="7857293F"/>
    <w:rsid w:val="78574485"/>
    <w:rsid w:val="7857574B"/>
    <w:rsid w:val="78576529"/>
    <w:rsid w:val="785778FB"/>
    <w:rsid w:val="785824B3"/>
    <w:rsid w:val="78582D50"/>
    <w:rsid w:val="7858631D"/>
    <w:rsid w:val="78586E35"/>
    <w:rsid w:val="785901FD"/>
    <w:rsid w:val="78590B06"/>
    <w:rsid w:val="78591451"/>
    <w:rsid w:val="78593F8D"/>
    <w:rsid w:val="78597FC3"/>
    <w:rsid w:val="785B11FA"/>
    <w:rsid w:val="785B21C7"/>
    <w:rsid w:val="785B4099"/>
    <w:rsid w:val="785B5A3D"/>
    <w:rsid w:val="785B5D23"/>
    <w:rsid w:val="785B6447"/>
    <w:rsid w:val="785C1A9B"/>
    <w:rsid w:val="785C3E4B"/>
    <w:rsid w:val="785C3FE2"/>
    <w:rsid w:val="785C57B6"/>
    <w:rsid w:val="785C7CED"/>
    <w:rsid w:val="785D387F"/>
    <w:rsid w:val="785D3A47"/>
    <w:rsid w:val="785D6C46"/>
    <w:rsid w:val="785D735D"/>
    <w:rsid w:val="785E1CB7"/>
    <w:rsid w:val="785E2196"/>
    <w:rsid w:val="785E3A65"/>
    <w:rsid w:val="785E432A"/>
    <w:rsid w:val="785E5813"/>
    <w:rsid w:val="785F1566"/>
    <w:rsid w:val="785F2185"/>
    <w:rsid w:val="7860158C"/>
    <w:rsid w:val="7860333A"/>
    <w:rsid w:val="786063C2"/>
    <w:rsid w:val="786077DD"/>
    <w:rsid w:val="78610198"/>
    <w:rsid w:val="7861105A"/>
    <w:rsid w:val="78615304"/>
    <w:rsid w:val="786170B2"/>
    <w:rsid w:val="786215FC"/>
    <w:rsid w:val="78621B56"/>
    <w:rsid w:val="78624FB4"/>
    <w:rsid w:val="7862594D"/>
    <w:rsid w:val="786302E3"/>
    <w:rsid w:val="7863107C"/>
    <w:rsid w:val="7863228B"/>
    <w:rsid w:val="786372CE"/>
    <w:rsid w:val="786417EE"/>
    <w:rsid w:val="7864741D"/>
    <w:rsid w:val="78651ADF"/>
    <w:rsid w:val="78654DF4"/>
    <w:rsid w:val="78656BA2"/>
    <w:rsid w:val="78660DE1"/>
    <w:rsid w:val="7866291A"/>
    <w:rsid w:val="78663A6E"/>
    <w:rsid w:val="78664144"/>
    <w:rsid w:val="786646C8"/>
    <w:rsid w:val="786728C9"/>
    <w:rsid w:val="78674A1A"/>
    <w:rsid w:val="78675C60"/>
    <w:rsid w:val="786775F9"/>
    <w:rsid w:val="78680440"/>
    <w:rsid w:val="78680904"/>
    <w:rsid w:val="78681D5F"/>
    <w:rsid w:val="78682108"/>
    <w:rsid w:val="78682435"/>
    <w:rsid w:val="786848E4"/>
    <w:rsid w:val="78684D31"/>
    <w:rsid w:val="78685CEC"/>
    <w:rsid w:val="786863C4"/>
    <w:rsid w:val="78686692"/>
    <w:rsid w:val="78690F7E"/>
    <w:rsid w:val="7869103A"/>
    <w:rsid w:val="786916BF"/>
    <w:rsid w:val="786A065C"/>
    <w:rsid w:val="786A18C2"/>
    <w:rsid w:val="786A1F9F"/>
    <w:rsid w:val="786A547E"/>
    <w:rsid w:val="786B1CDE"/>
    <w:rsid w:val="786B3E35"/>
    <w:rsid w:val="786B6C0E"/>
    <w:rsid w:val="786C0252"/>
    <w:rsid w:val="786C195E"/>
    <w:rsid w:val="786C5491"/>
    <w:rsid w:val="786C7F30"/>
    <w:rsid w:val="786D3FA9"/>
    <w:rsid w:val="786D5A56"/>
    <w:rsid w:val="786D673B"/>
    <w:rsid w:val="786E09CA"/>
    <w:rsid w:val="786E279C"/>
    <w:rsid w:val="786E7BCB"/>
    <w:rsid w:val="786F0262"/>
    <w:rsid w:val="786F17CF"/>
    <w:rsid w:val="786F24EB"/>
    <w:rsid w:val="786F480F"/>
    <w:rsid w:val="786F5832"/>
    <w:rsid w:val="786F5C73"/>
    <w:rsid w:val="786F7A21"/>
    <w:rsid w:val="787119EB"/>
    <w:rsid w:val="78713476"/>
    <w:rsid w:val="7871357B"/>
    <w:rsid w:val="78713855"/>
    <w:rsid w:val="78715547"/>
    <w:rsid w:val="7871747F"/>
    <w:rsid w:val="787207BE"/>
    <w:rsid w:val="787212BF"/>
    <w:rsid w:val="787246F0"/>
    <w:rsid w:val="7872654F"/>
    <w:rsid w:val="78732343"/>
    <w:rsid w:val="787325E2"/>
    <w:rsid w:val="78732EA8"/>
    <w:rsid w:val="7873336F"/>
    <w:rsid w:val="78743289"/>
    <w:rsid w:val="78743FA0"/>
    <w:rsid w:val="78745037"/>
    <w:rsid w:val="78746DE5"/>
    <w:rsid w:val="78746E5A"/>
    <w:rsid w:val="78755700"/>
    <w:rsid w:val="78755B75"/>
    <w:rsid w:val="787567A9"/>
    <w:rsid w:val="78760DAF"/>
    <w:rsid w:val="78762B5D"/>
    <w:rsid w:val="78770683"/>
    <w:rsid w:val="78771CE8"/>
    <w:rsid w:val="787755ED"/>
    <w:rsid w:val="787768D5"/>
    <w:rsid w:val="78776CAC"/>
    <w:rsid w:val="78782D79"/>
    <w:rsid w:val="7878341C"/>
    <w:rsid w:val="78784353"/>
    <w:rsid w:val="78785895"/>
    <w:rsid w:val="7878641F"/>
    <w:rsid w:val="78786ECD"/>
    <w:rsid w:val="78787ECE"/>
    <w:rsid w:val="7879089F"/>
    <w:rsid w:val="78790CFA"/>
    <w:rsid w:val="78792F8E"/>
    <w:rsid w:val="787933AD"/>
    <w:rsid w:val="787943FB"/>
    <w:rsid w:val="78794CDE"/>
    <w:rsid w:val="78797497"/>
    <w:rsid w:val="787A00BA"/>
    <w:rsid w:val="787A3ED4"/>
    <w:rsid w:val="787B0173"/>
    <w:rsid w:val="787B1776"/>
    <w:rsid w:val="787B2D76"/>
    <w:rsid w:val="787B336D"/>
    <w:rsid w:val="787B3C56"/>
    <w:rsid w:val="787B4617"/>
    <w:rsid w:val="787B590A"/>
    <w:rsid w:val="787B613E"/>
    <w:rsid w:val="787B63C5"/>
    <w:rsid w:val="787C0BBD"/>
    <w:rsid w:val="787C0EA3"/>
    <w:rsid w:val="787C1286"/>
    <w:rsid w:val="787C3EEC"/>
    <w:rsid w:val="787D0B28"/>
    <w:rsid w:val="787D2914"/>
    <w:rsid w:val="787D4435"/>
    <w:rsid w:val="787D4971"/>
    <w:rsid w:val="787D6F27"/>
    <w:rsid w:val="787E1A12"/>
    <w:rsid w:val="787E2394"/>
    <w:rsid w:val="787E5EB6"/>
    <w:rsid w:val="787E6158"/>
    <w:rsid w:val="787E7C64"/>
    <w:rsid w:val="787F1FD9"/>
    <w:rsid w:val="787F76AA"/>
    <w:rsid w:val="78801C2E"/>
    <w:rsid w:val="788039DC"/>
    <w:rsid w:val="78804BB1"/>
    <w:rsid w:val="7880578A"/>
    <w:rsid w:val="788066A5"/>
    <w:rsid w:val="78807C5F"/>
    <w:rsid w:val="788101B4"/>
    <w:rsid w:val="78814291"/>
    <w:rsid w:val="78816041"/>
    <w:rsid w:val="788169B9"/>
    <w:rsid w:val="78821B56"/>
    <w:rsid w:val="788240B7"/>
    <w:rsid w:val="788259A6"/>
    <w:rsid w:val="788268ED"/>
    <w:rsid w:val="78830961"/>
    <w:rsid w:val="78831275"/>
    <w:rsid w:val="788315DB"/>
    <w:rsid w:val="7883171E"/>
    <w:rsid w:val="78831746"/>
    <w:rsid w:val="78831793"/>
    <w:rsid w:val="788334CC"/>
    <w:rsid w:val="78833532"/>
    <w:rsid w:val="7883527A"/>
    <w:rsid w:val="78836337"/>
    <w:rsid w:val="78837DF3"/>
    <w:rsid w:val="78840E4A"/>
    <w:rsid w:val="78847591"/>
    <w:rsid w:val="7885078C"/>
    <w:rsid w:val="788516D8"/>
    <w:rsid w:val="78857244"/>
    <w:rsid w:val="78860315"/>
    <w:rsid w:val="788640A2"/>
    <w:rsid w:val="788659BE"/>
    <w:rsid w:val="78866B18"/>
    <w:rsid w:val="78866DE3"/>
    <w:rsid w:val="78872FBC"/>
    <w:rsid w:val="78883569"/>
    <w:rsid w:val="78886285"/>
    <w:rsid w:val="78886D34"/>
    <w:rsid w:val="7889185B"/>
    <w:rsid w:val="78891BF0"/>
    <w:rsid w:val="78892D00"/>
    <w:rsid w:val="788956F8"/>
    <w:rsid w:val="7889678D"/>
    <w:rsid w:val="788A03B6"/>
    <w:rsid w:val="788A2AAC"/>
    <w:rsid w:val="788A5611"/>
    <w:rsid w:val="788A5D43"/>
    <w:rsid w:val="788B0ED1"/>
    <w:rsid w:val="788B6E25"/>
    <w:rsid w:val="788C0D77"/>
    <w:rsid w:val="788C0E1B"/>
    <w:rsid w:val="788C20BD"/>
    <w:rsid w:val="788C314D"/>
    <w:rsid w:val="788C7C5D"/>
    <w:rsid w:val="788D434B"/>
    <w:rsid w:val="788D5D25"/>
    <w:rsid w:val="788D60F9"/>
    <w:rsid w:val="788E0C59"/>
    <w:rsid w:val="788E119D"/>
    <w:rsid w:val="788E24B4"/>
    <w:rsid w:val="788E5A74"/>
    <w:rsid w:val="788E60D4"/>
    <w:rsid w:val="788F1AD5"/>
    <w:rsid w:val="788F1E71"/>
    <w:rsid w:val="788F3C1F"/>
    <w:rsid w:val="788F4DE2"/>
    <w:rsid w:val="78913F4D"/>
    <w:rsid w:val="78915BE9"/>
    <w:rsid w:val="789172E6"/>
    <w:rsid w:val="7892222C"/>
    <w:rsid w:val="789232C9"/>
    <w:rsid w:val="789247D4"/>
    <w:rsid w:val="78924896"/>
    <w:rsid w:val="789254BD"/>
    <w:rsid w:val="78925F4E"/>
    <w:rsid w:val="789268AD"/>
    <w:rsid w:val="78941235"/>
    <w:rsid w:val="789418E6"/>
    <w:rsid w:val="789444B7"/>
    <w:rsid w:val="789456D9"/>
    <w:rsid w:val="789601F2"/>
    <w:rsid w:val="78961451"/>
    <w:rsid w:val="789631FF"/>
    <w:rsid w:val="78963D25"/>
    <w:rsid w:val="78964208"/>
    <w:rsid w:val="78964255"/>
    <w:rsid w:val="789752B8"/>
    <w:rsid w:val="78976CD5"/>
    <w:rsid w:val="789842C8"/>
    <w:rsid w:val="7898454A"/>
    <w:rsid w:val="7898484F"/>
    <w:rsid w:val="7898545A"/>
    <w:rsid w:val="7899218C"/>
    <w:rsid w:val="78992B87"/>
    <w:rsid w:val="78995B49"/>
    <w:rsid w:val="789A2565"/>
    <w:rsid w:val="789B0816"/>
    <w:rsid w:val="789B25C4"/>
    <w:rsid w:val="789B6A68"/>
    <w:rsid w:val="789C2A58"/>
    <w:rsid w:val="789C2C49"/>
    <w:rsid w:val="789C39CC"/>
    <w:rsid w:val="789C3BFA"/>
    <w:rsid w:val="789C49C6"/>
    <w:rsid w:val="789C633C"/>
    <w:rsid w:val="789C776F"/>
    <w:rsid w:val="789C7A4C"/>
    <w:rsid w:val="789D458E"/>
    <w:rsid w:val="789D48A8"/>
    <w:rsid w:val="789E2083"/>
    <w:rsid w:val="789E20B4"/>
    <w:rsid w:val="789E3E62"/>
    <w:rsid w:val="789E5ABF"/>
    <w:rsid w:val="789E7338"/>
    <w:rsid w:val="789F15CA"/>
    <w:rsid w:val="789F5A0F"/>
    <w:rsid w:val="789F73C9"/>
    <w:rsid w:val="789F7B73"/>
    <w:rsid w:val="78A000BA"/>
    <w:rsid w:val="78A012AA"/>
    <w:rsid w:val="78A02A5A"/>
    <w:rsid w:val="78A0407E"/>
    <w:rsid w:val="78A046D6"/>
    <w:rsid w:val="78A04DEB"/>
    <w:rsid w:val="78A04E22"/>
    <w:rsid w:val="78A06426"/>
    <w:rsid w:val="78A064A8"/>
    <w:rsid w:val="78A064D3"/>
    <w:rsid w:val="78A06CDF"/>
    <w:rsid w:val="78A07BDA"/>
    <w:rsid w:val="78A13EEA"/>
    <w:rsid w:val="78A17ECD"/>
    <w:rsid w:val="78A21BA4"/>
    <w:rsid w:val="78A22CBE"/>
    <w:rsid w:val="78A23952"/>
    <w:rsid w:val="78A24954"/>
    <w:rsid w:val="78A27DF6"/>
    <w:rsid w:val="78A33BF0"/>
    <w:rsid w:val="78A35437"/>
    <w:rsid w:val="78A37030"/>
    <w:rsid w:val="78A371E1"/>
    <w:rsid w:val="78A376CA"/>
    <w:rsid w:val="78A41457"/>
    <w:rsid w:val="78A434E7"/>
    <w:rsid w:val="78A43B6E"/>
    <w:rsid w:val="78A46AC8"/>
    <w:rsid w:val="78A4729E"/>
    <w:rsid w:val="78A50442"/>
    <w:rsid w:val="78A53133"/>
    <w:rsid w:val="78A53442"/>
    <w:rsid w:val="78A53ED1"/>
    <w:rsid w:val="78A551F0"/>
    <w:rsid w:val="78A61D8B"/>
    <w:rsid w:val="78A63C66"/>
    <w:rsid w:val="78A6518B"/>
    <w:rsid w:val="78A6563D"/>
    <w:rsid w:val="78A70951"/>
    <w:rsid w:val="78A738CB"/>
    <w:rsid w:val="78A73CC6"/>
    <w:rsid w:val="78A771BA"/>
    <w:rsid w:val="78A84CE1"/>
    <w:rsid w:val="78A8569E"/>
    <w:rsid w:val="78A87798"/>
    <w:rsid w:val="78A87E4E"/>
    <w:rsid w:val="78A91184"/>
    <w:rsid w:val="78A92733"/>
    <w:rsid w:val="78A94834"/>
    <w:rsid w:val="78A95A88"/>
    <w:rsid w:val="78AA2807"/>
    <w:rsid w:val="78AA3B0C"/>
    <w:rsid w:val="78AA3B1E"/>
    <w:rsid w:val="78AA5499"/>
    <w:rsid w:val="78AA6CAB"/>
    <w:rsid w:val="78AA797A"/>
    <w:rsid w:val="78AB3049"/>
    <w:rsid w:val="78AB3600"/>
    <w:rsid w:val="78AC273E"/>
    <w:rsid w:val="78AC2EA5"/>
    <w:rsid w:val="78AC47D1"/>
    <w:rsid w:val="78AC48A8"/>
    <w:rsid w:val="78AC5638"/>
    <w:rsid w:val="78AD0549"/>
    <w:rsid w:val="78AD35AF"/>
    <w:rsid w:val="78AD3ABF"/>
    <w:rsid w:val="78AD3BCE"/>
    <w:rsid w:val="78AE03C1"/>
    <w:rsid w:val="78AE4EA6"/>
    <w:rsid w:val="78AE505E"/>
    <w:rsid w:val="78AE66A2"/>
    <w:rsid w:val="78AE679B"/>
    <w:rsid w:val="78AF26E5"/>
    <w:rsid w:val="78AF42C1"/>
    <w:rsid w:val="78AF44DB"/>
    <w:rsid w:val="78AF4BC4"/>
    <w:rsid w:val="78AF606F"/>
    <w:rsid w:val="78AF7494"/>
    <w:rsid w:val="78B11DE7"/>
    <w:rsid w:val="78B13B95"/>
    <w:rsid w:val="78B14230"/>
    <w:rsid w:val="78B15049"/>
    <w:rsid w:val="78B17036"/>
    <w:rsid w:val="78B2790D"/>
    <w:rsid w:val="78B3079C"/>
    <w:rsid w:val="78B336A1"/>
    <w:rsid w:val="78B3458F"/>
    <w:rsid w:val="78B35B5F"/>
    <w:rsid w:val="78B37A40"/>
    <w:rsid w:val="78B40250"/>
    <w:rsid w:val="78B418D7"/>
    <w:rsid w:val="78B43685"/>
    <w:rsid w:val="78B43C18"/>
    <w:rsid w:val="78B5309D"/>
    <w:rsid w:val="78B564F2"/>
    <w:rsid w:val="78B56D93"/>
    <w:rsid w:val="78B611AB"/>
    <w:rsid w:val="78B622DC"/>
    <w:rsid w:val="78B638A1"/>
    <w:rsid w:val="78B64840"/>
    <w:rsid w:val="78B673FD"/>
    <w:rsid w:val="78B67C52"/>
    <w:rsid w:val="78B737C7"/>
    <w:rsid w:val="78B74F24"/>
    <w:rsid w:val="78B75815"/>
    <w:rsid w:val="78B80CE1"/>
    <w:rsid w:val="78B8118C"/>
    <w:rsid w:val="78B90C9C"/>
    <w:rsid w:val="78B9380A"/>
    <w:rsid w:val="78B93AAB"/>
    <w:rsid w:val="78B94D42"/>
    <w:rsid w:val="78B95140"/>
    <w:rsid w:val="78B96EEE"/>
    <w:rsid w:val="78B97B31"/>
    <w:rsid w:val="78BA09DC"/>
    <w:rsid w:val="78BA2B52"/>
    <w:rsid w:val="78BA3601"/>
    <w:rsid w:val="78BA3973"/>
    <w:rsid w:val="78BA6271"/>
    <w:rsid w:val="78BA688C"/>
    <w:rsid w:val="78BB0EB8"/>
    <w:rsid w:val="78BB1417"/>
    <w:rsid w:val="78BB3A20"/>
    <w:rsid w:val="78BB4A14"/>
    <w:rsid w:val="78BB61EE"/>
    <w:rsid w:val="78BB6548"/>
    <w:rsid w:val="78BC01CF"/>
    <w:rsid w:val="78BC2780"/>
    <w:rsid w:val="78BC4422"/>
    <w:rsid w:val="78BD078C"/>
    <w:rsid w:val="78BD1A3A"/>
    <w:rsid w:val="78BD1BF0"/>
    <w:rsid w:val="78BD1F82"/>
    <w:rsid w:val="78BD247C"/>
    <w:rsid w:val="78BD2A8A"/>
    <w:rsid w:val="78BD5E28"/>
    <w:rsid w:val="78BD69DE"/>
    <w:rsid w:val="78BD714E"/>
    <w:rsid w:val="78BE0131"/>
    <w:rsid w:val="78BE0C8D"/>
    <w:rsid w:val="78BE1519"/>
    <w:rsid w:val="78BE1CD7"/>
    <w:rsid w:val="78BE1D2C"/>
    <w:rsid w:val="78BE4C84"/>
    <w:rsid w:val="78BE62B2"/>
    <w:rsid w:val="78BF0096"/>
    <w:rsid w:val="78BF256F"/>
    <w:rsid w:val="78BF3BB1"/>
    <w:rsid w:val="78C04AFB"/>
    <w:rsid w:val="78C10177"/>
    <w:rsid w:val="78C10FCE"/>
    <w:rsid w:val="78C11D93"/>
    <w:rsid w:val="78C134D4"/>
    <w:rsid w:val="78C14214"/>
    <w:rsid w:val="78C223DB"/>
    <w:rsid w:val="78C23FF4"/>
    <w:rsid w:val="78C25DA2"/>
    <w:rsid w:val="78C31B1A"/>
    <w:rsid w:val="78C338C8"/>
    <w:rsid w:val="78C35DF4"/>
    <w:rsid w:val="78C37D6C"/>
    <w:rsid w:val="78C41394"/>
    <w:rsid w:val="78C44D84"/>
    <w:rsid w:val="78C46E6A"/>
    <w:rsid w:val="78C51D0F"/>
    <w:rsid w:val="78C52043"/>
    <w:rsid w:val="78C52617"/>
    <w:rsid w:val="78C532E5"/>
    <w:rsid w:val="78C53AE4"/>
    <w:rsid w:val="78C57641"/>
    <w:rsid w:val="78C62AEE"/>
    <w:rsid w:val="78C63C62"/>
    <w:rsid w:val="78C65643"/>
    <w:rsid w:val="78C733B9"/>
    <w:rsid w:val="78C75C05"/>
    <w:rsid w:val="78C77592"/>
    <w:rsid w:val="78C7785D"/>
    <w:rsid w:val="78C80EDF"/>
    <w:rsid w:val="78C81EB5"/>
    <w:rsid w:val="78C820ED"/>
    <w:rsid w:val="78C91C66"/>
    <w:rsid w:val="78C95383"/>
    <w:rsid w:val="78C96163"/>
    <w:rsid w:val="78C96241"/>
    <w:rsid w:val="78CA26FA"/>
    <w:rsid w:val="78CA2EA9"/>
    <w:rsid w:val="78CA30F6"/>
    <w:rsid w:val="78CA3769"/>
    <w:rsid w:val="78CA4C57"/>
    <w:rsid w:val="78CA5CC7"/>
    <w:rsid w:val="78CB12CE"/>
    <w:rsid w:val="78CB7683"/>
    <w:rsid w:val="78CB77EA"/>
    <w:rsid w:val="78CC05E7"/>
    <w:rsid w:val="78CC09CF"/>
    <w:rsid w:val="78CC3620"/>
    <w:rsid w:val="78CC404E"/>
    <w:rsid w:val="78CC43CD"/>
    <w:rsid w:val="78CC4E73"/>
    <w:rsid w:val="78CC53D7"/>
    <w:rsid w:val="78CD24E8"/>
    <w:rsid w:val="78CD346B"/>
    <w:rsid w:val="78CD4747"/>
    <w:rsid w:val="78CE13D0"/>
    <w:rsid w:val="78CE5AD8"/>
    <w:rsid w:val="78CF04BF"/>
    <w:rsid w:val="78CF3F8C"/>
    <w:rsid w:val="78CF3FD4"/>
    <w:rsid w:val="78CF4963"/>
    <w:rsid w:val="78CF66CA"/>
    <w:rsid w:val="78CF6711"/>
    <w:rsid w:val="78D00C98"/>
    <w:rsid w:val="78D0318D"/>
    <w:rsid w:val="78D03CBC"/>
    <w:rsid w:val="78D044A0"/>
    <w:rsid w:val="78D078CB"/>
    <w:rsid w:val="78D11731"/>
    <w:rsid w:val="78D11888"/>
    <w:rsid w:val="78D2049C"/>
    <w:rsid w:val="78D2172E"/>
    <w:rsid w:val="78D21D5D"/>
    <w:rsid w:val="78D22E32"/>
    <w:rsid w:val="78D2453A"/>
    <w:rsid w:val="78D26023"/>
    <w:rsid w:val="78D33C7E"/>
    <w:rsid w:val="78D358E9"/>
    <w:rsid w:val="78D35E36"/>
    <w:rsid w:val="78D36201"/>
    <w:rsid w:val="78D379D5"/>
    <w:rsid w:val="78D37FAF"/>
    <w:rsid w:val="78D41DC3"/>
    <w:rsid w:val="78D43D28"/>
    <w:rsid w:val="78D43DFB"/>
    <w:rsid w:val="78D46D79"/>
    <w:rsid w:val="78D51699"/>
    <w:rsid w:val="78D5321A"/>
    <w:rsid w:val="78D53C6B"/>
    <w:rsid w:val="78D566C2"/>
    <w:rsid w:val="78D635FC"/>
    <w:rsid w:val="78D644B0"/>
    <w:rsid w:val="78D70B45"/>
    <w:rsid w:val="78D7244F"/>
    <w:rsid w:val="78D756FA"/>
    <w:rsid w:val="78D801CA"/>
    <w:rsid w:val="78D855C6"/>
    <w:rsid w:val="78D8723A"/>
    <w:rsid w:val="78D9133E"/>
    <w:rsid w:val="78D921BD"/>
    <w:rsid w:val="78D92BEB"/>
    <w:rsid w:val="78D930EC"/>
    <w:rsid w:val="78D937A6"/>
    <w:rsid w:val="78D9566C"/>
    <w:rsid w:val="78D972CE"/>
    <w:rsid w:val="78D978BB"/>
    <w:rsid w:val="78DA31B6"/>
    <w:rsid w:val="78DA407B"/>
    <w:rsid w:val="78DA7EF9"/>
    <w:rsid w:val="78DB1E94"/>
    <w:rsid w:val="78DB50B6"/>
    <w:rsid w:val="78DB5571"/>
    <w:rsid w:val="78DB6755"/>
    <w:rsid w:val="78DB6E64"/>
    <w:rsid w:val="78DC089D"/>
    <w:rsid w:val="78DC0F21"/>
    <w:rsid w:val="78DC1289"/>
    <w:rsid w:val="78DC39C5"/>
    <w:rsid w:val="78DC46D7"/>
    <w:rsid w:val="78DC47C4"/>
    <w:rsid w:val="78DC51B8"/>
    <w:rsid w:val="78DD2BDC"/>
    <w:rsid w:val="78DD498A"/>
    <w:rsid w:val="78DD5A18"/>
    <w:rsid w:val="78DD5CD8"/>
    <w:rsid w:val="78DE1224"/>
    <w:rsid w:val="78DE42AA"/>
    <w:rsid w:val="78DE5373"/>
    <w:rsid w:val="78DE6954"/>
    <w:rsid w:val="78DE748B"/>
    <w:rsid w:val="78DF10EA"/>
    <w:rsid w:val="78DF2B42"/>
    <w:rsid w:val="78DF3E8C"/>
    <w:rsid w:val="78DF4AE7"/>
    <w:rsid w:val="78E0091E"/>
    <w:rsid w:val="78E01192"/>
    <w:rsid w:val="78E038F6"/>
    <w:rsid w:val="78E06AB0"/>
    <w:rsid w:val="78E15BFF"/>
    <w:rsid w:val="78E16B88"/>
    <w:rsid w:val="78E17F5C"/>
    <w:rsid w:val="78E201F2"/>
    <w:rsid w:val="78E20793"/>
    <w:rsid w:val="78E20EE0"/>
    <w:rsid w:val="78E21FA1"/>
    <w:rsid w:val="78E24696"/>
    <w:rsid w:val="78E25054"/>
    <w:rsid w:val="78E4686E"/>
    <w:rsid w:val="78E47CFE"/>
    <w:rsid w:val="78E528CF"/>
    <w:rsid w:val="78E53392"/>
    <w:rsid w:val="78E561BF"/>
    <w:rsid w:val="78E5650C"/>
    <w:rsid w:val="78E639B8"/>
    <w:rsid w:val="78E6551F"/>
    <w:rsid w:val="78E707C4"/>
    <w:rsid w:val="78E71B71"/>
    <w:rsid w:val="78E71CAD"/>
    <w:rsid w:val="78E730C6"/>
    <w:rsid w:val="78E73A5B"/>
    <w:rsid w:val="78E74306"/>
    <w:rsid w:val="78E7441D"/>
    <w:rsid w:val="78E806A1"/>
    <w:rsid w:val="78E81250"/>
    <w:rsid w:val="78E81E4E"/>
    <w:rsid w:val="78E821F5"/>
    <w:rsid w:val="78E84C32"/>
    <w:rsid w:val="78E86EB5"/>
    <w:rsid w:val="78E909DB"/>
    <w:rsid w:val="78E90E66"/>
    <w:rsid w:val="78E91A42"/>
    <w:rsid w:val="78E964DC"/>
    <w:rsid w:val="78E975A9"/>
    <w:rsid w:val="78EA0688"/>
    <w:rsid w:val="78EA2116"/>
    <w:rsid w:val="78EA29B6"/>
    <w:rsid w:val="78EA310B"/>
    <w:rsid w:val="78EA3913"/>
    <w:rsid w:val="78EA4BA6"/>
    <w:rsid w:val="78EA70A7"/>
    <w:rsid w:val="78EB5000"/>
    <w:rsid w:val="78EB552F"/>
    <w:rsid w:val="78EC0B6A"/>
    <w:rsid w:val="78EC37F9"/>
    <w:rsid w:val="78EC588C"/>
    <w:rsid w:val="78EC60FE"/>
    <w:rsid w:val="78EC72C3"/>
    <w:rsid w:val="78ED7920"/>
    <w:rsid w:val="78EE1267"/>
    <w:rsid w:val="78EE4DE9"/>
    <w:rsid w:val="78EE6B97"/>
    <w:rsid w:val="78EF290F"/>
    <w:rsid w:val="78EF29F6"/>
    <w:rsid w:val="78EF4179"/>
    <w:rsid w:val="78EF46BD"/>
    <w:rsid w:val="78EF4C3C"/>
    <w:rsid w:val="78EF6552"/>
    <w:rsid w:val="78F0258C"/>
    <w:rsid w:val="78F04E11"/>
    <w:rsid w:val="78F05551"/>
    <w:rsid w:val="78F079E2"/>
    <w:rsid w:val="78F10E72"/>
    <w:rsid w:val="78F148D9"/>
    <w:rsid w:val="78F153F0"/>
    <w:rsid w:val="78F17112"/>
    <w:rsid w:val="78F21008"/>
    <w:rsid w:val="78F30238"/>
    <w:rsid w:val="78F302E6"/>
    <w:rsid w:val="78F30652"/>
    <w:rsid w:val="78F3088B"/>
    <w:rsid w:val="78F32400"/>
    <w:rsid w:val="78F34331"/>
    <w:rsid w:val="78F35FD2"/>
    <w:rsid w:val="78F370A4"/>
    <w:rsid w:val="78F42BEF"/>
    <w:rsid w:val="78F46887"/>
    <w:rsid w:val="78F47BBC"/>
    <w:rsid w:val="78F47F26"/>
    <w:rsid w:val="78F51364"/>
    <w:rsid w:val="78F546F3"/>
    <w:rsid w:val="78F604EE"/>
    <w:rsid w:val="78F61EF0"/>
    <w:rsid w:val="78F65A4C"/>
    <w:rsid w:val="78F735A3"/>
    <w:rsid w:val="78F74974"/>
    <w:rsid w:val="78F75E44"/>
    <w:rsid w:val="78F8132E"/>
    <w:rsid w:val="78F817C4"/>
    <w:rsid w:val="78F85C68"/>
    <w:rsid w:val="78F93FFC"/>
    <w:rsid w:val="78F9553C"/>
    <w:rsid w:val="78F965C2"/>
    <w:rsid w:val="78FA3665"/>
    <w:rsid w:val="78FA7F2F"/>
    <w:rsid w:val="78FB3062"/>
    <w:rsid w:val="78FB5758"/>
    <w:rsid w:val="78FB7506"/>
    <w:rsid w:val="78FB7E29"/>
    <w:rsid w:val="78FC1432"/>
    <w:rsid w:val="78FC310E"/>
    <w:rsid w:val="78FC4BD4"/>
    <w:rsid w:val="78FC6D8C"/>
    <w:rsid w:val="78FC739C"/>
    <w:rsid w:val="78FD327E"/>
    <w:rsid w:val="78FD3C75"/>
    <w:rsid w:val="78FD4950"/>
    <w:rsid w:val="78FD502C"/>
    <w:rsid w:val="78FD5501"/>
    <w:rsid w:val="78FD63A6"/>
    <w:rsid w:val="78FD68AC"/>
    <w:rsid w:val="78FD700F"/>
    <w:rsid w:val="78FE1DF3"/>
    <w:rsid w:val="78FE2B52"/>
    <w:rsid w:val="78FE3719"/>
    <w:rsid w:val="78FF3476"/>
    <w:rsid w:val="78FF6FF6"/>
    <w:rsid w:val="79000BD1"/>
    <w:rsid w:val="79004E34"/>
    <w:rsid w:val="790068CB"/>
    <w:rsid w:val="79011F7D"/>
    <w:rsid w:val="79020895"/>
    <w:rsid w:val="790407D9"/>
    <w:rsid w:val="79040F6E"/>
    <w:rsid w:val="79042E6C"/>
    <w:rsid w:val="7904344D"/>
    <w:rsid w:val="7904532E"/>
    <w:rsid w:val="79045AC4"/>
    <w:rsid w:val="790472E8"/>
    <w:rsid w:val="79050385"/>
    <w:rsid w:val="79050C3B"/>
    <w:rsid w:val="79051C48"/>
    <w:rsid w:val="79052133"/>
    <w:rsid w:val="79053D12"/>
    <w:rsid w:val="79055C6B"/>
    <w:rsid w:val="79055DDE"/>
    <w:rsid w:val="790562D5"/>
    <w:rsid w:val="790564A3"/>
    <w:rsid w:val="79060079"/>
    <w:rsid w:val="79063B57"/>
    <w:rsid w:val="79064B9E"/>
    <w:rsid w:val="79066439"/>
    <w:rsid w:val="79070793"/>
    <w:rsid w:val="7907181E"/>
    <w:rsid w:val="790724BF"/>
    <w:rsid w:val="79072D5D"/>
    <w:rsid w:val="79073098"/>
    <w:rsid w:val="79073DA6"/>
    <w:rsid w:val="790740FD"/>
    <w:rsid w:val="790742C7"/>
    <w:rsid w:val="790747E8"/>
    <w:rsid w:val="7907579C"/>
    <w:rsid w:val="79075EAB"/>
    <w:rsid w:val="7908115C"/>
    <w:rsid w:val="79082CFF"/>
    <w:rsid w:val="7908577F"/>
    <w:rsid w:val="79085C69"/>
    <w:rsid w:val="79091599"/>
    <w:rsid w:val="790936AC"/>
    <w:rsid w:val="79096067"/>
    <w:rsid w:val="7909636F"/>
    <w:rsid w:val="790A0589"/>
    <w:rsid w:val="790A14F7"/>
    <w:rsid w:val="790A3571"/>
    <w:rsid w:val="790A7749"/>
    <w:rsid w:val="790B17E5"/>
    <w:rsid w:val="790B2EA9"/>
    <w:rsid w:val="790B3104"/>
    <w:rsid w:val="790B717B"/>
    <w:rsid w:val="790C526F"/>
    <w:rsid w:val="790C78A0"/>
    <w:rsid w:val="790D0ECB"/>
    <w:rsid w:val="790D4044"/>
    <w:rsid w:val="790D4BF3"/>
    <w:rsid w:val="790D615B"/>
    <w:rsid w:val="790E0FE8"/>
    <w:rsid w:val="790E26D5"/>
    <w:rsid w:val="790E4834"/>
    <w:rsid w:val="790E7239"/>
    <w:rsid w:val="790F13A6"/>
    <w:rsid w:val="790F18E4"/>
    <w:rsid w:val="791013A0"/>
    <w:rsid w:val="79103429"/>
    <w:rsid w:val="791056F8"/>
    <w:rsid w:val="7910588B"/>
    <w:rsid w:val="7911045C"/>
    <w:rsid w:val="79110AD8"/>
    <w:rsid w:val="79110CA6"/>
    <w:rsid w:val="79112F20"/>
    <w:rsid w:val="79122AA5"/>
    <w:rsid w:val="79125110"/>
    <w:rsid w:val="79132AA2"/>
    <w:rsid w:val="79134850"/>
    <w:rsid w:val="79134B6A"/>
    <w:rsid w:val="79137580"/>
    <w:rsid w:val="7914215A"/>
    <w:rsid w:val="79144124"/>
    <w:rsid w:val="79144A35"/>
    <w:rsid w:val="7915026D"/>
    <w:rsid w:val="791505C8"/>
    <w:rsid w:val="79150FE1"/>
    <w:rsid w:val="791660EE"/>
    <w:rsid w:val="79166499"/>
    <w:rsid w:val="79166B9F"/>
    <w:rsid w:val="79166F50"/>
    <w:rsid w:val="79167E9C"/>
    <w:rsid w:val="79173CCA"/>
    <w:rsid w:val="79174555"/>
    <w:rsid w:val="79175481"/>
    <w:rsid w:val="79175A82"/>
    <w:rsid w:val="79175F0E"/>
    <w:rsid w:val="79176732"/>
    <w:rsid w:val="791800B8"/>
    <w:rsid w:val="79183C14"/>
    <w:rsid w:val="7918575E"/>
    <w:rsid w:val="791906D8"/>
    <w:rsid w:val="791967ED"/>
    <w:rsid w:val="79197BCD"/>
    <w:rsid w:val="791A03CF"/>
    <w:rsid w:val="791A150E"/>
    <w:rsid w:val="791A1762"/>
    <w:rsid w:val="791A3E30"/>
    <w:rsid w:val="791A5BDE"/>
    <w:rsid w:val="791B1956"/>
    <w:rsid w:val="791B3704"/>
    <w:rsid w:val="791B3E29"/>
    <w:rsid w:val="791B40DF"/>
    <w:rsid w:val="791B54B2"/>
    <w:rsid w:val="791C150D"/>
    <w:rsid w:val="791C2768"/>
    <w:rsid w:val="791C358E"/>
    <w:rsid w:val="791D122B"/>
    <w:rsid w:val="791D2B02"/>
    <w:rsid w:val="791D56CF"/>
    <w:rsid w:val="791D5911"/>
    <w:rsid w:val="791E0116"/>
    <w:rsid w:val="791E36BE"/>
    <w:rsid w:val="791E4FA3"/>
    <w:rsid w:val="791E6907"/>
    <w:rsid w:val="791F0F29"/>
    <w:rsid w:val="791F5DD1"/>
    <w:rsid w:val="791F6EC6"/>
    <w:rsid w:val="79200D1B"/>
    <w:rsid w:val="7920230C"/>
    <w:rsid w:val="792036BA"/>
    <w:rsid w:val="79203D32"/>
    <w:rsid w:val="79206F6D"/>
    <w:rsid w:val="792104F0"/>
    <w:rsid w:val="79213EFE"/>
    <w:rsid w:val="792151BF"/>
    <w:rsid w:val="79217852"/>
    <w:rsid w:val="79217890"/>
    <w:rsid w:val="79230AF6"/>
    <w:rsid w:val="79232399"/>
    <w:rsid w:val="7923239F"/>
    <w:rsid w:val="79235D22"/>
    <w:rsid w:val="79241FD0"/>
    <w:rsid w:val="79242614"/>
    <w:rsid w:val="79243D01"/>
    <w:rsid w:val="79247B02"/>
    <w:rsid w:val="792571AB"/>
    <w:rsid w:val="79257420"/>
    <w:rsid w:val="79257EB6"/>
    <w:rsid w:val="792627D5"/>
    <w:rsid w:val="792629ED"/>
    <w:rsid w:val="792656B3"/>
    <w:rsid w:val="79273CE0"/>
    <w:rsid w:val="79273E57"/>
    <w:rsid w:val="7927654D"/>
    <w:rsid w:val="79280CB6"/>
    <w:rsid w:val="792812D1"/>
    <w:rsid w:val="79282889"/>
    <w:rsid w:val="792838E1"/>
    <w:rsid w:val="7928405B"/>
    <w:rsid w:val="792901F7"/>
    <w:rsid w:val="79291119"/>
    <w:rsid w:val="79292BA6"/>
    <w:rsid w:val="79294073"/>
    <w:rsid w:val="79295B3E"/>
    <w:rsid w:val="79297BCF"/>
    <w:rsid w:val="79297E79"/>
    <w:rsid w:val="792A3948"/>
    <w:rsid w:val="792A5904"/>
    <w:rsid w:val="792B1EEA"/>
    <w:rsid w:val="792B2493"/>
    <w:rsid w:val="792B7DEB"/>
    <w:rsid w:val="792C5912"/>
    <w:rsid w:val="792C76C0"/>
    <w:rsid w:val="792D01A2"/>
    <w:rsid w:val="792D5336"/>
    <w:rsid w:val="792E10F5"/>
    <w:rsid w:val="792E168A"/>
    <w:rsid w:val="792E3438"/>
    <w:rsid w:val="792E3B93"/>
    <w:rsid w:val="792E4A82"/>
    <w:rsid w:val="792F0F5E"/>
    <w:rsid w:val="792F1B6B"/>
    <w:rsid w:val="79301BF7"/>
    <w:rsid w:val="79305402"/>
    <w:rsid w:val="79314BC4"/>
    <w:rsid w:val="79324135"/>
    <w:rsid w:val="79331250"/>
    <w:rsid w:val="79333A86"/>
    <w:rsid w:val="79333BC5"/>
    <w:rsid w:val="79334EF2"/>
    <w:rsid w:val="79341CCC"/>
    <w:rsid w:val="79341D8A"/>
    <w:rsid w:val="793420B5"/>
    <w:rsid w:val="79343915"/>
    <w:rsid w:val="79350795"/>
    <w:rsid w:val="79350925"/>
    <w:rsid w:val="79352A18"/>
    <w:rsid w:val="793534EA"/>
    <w:rsid w:val="79355B9E"/>
    <w:rsid w:val="79362D0F"/>
    <w:rsid w:val="79366D19"/>
    <w:rsid w:val="7936799D"/>
    <w:rsid w:val="7937063A"/>
    <w:rsid w:val="793709AC"/>
    <w:rsid w:val="79372177"/>
    <w:rsid w:val="793725E7"/>
    <w:rsid w:val="79377B0E"/>
    <w:rsid w:val="79382508"/>
    <w:rsid w:val="793842B6"/>
    <w:rsid w:val="79386064"/>
    <w:rsid w:val="79391090"/>
    <w:rsid w:val="79393390"/>
    <w:rsid w:val="79393E1C"/>
    <w:rsid w:val="793A4026"/>
    <w:rsid w:val="793B1032"/>
    <w:rsid w:val="793B1370"/>
    <w:rsid w:val="793B3DA7"/>
    <w:rsid w:val="793B54E3"/>
    <w:rsid w:val="793B5B55"/>
    <w:rsid w:val="793B7903"/>
    <w:rsid w:val="793C2134"/>
    <w:rsid w:val="793C2903"/>
    <w:rsid w:val="793C54D6"/>
    <w:rsid w:val="793D367B"/>
    <w:rsid w:val="793D539E"/>
    <w:rsid w:val="793E24A4"/>
    <w:rsid w:val="793F0931"/>
    <w:rsid w:val="793F382A"/>
    <w:rsid w:val="793F3897"/>
    <w:rsid w:val="793F60AE"/>
    <w:rsid w:val="793F7FB7"/>
    <w:rsid w:val="7940316B"/>
    <w:rsid w:val="79404F19"/>
    <w:rsid w:val="7940529D"/>
    <w:rsid w:val="7940675C"/>
    <w:rsid w:val="794116F1"/>
    <w:rsid w:val="79422322"/>
    <w:rsid w:val="79425123"/>
    <w:rsid w:val="79425135"/>
    <w:rsid w:val="79426EE3"/>
    <w:rsid w:val="79426F50"/>
    <w:rsid w:val="7943071A"/>
    <w:rsid w:val="794336FA"/>
    <w:rsid w:val="79436FDC"/>
    <w:rsid w:val="794409EF"/>
    <w:rsid w:val="79442C5B"/>
    <w:rsid w:val="79443B30"/>
    <w:rsid w:val="79443C73"/>
    <w:rsid w:val="79443D1C"/>
    <w:rsid w:val="79444A09"/>
    <w:rsid w:val="794468D7"/>
    <w:rsid w:val="79450781"/>
    <w:rsid w:val="79450A5C"/>
    <w:rsid w:val="79452469"/>
    <w:rsid w:val="79453A14"/>
    <w:rsid w:val="7945427C"/>
    <w:rsid w:val="79455C0B"/>
    <w:rsid w:val="7945675E"/>
    <w:rsid w:val="794636E1"/>
    <w:rsid w:val="794644CA"/>
    <w:rsid w:val="79464C25"/>
    <w:rsid w:val="79465BDE"/>
    <w:rsid w:val="7946709B"/>
    <w:rsid w:val="79467D04"/>
    <w:rsid w:val="79470763"/>
    <w:rsid w:val="79472735"/>
    <w:rsid w:val="794744F9"/>
    <w:rsid w:val="7948000C"/>
    <w:rsid w:val="7948048D"/>
    <w:rsid w:val="794826B6"/>
    <w:rsid w:val="79484405"/>
    <w:rsid w:val="79484DDC"/>
    <w:rsid w:val="79485E05"/>
    <w:rsid w:val="794910FB"/>
    <w:rsid w:val="79492020"/>
    <w:rsid w:val="7949283E"/>
    <w:rsid w:val="79494091"/>
    <w:rsid w:val="7949417E"/>
    <w:rsid w:val="79495474"/>
    <w:rsid w:val="794964C4"/>
    <w:rsid w:val="794968E3"/>
    <w:rsid w:val="794A28C1"/>
    <w:rsid w:val="794A3419"/>
    <w:rsid w:val="794A3B99"/>
    <w:rsid w:val="794A53CE"/>
    <w:rsid w:val="794B033C"/>
    <w:rsid w:val="794B3395"/>
    <w:rsid w:val="794B3AAD"/>
    <w:rsid w:val="794B401A"/>
    <w:rsid w:val="794C11D1"/>
    <w:rsid w:val="794C2F0D"/>
    <w:rsid w:val="794C7D62"/>
    <w:rsid w:val="794D09D1"/>
    <w:rsid w:val="794D6593"/>
    <w:rsid w:val="794E160F"/>
    <w:rsid w:val="794E21E1"/>
    <w:rsid w:val="794E337D"/>
    <w:rsid w:val="794E4B27"/>
    <w:rsid w:val="794E7636"/>
    <w:rsid w:val="794E79D3"/>
    <w:rsid w:val="794F06AD"/>
    <w:rsid w:val="794F0D84"/>
    <w:rsid w:val="794F126F"/>
    <w:rsid w:val="794F197B"/>
    <w:rsid w:val="794F33AE"/>
    <w:rsid w:val="79500774"/>
    <w:rsid w:val="7950085E"/>
    <w:rsid w:val="79501600"/>
    <w:rsid w:val="79502D1E"/>
    <w:rsid w:val="79503C1F"/>
    <w:rsid w:val="79510295"/>
    <w:rsid w:val="795135CA"/>
    <w:rsid w:val="79516EBF"/>
    <w:rsid w:val="79517074"/>
    <w:rsid w:val="79521B64"/>
    <w:rsid w:val="795239FA"/>
    <w:rsid w:val="79523E44"/>
    <w:rsid w:val="795301B7"/>
    <w:rsid w:val="79530E69"/>
    <w:rsid w:val="795310F0"/>
    <w:rsid w:val="79531CDB"/>
    <w:rsid w:val="79532039"/>
    <w:rsid w:val="79532E9E"/>
    <w:rsid w:val="79534C4C"/>
    <w:rsid w:val="795361CD"/>
    <w:rsid w:val="79536ACE"/>
    <w:rsid w:val="795409C4"/>
    <w:rsid w:val="79540DA5"/>
    <w:rsid w:val="7954147E"/>
    <w:rsid w:val="79551614"/>
    <w:rsid w:val="79552B2F"/>
    <w:rsid w:val="79554CF0"/>
    <w:rsid w:val="79560513"/>
    <w:rsid w:val="79562432"/>
    <w:rsid w:val="7956298E"/>
    <w:rsid w:val="79562B9A"/>
    <w:rsid w:val="79563FBF"/>
    <w:rsid w:val="79570020"/>
    <w:rsid w:val="7957051C"/>
    <w:rsid w:val="79570BE0"/>
    <w:rsid w:val="79572E4F"/>
    <w:rsid w:val="795750D5"/>
    <w:rsid w:val="7957544F"/>
    <w:rsid w:val="795821B6"/>
    <w:rsid w:val="79586707"/>
    <w:rsid w:val="79590E40"/>
    <w:rsid w:val="795A327D"/>
    <w:rsid w:val="795A422D"/>
    <w:rsid w:val="795A449A"/>
    <w:rsid w:val="795A4EFB"/>
    <w:rsid w:val="795A5801"/>
    <w:rsid w:val="795A5FDB"/>
    <w:rsid w:val="795B1D53"/>
    <w:rsid w:val="795B7E31"/>
    <w:rsid w:val="795B7FA5"/>
    <w:rsid w:val="795C490E"/>
    <w:rsid w:val="795C75CE"/>
    <w:rsid w:val="795D0E38"/>
    <w:rsid w:val="795D11F9"/>
    <w:rsid w:val="795D19AB"/>
    <w:rsid w:val="795D6186"/>
    <w:rsid w:val="795E2B1F"/>
    <w:rsid w:val="795F07A8"/>
    <w:rsid w:val="795F117B"/>
    <w:rsid w:val="795F1843"/>
    <w:rsid w:val="795F31CF"/>
    <w:rsid w:val="795F401D"/>
    <w:rsid w:val="79602363"/>
    <w:rsid w:val="796055BB"/>
    <w:rsid w:val="79607369"/>
    <w:rsid w:val="7961380D"/>
    <w:rsid w:val="79613CA3"/>
    <w:rsid w:val="79620ABF"/>
    <w:rsid w:val="79621333"/>
    <w:rsid w:val="796213A3"/>
    <w:rsid w:val="79621B1A"/>
    <w:rsid w:val="79622A8E"/>
    <w:rsid w:val="796230E1"/>
    <w:rsid w:val="7962377D"/>
    <w:rsid w:val="79627585"/>
    <w:rsid w:val="79637F37"/>
    <w:rsid w:val="79641194"/>
    <w:rsid w:val="796438D3"/>
    <w:rsid w:val="796439DE"/>
    <w:rsid w:val="796450AB"/>
    <w:rsid w:val="79647A53"/>
    <w:rsid w:val="79647F07"/>
    <w:rsid w:val="796508D6"/>
    <w:rsid w:val="79651862"/>
    <w:rsid w:val="79652BD2"/>
    <w:rsid w:val="79657034"/>
    <w:rsid w:val="7966355A"/>
    <w:rsid w:val="79665461"/>
    <w:rsid w:val="79666685"/>
    <w:rsid w:val="796706F8"/>
    <w:rsid w:val="79670E77"/>
    <w:rsid w:val="796724C6"/>
    <w:rsid w:val="79674B9C"/>
    <w:rsid w:val="79677221"/>
    <w:rsid w:val="79677F04"/>
    <w:rsid w:val="79680FA5"/>
    <w:rsid w:val="79692435"/>
    <w:rsid w:val="79692951"/>
    <w:rsid w:val="79694470"/>
    <w:rsid w:val="796945FE"/>
    <w:rsid w:val="796A2CAB"/>
    <w:rsid w:val="796B0205"/>
    <w:rsid w:val="796B0FEC"/>
    <w:rsid w:val="796B4D55"/>
    <w:rsid w:val="796B527D"/>
    <w:rsid w:val="796B684C"/>
    <w:rsid w:val="796C0DB6"/>
    <w:rsid w:val="796C1A43"/>
    <w:rsid w:val="796C2B7D"/>
    <w:rsid w:val="796C3F60"/>
    <w:rsid w:val="796C56AF"/>
    <w:rsid w:val="796C5D0E"/>
    <w:rsid w:val="796D042C"/>
    <w:rsid w:val="796D14A2"/>
    <w:rsid w:val="796D1696"/>
    <w:rsid w:val="796D439A"/>
    <w:rsid w:val="796D6193"/>
    <w:rsid w:val="796D6783"/>
    <w:rsid w:val="796E0152"/>
    <w:rsid w:val="796E28A5"/>
    <w:rsid w:val="796E4E17"/>
    <w:rsid w:val="796E7ABC"/>
    <w:rsid w:val="796F0ED1"/>
    <w:rsid w:val="796F59CA"/>
    <w:rsid w:val="79701CA2"/>
    <w:rsid w:val="7970499F"/>
    <w:rsid w:val="797057FE"/>
    <w:rsid w:val="79705967"/>
    <w:rsid w:val="79711576"/>
    <w:rsid w:val="79713798"/>
    <w:rsid w:val="797149A7"/>
    <w:rsid w:val="79715684"/>
    <w:rsid w:val="79735D94"/>
    <w:rsid w:val="79743164"/>
    <w:rsid w:val="79743BDF"/>
    <w:rsid w:val="7974470B"/>
    <w:rsid w:val="79750042"/>
    <w:rsid w:val="79751067"/>
    <w:rsid w:val="79752C05"/>
    <w:rsid w:val="79752E15"/>
    <w:rsid w:val="79754594"/>
    <w:rsid w:val="79756DED"/>
    <w:rsid w:val="79764A39"/>
    <w:rsid w:val="79764DDF"/>
    <w:rsid w:val="79766B8D"/>
    <w:rsid w:val="79770526"/>
    <w:rsid w:val="79771284"/>
    <w:rsid w:val="79773031"/>
    <w:rsid w:val="79773AEF"/>
    <w:rsid w:val="79775B0D"/>
    <w:rsid w:val="7978090D"/>
    <w:rsid w:val="79782905"/>
    <w:rsid w:val="7978366A"/>
    <w:rsid w:val="7978655F"/>
    <w:rsid w:val="797877D1"/>
    <w:rsid w:val="79791B97"/>
    <w:rsid w:val="79791CCF"/>
    <w:rsid w:val="797944C1"/>
    <w:rsid w:val="7979711D"/>
    <w:rsid w:val="797A0320"/>
    <w:rsid w:val="797A199F"/>
    <w:rsid w:val="797A586D"/>
    <w:rsid w:val="797A714D"/>
    <w:rsid w:val="797A7706"/>
    <w:rsid w:val="797B119D"/>
    <w:rsid w:val="797B41A3"/>
    <w:rsid w:val="797B484A"/>
    <w:rsid w:val="797B6BC6"/>
    <w:rsid w:val="797B741B"/>
    <w:rsid w:val="797C0647"/>
    <w:rsid w:val="797C08FD"/>
    <w:rsid w:val="797C23F5"/>
    <w:rsid w:val="797C2C40"/>
    <w:rsid w:val="797C3811"/>
    <w:rsid w:val="797C53D1"/>
    <w:rsid w:val="797C5DCA"/>
    <w:rsid w:val="797D2002"/>
    <w:rsid w:val="797D43BF"/>
    <w:rsid w:val="797D7F1B"/>
    <w:rsid w:val="797E3990"/>
    <w:rsid w:val="797F0137"/>
    <w:rsid w:val="797F03DB"/>
    <w:rsid w:val="797F1EE5"/>
    <w:rsid w:val="797F7298"/>
    <w:rsid w:val="798006BC"/>
    <w:rsid w:val="798017B9"/>
    <w:rsid w:val="798026FC"/>
    <w:rsid w:val="79805E66"/>
    <w:rsid w:val="798073D4"/>
    <w:rsid w:val="798126DF"/>
    <w:rsid w:val="79816BC0"/>
    <w:rsid w:val="79823784"/>
    <w:rsid w:val="79824349"/>
    <w:rsid w:val="79825532"/>
    <w:rsid w:val="798266B4"/>
    <w:rsid w:val="798311B6"/>
    <w:rsid w:val="798373B1"/>
    <w:rsid w:val="798377A9"/>
    <w:rsid w:val="7984574E"/>
    <w:rsid w:val="798474FC"/>
    <w:rsid w:val="7985309E"/>
    <w:rsid w:val="798555D1"/>
    <w:rsid w:val="79856DD0"/>
    <w:rsid w:val="7986195D"/>
    <w:rsid w:val="79863274"/>
    <w:rsid w:val="79865022"/>
    <w:rsid w:val="79870D9A"/>
    <w:rsid w:val="798765CF"/>
    <w:rsid w:val="79884759"/>
    <w:rsid w:val="79891186"/>
    <w:rsid w:val="79891A1F"/>
    <w:rsid w:val="7989249C"/>
    <w:rsid w:val="798968C0"/>
    <w:rsid w:val="79896D2C"/>
    <w:rsid w:val="798973E3"/>
    <w:rsid w:val="798A046E"/>
    <w:rsid w:val="798A1A54"/>
    <w:rsid w:val="798A4CA4"/>
    <w:rsid w:val="798B023C"/>
    <w:rsid w:val="798B04B0"/>
    <w:rsid w:val="798B6ADC"/>
    <w:rsid w:val="798B6F10"/>
    <w:rsid w:val="798C015E"/>
    <w:rsid w:val="798C03A0"/>
    <w:rsid w:val="798C2C9F"/>
    <w:rsid w:val="798C63B0"/>
    <w:rsid w:val="798C7D0F"/>
    <w:rsid w:val="798D06C4"/>
    <w:rsid w:val="798D48F4"/>
    <w:rsid w:val="798E037A"/>
    <w:rsid w:val="798E3ED6"/>
    <w:rsid w:val="799037D9"/>
    <w:rsid w:val="79903F33"/>
    <w:rsid w:val="799040F2"/>
    <w:rsid w:val="799046AE"/>
    <w:rsid w:val="79904AF4"/>
    <w:rsid w:val="79905CC6"/>
    <w:rsid w:val="79907C4E"/>
    <w:rsid w:val="799133F8"/>
    <w:rsid w:val="799139C7"/>
    <w:rsid w:val="799152AB"/>
    <w:rsid w:val="79922717"/>
    <w:rsid w:val="7992594E"/>
    <w:rsid w:val="799314ED"/>
    <w:rsid w:val="799325F8"/>
    <w:rsid w:val="79934D63"/>
    <w:rsid w:val="79935991"/>
    <w:rsid w:val="7993603D"/>
    <w:rsid w:val="799376AC"/>
    <w:rsid w:val="7993773F"/>
    <w:rsid w:val="79937FC0"/>
    <w:rsid w:val="7994287F"/>
    <w:rsid w:val="79945CD0"/>
    <w:rsid w:val="79951709"/>
    <w:rsid w:val="79951905"/>
    <w:rsid w:val="7995240F"/>
    <w:rsid w:val="799534B7"/>
    <w:rsid w:val="79954748"/>
    <w:rsid w:val="799548EF"/>
    <w:rsid w:val="79955265"/>
    <w:rsid w:val="799728E1"/>
    <w:rsid w:val="79975481"/>
    <w:rsid w:val="799773C0"/>
    <w:rsid w:val="79982FA7"/>
    <w:rsid w:val="79984D55"/>
    <w:rsid w:val="79986B03"/>
    <w:rsid w:val="79993EFB"/>
    <w:rsid w:val="79996AF7"/>
    <w:rsid w:val="799A05EF"/>
    <w:rsid w:val="799A095B"/>
    <w:rsid w:val="799A2B86"/>
    <w:rsid w:val="799A4527"/>
    <w:rsid w:val="799A6E0D"/>
    <w:rsid w:val="799A702A"/>
    <w:rsid w:val="799B085F"/>
    <w:rsid w:val="799B15FB"/>
    <w:rsid w:val="799B2509"/>
    <w:rsid w:val="799B3335"/>
    <w:rsid w:val="799C276C"/>
    <w:rsid w:val="799C2A97"/>
    <w:rsid w:val="799D05BD"/>
    <w:rsid w:val="799D0856"/>
    <w:rsid w:val="799D236B"/>
    <w:rsid w:val="799E69EB"/>
    <w:rsid w:val="799F3C44"/>
    <w:rsid w:val="799F4335"/>
    <w:rsid w:val="799F5F7F"/>
    <w:rsid w:val="799F7E92"/>
    <w:rsid w:val="79A0432E"/>
    <w:rsid w:val="79A103EA"/>
    <w:rsid w:val="79A13C0A"/>
    <w:rsid w:val="79A22E25"/>
    <w:rsid w:val="79A23E94"/>
    <w:rsid w:val="79A264D8"/>
    <w:rsid w:val="79A26CD1"/>
    <w:rsid w:val="79A27982"/>
    <w:rsid w:val="79A279F4"/>
    <w:rsid w:val="79A3293C"/>
    <w:rsid w:val="79A33A55"/>
    <w:rsid w:val="79A33E26"/>
    <w:rsid w:val="79A34320"/>
    <w:rsid w:val="79A4194C"/>
    <w:rsid w:val="79A41D38"/>
    <w:rsid w:val="79A42295"/>
    <w:rsid w:val="79A441B1"/>
    <w:rsid w:val="79A47315"/>
    <w:rsid w:val="79A54C2F"/>
    <w:rsid w:val="79A56375"/>
    <w:rsid w:val="79A5707B"/>
    <w:rsid w:val="79A61220"/>
    <w:rsid w:val="79A61CBD"/>
    <w:rsid w:val="79A62A50"/>
    <w:rsid w:val="79A66679"/>
    <w:rsid w:val="79A6682F"/>
    <w:rsid w:val="79A66831"/>
    <w:rsid w:val="79A67472"/>
    <w:rsid w:val="79A731EA"/>
    <w:rsid w:val="79A73866"/>
    <w:rsid w:val="79A74F98"/>
    <w:rsid w:val="79A74FA7"/>
    <w:rsid w:val="79A7581F"/>
    <w:rsid w:val="79A836B8"/>
    <w:rsid w:val="79A9007F"/>
    <w:rsid w:val="79A95DA6"/>
    <w:rsid w:val="79A96F62"/>
    <w:rsid w:val="79AA08B5"/>
    <w:rsid w:val="79AA0D57"/>
    <w:rsid w:val="79AA10BD"/>
    <w:rsid w:val="79AA2B53"/>
    <w:rsid w:val="79AA3928"/>
    <w:rsid w:val="79AA7485"/>
    <w:rsid w:val="79AB00D9"/>
    <w:rsid w:val="79AB02A0"/>
    <w:rsid w:val="79AB1DF3"/>
    <w:rsid w:val="79AB21E7"/>
    <w:rsid w:val="79AB4A88"/>
    <w:rsid w:val="79AB65E2"/>
    <w:rsid w:val="79AB6836"/>
    <w:rsid w:val="79AB7265"/>
    <w:rsid w:val="79AC0800"/>
    <w:rsid w:val="79AC48DA"/>
    <w:rsid w:val="79AD0E19"/>
    <w:rsid w:val="79AD614A"/>
    <w:rsid w:val="79AD625B"/>
    <w:rsid w:val="79AD6A52"/>
    <w:rsid w:val="79AE22A9"/>
    <w:rsid w:val="79AE4579"/>
    <w:rsid w:val="79AE5A88"/>
    <w:rsid w:val="79AE7E5B"/>
    <w:rsid w:val="79AE7E66"/>
    <w:rsid w:val="79AF3D49"/>
    <w:rsid w:val="79AF5A8A"/>
    <w:rsid w:val="79B002F1"/>
    <w:rsid w:val="79B007E1"/>
    <w:rsid w:val="79B00931"/>
    <w:rsid w:val="79B04BBE"/>
    <w:rsid w:val="79B0650D"/>
    <w:rsid w:val="79B06543"/>
    <w:rsid w:val="79B10C2A"/>
    <w:rsid w:val="79B153BB"/>
    <w:rsid w:val="79B16059"/>
    <w:rsid w:val="79B17059"/>
    <w:rsid w:val="79B215A6"/>
    <w:rsid w:val="79B23068"/>
    <w:rsid w:val="79B24069"/>
    <w:rsid w:val="79B274F1"/>
    <w:rsid w:val="79B30B0B"/>
    <w:rsid w:val="79B3216D"/>
    <w:rsid w:val="79B3393D"/>
    <w:rsid w:val="79B37DE1"/>
    <w:rsid w:val="79B37FEF"/>
    <w:rsid w:val="79B40799"/>
    <w:rsid w:val="79B439C1"/>
    <w:rsid w:val="79B52179"/>
    <w:rsid w:val="79B53B59"/>
    <w:rsid w:val="79B55830"/>
    <w:rsid w:val="79B55E6A"/>
    <w:rsid w:val="79B56BD9"/>
    <w:rsid w:val="79B6062C"/>
    <w:rsid w:val="79B627F4"/>
    <w:rsid w:val="79B63D12"/>
    <w:rsid w:val="79B67868"/>
    <w:rsid w:val="79B709E1"/>
    <w:rsid w:val="79B71679"/>
    <w:rsid w:val="79B7342D"/>
    <w:rsid w:val="79B74A9C"/>
    <w:rsid w:val="79B75F39"/>
    <w:rsid w:val="79B778D1"/>
    <w:rsid w:val="79B80C48"/>
    <w:rsid w:val="79B80DB0"/>
    <w:rsid w:val="79B8161A"/>
    <w:rsid w:val="79B82368"/>
    <w:rsid w:val="79B847EB"/>
    <w:rsid w:val="79B84D0B"/>
    <w:rsid w:val="79B90891"/>
    <w:rsid w:val="79B9661A"/>
    <w:rsid w:val="79B973BC"/>
    <w:rsid w:val="79BA09BE"/>
    <w:rsid w:val="79BA1156"/>
    <w:rsid w:val="79BA116F"/>
    <w:rsid w:val="79BA4CCB"/>
    <w:rsid w:val="79BA5170"/>
    <w:rsid w:val="79BA59EF"/>
    <w:rsid w:val="79BB001B"/>
    <w:rsid w:val="79BB5FA7"/>
    <w:rsid w:val="79BC0A44"/>
    <w:rsid w:val="79BC4EE7"/>
    <w:rsid w:val="79BC5D3D"/>
    <w:rsid w:val="79BD1688"/>
    <w:rsid w:val="79BD1CBA"/>
    <w:rsid w:val="79BD2236"/>
    <w:rsid w:val="79BD45FC"/>
    <w:rsid w:val="79BD54E6"/>
    <w:rsid w:val="79BD656A"/>
    <w:rsid w:val="79BE170E"/>
    <w:rsid w:val="79BE6950"/>
    <w:rsid w:val="79BE6B50"/>
    <w:rsid w:val="79BE7F61"/>
    <w:rsid w:val="79BF6786"/>
    <w:rsid w:val="79C0084C"/>
    <w:rsid w:val="79C01A98"/>
    <w:rsid w:val="79C02755"/>
    <w:rsid w:val="79C037E3"/>
    <w:rsid w:val="79C05643"/>
    <w:rsid w:val="79C06531"/>
    <w:rsid w:val="79C124FE"/>
    <w:rsid w:val="79C13F0A"/>
    <w:rsid w:val="79C14B14"/>
    <w:rsid w:val="79C15812"/>
    <w:rsid w:val="79C1605A"/>
    <w:rsid w:val="79C16FDE"/>
    <w:rsid w:val="79C17D3A"/>
    <w:rsid w:val="79C21AE8"/>
    <w:rsid w:val="79C21BAF"/>
    <w:rsid w:val="79C2422B"/>
    <w:rsid w:val="79C30024"/>
    <w:rsid w:val="79C33113"/>
    <w:rsid w:val="79C35E6C"/>
    <w:rsid w:val="79C43D9C"/>
    <w:rsid w:val="79C45B4A"/>
    <w:rsid w:val="79C478F8"/>
    <w:rsid w:val="79C51E45"/>
    <w:rsid w:val="79C556EA"/>
    <w:rsid w:val="79C55A67"/>
    <w:rsid w:val="79C618C2"/>
    <w:rsid w:val="79C61BF5"/>
    <w:rsid w:val="79C6562E"/>
    <w:rsid w:val="79C67B14"/>
    <w:rsid w:val="79C70438"/>
    <w:rsid w:val="79C70B90"/>
    <w:rsid w:val="79C72E50"/>
    <w:rsid w:val="79C73031"/>
    <w:rsid w:val="79C77718"/>
    <w:rsid w:val="79C77E0B"/>
    <w:rsid w:val="79C8151D"/>
    <w:rsid w:val="79C8157D"/>
    <w:rsid w:val="79C8388C"/>
    <w:rsid w:val="79C83D7D"/>
    <w:rsid w:val="79C8563A"/>
    <w:rsid w:val="79C856AB"/>
    <w:rsid w:val="79C93160"/>
    <w:rsid w:val="79C93E08"/>
    <w:rsid w:val="79C948FD"/>
    <w:rsid w:val="79C97816"/>
    <w:rsid w:val="79CA2999"/>
    <w:rsid w:val="79CB1CED"/>
    <w:rsid w:val="79CB328D"/>
    <w:rsid w:val="79CB512B"/>
    <w:rsid w:val="79CB75F2"/>
    <w:rsid w:val="79CB7DB6"/>
    <w:rsid w:val="79CC040C"/>
    <w:rsid w:val="79CC2886"/>
    <w:rsid w:val="79CC2C61"/>
    <w:rsid w:val="79CC4659"/>
    <w:rsid w:val="79CC49FF"/>
    <w:rsid w:val="79CD0EA3"/>
    <w:rsid w:val="79CD2C51"/>
    <w:rsid w:val="79CD477A"/>
    <w:rsid w:val="79CD4DED"/>
    <w:rsid w:val="79CD573E"/>
    <w:rsid w:val="79CD5799"/>
    <w:rsid w:val="79CD595E"/>
    <w:rsid w:val="79CD6CC2"/>
    <w:rsid w:val="79CE0777"/>
    <w:rsid w:val="79CE2E48"/>
    <w:rsid w:val="79CE4923"/>
    <w:rsid w:val="79CE4C1B"/>
    <w:rsid w:val="79CE69C9"/>
    <w:rsid w:val="79CE6EED"/>
    <w:rsid w:val="79CF15E2"/>
    <w:rsid w:val="79CF2AE0"/>
    <w:rsid w:val="79CF4097"/>
    <w:rsid w:val="79CF4BED"/>
    <w:rsid w:val="79CF6DFC"/>
    <w:rsid w:val="79CF7393"/>
    <w:rsid w:val="79D00DAE"/>
    <w:rsid w:val="79D02741"/>
    <w:rsid w:val="79D02A72"/>
    <w:rsid w:val="79D0309C"/>
    <w:rsid w:val="79D05936"/>
    <w:rsid w:val="79D059EC"/>
    <w:rsid w:val="79D0629D"/>
    <w:rsid w:val="79D103CA"/>
    <w:rsid w:val="79D11D51"/>
    <w:rsid w:val="79D14215"/>
    <w:rsid w:val="79D1424A"/>
    <w:rsid w:val="79D14825"/>
    <w:rsid w:val="79D17703"/>
    <w:rsid w:val="79D20267"/>
    <w:rsid w:val="79D23052"/>
    <w:rsid w:val="79D25C5B"/>
    <w:rsid w:val="79D272E4"/>
    <w:rsid w:val="79D27FA4"/>
    <w:rsid w:val="79D31B8D"/>
    <w:rsid w:val="79D31E17"/>
    <w:rsid w:val="79D32B34"/>
    <w:rsid w:val="79D34DF7"/>
    <w:rsid w:val="79D41220"/>
    <w:rsid w:val="79D42231"/>
    <w:rsid w:val="79D44E82"/>
    <w:rsid w:val="79D457D6"/>
    <w:rsid w:val="79D51B05"/>
    <w:rsid w:val="79D55FA9"/>
    <w:rsid w:val="79D56A0E"/>
    <w:rsid w:val="79D56C3E"/>
    <w:rsid w:val="79D5738A"/>
    <w:rsid w:val="79D57603"/>
    <w:rsid w:val="79D57D57"/>
    <w:rsid w:val="79D6353C"/>
    <w:rsid w:val="79D66509"/>
    <w:rsid w:val="79D66530"/>
    <w:rsid w:val="79D7587D"/>
    <w:rsid w:val="79D7696E"/>
    <w:rsid w:val="79D7762B"/>
    <w:rsid w:val="79D800BB"/>
    <w:rsid w:val="79D815F5"/>
    <w:rsid w:val="79D833A4"/>
    <w:rsid w:val="79DA0A3A"/>
    <w:rsid w:val="79DA20F9"/>
    <w:rsid w:val="79DA35C0"/>
    <w:rsid w:val="79DB12C6"/>
    <w:rsid w:val="79DB2756"/>
    <w:rsid w:val="79DB7D0F"/>
    <w:rsid w:val="79DC10E6"/>
    <w:rsid w:val="79DC1D90"/>
    <w:rsid w:val="79DC2E94"/>
    <w:rsid w:val="79DC42E2"/>
    <w:rsid w:val="79DD09BA"/>
    <w:rsid w:val="79DD0BCB"/>
    <w:rsid w:val="79DD58CC"/>
    <w:rsid w:val="79DD6707"/>
    <w:rsid w:val="79DE565B"/>
    <w:rsid w:val="79DE7C47"/>
    <w:rsid w:val="79DF2984"/>
    <w:rsid w:val="79DF3A40"/>
    <w:rsid w:val="79DF5063"/>
    <w:rsid w:val="79DF54DC"/>
    <w:rsid w:val="79E00282"/>
    <w:rsid w:val="79E005EE"/>
    <w:rsid w:val="79E007A3"/>
    <w:rsid w:val="79E06F9F"/>
    <w:rsid w:val="79E07F17"/>
    <w:rsid w:val="79E104AA"/>
    <w:rsid w:val="79E127FF"/>
    <w:rsid w:val="79E12DC5"/>
    <w:rsid w:val="79E139F7"/>
    <w:rsid w:val="79E15631"/>
    <w:rsid w:val="79E166FC"/>
    <w:rsid w:val="79E1768B"/>
    <w:rsid w:val="79E25534"/>
    <w:rsid w:val="79E30EE8"/>
    <w:rsid w:val="79E30FE6"/>
    <w:rsid w:val="79E31752"/>
    <w:rsid w:val="79E31EED"/>
    <w:rsid w:val="79E47AFE"/>
    <w:rsid w:val="79E50660"/>
    <w:rsid w:val="79E53808"/>
    <w:rsid w:val="79E53B70"/>
    <w:rsid w:val="79E53CB3"/>
    <w:rsid w:val="79E54E74"/>
    <w:rsid w:val="79E61AA4"/>
    <w:rsid w:val="79E61F64"/>
    <w:rsid w:val="79E633E2"/>
    <w:rsid w:val="79E65AC0"/>
    <w:rsid w:val="79E70B47"/>
    <w:rsid w:val="79E7231B"/>
    <w:rsid w:val="79E740A3"/>
    <w:rsid w:val="79E76203"/>
    <w:rsid w:val="79E81839"/>
    <w:rsid w:val="79E84563"/>
    <w:rsid w:val="79E90CBF"/>
    <w:rsid w:val="79E93803"/>
    <w:rsid w:val="79E9637C"/>
    <w:rsid w:val="79EA0049"/>
    <w:rsid w:val="79EA0FE6"/>
    <w:rsid w:val="79EA1A55"/>
    <w:rsid w:val="79EA2E23"/>
    <w:rsid w:val="79EA376F"/>
    <w:rsid w:val="79EA5643"/>
    <w:rsid w:val="79EA5CD9"/>
    <w:rsid w:val="79EB30D7"/>
    <w:rsid w:val="79EB7002"/>
    <w:rsid w:val="79EB7DB5"/>
    <w:rsid w:val="79EC0676"/>
    <w:rsid w:val="79EC3D83"/>
    <w:rsid w:val="79ED2518"/>
    <w:rsid w:val="79ED32F3"/>
    <w:rsid w:val="79ED50A1"/>
    <w:rsid w:val="79ED6E4F"/>
    <w:rsid w:val="79EE2BC7"/>
    <w:rsid w:val="79EE5FFB"/>
    <w:rsid w:val="79EE6F7F"/>
    <w:rsid w:val="79EF012E"/>
    <w:rsid w:val="79EF2389"/>
    <w:rsid w:val="79EF35BD"/>
    <w:rsid w:val="79EF618C"/>
    <w:rsid w:val="79F006ED"/>
    <w:rsid w:val="79F01271"/>
    <w:rsid w:val="79F015DC"/>
    <w:rsid w:val="79F01F04"/>
    <w:rsid w:val="79F02BD7"/>
    <w:rsid w:val="79F037A9"/>
    <w:rsid w:val="79F0693F"/>
    <w:rsid w:val="79F11A86"/>
    <w:rsid w:val="79F14E46"/>
    <w:rsid w:val="79F2009F"/>
    <w:rsid w:val="79F20407"/>
    <w:rsid w:val="79F20909"/>
    <w:rsid w:val="79F20BE1"/>
    <w:rsid w:val="79F3157C"/>
    <w:rsid w:val="79F3507F"/>
    <w:rsid w:val="79F3642F"/>
    <w:rsid w:val="79F368F6"/>
    <w:rsid w:val="79F41980"/>
    <w:rsid w:val="79F434E1"/>
    <w:rsid w:val="79F43AA3"/>
    <w:rsid w:val="79F44681"/>
    <w:rsid w:val="79F44D9E"/>
    <w:rsid w:val="79F45738"/>
    <w:rsid w:val="79F477A0"/>
    <w:rsid w:val="79F47F1D"/>
    <w:rsid w:val="79F521A7"/>
    <w:rsid w:val="79F53F55"/>
    <w:rsid w:val="79F558C6"/>
    <w:rsid w:val="79F6271A"/>
    <w:rsid w:val="79F6478D"/>
    <w:rsid w:val="79F70702"/>
    <w:rsid w:val="79F71172"/>
    <w:rsid w:val="79F71A7C"/>
    <w:rsid w:val="79F72591"/>
    <w:rsid w:val="79F75F20"/>
    <w:rsid w:val="79F80E8D"/>
    <w:rsid w:val="79F833BF"/>
    <w:rsid w:val="79F83E01"/>
    <w:rsid w:val="79F85E20"/>
    <w:rsid w:val="79F87217"/>
    <w:rsid w:val="79F900FC"/>
    <w:rsid w:val="79F90286"/>
    <w:rsid w:val="79FA1FE4"/>
    <w:rsid w:val="79FA246B"/>
    <w:rsid w:val="79FA2F3F"/>
    <w:rsid w:val="79FA5A10"/>
    <w:rsid w:val="79FA6871"/>
    <w:rsid w:val="79FB55DD"/>
    <w:rsid w:val="79FB590B"/>
    <w:rsid w:val="79FC3536"/>
    <w:rsid w:val="79FC52E4"/>
    <w:rsid w:val="79FC572A"/>
    <w:rsid w:val="79FC7092"/>
    <w:rsid w:val="79FD2E0A"/>
    <w:rsid w:val="79FD49B1"/>
    <w:rsid w:val="79FD711E"/>
    <w:rsid w:val="79FE0812"/>
    <w:rsid w:val="79FE105C"/>
    <w:rsid w:val="79FE113C"/>
    <w:rsid w:val="79FE3DB9"/>
    <w:rsid w:val="79FE5147"/>
    <w:rsid w:val="79FE6430"/>
    <w:rsid w:val="79FE72AE"/>
    <w:rsid w:val="79FF27C9"/>
    <w:rsid w:val="79FF4A8E"/>
    <w:rsid w:val="79FF60AE"/>
    <w:rsid w:val="7A000715"/>
    <w:rsid w:val="7A0016B7"/>
    <w:rsid w:val="7A002878"/>
    <w:rsid w:val="7A00297D"/>
    <w:rsid w:val="7A002E2E"/>
    <w:rsid w:val="7A0040C0"/>
    <w:rsid w:val="7A010B4C"/>
    <w:rsid w:val="7A010B8B"/>
    <w:rsid w:val="7A0128FA"/>
    <w:rsid w:val="7A016226"/>
    <w:rsid w:val="7A020394"/>
    <w:rsid w:val="7A020420"/>
    <w:rsid w:val="7A023EF6"/>
    <w:rsid w:val="7A030920"/>
    <w:rsid w:val="7A037BE0"/>
    <w:rsid w:val="7A042CE3"/>
    <w:rsid w:val="7A044199"/>
    <w:rsid w:val="7A0441EA"/>
    <w:rsid w:val="7A0458C9"/>
    <w:rsid w:val="7A050355"/>
    <w:rsid w:val="7A052022"/>
    <w:rsid w:val="7A0545DF"/>
    <w:rsid w:val="7A0558AD"/>
    <w:rsid w:val="7A0559C3"/>
    <w:rsid w:val="7A064282"/>
    <w:rsid w:val="7A0643B5"/>
    <w:rsid w:val="7A066163"/>
    <w:rsid w:val="7A0674A2"/>
    <w:rsid w:val="7A067F11"/>
    <w:rsid w:val="7A072ABF"/>
    <w:rsid w:val="7A072BC7"/>
    <w:rsid w:val="7A075A88"/>
    <w:rsid w:val="7A076053"/>
    <w:rsid w:val="7A080107"/>
    <w:rsid w:val="7A08012D"/>
    <w:rsid w:val="7A081EDB"/>
    <w:rsid w:val="7A082FD6"/>
    <w:rsid w:val="7A083C89"/>
    <w:rsid w:val="7A0917AF"/>
    <w:rsid w:val="7A093E34"/>
    <w:rsid w:val="7A09568A"/>
    <w:rsid w:val="7A0B3779"/>
    <w:rsid w:val="7A0C0169"/>
    <w:rsid w:val="7A0C0581"/>
    <w:rsid w:val="7A0C46FD"/>
    <w:rsid w:val="7A0C59DB"/>
    <w:rsid w:val="7A0C5DDE"/>
    <w:rsid w:val="7A0D443B"/>
    <w:rsid w:val="7A0D4F0D"/>
    <w:rsid w:val="7A0D5332"/>
    <w:rsid w:val="7A0D599F"/>
    <w:rsid w:val="7A0E2999"/>
    <w:rsid w:val="7A0E5017"/>
    <w:rsid w:val="7A0E571F"/>
    <w:rsid w:val="7A0E7507"/>
    <w:rsid w:val="7A0F14BB"/>
    <w:rsid w:val="7A0F448F"/>
    <w:rsid w:val="7A0F6A75"/>
    <w:rsid w:val="7A100D8F"/>
    <w:rsid w:val="7A102B3D"/>
    <w:rsid w:val="7A112379"/>
    <w:rsid w:val="7A112962"/>
    <w:rsid w:val="7A1129FE"/>
    <w:rsid w:val="7A115CA7"/>
    <w:rsid w:val="7A116118"/>
    <w:rsid w:val="7A116175"/>
    <w:rsid w:val="7A123D59"/>
    <w:rsid w:val="7A12456F"/>
    <w:rsid w:val="7A124B07"/>
    <w:rsid w:val="7A125BB9"/>
    <w:rsid w:val="7A125D41"/>
    <w:rsid w:val="7A1260C4"/>
    <w:rsid w:val="7A1268B5"/>
    <w:rsid w:val="7A1305CB"/>
    <w:rsid w:val="7A13550B"/>
    <w:rsid w:val="7A140880"/>
    <w:rsid w:val="7A140E31"/>
    <w:rsid w:val="7A141744"/>
    <w:rsid w:val="7A146AD1"/>
    <w:rsid w:val="7A153047"/>
    <w:rsid w:val="7A1545F8"/>
    <w:rsid w:val="7A1563A6"/>
    <w:rsid w:val="7A1601C2"/>
    <w:rsid w:val="7A164211"/>
    <w:rsid w:val="7A166948"/>
    <w:rsid w:val="7A173C13"/>
    <w:rsid w:val="7A173ECC"/>
    <w:rsid w:val="7A177CD4"/>
    <w:rsid w:val="7A186565"/>
    <w:rsid w:val="7A1877F1"/>
    <w:rsid w:val="7A187C44"/>
    <w:rsid w:val="7A1940E8"/>
    <w:rsid w:val="7A194F03"/>
    <w:rsid w:val="7A195E96"/>
    <w:rsid w:val="7A1A0A31"/>
    <w:rsid w:val="7A1A167B"/>
    <w:rsid w:val="7A1A1C0E"/>
    <w:rsid w:val="7A1A2041"/>
    <w:rsid w:val="7A1A39BC"/>
    <w:rsid w:val="7A1B10DF"/>
    <w:rsid w:val="7A1B1B62"/>
    <w:rsid w:val="7A1C04DF"/>
    <w:rsid w:val="7A1C14E2"/>
    <w:rsid w:val="7A1C5986"/>
    <w:rsid w:val="7A1C7734"/>
    <w:rsid w:val="7A1C78F0"/>
    <w:rsid w:val="7A1C7BE9"/>
    <w:rsid w:val="7A1D0716"/>
    <w:rsid w:val="7A1D2509"/>
    <w:rsid w:val="7A1D39FF"/>
    <w:rsid w:val="7A1D40A9"/>
    <w:rsid w:val="7A1D6EB8"/>
    <w:rsid w:val="7A1E16FE"/>
    <w:rsid w:val="7A1E34AC"/>
    <w:rsid w:val="7A1F0245"/>
    <w:rsid w:val="7A1F0FD2"/>
    <w:rsid w:val="7A1F7224"/>
    <w:rsid w:val="7A1F7D73"/>
    <w:rsid w:val="7A202A5F"/>
    <w:rsid w:val="7A204CC8"/>
    <w:rsid w:val="7A206771"/>
    <w:rsid w:val="7A213593"/>
    <w:rsid w:val="7A214D4A"/>
    <w:rsid w:val="7A215E90"/>
    <w:rsid w:val="7A2245EE"/>
    <w:rsid w:val="7A226610"/>
    <w:rsid w:val="7A230AC3"/>
    <w:rsid w:val="7A23764B"/>
    <w:rsid w:val="7A2465E9"/>
    <w:rsid w:val="7A2501C8"/>
    <w:rsid w:val="7A251B8D"/>
    <w:rsid w:val="7A2523DC"/>
    <w:rsid w:val="7A252A8D"/>
    <w:rsid w:val="7A262311"/>
    <w:rsid w:val="7A262361"/>
    <w:rsid w:val="7A262733"/>
    <w:rsid w:val="7A262D33"/>
    <w:rsid w:val="7A26386C"/>
    <w:rsid w:val="7A26699F"/>
    <w:rsid w:val="7A2669C6"/>
    <w:rsid w:val="7A274CFC"/>
    <w:rsid w:val="7A27503B"/>
    <w:rsid w:val="7A28257D"/>
    <w:rsid w:val="7A28296C"/>
    <w:rsid w:val="7A2842FD"/>
    <w:rsid w:val="7A285A21"/>
    <w:rsid w:val="7A2860D9"/>
    <w:rsid w:val="7A291011"/>
    <w:rsid w:val="7A291E51"/>
    <w:rsid w:val="7A292E20"/>
    <w:rsid w:val="7A2931E5"/>
    <w:rsid w:val="7A296296"/>
    <w:rsid w:val="7A296C00"/>
    <w:rsid w:val="7A297210"/>
    <w:rsid w:val="7A297E96"/>
    <w:rsid w:val="7A2A00A3"/>
    <w:rsid w:val="7A2A1A50"/>
    <w:rsid w:val="7A2A3180"/>
    <w:rsid w:val="7A2A388B"/>
    <w:rsid w:val="7A2B19F7"/>
    <w:rsid w:val="7A2B5374"/>
    <w:rsid w:val="7A2B5BC9"/>
    <w:rsid w:val="7A2B76DE"/>
    <w:rsid w:val="7A2B7977"/>
    <w:rsid w:val="7A2C1BB6"/>
    <w:rsid w:val="7A2C6312"/>
    <w:rsid w:val="7A2C63F7"/>
    <w:rsid w:val="7A2C787C"/>
    <w:rsid w:val="7A2D1941"/>
    <w:rsid w:val="7A2D2AD9"/>
    <w:rsid w:val="7A2D6DD5"/>
    <w:rsid w:val="7A2D7B93"/>
    <w:rsid w:val="7A2E110C"/>
    <w:rsid w:val="7A2F1ED4"/>
    <w:rsid w:val="7A2F27AB"/>
    <w:rsid w:val="7A2F56B9"/>
    <w:rsid w:val="7A2F7467"/>
    <w:rsid w:val="7A2F759F"/>
    <w:rsid w:val="7A3020F8"/>
    <w:rsid w:val="7A303487"/>
    <w:rsid w:val="7A304F8E"/>
    <w:rsid w:val="7A313FCF"/>
    <w:rsid w:val="7A315C26"/>
    <w:rsid w:val="7A317779"/>
    <w:rsid w:val="7A321998"/>
    <w:rsid w:val="7A3251AA"/>
    <w:rsid w:val="7A326F58"/>
    <w:rsid w:val="7A327489"/>
    <w:rsid w:val="7A32799C"/>
    <w:rsid w:val="7A327EBF"/>
    <w:rsid w:val="7A331CF2"/>
    <w:rsid w:val="7A332BB8"/>
    <w:rsid w:val="7A3361BA"/>
    <w:rsid w:val="7A3376A6"/>
    <w:rsid w:val="7A34017C"/>
    <w:rsid w:val="7A340F22"/>
    <w:rsid w:val="7A3507F6"/>
    <w:rsid w:val="7A3525A4"/>
    <w:rsid w:val="7A353C55"/>
    <w:rsid w:val="7A356A48"/>
    <w:rsid w:val="7A357D79"/>
    <w:rsid w:val="7A367C5D"/>
    <w:rsid w:val="7A3727C0"/>
    <w:rsid w:val="7A374469"/>
    <w:rsid w:val="7A37456E"/>
    <w:rsid w:val="7A3754DA"/>
    <w:rsid w:val="7A375C81"/>
    <w:rsid w:val="7A376ADB"/>
    <w:rsid w:val="7A377612"/>
    <w:rsid w:val="7A3800AC"/>
    <w:rsid w:val="7A385657"/>
    <w:rsid w:val="7A3905A1"/>
    <w:rsid w:val="7A391680"/>
    <w:rsid w:val="7A391DD9"/>
    <w:rsid w:val="7A392559"/>
    <w:rsid w:val="7A394D34"/>
    <w:rsid w:val="7A396538"/>
    <w:rsid w:val="7A3A5BBE"/>
    <w:rsid w:val="7A3A5E0C"/>
    <w:rsid w:val="7A3A6BE0"/>
    <w:rsid w:val="7A3B23F7"/>
    <w:rsid w:val="7A3B58A4"/>
    <w:rsid w:val="7A3B66FD"/>
    <w:rsid w:val="7A3B71D3"/>
    <w:rsid w:val="7A3C19C1"/>
    <w:rsid w:val="7A3C38F7"/>
    <w:rsid w:val="7A3C3932"/>
    <w:rsid w:val="7A3D1373"/>
    <w:rsid w:val="7A3D306D"/>
    <w:rsid w:val="7A3D6F22"/>
    <w:rsid w:val="7A3E3912"/>
    <w:rsid w:val="7A3E72C0"/>
    <w:rsid w:val="7A3F3423"/>
    <w:rsid w:val="7A400260"/>
    <w:rsid w:val="7A401675"/>
    <w:rsid w:val="7A402404"/>
    <w:rsid w:val="7A403F72"/>
    <w:rsid w:val="7A405D77"/>
    <w:rsid w:val="7A4078C7"/>
    <w:rsid w:val="7A410F49"/>
    <w:rsid w:val="7A412238"/>
    <w:rsid w:val="7A413536"/>
    <w:rsid w:val="7A41363F"/>
    <w:rsid w:val="7A4153ED"/>
    <w:rsid w:val="7A41719B"/>
    <w:rsid w:val="7A417A52"/>
    <w:rsid w:val="7A422CCA"/>
    <w:rsid w:val="7A425934"/>
    <w:rsid w:val="7A431165"/>
    <w:rsid w:val="7A431535"/>
    <w:rsid w:val="7A432F13"/>
    <w:rsid w:val="7A434D03"/>
    <w:rsid w:val="7A44015E"/>
    <w:rsid w:val="7A441C0C"/>
    <w:rsid w:val="7A4500B9"/>
    <w:rsid w:val="7A450285"/>
    <w:rsid w:val="7A451759"/>
    <w:rsid w:val="7A453504"/>
    <w:rsid w:val="7A453BA8"/>
    <w:rsid w:val="7A454EDD"/>
    <w:rsid w:val="7A4555A2"/>
    <w:rsid w:val="7A462A03"/>
    <w:rsid w:val="7A463F93"/>
    <w:rsid w:val="7A4647B1"/>
    <w:rsid w:val="7A464932"/>
    <w:rsid w:val="7A467796"/>
    <w:rsid w:val="7A472BA5"/>
    <w:rsid w:val="7A4822D7"/>
    <w:rsid w:val="7A482A20"/>
    <w:rsid w:val="7A48677B"/>
    <w:rsid w:val="7A4875D0"/>
    <w:rsid w:val="7A4937B7"/>
    <w:rsid w:val="7A4956F1"/>
    <w:rsid w:val="7A49604F"/>
    <w:rsid w:val="7A4A160C"/>
    <w:rsid w:val="7A4A24F3"/>
    <w:rsid w:val="7A4B0019"/>
    <w:rsid w:val="7A4B40F7"/>
    <w:rsid w:val="7A4B61EA"/>
    <w:rsid w:val="7A4B626B"/>
    <w:rsid w:val="7A4B67DC"/>
    <w:rsid w:val="7A4B791A"/>
    <w:rsid w:val="7A4C2D4A"/>
    <w:rsid w:val="7A4C45A5"/>
    <w:rsid w:val="7A4C49A1"/>
    <w:rsid w:val="7A4C5587"/>
    <w:rsid w:val="7A4C6837"/>
    <w:rsid w:val="7A4D15E8"/>
    <w:rsid w:val="7A4D3ABE"/>
    <w:rsid w:val="7A4D48FD"/>
    <w:rsid w:val="7A4E353D"/>
    <w:rsid w:val="7A4E7342"/>
    <w:rsid w:val="7A4F5422"/>
    <w:rsid w:val="7A4F7B0A"/>
    <w:rsid w:val="7A501C04"/>
    <w:rsid w:val="7A505630"/>
    <w:rsid w:val="7A505EDE"/>
    <w:rsid w:val="7A50719F"/>
    <w:rsid w:val="7A51008D"/>
    <w:rsid w:val="7A511B1E"/>
    <w:rsid w:val="7A512883"/>
    <w:rsid w:val="7A515E1A"/>
    <w:rsid w:val="7A516828"/>
    <w:rsid w:val="7A521020"/>
    <w:rsid w:val="7A5213A8"/>
    <w:rsid w:val="7A521BA5"/>
    <w:rsid w:val="7A523156"/>
    <w:rsid w:val="7A5253EE"/>
    <w:rsid w:val="7A525AE8"/>
    <w:rsid w:val="7A531478"/>
    <w:rsid w:val="7A53257A"/>
    <w:rsid w:val="7A534F48"/>
    <w:rsid w:val="7A540932"/>
    <w:rsid w:val="7A543CFE"/>
    <w:rsid w:val="7A544197"/>
    <w:rsid w:val="7A545AC4"/>
    <w:rsid w:val="7A546ECE"/>
    <w:rsid w:val="7A550ECC"/>
    <w:rsid w:val="7A552C46"/>
    <w:rsid w:val="7A560BFE"/>
    <w:rsid w:val="7A560DD2"/>
    <w:rsid w:val="7A561CBF"/>
    <w:rsid w:val="7A562751"/>
    <w:rsid w:val="7A5636BD"/>
    <w:rsid w:val="7A5655E9"/>
    <w:rsid w:val="7A57076C"/>
    <w:rsid w:val="7A57232A"/>
    <w:rsid w:val="7A574C10"/>
    <w:rsid w:val="7A5769BE"/>
    <w:rsid w:val="7A583889"/>
    <w:rsid w:val="7A586B74"/>
    <w:rsid w:val="7A590988"/>
    <w:rsid w:val="7A592736"/>
    <w:rsid w:val="7A5944E4"/>
    <w:rsid w:val="7A594A27"/>
    <w:rsid w:val="7A594FBA"/>
    <w:rsid w:val="7A597EE5"/>
    <w:rsid w:val="7A5A0E85"/>
    <w:rsid w:val="7A5A17B1"/>
    <w:rsid w:val="7A5A200A"/>
    <w:rsid w:val="7A5A50FB"/>
    <w:rsid w:val="7A5B3BEC"/>
    <w:rsid w:val="7A5B5236"/>
    <w:rsid w:val="7A5B64AE"/>
    <w:rsid w:val="7A5C3FD5"/>
    <w:rsid w:val="7A5C507C"/>
    <w:rsid w:val="7A5C5D83"/>
    <w:rsid w:val="7A5C650C"/>
    <w:rsid w:val="7A5D3885"/>
    <w:rsid w:val="7A5D6D7E"/>
    <w:rsid w:val="7A5E1456"/>
    <w:rsid w:val="7A5E1AE0"/>
    <w:rsid w:val="7A5E256D"/>
    <w:rsid w:val="7A5E4841"/>
    <w:rsid w:val="7A5E5F9F"/>
    <w:rsid w:val="7A5F71B1"/>
    <w:rsid w:val="7A603AC5"/>
    <w:rsid w:val="7A604E8D"/>
    <w:rsid w:val="7A6061B7"/>
    <w:rsid w:val="7A606E0C"/>
    <w:rsid w:val="7A6115EB"/>
    <w:rsid w:val="7A613399"/>
    <w:rsid w:val="7A613D60"/>
    <w:rsid w:val="7A6151E1"/>
    <w:rsid w:val="7A625B90"/>
    <w:rsid w:val="7A630C3D"/>
    <w:rsid w:val="7A6354C5"/>
    <w:rsid w:val="7A637111"/>
    <w:rsid w:val="7A642AD7"/>
    <w:rsid w:val="7A643C22"/>
    <w:rsid w:val="7A6443AD"/>
    <w:rsid w:val="7A6448F8"/>
    <w:rsid w:val="7A6501C7"/>
    <w:rsid w:val="7A652A91"/>
    <w:rsid w:val="7A65786F"/>
    <w:rsid w:val="7A660CFF"/>
    <w:rsid w:val="7A6618A6"/>
    <w:rsid w:val="7A6618E1"/>
    <w:rsid w:val="7A66641F"/>
    <w:rsid w:val="7A6665E5"/>
    <w:rsid w:val="7A66740B"/>
    <w:rsid w:val="7A6730A5"/>
    <w:rsid w:val="7A675188"/>
    <w:rsid w:val="7A675667"/>
    <w:rsid w:val="7A680B7E"/>
    <w:rsid w:val="7A680BCB"/>
    <w:rsid w:val="7A68361F"/>
    <w:rsid w:val="7A684727"/>
    <w:rsid w:val="7A685844"/>
    <w:rsid w:val="7A687A53"/>
    <w:rsid w:val="7A697504"/>
    <w:rsid w:val="7A697A7E"/>
    <w:rsid w:val="7A6A2544"/>
    <w:rsid w:val="7A6A40CD"/>
    <w:rsid w:val="7A6A4943"/>
    <w:rsid w:val="7A6A4D9D"/>
    <w:rsid w:val="7A6A66F1"/>
    <w:rsid w:val="7A6B1788"/>
    <w:rsid w:val="7A6B1FA0"/>
    <w:rsid w:val="7A6B4B99"/>
    <w:rsid w:val="7A6B629B"/>
    <w:rsid w:val="7A6C06BC"/>
    <w:rsid w:val="7A6C1084"/>
    <w:rsid w:val="7A6C2A52"/>
    <w:rsid w:val="7A6C5750"/>
    <w:rsid w:val="7A6C59A5"/>
    <w:rsid w:val="7A6C6B75"/>
    <w:rsid w:val="7A6D4434"/>
    <w:rsid w:val="7A6D598E"/>
    <w:rsid w:val="7A6D61E2"/>
    <w:rsid w:val="7A6D64A6"/>
    <w:rsid w:val="7A6D6B1F"/>
    <w:rsid w:val="7A6E3305"/>
    <w:rsid w:val="7A6E5310"/>
    <w:rsid w:val="7A6E7107"/>
    <w:rsid w:val="7A6E7959"/>
    <w:rsid w:val="7A6F1CD1"/>
    <w:rsid w:val="7A6F34F2"/>
    <w:rsid w:val="7A6F5AB6"/>
    <w:rsid w:val="7A704F04"/>
    <w:rsid w:val="7A705322"/>
    <w:rsid w:val="7A707A80"/>
    <w:rsid w:val="7A712228"/>
    <w:rsid w:val="7A714CEF"/>
    <w:rsid w:val="7A71613D"/>
    <w:rsid w:val="7A721A4A"/>
    <w:rsid w:val="7A721C87"/>
    <w:rsid w:val="7A721E73"/>
    <w:rsid w:val="7A7255A6"/>
    <w:rsid w:val="7A725A33"/>
    <w:rsid w:val="7A7270AB"/>
    <w:rsid w:val="7A731B9B"/>
    <w:rsid w:val="7A735A72"/>
    <w:rsid w:val="7A735DDA"/>
    <w:rsid w:val="7A740EEA"/>
    <w:rsid w:val="7A74131E"/>
    <w:rsid w:val="7A7415B5"/>
    <w:rsid w:val="7A743ACF"/>
    <w:rsid w:val="7A743D05"/>
    <w:rsid w:val="7A7456C3"/>
    <w:rsid w:val="7A746333"/>
    <w:rsid w:val="7A747623"/>
    <w:rsid w:val="7A75179E"/>
    <w:rsid w:val="7A765096"/>
    <w:rsid w:val="7A767BF5"/>
    <w:rsid w:val="7A77074E"/>
    <w:rsid w:val="7A770E0E"/>
    <w:rsid w:val="7A771C84"/>
    <w:rsid w:val="7A772F65"/>
    <w:rsid w:val="7A773114"/>
    <w:rsid w:val="7A774353"/>
    <w:rsid w:val="7A777060"/>
    <w:rsid w:val="7A7813E0"/>
    <w:rsid w:val="7A781E2F"/>
    <w:rsid w:val="7A783B68"/>
    <w:rsid w:val="7A785B6D"/>
    <w:rsid w:val="7A786F9D"/>
    <w:rsid w:val="7A787650"/>
    <w:rsid w:val="7A7879C3"/>
    <w:rsid w:val="7A787D9B"/>
    <w:rsid w:val="7A7923B6"/>
    <w:rsid w:val="7A792EDD"/>
    <w:rsid w:val="7A796935"/>
    <w:rsid w:val="7A7A0605"/>
    <w:rsid w:val="7A7A7DAC"/>
    <w:rsid w:val="7A7B0D7E"/>
    <w:rsid w:val="7A7B1886"/>
    <w:rsid w:val="7A7B250C"/>
    <w:rsid w:val="7A7C372B"/>
    <w:rsid w:val="7A7C6425"/>
    <w:rsid w:val="7A7C73EA"/>
    <w:rsid w:val="7A7D0467"/>
    <w:rsid w:val="7A7D512C"/>
    <w:rsid w:val="7A7D55BC"/>
    <w:rsid w:val="7A7D5EE5"/>
    <w:rsid w:val="7A7E0519"/>
    <w:rsid w:val="7A7E219D"/>
    <w:rsid w:val="7A7E294C"/>
    <w:rsid w:val="7A7F0805"/>
    <w:rsid w:val="7A7F1A71"/>
    <w:rsid w:val="7A7F1AE8"/>
    <w:rsid w:val="7A800654"/>
    <w:rsid w:val="7A8023EF"/>
    <w:rsid w:val="7A804167"/>
    <w:rsid w:val="7A804477"/>
    <w:rsid w:val="7A8076C1"/>
    <w:rsid w:val="7A807CC3"/>
    <w:rsid w:val="7A811C8D"/>
    <w:rsid w:val="7A813FB4"/>
    <w:rsid w:val="7A823A61"/>
    <w:rsid w:val="7A82743A"/>
    <w:rsid w:val="7A830F37"/>
    <w:rsid w:val="7A831561"/>
    <w:rsid w:val="7A832DF8"/>
    <w:rsid w:val="7A835A05"/>
    <w:rsid w:val="7A83701B"/>
    <w:rsid w:val="7A8377B3"/>
    <w:rsid w:val="7A8418C0"/>
    <w:rsid w:val="7A842B47"/>
    <w:rsid w:val="7A842CA7"/>
    <w:rsid w:val="7A842E72"/>
    <w:rsid w:val="7A845B9A"/>
    <w:rsid w:val="7A85177D"/>
    <w:rsid w:val="7A8532C4"/>
    <w:rsid w:val="7A85352B"/>
    <w:rsid w:val="7A854972"/>
    <w:rsid w:val="7A85637E"/>
    <w:rsid w:val="7A8565AD"/>
    <w:rsid w:val="7A862E00"/>
    <w:rsid w:val="7A8700E8"/>
    <w:rsid w:val="7A87236C"/>
    <w:rsid w:val="7A87587A"/>
    <w:rsid w:val="7A8772A3"/>
    <w:rsid w:val="7A88107D"/>
    <w:rsid w:val="7A881113"/>
    <w:rsid w:val="7A8814C8"/>
    <w:rsid w:val="7A88301C"/>
    <w:rsid w:val="7A88366B"/>
    <w:rsid w:val="7A886B78"/>
    <w:rsid w:val="7A890B9F"/>
    <w:rsid w:val="7A89355C"/>
    <w:rsid w:val="7A8939EB"/>
    <w:rsid w:val="7A895529"/>
    <w:rsid w:val="7A895ACB"/>
    <w:rsid w:val="7A8A0181"/>
    <w:rsid w:val="7A8A28F0"/>
    <w:rsid w:val="7A8A3D68"/>
    <w:rsid w:val="7A8A6C91"/>
    <w:rsid w:val="7A8A6D94"/>
    <w:rsid w:val="7A8B6668"/>
    <w:rsid w:val="7A8C2C0C"/>
    <w:rsid w:val="7A8C30E3"/>
    <w:rsid w:val="7A8C459D"/>
    <w:rsid w:val="7A8C48BA"/>
    <w:rsid w:val="7A8D354B"/>
    <w:rsid w:val="7A8D418E"/>
    <w:rsid w:val="7A8D479C"/>
    <w:rsid w:val="7A8D5AD7"/>
    <w:rsid w:val="7A8D5B83"/>
    <w:rsid w:val="7A8D5C3B"/>
    <w:rsid w:val="7A8D6A7B"/>
    <w:rsid w:val="7A8E0529"/>
    <w:rsid w:val="7A8E0B6D"/>
    <w:rsid w:val="7A8E0B86"/>
    <w:rsid w:val="7A8E0F75"/>
    <w:rsid w:val="7A8E533A"/>
    <w:rsid w:val="7A8E78E3"/>
    <w:rsid w:val="7A8E7F0B"/>
    <w:rsid w:val="7A8F018B"/>
    <w:rsid w:val="7A8F1223"/>
    <w:rsid w:val="7A8F5744"/>
    <w:rsid w:val="7A8F6D9D"/>
    <w:rsid w:val="7A9023E0"/>
    <w:rsid w:val="7A9032B8"/>
    <w:rsid w:val="7A903C7E"/>
    <w:rsid w:val="7A904F95"/>
    <w:rsid w:val="7A906EB3"/>
    <w:rsid w:val="7A911ED0"/>
    <w:rsid w:val="7A91328B"/>
    <w:rsid w:val="7A920201"/>
    <w:rsid w:val="7A921FBB"/>
    <w:rsid w:val="7A923E86"/>
    <w:rsid w:val="7A9249AE"/>
    <w:rsid w:val="7A925AB7"/>
    <w:rsid w:val="7A925DB1"/>
    <w:rsid w:val="7A9279F6"/>
    <w:rsid w:val="7A9311AC"/>
    <w:rsid w:val="7A9343F8"/>
    <w:rsid w:val="7A93702B"/>
    <w:rsid w:val="7A9419C0"/>
    <w:rsid w:val="7A94376E"/>
    <w:rsid w:val="7A950891"/>
    <w:rsid w:val="7A951159"/>
    <w:rsid w:val="7A95520D"/>
    <w:rsid w:val="7A960FFF"/>
    <w:rsid w:val="7A96207D"/>
    <w:rsid w:val="7A963A08"/>
    <w:rsid w:val="7A965738"/>
    <w:rsid w:val="7A966CC4"/>
    <w:rsid w:val="7A967127"/>
    <w:rsid w:val="7A9674E6"/>
    <w:rsid w:val="7A9715EC"/>
    <w:rsid w:val="7A9759C0"/>
    <w:rsid w:val="7A976CE4"/>
    <w:rsid w:val="7A977B2D"/>
    <w:rsid w:val="7A9814B1"/>
    <w:rsid w:val="7A982D6D"/>
    <w:rsid w:val="7A990D85"/>
    <w:rsid w:val="7A990DF2"/>
    <w:rsid w:val="7A991334"/>
    <w:rsid w:val="7A991DCC"/>
    <w:rsid w:val="7A991ED4"/>
    <w:rsid w:val="7A992B33"/>
    <w:rsid w:val="7A993117"/>
    <w:rsid w:val="7A993E7B"/>
    <w:rsid w:val="7A995229"/>
    <w:rsid w:val="7A996FD7"/>
    <w:rsid w:val="7A9975ED"/>
    <w:rsid w:val="7A9A0D1F"/>
    <w:rsid w:val="7A9A3FCE"/>
    <w:rsid w:val="7A9A60F2"/>
    <w:rsid w:val="7A9B2D4F"/>
    <w:rsid w:val="7A9B4AFD"/>
    <w:rsid w:val="7A9C04A4"/>
    <w:rsid w:val="7A9C0875"/>
    <w:rsid w:val="7A9C2623"/>
    <w:rsid w:val="7A9D4E2F"/>
    <w:rsid w:val="7A9D69F8"/>
    <w:rsid w:val="7A9D6AC7"/>
    <w:rsid w:val="7A9D6F19"/>
    <w:rsid w:val="7A9E283F"/>
    <w:rsid w:val="7A9E2E98"/>
    <w:rsid w:val="7A9E45E8"/>
    <w:rsid w:val="7A9E62BF"/>
    <w:rsid w:val="7A9E639B"/>
    <w:rsid w:val="7A9E6D4A"/>
    <w:rsid w:val="7A9F1B84"/>
    <w:rsid w:val="7A9F7D20"/>
    <w:rsid w:val="7AA02113"/>
    <w:rsid w:val="7AA0266F"/>
    <w:rsid w:val="7AA02717"/>
    <w:rsid w:val="7AA03640"/>
    <w:rsid w:val="7AA11EF0"/>
    <w:rsid w:val="7AA15E8B"/>
    <w:rsid w:val="7AA165F2"/>
    <w:rsid w:val="7AA16B9C"/>
    <w:rsid w:val="7AA17C39"/>
    <w:rsid w:val="7AA23C7E"/>
    <w:rsid w:val="7AA240DD"/>
    <w:rsid w:val="7AA24C40"/>
    <w:rsid w:val="7AA27811"/>
    <w:rsid w:val="7AA31C03"/>
    <w:rsid w:val="7AA3787A"/>
    <w:rsid w:val="7AA37E55"/>
    <w:rsid w:val="7AA402D1"/>
    <w:rsid w:val="7AA4471A"/>
    <w:rsid w:val="7AA468AB"/>
    <w:rsid w:val="7AA50B5B"/>
    <w:rsid w:val="7AA51085"/>
    <w:rsid w:val="7AA51FAB"/>
    <w:rsid w:val="7AA52094"/>
    <w:rsid w:val="7AA5315C"/>
    <w:rsid w:val="7AA53BCD"/>
    <w:rsid w:val="7AA54B55"/>
    <w:rsid w:val="7AA54D02"/>
    <w:rsid w:val="7AA60A68"/>
    <w:rsid w:val="7AA6235C"/>
    <w:rsid w:val="7AA64929"/>
    <w:rsid w:val="7AA65250"/>
    <w:rsid w:val="7AA65F3C"/>
    <w:rsid w:val="7AA66192"/>
    <w:rsid w:val="7AA716F4"/>
    <w:rsid w:val="7AA7170A"/>
    <w:rsid w:val="7AA77AB4"/>
    <w:rsid w:val="7AA83689"/>
    <w:rsid w:val="7AA8546C"/>
    <w:rsid w:val="7AA87313"/>
    <w:rsid w:val="7AA91CB5"/>
    <w:rsid w:val="7AA92564"/>
    <w:rsid w:val="7AA9731E"/>
    <w:rsid w:val="7AA975E0"/>
    <w:rsid w:val="7AA976DF"/>
    <w:rsid w:val="7AA977A4"/>
    <w:rsid w:val="7AAA11E4"/>
    <w:rsid w:val="7AAA3D20"/>
    <w:rsid w:val="7AAA75EF"/>
    <w:rsid w:val="7AAA7CB1"/>
    <w:rsid w:val="7AAB2866"/>
    <w:rsid w:val="7AAB2E9A"/>
    <w:rsid w:val="7AAC0AB8"/>
    <w:rsid w:val="7AAC2CCE"/>
    <w:rsid w:val="7AAC31B9"/>
    <w:rsid w:val="7AAC4E67"/>
    <w:rsid w:val="7AAC5C0F"/>
    <w:rsid w:val="7AAC7560"/>
    <w:rsid w:val="7AAD09B8"/>
    <w:rsid w:val="7AAD2874"/>
    <w:rsid w:val="7AAD2AE7"/>
    <w:rsid w:val="7AAD3C07"/>
    <w:rsid w:val="7AAD4830"/>
    <w:rsid w:val="7AAD4924"/>
    <w:rsid w:val="7AAD5F02"/>
    <w:rsid w:val="7AAE169E"/>
    <w:rsid w:val="7AAE27F4"/>
    <w:rsid w:val="7AAE426B"/>
    <w:rsid w:val="7AAE5DB4"/>
    <w:rsid w:val="7AAE7513"/>
    <w:rsid w:val="7AAF3810"/>
    <w:rsid w:val="7AAF67FA"/>
    <w:rsid w:val="7AAF7244"/>
    <w:rsid w:val="7AB01337"/>
    <w:rsid w:val="7AB01E15"/>
    <w:rsid w:val="7AB0732D"/>
    <w:rsid w:val="7AB132A5"/>
    <w:rsid w:val="7AB14320"/>
    <w:rsid w:val="7AB143A1"/>
    <w:rsid w:val="7AB14D88"/>
    <w:rsid w:val="7AB20098"/>
    <w:rsid w:val="7AB20EB9"/>
    <w:rsid w:val="7AB22725"/>
    <w:rsid w:val="7AB23BF5"/>
    <w:rsid w:val="7AB25926"/>
    <w:rsid w:val="7AB27A4C"/>
    <w:rsid w:val="7AB30796"/>
    <w:rsid w:val="7AB31631"/>
    <w:rsid w:val="7AB33E48"/>
    <w:rsid w:val="7AB37DAC"/>
    <w:rsid w:val="7AB41052"/>
    <w:rsid w:val="7AB4796D"/>
    <w:rsid w:val="7AB51AB9"/>
    <w:rsid w:val="7AB51D66"/>
    <w:rsid w:val="7AB5442E"/>
    <w:rsid w:val="7AB55266"/>
    <w:rsid w:val="7AB568C1"/>
    <w:rsid w:val="7AB61937"/>
    <w:rsid w:val="7AB61A70"/>
    <w:rsid w:val="7AB64101"/>
    <w:rsid w:val="7AB65057"/>
    <w:rsid w:val="7AB65BD2"/>
    <w:rsid w:val="7AB65C75"/>
    <w:rsid w:val="7AB65C87"/>
    <w:rsid w:val="7AB66117"/>
    <w:rsid w:val="7AB67B89"/>
    <w:rsid w:val="7AB74783"/>
    <w:rsid w:val="7AB756AF"/>
    <w:rsid w:val="7AB8194B"/>
    <w:rsid w:val="7AB8370E"/>
    <w:rsid w:val="7AB83901"/>
    <w:rsid w:val="7AB92EC7"/>
    <w:rsid w:val="7AB930C7"/>
    <w:rsid w:val="7AB931D5"/>
    <w:rsid w:val="7AB94608"/>
    <w:rsid w:val="7AB94F83"/>
    <w:rsid w:val="7AB96851"/>
    <w:rsid w:val="7AB96C82"/>
    <w:rsid w:val="7ABA2F70"/>
    <w:rsid w:val="7ABA4357"/>
    <w:rsid w:val="7ABA4CE0"/>
    <w:rsid w:val="7ABA5A98"/>
    <w:rsid w:val="7ABB0CFB"/>
    <w:rsid w:val="7ABB4E59"/>
    <w:rsid w:val="7ABB5239"/>
    <w:rsid w:val="7ABB6F4D"/>
    <w:rsid w:val="7ABB7430"/>
    <w:rsid w:val="7ABC0312"/>
    <w:rsid w:val="7ABC03B8"/>
    <w:rsid w:val="7ABC158E"/>
    <w:rsid w:val="7ABC27BE"/>
    <w:rsid w:val="7ABC595C"/>
    <w:rsid w:val="7ABD0F17"/>
    <w:rsid w:val="7ABD146C"/>
    <w:rsid w:val="7ABD2203"/>
    <w:rsid w:val="7ABD2CC5"/>
    <w:rsid w:val="7ABD32AA"/>
    <w:rsid w:val="7ABD3D6D"/>
    <w:rsid w:val="7ABE025A"/>
    <w:rsid w:val="7ABE07EB"/>
    <w:rsid w:val="7ABE2599"/>
    <w:rsid w:val="7ABE2B4A"/>
    <w:rsid w:val="7ABE4C8F"/>
    <w:rsid w:val="7ABF4E55"/>
    <w:rsid w:val="7AC06311"/>
    <w:rsid w:val="7AC0666D"/>
    <w:rsid w:val="7AC11659"/>
    <w:rsid w:val="7AC12E71"/>
    <w:rsid w:val="7AC202DC"/>
    <w:rsid w:val="7AC20E9D"/>
    <w:rsid w:val="7AC25C9C"/>
    <w:rsid w:val="7AC322A6"/>
    <w:rsid w:val="7AC3298E"/>
    <w:rsid w:val="7AC33780"/>
    <w:rsid w:val="7AC34140"/>
    <w:rsid w:val="7AC3443F"/>
    <w:rsid w:val="7AC35A39"/>
    <w:rsid w:val="7AC35E02"/>
    <w:rsid w:val="7AC47FDA"/>
    <w:rsid w:val="7AC51B7A"/>
    <w:rsid w:val="7AC53928"/>
    <w:rsid w:val="7AC5601E"/>
    <w:rsid w:val="7AC56E12"/>
    <w:rsid w:val="7AC57DCC"/>
    <w:rsid w:val="7AC6403B"/>
    <w:rsid w:val="7AC640A2"/>
    <w:rsid w:val="7AC676A0"/>
    <w:rsid w:val="7AC70431"/>
    <w:rsid w:val="7AC72C5C"/>
    <w:rsid w:val="7AC73B44"/>
    <w:rsid w:val="7AC758F2"/>
    <w:rsid w:val="7AC826D1"/>
    <w:rsid w:val="7AC929BC"/>
    <w:rsid w:val="7AC933FD"/>
    <w:rsid w:val="7AC97646"/>
    <w:rsid w:val="7ACA03F6"/>
    <w:rsid w:val="7ACA0F7A"/>
    <w:rsid w:val="7ACA1523"/>
    <w:rsid w:val="7ACA38DC"/>
    <w:rsid w:val="7ACA5541"/>
    <w:rsid w:val="7ACA7190"/>
    <w:rsid w:val="7ACA7A2D"/>
    <w:rsid w:val="7ACB3A3E"/>
    <w:rsid w:val="7ACB4CB6"/>
    <w:rsid w:val="7ACC43F6"/>
    <w:rsid w:val="7ACC65EA"/>
    <w:rsid w:val="7ACC74C0"/>
    <w:rsid w:val="7ACD0A2E"/>
    <w:rsid w:val="7ACE1FDA"/>
    <w:rsid w:val="7ACE3AA4"/>
    <w:rsid w:val="7ACE4ED2"/>
    <w:rsid w:val="7ACE539E"/>
    <w:rsid w:val="7ACE7DC8"/>
    <w:rsid w:val="7ACF0434"/>
    <w:rsid w:val="7ACF0B79"/>
    <w:rsid w:val="7ACF29F8"/>
    <w:rsid w:val="7ACF331B"/>
    <w:rsid w:val="7ACF3718"/>
    <w:rsid w:val="7ACF5ED9"/>
    <w:rsid w:val="7AD06100"/>
    <w:rsid w:val="7AD077B8"/>
    <w:rsid w:val="7AD07914"/>
    <w:rsid w:val="7AD07C61"/>
    <w:rsid w:val="7AD1051F"/>
    <w:rsid w:val="7AD10559"/>
    <w:rsid w:val="7AD10AE9"/>
    <w:rsid w:val="7AD1114E"/>
    <w:rsid w:val="7AD13326"/>
    <w:rsid w:val="7AD14F03"/>
    <w:rsid w:val="7AD157A8"/>
    <w:rsid w:val="7AD16136"/>
    <w:rsid w:val="7AD16771"/>
    <w:rsid w:val="7AD225DE"/>
    <w:rsid w:val="7AD24297"/>
    <w:rsid w:val="7AD25C1B"/>
    <w:rsid w:val="7AD26045"/>
    <w:rsid w:val="7AD2635A"/>
    <w:rsid w:val="7AD311A1"/>
    <w:rsid w:val="7AD324E9"/>
    <w:rsid w:val="7AD347C8"/>
    <w:rsid w:val="7AD3663F"/>
    <w:rsid w:val="7AD4000F"/>
    <w:rsid w:val="7AD40799"/>
    <w:rsid w:val="7AD43F8C"/>
    <w:rsid w:val="7AD46D1A"/>
    <w:rsid w:val="7AD523F0"/>
    <w:rsid w:val="7AD528E0"/>
    <w:rsid w:val="7AD55CEC"/>
    <w:rsid w:val="7AD56C87"/>
    <w:rsid w:val="7AD61FD9"/>
    <w:rsid w:val="7AD63AED"/>
    <w:rsid w:val="7AD6785D"/>
    <w:rsid w:val="7AD718AD"/>
    <w:rsid w:val="7AD7365B"/>
    <w:rsid w:val="7AD75184"/>
    <w:rsid w:val="7AD76C6A"/>
    <w:rsid w:val="7AD77DA7"/>
    <w:rsid w:val="7AD80C9F"/>
    <w:rsid w:val="7AD81021"/>
    <w:rsid w:val="7AD848DD"/>
    <w:rsid w:val="7AD85D51"/>
    <w:rsid w:val="7AD86AF4"/>
    <w:rsid w:val="7AD87AFF"/>
    <w:rsid w:val="7AD922C8"/>
    <w:rsid w:val="7AD93877"/>
    <w:rsid w:val="7AD95625"/>
    <w:rsid w:val="7AD95B45"/>
    <w:rsid w:val="7AD96066"/>
    <w:rsid w:val="7AD973D3"/>
    <w:rsid w:val="7AD978E0"/>
    <w:rsid w:val="7AD97A6C"/>
    <w:rsid w:val="7ADA1D90"/>
    <w:rsid w:val="7ADA1E8C"/>
    <w:rsid w:val="7ADA363A"/>
    <w:rsid w:val="7ADA7350"/>
    <w:rsid w:val="7ADB139D"/>
    <w:rsid w:val="7ADB314B"/>
    <w:rsid w:val="7ADC0C61"/>
    <w:rsid w:val="7ADC5E85"/>
    <w:rsid w:val="7ADC6261"/>
    <w:rsid w:val="7ADC6EC3"/>
    <w:rsid w:val="7ADD0A06"/>
    <w:rsid w:val="7ADD18D0"/>
    <w:rsid w:val="7ADD3367"/>
    <w:rsid w:val="7ADD3D80"/>
    <w:rsid w:val="7ADD6F21"/>
    <w:rsid w:val="7ADE2C3C"/>
    <w:rsid w:val="7ADE332A"/>
    <w:rsid w:val="7ADE49EA"/>
    <w:rsid w:val="7ADE5FAF"/>
    <w:rsid w:val="7ADE68DB"/>
    <w:rsid w:val="7ADF1B09"/>
    <w:rsid w:val="7ADF318E"/>
    <w:rsid w:val="7ADF3EC8"/>
    <w:rsid w:val="7ADF420C"/>
    <w:rsid w:val="7ADF6913"/>
    <w:rsid w:val="7ADF6A06"/>
    <w:rsid w:val="7AE0159D"/>
    <w:rsid w:val="7AE01EA9"/>
    <w:rsid w:val="7AE025CA"/>
    <w:rsid w:val="7AE15ABD"/>
    <w:rsid w:val="7AE20428"/>
    <w:rsid w:val="7AE216A4"/>
    <w:rsid w:val="7AE24CA4"/>
    <w:rsid w:val="7AE252CE"/>
    <w:rsid w:val="7AE32366"/>
    <w:rsid w:val="7AE34885"/>
    <w:rsid w:val="7AE36134"/>
    <w:rsid w:val="7AE40312"/>
    <w:rsid w:val="7AE449F3"/>
    <w:rsid w:val="7AE475C4"/>
    <w:rsid w:val="7AE5221C"/>
    <w:rsid w:val="7AE52552"/>
    <w:rsid w:val="7AE53FCA"/>
    <w:rsid w:val="7AE55E25"/>
    <w:rsid w:val="7AE62DED"/>
    <w:rsid w:val="7AE641CE"/>
    <w:rsid w:val="7AE64E0A"/>
    <w:rsid w:val="7AE715F0"/>
    <w:rsid w:val="7AE719F7"/>
    <w:rsid w:val="7AE71AF0"/>
    <w:rsid w:val="7AE73D24"/>
    <w:rsid w:val="7AE74F75"/>
    <w:rsid w:val="7AE75F94"/>
    <w:rsid w:val="7AE85EF1"/>
    <w:rsid w:val="7AE86792"/>
    <w:rsid w:val="7AE91D0C"/>
    <w:rsid w:val="7AE94AE2"/>
    <w:rsid w:val="7AE966A0"/>
    <w:rsid w:val="7AE9683D"/>
    <w:rsid w:val="7AE973D5"/>
    <w:rsid w:val="7AEA1CF5"/>
    <w:rsid w:val="7AEA4C11"/>
    <w:rsid w:val="7AEA6B74"/>
    <w:rsid w:val="7AEB34D4"/>
    <w:rsid w:val="7AEC0927"/>
    <w:rsid w:val="7AEC43A3"/>
    <w:rsid w:val="7AEC68D5"/>
    <w:rsid w:val="7AEC7444"/>
    <w:rsid w:val="7AED1DB7"/>
    <w:rsid w:val="7AED5CDB"/>
    <w:rsid w:val="7AEE0676"/>
    <w:rsid w:val="7AEE3247"/>
    <w:rsid w:val="7AEE344E"/>
    <w:rsid w:val="7AEE4B5F"/>
    <w:rsid w:val="7AEE7323"/>
    <w:rsid w:val="7AEE7948"/>
    <w:rsid w:val="7AEF309B"/>
    <w:rsid w:val="7AEF4E49"/>
    <w:rsid w:val="7AEF581F"/>
    <w:rsid w:val="7AEF6BF7"/>
    <w:rsid w:val="7AEF72E9"/>
    <w:rsid w:val="7AF02BE1"/>
    <w:rsid w:val="7AF05B67"/>
    <w:rsid w:val="7AF072A8"/>
    <w:rsid w:val="7AF07CD6"/>
    <w:rsid w:val="7AF10BC1"/>
    <w:rsid w:val="7AF1590D"/>
    <w:rsid w:val="7AF1651F"/>
    <w:rsid w:val="7AF16D07"/>
    <w:rsid w:val="7AF22B9C"/>
    <w:rsid w:val="7AF2389B"/>
    <w:rsid w:val="7AF30CCF"/>
    <w:rsid w:val="7AF334B7"/>
    <w:rsid w:val="7AF342C0"/>
    <w:rsid w:val="7AF34939"/>
    <w:rsid w:val="7AF366E7"/>
    <w:rsid w:val="7AF37046"/>
    <w:rsid w:val="7AF406B1"/>
    <w:rsid w:val="7AF4245F"/>
    <w:rsid w:val="7AF44DC1"/>
    <w:rsid w:val="7AF45487"/>
    <w:rsid w:val="7AF46504"/>
    <w:rsid w:val="7AF524F3"/>
    <w:rsid w:val="7AF5408C"/>
    <w:rsid w:val="7AF547CF"/>
    <w:rsid w:val="7AF566EE"/>
    <w:rsid w:val="7AF56E7E"/>
    <w:rsid w:val="7AF619D9"/>
    <w:rsid w:val="7AF661D7"/>
    <w:rsid w:val="7AF67CF4"/>
    <w:rsid w:val="7AF67F85"/>
    <w:rsid w:val="7AF72429"/>
    <w:rsid w:val="7AF73AFA"/>
    <w:rsid w:val="7AF74C18"/>
    <w:rsid w:val="7AF81662"/>
    <w:rsid w:val="7AF91823"/>
    <w:rsid w:val="7AF94C86"/>
    <w:rsid w:val="7AFA2F2B"/>
    <w:rsid w:val="7AFB1A3F"/>
    <w:rsid w:val="7AFB37ED"/>
    <w:rsid w:val="7AFB3BDC"/>
    <w:rsid w:val="7AFB6834"/>
    <w:rsid w:val="7AFB73EA"/>
    <w:rsid w:val="7AFB79E6"/>
    <w:rsid w:val="7AFC4242"/>
    <w:rsid w:val="7AFD57B8"/>
    <w:rsid w:val="7AFD6CDB"/>
    <w:rsid w:val="7AFE0EA8"/>
    <w:rsid w:val="7AFE1296"/>
    <w:rsid w:val="7AFE35EC"/>
    <w:rsid w:val="7AFE4635"/>
    <w:rsid w:val="7AFE508C"/>
    <w:rsid w:val="7AFE5B19"/>
    <w:rsid w:val="7AFE61F7"/>
    <w:rsid w:val="7AFE6E3A"/>
    <w:rsid w:val="7AFE740E"/>
    <w:rsid w:val="7AFF15FB"/>
    <w:rsid w:val="7AFF25D2"/>
    <w:rsid w:val="7AFF31E8"/>
    <w:rsid w:val="7AFF4018"/>
    <w:rsid w:val="7AFF618B"/>
    <w:rsid w:val="7B000E04"/>
    <w:rsid w:val="7B005EA9"/>
    <w:rsid w:val="7B007056"/>
    <w:rsid w:val="7B007FD1"/>
    <w:rsid w:val="7B0100C5"/>
    <w:rsid w:val="7B010188"/>
    <w:rsid w:val="7B022DCE"/>
    <w:rsid w:val="7B032A23"/>
    <w:rsid w:val="7B0341D8"/>
    <w:rsid w:val="7B034450"/>
    <w:rsid w:val="7B0353EB"/>
    <w:rsid w:val="7B0408F4"/>
    <w:rsid w:val="7B041878"/>
    <w:rsid w:val="7B045ED3"/>
    <w:rsid w:val="7B046B46"/>
    <w:rsid w:val="7B053580"/>
    <w:rsid w:val="7B05402E"/>
    <w:rsid w:val="7B054A50"/>
    <w:rsid w:val="7B05641A"/>
    <w:rsid w:val="7B057F54"/>
    <w:rsid w:val="7B057F96"/>
    <w:rsid w:val="7B063672"/>
    <w:rsid w:val="7B06480D"/>
    <w:rsid w:val="7B0679CD"/>
    <w:rsid w:val="7B0703E4"/>
    <w:rsid w:val="7B073F40"/>
    <w:rsid w:val="7B07460C"/>
    <w:rsid w:val="7B07650C"/>
    <w:rsid w:val="7B081253"/>
    <w:rsid w:val="7B087CB8"/>
    <w:rsid w:val="7B091267"/>
    <w:rsid w:val="7B092206"/>
    <w:rsid w:val="7B093E23"/>
    <w:rsid w:val="7B093F3D"/>
    <w:rsid w:val="7B09415C"/>
    <w:rsid w:val="7B094430"/>
    <w:rsid w:val="7B095F0A"/>
    <w:rsid w:val="7B097E6B"/>
    <w:rsid w:val="7B0A0643"/>
    <w:rsid w:val="7B0A3A31"/>
    <w:rsid w:val="7B0B14E3"/>
    <w:rsid w:val="7B0B174A"/>
    <w:rsid w:val="7B0B3EAF"/>
    <w:rsid w:val="7B0B3F16"/>
    <w:rsid w:val="7B0B44BD"/>
    <w:rsid w:val="7B0C59FB"/>
    <w:rsid w:val="7B0C77A9"/>
    <w:rsid w:val="7B0D18F7"/>
    <w:rsid w:val="7B0D52CF"/>
    <w:rsid w:val="7B0D67CF"/>
    <w:rsid w:val="7B0E2830"/>
    <w:rsid w:val="7B0E328D"/>
    <w:rsid w:val="7B0E3521"/>
    <w:rsid w:val="7B0E3959"/>
    <w:rsid w:val="7B0E520B"/>
    <w:rsid w:val="7B0E6DD3"/>
    <w:rsid w:val="7B0E7C5F"/>
    <w:rsid w:val="7B0F1047"/>
    <w:rsid w:val="7B0F54EB"/>
    <w:rsid w:val="7B0F69ED"/>
    <w:rsid w:val="7B0F7299"/>
    <w:rsid w:val="7B101C3B"/>
    <w:rsid w:val="7B104229"/>
    <w:rsid w:val="7B105150"/>
    <w:rsid w:val="7B113011"/>
    <w:rsid w:val="7B113AAA"/>
    <w:rsid w:val="7B1148D0"/>
    <w:rsid w:val="7B1163E9"/>
    <w:rsid w:val="7B117D97"/>
    <w:rsid w:val="7B121956"/>
    <w:rsid w:val="7B122641"/>
    <w:rsid w:val="7B1228E5"/>
    <w:rsid w:val="7B130575"/>
    <w:rsid w:val="7B130B37"/>
    <w:rsid w:val="7B136D89"/>
    <w:rsid w:val="7B1373C6"/>
    <w:rsid w:val="7B1379FD"/>
    <w:rsid w:val="7B137AB9"/>
    <w:rsid w:val="7B142507"/>
    <w:rsid w:val="7B142E6F"/>
    <w:rsid w:val="7B1453C6"/>
    <w:rsid w:val="7B147B33"/>
    <w:rsid w:val="7B1504A5"/>
    <w:rsid w:val="7B15068A"/>
    <w:rsid w:val="7B1514B9"/>
    <w:rsid w:val="7B15448B"/>
    <w:rsid w:val="7B157D3B"/>
    <w:rsid w:val="7B1647C3"/>
    <w:rsid w:val="7B166879"/>
    <w:rsid w:val="7B1668D8"/>
    <w:rsid w:val="7B1674BB"/>
    <w:rsid w:val="7B174303"/>
    <w:rsid w:val="7B174A47"/>
    <w:rsid w:val="7B174D19"/>
    <w:rsid w:val="7B1825A4"/>
    <w:rsid w:val="7B18614D"/>
    <w:rsid w:val="7B1864B3"/>
    <w:rsid w:val="7B186B06"/>
    <w:rsid w:val="7B187EFC"/>
    <w:rsid w:val="7B1A0118"/>
    <w:rsid w:val="7B1A4209"/>
    <w:rsid w:val="7B1A7B88"/>
    <w:rsid w:val="7B1B2D50"/>
    <w:rsid w:val="7B1B3E90"/>
    <w:rsid w:val="7B1B79EC"/>
    <w:rsid w:val="7B1C2E7F"/>
    <w:rsid w:val="7B1C4E34"/>
    <w:rsid w:val="7B1D1519"/>
    <w:rsid w:val="7B1D19B6"/>
    <w:rsid w:val="7B1D3764"/>
    <w:rsid w:val="7B1D422B"/>
    <w:rsid w:val="7B1D5512"/>
    <w:rsid w:val="7B1E042A"/>
    <w:rsid w:val="7B1E128A"/>
    <w:rsid w:val="7B1E74DC"/>
    <w:rsid w:val="7B1F2D29"/>
    <w:rsid w:val="7B1F37B5"/>
    <w:rsid w:val="7B1F572E"/>
    <w:rsid w:val="7B1F7A21"/>
    <w:rsid w:val="7B1F7D2B"/>
    <w:rsid w:val="7B2014A6"/>
    <w:rsid w:val="7B202E8E"/>
    <w:rsid w:val="7B2031B6"/>
    <w:rsid w:val="7B2031E5"/>
    <w:rsid w:val="7B203645"/>
    <w:rsid w:val="7B205937"/>
    <w:rsid w:val="7B205E96"/>
    <w:rsid w:val="7B20738D"/>
    <w:rsid w:val="7B215116"/>
    <w:rsid w:val="7B2170E3"/>
    <w:rsid w:val="7B220C23"/>
    <w:rsid w:val="7B220D7A"/>
    <w:rsid w:val="7B223566"/>
    <w:rsid w:val="7B22521E"/>
    <w:rsid w:val="7B226DFE"/>
    <w:rsid w:val="7B226FCC"/>
    <w:rsid w:val="7B23178A"/>
    <w:rsid w:val="7B232BA1"/>
    <w:rsid w:val="7B234AF2"/>
    <w:rsid w:val="7B240A73"/>
    <w:rsid w:val="7B242D44"/>
    <w:rsid w:val="7B243CBF"/>
    <w:rsid w:val="7B25086A"/>
    <w:rsid w:val="7B252618"/>
    <w:rsid w:val="7B252FD5"/>
    <w:rsid w:val="7B255329"/>
    <w:rsid w:val="7B260046"/>
    <w:rsid w:val="7B261303"/>
    <w:rsid w:val="7B263617"/>
    <w:rsid w:val="7B263703"/>
    <w:rsid w:val="7B263B25"/>
    <w:rsid w:val="7B266060"/>
    <w:rsid w:val="7B272834"/>
    <w:rsid w:val="7B273FF1"/>
    <w:rsid w:val="7B2745E3"/>
    <w:rsid w:val="7B280929"/>
    <w:rsid w:val="7B283AE8"/>
    <w:rsid w:val="7B2870DB"/>
    <w:rsid w:val="7B290254"/>
    <w:rsid w:val="7B291A91"/>
    <w:rsid w:val="7B292109"/>
    <w:rsid w:val="7B2A1B9C"/>
    <w:rsid w:val="7B2A40D3"/>
    <w:rsid w:val="7B2A6872"/>
    <w:rsid w:val="7B2A7C2F"/>
    <w:rsid w:val="7B2B3D3A"/>
    <w:rsid w:val="7B2B7B21"/>
    <w:rsid w:val="7B2C0245"/>
    <w:rsid w:val="7B2C39A7"/>
    <w:rsid w:val="7B2C639C"/>
    <w:rsid w:val="7B2D0D70"/>
    <w:rsid w:val="7B2D77D3"/>
    <w:rsid w:val="7B2E0BE4"/>
    <w:rsid w:val="7B2E1F18"/>
    <w:rsid w:val="7B2E518C"/>
    <w:rsid w:val="7B2E5971"/>
    <w:rsid w:val="7B2E5B08"/>
    <w:rsid w:val="7B2E6129"/>
    <w:rsid w:val="7B2E6DFC"/>
    <w:rsid w:val="7B2F16E9"/>
    <w:rsid w:val="7B2F294A"/>
    <w:rsid w:val="7B2F4C33"/>
    <w:rsid w:val="7B2F6CF4"/>
    <w:rsid w:val="7B3075F6"/>
    <w:rsid w:val="7B30793B"/>
    <w:rsid w:val="7B312C02"/>
    <w:rsid w:val="7B314538"/>
    <w:rsid w:val="7B315BCA"/>
    <w:rsid w:val="7B321344"/>
    <w:rsid w:val="7B322E89"/>
    <w:rsid w:val="7B325D89"/>
    <w:rsid w:val="7B33188A"/>
    <w:rsid w:val="7B334D35"/>
    <w:rsid w:val="7B334FEE"/>
    <w:rsid w:val="7B340AAD"/>
    <w:rsid w:val="7B341B70"/>
    <w:rsid w:val="7B3436D8"/>
    <w:rsid w:val="7B3454C7"/>
    <w:rsid w:val="7B346D77"/>
    <w:rsid w:val="7B3526D9"/>
    <w:rsid w:val="7B354232"/>
    <w:rsid w:val="7B35460C"/>
    <w:rsid w:val="7B354F51"/>
    <w:rsid w:val="7B357852"/>
    <w:rsid w:val="7B357F37"/>
    <w:rsid w:val="7B3635A1"/>
    <w:rsid w:val="7B36429C"/>
    <w:rsid w:val="7B365911"/>
    <w:rsid w:val="7B3665D4"/>
    <w:rsid w:val="7B366BD2"/>
    <w:rsid w:val="7B371A3C"/>
    <w:rsid w:val="7B3743FD"/>
    <w:rsid w:val="7B374E40"/>
    <w:rsid w:val="7B377FDF"/>
    <w:rsid w:val="7B38059E"/>
    <w:rsid w:val="7B382323"/>
    <w:rsid w:val="7B3867F0"/>
    <w:rsid w:val="7B390CB1"/>
    <w:rsid w:val="7B390DFF"/>
    <w:rsid w:val="7B3917FD"/>
    <w:rsid w:val="7B39435C"/>
    <w:rsid w:val="7B395C03"/>
    <w:rsid w:val="7B3960C4"/>
    <w:rsid w:val="7B3A2568"/>
    <w:rsid w:val="7B3A26BE"/>
    <w:rsid w:val="7B3A2A82"/>
    <w:rsid w:val="7B3A4316"/>
    <w:rsid w:val="7B3A6740"/>
    <w:rsid w:val="7B3B008E"/>
    <w:rsid w:val="7B3B019F"/>
    <w:rsid w:val="7B3B30D7"/>
    <w:rsid w:val="7B3B5A93"/>
    <w:rsid w:val="7B3B5FDF"/>
    <w:rsid w:val="7B3D2104"/>
    <w:rsid w:val="7B3D3E06"/>
    <w:rsid w:val="7B3D69F1"/>
    <w:rsid w:val="7B3E2B93"/>
    <w:rsid w:val="7B3E36DA"/>
    <w:rsid w:val="7B3F192C"/>
    <w:rsid w:val="7B3F61A7"/>
    <w:rsid w:val="7B3F7B7E"/>
    <w:rsid w:val="7B400264"/>
    <w:rsid w:val="7B402AEE"/>
    <w:rsid w:val="7B4038F6"/>
    <w:rsid w:val="7B4056A4"/>
    <w:rsid w:val="7B406801"/>
    <w:rsid w:val="7B407452"/>
    <w:rsid w:val="7B407DC2"/>
    <w:rsid w:val="7B407F1D"/>
    <w:rsid w:val="7B412A34"/>
    <w:rsid w:val="7B422B49"/>
    <w:rsid w:val="7B4231CA"/>
    <w:rsid w:val="7B426008"/>
    <w:rsid w:val="7B430CF1"/>
    <w:rsid w:val="7B431629"/>
    <w:rsid w:val="7B4366E4"/>
    <w:rsid w:val="7B436724"/>
    <w:rsid w:val="7B4406C9"/>
    <w:rsid w:val="7B442C52"/>
    <w:rsid w:val="7B442D1C"/>
    <w:rsid w:val="7B442EB6"/>
    <w:rsid w:val="7B444040"/>
    <w:rsid w:val="7B446F42"/>
    <w:rsid w:val="7B450F0D"/>
    <w:rsid w:val="7B454A69"/>
    <w:rsid w:val="7B454E4B"/>
    <w:rsid w:val="7B4558F6"/>
    <w:rsid w:val="7B456165"/>
    <w:rsid w:val="7B4561DD"/>
    <w:rsid w:val="7B461441"/>
    <w:rsid w:val="7B4625C0"/>
    <w:rsid w:val="7B465618"/>
    <w:rsid w:val="7B4667A7"/>
    <w:rsid w:val="7B466960"/>
    <w:rsid w:val="7B4729A2"/>
    <w:rsid w:val="7B47331A"/>
    <w:rsid w:val="7B473914"/>
    <w:rsid w:val="7B473A86"/>
    <w:rsid w:val="7B476A33"/>
    <w:rsid w:val="7B4839F5"/>
    <w:rsid w:val="7B484E73"/>
    <w:rsid w:val="7B48548E"/>
    <w:rsid w:val="7B486307"/>
    <w:rsid w:val="7B4869FD"/>
    <w:rsid w:val="7B490819"/>
    <w:rsid w:val="7B491684"/>
    <w:rsid w:val="7B4927AB"/>
    <w:rsid w:val="7B4930BF"/>
    <w:rsid w:val="7B493A84"/>
    <w:rsid w:val="7B49400B"/>
    <w:rsid w:val="7B494592"/>
    <w:rsid w:val="7B4A02D1"/>
    <w:rsid w:val="7B4A4F34"/>
    <w:rsid w:val="7B4A7F92"/>
    <w:rsid w:val="7B4B648D"/>
    <w:rsid w:val="7B4B6523"/>
    <w:rsid w:val="7B4C0D0B"/>
    <w:rsid w:val="7B4C1091"/>
    <w:rsid w:val="7B4C161C"/>
    <w:rsid w:val="7B4C229B"/>
    <w:rsid w:val="7B4C22FD"/>
    <w:rsid w:val="7B4C27D2"/>
    <w:rsid w:val="7B4C5938"/>
    <w:rsid w:val="7B4C5DF7"/>
    <w:rsid w:val="7B4D444E"/>
    <w:rsid w:val="7B4D72D9"/>
    <w:rsid w:val="7B4E1B6F"/>
    <w:rsid w:val="7B4E400A"/>
    <w:rsid w:val="7B4E5B3D"/>
    <w:rsid w:val="7B4E7236"/>
    <w:rsid w:val="7B4F0166"/>
    <w:rsid w:val="7B4F7EE1"/>
    <w:rsid w:val="7B502037"/>
    <w:rsid w:val="7B503BE4"/>
    <w:rsid w:val="7B505EB9"/>
    <w:rsid w:val="7B510BEA"/>
    <w:rsid w:val="7B51165F"/>
    <w:rsid w:val="7B513395"/>
    <w:rsid w:val="7B51606D"/>
    <w:rsid w:val="7B516286"/>
    <w:rsid w:val="7B5177C8"/>
    <w:rsid w:val="7B5178B1"/>
    <w:rsid w:val="7B532CD2"/>
    <w:rsid w:val="7B5333B5"/>
    <w:rsid w:val="7B5339DD"/>
    <w:rsid w:val="7B542EFE"/>
    <w:rsid w:val="7B5431B5"/>
    <w:rsid w:val="7B544BF8"/>
    <w:rsid w:val="7B544F85"/>
    <w:rsid w:val="7B551150"/>
    <w:rsid w:val="7B560A24"/>
    <w:rsid w:val="7B564D14"/>
    <w:rsid w:val="7B56651E"/>
    <w:rsid w:val="7B566C76"/>
    <w:rsid w:val="7B570210"/>
    <w:rsid w:val="7B572112"/>
    <w:rsid w:val="7B572FE6"/>
    <w:rsid w:val="7B5730C6"/>
    <w:rsid w:val="7B575E22"/>
    <w:rsid w:val="7B5761A4"/>
    <w:rsid w:val="7B580C40"/>
    <w:rsid w:val="7B581DBA"/>
    <w:rsid w:val="7B5829EE"/>
    <w:rsid w:val="7B584505"/>
    <w:rsid w:val="7B586985"/>
    <w:rsid w:val="7B587438"/>
    <w:rsid w:val="7B590A69"/>
    <w:rsid w:val="7B591601"/>
    <w:rsid w:val="7B594DD6"/>
    <w:rsid w:val="7B5955C6"/>
    <w:rsid w:val="7B5A49B8"/>
    <w:rsid w:val="7B5A4FB8"/>
    <w:rsid w:val="7B5A6766"/>
    <w:rsid w:val="7B5A69AC"/>
    <w:rsid w:val="7B5B2E08"/>
    <w:rsid w:val="7B5B3516"/>
    <w:rsid w:val="7B5B428C"/>
    <w:rsid w:val="7B5B4A33"/>
    <w:rsid w:val="7B5B4B12"/>
    <w:rsid w:val="7B5B4B25"/>
    <w:rsid w:val="7B5B6A61"/>
    <w:rsid w:val="7B5B764E"/>
    <w:rsid w:val="7B5B7F4C"/>
    <w:rsid w:val="7B5C0B86"/>
    <w:rsid w:val="7B5C2BD2"/>
    <w:rsid w:val="7B5C5442"/>
    <w:rsid w:val="7B5C61DA"/>
    <w:rsid w:val="7B5D0004"/>
    <w:rsid w:val="7B5D03D9"/>
    <w:rsid w:val="7B5D13F7"/>
    <w:rsid w:val="7B5D1DB2"/>
    <w:rsid w:val="7B5D5A0D"/>
    <w:rsid w:val="7B5D5C38"/>
    <w:rsid w:val="7B5E1CA3"/>
    <w:rsid w:val="7B5E5388"/>
    <w:rsid w:val="7B5E61EB"/>
    <w:rsid w:val="7B5F0CA0"/>
    <w:rsid w:val="7B5F1FCE"/>
    <w:rsid w:val="7B5F3D7C"/>
    <w:rsid w:val="7B5F4D7F"/>
    <w:rsid w:val="7B5F768B"/>
    <w:rsid w:val="7B60188E"/>
    <w:rsid w:val="7B6018A2"/>
    <w:rsid w:val="7B605A41"/>
    <w:rsid w:val="7B61196D"/>
    <w:rsid w:val="7B611E27"/>
    <w:rsid w:val="7B616991"/>
    <w:rsid w:val="7B622C97"/>
    <w:rsid w:val="7B623B57"/>
    <w:rsid w:val="7B62561B"/>
    <w:rsid w:val="7B6257E0"/>
    <w:rsid w:val="7B6273C9"/>
    <w:rsid w:val="7B636684"/>
    <w:rsid w:val="7B637AD6"/>
    <w:rsid w:val="7B637B74"/>
    <w:rsid w:val="7B640A69"/>
    <w:rsid w:val="7B640A94"/>
    <w:rsid w:val="7B6416BF"/>
    <w:rsid w:val="7B6430E2"/>
    <w:rsid w:val="7B643159"/>
    <w:rsid w:val="7B643B78"/>
    <w:rsid w:val="7B6475E5"/>
    <w:rsid w:val="7B65062F"/>
    <w:rsid w:val="7B651B88"/>
    <w:rsid w:val="7B653635"/>
    <w:rsid w:val="7B653EB9"/>
    <w:rsid w:val="7B654DD5"/>
    <w:rsid w:val="7B65510B"/>
    <w:rsid w:val="7B65601C"/>
    <w:rsid w:val="7B662F01"/>
    <w:rsid w:val="7B66335D"/>
    <w:rsid w:val="7B6646EA"/>
    <w:rsid w:val="7B665911"/>
    <w:rsid w:val="7B667132"/>
    <w:rsid w:val="7B6709D5"/>
    <w:rsid w:val="7B6770D5"/>
    <w:rsid w:val="7B686B5E"/>
    <w:rsid w:val="7B687129"/>
    <w:rsid w:val="7B690757"/>
    <w:rsid w:val="7B691CFA"/>
    <w:rsid w:val="7B6929A8"/>
    <w:rsid w:val="7B694BFB"/>
    <w:rsid w:val="7B6969A9"/>
    <w:rsid w:val="7B6A1361"/>
    <w:rsid w:val="7B6A5478"/>
    <w:rsid w:val="7B6A5D5B"/>
    <w:rsid w:val="7B6B01B6"/>
    <w:rsid w:val="7B6B0973"/>
    <w:rsid w:val="7B6B5747"/>
    <w:rsid w:val="7B6C6299"/>
    <w:rsid w:val="7B6C6499"/>
    <w:rsid w:val="7B6C68E0"/>
    <w:rsid w:val="7B6D1B0B"/>
    <w:rsid w:val="7B6D3DD7"/>
    <w:rsid w:val="7B6E0463"/>
    <w:rsid w:val="7B6E0923"/>
    <w:rsid w:val="7B6E21EB"/>
    <w:rsid w:val="7B6E2211"/>
    <w:rsid w:val="7B6E2F9B"/>
    <w:rsid w:val="7B6E46DC"/>
    <w:rsid w:val="7B6E5F14"/>
    <w:rsid w:val="7B6F1AE6"/>
    <w:rsid w:val="7B6F293E"/>
    <w:rsid w:val="7B6F3B37"/>
    <w:rsid w:val="7B6F41BA"/>
    <w:rsid w:val="7B702240"/>
    <w:rsid w:val="7B70394E"/>
    <w:rsid w:val="7B705F8B"/>
    <w:rsid w:val="7B705FB9"/>
    <w:rsid w:val="7B7071DA"/>
    <w:rsid w:val="7B711D02"/>
    <w:rsid w:val="7B71246B"/>
    <w:rsid w:val="7B712AFC"/>
    <w:rsid w:val="7B713AB0"/>
    <w:rsid w:val="7B715E3D"/>
    <w:rsid w:val="7B72148A"/>
    <w:rsid w:val="7B723999"/>
    <w:rsid w:val="7B72472F"/>
    <w:rsid w:val="7B730B7C"/>
    <w:rsid w:val="7B737CB0"/>
    <w:rsid w:val="7B7414B2"/>
    <w:rsid w:val="7B742A9F"/>
    <w:rsid w:val="7B7446F1"/>
    <w:rsid w:val="7B744997"/>
    <w:rsid w:val="7B7470FC"/>
    <w:rsid w:val="7B752E6E"/>
    <w:rsid w:val="7B754FA9"/>
    <w:rsid w:val="7B75534E"/>
    <w:rsid w:val="7B7609A1"/>
    <w:rsid w:val="7B762E74"/>
    <w:rsid w:val="7B765CC4"/>
    <w:rsid w:val="7B767318"/>
    <w:rsid w:val="7B770644"/>
    <w:rsid w:val="7B7707C5"/>
    <w:rsid w:val="7B7731F9"/>
    <w:rsid w:val="7B78122F"/>
    <w:rsid w:val="7B7817D1"/>
    <w:rsid w:val="7B783071"/>
    <w:rsid w:val="7B783090"/>
    <w:rsid w:val="7B785D5E"/>
    <w:rsid w:val="7B7900AE"/>
    <w:rsid w:val="7B790879"/>
    <w:rsid w:val="7B7911BD"/>
    <w:rsid w:val="7B791B79"/>
    <w:rsid w:val="7B792C7F"/>
    <w:rsid w:val="7B795F28"/>
    <w:rsid w:val="7B797295"/>
    <w:rsid w:val="7B7A2964"/>
    <w:rsid w:val="7B7A5674"/>
    <w:rsid w:val="7B7A57F4"/>
    <w:rsid w:val="7B7A6162"/>
    <w:rsid w:val="7B7A6E08"/>
    <w:rsid w:val="7B7A739C"/>
    <w:rsid w:val="7B7B492E"/>
    <w:rsid w:val="7B7B559F"/>
    <w:rsid w:val="7B7B66DC"/>
    <w:rsid w:val="7B7C2705"/>
    <w:rsid w:val="7B7C6799"/>
    <w:rsid w:val="7B7C6A2F"/>
    <w:rsid w:val="7B7D06A6"/>
    <w:rsid w:val="7B7D2454"/>
    <w:rsid w:val="7B7D4112"/>
    <w:rsid w:val="7B7D662F"/>
    <w:rsid w:val="7B7D6FA3"/>
    <w:rsid w:val="7B7D6FFF"/>
    <w:rsid w:val="7B7E0D9E"/>
    <w:rsid w:val="7B7E3B53"/>
    <w:rsid w:val="7B7E5546"/>
    <w:rsid w:val="7B7E5661"/>
    <w:rsid w:val="7B7F2E16"/>
    <w:rsid w:val="7B7F54F6"/>
    <w:rsid w:val="7B7F61CD"/>
    <w:rsid w:val="7B7F6540"/>
    <w:rsid w:val="7B7F748E"/>
    <w:rsid w:val="7B811411"/>
    <w:rsid w:val="7B814D89"/>
    <w:rsid w:val="7B820F17"/>
    <w:rsid w:val="7B821819"/>
    <w:rsid w:val="7B8237F8"/>
    <w:rsid w:val="7B8239E9"/>
    <w:rsid w:val="7B825B1A"/>
    <w:rsid w:val="7B825CBD"/>
    <w:rsid w:val="7B827A6B"/>
    <w:rsid w:val="7B833D31"/>
    <w:rsid w:val="7B834B9A"/>
    <w:rsid w:val="7B8437E3"/>
    <w:rsid w:val="7B843F41"/>
    <w:rsid w:val="7B8454C1"/>
    <w:rsid w:val="7B8458D0"/>
    <w:rsid w:val="7B8475E5"/>
    <w:rsid w:val="7B850501"/>
    <w:rsid w:val="7B8507F3"/>
    <w:rsid w:val="7B851309"/>
    <w:rsid w:val="7B851445"/>
    <w:rsid w:val="7B8514C1"/>
    <w:rsid w:val="7B8557BC"/>
    <w:rsid w:val="7B85717E"/>
    <w:rsid w:val="7B857F37"/>
    <w:rsid w:val="7B862EEE"/>
    <w:rsid w:val="7B86712E"/>
    <w:rsid w:val="7B870A41"/>
    <w:rsid w:val="7B875081"/>
    <w:rsid w:val="7B876E2F"/>
    <w:rsid w:val="7B877AB4"/>
    <w:rsid w:val="7B877D61"/>
    <w:rsid w:val="7B877DB1"/>
    <w:rsid w:val="7B8812E4"/>
    <w:rsid w:val="7B882C9D"/>
    <w:rsid w:val="7B890DF9"/>
    <w:rsid w:val="7B892BA7"/>
    <w:rsid w:val="7B892C14"/>
    <w:rsid w:val="7B8965EA"/>
    <w:rsid w:val="7B897BA3"/>
    <w:rsid w:val="7B8A3B83"/>
    <w:rsid w:val="7B8A4C7B"/>
    <w:rsid w:val="7B8A646D"/>
    <w:rsid w:val="7B8A691F"/>
    <w:rsid w:val="7B8B034F"/>
    <w:rsid w:val="7B8B2DC3"/>
    <w:rsid w:val="7B8B4B71"/>
    <w:rsid w:val="7B8B522E"/>
    <w:rsid w:val="7B8B5DA1"/>
    <w:rsid w:val="7B8C011C"/>
    <w:rsid w:val="7B8C039E"/>
    <w:rsid w:val="7B8C4003"/>
    <w:rsid w:val="7B8C6B3B"/>
    <w:rsid w:val="7B8D0445"/>
    <w:rsid w:val="7B8D0BA5"/>
    <w:rsid w:val="7B8D2351"/>
    <w:rsid w:val="7B8D2AD0"/>
    <w:rsid w:val="7B8D2AF3"/>
    <w:rsid w:val="7B8D4E98"/>
    <w:rsid w:val="7B8D79B4"/>
    <w:rsid w:val="7B8E060D"/>
    <w:rsid w:val="7B8E2585"/>
    <w:rsid w:val="7B8E49EE"/>
    <w:rsid w:val="7B8E6410"/>
    <w:rsid w:val="7B8F3B56"/>
    <w:rsid w:val="7B9003DA"/>
    <w:rsid w:val="7B902FEF"/>
    <w:rsid w:val="7B903A4B"/>
    <w:rsid w:val="7B904EA5"/>
    <w:rsid w:val="7B912600"/>
    <w:rsid w:val="7B914152"/>
    <w:rsid w:val="7B915708"/>
    <w:rsid w:val="7B915F00"/>
    <w:rsid w:val="7B9164E4"/>
    <w:rsid w:val="7B917CAE"/>
    <w:rsid w:val="7B92052F"/>
    <w:rsid w:val="7B92225E"/>
    <w:rsid w:val="7B923CF3"/>
    <w:rsid w:val="7B923FB7"/>
    <w:rsid w:val="7B925423"/>
    <w:rsid w:val="7B926609"/>
    <w:rsid w:val="7B933CE4"/>
    <w:rsid w:val="7B934F67"/>
    <w:rsid w:val="7B943A53"/>
    <w:rsid w:val="7B9447BC"/>
    <w:rsid w:val="7B94762C"/>
    <w:rsid w:val="7B950C60"/>
    <w:rsid w:val="7B95409C"/>
    <w:rsid w:val="7B954508"/>
    <w:rsid w:val="7B9559F0"/>
    <w:rsid w:val="7B95672D"/>
    <w:rsid w:val="7B963516"/>
    <w:rsid w:val="7B9638E8"/>
    <w:rsid w:val="7B964927"/>
    <w:rsid w:val="7B965803"/>
    <w:rsid w:val="7B967F48"/>
    <w:rsid w:val="7B970DE2"/>
    <w:rsid w:val="7B971874"/>
    <w:rsid w:val="7B973E48"/>
    <w:rsid w:val="7B9754EF"/>
    <w:rsid w:val="7B981A66"/>
    <w:rsid w:val="7B98336F"/>
    <w:rsid w:val="7B983FBF"/>
    <w:rsid w:val="7B984A64"/>
    <w:rsid w:val="7B9854E0"/>
    <w:rsid w:val="7B985E4C"/>
    <w:rsid w:val="7B98728E"/>
    <w:rsid w:val="7B987E6B"/>
    <w:rsid w:val="7B9A0B28"/>
    <w:rsid w:val="7B9A1258"/>
    <w:rsid w:val="7B9A3032"/>
    <w:rsid w:val="7B9A6ABF"/>
    <w:rsid w:val="7B9A6B62"/>
    <w:rsid w:val="7B9B00A3"/>
    <w:rsid w:val="7B9B1FB8"/>
    <w:rsid w:val="7B9D2679"/>
    <w:rsid w:val="7B9D2AF7"/>
    <w:rsid w:val="7B9D48A5"/>
    <w:rsid w:val="7B9D6653"/>
    <w:rsid w:val="7B9E3097"/>
    <w:rsid w:val="7B9E5CB4"/>
    <w:rsid w:val="7B9F061D"/>
    <w:rsid w:val="7B9F23CB"/>
    <w:rsid w:val="7B9F32A3"/>
    <w:rsid w:val="7B9F3343"/>
    <w:rsid w:val="7B9F5BE5"/>
    <w:rsid w:val="7B9F609A"/>
    <w:rsid w:val="7B9F686F"/>
    <w:rsid w:val="7BA03720"/>
    <w:rsid w:val="7BA07EF1"/>
    <w:rsid w:val="7BA1205C"/>
    <w:rsid w:val="7BA14395"/>
    <w:rsid w:val="7BA143F9"/>
    <w:rsid w:val="7BA15F11"/>
    <w:rsid w:val="7BA21E8B"/>
    <w:rsid w:val="7BA23C69"/>
    <w:rsid w:val="7BA268EC"/>
    <w:rsid w:val="7BA27C26"/>
    <w:rsid w:val="7BA3331B"/>
    <w:rsid w:val="7BA35487"/>
    <w:rsid w:val="7BA35FF6"/>
    <w:rsid w:val="7BA36A76"/>
    <w:rsid w:val="7BA379EC"/>
    <w:rsid w:val="7BA40E98"/>
    <w:rsid w:val="7BA43362"/>
    <w:rsid w:val="7BA43BC2"/>
    <w:rsid w:val="7BA43E85"/>
    <w:rsid w:val="7BA455C0"/>
    <w:rsid w:val="7BA46085"/>
    <w:rsid w:val="7BA478C7"/>
    <w:rsid w:val="7BA479E1"/>
    <w:rsid w:val="7BA52085"/>
    <w:rsid w:val="7BA52D59"/>
    <w:rsid w:val="7BA56654"/>
    <w:rsid w:val="7BA619AB"/>
    <w:rsid w:val="7BA6229F"/>
    <w:rsid w:val="7BA62944"/>
    <w:rsid w:val="7BA63D52"/>
    <w:rsid w:val="7BA666A8"/>
    <w:rsid w:val="7BA66FD7"/>
    <w:rsid w:val="7BA67BFD"/>
    <w:rsid w:val="7BA67DAD"/>
    <w:rsid w:val="7BA7127F"/>
    <w:rsid w:val="7BA7327D"/>
    <w:rsid w:val="7BA75723"/>
    <w:rsid w:val="7BA768A4"/>
    <w:rsid w:val="7BA81783"/>
    <w:rsid w:val="7BA9149B"/>
    <w:rsid w:val="7BA92E3E"/>
    <w:rsid w:val="7BA93249"/>
    <w:rsid w:val="7BA97CB8"/>
    <w:rsid w:val="7BAA2A14"/>
    <w:rsid w:val="7BAA630F"/>
    <w:rsid w:val="7BAA759E"/>
    <w:rsid w:val="7BAB0D70"/>
    <w:rsid w:val="7BAB2F3D"/>
    <w:rsid w:val="7BAB30CB"/>
    <w:rsid w:val="7BAB59C4"/>
    <w:rsid w:val="7BAB6ACF"/>
    <w:rsid w:val="7BAB6FC2"/>
    <w:rsid w:val="7BAB7F15"/>
    <w:rsid w:val="7BAC2407"/>
    <w:rsid w:val="7BAC2D3A"/>
    <w:rsid w:val="7BAC4A52"/>
    <w:rsid w:val="7BAC4AE8"/>
    <w:rsid w:val="7BAD06C2"/>
    <w:rsid w:val="7BAD06F6"/>
    <w:rsid w:val="7BAD0F8C"/>
    <w:rsid w:val="7BAD14E3"/>
    <w:rsid w:val="7BAD61AB"/>
    <w:rsid w:val="7BAD6226"/>
    <w:rsid w:val="7BAD63B4"/>
    <w:rsid w:val="7BAE1B6F"/>
    <w:rsid w:val="7BAE2FFF"/>
    <w:rsid w:val="7BAE7A80"/>
    <w:rsid w:val="7BAF2764"/>
    <w:rsid w:val="7BAF2D7E"/>
    <w:rsid w:val="7BAF65BA"/>
    <w:rsid w:val="7BAF6DFA"/>
    <w:rsid w:val="7BB0591F"/>
    <w:rsid w:val="7BB06386"/>
    <w:rsid w:val="7BB072FF"/>
    <w:rsid w:val="7BB120FE"/>
    <w:rsid w:val="7BB1340F"/>
    <w:rsid w:val="7BB16060"/>
    <w:rsid w:val="7BB1707E"/>
    <w:rsid w:val="7BB21B01"/>
    <w:rsid w:val="7BB21B83"/>
    <w:rsid w:val="7BB22216"/>
    <w:rsid w:val="7BB265A2"/>
    <w:rsid w:val="7BB3104F"/>
    <w:rsid w:val="7BB310BF"/>
    <w:rsid w:val="7BB3142A"/>
    <w:rsid w:val="7BB31795"/>
    <w:rsid w:val="7BB340C8"/>
    <w:rsid w:val="7BB35E76"/>
    <w:rsid w:val="7BB37C24"/>
    <w:rsid w:val="7BB4583D"/>
    <w:rsid w:val="7BB46E71"/>
    <w:rsid w:val="7BB502FC"/>
    <w:rsid w:val="7BB5313A"/>
    <w:rsid w:val="7BB5432D"/>
    <w:rsid w:val="7BB549E8"/>
    <w:rsid w:val="7BB57E40"/>
    <w:rsid w:val="7BB60D9E"/>
    <w:rsid w:val="7BB61AD4"/>
    <w:rsid w:val="7BB61B49"/>
    <w:rsid w:val="7BB64763"/>
    <w:rsid w:val="7BB66D57"/>
    <w:rsid w:val="7BB67714"/>
    <w:rsid w:val="7BB73BB8"/>
    <w:rsid w:val="7BB75966"/>
    <w:rsid w:val="7BB81318"/>
    <w:rsid w:val="7BB816DF"/>
    <w:rsid w:val="7BB840B1"/>
    <w:rsid w:val="7BB84E92"/>
    <w:rsid w:val="7BB86763"/>
    <w:rsid w:val="7BB875AB"/>
    <w:rsid w:val="7BB9229C"/>
    <w:rsid w:val="7BB9260E"/>
    <w:rsid w:val="7BB94FEF"/>
    <w:rsid w:val="7BBA0112"/>
    <w:rsid w:val="7BBA0674"/>
    <w:rsid w:val="7BBA2B26"/>
    <w:rsid w:val="7BBA3F8C"/>
    <w:rsid w:val="7BBA5457"/>
    <w:rsid w:val="7BBA7205"/>
    <w:rsid w:val="7BBB0320"/>
    <w:rsid w:val="7BBB1D8B"/>
    <w:rsid w:val="7BBB2A32"/>
    <w:rsid w:val="7BBB329F"/>
    <w:rsid w:val="7BBB7894"/>
    <w:rsid w:val="7BBC1AD5"/>
    <w:rsid w:val="7BBC2F7D"/>
    <w:rsid w:val="7BBD0E2B"/>
    <w:rsid w:val="7BBD6D32"/>
    <w:rsid w:val="7BBE3909"/>
    <w:rsid w:val="7BBE42A1"/>
    <w:rsid w:val="7BBF136A"/>
    <w:rsid w:val="7BBF5ACE"/>
    <w:rsid w:val="7BBF676B"/>
    <w:rsid w:val="7BBF6A7E"/>
    <w:rsid w:val="7BBF778D"/>
    <w:rsid w:val="7BBF7A6F"/>
    <w:rsid w:val="7BC00D88"/>
    <w:rsid w:val="7BC01A25"/>
    <w:rsid w:val="7BC035FC"/>
    <w:rsid w:val="7BC03BDB"/>
    <w:rsid w:val="7BC0464E"/>
    <w:rsid w:val="7BC05414"/>
    <w:rsid w:val="7BC07196"/>
    <w:rsid w:val="7BC10593"/>
    <w:rsid w:val="7BC10D1D"/>
    <w:rsid w:val="7BC10DC0"/>
    <w:rsid w:val="7BC10FF9"/>
    <w:rsid w:val="7BC127BC"/>
    <w:rsid w:val="7BC128C3"/>
    <w:rsid w:val="7BC1385D"/>
    <w:rsid w:val="7BC14128"/>
    <w:rsid w:val="7BC167E5"/>
    <w:rsid w:val="7BC21475"/>
    <w:rsid w:val="7BC2255B"/>
    <w:rsid w:val="7BC2255D"/>
    <w:rsid w:val="7BC22CA1"/>
    <w:rsid w:val="7BC25745"/>
    <w:rsid w:val="7BC31066"/>
    <w:rsid w:val="7BC311C4"/>
    <w:rsid w:val="7BC35BE8"/>
    <w:rsid w:val="7BC406A6"/>
    <w:rsid w:val="7BC41E31"/>
    <w:rsid w:val="7BC42AAA"/>
    <w:rsid w:val="7BC43E42"/>
    <w:rsid w:val="7BC475ED"/>
    <w:rsid w:val="7BC55225"/>
    <w:rsid w:val="7BC57958"/>
    <w:rsid w:val="7BC57DF6"/>
    <w:rsid w:val="7BC6204D"/>
    <w:rsid w:val="7BC63DFB"/>
    <w:rsid w:val="7BC65BA9"/>
    <w:rsid w:val="7BC71922"/>
    <w:rsid w:val="7BC72716"/>
    <w:rsid w:val="7BC736D0"/>
    <w:rsid w:val="7BC77A34"/>
    <w:rsid w:val="7BC77D65"/>
    <w:rsid w:val="7BC81F79"/>
    <w:rsid w:val="7BC938EC"/>
    <w:rsid w:val="7BC9391B"/>
    <w:rsid w:val="7BC97448"/>
    <w:rsid w:val="7BC97C07"/>
    <w:rsid w:val="7BCB08AD"/>
    <w:rsid w:val="7BCB3ADF"/>
    <w:rsid w:val="7BCB7664"/>
    <w:rsid w:val="7BCB7956"/>
    <w:rsid w:val="7BCC0CE6"/>
    <w:rsid w:val="7BCC28D6"/>
    <w:rsid w:val="7BCC6F38"/>
    <w:rsid w:val="7BCD482A"/>
    <w:rsid w:val="7BCD5499"/>
    <w:rsid w:val="7BCE0755"/>
    <w:rsid w:val="7BCE0D64"/>
    <w:rsid w:val="7BCE0E0C"/>
    <w:rsid w:val="7BCE20A0"/>
    <w:rsid w:val="7BCE2CB0"/>
    <w:rsid w:val="7BCE62D7"/>
    <w:rsid w:val="7BCE7A18"/>
    <w:rsid w:val="7BCE7DDC"/>
    <w:rsid w:val="7BCF674F"/>
    <w:rsid w:val="7BD007D6"/>
    <w:rsid w:val="7BD047B9"/>
    <w:rsid w:val="7BD0529E"/>
    <w:rsid w:val="7BD06A28"/>
    <w:rsid w:val="7BD137C8"/>
    <w:rsid w:val="7BD1454E"/>
    <w:rsid w:val="7BD176E8"/>
    <w:rsid w:val="7BD2042C"/>
    <w:rsid w:val="7BD209F2"/>
    <w:rsid w:val="7BD227A0"/>
    <w:rsid w:val="7BD23582"/>
    <w:rsid w:val="7BD30458"/>
    <w:rsid w:val="7BD31671"/>
    <w:rsid w:val="7BD32074"/>
    <w:rsid w:val="7BD34015"/>
    <w:rsid w:val="7BD36518"/>
    <w:rsid w:val="7BD42149"/>
    <w:rsid w:val="7BD43E60"/>
    <w:rsid w:val="7BD4694B"/>
    <w:rsid w:val="7BD5403F"/>
    <w:rsid w:val="7BD61D91"/>
    <w:rsid w:val="7BD6269F"/>
    <w:rsid w:val="7BD633C7"/>
    <w:rsid w:val="7BD65F29"/>
    <w:rsid w:val="7BD6763A"/>
    <w:rsid w:val="7BD73F68"/>
    <w:rsid w:val="7BD76A40"/>
    <w:rsid w:val="7BD77DB7"/>
    <w:rsid w:val="7BD81D81"/>
    <w:rsid w:val="7BD83518"/>
    <w:rsid w:val="7BD858DD"/>
    <w:rsid w:val="7BD94B2B"/>
    <w:rsid w:val="7BDA7895"/>
    <w:rsid w:val="7BDA78A7"/>
    <w:rsid w:val="7BDB06D8"/>
    <w:rsid w:val="7BDB2820"/>
    <w:rsid w:val="7BDB5A03"/>
    <w:rsid w:val="7BDB744B"/>
    <w:rsid w:val="7BDC361F"/>
    <w:rsid w:val="7BDC53CD"/>
    <w:rsid w:val="7BDC6EF3"/>
    <w:rsid w:val="7BDC717B"/>
    <w:rsid w:val="7BDD1145"/>
    <w:rsid w:val="7BDD15CE"/>
    <w:rsid w:val="7BDD22DC"/>
    <w:rsid w:val="7BDD2BFC"/>
    <w:rsid w:val="7BDD2EF3"/>
    <w:rsid w:val="7BDD39EC"/>
    <w:rsid w:val="7BDD4054"/>
    <w:rsid w:val="7BDD493C"/>
    <w:rsid w:val="7BDE07E1"/>
    <w:rsid w:val="7BDE0F2D"/>
    <w:rsid w:val="7BDE3AD1"/>
    <w:rsid w:val="7BDE72D2"/>
    <w:rsid w:val="7BDE7DCD"/>
    <w:rsid w:val="7BDF42EA"/>
    <w:rsid w:val="7BE016DD"/>
    <w:rsid w:val="7BE01E2D"/>
    <w:rsid w:val="7BE10C35"/>
    <w:rsid w:val="7BE10CCC"/>
    <w:rsid w:val="7BE11B8C"/>
    <w:rsid w:val="7BE12CFE"/>
    <w:rsid w:val="7BE134DF"/>
    <w:rsid w:val="7BE14791"/>
    <w:rsid w:val="7BE15183"/>
    <w:rsid w:val="7BE158A4"/>
    <w:rsid w:val="7BE25086"/>
    <w:rsid w:val="7BE259C9"/>
    <w:rsid w:val="7BE277B8"/>
    <w:rsid w:val="7BE3139E"/>
    <w:rsid w:val="7BE33949"/>
    <w:rsid w:val="7BE40725"/>
    <w:rsid w:val="7BE424D4"/>
    <w:rsid w:val="7BE43362"/>
    <w:rsid w:val="7BE43EE1"/>
    <w:rsid w:val="7BE451FE"/>
    <w:rsid w:val="7BE47E04"/>
    <w:rsid w:val="7BE5158F"/>
    <w:rsid w:val="7BE55D49"/>
    <w:rsid w:val="7BE6095C"/>
    <w:rsid w:val="7BE614C3"/>
    <w:rsid w:val="7BE6624C"/>
    <w:rsid w:val="7BE67D30"/>
    <w:rsid w:val="7BE67FFA"/>
    <w:rsid w:val="7BE705BF"/>
    <w:rsid w:val="7BE710FD"/>
    <w:rsid w:val="7BE72D90"/>
    <w:rsid w:val="7BE73D72"/>
    <w:rsid w:val="7BE75B20"/>
    <w:rsid w:val="7BE81995"/>
    <w:rsid w:val="7BE81EEB"/>
    <w:rsid w:val="7BE81FC4"/>
    <w:rsid w:val="7BE82D0A"/>
    <w:rsid w:val="7BE86C17"/>
    <w:rsid w:val="7BE95D3C"/>
    <w:rsid w:val="7BEA22C0"/>
    <w:rsid w:val="7BEA48CC"/>
    <w:rsid w:val="7BEA585E"/>
    <w:rsid w:val="7BEA5DDA"/>
    <w:rsid w:val="7BEA637F"/>
    <w:rsid w:val="7BEA7BE2"/>
    <w:rsid w:val="7BEB3862"/>
    <w:rsid w:val="7BEB4ADB"/>
    <w:rsid w:val="7BEB6691"/>
    <w:rsid w:val="7BEB6C3E"/>
    <w:rsid w:val="7BEC1388"/>
    <w:rsid w:val="7BEC2635"/>
    <w:rsid w:val="7BEC2FA1"/>
    <w:rsid w:val="7BEC370A"/>
    <w:rsid w:val="7BEC37C4"/>
    <w:rsid w:val="7BEC3DE0"/>
    <w:rsid w:val="7BEC5BD4"/>
    <w:rsid w:val="7BEC7A07"/>
    <w:rsid w:val="7BED02ED"/>
    <w:rsid w:val="7BED1889"/>
    <w:rsid w:val="7BED4431"/>
    <w:rsid w:val="7BED6E3F"/>
    <w:rsid w:val="7BED75DA"/>
    <w:rsid w:val="7BEE3352"/>
    <w:rsid w:val="7BEE5100"/>
    <w:rsid w:val="7BEF4F27"/>
    <w:rsid w:val="7BEF6D13"/>
    <w:rsid w:val="7BF00E78"/>
    <w:rsid w:val="7BF02C26"/>
    <w:rsid w:val="7BF11314"/>
    <w:rsid w:val="7BF15AEF"/>
    <w:rsid w:val="7BF17918"/>
    <w:rsid w:val="7BF208B9"/>
    <w:rsid w:val="7BF2196F"/>
    <w:rsid w:val="7BF22E42"/>
    <w:rsid w:val="7BF23BF8"/>
    <w:rsid w:val="7BF24BF0"/>
    <w:rsid w:val="7BF2699E"/>
    <w:rsid w:val="7BF26BCF"/>
    <w:rsid w:val="7BF30969"/>
    <w:rsid w:val="7BF3182E"/>
    <w:rsid w:val="7BF31A9A"/>
    <w:rsid w:val="7BF32717"/>
    <w:rsid w:val="7BF330DA"/>
    <w:rsid w:val="7BF34E53"/>
    <w:rsid w:val="7BF35018"/>
    <w:rsid w:val="7BF630F4"/>
    <w:rsid w:val="7BF70A19"/>
    <w:rsid w:val="7BF70EA8"/>
    <w:rsid w:val="7BF73FB5"/>
    <w:rsid w:val="7BF754E3"/>
    <w:rsid w:val="7BF77FDC"/>
    <w:rsid w:val="7BF81544"/>
    <w:rsid w:val="7BF81ADB"/>
    <w:rsid w:val="7BF81CA7"/>
    <w:rsid w:val="7BF82690"/>
    <w:rsid w:val="7BF86A4E"/>
    <w:rsid w:val="7BF86C91"/>
    <w:rsid w:val="7BF87D2D"/>
    <w:rsid w:val="7BF9054F"/>
    <w:rsid w:val="7BF947CA"/>
    <w:rsid w:val="7BF94AD1"/>
    <w:rsid w:val="7BF94F37"/>
    <w:rsid w:val="7BF96078"/>
    <w:rsid w:val="7BF961F8"/>
    <w:rsid w:val="7BFA127A"/>
    <w:rsid w:val="7BFA1CF7"/>
    <w:rsid w:val="7BFA3AA5"/>
    <w:rsid w:val="7BFA423B"/>
    <w:rsid w:val="7BFA474F"/>
    <w:rsid w:val="7BFA4AD6"/>
    <w:rsid w:val="7BFA55A5"/>
    <w:rsid w:val="7BFA5853"/>
    <w:rsid w:val="7BFA6585"/>
    <w:rsid w:val="7BFA6EA2"/>
    <w:rsid w:val="7BFC00F6"/>
    <w:rsid w:val="7BFC15CB"/>
    <w:rsid w:val="7BFC40D0"/>
    <w:rsid w:val="7BFC46F8"/>
    <w:rsid w:val="7BFC4C99"/>
    <w:rsid w:val="7BFC5A6F"/>
    <w:rsid w:val="7BFC7DD9"/>
    <w:rsid w:val="7BFD122E"/>
    <w:rsid w:val="7BFD27E5"/>
    <w:rsid w:val="7BFD3595"/>
    <w:rsid w:val="7BFD7A8B"/>
    <w:rsid w:val="7BFE17E7"/>
    <w:rsid w:val="7BFE53B6"/>
    <w:rsid w:val="7BFE6C1E"/>
    <w:rsid w:val="7BFF2E69"/>
    <w:rsid w:val="7BFF420D"/>
    <w:rsid w:val="7BFF59D9"/>
    <w:rsid w:val="7BFF5E95"/>
    <w:rsid w:val="7BFF6846"/>
    <w:rsid w:val="7BFF730D"/>
    <w:rsid w:val="7C001521"/>
    <w:rsid w:val="7C00265E"/>
    <w:rsid w:val="7C0028A7"/>
    <w:rsid w:val="7C003083"/>
    <w:rsid w:val="7C00423D"/>
    <w:rsid w:val="7C00549E"/>
    <w:rsid w:val="7C010E9C"/>
    <w:rsid w:val="7C016BE2"/>
    <w:rsid w:val="7C0177BF"/>
    <w:rsid w:val="7C021BBA"/>
    <w:rsid w:val="7C02295A"/>
    <w:rsid w:val="7C023EBE"/>
    <w:rsid w:val="7C025DE8"/>
    <w:rsid w:val="7C026B55"/>
    <w:rsid w:val="7C030293"/>
    <w:rsid w:val="7C031BFF"/>
    <w:rsid w:val="7C034363"/>
    <w:rsid w:val="7C035210"/>
    <w:rsid w:val="7C04112E"/>
    <w:rsid w:val="7C041228"/>
    <w:rsid w:val="7C04233A"/>
    <w:rsid w:val="7C042B76"/>
    <w:rsid w:val="7C044924"/>
    <w:rsid w:val="7C04597D"/>
    <w:rsid w:val="7C0466D2"/>
    <w:rsid w:val="7C052990"/>
    <w:rsid w:val="7C0559EB"/>
    <w:rsid w:val="7C055E42"/>
    <w:rsid w:val="7C056FFE"/>
    <w:rsid w:val="7C061372"/>
    <w:rsid w:val="7C062EFD"/>
    <w:rsid w:val="7C063C52"/>
    <w:rsid w:val="7C064B27"/>
    <w:rsid w:val="7C071DCA"/>
    <w:rsid w:val="7C07213F"/>
    <w:rsid w:val="7C075600"/>
    <w:rsid w:val="7C076A11"/>
    <w:rsid w:val="7C077BEE"/>
    <w:rsid w:val="7C077CA0"/>
    <w:rsid w:val="7C084414"/>
    <w:rsid w:val="7C0861C2"/>
    <w:rsid w:val="7C08775D"/>
    <w:rsid w:val="7C087E92"/>
    <w:rsid w:val="7C09018C"/>
    <w:rsid w:val="7C091F3A"/>
    <w:rsid w:val="7C092067"/>
    <w:rsid w:val="7C09217B"/>
    <w:rsid w:val="7C092B3C"/>
    <w:rsid w:val="7C094087"/>
    <w:rsid w:val="7C094CC5"/>
    <w:rsid w:val="7C0957BD"/>
    <w:rsid w:val="7C096CB3"/>
    <w:rsid w:val="7C0A347A"/>
    <w:rsid w:val="7C0A4762"/>
    <w:rsid w:val="7C0A54CC"/>
    <w:rsid w:val="7C0B048F"/>
    <w:rsid w:val="7C0B3F04"/>
    <w:rsid w:val="7C0B56E4"/>
    <w:rsid w:val="7C0B79BA"/>
    <w:rsid w:val="7C0B7A60"/>
    <w:rsid w:val="7C0C4446"/>
    <w:rsid w:val="7C0D1A2A"/>
    <w:rsid w:val="7C0D37D8"/>
    <w:rsid w:val="7C0D6A6D"/>
    <w:rsid w:val="7C0E12FE"/>
    <w:rsid w:val="7C0E1746"/>
    <w:rsid w:val="7C0E2B00"/>
    <w:rsid w:val="7C0E57A2"/>
    <w:rsid w:val="7C0E7550"/>
    <w:rsid w:val="7C101182"/>
    <w:rsid w:val="7C10151B"/>
    <w:rsid w:val="7C101E3B"/>
    <w:rsid w:val="7C1032C9"/>
    <w:rsid w:val="7C1034D9"/>
    <w:rsid w:val="7C103AFC"/>
    <w:rsid w:val="7C10651E"/>
    <w:rsid w:val="7C11144F"/>
    <w:rsid w:val="7C113B0B"/>
    <w:rsid w:val="7C113C8B"/>
    <w:rsid w:val="7C122B9D"/>
    <w:rsid w:val="7C124EAC"/>
    <w:rsid w:val="7C127041"/>
    <w:rsid w:val="7C13330F"/>
    <w:rsid w:val="7C13573C"/>
    <w:rsid w:val="7C135A05"/>
    <w:rsid w:val="7C13614C"/>
    <w:rsid w:val="7C136915"/>
    <w:rsid w:val="7C1403B6"/>
    <w:rsid w:val="7C1410C2"/>
    <w:rsid w:val="7C143FA0"/>
    <w:rsid w:val="7C147F59"/>
    <w:rsid w:val="7C15024B"/>
    <w:rsid w:val="7C1508DF"/>
    <w:rsid w:val="7C154281"/>
    <w:rsid w:val="7C1563E8"/>
    <w:rsid w:val="7C156B31"/>
    <w:rsid w:val="7C157FB9"/>
    <w:rsid w:val="7C1606FC"/>
    <w:rsid w:val="7C16730D"/>
    <w:rsid w:val="7C170A46"/>
    <w:rsid w:val="7C1728A9"/>
    <w:rsid w:val="7C173C21"/>
    <w:rsid w:val="7C174657"/>
    <w:rsid w:val="7C1747AA"/>
    <w:rsid w:val="7C175F5D"/>
    <w:rsid w:val="7C1810F3"/>
    <w:rsid w:val="7C18217D"/>
    <w:rsid w:val="7C18228E"/>
    <w:rsid w:val="7C183F2B"/>
    <w:rsid w:val="7C184888"/>
    <w:rsid w:val="7C185238"/>
    <w:rsid w:val="7C187048"/>
    <w:rsid w:val="7C1903CF"/>
    <w:rsid w:val="7C1911A1"/>
    <w:rsid w:val="7C1913C6"/>
    <w:rsid w:val="7C191868"/>
    <w:rsid w:val="7C1A00D5"/>
    <w:rsid w:val="7C1A1A8C"/>
    <w:rsid w:val="7C1A33F0"/>
    <w:rsid w:val="7C1A35C8"/>
    <w:rsid w:val="7C1A42A6"/>
    <w:rsid w:val="7C1A535C"/>
    <w:rsid w:val="7C1A6567"/>
    <w:rsid w:val="7C1A66F4"/>
    <w:rsid w:val="7C1A6E55"/>
    <w:rsid w:val="7C1B0BF1"/>
    <w:rsid w:val="7C1B1352"/>
    <w:rsid w:val="7C1B371A"/>
    <w:rsid w:val="7C1B3905"/>
    <w:rsid w:val="7C1B47BB"/>
    <w:rsid w:val="7C1B48DE"/>
    <w:rsid w:val="7C1B5441"/>
    <w:rsid w:val="7C1C102D"/>
    <w:rsid w:val="7C1C1C6D"/>
    <w:rsid w:val="7C1C20E2"/>
    <w:rsid w:val="7C1C3A1B"/>
    <w:rsid w:val="7C1C519D"/>
    <w:rsid w:val="7C1C63D6"/>
    <w:rsid w:val="7C1C7EBF"/>
    <w:rsid w:val="7C1D1542"/>
    <w:rsid w:val="7C1D5F2C"/>
    <w:rsid w:val="7C1D6686"/>
    <w:rsid w:val="7C1E1C5F"/>
    <w:rsid w:val="7C1E3C37"/>
    <w:rsid w:val="7C1E48DD"/>
    <w:rsid w:val="7C1F0082"/>
    <w:rsid w:val="7C1F175E"/>
    <w:rsid w:val="7C1F1A1D"/>
    <w:rsid w:val="7C1F350C"/>
    <w:rsid w:val="7C1F52BA"/>
    <w:rsid w:val="7C1F73B3"/>
    <w:rsid w:val="7C2050D3"/>
    <w:rsid w:val="7C211032"/>
    <w:rsid w:val="7C215C81"/>
    <w:rsid w:val="7C217BBC"/>
    <w:rsid w:val="7C220854"/>
    <w:rsid w:val="7C221596"/>
    <w:rsid w:val="7C223B47"/>
    <w:rsid w:val="7C224DAA"/>
    <w:rsid w:val="7C225146"/>
    <w:rsid w:val="7C232FFC"/>
    <w:rsid w:val="7C2342B9"/>
    <w:rsid w:val="7C234BC8"/>
    <w:rsid w:val="7C236788"/>
    <w:rsid w:val="7C240B22"/>
    <w:rsid w:val="7C2420C0"/>
    <w:rsid w:val="7C246D74"/>
    <w:rsid w:val="7C2470D1"/>
    <w:rsid w:val="7C247848"/>
    <w:rsid w:val="7C2550EF"/>
    <w:rsid w:val="7C256E30"/>
    <w:rsid w:val="7C2570AD"/>
    <w:rsid w:val="7C26489A"/>
    <w:rsid w:val="7C266648"/>
    <w:rsid w:val="7C266F05"/>
    <w:rsid w:val="7C26738C"/>
    <w:rsid w:val="7C272E40"/>
    <w:rsid w:val="7C274002"/>
    <w:rsid w:val="7C274BD5"/>
    <w:rsid w:val="7C275A52"/>
    <w:rsid w:val="7C2860C0"/>
    <w:rsid w:val="7C28708E"/>
    <w:rsid w:val="7C290560"/>
    <w:rsid w:val="7C29139F"/>
    <w:rsid w:val="7C291AB3"/>
    <w:rsid w:val="7C293D95"/>
    <w:rsid w:val="7C29438A"/>
    <w:rsid w:val="7C296138"/>
    <w:rsid w:val="7C29660D"/>
    <w:rsid w:val="7C296857"/>
    <w:rsid w:val="7C2A25DC"/>
    <w:rsid w:val="7C2A39E8"/>
    <w:rsid w:val="7C2B0102"/>
    <w:rsid w:val="7C2B0690"/>
    <w:rsid w:val="7C2B11EA"/>
    <w:rsid w:val="7C2B3C5E"/>
    <w:rsid w:val="7C2B4416"/>
    <w:rsid w:val="7C2B4D9C"/>
    <w:rsid w:val="7C2B5AD1"/>
    <w:rsid w:val="7C2C2D36"/>
    <w:rsid w:val="7C2C4E3E"/>
    <w:rsid w:val="7C2C5863"/>
    <w:rsid w:val="7C2C5A13"/>
    <w:rsid w:val="7C2D1160"/>
    <w:rsid w:val="7C2D4640"/>
    <w:rsid w:val="7C2D53A1"/>
    <w:rsid w:val="7C2D5C29"/>
    <w:rsid w:val="7C2D698E"/>
    <w:rsid w:val="7C2E3505"/>
    <w:rsid w:val="7C2E374F"/>
    <w:rsid w:val="7C2E38B6"/>
    <w:rsid w:val="7C2E4B36"/>
    <w:rsid w:val="7C2F0013"/>
    <w:rsid w:val="7C2F2C73"/>
    <w:rsid w:val="7C2F4920"/>
    <w:rsid w:val="7C2F642F"/>
    <w:rsid w:val="7C2F7BF3"/>
    <w:rsid w:val="7C2F7FCD"/>
    <w:rsid w:val="7C300EEB"/>
    <w:rsid w:val="7C302E61"/>
    <w:rsid w:val="7C305719"/>
    <w:rsid w:val="7C30634E"/>
    <w:rsid w:val="7C3074C7"/>
    <w:rsid w:val="7C310FBF"/>
    <w:rsid w:val="7C313630"/>
    <w:rsid w:val="7C323129"/>
    <w:rsid w:val="7C32323F"/>
    <w:rsid w:val="7C324F0E"/>
    <w:rsid w:val="7C325A95"/>
    <w:rsid w:val="7C325B93"/>
    <w:rsid w:val="7C3323AF"/>
    <w:rsid w:val="7C333A78"/>
    <w:rsid w:val="7C335344"/>
    <w:rsid w:val="7C336FB7"/>
    <w:rsid w:val="7C34248C"/>
    <w:rsid w:val="7C34430E"/>
    <w:rsid w:val="7C344B14"/>
    <w:rsid w:val="7C350F81"/>
    <w:rsid w:val="7C353720"/>
    <w:rsid w:val="7C354ADD"/>
    <w:rsid w:val="7C356751"/>
    <w:rsid w:val="7C356F5C"/>
    <w:rsid w:val="7C357419"/>
    <w:rsid w:val="7C3617EF"/>
    <w:rsid w:val="7C3666C5"/>
    <w:rsid w:val="7C372603"/>
    <w:rsid w:val="7C373739"/>
    <w:rsid w:val="7C3741AD"/>
    <w:rsid w:val="7C375908"/>
    <w:rsid w:val="7C38637B"/>
    <w:rsid w:val="7C3873BB"/>
    <w:rsid w:val="7C3906A6"/>
    <w:rsid w:val="7C3920D1"/>
    <w:rsid w:val="7C39256C"/>
    <w:rsid w:val="7C39281F"/>
    <w:rsid w:val="7C3953F4"/>
    <w:rsid w:val="7C397E67"/>
    <w:rsid w:val="7C3A0345"/>
    <w:rsid w:val="7C3A12F7"/>
    <w:rsid w:val="7C3A20F4"/>
    <w:rsid w:val="7C3A2A38"/>
    <w:rsid w:val="7C3A35C2"/>
    <w:rsid w:val="7C3A5A85"/>
    <w:rsid w:val="7C3B57E2"/>
    <w:rsid w:val="7C3B5F55"/>
    <w:rsid w:val="7C3C01A9"/>
    <w:rsid w:val="7C3C3F90"/>
    <w:rsid w:val="7C3C40BE"/>
    <w:rsid w:val="7C3C5380"/>
    <w:rsid w:val="7C3C5695"/>
    <w:rsid w:val="7C3D0A6B"/>
    <w:rsid w:val="7C3D13B9"/>
    <w:rsid w:val="7C3D36A0"/>
    <w:rsid w:val="7C3D3992"/>
    <w:rsid w:val="7C3E2849"/>
    <w:rsid w:val="7C3E5E27"/>
    <w:rsid w:val="7C3E7E36"/>
    <w:rsid w:val="7C3F33EF"/>
    <w:rsid w:val="7C3F595C"/>
    <w:rsid w:val="7C407D3A"/>
    <w:rsid w:val="7C4101DE"/>
    <w:rsid w:val="7C4116D4"/>
    <w:rsid w:val="7C4210C6"/>
    <w:rsid w:val="7C423455"/>
    <w:rsid w:val="7C427BA7"/>
    <w:rsid w:val="7C431DAC"/>
    <w:rsid w:val="7C43522B"/>
    <w:rsid w:val="7C437572"/>
    <w:rsid w:val="7C440408"/>
    <w:rsid w:val="7C441232"/>
    <w:rsid w:val="7C442420"/>
    <w:rsid w:val="7C444101"/>
    <w:rsid w:val="7C4449B9"/>
    <w:rsid w:val="7C444D20"/>
    <w:rsid w:val="7C4466BB"/>
    <w:rsid w:val="7C454D85"/>
    <w:rsid w:val="7C457B4B"/>
    <w:rsid w:val="7C460DC5"/>
    <w:rsid w:val="7C46246B"/>
    <w:rsid w:val="7C464F3C"/>
    <w:rsid w:val="7C466638"/>
    <w:rsid w:val="7C466C22"/>
    <w:rsid w:val="7C466CEA"/>
    <w:rsid w:val="7C4738FB"/>
    <w:rsid w:val="7C474452"/>
    <w:rsid w:val="7C474CC8"/>
    <w:rsid w:val="7C474FB9"/>
    <w:rsid w:val="7C476F91"/>
    <w:rsid w:val="7C482A62"/>
    <w:rsid w:val="7C484810"/>
    <w:rsid w:val="7C490589"/>
    <w:rsid w:val="7C4919FF"/>
    <w:rsid w:val="7C492FAC"/>
    <w:rsid w:val="7C493F37"/>
    <w:rsid w:val="7C4952BD"/>
    <w:rsid w:val="7C495407"/>
    <w:rsid w:val="7C495B7E"/>
    <w:rsid w:val="7C4A6EA2"/>
    <w:rsid w:val="7C4B05FD"/>
    <w:rsid w:val="7C4B2DF5"/>
    <w:rsid w:val="7C4B4301"/>
    <w:rsid w:val="7C4C033D"/>
    <w:rsid w:val="7C4C0DE8"/>
    <w:rsid w:val="7C4C3AC8"/>
    <w:rsid w:val="7C4D0EAE"/>
    <w:rsid w:val="7C4D3857"/>
    <w:rsid w:val="7C4D39E7"/>
    <w:rsid w:val="7C4D62CB"/>
    <w:rsid w:val="7C4D7B29"/>
    <w:rsid w:val="7C4E5B9F"/>
    <w:rsid w:val="7C4F13B3"/>
    <w:rsid w:val="7C4F2043"/>
    <w:rsid w:val="7C4F37CE"/>
    <w:rsid w:val="7C4F39D0"/>
    <w:rsid w:val="7C4F3D9D"/>
    <w:rsid w:val="7C4F3DF1"/>
    <w:rsid w:val="7C500013"/>
    <w:rsid w:val="7C501917"/>
    <w:rsid w:val="7C5036C5"/>
    <w:rsid w:val="7C504814"/>
    <w:rsid w:val="7C504C5E"/>
    <w:rsid w:val="7C50546A"/>
    <w:rsid w:val="7C506DB5"/>
    <w:rsid w:val="7C52031C"/>
    <w:rsid w:val="7C52251F"/>
    <w:rsid w:val="7C5238E1"/>
    <w:rsid w:val="7C52568F"/>
    <w:rsid w:val="7C5331B5"/>
    <w:rsid w:val="7C541407"/>
    <w:rsid w:val="7C541FEE"/>
    <w:rsid w:val="7C543F68"/>
    <w:rsid w:val="7C5451D6"/>
    <w:rsid w:val="7C5461B0"/>
    <w:rsid w:val="7C546CEA"/>
    <w:rsid w:val="7C55339C"/>
    <w:rsid w:val="7C5533D1"/>
    <w:rsid w:val="7C553D24"/>
    <w:rsid w:val="7C5549F1"/>
    <w:rsid w:val="7C555EFF"/>
    <w:rsid w:val="7C556F2D"/>
    <w:rsid w:val="7C557CAA"/>
    <w:rsid w:val="7C560815"/>
    <w:rsid w:val="7C570EF7"/>
    <w:rsid w:val="7C572CA5"/>
    <w:rsid w:val="7C574B40"/>
    <w:rsid w:val="7C574C5C"/>
    <w:rsid w:val="7C576A48"/>
    <w:rsid w:val="7C577BA2"/>
    <w:rsid w:val="7C58080F"/>
    <w:rsid w:val="7C58433F"/>
    <w:rsid w:val="7C585349"/>
    <w:rsid w:val="7C585FC1"/>
    <w:rsid w:val="7C59010E"/>
    <w:rsid w:val="7C590CE3"/>
    <w:rsid w:val="7C594C70"/>
    <w:rsid w:val="7C595D10"/>
    <w:rsid w:val="7C5962E3"/>
    <w:rsid w:val="7C596A1E"/>
    <w:rsid w:val="7C5A2796"/>
    <w:rsid w:val="7C5A5822"/>
    <w:rsid w:val="7C5A738D"/>
    <w:rsid w:val="7C5B19F3"/>
    <w:rsid w:val="7C5B389B"/>
    <w:rsid w:val="7C5B627D"/>
    <w:rsid w:val="7C5B73A5"/>
    <w:rsid w:val="7C5C02BC"/>
    <w:rsid w:val="7C5C0ADD"/>
    <w:rsid w:val="7C5C2C63"/>
    <w:rsid w:val="7C5C69CA"/>
    <w:rsid w:val="7C5D270E"/>
    <w:rsid w:val="7C5D3168"/>
    <w:rsid w:val="7C5E1373"/>
    <w:rsid w:val="7C5E39FA"/>
    <w:rsid w:val="7C5E4034"/>
    <w:rsid w:val="7C5E5DE2"/>
    <w:rsid w:val="7C5F1B5A"/>
    <w:rsid w:val="7C5F32C3"/>
    <w:rsid w:val="7C5F7689"/>
    <w:rsid w:val="7C5F7DAC"/>
    <w:rsid w:val="7C603012"/>
    <w:rsid w:val="7C6072C3"/>
    <w:rsid w:val="7C613B24"/>
    <w:rsid w:val="7C614FC8"/>
    <w:rsid w:val="7C6158D2"/>
    <w:rsid w:val="7C617073"/>
    <w:rsid w:val="7C621C44"/>
    <w:rsid w:val="7C62236A"/>
    <w:rsid w:val="7C625E73"/>
    <w:rsid w:val="7C6278AB"/>
    <w:rsid w:val="7C63164A"/>
    <w:rsid w:val="7C631977"/>
    <w:rsid w:val="7C632651"/>
    <w:rsid w:val="7C63329B"/>
    <w:rsid w:val="7C634EEF"/>
    <w:rsid w:val="7C635AEE"/>
    <w:rsid w:val="7C635F0A"/>
    <w:rsid w:val="7C63693D"/>
    <w:rsid w:val="7C63789C"/>
    <w:rsid w:val="7C6427C5"/>
    <w:rsid w:val="7C644564"/>
    <w:rsid w:val="7C650133"/>
    <w:rsid w:val="7C651AC5"/>
    <w:rsid w:val="7C653614"/>
    <w:rsid w:val="7C6543BF"/>
    <w:rsid w:val="7C6561D2"/>
    <w:rsid w:val="7C656F84"/>
    <w:rsid w:val="7C6576E8"/>
    <w:rsid w:val="7C66113B"/>
    <w:rsid w:val="7C66368D"/>
    <w:rsid w:val="7C663C84"/>
    <w:rsid w:val="7C66550D"/>
    <w:rsid w:val="7C66550F"/>
    <w:rsid w:val="7C666B45"/>
    <w:rsid w:val="7C666E84"/>
    <w:rsid w:val="7C66738C"/>
    <w:rsid w:val="7C681690"/>
    <w:rsid w:val="7C683105"/>
    <w:rsid w:val="7C6831A5"/>
    <w:rsid w:val="7C68376D"/>
    <w:rsid w:val="7C684375"/>
    <w:rsid w:val="7C6846DD"/>
    <w:rsid w:val="7C684872"/>
    <w:rsid w:val="7C684EB3"/>
    <w:rsid w:val="7C686C61"/>
    <w:rsid w:val="7C686CEB"/>
    <w:rsid w:val="7C691707"/>
    <w:rsid w:val="7C6929D9"/>
    <w:rsid w:val="7C695791"/>
    <w:rsid w:val="7C696F46"/>
    <w:rsid w:val="7C6A260E"/>
    <w:rsid w:val="7C6A3D34"/>
    <w:rsid w:val="7C6A4215"/>
    <w:rsid w:val="7C6A6C95"/>
    <w:rsid w:val="7C6B04FF"/>
    <w:rsid w:val="7C6B41FC"/>
    <w:rsid w:val="7C6B6551"/>
    <w:rsid w:val="7C6B6751"/>
    <w:rsid w:val="7C6C3563"/>
    <w:rsid w:val="7C6C4C03"/>
    <w:rsid w:val="7C6C61D8"/>
    <w:rsid w:val="7C6D071B"/>
    <w:rsid w:val="7C6D14FF"/>
    <w:rsid w:val="7C6D24C9"/>
    <w:rsid w:val="7C6D4186"/>
    <w:rsid w:val="7C6D4D5F"/>
    <w:rsid w:val="7C6D72D5"/>
    <w:rsid w:val="7C6F0797"/>
    <w:rsid w:val="7C6F7604"/>
    <w:rsid w:val="7C6F7F88"/>
    <w:rsid w:val="7C6F7FEF"/>
    <w:rsid w:val="7C7015D0"/>
    <w:rsid w:val="7C701FB9"/>
    <w:rsid w:val="7C703D67"/>
    <w:rsid w:val="7C705B15"/>
    <w:rsid w:val="7C706FA8"/>
    <w:rsid w:val="7C710DDD"/>
    <w:rsid w:val="7C72188D"/>
    <w:rsid w:val="7C723BCA"/>
    <w:rsid w:val="7C725330"/>
    <w:rsid w:val="7C725D31"/>
    <w:rsid w:val="7C726C6A"/>
    <w:rsid w:val="7C731488"/>
    <w:rsid w:val="7C737503"/>
    <w:rsid w:val="7C7430F7"/>
    <w:rsid w:val="7C743857"/>
    <w:rsid w:val="7C75137E"/>
    <w:rsid w:val="7C7549F6"/>
    <w:rsid w:val="7C7554E9"/>
    <w:rsid w:val="7C756275"/>
    <w:rsid w:val="7C7568D9"/>
    <w:rsid w:val="7C7575D0"/>
    <w:rsid w:val="7C760AB3"/>
    <w:rsid w:val="7C762E09"/>
    <w:rsid w:val="7C766450"/>
    <w:rsid w:val="7C7729DA"/>
    <w:rsid w:val="7C772AB6"/>
    <w:rsid w:val="7C774546"/>
    <w:rsid w:val="7C7750F6"/>
    <w:rsid w:val="7C77588F"/>
    <w:rsid w:val="7C776EA4"/>
    <w:rsid w:val="7C782AF9"/>
    <w:rsid w:val="7C7833DB"/>
    <w:rsid w:val="7C783E6A"/>
    <w:rsid w:val="7C784970"/>
    <w:rsid w:val="7C78680A"/>
    <w:rsid w:val="7C790E6E"/>
    <w:rsid w:val="7C7911EC"/>
    <w:rsid w:val="7C7911FB"/>
    <w:rsid w:val="7C792C1C"/>
    <w:rsid w:val="7C794251"/>
    <w:rsid w:val="7C794793"/>
    <w:rsid w:val="7C7A3A9F"/>
    <w:rsid w:val="7C7A4BE6"/>
    <w:rsid w:val="7C7A50A1"/>
    <w:rsid w:val="7C7B2E38"/>
    <w:rsid w:val="7C7B6EFD"/>
    <w:rsid w:val="7C7B7EBB"/>
    <w:rsid w:val="7C7C0412"/>
    <w:rsid w:val="7C7C0679"/>
    <w:rsid w:val="7C7C2599"/>
    <w:rsid w:val="7C7C270C"/>
    <w:rsid w:val="7C7C3741"/>
    <w:rsid w:val="7C7C3A34"/>
    <w:rsid w:val="7C7C44BA"/>
    <w:rsid w:val="7C7C4F74"/>
    <w:rsid w:val="7C7C6538"/>
    <w:rsid w:val="7C7E0232"/>
    <w:rsid w:val="7C7E140B"/>
    <w:rsid w:val="7C7E289D"/>
    <w:rsid w:val="7C7F1F88"/>
    <w:rsid w:val="7C7F2629"/>
    <w:rsid w:val="7C7F399E"/>
    <w:rsid w:val="7C7F3FAA"/>
    <w:rsid w:val="7C7F6337"/>
    <w:rsid w:val="7C7F6CC3"/>
    <w:rsid w:val="7C802460"/>
    <w:rsid w:val="7C8103FE"/>
    <w:rsid w:val="7C8105FA"/>
    <w:rsid w:val="7C811954"/>
    <w:rsid w:val="7C8141C6"/>
    <w:rsid w:val="7C816776"/>
    <w:rsid w:val="7C817D22"/>
    <w:rsid w:val="7C8215F3"/>
    <w:rsid w:val="7C8216C2"/>
    <w:rsid w:val="7C8217B4"/>
    <w:rsid w:val="7C82398E"/>
    <w:rsid w:val="7C8250B4"/>
    <w:rsid w:val="7C82712A"/>
    <w:rsid w:val="7C830F7C"/>
    <w:rsid w:val="7C831CEC"/>
    <w:rsid w:val="7C834966"/>
    <w:rsid w:val="7C835BE3"/>
    <w:rsid w:val="7C8431E1"/>
    <w:rsid w:val="7C8530D0"/>
    <w:rsid w:val="7C854CE8"/>
    <w:rsid w:val="7C855A65"/>
    <w:rsid w:val="7C8617DD"/>
    <w:rsid w:val="7C86358B"/>
    <w:rsid w:val="7C865EDA"/>
    <w:rsid w:val="7C867B0A"/>
    <w:rsid w:val="7C87349D"/>
    <w:rsid w:val="7C8778FD"/>
    <w:rsid w:val="7C88221D"/>
    <w:rsid w:val="7C88395E"/>
    <w:rsid w:val="7C883AF4"/>
    <w:rsid w:val="7C883D59"/>
    <w:rsid w:val="7C885555"/>
    <w:rsid w:val="7C891F21"/>
    <w:rsid w:val="7C893C25"/>
    <w:rsid w:val="7C894DEE"/>
    <w:rsid w:val="7C896BD7"/>
    <w:rsid w:val="7C8A307B"/>
    <w:rsid w:val="7C8A4E29"/>
    <w:rsid w:val="7C8B294F"/>
    <w:rsid w:val="7C8B38B7"/>
    <w:rsid w:val="7C8B48C7"/>
    <w:rsid w:val="7C8B5ABC"/>
    <w:rsid w:val="7C8B6DF3"/>
    <w:rsid w:val="7C8C0083"/>
    <w:rsid w:val="7C8C4232"/>
    <w:rsid w:val="7C8C6328"/>
    <w:rsid w:val="7C8C7F88"/>
    <w:rsid w:val="7C8D2B6B"/>
    <w:rsid w:val="7C8D3682"/>
    <w:rsid w:val="7C8D3F62"/>
    <w:rsid w:val="7C8D4919"/>
    <w:rsid w:val="7C8D4C4A"/>
    <w:rsid w:val="7C8D6434"/>
    <w:rsid w:val="7C8D66C7"/>
    <w:rsid w:val="7C8D6874"/>
    <w:rsid w:val="7C8E135F"/>
    <w:rsid w:val="7C8E138F"/>
    <w:rsid w:val="7C8E41ED"/>
    <w:rsid w:val="7C8E750C"/>
    <w:rsid w:val="7C8F0691"/>
    <w:rsid w:val="7C8F243F"/>
    <w:rsid w:val="7C9016CF"/>
    <w:rsid w:val="7C9057AB"/>
    <w:rsid w:val="7C9061B7"/>
    <w:rsid w:val="7C91234B"/>
    <w:rsid w:val="7C914409"/>
    <w:rsid w:val="7C916151"/>
    <w:rsid w:val="7C920181"/>
    <w:rsid w:val="7C920B8D"/>
    <w:rsid w:val="7C921F30"/>
    <w:rsid w:val="7C926DE2"/>
    <w:rsid w:val="7C927D47"/>
    <w:rsid w:val="7C93160E"/>
    <w:rsid w:val="7C937137"/>
    <w:rsid w:val="7C937D02"/>
    <w:rsid w:val="7C945CA8"/>
    <w:rsid w:val="7C9460F5"/>
    <w:rsid w:val="7C947A56"/>
    <w:rsid w:val="7C950127"/>
    <w:rsid w:val="7C953391"/>
    <w:rsid w:val="7C9537CE"/>
    <w:rsid w:val="7C954809"/>
    <w:rsid w:val="7C9608ED"/>
    <w:rsid w:val="7C961F1B"/>
    <w:rsid w:val="7C963E04"/>
    <w:rsid w:val="7C964821"/>
    <w:rsid w:val="7C965F62"/>
    <w:rsid w:val="7C9663DB"/>
    <w:rsid w:val="7C970BC2"/>
    <w:rsid w:val="7C9716CF"/>
    <w:rsid w:val="7C975798"/>
    <w:rsid w:val="7C977546"/>
    <w:rsid w:val="7C98378F"/>
    <w:rsid w:val="7C984E9C"/>
    <w:rsid w:val="7C9862AA"/>
    <w:rsid w:val="7C99127B"/>
    <w:rsid w:val="7C991510"/>
    <w:rsid w:val="7C992075"/>
    <w:rsid w:val="7C994BAF"/>
    <w:rsid w:val="7C99506C"/>
    <w:rsid w:val="7C996121"/>
    <w:rsid w:val="7C9A0DE4"/>
    <w:rsid w:val="7C9A4C62"/>
    <w:rsid w:val="7C9A4DD4"/>
    <w:rsid w:val="7C9A7A0D"/>
    <w:rsid w:val="7C9B0829"/>
    <w:rsid w:val="7C9B1DD4"/>
    <w:rsid w:val="7C9B4CF5"/>
    <w:rsid w:val="7C9B5288"/>
    <w:rsid w:val="7C9B63F7"/>
    <w:rsid w:val="7C9B68F0"/>
    <w:rsid w:val="7C9B6AAB"/>
    <w:rsid w:val="7C9B7036"/>
    <w:rsid w:val="7C9C2DAE"/>
    <w:rsid w:val="7C9C4B5C"/>
    <w:rsid w:val="7C9D0E2A"/>
    <w:rsid w:val="7C9D1506"/>
    <w:rsid w:val="7C9D3956"/>
    <w:rsid w:val="7C9E2D75"/>
    <w:rsid w:val="7C9E5B84"/>
    <w:rsid w:val="7C9E7F2E"/>
    <w:rsid w:val="7C9F2A6B"/>
    <w:rsid w:val="7C9F4920"/>
    <w:rsid w:val="7CA004A4"/>
    <w:rsid w:val="7CA0289E"/>
    <w:rsid w:val="7CA04133"/>
    <w:rsid w:val="7CA04663"/>
    <w:rsid w:val="7CA047EC"/>
    <w:rsid w:val="7CA102A2"/>
    <w:rsid w:val="7CA103C5"/>
    <w:rsid w:val="7CA13087"/>
    <w:rsid w:val="7CA17C32"/>
    <w:rsid w:val="7CA22B05"/>
    <w:rsid w:val="7CA25995"/>
    <w:rsid w:val="7CA32558"/>
    <w:rsid w:val="7CA3413D"/>
    <w:rsid w:val="7CA35EEB"/>
    <w:rsid w:val="7CA37C99"/>
    <w:rsid w:val="7CA41DDD"/>
    <w:rsid w:val="7CA46A4B"/>
    <w:rsid w:val="7CA471D9"/>
    <w:rsid w:val="7CA5194C"/>
    <w:rsid w:val="7CA51D30"/>
    <w:rsid w:val="7CA56F5A"/>
    <w:rsid w:val="7CA62955"/>
    <w:rsid w:val="7CA64316"/>
    <w:rsid w:val="7CA66735"/>
    <w:rsid w:val="7CA66CF0"/>
    <w:rsid w:val="7CA67789"/>
    <w:rsid w:val="7CA703D3"/>
    <w:rsid w:val="7CA756B5"/>
    <w:rsid w:val="7CA757A6"/>
    <w:rsid w:val="7CA8482B"/>
    <w:rsid w:val="7CA852AF"/>
    <w:rsid w:val="7CA8740A"/>
    <w:rsid w:val="7CA87EF2"/>
    <w:rsid w:val="7CA91423"/>
    <w:rsid w:val="7CA923D0"/>
    <w:rsid w:val="7CA940AC"/>
    <w:rsid w:val="7CA94EC1"/>
    <w:rsid w:val="7CA9669F"/>
    <w:rsid w:val="7CAA0F1D"/>
    <w:rsid w:val="7CAA54CB"/>
    <w:rsid w:val="7CAA6C20"/>
    <w:rsid w:val="7CAA7279"/>
    <w:rsid w:val="7CAA79A2"/>
    <w:rsid w:val="7CAB1391"/>
    <w:rsid w:val="7CAB3263"/>
    <w:rsid w:val="7CAB3CB7"/>
    <w:rsid w:val="7CAB44D0"/>
    <w:rsid w:val="7CAB4D9F"/>
    <w:rsid w:val="7CAB5E34"/>
    <w:rsid w:val="7CAC3171"/>
    <w:rsid w:val="7CAC392E"/>
    <w:rsid w:val="7CAC66D2"/>
    <w:rsid w:val="7CAD0B17"/>
    <w:rsid w:val="7CAD5B40"/>
    <w:rsid w:val="7CAD6D69"/>
    <w:rsid w:val="7CAE5679"/>
    <w:rsid w:val="7CAE58CB"/>
    <w:rsid w:val="7CAF4890"/>
    <w:rsid w:val="7CAF663E"/>
    <w:rsid w:val="7CB00608"/>
    <w:rsid w:val="7CB01793"/>
    <w:rsid w:val="7CB06347"/>
    <w:rsid w:val="7CB11429"/>
    <w:rsid w:val="7CB13FFA"/>
    <w:rsid w:val="7CB21B52"/>
    <w:rsid w:val="7CB2293D"/>
    <w:rsid w:val="7CB2612E"/>
    <w:rsid w:val="7CB26CCA"/>
    <w:rsid w:val="7CB27C5A"/>
    <w:rsid w:val="7CB3005B"/>
    <w:rsid w:val="7CB400F8"/>
    <w:rsid w:val="7CB41C7C"/>
    <w:rsid w:val="7CB43A42"/>
    <w:rsid w:val="7CB4634A"/>
    <w:rsid w:val="7CB51C83"/>
    <w:rsid w:val="7CB5746F"/>
    <w:rsid w:val="7CB60A92"/>
    <w:rsid w:val="7CB63E70"/>
    <w:rsid w:val="7CB71996"/>
    <w:rsid w:val="7CB7260C"/>
    <w:rsid w:val="7CB73744"/>
    <w:rsid w:val="7CB73983"/>
    <w:rsid w:val="7CB74439"/>
    <w:rsid w:val="7CB774C8"/>
    <w:rsid w:val="7CB77E6C"/>
    <w:rsid w:val="7CB80DA4"/>
    <w:rsid w:val="7CB812FC"/>
    <w:rsid w:val="7CB81FB8"/>
    <w:rsid w:val="7CB90D14"/>
    <w:rsid w:val="7CB94571"/>
    <w:rsid w:val="7CB95D48"/>
    <w:rsid w:val="7CB974BC"/>
    <w:rsid w:val="7CBA4FE2"/>
    <w:rsid w:val="7CBA535D"/>
    <w:rsid w:val="7CBA5D89"/>
    <w:rsid w:val="7CBB3234"/>
    <w:rsid w:val="7CBB4EBA"/>
    <w:rsid w:val="7CBB56DA"/>
    <w:rsid w:val="7CBB7BCF"/>
    <w:rsid w:val="7CBC0D5A"/>
    <w:rsid w:val="7CBC110D"/>
    <w:rsid w:val="7CBC1FB5"/>
    <w:rsid w:val="7CBC2F3F"/>
    <w:rsid w:val="7CBC3252"/>
    <w:rsid w:val="7CBC6FAC"/>
    <w:rsid w:val="7CBC7628"/>
    <w:rsid w:val="7CBD0569"/>
    <w:rsid w:val="7CBD07BD"/>
    <w:rsid w:val="7CBD27A6"/>
    <w:rsid w:val="7CBD35DA"/>
    <w:rsid w:val="7CBE0F77"/>
    <w:rsid w:val="7CBE4AD3"/>
    <w:rsid w:val="7CBE7AB5"/>
    <w:rsid w:val="7CBF0152"/>
    <w:rsid w:val="7CBF4632"/>
    <w:rsid w:val="7CC03375"/>
    <w:rsid w:val="7CC04CEF"/>
    <w:rsid w:val="7CC06C61"/>
    <w:rsid w:val="7CC07A8E"/>
    <w:rsid w:val="7CC107CD"/>
    <w:rsid w:val="7CC11BF3"/>
    <w:rsid w:val="7CC12815"/>
    <w:rsid w:val="7CC13D48"/>
    <w:rsid w:val="7CC145C3"/>
    <w:rsid w:val="7CC15905"/>
    <w:rsid w:val="7CC17FE8"/>
    <w:rsid w:val="7CC27239"/>
    <w:rsid w:val="7CC3658D"/>
    <w:rsid w:val="7CC36F66"/>
    <w:rsid w:val="7CC4295A"/>
    <w:rsid w:val="7CC50D2F"/>
    <w:rsid w:val="7CC51192"/>
    <w:rsid w:val="7CC5190B"/>
    <w:rsid w:val="7CC52470"/>
    <w:rsid w:val="7CC52A0D"/>
    <w:rsid w:val="7CC539C8"/>
    <w:rsid w:val="7CC54A4F"/>
    <w:rsid w:val="7CC54FB9"/>
    <w:rsid w:val="7CC557B0"/>
    <w:rsid w:val="7CC56BCD"/>
    <w:rsid w:val="7CC61924"/>
    <w:rsid w:val="7CC61B41"/>
    <w:rsid w:val="7CC74D90"/>
    <w:rsid w:val="7CC7607D"/>
    <w:rsid w:val="7CC77B99"/>
    <w:rsid w:val="7CC77E2B"/>
    <w:rsid w:val="7CC829EC"/>
    <w:rsid w:val="7CC84817"/>
    <w:rsid w:val="7CC84CF4"/>
    <w:rsid w:val="7CC85951"/>
    <w:rsid w:val="7CC913C0"/>
    <w:rsid w:val="7CC945D3"/>
    <w:rsid w:val="7CCA16C9"/>
    <w:rsid w:val="7CCA2B94"/>
    <w:rsid w:val="7CCA31F5"/>
    <w:rsid w:val="7CCA63A7"/>
    <w:rsid w:val="7CCA6417"/>
    <w:rsid w:val="7CCB41CD"/>
    <w:rsid w:val="7CCB441F"/>
    <w:rsid w:val="7CCB5CC7"/>
    <w:rsid w:val="7CCC0C02"/>
    <w:rsid w:val="7CCC2935"/>
    <w:rsid w:val="7CCC3693"/>
    <w:rsid w:val="7CCD11BA"/>
    <w:rsid w:val="7CCD2092"/>
    <w:rsid w:val="7CCD36B9"/>
    <w:rsid w:val="7CCD4D16"/>
    <w:rsid w:val="7CCD5EEB"/>
    <w:rsid w:val="7CCD7925"/>
    <w:rsid w:val="7CCE36DE"/>
    <w:rsid w:val="7CCE4C63"/>
    <w:rsid w:val="7CCE6CCB"/>
    <w:rsid w:val="7CCE7877"/>
    <w:rsid w:val="7CCF0A8E"/>
    <w:rsid w:val="7CCF1D9C"/>
    <w:rsid w:val="7CCF4260"/>
    <w:rsid w:val="7CCF49B2"/>
    <w:rsid w:val="7CCF5402"/>
    <w:rsid w:val="7CCF60F3"/>
    <w:rsid w:val="7CD00D1B"/>
    <w:rsid w:val="7CD018CC"/>
    <w:rsid w:val="7CD0417E"/>
    <w:rsid w:val="7CD04806"/>
    <w:rsid w:val="7CD04FC7"/>
    <w:rsid w:val="7CD05CFA"/>
    <w:rsid w:val="7CD05E42"/>
    <w:rsid w:val="7CD06B14"/>
    <w:rsid w:val="7CD07583"/>
    <w:rsid w:val="7CD11224"/>
    <w:rsid w:val="7CD1166D"/>
    <w:rsid w:val="7CD12742"/>
    <w:rsid w:val="7CD12A58"/>
    <w:rsid w:val="7CD2057E"/>
    <w:rsid w:val="7CD21210"/>
    <w:rsid w:val="7CD21FD7"/>
    <w:rsid w:val="7CD22263"/>
    <w:rsid w:val="7CD24A22"/>
    <w:rsid w:val="7CD25C78"/>
    <w:rsid w:val="7CD25CB5"/>
    <w:rsid w:val="7CD25FC2"/>
    <w:rsid w:val="7CD31575"/>
    <w:rsid w:val="7CD35D3A"/>
    <w:rsid w:val="7CD367DD"/>
    <w:rsid w:val="7CD36FC0"/>
    <w:rsid w:val="7CD373D1"/>
    <w:rsid w:val="7CD412AB"/>
    <w:rsid w:val="7CD460A4"/>
    <w:rsid w:val="7CD50BB4"/>
    <w:rsid w:val="7CD51E1C"/>
    <w:rsid w:val="7CD6159B"/>
    <w:rsid w:val="7CD70409"/>
    <w:rsid w:val="7CD71937"/>
    <w:rsid w:val="7CD73900"/>
    <w:rsid w:val="7CD73E98"/>
    <w:rsid w:val="7CD74885"/>
    <w:rsid w:val="7CD75B94"/>
    <w:rsid w:val="7CD82D17"/>
    <w:rsid w:val="7CD95A58"/>
    <w:rsid w:val="7CDB054A"/>
    <w:rsid w:val="7CDB5685"/>
    <w:rsid w:val="7CDB7267"/>
    <w:rsid w:val="7CDB7433"/>
    <w:rsid w:val="7CDD2033"/>
    <w:rsid w:val="7CDD3337"/>
    <w:rsid w:val="7CDD6FB6"/>
    <w:rsid w:val="7CDE05D7"/>
    <w:rsid w:val="7CDE0856"/>
    <w:rsid w:val="7CDE3017"/>
    <w:rsid w:val="7CDE5175"/>
    <w:rsid w:val="7CDE6F23"/>
    <w:rsid w:val="7CE00EED"/>
    <w:rsid w:val="7CE03C46"/>
    <w:rsid w:val="7CE04A49"/>
    <w:rsid w:val="7CE05937"/>
    <w:rsid w:val="7CE07078"/>
    <w:rsid w:val="7CE10508"/>
    <w:rsid w:val="7CE10719"/>
    <w:rsid w:val="7CE12BC9"/>
    <w:rsid w:val="7CE13D31"/>
    <w:rsid w:val="7CE15CF3"/>
    <w:rsid w:val="7CE16A13"/>
    <w:rsid w:val="7CE20848"/>
    <w:rsid w:val="7CE21538"/>
    <w:rsid w:val="7CE21963"/>
    <w:rsid w:val="7CE243B7"/>
    <w:rsid w:val="7CE24569"/>
    <w:rsid w:val="7CE24C65"/>
    <w:rsid w:val="7CE309DD"/>
    <w:rsid w:val="7CE320CE"/>
    <w:rsid w:val="7CE32254"/>
    <w:rsid w:val="7CE32770"/>
    <w:rsid w:val="7CE3278B"/>
    <w:rsid w:val="7CE371AD"/>
    <w:rsid w:val="7CE458D1"/>
    <w:rsid w:val="7CE45FB6"/>
    <w:rsid w:val="7CE47942"/>
    <w:rsid w:val="7CE502B1"/>
    <w:rsid w:val="7CE51AFA"/>
    <w:rsid w:val="7CE51BC6"/>
    <w:rsid w:val="7CE546AE"/>
    <w:rsid w:val="7CE561E7"/>
    <w:rsid w:val="7CE56503"/>
    <w:rsid w:val="7CE651B4"/>
    <w:rsid w:val="7CE6596A"/>
    <w:rsid w:val="7CE7299E"/>
    <w:rsid w:val="7CE7399F"/>
    <w:rsid w:val="7CE73C07"/>
    <w:rsid w:val="7CE7420F"/>
    <w:rsid w:val="7CE778ED"/>
    <w:rsid w:val="7CE80C19"/>
    <w:rsid w:val="7CE85FF3"/>
    <w:rsid w:val="7CE86C2A"/>
    <w:rsid w:val="7CE87DA1"/>
    <w:rsid w:val="7CE95052"/>
    <w:rsid w:val="7CE957F1"/>
    <w:rsid w:val="7CEA0F01"/>
    <w:rsid w:val="7CEA1D6C"/>
    <w:rsid w:val="7CEA32E3"/>
    <w:rsid w:val="7CEA3B1A"/>
    <w:rsid w:val="7CEA527A"/>
    <w:rsid w:val="7CEA7A07"/>
    <w:rsid w:val="7CEB1F54"/>
    <w:rsid w:val="7CEB3D0B"/>
    <w:rsid w:val="7CEB7DFA"/>
    <w:rsid w:val="7CEC521E"/>
    <w:rsid w:val="7CEC5AE4"/>
    <w:rsid w:val="7CEC7168"/>
    <w:rsid w:val="7CEC7892"/>
    <w:rsid w:val="7CED1535"/>
    <w:rsid w:val="7CED360A"/>
    <w:rsid w:val="7CED5D84"/>
    <w:rsid w:val="7CED5EE6"/>
    <w:rsid w:val="7CED7166"/>
    <w:rsid w:val="7CEE0AE4"/>
    <w:rsid w:val="7CEF09BB"/>
    <w:rsid w:val="7CEF1130"/>
    <w:rsid w:val="7CEF22C5"/>
    <w:rsid w:val="7CEF7382"/>
    <w:rsid w:val="7CF17FFD"/>
    <w:rsid w:val="7CF20BFD"/>
    <w:rsid w:val="7CF20C20"/>
    <w:rsid w:val="7CF226A5"/>
    <w:rsid w:val="7CF254B8"/>
    <w:rsid w:val="7CF3008F"/>
    <w:rsid w:val="7CF304F7"/>
    <w:rsid w:val="7CF31088"/>
    <w:rsid w:val="7CF31498"/>
    <w:rsid w:val="7CF31CD0"/>
    <w:rsid w:val="7CF33CCA"/>
    <w:rsid w:val="7CF3402E"/>
    <w:rsid w:val="7CF34520"/>
    <w:rsid w:val="7CF36423"/>
    <w:rsid w:val="7CF4009A"/>
    <w:rsid w:val="7CF4523D"/>
    <w:rsid w:val="7CF46049"/>
    <w:rsid w:val="7CF47DC7"/>
    <w:rsid w:val="7CF55534"/>
    <w:rsid w:val="7CF61685"/>
    <w:rsid w:val="7CF61C0C"/>
    <w:rsid w:val="7CF624BE"/>
    <w:rsid w:val="7CF62B4D"/>
    <w:rsid w:val="7CF6426C"/>
    <w:rsid w:val="7CF664E7"/>
    <w:rsid w:val="7CF665B1"/>
    <w:rsid w:val="7CF752FF"/>
    <w:rsid w:val="7CF76237"/>
    <w:rsid w:val="7CF76A57"/>
    <w:rsid w:val="7CF77FE5"/>
    <w:rsid w:val="7CF820C9"/>
    <w:rsid w:val="7CF8296E"/>
    <w:rsid w:val="7CF84488"/>
    <w:rsid w:val="7CF865E6"/>
    <w:rsid w:val="7CF90201"/>
    <w:rsid w:val="7CF91024"/>
    <w:rsid w:val="7CF9249A"/>
    <w:rsid w:val="7CF94BEC"/>
    <w:rsid w:val="7CF95B0B"/>
    <w:rsid w:val="7CFA02CB"/>
    <w:rsid w:val="7CFA1C66"/>
    <w:rsid w:val="7CFA4897"/>
    <w:rsid w:val="7CFA4CFB"/>
    <w:rsid w:val="7CFA6398"/>
    <w:rsid w:val="7CFB253C"/>
    <w:rsid w:val="7CFB5D27"/>
    <w:rsid w:val="7CFB7AD5"/>
    <w:rsid w:val="7CFC104A"/>
    <w:rsid w:val="7CFC14A2"/>
    <w:rsid w:val="7CFC39CF"/>
    <w:rsid w:val="7CFC4B1C"/>
    <w:rsid w:val="7CFC5110"/>
    <w:rsid w:val="7CFC55FB"/>
    <w:rsid w:val="7CFC75CB"/>
    <w:rsid w:val="7CFD1A9F"/>
    <w:rsid w:val="7CFD2219"/>
    <w:rsid w:val="7CFD27FD"/>
    <w:rsid w:val="7CFD384D"/>
    <w:rsid w:val="7CFD4F05"/>
    <w:rsid w:val="7CFD76ED"/>
    <w:rsid w:val="7CFE1373"/>
    <w:rsid w:val="7CFE5817"/>
    <w:rsid w:val="7CFE62A7"/>
    <w:rsid w:val="7CFE75C5"/>
    <w:rsid w:val="7CFE779F"/>
    <w:rsid w:val="7CFF0556"/>
    <w:rsid w:val="7D00333D"/>
    <w:rsid w:val="7D006B77"/>
    <w:rsid w:val="7D006E99"/>
    <w:rsid w:val="7D007AE0"/>
    <w:rsid w:val="7D010860"/>
    <w:rsid w:val="7D0149D6"/>
    <w:rsid w:val="7D0163B1"/>
    <w:rsid w:val="7D02672E"/>
    <w:rsid w:val="7D027841"/>
    <w:rsid w:val="7D031D4D"/>
    <w:rsid w:val="7D03300D"/>
    <w:rsid w:val="7D035A30"/>
    <w:rsid w:val="7D037054"/>
    <w:rsid w:val="7D040984"/>
    <w:rsid w:val="7D040F6A"/>
    <w:rsid w:val="7D04154B"/>
    <w:rsid w:val="7D05365A"/>
    <w:rsid w:val="7D05559A"/>
    <w:rsid w:val="7D056BA2"/>
    <w:rsid w:val="7D056BA5"/>
    <w:rsid w:val="7D057903"/>
    <w:rsid w:val="7D062C30"/>
    <w:rsid w:val="7D062D72"/>
    <w:rsid w:val="7D063912"/>
    <w:rsid w:val="7D063BC3"/>
    <w:rsid w:val="7D06483F"/>
    <w:rsid w:val="7D065B83"/>
    <w:rsid w:val="7D065FDE"/>
    <w:rsid w:val="7D070365"/>
    <w:rsid w:val="7D074A03"/>
    <w:rsid w:val="7D075AFE"/>
    <w:rsid w:val="7D0802A1"/>
    <w:rsid w:val="7D08174F"/>
    <w:rsid w:val="7D0821F2"/>
    <w:rsid w:val="7D090E54"/>
    <w:rsid w:val="7D09386A"/>
    <w:rsid w:val="7D093AA6"/>
    <w:rsid w:val="7D0A10D6"/>
    <w:rsid w:val="7D0A2583"/>
    <w:rsid w:val="7D0A41BC"/>
    <w:rsid w:val="7D0B1159"/>
    <w:rsid w:val="7D0B14A8"/>
    <w:rsid w:val="7D0B342F"/>
    <w:rsid w:val="7D0B3AAF"/>
    <w:rsid w:val="7D0B583E"/>
    <w:rsid w:val="7D0B7362"/>
    <w:rsid w:val="7D0D6042"/>
    <w:rsid w:val="7D0D65FD"/>
    <w:rsid w:val="7D0D7525"/>
    <w:rsid w:val="7D0E0A0A"/>
    <w:rsid w:val="7D0E5A5A"/>
    <w:rsid w:val="7D0F17D2"/>
    <w:rsid w:val="7D0F2B85"/>
    <w:rsid w:val="7D0F3580"/>
    <w:rsid w:val="7D0F532E"/>
    <w:rsid w:val="7D0F6BB1"/>
    <w:rsid w:val="7D0F750E"/>
    <w:rsid w:val="7D101A1C"/>
    <w:rsid w:val="7D10479F"/>
    <w:rsid w:val="7D107E15"/>
    <w:rsid w:val="7D1110A6"/>
    <w:rsid w:val="7D116BEA"/>
    <w:rsid w:val="7D1172F8"/>
    <w:rsid w:val="7D121F07"/>
    <w:rsid w:val="7D124A03"/>
    <w:rsid w:val="7D124E1E"/>
    <w:rsid w:val="7D125FF1"/>
    <w:rsid w:val="7D12616B"/>
    <w:rsid w:val="7D126BCC"/>
    <w:rsid w:val="7D1312C2"/>
    <w:rsid w:val="7D131B7C"/>
    <w:rsid w:val="7D13776F"/>
    <w:rsid w:val="7D137C77"/>
    <w:rsid w:val="7D142945"/>
    <w:rsid w:val="7D146DE8"/>
    <w:rsid w:val="7D1524A7"/>
    <w:rsid w:val="7D153343"/>
    <w:rsid w:val="7D1534DE"/>
    <w:rsid w:val="7D1544E7"/>
    <w:rsid w:val="7D1634A6"/>
    <w:rsid w:val="7D16490F"/>
    <w:rsid w:val="7D165F3A"/>
    <w:rsid w:val="7D171D18"/>
    <w:rsid w:val="7D172CCD"/>
    <w:rsid w:val="7D1739BB"/>
    <w:rsid w:val="7D17725F"/>
    <w:rsid w:val="7D180DEB"/>
    <w:rsid w:val="7D181E4E"/>
    <w:rsid w:val="7D182D1F"/>
    <w:rsid w:val="7D184638"/>
    <w:rsid w:val="7D1867C6"/>
    <w:rsid w:val="7D1906F7"/>
    <w:rsid w:val="7D1931F9"/>
    <w:rsid w:val="7D1961AD"/>
    <w:rsid w:val="7D197209"/>
    <w:rsid w:val="7D1A0699"/>
    <w:rsid w:val="7D1A3468"/>
    <w:rsid w:val="7D1A6F58"/>
    <w:rsid w:val="7D1B1C06"/>
    <w:rsid w:val="7D1B1F25"/>
    <w:rsid w:val="7D1B1FC5"/>
    <w:rsid w:val="7D1B2B4A"/>
    <w:rsid w:val="7D1B3CD3"/>
    <w:rsid w:val="7D1B4073"/>
    <w:rsid w:val="7D1B4A6C"/>
    <w:rsid w:val="7D1B5F19"/>
    <w:rsid w:val="7D1C7A4B"/>
    <w:rsid w:val="7D1D1BDA"/>
    <w:rsid w:val="7D1D2D92"/>
    <w:rsid w:val="7D1D4449"/>
    <w:rsid w:val="7D1D5C9D"/>
    <w:rsid w:val="7D1D6E54"/>
    <w:rsid w:val="7D1E1A15"/>
    <w:rsid w:val="7D1E37C3"/>
    <w:rsid w:val="7D1E37CD"/>
    <w:rsid w:val="7D1E3982"/>
    <w:rsid w:val="7D1E65C2"/>
    <w:rsid w:val="7D1E7FFB"/>
    <w:rsid w:val="7D1F2C4C"/>
    <w:rsid w:val="7D1F3507"/>
    <w:rsid w:val="7D1F3AC7"/>
    <w:rsid w:val="7D1F5759"/>
    <w:rsid w:val="7D1F5831"/>
    <w:rsid w:val="7D1F61C0"/>
    <w:rsid w:val="7D1F6674"/>
    <w:rsid w:val="7D1F7C67"/>
    <w:rsid w:val="7D2012E9"/>
    <w:rsid w:val="7D20578D"/>
    <w:rsid w:val="7D215613"/>
    <w:rsid w:val="7D221406"/>
    <w:rsid w:val="7D223D19"/>
    <w:rsid w:val="7D225061"/>
    <w:rsid w:val="7D226E2B"/>
    <w:rsid w:val="7D2314D6"/>
    <w:rsid w:val="7D23174B"/>
    <w:rsid w:val="7D23735F"/>
    <w:rsid w:val="7D2407FB"/>
    <w:rsid w:val="7D250FF6"/>
    <w:rsid w:val="7D252CC8"/>
    <w:rsid w:val="7D252DA4"/>
    <w:rsid w:val="7D253E99"/>
    <w:rsid w:val="7D256900"/>
    <w:rsid w:val="7D257511"/>
    <w:rsid w:val="7D262FF6"/>
    <w:rsid w:val="7D2656E1"/>
    <w:rsid w:val="7D2708CA"/>
    <w:rsid w:val="7D272678"/>
    <w:rsid w:val="7D272C9D"/>
    <w:rsid w:val="7D276B1C"/>
    <w:rsid w:val="7D277425"/>
    <w:rsid w:val="7D28025F"/>
    <w:rsid w:val="7D281B03"/>
    <w:rsid w:val="7D283C6C"/>
    <w:rsid w:val="7D2863F0"/>
    <w:rsid w:val="7D293467"/>
    <w:rsid w:val="7D295799"/>
    <w:rsid w:val="7D2A03BA"/>
    <w:rsid w:val="7D2A0821"/>
    <w:rsid w:val="7D2A2168"/>
    <w:rsid w:val="7D2A4E4A"/>
    <w:rsid w:val="7D2A660C"/>
    <w:rsid w:val="7D2A6BF0"/>
    <w:rsid w:val="7D2C4132"/>
    <w:rsid w:val="7D2C531C"/>
    <w:rsid w:val="7D2C5EE0"/>
    <w:rsid w:val="7D2D1E68"/>
    <w:rsid w:val="7D2D3A06"/>
    <w:rsid w:val="7D2D6B0F"/>
    <w:rsid w:val="7D2D7229"/>
    <w:rsid w:val="7D2E02D2"/>
    <w:rsid w:val="7D2E228F"/>
    <w:rsid w:val="7D2E7EAA"/>
    <w:rsid w:val="7D2F142F"/>
    <w:rsid w:val="7D2F14B9"/>
    <w:rsid w:val="7D2F30A0"/>
    <w:rsid w:val="7D2F3C22"/>
    <w:rsid w:val="7D2F4617"/>
    <w:rsid w:val="7D2F57F8"/>
    <w:rsid w:val="7D2F59D0"/>
    <w:rsid w:val="7D2F777E"/>
    <w:rsid w:val="7D3028BF"/>
    <w:rsid w:val="7D304AAE"/>
    <w:rsid w:val="7D30574F"/>
    <w:rsid w:val="7D311748"/>
    <w:rsid w:val="7D311799"/>
    <w:rsid w:val="7D311C9F"/>
    <w:rsid w:val="7D312091"/>
    <w:rsid w:val="7D312F8D"/>
    <w:rsid w:val="7D315490"/>
    <w:rsid w:val="7D3225C7"/>
    <w:rsid w:val="7D327776"/>
    <w:rsid w:val="7D330E2A"/>
    <w:rsid w:val="7D331240"/>
    <w:rsid w:val="7D3354C1"/>
    <w:rsid w:val="7D3426D0"/>
    <w:rsid w:val="7D343673"/>
    <w:rsid w:val="7D344D95"/>
    <w:rsid w:val="7D345DAA"/>
    <w:rsid w:val="7D350BDD"/>
    <w:rsid w:val="7D352109"/>
    <w:rsid w:val="7D353B60"/>
    <w:rsid w:val="7D3545CE"/>
    <w:rsid w:val="7D36009C"/>
    <w:rsid w:val="7D360B0D"/>
    <w:rsid w:val="7D360EEC"/>
    <w:rsid w:val="7D364FB1"/>
    <w:rsid w:val="7D366731"/>
    <w:rsid w:val="7D367D70"/>
    <w:rsid w:val="7D372AB0"/>
    <w:rsid w:val="7D374B42"/>
    <w:rsid w:val="7D377BC1"/>
    <w:rsid w:val="7D380D29"/>
    <w:rsid w:val="7D382AD7"/>
    <w:rsid w:val="7D384AAB"/>
    <w:rsid w:val="7D3923AB"/>
    <w:rsid w:val="7D392B2F"/>
    <w:rsid w:val="7D395681"/>
    <w:rsid w:val="7D39616F"/>
    <w:rsid w:val="7D396FDA"/>
    <w:rsid w:val="7D397F90"/>
    <w:rsid w:val="7D3A16E9"/>
    <w:rsid w:val="7D3A1C0A"/>
    <w:rsid w:val="7D3A5283"/>
    <w:rsid w:val="7D3B0890"/>
    <w:rsid w:val="7D3B25C7"/>
    <w:rsid w:val="7D3B38D9"/>
    <w:rsid w:val="7D3B3D9B"/>
    <w:rsid w:val="7D3B6123"/>
    <w:rsid w:val="7D3B7051"/>
    <w:rsid w:val="7D3C176C"/>
    <w:rsid w:val="7D3C74A6"/>
    <w:rsid w:val="7D3D0BFD"/>
    <w:rsid w:val="7D3D1E9B"/>
    <w:rsid w:val="7D3D293A"/>
    <w:rsid w:val="7D3D4328"/>
    <w:rsid w:val="7D3D5C52"/>
    <w:rsid w:val="7D3E19B8"/>
    <w:rsid w:val="7D3E3E65"/>
    <w:rsid w:val="7D3E7061"/>
    <w:rsid w:val="7D3F4512"/>
    <w:rsid w:val="7D3F4CD4"/>
    <w:rsid w:val="7D3F53C1"/>
    <w:rsid w:val="7D3F7556"/>
    <w:rsid w:val="7D403511"/>
    <w:rsid w:val="7D407864"/>
    <w:rsid w:val="7D407BDD"/>
    <w:rsid w:val="7D411035"/>
    <w:rsid w:val="7D4122AB"/>
    <w:rsid w:val="7D413844"/>
    <w:rsid w:val="7D422116"/>
    <w:rsid w:val="7D422778"/>
    <w:rsid w:val="7D423956"/>
    <w:rsid w:val="7D424ECC"/>
    <w:rsid w:val="7D42531B"/>
    <w:rsid w:val="7D4276E2"/>
    <w:rsid w:val="7D43304C"/>
    <w:rsid w:val="7D433739"/>
    <w:rsid w:val="7D433893"/>
    <w:rsid w:val="7D44147C"/>
    <w:rsid w:val="7D442000"/>
    <w:rsid w:val="7D4426C0"/>
    <w:rsid w:val="7D446C28"/>
    <w:rsid w:val="7D447248"/>
    <w:rsid w:val="7D447A06"/>
    <w:rsid w:val="7D450D50"/>
    <w:rsid w:val="7D455618"/>
    <w:rsid w:val="7D456FA2"/>
    <w:rsid w:val="7D46022E"/>
    <w:rsid w:val="7D465A11"/>
    <w:rsid w:val="7D4701EB"/>
    <w:rsid w:val="7D470A74"/>
    <w:rsid w:val="7D474B06"/>
    <w:rsid w:val="7D4774A6"/>
    <w:rsid w:val="7D4802C1"/>
    <w:rsid w:val="7D4803C3"/>
    <w:rsid w:val="7D4842F8"/>
    <w:rsid w:val="7D4864EA"/>
    <w:rsid w:val="7D492737"/>
    <w:rsid w:val="7D492C7C"/>
    <w:rsid w:val="7D49534C"/>
    <w:rsid w:val="7D4968FC"/>
    <w:rsid w:val="7D4A0A5C"/>
    <w:rsid w:val="7D4A328B"/>
    <w:rsid w:val="7D4A4EC9"/>
    <w:rsid w:val="7D4A5135"/>
    <w:rsid w:val="7D4B31CC"/>
    <w:rsid w:val="7D4B3E1E"/>
    <w:rsid w:val="7D4B533D"/>
    <w:rsid w:val="7D4C0330"/>
    <w:rsid w:val="7D4C0C3E"/>
    <w:rsid w:val="7D4C370C"/>
    <w:rsid w:val="7D4C4474"/>
    <w:rsid w:val="7D4C6582"/>
    <w:rsid w:val="7D4D1DE7"/>
    <w:rsid w:val="7D4D2A4C"/>
    <w:rsid w:val="7D4D325E"/>
    <w:rsid w:val="7D4E22FA"/>
    <w:rsid w:val="7D4E40A8"/>
    <w:rsid w:val="7D4F1BCF"/>
    <w:rsid w:val="7D4F3AD3"/>
    <w:rsid w:val="7D4F7891"/>
    <w:rsid w:val="7D4F7E21"/>
    <w:rsid w:val="7D5024F2"/>
    <w:rsid w:val="7D50322B"/>
    <w:rsid w:val="7D511DEB"/>
    <w:rsid w:val="7D51237E"/>
    <w:rsid w:val="7D51285D"/>
    <w:rsid w:val="7D513B99"/>
    <w:rsid w:val="7D515947"/>
    <w:rsid w:val="7D526894"/>
    <w:rsid w:val="7D53065E"/>
    <w:rsid w:val="7D5316BF"/>
    <w:rsid w:val="7D534C0C"/>
    <w:rsid w:val="7D537911"/>
    <w:rsid w:val="7D543853"/>
    <w:rsid w:val="7D545437"/>
    <w:rsid w:val="7D551E3F"/>
    <w:rsid w:val="7D5579C8"/>
    <w:rsid w:val="7D562F5D"/>
    <w:rsid w:val="7D56386F"/>
    <w:rsid w:val="7D565D1B"/>
    <w:rsid w:val="7D567401"/>
    <w:rsid w:val="7D5736C8"/>
    <w:rsid w:val="7D5752A6"/>
    <w:rsid w:val="7D57587B"/>
    <w:rsid w:val="7D575A6A"/>
    <w:rsid w:val="7D5763CD"/>
    <w:rsid w:val="7D580A83"/>
    <w:rsid w:val="7D581ACB"/>
    <w:rsid w:val="7D584F27"/>
    <w:rsid w:val="7D586CD5"/>
    <w:rsid w:val="7D586EFA"/>
    <w:rsid w:val="7D590228"/>
    <w:rsid w:val="7D5919D9"/>
    <w:rsid w:val="7D592A4D"/>
    <w:rsid w:val="7D592F5B"/>
    <w:rsid w:val="7D593BE7"/>
    <w:rsid w:val="7D5962FC"/>
    <w:rsid w:val="7D5A16B1"/>
    <w:rsid w:val="7D5A7436"/>
    <w:rsid w:val="7D5B20E7"/>
    <w:rsid w:val="7D5B3778"/>
    <w:rsid w:val="7D5B4B37"/>
    <w:rsid w:val="7D5C04C2"/>
    <w:rsid w:val="7D5C07F0"/>
    <w:rsid w:val="7D5D1D4A"/>
    <w:rsid w:val="7D5D42EC"/>
    <w:rsid w:val="7D5E0064"/>
    <w:rsid w:val="7D5E1E12"/>
    <w:rsid w:val="7D5E2D6C"/>
    <w:rsid w:val="7D5E530F"/>
    <w:rsid w:val="7D5E6A7D"/>
    <w:rsid w:val="7D5F0994"/>
    <w:rsid w:val="7D5F5B1A"/>
    <w:rsid w:val="7D60199E"/>
    <w:rsid w:val="7D60202E"/>
    <w:rsid w:val="7D603753"/>
    <w:rsid w:val="7D603DDC"/>
    <w:rsid w:val="7D6051FB"/>
    <w:rsid w:val="7D605B8A"/>
    <w:rsid w:val="7D6116ED"/>
    <w:rsid w:val="7D6147CA"/>
    <w:rsid w:val="7D615F10"/>
    <w:rsid w:val="7D617346"/>
    <w:rsid w:val="7D621902"/>
    <w:rsid w:val="7D621F8D"/>
    <w:rsid w:val="7D6228A1"/>
    <w:rsid w:val="7D622B7D"/>
    <w:rsid w:val="7D625DA6"/>
    <w:rsid w:val="7D6302B3"/>
    <w:rsid w:val="7D630982"/>
    <w:rsid w:val="7D630D85"/>
    <w:rsid w:val="7D632488"/>
    <w:rsid w:val="7D634983"/>
    <w:rsid w:val="7D637AE0"/>
    <w:rsid w:val="7D64006E"/>
    <w:rsid w:val="7D640509"/>
    <w:rsid w:val="7D641B1E"/>
    <w:rsid w:val="7D642FAD"/>
    <w:rsid w:val="7D6438CC"/>
    <w:rsid w:val="7D644012"/>
    <w:rsid w:val="7D64765F"/>
    <w:rsid w:val="7D65262F"/>
    <w:rsid w:val="7D6531A0"/>
    <w:rsid w:val="7D653F46"/>
    <w:rsid w:val="7D655469"/>
    <w:rsid w:val="7D656AAE"/>
    <w:rsid w:val="7D660289"/>
    <w:rsid w:val="7D663369"/>
    <w:rsid w:val="7D663909"/>
    <w:rsid w:val="7D663FCD"/>
    <w:rsid w:val="7D66494E"/>
    <w:rsid w:val="7D6730C3"/>
    <w:rsid w:val="7D6733BC"/>
    <w:rsid w:val="7D673629"/>
    <w:rsid w:val="7D67516A"/>
    <w:rsid w:val="7D67552C"/>
    <w:rsid w:val="7D681F49"/>
    <w:rsid w:val="7D686C50"/>
    <w:rsid w:val="7D6871B3"/>
    <w:rsid w:val="7D690E1E"/>
    <w:rsid w:val="7D691B42"/>
    <w:rsid w:val="7D692A50"/>
    <w:rsid w:val="7D692C90"/>
    <w:rsid w:val="7D693CB1"/>
    <w:rsid w:val="7D695010"/>
    <w:rsid w:val="7D697E7F"/>
    <w:rsid w:val="7D6A07B6"/>
    <w:rsid w:val="7D6A5621"/>
    <w:rsid w:val="7D6A5EA2"/>
    <w:rsid w:val="7D6B1788"/>
    <w:rsid w:val="7D6B4A54"/>
    <w:rsid w:val="7D6B5370"/>
    <w:rsid w:val="7D6C2781"/>
    <w:rsid w:val="7D6C452F"/>
    <w:rsid w:val="7D6C47DD"/>
    <w:rsid w:val="7D6C7EFD"/>
    <w:rsid w:val="7D6D429B"/>
    <w:rsid w:val="7D6D5D20"/>
    <w:rsid w:val="7D6E017B"/>
    <w:rsid w:val="7D6E0738"/>
    <w:rsid w:val="7D6E2861"/>
    <w:rsid w:val="7D6E2E25"/>
    <w:rsid w:val="7D6E474B"/>
    <w:rsid w:val="7D6E64F9"/>
    <w:rsid w:val="7D6E65F3"/>
    <w:rsid w:val="7D6F2271"/>
    <w:rsid w:val="7D6F26AE"/>
    <w:rsid w:val="7D6F401F"/>
    <w:rsid w:val="7D6F6B7C"/>
    <w:rsid w:val="7D702006"/>
    <w:rsid w:val="7D706673"/>
    <w:rsid w:val="7D70694D"/>
    <w:rsid w:val="7D707D52"/>
    <w:rsid w:val="7D710BE9"/>
    <w:rsid w:val="7D71354A"/>
    <w:rsid w:val="7D715772"/>
    <w:rsid w:val="7D723F28"/>
    <w:rsid w:val="7D725243"/>
    <w:rsid w:val="7D725852"/>
    <w:rsid w:val="7D725E83"/>
    <w:rsid w:val="7D72700A"/>
    <w:rsid w:val="7D741414"/>
    <w:rsid w:val="7D741635"/>
    <w:rsid w:val="7D742A66"/>
    <w:rsid w:val="7D743997"/>
    <w:rsid w:val="7D74563C"/>
    <w:rsid w:val="7D746B21"/>
    <w:rsid w:val="7D750FF3"/>
    <w:rsid w:val="7D7527E2"/>
    <w:rsid w:val="7D755FBA"/>
    <w:rsid w:val="7D760DF6"/>
    <w:rsid w:val="7D761851"/>
    <w:rsid w:val="7D7635FF"/>
    <w:rsid w:val="7D765337"/>
    <w:rsid w:val="7D7704CB"/>
    <w:rsid w:val="7D7810B5"/>
    <w:rsid w:val="7D782ED3"/>
    <w:rsid w:val="7D7842BB"/>
    <w:rsid w:val="7D787377"/>
    <w:rsid w:val="7D790AD6"/>
    <w:rsid w:val="7D7912E5"/>
    <w:rsid w:val="7D7968A0"/>
    <w:rsid w:val="7D7A2D91"/>
    <w:rsid w:val="7D7A30EF"/>
    <w:rsid w:val="7D7A4E9D"/>
    <w:rsid w:val="7D7A52DB"/>
    <w:rsid w:val="7D7A7757"/>
    <w:rsid w:val="7D7A79E0"/>
    <w:rsid w:val="7D7B0C16"/>
    <w:rsid w:val="7D7B4E65"/>
    <w:rsid w:val="7D7B6E68"/>
    <w:rsid w:val="7D7C20A5"/>
    <w:rsid w:val="7D7C31C7"/>
    <w:rsid w:val="7D7C6AC9"/>
    <w:rsid w:val="7D7C6BBE"/>
    <w:rsid w:val="7D7D04EA"/>
    <w:rsid w:val="7D7D1A08"/>
    <w:rsid w:val="7D7D2BE0"/>
    <w:rsid w:val="7D7D498E"/>
    <w:rsid w:val="7D7D619D"/>
    <w:rsid w:val="7D7D673C"/>
    <w:rsid w:val="7D7D7785"/>
    <w:rsid w:val="7D7E023A"/>
    <w:rsid w:val="7D7E1A5C"/>
    <w:rsid w:val="7D7E3DF3"/>
    <w:rsid w:val="7D7F0982"/>
    <w:rsid w:val="7D7F0F20"/>
    <w:rsid w:val="7D7F156B"/>
    <w:rsid w:val="7D7F1D35"/>
    <w:rsid w:val="7D7F2279"/>
    <w:rsid w:val="7D7F4C76"/>
    <w:rsid w:val="7D7F7357"/>
    <w:rsid w:val="7D7F74C1"/>
    <w:rsid w:val="7D800570"/>
    <w:rsid w:val="7D800844"/>
    <w:rsid w:val="7D803D18"/>
    <w:rsid w:val="7D804F96"/>
    <w:rsid w:val="7D80655A"/>
    <w:rsid w:val="7D806CDD"/>
    <w:rsid w:val="7D807FDA"/>
    <w:rsid w:val="7D815C2C"/>
    <w:rsid w:val="7D815DB5"/>
    <w:rsid w:val="7D820C61"/>
    <w:rsid w:val="7D823D52"/>
    <w:rsid w:val="7D824DAD"/>
    <w:rsid w:val="7D831878"/>
    <w:rsid w:val="7D832A7B"/>
    <w:rsid w:val="7D83412B"/>
    <w:rsid w:val="7D834497"/>
    <w:rsid w:val="7D83508E"/>
    <w:rsid w:val="7D837199"/>
    <w:rsid w:val="7D8424B9"/>
    <w:rsid w:val="7D84389F"/>
    <w:rsid w:val="7D843DC0"/>
    <w:rsid w:val="7D845D1C"/>
    <w:rsid w:val="7D84603C"/>
    <w:rsid w:val="7D847ACA"/>
    <w:rsid w:val="7D851A94"/>
    <w:rsid w:val="7D853842"/>
    <w:rsid w:val="7D8555F0"/>
    <w:rsid w:val="7D861375"/>
    <w:rsid w:val="7D862573"/>
    <w:rsid w:val="7D862C96"/>
    <w:rsid w:val="7D8640DB"/>
    <w:rsid w:val="7D865DA5"/>
    <w:rsid w:val="7D8775BA"/>
    <w:rsid w:val="7D88453F"/>
    <w:rsid w:val="7D8860A8"/>
    <w:rsid w:val="7D891584"/>
    <w:rsid w:val="7D89325B"/>
    <w:rsid w:val="7D893A81"/>
    <w:rsid w:val="7D896E1D"/>
    <w:rsid w:val="7D8A0E59"/>
    <w:rsid w:val="7D8A1816"/>
    <w:rsid w:val="7D8A27BE"/>
    <w:rsid w:val="7D8A68BE"/>
    <w:rsid w:val="7D8B0617"/>
    <w:rsid w:val="7D8B4C0E"/>
    <w:rsid w:val="7D8B6423"/>
    <w:rsid w:val="7D8B77AE"/>
    <w:rsid w:val="7D8C2B63"/>
    <w:rsid w:val="7D8C2E23"/>
    <w:rsid w:val="7D8C4259"/>
    <w:rsid w:val="7D8C5DEA"/>
    <w:rsid w:val="7D8D08CD"/>
    <w:rsid w:val="7D8D2F2A"/>
    <w:rsid w:val="7D8D7428"/>
    <w:rsid w:val="7D8E070A"/>
    <w:rsid w:val="7D8E0949"/>
    <w:rsid w:val="7D8E2059"/>
    <w:rsid w:val="7D8E2E47"/>
    <w:rsid w:val="7D8E514F"/>
    <w:rsid w:val="7D8E65CA"/>
    <w:rsid w:val="7D8F021D"/>
    <w:rsid w:val="7D8F0BAE"/>
    <w:rsid w:val="7D8F15E6"/>
    <w:rsid w:val="7D8F4172"/>
    <w:rsid w:val="7D8F69B2"/>
    <w:rsid w:val="7D8F6D24"/>
    <w:rsid w:val="7D8F70CB"/>
    <w:rsid w:val="7D8F7CB7"/>
    <w:rsid w:val="7D900C62"/>
    <w:rsid w:val="7D902913"/>
    <w:rsid w:val="7D9046C1"/>
    <w:rsid w:val="7D9060F3"/>
    <w:rsid w:val="7D9072C6"/>
    <w:rsid w:val="7D907AD6"/>
    <w:rsid w:val="7D910439"/>
    <w:rsid w:val="7D91046D"/>
    <w:rsid w:val="7D9121E7"/>
    <w:rsid w:val="7D912BD5"/>
    <w:rsid w:val="7D913F95"/>
    <w:rsid w:val="7D915CAE"/>
    <w:rsid w:val="7D917A20"/>
    <w:rsid w:val="7D92140C"/>
    <w:rsid w:val="7D92689C"/>
    <w:rsid w:val="7D93222C"/>
    <w:rsid w:val="7D9330EC"/>
    <w:rsid w:val="7D9341B1"/>
    <w:rsid w:val="7D9348B2"/>
    <w:rsid w:val="7D935F5F"/>
    <w:rsid w:val="7D937D0D"/>
    <w:rsid w:val="7D943A85"/>
    <w:rsid w:val="7D9442B0"/>
    <w:rsid w:val="7D945141"/>
    <w:rsid w:val="7D951CD7"/>
    <w:rsid w:val="7D965A4F"/>
    <w:rsid w:val="7D9673D3"/>
    <w:rsid w:val="7D967BE4"/>
    <w:rsid w:val="7D9720E8"/>
    <w:rsid w:val="7D980FCA"/>
    <w:rsid w:val="7D981284"/>
    <w:rsid w:val="7D982C30"/>
    <w:rsid w:val="7D98438D"/>
    <w:rsid w:val="7D987CB3"/>
    <w:rsid w:val="7D9900FB"/>
    <w:rsid w:val="7D991CBC"/>
    <w:rsid w:val="7D994C5A"/>
    <w:rsid w:val="7D9A25CE"/>
    <w:rsid w:val="7D9A2FBF"/>
    <w:rsid w:val="7D9B2A00"/>
    <w:rsid w:val="7D9B3066"/>
    <w:rsid w:val="7D9B5286"/>
    <w:rsid w:val="7D9C12B8"/>
    <w:rsid w:val="7D9C3A6D"/>
    <w:rsid w:val="7D9C4D67"/>
    <w:rsid w:val="7D9D0A7E"/>
    <w:rsid w:val="7D9D28F2"/>
    <w:rsid w:val="7D9D293A"/>
    <w:rsid w:val="7D9D5E70"/>
    <w:rsid w:val="7D9E163D"/>
    <w:rsid w:val="7D9E4778"/>
    <w:rsid w:val="7D9F2917"/>
    <w:rsid w:val="7D9F2B56"/>
    <w:rsid w:val="7D9F6B24"/>
    <w:rsid w:val="7D9F7B7B"/>
    <w:rsid w:val="7DA00C88"/>
    <w:rsid w:val="7DA016C8"/>
    <w:rsid w:val="7DA0220D"/>
    <w:rsid w:val="7DA0242A"/>
    <w:rsid w:val="7DA03D46"/>
    <w:rsid w:val="7DA05672"/>
    <w:rsid w:val="7DA06EBC"/>
    <w:rsid w:val="7DA136F1"/>
    <w:rsid w:val="7DA1661A"/>
    <w:rsid w:val="7DA168CE"/>
    <w:rsid w:val="7DA20010"/>
    <w:rsid w:val="7DA22646"/>
    <w:rsid w:val="7DA23A58"/>
    <w:rsid w:val="7DA261A2"/>
    <w:rsid w:val="7DA27DFF"/>
    <w:rsid w:val="7DA33311"/>
    <w:rsid w:val="7DA358ED"/>
    <w:rsid w:val="7DA3663E"/>
    <w:rsid w:val="7DA4016C"/>
    <w:rsid w:val="7DA41079"/>
    <w:rsid w:val="7DA43293"/>
    <w:rsid w:val="7DA43CC8"/>
    <w:rsid w:val="7DA44332"/>
    <w:rsid w:val="7DA45501"/>
    <w:rsid w:val="7DA4668E"/>
    <w:rsid w:val="7DA46BD9"/>
    <w:rsid w:val="7DA500D2"/>
    <w:rsid w:val="7DA5083C"/>
    <w:rsid w:val="7DA51B0F"/>
    <w:rsid w:val="7DA521E2"/>
    <w:rsid w:val="7DA52E96"/>
    <w:rsid w:val="7DA55C93"/>
    <w:rsid w:val="7DA61F6B"/>
    <w:rsid w:val="7DA63EE4"/>
    <w:rsid w:val="7DA67BDD"/>
    <w:rsid w:val="7DA737B9"/>
    <w:rsid w:val="7DA77726"/>
    <w:rsid w:val="7DA77C5D"/>
    <w:rsid w:val="7DA83814"/>
    <w:rsid w:val="7DA95783"/>
    <w:rsid w:val="7DA964FD"/>
    <w:rsid w:val="7DAA05C8"/>
    <w:rsid w:val="7DAA1373"/>
    <w:rsid w:val="7DAA32A9"/>
    <w:rsid w:val="7DAA4B7D"/>
    <w:rsid w:val="7DAA5057"/>
    <w:rsid w:val="7DAA70CB"/>
    <w:rsid w:val="7DAB14FB"/>
    <w:rsid w:val="7DAB2803"/>
    <w:rsid w:val="7DAB75B0"/>
    <w:rsid w:val="7DAB77B5"/>
    <w:rsid w:val="7DAC3C93"/>
    <w:rsid w:val="7DAC5273"/>
    <w:rsid w:val="7DAE263D"/>
    <w:rsid w:val="7DAE31FC"/>
    <w:rsid w:val="7DAE4B47"/>
    <w:rsid w:val="7DAF3A78"/>
    <w:rsid w:val="7DAF50F2"/>
    <w:rsid w:val="7DAF6600"/>
    <w:rsid w:val="7DB116FC"/>
    <w:rsid w:val="7DB140DA"/>
    <w:rsid w:val="7DB14637"/>
    <w:rsid w:val="7DB163E5"/>
    <w:rsid w:val="7DB25C75"/>
    <w:rsid w:val="7DB261A4"/>
    <w:rsid w:val="7DB303AF"/>
    <w:rsid w:val="7DB30F95"/>
    <w:rsid w:val="7DB3215D"/>
    <w:rsid w:val="7DB3259C"/>
    <w:rsid w:val="7DB32C0B"/>
    <w:rsid w:val="7DB36601"/>
    <w:rsid w:val="7DB45E47"/>
    <w:rsid w:val="7DB4794F"/>
    <w:rsid w:val="7DB54CF6"/>
    <w:rsid w:val="7DB553C8"/>
    <w:rsid w:val="7DB55ED6"/>
    <w:rsid w:val="7DB56E3C"/>
    <w:rsid w:val="7DB61C4E"/>
    <w:rsid w:val="7DB62083"/>
    <w:rsid w:val="7DB6279B"/>
    <w:rsid w:val="7DB639FC"/>
    <w:rsid w:val="7DB653A4"/>
    <w:rsid w:val="7DB67916"/>
    <w:rsid w:val="7DB7103E"/>
    <w:rsid w:val="7DB72DA5"/>
    <w:rsid w:val="7DB73423"/>
    <w:rsid w:val="7DB7579C"/>
    <w:rsid w:val="7DB769E4"/>
    <w:rsid w:val="7DB76E0E"/>
    <w:rsid w:val="7DB773AC"/>
    <w:rsid w:val="7DB83C18"/>
    <w:rsid w:val="7DB87774"/>
    <w:rsid w:val="7DB939AF"/>
    <w:rsid w:val="7DB942BC"/>
    <w:rsid w:val="7DB94778"/>
    <w:rsid w:val="7DB948D7"/>
    <w:rsid w:val="7DB96DEA"/>
    <w:rsid w:val="7DB97EDF"/>
    <w:rsid w:val="7DBA173E"/>
    <w:rsid w:val="7DBA34EC"/>
    <w:rsid w:val="7DBA7990"/>
    <w:rsid w:val="7DBB2760"/>
    <w:rsid w:val="7DBB6D73"/>
    <w:rsid w:val="7DBC0FD0"/>
    <w:rsid w:val="7DBC249E"/>
    <w:rsid w:val="7DBC3708"/>
    <w:rsid w:val="7DBC3788"/>
    <w:rsid w:val="7DBC5CA6"/>
    <w:rsid w:val="7DBD0DBD"/>
    <w:rsid w:val="7DBD122E"/>
    <w:rsid w:val="7DBD1E4F"/>
    <w:rsid w:val="7DBD2CF1"/>
    <w:rsid w:val="7DBD3900"/>
    <w:rsid w:val="7DBD4022"/>
    <w:rsid w:val="7DBD4C18"/>
    <w:rsid w:val="7DBD7B69"/>
    <w:rsid w:val="7DBE0AD5"/>
    <w:rsid w:val="7DBE0E9B"/>
    <w:rsid w:val="7DBE1498"/>
    <w:rsid w:val="7DBE2196"/>
    <w:rsid w:val="7DBE3BDC"/>
    <w:rsid w:val="7DBE44EE"/>
    <w:rsid w:val="7DBE4C1D"/>
    <w:rsid w:val="7DBE54A9"/>
    <w:rsid w:val="7DBE5814"/>
    <w:rsid w:val="7DBF0B02"/>
    <w:rsid w:val="7DBF0DE0"/>
    <w:rsid w:val="7DC0173D"/>
    <w:rsid w:val="7DC03599"/>
    <w:rsid w:val="7DC0487A"/>
    <w:rsid w:val="7DC070A0"/>
    <w:rsid w:val="7DC07D31"/>
    <w:rsid w:val="7DC105AB"/>
    <w:rsid w:val="7DC12ACC"/>
    <w:rsid w:val="7DC26844"/>
    <w:rsid w:val="7DC30A8A"/>
    <w:rsid w:val="7DC34AB5"/>
    <w:rsid w:val="7DC36439"/>
    <w:rsid w:val="7DC3667D"/>
    <w:rsid w:val="7DC40557"/>
    <w:rsid w:val="7DC409A9"/>
    <w:rsid w:val="7DC425BD"/>
    <w:rsid w:val="7DC43EF3"/>
    <w:rsid w:val="7DC44AEB"/>
    <w:rsid w:val="7DC46119"/>
    <w:rsid w:val="7DC507E1"/>
    <w:rsid w:val="7DC53337"/>
    <w:rsid w:val="7DC5406D"/>
    <w:rsid w:val="7DC55F7B"/>
    <w:rsid w:val="7DC600E3"/>
    <w:rsid w:val="7DC61F22"/>
    <w:rsid w:val="7DC63A0F"/>
    <w:rsid w:val="7DC6496E"/>
    <w:rsid w:val="7DC66084"/>
    <w:rsid w:val="7DC6740B"/>
    <w:rsid w:val="7DC7089B"/>
    <w:rsid w:val="7DC727D5"/>
    <w:rsid w:val="7DC728FC"/>
    <w:rsid w:val="7DC72D86"/>
    <w:rsid w:val="7DC7461A"/>
    <w:rsid w:val="7DC75C09"/>
    <w:rsid w:val="7DC91981"/>
    <w:rsid w:val="7DC92734"/>
    <w:rsid w:val="7DC92789"/>
    <w:rsid w:val="7DC9372F"/>
    <w:rsid w:val="7DC93971"/>
    <w:rsid w:val="7DC955DA"/>
    <w:rsid w:val="7DC974CD"/>
    <w:rsid w:val="7DCA0140"/>
    <w:rsid w:val="7DCA095D"/>
    <w:rsid w:val="7DCA0A73"/>
    <w:rsid w:val="7DCA0D2F"/>
    <w:rsid w:val="7DCA74A7"/>
    <w:rsid w:val="7DCA7A75"/>
    <w:rsid w:val="7DCB1617"/>
    <w:rsid w:val="7DCB56F9"/>
    <w:rsid w:val="7DCB79DD"/>
    <w:rsid w:val="7DCC002C"/>
    <w:rsid w:val="7DCC2919"/>
    <w:rsid w:val="7DCC7DF7"/>
    <w:rsid w:val="7DCC7E54"/>
    <w:rsid w:val="7DCD0F70"/>
    <w:rsid w:val="7DCD1250"/>
    <w:rsid w:val="7DCD3C99"/>
    <w:rsid w:val="7DCD4290"/>
    <w:rsid w:val="7DCD54AD"/>
    <w:rsid w:val="7DCD5E4E"/>
    <w:rsid w:val="7DCD64FC"/>
    <w:rsid w:val="7DCD65C0"/>
    <w:rsid w:val="7DCD7765"/>
    <w:rsid w:val="7DCE11EE"/>
    <w:rsid w:val="7DCE6F97"/>
    <w:rsid w:val="7DCF1BFE"/>
    <w:rsid w:val="7DCF41A7"/>
    <w:rsid w:val="7DCF479D"/>
    <w:rsid w:val="7DCF4ABD"/>
    <w:rsid w:val="7DCF7142"/>
    <w:rsid w:val="7DD00F61"/>
    <w:rsid w:val="7DD00FE9"/>
    <w:rsid w:val="7DD10836"/>
    <w:rsid w:val="7DD14D58"/>
    <w:rsid w:val="7DD16A88"/>
    <w:rsid w:val="7DD224B4"/>
    <w:rsid w:val="7DD27B85"/>
    <w:rsid w:val="7DD27F36"/>
    <w:rsid w:val="7DD3057F"/>
    <w:rsid w:val="7DD30A52"/>
    <w:rsid w:val="7DD31EBC"/>
    <w:rsid w:val="7DD32070"/>
    <w:rsid w:val="7DD34BB2"/>
    <w:rsid w:val="7DD35B93"/>
    <w:rsid w:val="7DD429D7"/>
    <w:rsid w:val="7DD444D6"/>
    <w:rsid w:val="7DD5013F"/>
    <w:rsid w:val="7DD520D4"/>
    <w:rsid w:val="7DD5586E"/>
    <w:rsid w:val="7DD55A70"/>
    <w:rsid w:val="7DD56578"/>
    <w:rsid w:val="7DD56CD4"/>
    <w:rsid w:val="7DD71BA7"/>
    <w:rsid w:val="7DD722F0"/>
    <w:rsid w:val="7DD77EED"/>
    <w:rsid w:val="7DD82375"/>
    <w:rsid w:val="7DD82E5D"/>
    <w:rsid w:val="7DD8341A"/>
    <w:rsid w:val="7DD86068"/>
    <w:rsid w:val="7DD8658E"/>
    <w:rsid w:val="7DD86A1C"/>
    <w:rsid w:val="7DD9000A"/>
    <w:rsid w:val="7DD92441"/>
    <w:rsid w:val="7DD943F1"/>
    <w:rsid w:val="7DD96AF1"/>
    <w:rsid w:val="7DDA593C"/>
    <w:rsid w:val="7DDA5C71"/>
    <w:rsid w:val="7DDA6D11"/>
    <w:rsid w:val="7DDA6D70"/>
    <w:rsid w:val="7DDA75F1"/>
    <w:rsid w:val="7DDA7D55"/>
    <w:rsid w:val="7DDB1549"/>
    <w:rsid w:val="7DDB1D8C"/>
    <w:rsid w:val="7DDB3462"/>
    <w:rsid w:val="7DDB4C47"/>
    <w:rsid w:val="7DDB51E5"/>
    <w:rsid w:val="7DDB78EF"/>
    <w:rsid w:val="7DDC0057"/>
    <w:rsid w:val="7DDC0909"/>
    <w:rsid w:val="7DDC5BA4"/>
    <w:rsid w:val="7DDC7906"/>
    <w:rsid w:val="7DDD007C"/>
    <w:rsid w:val="7DDD367E"/>
    <w:rsid w:val="7DDD6557"/>
    <w:rsid w:val="7DDD6D5C"/>
    <w:rsid w:val="7DDE5692"/>
    <w:rsid w:val="7DDE656D"/>
    <w:rsid w:val="7DDE6CD5"/>
    <w:rsid w:val="7DDF0434"/>
    <w:rsid w:val="7DDF11A4"/>
    <w:rsid w:val="7DDF3558"/>
    <w:rsid w:val="7DDF4E02"/>
    <w:rsid w:val="7DE0191F"/>
    <w:rsid w:val="7DE0507F"/>
    <w:rsid w:val="7DE055BB"/>
    <w:rsid w:val="7DE0599F"/>
    <w:rsid w:val="7DE06106"/>
    <w:rsid w:val="7DE06F57"/>
    <w:rsid w:val="7DE1316F"/>
    <w:rsid w:val="7DE13198"/>
    <w:rsid w:val="7DE20C95"/>
    <w:rsid w:val="7DE22A43"/>
    <w:rsid w:val="7DE23343"/>
    <w:rsid w:val="7DE247F1"/>
    <w:rsid w:val="7DE30074"/>
    <w:rsid w:val="7DE30F8E"/>
    <w:rsid w:val="7DE348F0"/>
    <w:rsid w:val="7DE35A97"/>
    <w:rsid w:val="7DE36663"/>
    <w:rsid w:val="7DE37223"/>
    <w:rsid w:val="7DE37F83"/>
    <w:rsid w:val="7DE40569"/>
    <w:rsid w:val="7DE42994"/>
    <w:rsid w:val="7DE43418"/>
    <w:rsid w:val="7DE43869"/>
    <w:rsid w:val="7DE46DC8"/>
    <w:rsid w:val="7DE47BEF"/>
    <w:rsid w:val="7DE53E24"/>
    <w:rsid w:val="7DE54985"/>
    <w:rsid w:val="7DE55B38"/>
    <w:rsid w:val="7DE60785"/>
    <w:rsid w:val="7DE6353F"/>
    <w:rsid w:val="7DE63B86"/>
    <w:rsid w:val="7DE642E1"/>
    <w:rsid w:val="7DE71E07"/>
    <w:rsid w:val="7DE731E2"/>
    <w:rsid w:val="7DE75240"/>
    <w:rsid w:val="7DE756A5"/>
    <w:rsid w:val="7DE8011B"/>
    <w:rsid w:val="7DE92023"/>
    <w:rsid w:val="7DE92E5A"/>
    <w:rsid w:val="7DE93DD1"/>
    <w:rsid w:val="7DE9424D"/>
    <w:rsid w:val="7DE95316"/>
    <w:rsid w:val="7DE95376"/>
    <w:rsid w:val="7DE95B7F"/>
    <w:rsid w:val="7DEA16C8"/>
    <w:rsid w:val="7DEA32A8"/>
    <w:rsid w:val="7DEA386B"/>
    <w:rsid w:val="7DEA3CDD"/>
    <w:rsid w:val="7DEA5402"/>
    <w:rsid w:val="7DEA57BD"/>
    <w:rsid w:val="7DEA69FD"/>
    <w:rsid w:val="7DEA7637"/>
    <w:rsid w:val="7DEB2D7B"/>
    <w:rsid w:val="7DEB7C96"/>
    <w:rsid w:val="7DEB7E3E"/>
    <w:rsid w:val="7DEC27D6"/>
    <w:rsid w:val="7DEC3502"/>
    <w:rsid w:val="7DEC38C1"/>
    <w:rsid w:val="7DEC566F"/>
    <w:rsid w:val="7DED3E88"/>
    <w:rsid w:val="7DED3F13"/>
    <w:rsid w:val="7DED620D"/>
    <w:rsid w:val="7DED6D64"/>
    <w:rsid w:val="7DEE1170"/>
    <w:rsid w:val="7DEE13E8"/>
    <w:rsid w:val="7DEE1CDF"/>
    <w:rsid w:val="7DEE3196"/>
    <w:rsid w:val="7DEE450A"/>
    <w:rsid w:val="7DEE4CB8"/>
    <w:rsid w:val="7DEE716A"/>
    <w:rsid w:val="7DEE7639"/>
    <w:rsid w:val="7DEE7D58"/>
    <w:rsid w:val="7DEF6617"/>
    <w:rsid w:val="7DF00A2E"/>
    <w:rsid w:val="7DF01B4B"/>
    <w:rsid w:val="7DF057AF"/>
    <w:rsid w:val="7DF0795C"/>
    <w:rsid w:val="7DF12C86"/>
    <w:rsid w:val="7DF1445B"/>
    <w:rsid w:val="7DF15CE6"/>
    <w:rsid w:val="7DF20EA6"/>
    <w:rsid w:val="7DF22338"/>
    <w:rsid w:val="7DF23B24"/>
    <w:rsid w:val="7DF2712A"/>
    <w:rsid w:val="7DF3422C"/>
    <w:rsid w:val="7DF369FE"/>
    <w:rsid w:val="7DF37B69"/>
    <w:rsid w:val="7DF42DBD"/>
    <w:rsid w:val="7DF450A4"/>
    <w:rsid w:val="7DF47CAE"/>
    <w:rsid w:val="7DF50C55"/>
    <w:rsid w:val="7DF50C6D"/>
    <w:rsid w:val="7DF50EA2"/>
    <w:rsid w:val="7DF511CE"/>
    <w:rsid w:val="7DF52776"/>
    <w:rsid w:val="7DF56A76"/>
    <w:rsid w:val="7DF6029C"/>
    <w:rsid w:val="7DF609FF"/>
    <w:rsid w:val="7DF62124"/>
    <w:rsid w:val="7DF63117"/>
    <w:rsid w:val="7DF65CDD"/>
    <w:rsid w:val="7DF764EE"/>
    <w:rsid w:val="7DF7797A"/>
    <w:rsid w:val="7DF804B8"/>
    <w:rsid w:val="7DF80ACF"/>
    <w:rsid w:val="7DF81987"/>
    <w:rsid w:val="7DF83A40"/>
    <w:rsid w:val="7DF863A2"/>
    <w:rsid w:val="7DF86826"/>
    <w:rsid w:val="7DF874E5"/>
    <w:rsid w:val="7DF91161"/>
    <w:rsid w:val="7DF92133"/>
    <w:rsid w:val="7DF948C3"/>
    <w:rsid w:val="7DF951D4"/>
    <w:rsid w:val="7DF95901"/>
    <w:rsid w:val="7DFA0904"/>
    <w:rsid w:val="7DFA495A"/>
    <w:rsid w:val="7DFA597D"/>
    <w:rsid w:val="7DFA5FD9"/>
    <w:rsid w:val="7DFA7D8C"/>
    <w:rsid w:val="7DFB58B2"/>
    <w:rsid w:val="7DFB63B6"/>
    <w:rsid w:val="7DFB74F7"/>
    <w:rsid w:val="7DFC0C1A"/>
    <w:rsid w:val="7DFC3B04"/>
    <w:rsid w:val="7DFD37EB"/>
    <w:rsid w:val="7DFD787D"/>
    <w:rsid w:val="7DFD78A1"/>
    <w:rsid w:val="7DFE3B6E"/>
    <w:rsid w:val="7DFE449A"/>
    <w:rsid w:val="7DFF2C2F"/>
    <w:rsid w:val="7DFF35F5"/>
    <w:rsid w:val="7DFF3A0E"/>
    <w:rsid w:val="7DFF53A3"/>
    <w:rsid w:val="7DFF589B"/>
    <w:rsid w:val="7DFF610B"/>
    <w:rsid w:val="7DFF6448"/>
    <w:rsid w:val="7E000601"/>
    <w:rsid w:val="7E000A2B"/>
    <w:rsid w:val="7E000D6B"/>
    <w:rsid w:val="7E0010CF"/>
    <w:rsid w:val="7E00134E"/>
    <w:rsid w:val="7E00216C"/>
    <w:rsid w:val="7E002280"/>
    <w:rsid w:val="7E00244B"/>
    <w:rsid w:val="7E002681"/>
    <w:rsid w:val="7E002EC9"/>
    <w:rsid w:val="7E005FB8"/>
    <w:rsid w:val="7E011EBB"/>
    <w:rsid w:val="7E015058"/>
    <w:rsid w:val="7E015288"/>
    <w:rsid w:val="7E0162ED"/>
    <w:rsid w:val="7E016FD8"/>
    <w:rsid w:val="7E020450"/>
    <w:rsid w:val="7E021801"/>
    <w:rsid w:val="7E024E93"/>
    <w:rsid w:val="7E026C41"/>
    <w:rsid w:val="7E042D36"/>
    <w:rsid w:val="7E047E71"/>
    <w:rsid w:val="7E0611B8"/>
    <w:rsid w:val="7E0626C1"/>
    <w:rsid w:val="7E063086"/>
    <w:rsid w:val="7E0635F4"/>
    <w:rsid w:val="7E06489D"/>
    <w:rsid w:val="7E066731"/>
    <w:rsid w:val="7E06716B"/>
    <w:rsid w:val="7E067D0F"/>
    <w:rsid w:val="7E07061D"/>
    <w:rsid w:val="7E0724A9"/>
    <w:rsid w:val="7E07251B"/>
    <w:rsid w:val="7E074257"/>
    <w:rsid w:val="7E075D2D"/>
    <w:rsid w:val="7E086EF3"/>
    <w:rsid w:val="7E087EEB"/>
    <w:rsid w:val="7E094473"/>
    <w:rsid w:val="7E09479C"/>
    <w:rsid w:val="7E096221"/>
    <w:rsid w:val="7E096769"/>
    <w:rsid w:val="7E0970B8"/>
    <w:rsid w:val="7E097FCF"/>
    <w:rsid w:val="7E0A7DDA"/>
    <w:rsid w:val="7E0B3D48"/>
    <w:rsid w:val="7E0B46A5"/>
    <w:rsid w:val="7E0B496C"/>
    <w:rsid w:val="7E0B6A07"/>
    <w:rsid w:val="7E0C115E"/>
    <w:rsid w:val="7E0C147F"/>
    <w:rsid w:val="7E0C4C9C"/>
    <w:rsid w:val="7E0C7AC0"/>
    <w:rsid w:val="7E0D08CE"/>
    <w:rsid w:val="7E0D3F64"/>
    <w:rsid w:val="7E0D505D"/>
    <w:rsid w:val="7E0D5802"/>
    <w:rsid w:val="7E0D5EFC"/>
    <w:rsid w:val="7E0E1A8A"/>
    <w:rsid w:val="7E0E2FB2"/>
    <w:rsid w:val="7E0E3838"/>
    <w:rsid w:val="7E0E44E6"/>
    <w:rsid w:val="7E0F2F8B"/>
    <w:rsid w:val="7E0F4A8F"/>
    <w:rsid w:val="7E0F7090"/>
    <w:rsid w:val="7E1075B0"/>
    <w:rsid w:val="7E111EAF"/>
    <w:rsid w:val="7E117444"/>
    <w:rsid w:val="7E12157A"/>
    <w:rsid w:val="7E122ADC"/>
    <w:rsid w:val="7E122E40"/>
    <w:rsid w:val="7E123328"/>
    <w:rsid w:val="7E1262DE"/>
    <w:rsid w:val="7E1268FB"/>
    <w:rsid w:val="7E127841"/>
    <w:rsid w:val="7E130E4E"/>
    <w:rsid w:val="7E133B5D"/>
    <w:rsid w:val="7E134053"/>
    <w:rsid w:val="7E13413D"/>
    <w:rsid w:val="7E1370A0"/>
    <w:rsid w:val="7E14357A"/>
    <w:rsid w:val="7E143EB6"/>
    <w:rsid w:val="7E1471A4"/>
    <w:rsid w:val="7E147C3E"/>
    <w:rsid w:val="7E147D6D"/>
    <w:rsid w:val="7E152C52"/>
    <w:rsid w:val="7E152E18"/>
    <w:rsid w:val="7E154BC6"/>
    <w:rsid w:val="7E155322"/>
    <w:rsid w:val="7E156974"/>
    <w:rsid w:val="7E157EA9"/>
    <w:rsid w:val="7E1601F8"/>
    <w:rsid w:val="7E1626EC"/>
    <w:rsid w:val="7E16403A"/>
    <w:rsid w:val="7E164392"/>
    <w:rsid w:val="7E164AF6"/>
    <w:rsid w:val="7E17093E"/>
    <w:rsid w:val="7E173D0B"/>
    <w:rsid w:val="7E175822"/>
    <w:rsid w:val="7E181C15"/>
    <w:rsid w:val="7E190142"/>
    <w:rsid w:val="7E192D13"/>
    <w:rsid w:val="7E19444E"/>
    <w:rsid w:val="7E1A042F"/>
    <w:rsid w:val="7E1A1EFE"/>
    <w:rsid w:val="7E1A65EE"/>
    <w:rsid w:val="7E1B24A3"/>
    <w:rsid w:val="7E1B5D55"/>
    <w:rsid w:val="7E1C0204"/>
    <w:rsid w:val="7E1C1BDD"/>
    <w:rsid w:val="7E1C3589"/>
    <w:rsid w:val="7E1C3A6E"/>
    <w:rsid w:val="7E1C41A7"/>
    <w:rsid w:val="7E1C491C"/>
    <w:rsid w:val="7E1C5F55"/>
    <w:rsid w:val="7E1C6DDD"/>
    <w:rsid w:val="7E1C77D8"/>
    <w:rsid w:val="7E1D2B32"/>
    <w:rsid w:val="7E1D79A8"/>
    <w:rsid w:val="7E1E5691"/>
    <w:rsid w:val="7E1E5CF2"/>
    <w:rsid w:val="7E1F2F6E"/>
    <w:rsid w:val="7E1F3C97"/>
    <w:rsid w:val="7E1F3FB4"/>
    <w:rsid w:val="7E1F5A45"/>
    <w:rsid w:val="7E1F5E31"/>
    <w:rsid w:val="7E203DE3"/>
    <w:rsid w:val="7E2045EC"/>
    <w:rsid w:val="7E211977"/>
    <w:rsid w:val="7E21356B"/>
    <w:rsid w:val="7E214017"/>
    <w:rsid w:val="7E214044"/>
    <w:rsid w:val="7E215319"/>
    <w:rsid w:val="7E215BDC"/>
    <w:rsid w:val="7E217890"/>
    <w:rsid w:val="7E217FAE"/>
    <w:rsid w:val="7E22107C"/>
    <w:rsid w:val="7E222935"/>
    <w:rsid w:val="7E2272E3"/>
    <w:rsid w:val="7E24082B"/>
    <w:rsid w:val="7E24305B"/>
    <w:rsid w:val="7E243334"/>
    <w:rsid w:val="7E245731"/>
    <w:rsid w:val="7E245EEC"/>
    <w:rsid w:val="7E247357"/>
    <w:rsid w:val="7E2512B6"/>
    <w:rsid w:val="7E25277A"/>
    <w:rsid w:val="7E260B81"/>
    <w:rsid w:val="7E2645D8"/>
    <w:rsid w:val="7E265025"/>
    <w:rsid w:val="7E266D51"/>
    <w:rsid w:val="7E266DD3"/>
    <w:rsid w:val="7E26761A"/>
    <w:rsid w:val="7E270C06"/>
    <w:rsid w:val="7E272D14"/>
    <w:rsid w:val="7E275317"/>
    <w:rsid w:val="7E275823"/>
    <w:rsid w:val="7E2766A8"/>
    <w:rsid w:val="7E280D07"/>
    <w:rsid w:val="7E2817F4"/>
    <w:rsid w:val="7E282B4B"/>
    <w:rsid w:val="7E2843B5"/>
    <w:rsid w:val="7E2908EE"/>
    <w:rsid w:val="7E29159B"/>
    <w:rsid w:val="7E294719"/>
    <w:rsid w:val="7E297C37"/>
    <w:rsid w:val="7E2A03F9"/>
    <w:rsid w:val="7E2A1053"/>
    <w:rsid w:val="7E2A218B"/>
    <w:rsid w:val="7E2A3457"/>
    <w:rsid w:val="7E2A4841"/>
    <w:rsid w:val="7E2B263C"/>
    <w:rsid w:val="7E2B3A5A"/>
    <w:rsid w:val="7E2B43EA"/>
    <w:rsid w:val="7E2B46C8"/>
    <w:rsid w:val="7E2B6198"/>
    <w:rsid w:val="7E2B6B0A"/>
    <w:rsid w:val="7E2C4AFF"/>
    <w:rsid w:val="7E2C5264"/>
    <w:rsid w:val="7E2C6232"/>
    <w:rsid w:val="7E2C7CB2"/>
    <w:rsid w:val="7E2D02BC"/>
    <w:rsid w:val="7E2D1F10"/>
    <w:rsid w:val="7E2D4F32"/>
    <w:rsid w:val="7E2D569D"/>
    <w:rsid w:val="7E2D7A48"/>
    <w:rsid w:val="7E2E5C88"/>
    <w:rsid w:val="7E2E6078"/>
    <w:rsid w:val="7E2E7A36"/>
    <w:rsid w:val="7E2F0CBB"/>
    <w:rsid w:val="7E2F27A2"/>
    <w:rsid w:val="7E2F3AA9"/>
    <w:rsid w:val="7E2F3C99"/>
    <w:rsid w:val="7E2F5FAE"/>
    <w:rsid w:val="7E2F667A"/>
    <w:rsid w:val="7E307B0A"/>
    <w:rsid w:val="7E307D5B"/>
    <w:rsid w:val="7E311815"/>
    <w:rsid w:val="7E3152C1"/>
    <w:rsid w:val="7E3205E4"/>
    <w:rsid w:val="7E3210B7"/>
    <w:rsid w:val="7E322F5C"/>
    <w:rsid w:val="7E3239CA"/>
    <w:rsid w:val="7E325778"/>
    <w:rsid w:val="7E327526"/>
    <w:rsid w:val="7E3314F0"/>
    <w:rsid w:val="7E3315E0"/>
    <w:rsid w:val="7E331E7E"/>
    <w:rsid w:val="7E334D49"/>
    <w:rsid w:val="7E335826"/>
    <w:rsid w:val="7E33625C"/>
    <w:rsid w:val="7E336DF6"/>
    <w:rsid w:val="7E343ACE"/>
    <w:rsid w:val="7E344D4A"/>
    <w:rsid w:val="7E345B39"/>
    <w:rsid w:val="7E345B8F"/>
    <w:rsid w:val="7E34791B"/>
    <w:rsid w:val="7E347E9C"/>
    <w:rsid w:val="7E350DAB"/>
    <w:rsid w:val="7E35406A"/>
    <w:rsid w:val="7E356117"/>
    <w:rsid w:val="7E357016"/>
    <w:rsid w:val="7E36397C"/>
    <w:rsid w:val="7E365140"/>
    <w:rsid w:val="7E36761E"/>
    <w:rsid w:val="7E370FE0"/>
    <w:rsid w:val="7E374BBA"/>
    <w:rsid w:val="7E3751F8"/>
    <w:rsid w:val="7E376B96"/>
    <w:rsid w:val="7E381D99"/>
    <w:rsid w:val="7E385DB9"/>
    <w:rsid w:val="7E386B07"/>
    <w:rsid w:val="7E3947F5"/>
    <w:rsid w:val="7E394D59"/>
    <w:rsid w:val="7E3B1290"/>
    <w:rsid w:val="7E3B4B82"/>
    <w:rsid w:val="7E3B788A"/>
    <w:rsid w:val="7E3B7A4F"/>
    <w:rsid w:val="7E3C03A5"/>
    <w:rsid w:val="7E3C0429"/>
    <w:rsid w:val="7E3C2153"/>
    <w:rsid w:val="7E3C5B9B"/>
    <w:rsid w:val="7E3D2B28"/>
    <w:rsid w:val="7E3D3024"/>
    <w:rsid w:val="7E3D41C4"/>
    <w:rsid w:val="7E3D549D"/>
    <w:rsid w:val="7E3D5ECB"/>
    <w:rsid w:val="7E3D6D28"/>
    <w:rsid w:val="7E3D753D"/>
    <w:rsid w:val="7E3E097E"/>
    <w:rsid w:val="7E3E09CD"/>
    <w:rsid w:val="7E3E0D11"/>
    <w:rsid w:val="7E3E37D9"/>
    <w:rsid w:val="7E3E411D"/>
    <w:rsid w:val="7E3F1C43"/>
    <w:rsid w:val="7E3F3489"/>
    <w:rsid w:val="7E3F39F1"/>
    <w:rsid w:val="7E3F3B29"/>
    <w:rsid w:val="7E3F60E7"/>
    <w:rsid w:val="7E3F6AD6"/>
    <w:rsid w:val="7E3F7533"/>
    <w:rsid w:val="7E3F7E95"/>
    <w:rsid w:val="7E402025"/>
    <w:rsid w:val="7E403F9A"/>
    <w:rsid w:val="7E404800"/>
    <w:rsid w:val="7E405ED0"/>
    <w:rsid w:val="7E4078DA"/>
    <w:rsid w:val="7E4116E9"/>
    <w:rsid w:val="7E411CAA"/>
    <w:rsid w:val="7E413C0D"/>
    <w:rsid w:val="7E4159BB"/>
    <w:rsid w:val="7E41734E"/>
    <w:rsid w:val="7E420463"/>
    <w:rsid w:val="7E421459"/>
    <w:rsid w:val="7E4234E1"/>
    <w:rsid w:val="7E423A6B"/>
    <w:rsid w:val="7E424D88"/>
    <w:rsid w:val="7E431733"/>
    <w:rsid w:val="7E431DA7"/>
    <w:rsid w:val="7E4324DA"/>
    <w:rsid w:val="7E435E14"/>
    <w:rsid w:val="7E437985"/>
    <w:rsid w:val="7E4433D7"/>
    <w:rsid w:val="7E4452E2"/>
    <w:rsid w:val="7E4454AB"/>
    <w:rsid w:val="7E445D7B"/>
    <w:rsid w:val="7E447259"/>
    <w:rsid w:val="7E453277"/>
    <w:rsid w:val="7E4569F4"/>
    <w:rsid w:val="7E457C8D"/>
    <w:rsid w:val="7E461FD3"/>
    <w:rsid w:val="7E4727AB"/>
    <w:rsid w:val="7E473C72"/>
    <w:rsid w:val="7E4749CB"/>
    <w:rsid w:val="7E482CCE"/>
    <w:rsid w:val="7E48340D"/>
    <w:rsid w:val="7E483820"/>
    <w:rsid w:val="7E484108"/>
    <w:rsid w:val="7E490D14"/>
    <w:rsid w:val="7E492AC2"/>
    <w:rsid w:val="7E4A016B"/>
    <w:rsid w:val="7E4B05E8"/>
    <w:rsid w:val="7E4B35CD"/>
    <w:rsid w:val="7E4B4A8C"/>
    <w:rsid w:val="7E4B636D"/>
    <w:rsid w:val="7E4B683A"/>
    <w:rsid w:val="7E4B6B98"/>
    <w:rsid w:val="7E4C034B"/>
    <w:rsid w:val="7E4C2405"/>
    <w:rsid w:val="7E4C38BC"/>
    <w:rsid w:val="7E4C610E"/>
    <w:rsid w:val="7E4D25B2"/>
    <w:rsid w:val="7E4D4360"/>
    <w:rsid w:val="7E4E00D8"/>
    <w:rsid w:val="7E4E02C0"/>
    <w:rsid w:val="7E4E04C2"/>
    <w:rsid w:val="7E4E0B2C"/>
    <w:rsid w:val="7E4E3093"/>
    <w:rsid w:val="7E4E5AEB"/>
    <w:rsid w:val="7E4E6437"/>
    <w:rsid w:val="7E4F49A7"/>
    <w:rsid w:val="7E4F4B5D"/>
    <w:rsid w:val="7E500912"/>
    <w:rsid w:val="7E5020A2"/>
    <w:rsid w:val="7E503E50"/>
    <w:rsid w:val="7E504015"/>
    <w:rsid w:val="7E516E43"/>
    <w:rsid w:val="7E5202D3"/>
    <w:rsid w:val="7E521A14"/>
    <w:rsid w:val="7E527BC8"/>
    <w:rsid w:val="7E533548"/>
    <w:rsid w:val="7E5356EF"/>
    <w:rsid w:val="7E53617C"/>
    <w:rsid w:val="7E53749D"/>
    <w:rsid w:val="7E5443C5"/>
    <w:rsid w:val="7E55120C"/>
    <w:rsid w:val="7E551467"/>
    <w:rsid w:val="7E553215"/>
    <w:rsid w:val="7E5561FC"/>
    <w:rsid w:val="7E55705B"/>
    <w:rsid w:val="7E5576B9"/>
    <w:rsid w:val="7E56289B"/>
    <w:rsid w:val="7E5637D7"/>
    <w:rsid w:val="7E564774"/>
    <w:rsid w:val="7E565150"/>
    <w:rsid w:val="7E5669D6"/>
    <w:rsid w:val="7E571E59"/>
    <w:rsid w:val="7E5751DF"/>
    <w:rsid w:val="7E575231"/>
    <w:rsid w:val="7E582CDF"/>
    <w:rsid w:val="7E582D05"/>
    <w:rsid w:val="7E584AB3"/>
    <w:rsid w:val="7E590F57"/>
    <w:rsid w:val="7E596B54"/>
    <w:rsid w:val="7E596D16"/>
    <w:rsid w:val="7E5A1BE2"/>
    <w:rsid w:val="7E5A6A7D"/>
    <w:rsid w:val="7E5B02AE"/>
    <w:rsid w:val="7E5B1DC3"/>
    <w:rsid w:val="7E5B4468"/>
    <w:rsid w:val="7E5C0A47"/>
    <w:rsid w:val="7E5C393F"/>
    <w:rsid w:val="7E5C45A3"/>
    <w:rsid w:val="7E5D426E"/>
    <w:rsid w:val="7E5D6DFB"/>
    <w:rsid w:val="7E5D74F0"/>
    <w:rsid w:val="7E5D76A5"/>
    <w:rsid w:val="7E5E18B5"/>
    <w:rsid w:val="7E5E47BF"/>
    <w:rsid w:val="7E5E67A6"/>
    <w:rsid w:val="7E6002C4"/>
    <w:rsid w:val="7E604A96"/>
    <w:rsid w:val="7E605227"/>
    <w:rsid w:val="7E606229"/>
    <w:rsid w:val="7E6077BC"/>
    <w:rsid w:val="7E61382E"/>
    <w:rsid w:val="7E614288"/>
    <w:rsid w:val="7E61605D"/>
    <w:rsid w:val="7E617E0B"/>
    <w:rsid w:val="7E6243A9"/>
    <w:rsid w:val="7E624D69"/>
    <w:rsid w:val="7E627DC8"/>
    <w:rsid w:val="7E630243"/>
    <w:rsid w:val="7E631DD5"/>
    <w:rsid w:val="7E63245A"/>
    <w:rsid w:val="7E635932"/>
    <w:rsid w:val="7E6416AA"/>
    <w:rsid w:val="7E643E29"/>
    <w:rsid w:val="7E645D4D"/>
    <w:rsid w:val="7E6462F0"/>
    <w:rsid w:val="7E6470EE"/>
    <w:rsid w:val="7E647222"/>
    <w:rsid w:val="7E651327"/>
    <w:rsid w:val="7E6552B9"/>
    <w:rsid w:val="7E665422"/>
    <w:rsid w:val="7E666749"/>
    <w:rsid w:val="7E67449D"/>
    <w:rsid w:val="7E674B35"/>
    <w:rsid w:val="7E682F48"/>
    <w:rsid w:val="7E683391"/>
    <w:rsid w:val="7E684470"/>
    <w:rsid w:val="7E6873EC"/>
    <w:rsid w:val="7E694F12"/>
    <w:rsid w:val="7E696CC0"/>
    <w:rsid w:val="7E6A5569"/>
    <w:rsid w:val="7E6B0120"/>
    <w:rsid w:val="7E6B0399"/>
    <w:rsid w:val="7E6B0C8A"/>
    <w:rsid w:val="7E6B25BB"/>
    <w:rsid w:val="7E6B6EDC"/>
    <w:rsid w:val="7E6B7789"/>
    <w:rsid w:val="7E6B79EA"/>
    <w:rsid w:val="7E6B7D32"/>
    <w:rsid w:val="7E6C34E7"/>
    <w:rsid w:val="7E6C3A4B"/>
    <w:rsid w:val="7E6C76CB"/>
    <w:rsid w:val="7E6D055E"/>
    <w:rsid w:val="7E6D117F"/>
    <w:rsid w:val="7E6D4E62"/>
    <w:rsid w:val="7E6D64C4"/>
    <w:rsid w:val="7E6D661C"/>
    <w:rsid w:val="7E6D67B0"/>
    <w:rsid w:val="7E6D68D5"/>
    <w:rsid w:val="7E6D6C6D"/>
    <w:rsid w:val="7E6D75EF"/>
    <w:rsid w:val="7E6E139B"/>
    <w:rsid w:val="7E6E2528"/>
    <w:rsid w:val="7E6E42D6"/>
    <w:rsid w:val="7E6E636B"/>
    <w:rsid w:val="7E6F077A"/>
    <w:rsid w:val="7E6F4225"/>
    <w:rsid w:val="7E6F5FE6"/>
    <w:rsid w:val="7E70004F"/>
    <w:rsid w:val="7E7019E6"/>
    <w:rsid w:val="7E7044F2"/>
    <w:rsid w:val="7E7062A0"/>
    <w:rsid w:val="7E711ABA"/>
    <w:rsid w:val="7E7126B1"/>
    <w:rsid w:val="7E714ACA"/>
    <w:rsid w:val="7E714CEC"/>
    <w:rsid w:val="7E715EF1"/>
    <w:rsid w:val="7E71642D"/>
    <w:rsid w:val="7E716C04"/>
    <w:rsid w:val="7E717883"/>
    <w:rsid w:val="7E72056F"/>
    <w:rsid w:val="7E722019"/>
    <w:rsid w:val="7E723DC7"/>
    <w:rsid w:val="7E725B75"/>
    <w:rsid w:val="7E730D4D"/>
    <w:rsid w:val="7E732963"/>
    <w:rsid w:val="7E745D91"/>
    <w:rsid w:val="7E746AD9"/>
    <w:rsid w:val="7E747B3F"/>
    <w:rsid w:val="7E75177A"/>
    <w:rsid w:val="7E751B09"/>
    <w:rsid w:val="7E75465E"/>
    <w:rsid w:val="7E756671"/>
    <w:rsid w:val="7E757535"/>
    <w:rsid w:val="7E7613D2"/>
    <w:rsid w:val="7E765829"/>
    <w:rsid w:val="7E766543"/>
    <w:rsid w:val="7E766B58"/>
    <w:rsid w:val="7E767210"/>
    <w:rsid w:val="7E77762F"/>
    <w:rsid w:val="7E780492"/>
    <w:rsid w:val="7E783E10"/>
    <w:rsid w:val="7E786F03"/>
    <w:rsid w:val="7E787F54"/>
    <w:rsid w:val="7E7933A7"/>
    <w:rsid w:val="7E795155"/>
    <w:rsid w:val="7E7A0ECD"/>
    <w:rsid w:val="7E7A26C6"/>
    <w:rsid w:val="7E7B135D"/>
    <w:rsid w:val="7E7C096F"/>
    <w:rsid w:val="7E7C3540"/>
    <w:rsid w:val="7E7C4C45"/>
    <w:rsid w:val="7E7C5A6B"/>
    <w:rsid w:val="7E7C7B61"/>
    <w:rsid w:val="7E7D3B68"/>
    <w:rsid w:val="7E7D6AB2"/>
    <w:rsid w:val="7E7E284B"/>
    <w:rsid w:val="7E7E6C0F"/>
    <w:rsid w:val="7E7E75A1"/>
    <w:rsid w:val="7E7F64E4"/>
    <w:rsid w:val="7E801A1E"/>
    <w:rsid w:val="7E803351"/>
    <w:rsid w:val="7E811F87"/>
    <w:rsid w:val="7E81225C"/>
    <w:rsid w:val="7E815F22"/>
    <w:rsid w:val="7E81604E"/>
    <w:rsid w:val="7E822DF0"/>
    <w:rsid w:val="7E825C71"/>
    <w:rsid w:val="7E833112"/>
    <w:rsid w:val="7E835FD4"/>
    <w:rsid w:val="7E837D82"/>
    <w:rsid w:val="7E851D4C"/>
    <w:rsid w:val="7E85486D"/>
    <w:rsid w:val="7E855B2B"/>
    <w:rsid w:val="7E855D04"/>
    <w:rsid w:val="7E8606EC"/>
    <w:rsid w:val="7E861620"/>
    <w:rsid w:val="7E861841"/>
    <w:rsid w:val="7E862505"/>
    <w:rsid w:val="7E8645F2"/>
    <w:rsid w:val="7E865764"/>
    <w:rsid w:val="7E866A7D"/>
    <w:rsid w:val="7E867872"/>
    <w:rsid w:val="7E870653"/>
    <w:rsid w:val="7E870995"/>
    <w:rsid w:val="7E870FBC"/>
    <w:rsid w:val="7E872A33"/>
    <w:rsid w:val="7E874CA8"/>
    <w:rsid w:val="7E877181"/>
    <w:rsid w:val="7E877A22"/>
    <w:rsid w:val="7E88183C"/>
    <w:rsid w:val="7E881AE3"/>
    <w:rsid w:val="7E8862F2"/>
    <w:rsid w:val="7E886E3D"/>
    <w:rsid w:val="7E8963FB"/>
    <w:rsid w:val="7E8A00A5"/>
    <w:rsid w:val="7E8A22B2"/>
    <w:rsid w:val="7E8A332D"/>
    <w:rsid w:val="7E8A7362"/>
    <w:rsid w:val="7E8B290D"/>
    <w:rsid w:val="7E8B30DA"/>
    <w:rsid w:val="7E8B351C"/>
    <w:rsid w:val="7E8B4E88"/>
    <w:rsid w:val="7E8B6FD4"/>
    <w:rsid w:val="7E8C3035"/>
    <w:rsid w:val="7E8C4F5A"/>
    <w:rsid w:val="7E8D0C00"/>
    <w:rsid w:val="7E8D5B87"/>
    <w:rsid w:val="7E8D79EE"/>
    <w:rsid w:val="7E8E0C4E"/>
    <w:rsid w:val="7E8E361B"/>
    <w:rsid w:val="7E8E3D68"/>
    <w:rsid w:val="7E8E48E0"/>
    <w:rsid w:val="7E8E6727"/>
    <w:rsid w:val="7E8F0526"/>
    <w:rsid w:val="7E8F2BCB"/>
    <w:rsid w:val="7E8F4979"/>
    <w:rsid w:val="7E900F56"/>
    <w:rsid w:val="7E90249F"/>
    <w:rsid w:val="7E905EA6"/>
    <w:rsid w:val="7E9060D1"/>
    <w:rsid w:val="7E906162"/>
    <w:rsid w:val="7E906808"/>
    <w:rsid w:val="7E906943"/>
    <w:rsid w:val="7E907541"/>
    <w:rsid w:val="7E91447B"/>
    <w:rsid w:val="7E921D82"/>
    <w:rsid w:val="7E924469"/>
    <w:rsid w:val="7E925419"/>
    <w:rsid w:val="7E926217"/>
    <w:rsid w:val="7E927CB4"/>
    <w:rsid w:val="7E932BDB"/>
    <w:rsid w:val="7E933261"/>
    <w:rsid w:val="7E93565A"/>
    <w:rsid w:val="7E936BBB"/>
    <w:rsid w:val="7E936BF6"/>
    <w:rsid w:val="7E937AC0"/>
    <w:rsid w:val="7E937B93"/>
    <w:rsid w:val="7E940154"/>
    <w:rsid w:val="7E94162E"/>
    <w:rsid w:val="7E9417C7"/>
    <w:rsid w:val="7E941F8F"/>
    <w:rsid w:val="7E953327"/>
    <w:rsid w:val="7E953F59"/>
    <w:rsid w:val="7E955647"/>
    <w:rsid w:val="7E955D07"/>
    <w:rsid w:val="7E9568C8"/>
    <w:rsid w:val="7E956ECF"/>
    <w:rsid w:val="7E957AB5"/>
    <w:rsid w:val="7E9640E7"/>
    <w:rsid w:val="7E966CF1"/>
    <w:rsid w:val="7E967F16"/>
    <w:rsid w:val="7E971A4F"/>
    <w:rsid w:val="7E972337"/>
    <w:rsid w:val="7E973C90"/>
    <w:rsid w:val="7E9755DB"/>
    <w:rsid w:val="7E98086D"/>
    <w:rsid w:val="7E9808E1"/>
    <w:rsid w:val="7E980C92"/>
    <w:rsid w:val="7E982365"/>
    <w:rsid w:val="7E98251D"/>
    <w:rsid w:val="7E987940"/>
    <w:rsid w:val="7E9940B6"/>
    <w:rsid w:val="7E9941A9"/>
    <w:rsid w:val="7E9957F7"/>
    <w:rsid w:val="7E9975A5"/>
    <w:rsid w:val="7E9A331D"/>
    <w:rsid w:val="7E9A3654"/>
    <w:rsid w:val="7E9A43F7"/>
    <w:rsid w:val="7E9A7A4D"/>
    <w:rsid w:val="7E9B436C"/>
    <w:rsid w:val="7E9B6851"/>
    <w:rsid w:val="7E9C24AA"/>
    <w:rsid w:val="7E9C6D61"/>
    <w:rsid w:val="7E9C7095"/>
    <w:rsid w:val="7E9D11DA"/>
    <w:rsid w:val="7E9D563D"/>
    <w:rsid w:val="7E9D75A1"/>
    <w:rsid w:val="7E9E032E"/>
    <w:rsid w:val="7E9E2E0E"/>
    <w:rsid w:val="7E9E3B91"/>
    <w:rsid w:val="7E9E4BBC"/>
    <w:rsid w:val="7E9E696A"/>
    <w:rsid w:val="7E9E6E13"/>
    <w:rsid w:val="7E9F053D"/>
    <w:rsid w:val="7E9F0934"/>
    <w:rsid w:val="7E9F1A32"/>
    <w:rsid w:val="7E9F26E2"/>
    <w:rsid w:val="7E9F4809"/>
    <w:rsid w:val="7E9F5942"/>
    <w:rsid w:val="7E9F7816"/>
    <w:rsid w:val="7EA055F1"/>
    <w:rsid w:val="7EA06B86"/>
    <w:rsid w:val="7EA103C0"/>
    <w:rsid w:val="7EA1163C"/>
    <w:rsid w:val="7EA11AF9"/>
    <w:rsid w:val="7EA11F59"/>
    <w:rsid w:val="7EA1387F"/>
    <w:rsid w:val="7EA13994"/>
    <w:rsid w:val="7EA146AC"/>
    <w:rsid w:val="7EA159CA"/>
    <w:rsid w:val="7EA1695D"/>
    <w:rsid w:val="7EA22F3E"/>
    <w:rsid w:val="7EA2533F"/>
    <w:rsid w:val="7EA27E3E"/>
    <w:rsid w:val="7EA366EB"/>
    <w:rsid w:val="7EA37DFA"/>
    <w:rsid w:val="7EA37E2C"/>
    <w:rsid w:val="7EA452E1"/>
    <w:rsid w:val="7EA45917"/>
    <w:rsid w:val="7EA45F4A"/>
    <w:rsid w:val="7EA47712"/>
    <w:rsid w:val="7EA50866"/>
    <w:rsid w:val="7EA5274C"/>
    <w:rsid w:val="7EA5419C"/>
    <w:rsid w:val="7EA547C9"/>
    <w:rsid w:val="7EA63200"/>
    <w:rsid w:val="7EA63A70"/>
    <w:rsid w:val="7EA667AD"/>
    <w:rsid w:val="7EA678C1"/>
    <w:rsid w:val="7EA67F14"/>
    <w:rsid w:val="7EA71BC7"/>
    <w:rsid w:val="7EA764FC"/>
    <w:rsid w:val="7EA81E54"/>
    <w:rsid w:val="7EA832EC"/>
    <w:rsid w:val="7EA83C8C"/>
    <w:rsid w:val="7EA87ACE"/>
    <w:rsid w:val="7EA93C83"/>
    <w:rsid w:val="7EA971C4"/>
    <w:rsid w:val="7EA97274"/>
    <w:rsid w:val="7EAA3560"/>
    <w:rsid w:val="7EAA4FED"/>
    <w:rsid w:val="7EAB1087"/>
    <w:rsid w:val="7EAB41AF"/>
    <w:rsid w:val="7EAB4E7D"/>
    <w:rsid w:val="7EAB552B"/>
    <w:rsid w:val="7EAB5559"/>
    <w:rsid w:val="7EAB676C"/>
    <w:rsid w:val="7EAB72D9"/>
    <w:rsid w:val="7EAB7B94"/>
    <w:rsid w:val="7EAC0878"/>
    <w:rsid w:val="7EAC2457"/>
    <w:rsid w:val="7EAC290B"/>
    <w:rsid w:val="7EAC4FE7"/>
    <w:rsid w:val="7EAC683B"/>
    <w:rsid w:val="7EAC7ACB"/>
    <w:rsid w:val="7EAD081A"/>
    <w:rsid w:val="7EAD12A3"/>
    <w:rsid w:val="7EAD4078"/>
    <w:rsid w:val="7EAD48D1"/>
    <w:rsid w:val="7EAD7C61"/>
    <w:rsid w:val="7EAD7C63"/>
    <w:rsid w:val="7EAE06F1"/>
    <w:rsid w:val="7EAF2835"/>
    <w:rsid w:val="7EAF4129"/>
    <w:rsid w:val="7EAF5289"/>
    <w:rsid w:val="7EAF63CF"/>
    <w:rsid w:val="7EAF66F8"/>
    <w:rsid w:val="7EB01FB2"/>
    <w:rsid w:val="7EB02B41"/>
    <w:rsid w:val="7EB048EF"/>
    <w:rsid w:val="7EB128DC"/>
    <w:rsid w:val="7EB17695"/>
    <w:rsid w:val="7EB268B9"/>
    <w:rsid w:val="7EB3379C"/>
    <w:rsid w:val="7EB33CA0"/>
    <w:rsid w:val="7EB35D8C"/>
    <w:rsid w:val="7EB4087F"/>
    <w:rsid w:val="7EB42631"/>
    <w:rsid w:val="7EB4416B"/>
    <w:rsid w:val="7EB443DF"/>
    <w:rsid w:val="7EB4618D"/>
    <w:rsid w:val="7EB47C2A"/>
    <w:rsid w:val="7EB50157"/>
    <w:rsid w:val="7EB51F05"/>
    <w:rsid w:val="7EB52241"/>
    <w:rsid w:val="7EB5263C"/>
    <w:rsid w:val="7EB541E1"/>
    <w:rsid w:val="7EB67508"/>
    <w:rsid w:val="7EB67BD0"/>
    <w:rsid w:val="7EB72D23"/>
    <w:rsid w:val="7EB75C7D"/>
    <w:rsid w:val="7EB75DFB"/>
    <w:rsid w:val="7EB75FF1"/>
    <w:rsid w:val="7EB76DBA"/>
    <w:rsid w:val="7EB77732"/>
    <w:rsid w:val="7EB8258C"/>
    <w:rsid w:val="7EB86D37"/>
    <w:rsid w:val="7EB9089C"/>
    <w:rsid w:val="7EB919F5"/>
    <w:rsid w:val="7EB92052"/>
    <w:rsid w:val="7EB92DEF"/>
    <w:rsid w:val="7EB936A6"/>
    <w:rsid w:val="7EB97C47"/>
    <w:rsid w:val="7EBA17A4"/>
    <w:rsid w:val="7EBA40D7"/>
    <w:rsid w:val="7EBA677F"/>
    <w:rsid w:val="7EBA6AB4"/>
    <w:rsid w:val="7EBB576E"/>
    <w:rsid w:val="7EBB737D"/>
    <w:rsid w:val="7EBC14E6"/>
    <w:rsid w:val="7EBC1EFB"/>
    <w:rsid w:val="7EBC7738"/>
    <w:rsid w:val="7EBD1020"/>
    <w:rsid w:val="7EBD3C31"/>
    <w:rsid w:val="7EBD514A"/>
    <w:rsid w:val="7EBD5ACB"/>
    <w:rsid w:val="7EBD5AE4"/>
    <w:rsid w:val="7EBE2513"/>
    <w:rsid w:val="7EBE525E"/>
    <w:rsid w:val="7EBE700C"/>
    <w:rsid w:val="7EC00FD6"/>
    <w:rsid w:val="7EC01D10"/>
    <w:rsid w:val="7EC05FEB"/>
    <w:rsid w:val="7EC07354"/>
    <w:rsid w:val="7EC108AA"/>
    <w:rsid w:val="7EC10A24"/>
    <w:rsid w:val="7EC119C5"/>
    <w:rsid w:val="7EC11C74"/>
    <w:rsid w:val="7EC133B5"/>
    <w:rsid w:val="7EC14BFD"/>
    <w:rsid w:val="7EC14D4E"/>
    <w:rsid w:val="7EC157C0"/>
    <w:rsid w:val="7EC24845"/>
    <w:rsid w:val="7EC2531B"/>
    <w:rsid w:val="7EC31779"/>
    <w:rsid w:val="7EC32874"/>
    <w:rsid w:val="7EC35CD5"/>
    <w:rsid w:val="7EC363D0"/>
    <w:rsid w:val="7EC37446"/>
    <w:rsid w:val="7EC4193B"/>
    <w:rsid w:val="7EC42148"/>
    <w:rsid w:val="7EC4388E"/>
    <w:rsid w:val="7EC54522"/>
    <w:rsid w:val="7EC55EC3"/>
    <w:rsid w:val="7EC565EC"/>
    <w:rsid w:val="7EC57509"/>
    <w:rsid w:val="7EC618FF"/>
    <w:rsid w:val="7EC65EC0"/>
    <w:rsid w:val="7EC668D2"/>
    <w:rsid w:val="7EC720BE"/>
    <w:rsid w:val="7EC72E17"/>
    <w:rsid w:val="7EC743BC"/>
    <w:rsid w:val="7EC750B4"/>
    <w:rsid w:val="7EC75AE6"/>
    <w:rsid w:val="7EC75BEF"/>
    <w:rsid w:val="7EC76D01"/>
    <w:rsid w:val="7EC76D28"/>
    <w:rsid w:val="7EC7741F"/>
    <w:rsid w:val="7EC81C39"/>
    <w:rsid w:val="7EC82FE7"/>
    <w:rsid w:val="7EC85617"/>
    <w:rsid w:val="7EC85D63"/>
    <w:rsid w:val="7EC860DC"/>
    <w:rsid w:val="7EC87E8B"/>
    <w:rsid w:val="7EC91E57"/>
    <w:rsid w:val="7EC926A3"/>
    <w:rsid w:val="7EC9394D"/>
    <w:rsid w:val="7EC97423"/>
    <w:rsid w:val="7ECA59B1"/>
    <w:rsid w:val="7ECB1729"/>
    <w:rsid w:val="7ECC086B"/>
    <w:rsid w:val="7ECC0E94"/>
    <w:rsid w:val="7ECC297C"/>
    <w:rsid w:val="7ECC5A6D"/>
    <w:rsid w:val="7ECD0EA0"/>
    <w:rsid w:val="7ECD165B"/>
    <w:rsid w:val="7ECD54A1"/>
    <w:rsid w:val="7ECE6B5E"/>
    <w:rsid w:val="7ECF172B"/>
    <w:rsid w:val="7ECF317F"/>
    <w:rsid w:val="7ECF4278"/>
    <w:rsid w:val="7ECF746B"/>
    <w:rsid w:val="7ED013A9"/>
    <w:rsid w:val="7ED10A1D"/>
    <w:rsid w:val="7ED17460"/>
    <w:rsid w:val="7ED22AB7"/>
    <w:rsid w:val="7ED27323"/>
    <w:rsid w:val="7ED30E3D"/>
    <w:rsid w:val="7ED40A54"/>
    <w:rsid w:val="7ED4128B"/>
    <w:rsid w:val="7ED41B50"/>
    <w:rsid w:val="7ED45E83"/>
    <w:rsid w:val="7ED46512"/>
    <w:rsid w:val="7ED54355"/>
    <w:rsid w:val="7ED5435A"/>
    <w:rsid w:val="7ED5582B"/>
    <w:rsid w:val="7ED625A7"/>
    <w:rsid w:val="7ED6414B"/>
    <w:rsid w:val="7ED700CE"/>
    <w:rsid w:val="7ED71104"/>
    <w:rsid w:val="7ED71E1A"/>
    <w:rsid w:val="7ED71E7C"/>
    <w:rsid w:val="7ED726B7"/>
    <w:rsid w:val="7ED76320"/>
    <w:rsid w:val="7ED80300"/>
    <w:rsid w:val="7ED80658"/>
    <w:rsid w:val="7ED80705"/>
    <w:rsid w:val="7ED81975"/>
    <w:rsid w:val="7ED826ED"/>
    <w:rsid w:val="7ED82C1E"/>
    <w:rsid w:val="7ED842A9"/>
    <w:rsid w:val="7ED9163C"/>
    <w:rsid w:val="7ED92098"/>
    <w:rsid w:val="7ED93E46"/>
    <w:rsid w:val="7ED95BF4"/>
    <w:rsid w:val="7ED97616"/>
    <w:rsid w:val="7EDA015E"/>
    <w:rsid w:val="7EDA0FCC"/>
    <w:rsid w:val="7EDA171B"/>
    <w:rsid w:val="7EDA196C"/>
    <w:rsid w:val="7EDA6DCD"/>
    <w:rsid w:val="7EDB2F58"/>
    <w:rsid w:val="7EDB53EC"/>
    <w:rsid w:val="7EDB5E10"/>
    <w:rsid w:val="7EDC1B88"/>
    <w:rsid w:val="7EDC1B9E"/>
    <w:rsid w:val="7EDC1CF7"/>
    <w:rsid w:val="7EDC38F6"/>
    <w:rsid w:val="7EDC3936"/>
    <w:rsid w:val="7EDC56E4"/>
    <w:rsid w:val="7EDC7492"/>
    <w:rsid w:val="7EDD144D"/>
    <w:rsid w:val="7EDD3B60"/>
    <w:rsid w:val="7EDD5088"/>
    <w:rsid w:val="7EDD6D7E"/>
    <w:rsid w:val="7EDE0688"/>
    <w:rsid w:val="7EDE0B71"/>
    <w:rsid w:val="7EDE28DD"/>
    <w:rsid w:val="7EDE320A"/>
    <w:rsid w:val="7EDE76AE"/>
    <w:rsid w:val="7EDF0487"/>
    <w:rsid w:val="7EDF0A1B"/>
    <w:rsid w:val="7EDF169B"/>
    <w:rsid w:val="7EDF308C"/>
    <w:rsid w:val="7EDF3652"/>
    <w:rsid w:val="7EDF4AD0"/>
    <w:rsid w:val="7EDF5636"/>
    <w:rsid w:val="7EE02D77"/>
    <w:rsid w:val="7EE03426"/>
    <w:rsid w:val="7EE051D4"/>
    <w:rsid w:val="7EE07DCE"/>
    <w:rsid w:val="7EE10F4C"/>
    <w:rsid w:val="7EE1125E"/>
    <w:rsid w:val="7EE132AF"/>
    <w:rsid w:val="7EE13CF1"/>
    <w:rsid w:val="7EE21129"/>
    <w:rsid w:val="7EE22BD9"/>
    <w:rsid w:val="7EE23274"/>
    <w:rsid w:val="7EE2719E"/>
    <w:rsid w:val="7EE33B7E"/>
    <w:rsid w:val="7EE346F2"/>
    <w:rsid w:val="7EE35AA8"/>
    <w:rsid w:val="7EE4500E"/>
    <w:rsid w:val="7EE50A3C"/>
    <w:rsid w:val="7EE54599"/>
    <w:rsid w:val="7EE54876"/>
    <w:rsid w:val="7EE606F2"/>
    <w:rsid w:val="7EE61855"/>
    <w:rsid w:val="7EE63C40"/>
    <w:rsid w:val="7EE707BA"/>
    <w:rsid w:val="7EE712E8"/>
    <w:rsid w:val="7EE73B9E"/>
    <w:rsid w:val="7EE750D0"/>
    <w:rsid w:val="7EE752F7"/>
    <w:rsid w:val="7EE77293"/>
    <w:rsid w:val="7EE77C85"/>
    <w:rsid w:val="7EE8299D"/>
    <w:rsid w:val="7EE86DA6"/>
    <w:rsid w:val="7EE96BF2"/>
    <w:rsid w:val="7EE979F0"/>
    <w:rsid w:val="7EE97D42"/>
    <w:rsid w:val="7EEA0460"/>
    <w:rsid w:val="7EEA1BAF"/>
    <w:rsid w:val="7EEA66F1"/>
    <w:rsid w:val="7EEA7E01"/>
    <w:rsid w:val="7EEB01B6"/>
    <w:rsid w:val="7EEB0DF4"/>
    <w:rsid w:val="7EEB147F"/>
    <w:rsid w:val="7EEB1DD0"/>
    <w:rsid w:val="7EEB45C9"/>
    <w:rsid w:val="7EEC1DCB"/>
    <w:rsid w:val="7EEC6371"/>
    <w:rsid w:val="7EEC6CE2"/>
    <w:rsid w:val="7EEC780E"/>
    <w:rsid w:val="7EED5B43"/>
    <w:rsid w:val="7EED78F1"/>
    <w:rsid w:val="7EED7C04"/>
    <w:rsid w:val="7EEE0C91"/>
    <w:rsid w:val="7EEE38DA"/>
    <w:rsid w:val="7EEE39A9"/>
    <w:rsid w:val="7EEE465B"/>
    <w:rsid w:val="7EEE7FCF"/>
    <w:rsid w:val="7EEF2EA9"/>
    <w:rsid w:val="7EEF3669"/>
    <w:rsid w:val="7EEF3862"/>
    <w:rsid w:val="7EEF56D7"/>
    <w:rsid w:val="7EF02DE0"/>
    <w:rsid w:val="7EF04CF2"/>
    <w:rsid w:val="7EF068CC"/>
    <w:rsid w:val="7EF06DF7"/>
    <w:rsid w:val="7EF13521"/>
    <w:rsid w:val="7EF151F8"/>
    <w:rsid w:val="7EF17B41"/>
    <w:rsid w:val="7EF20922"/>
    <w:rsid w:val="7EF20AA2"/>
    <w:rsid w:val="7EF23159"/>
    <w:rsid w:val="7EF24B36"/>
    <w:rsid w:val="7EF33E8F"/>
    <w:rsid w:val="7EF3441D"/>
    <w:rsid w:val="7EF37878"/>
    <w:rsid w:val="7EF40C80"/>
    <w:rsid w:val="7EF42A2E"/>
    <w:rsid w:val="7EF44B03"/>
    <w:rsid w:val="7EF44D7E"/>
    <w:rsid w:val="7EF50554"/>
    <w:rsid w:val="7EF50A2D"/>
    <w:rsid w:val="7EF50D8A"/>
    <w:rsid w:val="7EF526B3"/>
    <w:rsid w:val="7EF550E0"/>
    <w:rsid w:val="7EF61FF4"/>
    <w:rsid w:val="7EF6705B"/>
    <w:rsid w:val="7EF71F8B"/>
    <w:rsid w:val="7EF7251E"/>
    <w:rsid w:val="7EF742CC"/>
    <w:rsid w:val="7EF74BC5"/>
    <w:rsid w:val="7EF8113A"/>
    <w:rsid w:val="7EF812DA"/>
    <w:rsid w:val="7EF81D0E"/>
    <w:rsid w:val="7EF822F5"/>
    <w:rsid w:val="7EF82E56"/>
    <w:rsid w:val="7EF83AAB"/>
    <w:rsid w:val="7EF90817"/>
    <w:rsid w:val="7EFA252B"/>
    <w:rsid w:val="7EFA4178"/>
    <w:rsid w:val="7EFB0260"/>
    <w:rsid w:val="7EFB0D25"/>
    <w:rsid w:val="7EFB1E05"/>
    <w:rsid w:val="7EFB200E"/>
    <w:rsid w:val="7EFB49D6"/>
    <w:rsid w:val="7EFC1553"/>
    <w:rsid w:val="7EFC18E2"/>
    <w:rsid w:val="7EFC3F57"/>
    <w:rsid w:val="7EFC5D86"/>
    <w:rsid w:val="7EFC6838"/>
    <w:rsid w:val="7EFD75C8"/>
    <w:rsid w:val="7EFE0EE8"/>
    <w:rsid w:val="7EFE6DA7"/>
    <w:rsid w:val="7EFF7307"/>
    <w:rsid w:val="7EFF755D"/>
    <w:rsid w:val="7EFF7C24"/>
    <w:rsid w:val="7F0013D2"/>
    <w:rsid w:val="7F00192A"/>
    <w:rsid w:val="7F0039D0"/>
    <w:rsid w:val="7F005876"/>
    <w:rsid w:val="7F007624"/>
    <w:rsid w:val="7F010848"/>
    <w:rsid w:val="7F01111A"/>
    <w:rsid w:val="7F012EA5"/>
    <w:rsid w:val="7F016B3E"/>
    <w:rsid w:val="7F016EF9"/>
    <w:rsid w:val="7F0215EE"/>
    <w:rsid w:val="7F025E16"/>
    <w:rsid w:val="7F0328DE"/>
    <w:rsid w:val="7F03385F"/>
    <w:rsid w:val="7F037115"/>
    <w:rsid w:val="7F0406D6"/>
    <w:rsid w:val="7F047BEE"/>
    <w:rsid w:val="7F052E8D"/>
    <w:rsid w:val="7F0569E9"/>
    <w:rsid w:val="7F0572A3"/>
    <w:rsid w:val="7F061981"/>
    <w:rsid w:val="7F062CD8"/>
    <w:rsid w:val="7F064B74"/>
    <w:rsid w:val="7F070B46"/>
    <w:rsid w:val="7F077A84"/>
    <w:rsid w:val="7F080287"/>
    <w:rsid w:val="7F0864D9"/>
    <w:rsid w:val="7F08657D"/>
    <w:rsid w:val="7F0908EE"/>
    <w:rsid w:val="7F0945F1"/>
    <w:rsid w:val="7F0953CB"/>
    <w:rsid w:val="7F097D3F"/>
    <w:rsid w:val="7F0A046A"/>
    <w:rsid w:val="7F0A11C0"/>
    <w:rsid w:val="7F0A1442"/>
    <w:rsid w:val="7F0A2251"/>
    <w:rsid w:val="7F0A5CC2"/>
    <w:rsid w:val="7F0B0AEA"/>
    <w:rsid w:val="7F0B2754"/>
    <w:rsid w:val="7F0B5149"/>
    <w:rsid w:val="7F0B7D77"/>
    <w:rsid w:val="7F0C1646"/>
    <w:rsid w:val="7F0C3488"/>
    <w:rsid w:val="7F0C421B"/>
    <w:rsid w:val="7F0C5FC9"/>
    <w:rsid w:val="7F0D1C9A"/>
    <w:rsid w:val="7F0D3280"/>
    <w:rsid w:val="7F0D34EF"/>
    <w:rsid w:val="7F0D3AEF"/>
    <w:rsid w:val="7F0E3991"/>
    <w:rsid w:val="7F0E50CE"/>
    <w:rsid w:val="7F0F02AF"/>
    <w:rsid w:val="7F0F1615"/>
    <w:rsid w:val="7F0F7867"/>
    <w:rsid w:val="7F1003C5"/>
    <w:rsid w:val="7F10287E"/>
    <w:rsid w:val="7F104D76"/>
    <w:rsid w:val="7F1072EB"/>
    <w:rsid w:val="7F107805"/>
    <w:rsid w:val="7F107D8B"/>
    <w:rsid w:val="7F111329"/>
    <w:rsid w:val="7F111831"/>
    <w:rsid w:val="7F1135E0"/>
    <w:rsid w:val="7F1151FE"/>
    <w:rsid w:val="7F116BFC"/>
    <w:rsid w:val="7F121106"/>
    <w:rsid w:val="7F121C37"/>
    <w:rsid w:val="7F1255AA"/>
    <w:rsid w:val="7F125CC2"/>
    <w:rsid w:val="7F126D13"/>
    <w:rsid w:val="7F1272D5"/>
    <w:rsid w:val="7F127C54"/>
    <w:rsid w:val="7F132C5D"/>
    <w:rsid w:val="7F1365A6"/>
    <w:rsid w:val="7F136DA3"/>
    <w:rsid w:val="7F1372DE"/>
    <w:rsid w:val="7F137648"/>
    <w:rsid w:val="7F137E33"/>
    <w:rsid w:val="7F141322"/>
    <w:rsid w:val="7F1429AC"/>
    <w:rsid w:val="7F1430D0"/>
    <w:rsid w:val="7F143A47"/>
    <w:rsid w:val="7F14421D"/>
    <w:rsid w:val="7F144E7E"/>
    <w:rsid w:val="7F155D61"/>
    <w:rsid w:val="7F156375"/>
    <w:rsid w:val="7F1629A4"/>
    <w:rsid w:val="7F166E48"/>
    <w:rsid w:val="7F17496E"/>
    <w:rsid w:val="7F17585A"/>
    <w:rsid w:val="7F17671C"/>
    <w:rsid w:val="7F176A33"/>
    <w:rsid w:val="7F177E9D"/>
    <w:rsid w:val="7F1809C0"/>
    <w:rsid w:val="7F182BC0"/>
    <w:rsid w:val="7F183AC4"/>
    <w:rsid w:val="7F18735A"/>
    <w:rsid w:val="7F1906E6"/>
    <w:rsid w:val="7F192BA7"/>
    <w:rsid w:val="7F192E0E"/>
    <w:rsid w:val="7F193B52"/>
    <w:rsid w:val="7F1942AE"/>
    <w:rsid w:val="7F196938"/>
    <w:rsid w:val="7F1A17C7"/>
    <w:rsid w:val="7F1A20D3"/>
    <w:rsid w:val="7F1A341D"/>
    <w:rsid w:val="7F1A602E"/>
    <w:rsid w:val="7F1B0BFD"/>
    <w:rsid w:val="7F1B26B0"/>
    <w:rsid w:val="7F1B5BB6"/>
    <w:rsid w:val="7F1B620C"/>
    <w:rsid w:val="7F1B7FBA"/>
    <w:rsid w:val="7F1C1F84"/>
    <w:rsid w:val="7F1C3D32"/>
    <w:rsid w:val="7F1C46A5"/>
    <w:rsid w:val="7F1D02C6"/>
    <w:rsid w:val="7F1D08FE"/>
    <w:rsid w:val="7F1D117D"/>
    <w:rsid w:val="7F1E147C"/>
    <w:rsid w:val="7F1E3F4E"/>
    <w:rsid w:val="7F1E4D9B"/>
    <w:rsid w:val="7F1E7AAB"/>
    <w:rsid w:val="7F1F1200"/>
    <w:rsid w:val="7F1F4894"/>
    <w:rsid w:val="7F20405A"/>
    <w:rsid w:val="7F2069CC"/>
    <w:rsid w:val="7F207CC7"/>
    <w:rsid w:val="7F211349"/>
    <w:rsid w:val="7F2133F7"/>
    <w:rsid w:val="7F21759B"/>
    <w:rsid w:val="7F217F57"/>
    <w:rsid w:val="7F223776"/>
    <w:rsid w:val="7F2257ED"/>
    <w:rsid w:val="7F233313"/>
    <w:rsid w:val="7F2350C1"/>
    <w:rsid w:val="7F241402"/>
    <w:rsid w:val="7F24193A"/>
    <w:rsid w:val="7F2435F9"/>
    <w:rsid w:val="7F243BE2"/>
    <w:rsid w:val="7F244B19"/>
    <w:rsid w:val="7F245296"/>
    <w:rsid w:val="7F2476E2"/>
    <w:rsid w:val="7F250E39"/>
    <w:rsid w:val="7F253467"/>
    <w:rsid w:val="7F262437"/>
    <w:rsid w:val="7F262599"/>
    <w:rsid w:val="7F262BDB"/>
    <w:rsid w:val="7F263665"/>
    <w:rsid w:val="7F264BB1"/>
    <w:rsid w:val="7F266502"/>
    <w:rsid w:val="7F277C22"/>
    <w:rsid w:val="7F282052"/>
    <w:rsid w:val="7F2826D7"/>
    <w:rsid w:val="7F286B7B"/>
    <w:rsid w:val="7F293BA1"/>
    <w:rsid w:val="7F29749B"/>
    <w:rsid w:val="7F2A46A1"/>
    <w:rsid w:val="7F2A5E01"/>
    <w:rsid w:val="7F2A6A9E"/>
    <w:rsid w:val="7F2A74E0"/>
    <w:rsid w:val="7F2B77A3"/>
    <w:rsid w:val="7F2C0419"/>
    <w:rsid w:val="7F2C0C33"/>
    <w:rsid w:val="7F2C157B"/>
    <w:rsid w:val="7F2C21C7"/>
    <w:rsid w:val="7F2C39D1"/>
    <w:rsid w:val="7F2C666B"/>
    <w:rsid w:val="7F2C6697"/>
    <w:rsid w:val="7F2C7E18"/>
    <w:rsid w:val="7F2D203D"/>
    <w:rsid w:val="7F2D4191"/>
    <w:rsid w:val="7F2D5F40"/>
    <w:rsid w:val="7F2E23E3"/>
    <w:rsid w:val="7F2E3FB7"/>
    <w:rsid w:val="7F2E49C9"/>
    <w:rsid w:val="7F2E4D9B"/>
    <w:rsid w:val="7F2E5100"/>
    <w:rsid w:val="7F2E6DFB"/>
    <w:rsid w:val="7F2F0CF5"/>
    <w:rsid w:val="7F2F1CB8"/>
    <w:rsid w:val="7F301FEE"/>
    <w:rsid w:val="7F313615"/>
    <w:rsid w:val="7F313C82"/>
    <w:rsid w:val="7F3163DB"/>
    <w:rsid w:val="7F3217A8"/>
    <w:rsid w:val="7F3234D0"/>
    <w:rsid w:val="7F323556"/>
    <w:rsid w:val="7F32566B"/>
    <w:rsid w:val="7F326405"/>
    <w:rsid w:val="7F326EB3"/>
    <w:rsid w:val="7F33062F"/>
    <w:rsid w:val="7F3379FA"/>
    <w:rsid w:val="7F34107C"/>
    <w:rsid w:val="7F3511B0"/>
    <w:rsid w:val="7F353426"/>
    <w:rsid w:val="7F3547A1"/>
    <w:rsid w:val="7F357735"/>
    <w:rsid w:val="7F362046"/>
    <w:rsid w:val="7F36238C"/>
    <w:rsid w:val="7F362986"/>
    <w:rsid w:val="7F363046"/>
    <w:rsid w:val="7F364DF4"/>
    <w:rsid w:val="7F370B6C"/>
    <w:rsid w:val="7F374941"/>
    <w:rsid w:val="7F3815A8"/>
    <w:rsid w:val="7F3825AC"/>
    <w:rsid w:val="7F385010"/>
    <w:rsid w:val="7F390BA5"/>
    <w:rsid w:val="7F39122D"/>
    <w:rsid w:val="7F39174E"/>
    <w:rsid w:val="7F392583"/>
    <w:rsid w:val="7F392B36"/>
    <w:rsid w:val="7F3948E4"/>
    <w:rsid w:val="7F394978"/>
    <w:rsid w:val="7F397C41"/>
    <w:rsid w:val="7F3A7287"/>
    <w:rsid w:val="7F3A7D40"/>
    <w:rsid w:val="7F3B0866"/>
    <w:rsid w:val="7F3B240A"/>
    <w:rsid w:val="7F3B29A8"/>
    <w:rsid w:val="7F3B4503"/>
    <w:rsid w:val="7F3B5265"/>
    <w:rsid w:val="7F3B775F"/>
    <w:rsid w:val="7F3C0BA8"/>
    <w:rsid w:val="7F3C51FD"/>
    <w:rsid w:val="7F3C6183"/>
    <w:rsid w:val="7F3D2627"/>
    <w:rsid w:val="7F3D36A4"/>
    <w:rsid w:val="7F3D43D5"/>
    <w:rsid w:val="7F3E0143"/>
    <w:rsid w:val="7F3E014D"/>
    <w:rsid w:val="7F3E5C19"/>
    <w:rsid w:val="7F3E639F"/>
    <w:rsid w:val="7F3E7886"/>
    <w:rsid w:val="7F3F466E"/>
    <w:rsid w:val="7F3F48EB"/>
    <w:rsid w:val="7F3F7D90"/>
    <w:rsid w:val="7F4000B7"/>
    <w:rsid w:val="7F400391"/>
    <w:rsid w:val="7F40366E"/>
    <w:rsid w:val="7F405C73"/>
    <w:rsid w:val="7F4079CE"/>
    <w:rsid w:val="7F407F29"/>
    <w:rsid w:val="7F41353E"/>
    <w:rsid w:val="7F413799"/>
    <w:rsid w:val="7F414B37"/>
    <w:rsid w:val="7F416C16"/>
    <w:rsid w:val="7F420B28"/>
    <w:rsid w:val="7F4219EB"/>
    <w:rsid w:val="7F422BF8"/>
    <w:rsid w:val="7F424E23"/>
    <w:rsid w:val="7F427E46"/>
    <w:rsid w:val="7F430EB0"/>
    <w:rsid w:val="7F4348D4"/>
    <w:rsid w:val="7F436B33"/>
    <w:rsid w:val="7F437511"/>
    <w:rsid w:val="7F44104A"/>
    <w:rsid w:val="7F4438A6"/>
    <w:rsid w:val="7F44737C"/>
    <w:rsid w:val="7F4514DB"/>
    <w:rsid w:val="7F4536DA"/>
    <w:rsid w:val="7F45477D"/>
    <w:rsid w:val="7F455308"/>
    <w:rsid w:val="7F45772D"/>
    <w:rsid w:val="7F457BAF"/>
    <w:rsid w:val="7F464B70"/>
    <w:rsid w:val="7F466894"/>
    <w:rsid w:val="7F4671ED"/>
    <w:rsid w:val="7F470453"/>
    <w:rsid w:val="7F475253"/>
    <w:rsid w:val="7F47583B"/>
    <w:rsid w:val="7F476C80"/>
    <w:rsid w:val="7F477001"/>
    <w:rsid w:val="7F480FCB"/>
    <w:rsid w:val="7F482D79"/>
    <w:rsid w:val="7F491DDD"/>
    <w:rsid w:val="7F492D2C"/>
    <w:rsid w:val="7F493D67"/>
    <w:rsid w:val="7F494366"/>
    <w:rsid w:val="7F49446D"/>
    <w:rsid w:val="7F494C61"/>
    <w:rsid w:val="7F496A94"/>
    <w:rsid w:val="7F4A078C"/>
    <w:rsid w:val="7F4A2909"/>
    <w:rsid w:val="7F4A48BF"/>
    <w:rsid w:val="7F4A4A82"/>
    <w:rsid w:val="7F4A4D43"/>
    <w:rsid w:val="7F4A7556"/>
    <w:rsid w:val="7F4B028D"/>
    <w:rsid w:val="7F4B151A"/>
    <w:rsid w:val="7F4B321F"/>
    <w:rsid w:val="7F4B4DE5"/>
    <w:rsid w:val="7F4B5AE7"/>
    <w:rsid w:val="7F4B6E94"/>
    <w:rsid w:val="7F4C0ABC"/>
    <w:rsid w:val="7F4C2471"/>
    <w:rsid w:val="7F4C2DEE"/>
    <w:rsid w:val="7F4C4618"/>
    <w:rsid w:val="7F4D0390"/>
    <w:rsid w:val="7F4D3A95"/>
    <w:rsid w:val="7F4D520C"/>
    <w:rsid w:val="7F4D5303"/>
    <w:rsid w:val="7F4E0D6B"/>
    <w:rsid w:val="7F4E1074"/>
    <w:rsid w:val="7F4E65E2"/>
    <w:rsid w:val="7F4F2C9A"/>
    <w:rsid w:val="7F4F36A6"/>
    <w:rsid w:val="7F4F3FB3"/>
    <w:rsid w:val="7F4F4108"/>
    <w:rsid w:val="7F4F59B8"/>
    <w:rsid w:val="7F4F5EB6"/>
    <w:rsid w:val="7F50002E"/>
    <w:rsid w:val="7F511C2E"/>
    <w:rsid w:val="7F5160D2"/>
    <w:rsid w:val="7F527A69"/>
    <w:rsid w:val="7F530F77"/>
    <w:rsid w:val="7F5317CD"/>
    <w:rsid w:val="7F531E4A"/>
    <w:rsid w:val="7F533BF8"/>
    <w:rsid w:val="7F536173"/>
    <w:rsid w:val="7F5369AF"/>
    <w:rsid w:val="7F537FBE"/>
    <w:rsid w:val="7F54171E"/>
    <w:rsid w:val="7F544153"/>
    <w:rsid w:val="7F546866"/>
    <w:rsid w:val="7F547970"/>
    <w:rsid w:val="7F547E3F"/>
    <w:rsid w:val="7F552A10"/>
    <w:rsid w:val="7F55409F"/>
    <w:rsid w:val="7F555E96"/>
    <w:rsid w:val="7F5565A1"/>
    <w:rsid w:val="7F55700A"/>
    <w:rsid w:val="7F557819"/>
    <w:rsid w:val="7F563152"/>
    <w:rsid w:val="7F5636E8"/>
    <w:rsid w:val="7F563EA0"/>
    <w:rsid w:val="7F56511D"/>
    <w:rsid w:val="7F566A71"/>
    <w:rsid w:val="7F573575"/>
    <w:rsid w:val="7F573E2D"/>
    <w:rsid w:val="7F573F44"/>
    <w:rsid w:val="7F574A64"/>
    <w:rsid w:val="7F587460"/>
    <w:rsid w:val="7F587EE0"/>
    <w:rsid w:val="7F590AE3"/>
    <w:rsid w:val="7F5918CE"/>
    <w:rsid w:val="7F5921DE"/>
    <w:rsid w:val="7F596D35"/>
    <w:rsid w:val="7F5A28F1"/>
    <w:rsid w:val="7F5A3504"/>
    <w:rsid w:val="7F5A6348"/>
    <w:rsid w:val="7F5B1A34"/>
    <w:rsid w:val="7F5B485B"/>
    <w:rsid w:val="7F5B6882"/>
    <w:rsid w:val="7F5B7AD3"/>
    <w:rsid w:val="7F5C023C"/>
    <w:rsid w:val="7F5C3C5E"/>
    <w:rsid w:val="7F5D0244"/>
    <w:rsid w:val="7F5D0BF0"/>
    <w:rsid w:val="7F5D1B27"/>
    <w:rsid w:val="7F5D1CE6"/>
    <w:rsid w:val="7F5D4A77"/>
    <w:rsid w:val="7F5D6825"/>
    <w:rsid w:val="7F5E256F"/>
    <w:rsid w:val="7F5E259D"/>
    <w:rsid w:val="7F5E2974"/>
    <w:rsid w:val="7F5F1A2C"/>
    <w:rsid w:val="7F6000C3"/>
    <w:rsid w:val="7F6058D4"/>
    <w:rsid w:val="7F606315"/>
    <w:rsid w:val="7F606CA6"/>
    <w:rsid w:val="7F607170"/>
    <w:rsid w:val="7F607E23"/>
    <w:rsid w:val="7F610979"/>
    <w:rsid w:val="7F6309E3"/>
    <w:rsid w:val="7F631961"/>
    <w:rsid w:val="7F63284D"/>
    <w:rsid w:val="7F6349EF"/>
    <w:rsid w:val="7F63630D"/>
    <w:rsid w:val="7F636CDA"/>
    <w:rsid w:val="7F637BB3"/>
    <w:rsid w:val="7F640AEF"/>
    <w:rsid w:val="7F641075"/>
    <w:rsid w:val="7F64228C"/>
    <w:rsid w:val="7F64263C"/>
    <w:rsid w:val="7F642A7C"/>
    <w:rsid w:val="7F643282"/>
    <w:rsid w:val="7F645E05"/>
    <w:rsid w:val="7F650DC4"/>
    <w:rsid w:val="7F65102F"/>
    <w:rsid w:val="7F65392B"/>
    <w:rsid w:val="7F65609B"/>
    <w:rsid w:val="7F6569F5"/>
    <w:rsid w:val="7F6617DD"/>
    <w:rsid w:val="7F66325E"/>
    <w:rsid w:val="7F671AF0"/>
    <w:rsid w:val="7F672F51"/>
    <w:rsid w:val="7F673200"/>
    <w:rsid w:val="7F67422D"/>
    <w:rsid w:val="7F674918"/>
    <w:rsid w:val="7F6779F6"/>
    <w:rsid w:val="7F680E86"/>
    <w:rsid w:val="7F6846CA"/>
    <w:rsid w:val="7F685284"/>
    <w:rsid w:val="7F686098"/>
    <w:rsid w:val="7F686F78"/>
    <w:rsid w:val="7F69341C"/>
    <w:rsid w:val="7F6A14AD"/>
    <w:rsid w:val="7F6A1770"/>
    <w:rsid w:val="7F6A56F8"/>
    <w:rsid w:val="7F6A7194"/>
    <w:rsid w:val="7F6A7489"/>
    <w:rsid w:val="7F6A79F4"/>
    <w:rsid w:val="7F6B61F5"/>
    <w:rsid w:val="7F6B646A"/>
    <w:rsid w:val="7F6C019B"/>
    <w:rsid w:val="7F6C1F9B"/>
    <w:rsid w:val="7F6C4CBA"/>
    <w:rsid w:val="7F6C62C4"/>
    <w:rsid w:val="7F6C6633"/>
    <w:rsid w:val="7F6C6A68"/>
    <w:rsid w:val="7F6C792D"/>
    <w:rsid w:val="7F6C7FA9"/>
    <w:rsid w:val="7F6D01AC"/>
    <w:rsid w:val="7F6D2127"/>
    <w:rsid w:val="7F6D2970"/>
    <w:rsid w:val="7F6D2D2E"/>
    <w:rsid w:val="7F6D2E8F"/>
    <w:rsid w:val="7F6D33C0"/>
    <w:rsid w:val="7F6D458E"/>
    <w:rsid w:val="7F6D5256"/>
    <w:rsid w:val="7F6D61A2"/>
    <w:rsid w:val="7F6E0F9F"/>
    <w:rsid w:val="7F6E2D63"/>
    <w:rsid w:val="7F6E61F6"/>
    <w:rsid w:val="7F6F0565"/>
    <w:rsid w:val="7F6F104E"/>
    <w:rsid w:val="7F6F608D"/>
    <w:rsid w:val="7F6F6558"/>
    <w:rsid w:val="7F703475"/>
    <w:rsid w:val="7F704965"/>
    <w:rsid w:val="7F707868"/>
    <w:rsid w:val="7F710522"/>
    <w:rsid w:val="7F7116B7"/>
    <w:rsid w:val="7F7127D3"/>
    <w:rsid w:val="7F713678"/>
    <w:rsid w:val="7F713732"/>
    <w:rsid w:val="7F713CAD"/>
    <w:rsid w:val="7F721BA4"/>
    <w:rsid w:val="7F722E84"/>
    <w:rsid w:val="7F723710"/>
    <w:rsid w:val="7F723C0A"/>
    <w:rsid w:val="7F7333C7"/>
    <w:rsid w:val="7F73429A"/>
    <w:rsid w:val="7F737DF6"/>
    <w:rsid w:val="7F741A8A"/>
    <w:rsid w:val="7F741DC0"/>
    <w:rsid w:val="7F74691F"/>
    <w:rsid w:val="7F746B37"/>
    <w:rsid w:val="7F753FEA"/>
    <w:rsid w:val="7F757831"/>
    <w:rsid w:val="7F761695"/>
    <w:rsid w:val="7F763489"/>
    <w:rsid w:val="7F765B38"/>
    <w:rsid w:val="7F76738F"/>
    <w:rsid w:val="7F7703B2"/>
    <w:rsid w:val="7F771C7A"/>
    <w:rsid w:val="7F7731D8"/>
    <w:rsid w:val="7F775D20"/>
    <w:rsid w:val="7F775DA9"/>
    <w:rsid w:val="7F7809DC"/>
    <w:rsid w:val="7F7818B1"/>
    <w:rsid w:val="7F78365F"/>
    <w:rsid w:val="7F78540D"/>
    <w:rsid w:val="7F78656C"/>
    <w:rsid w:val="7F786E6F"/>
    <w:rsid w:val="7F791185"/>
    <w:rsid w:val="7F791E0A"/>
    <w:rsid w:val="7F7973D7"/>
    <w:rsid w:val="7F7A18B3"/>
    <w:rsid w:val="7F7B0A9E"/>
    <w:rsid w:val="7F7B4EFD"/>
    <w:rsid w:val="7F7B5588"/>
    <w:rsid w:val="7F7B55BF"/>
    <w:rsid w:val="7F7B6CAB"/>
    <w:rsid w:val="7F7C3093"/>
    <w:rsid w:val="7F7C79EC"/>
    <w:rsid w:val="7F7D0C75"/>
    <w:rsid w:val="7F7D2184"/>
    <w:rsid w:val="7F7D263C"/>
    <w:rsid w:val="7F7D4471"/>
    <w:rsid w:val="7F7D6EC7"/>
    <w:rsid w:val="7F7D72DA"/>
    <w:rsid w:val="7F7E49ED"/>
    <w:rsid w:val="7F7E518E"/>
    <w:rsid w:val="7F7E68AA"/>
    <w:rsid w:val="7F7E6B84"/>
    <w:rsid w:val="7F7F1FC9"/>
    <w:rsid w:val="7F7F57DF"/>
    <w:rsid w:val="7F8006CB"/>
    <w:rsid w:val="7F8008A5"/>
    <w:rsid w:val="7F800A38"/>
    <w:rsid w:val="7F801848"/>
    <w:rsid w:val="7F802513"/>
    <w:rsid w:val="7F802F37"/>
    <w:rsid w:val="7F8042C1"/>
    <w:rsid w:val="7F811053"/>
    <w:rsid w:val="7F815CF0"/>
    <w:rsid w:val="7F816C75"/>
    <w:rsid w:val="7F8170D0"/>
    <w:rsid w:val="7F817FF6"/>
    <w:rsid w:val="7F820039"/>
    <w:rsid w:val="7F820E50"/>
    <w:rsid w:val="7F821A2C"/>
    <w:rsid w:val="7F8244DD"/>
    <w:rsid w:val="7F8245FD"/>
    <w:rsid w:val="7F826059"/>
    <w:rsid w:val="7F830F35"/>
    <w:rsid w:val="7F833DB1"/>
    <w:rsid w:val="7F83434C"/>
    <w:rsid w:val="7F846D33"/>
    <w:rsid w:val="7F8504F8"/>
    <w:rsid w:val="7F851F3F"/>
    <w:rsid w:val="7F85277A"/>
    <w:rsid w:val="7F852C09"/>
    <w:rsid w:val="7F857B2A"/>
    <w:rsid w:val="7F86183D"/>
    <w:rsid w:val="7F863A19"/>
    <w:rsid w:val="7F8653A8"/>
    <w:rsid w:val="7F865FCA"/>
    <w:rsid w:val="7F8674F6"/>
    <w:rsid w:val="7F87019C"/>
    <w:rsid w:val="7F8731B8"/>
    <w:rsid w:val="7F875301"/>
    <w:rsid w:val="7F875650"/>
    <w:rsid w:val="7F8813C8"/>
    <w:rsid w:val="7F881B3D"/>
    <w:rsid w:val="7F8838B8"/>
    <w:rsid w:val="7F884064"/>
    <w:rsid w:val="7F885270"/>
    <w:rsid w:val="7F890AF5"/>
    <w:rsid w:val="7F893E18"/>
    <w:rsid w:val="7F89586C"/>
    <w:rsid w:val="7F896F46"/>
    <w:rsid w:val="7F89761A"/>
    <w:rsid w:val="7F897CA1"/>
    <w:rsid w:val="7F897F8F"/>
    <w:rsid w:val="7F8A12DD"/>
    <w:rsid w:val="7F8A15E4"/>
    <w:rsid w:val="7F8A1C74"/>
    <w:rsid w:val="7F8A3392"/>
    <w:rsid w:val="7F8B15BE"/>
    <w:rsid w:val="7F8B5C4B"/>
    <w:rsid w:val="7F8B616D"/>
    <w:rsid w:val="7F8B7D44"/>
    <w:rsid w:val="7F8C0EB8"/>
    <w:rsid w:val="7F8C4B62"/>
    <w:rsid w:val="7F8C7C02"/>
    <w:rsid w:val="7F8D2B10"/>
    <w:rsid w:val="7F8D69DE"/>
    <w:rsid w:val="7F8D6B3F"/>
    <w:rsid w:val="7F8E1C4B"/>
    <w:rsid w:val="7F8E25E6"/>
    <w:rsid w:val="7F8E2E82"/>
    <w:rsid w:val="7F8E618D"/>
    <w:rsid w:val="7F8E7FCF"/>
    <w:rsid w:val="7F8F354F"/>
    <w:rsid w:val="7F8F453B"/>
    <w:rsid w:val="7F9000C3"/>
    <w:rsid w:val="7F900239"/>
    <w:rsid w:val="7F9015E7"/>
    <w:rsid w:val="7F903196"/>
    <w:rsid w:val="7F9046EA"/>
    <w:rsid w:val="7F9047D2"/>
    <w:rsid w:val="7F9073FD"/>
    <w:rsid w:val="7F910091"/>
    <w:rsid w:val="7F911E01"/>
    <w:rsid w:val="7F912972"/>
    <w:rsid w:val="7F914720"/>
    <w:rsid w:val="7F914F94"/>
    <w:rsid w:val="7F9164CE"/>
    <w:rsid w:val="7F921CA1"/>
    <w:rsid w:val="7F923FF5"/>
    <w:rsid w:val="7F92690A"/>
    <w:rsid w:val="7F933E41"/>
    <w:rsid w:val="7F945FBF"/>
    <w:rsid w:val="7F947645"/>
    <w:rsid w:val="7F95067F"/>
    <w:rsid w:val="7F951188"/>
    <w:rsid w:val="7F951C98"/>
    <w:rsid w:val="7F9603D2"/>
    <w:rsid w:val="7F961D37"/>
    <w:rsid w:val="7F962AD7"/>
    <w:rsid w:val="7F963AE5"/>
    <w:rsid w:val="7F963F47"/>
    <w:rsid w:val="7F965307"/>
    <w:rsid w:val="7F966F16"/>
    <w:rsid w:val="7F967F89"/>
    <w:rsid w:val="7F971A73"/>
    <w:rsid w:val="7F972656"/>
    <w:rsid w:val="7F9745B4"/>
    <w:rsid w:val="7F974C5A"/>
    <w:rsid w:val="7F9803E6"/>
    <w:rsid w:val="7F983C2C"/>
    <w:rsid w:val="7F983C52"/>
    <w:rsid w:val="7F983D01"/>
    <w:rsid w:val="7F984952"/>
    <w:rsid w:val="7F985AAF"/>
    <w:rsid w:val="7F991E36"/>
    <w:rsid w:val="7F9957C5"/>
    <w:rsid w:val="7F99741A"/>
    <w:rsid w:val="7F9A1827"/>
    <w:rsid w:val="7F9A254A"/>
    <w:rsid w:val="7F9A492E"/>
    <w:rsid w:val="7F9A630B"/>
    <w:rsid w:val="7F9A7364"/>
    <w:rsid w:val="7F9A7945"/>
    <w:rsid w:val="7F9B10FB"/>
    <w:rsid w:val="7F9B32C9"/>
    <w:rsid w:val="7F9B3D14"/>
    <w:rsid w:val="7F9B559F"/>
    <w:rsid w:val="7F9B72FE"/>
    <w:rsid w:val="7F9B734D"/>
    <w:rsid w:val="7F9C33C8"/>
    <w:rsid w:val="7F9C372F"/>
    <w:rsid w:val="7F9C51A4"/>
    <w:rsid w:val="7F9C5BB3"/>
    <w:rsid w:val="7F9D1317"/>
    <w:rsid w:val="7F9D2975"/>
    <w:rsid w:val="7F9D2B3C"/>
    <w:rsid w:val="7F9D30C5"/>
    <w:rsid w:val="7F9D350F"/>
    <w:rsid w:val="7F9D4E73"/>
    <w:rsid w:val="7F9E0BEB"/>
    <w:rsid w:val="7F9E1649"/>
    <w:rsid w:val="7F9E1BDA"/>
    <w:rsid w:val="7F9E2999"/>
    <w:rsid w:val="7F9E60BF"/>
    <w:rsid w:val="7F9E6796"/>
    <w:rsid w:val="7F9F23E4"/>
    <w:rsid w:val="7F9F508F"/>
    <w:rsid w:val="7FA02BB5"/>
    <w:rsid w:val="7FA04963"/>
    <w:rsid w:val="7FA0534F"/>
    <w:rsid w:val="7FA06711"/>
    <w:rsid w:val="7FA11D62"/>
    <w:rsid w:val="7FA16292"/>
    <w:rsid w:val="7FA206DC"/>
    <w:rsid w:val="7FA2248A"/>
    <w:rsid w:val="7FA2692E"/>
    <w:rsid w:val="7FA27A05"/>
    <w:rsid w:val="7FA27DB1"/>
    <w:rsid w:val="7FA30DC4"/>
    <w:rsid w:val="7FA33936"/>
    <w:rsid w:val="7FA35EAD"/>
    <w:rsid w:val="7FA36202"/>
    <w:rsid w:val="7FA44DC6"/>
    <w:rsid w:val="7FA451A1"/>
    <w:rsid w:val="7FA47EC3"/>
    <w:rsid w:val="7FA501CC"/>
    <w:rsid w:val="7FA50329"/>
    <w:rsid w:val="7FA537C9"/>
    <w:rsid w:val="7FA56256"/>
    <w:rsid w:val="7FA6026B"/>
    <w:rsid w:val="7FA73CE8"/>
    <w:rsid w:val="7FA74357"/>
    <w:rsid w:val="7FA75CF2"/>
    <w:rsid w:val="7FA86318"/>
    <w:rsid w:val="7FA905A3"/>
    <w:rsid w:val="7FA97CBC"/>
    <w:rsid w:val="7FAA245E"/>
    <w:rsid w:val="7FAA68F3"/>
    <w:rsid w:val="7FAA6B95"/>
    <w:rsid w:val="7FAB1511"/>
    <w:rsid w:val="7FAB457D"/>
    <w:rsid w:val="7FAB4875"/>
    <w:rsid w:val="7FAB50C8"/>
    <w:rsid w:val="7FAB5685"/>
    <w:rsid w:val="7FAB7AC3"/>
    <w:rsid w:val="7FAC390D"/>
    <w:rsid w:val="7FAC3B9E"/>
    <w:rsid w:val="7FAC720D"/>
    <w:rsid w:val="7FAD4541"/>
    <w:rsid w:val="7FAD548F"/>
    <w:rsid w:val="7FAE0A49"/>
    <w:rsid w:val="7FAE0B67"/>
    <w:rsid w:val="7FAE358C"/>
    <w:rsid w:val="7FAE7080"/>
    <w:rsid w:val="7FAF2DF8"/>
    <w:rsid w:val="7FAF4779"/>
    <w:rsid w:val="7FAF4F33"/>
    <w:rsid w:val="7FB01490"/>
    <w:rsid w:val="7FB01E45"/>
    <w:rsid w:val="7FB04AAA"/>
    <w:rsid w:val="7FB12A26"/>
    <w:rsid w:val="7FB14DC3"/>
    <w:rsid w:val="7FB15F3A"/>
    <w:rsid w:val="7FB17668"/>
    <w:rsid w:val="7FB22285"/>
    <w:rsid w:val="7FB23216"/>
    <w:rsid w:val="7FB235A8"/>
    <w:rsid w:val="7FB246C4"/>
    <w:rsid w:val="7FB3048C"/>
    <w:rsid w:val="7FB3085A"/>
    <w:rsid w:val="7FB314FD"/>
    <w:rsid w:val="7FB328E9"/>
    <w:rsid w:val="7FB33F82"/>
    <w:rsid w:val="7FB40888"/>
    <w:rsid w:val="7FB421BD"/>
    <w:rsid w:val="7FB4240F"/>
    <w:rsid w:val="7FB456BF"/>
    <w:rsid w:val="7FB46592"/>
    <w:rsid w:val="7FB51B1D"/>
    <w:rsid w:val="7FB55CCF"/>
    <w:rsid w:val="7FB56661"/>
    <w:rsid w:val="7FB573AC"/>
    <w:rsid w:val="7FB6091C"/>
    <w:rsid w:val="7FB62168"/>
    <w:rsid w:val="7FB6613F"/>
    <w:rsid w:val="7FB70E95"/>
    <w:rsid w:val="7FB81CAD"/>
    <w:rsid w:val="7FB84DED"/>
    <w:rsid w:val="7FB93283"/>
    <w:rsid w:val="7FB9718D"/>
    <w:rsid w:val="7FB977D3"/>
    <w:rsid w:val="7FBA0C97"/>
    <w:rsid w:val="7FBA17AD"/>
    <w:rsid w:val="7FBA3C77"/>
    <w:rsid w:val="7FBA5A25"/>
    <w:rsid w:val="7FBB354B"/>
    <w:rsid w:val="7FBB4C5F"/>
    <w:rsid w:val="7FBB6A97"/>
    <w:rsid w:val="7FBB79EF"/>
    <w:rsid w:val="7FBC1AFA"/>
    <w:rsid w:val="7FBC2A2A"/>
    <w:rsid w:val="7FBC5E4C"/>
    <w:rsid w:val="7FBC624F"/>
    <w:rsid w:val="7FBC6E06"/>
    <w:rsid w:val="7FBD3767"/>
    <w:rsid w:val="7FBD42A2"/>
    <w:rsid w:val="7FBD44DD"/>
    <w:rsid w:val="7FBE053E"/>
    <w:rsid w:val="7FBE0CDF"/>
    <w:rsid w:val="7FBE4DEA"/>
    <w:rsid w:val="7FBE596D"/>
    <w:rsid w:val="7FBE7781"/>
    <w:rsid w:val="7FBE7F87"/>
    <w:rsid w:val="7FBF050D"/>
    <w:rsid w:val="7FBF2937"/>
    <w:rsid w:val="7FBF303C"/>
    <w:rsid w:val="7FC00B62"/>
    <w:rsid w:val="7FC016D2"/>
    <w:rsid w:val="7FC02474"/>
    <w:rsid w:val="7FC06DB4"/>
    <w:rsid w:val="7FC104D1"/>
    <w:rsid w:val="7FC1443D"/>
    <w:rsid w:val="7FC164F8"/>
    <w:rsid w:val="7FC16CF5"/>
    <w:rsid w:val="7FC20D7E"/>
    <w:rsid w:val="7FC248DA"/>
    <w:rsid w:val="7FC270D9"/>
    <w:rsid w:val="7FC27A71"/>
    <w:rsid w:val="7FC312BF"/>
    <w:rsid w:val="7FC33D3A"/>
    <w:rsid w:val="7FC34B98"/>
    <w:rsid w:val="7FC34CD0"/>
    <w:rsid w:val="7FC40652"/>
    <w:rsid w:val="7FC435A4"/>
    <w:rsid w:val="7FC44AF6"/>
    <w:rsid w:val="7FC44B4C"/>
    <w:rsid w:val="7FC475CF"/>
    <w:rsid w:val="7FC53EA1"/>
    <w:rsid w:val="7FC543CA"/>
    <w:rsid w:val="7FC56178"/>
    <w:rsid w:val="7FC618A1"/>
    <w:rsid w:val="7FC63AB1"/>
    <w:rsid w:val="7FC64E80"/>
    <w:rsid w:val="7FC65E9C"/>
    <w:rsid w:val="7FC66734"/>
    <w:rsid w:val="7FC70142"/>
    <w:rsid w:val="7FC71381"/>
    <w:rsid w:val="7FC71E6D"/>
    <w:rsid w:val="7FC72D31"/>
    <w:rsid w:val="7FC7579F"/>
    <w:rsid w:val="7FC76394"/>
    <w:rsid w:val="7FC77D0B"/>
    <w:rsid w:val="7FC80F22"/>
    <w:rsid w:val="7FC83067"/>
    <w:rsid w:val="7FC83511"/>
    <w:rsid w:val="7FC86942"/>
    <w:rsid w:val="7FC916DD"/>
    <w:rsid w:val="7FC91909"/>
    <w:rsid w:val="7FC92BA6"/>
    <w:rsid w:val="7FC93EBA"/>
    <w:rsid w:val="7FC952F3"/>
    <w:rsid w:val="7FC9590C"/>
    <w:rsid w:val="7FCA00A4"/>
    <w:rsid w:val="7FCA0222"/>
    <w:rsid w:val="7FCA05C5"/>
    <w:rsid w:val="7FCA0CC9"/>
    <w:rsid w:val="7FCA378E"/>
    <w:rsid w:val="7FCA7553"/>
    <w:rsid w:val="7FCA7DFC"/>
    <w:rsid w:val="7FCB446A"/>
    <w:rsid w:val="7FCB55CD"/>
    <w:rsid w:val="7FCB5E84"/>
    <w:rsid w:val="7FCB60E8"/>
    <w:rsid w:val="7FCB6903"/>
    <w:rsid w:val="7FCB7752"/>
    <w:rsid w:val="7FCB7C32"/>
    <w:rsid w:val="7FCC5758"/>
    <w:rsid w:val="7FCE14D1"/>
    <w:rsid w:val="7FCE7723"/>
    <w:rsid w:val="7FCE7D7B"/>
    <w:rsid w:val="7FCF369C"/>
    <w:rsid w:val="7FCF4626"/>
    <w:rsid w:val="7FCF6FF7"/>
    <w:rsid w:val="7FCF775D"/>
    <w:rsid w:val="7FD02E87"/>
    <w:rsid w:val="7FD03C93"/>
    <w:rsid w:val="7FD0428A"/>
    <w:rsid w:val="7FD05249"/>
    <w:rsid w:val="7FD12D6F"/>
    <w:rsid w:val="7FD136EC"/>
    <w:rsid w:val="7FD147E1"/>
    <w:rsid w:val="7FD14B1D"/>
    <w:rsid w:val="7FD16DA5"/>
    <w:rsid w:val="7FD20E0F"/>
    <w:rsid w:val="7FD21173"/>
    <w:rsid w:val="7FD216C8"/>
    <w:rsid w:val="7FD25273"/>
    <w:rsid w:val="7FD25C5E"/>
    <w:rsid w:val="7FD27A19"/>
    <w:rsid w:val="7FD30895"/>
    <w:rsid w:val="7FD324CC"/>
    <w:rsid w:val="7FD34D39"/>
    <w:rsid w:val="7FD375C5"/>
    <w:rsid w:val="7FD376B6"/>
    <w:rsid w:val="7FD41B49"/>
    <w:rsid w:val="7FD42102"/>
    <w:rsid w:val="7FD42804"/>
    <w:rsid w:val="7FD432FE"/>
    <w:rsid w:val="7FD52CB2"/>
    <w:rsid w:val="7FD5357F"/>
    <w:rsid w:val="7FD53A92"/>
    <w:rsid w:val="7FD55C5D"/>
    <w:rsid w:val="7FD56F0F"/>
    <w:rsid w:val="7FD577CE"/>
    <w:rsid w:val="7FD60385"/>
    <w:rsid w:val="7FD610C6"/>
    <w:rsid w:val="7FD611CA"/>
    <w:rsid w:val="7FD62F51"/>
    <w:rsid w:val="7FD65456"/>
    <w:rsid w:val="7FD65952"/>
    <w:rsid w:val="7FD66008"/>
    <w:rsid w:val="7FD665D7"/>
    <w:rsid w:val="7FD66786"/>
    <w:rsid w:val="7FD667C5"/>
    <w:rsid w:val="7FD704E0"/>
    <w:rsid w:val="7FD741FF"/>
    <w:rsid w:val="7FD80263"/>
    <w:rsid w:val="7FD8234F"/>
    <w:rsid w:val="7FD831A4"/>
    <w:rsid w:val="7FD84167"/>
    <w:rsid w:val="7FD84356"/>
    <w:rsid w:val="7FD85EAB"/>
    <w:rsid w:val="7FD90309"/>
    <w:rsid w:val="7FD9186A"/>
    <w:rsid w:val="7FD91B29"/>
    <w:rsid w:val="7FD95146"/>
    <w:rsid w:val="7FD97A43"/>
    <w:rsid w:val="7FDA60C7"/>
    <w:rsid w:val="7FDA7E75"/>
    <w:rsid w:val="7FDB11A7"/>
    <w:rsid w:val="7FDB4675"/>
    <w:rsid w:val="7FDB5830"/>
    <w:rsid w:val="7FDB599C"/>
    <w:rsid w:val="7FDC1E3F"/>
    <w:rsid w:val="7FDC2280"/>
    <w:rsid w:val="7FDC247F"/>
    <w:rsid w:val="7FDC510C"/>
    <w:rsid w:val="7FDC60B9"/>
    <w:rsid w:val="7FDD3063"/>
    <w:rsid w:val="7FDD3AC7"/>
    <w:rsid w:val="7FDD3CB3"/>
    <w:rsid w:val="7FDD3D43"/>
    <w:rsid w:val="7FDD756A"/>
    <w:rsid w:val="7FDD7966"/>
    <w:rsid w:val="7FDE10DB"/>
    <w:rsid w:val="7FDE434E"/>
    <w:rsid w:val="7FDF28D0"/>
    <w:rsid w:val="7FDF2E5F"/>
    <w:rsid w:val="7FDF3087"/>
    <w:rsid w:val="7FDF30F7"/>
    <w:rsid w:val="7FDF34BC"/>
    <w:rsid w:val="7FDF3673"/>
    <w:rsid w:val="7FDF723A"/>
    <w:rsid w:val="7FDF729A"/>
    <w:rsid w:val="7FE02FB2"/>
    <w:rsid w:val="7FE05C41"/>
    <w:rsid w:val="7FE06096"/>
    <w:rsid w:val="7FE1089E"/>
    <w:rsid w:val="7FE13F73"/>
    <w:rsid w:val="7FE231CE"/>
    <w:rsid w:val="7FE24D68"/>
    <w:rsid w:val="7FE24F7C"/>
    <w:rsid w:val="7FE251A9"/>
    <w:rsid w:val="7FE25389"/>
    <w:rsid w:val="7FE26D2A"/>
    <w:rsid w:val="7FE32161"/>
    <w:rsid w:val="7FE322C9"/>
    <w:rsid w:val="7FE34DDE"/>
    <w:rsid w:val="7FE37DA8"/>
    <w:rsid w:val="7FE42259"/>
    <w:rsid w:val="7FE451A5"/>
    <w:rsid w:val="7FE505C8"/>
    <w:rsid w:val="7FE51750"/>
    <w:rsid w:val="7FE52D70"/>
    <w:rsid w:val="7FE61D04"/>
    <w:rsid w:val="7FE620B7"/>
    <w:rsid w:val="7FE62934"/>
    <w:rsid w:val="7FE64B79"/>
    <w:rsid w:val="7FE651D1"/>
    <w:rsid w:val="7FE6632B"/>
    <w:rsid w:val="7FE707E4"/>
    <w:rsid w:val="7FE72592"/>
    <w:rsid w:val="7FE73264"/>
    <w:rsid w:val="7FE74340"/>
    <w:rsid w:val="7FE77431"/>
    <w:rsid w:val="7FE7774A"/>
    <w:rsid w:val="7FE837AB"/>
    <w:rsid w:val="7FE842B1"/>
    <w:rsid w:val="7FE8501B"/>
    <w:rsid w:val="7FE86989"/>
    <w:rsid w:val="7FE94A21"/>
    <w:rsid w:val="7FE94C3B"/>
    <w:rsid w:val="7FE95434"/>
    <w:rsid w:val="7FE9630A"/>
    <w:rsid w:val="7FEB1771"/>
    <w:rsid w:val="7FEB2083"/>
    <w:rsid w:val="7FEB755B"/>
    <w:rsid w:val="7FEB7DBE"/>
    <w:rsid w:val="7FEC309D"/>
    <w:rsid w:val="7FEC41A2"/>
    <w:rsid w:val="7FEC5DFB"/>
    <w:rsid w:val="7FEC623C"/>
    <w:rsid w:val="7FEC7BA9"/>
    <w:rsid w:val="7FED1E7B"/>
    <w:rsid w:val="7FED4A4C"/>
    <w:rsid w:val="7FEE2A53"/>
    <w:rsid w:val="7FEE3921"/>
    <w:rsid w:val="7FEE5D41"/>
    <w:rsid w:val="7FEE5EDC"/>
    <w:rsid w:val="7FF01447"/>
    <w:rsid w:val="7FF03327"/>
    <w:rsid w:val="7FF03BC2"/>
    <w:rsid w:val="7FF0676F"/>
    <w:rsid w:val="7FF07699"/>
    <w:rsid w:val="7FF1019D"/>
    <w:rsid w:val="7FF107B2"/>
    <w:rsid w:val="7FF10E8C"/>
    <w:rsid w:val="7FF16F6D"/>
    <w:rsid w:val="7FF2485D"/>
    <w:rsid w:val="7FF26461"/>
    <w:rsid w:val="7FF2646D"/>
    <w:rsid w:val="7FF265DB"/>
    <w:rsid w:val="7FF2742E"/>
    <w:rsid w:val="7FF30F37"/>
    <w:rsid w:val="7FF323B4"/>
    <w:rsid w:val="7FF32CE5"/>
    <w:rsid w:val="7FF34524"/>
    <w:rsid w:val="7FF34D6C"/>
    <w:rsid w:val="7FF448CA"/>
    <w:rsid w:val="7FF52F01"/>
    <w:rsid w:val="7FF531DE"/>
    <w:rsid w:val="7FF5493A"/>
    <w:rsid w:val="7FF54CAF"/>
    <w:rsid w:val="7FF5550F"/>
    <w:rsid w:val="7FF5783B"/>
    <w:rsid w:val="7FF627D5"/>
    <w:rsid w:val="7FF62B55"/>
    <w:rsid w:val="7FF62C29"/>
    <w:rsid w:val="7FF64583"/>
    <w:rsid w:val="7FF67685"/>
    <w:rsid w:val="7FF72BA2"/>
    <w:rsid w:val="7FF72F34"/>
    <w:rsid w:val="7FF7723F"/>
    <w:rsid w:val="7FF8035D"/>
    <w:rsid w:val="7FF8132E"/>
    <w:rsid w:val="7FF8479F"/>
    <w:rsid w:val="7FF84837"/>
    <w:rsid w:val="7FF85B9B"/>
    <w:rsid w:val="7FF8654D"/>
    <w:rsid w:val="7FFA21E6"/>
    <w:rsid w:val="7FFA22C6"/>
    <w:rsid w:val="7FFA4074"/>
    <w:rsid w:val="7FFA447F"/>
    <w:rsid w:val="7FFA5BC0"/>
    <w:rsid w:val="7FFA7BCE"/>
    <w:rsid w:val="7FFB0A8B"/>
    <w:rsid w:val="7FFB4E13"/>
    <w:rsid w:val="7FFC0426"/>
    <w:rsid w:val="7FFC2113"/>
    <w:rsid w:val="7FFC4290"/>
    <w:rsid w:val="7FFD1DB6"/>
    <w:rsid w:val="7FFD3B64"/>
    <w:rsid w:val="7FFE0132"/>
    <w:rsid w:val="7FFE2294"/>
    <w:rsid w:val="7FFE39B9"/>
    <w:rsid w:val="7FFE4F43"/>
    <w:rsid w:val="7FFE6D7F"/>
    <w:rsid w:val="7FFF1657"/>
    <w:rsid w:val="7FFF168A"/>
    <w:rsid w:val="7FFF5B2E"/>
    <w:rsid w:val="7FFF649F"/>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unhideWhenUsed="0" w:uiPriority="0" w:semiHidden="0" w:name="heading 5"/>
    <w:lsdException w:unhideWhenUsed="0" w:uiPriority="0" w:semiHidden="0" w:name="heading 6"/>
    <w:lsdException w:unhideWhenUsed="0" w:uiPriority="0" w:semiHidden="0" w:name="heading 7"/>
    <w:lsdException w:unhideWhenUsed="0" w:uiPriority="0" w:semiHidden="0" w:name="heading 8"/>
    <w:lsdException w:unhideWhenUsed="0" w:uiPriority="0" w:semiHidden="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qFormat="1" w:unhideWhenUsed="0" w:uiPriority="39"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nhideWhenUsed="0" w:uiPriority="0" w:semiHidden="0" w:name="caption"/>
    <w:lsdException w:qFormat="1" w:unhideWhenUsed="0" w:uiPriority="99" w:name="table of figures"/>
    <w:lsdException w:unhideWhenUsed="0" w:uiPriority="0" w:semiHidden="0" w:name="envelope address"/>
    <w:lsdException w:unhideWhenUsed="0" w:uiPriority="0" w:semiHidden="0" w:name="envelope return"/>
    <w:lsdException w:unhideWhenUsed="0" w:uiPriority="0" w:semiHidden="0" w:name="footnote reference"/>
    <w:lsdException w:qFormat="1" w:unhideWhenUsed="0" w:uiPriority="0" w:semiHidden="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qFormat="1"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qFormat="1"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unhideWhenUsed="0" w:uiPriority="0" w:semiHidden="0" w:name="Subtitle"/>
    <w:lsdException w:unhideWhenUsed="0" w:uiPriority="0" w:semiHidden="0" w:name="Salutation"/>
    <w:lsdException w:qFormat="1" w:unhideWhenUsed="0" w:uiPriority="0" w:semiHidden="0" w:name="Date"/>
    <w:lsdException w:qFormat="1" w:unhideWhenUsed="0" w:uiPriority="0" w:semiHidden="0" w:name="Body Text First Indent"/>
    <w:lsdException w:qFormat="1" w:uiPriority="99"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qFormat="1" w:unhideWhenUsed="0" w:uiPriority="0" w:semiHidden="0" w:name="Body Text Indent 2"/>
    <w:lsdException w:qFormat="1"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unhideWhenUsed="0" w:uiPriority="0" w:semiHidden="0" w:name="Emphasis"/>
    <w:lsdException w:unhideWhenUsed="0" w:uiPriority="0" w:semiHidden="0" w:name="Document Map"/>
    <w:lsdException w:qFormat="1"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qFormat="1"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qFormat="1" w:unhideWhenUsed="0" w:uiPriority="0" w:semiHidden="0"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3">
    <w:name w:val="heading 1"/>
    <w:basedOn w:val="1"/>
    <w:next w:val="1"/>
    <w:qFormat/>
    <w:uiPriority w:val="0"/>
    <w:pPr>
      <w:keepNext/>
      <w:keepLines/>
      <w:spacing w:before="340" w:after="330" w:line="578" w:lineRule="auto"/>
      <w:outlineLvl w:val="0"/>
    </w:pPr>
    <w:rPr>
      <w:b/>
      <w:bCs/>
      <w:kern w:val="44"/>
      <w:sz w:val="44"/>
      <w:szCs w:val="44"/>
    </w:rPr>
  </w:style>
  <w:style w:type="paragraph" w:styleId="4">
    <w:name w:val="heading 2"/>
    <w:basedOn w:val="1"/>
    <w:next w:val="1"/>
    <w:qFormat/>
    <w:uiPriority w:val="0"/>
    <w:pPr>
      <w:keepNext/>
      <w:framePr w:hSpace="180" w:wrap="notBeside" w:vAnchor="text" w:hAnchor="text" w:xAlign="center" w:y="172"/>
      <w:spacing w:line="500" w:lineRule="exact"/>
      <w:jc w:val="center"/>
      <w:outlineLvl w:val="1"/>
    </w:pPr>
    <w:rPr>
      <w:color w:val="000000"/>
      <w:sz w:val="28"/>
      <w:szCs w:val="20"/>
    </w:rPr>
  </w:style>
  <w:style w:type="paragraph" w:styleId="5">
    <w:name w:val="heading 3"/>
    <w:basedOn w:val="1"/>
    <w:next w:val="1"/>
    <w:qFormat/>
    <w:uiPriority w:val="0"/>
    <w:pPr>
      <w:keepNext/>
      <w:keepLines/>
      <w:spacing w:before="260" w:after="260" w:line="416" w:lineRule="auto"/>
      <w:outlineLvl w:val="2"/>
    </w:pPr>
    <w:rPr>
      <w:b/>
      <w:bCs/>
      <w:sz w:val="32"/>
      <w:szCs w:val="32"/>
    </w:rPr>
  </w:style>
  <w:style w:type="paragraph" w:styleId="6">
    <w:name w:val="heading 4"/>
    <w:basedOn w:val="1"/>
    <w:next w:val="1"/>
    <w:qFormat/>
    <w:uiPriority w:val="0"/>
    <w:pPr>
      <w:keepNext/>
      <w:keepLines/>
      <w:spacing w:before="280" w:beforeLines="0" w:after="290" w:afterLines="0" w:line="376" w:lineRule="auto"/>
      <w:outlineLvl w:val="3"/>
    </w:pPr>
    <w:rPr>
      <w:rFonts w:ascii="Arial" w:hAnsi="Arial" w:eastAsia="黑体"/>
      <w:b/>
      <w:bCs/>
      <w:sz w:val="28"/>
      <w:szCs w:val="28"/>
    </w:rPr>
  </w:style>
  <w:style w:type="character" w:default="1" w:styleId="30">
    <w:name w:val="Default Paragraph Font"/>
    <w:link w:val="31"/>
    <w:semiHidden/>
    <w:qFormat/>
    <w:uiPriority w:val="0"/>
    <w:rPr>
      <w:rFonts w:ascii="宋体" w:hAnsi="宋体" w:cs="宋体"/>
      <w:sz w:val="24"/>
    </w:rPr>
  </w:style>
  <w:style w:type="table" w:default="1" w:styleId="27">
    <w:name w:val="Normal Table"/>
    <w:semiHidden/>
    <w:qFormat/>
    <w:uiPriority w:val="0"/>
    <w:tblPr>
      <w:tblCellMar>
        <w:top w:w="0" w:type="dxa"/>
        <w:left w:w="108" w:type="dxa"/>
        <w:bottom w:w="0" w:type="dxa"/>
        <w:right w:w="108" w:type="dxa"/>
      </w:tblCellMar>
    </w:tblPr>
  </w:style>
  <w:style w:type="paragraph" w:styleId="2">
    <w:name w:val="Body Text"/>
    <w:basedOn w:val="1"/>
    <w:next w:val="1"/>
    <w:link w:val="42"/>
    <w:qFormat/>
    <w:uiPriority w:val="0"/>
    <w:pPr>
      <w:spacing w:after="120"/>
    </w:pPr>
  </w:style>
  <w:style w:type="paragraph" w:styleId="7">
    <w:name w:val="Normal Indent"/>
    <w:basedOn w:val="1"/>
    <w:qFormat/>
    <w:uiPriority w:val="0"/>
    <w:pPr>
      <w:adjustRightInd w:val="0"/>
      <w:snapToGrid w:val="0"/>
      <w:spacing w:line="360" w:lineRule="auto"/>
    </w:pPr>
    <w:rPr>
      <w:sz w:val="24"/>
    </w:rPr>
  </w:style>
  <w:style w:type="paragraph" w:styleId="8">
    <w:name w:val="caption"/>
    <w:basedOn w:val="1"/>
    <w:next w:val="1"/>
    <w:qFormat/>
    <w:uiPriority w:val="0"/>
    <w:pPr>
      <w:spacing w:before="152" w:after="160"/>
    </w:pPr>
    <w:rPr>
      <w:rFonts w:ascii="Arial" w:hAnsi="Arial" w:eastAsia="黑体" w:cs="Arial"/>
      <w:sz w:val="20"/>
    </w:rPr>
  </w:style>
  <w:style w:type="paragraph" w:styleId="9">
    <w:name w:val="annotation text"/>
    <w:basedOn w:val="1"/>
    <w:qFormat/>
    <w:uiPriority w:val="0"/>
    <w:pPr>
      <w:jc w:val="left"/>
    </w:pPr>
    <w:rPr>
      <w:szCs w:val="24"/>
    </w:rPr>
  </w:style>
  <w:style w:type="paragraph" w:styleId="10">
    <w:name w:val="Body Text Indent"/>
    <w:basedOn w:val="1"/>
    <w:next w:val="11"/>
    <w:qFormat/>
    <w:uiPriority w:val="0"/>
    <w:pPr>
      <w:spacing w:after="120"/>
      <w:ind w:left="420" w:leftChars="200"/>
    </w:pPr>
  </w:style>
  <w:style w:type="paragraph" w:styleId="11">
    <w:name w:val="header"/>
    <w:basedOn w:val="1"/>
    <w:next w:val="12"/>
    <w:qFormat/>
    <w:uiPriority w:val="0"/>
    <w:pPr>
      <w:pBdr>
        <w:bottom w:val="single" w:color="auto" w:sz="6" w:space="1"/>
      </w:pBdr>
      <w:tabs>
        <w:tab w:val="center" w:pos="4153"/>
        <w:tab w:val="right" w:pos="8306"/>
      </w:tabs>
      <w:snapToGrid w:val="0"/>
      <w:jc w:val="center"/>
    </w:pPr>
    <w:rPr>
      <w:sz w:val="18"/>
      <w:szCs w:val="18"/>
    </w:rPr>
  </w:style>
  <w:style w:type="paragraph" w:customStyle="1" w:styleId="12">
    <w:name w:val="样式5"/>
    <w:basedOn w:val="13"/>
    <w:next w:val="15"/>
    <w:qFormat/>
    <w:uiPriority w:val="0"/>
    <w:pPr>
      <w:snapToGrid w:val="0"/>
      <w:spacing w:line="360" w:lineRule="auto"/>
      <w:ind w:firstLine="510"/>
    </w:pPr>
    <w:rPr>
      <w:sz w:val="24"/>
    </w:rPr>
  </w:style>
  <w:style w:type="paragraph" w:customStyle="1" w:styleId="13">
    <w:name w:val="样式3"/>
    <w:basedOn w:val="14"/>
    <w:next w:val="2"/>
    <w:qFormat/>
    <w:uiPriority w:val="0"/>
    <w:pPr>
      <w:adjustRightInd w:val="0"/>
      <w:snapToGrid w:val="0"/>
      <w:spacing w:line="360" w:lineRule="auto"/>
      <w:ind w:firstLine="480" w:firstLineChars="200"/>
    </w:pPr>
    <w:rPr>
      <w:rFonts w:eastAsia="Times New Roman"/>
      <w:snapToGrid w:val="0"/>
      <w:color w:val="0000FF"/>
      <w:kern w:val="0"/>
      <w:sz w:val="24"/>
    </w:rPr>
  </w:style>
  <w:style w:type="paragraph" w:styleId="14">
    <w:name w:val="List"/>
    <w:basedOn w:val="1"/>
    <w:qFormat/>
    <w:uiPriority w:val="0"/>
    <w:pPr>
      <w:widowControl/>
      <w:spacing w:line="440" w:lineRule="exact"/>
      <w:ind w:left="200" w:hanging="200"/>
      <w:jc w:val="left"/>
    </w:pPr>
    <w:rPr>
      <w:kern w:val="0"/>
      <w:sz w:val="24"/>
      <w:szCs w:val="20"/>
    </w:rPr>
  </w:style>
  <w:style w:type="paragraph" w:styleId="15">
    <w:name w:val="Body Text Indent 2"/>
    <w:basedOn w:val="1"/>
    <w:next w:val="1"/>
    <w:qFormat/>
    <w:uiPriority w:val="0"/>
    <w:pPr>
      <w:spacing w:line="520" w:lineRule="exact"/>
      <w:ind w:firstLine="560" w:firstLineChars="200"/>
    </w:pPr>
    <w:rPr>
      <w:rFonts w:ascii="仿宋_GB2312" w:hAnsi="宋体" w:eastAsia="仿宋_GB2312"/>
      <w:bCs/>
      <w:sz w:val="28"/>
    </w:rPr>
  </w:style>
  <w:style w:type="paragraph" w:styleId="16">
    <w:name w:val="Plain Text"/>
    <w:basedOn w:val="1"/>
    <w:link w:val="43"/>
    <w:qFormat/>
    <w:uiPriority w:val="0"/>
    <w:rPr>
      <w:rFonts w:ascii="宋体" w:hAnsi="Courier New"/>
      <w:szCs w:val="20"/>
    </w:rPr>
  </w:style>
  <w:style w:type="paragraph" w:styleId="17">
    <w:name w:val="List Bullet 5"/>
    <w:basedOn w:val="1"/>
    <w:qFormat/>
    <w:uiPriority w:val="0"/>
    <w:pPr>
      <w:numPr>
        <w:ilvl w:val="0"/>
        <w:numId w:val="1"/>
      </w:numPr>
    </w:pPr>
  </w:style>
  <w:style w:type="paragraph" w:styleId="18">
    <w:name w:val="Date"/>
    <w:basedOn w:val="1"/>
    <w:next w:val="1"/>
    <w:qFormat/>
    <w:uiPriority w:val="0"/>
    <w:rPr>
      <w:sz w:val="28"/>
      <w:szCs w:val="20"/>
    </w:rPr>
  </w:style>
  <w:style w:type="paragraph" w:styleId="19">
    <w:name w:val="footer"/>
    <w:basedOn w:val="1"/>
    <w:qFormat/>
    <w:uiPriority w:val="0"/>
    <w:pPr>
      <w:tabs>
        <w:tab w:val="center" w:pos="4153"/>
        <w:tab w:val="right" w:pos="8306"/>
      </w:tabs>
      <w:snapToGrid w:val="0"/>
      <w:jc w:val="left"/>
    </w:pPr>
    <w:rPr>
      <w:sz w:val="18"/>
      <w:szCs w:val="18"/>
    </w:rPr>
  </w:style>
  <w:style w:type="paragraph" w:styleId="20">
    <w:name w:val="Body Text Indent 3"/>
    <w:basedOn w:val="1"/>
    <w:qFormat/>
    <w:uiPriority w:val="0"/>
    <w:pPr>
      <w:spacing w:after="120"/>
      <w:ind w:left="420" w:leftChars="200"/>
    </w:pPr>
    <w:rPr>
      <w:rFonts w:ascii="Plotter" w:hAnsi="宋体" w:cs="Plotter"/>
      <w:bCs/>
      <w:color w:val="000000"/>
      <w:sz w:val="16"/>
      <w:szCs w:val="16"/>
    </w:rPr>
  </w:style>
  <w:style w:type="paragraph" w:styleId="21">
    <w:name w:val="table of figures"/>
    <w:basedOn w:val="1"/>
    <w:next w:val="1"/>
    <w:semiHidden/>
    <w:qFormat/>
    <w:uiPriority w:val="99"/>
    <w:pPr>
      <w:spacing w:beforeLines="50" w:afterLines="50" w:line="500" w:lineRule="exact"/>
      <w:jc w:val="center"/>
    </w:pPr>
    <w:rPr>
      <w:rFonts w:ascii="仿宋_GB2312" w:eastAsia="仿宋_GB2312" w:cs="仿宋_GB2312"/>
      <w:sz w:val="28"/>
      <w:szCs w:val="28"/>
    </w:rPr>
  </w:style>
  <w:style w:type="paragraph" w:styleId="22">
    <w:name w:val="toc 2"/>
    <w:basedOn w:val="1"/>
    <w:next w:val="1"/>
    <w:qFormat/>
    <w:uiPriority w:val="39"/>
    <w:pPr>
      <w:ind w:left="420" w:leftChars="200"/>
    </w:pPr>
  </w:style>
  <w:style w:type="paragraph" w:styleId="23">
    <w:name w:val="HTML Preformatted"/>
    <w:basedOn w:val="1"/>
    <w:qFormat/>
    <w:uiPriority w:val="0"/>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宋体" w:hAnsi="宋体" w:cs="宋体"/>
      <w:kern w:val="0"/>
      <w:sz w:val="24"/>
    </w:rPr>
  </w:style>
  <w:style w:type="paragraph" w:styleId="24">
    <w:name w:val="Normal (Web)"/>
    <w:basedOn w:val="1"/>
    <w:qFormat/>
    <w:uiPriority w:val="0"/>
    <w:pPr>
      <w:widowControl/>
      <w:spacing w:before="100" w:beforeAutospacing="1" w:after="100" w:afterAutospacing="1"/>
      <w:jc w:val="left"/>
    </w:pPr>
    <w:rPr>
      <w:rFonts w:ascii="宋体" w:hAnsi="宋体" w:cs="宋体"/>
      <w:kern w:val="0"/>
      <w:sz w:val="24"/>
    </w:rPr>
  </w:style>
  <w:style w:type="paragraph" w:styleId="25">
    <w:name w:val="Body Text First Indent"/>
    <w:basedOn w:val="2"/>
    <w:qFormat/>
    <w:uiPriority w:val="0"/>
    <w:pPr>
      <w:adjustRightInd w:val="0"/>
      <w:snapToGrid w:val="0"/>
      <w:ind w:firstLine="420" w:firstLineChars="100"/>
      <w:jc w:val="left"/>
    </w:pPr>
  </w:style>
  <w:style w:type="paragraph" w:styleId="26">
    <w:name w:val="Body Text First Indent 2"/>
    <w:basedOn w:val="10"/>
    <w:next w:val="1"/>
    <w:unhideWhenUsed/>
    <w:qFormat/>
    <w:uiPriority w:val="99"/>
    <w:pPr>
      <w:spacing w:line="360" w:lineRule="auto"/>
      <w:ind w:firstLine="420" w:firstLineChars="200"/>
      <w:jc w:val="left"/>
    </w:pPr>
    <w:rPr>
      <w:rFonts w:hint="eastAsia" w:ascii="宋体" w:hAnsi="宋体" w:eastAsia="Times New Roman"/>
      <w:spacing w:val="5"/>
      <w:kern w:val="2"/>
      <w:sz w:val="25"/>
      <w:szCs w:val="25"/>
    </w:rPr>
  </w:style>
  <w:style w:type="table" w:styleId="28">
    <w:name w:val="Table Grid"/>
    <w:basedOn w:val="27"/>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styleId="29">
    <w:name w:val="Table Theme"/>
    <w:basedOn w:val="27"/>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31">
    <w:name w:val=" Char1"/>
    <w:basedOn w:val="1"/>
    <w:link w:val="30"/>
    <w:qFormat/>
    <w:uiPriority w:val="0"/>
    <w:pPr>
      <w:spacing w:line="360" w:lineRule="auto"/>
      <w:ind w:firstLine="200" w:firstLineChars="200"/>
    </w:pPr>
    <w:rPr>
      <w:rFonts w:ascii="宋体" w:hAnsi="宋体" w:cs="宋体"/>
      <w:sz w:val="24"/>
    </w:rPr>
  </w:style>
  <w:style w:type="character" w:styleId="32">
    <w:name w:val="Strong"/>
    <w:basedOn w:val="30"/>
    <w:qFormat/>
    <w:uiPriority w:val="0"/>
    <w:rPr>
      <w:b/>
      <w:bCs/>
    </w:rPr>
  </w:style>
  <w:style w:type="character" w:styleId="33">
    <w:name w:val="page number"/>
    <w:basedOn w:val="30"/>
    <w:qFormat/>
    <w:uiPriority w:val="0"/>
  </w:style>
  <w:style w:type="character" w:styleId="34">
    <w:name w:val="Hyperlink"/>
    <w:basedOn w:val="30"/>
    <w:qFormat/>
    <w:uiPriority w:val="0"/>
    <w:rPr>
      <w:color w:val="000000"/>
      <w:u w:val="none"/>
    </w:rPr>
  </w:style>
  <w:style w:type="character" w:styleId="35">
    <w:name w:val="annotation reference"/>
    <w:basedOn w:val="30"/>
    <w:qFormat/>
    <w:uiPriority w:val="0"/>
    <w:rPr>
      <w:sz w:val="21"/>
      <w:szCs w:val="21"/>
    </w:rPr>
  </w:style>
  <w:style w:type="paragraph" w:customStyle="1" w:styleId="36">
    <w:name w:val="Default1"/>
    <w:unhideWhenUsed/>
    <w:qFormat/>
    <w:uiPriority w:val="0"/>
    <w:pPr>
      <w:widowControl w:val="0"/>
      <w:autoSpaceDE w:val="0"/>
      <w:autoSpaceDN w:val="0"/>
      <w:adjustRightInd w:val="0"/>
    </w:pPr>
    <w:rPr>
      <w:rFonts w:hint="eastAsia" w:ascii="宋体" w:hAnsi="Times New Roman" w:eastAsia="宋体" w:cs="Times New Roman"/>
      <w:color w:val="000000"/>
      <w:sz w:val="24"/>
      <w:szCs w:val="22"/>
      <w:lang w:val="en-US" w:eastAsia="zh-CN" w:bidi="ar-SA"/>
    </w:rPr>
  </w:style>
  <w:style w:type="paragraph" w:customStyle="1" w:styleId="37">
    <w:name w:val="Default"/>
    <w:basedOn w:val="38"/>
    <w:next w:val="2"/>
    <w:qFormat/>
    <w:uiPriority w:val="0"/>
    <w:pPr>
      <w:widowControl w:val="0"/>
      <w:autoSpaceDE w:val="0"/>
      <w:autoSpaceDN w:val="0"/>
      <w:adjustRightInd w:val="0"/>
    </w:pPr>
    <w:rPr>
      <w:rFonts w:ascii="宋体" w:hAnsi="Times New Roman" w:eastAsia="宋体" w:cs="宋体"/>
      <w:color w:val="000000"/>
      <w:sz w:val="24"/>
      <w:szCs w:val="24"/>
      <w:lang w:val="en-US" w:eastAsia="zh-CN" w:bidi="ar-SA"/>
    </w:rPr>
  </w:style>
  <w:style w:type="paragraph" w:customStyle="1" w:styleId="38">
    <w:name w:val="标题 段落4级"/>
    <w:qFormat/>
    <w:uiPriority w:val="0"/>
    <w:pPr>
      <w:spacing w:line="500" w:lineRule="exact"/>
      <w:outlineLvl w:val="3"/>
    </w:pPr>
    <w:rPr>
      <w:rFonts w:ascii="Times New Roman" w:hAnsi="Times New Roman" w:eastAsia="仿宋_GB2312" w:cs="Calibri"/>
      <w:b/>
      <w:kern w:val="2"/>
      <w:sz w:val="28"/>
      <w:szCs w:val="24"/>
      <w:lang w:val="en-US" w:eastAsia="zh-CN" w:bidi="ar-SA"/>
    </w:rPr>
  </w:style>
  <w:style w:type="paragraph" w:customStyle="1" w:styleId="39">
    <w:name w:val="样式 样式 样式 四号 左侧:  1.53 厘米 + 首行缩进:  2 字符 + 居中 左侧:  2 字符 首行缩进:  2..."/>
    <w:basedOn w:val="40"/>
    <w:qFormat/>
    <w:uiPriority w:val="0"/>
    <w:pPr>
      <w:ind w:firstLine="0" w:firstLineChars="0"/>
      <w:jc w:val="center"/>
    </w:pPr>
  </w:style>
  <w:style w:type="paragraph" w:customStyle="1" w:styleId="40">
    <w:name w:val="样式 样式 四号 左侧:  1.53 厘米 + 首行缩进:  2 字符"/>
    <w:basedOn w:val="41"/>
    <w:qFormat/>
    <w:uiPriority w:val="0"/>
    <w:pPr>
      <w:ind w:left="200" w:leftChars="200"/>
    </w:pPr>
    <w:rPr>
      <w:szCs w:val="20"/>
    </w:rPr>
  </w:style>
  <w:style w:type="paragraph" w:customStyle="1" w:styleId="41">
    <w:name w:val="样式 四号 左侧:  1.53 厘米"/>
    <w:basedOn w:val="1"/>
    <w:qFormat/>
    <w:uiPriority w:val="0"/>
    <w:pPr>
      <w:adjustRightInd w:val="0"/>
    </w:pPr>
    <w:rPr>
      <w:w w:val="90"/>
      <w:sz w:val="28"/>
      <w:szCs w:val="28"/>
    </w:rPr>
  </w:style>
  <w:style w:type="character" w:customStyle="1" w:styleId="42">
    <w:name w:val="正文文本 Char"/>
    <w:basedOn w:val="30"/>
    <w:link w:val="2"/>
    <w:qFormat/>
    <w:uiPriority w:val="0"/>
    <w:rPr>
      <w:rFonts w:eastAsia="宋体"/>
      <w:kern w:val="2"/>
      <w:sz w:val="21"/>
      <w:szCs w:val="24"/>
      <w:lang w:val="en-US" w:eastAsia="zh-CN" w:bidi="ar-SA"/>
    </w:rPr>
  </w:style>
  <w:style w:type="character" w:customStyle="1" w:styleId="43">
    <w:name w:val="纯文本 Char1 Char Char Char Char Char Char Char"/>
    <w:basedOn w:val="30"/>
    <w:link w:val="16"/>
    <w:qFormat/>
    <w:uiPriority w:val="0"/>
    <w:rPr>
      <w:rFonts w:ascii="宋体" w:hAnsi="Courier New" w:eastAsia="宋体"/>
      <w:kern w:val="2"/>
      <w:sz w:val="21"/>
      <w:lang w:val="en-US" w:eastAsia="zh-CN" w:bidi="ar-SA"/>
    </w:rPr>
  </w:style>
  <w:style w:type="character" w:customStyle="1" w:styleId="44">
    <w:name w:val="font51"/>
    <w:basedOn w:val="30"/>
    <w:qFormat/>
    <w:uiPriority w:val="0"/>
    <w:rPr>
      <w:rFonts w:hint="eastAsia" w:ascii="宋体" w:hAnsi="宋体" w:eastAsia="宋体" w:cs="宋体"/>
      <w:color w:val="FF0000"/>
      <w:sz w:val="24"/>
      <w:szCs w:val="24"/>
      <w:u w:val="none"/>
    </w:rPr>
  </w:style>
  <w:style w:type="character" w:customStyle="1" w:styleId="45">
    <w:name w:val="表名 Char Char"/>
    <w:link w:val="46"/>
    <w:qFormat/>
    <w:uiPriority w:val="0"/>
    <w:rPr>
      <w:rFonts w:eastAsia="黑体"/>
      <w:b/>
      <w:bCs/>
      <w:sz w:val="24"/>
      <w:lang w:bidi="ar-SA"/>
    </w:rPr>
  </w:style>
  <w:style w:type="paragraph" w:customStyle="1" w:styleId="46">
    <w:name w:val="表名"/>
    <w:basedOn w:val="1"/>
    <w:link w:val="45"/>
    <w:qFormat/>
    <w:uiPriority w:val="0"/>
    <w:pPr>
      <w:autoSpaceDE w:val="0"/>
      <w:autoSpaceDN w:val="0"/>
      <w:adjustRightInd w:val="0"/>
      <w:spacing w:before="156" w:beforeLines="50"/>
      <w:jc w:val="center"/>
      <w:textAlignment w:val="baseline"/>
    </w:pPr>
    <w:rPr>
      <w:rFonts w:eastAsia="黑体"/>
      <w:b/>
      <w:bCs/>
      <w:kern w:val="0"/>
      <w:sz w:val="24"/>
      <w:szCs w:val="20"/>
    </w:rPr>
  </w:style>
  <w:style w:type="character" w:customStyle="1" w:styleId="47">
    <w:name w:val="font41"/>
    <w:basedOn w:val="30"/>
    <w:qFormat/>
    <w:uiPriority w:val="0"/>
    <w:rPr>
      <w:rFonts w:hint="default" w:ascii="Times New Roman" w:hAnsi="Times New Roman" w:cs="Times New Roman"/>
      <w:color w:val="000000"/>
      <w:sz w:val="22"/>
      <w:szCs w:val="22"/>
      <w:u w:val="none"/>
    </w:rPr>
  </w:style>
  <w:style w:type="character" w:customStyle="1" w:styleId="48">
    <w:name w:val="font01"/>
    <w:basedOn w:val="30"/>
    <w:qFormat/>
    <w:uiPriority w:val="0"/>
    <w:rPr>
      <w:rFonts w:hint="eastAsia" w:ascii="宋体" w:hAnsi="宋体" w:eastAsia="宋体" w:cs="宋体"/>
      <w:color w:val="000000"/>
      <w:sz w:val="22"/>
      <w:szCs w:val="22"/>
      <w:u w:val="none"/>
      <w:vertAlign w:val="subscript"/>
    </w:rPr>
  </w:style>
  <w:style w:type="character" w:customStyle="1" w:styleId="49">
    <w:name w:val="font11"/>
    <w:basedOn w:val="30"/>
    <w:qFormat/>
    <w:uiPriority w:val="0"/>
    <w:rPr>
      <w:rFonts w:hint="default" w:ascii="Times New Roman" w:hAnsi="Times New Roman" w:cs="Times New Roman"/>
      <w:color w:val="000000"/>
      <w:sz w:val="22"/>
      <w:szCs w:val="22"/>
      <w:u w:val="none"/>
      <w:vertAlign w:val="subscript"/>
    </w:rPr>
  </w:style>
  <w:style w:type="character" w:customStyle="1" w:styleId="50">
    <w:name w:val="font31"/>
    <w:basedOn w:val="30"/>
    <w:qFormat/>
    <w:uiPriority w:val="0"/>
    <w:rPr>
      <w:rFonts w:ascii="Wingdings 2" w:hAnsi="Wingdings 2" w:eastAsia="Wingdings 2" w:cs="Wingdings 2"/>
      <w:color w:val="000000"/>
      <w:sz w:val="24"/>
      <w:szCs w:val="24"/>
      <w:u w:val="none"/>
    </w:rPr>
  </w:style>
  <w:style w:type="character" w:customStyle="1" w:styleId="51">
    <w:name w:val="font21"/>
    <w:basedOn w:val="30"/>
    <w:qFormat/>
    <w:uiPriority w:val="0"/>
    <w:rPr>
      <w:rFonts w:hint="eastAsia" w:ascii="宋体" w:hAnsi="宋体" w:eastAsia="宋体" w:cs="宋体"/>
      <w:color w:val="000000"/>
      <w:sz w:val="22"/>
      <w:szCs w:val="22"/>
      <w:u w:val="none"/>
    </w:rPr>
  </w:style>
  <w:style w:type="character" w:customStyle="1" w:styleId="52">
    <w:name w:val="st1"/>
    <w:basedOn w:val="30"/>
    <w:qFormat/>
    <w:uiPriority w:val="0"/>
    <w:rPr>
      <w:sz w:val="27"/>
      <w:szCs w:val="27"/>
    </w:rPr>
  </w:style>
  <w:style w:type="paragraph" w:customStyle="1" w:styleId="53">
    <w:name w:val="Normal_61"/>
    <w:qFormat/>
    <w:uiPriority w:val="0"/>
    <w:pPr>
      <w:spacing w:before="120" w:after="240"/>
      <w:jc w:val="both"/>
    </w:pPr>
    <w:rPr>
      <w:rFonts w:ascii="Calibri" w:hAnsi="Calibri" w:eastAsia="Calibri" w:cs="Times New Roman"/>
      <w:sz w:val="22"/>
      <w:szCs w:val="22"/>
      <w:lang w:val="ru-RU" w:eastAsia="en-US" w:bidi="ar-SA"/>
    </w:rPr>
  </w:style>
  <w:style w:type="paragraph" w:customStyle="1" w:styleId="54">
    <w:name w:val="报告表格"/>
    <w:basedOn w:val="1"/>
    <w:qFormat/>
    <w:uiPriority w:val="0"/>
    <w:pPr>
      <w:autoSpaceDE w:val="0"/>
      <w:autoSpaceDN w:val="0"/>
      <w:adjustRightInd w:val="0"/>
      <w:spacing w:before="40" w:after="40"/>
      <w:jc w:val="center"/>
      <w:textAlignment w:val="bottom"/>
    </w:pPr>
    <w:rPr>
      <w:kern w:val="0"/>
    </w:rPr>
  </w:style>
  <w:style w:type="paragraph" w:customStyle="1" w:styleId="55">
    <w:name w:val="表头何昌泽"/>
    <w:basedOn w:val="1"/>
    <w:qFormat/>
    <w:uiPriority w:val="0"/>
    <w:pPr>
      <w:widowControl/>
      <w:adjustRightInd w:val="0"/>
      <w:snapToGrid w:val="0"/>
      <w:spacing w:line="160" w:lineRule="atLeast"/>
      <w:jc w:val="center"/>
    </w:pPr>
    <w:rPr>
      <w:rFonts w:ascii="Calibri" w:hAnsi="Calibri" w:eastAsia="Times New Roman" w:cs="Times New Roman"/>
      <w:b/>
      <w:szCs w:val="21"/>
    </w:rPr>
  </w:style>
  <w:style w:type="paragraph" w:customStyle="1" w:styleId="56">
    <w:name w:val="表头"/>
    <w:qFormat/>
    <w:uiPriority w:val="99"/>
    <w:pPr>
      <w:spacing w:beforeLines="50"/>
      <w:jc w:val="center"/>
    </w:pPr>
    <w:rPr>
      <w:rFonts w:ascii="Times New Roman" w:hAnsi="Times New Roman" w:eastAsia="宋体" w:cs="Times New Roman"/>
      <w:b/>
      <w:sz w:val="24"/>
      <w:lang w:val="en-US" w:eastAsia="zh-CN" w:bidi="ar-SA"/>
    </w:rPr>
  </w:style>
  <w:style w:type="paragraph" w:customStyle="1" w:styleId="57">
    <w:name w:val="表格"/>
    <w:basedOn w:val="1"/>
    <w:next w:val="1"/>
    <w:qFormat/>
    <w:uiPriority w:val="0"/>
    <w:pPr>
      <w:jc w:val="center"/>
    </w:pPr>
    <w:rPr>
      <w:sz w:val="24"/>
    </w:rPr>
  </w:style>
  <w:style w:type="paragraph" w:customStyle="1" w:styleId="58">
    <w:name w:val="1表格头"/>
    <w:basedOn w:val="1"/>
    <w:qFormat/>
    <w:uiPriority w:val="0"/>
    <w:pPr>
      <w:snapToGrid w:val="0"/>
      <w:spacing w:line="160" w:lineRule="atLeast"/>
      <w:jc w:val="center"/>
    </w:pPr>
    <w:rPr>
      <w:rFonts w:eastAsia="仿宋_GB2312"/>
      <w:sz w:val="24"/>
      <w:szCs w:val="20"/>
    </w:rPr>
  </w:style>
  <w:style w:type="paragraph" w:customStyle="1" w:styleId="59">
    <w:name w:val="——大纲报告书表格标题"/>
    <w:basedOn w:val="1"/>
    <w:qFormat/>
    <w:uiPriority w:val="0"/>
    <w:pPr>
      <w:tabs>
        <w:tab w:val="left" w:pos="0"/>
        <w:tab w:val="left" w:pos="785"/>
      </w:tabs>
      <w:jc w:val="center"/>
      <w:outlineLvl w:val="8"/>
    </w:pPr>
    <w:rPr>
      <w:b/>
      <w:szCs w:val="24"/>
    </w:rPr>
  </w:style>
  <w:style w:type="paragraph" w:customStyle="1" w:styleId="60">
    <w:name w:val=" Char"/>
    <w:basedOn w:val="1"/>
    <w:qFormat/>
    <w:uiPriority w:val="0"/>
    <w:pPr>
      <w:spacing w:line="360" w:lineRule="auto"/>
      <w:ind w:firstLine="200" w:firstLineChars="200"/>
    </w:pPr>
    <w:rPr>
      <w:rFonts w:ascii="宋体" w:hAnsi="宋体" w:cs="宋体"/>
      <w:sz w:val="24"/>
    </w:rPr>
  </w:style>
  <w:style w:type="paragraph" w:customStyle="1" w:styleId="61">
    <w:name w:val="表格标题"/>
    <w:qFormat/>
    <w:uiPriority w:val="0"/>
    <w:pPr>
      <w:jc w:val="center"/>
    </w:pPr>
    <w:rPr>
      <w:rFonts w:ascii="TimesNewRoman" w:hAnsi="TimesNewRoman" w:eastAsia="宋体" w:cs="Times New Roman"/>
      <w:b/>
      <w:sz w:val="24"/>
      <w:lang w:val="en-US" w:eastAsia="zh-CN" w:bidi="ar-SA"/>
    </w:rPr>
  </w:style>
  <w:style w:type="paragraph" w:customStyle="1" w:styleId="62">
    <w:name w:val="报告表正文"/>
    <w:basedOn w:val="1"/>
    <w:qFormat/>
    <w:uiPriority w:val="0"/>
    <w:pPr>
      <w:adjustRightInd w:val="0"/>
      <w:spacing w:line="312" w:lineRule="auto"/>
      <w:ind w:left="113" w:right="113" w:firstLine="482"/>
      <w:jc w:val="left"/>
      <w:textAlignment w:val="baseline"/>
    </w:pPr>
    <w:rPr>
      <w:kern w:val="0"/>
      <w:sz w:val="24"/>
      <w:szCs w:val="20"/>
    </w:rPr>
  </w:style>
  <w:style w:type="paragraph" w:customStyle="1" w:styleId="63">
    <w:name w:val="_Style 20"/>
    <w:basedOn w:val="1"/>
    <w:qFormat/>
    <w:uiPriority w:val="0"/>
  </w:style>
  <w:style w:type="paragraph" w:customStyle="1" w:styleId="64">
    <w:name w:val="报告"/>
    <w:basedOn w:val="1"/>
    <w:qFormat/>
    <w:uiPriority w:val="0"/>
    <w:pPr>
      <w:adjustRightInd w:val="0"/>
      <w:spacing w:line="360" w:lineRule="auto"/>
      <w:ind w:firstLine="505"/>
      <w:textAlignment w:val="center"/>
    </w:pPr>
    <w:rPr>
      <w:rFonts w:ascii="TimesNewRoman" w:hAnsi="TimesNewRoman"/>
      <w:bCs/>
      <w:kern w:val="0"/>
      <w:sz w:val="24"/>
    </w:rPr>
  </w:style>
  <w:style w:type="paragraph" w:customStyle="1" w:styleId="65">
    <w:name w:val="Normal_46"/>
    <w:qFormat/>
    <w:uiPriority w:val="0"/>
    <w:pPr>
      <w:spacing w:before="120" w:after="240"/>
      <w:jc w:val="both"/>
    </w:pPr>
    <w:rPr>
      <w:rFonts w:ascii="Calibri" w:hAnsi="Calibri" w:eastAsia="Calibri" w:cs="Times New Roman"/>
      <w:sz w:val="22"/>
      <w:szCs w:val="22"/>
      <w:lang w:val="ru-RU" w:eastAsia="en-US" w:bidi="ar-SA"/>
    </w:rPr>
  </w:style>
  <w:style w:type="paragraph" w:customStyle="1" w:styleId="66">
    <w:name w:val="表中"/>
    <w:qFormat/>
    <w:uiPriority w:val="0"/>
    <w:pPr>
      <w:spacing w:line="300" w:lineRule="exact"/>
      <w:jc w:val="center"/>
    </w:pPr>
    <w:rPr>
      <w:rFonts w:ascii="Times New Roman" w:hAnsi="Times New Roman" w:eastAsia="宋体" w:cs="Times New Roman"/>
      <w:kern w:val="44"/>
      <w:sz w:val="21"/>
      <w:szCs w:val="21"/>
      <w:lang w:val="en-US" w:eastAsia="zh-CN" w:bidi="ar-SA"/>
    </w:rPr>
  </w:style>
  <w:style w:type="paragraph" w:customStyle="1" w:styleId="67">
    <w:name w:val="标题3l"/>
    <w:basedOn w:val="1"/>
    <w:qFormat/>
    <w:uiPriority w:val="0"/>
    <w:pPr>
      <w:adjustRightInd w:val="0"/>
      <w:snapToGrid w:val="0"/>
      <w:spacing w:before="120" w:line="360" w:lineRule="auto"/>
      <w:ind w:left="1260" w:hanging="420"/>
      <w:outlineLvl w:val="2"/>
    </w:pPr>
    <w:rPr>
      <w:b/>
      <w:color w:val="000000"/>
    </w:rPr>
  </w:style>
  <w:style w:type="paragraph" w:customStyle="1" w:styleId="68">
    <w:name w:val="章标题"/>
    <w:basedOn w:val="1"/>
    <w:next w:val="69"/>
    <w:qFormat/>
    <w:uiPriority w:val="99"/>
    <w:pPr>
      <w:widowControl/>
      <w:spacing w:line="323" w:lineRule="atLeast"/>
      <w:ind w:right="-120"/>
      <w:jc w:val="center"/>
      <w:textAlignment w:val="baseline"/>
    </w:pPr>
    <w:rPr>
      <w:color w:val="FF0000"/>
      <w:kern w:val="0"/>
      <w:sz w:val="18"/>
      <w:szCs w:val="18"/>
    </w:rPr>
  </w:style>
  <w:style w:type="paragraph" w:customStyle="1" w:styleId="69">
    <w:name w:val="节标题"/>
    <w:basedOn w:val="1"/>
    <w:next w:val="1"/>
    <w:qFormat/>
    <w:uiPriority w:val="99"/>
    <w:pPr>
      <w:widowControl/>
      <w:spacing w:line="289" w:lineRule="atLeast"/>
      <w:jc w:val="center"/>
      <w:textAlignment w:val="baseline"/>
    </w:pPr>
    <w:rPr>
      <w:color w:val="000000"/>
      <w:kern w:val="0"/>
      <w:sz w:val="28"/>
      <w:szCs w:val="28"/>
    </w:rPr>
  </w:style>
  <w:style w:type="paragraph" w:customStyle="1" w:styleId="70">
    <w:name w:val="XF-标题4"/>
    <w:basedOn w:val="6"/>
    <w:next w:val="1"/>
    <w:qFormat/>
    <w:uiPriority w:val="0"/>
    <w:pPr>
      <w:widowControl w:val="0"/>
      <w:numPr>
        <w:ilvl w:val="3"/>
        <w:numId w:val="2"/>
      </w:numPr>
      <w:tabs>
        <w:tab w:val="left" w:pos="0"/>
      </w:tabs>
      <w:adjustRightInd/>
      <w:snapToGrid/>
      <w:spacing w:before="120" w:after="120" w:line="520" w:lineRule="exact"/>
    </w:pPr>
    <w:rPr>
      <w:rFonts w:ascii="Times New Roman" w:hAnsi="Times New Roman" w:eastAsia="宋体" w:cs="Times New Roman"/>
      <w:kern w:val="2"/>
      <w:sz w:val="24"/>
    </w:rPr>
  </w:style>
  <w:style w:type="paragraph" w:customStyle="1" w:styleId="71">
    <w:name w:val="正文1"/>
    <w:basedOn w:val="1"/>
    <w:qFormat/>
    <w:uiPriority w:val="0"/>
    <w:pPr>
      <w:adjustRightInd w:val="0"/>
      <w:snapToGrid w:val="0"/>
      <w:spacing w:line="440" w:lineRule="exact"/>
      <w:ind w:firstLine="200" w:firstLineChars="200"/>
    </w:pPr>
    <w:rPr>
      <w:rFonts w:eastAsia="华文中宋"/>
      <w:kern w:val="2"/>
      <w:sz w:val="24"/>
      <w:lang w:val="en-US" w:eastAsia="zh-CN" w:bidi="ar-SA"/>
    </w:rPr>
  </w:style>
  <w:style w:type="paragraph" w:customStyle="1" w:styleId="72">
    <w:name w:val="图表标题"/>
    <w:basedOn w:val="64"/>
    <w:next w:val="54"/>
    <w:qFormat/>
    <w:uiPriority w:val="99"/>
    <w:pPr>
      <w:adjustRightInd/>
      <w:spacing w:line="240" w:lineRule="auto"/>
      <w:ind w:firstLine="0"/>
      <w:jc w:val="center"/>
      <w:textAlignment w:val="baseline"/>
    </w:pPr>
    <w:rPr>
      <w:rFonts w:ascii="Times New Roman" w:hAnsi="Times New Roman"/>
      <w:b/>
      <w:bCs w:val="0"/>
      <w:szCs w:val="24"/>
    </w:rPr>
  </w:style>
  <w:style w:type="paragraph" w:customStyle="1" w:styleId="73">
    <w:name w:val="样式2"/>
    <w:basedOn w:val="1"/>
    <w:qFormat/>
    <w:uiPriority w:val="0"/>
    <w:pPr>
      <w:adjustRightInd w:val="0"/>
      <w:ind w:left="170"/>
      <w:jc w:val="left"/>
      <w:textAlignment w:val="baseline"/>
    </w:pPr>
    <w:rPr>
      <w:b/>
      <w:kern w:val="0"/>
      <w:sz w:val="24"/>
      <w:szCs w:val="20"/>
    </w:rPr>
  </w:style>
  <w:style w:type="paragraph" w:customStyle="1" w:styleId="74">
    <w:name w:val="表格中字体123"/>
    <w:basedOn w:val="1"/>
    <w:qFormat/>
    <w:uiPriority w:val="0"/>
    <w:pPr>
      <w:spacing w:line="240" w:lineRule="exact"/>
      <w:jc w:val="center"/>
    </w:pPr>
    <w:rPr>
      <w:color w:val="000000"/>
      <w:szCs w:val="22"/>
    </w:rPr>
  </w:style>
  <w:style w:type="paragraph" w:customStyle="1" w:styleId="75">
    <w:name w:val="Normal_37"/>
    <w:qFormat/>
    <w:uiPriority w:val="0"/>
    <w:pPr>
      <w:spacing w:before="120" w:after="240"/>
      <w:jc w:val="both"/>
    </w:pPr>
    <w:rPr>
      <w:rFonts w:ascii="Calibri" w:hAnsi="Calibri" w:eastAsia="Calibri" w:cs="Times New Roman"/>
      <w:sz w:val="22"/>
      <w:szCs w:val="22"/>
      <w:lang w:val="ru-RU" w:eastAsia="en-US" w:bidi="ar-SA"/>
    </w:rPr>
  </w:style>
  <w:style w:type="paragraph" w:customStyle="1" w:styleId="76">
    <w:name w:val="表格文字"/>
    <w:next w:val="1"/>
    <w:qFormat/>
    <w:uiPriority w:val="0"/>
    <w:pPr>
      <w:widowControl w:val="0"/>
      <w:adjustRightInd w:val="0"/>
      <w:spacing w:line="360" w:lineRule="atLeast"/>
      <w:jc w:val="center"/>
      <w:textAlignment w:val="baseline"/>
    </w:pPr>
    <w:rPr>
      <w:rFonts w:ascii="Calibri" w:hAnsi="Calibri" w:eastAsia="宋体" w:cs="Times New Roman"/>
      <w:sz w:val="21"/>
      <w:szCs w:val="21"/>
      <w:lang w:val="en-US" w:eastAsia="zh-CN" w:bidi="ar-SA"/>
    </w:rPr>
  </w:style>
  <w:style w:type="paragraph" w:customStyle="1" w:styleId="77">
    <w:name w:val="首行缩进"/>
    <w:basedOn w:val="1"/>
    <w:qFormat/>
    <w:uiPriority w:val="0"/>
    <w:pPr>
      <w:spacing w:line="360" w:lineRule="auto"/>
      <w:ind w:firstLine="480" w:firstLineChars="200"/>
    </w:pPr>
    <w:rPr>
      <w:sz w:val="24"/>
      <w:szCs w:val="24"/>
    </w:rPr>
  </w:style>
  <w:style w:type="paragraph" w:customStyle="1" w:styleId="78">
    <w:name w:val="1表格"/>
    <w:basedOn w:val="1"/>
    <w:qFormat/>
    <w:uiPriority w:val="0"/>
    <w:pPr>
      <w:snapToGrid w:val="0"/>
      <w:spacing w:line="160" w:lineRule="atLeast"/>
      <w:jc w:val="center"/>
    </w:pPr>
    <w:rPr>
      <w:rFonts w:eastAsia="仿宋_GB2312"/>
      <w:szCs w:val="20"/>
    </w:rPr>
  </w:style>
  <w:style w:type="paragraph" w:customStyle="1" w:styleId="79">
    <w:name w:val="表格何昌泽"/>
    <w:basedOn w:val="55"/>
    <w:qFormat/>
    <w:uiPriority w:val="0"/>
    <w:rPr>
      <w:b w:val="0"/>
    </w:rPr>
  </w:style>
  <w:style w:type="paragraph" w:customStyle="1" w:styleId="80">
    <w:name w:val="正文11"/>
    <w:basedOn w:val="1"/>
    <w:qFormat/>
    <w:uiPriority w:val="0"/>
    <w:pPr>
      <w:spacing w:line="640" w:lineRule="exact"/>
      <w:ind w:firstLine="560" w:firstLineChars="200"/>
      <w:jc w:val="left"/>
    </w:pPr>
    <w:rPr>
      <w:rFonts w:ascii="仿宋_GB2312" w:hAnsi="宋体" w:eastAsia="仿宋_GB2312"/>
      <w:kern w:val="0"/>
      <w:sz w:val="28"/>
    </w:rPr>
  </w:style>
  <w:style w:type="paragraph" w:customStyle="1" w:styleId="81">
    <w:name w:val="表"/>
    <w:basedOn w:val="1"/>
    <w:qFormat/>
    <w:uiPriority w:val="0"/>
    <w:pPr>
      <w:snapToGrid w:val="0"/>
      <w:jc w:val="center"/>
    </w:pPr>
    <w:rPr>
      <w:spacing w:val="2"/>
    </w:rPr>
  </w:style>
  <w:style w:type="paragraph" w:customStyle="1" w:styleId="82">
    <w:name w:val="Table Paragraph"/>
    <w:basedOn w:val="1"/>
    <w:qFormat/>
    <w:uiPriority w:val="1"/>
    <w:pPr>
      <w:jc w:val="left"/>
    </w:pPr>
    <w:rPr>
      <w:rFonts w:ascii="Calibri" w:hAnsi="Calibri" w:eastAsia="宋体" w:cs="Times New Roman"/>
      <w:kern w:val="0"/>
      <w:sz w:val="22"/>
      <w:szCs w:val="22"/>
      <w:lang w:eastAsia="en-US"/>
    </w:rPr>
  </w:style>
  <w:style w:type="paragraph" w:customStyle="1" w:styleId="83">
    <w:name w:val="表1 五号"/>
    <w:basedOn w:val="1"/>
    <w:qFormat/>
    <w:uiPriority w:val="0"/>
    <w:pPr>
      <w:adjustRightInd w:val="0"/>
      <w:snapToGrid w:val="0"/>
      <w:jc w:val="center"/>
    </w:pPr>
    <w:rPr>
      <w:szCs w:val="21"/>
    </w:rPr>
  </w:style>
  <w:style w:type="paragraph" w:customStyle="1" w:styleId="84">
    <w:name w:val="常用样式（方正仿宋简）"/>
    <w:basedOn w:val="1"/>
    <w:next w:val="1"/>
    <w:qFormat/>
    <w:uiPriority w:val="99"/>
    <w:pPr>
      <w:spacing w:line="560" w:lineRule="exact"/>
      <w:ind w:firstLine="640" w:firstLineChars="200"/>
    </w:pPr>
    <w:rPr>
      <w:rFonts w:eastAsia="方正仿宋简体"/>
      <w:sz w:val="32"/>
      <w:szCs w:val="32"/>
    </w:rPr>
  </w:style>
  <w:style w:type="paragraph" w:customStyle="1" w:styleId="85">
    <w:name w:val="1标题3级"/>
    <w:basedOn w:val="1"/>
    <w:qFormat/>
    <w:uiPriority w:val="0"/>
    <w:pPr>
      <w:snapToGrid w:val="0"/>
      <w:spacing w:line="360" w:lineRule="auto"/>
    </w:pPr>
    <w:rPr>
      <w:rFonts w:eastAsia="仿宋_GB2312"/>
      <w:sz w:val="28"/>
      <w:szCs w:val="20"/>
    </w:rPr>
  </w:style>
  <w:style w:type="paragraph" w:customStyle="1" w:styleId="86">
    <w:name w:val="表文字"/>
    <w:basedOn w:val="1"/>
    <w:next w:val="1"/>
    <w:qFormat/>
    <w:uiPriority w:val="0"/>
    <w:pPr>
      <w:topLinePunct/>
      <w:spacing w:line="240" w:lineRule="auto"/>
      <w:ind w:firstLine="0" w:firstLineChars="0"/>
      <w:jc w:val="center"/>
    </w:pPr>
    <w:rPr>
      <w:sz w:val="21"/>
      <w:szCs w:val="21"/>
    </w:rPr>
  </w:style>
  <w:style w:type="table" w:customStyle="1" w:styleId="87">
    <w:name w:val="Table Normal"/>
    <w:unhideWhenUsed/>
    <w:qFormat/>
    <w:uiPriority w:val="2"/>
    <w:pPr>
      <w:widowControl w:val="0"/>
    </w:pPr>
    <w:rPr>
      <w:rFonts w:ascii="Calibri" w:hAnsi="Calibri" w:eastAsia="宋体" w:cs="Times New Roman"/>
      <w:sz w:val="22"/>
      <w:szCs w:val="22"/>
      <w:lang w:eastAsia="en-US"/>
    </w:rPr>
    <w:tblPr>
      <w:tblCellMar>
        <w:top w:w="0" w:type="dxa"/>
        <w:left w:w="0" w:type="dxa"/>
        <w:bottom w:w="0" w:type="dxa"/>
        <w:right w:w="0" w:type="dxa"/>
      </w:tblCellMar>
    </w:tblPr>
  </w:style>
  <w:style w:type="table" w:customStyle="1" w:styleId="88">
    <w:name w:val="网格型11511"/>
    <w:basedOn w:val="27"/>
    <w:qFormat/>
    <w:uiPriority w:val="0"/>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paragraph" w:customStyle="1" w:styleId="89">
    <w:name w:val="Normal_0"/>
    <w:qFormat/>
    <w:uiPriority w:val="0"/>
    <w:pPr>
      <w:widowControl w:val="0"/>
      <w:spacing w:line="360" w:lineRule="auto"/>
      <w:ind w:firstLine="200" w:firstLineChars="200"/>
      <w:jc w:val="both"/>
    </w:pPr>
    <w:rPr>
      <w:rFonts w:ascii="Times New Roman" w:hAnsi="Times New Roman" w:eastAsia="仿宋" w:cs="Times New Roman"/>
      <w:kern w:val="2"/>
      <w:sz w:val="28"/>
      <w:szCs w:val="21"/>
    </w:rPr>
  </w:style>
  <w:style w:type="paragraph" w:customStyle="1" w:styleId="90">
    <w:name w:val="Normal_0_0"/>
    <w:qFormat/>
    <w:uiPriority w:val="0"/>
    <w:pPr>
      <w:widowControl w:val="0"/>
      <w:spacing w:line="360" w:lineRule="auto"/>
      <w:ind w:firstLine="200" w:firstLineChars="200"/>
      <w:jc w:val="both"/>
    </w:pPr>
    <w:rPr>
      <w:rFonts w:ascii="Times New Roman" w:hAnsi="Times New Roman" w:eastAsia="仿宋" w:cs="Times New Roman"/>
      <w:kern w:val="2"/>
      <w:sz w:val="28"/>
      <w:szCs w:val="21"/>
    </w:rPr>
  </w:style>
  <w:style w:type="paragraph" w:customStyle="1" w:styleId="91">
    <w:name w:val="表内文字"/>
    <w:basedOn w:val="1"/>
    <w:qFormat/>
    <w:uiPriority w:val="99"/>
    <w:rPr>
      <w:rFonts w:ascii="Calibri" w:hAnsi="Calibri"/>
      <w:kern w:val="0"/>
    </w:rPr>
  </w:style>
  <w:style w:type="paragraph" w:customStyle="1" w:styleId="92">
    <w:name w:val="表格内容-龙池"/>
    <w:basedOn w:val="1"/>
    <w:qFormat/>
    <w:uiPriority w:val="0"/>
    <w:pPr>
      <w:autoSpaceDE w:val="0"/>
      <w:autoSpaceDN w:val="0"/>
      <w:adjustRightInd w:val="0"/>
      <w:contextualSpacing/>
      <w:jc w:val="center"/>
    </w:pPr>
    <w:rPr>
      <w:rFonts w:ascii="Calibri" w:hAnsi="Calibri"/>
      <w:kern w:val="0"/>
      <w:szCs w:val="21"/>
    </w:rPr>
  </w:style>
  <w:style w:type="paragraph" w:customStyle="1" w:styleId="93">
    <w:name w:val="表格首行"/>
    <w:basedOn w:val="1"/>
    <w:next w:val="3"/>
    <w:qFormat/>
    <w:uiPriority w:val="0"/>
    <w:pPr>
      <w:adjustRightInd w:val="0"/>
      <w:jc w:val="center"/>
    </w:pPr>
    <w:rPr>
      <w:rFonts w:cs="宋体"/>
      <w:b/>
    </w:rPr>
  </w:style>
  <w:style w:type="paragraph" w:styleId="94">
    <w:name w:val="No Spacing"/>
    <w:next w:val="95"/>
    <w:qFormat/>
    <w:uiPriority w:val="1"/>
    <w:pPr>
      <w:widowControl w:val="0"/>
      <w:spacing w:line="340" w:lineRule="exact"/>
      <w:jc w:val="center"/>
    </w:pPr>
    <w:rPr>
      <w:rFonts w:ascii="Times New Roman" w:hAnsi="Times New Roman" w:eastAsia="宋体" w:cs="Arial"/>
      <w:snapToGrid w:val="0"/>
      <w:color w:val="1F497D"/>
      <w:sz w:val="21"/>
      <w:szCs w:val="21"/>
      <w:lang w:val="zh-CN" w:eastAsia="zh-CN" w:bidi="ar-SA"/>
    </w:rPr>
  </w:style>
  <w:style w:type="paragraph" w:customStyle="1" w:styleId="95">
    <w:name w:val="书正文"/>
    <w:basedOn w:val="1"/>
    <w:qFormat/>
    <w:uiPriority w:val="0"/>
    <w:pPr>
      <w:ind w:firstLine="480"/>
      <w:jc w:val="both"/>
    </w:pPr>
    <w:rPr>
      <w:rFonts w:ascii="Times New Roman" w:hAnsi="Times New Roman" w:eastAsia="宋体"/>
      <w:color w:val="000000"/>
      <w:sz w:val="24"/>
      <w:szCs w:val="22"/>
      <w:shd w:val="clear" w:color="auto" w:fill="FFFFFF"/>
    </w:rPr>
  </w:style>
  <w:style w:type="paragraph" w:customStyle="1" w:styleId="96">
    <w:name w:val="表格内容"/>
    <w:basedOn w:val="1"/>
    <w:next w:val="3"/>
    <w:qFormat/>
    <w:uiPriority w:val="0"/>
    <w:pPr>
      <w:framePr w:wrap="around" w:vAnchor="text" w:hAnchor="text" w:y="1"/>
      <w:adjustRightInd w:val="0"/>
      <w:jc w:val="center"/>
    </w:pPr>
    <w:rPr>
      <w:rFonts w:cs="Courier New"/>
      <w:kern w:val="0"/>
      <w:szCs w:val="21"/>
    </w:rPr>
  </w:style>
  <w:style w:type="table" w:customStyle="1" w:styleId="97">
    <w:name w:val="Table Grid_0"/>
    <w:basedOn w:val="27"/>
    <w:qFormat/>
    <w:uiPriority w:val="0"/>
    <w:rPr>
      <w:rFonts w:ascii="Times New Roman" w:hAnsi="Times New Roman" w:eastAsia="仿宋" w:cs="Times New Roman"/>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s>
</file>

<file path=word/_rels/document.xml.rels><?xml version="1.0" encoding="UTF-8" standalone="yes"?>
<Relationships xmlns="http://schemas.openxmlformats.org/package/2006/relationships"><Relationship Id="rId9" Type="http://schemas.openxmlformats.org/officeDocument/2006/relationships/footer" Target="footer3.xml"/><Relationship Id="rId8" Type="http://schemas.openxmlformats.org/officeDocument/2006/relationships/header" Target="header4.xml"/><Relationship Id="rId7" Type="http://schemas.openxmlformats.org/officeDocument/2006/relationships/footer" Target="footer2.xml"/><Relationship Id="rId6" Type="http://schemas.openxmlformats.org/officeDocument/2006/relationships/header" Target="header3.xml"/><Relationship Id="rId5" Type="http://schemas.openxmlformats.org/officeDocument/2006/relationships/footer" Target="footer1.xml"/><Relationship Id="rId4" Type="http://schemas.openxmlformats.org/officeDocument/2006/relationships/header" Target="header2.xml"/><Relationship Id="rId37" Type="http://schemas.openxmlformats.org/officeDocument/2006/relationships/fontTable" Target="fontTable.xml"/><Relationship Id="rId36" Type="http://schemas.openxmlformats.org/officeDocument/2006/relationships/numbering" Target="numbering.xml"/><Relationship Id="rId35" Type="http://schemas.openxmlformats.org/officeDocument/2006/relationships/customXml" Target="../customXml/item1.xml"/><Relationship Id="rId34" Type="http://schemas.openxmlformats.org/officeDocument/2006/relationships/image" Target="media/image20.png"/><Relationship Id="rId33" Type="http://schemas.openxmlformats.org/officeDocument/2006/relationships/image" Target="media/image19.png"/><Relationship Id="rId32" Type="http://schemas.openxmlformats.org/officeDocument/2006/relationships/image" Target="media/image18.png"/><Relationship Id="rId31" Type="http://schemas.openxmlformats.org/officeDocument/2006/relationships/image" Target="media/image17.png"/><Relationship Id="rId30" Type="http://schemas.openxmlformats.org/officeDocument/2006/relationships/image" Target="media/image16.png"/><Relationship Id="rId3" Type="http://schemas.openxmlformats.org/officeDocument/2006/relationships/header" Target="header1.xml"/><Relationship Id="rId29" Type="http://schemas.openxmlformats.org/officeDocument/2006/relationships/image" Target="media/image15.png"/><Relationship Id="rId28" Type="http://schemas.openxmlformats.org/officeDocument/2006/relationships/image" Target="media/image14.png"/><Relationship Id="rId27" Type="http://schemas.openxmlformats.org/officeDocument/2006/relationships/image" Target="media/image13.png"/><Relationship Id="rId26" Type="http://schemas.openxmlformats.org/officeDocument/2006/relationships/image" Target="media/image12.png"/><Relationship Id="rId25" Type="http://schemas.openxmlformats.org/officeDocument/2006/relationships/image" Target="media/image11.png"/><Relationship Id="rId24" Type="http://schemas.openxmlformats.org/officeDocument/2006/relationships/image" Target="media/image10.wmf"/><Relationship Id="rId23" Type="http://schemas.openxmlformats.org/officeDocument/2006/relationships/oleObject" Target="embeddings/oleObject2.bin"/><Relationship Id="rId22" Type="http://schemas.openxmlformats.org/officeDocument/2006/relationships/image" Target="media/image9.wmf"/><Relationship Id="rId21" Type="http://schemas.openxmlformats.org/officeDocument/2006/relationships/oleObject" Target="embeddings/oleObject1.bin"/><Relationship Id="rId20" Type="http://schemas.openxmlformats.org/officeDocument/2006/relationships/image" Target="media/image8.jpeg"/><Relationship Id="rId2" Type="http://schemas.openxmlformats.org/officeDocument/2006/relationships/settings" Target="settings.xml"/><Relationship Id="rId19" Type="http://schemas.openxmlformats.org/officeDocument/2006/relationships/image" Target="media/image7.jpeg"/><Relationship Id="rId18" Type="http://schemas.openxmlformats.org/officeDocument/2006/relationships/image" Target="media/image6.jpeg"/><Relationship Id="rId17" Type="http://schemas.openxmlformats.org/officeDocument/2006/relationships/image" Target="media/image5.jpeg"/><Relationship Id="rId16" Type="http://schemas.openxmlformats.org/officeDocument/2006/relationships/image" Target="media/image4.jpeg"/><Relationship Id="rId15" Type="http://schemas.openxmlformats.org/officeDocument/2006/relationships/image" Target="media/image3.jpeg"/><Relationship Id="rId14" Type="http://schemas.openxmlformats.org/officeDocument/2006/relationships/image" Target="media/image2.png"/><Relationship Id="rId13" Type="http://schemas.openxmlformats.org/officeDocument/2006/relationships/image" Target="media/image1.png"/><Relationship Id="rId12" Type="http://schemas.openxmlformats.org/officeDocument/2006/relationships/theme" Target="theme/theme1.xml"/><Relationship Id="rId11" Type="http://schemas.openxmlformats.org/officeDocument/2006/relationships/header" Target="header6.xml"/><Relationship Id="rId10" Type="http://schemas.openxmlformats.org/officeDocument/2006/relationships/header" Target="header5.xml"/><Relationship Id="rId1" Type="http://schemas.openxmlformats.org/officeDocument/2006/relationships/styles" Target="styles.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snhks</Company>
  <Pages>80</Pages>
  <Words>29832</Words>
  <Characters>32096</Characters>
  <Lines>178</Lines>
  <Paragraphs>50</Paragraphs>
  <TotalTime>201</TotalTime>
  <ScaleCrop>false</ScaleCrop>
  <LinksUpToDate>false</LinksUpToDate>
  <CharactersWithSpaces>32157</CharactersWithSpaces>
  <Application>WPS Office_12.1.0.20305_F1E327BC-269C-435d-A152-05C5408002CA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2011-03-27T13:31:00Z</dcterms:created>
  <dc:creator>fjx</dc:creator>
  <cp:lastModifiedBy>Administrator</cp:lastModifiedBy>
  <cp:lastPrinted>2020-10-09T09:39:00Z</cp:lastPrinted>
  <dcterms:modified xsi:type="dcterms:W3CDTF">2025-03-17T03:12:55Z</dcterms:modified>
  <dc:title>建设项目基本情况（一）</dc:title>
  <cp:revision>2713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2052-12.1.0.20305</vt:lpwstr>
  </property>
  <property fmtid="{D5CDD505-2E9C-101B-9397-08002B2CF9AE}" pid="3" name="ICV">
    <vt:lpwstr>E07B25E466F545D9A5E5D102D7B5F55F</vt:lpwstr>
  </property>
  <property fmtid="{D5CDD505-2E9C-101B-9397-08002B2CF9AE}" pid="4" name="KSOTemplateDocerSaveRecord">
    <vt:lpwstr>eyJoZGlkIjoiZGM4NjUzNDA1NDkyY2MxZmJmZThlN2U3ZTFkMjcwOGYifQ==</vt:lpwstr>
  </property>
</Properties>
</file>