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1E1A87">
      <w:pPr>
        <w:jc w:val="center"/>
        <w:rPr>
          <w:rFonts w:ascii="方正小标宋简体" w:eastAsia="方正小标宋简体"/>
          <w:sz w:val="52"/>
          <w:szCs w:val="52"/>
        </w:rPr>
      </w:pPr>
    </w:p>
    <w:p w14:paraId="2DD7D801">
      <w:pPr>
        <w:jc w:val="center"/>
        <w:rPr>
          <w:rFonts w:ascii="方正小标宋简体" w:eastAsia="方正小标宋简体"/>
          <w:sz w:val="44"/>
          <w:szCs w:val="44"/>
        </w:rPr>
      </w:pPr>
    </w:p>
    <w:p w14:paraId="61B817D4">
      <w:pPr>
        <w:jc w:val="center"/>
        <w:rPr>
          <w:rFonts w:ascii="方正小标宋简体" w:eastAsia="方正小标宋简体"/>
          <w:sz w:val="44"/>
          <w:szCs w:val="44"/>
        </w:rPr>
      </w:pPr>
    </w:p>
    <w:p w14:paraId="3380CBEE">
      <w:pPr>
        <w:jc w:val="center"/>
        <w:rPr>
          <w:rFonts w:ascii="宋体" w:hAnsi="宋体" w:eastAsia="宋体"/>
          <w:b/>
          <w:bCs/>
          <w:sz w:val="52"/>
          <w:szCs w:val="52"/>
        </w:rPr>
      </w:pPr>
      <w:r>
        <w:rPr>
          <w:rFonts w:hint="eastAsia" w:ascii="方正小标宋简体" w:eastAsia="方正小标宋简体"/>
          <w:b/>
          <w:bCs/>
          <w:sz w:val="44"/>
          <w:szCs w:val="44"/>
        </w:rPr>
        <w:t>遂宁市安居区海龙凯歌文化旅游园区管委会</w:t>
      </w:r>
    </w:p>
    <w:p w14:paraId="3DA8DEAA">
      <w:pPr>
        <w:jc w:val="center"/>
        <w:rPr>
          <w:rFonts w:ascii="宋体" w:hAnsi="宋体" w:eastAsia="宋体"/>
          <w:b/>
          <w:bCs/>
          <w:sz w:val="52"/>
          <w:szCs w:val="52"/>
        </w:rPr>
      </w:pPr>
      <w:r>
        <w:rPr>
          <w:rFonts w:ascii="宋体" w:hAnsi="宋体" w:eastAsia="宋体"/>
          <w:b/>
          <w:bCs/>
          <w:sz w:val="52"/>
          <w:szCs w:val="52"/>
        </w:rPr>
        <w:t>2025年部门预算</w:t>
      </w:r>
    </w:p>
    <w:p w14:paraId="6B094BD0">
      <w:pPr>
        <w:spacing w:line="600" w:lineRule="exact"/>
        <w:rPr>
          <w:rFonts w:ascii="仿宋_GB2312"/>
          <w:b/>
          <w:bCs/>
          <w:color w:val="FF0000"/>
          <w:szCs w:val="44"/>
          <w:u w:val="single"/>
        </w:rPr>
      </w:pPr>
    </w:p>
    <w:p w14:paraId="5752DA8A">
      <w:pPr>
        <w:spacing w:line="600" w:lineRule="exact"/>
        <w:jc w:val="center"/>
      </w:pPr>
    </w:p>
    <w:p w14:paraId="1ED4F891">
      <w:pPr>
        <w:spacing w:line="600" w:lineRule="exact"/>
        <w:jc w:val="center"/>
      </w:pPr>
    </w:p>
    <w:p w14:paraId="3C4BC2F3">
      <w:pPr>
        <w:spacing w:line="600" w:lineRule="exact"/>
        <w:jc w:val="center"/>
      </w:pPr>
    </w:p>
    <w:p w14:paraId="41C8985D">
      <w:pPr>
        <w:spacing w:line="600" w:lineRule="exact"/>
        <w:jc w:val="center"/>
      </w:pPr>
    </w:p>
    <w:p w14:paraId="1828A2F4">
      <w:pPr>
        <w:spacing w:line="600" w:lineRule="exact"/>
        <w:jc w:val="center"/>
      </w:pPr>
    </w:p>
    <w:p w14:paraId="15BD303F">
      <w:pPr>
        <w:spacing w:line="600" w:lineRule="exact"/>
        <w:jc w:val="center"/>
      </w:pPr>
    </w:p>
    <w:p w14:paraId="22E679DF">
      <w:pPr>
        <w:spacing w:line="600" w:lineRule="exact"/>
        <w:jc w:val="center"/>
      </w:pPr>
    </w:p>
    <w:p w14:paraId="7309460B">
      <w:pPr>
        <w:spacing w:line="600" w:lineRule="exact"/>
        <w:jc w:val="center"/>
      </w:pPr>
    </w:p>
    <w:p w14:paraId="1A8EC07B">
      <w:pPr>
        <w:spacing w:line="600" w:lineRule="exact"/>
        <w:jc w:val="center"/>
      </w:pPr>
    </w:p>
    <w:p w14:paraId="5D886D98">
      <w:pPr>
        <w:spacing w:line="600" w:lineRule="exact"/>
        <w:jc w:val="center"/>
      </w:pPr>
    </w:p>
    <w:p w14:paraId="617F403F">
      <w:pPr>
        <w:spacing w:line="600" w:lineRule="exact"/>
        <w:jc w:val="center"/>
      </w:pPr>
    </w:p>
    <w:p w14:paraId="6B6129A7">
      <w:pPr>
        <w:spacing w:line="600" w:lineRule="exact"/>
        <w:jc w:val="center"/>
      </w:pPr>
    </w:p>
    <w:p w14:paraId="340C590F">
      <w:pPr>
        <w:spacing w:line="600" w:lineRule="exact"/>
        <w:jc w:val="center"/>
      </w:pPr>
    </w:p>
    <w:p w14:paraId="003610FE">
      <w:pPr>
        <w:spacing w:line="600" w:lineRule="exact"/>
        <w:jc w:val="center"/>
      </w:pPr>
    </w:p>
    <w:p w14:paraId="2AFB9CCA">
      <w:pPr>
        <w:spacing w:line="600" w:lineRule="exact"/>
        <w:jc w:val="center"/>
        <w:rPr>
          <w:rFonts w:ascii="黑体" w:hAnsi="黑体" w:eastAsia="黑体"/>
          <w:sz w:val="44"/>
          <w:szCs w:val="44"/>
        </w:rPr>
      </w:pPr>
      <w:r>
        <w:rPr>
          <w:rFonts w:hint="eastAsia" w:ascii="黑体" w:hAnsi="黑体" w:eastAsia="黑体"/>
          <w:sz w:val="44"/>
          <w:szCs w:val="44"/>
        </w:rPr>
        <w:t>目  录</w:t>
      </w:r>
    </w:p>
    <w:p w14:paraId="63593E6E">
      <w:pPr>
        <w:spacing w:line="600" w:lineRule="exact"/>
        <w:jc w:val="center"/>
        <w:rPr>
          <w:rFonts w:ascii="仿宋_GB2312"/>
          <w:szCs w:val="44"/>
        </w:rPr>
      </w:pPr>
    </w:p>
    <w:p w14:paraId="30D8F5FB">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rPr>
        <w:t>2</w:t>
      </w:r>
      <w:r>
        <w:rPr>
          <w:rFonts w:ascii="黑体" w:hAnsi="黑体" w:eastAsia="黑体"/>
          <w:szCs w:val="44"/>
        </w:rPr>
        <w:t>5</w:t>
      </w:r>
      <w:r>
        <w:rPr>
          <w:rFonts w:hint="eastAsia" w:ascii="黑体" w:hAnsi="黑体" w:eastAsia="黑体"/>
          <w:szCs w:val="44"/>
        </w:rPr>
        <w:t>年部门</w:t>
      </w:r>
      <w:r>
        <w:rPr>
          <w:rFonts w:ascii="黑体" w:hAnsi="黑体" w:eastAsia="黑体"/>
          <w:szCs w:val="44"/>
        </w:rPr>
        <w:t>预算编制说明</w:t>
      </w:r>
    </w:p>
    <w:p w14:paraId="0073FFE2">
      <w:pPr>
        <w:spacing w:line="600" w:lineRule="exact"/>
        <w:ind w:firstLine="632"/>
        <w:rPr>
          <w:rFonts w:ascii="仿宋_GB2312"/>
          <w:szCs w:val="44"/>
        </w:rPr>
      </w:pPr>
      <w:r>
        <w:rPr>
          <w:rFonts w:hint="eastAsia" w:ascii="仿宋_GB2312"/>
          <w:szCs w:val="44"/>
        </w:rPr>
        <w:t>一、基本职能及主要工作</w:t>
      </w:r>
    </w:p>
    <w:p w14:paraId="7D36106F">
      <w:pPr>
        <w:spacing w:line="600" w:lineRule="exact"/>
        <w:ind w:firstLine="632"/>
        <w:rPr>
          <w:rFonts w:ascii="仿宋_GB2312"/>
          <w:szCs w:val="44"/>
        </w:rPr>
      </w:pPr>
      <w:r>
        <w:rPr>
          <w:rFonts w:hint="eastAsia" w:ascii="仿宋_GB2312"/>
          <w:szCs w:val="44"/>
        </w:rPr>
        <w:t>二、部门预算单位构成</w:t>
      </w:r>
    </w:p>
    <w:p w14:paraId="4AE5A079">
      <w:pPr>
        <w:spacing w:line="600" w:lineRule="exact"/>
        <w:ind w:firstLine="632"/>
        <w:rPr>
          <w:rFonts w:ascii="仿宋_GB2312"/>
          <w:szCs w:val="44"/>
        </w:rPr>
      </w:pPr>
      <w:r>
        <w:rPr>
          <w:rFonts w:hint="eastAsia" w:ascii="仿宋_GB2312"/>
          <w:szCs w:val="44"/>
        </w:rPr>
        <w:t>三、收支预算情况说明</w:t>
      </w:r>
    </w:p>
    <w:p w14:paraId="029C95DC">
      <w:pPr>
        <w:spacing w:line="600" w:lineRule="exact"/>
        <w:ind w:firstLine="632"/>
        <w:rPr>
          <w:rFonts w:ascii="仿宋_GB2312"/>
          <w:szCs w:val="44"/>
        </w:rPr>
      </w:pPr>
      <w:r>
        <w:rPr>
          <w:rFonts w:hint="eastAsia" w:ascii="仿宋_GB2312"/>
          <w:szCs w:val="44"/>
        </w:rPr>
        <w:t>四、财政拨款收支预算情况说明</w:t>
      </w:r>
    </w:p>
    <w:p w14:paraId="0F228367">
      <w:pPr>
        <w:spacing w:line="600" w:lineRule="exact"/>
        <w:ind w:firstLine="632"/>
        <w:rPr>
          <w:rFonts w:ascii="仿宋_GB2312"/>
          <w:szCs w:val="44"/>
        </w:rPr>
      </w:pPr>
      <w:r>
        <w:rPr>
          <w:rFonts w:hint="eastAsia" w:ascii="仿宋_GB2312"/>
          <w:szCs w:val="44"/>
        </w:rPr>
        <w:t>五、一般公共预算当年拨款情况说明</w:t>
      </w:r>
    </w:p>
    <w:p w14:paraId="6C7D28DB">
      <w:pPr>
        <w:spacing w:line="600" w:lineRule="exact"/>
        <w:ind w:firstLine="632"/>
        <w:rPr>
          <w:rFonts w:ascii="仿宋_GB2312"/>
          <w:szCs w:val="44"/>
        </w:rPr>
      </w:pPr>
      <w:r>
        <w:rPr>
          <w:rFonts w:hint="eastAsia" w:ascii="仿宋_GB2312"/>
          <w:szCs w:val="44"/>
        </w:rPr>
        <w:t>六、一般公共预算基本支出情况说明</w:t>
      </w:r>
    </w:p>
    <w:p w14:paraId="59899354">
      <w:pPr>
        <w:spacing w:line="600" w:lineRule="exact"/>
        <w:ind w:firstLine="632"/>
        <w:rPr>
          <w:rFonts w:ascii="仿宋_GB2312"/>
          <w:szCs w:val="44"/>
        </w:rPr>
      </w:pPr>
      <w:r>
        <w:rPr>
          <w:rFonts w:hint="eastAsia" w:ascii="仿宋_GB2312"/>
          <w:szCs w:val="44"/>
        </w:rPr>
        <w:t>七、“三公”经费财政拨款预算安排情况说明</w:t>
      </w:r>
    </w:p>
    <w:p w14:paraId="02DF474F">
      <w:pPr>
        <w:spacing w:line="600" w:lineRule="exact"/>
        <w:ind w:left="1264" w:hanging="632"/>
        <w:rPr>
          <w:rFonts w:ascii="仿宋_GB2312"/>
          <w:szCs w:val="44"/>
        </w:rPr>
      </w:pPr>
      <w:r>
        <w:rPr>
          <w:rFonts w:hint="eastAsia" w:ascii="仿宋_GB2312"/>
          <w:szCs w:val="44"/>
        </w:rPr>
        <w:t>八、“会议费”、“培训费”、“差旅费”财政拨款预算安排情况说明</w:t>
      </w:r>
    </w:p>
    <w:p w14:paraId="2DB2C684">
      <w:pPr>
        <w:spacing w:line="600" w:lineRule="exact"/>
        <w:ind w:firstLine="632"/>
        <w:rPr>
          <w:rFonts w:ascii="仿宋_GB2312"/>
          <w:szCs w:val="44"/>
        </w:rPr>
      </w:pPr>
      <w:r>
        <w:rPr>
          <w:rFonts w:hint="eastAsia" w:ascii="仿宋_GB2312"/>
          <w:szCs w:val="44"/>
        </w:rPr>
        <w:t>九、政府性基金预算支出情况说明</w:t>
      </w:r>
    </w:p>
    <w:p w14:paraId="06C5097F">
      <w:pPr>
        <w:spacing w:line="600" w:lineRule="exact"/>
        <w:ind w:firstLine="632"/>
        <w:rPr>
          <w:rFonts w:ascii="仿宋_GB2312"/>
          <w:szCs w:val="44"/>
        </w:rPr>
      </w:pPr>
      <w:r>
        <w:rPr>
          <w:rFonts w:hint="eastAsia" w:ascii="仿宋_GB2312"/>
          <w:szCs w:val="44"/>
        </w:rPr>
        <w:t>十、国有资本经营预算支出情况说明</w:t>
      </w:r>
    </w:p>
    <w:p w14:paraId="300BD4E0">
      <w:pPr>
        <w:spacing w:line="600" w:lineRule="exact"/>
        <w:ind w:firstLine="632"/>
        <w:rPr>
          <w:rFonts w:ascii="仿宋_GB2312"/>
          <w:szCs w:val="44"/>
        </w:rPr>
      </w:pPr>
      <w:r>
        <w:rPr>
          <w:rFonts w:hint="eastAsia" w:ascii="仿宋_GB2312"/>
          <w:szCs w:val="44"/>
        </w:rPr>
        <w:t>十一、其他重要事项的情况说明</w:t>
      </w:r>
    </w:p>
    <w:p w14:paraId="7AF87C83">
      <w:pPr>
        <w:spacing w:line="600" w:lineRule="exact"/>
        <w:ind w:firstLine="632"/>
        <w:rPr>
          <w:rFonts w:ascii="仿宋_GB2312"/>
          <w:szCs w:val="44"/>
        </w:rPr>
      </w:pPr>
      <w:r>
        <w:rPr>
          <w:rFonts w:hint="eastAsia" w:ascii="仿宋_GB2312"/>
          <w:szCs w:val="44"/>
        </w:rPr>
        <w:t>十二</w:t>
      </w:r>
      <w:r>
        <w:rPr>
          <w:rFonts w:ascii="仿宋_GB2312"/>
          <w:szCs w:val="44"/>
        </w:rPr>
        <w:t>、名词解释</w:t>
      </w:r>
    </w:p>
    <w:p w14:paraId="2FBBA679">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rPr>
        <w:t>2</w:t>
      </w:r>
      <w:r>
        <w:rPr>
          <w:rFonts w:ascii="黑体" w:hAnsi="黑体" w:eastAsia="黑体"/>
          <w:szCs w:val="44"/>
        </w:rPr>
        <w:t>5</w:t>
      </w:r>
      <w:r>
        <w:rPr>
          <w:rFonts w:hint="eastAsia" w:ascii="黑体" w:hAnsi="黑体" w:eastAsia="黑体"/>
          <w:szCs w:val="44"/>
        </w:rPr>
        <w:t>年</w:t>
      </w:r>
      <w:r>
        <w:rPr>
          <w:rFonts w:ascii="黑体" w:hAnsi="黑体" w:eastAsia="黑体"/>
          <w:szCs w:val="44"/>
        </w:rPr>
        <w:t>部门预算报表</w:t>
      </w:r>
    </w:p>
    <w:p w14:paraId="7E44E5B0">
      <w:pPr>
        <w:spacing w:line="600" w:lineRule="exact"/>
        <w:ind w:firstLine="632"/>
        <w:rPr>
          <w:rFonts w:ascii="仿宋_GB2312"/>
          <w:szCs w:val="44"/>
        </w:rPr>
      </w:pPr>
      <w:r>
        <w:rPr>
          <w:rFonts w:hint="eastAsia" w:ascii="仿宋_GB2312"/>
          <w:szCs w:val="44"/>
        </w:rPr>
        <w:t>表1. 部门收支总表</w:t>
      </w:r>
    </w:p>
    <w:p w14:paraId="1BED292B">
      <w:pPr>
        <w:spacing w:line="600" w:lineRule="exact"/>
        <w:ind w:firstLine="632"/>
        <w:rPr>
          <w:rFonts w:ascii="仿宋_GB2312"/>
          <w:szCs w:val="44"/>
        </w:rPr>
      </w:pPr>
      <w:r>
        <w:rPr>
          <w:rFonts w:hint="eastAsia" w:ascii="仿宋_GB2312"/>
          <w:szCs w:val="44"/>
        </w:rPr>
        <w:t>表1-1. 部门收入总表</w:t>
      </w:r>
    </w:p>
    <w:p w14:paraId="4BB21CA7">
      <w:pPr>
        <w:spacing w:line="600" w:lineRule="exact"/>
        <w:ind w:firstLine="632"/>
        <w:rPr>
          <w:rFonts w:ascii="仿宋_GB2312"/>
          <w:szCs w:val="44"/>
        </w:rPr>
      </w:pPr>
      <w:r>
        <w:rPr>
          <w:rFonts w:hint="eastAsia" w:ascii="仿宋_GB2312"/>
          <w:szCs w:val="44"/>
        </w:rPr>
        <w:t>表1-2. 部门支出总表</w:t>
      </w:r>
    </w:p>
    <w:p w14:paraId="2E5272D2">
      <w:pPr>
        <w:spacing w:line="600" w:lineRule="exact"/>
        <w:ind w:firstLine="632"/>
        <w:rPr>
          <w:rFonts w:ascii="仿宋_GB2312"/>
          <w:szCs w:val="44"/>
        </w:rPr>
      </w:pPr>
      <w:r>
        <w:rPr>
          <w:rFonts w:hint="eastAsia" w:ascii="仿宋_GB2312"/>
          <w:szCs w:val="44"/>
        </w:rPr>
        <w:t>表2. 财政拨款收支预算总表</w:t>
      </w:r>
    </w:p>
    <w:p w14:paraId="1AC7EE87">
      <w:pPr>
        <w:spacing w:line="600" w:lineRule="exact"/>
        <w:ind w:firstLine="632"/>
        <w:rPr>
          <w:rFonts w:ascii="仿宋_GB2312"/>
          <w:szCs w:val="44"/>
        </w:rPr>
      </w:pPr>
      <w:r>
        <w:rPr>
          <w:rFonts w:hint="eastAsia" w:ascii="仿宋_GB2312"/>
          <w:szCs w:val="44"/>
        </w:rPr>
        <w:t>表2-1. 财政拨款支出预算表（政府经济分类科目）</w:t>
      </w:r>
    </w:p>
    <w:p w14:paraId="18C13253">
      <w:pPr>
        <w:spacing w:line="600" w:lineRule="exact"/>
        <w:ind w:firstLine="632"/>
        <w:rPr>
          <w:rFonts w:ascii="仿宋_GB2312"/>
          <w:szCs w:val="44"/>
        </w:rPr>
      </w:pPr>
      <w:r>
        <w:rPr>
          <w:rFonts w:hint="eastAsia" w:ascii="仿宋_GB2312"/>
          <w:szCs w:val="44"/>
        </w:rPr>
        <w:t>表3. 一般公共预算支出预算表</w:t>
      </w:r>
    </w:p>
    <w:p w14:paraId="5A071E07">
      <w:pPr>
        <w:spacing w:line="600" w:lineRule="exact"/>
        <w:ind w:firstLine="632"/>
        <w:rPr>
          <w:rFonts w:ascii="仿宋_GB2312"/>
          <w:szCs w:val="44"/>
        </w:rPr>
      </w:pPr>
      <w:r>
        <w:rPr>
          <w:rFonts w:hint="eastAsia" w:ascii="仿宋_GB2312"/>
          <w:szCs w:val="44"/>
        </w:rPr>
        <w:t>表3-1. 一般公共预算基本支出预算表</w:t>
      </w:r>
    </w:p>
    <w:p w14:paraId="72A10A16">
      <w:pPr>
        <w:spacing w:line="600" w:lineRule="exact"/>
        <w:ind w:firstLine="632"/>
        <w:rPr>
          <w:rFonts w:ascii="仿宋_GB2312"/>
          <w:szCs w:val="44"/>
        </w:rPr>
      </w:pPr>
      <w:r>
        <w:rPr>
          <w:rFonts w:hint="eastAsia" w:ascii="仿宋_GB2312"/>
          <w:szCs w:val="44"/>
        </w:rPr>
        <w:t>表3-2. 一般公共预算项目支出预算表</w:t>
      </w:r>
    </w:p>
    <w:p w14:paraId="579B0A02">
      <w:pPr>
        <w:spacing w:line="600" w:lineRule="exact"/>
        <w:ind w:firstLine="632"/>
        <w:rPr>
          <w:rFonts w:ascii="仿宋_GB2312"/>
          <w:szCs w:val="44"/>
        </w:rPr>
      </w:pPr>
      <w:r>
        <w:rPr>
          <w:rFonts w:hint="eastAsia" w:ascii="仿宋_GB2312"/>
          <w:szCs w:val="44"/>
        </w:rPr>
        <w:t>表3-3. 一般公共预算“三公”经费支出预算表</w:t>
      </w:r>
    </w:p>
    <w:p w14:paraId="513E1C4A">
      <w:pPr>
        <w:spacing w:line="600" w:lineRule="exact"/>
        <w:ind w:firstLine="632"/>
        <w:rPr>
          <w:rFonts w:ascii="仿宋_GB2312"/>
          <w:szCs w:val="44"/>
        </w:rPr>
      </w:pPr>
      <w:r>
        <w:rPr>
          <w:rFonts w:hint="eastAsia" w:ascii="仿宋_GB2312"/>
          <w:szCs w:val="44"/>
        </w:rPr>
        <w:t>表4. 政府性基金支出预算表</w:t>
      </w:r>
    </w:p>
    <w:p w14:paraId="01CF261C">
      <w:pPr>
        <w:spacing w:line="600" w:lineRule="exact"/>
        <w:ind w:firstLine="632"/>
        <w:rPr>
          <w:rFonts w:ascii="仿宋_GB2312"/>
          <w:szCs w:val="44"/>
        </w:rPr>
      </w:pPr>
      <w:r>
        <w:rPr>
          <w:rFonts w:hint="eastAsia" w:ascii="仿宋_GB2312"/>
          <w:szCs w:val="44"/>
        </w:rPr>
        <w:t>表4-1. 政府性基金预算“三公”经费支出预算表</w:t>
      </w:r>
    </w:p>
    <w:p w14:paraId="38311910">
      <w:pPr>
        <w:spacing w:line="600" w:lineRule="exact"/>
        <w:ind w:firstLine="632"/>
        <w:rPr>
          <w:rFonts w:ascii="仿宋_GB2312"/>
          <w:szCs w:val="44"/>
        </w:rPr>
      </w:pPr>
      <w:r>
        <w:rPr>
          <w:rFonts w:hint="eastAsia" w:ascii="仿宋_GB2312"/>
          <w:szCs w:val="44"/>
        </w:rPr>
        <w:t>表5. 国有资本经营预算支出预算表</w:t>
      </w:r>
    </w:p>
    <w:p w14:paraId="099B9CBE">
      <w:pPr>
        <w:spacing w:line="600" w:lineRule="exact"/>
        <w:ind w:firstLine="632"/>
        <w:rPr>
          <w:rFonts w:ascii="仿宋_GB2312"/>
          <w:szCs w:val="44"/>
        </w:rPr>
      </w:pPr>
      <w:r>
        <w:rPr>
          <w:rFonts w:hint="eastAsia" w:ascii="仿宋_GB2312"/>
          <w:szCs w:val="44"/>
        </w:rPr>
        <w:t>表6. 政府购买服务预算表</w:t>
      </w:r>
    </w:p>
    <w:p w14:paraId="62BD482E">
      <w:pPr>
        <w:spacing w:line="600" w:lineRule="exact"/>
        <w:ind w:firstLine="632"/>
        <w:rPr>
          <w:rFonts w:ascii="仿宋_GB2312"/>
          <w:szCs w:val="44"/>
        </w:rPr>
      </w:pPr>
      <w:r>
        <w:rPr>
          <w:rFonts w:hint="eastAsia" w:ascii="仿宋_GB2312"/>
          <w:szCs w:val="44"/>
        </w:rPr>
        <w:t>表7. 采购需求预算表</w:t>
      </w:r>
    </w:p>
    <w:p w14:paraId="62E6DB89">
      <w:pPr>
        <w:spacing w:line="600" w:lineRule="exact"/>
        <w:ind w:firstLine="632"/>
        <w:rPr>
          <w:rFonts w:ascii="仿宋_GB2312"/>
          <w:szCs w:val="44"/>
        </w:rPr>
      </w:pPr>
    </w:p>
    <w:p w14:paraId="7829800D">
      <w:pPr>
        <w:spacing w:line="600" w:lineRule="exact"/>
        <w:rPr>
          <w:rFonts w:ascii="黑体" w:hAnsi="黑体" w:eastAsia="黑体"/>
          <w:szCs w:val="44"/>
        </w:rPr>
      </w:pPr>
      <w:r>
        <w:rPr>
          <w:rFonts w:hint="eastAsia" w:ascii="黑体" w:hAnsi="黑体" w:eastAsia="黑体"/>
          <w:szCs w:val="44"/>
        </w:rPr>
        <w:t>第三部分  202</w:t>
      </w:r>
      <w:r>
        <w:rPr>
          <w:rFonts w:ascii="黑体" w:hAnsi="黑体" w:eastAsia="黑体"/>
          <w:szCs w:val="44"/>
        </w:rPr>
        <w:t>5</w:t>
      </w:r>
      <w:r>
        <w:rPr>
          <w:rFonts w:hint="eastAsia" w:ascii="黑体" w:hAnsi="黑体" w:eastAsia="黑体"/>
          <w:szCs w:val="44"/>
        </w:rPr>
        <w:t>年部门预算项目绩效目标表</w:t>
      </w:r>
    </w:p>
    <w:p w14:paraId="5B111223">
      <w:pPr>
        <w:spacing w:line="600" w:lineRule="exact"/>
        <w:ind w:firstLine="632"/>
        <w:rPr>
          <w:rFonts w:ascii="仿宋_GB2312"/>
          <w:szCs w:val="44"/>
        </w:rPr>
      </w:pPr>
      <w:r>
        <w:rPr>
          <w:rFonts w:hint="eastAsia" w:ascii="仿宋_GB2312"/>
          <w:szCs w:val="44"/>
        </w:rPr>
        <w:t>表8. 部门预算项目支出绩效目标表</w:t>
      </w:r>
    </w:p>
    <w:p w14:paraId="6D400A9E">
      <w:pPr>
        <w:spacing w:line="600" w:lineRule="exact"/>
        <w:ind w:firstLine="632"/>
        <w:rPr>
          <w:rFonts w:ascii="仿宋_GB2312"/>
          <w:szCs w:val="44"/>
        </w:rPr>
      </w:pPr>
      <w:r>
        <w:rPr>
          <w:rFonts w:hint="eastAsia" w:ascii="仿宋_GB2312"/>
          <w:szCs w:val="44"/>
        </w:rPr>
        <w:t>表9. 整体支出绩效目标申报表</w:t>
      </w:r>
    </w:p>
    <w:p w14:paraId="69E23042">
      <w:pPr>
        <w:spacing w:line="700" w:lineRule="exact"/>
        <w:rPr>
          <w:rFonts w:ascii="方正小标宋简体" w:eastAsia="方正小标宋简体"/>
          <w:sz w:val="44"/>
          <w:szCs w:val="44"/>
        </w:rPr>
      </w:pPr>
    </w:p>
    <w:p w14:paraId="1A5DFFAF">
      <w:pPr>
        <w:spacing w:line="700" w:lineRule="exact"/>
        <w:jc w:val="center"/>
        <w:rPr>
          <w:rFonts w:ascii="方正小标宋简体" w:eastAsia="方正小标宋简体"/>
          <w:sz w:val="44"/>
          <w:szCs w:val="44"/>
        </w:rPr>
      </w:pPr>
    </w:p>
    <w:p w14:paraId="7569337F">
      <w:pPr>
        <w:spacing w:line="700" w:lineRule="exact"/>
        <w:jc w:val="center"/>
        <w:rPr>
          <w:rFonts w:ascii="方正小标宋简体" w:eastAsia="方正小标宋简体"/>
          <w:sz w:val="44"/>
          <w:szCs w:val="44"/>
        </w:rPr>
      </w:pPr>
    </w:p>
    <w:p w14:paraId="6831A4F5">
      <w:pPr>
        <w:spacing w:line="700" w:lineRule="exact"/>
        <w:jc w:val="center"/>
        <w:rPr>
          <w:rFonts w:ascii="方正小标宋简体" w:eastAsia="方正小标宋简体"/>
          <w:sz w:val="44"/>
          <w:szCs w:val="44"/>
        </w:rPr>
      </w:pPr>
    </w:p>
    <w:p w14:paraId="788C668F">
      <w:pPr>
        <w:spacing w:line="700" w:lineRule="exact"/>
        <w:jc w:val="center"/>
        <w:rPr>
          <w:rFonts w:ascii="方正小标宋简体" w:eastAsia="方正小标宋简体"/>
          <w:sz w:val="44"/>
          <w:szCs w:val="44"/>
        </w:rPr>
      </w:pPr>
    </w:p>
    <w:p w14:paraId="272481F5">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遂宁市安居区海龙凯歌文化旅游园区管委会</w:t>
      </w:r>
    </w:p>
    <w:p w14:paraId="28F25478">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5</w:t>
      </w:r>
      <w:r>
        <w:rPr>
          <w:rFonts w:hint="eastAsia" w:ascii="方正小标宋简体" w:eastAsia="方正小标宋简体"/>
          <w:sz w:val="44"/>
          <w:szCs w:val="44"/>
        </w:rPr>
        <w:t>年部门预算公开说明</w:t>
      </w:r>
    </w:p>
    <w:p w14:paraId="02C18BD7">
      <w:r>
        <w:t xml:space="preserve">    </w:t>
      </w:r>
    </w:p>
    <w:p w14:paraId="7C0A0B22">
      <w:pPr>
        <w:numPr>
          <w:ilvl w:val="0"/>
          <w:numId w:val="1"/>
        </w:numPr>
        <w:ind w:firstLine="632"/>
        <w:rPr>
          <w:rFonts w:ascii="黑体" w:hAnsi="黑体" w:eastAsia="黑体"/>
        </w:rPr>
      </w:pPr>
      <w:r>
        <w:rPr>
          <w:rFonts w:ascii="黑体" w:hAnsi="黑体" w:eastAsia="黑体"/>
        </w:rPr>
        <w:t>基本职能</w:t>
      </w:r>
      <w:r>
        <w:rPr>
          <w:rFonts w:hint="eastAsia" w:ascii="黑体" w:hAnsi="黑体" w:eastAsia="黑体"/>
        </w:rPr>
        <w:t>及主要工作</w:t>
      </w:r>
    </w:p>
    <w:p w14:paraId="2080D458">
      <w:pPr>
        <w:ind w:firstLine="632"/>
      </w:pPr>
      <w:r>
        <w:rPr>
          <w:rFonts w:hint="eastAsia"/>
        </w:rPr>
        <w:t>（一）</w:t>
      </w:r>
      <w:bookmarkStart w:id="0" w:name="OLE_LINK4"/>
      <w:r>
        <w:rPr>
          <w:rFonts w:hint="eastAsia"/>
        </w:rPr>
        <w:t>海龙凯歌文旅园区</w:t>
      </w:r>
      <w:bookmarkEnd w:id="0"/>
      <w:r>
        <w:rPr>
          <w:rFonts w:hint="eastAsia"/>
        </w:rPr>
        <w:t>人民政府职能简介</w:t>
      </w:r>
    </w:p>
    <w:p w14:paraId="542D17F5">
      <w:pPr>
        <w:spacing w:line="520" w:lineRule="exact"/>
        <w:ind w:firstLine="632"/>
        <w:rPr>
          <w:rFonts w:ascii="仿宋_GB2312" w:hAnsi="仿宋"/>
          <w:color w:val="000000"/>
        </w:rPr>
      </w:pPr>
      <w:r>
        <w:rPr>
          <w:rFonts w:hint="eastAsia" w:ascii="仿宋_GB2312" w:hAnsi="仿宋"/>
          <w:color w:val="000000"/>
        </w:rPr>
        <w:t>（</w:t>
      </w:r>
      <w:r>
        <w:rPr>
          <w:rFonts w:ascii="仿宋_GB2312" w:hAnsi="仿宋"/>
          <w:color w:val="000000"/>
        </w:rPr>
        <w:t>1</w:t>
      </w:r>
      <w:r>
        <w:rPr>
          <w:rFonts w:hint="eastAsia" w:ascii="仿宋_GB2312" w:hAnsi="仿宋"/>
          <w:color w:val="000000"/>
        </w:rPr>
        <w:t>）</w:t>
      </w:r>
      <w:r>
        <w:rPr>
          <w:rFonts w:ascii="仿宋_GB2312" w:hAnsi="仿宋"/>
          <w:color w:val="000000"/>
        </w:rPr>
        <w:t>贯彻</w:t>
      </w:r>
      <w:r>
        <w:rPr>
          <w:rFonts w:hint="eastAsia" w:ascii="仿宋_GB2312" w:hAnsi="仿宋"/>
          <w:color w:val="000000"/>
        </w:rPr>
        <w:t>党的路线、方针、政策</w:t>
      </w:r>
      <w:r>
        <w:rPr>
          <w:rFonts w:ascii="仿宋_GB2312" w:hAnsi="仿宋"/>
          <w:color w:val="000000"/>
        </w:rPr>
        <w:t>执行本级人民代表大会的决议和上级国家行政机关的决定和命令，发布决定和命令。</w:t>
      </w:r>
    </w:p>
    <w:p w14:paraId="795C71A2">
      <w:pPr>
        <w:spacing w:line="520" w:lineRule="exact"/>
        <w:ind w:firstLine="632"/>
        <w:rPr>
          <w:rFonts w:ascii="仿宋_GB2312" w:hAnsi="仿宋"/>
          <w:color w:val="000000"/>
        </w:rPr>
      </w:pPr>
      <w:r>
        <w:rPr>
          <w:rFonts w:hint="eastAsia" w:ascii="仿宋_GB2312" w:hAnsi="仿宋"/>
          <w:color w:val="000000"/>
        </w:rPr>
        <w:t>（2）负责园区内经济发展规划和区域发展规划的编制、经批准后组织实施，对固定资产投资项目进行审核，负责园区文旅项目包装储备和申报工作</w:t>
      </w:r>
      <w:r>
        <w:rPr>
          <w:rFonts w:ascii="仿宋_GB2312" w:hAnsi="仿宋"/>
          <w:color w:val="000000"/>
        </w:rPr>
        <w:t>。</w:t>
      </w:r>
    </w:p>
    <w:p w14:paraId="5AC5847D">
      <w:pPr>
        <w:spacing w:line="520" w:lineRule="exact"/>
        <w:ind w:firstLine="632"/>
        <w:rPr>
          <w:rFonts w:ascii="仿宋_GB2312" w:hAnsi="仿宋"/>
          <w:color w:val="000000"/>
        </w:rPr>
      </w:pPr>
      <w:r>
        <w:rPr>
          <w:rFonts w:hint="eastAsia" w:ascii="仿宋_GB2312" w:hAnsi="仿宋"/>
          <w:color w:val="000000"/>
        </w:rPr>
        <w:t>（3）负责招商引资、投资促进、对外开放及企业服务工作，负责园区旅游资源的开发利用、文旅品牌创建，宣传营销等工作。负责园区内环境保护、消防安全和安全生产监督管理工作，负责园区消费者权益保障、旅游市场秩序维护等工作，负责园区财务管理。实施园区内财务预算、决算国有资产管理和财务监督工作。</w:t>
      </w:r>
    </w:p>
    <w:p w14:paraId="1DE26892">
      <w:pPr>
        <w:spacing w:line="520" w:lineRule="exact"/>
        <w:ind w:firstLine="632"/>
        <w:rPr>
          <w:rFonts w:ascii="仿宋_GB2312" w:hAnsi="仿宋"/>
          <w:color w:val="000000"/>
        </w:rPr>
      </w:pPr>
      <w:r>
        <w:rPr>
          <w:rFonts w:hint="eastAsia" w:ascii="仿宋_GB2312" w:hAnsi="仿宋"/>
          <w:color w:val="000000"/>
        </w:rPr>
        <w:t>（4）</w:t>
      </w:r>
      <w:r>
        <w:rPr>
          <w:rFonts w:ascii="仿宋_GB2312" w:hAnsi="仿宋"/>
          <w:color w:val="000000"/>
        </w:rPr>
        <w:t>完成区委、区政府交办的其他事项。</w:t>
      </w:r>
    </w:p>
    <w:p w14:paraId="45349512">
      <w:pPr>
        <w:ind w:firstLine="632"/>
      </w:pPr>
      <w:r>
        <w:rPr>
          <w:rFonts w:hint="eastAsia"/>
        </w:rPr>
        <w:t>（二） 海龙凯歌文旅园区人民政府202</w:t>
      </w:r>
      <w:r>
        <w:t>5</w:t>
      </w:r>
      <w:r>
        <w:rPr>
          <w:rFonts w:hint="eastAsia"/>
        </w:rPr>
        <w:t>年主要工作</w:t>
      </w:r>
    </w:p>
    <w:p w14:paraId="1B3034CD">
      <w:pPr>
        <w:spacing w:line="520" w:lineRule="exact"/>
        <w:ind w:firstLine="632"/>
        <w:rPr>
          <w:rFonts w:ascii="仿宋_GB2312" w:hAnsi="仿宋"/>
          <w:color w:val="000000"/>
        </w:rPr>
      </w:pPr>
      <w:r>
        <w:rPr>
          <w:rFonts w:ascii="仿宋_GB2312" w:hAnsi="仿宋"/>
          <w:color w:val="000000"/>
        </w:rPr>
        <w:t>20</w:t>
      </w:r>
      <w:r>
        <w:rPr>
          <w:rFonts w:hint="eastAsia" w:ascii="仿宋_GB2312" w:hAnsi="仿宋"/>
          <w:color w:val="000000"/>
        </w:rPr>
        <w:t>2</w:t>
      </w:r>
      <w:r>
        <w:rPr>
          <w:rFonts w:ascii="仿宋_GB2312" w:hAnsi="仿宋"/>
          <w:color w:val="000000"/>
        </w:rPr>
        <w:t>5年，在</w:t>
      </w:r>
      <w:r>
        <w:rPr>
          <w:rFonts w:hint="eastAsia" w:ascii="仿宋_GB2312" w:hAnsi="仿宋"/>
          <w:color w:val="000000"/>
        </w:rPr>
        <w:t>区</w:t>
      </w:r>
      <w:r>
        <w:rPr>
          <w:rFonts w:ascii="仿宋_GB2312" w:hAnsi="仿宋"/>
          <w:color w:val="000000"/>
        </w:rPr>
        <w:t>委</w:t>
      </w:r>
      <w:r>
        <w:rPr>
          <w:rFonts w:hint="eastAsia" w:ascii="仿宋_GB2312" w:hAnsi="仿宋"/>
          <w:color w:val="000000"/>
        </w:rPr>
        <w:t>、区政府</w:t>
      </w:r>
      <w:r>
        <w:rPr>
          <w:rFonts w:ascii="仿宋_GB2312" w:hAnsi="仿宋"/>
          <w:color w:val="000000"/>
        </w:rPr>
        <w:t>、区人大、区政协的坚强领导下，</w:t>
      </w:r>
      <w:r>
        <w:rPr>
          <w:rFonts w:hint="eastAsia" w:ascii="仿宋_GB2312" w:hAnsi="仿宋"/>
          <w:color w:val="000000"/>
        </w:rPr>
        <w:t>全园区上下坚持以习近平新时代中国特色社会主义思想为指引，深入学习贯彻</w:t>
      </w:r>
      <w:r>
        <w:rPr>
          <w:rFonts w:hint="eastAsia" w:ascii="仿宋_GB2312" w:hAnsi="仿宋"/>
          <w:color w:val="000000"/>
          <w:lang w:eastAsia="zh-CN"/>
        </w:rPr>
        <w:t>中央和省、市</w:t>
      </w:r>
      <w:r>
        <w:rPr>
          <w:rFonts w:hint="eastAsia" w:ascii="仿宋_GB2312" w:hAnsi="仿宋"/>
          <w:color w:val="000000"/>
        </w:rPr>
        <w:t>区</w:t>
      </w:r>
      <w:r>
        <w:rPr>
          <w:rFonts w:ascii="仿宋_GB2312" w:hAnsi="仿宋"/>
          <w:color w:val="000000"/>
        </w:rPr>
        <w:t>工作总体部署</w:t>
      </w:r>
      <w:r>
        <w:rPr>
          <w:rFonts w:hint="eastAsia" w:ascii="仿宋_GB2312" w:hAnsi="仿宋"/>
          <w:color w:val="000000"/>
        </w:rPr>
        <w:t>。</w:t>
      </w:r>
    </w:p>
    <w:p w14:paraId="031C717D">
      <w:pPr>
        <w:spacing w:line="520" w:lineRule="exact"/>
        <w:ind w:firstLine="632"/>
        <w:rPr>
          <w:rFonts w:ascii="仿宋_GB2312" w:hAnsi="仿宋"/>
          <w:color w:val="000000"/>
        </w:rPr>
      </w:pPr>
      <w:r>
        <w:rPr>
          <w:rFonts w:hint="eastAsia" w:ascii="仿宋_GB2312" w:hAnsi="仿宋"/>
          <w:color w:val="000000"/>
        </w:rPr>
        <w:t>1. 提升旅游园区的服务质量：</w:t>
      </w:r>
      <w:r>
        <w:rPr>
          <w:rFonts w:hint="eastAsia"/>
        </w:rPr>
        <w:t>海龙凯歌文旅园区</w:t>
      </w:r>
      <w:r>
        <w:rPr>
          <w:rFonts w:hint="eastAsia" w:ascii="仿宋_GB2312" w:hAnsi="仿宋"/>
          <w:color w:val="000000"/>
        </w:rPr>
        <w:t>通过制定严格的管理标准和流程，对各个旅游景点和设施进行定期检查和评估，确保其符合高质量的服务水平。游客在旅游园区中享受到更加便捷、舒适和安全的旅游体验。</w:t>
      </w:r>
    </w:p>
    <w:p w14:paraId="1E7521CD">
      <w:pPr>
        <w:spacing w:line="520" w:lineRule="exact"/>
        <w:ind w:firstLine="632"/>
        <w:rPr>
          <w:rFonts w:ascii="仿宋_GB2312" w:hAnsi="仿宋"/>
          <w:color w:val="000000"/>
        </w:rPr>
      </w:pPr>
      <w:r>
        <w:rPr>
          <w:rFonts w:hint="eastAsia" w:ascii="仿宋_GB2312" w:hAnsi="仿宋"/>
          <w:color w:val="000000"/>
        </w:rPr>
        <w:t>2. 引进创新科技应用：</w:t>
      </w:r>
      <w:r>
        <w:rPr>
          <w:rFonts w:hint="eastAsia"/>
        </w:rPr>
        <w:t>海龙凯歌文旅园区</w:t>
      </w:r>
      <w:r>
        <w:rPr>
          <w:rFonts w:hint="eastAsia" w:ascii="仿宋_GB2312" w:hAnsi="仿宋"/>
          <w:color w:val="000000"/>
        </w:rPr>
        <w:t>积极引进和推广创新科技应用于旅游园区管理中，例如智能导览系统、无人售卖机等。这些科技应用提供了更多的便利和丰富的互动体验，吸引了更多游客的兴趣。</w:t>
      </w:r>
    </w:p>
    <w:p w14:paraId="5621354C">
      <w:pPr>
        <w:spacing w:line="520" w:lineRule="exact"/>
        <w:ind w:firstLine="632"/>
        <w:rPr>
          <w:rFonts w:ascii="仿宋_GB2312" w:hAnsi="仿宋"/>
          <w:color w:val="000000"/>
        </w:rPr>
      </w:pPr>
      <w:r>
        <w:rPr>
          <w:rFonts w:hint="eastAsia" w:ascii="仿宋_GB2312" w:hAnsi="仿宋"/>
          <w:color w:val="000000"/>
        </w:rPr>
        <w:t>3. 加强安全保障措施：</w:t>
      </w:r>
      <w:r>
        <w:rPr>
          <w:rFonts w:hint="eastAsia"/>
        </w:rPr>
        <w:t>海龙凯歌文旅园区</w:t>
      </w:r>
      <w:r>
        <w:rPr>
          <w:rFonts w:hint="eastAsia" w:ascii="仿宋_GB2312" w:hAnsi="仿宋"/>
          <w:color w:val="000000"/>
        </w:rPr>
        <w:t>在旅游园区内加强了安全保障措施，包括加强巡逻警力，安装监控设备，提供应急救援服务等。这些举措有助于保障游客的人身和财产安全，减少安全事故的发生。</w:t>
      </w:r>
    </w:p>
    <w:p w14:paraId="730AFB2E">
      <w:pPr>
        <w:spacing w:line="520" w:lineRule="exact"/>
        <w:ind w:firstLine="632"/>
        <w:rPr>
          <w:rFonts w:ascii="仿宋_GB2312" w:hAnsi="仿宋"/>
          <w:color w:val="000000"/>
        </w:rPr>
      </w:pPr>
      <w:r>
        <w:rPr>
          <w:rFonts w:hint="eastAsia" w:ascii="仿宋_GB2312" w:hAnsi="仿宋"/>
          <w:color w:val="000000"/>
        </w:rPr>
        <w:t>4. 优化景区资源规划和管理：</w:t>
      </w:r>
      <w:r>
        <w:rPr>
          <w:rFonts w:hint="eastAsia"/>
        </w:rPr>
        <w:t>海龙凯歌文旅园区</w:t>
      </w:r>
      <w:r>
        <w:rPr>
          <w:rFonts w:hint="eastAsia" w:ascii="仿宋_GB2312" w:hAnsi="仿宋"/>
          <w:color w:val="000000"/>
        </w:rPr>
        <w:t>会重视景区资源的规划和管理工作，确保资源的合理利用和保护。他们制定了详细的规划方案，包括景点布局、交通规划和生态环境保护等，使游客能够更好地欣赏风景和体验当地文化。</w:t>
      </w:r>
    </w:p>
    <w:p w14:paraId="30534FA6">
      <w:pPr>
        <w:spacing w:line="520" w:lineRule="exact"/>
        <w:ind w:firstLine="632"/>
        <w:rPr>
          <w:rFonts w:ascii="仿宋_GB2312" w:hAnsi="仿宋"/>
          <w:color w:val="000000"/>
        </w:rPr>
      </w:pPr>
      <w:r>
        <w:rPr>
          <w:rFonts w:hint="eastAsia" w:ascii="仿宋_GB2312" w:hAnsi="仿宋"/>
          <w:color w:val="000000"/>
        </w:rPr>
        <w:t>5. 提升园区的环境保护意识：</w:t>
      </w:r>
      <w:r>
        <w:rPr>
          <w:rFonts w:hint="eastAsia"/>
        </w:rPr>
        <w:t>海龙凯歌文旅园区</w:t>
      </w:r>
      <w:r>
        <w:rPr>
          <w:rFonts w:hint="eastAsia" w:ascii="仿宋_GB2312" w:hAnsi="仿宋"/>
          <w:color w:val="000000"/>
        </w:rPr>
        <w:t>加强了对旅游园区环境保护的宣传和教育，提高游客和员工的环保意识。他们推动了垃圾分类、能源节约和水资源管理等环保措施的实施，减少了对环境的负面影响。</w:t>
      </w:r>
    </w:p>
    <w:p w14:paraId="425CFEA0">
      <w:pPr>
        <w:ind w:firstLine="632"/>
        <w:rPr>
          <w:rFonts w:ascii="黑体" w:hAnsi="黑体" w:eastAsia="黑体"/>
        </w:rPr>
      </w:pPr>
      <w:r>
        <w:rPr>
          <w:rFonts w:ascii="黑体" w:hAnsi="黑体" w:eastAsia="黑体"/>
        </w:rPr>
        <w:t>二、部门</w:t>
      </w:r>
      <w:r>
        <w:rPr>
          <w:rFonts w:hint="eastAsia" w:ascii="黑体" w:hAnsi="黑体" w:eastAsia="黑体"/>
        </w:rPr>
        <w:t>预算单位构成</w:t>
      </w:r>
    </w:p>
    <w:p w14:paraId="2E4F19A8">
      <w:pPr>
        <w:ind w:firstLine="632"/>
      </w:pPr>
      <w:r>
        <w:rPr>
          <w:rFonts w:hint="eastAsia"/>
        </w:rPr>
        <w:t>海龙凯歌文旅园区人民政府下属二级预算单位0个，其中行政单位0个，参照公务员法管理的事业单位0个，其他事业单位0个。</w:t>
      </w:r>
    </w:p>
    <w:p w14:paraId="2F1DA300">
      <w:pPr>
        <w:ind w:firstLine="632"/>
        <w:rPr>
          <w:rFonts w:ascii="黑体" w:hAnsi="黑体" w:eastAsia="黑体"/>
        </w:rPr>
      </w:pPr>
      <w:r>
        <w:rPr>
          <w:rFonts w:ascii="黑体" w:hAnsi="黑体" w:eastAsia="黑体"/>
        </w:rPr>
        <w:t>三、收支预算情况</w:t>
      </w:r>
      <w:r>
        <w:rPr>
          <w:rFonts w:hint="eastAsia" w:ascii="黑体" w:hAnsi="黑体" w:eastAsia="黑体"/>
        </w:rPr>
        <w:t>说明</w:t>
      </w:r>
    </w:p>
    <w:p w14:paraId="4D69944A">
      <w:pPr>
        <w:ind w:firstLine="632"/>
      </w:pPr>
      <w:r>
        <w:rPr>
          <w:rFonts w:hint="eastAsia"/>
        </w:rPr>
        <w:t>按照综合预算的原则，海龙凯歌文旅园区人民政府所有收入和支出均纳入部门预算管理。收入包括：一般公共预算拨款收入、政府性基金预算收入；支出包括：文化旅游体育与传媒支出、社会保障和就业支出、卫生健康支出、住房保障支出。</w:t>
      </w:r>
    </w:p>
    <w:p w14:paraId="2939D722">
      <w:pPr>
        <w:ind w:firstLine="632"/>
        <w:rPr>
          <w:rFonts w:ascii="楷体_GB2312" w:eastAsia="楷体_GB2312"/>
        </w:rPr>
      </w:pPr>
      <w:r>
        <w:rPr>
          <w:rFonts w:hint="eastAsia" w:ascii="楷体_GB2312" w:eastAsia="楷体_GB2312"/>
        </w:rPr>
        <w:t>（一）收入预算情况</w:t>
      </w:r>
    </w:p>
    <w:p w14:paraId="20590046">
      <w:pPr>
        <w:ind w:firstLine="632"/>
      </w:pPr>
      <w:r>
        <w:rPr>
          <w:rFonts w:hint="eastAsia"/>
        </w:rPr>
        <w:t>海龙凯歌文旅园区202</w:t>
      </w:r>
      <w:r>
        <w:t>5</w:t>
      </w:r>
      <w:r>
        <w:rPr>
          <w:rFonts w:hint="eastAsia"/>
        </w:rPr>
        <w:t>年收入预算</w:t>
      </w:r>
      <w:r>
        <w:t>203.20</w:t>
      </w:r>
      <w:r>
        <w:rPr>
          <w:rFonts w:hint="eastAsia"/>
        </w:rPr>
        <w:t>万元，其中：上年结转0万元，占0%；一般公共预算拨款收入</w:t>
      </w:r>
      <w:r>
        <w:t>183.2</w:t>
      </w:r>
      <w:r>
        <w:rPr>
          <w:rFonts w:hint="eastAsia"/>
        </w:rPr>
        <w:t>万元</w:t>
      </w:r>
      <w:bookmarkStart w:id="1" w:name="OLE_LINK1"/>
      <w:bookmarkStart w:id="2" w:name="OLE_LINK2"/>
      <w:r>
        <w:rPr>
          <w:rFonts w:hint="eastAsia"/>
        </w:rPr>
        <w:t>，占</w:t>
      </w:r>
      <w:r>
        <w:t>90.03</w:t>
      </w:r>
      <w:r>
        <w:rPr>
          <w:rFonts w:hint="eastAsia"/>
        </w:rPr>
        <w:t>%,</w:t>
      </w:r>
      <w:bookmarkEnd w:id="1"/>
      <w:bookmarkEnd w:id="2"/>
      <w:r>
        <w:rPr>
          <w:rFonts w:hint="eastAsia"/>
        </w:rPr>
        <w:t>政府性基金预算收入2</w:t>
      </w:r>
      <w:r>
        <w:t>0</w:t>
      </w:r>
      <w:r>
        <w:rPr>
          <w:rFonts w:hint="eastAsia"/>
        </w:rPr>
        <w:t>万元，占</w:t>
      </w:r>
      <w:r>
        <w:t>9.97</w:t>
      </w:r>
      <w:r>
        <w:rPr>
          <w:rFonts w:hint="eastAsia"/>
        </w:rPr>
        <w:t>%。</w:t>
      </w:r>
    </w:p>
    <w:p w14:paraId="69F8A0C2">
      <w:pPr>
        <w:ind w:firstLine="632"/>
        <w:rPr>
          <w:rFonts w:ascii="楷体_GB2312" w:eastAsia="楷体_GB2312"/>
        </w:rPr>
      </w:pPr>
      <w:r>
        <w:rPr>
          <w:rFonts w:hint="eastAsia" w:ascii="楷体_GB2312" w:eastAsia="楷体_GB2312"/>
        </w:rPr>
        <w:t>（二）支出预算情况</w:t>
      </w:r>
    </w:p>
    <w:p w14:paraId="03876D81">
      <w:pPr>
        <w:ind w:firstLine="632"/>
      </w:pPr>
      <w:r>
        <w:rPr>
          <w:rFonts w:hint="eastAsia"/>
        </w:rPr>
        <w:t>海龙凯歌文旅园区202</w:t>
      </w:r>
      <w:r>
        <w:t>5</w:t>
      </w:r>
      <w:r>
        <w:rPr>
          <w:rFonts w:hint="eastAsia"/>
        </w:rPr>
        <w:t>年支出预算</w:t>
      </w:r>
      <w:r>
        <w:t>203.2</w:t>
      </w:r>
      <w:r>
        <w:rPr>
          <w:rFonts w:hint="eastAsia"/>
        </w:rPr>
        <w:t>万元，其中：基本支出</w:t>
      </w:r>
      <w:r>
        <w:t>178.20</w:t>
      </w:r>
      <w:r>
        <w:rPr>
          <w:rFonts w:hint="eastAsia"/>
        </w:rPr>
        <w:t>万元，占</w:t>
      </w:r>
      <w:r>
        <w:t>87.69</w:t>
      </w:r>
      <w:r>
        <w:rPr>
          <w:rFonts w:hint="eastAsia"/>
        </w:rPr>
        <w:t>%；项目支出2</w:t>
      </w:r>
      <w:r>
        <w:t>5</w:t>
      </w:r>
      <w:r>
        <w:rPr>
          <w:rFonts w:hint="eastAsia"/>
        </w:rPr>
        <w:t>万元，占</w:t>
      </w:r>
      <w:r>
        <w:t>12.31</w:t>
      </w:r>
      <w:r>
        <w:rPr>
          <w:rFonts w:hint="eastAsia"/>
        </w:rPr>
        <w:t>%。</w:t>
      </w:r>
    </w:p>
    <w:p w14:paraId="5C54D20D">
      <w:pPr>
        <w:ind w:firstLine="632"/>
        <w:rPr>
          <w:rFonts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14:paraId="60CA9AFA">
      <w:pPr>
        <w:ind w:firstLine="632"/>
      </w:pPr>
      <w:r>
        <w:rPr>
          <w:rFonts w:hint="eastAsia"/>
        </w:rPr>
        <w:t>海龙凯歌文旅园区202</w:t>
      </w:r>
      <w:r>
        <w:t>5</w:t>
      </w:r>
      <w:r>
        <w:rPr>
          <w:rFonts w:hint="eastAsia"/>
        </w:rPr>
        <w:t>年财政拨款收支总预算</w:t>
      </w:r>
      <w:r>
        <w:t>203.2</w:t>
      </w:r>
      <w:r>
        <w:rPr>
          <w:rFonts w:hint="eastAsia"/>
        </w:rPr>
        <w:t>万元。收入包括：本年一般公共预算拨款收入</w:t>
      </w:r>
      <w:r>
        <w:t>183.2</w:t>
      </w:r>
      <w:r>
        <w:rPr>
          <w:rFonts w:hint="eastAsia"/>
        </w:rPr>
        <w:t>万元、上年结转一般公共预算拨款收入0万元.本年政府性基金预算收入</w:t>
      </w:r>
      <w:r>
        <w:t>20</w:t>
      </w:r>
      <w:r>
        <w:rPr>
          <w:rFonts w:hint="eastAsia"/>
        </w:rPr>
        <w:t>万元.</w:t>
      </w:r>
    </w:p>
    <w:p w14:paraId="53D047F7">
      <w:pPr>
        <w:ind w:firstLine="632"/>
      </w:pPr>
      <w:r>
        <w:rPr>
          <w:rFonts w:hint="eastAsia"/>
        </w:rPr>
        <w:t>支出包括：文化旅游体育与传媒支出</w:t>
      </w:r>
      <w:r>
        <w:t>143.63</w:t>
      </w:r>
      <w:r>
        <w:rPr>
          <w:rFonts w:hint="eastAsia"/>
        </w:rPr>
        <w:t>万元、社会保障和就业支出</w:t>
      </w:r>
      <w:r>
        <w:t>16.59</w:t>
      </w:r>
      <w:r>
        <w:rPr>
          <w:rFonts w:hint="eastAsia"/>
        </w:rPr>
        <w:t>万元、卫生健康支出</w:t>
      </w:r>
      <w:r>
        <w:t>9.42</w:t>
      </w:r>
      <w:r>
        <w:rPr>
          <w:rFonts w:hint="eastAsia"/>
        </w:rPr>
        <w:t>万元、城乡社区支出2</w:t>
      </w:r>
      <w:r>
        <w:t>0</w:t>
      </w:r>
      <w:r>
        <w:rPr>
          <w:rFonts w:hint="eastAsia"/>
        </w:rPr>
        <w:t>万元</w:t>
      </w:r>
      <w:r>
        <w:rPr>
          <w:rFonts w:hint="eastAsia" w:ascii="微软雅黑" w:hAnsi="微软雅黑" w:eastAsia="微软雅黑" w:cs="微软雅黑"/>
        </w:rPr>
        <w:t>、</w:t>
      </w:r>
      <w:r>
        <w:rPr>
          <w:rFonts w:hint="eastAsia"/>
        </w:rPr>
        <w:t>住房保障支出1</w:t>
      </w:r>
      <w:r>
        <w:t>3.5</w:t>
      </w:r>
      <w:r>
        <w:rPr>
          <w:rFonts w:hint="eastAsia"/>
        </w:rPr>
        <w:t xml:space="preserve">6万元. </w:t>
      </w:r>
    </w:p>
    <w:p w14:paraId="5105CCE7">
      <w:pPr>
        <w:ind w:firstLine="632"/>
        <w:rPr>
          <w:rFonts w:ascii="黑体" w:hAnsi="黑体" w:eastAsia="黑体"/>
        </w:rPr>
      </w:pPr>
      <w:r>
        <w:rPr>
          <w:rFonts w:hint="eastAsia" w:ascii="黑体" w:hAnsi="黑体" w:eastAsia="黑体"/>
        </w:rPr>
        <w:t>五、一般公共预算当年拨款情况说明</w:t>
      </w:r>
    </w:p>
    <w:p w14:paraId="72684CE3">
      <w:pPr>
        <w:ind w:firstLine="632"/>
        <w:rPr>
          <w:rFonts w:ascii="楷体_GB2312" w:eastAsia="楷体_GB2312"/>
        </w:rPr>
      </w:pPr>
      <w:r>
        <w:rPr>
          <w:rFonts w:hint="eastAsia" w:ascii="楷体_GB2312" w:eastAsia="楷体_GB2312"/>
        </w:rPr>
        <w:t>（一）一般公共预算当年拨款规模变化情况</w:t>
      </w:r>
    </w:p>
    <w:p w14:paraId="5276B53A">
      <w:pPr>
        <w:ind w:firstLine="632"/>
        <w:rPr>
          <w:rFonts w:eastAsia="仿宋"/>
        </w:rPr>
      </w:pPr>
      <w:r>
        <w:rPr>
          <w:rFonts w:hint="eastAsia"/>
        </w:rPr>
        <w:t>海龙凯歌文旅园区202</w:t>
      </w:r>
      <w:r>
        <w:t>5</w:t>
      </w:r>
      <w:r>
        <w:rPr>
          <w:rFonts w:hint="eastAsia"/>
        </w:rPr>
        <w:t>年一般公共预算拨款</w:t>
      </w:r>
      <w:r>
        <w:t>183.2</w:t>
      </w:r>
      <w:r>
        <w:rPr>
          <w:rFonts w:hint="eastAsia"/>
        </w:rPr>
        <w:t>万元，比202</w:t>
      </w:r>
      <w:r>
        <w:t>4</w:t>
      </w:r>
      <w:r>
        <w:rPr>
          <w:rFonts w:hint="eastAsia"/>
        </w:rPr>
        <w:t>年预算数减少</w:t>
      </w:r>
      <w:r>
        <w:t>38.99</w:t>
      </w:r>
      <w:r>
        <w:rPr>
          <w:rFonts w:hint="eastAsia"/>
        </w:rPr>
        <w:t>万元。主要是因为</w:t>
      </w:r>
      <w:r>
        <w:t>2025</w:t>
      </w:r>
      <w:r>
        <w:rPr>
          <w:rFonts w:hint="eastAsia"/>
        </w:rPr>
        <w:t>年减少项目资金和人员经费预算。</w:t>
      </w:r>
    </w:p>
    <w:p w14:paraId="2C1EA621">
      <w:pPr>
        <w:numPr>
          <w:ilvl w:val="0"/>
          <w:numId w:val="2"/>
        </w:numPr>
        <w:ind w:firstLine="632"/>
      </w:pPr>
      <w:r>
        <w:rPr>
          <w:rFonts w:hint="eastAsia" w:ascii="楷体_GB2312" w:eastAsia="楷体_GB2312"/>
        </w:rPr>
        <w:t>一般公共预算当年拨款结构情况</w:t>
      </w:r>
    </w:p>
    <w:p w14:paraId="677441E3">
      <w:pPr>
        <w:ind w:firstLine="632"/>
      </w:pPr>
      <w:r>
        <w:rPr>
          <w:rFonts w:hint="eastAsia"/>
        </w:rPr>
        <w:t>文化旅游体育与传媒支出</w:t>
      </w:r>
      <w:r>
        <w:t>143.63</w:t>
      </w:r>
      <w:r>
        <w:rPr>
          <w:rFonts w:hint="eastAsia"/>
        </w:rPr>
        <w:t>万元,占</w:t>
      </w:r>
      <w:r>
        <w:t>78.4</w:t>
      </w:r>
      <w:r>
        <w:rPr>
          <w:rFonts w:hint="eastAsia"/>
        </w:rPr>
        <w:t>%、社会保障和就业支出</w:t>
      </w:r>
      <w:r>
        <w:t>16.59</w:t>
      </w:r>
      <w:r>
        <w:rPr>
          <w:rFonts w:hint="eastAsia"/>
        </w:rPr>
        <w:t>万元，占</w:t>
      </w:r>
      <w:r>
        <w:t>9.06</w:t>
      </w:r>
      <w:r>
        <w:rPr>
          <w:rFonts w:hint="eastAsia"/>
        </w:rPr>
        <w:t>%。卫生健康支出</w:t>
      </w:r>
      <w:r>
        <w:t>9.42</w:t>
      </w:r>
      <w:r>
        <w:rPr>
          <w:rFonts w:hint="eastAsia"/>
        </w:rPr>
        <w:t>万元，占</w:t>
      </w:r>
      <w:r>
        <w:t>5.14</w:t>
      </w:r>
      <w:r>
        <w:rPr>
          <w:rFonts w:hint="eastAsia"/>
        </w:rPr>
        <w:t>%。住房保障支出</w:t>
      </w:r>
      <w:r>
        <w:t>13.56</w:t>
      </w:r>
      <w:r>
        <w:rPr>
          <w:rFonts w:hint="eastAsia"/>
        </w:rPr>
        <w:t>万元. 占</w:t>
      </w:r>
      <w:r>
        <w:t>7.4</w:t>
      </w:r>
      <w:r>
        <w:rPr>
          <w:rFonts w:hint="eastAsia"/>
        </w:rPr>
        <w:t>%。</w:t>
      </w:r>
    </w:p>
    <w:p w14:paraId="216B5865">
      <w:pPr>
        <w:ind w:firstLine="632"/>
      </w:pPr>
      <w:r>
        <w:rPr>
          <w:rFonts w:hint="eastAsia" w:ascii="楷体_GB2312" w:eastAsia="楷体_GB2312"/>
        </w:rPr>
        <w:t>（三）一般公共预算当年拨款具体使用情况</w:t>
      </w:r>
    </w:p>
    <w:p w14:paraId="53B825BB">
      <w:pPr>
        <w:spacing w:line="600" w:lineRule="exact"/>
        <w:ind w:firstLine="632"/>
        <w:jc w:val="left"/>
        <w:rPr>
          <w:rFonts w:ascii="仿宋" w:hAnsi="仿宋" w:eastAsia="仿宋" w:cs="仿宋"/>
        </w:rPr>
      </w:pPr>
      <w:r>
        <w:rPr>
          <w:rFonts w:hint="eastAsia"/>
          <w:b/>
        </w:rPr>
        <w:t>1. 文化旅游体育与传媒支出（类）文化旅游（款）行政运行（项）：</w:t>
      </w:r>
      <w:r>
        <w:rPr>
          <w:rFonts w:hint="eastAsia" w:ascii="仿宋" w:hAnsi="仿宋" w:eastAsia="仿宋" w:cs="仿宋"/>
        </w:rPr>
        <w:t>202</w:t>
      </w:r>
      <w:r>
        <w:rPr>
          <w:rFonts w:ascii="仿宋" w:hAnsi="仿宋" w:eastAsia="仿宋" w:cs="仿宋"/>
        </w:rPr>
        <w:t>5</w:t>
      </w:r>
      <w:r>
        <w:rPr>
          <w:rFonts w:hint="eastAsia" w:ascii="仿宋" w:hAnsi="仿宋" w:eastAsia="仿宋" w:cs="仿宋"/>
        </w:rPr>
        <w:t>年预算数为</w:t>
      </w:r>
      <w:r>
        <w:rPr>
          <w:rFonts w:ascii="仿宋" w:hAnsi="仿宋" w:eastAsia="仿宋" w:cs="仿宋"/>
        </w:rPr>
        <w:t>77.35</w:t>
      </w:r>
      <w:r>
        <w:rPr>
          <w:rFonts w:hint="eastAsia" w:ascii="仿宋" w:hAnsi="仿宋" w:eastAsia="仿宋" w:cs="仿宋"/>
        </w:rPr>
        <w:t>万元，主要用于：行政单位的基本工资及津贴补贴支出。</w:t>
      </w:r>
    </w:p>
    <w:p w14:paraId="4939B88A">
      <w:pPr>
        <w:spacing w:line="600" w:lineRule="exact"/>
        <w:ind w:firstLine="632"/>
        <w:jc w:val="left"/>
        <w:rPr>
          <w:rFonts w:ascii="仿宋" w:hAnsi="仿宋" w:eastAsia="仿宋" w:cs="仿宋"/>
        </w:rPr>
      </w:pPr>
      <w:r>
        <w:rPr>
          <w:b/>
        </w:rPr>
        <w:t>2</w:t>
      </w:r>
      <w:r>
        <w:rPr>
          <w:rFonts w:hint="eastAsia"/>
          <w:b/>
        </w:rPr>
        <w:t>. 文化旅游体育与传媒支出（类）文化旅游（款）其他文化旅游支出（项）：</w:t>
      </w:r>
      <w:r>
        <w:rPr>
          <w:rFonts w:hint="eastAsia" w:ascii="仿宋" w:hAnsi="仿宋" w:eastAsia="仿宋" w:cs="仿宋"/>
        </w:rPr>
        <w:t>202</w:t>
      </w:r>
      <w:r>
        <w:rPr>
          <w:rFonts w:ascii="仿宋" w:hAnsi="仿宋" w:eastAsia="仿宋" w:cs="仿宋"/>
        </w:rPr>
        <w:t>5</w:t>
      </w:r>
      <w:r>
        <w:rPr>
          <w:rFonts w:hint="eastAsia" w:ascii="仿宋" w:hAnsi="仿宋" w:eastAsia="仿宋" w:cs="仿宋"/>
        </w:rPr>
        <w:t>年预算数为</w:t>
      </w:r>
      <w:r>
        <w:rPr>
          <w:rFonts w:ascii="仿宋" w:hAnsi="仿宋" w:eastAsia="仿宋" w:cs="仿宋"/>
        </w:rPr>
        <w:t>66.27</w:t>
      </w:r>
      <w:r>
        <w:rPr>
          <w:rFonts w:hint="eastAsia" w:ascii="仿宋" w:hAnsi="仿宋" w:eastAsia="仿宋" w:cs="仿宋"/>
        </w:rPr>
        <w:t>万元，主要用于：事业干部工资及基础绩效发放。</w:t>
      </w:r>
    </w:p>
    <w:p w14:paraId="583BE254">
      <w:pPr>
        <w:spacing w:line="576" w:lineRule="exact"/>
        <w:ind w:firstLine="643" w:firstLineChars="200"/>
        <w:rPr>
          <w:rFonts w:eastAsia="方正仿宋简体" w:cs="方正仿宋简体"/>
        </w:rPr>
      </w:pPr>
      <w:r>
        <w:rPr>
          <w:b/>
        </w:rPr>
        <w:t>3</w:t>
      </w:r>
      <w:r>
        <w:rPr>
          <w:rFonts w:hint="eastAsia"/>
          <w:b/>
        </w:rPr>
        <w:t>. 社会保障和就业（类）行政事业单位（款）机关事业单位基本养老保险缴费支出（项）：</w:t>
      </w:r>
      <w:r>
        <w:rPr>
          <w:rFonts w:hint="eastAsia"/>
        </w:rPr>
        <w:t>202</w:t>
      </w:r>
      <w:r>
        <w:t>5</w:t>
      </w:r>
      <w:r>
        <w:rPr>
          <w:rFonts w:hint="eastAsia"/>
        </w:rPr>
        <w:t>年预算数为</w:t>
      </w:r>
      <w:r>
        <w:t>15.5</w:t>
      </w:r>
      <w:r>
        <w:rPr>
          <w:rFonts w:hint="eastAsia"/>
        </w:rPr>
        <w:t>万元，主要用于：机关事业单位基本养老保险缴费。</w:t>
      </w:r>
    </w:p>
    <w:p w14:paraId="076E5492">
      <w:pPr>
        <w:spacing w:line="576" w:lineRule="exact"/>
        <w:ind w:firstLine="643" w:firstLineChars="200"/>
        <w:rPr>
          <w:rFonts w:eastAsia="方正仿宋简体" w:cs="方正仿宋简体"/>
        </w:rPr>
      </w:pPr>
      <w:r>
        <w:rPr>
          <w:b/>
        </w:rPr>
        <w:t>4</w:t>
      </w:r>
      <w:r>
        <w:rPr>
          <w:rFonts w:hint="eastAsia"/>
          <w:b/>
        </w:rPr>
        <w:t>. 社会保障和就业（类）其他社会保障和就业支出（款）其他行政事业单位养老支出（项）：</w:t>
      </w:r>
      <w:r>
        <w:rPr>
          <w:rFonts w:hint="eastAsia"/>
        </w:rPr>
        <w:t>202</w:t>
      </w:r>
      <w:r>
        <w:t>5</w:t>
      </w:r>
      <w:r>
        <w:rPr>
          <w:rFonts w:hint="eastAsia"/>
        </w:rPr>
        <w:t>年预算数为</w:t>
      </w:r>
      <w:r>
        <w:t>1.09</w:t>
      </w:r>
      <w:r>
        <w:rPr>
          <w:rFonts w:hint="eastAsia"/>
        </w:rPr>
        <w:t>万元，主要用于：其他社会保障缴费以及机关事业人员工伤保险、失业保险、生育保险缴费。</w:t>
      </w:r>
    </w:p>
    <w:p w14:paraId="78B0739B">
      <w:pPr>
        <w:spacing w:line="576" w:lineRule="exact"/>
        <w:ind w:firstLine="643" w:firstLineChars="200"/>
      </w:pPr>
      <w:r>
        <w:rPr>
          <w:b/>
          <w:bCs/>
        </w:rPr>
        <w:t>5</w:t>
      </w:r>
      <w:r>
        <w:rPr>
          <w:rFonts w:hint="eastAsia"/>
          <w:b/>
          <w:bCs/>
        </w:rPr>
        <w:t>.卫生健康支出（类）行政事业单位医疗（款）行政单位医疗（项）：</w:t>
      </w:r>
      <w:r>
        <w:rPr>
          <w:rFonts w:hint="eastAsia"/>
        </w:rPr>
        <w:t>202</w:t>
      </w:r>
      <w:r>
        <w:t>5</w:t>
      </w:r>
      <w:r>
        <w:rPr>
          <w:rFonts w:hint="eastAsia"/>
        </w:rPr>
        <w:t>年预算数为3.8</w:t>
      </w:r>
      <w:r>
        <w:t>4</w:t>
      </w:r>
      <w:r>
        <w:rPr>
          <w:rFonts w:hint="eastAsia"/>
        </w:rPr>
        <w:t>万元，主要用于：行政单位基本医疗保险缴费。</w:t>
      </w:r>
    </w:p>
    <w:p w14:paraId="1795F0CB">
      <w:pPr>
        <w:spacing w:line="600" w:lineRule="exact"/>
        <w:ind w:firstLine="632"/>
        <w:jc w:val="left"/>
        <w:rPr>
          <w:b/>
        </w:rPr>
      </w:pPr>
      <w:r>
        <w:rPr>
          <w:b/>
        </w:rPr>
        <w:t>6</w:t>
      </w:r>
      <w:r>
        <w:rPr>
          <w:rFonts w:hint="eastAsia"/>
          <w:b/>
        </w:rPr>
        <w:t>. 卫生健康支出（类）行政事业单位医疗（款）事业单位医疗保险（项）：</w:t>
      </w:r>
      <w:r>
        <w:rPr>
          <w:rFonts w:hint="eastAsia"/>
        </w:rPr>
        <w:t>202</w:t>
      </w:r>
      <w:r>
        <w:t>5</w:t>
      </w:r>
      <w:r>
        <w:rPr>
          <w:rFonts w:hint="eastAsia"/>
        </w:rPr>
        <w:t>年预算数为</w:t>
      </w:r>
      <w:r>
        <w:t>3.65</w:t>
      </w:r>
      <w:r>
        <w:rPr>
          <w:rFonts w:hint="eastAsia"/>
        </w:rPr>
        <w:t>万元，主要用于：事业单位基本医疗保险缴费</w:t>
      </w:r>
      <w:r>
        <w:rPr>
          <w:rFonts w:hint="eastAsia"/>
          <w:b/>
        </w:rPr>
        <w:t>。</w:t>
      </w:r>
    </w:p>
    <w:p w14:paraId="181812F3">
      <w:pPr>
        <w:spacing w:line="576" w:lineRule="exact"/>
        <w:ind w:firstLine="643" w:firstLineChars="200"/>
      </w:pPr>
      <w:r>
        <w:rPr>
          <w:b/>
        </w:rPr>
        <w:t>7</w:t>
      </w:r>
      <w:r>
        <w:rPr>
          <w:rFonts w:hint="eastAsia"/>
          <w:b/>
        </w:rPr>
        <w:t>.  卫生健康支出（类）行政事业单位医疗（款）公务员医疗补助（项）：</w:t>
      </w:r>
      <w:r>
        <w:rPr>
          <w:rFonts w:hint="eastAsia"/>
        </w:rPr>
        <w:t>202</w:t>
      </w:r>
      <w:r>
        <w:t>5</w:t>
      </w:r>
      <w:r>
        <w:rPr>
          <w:rFonts w:hint="eastAsia"/>
        </w:rPr>
        <w:t>年预算数为</w:t>
      </w:r>
      <w:r>
        <w:t>1.94</w:t>
      </w:r>
      <w:r>
        <w:rPr>
          <w:rFonts w:hint="eastAsia"/>
        </w:rPr>
        <w:t>万元，主要用于：公务员医疗补助缴费。</w:t>
      </w:r>
    </w:p>
    <w:p w14:paraId="4B9BA9E3">
      <w:pPr>
        <w:spacing w:line="600" w:lineRule="exact"/>
        <w:ind w:firstLine="632"/>
        <w:jc w:val="left"/>
      </w:pPr>
      <w:r>
        <w:rPr>
          <w:b/>
        </w:rPr>
        <w:t>8</w:t>
      </w:r>
      <w:r>
        <w:rPr>
          <w:rFonts w:hint="eastAsia"/>
          <w:b/>
        </w:rPr>
        <w:t>. 住房保障支出（类）住房改革支出（款）住房公积金（项）：</w:t>
      </w:r>
      <w:r>
        <w:rPr>
          <w:rFonts w:hint="eastAsia"/>
        </w:rPr>
        <w:t>202</w:t>
      </w:r>
      <w:r>
        <w:t>5</w:t>
      </w:r>
      <w:r>
        <w:rPr>
          <w:rFonts w:hint="eastAsia"/>
        </w:rPr>
        <w:t>年预算数为</w:t>
      </w:r>
      <w:r>
        <w:t>13.5</w:t>
      </w:r>
      <w:r>
        <w:rPr>
          <w:rFonts w:hint="eastAsia"/>
        </w:rPr>
        <w:t>6万元，主要用于：职工缴纳的住房公积金。</w:t>
      </w:r>
    </w:p>
    <w:p w14:paraId="1D4324C3">
      <w:pPr>
        <w:ind w:firstLine="632"/>
        <w:rPr>
          <w:rFonts w:ascii="黑体" w:hAnsi="黑体" w:eastAsia="黑体"/>
        </w:rPr>
      </w:pPr>
      <w:r>
        <w:rPr>
          <w:rFonts w:hint="eastAsia" w:ascii="黑体" w:hAnsi="黑体" w:eastAsia="黑体"/>
        </w:rPr>
        <w:t>六、一般公共预算基本支出情况说明</w:t>
      </w:r>
    </w:p>
    <w:p w14:paraId="1EC184E2">
      <w:pPr>
        <w:ind w:firstLine="632"/>
      </w:pPr>
      <w:r>
        <w:rPr>
          <w:rFonts w:hint="eastAsia"/>
        </w:rPr>
        <w:t>海龙凯歌文旅园区人民政府202</w:t>
      </w:r>
      <w:r>
        <w:t>5</w:t>
      </w:r>
      <w:r>
        <w:rPr>
          <w:rFonts w:hint="eastAsia"/>
        </w:rPr>
        <w:t>年一般公共预算基本支出</w:t>
      </w:r>
      <w:r>
        <w:t>178.20</w:t>
      </w:r>
      <w:r>
        <w:rPr>
          <w:rFonts w:hint="eastAsia"/>
        </w:rPr>
        <w:t>万元，其中：</w:t>
      </w:r>
    </w:p>
    <w:p w14:paraId="51DF526D">
      <w:pPr>
        <w:ind w:firstLine="632"/>
      </w:pPr>
      <w:r>
        <w:rPr>
          <w:rFonts w:hint="eastAsia"/>
        </w:rPr>
        <w:t>人员经费</w:t>
      </w:r>
      <w:r>
        <w:t>158.40</w:t>
      </w:r>
      <w:r>
        <w:rPr>
          <w:rFonts w:hint="eastAsia"/>
        </w:rPr>
        <w:t>万元，主要包括（以实际支出经济分类科目填列）：基本工资、津贴补贴、奖金、社会保险缴费、绩效工资、机关事业单位基本养老保险缴费、职业年金缴费、其他工资福利支出、离休费、住房公积金、其他对个人和家庭的补助支出。</w:t>
      </w:r>
    </w:p>
    <w:p w14:paraId="6E83D524">
      <w:pPr>
        <w:ind w:firstLine="632"/>
      </w:pPr>
      <w:r>
        <w:rPr>
          <w:rFonts w:hint="eastAsia"/>
        </w:rPr>
        <w:t>公用经费</w:t>
      </w:r>
      <w:r>
        <w:t>19.80</w:t>
      </w:r>
      <w:r>
        <w:rPr>
          <w:rFonts w:hint="eastAsia"/>
        </w:rPr>
        <w:t>万元，主要包括（以实际支出经济分类科目填列）：办公费、印刷费、手续费、水费、电费、邮电费、差旅费、维修（护）费、会议费、培训费、劳务费、工会经费、福利费、其他交通费、其他商品和服务支出。</w:t>
      </w:r>
    </w:p>
    <w:p w14:paraId="108E770A">
      <w:pPr>
        <w:ind w:firstLine="632"/>
        <w:rPr>
          <w:rFonts w:ascii="黑体" w:hAnsi="黑体" w:eastAsia="黑体"/>
        </w:rPr>
      </w:pPr>
      <w:r>
        <w:rPr>
          <w:rFonts w:hint="eastAsia" w:ascii="黑体" w:hAnsi="黑体" w:eastAsia="黑体"/>
        </w:rPr>
        <w:t>七、“三公”经费财政拨款预算安排情况说明</w:t>
      </w:r>
    </w:p>
    <w:p w14:paraId="2222CEB2">
      <w:pPr>
        <w:ind w:firstLine="632"/>
      </w:pPr>
      <w:r>
        <w:rPr>
          <w:rFonts w:hint="eastAsia"/>
        </w:rPr>
        <w:t>海龙凯歌文旅园区202</w:t>
      </w:r>
      <w:r>
        <w:t>5</w:t>
      </w:r>
      <w:r>
        <w:rPr>
          <w:rFonts w:hint="eastAsia"/>
        </w:rPr>
        <w:t>年“三公”经费财政拨款预算数0万元，其中：因公出国（境）经费0万元，公务接待费0</w:t>
      </w:r>
      <w:r>
        <w:t>.5</w:t>
      </w:r>
      <w:r>
        <w:rPr>
          <w:rFonts w:hint="eastAsia"/>
        </w:rPr>
        <w:t>万元，公务用车购置及运行维护费0万元。</w:t>
      </w:r>
    </w:p>
    <w:p w14:paraId="3416E9E8">
      <w:pPr>
        <w:ind w:firstLine="632"/>
      </w:pPr>
      <w:r>
        <w:rPr>
          <w:rFonts w:eastAsia="楷体_GB2312"/>
        </w:rPr>
        <w:t>（</w:t>
      </w:r>
      <w:r>
        <w:rPr>
          <w:rFonts w:hint="eastAsia"/>
        </w:rPr>
        <w:t>一）</w:t>
      </w:r>
      <w:bookmarkStart w:id="3" w:name="_GoBack"/>
      <w:bookmarkEnd w:id="3"/>
      <w:r>
        <w:rPr>
          <w:rFonts w:hint="eastAsia"/>
        </w:rPr>
        <w:t>因公出国（境）经费较202</w:t>
      </w:r>
      <w:r>
        <w:t>5</w:t>
      </w:r>
      <w:r>
        <w:rPr>
          <w:rFonts w:hint="eastAsia"/>
        </w:rPr>
        <w:t>年预算与202</w:t>
      </w:r>
      <w:r>
        <w:t>4</w:t>
      </w:r>
      <w:r>
        <w:rPr>
          <w:rFonts w:hint="eastAsia"/>
        </w:rPr>
        <w:t>年预算持平。</w:t>
      </w:r>
    </w:p>
    <w:p w14:paraId="6F6439FA">
      <w:pPr>
        <w:ind w:firstLine="632"/>
        <w:rPr>
          <w:rFonts w:eastAsia="楷体_GB2312"/>
        </w:rPr>
      </w:pPr>
      <w:r>
        <w:rPr>
          <w:rFonts w:hint="eastAsia" w:eastAsia="楷体_GB2312"/>
        </w:rPr>
        <w:t>（二）公务接待费，202</w:t>
      </w:r>
      <w:r>
        <w:rPr>
          <w:rFonts w:eastAsia="楷体_GB2312"/>
        </w:rPr>
        <w:t>5</w:t>
      </w:r>
      <w:r>
        <w:rPr>
          <w:rFonts w:hint="eastAsia"/>
        </w:rPr>
        <w:t>年公务接待费为</w:t>
      </w:r>
      <w:r>
        <w:rPr>
          <w:rFonts w:hint="eastAsia" w:eastAsia="楷体_GB2312"/>
        </w:rPr>
        <w:t>0</w:t>
      </w:r>
      <w:r>
        <w:rPr>
          <w:rFonts w:eastAsia="楷体_GB2312"/>
        </w:rPr>
        <w:t>.5</w:t>
      </w:r>
      <w:r>
        <w:rPr>
          <w:rFonts w:hint="eastAsia" w:eastAsia="楷体_GB2312"/>
        </w:rPr>
        <w:t>万元。</w:t>
      </w:r>
    </w:p>
    <w:p w14:paraId="28F4BD28">
      <w:pPr>
        <w:ind w:firstLine="632"/>
      </w:pPr>
      <w:r>
        <w:rPr>
          <w:rFonts w:hint="eastAsia" w:eastAsia="楷体_GB2312"/>
        </w:rPr>
        <w:t>（三）公务用车购置及运行维护费较202</w:t>
      </w:r>
      <w:r>
        <w:rPr>
          <w:rFonts w:eastAsia="楷体_GB2312"/>
        </w:rPr>
        <w:t>4</w:t>
      </w:r>
      <w:r>
        <w:rPr>
          <w:rFonts w:hint="eastAsia" w:eastAsia="楷体_GB2312"/>
        </w:rPr>
        <w:t>年预算持平，</w:t>
      </w:r>
      <w:r>
        <w:rPr>
          <w:rFonts w:hint="eastAsia"/>
        </w:rPr>
        <w:t>主要原因是无公务用车购置等因素。</w:t>
      </w:r>
    </w:p>
    <w:p w14:paraId="689B926D">
      <w:pPr>
        <w:ind w:firstLine="632"/>
      </w:pPr>
      <w:r>
        <w:rPr>
          <w:rFonts w:hint="eastAsia"/>
        </w:rPr>
        <w:t>单位现有公务用车0辆，其中：轿车0辆、越野车0辆、多功能乘用车0辆。</w:t>
      </w:r>
    </w:p>
    <w:p w14:paraId="1A505FCA">
      <w:pPr>
        <w:ind w:firstLine="632"/>
      </w:pPr>
      <w:r>
        <w:rPr>
          <w:rFonts w:hint="eastAsia"/>
        </w:rPr>
        <w:t>202</w:t>
      </w:r>
      <w:r>
        <w:t>5</w:t>
      </w:r>
      <w:r>
        <w:rPr>
          <w:rFonts w:hint="eastAsia"/>
        </w:rPr>
        <w:t>年未安排公务用车购置费。</w:t>
      </w:r>
    </w:p>
    <w:p w14:paraId="11CDC7AB">
      <w:pPr>
        <w:ind w:firstLine="632"/>
      </w:pPr>
      <w:r>
        <w:rPr>
          <w:rFonts w:hint="eastAsia"/>
        </w:rPr>
        <w:t>202</w:t>
      </w:r>
      <w:r>
        <w:t>5</w:t>
      </w:r>
      <w:r>
        <w:rPr>
          <w:rFonts w:hint="eastAsia"/>
        </w:rPr>
        <w:t>年安排公务用车运行维护费0万元。</w:t>
      </w:r>
    </w:p>
    <w:p w14:paraId="06C70C9D">
      <w:pPr>
        <w:ind w:firstLine="632"/>
      </w:pPr>
      <w:r>
        <w:rPr>
          <w:rFonts w:hint="eastAsia"/>
        </w:rPr>
        <w:t>八、“会议费”、“培训费”、“差旅费”财政拨款预算安排情况说明</w:t>
      </w:r>
    </w:p>
    <w:p w14:paraId="6E614BC1">
      <w:pPr>
        <w:ind w:firstLine="632"/>
      </w:pPr>
      <w:r>
        <w:rPr>
          <w:rFonts w:hint="eastAsia"/>
        </w:rPr>
        <w:t>海龙凯歌文旅园区202</w:t>
      </w:r>
      <w:r>
        <w:t>5</w:t>
      </w:r>
      <w:r>
        <w:rPr>
          <w:rFonts w:hint="eastAsia"/>
        </w:rPr>
        <w:t>年“会议费”、“培训费”、“差旅费”财政拨款预算数</w:t>
      </w:r>
      <w:r>
        <w:t>9</w:t>
      </w:r>
      <w:r>
        <w:rPr>
          <w:rFonts w:hint="eastAsia"/>
        </w:rPr>
        <w:t>万元，其中：会议费0万元，培训费0万元，差旅费</w:t>
      </w:r>
      <w:r>
        <w:t>9</w:t>
      </w:r>
      <w:r>
        <w:rPr>
          <w:rFonts w:hint="eastAsia"/>
        </w:rPr>
        <w:t>万元。</w:t>
      </w:r>
    </w:p>
    <w:p w14:paraId="751FA7EA">
      <w:pPr>
        <w:ind w:firstLine="632"/>
      </w:pPr>
      <w:r>
        <w:rPr>
          <w:rFonts w:hint="eastAsia"/>
        </w:rPr>
        <w:t>（一）会议费较</w:t>
      </w:r>
      <w:r>
        <w:rPr>
          <w:rFonts w:hint="eastAsia" w:eastAsia="楷体_GB2312"/>
        </w:rPr>
        <w:t>202</w:t>
      </w:r>
      <w:r>
        <w:rPr>
          <w:rFonts w:eastAsia="楷体_GB2312"/>
        </w:rPr>
        <w:t>4</w:t>
      </w:r>
      <w:r>
        <w:rPr>
          <w:rFonts w:hint="eastAsia" w:eastAsia="楷体_GB2312"/>
        </w:rPr>
        <w:t>年预算持平</w:t>
      </w:r>
      <w:r>
        <w:rPr>
          <w:rFonts w:hint="eastAsia"/>
        </w:rPr>
        <w:t>。主要原因202</w:t>
      </w:r>
      <w:r>
        <w:t>5</w:t>
      </w:r>
      <w:r>
        <w:rPr>
          <w:rFonts w:hint="eastAsia"/>
        </w:rPr>
        <w:t>年未预算会议费。</w:t>
      </w:r>
    </w:p>
    <w:p w14:paraId="01DB874C">
      <w:pPr>
        <w:ind w:firstLine="632"/>
      </w:pPr>
      <w:r>
        <w:rPr>
          <w:rFonts w:hint="eastAsia"/>
        </w:rPr>
        <w:t>（二）培训费较202</w:t>
      </w:r>
      <w:r>
        <w:t>4</w:t>
      </w:r>
      <w:r>
        <w:rPr>
          <w:rFonts w:hint="eastAsia"/>
        </w:rPr>
        <w:t>年预算持平。主要原因202</w:t>
      </w:r>
      <w:r>
        <w:t>5</w:t>
      </w:r>
      <w:r>
        <w:rPr>
          <w:rFonts w:hint="eastAsia"/>
        </w:rPr>
        <w:t>年未预算培训费</w:t>
      </w:r>
    </w:p>
    <w:p w14:paraId="6B728D18">
      <w:pPr>
        <w:ind w:firstLine="632"/>
        <w:rPr>
          <w:color w:val="0000FF"/>
        </w:rPr>
      </w:pPr>
      <w:r>
        <w:rPr>
          <w:rFonts w:hint="eastAsia"/>
        </w:rPr>
        <w:t>（三）差旅费较202</w:t>
      </w:r>
      <w:r>
        <w:t>4</w:t>
      </w:r>
      <w:r>
        <w:rPr>
          <w:rFonts w:hint="eastAsia"/>
        </w:rPr>
        <w:t>年预算下降</w:t>
      </w:r>
      <w:r>
        <w:t>44.44</w:t>
      </w:r>
      <w:r>
        <w:rPr>
          <w:rFonts w:hint="eastAsia"/>
        </w:rPr>
        <w:t>%。主要原因是202</w:t>
      </w:r>
      <w:r>
        <w:t>5</w:t>
      </w:r>
      <w:r>
        <w:rPr>
          <w:rFonts w:hint="eastAsia"/>
        </w:rPr>
        <w:t>年人员人员减少。</w:t>
      </w:r>
    </w:p>
    <w:p w14:paraId="61406677">
      <w:pPr>
        <w:ind w:firstLine="632"/>
      </w:pPr>
      <w:r>
        <w:rPr>
          <w:rFonts w:hint="eastAsia"/>
        </w:rPr>
        <w:t>九、政府性基金预算支出情况说明</w:t>
      </w:r>
    </w:p>
    <w:p w14:paraId="70B63117">
      <w:pPr>
        <w:spacing w:line="600" w:lineRule="exact"/>
        <w:ind w:firstLine="632"/>
      </w:pPr>
      <w:r>
        <w:rPr>
          <w:rFonts w:hint="eastAsia"/>
        </w:rPr>
        <w:t>海龙凯歌文旅园区202</w:t>
      </w:r>
      <w:r>
        <w:t>5</w:t>
      </w:r>
      <w:r>
        <w:rPr>
          <w:rFonts w:hint="eastAsia"/>
        </w:rPr>
        <w:t>年政府性基金预算支出20万元，其中：基本支出0万元，项目支出20万元。</w:t>
      </w:r>
    </w:p>
    <w:p w14:paraId="04E61D92">
      <w:pPr>
        <w:ind w:firstLine="632"/>
      </w:pPr>
      <w:r>
        <w:rPr>
          <w:rFonts w:hint="eastAsia"/>
        </w:rPr>
        <w:t>十、国有资本经营预算支出情况说明</w:t>
      </w:r>
    </w:p>
    <w:p w14:paraId="45C4EF72">
      <w:pPr>
        <w:ind w:firstLine="632"/>
      </w:pPr>
      <w:r>
        <w:rPr>
          <w:rFonts w:hint="eastAsia"/>
        </w:rPr>
        <w:t>海龙凯歌文旅园区人民政府202</w:t>
      </w:r>
      <w:r>
        <w:t>5</w:t>
      </w:r>
      <w:r>
        <w:rPr>
          <w:rFonts w:hint="eastAsia"/>
        </w:rPr>
        <w:t>年没有使用国有资本经营预算拨款安排的支出。</w:t>
      </w:r>
    </w:p>
    <w:p w14:paraId="134A014F">
      <w:pPr>
        <w:spacing w:line="600" w:lineRule="exact"/>
        <w:ind w:firstLine="632"/>
        <w:rPr>
          <w:rFonts w:ascii="黑体" w:hAnsi="黑体" w:eastAsia="黑体"/>
        </w:rPr>
      </w:pPr>
      <w:r>
        <w:rPr>
          <w:rFonts w:hint="eastAsia" w:ascii="黑体" w:hAnsi="黑体" w:eastAsia="黑体"/>
        </w:rPr>
        <w:t>十一、其他重要事项的情况说明</w:t>
      </w:r>
    </w:p>
    <w:p w14:paraId="0D46888B">
      <w:pPr>
        <w:spacing w:line="600" w:lineRule="exact"/>
        <w:ind w:firstLine="632"/>
        <w:rPr>
          <w:rFonts w:eastAsia="楷体_GB2312"/>
          <w:b/>
        </w:rPr>
      </w:pPr>
      <w:r>
        <w:rPr>
          <w:rFonts w:hint="eastAsia" w:eastAsia="楷体_GB2312"/>
          <w:b/>
        </w:rPr>
        <w:t>（一）机关运行经费</w:t>
      </w:r>
    </w:p>
    <w:p w14:paraId="411778B2">
      <w:pPr>
        <w:spacing w:line="600" w:lineRule="exact"/>
        <w:ind w:firstLine="632"/>
      </w:pPr>
      <w:r>
        <w:rPr>
          <w:rFonts w:hint="eastAsia"/>
        </w:rPr>
        <w:t>202</w:t>
      </w:r>
      <w:r>
        <w:t>5</w:t>
      </w:r>
      <w:r>
        <w:rPr>
          <w:rFonts w:hint="eastAsia"/>
        </w:rPr>
        <w:t>年海龙凯歌文旅园区单位的机关运行经费财政拨款预算为</w:t>
      </w:r>
      <w:r>
        <w:t>19.80</w:t>
      </w:r>
      <w:r>
        <w:rPr>
          <w:rFonts w:hint="eastAsia"/>
        </w:rPr>
        <w:t>万元，较202</w:t>
      </w:r>
      <w:r>
        <w:t>4</w:t>
      </w:r>
      <w:r>
        <w:rPr>
          <w:rFonts w:hint="eastAsia"/>
        </w:rPr>
        <w:t>年预算减少1</w:t>
      </w:r>
      <w:r>
        <w:t>.68</w:t>
      </w:r>
      <w:r>
        <w:rPr>
          <w:rFonts w:hint="eastAsia"/>
        </w:rPr>
        <w:t>万元，减少</w:t>
      </w:r>
      <w:r>
        <w:t>8.48</w:t>
      </w:r>
      <w:r>
        <w:rPr>
          <w:rFonts w:hint="eastAsia"/>
        </w:rPr>
        <w:t>%。</w:t>
      </w:r>
    </w:p>
    <w:p w14:paraId="18D55659">
      <w:pPr>
        <w:spacing w:line="600" w:lineRule="exact"/>
        <w:ind w:firstLine="632"/>
        <w:rPr>
          <w:rFonts w:eastAsia="楷体_GB2312"/>
          <w:b/>
        </w:rPr>
      </w:pPr>
      <w:r>
        <w:rPr>
          <w:rFonts w:hint="eastAsia" w:eastAsia="楷体_GB2312"/>
          <w:b/>
        </w:rPr>
        <w:t>（二）政府采购情况</w:t>
      </w:r>
    </w:p>
    <w:p w14:paraId="293D27CA">
      <w:pPr>
        <w:spacing w:line="600" w:lineRule="exact"/>
        <w:ind w:firstLine="632"/>
      </w:pPr>
      <w:r>
        <w:rPr>
          <w:rFonts w:hint="eastAsia"/>
        </w:rPr>
        <w:t>202</w:t>
      </w:r>
      <w:r>
        <w:t>5</w:t>
      </w:r>
      <w:r>
        <w:rPr>
          <w:rFonts w:hint="eastAsia"/>
        </w:rPr>
        <w:t>年，海龙凯歌文旅园区安排政府采购预算0万元。</w:t>
      </w:r>
    </w:p>
    <w:p w14:paraId="26EC8F17">
      <w:pPr>
        <w:spacing w:line="600" w:lineRule="exact"/>
      </w:pPr>
      <w:r>
        <w:rPr>
          <w:rFonts w:hint="eastAsia"/>
        </w:rPr>
        <w:t>海龙凯歌文旅园区人民政府202</w:t>
      </w:r>
      <w:r>
        <w:t>5</w:t>
      </w:r>
      <w:r>
        <w:rPr>
          <w:rFonts w:hint="eastAsia"/>
        </w:rPr>
        <w:t>年无政府采购项目，未安排政府采购预算。</w:t>
      </w:r>
    </w:p>
    <w:p w14:paraId="24F6C3BD">
      <w:pPr>
        <w:spacing w:line="600" w:lineRule="exact"/>
        <w:ind w:firstLine="632"/>
        <w:rPr>
          <w:rFonts w:eastAsia="楷体_GB2312"/>
          <w:b/>
        </w:rPr>
      </w:pPr>
      <w:r>
        <w:rPr>
          <w:rFonts w:hint="eastAsia" w:eastAsia="楷体_GB2312"/>
          <w:b/>
        </w:rPr>
        <w:t>（三）国有资产占有使用情况</w:t>
      </w:r>
    </w:p>
    <w:p w14:paraId="1CA032AB">
      <w:pPr>
        <w:spacing w:line="600" w:lineRule="exact"/>
        <w:ind w:firstLine="632"/>
      </w:pPr>
      <w:r>
        <w:rPr>
          <w:rFonts w:hint="eastAsia"/>
        </w:rPr>
        <w:t>截至202</w:t>
      </w:r>
      <w:r>
        <w:t>4</w:t>
      </w:r>
      <w:r>
        <w:rPr>
          <w:rFonts w:hint="eastAsia"/>
        </w:rPr>
        <w:t>年底，海龙凯歌文旅园区共有车辆</w:t>
      </w:r>
      <w:r>
        <w:rPr>
          <w:rFonts w:hint="eastAsia" w:ascii="楷体_GB2312" w:eastAsia="楷体_GB2312"/>
        </w:rPr>
        <w:t>0</w:t>
      </w:r>
      <w:r>
        <w:rPr>
          <w:rFonts w:hint="eastAsia"/>
        </w:rPr>
        <w:t>辆。</w:t>
      </w:r>
    </w:p>
    <w:p w14:paraId="3B91B9F2">
      <w:pPr>
        <w:spacing w:line="600" w:lineRule="exact"/>
        <w:ind w:firstLine="632"/>
      </w:pPr>
      <w:r>
        <w:rPr>
          <w:rFonts w:hint="eastAsia"/>
        </w:rPr>
        <w:t>202</w:t>
      </w:r>
      <w:r>
        <w:t>5</w:t>
      </w:r>
      <w:r>
        <w:rPr>
          <w:rFonts w:hint="eastAsia"/>
        </w:rPr>
        <w:t>年部门预算安排车辆购置经费0万元。其中，财政拨款预算安排0万元，非财政拨款安排0万元。</w:t>
      </w:r>
    </w:p>
    <w:p w14:paraId="1A39CF95">
      <w:pPr>
        <w:spacing w:line="560" w:lineRule="exact"/>
        <w:ind w:firstLine="632"/>
      </w:pPr>
      <w:r>
        <w:rPr>
          <w:rFonts w:hint="eastAsia"/>
        </w:rPr>
        <w:t>202</w:t>
      </w:r>
      <w:r>
        <w:t>5</w:t>
      </w:r>
      <w:r>
        <w:rPr>
          <w:rFonts w:hint="eastAsia"/>
        </w:rPr>
        <w:t>年部门预算未安排购置车辆及单位价值200万元以上大型设备。</w:t>
      </w:r>
    </w:p>
    <w:p w14:paraId="564A763B">
      <w:pPr>
        <w:spacing w:line="560" w:lineRule="exact"/>
        <w:ind w:firstLine="632"/>
        <w:rPr>
          <w:rFonts w:eastAsia="楷体_GB2312"/>
          <w:b/>
        </w:rPr>
      </w:pPr>
      <w:r>
        <w:rPr>
          <w:rFonts w:hint="eastAsia" w:eastAsia="楷体_GB2312"/>
          <w:b/>
        </w:rPr>
        <w:t>（四）预算绩效情况</w:t>
      </w:r>
    </w:p>
    <w:p w14:paraId="130457EA">
      <w:pPr>
        <w:spacing w:line="560" w:lineRule="exact"/>
        <w:ind w:firstLine="632"/>
      </w:pPr>
      <w:r>
        <w:rPr>
          <w:rFonts w:hint="eastAsia"/>
        </w:rPr>
        <w:t>202</w:t>
      </w:r>
      <w:r>
        <w:t>5</w:t>
      </w:r>
      <w:r>
        <w:rPr>
          <w:rFonts w:hint="eastAsia"/>
        </w:rPr>
        <w:t>年海龙凯歌文旅园区开展绩效目标管理的项目3个，涉及预算</w:t>
      </w:r>
      <w:r>
        <w:t>25</w:t>
      </w:r>
      <w:r>
        <w:rPr>
          <w:rFonts w:hint="eastAsia"/>
        </w:rPr>
        <w:t>万元。其中：人员类项目0个，涉及预算0万元；运转类项目0个，涉及预算0万元；特定目标类项目3个，涉及预算</w:t>
      </w:r>
      <w:r>
        <w:t>25</w:t>
      </w:r>
      <w:r>
        <w:rPr>
          <w:rFonts w:hint="eastAsia"/>
        </w:rPr>
        <w:t>万元。</w:t>
      </w:r>
    </w:p>
    <w:p w14:paraId="6DC99495">
      <w:pPr>
        <w:spacing w:line="560" w:lineRule="exact"/>
        <w:ind w:firstLine="632"/>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14:paraId="0733F9BA">
      <w:pPr>
        <w:spacing w:line="560" w:lineRule="exact"/>
        <w:ind w:firstLine="632"/>
      </w:pPr>
      <w:r>
        <w:t>1.</w:t>
      </w:r>
      <w:r>
        <w:rPr>
          <w:rFonts w:hint="eastAsia"/>
        </w:rPr>
        <w:t xml:space="preserve"> </w:t>
      </w:r>
      <w:r>
        <w:t>一般公共预算拨款收入：指市</w:t>
      </w:r>
      <w:r>
        <w:rPr>
          <w:rFonts w:hint="eastAsia"/>
        </w:rPr>
        <w:t>本</w:t>
      </w:r>
      <w:r>
        <w:t>级财政当年拨付的资金。</w:t>
      </w:r>
    </w:p>
    <w:p w14:paraId="2A281C9A">
      <w:pPr>
        <w:spacing w:line="560" w:lineRule="exact"/>
        <w:ind w:firstLine="632"/>
      </w:pPr>
      <w:r>
        <w:t>2.</w:t>
      </w:r>
      <w:r>
        <w:rPr>
          <w:rFonts w:hint="eastAsia"/>
        </w:rPr>
        <w:t xml:space="preserve"> </w:t>
      </w:r>
      <w:r>
        <w:t>上年结转：指以前年度尚未完成，结转到本年仍按原规定用途继续使用的资金。</w:t>
      </w:r>
    </w:p>
    <w:p w14:paraId="2158BE0B">
      <w:pPr>
        <w:spacing w:line="560" w:lineRule="exact"/>
        <w:ind w:firstLine="632"/>
      </w:pPr>
      <w:r>
        <w:t>3.</w:t>
      </w:r>
      <w:r>
        <w:rPr>
          <w:rFonts w:hint="eastAsia"/>
        </w:rPr>
        <w:t xml:space="preserve"> </w:t>
      </w:r>
      <w:r>
        <w:t>基本支出：指为保证机构正常运转，完成日常工作任务而发生的人员支出和公用支出。</w:t>
      </w:r>
    </w:p>
    <w:p w14:paraId="196256C2">
      <w:pPr>
        <w:spacing w:line="560" w:lineRule="exact"/>
        <w:ind w:firstLine="632"/>
      </w:pPr>
      <w:r>
        <w:t>4.</w:t>
      </w:r>
      <w:r>
        <w:rPr>
          <w:rFonts w:hint="eastAsia"/>
        </w:rPr>
        <w:t xml:space="preserve"> </w:t>
      </w:r>
      <w:r>
        <w:t>项目支出：指在基本支出之外为完成特定行政任务和事业发展目标所发生的支出。</w:t>
      </w:r>
    </w:p>
    <w:p w14:paraId="5F426E27">
      <w:pPr>
        <w:spacing w:line="560" w:lineRule="exact"/>
        <w:ind w:firstLine="632"/>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14:paraId="15DF7100">
      <w:pPr>
        <w:ind w:firstLine="632"/>
      </w:pPr>
      <w:r>
        <w:rPr>
          <w:rFonts w:hint="eastAsia"/>
        </w:rPr>
        <w:t>6 .</w:t>
      </w:r>
      <w:r>
        <w:t>社会保障和就业（类）行政事业单位离退休（款）事业单位离退休（项）：指实行归口管理的事业单位离退休人员的支出。</w:t>
      </w:r>
    </w:p>
    <w:p w14:paraId="591054B4">
      <w:pPr>
        <w:ind w:firstLine="632"/>
      </w:pPr>
      <w:r>
        <w:rPr>
          <w:rFonts w:hint="eastAsia"/>
        </w:rPr>
        <w:t xml:space="preserve">7. </w:t>
      </w:r>
      <w:r>
        <w:t>社会保障和就业（类）行政事业单位离退休（款）未归口管理的行政单位离退休（项）：指未实行归口管理的行政单位离退休人员的支出。</w:t>
      </w:r>
    </w:p>
    <w:p w14:paraId="13A3804B">
      <w:pPr>
        <w:ind w:firstLine="632"/>
      </w:pPr>
      <w:r>
        <w:rPr>
          <w:rFonts w:hint="eastAsia"/>
        </w:rPr>
        <w:t>8</w:t>
      </w:r>
      <w:r>
        <w:t>.</w:t>
      </w:r>
      <w:r>
        <w:rPr>
          <w:rFonts w:hint="eastAsia"/>
        </w:rPr>
        <w:t xml:space="preserve"> </w:t>
      </w:r>
      <w:r>
        <w:t>社会保障和就业（类）行政事业单位离退休（款）机关事业单位基本养老保险缴费支出（项）：指部门实施养老保险制度由单位缴纳的养老保险费的支出。</w:t>
      </w:r>
    </w:p>
    <w:p w14:paraId="5089E6E8">
      <w:pPr>
        <w:ind w:firstLine="632"/>
      </w:pPr>
      <w:r>
        <w:rPr>
          <w:rFonts w:hint="eastAsia"/>
        </w:rPr>
        <w:t>9</w:t>
      </w:r>
      <w:r>
        <w:t>.</w:t>
      </w:r>
      <w:r>
        <w:rPr>
          <w:rFonts w:hint="eastAsia"/>
        </w:rPr>
        <w:t xml:space="preserve"> </w:t>
      </w:r>
      <w:r>
        <w:t>社会保障和就业（类）行政事业单位离退休（款）机关事业单位职业年金缴费支出（项）：指部门实施养老保险制度由单位缴纳的职业年金的支出。</w:t>
      </w:r>
    </w:p>
    <w:p w14:paraId="476A9A77">
      <w:pPr>
        <w:ind w:firstLine="632"/>
      </w:pPr>
      <w:r>
        <w:rPr>
          <w:rFonts w:hint="eastAsia"/>
        </w:rPr>
        <w:t>10</w:t>
      </w:r>
      <w:r>
        <w:t>.</w:t>
      </w:r>
      <w:r>
        <w:rPr>
          <w:rFonts w:hint="eastAsia"/>
        </w:rPr>
        <w:t xml:space="preserve"> </w:t>
      </w:r>
      <w:r>
        <w:t>社会保障和就业（类）其他社会保障和就业（款）其他社会保障和就业支出（项）：指除上述项目外，其他用于行政事业单位离退休方面的支出。</w:t>
      </w:r>
    </w:p>
    <w:p w14:paraId="65B97CA8">
      <w:pPr>
        <w:ind w:firstLine="632"/>
      </w:pPr>
      <w:r>
        <w:rPr>
          <w:rFonts w:hint="eastAsia"/>
        </w:rPr>
        <w:t>11</w:t>
      </w:r>
      <w:r>
        <w:t>.</w:t>
      </w:r>
      <w:r>
        <w:rPr>
          <w:rFonts w:hint="eastAsia"/>
        </w:rPr>
        <w:t xml:space="preserve"> .卫生健康支出</w:t>
      </w:r>
      <w:r>
        <w:t>（类）行政事业单位医疗（款）行政单位医疗（项）：指行政机关及参公管理事业单位用于缴纳单位基本医疗保险支出。</w:t>
      </w:r>
    </w:p>
    <w:p w14:paraId="63AB616A">
      <w:pPr>
        <w:ind w:firstLine="632"/>
      </w:pPr>
      <w:r>
        <w:rPr>
          <w:rFonts w:hint="eastAsia"/>
        </w:rPr>
        <w:t>12</w:t>
      </w:r>
      <w:r>
        <w:t>.</w:t>
      </w:r>
      <w:r>
        <w:rPr>
          <w:rFonts w:hint="eastAsia"/>
        </w:rPr>
        <w:t xml:space="preserve"> .卫生健康支出</w:t>
      </w:r>
      <w:r>
        <w:t>（类）行政事业单位医疗（款）事业单位医疗（项）：指事业单位用于缴纳单位基本医疗保险支出。</w:t>
      </w:r>
    </w:p>
    <w:p w14:paraId="78490D37">
      <w:pPr>
        <w:ind w:firstLine="632"/>
      </w:pPr>
      <w:r>
        <w:rPr>
          <w:rFonts w:hint="eastAsia"/>
        </w:rPr>
        <w:t>13</w:t>
      </w:r>
      <w:r>
        <w:t>.</w:t>
      </w:r>
      <w:r>
        <w:rPr>
          <w:rFonts w:hint="eastAsia"/>
        </w:rPr>
        <w:t xml:space="preserve"> </w:t>
      </w:r>
      <w:r>
        <w:t>医疗卫生（类）行政事业单位医疗（款）公务员医疗补助（项）：指行政机关及参公管理事业单位用于集中缴纳公务员医疗补助支出。</w:t>
      </w:r>
    </w:p>
    <w:p w14:paraId="21E18573">
      <w:pPr>
        <w:ind w:firstLine="632"/>
      </w:pPr>
      <w:r>
        <w:rPr>
          <w:rFonts w:hint="eastAsia"/>
        </w:rPr>
        <w:t>14</w:t>
      </w:r>
      <w:r>
        <w:t>.</w:t>
      </w:r>
      <w:r>
        <w:rPr>
          <w:rFonts w:hint="eastAsia"/>
        </w:rPr>
        <w:t xml:space="preserve"> </w:t>
      </w:r>
      <w:r>
        <w:t>住房保障（类）住房改革支出（款）住房公积金（项）：指按照《住房公积金管理条例》的规定，由单位及其在职职工缴存的长期住房储金。</w:t>
      </w:r>
    </w:p>
    <w:p w14:paraId="265066FF">
      <w:pPr>
        <w:ind w:firstLine="632"/>
      </w:pPr>
      <w:r>
        <w:rPr>
          <w:rFonts w:hint="eastAsia"/>
        </w:rPr>
        <w:t>15</w:t>
      </w:r>
      <w:r>
        <w:t>.</w:t>
      </w:r>
      <w:r>
        <w:rPr>
          <w:rFonts w:hint="eastAsia"/>
        </w:rPr>
        <w:t xml:space="preserve"> </w:t>
      </w:r>
      <w:r>
        <w:t>机关运行经费：为保障行政单位（包含参照公务员法管理的事业单位）运行用于购买货物和服务的各项资金。包括办公及印刷费、邮电费、差旅费、会议费一般设备购置费等费用开支。</w:t>
      </w:r>
    </w:p>
    <w:p w14:paraId="456BC8BF"/>
    <w:p w14:paraId="47B14397">
      <w:pPr>
        <w:ind w:firstLine="2797"/>
      </w:pPr>
      <w:r>
        <w:rPr>
          <w:rFonts w:hint="eastAsia"/>
        </w:rPr>
        <w:t>遂宁市安居区海龙凯歌文化旅游园区管委会</w:t>
      </w:r>
    </w:p>
    <w:p w14:paraId="6FA4B371">
      <w:pPr>
        <w:ind w:firstLine="4512"/>
        <w:sectPr>
          <w:footerReference r:id="rId3" w:type="default"/>
          <w:footerReference r:id="rId4" w:type="even"/>
          <w:pgSz w:w="11906" w:h="16838" w:orient="landscape"/>
          <w:pgMar w:top="1157" w:right="1463" w:bottom="3141" w:left="1463" w:header="851" w:footer="1701" w:gutter="0"/>
          <w:cols w:space="1701" w:num="1"/>
        </w:sectPr>
      </w:pPr>
      <w:r>
        <w:rPr>
          <w:rFonts w:hint="eastAsia"/>
        </w:rPr>
        <w:t>202</w:t>
      </w:r>
      <w:r>
        <w:t>5</w:t>
      </w:r>
      <w:r>
        <w:rPr>
          <w:rFonts w:hint="eastAsia"/>
        </w:rPr>
        <w:t>年</w:t>
      </w:r>
      <w:r>
        <w:t>4</w:t>
      </w:r>
      <w:r>
        <w:rPr>
          <w:rFonts w:hint="eastAsia"/>
        </w:rPr>
        <w:t>月</w:t>
      </w:r>
      <w:r>
        <w:t>22</w:t>
      </w:r>
      <w:r>
        <w:rPr>
          <w:rFonts w:hint="eastAsia"/>
        </w:rPr>
        <w:t>日</w:t>
      </w:r>
    </w:p>
    <w:p w14:paraId="0C4FE253"/>
    <w:sectPr>
      <w:pgSz w:w="11906" w:h="16838" w:orient="landscape"/>
      <w:pgMar w:top="2098" w:right="1474" w:bottom="1985" w:left="1588" w:header="851" w:footer="1701"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script"/>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B21F">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01D">
    <w:pPr>
      <w:pStyle w:val="19"/>
      <w:framePr w:wrap="around" w:vAnchor="text" w:hAnchor="margin" w:xAlign="outside" w:y="1"/>
      <w:rPr>
        <w:rStyle w:val="36"/>
      </w:rPr>
    </w:pPr>
    <w:r>
      <w:fldChar w:fldCharType="begin"/>
    </w:r>
    <w:r>
      <w:rPr>
        <w:rStyle w:val="36"/>
      </w:rPr>
      <w:instrText xml:space="preserve">PAGE  </w:instrText>
    </w:r>
    <w:r>
      <w:fldChar w:fldCharType="end"/>
    </w:r>
  </w:p>
  <w:p w14:paraId="0631B593">
    <w:pPr>
      <w:pStyle w:val="1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F71B4"/>
    <w:multiLevelType w:val="multilevel"/>
    <w:tmpl w:val="2F6F71B4"/>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5A1811B4"/>
    <w:multiLevelType w:val="multilevel"/>
    <w:tmpl w:val="5A1811B4"/>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BA"/>
    <w:rsid w:val="00082F04"/>
    <w:rsid w:val="000A6EB1"/>
    <w:rsid w:val="000B49D7"/>
    <w:rsid w:val="00144575"/>
    <w:rsid w:val="001470DA"/>
    <w:rsid w:val="00155339"/>
    <w:rsid w:val="00264D05"/>
    <w:rsid w:val="003F15F6"/>
    <w:rsid w:val="00446850"/>
    <w:rsid w:val="0049159E"/>
    <w:rsid w:val="004D4B93"/>
    <w:rsid w:val="00510497"/>
    <w:rsid w:val="005D1BE4"/>
    <w:rsid w:val="005D24C4"/>
    <w:rsid w:val="00642132"/>
    <w:rsid w:val="00681EBF"/>
    <w:rsid w:val="007244E0"/>
    <w:rsid w:val="00737731"/>
    <w:rsid w:val="007C44D7"/>
    <w:rsid w:val="00A02CCA"/>
    <w:rsid w:val="00A25649"/>
    <w:rsid w:val="00A55011"/>
    <w:rsid w:val="00A86440"/>
    <w:rsid w:val="00A9261E"/>
    <w:rsid w:val="00B05141"/>
    <w:rsid w:val="00B155A8"/>
    <w:rsid w:val="00BF4FA1"/>
    <w:rsid w:val="00C77BDD"/>
    <w:rsid w:val="00D45C58"/>
    <w:rsid w:val="00D566BA"/>
    <w:rsid w:val="00DE75E3"/>
    <w:rsid w:val="00DF016E"/>
    <w:rsid w:val="00E21F7B"/>
    <w:rsid w:val="00E36C92"/>
    <w:rsid w:val="00E912B9"/>
    <w:rsid w:val="00ED6A53"/>
    <w:rsid w:val="00F008F7"/>
    <w:rsid w:val="203B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szCs w:val="32"/>
      <w:lang w:val="en-US" w:eastAsia="zh-CN" w:bidi="ar-SA"/>
    </w:rPr>
  </w:style>
  <w:style w:type="paragraph" w:styleId="2">
    <w:name w:val="heading 1"/>
    <w:basedOn w:val="1"/>
    <w:next w:val="1"/>
    <w:link w:val="39"/>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0"/>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1"/>
    <w:qFormat/>
    <w:uiPriority w:val="0"/>
    <w:pPr>
      <w:keepNext/>
      <w:keepLines/>
      <w:spacing w:before="260" w:after="260" w:line="413" w:lineRule="auto"/>
      <w:outlineLvl w:val="2"/>
    </w:pPr>
    <w:rPr>
      <w:b/>
    </w:rPr>
  </w:style>
  <w:style w:type="paragraph" w:styleId="5">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pPr>
      <w:spacing w:before="93"/>
    </w:pPr>
    <w:rPr>
      <w:rFonts w:ascii="仿宋_GB2312"/>
      <w:sz w:val="30"/>
      <w:szCs w:val="24"/>
    </w:r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5"/>
    <w:semiHidden/>
    <w:unhideWhenUsed/>
    <w:qFormat/>
    <w:uiPriority w:val="99"/>
    <w:rPr>
      <w:sz w:val="20"/>
    </w:rPr>
  </w:style>
  <w:style w:type="paragraph" w:styleId="18">
    <w:name w:val="Balloon Text"/>
    <w:basedOn w:val="1"/>
    <w:link w:val="187"/>
    <w:qFormat/>
    <w:uiPriority w:val="0"/>
    <w:rPr>
      <w:sz w:val="18"/>
      <w:szCs w:val="18"/>
    </w:rPr>
  </w:style>
  <w:style w:type="paragraph" w:styleId="19">
    <w:name w:val="footer"/>
    <w:basedOn w:val="1"/>
    <w:link w:val="58"/>
    <w:uiPriority w:val="0"/>
    <w:pPr>
      <w:tabs>
        <w:tab w:val="center" w:pos="4153"/>
        <w:tab w:val="right" w:pos="8306"/>
      </w:tabs>
      <w:jc w:val="left"/>
    </w:pPr>
    <w:rPr>
      <w:sz w:val="18"/>
      <w:szCs w:val="18"/>
    </w:rPr>
  </w:style>
  <w:style w:type="paragraph" w:styleId="20">
    <w:name w:val="header"/>
    <w:basedOn w:val="1"/>
    <w:link w:val="56"/>
    <w:uiPriority w:val="0"/>
    <w:pPr>
      <w:pBdr>
        <w:bottom w:val="single" w:color="000000" w:sz="6" w:space="1"/>
      </w:pBdr>
      <w:tabs>
        <w:tab w:val="center" w:pos="4153"/>
        <w:tab w:val="right" w:pos="8306"/>
      </w:tabs>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51"/>
    <w:qFormat/>
    <w:uiPriority w:val="11"/>
    <w:pPr>
      <w:spacing w:before="200" w:after="200"/>
    </w:pPr>
    <w:rPr>
      <w:sz w:val="24"/>
      <w:szCs w:val="24"/>
    </w:rPr>
  </w:style>
  <w:style w:type="paragraph" w:styleId="24">
    <w:name w:val="footnote text"/>
    <w:basedOn w:val="1"/>
    <w:link w:val="184"/>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qFormat/>
    <w:uiPriority w:val="0"/>
    <w:pPr>
      <w:spacing w:beforeAutospacing="1" w:afterAutospacing="1"/>
      <w:jc w:val="left"/>
    </w:pPr>
    <w:rPr>
      <w:sz w:val="24"/>
    </w:rPr>
  </w:style>
  <w:style w:type="paragraph" w:styleId="30">
    <w:name w:val="Title"/>
    <w:basedOn w:val="1"/>
    <w:next w:val="1"/>
    <w:link w:val="50"/>
    <w:qFormat/>
    <w:uiPriority w:val="10"/>
    <w:pPr>
      <w:spacing w:before="300" w:after="200"/>
      <w:contextualSpacing/>
    </w:pPr>
    <w:rPr>
      <w:sz w:val="48"/>
      <w:szCs w:val="48"/>
    </w:rPr>
  </w:style>
  <w:style w:type="table" w:styleId="32">
    <w:name w:val="Table Grid"/>
    <w:basedOn w:val="31"/>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endnote reference"/>
    <w:semiHidden/>
    <w:unhideWhenUsed/>
    <w:qFormat/>
    <w:uiPriority w:val="99"/>
    <w:rPr>
      <w:vertAlign w:val="superscript"/>
    </w:rPr>
  </w:style>
  <w:style w:type="character" w:styleId="36">
    <w:name w:val="page number"/>
    <w:qFormat/>
    <w:uiPriority w:val="0"/>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character" w:customStyle="1" w:styleId="39">
    <w:name w:val="标题 1 字符"/>
    <w:link w:val="2"/>
    <w:uiPriority w:val="9"/>
    <w:rPr>
      <w:rFonts w:ascii="等线" w:hAnsi="等线" w:eastAsia="等线" w:cs="等线"/>
      <w:sz w:val="40"/>
      <w:szCs w:val="40"/>
    </w:rPr>
  </w:style>
  <w:style w:type="character" w:customStyle="1" w:styleId="40">
    <w:name w:val="标题 2 字符"/>
    <w:link w:val="3"/>
    <w:uiPriority w:val="9"/>
    <w:rPr>
      <w:rFonts w:ascii="等线" w:hAnsi="等线" w:eastAsia="等线" w:cs="等线"/>
      <w:sz w:val="34"/>
    </w:rPr>
  </w:style>
  <w:style w:type="character" w:customStyle="1" w:styleId="41">
    <w:name w:val="标题 3 字符"/>
    <w:link w:val="4"/>
    <w:uiPriority w:val="9"/>
    <w:rPr>
      <w:rFonts w:ascii="等线" w:hAnsi="等线" w:eastAsia="等线" w:cs="等线"/>
      <w:sz w:val="30"/>
      <w:szCs w:val="30"/>
    </w:rPr>
  </w:style>
  <w:style w:type="character" w:customStyle="1" w:styleId="42">
    <w:name w:val="标题 4 字符"/>
    <w:link w:val="5"/>
    <w:uiPriority w:val="9"/>
    <w:rPr>
      <w:rFonts w:ascii="等线" w:hAnsi="等线" w:eastAsia="等线" w:cs="等线"/>
      <w:b/>
      <w:bCs/>
      <w:sz w:val="26"/>
      <w:szCs w:val="26"/>
    </w:rPr>
  </w:style>
  <w:style w:type="character" w:customStyle="1" w:styleId="43">
    <w:name w:val="标题 5 字符"/>
    <w:link w:val="6"/>
    <w:uiPriority w:val="9"/>
    <w:rPr>
      <w:rFonts w:ascii="等线" w:hAnsi="等线" w:eastAsia="等线" w:cs="等线"/>
      <w:b/>
      <w:bCs/>
      <w:sz w:val="24"/>
      <w:szCs w:val="24"/>
    </w:rPr>
  </w:style>
  <w:style w:type="character" w:customStyle="1" w:styleId="44">
    <w:name w:val="标题 6 字符"/>
    <w:link w:val="7"/>
    <w:uiPriority w:val="9"/>
    <w:rPr>
      <w:rFonts w:ascii="等线" w:hAnsi="等线" w:eastAsia="等线" w:cs="等线"/>
      <w:b/>
      <w:bCs/>
      <w:sz w:val="22"/>
      <w:szCs w:val="22"/>
    </w:rPr>
  </w:style>
  <w:style w:type="character" w:customStyle="1" w:styleId="45">
    <w:name w:val="标题 7 字符"/>
    <w:link w:val="8"/>
    <w:uiPriority w:val="9"/>
    <w:rPr>
      <w:rFonts w:ascii="等线" w:hAnsi="等线" w:eastAsia="等线" w:cs="等线"/>
      <w:b/>
      <w:bCs/>
      <w:i/>
      <w:iCs/>
      <w:sz w:val="22"/>
      <w:szCs w:val="22"/>
    </w:rPr>
  </w:style>
  <w:style w:type="character" w:customStyle="1" w:styleId="46">
    <w:name w:val="标题 8 字符"/>
    <w:link w:val="9"/>
    <w:uiPriority w:val="9"/>
    <w:rPr>
      <w:rFonts w:ascii="等线" w:hAnsi="等线" w:eastAsia="等线" w:cs="等线"/>
      <w:i/>
      <w:iCs/>
      <w:sz w:val="22"/>
      <w:szCs w:val="22"/>
    </w:rPr>
  </w:style>
  <w:style w:type="character" w:customStyle="1" w:styleId="47">
    <w:name w:val="标题 9 字符"/>
    <w:link w:val="10"/>
    <w:uiPriority w:val="9"/>
    <w:rPr>
      <w:rFonts w:ascii="等线" w:hAnsi="等线" w:eastAsia="等线" w:cs="等线"/>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字符"/>
    <w:link w:val="30"/>
    <w:uiPriority w:val="10"/>
    <w:rPr>
      <w:sz w:val="48"/>
      <w:szCs w:val="48"/>
    </w:rPr>
  </w:style>
  <w:style w:type="character" w:customStyle="1" w:styleId="51">
    <w:name w:val="副标题 字符"/>
    <w:link w:val="23"/>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字符"/>
    <w:link w:val="52"/>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uiPriority w:val="30"/>
    <w:rPr>
      <w:i/>
    </w:rPr>
  </w:style>
  <w:style w:type="character" w:customStyle="1" w:styleId="56">
    <w:name w:val="页眉 字符"/>
    <w:link w:val="20"/>
    <w:uiPriority w:val="99"/>
  </w:style>
  <w:style w:type="character" w:customStyle="1" w:styleId="57">
    <w:name w:val="Footer Char"/>
    <w:uiPriority w:val="99"/>
  </w:style>
  <w:style w:type="character" w:customStyle="1" w:styleId="58">
    <w:name w:val="页脚 字符"/>
    <w:link w:val="19"/>
    <w:uiPriority w:val="99"/>
  </w:style>
  <w:style w:type="table" w:customStyle="1" w:styleId="59">
    <w:name w:val="Table Grid Ligh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
    <w:link w:val="24"/>
    <w:qFormat/>
    <w:uiPriority w:val="99"/>
    <w:rPr>
      <w:sz w:val="18"/>
    </w:rPr>
  </w:style>
  <w:style w:type="character" w:customStyle="1" w:styleId="185">
    <w:name w:val="尾注文本 字符"/>
    <w:link w:val="17"/>
    <w:qFormat/>
    <w:uiPriority w:val="99"/>
    <w:rPr>
      <w:sz w:val="20"/>
    </w:rPr>
  </w:style>
  <w:style w:type="paragraph" w:customStyle="1" w:styleId="186">
    <w:name w:val="TOC Heading"/>
    <w:unhideWhenUsed/>
    <w:qFormat/>
    <w:uiPriority w:val="39"/>
    <w:rPr>
      <w:rFonts w:ascii="Times New Roman" w:hAnsi="Times New Roman" w:eastAsia="宋体" w:cs="Times New Roman"/>
      <w:lang w:val="en-US" w:eastAsia="zh-CN" w:bidi="ar-SA"/>
    </w:rPr>
  </w:style>
  <w:style w:type="character" w:customStyle="1" w:styleId="187">
    <w:name w:val="批注框文本 字符"/>
    <w:link w:val="18"/>
    <w:qFormat/>
    <w:uiPriority w:val="0"/>
    <w:rPr>
      <w:rFonts w:eastAsia="仿宋_GB2312"/>
      <w:sz w:val="18"/>
      <w:szCs w:val="18"/>
    </w:rPr>
  </w:style>
  <w:style w:type="paragraph" w:customStyle="1" w:styleId="188">
    <w:name w:val="_Style 1"/>
    <w:basedOn w:val="1"/>
    <w:next w:val="1"/>
    <w:qFormat/>
    <w:uiPriority w:val="0"/>
    <w:pPr>
      <w:spacing w:line="240" w:lineRule="atLeast"/>
      <w:ind w:left="420" w:firstLine="420"/>
      <w:jc w:val="left"/>
    </w:pPr>
    <w:rPr>
      <w:rFonts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13</Pages>
  <Words>4641</Words>
  <Characters>5019</Characters>
  <Lines>37</Lines>
  <Paragraphs>10</Paragraphs>
  <TotalTime>1</TotalTime>
  <ScaleCrop>false</ScaleCrop>
  <LinksUpToDate>false</LinksUpToDate>
  <CharactersWithSpaces>5078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2017-03-16T01:53:00Z</dcterms:created>
  <dc:creator>Lenovo</dc:creator>
  <cp:lastModifiedBy>Administrator</cp:lastModifiedBy>
  <dcterms:modified xsi:type="dcterms:W3CDTF">2025-04-27T08:47:02Z</dcterms:modified>
  <dc:title>附件</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eyJoZGlkIjoiZGM4NjUzNDA1NDkyY2MxZmJmZThlN2U3ZTFkMjcwOGYifQ==</vt:lpwstr>
  </property>
  <property fmtid="{D5CDD505-2E9C-101B-9397-08002B2CF9AE}" pid="3" name="KSOProductBuildVer">
    <vt:lpwstr>2052-12.1.0.20784</vt:lpwstr>
  </property>
  <property fmtid="{D5CDD505-2E9C-101B-9397-08002B2CF9AE}" pid="4" name="ICV">
    <vt:lpwstr>5CE48A92E7E9494590D20EC76532FE1E_12</vt:lpwstr>
  </property>
</Properties>
</file>