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color w:val="auto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color w:val="auto"/>
          <w:sz w:val="52"/>
          <w:szCs w:val="52"/>
          <w:lang w:eastAsia="zh-CN"/>
        </w:rPr>
        <w:t>遂宁市安居区民政局</w:t>
      </w:r>
    </w:p>
    <w:p>
      <w:pPr>
        <w:jc w:val="center"/>
        <w:rPr>
          <w:rFonts w:hint="eastAsia" w:ascii="方正小标宋简体" w:eastAsia="方正小标宋简体"/>
          <w:color w:val="auto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color w:val="auto"/>
          <w:sz w:val="52"/>
          <w:szCs w:val="52"/>
        </w:rPr>
        <w:t>20</w:t>
      </w:r>
      <w:r>
        <w:rPr>
          <w:rFonts w:hint="eastAsia" w:ascii="方正小标宋简体" w:eastAsia="方正小标宋简体"/>
          <w:color w:val="auto"/>
          <w:sz w:val="52"/>
          <w:szCs w:val="52"/>
          <w:lang w:val="en-US" w:eastAsia="zh-CN"/>
        </w:rPr>
        <w:t>25</w:t>
      </w:r>
      <w:r>
        <w:rPr>
          <w:rFonts w:hint="eastAsia" w:ascii="方正小标宋简体" w:eastAsia="方正小标宋简体"/>
          <w:color w:val="auto"/>
          <w:sz w:val="52"/>
          <w:szCs w:val="52"/>
        </w:rPr>
        <w:t>年部门预算</w:t>
      </w:r>
      <w:r>
        <w:rPr>
          <w:rFonts w:hint="eastAsia" w:ascii="方正小标宋简体" w:eastAsia="方正小标宋简体"/>
          <w:color w:val="auto"/>
          <w:sz w:val="52"/>
          <w:szCs w:val="52"/>
          <w:lang w:eastAsia="zh-CN"/>
        </w:rPr>
        <w:t>编制目录</w:t>
      </w:r>
    </w:p>
    <w:p>
      <w:pPr>
        <w:spacing w:line="600" w:lineRule="exact"/>
        <w:ind w:firstLine="640" w:firstLineChars="200"/>
        <w:jc w:val="both"/>
        <w:rPr>
          <w:rFonts w:ascii="黑体" w:hAnsi="黑体" w:eastAsia="黑体"/>
          <w:color w:val="auto"/>
          <w:szCs w:val="44"/>
        </w:rPr>
      </w:pPr>
      <w:r>
        <w:rPr>
          <w:rFonts w:hint="eastAsia" w:ascii="黑体" w:hAnsi="黑体" w:eastAsia="黑体"/>
          <w:color w:val="auto"/>
          <w:szCs w:val="44"/>
        </w:rPr>
        <w:t xml:space="preserve">第一部分  </w:t>
      </w:r>
      <w:r>
        <w:rPr>
          <w:rFonts w:ascii="黑体" w:hAnsi="黑体" w:eastAsia="黑体"/>
          <w:color w:val="auto"/>
          <w:szCs w:val="44"/>
        </w:rPr>
        <w:t>20</w:t>
      </w:r>
      <w:r>
        <w:rPr>
          <w:rFonts w:hint="eastAsia" w:ascii="黑体" w:hAnsi="黑体" w:eastAsia="黑体"/>
          <w:color w:val="auto"/>
          <w:szCs w:val="44"/>
          <w:lang w:val="en-US" w:eastAsia="zh-CN"/>
        </w:rPr>
        <w:t>25</w:t>
      </w:r>
      <w:r>
        <w:rPr>
          <w:rFonts w:hint="eastAsia" w:ascii="黑体" w:hAnsi="黑体" w:eastAsia="黑体"/>
          <w:color w:val="auto"/>
          <w:szCs w:val="44"/>
        </w:rPr>
        <w:t>年部门</w:t>
      </w:r>
      <w:r>
        <w:rPr>
          <w:rFonts w:ascii="黑体" w:hAnsi="黑体" w:eastAsia="黑体"/>
          <w:color w:val="auto"/>
          <w:szCs w:val="44"/>
        </w:rPr>
        <w:t>预算编制说明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一、基本职能</w:t>
      </w:r>
      <w:r>
        <w:rPr>
          <w:rFonts w:hint="eastAsia" w:ascii="仿宋_GB2312"/>
          <w:color w:val="auto"/>
          <w:szCs w:val="44"/>
          <w:lang w:eastAsia="zh-CN"/>
        </w:rPr>
        <w:t>及</w:t>
      </w:r>
      <w:r>
        <w:rPr>
          <w:rFonts w:hint="eastAsia" w:ascii="仿宋_GB2312"/>
          <w:color w:val="auto"/>
          <w:szCs w:val="44"/>
        </w:rPr>
        <w:t>主要工作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  <w:lang w:eastAsia="zh-CN"/>
        </w:rPr>
        <w:t>二</w:t>
      </w:r>
      <w:r>
        <w:rPr>
          <w:rFonts w:hint="eastAsia" w:ascii="仿宋_GB2312"/>
          <w:color w:val="auto"/>
          <w:szCs w:val="44"/>
        </w:rPr>
        <w:t>、部门预算单位构成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  <w:lang w:eastAsia="zh-CN"/>
        </w:rPr>
        <w:t>三</w:t>
      </w:r>
      <w:r>
        <w:rPr>
          <w:rFonts w:hint="eastAsia" w:ascii="仿宋_GB2312"/>
          <w:color w:val="auto"/>
          <w:szCs w:val="44"/>
        </w:rPr>
        <w:t>、收支预算情况说明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  <w:lang w:eastAsia="zh-CN"/>
        </w:rPr>
        <w:t>四</w:t>
      </w:r>
      <w:r>
        <w:rPr>
          <w:rFonts w:hint="eastAsia" w:ascii="仿宋_GB2312"/>
          <w:color w:val="auto"/>
          <w:szCs w:val="44"/>
        </w:rPr>
        <w:t>、财政拨款收支预算情况说明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  <w:lang w:eastAsia="zh-CN"/>
        </w:rPr>
        <w:t>五</w:t>
      </w:r>
      <w:r>
        <w:rPr>
          <w:rFonts w:hint="eastAsia" w:ascii="仿宋_GB2312"/>
          <w:color w:val="auto"/>
          <w:szCs w:val="44"/>
        </w:rPr>
        <w:t>、一般公共预算当年拨款情况说明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  <w:lang w:eastAsia="zh-CN"/>
        </w:rPr>
        <w:t>六</w:t>
      </w:r>
      <w:r>
        <w:rPr>
          <w:rFonts w:hint="eastAsia" w:ascii="仿宋_GB2312"/>
          <w:color w:val="auto"/>
          <w:szCs w:val="44"/>
        </w:rPr>
        <w:t>、一般公共预算基本支出情况说明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  <w:lang w:eastAsia="zh-CN"/>
        </w:rPr>
        <w:t>七</w:t>
      </w:r>
      <w:r>
        <w:rPr>
          <w:rFonts w:hint="eastAsia" w:ascii="仿宋_GB2312"/>
          <w:color w:val="auto"/>
          <w:szCs w:val="44"/>
        </w:rPr>
        <w:t>、“三公”经费财政拨款预算安排情况说明</w:t>
      </w:r>
    </w:p>
    <w:p>
      <w:pPr>
        <w:spacing w:line="600" w:lineRule="exact"/>
        <w:ind w:left="1280" w:leftChars="200" w:hanging="640" w:hanging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  <w:lang w:eastAsia="zh-CN"/>
        </w:rPr>
        <w:t>八</w:t>
      </w:r>
      <w:r>
        <w:rPr>
          <w:rFonts w:hint="eastAsia" w:ascii="仿宋_GB2312"/>
          <w:color w:val="auto"/>
          <w:szCs w:val="44"/>
        </w:rPr>
        <w:t>、“会议费”、“培训费”、“差旅费”财政拨款预算安排情况说明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  <w:lang w:eastAsia="zh-CN"/>
        </w:rPr>
        <w:t>九</w:t>
      </w:r>
      <w:r>
        <w:rPr>
          <w:rFonts w:hint="eastAsia" w:ascii="仿宋_GB2312"/>
          <w:color w:val="auto"/>
          <w:szCs w:val="44"/>
        </w:rPr>
        <w:t>、政府性基金预算支出情况说明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十、国有资本经营预算支出情况说明</w:t>
      </w:r>
    </w:p>
    <w:p>
      <w:pPr>
        <w:spacing w:line="600" w:lineRule="exact"/>
        <w:ind w:firstLine="640" w:firstLineChars="200"/>
        <w:rPr>
          <w:rFonts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十</w:t>
      </w:r>
      <w:r>
        <w:rPr>
          <w:rFonts w:hint="eastAsia" w:ascii="仿宋_GB2312"/>
          <w:color w:val="auto"/>
          <w:szCs w:val="44"/>
          <w:lang w:eastAsia="zh-CN"/>
        </w:rPr>
        <w:t>一</w:t>
      </w:r>
      <w:r>
        <w:rPr>
          <w:rFonts w:hint="eastAsia" w:ascii="仿宋_GB2312"/>
          <w:color w:val="auto"/>
          <w:szCs w:val="44"/>
        </w:rPr>
        <w:t>、其他重要事项的情况说明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十</w:t>
      </w:r>
      <w:r>
        <w:rPr>
          <w:rFonts w:hint="eastAsia" w:ascii="仿宋_GB2312"/>
          <w:color w:val="auto"/>
          <w:szCs w:val="44"/>
          <w:lang w:eastAsia="zh-CN"/>
        </w:rPr>
        <w:t>二</w:t>
      </w:r>
      <w:r>
        <w:rPr>
          <w:rFonts w:ascii="仿宋_GB2312"/>
          <w:color w:val="auto"/>
          <w:szCs w:val="44"/>
        </w:rPr>
        <w:t>、名词解释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auto"/>
          <w:szCs w:val="44"/>
        </w:rPr>
      </w:pPr>
      <w:r>
        <w:rPr>
          <w:rFonts w:hint="eastAsia" w:ascii="黑体" w:hAnsi="黑体" w:eastAsia="黑体"/>
          <w:color w:val="auto"/>
          <w:szCs w:val="44"/>
        </w:rPr>
        <w:t xml:space="preserve">第二部分  </w:t>
      </w:r>
      <w:r>
        <w:rPr>
          <w:rFonts w:ascii="黑体" w:hAnsi="黑体" w:eastAsia="黑体"/>
          <w:color w:val="auto"/>
          <w:szCs w:val="44"/>
        </w:rPr>
        <w:t>20</w:t>
      </w:r>
      <w:r>
        <w:rPr>
          <w:rFonts w:hint="eastAsia" w:ascii="黑体" w:hAnsi="黑体" w:eastAsia="黑体"/>
          <w:color w:val="auto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黑体" w:hAnsi="黑体" w:eastAsia="黑体"/>
          <w:color w:val="auto"/>
          <w:szCs w:val="44"/>
        </w:rPr>
        <w:t>年</w:t>
      </w:r>
      <w:r>
        <w:rPr>
          <w:rFonts w:ascii="黑体" w:hAnsi="黑体" w:eastAsia="黑体"/>
          <w:color w:val="auto"/>
          <w:szCs w:val="44"/>
        </w:rPr>
        <w:t>部门预算</w:t>
      </w:r>
      <w:r>
        <w:rPr>
          <w:rFonts w:hint="eastAsia" w:ascii="黑体" w:hAnsi="黑体" w:eastAsia="黑体"/>
          <w:color w:val="auto"/>
          <w:szCs w:val="44"/>
          <w:lang w:eastAsia="zh-CN"/>
        </w:rPr>
        <w:t>公开</w:t>
      </w:r>
      <w:r>
        <w:rPr>
          <w:rFonts w:ascii="黑体" w:hAnsi="黑体" w:eastAsia="黑体"/>
          <w:color w:val="auto"/>
          <w:szCs w:val="44"/>
        </w:rPr>
        <w:t>报表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表1. 部门收支总表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表1-1. 部门收入总表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表1-2. 部门支出总表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表2. 财政拨款收支预算总表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表2-1. 财政拨款支出预算表（</w:t>
      </w:r>
      <w:r>
        <w:rPr>
          <w:rFonts w:hint="eastAsia" w:ascii="仿宋_GB2312"/>
          <w:color w:val="auto"/>
          <w:szCs w:val="44"/>
          <w:lang w:eastAsia="zh-CN"/>
        </w:rPr>
        <w:t>部门</w:t>
      </w:r>
      <w:r>
        <w:rPr>
          <w:rFonts w:hint="eastAsia" w:ascii="仿宋_GB2312"/>
          <w:color w:val="auto"/>
          <w:szCs w:val="44"/>
        </w:rPr>
        <w:t>经济分类科目）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表3. 一般公共预算支出预算表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表3-1. 一般公共预算基本支出预算表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表3-2. 一般公共预算项目支出预算表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表3-3. 一般公共预算“三公”经费支出预算表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表4. 政府性基金支出预算表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表4-1. 政府性基金预算“三公”经费支出预算表</w:t>
      </w:r>
    </w:p>
    <w:p>
      <w:pPr>
        <w:spacing w:line="600" w:lineRule="exact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表5. 国有资本经营预算支出预算表</w:t>
      </w:r>
    </w:p>
    <w:p>
      <w:pPr>
        <w:pStyle w:val="3"/>
        <w:ind w:firstLine="640" w:firstLineChars="200"/>
        <w:rPr>
          <w:rFonts w:hint="eastAsia" w:ascii="仿宋_GB2312"/>
          <w:color w:val="auto"/>
          <w:szCs w:val="44"/>
        </w:rPr>
      </w:pPr>
      <w:r>
        <w:rPr>
          <w:rFonts w:hint="eastAsia" w:ascii="仿宋_GB2312"/>
          <w:color w:val="auto"/>
          <w:szCs w:val="44"/>
        </w:rPr>
        <w:t>表</w:t>
      </w:r>
      <w:r>
        <w:rPr>
          <w:rFonts w:hint="eastAsia" w:ascii="仿宋_GB2312"/>
          <w:color w:val="auto"/>
          <w:szCs w:val="44"/>
          <w:lang w:val="en-US" w:eastAsia="zh-CN"/>
        </w:rPr>
        <w:t>6</w:t>
      </w:r>
      <w:r>
        <w:rPr>
          <w:rFonts w:hint="eastAsia" w:ascii="仿宋_GB2312"/>
          <w:color w:val="auto"/>
          <w:szCs w:val="44"/>
        </w:rPr>
        <w:t>.</w:t>
      </w:r>
      <w:r>
        <w:rPr>
          <w:rFonts w:ascii="仿宋_GB2312"/>
          <w:color w:val="auto"/>
          <w:szCs w:val="44"/>
        </w:rPr>
        <w:t xml:space="preserve"> </w:t>
      </w:r>
      <w:r>
        <w:rPr>
          <w:rFonts w:hint="eastAsia"/>
          <w:color w:val="auto"/>
          <w:lang w:val="en-US" w:eastAsia="zh-CN"/>
        </w:rPr>
        <w:t>整体支出绩效目标申报表</w:t>
      </w:r>
    </w:p>
    <w:p>
      <w:pPr>
        <w:pStyle w:val="3"/>
        <w:ind w:firstLine="640" w:firstLineChars="200"/>
        <w:rPr>
          <w:rFonts w:hint="eastAsia" w:ascii="仿宋_GB2312"/>
          <w:color w:val="auto"/>
          <w:szCs w:val="44"/>
          <w:lang w:val="en-US" w:eastAsia="zh-CN"/>
        </w:rPr>
      </w:pPr>
      <w:r>
        <w:rPr>
          <w:rFonts w:hint="eastAsia" w:ascii="仿宋_GB2312"/>
          <w:color w:val="auto"/>
          <w:szCs w:val="44"/>
          <w:lang w:eastAsia="zh-CN"/>
        </w:rPr>
        <w:t>表</w:t>
      </w:r>
      <w:r>
        <w:rPr>
          <w:rFonts w:hint="eastAsia" w:ascii="仿宋_GB2312"/>
          <w:color w:val="auto"/>
          <w:szCs w:val="44"/>
          <w:lang w:val="en-US" w:eastAsia="zh-CN"/>
        </w:rPr>
        <w:t>7.采购需求表</w:t>
      </w:r>
    </w:p>
    <w:p>
      <w:pPr>
        <w:pStyle w:val="3"/>
        <w:ind w:firstLine="640" w:firstLineChars="200"/>
        <w:rPr>
          <w:rFonts w:hint="default" w:ascii="仿宋_GB2312"/>
          <w:color w:val="auto"/>
          <w:szCs w:val="44"/>
          <w:lang w:val="en-US" w:eastAsia="zh-CN"/>
        </w:rPr>
      </w:pPr>
      <w:r>
        <w:rPr>
          <w:rFonts w:hint="eastAsia" w:ascii="仿宋_GB2312"/>
          <w:color w:val="auto"/>
          <w:szCs w:val="44"/>
          <w:lang w:val="en-US" w:eastAsia="zh-CN"/>
        </w:rPr>
        <w:t>表8.项目支出绩效表</w:t>
      </w:r>
    </w:p>
    <w:p>
      <w:pPr>
        <w:spacing w:line="600" w:lineRule="exact"/>
        <w:rPr>
          <w:rFonts w:ascii="仿宋_GB2312"/>
          <w:color w:val="auto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YWFhZWFiYmI0MWY0YTE3ZGQ2MmQ2YzE4M2Y2ZjMifQ=="/>
  </w:docVars>
  <w:rsids>
    <w:rsidRoot w:val="00000000"/>
    <w:rsid w:val="0A3E3EAB"/>
    <w:rsid w:val="1F677FD3"/>
    <w:rsid w:val="29E12A80"/>
    <w:rsid w:val="520E67ED"/>
    <w:rsid w:val="5867225C"/>
    <w:rsid w:val="BAAFA918"/>
    <w:rsid w:val="FEDFF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qFormat/>
    <w:uiPriority w:val="0"/>
    <w:pPr>
      <w:spacing w:line="560" w:lineRule="exact"/>
      <w:outlineLvl w:val="1"/>
    </w:pPr>
    <w:rPr>
      <w:rFonts w:ascii="楷体_GB2312" w:hAnsi="宋体" w:eastAsia="楷体_GB231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2024-03-14T23:30:00Z</dcterms:created>
  <dc:creator>Administrator</dc:creator>
  <cp:lastModifiedBy>user</cp:lastModifiedBy>
  <dcterms:modified xsi:type="dcterms:W3CDTF">2025-04-22T16:26:46Z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02C58207E2E64C29B37FF5C8737CAB05_12</vt:lpwstr>
  </property>
</Properties>
</file>