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615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eastAsia="zh-CN" w:bidi="ar-SA"/>
        </w:rPr>
        <w:t>遂宁市安居区</w:t>
      </w:r>
      <w:r>
        <w:rPr>
          <w:rFonts w:hint="eastAsia" w:ascii="方正小标宋简体" w:eastAsia="方正小标宋简体" w:cs="方正小标宋简体"/>
          <w:sz w:val="44"/>
          <w:szCs w:val="44"/>
          <w:lang w:val="en-US" w:eastAsia="zh-CN" w:bidi="ar-SA"/>
        </w:rPr>
        <w:t>2025年中央财政粮油保障</w:t>
      </w:r>
    </w:p>
    <w:p w14:paraId="7B2A9A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资金巩固扩种油菜项目实施方案</w:t>
      </w:r>
    </w:p>
    <w:p w14:paraId="12DCC6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（征求意见稿）</w:t>
      </w:r>
    </w:p>
    <w:p w14:paraId="544C57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val="en-US" w:eastAsia="zh-CN" w:bidi="ar-SA"/>
        </w:rPr>
      </w:pPr>
      <w:bookmarkStart w:id="0" w:name="_GoBack"/>
      <w:bookmarkEnd w:id="0"/>
    </w:p>
    <w:p w14:paraId="345FD2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根据《遂宁市财政局 遂宁市农业农村局关于提前下达2025年粮油生产保障等七项中央和省级财政农业相关转移支付资金的通知》（遂财农〔2025〕6号）精神和省市巩固2023年和2024年油菜扩种任务有关要求，结合我区油菜生产实际，特制定本实施方案。</w:t>
      </w:r>
    </w:p>
    <w:p w14:paraId="246C88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一、总体要求</w:t>
      </w:r>
    </w:p>
    <w:p w14:paraId="719B2F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（一）坚持统筹推进，集中连片实施。</w:t>
      </w:r>
      <w:r>
        <w:rPr>
          <w:rFonts w:hint="default" w:ascii="Times New Roman" w:hAnsi="Times New Roman" w:eastAsia="方正仿宋简体" w:cs="Times New Roman"/>
          <w:sz w:val="32"/>
          <w:szCs w:val="32"/>
          <w:lang w:val="en-US" w:eastAsia="zh-CN" w:bidi="ar-SA"/>
        </w:rPr>
        <w:t>积极引导农业产业结构调整，推行稻油、玉油轮作，大力开发利用冬闲田种植油菜。鼓励镇（街道）以行政村（社区）整建制推进，集中连片发展；并支持种植大户、家庭农场、农民专业合作社等各类新型经营主体和村集体经济组织积极参与，发挥示范带动作用。</w:t>
      </w:r>
    </w:p>
    <w:p w14:paraId="5F1ADE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（二）坚持依靠科技，绿色生态发展。</w:t>
      </w:r>
      <w:r>
        <w:rPr>
          <w:rFonts w:hint="default" w:ascii="Times New Roman" w:hAnsi="Times New Roman" w:eastAsia="方正仿宋简体" w:cs="Times New Roman"/>
          <w:sz w:val="32"/>
          <w:szCs w:val="32"/>
          <w:lang w:val="en-US" w:eastAsia="zh-CN" w:bidi="ar-SA"/>
        </w:rPr>
        <w:t>把质量优先、效益提升、绿色生态作为重要内容。强化农业科技创新，大力推广“双低”油菜品种，建设“天府菜油”优质道地原料基地。加强绿色“双减”高效技术模式集成示范，打造油菜绿色</w:t>
      </w:r>
      <w:r>
        <w:rPr>
          <w:rFonts w:hint="eastAsia" w:ascii="Times New Roman" w:hAnsi="Times New Roman" w:eastAsia="方正仿宋简体" w:cs="Times New Roman"/>
          <w:sz w:val="32"/>
          <w:szCs w:val="32"/>
          <w:lang w:val="en-US" w:eastAsia="zh-CN" w:bidi="ar-SA"/>
        </w:rPr>
        <w:t>高质高效</w:t>
      </w:r>
      <w:r>
        <w:rPr>
          <w:rFonts w:hint="default" w:ascii="Times New Roman" w:hAnsi="Times New Roman" w:eastAsia="方正仿宋简体" w:cs="Times New Roman"/>
          <w:sz w:val="32"/>
          <w:szCs w:val="32"/>
          <w:lang w:val="en-US" w:eastAsia="zh-CN" w:bidi="ar-SA"/>
        </w:rPr>
        <w:t>示范片。创新技术推广模式，构建研发、示范、推广相协调，农户、各类新型经营主体等积极参与的高效科技推广机制。</w:t>
      </w:r>
    </w:p>
    <w:p w14:paraId="4F698B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（三）坚持精准管理，稳妥有序推进。</w:t>
      </w:r>
      <w:r>
        <w:rPr>
          <w:rFonts w:hint="default" w:ascii="Times New Roman" w:hAnsi="Times New Roman" w:eastAsia="方正仿宋简体" w:cs="Times New Roman"/>
          <w:sz w:val="32"/>
          <w:szCs w:val="32"/>
          <w:lang w:val="en-US" w:eastAsia="zh-CN" w:bidi="ar-SA"/>
        </w:rPr>
        <w:t>以农民为主体，充分尊重农民意愿，发挥其主观能动性，不搞强迫命令、不搞</w:t>
      </w:r>
      <w:r>
        <w:rPr>
          <w:rFonts w:hint="eastAsia" w:ascii="Times New Roman" w:hAnsi="Times New Roman" w:eastAsia="方正仿宋简体" w:cs="Times New Roman"/>
          <w:sz w:val="32"/>
          <w:szCs w:val="32"/>
          <w:lang w:val="en-US" w:eastAsia="zh-CN" w:bidi="ar-SA"/>
        </w:rPr>
        <w:t>“</w:t>
      </w:r>
      <w:r>
        <w:rPr>
          <w:rFonts w:hint="default" w:ascii="Times New Roman" w:hAnsi="Times New Roman" w:eastAsia="方正仿宋简体" w:cs="Times New Roman"/>
          <w:sz w:val="32"/>
          <w:szCs w:val="32"/>
          <w:lang w:val="en-US" w:eastAsia="zh-CN" w:bidi="ar-SA"/>
        </w:rPr>
        <w:t>一刀切</w:t>
      </w:r>
      <w:r>
        <w:rPr>
          <w:rFonts w:hint="eastAsia" w:ascii="Times New Roman" w:hAnsi="Times New Roman" w:eastAsia="方正仿宋简体" w:cs="Times New Roman"/>
          <w:sz w:val="32"/>
          <w:szCs w:val="32"/>
          <w:lang w:val="en-US" w:eastAsia="zh-CN" w:bidi="ar-SA"/>
        </w:rPr>
        <w:t>”</w:t>
      </w:r>
      <w:r>
        <w:rPr>
          <w:rFonts w:hint="default" w:ascii="Times New Roman" w:hAnsi="Times New Roman" w:eastAsia="方正仿宋简体" w:cs="Times New Roman"/>
          <w:sz w:val="32"/>
          <w:szCs w:val="32"/>
          <w:lang w:val="en-US" w:eastAsia="zh-CN" w:bidi="ar-SA"/>
        </w:rPr>
        <w:t>。对种植油菜耕地实施质量监测，跟踪耕地地力变化。加强</w:t>
      </w:r>
      <w:r>
        <w:rPr>
          <w:rFonts w:hint="eastAsia" w:ascii="Times New Roman" w:hAnsi="Times New Roman" w:eastAsia="方正仿宋简体" w:cs="Times New Roman"/>
          <w:sz w:val="32"/>
          <w:szCs w:val="32"/>
          <w:lang w:val="en-US" w:eastAsia="zh-CN" w:bidi="ar-SA"/>
        </w:rPr>
        <w:t>巩固扩种油菜</w:t>
      </w:r>
      <w:r>
        <w:rPr>
          <w:rFonts w:hint="default" w:ascii="Times New Roman" w:hAnsi="Times New Roman" w:eastAsia="方正仿宋简体" w:cs="Times New Roman"/>
          <w:sz w:val="32"/>
          <w:szCs w:val="32"/>
          <w:lang w:val="en-US" w:eastAsia="zh-CN" w:bidi="ar-SA"/>
        </w:rPr>
        <w:t>考核监督，各镇（街道）政府（办事处）为责任主体，落实建设任务，提高管理水平。</w:t>
      </w:r>
    </w:p>
    <w:p w14:paraId="2B2BA1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二、建设内容</w:t>
      </w:r>
    </w:p>
    <w:p w14:paraId="5CA05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default" w:ascii="Times New Roman" w:hAnsi="Times New Roman" w:eastAsia="方正仿宋简体" w:cs="Times New Roman"/>
          <w:sz w:val="32"/>
          <w:szCs w:val="32"/>
          <w:lang w:val="en-US" w:eastAsia="zh-CN" w:bidi="ar-SA"/>
        </w:rPr>
        <w:t>在</w:t>
      </w:r>
      <w:r>
        <w:rPr>
          <w:rFonts w:hint="eastAsia" w:ascii="Times New Roman" w:hAnsi="Times New Roman" w:eastAsia="方正仿宋简体" w:cs="Times New Roman"/>
          <w:sz w:val="32"/>
          <w:szCs w:val="32"/>
          <w:lang w:val="en-US" w:eastAsia="zh-CN" w:bidi="ar-SA"/>
        </w:rPr>
        <w:t>全区</w:t>
      </w:r>
      <w:r>
        <w:rPr>
          <w:rFonts w:hint="default" w:ascii="Times New Roman" w:hAnsi="Times New Roman" w:eastAsia="方正仿宋简体" w:cs="Times New Roman"/>
          <w:sz w:val="32"/>
          <w:szCs w:val="32"/>
          <w:lang w:val="en-US" w:eastAsia="zh-CN" w:bidi="ar-SA"/>
        </w:rPr>
        <w:t>1</w:t>
      </w:r>
      <w:r>
        <w:rPr>
          <w:rFonts w:hint="eastAsia" w:ascii="Times New Roman" w:hAnsi="Times New Roman" w:eastAsia="方正仿宋简体" w:cs="Times New Roman"/>
          <w:sz w:val="32"/>
          <w:szCs w:val="32"/>
          <w:lang w:val="en-US" w:eastAsia="zh-CN" w:bidi="ar-SA"/>
        </w:rPr>
        <w:t>8</w:t>
      </w:r>
      <w:r>
        <w:rPr>
          <w:rFonts w:hint="default" w:ascii="Times New Roman" w:hAnsi="Times New Roman" w:eastAsia="方正仿宋简体" w:cs="Times New Roman"/>
          <w:sz w:val="32"/>
          <w:szCs w:val="32"/>
          <w:lang w:val="en-US" w:eastAsia="zh-CN" w:bidi="ar-SA"/>
        </w:rPr>
        <w:t>个镇（街道）建立优质油菜种植基地</w:t>
      </w:r>
      <w:r>
        <w:rPr>
          <w:rFonts w:hint="eastAsia" w:ascii="Times New Roman" w:hAnsi="Times New Roman" w:eastAsia="方正仿宋简体" w:cs="Times New Roman"/>
          <w:sz w:val="32"/>
          <w:szCs w:val="32"/>
          <w:lang w:val="en-US" w:eastAsia="zh-CN" w:bidi="ar-SA"/>
        </w:rPr>
        <w:t>9.24</w:t>
      </w:r>
      <w:r>
        <w:rPr>
          <w:rFonts w:hint="default" w:ascii="Times New Roman" w:hAnsi="Times New Roman" w:eastAsia="方正仿宋简体" w:cs="Times New Roman"/>
          <w:sz w:val="32"/>
          <w:szCs w:val="32"/>
          <w:lang w:val="en-US" w:eastAsia="zh-CN" w:bidi="ar-SA"/>
        </w:rPr>
        <w:t>万亩（</w:t>
      </w:r>
      <w:r>
        <w:rPr>
          <w:rFonts w:hint="eastAsia" w:ascii="Times New Roman" w:hAnsi="Times New Roman" w:eastAsia="方正仿宋简体" w:cs="Times New Roman"/>
          <w:sz w:val="32"/>
          <w:szCs w:val="32"/>
          <w:lang w:val="en-US" w:eastAsia="zh-CN" w:bidi="ar-SA"/>
        </w:rPr>
        <w:t>具体</w:t>
      </w:r>
      <w:r>
        <w:rPr>
          <w:rFonts w:hint="default" w:ascii="Times New Roman" w:hAnsi="Times New Roman" w:eastAsia="方正仿宋简体" w:cs="Times New Roman"/>
          <w:sz w:val="32"/>
          <w:szCs w:val="32"/>
          <w:lang w:val="en-US" w:eastAsia="zh-CN" w:bidi="ar-SA"/>
        </w:rPr>
        <w:t>详见附</w:t>
      </w:r>
      <w:r>
        <w:rPr>
          <w:rFonts w:hint="eastAsia" w:ascii="Times New Roman" w:hAnsi="Times New Roman" w:eastAsia="方正仿宋简体" w:cs="Times New Roman"/>
          <w:sz w:val="32"/>
          <w:szCs w:val="32"/>
          <w:lang w:val="en-US" w:eastAsia="zh-CN" w:bidi="ar-SA"/>
        </w:rPr>
        <w:t>件</w:t>
      </w:r>
      <w:r>
        <w:rPr>
          <w:rFonts w:hint="default" w:ascii="Times New Roman" w:hAnsi="Times New Roman" w:eastAsia="方正仿宋简体" w:cs="Times New Roman"/>
          <w:sz w:val="32"/>
          <w:szCs w:val="32"/>
          <w:lang w:val="en-US" w:eastAsia="zh-CN" w:bidi="ar-SA"/>
        </w:rPr>
        <w:t>2）。</w:t>
      </w:r>
    </w:p>
    <w:p w14:paraId="13CCA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（一）良种推广。</w:t>
      </w:r>
      <w:r>
        <w:rPr>
          <w:rFonts w:hint="eastAsia" w:ascii="Times New Roman" w:hAnsi="Times New Roman" w:eastAsia="方正仿宋简体" w:cs="Times New Roman"/>
          <w:sz w:val="32"/>
          <w:szCs w:val="32"/>
          <w:lang w:val="en-US" w:eastAsia="zh-CN" w:bidi="ar-SA"/>
        </w:rPr>
        <w:t>符合2025年全省粮油作物重大品种推广目录范围，在全</w:t>
      </w:r>
      <w:r>
        <w:rPr>
          <w:rFonts w:hint="default" w:ascii="Times New Roman" w:hAnsi="Times New Roman" w:eastAsia="方正仿宋简体" w:cs="Times New Roman"/>
          <w:sz w:val="32"/>
          <w:szCs w:val="32"/>
          <w:lang w:val="en-US" w:eastAsia="zh-CN" w:bidi="ar-SA"/>
        </w:rPr>
        <w:t>区推广</w:t>
      </w:r>
      <w:r>
        <w:rPr>
          <w:rFonts w:hint="eastAsia" w:ascii="Times New Roman" w:hAnsi="Times New Roman" w:eastAsia="方正仿宋简体" w:cs="Times New Roman"/>
          <w:sz w:val="32"/>
          <w:szCs w:val="32"/>
          <w:lang w:val="en-US" w:eastAsia="zh-CN" w:bidi="ar-SA"/>
        </w:rPr>
        <w:t>3-4个</w:t>
      </w:r>
      <w:r>
        <w:rPr>
          <w:rFonts w:hint="default" w:ascii="Times New Roman" w:hAnsi="Times New Roman" w:eastAsia="方正仿宋简体" w:cs="Times New Roman"/>
          <w:sz w:val="32"/>
          <w:szCs w:val="32"/>
          <w:lang w:val="en-US" w:eastAsia="zh-CN" w:bidi="ar-SA"/>
        </w:rPr>
        <w:t>双低油菜新品种面积</w:t>
      </w:r>
      <w:r>
        <w:rPr>
          <w:rFonts w:hint="eastAsia" w:ascii="Times New Roman" w:hAnsi="Times New Roman" w:eastAsia="方正仿宋简体" w:cs="Times New Roman"/>
          <w:sz w:val="32"/>
          <w:szCs w:val="32"/>
          <w:lang w:val="en-US" w:eastAsia="zh-CN" w:bidi="ar-SA"/>
        </w:rPr>
        <w:t>9.24</w:t>
      </w:r>
      <w:r>
        <w:rPr>
          <w:rFonts w:hint="default" w:ascii="Times New Roman" w:hAnsi="Times New Roman" w:eastAsia="方正仿宋简体" w:cs="Times New Roman"/>
          <w:sz w:val="32"/>
          <w:szCs w:val="32"/>
          <w:lang w:val="en-US" w:eastAsia="zh-CN" w:bidi="ar-SA"/>
        </w:rPr>
        <w:t>万亩（以实际完成数量为准），亩用种0.1公斤，共推广优质油菜良种</w:t>
      </w:r>
      <w:r>
        <w:rPr>
          <w:rFonts w:hint="eastAsia" w:ascii="Times New Roman" w:hAnsi="Times New Roman" w:eastAsia="方正仿宋简体" w:cs="Times New Roman"/>
          <w:sz w:val="32"/>
          <w:szCs w:val="32"/>
          <w:lang w:val="en-US" w:eastAsia="zh-CN" w:bidi="ar-SA"/>
        </w:rPr>
        <w:t>9240</w:t>
      </w:r>
      <w:r>
        <w:rPr>
          <w:rFonts w:hint="default" w:ascii="Times New Roman" w:hAnsi="Times New Roman" w:eastAsia="方正仿宋简体" w:cs="Times New Roman"/>
          <w:sz w:val="32"/>
          <w:szCs w:val="32"/>
          <w:lang w:val="en-US" w:eastAsia="zh-CN" w:bidi="ar-SA"/>
        </w:rPr>
        <w:t>公斤。</w:t>
      </w:r>
    </w:p>
    <w:p w14:paraId="597DDE1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（二）油菜专用肥推广。</w:t>
      </w:r>
      <w:r>
        <w:rPr>
          <w:rFonts w:hint="eastAsia" w:ascii="Times New Roman" w:hAnsi="Times New Roman" w:eastAsia="方正仿宋简体" w:cs="Times New Roman"/>
          <w:sz w:val="32"/>
          <w:szCs w:val="32"/>
          <w:lang w:val="en-US" w:eastAsia="zh-CN" w:bidi="ar-SA"/>
        </w:rPr>
        <w:t>在项目实施区推广油菜专用肥677.6吨，用于油菜底肥、提苗肥及</w:t>
      </w:r>
      <w:r>
        <w:rPr>
          <w:rFonts w:hint="default" w:ascii="Times New Roman" w:hAnsi="Times New Roman" w:eastAsia="方正仿宋简体" w:cs="Times New Roman"/>
          <w:sz w:val="32"/>
          <w:szCs w:val="32"/>
          <w:lang w:val="en-US" w:eastAsia="zh-CN" w:bidi="ar-SA"/>
        </w:rPr>
        <w:t>蕾薹</w:t>
      </w:r>
      <w:r>
        <w:rPr>
          <w:rFonts w:hint="eastAsia" w:ascii="Times New Roman" w:hAnsi="Times New Roman" w:eastAsia="方正仿宋简体" w:cs="Times New Roman"/>
          <w:sz w:val="32"/>
          <w:szCs w:val="32"/>
          <w:lang w:val="en-US" w:eastAsia="zh-CN" w:bidi="ar-SA"/>
        </w:rPr>
        <w:t>肥追施。</w:t>
      </w:r>
    </w:p>
    <w:p w14:paraId="5BEB8D0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（三）病虫害统防统治。</w:t>
      </w:r>
      <w:r>
        <w:rPr>
          <w:rFonts w:hint="default" w:ascii="Times New Roman" w:hAnsi="Times New Roman" w:eastAsia="方正仿宋简体" w:cs="Times New Roman"/>
          <w:sz w:val="32"/>
          <w:szCs w:val="32"/>
          <w:lang w:val="en-US" w:eastAsia="zh-CN" w:bidi="ar-SA"/>
        </w:rPr>
        <w:t>在油菜蕾薹初花期</w:t>
      </w:r>
      <w:r>
        <w:rPr>
          <w:rFonts w:hint="eastAsia" w:ascii="Times New Roman" w:hAnsi="Times New Roman" w:eastAsia="方正仿宋简体" w:cs="Times New Roman"/>
          <w:sz w:val="32"/>
          <w:szCs w:val="32"/>
          <w:lang w:val="en-US" w:eastAsia="zh-CN" w:bidi="ar-SA"/>
        </w:rPr>
        <w:t>开展</w:t>
      </w:r>
      <w:r>
        <w:rPr>
          <w:rFonts w:hint="default" w:ascii="Times New Roman" w:hAnsi="Times New Roman" w:eastAsia="方正仿宋简体" w:cs="Times New Roman"/>
          <w:sz w:val="32"/>
          <w:szCs w:val="32"/>
          <w:lang w:val="en-US" w:eastAsia="zh-CN" w:bidi="ar-SA"/>
        </w:rPr>
        <w:t>菌核病、霜霉病、蚜虫等病虫害统防统治</w:t>
      </w:r>
      <w:r>
        <w:rPr>
          <w:rFonts w:hint="eastAsia" w:ascii="Times New Roman" w:hAnsi="Times New Roman" w:eastAsia="方正仿宋简体" w:cs="Times New Roman"/>
          <w:sz w:val="32"/>
          <w:szCs w:val="32"/>
          <w:lang w:val="en-US" w:eastAsia="zh-CN" w:bidi="ar-SA"/>
        </w:rPr>
        <w:t>9.24</w:t>
      </w:r>
      <w:r>
        <w:rPr>
          <w:rFonts w:hint="default" w:ascii="Times New Roman" w:hAnsi="Times New Roman" w:eastAsia="方正仿宋简体" w:cs="Times New Roman"/>
          <w:sz w:val="32"/>
          <w:szCs w:val="32"/>
          <w:lang w:val="en-US" w:eastAsia="zh-CN" w:bidi="ar-SA"/>
        </w:rPr>
        <w:t>万亩（以实际完成数量为准）。</w:t>
      </w:r>
    </w:p>
    <w:p w14:paraId="507400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三、资金概算</w:t>
      </w:r>
    </w:p>
    <w:p w14:paraId="23F844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该</w:t>
      </w:r>
      <w:r>
        <w:rPr>
          <w:rFonts w:hint="default" w:ascii="Times New Roman" w:hAnsi="Times New Roman" w:eastAsia="方正仿宋简体" w:cs="Times New Roman"/>
          <w:sz w:val="32"/>
          <w:szCs w:val="32"/>
          <w:lang w:val="en-US" w:eastAsia="zh-CN" w:bidi="ar-SA"/>
        </w:rPr>
        <w:t>项目</w:t>
      </w:r>
      <w:r>
        <w:rPr>
          <w:rFonts w:hint="eastAsia" w:ascii="Times New Roman" w:hAnsi="Times New Roman" w:eastAsia="方正仿宋简体" w:cs="Times New Roman"/>
          <w:sz w:val="32"/>
          <w:szCs w:val="32"/>
          <w:lang w:val="en-US" w:eastAsia="zh-CN" w:bidi="ar-SA"/>
        </w:rPr>
        <w:t>中央财政补助资金693万元（详见附件1）</w:t>
      </w:r>
      <w:r>
        <w:rPr>
          <w:rFonts w:hint="default" w:ascii="Times New Roman" w:hAnsi="Times New Roman" w:eastAsia="方正仿宋简体" w:cs="Times New Roman"/>
          <w:sz w:val="32"/>
          <w:szCs w:val="32"/>
          <w:lang w:val="en-US" w:eastAsia="zh-CN" w:bidi="ar-SA"/>
        </w:rPr>
        <w:t>。</w:t>
      </w:r>
    </w:p>
    <w:p w14:paraId="276C34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（一）良种推广。</w:t>
      </w:r>
      <w:r>
        <w:rPr>
          <w:rFonts w:hint="eastAsia" w:ascii="Times New Roman" w:hAnsi="Times New Roman" w:eastAsia="方正仿宋简体" w:cs="Times New Roman"/>
          <w:sz w:val="32"/>
          <w:szCs w:val="32"/>
          <w:lang w:val="en-US" w:eastAsia="zh-CN" w:bidi="ar-SA"/>
        </w:rPr>
        <w:t>符合2025年全省粮油作物重大品种推广目录范围，</w:t>
      </w:r>
      <w:r>
        <w:rPr>
          <w:rFonts w:hint="default" w:ascii="Times New Roman" w:hAnsi="Times New Roman" w:eastAsia="方正仿宋简体" w:cs="Times New Roman"/>
          <w:sz w:val="32"/>
          <w:szCs w:val="32"/>
          <w:lang w:val="en-US" w:eastAsia="zh-CN" w:bidi="ar-SA"/>
        </w:rPr>
        <w:t>在</w:t>
      </w:r>
      <w:r>
        <w:rPr>
          <w:rFonts w:hint="eastAsia" w:ascii="Times New Roman" w:hAnsi="Times New Roman" w:eastAsia="方正仿宋简体" w:cs="Times New Roman"/>
          <w:sz w:val="32"/>
          <w:szCs w:val="32"/>
          <w:lang w:val="en-US" w:eastAsia="zh-CN" w:bidi="ar-SA"/>
        </w:rPr>
        <w:t>全</w:t>
      </w:r>
      <w:r>
        <w:rPr>
          <w:rFonts w:hint="default" w:ascii="Times New Roman" w:hAnsi="Times New Roman" w:eastAsia="方正仿宋简体" w:cs="Times New Roman"/>
          <w:sz w:val="32"/>
          <w:szCs w:val="32"/>
          <w:lang w:val="en-US" w:eastAsia="zh-CN" w:bidi="ar-SA"/>
        </w:rPr>
        <w:t>区推广</w:t>
      </w:r>
      <w:r>
        <w:rPr>
          <w:rFonts w:hint="eastAsia" w:ascii="Times New Roman" w:hAnsi="Times New Roman" w:eastAsia="方正仿宋简体" w:cs="Times New Roman"/>
          <w:sz w:val="32"/>
          <w:szCs w:val="32"/>
          <w:lang w:val="en-US" w:eastAsia="zh-CN" w:bidi="ar-SA"/>
        </w:rPr>
        <w:t>3-4个</w:t>
      </w:r>
      <w:r>
        <w:rPr>
          <w:rFonts w:hint="default" w:ascii="Times New Roman" w:hAnsi="Times New Roman" w:eastAsia="方正仿宋简体" w:cs="Times New Roman"/>
          <w:sz w:val="32"/>
          <w:szCs w:val="32"/>
          <w:lang w:val="en-US" w:eastAsia="zh-CN" w:bidi="ar-SA"/>
        </w:rPr>
        <w:t>双低油菜良种</w:t>
      </w:r>
      <w:r>
        <w:rPr>
          <w:rFonts w:hint="eastAsia" w:ascii="Times New Roman" w:hAnsi="Times New Roman" w:eastAsia="方正仿宋简体" w:cs="Times New Roman"/>
          <w:sz w:val="32"/>
          <w:szCs w:val="32"/>
          <w:lang w:val="en-US" w:eastAsia="zh-CN" w:bidi="ar-SA"/>
        </w:rPr>
        <w:t>9240</w:t>
      </w:r>
      <w:r>
        <w:rPr>
          <w:rFonts w:hint="default" w:ascii="Times New Roman" w:hAnsi="Times New Roman" w:eastAsia="方正仿宋简体" w:cs="Times New Roman"/>
          <w:sz w:val="32"/>
          <w:szCs w:val="32"/>
          <w:lang w:val="en-US" w:eastAsia="zh-CN" w:bidi="ar-SA"/>
        </w:rPr>
        <w:t>公斤</w:t>
      </w:r>
      <w:r>
        <w:rPr>
          <w:rFonts w:hint="eastAsia" w:ascii="Times New Roman" w:hAnsi="Times New Roman" w:eastAsia="方正仿宋简体" w:cs="Times New Roman"/>
          <w:sz w:val="32"/>
          <w:szCs w:val="32"/>
          <w:lang w:val="en-US" w:eastAsia="zh-CN" w:bidi="ar-SA"/>
        </w:rPr>
        <w:t>，单价80元/公斤，中央财政投入73.92万元</w:t>
      </w:r>
      <w:r>
        <w:rPr>
          <w:rFonts w:hint="default" w:ascii="Times New Roman" w:hAnsi="Times New Roman" w:eastAsia="方正仿宋简体" w:cs="Times New Roman"/>
          <w:sz w:val="32"/>
          <w:szCs w:val="32"/>
          <w:lang w:val="en-US" w:eastAsia="zh-CN" w:bidi="ar-SA"/>
        </w:rPr>
        <w:t>。</w:t>
      </w:r>
    </w:p>
    <w:p w14:paraId="0F3A1EE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（二）油菜专用肥推广。</w:t>
      </w:r>
      <w:r>
        <w:rPr>
          <w:rFonts w:hint="eastAsia" w:ascii="Times New Roman" w:hAnsi="Times New Roman" w:eastAsia="方正仿宋简体" w:cs="Times New Roman"/>
          <w:sz w:val="32"/>
          <w:szCs w:val="32"/>
          <w:lang w:val="en-US" w:eastAsia="zh-CN" w:bidi="ar-SA"/>
        </w:rPr>
        <w:t>在项目实施区推广油菜专用肥677.6吨，单价3000元/吨，中央财政投入203.28万元。</w:t>
      </w:r>
    </w:p>
    <w:p w14:paraId="1C999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（三）病虫害统防统治。</w:t>
      </w:r>
      <w:r>
        <w:rPr>
          <w:rFonts w:hint="default" w:ascii="Times New Roman" w:hAnsi="Times New Roman" w:eastAsia="方正仿宋简体" w:cs="Times New Roman"/>
          <w:sz w:val="32"/>
          <w:szCs w:val="32"/>
          <w:lang w:val="en-US" w:eastAsia="zh-CN" w:bidi="ar-SA"/>
        </w:rPr>
        <w:t>在油菜蕾薹初花期开展菌核病、霜霉病、蚜虫等病虫害统防统治</w:t>
      </w:r>
      <w:r>
        <w:rPr>
          <w:rFonts w:hint="eastAsia" w:ascii="Times New Roman" w:hAnsi="Times New Roman" w:eastAsia="方正仿宋简体" w:cs="Times New Roman"/>
          <w:sz w:val="32"/>
          <w:szCs w:val="32"/>
          <w:lang w:val="en-US" w:eastAsia="zh-CN" w:bidi="ar-SA"/>
        </w:rPr>
        <w:t>9.24</w:t>
      </w:r>
      <w:r>
        <w:rPr>
          <w:rFonts w:hint="default" w:ascii="Times New Roman" w:hAnsi="Times New Roman" w:eastAsia="方正仿宋简体" w:cs="Times New Roman"/>
          <w:sz w:val="32"/>
          <w:szCs w:val="32"/>
          <w:lang w:val="en-US" w:eastAsia="zh-CN" w:bidi="ar-SA"/>
        </w:rPr>
        <w:t>万亩（以实际完成数量为准）</w:t>
      </w:r>
      <w:r>
        <w:rPr>
          <w:rFonts w:hint="eastAsia" w:ascii="Times New Roman" w:hAnsi="Times New Roman" w:eastAsia="方正仿宋简体" w:cs="Times New Roman"/>
          <w:sz w:val="32"/>
          <w:szCs w:val="32"/>
          <w:lang w:val="en-US" w:eastAsia="zh-CN" w:bidi="ar-SA"/>
        </w:rPr>
        <w:t>，补助标准45元/亩，中央财政投入415.8万元</w:t>
      </w:r>
      <w:r>
        <w:rPr>
          <w:rFonts w:hint="default" w:ascii="Times New Roman" w:hAnsi="Times New Roman" w:eastAsia="方正仿宋简体" w:cs="Times New Roman"/>
          <w:sz w:val="32"/>
          <w:szCs w:val="32"/>
          <w:lang w:val="en-US" w:eastAsia="zh-CN" w:bidi="ar-SA"/>
        </w:rPr>
        <w:t>。</w:t>
      </w:r>
    </w:p>
    <w:p w14:paraId="444EC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四、建设期限</w:t>
      </w:r>
    </w:p>
    <w:p w14:paraId="265717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2025年2月—2026年5月。</w:t>
      </w:r>
    </w:p>
    <w:p w14:paraId="42572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五、工作要求</w:t>
      </w:r>
    </w:p>
    <w:p w14:paraId="4A4DF1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（一）夯实工作责任。</w:t>
      </w:r>
      <w:r>
        <w:rPr>
          <w:rFonts w:hint="default" w:ascii="Times New Roman" w:hAnsi="Times New Roman" w:eastAsia="方正仿宋简体" w:cs="Times New Roman"/>
          <w:sz w:val="32"/>
          <w:szCs w:val="32"/>
          <w:lang w:val="en-US" w:eastAsia="zh-CN" w:bidi="ar-SA"/>
        </w:rPr>
        <w:t>各镇要充分认识</w:t>
      </w:r>
      <w:r>
        <w:rPr>
          <w:rFonts w:hint="eastAsia" w:ascii="Times New Roman" w:hAnsi="Times New Roman" w:eastAsia="方正仿宋简体" w:cs="Times New Roman"/>
          <w:sz w:val="32"/>
          <w:szCs w:val="32"/>
          <w:lang w:val="en-US" w:eastAsia="zh-CN" w:bidi="ar-SA"/>
        </w:rPr>
        <w:t>巩固扩种油菜保障油料供给</w:t>
      </w:r>
      <w:r>
        <w:rPr>
          <w:rFonts w:hint="default" w:ascii="Times New Roman" w:hAnsi="Times New Roman" w:eastAsia="方正仿宋简体" w:cs="Times New Roman"/>
          <w:sz w:val="32"/>
          <w:szCs w:val="32"/>
          <w:lang w:val="en-US" w:eastAsia="zh-CN" w:bidi="ar-SA"/>
        </w:rPr>
        <w:t>对促进农业可持续发展的重要意义，要把种植油菜作为重要工作内容统筹研究部署，高质量完成目标任务。区农业农村局负责种植油菜高质高效技术和政策宣传工作，并牵头对</w:t>
      </w:r>
      <w:r>
        <w:rPr>
          <w:rFonts w:hint="eastAsia" w:ascii="Times New Roman" w:hAnsi="Times New Roman" w:eastAsia="方正仿宋简体" w:cs="Times New Roman"/>
          <w:sz w:val="32"/>
          <w:szCs w:val="32"/>
          <w:lang w:val="en-US" w:eastAsia="zh-CN" w:bidi="ar-SA"/>
        </w:rPr>
        <w:t>油菜病虫害统防统治</w:t>
      </w:r>
      <w:r>
        <w:rPr>
          <w:rFonts w:hint="default" w:ascii="Times New Roman" w:hAnsi="Times New Roman" w:eastAsia="方正仿宋简体" w:cs="Times New Roman"/>
          <w:sz w:val="32"/>
          <w:szCs w:val="32"/>
          <w:lang w:val="en-US" w:eastAsia="zh-CN" w:bidi="ar-SA"/>
        </w:rPr>
        <w:t>开展情况进行抽查。区财政局负责该项目资金的拨付和监管。项目镇作为责任主体，要成立领导小组，政府主要领导任组长，切实加强</w:t>
      </w:r>
      <w:r>
        <w:rPr>
          <w:rFonts w:hint="eastAsia" w:ascii="Times New Roman" w:hAnsi="Times New Roman" w:eastAsia="方正仿宋简体" w:cs="Times New Roman"/>
          <w:sz w:val="32"/>
          <w:szCs w:val="32"/>
          <w:lang w:val="en-US" w:eastAsia="zh-CN" w:bidi="ar-SA"/>
        </w:rPr>
        <w:t>巩固扩种油菜</w:t>
      </w:r>
      <w:r>
        <w:rPr>
          <w:rFonts w:hint="default" w:ascii="Times New Roman" w:hAnsi="Times New Roman" w:eastAsia="方正仿宋简体" w:cs="Times New Roman"/>
          <w:sz w:val="32"/>
          <w:szCs w:val="32"/>
          <w:lang w:val="en-US" w:eastAsia="zh-CN" w:bidi="ar-SA"/>
        </w:rPr>
        <w:t>项目的组织领导，有序推动工作开展，取得实效；负责对辖区内</w:t>
      </w:r>
      <w:r>
        <w:rPr>
          <w:rFonts w:hint="eastAsia" w:ascii="Times New Roman" w:hAnsi="Times New Roman" w:eastAsia="方正仿宋简体" w:cs="Times New Roman"/>
          <w:sz w:val="32"/>
          <w:szCs w:val="32"/>
          <w:lang w:val="en-US" w:eastAsia="zh-CN" w:bidi="ar-SA"/>
        </w:rPr>
        <w:t>巩固扩种油菜</w:t>
      </w:r>
      <w:r>
        <w:rPr>
          <w:rFonts w:hint="default" w:ascii="Times New Roman" w:hAnsi="Times New Roman" w:eastAsia="方正仿宋简体" w:cs="Times New Roman"/>
          <w:sz w:val="32"/>
          <w:szCs w:val="32"/>
          <w:lang w:val="en-US" w:eastAsia="zh-CN" w:bidi="ar-SA"/>
        </w:rPr>
        <w:t>项目</w:t>
      </w:r>
      <w:r>
        <w:rPr>
          <w:rFonts w:hint="eastAsia" w:ascii="Times New Roman" w:hAnsi="Times New Roman" w:eastAsia="方正仿宋简体" w:cs="Times New Roman"/>
          <w:sz w:val="32"/>
          <w:szCs w:val="32"/>
          <w:lang w:val="en-US" w:eastAsia="zh-CN" w:bidi="ar-SA"/>
        </w:rPr>
        <w:t>的村规划落实，按程序组织实施油菜病虫害统防统治工作及相关</w:t>
      </w:r>
      <w:r>
        <w:rPr>
          <w:rFonts w:hint="default" w:ascii="Times New Roman" w:hAnsi="Times New Roman" w:eastAsia="方正仿宋简体" w:cs="Times New Roman"/>
          <w:sz w:val="32"/>
          <w:szCs w:val="32"/>
          <w:lang w:val="en-US" w:eastAsia="zh-CN" w:bidi="ar-SA"/>
        </w:rPr>
        <w:t>物资、病虫害统防统治花名册资料和照片等</w:t>
      </w:r>
      <w:r>
        <w:rPr>
          <w:rFonts w:hint="eastAsia" w:ascii="Times New Roman" w:hAnsi="Times New Roman" w:eastAsia="方正仿宋简体" w:cs="Times New Roman"/>
          <w:sz w:val="32"/>
          <w:szCs w:val="32"/>
          <w:lang w:val="en-US" w:eastAsia="zh-CN" w:bidi="ar-SA"/>
        </w:rPr>
        <w:t>资料</w:t>
      </w:r>
      <w:r>
        <w:rPr>
          <w:rFonts w:hint="default" w:ascii="Times New Roman" w:hAnsi="Times New Roman" w:eastAsia="方正仿宋简体" w:cs="Times New Roman"/>
          <w:sz w:val="32"/>
          <w:szCs w:val="32"/>
          <w:lang w:val="en-US" w:eastAsia="zh-CN" w:bidi="ar-SA"/>
        </w:rPr>
        <w:t>归档整理备查。</w:t>
      </w:r>
    </w:p>
    <w:p w14:paraId="4BE3A1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（二）抓实项目管理。</w:t>
      </w:r>
      <w:r>
        <w:rPr>
          <w:rFonts w:hint="eastAsia" w:ascii="Times New Roman" w:hAnsi="Times New Roman" w:eastAsia="方正仿宋简体" w:cs="Times New Roman"/>
          <w:sz w:val="32"/>
          <w:szCs w:val="32"/>
          <w:lang w:val="en-US" w:eastAsia="zh-CN" w:bidi="ar-SA"/>
        </w:rPr>
        <w:t>巩固扩种油菜</w:t>
      </w:r>
      <w:r>
        <w:rPr>
          <w:rFonts w:hint="default" w:ascii="Times New Roman" w:hAnsi="Times New Roman" w:eastAsia="方正仿宋简体" w:cs="Times New Roman"/>
          <w:sz w:val="32"/>
          <w:szCs w:val="32"/>
          <w:lang w:val="en-US" w:eastAsia="zh-CN" w:bidi="ar-SA"/>
        </w:rPr>
        <w:t>项目任务是约束性任务，各镇（街道）要加强</w:t>
      </w:r>
      <w:r>
        <w:rPr>
          <w:rFonts w:hint="eastAsia" w:ascii="Times New Roman" w:hAnsi="Times New Roman" w:eastAsia="方正仿宋简体" w:cs="Times New Roman"/>
          <w:sz w:val="32"/>
          <w:szCs w:val="32"/>
          <w:lang w:val="en-US" w:eastAsia="zh-CN" w:bidi="ar-SA"/>
        </w:rPr>
        <w:t>巩固扩种</w:t>
      </w:r>
      <w:r>
        <w:rPr>
          <w:rFonts w:hint="default" w:ascii="Times New Roman" w:hAnsi="Times New Roman" w:eastAsia="方正仿宋简体" w:cs="Times New Roman"/>
          <w:sz w:val="32"/>
          <w:szCs w:val="32"/>
          <w:lang w:val="en-US" w:eastAsia="zh-CN" w:bidi="ar-SA"/>
        </w:rPr>
        <w:t>油菜工作推进，搞好动员宣传。</w:t>
      </w:r>
      <w:r>
        <w:rPr>
          <w:rFonts w:hint="eastAsia" w:ascii="Times New Roman" w:hAnsi="Times New Roman" w:eastAsia="方正仿宋简体" w:cs="Times New Roman"/>
          <w:sz w:val="32"/>
          <w:szCs w:val="32"/>
          <w:lang w:val="en-US" w:eastAsia="zh-CN" w:bidi="ar-SA"/>
        </w:rPr>
        <w:t>巩固扩种</w:t>
      </w:r>
      <w:r>
        <w:rPr>
          <w:rFonts w:hint="default" w:ascii="Times New Roman" w:hAnsi="Times New Roman" w:eastAsia="方正仿宋简体" w:cs="Times New Roman"/>
          <w:sz w:val="32"/>
          <w:szCs w:val="32"/>
          <w:lang w:val="en-US" w:eastAsia="zh-CN" w:bidi="ar-SA"/>
        </w:rPr>
        <w:t>油菜项目油菜种子</w:t>
      </w:r>
      <w:r>
        <w:rPr>
          <w:rFonts w:hint="eastAsia" w:ascii="Times New Roman" w:hAnsi="Times New Roman" w:eastAsia="方正仿宋简体" w:cs="Times New Roman"/>
          <w:sz w:val="32"/>
          <w:szCs w:val="32"/>
          <w:lang w:val="en-US" w:eastAsia="zh-CN" w:bidi="ar-SA"/>
        </w:rPr>
        <w:t>、油菜专用肥</w:t>
      </w:r>
      <w:r>
        <w:rPr>
          <w:rFonts w:hint="default" w:ascii="Times New Roman" w:hAnsi="Times New Roman" w:eastAsia="方正仿宋简体" w:cs="Times New Roman"/>
          <w:sz w:val="32"/>
          <w:szCs w:val="32"/>
          <w:lang w:val="en-US" w:eastAsia="zh-CN" w:bidi="ar-SA"/>
        </w:rPr>
        <w:t>按程序实行政府招标采购。项目镇负责按程序组织实施油菜病虫害统防统治，并负责收集服务农户或业主花名册等资料</w:t>
      </w:r>
      <w:r>
        <w:rPr>
          <w:rFonts w:hint="eastAsia" w:ascii="Times New Roman" w:hAnsi="Times New Roman" w:eastAsia="方正仿宋简体" w:cs="Times New Roman"/>
          <w:sz w:val="32"/>
          <w:szCs w:val="32"/>
          <w:lang w:val="en-US" w:eastAsia="zh-CN" w:bidi="ar-SA"/>
        </w:rPr>
        <w:t>及开展镇级验收工作</w:t>
      </w:r>
      <w:r>
        <w:rPr>
          <w:rFonts w:hint="default" w:ascii="Times New Roman" w:hAnsi="Times New Roman" w:eastAsia="方正仿宋简体" w:cs="Times New Roman"/>
          <w:sz w:val="32"/>
          <w:szCs w:val="32"/>
          <w:lang w:val="en-US" w:eastAsia="zh-CN" w:bidi="ar-SA"/>
        </w:rPr>
        <w:t>。要加强</w:t>
      </w:r>
      <w:r>
        <w:rPr>
          <w:rFonts w:hint="eastAsia" w:ascii="Times New Roman" w:hAnsi="Times New Roman" w:eastAsia="方正仿宋简体" w:cs="Times New Roman"/>
          <w:sz w:val="32"/>
          <w:szCs w:val="32"/>
          <w:lang w:val="en-US" w:eastAsia="zh-CN" w:bidi="ar-SA"/>
        </w:rPr>
        <w:t>实施项目</w:t>
      </w:r>
      <w:r>
        <w:rPr>
          <w:rFonts w:hint="default" w:ascii="Times New Roman" w:hAnsi="Times New Roman" w:eastAsia="方正仿宋简体" w:cs="Times New Roman"/>
          <w:sz w:val="32"/>
          <w:szCs w:val="32"/>
          <w:lang w:val="en-US" w:eastAsia="zh-CN" w:bidi="ar-SA"/>
        </w:rPr>
        <w:t>工作档案管理，物资发放和</w:t>
      </w:r>
      <w:r>
        <w:rPr>
          <w:rFonts w:hint="eastAsia" w:ascii="Times New Roman" w:hAnsi="Times New Roman" w:eastAsia="方正仿宋简体" w:cs="Times New Roman"/>
          <w:sz w:val="32"/>
          <w:szCs w:val="32"/>
          <w:lang w:val="en-US" w:eastAsia="zh-CN" w:bidi="ar-SA"/>
        </w:rPr>
        <w:t>统防统治</w:t>
      </w:r>
      <w:r>
        <w:rPr>
          <w:rFonts w:hint="default" w:ascii="Times New Roman" w:hAnsi="Times New Roman" w:eastAsia="方正仿宋简体" w:cs="Times New Roman"/>
          <w:sz w:val="32"/>
          <w:szCs w:val="32"/>
          <w:lang w:val="en-US" w:eastAsia="zh-CN" w:bidi="ar-SA"/>
        </w:rPr>
        <w:t>要登记造册</w:t>
      </w:r>
      <w:r>
        <w:rPr>
          <w:rFonts w:hint="eastAsia" w:ascii="Times New Roman" w:hAnsi="Times New Roman" w:eastAsia="方正仿宋简体" w:cs="Times New Roman"/>
          <w:sz w:val="32"/>
          <w:szCs w:val="32"/>
          <w:lang w:val="en-US" w:eastAsia="zh-CN" w:bidi="ar-SA"/>
        </w:rPr>
        <w:t>，</w:t>
      </w:r>
      <w:r>
        <w:rPr>
          <w:rFonts w:hint="default" w:ascii="Times New Roman" w:hAnsi="Times New Roman" w:eastAsia="方正仿宋简体" w:cs="Times New Roman"/>
          <w:sz w:val="32"/>
          <w:szCs w:val="32"/>
          <w:lang w:val="en-US" w:eastAsia="zh-CN" w:bidi="ar-SA"/>
        </w:rPr>
        <w:t>并经受益农户或业主签字确认。</w:t>
      </w:r>
    </w:p>
    <w:p w14:paraId="2779AB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r>
        <w:rPr>
          <w:rFonts w:hint="eastAsia" w:ascii="方正楷体简体" w:eastAsia="方正楷体简体" w:cs="方正楷体简体"/>
          <w:sz w:val="32"/>
          <w:szCs w:val="32"/>
          <w:lang w:val="en-US" w:eastAsia="zh-CN" w:bidi="ar-SA"/>
        </w:rPr>
        <w:t>（三）加强监督指导。</w:t>
      </w:r>
      <w:r>
        <w:rPr>
          <w:rFonts w:hint="eastAsia" w:ascii="Times New Roman" w:hAnsi="Times New Roman" w:eastAsia="方正仿宋简体" w:cs="Times New Roman"/>
          <w:sz w:val="32"/>
          <w:szCs w:val="32"/>
          <w:lang w:val="en-US" w:eastAsia="zh-CN" w:bidi="ar-SA"/>
        </w:rPr>
        <w:t>要</w:t>
      </w:r>
      <w:r>
        <w:rPr>
          <w:rFonts w:hint="default" w:ascii="Times New Roman" w:hAnsi="Times New Roman" w:eastAsia="方正仿宋简体" w:cs="Times New Roman"/>
          <w:sz w:val="32"/>
          <w:szCs w:val="32"/>
          <w:lang w:val="en-US" w:eastAsia="zh-CN" w:bidi="ar-SA"/>
        </w:rPr>
        <w:t>充分利用广播、电视、网络等媒体，引导农户及新型经营主体积极参与项目实施。项目镇要组织好信息填报工作，积极开展耕地质量监测评价，掌握</w:t>
      </w:r>
      <w:r>
        <w:rPr>
          <w:rFonts w:hint="eastAsia" w:ascii="Times New Roman" w:hAnsi="Times New Roman" w:eastAsia="方正仿宋简体" w:cs="Times New Roman"/>
          <w:sz w:val="32"/>
          <w:szCs w:val="32"/>
          <w:lang w:val="en-US" w:eastAsia="zh-CN" w:bidi="ar-SA"/>
        </w:rPr>
        <w:t>工作</w:t>
      </w:r>
      <w:r>
        <w:rPr>
          <w:rFonts w:hint="default" w:ascii="Times New Roman" w:hAnsi="Times New Roman" w:eastAsia="方正仿宋简体" w:cs="Times New Roman"/>
          <w:sz w:val="32"/>
          <w:szCs w:val="32"/>
          <w:lang w:val="en-US" w:eastAsia="zh-CN" w:bidi="ar-SA"/>
        </w:rPr>
        <w:t>任务落实进度和耕地质量变化情况。区农业农村局要指导项目</w:t>
      </w:r>
      <w:r>
        <w:rPr>
          <w:rFonts w:hint="eastAsia" w:ascii="Times New Roman" w:hAnsi="Times New Roman" w:eastAsia="方正仿宋简体" w:cs="Times New Roman"/>
          <w:sz w:val="32"/>
          <w:szCs w:val="32"/>
          <w:lang w:val="en-US" w:eastAsia="zh-CN" w:bidi="ar-SA"/>
        </w:rPr>
        <w:t>镇</w:t>
      </w:r>
      <w:r>
        <w:rPr>
          <w:rFonts w:hint="default" w:ascii="Times New Roman" w:hAnsi="Times New Roman" w:eastAsia="方正仿宋简体" w:cs="Times New Roman"/>
          <w:sz w:val="32"/>
          <w:szCs w:val="32"/>
          <w:lang w:val="en-US" w:eastAsia="zh-CN" w:bidi="ar-SA"/>
        </w:rPr>
        <w:t>实施区域参与对象落实技术措施，开展</w:t>
      </w:r>
      <w:r>
        <w:rPr>
          <w:rFonts w:hint="eastAsia" w:ascii="Times New Roman" w:hAnsi="Times New Roman" w:eastAsia="方正仿宋简体" w:cs="Times New Roman"/>
          <w:sz w:val="32"/>
          <w:szCs w:val="32"/>
          <w:lang w:val="en-US" w:eastAsia="zh-CN" w:bidi="ar-SA"/>
        </w:rPr>
        <w:t>油菜</w:t>
      </w:r>
      <w:r>
        <w:rPr>
          <w:rFonts w:hint="default" w:ascii="Times New Roman" w:hAnsi="Times New Roman" w:eastAsia="方正仿宋简体" w:cs="Times New Roman"/>
          <w:sz w:val="32"/>
          <w:szCs w:val="32"/>
          <w:lang w:val="en-US" w:eastAsia="zh-CN" w:bidi="ar-SA"/>
        </w:rPr>
        <w:t>绿色高质高效生产。</w:t>
      </w:r>
    </w:p>
    <w:p w14:paraId="6BF9BC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bidi="ar-SA"/>
        </w:rPr>
      </w:pPr>
    </w:p>
    <w:p w14:paraId="39047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附件：1.遂宁市安居区2025年中央财政粮油生产保障资</w:t>
      </w:r>
    </w:p>
    <w:p w14:paraId="5B8EC6DF">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金巩固扩种油菜项目资金概算汇总表</w:t>
      </w:r>
    </w:p>
    <w:p w14:paraId="3FFB0FC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2.遂宁市安居区2025年中央财政粮油生产保障</w:t>
      </w:r>
    </w:p>
    <w:p w14:paraId="3BBF6615">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sz w:val="32"/>
          <w:szCs w:val="32"/>
          <w:lang w:val="en-US" w:eastAsia="zh-CN" w:bidi="ar-SA"/>
        </w:rPr>
        <w:t>资金巩固扩种油菜项目指导性任务表</w:t>
      </w:r>
    </w:p>
    <w:p w14:paraId="22003DB1"/>
    <w:p w14:paraId="7F14BEEF"/>
    <w:p w14:paraId="745ED6D5"/>
    <w:p w14:paraId="0BBD68DF"/>
    <w:p w14:paraId="0ABFDC68"/>
    <w:p w14:paraId="3E6CD682"/>
    <w:p w14:paraId="6A2AF520"/>
    <w:p w14:paraId="6A8C54CA"/>
    <w:p w14:paraId="59340B8F"/>
    <w:p w14:paraId="37FD857B"/>
    <w:p w14:paraId="4414DCCF">
      <w:pPr>
        <w:rPr>
          <w:rFonts w:hint="eastAsia" w:ascii="黑体" w:eastAsia="黑体" w:cs="黑体"/>
          <w:sz w:val="32"/>
          <w:szCs w:val="32"/>
          <w:lang w:val="en-US" w:eastAsia="zh-CN" w:bidi="ar-SA"/>
        </w:rPr>
      </w:pPr>
      <w:r>
        <w:rPr>
          <w:rFonts w:hint="eastAsia" w:ascii="黑体" w:eastAsia="黑体" w:cs="黑体"/>
          <w:sz w:val="32"/>
          <w:szCs w:val="32"/>
          <w:lang w:eastAsia="zh-CN" w:bidi="ar-SA"/>
        </w:rPr>
        <w:t>附件</w:t>
      </w:r>
      <w:r>
        <w:rPr>
          <w:rFonts w:hint="eastAsia" w:ascii="黑体" w:eastAsia="黑体" w:cs="黑体"/>
          <w:sz w:val="32"/>
          <w:szCs w:val="32"/>
          <w:lang w:val="en-US" w:eastAsia="zh-CN" w:bidi="ar-SA"/>
        </w:rPr>
        <w:t>1</w:t>
      </w:r>
    </w:p>
    <w:p w14:paraId="0FC4CF60">
      <w:pPr>
        <w:rPr>
          <w:rFonts w:hint="eastAsia"/>
          <w:lang w:val="en-US" w:eastAsia="zh-CN"/>
        </w:rPr>
      </w:pPr>
    </w:p>
    <w:p w14:paraId="6FE57F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遂宁市安居区2024年中央财政粮油生产</w:t>
      </w:r>
    </w:p>
    <w:p w14:paraId="4BC0D1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保障资金巩固扩种油菜项目资金概算</w:t>
      </w:r>
    </w:p>
    <w:p w14:paraId="7FB78D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pPr>
      <w:r>
        <w:rPr>
          <w:rFonts w:hint="eastAsia" w:ascii="方正小标宋简体" w:eastAsia="方正小标宋简体" w:cs="方正小标宋简体"/>
          <w:sz w:val="44"/>
          <w:szCs w:val="44"/>
          <w:lang w:val="en-US" w:eastAsia="zh-CN" w:bidi="ar-SA"/>
        </w:rPr>
        <w:t>汇总表</w:t>
      </w:r>
    </w:p>
    <w:p w14:paraId="5DF9FAEA">
      <w:pPr>
        <w:rPr>
          <w:rFonts w:hint="default"/>
          <w:lang w:val="en-US" w:eastAsia="zh-CN"/>
        </w:rPr>
      </w:pPr>
    </w:p>
    <w:tbl>
      <w:tblPr>
        <w:tblStyle w:val="10"/>
        <w:tblW w:w="8457" w:type="dxa"/>
        <w:tblInd w:w="96" w:type="dxa"/>
        <w:tblLayout w:type="autofit"/>
        <w:tblCellMar>
          <w:top w:w="0" w:type="dxa"/>
          <w:left w:w="108" w:type="dxa"/>
          <w:bottom w:w="0" w:type="dxa"/>
          <w:right w:w="108" w:type="dxa"/>
        </w:tblCellMar>
      </w:tblPr>
      <w:tblGrid>
        <w:gridCol w:w="1346"/>
        <w:gridCol w:w="1732"/>
        <w:gridCol w:w="932"/>
        <w:gridCol w:w="945"/>
        <w:gridCol w:w="1091"/>
        <w:gridCol w:w="1026"/>
        <w:gridCol w:w="1385"/>
      </w:tblGrid>
      <w:tr w14:paraId="0BE278C1">
        <w:tblPrEx>
          <w:tblCellMar>
            <w:top w:w="0" w:type="dxa"/>
            <w:left w:w="108" w:type="dxa"/>
            <w:bottom w:w="0" w:type="dxa"/>
            <w:right w:w="108" w:type="dxa"/>
          </w:tblCellMar>
        </w:tblPrEx>
        <w:trPr>
          <w:trHeight w:val="2141" w:hRule="atLeast"/>
        </w:trPr>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D5BEA51">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项目名称</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0F72FF7">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建设内容</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8A72DA">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97484B">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数量</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4743732">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单价（元）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5041ABF">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总投入（万元）</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C796343">
            <w:pPr>
              <w:keepNext w:val="0"/>
              <w:keepLines w:val="0"/>
              <w:widowControl/>
              <w:suppressLineNumbers w:val="0"/>
              <w:jc w:val="center"/>
              <w:textAlignment w:val="center"/>
              <w:rPr>
                <w:rFonts w:hint="eastAsia" w:ascii="黑体" w:eastAsia="黑体" w:cs="黑体"/>
                <w:color w:val="000000"/>
                <w:kern w:val="0"/>
                <w:sz w:val="21"/>
                <w:szCs w:val="21"/>
                <w:u w:val="none"/>
                <w:lang w:val="en-US" w:eastAsia="zh-CN" w:bidi="ar"/>
              </w:rPr>
            </w:pPr>
            <w:r>
              <w:rPr>
                <w:rFonts w:hint="eastAsia" w:ascii="黑体" w:eastAsia="黑体" w:cs="黑体"/>
                <w:color w:val="000000"/>
                <w:kern w:val="0"/>
                <w:sz w:val="21"/>
                <w:szCs w:val="21"/>
                <w:u w:val="none"/>
                <w:lang w:val="en-US" w:eastAsia="zh-CN" w:bidi="ar"/>
              </w:rPr>
              <w:t>中央财政</w:t>
            </w:r>
          </w:p>
          <w:p w14:paraId="7D69CE12">
            <w:pPr>
              <w:keepNext w:val="0"/>
              <w:keepLines w:val="0"/>
              <w:widowControl/>
              <w:suppressLineNumbers w:val="0"/>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补助资金（万元）</w:t>
            </w:r>
          </w:p>
        </w:tc>
      </w:tr>
      <w:tr w14:paraId="34E1DD4C">
        <w:tblPrEx>
          <w:tblCellMar>
            <w:top w:w="0" w:type="dxa"/>
            <w:left w:w="108" w:type="dxa"/>
            <w:bottom w:w="0" w:type="dxa"/>
            <w:right w:w="108" w:type="dxa"/>
          </w:tblCellMar>
        </w:tblPrEx>
        <w:trPr>
          <w:trHeight w:val="744" w:hRule="atLeast"/>
        </w:trPr>
        <w:tc>
          <w:tcPr>
            <w:tcW w:w="3078" w:type="dxa"/>
            <w:gridSpan w:val="2"/>
            <w:tcBorders>
              <w:top w:val="single" w:color="000000" w:sz="4" w:space="0"/>
              <w:left w:val="single" w:color="000000" w:sz="4" w:space="0"/>
              <w:bottom w:val="single" w:color="000000" w:sz="4" w:space="0"/>
              <w:right w:val="single" w:color="000000" w:sz="4" w:space="0"/>
            </w:tcBorders>
            <w:noWrap w:val="0"/>
            <w:vAlign w:val="center"/>
          </w:tcPr>
          <w:p w14:paraId="5B9AEF57">
            <w:pPr>
              <w:jc w:val="center"/>
              <w:rPr>
                <w:rFonts w:hint="default" w:ascii="Times New Roman" w:hAnsi="Times New Roman" w:eastAsia="宋体" w:cs="Times New Roman"/>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合计</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95D1AD4">
            <w:pPr>
              <w:jc w:val="center"/>
              <w:rPr>
                <w:rFonts w:hint="default" w:ascii="Times New Roman" w:hAnsi="Times New Roman" w:eastAsia="宋体" w:cs="Times New Roman"/>
                <w:color w:val="000000"/>
                <w:sz w:val="21"/>
                <w:szCs w:val="21"/>
                <w:u w:val="none"/>
                <w:lang w:bidi="ar-SA"/>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EEB251">
            <w:pPr>
              <w:jc w:val="center"/>
              <w:rPr>
                <w:rFonts w:hint="default" w:ascii="Times New Roman" w:hAnsi="Times New Roman" w:eastAsia="宋体" w:cs="Times New Roman"/>
                <w:color w:val="000000"/>
                <w:sz w:val="21"/>
                <w:szCs w:val="21"/>
                <w:u w:val="none"/>
                <w:lang w:bidi="ar-SA"/>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5D0E56B">
            <w:pPr>
              <w:jc w:val="center"/>
              <w:rPr>
                <w:rFonts w:hint="default" w:ascii="Times New Roman" w:hAnsi="Times New Roman" w:eastAsia="宋体" w:cs="Times New Roman"/>
                <w:color w:val="000000"/>
                <w:sz w:val="21"/>
                <w:szCs w:val="21"/>
                <w:u w:val="none"/>
                <w:lang w:bidi="ar-SA"/>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D0DAD4C">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val="en-US" w:eastAsia="en-US" w:bidi="ar-SA"/>
              </w:rPr>
            </w:pPr>
            <w:r>
              <w:rPr>
                <w:rFonts w:hint="eastAsia" w:ascii="Times New Roman" w:hAnsi="Times New Roman" w:cs="Times New Roman"/>
                <w:color w:val="000000"/>
                <w:kern w:val="0"/>
                <w:sz w:val="21"/>
                <w:szCs w:val="21"/>
                <w:u w:val="none"/>
                <w:lang w:val="en-US" w:eastAsia="zh-CN" w:bidi="ar"/>
              </w:rPr>
              <w:t>693</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C31CAC3">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val="en-US" w:eastAsia="en-US" w:bidi="ar-SA"/>
              </w:rPr>
            </w:pPr>
            <w:r>
              <w:rPr>
                <w:rFonts w:hint="eastAsia" w:ascii="Times New Roman" w:hAnsi="Times New Roman" w:cs="Times New Roman"/>
                <w:color w:val="000000"/>
                <w:kern w:val="0"/>
                <w:sz w:val="21"/>
                <w:szCs w:val="21"/>
                <w:u w:val="none"/>
                <w:lang w:val="en-US" w:eastAsia="zh-CN" w:bidi="ar"/>
              </w:rPr>
              <w:t>693</w:t>
            </w:r>
          </w:p>
        </w:tc>
      </w:tr>
      <w:tr w14:paraId="2C1B6D38">
        <w:tblPrEx>
          <w:tblCellMar>
            <w:top w:w="0" w:type="dxa"/>
            <w:left w:w="108" w:type="dxa"/>
            <w:bottom w:w="0" w:type="dxa"/>
            <w:right w:w="108" w:type="dxa"/>
          </w:tblCellMar>
        </w:tblPrEx>
        <w:trPr>
          <w:trHeight w:val="1442" w:hRule="atLeast"/>
        </w:trPr>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4D34848">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一、良种推广</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8153788">
            <w:pPr>
              <w:keepNext w:val="0"/>
              <w:keepLines w:val="0"/>
              <w:widowControl/>
              <w:suppressLineNumbers w:val="0"/>
              <w:jc w:val="left"/>
              <w:textAlignment w:val="center"/>
              <w:rPr>
                <w:rFonts w:hint="default" w:ascii="Times New Roman" w:hAnsi="Times New Roman" w:eastAsia="宋体" w:cs="Times New Roman"/>
                <w:color w:val="000000"/>
                <w:sz w:val="21"/>
                <w:szCs w:val="21"/>
                <w:u w:val="none"/>
                <w:lang w:bidi="ar-SA"/>
              </w:rPr>
            </w:pPr>
            <w:r>
              <w:rPr>
                <w:rStyle w:val="12"/>
                <w:rFonts w:hint="default" w:ascii="Times New Roman" w:hAnsi="Times New Roman" w:cs="Times New Roman"/>
                <w:sz w:val="21"/>
                <w:szCs w:val="21"/>
                <w:lang w:val="en-US" w:eastAsia="zh-CN" w:bidi="ar"/>
              </w:rPr>
              <w:t>在全区推广3-4个双低油菜良种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779EAD7">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公斤</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27B7E33">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val="en-US" w:eastAsia="en-US" w:bidi="ar-SA"/>
              </w:rPr>
            </w:pPr>
            <w:r>
              <w:rPr>
                <w:rFonts w:hint="eastAsia" w:ascii="Times New Roman" w:hAnsi="Times New Roman" w:cs="Times New Roman"/>
                <w:color w:val="000000"/>
                <w:kern w:val="0"/>
                <w:sz w:val="21"/>
                <w:szCs w:val="21"/>
                <w:u w:val="none"/>
                <w:lang w:val="en-US" w:eastAsia="zh-CN" w:bidi="ar"/>
              </w:rPr>
              <w:t>9240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76E6F07">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40758AF">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val="en-US" w:eastAsia="en-US" w:bidi="ar-SA"/>
              </w:rPr>
            </w:pPr>
            <w:r>
              <w:rPr>
                <w:rFonts w:hint="eastAsia" w:ascii="Times New Roman" w:hAnsi="Times New Roman" w:cs="Times New Roman"/>
                <w:color w:val="000000"/>
                <w:kern w:val="0"/>
                <w:sz w:val="21"/>
                <w:szCs w:val="21"/>
                <w:u w:val="none"/>
                <w:lang w:val="en-US" w:eastAsia="zh-CN" w:bidi="ar"/>
              </w:rPr>
              <w:t>73.92</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829B1B6">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val="en-US" w:eastAsia="en-US" w:bidi="ar-SA"/>
              </w:rPr>
            </w:pPr>
            <w:r>
              <w:rPr>
                <w:rFonts w:hint="eastAsia" w:ascii="Times New Roman" w:hAnsi="Times New Roman" w:cs="Times New Roman"/>
                <w:color w:val="000000"/>
                <w:kern w:val="0"/>
                <w:sz w:val="21"/>
                <w:szCs w:val="21"/>
                <w:u w:val="none"/>
                <w:lang w:val="en-US" w:eastAsia="zh-CN" w:bidi="ar"/>
              </w:rPr>
              <w:t>73.92</w:t>
            </w:r>
          </w:p>
        </w:tc>
      </w:tr>
      <w:tr w14:paraId="297FC667">
        <w:tblPrEx>
          <w:tblCellMar>
            <w:top w:w="0" w:type="dxa"/>
            <w:left w:w="108" w:type="dxa"/>
            <w:bottom w:w="0" w:type="dxa"/>
            <w:right w:w="108" w:type="dxa"/>
          </w:tblCellMar>
        </w:tblPrEx>
        <w:trPr>
          <w:trHeight w:val="1442" w:hRule="atLeast"/>
        </w:trPr>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C419D3F">
            <w:pPr>
              <w:keepNext w:val="0"/>
              <w:keepLines w:val="0"/>
              <w:widowControl/>
              <w:suppressLineNumbers w:val="0"/>
              <w:jc w:val="left"/>
              <w:textAlignment w:val="center"/>
              <w:rPr>
                <w:rFonts w:hint="eastAsia" w:ascii="方正仿宋简体" w:eastAsia="方正仿宋简体" w:cs="方正仿宋简体"/>
                <w:color w:val="000000"/>
                <w:kern w:val="0"/>
                <w:sz w:val="21"/>
                <w:szCs w:val="21"/>
                <w:u w:val="none"/>
                <w:lang w:val="en-US" w:eastAsia="zh-CN" w:bidi="ar"/>
              </w:rPr>
            </w:pPr>
            <w:r>
              <w:rPr>
                <w:rFonts w:hint="eastAsia" w:ascii="方正仿宋简体" w:eastAsia="方正仿宋简体" w:cs="方正仿宋简体"/>
                <w:color w:val="000000"/>
                <w:kern w:val="0"/>
                <w:sz w:val="21"/>
                <w:szCs w:val="21"/>
                <w:u w:val="none"/>
                <w:lang w:val="en-US" w:eastAsia="zh-CN" w:bidi="ar"/>
              </w:rPr>
              <w:t>二、油菜专用肥推广</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C519656">
            <w:pPr>
              <w:keepNext w:val="0"/>
              <w:keepLines w:val="0"/>
              <w:widowControl/>
              <w:suppressLineNumbers w:val="0"/>
              <w:jc w:val="left"/>
              <w:textAlignment w:val="center"/>
              <w:rPr>
                <w:rStyle w:val="12"/>
                <w:rFonts w:hint="default" w:ascii="Times New Roman" w:hAnsi="Times New Roman" w:cs="Times New Roman"/>
                <w:sz w:val="21"/>
                <w:szCs w:val="21"/>
                <w:lang w:val="en-US" w:eastAsia="zh-CN" w:bidi="ar"/>
              </w:rPr>
            </w:pPr>
            <w:r>
              <w:rPr>
                <w:rStyle w:val="12"/>
                <w:rFonts w:hint="default" w:ascii="Times New Roman" w:hAnsi="Times New Roman" w:cs="Times New Roman"/>
                <w:sz w:val="21"/>
                <w:szCs w:val="21"/>
                <w:lang w:val="en-US" w:eastAsia="zh-CN" w:bidi="ar"/>
              </w:rPr>
              <w:t>在项目实施区推广油菜专用肥</w:t>
            </w:r>
            <w:r>
              <w:rPr>
                <w:rStyle w:val="12"/>
                <w:rFonts w:hint="eastAsia" w:ascii="Times New Roman" w:hAnsi="Times New Roman" w:cs="Times New Roman"/>
                <w:sz w:val="21"/>
                <w:szCs w:val="21"/>
                <w:lang w:val="en-US" w:eastAsia="zh-CN" w:bidi="ar"/>
              </w:rPr>
              <w:t>，用于油菜底肥、提苗肥及蕾薹肥追施</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479C137">
            <w:pPr>
              <w:keepNext w:val="0"/>
              <w:keepLines w:val="0"/>
              <w:widowControl/>
              <w:suppressLineNumbers w:val="0"/>
              <w:jc w:val="center"/>
              <w:textAlignment w:val="center"/>
              <w:rPr>
                <w:rFonts w:hint="eastAsia" w:ascii="方正仿宋简体" w:eastAsia="方正仿宋简体" w:cs="方正仿宋简体"/>
                <w:color w:val="000000"/>
                <w:kern w:val="0"/>
                <w:sz w:val="21"/>
                <w:szCs w:val="21"/>
                <w:u w:val="none"/>
                <w:lang w:val="en-US" w:eastAsia="zh-CN" w:bidi="ar"/>
              </w:rPr>
            </w:pPr>
            <w:r>
              <w:rPr>
                <w:rFonts w:hint="eastAsia" w:ascii="方正仿宋简体" w:eastAsia="方正仿宋简体" w:cs="方正仿宋简体"/>
                <w:color w:val="000000"/>
                <w:kern w:val="0"/>
                <w:sz w:val="21"/>
                <w:szCs w:val="21"/>
                <w:u w:val="none"/>
                <w:lang w:val="en-US" w:eastAsia="zh-CN" w:bidi="ar"/>
              </w:rPr>
              <w:t>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7C2852">
            <w:pPr>
              <w:keepNext w:val="0"/>
              <w:keepLines w:val="0"/>
              <w:widowControl/>
              <w:suppressLineNumbers w:val="0"/>
              <w:jc w:val="center"/>
              <w:textAlignment w:val="center"/>
              <w:rPr>
                <w:rFonts w:hint="default" w:ascii="Times New Roman" w:hAnsi="Times New Roman" w:cs="Times New Roman"/>
                <w:color w:val="000000"/>
                <w:kern w:val="0"/>
                <w:sz w:val="21"/>
                <w:szCs w:val="21"/>
                <w:u w:val="none"/>
                <w:lang w:val="en-US" w:eastAsia="zh-CN" w:bidi="ar"/>
              </w:rPr>
            </w:pPr>
            <w:r>
              <w:rPr>
                <w:rFonts w:hint="eastAsia" w:ascii="Times New Roman" w:hAnsi="Times New Roman" w:cs="Times New Roman"/>
                <w:color w:val="000000"/>
                <w:kern w:val="0"/>
                <w:sz w:val="21"/>
                <w:szCs w:val="21"/>
                <w:u w:val="none"/>
                <w:lang w:val="en-US" w:eastAsia="zh-CN" w:bidi="ar"/>
              </w:rPr>
              <w:t>677.6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B61225A">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cs="Times New Roman"/>
                <w:color w:val="000000"/>
                <w:kern w:val="0"/>
                <w:sz w:val="21"/>
                <w:szCs w:val="21"/>
                <w:u w:val="none"/>
                <w:lang w:val="en-US" w:eastAsia="zh-CN" w:bidi="ar"/>
              </w:rPr>
              <w:t>3000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0E6B9BE">
            <w:pPr>
              <w:keepNext w:val="0"/>
              <w:keepLines w:val="0"/>
              <w:widowControl/>
              <w:suppressLineNumbers w:val="0"/>
              <w:jc w:val="center"/>
              <w:textAlignment w:val="center"/>
              <w:rPr>
                <w:rFonts w:hint="eastAsia" w:ascii="Times New Roman" w:hAnsi="Times New Roman" w:cs="Times New Roman"/>
                <w:color w:val="000000"/>
                <w:kern w:val="0"/>
                <w:sz w:val="21"/>
                <w:szCs w:val="21"/>
                <w:u w:val="none"/>
                <w:lang w:val="en-US" w:eastAsia="zh-CN" w:bidi="ar"/>
              </w:rPr>
            </w:pPr>
            <w:r>
              <w:rPr>
                <w:rFonts w:hint="eastAsia" w:ascii="Times New Roman" w:hAnsi="Times New Roman" w:cs="Times New Roman"/>
                <w:color w:val="000000"/>
                <w:kern w:val="0"/>
                <w:sz w:val="21"/>
                <w:szCs w:val="21"/>
                <w:u w:val="none"/>
                <w:lang w:val="en-US" w:eastAsia="zh-CN" w:bidi="ar"/>
              </w:rPr>
              <w:t>203.28</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27C0300">
            <w:pPr>
              <w:keepNext w:val="0"/>
              <w:keepLines w:val="0"/>
              <w:widowControl/>
              <w:suppressLineNumbers w:val="0"/>
              <w:jc w:val="center"/>
              <w:textAlignment w:val="center"/>
              <w:rPr>
                <w:rFonts w:hint="default" w:ascii="Times New Roman" w:hAnsi="Times New Roman" w:cs="Times New Roman"/>
                <w:color w:val="000000"/>
                <w:kern w:val="0"/>
                <w:sz w:val="21"/>
                <w:szCs w:val="21"/>
                <w:u w:val="none"/>
                <w:lang w:val="en-US" w:eastAsia="zh-CN" w:bidi="ar"/>
              </w:rPr>
            </w:pPr>
            <w:r>
              <w:rPr>
                <w:rFonts w:hint="eastAsia" w:ascii="Times New Roman" w:hAnsi="Times New Roman" w:cs="Times New Roman"/>
                <w:color w:val="000000"/>
                <w:kern w:val="0"/>
                <w:sz w:val="21"/>
                <w:szCs w:val="21"/>
                <w:u w:val="none"/>
                <w:lang w:val="en-US" w:eastAsia="zh-CN" w:bidi="ar"/>
              </w:rPr>
              <w:t>203.28</w:t>
            </w:r>
          </w:p>
        </w:tc>
      </w:tr>
      <w:tr w14:paraId="24B15DE3">
        <w:tblPrEx>
          <w:tblCellMar>
            <w:top w:w="0" w:type="dxa"/>
            <w:left w:w="108" w:type="dxa"/>
            <w:bottom w:w="0" w:type="dxa"/>
            <w:right w:w="108" w:type="dxa"/>
          </w:tblCellMar>
        </w:tblPrEx>
        <w:trPr>
          <w:trHeight w:val="1442" w:hRule="atLeast"/>
        </w:trPr>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EEA6CDF">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三、病虫害统防统治</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DC0FA19">
            <w:pPr>
              <w:keepNext w:val="0"/>
              <w:keepLines w:val="0"/>
              <w:widowControl/>
              <w:suppressLineNumbers w:val="0"/>
              <w:jc w:val="left"/>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在油菜蕾薹初花期开展菌核病、霜霉病、蚜虫等病虫害统防统治</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3BAA3A">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亩</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CCC0B7">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val="en-US" w:eastAsia="en-US" w:bidi="ar-SA"/>
              </w:rPr>
            </w:pPr>
            <w:r>
              <w:rPr>
                <w:rFonts w:hint="eastAsia" w:ascii="Times New Roman" w:hAnsi="Times New Roman" w:cs="Times New Roman"/>
                <w:color w:val="000000"/>
                <w:kern w:val="0"/>
                <w:sz w:val="21"/>
                <w:szCs w:val="21"/>
                <w:u w:val="none"/>
                <w:lang w:val="en-US" w:eastAsia="zh-CN" w:bidi="ar"/>
              </w:rPr>
              <w:t>9240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87C7812">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E29DC70">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415.8</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6728C3D">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415.8</w:t>
            </w:r>
          </w:p>
        </w:tc>
      </w:tr>
    </w:tbl>
    <w:p w14:paraId="099A4F79">
      <w:pPr>
        <w:rPr>
          <w:rFonts w:hint="default"/>
          <w:lang w:val="en-US" w:eastAsia="zh-CN"/>
        </w:rPr>
      </w:pPr>
    </w:p>
    <w:p w14:paraId="0A1D07B9">
      <w:pPr>
        <w:rPr>
          <w:rFonts w:hint="default"/>
          <w:lang w:val="en-US" w:eastAsia="zh-CN"/>
        </w:rPr>
      </w:pPr>
    </w:p>
    <w:p w14:paraId="7F144D2F">
      <w:pPr>
        <w:rPr>
          <w:rFonts w:hint="default"/>
          <w:lang w:val="en-US" w:eastAsia="zh-CN"/>
        </w:rPr>
      </w:pPr>
    </w:p>
    <w:p w14:paraId="1E78DFBC">
      <w:pPr>
        <w:rPr>
          <w:rFonts w:hint="default"/>
          <w:lang w:val="en-US" w:eastAsia="zh-CN"/>
        </w:rPr>
      </w:pPr>
    </w:p>
    <w:p w14:paraId="196EDB5E">
      <w:pPr>
        <w:rPr>
          <w:rFonts w:hint="default"/>
          <w:lang w:val="en-US" w:eastAsia="zh-CN"/>
        </w:rPr>
      </w:pPr>
    </w:p>
    <w:p w14:paraId="067AA3D2">
      <w:pPr>
        <w:rPr>
          <w:rFonts w:hint="default"/>
          <w:lang w:val="en-US" w:eastAsia="zh-CN"/>
        </w:rPr>
      </w:pPr>
    </w:p>
    <w:p w14:paraId="41872A3F">
      <w:pPr>
        <w:rPr>
          <w:rFonts w:hint="default"/>
          <w:lang w:val="en-US" w:eastAsia="zh-CN"/>
        </w:rPr>
      </w:pPr>
    </w:p>
    <w:p w14:paraId="6329601D">
      <w:pPr>
        <w:rPr>
          <w:rFonts w:hint="eastAsia" w:ascii="黑体" w:eastAsia="黑体" w:cs="黑体"/>
          <w:sz w:val="32"/>
          <w:szCs w:val="32"/>
          <w:lang w:val="en-US" w:eastAsia="zh-CN" w:bidi="ar-SA"/>
        </w:rPr>
      </w:pPr>
      <w:r>
        <w:rPr>
          <w:rFonts w:hint="eastAsia" w:ascii="黑体" w:eastAsia="黑体" w:cs="黑体"/>
          <w:sz w:val="32"/>
          <w:szCs w:val="32"/>
          <w:lang w:val="en-US" w:eastAsia="zh-CN" w:bidi="ar-SA"/>
        </w:rPr>
        <w:t>附件2</w:t>
      </w:r>
    </w:p>
    <w:p w14:paraId="3E23891F">
      <w:pPr>
        <w:rPr>
          <w:rFonts w:hint="eastAsia"/>
          <w:lang w:val="en-US" w:eastAsia="zh-CN"/>
        </w:rPr>
      </w:pPr>
    </w:p>
    <w:p w14:paraId="762AE8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遂宁市安居区2025年中央财政粮油生产</w:t>
      </w:r>
    </w:p>
    <w:p w14:paraId="740E65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保障资金巩固扩种油菜项目指导性任务表</w:t>
      </w:r>
    </w:p>
    <w:p w14:paraId="609E7482">
      <w:pPr>
        <w:rPr>
          <w:rFonts w:hint="default"/>
          <w:lang w:val="en-US" w:eastAsia="zh-CN"/>
        </w:rPr>
      </w:pPr>
    </w:p>
    <w:tbl>
      <w:tblPr>
        <w:tblStyle w:val="10"/>
        <w:tblW w:w="8358" w:type="dxa"/>
        <w:tblInd w:w="96" w:type="dxa"/>
        <w:tblLayout w:type="autofit"/>
        <w:tblCellMar>
          <w:top w:w="0" w:type="dxa"/>
          <w:left w:w="108" w:type="dxa"/>
          <w:bottom w:w="0" w:type="dxa"/>
          <w:right w:w="108" w:type="dxa"/>
        </w:tblCellMar>
      </w:tblPr>
      <w:tblGrid>
        <w:gridCol w:w="2516"/>
        <w:gridCol w:w="2836"/>
        <w:gridCol w:w="3006"/>
      </w:tblGrid>
      <w:tr w14:paraId="51F00726">
        <w:tblPrEx>
          <w:tblCellMar>
            <w:top w:w="0" w:type="dxa"/>
            <w:left w:w="108" w:type="dxa"/>
            <w:bottom w:w="0" w:type="dxa"/>
            <w:right w:w="108" w:type="dxa"/>
          </w:tblCellMar>
        </w:tblPrEx>
        <w:trPr>
          <w:trHeight w:val="107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1916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镇（街道）</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72F04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油菜示范面积（亩）</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3FB10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color w:val="000000"/>
                <w:sz w:val="21"/>
                <w:szCs w:val="21"/>
                <w:u w:val="none"/>
                <w:lang w:bidi="ar-SA"/>
              </w:rPr>
            </w:pPr>
            <w:r>
              <w:rPr>
                <w:rFonts w:hint="eastAsia" w:ascii="黑体" w:eastAsia="黑体" w:cs="黑体"/>
                <w:color w:val="000000"/>
                <w:kern w:val="0"/>
                <w:sz w:val="21"/>
                <w:szCs w:val="21"/>
                <w:u w:val="none"/>
                <w:lang w:val="en-US" w:eastAsia="zh-CN" w:bidi="ar"/>
              </w:rPr>
              <w:t>统防统治（亩）</w:t>
            </w:r>
          </w:p>
        </w:tc>
      </w:tr>
      <w:tr w14:paraId="749A8C2D">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831ED3F">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拦江镇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5B1F138C">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4020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124C244E">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4020</w:t>
            </w:r>
          </w:p>
        </w:tc>
      </w:tr>
      <w:tr w14:paraId="599A9225">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258549F2">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保石镇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7EECD35C">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3990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68FF5FFB">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3990</w:t>
            </w:r>
          </w:p>
        </w:tc>
      </w:tr>
      <w:tr w14:paraId="645FF8E5">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3412E1E">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横山镇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6A3A74CF">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9000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5531E835">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9000</w:t>
            </w:r>
          </w:p>
        </w:tc>
      </w:tr>
      <w:tr w14:paraId="148C4814">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1B84B36">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东禅镇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4ABA8710">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5240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761FB4C4">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5240</w:t>
            </w:r>
          </w:p>
        </w:tc>
      </w:tr>
      <w:tr w14:paraId="283B3B28">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7EAEAA3">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中兴镇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69E94A0B">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5820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65DBDD72">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5820</w:t>
            </w:r>
          </w:p>
        </w:tc>
      </w:tr>
      <w:tr w14:paraId="42C93F81">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257199F">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白马镇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691CF9A5">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8020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05839207">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8020</w:t>
            </w:r>
          </w:p>
        </w:tc>
      </w:tr>
      <w:tr w14:paraId="314B6012">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EDD0D29">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分水镇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16676D66">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6250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3B65DE2F">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6250</w:t>
            </w:r>
          </w:p>
        </w:tc>
      </w:tr>
      <w:tr w14:paraId="05ED3C0C">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6F1E70A">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常理镇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5933EE6B">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8000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2D056007">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8000</w:t>
            </w:r>
          </w:p>
        </w:tc>
      </w:tr>
      <w:tr w14:paraId="0CA89275">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48AAFF8">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安居镇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58D59AED">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3290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6371D468">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3290</w:t>
            </w:r>
          </w:p>
        </w:tc>
      </w:tr>
      <w:tr w14:paraId="6AA48221">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225581E8">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三家镇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70AC1BC7">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10000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48F8C86F">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10000</w:t>
            </w:r>
          </w:p>
        </w:tc>
      </w:tr>
      <w:tr w14:paraId="3F80183F">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984F1CC">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磨溪镇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6E32F6E9">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3110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587FDF21">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3110</w:t>
            </w:r>
          </w:p>
        </w:tc>
      </w:tr>
      <w:tr w14:paraId="12BC400D">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0843688">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西眉镇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4FE94D54">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10090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15FA2683">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10090</w:t>
            </w:r>
          </w:p>
        </w:tc>
      </w:tr>
      <w:tr w14:paraId="5ACC197A">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2227A13">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玉丰镇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51A1CE66">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3290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775C5700">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3290</w:t>
            </w:r>
          </w:p>
        </w:tc>
      </w:tr>
      <w:tr w14:paraId="4E29CCBE">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0BD2F0A">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石洞镇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67A21616">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3290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545E2944">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3290</w:t>
            </w:r>
          </w:p>
        </w:tc>
      </w:tr>
      <w:tr w14:paraId="62EFDA0B">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D24D2A5">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会龙镇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4BCE3100">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4010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295EFA60">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4010</w:t>
            </w:r>
          </w:p>
        </w:tc>
      </w:tr>
      <w:tr w14:paraId="23E9B0AD">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9C933FE">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聚贤镇</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14ED2C6F">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4010</w:t>
            </w:r>
          </w:p>
        </w:tc>
        <w:tc>
          <w:tcPr>
            <w:tcW w:w="3006" w:type="dxa"/>
            <w:tcBorders>
              <w:top w:val="single" w:color="000000" w:sz="4" w:space="0"/>
              <w:left w:val="single" w:color="000000" w:sz="4" w:space="0"/>
              <w:bottom w:val="single" w:color="000000" w:sz="4" w:space="0"/>
              <w:right w:val="single" w:color="000000" w:sz="4" w:space="0"/>
            </w:tcBorders>
            <w:noWrap w:val="0"/>
            <w:vAlign w:val="center"/>
          </w:tcPr>
          <w:p w14:paraId="2A66C87D">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4010</w:t>
            </w:r>
          </w:p>
        </w:tc>
      </w:tr>
      <w:tr w14:paraId="422678C4">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DA8C675">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凤凰街道</w:t>
            </w:r>
          </w:p>
        </w:tc>
        <w:tc>
          <w:tcPr>
            <w:tcW w:w="2836" w:type="dxa"/>
            <w:tcBorders>
              <w:top w:val="single" w:color="000000" w:sz="4" w:space="0"/>
              <w:left w:val="single" w:color="000000" w:sz="4" w:space="0"/>
              <w:bottom w:val="single" w:color="000000" w:sz="4" w:space="0"/>
              <w:right w:val="single" w:color="000000" w:sz="4" w:space="0"/>
            </w:tcBorders>
            <w:noWrap/>
            <w:vAlign w:val="center"/>
          </w:tcPr>
          <w:p w14:paraId="618ECBB9">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580</w:t>
            </w:r>
          </w:p>
        </w:tc>
        <w:tc>
          <w:tcPr>
            <w:tcW w:w="3006" w:type="dxa"/>
            <w:tcBorders>
              <w:top w:val="single" w:color="000000" w:sz="4" w:space="0"/>
              <w:left w:val="single" w:color="000000" w:sz="4" w:space="0"/>
              <w:bottom w:val="single" w:color="000000" w:sz="4" w:space="0"/>
              <w:right w:val="single" w:color="000000" w:sz="4" w:space="0"/>
            </w:tcBorders>
            <w:noWrap/>
            <w:vAlign w:val="center"/>
          </w:tcPr>
          <w:p w14:paraId="083AA8D7">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580</w:t>
            </w:r>
          </w:p>
        </w:tc>
      </w:tr>
      <w:tr w14:paraId="797472A2">
        <w:tblPrEx>
          <w:tblCellMar>
            <w:top w:w="0" w:type="dxa"/>
            <w:left w:w="108" w:type="dxa"/>
            <w:bottom w:w="0" w:type="dxa"/>
            <w:right w:w="108" w:type="dxa"/>
          </w:tblCellMar>
        </w:tblPrEx>
        <w:trPr>
          <w:trHeight w:val="431"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2B12B207">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柔刚街道</w:t>
            </w:r>
          </w:p>
        </w:tc>
        <w:tc>
          <w:tcPr>
            <w:tcW w:w="2836" w:type="dxa"/>
            <w:tcBorders>
              <w:top w:val="single" w:color="000000" w:sz="4" w:space="0"/>
              <w:left w:val="single" w:color="000000" w:sz="4" w:space="0"/>
              <w:bottom w:val="single" w:color="000000" w:sz="4" w:space="0"/>
              <w:right w:val="single" w:color="000000" w:sz="4" w:space="0"/>
            </w:tcBorders>
            <w:noWrap/>
            <w:vAlign w:val="center"/>
          </w:tcPr>
          <w:p w14:paraId="01CA070A">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390</w:t>
            </w:r>
          </w:p>
        </w:tc>
        <w:tc>
          <w:tcPr>
            <w:tcW w:w="3006" w:type="dxa"/>
            <w:tcBorders>
              <w:top w:val="single" w:color="000000" w:sz="4" w:space="0"/>
              <w:left w:val="single" w:color="000000" w:sz="4" w:space="0"/>
              <w:bottom w:val="single" w:color="000000" w:sz="4" w:space="0"/>
              <w:right w:val="single" w:color="000000" w:sz="4" w:space="0"/>
            </w:tcBorders>
            <w:noWrap/>
            <w:vAlign w:val="center"/>
          </w:tcPr>
          <w:p w14:paraId="2F81FC4C">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390</w:t>
            </w:r>
          </w:p>
        </w:tc>
      </w:tr>
      <w:tr w14:paraId="7794816A">
        <w:tblPrEx>
          <w:tblCellMar>
            <w:top w:w="0" w:type="dxa"/>
            <w:left w:w="108" w:type="dxa"/>
            <w:bottom w:w="0" w:type="dxa"/>
            <w:right w:w="108" w:type="dxa"/>
          </w:tblCellMar>
        </w:tblPrEx>
        <w:trPr>
          <w:trHeight w:val="45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24E01CB">
            <w:pPr>
              <w:keepNext w:val="0"/>
              <w:keepLines w:val="0"/>
              <w:widowControl/>
              <w:suppressLineNumbers w:val="0"/>
              <w:jc w:val="center"/>
              <w:textAlignment w:val="center"/>
              <w:rPr>
                <w:rFonts w:hint="eastAsia" w:ascii="方正仿宋简体" w:eastAsia="方正仿宋简体" w:cs="方正仿宋简体"/>
                <w:color w:val="000000"/>
                <w:sz w:val="21"/>
                <w:szCs w:val="21"/>
                <w:u w:val="none"/>
                <w:lang w:bidi="ar-SA"/>
              </w:rPr>
            </w:pPr>
            <w:r>
              <w:rPr>
                <w:rFonts w:hint="eastAsia" w:ascii="方正仿宋简体" w:eastAsia="方正仿宋简体" w:cs="方正仿宋简体"/>
                <w:color w:val="000000"/>
                <w:kern w:val="0"/>
                <w:sz w:val="21"/>
                <w:szCs w:val="21"/>
                <w:u w:val="none"/>
                <w:lang w:val="en-US" w:eastAsia="zh-CN" w:bidi="ar"/>
              </w:rPr>
              <w:t>合计</w:t>
            </w:r>
          </w:p>
        </w:tc>
        <w:tc>
          <w:tcPr>
            <w:tcW w:w="2836" w:type="dxa"/>
            <w:tcBorders>
              <w:top w:val="single" w:color="000000" w:sz="4" w:space="0"/>
              <w:left w:val="single" w:color="000000" w:sz="4" w:space="0"/>
              <w:bottom w:val="single" w:color="000000" w:sz="4" w:space="0"/>
              <w:right w:val="single" w:color="000000" w:sz="4" w:space="0"/>
            </w:tcBorders>
            <w:noWrap/>
            <w:vAlign w:val="center"/>
          </w:tcPr>
          <w:p w14:paraId="67C134D6">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92400</w:t>
            </w:r>
          </w:p>
        </w:tc>
        <w:tc>
          <w:tcPr>
            <w:tcW w:w="3006" w:type="dxa"/>
            <w:tcBorders>
              <w:top w:val="single" w:color="000000" w:sz="4" w:space="0"/>
              <w:left w:val="single" w:color="000000" w:sz="4" w:space="0"/>
              <w:bottom w:val="single" w:color="000000" w:sz="4" w:space="0"/>
              <w:right w:val="single" w:color="000000" w:sz="4" w:space="0"/>
            </w:tcBorders>
            <w:noWrap/>
            <w:vAlign w:val="center"/>
          </w:tcPr>
          <w:p w14:paraId="0CFC9B75">
            <w:pPr>
              <w:keepNext w:val="0"/>
              <w:keepLines w:val="0"/>
              <w:widowControl/>
              <w:suppressLineNumbers w:val="0"/>
              <w:jc w:val="center"/>
              <w:textAlignment w:val="center"/>
              <w:rPr>
                <w:rFonts w:hint="default" w:ascii="Times New Roman" w:hAnsi="Times New Roman" w:eastAsia="宋体" w:cs="Times New Roman"/>
                <w:color w:val="000000"/>
                <w:sz w:val="21"/>
                <w:szCs w:val="21"/>
                <w:u w:val="none"/>
                <w:lang w:bidi="ar-SA"/>
              </w:rPr>
            </w:pPr>
            <w:r>
              <w:rPr>
                <w:rFonts w:hint="default" w:ascii="Times New Roman" w:hAnsi="Times New Roman" w:eastAsia="宋体" w:cs="Times New Roman"/>
                <w:color w:val="000000"/>
                <w:kern w:val="0"/>
                <w:sz w:val="21"/>
                <w:szCs w:val="21"/>
                <w:u w:val="none"/>
                <w:lang w:val="en-US" w:eastAsia="zh-CN" w:bidi="ar"/>
              </w:rPr>
              <w:t>92400</w:t>
            </w:r>
          </w:p>
        </w:tc>
      </w:tr>
    </w:tbl>
    <w:p w14:paraId="17CB14EF">
      <w:pPr>
        <w:rPr>
          <w:rFonts w:hint="default"/>
          <w:lang w:val="en-US" w:eastAsia="zh-CN"/>
        </w:rPr>
      </w:pPr>
    </w:p>
    <w:p w14:paraId="3DC18DA6">
      <w:pPr>
        <w:rPr>
          <w:rFonts w:hint="eastAsia" w:ascii="Times New Roman" w:hAnsi="Times New Roman" w:eastAsia="方正仿宋简体" w:cs="方正小标宋简体"/>
          <w:sz w:val="32"/>
          <w:szCs w:val="32"/>
        </w:rPr>
      </w:pPr>
    </w:p>
    <w:sectPr>
      <w:footerReference r:id="rId3" w:type="default"/>
      <w:pgSz w:w="11906" w:h="16838"/>
      <w:pgMar w:top="2098" w:right="1474" w:bottom="1984" w:left="1587" w:header="0"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53D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15D8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415D8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0A9C32A7"/>
    <w:rsid w:val="4ABB4D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6">
    <w:name w:val="Body Text"/>
    <w:basedOn w:val="1"/>
    <w:next w:val="7"/>
    <w:qFormat/>
    <w:uiPriority w:val="0"/>
  </w:style>
  <w:style w:type="paragraph" w:styleId="7">
    <w:name w:val="Body Text First Indent"/>
    <w:basedOn w:val="6"/>
    <w:next w:val="1"/>
    <w:qFormat/>
    <w:uiPriority w:val="0"/>
    <w:pPr>
      <w:ind w:firstLine="100" w:firstLineChars="100"/>
    </w:pPr>
    <w:rPr>
      <w:rFonts w:ascii="宋体" w:eastAsia="宋体" w:cs="Times New Roman"/>
      <w:sz w:val="28"/>
      <w:lang w:bidi="ar-SA"/>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font11"/>
    <w:basedOn w:val="11"/>
    <w:qFormat/>
    <w:uiPriority w:val="0"/>
    <w:rPr>
      <w:rFonts w:ascii="方正仿宋简体" w:eastAsia="方正仿宋简体" w:cs="方正仿宋简体"/>
      <w:color w:val="000000"/>
      <w:sz w:val="18"/>
      <w:szCs w:val="18"/>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9B5B1-0065-467A-A695-B181B7E0753E}">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6</Pages>
  <Words>2353</Words>
  <Characters>2669</Characters>
  <Lines>0</Lines>
  <Paragraphs>13</Paragraphs>
  <TotalTime>2</TotalTime>
  <ScaleCrop>false</ScaleCrop>
  <LinksUpToDate>false</LinksUpToDate>
  <CharactersWithSpaces>2734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 </cp:lastModifiedBy>
  <dcterms:modified xsi:type="dcterms:W3CDTF">2025-05-09T08:06:45Z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eyJoZGlkIjoiNzNhMmQ0YzVlMTNmNmNmYjU5MDc1ZWQ2Nzc2YjVmZmYifQ==</vt:lpwstr>
  </property>
  <property fmtid="{D5CDD505-2E9C-101B-9397-08002B2CF9AE}" pid="3" name="KSOProductBuildVer">
    <vt:lpwstr>2052-12.1.0.20784</vt:lpwstr>
  </property>
  <property fmtid="{D5CDD505-2E9C-101B-9397-08002B2CF9AE}" pid="4" name="ICV">
    <vt:lpwstr>8ADD2AD1CE8545D7BA55BCAFEA7013DC_12</vt:lpwstr>
  </property>
</Properties>
</file>