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5350A34">
      <w:pPr>
        <w:ind w:left="0" w:leftChars="0" w:firstLine="0" w:firstLineChars="0"/>
        <w:rPr>
          <w:rFonts w:hint="eastAsia" w:ascii="Times New Roman" w:hAnsi="Times New Roman" w:eastAsia="方正仿宋_GB2312" w:cs="Times New Roman"/>
          <w:b/>
          <w:bCs/>
          <w:kern w:val="0"/>
          <w:sz w:val="44"/>
          <w:szCs w:val="44"/>
          <w:shd w:val="clear" w:color="auto" w:fill="FFFFFF"/>
          <w:lang w:eastAsia="zh-CN" w:bidi="ar-SA"/>
        </w:rPr>
      </w:pPr>
      <w:bookmarkStart w:id="162" w:name="_GoBack"/>
      <w:bookmarkEnd w:id="162"/>
      <w:r>
        <w:rPr>
          <w:rFonts w:hint="eastAsia" w:ascii="Times New Roman" w:eastAsia="方正仿宋_GB2312" w:cs="Times New Roman"/>
          <w:b/>
          <w:bCs/>
          <w:kern w:val="0"/>
          <w:sz w:val="44"/>
          <w:szCs w:val="44"/>
          <w:shd w:val="clear" w:color="auto" w:fill="FFFFFF"/>
          <w:lang w:eastAsia="zh-CN" w:bidi="ar-SA"/>
        </w:rPr>
        <w:t>附件：</w:t>
      </w:r>
    </w:p>
    <w:p w14:paraId="19EFD690">
      <w:pPr>
        <w:bidi w:val="0"/>
        <w:ind w:left="0" w:firstLine="0" w:firstLineChars="0"/>
        <w:jc w:val="center"/>
        <w:outlineLvl w:val="9"/>
        <w:rPr>
          <w:b/>
          <w:bCs/>
          <w:sz w:val="72"/>
          <w:szCs w:val="52"/>
          <w:lang w:eastAsia="zh-CN"/>
        </w:rPr>
      </w:pPr>
    </w:p>
    <w:p w14:paraId="63FF2A63">
      <w:pPr>
        <w:bidi w:val="0"/>
        <w:ind w:left="0" w:firstLine="0" w:firstLineChars="0"/>
        <w:jc w:val="center"/>
        <w:outlineLvl w:val="9"/>
        <w:rPr>
          <w:b/>
          <w:bCs/>
          <w:w w:val="90"/>
          <w:sz w:val="44"/>
          <w:szCs w:val="44"/>
          <w:lang w:val="en-US" w:eastAsia="zh-CN"/>
        </w:rPr>
      </w:pPr>
      <w:r>
        <w:rPr>
          <w:b/>
          <w:bCs/>
          <w:sz w:val="44"/>
          <w:szCs w:val="44"/>
          <w:lang w:eastAsia="zh-CN"/>
        </w:rPr>
        <w:t>遂</w:t>
      </w:r>
      <w:r>
        <w:rPr>
          <w:b/>
          <w:bCs/>
          <w:w w:val="90"/>
          <w:sz w:val="44"/>
          <w:szCs w:val="44"/>
          <w:lang w:eastAsia="zh-CN"/>
        </w:rPr>
        <w:t>宁市安居区2024年大豆单产</w:t>
      </w:r>
      <w:r>
        <w:rPr>
          <w:b/>
          <w:bCs/>
          <w:w w:val="90"/>
          <w:sz w:val="44"/>
          <w:szCs w:val="44"/>
          <w:lang w:val="en-US" w:eastAsia="zh-CN"/>
        </w:rPr>
        <w:t>提升</w:t>
      </w:r>
      <w:r>
        <w:rPr>
          <w:rFonts w:hint="eastAsia"/>
          <w:b/>
          <w:bCs/>
          <w:w w:val="90"/>
          <w:sz w:val="44"/>
          <w:szCs w:val="44"/>
          <w:lang w:val="en-US" w:eastAsia="zh-CN"/>
        </w:rPr>
        <w:t>工程</w:t>
      </w:r>
      <w:r>
        <w:rPr>
          <w:b/>
          <w:bCs/>
          <w:w w:val="90"/>
          <w:sz w:val="44"/>
          <w:szCs w:val="44"/>
          <w:lang w:val="en-US" w:eastAsia="zh-CN"/>
        </w:rPr>
        <w:t>项目</w:t>
      </w:r>
    </w:p>
    <w:p w14:paraId="2949FBFB">
      <w:pPr>
        <w:bidi w:val="0"/>
        <w:ind w:left="0" w:firstLine="0" w:firstLineChars="0"/>
        <w:jc w:val="center"/>
        <w:outlineLvl w:val="9"/>
        <w:rPr>
          <w:rFonts w:hint="eastAsia"/>
          <w:b/>
          <w:bCs/>
          <w:w w:val="90"/>
          <w:sz w:val="60"/>
          <w:szCs w:val="52"/>
          <w:lang w:eastAsia="zh-CN"/>
        </w:rPr>
      </w:pPr>
      <w:r>
        <w:rPr>
          <w:rFonts w:hint="eastAsia"/>
          <w:b/>
          <w:bCs/>
          <w:w w:val="90"/>
          <w:sz w:val="44"/>
          <w:szCs w:val="44"/>
          <w:lang w:val="en-US" w:eastAsia="zh-CN"/>
        </w:rPr>
        <w:t>工程建设实施方案</w:t>
      </w:r>
    </w:p>
    <w:p w14:paraId="7C8FEDB8">
      <w:pPr>
        <w:bidi w:val="0"/>
        <w:ind w:firstLine="1325" w:firstLineChars="300"/>
        <w:jc w:val="left"/>
        <w:rPr>
          <w:rFonts w:hint="eastAsia"/>
          <w:b/>
          <w:bCs/>
          <w:sz w:val="44"/>
          <w:szCs w:val="44"/>
          <w:lang w:eastAsia="zh-CN"/>
        </w:rPr>
      </w:pPr>
    </w:p>
    <w:p w14:paraId="42EC04E0">
      <w:pPr>
        <w:bidi w:val="0"/>
        <w:ind w:firstLine="2650" w:firstLineChars="600"/>
        <w:jc w:val="left"/>
        <w:rPr>
          <w:rFonts w:hint="eastAsia" w:eastAsia="宋体"/>
          <w:b/>
          <w:bCs/>
          <w:sz w:val="44"/>
          <w:szCs w:val="44"/>
          <w:lang w:eastAsia="zh-CN"/>
        </w:rPr>
      </w:pPr>
      <w:r>
        <w:rPr>
          <w:rFonts w:hint="eastAsia"/>
          <w:b/>
          <w:bCs/>
          <w:sz w:val="44"/>
          <w:szCs w:val="44"/>
          <w:lang w:eastAsia="zh-CN"/>
        </w:rPr>
        <w:t>（</w:t>
      </w:r>
      <w:r>
        <w:rPr>
          <w:rFonts w:hint="eastAsia"/>
          <w:b/>
          <w:bCs/>
          <w:sz w:val="44"/>
          <w:szCs w:val="44"/>
          <w:lang w:val="en-US" w:eastAsia="zh-CN"/>
        </w:rPr>
        <w:t>征求意见稿</w:t>
      </w:r>
      <w:r>
        <w:rPr>
          <w:rFonts w:hint="eastAsia"/>
          <w:b/>
          <w:bCs/>
          <w:sz w:val="44"/>
          <w:szCs w:val="44"/>
          <w:lang w:eastAsia="zh-CN"/>
        </w:rPr>
        <w:t>）</w:t>
      </w:r>
    </w:p>
    <w:p w14:paraId="37C8B93F">
      <w:pPr>
        <w:bidi w:val="0"/>
        <w:jc w:val="center"/>
        <w:rPr>
          <w:b/>
          <w:bCs/>
        </w:rPr>
      </w:pPr>
    </w:p>
    <w:p w14:paraId="27C587EB">
      <w:pPr>
        <w:bidi w:val="0"/>
        <w:jc w:val="center"/>
        <w:rPr>
          <w:b/>
          <w:bCs/>
        </w:rPr>
      </w:pPr>
    </w:p>
    <w:p w14:paraId="2C50D3E8">
      <w:pPr>
        <w:bidi w:val="0"/>
        <w:jc w:val="center"/>
        <w:rPr>
          <w:b/>
          <w:bCs/>
        </w:rPr>
      </w:pPr>
    </w:p>
    <w:p w14:paraId="76CD87D4">
      <w:pPr>
        <w:bidi w:val="0"/>
        <w:jc w:val="center"/>
        <w:rPr>
          <w:b/>
          <w:bCs/>
        </w:rPr>
      </w:pPr>
    </w:p>
    <w:p w14:paraId="592ED7A4">
      <w:pPr>
        <w:bidi w:val="0"/>
        <w:jc w:val="center"/>
        <w:rPr>
          <w:b/>
          <w:bCs/>
        </w:rPr>
      </w:pPr>
    </w:p>
    <w:p w14:paraId="2111CC10">
      <w:pPr>
        <w:bidi w:val="0"/>
        <w:jc w:val="center"/>
        <w:rPr>
          <w:b/>
          <w:bCs/>
        </w:rPr>
      </w:pPr>
    </w:p>
    <w:p w14:paraId="3DDD265D">
      <w:pPr>
        <w:bidi w:val="0"/>
        <w:jc w:val="center"/>
        <w:rPr>
          <w:b/>
          <w:bCs/>
        </w:rPr>
      </w:pPr>
    </w:p>
    <w:p w14:paraId="4EB67540">
      <w:pPr>
        <w:bidi w:val="0"/>
        <w:jc w:val="center"/>
        <w:rPr>
          <w:b/>
          <w:bCs/>
        </w:rPr>
      </w:pPr>
    </w:p>
    <w:p w14:paraId="38F4A098">
      <w:pPr>
        <w:bidi w:val="0"/>
        <w:jc w:val="center"/>
        <w:rPr>
          <w:b/>
          <w:bCs/>
        </w:rPr>
      </w:pPr>
    </w:p>
    <w:p w14:paraId="40F7D5D7">
      <w:pPr>
        <w:bidi w:val="0"/>
        <w:jc w:val="center"/>
        <w:rPr>
          <w:b/>
          <w:bCs/>
        </w:rPr>
      </w:pPr>
    </w:p>
    <w:p w14:paraId="773DE312">
      <w:pPr>
        <w:bidi w:val="0"/>
        <w:jc w:val="center"/>
        <w:rPr>
          <w:b/>
          <w:bCs/>
        </w:rPr>
      </w:pPr>
    </w:p>
    <w:p w14:paraId="02D1C536">
      <w:pPr>
        <w:bidi w:val="0"/>
        <w:jc w:val="center"/>
        <w:rPr>
          <w:rFonts w:hint="eastAsia"/>
          <w:lang w:eastAsia="zh-CN"/>
        </w:rPr>
      </w:pPr>
      <w:r>
        <w:rPr>
          <w:rFonts w:hint="eastAsia"/>
          <w:lang w:eastAsia="zh-CN"/>
        </w:rPr>
        <w:t>乐山力朴能源环保科技有限公司</w:t>
      </w:r>
    </w:p>
    <w:p w14:paraId="5843EA26">
      <w:pPr>
        <w:bidi w:val="0"/>
        <w:jc w:val="center"/>
        <w:rPr>
          <w:rFonts w:hint="eastAsia"/>
        </w:rPr>
      </w:pPr>
      <w:r>
        <w:rPr>
          <w:rFonts w:hint="eastAsia"/>
        </w:rPr>
        <w:t>二〇二</w:t>
      </w:r>
      <w:r>
        <w:rPr>
          <w:rFonts w:hint="eastAsia"/>
          <w:lang w:val="en-US" w:eastAsia="zh-CN"/>
        </w:rPr>
        <w:t>四</w:t>
      </w:r>
      <w:r>
        <w:rPr>
          <w:rFonts w:hint="eastAsia"/>
        </w:rPr>
        <w:t>年</w:t>
      </w:r>
      <w:r>
        <w:t>五</w:t>
      </w:r>
      <w:r>
        <w:rPr>
          <w:rFonts w:hint="eastAsia"/>
        </w:rPr>
        <w:t>月</w:t>
      </w:r>
    </w:p>
    <w:p w14:paraId="7ED7AE67">
      <w:pPr>
        <w:bidi w:val="0"/>
        <w:jc w:val="center"/>
        <w:rPr>
          <w:rFonts w:hint="eastAsia" w:ascii="方正黑体_GBK" w:hAnsi="方正黑体_GBK" w:eastAsia="方正黑体_GBK" w:cs="方正黑体_GBK"/>
          <w:b w:val="0"/>
          <w:bCs/>
          <w:color w:val="000000"/>
          <w:kern w:val="0"/>
          <w:sz w:val="32"/>
          <w:szCs w:val="32"/>
        </w:rPr>
      </w:pPr>
      <w:r>
        <w:rPr>
          <w:rFonts w:hint="eastAsia"/>
          <w:b/>
          <w:bCs/>
        </w:rPr>
        <w:br w:type="page"/>
      </w:r>
    </w:p>
    <w:p w14:paraId="05C5B898">
      <w:pPr>
        <w:bidi w:val="0"/>
      </w:pPr>
    </w:p>
    <w:p w14:paraId="752B62A3">
      <w:pPr>
        <w:bidi w:val="0"/>
      </w:pPr>
    </w:p>
    <w:p w14:paraId="67965012">
      <w:pPr>
        <w:bidi w:val="0"/>
      </w:pPr>
      <w:r>
        <w:t>编制单位（盖章）：乐山力朴能源环保科技有限公司</w:t>
      </w:r>
    </w:p>
    <w:p w14:paraId="230640E1">
      <w:pPr>
        <w:bidi w:val="0"/>
        <w:rPr>
          <w:lang w:val="en-US" w:eastAsia="zh-CN"/>
        </w:rPr>
      </w:pPr>
      <w:r>
        <w:t>法人代表：</w:t>
      </w:r>
      <w:r>
        <w:rPr>
          <w:rFonts w:hint="eastAsia"/>
          <w:lang w:val="en-US" w:eastAsia="zh-CN"/>
        </w:rPr>
        <w:t>王川宁</w:t>
      </w:r>
    </w:p>
    <w:p w14:paraId="5DD04E3E">
      <w:pPr>
        <w:bidi w:val="0"/>
        <w:rPr>
          <w:lang w:val="en-US" w:eastAsia="zh-CN"/>
        </w:rPr>
      </w:pPr>
      <w:r>
        <w:t>项目负责：</w:t>
      </w:r>
      <w:r>
        <w:rPr>
          <w:rFonts w:hint="eastAsia"/>
          <w:lang w:val="en-US" w:eastAsia="zh-CN"/>
        </w:rPr>
        <w:t>易少伟</w:t>
      </w:r>
    </w:p>
    <w:p w14:paraId="19C8418E">
      <w:pPr>
        <w:bidi w:val="0"/>
      </w:pPr>
      <w:r>
        <w:t>主要编写人员：</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36"/>
        <w:gridCol w:w="4583"/>
      </w:tblGrid>
      <w:tr w14:paraId="79B48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2310" w:type="pct"/>
            <w:tcBorders>
              <w:top w:val="single" w:color="auto" w:sz="4" w:space="0"/>
              <w:left w:val="single" w:color="auto" w:sz="4" w:space="0"/>
              <w:bottom w:val="single" w:color="auto" w:sz="4" w:space="0"/>
              <w:right w:val="single" w:color="auto" w:sz="4" w:space="0"/>
            </w:tcBorders>
            <w:vAlign w:val="center"/>
          </w:tcPr>
          <w:p w14:paraId="6F10E2D8">
            <w:pPr>
              <w:bidi w:val="0"/>
            </w:pPr>
            <w:r>
              <w:t>姓名</w:t>
            </w:r>
          </w:p>
        </w:tc>
        <w:tc>
          <w:tcPr>
            <w:tcW w:w="2689" w:type="pct"/>
            <w:tcBorders>
              <w:top w:val="single" w:color="auto" w:sz="4" w:space="0"/>
              <w:left w:val="single" w:color="auto" w:sz="4" w:space="0"/>
              <w:bottom w:val="single" w:color="auto" w:sz="4" w:space="0"/>
              <w:right w:val="single" w:color="auto" w:sz="4" w:space="0"/>
            </w:tcBorders>
            <w:vAlign w:val="center"/>
          </w:tcPr>
          <w:p w14:paraId="30EADE99">
            <w:pPr>
              <w:bidi w:val="0"/>
            </w:pPr>
            <w:r>
              <w:t>职称</w:t>
            </w:r>
          </w:p>
        </w:tc>
      </w:tr>
      <w:tr w14:paraId="34D83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2310" w:type="pct"/>
            <w:tcBorders>
              <w:top w:val="single" w:color="auto" w:sz="4" w:space="0"/>
              <w:left w:val="single" w:color="auto" w:sz="4" w:space="0"/>
              <w:bottom w:val="single" w:color="auto" w:sz="4" w:space="0"/>
              <w:right w:val="single" w:color="auto" w:sz="4" w:space="0"/>
            </w:tcBorders>
            <w:vAlign w:val="center"/>
          </w:tcPr>
          <w:p w14:paraId="222B1954">
            <w:pPr>
              <w:bidi w:val="0"/>
              <w:rPr>
                <w:lang w:val="en-US" w:eastAsia="zh-CN"/>
              </w:rPr>
            </w:pPr>
            <w:r>
              <w:rPr>
                <w:rFonts w:hint="eastAsia"/>
                <w:lang w:val="en-US" w:eastAsia="zh-CN"/>
              </w:rPr>
              <w:t>王川宁</w:t>
            </w:r>
          </w:p>
        </w:tc>
        <w:tc>
          <w:tcPr>
            <w:tcW w:w="2689" w:type="pct"/>
            <w:tcBorders>
              <w:top w:val="single" w:color="auto" w:sz="4" w:space="0"/>
              <w:left w:val="single" w:color="auto" w:sz="4" w:space="0"/>
              <w:bottom w:val="single" w:color="auto" w:sz="4" w:space="0"/>
              <w:right w:val="single" w:color="auto" w:sz="4" w:space="0"/>
            </w:tcBorders>
            <w:vAlign w:val="center"/>
          </w:tcPr>
          <w:p w14:paraId="505305FA">
            <w:pPr>
              <w:bidi w:val="0"/>
              <w:rPr>
                <w:lang w:val="en-US" w:eastAsia="zh-CN"/>
              </w:rPr>
            </w:pPr>
            <w:r>
              <w:t>工程师</w:t>
            </w:r>
          </w:p>
        </w:tc>
      </w:tr>
      <w:tr w14:paraId="70A22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2310" w:type="pct"/>
            <w:tcBorders>
              <w:top w:val="single" w:color="auto" w:sz="4" w:space="0"/>
              <w:left w:val="single" w:color="auto" w:sz="4" w:space="0"/>
              <w:bottom w:val="single" w:color="auto" w:sz="4" w:space="0"/>
              <w:right w:val="single" w:color="auto" w:sz="4" w:space="0"/>
            </w:tcBorders>
            <w:vAlign w:val="center"/>
          </w:tcPr>
          <w:p w14:paraId="0A862BBC">
            <w:pPr>
              <w:bidi w:val="0"/>
              <w:rPr>
                <w:lang w:val="en-US" w:eastAsia="zh-CN"/>
              </w:rPr>
            </w:pPr>
            <w:r>
              <w:rPr>
                <w:rFonts w:hint="eastAsia"/>
                <w:lang w:val="en-US" w:eastAsia="zh-CN"/>
              </w:rPr>
              <w:t>倪天官</w:t>
            </w:r>
          </w:p>
        </w:tc>
        <w:tc>
          <w:tcPr>
            <w:tcW w:w="2689" w:type="pct"/>
            <w:tcBorders>
              <w:top w:val="single" w:color="auto" w:sz="4" w:space="0"/>
              <w:left w:val="single" w:color="auto" w:sz="4" w:space="0"/>
              <w:bottom w:val="single" w:color="auto" w:sz="4" w:space="0"/>
              <w:right w:val="single" w:color="auto" w:sz="4" w:space="0"/>
            </w:tcBorders>
            <w:vAlign w:val="center"/>
          </w:tcPr>
          <w:p w14:paraId="0BE7460F">
            <w:pPr>
              <w:bidi w:val="0"/>
              <w:rPr>
                <w:lang w:val="en-US" w:eastAsia="zh-CN"/>
              </w:rPr>
            </w:pPr>
            <w:r>
              <w:t>工程师</w:t>
            </w:r>
          </w:p>
        </w:tc>
      </w:tr>
      <w:tr w14:paraId="207E4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2310" w:type="pct"/>
            <w:tcBorders>
              <w:top w:val="single" w:color="auto" w:sz="4" w:space="0"/>
              <w:left w:val="single" w:color="auto" w:sz="4" w:space="0"/>
              <w:bottom w:val="single" w:color="auto" w:sz="4" w:space="0"/>
              <w:right w:val="single" w:color="auto" w:sz="4" w:space="0"/>
            </w:tcBorders>
            <w:vAlign w:val="center"/>
          </w:tcPr>
          <w:p w14:paraId="1635AA50">
            <w:pPr>
              <w:bidi w:val="0"/>
              <w:rPr>
                <w:lang w:val="en-US" w:eastAsia="zh-CN"/>
              </w:rPr>
            </w:pPr>
            <w:r>
              <w:rPr>
                <w:rFonts w:hint="eastAsia"/>
                <w:lang w:val="en-US" w:eastAsia="zh-CN"/>
              </w:rPr>
              <w:t>易少伟</w:t>
            </w:r>
          </w:p>
        </w:tc>
        <w:tc>
          <w:tcPr>
            <w:tcW w:w="2689" w:type="pct"/>
            <w:tcBorders>
              <w:top w:val="single" w:color="auto" w:sz="4" w:space="0"/>
              <w:left w:val="single" w:color="auto" w:sz="4" w:space="0"/>
              <w:bottom w:val="single" w:color="auto" w:sz="4" w:space="0"/>
              <w:right w:val="single" w:color="auto" w:sz="4" w:space="0"/>
            </w:tcBorders>
            <w:vAlign w:val="center"/>
          </w:tcPr>
          <w:p w14:paraId="467A2717">
            <w:pPr>
              <w:bidi w:val="0"/>
              <w:rPr>
                <w:lang w:val="en-US" w:eastAsia="zh-CN"/>
              </w:rPr>
            </w:pPr>
            <w:r>
              <w:t>工程师</w:t>
            </w:r>
          </w:p>
        </w:tc>
      </w:tr>
      <w:tr w14:paraId="1B188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2310" w:type="pct"/>
            <w:tcBorders>
              <w:top w:val="single" w:color="auto" w:sz="4" w:space="0"/>
              <w:left w:val="single" w:color="auto" w:sz="4" w:space="0"/>
              <w:bottom w:val="single" w:color="auto" w:sz="4" w:space="0"/>
              <w:right w:val="single" w:color="auto" w:sz="4" w:space="0"/>
            </w:tcBorders>
            <w:vAlign w:val="center"/>
          </w:tcPr>
          <w:p w14:paraId="75031F67">
            <w:pPr>
              <w:bidi w:val="0"/>
              <w:rPr>
                <w:lang w:val="en-US" w:eastAsia="zh-CN"/>
              </w:rPr>
            </w:pPr>
            <w:r>
              <w:rPr>
                <w:rFonts w:hint="eastAsia"/>
                <w:lang w:val="en-US" w:eastAsia="zh-CN"/>
              </w:rPr>
              <w:t>王昊亮</w:t>
            </w:r>
          </w:p>
        </w:tc>
        <w:tc>
          <w:tcPr>
            <w:tcW w:w="2689" w:type="pct"/>
            <w:tcBorders>
              <w:top w:val="single" w:color="auto" w:sz="4" w:space="0"/>
              <w:left w:val="single" w:color="auto" w:sz="4" w:space="0"/>
              <w:bottom w:val="single" w:color="auto" w:sz="4" w:space="0"/>
              <w:right w:val="single" w:color="auto" w:sz="4" w:space="0"/>
            </w:tcBorders>
            <w:vAlign w:val="center"/>
          </w:tcPr>
          <w:p w14:paraId="41B93FB2">
            <w:pPr>
              <w:bidi w:val="0"/>
              <w:rPr>
                <w:lang w:val="en-US" w:eastAsia="zh-CN"/>
              </w:rPr>
            </w:pPr>
            <w:r>
              <w:rPr>
                <w:rFonts w:hint="eastAsia"/>
                <w:lang w:val="en-US" w:eastAsia="zh-CN"/>
              </w:rPr>
              <w:t>造价工程师</w:t>
            </w:r>
          </w:p>
        </w:tc>
      </w:tr>
    </w:tbl>
    <w:p w14:paraId="2E9D95F8">
      <w:pPr>
        <w:adjustRightInd w:val="0"/>
        <w:snapToGrid w:val="0"/>
        <w:spacing w:line="800" w:lineRule="exact"/>
        <w:rPr>
          <w:rFonts w:ascii="Times New Roman" w:hAnsi="Times New Roman" w:eastAsia="仿宋_GB2312"/>
          <w:spacing w:val="-8"/>
          <w:kern w:val="0"/>
          <w:sz w:val="32"/>
          <w:szCs w:val="32"/>
        </w:rPr>
      </w:pPr>
    </w:p>
    <w:p w14:paraId="61996B3F">
      <w:pPr>
        <w:adjustRightInd w:val="0"/>
        <w:snapToGrid w:val="0"/>
        <w:spacing w:line="800" w:lineRule="exact"/>
        <w:rPr>
          <w:rFonts w:ascii="Times New Roman" w:hAnsi="Times New Roman" w:eastAsia="仿宋_GB2312"/>
          <w:spacing w:val="-8"/>
          <w:kern w:val="0"/>
          <w:sz w:val="32"/>
          <w:szCs w:val="32"/>
        </w:rPr>
      </w:pPr>
    </w:p>
    <w:p w14:paraId="2F148D58">
      <w:pPr>
        <w:adjustRightInd w:val="0"/>
        <w:snapToGrid w:val="0"/>
        <w:spacing w:line="800" w:lineRule="exact"/>
        <w:rPr>
          <w:rFonts w:ascii="Times New Roman" w:hAnsi="Times New Roman" w:eastAsia="仿宋_GB2312"/>
          <w:spacing w:val="-8"/>
          <w:kern w:val="0"/>
          <w:sz w:val="32"/>
          <w:szCs w:val="32"/>
        </w:rPr>
      </w:pPr>
    </w:p>
    <w:p w14:paraId="48301ABE">
      <w:pPr>
        <w:adjustRightInd w:val="0"/>
        <w:snapToGrid w:val="0"/>
        <w:spacing w:line="800" w:lineRule="exact"/>
        <w:rPr>
          <w:rFonts w:ascii="Times New Roman" w:hAnsi="Times New Roman" w:eastAsia="仿宋_GB2312"/>
          <w:spacing w:val="-8"/>
          <w:kern w:val="0"/>
          <w:sz w:val="32"/>
          <w:szCs w:val="32"/>
        </w:rPr>
      </w:pPr>
    </w:p>
    <w:p w14:paraId="06B4C0E5">
      <w:pPr>
        <w:bidi w:val="0"/>
        <w:jc w:val="center"/>
      </w:pPr>
      <w:r>
        <w:t>编制单位电话：0833-2501668</w:t>
      </w:r>
    </w:p>
    <w:p w14:paraId="4978346C">
      <w:pPr>
        <w:bidi w:val="0"/>
        <w:jc w:val="center"/>
        <w:rPr>
          <w:rFonts w:hint="eastAsia"/>
        </w:rPr>
      </w:pPr>
      <w:r>
        <w:t>编写时间：</w:t>
      </w:r>
      <w:r>
        <w:rPr>
          <w:rFonts w:hint="eastAsia"/>
        </w:rPr>
        <w:t>二〇二</w:t>
      </w:r>
      <w:r>
        <w:rPr>
          <w:rFonts w:hint="eastAsia"/>
          <w:lang w:val="en-US" w:eastAsia="zh-CN"/>
        </w:rPr>
        <w:t>四</w:t>
      </w:r>
      <w:r>
        <w:rPr>
          <w:rFonts w:hint="eastAsia"/>
        </w:rPr>
        <w:t>年</w:t>
      </w:r>
      <w:r>
        <w:t>五</w:t>
      </w:r>
      <w:r>
        <w:rPr>
          <w:rFonts w:hint="eastAsia"/>
        </w:rPr>
        <w:t>月</w:t>
      </w:r>
    </w:p>
    <w:p w14:paraId="7E6E63C7">
      <w:pPr>
        <w:rPr>
          <w:rFonts w:hint="eastAsia" w:ascii="Times New Roman" w:hAnsi="Times New Roman" w:eastAsia="仿宋_GB2312"/>
          <w:b/>
          <w:bCs/>
          <w:sz w:val="32"/>
          <w:szCs w:val="32"/>
        </w:rPr>
      </w:pPr>
      <w:r>
        <w:rPr>
          <w:rFonts w:hint="eastAsia" w:ascii="Times New Roman" w:hAnsi="Times New Roman" w:eastAsia="仿宋_GB2312"/>
          <w:b/>
          <w:bCs/>
          <w:sz w:val="32"/>
          <w:szCs w:val="32"/>
        </w:rPr>
        <w:br w:type="page"/>
      </w:r>
    </w:p>
    <w:p w14:paraId="62595D5A">
      <w:pPr>
        <w:pStyle w:val="3"/>
        <w:bidi w:val="0"/>
        <w:jc w:val="center"/>
        <w:rPr>
          <w:rFonts w:hint="eastAsia"/>
          <w:sz w:val="40"/>
          <w:szCs w:val="28"/>
          <w:lang w:val="en-US" w:eastAsia="zh-CN"/>
        </w:rPr>
        <w:sectPr>
          <w:pgSz w:w="11906" w:h="16838"/>
          <w:pgMar w:top="1440" w:right="1800" w:bottom="1440" w:left="1800" w:header="851" w:footer="992" w:gutter="0"/>
          <w:cols w:space="425" w:num="1"/>
          <w:docGrid w:type="lines" w:linePitch="312" w:charSpace="0"/>
        </w:sectPr>
      </w:pPr>
    </w:p>
    <w:p w14:paraId="30689737">
      <w:pPr>
        <w:ind w:left="0" w:firstLine="0" w:firstLineChars="0"/>
        <w:rPr>
          <w:rFonts w:hint="eastAsia" w:ascii="Times New Roman" w:hAnsi="Times New Roman" w:eastAsia="仿宋_GB2312" w:cs="Times New Roman"/>
          <w:color w:val="000000"/>
          <w:sz w:val="32"/>
          <w:szCs w:val="32"/>
          <w:lang w:eastAsia="zh-CN"/>
        </w:rPr>
      </w:pPr>
      <w:r>
        <w:rPr>
          <w:rFonts w:hint="eastAsia" w:ascii="Times New Roman" w:hAnsi="Times New Roman" w:eastAsia="仿宋_GB2312" w:cs="Times New Roman"/>
          <w:color w:val="000000"/>
          <w:sz w:val="32"/>
          <w:szCs w:val="32"/>
          <w:lang w:eastAsia="zh-CN"/>
        </w:rPr>
        <w:drawing>
          <wp:inline distT="0" distB="0" distL="114300" distR="114300">
            <wp:extent cx="7694295" cy="5440045"/>
            <wp:effectExtent l="1" t="22" r="21" b="0"/>
            <wp:docPr id="1" name="图片 10" descr="2024年8月1日力朴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2024年8月1日力朴营业执照（副本）"/>
                    <pic:cNvPicPr>
                      <a:picLocks noChangeAspect="1"/>
                    </pic:cNvPicPr>
                  </pic:nvPicPr>
                  <pic:blipFill>
                    <a:blip r:embed="rId9"/>
                    <a:stretch>
                      <a:fillRect/>
                    </a:stretch>
                  </pic:blipFill>
                  <pic:spPr>
                    <a:xfrm rot="16200000">
                      <a:off x="0" y="0"/>
                      <a:ext cx="7694295" cy="5440045"/>
                    </a:xfrm>
                    <a:prstGeom prst="rect">
                      <a:avLst/>
                    </a:prstGeom>
                    <a:noFill/>
                    <a:ln w="9525" cap="flat" cmpd="sng">
                      <a:noFill/>
                      <a:prstDash val="solid"/>
                      <a:miter/>
                    </a:ln>
                  </pic:spPr>
                </pic:pic>
              </a:graphicData>
            </a:graphic>
          </wp:inline>
        </w:drawing>
      </w:r>
      <w:r>
        <w:rPr>
          <w:rFonts w:hint="eastAsia" w:ascii="Times New Roman" w:hAnsi="Times New Roman" w:eastAsia="仿宋_GB2312" w:cs="Times New Roman"/>
          <w:color w:val="000000"/>
          <w:sz w:val="32"/>
          <w:szCs w:val="32"/>
          <w:lang w:eastAsia="zh-CN"/>
        </w:rPr>
        <w:br w:type="page"/>
      </w:r>
    </w:p>
    <w:p w14:paraId="2877F21C">
      <w:pPr>
        <w:widowControl w:val="0"/>
        <w:spacing w:line="360" w:lineRule="auto"/>
        <w:ind w:firstLine="0" w:firstLineChars="0"/>
        <w:jc w:val="center"/>
        <w:rPr>
          <w:rFonts w:hint="eastAsia" w:ascii="Times New Roman" w:hAnsi="Times New Roman" w:eastAsia="仿宋_GB2312" w:cs="Times New Roman"/>
          <w:color w:val="000000"/>
          <w:sz w:val="32"/>
          <w:szCs w:val="32"/>
          <w:lang w:eastAsia="zh-CN"/>
        </w:rPr>
        <w:sectPr>
          <w:pgSz w:w="11900" w:h="16840"/>
          <w:pgMar w:top="1440" w:right="1797" w:bottom="1440" w:left="1797" w:header="873" w:footer="1015" w:gutter="0"/>
          <w:pgNumType w:start="1"/>
          <w:cols w:space="0" w:num="1"/>
          <w:docGrid w:linePitch="381" w:charSpace="0"/>
        </w:sectPr>
      </w:pPr>
    </w:p>
    <w:p w14:paraId="2B16A1AF">
      <w:pPr>
        <w:ind w:left="0" w:firstLine="0" w:firstLineChars="0"/>
        <w:sectPr>
          <w:pgSz w:w="11906" w:h="16838"/>
          <w:pgMar w:top="1440" w:right="1800" w:bottom="1440" w:left="1800" w:header="851" w:footer="992" w:gutter="0"/>
          <w:cols w:space="425" w:num="1"/>
          <w:docGrid w:type="lines" w:linePitch="312" w:charSpace="0"/>
        </w:sectPr>
      </w:pPr>
      <w:r>
        <w:rPr>
          <w:rFonts w:ascii="Times New Roman" w:hAnsi="Times New Roman" w:eastAsia="仿宋_GB2312" w:cs="Times New Roman"/>
          <w:color w:val="000000"/>
          <w:sz w:val="32"/>
          <w:szCs w:val="32"/>
        </w:rPr>
        <w:drawing>
          <wp:inline distT="0" distB="0" distL="114300" distR="114300">
            <wp:extent cx="5510530" cy="7793990"/>
            <wp:effectExtent l="0" t="0" r="21" b="7"/>
            <wp:docPr id="4" name="图片 11" descr="2024年力朴公司设计资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descr="2024年力朴公司设计资质_00"/>
                    <pic:cNvPicPr>
                      <a:picLocks noChangeAspect="1"/>
                    </pic:cNvPicPr>
                  </pic:nvPicPr>
                  <pic:blipFill>
                    <a:blip r:embed="rId10"/>
                    <a:stretch>
                      <a:fillRect/>
                    </a:stretch>
                  </pic:blipFill>
                  <pic:spPr>
                    <a:xfrm>
                      <a:off x="0" y="0"/>
                      <a:ext cx="5510530" cy="7793991"/>
                    </a:xfrm>
                    <a:prstGeom prst="rect">
                      <a:avLst/>
                    </a:prstGeom>
                    <a:noFill/>
                    <a:ln w="9525" cap="flat" cmpd="sng">
                      <a:noFill/>
                      <a:prstDash val="solid"/>
                      <a:miter/>
                    </a:ln>
                  </pic:spPr>
                </pic:pic>
              </a:graphicData>
            </a:graphic>
          </wp:inline>
        </w:drawing>
      </w:r>
      <w:r>
        <w:rPr>
          <w:rFonts w:ascii="Times New Roman" w:hAnsi="Times New Roman" w:eastAsia="仿宋_GB2312" w:cs="Times New Roman"/>
          <w:color w:val="000000"/>
          <w:sz w:val="32"/>
          <w:szCs w:val="32"/>
        </w:rPr>
        <w:br w:type="page"/>
      </w:r>
    </w:p>
    <w:sdt>
      <w:sdtPr>
        <w:rPr>
          <w:rFonts w:hint="eastAsia" w:ascii="黑体" w:hAnsi="黑体" w:eastAsia="黑体" w:cs="黑体"/>
          <w:kern w:val="2"/>
          <w:sz w:val="36"/>
          <w:szCs w:val="40"/>
          <w:lang w:val="en-US" w:eastAsia="zh-CN" w:bidi="ar-SA"/>
        </w:rPr>
        <w:id w:val="-1205696814"/>
        <w15:color w:val="DBDBDB"/>
        <w:docPartObj>
          <w:docPartGallery w:val="Table of Contents"/>
          <w:docPartUnique/>
        </w:docPartObj>
      </w:sdtPr>
      <w:sdtEndPr>
        <w:rPr>
          <w:rFonts w:hint="eastAsia" w:ascii="黑体" w:hAnsi="黑体" w:eastAsia="黑体" w:cs="黑体"/>
          <w:kern w:val="2"/>
          <w:sz w:val="36"/>
          <w:szCs w:val="40"/>
          <w:lang w:val="en-US" w:eastAsia="zh-CN" w:bidi="ar-SA"/>
        </w:rPr>
      </w:sdtEndPr>
      <w:sdtContent>
        <w:p w14:paraId="636AAEAD">
          <w:pPr>
            <w:spacing w:before="0" w:after="0" w:line="240" w:lineRule="auto"/>
            <w:ind w:left="0" w:right="0" w:firstLine="0" w:firstLineChars="0"/>
            <w:jc w:val="center"/>
            <w:rPr>
              <w:rFonts w:hint="eastAsia" w:ascii="黑体" w:hAnsi="黑体" w:eastAsia="黑体" w:cs="黑体"/>
              <w:sz w:val="48"/>
              <w:szCs w:val="40"/>
            </w:rPr>
          </w:pPr>
          <w:r>
            <w:rPr>
              <w:rFonts w:hint="eastAsia" w:ascii="黑体" w:hAnsi="黑体" w:eastAsia="黑体" w:cs="黑体"/>
              <w:sz w:val="36"/>
              <w:szCs w:val="40"/>
            </w:rPr>
            <w:t>目录</w:t>
          </w:r>
        </w:p>
        <w:p w14:paraId="36C93583">
          <w:pPr>
            <w:pStyle w:val="18"/>
            <w:tabs>
              <w:tab w:val="right" w:leader="dot" w:pos="8306"/>
            </w:tabs>
          </w:pPr>
          <w:r>
            <w:rPr>
              <w:sz w:val="24"/>
              <w:szCs w:val="21"/>
            </w:rPr>
            <w:fldChar w:fldCharType="begin"/>
          </w:r>
          <w:r>
            <w:rPr>
              <w:sz w:val="24"/>
              <w:szCs w:val="21"/>
            </w:rPr>
            <w:instrText xml:space="preserve">TOC \o "1-3" \h \u </w:instrText>
          </w:r>
          <w:r>
            <w:rPr>
              <w:sz w:val="24"/>
              <w:szCs w:val="21"/>
            </w:rPr>
            <w:fldChar w:fldCharType="separate"/>
          </w:r>
          <w:r>
            <w:rPr>
              <w:szCs w:val="21"/>
            </w:rPr>
            <w:fldChar w:fldCharType="begin"/>
          </w:r>
          <w:r>
            <w:rPr>
              <w:szCs w:val="21"/>
            </w:rPr>
            <w:instrText xml:space="preserve"> HYPERLINK \l _Toc19902 </w:instrText>
          </w:r>
          <w:r>
            <w:rPr>
              <w:szCs w:val="21"/>
            </w:rPr>
            <w:fldChar w:fldCharType="separate"/>
          </w:r>
          <w:r>
            <w:rPr>
              <w:rFonts w:hint="eastAsia"/>
              <w:lang w:val="en-US" w:eastAsia="zh-CN"/>
            </w:rPr>
            <w:t>第一章 项目概况</w:t>
          </w:r>
          <w:r>
            <w:tab/>
          </w:r>
          <w:r>
            <w:fldChar w:fldCharType="begin"/>
          </w:r>
          <w:r>
            <w:instrText xml:space="preserve"> PAGEREF _Toc19902 \h </w:instrText>
          </w:r>
          <w:r>
            <w:fldChar w:fldCharType="separate"/>
          </w:r>
          <w:r>
            <w:t>1</w:t>
          </w:r>
          <w:r>
            <w:fldChar w:fldCharType="end"/>
          </w:r>
          <w:r>
            <w:rPr>
              <w:szCs w:val="21"/>
            </w:rPr>
            <w:fldChar w:fldCharType="end"/>
          </w:r>
        </w:p>
        <w:p w14:paraId="7A3F9128">
          <w:pPr>
            <w:pStyle w:val="19"/>
            <w:tabs>
              <w:tab w:val="right" w:leader="dot" w:pos="8306"/>
            </w:tabs>
          </w:pPr>
          <w:r>
            <w:rPr>
              <w:szCs w:val="18"/>
            </w:rPr>
            <w:fldChar w:fldCharType="begin"/>
          </w:r>
          <w:r>
            <w:rPr>
              <w:szCs w:val="18"/>
            </w:rPr>
            <w:instrText xml:space="preserve"> HYPERLINK \l _Toc20102 </w:instrText>
          </w:r>
          <w:r>
            <w:rPr>
              <w:szCs w:val="18"/>
            </w:rPr>
            <w:fldChar w:fldCharType="separate"/>
          </w:r>
          <w:r>
            <w:rPr>
              <w:rFonts w:hint="eastAsia"/>
            </w:rPr>
            <w:t xml:space="preserve">1.1. </w:t>
          </w:r>
          <w:r>
            <w:t>项目名称</w:t>
          </w:r>
          <w:r>
            <w:tab/>
          </w:r>
          <w:r>
            <w:fldChar w:fldCharType="begin"/>
          </w:r>
          <w:r>
            <w:instrText xml:space="preserve"> PAGEREF _Toc20102 \h </w:instrText>
          </w:r>
          <w:r>
            <w:fldChar w:fldCharType="separate"/>
          </w:r>
          <w:r>
            <w:t>1</w:t>
          </w:r>
          <w:r>
            <w:fldChar w:fldCharType="end"/>
          </w:r>
          <w:r>
            <w:rPr>
              <w:szCs w:val="18"/>
            </w:rPr>
            <w:fldChar w:fldCharType="end"/>
          </w:r>
        </w:p>
        <w:p w14:paraId="1223165E">
          <w:pPr>
            <w:pStyle w:val="19"/>
            <w:tabs>
              <w:tab w:val="right" w:leader="dot" w:pos="8306"/>
            </w:tabs>
          </w:pPr>
          <w:r>
            <w:rPr>
              <w:szCs w:val="18"/>
            </w:rPr>
            <w:fldChar w:fldCharType="begin"/>
          </w:r>
          <w:r>
            <w:rPr>
              <w:szCs w:val="18"/>
            </w:rPr>
            <w:instrText xml:space="preserve"> HYPERLINK \l _Toc18391 </w:instrText>
          </w:r>
          <w:r>
            <w:rPr>
              <w:szCs w:val="18"/>
            </w:rPr>
            <w:fldChar w:fldCharType="separate"/>
          </w:r>
          <w:r>
            <w:rPr>
              <w:rFonts w:hint="eastAsia"/>
            </w:rPr>
            <w:t xml:space="preserve">1.2. </w:t>
          </w:r>
          <w:r>
            <w:rPr>
              <w:rFonts w:hint="eastAsia"/>
              <w:lang w:val="en-US" w:eastAsia="zh-CN"/>
            </w:rPr>
            <w:t>项目区位</w:t>
          </w:r>
          <w:r>
            <w:tab/>
          </w:r>
          <w:r>
            <w:fldChar w:fldCharType="begin"/>
          </w:r>
          <w:r>
            <w:instrText xml:space="preserve"> PAGEREF _Toc18391 \h </w:instrText>
          </w:r>
          <w:r>
            <w:fldChar w:fldCharType="separate"/>
          </w:r>
          <w:r>
            <w:t>1</w:t>
          </w:r>
          <w:r>
            <w:fldChar w:fldCharType="end"/>
          </w:r>
          <w:r>
            <w:rPr>
              <w:szCs w:val="18"/>
            </w:rPr>
            <w:fldChar w:fldCharType="end"/>
          </w:r>
        </w:p>
        <w:p w14:paraId="28A75A7B">
          <w:pPr>
            <w:pStyle w:val="19"/>
            <w:tabs>
              <w:tab w:val="right" w:leader="dot" w:pos="8306"/>
            </w:tabs>
          </w:pPr>
          <w:r>
            <w:rPr>
              <w:szCs w:val="18"/>
            </w:rPr>
            <w:fldChar w:fldCharType="begin"/>
          </w:r>
          <w:r>
            <w:rPr>
              <w:szCs w:val="18"/>
            </w:rPr>
            <w:instrText xml:space="preserve"> HYPERLINK \l _Toc25747 </w:instrText>
          </w:r>
          <w:r>
            <w:rPr>
              <w:szCs w:val="18"/>
            </w:rPr>
            <w:fldChar w:fldCharType="separate"/>
          </w:r>
          <w:r>
            <w:rPr>
              <w:rFonts w:hint="eastAsia"/>
            </w:rPr>
            <w:t xml:space="preserve">1.3. </w:t>
          </w:r>
          <w:r>
            <w:t>项目业主</w:t>
          </w:r>
          <w:r>
            <w:tab/>
          </w:r>
          <w:r>
            <w:fldChar w:fldCharType="begin"/>
          </w:r>
          <w:r>
            <w:instrText xml:space="preserve"> PAGEREF _Toc25747 \h </w:instrText>
          </w:r>
          <w:r>
            <w:fldChar w:fldCharType="separate"/>
          </w:r>
          <w:r>
            <w:t>1</w:t>
          </w:r>
          <w:r>
            <w:fldChar w:fldCharType="end"/>
          </w:r>
          <w:r>
            <w:rPr>
              <w:szCs w:val="18"/>
            </w:rPr>
            <w:fldChar w:fldCharType="end"/>
          </w:r>
        </w:p>
        <w:p w14:paraId="19AE3845">
          <w:pPr>
            <w:pStyle w:val="19"/>
            <w:tabs>
              <w:tab w:val="right" w:leader="dot" w:pos="8306"/>
            </w:tabs>
          </w:pPr>
          <w:r>
            <w:rPr>
              <w:szCs w:val="18"/>
            </w:rPr>
            <w:fldChar w:fldCharType="begin"/>
          </w:r>
          <w:r>
            <w:rPr>
              <w:szCs w:val="18"/>
            </w:rPr>
            <w:instrText xml:space="preserve"> HYPERLINK \l _Toc16709 </w:instrText>
          </w:r>
          <w:r>
            <w:rPr>
              <w:szCs w:val="18"/>
            </w:rPr>
            <w:fldChar w:fldCharType="separate"/>
          </w:r>
          <w:r>
            <w:rPr>
              <w:rFonts w:hint="eastAsia"/>
            </w:rPr>
            <w:t xml:space="preserve">1.4. </w:t>
          </w:r>
          <w:r>
            <w:t>建设地点</w:t>
          </w:r>
          <w:r>
            <w:tab/>
          </w:r>
          <w:r>
            <w:fldChar w:fldCharType="begin"/>
          </w:r>
          <w:r>
            <w:instrText xml:space="preserve"> PAGEREF _Toc16709 \h </w:instrText>
          </w:r>
          <w:r>
            <w:fldChar w:fldCharType="separate"/>
          </w:r>
          <w:r>
            <w:t>1</w:t>
          </w:r>
          <w:r>
            <w:fldChar w:fldCharType="end"/>
          </w:r>
          <w:r>
            <w:rPr>
              <w:szCs w:val="18"/>
            </w:rPr>
            <w:fldChar w:fldCharType="end"/>
          </w:r>
        </w:p>
        <w:p w14:paraId="4D3465B9">
          <w:pPr>
            <w:pStyle w:val="19"/>
            <w:tabs>
              <w:tab w:val="right" w:leader="dot" w:pos="8306"/>
            </w:tabs>
          </w:pPr>
          <w:r>
            <w:rPr>
              <w:szCs w:val="18"/>
            </w:rPr>
            <w:fldChar w:fldCharType="begin"/>
          </w:r>
          <w:r>
            <w:rPr>
              <w:szCs w:val="18"/>
            </w:rPr>
            <w:instrText xml:space="preserve"> HYPERLINK \l _Toc27569 </w:instrText>
          </w:r>
          <w:r>
            <w:rPr>
              <w:szCs w:val="18"/>
            </w:rPr>
            <w:fldChar w:fldCharType="separate"/>
          </w:r>
          <w:r>
            <w:rPr>
              <w:rFonts w:hint="eastAsia"/>
            </w:rPr>
            <w:t xml:space="preserve">1.5. </w:t>
          </w:r>
          <w:r>
            <w:t>建设内容及规模</w:t>
          </w:r>
          <w:r>
            <w:tab/>
          </w:r>
          <w:r>
            <w:fldChar w:fldCharType="begin"/>
          </w:r>
          <w:r>
            <w:instrText xml:space="preserve"> PAGEREF _Toc27569 \h </w:instrText>
          </w:r>
          <w:r>
            <w:fldChar w:fldCharType="separate"/>
          </w:r>
          <w:r>
            <w:t>1</w:t>
          </w:r>
          <w:r>
            <w:fldChar w:fldCharType="end"/>
          </w:r>
          <w:r>
            <w:rPr>
              <w:szCs w:val="18"/>
            </w:rPr>
            <w:fldChar w:fldCharType="end"/>
          </w:r>
        </w:p>
        <w:p w14:paraId="3BE0F559">
          <w:pPr>
            <w:pStyle w:val="19"/>
            <w:tabs>
              <w:tab w:val="right" w:leader="dot" w:pos="8306"/>
            </w:tabs>
          </w:pPr>
          <w:r>
            <w:rPr>
              <w:szCs w:val="18"/>
            </w:rPr>
            <w:fldChar w:fldCharType="begin"/>
          </w:r>
          <w:r>
            <w:rPr>
              <w:szCs w:val="18"/>
            </w:rPr>
            <w:instrText xml:space="preserve"> HYPERLINK \l _Toc24406 </w:instrText>
          </w:r>
          <w:r>
            <w:rPr>
              <w:szCs w:val="18"/>
            </w:rPr>
            <w:fldChar w:fldCharType="separate"/>
          </w:r>
          <w:r>
            <w:rPr>
              <w:rFonts w:hint="eastAsia"/>
              <w:lang w:val="en-US" w:eastAsia="zh-CN"/>
            </w:rPr>
            <w:t>1.6. 投资概算</w:t>
          </w:r>
          <w:r>
            <w:tab/>
          </w:r>
          <w:r>
            <w:fldChar w:fldCharType="begin"/>
          </w:r>
          <w:r>
            <w:instrText xml:space="preserve"> PAGEREF _Toc24406 \h </w:instrText>
          </w:r>
          <w:r>
            <w:fldChar w:fldCharType="separate"/>
          </w:r>
          <w:r>
            <w:t>3</w:t>
          </w:r>
          <w:r>
            <w:fldChar w:fldCharType="end"/>
          </w:r>
          <w:r>
            <w:rPr>
              <w:szCs w:val="18"/>
            </w:rPr>
            <w:fldChar w:fldCharType="end"/>
          </w:r>
        </w:p>
        <w:p w14:paraId="5DB59BD8">
          <w:pPr>
            <w:pStyle w:val="19"/>
            <w:tabs>
              <w:tab w:val="right" w:leader="dot" w:pos="8306"/>
            </w:tabs>
          </w:pPr>
          <w:r>
            <w:rPr>
              <w:szCs w:val="18"/>
            </w:rPr>
            <w:fldChar w:fldCharType="begin"/>
          </w:r>
          <w:r>
            <w:rPr>
              <w:szCs w:val="18"/>
            </w:rPr>
            <w:instrText xml:space="preserve"> HYPERLINK \l _Toc20060 </w:instrText>
          </w:r>
          <w:r>
            <w:rPr>
              <w:szCs w:val="18"/>
            </w:rPr>
            <w:fldChar w:fldCharType="separate"/>
          </w:r>
          <w:r>
            <w:rPr>
              <w:rFonts w:hint="eastAsia"/>
              <w:lang w:val="zh-CN" w:eastAsia="zh-CN"/>
            </w:rPr>
            <w:t xml:space="preserve">1.7. </w:t>
          </w:r>
          <w:r>
            <w:rPr>
              <w:lang w:val="zh-CN" w:eastAsia="zh-CN"/>
            </w:rPr>
            <w:t>建设期限</w:t>
          </w:r>
          <w:r>
            <w:tab/>
          </w:r>
          <w:r>
            <w:fldChar w:fldCharType="begin"/>
          </w:r>
          <w:r>
            <w:instrText xml:space="preserve"> PAGEREF _Toc20060 \h </w:instrText>
          </w:r>
          <w:r>
            <w:fldChar w:fldCharType="separate"/>
          </w:r>
          <w:r>
            <w:t>4</w:t>
          </w:r>
          <w:r>
            <w:fldChar w:fldCharType="end"/>
          </w:r>
          <w:r>
            <w:rPr>
              <w:szCs w:val="18"/>
            </w:rPr>
            <w:fldChar w:fldCharType="end"/>
          </w:r>
        </w:p>
        <w:p w14:paraId="0868C6B2">
          <w:pPr>
            <w:pStyle w:val="19"/>
            <w:tabs>
              <w:tab w:val="right" w:leader="dot" w:pos="8306"/>
            </w:tabs>
          </w:pPr>
          <w:r>
            <w:rPr>
              <w:szCs w:val="18"/>
            </w:rPr>
            <w:fldChar w:fldCharType="begin"/>
          </w:r>
          <w:r>
            <w:rPr>
              <w:szCs w:val="18"/>
            </w:rPr>
            <w:instrText xml:space="preserve"> HYPERLINK \l _Toc31579 </w:instrText>
          </w:r>
          <w:r>
            <w:rPr>
              <w:szCs w:val="18"/>
            </w:rPr>
            <w:fldChar w:fldCharType="separate"/>
          </w:r>
          <w:r>
            <w:rPr>
              <w:rFonts w:hint="eastAsia"/>
              <w:lang w:val="en-US" w:eastAsia="zh-CN"/>
            </w:rPr>
            <w:t>1.8. 项目总体思路</w:t>
          </w:r>
          <w:r>
            <w:tab/>
          </w:r>
          <w:r>
            <w:fldChar w:fldCharType="begin"/>
          </w:r>
          <w:r>
            <w:instrText xml:space="preserve"> PAGEREF _Toc31579 \h </w:instrText>
          </w:r>
          <w:r>
            <w:fldChar w:fldCharType="separate"/>
          </w:r>
          <w:r>
            <w:t>5</w:t>
          </w:r>
          <w:r>
            <w:fldChar w:fldCharType="end"/>
          </w:r>
          <w:r>
            <w:rPr>
              <w:szCs w:val="18"/>
            </w:rPr>
            <w:fldChar w:fldCharType="end"/>
          </w:r>
        </w:p>
        <w:p w14:paraId="233B7978">
          <w:pPr>
            <w:pStyle w:val="14"/>
            <w:tabs>
              <w:tab w:val="right" w:leader="dot" w:pos="8306"/>
            </w:tabs>
          </w:pPr>
          <w:r>
            <w:rPr>
              <w:szCs w:val="18"/>
            </w:rPr>
            <w:fldChar w:fldCharType="begin"/>
          </w:r>
          <w:r>
            <w:rPr>
              <w:szCs w:val="18"/>
            </w:rPr>
            <w:instrText xml:space="preserve"> HYPERLINK \l _Toc15965 </w:instrText>
          </w:r>
          <w:r>
            <w:rPr>
              <w:szCs w:val="18"/>
            </w:rPr>
            <w:fldChar w:fldCharType="separate"/>
          </w:r>
          <w:r>
            <w:rPr>
              <w:rFonts w:hint="eastAsia"/>
            </w:rPr>
            <w:t>1.8.1. 指导思想</w:t>
          </w:r>
          <w:r>
            <w:tab/>
          </w:r>
          <w:r>
            <w:fldChar w:fldCharType="begin"/>
          </w:r>
          <w:r>
            <w:instrText xml:space="preserve"> PAGEREF _Toc15965 \h </w:instrText>
          </w:r>
          <w:r>
            <w:fldChar w:fldCharType="separate"/>
          </w:r>
          <w:r>
            <w:t>5</w:t>
          </w:r>
          <w:r>
            <w:fldChar w:fldCharType="end"/>
          </w:r>
          <w:r>
            <w:rPr>
              <w:szCs w:val="18"/>
            </w:rPr>
            <w:fldChar w:fldCharType="end"/>
          </w:r>
        </w:p>
        <w:p w14:paraId="5EABFA55">
          <w:pPr>
            <w:pStyle w:val="14"/>
            <w:tabs>
              <w:tab w:val="right" w:leader="dot" w:pos="8306"/>
            </w:tabs>
          </w:pPr>
          <w:r>
            <w:rPr>
              <w:szCs w:val="18"/>
            </w:rPr>
            <w:fldChar w:fldCharType="begin"/>
          </w:r>
          <w:r>
            <w:rPr>
              <w:szCs w:val="18"/>
            </w:rPr>
            <w:instrText xml:space="preserve"> HYPERLINK \l _Toc11976 </w:instrText>
          </w:r>
          <w:r>
            <w:rPr>
              <w:szCs w:val="18"/>
            </w:rPr>
            <w:fldChar w:fldCharType="separate"/>
          </w:r>
          <w:r>
            <w:rPr>
              <w:rFonts w:hint="eastAsia"/>
            </w:rPr>
            <w:t>1.8.2. 基本原则</w:t>
          </w:r>
          <w:r>
            <w:tab/>
          </w:r>
          <w:r>
            <w:fldChar w:fldCharType="begin"/>
          </w:r>
          <w:r>
            <w:instrText xml:space="preserve"> PAGEREF _Toc11976 \h </w:instrText>
          </w:r>
          <w:r>
            <w:fldChar w:fldCharType="separate"/>
          </w:r>
          <w:r>
            <w:t>5</w:t>
          </w:r>
          <w:r>
            <w:fldChar w:fldCharType="end"/>
          </w:r>
          <w:r>
            <w:rPr>
              <w:szCs w:val="18"/>
            </w:rPr>
            <w:fldChar w:fldCharType="end"/>
          </w:r>
        </w:p>
        <w:p w14:paraId="34B3DEBC">
          <w:pPr>
            <w:pStyle w:val="19"/>
            <w:tabs>
              <w:tab w:val="right" w:leader="dot" w:pos="8306"/>
            </w:tabs>
          </w:pPr>
          <w:r>
            <w:rPr>
              <w:szCs w:val="18"/>
            </w:rPr>
            <w:fldChar w:fldCharType="begin"/>
          </w:r>
          <w:r>
            <w:rPr>
              <w:szCs w:val="18"/>
            </w:rPr>
            <w:instrText xml:space="preserve"> HYPERLINK \l _Toc10975 </w:instrText>
          </w:r>
          <w:r>
            <w:rPr>
              <w:szCs w:val="18"/>
            </w:rPr>
            <w:fldChar w:fldCharType="separate"/>
          </w:r>
          <w:r>
            <w:rPr>
              <w:rFonts w:hint="eastAsia"/>
              <w:lang w:val="en-US" w:eastAsia="zh-CN"/>
            </w:rPr>
            <w:t>1.9. 项目建设目标</w:t>
          </w:r>
          <w:r>
            <w:tab/>
          </w:r>
          <w:r>
            <w:fldChar w:fldCharType="begin"/>
          </w:r>
          <w:r>
            <w:instrText xml:space="preserve"> PAGEREF _Toc10975 \h </w:instrText>
          </w:r>
          <w:r>
            <w:fldChar w:fldCharType="separate"/>
          </w:r>
          <w:r>
            <w:t>7</w:t>
          </w:r>
          <w:r>
            <w:fldChar w:fldCharType="end"/>
          </w:r>
          <w:r>
            <w:rPr>
              <w:szCs w:val="18"/>
            </w:rPr>
            <w:fldChar w:fldCharType="end"/>
          </w:r>
        </w:p>
        <w:p w14:paraId="275EB3A0">
          <w:pPr>
            <w:pStyle w:val="19"/>
            <w:tabs>
              <w:tab w:val="right" w:leader="dot" w:pos="8306"/>
            </w:tabs>
          </w:pPr>
          <w:r>
            <w:rPr>
              <w:szCs w:val="18"/>
            </w:rPr>
            <w:fldChar w:fldCharType="begin"/>
          </w:r>
          <w:r>
            <w:rPr>
              <w:szCs w:val="18"/>
            </w:rPr>
            <w:instrText xml:space="preserve"> HYPERLINK \l _Toc8579 </w:instrText>
          </w:r>
          <w:r>
            <w:rPr>
              <w:szCs w:val="18"/>
            </w:rPr>
            <w:fldChar w:fldCharType="separate"/>
          </w:r>
          <w:r>
            <w:rPr>
              <w:rFonts w:hint="eastAsia"/>
              <w:lang w:val="en-US" w:eastAsia="zh-CN"/>
            </w:rPr>
            <w:t>1.10. 项目组织管理</w:t>
          </w:r>
          <w:r>
            <w:tab/>
          </w:r>
          <w:r>
            <w:fldChar w:fldCharType="begin"/>
          </w:r>
          <w:r>
            <w:instrText xml:space="preserve"> PAGEREF _Toc8579 \h </w:instrText>
          </w:r>
          <w:r>
            <w:fldChar w:fldCharType="separate"/>
          </w:r>
          <w:r>
            <w:t>7</w:t>
          </w:r>
          <w:r>
            <w:fldChar w:fldCharType="end"/>
          </w:r>
          <w:r>
            <w:rPr>
              <w:szCs w:val="18"/>
            </w:rPr>
            <w:fldChar w:fldCharType="end"/>
          </w:r>
        </w:p>
        <w:p w14:paraId="550D4C5B">
          <w:pPr>
            <w:pStyle w:val="19"/>
            <w:tabs>
              <w:tab w:val="right" w:leader="dot" w:pos="8306"/>
            </w:tabs>
          </w:pPr>
          <w:r>
            <w:rPr>
              <w:szCs w:val="18"/>
            </w:rPr>
            <w:fldChar w:fldCharType="begin"/>
          </w:r>
          <w:r>
            <w:rPr>
              <w:szCs w:val="18"/>
            </w:rPr>
            <w:instrText xml:space="preserve"> HYPERLINK \l _Toc17423 </w:instrText>
          </w:r>
          <w:r>
            <w:rPr>
              <w:szCs w:val="18"/>
            </w:rPr>
            <w:fldChar w:fldCharType="separate"/>
          </w:r>
          <w:r>
            <w:rPr>
              <w:rFonts w:hint="eastAsia"/>
              <w:lang w:val="en-US" w:eastAsia="zh-CN"/>
            </w:rPr>
            <w:t>1.11. 方案编制依据</w:t>
          </w:r>
          <w:r>
            <w:tab/>
          </w:r>
          <w:r>
            <w:fldChar w:fldCharType="begin"/>
          </w:r>
          <w:r>
            <w:instrText xml:space="preserve"> PAGEREF _Toc17423 \h </w:instrText>
          </w:r>
          <w:r>
            <w:fldChar w:fldCharType="separate"/>
          </w:r>
          <w:r>
            <w:t>8</w:t>
          </w:r>
          <w:r>
            <w:fldChar w:fldCharType="end"/>
          </w:r>
          <w:r>
            <w:rPr>
              <w:szCs w:val="18"/>
            </w:rPr>
            <w:fldChar w:fldCharType="end"/>
          </w:r>
        </w:p>
        <w:p w14:paraId="485595C4">
          <w:pPr>
            <w:pStyle w:val="18"/>
            <w:tabs>
              <w:tab w:val="right" w:leader="dot" w:pos="8306"/>
            </w:tabs>
          </w:pPr>
          <w:r>
            <w:rPr>
              <w:szCs w:val="18"/>
            </w:rPr>
            <w:fldChar w:fldCharType="begin"/>
          </w:r>
          <w:r>
            <w:rPr>
              <w:szCs w:val="18"/>
            </w:rPr>
            <w:instrText xml:space="preserve"> HYPERLINK \l _Toc13173 </w:instrText>
          </w:r>
          <w:r>
            <w:rPr>
              <w:szCs w:val="18"/>
            </w:rPr>
            <w:fldChar w:fldCharType="separate"/>
          </w:r>
          <w:r>
            <w:rPr>
              <w:rFonts w:hint="eastAsia"/>
              <w:lang w:val="en-US" w:eastAsia="zh-CN"/>
            </w:rPr>
            <w:t>第二章 项目背景</w:t>
          </w:r>
          <w:r>
            <w:tab/>
          </w:r>
          <w:r>
            <w:fldChar w:fldCharType="begin"/>
          </w:r>
          <w:r>
            <w:instrText xml:space="preserve"> PAGEREF _Toc13173 \h </w:instrText>
          </w:r>
          <w:r>
            <w:fldChar w:fldCharType="separate"/>
          </w:r>
          <w:r>
            <w:t>9</w:t>
          </w:r>
          <w:r>
            <w:fldChar w:fldCharType="end"/>
          </w:r>
          <w:r>
            <w:rPr>
              <w:szCs w:val="18"/>
            </w:rPr>
            <w:fldChar w:fldCharType="end"/>
          </w:r>
        </w:p>
        <w:p w14:paraId="7D6CCF58">
          <w:pPr>
            <w:pStyle w:val="19"/>
            <w:tabs>
              <w:tab w:val="right" w:leader="dot" w:pos="8306"/>
            </w:tabs>
          </w:pPr>
          <w:r>
            <w:rPr>
              <w:szCs w:val="18"/>
            </w:rPr>
            <w:fldChar w:fldCharType="begin"/>
          </w:r>
          <w:r>
            <w:rPr>
              <w:szCs w:val="18"/>
            </w:rPr>
            <w:instrText xml:space="preserve"> HYPERLINK \l _Toc24793 </w:instrText>
          </w:r>
          <w:r>
            <w:rPr>
              <w:szCs w:val="18"/>
            </w:rPr>
            <w:fldChar w:fldCharType="separate"/>
          </w:r>
          <w:r>
            <w:rPr>
              <w:rFonts w:hint="eastAsia"/>
              <w:lang w:val="zh-CN"/>
            </w:rPr>
            <w:t>2.1. 基本情况</w:t>
          </w:r>
          <w:r>
            <w:tab/>
          </w:r>
          <w:r>
            <w:fldChar w:fldCharType="begin"/>
          </w:r>
          <w:r>
            <w:instrText xml:space="preserve"> PAGEREF _Toc24793 \h </w:instrText>
          </w:r>
          <w:r>
            <w:fldChar w:fldCharType="separate"/>
          </w:r>
          <w:r>
            <w:t>9</w:t>
          </w:r>
          <w:r>
            <w:fldChar w:fldCharType="end"/>
          </w:r>
          <w:r>
            <w:rPr>
              <w:szCs w:val="18"/>
            </w:rPr>
            <w:fldChar w:fldCharType="end"/>
          </w:r>
        </w:p>
        <w:p w14:paraId="3D936447">
          <w:pPr>
            <w:pStyle w:val="19"/>
            <w:tabs>
              <w:tab w:val="right" w:leader="dot" w:pos="8306"/>
            </w:tabs>
          </w:pPr>
          <w:r>
            <w:rPr>
              <w:szCs w:val="18"/>
            </w:rPr>
            <w:fldChar w:fldCharType="begin"/>
          </w:r>
          <w:r>
            <w:rPr>
              <w:szCs w:val="18"/>
            </w:rPr>
            <w:instrText xml:space="preserve"> HYPERLINK \l _Toc9176 </w:instrText>
          </w:r>
          <w:r>
            <w:rPr>
              <w:szCs w:val="18"/>
            </w:rPr>
            <w:fldChar w:fldCharType="separate"/>
          </w:r>
          <w:r>
            <w:rPr>
              <w:rFonts w:hint="eastAsia"/>
            </w:rPr>
            <w:t xml:space="preserve">2.2. </w:t>
          </w:r>
          <w:r>
            <w:rPr>
              <w:rFonts w:hint="eastAsia"/>
              <w:lang w:val="en-US" w:eastAsia="zh-CN"/>
            </w:rPr>
            <w:t>大豆生产情况</w:t>
          </w:r>
          <w:r>
            <w:tab/>
          </w:r>
          <w:r>
            <w:fldChar w:fldCharType="begin"/>
          </w:r>
          <w:r>
            <w:instrText xml:space="preserve"> PAGEREF _Toc9176 \h </w:instrText>
          </w:r>
          <w:r>
            <w:fldChar w:fldCharType="separate"/>
          </w:r>
          <w:r>
            <w:t>10</w:t>
          </w:r>
          <w:r>
            <w:fldChar w:fldCharType="end"/>
          </w:r>
          <w:r>
            <w:rPr>
              <w:szCs w:val="18"/>
            </w:rPr>
            <w:fldChar w:fldCharType="end"/>
          </w:r>
        </w:p>
        <w:p w14:paraId="5F58ED89">
          <w:pPr>
            <w:pStyle w:val="19"/>
            <w:tabs>
              <w:tab w:val="right" w:leader="dot" w:pos="8306"/>
            </w:tabs>
          </w:pPr>
          <w:r>
            <w:rPr>
              <w:szCs w:val="18"/>
            </w:rPr>
            <w:fldChar w:fldCharType="begin"/>
          </w:r>
          <w:r>
            <w:rPr>
              <w:szCs w:val="18"/>
            </w:rPr>
            <w:instrText xml:space="preserve"> HYPERLINK \l _Toc32648 </w:instrText>
          </w:r>
          <w:r>
            <w:rPr>
              <w:szCs w:val="18"/>
            </w:rPr>
            <w:fldChar w:fldCharType="separate"/>
          </w:r>
          <w:r>
            <w:rPr>
              <w:rFonts w:hint="eastAsia"/>
              <w:lang w:val="zh-CN"/>
            </w:rPr>
            <w:t>2.3. 农田水利基础设施现状</w:t>
          </w:r>
          <w:r>
            <w:tab/>
          </w:r>
          <w:r>
            <w:fldChar w:fldCharType="begin"/>
          </w:r>
          <w:r>
            <w:instrText xml:space="preserve"> PAGEREF _Toc32648 \h </w:instrText>
          </w:r>
          <w:r>
            <w:fldChar w:fldCharType="separate"/>
          </w:r>
          <w:r>
            <w:t>11</w:t>
          </w:r>
          <w:r>
            <w:fldChar w:fldCharType="end"/>
          </w:r>
          <w:r>
            <w:rPr>
              <w:szCs w:val="18"/>
            </w:rPr>
            <w:fldChar w:fldCharType="end"/>
          </w:r>
        </w:p>
        <w:p w14:paraId="0017572C">
          <w:pPr>
            <w:pStyle w:val="18"/>
            <w:tabs>
              <w:tab w:val="right" w:leader="dot" w:pos="8306"/>
            </w:tabs>
          </w:pPr>
          <w:r>
            <w:rPr>
              <w:szCs w:val="18"/>
            </w:rPr>
            <w:fldChar w:fldCharType="begin"/>
          </w:r>
          <w:r>
            <w:rPr>
              <w:szCs w:val="18"/>
            </w:rPr>
            <w:instrText xml:space="preserve"> HYPERLINK \l _Toc11233 </w:instrText>
          </w:r>
          <w:r>
            <w:rPr>
              <w:szCs w:val="18"/>
            </w:rPr>
            <w:fldChar w:fldCharType="separate"/>
          </w:r>
          <w:r>
            <w:rPr>
              <w:rFonts w:hint="eastAsia"/>
              <w:szCs w:val="40"/>
              <w:lang w:val="en-US" w:eastAsia="zh-CN"/>
            </w:rPr>
            <w:t>第三章 项目技术设计方案</w:t>
          </w:r>
          <w:r>
            <w:tab/>
          </w:r>
          <w:r>
            <w:fldChar w:fldCharType="begin"/>
          </w:r>
          <w:r>
            <w:instrText xml:space="preserve"> PAGEREF _Toc11233 \h </w:instrText>
          </w:r>
          <w:r>
            <w:fldChar w:fldCharType="separate"/>
          </w:r>
          <w:r>
            <w:t>15</w:t>
          </w:r>
          <w:r>
            <w:fldChar w:fldCharType="end"/>
          </w:r>
          <w:r>
            <w:rPr>
              <w:szCs w:val="18"/>
            </w:rPr>
            <w:fldChar w:fldCharType="end"/>
          </w:r>
        </w:p>
        <w:p w14:paraId="124BD878">
          <w:pPr>
            <w:pStyle w:val="19"/>
            <w:tabs>
              <w:tab w:val="right" w:leader="dot" w:pos="8306"/>
            </w:tabs>
          </w:pPr>
          <w:r>
            <w:rPr>
              <w:szCs w:val="18"/>
            </w:rPr>
            <w:fldChar w:fldCharType="begin"/>
          </w:r>
          <w:r>
            <w:rPr>
              <w:szCs w:val="18"/>
            </w:rPr>
            <w:instrText xml:space="preserve"> HYPERLINK \l _Toc8265 </w:instrText>
          </w:r>
          <w:r>
            <w:rPr>
              <w:szCs w:val="18"/>
            </w:rPr>
            <w:fldChar w:fldCharType="separate"/>
          </w:r>
          <w:r>
            <w:rPr>
              <w:rFonts w:hint="eastAsia"/>
              <w:lang w:val="en-US" w:eastAsia="zh-CN"/>
            </w:rPr>
            <w:t xml:space="preserve">3.1. </w:t>
          </w:r>
          <w:r>
            <w:rPr>
              <w:lang w:val="en-US" w:eastAsia="zh-CN"/>
            </w:rPr>
            <w:t>技术方案</w:t>
          </w:r>
          <w:r>
            <w:tab/>
          </w:r>
          <w:r>
            <w:fldChar w:fldCharType="begin"/>
          </w:r>
          <w:r>
            <w:instrText xml:space="preserve"> PAGEREF _Toc8265 \h </w:instrText>
          </w:r>
          <w:r>
            <w:fldChar w:fldCharType="separate"/>
          </w:r>
          <w:r>
            <w:t>15</w:t>
          </w:r>
          <w:r>
            <w:fldChar w:fldCharType="end"/>
          </w:r>
          <w:r>
            <w:rPr>
              <w:szCs w:val="18"/>
            </w:rPr>
            <w:fldChar w:fldCharType="end"/>
          </w:r>
        </w:p>
        <w:p w14:paraId="1442D150">
          <w:pPr>
            <w:pStyle w:val="14"/>
            <w:tabs>
              <w:tab w:val="right" w:leader="dot" w:pos="8306"/>
            </w:tabs>
          </w:pPr>
          <w:r>
            <w:rPr>
              <w:szCs w:val="18"/>
            </w:rPr>
            <w:fldChar w:fldCharType="begin"/>
          </w:r>
          <w:r>
            <w:rPr>
              <w:szCs w:val="18"/>
            </w:rPr>
            <w:instrText xml:space="preserve"> HYPERLINK \l _Toc28587 </w:instrText>
          </w:r>
          <w:r>
            <w:rPr>
              <w:szCs w:val="18"/>
            </w:rPr>
            <w:fldChar w:fldCharType="separate"/>
          </w:r>
          <w:r>
            <w:rPr>
              <w:rFonts w:hint="eastAsia"/>
              <w:lang w:val="en-US" w:eastAsia="zh-CN"/>
            </w:rPr>
            <w:t>3.1.1. 水肥一体化技术方案</w:t>
          </w:r>
          <w:r>
            <w:tab/>
          </w:r>
          <w:r>
            <w:fldChar w:fldCharType="begin"/>
          </w:r>
          <w:r>
            <w:instrText xml:space="preserve"> PAGEREF _Toc28587 \h </w:instrText>
          </w:r>
          <w:r>
            <w:fldChar w:fldCharType="separate"/>
          </w:r>
          <w:r>
            <w:t>15</w:t>
          </w:r>
          <w:r>
            <w:fldChar w:fldCharType="end"/>
          </w:r>
          <w:r>
            <w:rPr>
              <w:szCs w:val="18"/>
            </w:rPr>
            <w:fldChar w:fldCharType="end"/>
          </w:r>
        </w:p>
        <w:p w14:paraId="35F7D0D1">
          <w:pPr>
            <w:pStyle w:val="19"/>
            <w:tabs>
              <w:tab w:val="right" w:leader="dot" w:pos="8306"/>
            </w:tabs>
          </w:pPr>
          <w:r>
            <w:rPr>
              <w:szCs w:val="18"/>
            </w:rPr>
            <w:fldChar w:fldCharType="begin"/>
          </w:r>
          <w:r>
            <w:rPr>
              <w:szCs w:val="18"/>
            </w:rPr>
            <w:instrText xml:space="preserve"> HYPERLINK \l _Toc28898 </w:instrText>
          </w:r>
          <w:r>
            <w:rPr>
              <w:szCs w:val="18"/>
            </w:rPr>
            <w:fldChar w:fldCharType="separate"/>
          </w:r>
          <w:r>
            <w:rPr>
              <w:rFonts w:hint="eastAsia"/>
              <w:lang w:val="en-US" w:eastAsia="zh-CN"/>
            </w:rPr>
            <w:t xml:space="preserve">3.2. </w:t>
          </w:r>
          <w:r>
            <w:rPr>
              <w:lang w:val="en-US" w:eastAsia="zh-CN"/>
            </w:rPr>
            <w:t>设备方案</w:t>
          </w:r>
          <w:r>
            <w:tab/>
          </w:r>
          <w:r>
            <w:fldChar w:fldCharType="begin"/>
          </w:r>
          <w:r>
            <w:instrText xml:space="preserve"> PAGEREF _Toc28898 \h </w:instrText>
          </w:r>
          <w:r>
            <w:fldChar w:fldCharType="separate"/>
          </w:r>
          <w:r>
            <w:t>18</w:t>
          </w:r>
          <w:r>
            <w:fldChar w:fldCharType="end"/>
          </w:r>
          <w:r>
            <w:rPr>
              <w:szCs w:val="18"/>
            </w:rPr>
            <w:fldChar w:fldCharType="end"/>
          </w:r>
        </w:p>
        <w:p w14:paraId="2CF5BBC4">
          <w:pPr>
            <w:pStyle w:val="14"/>
            <w:tabs>
              <w:tab w:val="right" w:leader="dot" w:pos="8306"/>
            </w:tabs>
          </w:pPr>
          <w:r>
            <w:rPr>
              <w:szCs w:val="18"/>
            </w:rPr>
            <w:fldChar w:fldCharType="begin"/>
          </w:r>
          <w:r>
            <w:rPr>
              <w:szCs w:val="18"/>
            </w:rPr>
            <w:instrText xml:space="preserve"> HYPERLINK \l _Toc32661 </w:instrText>
          </w:r>
          <w:r>
            <w:rPr>
              <w:szCs w:val="18"/>
            </w:rPr>
            <w:fldChar w:fldCharType="separate"/>
          </w:r>
          <w:r>
            <w:rPr>
              <w:rFonts w:hint="eastAsia"/>
              <w:lang w:val="en-US" w:eastAsia="zh-CN"/>
            </w:rPr>
            <w:t>3.2.1. 首部系统设备选型</w:t>
          </w:r>
          <w:r>
            <w:tab/>
          </w:r>
          <w:r>
            <w:fldChar w:fldCharType="begin"/>
          </w:r>
          <w:r>
            <w:instrText xml:space="preserve"> PAGEREF _Toc32661 \h </w:instrText>
          </w:r>
          <w:r>
            <w:fldChar w:fldCharType="separate"/>
          </w:r>
          <w:r>
            <w:t>18</w:t>
          </w:r>
          <w:r>
            <w:fldChar w:fldCharType="end"/>
          </w:r>
          <w:r>
            <w:rPr>
              <w:szCs w:val="18"/>
            </w:rPr>
            <w:fldChar w:fldCharType="end"/>
          </w:r>
        </w:p>
        <w:p w14:paraId="2ADB967F">
          <w:pPr>
            <w:pStyle w:val="14"/>
            <w:tabs>
              <w:tab w:val="right" w:leader="dot" w:pos="8306"/>
            </w:tabs>
          </w:pPr>
          <w:r>
            <w:rPr>
              <w:szCs w:val="18"/>
            </w:rPr>
            <w:fldChar w:fldCharType="begin"/>
          </w:r>
          <w:r>
            <w:rPr>
              <w:szCs w:val="18"/>
            </w:rPr>
            <w:instrText xml:space="preserve"> HYPERLINK \l _Toc15141 </w:instrText>
          </w:r>
          <w:r>
            <w:rPr>
              <w:szCs w:val="18"/>
            </w:rPr>
            <w:fldChar w:fldCharType="separate"/>
          </w:r>
          <w:r>
            <w:rPr>
              <w:rFonts w:hint="eastAsia"/>
              <w:lang w:val="en-US" w:eastAsia="zh-CN"/>
            </w:rPr>
            <w:t xml:space="preserve">3.2.2. </w:t>
          </w:r>
          <w:r>
            <w:rPr>
              <w:lang w:val="en-US" w:eastAsia="zh-CN"/>
            </w:rPr>
            <w:t>管网系统管道选型</w:t>
          </w:r>
          <w:r>
            <w:tab/>
          </w:r>
          <w:r>
            <w:fldChar w:fldCharType="begin"/>
          </w:r>
          <w:r>
            <w:instrText xml:space="preserve"> PAGEREF _Toc15141 \h </w:instrText>
          </w:r>
          <w:r>
            <w:fldChar w:fldCharType="separate"/>
          </w:r>
          <w:r>
            <w:t>22</w:t>
          </w:r>
          <w:r>
            <w:fldChar w:fldCharType="end"/>
          </w:r>
          <w:r>
            <w:rPr>
              <w:szCs w:val="18"/>
            </w:rPr>
            <w:fldChar w:fldCharType="end"/>
          </w:r>
        </w:p>
        <w:p w14:paraId="7772C221">
          <w:pPr>
            <w:pStyle w:val="19"/>
            <w:tabs>
              <w:tab w:val="right" w:leader="dot" w:pos="8306"/>
            </w:tabs>
          </w:pPr>
          <w:r>
            <w:rPr>
              <w:szCs w:val="18"/>
            </w:rPr>
            <w:fldChar w:fldCharType="begin"/>
          </w:r>
          <w:r>
            <w:rPr>
              <w:szCs w:val="18"/>
            </w:rPr>
            <w:instrText xml:space="preserve"> HYPERLINK \l _Toc13678 </w:instrText>
          </w:r>
          <w:r>
            <w:rPr>
              <w:szCs w:val="18"/>
            </w:rPr>
            <w:fldChar w:fldCharType="separate"/>
          </w:r>
          <w:r>
            <w:rPr>
              <w:rFonts w:hint="eastAsia"/>
              <w:lang w:val="en-US" w:eastAsia="zh-CN"/>
            </w:rPr>
            <w:t xml:space="preserve">3.3. </w:t>
          </w:r>
          <w:r>
            <w:rPr>
              <w:lang w:val="en-US" w:eastAsia="zh-CN"/>
            </w:rPr>
            <w:t>工程方案</w:t>
          </w:r>
          <w:r>
            <w:tab/>
          </w:r>
          <w:r>
            <w:fldChar w:fldCharType="begin"/>
          </w:r>
          <w:r>
            <w:instrText xml:space="preserve"> PAGEREF _Toc13678 \h </w:instrText>
          </w:r>
          <w:r>
            <w:fldChar w:fldCharType="separate"/>
          </w:r>
          <w:r>
            <w:t>23</w:t>
          </w:r>
          <w:r>
            <w:fldChar w:fldCharType="end"/>
          </w:r>
          <w:r>
            <w:rPr>
              <w:szCs w:val="18"/>
            </w:rPr>
            <w:fldChar w:fldCharType="end"/>
          </w:r>
        </w:p>
        <w:p w14:paraId="17E51E82">
          <w:pPr>
            <w:pStyle w:val="14"/>
            <w:tabs>
              <w:tab w:val="right" w:leader="dot" w:pos="8306"/>
            </w:tabs>
          </w:pPr>
          <w:r>
            <w:rPr>
              <w:szCs w:val="18"/>
            </w:rPr>
            <w:fldChar w:fldCharType="begin"/>
          </w:r>
          <w:r>
            <w:rPr>
              <w:szCs w:val="18"/>
            </w:rPr>
            <w:instrText xml:space="preserve"> HYPERLINK \l _Toc21468 </w:instrText>
          </w:r>
          <w:r>
            <w:rPr>
              <w:szCs w:val="18"/>
            </w:rPr>
            <w:fldChar w:fldCharType="separate"/>
          </w:r>
          <w:r>
            <w:rPr>
              <w:rFonts w:hint="eastAsia"/>
              <w:lang w:val="en-US" w:eastAsia="zh-CN"/>
            </w:rPr>
            <w:t>3.3.1. 建筑设计</w:t>
          </w:r>
          <w:r>
            <w:tab/>
          </w:r>
          <w:r>
            <w:fldChar w:fldCharType="begin"/>
          </w:r>
          <w:r>
            <w:instrText xml:space="preserve"> PAGEREF _Toc21468 \h </w:instrText>
          </w:r>
          <w:r>
            <w:fldChar w:fldCharType="separate"/>
          </w:r>
          <w:r>
            <w:t>23</w:t>
          </w:r>
          <w:r>
            <w:fldChar w:fldCharType="end"/>
          </w:r>
          <w:r>
            <w:rPr>
              <w:szCs w:val="18"/>
            </w:rPr>
            <w:fldChar w:fldCharType="end"/>
          </w:r>
        </w:p>
        <w:p w14:paraId="28E61DFD">
          <w:pPr>
            <w:pStyle w:val="14"/>
            <w:tabs>
              <w:tab w:val="right" w:leader="dot" w:pos="8306"/>
            </w:tabs>
          </w:pPr>
          <w:r>
            <w:rPr>
              <w:szCs w:val="18"/>
            </w:rPr>
            <w:fldChar w:fldCharType="begin"/>
          </w:r>
          <w:r>
            <w:rPr>
              <w:szCs w:val="18"/>
            </w:rPr>
            <w:instrText xml:space="preserve"> HYPERLINK \l _Toc21538 </w:instrText>
          </w:r>
          <w:r>
            <w:rPr>
              <w:szCs w:val="18"/>
            </w:rPr>
            <w:fldChar w:fldCharType="separate"/>
          </w:r>
          <w:r>
            <w:rPr>
              <w:rFonts w:hint="eastAsia"/>
              <w:lang w:val="en-US" w:eastAsia="zh-CN"/>
            </w:rPr>
            <w:t>3.3.2. 建筑设计依据</w:t>
          </w:r>
          <w:r>
            <w:tab/>
          </w:r>
          <w:r>
            <w:fldChar w:fldCharType="begin"/>
          </w:r>
          <w:r>
            <w:instrText xml:space="preserve"> PAGEREF _Toc21538 \h </w:instrText>
          </w:r>
          <w:r>
            <w:fldChar w:fldCharType="separate"/>
          </w:r>
          <w:r>
            <w:t>23</w:t>
          </w:r>
          <w:r>
            <w:fldChar w:fldCharType="end"/>
          </w:r>
          <w:r>
            <w:rPr>
              <w:szCs w:val="18"/>
            </w:rPr>
            <w:fldChar w:fldCharType="end"/>
          </w:r>
        </w:p>
        <w:p w14:paraId="5C00702D">
          <w:pPr>
            <w:pStyle w:val="14"/>
            <w:tabs>
              <w:tab w:val="right" w:leader="dot" w:pos="8306"/>
            </w:tabs>
          </w:pPr>
          <w:r>
            <w:rPr>
              <w:szCs w:val="18"/>
            </w:rPr>
            <w:fldChar w:fldCharType="begin"/>
          </w:r>
          <w:r>
            <w:rPr>
              <w:szCs w:val="18"/>
            </w:rPr>
            <w:instrText xml:space="preserve"> HYPERLINK \l _Toc30283 </w:instrText>
          </w:r>
          <w:r>
            <w:rPr>
              <w:szCs w:val="18"/>
            </w:rPr>
            <w:fldChar w:fldCharType="separate"/>
          </w:r>
          <w:r>
            <w:rPr>
              <w:rFonts w:hint="eastAsia"/>
              <w:lang w:val="en-US" w:eastAsia="zh-CN"/>
            </w:rPr>
            <w:t>3.3.3. 建筑设计措施</w:t>
          </w:r>
          <w:r>
            <w:tab/>
          </w:r>
          <w:r>
            <w:fldChar w:fldCharType="begin"/>
          </w:r>
          <w:r>
            <w:instrText xml:space="preserve"> PAGEREF _Toc30283 \h </w:instrText>
          </w:r>
          <w:r>
            <w:fldChar w:fldCharType="separate"/>
          </w:r>
          <w:r>
            <w:t>24</w:t>
          </w:r>
          <w:r>
            <w:fldChar w:fldCharType="end"/>
          </w:r>
          <w:r>
            <w:rPr>
              <w:szCs w:val="18"/>
            </w:rPr>
            <w:fldChar w:fldCharType="end"/>
          </w:r>
        </w:p>
        <w:p w14:paraId="7231C2C3">
          <w:pPr>
            <w:pStyle w:val="14"/>
            <w:tabs>
              <w:tab w:val="right" w:leader="dot" w:pos="8306"/>
            </w:tabs>
          </w:pPr>
          <w:r>
            <w:rPr>
              <w:szCs w:val="18"/>
            </w:rPr>
            <w:fldChar w:fldCharType="begin"/>
          </w:r>
          <w:r>
            <w:rPr>
              <w:szCs w:val="18"/>
            </w:rPr>
            <w:instrText xml:space="preserve"> HYPERLINK \l _Toc17872 </w:instrText>
          </w:r>
          <w:r>
            <w:rPr>
              <w:szCs w:val="18"/>
            </w:rPr>
            <w:fldChar w:fldCharType="separate"/>
          </w:r>
          <w:r>
            <w:rPr>
              <w:rFonts w:hint="eastAsia"/>
              <w:lang w:val="en-US" w:eastAsia="zh-CN"/>
            </w:rPr>
            <w:t>3.3.4. 水池设计依据</w:t>
          </w:r>
          <w:r>
            <w:tab/>
          </w:r>
          <w:r>
            <w:fldChar w:fldCharType="begin"/>
          </w:r>
          <w:r>
            <w:instrText xml:space="preserve"> PAGEREF _Toc17872 \h </w:instrText>
          </w:r>
          <w:r>
            <w:fldChar w:fldCharType="separate"/>
          </w:r>
          <w:r>
            <w:t>25</w:t>
          </w:r>
          <w:r>
            <w:fldChar w:fldCharType="end"/>
          </w:r>
          <w:r>
            <w:rPr>
              <w:szCs w:val="18"/>
            </w:rPr>
            <w:fldChar w:fldCharType="end"/>
          </w:r>
        </w:p>
        <w:p w14:paraId="4F8A4160">
          <w:pPr>
            <w:pStyle w:val="14"/>
            <w:tabs>
              <w:tab w:val="right" w:leader="dot" w:pos="8306"/>
            </w:tabs>
          </w:pPr>
          <w:r>
            <w:rPr>
              <w:szCs w:val="18"/>
            </w:rPr>
            <w:fldChar w:fldCharType="begin"/>
          </w:r>
          <w:r>
            <w:rPr>
              <w:szCs w:val="18"/>
            </w:rPr>
            <w:instrText xml:space="preserve"> HYPERLINK \l _Toc6259 </w:instrText>
          </w:r>
          <w:r>
            <w:rPr>
              <w:szCs w:val="18"/>
            </w:rPr>
            <w:fldChar w:fldCharType="separate"/>
          </w:r>
          <w:r>
            <w:rPr>
              <w:rFonts w:hint="eastAsia"/>
              <w:lang w:val="en-US" w:eastAsia="zh-CN"/>
            </w:rPr>
            <w:t>3.3.5. 水池设计措施</w:t>
          </w:r>
          <w:r>
            <w:tab/>
          </w:r>
          <w:r>
            <w:fldChar w:fldCharType="begin"/>
          </w:r>
          <w:r>
            <w:instrText xml:space="preserve"> PAGEREF _Toc6259 \h </w:instrText>
          </w:r>
          <w:r>
            <w:fldChar w:fldCharType="separate"/>
          </w:r>
          <w:r>
            <w:t>25</w:t>
          </w:r>
          <w:r>
            <w:fldChar w:fldCharType="end"/>
          </w:r>
          <w:r>
            <w:rPr>
              <w:szCs w:val="18"/>
            </w:rPr>
            <w:fldChar w:fldCharType="end"/>
          </w:r>
        </w:p>
        <w:p w14:paraId="7A6751C5">
          <w:pPr>
            <w:pStyle w:val="14"/>
            <w:tabs>
              <w:tab w:val="right" w:leader="dot" w:pos="8306"/>
            </w:tabs>
          </w:pPr>
          <w:r>
            <w:rPr>
              <w:szCs w:val="18"/>
            </w:rPr>
            <w:fldChar w:fldCharType="begin"/>
          </w:r>
          <w:r>
            <w:rPr>
              <w:szCs w:val="18"/>
            </w:rPr>
            <w:instrText xml:space="preserve"> HYPERLINK \l _Toc29540 </w:instrText>
          </w:r>
          <w:r>
            <w:rPr>
              <w:szCs w:val="18"/>
            </w:rPr>
            <w:fldChar w:fldCharType="separate"/>
          </w:r>
          <w:r>
            <w:rPr>
              <w:rFonts w:hint="eastAsia"/>
              <w:lang w:val="en-US" w:eastAsia="zh-CN"/>
            </w:rPr>
            <w:t>3.3.6. 管网设计依据</w:t>
          </w:r>
          <w:r>
            <w:tab/>
          </w:r>
          <w:r>
            <w:fldChar w:fldCharType="begin"/>
          </w:r>
          <w:r>
            <w:instrText xml:space="preserve"> PAGEREF _Toc29540 \h </w:instrText>
          </w:r>
          <w:r>
            <w:fldChar w:fldCharType="separate"/>
          </w:r>
          <w:r>
            <w:t>26</w:t>
          </w:r>
          <w:r>
            <w:fldChar w:fldCharType="end"/>
          </w:r>
          <w:r>
            <w:rPr>
              <w:szCs w:val="18"/>
            </w:rPr>
            <w:fldChar w:fldCharType="end"/>
          </w:r>
        </w:p>
        <w:p w14:paraId="4355ED47">
          <w:pPr>
            <w:pStyle w:val="14"/>
            <w:tabs>
              <w:tab w:val="right" w:leader="dot" w:pos="8306"/>
            </w:tabs>
          </w:pPr>
          <w:r>
            <w:rPr>
              <w:szCs w:val="18"/>
            </w:rPr>
            <w:fldChar w:fldCharType="begin"/>
          </w:r>
          <w:r>
            <w:rPr>
              <w:szCs w:val="18"/>
            </w:rPr>
            <w:instrText xml:space="preserve"> HYPERLINK \l _Toc26298 </w:instrText>
          </w:r>
          <w:r>
            <w:rPr>
              <w:szCs w:val="18"/>
            </w:rPr>
            <w:fldChar w:fldCharType="separate"/>
          </w:r>
          <w:r>
            <w:rPr>
              <w:rFonts w:hint="eastAsia"/>
              <w:lang w:val="en-US" w:eastAsia="zh-CN"/>
            </w:rPr>
            <w:t>3.3.7. 管网设计措施</w:t>
          </w:r>
          <w:r>
            <w:tab/>
          </w:r>
          <w:r>
            <w:fldChar w:fldCharType="begin"/>
          </w:r>
          <w:r>
            <w:instrText xml:space="preserve"> PAGEREF _Toc26298 \h </w:instrText>
          </w:r>
          <w:r>
            <w:fldChar w:fldCharType="separate"/>
          </w:r>
          <w:r>
            <w:t>26</w:t>
          </w:r>
          <w:r>
            <w:fldChar w:fldCharType="end"/>
          </w:r>
          <w:r>
            <w:rPr>
              <w:szCs w:val="18"/>
            </w:rPr>
            <w:fldChar w:fldCharType="end"/>
          </w:r>
        </w:p>
        <w:p w14:paraId="79244353">
          <w:pPr>
            <w:pStyle w:val="18"/>
            <w:tabs>
              <w:tab w:val="right" w:leader="dot" w:pos="8306"/>
            </w:tabs>
          </w:pPr>
          <w:r>
            <w:rPr>
              <w:szCs w:val="18"/>
            </w:rPr>
            <w:fldChar w:fldCharType="begin"/>
          </w:r>
          <w:r>
            <w:rPr>
              <w:szCs w:val="18"/>
            </w:rPr>
            <w:instrText xml:space="preserve"> HYPERLINK \l _Toc18986 </w:instrText>
          </w:r>
          <w:r>
            <w:rPr>
              <w:szCs w:val="18"/>
            </w:rPr>
            <w:fldChar w:fldCharType="separate"/>
          </w:r>
          <w:r>
            <w:rPr>
              <w:rFonts w:hint="eastAsia"/>
              <w:szCs w:val="28"/>
              <w:lang w:val="en-US" w:eastAsia="zh-CN"/>
            </w:rPr>
            <w:t>第四章 项目区建设内容</w:t>
          </w:r>
          <w:r>
            <w:tab/>
          </w:r>
          <w:r>
            <w:fldChar w:fldCharType="begin"/>
          </w:r>
          <w:r>
            <w:instrText xml:space="preserve"> PAGEREF _Toc18986 \h </w:instrText>
          </w:r>
          <w:r>
            <w:fldChar w:fldCharType="separate"/>
          </w:r>
          <w:r>
            <w:t>28</w:t>
          </w:r>
          <w:r>
            <w:fldChar w:fldCharType="end"/>
          </w:r>
          <w:r>
            <w:rPr>
              <w:szCs w:val="18"/>
            </w:rPr>
            <w:fldChar w:fldCharType="end"/>
          </w:r>
        </w:p>
        <w:p w14:paraId="2BD373C2">
          <w:pPr>
            <w:pStyle w:val="19"/>
            <w:tabs>
              <w:tab w:val="right" w:leader="dot" w:pos="8306"/>
            </w:tabs>
          </w:pPr>
          <w:r>
            <w:rPr>
              <w:szCs w:val="18"/>
            </w:rPr>
            <w:fldChar w:fldCharType="begin"/>
          </w:r>
          <w:r>
            <w:rPr>
              <w:szCs w:val="18"/>
            </w:rPr>
            <w:instrText xml:space="preserve"> HYPERLINK \l _Toc18866 </w:instrText>
          </w:r>
          <w:r>
            <w:rPr>
              <w:szCs w:val="18"/>
            </w:rPr>
            <w:fldChar w:fldCharType="separate"/>
          </w:r>
          <w:r>
            <w:rPr>
              <w:rFonts w:hint="eastAsia"/>
              <w:lang w:val="en-US" w:eastAsia="zh-CN"/>
            </w:rPr>
            <w:t>4.1. 石洞镇（核心区）</w:t>
          </w:r>
          <w:r>
            <w:tab/>
          </w:r>
          <w:r>
            <w:fldChar w:fldCharType="begin"/>
          </w:r>
          <w:r>
            <w:instrText xml:space="preserve"> PAGEREF _Toc18866 \h </w:instrText>
          </w:r>
          <w:r>
            <w:fldChar w:fldCharType="separate"/>
          </w:r>
          <w:r>
            <w:t>38</w:t>
          </w:r>
          <w:r>
            <w:fldChar w:fldCharType="end"/>
          </w:r>
          <w:r>
            <w:rPr>
              <w:szCs w:val="18"/>
            </w:rPr>
            <w:fldChar w:fldCharType="end"/>
          </w:r>
        </w:p>
        <w:p w14:paraId="752A9DBB">
          <w:pPr>
            <w:pStyle w:val="14"/>
            <w:tabs>
              <w:tab w:val="right" w:leader="dot" w:pos="8306"/>
            </w:tabs>
          </w:pPr>
          <w:r>
            <w:rPr>
              <w:szCs w:val="18"/>
            </w:rPr>
            <w:fldChar w:fldCharType="begin"/>
          </w:r>
          <w:r>
            <w:rPr>
              <w:szCs w:val="18"/>
            </w:rPr>
            <w:instrText xml:space="preserve"> HYPERLINK \l _Toc26372 </w:instrText>
          </w:r>
          <w:r>
            <w:rPr>
              <w:szCs w:val="18"/>
            </w:rPr>
            <w:fldChar w:fldCharType="separate"/>
          </w:r>
          <w:r>
            <w:rPr>
              <w:rFonts w:hint="eastAsia"/>
              <w:lang w:val="en-US" w:eastAsia="zh-CN"/>
            </w:rPr>
            <w:t>4.1.1. 双祠堂村</w:t>
          </w:r>
          <w:r>
            <w:tab/>
          </w:r>
          <w:r>
            <w:fldChar w:fldCharType="begin"/>
          </w:r>
          <w:r>
            <w:instrText xml:space="preserve"> PAGEREF _Toc26372 \h </w:instrText>
          </w:r>
          <w:r>
            <w:fldChar w:fldCharType="separate"/>
          </w:r>
          <w:r>
            <w:t>38</w:t>
          </w:r>
          <w:r>
            <w:fldChar w:fldCharType="end"/>
          </w:r>
          <w:r>
            <w:rPr>
              <w:szCs w:val="18"/>
            </w:rPr>
            <w:fldChar w:fldCharType="end"/>
          </w:r>
        </w:p>
        <w:p w14:paraId="47E449B3">
          <w:pPr>
            <w:pStyle w:val="14"/>
            <w:tabs>
              <w:tab w:val="right" w:leader="dot" w:pos="8306"/>
            </w:tabs>
          </w:pPr>
          <w:r>
            <w:rPr>
              <w:szCs w:val="18"/>
            </w:rPr>
            <w:fldChar w:fldCharType="begin"/>
          </w:r>
          <w:r>
            <w:rPr>
              <w:szCs w:val="18"/>
            </w:rPr>
            <w:instrText xml:space="preserve"> HYPERLINK \l _Toc12034 </w:instrText>
          </w:r>
          <w:r>
            <w:rPr>
              <w:szCs w:val="18"/>
            </w:rPr>
            <w:fldChar w:fldCharType="separate"/>
          </w:r>
          <w:r>
            <w:rPr>
              <w:rFonts w:hint="eastAsia"/>
              <w:lang w:val="en-US" w:eastAsia="zh-CN"/>
            </w:rPr>
            <w:t>4.1.2. 谭家坝村</w:t>
          </w:r>
          <w:r>
            <w:tab/>
          </w:r>
          <w:r>
            <w:fldChar w:fldCharType="begin"/>
          </w:r>
          <w:r>
            <w:instrText xml:space="preserve"> PAGEREF _Toc12034 \h </w:instrText>
          </w:r>
          <w:r>
            <w:fldChar w:fldCharType="separate"/>
          </w:r>
          <w:r>
            <w:t>60</w:t>
          </w:r>
          <w:r>
            <w:fldChar w:fldCharType="end"/>
          </w:r>
          <w:r>
            <w:rPr>
              <w:szCs w:val="18"/>
            </w:rPr>
            <w:fldChar w:fldCharType="end"/>
          </w:r>
        </w:p>
        <w:p w14:paraId="0F2B5D28">
          <w:pPr>
            <w:pStyle w:val="19"/>
            <w:tabs>
              <w:tab w:val="right" w:leader="dot" w:pos="8306"/>
            </w:tabs>
          </w:pPr>
          <w:r>
            <w:rPr>
              <w:szCs w:val="18"/>
            </w:rPr>
            <w:fldChar w:fldCharType="begin"/>
          </w:r>
          <w:r>
            <w:rPr>
              <w:szCs w:val="18"/>
            </w:rPr>
            <w:instrText xml:space="preserve"> HYPERLINK \l _Toc23578 </w:instrText>
          </w:r>
          <w:r>
            <w:rPr>
              <w:szCs w:val="18"/>
            </w:rPr>
            <w:fldChar w:fldCharType="separate"/>
          </w:r>
          <w:r>
            <w:rPr>
              <w:rFonts w:hint="eastAsia"/>
              <w:lang w:val="en-US" w:eastAsia="zh-CN"/>
            </w:rPr>
            <w:t>4.2. 东禅镇（辐射区）</w:t>
          </w:r>
          <w:r>
            <w:tab/>
          </w:r>
          <w:r>
            <w:fldChar w:fldCharType="begin"/>
          </w:r>
          <w:r>
            <w:instrText xml:space="preserve"> PAGEREF _Toc23578 \h </w:instrText>
          </w:r>
          <w:r>
            <w:fldChar w:fldCharType="separate"/>
          </w:r>
          <w:r>
            <w:t>80</w:t>
          </w:r>
          <w:r>
            <w:fldChar w:fldCharType="end"/>
          </w:r>
          <w:r>
            <w:rPr>
              <w:szCs w:val="18"/>
            </w:rPr>
            <w:fldChar w:fldCharType="end"/>
          </w:r>
        </w:p>
        <w:p w14:paraId="6C503C39">
          <w:pPr>
            <w:pStyle w:val="14"/>
            <w:tabs>
              <w:tab w:val="right" w:leader="dot" w:pos="8306"/>
            </w:tabs>
          </w:pPr>
          <w:r>
            <w:rPr>
              <w:szCs w:val="18"/>
            </w:rPr>
            <w:fldChar w:fldCharType="begin"/>
          </w:r>
          <w:r>
            <w:rPr>
              <w:szCs w:val="18"/>
            </w:rPr>
            <w:instrText xml:space="preserve"> HYPERLINK \l _Toc22218 </w:instrText>
          </w:r>
          <w:r>
            <w:rPr>
              <w:szCs w:val="18"/>
            </w:rPr>
            <w:fldChar w:fldCharType="separate"/>
          </w:r>
          <w:r>
            <w:rPr>
              <w:rFonts w:hint="eastAsia"/>
              <w:lang w:val="en-US" w:eastAsia="zh-CN"/>
            </w:rPr>
            <w:t>4.2.1. 先华村</w:t>
          </w:r>
          <w:r>
            <w:tab/>
          </w:r>
          <w:r>
            <w:fldChar w:fldCharType="begin"/>
          </w:r>
          <w:r>
            <w:instrText xml:space="preserve"> PAGEREF _Toc22218 \h </w:instrText>
          </w:r>
          <w:r>
            <w:fldChar w:fldCharType="separate"/>
          </w:r>
          <w:r>
            <w:t>80</w:t>
          </w:r>
          <w:r>
            <w:fldChar w:fldCharType="end"/>
          </w:r>
          <w:r>
            <w:rPr>
              <w:szCs w:val="18"/>
            </w:rPr>
            <w:fldChar w:fldCharType="end"/>
          </w:r>
        </w:p>
        <w:p w14:paraId="084E5652">
          <w:pPr>
            <w:pStyle w:val="14"/>
            <w:tabs>
              <w:tab w:val="right" w:leader="dot" w:pos="8306"/>
            </w:tabs>
          </w:pPr>
          <w:r>
            <w:rPr>
              <w:szCs w:val="18"/>
            </w:rPr>
            <w:fldChar w:fldCharType="begin"/>
          </w:r>
          <w:r>
            <w:rPr>
              <w:szCs w:val="18"/>
            </w:rPr>
            <w:instrText xml:space="preserve"> HYPERLINK \l _Toc27968 </w:instrText>
          </w:r>
          <w:r>
            <w:rPr>
              <w:szCs w:val="18"/>
            </w:rPr>
            <w:fldChar w:fldCharType="separate"/>
          </w:r>
          <w:r>
            <w:rPr>
              <w:rFonts w:hint="eastAsia"/>
              <w:lang w:val="en-US" w:eastAsia="zh-CN"/>
            </w:rPr>
            <w:t>4.2.2. 仙湖村</w:t>
          </w:r>
          <w:r>
            <w:tab/>
          </w:r>
          <w:r>
            <w:fldChar w:fldCharType="begin"/>
          </w:r>
          <w:r>
            <w:instrText xml:space="preserve"> PAGEREF _Toc27968 \h </w:instrText>
          </w:r>
          <w:r>
            <w:fldChar w:fldCharType="separate"/>
          </w:r>
          <w:r>
            <w:t>82</w:t>
          </w:r>
          <w:r>
            <w:fldChar w:fldCharType="end"/>
          </w:r>
          <w:r>
            <w:rPr>
              <w:szCs w:val="18"/>
            </w:rPr>
            <w:fldChar w:fldCharType="end"/>
          </w:r>
        </w:p>
        <w:p w14:paraId="46D12CC3">
          <w:pPr>
            <w:pStyle w:val="14"/>
            <w:tabs>
              <w:tab w:val="right" w:leader="dot" w:pos="8306"/>
            </w:tabs>
          </w:pPr>
          <w:r>
            <w:rPr>
              <w:szCs w:val="18"/>
            </w:rPr>
            <w:fldChar w:fldCharType="begin"/>
          </w:r>
          <w:r>
            <w:rPr>
              <w:szCs w:val="18"/>
            </w:rPr>
            <w:instrText xml:space="preserve"> HYPERLINK \l _Toc12537 </w:instrText>
          </w:r>
          <w:r>
            <w:rPr>
              <w:szCs w:val="18"/>
            </w:rPr>
            <w:fldChar w:fldCharType="separate"/>
          </w:r>
          <w:r>
            <w:rPr>
              <w:rFonts w:hint="eastAsia"/>
              <w:lang w:val="en-US" w:eastAsia="zh-CN"/>
            </w:rPr>
            <w:t>4.2.3. 报国寺村</w:t>
          </w:r>
          <w:r>
            <w:tab/>
          </w:r>
          <w:r>
            <w:fldChar w:fldCharType="begin"/>
          </w:r>
          <w:r>
            <w:instrText xml:space="preserve"> PAGEREF _Toc12537 \h </w:instrText>
          </w:r>
          <w:r>
            <w:fldChar w:fldCharType="separate"/>
          </w:r>
          <w:r>
            <w:t>84</w:t>
          </w:r>
          <w:r>
            <w:fldChar w:fldCharType="end"/>
          </w:r>
          <w:r>
            <w:rPr>
              <w:szCs w:val="18"/>
            </w:rPr>
            <w:fldChar w:fldCharType="end"/>
          </w:r>
        </w:p>
        <w:p w14:paraId="74F8F7EB">
          <w:pPr>
            <w:pStyle w:val="19"/>
            <w:tabs>
              <w:tab w:val="right" w:leader="dot" w:pos="8306"/>
            </w:tabs>
          </w:pPr>
          <w:r>
            <w:rPr>
              <w:szCs w:val="18"/>
            </w:rPr>
            <w:fldChar w:fldCharType="begin"/>
          </w:r>
          <w:r>
            <w:rPr>
              <w:szCs w:val="18"/>
            </w:rPr>
            <w:instrText xml:space="preserve"> HYPERLINK \l _Toc16493 </w:instrText>
          </w:r>
          <w:r>
            <w:rPr>
              <w:szCs w:val="18"/>
            </w:rPr>
            <w:fldChar w:fldCharType="separate"/>
          </w:r>
          <w:r>
            <w:rPr>
              <w:rFonts w:hint="eastAsia"/>
              <w:lang w:val="en-US" w:eastAsia="zh-CN"/>
            </w:rPr>
            <w:t>4.3. 中兴镇（辐射区）</w:t>
          </w:r>
          <w:r>
            <w:tab/>
          </w:r>
          <w:r>
            <w:fldChar w:fldCharType="begin"/>
          </w:r>
          <w:r>
            <w:instrText xml:space="preserve"> PAGEREF _Toc16493 \h </w:instrText>
          </w:r>
          <w:r>
            <w:fldChar w:fldCharType="separate"/>
          </w:r>
          <w:r>
            <w:t>87</w:t>
          </w:r>
          <w:r>
            <w:fldChar w:fldCharType="end"/>
          </w:r>
          <w:r>
            <w:rPr>
              <w:szCs w:val="18"/>
            </w:rPr>
            <w:fldChar w:fldCharType="end"/>
          </w:r>
        </w:p>
        <w:p w14:paraId="4BFFBD62">
          <w:pPr>
            <w:pStyle w:val="14"/>
            <w:tabs>
              <w:tab w:val="right" w:leader="dot" w:pos="8306"/>
            </w:tabs>
          </w:pPr>
          <w:r>
            <w:rPr>
              <w:szCs w:val="18"/>
            </w:rPr>
            <w:fldChar w:fldCharType="begin"/>
          </w:r>
          <w:r>
            <w:rPr>
              <w:szCs w:val="18"/>
            </w:rPr>
            <w:instrText xml:space="preserve"> HYPERLINK \l _Toc29285 </w:instrText>
          </w:r>
          <w:r>
            <w:rPr>
              <w:szCs w:val="18"/>
            </w:rPr>
            <w:fldChar w:fldCharType="separate"/>
          </w:r>
          <w:r>
            <w:rPr>
              <w:rFonts w:hint="eastAsia"/>
              <w:lang w:val="en-US" w:eastAsia="zh-CN"/>
            </w:rPr>
            <w:t>4.3.1. 安家沟村</w:t>
          </w:r>
          <w:r>
            <w:tab/>
          </w:r>
          <w:r>
            <w:fldChar w:fldCharType="begin"/>
          </w:r>
          <w:r>
            <w:instrText xml:space="preserve"> PAGEREF _Toc29285 \h </w:instrText>
          </w:r>
          <w:r>
            <w:fldChar w:fldCharType="separate"/>
          </w:r>
          <w:r>
            <w:t>87</w:t>
          </w:r>
          <w:r>
            <w:fldChar w:fldCharType="end"/>
          </w:r>
          <w:r>
            <w:rPr>
              <w:szCs w:val="18"/>
            </w:rPr>
            <w:fldChar w:fldCharType="end"/>
          </w:r>
        </w:p>
        <w:p w14:paraId="21BE4719">
          <w:pPr>
            <w:pStyle w:val="14"/>
            <w:tabs>
              <w:tab w:val="right" w:leader="dot" w:pos="8306"/>
            </w:tabs>
          </w:pPr>
          <w:r>
            <w:rPr>
              <w:szCs w:val="18"/>
            </w:rPr>
            <w:fldChar w:fldCharType="begin"/>
          </w:r>
          <w:r>
            <w:rPr>
              <w:szCs w:val="18"/>
            </w:rPr>
            <w:instrText xml:space="preserve"> HYPERLINK \l _Toc10991 </w:instrText>
          </w:r>
          <w:r>
            <w:rPr>
              <w:szCs w:val="18"/>
            </w:rPr>
            <w:fldChar w:fldCharType="separate"/>
          </w:r>
          <w:r>
            <w:rPr>
              <w:rFonts w:hint="eastAsia"/>
              <w:lang w:val="en-US" w:eastAsia="zh-CN"/>
            </w:rPr>
            <w:t>4.3.2. 高楼房村</w:t>
          </w:r>
          <w:r>
            <w:tab/>
          </w:r>
          <w:r>
            <w:fldChar w:fldCharType="begin"/>
          </w:r>
          <w:r>
            <w:instrText xml:space="preserve"> PAGEREF _Toc10991 \h </w:instrText>
          </w:r>
          <w:r>
            <w:fldChar w:fldCharType="separate"/>
          </w:r>
          <w:r>
            <w:t>89</w:t>
          </w:r>
          <w:r>
            <w:fldChar w:fldCharType="end"/>
          </w:r>
          <w:r>
            <w:rPr>
              <w:szCs w:val="18"/>
            </w:rPr>
            <w:fldChar w:fldCharType="end"/>
          </w:r>
        </w:p>
        <w:p w14:paraId="0EAB6813">
          <w:pPr>
            <w:pStyle w:val="14"/>
            <w:tabs>
              <w:tab w:val="right" w:leader="dot" w:pos="8306"/>
            </w:tabs>
          </w:pPr>
          <w:r>
            <w:rPr>
              <w:szCs w:val="18"/>
            </w:rPr>
            <w:fldChar w:fldCharType="begin"/>
          </w:r>
          <w:r>
            <w:rPr>
              <w:szCs w:val="18"/>
            </w:rPr>
            <w:instrText xml:space="preserve"> HYPERLINK \l _Toc1968 </w:instrText>
          </w:r>
          <w:r>
            <w:rPr>
              <w:szCs w:val="18"/>
            </w:rPr>
            <w:fldChar w:fldCharType="separate"/>
          </w:r>
          <w:r>
            <w:rPr>
              <w:rFonts w:hint="eastAsia"/>
              <w:lang w:val="en-US" w:eastAsia="zh-CN"/>
            </w:rPr>
            <w:t>4.3.3. 山神庙村</w:t>
          </w:r>
          <w:r>
            <w:tab/>
          </w:r>
          <w:r>
            <w:fldChar w:fldCharType="begin"/>
          </w:r>
          <w:r>
            <w:instrText xml:space="preserve"> PAGEREF _Toc1968 \h </w:instrText>
          </w:r>
          <w:r>
            <w:fldChar w:fldCharType="separate"/>
          </w:r>
          <w:r>
            <w:t>91</w:t>
          </w:r>
          <w:r>
            <w:fldChar w:fldCharType="end"/>
          </w:r>
          <w:r>
            <w:rPr>
              <w:szCs w:val="18"/>
            </w:rPr>
            <w:fldChar w:fldCharType="end"/>
          </w:r>
        </w:p>
        <w:p w14:paraId="367E0660">
          <w:pPr>
            <w:pStyle w:val="14"/>
            <w:tabs>
              <w:tab w:val="right" w:leader="dot" w:pos="8306"/>
            </w:tabs>
          </w:pPr>
          <w:r>
            <w:rPr>
              <w:szCs w:val="18"/>
            </w:rPr>
            <w:fldChar w:fldCharType="begin"/>
          </w:r>
          <w:r>
            <w:rPr>
              <w:szCs w:val="18"/>
            </w:rPr>
            <w:instrText xml:space="preserve"> HYPERLINK \l _Toc18755 </w:instrText>
          </w:r>
          <w:r>
            <w:rPr>
              <w:szCs w:val="18"/>
            </w:rPr>
            <w:fldChar w:fldCharType="separate"/>
          </w:r>
          <w:r>
            <w:rPr>
              <w:rFonts w:hint="eastAsia"/>
              <w:lang w:val="en-US" w:eastAsia="zh-CN"/>
            </w:rPr>
            <w:t>4.3.4. 响滩子村</w:t>
          </w:r>
          <w:r>
            <w:tab/>
          </w:r>
          <w:r>
            <w:fldChar w:fldCharType="begin"/>
          </w:r>
          <w:r>
            <w:instrText xml:space="preserve"> PAGEREF _Toc18755 \h </w:instrText>
          </w:r>
          <w:r>
            <w:fldChar w:fldCharType="separate"/>
          </w:r>
          <w:r>
            <w:t>94</w:t>
          </w:r>
          <w:r>
            <w:fldChar w:fldCharType="end"/>
          </w:r>
          <w:r>
            <w:rPr>
              <w:szCs w:val="18"/>
            </w:rPr>
            <w:fldChar w:fldCharType="end"/>
          </w:r>
        </w:p>
        <w:p w14:paraId="5F586086">
          <w:pPr>
            <w:pStyle w:val="19"/>
            <w:tabs>
              <w:tab w:val="right" w:leader="dot" w:pos="8306"/>
            </w:tabs>
          </w:pPr>
          <w:r>
            <w:rPr>
              <w:szCs w:val="18"/>
            </w:rPr>
            <w:fldChar w:fldCharType="begin"/>
          </w:r>
          <w:r>
            <w:rPr>
              <w:szCs w:val="18"/>
            </w:rPr>
            <w:instrText xml:space="preserve"> HYPERLINK \l _Toc31800 </w:instrText>
          </w:r>
          <w:r>
            <w:rPr>
              <w:szCs w:val="18"/>
            </w:rPr>
            <w:fldChar w:fldCharType="separate"/>
          </w:r>
          <w:r>
            <w:rPr>
              <w:rFonts w:hint="eastAsia"/>
              <w:lang w:val="en-US" w:eastAsia="zh-CN"/>
            </w:rPr>
            <w:t>4.4. 白马镇（辐射区）</w:t>
          </w:r>
          <w:r>
            <w:tab/>
          </w:r>
          <w:r>
            <w:fldChar w:fldCharType="begin"/>
          </w:r>
          <w:r>
            <w:instrText xml:space="preserve"> PAGEREF _Toc31800 \h </w:instrText>
          </w:r>
          <w:r>
            <w:fldChar w:fldCharType="separate"/>
          </w:r>
          <w:r>
            <w:t>96</w:t>
          </w:r>
          <w:r>
            <w:fldChar w:fldCharType="end"/>
          </w:r>
          <w:r>
            <w:rPr>
              <w:szCs w:val="18"/>
            </w:rPr>
            <w:fldChar w:fldCharType="end"/>
          </w:r>
        </w:p>
        <w:p w14:paraId="6CAE9B9A">
          <w:pPr>
            <w:pStyle w:val="14"/>
            <w:tabs>
              <w:tab w:val="right" w:leader="dot" w:pos="8306"/>
            </w:tabs>
          </w:pPr>
          <w:r>
            <w:rPr>
              <w:szCs w:val="18"/>
            </w:rPr>
            <w:fldChar w:fldCharType="begin"/>
          </w:r>
          <w:r>
            <w:rPr>
              <w:szCs w:val="18"/>
            </w:rPr>
            <w:instrText xml:space="preserve"> HYPERLINK \l _Toc16063 </w:instrText>
          </w:r>
          <w:r>
            <w:rPr>
              <w:szCs w:val="18"/>
            </w:rPr>
            <w:fldChar w:fldCharType="separate"/>
          </w:r>
          <w:r>
            <w:rPr>
              <w:rFonts w:hint="eastAsia"/>
              <w:lang w:val="en-US" w:eastAsia="zh-CN"/>
            </w:rPr>
            <w:t>4.4.1. 河边井村</w:t>
          </w:r>
          <w:r>
            <w:tab/>
          </w:r>
          <w:r>
            <w:fldChar w:fldCharType="begin"/>
          </w:r>
          <w:r>
            <w:instrText xml:space="preserve"> PAGEREF _Toc16063 \h </w:instrText>
          </w:r>
          <w:r>
            <w:fldChar w:fldCharType="separate"/>
          </w:r>
          <w:r>
            <w:t>96</w:t>
          </w:r>
          <w:r>
            <w:fldChar w:fldCharType="end"/>
          </w:r>
          <w:r>
            <w:rPr>
              <w:szCs w:val="18"/>
            </w:rPr>
            <w:fldChar w:fldCharType="end"/>
          </w:r>
        </w:p>
        <w:p w14:paraId="5539C3D7">
          <w:pPr>
            <w:pStyle w:val="14"/>
            <w:tabs>
              <w:tab w:val="right" w:leader="dot" w:pos="8306"/>
            </w:tabs>
          </w:pPr>
          <w:r>
            <w:rPr>
              <w:szCs w:val="18"/>
            </w:rPr>
            <w:fldChar w:fldCharType="begin"/>
          </w:r>
          <w:r>
            <w:rPr>
              <w:szCs w:val="18"/>
            </w:rPr>
            <w:instrText xml:space="preserve"> HYPERLINK \l _Toc23973 </w:instrText>
          </w:r>
          <w:r>
            <w:rPr>
              <w:szCs w:val="18"/>
            </w:rPr>
            <w:fldChar w:fldCharType="separate"/>
          </w:r>
          <w:r>
            <w:rPr>
              <w:rFonts w:hint="eastAsia"/>
              <w:lang w:val="en-US" w:eastAsia="zh-CN"/>
            </w:rPr>
            <w:t>4.4.2. 黄盐井村</w:t>
          </w:r>
          <w:r>
            <w:tab/>
          </w:r>
          <w:r>
            <w:fldChar w:fldCharType="begin"/>
          </w:r>
          <w:r>
            <w:instrText xml:space="preserve"> PAGEREF _Toc23973 \h </w:instrText>
          </w:r>
          <w:r>
            <w:fldChar w:fldCharType="separate"/>
          </w:r>
          <w:r>
            <w:t>99</w:t>
          </w:r>
          <w:r>
            <w:fldChar w:fldCharType="end"/>
          </w:r>
          <w:r>
            <w:rPr>
              <w:szCs w:val="18"/>
            </w:rPr>
            <w:fldChar w:fldCharType="end"/>
          </w:r>
        </w:p>
        <w:p w14:paraId="7E7996C6">
          <w:pPr>
            <w:pStyle w:val="14"/>
            <w:tabs>
              <w:tab w:val="right" w:leader="dot" w:pos="8306"/>
            </w:tabs>
          </w:pPr>
          <w:r>
            <w:rPr>
              <w:szCs w:val="18"/>
            </w:rPr>
            <w:fldChar w:fldCharType="begin"/>
          </w:r>
          <w:r>
            <w:rPr>
              <w:szCs w:val="18"/>
            </w:rPr>
            <w:instrText xml:space="preserve"> HYPERLINK \l _Toc9069 </w:instrText>
          </w:r>
          <w:r>
            <w:rPr>
              <w:szCs w:val="18"/>
            </w:rPr>
            <w:fldChar w:fldCharType="separate"/>
          </w:r>
          <w:r>
            <w:rPr>
              <w:rFonts w:hint="eastAsia"/>
              <w:lang w:val="en-US" w:eastAsia="zh-CN"/>
            </w:rPr>
            <w:t>4.4.3. 清凉寺村</w:t>
          </w:r>
          <w:r>
            <w:tab/>
          </w:r>
          <w:r>
            <w:fldChar w:fldCharType="begin"/>
          </w:r>
          <w:r>
            <w:instrText xml:space="preserve"> PAGEREF _Toc9069 \h </w:instrText>
          </w:r>
          <w:r>
            <w:fldChar w:fldCharType="separate"/>
          </w:r>
          <w:r>
            <w:t>104</w:t>
          </w:r>
          <w:r>
            <w:fldChar w:fldCharType="end"/>
          </w:r>
          <w:r>
            <w:rPr>
              <w:szCs w:val="18"/>
            </w:rPr>
            <w:fldChar w:fldCharType="end"/>
          </w:r>
        </w:p>
        <w:p w14:paraId="5142261D">
          <w:pPr>
            <w:pStyle w:val="19"/>
            <w:tabs>
              <w:tab w:val="right" w:leader="dot" w:pos="8306"/>
            </w:tabs>
          </w:pPr>
          <w:r>
            <w:rPr>
              <w:szCs w:val="18"/>
            </w:rPr>
            <w:fldChar w:fldCharType="begin"/>
          </w:r>
          <w:r>
            <w:rPr>
              <w:szCs w:val="18"/>
            </w:rPr>
            <w:instrText xml:space="preserve"> HYPERLINK \l _Toc10455 </w:instrText>
          </w:r>
          <w:r>
            <w:rPr>
              <w:szCs w:val="18"/>
            </w:rPr>
            <w:fldChar w:fldCharType="separate"/>
          </w:r>
          <w:r>
            <w:rPr>
              <w:rFonts w:hint="eastAsia"/>
              <w:lang w:val="en-US" w:eastAsia="zh-CN"/>
            </w:rPr>
            <w:t>4.5. 西眉镇（辐射区）</w:t>
          </w:r>
          <w:r>
            <w:tab/>
          </w:r>
          <w:r>
            <w:fldChar w:fldCharType="begin"/>
          </w:r>
          <w:r>
            <w:instrText xml:space="preserve"> PAGEREF _Toc10455 \h </w:instrText>
          </w:r>
          <w:r>
            <w:fldChar w:fldCharType="separate"/>
          </w:r>
          <w:r>
            <w:t>106</w:t>
          </w:r>
          <w:r>
            <w:fldChar w:fldCharType="end"/>
          </w:r>
          <w:r>
            <w:rPr>
              <w:szCs w:val="18"/>
            </w:rPr>
            <w:fldChar w:fldCharType="end"/>
          </w:r>
        </w:p>
        <w:p w14:paraId="081826D8">
          <w:pPr>
            <w:pStyle w:val="14"/>
            <w:tabs>
              <w:tab w:val="right" w:leader="dot" w:pos="8306"/>
            </w:tabs>
          </w:pPr>
          <w:r>
            <w:rPr>
              <w:szCs w:val="18"/>
            </w:rPr>
            <w:fldChar w:fldCharType="begin"/>
          </w:r>
          <w:r>
            <w:rPr>
              <w:szCs w:val="18"/>
            </w:rPr>
            <w:instrText xml:space="preserve"> HYPERLINK \l _Toc6594 </w:instrText>
          </w:r>
          <w:r>
            <w:rPr>
              <w:szCs w:val="18"/>
            </w:rPr>
            <w:fldChar w:fldCharType="separate"/>
          </w:r>
          <w:r>
            <w:rPr>
              <w:rFonts w:hint="eastAsia"/>
              <w:lang w:val="en-US" w:eastAsia="zh-CN"/>
            </w:rPr>
            <w:t>4.5.1. 新宁村</w:t>
          </w:r>
          <w:r>
            <w:tab/>
          </w:r>
          <w:r>
            <w:fldChar w:fldCharType="begin"/>
          </w:r>
          <w:r>
            <w:instrText xml:space="preserve"> PAGEREF _Toc6594 \h </w:instrText>
          </w:r>
          <w:r>
            <w:fldChar w:fldCharType="separate"/>
          </w:r>
          <w:r>
            <w:t>106</w:t>
          </w:r>
          <w:r>
            <w:fldChar w:fldCharType="end"/>
          </w:r>
          <w:r>
            <w:rPr>
              <w:szCs w:val="18"/>
            </w:rPr>
            <w:fldChar w:fldCharType="end"/>
          </w:r>
        </w:p>
        <w:p w14:paraId="136B919F">
          <w:pPr>
            <w:pStyle w:val="14"/>
            <w:tabs>
              <w:tab w:val="right" w:leader="dot" w:pos="8306"/>
            </w:tabs>
          </w:pPr>
          <w:r>
            <w:rPr>
              <w:szCs w:val="18"/>
            </w:rPr>
            <w:fldChar w:fldCharType="begin"/>
          </w:r>
          <w:r>
            <w:rPr>
              <w:szCs w:val="18"/>
            </w:rPr>
            <w:instrText xml:space="preserve"> HYPERLINK \l _Toc29498 </w:instrText>
          </w:r>
          <w:r>
            <w:rPr>
              <w:szCs w:val="18"/>
            </w:rPr>
            <w:fldChar w:fldCharType="separate"/>
          </w:r>
          <w:r>
            <w:rPr>
              <w:rFonts w:hint="eastAsia"/>
              <w:lang w:val="en-US" w:eastAsia="zh-CN"/>
            </w:rPr>
            <w:t>4.5.2. 中心村</w:t>
          </w:r>
          <w:r>
            <w:tab/>
          </w:r>
          <w:r>
            <w:fldChar w:fldCharType="begin"/>
          </w:r>
          <w:r>
            <w:instrText xml:space="preserve"> PAGEREF _Toc29498 \h </w:instrText>
          </w:r>
          <w:r>
            <w:fldChar w:fldCharType="separate"/>
          </w:r>
          <w:r>
            <w:t>109</w:t>
          </w:r>
          <w:r>
            <w:fldChar w:fldCharType="end"/>
          </w:r>
          <w:r>
            <w:rPr>
              <w:szCs w:val="18"/>
            </w:rPr>
            <w:fldChar w:fldCharType="end"/>
          </w:r>
        </w:p>
        <w:p w14:paraId="0F45D603">
          <w:pPr>
            <w:pStyle w:val="18"/>
            <w:tabs>
              <w:tab w:val="right" w:leader="dot" w:pos="8306"/>
            </w:tabs>
          </w:pPr>
          <w:r>
            <w:rPr>
              <w:szCs w:val="18"/>
            </w:rPr>
            <w:fldChar w:fldCharType="begin"/>
          </w:r>
          <w:r>
            <w:rPr>
              <w:szCs w:val="18"/>
            </w:rPr>
            <w:instrText xml:space="preserve"> HYPERLINK \l _Toc4890 </w:instrText>
          </w:r>
          <w:r>
            <w:rPr>
              <w:szCs w:val="18"/>
            </w:rPr>
            <w:fldChar w:fldCharType="separate"/>
          </w:r>
          <w:r>
            <w:rPr>
              <w:rFonts w:hint="eastAsia"/>
              <w:szCs w:val="28"/>
              <w:lang w:val="en-US" w:eastAsia="zh-CN"/>
            </w:rPr>
            <w:t>第五章 项目进度安排</w:t>
          </w:r>
          <w:r>
            <w:tab/>
          </w:r>
          <w:r>
            <w:fldChar w:fldCharType="begin"/>
          </w:r>
          <w:r>
            <w:instrText xml:space="preserve"> PAGEREF _Toc4890 \h </w:instrText>
          </w:r>
          <w:r>
            <w:fldChar w:fldCharType="separate"/>
          </w:r>
          <w:r>
            <w:t>111</w:t>
          </w:r>
          <w:r>
            <w:fldChar w:fldCharType="end"/>
          </w:r>
          <w:r>
            <w:rPr>
              <w:szCs w:val="18"/>
            </w:rPr>
            <w:fldChar w:fldCharType="end"/>
          </w:r>
        </w:p>
        <w:p w14:paraId="191E6C7E">
          <w:pPr>
            <w:pStyle w:val="18"/>
            <w:tabs>
              <w:tab w:val="right" w:leader="dot" w:pos="8306"/>
            </w:tabs>
          </w:pPr>
          <w:r>
            <w:rPr>
              <w:szCs w:val="18"/>
            </w:rPr>
            <w:fldChar w:fldCharType="begin"/>
          </w:r>
          <w:r>
            <w:rPr>
              <w:szCs w:val="18"/>
            </w:rPr>
            <w:instrText xml:space="preserve"> HYPERLINK \l _Toc23502 </w:instrText>
          </w:r>
          <w:r>
            <w:rPr>
              <w:szCs w:val="18"/>
            </w:rPr>
            <w:fldChar w:fldCharType="separate"/>
          </w:r>
          <w:r>
            <w:rPr>
              <w:rFonts w:hint="eastAsia"/>
              <w:lang w:val="en-US" w:eastAsia="zh-CN"/>
            </w:rPr>
            <w:t>第六章 项目区投资概算、资金筹措及使用计划</w:t>
          </w:r>
          <w:r>
            <w:tab/>
          </w:r>
          <w:r>
            <w:fldChar w:fldCharType="begin"/>
          </w:r>
          <w:r>
            <w:instrText xml:space="preserve"> PAGEREF _Toc23502 \h </w:instrText>
          </w:r>
          <w:r>
            <w:fldChar w:fldCharType="separate"/>
          </w:r>
          <w:r>
            <w:t>116</w:t>
          </w:r>
          <w:r>
            <w:fldChar w:fldCharType="end"/>
          </w:r>
          <w:r>
            <w:rPr>
              <w:szCs w:val="18"/>
            </w:rPr>
            <w:fldChar w:fldCharType="end"/>
          </w:r>
        </w:p>
        <w:p w14:paraId="09E734A3">
          <w:pPr>
            <w:pStyle w:val="19"/>
            <w:tabs>
              <w:tab w:val="right" w:leader="dot" w:pos="8306"/>
            </w:tabs>
          </w:pPr>
          <w:r>
            <w:rPr>
              <w:szCs w:val="18"/>
            </w:rPr>
            <w:fldChar w:fldCharType="begin"/>
          </w:r>
          <w:r>
            <w:rPr>
              <w:szCs w:val="18"/>
            </w:rPr>
            <w:instrText xml:space="preserve"> HYPERLINK \l _Toc16681 </w:instrText>
          </w:r>
          <w:r>
            <w:rPr>
              <w:szCs w:val="18"/>
            </w:rPr>
            <w:fldChar w:fldCharType="separate"/>
          </w:r>
          <w:r>
            <w:rPr>
              <w:rFonts w:hint="eastAsia"/>
              <w:lang w:val="en-US" w:eastAsia="zh-CN"/>
            </w:rPr>
            <w:t>6.1. 概算依据</w:t>
          </w:r>
          <w:r>
            <w:tab/>
          </w:r>
          <w:r>
            <w:fldChar w:fldCharType="begin"/>
          </w:r>
          <w:r>
            <w:instrText xml:space="preserve"> PAGEREF _Toc16681 \h </w:instrText>
          </w:r>
          <w:r>
            <w:fldChar w:fldCharType="separate"/>
          </w:r>
          <w:r>
            <w:t>116</w:t>
          </w:r>
          <w:r>
            <w:fldChar w:fldCharType="end"/>
          </w:r>
          <w:r>
            <w:rPr>
              <w:szCs w:val="18"/>
            </w:rPr>
            <w:fldChar w:fldCharType="end"/>
          </w:r>
        </w:p>
        <w:p w14:paraId="18766CD2">
          <w:pPr>
            <w:pStyle w:val="19"/>
            <w:tabs>
              <w:tab w:val="right" w:leader="dot" w:pos="8306"/>
            </w:tabs>
          </w:pPr>
          <w:r>
            <w:rPr>
              <w:szCs w:val="18"/>
            </w:rPr>
            <w:fldChar w:fldCharType="begin"/>
          </w:r>
          <w:r>
            <w:rPr>
              <w:szCs w:val="18"/>
            </w:rPr>
            <w:instrText xml:space="preserve"> HYPERLINK \l _Toc26982 </w:instrText>
          </w:r>
          <w:r>
            <w:rPr>
              <w:szCs w:val="18"/>
            </w:rPr>
            <w:fldChar w:fldCharType="separate"/>
          </w:r>
          <w:r>
            <w:rPr>
              <w:rFonts w:hint="eastAsia"/>
              <w:lang w:val="en-US" w:eastAsia="zh-CN"/>
            </w:rPr>
            <w:t>6.2. 资金估算及筹措</w:t>
          </w:r>
          <w:r>
            <w:tab/>
          </w:r>
          <w:r>
            <w:fldChar w:fldCharType="begin"/>
          </w:r>
          <w:r>
            <w:instrText xml:space="preserve"> PAGEREF _Toc26982 \h </w:instrText>
          </w:r>
          <w:r>
            <w:fldChar w:fldCharType="separate"/>
          </w:r>
          <w:r>
            <w:t>116</w:t>
          </w:r>
          <w:r>
            <w:fldChar w:fldCharType="end"/>
          </w:r>
          <w:r>
            <w:rPr>
              <w:szCs w:val="18"/>
            </w:rPr>
            <w:fldChar w:fldCharType="end"/>
          </w:r>
        </w:p>
        <w:p w14:paraId="166FA1B7">
          <w:pPr>
            <w:pStyle w:val="19"/>
            <w:tabs>
              <w:tab w:val="right" w:leader="dot" w:pos="8306"/>
            </w:tabs>
          </w:pPr>
          <w:r>
            <w:rPr>
              <w:szCs w:val="18"/>
            </w:rPr>
            <w:fldChar w:fldCharType="begin"/>
          </w:r>
          <w:r>
            <w:rPr>
              <w:szCs w:val="18"/>
            </w:rPr>
            <w:instrText xml:space="preserve"> HYPERLINK \l _Toc25523 </w:instrText>
          </w:r>
          <w:r>
            <w:rPr>
              <w:szCs w:val="18"/>
            </w:rPr>
            <w:fldChar w:fldCharType="separate"/>
          </w:r>
          <w:r>
            <w:rPr>
              <w:rFonts w:hint="eastAsia"/>
              <w:lang w:val="en-US" w:eastAsia="zh-CN"/>
            </w:rPr>
            <w:t>6.3. 资金使用方式</w:t>
          </w:r>
          <w:r>
            <w:tab/>
          </w:r>
          <w:r>
            <w:fldChar w:fldCharType="begin"/>
          </w:r>
          <w:r>
            <w:instrText xml:space="preserve"> PAGEREF _Toc25523 \h </w:instrText>
          </w:r>
          <w:r>
            <w:fldChar w:fldCharType="separate"/>
          </w:r>
          <w:r>
            <w:t>127</w:t>
          </w:r>
          <w:r>
            <w:fldChar w:fldCharType="end"/>
          </w:r>
          <w:r>
            <w:rPr>
              <w:szCs w:val="18"/>
            </w:rPr>
            <w:fldChar w:fldCharType="end"/>
          </w:r>
        </w:p>
        <w:p w14:paraId="5D6DA216">
          <w:pPr>
            <w:pStyle w:val="14"/>
            <w:tabs>
              <w:tab w:val="right" w:leader="dot" w:pos="8306"/>
            </w:tabs>
          </w:pPr>
          <w:r>
            <w:rPr>
              <w:szCs w:val="18"/>
            </w:rPr>
            <w:fldChar w:fldCharType="begin"/>
          </w:r>
          <w:r>
            <w:rPr>
              <w:szCs w:val="18"/>
            </w:rPr>
            <w:instrText xml:space="preserve"> HYPERLINK \l _Toc26605 </w:instrText>
          </w:r>
          <w:r>
            <w:rPr>
              <w:szCs w:val="18"/>
            </w:rPr>
            <w:fldChar w:fldCharType="separate"/>
          </w:r>
          <w:r>
            <w:rPr>
              <w:rFonts w:hint="eastAsia"/>
              <w:lang w:val="en-US" w:eastAsia="zh-CN"/>
            </w:rPr>
            <w:t>6.3.1. 严格执行招标制度</w:t>
          </w:r>
          <w:r>
            <w:tab/>
          </w:r>
          <w:r>
            <w:fldChar w:fldCharType="begin"/>
          </w:r>
          <w:r>
            <w:instrText xml:space="preserve"> PAGEREF _Toc26605 \h </w:instrText>
          </w:r>
          <w:r>
            <w:fldChar w:fldCharType="separate"/>
          </w:r>
          <w:r>
            <w:t>127</w:t>
          </w:r>
          <w:r>
            <w:fldChar w:fldCharType="end"/>
          </w:r>
          <w:r>
            <w:rPr>
              <w:szCs w:val="18"/>
            </w:rPr>
            <w:fldChar w:fldCharType="end"/>
          </w:r>
        </w:p>
        <w:p w14:paraId="42CD2E36">
          <w:pPr>
            <w:pStyle w:val="14"/>
            <w:tabs>
              <w:tab w:val="right" w:leader="dot" w:pos="8306"/>
            </w:tabs>
          </w:pPr>
          <w:r>
            <w:rPr>
              <w:szCs w:val="18"/>
            </w:rPr>
            <w:fldChar w:fldCharType="begin"/>
          </w:r>
          <w:r>
            <w:rPr>
              <w:szCs w:val="18"/>
            </w:rPr>
            <w:instrText xml:space="preserve"> HYPERLINK \l _Toc23887 </w:instrText>
          </w:r>
          <w:r>
            <w:rPr>
              <w:szCs w:val="18"/>
            </w:rPr>
            <w:fldChar w:fldCharType="separate"/>
          </w:r>
          <w:r>
            <w:rPr>
              <w:rFonts w:hint="eastAsia"/>
              <w:lang w:val="en-US" w:eastAsia="zh-CN"/>
            </w:rPr>
            <w:t>6.3.2. 严格执行公示公告制度</w:t>
          </w:r>
          <w:r>
            <w:tab/>
          </w:r>
          <w:r>
            <w:fldChar w:fldCharType="begin"/>
          </w:r>
          <w:r>
            <w:instrText xml:space="preserve"> PAGEREF _Toc23887 \h </w:instrText>
          </w:r>
          <w:r>
            <w:fldChar w:fldCharType="separate"/>
          </w:r>
          <w:r>
            <w:t>127</w:t>
          </w:r>
          <w:r>
            <w:fldChar w:fldCharType="end"/>
          </w:r>
          <w:r>
            <w:rPr>
              <w:szCs w:val="18"/>
            </w:rPr>
            <w:fldChar w:fldCharType="end"/>
          </w:r>
        </w:p>
        <w:p w14:paraId="1F0E189B">
          <w:pPr>
            <w:pStyle w:val="14"/>
            <w:tabs>
              <w:tab w:val="right" w:leader="dot" w:pos="8306"/>
            </w:tabs>
          </w:pPr>
          <w:r>
            <w:rPr>
              <w:szCs w:val="18"/>
            </w:rPr>
            <w:fldChar w:fldCharType="begin"/>
          </w:r>
          <w:r>
            <w:rPr>
              <w:szCs w:val="18"/>
            </w:rPr>
            <w:instrText xml:space="preserve"> HYPERLINK \l _Toc9387 </w:instrText>
          </w:r>
          <w:r>
            <w:rPr>
              <w:szCs w:val="18"/>
            </w:rPr>
            <w:fldChar w:fldCharType="separate"/>
          </w:r>
          <w:r>
            <w:rPr>
              <w:rFonts w:hint="eastAsia"/>
              <w:lang w:val="en-US" w:eastAsia="zh-CN"/>
            </w:rPr>
            <w:t>6.3.3. 财政资金使用方式</w:t>
          </w:r>
          <w:r>
            <w:tab/>
          </w:r>
          <w:r>
            <w:fldChar w:fldCharType="begin"/>
          </w:r>
          <w:r>
            <w:instrText xml:space="preserve"> PAGEREF _Toc9387 \h </w:instrText>
          </w:r>
          <w:r>
            <w:fldChar w:fldCharType="separate"/>
          </w:r>
          <w:r>
            <w:t>127</w:t>
          </w:r>
          <w:r>
            <w:fldChar w:fldCharType="end"/>
          </w:r>
          <w:r>
            <w:rPr>
              <w:szCs w:val="18"/>
            </w:rPr>
            <w:fldChar w:fldCharType="end"/>
          </w:r>
        </w:p>
        <w:p w14:paraId="7817C832">
          <w:pPr>
            <w:pStyle w:val="18"/>
            <w:tabs>
              <w:tab w:val="right" w:leader="dot" w:pos="8306"/>
            </w:tabs>
          </w:pPr>
          <w:r>
            <w:rPr>
              <w:szCs w:val="18"/>
            </w:rPr>
            <w:fldChar w:fldCharType="begin"/>
          </w:r>
          <w:r>
            <w:rPr>
              <w:szCs w:val="18"/>
            </w:rPr>
            <w:instrText xml:space="preserve"> HYPERLINK \l _Toc3843 </w:instrText>
          </w:r>
          <w:r>
            <w:rPr>
              <w:szCs w:val="18"/>
            </w:rPr>
            <w:fldChar w:fldCharType="separate"/>
          </w:r>
          <w:r>
            <w:rPr>
              <w:rFonts w:hint="eastAsia"/>
              <w:szCs w:val="28"/>
              <w:lang w:val="en-US" w:eastAsia="zh-CN"/>
            </w:rPr>
            <w:t>第七章 项目实施效果</w:t>
          </w:r>
          <w:r>
            <w:tab/>
          </w:r>
          <w:r>
            <w:fldChar w:fldCharType="begin"/>
          </w:r>
          <w:r>
            <w:instrText xml:space="preserve"> PAGEREF _Toc3843 \h </w:instrText>
          </w:r>
          <w:r>
            <w:fldChar w:fldCharType="separate"/>
          </w:r>
          <w:r>
            <w:t>128</w:t>
          </w:r>
          <w:r>
            <w:fldChar w:fldCharType="end"/>
          </w:r>
          <w:r>
            <w:rPr>
              <w:szCs w:val="18"/>
            </w:rPr>
            <w:fldChar w:fldCharType="end"/>
          </w:r>
        </w:p>
        <w:p w14:paraId="65A0478C">
          <w:pPr>
            <w:pStyle w:val="19"/>
            <w:tabs>
              <w:tab w:val="right" w:leader="dot" w:pos="8306"/>
            </w:tabs>
          </w:pPr>
          <w:r>
            <w:rPr>
              <w:szCs w:val="18"/>
            </w:rPr>
            <w:fldChar w:fldCharType="begin"/>
          </w:r>
          <w:r>
            <w:rPr>
              <w:szCs w:val="18"/>
            </w:rPr>
            <w:instrText xml:space="preserve"> HYPERLINK \l _Toc10723 </w:instrText>
          </w:r>
          <w:r>
            <w:rPr>
              <w:szCs w:val="18"/>
            </w:rPr>
            <w:fldChar w:fldCharType="separate"/>
          </w:r>
          <w:r>
            <w:rPr>
              <w:rFonts w:hint="eastAsia"/>
              <w:lang w:val="en-US" w:eastAsia="zh-CN"/>
            </w:rPr>
            <w:t>7.1. 经济效益</w:t>
          </w:r>
          <w:r>
            <w:tab/>
          </w:r>
          <w:r>
            <w:fldChar w:fldCharType="begin"/>
          </w:r>
          <w:r>
            <w:instrText xml:space="preserve"> PAGEREF _Toc10723 \h </w:instrText>
          </w:r>
          <w:r>
            <w:fldChar w:fldCharType="separate"/>
          </w:r>
          <w:r>
            <w:t>128</w:t>
          </w:r>
          <w:r>
            <w:fldChar w:fldCharType="end"/>
          </w:r>
          <w:r>
            <w:rPr>
              <w:szCs w:val="18"/>
            </w:rPr>
            <w:fldChar w:fldCharType="end"/>
          </w:r>
        </w:p>
        <w:p w14:paraId="5991DA0C">
          <w:pPr>
            <w:pStyle w:val="19"/>
            <w:tabs>
              <w:tab w:val="right" w:leader="dot" w:pos="8306"/>
            </w:tabs>
          </w:pPr>
          <w:r>
            <w:rPr>
              <w:szCs w:val="18"/>
            </w:rPr>
            <w:fldChar w:fldCharType="begin"/>
          </w:r>
          <w:r>
            <w:rPr>
              <w:szCs w:val="18"/>
            </w:rPr>
            <w:instrText xml:space="preserve"> HYPERLINK \l _Toc14841 </w:instrText>
          </w:r>
          <w:r>
            <w:rPr>
              <w:szCs w:val="18"/>
            </w:rPr>
            <w:fldChar w:fldCharType="separate"/>
          </w:r>
          <w:r>
            <w:rPr>
              <w:rFonts w:hint="eastAsia"/>
              <w:lang w:val="en-US" w:eastAsia="zh-CN"/>
            </w:rPr>
            <w:t>7.2. 社会效益</w:t>
          </w:r>
          <w:r>
            <w:tab/>
          </w:r>
          <w:r>
            <w:fldChar w:fldCharType="begin"/>
          </w:r>
          <w:r>
            <w:instrText xml:space="preserve"> PAGEREF _Toc14841 \h </w:instrText>
          </w:r>
          <w:r>
            <w:fldChar w:fldCharType="separate"/>
          </w:r>
          <w:r>
            <w:t>128</w:t>
          </w:r>
          <w:r>
            <w:fldChar w:fldCharType="end"/>
          </w:r>
          <w:r>
            <w:rPr>
              <w:szCs w:val="18"/>
            </w:rPr>
            <w:fldChar w:fldCharType="end"/>
          </w:r>
        </w:p>
        <w:p w14:paraId="3AAB100E">
          <w:pPr>
            <w:pStyle w:val="19"/>
            <w:tabs>
              <w:tab w:val="right" w:leader="dot" w:pos="8306"/>
            </w:tabs>
          </w:pPr>
          <w:r>
            <w:rPr>
              <w:szCs w:val="18"/>
            </w:rPr>
            <w:fldChar w:fldCharType="begin"/>
          </w:r>
          <w:r>
            <w:rPr>
              <w:szCs w:val="18"/>
            </w:rPr>
            <w:instrText xml:space="preserve"> HYPERLINK \l _Toc23624 </w:instrText>
          </w:r>
          <w:r>
            <w:rPr>
              <w:szCs w:val="18"/>
            </w:rPr>
            <w:fldChar w:fldCharType="separate"/>
          </w:r>
          <w:r>
            <w:rPr>
              <w:rFonts w:hint="eastAsia"/>
              <w:lang w:val="en-US" w:eastAsia="zh-CN"/>
            </w:rPr>
            <w:t>7.3. 生态效益</w:t>
          </w:r>
          <w:r>
            <w:tab/>
          </w:r>
          <w:r>
            <w:fldChar w:fldCharType="begin"/>
          </w:r>
          <w:r>
            <w:instrText xml:space="preserve"> PAGEREF _Toc23624 \h </w:instrText>
          </w:r>
          <w:r>
            <w:fldChar w:fldCharType="separate"/>
          </w:r>
          <w:r>
            <w:t>129</w:t>
          </w:r>
          <w:r>
            <w:fldChar w:fldCharType="end"/>
          </w:r>
          <w:r>
            <w:rPr>
              <w:szCs w:val="18"/>
            </w:rPr>
            <w:fldChar w:fldCharType="end"/>
          </w:r>
        </w:p>
        <w:p w14:paraId="72CCB4B5">
          <w:pPr>
            <w:pStyle w:val="18"/>
            <w:tabs>
              <w:tab w:val="right" w:leader="dot" w:pos="8306"/>
            </w:tabs>
          </w:pPr>
          <w:r>
            <w:rPr>
              <w:szCs w:val="18"/>
            </w:rPr>
            <w:fldChar w:fldCharType="begin"/>
          </w:r>
          <w:r>
            <w:rPr>
              <w:szCs w:val="18"/>
            </w:rPr>
            <w:instrText xml:space="preserve"> HYPERLINK \l _Toc24475 </w:instrText>
          </w:r>
          <w:r>
            <w:rPr>
              <w:szCs w:val="18"/>
            </w:rPr>
            <w:fldChar w:fldCharType="separate"/>
          </w:r>
          <w:r>
            <w:rPr>
              <w:rFonts w:hint="eastAsia"/>
              <w:lang w:val="en-US" w:eastAsia="zh-CN"/>
            </w:rPr>
            <w:t>第八章 保障措施</w:t>
          </w:r>
          <w:r>
            <w:tab/>
          </w:r>
          <w:r>
            <w:fldChar w:fldCharType="begin"/>
          </w:r>
          <w:r>
            <w:instrText xml:space="preserve"> PAGEREF _Toc24475 \h </w:instrText>
          </w:r>
          <w:r>
            <w:fldChar w:fldCharType="separate"/>
          </w:r>
          <w:r>
            <w:t>130</w:t>
          </w:r>
          <w:r>
            <w:fldChar w:fldCharType="end"/>
          </w:r>
          <w:r>
            <w:rPr>
              <w:szCs w:val="18"/>
            </w:rPr>
            <w:fldChar w:fldCharType="end"/>
          </w:r>
        </w:p>
        <w:p w14:paraId="04E26E13">
          <w:pPr>
            <w:pStyle w:val="19"/>
            <w:tabs>
              <w:tab w:val="right" w:leader="dot" w:pos="8306"/>
            </w:tabs>
          </w:pPr>
          <w:r>
            <w:rPr>
              <w:szCs w:val="18"/>
            </w:rPr>
            <w:fldChar w:fldCharType="begin"/>
          </w:r>
          <w:r>
            <w:rPr>
              <w:szCs w:val="18"/>
            </w:rPr>
            <w:instrText xml:space="preserve"> HYPERLINK \l _Toc12559 </w:instrText>
          </w:r>
          <w:r>
            <w:rPr>
              <w:szCs w:val="18"/>
            </w:rPr>
            <w:fldChar w:fldCharType="separate"/>
          </w:r>
          <w:r>
            <w:rPr>
              <w:rFonts w:hint="eastAsia"/>
              <w:lang w:val="en-US" w:eastAsia="zh-CN"/>
            </w:rPr>
            <w:t>8.1. 组织保障</w:t>
          </w:r>
          <w:r>
            <w:tab/>
          </w:r>
          <w:r>
            <w:fldChar w:fldCharType="begin"/>
          </w:r>
          <w:r>
            <w:instrText xml:space="preserve"> PAGEREF _Toc12559 \h </w:instrText>
          </w:r>
          <w:r>
            <w:fldChar w:fldCharType="separate"/>
          </w:r>
          <w:r>
            <w:t>130</w:t>
          </w:r>
          <w:r>
            <w:fldChar w:fldCharType="end"/>
          </w:r>
          <w:r>
            <w:rPr>
              <w:szCs w:val="18"/>
            </w:rPr>
            <w:fldChar w:fldCharType="end"/>
          </w:r>
        </w:p>
        <w:p w14:paraId="549F6B50">
          <w:pPr>
            <w:pStyle w:val="14"/>
            <w:tabs>
              <w:tab w:val="right" w:leader="dot" w:pos="8306"/>
            </w:tabs>
          </w:pPr>
          <w:r>
            <w:rPr>
              <w:szCs w:val="18"/>
            </w:rPr>
            <w:fldChar w:fldCharType="begin"/>
          </w:r>
          <w:r>
            <w:rPr>
              <w:szCs w:val="18"/>
            </w:rPr>
            <w:instrText xml:space="preserve"> HYPERLINK \l _Toc7132 </w:instrText>
          </w:r>
          <w:r>
            <w:rPr>
              <w:szCs w:val="18"/>
            </w:rPr>
            <w:fldChar w:fldCharType="separate"/>
          </w:r>
          <w:r>
            <w:rPr>
              <w:rFonts w:hint="eastAsia"/>
              <w:lang w:val="en-US" w:eastAsia="zh-CN"/>
            </w:rPr>
            <w:t>8.1.1. 加强组织领导</w:t>
          </w:r>
          <w:r>
            <w:tab/>
          </w:r>
          <w:r>
            <w:fldChar w:fldCharType="begin"/>
          </w:r>
          <w:r>
            <w:instrText xml:space="preserve"> PAGEREF _Toc7132 \h </w:instrText>
          </w:r>
          <w:r>
            <w:fldChar w:fldCharType="separate"/>
          </w:r>
          <w:r>
            <w:t>130</w:t>
          </w:r>
          <w:r>
            <w:fldChar w:fldCharType="end"/>
          </w:r>
          <w:r>
            <w:rPr>
              <w:szCs w:val="18"/>
            </w:rPr>
            <w:fldChar w:fldCharType="end"/>
          </w:r>
        </w:p>
        <w:p w14:paraId="19FB3BDB">
          <w:pPr>
            <w:pStyle w:val="14"/>
            <w:tabs>
              <w:tab w:val="right" w:leader="dot" w:pos="8306"/>
            </w:tabs>
          </w:pPr>
          <w:r>
            <w:rPr>
              <w:szCs w:val="18"/>
            </w:rPr>
            <w:fldChar w:fldCharType="begin"/>
          </w:r>
          <w:r>
            <w:rPr>
              <w:szCs w:val="18"/>
            </w:rPr>
            <w:instrText xml:space="preserve"> HYPERLINK \l _Toc10671 </w:instrText>
          </w:r>
          <w:r>
            <w:rPr>
              <w:szCs w:val="18"/>
            </w:rPr>
            <w:fldChar w:fldCharType="separate"/>
          </w:r>
          <w:r>
            <w:rPr>
              <w:rFonts w:hint="eastAsia"/>
              <w:lang w:val="en-US" w:eastAsia="zh-CN"/>
            </w:rPr>
            <w:t>8.1.2. 建立协调联动机制</w:t>
          </w:r>
          <w:r>
            <w:tab/>
          </w:r>
          <w:r>
            <w:fldChar w:fldCharType="begin"/>
          </w:r>
          <w:r>
            <w:instrText xml:space="preserve"> PAGEREF _Toc10671 \h </w:instrText>
          </w:r>
          <w:r>
            <w:fldChar w:fldCharType="separate"/>
          </w:r>
          <w:r>
            <w:t>130</w:t>
          </w:r>
          <w:r>
            <w:fldChar w:fldCharType="end"/>
          </w:r>
          <w:r>
            <w:rPr>
              <w:szCs w:val="18"/>
            </w:rPr>
            <w:fldChar w:fldCharType="end"/>
          </w:r>
        </w:p>
        <w:p w14:paraId="38A6A1BE">
          <w:pPr>
            <w:pStyle w:val="14"/>
            <w:tabs>
              <w:tab w:val="right" w:leader="dot" w:pos="8306"/>
            </w:tabs>
          </w:pPr>
          <w:r>
            <w:rPr>
              <w:szCs w:val="18"/>
            </w:rPr>
            <w:fldChar w:fldCharType="begin"/>
          </w:r>
          <w:r>
            <w:rPr>
              <w:szCs w:val="18"/>
            </w:rPr>
            <w:instrText xml:space="preserve"> HYPERLINK \l _Toc4725 </w:instrText>
          </w:r>
          <w:r>
            <w:rPr>
              <w:szCs w:val="18"/>
            </w:rPr>
            <w:fldChar w:fldCharType="separate"/>
          </w:r>
          <w:r>
            <w:rPr>
              <w:rFonts w:hint="eastAsia" w:ascii="仿宋" w:hAnsi="仿宋" w:eastAsia="仿宋" w:cs="仿宋"/>
              <w:szCs w:val="28"/>
              <w:lang w:val="en-US" w:eastAsia="zh-CN"/>
            </w:rPr>
            <w:t xml:space="preserve">8.1.3. </w:t>
          </w:r>
          <w:r>
            <w:rPr>
              <w:rFonts w:hint="eastAsia" w:ascii="仿宋" w:hAnsi="仿宋" w:cs="仿宋"/>
              <w:szCs w:val="28"/>
              <w:highlight w:val="none"/>
              <w:lang w:val="en-US" w:eastAsia="zh-CN"/>
            </w:rPr>
            <w:t>监督管理</w:t>
          </w:r>
          <w:r>
            <w:rPr>
              <w:rFonts w:hint="eastAsia" w:ascii="仿宋" w:hAnsi="仿宋" w:eastAsia="仿宋" w:cs="仿宋"/>
              <w:szCs w:val="28"/>
              <w:highlight w:val="none"/>
              <w:lang w:val="en-US" w:eastAsia="zh-CN"/>
            </w:rPr>
            <w:t>机制</w:t>
          </w:r>
          <w:r>
            <w:tab/>
          </w:r>
          <w:r>
            <w:fldChar w:fldCharType="begin"/>
          </w:r>
          <w:r>
            <w:instrText xml:space="preserve"> PAGEREF _Toc4725 \h </w:instrText>
          </w:r>
          <w:r>
            <w:fldChar w:fldCharType="separate"/>
          </w:r>
          <w:r>
            <w:t>131</w:t>
          </w:r>
          <w:r>
            <w:fldChar w:fldCharType="end"/>
          </w:r>
          <w:r>
            <w:rPr>
              <w:szCs w:val="18"/>
            </w:rPr>
            <w:fldChar w:fldCharType="end"/>
          </w:r>
        </w:p>
        <w:p w14:paraId="7115BA56">
          <w:pPr>
            <w:pStyle w:val="19"/>
            <w:tabs>
              <w:tab w:val="right" w:leader="dot" w:pos="8306"/>
            </w:tabs>
          </w:pPr>
          <w:r>
            <w:rPr>
              <w:szCs w:val="18"/>
            </w:rPr>
            <w:fldChar w:fldCharType="begin"/>
          </w:r>
          <w:r>
            <w:rPr>
              <w:szCs w:val="18"/>
            </w:rPr>
            <w:instrText xml:space="preserve"> HYPERLINK \l _Toc27282 </w:instrText>
          </w:r>
          <w:r>
            <w:rPr>
              <w:szCs w:val="18"/>
            </w:rPr>
            <w:fldChar w:fldCharType="separate"/>
          </w:r>
          <w:r>
            <w:rPr>
              <w:rFonts w:hint="eastAsia"/>
              <w:lang w:val="en-US" w:eastAsia="zh-CN"/>
            </w:rPr>
            <w:t>8.2. 支持政策</w:t>
          </w:r>
          <w:r>
            <w:tab/>
          </w:r>
          <w:r>
            <w:fldChar w:fldCharType="begin"/>
          </w:r>
          <w:r>
            <w:instrText xml:space="preserve"> PAGEREF _Toc27282 \h </w:instrText>
          </w:r>
          <w:r>
            <w:fldChar w:fldCharType="separate"/>
          </w:r>
          <w:r>
            <w:t>131</w:t>
          </w:r>
          <w:r>
            <w:fldChar w:fldCharType="end"/>
          </w:r>
          <w:r>
            <w:rPr>
              <w:szCs w:val="18"/>
            </w:rPr>
            <w:fldChar w:fldCharType="end"/>
          </w:r>
        </w:p>
        <w:p w14:paraId="39BDABC3">
          <w:pPr>
            <w:pStyle w:val="14"/>
            <w:tabs>
              <w:tab w:val="right" w:leader="dot" w:pos="8306"/>
            </w:tabs>
          </w:pPr>
          <w:r>
            <w:rPr>
              <w:szCs w:val="18"/>
            </w:rPr>
            <w:fldChar w:fldCharType="begin"/>
          </w:r>
          <w:r>
            <w:rPr>
              <w:szCs w:val="18"/>
            </w:rPr>
            <w:instrText xml:space="preserve"> HYPERLINK \l _Toc3935 </w:instrText>
          </w:r>
          <w:r>
            <w:rPr>
              <w:szCs w:val="18"/>
            </w:rPr>
            <w:fldChar w:fldCharType="separate"/>
          </w:r>
          <w:r>
            <w:rPr>
              <w:rFonts w:hint="eastAsia"/>
              <w:lang w:val="en-US" w:eastAsia="zh-CN"/>
            </w:rPr>
            <w:t>8.2.1. 政策措施</w:t>
          </w:r>
          <w:r>
            <w:tab/>
          </w:r>
          <w:r>
            <w:fldChar w:fldCharType="begin"/>
          </w:r>
          <w:r>
            <w:instrText xml:space="preserve"> PAGEREF _Toc3935 \h </w:instrText>
          </w:r>
          <w:r>
            <w:fldChar w:fldCharType="separate"/>
          </w:r>
          <w:r>
            <w:t>131</w:t>
          </w:r>
          <w:r>
            <w:fldChar w:fldCharType="end"/>
          </w:r>
          <w:r>
            <w:rPr>
              <w:szCs w:val="18"/>
            </w:rPr>
            <w:fldChar w:fldCharType="end"/>
          </w:r>
        </w:p>
        <w:p w14:paraId="68469B42">
          <w:pPr>
            <w:pStyle w:val="14"/>
            <w:tabs>
              <w:tab w:val="right" w:leader="dot" w:pos="8306"/>
            </w:tabs>
          </w:pPr>
          <w:r>
            <w:rPr>
              <w:szCs w:val="18"/>
            </w:rPr>
            <w:fldChar w:fldCharType="begin"/>
          </w:r>
          <w:r>
            <w:rPr>
              <w:szCs w:val="18"/>
            </w:rPr>
            <w:instrText xml:space="preserve"> HYPERLINK \l _Toc11321 </w:instrText>
          </w:r>
          <w:r>
            <w:rPr>
              <w:szCs w:val="18"/>
            </w:rPr>
            <w:fldChar w:fldCharType="separate"/>
          </w:r>
          <w:r>
            <w:rPr>
              <w:rFonts w:hint="eastAsia"/>
              <w:lang w:val="en-US" w:eastAsia="zh-CN"/>
            </w:rPr>
            <w:t>8.2.2. 加强资金统筹整合</w:t>
          </w:r>
          <w:r>
            <w:tab/>
          </w:r>
          <w:r>
            <w:fldChar w:fldCharType="begin"/>
          </w:r>
          <w:r>
            <w:instrText xml:space="preserve"> PAGEREF _Toc11321 \h </w:instrText>
          </w:r>
          <w:r>
            <w:fldChar w:fldCharType="separate"/>
          </w:r>
          <w:r>
            <w:t>131</w:t>
          </w:r>
          <w:r>
            <w:fldChar w:fldCharType="end"/>
          </w:r>
          <w:r>
            <w:rPr>
              <w:szCs w:val="18"/>
            </w:rPr>
            <w:fldChar w:fldCharType="end"/>
          </w:r>
        </w:p>
        <w:p w14:paraId="68615EBA">
          <w:pPr>
            <w:pStyle w:val="19"/>
            <w:tabs>
              <w:tab w:val="right" w:leader="dot" w:pos="8306"/>
            </w:tabs>
          </w:pPr>
          <w:r>
            <w:rPr>
              <w:szCs w:val="18"/>
            </w:rPr>
            <w:fldChar w:fldCharType="begin"/>
          </w:r>
          <w:r>
            <w:rPr>
              <w:szCs w:val="18"/>
            </w:rPr>
            <w:instrText xml:space="preserve"> HYPERLINK \l _Toc15319 </w:instrText>
          </w:r>
          <w:r>
            <w:rPr>
              <w:szCs w:val="18"/>
            </w:rPr>
            <w:fldChar w:fldCharType="separate"/>
          </w:r>
          <w:r>
            <w:rPr>
              <w:rFonts w:hint="eastAsia"/>
              <w:lang w:val="en-US" w:eastAsia="zh-CN"/>
            </w:rPr>
            <w:t>8.3. 资金保障</w:t>
          </w:r>
          <w:r>
            <w:tab/>
          </w:r>
          <w:r>
            <w:fldChar w:fldCharType="begin"/>
          </w:r>
          <w:r>
            <w:instrText xml:space="preserve"> PAGEREF _Toc15319 \h </w:instrText>
          </w:r>
          <w:r>
            <w:fldChar w:fldCharType="separate"/>
          </w:r>
          <w:r>
            <w:t>132</w:t>
          </w:r>
          <w:r>
            <w:fldChar w:fldCharType="end"/>
          </w:r>
          <w:r>
            <w:rPr>
              <w:szCs w:val="18"/>
            </w:rPr>
            <w:fldChar w:fldCharType="end"/>
          </w:r>
        </w:p>
        <w:p w14:paraId="2AF91221">
          <w:pPr>
            <w:pStyle w:val="14"/>
            <w:tabs>
              <w:tab w:val="right" w:leader="dot" w:pos="8306"/>
            </w:tabs>
          </w:pPr>
          <w:r>
            <w:rPr>
              <w:szCs w:val="18"/>
            </w:rPr>
            <w:fldChar w:fldCharType="begin"/>
          </w:r>
          <w:r>
            <w:rPr>
              <w:szCs w:val="18"/>
            </w:rPr>
            <w:instrText xml:space="preserve"> HYPERLINK \l _Toc681 </w:instrText>
          </w:r>
          <w:r>
            <w:rPr>
              <w:szCs w:val="18"/>
            </w:rPr>
            <w:fldChar w:fldCharType="separate"/>
          </w:r>
          <w:r>
            <w:rPr>
              <w:rFonts w:hint="eastAsia"/>
              <w:lang w:val="en-US" w:eastAsia="zh-CN"/>
            </w:rPr>
            <w:t>8.3.1. 成立资金监管小组</w:t>
          </w:r>
          <w:r>
            <w:tab/>
          </w:r>
          <w:r>
            <w:fldChar w:fldCharType="begin"/>
          </w:r>
          <w:r>
            <w:instrText xml:space="preserve"> PAGEREF _Toc681 \h </w:instrText>
          </w:r>
          <w:r>
            <w:fldChar w:fldCharType="separate"/>
          </w:r>
          <w:r>
            <w:t>132</w:t>
          </w:r>
          <w:r>
            <w:fldChar w:fldCharType="end"/>
          </w:r>
          <w:r>
            <w:rPr>
              <w:szCs w:val="18"/>
            </w:rPr>
            <w:fldChar w:fldCharType="end"/>
          </w:r>
        </w:p>
        <w:p w14:paraId="54908695">
          <w:pPr>
            <w:pStyle w:val="14"/>
            <w:tabs>
              <w:tab w:val="right" w:leader="dot" w:pos="8306"/>
            </w:tabs>
          </w:pPr>
          <w:r>
            <w:rPr>
              <w:szCs w:val="18"/>
            </w:rPr>
            <w:fldChar w:fldCharType="begin"/>
          </w:r>
          <w:r>
            <w:rPr>
              <w:szCs w:val="18"/>
            </w:rPr>
            <w:instrText xml:space="preserve"> HYPERLINK \l _Toc5283 </w:instrText>
          </w:r>
          <w:r>
            <w:rPr>
              <w:szCs w:val="18"/>
            </w:rPr>
            <w:fldChar w:fldCharType="separate"/>
          </w:r>
          <w:r>
            <w:rPr>
              <w:rFonts w:hint="eastAsia"/>
              <w:lang w:val="en-US" w:eastAsia="zh-CN"/>
            </w:rPr>
            <w:t>8.3.2. 严格资金使用</w:t>
          </w:r>
          <w:r>
            <w:tab/>
          </w:r>
          <w:r>
            <w:fldChar w:fldCharType="begin"/>
          </w:r>
          <w:r>
            <w:instrText xml:space="preserve"> PAGEREF _Toc5283 \h </w:instrText>
          </w:r>
          <w:r>
            <w:fldChar w:fldCharType="separate"/>
          </w:r>
          <w:r>
            <w:t>132</w:t>
          </w:r>
          <w:r>
            <w:fldChar w:fldCharType="end"/>
          </w:r>
          <w:r>
            <w:rPr>
              <w:szCs w:val="18"/>
            </w:rPr>
            <w:fldChar w:fldCharType="end"/>
          </w:r>
        </w:p>
        <w:p w14:paraId="25613750">
          <w:pPr>
            <w:pStyle w:val="19"/>
            <w:tabs>
              <w:tab w:val="right" w:leader="dot" w:pos="8306"/>
            </w:tabs>
          </w:pPr>
          <w:r>
            <w:rPr>
              <w:szCs w:val="18"/>
            </w:rPr>
            <w:fldChar w:fldCharType="begin"/>
          </w:r>
          <w:r>
            <w:rPr>
              <w:szCs w:val="18"/>
            </w:rPr>
            <w:instrText xml:space="preserve"> HYPERLINK \l _Toc5401 </w:instrText>
          </w:r>
          <w:r>
            <w:rPr>
              <w:szCs w:val="18"/>
            </w:rPr>
            <w:fldChar w:fldCharType="separate"/>
          </w:r>
          <w:r>
            <w:rPr>
              <w:rFonts w:hint="eastAsia"/>
              <w:lang w:val="en-US" w:eastAsia="zh-CN"/>
            </w:rPr>
            <w:t>8.4. 职责分工</w:t>
          </w:r>
          <w:r>
            <w:tab/>
          </w:r>
          <w:r>
            <w:fldChar w:fldCharType="begin"/>
          </w:r>
          <w:r>
            <w:instrText xml:space="preserve"> PAGEREF _Toc5401 \h </w:instrText>
          </w:r>
          <w:r>
            <w:fldChar w:fldCharType="separate"/>
          </w:r>
          <w:r>
            <w:t>133</w:t>
          </w:r>
          <w:r>
            <w:fldChar w:fldCharType="end"/>
          </w:r>
          <w:r>
            <w:rPr>
              <w:szCs w:val="18"/>
            </w:rPr>
            <w:fldChar w:fldCharType="end"/>
          </w:r>
        </w:p>
        <w:p w14:paraId="3D3B6DC3">
          <w:pPr>
            <w:pStyle w:val="19"/>
            <w:tabs>
              <w:tab w:val="right" w:leader="dot" w:pos="8306"/>
            </w:tabs>
          </w:pPr>
          <w:r>
            <w:rPr>
              <w:szCs w:val="18"/>
            </w:rPr>
            <w:fldChar w:fldCharType="begin"/>
          </w:r>
          <w:r>
            <w:rPr>
              <w:szCs w:val="18"/>
            </w:rPr>
            <w:instrText xml:space="preserve"> HYPERLINK \l _Toc29562 </w:instrText>
          </w:r>
          <w:r>
            <w:rPr>
              <w:szCs w:val="18"/>
            </w:rPr>
            <w:fldChar w:fldCharType="separate"/>
          </w:r>
          <w:r>
            <w:rPr>
              <w:rFonts w:hint="eastAsia"/>
              <w:lang w:val="en-US" w:eastAsia="zh-CN"/>
            </w:rPr>
            <w:t>8.5. 绩效考核</w:t>
          </w:r>
          <w:r>
            <w:tab/>
          </w:r>
          <w:r>
            <w:fldChar w:fldCharType="begin"/>
          </w:r>
          <w:r>
            <w:instrText xml:space="preserve"> PAGEREF _Toc29562 \h </w:instrText>
          </w:r>
          <w:r>
            <w:fldChar w:fldCharType="separate"/>
          </w:r>
          <w:r>
            <w:t>134</w:t>
          </w:r>
          <w:r>
            <w:fldChar w:fldCharType="end"/>
          </w:r>
          <w:r>
            <w:rPr>
              <w:szCs w:val="18"/>
            </w:rPr>
            <w:fldChar w:fldCharType="end"/>
          </w:r>
        </w:p>
        <w:p w14:paraId="7D815BC7">
          <w:pPr>
            <w:pStyle w:val="14"/>
            <w:tabs>
              <w:tab w:val="right" w:leader="dot" w:pos="8306"/>
            </w:tabs>
          </w:pPr>
          <w:r>
            <w:rPr>
              <w:szCs w:val="18"/>
            </w:rPr>
            <w:fldChar w:fldCharType="begin"/>
          </w:r>
          <w:r>
            <w:rPr>
              <w:szCs w:val="18"/>
            </w:rPr>
            <w:instrText xml:space="preserve"> HYPERLINK \l _Toc28730 </w:instrText>
          </w:r>
          <w:r>
            <w:rPr>
              <w:szCs w:val="18"/>
            </w:rPr>
            <w:fldChar w:fldCharType="separate"/>
          </w:r>
          <w:r>
            <w:rPr>
              <w:rFonts w:hint="eastAsia"/>
              <w:lang w:val="en-US" w:eastAsia="zh-CN"/>
            </w:rPr>
            <w:t>8.5.1. 细化绩效考核指标</w:t>
          </w:r>
          <w:r>
            <w:tab/>
          </w:r>
          <w:r>
            <w:fldChar w:fldCharType="begin"/>
          </w:r>
          <w:r>
            <w:instrText xml:space="preserve"> PAGEREF _Toc28730 \h </w:instrText>
          </w:r>
          <w:r>
            <w:fldChar w:fldCharType="separate"/>
          </w:r>
          <w:r>
            <w:t>134</w:t>
          </w:r>
          <w:r>
            <w:fldChar w:fldCharType="end"/>
          </w:r>
          <w:r>
            <w:rPr>
              <w:szCs w:val="18"/>
            </w:rPr>
            <w:fldChar w:fldCharType="end"/>
          </w:r>
        </w:p>
        <w:p w14:paraId="04D54115">
          <w:pPr>
            <w:pStyle w:val="14"/>
            <w:tabs>
              <w:tab w:val="right" w:leader="dot" w:pos="8306"/>
            </w:tabs>
          </w:pPr>
          <w:r>
            <w:rPr>
              <w:szCs w:val="18"/>
            </w:rPr>
            <w:fldChar w:fldCharType="begin"/>
          </w:r>
          <w:r>
            <w:rPr>
              <w:szCs w:val="18"/>
            </w:rPr>
            <w:instrText xml:space="preserve"> HYPERLINK \l _Toc19648 </w:instrText>
          </w:r>
          <w:r>
            <w:rPr>
              <w:szCs w:val="18"/>
            </w:rPr>
            <w:fldChar w:fldCharType="separate"/>
          </w:r>
          <w:r>
            <w:rPr>
              <w:rFonts w:hint="eastAsia"/>
              <w:lang w:val="en-US" w:eastAsia="zh-CN"/>
            </w:rPr>
            <w:t>8.5.2. 加强绩效管理</w:t>
          </w:r>
          <w:r>
            <w:tab/>
          </w:r>
          <w:r>
            <w:fldChar w:fldCharType="begin"/>
          </w:r>
          <w:r>
            <w:instrText xml:space="preserve"> PAGEREF _Toc19648 \h </w:instrText>
          </w:r>
          <w:r>
            <w:fldChar w:fldCharType="separate"/>
          </w:r>
          <w:r>
            <w:t>134</w:t>
          </w:r>
          <w:r>
            <w:fldChar w:fldCharType="end"/>
          </w:r>
          <w:r>
            <w:rPr>
              <w:szCs w:val="18"/>
            </w:rPr>
            <w:fldChar w:fldCharType="end"/>
          </w:r>
        </w:p>
        <w:p w14:paraId="661B8761">
          <w:pPr>
            <w:pStyle w:val="14"/>
            <w:tabs>
              <w:tab w:val="right" w:leader="dot" w:pos="8306"/>
            </w:tabs>
          </w:pPr>
          <w:r>
            <w:rPr>
              <w:szCs w:val="18"/>
            </w:rPr>
            <w:fldChar w:fldCharType="begin"/>
          </w:r>
          <w:r>
            <w:rPr>
              <w:szCs w:val="18"/>
            </w:rPr>
            <w:instrText xml:space="preserve"> HYPERLINK \l _Toc12175 </w:instrText>
          </w:r>
          <w:r>
            <w:rPr>
              <w:szCs w:val="18"/>
            </w:rPr>
            <w:fldChar w:fldCharType="separate"/>
          </w:r>
          <w:r>
            <w:rPr>
              <w:rFonts w:hint="eastAsia"/>
              <w:lang w:val="en-US" w:eastAsia="zh-CN"/>
            </w:rPr>
            <w:t>8.5.3. 严格奖惩机制</w:t>
          </w:r>
          <w:r>
            <w:tab/>
          </w:r>
          <w:r>
            <w:fldChar w:fldCharType="begin"/>
          </w:r>
          <w:r>
            <w:instrText xml:space="preserve"> PAGEREF _Toc12175 \h </w:instrText>
          </w:r>
          <w:r>
            <w:fldChar w:fldCharType="separate"/>
          </w:r>
          <w:r>
            <w:t>135</w:t>
          </w:r>
          <w:r>
            <w:fldChar w:fldCharType="end"/>
          </w:r>
          <w:r>
            <w:rPr>
              <w:szCs w:val="18"/>
            </w:rPr>
            <w:fldChar w:fldCharType="end"/>
          </w:r>
        </w:p>
        <w:p w14:paraId="49AD6847">
          <w:pPr>
            <w:pStyle w:val="19"/>
            <w:tabs>
              <w:tab w:val="right" w:leader="dot" w:pos="8306"/>
            </w:tabs>
          </w:pPr>
          <w:r>
            <w:rPr>
              <w:szCs w:val="18"/>
            </w:rPr>
            <w:fldChar w:fldCharType="begin"/>
          </w:r>
          <w:r>
            <w:rPr>
              <w:szCs w:val="18"/>
            </w:rPr>
            <w:instrText xml:space="preserve"> HYPERLINK \l _Toc3052 </w:instrText>
          </w:r>
          <w:r>
            <w:rPr>
              <w:szCs w:val="18"/>
            </w:rPr>
            <w:fldChar w:fldCharType="separate"/>
          </w:r>
          <w:r>
            <w:rPr>
              <w:rFonts w:hint="eastAsia"/>
              <w:lang w:val="en-US" w:eastAsia="zh-CN"/>
            </w:rPr>
            <w:t>8.6. 招投标事项</w:t>
          </w:r>
          <w:r>
            <w:tab/>
          </w:r>
          <w:r>
            <w:fldChar w:fldCharType="begin"/>
          </w:r>
          <w:r>
            <w:instrText xml:space="preserve"> PAGEREF _Toc3052 \h </w:instrText>
          </w:r>
          <w:r>
            <w:fldChar w:fldCharType="separate"/>
          </w:r>
          <w:r>
            <w:t>135</w:t>
          </w:r>
          <w:r>
            <w:fldChar w:fldCharType="end"/>
          </w:r>
          <w:r>
            <w:rPr>
              <w:szCs w:val="18"/>
            </w:rPr>
            <w:fldChar w:fldCharType="end"/>
          </w:r>
        </w:p>
        <w:p w14:paraId="59AA755D">
          <w:pPr>
            <w:pStyle w:val="14"/>
            <w:tabs>
              <w:tab w:val="right" w:leader="dot" w:pos="8306"/>
            </w:tabs>
          </w:pPr>
          <w:r>
            <w:rPr>
              <w:szCs w:val="18"/>
            </w:rPr>
            <w:fldChar w:fldCharType="begin"/>
          </w:r>
          <w:r>
            <w:rPr>
              <w:szCs w:val="18"/>
            </w:rPr>
            <w:instrText xml:space="preserve"> HYPERLINK \l _Toc24236 </w:instrText>
          </w:r>
          <w:r>
            <w:rPr>
              <w:szCs w:val="18"/>
            </w:rPr>
            <w:fldChar w:fldCharType="separate"/>
          </w:r>
          <w:r>
            <w:rPr>
              <w:rFonts w:hint="eastAsia"/>
              <w:lang w:val="en-US" w:eastAsia="zh-CN"/>
            </w:rPr>
            <w:t>8.6.1. 招标范围</w:t>
          </w:r>
          <w:r>
            <w:tab/>
          </w:r>
          <w:r>
            <w:fldChar w:fldCharType="begin"/>
          </w:r>
          <w:r>
            <w:instrText xml:space="preserve"> PAGEREF _Toc24236 \h </w:instrText>
          </w:r>
          <w:r>
            <w:fldChar w:fldCharType="separate"/>
          </w:r>
          <w:r>
            <w:t>135</w:t>
          </w:r>
          <w:r>
            <w:fldChar w:fldCharType="end"/>
          </w:r>
          <w:r>
            <w:rPr>
              <w:szCs w:val="18"/>
            </w:rPr>
            <w:fldChar w:fldCharType="end"/>
          </w:r>
        </w:p>
        <w:p w14:paraId="534D8543">
          <w:pPr>
            <w:pStyle w:val="14"/>
            <w:tabs>
              <w:tab w:val="right" w:leader="dot" w:pos="8306"/>
            </w:tabs>
          </w:pPr>
          <w:r>
            <w:rPr>
              <w:szCs w:val="18"/>
            </w:rPr>
            <w:fldChar w:fldCharType="begin"/>
          </w:r>
          <w:r>
            <w:rPr>
              <w:szCs w:val="18"/>
            </w:rPr>
            <w:instrText xml:space="preserve"> HYPERLINK \l _Toc3154 </w:instrText>
          </w:r>
          <w:r>
            <w:rPr>
              <w:szCs w:val="18"/>
            </w:rPr>
            <w:fldChar w:fldCharType="separate"/>
          </w:r>
          <w:r>
            <w:rPr>
              <w:rFonts w:hint="eastAsia"/>
              <w:lang w:val="en-US" w:eastAsia="zh-CN"/>
            </w:rPr>
            <w:t>8.6.2. 招标组织形式</w:t>
          </w:r>
          <w:r>
            <w:tab/>
          </w:r>
          <w:r>
            <w:fldChar w:fldCharType="begin"/>
          </w:r>
          <w:r>
            <w:instrText xml:space="preserve"> PAGEREF _Toc3154 \h </w:instrText>
          </w:r>
          <w:r>
            <w:fldChar w:fldCharType="separate"/>
          </w:r>
          <w:r>
            <w:t>135</w:t>
          </w:r>
          <w:r>
            <w:fldChar w:fldCharType="end"/>
          </w:r>
          <w:r>
            <w:rPr>
              <w:szCs w:val="18"/>
            </w:rPr>
            <w:fldChar w:fldCharType="end"/>
          </w:r>
        </w:p>
        <w:p w14:paraId="439A2F12">
          <w:pPr>
            <w:pStyle w:val="14"/>
            <w:tabs>
              <w:tab w:val="right" w:leader="dot" w:pos="8306"/>
            </w:tabs>
          </w:pPr>
          <w:r>
            <w:rPr>
              <w:szCs w:val="18"/>
            </w:rPr>
            <w:fldChar w:fldCharType="begin"/>
          </w:r>
          <w:r>
            <w:rPr>
              <w:szCs w:val="18"/>
            </w:rPr>
            <w:instrText xml:space="preserve"> HYPERLINK \l _Toc14686 </w:instrText>
          </w:r>
          <w:r>
            <w:rPr>
              <w:szCs w:val="18"/>
            </w:rPr>
            <w:fldChar w:fldCharType="separate"/>
          </w:r>
          <w:r>
            <w:rPr>
              <w:rFonts w:hint="eastAsia"/>
              <w:lang w:val="en-US" w:eastAsia="zh-CN"/>
            </w:rPr>
            <w:t>8.6.3. 招标方式</w:t>
          </w:r>
          <w:r>
            <w:tab/>
          </w:r>
          <w:r>
            <w:fldChar w:fldCharType="begin"/>
          </w:r>
          <w:r>
            <w:instrText xml:space="preserve"> PAGEREF _Toc14686 \h </w:instrText>
          </w:r>
          <w:r>
            <w:fldChar w:fldCharType="separate"/>
          </w:r>
          <w:r>
            <w:t>136</w:t>
          </w:r>
          <w:r>
            <w:fldChar w:fldCharType="end"/>
          </w:r>
          <w:r>
            <w:rPr>
              <w:szCs w:val="18"/>
            </w:rPr>
            <w:fldChar w:fldCharType="end"/>
          </w:r>
        </w:p>
        <w:p w14:paraId="39AE75A8">
          <w:pPr>
            <w:pStyle w:val="19"/>
            <w:tabs>
              <w:tab w:val="right" w:leader="dot" w:pos="8306"/>
            </w:tabs>
          </w:pPr>
          <w:r>
            <w:rPr>
              <w:szCs w:val="18"/>
            </w:rPr>
            <w:fldChar w:fldCharType="begin"/>
          </w:r>
          <w:r>
            <w:rPr>
              <w:szCs w:val="18"/>
            </w:rPr>
            <w:instrText xml:space="preserve"> HYPERLINK \l _Toc22835 </w:instrText>
          </w:r>
          <w:r>
            <w:rPr>
              <w:szCs w:val="18"/>
            </w:rPr>
            <w:fldChar w:fldCharType="separate"/>
          </w:r>
          <w:r>
            <w:rPr>
              <w:rFonts w:hint="eastAsia"/>
              <w:lang w:val="en-US" w:eastAsia="zh-CN"/>
            </w:rPr>
            <w:t>8.7. 技术保障</w:t>
          </w:r>
          <w:r>
            <w:tab/>
          </w:r>
          <w:r>
            <w:fldChar w:fldCharType="begin"/>
          </w:r>
          <w:r>
            <w:instrText xml:space="preserve"> PAGEREF _Toc22835 \h </w:instrText>
          </w:r>
          <w:r>
            <w:fldChar w:fldCharType="separate"/>
          </w:r>
          <w:r>
            <w:t>136</w:t>
          </w:r>
          <w:r>
            <w:fldChar w:fldCharType="end"/>
          </w:r>
          <w:r>
            <w:rPr>
              <w:szCs w:val="18"/>
            </w:rPr>
            <w:fldChar w:fldCharType="end"/>
          </w:r>
        </w:p>
        <w:p w14:paraId="605EFA44">
          <w:pPr>
            <w:pStyle w:val="19"/>
            <w:tabs>
              <w:tab w:val="right" w:leader="dot" w:pos="8306"/>
            </w:tabs>
          </w:pPr>
          <w:r>
            <w:rPr>
              <w:szCs w:val="18"/>
            </w:rPr>
            <w:fldChar w:fldCharType="begin"/>
          </w:r>
          <w:r>
            <w:rPr>
              <w:szCs w:val="18"/>
            </w:rPr>
            <w:instrText xml:space="preserve"> HYPERLINK \l _Toc27132 </w:instrText>
          </w:r>
          <w:r>
            <w:rPr>
              <w:szCs w:val="18"/>
            </w:rPr>
            <w:fldChar w:fldCharType="separate"/>
          </w:r>
          <w:r>
            <w:rPr>
              <w:rFonts w:hint="eastAsia"/>
              <w:lang w:val="en-US" w:eastAsia="zh-CN"/>
            </w:rPr>
            <w:t>8.8. 监理制度保障</w:t>
          </w:r>
          <w:r>
            <w:tab/>
          </w:r>
          <w:r>
            <w:fldChar w:fldCharType="begin"/>
          </w:r>
          <w:r>
            <w:instrText xml:space="preserve"> PAGEREF _Toc27132 \h </w:instrText>
          </w:r>
          <w:r>
            <w:fldChar w:fldCharType="separate"/>
          </w:r>
          <w:r>
            <w:t>136</w:t>
          </w:r>
          <w:r>
            <w:fldChar w:fldCharType="end"/>
          </w:r>
          <w:r>
            <w:rPr>
              <w:szCs w:val="18"/>
            </w:rPr>
            <w:fldChar w:fldCharType="end"/>
          </w:r>
        </w:p>
        <w:p w14:paraId="7A8B0B02">
          <w:pPr>
            <w:pStyle w:val="19"/>
            <w:tabs>
              <w:tab w:val="right" w:leader="dot" w:pos="8306"/>
            </w:tabs>
          </w:pPr>
          <w:r>
            <w:rPr>
              <w:szCs w:val="18"/>
            </w:rPr>
            <w:fldChar w:fldCharType="begin"/>
          </w:r>
          <w:r>
            <w:rPr>
              <w:szCs w:val="18"/>
            </w:rPr>
            <w:instrText xml:space="preserve"> HYPERLINK \l _Toc30517 </w:instrText>
          </w:r>
          <w:r>
            <w:rPr>
              <w:szCs w:val="18"/>
            </w:rPr>
            <w:fldChar w:fldCharType="separate"/>
          </w:r>
          <w:r>
            <w:rPr>
              <w:rFonts w:hint="eastAsia"/>
              <w:lang w:val="en-US" w:eastAsia="zh-CN"/>
            </w:rPr>
            <w:t>8.9. 合同制度保障</w:t>
          </w:r>
          <w:r>
            <w:tab/>
          </w:r>
          <w:r>
            <w:fldChar w:fldCharType="begin"/>
          </w:r>
          <w:r>
            <w:instrText xml:space="preserve"> PAGEREF _Toc30517 \h </w:instrText>
          </w:r>
          <w:r>
            <w:fldChar w:fldCharType="separate"/>
          </w:r>
          <w:r>
            <w:t>137</w:t>
          </w:r>
          <w:r>
            <w:fldChar w:fldCharType="end"/>
          </w:r>
          <w:r>
            <w:rPr>
              <w:szCs w:val="18"/>
            </w:rPr>
            <w:fldChar w:fldCharType="end"/>
          </w:r>
        </w:p>
        <w:p w14:paraId="4CD7ABB8">
          <w:pPr>
            <w:pStyle w:val="14"/>
            <w:tabs>
              <w:tab w:val="right" w:leader="dot" w:pos="8306"/>
            </w:tabs>
          </w:pPr>
          <w:r>
            <w:rPr>
              <w:szCs w:val="18"/>
            </w:rPr>
            <w:fldChar w:fldCharType="begin"/>
          </w:r>
          <w:r>
            <w:rPr>
              <w:szCs w:val="18"/>
            </w:rPr>
            <w:instrText xml:space="preserve"> HYPERLINK \l _Toc8063 </w:instrText>
          </w:r>
          <w:r>
            <w:rPr>
              <w:szCs w:val="18"/>
            </w:rPr>
            <w:fldChar w:fldCharType="separate"/>
          </w:r>
          <w:r>
            <w:rPr>
              <w:rFonts w:hint="eastAsia"/>
              <w:lang w:val="en-US" w:eastAsia="zh-CN"/>
            </w:rPr>
            <w:t>8.9.1. 基本原则</w:t>
          </w:r>
          <w:r>
            <w:tab/>
          </w:r>
          <w:r>
            <w:fldChar w:fldCharType="begin"/>
          </w:r>
          <w:r>
            <w:instrText xml:space="preserve"> PAGEREF _Toc8063 \h </w:instrText>
          </w:r>
          <w:r>
            <w:fldChar w:fldCharType="separate"/>
          </w:r>
          <w:r>
            <w:t>137</w:t>
          </w:r>
          <w:r>
            <w:fldChar w:fldCharType="end"/>
          </w:r>
          <w:r>
            <w:rPr>
              <w:szCs w:val="18"/>
            </w:rPr>
            <w:fldChar w:fldCharType="end"/>
          </w:r>
        </w:p>
        <w:p w14:paraId="5983411C">
          <w:pPr>
            <w:pStyle w:val="14"/>
            <w:tabs>
              <w:tab w:val="right" w:leader="dot" w:pos="8306"/>
            </w:tabs>
          </w:pPr>
          <w:r>
            <w:rPr>
              <w:szCs w:val="18"/>
            </w:rPr>
            <w:fldChar w:fldCharType="begin"/>
          </w:r>
          <w:r>
            <w:rPr>
              <w:szCs w:val="18"/>
            </w:rPr>
            <w:instrText xml:space="preserve"> HYPERLINK \l _Toc19123 </w:instrText>
          </w:r>
          <w:r>
            <w:rPr>
              <w:szCs w:val="18"/>
            </w:rPr>
            <w:fldChar w:fldCharType="separate"/>
          </w:r>
          <w:r>
            <w:rPr>
              <w:rFonts w:hint="eastAsia"/>
              <w:lang w:val="en-US" w:eastAsia="zh-CN"/>
            </w:rPr>
            <w:t>8.9.2. 工程施工合同</w:t>
          </w:r>
          <w:r>
            <w:tab/>
          </w:r>
          <w:r>
            <w:fldChar w:fldCharType="begin"/>
          </w:r>
          <w:r>
            <w:instrText xml:space="preserve"> PAGEREF _Toc19123 \h </w:instrText>
          </w:r>
          <w:r>
            <w:fldChar w:fldCharType="separate"/>
          </w:r>
          <w:r>
            <w:t>138</w:t>
          </w:r>
          <w:r>
            <w:fldChar w:fldCharType="end"/>
          </w:r>
          <w:r>
            <w:rPr>
              <w:szCs w:val="18"/>
            </w:rPr>
            <w:fldChar w:fldCharType="end"/>
          </w:r>
        </w:p>
        <w:p w14:paraId="2EEFFDB7">
          <w:pPr>
            <w:pStyle w:val="14"/>
            <w:tabs>
              <w:tab w:val="right" w:leader="dot" w:pos="8306"/>
            </w:tabs>
          </w:pPr>
          <w:r>
            <w:rPr>
              <w:szCs w:val="18"/>
            </w:rPr>
            <w:fldChar w:fldCharType="begin"/>
          </w:r>
          <w:r>
            <w:rPr>
              <w:szCs w:val="18"/>
            </w:rPr>
            <w:instrText xml:space="preserve"> HYPERLINK \l _Toc24845 </w:instrText>
          </w:r>
          <w:r>
            <w:rPr>
              <w:szCs w:val="18"/>
            </w:rPr>
            <w:fldChar w:fldCharType="separate"/>
          </w:r>
          <w:r>
            <w:rPr>
              <w:rFonts w:hint="eastAsia"/>
              <w:lang w:val="en-US" w:eastAsia="zh-CN"/>
            </w:rPr>
            <w:t>8.9.3. 工程合同、协议保密工作</w:t>
          </w:r>
          <w:r>
            <w:tab/>
          </w:r>
          <w:r>
            <w:fldChar w:fldCharType="begin"/>
          </w:r>
          <w:r>
            <w:instrText xml:space="preserve"> PAGEREF _Toc24845 \h </w:instrText>
          </w:r>
          <w:r>
            <w:fldChar w:fldCharType="separate"/>
          </w:r>
          <w:r>
            <w:t>138</w:t>
          </w:r>
          <w:r>
            <w:fldChar w:fldCharType="end"/>
          </w:r>
          <w:r>
            <w:rPr>
              <w:szCs w:val="18"/>
            </w:rPr>
            <w:fldChar w:fldCharType="end"/>
          </w:r>
        </w:p>
        <w:p w14:paraId="3CD913BB">
          <w:pPr>
            <w:pStyle w:val="19"/>
            <w:tabs>
              <w:tab w:val="right" w:leader="dot" w:pos="8306"/>
            </w:tabs>
          </w:pPr>
          <w:r>
            <w:rPr>
              <w:szCs w:val="18"/>
            </w:rPr>
            <w:fldChar w:fldCharType="begin"/>
          </w:r>
          <w:r>
            <w:rPr>
              <w:szCs w:val="18"/>
            </w:rPr>
            <w:instrText xml:space="preserve"> HYPERLINK \l _Toc2444 </w:instrText>
          </w:r>
          <w:r>
            <w:rPr>
              <w:szCs w:val="18"/>
            </w:rPr>
            <w:fldChar w:fldCharType="separate"/>
          </w:r>
          <w:r>
            <w:rPr>
              <w:rFonts w:hint="eastAsia"/>
              <w:lang w:val="en-US" w:eastAsia="zh-CN"/>
            </w:rPr>
            <w:t>8.10. 项目竣工验收</w:t>
          </w:r>
          <w:r>
            <w:tab/>
          </w:r>
          <w:r>
            <w:fldChar w:fldCharType="begin"/>
          </w:r>
          <w:r>
            <w:instrText xml:space="preserve"> PAGEREF _Toc2444 \h </w:instrText>
          </w:r>
          <w:r>
            <w:fldChar w:fldCharType="separate"/>
          </w:r>
          <w:r>
            <w:t>138</w:t>
          </w:r>
          <w:r>
            <w:fldChar w:fldCharType="end"/>
          </w:r>
          <w:r>
            <w:rPr>
              <w:szCs w:val="18"/>
            </w:rPr>
            <w:fldChar w:fldCharType="end"/>
          </w:r>
        </w:p>
        <w:p w14:paraId="37CB88EA">
          <w:pPr>
            <w:pStyle w:val="19"/>
            <w:tabs>
              <w:tab w:val="right" w:leader="dot" w:pos="8306"/>
            </w:tabs>
          </w:pPr>
          <w:r>
            <w:rPr>
              <w:szCs w:val="18"/>
            </w:rPr>
            <w:fldChar w:fldCharType="begin"/>
          </w:r>
          <w:r>
            <w:rPr>
              <w:szCs w:val="18"/>
            </w:rPr>
            <w:instrText xml:space="preserve"> HYPERLINK \l _Toc29463 </w:instrText>
          </w:r>
          <w:r>
            <w:rPr>
              <w:szCs w:val="18"/>
            </w:rPr>
            <w:fldChar w:fldCharType="separate"/>
          </w:r>
          <w:r>
            <w:rPr>
              <w:rFonts w:hint="eastAsia"/>
              <w:lang w:val="en-US" w:eastAsia="zh-CN"/>
            </w:rPr>
            <w:t>8.11. 建后管护制度保障</w:t>
          </w:r>
          <w:r>
            <w:tab/>
          </w:r>
          <w:r>
            <w:fldChar w:fldCharType="begin"/>
          </w:r>
          <w:r>
            <w:instrText xml:space="preserve"> PAGEREF _Toc29463 \h </w:instrText>
          </w:r>
          <w:r>
            <w:fldChar w:fldCharType="separate"/>
          </w:r>
          <w:r>
            <w:t>139</w:t>
          </w:r>
          <w:r>
            <w:fldChar w:fldCharType="end"/>
          </w:r>
          <w:r>
            <w:rPr>
              <w:szCs w:val="18"/>
            </w:rPr>
            <w:fldChar w:fldCharType="end"/>
          </w:r>
        </w:p>
        <w:p w14:paraId="54486201">
          <w:r>
            <w:rPr>
              <w:szCs w:val="18"/>
            </w:rPr>
            <w:fldChar w:fldCharType="end"/>
          </w:r>
        </w:p>
      </w:sdtContent>
    </w:sdt>
    <w:p w14:paraId="0D9137ED">
      <w:pPr>
        <w:pStyle w:val="3"/>
        <w:bidi w:val="0"/>
        <w:rPr>
          <w:rFonts w:hint="eastAsia"/>
          <w:lang w:val="en-US" w:eastAsia="zh-CN"/>
        </w:rPr>
        <w:sectPr>
          <w:footerReference r:id="rId5" w:type="default"/>
          <w:pgSz w:w="11906" w:h="16838"/>
          <w:pgMar w:top="1440" w:right="1800" w:bottom="1440" w:left="1800" w:header="851" w:footer="992" w:gutter="0"/>
          <w:pgNumType w:start="1"/>
          <w:cols w:space="425" w:num="1"/>
          <w:docGrid w:type="lines" w:linePitch="312" w:charSpace="0"/>
        </w:sectPr>
      </w:pPr>
    </w:p>
    <w:p w14:paraId="135227E9">
      <w:pPr>
        <w:pStyle w:val="3"/>
        <w:bidi w:val="0"/>
        <w:rPr>
          <w:rFonts w:hint="eastAsia"/>
          <w:lang w:val="en-US" w:eastAsia="zh-CN"/>
        </w:rPr>
      </w:pPr>
      <w:bookmarkStart w:id="0" w:name="_Toc19902"/>
      <w:r>
        <w:rPr>
          <w:rFonts w:hint="eastAsia"/>
          <w:lang w:val="en-US" w:eastAsia="zh-CN"/>
        </w:rPr>
        <w:t>项目概况</w:t>
      </w:r>
      <w:bookmarkEnd w:id="0"/>
    </w:p>
    <w:p w14:paraId="419B5A10">
      <w:pPr>
        <w:pStyle w:val="4"/>
        <w:bidi w:val="0"/>
        <w:ind w:left="560"/>
      </w:pPr>
      <w:bookmarkStart w:id="1" w:name="_Toc31606"/>
      <w:r>
        <w:rPr>
          <w:rFonts w:hint="eastAsia"/>
          <w:lang w:val="en-US" w:eastAsia="zh-CN"/>
        </w:rPr>
        <w:t xml:space="preserve"> </w:t>
      </w:r>
      <w:bookmarkStart w:id="2" w:name="_Toc20102"/>
      <w:r>
        <w:t>项目名称</w:t>
      </w:r>
      <w:bookmarkEnd w:id="1"/>
      <w:bookmarkEnd w:id="2"/>
    </w:p>
    <w:p w14:paraId="65D8F61C">
      <w:pPr>
        <w:widowControl/>
        <w:bidi w:val="0"/>
        <w:spacing w:line="360" w:lineRule="auto"/>
        <w:ind w:firstLine="560" w:firstLineChars="200"/>
        <w:jc w:val="left"/>
        <w:rPr>
          <w:rFonts w:eastAsia="宋体"/>
          <w:sz w:val="28"/>
          <w:szCs w:val="32"/>
          <w:lang w:val="en-US" w:eastAsia="zh-CN"/>
        </w:rPr>
      </w:pPr>
      <w:r>
        <w:rPr>
          <w:rFonts w:eastAsia="宋体"/>
          <w:sz w:val="28"/>
          <w:szCs w:val="32"/>
          <w:lang w:val="en-US" w:eastAsia="zh-CN"/>
        </w:rPr>
        <w:t>遂宁市安居区2024年大豆单产提升工程（以下简称“本项目”）</w:t>
      </w:r>
    </w:p>
    <w:p w14:paraId="2F6820F9">
      <w:pPr>
        <w:pStyle w:val="4"/>
        <w:bidi w:val="0"/>
        <w:ind w:left="560"/>
      </w:pPr>
      <w:bookmarkStart w:id="3" w:name="_Toc18391"/>
      <w:r>
        <w:rPr>
          <w:rFonts w:hint="eastAsia"/>
          <w:lang w:val="en-US" w:eastAsia="zh-CN"/>
        </w:rPr>
        <w:t>项目区位</w:t>
      </w:r>
      <w:bookmarkEnd w:id="3"/>
      <w:r>
        <w:t xml:space="preserve"> </w:t>
      </w:r>
    </w:p>
    <w:p w14:paraId="5CEB28E6">
      <w:pPr>
        <w:widowControl/>
        <w:bidi w:val="0"/>
        <w:spacing w:line="360" w:lineRule="auto"/>
        <w:ind w:firstLine="560" w:firstLineChars="200"/>
        <w:jc w:val="left"/>
        <w:rPr>
          <w:rFonts w:hint="eastAsia" w:eastAsia="宋体"/>
          <w:sz w:val="28"/>
          <w:szCs w:val="32"/>
          <w:lang w:val="en-US" w:eastAsia="zh-CN"/>
        </w:rPr>
      </w:pPr>
      <w:r>
        <w:rPr>
          <w:rFonts w:hint="eastAsia" w:eastAsia="宋体"/>
          <w:sz w:val="28"/>
          <w:szCs w:val="32"/>
          <w:lang w:val="en-US" w:eastAsia="zh-CN"/>
        </w:rPr>
        <w:t>项目区位置如下图1-1所示</w:t>
      </w:r>
    </w:p>
    <w:p w14:paraId="418B0C2B">
      <w:pPr>
        <w:widowControl/>
        <w:bidi w:val="0"/>
        <w:spacing w:line="360" w:lineRule="auto"/>
        <w:jc w:val="center"/>
        <w:rPr>
          <w:rFonts w:eastAsia="宋体"/>
          <w:sz w:val="28"/>
          <w:szCs w:val="32"/>
          <w:lang w:val="en-US" w:eastAsia="zh-CN"/>
        </w:rPr>
        <w:sectPr>
          <w:headerReference r:id="rId6" w:type="default"/>
          <w:footerReference r:id="rId7" w:type="default"/>
          <w:pgSz w:w="11906" w:h="16838"/>
          <w:pgMar w:top="1440" w:right="1800" w:bottom="1440" w:left="1800" w:header="851" w:footer="992" w:gutter="0"/>
          <w:pgNumType w:start="1"/>
          <w:cols w:space="425" w:num="1"/>
          <w:docGrid w:type="lines" w:linePitch="312" w:charSpace="0"/>
        </w:sectPr>
      </w:pPr>
    </w:p>
    <w:p w14:paraId="1C1395A8">
      <w:pPr>
        <w:widowControl/>
        <w:bidi w:val="0"/>
        <w:spacing w:line="360" w:lineRule="auto"/>
        <w:jc w:val="center"/>
        <w:rPr>
          <w:rFonts w:hint="eastAsia"/>
          <w:b/>
          <w:bCs/>
          <w:lang w:val="en-US" w:eastAsia="zh-CN"/>
        </w:rPr>
      </w:pPr>
      <w:r>
        <w:rPr>
          <w:rFonts w:hint="eastAsia"/>
          <w:b/>
          <w:bCs/>
          <w:lang w:val="en-US" w:eastAsia="zh-CN"/>
        </w:rPr>
        <w:t>图1-1 项目区位图</w:t>
      </w:r>
    </w:p>
    <w:p w14:paraId="05F2C317">
      <w:pPr>
        <w:widowControl/>
        <w:bidi w:val="0"/>
        <w:spacing w:line="360" w:lineRule="auto"/>
        <w:ind w:left="0" w:firstLine="0" w:firstLineChars="0"/>
        <w:jc w:val="both"/>
        <w:rPr>
          <w:b/>
          <w:bCs/>
          <w:lang w:val="en-US" w:eastAsia="zh-CN"/>
        </w:rPr>
        <w:sectPr>
          <w:pgSz w:w="16838" w:h="11906" w:orient="landscape"/>
          <w:pgMar w:top="1800" w:right="1440" w:bottom="1800" w:left="1440" w:header="851" w:footer="992" w:gutter="0"/>
          <w:pgNumType w:start="1"/>
          <w:cols w:space="425" w:num="1"/>
          <w:docGrid w:type="lines" w:linePitch="312" w:charSpace="0"/>
        </w:sectPr>
      </w:pPr>
      <w:r>
        <w:rPr>
          <w:rFonts w:eastAsia="宋体"/>
          <w:sz w:val="28"/>
          <w:szCs w:val="32"/>
          <w:lang w:val="en-US" w:eastAsia="zh-CN"/>
        </w:rPr>
        <w:drawing>
          <wp:inline distT="0" distB="0" distL="114300" distR="114300">
            <wp:extent cx="8864600" cy="4543425"/>
            <wp:effectExtent l="0" t="0" r="8" b="26"/>
            <wp:docPr id="10" name="图片 107" descr="3f5f52ff128b87c5169a084eb3728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7" descr="3f5f52ff128b87c5169a084eb37280a"/>
                    <pic:cNvPicPr>
                      <a:picLocks noChangeAspect="1"/>
                    </pic:cNvPicPr>
                  </pic:nvPicPr>
                  <pic:blipFill>
                    <a:blip r:embed="rId11"/>
                    <a:stretch>
                      <a:fillRect/>
                    </a:stretch>
                  </pic:blipFill>
                  <pic:spPr>
                    <a:xfrm>
                      <a:off x="0" y="0"/>
                      <a:ext cx="8864600" cy="4543425"/>
                    </a:xfrm>
                    <a:prstGeom prst="rect">
                      <a:avLst/>
                    </a:prstGeom>
                    <a:noFill/>
                    <a:ln w="9525" cap="flat" cmpd="sng">
                      <a:noFill/>
                      <a:prstDash val="solid"/>
                      <a:miter/>
                    </a:ln>
                  </pic:spPr>
                </pic:pic>
              </a:graphicData>
            </a:graphic>
          </wp:inline>
        </w:drawing>
      </w:r>
    </w:p>
    <w:p w14:paraId="0231CA78">
      <w:pPr>
        <w:pStyle w:val="4"/>
        <w:bidi w:val="0"/>
        <w:ind w:left="560"/>
      </w:pPr>
      <w:bookmarkStart w:id="4" w:name="_Toc515349427"/>
      <w:bookmarkStart w:id="5" w:name="_Toc25747"/>
      <w:bookmarkStart w:id="6" w:name="_Toc1215"/>
      <w:r>
        <w:t>项目业主</w:t>
      </w:r>
      <w:bookmarkEnd w:id="4"/>
      <w:bookmarkEnd w:id="5"/>
      <w:bookmarkEnd w:id="6"/>
      <w:bookmarkStart w:id="7" w:name="_Toc515349428"/>
    </w:p>
    <w:p w14:paraId="65DDF629">
      <w:pPr>
        <w:bidi w:val="0"/>
        <w:rPr>
          <w:lang w:val="en-US" w:eastAsia="zh-CN"/>
        </w:rPr>
      </w:pPr>
      <w:bookmarkStart w:id="8" w:name="_Hlk127371992"/>
      <w:r>
        <w:rPr>
          <w:lang w:val="en-US" w:eastAsia="zh-CN"/>
        </w:rPr>
        <w:t>遂宁市安居区农业农村局</w:t>
      </w:r>
    </w:p>
    <w:bookmarkEnd w:id="8"/>
    <w:p w14:paraId="7E0ED4DF">
      <w:pPr>
        <w:pStyle w:val="4"/>
        <w:bidi w:val="0"/>
        <w:ind w:left="560"/>
      </w:pPr>
      <w:bookmarkStart w:id="9" w:name="_Toc5186"/>
      <w:bookmarkStart w:id="10" w:name="_Toc16709"/>
      <w:r>
        <w:t>建设地点</w:t>
      </w:r>
      <w:bookmarkEnd w:id="7"/>
      <w:bookmarkEnd w:id="9"/>
      <w:bookmarkEnd w:id="10"/>
    </w:p>
    <w:p w14:paraId="4FDA0A21">
      <w:pPr>
        <w:widowControl/>
        <w:bidi w:val="0"/>
        <w:spacing w:line="360" w:lineRule="auto"/>
        <w:ind w:firstLine="560" w:firstLineChars="200"/>
        <w:jc w:val="left"/>
        <w:rPr>
          <w:rFonts w:eastAsia="宋体"/>
          <w:sz w:val="28"/>
          <w:szCs w:val="32"/>
          <w:lang w:val="en-US" w:eastAsia="zh-CN"/>
        </w:rPr>
      </w:pPr>
      <w:r>
        <w:rPr>
          <w:rFonts w:eastAsia="宋体"/>
          <w:sz w:val="28"/>
          <w:szCs w:val="32"/>
          <w:lang w:val="en-US" w:eastAsia="zh-CN"/>
        </w:rPr>
        <w:t>项目区位于四川省遂宁市安居区</w:t>
      </w:r>
      <w:r>
        <w:rPr>
          <w:rFonts w:hint="eastAsia" w:eastAsia="宋体"/>
          <w:sz w:val="28"/>
          <w:szCs w:val="32"/>
          <w:lang w:val="en-US" w:eastAsia="zh-CN"/>
        </w:rPr>
        <w:t>石洞镇、白马镇、东禅镇、中兴镇、西眉镇等5个乡镇14个行政村。</w:t>
      </w:r>
    </w:p>
    <w:p w14:paraId="02D48159">
      <w:pPr>
        <w:pStyle w:val="4"/>
        <w:bidi w:val="0"/>
        <w:ind w:left="560"/>
      </w:pPr>
      <w:bookmarkStart w:id="11" w:name="_Toc19956"/>
      <w:bookmarkStart w:id="12" w:name="_Toc27569"/>
      <w:bookmarkStart w:id="13" w:name="_Toc515349432"/>
      <w:r>
        <w:t>建设内容及规模</w:t>
      </w:r>
      <w:bookmarkEnd w:id="11"/>
      <w:bookmarkEnd w:id="12"/>
      <w:bookmarkEnd w:id="13"/>
    </w:p>
    <w:p w14:paraId="2A1BD38A">
      <w:pPr>
        <w:bidi w:val="0"/>
        <w:rPr>
          <w:color w:val="auto"/>
          <w:lang w:val="en-US" w:eastAsia="zh-CN"/>
        </w:rPr>
      </w:pPr>
      <w:r>
        <w:rPr>
          <w:color w:val="auto"/>
          <w:lang w:val="en-US" w:eastAsia="zh-CN"/>
        </w:rPr>
        <w:t>以遂宁大豆现代农业园区为重点，在石洞镇建设大豆单产提升核心示范区</w:t>
      </w:r>
      <w:r>
        <w:rPr>
          <w:rFonts w:hint="eastAsia"/>
          <w:color w:val="auto"/>
          <w:lang w:val="en-US" w:eastAsia="zh-CN"/>
        </w:rPr>
        <w:t>，在</w:t>
      </w:r>
      <w:r>
        <w:rPr>
          <w:color w:val="auto"/>
          <w:lang w:val="en-US" w:eastAsia="zh-CN"/>
        </w:rPr>
        <w:t>白马镇、东禅镇、</w:t>
      </w:r>
      <w:r>
        <w:rPr>
          <w:rFonts w:hint="eastAsia"/>
          <w:color w:val="auto"/>
          <w:lang w:val="en-US" w:eastAsia="zh-CN"/>
        </w:rPr>
        <w:t>中兴镇、</w:t>
      </w:r>
      <w:r>
        <w:rPr>
          <w:color w:val="auto"/>
          <w:lang w:val="en-US" w:eastAsia="zh-CN"/>
        </w:rPr>
        <w:t>西眉镇等镇建设大豆单产提升</w:t>
      </w:r>
      <w:r>
        <w:rPr>
          <w:rFonts w:hint="eastAsia"/>
          <w:color w:val="auto"/>
          <w:lang w:val="en-US" w:eastAsia="zh-CN"/>
        </w:rPr>
        <w:t>辐射</w:t>
      </w:r>
      <w:r>
        <w:rPr>
          <w:color w:val="auto"/>
          <w:lang w:val="en-US" w:eastAsia="zh-CN"/>
        </w:rPr>
        <w:t>区，</w:t>
      </w:r>
      <w:r>
        <w:rPr>
          <w:rFonts w:hint="eastAsia"/>
          <w:color w:val="auto"/>
          <w:lang w:val="en-US" w:eastAsia="zh-CN"/>
        </w:rPr>
        <w:t>总</w:t>
      </w:r>
      <w:r>
        <w:rPr>
          <w:color w:val="auto"/>
          <w:lang w:val="en-US" w:eastAsia="zh-CN"/>
        </w:rPr>
        <w:t>覆盖面积</w:t>
      </w:r>
      <w:r>
        <w:rPr>
          <w:rFonts w:hint="eastAsia"/>
          <w:color w:val="auto"/>
          <w:lang w:val="en-US" w:eastAsia="zh-CN"/>
        </w:rPr>
        <w:t>4061亩</w:t>
      </w:r>
      <w:r>
        <w:rPr>
          <w:color w:val="auto"/>
          <w:lang w:val="en-US" w:eastAsia="zh-CN"/>
        </w:rPr>
        <w:t>。</w:t>
      </w:r>
    </w:p>
    <w:p w14:paraId="1FE4AECD">
      <w:pPr>
        <w:bidi w:val="0"/>
        <w:rPr>
          <w:color w:val="auto"/>
          <w:lang w:val="en-US" w:eastAsia="zh-CN"/>
        </w:rPr>
      </w:pPr>
      <w:r>
        <w:rPr>
          <w:rFonts w:hint="eastAsia"/>
          <w:color w:val="auto"/>
          <w:lang w:val="en-US" w:eastAsia="zh-CN"/>
        </w:rPr>
        <w:t>（1）</w:t>
      </w:r>
      <w:r>
        <w:rPr>
          <w:color w:val="auto"/>
          <w:lang w:val="en-US" w:eastAsia="zh-CN"/>
        </w:rPr>
        <w:t>合理配备水泵站设施。</w:t>
      </w:r>
      <w:r>
        <w:rPr>
          <w:rFonts w:hint="eastAsia"/>
          <w:color w:val="auto"/>
          <w:lang w:val="en-US" w:eastAsia="zh-CN"/>
        </w:rPr>
        <w:t>结合每个点位实际情况，充分利用既有灌溉设施设备（提灌站，提灌管网等），</w:t>
      </w:r>
      <w:r>
        <w:rPr>
          <w:color w:val="auto"/>
          <w:lang w:val="en-US" w:eastAsia="zh-CN"/>
        </w:rPr>
        <w:t>在石洞镇</w:t>
      </w:r>
      <w:r>
        <w:rPr>
          <w:rFonts w:hint="eastAsia"/>
          <w:color w:val="auto"/>
          <w:lang w:val="en-US" w:eastAsia="zh-CN"/>
        </w:rPr>
        <w:t>核心区建设11套供水设施（取水设施、管网、泵房、沉砂池、</w:t>
      </w:r>
      <w:r>
        <w:rPr>
          <w:color w:val="auto"/>
          <w:lang w:val="en-US" w:eastAsia="zh-CN"/>
        </w:rPr>
        <w:t>电力设施等</w:t>
      </w:r>
      <w:r>
        <w:rPr>
          <w:rFonts w:hint="eastAsia"/>
          <w:color w:val="auto"/>
          <w:lang w:val="en-US" w:eastAsia="zh-CN"/>
        </w:rPr>
        <w:t>），1处集中供水设施（取水设施、管网、</w:t>
      </w:r>
      <w:r>
        <w:rPr>
          <w:color w:val="auto"/>
          <w:lang w:val="en-US" w:eastAsia="zh-CN"/>
        </w:rPr>
        <w:t>电力设施等</w:t>
      </w:r>
      <w:r>
        <w:rPr>
          <w:rFonts w:hint="eastAsia"/>
          <w:color w:val="auto"/>
          <w:lang w:val="en-US" w:eastAsia="zh-CN"/>
        </w:rPr>
        <w:t>），在东禅镇、中兴镇、</w:t>
      </w:r>
      <w:r>
        <w:rPr>
          <w:color w:val="auto"/>
          <w:lang w:val="en-US" w:eastAsia="zh-CN"/>
        </w:rPr>
        <w:t>白马镇</w:t>
      </w:r>
      <w:r>
        <w:rPr>
          <w:rFonts w:hint="eastAsia"/>
          <w:color w:val="auto"/>
          <w:lang w:val="en-US" w:eastAsia="zh-CN"/>
        </w:rPr>
        <w:t>、西眉镇</w:t>
      </w:r>
      <w:r>
        <w:rPr>
          <w:color w:val="auto"/>
          <w:lang w:val="en-US" w:eastAsia="zh-CN"/>
        </w:rPr>
        <w:t>等</w:t>
      </w:r>
      <w:r>
        <w:rPr>
          <w:rFonts w:hint="eastAsia"/>
          <w:color w:val="auto"/>
          <w:lang w:val="en-US" w:eastAsia="zh-CN"/>
        </w:rPr>
        <w:t>辐射区</w:t>
      </w:r>
      <w:r>
        <w:rPr>
          <w:color w:val="auto"/>
          <w:lang w:val="en-US" w:eastAsia="zh-CN"/>
        </w:rPr>
        <w:t>建设</w:t>
      </w:r>
      <w:r>
        <w:rPr>
          <w:rFonts w:hint="eastAsia"/>
          <w:color w:val="auto"/>
          <w:lang w:val="en-US" w:eastAsia="zh-CN"/>
        </w:rPr>
        <w:t>14套</w:t>
      </w:r>
      <w:r>
        <w:rPr>
          <w:color w:val="auto"/>
          <w:lang w:val="en-US" w:eastAsia="zh-CN"/>
        </w:rPr>
        <w:t>供水设施（</w:t>
      </w:r>
      <w:r>
        <w:rPr>
          <w:rFonts w:hint="eastAsia"/>
          <w:color w:val="auto"/>
          <w:lang w:val="en-US" w:eastAsia="zh-CN"/>
        </w:rPr>
        <w:t>取水设施</w:t>
      </w:r>
      <w:r>
        <w:rPr>
          <w:color w:val="auto"/>
          <w:lang w:val="en-US" w:eastAsia="zh-CN"/>
        </w:rPr>
        <w:t>、</w:t>
      </w:r>
      <w:r>
        <w:rPr>
          <w:rFonts w:hint="eastAsia"/>
          <w:color w:val="auto"/>
          <w:lang w:val="en-US" w:eastAsia="zh-CN"/>
        </w:rPr>
        <w:t>管网、</w:t>
      </w:r>
      <w:r>
        <w:rPr>
          <w:color w:val="auto"/>
          <w:lang w:val="en-US" w:eastAsia="zh-CN"/>
        </w:rPr>
        <w:t>电力设施等）</w:t>
      </w:r>
      <w:r>
        <w:rPr>
          <w:rFonts w:hint="eastAsia"/>
          <w:color w:val="auto"/>
          <w:lang w:val="en-US" w:eastAsia="zh-CN"/>
        </w:rPr>
        <w:t>，核心区与辐射区每个点位覆盖面积150-200亩</w:t>
      </w:r>
      <w:r>
        <w:rPr>
          <w:color w:val="auto"/>
          <w:lang w:val="en-US" w:eastAsia="zh-CN"/>
        </w:rPr>
        <w:t>。</w:t>
      </w:r>
    </w:p>
    <w:p w14:paraId="0EF93B2D">
      <w:pPr>
        <w:bidi w:val="0"/>
        <w:rPr>
          <w:color w:val="auto"/>
          <w:lang w:val="en-US" w:eastAsia="zh-CN"/>
        </w:rPr>
      </w:pPr>
      <w:r>
        <w:rPr>
          <w:rFonts w:hint="eastAsia"/>
          <w:color w:val="auto"/>
          <w:lang w:val="en-US" w:eastAsia="zh-CN"/>
        </w:rPr>
        <w:t>（2）</w:t>
      </w:r>
      <w:r>
        <w:rPr>
          <w:color w:val="auto"/>
          <w:lang w:val="en-US" w:eastAsia="zh-CN"/>
        </w:rPr>
        <w:t>建设水肥精准调控系统。</w:t>
      </w:r>
      <w:r>
        <w:rPr>
          <w:rFonts w:hint="eastAsia"/>
          <w:color w:val="auto"/>
          <w:lang w:val="en-US" w:eastAsia="zh-CN"/>
        </w:rPr>
        <w:t>根据大豆、玉米不同需水量和肥料供应，设计独立两套灌溉系统</w:t>
      </w:r>
      <w:r>
        <w:rPr>
          <w:color w:val="auto"/>
          <w:lang w:val="en-US" w:eastAsia="zh-CN"/>
        </w:rPr>
        <w:t>。首部枢纽包括滴灌增压水泵、配电柜、压力保护装置、过滤装置、施肥装置等。针对不同区域生产需求和基础设施条件，水肥精准调控系统资金可根据实际需求由部分装置组合应用。在完善的供水设施基础上，在石洞镇建设首部枢纽和过滤系统</w:t>
      </w:r>
      <w:r>
        <w:rPr>
          <w:rFonts w:hint="eastAsia"/>
          <w:color w:val="auto"/>
          <w:lang w:val="en-US" w:eastAsia="zh-CN"/>
        </w:rPr>
        <w:t>11</w:t>
      </w:r>
      <w:r>
        <w:rPr>
          <w:color w:val="auto"/>
          <w:lang w:val="en-US" w:eastAsia="zh-CN"/>
        </w:rPr>
        <w:t>台套，铺设安装田间输配水管网（包含主管、支管、分配管、电磁阀、减压阀等）</w:t>
      </w:r>
      <w:r>
        <w:rPr>
          <w:rFonts w:hint="eastAsia"/>
          <w:color w:val="auto"/>
          <w:lang w:val="en-US" w:eastAsia="zh-CN"/>
        </w:rPr>
        <w:t>1822亩</w:t>
      </w:r>
      <w:r>
        <w:rPr>
          <w:color w:val="auto"/>
          <w:lang w:val="en-US" w:eastAsia="zh-CN"/>
        </w:rPr>
        <w:t>。</w:t>
      </w:r>
      <w:r>
        <w:rPr>
          <w:rFonts w:hint="eastAsia"/>
          <w:color w:val="auto"/>
          <w:lang w:val="en-US" w:eastAsia="zh-CN"/>
        </w:rPr>
        <w:t>建成后，每个单元可做到手机APP远程无线控制供水施肥效果，并做到精准滴灌。在东禅镇、中兴镇、</w:t>
      </w:r>
      <w:r>
        <w:rPr>
          <w:color w:val="auto"/>
          <w:lang w:val="en-US" w:eastAsia="zh-CN"/>
        </w:rPr>
        <w:t>白马镇</w:t>
      </w:r>
      <w:r>
        <w:rPr>
          <w:rFonts w:hint="eastAsia"/>
          <w:color w:val="auto"/>
          <w:lang w:val="en-US" w:eastAsia="zh-CN"/>
        </w:rPr>
        <w:t>、西眉镇建设提灌设施14套，</w:t>
      </w:r>
      <w:r>
        <w:rPr>
          <w:color w:val="auto"/>
          <w:lang w:val="en-US" w:eastAsia="zh-CN"/>
        </w:rPr>
        <w:t>铺设安装田间输配水管网（包含主管、支管、</w:t>
      </w:r>
      <w:r>
        <w:rPr>
          <w:rFonts w:hint="eastAsia"/>
          <w:color w:val="auto"/>
          <w:lang w:val="en-US" w:eastAsia="zh-CN"/>
        </w:rPr>
        <w:t>闸阀</w:t>
      </w:r>
      <w:r>
        <w:rPr>
          <w:color w:val="auto"/>
          <w:lang w:val="en-US" w:eastAsia="zh-CN"/>
        </w:rPr>
        <w:t>等）</w:t>
      </w:r>
      <w:r>
        <w:rPr>
          <w:rFonts w:hint="eastAsia"/>
          <w:color w:val="auto"/>
          <w:lang w:val="en-US" w:eastAsia="zh-CN"/>
        </w:rPr>
        <w:t>2239亩</w:t>
      </w:r>
      <w:r>
        <w:rPr>
          <w:color w:val="auto"/>
          <w:lang w:val="en-US" w:eastAsia="zh-CN"/>
        </w:rPr>
        <w:t>。</w:t>
      </w:r>
    </w:p>
    <w:p w14:paraId="6E807AC9">
      <w:pPr>
        <w:widowControl/>
        <w:bidi w:val="0"/>
        <w:spacing w:line="360" w:lineRule="auto"/>
        <w:ind w:firstLine="560" w:firstLineChars="200"/>
        <w:jc w:val="left"/>
        <w:rPr>
          <w:rFonts w:hint="eastAsia" w:eastAsia="宋体"/>
          <w:color w:val="auto"/>
          <w:sz w:val="28"/>
          <w:szCs w:val="32"/>
          <w:lang w:val="en-US" w:eastAsia="zh-CN"/>
        </w:rPr>
      </w:pPr>
      <w:r>
        <w:rPr>
          <w:rFonts w:hint="eastAsia" w:eastAsia="宋体"/>
          <w:color w:val="auto"/>
          <w:sz w:val="28"/>
          <w:szCs w:val="32"/>
          <w:lang w:val="en-US" w:eastAsia="zh-CN"/>
        </w:rPr>
        <w:t>本项目具体建设内容见下表1.1和表1.2</w:t>
      </w:r>
    </w:p>
    <w:p w14:paraId="7EBEDA32">
      <w:pPr>
        <w:bidi w:val="0"/>
        <w:jc w:val="center"/>
        <w:rPr>
          <w:rFonts w:eastAsia="宋体"/>
          <w:b/>
          <w:bCs/>
          <w:lang w:val="en-US" w:eastAsia="zh-CN"/>
        </w:rPr>
      </w:pPr>
      <w:r>
        <w:rPr>
          <w:b/>
          <w:bCs/>
        </w:rPr>
        <w:t>表1</w:t>
      </w:r>
      <w:r>
        <w:rPr>
          <w:rFonts w:hint="eastAsia"/>
          <w:b/>
          <w:bCs/>
          <w:lang w:val="en-US" w:eastAsia="zh-CN"/>
        </w:rPr>
        <w:t>.1</w:t>
      </w:r>
      <w:r>
        <w:rPr>
          <w:b/>
          <w:bCs/>
        </w:rPr>
        <w:t xml:space="preserve"> </w:t>
      </w:r>
      <w:r>
        <w:rPr>
          <w:rFonts w:hint="eastAsia"/>
          <w:b/>
          <w:bCs/>
          <w:lang w:val="en-US" w:eastAsia="zh-CN"/>
        </w:rPr>
        <w:t>各乡镇建设规模表</w:t>
      </w:r>
    </w:p>
    <w:tbl>
      <w:tblPr>
        <w:tblStyle w:val="2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74"/>
        <w:gridCol w:w="1701"/>
        <w:gridCol w:w="2132"/>
        <w:gridCol w:w="3412"/>
      </w:tblGrid>
      <w:tr w14:paraId="4B0876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13E11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序号</w:t>
            </w:r>
          </w:p>
        </w:tc>
        <w:tc>
          <w:tcPr>
            <w:tcW w:w="9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8B23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乡镇</w:t>
            </w:r>
          </w:p>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B455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8987C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建设面积（亩）</w:t>
            </w:r>
          </w:p>
        </w:tc>
      </w:tr>
      <w:tr w14:paraId="0499BC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1434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99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2E29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石洞镇</w:t>
            </w:r>
          </w:p>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36D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谭家坝村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D14AD8">
            <w:pPr>
              <w:keepNext w:val="0"/>
              <w:keepLines w:val="0"/>
              <w:widowControl/>
              <w:suppressLineNumbers w:val="0"/>
              <w:jc w:val="center"/>
              <w:textAlignment w:val="center"/>
              <w:rPr>
                <w:rFonts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rPr>
              <w:t>772</w:t>
            </w:r>
          </w:p>
        </w:tc>
      </w:tr>
      <w:tr w14:paraId="4D97F0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FC156F"/>
        </w:tc>
        <w:tc>
          <w:tcPr>
            <w:tcW w:w="9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753984"/>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7EE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双祠堂村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BB8C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1050</w:t>
            </w:r>
          </w:p>
        </w:tc>
      </w:tr>
      <w:tr w14:paraId="21BA23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7A27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99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C3309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中兴镇</w:t>
            </w:r>
          </w:p>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5628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安家沟村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67DD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152</w:t>
            </w:r>
          </w:p>
        </w:tc>
      </w:tr>
      <w:tr w14:paraId="37D5AB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4DEAC2"/>
        </w:tc>
        <w:tc>
          <w:tcPr>
            <w:tcW w:w="9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EFD9A7"/>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1C2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高楼房村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EBC10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153</w:t>
            </w:r>
          </w:p>
        </w:tc>
      </w:tr>
      <w:tr w14:paraId="20BC10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0FCC50"/>
        </w:tc>
        <w:tc>
          <w:tcPr>
            <w:tcW w:w="9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050E94"/>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F8AB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响滩子村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A9C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154</w:t>
            </w:r>
          </w:p>
        </w:tc>
      </w:tr>
      <w:tr w14:paraId="734EB6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FC28A5"/>
        </w:tc>
        <w:tc>
          <w:tcPr>
            <w:tcW w:w="9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3D740F"/>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3AAD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山神庙村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D9F4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151</w:t>
            </w:r>
          </w:p>
        </w:tc>
      </w:tr>
      <w:tr w14:paraId="6C11C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8F504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99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690D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东禅镇</w:t>
            </w:r>
          </w:p>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490E8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报国寺村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6225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306</w:t>
            </w:r>
          </w:p>
        </w:tc>
      </w:tr>
      <w:tr w14:paraId="123130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6538D2"/>
        </w:tc>
        <w:tc>
          <w:tcPr>
            <w:tcW w:w="9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B62BF1"/>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02C4D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先华村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FCDD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153</w:t>
            </w:r>
          </w:p>
        </w:tc>
      </w:tr>
      <w:tr w14:paraId="62221A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2E8374"/>
        </w:tc>
        <w:tc>
          <w:tcPr>
            <w:tcW w:w="9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1D47DB"/>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9A0F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仙湖村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A80A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155</w:t>
            </w:r>
          </w:p>
        </w:tc>
      </w:tr>
      <w:tr w14:paraId="37F093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4F5DA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99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D2A32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白马镇</w:t>
            </w:r>
          </w:p>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B8CE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黄盐井村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FE1C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407</w:t>
            </w:r>
          </w:p>
        </w:tc>
      </w:tr>
      <w:tr w14:paraId="6F4CD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662C26"/>
        </w:tc>
        <w:tc>
          <w:tcPr>
            <w:tcW w:w="9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A59A47"/>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D098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河边井村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DFA2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152</w:t>
            </w:r>
          </w:p>
        </w:tc>
      </w:tr>
      <w:tr w14:paraId="5E6E5A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7C47B1"/>
        </w:tc>
        <w:tc>
          <w:tcPr>
            <w:tcW w:w="9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EDF7E6"/>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AC3A9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清凉寺村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D1DC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153</w:t>
            </w:r>
          </w:p>
        </w:tc>
      </w:tr>
      <w:tr w14:paraId="3D074E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4FE3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99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3A50E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西眉镇</w:t>
            </w:r>
          </w:p>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5BD9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新宁村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F3F5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151</w:t>
            </w:r>
          </w:p>
        </w:tc>
      </w:tr>
      <w:tr w14:paraId="1E82E2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15AE15"/>
        </w:tc>
        <w:tc>
          <w:tcPr>
            <w:tcW w:w="9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1E3A77"/>
        </w:tc>
        <w:tc>
          <w:tcPr>
            <w:tcW w:w="12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1A5BB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中心村</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20C9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152</w:t>
            </w:r>
          </w:p>
        </w:tc>
      </w:tr>
      <w:tr w14:paraId="0D7FE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9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A7704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合计</w:t>
            </w:r>
          </w:p>
        </w:tc>
        <w:tc>
          <w:tcPr>
            <w:tcW w:w="20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7EB864">
            <w:pPr>
              <w:keepNext w:val="0"/>
              <w:keepLines w:val="0"/>
              <w:widowControl/>
              <w:suppressLineNumbers w:val="0"/>
              <w:jc w:val="center"/>
              <w:textAlignment w:val="center"/>
              <w:rPr>
                <w:rFonts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4061</w:t>
            </w:r>
          </w:p>
        </w:tc>
      </w:tr>
    </w:tbl>
    <w:p w14:paraId="27BAC820">
      <w:pPr>
        <w:pStyle w:val="23"/>
        <w:rPr>
          <w:rFonts w:hint="eastAsia"/>
          <w:lang w:val="en-US" w:eastAsia="zh-CN"/>
        </w:rPr>
        <w:sectPr>
          <w:pgSz w:w="11906" w:h="16838"/>
          <w:pgMar w:top="1440" w:right="1800" w:bottom="1440" w:left="1800" w:header="851" w:footer="992" w:gutter="0"/>
          <w:pgNumType w:start="1"/>
          <w:cols w:space="425" w:num="1"/>
          <w:docGrid w:type="lines" w:linePitch="312" w:charSpace="0"/>
        </w:sectPr>
      </w:pPr>
    </w:p>
    <w:p w14:paraId="3F09C1B4">
      <w:pPr>
        <w:pStyle w:val="4"/>
        <w:bidi w:val="0"/>
        <w:ind w:left="560"/>
        <w:rPr>
          <w:lang w:val="en-US" w:eastAsia="zh-CN"/>
        </w:rPr>
      </w:pPr>
      <w:bookmarkStart w:id="14" w:name="_Toc24406"/>
      <w:r>
        <w:rPr>
          <w:rFonts w:hint="eastAsia"/>
          <w:lang w:val="en-US" w:eastAsia="zh-CN"/>
        </w:rPr>
        <w:t>投资概算</w:t>
      </w:r>
      <w:bookmarkEnd w:id="14"/>
    </w:p>
    <w:p w14:paraId="3B446356">
      <w:pPr>
        <w:rPr>
          <w:rFonts w:hint="eastAsia"/>
          <w:color w:val="auto"/>
          <w:lang w:val="en-US" w:eastAsia="zh-CN"/>
        </w:rPr>
      </w:pPr>
      <w:r>
        <w:rPr>
          <w:rFonts w:hint="eastAsia"/>
          <w:color w:val="auto"/>
          <w:lang w:val="en-US" w:eastAsia="zh-CN"/>
        </w:rPr>
        <w:t>本项目总投资概算为1572.60万元。其中田间管网工程投入814.87万元，占比51.82%，泵房内首部系统及配套设施设备投入180.23万元，占比11.47%，电力工程投入182.60万元，占比11.62%，土建工程投入278.00万元，占比17.69%，材料转运费用16.90万元，占比0.11%，项目设计、监理、勘察、预算、图审、专家评审等工程建设费用100万元，占比6.39%。各乡镇具体投资明细见下表1.2</w:t>
      </w:r>
    </w:p>
    <w:p w14:paraId="0CCF9BD3">
      <w:pPr>
        <w:pStyle w:val="23"/>
        <w:jc w:val="center"/>
        <w:rPr>
          <w:b/>
          <w:bCs/>
        </w:rPr>
      </w:pPr>
      <w:r>
        <w:rPr>
          <w:b/>
          <w:bCs/>
        </w:rPr>
        <w:t>表1</w:t>
      </w:r>
      <w:r>
        <w:rPr>
          <w:rFonts w:hint="eastAsia"/>
          <w:b/>
          <w:bCs/>
          <w:lang w:val="en-US" w:eastAsia="zh-CN"/>
        </w:rPr>
        <w:t>.2</w:t>
      </w:r>
      <w:r>
        <w:rPr>
          <w:b/>
          <w:bCs/>
        </w:rPr>
        <w:t xml:space="preserve"> 项目</w:t>
      </w:r>
      <w:r>
        <w:rPr>
          <w:rFonts w:hint="eastAsia"/>
          <w:b/>
          <w:bCs/>
          <w:lang w:val="en-US" w:eastAsia="zh-CN"/>
        </w:rPr>
        <w:t>建设投资概算</w:t>
      </w:r>
      <w:r>
        <w:rPr>
          <w:b/>
          <w:bCs/>
        </w:rPr>
        <w:t>表</w:t>
      </w:r>
    </w:p>
    <w:tbl>
      <w:tblPr>
        <w:tblStyle w:val="21"/>
        <w:tblW w:w="853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96"/>
        <w:gridCol w:w="1080"/>
        <w:gridCol w:w="1410"/>
        <w:gridCol w:w="3351"/>
        <w:gridCol w:w="1698"/>
      </w:tblGrid>
      <w:tr w14:paraId="694805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5A4C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bookmarkStart w:id="15" w:name="_Toc8121"/>
            <w:r>
              <w:rPr>
                <w:rFonts w:hint="eastAsia" w:ascii="宋体" w:hAnsi="宋体" w:eastAsia="宋体" w:cs="宋体"/>
                <w:i w:val="0"/>
                <w:iCs w:val="0"/>
                <w:color w:val="000000"/>
                <w:kern w:val="0"/>
                <w:sz w:val="22"/>
                <w:szCs w:val="22"/>
                <w:u w:val="none"/>
                <w:lang w:val="en-US" w:eastAsia="zh-CN"/>
              </w:rPr>
              <w:t>序号</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2263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乡镇</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37CB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48A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泵站编号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5EF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投资概算（万元）</w:t>
            </w:r>
          </w:p>
        </w:tc>
      </w:tr>
      <w:tr w14:paraId="4AF26D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D24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C228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石洞镇</w:t>
            </w:r>
          </w:p>
        </w:tc>
        <w:tc>
          <w:tcPr>
            <w:tcW w:w="141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67472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双祠堂村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67C0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93E0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96.08 </w:t>
            </w:r>
          </w:p>
        </w:tc>
      </w:tr>
      <w:tr w14:paraId="570D1C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1C8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2FDBB9"/>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889B42"/>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5E12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2A4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92.28 </w:t>
            </w:r>
          </w:p>
        </w:tc>
      </w:tr>
      <w:tr w14:paraId="4D9AA1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4ACD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F4578C"/>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5D9A00"/>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CFB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583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76.33 </w:t>
            </w:r>
          </w:p>
        </w:tc>
      </w:tr>
      <w:tr w14:paraId="3E61D7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AF69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B105E5"/>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9F7B28"/>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D25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073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78.90 </w:t>
            </w:r>
          </w:p>
        </w:tc>
      </w:tr>
      <w:tr w14:paraId="21F770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B221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B27C65"/>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1D99FB"/>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4208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C1B0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73.98 </w:t>
            </w:r>
          </w:p>
        </w:tc>
      </w:tr>
      <w:tr w14:paraId="255E23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7560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27DFB4"/>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530CEF"/>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7E0F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6E4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91.03 </w:t>
            </w:r>
          </w:p>
        </w:tc>
      </w:tr>
      <w:tr w14:paraId="74C464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59F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E3C435"/>
        </w:tc>
        <w:tc>
          <w:tcPr>
            <w:tcW w:w="141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CA4E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谭家坝村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917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018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94.33 </w:t>
            </w:r>
          </w:p>
        </w:tc>
      </w:tr>
      <w:tr w14:paraId="7B5717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95D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89121D"/>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5F0FA7"/>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F969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DD04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80.75 </w:t>
            </w:r>
          </w:p>
        </w:tc>
      </w:tr>
      <w:tr w14:paraId="164996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AED4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3411E0"/>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C6B17C"/>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2DF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57A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93.48 </w:t>
            </w:r>
          </w:p>
        </w:tc>
      </w:tr>
      <w:tr w14:paraId="4035DA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EC5A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D1B078"/>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539A54"/>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E07F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0F8B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86.84 </w:t>
            </w:r>
          </w:p>
        </w:tc>
      </w:tr>
      <w:tr w14:paraId="5BC942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D0B7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0C0E63"/>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DCBAFA"/>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4E9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集中供水</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94A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55.03 </w:t>
            </w:r>
          </w:p>
        </w:tc>
      </w:tr>
      <w:tr w14:paraId="42DF8B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136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303F00"/>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C0285B"/>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D1A6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7D88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83.78 </w:t>
            </w:r>
          </w:p>
        </w:tc>
      </w:tr>
      <w:tr w14:paraId="1CB12B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D5D8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3EBB54"/>
        </w:tc>
        <w:tc>
          <w:tcPr>
            <w:tcW w:w="501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9EEE38C">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小计</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24AD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1002.80 </w:t>
            </w:r>
          </w:p>
        </w:tc>
      </w:tr>
      <w:tr w14:paraId="318FF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14B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CF3DF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东禅镇</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38DC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先华村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940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807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18.29 </w:t>
            </w:r>
          </w:p>
        </w:tc>
      </w:tr>
      <w:tr w14:paraId="248BC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73C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1756C2"/>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81F5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仙湖村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4B2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A87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42.06 </w:t>
            </w:r>
          </w:p>
        </w:tc>
      </w:tr>
      <w:tr w14:paraId="7E8727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6A3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AC4346"/>
        </w:tc>
        <w:tc>
          <w:tcPr>
            <w:tcW w:w="141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E769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报国寺村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EB3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8B8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40.50 </w:t>
            </w:r>
          </w:p>
        </w:tc>
      </w:tr>
      <w:tr w14:paraId="226980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0F8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BB8D09"/>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BBE069"/>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FE43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861B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20.23 </w:t>
            </w:r>
          </w:p>
        </w:tc>
      </w:tr>
      <w:tr w14:paraId="419981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E124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23FA8B"/>
        </w:tc>
        <w:tc>
          <w:tcPr>
            <w:tcW w:w="501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5C9DCE">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小计</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86011">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121.07 </w:t>
            </w:r>
          </w:p>
        </w:tc>
      </w:tr>
      <w:tr w14:paraId="7C9CA4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4D1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347DC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中兴镇</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B8B7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安家沟村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221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978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34.31 </w:t>
            </w:r>
          </w:p>
        </w:tc>
      </w:tr>
      <w:tr w14:paraId="322250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952F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93E93A"/>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FE2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高楼房村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BB9F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6EA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39.25 </w:t>
            </w:r>
          </w:p>
        </w:tc>
      </w:tr>
      <w:tr w14:paraId="5527EA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2DE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64D86F"/>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8C47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山神庙村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A85D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626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26.63 </w:t>
            </w:r>
          </w:p>
        </w:tc>
      </w:tr>
      <w:tr w14:paraId="7C384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541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AAB6E8"/>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FAD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响滩子村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7A68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5BF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29.04 </w:t>
            </w:r>
          </w:p>
        </w:tc>
      </w:tr>
      <w:tr w14:paraId="1E9DB2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948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E0677A"/>
        </w:tc>
        <w:tc>
          <w:tcPr>
            <w:tcW w:w="501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4416415">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小计</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E6832">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129.23 </w:t>
            </w:r>
          </w:p>
        </w:tc>
      </w:tr>
      <w:tr w14:paraId="37D9B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FFE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27BE2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白马镇</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CBDD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河边井村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97B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D71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25.32 </w:t>
            </w:r>
          </w:p>
        </w:tc>
      </w:tr>
      <w:tr w14:paraId="148D4A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24E3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8D2D9F"/>
        </w:tc>
        <w:tc>
          <w:tcPr>
            <w:tcW w:w="141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D36F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黄盐井村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388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0363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35.72 </w:t>
            </w:r>
          </w:p>
        </w:tc>
      </w:tr>
      <w:tr w14:paraId="6F72E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516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385223"/>
        </w:tc>
        <w:tc>
          <w:tcPr>
            <w:tcW w:w="14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521A4D"/>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84EC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FF8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44.89 </w:t>
            </w:r>
          </w:p>
        </w:tc>
      </w:tr>
      <w:tr w14:paraId="5C9EF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CB3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FB53DD"/>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1B4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清凉寺村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DBCF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0ED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32.23 </w:t>
            </w:r>
          </w:p>
        </w:tc>
      </w:tr>
      <w:tr w14:paraId="784841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6B30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08F583"/>
        </w:tc>
        <w:tc>
          <w:tcPr>
            <w:tcW w:w="501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92EE83">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小计</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11E25">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138.17 </w:t>
            </w:r>
          </w:p>
        </w:tc>
      </w:tr>
      <w:tr w14:paraId="2E806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F01D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6986B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西眉镇</w:t>
            </w:r>
          </w:p>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EA01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新宁村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43B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6622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41.78 </w:t>
            </w:r>
          </w:p>
        </w:tc>
      </w:tr>
      <w:tr w14:paraId="73F42E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53C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0F1266"/>
        </w:tc>
        <w:tc>
          <w:tcPr>
            <w:tcW w:w="14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5B89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中心村</w:t>
            </w:r>
          </w:p>
        </w:tc>
        <w:tc>
          <w:tcPr>
            <w:tcW w:w="3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9667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25号</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AB19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39.54 </w:t>
            </w:r>
          </w:p>
        </w:tc>
      </w:tr>
      <w:tr w14:paraId="6431D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2DF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0FCE28"/>
        </w:tc>
        <w:tc>
          <w:tcPr>
            <w:tcW w:w="501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8C8BCC">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小计</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31DA0">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81.33 </w:t>
            </w:r>
          </w:p>
        </w:tc>
      </w:tr>
      <w:tr w14:paraId="7B8130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341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609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814AC2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项目设计、监理、勘察、预算、图审、专家评审等工程建设费用</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42B59">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100.00 </w:t>
            </w:r>
          </w:p>
        </w:tc>
      </w:tr>
      <w:tr w14:paraId="714719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716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5841"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C1479">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合计</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62524">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1572.60 </w:t>
            </w:r>
          </w:p>
        </w:tc>
      </w:tr>
    </w:tbl>
    <w:p w14:paraId="0FE9D75B">
      <w:pPr>
        <w:pStyle w:val="4"/>
        <w:bidi w:val="0"/>
        <w:ind w:left="560"/>
        <w:rPr>
          <w:lang w:val="zh-CN" w:eastAsia="zh-CN"/>
        </w:rPr>
      </w:pPr>
      <w:bookmarkStart w:id="16" w:name="_Toc20060"/>
      <w:r>
        <w:rPr>
          <w:lang w:val="zh-CN" w:eastAsia="zh-CN"/>
        </w:rPr>
        <w:t>建设期限</w:t>
      </w:r>
      <w:bookmarkEnd w:id="15"/>
      <w:bookmarkEnd w:id="16"/>
    </w:p>
    <w:p w14:paraId="29EA757E">
      <w:pPr>
        <w:jc w:val="left"/>
        <w:rPr>
          <w:rFonts w:hint="eastAsia"/>
          <w:lang w:val="zh-CN" w:eastAsia="zh-CN"/>
        </w:rPr>
      </w:pPr>
      <w:r>
        <w:rPr>
          <w:rFonts w:hint="eastAsia"/>
          <w:lang w:val="zh-CN" w:eastAsia="zh-CN"/>
        </w:rPr>
        <w:t>该项目建设期限为</w:t>
      </w:r>
      <w:r>
        <w:rPr>
          <w:rFonts w:hint="eastAsia"/>
          <w:lang w:val="en-US" w:eastAsia="zh-CN"/>
        </w:rPr>
        <w:t>1年，即2024年12月—2025年12月，根据全区自然气候和农业生产实际，结合项目工程具体建设和投资管理部门要求，具体</w:t>
      </w:r>
      <w:r>
        <w:rPr>
          <w:rFonts w:hint="eastAsia"/>
          <w:lang w:val="zh-CN" w:eastAsia="zh-CN"/>
        </w:rPr>
        <w:t>计划工期如下：</w:t>
      </w:r>
    </w:p>
    <w:p w14:paraId="5E1F45D9">
      <w:pPr>
        <w:jc w:val="left"/>
        <w:rPr>
          <w:rFonts w:hint="eastAsia"/>
          <w:lang w:val="zh-CN" w:eastAsia="zh-CN"/>
        </w:rPr>
      </w:pPr>
      <w:r>
        <w:rPr>
          <w:rFonts w:hint="eastAsia"/>
          <w:lang w:val="en-US" w:eastAsia="zh-CN"/>
        </w:rPr>
        <w:t>2024年12</w:t>
      </w:r>
      <w:r>
        <w:rPr>
          <w:rFonts w:hint="eastAsia"/>
          <w:lang w:val="zh-CN" w:eastAsia="zh-CN"/>
        </w:rPr>
        <w:t>月，完成项目的前期工作；</w:t>
      </w:r>
    </w:p>
    <w:p w14:paraId="7D47EE0F">
      <w:pPr>
        <w:jc w:val="left"/>
        <w:rPr>
          <w:rFonts w:hint="eastAsia"/>
          <w:lang w:val="zh-CN" w:eastAsia="zh-CN"/>
        </w:rPr>
      </w:pPr>
      <w:r>
        <w:rPr>
          <w:rFonts w:hint="eastAsia"/>
          <w:lang w:val="en-US" w:eastAsia="zh-CN"/>
        </w:rPr>
        <w:t>2024年1月</w:t>
      </w:r>
      <w:r>
        <w:rPr>
          <w:rFonts w:hint="eastAsia"/>
          <w:lang w:val="zh-CN" w:eastAsia="zh-CN"/>
        </w:rPr>
        <w:t>，完成项目建设招投标；</w:t>
      </w:r>
    </w:p>
    <w:p w14:paraId="2EFE2055">
      <w:pPr>
        <w:jc w:val="left"/>
        <w:rPr>
          <w:rFonts w:hint="eastAsia"/>
          <w:lang w:val="zh-CN" w:eastAsia="zh-CN"/>
        </w:rPr>
      </w:pPr>
      <w:r>
        <w:rPr>
          <w:rFonts w:hint="eastAsia"/>
          <w:lang w:val="en-US" w:eastAsia="zh-CN"/>
        </w:rPr>
        <w:t>2025年1</w:t>
      </w:r>
      <w:r>
        <w:rPr>
          <w:rFonts w:hint="eastAsia"/>
          <w:lang w:val="zh-CN" w:eastAsia="zh-CN"/>
        </w:rPr>
        <w:t>月-</w:t>
      </w:r>
      <w:r>
        <w:rPr>
          <w:rFonts w:hint="eastAsia"/>
          <w:lang w:val="en-US" w:eastAsia="zh-CN"/>
        </w:rPr>
        <w:t>2025年11</w:t>
      </w:r>
      <w:r>
        <w:rPr>
          <w:rFonts w:hint="eastAsia"/>
          <w:lang w:val="zh-CN" w:eastAsia="zh-CN"/>
        </w:rPr>
        <w:t>月，完成项目仪器设备采购、水肥一体化设施管道工程及其他基础设施建设、仪器设备安装调试等工程建设；</w:t>
      </w:r>
    </w:p>
    <w:p w14:paraId="5158741C">
      <w:pPr>
        <w:jc w:val="left"/>
        <w:rPr>
          <w:rFonts w:hint="eastAsia"/>
          <w:lang w:val="zh-CN" w:eastAsia="zh-CN"/>
        </w:rPr>
      </w:pPr>
      <w:r>
        <w:rPr>
          <w:rFonts w:hint="eastAsia"/>
          <w:lang w:val="en-US" w:eastAsia="zh-CN"/>
        </w:rPr>
        <w:t>2025年12</w:t>
      </w:r>
      <w:r>
        <w:rPr>
          <w:rFonts w:hint="eastAsia"/>
          <w:lang w:val="zh-CN" w:eastAsia="zh-CN"/>
        </w:rPr>
        <w:t>月项目完善及组织验收。</w:t>
      </w:r>
    </w:p>
    <w:p w14:paraId="68AA54C1">
      <w:pPr>
        <w:pStyle w:val="4"/>
        <w:bidi w:val="0"/>
        <w:ind w:left="560"/>
        <w:rPr>
          <w:lang w:val="en-US" w:eastAsia="zh-CN"/>
        </w:rPr>
      </w:pPr>
      <w:bookmarkStart w:id="17" w:name="_Toc31579"/>
      <w:r>
        <w:rPr>
          <w:rFonts w:hint="eastAsia"/>
          <w:lang w:val="en-US" w:eastAsia="zh-CN"/>
        </w:rPr>
        <w:t>项目总体思路</w:t>
      </w:r>
      <w:bookmarkEnd w:id="17"/>
    </w:p>
    <w:p w14:paraId="6DD41CAF">
      <w:pPr>
        <w:pStyle w:val="5"/>
        <w:bidi w:val="0"/>
        <w:rPr>
          <w:rFonts w:hint="eastAsia"/>
        </w:rPr>
      </w:pPr>
      <w:bookmarkStart w:id="18" w:name="_Toc3467"/>
      <w:bookmarkStart w:id="19" w:name="_Toc15965"/>
      <w:r>
        <w:rPr>
          <w:rFonts w:hint="eastAsia"/>
        </w:rPr>
        <w:t>指导思想</w:t>
      </w:r>
      <w:bookmarkEnd w:id="18"/>
      <w:bookmarkEnd w:id="19"/>
    </w:p>
    <w:p w14:paraId="0A5FB2ED">
      <w:pPr>
        <w:bidi w:val="0"/>
        <w:rPr>
          <w:rFonts w:hint="eastAsia"/>
        </w:rPr>
      </w:pPr>
      <w:r>
        <w:rPr>
          <w:rFonts w:hint="eastAsia"/>
          <w:lang w:val="en-US" w:eastAsia="zh-CN"/>
        </w:rPr>
        <w:t>安居区区委区</w:t>
      </w:r>
      <w:r>
        <w:rPr>
          <w:rFonts w:hint="eastAsia"/>
        </w:rPr>
        <w:t>政府高度重视2024年全国</w:t>
      </w:r>
      <w:r>
        <w:rPr>
          <w:rFonts w:hint="eastAsia"/>
          <w:lang w:val="en-US" w:eastAsia="zh-CN"/>
        </w:rPr>
        <w:t>大豆</w:t>
      </w:r>
      <w:r>
        <w:rPr>
          <w:rFonts w:hint="eastAsia"/>
        </w:rPr>
        <w:t>单产提升工程</w:t>
      </w:r>
      <w:r>
        <w:rPr>
          <w:rFonts w:hint="eastAsia"/>
          <w:lang w:val="en-US" w:eastAsia="zh-CN"/>
        </w:rPr>
        <w:t>项目</w:t>
      </w:r>
      <w:r>
        <w:rPr>
          <w:rFonts w:hint="eastAsia"/>
        </w:rPr>
        <w:t>县实施工作，全面落实《四川省发展和改革委员会 四川省农业农村厅关于申报大豆单产提升工程项目县的预通知》的要求，充分发挥我</w:t>
      </w:r>
      <w:r>
        <w:rPr>
          <w:rFonts w:hint="eastAsia"/>
          <w:lang w:val="en-US" w:eastAsia="zh-CN"/>
        </w:rPr>
        <w:t>区大豆</w:t>
      </w:r>
      <w:r>
        <w:rPr>
          <w:rFonts w:hint="eastAsia"/>
        </w:rPr>
        <w:t>供给在全省实施千万吨粮食增产计划中的重要作用，扎实推进各项重点任务落实，确保2024年</w:t>
      </w:r>
      <w:r>
        <w:rPr>
          <w:rFonts w:hint="eastAsia"/>
          <w:lang w:val="en-US" w:eastAsia="zh-CN"/>
        </w:rPr>
        <w:t>后</w:t>
      </w:r>
      <w:r>
        <w:rPr>
          <w:rFonts w:hint="eastAsia"/>
        </w:rPr>
        <w:t>我县</w:t>
      </w:r>
      <w:r>
        <w:rPr>
          <w:rFonts w:hint="eastAsia"/>
          <w:lang w:val="en-US" w:eastAsia="zh-CN"/>
        </w:rPr>
        <w:t>大豆</w:t>
      </w:r>
      <w:r>
        <w:rPr>
          <w:rFonts w:hint="eastAsia"/>
        </w:rPr>
        <w:t>提高单产、提升品质，巩固提升粮食产能，当好维护国家粮食安全“压舱石”。</w:t>
      </w:r>
    </w:p>
    <w:p w14:paraId="6CF4BDB1">
      <w:pPr>
        <w:pStyle w:val="5"/>
        <w:bidi w:val="0"/>
        <w:rPr>
          <w:rFonts w:hint="eastAsia"/>
        </w:rPr>
      </w:pPr>
      <w:bookmarkStart w:id="20" w:name="_Toc11976"/>
      <w:bookmarkStart w:id="21" w:name="_Toc7364"/>
      <w:r>
        <w:rPr>
          <w:rFonts w:hint="eastAsia"/>
        </w:rPr>
        <w:t>基本原则</w:t>
      </w:r>
      <w:bookmarkEnd w:id="20"/>
      <w:bookmarkEnd w:id="21"/>
    </w:p>
    <w:p w14:paraId="49A409B1">
      <w:pPr>
        <w:bidi w:val="0"/>
        <w:rPr>
          <w:rFonts w:hint="eastAsia"/>
        </w:rPr>
      </w:pPr>
      <w:r>
        <w:rPr>
          <w:rFonts w:hint="eastAsia"/>
        </w:rPr>
        <w:t>（一）坚持扩大播种面积、提高单产、增加总产相结合的原则。立足项目区资源优势，优化区域布局，积极开发利用冬闲耕地，扩大</w:t>
      </w:r>
      <w:r>
        <w:rPr>
          <w:rFonts w:hint="eastAsia"/>
          <w:lang w:eastAsia="zh-CN"/>
        </w:rPr>
        <w:t>大豆</w:t>
      </w:r>
      <w:r>
        <w:rPr>
          <w:rFonts w:hint="eastAsia"/>
        </w:rPr>
        <w:t>生产面积，依靠科技，主攻单产，加快田间基础设施建设，增强防灾减灾能力，大力推进</w:t>
      </w:r>
      <w:r>
        <w:rPr>
          <w:rFonts w:hint="eastAsia"/>
          <w:lang w:eastAsia="zh-CN"/>
        </w:rPr>
        <w:t>大豆</w:t>
      </w:r>
      <w:r>
        <w:rPr>
          <w:rFonts w:hint="eastAsia"/>
        </w:rPr>
        <w:t>生产机械化，提高</w:t>
      </w:r>
      <w:r>
        <w:rPr>
          <w:rFonts w:hint="eastAsia"/>
          <w:lang w:eastAsia="zh-CN"/>
        </w:rPr>
        <w:t>大豆</w:t>
      </w:r>
      <w:r>
        <w:rPr>
          <w:rFonts w:hint="eastAsia"/>
        </w:rPr>
        <w:t>综合生产能力。</w:t>
      </w:r>
    </w:p>
    <w:p w14:paraId="4DB2A5D7">
      <w:pPr>
        <w:bidi w:val="0"/>
        <w:rPr>
          <w:rFonts w:hint="eastAsia"/>
        </w:rPr>
      </w:pPr>
      <w:r>
        <w:rPr>
          <w:rFonts w:hint="eastAsia"/>
        </w:rPr>
        <w:t>（二）坚持宏观调控和市场导向相结合的原则。发挥政府对</w:t>
      </w:r>
      <w:r>
        <w:rPr>
          <w:rFonts w:hint="eastAsia"/>
          <w:lang w:eastAsia="zh-CN"/>
        </w:rPr>
        <w:t>大豆</w:t>
      </w:r>
      <w:r>
        <w:rPr>
          <w:rFonts w:hint="eastAsia"/>
        </w:rPr>
        <w:t>食品工业投资的引导作用，合理安排</w:t>
      </w:r>
      <w:r>
        <w:rPr>
          <w:rFonts w:hint="eastAsia"/>
          <w:lang w:eastAsia="zh-CN"/>
        </w:rPr>
        <w:t>大豆</w:t>
      </w:r>
      <w:r>
        <w:rPr>
          <w:rFonts w:hint="eastAsia"/>
        </w:rPr>
        <w:t>精深加工贷款贴息项目，突出重点，扶大扶强。充分利用市场对资源配置的基础性作用，探索投资融资的多元化渠道，通过联合、兼并、重组等方式广泛吸纳各种社会资本参与</w:t>
      </w:r>
      <w:r>
        <w:rPr>
          <w:rFonts w:hint="eastAsia"/>
          <w:lang w:eastAsia="zh-CN"/>
        </w:rPr>
        <w:t>大豆</w:t>
      </w:r>
      <w:r>
        <w:rPr>
          <w:rFonts w:hint="eastAsia"/>
        </w:rPr>
        <w:t xml:space="preserve">食品工业发展项目建设，实现投资主体和经营主体的多元化。  </w:t>
      </w:r>
    </w:p>
    <w:p w14:paraId="696BAF05">
      <w:pPr>
        <w:bidi w:val="0"/>
        <w:rPr>
          <w:rFonts w:hint="eastAsia"/>
        </w:rPr>
      </w:pPr>
      <w:r>
        <w:rPr>
          <w:rFonts w:hint="eastAsia"/>
        </w:rPr>
        <w:t>（三）坚持全局性、前瞻性和战略性相结合的原则。从安居实际出发，用“区域化、差异化、工业化、产业化”的理念谋划</w:t>
      </w:r>
      <w:r>
        <w:rPr>
          <w:rFonts w:hint="eastAsia"/>
          <w:lang w:eastAsia="zh-CN"/>
        </w:rPr>
        <w:t>大豆</w:t>
      </w:r>
      <w:r>
        <w:rPr>
          <w:rFonts w:hint="eastAsia"/>
        </w:rPr>
        <w:t>食品工业的发展，统筹兼顾，因地制宜，科学规划，合理布局，整合资源，调整结构，突出特色，发挥优势，推进安居</w:t>
      </w:r>
      <w:r>
        <w:rPr>
          <w:rFonts w:hint="eastAsia"/>
          <w:lang w:eastAsia="zh-CN"/>
        </w:rPr>
        <w:t>大豆</w:t>
      </w:r>
      <w:r>
        <w:rPr>
          <w:rFonts w:hint="eastAsia"/>
        </w:rPr>
        <w:t xml:space="preserve">食品工业向设备科技化、管理现代化、经营产业化、品种优质化、品牌特色化、产品系列化的方向发展。  </w:t>
      </w:r>
    </w:p>
    <w:p w14:paraId="635B7385">
      <w:pPr>
        <w:bidi w:val="0"/>
        <w:rPr>
          <w:rFonts w:hint="eastAsia"/>
        </w:rPr>
      </w:pPr>
      <w:r>
        <w:rPr>
          <w:rFonts w:hint="eastAsia"/>
        </w:rPr>
        <w:t>（四）坚持短期目标和长远发展相结合的原则。既要立足当前，明确现阶段的工作任务，大力开展</w:t>
      </w:r>
      <w:r>
        <w:rPr>
          <w:rFonts w:hint="eastAsia"/>
          <w:lang w:eastAsia="zh-CN"/>
        </w:rPr>
        <w:t>大豆</w:t>
      </w:r>
      <w:r>
        <w:rPr>
          <w:rFonts w:hint="eastAsia"/>
        </w:rPr>
        <w:t>精深加工技术改造，有效淘汰落后的生产设备和工艺，不断提高</w:t>
      </w:r>
      <w:r>
        <w:rPr>
          <w:rFonts w:hint="eastAsia"/>
          <w:lang w:eastAsia="zh-CN"/>
        </w:rPr>
        <w:t>大豆</w:t>
      </w:r>
      <w:r>
        <w:rPr>
          <w:rFonts w:hint="eastAsia"/>
        </w:rPr>
        <w:t>产品的科技含量，并努力建设优质</w:t>
      </w:r>
      <w:r>
        <w:rPr>
          <w:rFonts w:hint="eastAsia"/>
          <w:lang w:eastAsia="zh-CN"/>
        </w:rPr>
        <w:t>大豆</w:t>
      </w:r>
      <w:r>
        <w:rPr>
          <w:rFonts w:hint="eastAsia"/>
        </w:rPr>
        <w:t>订单基地，积极延伸产业链条，推进</w:t>
      </w:r>
      <w:r>
        <w:rPr>
          <w:rFonts w:hint="eastAsia"/>
          <w:lang w:eastAsia="zh-CN"/>
        </w:rPr>
        <w:t>大豆</w:t>
      </w:r>
      <w:r>
        <w:rPr>
          <w:rFonts w:hint="eastAsia"/>
        </w:rPr>
        <w:t>产业化快速发展；又要着眼未来，大力扶持高科技含量、高产品附加值、高产能的新型项目，做到高起点、高水平，着力推动</w:t>
      </w:r>
      <w:r>
        <w:rPr>
          <w:rFonts w:hint="eastAsia"/>
          <w:lang w:eastAsia="zh-CN"/>
        </w:rPr>
        <w:t>大豆</w:t>
      </w:r>
      <w:r>
        <w:rPr>
          <w:rFonts w:hint="eastAsia"/>
        </w:rPr>
        <w:t>食品工业向精细化加工方向发展。同时，要防止低水平重复建设，保持适度规模，避免产能过剩和资源浪费。</w:t>
      </w:r>
    </w:p>
    <w:p w14:paraId="2E3159D1">
      <w:pPr>
        <w:bidi w:val="0"/>
        <w:rPr>
          <w:rFonts w:hint="eastAsia"/>
        </w:rPr>
      </w:pPr>
      <w:r>
        <w:rPr>
          <w:rFonts w:hint="eastAsia"/>
        </w:rPr>
        <w:t>（五）坚持循环经济和可持续发展的原则。合理利用和开发资源，大力发展循环经济，降低能源消耗，防止环境污染，提高资源利用率，走资源节约型和环境友好型之路，实现</w:t>
      </w:r>
      <w:r>
        <w:rPr>
          <w:rFonts w:hint="eastAsia"/>
          <w:lang w:eastAsia="zh-CN"/>
        </w:rPr>
        <w:t>大豆</w:t>
      </w:r>
      <w:r>
        <w:rPr>
          <w:rFonts w:hint="eastAsia"/>
        </w:rPr>
        <w:t>食品工业可持续发展。</w:t>
      </w:r>
    </w:p>
    <w:p w14:paraId="128DD00E">
      <w:pPr>
        <w:bidi w:val="0"/>
        <w:rPr>
          <w:rFonts w:hint="eastAsia"/>
        </w:rPr>
      </w:pPr>
      <w:r>
        <w:rPr>
          <w:rFonts w:hint="eastAsia"/>
        </w:rPr>
        <w:t>（六）坚持以人为本和管理增效的原则。深化企业改革，创新体制、机制，建立健全现代企业制度，积极探索新的管理模式，推进信息化管理，构建先进企业文化。坚持</w:t>
      </w:r>
      <w:r>
        <w:rPr>
          <w:rFonts w:hint="eastAsia"/>
          <w:lang w:eastAsia="zh-CN"/>
        </w:rPr>
        <w:t>以人为本</w:t>
      </w:r>
      <w:r>
        <w:rPr>
          <w:rFonts w:hint="eastAsia"/>
        </w:rPr>
        <w:t>，重视和加强人才培养，造就一支会经营、善管理、懂技术、业务精、作风好的人才队伍，提高</w:t>
      </w:r>
      <w:r>
        <w:rPr>
          <w:rFonts w:hint="eastAsia"/>
          <w:lang w:eastAsia="zh-CN"/>
        </w:rPr>
        <w:t>大豆</w:t>
      </w:r>
      <w:r>
        <w:rPr>
          <w:rFonts w:hint="eastAsia"/>
        </w:rPr>
        <w:t>食品加工业整体素质。</w:t>
      </w:r>
    </w:p>
    <w:p w14:paraId="679EB093">
      <w:pPr>
        <w:rPr>
          <w:rFonts w:hint="eastAsia"/>
          <w:lang w:val="en-US" w:eastAsia="zh-CN"/>
        </w:rPr>
      </w:pPr>
    </w:p>
    <w:p w14:paraId="7DD22CE0">
      <w:pPr>
        <w:pStyle w:val="4"/>
        <w:bidi w:val="0"/>
        <w:ind w:left="560"/>
        <w:rPr>
          <w:lang w:val="en-US" w:eastAsia="zh-CN"/>
        </w:rPr>
      </w:pPr>
      <w:bookmarkStart w:id="22" w:name="_Toc10975"/>
      <w:r>
        <w:rPr>
          <w:rFonts w:hint="eastAsia"/>
          <w:lang w:val="en-US" w:eastAsia="zh-CN"/>
        </w:rPr>
        <w:t>项目建设目标</w:t>
      </w:r>
      <w:bookmarkEnd w:id="22"/>
    </w:p>
    <w:p w14:paraId="1B34D613">
      <w:pPr>
        <w:jc w:val="left"/>
        <w:rPr>
          <w:rFonts w:hint="eastAsia"/>
          <w:lang w:val="en-US" w:eastAsia="zh-CN"/>
        </w:rPr>
      </w:pPr>
      <w:r>
        <w:rPr>
          <w:rFonts w:hint="eastAsia"/>
          <w:lang w:val="en-US" w:eastAsia="zh-CN"/>
        </w:rPr>
        <w:t>在石洞镇、白马镇等镇建设大豆水肥</w:t>
      </w:r>
      <w:r>
        <w:rPr>
          <w:lang w:val="en-US" w:eastAsia="zh-CN"/>
        </w:rPr>
        <w:t>精准</w:t>
      </w:r>
      <w:r>
        <w:rPr>
          <w:rFonts w:hint="eastAsia"/>
          <w:lang w:val="en-US" w:eastAsia="zh-CN"/>
        </w:rPr>
        <w:t>调控系统</w:t>
      </w:r>
      <w:r>
        <w:rPr>
          <w:lang w:val="en-US" w:eastAsia="zh-CN"/>
        </w:rPr>
        <w:t>和</w:t>
      </w:r>
      <w:r>
        <w:rPr>
          <w:rFonts w:hint="eastAsia"/>
          <w:lang w:val="en-US" w:eastAsia="zh-CN"/>
        </w:rPr>
        <w:t>全生育期精准调控技术集成展示示范面积4000亩，辐射带动全区18个镇（街道）大豆玉米带状复合种植集中区建设滴灌设施及配套设备示范面积50000亩。通过项目实施，促进区域种植密度和出苗匀度有效提升，大豆亩均密度由5000株-6500株提升至7500株-8300株，施肥方式由“</w:t>
      </w:r>
      <w:r>
        <w:rPr>
          <w:lang w:val="en-US" w:eastAsia="zh-CN"/>
        </w:rPr>
        <w:t>一炮轰</w:t>
      </w:r>
      <w:r>
        <w:rPr>
          <w:rFonts w:hint="eastAsia"/>
          <w:lang w:val="en-US" w:eastAsia="zh-CN"/>
        </w:rPr>
        <w:t>”</w:t>
      </w:r>
      <w:r>
        <w:rPr>
          <w:lang w:val="en-US" w:eastAsia="zh-CN"/>
        </w:rPr>
        <w:t>改为全生育期滴灌追肥</w:t>
      </w:r>
      <w:r>
        <w:rPr>
          <w:rFonts w:hint="eastAsia"/>
          <w:lang w:val="en-US" w:eastAsia="zh-CN"/>
        </w:rPr>
        <w:t>2</w:t>
      </w:r>
      <w:r>
        <w:rPr>
          <w:lang w:val="en-US" w:eastAsia="zh-CN"/>
        </w:rPr>
        <w:t>-</w:t>
      </w:r>
      <w:r>
        <w:rPr>
          <w:rFonts w:hint="eastAsia"/>
          <w:lang w:val="en-US" w:eastAsia="zh-CN"/>
        </w:rPr>
        <w:t>3</w:t>
      </w:r>
      <w:r>
        <w:rPr>
          <w:lang w:val="en-US" w:eastAsia="zh-CN"/>
        </w:rPr>
        <w:t>次，</w:t>
      </w:r>
      <w:r>
        <w:rPr>
          <w:rFonts w:hint="eastAsia"/>
          <w:lang w:val="en-US" w:eastAsia="zh-CN"/>
        </w:rPr>
        <w:t>力争项目区大豆亩均单产提高20公斤以上，全区大豆增产960吨以上，促进大豆大面积稳产增产。</w:t>
      </w:r>
    </w:p>
    <w:p w14:paraId="4DA242EB">
      <w:pPr>
        <w:pStyle w:val="4"/>
        <w:bidi w:val="0"/>
        <w:ind w:left="560"/>
        <w:rPr>
          <w:lang w:val="en-US" w:eastAsia="zh-CN"/>
        </w:rPr>
      </w:pPr>
      <w:bookmarkStart w:id="23" w:name="_Toc8579"/>
      <w:r>
        <w:rPr>
          <w:rFonts w:hint="eastAsia"/>
          <w:lang w:val="en-US" w:eastAsia="zh-CN"/>
        </w:rPr>
        <w:t>项目组织管理</w:t>
      </w:r>
      <w:bookmarkEnd w:id="23"/>
    </w:p>
    <w:p w14:paraId="008EA4B8">
      <w:pPr>
        <w:jc w:val="left"/>
        <w:rPr>
          <w:rFonts w:hint="eastAsia"/>
          <w:lang w:val="en-US" w:eastAsia="zh-CN"/>
        </w:rPr>
      </w:pPr>
      <w:r>
        <w:rPr>
          <w:rFonts w:hint="eastAsia"/>
          <w:lang w:val="en-US" w:eastAsia="zh-CN"/>
        </w:rPr>
        <w:t>安居区高度重视大豆单产提升项目的建设工作，把“推进大面积提升我国大豆单产水平”作为推动安居区现代生态循环农业的重要抓手，为保障顺利实施试点项目工程的开展，保障大豆单产提升项目的全面完成，成立如下相关组织：</w:t>
      </w:r>
    </w:p>
    <w:p w14:paraId="19494372">
      <w:pPr>
        <w:jc w:val="left"/>
        <w:rPr>
          <w:rFonts w:hint="eastAsia"/>
          <w:lang w:val="en-US" w:eastAsia="zh-CN"/>
        </w:rPr>
      </w:pPr>
      <w:r>
        <w:rPr>
          <w:rFonts w:hint="eastAsia"/>
          <w:lang w:val="en-US" w:eastAsia="zh-CN"/>
        </w:rPr>
        <w:t>遂宁市安居区大豆单产提升项目领导小组</w:t>
      </w:r>
    </w:p>
    <w:p w14:paraId="56389D44">
      <w:pPr>
        <w:jc w:val="left"/>
        <w:rPr>
          <w:rFonts w:hint="eastAsia"/>
          <w:lang w:val="en-US" w:eastAsia="zh-CN"/>
        </w:rPr>
      </w:pPr>
      <w:r>
        <w:rPr>
          <w:rFonts w:hint="eastAsia"/>
          <w:lang w:val="en-US" w:eastAsia="zh-CN"/>
        </w:rPr>
        <w:t>组      长：</w:t>
      </w:r>
    </w:p>
    <w:p w14:paraId="063122C4">
      <w:pPr>
        <w:jc w:val="left"/>
        <w:rPr>
          <w:rFonts w:hint="eastAsia"/>
          <w:lang w:val="en-US" w:eastAsia="zh-CN"/>
        </w:rPr>
      </w:pPr>
      <w:r>
        <w:rPr>
          <w:rFonts w:hint="eastAsia"/>
          <w:lang w:val="en-US" w:eastAsia="zh-CN"/>
        </w:rPr>
        <w:t>常务副组长：</w:t>
      </w:r>
    </w:p>
    <w:p w14:paraId="23208E33">
      <w:pPr>
        <w:ind w:left="0" w:firstLine="560" w:firstLineChars="200"/>
        <w:jc w:val="left"/>
        <w:rPr>
          <w:rFonts w:hint="eastAsia"/>
          <w:lang w:val="en-US" w:eastAsia="zh-CN"/>
        </w:rPr>
      </w:pPr>
      <w:r>
        <w:rPr>
          <w:rFonts w:hint="eastAsia"/>
          <w:lang w:val="en-US" w:eastAsia="zh-CN"/>
        </w:rPr>
        <w:t>副  组  长：</w:t>
      </w:r>
    </w:p>
    <w:p w14:paraId="026844AE">
      <w:pPr>
        <w:jc w:val="left"/>
        <w:rPr>
          <w:rFonts w:hint="eastAsia"/>
          <w:lang w:val="en-US" w:eastAsia="zh-CN"/>
        </w:rPr>
      </w:pPr>
      <w:r>
        <w:rPr>
          <w:rFonts w:hint="eastAsia"/>
          <w:lang w:val="en-US" w:eastAsia="zh-CN"/>
        </w:rPr>
        <w:t>成      员：</w:t>
      </w:r>
    </w:p>
    <w:p w14:paraId="29791D16">
      <w:pPr>
        <w:jc w:val="left"/>
        <w:rPr>
          <w:lang w:val="en-US" w:eastAsia="zh-CN"/>
        </w:rPr>
      </w:pPr>
      <w:r>
        <w:rPr>
          <w:rFonts w:hint="eastAsia"/>
          <w:lang w:val="en-US" w:eastAsia="zh-CN"/>
        </w:rPr>
        <w:t>各有关成员单位要严格按照要求制定具体的实施方案，明确工作任务，压实工作责任，细化工作要求，确保各项措施落到实处。做好宣传引导工作，推广种养结合技术，普及现代生态循环农业理念，引导种植户走种科学灌溉的可持续发展道路，确保大豆单产提升项目的顺利实施。</w:t>
      </w:r>
    </w:p>
    <w:p w14:paraId="621E9E0E">
      <w:pPr>
        <w:pStyle w:val="4"/>
        <w:bidi w:val="0"/>
        <w:ind w:left="560"/>
        <w:rPr>
          <w:lang w:val="en-US" w:eastAsia="zh-CN"/>
        </w:rPr>
      </w:pPr>
      <w:bookmarkStart w:id="24" w:name="_Toc17423"/>
      <w:r>
        <w:rPr>
          <w:rFonts w:hint="eastAsia"/>
          <w:lang w:val="en-US" w:eastAsia="zh-CN"/>
        </w:rPr>
        <w:t>方案编制依据</w:t>
      </w:r>
      <w:bookmarkEnd w:id="24"/>
    </w:p>
    <w:p w14:paraId="457D1432">
      <w:pPr>
        <w:rPr>
          <w:lang w:val="en-US" w:eastAsia="zh-CN"/>
        </w:rPr>
      </w:pPr>
      <w:r>
        <w:rPr>
          <w:lang w:val="en-US" w:eastAsia="zh-CN"/>
        </w:rPr>
        <w:t>1、《节水灌溉工程技术规范》GB/T 50363-2006；</w:t>
      </w:r>
    </w:p>
    <w:p w14:paraId="5471197C">
      <w:pPr>
        <w:rPr>
          <w:lang w:val="en-US" w:eastAsia="zh-CN"/>
        </w:rPr>
      </w:pPr>
      <w:r>
        <w:rPr>
          <w:lang w:val="en-US" w:eastAsia="zh-CN"/>
        </w:rPr>
        <w:t>2、《微灌工程技术规范》GB/T 50485-20</w:t>
      </w:r>
      <w:r>
        <w:rPr>
          <w:rFonts w:hint="eastAsia"/>
          <w:lang w:val="en-US" w:eastAsia="zh-CN"/>
        </w:rPr>
        <w:t>20</w:t>
      </w:r>
      <w:r>
        <w:rPr>
          <w:lang w:val="en-US" w:eastAsia="zh-CN"/>
        </w:rPr>
        <w:t>；</w:t>
      </w:r>
    </w:p>
    <w:p w14:paraId="089BF432">
      <w:pPr>
        <w:rPr>
          <w:lang w:val="en-US" w:eastAsia="zh-CN"/>
        </w:rPr>
      </w:pPr>
      <w:r>
        <w:rPr>
          <w:lang w:val="en-US" w:eastAsia="zh-CN"/>
        </w:rPr>
        <w:t>3、《泵站设计</w:t>
      </w:r>
      <w:r>
        <w:rPr>
          <w:rFonts w:hint="eastAsia"/>
          <w:lang w:val="en-US" w:eastAsia="zh-CN"/>
        </w:rPr>
        <w:t>标准</w:t>
      </w:r>
      <w:r>
        <w:rPr>
          <w:lang w:val="en-US" w:eastAsia="zh-CN"/>
        </w:rPr>
        <w:t>》GB</w:t>
      </w:r>
      <w:r>
        <w:rPr>
          <w:rFonts w:hint="eastAsia"/>
          <w:lang w:val="en-US" w:eastAsia="zh-CN"/>
        </w:rPr>
        <w:t xml:space="preserve"> 50265-2022</w:t>
      </w:r>
      <w:r>
        <w:rPr>
          <w:lang w:val="en-US" w:eastAsia="zh-CN"/>
        </w:rPr>
        <w:t>；</w:t>
      </w:r>
    </w:p>
    <w:p w14:paraId="32FCD925">
      <w:pPr>
        <w:rPr>
          <w:lang w:val="en-US" w:eastAsia="zh-CN"/>
        </w:rPr>
      </w:pPr>
      <w:r>
        <w:rPr>
          <w:lang w:val="en-US" w:eastAsia="zh-CN"/>
        </w:rPr>
        <w:t>4、《地表水环境质量标准》(GB3838-20</w:t>
      </w:r>
      <w:r>
        <w:rPr>
          <w:rFonts w:hint="eastAsia"/>
          <w:lang w:val="en-US" w:eastAsia="zh-CN"/>
        </w:rPr>
        <w:t>2</w:t>
      </w:r>
      <w:r>
        <w:rPr>
          <w:lang w:val="en-US" w:eastAsia="zh-CN"/>
        </w:rPr>
        <w:t>2);</w:t>
      </w:r>
    </w:p>
    <w:p w14:paraId="2CF1DF13">
      <w:pPr>
        <w:rPr>
          <w:lang w:val="en-US" w:eastAsia="zh-CN"/>
        </w:rPr>
      </w:pPr>
      <w:r>
        <w:rPr>
          <w:lang w:val="en-US" w:eastAsia="zh-CN"/>
        </w:rPr>
        <w:t>5、《灌溉施肥技术规范》(NY/T2623-2014);</w:t>
      </w:r>
    </w:p>
    <w:p w14:paraId="29FECC8A">
      <w:pPr>
        <w:rPr>
          <w:lang w:val="en-US" w:eastAsia="zh-CN"/>
        </w:rPr>
      </w:pPr>
      <w:r>
        <w:rPr>
          <w:lang w:val="en-US" w:eastAsia="zh-CN"/>
        </w:rPr>
        <w:t>6、《室外排水设计标准》GB 50014-2021;</w:t>
      </w:r>
    </w:p>
    <w:p w14:paraId="7E14A826">
      <w:pPr>
        <w:rPr>
          <w:lang w:val="en-US" w:eastAsia="zh-CN"/>
        </w:rPr>
      </w:pPr>
      <w:r>
        <w:rPr>
          <w:lang w:val="en-US" w:eastAsia="zh-CN"/>
        </w:rPr>
        <w:t>7、《室外给水设计规范》(GB50013-20</w:t>
      </w:r>
      <w:r>
        <w:rPr>
          <w:rFonts w:hint="eastAsia"/>
          <w:lang w:val="en-US" w:eastAsia="zh-CN"/>
        </w:rPr>
        <w:t>18</w:t>
      </w:r>
      <w:r>
        <w:rPr>
          <w:lang w:val="en-US" w:eastAsia="zh-CN"/>
        </w:rPr>
        <w:t>);</w:t>
      </w:r>
    </w:p>
    <w:p w14:paraId="75A08EB7">
      <w:pPr>
        <w:rPr>
          <w:lang w:val="en-US" w:eastAsia="zh-CN"/>
        </w:rPr>
      </w:pPr>
      <w:r>
        <w:rPr>
          <w:lang w:val="en-US" w:eastAsia="zh-CN"/>
        </w:rPr>
        <w:t>8、《农田灌溉水质标准》(GB5084-20</w:t>
      </w:r>
      <w:r>
        <w:rPr>
          <w:rFonts w:hint="eastAsia"/>
          <w:lang w:val="en-US" w:eastAsia="zh-CN"/>
        </w:rPr>
        <w:t>21</w:t>
      </w:r>
      <w:r>
        <w:rPr>
          <w:lang w:val="en-US" w:eastAsia="zh-CN"/>
        </w:rPr>
        <w:t>):</w:t>
      </w:r>
    </w:p>
    <w:p w14:paraId="2561FDF4">
      <w:pPr>
        <w:rPr>
          <w:lang w:val="en-US" w:eastAsia="zh-CN"/>
        </w:rPr>
      </w:pPr>
      <w:r>
        <w:rPr>
          <w:lang w:val="en-US" w:eastAsia="zh-CN"/>
        </w:rPr>
        <w:t>9、《水利水电工程等级划分及洪水标准》(SL252-2017);</w:t>
      </w:r>
    </w:p>
    <w:p w14:paraId="2ECCF2B8">
      <w:pPr>
        <w:rPr>
          <w:lang w:val="en-US" w:eastAsia="zh-CN"/>
        </w:rPr>
      </w:pPr>
      <w:r>
        <w:rPr>
          <w:lang w:val="en-US" w:eastAsia="zh-CN"/>
        </w:rPr>
        <w:t>10、《灌溉与排水工程设计标准》(GB50288-2018);</w:t>
      </w:r>
    </w:p>
    <w:p w14:paraId="09B17FA2">
      <w:pPr>
        <w:bidi w:val="0"/>
        <w:outlineLvl w:val="9"/>
        <w:rPr>
          <w:lang w:val="en-US" w:eastAsia="zh-CN"/>
        </w:rPr>
      </w:pPr>
      <w:r>
        <w:rPr>
          <w:lang w:val="en-US" w:eastAsia="zh-CN"/>
        </w:rPr>
        <w:t>11、《</w:t>
      </w:r>
      <w:r>
        <w:rPr>
          <w:rFonts w:hint="eastAsia"/>
          <w:lang w:val="en-US" w:eastAsia="zh-CN"/>
        </w:rPr>
        <w:t>滴</w:t>
      </w:r>
      <w:r>
        <w:rPr>
          <w:lang w:val="en-US" w:eastAsia="zh-CN"/>
        </w:rPr>
        <w:t>灌工程技术规范》(GB/T50085-2007):</w:t>
      </w:r>
    </w:p>
    <w:p w14:paraId="63FA8B06">
      <w:pPr>
        <w:rPr>
          <w:lang w:val="en-US" w:eastAsia="zh-CN"/>
        </w:rPr>
      </w:pPr>
      <w:r>
        <w:rPr>
          <w:lang w:val="en-US" w:eastAsia="zh-CN"/>
        </w:rPr>
        <w:t>12、《管道输水灌溉工程技术规范》(GB/T20203-2017):</w:t>
      </w:r>
    </w:p>
    <w:p w14:paraId="610E986C">
      <w:pPr>
        <w:rPr>
          <w:lang w:val="en-US" w:eastAsia="zh-CN"/>
        </w:rPr>
      </w:pPr>
      <w:r>
        <w:rPr>
          <w:lang w:val="en-US" w:eastAsia="zh-CN"/>
        </w:rPr>
        <w:t>13、《水肥一体化技术规范总则》(NY/T2624-2014);</w:t>
      </w:r>
    </w:p>
    <w:p w14:paraId="1E30000E">
      <w:pPr>
        <w:rPr>
          <w:lang w:val="en-US" w:eastAsia="zh-CN"/>
        </w:rPr>
      </w:pPr>
      <w:r>
        <w:rPr>
          <w:rFonts w:hint="eastAsia"/>
          <w:lang w:val="en-US" w:eastAsia="zh-CN"/>
        </w:rPr>
        <w:t>14、</w:t>
      </w:r>
      <w:r>
        <w:rPr>
          <w:lang w:val="en-US" w:eastAsia="zh-CN"/>
        </w:rPr>
        <w:t>《水利工程设计概（估）算编制规定》</w:t>
      </w:r>
      <w:r>
        <w:rPr>
          <w:rFonts w:hint="eastAsia"/>
          <w:lang w:val="en-US" w:eastAsia="zh-CN"/>
        </w:rPr>
        <w:t>（水总[2002]-206号）</w:t>
      </w:r>
    </w:p>
    <w:p w14:paraId="1791EC26">
      <w:pPr>
        <w:pStyle w:val="15"/>
        <w:rPr>
          <w:lang w:val="en-US" w:eastAsia="zh-CN"/>
        </w:rPr>
      </w:pPr>
    </w:p>
    <w:p w14:paraId="479EA704">
      <w:pPr>
        <w:pStyle w:val="15"/>
        <w:rPr>
          <w:lang w:val="en-US" w:eastAsia="zh-CN"/>
        </w:rPr>
      </w:pPr>
    </w:p>
    <w:p w14:paraId="4832D894">
      <w:pPr>
        <w:pStyle w:val="15"/>
        <w:rPr>
          <w:lang w:val="en-US" w:eastAsia="zh-CN"/>
        </w:rPr>
      </w:pPr>
    </w:p>
    <w:p w14:paraId="5B0C12A9">
      <w:pPr>
        <w:pStyle w:val="3"/>
        <w:bidi w:val="0"/>
        <w:rPr>
          <w:lang w:val="en-US" w:eastAsia="zh-CN"/>
        </w:rPr>
      </w:pPr>
      <w:bookmarkStart w:id="25" w:name="_Toc13173"/>
      <w:r>
        <w:rPr>
          <w:rFonts w:hint="eastAsia"/>
          <w:lang w:val="en-US" w:eastAsia="zh-CN"/>
        </w:rPr>
        <w:t>项目背景</w:t>
      </w:r>
      <w:bookmarkEnd w:id="25"/>
    </w:p>
    <w:p w14:paraId="66CC7B3C">
      <w:pPr>
        <w:rPr>
          <w:rFonts w:hint="eastAsia"/>
          <w:lang w:val="en-US" w:eastAsia="zh-CN"/>
        </w:rPr>
      </w:pPr>
    </w:p>
    <w:p w14:paraId="68B1068C">
      <w:pPr>
        <w:pStyle w:val="4"/>
        <w:tabs>
          <w:tab w:val="decimal" w:pos="0"/>
        </w:tabs>
        <w:bidi w:val="0"/>
        <w:ind w:left="560"/>
        <w:rPr>
          <w:rFonts w:hint="eastAsia"/>
          <w:lang w:val="zh-CN"/>
        </w:rPr>
      </w:pPr>
      <w:bookmarkStart w:id="26" w:name="_Toc28078"/>
      <w:bookmarkStart w:id="27" w:name="_Toc24793"/>
      <w:r>
        <w:rPr>
          <w:rFonts w:hint="eastAsia"/>
          <w:lang w:val="zh-CN"/>
        </w:rPr>
        <w:t>基本情况</w:t>
      </w:r>
      <w:bookmarkEnd w:id="26"/>
      <w:bookmarkEnd w:id="27"/>
    </w:p>
    <w:p w14:paraId="609AA724">
      <w:pPr>
        <w:bidi w:val="0"/>
        <w:rPr>
          <w:lang w:val="zh-CN"/>
        </w:rPr>
      </w:pPr>
      <w:r>
        <w:rPr>
          <w:rFonts w:hint="eastAsia"/>
          <w:lang w:val="zh-CN"/>
        </w:rPr>
        <w:t>（一）自然地理概况。安居区介于东经</w:t>
      </w:r>
      <w:r>
        <w:rPr>
          <w:lang w:val="zh-CN"/>
        </w:rPr>
        <w:t>105</w:t>
      </w:r>
      <w:r>
        <w:t>°</w:t>
      </w:r>
      <w:r>
        <w:rPr>
          <w:lang w:val="zh-CN"/>
        </w:rPr>
        <w:t>0</w:t>
      </w:r>
      <w:r>
        <w:rPr>
          <w:rFonts w:hint="eastAsia"/>
          <w:lang w:val="zh-CN"/>
        </w:rPr>
        <w:t>5′－</w:t>
      </w:r>
      <w:r>
        <w:rPr>
          <w:lang w:val="zh-CN"/>
        </w:rPr>
        <w:t>10</w:t>
      </w:r>
      <w:r>
        <w:rPr>
          <w:rFonts w:hint="eastAsia"/>
          <w:lang w:val="zh-CN"/>
        </w:rPr>
        <w:t>5</w:t>
      </w:r>
      <w:r>
        <w:t>°</w:t>
      </w:r>
      <w:r>
        <w:rPr>
          <w:lang w:val="zh-CN"/>
        </w:rPr>
        <w:t>5</w:t>
      </w:r>
      <w:r>
        <w:rPr>
          <w:rFonts w:hint="eastAsia"/>
          <w:lang w:val="zh-CN"/>
        </w:rPr>
        <w:t>0′，北纬</w:t>
      </w:r>
      <w:r>
        <w:rPr>
          <w:lang w:val="zh-CN"/>
        </w:rPr>
        <w:t>30</w:t>
      </w:r>
      <w:r>
        <w:t>°</w:t>
      </w:r>
      <w:r>
        <w:rPr>
          <w:lang w:val="zh-CN"/>
        </w:rPr>
        <w:t>1</w:t>
      </w:r>
      <w:r>
        <w:rPr>
          <w:rFonts w:hint="eastAsia"/>
          <w:lang w:val="zh-CN"/>
        </w:rPr>
        <w:t>2′－</w:t>
      </w:r>
      <w:r>
        <w:rPr>
          <w:lang w:val="zh-CN"/>
        </w:rPr>
        <w:t>31</w:t>
      </w:r>
      <w:r>
        <w:t>°</w:t>
      </w:r>
      <w:r>
        <w:rPr>
          <w:rFonts w:hint="eastAsia"/>
          <w:lang w:val="zh-CN"/>
        </w:rPr>
        <w:t>4</w:t>
      </w:r>
      <w:r>
        <w:rPr>
          <w:lang w:val="zh-CN"/>
        </w:rPr>
        <w:t>0</w:t>
      </w:r>
      <w:r>
        <w:rPr>
          <w:rFonts w:hint="eastAsia"/>
          <w:lang w:val="zh-CN"/>
        </w:rPr>
        <w:t>′之间，位于四川盆地东部、遂宁市西南，东接重庆市潼南县，南邻安岳县，西靠乐至县，北接大英县，处于成渝经济走廊的腹心地带。属典型丘陵地区，地质构造简单，褶皱平缓。属中生代侏罗纪岩层，经流水侵蚀、切割、堆积形成的侵蚀丘陵地貌，类型多样，有平坝、低丘、中丘和高丘，以低、中丘为主，海拔大多在</w:t>
      </w:r>
      <w:r>
        <w:rPr>
          <w:lang w:val="zh-CN"/>
        </w:rPr>
        <w:t>280-350</w:t>
      </w:r>
      <w:r>
        <w:rPr>
          <w:rFonts w:hint="eastAsia"/>
          <w:lang w:val="zh-CN"/>
        </w:rPr>
        <w:t>米之间，最高为</w:t>
      </w:r>
      <w:r>
        <w:rPr>
          <w:lang w:val="zh-CN"/>
        </w:rPr>
        <w:t>517.2</w:t>
      </w:r>
      <w:r>
        <w:rPr>
          <w:rFonts w:hint="eastAsia"/>
          <w:lang w:val="zh-CN"/>
        </w:rPr>
        <w:t>米（拦江镇鸡公柏树坡），最低为</w:t>
      </w:r>
      <w:r>
        <w:rPr>
          <w:lang w:val="zh-CN"/>
        </w:rPr>
        <w:t>252.5</w:t>
      </w:r>
      <w:r>
        <w:rPr>
          <w:rFonts w:hint="eastAsia"/>
          <w:lang w:val="zh-CN"/>
        </w:rPr>
        <w:t>米（磨溪镇石佛寺），相对高差</w:t>
      </w:r>
      <w:r>
        <w:rPr>
          <w:lang w:val="zh-CN"/>
        </w:rPr>
        <w:t>264.7</w:t>
      </w:r>
      <w:r>
        <w:rPr>
          <w:rFonts w:hint="eastAsia"/>
          <w:lang w:val="zh-CN"/>
        </w:rPr>
        <w:t>米，丘陵占幅员面积的</w:t>
      </w:r>
      <w:r>
        <w:rPr>
          <w:lang w:val="zh-CN"/>
        </w:rPr>
        <w:t>88%</w:t>
      </w:r>
      <w:r>
        <w:rPr>
          <w:rFonts w:hint="eastAsia"/>
          <w:lang w:val="zh-CN"/>
        </w:rPr>
        <w:t>。属热量资源比较丰富的亚热带湿润季风气候区，气候温和，雨量充沛，无霜期长，四季分明，霜雪少见。据</w:t>
      </w:r>
      <w:r>
        <w:rPr>
          <w:lang w:val="zh-CN"/>
        </w:rPr>
        <w:t>30</w:t>
      </w:r>
      <w:r>
        <w:rPr>
          <w:rFonts w:hint="eastAsia"/>
          <w:lang w:val="zh-CN"/>
        </w:rPr>
        <w:t>年气象资料统计，多年平均气温</w:t>
      </w:r>
      <w:r>
        <w:rPr>
          <w:lang w:val="zh-CN"/>
        </w:rPr>
        <w:t>17.4</w:t>
      </w:r>
      <w:r>
        <w:rPr>
          <w:rFonts w:hint="eastAsia"/>
          <w:lang w:val="zh-CN"/>
        </w:rPr>
        <w:t>℃，≥</w:t>
      </w:r>
      <w:r>
        <w:rPr>
          <w:lang w:val="zh-CN"/>
        </w:rPr>
        <w:t>10</w:t>
      </w:r>
      <w:r>
        <w:rPr>
          <w:rFonts w:hint="eastAsia"/>
          <w:lang w:val="zh-CN"/>
        </w:rPr>
        <w:t>℃的有效积温</w:t>
      </w:r>
      <w:r>
        <w:rPr>
          <w:lang w:val="zh-CN"/>
        </w:rPr>
        <w:t>5627.1</w:t>
      </w:r>
      <w:r>
        <w:rPr>
          <w:rFonts w:hint="eastAsia"/>
          <w:lang w:val="zh-CN"/>
        </w:rPr>
        <w:t>℃，平均无霜期</w:t>
      </w:r>
      <w:r>
        <w:rPr>
          <w:lang w:val="zh-CN"/>
        </w:rPr>
        <w:t>296</w:t>
      </w:r>
      <w:r>
        <w:rPr>
          <w:rFonts w:hint="eastAsia"/>
          <w:lang w:val="zh-CN"/>
        </w:rPr>
        <w:t>天，年均日照时数</w:t>
      </w:r>
      <w:r>
        <w:rPr>
          <w:lang w:val="zh-CN"/>
        </w:rPr>
        <w:t>1333.4</w:t>
      </w:r>
      <w:r>
        <w:rPr>
          <w:rFonts w:hint="eastAsia"/>
          <w:lang w:val="zh-CN"/>
        </w:rPr>
        <w:t>小时，年均降雨量</w:t>
      </w:r>
      <w:r>
        <w:rPr>
          <w:lang w:val="zh-CN"/>
        </w:rPr>
        <w:t>993.3</w:t>
      </w:r>
      <w:r>
        <w:rPr>
          <w:rFonts w:hint="eastAsia"/>
          <w:lang w:val="zh-CN"/>
        </w:rPr>
        <w:t>毫米，年均蒸发量</w:t>
      </w:r>
      <w:r>
        <w:rPr>
          <w:lang w:val="zh-CN"/>
        </w:rPr>
        <w:t>991.4</w:t>
      </w:r>
      <w:r>
        <w:rPr>
          <w:rFonts w:hint="eastAsia"/>
          <w:lang w:val="zh-CN"/>
        </w:rPr>
        <w:t>毫米，相对湿度</w:t>
      </w:r>
      <w:r>
        <w:rPr>
          <w:lang w:val="zh-CN"/>
        </w:rPr>
        <w:t>82%</w:t>
      </w:r>
      <w:r>
        <w:rPr>
          <w:rFonts w:hint="eastAsia"/>
          <w:lang w:val="zh-CN"/>
        </w:rPr>
        <w:t>。境内成土母质以遂宁组土、蓬莱镇组土、沙溪庙组土、新老冲积土为主，宜耕性、宜种性较好，盛产粮、油、棉、果、桑、蔗等，是四川粮食、大豆、棉花、水果、蔬菜、中药材及生猪等重要生产基地。</w:t>
      </w:r>
    </w:p>
    <w:p w14:paraId="12EE1A81">
      <w:pPr>
        <w:bidi w:val="0"/>
        <w:rPr>
          <w:rFonts w:hint="eastAsia"/>
          <w:lang w:val="zh-CN"/>
        </w:rPr>
      </w:pPr>
      <w:r>
        <w:rPr>
          <w:rFonts w:hint="eastAsia"/>
          <w:lang w:val="zh-CN"/>
        </w:rPr>
        <w:t>（二）</w:t>
      </w:r>
      <w:r>
        <w:rPr>
          <w:rFonts w:hint="eastAsia"/>
          <w:lang w:val="en-US" w:eastAsia="zh-CN"/>
        </w:rPr>
        <w:t>区域经济情况。</w:t>
      </w:r>
      <w:r>
        <w:rPr>
          <w:rFonts w:hint="eastAsia"/>
          <w:lang w:val="zh-CN"/>
        </w:rPr>
        <w:t>2022年，安居区保持稳中有进、稳中向好的发展态势，多项指标 增速全市第一。全年实现地区生产总值 236.55亿元，增长 4.7%，排位全市第一，增速实现“ 四连冠 ”，其中全区规上工业增加值增长14.3%，豪夺全市“九连冠 ”；全区实现财政总收入20.07亿元，其中公共预算收入 11.51亿元，同比增长 4.7%，财政金融运行平稳；完成全社会固定资产投资 193.75亿元，增长 14%；完成社会消费品零售总额 56.37 亿元，增长 1.6%；城镇居民人均可支配收入、农村居民人均可支配收入分别达到37114元、20425元，分别增长 4.6%、6.4%，经济增长继续领跑全市。</w:t>
      </w:r>
    </w:p>
    <w:p w14:paraId="0DE7223E">
      <w:pPr>
        <w:pStyle w:val="4"/>
        <w:tabs>
          <w:tab w:val="decimal" w:pos="0"/>
        </w:tabs>
        <w:bidi w:val="0"/>
        <w:ind w:left="560"/>
        <w:rPr>
          <w:rFonts w:hint="eastAsia"/>
        </w:rPr>
      </w:pPr>
      <w:bookmarkStart w:id="28" w:name="_Toc9176"/>
      <w:bookmarkStart w:id="29" w:name="_Toc30850"/>
      <w:r>
        <w:rPr>
          <w:rFonts w:hint="eastAsia"/>
          <w:lang w:val="en-US" w:eastAsia="zh-CN"/>
        </w:rPr>
        <w:t>大豆生产情况</w:t>
      </w:r>
      <w:bookmarkEnd w:id="28"/>
      <w:bookmarkEnd w:id="29"/>
    </w:p>
    <w:p w14:paraId="156125CA">
      <w:pPr>
        <w:bidi w:val="0"/>
        <w:rPr>
          <w:rFonts w:hint="eastAsia"/>
        </w:rPr>
      </w:pPr>
      <w:r>
        <w:rPr>
          <w:rFonts w:hint="eastAsia"/>
        </w:rPr>
        <w:t>（一）</w:t>
      </w:r>
      <w:r>
        <w:rPr>
          <w:rFonts w:hint="eastAsia"/>
          <w:lang w:eastAsia="zh-CN"/>
        </w:rPr>
        <w:t>大豆</w:t>
      </w:r>
      <w:r>
        <w:rPr>
          <w:rFonts w:hint="eastAsia"/>
        </w:rPr>
        <w:t>生产现状。</w:t>
      </w:r>
      <w:r>
        <w:rPr>
          <w:rFonts w:hint="eastAsia"/>
          <w:color w:val="auto"/>
        </w:rPr>
        <w:t>20</w:t>
      </w:r>
      <w:r>
        <w:rPr>
          <w:rFonts w:hint="eastAsia"/>
          <w:color w:val="auto"/>
          <w:lang w:val="en-US" w:eastAsia="zh-CN"/>
        </w:rPr>
        <w:t>23</w:t>
      </w:r>
      <w:r>
        <w:rPr>
          <w:rFonts w:hint="eastAsia"/>
          <w:color w:val="auto"/>
        </w:rPr>
        <w:t>年，全区</w:t>
      </w:r>
      <w:r>
        <w:rPr>
          <w:rFonts w:hint="eastAsia"/>
          <w:color w:val="auto"/>
          <w:lang w:val="en-US" w:eastAsia="zh-CN"/>
        </w:rPr>
        <w:t>大豆</w:t>
      </w:r>
      <w:r>
        <w:rPr>
          <w:rFonts w:hint="eastAsia"/>
          <w:color w:val="auto"/>
        </w:rPr>
        <w:t>播种面积</w:t>
      </w:r>
      <w:r>
        <w:rPr>
          <w:rFonts w:hint="eastAsia"/>
          <w:color w:val="auto"/>
          <w:lang w:val="en-US" w:eastAsia="zh-CN"/>
        </w:rPr>
        <w:t>12.40</w:t>
      </w:r>
      <w:r>
        <w:rPr>
          <w:rFonts w:hint="eastAsia"/>
          <w:color w:val="auto"/>
        </w:rPr>
        <w:t>万亩，</w:t>
      </w:r>
      <w:r>
        <w:rPr>
          <w:rFonts w:hint="eastAsia"/>
          <w:color w:val="auto"/>
          <w:lang w:val="en-US" w:eastAsia="zh-CN"/>
        </w:rPr>
        <w:t>大豆</w:t>
      </w:r>
      <w:r>
        <w:rPr>
          <w:rFonts w:hint="eastAsia"/>
          <w:color w:val="auto"/>
        </w:rPr>
        <w:t>总产</w:t>
      </w:r>
      <w:r>
        <w:rPr>
          <w:rFonts w:hint="eastAsia"/>
          <w:color w:val="auto"/>
          <w:lang w:val="en-US" w:eastAsia="zh-CN"/>
        </w:rPr>
        <w:t>1.82万</w:t>
      </w:r>
      <w:r>
        <w:rPr>
          <w:rFonts w:hint="eastAsia"/>
          <w:color w:val="auto"/>
        </w:rPr>
        <w:t>吨</w:t>
      </w:r>
      <w:r>
        <w:rPr>
          <w:rFonts w:hint="eastAsia"/>
          <w:color w:val="auto"/>
          <w:lang w:eastAsia="zh-CN"/>
        </w:rPr>
        <w:t>，</w:t>
      </w:r>
      <w:r>
        <w:rPr>
          <w:rFonts w:hint="eastAsia"/>
          <w:color w:val="auto"/>
        </w:rPr>
        <w:t>亩产</w:t>
      </w:r>
      <w:r>
        <w:rPr>
          <w:rFonts w:hint="eastAsia"/>
          <w:color w:val="auto"/>
          <w:lang w:val="en-US" w:eastAsia="zh-CN"/>
        </w:rPr>
        <w:t>146.9</w:t>
      </w:r>
      <w:r>
        <w:rPr>
          <w:rFonts w:hint="eastAsia"/>
          <w:color w:val="auto"/>
        </w:rPr>
        <w:t>公斤；</w:t>
      </w:r>
      <w:r>
        <w:rPr>
          <w:rFonts w:hint="eastAsia"/>
          <w:color w:val="auto"/>
          <w:lang w:val="en-US" w:eastAsia="zh-CN"/>
        </w:rPr>
        <w:t>复合种植大豆</w:t>
      </w:r>
      <w:r>
        <w:rPr>
          <w:rFonts w:hint="eastAsia"/>
          <w:color w:val="auto"/>
        </w:rPr>
        <w:t>播种面积</w:t>
      </w:r>
      <w:r>
        <w:rPr>
          <w:rFonts w:hint="eastAsia"/>
          <w:color w:val="auto"/>
          <w:lang w:val="en-US" w:eastAsia="zh-CN"/>
        </w:rPr>
        <w:t>2.59</w:t>
      </w:r>
      <w:r>
        <w:rPr>
          <w:rFonts w:hint="eastAsia"/>
          <w:color w:val="auto"/>
        </w:rPr>
        <w:t>万亩，</w:t>
      </w:r>
      <w:r>
        <w:rPr>
          <w:rFonts w:hint="eastAsia"/>
          <w:color w:val="auto"/>
          <w:lang w:val="en-US" w:eastAsia="zh-CN"/>
        </w:rPr>
        <w:t>大豆</w:t>
      </w:r>
      <w:r>
        <w:rPr>
          <w:rFonts w:hint="eastAsia"/>
          <w:color w:val="auto"/>
        </w:rPr>
        <w:t>总产</w:t>
      </w:r>
      <w:r>
        <w:rPr>
          <w:rFonts w:hint="eastAsia"/>
          <w:color w:val="auto"/>
          <w:lang w:val="en-US" w:eastAsia="zh-CN"/>
        </w:rPr>
        <w:t>0.42万</w:t>
      </w:r>
      <w:r>
        <w:rPr>
          <w:rFonts w:hint="eastAsia"/>
          <w:color w:val="auto"/>
        </w:rPr>
        <w:t>吨</w:t>
      </w:r>
      <w:r>
        <w:rPr>
          <w:rFonts w:hint="eastAsia"/>
          <w:color w:val="auto"/>
          <w:lang w:eastAsia="zh-CN"/>
        </w:rPr>
        <w:t>，</w:t>
      </w:r>
      <w:r>
        <w:rPr>
          <w:rFonts w:hint="eastAsia"/>
          <w:color w:val="auto"/>
        </w:rPr>
        <w:t>亩产</w:t>
      </w:r>
      <w:r>
        <w:rPr>
          <w:rFonts w:hint="eastAsia"/>
          <w:color w:val="auto"/>
          <w:lang w:val="en-US" w:eastAsia="zh-CN"/>
        </w:rPr>
        <w:t>142</w:t>
      </w:r>
      <w:r>
        <w:rPr>
          <w:rFonts w:hint="eastAsia"/>
          <w:color w:val="auto"/>
        </w:rPr>
        <w:t>公斤</w:t>
      </w:r>
      <w:r>
        <w:rPr>
          <w:rFonts w:hint="eastAsia"/>
          <w:color w:val="auto"/>
          <w:lang w:eastAsia="zh-CN"/>
        </w:rPr>
        <w:t>；</w:t>
      </w:r>
      <w:r>
        <w:rPr>
          <w:rFonts w:hint="eastAsia"/>
          <w:color w:val="auto"/>
          <w:lang w:val="en-US" w:eastAsia="zh-CN"/>
        </w:rPr>
        <w:t>复合种植玉米</w:t>
      </w:r>
      <w:r>
        <w:rPr>
          <w:rFonts w:hint="eastAsia"/>
          <w:color w:val="auto"/>
        </w:rPr>
        <w:t>播种面积</w:t>
      </w:r>
      <w:r>
        <w:rPr>
          <w:rFonts w:hint="eastAsia"/>
          <w:color w:val="auto"/>
          <w:lang w:val="en-US" w:eastAsia="zh-CN"/>
        </w:rPr>
        <w:t>3.14万</w:t>
      </w:r>
      <w:r>
        <w:rPr>
          <w:rFonts w:hint="eastAsia"/>
          <w:color w:val="auto"/>
        </w:rPr>
        <w:t>亩，亩产</w:t>
      </w:r>
      <w:r>
        <w:rPr>
          <w:rFonts w:hint="eastAsia"/>
          <w:color w:val="auto"/>
          <w:lang w:val="en-US" w:eastAsia="zh-CN"/>
        </w:rPr>
        <w:t>390.9</w:t>
      </w:r>
      <w:r>
        <w:rPr>
          <w:rFonts w:hint="eastAsia"/>
          <w:color w:val="auto"/>
        </w:rPr>
        <w:t>公斤，总产</w:t>
      </w:r>
      <w:r>
        <w:rPr>
          <w:rFonts w:hint="eastAsia"/>
          <w:color w:val="auto"/>
          <w:lang w:val="en-US" w:eastAsia="zh-CN"/>
        </w:rPr>
        <w:t>1.23万</w:t>
      </w:r>
      <w:r>
        <w:rPr>
          <w:rFonts w:hint="eastAsia"/>
          <w:color w:val="auto"/>
        </w:rPr>
        <w:t>吨</w:t>
      </w:r>
      <w:r>
        <w:rPr>
          <w:rFonts w:hint="eastAsia"/>
          <w:color w:val="auto"/>
          <w:lang w:eastAsia="zh-CN"/>
        </w:rPr>
        <w:t>。</w:t>
      </w:r>
    </w:p>
    <w:p w14:paraId="4091E6B6">
      <w:pPr>
        <w:bidi w:val="0"/>
        <w:rPr>
          <w:rFonts w:hint="eastAsia"/>
        </w:rPr>
      </w:pPr>
      <w:r>
        <w:rPr>
          <w:rFonts w:hint="eastAsia"/>
        </w:rPr>
        <w:t>（二）</w:t>
      </w:r>
      <w:r>
        <w:rPr>
          <w:rFonts w:hint="eastAsia"/>
          <w:lang w:eastAsia="zh-CN"/>
        </w:rPr>
        <w:t>大豆</w:t>
      </w:r>
      <w:r>
        <w:rPr>
          <w:rFonts w:hint="eastAsia"/>
        </w:rPr>
        <w:t>生产发展总体思路。按照“稳定扩大面积，努力提高单产，不断改善品质，强化龙头带动，力争自求平衡”的总体要求，以市场为导向，以科技推广为支撑，以实施项目为依托，以落实政策为保障，以改善品质为重点，实行区域化布局、规模化生产、专业化服务、产业化经营，促进农民增收和农业增效。</w:t>
      </w:r>
    </w:p>
    <w:p w14:paraId="3862085E">
      <w:pPr>
        <w:pStyle w:val="4"/>
        <w:tabs>
          <w:tab w:val="decimal" w:pos="0"/>
        </w:tabs>
        <w:bidi w:val="0"/>
        <w:ind w:left="560"/>
        <w:rPr>
          <w:rFonts w:hint="eastAsia"/>
          <w:lang w:val="zh-CN"/>
        </w:rPr>
      </w:pPr>
      <w:bookmarkStart w:id="30" w:name="_Toc32648"/>
      <w:bookmarkStart w:id="31" w:name="_Toc22494"/>
      <w:r>
        <w:rPr>
          <w:rFonts w:hint="eastAsia"/>
          <w:lang w:val="zh-CN"/>
        </w:rPr>
        <w:t>农田水利基础设施现状</w:t>
      </w:r>
      <w:bookmarkEnd w:id="30"/>
      <w:bookmarkEnd w:id="31"/>
    </w:p>
    <w:p w14:paraId="32323EBD">
      <w:pPr>
        <w:bidi w:val="0"/>
        <w:rPr>
          <w:rFonts w:hint="eastAsia"/>
          <w:color w:val="auto"/>
        </w:rPr>
      </w:pPr>
      <w:r>
        <w:rPr>
          <w:rFonts w:hint="eastAsia"/>
          <w:color w:val="auto"/>
        </w:rPr>
        <w:t>（一）小型农田水利工程的类型、规模、分布及完好程度。截止2014年底，全区已建各类水利工程5062处，其中：中型水库3座，小（一）型水库9座，小（二）型水库76座，山坪塘3933口，石河埝560处，电力提灌站413座481处，各类水利工程总蓄、提水能力2.08亿立方米。</w:t>
      </w:r>
    </w:p>
    <w:p w14:paraId="112C0243">
      <w:pPr>
        <w:bidi w:val="0"/>
        <w:rPr>
          <w:rFonts w:hint="eastAsia"/>
          <w:color w:val="auto"/>
        </w:rPr>
      </w:pPr>
      <w:r>
        <w:rPr>
          <w:rFonts w:hint="eastAsia"/>
          <w:color w:val="auto"/>
        </w:rPr>
        <w:t>灌溉面积1万亩以下及末级渠系分布于全区21个乡镇，共有渠道726条2856千米。其中麻子滩水库125条751千米，跑马滩水库16条52千米，新生水库17条131千米。9座小（一）型水库12条198千米，76座小（二）型水库76条144千米，413座481处提灌站共有渠道480条1580千米。目前这些渠道除对麻子滩、新生水库进行过少量配套防渗外，其余几乎未进行过防渗，均为土渠，且完好率仅在35%左右，每年春灌时节都要组织受益群众进行掏淤疏浚方能灌溉。</w:t>
      </w:r>
    </w:p>
    <w:p w14:paraId="05A73BCC">
      <w:pPr>
        <w:bidi w:val="0"/>
        <w:rPr>
          <w:rFonts w:hint="eastAsia"/>
          <w:color w:val="auto"/>
        </w:rPr>
      </w:pPr>
      <w:r>
        <w:rPr>
          <w:rFonts w:hint="eastAsia"/>
          <w:color w:val="auto"/>
        </w:rPr>
        <w:t>（二）渠系水利用系数、灌溉水利用系数。目前，全区渠系水利用系数为0.53，灌溉水利用系数为0.42。</w:t>
      </w:r>
    </w:p>
    <w:p w14:paraId="50987F65">
      <w:pPr>
        <w:bidi w:val="0"/>
        <w:rPr>
          <w:rFonts w:hint="eastAsia"/>
          <w:color w:val="auto"/>
        </w:rPr>
      </w:pPr>
      <w:bookmarkStart w:id="32" w:name="_Toc267899622"/>
      <w:bookmarkStart w:id="33" w:name="_Toc267899137"/>
      <w:bookmarkStart w:id="34" w:name="_Toc267899689"/>
      <w:bookmarkStart w:id="35" w:name="_Toc286314276"/>
      <w:bookmarkStart w:id="36" w:name="_Toc267899730"/>
      <w:bookmarkStart w:id="37" w:name="_Toc236198454"/>
      <w:r>
        <w:rPr>
          <w:rFonts w:hint="eastAsia"/>
          <w:color w:val="auto"/>
        </w:rPr>
        <w:t>（三）大中型灌区骨干工程改造及运行情况</w:t>
      </w:r>
      <w:bookmarkEnd w:id="32"/>
      <w:bookmarkEnd w:id="33"/>
      <w:bookmarkEnd w:id="34"/>
      <w:bookmarkEnd w:id="35"/>
      <w:bookmarkEnd w:id="36"/>
      <w:bookmarkEnd w:id="37"/>
      <w:r>
        <w:rPr>
          <w:rFonts w:hint="eastAsia"/>
          <w:color w:val="auto"/>
        </w:rPr>
        <w:t>。安居区现有3座中型水库，是全区农业灌溉的重要骨干工程，对以农业为主的安居区发展起着举足轻重的作用，新生水库、麻子滩水库分别在1998年和2007年完成了水库的枢纽整治，跑马滩水库在2002年完成了溢洪道的病害整治，麻子滩水库主干渠较好，跑马滩水库和新生水库主干渠配套、防渗都很差。</w:t>
      </w:r>
    </w:p>
    <w:p w14:paraId="17E6FCA3">
      <w:pPr>
        <w:bidi w:val="0"/>
        <w:rPr>
          <w:rFonts w:hint="eastAsia"/>
          <w:color w:val="auto"/>
        </w:rPr>
      </w:pPr>
      <w:r>
        <w:rPr>
          <w:rFonts w:hint="eastAsia"/>
          <w:color w:val="auto"/>
        </w:rPr>
        <w:t>麻子滩水库位于安居区白马镇，琼江支流白马河上游，地理坐标东经105°09′00″至105°15′30″，北纬30°22′30″至30°27′32″之间。距安居城区50千米。坝址以上集雨面积231.8 平方公里，主河道长度39.45千米, 河道坡降1.23%。总库容8216万立方米，设计灌溉面积22.89万亩，控灌全区</w:t>
      </w:r>
      <w:r>
        <w:rPr>
          <w:rFonts w:hint="eastAsia"/>
          <w:color w:val="auto"/>
          <w:lang w:eastAsia="zh-CN"/>
        </w:rPr>
        <w:t>14个乡镇，2个社区</w:t>
      </w:r>
      <w:r>
        <w:rPr>
          <w:rFonts w:hint="eastAsia"/>
          <w:color w:val="auto"/>
        </w:rPr>
        <w:t>。该水库是一座以农业灌溉为主，兼有防洪、水产养殖、旅游开发等综合利用的多年调节的中型水库。该库是全省最大中型工程之一，是完成我区10亿斤粮食产量水源保证的重要骨干工程。该水库左干渠长64.8千米，流量7.0立方米/秒；右干渠长25.2千米，流量2.0立方米/秒，均在2002年完成配套防渗。从2000年开始至2008年，我区每年产粮大县渠道配套项目全部在麻子滩水库灌区实施，2007年-2008年还安排了中型水库灌区节水改造项目用于麻子滩水库支渠配套，经过近10年的努力，整个灌区渠道布置基本成形，构成了较为完好的灌溉体系。2011年计划安排全国新增1000亿斤粮食生产能力建设项目中的水利骨干工程项目用于麻子滩右干渠尾端20千米的干渠配套整治，本次选定的项目区，属于麻子滩右干渠尾端灌区。</w:t>
      </w:r>
    </w:p>
    <w:p w14:paraId="1F2DF35A">
      <w:pPr>
        <w:bidi w:val="0"/>
        <w:rPr>
          <w:rFonts w:hint="eastAsia"/>
          <w:color w:val="auto"/>
        </w:rPr>
      </w:pPr>
      <w:r>
        <w:rPr>
          <w:rFonts w:hint="eastAsia"/>
          <w:color w:val="auto"/>
        </w:rPr>
        <w:t>跑马滩水库位于安居区东禅镇上游1千米处的琼江支流上，距安居城区15千米，坝址以上集雨面积424.7平方公里，主河道长87.7 千米，其中，区间集雨面积98.5平方公里，主河道长30 千米，设计总库容3260万立方米，设计灌溉面积3.14万亩，已实现灌溉面积1.8万亩。该水库是一座以农业灌溉为主，兼有防洪、人饮、水产养殖、旅游开发等综合效益的年调节中型水库。该水库主干渠长42千米，流量2.3立方米/秒，已配套。防渗10千米,尚差32千米。未达到设计灌面的主要原因是主干渠防渗率低，渠系垮塌严重，水只能放到16千米处，后段无法通水。跑马滩水库灌区主要是琼江沿岸平坝区，水利条件相对较好。</w:t>
      </w:r>
    </w:p>
    <w:p w14:paraId="1AABE672">
      <w:pPr>
        <w:bidi w:val="0"/>
        <w:rPr>
          <w:rFonts w:hint="eastAsia"/>
          <w:color w:val="auto"/>
        </w:rPr>
      </w:pPr>
      <w:r>
        <w:rPr>
          <w:rFonts w:hint="eastAsia"/>
          <w:color w:val="auto"/>
        </w:rPr>
        <w:t>新生水库位于琼江支流白安河上游拦江镇四溢湾村，距拦江镇9千米，距安居城区57千米，坝址以上集雨面积54.4平方公里，其中：区境内集雨面积31.9平方公里，主河道长17.7千米，主河道平均坡降6‰，设计总库容1680万立方米，设计灌溉面积3.8万亩，是一座以农业灌溉为主，兼有防洪、水产养殖等综合效益的多年调节中型水库。该水库共有左右干渠2条，左干渠流量3.5立方米/秒，长21.69千米，已完成配套，防渗2.5千米，尚差19.19千米；右干渠长21.84千米，流量3.5立方米/秒，已完成配套，防渗7千米，尚差14.84千米。</w:t>
      </w:r>
    </w:p>
    <w:p w14:paraId="37D837DB">
      <w:pPr>
        <w:bidi w:val="0"/>
        <w:rPr>
          <w:rFonts w:hint="eastAsia"/>
          <w:color w:val="auto"/>
        </w:rPr>
      </w:pPr>
      <w:bookmarkStart w:id="38" w:name="_Toc267899138"/>
      <w:bookmarkStart w:id="39" w:name="_Toc236198455"/>
      <w:bookmarkStart w:id="40" w:name="_Toc267899623"/>
      <w:bookmarkStart w:id="41" w:name="_Toc267899731"/>
      <w:bookmarkStart w:id="42" w:name="_Toc267899690"/>
      <w:bookmarkStart w:id="43" w:name="_Toc286314277"/>
      <w:r>
        <w:rPr>
          <w:rFonts w:hint="eastAsia"/>
          <w:color w:val="auto"/>
        </w:rPr>
        <w:t>（四）水源工程运行状况</w:t>
      </w:r>
      <w:bookmarkEnd w:id="38"/>
      <w:bookmarkEnd w:id="39"/>
      <w:bookmarkEnd w:id="40"/>
      <w:bookmarkEnd w:id="41"/>
      <w:bookmarkEnd w:id="42"/>
      <w:bookmarkEnd w:id="43"/>
      <w:r>
        <w:rPr>
          <w:rFonts w:hint="eastAsia"/>
          <w:color w:val="auto"/>
        </w:rPr>
        <w:t>。全区水源工程主要包括水库、山坪塘、石河堰等。已建成水库88座，其中病险水库26座，对病害水库的管理都是采取低水位运行，在汛期对特别严重的病险水库甚至放空库容，年蓄水损失达1340万立方米,影响2万多亩农田的正常灌溉；已成山坪塘3933口，因淤塞、损毁、塘埂老化、渗漏严重影响蓄水的有1455口；已成石河堰560节，因堰堤垮塌、渗漏不能正常蓄水的有217节；集雨工程蓄水池2682口，因输、送水管（渠）毁坏、淤积堵塞渗漏等原因，不能正常蓄水的有832口。</w:t>
      </w:r>
    </w:p>
    <w:p w14:paraId="2C8763B3">
      <w:pPr>
        <w:pStyle w:val="15"/>
        <w:rPr>
          <w:rFonts w:hint="eastAsia"/>
        </w:rPr>
      </w:pPr>
    </w:p>
    <w:p w14:paraId="38858D08">
      <w:pPr>
        <w:pStyle w:val="15"/>
        <w:rPr>
          <w:lang w:val="en-US" w:eastAsia="zh-CN"/>
        </w:rPr>
        <w:sectPr>
          <w:pgSz w:w="11906" w:h="16838"/>
          <w:pgMar w:top="1440" w:right="1800" w:bottom="1440" w:left="1800" w:header="851" w:footer="992" w:gutter="0"/>
          <w:cols w:space="425" w:num="1"/>
          <w:docGrid w:type="lines" w:linePitch="312" w:charSpace="0"/>
        </w:sectPr>
      </w:pPr>
    </w:p>
    <w:p w14:paraId="793E48C3">
      <w:pPr>
        <w:pStyle w:val="3"/>
        <w:bidi w:val="0"/>
        <w:jc w:val="center"/>
        <w:rPr>
          <w:sz w:val="40"/>
          <w:szCs w:val="40"/>
          <w:lang w:val="en-US" w:eastAsia="zh-CN"/>
        </w:rPr>
      </w:pPr>
      <w:bookmarkStart w:id="44" w:name="_Toc11233"/>
      <w:r>
        <w:rPr>
          <w:rFonts w:hint="eastAsia"/>
          <w:sz w:val="40"/>
          <w:szCs w:val="40"/>
          <w:lang w:val="en-US" w:eastAsia="zh-CN"/>
        </w:rPr>
        <w:t>项目技术设计方案</w:t>
      </w:r>
      <w:bookmarkEnd w:id="44"/>
    </w:p>
    <w:p w14:paraId="004B4DD6">
      <w:pPr>
        <w:pStyle w:val="4"/>
        <w:bidi w:val="0"/>
        <w:ind w:left="560"/>
        <w:rPr>
          <w:lang w:val="en-US" w:eastAsia="zh-CN"/>
        </w:rPr>
      </w:pPr>
      <w:bookmarkStart w:id="45" w:name="_Toc30451"/>
      <w:bookmarkStart w:id="46" w:name="_Toc8265"/>
      <w:r>
        <w:rPr>
          <w:lang w:val="en-US" w:eastAsia="zh-CN"/>
        </w:rPr>
        <w:t>技术方案</w:t>
      </w:r>
      <w:bookmarkEnd w:id="45"/>
      <w:bookmarkEnd w:id="46"/>
    </w:p>
    <w:p w14:paraId="34780055">
      <w:pPr>
        <w:pStyle w:val="5"/>
        <w:bidi w:val="0"/>
        <w:rPr>
          <w:lang w:val="en-US" w:eastAsia="zh-CN"/>
        </w:rPr>
      </w:pPr>
      <w:bookmarkStart w:id="47" w:name="_Toc28587"/>
      <w:bookmarkStart w:id="48" w:name="_Toc714"/>
      <w:r>
        <w:rPr>
          <w:rFonts w:hint="eastAsia"/>
          <w:lang w:val="en-US" w:eastAsia="zh-CN"/>
        </w:rPr>
        <w:t>水肥一体化技术方案</w:t>
      </w:r>
      <w:bookmarkEnd w:id="47"/>
      <w:bookmarkEnd w:id="48"/>
    </w:p>
    <w:p w14:paraId="06024A80">
      <w:pPr>
        <w:jc w:val="center"/>
        <w:rPr>
          <w:rFonts w:hint="eastAsia"/>
          <w:sz w:val="30"/>
          <w:szCs w:val="30"/>
          <w:lang w:val="en-US" w:eastAsia="zh-CN"/>
        </w:rPr>
      </w:pPr>
      <w:r>
        <w:rPr>
          <w:rFonts w:hint="eastAsia"/>
          <w:lang w:val="en-US" w:eastAsia="zh-CN"/>
        </w:rPr>
        <w:t xml:space="preserve"> </w:t>
      </w:r>
      <w:r>
        <w:rPr>
          <w:lang w:val="en-US" w:eastAsia="zh-CN"/>
        </w:rPr>
        <w:t>核心区种植模式为大豆、玉米套种，次年玉米起陇与大豆起陇轮换，以充分利用大豆根瘤菌的固氮作用所带来的土壤肥力提升，减少化肥用量。水肥一体化采用滴灌带施肥，由于玉米、大豆施肥时间及所用的水溶肥配方、用量的不一致，本项目采用分配管施肥方式，即共用主管网，在支管靠近主管附近设置电磁阀，通过电磁阀的开闭，控制支管、分配管的供水（肥），通过分配管对一定面积内的玉米、大豆进行灌溉、施肥，达到精准施肥的目标。每次施肥后用清水灌溉1小时左右，以清洗除主管网内的残留肥料。分配管布置单元见图</w:t>
      </w:r>
      <w:r>
        <w:rPr>
          <w:rFonts w:hint="eastAsia"/>
          <w:lang w:val="en-US" w:eastAsia="zh-CN"/>
        </w:rPr>
        <w:t>2-</w:t>
      </w:r>
      <w:r>
        <w:rPr>
          <w:lang w:val="en-US" w:eastAsia="zh-CN"/>
        </w:rPr>
        <w:t>1。</w:t>
      </w:r>
      <w:r>
        <w:rPr>
          <w:rFonts w:hint="eastAsia"/>
          <w:sz w:val="30"/>
          <w:szCs w:val="30"/>
          <w:lang w:val="en-US" w:eastAsia="zh-CN"/>
        </w:rPr>
        <w:drawing>
          <wp:inline distT="0" distB="0" distL="114300" distR="114300">
            <wp:extent cx="5269230" cy="3303270"/>
            <wp:effectExtent l="0" t="0" r="15" b="45"/>
            <wp:docPr id="13" name="图片 5" descr="da066b5684a7837933afe22f73351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da066b5684a7837933afe22f733517e"/>
                    <pic:cNvPicPr>
                      <a:picLocks noChangeAspect="1"/>
                    </pic:cNvPicPr>
                  </pic:nvPicPr>
                  <pic:blipFill>
                    <a:blip r:embed="rId12"/>
                    <a:stretch>
                      <a:fillRect/>
                    </a:stretch>
                  </pic:blipFill>
                  <pic:spPr>
                    <a:xfrm>
                      <a:off x="0" y="0"/>
                      <a:ext cx="5269230" cy="3303270"/>
                    </a:xfrm>
                    <a:prstGeom prst="rect">
                      <a:avLst/>
                    </a:prstGeom>
                    <a:noFill/>
                    <a:ln w="9525" cap="flat" cmpd="sng">
                      <a:noFill/>
                      <a:prstDash val="solid"/>
                      <a:miter/>
                    </a:ln>
                  </pic:spPr>
                </pic:pic>
              </a:graphicData>
            </a:graphic>
          </wp:inline>
        </w:drawing>
      </w:r>
    </w:p>
    <w:p w14:paraId="4EBF28EE">
      <w:pPr>
        <w:jc w:val="center"/>
        <w:rPr>
          <w:rFonts w:eastAsia="宋体"/>
          <w:b/>
          <w:bCs/>
          <w:lang w:val="en-US" w:eastAsia="zh-CN"/>
        </w:rPr>
      </w:pPr>
      <w:r>
        <w:rPr>
          <w:rFonts w:hint="eastAsia" w:eastAsia="宋体"/>
          <w:b/>
          <w:bCs/>
          <w:lang w:val="en-US" w:eastAsia="zh-CN"/>
        </w:rPr>
        <w:t>图2-1 玉米-大豆水肥一体化管网布置示意图</w:t>
      </w:r>
    </w:p>
    <w:p w14:paraId="74E86092">
      <w:pPr>
        <w:bidi w:val="0"/>
        <w:rPr>
          <w:lang w:val="en-US" w:eastAsia="zh-CN"/>
        </w:rPr>
      </w:pPr>
      <w:r>
        <w:rPr>
          <w:lang w:val="en-US" w:eastAsia="zh-CN"/>
        </w:rPr>
        <w:t>由于种植区为丘陵地带，需经过高标准农田改造，地块仍有一定坡度，为保证灌溉、施肥的均匀性，拟采用具有压力补偿作用的滴灌带；由于玉米、大豆生长期较短，机收及第二年轮作起陇易造成滴灌带的损坏，需每年更换，因此采用中薄壁滴灌带，以降低投入。</w:t>
      </w:r>
    </w:p>
    <w:p w14:paraId="2F515995">
      <w:pPr>
        <w:bidi w:val="0"/>
        <w:rPr>
          <w:lang w:val="en-US" w:eastAsia="zh-CN"/>
        </w:rPr>
      </w:pPr>
      <w:r>
        <w:rPr>
          <w:lang w:val="en-US" w:eastAsia="zh-CN"/>
        </w:rPr>
        <w:t xml:space="preserve">依据《四川省用水定额》（DB51/T2138-2016），安居区属于II区，玉米、大豆用水定额（m³/亩），见表5-1   </w:t>
      </w:r>
    </w:p>
    <w:p w14:paraId="795E0BD0">
      <w:pPr>
        <w:bidi w:val="0"/>
        <w:jc w:val="center"/>
        <w:rPr>
          <w:rFonts w:eastAsia="宋体"/>
          <w:b/>
          <w:bCs/>
          <w:lang w:val="en-US" w:eastAsia="zh-CN"/>
        </w:rPr>
      </w:pPr>
      <w:r>
        <w:rPr>
          <w:rFonts w:hint="eastAsia" w:eastAsia="宋体"/>
          <w:b/>
          <w:bCs/>
          <w:lang w:val="en-US" w:eastAsia="zh-CN"/>
        </w:rPr>
        <w:t>表2-1 大豆、玉米用水定额</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6"/>
        <w:gridCol w:w="2015"/>
        <w:gridCol w:w="2218"/>
        <w:gridCol w:w="2223"/>
      </w:tblGrid>
      <w:tr w14:paraId="1ADDF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212" w:type="pct"/>
            <w:vMerge w:val="restart"/>
            <w:vAlign w:val="center"/>
          </w:tcPr>
          <w:p w14:paraId="5FAE81A1">
            <w:pPr>
              <w:pStyle w:val="12"/>
              <w:widowControl w:val="0"/>
              <w:spacing w:before="3"/>
              <w:ind w:left="0" w:right="946" w:rightChars="338" w:firstLine="0" w:firstLineChars="0"/>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作物名称</w:t>
            </w:r>
          </w:p>
        </w:tc>
        <w:tc>
          <w:tcPr>
            <w:tcW w:w="3787" w:type="pct"/>
            <w:gridSpan w:val="3"/>
            <w:vAlign w:val="center"/>
          </w:tcPr>
          <w:p w14:paraId="1692C35A">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II区</w:t>
            </w:r>
          </w:p>
        </w:tc>
      </w:tr>
      <w:tr w14:paraId="49BA6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212" w:type="pct"/>
            <w:vMerge w:val="continue"/>
            <w:vAlign w:val="center"/>
          </w:tcPr>
          <w:p w14:paraId="4E1B6BE6"/>
        </w:tc>
        <w:tc>
          <w:tcPr>
            <w:tcW w:w="3787" w:type="pct"/>
            <w:gridSpan w:val="3"/>
            <w:vAlign w:val="center"/>
          </w:tcPr>
          <w:p w14:paraId="0147720A">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灌溉保证率</w:t>
            </w:r>
          </w:p>
        </w:tc>
      </w:tr>
      <w:tr w14:paraId="13ED1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212" w:type="pct"/>
            <w:vAlign w:val="center"/>
          </w:tcPr>
          <w:p w14:paraId="21574C79">
            <w:pPr>
              <w:pStyle w:val="12"/>
              <w:widowControl w:val="0"/>
              <w:spacing w:before="3"/>
              <w:ind w:right="946" w:rightChars="338"/>
              <w:jc w:val="center"/>
              <w:rPr>
                <w:rFonts w:hint="eastAsia" w:ascii="楷体" w:hAnsi="楷体" w:eastAsia="楷体" w:cs="楷体"/>
                <w:sz w:val="20"/>
                <w:szCs w:val="20"/>
                <w:vertAlign w:val="baseline"/>
                <w:lang w:val="en-US" w:eastAsia="zh-CN"/>
              </w:rPr>
            </w:pPr>
          </w:p>
        </w:tc>
        <w:tc>
          <w:tcPr>
            <w:tcW w:w="1182" w:type="pct"/>
            <w:tcBorders>
              <w:top w:val="single" w:color="auto" w:sz="4" w:space="0"/>
              <w:left w:val="single" w:color="auto" w:sz="4" w:space="0"/>
              <w:right w:val="single" w:color="auto" w:sz="4" w:space="0"/>
            </w:tcBorders>
            <w:vAlign w:val="center"/>
          </w:tcPr>
          <w:p w14:paraId="595FFAF7">
            <w:pPr>
              <w:pStyle w:val="12"/>
              <w:widowControl w:val="0"/>
              <w:spacing w:before="3"/>
              <w:ind w:left="0" w:right="946" w:rightChars="338" w:firstLine="0" w:firstLineChars="0"/>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 xml:space="preserve">   50%</w:t>
            </w:r>
          </w:p>
        </w:tc>
        <w:tc>
          <w:tcPr>
            <w:tcW w:w="1301" w:type="pct"/>
            <w:tcBorders>
              <w:top w:val="single" w:color="auto" w:sz="4" w:space="0"/>
              <w:left w:val="single" w:color="auto" w:sz="4" w:space="0"/>
              <w:right w:val="single" w:color="auto" w:sz="4" w:space="0"/>
            </w:tcBorders>
            <w:vAlign w:val="center"/>
          </w:tcPr>
          <w:p w14:paraId="75C59545">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75%</w:t>
            </w:r>
          </w:p>
        </w:tc>
        <w:tc>
          <w:tcPr>
            <w:tcW w:w="1303" w:type="pct"/>
            <w:vAlign w:val="center"/>
          </w:tcPr>
          <w:p w14:paraId="23BB4E1D">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90%</w:t>
            </w:r>
          </w:p>
        </w:tc>
      </w:tr>
      <w:tr w14:paraId="55A61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212" w:type="pct"/>
            <w:vAlign w:val="center"/>
          </w:tcPr>
          <w:p w14:paraId="3C3970F4">
            <w:pPr>
              <w:pStyle w:val="12"/>
              <w:widowControl w:val="0"/>
              <w:spacing w:before="3"/>
              <w:ind w:left="0" w:right="946" w:rightChars="338" w:firstLine="0" w:firstLineChars="0"/>
              <w:jc w:val="both"/>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大豆</w:t>
            </w:r>
          </w:p>
        </w:tc>
        <w:tc>
          <w:tcPr>
            <w:tcW w:w="1182" w:type="pct"/>
            <w:tcBorders>
              <w:top w:val="single" w:color="auto" w:sz="4" w:space="0"/>
              <w:left w:val="single" w:color="auto" w:sz="4" w:space="0"/>
              <w:right w:val="single" w:color="auto" w:sz="4" w:space="0"/>
            </w:tcBorders>
            <w:vAlign w:val="center"/>
          </w:tcPr>
          <w:p w14:paraId="14B06E50">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30</w:t>
            </w:r>
          </w:p>
        </w:tc>
        <w:tc>
          <w:tcPr>
            <w:tcW w:w="1301" w:type="pct"/>
            <w:tcBorders>
              <w:top w:val="single" w:color="auto" w:sz="4" w:space="0"/>
              <w:left w:val="single" w:color="auto" w:sz="4" w:space="0"/>
              <w:right w:val="single" w:color="auto" w:sz="4" w:space="0"/>
            </w:tcBorders>
            <w:vAlign w:val="center"/>
          </w:tcPr>
          <w:p w14:paraId="568C0F34">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40</w:t>
            </w:r>
          </w:p>
        </w:tc>
        <w:tc>
          <w:tcPr>
            <w:tcW w:w="1303" w:type="pct"/>
            <w:vAlign w:val="center"/>
          </w:tcPr>
          <w:p w14:paraId="30076D89">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60</w:t>
            </w:r>
          </w:p>
        </w:tc>
      </w:tr>
      <w:tr w14:paraId="20997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212" w:type="pct"/>
            <w:vAlign w:val="center"/>
          </w:tcPr>
          <w:p w14:paraId="4EF5979E">
            <w:pPr>
              <w:pStyle w:val="12"/>
              <w:widowControl w:val="0"/>
              <w:spacing w:before="3"/>
              <w:ind w:left="0" w:right="946" w:rightChars="338" w:firstLine="0" w:firstLineChars="0"/>
              <w:jc w:val="both"/>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玉米</w:t>
            </w:r>
          </w:p>
        </w:tc>
        <w:tc>
          <w:tcPr>
            <w:tcW w:w="1182" w:type="pct"/>
            <w:tcBorders>
              <w:top w:val="single" w:color="auto" w:sz="4" w:space="0"/>
              <w:left w:val="single" w:color="auto" w:sz="4" w:space="0"/>
              <w:right w:val="single" w:color="auto" w:sz="4" w:space="0"/>
            </w:tcBorders>
            <w:vAlign w:val="center"/>
          </w:tcPr>
          <w:p w14:paraId="58E5ABE9">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30</w:t>
            </w:r>
          </w:p>
        </w:tc>
        <w:tc>
          <w:tcPr>
            <w:tcW w:w="1301" w:type="pct"/>
            <w:tcBorders>
              <w:top w:val="single" w:color="auto" w:sz="4" w:space="0"/>
              <w:left w:val="single" w:color="auto" w:sz="4" w:space="0"/>
              <w:right w:val="single" w:color="auto" w:sz="4" w:space="0"/>
            </w:tcBorders>
            <w:vAlign w:val="center"/>
          </w:tcPr>
          <w:p w14:paraId="18592F0D">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40</w:t>
            </w:r>
          </w:p>
        </w:tc>
        <w:tc>
          <w:tcPr>
            <w:tcW w:w="1303" w:type="pct"/>
            <w:vAlign w:val="center"/>
          </w:tcPr>
          <w:p w14:paraId="54675CF9">
            <w:pPr>
              <w:pStyle w:val="12"/>
              <w:widowControl w:val="0"/>
              <w:spacing w:before="3"/>
              <w:ind w:right="946" w:rightChars="338"/>
              <w:jc w:val="center"/>
              <w:rPr>
                <w:rFonts w:hint="eastAsia" w:ascii="楷体" w:hAnsi="楷体" w:eastAsia="楷体" w:cs="楷体"/>
                <w:sz w:val="20"/>
                <w:szCs w:val="20"/>
                <w:vertAlign w:val="baseline"/>
                <w:lang w:val="en-US" w:eastAsia="zh-CN"/>
              </w:rPr>
            </w:pPr>
            <w:r>
              <w:rPr>
                <w:rFonts w:hint="eastAsia" w:ascii="楷体" w:hAnsi="楷体" w:eastAsia="楷体" w:cs="楷体"/>
                <w:sz w:val="20"/>
                <w:szCs w:val="20"/>
                <w:vertAlign w:val="baseline"/>
                <w:lang w:val="en-US" w:eastAsia="zh-CN"/>
              </w:rPr>
              <w:t>60</w:t>
            </w:r>
          </w:p>
        </w:tc>
      </w:tr>
    </w:tbl>
    <w:p w14:paraId="0B763E42">
      <w:pPr>
        <w:bidi w:val="0"/>
        <w:ind w:firstLine="560" w:firstLineChars="200"/>
        <w:rPr>
          <w:lang w:val="en-US" w:eastAsia="zh-CN"/>
        </w:rPr>
      </w:pPr>
      <w:r>
        <w:rPr>
          <w:lang w:val="en-US" w:eastAsia="zh-CN"/>
        </w:rPr>
        <w:t>大豆、玉米各生育期需水不均衡，大豆苗期需水较少，约占总量的20%；开花结荚期多，约占总量的50%以上；鼓粒期略少，约占总量的25%左右。玉米抽雄～抽丝期，尽管历时短暂，需水绝对量小，但日需水强度为一生之最大，低产、中产、高产田的日需水量分别为2.0mm~2.5mm、3.0mm~4.8mm和6.1mm~8.6mm。因此，选择日需水强度最大的玉米作为核算供水量，每亩地最大日需水量为5.74t/d。</w:t>
      </w:r>
    </w:p>
    <w:p w14:paraId="25A5C1C0">
      <w:pPr>
        <w:bidi w:val="0"/>
        <w:rPr>
          <w:lang w:val="en-US" w:eastAsia="zh-CN"/>
        </w:rPr>
      </w:pPr>
      <w:r>
        <w:rPr>
          <w:lang w:val="en-US" w:eastAsia="zh-CN"/>
        </w:rPr>
        <w:t>从大豆密植株距</w:t>
      </w:r>
      <w:r>
        <w:rPr>
          <w:rFonts w:hint="eastAsia"/>
          <w:lang w:val="en-US" w:eastAsia="zh-CN"/>
        </w:rPr>
        <w:t>×</w:t>
      </w:r>
      <w:r>
        <w:rPr>
          <w:lang w:val="en-US" w:eastAsia="zh-CN"/>
        </w:rPr>
        <w:t>行距（11</w:t>
      </w:r>
      <w:r>
        <w:rPr>
          <w:rFonts w:hint="eastAsia"/>
          <w:lang w:val="en-US" w:eastAsia="zh-CN"/>
        </w:rPr>
        <w:t>×</w:t>
      </w:r>
      <w:r>
        <w:rPr>
          <w:lang w:val="en-US" w:eastAsia="zh-CN"/>
        </w:rPr>
        <w:t>35cm）,玉米株距</w:t>
      </w:r>
      <w:r>
        <w:rPr>
          <w:rFonts w:hint="eastAsia"/>
          <w:lang w:val="en-US" w:eastAsia="zh-CN"/>
        </w:rPr>
        <w:t>×</w:t>
      </w:r>
      <w:r>
        <w:rPr>
          <w:lang w:val="en-US" w:eastAsia="zh-CN"/>
        </w:rPr>
        <w:t>行距（13</w:t>
      </w:r>
      <w:r>
        <w:rPr>
          <w:rFonts w:hint="eastAsia"/>
          <w:lang w:val="en-US" w:eastAsia="zh-CN"/>
        </w:rPr>
        <w:t>×</w:t>
      </w:r>
      <w:r>
        <w:rPr>
          <w:lang w:val="en-US" w:eastAsia="zh-CN"/>
        </w:rPr>
        <w:t>40cm），选用管径16mm、壁厚0.63mm、滴管流量1.1L/h，开孔间距0.3m，工作压力0.5-</w:t>
      </w:r>
      <w:r>
        <w:rPr>
          <w:rFonts w:hint="eastAsia"/>
          <w:lang w:val="en-US" w:eastAsia="zh-CN"/>
        </w:rPr>
        <w:t>2.8</w:t>
      </w:r>
      <w:r>
        <w:rPr>
          <w:lang w:val="en-US" w:eastAsia="zh-CN"/>
        </w:rPr>
        <w:t>bar的压力补偿滴灌管可满足要求，每亩可布置滴头1800个，日供水量=0.9</w:t>
      </w:r>
      <w:r>
        <w:rPr>
          <w:rFonts w:hint="eastAsia"/>
          <w:lang w:val="en-US" w:eastAsia="zh-CN"/>
        </w:rPr>
        <w:t>×</w:t>
      </w:r>
      <w:r>
        <w:rPr>
          <w:lang w:val="en-US" w:eastAsia="zh-CN"/>
        </w:rPr>
        <w:t>1800</w:t>
      </w:r>
      <w:r>
        <w:rPr>
          <w:rFonts w:hint="eastAsia"/>
          <w:lang w:val="en-US" w:eastAsia="zh-CN"/>
        </w:rPr>
        <w:t>×</w:t>
      </w:r>
      <w:r>
        <w:rPr>
          <w:lang w:val="en-US" w:eastAsia="zh-CN"/>
        </w:rPr>
        <w:t>24/1000=38.88t/d＞5.74t/d。润湿深度可达0.5m，满足大豆、玉米根系需求。</w:t>
      </w:r>
    </w:p>
    <w:p w14:paraId="36B2690F">
      <w:pPr>
        <w:bidi w:val="0"/>
        <w:ind w:firstLine="560" w:firstLineChars="200"/>
        <w:rPr>
          <w:lang w:val="en-US" w:eastAsia="zh-CN"/>
        </w:rPr>
      </w:pPr>
      <w:r>
        <w:rPr>
          <w:lang w:val="en-US" w:eastAsia="zh-CN"/>
        </w:rPr>
        <w:t>以滴灌水利用系数0.95计算，170亩耕地最大日用水量=170</w:t>
      </w:r>
      <w:r>
        <w:rPr>
          <w:rFonts w:hint="eastAsia"/>
          <w:lang w:val="en-US" w:eastAsia="zh-CN"/>
        </w:rPr>
        <w:t>×</w:t>
      </w:r>
      <w:r>
        <w:rPr>
          <w:lang w:val="en-US" w:eastAsia="zh-CN"/>
        </w:rPr>
        <w:t>5.74/0.95=1027m³/d，因此水肥一体化加压泵流量选择50m³/h，泵的扬程依据各地块泵站位置、高差、主管长度、流量经计算确定，预计在40-60m之间。</w:t>
      </w:r>
    </w:p>
    <w:p w14:paraId="76DF6ED3">
      <w:pPr>
        <w:bidi w:val="0"/>
        <w:ind w:firstLine="560" w:firstLineChars="200"/>
        <w:rPr>
          <w:lang w:val="en-US" w:eastAsia="zh-CN"/>
        </w:rPr>
      </w:pPr>
      <w:r>
        <w:rPr>
          <w:lang w:val="en-US" w:eastAsia="zh-CN"/>
        </w:rPr>
        <w:t>由于贴片式补偿压力滴灌管对水质要求较高，按照厂家推荐的标准，过滤精度:120目(130微米)，过滤方式的选择是基于在水中杂质的种类和浓度。当水中固体杂质的浓度大于2ppm时，在主过滤器前必须安装离心砂水分离器。本项目水源来自农业灌溉用水，是从水库、河道、山塘等自然环境中取水，因此，本项目首部系统中设置有砂水分离器及叠片过滤器，以满足供水水质要求。</w:t>
      </w:r>
    </w:p>
    <w:p w14:paraId="6F577561">
      <w:pPr>
        <w:bidi w:val="0"/>
        <w:ind w:firstLine="560" w:firstLineChars="200"/>
        <w:rPr>
          <w:lang w:val="en-US" w:eastAsia="zh-CN"/>
        </w:rPr>
      </w:pPr>
      <w:r>
        <w:rPr>
          <w:lang w:val="en-US" w:eastAsia="zh-CN"/>
        </w:rPr>
        <w:t>本项目采用自动施肥机，由于作物在不同生育阶段用肥种类需求变化大，因此采用三通道施肥机，每台施肥机配置3个施肥桶，以满足配方施肥的变化。首部系统布置见图5-2.</w:t>
      </w:r>
    </w:p>
    <w:p w14:paraId="45C0315E">
      <w:pPr>
        <w:bidi w:val="0"/>
        <w:ind w:left="0" w:firstLine="0" w:firstLineChars="0"/>
        <w:jc w:val="center"/>
        <w:rPr>
          <w:rFonts w:ascii="宋体" w:eastAsia="宋体" w:cs="宋体"/>
          <w:b w:val="0"/>
          <w:kern w:val="2"/>
          <w:sz w:val="28"/>
          <w:szCs w:val="28"/>
          <w:lang w:val="en-US" w:eastAsia="zh-CN" w:bidi="ar-SA"/>
        </w:rPr>
      </w:pPr>
      <w:r>
        <w:rPr>
          <w:rFonts w:ascii="宋体" w:eastAsia="宋体" w:cs="宋体"/>
          <w:b w:val="0"/>
          <w:kern w:val="2"/>
          <w:sz w:val="28"/>
          <w:szCs w:val="28"/>
          <w:lang w:val="en-US" w:eastAsia="zh-CN" w:bidi="ar-SA"/>
        </w:rPr>
        <w:drawing>
          <wp:inline distT="0" distB="0" distL="114300" distR="114300">
            <wp:extent cx="5269865" cy="2487930"/>
            <wp:effectExtent l="0" t="0" r="15" b="6"/>
            <wp:docPr id="16" name="图片 76" descr="e93544e3150693552d7466b7a676b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6" descr="e93544e3150693552d7466b7a676bd1"/>
                    <pic:cNvPicPr>
                      <a:picLocks noChangeAspect="1"/>
                    </pic:cNvPicPr>
                  </pic:nvPicPr>
                  <pic:blipFill>
                    <a:blip r:embed="rId13"/>
                    <a:stretch>
                      <a:fillRect/>
                    </a:stretch>
                  </pic:blipFill>
                  <pic:spPr>
                    <a:xfrm>
                      <a:off x="0" y="0"/>
                      <a:ext cx="5270498" cy="2488564"/>
                    </a:xfrm>
                    <a:prstGeom prst="rect">
                      <a:avLst/>
                    </a:prstGeom>
                    <a:noFill/>
                    <a:ln w="9525" cap="flat" cmpd="sng">
                      <a:noFill/>
                      <a:prstDash val="solid"/>
                      <a:miter/>
                    </a:ln>
                  </pic:spPr>
                </pic:pic>
              </a:graphicData>
            </a:graphic>
          </wp:inline>
        </w:drawing>
      </w:r>
      <w:r>
        <w:rPr>
          <w:rFonts w:ascii="宋体" w:eastAsia="宋体" w:cs="宋体"/>
          <w:b w:val="0"/>
          <w:kern w:val="2"/>
          <w:sz w:val="28"/>
          <w:szCs w:val="28"/>
          <w:lang w:val="en-US" w:eastAsia="zh-CN" w:bidi="ar-SA"/>
        </w:rPr>
        <w:drawing>
          <wp:inline distT="0" distB="0" distL="114300" distR="114300">
            <wp:extent cx="5264785" cy="1715770"/>
            <wp:effectExtent l="0" t="0" r="17" b="26"/>
            <wp:docPr id="19" name="图片 77" descr="6a5e4e854efdfa7124e253a35086a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7" descr="6a5e4e854efdfa7124e253a35086a84"/>
                    <pic:cNvPicPr>
                      <a:picLocks noChangeAspect="1"/>
                    </pic:cNvPicPr>
                  </pic:nvPicPr>
                  <pic:blipFill>
                    <a:blip r:embed="rId14"/>
                    <a:stretch>
                      <a:fillRect/>
                    </a:stretch>
                  </pic:blipFill>
                  <pic:spPr>
                    <a:xfrm>
                      <a:off x="0" y="0"/>
                      <a:ext cx="5264785" cy="1716404"/>
                    </a:xfrm>
                    <a:prstGeom prst="rect">
                      <a:avLst/>
                    </a:prstGeom>
                    <a:noFill/>
                    <a:ln w="9525" cap="flat" cmpd="sng">
                      <a:noFill/>
                      <a:prstDash val="solid"/>
                      <a:miter/>
                    </a:ln>
                  </pic:spPr>
                </pic:pic>
              </a:graphicData>
            </a:graphic>
          </wp:inline>
        </w:drawing>
      </w:r>
    </w:p>
    <w:p w14:paraId="45E13BA1">
      <w:pPr>
        <w:bidi w:val="0"/>
        <w:ind w:left="0" w:firstLine="0" w:firstLineChars="0"/>
        <w:jc w:val="center"/>
        <w:rPr>
          <w:rFonts w:ascii="宋体" w:eastAsia="宋体" w:cs="宋体"/>
          <w:b/>
          <w:bCs/>
          <w:kern w:val="2"/>
          <w:sz w:val="28"/>
          <w:szCs w:val="28"/>
          <w:lang w:val="en-US" w:eastAsia="zh-CN" w:bidi="ar-SA"/>
        </w:rPr>
      </w:pPr>
      <w:r>
        <w:rPr>
          <w:rFonts w:ascii="宋体" w:eastAsia="宋体" w:cs="宋体"/>
          <w:b/>
          <w:bCs/>
          <w:kern w:val="2"/>
          <w:sz w:val="28"/>
          <w:szCs w:val="28"/>
          <w:lang w:val="en-US" w:eastAsia="zh-CN" w:bidi="ar-SA"/>
        </w:rPr>
        <w:t>图</w:t>
      </w:r>
      <w:r>
        <w:rPr>
          <w:rFonts w:hint="eastAsia" w:ascii="宋体" w:cs="宋体"/>
          <w:b/>
          <w:bCs/>
          <w:kern w:val="2"/>
          <w:sz w:val="28"/>
          <w:szCs w:val="28"/>
          <w:lang w:val="en-US" w:eastAsia="zh-CN" w:bidi="ar-SA"/>
        </w:rPr>
        <w:t>2</w:t>
      </w:r>
      <w:r>
        <w:rPr>
          <w:rFonts w:ascii="宋体" w:eastAsia="宋体" w:cs="宋体"/>
          <w:b/>
          <w:bCs/>
          <w:kern w:val="2"/>
          <w:sz w:val="28"/>
          <w:szCs w:val="28"/>
          <w:lang w:val="en-US" w:eastAsia="zh-CN" w:bidi="ar-SA"/>
        </w:rPr>
        <w:t>-2 首部系统工艺布置示意图</w:t>
      </w:r>
    </w:p>
    <w:p w14:paraId="64DD4638">
      <w:pPr>
        <w:pStyle w:val="4"/>
        <w:bidi w:val="0"/>
        <w:ind w:left="560"/>
        <w:rPr>
          <w:lang w:val="en-US" w:eastAsia="zh-CN"/>
        </w:rPr>
      </w:pPr>
      <w:bookmarkStart w:id="49" w:name="_Toc11364"/>
      <w:bookmarkStart w:id="50" w:name="_Toc28898"/>
      <w:r>
        <w:rPr>
          <w:lang w:val="en-US" w:eastAsia="zh-CN"/>
        </w:rPr>
        <w:t>设备方案</w:t>
      </w:r>
      <w:bookmarkEnd w:id="49"/>
      <w:bookmarkEnd w:id="50"/>
    </w:p>
    <w:p w14:paraId="6749253D">
      <w:pPr>
        <w:bidi w:val="0"/>
        <w:ind w:firstLine="560" w:firstLineChars="200"/>
        <w:rPr>
          <w:rFonts w:hint="eastAsia"/>
          <w:lang w:val="en-US" w:eastAsia="zh-CN"/>
        </w:rPr>
      </w:pPr>
      <w:r>
        <w:rPr>
          <w:rFonts w:hint="eastAsia"/>
          <w:lang w:val="en-US" w:eastAsia="zh-CN"/>
        </w:rPr>
        <w:t>本项目核心示范区建设水肥精准调控系统，水肥精准调控平台根据不同大豆和玉米生产需求和基础设施条件，组合配套首部枢纽、过滤系统、田间输配水管网、智能化控制系统和施肥系统等相关设备设施。首部枢纽包括滴灌增压水泵、配电柜、压力保护装置、过滤装置、施肥装置等；过滤装置为根据水源洁净度建设的调配水池和过滤器；智能化控制系统包括压力和流量监测设备、输配水管网电控阀门；田间输配水管网包括主管、支管、分管、毛管（滴灌带）及相关配件；施肥装置包括肥料搅拌桶及施肥一体机等。具体设备选型依据如下所示：</w:t>
      </w:r>
    </w:p>
    <w:p w14:paraId="507505E5">
      <w:pPr>
        <w:pStyle w:val="5"/>
        <w:bidi w:val="0"/>
        <w:rPr>
          <w:lang w:val="en-US" w:eastAsia="zh-CN"/>
        </w:rPr>
      </w:pPr>
      <w:bookmarkStart w:id="51" w:name="_Toc32661"/>
      <w:bookmarkStart w:id="52" w:name="_Toc8827"/>
      <w:r>
        <w:rPr>
          <w:rFonts w:hint="eastAsia"/>
          <w:lang w:val="en-US" w:eastAsia="zh-CN"/>
        </w:rPr>
        <w:t>首部系统设备选型</w:t>
      </w:r>
      <w:bookmarkEnd w:id="51"/>
      <w:bookmarkEnd w:id="52"/>
    </w:p>
    <w:p w14:paraId="0A302006">
      <w:pPr>
        <w:bidi w:val="0"/>
        <w:ind w:left="0" w:firstLine="560" w:firstLineChars="200"/>
        <w:rPr>
          <w:rFonts w:ascii="Helvetica" w:hAnsi="Helvetica" w:eastAsia="Helvetica" w:cs="Helvetica"/>
          <w:i w:val="0"/>
          <w:iCs w:val="0"/>
          <w:caps w:val="0"/>
          <w:smallCaps w:val="0"/>
          <w:color w:val="333333"/>
          <w:spacing w:val="0"/>
          <w:sz w:val="21"/>
          <w:szCs w:val="21"/>
          <w:shd w:val="clear" w:color="auto" w:fill="FFFFFF"/>
        </w:rPr>
      </w:pPr>
      <w:r>
        <w:rPr>
          <w:rFonts w:hint="eastAsia"/>
          <w:lang w:val="en-US" w:eastAsia="zh-CN"/>
        </w:rPr>
        <w:t>（1）、提升泵：流量应大于加压泵流量。管道沿程水头损失计算公式为海曾威廉公式：hf=i*L=105*Ch^-1.85*dj^-4.87*qg^1.85*L</w:t>
      </w:r>
    </w:p>
    <w:p w14:paraId="7E8C20E3">
      <w:pPr>
        <w:bidi w:val="0"/>
        <w:ind w:left="0" w:firstLine="560" w:firstLineChars="200"/>
        <w:rPr>
          <w:rFonts w:hint="eastAsia"/>
          <w:lang w:val="en-US" w:eastAsia="zh-CN"/>
        </w:rPr>
      </w:pPr>
      <w:r>
        <w:rPr>
          <w:rFonts w:hint="eastAsia"/>
          <w:lang w:val="en-US" w:eastAsia="zh-CN"/>
        </w:rPr>
        <w:t>其中ch——管材粗糙系数（海曾-威廉系数），塑料管C=140，新铸铁管C=130，混凝土管C=120，旧铸铁管和旧钢管C=100；</w:t>
      </w:r>
    </w:p>
    <w:p w14:paraId="62489FBD">
      <w:pPr>
        <w:bidi w:val="0"/>
        <w:ind w:left="0" w:firstLine="560" w:firstLineChars="200"/>
        <w:rPr>
          <w:rFonts w:hint="eastAsia"/>
          <w:lang w:val="en-US" w:eastAsia="zh-CN"/>
        </w:rPr>
      </w:pPr>
      <w:r>
        <w:rPr>
          <w:rFonts w:hint="eastAsia"/>
          <w:lang w:val="en-US" w:eastAsia="zh-CN"/>
        </w:rPr>
        <w:t>dj——计算内径，m；</w:t>
      </w:r>
    </w:p>
    <w:p w14:paraId="7EBEB56A">
      <w:pPr>
        <w:bidi w:val="0"/>
        <w:ind w:left="0" w:firstLine="560" w:firstLineChars="200"/>
        <w:rPr>
          <w:rFonts w:hint="eastAsia"/>
          <w:lang w:val="en-US" w:eastAsia="zh-CN"/>
        </w:rPr>
      </w:pPr>
      <w:r>
        <w:rPr>
          <w:rFonts w:hint="eastAsia"/>
          <w:lang w:val="en-US" w:eastAsia="zh-CN"/>
        </w:rPr>
        <w:t>qg——设计流量，m^3/s；</w:t>
      </w:r>
    </w:p>
    <w:p w14:paraId="6724A5F8">
      <w:pPr>
        <w:bidi w:val="0"/>
        <w:ind w:left="0" w:firstLine="560" w:firstLineChars="200"/>
        <w:rPr>
          <w:rFonts w:hint="eastAsia"/>
          <w:lang w:val="en-US" w:eastAsia="zh-CN"/>
        </w:rPr>
      </w:pPr>
      <w:r>
        <w:rPr>
          <w:rFonts w:hint="eastAsia"/>
          <w:lang w:val="en-US" w:eastAsia="zh-CN"/>
        </w:rPr>
        <w:t>L——管长，m；</w:t>
      </w:r>
    </w:p>
    <w:p w14:paraId="720FB848">
      <w:pPr>
        <w:bidi w:val="0"/>
        <w:ind w:left="0" w:firstLine="560" w:firstLineChars="200"/>
        <w:rPr>
          <w:rFonts w:hint="eastAsia"/>
          <w:lang w:val="en-US" w:eastAsia="zh-CN"/>
        </w:rPr>
      </w:pPr>
      <w:r>
        <w:rPr>
          <w:rFonts w:hint="eastAsia"/>
          <w:lang w:val="en-US" w:eastAsia="zh-CN"/>
        </w:rPr>
        <w:t>PE100级管道壁厚如下图所示</w:t>
      </w:r>
    </w:p>
    <w:p w14:paraId="7E7E1598">
      <w:pPr>
        <w:bidi w:val="0"/>
        <w:ind w:left="0" w:firstLine="560" w:firstLineChars="200"/>
        <w:jc w:val="center"/>
        <w:rPr>
          <w:lang w:val="en-US" w:eastAsia="zh-CN"/>
        </w:rPr>
      </w:pPr>
      <w:r>
        <w:drawing>
          <wp:inline distT="0" distB="0" distL="114300" distR="114300">
            <wp:extent cx="3667125" cy="5742305"/>
            <wp:effectExtent l="0" t="0" r="39" b="39"/>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5"/>
                    <a:srcRect l="10865" t="1257" r="14923"/>
                    <a:stretch>
                      <a:fillRect/>
                    </a:stretch>
                  </pic:blipFill>
                  <pic:spPr>
                    <a:xfrm>
                      <a:off x="0" y="0"/>
                      <a:ext cx="3667125" cy="5742305"/>
                    </a:xfrm>
                    <a:prstGeom prst="rect">
                      <a:avLst/>
                    </a:prstGeom>
                    <a:noFill/>
                    <a:ln w="9525" cap="flat" cmpd="sng">
                      <a:noFill/>
                      <a:prstDash val="solid"/>
                      <a:round/>
                    </a:ln>
                  </pic:spPr>
                </pic:pic>
              </a:graphicData>
            </a:graphic>
          </wp:inline>
        </w:drawing>
      </w:r>
    </w:p>
    <w:p w14:paraId="14C92B35">
      <w:pPr>
        <w:bidi w:val="0"/>
        <w:ind w:left="0" w:firstLine="560" w:firstLineChars="200"/>
        <w:rPr>
          <w:lang w:val="en-US" w:eastAsia="zh-CN"/>
        </w:rPr>
      </w:pPr>
      <w:r>
        <w:rPr>
          <w:rFonts w:hint="eastAsia"/>
          <w:lang w:val="en-US" w:eastAsia="zh-CN"/>
        </w:rPr>
        <w:t>管道局部水头损失按沿程水头损失10%计算。</w:t>
      </w:r>
    </w:p>
    <w:p w14:paraId="38E051BD">
      <w:pPr>
        <w:bidi w:val="0"/>
        <w:rPr>
          <w:lang w:val="en-US" w:eastAsia="zh-CN"/>
        </w:rPr>
      </w:pPr>
      <w:r>
        <w:rPr>
          <w:rFonts w:hint="eastAsia"/>
          <w:lang w:val="en-US" w:eastAsia="zh-CN"/>
        </w:rPr>
        <w:t>因此，泵的扬程＞±地势高差+管道沿程水头损失+管道局部水头损失</w:t>
      </w:r>
    </w:p>
    <w:p w14:paraId="3A37DA47">
      <w:pPr>
        <w:numPr>
          <w:ilvl w:val="0"/>
          <w:numId w:val="2"/>
        </w:numPr>
        <w:bidi w:val="0"/>
        <w:ind w:left="0" w:firstLine="560" w:firstLineChars="200"/>
        <w:rPr>
          <w:rFonts w:hint="eastAsia"/>
          <w:lang w:val="en-US" w:eastAsia="zh-CN"/>
        </w:rPr>
      </w:pPr>
      <w:r>
        <w:rPr>
          <w:rFonts w:hint="eastAsia"/>
          <w:lang w:val="en-US" w:eastAsia="zh-CN"/>
        </w:rPr>
        <w:t>、加压泵：由3.1.1中根据灌溉面积计算结果，加压泵的流量在50m³/h，扬程计算同提升泵计算算方式。</w:t>
      </w:r>
    </w:p>
    <w:p w14:paraId="550D03E5">
      <w:pPr>
        <w:numPr>
          <w:ilvl w:val="0"/>
          <w:numId w:val="2"/>
        </w:numPr>
        <w:bidi w:val="0"/>
        <w:ind w:left="0" w:firstLine="560" w:firstLineChars="200"/>
        <w:rPr>
          <w:rFonts w:hint="eastAsia"/>
          <w:lang w:val="en-US" w:eastAsia="zh-CN"/>
        </w:rPr>
      </w:pPr>
      <w:r>
        <w:rPr>
          <w:rFonts w:hint="eastAsia"/>
          <w:lang w:val="en-US" w:eastAsia="zh-CN"/>
        </w:rPr>
        <w:t>、变频控制柜：通过恒压变频控制，在水肥一体化用水量变化时，保证管网水压的相对稳定。依据加压泵功率选择变频器容量。</w:t>
      </w:r>
    </w:p>
    <w:p w14:paraId="66278A74">
      <w:pPr>
        <w:bidi w:val="0"/>
        <w:ind w:firstLine="560" w:firstLineChars="200"/>
        <w:rPr>
          <w:rFonts w:hint="eastAsia"/>
          <w:lang w:val="en-US" w:eastAsia="zh-CN"/>
        </w:rPr>
      </w:pPr>
      <w:r>
        <w:rPr>
          <w:rFonts w:hint="eastAsia"/>
          <w:lang w:val="en-US" w:eastAsia="zh-CN"/>
        </w:rPr>
        <w:t>（4）、土壤墒情传感器：四合一传感器，可测量土壤温度、水分、电导率、PH值等参数，对适时、科学灌溉提供依据，节约用水，保障作物生长需求。</w:t>
      </w:r>
    </w:p>
    <w:p w14:paraId="383FE5F6">
      <w:pPr>
        <w:bidi w:val="0"/>
        <w:ind w:firstLine="560" w:firstLineChars="200"/>
        <w:rPr>
          <w:rFonts w:hint="eastAsia"/>
          <w:lang w:val="en-US" w:eastAsia="zh-CN"/>
        </w:rPr>
      </w:pPr>
      <w:r>
        <w:rPr>
          <w:rFonts w:hint="eastAsia"/>
          <w:lang w:val="en-US" w:eastAsia="zh-CN"/>
        </w:rPr>
        <w:t>（5）、离心砂石过滤器：型号：NCF-2，双联装，管径φ100，具备自动反冲洗功能，为叠片过滤器提供前置过滤，去除水中悬浮的较大颗粒泥沙，保障叠片过滤器的稳定运行。</w:t>
      </w:r>
    </w:p>
    <w:p w14:paraId="14C6DA48">
      <w:pPr>
        <w:bidi w:val="0"/>
        <w:ind w:firstLine="560" w:firstLineChars="200"/>
        <w:rPr>
          <w:rFonts w:hint="eastAsia"/>
          <w:lang w:val="en-US" w:eastAsia="zh-CN"/>
        </w:rPr>
      </w:pPr>
      <w:r>
        <w:rPr>
          <w:rFonts w:hint="eastAsia"/>
          <w:lang w:val="en-US" w:eastAsia="zh-CN"/>
        </w:rPr>
        <w:t>（6）、叠片过滤器：型号：T2X2-4，管径φ100，具备自动反冲洗功能，过滤精度120目，流量60m³/h,满足贴片式补偿压力滴灌管对水质的要求。</w:t>
      </w:r>
    </w:p>
    <w:p w14:paraId="7BD255B7">
      <w:pPr>
        <w:bidi w:val="0"/>
        <w:ind w:firstLine="560" w:firstLineChars="200"/>
        <w:rPr>
          <w:rFonts w:hint="eastAsia"/>
          <w:lang w:val="en-US" w:eastAsia="zh-CN"/>
        </w:rPr>
      </w:pPr>
      <w:r>
        <w:rPr>
          <w:rFonts w:hint="eastAsia"/>
          <w:lang w:val="en-US" w:eastAsia="zh-CN"/>
        </w:rPr>
        <w:t>（7）、农用流量表：型号：XBO-E100L/T/1/F/1/1，智能管道式电磁流量计，聚四氟乙烯村里，耐化学腐蚀，适用于水肥一体化计量。计量范围：0-200m³/h，计量精度1.0；流量测量范围对应流速范围是0.1～15m/s，额定压力：1.0mpa。可数据远传。满足水肥一体化管网用水量精确统计。</w:t>
      </w:r>
    </w:p>
    <w:p w14:paraId="3C72B674">
      <w:pPr>
        <w:bidi w:val="0"/>
        <w:ind w:firstLine="560" w:firstLineChars="200"/>
        <w:rPr>
          <w:rFonts w:hint="eastAsia"/>
          <w:lang w:val="en-US" w:eastAsia="zh-CN"/>
        </w:rPr>
      </w:pPr>
      <w:r>
        <w:rPr>
          <w:rFonts w:hint="eastAsia"/>
          <w:lang w:val="en-US" w:eastAsia="zh-CN"/>
        </w:rPr>
        <w:t>（8）、肥料搅拌桶：材质：PVC，容积1000L/个，带1.5kw不锈钢搅拌器，用于水溶肥的溶解、稀释，每套首部系统配备3个，以满足作物对肥料的配方要求。</w:t>
      </w:r>
    </w:p>
    <w:p w14:paraId="391F0061">
      <w:pPr>
        <w:bidi w:val="0"/>
        <w:ind w:firstLine="560" w:firstLineChars="200"/>
        <w:rPr>
          <w:rFonts w:hint="eastAsia"/>
          <w:lang w:val="en-US" w:eastAsia="zh-CN"/>
        </w:rPr>
      </w:pPr>
      <w:r>
        <w:rPr>
          <w:rFonts w:hint="eastAsia"/>
          <w:lang w:val="en-US" w:eastAsia="zh-CN"/>
        </w:rPr>
        <w:t>（9）、3通道施肥一体机：型号：SD-ZNX-E，外形尺寸:80×90×140cm，工作电压:380，(可定制)功率:1.1kw，扬程:63-84m，流量:2m³/h，吸肥通道:3路，加药通道:1路，吸肥量:160L/H/单路通道(支持流量扩展)。</w:t>
      </w:r>
    </w:p>
    <w:p w14:paraId="1D3D3527">
      <w:pPr>
        <w:bidi w:val="0"/>
        <w:rPr>
          <w:rFonts w:hint="eastAsia"/>
          <w:lang w:val="en-US" w:eastAsia="zh-CN"/>
        </w:rPr>
      </w:pPr>
      <w:r>
        <w:rPr>
          <w:rFonts w:hint="eastAsia"/>
          <w:lang w:val="en-US" w:eastAsia="zh-CN"/>
        </w:rPr>
        <w:t>功能特点:</w:t>
      </w:r>
    </w:p>
    <w:p w14:paraId="4C84471F">
      <w:pPr>
        <w:bidi w:val="0"/>
        <w:ind w:firstLine="560" w:firstLineChars="200"/>
        <w:rPr>
          <w:rFonts w:hint="eastAsia"/>
          <w:lang w:val="en-US" w:eastAsia="zh-CN"/>
        </w:rPr>
      </w:pPr>
      <w:r>
        <w:rPr>
          <w:rFonts w:hint="eastAsia"/>
          <w:lang w:val="en-US" w:eastAsia="zh-CN"/>
        </w:rPr>
        <w:t>（1）旁路式连接，不影响原有主管道</w:t>
      </w:r>
    </w:p>
    <w:p w14:paraId="77646CA6">
      <w:pPr>
        <w:bidi w:val="0"/>
        <w:ind w:firstLine="560" w:firstLineChars="200"/>
        <w:rPr>
          <w:rFonts w:hint="eastAsia"/>
          <w:lang w:val="en-US" w:eastAsia="zh-CN"/>
        </w:rPr>
      </w:pPr>
      <w:r>
        <w:rPr>
          <w:rFonts w:hint="eastAsia"/>
          <w:lang w:val="en-US" w:eastAsia="zh-CN"/>
        </w:rPr>
        <w:t>（2）10寸液晶高清触摸屏，中文操作系统，简单易学，好操作。</w:t>
      </w:r>
    </w:p>
    <w:p w14:paraId="1B012522">
      <w:pPr>
        <w:bidi w:val="0"/>
        <w:ind w:firstLine="560" w:firstLineChars="200"/>
        <w:rPr>
          <w:rFonts w:hint="eastAsia"/>
          <w:lang w:val="en-US" w:eastAsia="zh-CN"/>
        </w:rPr>
      </w:pPr>
      <w:r>
        <w:rPr>
          <w:rFonts w:hint="eastAsia"/>
          <w:lang w:val="en-US" w:eastAsia="zh-CN"/>
        </w:rPr>
        <w:t>（3）系统可依据设定的灌溉施肥程序自动执行轮灌任务，无需人工操作，定时定量、省人工，达到准确施肥。</w:t>
      </w:r>
    </w:p>
    <w:p w14:paraId="655356DB">
      <w:pPr>
        <w:bidi w:val="0"/>
        <w:ind w:firstLine="560" w:firstLineChars="200"/>
        <w:rPr>
          <w:rFonts w:hint="eastAsia"/>
          <w:lang w:val="en-US" w:eastAsia="zh-CN"/>
        </w:rPr>
      </w:pPr>
      <w:r>
        <w:rPr>
          <w:rFonts w:hint="eastAsia"/>
          <w:lang w:val="en-US" w:eastAsia="zh-CN"/>
        </w:rPr>
        <w:t>（4）控制灌溉区域电磁阀门:20个；</w:t>
      </w:r>
    </w:p>
    <w:p w14:paraId="2CF5A3C4">
      <w:pPr>
        <w:bidi w:val="0"/>
        <w:ind w:firstLine="560" w:firstLineChars="200"/>
        <w:rPr>
          <w:rFonts w:hint="eastAsia"/>
          <w:lang w:val="en-US" w:eastAsia="zh-CN"/>
        </w:rPr>
      </w:pPr>
      <w:r>
        <w:rPr>
          <w:rFonts w:hint="eastAsia"/>
          <w:lang w:val="en-US" w:eastAsia="zh-CN"/>
        </w:rPr>
        <w:t>（5）EC(电导率)/PH(酸碱度)自动检测，利用PID云端准确配肥；</w:t>
      </w:r>
    </w:p>
    <w:p w14:paraId="1FBDDDCB">
      <w:pPr>
        <w:bidi w:val="0"/>
        <w:ind w:firstLine="560" w:firstLineChars="200"/>
        <w:rPr>
          <w:rFonts w:hint="eastAsia"/>
          <w:lang w:val="en-US" w:eastAsia="zh-CN"/>
        </w:rPr>
      </w:pPr>
      <w:r>
        <w:rPr>
          <w:rFonts w:hint="eastAsia"/>
          <w:lang w:val="en-US" w:eastAsia="zh-CN"/>
        </w:rPr>
        <w:t>（6）1路加药通道涵手动控制阀门；</w:t>
      </w:r>
    </w:p>
    <w:p w14:paraId="61F35801">
      <w:pPr>
        <w:bidi w:val="0"/>
        <w:ind w:firstLine="560" w:firstLineChars="200"/>
        <w:rPr>
          <w:rFonts w:hint="eastAsia"/>
          <w:lang w:val="en-US" w:eastAsia="zh-CN"/>
        </w:rPr>
      </w:pPr>
      <w:r>
        <w:rPr>
          <w:rFonts w:hint="eastAsia"/>
          <w:lang w:val="en-US" w:eastAsia="zh-CN"/>
        </w:rPr>
        <w:t>（7）手动旋钮式流量调节阀，可以根据实际需要调整吸肥量调整更加准确，方便；</w:t>
      </w:r>
    </w:p>
    <w:p w14:paraId="080DB0B6">
      <w:pPr>
        <w:bidi w:val="0"/>
        <w:ind w:firstLine="560" w:firstLineChars="200"/>
        <w:rPr>
          <w:rFonts w:hint="eastAsia"/>
          <w:lang w:val="en-US" w:eastAsia="zh-CN"/>
        </w:rPr>
      </w:pPr>
      <w:r>
        <w:rPr>
          <w:rFonts w:hint="eastAsia"/>
          <w:lang w:val="en-US" w:eastAsia="zh-CN"/>
        </w:rPr>
        <w:t>（8）文丘里注肥器，吸肥更加稳定；</w:t>
      </w:r>
    </w:p>
    <w:p w14:paraId="0E5D4ED1">
      <w:pPr>
        <w:bidi w:val="0"/>
        <w:ind w:firstLine="560" w:firstLineChars="200"/>
        <w:rPr>
          <w:rFonts w:hint="eastAsia"/>
          <w:lang w:val="en-US" w:eastAsia="zh-CN"/>
        </w:rPr>
      </w:pPr>
      <w:r>
        <w:rPr>
          <w:rFonts w:hint="eastAsia"/>
          <w:lang w:val="en-US" w:eastAsia="zh-CN"/>
        </w:rPr>
        <w:t>（9）化工级PVC混肥管道，强耐腐蚀，不变形，寿命长；</w:t>
      </w:r>
    </w:p>
    <w:p w14:paraId="42CCF01B">
      <w:pPr>
        <w:bidi w:val="0"/>
        <w:ind w:firstLine="560" w:firstLineChars="200"/>
        <w:rPr>
          <w:rFonts w:hint="eastAsia"/>
          <w:lang w:val="en-US" w:eastAsia="zh-CN"/>
        </w:rPr>
      </w:pPr>
      <w:r>
        <w:rPr>
          <w:rFonts w:hint="eastAsia"/>
          <w:lang w:val="en-US" w:eastAsia="zh-CN"/>
        </w:rPr>
        <w:t>（10）支持手机APP/PC端远程操作；</w:t>
      </w:r>
    </w:p>
    <w:p w14:paraId="7B88EE46">
      <w:pPr>
        <w:bidi w:val="0"/>
        <w:ind w:firstLine="560" w:firstLineChars="200"/>
        <w:rPr>
          <w:rFonts w:hint="eastAsia"/>
          <w:lang w:val="en-US" w:eastAsia="zh-CN"/>
        </w:rPr>
      </w:pPr>
      <w:r>
        <w:rPr>
          <w:rFonts w:hint="eastAsia"/>
          <w:lang w:val="en-US" w:eastAsia="zh-CN"/>
        </w:rPr>
        <w:t>（11）支持功能扩展和订制；</w:t>
      </w:r>
    </w:p>
    <w:p w14:paraId="32FAABA2">
      <w:pPr>
        <w:bidi w:val="0"/>
        <w:ind w:firstLine="560" w:firstLineChars="200"/>
        <w:rPr>
          <w:rFonts w:hint="eastAsia"/>
          <w:lang w:val="en-US" w:eastAsia="zh-CN"/>
        </w:rPr>
      </w:pPr>
      <w:r>
        <w:rPr>
          <w:rFonts w:hint="eastAsia"/>
          <w:lang w:val="en-US" w:eastAsia="zh-CN"/>
        </w:rPr>
        <w:t>（12）可增加各项(环境因素、土壤墒情)等传感器，实现与物联网对接，并可通过传感数据控制灌溉程序运行，达到智能能灌溉施肥状态；</w:t>
      </w:r>
    </w:p>
    <w:p w14:paraId="4847DE99">
      <w:pPr>
        <w:bidi w:val="0"/>
        <w:ind w:firstLine="560" w:firstLineChars="200"/>
        <w:rPr>
          <w:rFonts w:hint="eastAsia"/>
          <w:lang w:val="en-US" w:eastAsia="zh-CN"/>
        </w:rPr>
      </w:pPr>
      <w:r>
        <w:rPr>
          <w:rFonts w:hint="eastAsia"/>
          <w:lang w:val="en-US" w:eastAsia="zh-CN"/>
        </w:rPr>
        <w:t>（14）可对接智慧农业云平台。</w:t>
      </w:r>
    </w:p>
    <w:p w14:paraId="020E9CA9">
      <w:pPr>
        <w:bidi w:val="0"/>
        <w:rPr>
          <w:rFonts w:hint="eastAsia"/>
          <w:lang w:val="en-US" w:eastAsia="zh-CN"/>
        </w:rPr>
      </w:pPr>
      <w:r>
        <w:rPr>
          <w:rFonts w:hint="eastAsia"/>
          <w:lang w:val="en-US" w:eastAsia="zh-CN"/>
        </w:rPr>
        <w:t>首部系统共25套，每套覆盖面积150-170亩，共可覆盖4061亩核心示范区。</w:t>
      </w:r>
    </w:p>
    <w:p w14:paraId="1B083CBC">
      <w:pPr>
        <w:pStyle w:val="5"/>
        <w:bidi w:val="0"/>
        <w:rPr>
          <w:lang w:val="en-US" w:eastAsia="zh-CN"/>
        </w:rPr>
      </w:pPr>
      <w:bookmarkStart w:id="53" w:name="_Toc15141"/>
      <w:bookmarkStart w:id="54" w:name="_Toc22623"/>
      <w:r>
        <w:rPr>
          <w:lang w:val="en-US" w:eastAsia="zh-CN"/>
        </w:rPr>
        <w:t>管网系统管道选型</w:t>
      </w:r>
      <w:bookmarkEnd w:id="53"/>
      <w:bookmarkEnd w:id="54"/>
    </w:p>
    <w:p w14:paraId="7407CFB6">
      <w:pPr>
        <w:ind w:firstLine="560" w:firstLineChars="200"/>
        <w:rPr>
          <w:lang w:val="en-US" w:eastAsia="zh-CN"/>
        </w:rPr>
      </w:pPr>
      <w:r>
        <w:rPr>
          <w:rFonts w:hint="eastAsia"/>
          <w:lang w:val="en-US" w:eastAsia="zh-CN"/>
        </w:rPr>
        <w:t>（1）</w:t>
      </w:r>
      <w:r>
        <w:rPr>
          <w:lang w:val="en-US" w:eastAsia="zh-CN"/>
        </w:rPr>
        <w:t>分配管：每个分配</w:t>
      </w:r>
      <w:r>
        <w:rPr>
          <w:rFonts w:hint="eastAsia"/>
          <w:lang w:val="en-US" w:eastAsia="zh-CN"/>
        </w:rPr>
        <w:t>管</w:t>
      </w:r>
      <w:r>
        <w:rPr>
          <w:lang w:val="en-US" w:eastAsia="zh-CN"/>
        </w:rPr>
        <w:t>控制面积5亩，依据前面计算，所选滴灌管每亩最大流量38.8t/d，分配管最大流量</w:t>
      </w:r>
    </w:p>
    <w:p w14:paraId="147D3BD2">
      <w:pPr>
        <w:ind w:firstLine="560" w:firstLineChars="200"/>
        <w:rPr>
          <w:lang w:val="en-US" w:eastAsia="zh-CN"/>
        </w:rPr>
      </w:pPr>
      <w:r>
        <w:rPr>
          <w:lang w:val="en-US" w:eastAsia="zh-CN"/>
        </w:rPr>
        <w:tab/>
      </w:r>
      <w:r>
        <w:rPr>
          <w:lang w:val="en-US" w:eastAsia="zh-CN"/>
        </w:rPr>
        <w:t>Q支=38.8</w:t>
      </w:r>
      <w:r>
        <w:rPr>
          <w:rFonts w:hint="eastAsia"/>
          <w:lang w:val="en-US" w:eastAsia="zh-CN"/>
        </w:rPr>
        <w:t>×</w:t>
      </w:r>
      <w:r>
        <w:rPr>
          <w:lang w:val="en-US" w:eastAsia="zh-CN"/>
        </w:rPr>
        <w:t>5/24=8.08m³/h，采用φ</w:t>
      </w:r>
      <w:r>
        <w:rPr>
          <w:rFonts w:hint="eastAsia"/>
          <w:lang w:val="en-US" w:eastAsia="zh-CN"/>
        </w:rPr>
        <w:t>50PE输水带</w:t>
      </w:r>
      <w:r>
        <w:rPr>
          <w:lang w:val="en-US" w:eastAsia="zh-CN"/>
        </w:rPr>
        <w:t>，耐压等级1.25Mpa,外径50mm,壁厚4.6mm,断面流速ω=4Q/（3600</w:t>
      </w:r>
      <w:r>
        <w:rPr>
          <w:rFonts w:hint="eastAsia"/>
          <w:lang w:val="en-US" w:eastAsia="zh-CN"/>
        </w:rPr>
        <w:t>×</w:t>
      </w:r>
      <w:r>
        <w:rPr>
          <w:lang w:val="en-US" w:eastAsia="zh-CN"/>
        </w:rPr>
        <w:t>π</w:t>
      </w:r>
      <w:r>
        <w:rPr>
          <w:rFonts w:hint="eastAsia"/>
          <w:lang w:val="en-US" w:eastAsia="zh-CN"/>
        </w:rPr>
        <w:t>×</w:t>
      </w:r>
      <w:r>
        <w:rPr>
          <w:lang w:val="en-US" w:eastAsia="zh-CN"/>
        </w:rPr>
        <w:t>d2）=4</w:t>
      </w:r>
      <w:r>
        <w:rPr>
          <w:rFonts w:hint="eastAsia"/>
          <w:lang w:val="en-US" w:eastAsia="zh-CN"/>
        </w:rPr>
        <w:t>×</w:t>
      </w:r>
      <w:r>
        <w:rPr>
          <w:lang w:val="en-US" w:eastAsia="zh-CN"/>
        </w:rPr>
        <w:t>8.08/(3600</w:t>
      </w:r>
      <w:r>
        <w:rPr>
          <w:rFonts w:hint="eastAsia"/>
          <w:lang w:val="en-US" w:eastAsia="zh-CN"/>
        </w:rPr>
        <w:t>×</w:t>
      </w:r>
      <w:r>
        <w:rPr>
          <w:lang w:val="en-US" w:eastAsia="zh-CN"/>
        </w:rPr>
        <w:t>3.14</w:t>
      </w:r>
      <w:r>
        <w:rPr>
          <w:rFonts w:hint="eastAsia"/>
          <w:lang w:val="en-US" w:eastAsia="zh-CN"/>
        </w:rPr>
        <w:t>×</w:t>
      </w:r>
      <w:r>
        <w:rPr>
          <w:lang w:val="en-US" w:eastAsia="zh-CN"/>
        </w:rPr>
        <w:t>0.04082)=1.718m/S,符合塑料管经济流速1.2-2m/s的要求。</w:t>
      </w:r>
    </w:p>
    <w:p w14:paraId="1CA1EF22">
      <w:pPr>
        <w:ind w:firstLine="560" w:firstLineChars="200"/>
        <w:rPr>
          <w:lang w:val="en-US" w:eastAsia="zh-CN"/>
        </w:rPr>
      </w:pPr>
      <w:r>
        <w:rPr>
          <w:rFonts w:hint="eastAsia"/>
          <w:lang w:val="en-US" w:eastAsia="zh-CN"/>
        </w:rPr>
        <w:t>（2）</w:t>
      </w:r>
      <w:r>
        <w:rPr>
          <w:lang w:val="en-US" w:eastAsia="zh-CN"/>
        </w:rPr>
        <w:t>支管：每个支管控制面积</w:t>
      </w:r>
      <w:r>
        <w:rPr>
          <w:rFonts w:hint="eastAsia"/>
          <w:lang w:val="en-US" w:eastAsia="zh-CN"/>
        </w:rPr>
        <w:t>2</w:t>
      </w:r>
      <w:r>
        <w:rPr>
          <w:lang w:val="en-US" w:eastAsia="zh-CN"/>
        </w:rPr>
        <w:t>0亩左右，依据前面计算，所选滴灌管每亩最大流量38.8t/d，支管最大流量</w:t>
      </w:r>
    </w:p>
    <w:p w14:paraId="12E362E4">
      <w:pPr>
        <w:rPr>
          <w:lang w:val="en-US" w:eastAsia="zh-CN"/>
        </w:rPr>
      </w:pPr>
      <w:r>
        <w:rPr>
          <w:lang w:val="en-US" w:eastAsia="zh-CN"/>
        </w:rPr>
        <w:tab/>
      </w:r>
      <w:r>
        <w:rPr>
          <w:rFonts w:hint="eastAsia"/>
          <w:lang w:val="en-US" w:eastAsia="zh-CN"/>
        </w:rPr>
        <w:t xml:space="preserve"> </w:t>
      </w:r>
      <w:r>
        <w:rPr>
          <w:lang w:val="en-US" w:eastAsia="zh-CN"/>
        </w:rPr>
        <w:t>Q支=38.8</w:t>
      </w:r>
      <w:r>
        <w:rPr>
          <w:rFonts w:hint="eastAsia"/>
          <w:lang w:val="en-US" w:eastAsia="zh-CN"/>
        </w:rPr>
        <w:t>×</w:t>
      </w:r>
      <w:r>
        <w:rPr>
          <w:lang w:val="en-US" w:eastAsia="zh-CN"/>
        </w:rPr>
        <w:t>10/24=16.16m³/h，采用</w:t>
      </w:r>
      <w:r>
        <w:rPr>
          <w:rFonts w:hint="eastAsia"/>
          <w:lang w:val="en-US" w:eastAsia="zh-CN"/>
        </w:rPr>
        <w:t>de90</w:t>
      </w:r>
      <w:r>
        <w:rPr>
          <w:lang w:val="en-US" w:eastAsia="zh-CN"/>
        </w:rPr>
        <w:t>PE给水管，耐压等级1.25Mpa,外径75mm,壁厚6.8mm,断面流速ω=4Q/（3600</w:t>
      </w:r>
      <w:r>
        <w:rPr>
          <w:rFonts w:hint="eastAsia"/>
          <w:lang w:val="en-US" w:eastAsia="zh-CN"/>
        </w:rPr>
        <w:t>×</w:t>
      </w:r>
      <w:r>
        <w:rPr>
          <w:lang w:val="en-US" w:eastAsia="zh-CN"/>
        </w:rPr>
        <w:t>π</w:t>
      </w:r>
      <w:r>
        <w:rPr>
          <w:rFonts w:hint="eastAsia"/>
          <w:lang w:val="en-US" w:eastAsia="zh-CN"/>
        </w:rPr>
        <w:t>×</w:t>
      </w:r>
      <w:r>
        <w:rPr>
          <w:lang w:val="en-US" w:eastAsia="zh-CN"/>
        </w:rPr>
        <w:t>d2）=4</w:t>
      </w:r>
      <w:r>
        <w:rPr>
          <w:rFonts w:hint="eastAsia"/>
          <w:lang w:val="en-US" w:eastAsia="zh-CN"/>
        </w:rPr>
        <w:t>×</w:t>
      </w:r>
      <w:r>
        <w:rPr>
          <w:lang w:val="en-US" w:eastAsia="zh-CN"/>
        </w:rPr>
        <w:t>16.16/(3600</w:t>
      </w:r>
      <w:r>
        <w:rPr>
          <w:rFonts w:hint="eastAsia"/>
          <w:lang w:val="en-US" w:eastAsia="zh-CN"/>
        </w:rPr>
        <w:t>×</w:t>
      </w:r>
      <w:r>
        <w:rPr>
          <w:lang w:val="en-US" w:eastAsia="zh-CN"/>
        </w:rPr>
        <w:t>3.14</w:t>
      </w:r>
      <w:r>
        <w:rPr>
          <w:rFonts w:hint="eastAsia"/>
          <w:lang w:val="en-US" w:eastAsia="zh-CN"/>
        </w:rPr>
        <w:t>×</w:t>
      </w:r>
      <w:r>
        <w:rPr>
          <w:lang w:val="en-US" w:eastAsia="zh-CN"/>
        </w:rPr>
        <w:t>0.06142)=1.517m/S,符合塑料管经济流速1.2-2m/s的要求。</w:t>
      </w:r>
    </w:p>
    <w:p w14:paraId="68337045">
      <w:pPr>
        <w:ind w:firstLine="560" w:firstLineChars="200"/>
        <w:rPr>
          <w:lang w:val="en-US" w:eastAsia="zh-CN"/>
        </w:rPr>
      </w:pPr>
      <w:r>
        <w:rPr>
          <w:rFonts w:hint="eastAsia"/>
          <w:lang w:val="en-US" w:eastAsia="zh-CN"/>
        </w:rPr>
        <w:t>（3）</w:t>
      </w:r>
      <w:r>
        <w:rPr>
          <w:lang w:val="en-US" w:eastAsia="zh-CN"/>
        </w:rPr>
        <w:t>主管：按照主管覆盖面积170亩左右，依据前面加压泵选型计算，主管最大流量为50m³/h，可供3路支管同时供水，符合分区轮换供水要求，采用</w:t>
      </w:r>
      <w:r>
        <w:rPr>
          <w:rFonts w:hint="eastAsia"/>
          <w:lang w:val="en-US" w:eastAsia="zh-CN"/>
        </w:rPr>
        <w:t>de110</w:t>
      </w:r>
      <w:r>
        <w:rPr>
          <w:lang w:val="en-US" w:eastAsia="zh-CN"/>
        </w:rPr>
        <w:t>PE给水管，耐压等级1.25Mpa,,壁厚</w:t>
      </w:r>
      <w:r>
        <w:rPr>
          <w:rFonts w:hint="eastAsia"/>
          <w:lang w:val="en-US" w:eastAsia="zh-CN"/>
        </w:rPr>
        <w:t>8.1</w:t>
      </w:r>
      <w:r>
        <w:rPr>
          <w:lang w:val="en-US" w:eastAsia="zh-CN"/>
        </w:rPr>
        <w:t>mm,断面流速ω=4Q/（3600</w:t>
      </w:r>
      <w:r>
        <w:rPr>
          <w:rFonts w:hint="eastAsia"/>
          <w:lang w:val="en-US" w:eastAsia="zh-CN"/>
        </w:rPr>
        <w:t>×</w:t>
      </w:r>
      <w:r>
        <w:rPr>
          <w:lang w:val="en-US" w:eastAsia="zh-CN"/>
        </w:rPr>
        <w:t>π</w:t>
      </w:r>
      <w:r>
        <w:rPr>
          <w:rFonts w:hint="eastAsia"/>
          <w:lang w:val="en-US" w:eastAsia="zh-CN"/>
        </w:rPr>
        <w:t>×</w:t>
      </w:r>
      <w:r>
        <w:rPr>
          <w:lang w:val="en-US" w:eastAsia="zh-CN"/>
        </w:rPr>
        <w:t>d2）=4</w:t>
      </w:r>
      <w:r>
        <w:rPr>
          <w:rFonts w:hint="eastAsia"/>
          <w:lang w:val="en-US" w:eastAsia="zh-CN"/>
        </w:rPr>
        <w:t>×</w:t>
      </w:r>
      <w:r>
        <w:rPr>
          <w:lang w:val="en-US" w:eastAsia="zh-CN"/>
        </w:rPr>
        <w:t>50/(3600</w:t>
      </w:r>
      <w:r>
        <w:rPr>
          <w:rFonts w:hint="eastAsia"/>
          <w:lang w:val="en-US" w:eastAsia="zh-CN"/>
        </w:rPr>
        <w:t>×</w:t>
      </w:r>
      <w:r>
        <w:rPr>
          <w:lang w:val="en-US" w:eastAsia="zh-CN"/>
        </w:rPr>
        <w:t>3.14</w:t>
      </w:r>
      <w:r>
        <w:rPr>
          <w:rFonts w:hint="eastAsia"/>
          <w:lang w:val="en-US" w:eastAsia="zh-CN"/>
        </w:rPr>
        <w:t>×</w:t>
      </w:r>
      <w:r>
        <w:rPr>
          <w:lang w:val="en-US" w:eastAsia="zh-CN"/>
        </w:rPr>
        <w:t>0.092)=2.18m/S,接近塑料管经济流速1.2-2m/s的要求。</w:t>
      </w:r>
    </w:p>
    <w:p w14:paraId="7B25DBD5">
      <w:pPr>
        <w:pStyle w:val="4"/>
        <w:bidi w:val="0"/>
        <w:ind w:left="560"/>
        <w:rPr>
          <w:lang w:val="en-US" w:eastAsia="zh-CN"/>
        </w:rPr>
      </w:pPr>
      <w:bookmarkStart w:id="55" w:name="_Toc13678"/>
      <w:bookmarkStart w:id="56" w:name="_Toc31080"/>
      <w:r>
        <w:rPr>
          <w:lang w:val="en-US" w:eastAsia="zh-CN"/>
        </w:rPr>
        <w:t>工程方案</w:t>
      </w:r>
      <w:bookmarkEnd w:id="55"/>
      <w:bookmarkEnd w:id="56"/>
    </w:p>
    <w:p w14:paraId="1AF04705">
      <w:pPr>
        <w:pStyle w:val="5"/>
        <w:bidi w:val="0"/>
        <w:rPr>
          <w:lang w:val="en-US" w:eastAsia="zh-CN"/>
        </w:rPr>
      </w:pPr>
      <w:bookmarkStart w:id="57" w:name="_Toc21468"/>
      <w:bookmarkStart w:id="58" w:name="_Toc27807"/>
      <w:r>
        <w:rPr>
          <w:rFonts w:hint="eastAsia"/>
          <w:lang w:val="en-US" w:eastAsia="zh-CN"/>
        </w:rPr>
        <w:t>建筑设计</w:t>
      </w:r>
      <w:bookmarkEnd w:id="57"/>
      <w:bookmarkEnd w:id="58"/>
    </w:p>
    <w:p w14:paraId="45C8A75A">
      <w:pPr>
        <w:ind w:firstLine="560" w:firstLineChars="200"/>
        <w:rPr>
          <w:lang w:val="en-US" w:eastAsia="zh-CN"/>
        </w:rPr>
      </w:pPr>
      <w:r>
        <w:rPr>
          <w:lang w:val="en-US" w:eastAsia="zh-CN"/>
        </w:rPr>
        <w:t>（1）依据国家的基本建设方针，结合各生产装置的布置、使用要求，结合当地的实际情况，遵循设计合理、实用可靠、经济节约的原则确定土建工程的设计方案。</w:t>
      </w:r>
    </w:p>
    <w:p w14:paraId="71681D61">
      <w:pPr>
        <w:ind w:firstLine="560" w:firstLineChars="200"/>
        <w:rPr>
          <w:lang w:val="en-US" w:eastAsia="zh-CN"/>
        </w:rPr>
      </w:pPr>
      <w:r>
        <w:rPr>
          <w:lang w:val="en-US" w:eastAsia="zh-CN"/>
        </w:rPr>
        <w:t>（2）贯彻露天化原则，同时满足防火、防爆要求。主要生产装置结构选型以钢筋混凝土结构为主，库房部分为轻型钢结构。并确保建、构筑物的质量和安全。设计中严格执行现行国家标准规范、行业标准规范及强制性标准条文。</w:t>
      </w:r>
    </w:p>
    <w:p w14:paraId="1B4F3D04">
      <w:pPr>
        <w:ind w:firstLine="560" w:firstLineChars="200"/>
        <w:rPr>
          <w:lang w:val="en-US" w:eastAsia="zh-CN"/>
        </w:rPr>
      </w:pPr>
      <w:r>
        <w:rPr>
          <w:lang w:val="en-US" w:eastAsia="zh-CN"/>
        </w:rPr>
        <w:t>（3）考虑当地施工企业的技术水平，在采用国家及省、部标准图集的同时，尽量采用当地的习惯作法，并充分利用地方材料，因地制宜，简便易行。</w:t>
      </w:r>
    </w:p>
    <w:p w14:paraId="56C63B70">
      <w:pPr>
        <w:ind w:firstLine="560" w:firstLineChars="200"/>
        <w:rPr>
          <w:lang w:val="en-US" w:eastAsia="zh-CN"/>
        </w:rPr>
      </w:pPr>
      <w:r>
        <w:rPr>
          <w:lang w:val="en-US" w:eastAsia="zh-CN"/>
        </w:rPr>
        <w:t>（4）建筑外形处理力求简洁、美观大方，和周围环境协调。</w:t>
      </w:r>
    </w:p>
    <w:p w14:paraId="0C029C2B">
      <w:pPr>
        <w:rPr>
          <w:lang w:val="en-US" w:eastAsia="zh-CN"/>
        </w:rPr>
      </w:pPr>
      <w:r>
        <w:rPr>
          <w:lang w:val="en-US" w:eastAsia="zh-CN"/>
        </w:rPr>
        <w:t>必须充分考虑应付意外事故的防范能力，要重视和周密设计便捷、安全、可靠的紧急疏散路线和方式；</w:t>
      </w:r>
    </w:p>
    <w:p w14:paraId="77C34ECE">
      <w:pPr>
        <w:rPr>
          <w:lang w:val="en-US" w:eastAsia="zh-CN"/>
        </w:rPr>
      </w:pPr>
      <w:r>
        <w:rPr>
          <w:lang w:val="en-US" w:eastAsia="zh-CN"/>
        </w:rPr>
        <w:t>采用先进的技术和本地材料，在满足生产和确保安全的前提下，推广使用新技术新材料，尽可能的节约建设资金，缩短工程建设周期。</w:t>
      </w:r>
    </w:p>
    <w:p w14:paraId="6F6CC7EC">
      <w:pPr>
        <w:pStyle w:val="5"/>
        <w:bidi w:val="0"/>
        <w:rPr>
          <w:lang w:val="en-US" w:eastAsia="zh-CN"/>
        </w:rPr>
      </w:pPr>
      <w:bookmarkStart w:id="59" w:name="_Toc29877"/>
      <w:bookmarkStart w:id="60" w:name="_Toc21538"/>
      <w:bookmarkStart w:id="61" w:name="_Toc18737"/>
      <w:r>
        <w:rPr>
          <w:rFonts w:hint="eastAsia"/>
          <w:lang w:val="en-US" w:eastAsia="zh-CN"/>
        </w:rPr>
        <w:t>建筑设计依据</w:t>
      </w:r>
      <w:bookmarkEnd w:id="59"/>
      <w:bookmarkEnd w:id="60"/>
    </w:p>
    <w:p w14:paraId="0AC443C7">
      <w:pPr>
        <w:rPr>
          <w:lang w:val="en-US" w:eastAsia="zh-CN"/>
        </w:rPr>
      </w:pPr>
      <w:r>
        <w:rPr>
          <w:rFonts w:hint="eastAsia"/>
          <w:lang w:val="en-US" w:eastAsia="zh-CN"/>
        </w:rPr>
        <w:t>（1）</w:t>
      </w:r>
      <w:r>
        <w:rPr>
          <w:lang w:val="en-US" w:eastAsia="zh-CN"/>
        </w:rPr>
        <w:t>《建筑设计防火规范》(2018年版)   GB 50016-2014;</w:t>
      </w:r>
    </w:p>
    <w:p w14:paraId="7FDEB689">
      <w:pPr>
        <w:rPr>
          <w:lang w:val="en-US" w:eastAsia="zh-CN"/>
        </w:rPr>
      </w:pPr>
      <w:r>
        <w:rPr>
          <w:rFonts w:hint="eastAsia"/>
          <w:lang w:val="en-US" w:eastAsia="zh-CN"/>
        </w:rPr>
        <w:t>（2）</w:t>
      </w:r>
      <w:r>
        <w:rPr>
          <w:lang w:val="en-US" w:eastAsia="zh-CN"/>
        </w:rPr>
        <w:t>《工程建设标准强制性条文(房屋建筑部分)》((2004年版)</w:t>
      </w:r>
    </w:p>
    <w:p w14:paraId="0EE50CBA">
      <w:pPr>
        <w:rPr>
          <w:lang w:val="en-US" w:eastAsia="zh-CN"/>
        </w:rPr>
      </w:pPr>
      <w:r>
        <w:rPr>
          <w:rFonts w:hint="eastAsia"/>
          <w:lang w:val="en-US" w:eastAsia="zh-CN"/>
        </w:rPr>
        <w:t>（3）</w:t>
      </w:r>
      <w:r>
        <w:rPr>
          <w:lang w:val="en-US" w:eastAsia="zh-CN"/>
        </w:rPr>
        <w:t>《民用建筑设计通则》GB50352-2017;</w:t>
      </w:r>
    </w:p>
    <w:p w14:paraId="32524357">
      <w:pPr>
        <w:rPr>
          <w:lang w:val="en-US" w:eastAsia="zh-CN"/>
        </w:rPr>
      </w:pPr>
      <w:r>
        <w:rPr>
          <w:rFonts w:hint="eastAsia"/>
          <w:lang w:val="en-US" w:eastAsia="zh-CN"/>
        </w:rPr>
        <w:t>（4）</w:t>
      </w:r>
      <w:r>
        <w:rPr>
          <w:lang w:val="en-US" w:eastAsia="zh-CN"/>
        </w:rPr>
        <w:t>《建筑制图标准》GB/T 50104-2010;</w:t>
      </w:r>
    </w:p>
    <w:p w14:paraId="54A938EE">
      <w:pPr>
        <w:pStyle w:val="5"/>
        <w:bidi w:val="0"/>
        <w:rPr>
          <w:lang w:val="en-US" w:eastAsia="zh-CN"/>
        </w:rPr>
      </w:pPr>
      <w:bookmarkStart w:id="62" w:name="_Toc30283"/>
      <w:r>
        <w:rPr>
          <w:rFonts w:hint="eastAsia"/>
          <w:lang w:val="en-US" w:eastAsia="zh-CN"/>
        </w:rPr>
        <w:t>建筑设计措施</w:t>
      </w:r>
      <w:bookmarkEnd w:id="61"/>
      <w:bookmarkEnd w:id="62"/>
    </w:p>
    <w:p w14:paraId="6759B4C0">
      <w:pPr>
        <w:bidi w:val="0"/>
        <w:rPr>
          <w:lang w:val="en-US" w:eastAsia="zh-CN"/>
        </w:rPr>
      </w:pPr>
      <w:r>
        <w:rPr>
          <w:lang w:val="en-US" w:eastAsia="zh-CN"/>
        </w:rPr>
        <w:t>（1）墙体：采用200厚烧结页岩空心砖砌体</w:t>
      </w:r>
    </w:p>
    <w:p w14:paraId="225435FC">
      <w:pPr>
        <w:bidi w:val="0"/>
        <w:rPr>
          <w:lang w:val="en-US" w:eastAsia="zh-CN"/>
        </w:rPr>
      </w:pPr>
      <w:r>
        <w:rPr>
          <w:lang w:val="en-US" w:eastAsia="zh-CN"/>
        </w:rPr>
        <w:t>（2）内墙面：无机涂料墙面</w:t>
      </w:r>
    </w:p>
    <w:p w14:paraId="3555A4F3">
      <w:pPr>
        <w:bidi w:val="0"/>
        <w:rPr>
          <w:lang w:val="en-US" w:eastAsia="zh-CN"/>
        </w:rPr>
      </w:pPr>
      <w:r>
        <w:rPr>
          <w:lang w:val="en-US" w:eastAsia="zh-CN"/>
        </w:rPr>
        <w:t>（</w:t>
      </w:r>
      <w:r>
        <w:rPr>
          <w:rFonts w:hint="eastAsia"/>
          <w:lang w:val="en-US" w:eastAsia="zh-CN"/>
        </w:rPr>
        <w:t>3</w:t>
      </w:r>
      <w:r>
        <w:rPr>
          <w:lang w:val="en-US" w:eastAsia="zh-CN"/>
        </w:rPr>
        <w:t>）外门窗：研发楼窗户为彩色铝合金中空镀膜玻璃，宿舍采用彩色铝合金中空玻璃，车间、库房采用塑钢推拉窗，明框固定窗，塑钢门；</w:t>
      </w:r>
    </w:p>
    <w:p w14:paraId="5616AF9F">
      <w:pPr>
        <w:bidi w:val="0"/>
        <w:rPr>
          <w:lang w:val="en-US" w:eastAsia="zh-CN"/>
        </w:rPr>
      </w:pPr>
      <w:r>
        <w:rPr>
          <w:lang w:val="en-US" w:eastAsia="zh-CN"/>
        </w:rPr>
        <w:t>（</w:t>
      </w:r>
      <w:r>
        <w:rPr>
          <w:rFonts w:hint="eastAsia"/>
          <w:lang w:val="en-US" w:eastAsia="zh-CN"/>
        </w:rPr>
        <w:t>4</w:t>
      </w:r>
      <w:r>
        <w:rPr>
          <w:lang w:val="en-US" w:eastAsia="zh-CN"/>
        </w:rPr>
        <w:t>）外墙：门式刚架为单层彩钢板墙面；其余外墙均采用200厚烧结页岩多孔砖砌体，做法水泥砂浆（20.0 mm）+二氧化硅微粉真空隔热保温板（20.0 mm ）+页岩多孔砖砌体（200.0 mm ）+水 泥 砂 浆（20.0 mm）。</w:t>
      </w:r>
    </w:p>
    <w:p w14:paraId="33D06A34">
      <w:pPr>
        <w:bidi w:val="0"/>
        <w:rPr>
          <w:lang w:val="en-US" w:eastAsia="zh-CN"/>
        </w:rPr>
      </w:pPr>
      <w:r>
        <w:rPr>
          <w:lang w:val="en-US" w:eastAsia="zh-CN"/>
        </w:rPr>
        <w:t>（</w:t>
      </w:r>
      <w:r>
        <w:rPr>
          <w:rFonts w:hint="eastAsia"/>
          <w:lang w:val="en-US" w:eastAsia="zh-CN"/>
        </w:rPr>
        <w:t>5</w:t>
      </w:r>
      <w:r>
        <w:rPr>
          <w:lang w:val="en-US" w:eastAsia="zh-CN"/>
        </w:rPr>
        <w:t>）外墙装饰：真石漆外墙饰面层，各部位颜色详见立面图</w:t>
      </w:r>
    </w:p>
    <w:p w14:paraId="0EB3E068">
      <w:pPr>
        <w:bidi w:val="0"/>
        <w:rPr>
          <w:lang w:val="en-US" w:eastAsia="zh-CN"/>
        </w:rPr>
      </w:pPr>
      <w:r>
        <w:rPr>
          <w:lang w:val="en-US" w:eastAsia="zh-CN"/>
        </w:rPr>
        <w:t>（</w:t>
      </w:r>
      <w:r>
        <w:rPr>
          <w:rFonts w:hint="eastAsia"/>
          <w:lang w:val="en-US" w:eastAsia="zh-CN"/>
        </w:rPr>
        <w:t>6</w:t>
      </w:r>
      <w:r>
        <w:rPr>
          <w:lang w:val="en-US" w:eastAsia="zh-CN"/>
        </w:rPr>
        <w:t>）内门：研发楼和宿舍采用木质套装门，车间库房采用电动钢制铁门，电动铝合金卷帘门，塑钢平开门。</w:t>
      </w:r>
    </w:p>
    <w:p w14:paraId="06204D1F">
      <w:pPr>
        <w:bidi w:val="0"/>
        <w:rPr>
          <w:lang w:val="en-US" w:eastAsia="zh-CN"/>
        </w:rPr>
      </w:pPr>
      <w:r>
        <w:rPr>
          <w:lang w:val="en-US" w:eastAsia="zh-CN"/>
        </w:rPr>
        <w:t>（</w:t>
      </w:r>
      <w:r>
        <w:rPr>
          <w:rFonts w:hint="eastAsia"/>
          <w:lang w:val="en-US" w:eastAsia="zh-CN"/>
        </w:rPr>
        <w:t>7</w:t>
      </w:r>
      <w:r>
        <w:rPr>
          <w:lang w:val="en-US" w:eastAsia="zh-CN"/>
        </w:rPr>
        <w:t>）屋面：屋面防水等级为Ⅱ级，一道防水设防。</w:t>
      </w:r>
    </w:p>
    <w:p w14:paraId="3B62764F">
      <w:pPr>
        <w:bidi w:val="0"/>
        <w:rPr>
          <w:lang w:val="en-US" w:eastAsia="zh-CN"/>
        </w:rPr>
      </w:pPr>
      <w:r>
        <w:rPr>
          <w:lang w:val="en-US" w:eastAsia="zh-CN"/>
        </w:rPr>
        <w:t>（</w:t>
      </w:r>
      <w:r>
        <w:rPr>
          <w:rFonts w:hint="eastAsia"/>
          <w:lang w:val="en-US" w:eastAsia="zh-CN"/>
        </w:rPr>
        <w:t>8</w:t>
      </w:r>
      <w:r>
        <w:rPr>
          <w:lang w:val="en-US" w:eastAsia="zh-CN"/>
        </w:rPr>
        <w:t>）结构形式：</w:t>
      </w:r>
      <w:r>
        <w:rPr>
          <w:rFonts w:hint="eastAsia"/>
          <w:lang w:val="en-US" w:eastAsia="zh-CN"/>
        </w:rPr>
        <w:t>泵房为砖混结构</w:t>
      </w:r>
      <w:r>
        <w:rPr>
          <w:lang w:val="en-US" w:eastAsia="zh-CN"/>
        </w:rPr>
        <w:t>结构</w:t>
      </w:r>
      <w:r>
        <w:rPr>
          <w:rFonts w:hint="eastAsia"/>
          <w:lang w:val="en-US" w:eastAsia="zh-CN"/>
        </w:rPr>
        <w:t>/钢结构</w:t>
      </w:r>
      <w:r>
        <w:rPr>
          <w:lang w:val="en-US" w:eastAsia="zh-CN"/>
        </w:rPr>
        <w:t>。</w:t>
      </w:r>
    </w:p>
    <w:p w14:paraId="381634FC">
      <w:pPr>
        <w:bidi w:val="0"/>
        <w:rPr>
          <w:rFonts w:hint="eastAsia"/>
          <w:lang w:val="en-US" w:eastAsia="zh-CN"/>
        </w:rPr>
      </w:pPr>
      <w:r>
        <w:rPr>
          <w:lang w:val="en-US" w:eastAsia="zh-CN"/>
        </w:rPr>
        <w:t>（</w:t>
      </w:r>
      <w:r>
        <w:rPr>
          <w:rFonts w:hint="eastAsia"/>
          <w:lang w:val="en-US" w:eastAsia="zh-CN"/>
        </w:rPr>
        <w:t>9</w:t>
      </w:r>
      <w:r>
        <w:rPr>
          <w:lang w:val="en-US" w:eastAsia="zh-CN"/>
        </w:rPr>
        <w:t>）</w:t>
      </w:r>
      <w:r>
        <w:rPr>
          <w:rFonts w:hint="eastAsia"/>
          <w:lang w:val="en-US" w:eastAsia="zh-CN"/>
        </w:rPr>
        <w:t>取水口围堰：设计建造C字型取水口，3m长，3m宽，3m深，3面墙体为钢筋混凝土结构，浇筑10cmC20素混凝土垫层</w:t>
      </w:r>
      <w:r>
        <w:rPr>
          <w:lang w:val="en-US" w:eastAsia="zh-CN"/>
        </w:rPr>
        <w:t>。</w:t>
      </w:r>
      <w:r>
        <w:rPr>
          <w:rFonts w:hint="eastAsia"/>
          <w:lang w:val="en-US" w:eastAsia="zh-CN"/>
        </w:rPr>
        <w:t>围堰口用铁丝网隔离大型漂浮物。如下图所示：</w:t>
      </w:r>
    </w:p>
    <w:p w14:paraId="00F35B6F">
      <w:pPr>
        <w:bidi w:val="0"/>
        <w:ind w:left="0" w:firstLine="0" w:firstLineChars="0"/>
        <w:rPr>
          <w:lang w:val="en-US" w:eastAsia="zh-CN"/>
        </w:rPr>
      </w:pPr>
      <w:r>
        <w:rPr>
          <w:lang w:val="en-US" w:eastAsia="zh-CN"/>
        </w:rPr>
        <w:drawing>
          <wp:inline distT="0" distB="0" distL="114300" distR="114300">
            <wp:extent cx="5269865" cy="3671570"/>
            <wp:effectExtent l="0" t="0" r="15" b="8"/>
            <wp:docPr id="25" name="图片 119" descr="5b623c82aa6cf8479c21ced4462e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9" descr="5b623c82aa6cf8479c21ced4462e091"/>
                    <pic:cNvPicPr>
                      <a:picLocks noChangeAspect="1"/>
                    </pic:cNvPicPr>
                  </pic:nvPicPr>
                  <pic:blipFill>
                    <a:blip r:embed="rId16"/>
                    <a:stretch>
                      <a:fillRect/>
                    </a:stretch>
                  </pic:blipFill>
                  <pic:spPr>
                    <a:xfrm>
                      <a:off x="0" y="0"/>
                      <a:ext cx="5270498" cy="3672204"/>
                    </a:xfrm>
                    <a:prstGeom prst="rect">
                      <a:avLst/>
                    </a:prstGeom>
                    <a:noFill/>
                    <a:ln w="9525" cap="flat" cmpd="sng">
                      <a:noFill/>
                      <a:prstDash val="solid"/>
                      <a:miter/>
                    </a:ln>
                  </pic:spPr>
                </pic:pic>
              </a:graphicData>
            </a:graphic>
          </wp:inline>
        </w:drawing>
      </w:r>
    </w:p>
    <w:p w14:paraId="3C32B54A">
      <w:pPr>
        <w:bidi w:val="0"/>
        <w:rPr>
          <w:lang w:val="en-US" w:eastAsia="zh-CN"/>
        </w:rPr>
      </w:pPr>
    </w:p>
    <w:p w14:paraId="737FBC95">
      <w:pPr>
        <w:pStyle w:val="5"/>
        <w:bidi w:val="0"/>
        <w:rPr>
          <w:lang w:val="en-US" w:eastAsia="zh-CN"/>
        </w:rPr>
      </w:pPr>
      <w:bookmarkStart w:id="63" w:name="_Toc4022"/>
      <w:bookmarkStart w:id="64" w:name="_Toc17872"/>
      <w:r>
        <w:rPr>
          <w:rFonts w:hint="eastAsia"/>
          <w:lang w:val="en-US" w:eastAsia="zh-CN"/>
        </w:rPr>
        <w:t>水池设计依据</w:t>
      </w:r>
      <w:bookmarkEnd w:id="63"/>
      <w:bookmarkEnd w:id="64"/>
    </w:p>
    <w:p w14:paraId="7413262C">
      <w:pPr>
        <w:keepNext w:val="0"/>
        <w:keepLines w:val="0"/>
        <w:pageBreakBefore w:val="0"/>
        <w:widowControl/>
        <w:kinsoku/>
        <w:wordWrap/>
        <w:overflowPunct/>
        <w:topLinePunct w:val="0"/>
        <w:autoSpaceDE/>
        <w:autoSpaceDN/>
        <w:bidi w:val="0"/>
        <w:adjustRightInd/>
        <w:snapToGrid/>
        <w:ind w:firstLine="560" w:firstLineChars="200"/>
        <w:textAlignment w:val="auto"/>
        <w:rPr>
          <w:rFonts w:hint="eastAsia" w:eastAsia="宋体"/>
          <w:lang w:val="en-US" w:eastAsia="zh-CN"/>
        </w:rPr>
      </w:pPr>
      <w:r>
        <w:rPr>
          <w:rFonts w:hint="eastAsia" w:eastAsia="宋体"/>
          <w:lang w:val="en-US" w:eastAsia="zh-CN"/>
        </w:rPr>
        <w:t>（1）《给水排水工程构筑物结构设计规范》GB50069-2016</w:t>
      </w:r>
    </w:p>
    <w:p w14:paraId="4ED4441E">
      <w:pPr>
        <w:keepNext w:val="0"/>
        <w:keepLines w:val="0"/>
        <w:pageBreakBefore w:val="0"/>
        <w:widowControl/>
        <w:kinsoku/>
        <w:wordWrap/>
        <w:overflowPunct/>
        <w:topLinePunct w:val="0"/>
        <w:autoSpaceDE/>
        <w:autoSpaceDN/>
        <w:bidi w:val="0"/>
        <w:adjustRightInd/>
        <w:snapToGrid/>
        <w:ind w:firstLine="560" w:firstLineChars="200"/>
        <w:textAlignment w:val="auto"/>
        <w:rPr>
          <w:rFonts w:hint="eastAsia" w:eastAsia="宋体"/>
          <w:lang w:val="en-US" w:eastAsia="zh-CN"/>
        </w:rPr>
      </w:pPr>
      <w:r>
        <w:rPr>
          <w:rFonts w:hint="eastAsia" w:eastAsia="宋体"/>
          <w:lang w:val="en-US" w:eastAsia="zh-CN"/>
        </w:rPr>
        <w:t xml:space="preserve">（2）《给水排水工程钢筋混凝土水池结构设计规程》CECS138-2002 </w:t>
      </w:r>
    </w:p>
    <w:p w14:paraId="6D3A49DA">
      <w:pPr>
        <w:keepNext w:val="0"/>
        <w:keepLines w:val="0"/>
        <w:pageBreakBefore w:val="0"/>
        <w:widowControl/>
        <w:kinsoku/>
        <w:wordWrap/>
        <w:overflowPunct/>
        <w:topLinePunct w:val="0"/>
        <w:autoSpaceDE/>
        <w:autoSpaceDN/>
        <w:bidi w:val="0"/>
        <w:adjustRightInd/>
        <w:snapToGrid/>
        <w:ind w:firstLine="560" w:firstLineChars="200"/>
        <w:textAlignment w:val="auto"/>
        <w:rPr>
          <w:rFonts w:hint="eastAsia" w:eastAsia="宋体"/>
          <w:lang w:val="en-US" w:eastAsia="zh-CN"/>
        </w:rPr>
      </w:pPr>
      <w:r>
        <w:rPr>
          <w:rFonts w:hint="eastAsia" w:eastAsia="宋体"/>
          <w:lang w:val="en-US" w:eastAsia="zh-CN"/>
        </w:rPr>
        <w:t>（3）《给水排水构筑物工程施工及验收规范》 GB50141-2008</w:t>
      </w:r>
    </w:p>
    <w:p w14:paraId="54AFBB3B">
      <w:pPr>
        <w:keepNext w:val="0"/>
        <w:keepLines w:val="0"/>
        <w:pageBreakBefore w:val="0"/>
        <w:widowControl/>
        <w:kinsoku/>
        <w:wordWrap/>
        <w:overflowPunct/>
        <w:topLinePunct w:val="0"/>
        <w:autoSpaceDE/>
        <w:autoSpaceDN/>
        <w:bidi w:val="0"/>
        <w:adjustRightInd/>
        <w:snapToGrid/>
        <w:ind w:firstLine="560" w:firstLineChars="200"/>
        <w:textAlignment w:val="auto"/>
        <w:rPr>
          <w:rFonts w:hint="eastAsia" w:eastAsia="宋体"/>
          <w:lang w:val="en-US" w:eastAsia="zh-CN"/>
        </w:rPr>
      </w:pPr>
      <w:r>
        <w:rPr>
          <w:rFonts w:hint="eastAsia" w:eastAsia="宋体"/>
          <w:lang w:val="en-US" w:eastAsia="zh-CN"/>
        </w:rPr>
        <w:t>（4）《混凝土结构设计规范》 GB50010-2010</w:t>
      </w:r>
    </w:p>
    <w:p w14:paraId="63B77A25">
      <w:pPr>
        <w:keepNext w:val="0"/>
        <w:keepLines w:val="0"/>
        <w:pageBreakBefore w:val="0"/>
        <w:widowControl/>
        <w:kinsoku/>
        <w:wordWrap/>
        <w:overflowPunct/>
        <w:topLinePunct w:val="0"/>
        <w:autoSpaceDE/>
        <w:autoSpaceDN/>
        <w:bidi w:val="0"/>
        <w:adjustRightInd/>
        <w:snapToGrid/>
        <w:ind w:firstLine="560" w:firstLineChars="200"/>
        <w:textAlignment w:val="auto"/>
        <w:rPr>
          <w:rFonts w:hint="eastAsia" w:eastAsia="宋体"/>
          <w:lang w:val="en-US" w:eastAsia="zh-CN"/>
        </w:rPr>
      </w:pPr>
      <w:r>
        <w:rPr>
          <w:rFonts w:hint="eastAsia" w:eastAsia="宋体"/>
          <w:lang w:val="en-US" w:eastAsia="zh-CN"/>
        </w:rPr>
        <w:t>（5）《建筑地基基础设计规范》 GB50007-2011</w:t>
      </w:r>
    </w:p>
    <w:p w14:paraId="0ED356FB">
      <w:pPr>
        <w:keepNext w:val="0"/>
        <w:keepLines w:val="0"/>
        <w:pageBreakBefore w:val="0"/>
        <w:widowControl/>
        <w:kinsoku/>
        <w:wordWrap/>
        <w:overflowPunct/>
        <w:topLinePunct w:val="0"/>
        <w:autoSpaceDE/>
        <w:autoSpaceDN/>
        <w:bidi w:val="0"/>
        <w:adjustRightInd/>
        <w:snapToGrid/>
        <w:ind w:firstLine="560" w:firstLineChars="200"/>
        <w:textAlignment w:val="auto"/>
        <w:rPr>
          <w:rFonts w:hint="eastAsia" w:eastAsia="宋体"/>
          <w:lang w:val="en-US" w:eastAsia="zh-CN"/>
        </w:rPr>
      </w:pPr>
      <w:r>
        <w:rPr>
          <w:rFonts w:hint="eastAsia" w:eastAsia="宋体"/>
          <w:lang w:val="en-US" w:eastAsia="zh-CN"/>
        </w:rPr>
        <w:t>（6）《砌体结构设计规范》 GB50003-2011</w:t>
      </w:r>
    </w:p>
    <w:p w14:paraId="7D655C6A">
      <w:pPr>
        <w:pStyle w:val="5"/>
        <w:bidi w:val="0"/>
        <w:rPr>
          <w:lang w:val="en-US" w:eastAsia="zh-CN"/>
        </w:rPr>
      </w:pPr>
      <w:bookmarkStart w:id="65" w:name="_Toc4521"/>
      <w:bookmarkStart w:id="66" w:name="_Toc6259"/>
      <w:r>
        <w:rPr>
          <w:rFonts w:hint="eastAsia"/>
          <w:lang w:val="en-US" w:eastAsia="zh-CN"/>
        </w:rPr>
        <w:t>水池设计措施</w:t>
      </w:r>
      <w:bookmarkEnd w:id="65"/>
      <w:bookmarkEnd w:id="66"/>
    </w:p>
    <w:p w14:paraId="54B95123">
      <w:pPr>
        <w:rPr>
          <w:lang w:val="en-US" w:eastAsia="zh-CN"/>
        </w:rPr>
      </w:pPr>
      <w:r>
        <w:rPr>
          <w:lang w:val="en-US" w:eastAsia="zh-CN"/>
        </w:rPr>
        <w:t>垫层</w:t>
      </w:r>
      <w:r>
        <w:rPr>
          <w:rFonts w:hint="eastAsia"/>
          <w:lang w:val="en-US" w:eastAsia="zh-CN"/>
        </w:rPr>
        <w:t>：</w:t>
      </w:r>
      <w:r>
        <w:rPr>
          <w:lang w:val="en-US" w:eastAsia="zh-CN"/>
        </w:rPr>
        <w:t>强度等级为C</w:t>
      </w:r>
      <w:r>
        <w:rPr>
          <w:rFonts w:hint="eastAsia"/>
          <w:lang w:val="en-US" w:eastAsia="zh-CN"/>
        </w:rPr>
        <w:t>20</w:t>
      </w:r>
      <w:r>
        <w:rPr>
          <w:lang w:val="en-US" w:eastAsia="zh-CN"/>
        </w:rPr>
        <w:t>。</w:t>
      </w:r>
    </w:p>
    <w:p w14:paraId="70B094B2">
      <w:pPr>
        <w:rPr>
          <w:lang w:val="en-US" w:eastAsia="zh-CN"/>
        </w:rPr>
      </w:pPr>
      <w:r>
        <w:rPr>
          <w:lang w:val="en-US" w:eastAsia="zh-CN"/>
        </w:rPr>
        <w:t>钢筋：直径d≤10为HPB300钢，直径d&gt;12为HRB400钢。</w:t>
      </w:r>
    </w:p>
    <w:p w14:paraId="26912C7F">
      <w:pPr>
        <w:rPr>
          <w:lang w:val="en-US" w:eastAsia="zh-CN"/>
        </w:rPr>
      </w:pPr>
      <w:r>
        <w:rPr>
          <w:lang w:val="en-US" w:eastAsia="zh-CN"/>
        </w:rPr>
        <w:t xml:space="preserve">抹面：外粉刷20厚1：2.5水泥砂浆，内粉刷10厚1：2水泥砂浆两道，纯水泥浆三道。 </w:t>
      </w:r>
    </w:p>
    <w:p w14:paraId="102632F1">
      <w:pPr>
        <w:rPr>
          <w:lang w:val="en-US" w:eastAsia="zh-CN"/>
        </w:rPr>
      </w:pPr>
      <w:r>
        <w:rPr>
          <w:lang w:val="en-US" w:eastAsia="zh-CN"/>
        </w:rPr>
        <w:t>池体：池底C30级砼，抗渗等级要求P6，池壁C30级砼。</w:t>
      </w:r>
    </w:p>
    <w:p w14:paraId="65401DEB">
      <w:pPr>
        <w:rPr>
          <w:lang w:val="en-US" w:eastAsia="zh-CN"/>
        </w:rPr>
      </w:pPr>
      <w:r>
        <w:rPr>
          <w:lang w:val="en-US" w:eastAsia="zh-CN"/>
        </w:rPr>
        <w:t>油漆：水池内所有铁件防腐均采用符合有关标准的防腐涂料。</w:t>
      </w:r>
    </w:p>
    <w:p w14:paraId="5D3C5DEF">
      <w:pPr>
        <w:rPr>
          <w:lang w:val="en-US" w:eastAsia="zh-CN"/>
        </w:rPr>
      </w:pPr>
      <w:r>
        <w:rPr>
          <w:rFonts w:hint="eastAsia"/>
          <w:lang w:val="en-US" w:eastAsia="zh-CN"/>
        </w:rPr>
        <w:t>混凝土：</w:t>
      </w:r>
      <w:r>
        <w:rPr>
          <w:lang w:val="en-US" w:eastAsia="zh-CN"/>
        </w:rPr>
        <w:t>水泥强度等级不低于42.5号，水泥进入现场必须有出场合格证并进行复检。</w:t>
      </w:r>
    </w:p>
    <w:p w14:paraId="2623A211">
      <w:pPr>
        <w:pStyle w:val="5"/>
        <w:bidi w:val="0"/>
        <w:rPr>
          <w:rFonts w:hint="eastAsia"/>
          <w:lang w:val="en-US" w:eastAsia="zh-CN"/>
        </w:rPr>
      </w:pPr>
      <w:bookmarkStart w:id="67" w:name="_Toc26358"/>
      <w:bookmarkStart w:id="68" w:name="_Toc29540"/>
      <w:r>
        <w:rPr>
          <w:rFonts w:hint="eastAsia"/>
          <w:lang w:val="en-US" w:eastAsia="zh-CN"/>
        </w:rPr>
        <w:t>管网设计依据</w:t>
      </w:r>
      <w:bookmarkEnd w:id="67"/>
      <w:bookmarkEnd w:id="68"/>
    </w:p>
    <w:p w14:paraId="3B49F005">
      <w:pPr>
        <w:ind w:left="0" w:firstLine="560" w:firstLineChars="200"/>
        <w:rPr>
          <w:rFonts w:hint="eastAsia"/>
          <w:lang w:val="en-US" w:eastAsia="zh-CN"/>
        </w:rPr>
      </w:pPr>
      <w:r>
        <w:rPr>
          <w:rFonts w:hint="eastAsia" w:ascii="仿宋" w:hAnsi="仿宋" w:eastAsia="宋体" w:cs="Arial"/>
          <w:kern w:val="2"/>
          <w:sz w:val="28"/>
          <w:szCs w:val="28"/>
          <w:lang w:val="en-US" w:eastAsia="zh-CN" w:bidi="ar-SA"/>
        </w:rPr>
        <w:t>（1）</w:t>
      </w:r>
      <w:r>
        <w:rPr>
          <w:rFonts w:hint="eastAsia"/>
          <w:lang w:val="en-US" w:eastAsia="zh-CN"/>
        </w:rPr>
        <w:t>《节水灌溉工程技术规范》(GB/T 50363-2006);</w:t>
      </w:r>
    </w:p>
    <w:p w14:paraId="55840DF4">
      <w:pPr>
        <w:ind w:left="0" w:firstLine="560" w:firstLineChars="200"/>
        <w:rPr>
          <w:rFonts w:hint="eastAsia"/>
          <w:lang w:val="en-US" w:eastAsia="zh-CN"/>
        </w:rPr>
      </w:pPr>
      <w:r>
        <w:rPr>
          <w:rFonts w:hint="eastAsia" w:ascii="仿宋" w:hAnsi="仿宋" w:eastAsia="宋体" w:cs="Arial"/>
          <w:kern w:val="2"/>
          <w:sz w:val="28"/>
          <w:szCs w:val="28"/>
          <w:lang w:val="en-US" w:eastAsia="zh-CN" w:bidi="ar-SA"/>
        </w:rPr>
        <w:t>（2）</w:t>
      </w:r>
      <w:r>
        <w:rPr>
          <w:rFonts w:hint="eastAsia"/>
          <w:lang w:val="en-US" w:eastAsia="zh-CN"/>
        </w:rPr>
        <w:t>《微灌工程技术规范》(GB/T 50485-2009);</w:t>
      </w:r>
    </w:p>
    <w:p w14:paraId="3F1D7BB3">
      <w:pPr>
        <w:ind w:left="0" w:firstLine="560" w:firstLineChars="200"/>
        <w:rPr>
          <w:rFonts w:hint="eastAsia"/>
          <w:lang w:val="en-US" w:eastAsia="zh-CN"/>
        </w:rPr>
      </w:pPr>
      <w:r>
        <w:rPr>
          <w:rFonts w:hint="eastAsia"/>
          <w:lang w:val="en-US" w:eastAsia="zh-CN"/>
        </w:rPr>
        <w:t>（3）《农田低压管道输水灌溉工程技术规范》(GB/T 20203-2006);</w:t>
      </w:r>
    </w:p>
    <w:p w14:paraId="25395840">
      <w:pPr>
        <w:ind w:left="0" w:firstLine="560" w:firstLineChars="200"/>
        <w:rPr>
          <w:rFonts w:hint="eastAsia"/>
          <w:lang w:val="en-US" w:eastAsia="zh-CN"/>
        </w:rPr>
      </w:pPr>
      <w:r>
        <w:rPr>
          <w:rFonts w:hint="eastAsia"/>
          <w:lang w:val="en-US" w:eastAsia="zh-CN"/>
        </w:rPr>
        <w:t>（4）《灌溉与排水工程设计标准》(GB 50288-2018)</w:t>
      </w:r>
    </w:p>
    <w:p w14:paraId="7AE72E23">
      <w:pPr>
        <w:pStyle w:val="5"/>
        <w:bidi w:val="0"/>
        <w:rPr>
          <w:lang w:val="en-US" w:eastAsia="zh-CN"/>
        </w:rPr>
      </w:pPr>
      <w:bookmarkStart w:id="69" w:name="_Toc26298"/>
      <w:bookmarkStart w:id="70" w:name="_Toc653"/>
      <w:r>
        <w:rPr>
          <w:rFonts w:hint="eastAsia"/>
          <w:lang w:val="en-US" w:eastAsia="zh-CN"/>
        </w:rPr>
        <w:t>管网设计措施</w:t>
      </w:r>
      <w:bookmarkEnd w:id="69"/>
      <w:bookmarkEnd w:id="70"/>
    </w:p>
    <w:p w14:paraId="453F0CFD">
      <w:pPr>
        <w:ind w:firstLine="560" w:firstLineChars="200"/>
        <w:rPr>
          <w:lang w:val="en-US" w:eastAsia="zh-CN"/>
        </w:rPr>
      </w:pPr>
      <w:r>
        <w:rPr>
          <w:lang w:val="en-US" w:eastAsia="zh-CN"/>
        </w:rPr>
        <w:t>(1)管道总长度最短、水头损失最小、管径小，且有利于水锤防护，各级相邻管道应尽量垂直。</w:t>
      </w:r>
    </w:p>
    <w:p w14:paraId="0B945C9D">
      <w:pPr>
        <w:ind w:firstLine="560" w:firstLineChars="200"/>
        <w:rPr>
          <w:lang w:val="en-US" w:eastAsia="zh-CN"/>
        </w:rPr>
      </w:pPr>
      <w:r>
        <w:rPr>
          <w:lang w:val="en-US" w:eastAsia="zh-CN"/>
        </w:rPr>
        <w:t>(2)干管一般沿主坡方向布置，支管与之垂直并尽量沿等高线布置，保证各喷头工作压力基本一致。</w:t>
      </w:r>
    </w:p>
    <w:p w14:paraId="27C2939A">
      <w:pPr>
        <w:ind w:firstLine="560" w:firstLineChars="200"/>
        <w:rPr>
          <w:lang w:val="en-US" w:eastAsia="zh-CN"/>
        </w:rPr>
      </w:pPr>
      <w:r>
        <w:rPr>
          <w:lang w:val="en-US" w:eastAsia="zh-CN"/>
        </w:rPr>
        <w:t>(3)平坦地区，支管尽量与作物的种植方向一致。</w:t>
      </w:r>
    </w:p>
    <w:p w14:paraId="3348D01F">
      <w:pPr>
        <w:ind w:firstLine="560" w:firstLineChars="200"/>
        <w:rPr>
          <w:lang w:val="en-US" w:eastAsia="zh-CN"/>
        </w:rPr>
      </w:pPr>
      <w:r>
        <w:rPr>
          <w:lang w:val="en-US" w:eastAsia="zh-CN"/>
        </w:rPr>
        <w:t>(4)支管必须沿主坡方向布置时，需按地面坡度控制支管长度上坡支管据首尾地形高差加水头损失小于0.2倍的</w:t>
      </w:r>
      <w:r>
        <w:rPr>
          <w:rFonts w:hint="eastAsia"/>
          <w:lang w:val="en-US" w:eastAsia="zh-CN"/>
        </w:rPr>
        <w:t>滴</w:t>
      </w:r>
      <w:r>
        <w:rPr>
          <w:lang w:val="en-US" w:eastAsia="zh-CN"/>
        </w:rPr>
        <w:t>头设计工作压力、首尾</w:t>
      </w:r>
      <w:r>
        <w:rPr>
          <w:rFonts w:hint="eastAsia"/>
          <w:lang w:val="en-US" w:eastAsia="zh-CN"/>
        </w:rPr>
        <w:t>滴</w:t>
      </w:r>
      <w:r>
        <w:rPr>
          <w:lang w:val="en-US" w:eastAsia="zh-CN"/>
        </w:rPr>
        <w:t>头工作流量差小于等于10%确定管长，下坡支管可缩小管径抵消增加的压力水头或者设置调压设备。</w:t>
      </w:r>
    </w:p>
    <w:p w14:paraId="1514AAF0">
      <w:pPr>
        <w:ind w:firstLine="560" w:firstLineChars="200"/>
        <w:rPr>
          <w:lang w:val="en-US" w:eastAsia="zh-CN"/>
        </w:rPr>
      </w:pPr>
      <w:r>
        <w:rPr>
          <w:lang w:val="en-US" w:eastAsia="zh-CN"/>
        </w:rPr>
        <w:t>(</w:t>
      </w:r>
      <w:r>
        <w:rPr>
          <w:rFonts w:hint="eastAsia"/>
          <w:lang w:val="en-US" w:eastAsia="zh-CN"/>
        </w:rPr>
        <w:t>5</w:t>
      </w:r>
      <w:r>
        <w:rPr>
          <w:lang w:val="en-US" w:eastAsia="zh-CN"/>
        </w:rPr>
        <w:t>)充分考虑地块形状，使支管长度一致。</w:t>
      </w:r>
    </w:p>
    <w:p w14:paraId="16D28605">
      <w:pPr>
        <w:ind w:firstLine="560" w:firstLineChars="200"/>
        <w:rPr>
          <w:lang w:val="en-US" w:eastAsia="zh-CN"/>
        </w:rPr>
      </w:pPr>
      <w:r>
        <w:rPr>
          <w:lang w:val="en-US" w:eastAsia="zh-CN"/>
        </w:rPr>
        <w:t>(</w:t>
      </w:r>
      <w:r>
        <w:rPr>
          <w:rFonts w:hint="eastAsia"/>
          <w:lang w:val="en-US" w:eastAsia="zh-CN"/>
        </w:rPr>
        <w:t>6</w:t>
      </w:r>
      <w:r>
        <w:rPr>
          <w:lang w:val="en-US" w:eastAsia="zh-CN"/>
        </w:rPr>
        <w:t>)支管通常与</w:t>
      </w:r>
      <w:r>
        <w:rPr>
          <w:rFonts w:hint="eastAsia"/>
          <w:lang w:val="en-US" w:eastAsia="zh-CN"/>
        </w:rPr>
        <w:t>地块</w:t>
      </w:r>
      <w:r>
        <w:rPr>
          <w:lang w:val="en-US" w:eastAsia="zh-CN"/>
        </w:rPr>
        <w:t>的长度方向一致。</w:t>
      </w:r>
    </w:p>
    <w:p w14:paraId="6789B627">
      <w:pPr>
        <w:rPr>
          <w:lang w:val="en-US" w:eastAsia="zh-CN"/>
        </w:rPr>
        <w:sectPr>
          <w:pgSz w:w="11906" w:h="16838"/>
          <w:pgMar w:top="1440" w:right="1800" w:bottom="1440" w:left="1800" w:header="851" w:footer="992" w:gutter="0"/>
          <w:cols w:space="425" w:num="1"/>
          <w:docGrid w:type="lines" w:linePitch="312" w:charSpace="0"/>
        </w:sectPr>
      </w:pPr>
    </w:p>
    <w:p w14:paraId="0BED6826">
      <w:pPr>
        <w:pStyle w:val="3"/>
        <w:bidi w:val="0"/>
        <w:jc w:val="center"/>
        <w:rPr>
          <w:sz w:val="40"/>
          <w:szCs w:val="28"/>
          <w:lang w:val="en-US" w:eastAsia="zh-CN"/>
        </w:rPr>
      </w:pPr>
      <w:bookmarkStart w:id="71" w:name="_Toc18986"/>
      <w:r>
        <w:rPr>
          <w:rFonts w:hint="eastAsia"/>
          <w:sz w:val="40"/>
          <w:szCs w:val="28"/>
          <w:lang w:val="en-US" w:eastAsia="zh-CN"/>
        </w:rPr>
        <w:t>项目区建设内容</w:t>
      </w:r>
      <w:bookmarkEnd w:id="71"/>
    </w:p>
    <w:p w14:paraId="00C02CF0">
      <w:pPr>
        <w:ind w:firstLine="560" w:firstLineChars="200"/>
        <w:rPr>
          <w:rFonts w:hint="eastAsia"/>
          <w:lang w:val="en-US" w:eastAsia="zh-CN"/>
        </w:rPr>
      </w:pPr>
      <w:r>
        <w:rPr>
          <w:rFonts w:hint="eastAsia"/>
          <w:lang w:val="en-US" w:eastAsia="zh-CN"/>
        </w:rPr>
        <w:t>项目区设计遵循以下几点：</w:t>
      </w:r>
    </w:p>
    <w:p w14:paraId="1F4CD4DA">
      <w:pPr>
        <w:numPr>
          <w:ilvl w:val="0"/>
          <w:numId w:val="3"/>
        </w:numPr>
        <w:ind w:left="0" w:firstLine="560" w:firstLineChars="200"/>
        <w:rPr>
          <w:rFonts w:hint="eastAsia"/>
          <w:lang w:val="en-US" w:eastAsia="zh-CN"/>
        </w:rPr>
      </w:pPr>
      <w:r>
        <w:rPr>
          <w:rFonts w:hint="eastAsia"/>
          <w:lang w:val="en-US" w:eastAsia="zh-CN"/>
        </w:rPr>
        <w:t>和农业局、各乡镇、村、种植户充分沟通，现场勘察测绘后选择实施条件最好的区域进行设计。</w:t>
      </w:r>
    </w:p>
    <w:p w14:paraId="725F6790">
      <w:pPr>
        <w:numPr>
          <w:ilvl w:val="0"/>
          <w:numId w:val="3"/>
        </w:numPr>
        <w:ind w:left="0" w:firstLine="560" w:firstLineChars="200"/>
        <w:rPr>
          <w:rFonts w:hint="eastAsia"/>
          <w:lang w:val="en-US" w:eastAsia="zh-CN"/>
        </w:rPr>
      </w:pPr>
      <w:r>
        <w:rPr>
          <w:rFonts w:hint="eastAsia"/>
          <w:lang w:val="en-US" w:eastAsia="zh-CN"/>
        </w:rPr>
        <w:t>所有泵房、水池设计，必须通过现场勘察，与自然资源部门联系，所选地块均不占用基本农田；同时泵房、水池应在合理位置，尽可能利用既有灌溉设施设备（提灌站、提灌管网、变压器等），所有泵房应满足道路通行要求。</w:t>
      </w:r>
    </w:p>
    <w:p w14:paraId="59AE7AC3">
      <w:pPr>
        <w:numPr>
          <w:ilvl w:val="0"/>
          <w:numId w:val="3"/>
        </w:numPr>
        <w:ind w:left="0" w:firstLine="560" w:firstLineChars="200"/>
        <w:rPr>
          <w:lang w:val="en-US" w:eastAsia="zh-CN"/>
        </w:rPr>
      </w:pPr>
      <w:r>
        <w:rPr>
          <w:rFonts w:hint="eastAsia"/>
          <w:lang w:val="en-US" w:eastAsia="zh-CN"/>
        </w:rPr>
        <w:t>管网根据3.3.2，3.3.6，3.3.7章节要求进行设计，按业主要求选用使用年限5-10年以上的管网及阀门配件。在核心区管网设计中，加入太阳能供能电磁阀，实现远程无线控制分时分区灌溉要求。</w:t>
      </w:r>
    </w:p>
    <w:p w14:paraId="728B307C">
      <w:pPr>
        <w:numPr>
          <w:ilvl w:val="0"/>
          <w:numId w:val="3"/>
        </w:numPr>
        <w:ind w:left="0" w:firstLine="560" w:firstLineChars="200"/>
        <w:rPr>
          <w:lang w:val="en-US" w:eastAsia="zh-CN"/>
        </w:rPr>
      </w:pPr>
      <w:r>
        <w:rPr>
          <w:rFonts w:hint="eastAsia"/>
          <w:lang w:val="en-US" w:eastAsia="zh-CN"/>
        </w:rPr>
        <w:t>提灌方式设计中，充分利用各项目区地形特点，减少后期运行成本。提升泵和加压泵的选型通过水力计算确定。</w:t>
      </w:r>
    </w:p>
    <w:p w14:paraId="245D6DD1">
      <w:pPr>
        <w:numPr>
          <w:ilvl w:val="0"/>
          <w:numId w:val="3"/>
        </w:numPr>
        <w:ind w:left="0" w:firstLine="560" w:firstLineChars="200"/>
        <w:rPr>
          <w:lang w:val="en-US" w:eastAsia="zh-CN"/>
        </w:rPr>
      </w:pPr>
      <w:r>
        <w:rPr>
          <w:rFonts w:hint="eastAsia"/>
          <w:lang w:val="en-US" w:eastAsia="zh-CN"/>
        </w:rPr>
        <w:t>首部系统设备根据3.2.1章节设计。</w:t>
      </w:r>
    </w:p>
    <w:p w14:paraId="3EF47635">
      <w:pPr>
        <w:numPr>
          <w:ilvl w:val="0"/>
          <w:numId w:val="3"/>
        </w:numPr>
        <w:ind w:left="0" w:firstLine="560" w:firstLineChars="200"/>
        <w:rPr>
          <w:lang w:val="en-US" w:eastAsia="zh-CN"/>
        </w:rPr>
      </w:pPr>
      <w:r>
        <w:rPr>
          <w:rFonts w:hint="eastAsia"/>
          <w:lang w:val="en-US" w:eastAsia="zh-CN"/>
        </w:rPr>
        <w:t>电力工程的线路设计及费用为估算，以电力公司设计方案及概算为准。</w:t>
      </w:r>
    </w:p>
    <w:p w14:paraId="4C19AC57">
      <w:pPr>
        <w:rPr>
          <w:lang w:val="en-US" w:eastAsia="zh-CN"/>
        </w:rPr>
      </w:pPr>
      <w:r>
        <w:rPr>
          <w:rFonts w:hint="eastAsia"/>
          <w:lang w:val="en-US" w:eastAsia="zh-CN"/>
        </w:rPr>
        <w:t>本项目工程建设清单如下表所示，各泵站建设清单详见附表1.2--1.27.</w:t>
      </w:r>
    </w:p>
    <w:p w14:paraId="0311D188">
      <w:pPr>
        <w:rPr>
          <w:rFonts w:hint="eastAsia"/>
          <w:lang w:val="en-US" w:eastAsia="zh-CN"/>
        </w:rPr>
        <w:sectPr>
          <w:pgSz w:w="11906" w:h="16838"/>
          <w:pgMar w:top="1440" w:right="1800" w:bottom="1440" w:left="1800" w:header="851" w:footer="992" w:gutter="0"/>
          <w:cols w:space="425" w:num="1"/>
          <w:docGrid w:type="lines" w:linePitch="312" w:charSpace="0"/>
        </w:sectPr>
      </w:pPr>
    </w:p>
    <w:tbl>
      <w:tblPr>
        <w:tblStyle w:val="2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96"/>
        <w:gridCol w:w="1656"/>
        <w:gridCol w:w="1876"/>
        <w:gridCol w:w="5997"/>
        <w:gridCol w:w="996"/>
        <w:gridCol w:w="1656"/>
        <w:gridCol w:w="997"/>
      </w:tblGrid>
      <w:tr w14:paraId="0C7134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E1C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附表1.1遂宁市安居区大豆提升项目工程数量表</w:t>
            </w:r>
          </w:p>
        </w:tc>
      </w:tr>
      <w:tr w14:paraId="55AD4E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DAF3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序号</w:t>
            </w:r>
          </w:p>
        </w:tc>
        <w:tc>
          <w:tcPr>
            <w:tcW w:w="5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FCE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工程项目</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38C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管网配件</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8BA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型号</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5DC7B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单位</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E4D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工程量</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F295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备注</w:t>
            </w:r>
          </w:p>
        </w:tc>
      </w:tr>
      <w:tr w14:paraId="64D66B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8B0E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5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9B8B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田间管网工程</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144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PE给水管</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33A5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de200；承压：1.25MPA；含管件</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A6DD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F0C2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538.00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BA63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埋地铺设</w:t>
            </w:r>
          </w:p>
        </w:tc>
      </w:tr>
      <w:tr w14:paraId="1ED540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958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559304"/>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96DA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管道土方挖方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EF7C3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de200</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7F42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r>
              <w:rPr>
                <w:rFonts w:hint="eastAsia" w:ascii="宋体" w:hAnsi="宋体" w:eastAsia="宋体" w:cs="宋体"/>
                <w:i w:val="0"/>
                <w:iCs w:val="0"/>
                <w:color w:val="000000"/>
                <w:kern w:val="0"/>
                <w:sz w:val="22"/>
                <w:szCs w:val="22"/>
                <w:u w:val="none"/>
                <w:vertAlign w:val="superscript"/>
                <w:lang w:val="en-US" w:eastAsia="zh-CN"/>
              </w:rPr>
              <w:t>3</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027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322.80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CBC82F">
            <w:pPr>
              <w:jc w:val="center"/>
              <w:rPr>
                <w:rFonts w:hint="eastAsia" w:ascii="宋体" w:hAnsi="宋体" w:eastAsia="宋体" w:cs="宋体"/>
                <w:i w:val="0"/>
                <w:iCs w:val="0"/>
                <w:color w:val="000000"/>
                <w:sz w:val="22"/>
                <w:szCs w:val="22"/>
                <w:u w:val="none"/>
              </w:rPr>
            </w:pPr>
          </w:p>
        </w:tc>
      </w:tr>
      <w:tr w14:paraId="77D1B7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DD1AC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F0D126"/>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65FBC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管道土方回填</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B5E9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de200</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EA9CF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r>
              <w:rPr>
                <w:rFonts w:hint="eastAsia" w:ascii="宋体" w:hAnsi="宋体" w:eastAsia="宋体" w:cs="宋体"/>
                <w:i w:val="0"/>
                <w:iCs w:val="0"/>
                <w:color w:val="000000"/>
                <w:kern w:val="0"/>
                <w:sz w:val="22"/>
                <w:szCs w:val="22"/>
                <w:u w:val="none"/>
                <w:vertAlign w:val="superscript"/>
                <w:lang w:val="en-US" w:eastAsia="zh-CN"/>
              </w:rPr>
              <w:t>3</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4C0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306.66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DAF11A">
            <w:pPr>
              <w:jc w:val="center"/>
              <w:rPr>
                <w:rFonts w:hint="eastAsia" w:ascii="宋体" w:hAnsi="宋体" w:eastAsia="宋体" w:cs="宋体"/>
                <w:i w:val="0"/>
                <w:iCs w:val="0"/>
                <w:color w:val="000000"/>
                <w:sz w:val="22"/>
                <w:szCs w:val="22"/>
                <w:u w:val="none"/>
              </w:rPr>
            </w:pPr>
          </w:p>
        </w:tc>
      </w:tr>
      <w:tr w14:paraId="688EDD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7385B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8686D1"/>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B868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PE给水管</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8B1F0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de160；承压：1.25MPA；含管件</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06E3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9BD6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1681.04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00623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埋地铺设</w:t>
            </w:r>
          </w:p>
        </w:tc>
      </w:tr>
      <w:tr w14:paraId="1C3B6D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B76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EDF38F"/>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BD2EA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管道土方挖方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57AC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de160</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19C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r>
              <w:rPr>
                <w:rFonts w:hint="eastAsia" w:ascii="宋体" w:hAnsi="宋体" w:eastAsia="宋体" w:cs="宋体"/>
                <w:i w:val="0"/>
                <w:iCs w:val="0"/>
                <w:color w:val="000000"/>
                <w:kern w:val="0"/>
                <w:sz w:val="22"/>
                <w:szCs w:val="22"/>
                <w:u w:val="none"/>
                <w:vertAlign w:val="superscript"/>
                <w:lang w:val="en-US" w:eastAsia="zh-CN"/>
              </w:rPr>
              <w:t>3</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B8D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890.95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A9A87">
            <w:pPr>
              <w:jc w:val="center"/>
              <w:rPr>
                <w:rFonts w:hint="eastAsia" w:ascii="宋体" w:hAnsi="宋体" w:eastAsia="宋体" w:cs="宋体"/>
                <w:i w:val="0"/>
                <w:iCs w:val="0"/>
                <w:color w:val="000000"/>
                <w:sz w:val="22"/>
                <w:szCs w:val="22"/>
                <w:u w:val="none"/>
              </w:rPr>
            </w:pPr>
          </w:p>
        </w:tc>
      </w:tr>
      <w:tr w14:paraId="1D46BE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0C5E6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957106"/>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803E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管道土方回填</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FF73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de160</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8DFD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r>
              <w:rPr>
                <w:rFonts w:hint="eastAsia" w:ascii="宋体" w:hAnsi="宋体" w:eastAsia="宋体" w:cs="宋体"/>
                <w:i w:val="0"/>
                <w:iCs w:val="0"/>
                <w:color w:val="000000"/>
                <w:kern w:val="0"/>
                <w:sz w:val="22"/>
                <w:szCs w:val="22"/>
                <w:u w:val="none"/>
                <w:vertAlign w:val="superscript"/>
                <w:lang w:val="en-US" w:eastAsia="zh-CN"/>
              </w:rPr>
              <w:t>3</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28F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857.33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418C54">
            <w:pPr>
              <w:jc w:val="center"/>
              <w:rPr>
                <w:rFonts w:hint="eastAsia" w:ascii="宋体" w:hAnsi="宋体" w:eastAsia="宋体" w:cs="宋体"/>
                <w:i w:val="0"/>
                <w:iCs w:val="0"/>
                <w:color w:val="000000"/>
                <w:sz w:val="22"/>
                <w:szCs w:val="22"/>
                <w:u w:val="none"/>
              </w:rPr>
            </w:pPr>
          </w:p>
        </w:tc>
      </w:tr>
      <w:tr w14:paraId="26DDFA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F9390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049594"/>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A558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PE给水管</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79B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de110；承压：1.25MPA；含管件</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272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F82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30473.42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266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埋地铺设</w:t>
            </w:r>
          </w:p>
        </w:tc>
      </w:tr>
      <w:tr w14:paraId="4BD27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09E3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276DD4"/>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9EF95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管道土方挖方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D247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de110</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828C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r>
              <w:rPr>
                <w:rFonts w:hint="eastAsia" w:ascii="宋体" w:hAnsi="宋体" w:eastAsia="宋体" w:cs="宋体"/>
                <w:i w:val="0"/>
                <w:iCs w:val="0"/>
                <w:color w:val="000000"/>
                <w:kern w:val="0"/>
                <w:sz w:val="22"/>
                <w:szCs w:val="22"/>
                <w:u w:val="none"/>
                <w:vertAlign w:val="superscript"/>
                <w:lang w:val="en-US" w:eastAsia="zh-CN"/>
              </w:rPr>
              <w:t>3</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0D09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12798.84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46DE1">
            <w:pPr>
              <w:jc w:val="center"/>
              <w:rPr>
                <w:rFonts w:hint="eastAsia" w:ascii="宋体" w:hAnsi="宋体" w:eastAsia="宋体" w:cs="宋体"/>
                <w:i w:val="0"/>
                <w:iCs w:val="0"/>
                <w:color w:val="000000"/>
                <w:sz w:val="22"/>
                <w:szCs w:val="22"/>
                <w:u w:val="none"/>
              </w:rPr>
            </w:pPr>
          </w:p>
        </w:tc>
      </w:tr>
      <w:tr w14:paraId="19325C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E521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E911A6"/>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73B5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管道土方回填</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34FBD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de110</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A16E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r>
              <w:rPr>
                <w:rFonts w:hint="eastAsia" w:ascii="宋体" w:hAnsi="宋体" w:eastAsia="宋体" w:cs="宋体"/>
                <w:i w:val="0"/>
                <w:iCs w:val="0"/>
                <w:color w:val="000000"/>
                <w:kern w:val="0"/>
                <w:sz w:val="22"/>
                <w:szCs w:val="22"/>
                <w:u w:val="none"/>
                <w:vertAlign w:val="superscript"/>
                <w:lang w:val="en-US" w:eastAsia="zh-CN"/>
              </w:rPr>
              <w:t>3</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8A5E0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12494.10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CC06F">
            <w:pPr>
              <w:jc w:val="center"/>
              <w:rPr>
                <w:rFonts w:hint="eastAsia" w:ascii="宋体" w:hAnsi="宋体" w:eastAsia="宋体" w:cs="宋体"/>
                <w:i w:val="0"/>
                <w:iCs w:val="0"/>
                <w:color w:val="000000"/>
                <w:sz w:val="22"/>
                <w:szCs w:val="22"/>
                <w:u w:val="none"/>
              </w:rPr>
            </w:pPr>
          </w:p>
        </w:tc>
      </w:tr>
      <w:tr w14:paraId="6303FA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BAD7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6C3E4A"/>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C7A7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PE给水管</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88FD7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de90；承压：1.25MPA；含管件</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0BA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46E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22716.83</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0FEC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埋地铺设</w:t>
            </w:r>
          </w:p>
        </w:tc>
      </w:tr>
      <w:tr w14:paraId="654F77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869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5F9E01"/>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F432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管道土方挖方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4B9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de90</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18FD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r>
              <w:rPr>
                <w:rFonts w:hint="eastAsia" w:ascii="宋体" w:hAnsi="宋体" w:eastAsia="宋体" w:cs="宋体"/>
                <w:i w:val="0"/>
                <w:iCs w:val="0"/>
                <w:color w:val="000000"/>
                <w:kern w:val="0"/>
                <w:sz w:val="22"/>
                <w:szCs w:val="22"/>
                <w:u w:val="none"/>
                <w:vertAlign w:val="superscript"/>
                <w:lang w:val="en-US" w:eastAsia="zh-CN"/>
              </w:rPr>
              <w:t>3</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F951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9313.90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535278">
            <w:pPr>
              <w:jc w:val="center"/>
              <w:rPr>
                <w:rFonts w:hint="eastAsia" w:ascii="宋体" w:hAnsi="宋体" w:eastAsia="宋体" w:cs="宋体"/>
                <w:i w:val="0"/>
                <w:iCs w:val="0"/>
                <w:color w:val="000000"/>
                <w:sz w:val="22"/>
                <w:szCs w:val="22"/>
                <w:u w:val="none"/>
              </w:rPr>
            </w:pPr>
          </w:p>
        </w:tc>
      </w:tr>
      <w:tr w14:paraId="2C10FE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9D12F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EE1A07"/>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B84A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管道土方回填</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CFC0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de90</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E3994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r>
              <w:rPr>
                <w:rFonts w:hint="eastAsia" w:ascii="宋体" w:hAnsi="宋体" w:eastAsia="宋体" w:cs="宋体"/>
                <w:i w:val="0"/>
                <w:iCs w:val="0"/>
                <w:color w:val="000000"/>
                <w:kern w:val="0"/>
                <w:sz w:val="22"/>
                <w:szCs w:val="22"/>
                <w:u w:val="none"/>
                <w:vertAlign w:val="superscript"/>
                <w:lang w:val="en-US" w:eastAsia="zh-CN"/>
              </w:rPr>
              <w:t>3</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08D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9086.73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250E48">
            <w:pPr>
              <w:jc w:val="center"/>
              <w:rPr>
                <w:rFonts w:hint="eastAsia" w:ascii="宋体" w:hAnsi="宋体" w:eastAsia="宋体" w:cs="宋体"/>
                <w:i w:val="0"/>
                <w:iCs w:val="0"/>
                <w:color w:val="000000"/>
                <w:sz w:val="22"/>
                <w:szCs w:val="22"/>
                <w:u w:val="none"/>
              </w:rPr>
            </w:pPr>
          </w:p>
        </w:tc>
      </w:tr>
      <w:tr w14:paraId="2FAA5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AF9A6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8CDCBE"/>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19DE1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PE输水带</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3FB5E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φ50</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2C3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F2C10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44229.44</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97A2B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玉米/大豆</w:t>
            </w:r>
          </w:p>
        </w:tc>
      </w:tr>
      <w:tr w14:paraId="2F02F0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B2CA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7AA7DC"/>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833D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泄水阀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E48A4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φ75，PE材质，钢芯球阀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E7AAA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2B17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366</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ABE26">
            <w:pPr>
              <w:jc w:val="center"/>
              <w:rPr>
                <w:rFonts w:hint="eastAsia" w:ascii="宋体" w:hAnsi="宋体" w:eastAsia="宋体" w:cs="宋体"/>
                <w:i w:val="0"/>
                <w:iCs w:val="0"/>
                <w:color w:val="000000"/>
                <w:sz w:val="22"/>
                <w:szCs w:val="22"/>
                <w:u w:val="none"/>
              </w:rPr>
            </w:pPr>
          </w:p>
        </w:tc>
      </w:tr>
      <w:tr w14:paraId="633624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3EC1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926108"/>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5137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进排气阀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3BF9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1寸进气阀、排气阀各30个（C型组合式空气阀C10，K型快速进排气阀A11）</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32D0A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593C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722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4CCF1">
            <w:pPr>
              <w:jc w:val="center"/>
              <w:rPr>
                <w:rFonts w:hint="eastAsia" w:ascii="宋体" w:hAnsi="宋体" w:eastAsia="宋体" w:cs="宋体"/>
                <w:i w:val="0"/>
                <w:iCs w:val="0"/>
                <w:color w:val="000000"/>
                <w:sz w:val="22"/>
                <w:szCs w:val="22"/>
                <w:u w:val="none"/>
              </w:rPr>
            </w:pPr>
          </w:p>
        </w:tc>
      </w:tr>
      <w:tr w14:paraId="0524F8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561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545DA5"/>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8F67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手动闸阀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1B886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φ75</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F51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7EA0A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395</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A0AA5">
            <w:pPr>
              <w:jc w:val="center"/>
              <w:rPr>
                <w:rFonts w:hint="eastAsia" w:ascii="宋体" w:hAnsi="宋体" w:eastAsia="宋体" w:cs="宋体"/>
                <w:i w:val="0"/>
                <w:iCs w:val="0"/>
                <w:color w:val="000000"/>
                <w:sz w:val="22"/>
                <w:szCs w:val="22"/>
                <w:u w:val="none"/>
              </w:rPr>
            </w:pPr>
          </w:p>
        </w:tc>
      </w:tr>
      <w:tr w14:paraId="12D594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19B6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01E131"/>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8F75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电动蝶阀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558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φ200</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EF9D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2866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6A619">
            <w:pPr>
              <w:jc w:val="center"/>
              <w:rPr>
                <w:rFonts w:hint="eastAsia" w:ascii="宋体" w:hAnsi="宋体" w:eastAsia="宋体" w:cs="宋体"/>
                <w:i w:val="0"/>
                <w:iCs w:val="0"/>
                <w:color w:val="000000"/>
                <w:sz w:val="22"/>
                <w:szCs w:val="22"/>
                <w:u w:val="none"/>
              </w:rPr>
            </w:pPr>
          </w:p>
        </w:tc>
      </w:tr>
      <w:tr w14:paraId="0248BB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FF40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208E21"/>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D28A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鞍座</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AECB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PE200×63（2'')，承压1.25Mpa</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0144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41E1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7480E">
            <w:pPr>
              <w:jc w:val="center"/>
              <w:rPr>
                <w:rFonts w:hint="eastAsia" w:ascii="宋体" w:hAnsi="宋体" w:eastAsia="宋体" w:cs="宋体"/>
                <w:i w:val="0"/>
                <w:iCs w:val="0"/>
                <w:color w:val="000000"/>
                <w:sz w:val="22"/>
                <w:szCs w:val="22"/>
                <w:u w:val="none"/>
              </w:rPr>
            </w:pPr>
          </w:p>
        </w:tc>
      </w:tr>
      <w:tr w14:paraId="0FA42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986F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F6DF5C"/>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8B014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鞍座</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BD4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75*32PE鞍座搭配1寸进气阀、排气阀</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3F47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CED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1444</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7E563C">
            <w:pPr>
              <w:jc w:val="center"/>
              <w:rPr>
                <w:rFonts w:hint="eastAsia" w:ascii="宋体" w:hAnsi="宋体" w:eastAsia="宋体" w:cs="宋体"/>
                <w:i w:val="0"/>
                <w:iCs w:val="0"/>
                <w:color w:val="000000"/>
                <w:sz w:val="22"/>
                <w:szCs w:val="22"/>
                <w:u w:val="none"/>
              </w:rPr>
            </w:pPr>
          </w:p>
        </w:tc>
      </w:tr>
      <w:tr w14:paraId="3B65C0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E2F69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3CF5B0"/>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FD7F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C型组合式空气阀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983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C50 型号2，外螺旋</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B4A2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69CF1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47A2A">
            <w:pPr>
              <w:jc w:val="center"/>
              <w:rPr>
                <w:rFonts w:hint="eastAsia" w:ascii="宋体" w:hAnsi="宋体" w:eastAsia="宋体" w:cs="宋体"/>
                <w:i w:val="0"/>
                <w:iCs w:val="0"/>
                <w:color w:val="000000"/>
                <w:sz w:val="22"/>
                <w:szCs w:val="22"/>
                <w:u w:val="none"/>
              </w:rPr>
            </w:pPr>
          </w:p>
        </w:tc>
      </w:tr>
      <w:tr w14:paraId="69FAC9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B8ED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BBFBBA"/>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B81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C型组合式空气阀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247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C75 型号2，外螺旋</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D03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F993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DE6117">
            <w:pPr>
              <w:jc w:val="center"/>
              <w:rPr>
                <w:rFonts w:hint="eastAsia" w:ascii="宋体" w:hAnsi="宋体" w:eastAsia="宋体" w:cs="宋体"/>
                <w:i w:val="0"/>
                <w:iCs w:val="0"/>
                <w:color w:val="000000"/>
                <w:sz w:val="22"/>
                <w:szCs w:val="22"/>
                <w:u w:val="none"/>
              </w:rPr>
            </w:pPr>
          </w:p>
        </w:tc>
      </w:tr>
      <w:tr w14:paraId="5C3352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50438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4D9BFD"/>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F445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电磁减压阀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CBF1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φ75，24v安全电压，耐化学腐蚀，耐高温，快速通断，稳定后端压力，与带压力补偿滴灌带配合使用，适用于坡度较大场地</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653D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3992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722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6EA7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农林园林灌溉专用阀，玉米/大豆分别控制 </w:t>
            </w:r>
          </w:p>
        </w:tc>
      </w:tr>
      <w:tr w14:paraId="68A61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1C3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D8D6AA"/>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288BF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电磁阀无线控制</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904A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FN-VWN2,2通道，太阳能（2W）+锂电池，LORA无线传输</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6182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7E5A9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356</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303CA2">
            <w:pPr>
              <w:jc w:val="center"/>
              <w:rPr>
                <w:rFonts w:hint="eastAsia" w:ascii="宋体" w:hAnsi="宋体" w:eastAsia="宋体" w:cs="宋体"/>
                <w:i w:val="0"/>
                <w:iCs w:val="0"/>
                <w:color w:val="000000"/>
                <w:sz w:val="22"/>
                <w:szCs w:val="22"/>
                <w:u w:val="none"/>
              </w:rPr>
            </w:pPr>
          </w:p>
        </w:tc>
      </w:tr>
      <w:tr w14:paraId="09E14B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C10A3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B71518"/>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4729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无线解码器模块</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AE7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FN-VWN128，每台可控制64个无线控制器</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7343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EFE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859CE4">
            <w:pPr>
              <w:jc w:val="center"/>
              <w:rPr>
                <w:rFonts w:hint="eastAsia" w:ascii="宋体" w:hAnsi="宋体" w:eastAsia="宋体" w:cs="宋体"/>
                <w:i w:val="0"/>
                <w:iCs w:val="0"/>
                <w:color w:val="000000"/>
                <w:sz w:val="22"/>
                <w:szCs w:val="22"/>
                <w:u w:val="none"/>
              </w:rPr>
            </w:pPr>
          </w:p>
        </w:tc>
      </w:tr>
      <w:tr w14:paraId="32991C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9620F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0FEDF0"/>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9F1F2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海底阀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ADA2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φ110 ，材质铸铁</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B59F7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1BD7D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291120">
            <w:pPr>
              <w:jc w:val="center"/>
              <w:rPr>
                <w:rFonts w:hint="eastAsia" w:ascii="宋体" w:hAnsi="宋体" w:eastAsia="宋体" w:cs="宋体"/>
                <w:i w:val="0"/>
                <w:iCs w:val="0"/>
                <w:color w:val="000000"/>
                <w:sz w:val="22"/>
                <w:szCs w:val="22"/>
                <w:u w:val="none"/>
              </w:rPr>
            </w:pPr>
          </w:p>
        </w:tc>
      </w:tr>
      <w:tr w14:paraId="30B48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F515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D8398F"/>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33FC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止回阀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E176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φ110 ，壳体材质铸钢，铜制阀芯</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72B33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4248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85657">
            <w:pPr>
              <w:jc w:val="center"/>
              <w:rPr>
                <w:rFonts w:hint="eastAsia" w:ascii="宋体" w:hAnsi="宋体" w:eastAsia="宋体" w:cs="宋体"/>
                <w:i w:val="0"/>
                <w:iCs w:val="0"/>
                <w:color w:val="000000"/>
                <w:sz w:val="22"/>
                <w:szCs w:val="22"/>
                <w:u w:val="none"/>
              </w:rPr>
            </w:pPr>
          </w:p>
        </w:tc>
      </w:tr>
      <w:tr w14:paraId="682D3C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2B0CF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D1EE70"/>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361E6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海底阀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D7141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φ200，材质铸铁</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B2B8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4773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3DCC39">
            <w:pPr>
              <w:jc w:val="center"/>
              <w:rPr>
                <w:rFonts w:hint="eastAsia" w:ascii="宋体" w:hAnsi="宋体" w:eastAsia="宋体" w:cs="宋体"/>
                <w:i w:val="0"/>
                <w:iCs w:val="0"/>
                <w:color w:val="000000"/>
                <w:sz w:val="22"/>
                <w:szCs w:val="22"/>
                <w:u w:val="none"/>
              </w:rPr>
            </w:pPr>
          </w:p>
        </w:tc>
      </w:tr>
      <w:tr w14:paraId="6474EB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726D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B10946"/>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AB21C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止回阀</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6851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φ200，壳体材质铸钢，铜制阀芯</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635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644F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 </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418A56">
            <w:pPr>
              <w:jc w:val="center"/>
              <w:rPr>
                <w:rFonts w:hint="eastAsia" w:ascii="宋体" w:hAnsi="宋体" w:eastAsia="宋体" w:cs="宋体"/>
                <w:i w:val="0"/>
                <w:iCs w:val="0"/>
                <w:color w:val="000000"/>
                <w:sz w:val="22"/>
                <w:szCs w:val="22"/>
                <w:u w:val="none"/>
              </w:rPr>
            </w:pPr>
          </w:p>
        </w:tc>
      </w:tr>
      <w:tr w14:paraId="7CCF87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8A2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1911CA"/>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1B01A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直通管</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7A6B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φ110-φ75，PE材质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08D5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64C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343</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730EC7">
            <w:pPr>
              <w:jc w:val="center"/>
              <w:rPr>
                <w:rFonts w:hint="eastAsia" w:ascii="宋体" w:hAnsi="宋体" w:eastAsia="宋体" w:cs="宋体"/>
                <w:i w:val="0"/>
                <w:iCs w:val="0"/>
                <w:color w:val="000000"/>
                <w:sz w:val="22"/>
                <w:szCs w:val="22"/>
                <w:u w:val="none"/>
              </w:rPr>
            </w:pPr>
          </w:p>
        </w:tc>
      </w:tr>
      <w:tr w14:paraId="0F067A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F92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530EA1"/>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0944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正三通管</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7D9E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φ110-φ110，PE材质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9665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ECF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318</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8127A">
            <w:pPr>
              <w:jc w:val="center"/>
              <w:rPr>
                <w:rFonts w:hint="eastAsia" w:ascii="宋体" w:hAnsi="宋体" w:eastAsia="宋体" w:cs="宋体"/>
                <w:i w:val="0"/>
                <w:iCs w:val="0"/>
                <w:color w:val="000000"/>
                <w:sz w:val="22"/>
                <w:szCs w:val="22"/>
                <w:u w:val="none"/>
              </w:rPr>
            </w:pPr>
          </w:p>
        </w:tc>
      </w:tr>
      <w:tr w14:paraId="288866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1717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93CE02"/>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AF045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弯头</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7760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φ110 90°弯头，PE材质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7E17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1ECC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64</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885D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玉米/大豆</w:t>
            </w:r>
          </w:p>
        </w:tc>
      </w:tr>
      <w:tr w14:paraId="4209D6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FAE8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DD1CB4"/>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744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三通管</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D68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φ75-φ50，PE材质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909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nil"/>
              <w:bottom w:val="single" w:color="000000" w:sz="4" w:space="0"/>
              <w:right w:val="nil"/>
            </w:tcBorders>
            <w:shd w:val="clear" w:color="auto" w:fill="auto"/>
            <w:noWrap/>
            <w:vAlign w:val="center"/>
          </w:tcPr>
          <w:p w14:paraId="23332A2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656</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933B28">
            <w:pPr>
              <w:jc w:val="center"/>
              <w:rPr>
                <w:rFonts w:hint="eastAsia" w:ascii="宋体" w:hAnsi="宋体" w:eastAsia="宋体" w:cs="宋体"/>
                <w:i w:val="0"/>
                <w:iCs w:val="0"/>
                <w:color w:val="000000"/>
                <w:sz w:val="22"/>
                <w:szCs w:val="22"/>
                <w:u w:val="none"/>
              </w:rPr>
            </w:pPr>
          </w:p>
        </w:tc>
      </w:tr>
      <w:tr w14:paraId="3DECE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3570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9BE712"/>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F118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直通管</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269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φ75-φ50，PE材质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07E04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nil"/>
              <w:bottom w:val="single" w:color="000000" w:sz="4" w:space="0"/>
              <w:right w:val="nil"/>
            </w:tcBorders>
            <w:shd w:val="clear" w:color="auto" w:fill="auto"/>
            <w:noWrap/>
            <w:vAlign w:val="center"/>
          </w:tcPr>
          <w:p w14:paraId="5883596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66</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598B24">
            <w:pPr>
              <w:jc w:val="center"/>
              <w:rPr>
                <w:rFonts w:hint="eastAsia" w:ascii="宋体" w:hAnsi="宋体" w:eastAsia="宋体" w:cs="宋体"/>
                <w:i w:val="0"/>
                <w:iCs w:val="0"/>
                <w:color w:val="000000"/>
                <w:sz w:val="22"/>
                <w:szCs w:val="22"/>
                <w:u w:val="none"/>
              </w:rPr>
            </w:pPr>
          </w:p>
        </w:tc>
      </w:tr>
      <w:tr w14:paraId="31055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E90C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EF223C"/>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22430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弯头</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4A9B6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 90°弯头，PE材质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1E6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nil"/>
              <w:bottom w:val="single" w:color="000000" w:sz="4" w:space="0"/>
              <w:right w:val="nil"/>
            </w:tcBorders>
            <w:shd w:val="clear" w:color="auto" w:fill="auto"/>
            <w:noWrap/>
            <w:vAlign w:val="center"/>
          </w:tcPr>
          <w:p w14:paraId="150963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66</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13AF89">
            <w:pPr>
              <w:jc w:val="center"/>
              <w:rPr>
                <w:rFonts w:hint="eastAsia" w:ascii="宋体" w:hAnsi="宋体" w:eastAsia="宋体" w:cs="宋体"/>
                <w:i w:val="0"/>
                <w:iCs w:val="0"/>
                <w:color w:val="000000"/>
                <w:sz w:val="22"/>
                <w:szCs w:val="22"/>
                <w:u w:val="none"/>
              </w:rPr>
            </w:pPr>
          </w:p>
        </w:tc>
      </w:tr>
      <w:tr w14:paraId="5CB0F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F766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431D55"/>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9292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三通管</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DBE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φ75-φ75，PE材质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DC4D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nil"/>
              <w:bottom w:val="single" w:color="000000" w:sz="4" w:space="0"/>
              <w:right w:val="nil"/>
            </w:tcBorders>
            <w:shd w:val="clear" w:color="auto" w:fill="auto"/>
            <w:noWrap/>
            <w:vAlign w:val="center"/>
          </w:tcPr>
          <w:p w14:paraId="1AEBFE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1064</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EC98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太阳能供电，安全性能好，故障低</w:t>
            </w:r>
          </w:p>
        </w:tc>
      </w:tr>
      <w:tr w14:paraId="063BA4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6E8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507" w:type="pct"/>
            <w:vMerge w:val="restart"/>
            <w:tcBorders>
              <w:top w:val="nil"/>
              <w:left w:val="single" w:color="000000" w:sz="4" w:space="0"/>
              <w:bottom w:val="single" w:color="000000" w:sz="4" w:space="0"/>
              <w:right w:val="single" w:color="000000" w:sz="4" w:space="0"/>
            </w:tcBorders>
            <w:shd w:val="clear" w:color="auto" w:fill="auto"/>
            <w:vAlign w:val="center"/>
          </w:tcPr>
          <w:p w14:paraId="1328F7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首部系统/提灌系统</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E076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卧式离心泵</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55CC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ISW80-200，Q=50m³/h,H=50m,P=15kw（380V）</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00EA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809D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1EEAD">
            <w:pPr>
              <w:jc w:val="center"/>
              <w:rPr>
                <w:rFonts w:hint="eastAsia" w:ascii="宋体" w:hAnsi="宋体" w:eastAsia="宋体" w:cs="宋体"/>
                <w:i w:val="0"/>
                <w:iCs w:val="0"/>
                <w:color w:val="000000"/>
                <w:sz w:val="22"/>
                <w:szCs w:val="22"/>
                <w:u w:val="none"/>
              </w:rPr>
            </w:pPr>
          </w:p>
        </w:tc>
      </w:tr>
      <w:tr w14:paraId="7BAE91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2FA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4DBE1131"/>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7EC2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卧式离心泵</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F91FA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ISW80-160，Q=50m³/h,H=32m,P=7.5kw（380V）</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447CC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5B5B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3DFD86">
            <w:pPr>
              <w:jc w:val="center"/>
              <w:rPr>
                <w:rFonts w:hint="eastAsia" w:ascii="宋体" w:hAnsi="宋体" w:eastAsia="宋体" w:cs="宋体"/>
                <w:i w:val="0"/>
                <w:iCs w:val="0"/>
                <w:color w:val="000000"/>
                <w:sz w:val="22"/>
                <w:szCs w:val="22"/>
                <w:u w:val="none"/>
              </w:rPr>
            </w:pPr>
          </w:p>
        </w:tc>
      </w:tr>
      <w:tr w14:paraId="74565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145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43086993"/>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8CD9D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E20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250QJ100-72,扬程72m，流量100m³，功率30kw</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26E03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9FB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C98CB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6E9F1A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A286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58F80587"/>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034B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225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200QJ63-60，流量63m³/h，扬程60m，功率18.5kw</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5494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219F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0F0DA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65103C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572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5B47D94F"/>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D08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D7B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200QJ63-36，流量63m³/h，扬程36m，功率11kw</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37689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60B59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DDE7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1D3D45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F808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170A0062"/>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34B9C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C72EB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200QJ63-24，流量63m³，扬程24m，功率7.5kw</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EACB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01523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F82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31064E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8A642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3629E973"/>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4DC8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2FB6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200QJ63-12，流量63m³，扬程12m，功率4kw</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C0E38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1A8F4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1325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60F69C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359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263B54CA"/>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B236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051C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200QJ63-72,扬程72m，流量63m³，功率30kw</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194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F0D2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1FAC0B">
            <w:pPr>
              <w:jc w:val="center"/>
              <w:rPr>
                <w:rFonts w:hint="eastAsia" w:ascii="宋体" w:hAnsi="宋体" w:eastAsia="宋体" w:cs="宋体"/>
                <w:i w:val="0"/>
                <w:iCs w:val="0"/>
                <w:color w:val="000000"/>
                <w:sz w:val="22"/>
                <w:szCs w:val="22"/>
                <w:u w:val="none"/>
              </w:rPr>
            </w:pPr>
          </w:p>
        </w:tc>
      </w:tr>
      <w:tr w14:paraId="507E6A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9138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534F20EA"/>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E876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30CE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200QJ63-72  控制柜TPK-Q30-1B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830D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6C78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FD7038">
            <w:pPr>
              <w:jc w:val="center"/>
              <w:rPr>
                <w:rFonts w:hint="eastAsia" w:ascii="宋体" w:hAnsi="宋体" w:eastAsia="宋体" w:cs="宋体"/>
                <w:i w:val="0"/>
                <w:iCs w:val="0"/>
                <w:color w:val="000000"/>
                <w:sz w:val="22"/>
                <w:szCs w:val="22"/>
                <w:u w:val="none"/>
              </w:rPr>
            </w:pPr>
          </w:p>
        </w:tc>
      </w:tr>
      <w:tr w14:paraId="3F996A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75F74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45</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006397C7"/>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19006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A4D32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200QJ63-12    控制柜TPK-Q4.0-1B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4CE0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F10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08DD8F">
            <w:pPr>
              <w:jc w:val="center"/>
              <w:rPr>
                <w:rFonts w:hint="eastAsia" w:ascii="宋体" w:hAnsi="宋体" w:eastAsia="宋体" w:cs="宋体"/>
                <w:i w:val="0"/>
                <w:iCs w:val="0"/>
                <w:color w:val="000000"/>
                <w:sz w:val="22"/>
                <w:szCs w:val="22"/>
                <w:u w:val="none"/>
              </w:rPr>
            </w:pPr>
          </w:p>
        </w:tc>
      </w:tr>
      <w:tr w14:paraId="0B61FE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08EF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46</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4E29ABFA"/>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C439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810C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200QT63-24     控制柜TPK-Q7.5-1B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CD1C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206C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B0509">
            <w:pPr>
              <w:jc w:val="center"/>
              <w:rPr>
                <w:rFonts w:hint="eastAsia" w:ascii="宋体" w:hAnsi="宋体" w:eastAsia="宋体" w:cs="宋体"/>
                <w:i w:val="0"/>
                <w:iCs w:val="0"/>
                <w:color w:val="000000"/>
                <w:sz w:val="22"/>
                <w:szCs w:val="22"/>
                <w:u w:val="none"/>
              </w:rPr>
            </w:pPr>
          </w:p>
        </w:tc>
      </w:tr>
      <w:tr w14:paraId="673247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8692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47</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13D0E23C"/>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8396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1784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200QT63-36   控制柜TPK-Q11-1B</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605E7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80480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561921">
            <w:pPr>
              <w:jc w:val="center"/>
              <w:rPr>
                <w:rFonts w:hint="eastAsia" w:ascii="宋体" w:hAnsi="宋体" w:eastAsia="宋体" w:cs="宋体"/>
                <w:i w:val="0"/>
                <w:iCs w:val="0"/>
                <w:color w:val="000000"/>
                <w:sz w:val="22"/>
                <w:szCs w:val="22"/>
                <w:u w:val="none"/>
              </w:rPr>
            </w:pPr>
          </w:p>
        </w:tc>
      </w:tr>
      <w:tr w14:paraId="6784FA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84A2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48</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1B0E6782"/>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0804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DB8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200QT63-60  控制柜TPK-Q18.5-1B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E29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5D674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9E233B">
            <w:pPr>
              <w:jc w:val="center"/>
              <w:rPr>
                <w:rFonts w:hint="eastAsia" w:ascii="宋体" w:hAnsi="宋体" w:eastAsia="宋体" w:cs="宋体"/>
                <w:i w:val="0"/>
                <w:iCs w:val="0"/>
                <w:color w:val="000000"/>
                <w:sz w:val="22"/>
                <w:szCs w:val="22"/>
                <w:u w:val="none"/>
              </w:rPr>
            </w:pPr>
          </w:p>
        </w:tc>
      </w:tr>
      <w:tr w14:paraId="45C28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1F68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49</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56074799"/>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96A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92AE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250QJ100-72   控制柜TPK-Q30-1B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F0C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98A3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2BA75F">
            <w:pPr>
              <w:jc w:val="center"/>
              <w:rPr>
                <w:rFonts w:hint="eastAsia" w:ascii="宋体" w:hAnsi="宋体" w:eastAsia="宋体" w:cs="宋体"/>
                <w:i w:val="0"/>
                <w:iCs w:val="0"/>
                <w:color w:val="000000"/>
                <w:sz w:val="22"/>
                <w:szCs w:val="22"/>
                <w:u w:val="none"/>
              </w:rPr>
            </w:pPr>
          </w:p>
        </w:tc>
      </w:tr>
      <w:tr w14:paraId="24C6AA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E3E9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51069DD1"/>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CC2C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变频控制柜</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BBF5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变频控制柜22Kw(1路主泵1路施肥机3路搅拌机）</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90D9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9FC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66DC53">
            <w:pPr>
              <w:jc w:val="center"/>
              <w:rPr>
                <w:rFonts w:hint="eastAsia" w:ascii="宋体" w:hAnsi="宋体" w:eastAsia="宋体" w:cs="宋体"/>
                <w:i w:val="0"/>
                <w:iCs w:val="0"/>
                <w:color w:val="000000"/>
                <w:sz w:val="22"/>
                <w:szCs w:val="22"/>
                <w:u w:val="none"/>
              </w:rPr>
            </w:pPr>
          </w:p>
        </w:tc>
      </w:tr>
      <w:tr w14:paraId="5A9524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AB12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51</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708AE952"/>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E86F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变频控制柜</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9A10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变频控制柜11Kw(1路主泵1路施肥机3路搅拌机）</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57E2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794BA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8F7CB">
            <w:pPr>
              <w:jc w:val="center"/>
              <w:rPr>
                <w:rFonts w:hint="eastAsia" w:ascii="宋体" w:hAnsi="宋体" w:eastAsia="宋体" w:cs="宋体"/>
                <w:i w:val="0"/>
                <w:iCs w:val="0"/>
                <w:color w:val="000000"/>
                <w:sz w:val="22"/>
                <w:szCs w:val="22"/>
                <w:u w:val="none"/>
              </w:rPr>
            </w:pPr>
          </w:p>
        </w:tc>
      </w:tr>
      <w:tr w14:paraId="40D141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97E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52</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73F3C41C"/>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65B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土壤墒情传感器</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4302D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TZSQ-40，太阳能供电，动态监测，实时上传数据</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7298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9821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ABB6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可测量土壤温度、含水率、电导率、PH值</w:t>
            </w:r>
          </w:p>
        </w:tc>
      </w:tr>
      <w:tr w14:paraId="79F78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0BEBC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53</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3015A128"/>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5DC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PLC控制系统</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95C91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S7-200 SMART(带扩展模块）</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76913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520FC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CCBA0D">
            <w:pPr>
              <w:jc w:val="center"/>
              <w:rPr>
                <w:rFonts w:hint="eastAsia" w:ascii="宋体" w:hAnsi="宋体" w:eastAsia="宋体" w:cs="宋体"/>
                <w:i w:val="0"/>
                <w:iCs w:val="0"/>
                <w:color w:val="000000"/>
                <w:sz w:val="22"/>
                <w:szCs w:val="22"/>
                <w:u w:val="none"/>
              </w:rPr>
            </w:pPr>
          </w:p>
        </w:tc>
      </w:tr>
      <w:tr w14:paraId="6EB042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3834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54</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0F2EAD4C"/>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0CDE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碟片过滤器</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9FC83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T303-4"法兰接口</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6627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DBA8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775CC9">
            <w:pPr>
              <w:jc w:val="center"/>
              <w:rPr>
                <w:rFonts w:hint="eastAsia" w:ascii="宋体" w:hAnsi="宋体" w:eastAsia="宋体" w:cs="宋体"/>
                <w:i w:val="0"/>
                <w:iCs w:val="0"/>
                <w:color w:val="000000"/>
                <w:sz w:val="22"/>
                <w:szCs w:val="22"/>
                <w:u w:val="none"/>
              </w:rPr>
            </w:pPr>
          </w:p>
        </w:tc>
      </w:tr>
      <w:tr w14:paraId="6802C4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5B1C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55</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2AAE2F4A"/>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8A87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砂石过滤器</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4696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3216-2A,罐体直径800mm2组（60m³/h-80m³/h）</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118F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796B7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AE1727">
            <w:pPr>
              <w:jc w:val="center"/>
              <w:rPr>
                <w:rFonts w:hint="eastAsia" w:ascii="宋体" w:hAnsi="宋体" w:eastAsia="宋体" w:cs="宋体"/>
                <w:i w:val="0"/>
                <w:iCs w:val="0"/>
                <w:color w:val="000000"/>
                <w:sz w:val="22"/>
                <w:szCs w:val="22"/>
                <w:u w:val="none"/>
              </w:rPr>
            </w:pPr>
          </w:p>
        </w:tc>
      </w:tr>
      <w:tr w14:paraId="590DD8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F59FD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56</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31FF1576"/>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328E4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农用流量表</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A10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XBO-E100L/T/1/F/1/1配套施肥机485传输</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9867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2B01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9A3FBF">
            <w:pPr>
              <w:jc w:val="center"/>
              <w:rPr>
                <w:rFonts w:hint="eastAsia" w:ascii="宋体" w:hAnsi="宋体" w:eastAsia="宋体" w:cs="宋体"/>
                <w:i w:val="0"/>
                <w:iCs w:val="0"/>
                <w:color w:val="000000"/>
                <w:sz w:val="22"/>
                <w:szCs w:val="22"/>
                <w:u w:val="none"/>
              </w:rPr>
            </w:pPr>
          </w:p>
        </w:tc>
      </w:tr>
      <w:tr w14:paraId="06C13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DC83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57</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31FFB205"/>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23FF8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肥料搅拌桶</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5444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矮款1000L锥底(含底座、搅拌机和杆)</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A7BE3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FCE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889FE3">
            <w:pPr>
              <w:jc w:val="center"/>
              <w:rPr>
                <w:rFonts w:hint="eastAsia" w:ascii="宋体" w:hAnsi="宋体" w:eastAsia="宋体" w:cs="宋体"/>
                <w:i w:val="0"/>
                <w:iCs w:val="0"/>
                <w:color w:val="000000"/>
                <w:sz w:val="22"/>
                <w:szCs w:val="22"/>
                <w:u w:val="none"/>
              </w:rPr>
            </w:pPr>
          </w:p>
        </w:tc>
      </w:tr>
      <w:tr w14:paraId="6736A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727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58</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4A2BB55D"/>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DECB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3通道施肥一体机</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DCB6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3条吸肥通道，吸肥量可达1.2m³/h,自带阀控功能,10寸电容触摸屏，</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每个通道可设置不同吸肥比例，流量自动采集，自带物联网卡实现远传控制</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DFD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82D3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E00B14">
            <w:pPr>
              <w:jc w:val="center"/>
              <w:rPr>
                <w:rFonts w:hint="eastAsia" w:ascii="宋体" w:hAnsi="宋体" w:eastAsia="宋体" w:cs="宋体"/>
                <w:i w:val="0"/>
                <w:iCs w:val="0"/>
                <w:color w:val="000000"/>
                <w:sz w:val="22"/>
                <w:szCs w:val="22"/>
                <w:u w:val="none"/>
              </w:rPr>
            </w:pPr>
          </w:p>
        </w:tc>
      </w:tr>
      <w:tr w14:paraId="0BACB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5276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59</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23393997"/>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1DB9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管件阀门等</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A8F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管道φ32-φ110，及其管件、阀门 </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D1F7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7899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B7C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首部系统内，连接各设备的管道阀门</w:t>
            </w:r>
          </w:p>
        </w:tc>
      </w:tr>
      <w:tr w14:paraId="53B5AC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B95F4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60</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619D8422"/>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3B24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系统调试运行</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AA1F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对首部系统及减压阀进行流量，压力联动调试</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2CF7A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项</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ECC9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3EDF1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保证水肥一体化流量均匀</w:t>
            </w:r>
          </w:p>
        </w:tc>
      </w:tr>
      <w:tr w14:paraId="114EEB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1E627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61</w:t>
            </w:r>
          </w:p>
        </w:tc>
        <w:tc>
          <w:tcPr>
            <w:tcW w:w="507" w:type="pct"/>
            <w:vMerge w:val="continue"/>
            <w:tcBorders>
              <w:top w:val="nil"/>
              <w:left w:val="single" w:color="000000" w:sz="4" w:space="0"/>
              <w:bottom w:val="single" w:color="000000" w:sz="4" w:space="0"/>
              <w:right w:val="single" w:color="000000" w:sz="4" w:space="0"/>
            </w:tcBorders>
            <w:shd w:val="clear" w:color="auto" w:fill="auto"/>
            <w:vAlign w:val="center"/>
          </w:tcPr>
          <w:p w14:paraId="7A6CDA6B"/>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99E2B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系统调试运行</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CD0D7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对提灌系统压力联动调试</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608A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项</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40E4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54F3B3">
            <w:pPr>
              <w:jc w:val="center"/>
              <w:rPr>
                <w:rFonts w:hint="eastAsia" w:ascii="宋体" w:hAnsi="宋体" w:eastAsia="宋体" w:cs="宋体"/>
                <w:i w:val="0"/>
                <w:iCs w:val="0"/>
                <w:color w:val="000000"/>
                <w:sz w:val="22"/>
                <w:szCs w:val="22"/>
                <w:u w:val="none"/>
              </w:rPr>
            </w:pPr>
          </w:p>
        </w:tc>
      </w:tr>
      <w:tr w14:paraId="07C07D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1066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62</w:t>
            </w:r>
          </w:p>
        </w:tc>
        <w:tc>
          <w:tcPr>
            <w:tcW w:w="5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1A85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电力工程</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C7B7F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58F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100kvA增容到250kvA</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86EE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4EF82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C45F96">
            <w:pPr>
              <w:jc w:val="center"/>
              <w:rPr>
                <w:rFonts w:hint="eastAsia" w:ascii="宋体" w:hAnsi="宋体" w:eastAsia="宋体" w:cs="宋体"/>
                <w:i w:val="0"/>
                <w:iCs w:val="0"/>
                <w:color w:val="000000"/>
                <w:sz w:val="22"/>
                <w:szCs w:val="22"/>
                <w:u w:val="none"/>
              </w:rPr>
            </w:pPr>
          </w:p>
        </w:tc>
      </w:tr>
      <w:tr w14:paraId="3D068B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32685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63</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1F0775"/>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377D9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626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100kvA增容到200kvA</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6EC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3CD84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F66811">
            <w:pPr>
              <w:jc w:val="center"/>
              <w:rPr>
                <w:rFonts w:hint="eastAsia" w:ascii="宋体" w:hAnsi="宋体" w:eastAsia="宋体" w:cs="宋体"/>
                <w:i w:val="0"/>
                <w:iCs w:val="0"/>
                <w:color w:val="000000"/>
                <w:sz w:val="22"/>
                <w:szCs w:val="22"/>
                <w:u w:val="none"/>
              </w:rPr>
            </w:pPr>
          </w:p>
        </w:tc>
      </w:tr>
      <w:tr w14:paraId="73F864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C7D67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64</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B9CC69"/>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4113B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D388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100kvA增容到160kvA</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21F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DEBD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9CB04">
            <w:pPr>
              <w:jc w:val="center"/>
              <w:rPr>
                <w:rFonts w:hint="eastAsia" w:ascii="宋体" w:hAnsi="宋体" w:eastAsia="宋体" w:cs="宋体"/>
                <w:i w:val="0"/>
                <w:iCs w:val="0"/>
                <w:color w:val="000000"/>
                <w:sz w:val="22"/>
                <w:szCs w:val="22"/>
                <w:u w:val="none"/>
              </w:rPr>
            </w:pPr>
          </w:p>
        </w:tc>
      </w:tr>
      <w:tr w14:paraId="3E79BA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7B74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65</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3E1E3E"/>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E93EB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539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80kvA增容到100kvA</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7CD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181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F9199">
            <w:pPr>
              <w:jc w:val="center"/>
              <w:rPr>
                <w:rFonts w:hint="eastAsia" w:ascii="宋体" w:hAnsi="宋体" w:eastAsia="宋体" w:cs="宋体"/>
                <w:i w:val="0"/>
                <w:iCs w:val="0"/>
                <w:color w:val="000000"/>
                <w:sz w:val="22"/>
                <w:szCs w:val="22"/>
                <w:u w:val="none"/>
              </w:rPr>
            </w:pPr>
          </w:p>
        </w:tc>
      </w:tr>
      <w:tr w14:paraId="67A2F5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318D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66</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C021B6"/>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7D31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1283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50kvA增容到100kvA</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FBE2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BD1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08418">
            <w:pPr>
              <w:jc w:val="center"/>
              <w:rPr>
                <w:rFonts w:hint="eastAsia" w:ascii="宋体" w:hAnsi="宋体" w:eastAsia="宋体" w:cs="宋体"/>
                <w:i w:val="0"/>
                <w:iCs w:val="0"/>
                <w:color w:val="000000"/>
                <w:sz w:val="22"/>
                <w:szCs w:val="22"/>
                <w:u w:val="none"/>
              </w:rPr>
            </w:pPr>
          </w:p>
        </w:tc>
      </w:tr>
      <w:tr w14:paraId="16BA9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8BC6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67</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827C44"/>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24427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D20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10kvA增容到50kvA</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7645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A12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63143">
            <w:pPr>
              <w:jc w:val="center"/>
              <w:rPr>
                <w:rFonts w:hint="eastAsia" w:ascii="宋体" w:hAnsi="宋体" w:eastAsia="宋体" w:cs="宋体"/>
                <w:i w:val="0"/>
                <w:iCs w:val="0"/>
                <w:color w:val="000000"/>
                <w:sz w:val="22"/>
                <w:szCs w:val="22"/>
                <w:u w:val="none"/>
              </w:rPr>
            </w:pPr>
          </w:p>
        </w:tc>
      </w:tr>
      <w:tr w14:paraId="5C7A17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C807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68</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4F232F"/>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E58E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92A8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100kvA增容到125kvA</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565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9BBD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70075">
            <w:pPr>
              <w:jc w:val="center"/>
              <w:rPr>
                <w:rFonts w:hint="eastAsia" w:ascii="宋体" w:hAnsi="宋体" w:eastAsia="宋体" w:cs="宋体"/>
                <w:i w:val="0"/>
                <w:iCs w:val="0"/>
                <w:color w:val="000000"/>
                <w:sz w:val="22"/>
                <w:szCs w:val="22"/>
                <w:u w:val="none"/>
              </w:rPr>
            </w:pPr>
          </w:p>
        </w:tc>
      </w:tr>
      <w:tr w14:paraId="2F519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1575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69</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E95C14"/>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0A87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取水口电线</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33E42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YJV4*16（含保护套管）</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5416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309B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647.68</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65297">
            <w:pPr>
              <w:jc w:val="center"/>
              <w:rPr>
                <w:rFonts w:hint="eastAsia" w:ascii="宋体" w:hAnsi="宋体" w:eastAsia="宋体" w:cs="宋体"/>
                <w:i w:val="0"/>
                <w:iCs w:val="0"/>
                <w:color w:val="000000"/>
                <w:sz w:val="22"/>
                <w:szCs w:val="22"/>
                <w:u w:val="none"/>
              </w:rPr>
            </w:pPr>
          </w:p>
        </w:tc>
      </w:tr>
      <w:tr w14:paraId="1F55E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D883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70</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D11496"/>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459F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电线架设</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A59A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JKLYJ-50,带绝缘（含电杆）</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173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8319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5681.12</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C78A9">
            <w:pPr>
              <w:jc w:val="center"/>
              <w:rPr>
                <w:rFonts w:hint="eastAsia" w:ascii="宋体" w:hAnsi="宋体" w:eastAsia="宋体" w:cs="宋体"/>
                <w:i w:val="0"/>
                <w:iCs w:val="0"/>
                <w:color w:val="000000"/>
                <w:sz w:val="22"/>
                <w:szCs w:val="22"/>
                <w:u w:val="none"/>
              </w:rPr>
            </w:pPr>
          </w:p>
        </w:tc>
      </w:tr>
      <w:tr w14:paraId="01DCA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1C55C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71</w:t>
            </w:r>
          </w:p>
        </w:tc>
        <w:tc>
          <w:tcPr>
            <w:tcW w:w="5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971BF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土建工程</w:t>
            </w:r>
          </w:p>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A3030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泵房</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8A87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50㎡/座，砖混</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C795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座</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6E2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04BF3">
            <w:pPr>
              <w:jc w:val="center"/>
              <w:rPr>
                <w:rFonts w:hint="eastAsia" w:ascii="宋体" w:hAnsi="宋体" w:eastAsia="宋体" w:cs="宋体"/>
                <w:i w:val="0"/>
                <w:iCs w:val="0"/>
                <w:color w:val="000000"/>
                <w:sz w:val="22"/>
                <w:szCs w:val="22"/>
                <w:u w:val="none"/>
              </w:rPr>
            </w:pPr>
          </w:p>
        </w:tc>
      </w:tr>
      <w:tr w14:paraId="79710C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76F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72</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DB1046"/>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C57E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泵房</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E04D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70㎡/座，钢结构</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AD90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座</w:t>
            </w:r>
          </w:p>
        </w:tc>
        <w:tc>
          <w:tcPr>
            <w:tcW w:w="4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C034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E1051">
            <w:pPr>
              <w:jc w:val="center"/>
              <w:rPr>
                <w:rFonts w:hint="eastAsia" w:ascii="宋体" w:hAnsi="宋体" w:eastAsia="宋体" w:cs="宋体"/>
                <w:i w:val="0"/>
                <w:iCs w:val="0"/>
                <w:color w:val="000000"/>
                <w:sz w:val="22"/>
                <w:szCs w:val="22"/>
                <w:u w:val="none"/>
              </w:rPr>
            </w:pPr>
          </w:p>
        </w:tc>
      </w:tr>
      <w:tr w14:paraId="65560E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374D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73</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3BB6A3"/>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657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取水口围堰</w:t>
            </w:r>
          </w:p>
        </w:tc>
        <w:tc>
          <w:tcPr>
            <w:tcW w:w="24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7BC4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3m*3m*3m，含铁丝网及钢管装</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AFAF4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座</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0362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7EA2D">
            <w:pPr>
              <w:jc w:val="center"/>
              <w:rPr>
                <w:rFonts w:hint="eastAsia" w:ascii="宋体" w:hAnsi="宋体" w:eastAsia="宋体" w:cs="宋体"/>
                <w:i w:val="0"/>
                <w:iCs w:val="0"/>
                <w:color w:val="000000"/>
                <w:sz w:val="22"/>
                <w:szCs w:val="22"/>
                <w:u w:val="none"/>
              </w:rPr>
            </w:pPr>
          </w:p>
        </w:tc>
      </w:tr>
      <w:tr w14:paraId="42F831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EAA18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74</w:t>
            </w:r>
          </w:p>
        </w:tc>
        <w:tc>
          <w:tcPr>
            <w:tcW w:w="5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66419B"/>
        </w:tc>
        <w:tc>
          <w:tcPr>
            <w:tcW w:w="5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A25B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过滤沉砂池</w:t>
            </w:r>
          </w:p>
        </w:tc>
        <w:tc>
          <w:tcPr>
            <w:tcW w:w="24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AF891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40m³/座</w:t>
            </w:r>
          </w:p>
        </w:tc>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72C11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座</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FCD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7CB81">
            <w:pPr>
              <w:jc w:val="center"/>
              <w:rPr>
                <w:rFonts w:hint="eastAsia" w:ascii="宋体" w:hAnsi="宋体" w:eastAsia="宋体" w:cs="宋体"/>
                <w:i w:val="0"/>
                <w:iCs w:val="0"/>
                <w:color w:val="000000"/>
                <w:sz w:val="22"/>
                <w:szCs w:val="22"/>
                <w:u w:val="none"/>
              </w:rPr>
            </w:pPr>
          </w:p>
        </w:tc>
      </w:tr>
      <w:tr w14:paraId="1601FC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647B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75</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E31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材料转运</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495B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二次转运</w:t>
            </w:r>
          </w:p>
        </w:tc>
        <w:tc>
          <w:tcPr>
            <w:tcW w:w="24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6CE0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材料设备转运</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D99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项</w:t>
            </w:r>
          </w:p>
        </w:tc>
        <w:tc>
          <w:tcPr>
            <w:tcW w:w="4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AA6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3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B444F">
            <w:pPr>
              <w:jc w:val="center"/>
              <w:rPr>
                <w:rFonts w:hint="eastAsia" w:ascii="宋体" w:hAnsi="宋体" w:eastAsia="宋体" w:cs="宋体"/>
                <w:i w:val="0"/>
                <w:iCs w:val="0"/>
                <w:color w:val="000000"/>
                <w:sz w:val="22"/>
                <w:szCs w:val="22"/>
                <w:u w:val="none"/>
              </w:rPr>
            </w:pPr>
          </w:p>
        </w:tc>
      </w:tr>
    </w:tbl>
    <w:p w14:paraId="65D83E43">
      <w:pPr>
        <w:rPr>
          <w:rFonts w:hint="eastAsia"/>
          <w:lang w:val="en-US" w:eastAsia="zh-CN"/>
        </w:rPr>
        <w:sectPr>
          <w:pgSz w:w="16838" w:h="11906" w:orient="landscape"/>
          <w:pgMar w:top="1800" w:right="1440" w:bottom="1800" w:left="1440" w:header="851" w:footer="992" w:gutter="0"/>
          <w:cols w:space="425" w:num="1"/>
          <w:docGrid w:type="lines" w:linePitch="312" w:charSpace="0"/>
        </w:sectPr>
      </w:pPr>
    </w:p>
    <w:p w14:paraId="16639739">
      <w:pPr>
        <w:pStyle w:val="4"/>
        <w:bidi w:val="0"/>
        <w:ind w:left="560"/>
        <w:rPr>
          <w:lang w:val="en-US" w:eastAsia="zh-CN"/>
        </w:rPr>
      </w:pPr>
      <w:bookmarkStart w:id="72" w:name="_Toc18866"/>
      <w:r>
        <w:rPr>
          <w:rFonts w:hint="eastAsia"/>
          <w:lang w:val="en-US" w:eastAsia="zh-CN"/>
        </w:rPr>
        <w:t>石洞镇（核心区）</w:t>
      </w:r>
      <w:bookmarkEnd w:id="72"/>
    </w:p>
    <w:p w14:paraId="2DF73B71">
      <w:pPr>
        <w:ind w:firstLine="560" w:firstLineChars="200"/>
        <w:rPr>
          <w:rFonts w:hint="eastAsia"/>
          <w:lang w:val="en-US" w:eastAsia="zh-CN"/>
        </w:rPr>
      </w:pPr>
      <w:r>
        <w:rPr>
          <w:rFonts w:hint="eastAsia"/>
          <w:lang w:val="en-US" w:eastAsia="zh-CN"/>
        </w:rPr>
        <w:t>石洞镇项目区建设面积1822亩，其中双祠堂村1050亩，谭家坝村772亩。共建设水肥一体化控制单元11套，含10座砖混结构泵房、1座钢结构泵房及11套首部系统，11座沉砂池，1处集中供水工程，每套单元控制面积在150-200亩。建设田间管网共计69691.7米，其中de200管道538.00米，de160管道1681.04米，de110管道12902.99米，de90管道10340.23米，φ50管道44229.44米。具体建设内容见工程量清单附表1.2-附表1.13。</w:t>
      </w:r>
    </w:p>
    <w:p w14:paraId="7164AFF3">
      <w:pPr>
        <w:pStyle w:val="5"/>
        <w:bidi w:val="0"/>
        <w:rPr>
          <w:lang w:val="en-US" w:eastAsia="zh-CN"/>
        </w:rPr>
      </w:pPr>
      <w:bookmarkStart w:id="73" w:name="_Toc26372"/>
      <w:r>
        <w:rPr>
          <w:rFonts w:hint="eastAsia"/>
          <w:lang w:val="en-US" w:eastAsia="zh-CN"/>
        </w:rPr>
        <w:t>双祠堂村</w:t>
      </w:r>
      <w:bookmarkEnd w:id="73"/>
    </w:p>
    <w:p w14:paraId="7E60AC88">
      <w:pPr>
        <w:rPr>
          <w:lang w:val="en-US" w:eastAsia="zh-CN"/>
        </w:rPr>
      </w:pPr>
      <w:r>
        <w:rPr>
          <w:rFonts w:hint="eastAsia"/>
          <w:lang w:val="en-US" w:eastAsia="zh-CN"/>
        </w:rPr>
        <w:t>双祠堂村建设6座泵站（1-6号），1号泵站覆盖面积200亩，2号泵站覆盖160亩，3号泵站覆盖170亩，4号泵站覆盖180亩，5号泵站覆盖170亩，6号泵站覆盖160亩，共计1050亩。双祠堂村建设de110管网6188.09m，de90管网5830.58m，</w:t>
      </w:r>
      <w:r>
        <w:rPr>
          <w:rFonts w:hint="eastAsia" w:ascii="宋体" w:hAnsi="宋体" w:eastAsia="宋体" w:cs="宋体"/>
          <w:lang w:val="en-US" w:eastAsia="zh-CN"/>
        </w:rPr>
        <w:t>Ф</w:t>
      </w:r>
      <w:r>
        <w:rPr>
          <w:rFonts w:hint="eastAsia"/>
          <w:lang w:val="en-US" w:eastAsia="zh-CN"/>
        </w:rPr>
        <w:t>50输水带24449.46m，6套首部系统，5座50㎡砖混泵房，1座70㎡钢结构泵房，6座40m³沉砂池，5处取水口。</w:t>
      </w:r>
    </w:p>
    <w:p w14:paraId="5894EEE2">
      <w:pPr>
        <w:pStyle w:val="6"/>
        <w:bidi w:val="0"/>
        <w:rPr>
          <w:rFonts w:hint="eastAsia"/>
          <w:lang w:val="en-US" w:eastAsia="zh-CN"/>
        </w:rPr>
      </w:pPr>
      <w:r>
        <w:rPr>
          <w:rFonts w:hint="eastAsia"/>
          <w:lang w:val="en-US" w:eastAsia="zh-CN"/>
        </w:rPr>
        <w:t>1号泵站建设详情</w:t>
      </w:r>
    </w:p>
    <w:p w14:paraId="4953A01C">
      <w:pPr>
        <w:pStyle w:val="23"/>
        <w:rPr>
          <w:rFonts w:hint="eastAsia"/>
          <w:lang w:val="en-US" w:eastAsia="zh-CN"/>
        </w:rPr>
      </w:pPr>
      <w:r>
        <w:rPr>
          <w:rFonts w:hint="eastAsia"/>
          <w:lang w:val="en-US" w:eastAsia="zh-CN"/>
        </w:rPr>
        <w:t>1号泵站覆盖面积200亩，新建1座钢结构泵房70㎡，1座40m³过滤沉沙池，河边取水口1处，水肥一体化首部系统1套及配套田间管网工程。</w:t>
      </w:r>
    </w:p>
    <w:p w14:paraId="0501FF06">
      <w:pPr>
        <w:pStyle w:val="23"/>
        <w:numPr>
          <w:ilvl w:val="0"/>
          <w:numId w:val="4"/>
        </w:numPr>
        <w:ind w:firstLineChars="0"/>
        <w:rPr>
          <w:rFonts w:hint="eastAsia"/>
          <w:lang w:val="en-US" w:eastAsia="zh-CN"/>
        </w:rPr>
      </w:pPr>
      <w:r>
        <w:rPr>
          <w:rFonts w:hint="eastAsia"/>
          <w:lang w:val="en-US" w:eastAsia="zh-CN"/>
        </w:rPr>
        <w:t>泵房设计：1号站为双祠堂村6个站中地理位置最优，基础设施最完善的，已建de110管道1100余米，已建河边提灌站1处，由于1号站周围地势较为平坦，无法满足1级提灌要求，所以采用二级提灌方式。1号泵站选在河边靠近已建提灌站的位置，但是因洪水期涨水限制，所以将1号站设计为下方镂空的钢结构形式，建筑面积为70㎡；</w:t>
      </w:r>
    </w:p>
    <w:p w14:paraId="2C799785">
      <w:pPr>
        <w:pStyle w:val="23"/>
        <w:numPr>
          <w:ilvl w:val="0"/>
          <w:numId w:val="4"/>
        </w:numPr>
        <w:ind w:firstLineChars="0"/>
        <w:rPr>
          <w:lang w:val="en-US" w:eastAsia="zh-CN"/>
        </w:rPr>
      </w:pPr>
      <w:r>
        <w:rPr>
          <w:rFonts w:hint="eastAsia"/>
          <w:lang w:val="en-US" w:eastAsia="zh-CN"/>
        </w:rPr>
        <w:t>管道设计：充分利用已建de110（承压1.25Mpa）管道作为站内供水施肥主管，由de90（承压1.25Mpa）管道作为支管延伸到田间，再连接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1077451C">
      <w:pPr>
        <w:pStyle w:val="23"/>
        <w:numPr>
          <w:ilvl w:val="0"/>
          <w:numId w:val="4"/>
        </w:numPr>
        <w:ind w:firstLineChars="0"/>
        <w:rPr>
          <w:lang w:val="en-US" w:eastAsia="zh-CN"/>
        </w:rPr>
      </w:pPr>
      <w:r>
        <w:rPr>
          <w:rFonts w:hint="eastAsia"/>
          <w:lang w:val="en-US" w:eastAsia="zh-CN"/>
        </w:rPr>
        <w:t>泵的选型：提升泵使用已建提灌站的提升泵，流量100m³/h，扬程50米。1号站de110主管水头损失最不利情况为A1--B1--D1端，如下图所示</w:t>
      </w:r>
    </w:p>
    <w:p w14:paraId="582AFD36">
      <w:pPr>
        <w:pStyle w:val="23"/>
        <w:jc w:val="center"/>
        <w:rPr>
          <w:lang w:val="en-US" w:eastAsia="zh-CN"/>
        </w:rPr>
      </w:pPr>
      <w:r>
        <w:rPr>
          <w:lang w:val="en-US" w:eastAsia="zh-CN"/>
        </w:rPr>
        <w:drawing>
          <wp:inline distT="0" distB="0" distL="114300" distR="114300">
            <wp:extent cx="4613910" cy="2322830"/>
            <wp:effectExtent l="0" t="0" r="25" b="4"/>
            <wp:docPr id="28" name="图片 3" descr="924d7287eda023da4797ba6c62d99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descr="924d7287eda023da4797ba6c62d99a9"/>
                    <pic:cNvPicPr>
                      <a:picLocks noChangeAspect="1"/>
                    </pic:cNvPicPr>
                  </pic:nvPicPr>
                  <pic:blipFill>
                    <a:blip r:embed="rId17"/>
                    <a:stretch>
                      <a:fillRect/>
                    </a:stretch>
                  </pic:blipFill>
                  <pic:spPr>
                    <a:xfrm>
                      <a:off x="0" y="0"/>
                      <a:ext cx="4613910" cy="2322830"/>
                    </a:xfrm>
                    <a:prstGeom prst="rect">
                      <a:avLst/>
                    </a:prstGeom>
                    <a:noFill/>
                    <a:ln w="9525" cap="flat" cmpd="sng">
                      <a:noFill/>
                      <a:prstDash val="solid"/>
                      <a:miter/>
                    </a:ln>
                  </pic:spPr>
                </pic:pic>
              </a:graphicData>
            </a:graphic>
          </wp:inline>
        </w:drawing>
      </w:r>
    </w:p>
    <w:p w14:paraId="6F681D05">
      <w:pPr>
        <w:pStyle w:val="23"/>
        <w:jc w:val="center"/>
        <w:rPr>
          <w:lang w:val="en-US" w:eastAsia="zh-CN"/>
        </w:rPr>
      </w:pPr>
      <w:r>
        <w:rPr>
          <w:rFonts w:hint="eastAsia"/>
        </w:rPr>
        <w:t>图</w:t>
      </w:r>
      <w:r>
        <w:rPr>
          <w:rFonts w:hint="eastAsia"/>
          <w:lang w:val="en-US" w:eastAsia="zh-CN"/>
        </w:rPr>
        <w:t>3-1  1号泵站管道平面图</w:t>
      </w:r>
    </w:p>
    <w:p w14:paraId="0B96691D">
      <w:pPr>
        <w:pStyle w:val="23"/>
        <w:ind w:left="0" w:firstLine="560" w:firstLineChars="200"/>
        <w:rPr>
          <w:lang w:val="en-US" w:eastAsia="zh-CN"/>
        </w:rPr>
      </w:pPr>
      <w:r>
        <w:rPr>
          <w:rFonts w:hint="eastAsia"/>
          <w:lang w:val="en-US" w:eastAsia="zh-CN"/>
        </w:rPr>
        <w:t>1号站de110主管沿程水头损失计算结果如下表所示：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30434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5BAA5">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751FB">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8BED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EB03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700C3A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CE4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7DFE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48A7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212.531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4824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4607AE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374A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14A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F193F">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462D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01AEB0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0F39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DCB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3DC71">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A30A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0076C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09B2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3D6E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9B6D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E8BD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2110D6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1E0D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847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BBD4B">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C6C1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50FB02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26D1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EB61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5223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770.100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A00C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3554719A">
      <w:pPr>
        <w:pStyle w:val="23"/>
        <w:ind w:left="0" w:firstLine="560" w:firstLineChars="200"/>
        <w:rPr>
          <w:lang w:val="en-US" w:eastAsia="zh-CN"/>
        </w:rPr>
      </w:pPr>
      <w:r>
        <w:rPr>
          <w:rFonts w:hint="eastAsia"/>
          <w:lang w:val="en-US" w:eastAsia="zh-CN"/>
        </w:rPr>
        <w:t>因此，主管沿程水头损失为21.2m，局部水头损失为2.12m，1号站高差为+7.5m，因此加压泵的扬程应大于30.82m，选用卧式离心泵ISW80-200，扬程50m，流量50m³，功率15kw。</w:t>
      </w:r>
    </w:p>
    <w:p w14:paraId="38276816">
      <w:pPr>
        <w:pStyle w:val="23"/>
        <w:numPr>
          <w:ilvl w:val="0"/>
          <w:numId w:val="4"/>
        </w:numPr>
        <w:ind w:left="0" w:firstLine="560" w:firstLineChars="200"/>
        <w:rPr>
          <w:rFonts w:hint="eastAsia"/>
          <w:lang w:val="en-US" w:eastAsia="zh-CN"/>
        </w:rPr>
      </w:pPr>
      <w:r>
        <w:rPr>
          <w:rFonts w:hint="eastAsia"/>
          <w:lang w:val="en-US" w:eastAsia="zh-CN"/>
        </w:rPr>
        <w:t>灌溉分区：根据玉米/大豆需水量及考虑管道内经济流速，按6-9亩分区，1号站一共分27个灌溉区。如下图所示：</w:t>
      </w:r>
    </w:p>
    <w:p w14:paraId="7DB8B20D">
      <w:pPr>
        <w:pStyle w:val="23"/>
        <w:jc w:val="both"/>
        <w:rPr>
          <w:lang w:val="en-US" w:eastAsia="zh-CN"/>
        </w:rPr>
      </w:pPr>
      <w:r>
        <w:rPr>
          <w:lang w:val="en-US" w:eastAsia="zh-CN"/>
        </w:rPr>
        <w:drawing>
          <wp:inline distT="0" distB="0" distL="114300" distR="114300">
            <wp:extent cx="5269230" cy="2792730"/>
            <wp:effectExtent l="0" t="0" r="15" b="43"/>
            <wp:docPr id="31" name="图片 8" descr="f73e8b71b9c767a3cd995d33ccc07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descr="f73e8b71b9c767a3cd995d33ccc076a"/>
                    <pic:cNvPicPr>
                      <a:picLocks noChangeAspect="1"/>
                    </pic:cNvPicPr>
                  </pic:nvPicPr>
                  <pic:blipFill>
                    <a:blip r:embed="rId18"/>
                    <a:stretch>
                      <a:fillRect/>
                    </a:stretch>
                  </pic:blipFill>
                  <pic:spPr>
                    <a:xfrm>
                      <a:off x="0" y="0"/>
                      <a:ext cx="5269230" cy="2792730"/>
                    </a:xfrm>
                    <a:prstGeom prst="rect">
                      <a:avLst/>
                    </a:prstGeom>
                    <a:noFill/>
                    <a:ln w="9525" cap="flat" cmpd="sng">
                      <a:noFill/>
                      <a:prstDash val="solid"/>
                      <a:miter/>
                    </a:ln>
                  </pic:spPr>
                </pic:pic>
              </a:graphicData>
            </a:graphic>
          </wp:inline>
        </w:drawing>
      </w:r>
    </w:p>
    <w:p w14:paraId="638E07B3">
      <w:pPr>
        <w:pStyle w:val="23"/>
        <w:jc w:val="center"/>
        <w:rPr>
          <w:lang w:val="en-US" w:eastAsia="zh-CN"/>
        </w:rPr>
      </w:pPr>
      <w:r>
        <w:rPr>
          <w:rFonts w:hint="eastAsia"/>
        </w:rPr>
        <w:t>图</w:t>
      </w:r>
      <w:r>
        <w:rPr>
          <w:rFonts w:hint="eastAsia"/>
          <w:lang w:val="en-US" w:eastAsia="zh-CN"/>
        </w:rPr>
        <w:t>3-2  1号泵站管道及灌溉分区平面图</w:t>
      </w:r>
    </w:p>
    <w:p w14:paraId="16B4042A">
      <w:pPr>
        <w:pStyle w:val="23"/>
        <w:numPr>
          <w:ilvl w:val="0"/>
          <w:numId w:val="4"/>
        </w:numPr>
        <w:ind w:left="0" w:firstLine="560" w:firstLineChars="200"/>
        <w:rPr>
          <w:rFonts w:hint="eastAsia"/>
          <w:lang w:val="en-US" w:eastAsia="zh-CN"/>
        </w:rPr>
      </w:pPr>
      <w:r>
        <w:rPr>
          <w:rFonts w:hint="eastAsia"/>
          <w:lang w:val="en-US" w:eastAsia="zh-CN"/>
        </w:rPr>
        <w:t>电力工程：1号站内大型用电设备包括提升泵（22kw）、加压泵（15kw），变频控制器（22kw），总功率超过59kw，1号站由双祠堂村内A变压器（100kvA）供电，因为A变压器同时供电1、2、4号站，因此需将2号站，4号站总功率计算后方可确定变压器容量是否满足需求，如果不满足，将增容变压器。新增连接1号站泵房的低压线经现场勘察，约为144.77m。</w:t>
      </w:r>
    </w:p>
    <w:p w14:paraId="72A58041">
      <w:pPr>
        <w:pStyle w:val="23"/>
        <w:ind w:left="560" w:leftChars="200"/>
        <w:rPr>
          <w:lang w:val="en-US" w:eastAsia="zh-CN"/>
        </w:rPr>
      </w:pPr>
      <w:r>
        <w:rPr>
          <w:rFonts w:hint="eastAsia"/>
          <w:lang w:val="en-US" w:eastAsia="zh-CN"/>
        </w:rPr>
        <w:t>1号站工程数量表详见附表1.2。</w:t>
      </w:r>
    </w:p>
    <w:p w14:paraId="2837BD07">
      <w:pPr>
        <w:pStyle w:val="6"/>
        <w:bidi w:val="0"/>
        <w:rPr>
          <w:rFonts w:hint="eastAsia"/>
          <w:lang w:val="en-US" w:eastAsia="zh-CN"/>
        </w:rPr>
      </w:pPr>
      <w:r>
        <w:rPr>
          <w:rFonts w:hint="eastAsia"/>
          <w:lang w:val="en-US" w:eastAsia="zh-CN"/>
        </w:rPr>
        <w:t>2号泵站建设详情</w:t>
      </w:r>
    </w:p>
    <w:p w14:paraId="5E3011BD">
      <w:pPr>
        <w:pStyle w:val="23"/>
        <w:rPr>
          <w:rFonts w:hint="eastAsia"/>
          <w:lang w:val="en-US" w:eastAsia="zh-CN"/>
        </w:rPr>
      </w:pPr>
      <w:r>
        <w:rPr>
          <w:rFonts w:hint="eastAsia"/>
          <w:lang w:val="en-US" w:eastAsia="zh-CN"/>
        </w:rPr>
        <w:t>2号泵站覆盖面积160亩，新建1座砖混结构泵房50㎡，1座40m³过滤沉沙池，河边取水口1处，水肥一体化首部系统1套及配套田间管网工程。</w:t>
      </w:r>
    </w:p>
    <w:p w14:paraId="76368EB1">
      <w:pPr>
        <w:pStyle w:val="23"/>
        <w:numPr>
          <w:ilvl w:val="0"/>
          <w:numId w:val="5"/>
        </w:numPr>
        <w:ind w:firstLineChars="0"/>
        <w:rPr>
          <w:rFonts w:hint="eastAsia"/>
          <w:lang w:val="en-US" w:eastAsia="zh-CN"/>
        </w:rPr>
      </w:pPr>
      <w:r>
        <w:rPr>
          <w:rFonts w:hint="eastAsia"/>
          <w:lang w:val="en-US" w:eastAsia="zh-CN"/>
        </w:rPr>
        <w:t>泵房设计：经现场勘察及初步计算，即使利用2号站附近最大高差，也无法满足最不利情况下的管道水头损失，所以采用二级提灌方式。2号泵站建筑形式为砖混结构，靠近山坡坡底；</w:t>
      </w:r>
    </w:p>
    <w:p w14:paraId="0FB4B11D">
      <w:pPr>
        <w:pStyle w:val="23"/>
        <w:numPr>
          <w:ilvl w:val="0"/>
          <w:numId w:val="5"/>
        </w:numPr>
        <w:ind w:firstLineChars="0"/>
        <w:rPr>
          <w:lang w:val="en-US" w:eastAsia="zh-CN"/>
        </w:rPr>
      </w:pPr>
      <w:r>
        <w:rPr>
          <w:rFonts w:hint="eastAsia"/>
          <w:lang w:val="en-US" w:eastAsia="zh-CN"/>
        </w:rPr>
        <w:t>管道设计：2号站内没有已建设施设备，所以新建de110（承压1.25Mpa）管道作为站内供水施肥主管，由de90（承压1.25Mpa）管道作为支管延伸到田间，再连接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6A864E9B">
      <w:pPr>
        <w:pStyle w:val="23"/>
        <w:numPr>
          <w:ilvl w:val="0"/>
          <w:numId w:val="5"/>
        </w:numPr>
        <w:ind w:firstLineChars="0"/>
        <w:rPr>
          <w:lang w:val="en-US" w:eastAsia="zh-CN"/>
        </w:rPr>
      </w:pPr>
      <w:r>
        <w:rPr>
          <w:rFonts w:hint="eastAsia"/>
          <w:lang w:val="en-US" w:eastAsia="zh-CN"/>
        </w:rPr>
        <w:t>泵的选型：2号站提灌管道沿程水头损失计算如下表所示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21F361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A6BD7">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85655">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FC72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1AB8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5385C1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694E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857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60A15">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59.242</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B076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100E78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A747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3BD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E7FC3">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C6B0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7059B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1F21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FC0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6BBFE">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387D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5F7277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8A57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AC9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15038">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738A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24ED25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A09D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3EEE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C27C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7A89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27FFAF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C30C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E5F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D1AC1">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214.66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EF8A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4637759F">
      <w:pPr>
        <w:pStyle w:val="23"/>
        <w:ind w:left="0" w:firstLine="560" w:firstLineChars="200"/>
        <w:rPr>
          <w:rFonts w:hint="eastAsia"/>
          <w:lang w:val="en-US" w:eastAsia="zh-CN"/>
        </w:rPr>
      </w:pPr>
      <w:r>
        <w:rPr>
          <w:rFonts w:hint="eastAsia"/>
          <w:lang w:val="en-US" w:eastAsia="zh-CN"/>
        </w:rPr>
        <w:t>因此，主管沿程水头损失为5.92，局部水头损失为0.59m，2号站距离取水口高差为+10.0m，因此提升泵的扬程应大于16.49m，选用潜水泵200QJ63-24，流量63m³，扬程24m，功率7.5kw。</w:t>
      </w:r>
    </w:p>
    <w:p w14:paraId="3A814013">
      <w:pPr>
        <w:pStyle w:val="23"/>
        <w:ind w:left="0" w:firstLine="560" w:firstLineChars="200"/>
        <w:rPr>
          <w:lang w:val="en-US" w:eastAsia="zh-CN"/>
        </w:rPr>
      </w:pPr>
      <w:r>
        <w:rPr>
          <w:rFonts w:hint="eastAsia"/>
          <w:lang w:val="en-US" w:eastAsia="zh-CN"/>
        </w:rPr>
        <w:t>2号站de110主管水头损失最不利情况为A2--C2端，如下图所示</w:t>
      </w:r>
    </w:p>
    <w:p w14:paraId="09581D96">
      <w:pPr>
        <w:pStyle w:val="23"/>
        <w:jc w:val="center"/>
        <w:rPr>
          <w:lang w:val="en-US" w:eastAsia="zh-CN"/>
        </w:rPr>
      </w:pPr>
      <w:r>
        <w:rPr>
          <w:lang w:val="en-US" w:eastAsia="zh-CN"/>
        </w:rPr>
        <w:drawing>
          <wp:inline distT="0" distB="0" distL="114300" distR="114300">
            <wp:extent cx="5268595" cy="4086225"/>
            <wp:effectExtent l="0" t="0" r="17" b="33"/>
            <wp:docPr id="34" name="图片 17" descr="5325aaeb3f8568cfed7b690c7a44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 descr="5325aaeb3f8568cfed7b690c7a44d26"/>
                    <pic:cNvPicPr>
                      <a:picLocks noChangeAspect="1"/>
                    </pic:cNvPicPr>
                  </pic:nvPicPr>
                  <pic:blipFill>
                    <a:blip r:embed="rId19"/>
                    <a:stretch>
                      <a:fillRect/>
                    </a:stretch>
                  </pic:blipFill>
                  <pic:spPr>
                    <a:xfrm>
                      <a:off x="0" y="0"/>
                      <a:ext cx="5268595" cy="4086225"/>
                    </a:xfrm>
                    <a:prstGeom prst="rect">
                      <a:avLst/>
                    </a:prstGeom>
                    <a:noFill/>
                    <a:ln w="9525" cap="flat" cmpd="sng">
                      <a:noFill/>
                      <a:prstDash val="solid"/>
                      <a:miter/>
                    </a:ln>
                  </pic:spPr>
                </pic:pic>
              </a:graphicData>
            </a:graphic>
          </wp:inline>
        </w:drawing>
      </w:r>
    </w:p>
    <w:p w14:paraId="1B9C6E87">
      <w:pPr>
        <w:pStyle w:val="23"/>
        <w:jc w:val="center"/>
        <w:rPr>
          <w:lang w:val="en-US" w:eastAsia="zh-CN"/>
        </w:rPr>
      </w:pPr>
      <w:r>
        <w:rPr>
          <w:rFonts w:hint="eastAsia"/>
        </w:rPr>
        <w:t>图</w:t>
      </w:r>
      <w:r>
        <w:rPr>
          <w:rFonts w:hint="eastAsia"/>
          <w:lang w:val="en-US" w:eastAsia="zh-CN"/>
        </w:rPr>
        <w:t>3-3  1号泵站管道平面图</w:t>
      </w:r>
    </w:p>
    <w:p w14:paraId="3268277F">
      <w:pPr>
        <w:pStyle w:val="23"/>
        <w:ind w:left="0" w:firstLine="560" w:firstLineChars="200"/>
        <w:rPr>
          <w:lang w:val="en-US" w:eastAsia="zh-CN"/>
        </w:rPr>
      </w:pPr>
      <w:r>
        <w:rPr>
          <w:rFonts w:hint="eastAsia"/>
          <w:lang w:val="en-US" w:eastAsia="zh-CN"/>
        </w:rPr>
        <w:t>2号站de110供水主管沿程水头损失最不利情况计算结果如下表所示：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6A4833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9D0FC">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A64C8">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FE63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3CDB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76C92B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5556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73F6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1F3B7">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145.37</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5033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051899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510E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BA5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9799C">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67D0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2DE8E7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3607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43E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B493B">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191B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197547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0CDD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7607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7D833">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58E1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18E71E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598B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591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F728B">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92A8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42C5E7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88F8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B3B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DCA4B">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526.76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F4B2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39C391FC">
      <w:pPr>
        <w:pStyle w:val="23"/>
        <w:ind w:left="0" w:firstLine="560" w:firstLineChars="200"/>
        <w:rPr>
          <w:lang w:val="en-US" w:eastAsia="zh-CN"/>
        </w:rPr>
      </w:pPr>
      <w:r>
        <w:rPr>
          <w:rFonts w:hint="eastAsia"/>
          <w:lang w:val="en-US" w:eastAsia="zh-CN"/>
        </w:rPr>
        <w:t>因此，主管沿程水头损失为14.5m，局部水头损失为1.45m，2号站高差为+8.5m，因此加压泵的扬程应大于24.45m，选用卧式离心泵ISW80-160,流量50m³/h，扬程32m，功率7.5kw。</w:t>
      </w:r>
    </w:p>
    <w:p w14:paraId="4168EAE1">
      <w:pPr>
        <w:pStyle w:val="23"/>
        <w:numPr>
          <w:ilvl w:val="0"/>
          <w:numId w:val="5"/>
        </w:numPr>
        <w:ind w:left="0" w:firstLine="560" w:firstLineChars="200"/>
        <w:rPr>
          <w:rFonts w:hint="eastAsia"/>
          <w:lang w:val="en-US" w:eastAsia="zh-CN"/>
        </w:rPr>
      </w:pPr>
      <w:r>
        <w:rPr>
          <w:rFonts w:hint="eastAsia"/>
          <w:lang w:val="en-US" w:eastAsia="zh-CN"/>
        </w:rPr>
        <w:t>灌溉分区：根据玉米/大豆需水量及考虑管道内经济流速，按6-9亩分区，2号站一共分24个灌溉区。如下图所示：</w:t>
      </w:r>
    </w:p>
    <w:p w14:paraId="403DA853">
      <w:pPr>
        <w:pStyle w:val="23"/>
        <w:jc w:val="both"/>
        <w:rPr>
          <w:lang w:val="en-US" w:eastAsia="zh-CN"/>
        </w:rPr>
      </w:pPr>
      <w:r>
        <w:rPr>
          <w:lang w:val="en-US" w:eastAsia="zh-CN"/>
        </w:rPr>
        <w:drawing>
          <wp:inline distT="0" distB="0" distL="114300" distR="114300">
            <wp:extent cx="5269865" cy="3263900"/>
            <wp:effectExtent l="0" t="0" r="47" b="18"/>
            <wp:docPr id="37" name="图片 18" descr="0ca4b0b72471253d59f5522b09ac0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8" descr="0ca4b0b72471253d59f5522b09ac09a"/>
                    <pic:cNvPicPr>
                      <a:picLocks noChangeAspect="1"/>
                    </pic:cNvPicPr>
                  </pic:nvPicPr>
                  <pic:blipFill>
                    <a:blip r:embed="rId20"/>
                    <a:stretch>
                      <a:fillRect/>
                    </a:stretch>
                  </pic:blipFill>
                  <pic:spPr>
                    <a:xfrm>
                      <a:off x="0" y="0"/>
                      <a:ext cx="5269865" cy="3263900"/>
                    </a:xfrm>
                    <a:prstGeom prst="rect">
                      <a:avLst/>
                    </a:prstGeom>
                    <a:noFill/>
                    <a:ln w="9525" cap="flat" cmpd="sng">
                      <a:noFill/>
                      <a:prstDash val="solid"/>
                      <a:miter/>
                    </a:ln>
                  </pic:spPr>
                </pic:pic>
              </a:graphicData>
            </a:graphic>
          </wp:inline>
        </w:drawing>
      </w:r>
    </w:p>
    <w:p w14:paraId="2FE032A9">
      <w:pPr>
        <w:pStyle w:val="23"/>
        <w:jc w:val="center"/>
        <w:rPr>
          <w:lang w:val="en-US" w:eastAsia="zh-CN"/>
        </w:rPr>
      </w:pPr>
      <w:r>
        <w:rPr>
          <w:rFonts w:hint="eastAsia"/>
        </w:rPr>
        <w:t>图</w:t>
      </w:r>
      <w:r>
        <w:rPr>
          <w:rFonts w:hint="eastAsia"/>
          <w:lang w:val="en-US" w:eastAsia="zh-CN"/>
        </w:rPr>
        <w:t>3-4  2号泵站管道及灌溉分区平面图</w:t>
      </w:r>
    </w:p>
    <w:p w14:paraId="4E6C4302">
      <w:pPr>
        <w:numPr>
          <w:ilvl w:val="0"/>
          <w:numId w:val="5"/>
        </w:numPr>
        <w:bidi w:val="0"/>
        <w:ind w:left="0" w:firstLine="560" w:firstLineChars="200"/>
        <w:rPr>
          <w:rFonts w:hint="eastAsia"/>
          <w:lang w:val="en-US" w:eastAsia="zh-CN"/>
        </w:rPr>
      </w:pPr>
      <w:r>
        <w:rPr>
          <w:rFonts w:hint="eastAsia"/>
          <w:lang w:val="en-US" w:eastAsia="zh-CN"/>
        </w:rPr>
        <w:t>电力工程：2号站内大型用电设备包括提升泵（7.5kw）、加压泵（7.5kw），变频控制器（11kw），总功率超过26kw，2号站由双祠堂村内A变压器（100kvA）供电，因此需将1号站，4号站总功率计算后方可确定变压器容量是否满足需求，如果不满足，将增容变压器。新增连接2号站泵房的低压线经现场勘察，约为235.14m，新增连接2号站泵房至取水口埋地电线213.08m。</w:t>
      </w:r>
    </w:p>
    <w:p w14:paraId="4114B8CA">
      <w:pPr>
        <w:pStyle w:val="23"/>
        <w:ind w:left="560" w:leftChars="200"/>
        <w:rPr>
          <w:rFonts w:hint="eastAsia"/>
          <w:lang w:val="en-US" w:eastAsia="zh-CN"/>
        </w:rPr>
      </w:pPr>
      <w:r>
        <w:rPr>
          <w:rFonts w:hint="eastAsia"/>
          <w:lang w:val="en-US" w:eastAsia="zh-CN"/>
        </w:rPr>
        <w:t>2号站工程数量表详见附表1.3。</w:t>
      </w:r>
    </w:p>
    <w:p w14:paraId="5903BD36">
      <w:pPr>
        <w:pStyle w:val="6"/>
        <w:bidi w:val="0"/>
        <w:rPr>
          <w:rFonts w:hint="eastAsia"/>
          <w:lang w:val="en-US" w:eastAsia="zh-CN"/>
        </w:rPr>
      </w:pPr>
      <w:r>
        <w:rPr>
          <w:rFonts w:hint="eastAsia"/>
          <w:lang w:val="en-US" w:eastAsia="zh-CN"/>
        </w:rPr>
        <w:t>3号泵站建设详情</w:t>
      </w:r>
    </w:p>
    <w:p w14:paraId="73998C8B">
      <w:pPr>
        <w:bidi w:val="0"/>
        <w:rPr>
          <w:rFonts w:hint="eastAsia"/>
          <w:lang w:val="en-US" w:eastAsia="zh-CN"/>
        </w:rPr>
      </w:pPr>
      <w:r>
        <w:rPr>
          <w:rFonts w:hint="eastAsia"/>
          <w:lang w:val="en-US" w:eastAsia="zh-CN"/>
        </w:rPr>
        <w:t>3号泵站覆盖面积170亩，新建1座砖混结构泵房50㎡，1座40m³过滤沉沙池，河边取水口1处，水肥一体化首部系统1套及配套田间管网工程。</w:t>
      </w:r>
    </w:p>
    <w:p w14:paraId="3A96BEDF">
      <w:pPr>
        <w:pStyle w:val="23"/>
        <w:numPr>
          <w:ilvl w:val="0"/>
          <w:numId w:val="6"/>
        </w:numPr>
        <w:ind w:firstLineChars="0"/>
        <w:rPr>
          <w:rFonts w:hint="eastAsia"/>
          <w:lang w:val="en-US" w:eastAsia="zh-CN"/>
        </w:rPr>
      </w:pPr>
      <w:r>
        <w:rPr>
          <w:rFonts w:hint="eastAsia"/>
          <w:lang w:val="en-US" w:eastAsia="zh-CN"/>
        </w:rPr>
        <w:t>泵房设计：经现场勘察及初步计算，即使利用3号站附近最大高差，也无法满足最不利情况下的管道水头损失，所以采用二级提灌方式。3号泵站建筑形式为砖混结构；</w:t>
      </w:r>
    </w:p>
    <w:p w14:paraId="6F27D65A">
      <w:pPr>
        <w:pStyle w:val="23"/>
        <w:numPr>
          <w:ilvl w:val="0"/>
          <w:numId w:val="6"/>
        </w:numPr>
        <w:ind w:firstLineChars="0"/>
        <w:rPr>
          <w:lang w:val="en-US" w:eastAsia="zh-CN"/>
        </w:rPr>
      </w:pPr>
      <w:r>
        <w:rPr>
          <w:rFonts w:hint="eastAsia"/>
          <w:lang w:val="en-US" w:eastAsia="zh-CN"/>
        </w:rPr>
        <w:t>管道设计：3号站内没有已建设施设备，所以新建de110（承压1.25Mpa）管道作为站内供水施肥主管，由de90（承压1.25Mpa）管道作为支管延伸到田间，再连接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2A6902BF">
      <w:pPr>
        <w:pStyle w:val="23"/>
        <w:numPr>
          <w:ilvl w:val="0"/>
          <w:numId w:val="6"/>
        </w:numPr>
        <w:ind w:firstLineChars="0"/>
        <w:rPr>
          <w:lang w:val="en-US" w:eastAsia="zh-CN"/>
        </w:rPr>
      </w:pPr>
      <w:r>
        <w:rPr>
          <w:rFonts w:hint="eastAsia"/>
          <w:lang w:val="en-US" w:eastAsia="zh-CN"/>
        </w:rPr>
        <w:t>泵的选型：3号站提灌管道沿程水头损失计算如下表所示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008A1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B0338">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F7C17">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B1FC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B3CF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127A53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09BE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7050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42FCC">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11.31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2F81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56340B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9EEC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A727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CD6D8">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6862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5578C4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8054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85E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9BBF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24D7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4A746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10D5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43D6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BC3E0">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BBD1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1D4557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D744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57C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3533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69E4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5E5756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AA21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A764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19073">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40.98</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A8A2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2C5DC3B1">
      <w:pPr>
        <w:pStyle w:val="23"/>
        <w:ind w:left="0" w:firstLine="560" w:firstLineChars="200"/>
        <w:rPr>
          <w:rFonts w:hint="eastAsia"/>
          <w:lang w:val="en-US" w:eastAsia="zh-CN"/>
        </w:rPr>
      </w:pPr>
      <w:r>
        <w:rPr>
          <w:rFonts w:hint="eastAsia"/>
          <w:lang w:val="en-US" w:eastAsia="zh-CN"/>
        </w:rPr>
        <w:t>因此，主管沿程水头损失为1.1，局部水头损失为0.11m，3号站距离取水口高差为+6m，因此提升泵的扬程应大于7.21m，选用潜水泵200QJ63-12，流量63m³，扬程12m，功率4kw。</w:t>
      </w:r>
    </w:p>
    <w:p w14:paraId="517C7E60">
      <w:pPr>
        <w:pStyle w:val="23"/>
        <w:ind w:left="0" w:firstLine="560" w:firstLineChars="200"/>
        <w:rPr>
          <w:lang w:val="en-US" w:eastAsia="zh-CN"/>
        </w:rPr>
      </w:pPr>
      <w:r>
        <w:rPr>
          <w:rFonts w:hint="eastAsia"/>
          <w:lang w:val="en-US" w:eastAsia="zh-CN"/>
        </w:rPr>
        <w:t>3号站de110主管水头损失最不利情况为A3--B3端，如下图所示</w:t>
      </w:r>
    </w:p>
    <w:p w14:paraId="573D0E31">
      <w:pPr>
        <w:pStyle w:val="23"/>
        <w:jc w:val="center"/>
        <w:rPr>
          <w:lang w:val="en-US" w:eastAsia="zh-CN"/>
        </w:rPr>
      </w:pPr>
      <w:r>
        <w:rPr>
          <w:lang w:val="en-US" w:eastAsia="zh-CN"/>
        </w:rPr>
        <w:drawing>
          <wp:inline distT="0" distB="0" distL="114300" distR="114300">
            <wp:extent cx="4591050" cy="7200900"/>
            <wp:effectExtent l="0" t="0" r="25" b="15"/>
            <wp:docPr id="40" name="图片 34" descr="08e5267c0aaa135b33a4ce79ef260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4" descr="08e5267c0aaa135b33a4ce79ef260e7"/>
                    <pic:cNvPicPr>
                      <a:picLocks noChangeAspect="1"/>
                    </pic:cNvPicPr>
                  </pic:nvPicPr>
                  <pic:blipFill>
                    <a:blip r:embed="rId21"/>
                    <a:stretch>
                      <a:fillRect/>
                    </a:stretch>
                  </pic:blipFill>
                  <pic:spPr>
                    <a:xfrm>
                      <a:off x="0" y="0"/>
                      <a:ext cx="4591050" cy="7200900"/>
                    </a:xfrm>
                    <a:prstGeom prst="rect">
                      <a:avLst/>
                    </a:prstGeom>
                    <a:noFill/>
                    <a:ln w="9525" cap="flat" cmpd="sng">
                      <a:noFill/>
                      <a:prstDash val="solid"/>
                      <a:miter/>
                    </a:ln>
                  </pic:spPr>
                </pic:pic>
              </a:graphicData>
            </a:graphic>
          </wp:inline>
        </w:drawing>
      </w:r>
    </w:p>
    <w:p w14:paraId="1340426D">
      <w:pPr>
        <w:pStyle w:val="23"/>
        <w:jc w:val="center"/>
        <w:rPr>
          <w:lang w:val="en-US" w:eastAsia="zh-CN"/>
        </w:rPr>
      </w:pPr>
      <w:r>
        <w:rPr>
          <w:rFonts w:hint="eastAsia"/>
        </w:rPr>
        <w:t>图</w:t>
      </w:r>
      <w:r>
        <w:rPr>
          <w:rFonts w:hint="eastAsia"/>
          <w:lang w:val="en-US" w:eastAsia="zh-CN"/>
        </w:rPr>
        <w:t>3-5  3号泵站管道平面图</w:t>
      </w:r>
    </w:p>
    <w:p w14:paraId="16F1D4A1">
      <w:pPr>
        <w:pStyle w:val="23"/>
        <w:ind w:left="0" w:firstLine="560" w:firstLineChars="200"/>
        <w:rPr>
          <w:lang w:val="en-US" w:eastAsia="zh-CN"/>
        </w:rPr>
      </w:pPr>
      <w:r>
        <w:rPr>
          <w:rFonts w:hint="eastAsia"/>
          <w:lang w:val="en-US" w:eastAsia="zh-CN"/>
        </w:rPr>
        <w:t>3号站de110供水主管沿程水头损失最不利情况计算结果如下表所示：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2FFC8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EA7A4">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B72B4">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7370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D764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6DA75E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9652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10D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EA9E8">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249.79</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C02B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7DA4C9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562C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9A9F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82132">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ECD3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2F0EF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0C5C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54DB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1C567">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470F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67C96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F808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938C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AD19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29A0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14354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9878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A72B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5DC46">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EE25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79C149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5F5E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C437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37425">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905.12</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F0F2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4B4A4087">
      <w:pPr>
        <w:pStyle w:val="23"/>
        <w:ind w:left="0" w:firstLine="560" w:firstLineChars="200"/>
        <w:rPr>
          <w:lang w:val="en-US" w:eastAsia="zh-CN"/>
        </w:rPr>
      </w:pPr>
      <w:r>
        <w:rPr>
          <w:rFonts w:hint="eastAsia"/>
          <w:lang w:val="en-US" w:eastAsia="zh-CN"/>
        </w:rPr>
        <w:t>因此，主管沿程水头损失为24.79m，局部水头损失为2.47m，1号站高差为+3.5m，因此加压泵的扬程应大于30.76m，选用卧式离心泵ISW80-160,流量50m³/h，扬程32m，功率7.5kw。</w:t>
      </w:r>
    </w:p>
    <w:p w14:paraId="2AE45725">
      <w:pPr>
        <w:pStyle w:val="23"/>
        <w:numPr>
          <w:ilvl w:val="0"/>
          <w:numId w:val="6"/>
        </w:numPr>
        <w:ind w:left="0" w:firstLine="560" w:firstLineChars="200"/>
        <w:rPr>
          <w:rFonts w:hint="eastAsia"/>
          <w:lang w:val="en-US" w:eastAsia="zh-CN"/>
        </w:rPr>
      </w:pPr>
      <w:r>
        <w:rPr>
          <w:rFonts w:hint="eastAsia"/>
          <w:lang w:val="en-US" w:eastAsia="zh-CN"/>
        </w:rPr>
        <w:t>灌溉分区：根据玉米/大豆需水量及考虑管道内经济流速，按6-9亩分区，3号站一共分24个灌溉区。如下图所示：</w:t>
      </w:r>
    </w:p>
    <w:p w14:paraId="6F82DB00">
      <w:pPr>
        <w:pStyle w:val="23"/>
        <w:jc w:val="center"/>
        <w:rPr>
          <w:lang w:val="en-US" w:eastAsia="zh-CN"/>
        </w:rPr>
      </w:pPr>
      <w:r>
        <w:rPr>
          <w:lang w:val="en-US" w:eastAsia="zh-CN"/>
        </w:rPr>
        <w:drawing>
          <wp:inline distT="0" distB="0" distL="114300" distR="114300">
            <wp:extent cx="4781550" cy="6724015"/>
            <wp:effectExtent l="0" t="0" r="22" b="6"/>
            <wp:docPr id="43" name="图片 36" descr="28e3f5f75fda854aacfca4d0bfcf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6" descr="28e3f5f75fda854aacfca4d0bfcfbce"/>
                    <pic:cNvPicPr>
                      <a:picLocks noChangeAspect="1"/>
                    </pic:cNvPicPr>
                  </pic:nvPicPr>
                  <pic:blipFill>
                    <a:blip r:embed="rId22"/>
                    <a:stretch>
                      <a:fillRect/>
                    </a:stretch>
                  </pic:blipFill>
                  <pic:spPr>
                    <a:xfrm>
                      <a:off x="0" y="0"/>
                      <a:ext cx="4781550" cy="6724649"/>
                    </a:xfrm>
                    <a:prstGeom prst="rect">
                      <a:avLst/>
                    </a:prstGeom>
                    <a:noFill/>
                    <a:ln w="9525" cap="flat" cmpd="sng">
                      <a:noFill/>
                      <a:prstDash val="solid"/>
                      <a:miter/>
                    </a:ln>
                  </pic:spPr>
                </pic:pic>
              </a:graphicData>
            </a:graphic>
          </wp:inline>
        </w:drawing>
      </w:r>
    </w:p>
    <w:p w14:paraId="326C2785">
      <w:pPr>
        <w:pStyle w:val="23"/>
        <w:jc w:val="center"/>
        <w:rPr>
          <w:lang w:val="en-US" w:eastAsia="zh-CN"/>
        </w:rPr>
      </w:pPr>
      <w:r>
        <w:rPr>
          <w:rFonts w:hint="eastAsia"/>
        </w:rPr>
        <w:t>图</w:t>
      </w:r>
      <w:r>
        <w:rPr>
          <w:rFonts w:hint="eastAsia"/>
          <w:lang w:val="en-US" w:eastAsia="zh-CN"/>
        </w:rPr>
        <w:t>3-6  3号泵站管道及灌溉分区平面图</w:t>
      </w:r>
    </w:p>
    <w:p w14:paraId="33FB98CC">
      <w:pPr>
        <w:numPr>
          <w:ilvl w:val="0"/>
          <w:numId w:val="6"/>
        </w:numPr>
        <w:bidi w:val="0"/>
        <w:ind w:left="0" w:firstLine="560" w:firstLineChars="200"/>
        <w:rPr>
          <w:rFonts w:hint="eastAsia"/>
          <w:lang w:val="en-US" w:eastAsia="zh-CN"/>
        </w:rPr>
      </w:pPr>
      <w:r>
        <w:rPr>
          <w:rFonts w:hint="eastAsia"/>
          <w:lang w:val="en-US" w:eastAsia="zh-CN"/>
        </w:rPr>
        <w:t>电力工程：3号站内大型用电设备包括提升泵（4kw）、加压泵（7.5kw），变频控制器（11kw），总功率超过22.5kw，3号站由双祠堂村内C变压器（100kvA）供电，因为C变压器为专变，所以不需要增容。新增连接3号站泵房的低压线经现场勘察，约为419.07m，新增连接3号站泵房至取水口埋地电线41.84m。</w:t>
      </w:r>
    </w:p>
    <w:p w14:paraId="0910E99A">
      <w:pPr>
        <w:pStyle w:val="23"/>
        <w:ind w:left="560" w:leftChars="200"/>
        <w:rPr>
          <w:rFonts w:hint="eastAsia"/>
          <w:lang w:val="en-US" w:eastAsia="zh-CN"/>
        </w:rPr>
      </w:pPr>
      <w:r>
        <w:rPr>
          <w:rFonts w:hint="eastAsia"/>
          <w:lang w:val="en-US" w:eastAsia="zh-CN"/>
        </w:rPr>
        <w:t>3号站工程数量表详见附表1.4。</w:t>
      </w:r>
    </w:p>
    <w:p w14:paraId="51D3AEF4">
      <w:pPr>
        <w:pStyle w:val="6"/>
        <w:bidi w:val="0"/>
        <w:rPr>
          <w:rFonts w:hint="eastAsia"/>
          <w:lang w:val="en-US" w:eastAsia="zh-CN"/>
        </w:rPr>
      </w:pPr>
      <w:r>
        <w:rPr>
          <w:rFonts w:hint="eastAsia"/>
          <w:lang w:val="en-US" w:eastAsia="zh-CN"/>
        </w:rPr>
        <w:t>4号泵站建设详情</w:t>
      </w:r>
    </w:p>
    <w:p w14:paraId="340C4D25">
      <w:pPr>
        <w:bidi w:val="0"/>
        <w:rPr>
          <w:rFonts w:hint="eastAsia"/>
          <w:lang w:val="en-US" w:eastAsia="zh-CN"/>
        </w:rPr>
      </w:pPr>
      <w:r>
        <w:rPr>
          <w:rFonts w:hint="eastAsia"/>
          <w:lang w:val="en-US" w:eastAsia="zh-CN"/>
        </w:rPr>
        <w:t>4号泵站覆盖面积180亩，新建1座砖混结构泵房50㎡，1座40m³过滤沉沙池，河边取水口1处，水肥一体化首部系统1套及配套田间管网工程。</w:t>
      </w:r>
    </w:p>
    <w:p w14:paraId="4F25B0E5">
      <w:pPr>
        <w:pStyle w:val="23"/>
        <w:numPr>
          <w:ilvl w:val="0"/>
          <w:numId w:val="7"/>
        </w:numPr>
        <w:ind w:firstLineChars="0"/>
        <w:rPr>
          <w:rFonts w:hint="eastAsia"/>
          <w:lang w:val="en-US" w:eastAsia="zh-CN"/>
        </w:rPr>
      </w:pPr>
      <w:r>
        <w:rPr>
          <w:rFonts w:hint="eastAsia"/>
          <w:lang w:val="en-US" w:eastAsia="zh-CN"/>
        </w:rPr>
        <w:t>泵房设计：经现场勘察及初步计算，即使利用4号站附近最大高差，也无法满足最不利情况下的管道水头损失，所以采用二级提灌方式。4号泵站建筑形式为砖混结构；</w:t>
      </w:r>
    </w:p>
    <w:p w14:paraId="2E9B99C6">
      <w:pPr>
        <w:pStyle w:val="23"/>
        <w:numPr>
          <w:ilvl w:val="0"/>
          <w:numId w:val="7"/>
        </w:numPr>
        <w:ind w:firstLineChars="0"/>
        <w:rPr>
          <w:lang w:val="en-US" w:eastAsia="zh-CN"/>
        </w:rPr>
      </w:pPr>
      <w:r>
        <w:rPr>
          <w:rFonts w:hint="eastAsia"/>
          <w:lang w:val="en-US" w:eastAsia="zh-CN"/>
        </w:rPr>
        <w:t>管道设计：4号站内没有已建设施设备，所以新建de110（承压1.25Mpa）管道作为站内供水施肥主管，由de90（承压1.25Mpa）管道作为支管延伸到田间，再连接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5E9B25E9">
      <w:pPr>
        <w:pStyle w:val="23"/>
        <w:numPr>
          <w:ilvl w:val="0"/>
          <w:numId w:val="7"/>
        </w:numPr>
        <w:ind w:firstLineChars="0"/>
        <w:rPr>
          <w:lang w:val="en-US" w:eastAsia="zh-CN"/>
        </w:rPr>
      </w:pPr>
      <w:r>
        <w:rPr>
          <w:rFonts w:hint="eastAsia"/>
          <w:lang w:val="en-US" w:eastAsia="zh-CN"/>
        </w:rPr>
        <w:t>泵的选型：4号站提灌管道沿程水头损失计算如下表所示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66A37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477D6">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D29A4">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CFA5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4354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5E0ACF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BD7A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C25D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40F77">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56.51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287F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4C5D08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AC5D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C46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1AD5D">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1E1C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7FFB22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82C4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78D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2D474">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7604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32553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6559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E88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46A5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EE1A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53950F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9BC0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FC74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07E5D">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A8E9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76C8E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7F5E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9EA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F7FF3">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204.77</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439B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3D60AD0D">
      <w:pPr>
        <w:pStyle w:val="23"/>
        <w:ind w:left="0" w:firstLine="560" w:firstLineChars="200"/>
        <w:rPr>
          <w:rFonts w:hint="eastAsia"/>
          <w:lang w:val="en-US" w:eastAsia="zh-CN"/>
        </w:rPr>
      </w:pPr>
      <w:r>
        <w:rPr>
          <w:rFonts w:hint="eastAsia"/>
          <w:lang w:val="en-US" w:eastAsia="zh-CN"/>
        </w:rPr>
        <w:t>因此，主管沿程水头损失为5.65，局部水头损失为0.56m，4号站距离取水口高差为+10m，因此提升泵的扬程应大于16.21m，选用潜水泵200QJ63-24，流量63m³，扬程24m，功率7.5kw。</w:t>
      </w:r>
    </w:p>
    <w:p w14:paraId="44832064">
      <w:pPr>
        <w:pStyle w:val="23"/>
        <w:ind w:left="0" w:firstLine="560" w:firstLineChars="200"/>
        <w:rPr>
          <w:lang w:val="en-US" w:eastAsia="zh-CN"/>
        </w:rPr>
      </w:pPr>
      <w:r>
        <w:rPr>
          <w:rFonts w:hint="eastAsia"/>
          <w:lang w:val="en-US" w:eastAsia="zh-CN"/>
        </w:rPr>
        <w:t>4号站de110主管水头损失最不利情况为A4--B4--C4端，如下图所示</w:t>
      </w:r>
    </w:p>
    <w:p w14:paraId="2B43FCC9">
      <w:pPr>
        <w:pStyle w:val="23"/>
        <w:jc w:val="center"/>
        <w:rPr>
          <w:lang w:val="en-US" w:eastAsia="zh-CN"/>
        </w:rPr>
      </w:pPr>
      <w:r>
        <w:rPr>
          <w:lang w:val="en-US" w:eastAsia="zh-CN"/>
        </w:rPr>
        <w:drawing>
          <wp:inline distT="0" distB="0" distL="114300" distR="114300">
            <wp:extent cx="5270500" cy="4598670"/>
            <wp:effectExtent l="0" t="0" r="15" b="25"/>
            <wp:docPr id="46" name="图片 64" descr="f25e688bcb8ce4d1f97fb46377ae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4" descr="f25e688bcb8ce4d1f97fb46377ae383"/>
                    <pic:cNvPicPr>
                      <a:picLocks noChangeAspect="1"/>
                    </pic:cNvPicPr>
                  </pic:nvPicPr>
                  <pic:blipFill>
                    <a:blip r:embed="rId23"/>
                    <a:stretch>
                      <a:fillRect/>
                    </a:stretch>
                  </pic:blipFill>
                  <pic:spPr>
                    <a:xfrm>
                      <a:off x="0" y="0"/>
                      <a:ext cx="5271134" cy="4598670"/>
                    </a:xfrm>
                    <a:prstGeom prst="rect">
                      <a:avLst/>
                    </a:prstGeom>
                    <a:noFill/>
                    <a:ln w="9525" cap="flat" cmpd="sng">
                      <a:noFill/>
                      <a:prstDash val="solid"/>
                      <a:miter/>
                    </a:ln>
                  </pic:spPr>
                </pic:pic>
              </a:graphicData>
            </a:graphic>
          </wp:inline>
        </w:drawing>
      </w:r>
    </w:p>
    <w:p w14:paraId="654891E6">
      <w:pPr>
        <w:pStyle w:val="23"/>
        <w:jc w:val="center"/>
        <w:rPr>
          <w:lang w:val="en-US" w:eastAsia="zh-CN"/>
        </w:rPr>
      </w:pPr>
      <w:r>
        <w:rPr>
          <w:rFonts w:hint="eastAsia"/>
        </w:rPr>
        <w:t>图</w:t>
      </w:r>
      <w:r>
        <w:rPr>
          <w:rFonts w:hint="eastAsia"/>
          <w:lang w:val="en-US" w:eastAsia="zh-CN"/>
        </w:rPr>
        <w:t>3-7  4号泵站管道平面图</w:t>
      </w:r>
    </w:p>
    <w:p w14:paraId="1228D25A">
      <w:pPr>
        <w:pStyle w:val="23"/>
        <w:ind w:left="0" w:firstLine="560" w:firstLineChars="200"/>
        <w:rPr>
          <w:lang w:val="en-US" w:eastAsia="zh-CN"/>
        </w:rPr>
      </w:pPr>
      <w:r>
        <w:rPr>
          <w:rFonts w:hint="eastAsia"/>
          <w:lang w:val="en-US" w:eastAsia="zh-CN"/>
        </w:rPr>
        <w:t>4号站de110供水主管沿程水头损失最不利情况计算结果如下表所示：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46610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B1136">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81397">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5E2F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B80F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4EA753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E015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46A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FEE32">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153.01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6892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444EF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FD85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9907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23580">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E42A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64D1D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DEFD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DBE2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1BB23">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D761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5F214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9423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C4DD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CBF66">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3933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03F01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8E8F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3AE9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B6F8E">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574B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7FD7BF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35F2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926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6C969">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554.46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19EC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273660F6">
      <w:pPr>
        <w:pStyle w:val="23"/>
        <w:ind w:left="0" w:firstLine="560" w:firstLineChars="200"/>
        <w:rPr>
          <w:lang w:val="en-US" w:eastAsia="zh-CN"/>
        </w:rPr>
      </w:pPr>
      <w:r>
        <w:rPr>
          <w:rFonts w:hint="eastAsia"/>
          <w:lang w:val="en-US" w:eastAsia="zh-CN"/>
        </w:rPr>
        <w:t>因此，主管沿程水头损失为15.31m，局部水头损失为1.53m，1号站高差为+12m，因此加压泵的扬程应大于28.84m，选用卧式离心泵ISW80-160,流量50m³/h，扬程32m，功率7.5kw。</w:t>
      </w:r>
    </w:p>
    <w:p w14:paraId="15B4EF91">
      <w:pPr>
        <w:pStyle w:val="23"/>
        <w:numPr>
          <w:ilvl w:val="0"/>
          <w:numId w:val="7"/>
        </w:numPr>
        <w:ind w:left="0" w:firstLine="560" w:firstLineChars="200"/>
        <w:rPr>
          <w:rFonts w:hint="eastAsia"/>
          <w:lang w:val="en-US" w:eastAsia="zh-CN"/>
        </w:rPr>
      </w:pPr>
      <w:r>
        <w:rPr>
          <w:rFonts w:hint="eastAsia"/>
          <w:lang w:val="en-US" w:eastAsia="zh-CN"/>
        </w:rPr>
        <w:t>灌溉分区：根据玉米/大豆需水量及考虑管道内经济流速，按6-9亩分区，4号站一共分24个灌溉区。如下图所示：</w:t>
      </w:r>
    </w:p>
    <w:p w14:paraId="49A76EED">
      <w:pPr>
        <w:pStyle w:val="23"/>
        <w:jc w:val="center"/>
        <w:rPr>
          <w:lang w:val="en-US" w:eastAsia="zh-CN"/>
        </w:rPr>
      </w:pPr>
      <w:r>
        <w:rPr>
          <w:lang w:val="en-US" w:eastAsia="zh-CN"/>
        </w:rPr>
        <w:drawing>
          <wp:inline distT="0" distB="0" distL="114300" distR="114300">
            <wp:extent cx="5271770" cy="6224270"/>
            <wp:effectExtent l="0" t="0" r="46" b="32"/>
            <wp:docPr id="49" name="图片 74" descr="45786a7c924fc9d31e12e922da5d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4" descr="45786a7c924fc9d31e12e922da5d436"/>
                    <pic:cNvPicPr>
                      <a:picLocks noChangeAspect="1"/>
                    </pic:cNvPicPr>
                  </pic:nvPicPr>
                  <pic:blipFill>
                    <a:blip r:embed="rId24"/>
                    <a:stretch>
                      <a:fillRect/>
                    </a:stretch>
                  </pic:blipFill>
                  <pic:spPr>
                    <a:xfrm>
                      <a:off x="0" y="0"/>
                      <a:ext cx="5271770" cy="6224270"/>
                    </a:xfrm>
                    <a:prstGeom prst="rect">
                      <a:avLst/>
                    </a:prstGeom>
                    <a:noFill/>
                    <a:ln w="9525" cap="flat" cmpd="sng">
                      <a:noFill/>
                      <a:prstDash val="solid"/>
                      <a:miter/>
                    </a:ln>
                  </pic:spPr>
                </pic:pic>
              </a:graphicData>
            </a:graphic>
          </wp:inline>
        </w:drawing>
      </w:r>
    </w:p>
    <w:p w14:paraId="67114513">
      <w:pPr>
        <w:pStyle w:val="23"/>
        <w:jc w:val="center"/>
        <w:rPr>
          <w:lang w:val="en-US" w:eastAsia="zh-CN"/>
        </w:rPr>
      </w:pPr>
      <w:r>
        <w:rPr>
          <w:rFonts w:hint="eastAsia"/>
        </w:rPr>
        <w:t>图</w:t>
      </w:r>
      <w:r>
        <w:rPr>
          <w:rFonts w:hint="eastAsia"/>
          <w:lang w:val="en-US" w:eastAsia="zh-CN"/>
        </w:rPr>
        <w:t>3-8  4号泵站管道及灌溉分区平面图</w:t>
      </w:r>
    </w:p>
    <w:p w14:paraId="7BD626F0">
      <w:pPr>
        <w:numPr>
          <w:ilvl w:val="0"/>
          <w:numId w:val="7"/>
        </w:numPr>
        <w:bidi w:val="0"/>
        <w:ind w:left="0" w:firstLine="560" w:firstLineChars="200"/>
        <w:rPr>
          <w:rFonts w:hint="eastAsia"/>
          <w:lang w:val="en-US" w:eastAsia="zh-CN"/>
        </w:rPr>
      </w:pPr>
      <w:r>
        <w:rPr>
          <w:rFonts w:hint="eastAsia"/>
          <w:lang w:val="en-US" w:eastAsia="zh-CN"/>
        </w:rPr>
        <w:t>电力工程：4号站内大型用电设备包括提升泵（7.5kw）、加压泵（7.5kw），变频控制器（11kw），总功率超过26kw，4号站由双祠堂村内A变压器（100kvA）供电，1、2、4号站总功率超过111kw，因此A变压器由100kvA增容到250kvA。新增连接4号站泵房的低压线经现场勘察，约为281.67m，新增连接4号站泵房至取水口埋地电线204.77m。</w:t>
      </w:r>
    </w:p>
    <w:p w14:paraId="6D3D2C4F">
      <w:pPr>
        <w:pStyle w:val="23"/>
        <w:ind w:left="560" w:leftChars="200"/>
        <w:rPr>
          <w:rFonts w:hint="eastAsia"/>
          <w:lang w:val="en-US" w:eastAsia="zh-CN"/>
        </w:rPr>
      </w:pPr>
      <w:r>
        <w:rPr>
          <w:rFonts w:hint="eastAsia"/>
          <w:lang w:val="en-US" w:eastAsia="zh-CN"/>
        </w:rPr>
        <w:t>4号站工程数量表详见附表1.5。</w:t>
      </w:r>
    </w:p>
    <w:p w14:paraId="6723B6DC">
      <w:pPr>
        <w:pStyle w:val="6"/>
        <w:bidi w:val="0"/>
        <w:rPr>
          <w:rFonts w:hint="eastAsia"/>
          <w:lang w:val="en-US" w:eastAsia="zh-CN"/>
        </w:rPr>
      </w:pPr>
      <w:r>
        <w:rPr>
          <w:rFonts w:hint="eastAsia"/>
          <w:lang w:val="en-US" w:eastAsia="zh-CN"/>
        </w:rPr>
        <w:t>5号泵站建设详情</w:t>
      </w:r>
    </w:p>
    <w:p w14:paraId="26DDE837">
      <w:pPr>
        <w:bidi w:val="0"/>
        <w:rPr>
          <w:rFonts w:hint="eastAsia"/>
          <w:lang w:val="en-US" w:eastAsia="zh-CN"/>
        </w:rPr>
      </w:pPr>
      <w:r>
        <w:rPr>
          <w:rFonts w:hint="eastAsia"/>
          <w:lang w:val="en-US" w:eastAsia="zh-CN"/>
        </w:rPr>
        <w:t>5号泵站覆盖面积170亩，新建1座砖混结构泵房50㎡，1座40m³过滤沉沙池，河边取水口1处，水肥一体化首部系统1套及配套田间管网工程。</w:t>
      </w:r>
    </w:p>
    <w:p w14:paraId="293A3DB2">
      <w:pPr>
        <w:pStyle w:val="23"/>
        <w:numPr>
          <w:ilvl w:val="0"/>
          <w:numId w:val="8"/>
        </w:numPr>
        <w:ind w:firstLineChars="0"/>
        <w:rPr>
          <w:rFonts w:hint="eastAsia"/>
          <w:lang w:val="en-US" w:eastAsia="zh-CN"/>
        </w:rPr>
      </w:pPr>
      <w:r>
        <w:rPr>
          <w:rFonts w:hint="eastAsia"/>
          <w:lang w:val="en-US" w:eastAsia="zh-CN"/>
        </w:rPr>
        <w:t>泵房设计：经现场勘察及初步计算，即使利用5号站附近最大高差，也无法满足最不利情况下的管道水头损失，所以采用二级提灌方式。5号泵站建筑形式为砖混结构；</w:t>
      </w:r>
    </w:p>
    <w:p w14:paraId="48300723">
      <w:pPr>
        <w:pStyle w:val="23"/>
        <w:numPr>
          <w:ilvl w:val="0"/>
          <w:numId w:val="8"/>
        </w:numPr>
        <w:ind w:firstLineChars="0"/>
        <w:rPr>
          <w:lang w:val="en-US" w:eastAsia="zh-CN"/>
        </w:rPr>
      </w:pPr>
      <w:r>
        <w:rPr>
          <w:rFonts w:hint="eastAsia"/>
          <w:lang w:val="en-US" w:eastAsia="zh-CN"/>
        </w:rPr>
        <w:t>管道设计：5号站内没有已建设施设备，所以新建de110（承压1.25Mpa）管道作为站内供水施肥主管，由de90（承压1.25Mpa）管道作为支管延伸到田间，再连接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3DA69768">
      <w:pPr>
        <w:pStyle w:val="23"/>
        <w:numPr>
          <w:ilvl w:val="0"/>
          <w:numId w:val="8"/>
        </w:numPr>
        <w:ind w:firstLineChars="0"/>
        <w:rPr>
          <w:lang w:val="en-US" w:eastAsia="zh-CN"/>
        </w:rPr>
      </w:pPr>
      <w:r>
        <w:rPr>
          <w:rFonts w:hint="eastAsia"/>
          <w:lang w:val="en-US" w:eastAsia="zh-CN"/>
        </w:rPr>
        <w:t>泵的选型：5号站提灌管道沿程水头损失计算如下表所示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2933A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E05D8">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F7BE2">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E666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CBB1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644AD8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4C1E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E04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6C4B7">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11.38</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F57D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6E377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06D3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70A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44E42">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E8D4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75E9E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B5DF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5F79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E68BC">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2F0D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0501A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545C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F50D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BD4FB">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E2B4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40FA06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38DC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17B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71B26">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138D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4D6AE9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55C8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7FC2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919BE">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41.25</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DC6E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462BE7C5">
      <w:pPr>
        <w:pStyle w:val="23"/>
        <w:ind w:left="0" w:firstLine="560" w:firstLineChars="200"/>
        <w:rPr>
          <w:rFonts w:hint="eastAsia"/>
          <w:lang w:val="en-US" w:eastAsia="zh-CN"/>
        </w:rPr>
      </w:pPr>
      <w:r>
        <w:rPr>
          <w:rFonts w:hint="eastAsia"/>
          <w:lang w:val="en-US" w:eastAsia="zh-CN"/>
        </w:rPr>
        <w:t>因此，主管沿程水头损失为1.13，局部水头损失为0.11m，5号站距离取水口高差为+5m，因此提升泵的扬程应大于6.24m，选用潜水泵200QJ63-12，流量63m³，扬程12m，功率4kw。</w:t>
      </w:r>
    </w:p>
    <w:p w14:paraId="2DC5D807">
      <w:pPr>
        <w:pStyle w:val="23"/>
        <w:ind w:left="0" w:firstLine="560" w:firstLineChars="200"/>
        <w:rPr>
          <w:lang w:val="en-US" w:eastAsia="zh-CN"/>
        </w:rPr>
      </w:pPr>
      <w:r>
        <w:rPr>
          <w:rFonts w:hint="eastAsia"/>
          <w:lang w:val="en-US" w:eastAsia="zh-CN"/>
        </w:rPr>
        <w:t>5号站de110主管水头损失最不利情况为A5--B5--D5端，如下图所示</w:t>
      </w:r>
    </w:p>
    <w:p w14:paraId="4F65AE15">
      <w:pPr>
        <w:pStyle w:val="23"/>
        <w:jc w:val="center"/>
        <w:rPr>
          <w:lang w:val="en-US" w:eastAsia="zh-CN"/>
        </w:rPr>
      </w:pPr>
      <w:r>
        <w:rPr>
          <w:lang w:val="en-US" w:eastAsia="zh-CN"/>
        </w:rPr>
        <w:drawing>
          <wp:inline distT="0" distB="0" distL="114300" distR="114300">
            <wp:extent cx="4093845" cy="5190490"/>
            <wp:effectExtent l="0" t="0" r="33" b="16"/>
            <wp:docPr id="52" name="图片 79" descr="b7eb148b41f6aae1513909f5ac5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9" descr="b7eb148b41f6aae1513909f5ac54647"/>
                    <pic:cNvPicPr>
                      <a:picLocks noChangeAspect="1"/>
                    </pic:cNvPicPr>
                  </pic:nvPicPr>
                  <pic:blipFill>
                    <a:blip r:embed="rId25"/>
                    <a:stretch>
                      <a:fillRect/>
                    </a:stretch>
                  </pic:blipFill>
                  <pic:spPr>
                    <a:xfrm>
                      <a:off x="0" y="0"/>
                      <a:ext cx="4093845" cy="5190490"/>
                    </a:xfrm>
                    <a:prstGeom prst="rect">
                      <a:avLst/>
                    </a:prstGeom>
                    <a:noFill/>
                    <a:ln w="9525" cap="flat" cmpd="sng">
                      <a:noFill/>
                      <a:prstDash val="solid"/>
                      <a:miter/>
                    </a:ln>
                  </pic:spPr>
                </pic:pic>
              </a:graphicData>
            </a:graphic>
          </wp:inline>
        </w:drawing>
      </w:r>
    </w:p>
    <w:p w14:paraId="7677FD81">
      <w:pPr>
        <w:pStyle w:val="23"/>
        <w:jc w:val="center"/>
        <w:rPr>
          <w:lang w:val="en-US" w:eastAsia="zh-CN"/>
        </w:rPr>
      </w:pPr>
      <w:r>
        <w:rPr>
          <w:rFonts w:hint="eastAsia"/>
        </w:rPr>
        <w:t>图</w:t>
      </w:r>
      <w:r>
        <w:rPr>
          <w:rFonts w:hint="eastAsia"/>
          <w:lang w:val="en-US" w:eastAsia="zh-CN"/>
        </w:rPr>
        <w:t>3-9  5号泵站管道平面图</w:t>
      </w:r>
    </w:p>
    <w:p w14:paraId="7D3306DF">
      <w:pPr>
        <w:pStyle w:val="23"/>
        <w:ind w:left="0" w:firstLine="560" w:firstLineChars="200"/>
        <w:rPr>
          <w:lang w:val="en-US" w:eastAsia="zh-CN"/>
        </w:rPr>
      </w:pPr>
      <w:r>
        <w:rPr>
          <w:rFonts w:hint="eastAsia"/>
          <w:lang w:val="en-US" w:eastAsia="zh-CN"/>
        </w:rPr>
        <w:t>5号站de110供水主管沿程水头损失最不利情况计算结果如下表所示：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6BBBB0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CEF6C">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26491">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18EE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4CE6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3FA267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B447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C361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69019">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225.92</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FD81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4CE121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E18C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65C8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66F1A">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5E5E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64FA5C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A54C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DE3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54578">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10BB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6E4FD9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C335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A5A8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8B1A1">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B0E8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6A498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66AC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9914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C4904">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26DB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284CF1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A518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14E5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F2199">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818.64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2D9F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6AE22A87">
      <w:pPr>
        <w:pStyle w:val="23"/>
        <w:ind w:left="0" w:firstLine="560" w:firstLineChars="200"/>
        <w:rPr>
          <w:lang w:val="en-US" w:eastAsia="zh-CN"/>
        </w:rPr>
      </w:pPr>
      <w:r>
        <w:rPr>
          <w:rFonts w:hint="eastAsia"/>
          <w:lang w:val="en-US" w:eastAsia="zh-CN"/>
        </w:rPr>
        <w:t>因此，主管沿程水头损失为22.59m，局部水头损失为2.26m，1号站高差为-4m，因此加压泵的扬程应大于20.85m，选用卧式离心泵ISW80-160,流量50m³/h，扬程32m，功率7.5kw。</w:t>
      </w:r>
    </w:p>
    <w:p w14:paraId="14FFBCA4">
      <w:pPr>
        <w:pStyle w:val="23"/>
        <w:numPr>
          <w:ilvl w:val="0"/>
          <w:numId w:val="8"/>
        </w:numPr>
        <w:ind w:left="0" w:firstLine="560" w:firstLineChars="200"/>
        <w:rPr>
          <w:rFonts w:hint="eastAsia"/>
          <w:lang w:val="en-US" w:eastAsia="zh-CN"/>
        </w:rPr>
      </w:pPr>
      <w:r>
        <w:rPr>
          <w:rFonts w:hint="eastAsia"/>
          <w:lang w:val="en-US" w:eastAsia="zh-CN"/>
        </w:rPr>
        <w:t>灌溉分区：根据玉米/大豆需水量及考虑管道内经济流速，按6-9亩分区，5号站一共分25个灌溉区。如下图所示：</w:t>
      </w:r>
    </w:p>
    <w:p w14:paraId="418FFB4A">
      <w:pPr>
        <w:pStyle w:val="23"/>
        <w:jc w:val="center"/>
        <w:rPr>
          <w:lang w:val="en-US" w:eastAsia="zh-CN"/>
        </w:rPr>
      </w:pPr>
      <w:r>
        <w:rPr>
          <w:lang w:val="en-US" w:eastAsia="zh-CN"/>
        </w:rPr>
        <w:drawing>
          <wp:inline distT="0" distB="0" distL="114300" distR="114300">
            <wp:extent cx="4619625" cy="6486525"/>
            <wp:effectExtent l="0" t="0" r="25" b="4"/>
            <wp:docPr id="55" name="图片 80" descr="8f1052434abf9cee28fac809ae87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0" descr="8f1052434abf9cee28fac809ae87db0"/>
                    <pic:cNvPicPr>
                      <a:picLocks noChangeAspect="1"/>
                    </pic:cNvPicPr>
                  </pic:nvPicPr>
                  <pic:blipFill>
                    <a:blip r:embed="rId26"/>
                    <a:stretch>
                      <a:fillRect/>
                    </a:stretch>
                  </pic:blipFill>
                  <pic:spPr>
                    <a:xfrm>
                      <a:off x="0" y="0"/>
                      <a:ext cx="4619625" cy="6486525"/>
                    </a:xfrm>
                    <a:prstGeom prst="rect">
                      <a:avLst/>
                    </a:prstGeom>
                    <a:noFill/>
                    <a:ln w="9525" cap="flat" cmpd="sng">
                      <a:noFill/>
                      <a:prstDash val="solid"/>
                      <a:miter/>
                    </a:ln>
                  </pic:spPr>
                </pic:pic>
              </a:graphicData>
            </a:graphic>
          </wp:inline>
        </w:drawing>
      </w:r>
    </w:p>
    <w:p w14:paraId="17944183">
      <w:pPr>
        <w:pStyle w:val="23"/>
        <w:jc w:val="center"/>
        <w:rPr>
          <w:lang w:val="en-US" w:eastAsia="zh-CN"/>
        </w:rPr>
      </w:pPr>
      <w:r>
        <w:rPr>
          <w:rFonts w:hint="eastAsia"/>
        </w:rPr>
        <w:t>图</w:t>
      </w:r>
      <w:r>
        <w:rPr>
          <w:rFonts w:hint="eastAsia"/>
          <w:lang w:val="en-US" w:eastAsia="zh-CN"/>
        </w:rPr>
        <w:t>3-10  5号泵站管道及灌溉分区平面图</w:t>
      </w:r>
    </w:p>
    <w:p w14:paraId="47846E63">
      <w:pPr>
        <w:numPr>
          <w:ilvl w:val="0"/>
          <w:numId w:val="8"/>
        </w:numPr>
        <w:bidi w:val="0"/>
        <w:ind w:left="0" w:firstLine="560" w:firstLineChars="200"/>
        <w:rPr>
          <w:rFonts w:hint="eastAsia"/>
          <w:lang w:val="en-US" w:eastAsia="zh-CN"/>
        </w:rPr>
      </w:pPr>
      <w:r>
        <w:rPr>
          <w:rFonts w:hint="eastAsia"/>
          <w:lang w:val="en-US" w:eastAsia="zh-CN"/>
        </w:rPr>
        <w:t>电力工程：5号站内大型用电设备包括提升泵（4kw）、加压泵（7.5kw），变频控制器（11kw），总功率超过22.5kw，5号站由双祠堂村内B变压器（100kvA）供电，因为B变压器同时供电5、6号站，因此需将6号站总功率计算后方可确定变压器容量是否满足需求，如果不满足，将增容变压器。新增连接5号站泵房的低压线经现场勘察，约为334.50m，新增连接5号站泵房至取水口埋地电线37.99m。</w:t>
      </w:r>
    </w:p>
    <w:p w14:paraId="1715BF4A">
      <w:pPr>
        <w:pStyle w:val="23"/>
        <w:ind w:left="560" w:leftChars="200"/>
        <w:rPr>
          <w:rFonts w:hint="eastAsia"/>
          <w:lang w:val="en-US" w:eastAsia="zh-CN"/>
        </w:rPr>
      </w:pPr>
      <w:r>
        <w:rPr>
          <w:rFonts w:hint="eastAsia"/>
          <w:lang w:val="en-US" w:eastAsia="zh-CN"/>
        </w:rPr>
        <w:t>5号站工程数量表详见附表1.6。</w:t>
      </w:r>
    </w:p>
    <w:p w14:paraId="0879F099">
      <w:pPr>
        <w:pStyle w:val="6"/>
        <w:bidi w:val="0"/>
        <w:rPr>
          <w:rFonts w:hint="eastAsia"/>
          <w:lang w:val="en-US" w:eastAsia="zh-CN"/>
        </w:rPr>
      </w:pPr>
      <w:r>
        <w:rPr>
          <w:rFonts w:hint="eastAsia"/>
          <w:lang w:val="en-US" w:eastAsia="zh-CN"/>
        </w:rPr>
        <w:t>6号泵站建设详情</w:t>
      </w:r>
    </w:p>
    <w:p w14:paraId="53B6815D">
      <w:pPr>
        <w:bidi w:val="0"/>
        <w:rPr>
          <w:rFonts w:hint="eastAsia"/>
          <w:lang w:val="en-US" w:eastAsia="zh-CN"/>
        </w:rPr>
      </w:pPr>
      <w:r>
        <w:rPr>
          <w:rFonts w:hint="eastAsia"/>
          <w:lang w:val="en-US" w:eastAsia="zh-CN"/>
        </w:rPr>
        <w:t>6号泵站覆盖面积160亩，新建1座砖混结构泵房50㎡，1座40m³过滤沉沙池，水库取水口1处，水肥一体化首部系统1套及配套田间管网工程。</w:t>
      </w:r>
    </w:p>
    <w:p w14:paraId="6561D2DD">
      <w:pPr>
        <w:pStyle w:val="23"/>
        <w:numPr>
          <w:ilvl w:val="0"/>
          <w:numId w:val="9"/>
        </w:numPr>
        <w:ind w:firstLineChars="0"/>
        <w:rPr>
          <w:rFonts w:hint="eastAsia"/>
          <w:lang w:val="en-US" w:eastAsia="zh-CN"/>
        </w:rPr>
      </w:pPr>
      <w:r>
        <w:rPr>
          <w:rFonts w:hint="eastAsia"/>
          <w:lang w:val="en-US" w:eastAsia="zh-CN"/>
        </w:rPr>
        <w:t>泵房设计：经现场勘察及初步计算，即使利用6号站附近最大高差，也无法满足最不利情况下的管道水头损失，所以采用二级提灌方式。6号泵站建筑形式为砖混结构；</w:t>
      </w:r>
    </w:p>
    <w:p w14:paraId="29502179">
      <w:pPr>
        <w:pStyle w:val="23"/>
        <w:numPr>
          <w:ilvl w:val="0"/>
          <w:numId w:val="9"/>
        </w:numPr>
        <w:ind w:firstLineChars="0"/>
        <w:rPr>
          <w:lang w:val="en-US" w:eastAsia="zh-CN"/>
        </w:rPr>
      </w:pPr>
      <w:r>
        <w:rPr>
          <w:rFonts w:hint="eastAsia"/>
          <w:lang w:val="en-US" w:eastAsia="zh-CN"/>
        </w:rPr>
        <w:t>管道设计：6号站内没有已建设施设备，所以新建de110（承压1.25Mpa）管道作为站内供水施肥主管，由de90（承压1.25Mpa）管道作为支管延伸到田间，再连接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718CF4E8">
      <w:pPr>
        <w:pStyle w:val="23"/>
        <w:numPr>
          <w:ilvl w:val="0"/>
          <w:numId w:val="9"/>
        </w:numPr>
        <w:ind w:firstLineChars="0"/>
        <w:rPr>
          <w:lang w:val="en-US" w:eastAsia="zh-CN"/>
        </w:rPr>
      </w:pPr>
      <w:r>
        <w:rPr>
          <w:rFonts w:hint="eastAsia"/>
          <w:lang w:val="en-US" w:eastAsia="zh-CN"/>
        </w:rPr>
        <w:t>泵的选型：6号站提灌管道沿程水头损失计算如下表所示</w:t>
      </w:r>
    </w:p>
    <w:tbl>
      <w:tblPr>
        <w:tblStyle w:val="21"/>
        <w:tblW w:w="8429"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6"/>
        <w:gridCol w:w="5250"/>
        <w:gridCol w:w="1176"/>
        <w:gridCol w:w="1206"/>
      </w:tblGrid>
      <w:tr w14:paraId="09F836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853FA">
            <w:pPr>
              <w:jc w:val="center"/>
              <w:rPr>
                <w:rFonts w:hint="eastAsia" w:ascii="宋体" w:hAnsi="宋体" w:eastAsia="宋体" w:cs="宋体"/>
                <w:i w:val="0"/>
                <w:iCs w:val="0"/>
                <w:color w:val="000000"/>
                <w:sz w:val="24"/>
                <w:szCs w:val="24"/>
                <w:u w:val="none"/>
              </w:rPr>
            </w:pP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A4399">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361E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6DB1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1E589E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B3AF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4383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7D29C">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4.21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F48A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5CFCEB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BCC6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0C98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64464">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7BC6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0DE636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1"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03FA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A13F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03FA2">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97FB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6ACDD2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A1AE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3EE7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B25C4">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397B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76DE4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5A20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0414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7ADE0">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3CAC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0066F3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9B7B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9B6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B200C">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15.26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BEF8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7AFC22E5">
      <w:pPr>
        <w:pStyle w:val="23"/>
        <w:ind w:left="0" w:firstLine="560" w:firstLineChars="200"/>
        <w:rPr>
          <w:rFonts w:hint="eastAsia"/>
          <w:lang w:val="en-US" w:eastAsia="zh-CN"/>
        </w:rPr>
      </w:pPr>
      <w:r>
        <w:rPr>
          <w:rFonts w:hint="eastAsia"/>
          <w:lang w:val="en-US" w:eastAsia="zh-CN"/>
        </w:rPr>
        <w:t>因此，主管沿程水头损失为0.42，局部水头损失为0.04m，6号站距离取水口高差为+5m，因此提升泵的扬程应大于5.46m，选用潜水泵200QJ63-12，流量63m³，扬程12m，功率4kw。</w:t>
      </w:r>
    </w:p>
    <w:p w14:paraId="41071EEB">
      <w:pPr>
        <w:pStyle w:val="23"/>
        <w:ind w:left="0" w:firstLine="560" w:firstLineChars="200"/>
        <w:rPr>
          <w:lang w:val="en-US" w:eastAsia="zh-CN"/>
        </w:rPr>
      </w:pPr>
      <w:r>
        <w:rPr>
          <w:rFonts w:hint="eastAsia"/>
          <w:lang w:val="en-US" w:eastAsia="zh-CN"/>
        </w:rPr>
        <w:t>6号站de110主管水头损失最不利情况为A6--B6--D6--E6--F6端，如下图所示</w:t>
      </w:r>
    </w:p>
    <w:p w14:paraId="61AF78F9">
      <w:pPr>
        <w:pStyle w:val="23"/>
        <w:jc w:val="center"/>
        <w:rPr>
          <w:lang w:val="en-US" w:eastAsia="zh-CN"/>
        </w:rPr>
      </w:pPr>
      <w:r>
        <w:rPr>
          <w:lang w:val="en-US" w:eastAsia="zh-CN"/>
        </w:rPr>
        <w:drawing>
          <wp:inline distT="0" distB="0" distL="114300" distR="114300">
            <wp:extent cx="5271770" cy="3591560"/>
            <wp:effectExtent l="0" t="0" r="16" b="23"/>
            <wp:docPr id="58" name="图片 85" descr="2a1ac663ebfb35a5a77e3dbdbff2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5" descr="2a1ac663ebfb35a5a77e3dbdbff2e93"/>
                    <pic:cNvPicPr>
                      <a:picLocks noChangeAspect="1"/>
                    </pic:cNvPicPr>
                  </pic:nvPicPr>
                  <pic:blipFill>
                    <a:blip r:embed="rId27"/>
                    <a:stretch>
                      <a:fillRect/>
                    </a:stretch>
                  </pic:blipFill>
                  <pic:spPr>
                    <a:xfrm>
                      <a:off x="0" y="0"/>
                      <a:ext cx="5272404" cy="3591560"/>
                    </a:xfrm>
                    <a:prstGeom prst="rect">
                      <a:avLst/>
                    </a:prstGeom>
                    <a:noFill/>
                    <a:ln w="9525" cap="flat" cmpd="sng">
                      <a:noFill/>
                      <a:prstDash val="solid"/>
                      <a:miter/>
                    </a:ln>
                  </pic:spPr>
                </pic:pic>
              </a:graphicData>
            </a:graphic>
          </wp:inline>
        </w:drawing>
      </w:r>
    </w:p>
    <w:p w14:paraId="785C4AC0">
      <w:pPr>
        <w:pStyle w:val="23"/>
        <w:jc w:val="center"/>
        <w:rPr>
          <w:lang w:val="en-US" w:eastAsia="zh-CN"/>
        </w:rPr>
      </w:pPr>
      <w:r>
        <w:rPr>
          <w:rFonts w:hint="eastAsia"/>
        </w:rPr>
        <w:t>图</w:t>
      </w:r>
      <w:r>
        <w:rPr>
          <w:rFonts w:hint="eastAsia"/>
          <w:lang w:val="en-US" w:eastAsia="zh-CN"/>
        </w:rPr>
        <w:t>3-11  6号泵站管道平面图</w:t>
      </w:r>
    </w:p>
    <w:p w14:paraId="652FB096">
      <w:pPr>
        <w:pStyle w:val="23"/>
        <w:ind w:left="0" w:firstLine="560" w:firstLineChars="200"/>
        <w:rPr>
          <w:lang w:val="en-US" w:eastAsia="zh-CN"/>
        </w:rPr>
      </w:pPr>
      <w:r>
        <w:rPr>
          <w:rFonts w:hint="eastAsia"/>
          <w:lang w:val="en-US" w:eastAsia="zh-CN"/>
        </w:rPr>
        <w:t>6号站de110供水主管沿程水头损失最不利情况计算结果如下表所示：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6DD7D6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1FE66">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5E243">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C5C5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1475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06D6C9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7BCE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B4C1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D5BFD">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126.72</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D806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29F17A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2AC4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F2BA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0EBA4">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E479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3FC3E3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AC9E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D073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ED0E7">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2398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172038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1761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D9FB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5E736">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D289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1C1E19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A890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C508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047A0">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7693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4BC851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92D0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B296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9C806">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459.17</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97C7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320C8D72">
      <w:pPr>
        <w:pStyle w:val="23"/>
        <w:ind w:left="0" w:firstLine="560" w:firstLineChars="200"/>
        <w:rPr>
          <w:lang w:val="en-US" w:eastAsia="zh-CN"/>
        </w:rPr>
      </w:pPr>
      <w:r>
        <w:rPr>
          <w:rFonts w:hint="eastAsia"/>
          <w:lang w:val="en-US" w:eastAsia="zh-CN"/>
        </w:rPr>
        <w:t>因此，主管沿程水头损失为12.67m，局部水头损失为1.26m，6号站高差为+22m，因此加压泵的扬程应大于35.93m，选用卧式离心泵ISW80-200,流量50m³/h，扬程50m，功率15kw。</w:t>
      </w:r>
    </w:p>
    <w:p w14:paraId="6A2EF073">
      <w:pPr>
        <w:pStyle w:val="23"/>
        <w:numPr>
          <w:ilvl w:val="0"/>
          <w:numId w:val="9"/>
        </w:numPr>
        <w:ind w:left="0" w:firstLine="560" w:firstLineChars="200"/>
        <w:rPr>
          <w:rFonts w:hint="eastAsia"/>
          <w:lang w:val="en-US" w:eastAsia="zh-CN"/>
        </w:rPr>
      </w:pPr>
      <w:r>
        <w:rPr>
          <w:rFonts w:hint="eastAsia"/>
          <w:lang w:val="en-US" w:eastAsia="zh-CN"/>
        </w:rPr>
        <w:t>灌溉分区：根据玉米/大豆需水量及考虑管道内经济流速，按6-9亩分区，6号站一共分19个灌溉区。如下图所示：</w:t>
      </w:r>
    </w:p>
    <w:p w14:paraId="4564D3B4">
      <w:pPr>
        <w:pStyle w:val="23"/>
        <w:jc w:val="center"/>
        <w:rPr>
          <w:lang w:val="en-US" w:eastAsia="zh-CN"/>
        </w:rPr>
      </w:pPr>
      <w:r>
        <w:rPr>
          <w:lang w:val="en-US" w:eastAsia="zh-CN"/>
        </w:rPr>
        <w:drawing>
          <wp:inline distT="0" distB="0" distL="114300" distR="114300">
            <wp:extent cx="5270500" cy="3801745"/>
            <wp:effectExtent l="0" t="0" r="15" b="5"/>
            <wp:docPr id="61" name="图片 87" descr="e3249b04778ebb12ffdd2e2d6e1fb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7" descr="e3249b04778ebb12ffdd2e2d6e1fb35"/>
                    <pic:cNvPicPr>
                      <a:picLocks noChangeAspect="1"/>
                    </pic:cNvPicPr>
                  </pic:nvPicPr>
                  <pic:blipFill>
                    <a:blip r:embed="rId28"/>
                    <a:stretch>
                      <a:fillRect/>
                    </a:stretch>
                  </pic:blipFill>
                  <pic:spPr>
                    <a:xfrm>
                      <a:off x="0" y="0"/>
                      <a:ext cx="5271134" cy="3801745"/>
                    </a:xfrm>
                    <a:prstGeom prst="rect">
                      <a:avLst/>
                    </a:prstGeom>
                    <a:noFill/>
                    <a:ln w="9525" cap="flat" cmpd="sng">
                      <a:noFill/>
                      <a:prstDash val="solid"/>
                      <a:miter/>
                    </a:ln>
                  </pic:spPr>
                </pic:pic>
              </a:graphicData>
            </a:graphic>
          </wp:inline>
        </w:drawing>
      </w:r>
    </w:p>
    <w:p w14:paraId="623E40C4">
      <w:pPr>
        <w:pStyle w:val="23"/>
        <w:jc w:val="center"/>
        <w:rPr>
          <w:lang w:val="en-US" w:eastAsia="zh-CN"/>
        </w:rPr>
      </w:pPr>
      <w:r>
        <w:rPr>
          <w:rFonts w:hint="eastAsia"/>
        </w:rPr>
        <w:t>图</w:t>
      </w:r>
      <w:r>
        <w:rPr>
          <w:rFonts w:hint="eastAsia"/>
          <w:lang w:val="en-US" w:eastAsia="zh-CN"/>
        </w:rPr>
        <w:t>3-12  6号泵站管道及灌溉分区平面图</w:t>
      </w:r>
    </w:p>
    <w:p w14:paraId="25F08140">
      <w:pPr>
        <w:numPr>
          <w:ilvl w:val="0"/>
          <w:numId w:val="9"/>
        </w:numPr>
        <w:bidi w:val="0"/>
        <w:ind w:left="0" w:firstLine="560" w:firstLineChars="200"/>
        <w:rPr>
          <w:rFonts w:hint="eastAsia"/>
          <w:lang w:val="en-US" w:eastAsia="zh-CN"/>
        </w:rPr>
      </w:pPr>
      <w:r>
        <w:rPr>
          <w:rFonts w:hint="eastAsia"/>
          <w:lang w:val="en-US" w:eastAsia="zh-CN"/>
        </w:rPr>
        <w:t>电力工程：6号站内大型用电设备包括提升泵（4kw）、加压泵（15kw），变频控制器（22kw），总功率超过39kw，6号站由双祠堂村内B变压器（100kvA）供电，因为B变压器同时供电5、6号站，5、6号站的总功率超过61kw，因此需将B变压器增容到200kvA。新增连接6号站泵房的低压线经现场勘察，约为117m，新增连接6号站泵房至取水口埋地电线15.26m。</w:t>
      </w:r>
    </w:p>
    <w:p w14:paraId="1CB382E2">
      <w:pPr>
        <w:pStyle w:val="23"/>
        <w:ind w:left="560" w:leftChars="200"/>
        <w:rPr>
          <w:rFonts w:hint="eastAsia"/>
          <w:lang w:val="en-US" w:eastAsia="zh-CN"/>
        </w:rPr>
      </w:pPr>
      <w:r>
        <w:rPr>
          <w:rFonts w:hint="eastAsia"/>
          <w:lang w:val="en-US" w:eastAsia="zh-CN"/>
        </w:rPr>
        <w:t>6号站工程数量表详见附表1.7。</w:t>
      </w:r>
    </w:p>
    <w:p w14:paraId="61610EF1">
      <w:pPr>
        <w:pStyle w:val="5"/>
        <w:bidi w:val="0"/>
        <w:rPr>
          <w:lang w:val="en-US" w:eastAsia="zh-CN"/>
        </w:rPr>
      </w:pPr>
      <w:bookmarkStart w:id="74" w:name="_Toc12034"/>
      <w:r>
        <w:rPr>
          <w:rFonts w:hint="eastAsia"/>
          <w:lang w:val="en-US" w:eastAsia="zh-CN"/>
        </w:rPr>
        <w:t>谭家坝村</w:t>
      </w:r>
      <w:bookmarkEnd w:id="74"/>
    </w:p>
    <w:p w14:paraId="6C855600">
      <w:pPr>
        <w:rPr>
          <w:lang w:val="en-US" w:eastAsia="zh-CN"/>
        </w:rPr>
      </w:pPr>
      <w:r>
        <w:rPr>
          <w:rFonts w:hint="eastAsia"/>
          <w:lang w:val="en-US" w:eastAsia="zh-CN"/>
        </w:rPr>
        <w:t>谭家坝村建设5座泵站（7-11号）及1处集中供水设施，7号泵站覆盖面积154亩，8号泵站覆盖155亩，9号泵站覆盖152亩，10号泵站覆盖156亩，11号泵站覆盖155亩，共计772亩。谭家坝村建设de200管网538m，de160管网1681.04m，de110管网6714.90m，de90管网4509.65m，</w:t>
      </w:r>
      <w:r>
        <w:rPr>
          <w:rFonts w:hint="eastAsia" w:ascii="宋体" w:hAnsi="宋体" w:eastAsia="宋体" w:cs="宋体"/>
          <w:lang w:val="en-US" w:eastAsia="zh-CN"/>
        </w:rPr>
        <w:t>Ф</w:t>
      </w:r>
      <w:r>
        <w:rPr>
          <w:rFonts w:hint="eastAsia"/>
          <w:lang w:val="en-US" w:eastAsia="zh-CN"/>
        </w:rPr>
        <w:t>50输水带19779.98m，5套首部系统，5座50㎡砖混泵房，5座40m³沉砂池，3处取水口。</w:t>
      </w:r>
    </w:p>
    <w:p w14:paraId="7B75CF64">
      <w:pPr>
        <w:pStyle w:val="6"/>
        <w:bidi w:val="0"/>
        <w:rPr>
          <w:rFonts w:hint="eastAsia"/>
          <w:lang w:val="en-US" w:eastAsia="zh-CN"/>
        </w:rPr>
      </w:pPr>
      <w:r>
        <w:rPr>
          <w:rFonts w:hint="eastAsia"/>
          <w:lang w:val="en-US" w:eastAsia="zh-CN"/>
        </w:rPr>
        <w:t>7号泵站建设详情</w:t>
      </w:r>
    </w:p>
    <w:p w14:paraId="06277B16">
      <w:pPr>
        <w:bidi w:val="0"/>
        <w:rPr>
          <w:rFonts w:hint="eastAsia"/>
          <w:lang w:val="en-US" w:eastAsia="zh-CN"/>
        </w:rPr>
      </w:pPr>
      <w:r>
        <w:rPr>
          <w:rFonts w:hint="eastAsia"/>
          <w:lang w:val="en-US" w:eastAsia="zh-CN"/>
        </w:rPr>
        <w:t>7号泵站覆盖面积154亩，新建1座砖混结构泵房50㎡，1座40m³过滤沉沙池，水肥一体化首部系统1套及配套田间管网工程。</w:t>
      </w:r>
    </w:p>
    <w:p w14:paraId="67D2A560">
      <w:pPr>
        <w:pStyle w:val="23"/>
        <w:numPr>
          <w:ilvl w:val="0"/>
          <w:numId w:val="10"/>
        </w:numPr>
        <w:ind w:firstLineChars="0"/>
        <w:rPr>
          <w:rFonts w:hint="eastAsia"/>
          <w:lang w:val="en-US" w:eastAsia="zh-CN"/>
        </w:rPr>
      </w:pPr>
      <w:r>
        <w:rPr>
          <w:rFonts w:hint="eastAsia"/>
          <w:lang w:val="en-US" w:eastAsia="zh-CN"/>
        </w:rPr>
        <w:t>泵房设计：经现场勘察及初步计算，即使利用7号站附近最大高差，也无法满足最不利情况下的管道水头损失，所以采用二级提灌方式。7号泵站建筑形式为砖混结构；</w:t>
      </w:r>
    </w:p>
    <w:p w14:paraId="02255817">
      <w:pPr>
        <w:pStyle w:val="23"/>
        <w:numPr>
          <w:ilvl w:val="0"/>
          <w:numId w:val="10"/>
        </w:numPr>
        <w:ind w:firstLineChars="0"/>
        <w:rPr>
          <w:lang w:val="en-US" w:eastAsia="zh-CN"/>
        </w:rPr>
      </w:pPr>
      <w:r>
        <w:rPr>
          <w:rFonts w:hint="eastAsia"/>
          <w:lang w:val="en-US" w:eastAsia="zh-CN"/>
        </w:rPr>
        <w:t>管道设计：7号站内没有可利用已建设施设备，所以新建de110（承压1.25Mpa）管道作为站内供水施肥主管，由de90（承压1.25Mpa）管道作为支管延伸到田间，再连接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0E24F34A">
      <w:pPr>
        <w:pStyle w:val="23"/>
        <w:numPr>
          <w:ilvl w:val="0"/>
          <w:numId w:val="10"/>
        </w:numPr>
        <w:ind w:firstLineChars="0"/>
        <w:rPr>
          <w:lang w:val="en-US" w:eastAsia="zh-CN"/>
        </w:rPr>
      </w:pPr>
      <w:r>
        <w:rPr>
          <w:rFonts w:hint="eastAsia"/>
          <w:lang w:val="en-US" w:eastAsia="zh-CN"/>
        </w:rPr>
        <w:t>泵的选型：7号站内将由其他项目新建拦河坝一座，因此在拦河坝处新建公共提灌站1处，统一向7-10号站供水，供水管道采用de160管道，公共提灌管道沿程水头损失计算如下表所示</w:t>
      </w:r>
    </w:p>
    <w:tbl>
      <w:tblPr>
        <w:tblStyle w:val="21"/>
        <w:tblW w:w="8429"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6"/>
        <w:gridCol w:w="5250"/>
        <w:gridCol w:w="1176"/>
        <w:gridCol w:w="1206"/>
      </w:tblGrid>
      <w:tr w14:paraId="3D61DF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15E91">
            <w:pPr>
              <w:jc w:val="center"/>
              <w:rPr>
                <w:rFonts w:hint="eastAsia" w:ascii="宋体" w:hAnsi="宋体" w:eastAsia="宋体" w:cs="宋体"/>
                <w:i w:val="0"/>
                <w:iCs w:val="0"/>
                <w:color w:val="000000"/>
                <w:sz w:val="24"/>
                <w:szCs w:val="24"/>
                <w:u w:val="none"/>
              </w:rPr>
            </w:pP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39023">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55FF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E76D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7EEE59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94C4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C6B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D2379">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500.47</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CA8D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77B20C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41EB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A839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C6AC9">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5D18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7181F5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1"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BCB4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52D7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ADE52">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8E0F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231C92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EE31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173C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BE444">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0.131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DCAE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1412F0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DA40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5F16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36CFE">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0.028</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AE0D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6CDC1E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9E17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592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5886B">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1681.04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02F4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6D782071">
      <w:pPr>
        <w:pStyle w:val="23"/>
        <w:ind w:left="0" w:firstLine="560" w:firstLineChars="200"/>
        <w:rPr>
          <w:rFonts w:hint="eastAsia"/>
          <w:lang w:val="en-US" w:eastAsia="zh-CN"/>
        </w:rPr>
      </w:pPr>
      <w:r>
        <w:rPr>
          <w:rFonts w:hint="eastAsia"/>
          <w:lang w:val="en-US" w:eastAsia="zh-CN"/>
        </w:rPr>
        <w:t>因此，de160主管沿程水头损失为50.04m，局部水头损失为5m，最大高差为+12m，因此提升泵的扬程应大于67.04m，选用潜水泵250QJ100-72,扬程72m，流量100m³，功率30kw。</w:t>
      </w:r>
    </w:p>
    <w:p w14:paraId="60E0783E">
      <w:pPr>
        <w:pStyle w:val="23"/>
        <w:ind w:left="0" w:firstLine="560" w:firstLineChars="200"/>
        <w:rPr>
          <w:lang w:val="en-US" w:eastAsia="zh-CN"/>
        </w:rPr>
      </w:pPr>
      <w:r>
        <w:rPr>
          <w:rFonts w:hint="eastAsia"/>
          <w:lang w:val="en-US" w:eastAsia="zh-CN"/>
        </w:rPr>
        <w:t>7号站de110主管水头损失最不利情况为A7--B7--D7端，如下图所示</w:t>
      </w:r>
    </w:p>
    <w:p w14:paraId="7A37C0E5">
      <w:pPr>
        <w:pStyle w:val="23"/>
        <w:jc w:val="center"/>
        <w:rPr>
          <w:lang w:val="en-US" w:eastAsia="zh-CN"/>
        </w:rPr>
      </w:pPr>
      <w:r>
        <w:rPr>
          <w:lang w:val="en-US" w:eastAsia="zh-CN"/>
        </w:rPr>
        <w:drawing>
          <wp:inline distT="0" distB="0" distL="114300" distR="114300">
            <wp:extent cx="5267325" cy="5415915"/>
            <wp:effectExtent l="0" t="0" r="15" b="13"/>
            <wp:docPr id="64" name="图片 99" descr="bb6191984b49cb9a426359cc1719b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9" descr="bb6191984b49cb9a426359cc1719b74"/>
                    <pic:cNvPicPr>
                      <a:picLocks noChangeAspect="1"/>
                    </pic:cNvPicPr>
                  </pic:nvPicPr>
                  <pic:blipFill>
                    <a:blip r:embed="rId29"/>
                    <a:stretch>
                      <a:fillRect/>
                    </a:stretch>
                  </pic:blipFill>
                  <pic:spPr>
                    <a:xfrm>
                      <a:off x="0" y="0"/>
                      <a:ext cx="5267325" cy="5415915"/>
                    </a:xfrm>
                    <a:prstGeom prst="rect">
                      <a:avLst/>
                    </a:prstGeom>
                    <a:noFill/>
                    <a:ln w="9525" cap="flat" cmpd="sng">
                      <a:noFill/>
                      <a:prstDash val="solid"/>
                      <a:miter/>
                    </a:ln>
                  </pic:spPr>
                </pic:pic>
              </a:graphicData>
            </a:graphic>
          </wp:inline>
        </w:drawing>
      </w:r>
    </w:p>
    <w:p w14:paraId="7807A0E8">
      <w:pPr>
        <w:pStyle w:val="23"/>
        <w:jc w:val="center"/>
        <w:rPr>
          <w:lang w:val="en-US" w:eastAsia="zh-CN"/>
        </w:rPr>
      </w:pPr>
      <w:r>
        <w:rPr>
          <w:rFonts w:hint="eastAsia"/>
        </w:rPr>
        <w:t>图</w:t>
      </w:r>
      <w:r>
        <w:rPr>
          <w:rFonts w:hint="eastAsia"/>
          <w:lang w:val="en-US" w:eastAsia="zh-CN"/>
        </w:rPr>
        <w:t>3-13  7号泵站管道平面图</w:t>
      </w:r>
    </w:p>
    <w:p w14:paraId="10EEEB35">
      <w:pPr>
        <w:pStyle w:val="23"/>
        <w:ind w:left="0" w:firstLine="560" w:firstLineChars="200"/>
        <w:rPr>
          <w:lang w:val="en-US" w:eastAsia="zh-CN"/>
        </w:rPr>
      </w:pPr>
      <w:r>
        <w:rPr>
          <w:rFonts w:hint="eastAsia"/>
          <w:lang w:val="en-US" w:eastAsia="zh-CN"/>
        </w:rPr>
        <w:t>7号站de110供水主管沿程水头损失最不利情况计算结果如下表所示：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033870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8B237">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B293E">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3AC6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BC0F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4C8714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C35B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F7D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110BB">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148.41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9256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0F6F3A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1DB0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9F95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A2491">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695B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07CE71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2620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D66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76815">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1582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2D22ED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15BF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02F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F5187">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0BDB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06B7B2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F069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7C95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B5AAC">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58E7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7A70E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AE84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D15E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9AC78">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537.76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1381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75DA6E28">
      <w:pPr>
        <w:pStyle w:val="23"/>
        <w:ind w:left="0" w:firstLine="560" w:firstLineChars="200"/>
        <w:rPr>
          <w:lang w:val="en-US" w:eastAsia="zh-CN"/>
        </w:rPr>
      </w:pPr>
      <w:r>
        <w:rPr>
          <w:rFonts w:hint="eastAsia"/>
          <w:lang w:val="en-US" w:eastAsia="zh-CN"/>
        </w:rPr>
        <w:t>因此，主管沿程水头损失为14.84m，局部水头损失为1.48m，7号站高差为+12m，因此加压泵的扬程应大于28.32m，选用卧式离心泵ISW80-160,流量50m³/h，扬程32m，功率7.5kw。</w:t>
      </w:r>
    </w:p>
    <w:p w14:paraId="47CB559E">
      <w:pPr>
        <w:pStyle w:val="23"/>
        <w:numPr>
          <w:ilvl w:val="0"/>
          <w:numId w:val="10"/>
        </w:numPr>
        <w:ind w:left="0" w:firstLine="560" w:firstLineChars="200"/>
        <w:rPr>
          <w:rFonts w:hint="eastAsia"/>
          <w:lang w:val="en-US" w:eastAsia="zh-CN"/>
        </w:rPr>
      </w:pPr>
      <w:r>
        <w:rPr>
          <w:rFonts w:hint="eastAsia"/>
          <w:lang w:val="en-US" w:eastAsia="zh-CN"/>
        </w:rPr>
        <w:t>灌溉分区：根据玉米/大豆需水量及考虑管道内经济流速，按6-9亩分区，7号站一共分18个灌溉区。如下图所示：</w:t>
      </w:r>
    </w:p>
    <w:p w14:paraId="57FA6F89">
      <w:pPr>
        <w:pStyle w:val="23"/>
        <w:jc w:val="center"/>
        <w:rPr>
          <w:lang w:val="en-US" w:eastAsia="zh-CN"/>
        </w:rPr>
      </w:pPr>
      <w:r>
        <w:rPr>
          <w:lang w:val="en-US" w:eastAsia="zh-CN"/>
        </w:rPr>
        <w:drawing>
          <wp:inline distT="0" distB="0" distL="114300" distR="114300">
            <wp:extent cx="4248150" cy="5076825"/>
            <wp:effectExtent l="0" t="0" r="30" b="18"/>
            <wp:docPr id="67" name="图片 101" descr="37b94679055eef2c117f83d5268e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1" descr="37b94679055eef2c117f83d5268eab0"/>
                    <pic:cNvPicPr>
                      <a:picLocks noChangeAspect="1"/>
                    </pic:cNvPicPr>
                  </pic:nvPicPr>
                  <pic:blipFill>
                    <a:blip r:embed="rId30"/>
                    <a:stretch>
                      <a:fillRect/>
                    </a:stretch>
                  </pic:blipFill>
                  <pic:spPr>
                    <a:xfrm>
                      <a:off x="0" y="0"/>
                      <a:ext cx="4248150" cy="5076825"/>
                    </a:xfrm>
                    <a:prstGeom prst="rect">
                      <a:avLst/>
                    </a:prstGeom>
                    <a:noFill/>
                    <a:ln w="9525" cap="flat" cmpd="sng">
                      <a:noFill/>
                      <a:prstDash val="solid"/>
                      <a:miter/>
                    </a:ln>
                  </pic:spPr>
                </pic:pic>
              </a:graphicData>
            </a:graphic>
          </wp:inline>
        </w:drawing>
      </w:r>
    </w:p>
    <w:p w14:paraId="3C430FD4">
      <w:pPr>
        <w:pStyle w:val="23"/>
        <w:jc w:val="center"/>
        <w:rPr>
          <w:lang w:val="en-US" w:eastAsia="zh-CN"/>
        </w:rPr>
      </w:pPr>
      <w:r>
        <w:rPr>
          <w:rFonts w:hint="eastAsia"/>
        </w:rPr>
        <w:t>图</w:t>
      </w:r>
      <w:r>
        <w:rPr>
          <w:rFonts w:hint="eastAsia"/>
          <w:lang w:val="en-US" w:eastAsia="zh-CN"/>
        </w:rPr>
        <w:t>3-14  7号泵站管道及灌溉分区平面图</w:t>
      </w:r>
    </w:p>
    <w:p w14:paraId="3316245B">
      <w:pPr>
        <w:numPr>
          <w:ilvl w:val="0"/>
          <w:numId w:val="10"/>
        </w:numPr>
        <w:bidi w:val="0"/>
        <w:ind w:left="0" w:firstLine="560" w:firstLineChars="200"/>
        <w:rPr>
          <w:rFonts w:hint="eastAsia"/>
          <w:lang w:val="en-US" w:eastAsia="zh-CN"/>
        </w:rPr>
      </w:pPr>
      <w:r>
        <w:rPr>
          <w:rFonts w:hint="eastAsia"/>
          <w:lang w:val="en-US" w:eastAsia="zh-CN"/>
        </w:rPr>
        <w:t>电力工程：6号站内大型用电设备包括提升泵（30kw）、加压泵（7.5kw），变频控制器（11kw），总功率超过48.5kw，7号站由谭家坝村内A变压器（100kvA）供电，因为A变压器同时供电7、8号站，因此需将7、8号站总功率求和后才能确定A变压器是否满足需求，如果不满足要增容。新增连接7号站泵房的低压线经现场勘察，约为750.4m，新增连接7号站泵房至公共取水口埋地电线109.5m。</w:t>
      </w:r>
    </w:p>
    <w:p w14:paraId="58C82975">
      <w:pPr>
        <w:bidi w:val="0"/>
        <w:rPr>
          <w:rFonts w:hint="eastAsia"/>
          <w:lang w:val="en-US" w:eastAsia="zh-CN"/>
        </w:rPr>
      </w:pPr>
      <w:r>
        <w:rPr>
          <w:rFonts w:hint="eastAsia"/>
          <w:lang w:val="en-US" w:eastAsia="zh-CN"/>
        </w:rPr>
        <w:t>7号站工程数量表详见附表1.8。</w:t>
      </w:r>
    </w:p>
    <w:p w14:paraId="2A3E7CBF">
      <w:pPr>
        <w:pStyle w:val="6"/>
        <w:bidi w:val="0"/>
        <w:rPr>
          <w:rFonts w:hint="eastAsia"/>
          <w:lang w:val="en-US" w:eastAsia="zh-CN"/>
        </w:rPr>
      </w:pPr>
      <w:r>
        <w:rPr>
          <w:rFonts w:hint="eastAsia"/>
          <w:lang w:val="en-US" w:eastAsia="zh-CN"/>
        </w:rPr>
        <w:t>8号泵站建设详情</w:t>
      </w:r>
    </w:p>
    <w:p w14:paraId="10AF5796">
      <w:pPr>
        <w:bidi w:val="0"/>
        <w:rPr>
          <w:rFonts w:hint="eastAsia"/>
          <w:lang w:val="en-US" w:eastAsia="zh-CN"/>
        </w:rPr>
      </w:pPr>
      <w:r>
        <w:rPr>
          <w:rFonts w:hint="eastAsia"/>
          <w:lang w:val="en-US" w:eastAsia="zh-CN"/>
        </w:rPr>
        <w:t>8号泵站覆盖面积155亩，新建1座砖混结构泵房50㎡，新建1座40m³沉砂池，水肥一体化首部系统1套及配套田间管网工程。</w:t>
      </w:r>
    </w:p>
    <w:p w14:paraId="58E69B74">
      <w:pPr>
        <w:pStyle w:val="23"/>
        <w:numPr>
          <w:ilvl w:val="0"/>
          <w:numId w:val="11"/>
        </w:numPr>
        <w:ind w:firstLineChars="0"/>
        <w:rPr>
          <w:rFonts w:hint="eastAsia"/>
          <w:lang w:val="en-US" w:eastAsia="zh-CN"/>
        </w:rPr>
      </w:pPr>
      <w:r>
        <w:rPr>
          <w:rFonts w:hint="eastAsia"/>
          <w:lang w:val="en-US" w:eastAsia="zh-CN"/>
        </w:rPr>
        <w:t>泵房设计：经现场勘察及初步计算，即使利用8号站附近最大高差，也无法满足最不利情况下的管道水头损失，所以采用二级提灌方式。8号泵站建筑形式为砖混结构；</w:t>
      </w:r>
    </w:p>
    <w:p w14:paraId="7C4D75CA">
      <w:pPr>
        <w:pStyle w:val="23"/>
        <w:numPr>
          <w:ilvl w:val="0"/>
          <w:numId w:val="11"/>
        </w:numPr>
        <w:ind w:firstLineChars="0"/>
        <w:rPr>
          <w:lang w:val="en-US" w:eastAsia="zh-CN"/>
        </w:rPr>
      </w:pPr>
      <w:r>
        <w:rPr>
          <w:rFonts w:hint="eastAsia"/>
          <w:lang w:val="en-US" w:eastAsia="zh-CN"/>
        </w:rPr>
        <w:t>管道设计：8号站内没有可利用已建设施设备，所以新建de110（承压1.25Mpa）管道作为站内供水施肥主管，由de90（承压1.25Mpa）管道作为支管延伸到田间，再连接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2DDE39CB">
      <w:pPr>
        <w:pStyle w:val="23"/>
        <w:ind w:left="0" w:firstLine="560" w:firstLineChars="200"/>
        <w:rPr>
          <w:rFonts w:hint="eastAsia"/>
          <w:lang w:val="en-US" w:eastAsia="zh-CN"/>
        </w:rPr>
      </w:pPr>
      <w:r>
        <w:rPr>
          <w:rFonts w:hint="eastAsia"/>
          <w:lang w:val="en-US" w:eastAsia="zh-CN"/>
        </w:rPr>
        <w:t>泵的选型：</w:t>
      </w:r>
    </w:p>
    <w:p w14:paraId="2A50858C">
      <w:pPr>
        <w:pStyle w:val="23"/>
        <w:ind w:left="0" w:firstLine="560" w:firstLineChars="200"/>
        <w:rPr>
          <w:lang w:val="en-US" w:eastAsia="zh-CN"/>
        </w:rPr>
      </w:pPr>
      <w:r>
        <w:rPr>
          <w:rFonts w:hint="eastAsia"/>
          <w:lang w:val="en-US" w:eastAsia="zh-CN"/>
        </w:rPr>
        <w:t>8号站de110主管水头损失最不利情况为A8--C8端，如下图所示</w:t>
      </w:r>
    </w:p>
    <w:p w14:paraId="1743DE8E">
      <w:pPr>
        <w:pStyle w:val="23"/>
        <w:jc w:val="center"/>
        <w:rPr>
          <w:lang w:val="en-US" w:eastAsia="zh-CN"/>
        </w:rPr>
      </w:pPr>
      <w:r>
        <w:rPr>
          <w:lang w:val="en-US" w:eastAsia="zh-CN"/>
        </w:rPr>
        <w:drawing>
          <wp:inline distT="0" distB="0" distL="114300" distR="114300">
            <wp:extent cx="4267200" cy="6324600"/>
            <wp:effectExtent l="0" t="0" r="30" b="1"/>
            <wp:docPr id="70" name="图片 109" descr="df43d1300b2df34b301540e215459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09" descr="df43d1300b2df34b301540e215459ea"/>
                    <pic:cNvPicPr>
                      <a:picLocks noChangeAspect="1"/>
                    </pic:cNvPicPr>
                  </pic:nvPicPr>
                  <pic:blipFill>
                    <a:blip r:embed="rId31"/>
                    <a:stretch>
                      <a:fillRect/>
                    </a:stretch>
                  </pic:blipFill>
                  <pic:spPr>
                    <a:xfrm>
                      <a:off x="0" y="0"/>
                      <a:ext cx="4267200" cy="6324600"/>
                    </a:xfrm>
                    <a:prstGeom prst="rect">
                      <a:avLst/>
                    </a:prstGeom>
                    <a:noFill/>
                    <a:ln w="9525" cap="flat" cmpd="sng">
                      <a:noFill/>
                      <a:prstDash val="solid"/>
                      <a:miter/>
                    </a:ln>
                  </pic:spPr>
                </pic:pic>
              </a:graphicData>
            </a:graphic>
          </wp:inline>
        </w:drawing>
      </w:r>
    </w:p>
    <w:p w14:paraId="402DFBC6">
      <w:pPr>
        <w:pStyle w:val="23"/>
        <w:jc w:val="center"/>
        <w:rPr>
          <w:lang w:val="en-US" w:eastAsia="zh-CN"/>
        </w:rPr>
      </w:pPr>
      <w:r>
        <w:rPr>
          <w:rFonts w:hint="eastAsia"/>
        </w:rPr>
        <w:t>图</w:t>
      </w:r>
      <w:r>
        <w:rPr>
          <w:rFonts w:hint="eastAsia"/>
          <w:lang w:val="en-US" w:eastAsia="zh-CN"/>
        </w:rPr>
        <w:t>3-15  7号泵站管道平面图</w:t>
      </w:r>
    </w:p>
    <w:p w14:paraId="2258F322">
      <w:pPr>
        <w:pStyle w:val="23"/>
        <w:ind w:left="0" w:firstLine="560" w:firstLineChars="200"/>
        <w:rPr>
          <w:lang w:val="en-US" w:eastAsia="zh-CN"/>
        </w:rPr>
      </w:pPr>
      <w:r>
        <w:rPr>
          <w:rFonts w:hint="eastAsia"/>
          <w:lang w:val="en-US" w:eastAsia="zh-CN"/>
        </w:rPr>
        <w:t>8号站de110供水主管沿程水头损失最不利情况计算结果如下表所示：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54362F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2FCBF">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2D31D">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3EAD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70C0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0873B6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C1E4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C86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8B419">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212.6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D8E7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65394A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77CE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3B55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B473F">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667B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7A8473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AE22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1AB7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B1B7E">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46C6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578DDA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49CD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9AC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8DCA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A17D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418164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25A3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AC8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01D02">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61ED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0CE08C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1277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81A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9C054">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770.5</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D730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713ED9A1">
      <w:pPr>
        <w:pStyle w:val="23"/>
        <w:ind w:left="0" w:firstLine="560" w:firstLineChars="200"/>
        <w:rPr>
          <w:lang w:val="en-US" w:eastAsia="zh-CN"/>
        </w:rPr>
      </w:pPr>
      <w:r>
        <w:rPr>
          <w:rFonts w:hint="eastAsia"/>
          <w:lang w:val="en-US" w:eastAsia="zh-CN"/>
        </w:rPr>
        <w:t>因此，主管沿程水头损失为21.26m，局部水头损失为2.12m，8号站高差为-3m，因此加压泵的扬程应大于20.38m，选用卧式离心泵ISW80-160,流量50m³/h，扬程32m，功率7.5kw。</w:t>
      </w:r>
    </w:p>
    <w:p w14:paraId="1AA885FC">
      <w:pPr>
        <w:pStyle w:val="23"/>
        <w:numPr>
          <w:ilvl w:val="0"/>
          <w:numId w:val="11"/>
        </w:numPr>
        <w:ind w:left="0" w:firstLine="560" w:firstLineChars="200"/>
        <w:rPr>
          <w:rFonts w:hint="eastAsia"/>
          <w:lang w:val="en-US" w:eastAsia="zh-CN"/>
        </w:rPr>
      </w:pPr>
      <w:r>
        <w:rPr>
          <w:rFonts w:hint="eastAsia"/>
          <w:lang w:val="en-US" w:eastAsia="zh-CN"/>
        </w:rPr>
        <w:t>灌溉分区：根据玉米/大豆需水量及考虑管道内经济流速，按6-9亩分区，8号站一共分18个灌溉区。如下图所示：</w:t>
      </w:r>
    </w:p>
    <w:p w14:paraId="45B9112D">
      <w:pPr>
        <w:pStyle w:val="23"/>
        <w:jc w:val="center"/>
        <w:rPr>
          <w:lang w:val="en-US" w:eastAsia="zh-CN"/>
        </w:rPr>
      </w:pPr>
      <w:r>
        <w:rPr>
          <w:lang w:val="en-US" w:eastAsia="zh-CN"/>
        </w:rPr>
        <w:drawing>
          <wp:inline distT="0" distB="0" distL="114300" distR="114300">
            <wp:extent cx="3924935" cy="4649470"/>
            <wp:effectExtent l="0" t="0" r="28" b="8"/>
            <wp:docPr id="73" name="图片 110" descr="27f8ebe744443334a970f1a24571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0" descr="27f8ebe744443334a970f1a24571e12"/>
                    <pic:cNvPicPr>
                      <a:picLocks noChangeAspect="1"/>
                    </pic:cNvPicPr>
                  </pic:nvPicPr>
                  <pic:blipFill>
                    <a:blip r:embed="rId32"/>
                    <a:stretch>
                      <a:fillRect/>
                    </a:stretch>
                  </pic:blipFill>
                  <pic:spPr>
                    <a:xfrm>
                      <a:off x="0" y="0"/>
                      <a:ext cx="3924935" cy="4649470"/>
                    </a:xfrm>
                    <a:prstGeom prst="rect">
                      <a:avLst/>
                    </a:prstGeom>
                    <a:noFill/>
                    <a:ln w="9525" cap="flat" cmpd="sng">
                      <a:noFill/>
                      <a:prstDash val="solid"/>
                      <a:miter/>
                    </a:ln>
                  </pic:spPr>
                </pic:pic>
              </a:graphicData>
            </a:graphic>
          </wp:inline>
        </w:drawing>
      </w:r>
    </w:p>
    <w:p w14:paraId="72896D86">
      <w:pPr>
        <w:pStyle w:val="23"/>
        <w:jc w:val="center"/>
        <w:rPr>
          <w:lang w:val="en-US" w:eastAsia="zh-CN"/>
        </w:rPr>
      </w:pPr>
      <w:r>
        <w:rPr>
          <w:rFonts w:hint="eastAsia"/>
        </w:rPr>
        <w:t>图</w:t>
      </w:r>
      <w:r>
        <w:rPr>
          <w:rFonts w:hint="eastAsia"/>
          <w:lang w:val="en-US" w:eastAsia="zh-CN"/>
        </w:rPr>
        <w:t>3-16  8号泵站管道及灌溉分区平面图</w:t>
      </w:r>
    </w:p>
    <w:p w14:paraId="7E9BF4FB">
      <w:pPr>
        <w:numPr>
          <w:ilvl w:val="0"/>
          <w:numId w:val="11"/>
        </w:numPr>
        <w:bidi w:val="0"/>
        <w:ind w:left="0" w:firstLine="560" w:firstLineChars="200"/>
        <w:rPr>
          <w:rFonts w:hint="eastAsia"/>
          <w:lang w:val="en-US" w:eastAsia="zh-CN"/>
        </w:rPr>
      </w:pPr>
      <w:r>
        <w:rPr>
          <w:rFonts w:hint="eastAsia"/>
          <w:lang w:val="en-US" w:eastAsia="zh-CN"/>
        </w:rPr>
        <w:t>电力工程：8号站内大型用电设备包括、加压泵（7.5kw），变频控制器（11kw），总功率超过18.5kw，8号站由谭家坝村内A变压器（100kvA）供电，因为A变压器同时供电7、8号站，7、8号站的总功率超过67kw，因此需将A变压器增容到200kvA。新增连接8号站泵房的低压线经现场勘察，约为272.68m。</w:t>
      </w:r>
    </w:p>
    <w:p w14:paraId="4460298B">
      <w:pPr>
        <w:bidi w:val="0"/>
        <w:rPr>
          <w:rFonts w:hint="eastAsia"/>
          <w:lang w:val="en-US" w:eastAsia="zh-CN"/>
        </w:rPr>
      </w:pPr>
      <w:r>
        <w:rPr>
          <w:rFonts w:hint="eastAsia"/>
          <w:lang w:val="en-US" w:eastAsia="zh-CN"/>
        </w:rPr>
        <w:t>8号站工程数量表详见附表1.9。</w:t>
      </w:r>
    </w:p>
    <w:p w14:paraId="2B6003B3">
      <w:pPr>
        <w:pStyle w:val="6"/>
        <w:bidi w:val="0"/>
        <w:rPr>
          <w:rFonts w:hint="eastAsia"/>
          <w:lang w:val="en-US" w:eastAsia="zh-CN"/>
        </w:rPr>
      </w:pPr>
      <w:r>
        <w:rPr>
          <w:rFonts w:hint="eastAsia"/>
          <w:lang w:val="en-US" w:eastAsia="zh-CN"/>
        </w:rPr>
        <w:t>9号泵站建设详情</w:t>
      </w:r>
    </w:p>
    <w:p w14:paraId="4F8204BC">
      <w:pPr>
        <w:bidi w:val="0"/>
        <w:rPr>
          <w:rFonts w:hint="eastAsia"/>
          <w:lang w:val="en-US" w:eastAsia="zh-CN"/>
        </w:rPr>
      </w:pPr>
      <w:r>
        <w:rPr>
          <w:rFonts w:hint="eastAsia"/>
          <w:lang w:val="en-US" w:eastAsia="zh-CN"/>
        </w:rPr>
        <w:t>9号泵站覆盖面积152亩，新建1座砖混结构泵房50㎡，1座40m³过滤沉沙池，水肥一体化首部系统1套及配套田间管网工程。</w:t>
      </w:r>
    </w:p>
    <w:p w14:paraId="576D741C">
      <w:pPr>
        <w:pStyle w:val="23"/>
        <w:numPr>
          <w:ilvl w:val="0"/>
          <w:numId w:val="12"/>
        </w:numPr>
        <w:ind w:firstLineChars="0"/>
        <w:rPr>
          <w:rFonts w:hint="eastAsia"/>
          <w:lang w:val="en-US" w:eastAsia="zh-CN"/>
        </w:rPr>
      </w:pPr>
      <w:r>
        <w:rPr>
          <w:rFonts w:hint="eastAsia"/>
          <w:lang w:val="en-US" w:eastAsia="zh-CN"/>
        </w:rPr>
        <w:t>泵房设计：经现场勘察及初步计算，即使利用9号站附近最大高差，也无法满足最不利情况下的管道水头损失，所以采用二级提灌方式。9号泵站建筑形式为砖混结构；</w:t>
      </w:r>
    </w:p>
    <w:p w14:paraId="5196A72A">
      <w:pPr>
        <w:pStyle w:val="23"/>
        <w:numPr>
          <w:ilvl w:val="0"/>
          <w:numId w:val="12"/>
        </w:numPr>
        <w:ind w:firstLineChars="0"/>
        <w:rPr>
          <w:lang w:val="en-US" w:eastAsia="zh-CN"/>
        </w:rPr>
      </w:pPr>
      <w:r>
        <w:rPr>
          <w:rFonts w:hint="eastAsia"/>
          <w:lang w:val="en-US" w:eastAsia="zh-CN"/>
        </w:rPr>
        <w:t>管道设计：9号站内没有可利用已建设施设备，所以新建de110（承压1.25Mpa）管道作为站内供水施肥主管，由de90（承压1.25Mpa）管道作为支管延伸到田间，再连接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52EF82F2">
      <w:pPr>
        <w:pStyle w:val="23"/>
        <w:ind w:left="0" w:firstLine="560" w:firstLineChars="200"/>
        <w:rPr>
          <w:rFonts w:hint="eastAsia"/>
          <w:lang w:val="en-US" w:eastAsia="zh-CN"/>
        </w:rPr>
      </w:pPr>
      <w:r>
        <w:rPr>
          <w:rFonts w:hint="eastAsia"/>
          <w:lang w:val="en-US" w:eastAsia="zh-CN"/>
        </w:rPr>
        <w:t>泵的选型：</w:t>
      </w:r>
    </w:p>
    <w:p w14:paraId="0C98EEF5">
      <w:pPr>
        <w:pStyle w:val="23"/>
        <w:ind w:left="0" w:firstLine="560" w:firstLineChars="200"/>
        <w:rPr>
          <w:lang w:val="en-US" w:eastAsia="zh-CN"/>
        </w:rPr>
      </w:pPr>
      <w:r>
        <w:rPr>
          <w:rFonts w:hint="eastAsia"/>
          <w:lang w:val="en-US" w:eastAsia="zh-CN"/>
        </w:rPr>
        <w:t>9号站de110主管水头损失最不利情况为A9--B9端，如下图所示</w:t>
      </w:r>
    </w:p>
    <w:p w14:paraId="47D0E461">
      <w:pPr>
        <w:pStyle w:val="23"/>
        <w:jc w:val="center"/>
        <w:rPr>
          <w:lang w:val="en-US" w:eastAsia="zh-CN"/>
        </w:rPr>
      </w:pPr>
      <w:r>
        <w:rPr>
          <w:lang w:val="en-US" w:eastAsia="zh-CN"/>
        </w:rPr>
        <w:drawing>
          <wp:inline distT="0" distB="0" distL="114300" distR="114300">
            <wp:extent cx="5271770" cy="6698615"/>
            <wp:effectExtent l="0" t="0" r="46" b="25"/>
            <wp:docPr id="76" name="图片 113" descr="1d6c404f9eee7966392b2b719329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3" descr="1d6c404f9eee7966392b2b719329e84"/>
                    <pic:cNvPicPr>
                      <a:picLocks noChangeAspect="1"/>
                    </pic:cNvPicPr>
                  </pic:nvPicPr>
                  <pic:blipFill>
                    <a:blip r:embed="rId33"/>
                    <a:stretch>
                      <a:fillRect/>
                    </a:stretch>
                  </pic:blipFill>
                  <pic:spPr>
                    <a:xfrm>
                      <a:off x="0" y="0"/>
                      <a:ext cx="5271770" cy="6698615"/>
                    </a:xfrm>
                    <a:prstGeom prst="rect">
                      <a:avLst/>
                    </a:prstGeom>
                    <a:noFill/>
                    <a:ln w="9525" cap="flat" cmpd="sng">
                      <a:noFill/>
                      <a:prstDash val="solid"/>
                      <a:miter/>
                    </a:ln>
                  </pic:spPr>
                </pic:pic>
              </a:graphicData>
            </a:graphic>
          </wp:inline>
        </w:drawing>
      </w:r>
    </w:p>
    <w:p w14:paraId="7B630120">
      <w:pPr>
        <w:pStyle w:val="23"/>
        <w:jc w:val="center"/>
        <w:rPr>
          <w:lang w:val="en-US" w:eastAsia="zh-CN"/>
        </w:rPr>
      </w:pPr>
      <w:r>
        <w:rPr>
          <w:rFonts w:hint="eastAsia"/>
        </w:rPr>
        <w:t>图</w:t>
      </w:r>
      <w:r>
        <w:rPr>
          <w:rFonts w:hint="eastAsia"/>
          <w:lang w:val="en-US" w:eastAsia="zh-CN"/>
        </w:rPr>
        <w:t>3-17  9号泵站管道平面图</w:t>
      </w:r>
    </w:p>
    <w:p w14:paraId="6A4A6023">
      <w:pPr>
        <w:pStyle w:val="23"/>
        <w:ind w:left="0" w:firstLine="560" w:firstLineChars="200"/>
        <w:rPr>
          <w:lang w:val="en-US" w:eastAsia="zh-CN"/>
        </w:rPr>
      </w:pPr>
      <w:r>
        <w:rPr>
          <w:rFonts w:hint="eastAsia"/>
          <w:lang w:val="en-US" w:eastAsia="zh-CN"/>
        </w:rPr>
        <w:t>9号站de110供水主管沿程水头损失最不利情况计算结果如下表所示：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5CF99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248D1">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C366A">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F4CF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5608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48274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6100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B23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AFB41">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195.06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29AE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0150AE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C352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FD88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EA502">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ADD9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085249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93D9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1A25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F661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C015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43D19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9CFB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B0BA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8A000">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3783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0D0BF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038C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DC7F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77913">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DBA0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09A17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FDCC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D526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290C9">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706.8</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72E9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0F6384EA">
      <w:pPr>
        <w:pStyle w:val="23"/>
        <w:ind w:left="0" w:firstLine="560" w:firstLineChars="200"/>
        <w:rPr>
          <w:lang w:val="en-US" w:eastAsia="zh-CN"/>
        </w:rPr>
      </w:pPr>
      <w:r>
        <w:rPr>
          <w:rFonts w:hint="eastAsia"/>
          <w:lang w:val="en-US" w:eastAsia="zh-CN"/>
        </w:rPr>
        <w:t>因此，主管沿程水头损失为19.5m，局部水头损失为1.95m，9号站高差为+4m，因此加压泵的扬程应大于25.45m，选用卧式离心泵ISW80-160,流量50m³/h，扬程32m，功率7.5kw。</w:t>
      </w:r>
    </w:p>
    <w:p w14:paraId="2CFB7E79">
      <w:pPr>
        <w:pStyle w:val="23"/>
        <w:numPr>
          <w:ilvl w:val="0"/>
          <w:numId w:val="12"/>
        </w:numPr>
        <w:ind w:left="0" w:firstLine="560" w:firstLineChars="200"/>
        <w:rPr>
          <w:rFonts w:hint="eastAsia"/>
          <w:lang w:val="en-US" w:eastAsia="zh-CN"/>
        </w:rPr>
      </w:pPr>
      <w:r>
        <w:rPr>
          <w:rFonts w:hint="eastAsia"/>
          <w:lang w:val="en-US" w:eastAsia="zh-CN"/>
        </w:rPr>
        <w:t>灌溉分区：根据玉米/大豆需水量及考虑管道内经济流速，按6-9亩分区，9号站一共分19个灌溉区。如下图所示：</w:t>
      </w:r>
    </w:p>
    <w:p w14:paraId="73D193F7">
      <w:pPr>
        <w:pStyle w:val="23"/>
        <w:jc w:val="center"/>
        <w:rPr>
          <w:lang w:val="en-US" w:eastAsia="zh-CN"/>
        </w:rPr>
      </w:pPr>
      <w:r>
        <w:rPr>
          <w:lang w:val="en-US" w:eastAsia="zh-CN"/>
        </w:rPr>
        <w:drawing>
          <wp:inline distT="0" distB="0" distL="114300" distR="114300">
            <wp:extent cx="4562475" cy="6619240"/>
            <wp:effectExtent l="0" t="0" r="26" b="5"/>
            <wp:docPr id="79" name="图片 114" descr="c365aa9e38adb9f3b5b7c775c2f0f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4" descr="c365aa9e38adb9f3b5b7c775c2f0f51"/>
                    <pic:cNvPicPr>
                      <a:picLocks noChangeAspect="1"/>
                    </pic:cNvPicPr>
                  </pic:nvPicPr>
                  <pic:blipFill>
                    <a:blip r:embed="rId34"/>
                    <a:stretch>
                      <a:fillRect/>
                    </a:stretch>
                  </pic:blipFill>
                  <pic:spPr>
                    <a:xfrm>
                      <a:off x="0" y="0"/>
                      <a:ext cx="4562475" cy="6619874"/>
                    </a:xfrm>
                    <a:prstGeom prst="rect">
                      <a:avLst/>
                    </a:prstGeom>
                    <a:noFill/>
                    <a:ln w="9525" cap="flat" cmpd="sng">
                      <a:noFill/>
                      <a:prstDash val="solid"/>
                      <a:miter/>
                    </a:ln>
                  </pic:spPr>
                </pic:pic>
              </a:graphicData>
            </a:graphic>
          </wp:inline>
        </w:drawing>
      </w:r>
    </w:p>
    <w:p w14:paraId="3D852751">
      <w:pPr>
        <w:pStyle w:val="23"/>
        <w:jc w:val="center"/>
        <w:rPr>
          <w:lang w:val="en-US" w:eastAsia="zh-CN"/>
        </w:rPr>
      </w:pPr>
      <w:r>
        <w:rPr>
          <w:rFonts w:hint="eastAsia"/>
        </w:rPr>
        <w:t>图</w:t>
      </w:r>
      <w:r>
        <w:rPr>
          <w:rFonts w:hint="eastAsia"/>
          <w:lang w:val="en-US" w:eastAsia="zh-CN"/>
        </w:rPr>
        <w:t>3-18  9号泵站管道及灌溉分区平面图</w:t>
      </w:r>
    </w:p>
    <w:p w14:paraId="07C0E764">
      <w:pPr>
        <w:numPr>
          <w:ilvl w:val="0"/>
          <w:numId w:val="12"/>
        </w:numPr>
        <w:bidi w:val="0"/>
        <w:ind w:left="0" w:firstLine="560" w:firstLineChars="200"/>
        <w:rPr>
          <w:rFonts w:hint="eastAsia"/>
          <w:lang w:val="en-US" w:eastAsia="zh-CN"/>
        </w:rPr>
      </w:pPr>
      <w:r>
        <w:rPr>
          <w:rFonts w:hint="eastAsia"/>
          <w:lang w:val="en-US" w:eastAsia="zh-CN"/>
        </w:rPr>
        <w:t>电力工程：9号站内大型用电设备包括、加压泵（7.5kw），变频控制器（11kw），总功率超过18.5kw，9号站由谭家坝村内B变压器（100kvA）供电，因为B变压器同时供电9、10号站，因此需将9、10号站总功率求和后才能确定B变压器是否满足需求，如果不满足要增容。新增连接9号站泵房的低压线经现场勘察，约为38.76m。</w:t>
      </w:r>
    </w:p>
    <w:p w14:paraId="4C068AC3">
      <w:pPr>
        <w:bidi w:val="0"/>
        <w:rPr>
          <w:rFonts w:hint="eastAsia"/>
          <w:lang w:val="en-US" w:eastAsia="zh-CN"/>
        </w:rPr>
      </w:pPr>
      <w:r>
        <w:rPr>
          <w:rFonts w:hint="eastAsia"/>
          <w:lang w:val="en-US" w:eastAsia="zh-CN"/>
        </w:rPr>
        <w:t>9号站工程数量表详见附表1.10。</w:t>
      </w:r>
    </w:p>
    <w:p w14:paraId="09C27510">
      <w:pPr>
        <w:pStyle w:val="6"/>
        <w:bidi w:val="0"/>
        <w:rPr>
          <w:rFonts w:hint="eastAsia"/>
          <w:lang w:val="en-US" w:eastAsia="zh-CN"/>
        </w:rPr>
      </w:pPr>
      <w:r>
        <w:rPr>
          <w:rFonts w:hint="eastAsia"/>
          <w:lang w:val="en-US" w:eastAsia="zh-CN"/>
        </w:rPr>
        <w:t>10号泵站建设详情</w:t>
      </w:r>
    </w:p>
    <w:p w14:paraId="4A4C1ABE">
      <w:pPr>
        <w:bidi w:val="0"/>
        <w:rPr>
          <w:rFonts w:hint="eastAsia"/>
          <w:lang w:val="en-US" w:eastAsia="zh-CN"/>
        </w:rPr>
      </w:pPr>
      <w:r>
        <w:rPr>
          <w:rFonts w:hint="eastAsia"/>
          <w:lang w:val="en-US" w:eastAsia="zh-CN"/>
        </w:rPr>
        <w:t>10号泵站覆盖面积156亩，新建1座砖混结构泵房50㎡，1座40m³过滤沉沙池，水肥一体化首部系统1套及配套田间管网工程。</w:t>
      </w:r>
    </w:p>
    <w:p w14:paraId="0536F0BF">
      <w:pPr>
        <w:pStyle w:val="23"/>
        <w:numPr>
          <w:ilvl w:val="0"/>
          <w:numId w:val="13"/>
        </w:numPr>
        <w:ind w:firstLineChars="0"/>
        <w:rPr>
          <w:rFonts w:hint="eastAsia"/>
          <w:lang w:val="en-US" w:eastAsia="zh-CN"/>
        </w:rPr>
      </w:pPr>
      <w:r>
        <w:rPr>
          <w:rFonts w:hint="eastAsia"/>
          <w:lang w:val="en-US" w:eastAsia="zh-CN"/>
        </w:rPr>
        <w:t>泵房设计：经现场勘察及初步计算，即使利用10号站附近最大高差，也无法满足最不利情况下的管道水头损失，所以采用二级提灌方式。10号泵站建筑形式为砖混结构；</w:t>
      </w:r>
    </w:p>
    <w:p w14:paraId="37B16175">
      <w:pPr>
        <w:pStyle w:val="23"/>
        <w:numPr>
          <w:ilvl w:val="0"/>
          <w:numId w:val="13"/>
        </w:numPr>
        <w:ind w:firstLineChars="0"/>
        <w:rPr>
          <w:lang w:val="en-US" w:eastAsia="zh-CN"/>
        </w:rPr>
      </w:pPr>
      <w:r>
        <w:rPr>
          <w:rFonts w:hint="eastAsia"/>
          <w:lang w:val="en-US" w:eastAsia="zh-CN"/>
        </w:rPr>
        <w:t>管道设计：10号站内没有可利用已建设施设备，所以新建de110（承压1.25Mpa）管道作为站内供水施肥主管，由de90（承压1.25Mpa）管道作为支管延伸到田间，再连接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2B480E9F">
      <w:pPr>
        <w:pStyle w:val="23"/>
        <w:ind w:left="0" w:firstLine="560" w:firstLineChars="200"/>
        <w:rPr>
          <w:rFonts w:hint="eastAsia"/>
          <w:lang w:val="en-US" w:eastAsia="zh-CN"/>
        </w:rPr>
      </w:pPr>
      <w:r>
        <w:rPr>
          <w:rFonts w:hint="eastAsia"/>
          <w:lang w:val="en-US" w:eastAsia="zh-CN"/>
        </w:rPr>
        <w:t>泵的选型：</w:t>
      </w:r>
    </w:p>
    <w:p w14:paraId="701FCCD3">
      <w:pPr>
        <w:pStyle w:val="23"/>
        <w:ind w:left="0" w:firstLine="560" w:firstLineChars="200"/>
        <w:rPr>
          <w:lang w:val="en-US" w:eastAsia="zh-CN"/>
        </w:rPr>
      </w:pPr>
      <w:r>
        <w:rPr>
          <w:rFonts w:hint="eastAsia"/>
          <w:lang w:val="en-US" w:eastAsia="zh-CN"/>
        </w:rPr>
        <w:t>10号站de110主管水头损失最不利情况为A10--B10--D10--E10端，如下图所示</w:t>
      </w:r>
    </w:p>
    <w:p w14:paraId="26DE679A">
      <w:pPr>
        <w:pStyle w:val="23"/>
        <w:jc w:val="center"/>
        <w:rPr>
          <w:lang w:val="en-US" w:eastAsia="zh-CN"/>
        </w:rPr>
      </w:pPr>
      <w:r>
        <w:rPr>
          <w:lang w:val="en-US" w:eastAsia="zh-CN"/>
        </w:rPr>
        <w:drawing>
          <wp:inline distT="0" distB="0" distL="114300" distR="114300">
            <wp:extent cx="5269230" cy="4543425"/>
            <wp:effectExtent l="0" t="0" r="15" b="26"/>
            <wp:docPr id="82" name="图片 117" descr="cf115fd79d825dd30d5a008720557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7" descr="cf115fd79d825dd30d5a008720557a3"/>
                    <pic:cNvPicPr>
                      <a:picLocks noChangeAspect="1"/>
                    </pic:cNvPicPr>
                  </pic:nvPicPr>
                  <pic:blipFill>
                    <a:blip r:embed="rId35"/>
                    <a:stretch>
                      <a:fillRect/>
                    </a:stretch>
                  </pic:blipFill>
                  <pic:spPr>
                    <a:xfrm>
                      <a:off x="0" y="0"/>
                      <a:ext cx="5269230" cy="4543425"/>
                    </a:xfrm>
                    <a:prstGeom prst="rect">
                      <a:avLst/>
                    </a:prstGeom>
                    <a:noFill/>
                    <a:ln w="9525" cap="flat" cmpd="sng">
                      <a:noFill/>
                      <a:prstDash val="solid"/>
                      <a:miter/>
                    </a:ln>
                  </pic:spPr>
                </pic:pic>
              </a:graphicData>
            </a:graphic>
          </wp:inline>
        </w:drawing>
      </w:r>
    </w:p>
    <w:p w14:paraId="6F98C17F">
      <w:pPr>
        <w:pStyle w:val="23"/>
        <w:jc w:val="center"/>
        <w:rPr>
          <w:lang w:val="en-US" w:eastAsia="zh-CN"/>
        </w:rPr>
      </w:pPr>
      <w:r>
        <w:rPr>
          <w:rFonts w:hint="eastAsia"/>
        </w:rPr>
        <w:t>图</w:t>
      </w:r>
      <w:r>
        <w:rPr>
          <w:rFonts w:hint="eastAsia"/>
          <w:lang w:val="en-US" w:eastAsia="zh-CN"/>
        </w:rPr>
        <w:t>3-19  9号泵站管道平面图</w:t>
      </w:r>
    </w:p>
    <w:p w14:paraId="5808856A">
      <w:pPr>
        <w:pStyle w:val="23"/>
        <w:ind w:left="0" w:firstLine="560" w:firstLineChars="200"/>
        <w:rPr>
          <w:lang w:val="en-US" w:eastAsia="zh-CN"/>
        </w:rPr>
      </w:pPr>
      <w:r>
        <w:rPr>
          <w:rFonts w:hint="eastAsia"/>
          <w:lang w:val="en-US" w:eastAsia="zh-CN"/>
        </w:rPr>
        <w:t>10号站de110供水主管沿程水头损失最不利情况计算结果如下表所示：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7C1B6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C5022">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75BB2">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79B9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5B9A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3213DF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63CD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882A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0ECFC">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272.87</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303A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0CE280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E38D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0021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B67A3">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0649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0BA77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2EAB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7B6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B9C12">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C92F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56560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2DF6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CF7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B44A2">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7E9F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488561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A54C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E7FD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164C5">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45C4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426BB0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27B7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02B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4636F">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988.76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846F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00E6144C">
      <w:pPr>
        <w:pStyle w:val="23"/>
        <w:ind w:left="0" w:firstLine="560" w:firstLineChars="200"/>
        <w:rPr>
          <w:lang w:val="en-US" w:eastAsia="zh-CN"/>
        </w:rPr>
      </w:pPr>
      <w:r>
        <w:rPr>
          <w:rFonts w:hint="eastAsia"/>
          <w:lang w:val="en-US" w:eastAsia="zh-CN"/>
        </w:rPr>
        <w:t>因此，主管沿程水头损失为27.28m，局部水头损失为2.72m，10号站高差为+11m，因此加压泵的扬程应大于41m，选用卧式离心泵ISW80-160,流量50m³/h，扬程50m，功率15kw。</w:t>
      </w:r>
    </w:p>
    <w:p w14:paraId="7C238444">
      <w:pPr>
        <w:pStyle w:val="23"/>
        <w:numPr>
          <w:ilvl w:val="0"/>
          <w:numId w:val="13"/>
        </w:numPr>
        <w:ind w:left="0" w:firstLine="560" w:firstLineChars="200"/>
        <w:rPr>
          <w:rFonts w:hint="eastAsia"/>
          <w:lang w:val="en-US" w:eastAsia="zh-CN"/>
        </w:rPr>
      </w:pPr>
      <w:r>
        <w:rPr>
          <w:rFonts w:hint="eastAsia"/>
          <w:lang w:val="en-US" w:eastAsia="zh-CN"/>
        </w:rPr>
        <w:t>灌溉分区：根据玉米/大豆需水量及考虑管道内经济流速，按6-9亩分区，10号站一共分22个灌溉区。如下图所示：</w:t>
      </w:r>
    </w:p>
    <w:p w14:paraId="204FEA2B">
      <w:pPr>
        <w:pStyle w:val="23"/>
        <w:jc w:val="center"/>
        <w:rPr>
          <w:lang w:val="en-US" w:eastAsia="zh-CN"/>
        </w:rPr>
      </w:pPr>
      <w:r>
        <w:rPr>
          <w:lang w:val="en-US" w:eastAsia="zh-CN"/>
        </w:rPr>
        <w:drawing>
          <wp:inline distT="0" distB="0" distL="114300" distR="114300">
            <wp:extent cx="4276725" cy="4904740"/>
            <wp:effectExtent l="0" t="0" r="30" b="22"/>
            <wp:docPr id="85" name="图片 118" descr="0633a236efc354381ec22912c224d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18" descr="0633a236efc354381ec22912c224d1a"/>
                    <pic:cNvPicPr>
                      <a:picLocks noChangeAspect="1"/>
                    </pic:cNvPicPr>
                  </pic:nvPicPr>
                  <pic:blipFill>
                    <a:blip r:embed="rId36"/>
                    <a:stretch>
                      <a:fillRect/>
                    </a:stretch>
                  </pic:blipFill>
                  <pic:spPr>
                    <a:xfrm>
                      <a:off x="0" y="0"/>
                      <a:ext cx="4276725" cy="4905373"/>
                    </a:xfrm>
                    <a:prstGeom prst="rect">
                      <a:avLst/>
                    </a:prstGeom>
                    <a:noFill/>
                    <a:ln w="9525" cap="flat" cmpd="sng">
                      <a:noFill/>
                      <a:prstDash val="solid"/>
                      <a:miter/>
                    </a:ln>
                  </pic:spPr>
                </pic:pic>
              </a:graphicData>
            </a:graphic>
          </wp:inline>
        </w:drawing>
      </w:r>
    </w:p>
    <w:p w14:paraId="584C471A">
      <w:pPr>
        <w:pStyle w:val="23"/>
        <w:jc w:val="center"/>
        <w:rPr>
          <w:lang w:val="en-US" w:eastAsia="zh-CN"/>
        </w:rPr>
      </w:pPr>
      <w:r>
        <w:rPr>
          <w:rFonts w:hint="eastAsia"/>
        </w:rPr>
        <w:t>图</w:t>
      </w:r>
      <w:r>
        <w:rPr>
          <w:rFonts w:hint="eastAsia"/>
          <w:lang w:val="en-US" w:eastAsia="zh-CN"/>
        </w:rPr>
        <w:t>3-20  10号泵站管道及灌溉分区平面图</w:t>
      </w:r>
    </w:p>
    <w:p w14:paraId="00DA3EDD">
      <w:pPr>
        <w:numPr>
          <w:ilvl w:val="0"/>
          <w:numId w:val="13"/>
        </w:numPr>
        <w:bidi w:val="0"/>
        <w:ind w:left="0" w:firstLine="560" w:firstLineChars="200"/>
        <w:rPr>
          <w:rFonts w:hint="eastAsia"/>
          <w:lang w:val="en-US" w:eastAsia="zh-CN"/>
        </w:rPr>
      </w:pPr>
      <w:r>
        <w:rPr>
          <w:rFonts w:hint="eastAsia"/>
          <w:lang w:val="en-US" w:eastAsia="zh-CN"/>
        </w:rPr>
        <w:t>电力工程：10号站内大型用电设备包括加压泵（15kw），变频控制器（22kw），总功率超过37kw，9号站由谭家坝村内B变压器（100kvA）供电，因为B变压器同时供电9、10号站，9、10号站总功率超过55.5kw，因此需将B变压器增容到160kva。</w:t>
      </w:r>
    </w:p>
    <w:p w14:paraId="7667DA36">
      <w:pPr>
        <w:bidi w:val="0"/>
        <w:rPr>
          <w:rFonts w:hint="eastAsia"/>
          <w:lang w:val="en-US" w:eastAsia="zh-CN"/>
        </w:rPr>
      </w:pPr>
      <w:r>
        <w:rPr>
          <w:rFonts w:hint="eastAsia"/>
          <w:lang w:val="en-US" w:eastAsia="zh-CN"/>
        </w:rPr>
        <w:t>10号站工程数量表详见附表1.11。</w:t>
      </w:r>
    </w:p>
    <w:p w14:paraId="303A4F31">
      <w:pPr>
        <w:pStyle w:val="6"/>
        <w:bidi w:val="0"/>
        <w:rPr>
          <w:rFonts w:hint="eastAsia"/>
          <w:lang w:val="en-US" w:eastAsia="zh-CN"/>
        </w:rPr>
      </w:pPr>
      <w:r>
        <w:rPr>
          <w:rFonts w:hint="eastAsia"/>
          <w:lang w:val="en-US" w:eastAsia="zh-CN"/>
        </w:rPr>
        <w:t>集中供水设施建设详情</w:t>
      </w:r>
    </w:p>
    <w:p w14:paraId="69FBBD4C">
      <w:pPr>
        <w:bidi w:val="0"/>
        <w:rPr>
          <w:rFonts w:hint="eastAsia"/>
          <w:lang w:val="en-US" w:eastAsia="zh-CN"/>
        </w:rPr>
      </w:pPr>
      <w:r>
        <w:rPr>
          <w:rFonts w:hint="eastAsia"/>
          <w:lang w:val="en-US" w:eastAsia="zh-CN"/>
        </w:rPr>
        <w:t>为减少项目投资，兼顾高标准农田建设灌溉管网工程，同时考虑尽量减少对高标管网工程使用影响，集中供水设施设计新建2座提灌站，其中1座提灌站在白安河边取水，取水后新建448m管道（de200）（承压1.25Mpa）接入高标准农田设计管网，到达7号泵站区域后，再新建90m管道（de200）（承压1.25Mpa）接入拦河坝。在拦河坝旁建设第2座公共提灌站，从拦河坝公共提灌站经新建1681m管道（de160）（承压1.25Mpa）分别接入7-10号泵站。在向拦河坝补水过程中，会中断高标准农田部分管网供水，因此需在涉及的高标准农田管网上安装de200电动蝶阀4台。管网布置形式如下图所示：</w:t>
      </w:r>
    </w:p>
    <w:p w14:paraId="5946F07F">
      <w:pPr>
        <w:pStyle w:val="23"/>
        <w:ind w:left="0" w:firstLine="0" w:firstLineChars="0"/>
        <w:jc w:val="center"/>
        <w:rPr>
          <w:lang w:val="en-US" w:eastAsia="zh-CN"/>
        </w:rPr>
      </w:pPr>
      <w:r>
        <w:rPr>
          <w:lang w:val="en-US" w:eastAsia="zh-CN"/>
        </w:rPr>
        <w:drawing>
          <wp:inline distT="0" distB="0" distL="114300" distR="114300">
            <wp:extent cx="5266690" cy="4098290"/>
            <wp:effectExtent l="0" t="0" r="17" b="31"/>
            <wp:docPr id="88" name="图片 120" descr="d3ed29d55ef3f75ff9776beb2b457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20" descr="d3ed29d55ef3f75ff9776beb2b457c7"/>
                    <pic:cNvPicPr>
                      <a:picLocks noChangeAspect="1"/>
                    </pic:cNvPicPr>
                  </pic:nvPicPr>
                  <pic:blipFill>
                    <a:blip r:embed="rId37"/>
                    <a:stretch>
                      <a:fillRect/>
                    </a:stretch>
                  </pic:blipFill>
                  <pic:spPr>
                    <a:xfrm>
                      <a:off x="0" y="0"/>
                      <a:ext cx="5266690" cy="4098290"/>
                    </a:xfrm>
                    <a:prstGeom prst="rect">
                      <a:avLst/>
                    </a:prstGeom>
                    <a:noFill/>
                    <a:ln w="9525" cap="flat" cmpd="sng">
                      <a:noFill/>
                      <a:prstDash val="solid"/>
                      <a:miter/>
                    </a:ln>
                  </pic:spPr>
                </pic:pic>
              </a:graphicData>
            </a:graphic>
          </wp:inline>
        </w:drawing>
      </w:r>
    </w:p>
    <w:p w14:paraId="500718F2">
      <w:pPr>
        <w:pStyle w:val="23"/>
        <w:jc w:val="center"/>
        <w:rPr>
          <w:rFonts w:hint="eastAsia"/>
          <w:lang w:val="en-US" w:eastAsia="zh-CN"/>
        </w:rPr>
      </w:pPr>
      <w:r>
        <w:rPr>
          <w:rFonts w:hint="eastAsia"/>
        </w:rPr>
        <w:t>图</w:t>
      </w:r>
      <w:r>
        <w:rPr>
          <w:rFonts w:hint="eastAsia"/>
          <w:lang w:val="en-US" w:eastAsia="zh-CN"/>
        </w:rPr>
        <w:t>3-21  集中供水设施管道平面图</w:t>
      </w:r>
    </w:p>
    <w:p w14:paraId="5CD689AA">
      <w:pPr>
        <w:pStyle w:val="23"/>
        <w:numPr>
          <w:ilvl w:val="0"/>
          <w:numId w:val="14"/>
        </w:numPr>
        <w:ind w:firstLineChars="0"/>
        <w:rPr>
          <w:lang w:val="en-US" w:eastAsia="zh-CN"/>
        </w:rPr>
      </w:pPr>
      <w:r>
        <w:rPr>
          <w:rFonts w:hint="eastAsia"/>
          <w:lang w:val="en-US" w:eastAsia="zh-CN"/>
        </w:rPr>
        <w:t>泵的选型：取水口提灌管道沿程水头损失计算如下表所示</w:t>
      </w:r>
    </w:p>
    <w:tbl>
      <w:tblPr>
        <w:tblStyle w:val="21"/>
        <w:tblW w:w="8429"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6"/>
        <w:gridCol w:w="5250"/>
        <w:gridCol w:w="1176"/>
        <w:gridCol w:w="1206"/>
      </w:tblGrid>
      <w:tr w14:paraId="7A50C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60B1E">
            <w:pPr>
              <w:jc w:val="center"/>
              <w:rPr>
                <w:rFonts w:hint="eastAsia" w:ascii="宋体" w:hAnsi="宋体" w:eastAsia="宋体" w:cs="宋体"/>
                <w:i w:val="0"/>
                <w:iCs w:val="0"/>
                <w:color w:val="000000"/>
                <w:sz w:val="24"/>
                <w:szCs w:val="24"/>
                <w:u w:val="none"/>
              </w:rPr>
            </w:pP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2C90F">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87E2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6F88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0C69E2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453E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0471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7AB11">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108.51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8EB7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7CE4BE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E478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198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CD9E5">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FFF3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72A3C6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1"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939F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4C19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B7D08">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4CE1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0C3BA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D57D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C6FC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7CC74">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0.171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B9B8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39B0A0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8C66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7BD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05EEA">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0.05</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99E7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065A76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CE0F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74C8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F5780">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448</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B735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18C77396">
      <w:pPr>
        <w:pStyle w:val="23"/>
        <w:ind w:left="0" w:firstLine="560" w:firstLineChars="200"/>
        <w:rPr>
          <w:rFonts w:hint="eastAsia"/>
          <w:lang w:val="en-US" w:eastAsia="zh-CN"/>
        </w:rPr>
      </w:pPr>
      <w:r>
        <w:rPr>
          <w:rFonts w:hint="eastAsia"/>
          <w:lang w:val="en-US" w:eastAsia="zh-CN"/>
        </w:rPr>
        <w:t>因此，提灌管道沿程水头损失为10.08，局部水头损失为1m，高标管道接入口距离取水口高差为+45m，因此提升泵的扬程应大于56.08m，选用潜水泵250QJ100-72,扬程72m，流量100m³，功率30kw。</w:t>
      </w:r>
    </w:p>
    <w:p w14:paraId="1F01555C">
      <w:pPr>
        <w:pStyle w:val="23"/>
        <w:ind w:left="0" w:firstLine="560" w:firstLineChars="200"/>
        <w:rPr>
          <w:lang w:val="en-US" w:eastAsia="zh-CN"/>
        </w:rPr>
      </w:pPr>
      <w:r>
        <w:rPr>
          <w:rFonts w:hint="eastAsia"/>
          <w:lang w:val="en-US" w:eastAsia="zh-CN"/>
        </w:rPr>
        <w:t>公共提灌站的提升泵选型计算在4.1.2.1中已完成。选用潜水泵250QJ100-72,扬程72m，流量100m³，功率30kw。</w:t>
      </w:r>
    </w:p>
    <w:p w14:paraId="39806307">
      <w:pPr>
        <w:numPr>
          <w:ilvl w:val="0"/>
          <w:numId w:val="14"/>
        </w:numPr>
        <w:bidi w:val="0"/>
        <w:ind w:left="0" w:firstLine="560" w:firstLineChars="200"/>
        <w:rPr>
          <w:rFonts w:hint="eastAsia"/>
          <w:lang w:val="en-US" w:eastAsia="zh-CN"/>
        </w:rPr>
      </w:pPr>
      <w:r>
        <w:rPr>
          <w:rFonts w:hint="eastAsia"/>
          <w:lang w:val="en-US" w:eastAsia="zh-CN"/>
        </w:rPr>
        <w:t>管网设计：在白安河取水后，通过448米de200（承压1.25Mpa）管道，接入高标灌溉管网接入点与7号站项目区高差在40米左右，而接入点与7号站区域的de200管道长度为1241m，沿程水头损失为30.02m，局部水头损失为3m。水头损失总和＜40米，因此接入高标管道后靠水自身重力可到达7号站项目区。</w:t>
      </w:r>
    </w:p>
    <w:p w14:paraId="78C75E5E">
      <w:pPr>
        <w:numPr>
          <w:ilvl w:val="0"/>
          <w:numId w:val="14"/>
        </w:numPr>
        <w:bidi w:val="0"/>
        <w:ind w:left="0" w:firstLine="560" w:firstLineChars="200"/>
        <w:rPr>
          <w:rFonts w:hint="eastAsia"/>
          <w:lang w:val="en-US" w:eastAsia="zh-CN"/>
        </w:rPr>
      </w:pPr>
      <w:r>
        <w:rPr>
          <w:rFonts w:hint="eastAsia"/>
          <w:lang w:val="en-US" w:eastAsia="zh-CN"/>
        </w:rPr>
        <w:t>电力工程：白安河取水口距变压器位置经现场勘察测绘，低压线架线距离约为150米， 由在建高标工程将30kw提升泵进行统筹设计，本项目不考虑变压器增容。7号站拦河坝提灌站电力工程已在4.1.2.1中设计。</w:t>
      </w:r>
    </w:p>
    <w:p w14:paraId="3BED312E">
      <w:pPr>
        <w:bidi w:val="0"/>
        <w:ind w:left="560" w:leftChars="200"/>
        <w:rPr>
          <w:lang w:val="en-US" w:eastAsia="zh-CN"/>
        </w:rPr>
      </w:pPr>
      <w:r>
        <w:rPr>
          <w:rFonts w:hint="eastAsia"/>
          <w:lang w:val="en-US" w:eastAsia="zh-CN"/>
        </w:rPr>
        <w:t>集中供水工程工程数量表详见附表1.12</w:t>
      </w:r>
    </w:p>
    <w:p w14:paraId="268EF2B6">
      <w:pPr>
        <w:pStyle w:val="6"/>
        <w:bidi w:val="0"/>
        <w:rPr>
          <w:rFonts w:hint="eastAsia"/>
          <w:lang w:val="en-US" w:eastAsia="zh-CN"/>
        </w:rPr>
      </w:pPr>
      <w:r>
        <w:rPr>
          <w:rFonts w:hint="eastAsia"/>
          <w:lang w:val="en-US" w:eastAsia="zh-CN"/>
        </w:rPr>
        <w:t>11号泵站建设详情</w:t>
      </w:r>
    </w:p>
    <w:p w14:paraId="53B92552">
      <w:pPr>
        <w:bidi w:val="0"/>
        <w:rPr>
          <w:rFonts w:hint="eastAsia"/>
          <w:lang w:val="en-US" w:eastAsia="zh-CN"/>
        </w:rPr>
      </w:pPr>
      <w:r>
        <w:rPr>
          <w:rFonts w:hint="eastAsia"/>
          <w:lang w:val="en-US" w:eastAsia="zh-CN"/>
        </w:rPr>
        <w:t>11号泵站覆盖面积155亩，新建1座砖混结构泵房50㎡，1座40m³过滤沉砂池，河边取水口1处，水肥一体化首部系统1套及配套田间管网工程。</w:t>
      </w:r>
    </w:p>
    <w:p w14:paraId="12A39ADA">
      <w:pPr>
        <w:pStyle w:val="23"/>
        <w:numPr>
          <w:ilvl w:val="0"/>
          <w:numId w:val="15"/>
        </w:numPr>
        <w:ind w:firstLineChars="0"/>
        <w:rPr>
          <w:rFonts w:hint="eastAsia"/>
          <w:lang w:val="en-US" w:eastAsia="zh-CN"/>
        </w:rPr>
      </w:pPr>
      <w:r>
        <w:rPr>
          <w:rFonts w:hint="eastAsia"/>
          <w:lang w:val="en-US" w:eastAsia="zh-CN"/>
        </w:rPr>
        <w:t>泵房设计：经现场勘察及初步计算，即使利用11号站附近最大高差，也无法满足最不利情况下的管道水头损失，所以采用二级提灌方式。11号泵站建筑形式为砖混结构；</w:t>
      </w:r>
    </w:p>
    <w:p w14:paraId="0BC068F8">
      <w:pPr>
        <w:pStyle w:val="23"/>
        <w:numPr>
          <w:ilvl w:val="0"/>
          <w:numId w:val="15"/>
        </w:numPr>
        <w:ind w:firstLineChars="0"/>
        <w:rPr>
          <w:lang w:val="en-US" w:eastAsia="zh-CN"/>
        </w:rPr>
      </w:pPr>
      <w:r>
        <w:rPr>
          <w:rFonts w:hint="eastAsia"/>
          <w:lang w:val="en-US" w:eastAsia="zh-CN"/>
        </w:rPr>
        <w:t>管道设计：11号站内没有已建设施设备，所以新建de110（承压1.25Mpa）管道作为站内供水施肥主管，由de90（承压1.25Mpa）管道作为支管延伸到田间，再连接</w:t>
      </w:r>
      <w:r>
        <w:rPr>
          <w:rFonts w:hint="eastAsia" w:ascii="宋体" w:hAnsi="宋体" w:eastAsia="宋体" w:cs="宋体"/>
          <w:lang w:val="en-US" w:eastAsia="zh-CN"/>
        </w:rPr>
        <w:t>Ф</w:t>
      </w:r>
      <w:r>
        <w:rPr>
          <w:rFonts w:hint="eastAsia"/>
          <w:lang w:val="en-US" w:eastAsia="zh-CN"/>
        </w:rPr>
        <w:t>50输水带，尾端连接大豆/玉米压力补偿式滴灌带。其中de110和de90管道尽量沿等高线布置，</w:t>
      </w:r>
    </w:p>
    <w:p w14:paraId="0B806D37">
      <w:pPr>
        <w:pStyle w:val="23"/>
        <w:numPr>
          <w:ilvl w:val="0"/>
          <w:numId w:val="15"/>
        </w:numPr>
        <w:ind w:firstLineChars="0"/>
        <w:rPr>
          <w:lang w:val="en-US" w:eastAsia="zh-CN"/>
        </w:rPr>
      </w:pPr>
      <w:r>
        <w:rPr>
          <w:rFonts w:hint="eastAsia"/>
          <w:lang w:val="en-US" w:eastAsia="zh-CN"/>
        </w:rPr>
        <w:t>泵的选型：11号站提灌管道沿程水头损失计算如下表所示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56D3BE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A4838">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CFE6A">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4D79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70A2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5DA734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289F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9371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C2715">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8.67</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E082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44C62A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3BB8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D038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90F0A">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0521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0AD8E9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1426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CA89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D536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6A33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01037B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E9FE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2E5E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FB95E">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C9CA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75083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3393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E05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5C2D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4F99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7AED29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B2A1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FD77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1BCFB">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31.44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78DB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2B6E787A">
      <w:pPr>
        <w:pStyle w:val="23"/>
        <w:ind w:left="0" w:firstLine="560" w:firstLineChars="200"/>
        <w:rPr>
          <w:rFonts w:hint="eastAsia"/>
          <w:lang w:val="en-US" w:eastAsia="zh-CN"/>
        </w:rPr>
      </w:pPr>
      <w:r>
        <w:rPr>
          <w:rFonts w:hint="eastAsia"/>
          <w:lang w:val="en-US" w:eastAsia="zh-CN"/>
        </w:rPr>
        <w:t>因此，主管沿程水头损失为0.86，局部水头损失为0.08m，11号站距离取水口高差为+4m，因此提升泵的扬程应大于4.94m，选用潜水泵200QJ63-12，流量63m³，扬程12m，功率4kw。</w:t>
      </w:r>
    </w:p>
    <w:p w14:paraId="715E80F5">
      <w:pPr>
        <w:pStyle w:val="23"/>
        <w:ind w:left="0" w:firstLine="560" w:firstLineChars="200"/>
        <w:rPr>
          <w:lang w:val="en-US" w:eastAsia="zh-CN"/>
        </w:rPr>
      </w:pPr>
      <w:r>
        <w:rPr>
          <w:rFonts w:hint="eastAsia"/>
          <w:lang w:val="en-US" w:eastAsia="zh-CN"/>
        </w:rPr>
        <w:t>11号站de110主管水头损失最不利情况为A11--B11--D11--F11--G11端，如下图所示</w:t>
      </w:r>
    </w:p>
    <w:p w14:paraId="5D98C551">
      <w:pPr>
        <w:pStyle w:val="23"/>
        <w:jc w:val="center"/>
        <w:rPr>
          <w:lang w:val="en-US" w:eastAsia="zh-CN"/>
        </w:rPr>
      </w:pPr>
      <w:r>
        <w:rPr>
          <w:lang w:val="en-US" w:eastAsia="zh-CN"/>
        </w:rPr>
        <w:drawing>
          <wp:inline distT="0" distB="0" distL="114300" distR="114300">
            <wp:extent cx="5270500" cy="5581650"/>
            <wp:effectExtent l="0" t="0" r="15" b="43"/>
            <wp:docPr id="91" name="图片 123" descr="dacd5bffc3cea729179cc7230dd3b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23" descr="dacd5bffc3cea729179cc7230dd3b9c"/>
                    <pic:cNvPicPr>
                      <a:picLocks noChangeAspect="1"/>
                    </pic:cNvPicPr>
                  </pic:nvPicPr>
                  <pic:blipFill>
                    <a:blip r:embed="rId38"/>
                    <a:stretch>
                      <a:fillRect/>
                    </a:stretch>
                  </pic:blipFill>
                  <pic:spPr>
                    <a:xfrm>
                      <a:off x="0" y="0"/>
                      <a:ext cx="5271134" cy="5582284"/>
                    </a:xfrm>
                    <a:prstGeom prst="rect">
                      <a:avLst/>
                    </a:prstGeom>
                    <a:noFill/>
                    <a:ln w="9525" cap="flat" cmpd="sng">
                      <a:noFill/>
                      <a:prstDash val="solid"/>
                      <a:miter/>
                    </a:ln>
                  </pic:spPr>
                </pic:pic>
              </a:graphicData>
            </a:graphic>
          </wp:inline>
        </w:drawing>
      </w:r>
    </w:p>
    <w:p w14:paraId="62BEEFDF">
      <w:pPr>
        <w:pStyle w:val="23"/>
        <w:jc w:val="center"/>
        <w:rPr>
          <w:lang w:val="en-US" w:eastAsia="zh-CN"/>
        </w:rPr>
      </w:pPr>
      <w:r>
        <w:rPr>
          <w:rFonts w:hint="eastAsia"/>
        </w:rPr>
        <w:t>图</w:t>
      </w:r>
      <w:r>
        <w:rPr>
          <w:rFonts w:hint="eastAsia"/>
          <w:lang w:val="en-US" w:eastAsia="zh-CN"/>
        </w:rPr>
        <w:t>3-22  11号泵站管道平面图</w:t>
      </w:r>
    </w:p>
    <w:p w14:paraId="501A70AA">
      <w:pPr>
        <w:pStyle w:val="23"/>
        <w:ind w:left="0" w:firstLine="560" w:firstLineChars="200"/>
        <w:rPr>
          <w:lang w:val="en-US" w:eastAsia="zh-CN"/>
        </w:rPr>
      </w:pPr>
      <w:r>
        <w:rPr>
          <w:rFonts w:hint="eastAsia"/>
          <w:lang w:val="en-US" w:eastAsia="zh-CN"/>
        </w:rPr>
        <w:t>11号站de110供水主管沿程水头损失最不利情况计算结果如下表所示：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6FC0D9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5B21C">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33290">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E7C9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8EC0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6E5932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5D76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5BF8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33319">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168.15</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57CD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5F866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CFD8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6093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AF1B8">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A06F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4D832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FC22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A28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D6724">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1E1D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5B808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A128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C76D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FBBC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7231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75CA6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CD59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C60E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66DE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971A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26F6CF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CA43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F79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7A0F8">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609.31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4366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357509EB">
      <w:pPr>
        <w:pStyle w:val="23"/>
        <w:ind w:left="0" w:firstLine="560" w:firstLineChars="200"/>
        <w:rPr>
          <w:lang w:val="en-US" w:eastAsia="zh-CN"/>
        </w:rPr>
      </w:pPr>
      <w:r>
        <w:rPr>
          <w:rFonts w:hint="eastAsia"/>
          <w:lang w:val="en-US" w:eastAsia="zh-CN"/>
        </w:rPr>
        <w:t>因此，主管沿程水头损失为16.81m，局部水头损失为1.68m，1号站高差为+12m，因此加压泵的扬程应大于30.49m，选用卧式离心泵ISW80-160,流量50m³/h，扬程32m，功率7.5kw。</w:t>
      </w:r>
    </w:p>
    <w:p w14:paraId="2337CE3D">
      <w:pPr>
        <w:pStyle w:val="23"/>
        <w:numPr>
          <w:ilvl w:val="0"/>
          <w:numId w:val="15"/>
        </w:numPr>
        <w:ind w:left="0" w:firstLine="560" w:firstLineChars="200"/>
        <w:rPr>
          <w:rFonts w:hint="eastAsia"/>
          <w:lang w:val="en-US" w:eastAsia="zh-CN"/>
        </w:rPr>
      </w:pPr>
      <w:r>
        <w:rPr>
          <w:rFonts w:hint="eastAsia"/>
          <w:lang w:val="en-US" w:eastAsia="zh-CN"/>
        </w:rPr>
        <w:t>灌溉分区：根据玉米/大豆需水量及考虑管道内经济流速，按6-9亩分区，11号站一共分19个灌溉区。如下图所示：</w:t>
      </w:r>
    </w:p>
    <w:p w14:paraId="64FC25F2">
      <w:pPr>
        <w:pStyle w:val="23"/>
        <w:jc w:val="center"/>
        <w:rPr>
          <w:lang w:val="en-US" w:eastAsia="zh-CN"/>
        </w:rPr>
      </w:pPr>
      <w:r>
        <w:rPr>
          <w:lang w:val="en-US" w:eastAsia="zh-CN"/>
        </w:rPr>
        <w:drawing>
          <wp:inline distT="0" distB="0" distL="114300" distR="114300">
            <wp:extent cx="4522470" cy="3941445"/>
            <wp:effectExtent l="0" t="0" r="26" b="35"/>
            <wp:docPr id="94" name="图片 124" descr="eaf8835def44ae832f5c253a893fc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24" descr="eaf8835def44ae832f5c253a893fc0d"/>
                    <pic:cNvPicPr>
                      <a:picLocks noChangeAspect="1"/>
                    </pic:cNvPicPr>
                  </pic:nvPicPr>
                  <pic:blipFill>
                    <a:blip r:embed="rId39"/>
                    <a:stretch>
                      <a:fillRect/>
                    </a:stretch>
                  </pic:blipFill>
                  <pic:spPr>
                    <a:xfrm>
                      <a:off x="0" y="0"/>
                      <a:ext cx="4522470" cy="3941445"/>
                    </a:xfrm>
                    <a:prstGeom prst="rect">
                      <a:avLst/>
                    </a:prstGeom>
                    <a:noFill/>
                    <a:ln w="9525" cap="flat" cmpd="sng">
                      <a:noFill/>
                      <a:prstDash val="solid"/>
                      <a:miter/>
                    </a:ln>
                  </pic:spPr>
                </pic:pic>
              </a:graphicData>
            </a:graphic>
          </wp:inline>
        </w:drawing>
      </w:r>
    </w:p>
    <w:p w14:paraId="2AC74C32">
      <w:pPr>
        <w:pStyle w:val="23"/>
        <w:jc w:val="center"/>
        <w:rPr>
          <w:lang w:val="en-US" w:eastAsia="zh-CN"/>
        </w:rPr>
      </w:pPr>
      <w:r>
        <w:rPr>
          <w:rFonts w:hint="eastAsia"/>
        </w:rPr>
        <w:t>图</w:t>
      </w:r>
      <w:r>
        <w:rPr>
          <w:rFonts w:hint="eastAsia"/>
          <w:lang w:val="en-US" w:eastAsia="zh-CN"/>
        </w:rPr>
        <w:t>3-23  11号泵站管道及灌溉分区平面图</w:t>
      </w:r>
    </w:p>
    <w:p w14:paraId="789FEDE7">
      <w:pPr>
        <w:numPr>
          <w:ilvl w:val="0"/>
          <w:numId w:val="15"/>
        </w:numPr>
        <w:bidi w:val="0"/>
        <w:ind w:left="0" w:firstLine="560" w:firstLineChars="200"/>
        <w:rPr>
          <w:rFonts w:hint="eastAsia"/>
          <w:lang w:val="en-US" w:eastAsia="zh-CN"/>
        </w:rPr>
      </w:pPr>
      <w:r>
        <w:rPr>
          <w:rFonts w:hint="eastAsia"/>
          <w:lang w:val="en-US" w:eastAsia="zh-CN"/>
        </w:rPr>
        <w:t>电力工程：11号站内大型用电设备包括提升泵（4kw）、加压泵（7.5kw），变频控制器（11kw），总功率超过22.5kw，11号站由A变压器（100kvA）供电，因此A变压器需增容到160kvA。新增连接11号站泵房的低压线经现场勘察测绘，约为75.43m，新增连接11号站泵房至取水口埋地电线25.23m。</w:t>
      </w:r>
    </w:p>
    <w:p w14:paraId="14D86F61">
      <w:pPr>
        <w:pStyle w:val="23"/>
        <w:ind w:left="560" w:leftChars="200"/>
        <w:rPr>
          <w:rFonts w:hint="eastAsia"/>
          <w:lang w:val="en-US" w:eastAsia="zh-CN"/>
        </w:rPr>
      </w:pPr>
      <w:r>
        <w:rPr>
          <w:rFonts w:hint="eastAsia"/>
          <w:lang w:val="en-US" w:eastAsia="zh-CN"/>
        </w:rPr>
        <w:t>11号站工程数量表详见附表1.13。</w:t>
      </w:r>
    </w:p>
    <w:p w14:paraId="51E31FF3">
      <w:pPr>
        <w:pStyle w:val="4"/>
        <w:bidi w:val="0"/>
        <w:ind w:left="560"/>
        <w:rPr>
          <w:lang w:val="en-US" w:eastAsia="zh-CN"/>
        </w:rPr>
      </w:pPr>
      <w:bookmarkStart w:id="75" w:name="_Toc23578"/>
      <w:r>
        <w:rPr>
          <w:rFonts w:hint="eastAsia"/>
          <w:lang w:val="en-US" w:eastAsia="zh-CN"/>
        </w:rPr>
        <w:t>东禅镇（辐射区）</w:t>
      </w:r>
      <w:bookmarkEnd w:id="75"/>
    </w:p>
    <w:p w14:paraId="23D9AFF2">
      <w:pPr>
        <w:ind w:firstLine="560" w:firstLineChars="200"/>
        <w:rPr>
          <w:rFonts w:hint="eastAsia"/>
          <w:lang w:val="en-US" w:eastAsia="zh-CN"/>
        </w:rPr>
      </w:pPr>
      <w:r>
        <w:rPr>
          <w:rFonts w:hint="eastAsia"/>
          <w:lang w:val="en-US" w:eastAsia="zh-CN"/>
        </w:rPr>
        <w:t>东禅镇项目区建设面积614亩（12-15号泵站），其中先华村153亩，仙湖村155亩，报国寺村306亩。共建设提灌系统4套，含3座提灌站配套管网。建设田间管网共计7485.3米，de110管道4355.76米，de90管道3129.54米。</w:t>
      </w:r>
    </w:p>
    <w:p w14:paraId="27D5B4D0">
      <w:pPr>
        <w:pStyle w:val="5"/>
        <w:bidi w:val="0"/>
        <w:rPr>
          <w:lang w:val="en-US" w:eastAsia="zh-CN"/>
        </w:rPr>
      </w:pPr>
      <w:bookmarkStart w:id="76" w:name="_Toc22218"/>
      <w:r>
        <w:rPr>
          <w:rFonts w:hint="eastAsia"/>
          <w:lang w:val="en-US" w:eastAsia="zh-CN"/>
        </w:rPr>
        <w:t>先华村</w:t>
      </w:r>
      <w:bookmarkEnd w:id="76"/>
    </w:p>
    <w:p w14:paraId="647F2DD9">
      <w:pPr>
        <w:rPr>
          <w:lang w:val="en-US" w:eastAsia="zh-CN"/>
        </w:rPr>
      </w:pPr>
      <w:r>
        <w:rPr>
          <w:rFonts w:hint="eastAsia"/>
          <w:lang w:val="en-US" w:eastAsia="zh-CN"/>
        </w:rPr>
        <w:t>安家沟村建设1座泵站（12号），12号泵站覆盖面积153亩，12号站从既有提灌站取水，需建设配套田间管网设施。先华村建设de110管网804.75m，de90管网706.29m。</w:t>
      </w:r>
    </w:p>
    <w:p w14:paraId="59A95DC5">
      <w:pPr>
        <w:pStyle w:val="6"/>
        <w:bidi w:val="0"/>
        <w:rPr>
          <w:rFonts w:hint="eastAsia"/>
          <w:lang w:val="en-US" w:eastAsia="zh-CN"/>
        </w:rPr>
      </w:pPr>
      <w:r>
        <w:rPr>
          <w:rFonts w:hint="eastAsia"/>
          <w:lang w:val="en-US" w:eastAsia="zh-CN"/>
        </w:rPr>
        <w:t>12号泵站建设详情</w:t>
      </w:r>
    </w:p>
    <w:p w14:paraId="705A7B2E">
      <w:pPr>
        <w:bidi w:val="0"/>
        <w:rPr>
          <w:rFonts w:hint="eastAsia"/>
          <w:color w:val="auto"/>
          <w:lang w:val="en-US" w:eastAsia="zh-CN"/>
        </w:rPr>
      </w:pPr>
      <w:r>
        <w:rPr>
          <w:rFonts w:hint="eastAsia"/>
          <w:color w:val="auto"/>
          <w:lang w:val="en-US" w:eastAsia="zh-CN"/>
        </w:rPr>
        <w:t>提灌设施1座及配套田间管网工程。</w:t>
      </w:r>
    </w:p>
    <w:p w14:paraId="18F4246D">
      <w:pPr>
        <w:pStyle w:val="23"/>
        <w:numPr>
          <w:ilvl w:val="0"/>
          <w:numId w:val="16"/>
        </w:numPr>
        <w:ind w:firstLineChars="0"/>
        <w:rPr>
          <w:lang w:val="en-US" w:eastAsia="zh-CN"/>
        </w:rPr>
      </w:pPr>
      <w:r>
        <w:rPr>
          <w:rFonts w:hint="eastAsia"/>
          <w:lang w:val="en-US" w:eastAsia="zh-CN"/>
        </w:rPr>
        <w:t>管道设计：先华村为辐射区，因此只设计供水工程，不设计施肥系统，12号站内有1处已建提灌站，配有流量100m³/h的提升泵，所以新建de110（承压1.25Mpa）管道作为站内供水主管，由de90（承压1.25Mpa）管道作为支管延伸到田间，支管每隔40米，设置闸阀1处，方便种植户接管道灌溉农田。de110和de90管道尽量沿等高线布置；</w:t>
      </w:r>
    </w:p>
    <w:p w14:paraId="4DC852EF">
      <w:pPr>
        <w:pStyle w:val="23"/>
        <w:ind w:left="0" w:firstLine="560" w:firstLineChars="200"/>
        <w:rPr>
          <w:lang w:val="en-US" w:eastAsia="zh-CN"/>
        </w:rPr>
      </w:pPr>
      <w:r>
        <w:rPr>
          <w:rFonts w:hint="eastAsia"/>
          <w:lang w:val="en-US" w:eastAsia="zh-CN"/>
        </w:rPr>
        <w:t>B.泵的选型：利用已建提升泵（100m³/h），12号站de110主管水头损失最不利情况为A12--B12端，如下图所示</w:t>
      </w:r>
    </w:p>
    <w:p w14:paraId="63BB2DC8">
      <w:pPr>
        <w:pStyle w:val="23"/>
        <w:jc w:val="center"/>
        <w:rPr>
          <w:lang w:val="en-US" w:eastAsia="zh-CN"/>
        </w:rPr>
      </w:pPr>
      <w:r>
        <w:rPr>
          <w:lang w:val="en-US" w:eastAsia="zh-CN"/>
        </w:rPr>
        <w:drawing>
          <wp:inline distT="0" distB="0" distL="114300" distR="114300">
            <wp:extent cx="5267325" cy="4101465"/>
            <wp:effectExtent l="0" t="0" r="15" b="32"/>
            <wp:docPr id="97" name="图片 1" descr="f287d8c4b93b987141dbe5d1dd5d9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descr="f287d8c4b93b987141dbe5d1dd5d9f7"/>
                    <pic:cNvPicPr>
                      <a:picLocks noChangeAspect="1"/>
                    </pic:cNvPicPr>
                  </pic:nvPicPr>
                  <pic:blipFill>
                    <a:blip r:embed="rId40"/>
                    <a:stretch>
                      <a:fillRect/>
                    </a:stretch>
                  </pic:blipFill>
                  <pic:spPr>
                    <a:xfrm>
                      <a:off x="0" y="0"/>
                      <a:ext cx="5267325" cy="4101465"/>
                    </a:xfrm>
                    <a:prstGeom prst="rect">
                      <a:avLst/>
                    </a:prstGeom>
                    <a:noFill/>
                    <a:ln w="9525" cap="flat" cmpd="sng">
                      <a:noFill/>
                      <a:prstDash val="solid"/>
                      <a:miter/>
                    </a:ln>
                  </pic:spPr>
                </pic:pic>
              </a:graphicData>
            </a:graphic>
          </wp:inline>
        </w:drawing>
      </w:r>
    </w:p>
    <w:p w14:paraId="5E7F11EE">
      <w:pPr>
        <w:pStyle w:val="23"/>
        <w:jc w:val="center"/>
        <w:rPr>
          <w:lang w:val="en-US" w:eastAsia="zh-CN"/>
        </w:rPr>
      </w:pPr>
      <w:r>
        <w:rPr>
          <w:rFonts w:hint="eastAsia"/>
        </w:rPr>
        <w:t>图</w:t>
      </w:r>
      <w:r>
        <w:rPr>
          <w:rFonts w:hint="eastAsia"/>
          <w:lang w:val="en-US" w:eastAsia="zh-CN"/>
        </w:rPr>
        <w:t>3-24  12号泵站管道平面图</w:t>
      </w:r>
    </w:p>
    <w:p w14:paraId="2A1D1870">
      <w:pPr>
        <w:pStyle w:val="23"/>
        <w:ind w:left="0" w:firstLine="560" w:firstLineChars="200"/>
        <w:rPr>
          <w:lang w:val="en-US" w:eastAsia="zh-CN"/>
        </w:rPr>
      </w:pPr>
      <w:r>
        <w:rPr>
          <w:rFonts w:hint="eastAsia"/>
          <w:lang w:val="en-US" w:eastAsia="zh-CN"/>
        </w:rPr>
        <w:t>12号站de110供水主管沿程水头损失最不利情况计算结果如下表所示：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696AAA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3D794">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2CDA0">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C205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A04B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09093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B375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548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C0237">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220.4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05A0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01F238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5481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3C54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CFAD4">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F3D4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641367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93AC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61C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88EB2">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57D6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297BC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984E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0F97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92BAB">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CA7D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5BC3F5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2A6E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132B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F42CD">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B8ED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12127C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F04C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43CF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A26FF">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804.75</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AFF1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7CABE5B9">
      <w:pPr>
        <w:pStyle w:val="23"/>
        <w:ind w:left="0" w:firstLine="560" w:firstLineChars="200"/>
        <w:rPr>
          <w:lang w:val="en-US" w:eastAsia="zh-CN"/>
        </w:rPr>
      </w:pPr>
      <w:r>
        <w:rPr>
          <w:rFonts w:hint="eastAsia"/>
          <w:lang w:val="en-US" w:eastAsia="zh-CN"/>
        </w:rPr>
        <w:t>因此，主管沿程水头损失为22.04m，局部水头损失为2.2m，12号站高差为+8m，因此提升泵的扬程应大于32.2m，已建提升泵扬程为60m，满足要求。</w:t>
      </w:r>
    </w:p>
    <w:p w14:paraId="3C6F20A0">
      <w:pPr>
        <w:pStyle w:val="23"/>
        <w:ind w:left="0" w:firstLine="560" w:firstLineChars="200"/>
        <w:rPr>
          <w:lang w:val="en-US" w:eastAsia="zh-CN"/>
        </w:rPr>
      </w:pPr>
      <w:r>
        <w:rPr>
          <w:rFonts w:hint="eastAsia"/>
          <w:lang w:val="en-US" w:eastAsia="zh-CN"/>
        </w:rPr>
        <w:t>C.电力工程：12号站中已建提灌站，不需要再考虑电力配套设施</w:t>
      </w:r>
    </w:p>
    <w:p w14:paraId="7FE5FB14">
      <w:pPr>
        <w:bidi w:val="0"/>
        <w:rPr>
          <w:rFonts w:hint="eastAsia"/>
          <w:lang w:val="en-US" w:eastAsia="zh-CN"/>
        </w:rPr>
      </w:pPr>
      <w:r>
        <w:rPr>
          <w:rFonts w:hint="eastAsia"/>
          <w:lang w:val="en-US" w:eastAsia="zh-CN"/>
        </w:rPr>
        <w:t>12号站工程数量表详见附表1.14。</w:t>
      </w:r>
    </w:p>
    <w:p w14:paraId="2D6658CC">
      <w:pPr>
        <w:pStyle w:val="5"/>
        <w:bidi w:val="0"/>
        <w:rPr>
          <w:lang w:val="en-US" w:eastAsia="zh-CN"/>
        </w:rPr>
      </w:pPr>
      <w:bookmarkStart w:id="77" w:name="_Toc27968"/>
      <w:r>
        <w:rPr>
          <w:rFonts w:hint="eastAsia"/>
          <w:lang w:val="en-US" w:eastAsia="zh-CN"/>
        </w:rPr>
        <w:t>仙湖村</w:t>
      </w:r>
      <w:bookmarkEnd w:id="77"/>
    </w:p>
    <w:p w14:paraId="34EC33B2">
      <w:pPr>
        <w:rPr>
          <w:lang w:val="en-US" w:eastAsia="zh-CN"/>
        </w:rPr>
      </w:pPr>
      <w:r>
        <w:rPr>
          <w:rFonts w:hint="eastAsia"/>
          <w:lang w:val="en-US" w:eastAsia="zh-CN"/>
        </w:rPr>
        <w:t>仙湖村建设1座泵站（13号），13号泵站覆盖面积155亩，13号站均从流经项目区的河沟取水，需建设1套提灌系统及配套田间管网设施。仙湖村建设de110管网1743.99m，de90管网852.02m。</w:t>
      </w:r>
    </w:p>
    <w:p w14:paraId="4AFFF935">
      <w:pPr>
        <w:pStyle w:val="6"/>
        <w:bidi w:val="0"/>
        <w:rPr>
          <w:rFonts w:hint="eastAsia"/>
          <w:color w:val="auto"/>
          <w:lang w:val="en-US" w:eastAsia="zh-CN"/>
        </w:rPr>
      </w:pPr>
      <w:r>
        <w:rPr>
          <w:rFonts w:hint="eastAsia"/>
          <w:lang w:val="en-US" w:eastAsia="zh-CN"/>
        </w:rPr>
        <w:t>13号泵站建设详情</w:t>
      </w:r>
    </w:p>
    <w:p w14:paraId="13A9308F">
      <w:pPr>
        <w:bidi w:val="0"/>
        <w:rPr>
          <w:rFonts w:hint="eastAsia"/>
          <w:color w:val="auto"/>
          <w:lang w:val="en-US" w:eastAsia="zh-CN"/>
        </w:rPr>
      </w:pPr>
      <w:r>
        <w:rPr>
          <w:rFonts w:hint="eastAsia"/>
          <w:color w:val="auto"/>
          <w:lang w:val="en-US" w:eastAsia="zh-CN"/>
        </w:rPr>
        <w:t>提灌设施1座及配套田间管网工程。</w:t>
      </w:r>
    </w:p>
    <w:p w14:paraId="48D97009">
      <w:pPr>
        <w:pStyle w:val="23"/>
        <w:numPr>
          <w:ilvl w:val="0"/>
          <w:numId w:val="17"/>
        </w:numPr>
        <w:ind w:firstLineChars="0"/>
        <w:rPr>
          <w:lang w:val="en-US" w:eastAsia="zh-CN"/>
        </w:rPr>
      </w:pPr>
      <w:r>
        <w:rPr>
          <w:rFonts w:hint="eastAsia"/>
          <w:lang w:val="en-US" w:eastAsia="zh-CN"/>
        </w:rPr>
        <w:t>管道设计：仙湖村为辐射区，因此只设计供水工程，不设计施肥系统，13号站内没有可利用已建设施设备，所以新建de110（承压1.25Mpa）管道作为站内供水主管，由de90（承压1.25Mpa）管道作为支管延伸到田间，支管每隔40米，设置闸阀1处，方便种植户接管道灌溉农田。de110和de90管道尽量沿等高线布置；</w:t>
      </w:r>
    </w:p>
    <w:p w14:paraId="10F30F68">
      <w:pPr>
        <w:pStyle w:val="23"/>
        <w:ind w:left="0" w:firstLine="560" w:firstLineChars="200"/>
        <w:rPr>
          <w:rFonts w:hint="eastAsia"/>
          <w:lang w:val="en-US" w:eastAsia="zh-CN"/>
        </w:rPr>
      </w:pPr>
      <w:r>
        <w:rPr>
          <w:rFonts w:hint="eastAsia"/>
          <w:lang w:val="en-US" w:eastAsia="zh-CN"/>
        </w:rPr>
        <w:t>B.泵的选型：</w:t>
      </w:r>
    </w:p>
    <w:p w14:paraId="1A98D6A3">
      <w:pPr>
        <w:pStyle w:val="23"/>
        <w:ind w:left="0" w:firstLine="560" w:firstLineChars="200"/>
        <w:rPr>
          <w:lang w:val="en-US" w:eastAsia="zh-CN"/>
        </w:rPr>
      </w:pPr>
      <w:r>
        <w:rPr>
          <w:rFonts w:hint="eastAsia"/>
          <w:lang w:val="en-US" w:eastAsia="zh-CN"/>
        </w:rPr>
        <w:t>13号站de110主管水头损失最不利情况为A13--B13--C13--F13--H13端，如下图所示</w:t>
      </w:r>
    </w:p>
    <w:p w14:paraId="70F6CC70">
      <w:pPr>
        <w:pStyle w:val="23"/>
        <w:jc w:val="center"/>
        <w:rPr>
          <w:lang w:val="en-US" w:eastAsia="zh-CN"/>
        </w:rPr>
      </w:pPr>
      <w:r>
        <w:rPr>
          <w:lang w:val="en-US" w:eastAsia="zh-CN"/>
        </w:rPr>
        <w:drawing>
          <wp:inline distT="0" distB="0" distL="114300" distR="114300">
            <wp:extent cx="5271770" cy="3941445"/>
            <wp:effectExtent l="0" t="0" r="46" b="35"/>
            <wp:docPr id="100" name="图片 134" descr="49f2a98bfa4433ea4bde74dd49d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34" descr="49f2a98bfa4433ea4bde74dd49d0968"/>
                    <pic:cNvPicPr>
                      <a:picLocks noChangeAspect="1"/>
                    </pic:cNvPicPr>
                  </pic:nvPicPr>
                  <pic:blipFill>
                    <a:blip r:embed="rId41"/>
                    <a:stretch>
                      <a:fillRect/>
                    </a:stretch>
                  </pic:blipFill>
                  <pic:spPr>
                    <a:xfrm>
                      <a:off x="0" y="0"/>
                      <a:ext cx="5271770" cy="3941445"/>
                    </a:xfrm>
                    <a:prstGeom prst="rect">
                      <a:avLst/>
                    </a:prstGeom>
                    <a:noFill/>
                    <a:ln w="9525" cap="flat" cmpd="sng">
                      <a:noFill/>
                      <a:prstDash val="solid"/>
                      <a:miter/>
                    </a:ln>
                  </pic:spPr>
                </pic:pic>
              </a:graphicData>
            </a:graphic>
          </wp:inline>
        </w:drawing>
      </w:r>
    </w:p>
    <w:p w14:paraId="76372DB5">
      <w:pPr>
        <w:pStyle w:val="23"/>
        <w:jc w:val="center"/>
        <w:rPr>
          <w:lang w:val="en-US" w:eastAsia="zh-CN"/>
        </w:rPr>
      </w:pPr>
      <w:r>
        <w:rPr>
          <w:rFonts w:hint="eastAsia"/>
        </w:rPr>
        <w:t>图</w:t>
      </w:r>
      <w:r>
        <w:rPr>
          <w:rFonts w:hint="eastAsia"/>
          <w:lang w:val="en-US" w:eastAsia="zh-CN"/>
        </w:rPr>
        <w:t>3-25  13号泵站管道平面图</w:t>
      </w:r>
    </w:p>
    <w:p w14:paraId="5A34B098">
      <w:pPr>
        <w:pStyle w:val="23"/>
        <w:ind w:left="0" w:firstLine="560" w:firstLineChars="200"/>
        <w:rPr>
          <w:lang w:val="en-US" w:eastAsia="zh-CN"/>
        </w:rPr>
      </w:pPr>
      <w:r>
        <w:rPr>
          <w:rFonts w:hint="eastAsia"/>
          <w:lang w:val="en-US" w:eastAsia="zh-CN"/>
        </w:rPr>
        <w:t>13号站de110供水主管沿程水头损失最不利情况计算结果如下表所示：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755A17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F39EA">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311AB">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AB30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6921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6B28D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4593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DAFF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47B9F">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227.73</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A0CD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4E16FA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6F92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9EA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70E95">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3A0B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223275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1D88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C4B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15B8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3DFC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32C8BC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02D0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6879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5E684">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1A8E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33C4E3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3BDA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EC5C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27D8B">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624B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7E7C3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6DBA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C88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AD881">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904.75</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C87D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0900190A">
      <w:pPr>
        <w:pStyle w:val="23"/>
        <w:ind w:left="0" w:firstLine="560" w:firstLineChars="200"/>
        <w:rPr>
          <w:lang w:val="en-US" w:eastAsia="zh-CN"/>
        </w:rPr>
      </w:pPr>
      <w:r>
        <w:rPr>
          <w:rFonts w:hint="eastAsia"/>
          <w:lang w:val="en-US" w:eastAsia="zh-CN"/>
        </w:rPr>
        <w:t>因此，主管沿程水头损失为22.77m，局部水头损失为2.27m，13号站高差为+29m，因此提升泵的扬程应大于53.54m，选用潜水泵200QJ63-60，流量63m³/h，扬程60m，功率18.5kw。</w:t>
      </w:r>
    </w:p>
    <w:p w14:paraId="7BF5C208">
      <w:pPr>
        <w:pStyle w:val="23"/>
        <w:ind w:left="0" w:firstLine="560" w:firstLineChars="200"/>
        <w:rPr>
          <w:rFonts w:hint="eastAsia"/>
          <w:lang w:val="en-US" w:eastAsia="zh-CN"/>
        </w:rPr>
      </w:pPr>
      <w:r>
        <w:rPr>
          <w:rFonts w:hint="eastAsia"/>
          <w:lang w:val="en-US" w:eastAsia="zh-CN"/>
        </w:rPr>
        <w:t>C.电力工程：13号站内大型用电设备只有提升泵（18.5kw），13号站由仙湖村内变压器（80kvA）供电，因此变压器需由80kvA增容到100kvA。新增连接13号站泵房的低压线经现场勘察，约为210.57m。</w:t>
      </w:r>
    </w:p>
    <w:p w14:paraId="55794044">
      <w:pPr>
        <w:bidi w:val="0"/>
        <w:rPr>
          <w:rFonts w:hint="eastAsia"/>
          <w:lang w:val="en-US" w:eastAsia="zh-CN"/>
        </w:rPr>
      </w:pPr>
      <w:r>
        <w:rPr>
          <w:rFonts w:hint="eastAsia"/>
          <w:lang w:val="en-US" w:eastAsia="zh-CN"/>
        </w:rPr>
        <w:t>13号站工程数量表详见附表1.15。</w:t>
      </w:r>
    </w:p>
    <w:p w14:paraId="4FF5D302">
      <w:pPr>
        <w:pStyle w:val="5"/>
        <w:bidi w:val="0"/>
        <w:rPr>
          <w:lang w:val="en-US" w:eastAsia="zh-CN"/>
        </w:rPr>
      </w:pPr>
      <w:bookmarkStart w:id="78" w:name="_Toc12537"/>
      <w:r>
        <w:rPr>
          <w:rFonts w:hint="eastAsia"/>
          <w:lang w:val="en-US" w:eastAsia="zh-CN"/>
        </w:rPr>
        <w:t>报国寺村</w:t>
      </w:r>
      <w:bookmarkEnd w:id="78"/>
    </w:p>
    <w:p w14:paraId="4AB00981">
      <w:pPr>
        <w:rPr>
          <w:lang w:val="en-US" w:eastAsia="zh-CN"/>
        </w:rPr>
      </w:pPr>
      <w:r>
        <w:rPr>
          <w:rFonts w:hint="eastAsia"/>
          <w:lang w:val="en-US" w:eastAsia="zh-CN"/>
        </w:rPr>
        <w:t>报国寺村建设2座泵站（13，14号），14号泵站覆盖面积152亩，15号泵站覆盖面积154亩，从水库取水，建设1座公用提灌站及配套田间管网设施。报国寺村建设de110管网1807.02m，de90管网1571.23m。</w:t>
      </w:r>
    </w:p>
    <w:p w14:paraId="5EAB474E">
      <w:pPr>
        <w:pStyle w:val="6"/>
        <w:bidi w:val="0"/>
        <w:rPr>
          <w:rFonts w:hint="eastAsia"/>
          <w:lang w:val="en-US" w:eastAsia="zh-CN"/>
        </w:rPr>
      </w:pPr>
      <w:r>
        <w:rPr>
          <w:rFonts w:hint="eastAsia"/>
          <w:lang w:val="en-US" w:eastAsia="zh-CN"/>
        </w:rPr>
        <w:t>14号泵站建设详情</w:t>
      </w:r>
    </w:p>
    <w:p w14:paraId="1FD64148">
      <w:pPr>
        <w:pStyle w:val="23"/>
        <w:numPr>
          <w:ilvl w:val="0"/>
          <w:numId w:val="18"/>
        </w:numPr>
        <w:ind w:firstLineChars="0"/>
        <w:rPr>
          <w:lang w:val="en-US" w:eastAsia="zh-CN"/>
        </w:rPr>
      </w:pPr>
      <w:r>
        <w:rPr>
          <w:rFonts w:hint="eastAsia"/>
          <w:lang w:val="en-US" w:eastAsia="zh-CN"/>
        </w:rPr>
        <w:t>管道设计：报国寺村为辐射区，因此只设计供水工程，不设计施肥系统，14号站内没有可利用已建设施设备，所以新建de110（承压1.25Mpa）管道作为站内供水主管，由de90（承压1.25Mpa）管道作为支管延伸到田间，支管每隔40米，设置闸阀1处，方便种植户接管道灌溉农田。de110和de90管道尽量沿等高线布置；</w:t>
      </w:r>
    </w:p>
    <w:p w14:paraId="2A3C78D4">
      <w:pPr>
        <w:pStyle w:val="23"/>
        <w:ind w:left="0" w:firstLine="560" w:firstLineChars="200"/>
        <w:rPr>
          <w:rFonts w:hint="eastAsia"/>
          <w:lang w:val="en-US" w:eastAsia="zh-CN"/>
        </w:rPr>
      </w:pPr>
      <w:r>
        <w:rPr>
          <w:rFonts w:hint="eastAsia"/>
          <w:lang w:val="en-US" w:eastAsia="zh-CN"/>
        </w:rPr>
        <w:t>B.泵的选型：</w:t>
      </w:r>
    </w:p>
    <w:p w14:paraId="3222D3DD">
      <w:pPr>
        <w:pStyle w:val="23"/>
        <w:ind w:left="0" w:firstLine="560" w:firstLineChars="200"/>
        <w:rPr>
          <w:lang w:val="en-US" w:eastAsia="zh-CN"/>
        </w:rPr>
      </w:pPr>
      <w:r>
        <w:rPr>
          <w:rFonts w:hint="eastAsia"/>
          <w:lang w:val="en-US" w:eastAsia="zh-CN"/>
        </w:rPr>
        <w:t>14号站与15号站共用1个提灌站供水，因此de110主管水头损失最不利情况为A14--B14--D14端，如下图所示</w:t>
      </w:r>
    </w:p>
    <w:p w14:paraId="604A36E8">
      <w:pPr>
        <w:pStyle w:val="23"/>
        <w:jc w:val="center"/>
        <w:rPr>
          <w:lang w:val="en-US" w:eastAsia="zh-CN"/>
        </w:rPr>
      </w:pPr>
      <w:r>
        <w:rPr>
          <w:lang w:val="en-US" w:eastAsia="zh-CN"/>
        </w:rPr>
        <w:drawing>
          <wp:inline distT="0" distB="0" distL="114300" distR="114300">
            <wp:extent cx="5269865" cy="7456805"/>
            <wp:effectExtent l="0" t="0" r="47" b="13"/>
            <wp:docPr id="103" name="图片 131" descr="1e13a8fdd8bc56c4ed3d905257a2e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31" descr="1e13a8fdd8bc56c4ed3d905257a2ec5"/>
                    <pic:cNvPicPr>
                      <a:picLocks noChangeAspect="1"/>
                    </pic:cNvPicPr>
                  </pic:nvPicPr>
                  <pic:blipFill>
                    <a:blip r:embed="rId42"/>
                    <a:stretch>
                      <a:fillRect/>
                    </a:stretch>
                  </pic:blipFill>
                  <pic:spPr>
                    <a:xfrm>
                      <a:off x="0" y="0"/>
                      <a:ext cx="5269865" cy="7456805"/>
                    </a:xfrm>
                    <a:prstGeom prst="rect">
                      <a:avLst/>
                    </a:prstGeom>
                    <a:noFill/>
                    <a:ln w="9525" cap="flat" cmpd="sng">
                      <a:noFill/>
                      <a:prstDash val="solid"/>
                      <a:miter/>
                    </a:ln>
                  </pic:spPr>
                </pic:pic>
              </a:graphicData>
            </a:graphic>
          </wp:inline>
        </w:drawing>
      </w:r>
    </w:p>
    <w:p w14:paraId="288755A5">
      <w:pPr>
        <w:pStyle w:val="23"/>
        <w:jc w:val="center"/>
        <w:rPr>
          <w:lang w:val="en-US" w:eastAsia="zh-CN"/>
        </w:rPr>
      </w:pPr>
      <w:r>
        <w:rPr>
          <w:rFonts w:hint="eastAsia"/>
        </w:rPr>
        <w:t>图</w:t>
      </w:r>
      <w:r>
        <w:rPr>
          <w:rFonts w:hint="eastAsia"/>
          <w:lang w:val="en-US" w:eastAsia="zh-CN"/>
        </w:rPr>
        <w:t>3-26  14、15号泵站管道平面图</w:t>
      </w:r>
    </w:p>
    <w:p w14:paraId="27D24CC9">
      <w:pPr>
        <w:pStyle w:val="23"/>
        <w:ind w:left="0" w:firstLine="560" w:firstLineChars="200"/>
        <w:rPr>
          <w:lang w:val="en-US" w:eastAsia="zh-CN"/>
        </w:rPr>
      </w:pPr>
      <w:r>
        <w:rPr>
          <w:rFonts w:hint="eastAsia"/>
          <w:lang w:val="en-US" w:eastAsia="zh-CN"/>
        </w:rPr>
        <w:t>14号站de110供水主管沿程水头损失最不利情况计算结果如下表所示：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1A67A9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FA9C1">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87D0">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ED37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D2D2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3310EA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1558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2CB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C554E">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396.2</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C2A0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10067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ED6E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3B9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7AD63">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F6E2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5867D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BDAC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7B6B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0AFF8">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0BB5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1133A5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F04A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E407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479F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CF4A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7B3B45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E9D0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8464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EC8E0">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DD25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7A0D21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F6CA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B60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88223">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1578.79</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FD15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36D048C8">
      <w:pPr>
        <w:pStyle w:val="23"/>
        <w:ind w:left="0" w:firstLine="560" w:firstLineChars="200"/>
        <w:rPr>
          <w:lang w:val="en-US" w:eastAsia="zh-CN"/>
        </w:rPr>
      </w:pPr>
      <w:r>
        <w:rPr>
          <w:rFonts w:hint="eastAsia"/>
          <w:lang w:val="en-US" w:eastAsia="zh-CN"/>
        </w:rPr>
        <w:t>因此，主管沿程水头损失为39.62m，局部水头损失为3.96m，14、15号站高差为+25m，因此提升泵的扬程应大于68.58m，选用潜水泵200QJ63-72，流量63m³/h，扬程72m，功率30kw。</w:t>
      </w:r>
    </w:p>
    <w:p w14:paraId="57D2A0CC">
      <w:pPr>
        <w:pStyle w:val="23"/>
        <w:ind w:left="0" w:firstLine="560" w:firstLineChars="200"/>
        <w:rPr>
          <w:rFonts w:hint="eastAsia"/>
          <w:lang w:val="en-US" w:eastAsia="zh-CN"/>
        </w:rPr>
      </w:pPr>
      <w:r>
        <w:rPr>
          <w:rFonts w:hint="eastAsia"/>
          <w:lang w:val="en-US" w:eastAsia="zh-CN"/>
        </w:rPr>
        <w:t>C.电力工程：14号站内大型用电设备只有提升泵（30kw），14、15号站由报国寺村内A变压器（100kvA）供电，因此变压器需由100kvA增容到160kvA。新增连接14号站泵房的低压线经现场勘察，约为738.02m。</w:t>
      </w:r>
    </w:p>
    <w:p w14:paraId="5DB4B953">
      <w:pPr>
        <w:bidi w:val="0"/>
        <w:rPr>
          <w:rFonts w:hint="eastAsia"/>
          <w:lang w:val="en-US" w:eastAsia="zh-CN"/>
        </w:rPr>
      </w:pPr>
      <w:r>
        <w:rPr>
          <w:rFonts w:hint="eastAsia"/>
          <w:lang w:val="en-US" w:eastAsia="zh-CN"/>
        </w:rPr>
        <w:t>14号站工程数量表详见附表1.16。</w:t>
      </w:r>
    </w:p>
    <w:p w14:paraId="156B8327">
      <w:pPr>
        <w:pStyle w:val="6"/>
        <w:bidi w:val="0"/>
        <w:rPr>
          <w:rFonts w:hint="eastAsia"/>
          <w:lang w:val="en-US" w:eastAsia="zh-CN"/>
        </w:rPr>
      </w:pPr>
      <w:r>
        <w:rPr>
          <w:rFonts w:hint="eastAsia"/>
          <w:lang w:val="en-US" w:eastAsia="zh-CN"/>
        </w:rPr>
        <w:t>15号泵站建设详情</w:t>
      </w:r>
    </w:p>
    <w:p w14:paraId="226C472D">
      <w:pPr>
        <w:pStyle w:val="23"/>
        <w:numPr>
          <w:ilvl w:val="0"/>
          <w:numId w:val="19"/>
        </w:numPr>
        <w:ind w:firstLineChars="0"/>
        <w:rPr>
          <w:lang w:val="en-US" w:eastAsia="zh-CN"/>
        </w:rPr>
      </w:pPr>
      <w:r>
        <w:rPr>
          <w:rFonts w:hint="eastAsia"/>
          <w:lang w:val="en-US" w:eastAsia="zh-CN"/>
        </w:rPr>
        <w:t>管道设计：报国寺村为辐射区，因此只设计供水工程，不设计施肥系统，15号站内没有可利用已建设施设备，所以新建de110（承压1.25Mpa）管道作为站内供水主管，由de90（承压1.25Mpa）管道作为支管延伸到田间，支管每隔40米，设置闸阀1处，方便种植户接管道灌溉农田。de110和de90管道尽量沿等高线布置；</w:t>
      </w:r>
    </w:p>
    <w:p w14:paraId="3C8F857B">
      <w:pPr>
        <w:pStyle w:val="23"/>
        <w:numPr>
          <w:ilvl w:val="0"/>
          <w:numId w:val="19"/>
        </w:numPr>
        <w:ind w:firstLineChars="0"/>
        <w:rPr>
          <w:lang w:val="en-US" w:eastAsia="zh-CN"/>
        </w:rPr>
      </w:pPr>
      <w:r>
        <w:rPr>
          <w:rFonts w:hint="eastAsia"/>
          <w:lang w:val="en-US" w:eastAsia="zh-CN"/>
        </w:rPr>
        <w:t>泵的选型：15号站与14号站共用1个提灌站，泵的选型已在4.2.3.1中完成。</w:t>
      </w:r>
    </w:p>
    <w:p w14:paraId="4B17CFE9">
      <w:pPr>
        <w:pStyle w:val="23"/>
        <w:numPr>
          <w:ilvl w:val="0"/>
          <w:numId w:val="19"/>
        </w:numPr>
        <w:ind w:firstLineChars="0"/>
        <w:rPr>
          <w:lang w:val="en-US" w:eastAsia="zh-CN"/>
        </w:rPr>
      </w:pPr>
      <w:r>
        <w:rPr>
          <w:rFonts w:hint="eastAsia"/>
          <w:lang w:val="en-US" w:eastAsia="zh-CN"/>
        </w:rPr>
        <w:t>电力工程：本站不涉及电力工程。</w:t>
      </w:r>
    </w:p>
    <w:p w14:paraId="494881FC">
      <w:pPr>
        <w:pStyle w:val="23"/>
        <w:rPr>
          <w:lang w:val="en-US" w:eastAsia="zh-CN"/>
        </w:rPr>
      </w:pPr>
      <w:r>
        <w:rPr>
          <w:rFonts w:hint="eastAsia"/>
          <w:lang w:val="en-US" w:eastAsia="zh-CN"/>
        </w:rPr>
        <w:t>15号站工程数量表详见附表1.17。</w:t>
      </w:r>
    </w:p>
    <w:p w14:paraId="1B0D5EFC">
      <w:pPr>
        <w:pStyle w:val="4"/>
        <w:bidi w:val="0"/>
        <w:ind w:left="560"/>
        <w:rPr>
          <w:lang w:val="en-US" w:eastAsia="zh-CN"/>
        </w:rPr>
      </w:pPr>
      <w:bookmarkStart w:id="79" w:name="_Toc16493"/>
      <w:r>
        <w:rPr>
          <w:rFonts w:hint="eastAsia"/>
          <w:lang w:val="en-US" w:eastAsia="zh-CN"/>
        </w:rPr>
        <w:t>中兴镇（辐射区）</w:t>
      </w:r>
      <w:bookmarkEnd w:id="79"/>
    </w:p>
    <w:p w14:paraId="22848BCB">
      <w:pPr>
        <w:ind w:firstLine="560" w:firstLineChars="200"/>
        <w:rPr>
          <w:rFonts w:hint="eastAsia"/>
          <w:lang w:val="en-US" w:eastAsia="zh-CN"/>
        </w:rPr>
      </w:pPr>
      <w:r>
        <w:rPr>
          <w:rFonts w:hint="eastAsia"/>
          <w:lang w:val="en-US" w:eastAsia="zh-CN"/>
        </w:rPr>
        <w:t>中兴镇项目区建设面积610亩（16-20号泵站），其中响滩子村154亩，山神庙村151亩，安家沟村152亩，高楼房村153亩。共建设提灌系统4套，含3座提灌站及配套管网。建设田间管网共计7980.58米，de110管道4478.52米，de90管道3502.06米。</w:t>
      </w:r>
    </w:p>
    <w:p w14:paraId="61B4B992">
      <w:pPr>
        <w:pStyle w:val="5"/>
        <w:bidi w:val="0"/>
        <w:rPr>
          <w:lang w:val="en-US" w:eastAsia="zh-CN"/>
        </w:rPr>
      </w:pPr>
      <w:bookmarkStart w:id="80" w:name="_Toc29285"/>
      <w:r>
        <w:rPr>
          <w:rFonts w:hint="eastAsia"/>
          <w:lang w:val="en-US" w:eastAsia="zh-CN"/>
        </w:rPr>
        <w:t>安家沟村</w:t>
      </w:r>
      <w:bookmarkEnd w:id="80"/>
    </w:p>
    <w:p w14:paraId="55225BA7">
      <w:pPr>
        <w:rPr>
          <w:lang w:val="en-US" w:eastAsia="zh-CN"/>
        </w:rPr>
      </w:pPr>
      <w:r>
        <w:rPr>
          <w:rFonts w:hint="eastAsia"/>
          <w:lang w:val="en-US" w:eastAsia="zh-CN"/>
        </w:rPr>
        <w:t>安家沟村建设1座泵站（16号），16号泵站覆盖面积152亩，16号站从安家沟水库取水，需建设提灌设施1座及配套田间管网设施。安家沟村建设de110管网976.73m，de90管网879.70m，1处取水口（提灌站）。</w:t>
      </w:r>
    </w:p>
    <w:p w14:paraId="001413EA">
      <w:pPr>
        <w:pStyle w:val="6"/>
        <w:bidi w:val="0"/>
        <w:rPr>
          <w:rFonts w:hint="eastAsia"/>
          <w:lang w:val="en-US" w:eastAsia="zh-CN"/>
        </w:rPr>
      </w:pPr>
      <w:r>
        <w:rPr>
          <w:rFonts w:hint="eastAsia"/>
          <w:lang w:val="en-US" w:eastAsia="zh-CN"/>
        </w:rPr>
        <w:t>16号泵站建设详情</w:t>
      </w:r>
    </w:p>
    <w:p w14:paraId="3AC0A7F9">
      <w:pPr>
        <w:bidi w:val="0"/>
        <w:rPr>
          <w:rFonts w:hint="eastAsia"/>
          <w:color w:val="auto"/>
          <w:lang w:val="en-US" w:eastAsia="zh-CN"/>
        </w:rPr>
      </w:pPr>
      <w:r>
        <w:rPr>
          <w:rFonts w:hint="eastAsia"/>
          <w:color w:val="auto"/>
          <w:lang w:val="en-US" w:eastAsia="zh-CN"/>
        </w:rPr>
        <w:t>提灌设施1座及配套田间管网工程。</w:t>
      </w:r>
    </w:p>
    <w:p w14:paraId="6FF0E87C">
      <w:pPr>
        <w:pStyle w:val="23"/>
        <w:numPr>
          <w:ilvl w:val="0"/>
          <w:numId w:val="17"/>
        </w:numPr>
        <w:ind w:firstLineChars="0"/>
        <w:rPr>
          <w:lang w:val="en-US" w:eastAsia="zh-CN"/>
        </w:rPr>
      </w:pPr>
      <w:r>
        <w:rPr>
          <w:rFonts w:hint="eastAsia"/>
          <w:lang w:val="en-US" w:eastAsia="zh-CN"/>
        </w:rPr>
        <w:t>管道设计：安家沟村为辐射区，因此只设计供水工程，不设计施肥系统，16号站内没有可利用已建设施设备，所以新建de110（承压1.25Mpa）管道作为站内供水主管，由de90（承压1.25Mpa）管道作为支管延伸到田间，支管每隔40米，设置闸阀1处，方便种植户接管道灌溉农田。de110和de90管道尽量沿等高线布置；</w:t>
      </w:r>
    </w:p>
    <w:p w14:paraId="6C85CB88">
      <w:pPr>
        <w:pStyle w:val="23"/>
        <w:ind w:left="0" w:firstLine="560" w:firstLineChars="200"/>
        <w:rPr>
          <w:rFonts w:hint="eastAsia"/>
          <w:lang w:val="en-US" w:eastAsia="zh-CN"/>
        </w:rPr>
      </w:pPr>
      <w:r>
        <w:rPr>
          <w:rFonts w:hint="eastAsia"/>
          <w:lang w:val="en-US" w:eastAsia="zh-CN"/>
        </w:rPr>
        <w:t>B.泵的选型：</w:t>
      </w:r>
    </w:p>
    <w:p w14:paraId="1EFAF1A0">
      <w:pPr>
        <w:pStyle w:val="23"/>
        <w:ind w:left="0" w:firstLine="560" w:firstLineChars="200"/>
        <w:rPr>
          <w:lang w:val="en-US" w:eastAsia="zh-CN"/>
        </w:rPr>
      </w:pPr>
      <w:r>
        <w:rPr>
          <w:rFonts w:hint="eastAsia"/>
          <w:lang w:val="en-US" w:eastAsia="zh-CN"/>
        </w:rPr>
        <w:t>16号站de110主管水头损失最不利情况为A16--B16端，如下图所示</w:t>
      </w:r>
    </w:p>
    <w:p w14:paraId="6D28F22E">
      <w:pPr>
        <w:pStyle w:val="23"/>
        <w:jc w:val="center"/>
        <w:rPr>
          <w:lang w:val="en-US" w:eastAsia="zh-CN"/>
        </w:rPr>
      </w:pPr>
      <w:r>
        <w:rPr>
          <w:lang w:val="en-US" w:eastAsia="zh-CN"/>
        </w:rPr>
        <w:drawing>
          <wp:inline distT="0" distB="0" distL="114300" distR="114300">
            <wp:extent cx="5264150" cy="3508375"/>
            <wp:effectExtent l="0" t="0" r="47" b="42"/>
            <wp:docPr id="106" name="图片 127" descr="2ce0c0ce076602c521f6a95d831bb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7" descr="2ce0c0ce076602c521f6a95d831bbb7"/>
                    <pic:cNvPicPr>
                      <a:picLocks noChangeAspect="1"/>
                    </pic:cNvPicPr>
                  </pic:nvPicPr>
                  <pic:blipFill>
                    <a:blip r:embed="rId43"/>
                    <a:stretch>
                      <a:fillRect/>
                    </a:stretch>
                  </pic:blipFill>
                  <pic:spPr>
                    <a:xfrm>
                      <a:off x="0" y="0"/>
                      <a:ext cx="5264150" cy="3509009"/>
                    </a:xfrm>
                    <a:prstGeom prst="rect">
                      <a:avLst/>
                    </a:prstGeom>
                    <a:noFill/>
                    <a:ln w="9525" cap="flat" cmpd="sng">
                      <a:noFill/>
                      <a:prstDash val="solid"/>
                      <a:miter/>
                    </a:ln>
                  </pic:spPr>
                </pic:pic>
              </a:graphicData>
            </a:graphic>
          </wp:inline>
        </w:drawing>
      </w:r>
    </w:p>
    <w:p w14:paraId="03496455">
      <w:pPr>
        <w:pStyle w:val="23"/>
        <w:jc w:val="center"/>
        <w:rPr>
          <w:lang w:val="en-US" w:eastAsia="zh-CN"/>
        </w:rPr>
      </w:pPr>
      <w:r>
        <w:rPr>
          <w:rFonts w:hint="eastAsia"/>
        </w:rPr>
        <w:t>图</w:t>
      </w:r>
      <w:r>
        <w:rPr>
          <w:rFonts w:hint="eastAsia"/>
          <w:lang w:val="en-US" w:eastAsia="zh-CN"/>
        </w:rPr>
        <w:t>3-27  16号泵站管道平面图</w:t>
      </w:r>
    </w:p>
    <w:p w14:paraId="7211E63F">
      <w:pPr>
        <w:pStyle w:val="23"/>
        <w:ind w:left="0" w:firstLine="560" w:firstLineChars="200"/>
        <w:rPr>
          <w:lang w:val="en-US" w:eastAsia="zh-CN"/>
        </w:rPr>
      </w:pPr>
      <w:r>
        <w:rPr>
          <w:rFonts w:hint="eastAsia"/>
          <w:lang w:val="en-US" w:eastAsia="zh-CN"/>
        </w:rPr>
        <w:t>16号站de110供水主管沿程水头损失最不利情况计算结果如下表所示：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69DB2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BF12D">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FFB3A">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EE73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92A9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35A1C3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8F9C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1F65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67AF2">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151.89</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DFA5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5386E8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C43E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37B7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E9B73">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5C0F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1A7386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763B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517E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8EC96">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8234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2610BB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BD17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0D8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0C9B2">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8EB8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07AB75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F4A7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2BA6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4486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8388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5CC46F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BA4D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471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9562A">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550.37</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4F03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145EE772">
      <w:pPr>
        <w:pStyle w:val="23"/>
        <w:ind w:left="0" w:firstLine="560" w:firstLineChars="200"/>
        <w:rPr>
          <w:lang w:val="en-US" w:eastAsia="zh-CN"/>
        </w:rPr>
      </w:pPr>
      <w:r>
        <w:rPr>
          <w:rFonts w:hint="eastAsia"/>
          <w:lang w:val="en-US" w:eastAsia="zh-CN"/>
        </w:rPr>
        <w:t>因此，主管沿程水头损失为15.18m，局部水头损失为1.51m，1号站高差为+12m，因此提升泵的扬程应大于28.69m，选用潜水泵200QJ63-36，流量63m³/h，扬程36m，功率11kw。</w:t>
      </w:r>
    </w:p>
    <w:p w14:paraId="7DFBBF7E">
      <w:pPr>
        <w:pStyle w:val="23"/>
        <w:ind w:left="0" w:firstLine="560" w:firstLineChars="200"/>
        <w:rPr>
          <w:rFonts w:hint="eastAsia"/>
          <w:lang w:val="en-US" w:eastAsia="zh-CN"/>
        </w:rPr>
      </w:pPr>
      <w:r>
        <w:rPr>
          <w:rFonts w:hint="eastAsia"/>
          <w:lang w:val="en-US" w:eastAsia="zh-CN"/>
        </w:rPr>
        <w:t>C.电力工程：16号站内大型用电设备只有提升泵（11kw），16号站由安家沟村内A变压器（50kvA）供电，因此变压器需由50kvA增容到100kvA。新增连接16号站泵房的低压线经现场勘察，约为22.34m。</w:t>
      </w:r>
    </w:p>
    <w:p w14:paraId="64355E29">
      <w:pPr>
        <w:bidi w:val="0"/>
        <w:rPr>
          <w:rFonts w:hint="eastAsia"/>
          <w:lang w:val="en-US" w:eastAsia="zh-CN"/>
        </w:rPr>
      </w:pPr>
      <w:r>
        <w:rPr>
          <w:rFonts w:hint="eastAsia"/>
          <w:lang w:val="en-US" w:eastAsia="zh-CN"/>
        </w:rPr>
        <w:t>16号站工程数量表详见附表1.18。</w:t>
      </w:r>
    </w:p>
    <w:p w14:paraId="32459448">
      <w:pPr>
        <w:pStyle w:val="5"/>
        <w:bidi w:val="0"/>
        <w:rPr>
          <w:lang w:val="en-US" w:eastAsia="zh-CN"/>
        </w:rPr>
      </w:pPr>
      <w:bookmarkStart w:id="81" w:name="_Toc10991"/>
      <w:r>
        <w:rPr>
          <w:rFonts w:hint="eastAsia"/>
          <w:lang w:val="en-US" w:eastAsia="zh-CN"/>
        </w:rPr>
        <w:t>高楼房村</w:t>
      </w:r>
      <w:bookmarkEnd w:id="81"/>
    </w:p>
    <w:p w14:paraId="2C518D95">
      <w:pPr>
        <w:rPr>
          <w:lang w:val="en-US" w:eastAsia="zh-CN"/>
        </w:rPr>
      </w:pPr>
      <w:r>
        <w:rPr>
          <w:rFonts w:hint="eastAsia"/>
          <w:lang w:val="en-US" w:eastAsia="zh-CN"/>
        </w:rPr>
        <w:t>高楼房村建设1座泵站（17号），17号泵站覆盖面积153亩，17号站从水库取水，需建设提灌设施1座及配套田间管网设施。高楼房村建设de110管网1311.98m，de90管网890.44m，1处取水口（提灌站）。</w:t>
      </w:r>
    </w:p>
    <w:p w14:paraId="33A1C7F6">
      <w:pPr>
        <w:pStyle w:val="6"/>
        <w:bidi w:val="0"/>
        <w:rPr>
          <w:rFonts w:hint="eastAsia"/>
          <w:lang w:val="en-US" w:eastAsia="zh-CN"/>
        </w:rPr>
      </w:pPr>
      <w:r>
        <w:rPr>
          <w:rFonts w:hint="eastAsia"/>
          <w:lang w:val="en-US" w:eastAsia="zh-CN"/>
        </w:rPr>
        <w:t>17号泵站建设详情</w:t>
      </w:r>
    </w:p>
    <w:p w14:paraId="580BC897">
      <w:pPr>
        <w:bidi w:val="0"/>
        <w:rPr>
          <w:rFonts w:hint="eastAsia"/>
          <w:color w:val="auto"/>
          <w:lang w:val="en-US" w:eastAsia="zh-CN"/>
        </w:rPr>
      </w:pPr>
      <w:r>
        <w:rPr>
          <w:rFonts w:hint="eastAsia"/>
          <w:color w:val="auto"/>
          <w:lang w:val="en-US" w:eastAsia="zh-CN"/>
        </w:rPr>
        <w:t>提灌设施1座及配套田间管网工程。</w:t>
      </w:r>
    </w:p>
    <w:p w14:paraId="0DFF07BE">
      <w:pPr>
        <w:pStyle w:val="23"/>
        <w:numPr>
          <w:ilvl w:val="0"/>
          <w:numId w:val="20"/>
        </w:numPr>
        <w:ind w:firstLineChars="0"/>
        <w:rPr>
          <w:lang w:val="en-US" w:eastAsia="zh-CN"/>
        </w:rPr>
      </w:pPr>
      <w:r>
        <w:rPr>
          <w:rFonts w:hint="eastAsia"/>
          <w:lang w:val="en-US" w:eastAsia="zh-CN"/>
        </w:rPr>
        <w:t>管道设计：安家沟村为辐射区，因此只设计供水工程，不设计施肥系统，17号站内没有可利用已建设施设备，所以新建de110（承压1.25Mpa）管道作为站内供水主管，由de90（承压1.25Mpa）管道作为支管延伸到田间，支管每隔40米，设置闸阀1处，方便种植户接管道灌溉农田。de110和de90管道尽量沿等高线布置；</w:t>
      </w:r>
    </w:p>
    <w:p w14:paraId="411890CB">
      <w:pPr>
        <w:pStyle w:val="23"/>
        <w:ind w:left="0" w:firstLine="560" w:firstLineChars="200"/>
        <w:rPr>
          <w:rFonts w:hint="eastAsia"/>
          <w:lang w:val="en-US" w:eastAsia="zh-CN"/>
        </w:rPr>
      </w:pPr>
      <w:r>
        <w:rPr>
          <w:rFonts w:hint="eastAsia"/>
          <w:lang w:val="en-US" w:eastAsia="zh-CN"/>
        </w:rPr>
        <w:t>B.泵的选型：</w:t>
      </w:r>
    </w:p>
    <w:p w14:paraId="27DA05D0">
      <w:pPr>
        <w:pStyle w:val="23"/>
        <w:ind w:left="0" w:firstLine="560" w:firstLineChars="200"/>
        <w:rPr>
          <w:lang w:val="en-US" w:eastAsia="zh-CN"/>
        </w:rPr>
      </w:pPr>
      <w:r>
        <w:rPr>
          <w:rFonts w:hint="eastAsia"/>
          <w:lang w:val="en-US" w:eastAsia="zh-CN"/>
        </w:rPr>
        <w:t>17号站de110主管水头损失最不利情况为A17--B17--C17--E17端，如下图所示</w:t>
      </w:r>
    </w:p>
    <w:p w14:paraId="1C899FCF">
      <w:pPr>
        <w:pStyle w:val="23"/>
        <w:jc w:val="center"/>
        <w:rPr>
          <w:lang w:val="en-US" w:eastAsia="zh-CN"/>
        </w:rPr>
      </w:pPr>
      <w:r>
        <w:rPr>
          <w:lang w:val="en-US" w:eastAsia="zh-CN"/>
        </w:rPr>
        <w:drawing>
          <wp:inline distT="0" distB="0" distL="114300" distR="114300">
            <wp:extent cx="5269865" cy="3267075"/>
            <wp:effectExtent l="0" t="0" r="15" b="45"/>
            <wp:docPr id="109" name="图片 129" descr="987ac73834caf2059789aa5eceee2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9" descr="987ac73834caf2059789aa5eceee23e"/>
                    <pic:cNvPicPr>
                      <a:picLocks noChangeAspect="1"/>
                    </pic:cNvPicPr>
                  </pic:nvPicPr>
                  <pic:blipFill>
                    <a:blip r:embed="rId44"/>
                    <a:stretch>
                      <a:fillRect/>
                    </a:stretch>
                  </pic:blipFill>
                  <pic:spPr>
                    <a:xfrm>
                      <a:off x="0" y="0"/>
                      <a:ext cx="5270498" cy="3267075"/>
                    </a:xfrm>
                    <a:prstGeom prst="rect">
                      <a:avLst/>
                    </a:prstGeom>
                    <a:noFill/>
                    <a:ln w="9525" cap="flat" cmpd="sng">
                      <a:noFill/>
                      <a:prstDash val="solid"/>
                      <a:miter/>
                    </a:ln>
                  </pic:spPr>
                </pic:pic>
              </a:graphicData>
            </a:graphic>
          </wp:inline>
        </w:drawing>
      </w:r>
    </w:p>
    <w:p w14:paraId="79448637">
      <w:pPr>
        <w:pStyle w:val="23"/>
        <w:jc w:val="center"/>
        <w:rPr>
          <w:lang w:val="en-US" w:eastAsia="zh-CN"/>
        </w:rPr>
      </w:pPr>
      <w:r>
        <w:rPr>
          <w:rFonts w:hint="eastAsia"/>
        </w:rPr>
        <w:t>图</w:t>
      </w:r>
      <w:r>
        <w:rPr>
          <w:rFonts w:hint="eastAsia"/>
          <w:lang w:val="en-US" w:eastAsia="zh-CN"/>
        </w:rPr>
        <w:t>3-28  17号泵站管道平面图</w:t>
      </w:r>
    </w:p>
    <w:p w14:paraId="22464BC1">
      <w:pPr>
        <w:pStyle w:val="23"/>
        <w:ind w:left="0" w:firstLine="560" w:firstLineChars="200"/>
        <w:rPr>
          <w:lang w:val="en-US" w:eastAsia="zh-CN"/>
        </w:rPr>
      </w:pPr>
      <w:r>
        <w:rPr>
          <w:rFonts w:hint="eastAsia"/>
          <w:lang w:val="en-US" w:eastAsia="zh-CN"/>
        </w:rPr>
        <w:t>17号站de110供水主管沿程水头损失最不利情况计算结果如下表所示：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00F1AA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C70F8">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8E09A">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0447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73B9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2BFA3D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76C7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80BA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83794">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180.6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6BC6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259819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1066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02BB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877C1">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E9BE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0F97E1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2CC3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AD64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988DC">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8399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215906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5475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77D2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FDCE3">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51F87">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5E8745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3AF1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0CEB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5B9C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C627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02CBDD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13A6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B49C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8603D">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654.53</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0F13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0BBAD3B0">
      <w:pPr>
        <w:pStyle w:val="23"/>
        <w:ind w:left="0" w:firstLine="560" w:firstLineChars="200"/>
        <w:rPr>
          <w:lang w:val="en-US" w:eastAsia="zh-CN"/>
        </w:rPr>
      </w:pPr>
      <w:r>
        <w:rPr>
          <w:rFonts w:hint="eastAsia"/>
          <w:lang w:val="en-US" w:eastAsia="zh-CN"/>
        </w:rPr>
        <w:t>因此，主管沿程水头损失为18.06m，局部水头损失为1.8m，17号站高差为+24m，因此提升泵的扬程应大于43.86m，选用潜水泵200QJ63-60，流量63m³/h，扬程60m，功率18.5kw。</w:t>
      </w:r>
    </w:p>
    <w:p w14:paraId="2C2C3C15">
      <w:pPr>
        <w:pStyle w:val="23"/>
        <w:ind w:left="0" w:firstLine="560" w:firstLineChars="200"/>
        <w:rPr>
          <w:rFonts w:hint="eastAsia"/>
          <w:lang w:val="en-US" w:eastAsia="zh-CN"/>
        </w:rPr>
      </w:pPr>
      <w:r>
        <w:rPr>
          <w:rFonts w:hint="eastAsia"/>
          <w:lang w:val="en-US" w:eastAsia="zh-CN"/>
        </w:rPr>
        <w:t>C.电力工程：17号站内大型用电设备只有提升泵（18.5kw），17号站由高楼房村内A变压器（10kvA）供电，因此变压器需由10kvA增容到50kvA。新增连接17号站泵房的低压线经现场勘察，约为284.71m。</w:t>
      </w:r>
    </w:p>
    <w:p w14:paraId="4D8C1A53">
      <w:pPr>
        <w:bidi w:val="0"/>
        <w:rPr>
          <w:rFonts w:hint="eastAsia"/>
          <w:lang w:val="en-US" w:eastAsia="zh-CN"/>
        </w:rPr>
      </w:pPr>
      <w:r>
        <w:rPr>
          <w:rFonts w:hint="eastAsia"/>
          <w:lang w:val="en-US" w:eastAsia="zh-CN"/>
        </w:rPr>
        <w:t>17号站工程数量表详见附表1.19。</w:t>
      </w:r>
    </w:p>
    <w:p w14:paraId="7E4C9F7A">
      <w:pPr>
        <w:pStyle w:val="5"/>
        <w:bidi w:val="0"/>
        <w:rPr>
          <w:lang w:val="en-US" w:eastAsia="zh-CN"/>
        </w:rPr>
      </w:pPr>
      <w:bookmarkStart w:id="82" w:name="_Toc1968"/>
      <w:r>
        <w:rPr>
          <w:rFonts w:hint="eastAsia"/>
          <w:lang w:val="en-US" w:eastAsia="zh-CN"/>
        </w:rPr>
        <w:t>山神庙村</w:t>
      </w:r>
      <w:bookmarkEnd w:id="82"/>
    </w:p>
    <w:p w14:paraId="40B036F6">
      <w:pPr>
        <w:rPr>
          <w:lang w:val="en-US" w:eastAsia="zh-CN"/>
        </w:rPr>
      </w:pPr>
      <w:r>
        <w:rPr>
          <w:rFonts w:hint="eastAsia"/>
          <w:lang w:val="en-US" w:eastAsia="zh-CN"/>
        </w:rPr>
        <w:t>山神庙村建设1套提灌系统（18号），18号站覆盖面积151亩，18号站从既有提灌站取水，需建设配套田间管网设施。山神庙村建设de110管网1425.40m，de90管网804.62m。</w:t>
      </w:r>
    </w:p>
    <w:p w14:paraId="37DA9F00">
      <w:pPr>
        <w:pStyle w:val="6"/>
        <w:bidi w:val="0"/>
        <w:rPr>
          <w:rFonts w:hint="eastAsia"/>
          <w:lang w:val="en-US" w:eastAsia="zh-CN"/>
        </w:rPr>
      </w:pPr>
      <w:r>
        <w:rPr>
          <w:rFonts w:hint="eastAsia"/>
          <w:lang w:val="en-US" w:eastAsia="zh-CN"/>
        </w:rPr>
        <w:t>18号泵站建设详情</w:t>
      </w:r>
    </w:p>
    <w:p w14:paraId="00134938">
      <w:pPr>
        <w:pStyle w:val="23"/>
        <w:numPr>
          <w:ilvl w:val="0"/>
          <w:numId w:val="21"/>
        </w:numPr>
        <w:ind w:firstLineChars="0"/>
        <w:rPr>
          <w:lang w:val="en-US" w:eastAsia="zh-CN"/>
        </w:rPr>
      </w:pPr>
      <w:r>
        <w:rPr>
          <w:rFonts w:hint="eastAsia"/>
          <w:lang w:val="en-US" w:eastAsia="zh-CN"/>
        </w:rPr>
        <w:t>管道设计：山神庙村为辐射区，因此只设计供水工程，不设计施肥系统，18号站内有1处已建提灌站，配有流量100m³/h的提升泵，所以新建de110（承压1.25Mpa）管道作为站内供水主管，由de90（承压1.25Mpa）管道作为支管延伸到田间，支管每隔40米，设置闸阀1处，方便种植户接管道灌溉农田。de110和de90管道尽量沿等高线布置；</w:t>
      </w:r>
    </w:p>
    <w:p w14:paraId="6840D8BB">
      <w:pPr>
        <w:pStyle w:val="23"/>
        <w:ind w:left="0" w:firstLine="560" w:firstLineChars="200"/>
        <w:rPr>
          <w:lang w:val="en-US" w:eastAsia="zh-CN"/>
        </w:rPr>
      </w:pPr>
      <w:r>
        <w:rPr>
          <w:rFonts w:hint="eastAsia"/>
          <w:lang w:val="en-US" w:eastAsia="zh-CN"/>
        </w:rPr>
        <w:t>B.泵的选型：利用已建提升泵（100m³/h），18号站de110主管水头损失最不利情况为A18--B18--D18端，如下图所示</w:t>
      </w:r>
    </w:p>
    <w:p w14:paraId="5A58D9AA">
      <w:pPr>
        <w:pStyle w:val="23"/>
        <w:jc w:val="center"/>
        <w:rPr>
          <w:lang w:val="en-US" w:eastAsia="zh-CN"/>
        </w:rPr>
      </w:pPr>
      <w:r>
        <w:rPr>
          <w:lang w:val="en-US" w:eastAsia="zh-CN"/>
        </w:rPr>
        <w:drawing>
          <wp:inline distT="0" distB="0" distL="114300" distR="114300">
            <wp:extent cx="5268595" cy="2813050"/>
            <wp:effectExtent l="0" t="0" r="17" b="20"/>
            <wp:docPr id="112" name="图片 4" descr="1e5c1b81c2d977030a4207a535ef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descr="1e5c1b81c2d977030a4207a535ef25b"/>
                    <pic:cNvPicPr>
                      <a:picLocks noChangeAspect="1"/>
                    </pic:cNvPicPr>
                  </pic:nvPicPr>
                  <pic:blipFill>
                    <a:blip r:embed="rId45"/>
                    <a:stretch>
                      <a:fillRect/>
                    </a:stretch>
                  </pic:blipFill>
                  <pic:spPr>
                    <a:xfrm>
                      <a:off x="0" y="0"/>
                      <a:ext cx="5268595" cy="2813050"/>
                    </a:xfrm>
                    <a:prstGeom prst="rect">
                      <a:avLst/>
                    </a:prstGeom>
                    <a:noFill/>
                    <a:ln w="9525" cap="flat" cmpd="sng">
                      <a:noFill/>
                      <a:prstDash val="solid"/>
                      <a:miter/>
                    </a:ln>
                  </pic:spPr>
                </pic:pic>
              </a:graphicData>
            </a:graphic>
          </wp:inline>
        </w:drawing>
      </w:r>
    </w:p>
    <w:p w14:paraId="2C191FC0">
      <w:pPr>
        <w:pStyle w:val="23"/>
        <w:jc w:val="center"/>
        <w:rPr>
          <w:lang w:val="en-US" w:eastAsia="zh-CN"/>
        </w:rPr>
      </w:pPr>
      <w:r>
        <w:rPr>
          <w:rFonts w:hint="eastAsia"/>
        </w:rPr>
        <w:t>图</w:t>
      </w:r>
      <w:r>
        <w:rPr>
          <w:rFonts w:hint="eastAsia"/>
          <w:lang w:val="en-US" w:eastAsia="zh-CN"/>
        </w:rPr>
        <w:t>3-29  18号泵站管道平面图</w:t>
      </w:r>
    </w:p>
    <w:p w14:paraId="36B4C48B">
      <w:pPr>
        <w:pStyle w:val="23"/>
        <w:ind w:left="0" w:firstLine="560" w:firstLineChars="200"/>
        <w:rPr>
          <w:lang w:val="en-US" w:eastAsia="zh-CN"/>
        </w:rPr>
      </w:pPr>
      <w:r>
        <w:rPr>
          <w:rFonts w:hint="eastAsia"/>
          <w:lang w:val="en-US" w:eastAsia="zh-CN"/>
        </w:rPr>
        <w:t>18号站de110供水主管沿程水头损失最不利情况计算结果如下表所示：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73FA9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97888">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65A7E">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B583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4F0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1AC3A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539D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B36B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236A6">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335.97</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EEA9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5C210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2792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0D28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B50CD">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ECF5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5E0BCF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D6B7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E668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D4B6C">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E0B4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4D5613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7377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31D1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4E306">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72F1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41AA6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3DCD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E9A5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DEFA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3977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3A9C3D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674C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CD7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A3BA6">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1217.39</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958A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4C61D189">
      <w:pPr>
        <w:pStyle w:val="23"/>
        <w:ind w:left="0" w:firstLine="560" w:firstLineChars="200"/>
        <w:rPr>
          <w:lang w:val="en-US" w:eastAsia="zh-CN"/>
        </w:rPr>
      </w:pPr>
      <w:r>
        <w:rPr>
          <w:rFonts w:hint="eastAsia"/>
          <w:lang w:val="en-US" w:eastAsia="zh-CN"/>
        </w:rPr>
        <w:t>因此，主管沿程水头损失为33.9m，局部水头损失为3.35m，18号站高差为+5m，因此提升泵的扬程应大于42.25m，已建提升泵扬程为50m，满足要求。</w:t>
      </w:r>
    </w:p>
    <w:p w14:paraId="08698790">
      <w:pPr>
        <w:pStyle w:val="23"/>
        <w:ind w:left="0" w:firstLine="560" w:firstLineChars="200"/>
        <w:rPr>
          <w:lang w:val="en-US" w:eastAsia="zh-CN"/>
        </w:rPr>
      </w:pPr>
      <w:r>
        <w:rPr>
          <w:rFonts w:hint="eastAsia"/>
          <w:lang w:val="en-US" w:eastAsia="zh-CN"/>
        </w:rPr>
        <w:t>C.电力工程：18号站中已建提灌站，不需要再考虑电力配套设施</w:t>
      </w:r>
    </w:p>
    <w:p w14:paraId="18EBDDC9">
      <w:pPr>
        <w:bidi w:val="0"/>
        <w:rPr>
          <w:rFonts w:hint="eastAsia"/>
          <w:lang w:val="en-US" w:eastAsia="zh-CN"/>
        </w:rPr>
      </w:pPr>
      <w:r>
        <w:rPr>
          <w:rFonts w:hint="eastAsia"/>
          <w:lang w:val="en-US" w:eastAsia="zh-CN"/>
        </w:rPr>
        <w:t>18号站工程数量表详见附表1.20。</w:t>
      </w:r>
    </w:p>
    <w:p w14:paraId="19ED0D81">
      <w:pPr>
        <w:pStyle w:val="23"/>
        <w:jc w:val="center"/>
        <w:rPr>
          <w:rFonts w:hint="eastAsia"/>
          <w:lang w:val="en-US" w:eastAsia="zh-CN"/>
        </w:rPr>
        <w:sectPr>
          <w:pgSz w:w="11906" w:h="16838"/>
          <w:pgMar w:top="1440" w:right="1800" w:bottom="1440" w:left="1800" w:header="851" w:footer="992" w:gutter="0"/>
          <w:cols w:space="425" w:num="1"/>
          <w:docGrid w:type="lines" w:linePitch="312" w:charSpace="0"/>
        </w:sectPr>
      </w:pPr>
    </w:p>
    <w:p w14:paraId="53CAADD2">
      <w:pPr>
        <w:pStyle w:val="5"/>
        <w:bidi w:val="0"/>
        <w:rPr>
          <w:lang w:val="en-US" w:eastAsia="zh-CN"/>
        </w:rPr>
      </w:pPr>
      <w:bookmarkStart w:id="83" w:name="_Toc18755"/>
      <w:r>
        <w:rPr>
          <w:rFonts w:hint="eastAsia"/>
          <w:lang w:val="en-US" w:eastAsia="zh-CN"/>
        </w:rPr>
        <w:t>响滩子村</w:t>
      </w:r>
      <w:bookmarkEnd w:id="83"/>
    </w:p>
    <w:p w14:paraId="4D56E83E">
      <w:pPr>
        <w:rPr>
          <w:lang w:val="en-US" w:eastAsia="zh-CN"/>
        </w:rPr>
      </w:pPr>
      <w:r>
        <w:rPr>
          <w:rFonts w:hint="eastAsia"/>
          <w:lang w:val="en-US" w:eastAsia="zh-CN"/>
        </w:rPr>
        <w:t>响滩子村建设1座泵站（19号），19号泵站覆盖面积154亩，19号站从响滩子水库取水，需建设提灌设施1座及配套田间管网设施。响滩子村建设de110管网764.41m，de90管网927.30m，1处取水口（提灌站）。</w:t>
      </w:r>
    </w:p>
    <w:p w14:paraId="0560E412">
      <w:pPr>
        <w:pStyle w:val="6"/>
        <w:bidi w:val="0"/>
        <w:rPr>
          <w:rFonts w:hint="eastAsia"/>
          <w:lang w:val="en-US" w:eastAsia="zh-CN"/>
        </w:rPr>
      </w:pPr>
      <w:r>
        <w:rPr>
          <w:rFonts w:hint="eastAsia"/>
          <w:lang w:val="en-US" w:eastAsia="zh-CN"/>
        </w:rPr>
        <w:t>19号泵站建设详情</w:t>
      </w:r>
    </w:p>
    <w:p w14:paraId="6090F0F8">
      <w:pPr>
        <w:bidi w:val="0"/>
        <w:rPr>
          <w:rFonts w:hint="eastAsia"/>
          <w:color w:val="auto"/>
          <w:lang w:val="en-US" w:eastAsia="zh-CN"/>
        </w:rPr>
      </w:pPr>
      <w:r>
        <w:rPr>
          <w:rFonts w:hint="eastAsia"/>
          <w:color w:val="auto"/>
          <w:lang w:val="en-US" w:eastAsia="zh-CN"/>
        </w:rPr>
        <w:t>提灌设施1座及配套田间管网工程。</w:t>
      </w:r>
    </w:p>
    <w:p w14:paraId="667B06E5">
      <w:pPr>
        <w:pStyle w:val="23"/>
        <w:numPr>
          <w:ilvl w:val="0"/>
          <w:numId w:val="22"/>
        </w:numPr>
        <w:ind w:firstLineChars="0"/>
        <w:rPr>
          <w:lang w:val="en-US" w:eastAsia="zh-CN"/>
        </w:rPr>
      </w:pPr>
      <w:r>
        <w:rPr>
          <w:rFonts w:hint="eastAsia"/>
          <w:lang w:val="en-US" w:eastAsia="zh-CN"/>
        </w:rPr>
        <w:t>管道设计：响滩子村为辐射区，因此只设计供水工程，不设计施肥系统，19号站内没有可利用已建设施设备，所以新建de110（承压1.25Mpa）管道作为站内供水主管，由de90（承压1.25Mpa）管道作为支管延伸到田间，支管每隔40米，设置闸阀1处，方便种植户接管道灌溉农田。de110和de90管道尽量沿等高线布置；</w:t>
      </w:r>
    </w:p>
    <w:p w14:paraId="2E71EB53">
      <w:pPr>
        <w:pStyle w:val="23"/>
        <w:ind w:left="0" w:firstLine="560" w:firstLineChars="200"/>
        <w:rPr>
          <w:rFonts w:hint="eastAsia"/>
          <w:lang w:val="en-US" w:eastAsia="zh-CN"/>
        </w:rPr>
      </w:pPr>
      <w:r>
        <w:rPr>
          <w:rFonts w:hint="eastAsia"/>
          <w:lang w:val="en-US" w:eastAsia="zh-CN"/>
        </w:rPr>
        <w:t>B.泵的选型：</w:t>
      </w:r>
    </w:p>
    <w:p w14:paraId="646ADB69">
      <w:pPr>
        <w:pStyle w:val="23"/>
        <w:ind w:left="0" w:firstLine="560" w:firstLineChars="200"/>
        <w:rPr>
          <w:lang w:val="en-US" w:eastAsia="zh-CN"/>
        </w:rPr>
      </w:pPr>
      <w:r>
        <w:rPr>
          <w:rFonts w:hint="eastAsia"/>
          <w:lang w:val="en-US" w:eastAsia="zh-CN"/>
        </w:rPr>
        <w:t>19号站de110主管水头损失最不利情况为A19--B19端，如下图所示</w:t>
      </w:r>
    </w:p>
    <w:p w14:paraId="710A07AF">
      <w:pPr>
        <w:pStyle w:val="23"/>
        <w:jc w:val="center"/>
        <w:rPr>
          <w:lang w:val="en-US" w:eastAsia="zh-CN"/>
        </w:rPr>
      </w:pPr>
      <w:r>
        <w:rPr>
          <w:lang w:val="en-US" w:eastAsia="zh-CN"/>
        </w:rPr>
        <w:drawing>
          <wp:inline distT="0" distB="0" distL="114300" distR="114300">
            <wp:extent cx="5269230" cy="3535045"/>
            <wp:effectExtent l="0" t="0" r="15" b="9"/>
            <wp:docPr id="115" name="图片 7" descr="34f21adabc082af1510143a643939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descr="34f21adabc082af1510143a6439393b"/>
                    <pic:cNvPicPr>
                      <a:picLocks noChangeAspect="1"/>
                    </pic:cNvPicPr>
                  </pic:nvPicPr>
                  <pic:blipFill>
                    <a:blip r:embed="rId46"/>
                    <a:stretch>
                      <a:fillRect/>
                    </a:stretch>
                  </pic:blipFill>
                  <pic:spPr>
                    <a:xfrm>
                      <a:off x="0" y="0"/>
                      <a:ext cx="5269230" cy="3535045"/>
                    </a:xfrm>
                    <a:prstGeom prst="rect">
                      <a:avLst/>
                    </a:prstGeom>
                    <a:noFill/>
                    <a:ln w="9525" cap="flat" cmpd="sng">
                      <a:noFill/>
                      <a:prstDash val="solid"/>
                      <a:miter/>
                    </a:ln>
                  </pic:spPr>
                </pic:pic>
              </a:graphicData>
            </a:graphic>
          </wp:inline>
        </w:drawing>
      </w:r>
    </w:p>
    <w:p w14:paraId="1A0DDFAC">
      <w:pPr>
        <w:pStyle w:val="23"/>
        <w:jc w:val="center"/>
        <w:rPr>
          <w:lang w:val="en-US" w:eastAsia="zh-CN"/>
        </w:rPr>
      </w:pPr>
      <w:r>
        <w:rPr>
          <w:rFonts w:hint="eastAsia"/>
        </w:rPr>
        <w:t>图</w:t>
      </w:r>
      <w:r>
        <w:rPr>
          <w:rFonts w:hint="eastAsia"/>
          <w:lang w:val="en-US" w:eastAsia="zh-CN"/>
        </w:rPr>
        <w:t>3-30  19号泵站管道平面图</w:t>
      </w:r>
    </w:p>
    <w:p w14:paraId="24C250AC">
      <w:pPr>
        <w:pStyle w:val="23"/>
        <w:ind w:left="0" w:firstLine="560" w:firstLineChars="200"/>
        <w:rPr>
          <w:lang w:val="en-US" w:eastAsia="zh-CN"/>
        </w:rPr>
      </w:pPr>
      <w:r>
        <w:rPr>
          <w:rFonts w:hint="eastAsia"/>
          <w:lang w:val="en-US" w:eastAsia="zh-CN"/>
        </w:rPr>
        <w:t>19号站de110供水主管沿程水头损失最不利情况计算结果如下表所示：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09F4B2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FBDE5">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76FBD">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10A4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D510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3E84CD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0927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0AD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F2A2D">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210.96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44C2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125C3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5061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55ED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524DF">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76B8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3D26A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E82A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70CA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71F22">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04BD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62645F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1E78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FEEE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212AE">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F40A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1E66E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16C8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7664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20355">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4A8A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7DDFAC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81A5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0CD2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173F7">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764.4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ABD3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6C68AF80">
      <w:pPr>
        <w:pStyle w:val="23"/>
        <w:ind w:left="0" w:firstLine="560" w:firstLineChars="200"/>
        <w:rPr>
          <w:lang w:val="en-US" w:eastAsia="zh-CN"/>
        </w:rPr>
      </w:pPr>
      <w:r>
        <w:rPr>
          <w:rFonts w:hint="eastAsia"/>
          <w:lang w:val="en-US" w:eastAsia="zh-CN"/>
        </w:rPr>
        <w:t>因此，主管沿程水头损失为21.09m，局部水头损失为2.1m，17号站高差为+26m，因此提升泵的扬程应大于49.19m，选用潜水泵200QJ63-60，流量63m³/h，扬程60m，功率18.5kw。</w:t>
      </w:r>
    </w:p>
    <w:p w14:paraId="338C047C">
      <w:pPr>
        <w:pStyle w:val="23"/>
        <w:ind w:left="0" w:firstLine="560" w:firstLineChars="200"/>
        <w:rPr>
          <w:rFonts w:hint="eastAsia"/>
          <w:lang w:val="en-US" w:eastAsia="zh-CN"/>
        </w:rPr>
      </w:pPr>
      <w:r>
        <w:rPr>
          <w:rFonts w:hint="eastAsia"/>
          <w:lang w:val="en-US" w:eastAsia="zh-CN"/>
        </w:rPr>
        <w:t>C.电力工程：19号站内大型用电设备只有提升泵（18.5kw），19号站由响滩子村内A变压器（80kvA）供电，因此变压器需由80kvA增容到100kvA。新增连接19号站泵房的低压线经现场勘察，约为107.98m。</w:t>
      </w:r>
    </w:p>
    <w:p w14:paraId="584D8E45">
      <w:pPr>
        <w:bidi w:val="0"/>
        <w:rPr>
          <w:rFonts w:hint="eastAsia"/>
          <w:lang w:val="en-US" w:eastAsia="zh-CN"/>
        </w:rPr>
      </w:pPr>
      <w:r>
        <w:rPr>
          <w:rFonts w:hint="eastAsia"/>
          <w:lang w:val="en-US" w:eastAsia="zh-CN"/>
        </w:rPr>
        <w:t>19号站工程数量表详见附表1.19。</w:t>
      </w:r>
    </w:p>
    <w:p w14:paraId="0514F7B1">
      <w:pPr>
        <w:pStyle w:val="4"/>
        <w:bidi w:val="0"/>
        <w:ind w:left="560"/>
        <w:rPr>
          <w:lang w:val="en-US" w:eastAsia="zh-CN"/>
        </w:rPr>
      </w:pPr>
      <w:bookmarkStart w:id="84" w:name="_Toc31800"/>
      <w:r>
        <w:rPr>
          <w:rFonts w:hint="eastAsia"/>
          <w:lang w:val="en-US" w:eastAsia="zh-CN"/>
        </w:rPr>
        <w:t>白马镇（辐射区）</w:t>
      </w:r>
      <w:bookmarkEnd w:id="84"/>
    </w:p>
    <w:p w14:paraId="7E0AF419">
      <w:pPr>
        <w:ind w:firstLine="560" w:firstLineChars="200"/>
        <w:rPr>
          <w:rFonts w:hint="eastAsia"/>
          <w:lang w:val="en-US" w:eastAsia="zh-CN"/>
        </w:rPr>
      </w:pPr>
      <w:r>
        <w:rPr>
          <w:rFonts w:hint="eastAsia"/>
          <w:lang w:val="en-US" w:eastAsia="zh-CN"/>
        </w:rPr>
        <w:t>白马镇项目区建设面积712亩（20-23号泵站），其中黄盐井村407亩，河边井村152亩，清凉寺村153亩。共建设提灌系统4套，含3座提灌站及配套管网。建设田间管网共计9312.73米，其中de110管道6014.01米，de90管道3298.72米。</w:t>
      </w:r>
    </w:p>
    <w:p w14:paraId="7BF24CBD">
      <w:pPr>
        <w:pStyle w:val="5"/>
        <w:bidi w:val="0"/>
        <w:rPr>
          <w:lang w:val="en-US" w:eastAsia="zh-CN"/>
        </w:rPr>
      </w:pPr>
      <w:bookmarkStart w:id="85" w:name="_Toc16063"/>
      <w:r>
        <w:rPr>
          <w:rFonts w:hint="eastAsia"/>
          <w:lang w:val="en-US" w:eastAsia="zh-CN"/>
        </w:rPr>
        <w:t>河边井村</w:t>
      </w:r>
      <w:bookmarkEnd w:id="85"/>
    </w:p>
    <w:p w14:paraId="539EDE60">
      <w:pPr>
        <w:rPr>
          <w:lang w:val="en-US" w:eastAsia="zh-CN"/>
        </w:rPr>
      </w:pPr>
      <w:r>
        <w:rPr>
          <w:rFonts w:hint="eastAsia"/>
          <w:lang w:val="en-US" w:eastAsia="zh-CN"/>
        </w:rPr>
        <w:t>河边井村建设1套提灌系统（20号），20号站覆盖面积152亩，20号站从既有提灌站取水，需建设提灌配套田间管网设施。河边井村建设de110管网1502.09m，de90管网486.37m。</w:t>
      </w:r>
    </w:p>
    <w:p w14:paraId="0C9AA25E">
      <w:pPr>
        <w:pStyle w:val="6"/>
        <w:bidi w:val="0"/>
        <w:rPr>
          <w:rFonts w:hint="eastAsia"/>
          <w:lang w:val="en-US" w:eastAsia="zh-CN"/>
        </w:rPr>
      </w:pPr>
      <w:r>
        <w:rPr>
          <w:rFonts w:hint="eastAsia"/>
          <w:lang w:val="en-US" w:eastAsia="zh-CN"/>
        </w:rPr>
        <w:t>20号泵站建设详情</w:t>
      </w:r>
    </w:p>
    <w:p w14:paraId="23412EBC">
      <w:pPr>
        <w:pStyle w:val="23"/>
        <w:numPr>
          <w:ilvl w:val="0"/>
          <w:numId w:val="23"/>
        </w:numPr>
        <w:ind w:firstLineChars="0"/>
        <w:rPr>
          <w:lang w:val="en-US" w:eastAsia="zh-CN"/>
        </w:rPr>
      </w:pPr>
      <w:r>
        <w:rPr>
          <w:rFonts w:hint="eastAsia"/>
          <w:lang w:val="en-US" w:eastAsia="zh-CN"/>
        </w:rPr>
        <w:t>管道设计：河边井村为辐射区，因此只设计供水工程，不设计施肥系统，20号站内有1处已建提灌站，配有流量100m³/h的提升泵，所以新建de110（承压1.25Mpa）管道作为站内供水主管，由de90（承压1.25Mpa）管道作为支管延伸到田间，支管每隔40米，设置闸阀1处，方便种植户接管道灌溉农田。de110和de90管道尽量沿等高线布置；</w:t>
      </w:r>
    </w:p>
    <w:p w14:paraId="12F91BD2">
      <w:pPr>
        <w:pStyle w:val="23"/>
        <w:ind w:left="0" w:firstLine="560" w:firstLineChars="200"/>
        <w:rPr>
          <w:lang w:val="en-US" w:eastAsia="zh-CN"/>
        </w:rPr>
      </w:pPr>
      <w:r>
        <w:rPr>
          <w:rFonts w:hint="eastAsia"/>
          <w:lang w:val="en-US" w:eastAsia="zh-CN"/>
        </w:rPr>
        <w:t>B.泵的选型：利用已建提升泵（100m³/h），20号站de110主管水头损失最不利情况为A20--B20--C20--G20--H20端，如下图所示</w:t>
      </w:r>
    </w:p>
    <w:p w14:paraId="327A5D2E">
      <w:pPr>
        <w:pStyle w:val="23"/>
        <w:jc w:val="center"/>
        <w:rPr>
          <w:lang w:val="en-US" w:eastAsia="zh-CN"/>
        </w:rPr>
      </w:pPr>
      <w:r>
        <w:rPr>
          <w:lang w:val="en-US" w:eastAsia="zh-CN"/>
        </w:rPr>
        <w:drawing>
          <wp:inline distT="0" distB="0" distL="114300" distR="114300">
            <wp:extent cx="5269230" cy="4869815"/>
            <wp:effectExtent l="0" t="0" r="15" b="43"/>
            <wp:docPr id="118" name="图片 12" descr="a4df6474796000df0e881bd606c98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 descr="a4df6474796000df0e881bd606c987a"/>
                    <pic:cNvPicPr>
                      <a:picLocks noChangeAspect="1"/>
                    </pic:cNvPicPr>
                  </pic:nvPicPr>
                  <pic:blipFill>
                    <a:blip r:embed="rId47"/>
                    <a:stretch>
                      <a:fillRect/>
                    </a:stretch>
                  </pic:blipFill>
                  <pic:spPr>
                    <a:xfrm>
                      <a:off x="0" y="0"/>
                      <a:ext cx="5269230" cy="4869815"/>
                    </a:xfrm>
                    <a:prstGeom prst="rect">
                      <a:avLst/>
                    </a:prstGeom>
                    <a:noFill/>
                    <a:ln w="9525" cap="flat" cmpd="sng">
                      <a:noFill/>
                      <a:prstDash val="solid"/>
                      <a:miter/>
                    </a:ln>
                  </pic:spPr>
                </pic:pic>
              </a:graphicData>
            </a:graphic>
          </wp:inline>
        </w:drawing>
      </w:r>
    </w:p>
    <w:p w14:paraId="6BFCC72D">
      <w:pPr>
        <w:pStyle w:val="23"/>
        <w:jc w:val="center"/>
        <w:rPr>
          <w:lang w:val="en-US" w:eastAsia="zh-CN"/>
        </w:rPr>
      </w:pPr>
      <w:r>
        <w:rPr>
          <w:rFonts w:hint="eastAsia"/>
        </w:rPr>
        <w:t>图</w:t>
      </w:r>
      <w:r>
        <w:rPr>
          <w:rFonts w:hint="eastAsia"/>
          <w:lang w:val="en-US" w:eastAsia="zh-CN"/>
        </w:rPr>
        <w:t>3-31  18号泵站管道平面图</w:t>
      </w:r>
    </w:p>
    <w:p w14:paraId="138B3616">
      <w:pPr>
        <w:pStyle w:val="23"/>
        <w:ind w:left="0" w:firstLine="560" w:firstLineChars="200"/>
        <w:rPr>
          <w:lang w:val="en-US" w:eastAsia="zh-CN"/>
        </w:rPr>
      </w:pPr>
      <w:r>
        <w:rPr>
          <w:rFonts w:hint="eastAsia"/>
          <w:lang w:val="en-US" w:eastAsia="zh-CN"/>
        </w:rPr>
        <w:t>20号站de110供水主管沿程水头损失最不利情况计算结果如下表所示：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537440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648B9">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DF76C">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3C45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4479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32878C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0698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CAED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AD296">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137.38</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891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3CF557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50C4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55E2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8E05D">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AD0A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182199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BF1D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31F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8B6A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9AC6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590336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218E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03A2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9CA8A">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9F3B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0F984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C9E4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8AB0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07972">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C861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46D0A1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6ADA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20E7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38297">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497.81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AD0C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3D5B711B">
      <w:pPr>
        <w:pStyle w:val="23"/>
        <w:ind w:left="0" w:firstLine="560" w:firstLineChars="200"/>
        <w:rPr>
          <w:lang w:val="en-US" w:eastAsia="zh-CN"/>
        </w:rPr>
      </w:pPr>
      <w:r>
        <w:rPr>
          <w:rFonts w:hint="eastAsia"/>
          <w:lang w:val="en-US" w:eastAsia="zh-CN"/>
        </w:rPr>
        <w:t>因此，主管沿程水头损失为13.73m，局部水头损失为1.37m，20号站高差为+29m，因此提升泵的扬程应大于44.1m，已建提升泵扬程为50m，满足要求。</w:t>
      </w:r>
    </w:p>
    <w:p w14:paraId="6D9E9B10">
      <w:pPr>
        <w:pStyle w:val="23"/>
        <w:ind w:left="0" w:firstLine="560" w:firstLineChars="200"/>
        <w:rPr>
          <w:lang w:val="en-US" w:eastAsia="zh-CN"/>
        </w:rPr>
      </w:pPr>
      <w:r>
        <w:rPr>
          <w:rFonts w:hint="eastAsia"/>
          <w:lang w:val="en-US" w:eastAsia="zh-CN"/>
        </w:rPr>
        <w:t>C.电力工程：20号站中已建提灌站，不需要再考虑电力配套设施</w:t>
      </w:r>
    </w:p>
    <w:p w14:paraId="4FF6E32A">
      <w:pPr>
        <w:bidi w:val="0"/>
        <w:rPr>
          <w:rFonts w:hint="eastAsia"/>
          <w:lang w:val="en-US" w:eastAsia="zh-CN"/>
        </w:rPr>
      </w:pPr>
      <w:r>
        <w:rPr>
          <w:rFonts w:hint="eastAsia"/>
          <w:lang w:val="en-US" w:eastAsia="zh-CN"/>
        </w:rPr>
        <w:t>20号站工程数量表详见附表1.22。</w:t>
      </w:r>
    </w:p>
    <w:p w14:paraId="699C7EA2">
      <w:pPr>
        <w:pStyle w:val="23"/>
        <w:jc w:val="center"/>
        <w:rPr>
          <w:rFonts w:hint="eastAsia"/>
          <w:lang w:val="en-US" w:eastAsia="zh-CN"/>
        </w:rPr>
        <w:sectPr>
          <w:pgSz w:w="11906" w:h="16838"/>
          <w:pgMar w:top="1440" w:right="1800" w:bottom="1440" w:left="1800" w:header="851" w:footer="992" w:gutter="0"/>
          <w:cols w:space="425" w:num="1"/>
          <w:docGrid w:type="lines" w:linePitch="312" w:charSpace="0"/>
        </w:sectPr>
      </w:pPr>
    </w:p>
    <w:p w14:paraId="504B5228">
      <w:pPr>
        <w:pStyle w:val="5"/>
        <w:bidi w:val="0"/>
        <w:rPr>
          <w:lang w:val="en-US" w:eastAsia="zh-CN"/>
        </w:rPr>
      </w:pPr>
      <w:bookmarkStart w:id="86" w:name="_Toc23973"/>
      <w:r>
        <w:rPr>
          <w:rFonts w:hint="eastAsia"/>
          <w:lang w:val="en-US" w:eastAsia="zh-CN"/>
        </w:rPr>
        <w:t>黄盐井村</w:t>
      </w:r>
      <w:bookmarkEnd w:id="86"/>
    </w:p>
    <w:p w14:paraId="2A7A2FCA">
      <w:pPr>
        <w:rPr>
          <w:lang w:val="en-US" w:eastAsia="zh-CN"/>
        </w:rPr>
      </w:pPr>
      <w:r>
        <w:rPr>
          <w:rFonts w:hint="eastAsia"/>
          <w:lang w:val="en-US" w:eastAsia="zh-CN"/>
        </w:rPr>
        <w:t>黄盐井村建设2座泵站（21，22号），21号泵站覆盖面积202亩，22号泵站覆盖面积205亩，21、22号站均从水库取水，需建设提灌设施2座及配套田间管网设施。黄盐井村建设de110管网3177.45m，de90管网2211.28m，2处取水口（提灌站）。</w:t>
      </w:r>
    </w:p>
    <w:p w14:paraId="5563399D">
      <w:pPr>
        <w:pStyle w:val="6"/>
        <w:bidi w:val="0"/>
        <w:rPr>
          <w:rFonts w:hint="eastAsia"/>
          <w:lang w:val="en-US" w:eastAsia="zh-CN"/>
        </w:rPr>
      </w:pPr>
      <w:r>
        <w:rPr>
          <w:rFonts w:hint="eastAsia"/>
          <w:lang w:val="en-US" w:eastAsia="zh-CN"/>
        </w:rPr>
        <w:t>21号泵站建设详情</w:t>
      </w:r>
    </w:p>
    <w:p w14:paraId="71E076B9">
      <w:pPr>
        <w:bidi w:val="0"/>
        <w:rPr>
          <w:rFonts w:hint="eastAsia"/>
          <w:color w:val="auto"/>
          <w:lang w:val="en-US" w:eastAsia="zh-CN"/>
        </w:rPr>
      </w:pPr>
      <w:r>
        <w:rPr>
          <w:rFonts w:hint="eastAsia"/>
          <w:color w:val="auto"/>
          <w:lang w:val="en-US" w:eastAsia="zh-CN"/>
        </w:rPr>
        <w:t>提灌设施1座及配套田间管网工程。</w:t>
      </w:r>
    </w:p>
    <w:p w14:paraId="7426B374">
      <w:pPr>
        <w:pStyle w:val="23"/>
        <w:numPr>
          <w:ilvl w:val="0"/>
          <w:numId w:val="24"/>
        </w:numPr>
        <w:ind w:firstLineChars="0"/>
        <w:rPr>
          <w:lang w:val="en-US" w:eastAsia="zh-CN"/>
        </w:rPr>
      </w:pPr>
      <w:r>
        <w:rPr>
          <w:rFonts w:hint="eastAsia"/>
          <w:lang w:val="en-US" w:eastAsia="zh-CN"/>
        </w:rPr>
        <w:t>管道设计：黄盐井村为辐射区，因此只设计供水工程，不设计施肥系统，21号站内没有可利用已建设施设备，所以新建de110（承压1.25Mpa）管道作为站内供水主管，由de90（承压1.25Mpa）管道作为支管延伸到田间，支管每隔40米，设置闸阀1处，方便种植户接管道灌溉农田。de110和de90管道尽量沿等高线布置；</w:t>
      </w:r>
    </w:p>
    <w:p w14:paraId="4B863351">
      <w:pPr>
        <w:pStyle w:val="23"/>
        <w:ind w:left="0" w:firstLine="560" w:firstLineChars="200"/>
        <w:rPr>
          <w:rFonts w:hint="eastAsia"/>
          <w:lang w:val="en-US" w:eastAsia="zh-CN"/>
        </w:rPr>
      </w:pPr>
      <w:r>
        <w:rPr>
          <w:rFonts w:hint="eastAsia"/>
          <w:lang w:val="en-US" w:eastAsia="zh-CN"/>
        </w:rPr>
        <w:t>B.泵的选型：</w:t>
      </w:r>
    </w:p>
    <w:p w14:paraId="7CC37820">
      <w:pPr>
        <w:pStyle w:val="23"/>
        <w:ind w:left="0" w:firstLine="560" w:firstLineChars="200"/>
        <w:rPr>
          <w:lang w:val="en-US" w:eastAsia="zh-CN"/>
        </w:rPr>
      </w:pPr>
      <w:r>
        <w:rPr>
          <w:rFonts w:hint="eastAsia"/>
          <w:lang w:val="en-US" w:eastAsia="zh-CN"/>
        </w:rPr>
        <w:t>21号站de110主管水头损失最不利情况为A21--B21--D21--E21--H21--I21--J21端，如下图所示</w:t>
      </w:r>
    </w:p>
    <w:p w14:paraId="16C2188A">
      <w:pPr>
        <w:pStyle w:val="23"/>
        <w:jc w:val="center"/>
        <w:rPr>
          <w:lang w:val="en-US" w:eastAsia="zh-CN"/>
        </w:rPr>
      </w:pPr>
      <w:r>
        <w:rPr>
          <w:lang w:val="en-US" w:eastAsia="zh-CN"/>
        </w:rPr>
        <w:drawing>
          <wp:inline distT="0" distB="0" distL="114300" distR="114300">
            <wp:extent cx="5262245" cy="3009900"/>
            <wp:effectExtent l="0" t="0" r="47" b="46"/>
            <wp:docPr id="121" name="图片 16" descr="69454fdbf50e86394100b932090a6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6" descr="69454fdbf50e86394100b932090a6ae"/>
                    <pic:cNvPicPr>
                      <a:picLocks noChangeAspect="1"/>
                    </pic:cNvPicPr>
                  </pic:nvPicPr>
                  <pic:blipFill>
                    <a:blip r:embed="rId48"/>
                    <a:stretch>
                      <a:fillRect/>
                    </a:stretch>
                  </pic:blipFill>
                  <pic:spPr>
                    <a:xfrm>
                      <a:off x="0" y="0"/>
                      <a:ext cx="5262245" cy="3009900"/>
                    </a:xfrm>
                    <a:prstGeom prst="rect">
                      <a:avLst/>
                    </a:prstGeom>
                    <a:noFill/>
                    <a:ln w="9525" cap="flat" cmpd="sng">
                      <a:noFill/>
                      <a:prstDash val="solid"/>
                      <a:miter/>
                    </a:ln>
                  </pic:spPr>
                </pic:pic>
              </a:graphicData>
            </a:graphic>
          </wp:inline>
        </w:drawing>
      </w:r>
    </w:p>
    <w:p w14:paraId="2F61AC50">
      <w:pPr>
        <w:pStyle w:val="23"/>
        <w:jc w:val="center"/>
        <w:rPr>
          <w:lang w:val="en-US" w:eastAsia="zh-CN"/>
        </w:rPr>
      </w:pPr>
      <w:r>
        <w:rPr>
          <w:rFonts w:hint="eastAsia"/>
        </w:rPr>
        <w:t>图</w:t>
      </w:r>
      <w:r>
        <w:rPr>
          <w:rFonts w:hint="eastAsia"/>
          <w:lang w:val="en-US" w:eastAsia="zh-CN"/>
        </w:rPr>
        <w:t>3-32  21号泵站管道平面图</w:t>
      </w:r>
    </w:p>
    <w:p w14:paraId="37782BCF">
      <w:pPr>
        <w:pStyle w:val="23"/>
        <w:ind w:left="0" w:firstLine="560" w:firstLineChars="200"/>
        <w:rPr>
          <w:lang w:val="en-US" w:eastAsia="zh-CN"/>
        </w:rPr>
      </w:pPr>
      <w:r>
        <w:rPr>
          <w:rFonts w:hint="eastAsia"/>
          <w:lang w:val="en-US" w:eastAsia="zh-CN"/>
        </w:rPr>
        <w:t>21号站de110供水主管沿程水头损失最不利情况计算结果如下表所示：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241280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C147F">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75F5F">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5DB8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6ACB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3E2FB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63A1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EF82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D03E7">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234.41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7C0E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122BB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609F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F6BB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3D4CB">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BF6E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547404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484F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B402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B947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2A8E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3B6953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E048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D781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C6F4B">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6830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26DBAE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012C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1A9B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C3F58">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095C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166414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F5DC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F90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F7F5B">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849.39</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E6DD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0B3282B7">
      <w:pPr>
        <w:pStyle w:val="23"/>
        <w:ind w:left="0" w:firstLine="560" w:firstLineChars="200"/>
        <w:rPr>
          <w:lang w:val="en-US" w:eastAsia="zh-CN"/>
        </w:rPr>
      </w:pPr>
      <w:r>
        <w:rPr>
          <w:rFonts w:hint="eastAsia"/>
          <w:lang w:val="en-US" w:eastAsia="zh-CN"/>
        </w:rPr>
        <w:t>因此，主管沿程水头损失为23.41m，局部水头损失为2.3m，21号站高差为+16m，因此提升泵的扬程应大于41.71m，选用潜水泵200QJ63-60，流量63m³/h，扬程60m，功率18.5kw。</w:t>
      </w:r>
    </w:p>
    <w:p w14:paraId="352DE861">
      <w:pPr>
        <w:pStyle w:val="23"/>
        <w:ind w:left="0" w:firstLine="560" w:firstLineChars="200"/>
        <w:rPr>
          <w:rFonts w:hint="eastAsia"/>
          <w:lang w:val="en-US" w:eastAsia="zh-CN"/>
        </w:rPr>
      </w:pPr>
      <w:r>
        <w:rPr>
          <w:rFonts w:hint="eastAsia"/>
          <w:lang w:val="en-US" w:eastAsia="zh-CN"/>
        </w:rPr>
        <w:t>C.电力工程：21号站内大型用电设备只有提升泵（18.5kw），21号站由黄盐井村内A变压器（100kvA）供电，变压器还供22号站使用，因此变压器需21、22号站总功率确定增容量。新增连接21号站泵房的低压线经现场勘察，约为130.98m。</w:t>
      </w:r>
    </w:p>
    <w:p w14:paraId="5E5A3C70">
      <w:pPr>
        <w:bidi w:val="0"/>
        <w:rPr>
          <w:rFonts w:hint="eastAsia"/>
          <w:lang w:val="en-US" w:eastAsia="zh-CN"/>
        </w:rPr>
      </w:pPr>
      <w:r>
        <w:rPr>
          <w:rFonts w:hint="eastAsia"/>
          <w:lang w:val="en-US" w:eastAsia="zh-CN"/>
        </w:rPr>
        <w:t>21号站工程数量表详见附表1.23。</w:t>
      </w:r>
    </w:p>
    <w:p w14:paraId="392B9FFC">
      <w:pPr>
        <w:pStyle w:val="23"/>
        <w:jc w:val="center"/>
        <w:rPr>
          <w:rFonts w:hint="eastAsia"/>
          <w:lang w:val="en-US" w:eastAsia="zh-CN"/>
        </w:rPr>
        <w:sectPr>
          <w:pgSz w:w="11906" w:h="16838"/>
          <w:pgMar w:top="1440" w:right="1800" w:bottom="1440" w:left="1800" w:header="851" w:footer="992" w:gutter="0"/>
          <w:cols w:space="425" w:num="1"/>
          <w:docGrid w:type="lines" w:linePitch="312" w:charSpace="0"/>
        </w:sectPr>
      </w:pPr>
    </w:p>
    <w:p w14:paraId="7123F897">
      <w:pPr>
        <w:pStyle w:val="6"/>
        <w:bidi w:val="0"/>
        <w:rPr>
          <w:rFonts w:hint="eastAsia"/>
          <w:lang w:val="en-US" w:eastAsia="zh-CN"/>
        </w:rPr>
      </w:pPr>
      <w:r>
        <w:rPr>
          <w:rFonts w:hint="eastAsia"/>
          <w:lang w:val="en-US" w:eastAsia="zh-CN"/>
        </w:rPr>
        <w:t>22号泵站建设详情</w:t>
      </w:r>
    </w:p>
    <w:p w14:paraId="74AD3661">
      <w:pPr>
        <w:bidi w:val="0"/>
        <w:rPr>
          <w:rFonts w:hint="eastAsia"/>
          <w:color w:val="auto"/>
          <w:lang w:val="en-US" w:eastAsia="zh-CN"/>
        </w:rPr>
      </w:pPr>
      <w:r>
        <w:rPr>
          <w:rFonts w:hint="eastAsia"/>
          <w:color w:val="auto"/>
          <w:lang w:val="en-US" w:eastAsia="zh-CN"/>
        </w:rPr>
        <w:t>提灌设施1座及配套田间管网工程。</w:t>
      </w:r>
    </w:p>
    <w:p w14:paraId="73DFCFA2">
      <w:pPr>
        <w:pStyle w:val="23"/>
        <w:numPr>
          <w:ilvl w:val="0"/>
          <w:numId w:val="25"/>
        </w:numPr>
        <w:ind w:firstLineChars="0"/>
        <w:rPr>
          <w:lang w:val="en-US" w:eastAsia="zh-CN"/>
        </w:rPr>
      </w:pPr>
      <w:r>
        <w:rPr>
          <w:rFonts w:hint="eastAsia"/>
          <w:lang w:val="en-US" w:eastAsia="zh-CN"/>
        </w:rPr>
        <w:t>管道设计：黄盐井村为辐射区，因此只设计供水工程，不设计施肥系统，22号站内没有可利用已建设施设备，所以新建de110（承压1.25Mpa）管道作为站内供水主管，由de90（承压1.25Mpa）管道作为支管延伸到田间，支管每隔40米，设置闸阀1处，方便种植户接管道灌溉农田。de110和de90管道尽量沿等高线布置；</w:t>
      </w:r>
    </w:p>
    <w:p w14:paraId="4B9E893B">
      <w:pPr>
        <w:pStyle w:val="23"/>
        <w:ind w:left="0" w:firstLine="560" w:firstLineChars="200"/>
        <w:rPr>
          <w:rFonts w:hint="eastAsia"/>
          <w:lang w:val="en-US" w:eastAsia="zh-CN"/>
        </w:rPr>
      </w:pPr>
      <w:r>
        <w:rPr>
          <w:rFonts w:hint="eastAsia"/>
          <w:lang w:val="en-US" w:eastAsia="zh-CN"/>
        </w:rPr>
        <w:t>B.泵的选型：</w:t>
      </w:r>
    </w:p>
    <w:p w14:paraId="5D6BBA21">
      <w:pPr>
        <w:pStyle w:val="23"/>
        <w:ind w:left="0" w:firstLine="560" w:firstLineChars="200"/>
        <w:rPr>
          <w:lang w:val="en-US" w:eastAsia="zh-CN"/>
        </w:rPr>
      </w:pPr>
      <w:r>
        <w:rPr>
          <w:rFonts w:hint="eastAsia"/>
          <w:lang w:val="en-US" w:eastAsia="zh-CN"/>
        </w:rPr>
        <w:t>22号站de110主管水头损失最不利情况为A22--C22--E22端，如下图所示</w:t>
      </w:r>
    </w:p>
    <w:p w14:paraId="45B991E1">
      <w:pPr>
        <w:pStyle w:val="23"/>
        <w:jc w:val="center"/>
        <w:rPr>
          <w:lang w:val="en-US" w:eastAsia="zh-CN"/>
        </w:rPr>
      </w:pPr>
      <w:r>
        <w:rPr>
          <w:lang w:val="en-US" w:eastAsia="zh-CN"/>
        </w:rPr>
        <w:drawing>
          <wp:inline distT="0" distB="0" distL="114300" distR="114300">
            <wp:extent cx="5266055" cy="3535045"/>
            <wp:effectExtent l="0" t="0" r="47" b="9"/>
            <wp:docPr id="124" name="图片 20" descr="3eefb783954990987ccdc030efd1e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0" descr="3eefb783954990987ccdc030efd1e1b"/>
                    <pic:cNvPicPr>
                      <a:picLocks noChangeAspect="1"/>
                    </pic:cNvPicPr>
                  </pic:nvPicPr>
                  <pic:blipFill>
                    <a:blip r:embed="rId49"/>
                    <a:stretch>
                      <a:fillRect/>
                    </a:stretch>
                  </pic:blipFill>
                  <pic:spPr>
                    <a:xfrm>
                      <a:off x="0" y="0"/>
                      <a:ext cx="5266055" cy="3535045"/>
                    </a:xfrm>
                    <a:prstGeom prst="rect">
                      <a:avLst/>
                    </a:prstGeom>
                    <a:noFill/>
                    <a:ln w="9525" cap="flat" cmpd="sng">
                      <a:noFill/>
                      <a:prstDash val="solid"/>
                      <a:miter/>
                    </a:ln>
                  </pic:spPr>
                </pic:pic>
              </a:graphicData>
            </a:graphic>
          </wp:inline>
        </w:drawing>
      </w:r>
    </w:p>
    <w:p w14:paraId="4C6D0601">
      <w:pPr>
        <w:pStyle w:val="23"/>
        <w:jc w:val="center"/>
        <w:rPr>
          <w:lang w:val="en-US" w:eastAsia="zh-CN"/>
        </w:rPr>
      </w:pPr>
      <w:r>
        <w:rPr>
          <w:rFonts w:hint="eastAsia"/>
        </w:rPr>
        <w:t>图</w:t>
      </w:r>
      <w:r>
        <w:rPr>
          <w:rFonts w:hint="eastAsia"/>
          <w:lang w:val="en-US" w:eastAsia="zh-CN"/>
        </w:rPr>
        <w:t>3-33  22号泵站管道平面图</w:t>
      </w:r>
    </w:p>
    <w:p w14:paraId="27410C71">
      <w:pPr>
        <w:pStyle w:val="23"/>
        <w:ind w:left="0" w:firstLine="560" w:firstLineChars="200"/>
        <w:rPr>
          <w:lang w:val="en-US" w:eastAsia="zh-CN"/>
        </w:rPr>
      </w:pPr>
      <w:r>
        <w:rPr>
          <w:rFonts w:hint="eastAsia"/>
          <w:lang w:val="en-US" w:eastAsia="zh-CN"/>
        </w:rPr>
        <w:t>22号站de110供水主管沿程水头损失最不利情况计算结果如下表所示：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763B2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AD706">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CAA3C">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1239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A44C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12CA9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2035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36C6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6ED75">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196.94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8CEE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215FB9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9E3B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43E2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905CA">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7413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1903BB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EE39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DD38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61183">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819C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5FAC9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C49E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E5A2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8C6D5">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C2DB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05136A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B8BA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E04F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B4713">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DF91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5255F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6F84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A4C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361B3">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713.63</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8317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7058A0C1">
      <w:pPr>
        <w:pStyle w:val="23"/>
        <w:ind w:left="0" w:firstLine="560" w:firstLineChars="200"/>
        <w:rPr>
          <w:lang w:val="en-US" w:eastAsia="zh-CN"/>
        </w:rPr>
      </w:pPr>
      <w:r>
        <w:rPr>
          <w:rFonts w:hint="eastAsia"/>
          <w:lang w:val="en-US" w:eastAsia="zh-CN"/>
        </w:rPr>
        <w:t>因此，主管沿程水头损失为19.69m，局部水头损失为1.96m，22号站高差为+30m，因此提升泵的扬程应大于51.65m，选用潜水泵200QJ63-60，流量63m³/h，扬程60m，功率18.5kw。</w:t>
      </w:r>
    </w:p>
    <w:p w14:paraId="240233A3">
      <w:pPr>
        <w:pStyle w:val="23"/>
        <w:ind w:left="0" w:firstLine="560" w:firstLineChars="200"/>
        <w:rPr>
          <w:rFonts w:hint="eastAsia"/>
          <w:lang w:val="en-US" w:eastAsia="zh-CN"/>
        </w:rPr>
      </w:pPr>
      <w:r>
        <w:rPr>
          <w:rFonts w:hint="eastAsia"/>
          <w:lang w:val="en-US" w:eastAsia="zh-CN"/>
        </w:rPr>
        <w:t>C.电力工程：22号站内大型用电设备只有提升泵（18.5kw），22号站由黄盐井村内A变压器（100kvA）供电，变压器还供21号站使用，因此变压器需21、22号站总功率超过38kw，因此变压器需从100kvA增容到160kvA。</w:t>
      </w:r>
    </w:p>
    <w:p w14:paraId="76448B85">
      <w:pPr>
        <w:bidi w:val="0"/>
        <w:rPr>
          <w:rFonts w:hint="eastAsia"/>
          <w:lang w:val="en-US" w:eastAsia="zh-CN"/>
        </w:rPr>
      </w:pPr>
      <w:r>
        <w:rPr>
          <w:rFonts w:hint="eastAsia"/>
          <w:lang w:val="en-US" w:eastAsia="zh-CN"/>
        </w:rPr>
        <w:t>22号站工程数量表详见附表1.24。</w:t>
      </w:r>
    </w:p>
    <w:p w14:paraId="086F8AB3">
      <w:pPr>
        <w:pStyle w:val="23"/>
        <w:jc w:val="center"/>
        <w:rPr>
          <w:rFonts w:hint="eastAsia"/>
          <w:lang w:val="en-US" w:eastAsia="zh-CN"/>
        </w:rPr>
        <w:sectPr>
          <w:pgSz w:w="11906" w:h="16838"/>
          <w:pgMar w:top="1440" w:right="1800" w:bottom="1440" w:left="1800" w:header="851" w:footer="992" w:gutter="0"/>
          <w:cols w:space="425" w:num="1"/>
          <w:docGrid w:type="lines" w:linePitch="312" w:charSpace="0"/>
        </w:sectPr>
      </w:pPr>
    </w:p>
    <w:p w14:paraId="5EC258CF">
      <w:pPr>
        <w:pStyle w:val="5"/>
        <w:bidi w:val="0"/>
        <w:rPr>
          <w:lang w:val="en-US" w:eastAsia="zh-CN"/>
        </w:rPr>
      </w:pPr>
      <w:bookmarkStart w:id="87" w:name="_Toc9069"/>
      <w:r>
        <w:rPr>
          <w:rFonts w:hint="eastAsia"/>
          <w:lang w:val="en-US" w:eastAsia="zh-CN"/>
        </w:rPr>
        <w:t>清凉寺村</w:t>
      </w:r>
      <w:bookmarkEnd w:id="87"/>
    </w:p>
    <w:p w14:paraId="4DD3717D">
      <w:pPr>
        <w:bidi w:val="0"/>
        <w:rPr>
          <w:lang w:val="en-US" w:eastAsia="zh-CN"/>
        </w:rPr>
      </w:pPr>
      <w:r>
        <w:rPr>
          <w:rFonts w:hint="eastAsia"/>
          <w:lang w:val="en-US" w:eastAsia="zh-CN"/>
        </w:rPr>
        <w:t>清凉寺村建设1套提灌系统（23号），23号站覆盖面积153亩，23号站从河边取水，需建设提灌配套田间管网设施。清凉寺村建设de110管网1334.47m，de90管网601.07m，取水口1处。</w:t>
      </w:r>
    </w:p>
    <w:p w14:paraId="1AFA7448">
      <w:pPr>
        <w:pStyle w:val="6"/>
        <w:bidi w:val="0"/>
        <w:rPr>
          <w:rFonts w:hint="eastAsia"/>
          <w:lang w:val="en-US" w:eastAsia="zh-CN"/>
        </w:rPr>
      </w:pPr>
      <w:r>
        <w:rPr>
          <w:rFonts w:hint="eastAsia"/>
          <w:lang w:val="en-US" w:eastAsia="zh-CN"/>
        </w:rPr>
        <w:t>23号泵站建设详情</w:t>
      </w:r>
    </w:p>
    <w:p w14:paraId="06FE4347">
      <w:pPr>
        <w:bidi w:val="0"/>
        <w:rPr>
          <w:rFonts w:hint="eastAsia"/>
          <w:color w:val="auto"/>
          <w:lang w:val="en-US" w:eastAsia="zh-CN"/>
        </w:rPr>
      </w:pPr>
      <w:r>
        <w:rPr>
          <w:rFonts w:hint="eastAsia"/>
          <w:color w:val="auto"/>
          <w:lang w:val="en-US" w:eastAsia="zh-CN"/>
        </w:rPr>
        <w:t>提灌设施1座及配套田间管网工程。</w:t>
      </w:r>
    </w:p>
    <w:p w14:paraId="04177DD4">
      <w:pPr>
        <w:pStyle w:val="23"/>
        <w:numPr>
          <w:ilvl w:val="0"/>
          <w:numId w:val="26"/>
        </w:numPr>
        <w:ind w:firstLineChars="0"/>
        <w:rPr>
          <w:lang w:val="en-US" w:eastAsia="zh-CN"/>
        </w:rPr>
      </w:pPr>
      <w:r>
        <w:rPr>
          <w:rFonts w:hint="eastAsia"/>
          <w:lang w:val="en-US" w:eastAsia="zh-CN"/>
        </w:rPr>
        <w:t>管道设计：黄盐井村为辐射区，因此只设计供水工程，不设计施肥系统，23号站内没有可利用已建设施设备，所以提灌设施1处，新建de110（承压1.25Mpa）管道作为站内供水主管，由de90（承压1.25Mpa）管道作为支管延伸到田间，支管每隔40米，设置闸阀1处，方便种植户接管道灌溉农田。de110和de90管道尽量沿等高线布置；</w:t>
      </w:r>
    </w:p>
    <w:p w14:paraId="5D64776C">
      <w:pPr>
        <w:pStyle w:val="23"/>
        <w:ind w:left="0" w:firstLine="560" w:firstLineChars="200"/>
        <w:rPr>
          <w:rFonts w:hint="eastAsia"/>
          <w:lang w:val="en-US" w:eastAsia="zh-CN"/>
        </w:rPr>
      </w:pPr>
      <w:r>
        <w:rPr>
          <w:rFonts w:hint="eastAsia"/>
          <w:lang w:val="en-US" w:eastAsia="zh-CN"/>
        </w:rPr>
        <w:t>B.泵的选型：</w:t>
      </w:r>
    </w:p>
    <w:p w14:paraId="6D7E71F3">
      <w:pPr>
        <w:pStyle w:val="23"/>
        <w:ind w:left="0" w:firstLine="560" w:firstLineChars="200"/>
        <w:rPr>
          <w:lang w:val="en-US" w:eastAsia="zh-CN"/>
        </w:rPr>
      </w:pPr>
      <w:r>
        <w:rPr>
          <w:rFonts w:hint="eastAsia"/>
          <w:lang w:val="en-US" w:eastAsia="zh-CN"/>
        </w:rPr>
        <w:t>23号站de110主管水头损失最不利情况为A23--B23--D23端，如下图所示</w:t>
      </w:r>
    </w:p>
    <w:p w14:paraId="006201F5">
      <w:pPr>
        <w:pStyle w:val="23"/>
        <w:jc w:val="center"/>
        <w:rPr>
          <w:lang w:val="en-US" w:eastAsia="zh-CN"/>
        </w:rPr>
      </w:pPr>
      <w:r>
        <w:rPr>
          <w:lang w:val="en-US" w:eastAsia="zh-CN"/>
        </w:rPr>
        <w:drawing>
          <wp:inline distT="0" distB="0" distL="114300" distR="114300">
            <wp:extent cx="5273040" cy="5031740"/>
            <wp:effectExtent l="0" t="0" r="15" b="45"/>
            <wp:docPr id="127" name="图片 14" descr="c6b3804c0c7aab05439b421683763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4" descr="c6b3804c0c7aab05439b421683763cb"/>
                    <pic:cNvPicPr>
                      <a:picLocks noChangeAspect="1"/>
                    </pic:cNvPicPr>
                  </pic:nvPicPr>
                  <pic:blipFill>
                    <a:blip r:embed="rId50"/>
                    <a:stretch>
                      <a:fillRect/>
                    </a:stretch>
                  </pic:blipFill>
                  <pic:spPr>
                    <a:xfrm>
                      <a:off x="0" y="0"/>
                      <a:ext cx="5273040" cy="5031740"/>
                    </a:xfrm>
                    <a:prstGeom prst="rect">
                      <a:avLst/>
                    </a:prstGeom>
                    <a:noFill/>
                    <a:ln w="9525" cap="flat" cmpd="sng">
                      <a:noFill/>
                      <a:prstDash val="solid"/>
                      <a:miter/>
                    </a:ln>
                  </pic:spPr>
                </pic:pic>
              </a:graphicData>
            </a:graphic>
          </wp:inline>
        </w:drawing>
      </w:r>
    </w:p>
    <w:p w14:paraId="42C26FD8">
      <w:pPr>
        <w:pStyle w:val="23"/>
        <w:jc w:val="center"/>
        <w:rPr>
          <w:lang w:val="en-US" w:eastAsia="zh-CN"/>
        </w:rPr>
      </w:pPr>
      <w:r>
        <w:rPr>
          <w:rFonts w:hint="eastAsia"/>
        </w:rPr>
        <w:t>图</w:t>
      </w:r>
      <w:r>
        <w:rPr>
          <w:rFonts w:hint="eastAsia"/>
          <w:lang w:val="en-US" w:eastAsia="zh-CN"/>
        </w:rPr>
        <w:t>3-34  23号泵站管道平面图</w:t>
      </w:r>
    </w:p>
    <w:p w14:paraId="06F29CB4">
      <w:pPr>
        <w:pStyle w:val="23"/>
        <w:ind w:left="0" w:firstLine="560" w:firstLineChars="200"/>
        <w:rPr>
          <w:lang w:val="en-US" w:eastAsia="zh-CN"/>
        </w:rPr>
      </w:pPr>
      <w:r>
        <w:rPr>
          <w:rFonts w:hint="eastAsia"/>
          <w:lang w:val="en-US" w:eastAsia="zh-CN"/>
        </w:rPr>
        <w:t>23号站de110供水主管沿程水头损失最不利情况计算结果如下表所示：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486D14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921A2">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F51E6">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4EBA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9B05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6EEA37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AC90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19EB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75117">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200.51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886B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506D3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8484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2358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2D515">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D89A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21C333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F749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229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2140C">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69FA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64928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0AD4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9CA1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0A1E7">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EEF3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03580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9590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374B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EED3F">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C766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74AC44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CC46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C712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F54D4">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726.58</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7FCE0">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1D8CE6AD">
      <w:pPr>
        <w:pStyle w:val="23"/>
        <w:ind w:left="0" w:firstLine="560" w:firstLineChars="200"/>
        <w:rPr>
          <w:lang w:val="en-US" w:eastAsia="zh-CN"/>
        </w:rPr>
      </w:pPr>
      <w:r>
        <w:rPr>
          <w:rFonts w:hint="eastAsia"/>
          <w:lang w:val="en-US" w:eastAsia="zh-CN"/>
        </w:rPr>
        <w:t>因此，主管沿程水头损失为20.05m，局部水头损失为2.0m，23号站高差为+3m，因此提升泵的扬程应大于25.05m，选用潜水泵200QJ63-36，流量63m³/h，扬程36m，功率11kw。</w:t>
      </w:r>
    </w:p>
    <w:p w14:paraId="69464073">
      <w:pPr>
        <w:pStyle w:val="23"/>
        <w:ind w:left="0" w:firstLine="560" w:firstLineChars="200"/>
        <w:rPr>
          <w:rFonts w:hint="eastAsia"/>
          <w:lang w:val="en-US" w:eastAsia="zh-CN"/>
        </w:rPr>
      </w:pPr>
      <w:r>
        <w:rPr>
          <w:rFonts w:hint="eastAsia"/>
          <w:lang w:val="en-US" w:eastAsia="zh-CN"/>
        </w:rPr>
        <w:t>C.电力工程：23号站内大型用电设备只有提升泵（11kw），23号站由清凉寺村内A变压器（80kvA）供电，变压器需从80kvA增容到100kvA。新增连接23号站泵房的低压线经现场勘察，约为52.21m。</w:t>
      </w:r>
    </w:p>
    <w:p w14:paraId="2F8ABAD3">
      <w:pPr>
        <w:bidi w:val="0"/>
        <w:rPr>
          <w:lang w:val="en-US" w:eastAsia="zh-CN"/>
        </w:rPr>
      </w:pPr>
      <w:r>
        <w:rPr>
          <w:rFonts w:hint="eastAsia"/>
          <w:lang w:val="en-US" w:eastAsia="zh-CN"/>
        </w:rPr>
        <w:t xml:space="preserve">23号站工程数量表详见附表1.25。 </w:t>
      </w:r>
    </w:p>
    <w:p w14:paraId="67EBDD36">
      <w:pPr>
        <w:pStyle w:val="4"/>
        <w:bidi w:val="0"/>
        <w:ind w:left="560"/>
        <w:rPr>
          <w:lang w:val="en-US" w:eastAsia="zh-CN"/>
        </w:rPr>
      </w:pPr>
      <w:bookmarkStart w:id="88" w:name="_Toc10455"/>
      <w:r>
        <w:rPr>
          <w:rFonts w:hint="eastAsia"/>
          <w:lang w:val="en-US" w:eastAsia="zh-CN"/>
        </w:rPr>
        <w:t>西眉镇（辐射区）</w:t>
      </w:r>
      <w:bookmarkEnd w:id="88"/>
    </w:p>
    <w:p w14:paraId="1AA54DA5">
      <w:pPr>
        <w:ind w:firstLine="560" w:firstLineChars="200"/>
        <w:rPr>
          <w:rFonts w:hint="eastAsia"/>
          <w:lang w:val="en-US" w:eastAsia="zh-CN"/>
        </w:rPr>
      </w:pPr>
      <w:r>
        <w:rPr>
          <w:rFonts w:hint="eastAsia"/>
          <w:lang w:val="en-US" w:eastAsia="zh-CN"/>
        </w:rPr>
        <w:t>西眉镇项目区建设面积303亩（20-23号泵站），中心村151亩，新宁村152亩。共建设提灌系统2套，含2座提灌站及配套管网。建设田间管网共计3794.20米，其中de110管道2722.14米，de90管道1946.54米。</w:t>
      </w:r>
    </w:p>
    <w:p w14:paraId="19329DF6">
      <w:pPr>
        <w:pStyle w:val="5"/>
        <w:bidi w:val="0"/>
        <w:rPr>
          <w:lang w:val="en-US" w:eastAsia="zh-CN"/>
        </w:rPr>
      </w:pPr>
      <w:bookmarkStart w:id="89" w:name="_Toc6594"/>
      <w:r>
        <w:rPr>
          <w:rFonts w:hint="eastAsia"/>
          <w:lang w:val="en-US" w:eastAsia="zh-CN"/>
        </w:rPr>
        <w:t>新宁村</w:t>
      </w:r>
      <w:bookmarkEnd w:id="89"/>
    </w:p>
    <w:p w14:paraId="259EA044">
      <w:pPr>
        <w:bidi w:val="0"/>
        <w:rPr>
          <w:lang w:val="en-US" w:eastAsia="zh-CN"/>
        </w:rPr>
      </w:pPr>
      <w:r>
        <w:rPr>
          <w:rFonts w:hint="eastAsia"/>
          <w:lang w:val="en-US" w:eastAsia="zh-CN"/>
        </w:rPr>
        <w:t>新宁村建设1套提灌系统（24号），24号站覆盖面积151亩，24号站从水库取水，需建设提灌配套田间管网设施。新宁村建设de110管网1540.33m，de90管网874.48m，取水口1处。</w:t>
      </w:r>
    </w:p>
    <w:p w14:paraId="7B3EED54">
      <w:pPr>
        <w:pStyle w:val="6"/>
        <w:bidi w:val="0"/>
        <w:rPr>
          <w:rFonts w:hint="eastAsia"/>
          <w:lang w:val="en-US" w:eastAsia="zh-CN"/>
        </w:rPr>
      </w:pPr>
      <w:r>
        <w:rPr>
          <w:rFonts w:hint="eastAsia"/>
          <w:lang w:val="en-US" w:eastAsia="zh-CN"/>
        </w:rPr>
        <w:t>24号泵站建设详情</w:t>
      </w:r>
    </w:p>
    <w:p w14:paraId="5DA3B5F1">
      <w:pPr>
        <w:bidi w:val="0"/>
        <w:rPr>
          <w:rFonts w:hint="eastAsia"/>
          <w:color w:val="auto"/>
          <w:lang w:val="en-US" w:eastAsia="zh-CN"/>
        </w:rPr>
      </w:pPr>
      <w:r>
        <w:rPr>
          <w:rFonts w:hint="eastAsia"/>
          <w:color w:val="auto"/>
          <w:lang w:val="en-US" w:eastAsia="zh-CN"/>
        </w:rPr>
        <w:t>提灌设施1座及配套田间管网工程。</w:t>
      </w:r>
    </w:p>
    <w:p w14:paraId="6E2929C0">
      <w:pPr>
        <w:pStyle w:val="23"/>
        <w:numPr>
          <w:ilvl w:val="0"/>
          <w:numId w:val="27"/>
        </w:numPr>
        <w:ind w:firstLineChars="0"/>
        <w:rPr>
          <w:lang w:val="en-US" w:eastAsia="zh-CN"/>
        </w:rPr>
      </w:pPr>
      <w:r>
        <w:rPr>
          <w:rFonts w:hint="eastAsia"/>
          <w:lang w:val="en-US" w:eastAsia="zh-CN"/>
        </w:rPr>
        <w:t>管道设计：新宁村为辐射区，因此只设计供水工程，不设计施肥系统，24号站内没有可利用已建设施设备，所以提灌设施1处，新建de110（承压1.25Mpa）管道作为站内供水主管，由de90（承压1.25Mpa）管道作为支管延伸到田间，支管每隔40米，设置闸阀1处，方便种植户接管道灌溉农田。de110和de90管道尽量沿等高线布置；</w:t>
      </w:r>
    </w:p>
    <w:p w14:paraId="5EBAD258">
      <w:pPr>
        <w:pStyle w:val="23"/>
        <w:ind w:left="0" w:firstLine="560" w:firstLineChars="200"/>
        <w:rPr>
          <w:rFonts w:hint="eastAsia"/>
          <w:lang w:val="en-US" w:eastAsia="zh-CN"/>
        </w:rPr>
      </w:pPr>
      <w:r>
        <w:rPr>
          <w:rFonts w:hint="eastAsia"/>
          <w:lang w:val="en-US" w:eastAsia="zh-CN"/>
        </w:rPr>
        <w:t>B.泵的选型：</w:t>
      </w:r>
    </w:p>
    <w:p w14:paraId="5538B037">
      <w:pPr>
        <w:pStyle w:val="23"/>
        <w:ind w:left="0" w:firstLine="560" w:firstLineChars="200"/>
        <w:rPr>
          <w:lang w:val="en-US" w:eastAsia="zh-CN"/>
        </w:rPr>
      </w:pPr>
      <w:r>
        <w:rPr>
          <w:rFonts w:hint="eastAsia"/>
          <w:lang w:val="en-US" w:eastAsia="zh-CN"/>
        </w:rPr>
        <w:t>24号站de110主管水头损失最不利情况为A24--B24--C24端，如下图所示</w:t>
      </w:r>
    </w:p>
    <w:p w14:paraId="169953E4">
      <w:pPr>
        <w:pStyle w:val="23"/>
        <w:jc w:val="center"/>
        <w:rPr>
          <w:lang w:val="en-US" w:eastAsia="zh-CN"/>
        </w:rPr>
      </w:pPr>
      <w:r>
        <w:rPr>
          <w:lang w:val="en-US" w:eastAsia="zh-CN"/>
        </w:rPr>
        <w:drawing>
          <wp:inline distT="0" distB="0" distL="114300" distR="114300">
            <wp:extent cx="3704590" cy="5610225"/>
            <wp:effectExtent l="0" t="0" r="40" b="10"/>
            <wp:docPr id="130" name="图片 19" descr="138c72f9fadb5d91fac49f5e3739c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9" descr="138c72f9fadb5d91fac49f5e3739c8b"/>
                    <pic:cNvPicPr>
                      <a:picLocks noChangeAspect="1"/>
                    </pic:cNvPicPr>
                  </pic:nvPicPr>
                  <pic:blipFill>
                    <a:blip r:embed="rId51"/>
                    <a:stretch>
                      <a:fillRect/>
                    </a:stretch>
                  </pic:blipFill>
                  <pic:spPr>
                    <a:xfrm>
                      <a:off x="0" y="0"/>
                      <a:ext cx="3705223" cy="5610225"/>
                    </a:xfrm>
                    <a:prstGeom prst="rect">
                      <a:avLst/>
                    </a:prstGeom>
                    <a:noFill/>
                    <a:ln w="9525" cap="flat" cmpd="sng">
                      <a:noFill/>
                      <a:prstDash val="solid"/>
                      <a:miter/>
                    </a:ln>
                  </pic:spPr>
                </pic:pic>
              </a:graphicData>
            </a:graphic>
          </wp:inline>
        </w:drawing>
      </w:r>
    </w:p>
    <w:p w14:paraId="3F7305EA">
      <w:pPr>
        <w:pStyle w:val="23"/>
        <w:jc w:val="center"/>
        <w:rPr>
          <w:lang w:val="en-US" w:eastAsia="zh-CN"/>
        </w:rPr>
      </w:pPr>
      <w:r>
        <w:rPr>
          <w:rFonts w:hint="eastAsia"/>
        </w:rPr>
        <w:t>图</w:t>
      </w:r>
      <w:r>
        <w:rPr>
          <w:rFonts w:hint="eastAsia"/>
          <w:lang w:val="en-US" w:eastAsia="zh-CN"/>
        </w:rPr>
        <w:t>3-35  24号泵站管道平面图</w:t>
      </w:r>
    </w:p>
    <w:p w14:paraId="00BD0C8E">
      <w:pPr>
        <w:pStyle w:val="23"/>
        <w:ind w:left="0" w:firstLine="560" w:firstLineChars="200"/>
        <w:rPr>
          <w:lang w:val="en-US" w:eastAsia="zh-CN"/>
        </w:rPr>
      </w:pPr>
      <w:r>
        <w:rPr>
          <w:rFonts w:hint="eastAsia"/>
          <w:lang w:val="en-US" w:eastAsia="zh-CN"/>
        </w:rPr>
        <w:t>24号站de110供水主管沿程水头损失最不利情况计算结果如下表所示：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01FAE3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7BB9B">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EDB77">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BDFB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62E8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1F0ED8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570B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FE7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03F54">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330.06</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3370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1EF3CA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9F9A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1D17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8B95E">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C5C8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5A561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2F18F">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26B3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4420A">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7496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72938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B4853">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B265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8EA1C">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4C62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69881B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706C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D697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BB729">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CA15C">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1B7F2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D66D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E603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82E21">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1195.97</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B1DBE">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794467BE">
      <w:pPr>
        <w:pStyle w:val="23"/>
        <w:ind w:left="0" w:firstLine="560" w:firstLineChars="200"/>
        <w:rPr>
          <w:lang w:val="en-US" w:eastAsia="zh-CN"/>
        </w:rPr>
      </w:pPr>
      <w:r>
        <w:rPr>
          <w:rFonts w:hint="eastAsia"/>
          <w:lang w:val="en-US" w:eastAsia="zh-CN"/>
        </w:rPr>
        <w:t>因此，主管沿程水头损失为33.0m，局部水头损失为3.3m，24号站高差为+23m，因此提升泵的扬程应大于59.3m，选用潜水泵200QJ63-60，流量63m³/h，扬程60m，功率18.5kw。</w:t>
      </w:r>
    </w:p>
    <w:p w14:paraId="3F43E5E5">
      <w:pPr>
        <w:pStyle w:val="23"/>
        <w:ind w:left="0" w:firstLine="560" w:firstLineChars="200"/>
        <w:rPr>
          <w:rFonts w:hint="eastAsia"/>
          <w:lang w:val="en-US" w:eastAsia="zh-CN"/>
        </w:rPr>
      </w:pPr>
      <w:r>
        <w:rPr>
          <w:rFonts w:hint="eastAsia"/>
          <w:lang w:val="en-US" w:eastAsia="zh-CN"/>
        </w:rPr>
        <w:t>C.电力工程：24号站内大型用电设备只有提升泵（18.5kw），24号站由新宁村内A变压器（100kvA）供电，变压器需从100kvA增容到125kvA。新增连接24号站泵房的低压线经现场勘察，约为603.65m。</w:t>
      </w:r>
    </w:p>
    <w:p w14:paraId="32F2C6B3">
      <w:pPr>
        <w:bidi w:val="0"/>
        <w:rPr>
          <w:lang w:val="en-US" w:eastAsia="zh-CN"/>
        </w:rPr>
      </w:pPr>
      <w:r>
        <w:rPr>
          <w:rFonts w:hint="eastAsia"/>
          <w:lang w:val="en-US" w:eastAsia="zh-CN"/>
        </w:rPr>
        <w:t xml:space="preserve">24号站工程数量表详见附表1.26。 </w:t>
      </w:r>
    </w:p>
    <w:p w14:paraId="7FA92838">
      <w:pPr>
        <w:pStyle w:val="5"/>
        <w:bidi w:val="0"/>
        <w:rPr>
          <w:lang w:val="en-US" w:eastAsia="zh-CN"/>
        </w:rPr>
      </w:pPr>
      <w:bookmarkStart w:id="90" w:name="_Toc29498"/>
      <w:r>
        <w:rPr>
          <w:rFonts w:hint="eastAsia"/>
          <w:lang w:val="en-US" w:eastAsia="zh-CN"/>
        </w:rPr>
        <w:t>中心村</w:t>
      </w:r>
      <w:bookmarkEnd w:id="90"/>
    </w:p>
    <w:p w14:paraId="2759022A">
      <w:pPr>
        <w:bidi w:val="0"/>
        <w:rPr>
          <w:lang w:val="en-US" w:eastAsia="zh-CN"/>
        </w:rPr>
      </w:pPr>
      <w:r>
        <w:rPr>
          <w:rFonts w:hint="eastAsia"/>
          <w:lang w:val="en-US" w:eastAsia="zh-CN"/>
        </w:rPr>
        <w:t>中心村建设1套提灌系统（25号），25号站覆盖面积151亩，25号站从水塘取水，需建设提灌配套田间管网设施。中心村建设de110管网1181.81m，de90管网1072.06m，取水口1处。</w:t>
      </w:r>
    </w:p>
    <w:p w14:paraId="0CE9B4E5">
      <w:pPr>
        <w:pStyle w:val="6"/>
        <w:bidi w:val="0"/>
        <w:rPr>
          <w:rFonts w:hint="eastAsia"/>
          <w:lang w:val="en-US" w:eastAsia="zh-CN"/>
        </w:rPr>
      </w:pPr>
      <w:r>
        <w:rPr>
          <w:rFonts w:hint="eastAsia"/>
          <w:lang w:val="en-US" w:eastAsia="zh-CN"/>
        </w:rPr>
        <w:t>25号泵站建设详情</w:t>
      </w:r>
    </w:p>
    <w:p w14:paraId="7D9C53F2">
      <w:pPr>
        <w:bidi w:val="0"/>
        <w:rPr>
          <w:rFonts w:hint="eastAsia"/>
          <w:color w:val="auto"/>
          <w:lang w:val="en-US" w:eastAsia="zh-CN"/>
        </w:rPr>
      </w:pPr>
      <w:r>
        <w:rPr>
          <w:rFonts w:hint="eastAsia"/>
          <w:color w:val="auto"/>
          <w:lang w:val="en-US" w:eastAsia="zh-CN"/>
        </w:rPr>
        <w:t>提灌设施1座及配套田间管网工程。</w:t>
      </w:r>
    </w:p>
    <w:p w14:paraId="4A9A60FF">
      <w:pPr>
        <w:pStyle w:val="23"/>
        <w:numPr>
          <w:ilvl w:val="0"/>
          <w:numId w:val="27"/>
        </w:numPr>
        <w:ind w:firstLineChars="0"/>
        <w:rPr>
          <w:lang w:val="en-US" w:eastAsia="zh-CN"/>
        </w:rPr>
      </w:pPr>
      <w:r>
        <w:rPr>
          <w:rFonts w:hint="eastAsia"/>
          <w:lang w:val="en-US" w:eastAsia="zh-CN"/>
        </w:rPr>
        <w:t>管道设计：中心村为辐射区，因此只设计供水工程，不设计施肥系统，24号站内没有可利用已建设施设备，所以提灌设施1处，新建de110（承压1.25Mpa）管道作为站内供水主管，由de90（承压1.25Mpa）管道作为支管延伸到田间，支管每隔40米，设置闸阀1处，方便种植户接管道灌溉农田。de110和de90管道尽量沿等高线布置；</w:t>
      </w:r>
    </w:p>
    <w:p w14:paraId="024EB9C5">
      <w:pPr>
        <w:pStyle w:val="23"/>
        <w:ind w:left="0" w:firstLine="560" w:firstLineChars="200"/>
        <w:rPr>
          <w:rFonts w:hint="eastAsia"/>
          <w:lang w:val="en-US" w:eastAsia="zh-CN"/>
        </w:rPr>
      </w:pPr>
      <w:r>
        <w:rPr>
          <w:rFonts w:hint="eastAsia"/>
          <w:lang w:val="en-US" w:eastAsia="zh-CN"/>
        </w:rPr>
        <w:t>B.泵的选型：</w:t>
      </w:r>
    </w:p>
    <w:p w14:paraId="16A68CDD">
      <w:pPr>
        <w:pStyle w:val="23"/>
        <w:ind w:left="0" w:firstLine="560" w:firstLineChars="200"/>
        <w:rPr>
          <w:lang w:val="en-US" w:eastAsia="zh-CN"/>
        </w:rPr>
      </w:pPr>
      <w:r>
        <w:rPr>
          <w:rFonts w:hint="eastAsia"/>
          <w:lang w:val="en-US" w:eastAsia="zh-CN"/>
        </w:rPr>
        <w:t>25号站de110主管水头损失最不利情况为A25--B25--D25端，如下图所示</w:t>
      </w:r>
    </w:p>
    <w:p w14:paraId="0AC80DD8">
      <w:pPr>
        <w:pStyle w:val="23"/>
        <w:jc w:val="center"/>
        <w:rPr>
          <w:lang w:val="en-US" w:eastAsia="zh-CN"/>
        </w:rPr>
      </w:pPr>
      <w:r>
        <w:rPr>
          <w:lang w:val="en-US" w:eastAsia="zh-CN"/>
        </w:rPr>
        <w:drawing>
          <wp:inline distT="0" distB="0" distL="114300" distR="114300">
            <wp:extent cx="5269865" cy="5988050"/>
            <wp:effectExtent l="0" t="0" r="15" b="36"/>
            <wp:docPr id="133" name="图片 22" descr="2e17cb76197977a1b891534001f49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2" descr="2e17cb76197977a1b891534001f49b8"/>
                    <pic:cNvPicPr>
                      <a:picLocks noChangeAspect="1"/>
                    </pic:cNvPicPr>
                  </pic:nvPicPr>
                  <pic:blipFill>
                    <a:blip r:embed="rId52"/>
                    <a:stretch>
                      <a:fillRect/>
                    </a:stretch>
                  </pic:blipFill>
                  <pic:spPr>
                    <a:xfrm>
                      <a:off x="0" y="0"/>
                      <a:ext cx="5270498" cy="5988050"/>
                    </a:xfrm>
                    <a:prstGeom prst="rect">
                      <a:avLst/>
                    </a:prstGeom>
                    <a:noFill/>
                    <a:ln w="9525" cap="flat" cmpd="sng">
                      <a:noFill/>
                      <a:prstDash val="solid"/>
                      <a:miter/>
                    </a:ln>
                  </pic:spPr>
                </pic:pic>
              </a:graphicData>
            </a:graphic>
          </wp:inline>
        </w:drawing>
      </w:r>
    </w:p>
    <w:p w14:paraId="466DF37A">
      <w:pPr>
        <w:pStyle w:val="23"/>
        <w:jc w:val="center"/>
        <w:rPr>
          <w:lang w:val="en-US" w:eastAsia="zh-CN"/>
        </w:rPr>
      </w:pPr>
      <w:r>
        <w:rPr>
          <w:rFonts w:hint="eastAsia"/>
        </w:rPr>
        <w:t>图</w:t>
      </w:r>
      <w:r>
        <w:rPr>
          <w:rFonts w:hint="eastAsia"/>
          <w:lang w:val="en-US" w:eastAsia="zh-CN"/>
        </w:rPr>
        <w:t>3-36  25号泵站管道平面图</w:t>
      </w:r>
    </w:p>
    <w:p w14:paraId="74999349">
      <w:pPr>
        <w:pStyle w:val="23"/>
        <w:ind w:left="0" w:firstLine="560" w:firstLineChars="200"/>
        <w:rPr>
          <w:lang w:val="en-US" w:eastAsia="zh-CN"/>
        </w:rPr>
      </w:pPr>
      <w:r>
        <w:rPr>
          <w:rFonts w:hint="eastAsia"/>
          <w:lang w:val="en-US" w:eastAsia="zh-CN"/>
        </w:rPr>
        <w:t>25号站de110供水主管沿程水头损失最不利情况计算结果如下表所示：</w:t>
      </w:r>
    </w:p>
    <w:tbl>
      <w:tblPr>
        <w:tblStyle w:val="21"/>
        <w:tblW w:w="8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9"/>
        <w:gridCol w:w="5238"/>
        <w:gridCol w:w="1181"/>
        <w:gridCol w:w="1211"/>
      </w:tblGrid>
      <w:tr w14:paraId="27BC81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427427">
            <w:pPr>
              <w:jc w:val="center"/>
              <w:rPr>
                <w:rFonts w:hint="eastAsia" w:ascii="宋体" w:hAnsi="宋体" w:eastAsia="宋体" w:cs="宋体"/>
                <w:i w:val="0"/>
                <w:iCs w:val="0"/>
                <w:color w:val="000000"/>
                <w:sz w:val="24"/>
                <w:szCs w:val="24"/>
                <w:u w:val="none"/>
              </w:rPr>
            </w:pPr>
          </w:p>
        </w:tc>
        <w:tc>
          <w:tcPr>
            <w:tcW w:w="47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FF090">
            <w:pPr>
              <w:jc w:val="center"/>
              <w:rPr>
                <w:rFonts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公式/参数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B156D">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计算结果</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19E4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单位</w:t>
            </w:r>
          </w:p>
        </w:tc>
      </w:tr>
      <w:tr w14:paraId="3522B2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8947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A0B8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hf=i*L=105*Ch^-1.85*dj^-4.87*qg^1.85*L</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40F51">
            <w:pPr>
              <w:keepNext w:val="0"/>
              <w:keepLines w:val="0"/>
              <w:widowControl/>
              <w:suppressLineNumbers w:val="0"/>
              <w:ind w:left="0" w:firstLine="0" w:firstLineChars="0"/>
              <w:jc w:val="center"/>
              <w:textAlignment w:val="center"/>
              <w:rPr>
                <w:rFonts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rPr>
              <w:t>287.82</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339C8">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w:t>
            </w:r>
          </w:p>
        </w:tc>
      </w:tr>
      <w:tr w14:paraId="5980A2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69CF5">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i</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E275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沿程阻力系数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A41CB">
            <w:pPr>
              <w:jc w:val="center"/>
              <w:rPr>
                <w:rFonts w:hint="eastAsia" w:ascii="宋体" w:hAnsi="宋体" w:eastAsia="宋体" w:cs="宋体"/>
                <w:i w:val="0"/>
                <w:iCs w:val="0"/>
                <w:color w:val="000000"/>
                <w:sz w:val="24"/>
                <w:szCs w:val="24"/>
                <w:u w:val="none"/>
              </w:rPr>
            </w:pP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69ED9">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kpa/m</w:t>
            </w:r>
          </w:p>
        </w:tc>
      </w:tr>
      <w:tr w14:paraId="5F9B92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0BA0B">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Ch</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20A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海澄-威廉系数（管道材质不同）</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A7275">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7A441">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无量纲</w:t>
            </w:r>
          </w:p>
        </w:tc>
      </w:tr>
      <w:tr w14:paraId="629ACD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C3C34">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dj</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D862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计算内径</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2D954">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0.094</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D2342">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r w14:paraId="230A11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E3BE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qg</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CB1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设计流量</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6B435">
            <w:pPr>
              <w:keepNext w:val="0"/>
              <w:keepLines w:val="0"/>
              <w:widowControl/>
              <w:suppressLineNumbers w:val="0"/>
              <w:ind w:left="0"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rPr>
              <w:t>0.011</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8B76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m³/s</w:t>
            </w:r>
          </w:p>
        </w:tc>
      </w:tr>
      <w:tr w14:paraId="29B45E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FAB1A">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L</w:t>
            </w:r>
          </w:p>
        </w:tc>
        <w:tc>
          <w:tcPr>
            <w:tcW w:w="5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C1C2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管线长度</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13E35">
            <w:pPr>
              <w:keepNext w:val="0"/>
              <w:keepLines w:val="0"/>
              <w:widowControl/>
              <w:suppressLineNumbers w:val="0"/>
              <w:ind w:left="0" w:firstLine="0" w:firstLineChars="0"/>
              <w:jc w:val="center"/>
              <w:textAlignment w:val="center"/>
              <w:rPr>
                <w:rFonts w:ascii="宋体" w:hAnsi="宋体" w:eastAsia="宋体" w:cs="宋体"/>
                <w:i w:val="0"/>
                <w:iCs w:val="0"/>
                <w:color w:val="auto"/>
                <w:sz w:val="24"/>
                <w:szCs w:val="24"/>
                <w:u w:val="none"/>
                <w:lang w:val="en-US"/>
              </w:rPr>
            </w:pPr>
            <w:r>
              <w:rPr>
                <w:rFonts w:hint="eastAsia" w:ascii="宋体" w:hAnsi="宋体" w:eastAsia="宋体" w:cs="宋体"/>
                <w:i w:val="0"/>
                <w:iCs w:val="0"/>
                <w:color w:val="auto"/>
                <w:kern w:val="0"/>
                <w:sz w:val="24"/>
                <w:szCs w:val="24"/>
                <w:u w:val="none"/>
                <w:lang w:val="en-US" w:eastAsia="zh-CN"/>
              </w:rPr>
              <w:t>1042.92</w:t>
            </w:r>
          </w:p>
        </w:tc>
        <w:tc>
          <w:tcPr>
            <w:tcW w:w="1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AEAF6">
            <w:pPr>
              <w:keepNext w:val="0"/>
              <w:keepLines w:val="0"/>
              <w:widowControl/>
              <w:suppressLineNumbers w:val="0"/>
              <w:ind w:lef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rPr>
              <w:t>m</w:t>
            </w:r>
          </w:p>
        </w:tc>
      </w:tr>
    </w:tbl>
    <w:p w14:paraId="592263ED">
      <w:pPr>
        <w:pStyle w:val="23"/>
        <w:ind w:left="0" w:firstLine="560" w:firstLineChars="200"/>
        <w:rPr>
          <w:lang w:val="en-US" w:eastAsia="zh-CN"/>
        </w:rPr>
      </w:pPr>
      <w:r>
        <w:rPr>
          <w:rFonts w:hint="eastAsia"/>
          <w:lang w:val="en-US" w:eastAsia="zh-CN"/>
        </w:rPr>
        <w:t>因此，主管沿程水头损失为28.78m，局部水头损失为2.87m，25号站高差为+14m，因此提升泵的扬程应大于45.65m，选用潜水泵200QJ63-60，流量63m³/h，扬程60m，功率18.5kw。</w:t>
      </w:r>
    </w:p>
    <w:p w14:paraId="4D63A0D5">
      <w:pPr>
        <w:pStyle w:val="23"/>
        <w:ind w:left="0" w:firstLine="560" w:firstLineChars="200"/>
        <w:rPr>
          <w:rFonts w:hint="eastAsia"/>
          <w:lang w:val="en-US" w:eastAsia="zh-CN"/>
        </w:rPr>
      </w:pPr>
      <w:r>
        <w:rPr>
          <w:rFonts w:hint="eastAsia"/>
          <w:lang w:val="en-US" w:eastAsia="zh-CN"/>
        </w:rPr>
        <w:t>C.电力工程：25号站内大型用电设备只有提升泵（18.5kw），25号站由中心村内垃圾站A变压器（100kvA）供电，变压器需从100kvA增容到125kvA。新增连接25号站泵房的低压线经现场勘察，约为711.23m。</w:t>
      </w:r>
    </w:p>
    <w:p w14:paraId="7DF7CAB0">
      <w:pPr>
        <w:bidi w:val="0"/>
        <w:rPr>
          <w:lang w:val="en-US" w:eastAsia="zh-CN"/>
        </w:rPr>
      </w:pPr>
      <w:r>
        <w:rPr>
          <w:rFonts w:hint="eastAsia"/>
          <w:lang w:val="en-US" w:eastAsia="zh-CN"/>
        </w:rPr>
        <w:t xml:space="preserve">25号站工程数量表详见附表1.27。 </w:t>
      </w:r>
    </w:p>
    <w:p w14:paraId="0B409905">
      <w:pPr>
        <w:pStyle w:val="3"/>
        <w:bidi w:val="0"/>
        <w:jc w:val="center"/>
        <w:rPr>
          <w:sz w:val="40"/>
          <w:szCs w:val="28"/>
          <w:lang w:val="en-US" w:eastAsia="zh-CN"/>
        </w:rPr>
      </w:pPr>
      <w:bookmarkStart w:id="91" w:name="_Toc4890"/>
      <w:r>
        <w:rPr>
          <w:rFonts w:hint="eastAsia"/>
          <w:sz w:val="40"/>
          <w:szCs w:val="28"/>
          <w:lang w:val="en-US" w:eastAsia="zh-CN"/>
        </w:rPr>
        <w:t>项目进度安排</w:t>
      </w:r>
      <w:bookmarkEnd w:id="91"/>
    </w:p>
    <w:p w14:paraId="4F6F5B0C">
      <w:pPr>
        <w:jc w:val="left"/>
        <w:rPr>
          <w:rFonts w:hint="eastAsia"/>
          <w:lang w:val="zh-CN" w:eastAsia="zh-CN"/>
        </w:rPr>
      </w:pPr>
      <w:r>
        <w:rPr>
          <w:rFonts w:hint="eastAsia"/>
          <w:lang w:val="zh-CN" w:eastAsia="zh-CN"/>
        </w:rPr>
        <w:t>该项目建设期限为</w:t>
      </w:r>
      <w:r>
        <w:rPr>
          <w:rFonts w:hint="eastAsia"/>
          <w:lang w:val="en-US" w:eastAsia="zh-CN"/>
        </w:rPr>
        <w:t>1年，即2024年12月—2025年12月，根据全区自然气候和农业生产实际，结合项目工程具体建设和投资管理部门要求，具体</w:t>
      </w:r>
      <w:r>
        <w:rPr>
          <w:rFonts w:hint="eastAsia"/>
          <w:lang w:val="zh-CN" w:eastAsia="zh-CN"/>
        </w:rPr>
        <w:t>计划工期如下：</w:t>
      </w:r>
    </w:p>
    <w:p w14:paraId="4E6F04C7">
      <w:pPr>
        <w:jc w:val="left"/>
        <w:rPr>
          <w:rFonts w:hint="eastAsia"/>
          <w:lang w:val="zh-CN" w:eastAsia="zh-CN"/>
        </w:rPr>
      </w:pPr>
      <w:r>
        <w:rPr>
          <w:rFonts w:hint="eastAsia"/>
          <w:lang w:val="en-US" w:eastAsia="zh-CN"/>
        </w:rPr>
        <w:t>2024年12</w:t>
      </w:r>
      <w:r>
        <w:rPr>
          <w:rFonts w:hint="eastAsia"/>
          <w:lang w:val="zh-CN" w:eastAsia="zh-CN"/>
        </w:rPr>
        <w:t>月，完成项目的前期工作；</w:t>
      </w:r>
    </w:p>
    <w:p w14:paraId="29B59677">
      <w:pPr>
        <w:jc w:val="left"/>
        <w:rPr>
          <w:rFonts w:hint="eastAsia"/>
          <w:lang w:val="zh-CN" w:eastAsia="zh-CN"/>
        </w:rPr>
      </w:pPr>
      <w:r>
        <w:rPr>
          <w:rFonts w:hint="eastAsia"/>
          <w:lang w:val="en-US" w:eastAsia="zh-CN"/>
        </w:rPr>
        <w:t>2024年1月</w:t>
      </w:r>
      <w:r>
        <w:rPr>
          <w:rFonts w:hint="eastAsia"/>
          <w:lang w:val="zh-CN" w:eastAsia="zh-CN"/>
        </w:rPr>
        <w:t>，完成项目建设招投标；</w:t>
      </w:r>
    </w:p>
    <w:p w14:paraId="2727C005">
      <w:pPr>
        <w:jc w:val="left"/>
        <w:rPr>
          <w:rFonts w:hint="eastAsia"/>
          <w:lang w:val="zh-CN" w:eastAsia="zh-CN"/>
        </w:rPr>
      </w:pPr>
      <w:r>
        <w:rPr>
          <w:rFonts w:hint="eastAsia"/>
          <w:lang w:val="en-US" w:eastAsia="zh-CN"/>
        </w:rPr>
        <w:t>2025年1</w:t>
      </w:r>
      <w:r>
        <w:rPr>
          <w:rFonts w:hint="eastAsia"/>
          <w:lang w:val="zh-CN" w:eastAsia="zh-CN"/>
        </w:rPr>
        <w:t>月-</w:t>
      </w:r>
      <w:r>
        <w:rPr>
          <w:rFonts w:hint="eastAsia"/>
          <w:lang w:val="en-US" w:eastAsia="zh-CN"/>
        </w:rPr>
        <w:t>2025年11</w:t>
      </w:r>
      <w:r>
        <w:rPr>
          <w:rFonts w:hint="eastAsia"/>
          <w:lang w:val="zh-CN" w:eastAsia="zh-CN"/>
        </w:rPr>
        <w:t>月，完成项目仪器设备采购、水肥一体化设施管道工程及其他基础设施建设、仪器设备安装调试等工程建设；</w:t>
      </w:r>
    </w:p>
    <w:p w14:paraId="33EA2F8C">
      <w:pPr>
        <w:jc w:val="left"/>
        <w:rPr>
          <w:rFonts w:hint="eastAsia"/>
          <w:lang w:val="zh-CN" w:eastAsia="zh-CN"/>
        </w:rPr>
      </w:pPr>
      <w:r>
        <w:rPr>
          <w:rFonts w:hint="eastAsia"/>
          <w:lang w:val="en-US" w:eastAsia="zh-CN"/>
        </w:rPr>
        <w:t>2025年12</w:t>
      </w:r>
      <w:r>
        <w:rPr>
          <w:rFonts w:hint="eastAsia"/>
          <w:lang w:val="zh-CN" w:eastAsia="zh-CN"/>
        </w:rPr>
        <w:t>月项目完善及组织验收。</w:t>
      </w:r>
    </w:p>
    <w:p w14:paraId="34E72A03">
      <w:pPr>
        <w:jc w:val="center"/>
        <w:rPr>
          <w:b/>
          <w:bCs/>
          <w:lang w:val="en-US" w:eastAsia="zh-CN"/>
        </w:rPr>
      </w:pPr>
      <w:r>
        <w:rPr>
          <w:b/>
          <w:bCs/>
          <w:lang w:val="en-US" w:eastAsia="zh-CN"/>
        </w:rPr>
        <w:t>表</w:t>
      </w:r>
      <w:r>
        <w:rPr>
          <w:rFonts w:hint="eastAsia"/>
          <w:b/>
          <w:bCs/>
          <w:lang w:val="en-US" w:eastAsia="zh-CN"/>
        </w:rPr>
        <w:t>4</w:t>
      </w:r>
      <w:r>
        <w:rPr>
          <w:b/>
          <w:bCs/>
          <w:lang w:val="en-US" w:eastAsia="zh-CN"/>
        </w:rPr>
        <w:t>-</w:t>
      </w:r>
      <w:r>
        <w:rPr>
          <w:rFonts w:hint="eastAsia"/>
          <w:b/>
          <w:bCs/>
          <w:lang w:val="en-US" w:eastAsia="zh-CN"/>
        </w:rPr>
        <w:t>1</w:t>
      </w:r>
      <w:r>
        <w:rPr>
          <w:b/>
          <w:bCs/>
          <w:lang w:val="en-US" w:eastAsia="zh-CN"/>
        </w:rPr>
        <w:t>项目建设计划进度表</w:t>
      </w:r>
    </w:p>
    <w:tbl>
      <w:tblPr>
        <w:tblStyle w:val="21"/>
        <w:tblW w:w="5123"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366"/>
        <w:gridCol w:w="2173"/>
        <w:gridCol w:w="2010"/>
        <w:gridCol w:w="2183"/>
      </w:tblGrid>
      <w:tr w14:paraId="5787A88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55" w:type="pct"/>
            <w:vAlign w:val="center"/>
          </w:tcPr>
          <w:p w14:paraId="49BF170C">
            <w:pPr>
              <w:pageBreakBefore w:val="0"/>
              <w:widowControl w:val="0"/>
              <w:kinsoku/>
              <w:overflowPunct/>
              <w:topLinePunct w:val="0"/>
              <w:autoSpaceDE/>
              <w:autoSpaceDN/>
              <w:bidi w:val="0"/>
              <w:spacing w:line="576" w:lineRule="exact"/>
              <w:ind w:right="-84" w:rightChars="-30" w:firstLine="0" w:firstLineChars="0"/>
              <w:jc w:val="center"/>
              <w:rPr>
                <w:rFonts w:ascii="Times New Roman" w:hAnsi="Times New Roman" w:cs="Times New Roman"/>
                <w:b/>
                <w:color w:val="000000"/>
                <w:sz w:val="21"/>
                <w:szCs w:val="21"/>
              </w:rPr>
            </w:pPr>
            <w:r>
              <w:rPr>
                <w:rFonts w:ascii="Times New Roman" w:hAnsi="Times New Roman" w:eastAsia="仿宋_GB2312" w:cs="Times New Roman"/>
                <w:b/>
                <w:color w:val="000000"/>
                <w:sz w:val="21"/>
                <w:szCs w:val="21"/>
              </w:rPr>
              <w:t>工程阶段</w:t>
            </w:r>
          </w:p>
        </w:tc>
        <w:tc>
          <w:tcPr>
            <w:tcW w:w="1244" w:type="pct"/>
            <w:vAlign w:val="center"/>
          </w:tcPr>
          <w:p w14:paraId="19C967A1">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b/>
                <w:color w:val="000000"/>
                <w:sz w:val="21"/>
                <w:szCs w:val="21"/>
              </w:rPr>
            </w:pPr>
            <w:r>
              <w:rPr>
                <w:rFonts w:ascii="Times New Roman" w:hAnsi="Times New Roman" w:eastAsia="仿宋_GB2312" w:cs="Times New Roman"/>
                <w:b/>
                <w:color w:val="000000"/>
                <w:sz w:val="21"/>
                <w:szCs w:val="21"/>
              </w:rPr>
              <w:t>第</w:t>
            </w:r>
            <w:r>
              <w:rPr>
                <w:rFonts w:hint="eastAsia" w:ascii="Times New Roman" w:hAnsi="Times New Roman" w:eastAsia="仿宋_GB2312" w:cs="Times New Roman"/>
                <w:b/>
                <w:color w:val="000000"/>
                <w:sz w:val="21"/>
                <w:szCs w:val="21"/>
                <w:lang w:val="en-US" w:eastAsia="zh-CN"/>
              </w:rPr>
              <w:t>1</w:t>
            </w:r>
            <w:r>
              <w:rPr>
                <w:rFonts w:ascii="Times New Roman" w:hAnsi="Times New Roman" w:eastAsia="仿宋_GB2312" w:cs="Times New Roman"/>
                <w:b/>
                <w:color w:val="000000"/>
                <w:sz w:val="21"/>
                <w:szCs w:val="21"/>
              </w:rPr>
              <w:t>-</w:t>
            </w:r>
            <w:r>
              <w:rPr>
                <w:rFonts w:hint="eastAsia" w:ascii="Times New Roman" w:hAnsi="Times New Roman" w:eastAsia="仿宋_GB2312" w:cs="Times New Roman"/>
                <w:b/>
                <w:color w:val="000000"/>
                <w:sz w:val="21"/>
                <w:szCs w:val="21"/>
                <w:lang w:val="en-US" w:eastAsia="zh-CN"/>
              </w:rPr>
              <w:t>3</w:t>
            </w:r>
            <w:r>
              <w:rPr>
                <w:rFonts w:ascii="Times New Roman" w:hAnsi="Times New Roman" w:eastAsia="仿宋_GB2312" w:cs="Times New Roman"/>
                <w:b/>
                <w:color w:val="000000"/>
                <w:sz w:val="21"/>
                <w:szCs w:val="21"/>
              </w:rPr>
              <w:t>月</w:t>
            </w:r>
          </w:p>
        </w:tc>
        <w:tc>
          <w:tcPr>
            <w:tcW w:w="1151" w:type="pct"/>
          </w:tcPr>
          <w:p w14:paraId="600E70BB">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b/>
                <w:color w:val="000000"/>
                <w:sz w:val="21"/>
                <w:szCs w:val="21"/>
              </w:rPr>
            </w:pPr>
            <w:r>
              <w:rPr>
                <w:rFonts w:ascii="Times New Roman" w:hAnsi="Times New Roman" w:eastAsia="仿宋_GB2312" w:cs="Times New Roman"/>
                <w:b/>
                <w:color w:val="000000"/>
                <w:sz w:val="21"/>
                <w:szCs w:val="21"/>
              </w:rPr>
              <w:t>第</w:t>
            </w:r>
            <w:r>
              <w:rPr>
                <w:rFonts w:hint="eastAsia" w:ascii="Times New Roman" w:hAnsi="Times New Roman" w:eastAsia="仿宋_GB2312" w:cs="Times New Roman"/>
                <w:b/>
                <w:color w:val="000000"/>
                <w:sz w:val="21"/>
                <w:szCs w:val="21"/>
                <w:lang w:val="en-US" w:eastAsia="zh-CN"/>
              </w:rPr>
              <w:t>4</w:t>
            </w:r>
            <w:r>
              <w:rPr>
                <w:rFonts w:ascii="Times New Roman" w:hAnsi="Times New Roman" w:eastAsia="仿宋_GB2312" w:cs="Times New Roman"/>
                <w:b/>
                <w:color w:val="000000"/>
                <w:sz w:val="21"/>
                <w:szCs w:val="21"/>
              </w:rPr>
              <w:t>-</w:t>
            </w:r>
            <w:r>
              <w:rPr>
                <w:rFonts w:hint="eastAsia" w:ascii="Times New Roman" w:hAnsi="Times New Roman" w:eastAsia="仿宋_GB2312" w:cs="Times New Roman"/>
                <w:b/>
                <w:color w:val="000000"/>
                <w:sz w:val="21"/>
                <w:szCs w:val="21"/>
                <w:lang w:val="en-US" w:eastAsia="zh-CN"/>
              </w:rPr>
              <w:t>11</w:t>
            </w:r>
            <w:r>
              <w:rPr>
                <w:rFonts w:ascii="Times New Roman" w:hAnsi="Times New Roman" w:eastAsia="仿宋_GB2312" w:cs="Times New Roman"/>
                <w:b/>
                <w:color w:val="000000"/>
                <w:sz w:val="21"/>
                <w:szCs w:val="21"/>
              </w:rPr>
              <w:t>月</w:t>
            </w:r>
          </w:p>
        </w:tc>
        <w:tc>
          <w:tcPr>
            <w:tcW w:w="1251" w:type="pct"/>
            <w:vAlign w:val="center"/>
          </w:tcPr>
          <w:p w14:paraId="56E81215">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b/>
                <w:color w:val="000000"/>
                <w:sz w:val="21"/>
                <w:szCs w:val="21"/>
              </w:rPr>
            </w:pPr>
            <w:r>
              <w:rPr>
                <w:rFonts w:ascii="Times New Roman" w:hAnsi="Times New Roman" w:eastAsia="仿宋_GB2312" w:cs="Times New Roman"/>
                <w:b/>
                <w:color w:val="000000"/>
                <w:sz w:val="21"/>
                <w:szCs w:val="21"/>
              </w:rPr>
              <w:t>第</w:t>
            </w:r>
            <w:r>
              <w:rPr>
                <w:rFonts w:hint="eastAsia" w:ascii="Times New Roman" w:hAnsi="Times New Roman" w:eastAsia="仿宋_GB2312" w:cs="Times New Roman"/>
                <w:b/>
                <w:color w:val="000000"/>
                <w:sz w:val="21"/>
                <w:szCs w:val="21"/>
                <w:lang w:val="en-US" w:eastAsia="zh-CN"/>
              </w:rPr>
              <w:t>12</w:t>
            </w:r>
            <w:r>
              <w:rPr>
                <w:rFonts w:ascii="Times New Roman" w:hAnsi="Times New Roman" w:eastAsia="仿宋_GB2312" w:cs="Times New Roman"/>
                <w:b/>
                <w:color w:val="000000"/>
                <w:sz w:val="21"/>
                <w:szCs w:val="21"/>
              </w:rPr>
              <w:t>月</w:t>
            </w:r>
          </w:p>
        </w:tc>
      </w:tr>
      <w:tr w14:paraId="5EE5BCA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55" w:type="pct"/>
            <w:vAlign w:val="center"/>
          </w:tcPr>
          <w:p w14:paraId="1C484077">
            <w:pPr>
              <w:pageBreakBefore w:val="0"/>
              <w:widowControl w:val="0"/>
              <w:kinsoku/>
              <w:overflowPunct/>
              <w:topLinePunct w:val="0"/>
              <w:autoSpaceDE/>
              <w:autoSpaceDN/>
              <w:bidi w:val="0"/>
              <w:spacing w:line="576" w:lineRule="exact"/>
              <w:ind w:right="-84" w:rightChars="-30" w:firstLine="0" w:firstLineChars="0"/>
              <w:jc w:val="center"/>
              <w:rPr>
                <w:rFonts w:ascii="Times New Roman" w:hAnsi="Times New Roman" w:cs="Times New Roman"/>
                <w:color w:val="000000"/>
                <w:sz w:val="21"/>
                <w:szCs w:val="21"/>
              </w:rPr>
            </w:pPr>
            <w:r>
              <w:rPr>
                <w:rFonts w:ascii="Times New Roman" w:hAnsi="Times New Roman" w:eastAsia="仿宋_GB2312" w:cs="Times New Roman"/>
                <w:color w:val="000000"/>
                <w:sz w:val="21"/>
                <w:szCs w:val="21"/>
              </w:rPr>
              <w:t>项目建设前期</w:t>
            </w:r>
          </w:p>
        </w:tc>
        <w:tc>
          <w:tcPr>
            <w:tcW w:w="1244" w:type="pct"/>
            <w:tcBorders>
              <w:top w:val="single" w:color="auto" w:sz="6" w:space="0"/>
              <w:left w:val="single" w:color="auto" w:sz="6" w:space="0"/>
              <w:right w:val="single" w:color="auto" w:sz="6" w:space="0"/>
            </w:tcBorders>
            <w:vAlign w:val="center"/>
          </w:tcPr>
          <w:p w14:paraId="65620E2F">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mc:AlternateContent>
                <mc:Choice Requires="wps">
                  <w:drawing>
                    <wp:anchor distT="0" distB="0" distL="113665" distR="113665" simplePos="0" relativeHeight="251659264" behindDoc="0" locked="0" layoutInCell="1" allowOverlap="1">
                      <wp:simplePos x="0" y="0"/>
                      <wp:positionH relativeFrom="column">
                        <wp:posOffset>-65405</wp:posOffset>
                      </wp:positionH>
                      <wp:positionV relativeFrom="paragraph">
                        <wp:posOffset>145415</wp:posOffset>
                      </wp:positionV>
                      <wp:extent cx="1381125" cy="9525"/>
                      <wp:effectExtent l="0" t="0" r="0" b="0"/>
                      <wp:wrapNone/>
                      <wp:docPr id="136" name="直接连接符 13"/>
                      <wp:cNvGraphicFramePr/>
                      <a:graphic xmlns:a="http://schemas.openxmlformats.org/drawingml/2006/main">
                        <a:graphicData uri="http://schemas.microsoft.com/office/word/2010/wordprocessingShape">
                          <wps:wsp>
                            <wps:cNvCnPr/>
                            <wps:spPr>
                              <a:xfrm>
                                <a:off x="0" y="0"/>
                                <a:ext cx="1381124" cy="9525"/>
                              </a:xfrm>
                              <a:prstGeom prst="line">
                                <a:avLst/>
                              </a:prstGeom>
                              <a:noFill/>
                              <a:ln w="38100" cap="flat"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13" o:spid="_x0000_s1026" o:spt="20" style="position:absolute;left:0pt;margin-left:-5.15pt;margin-top:11.45pt;height:0.75pt;width:108.75pt;z-index:251659264;mso-width-relative:page;mso-height-relative:page;" filled="f" stroked="t" coordsize="21600,21600" o:gfxdata="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Bcj0&#10;ltUAAAAJAQAADwAAAAAAAAABACAAAAAiAAAAZHJzL2Rvd25yZXYueG1sUEsBAhQAFAAAAAgAh07i&#10;QMB66SklAgAALQQAAA4AAAAAAAAAAQAgAAAAJAEAAGRycy9lMm9Eb2MueG1sUEsFBgAAAAAGAAYA&#10;WQEAALsFAAAAAA==&#10;">
                      <v:fill on="f" focussize="0,0"/>
                      <v:stroke weight="3pt" color="#000000" joinstyle="round"/>
                      <v:imagedata o:title=""/>
                      <o:lock v:ext="edit" aspectratio="f"/>
                    </v:line>
                  </w:pict>
                </mc:Fallback>
              </mc:AlternateContent>
            </w:r>
          </w:p>
        </w:tc>
        <w:tc>
          <w:tcPr>
            <w:tcW w:w="1151" w:type="pct"/>
            <w:tcBorders>
              <w:top w:val="single" w:color="auto" w:sz="6" w:space="0"/>
              <w:left w:val="single" w:color="auto" w:sz="6" w:space="0"/>
              <w:right w:val="single" w:color="auto" w:sz="6" w:space="0"/>
            </w:tcBorders>
          </w:tcPr>
          <w:p w14:paraId="4B8AFBBF">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color w:val="000000"/>
                <w:sz w:val="21"/>
                <w:szCs w:val="21"/>
              </w:rPr>
            </w:pPr>
          </w:p>
        </w:tc>
        <w:tc>
          <w:tcPr>
            <w:tcW w:w="1251" w:type="pct"/>
            <w:vAlign w:val="center"/>
          </w:tcPr>
          <w:p w14:paraId="2CAF0D92">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color w:val="000000"/>
                <w:sz w:val="21"/>
                <w:szCs w:val="21"/>
              </w:rPr>
            </w:pPr>
          </w:p>
        </w:tc>
      </w:tr>
      <w:tr w14:paraId="55844D8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55" w:type="pct"/>
            <w:vAlign w:val="center"/>
          </w:tcPr>
          <w:p w14:paraId="19EBD041">
            <w:pPr>
              <w:pageBreakBefore w:val="0"/>
              <w:widowControl w:val="0"/>
              <w:kinsoku/>
              <w:overflowPunct/>
              <w:topLinePunct w:val="0"/>
              <w:autoSpaceDE/>
              <w:autoSpaceDN/>
              <w:bidi w:val="0"/>
              <w:spacing w:line="576" w:lineRule="exact"/>
              <w:ind w:right="-84" w:rightChars="-30" w:firstLine="0" w:firstLineChars="0"/>
              <w:jc w:val="center"/>
              <w:rPr>
                <w:rFonts w:ascii="Times New Roman" w:hAnsi="Times New Roman" w:cs="Times New Roman"/>
                <w:color w:val="000000"/>
                <w:sz w:val="21"/>
                <w:szCs w:val="21"/>
              </w:rPr>
            </w:pPr>
            <w:r>
              <w:rPr>
                <w:rFonts w:ascii="Times New Roman" w:hAnsi="Times New Roman" w:eastAsia="仿宋_GB2312" w:cs="Times New Roman"/>
                <w:color w:val="000000"/>
                <w:sz w:val="21"/>
                <w:szCs w:val="21"/>
              </w:rPr>
              <w:t>项目施工阶段</w:t>
            </w:r>
          </w:p>
        </w:tc>
        <w:tc>
          <w:tcPr>
            <w:tcW w:w="1244" w:type="pct"/>
            <w:tcBorders>
              <w:top w:val="single" w:color="auto" w:sz="6" w:space="0"/>
              <w:left w:val="single" w:color="auto" w:sz="6" w:space="0"/>
              <w:right w:val="single" w:color="auto" w:sz="6" w:space="0"/>
            </w:tcBorders>
            <w:vAlign w:val="center"/>
          </w:tcPr>
          <w:p w14:paraId="2D680998">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color w:val="000000"/>
                <w:sz w:val="21"/>
                <w:szCs w:val="21"/>
              </w:rPr>
            </w:pPr>
          </w:p>
        </w:tc>
        <w:tc>
          <w:tcPr>
            <w:tcW w:w="1151" w:type="pct"/>
            <w:tcBorders>
              <w:top w:val="single" w:color="auto" w:sz="6" w:space="0"/>
              <w:left w:val="single" w:color="auto" w:sz="6" w:space="0"/>
              <w:right w:val="single" w:color="auto" w:sz="6" w:space="0"/>
            </w:tcBorders>
          </w:tcPr>
          <w:p w14:paraId="1C544CBC">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mc:AlternateContent>
                <mc:Choice Requires="wps">
                  <w:drawing>
                    <wp:anchor distT="0" distB="0" distL="113665" distR="113665" simplePos="0" relativeHeight="251659264" behindDoc="0" locked="0" layoutInCell="1" allowOverlap="1">
                      <wp:simplePos x="0" y="0"/>
                      <wp:positionH relativeFrom="column">
                        <wp:posOffset>-59690</wp:posOffset>
                      </wp:positionH>
                      <wp:positionV relativeFrom="paragraph">
                        <wp:posOffset>111760</wp:posOffset>
                      </wp:positionV>
                      <wp:extent cx="1228725" cy="9525"/>
                      <wp:effectExtent l="0" t="0" r="0" b="0"/>
                      <wp:wrapNone/>
                      <wp:docPr id="138" name="直接连接符 39"/>
                      <wp:cNvGraphicFramePr/>
                      <a:graphic xmlns:a="http://schemas.openxmlformats.org/drawingml/2006/main">
                        <a:graphicData uri="http://schemas.microsoft.com/office/word/2010/wordprocessingShape">
                          <wps:wsp>
                            <wps:cNvCnPr/>
                            <wps:spPr>
                              <a:xfrm>
                                <a:off x="0" y="0"/>
                                <a:ext cx="1228724" cy="9525"/>
                              </a:xfrm>
                              <a:prstGeom prst="line">
                                <a:avLst/>
                              </a:prstGeom>
                              <a:noFill/>
                              <a:ln w="38100" cap="flat"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39" o:spid="_x0000_s1026" o:spt="20" style="position:absolute;left:0pt;margin-left:-4.7pt;margin-top:8.8pt;height:0.75pt;width:96.75pt;z-index:251659264;mso-width-relative:page;mso-height-relative:page;" filled="f" stroked="t" coordsize="21600,21600" o:gfxdata="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rLUG&#10;AdQAAAAIAQAADwAAAAAAAAABACAAAAAiAAAAZHJzL2Rvd25yZXYueG1sUEsBAhQAFAAAAAgAh07i&#10;QH88M7wmAgAALQQAAA4AAAAAAAAAAQAgAAAAIwEAAGRycy9lMm9Eb2MueG1sUEsFBgAAAAAGAAYA&#10;WQEAALsFAAAAAA==&#10;">
                      <v:fill on="f" focussize="0,0"/>
                      <v:stroke weight="3pt" color="#000000" joinstyle="round"/>
                      <v:imagedata o:title=""/>
                      <o:lock v:ext="edit" aspectratio="f"/>
                    </v:line>
                  </w:pict>
                </mc:Fallback>
              </mc:AlternateContent>
            </w:r>
          </w:p>
        </w:tc>
        <w:tc>
          <w:tcPr>
            <w:tcW w:w="1251" w:type="pct"/>
            <w:vAlign w:val="center"/>
          </w:tcPr>
          <w:p w14:paraId="2FCC7716">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color w:val="000000"/>
                <w:sz w:val="21"/>
                <w:szCs w:val="21"/>
              </w:rPr>
            </w:pPr>
          </w:p>
        </w:tc>
      </w:tr>
      <w:tr w14:paraId="283F74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55" w:type="pct"/>
            <w:vAlign w:val="center"/>
          </w:tcPr>
          <w:p w14:paraId="64E68243">
            <w:pPr>
              <w:pageBreakBefore w:val="0"/>
              <w:widowControl w:val="0"/>
              <w:kinsoku/>
              <w:overflowPunct/>
              <w:topLinePunct w:val="0"/>
              <w:autoSpaceDE/>
              <w:autoSpaceDN/>
              <w:bidi w:val="0"/>
              <w:spacing w:line="576" w:lineRule="exact"/>
              <w:ind w:right="-84" w:rightChars="-30" w:firstLine="0" w:firstLineChars="0"/>
              <w:jc w:val="center"/>
              <w:rPr>
                <w:rFonts w:ascii="Times New Roman" w:hAnsi="Times New Roman" w:cs="Times New Roman"/>
                <w:color w:val="000000"/>
                <w:sz w:val="21"/>
                <w:szCs w:val="21"/>
              </w:rPr>
            </w:pPr>
            <w:r>
              <w:rPr>
                <w:rFonts w:ascii="Times New Roman" w:hAnsi="Times New Roman" w:eastAsia="仿宋_GB2312" w:cs="Times New Roman"/>
                <w:color w:val="000000"/>
                <w:sz w:val="21"/>
                <w:szCs w:val="21"/>
              </w:rPr>
              <w:t>项目验收</w:t>
            </w:r>
          </w:p>
        </w:tc>
        <w:tc>
          <w:tcPr>
            <w:tcW w:w="1244" w:type="pct"/>
            <w:tcBorders>
              <w:top w:val="single" w:color="auto" w:sz="6" w:space="0"/>
              <w:left w:val="single" w:color="auto" w:sz="6" w:space="0"/>
              <w:right w:val="single" w:color="auto" w:sz="6" w:space="0"/>
            </w:tcBorders>
            <w:vAlign w:val="center"/>
          </w:tcPr>
          <w:p w14:paraId="042093E7">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color w:val="000000"/>
                <w:sz w:val="21"/>
                <w:szCs w:val="21"/>
              </w:rPr>
            </w:pPr>
          </w:p>
        </w:tc>
        <w:tc>
          <w:tcPr>
            <w:tcW w:w="1151" w:type="pct"/>
            <w:tcBorders>
              <w:top w:val="single" w:color="auto" w:sz="6" w:space="0"/>
              <w:left w:val="single" w:color="auto" w:sz="6" w:space="0"/>
              <w:right w:val="single" w:color="auto" w:sz="6" w:space="0"/>
            </w:tcBorders>
          </w:tcPr>
          <w:p w14:paraId="75870A7A">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color w:val="000000"/>
                <w:sz w:val="21"/>
                <w:szCs w:val="21"/>
              </w:rPr>
            </w:pPr>
          </w:p>
        </w:tc>
        <w:tc>
          <w:tcPr>
            <w:tcW w:w="1251" w:type="pct"/>
            <w:vAlign w:val="center"/>
          </w:tcPr>
          <w:p w14:paraId="7E1A2F40">
            <w:pPr>
              <w:pageBreakBefore w:val="0"/>
              <w:widowControl w:val="0"/>
              <w:kinsoku/>
              <w:overflowPunct/>
              <w:topLinePunct w:val="0"/>
              <w:autoSpaceDE/>
              <w:autoSpaceDN/>
              <w:bidi w:val="0"/>
              <w:spacing w:line="576" w:lineRule="exact"/>
              <w:ind w:left="-84" w:leftChars="-30" w:right="-84" w:rightChars="-30" w:firstLine="0" w:firstLineChars="0"/>
              <w:jc w:val="center"/>
              <w:rPr>
                <w:rFonts w:ascii="Times New Roman" w:hAnsi="Times New Roman" w:cs="Times New Roman"/>
                <w:color w:val="000000"/>
                <w:sz w:val="21"/>
                <w:szCs w:val="21"/>
              </w:rPr>
            </w:pPr>
            <w:r>
              <w:rPr>
                <w:rFonts w:ascii="Times New Roman" w:hAnsi="Times New Roman" w:cs="Times New Roman"/>
                <w:color w:val="000000"/>
                <w:sz w:val="21"/>
                <w:szCs w:val="21"/>
              </w:rPr>
              <mc:AlternateContent>
                <mc:Choice Requires="wps">
                  <w:drawing>
                    <wp:anchor distT="0" distB="0" distL="113665" distR="113665" simplePos="0" relativeHeight="251659264" behindDoc="0" locked="0" layoutInCell="1" allowOverlap="1">
                      <wp:simplePos x="0" y="0"/>
                      <wp:positionH relativeFrom="column">
                        <wp:posOffset>-59690</wp:posOffset>
                      </wp:positionH>
                      <wp:positionV relativeFrom="paragraph">
                        <wp:posOffset>82550</wp:posOffset>
                      </wp:positionV>
                      <wp:extent cx="1309370" cy="19050"/>
                      <wp:effectExtent l="0" t="0" r="0" b="0"/>
                      <wp:wrapNone/>
                      <wp:docPr id="140" name="直接连接符 24"/>
                      <wp:cNvGraphicFramePr/>
                      <a:graphic xmlns:a="http://schemas.openxmlformats.org/drawingml/2006/main">
                        <a:graphicData uri="http://schemas.microsoft.com/office/word/2010/wordprocessingShape">
                          <wps:wsp>
                            <wps:cNvCnPr/>
                            <wps:spPr>
                              <a:xfrm rot="21600000" flipV="1">
                                <a:off x="0" y="0"/>
                                <a:ext cx="1309369" cy="19050"/>
                              </a:xfrm>
                              <a:prstGeom prst="line">
                                <a:avLst/>
                              </a:prstGeom>
                              <a:noFill/>
                              <a:ln w="38100" cap="flat"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24" o:spid="_x0000_s1026" o:spt="20" style="position:absolute;left:0pt;flip:y;margin-left:-4.7pt;margin-top:6.5pt;height:1.5pt;width:103.1pt;z-index:251659264;mso-width-relative:page;mso-height-relative:page;" filled="f" stroked="t" coordsize="21600,21600" o:gfxdata="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URYme1QAAAAgBAAAPAAAAAAAAAAEAIAAAACIAAABkcnMvZG93bnJldi54&#10;bWxQSwECFAAUAAAACACHTuJAEY1vnTYCAABHBAAADgAAAAAAAAABACAAAAAkAQAAZHJzL2Uyb0Rv&#10;Yy54bWxQSwUGAAAAAAYABgBZAQAAzAUAAAAA&#10;">
                      <v:fill on="f" focussize="0,0"/>
                      <v:stroke weight="3pt" color="#000000" joinstyle="round"/>
                      <v:imagedata o:title=""/>
                      <o:lock v:ext="edit" aspectratio="f"/>
                    </v:line>
                  </w:pict>
                </mc:Fallback>
              </mc:AlternateContent>
            </w:r>
          </w:p>
        </w:tc>
      </w:tr>
    </w:tbl>
    <w:p w14:paraId="1E256A4E">
      <w:pPr>
        <w:jc w:val="left"/>
        <w:rPr>
          <w:lang w:val="en-US" w:eastAsia="zh-CN"/>
        </w:rPr>
      </w:pPr>
      <w:r>
        <w:rPr>
          <w:rFonts w:hint="eastAsia"/>
          <w:lang w:val="en-US" w:eastAsia="zh-CN"/>
        </w:rPr>
        <w:t>单套水肥精准滴灌工程施工工期在40天左右，具体进度计划如下表4-2所示。辐射区提灌工程施工工期在15天左右，具体进度计划如下表4-3所示。</w:t>
      </w:r>
    </w:p>
    <w:p w14:paraId="7CBE1275">
      <w:pPr>
        <w:jc w:val="left"/>
        <w:rPr>
          <w:rFonts w:hint="eastAsia"/>
          <w:lang w:val="en-US" w:eastAsia="zh-CN"/>
        </w:rPr>
      </w:pPr>
    </w:p>
    <w:p w14:paraId="44C6C249">
      <w:pPr>
        <w:jc w:val="left"/>
        <w:rPr>
          <w:lang w:val="en-US" w:eastAsia="zh-CN"/>
        </w:rPr>
        <w:sectPr>
          <w:pgSz w:w="11906" w:h="16838"/>
          <w:pgMar w:top="1440" w:right="1800" w:bottom="1440" w:left="1800" w:header="851" w:footer="992" w:gutter="0"/>
          <w:cols w:space="425" w:num="1"/>
          <w:docGrid w:type="lines" w:linePitch="312" w:charSpace="0"/>
        </w:sectPr>
      </w:pPr>
    </w:p>
    <w:p w14:paraId="47E83069">
      <w:pPr>
        <w:jc w:val="center"/>
        <w:rPr>
          <w:lang w:val="en-US" w:eastAsia="zh-CN"/>
        </w:rPr>
      </w:pPr>
      <w:r>
        <w:rPr>
          <w:rFonts w:hint="eastAsia"/>
          <w:lang w:val="en-US" w:eastAsia="zh-CN"/>
        </w:rPr>
        <w:t>表4-2  核心区工程施工进度计划表</w:t>
      </w:r>
    </w:p>
    <w:tbl>
      <w:tblPr>
        <w:tblStyle w:val="21"/>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24"/>
        <w:gridCol w:w="924"/>
        <w:gridCol w:w="924"/>
        <w:gridCol w:w="1124"/>
        <w:gridCol w:w="1223"/>
        <w:gridCol w:w="1323"/>
        <w:gridCol w:w="1323"/>
        <w:gridCol w:w="1323"/>
        <w:gridCol w:w="1323"/>
        <w:gridCol w:w="1323"/>
        <w:gridCol w:w="1323"/>
        <w:gridCol w:w="1024"/>
      </w:tblGrid>
      <w:tr w14:paraId="7F204E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0" w:hRule="atLeast"/>
        </w:trPr>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F9E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序号</w:t>
            </w:r>
          </w:p>
        </w:tc>
        <w:tc>
          <w:tcPr>
            <w:tcW w:w="184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6976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建设内容/工期安排</w:t>
            </w:r>
          </w:p>
        </w:tc>
        <w:tc>
          <w:tcPr>
            <w:tcW w:w="11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853C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1-5d</w:t>
            </w:r>
          </w:p>
        </w:tc>
        <w:tc>
          <w:tcPr>
            <w:tcW w:w="1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EFD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6-10d</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F03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11-15d</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5F4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16-20d</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364A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21-25d</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CC1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26-30d</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1AC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31-35d</w: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1F3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36-40d</w:t>
            </w:r>
          </w:p>
        </w:tc>
        <w:tc>
          <w:tcPr>
            <w:tcW w:w="10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E7A6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备注</w:t>
            </w:r>
          </w:p>
        </w:tc>
      </w:tr>
      <w:tr w14:paraId="2B7040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8779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33BE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土建工程</w:t>
            </w:r>
          </w:p>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D48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泵房</w:t>
            </w:r>
          </w:p>
        </w:tc>
        <w:tc>
          <w:tcPr>
            <w:tcW w:w="11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5E512">
            <w:pPr>
              <w:jc w:val="center"/>
              <w:rPr>
                <w:rFonts w:hint="eastAsia" w:ascii="宋体" w:hAnsi="宋体" w:eastAsia="宋体" w:cs="宋体"/>
                <w:i w:val="0"/>
                <w:iCs w:val="0"/>
                <w:color w:val="000000"/>
                <w:sz w:val="22"/>
                <w:szCs w:val="22"/>
                <w:u w:val="none"/>
              </w:rPr>
            </w:pPr>
          </w:p>
        </w:tc>
        <w:tc>
          <w:tcPr>
            <w:tcW w:w="1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1199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-20955</wp:posOffset>
                      </wp:positionH>
                      <wp:positionV relativeFrom="paragraph">
                        <wp:posOffset>168275</wp:posOffset>
                      </wp:positionV>
                      <wp:extent cx="2381250" cy="23495"/>
                      <wp:effectExtent l="0" t="0" r="0" b="0"/>
                      <wp:wrapNone/>
                      <wp:docPr id="142" name="直接连接符 97"/>
                      <wp:cNvGraphicFramePr/>
                      <a:graphic xmlns:a="http://schemas.openxmlformats.org/drawingml/2006/main">
                        <a:graphicData uri="http://schemas.microsoft.com/office/word/2010/wordprocessingShape">
                          <wps:wsp>
                            <wps:cNvCnPr/>
                            <wps:spPr>
                              <a:xfrm>
                                <a:off x="0" y="0"/>
                                <a:ext cx="2381250" cy="23494"/>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97" o:spid="_x0000_s1026" o:spt="20" style="position:absolute;left:0pt;margin-left:-1.65pt;margin-top:13.25pt;height:1.85pt;width:187.5pt;z-index:251659264;mso-width-relative:page;mso-height-relative:page;" filled="f" stroked="t" coordsize="21600,21600" o:gfxdata="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fRaPJdkAAAAIAQAADwAAAAAAAAABACAAAAAiAAAAZHJzL2Rvd25yZXYueG1sUEsBAhQAFAAAAAgA&#10;h07iQN7uky4kAgAALQQAAA4AAAAAAAAAAQAgAAAAKAEAAGRycy9lMm9Eb2MueG1sUEsFBgAAAAAG&#10;AAYAWQEAAL4FAAAAAA==&#10;">
                      <v:fill on="f" focussize="0,0"/>
                      <v:stroke weight="2.5pt" color="#000000" joinstyle="round" endcap="round"/>
                      <v:imagedata o:title=""/>
                      <o:lock v:ext="edit" aspectratio="f"/>
                    </v:line>
                  </w:pict>
                </mc:Fallback>
              </mc:AlternateContent>
            </w: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59264" behindDoc="0" locked="0" layoutInCell="1" allowOverlap="1">
                  <wp:simplePos x="0" y="0"/>
                  <wp:positionH relativeFrom="column">
                    <wp:posOffset>323215</wp:posOffset>
                  </wp:positionH>
                  <wp:positionV relativeFrom="paragraph">
                    <wp:posOffset>304165</wp:posOffset>
                  </wp:positionV>
                  <wp:extent cx="2000250" cy="0"/>
                  <wp:effectExtent l="0" t="0" r="0" b="0"/>
                  <wp:wrapNone/>
                  <wp:docPr id="144" name="直接连接符_1"/>
                  <wp:cNvGraphicFramePr/>
                  <a:graphic xmlns:a="http://schemas.openxmlformats.org/drawingml/2006/main">
                    <a:graphicData uri="http://schemas.openxmlformats.org/drawingml/2006/picture">
                      <pic:pic xmlns:pic="http://schemas.openxmlformats.org/drawingml/2006/picture">
                        <pic:nvPicPr>
                          <pic:cNvPr id="144" name="直接连接符_1"/>
                          <pic:cNvPicPr/>
                        </pic:nvPicPr>
                        <pic:blipFill>
                          <a:blip r:embed="rId53"/>
                          <a:stretch>
                            <a:fillRect/>
                          </a:stretch>
                        </pic:blipFill>
                        <pic:spPr>
                          <a:xfrm>
                            <a:off x="0" y="0"/>
                            <a:ext cx="2000250" cy="0"/>
                          </a:xfrm>
                          <a:prstGeom prst="rect">
                            <a:avLst/>
                          </a:prstGeom>
                          <a:noFill/>
                          <a:ln w="9525" cap="flat" cmpd="sng">
                            <a:noFill/>
                            <a:prstDash val="solid"/>
                            <a:round/>
                          </a:ln>
                        </pic:spPr>
                      </pic:pic>
                    </a:graphicData>
                  </a:graphic>
                </wp:anchor>
              </w:drawing>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41D45">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00281">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4D4A8">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0099A">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1D82C">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F8D05">
            <w:pPr>
              <w:jc w:val="center"/>
              <w:rPr>
                <w:rFonts w:hint="eastAsia" w:ascii="宋体" w:hAnsi="宋体" w:eastAsia="宋体" w:cs="宋体"/>
                <w:i w:val="0"/>
                <w:iCs w:val="0"/>
                <w:color w:val="000000"/>
                <w:sz w:val="22"/>
                <w:szCs w:val="22"/>
                <w:u w:val="none"/>
              </w:rPr>
            </w:pPr>
          </w:p>
        </w:tc>
        <w:tc>
          <w:tcPr>
            <w:tcW w:w="10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AC8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15d</w:t>
            </w:r>
          </w:p>
        </w:tc>
      </w:tr>
      <w:tr w14:paraId="1C8DF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92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1B06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92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9374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首部系统</w:t>
            </w:r>
          </w:p>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4F5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设备安装工程</w:t>
            </w:r>
          </w:p>
        </w:tc>
        <w:tc>
          <w:tcPr>
            <w:tcW w:w="11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11B29">
            <w:pPr>
              <w:jc w:val="center"/>
              <w:rPr>
                <w:rFonts w:hint="eastAsia" w:ascii="宋体" w:hAnsi="宋体" w:eastAsia="宋体" w:cs="宋体"/>
                <w:i w:val="0"/>
                <w:iCs w:val="0"/>
                <w:color w:val="000000"/>
                <w:sz w:val="22"/>
                <w:szCs w:val="22"/>
                <w:u w:val="none"/>
              </w:rPr>
            </w:pPr>
          </w:p>
        </w:tc>
        <w:tc>
          <w:tcPr>
            <w:tcW w:w="1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1F647">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DA558">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9A9CD">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F9028">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D3F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-39370</wp:posOffset>
                      </wp:positionH>
                      <wp:positionV relativeFrom="paragraph">
                        <wp:posOffset>180340</wp:posOffset>
                      </wp:positionV>
                      <wp:extent cx="1301750" cy="15875"/>
                      <wp:effectExtent l="0" t="0" r="0" b="0"/>
                      <wp:wrapNone/>
                      <wp:docPr id="147" name="直接连接符 95"/>
                      <wp:cNvGraphicFramePr/>
                      <a:graphic xmlns:a="http://schemas.openxmlformats.org/drawingml/2006/main">
                        <a:graphicData uri="http://schemas.microsoft.com/office/word/2010/wordprocessingShape">
                          <wps:wsp>
                            <wps:cNvCnPr/>
                            <wps:spPr>
                              <a:xfrm>
                                <a:off x="0" y="0"/>
                                <a:ext cx="1301750" cy="15874"/>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95" o:spid="_x0000_s1026" o:spt="20" style="position:absolute;left:0pt;margin-left:-3.1pt;margin-top:14.2pt;height:1.25pt;width:102.5pt;z-index:251659264;mso-width-relative:page;mso-height-relative:page;" filled="f" stroked="t" coordsize="21600,21600" o:gfxdata="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Vn&#10;KEPYAAAACAEAAA8AAAAAAAAAAQAgAAAAIgAAAGRycy9kb3ducmV2LnhtbFBLAQIUABQAAAAIAIdO&#10;4kA5hItyIwIAAC0EAAAOAAAAAAAAAAEAIAAAACcBAABkcnMvZTJvRG9jLnhtbFBLBQYAAAAABgAG&#10;AFkBAAC8BQAAAAA=&#10;">
                      <v:fill on="f" focussize="0,0"/>
                      <v:stroke weight="2.5pt" color="#000000" joinstyle="round" endcap="round"/>
                      <v:imagedata o:title=""/>
                      <o:lock v:ext="edit" aspectratio="f"/>
                    </v:line>
                  </w:pict>
                </mc:Fallback>
              </mc:AlternateConten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CBB63">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3A504">
            <w:pPr>
              <w:jc w:val="center"/>
              <w:rPr>
                <w:rFonts w:hint="eastAsia" w:ascii="宋体" w:hAnsi="宋体" w:eastAsia="宋体" w:cs="宋体"/>
                <w:i w:val="0"/>
                <w:iCs w:val="0"/>
                <w:color w:val="000000"/>
                <w:sz w:val="22"/>
                <w:szCs w:val="22"/>
                <w:u w:val="none"/>
              </w:rPr>
            </w:pPr>
          </w:p>
        </w:tc>
        <w:tc>
          <w:tcPr>
            <w:tcW w:w="10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9BA4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8d</w:t>
            </w:r>
          </w:p>
        </w:tc>
      </w:tr>
      <w:tr w14:paraId="54A3E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92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3F6D52"/>
        </w:tc>
        <w:tc>
          <w:tcPr>
            <w:tcW w:w="92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1DD555"/>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7E0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弱电工程（含田间电磁阀线路）</w:t>
            </w:r>
          </w:p>
        </w:tc>
        <w:tc>
          <w:tcPr>
            <w:tcW w:w="11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006FF">
            <w:pPr>
              <w:jc w:val="center"/>
              <w:rPr>
                <w:rFonts w:hint="eastAsia" w:ascii="宋体" w:hAnsi="宋体" w:eastAsia="宋体" w:cs="宋体"/>
                <w:i w:val="0"/>
                <w:iCs w:val="0"/>
                <w:color w:val="000000"/>
                <w:sz w:val="22"/>
                <w:szCs w:val="22"/>
                <w:u w:val="none"/>
              </w:rPr>
            </w:pPr>
          </w:p>
        </w:tc>
        <w:tc>
          <w:tcPr>
            <w:tcW w:w="1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252C8">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602BB">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228C5">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B83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-48895</wp:posOffset>
                      </wp:positionH>
                      <wp:positionV relativeFrom="paragraph">
                        <wp:posOffset>362585</wp:posOffset>
                      </wp:positionV>
                      <wp:extent cx="2500630" cy="24130"/>
                      <wp:effectExtent l="0" t="0" r="0" b="0"/>
                      <wp:wrapNone/>
                      <wp:docPr id="149" name="直接连接符 94"/>
                      <wp:cNvGraphicFramePr/>
                      <a:graphic xmlns:a="http://schemas.openxmlformats.org/drawingml/2006/main">
                        <a:graphicData uri="http://schemas.microsoft.com/office/word/2010/wordprocessingShape">
                          <wps:wsp>
                            <wps:cNvCnPr/>
                            <wps:spPr>
                              <a:xfrm>
                                <a:off x="0" y="0"/>
                                <a:ext cx="2500630" cy="24129"/>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94" o:spid="_x0000_s1026" o:spt="20" style="position:absolute;left:0pt;margin-left:-3.85pt;margin-top:28.55pt;height:1.9pt;width:196.9pt;z-index:251659264;mso-width-relative:page;mso-height-relative:page;" filled="f" stroked="t" coordsize="21600,21600" o:gfxdata="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IJAiA9kAAAAIAQAADwAAAAAAAAABACAAAAAiAAAAZHJzL2Rvd25yZXYueG1sUEsBAhQAFAAAAAgA&#10;h07iQKjuUCMkAgAALQQAAA4AAAAAAAAAAQAgAAAAKAEAAGRycy9lMm9Eb2MueG1sUEsFBgAAAAAG&#10;AAYAWQEAAL4FAAAAAA==&#10;">
                      <v:fill on="f" focussize="0,0"/>
                      <v:stroke weight="2.5pt" color="#000000" joinstyle="round" endcap="round"/>
                      <v:imagedata o:title=""/>
                      <o:lock v:ext="edit" aspectratio="f"/>
                    </v:line>
                  </w:pict>
                </mc:Fallback>
              </mc:AlternateConten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85C3A">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7F5B2">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FA590">
            <w:pPr>
              <w:jc w:val="center"/>
              <w:rPr>
                <w:rFonts w:hint="eastAsia" w:ascii="宋体" w:hAnsi="宋体" w:eastAsia="宋体" w:cs="宋体"/>
                <w:i w:val="0"/>
                <w:iCs w:val="0"/>
                <w:color w:val="000000"/>
                <w:sz w:val="22"/>
                <w:szCs w:val="22"/>
                <w:u w:val="none"/>
              </w:rPr>
            </w:pPr>
          </w:p>
        </w:tc>
        <w:tc>
          <w:tcPr>
            <w:tcW w:w="10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C52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15d</w:t>
            </w:r>
          </w:p>
        </w:tc>
      </w:tr>
      <w:tr w14:paraId="562A51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92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3A3952"/>
        </w:tc>
        <w:tc>
          <w:tcPr>
            <w:tcW w:w="92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D252BC"/>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E8A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设备调试运行</w:t>
            </w:r>
          </w:p>
        </w:tc>
        <w:tc>
          <w:tcPr>
            <w:tcW w:w="11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16E9B">
            <w:pPr>
              <w:jc w:val="center"/>
              <w:rPr>
                <w:rFonts w:hint="eastAsia" w:ascii="宋体" w:hAnsi="宋体" w:eastAsia="宋体" w:cs="宋体"/>
                <w:i w:val="0"/>
                <w:iCs w:val="0"/>
                <w:color w:val="000000"/>
                <w:sz w:val="22"/>
                <w:szCs w:val="22"/>
                <w:u w:val="none"/>
              </w:rPr>
            </w:pPr>
          </w:p>
        </w:tc>
        <w:tc>
          <w:tcPr>
            <w:tcW w:w="1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FABC8">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849DD">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ACE7A">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036D8">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BADD6B">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209B7">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424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-21590</wp:posOffset>
                      </wp:positionH>
                      <wp:positionV relativeFrom="paragraph">
                        <wp:posOffset>173990</wp:posOffset>
                      </wp:positionV>
                      <wp:extent cx="587375" cy="635"/>
                      <wp:effectExtent l="0" t="0" r="0" b="0"/>
                      <wp:wrapNone/>
                      <wp:docPr id="151" name="直接连接符 93"/>
                      <wp:cNvGraphicFramePr/>
                      <a:graphic xmlns:a="http://schemas.openxmlformats.org/drawingml/2006/main">
                        <a:graphicData uri="http://schemas.microsoft.com/office/word/2010/wordprocessingShape">
                          <wps:wsp>
                            <wps:cNvCnPr/>
                            <wps:spPr>
                              <a:xfrm>
                                <a:off x="0" y="0"/>
                                <a:ext cx="587375" cy="952"/>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93" o:spid="_x0000_s1026" o:spt="20" style="position:absolute;left:0pt;margin-left:-1.7pt;margin-top:13.7pt;height:0.05pt;width:46.25pt;z-index:251659264;mso-width-relative:page;mso-height-relative:page;" filled="f" stroked="t" coordsize="21600,21600" o:gfxdata="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8X&#10;im7XAAAABwEAAA8AAAAAAAAAAQAgAAAAIgAAAGRycy9kb3ducmV2LnhtbFBLAQIUABQAAAAIAIdO&#10;4kBRBXMXJAIAACoEAAAOAAAAAAAAAAEAIAAAACYBAABkcnMvZTJvRG9jLnhtbFBLBQYAAAAABgAG&#10;AFkBAAC8BQAAAAA=&#10;">
                      <v:fill on="f" focussize="0,0"/>
                      <v:stroke weight="2.5pt" color="#000000" joinstyle="round" endcap="round"/>
                      <v:imagedata o:title=""/>
                      <o:lock v:ext="edit" aspectratio="f"/>
                    </v:line>
                  </w:pict>
                </mc:Fallback>
              </mc:AlternateContent>
            </w: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59264" behindDoc="0" locked="0" layoutInCell="1" allowOverlap="1">
                  <wp:simplePos x="0" y="0"/>
                  <wp:positionH relativeFrom="column">
                    <wp:posOffset>27940</wp:posOffset>
                  </wp:positionH>
                  <wp:positionV relativeFrom="paragraph">
                    <wp:posOffset>275590</wp:posOffset>
                  </wp:positionV>
                  <wp:extent cx="447675" cy="0"/>
                  <wp:effectExtent l="0" t="0" r="0" b="0"/>
                  <wp:wrapNone/>
                  <wp:docPr id="153" name="直接连接符_5"/>
                  <wp:cNvGraphicFramePr/>
                  <a:graphic xmlns:a="http://schemas.openxmlformats.org/drawingml/2006/main">
                    <a:graphicData uri="http://schemas.openxmlformats.org/drawingml/2006/picture">
                      <pic:pic xmlns:pic="http://schemas.openxmlformats.org/drawingml/2006/picture">
                        <pic:nvPicPr>
                          <pic:cNvPr id="153" name="直接连接符_5"/>
                          <pic:cNvPicPr/>
                        </pic:nvPicPr>
                        <pic:blipFill>
                          <a:blip r:embed="rId54"/>
                          <a:stretch>
                            <a:fillRect/>
                          </a:stretch>
                        </pic:blipFill>
                        <pic:spPr>
                          <a:xfrm>
                            <a:off x="0" y="0"/>
                            <a:ext cx="447675" cy="0"/>
                          </a:xfrm>
                          <a:prstGeom prst="rect">
                            <a:avLst/>
                          </a:prstGeom>
                          <a:noFill/>
                          <a:ln w="9525" cap="flat" cmpd="sng">
                            <a:noFill/>
                            <a:prstDash val="solid"/>
                            <a:round/>
                          </a:ln>
                        </pic:spPr>
                      </pic:pic>
                    </a:graphicData>
                  </a:graphic>
                </wp:anchor>
              </w:drawing>
            </w:r>
          </w:p>
        </w:tc>
        <w:tc>
          <w:tcPr>
            <w:tcW w:w="10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FB1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4d</w:t>
            </w:r>
          </w:p>
        </w:tc>
      </w:tr>
      <w:tr w14:paraId="766AB1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92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DFB3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924" w:type="dxa"/>
            <w:vMerge w:val="restart"/>
            <w:tcBorders>
              <w:top w:val="single" w:color="000000" w:sz="4" w:space="0"/>
              <w:left w:val="single" w:color="000000" w:sz="4" w:space="0"/>
              <w:bottom w:val="nil"/>
              <w:right w:val="single" w:color="000000" w:sz="4" w:space="0"/>
            </w:tcBorders>
            <w:shd w:val="clear" w:color="auto" w:fill="auto"/>
            <w:vAlign w:val="center"/>
          </w:tcPr>
          <w:p w14:paraId="0655E7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田间管网工程</w:t>
            </w:r>
          </w:p>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16EB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主管（含阀门件）</w:t>
            </w:r>
          </w:p>
        </w:tc>
        <w:tc>
          <w:tcPr>
            <w:tcW w:w="11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9EF5D">
            <w:pPr>
              <w:jc w:val="center"/>
              <w:rPr>
                <w:rFonts w:hint="eastAsia" w:ascii="宋体" w:hAnsi="宋体" w:eastAsia="宋体" w:cs="宋体"/>
                <w:i w:val="0"/>
                <w:iCs w:val="0"/>
                <w:color w:val="000000"/>
                <w:sz w:val="22"/>
                <w:szCs w:val="22"/>
                <w:u w:val="none"/>
              </w:rPr>
            </w:pPr>
          </w:p>
        </w:tc>
        <w:tc>
          <w:tcPr>
            <w:tcW w:w="1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41F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-60325</wp:posOffset>
                      </wp:positionH>
                      <wp:positionV relativeFrom="paragraph">
                        <wp:posOffset>165735</wp:posOffset>
                      </wp:positionV>
                      <wp:extent cx="1245870" cy="1270"/>
                      <wp:effectExtent l="0" t="0" r="0" b="0"/>
                      <wp:wrapNone/>
                      <wp:docPr id="156" name="直接连接符 92"/>
                      <wp:cNvGraphicFramePr/>
                      <a:graphic xmlns:a="http://schemas.openxmlformats.org/drawingml/2006/main">
                        <a:graphicData uri="http://schemas.microsoft.com/office/word/2010/wordprocessingShape">
                          <wps:wsp>
                            <wps:cNvCnPr/>
                            <wps:spPr>
                              <a:xfrm rot="21600000" flipV="1">
                                <a:off x="0" y="0"/>
                                <a:ext cx="1245870" cy="1269"/>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92" o:spid="_x0000_s1026" o:spt="20" style="position:absolute;left:0pt;flip:y;margin-left:-4.75pt;margin-top:13.05pt;height:0.1pt;width:98.1pt;z-index:251659264;mso-width-relative:page;mso-height-relative:page;" filled="f" stroked="t" coordsize="21600,21600" o:gfxdata="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I+f83ZAAAACAEAAA8AAAAAAAAAAQAgAAAAIgAAAGRycy9kb3ducmV2&#10;LnhtbFBLAQIUABQAAAAIAIdO4kAce2wTNAIAAEUEAAAOAAAAAAAAAAEAIAAAACgBAABkcnMvZTJv&#10;RG9jLnhtbFBLBQYAAAAABgAGAFkBAADOBQAAAAA=&#10;">
                      <v:fill on="f" focussize="0,0"/>
                      <v:stroke weight="2.5pt" color="#000000" joinstyle="round" endcap="round"/>
                      <v:imagedata o:title=""/>
                      <o:lock v:ext="edit" aspectratio="f"/>
                    </v:line>
                  </w:pict>
                </mc:Fallback>
              </mc:AlternateConten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9B3E7">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2B342">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23202">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05440">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62018">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24402">
            <w:pPr>
              <w:jc w:val="center"/>
              <w:rPr>
                <w:rFonts w:hint="eastAsia" w:ascii="宋体" w:hAnsi="宋体" w:eastAsia="宋体" w:cs="宋体"/>
                <w:i w:val="0"/>
                <w:iCs w:val="0"/>
                <w:color w:val="000000"/>
                <w:sz w:val="22"/>
                <w:szCs w:val="22"/>
                <w:u w:val="none"/>
              </w:rPr>
            </w:pPr>
          </w:p>
        </w:tc>
        <w:tc>
          <w:tcPr>
            <w:tcW w:w="10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4E0B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7d</w:t>
            </w:r>
          </w:p>
        </w:tc>
      </w:tr>
      <w:tr w14:paraId="758690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92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51D9E1"/>
        </w:tc>
        <w:tc>
          <w:tcPr>
            <w:tcW w:w="924" w:type="dxa"/>
            <w:vMerge w:val="continue"/>
            <w:tcBorders>
              <w:top w:val="single" w:color="000000" w:sz="4" w:space="0"/>
              <w:left w:val="single" w:color="000000" w:sz="4" w:space="0"/>
              <w:bottom w:val="nil"/>
              <w:right w:val="single" w:color="000000" w:sz="4" w:space="0"/>
            </w:tcBorders>
            <w:shd w:val="clear" w:color="auto" w:fill="auto"/>
            <w:vAlign w:val="center"/>
          </w:tcPr>
          <w:p w14:paraId="0D87CB74"/>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EB2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支管（含阀门件）</w:t>
            </w:r>
          </w:p>
        </w:tc>
        <w:tc>
          <w:tcPr>
            <w:tcW w:w="11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970CD">
            <w:pPr>
              <w:jc w:val="center"/>
              <w:rPr>
                <w:rFonts w:hint="eastAsia" w:ascii="宋体" w:hAnsi="宋体" w:eastAsia="宋体" w:cs="宋体"/>
                <w:i w:val="0"/>
                <w:iCs w:val="0"/>
                <w:color w:val="000000"/>
                <w:sz w:val="22"/>
                <w:szCs w:val="22"/>
                <w:u w:val="none"/>
              </w:rPr>
            </w:pPr>
          </w:p>
        </w:tc>
        <w:tc>
          <w:tcPr>
            <w:tcW w:w="1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1903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359410</wp:posOffset>
                      </wp:positionH>
                      <wp:positionV relativeFrom="paragraph">
                        <wp:posOffset>190500</wp:posOffset>
                      </wp:positionV>
                      <wp:extent cx="1215390" cy="15240"/>
                      <wp:effectExtent l="0" t="0" r="0" b="0"/>
                      <wp:wrapNone/>
                      <wp:docPr id="158" name="直接连接符 91"/>
                      <wp:cNvGraphicFramePr/>
                      <a:graphic xmlns:a="http://schemas.openxmlformats.org/drawingml/2006/main">
                        <a:graphicData uri="http://schemas.microsoft.com/office/word/2010/wordprocessingShape">
                          <wps:wsp>
                            <wps:cNvCnPr/>
                            <wps:spPr>
                              <a:xfrm rot="21600000" flipV="1">
                                <a:off x="0" y="0"/>
                                <a:ext cx="1215389" cy="15240"/>
                              </a:xfrm>
                              <a:prstGeom prst="line">
                                <a:avLst/>
                              </a:prstGeom>
                              <a:noFill/>
                              <a:ln w="31750" cap="flat" cmpd="sng">
                                <a:gradFill rotWithShape="1">
                                  <a:gsLst>
                                    <a:gs pos="0">
                                      <a:srgbClr val="000000">
                                        <a:alpha val="100000"/>
                                      </a:srgbClr>
                                    </a:gs>
                                    <a:gs pos="100000">
                                      <a:srgbClr val="000000">
                                        <a:alpha val="100000"/>
                                      </a:srgbClr>
                                    </a:gs>
                                  </a:gsLst>
                                  <a:lin ang="0" scaled="1"/>
                                </a:gradFill>
                                <a:prstDash val="solid"/>
                                <a:round/>
                              </a:ln>
                            </wps:spPr>
                            <wps:bodyPr vert="horz" wrap="square" lIns="91440" tIns="45720" rIns="91440" bIns="45720" anchor="t" anchorCtr="0" upright="1">
                              <a:noAutofit/>
                            </wps:bodyPr>
                          </wps:wsp>
                        </a:graphicData>
                      </a:graphic>
                    </wp:anchor>
                  </w:drawing>
                </mc:Choice>
                <mc:Fallback>
                  <w:pict>
                    <v:line id="直接连接符 91" o:spid="_x0000_s1026" o:spt="20" style="position:absolute;left:0pt;flip:y;margin-left:28.3pt;margin-top:15pt;height:1.2pt;width:95.7pt;z-index:251659264;mso-width-relative:page;mso-height-relative:page;" filled="f" stroked="t" coordsize="21600,21600" o:gfxdata="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&#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iLaP2AAAAAgBAAAPAAAAAAAAAAEAIAAAACIAAABk&#10;cnMvZG93bnJldi54bWxQSwECFAAUAAAACACHTuJAIxYWY3gCAAAQBQAADgAAAAAAAAABACAAAAAn&#10;AQAAZHJzL2Uyb0RvYy54bWxQSwUGAAAAAAYABgBZAQAAEQYAAAAA&#10;">
                      <v:fill on="f" focussize="0,0"/>
                      <v:stroke weight="2.5pt" color="#000000" joinstyle="round"/>
                      <v:imagedata o:title=""/>
                      <o:lock v:ext="edit" aspectratio="f"/>
                    </v:line>
                  </w:pict>
                </mc:Fallback>
              </mc:AlternateContent>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F6116">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70406">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F195F">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8E654">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116F3">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44BE4">
            <w:pPr>
              <w:jc w:val="center"/>
              <w:rPr>
                <w:rFonts w:hint="eastAsia" w:ascii="宋体" w:hAnsi="宋体" w:eastAsia="宋体" w:cs="宋体"/>
                <w:i w:val="0"/>
                <w:iCs w:val="0"/>
                <w:color w:val="000000"/>
                <w:sz w:val="22"/>
                <w:szCs w:val="22"/>
                <w:u w:val="none"/>
              </w:rPr>
            </w:pPr>
          </w:p>
        </w:tc>
        <w:tc>
          <w:tcPr>
            <w:tcW w:w="10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531A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7d</w:t>
            </w:r>
          </w:p>
        </w:tc>
      </w:tr>
      <w:tr w14:paraId="4126E8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92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C92FC9"/>
        </w:tc>
        <w:tc>
          <w:tcPr>
            <w:tcW w:w="924" w:type="dxa"/>
            <w:vMerge w:val="continue"/>
            <w:tcBorders>
              <w:top w:val="single" w:color="000000" w:sz="4" w:space="0"/>
              <w:left w:val="single" w:color="000000" w:sz="4" w:space="0"/>
              <w:bottom w:val="nil"/>
              <w:right w:val="single" w:color="000000" w:sz="4" w:space="0"/>
            </w:tcBorders>
            <w:shd w:val="clear" w:color="auto" w:fill="auto"/>
            <w:vAlign w:val="center"/>
          </w:tcPr>
          <w:p w14:paraId="04B36D84"/>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090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分配管（含阀门件）</w:t>
            </w:r>
          </w:p>
        </w:tc>
        <w:tc>
          <w:tcPr>
            <w:tcW w:w="11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62391">
            <w:pPr>
              <w:jc w:val="center"/>
              <w:rPr>
                <w:rFonts w:hint="eastAsia" w:ascii="宋体" w:hAnsi="宋体" w:eastAsia="宋体" w:cs="宋体"/>
                <w:i w:val="0"/>
                <w:iCs w:val="0"/>
                <w:color w:val="000000"/>
                <w:sz w:val="22"/>
                <w:szCs w:val="22"/>
                <w:u w:val="none"/>
              </w:rPr>
            </w:pPr>
          </w:p>
        </w:tc>
        <w:tc>
          <w:tcPr>
            <w:tcW w:w="1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30D26">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755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328295</wp:posOffset>
                      </wp:positionH>
                      <wp:positionV relativeFrom="paragraph">
                        <wp:posOffset>198755</wp:posOffset>
                      </wp:positionV>
                      <wp:extent cx="2555875" cy="635"/>
                      <wp:effectExtent l="0" t="0" r="0" b="0"/>
                      <wp:wrapNone/>
                      <wp:docPr id="160" name="直接连接符 96"/>
                      <wp:cNvGraphicFramePr/>
                      <a:graphic xmlns:a="http://schemas.openxmlformats.org/drawingml/2006/main">
                        <a:graphicData uri="http://schemas.microsoft.com/office/word/2010/wordprocessingShape">
                          <wps:wsp>
                            <wps:cNvCnPr/>
                            <wps:spPr>
                              <a:xfrm>
                                <a:off x="0" y="0"/>
                                <a:ext cx="2555874" cy="952"/>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96" o:spid="_x0000_s1026" o:spt="20" style="position:absolute;left:0pt;margin-left:25.85pt;margin-top:15.65pt;height:0.05pt;width:201.25pt;z-index:251659264;mso-width-relative:page;mso-height-relative:page;" filled="f" stroked="t" coordsize="21600,21600" o:gfxdata="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i+DCO9kAAAAIAQAADwAAAAAAAAABACAAAAAiAAAAZHJzL2Rvd25yZXYueG1sUEsBAhQAFAAAAAgA&#10;h07iQCS1TLQkAgAAKwQAAA4AAAAAAAAAAQAgAAAAKAEAAGRycy9lMm9Eb2MueG1sUEsFBgAAAAAG&#10;AAYAWQEAAL4FAAAAAA==&#10;">
                      <v:fill on="f" focussize="0,0"/>
                      <v:stroke weight="2.5pt" color="#000000" joinstyle="round" endcap="round"/>
                      <v:imagedata o:title=""/>
                      <o:lock v:ext="edit" aspectratio="f"/>
                    </v:line>
                  </w:pict>
                </mc:Fallback>
              </mc:AlternateContent>
            </w: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59264" behindDoc="0" locked="0" layoutInCell="1" allowOverlap="1">
                  <wp:simplePos x="0" y="0"/>
                  <wp:positionH relativeFrom="column">
                    <wp:posOffset>8890</wp:posOffset>
                  </wp:positionH>
                  <wp:positionV relativeFrom="paragraph">
                    <wp:posOffset>275590</wp:posOffset>
                  </wp:positionV>
                  <wp:extent cx="1981200" cy="0"/>
                  <wp:effectExtent l="0" t="0" r="0" b="0"/>
                  <wp:wrapNone/>
                  <wp:docPr id="162" name="直接连接符_8"/>
                  <wp:cNvGraphicFramePr/>
                  <a:graphic xmlns:a="http://schemas.openxmlformats.org/drawingml/2006/main">
                    <a:graphicData uri="http://schemas.openxmlformats.org/drawingml/2006/picture">
                      <pic:pic xmlns:pic="http://schemas.openxmlformats.org/drawingml/2006/picture">
                        <pic:nvPicPr>
                          <pic:cNvPr id="162" name="直接连接符_8"/>
                          <pic:cNvPicPr/>
                        </pic:nvPicPr>
                        <pic:blipFill>
                          <a:blip r:embed="rId55"/>
                          <a:stretch>
                            <a:fillRect/>
                          </a:stretch>
                        </pic:blipFill>
                        <pic:spPr>
                          <a:xfrm>
                            <a:off x="0" y="0"/>
                            <a:ext cx="1981200" cy="0"/>
                          </a:xfrm>
                          <a:prstGeom prst="rect">
                            <a:avLst/>
                          </a:prstGeom>
                          <a:noFill/>
                          <a:ln w="9525" cap="flat" cmpd="sng">
                            <a:noFill/>
                            <a:prstDash val="solid"/>
                            <a:round/>
                          </a:ln>
                        </pic:spPr>
                      </pic:pic>
                    </a:graphicData>
                  </a:graphic>
                </wp:anchor>
              </w:drawing>
            </w: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15629">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F2344">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4A7EA">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30C11">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BCFB2">
            <w:pPr>
              <w:jc w:val="center"/>
              <w:rPr>
                <w:rFonts w:hint="eastAsia" w:ascii="宋体" w:hAnsi="宋体" w:eastAsia="宋体" w:cs="宋体"/>
                <w:i w:val="0"/>
                <w:iCs w:val="0"/>
                <w:color w:val="000000"/>
                <w:sz w:val="22"/>
                <w:szCs w:val="22"/>
                <w:u w:val="none"/>
              </w:rPr>
            </w:pPr>
          </w:p>
        </w:tc>
        <w:tc>
          <w:tcPr>
            <w:tcW w:w="10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411D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15d</w:t>
            </w:r>
          </w:p>
        </w:tc>
      </w:tr>
      <w:tr w14:paraId="2D1A47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1A4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165E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电力工程</w:t>
            </w:r>
          </w:p>
        </w:tc>
        <w:tc>
          <w:tcPr>
            <w:tcW w:w="9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80D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变压器施工</w:t>
            </w:r>
          </w:p>
        </w:tc>
        <w:tc>
          <w:tcPr>
            <w:tcW w:w="11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DE49F">
            <w:pPr>
              <w:keepNext w:val="0"/>
              <w:keepLines w:val="0"/>
              <w:widowControl/>
              <w:suppressLineNumbers w:val="0"/>
              <w:ind w:firstLine="440" w:firstLineChars="200"/>
              <w:jc w:val="center"/>
              <w:textAlignment w:val="center"/>
              <w:rPr>
                <w:rFonts w:hint="eastAsia" w:ascii="宋体" w:hAnsi="宋体" w:eastAsia="宋体" w:cs="宋体"/>
                <w:i w:val="0"/>
                <w:iCs w:val="0"/>
                <w:color w:val="000000"/>
                <w:kern w:val="2"/>
                <w:sz w:val="22"/>
                <w:szCs w:val="22"/>
                <w:u w:val="none"/>
                <w:lang w:val="en-US" w:eastAsia="zh-CN" w:bidi="ar-SA"/>
              </w:rPr>
            </w:pPr>
            <w:r>
              <w:rPr>
                <w:sz w:val="22"/>
              </w:rPr>
              <mc:AlternateContent>
                <mc:Choice Requires="wps">
                  <w:drawing>
                    <wp:anchor distT="0" distB="0" distL="113665" distR="113665" simplePos="0" relativeHeight="251659264" behindDoc="0" locked="0" layoutInCell="1" allowOverlap="1">
                      <wp:simplePos x="0" y="0"/>
                      <wp:positionH relativeFrom="column">
                        <wp:posOffset>-2540</wp:posOffset>
                      </wp:positionH>
                      <wp:positionV relativeFrom="paragraph">
                        <wp:posOffset>105410</wp:posOffset>
                      </wp:positionV>
                      <wp:extent cx="662940" cy="3175"/>
                      <wp:effectExtent l="0" t="0" r="0" b="0"/>
                      <wp:wrapNone/>
                      <wp:docPr id="165" name="直接连接符 90"/>
                      <wp:cNvGraphicFramePr/>
                      <a:graphic xmlns:a="http://schemas.openxmlformats.org/drawingml/2006/main">
                        <a:graphicData uri="http://schemas.microsoft.com/office/word/2010/wordprocessingShape">
                          <wps:wsp>
                            <wps:cNvCnPr/>
                            <wps:spPr>
                              <a:xfrm rot="21600000" flipV="1">
                                <a:off x="0" y="0"/>
                                <a:ext cx="662940" cy="3175"/>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90" o:spid="_x0000_s1026" o:spt="20" style="position:absolute;left:0pt;flip:y;margin-left:-0.2pt;margin-top:8.3pt;height:0.25pt;width:52.2pt;z-index:251659264;mso-width-relative:page;mso-height-relative:page;" filled="f" stroked="t" coordsize="21600,21600" o:gfxdata="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MHMyU1wAAAAcBAAAPAAAAAAAAAAEAIAAAACIAAABkcnMvZG93bnJldi54bWxQSwEC&#10;FAAUAAAACACHTuJAcCWRtC4CAABEBAAADgAAAAAAAAABACAAAAAmAQAAZHJzL2Uyb0RvYy54bWxQ&#10;SwUGAAAAAAYABgBZAQAAxgUAAAAA&#10;">
                      <v:fill on="f" focussize="0,0"/>
                      <v:stroke weight="2.5pt" color="#000000" joinstyle="round" endcap="round"/>
                      <v:imagedata o:title=""/>
                      <o:lock v:ext="edit" aspectratio="f"/>
                    </v:line>
                  </w:pict>
                </mc:Fallback>
              </mc:AlternateContent>
            </w: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59264" behindDoc="0" locked="0" layoutInCell="1" allowOverlap="1">
                  <wp:simplePos x="0" y="0"/>
                  <wp:positionH relativeFrom="column">
                    <wp:posOffset>8890</wp:posOffset>
                  </wp:positionH>
                  <wp:positionV relativeFrom="paragraph">
                    <wp:posOffset>256540</wp:posOffset>
                  </wp:positionV>
                  <wp:extent cx="361950" cy="0"/>
                  <wp:effectExtent l="0" t="0" r="0" b="0"/>
                  <wp:wrapNone/>
                  <wp:docPr id="167" name="直接连接符_10"/>
                  <wp:cNvGraphicFramePr/>
                  <a:graphic xmlns:a="http://schemas.openxmlformats.org/drawingml/2006/main">
                    <a:graphicData uri="http://schemas.openxmlformats.org/drawingml/2006/picture">
                      <pic:pic xmlns:pic="http://schemas.openxmlformats.org/drawingml/2006/picture">
                        <pic:nvPicPr>
                          <pic:cNvPr id="167" name="直接连接符_10"/>
                          <pic:cNvPicPr/>
                        </pic:nvPicPr>
                        <pic:blipFill>
                          <a:blip r:embed="rId56"/>
                          <a:stretch>
                            <a:fillRect/>
                          </a:stretch>
                        </pic:blipFill>
                        <pic:spPr>
                          <a:xfrm>
                            <a:off x="0" y="0"/>
                            <a:ext cx="361950" cy="0"/>
                          </a:xfrm>
                          <a:prstGeom prst="rect">
                            <a:avLst/>
                          </a:prstGeom>
                          <a:noFill/>
                          <a:ln w="9525" cap="flat" cmpd="sng">
                            <a:noFill/>
                            <a:prstDash val="solid"/>
                            <a:round/>
                          </a:ln>
                        </pic:spPr>
                      </pic:pic>
                    </a:graphicData>
                  </a:graphic>
                </wp:anchor>
              </w:drawing>
            </w:r>
          </w:p>
        </w:tc>
        <w:tc>
          <w:tcPr>
            <w:tcW w:w="12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6DEAB">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49D5A">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8B3A1">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BB953">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B1446">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9BACB">
            <w:pPr>
              <w:jc w:val="center"/>
              <w:rPr>
                <w:rFonts w:hint="eastAsia" w:ascii="宋体" w:hAnsi="宋体" w:eastAsia="宋体" w:cs="宋体"/>
                <w:i w:val="0"/>
                <w:iCs w:val="0"/>
                <w:color w:val="000000"/>
                <w:sz w:val="22"/>
                <w:szCs w:val="22"/>
                <w:u w:val="none"/>
              </w:rPr>
            </w:pPr>
          </w:p>
        </w:tc>
        <w:tc>
          <w:tcPr>
            <w:tcW w:w="13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4A64D">
            <w:pPr>
              <w:jc w:val="center"/>
              <w:rPr>
                <w:rFonts w:hint="eastAsia" w:ascii="宋体" w:hAnsi="宋体" w:eastAsia="宋体" w:cs="宋体"/>
                <w:i w:val="0"/>
                <w:iCs w:val="0"/>
                <w:color w:val="000000"/>
                <w:sz w:val="22"/>
                <w:szCs w:val="22"/>
                <w:u w:val="none"/>
              </w:rPr>
            </w:pPr>
          </w:p>
        </w:tc>
        <w:tc>
          <w:tcPr>
            <w:tcW w:w="10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FFFB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5d</w:t>
            </w:r>
          </w:p>
        </w:tc>
      </w:tr>
    </w:tbl>
    <w:p w14:paraId="6F66FF23">
      <w:pPr>
        <w:jc w:val="left"/>
        <w:rPr>
          <w:lang w:val="en-US" w:eastAsia="zh-CN"/>
        </w:rPr>
        <w:sectPr>
          <w:pgSz w:w="16838" w:h="11906" w:orient="landscape"/>
          <w:pgMar w:top="1800" w:right="1440" w:bottom="1800" w:left="1440" w:header="851" w:footer="992" w:gutter="0"/>
          <w:cols w:space="425" w:num="1"/>
          <w:docGrid w:type="lines" w:linePitch="312" w:charSpace="0"/>
        </w:sectPr>
      </w:pPr>
    </w:p>
    <w:p w14:paraId="75212748">
      <w:pPr>
        <w:jc w:val="center"/>
        <w:rPr>
          <w:lang w:val="en-US" w:eastAsia="zh-CN"/>
        </w:rPr>
      </w:pPr>
      <w:r>
        <w:rPr>
          <w:rFonts w:hint="eastAsia"/>
          <w:lang w:val="en-US" w:eastAsia="zh-CN"/>
        </w:rPr>
        <w:t>表4-3  辐射区工程施工进度计划表</w:t>
      </w:r>
    </w:p>
    <w:tbl>
      <w:tblPr>
        <w:tblStyle w:val="2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65"/>
        <w:gridCol w:w="1066"/>
        <w:gridCol w:w="1067"/>
        <w:gridCol w:w="1301"/>
        <w:gridCol w:w="1418"/>
        <w:gridCol w:w="1536"/>
        <w:gridCol w:w="1066"/>
      </w:tblGrid>
      <w:tr w14:paraId="6BFA27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312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序号</w:t>
            </w:r>
          </w:p>
        </w:tc>
        <w:tc>
          <w:tcPr>
            <w:tcW w:w="12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F9A41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建设内容/工期安排</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98BD4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1-5d</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BCC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6-10d</w: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B7A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11-15d</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BFAF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备注</w:t>
            </w:r>
          </w:p>
        </w:tc>
      </w:tr>
      <w:tr w14:paraId="21206F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FB9D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BB54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提灌工程</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4493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设备安装工程</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82ABD">
            <w:pPr>
              <w:jc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-46355</wp:posOffset>
                      </wp:positionH>
                      <wp:positionV relativeFrom="paragraph">
                        <wp:posOffset>167005</wp:posOffset>
                      </wp:positionV>
                      <wp:extent cx="1181100" cy="635"/>
                      <wp:effectExtent l="0" t="0" r="0" b="0"/>
                      <wp:wrapNone/>
                      <wp:docPr id="170" name="直接连接符 102"/>
                      <wp:cNvGraphicFramePr/>
                      <a:graphic xmlns:a="http://schemas.openxmlformats.org/drawingml/2006/main">
                        <a:graphicData uri="http://schemas.microsoft.com/office/word/2010/wordprocessingShape">
                          <wps:wsp>
                            <wps:cNvCnPr/>
                            <wps:spPr>
                              <a:xfrm>
                                <a:off x="0" y="0"/>
                                <a:ext cx="1181099" cy="952"/>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102" o:spid="_x0000_s1026" o:spt="20" style="position:absolute;left:0pt;margin-left:-3.65pt;margin-top:13.15pt;height:0.05pt;width:93pt;z-index:251659264;mso-width-relative:page;mso-height-relative:page;" filled="f" stroked="t" coordsize="21600,21600" o:gfxdata="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P&#10;jHr92AAAAAgBAAAPAAAAAAAAAAEAIAAAACIAAABkcnMvZG93bnJldi54bWxQSwECFAAUAAAACACH&#10;TuJAZStz6yQCAAAsBAAADgAAAAAAAAABACAAAAAnAQAAZHJzL2Uyb0RvYy54bWxQSwUGAAAAAAYA&#10;BgBZAQAAvQUAAAAA&#10;">
                      <v:fill on="f" focussize="0,0"/>
                      <v:stroke weight="2.5pt" color="#000000" joinstyle="round" endcap="round"/>
                      <v:imagedata o:title=""/>
                      <o:lock v:ext="edit" aspectratio="f"/>
                    </v:line>
                  </w:pict>
                </mc:Fallback>
              </mc:AlternateConten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AE32B8">
            <w:pPr>
              <w:jc w:val="center"/>
              <w:rPr>
                <w:rFonts w:hint="eastAsia" w:ascii="宋体" w:hAnsi="宋体" w:eastAsia="宋体" w:cs="宋体"/>
                <w:i w:val="0"/>
                <w:iCs w:val="0"/>
                <w:color w:val="000000"/>
                <w:sz w:val="22"/>
                <w:szCs w:val="22"/>
                <w:u w:val="none"/>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06A653">
            <w:pPr>
              <w:jc w:val="cente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C8E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7d</w:t>
            </w:r>
          </w:p>
        </w:tc>
      </w:tr>
      <w:tr w14:paraId="18D52C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2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6DB49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625" w:type="pct"/>
            <w:vMerge w:val="restart"/>
            <w:tcBorders>
              <w:top w:val="single" w:color="000000" w:sz="4" w:space="0"/>
              <w:left w:val="single" w:color="000000" w:sz="4" w:space="0"/>
              <w:bottom w:val="nil"/>
              <w:right w:val="single" w:color="000000" w:sz="4" w:space="0"/>
            </w:tcBorders>
            <w:shd w:val="clear" w:color="auto" w:fill="auto"/>
            <w:vAlign w:val="center"/>
          </w:tcPr>
          <w:p w14:paraId="16AB75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田间管网工程</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FD55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主管（含阀门件）</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52B9C8">
            <w:pPr>
              <w:jc w:val="center"/>
              <w:rPr>
                <w:rFonts w:hint="eastAsia" w:ascii="宋体" w:hAnsi="宋体" w:eastAsia="宋体" w:cs="宋体"/>
                <w:i w:val="0"/>
                <w:iCs w:val="0"/>
                <w:color w:val="000000"/>
                <w:sz w:val="22"/>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364C7A">
            <w:pPr>
              <w:jc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-20955</wp:posOffset>
                      </wp:positionH>
                      <wp:positionV relativeFrom="paragraph">
                        <wp:posOffset>139700</wp:posOffset>
                      </wp:positionV>
                      <wp:extent cx="1209675" cy="635"/>
                      <wp:effectExtent l="0" t="0" r="0" b="0"/>
                      <wp:wrapNone/>
                      <wp:docPr id="172" name="直接连接符 103"/>
                      <wp:cNvGraphicFramePr/>
                      <a:graphic xmlns:a="http://schemas.openxmlformats.org/drawingml/2006/main">
                        <a:graphicData uri="http://schemas.microsoft.com/office/word/2010/wordprocessingShape">
                          <wps:wsp>
                            <wps:cNvCnPr/>
                            <wps:spPr>
                              <a:xfrm>
                                <a:off x="0" y="0"/>
                                <a:ext cx="1209675" cy="952"/>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103" o:spid="_x0000_s1026" o:spt="20" style="position:absolute;left:0pt;margin-left:-1.65pt;margin-top:11pt;height:0.05pt;width:95.25pt;z-index:251659264;mso-width-relative:page;mso-height-relative:page;" filled="f" stroked="t" coordsize="21600,21600" o:gfxdata="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10;y7Q+1wAAAAgBAAAPAAAAAAAAAAEAIAAAACIAAABkcnMvZG93bnJldi54bWxQSwECFAAUAAAACACH&#10;TuJAjRAOiiUCAAAsBAAADgAAAAAAAAABACAAAAAmAQAAZHJzL2Uyb0RvYy54bWxQSwUGAAAAAAYA&#10;BgBZAQAAvQUAAAAA&#10;">
                      <v:fill on="f" focussize="0,0"/>
                      <v:stroke weight="2.5pt" color="#000000" joinstyle="round" endcap="round"/>
                      <v:imagedata o:title=""/>
                      <o:lock v:ext="edit" aspectratio="f"/>
                    </v:line>
                  </w:pict>
                </mc:Fallback>
              </mc:AlternateConten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33C54C">
            <w:pPr>
              <w:jc w:val="cente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F14C0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7d</w:t>
            </w:r>
          </w:p>
        </w:tc>
      </w:tr>
      <w:tr w14:paraId="6EC796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00E8CC"/>
        </w:tc>
        <w:tc>
          <w:tcPr>
            <w:tcW w:w="625" w:type="pct"/>
            <w:vMerge w:val="continue"/>
            <w:tcBorders>
              <w:top w:val="single" w:color="000000" w:sz="4" w:space="0"/>
              <w:left w:val="single" w:color="000000" w:sz="4" w:space="0"/>
              <w:bottom w:val="nil"/>
              <w:right w:val="single" w:color="000000" w:sz="4" w:space="0"/>
            </w:tcBorders>
            <w:shd w:val="clear" w:color="auto" w:fill="auto"/>
            <w:vAlign w:val="center"/>
          </w:tcPr>
          <w:p w14:paraId="1F976E96"/>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8FF6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支管（含阀门件）</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B98CF">
            <w:pPr>
              <w:jc w:val="center"/>
              <w:rPr>
                <w:rFonts w:hint="eastAsia" w:ascii="宋体" w:hAnsi="宋体" w:eastAsia="宋体" w:cs="宋体"/>
                <w:i w:val="0"/>
                <w:iCs w:val="0"/>
                <w:color w:val="000000"/>
                <w:sz w:val="22"/>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B21C1">
            <w:pPr>
              <w:jc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437515</wp:posOffset>
                      </wp:positionH>
                      <wp:positionV relativeFrom="paragraph">
                        <wp:posOffset>166370</wp:posOffset>
                      </wp:positionV>
                      <wp:extent cx="1359535" cy="22860"/>
                      <wp:effectExtent l="0" t="0" r="0" b="0"/>
                      <wp:wrapNone/>
                      <wp:docPr id="174" name="直接连接符 104"/>
                      <wp:cNvGraphicFramePr/>
                      <a:graphic xmlns:a="http://schemas.openxmlformats.org/drawingml/2006/main">
                        <a:graphicData uri="http://schemas.microsoft.com/office/word/2010/wordprocessingShape">
                          <wps:wsp>
                            <wps:cNvCnPr/>
                            <wps:spPr>
                              <a:xfrm>
                                <a:off x="0" y="0"/>
                                <a:ext cx="1359535" cy="22859"/>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104" o:spid="_x0000_s1026" o:spt="20" style="position:absolute;left:0pt;margin-left:34.45pt;margin-top:13.1pt;height:1.8pt;width:107.05pt;z-index:251659264;mso-width-relative:page;mso-height-relative:page;" filled="f" stroked="t" coordsize="21600,21600" o:gfxdata="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dlcx22AAAAAgBAAAPAAAAAAAAAAEAIAAAACIAAABkcnMvZG93bnJldi54bWxQSwECFAAUAAAA&#10;CACHTuJAJsZ8RycCAAAuBAAADgAAAAAAAAABACAAAAAnAQAAZHJzL2Uyb0RvYy54bWxQSwUGAAAA&#10;AAYABgBZAQAAwAUAAAAA&#10;">
                      <v:fill on="f" focussize="0,0"/>
                      <v:stroke weight="2.5pt" color="#000000" joinstyle="round" endcap="round"/>
                      <v:imagedata o:title=""/>
                      <o:lock v:ext="edit" aspectratio="f"/>
                    </v:line>
                  </w:pict>
                </mc:Fallback>
              </mc:AlternateContent>
            </w: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CEF87A">
            <w:pPr>
              <w:jc w:val="cente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F4D8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7d</w:t>
            </w:r>
          </w:p>
        </w:tc>
      </w:tr>
      <w:tr w14:paraId="247FF0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2AEDD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BA07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电力工程</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82A0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变压器施工</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7CE3A">
            <w:pPr>
              <w:jc w:val="center"/>
              <w:rPr>
                <w:rFonts w:hint="eastAsia" w:ascii="宋体" w:hAnsi="宋体" w:eastAsia="宋体" w:cs="宋体"/>
                <w:i w:val="0"/>
                <w:iCs w:val="0"/>
                <w:color w:val="000000"/>
                <w:sz w:val="22"/>
                <w:szCs w:val="22"/>
                <w:u w:val="none"/>
              </w:rPr>
            </w:pPr>
            <w:r>
              <w:rPr>
                <w:sz w:val="22"/>
              </w:rPr>
              <mc:AlternateContent>
                <mc:Choice Requires="wps">
                  <w:drawing>
                    <wp:anchor distT="0" distB="0" distL="113665" distR="113665" simplePos="0" relativeHeight="251659264" behindDoc="0" locked="0" layoutInCell="1" allowOverlap="1">
                      <wp:simplePos x="0" y="0"/>
                      <wp:positionH relativeFrom="column">
                        <wp:posOffset>-55880</wp:posOffset>
                      </wp:positionH>
                      <wp:positionV relativeFrom="paragraph">
                        <wp:posOffset>151765</wp:posOffset>
                      </wp:positionV>
                      <wp:extent cx="714375" cy="9525"/>
                      <wp:effectExtent l="0" t="0" r="0" b="0"/>
                      <wp:wrapNone/>
                      <wp:docPr id="176" name="直接连接符 105"/>
                      <wp:cNvGraphicFramePr/>
                      <a:graphic xmlns:a="http://schemas.openxmlformats.org/drawingml/2006/main">
                        <a:graphicData uri="http://schemas.microsoft.com/office/word/2010/wordprocessingShape">
                          <wps:wsp>
                            <wps:cNvCnPr/>
                            <wps:spPr>
                              <a:xfrm rot="21600000" flipV="1">
                                <a:off x="0" y="0"/>
                                <a:ext cx="714375" cy="9525"/>
                              </a:xfrm>
                              <a:prstGeom prst="line">
                                <a:avLst/>
                              </a:prstGeom>
                              <a:noFill/>
                              <a:ln w="31750" cap="rnd" cmpd="sng">
                                <a:solidFill>
                                  <a:srgbClr val="000000"/>
                                </a:solidFill>
                                <a:prstDash val="solid"/>
                                <a:round/>
                              </a:ln>
                            </wps:spPr>
                            <wps:bodyPr vert="horz" wrap="square" lIns="91440" tIns="45720" rIns="91440" bIns="45720" anchor="t" anchorCtr="0" upright="1">
                              <a:noAutofit/>
                            </wps:bodyPr>
                          </wps:wsp>
                        </a:graphicData>
                      </a:graphic>
                    </wp:anchor>
                  </w:drawing>
                </mc:Choice>
                <mc:Fallback>
                  <w:pict>
                    <v:line id="直接连接符 105" o:spid="_x0000_s1026" o:spt="20" style="position:absolute;left:0pt;flip:y;margin-left:-4.4pt;margin-top:11.95pt;height:0.75pt;width:56.25pt;z-index:251659264;mso-width-relative:page;mso-height-relative:page;" filled="f" stroked="t" coordsize="21600,21600" o:gfxdata="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wfB7tNkAAAAIAQAADwAAAAAAAAABACAAAAAiAAAAZHJzL2Rvd25y&#10;ZXYueG1sUEsBAhQAFAAAAAgAh07iQAb8CXA2AgAARQQAAA4AAAAAAAAAAQAgAAAAKAEAAGRycy9l&#10;Mm9Eb2MueG1sUEsFBgAAAAAGAAYAWQEAANAFAAAAAA==&#10;">
                      <v:fill on="f" focussize="0,0"/>
                      <v:stroke weight="2.5pt" color="#000000" joinstyle="round" endcap="round"/>
                      <v:imagedata o:title=""/>
                      <o:lock v:ext="edit" aspectratio="f"/>
                    </v:line>
                  </w:pict>
                </mc:Fallback>
              </mc:AlternateConten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2BA0E0">
            <w:pPr>
              <w:jc w:val="center"/>
              <w:rPr>
                <w:rFonts w:hint="eastAsia" w:ascii="宋体" w:hAnsi="宋体" w:eastAsia="宋体" w:cs="宋体"/>
                <w:i w:val="0"/>
                <w:iCs w:val="0"/>
                <w:color w:val="000000"/>
                <w:sz w:val="22"/>
                <w:szCs w:val="22"/>
                <w:u w:val="none"/>
              </w:rPr>
            </w:pPr>
          </w:p>
        </w:tc>
        <w:tc>
          <w:tcPr>
            <w:tcW w:w="9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DCEDFD">
            <w:pPr>
              <w:jc w:val="cente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5B577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5d</w:t>
            </w:r>
          </w:p>
        </w:tc>
      </w:tr>
    </w:tbl>
    <w:p w14:paraId="74352567">
      <w:pPr>
        <w:jc w:val="left"/>
        <w:rPr>
          <w:lang w:val="en-US" w:eastAsia="zh-CN"/>
        </w:rPr>
        <w:sectPr>
          <w:pgSz w:w="11906" w:h="16838"/>
          <w:pgMar w:top="1440" w:right="1800" w:bottom="1440" w:left="1800" w:header="851" w:footer="992" w:gutter="0"/>
          <w:cols w:space="425" w:num="1"/>
          <w:docGrid w:type="lines" w:linePitch="312" w:charSpace="0"/>
        </w:sectPr>
      </w:pPr>
    </w:p>
    <w:p w14:paraId="2DA73E37">
      <w:pPr>
        <w:pStyle w:val="3"/>
        <w:bidi w:val="0"/>
        <w:rPr>
          <w:lang w:val="en-US" w:eastAsia="zh-CN"/>
        </w:rPr>
      </w:pPr>
      <w:bookmarkStart w:id="92" w:name="_Toc23502"/>
      <w:r>
        <w:rPr>
          <w:rFonts w:hint="eastAsia"/>
          <w:lang w:val="en-US" w:eastAsia="zh-CN"/>
        </w:rPr>
        <w:t>项目区投资概算、资金筹措及使用计划</w:t>
      </w:r>
      <w:bookmarkEnd w:id="92"/>
    </w:p>
    <w:p w14:paraId="1FFC90E0">
      <w:pPr>
        <w:pStyle w:val="4"/>
        <w:bidi w:val="0"/>
        <w:ind w:left="560"/>
        <w:rPr>
          <w:rFonts w:hint="eastAsia"/>
          <w:lang w:val="en-US" w:eastAsia="zh-CN"/>
        </w:rPr>
      </w:pPr>
      <w:bookmarkStart w:id="93" w:name="_Toc16681"/>
      <w:r>
        <w:rPr>
          <w:rFonts w:hint="eastAsia"/>
          <w:lang w:val="en-US" w:eastAsia="zh-CN"/>
        </w:rPr>
        <w:t>概算依据</w:t>
      </w:r>
      <w:bookmarkEnd w:id="93"/>
    </w:p>
    <w:p w14:paraId="248D9537">
      <w:pPr>
        <w:pStyle w:val="23"/>
        <w:rPr>
          <w:rFonts w:hint="eastAsia"/>
          <w:color w:val="auto"/>
          <w:lang w:val="en-US" w:eastAsia="zh-CN"/>
        </w:rPr>
      </w:pPr>
      <w:r>
        <w:rPr>
          <w:rFonts w:hint="eastAsia"/>
          <w:color w:val="auto"/>
          <w:lang w:val="en-US" w:eastAsia="zh-CN"/>
        </w:rPr>
        <w:t>1、项目建设内容、规模、标准和主要设备选型，在优化建设方案的基础上，遵照国家有关规定和估算编制期的计价根据，并考虑编制期至竣工期的价格、利率、汇率等动态因素；</w:t>
      </w:r>
    </w:p>
    <w:p w14:paraId="5B645FE6">
      <w:pPr>
        <w:pStyle w:val="23"/>
        <w:rPr>
          <w:rFonts w:hint="eastAsia"/>
          <w:color w:val="auto"/>
          <w:lang w:val="en-US" w:eastAsia="zh-CN"/>
        </w:rPr>
      </w:pPr>
      <w:r>
        <w:rPr>
          <w:rFonts w:hint="eastAsia"/>
          <w:color w:val="auto"/>
          <w:lang w:val="en-US" w:eastAsia="zh-CN"/>
        </w:rPr>
        <w:t xml:space="preserve">2、各设计专业提供的投资概算资料； </w:t>
      </w:r>
    </w:p>
    <w:p w14:paraId="6B48027F">
      <w:pPr>
        <w:pStyle w:val="23"/>
        <w:rPr>
          <w:rFonts w:hint="eastAsia"/>
          <w:color w:val="auto"/>
          <w:lang w:val="en-US" w:eastAsia="zh-CN"/>
        </w:rPr>
      </w:pPr>
      <w:r>
        <w:rPr>
          <w:rFonts w:hint="eastAsia"/>
          <w:color w:val="auto"/>
          <w:lang w:val="en-US" w:eastAsia="zh-CN"/>
        </w:rPr>
        <w:t>3、水利水电工程费用参照当地相关投资概算指标概算；</w:t>
      </w:r>
    </w:p>
    <w:p w14:paraId="213116B6">
      <w:pPr>
        <w:pStyle w:val="23"/>
        <w:rPr>
          <w:rFonts w:hint="eastAsia"/>
          <w:color w:val="auto"/>
          <w:lang w:val="en-US" w:eastAsia="zh-CN"/>
        </w:rPr>
      </w:pPr>
      <w:r>
        <w:rPr>
          <w:rFonts w:hint="eastAsia"/>
          <w:color w:val="auto"/>
          <w:lang w:val="en-US" w:eastAsia="zh-CN"/>
        </w:rPr>
        <w:t>4、询价和参考类似工程订货价格及相关价格资料。</w:t>
      </w:r>
    </w:p>
    <w:p w14:paraId="7D7FC67F">
      <w:pPr>
        <w:pStyle w:val="4"/>
        <w:bidi w:val="0"/>
        <w:ind w:left="560"/>
        <w:rPr>
          <w:rFonts w:hint="eastAsia"/>
          <w:lang w:val="en-US" w:eastAsia="zh-CN"/>
        </w:rPr>
      </w:pPr>
      <w:bookmarkStart w:id="94" w:name="_Toc16047"/>
      <w:bookmarkStart w:id="95" w:name="_Toc26982"/>
      <w:r>
        <w:rPr>
          <w:rFonts w:hint="eastAsia"/>
          <w:lang w:val="en-US" w:eastAsia="zh-CN"/>
        </w:rPr>
        <w:t>资金估算及筹措</w:t>
      </w:r>
      <w:bookmarkEnd w:id="94"/>
      <w:bookmarkEnd w:id="95"/>
    </w:p>
    <w:p w14:paraId="3E015140">
      <w:pPr>
        <w:pStyle w:val="23"/>
        <w:rPr>
          <w:rFonts w:hint="eastAsia"/>
          <w:color w:val="auto"/>
          <w:lang w:val="en-US" w:eastAsia="zh-CN"/>
        </w:rPr>
        <w:sectPr>
          <w:pgSz w:w="11906" w:h="16838"/>
          <w:pgMar w:top="1440" w:right="1800" w:bottom="1440" w:left="1800" w:header="851" w:footer="992" w:gutter="0"/>
          <w:cols w:space="425" w:num="1"/>
          <w:docGrid w:type="lines" w:linePitch="312" w:charSpace="0"/>
        </w:sectPr>
      </w:pPr>
      <w:r>
        <w:rPr>
          <w:rFonts w:hint="eastAsia"/>
          <w:color w:val="auto"/>
          <w:lang w:val="en-US" w:eastAsia="zh-CN"/>
        </w:rPr>
        <w:t>本项目总投资概算为1572.60万元。其中田间管网工程投入814.87万元，占比51.82%，泵房内首部系统及配套设施设备投入180.23万元，占比11.47%，电力工程投入182.60万元，占比11.62%，土建工程投入278.00万元，占比17.69%，材料转运费用16.90万元，占比0.11%，项目设计、监理、勘察、预算、图审、专家评审等工程建设费用100万元，占比6.39%。具体建设内容投资见下表6-1（未包含项目设计、监理、勘察、预算、图审、专家评审等工程建设费用100万元）。各泵站具体建设内容投资概算见附表2.1-2.27所示。</w:t>
      </w:r>
    </w:p>
    <w:p w14:paraId="77E1952C">
      <w:pPr>
        <w:pStyle w:val="23"/>
        <w:jc w:val="center"/>
        <w:rPr>
          <w:rFonts w:hint="eastAsia"/>
          <w:color w:val="auto"/>
          <w:lang w:val="en-US" w:eastAsia="zh-CN"/>
        </w:rPr>
      </w:pPr>
      <w:r>
        <w:rPr>
          <w:rFonts w:hint="eastAsia"/>
          <w:color w:val="auto"/>
          <w:lang w:val="en-US" w:eastAsia="zh-CN"/>
        </w:rPr>
        <w:t>表5-1 总投资概算表</w:t>
      </w:r>
    </w:p>
    <w:tbl>
      <w:tblPr>
        <w:tblStyle w:val="21"/>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56"/>
        <w:gridCol w:w="1433"/>
        <w:gridCol w:w="1620"/>
        <w:gridCol w:w="3109"/>
        <w:gridCol w:w="957"/>
        <w:gridCol w:w="1584"/>
        <w:gridCol w:w="1688"/>
        <w:gridCol w:w="1486"/>
        <w:gridCol w:w="1248"/>
      </w:tblGrid>
      <w:tr w14:paraId="5A86DC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4081" w:type="dxa"/>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FDA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附表2.1遂宁市安居区大豆提升项目工程数量表</w:t>
            </w:r>
          </w:p>
        </w:tc>
      </w:tr>
      <w:tr w14:paraId="537781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580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序号</w:t>
            </w:r>
          </w:p>
        </w:tc>
        <w:tc>
          <w:tcPr>
            <w:tcW w:w="14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5BC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工程项目</w:t>
            </w:r>
          </w:p>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080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管网配件</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F99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型号</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52E3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单位</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805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工程量</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0194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单价（元）</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86BB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总价（万元）</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91A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备注</w:t>
            </w:r>
          </w:p>
        </w:tc>
      </w:tr>
      <w:tr w14:paraId="24B1E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827B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4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B979F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田间管网工程</w:t>
            </w:r>
          </w:p>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7749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PE给水管</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0B9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φ200；承压：1.25MPA；含管件</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1A3D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米</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3D3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538.00 </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014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326.00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6AF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17.54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2320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埋地铺设</w:t>
            </w:r>
          </w:p>
        </w:tc>
      </w:tr>
      <w:tr w14:paraId="178D4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D32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26CDB1"/>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9668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PE给水管</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141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φ160；承压：1.25MPA；含管件</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F18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124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1681.04 </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CAC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174.00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D12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29.25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47E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埋地铺设</w:t>
            </w:r>
          </w:p>
        </w:tc>
      </w:tr>
      <w:tr w14:paraId="4900C0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FDB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E351F4"/>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C476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PE给水管</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0F0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φ110；承压：1.25MPA；含管件</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C6F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米</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AE3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30473.42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2A5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115.00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5B7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350.44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AB5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埋地铺设</w:t>
            </w:r>
          </w:p>
        </w:tc>
      </w:tr>
      <w:tr w14:paraId="196BD9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0DA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B9F18C"/>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EB87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PE给水管</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EFDA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φ75；承压：1.25MPA；含管件</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40E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米</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E7F6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22716.83</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0888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89.00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F41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202.18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0E6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埋地铺设</w:t>
            </w:r>
          </w:p>
        </w:tc>
      </w:tr>
      <w:tr w14:paraId="67B0CF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C80A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434B7E"/>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D8B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PE输水带</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D332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φ50</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8DF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米</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E345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44229.44</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14D9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13.00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93A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57.50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60C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玉米/大豆</w:t>
            </w:r>
          </w:p>
        </w:tc>
      </w:tr>
      <w:tr w14:paraId="65F339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D1D8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BAFFA3"/>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5F2A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泄水阀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4BB0A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φ75，PE材质，钢芯球阀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DC13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207A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366</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3E2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AF9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1.83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D5B12">
            <w:pPr>
              <w:jc w:val="center"/>
              <w:rPr>
                <w:rFonts w:hint="eastAsia" w:ascii="宋体" w:hAnsi="宋体" w:eastAsia="宋体" w:cs="宋体"/>
                <w:i w:val="0"/>
                <w:iCs w:val="0"/>
                <w:color w:val="000000"/>
                <w:sz w:val="22"/>
                <w:szCs w:val="22"/>
                <w:u w:val="none"/>
              </w:rPr>
            </w:pPr>
          </w:p>
        </w:tc>
      </w:tr>
      <w:tr w14:paraId="52A8B5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11A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91C068"/>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D462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进排气阀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8B2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1寸进气阀、排气阀各30个（C型组合式空气阀C10，K型快速进排气阀A11）</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72D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94ED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722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4CCB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B1ED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18.05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15AFE5">
            <w:pPr>
              <w:jc w:val="center"/>
              <w:rPr>
                <w:rFonts w:hint="eastAsia" w:ascii="宋体" w:hAnsi="宋体" w:eastAsia="宋体" w:cs="宋体"/>
                <w:i w:val="0"/>
                <w:iCs w:val="0"/>
                <w:color w:val="000000"/>
                <w:sz w:val="22"/>
                <w:szCs w:val="22"/>
                <w:u w:val="none"/>
              </w:rPr>
            </w:pPr>
          </w:p>
        </w:tc>
      </w:tr>
      <w:tr w14:paraId="6371F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7137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9A9984"/>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D6E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手动闸阀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ABC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φ75</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7925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CBE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395</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D262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953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17.78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6E7EA">
            <w:pPr>
              <w:jc w:val="center"/>
              <w:rPr>
                <w:rFonts w:hint="eastAsia" w:ascii="宋体" w:hAnsi="宋体" w:eastAsia="宋体" w:cs="宋体"/>
                <w:i w:val="0"/>
                <w:iCs w:val="0"/>
                <w:color w:val="000000"/>
                <w:sz w:val="22"/>
                <w:szCs w:val="22"/>
                <w:u w:val="none"/>
              </w:rPr>
            </w:pPr>
          </w:p>
        </w:tc>
      </w:tr>
      <w:tr w14:paraId="5EC0CE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A64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29DBC3"/>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4175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电动蝶阀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1DFB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φ200</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FA77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D7D7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 </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AD2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2100.00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BAF3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0.84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D2B38">
            <w:pPr>
              <w:jc w:val="center"/>
              <w:rPr>
                <w:rFonts w:hint="eastAsia" w:ascii="宋体" w:hAnsi="宋体" w:eastAsia="宋体" w:cs="宋体"/>
                <w:i w:val="0"/>
                <w:iCs w:val="0"/>
                <w:color w:val="000000"/>
                <w:sz w:val="22"/>
                <w:szCs w:val="22"/>
                <w:u w:val="none"/>
              </w:rPr>
            </w:pPr>
          </w:p>
        </w:tc>
      </w:tr>
      <w:tr w14:paraId="3B2F73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55D6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A35F44"/>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09F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鞍座</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D1A0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PE200×63（2'')，承压1.25Mpa</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EA73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0ED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 </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E4D6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330.00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3CB1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0.13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E3039">
            <w:pPr>
              <w:jc w:val="center"/>
              <w:rPr>
                <w:rFonts w:hint="eastAsia" w:ascii="宋体" w:hAnsi="宋体" w:eastAsia="宋体" w:cs="宋体"/>
                <w:i w:val="0"/>
                <w:iCs w:val="0"/>
                <w:color w:val="000000"/>
                <w:sz w:val="22"/>
                <w:szCs w:val="22"/>
                <w:u w:val="none"/>
              </w:rPr>
            </w:pPr>
          </w:p>
        </w:tc>
      </w:tr>
      <w:tr w14:paraId="7760E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9F4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28BE75"/>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BC7E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鞍座</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178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75*32PE鞍座搭配1寸进气阀、排气阀</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D71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0C12D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1444</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A70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12.00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9D7B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1.73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4273D9">
            <w:pPr>
              <w:jc w:val="center"/>
              <w:rPr>
                <w:rFonts w:hint="eastAsia" w:ascii="宋体" w:hAnsi="宋体" w:eastAsia="宋体" w:cs="宋体"/>
                <w:i w:val="0"/>
                <w:iCs w:val="0"/>
                <w:color w:val="000000"/>
                <w:sz w:val="22"/>
                <w:szCs w:val="22"/>
                <w:u w:val="none"/>
              </w:rPr>
            </w:pPr>
          </w:p>
        </w:tc>
      </w:tr>
      <w:tr w14:paraId="63351B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BA4B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2FD113"/>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644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C型组合式空气阀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385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C50 型号2，外螺旋</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80D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59E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240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BB8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0.40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D359B">
            <w:pPr>
              <w:jc w:val="center"/>
              <w:rPr>
                <w:rFonts w:hint="eastAsia" w:ascii="宋体" w:hAnsi="宋体" w:eastAsia="宋体" w:cs="宋体"/>
                <w:i w:val="0"/>
                <w:iCs w:val="0"/>
                <w:color w:val="000000"/>
                <w:sz w:val="22"/>
                <w:szCs w:val="22"/>
                <w:u w:val="none"/>
              </w:rPr>
            </w:pPr>
          </w:p>
        </w:tc>
      </w:tr>
      <w:tr w14:paraId="2B616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6AB4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9F3F60"/>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2EE8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C型组合式空气阀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6EB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C75 型号2，外螺旋</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6C1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D87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 </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493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600.00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DC3E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0.12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7D54B">
            <w:pPr>
              <w:jc w:val="center"/>
              <w:rPr>
                <w:rFonts w:hint="eastAsia" w:ascii="宋体" w:hAnsi="宋体" w:eastAsia="宋体" w:cs="宋体"/>
                <w:i w:val="0"/>
                <w:iCs w:val="0"/>
                <w:color w:val="000000"/>
                <w:sz w:val="22"/>
                <w:szCs w:val="22"/>
                <w:u w:val="none"/>
              </w:rPr>
            </w:pPr>
          </w:p>
        </w:tc>
      </w:tr>
      <w:tr w14:paraId="7D1957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8C3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48DFB0"/>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169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电磁减压阀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FC6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φ75，24v安全电压，耐化学腐蚀，耐高温，快速通断，稳定后端压力，与带压力补偿滴灌带配合使用，适用于坡度较大场地</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4622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09F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722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89F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633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61.37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FA46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农林园林灌溉专用阀，玉米/大豆分别控制 </w:t>
            </w:r>
          </w:p>
        </w:tc>
      </w:tr>
      <w:tr w14:paraId="70C6E3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1824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DB54B8"/>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D1D9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电磁阀无线控制</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9060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FN-VWN2,2通道，太阳能（2W）+锂电池，LORA无线传输</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380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483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38FA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1180.00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023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42.60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CCD9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太阳能供电，安全性能好，故障低</w:t>
            </w:r>
          </w:p>
        </w:tc>
      </w:tr>
      <w:tr w14:paraId="37FC83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647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8F9B44"/>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B3C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无线解码器模块</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DAFF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FN-VWN128，每台可控制64个无线控制器</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F1A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E1F1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326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1240.00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628D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1.86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ED983">
            <w:pPr>
              <w:jc w:val="center"/>
              <w:rPr>
                <w:rFonts w:hint="eastAsia" w:ascii="宋体" w:hAnsi="宋体" w:eastAsia="宋体" w:cs="宋体"/>
                <w:i w:val="0"/>
                <w:iCs w:val="0"/>
                <w:color w:val="000000"/>
                <w:sz w:val="22"/>
                <w:szCs w:val="22"/>
                <w:u w:val="none"/>
              </w:rPr>
            </w:pPr>
          </w:p>
        </w:tc>
      </w:tr>
      <w:tr w14:paraId="0BE5A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19BD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3482E9"/>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C189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海底阀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70B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φ110 ，材质铸铁</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CC91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E1D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E573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120.00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9263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0.20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55D85">
            <w:pPr>
              <w:jc w:val="center"/>
              <w:rPr>
                <w:rFonts w:hint="eastAsia" w:ascii="宋体" w:hAnsi="宋体" w:eastAsia="宋体" w:cs="宋体"/>
                <w:i w:val="0"/>
                <w:iCs w:val="0"/>
                <w:color w:val="000000"/>
                <w:sz w:val="22"/>
                <w:szCs w:val="22"/>
                <w:u w:val="none"/>
              </w:rPr>
            </w:pPr>
          </w:p>
        </w:tc>
      </w:tr>
      <w:tr w14:paraId="38120B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2BC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9193A7"/>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F83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止回阀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109F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φ110 ，壳体材质铸钢，铜制阀芯</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776A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348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7742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240.00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DBF1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0.41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98D0B">
            <w:pPr>
              <w:jc w:val="center"/>
              <w:rPr>
                <w:rFonts w:hint="eastAsia" w:ascii="宋体" w:hAnsi="宋体" w:eastAsia="宋体" w:cs="宋体"/>
                <w:i w:val="0"/>
                <w:iCs w:val="0"/>
                <w:color w:val="000000"/>
                <w:sz w:val="22"/>
                <w:szCs w:val="22"/>
                <w:u w:val="none"/>
              </w:rPr>
            </w:pPr>
          </w:p>
        </w:tc>
      </w:tr>
      <w:tr w14:paraId="7AD25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C401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67A241"/>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FE6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海底阀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B64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φ200，材质铸铁</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E4BB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7152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4.00 </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4417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CA60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0.14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E2230">
            <w:pPr>
              <w:jc w:val="center"/>
              <w:rPr>
                <w:rFonts w:hint="eastAsia" w:ascii="宋体" w:hAnsi="宋体" w:eastAsia="宋体" w:cs="宋体"/>
                <w:i w:val="0"/>
                <w:iCs w:val="0"/>
                <w:color w:val="000000"/>
                <w:sz w:val="22"/>
                <w:szCs w:val="22"/>
                <w:u w:val="none"/>
              </w:rPr>
            </w:pPr>
          </w:p>
        </w:tc>
      </w:tr>
      <w:tr w14:paraId="026A66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460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5F4772"/>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D27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止回阀</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1A2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φ200，壳体材质铸钢，铜制阀芯</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3FFD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8F2C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4.00 </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1C5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480.00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96EB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0.19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5EAD8">
            <w:pPr>
              <w:jc w:val="center"/>
              <w:rPr>
                <w:rFonts w:hint="eastAsia" w:ascii="宋体" w:hAnsi="宋体" w:eastAsia="宋体" w:cs="宋体"/>
                <w:i w:val="0"/>
                <w:iCs w:val="0"/>
                <w:color w:val="000000"/>
                <w:sz w:val="22"/>
                <w:szCs w:val="22"/>
                <w:u w:val="none"/>
              </w:rPr>
            </w:pPr>
          </w:p>
        </w:tc>
      </w:tr>
      <w:tr w14:paraId="012B02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F22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D1FE8A"/>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19D1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直通管</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7665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φ110-φ75，PE材质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7506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C10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343</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D56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22.00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63E3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0.75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6EFAA">
            <w:pPr>
              <w:jc w:val="center"/>
              <w:rPr>
                <w:rFonts w:hint="eastAsia" w:ascii="宋体" w:hAnsi="宋体" w:eastAsia="宋体" w:cs="宋体"/>
                <w:i w:val="0"/>
                <w:iCs w:val="0"/>
                <w:color w:val="000000"/>
                <w:sz w:val="22"/>
                <w:szCs w:val="22"/>
                <w:u w:val="none"/>
              </w:rPr>
            </w:pPr>
          </w:p>
        </w:tc>
      </w:tr>
      <w:tr w14:paraId="137FD3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5DF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C44932"/>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2964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正三通管</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13E6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φ110-φ110，PE材质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C1D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569E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318</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7BF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33.00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A96D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1.05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7E8B5">
            <w:pPr>
              <w:jc w:val="center"/>
              <w:rPr>
                <w:rFonts w:hint="eastAsia" w:ascii="宋体" w:hAnsi="宋体" w:eastAsia="宋体" w:cs="宋体"/>
                <w:i w:val="0"/>
                <w:iCs w:val="0"/>
                <w:color w:val="000000"/>
                <w:sz w:val="22"/>
                <w:szCs w:val="22"/>
                <w:u w:val="none"/>
              </w:rPr>
            </w:pPr>
          </w:p>
        </w:tc>
      </w:tr>
      <w:tr w14:paraId="5AD74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D29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D0B3E1"/>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D19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弯头</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3D0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φ110 90°弯头，PE材质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C0F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0AD3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64</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20CD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4FA2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0.19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E4FB2">
            <w:pPr>
              <w:jc w:val="center"/>
              <w:rPr>
                <w:rFonts w:hint="eastAsia" w:ascii="宋体" w:hAnsi="宋体" w:eastAsia="宋体" w:cs="宋体"/>
                <w:i w:val="0"/>
                <w:iCs w:val="0"/>
                <w:color w:val="000000"/>
                <w:sz w:val="22"/>
                <w:szCs w:val="22"/>
                <w:u w:val="none"/>
              </w:rPr>
            </w:pPr>
          </w:p>
        </w:tc>
      </w:tr>
      <w:tr w14:paraId="592D6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F8B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F69EC9"/>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190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三通管</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D8E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φ75-φ50，PE材质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26F7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nil"/>
              <w:bottom w:val="single" w:color="000000" w:sz="4" w:space="0"/>
              <w:right w:val="nil"/>
            </w:tcBorders>
            <w:shd w:val="clear" w:color="auto" w:fill="auto"/>
            <w:noWrap/>
            <w:vAlign w:val="center"/>
          </w:tcPr>
          <w:p w14:paraId="6CCE1E4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656</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755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C1EB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2.62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A5FFC">
            <w:pPr>
              <w:jc w:val="center"/>
              <w:rPr>
                <w:rFonts w:hint="eastAsia" w:ascii="宋体" w:hAnsi="宋体" w:eastAsia="宋体" w:cs="宋体"/>
                <w:i w:val="0"/>
                <w:iCs w:val="0"/>
                <w:color w:val="000000"/>
                <w:sz w:val="22"/>
                <w:szCs w:val="22"/>
                <w:u w:val="none"/>
              </w:rPr>
            </w:pPr>
          </w:p>
        </w:tc>
      </w:tr>
      <w:tr w14:paraId="731706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71C9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78B447"/>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B224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直通管</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2A5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φ75-φ50，PE材质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5F6C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nil"/>
              <w:bottom w:val="single" w:color="000000" w:sz="4" w:space="0"/>
              <w:right w:val="nil"/>
            </w:tcBorders>
            <w:shd w:val="clear" w:color="auto" w:fill="auto"/>
            <w:noWrap/>
            <w:vAlign w:val="center"/>
          </w:tcPr>
          <w:p w14:paraId="36E203C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66</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F4F6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6830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0.20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3BE13">
            <w:pPr>
              <w:jc w:val="center"/>
              <w:rPr>
                <w:rFonts w:hint="eastAsia" w:ascii="宋体" w:hAnsi="宋体" w:eastAsia="宋体" w:cs="宋体"/>
                <w:i w:val="0"/>
                <w:iCs w:val="0"/>
                <w:color w:val="000000"/>
                <w:sz w:val="22"/>
                <w:szCs w:val="22"/>
                <w:u w:val="none"/>
              </w:rPr>
            </w:pPr>
          </w:p>
        </w:tc>
      </w:tr>
      <w:tr w14:paraId="105263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B90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8B1D19"/>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0B4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弯头</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E023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 90°弯头，PE材质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B3F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nil"/>
              <w:bottom w:val="single" w:color="000000" w:sz="4" w:space="0"/>
              <w:right w:val="nil"/>
            </w:tcBorders>
            <w:shd w:val="clear" w:color="auto" w:fill="auto"/>
            <w:noWrap/>
            <w:vAlign w:val="center"/>
          </w:tcPr>
          <w:p w14:paraId="04C25FF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66</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3F5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25.00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663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0.17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8E16B">
            <w:pPr>
              <w:jc w:val="center"/>
              <w:rPr>
                <w:rFonts w:hint="eastAsia" w:ascii="宋体" w:hAnsi="宋体" w:eastAsia="宋体" w:cs="宋体"/>
                <w:i w:val="0"/>
                <w:iCs w:val="0"/>
                <w:color w:val="000000"/>
                <w:sz w:val="22"/>
                <w:szCs w:val="22"/>
                <w:u w:val="none"/>
              </w:rPr>
            </w:pPr>
          </w:p>
        </w:tc>
      </w:tr>
      <w:tr w14:paraId="1DFD11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8A2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B9493A"/>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C672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三通管</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F9A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φ75-φ75，PE材质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05E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nil"/>
              <w:bottom w:val="single" w:color="000000" w:sz="4" w:space="0"/>
              <w:right w:val="nil"/>
            </w:tcBorders>
            <w:shd w:val="clear" w:color="auto" w:fill="auto"/>
            <w:noWrap/>
            <w:vAlign w:val="center"/>
          </w:tcPr>
          <w:p w14:paraId="3F7226C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1064</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7B7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016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5.32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AD628">
            <w:pPr>
              <w:jc w:val="center"/>
              <w:rPr>
                <w:rFonts w:hint="eastAsia" w:ascii="宋体" w:hAnsi="宋体" w:eastAsia="宋体" w:cs="宋体"/>
                <w:i w:val="0"/>
                <w:iCs w:val="0"/>
                <w:color w:val="000000"/>
                <w:sz w:val="22"/>
                <w:szCs w:val="22"/>
                <w:u w:val="none"/>
              </w:rPr>
            </w:pPr>
          </w:p>
        </w:tc>
      </w:tr>
      <w:tr w14:paraId="1C89AA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3723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6AF3FA"/>
        </w:tc>
        <w:tc>
          <w:tcPr>
            <w:tcW w:w="896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0E70C052">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小计</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3B140">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814.87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57980">
            <w:pPr>
              <w:jc w:val="center"/>
              <w:rPr>
                <w:rFonts w:hint="eastAsia" w:ascii="宋体" w:hAnsi="宋体" w:eastAsia="宋体" w:cs="宋体"/>
                <w:i w:val="0"/>
                <w:iCs w:val="0"/>
                <w:color w:val="000000"/>
                <w:sz w:val="22"/>
                <w:szCs w:val="22"/>
                <w:u w:val="none"/>
              </w:rPr>
            </w:pPr>
          </w:p>
        </w:tc>
      </w:tr>
      <w:tr w14:paraId="09BF1D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0A0E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498" w:type="dxa"/>
            <w:vMerge w:val="restart"/>
            <w:tcBorders>
              <w:top w:val="nil"/>
              <w:left w:val="single" w:color="000000" w:sz="4" w:space="0"/>
              <w:bottom w:val="single" w:color="000000" w:sz="4" w:space="0"/>
              <w:right w:val="single" w:color="000000" w:sz="4" w:space="0"/>
            </w:tcBorders>
            <w:shd w:val="clear" w:color="auto" w:fill="auto"/>
            <w:vAlign w:val="center"/>
          </w:tcPr>
          <w:p w14:paraId="569D89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首部系统/提灌系统</w:t>
            </w:r>
          </w:p>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C16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卧式离心泵</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89E9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ISW80-200，Q=50m³/h,H=50m,P=15kw（380V）</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EE4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469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3CDC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10980.00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6883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3.29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CF839">
            <w:pPr>
              <w:jc w:val="center"/>
              <w:rPr>
                <w:rFonts w:hint="eastAsia" w:ascii="宋体" w:hAnsi="宋体" w:eastAsia="宋体" w:cs="宋体"/>
                <w:i w:val="0"/>
                <w:iCs w:val="0"/>
                <w:color w:val="000000"/>
                <w:sz w:val="22"/>
                <w:szCs w:val="22"/>
                <w:u w:val="none"/>
              </w:rPr>
            </w:pPr>
          </w:p>
        </w:tc>
      </w:tr>
      <w:tr w14:paraId="6A777C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3EA2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2388C758"/>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F316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卧式离心泵</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4C0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ISW80-160，Q=50m³/h,H=32m,P=7.5kw（380V）</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1B5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E96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34B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6720.00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62F32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5.38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9AFE0">
            <w:pPr>
              <w:jc w:val="center"/>
              <w:rPr>
                <w:rFonts w:hint="eastAsia" w:ascii="宋体" w:hAnsi="宋体" w:eastAsia="宋体" w:cs="宋体"/>
                <w:i w:val="0"/>
                <w:iCs w:val="0"/>
                <w:color w:val="000000"/>
                <w:sz w:val="22"/>
                <w:szCs w:val="22"/>
                <w:u w:val="none"/>
              </w:rPr>
            </w:pPr>
          </w:p>
        </w:tc>
      </w:tr>
      <w:tr w14:paraId="02F373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775A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01AF98F0"/>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B19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FF85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250QJ100-72,扬程72m，流量100m³，功率30kw</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517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CA2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B71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9750.00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C0B7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1.95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DBE1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5720DA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F50D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481AD02D"/>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FCA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F733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200QJ63-60，流量63m³/h，扬程60m，功率18.5kw</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ED83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453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CE0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6150.00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CEF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3.69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087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491C4E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63DB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1D41F0CF"/>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209E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016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200QJ63-36，流量63m³/h，扬程36m，功率11kw</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E2C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ADC1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C354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4920.00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66F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0.98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43E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52E0E7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D93C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76EA5C27"/>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F01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A4B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200QJ63-24，流量63m³，扬程24m，功率7.5kw</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25D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F64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0E92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3660.00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70D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0.73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07C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7B0DC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1CBD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599E9DA1"/>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475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9A9D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200QJ63-12，流量63m³，扬程12m，功率4kw</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C89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D476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22A0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3015.00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CA8E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1.51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AB0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提灌</w:t>
            </w:r>
          </w:p>
        </w:tc>
      </w:tr>
      <w:tr w14:paraId="21D00F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BFD9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47D83C35"/>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C602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99C8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200QJ63-72,扬程72m，流量63m³，功率30kw</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E93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E8A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FC5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7250.00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9BDA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0.73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65CFA">
            <w:pPr>
              <w:jc w:val="center"/>
              <w:rPr>
                <w:rFonts w:hint="eastAsia" w:ascii="宋体" w:hAnsi="宋体" w:eastAsia="宋体" w:cs="宋体"/>
                <w:i w:val="0"/>
                <w:iCs w:val="0"/>
                <w:color w:val="000000"/>
                <w:sz w:val="22"/>
                <w:szCs w:val="22"/>
                <w:u w:val="none"/>
              </w:rPr>
            </w:pPr>
          </w:p>
        </w:tc>
      </w:tr>
      <w:tr w14:paraId="246CC1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D22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794E29E9"/>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CEA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AA6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200QJ63-72  控制柜TPK-Q30-1B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6252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台</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7EB8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46B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1840.00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1BE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0.18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A58EB">
            <w:pPr>
              <w:jc w:val="center"/>
              <w:rPr>
                <w:rFonts w:hint="eastAsia" w:ascii="宋体" w:hAnsi="宋体" w:eastAsia="宋体" w:cs="宋体"/>
                <w:i w:val="0"/>
                <w:iCs w:val="0"/>
                <w:color w:val="000000"/>
                <w:sz w:val="22"/>
                <w:szCs w:val="22"/>
                <w:u w:val="none"/>
              </w:rPr>
            </w:pPr>
          </w:p>
        </w:tc>
      </w:tr>
      <w:tr w14:paraId="6502F6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BB66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154C5ECB"/>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BFCB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0D1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200QJ63-12  控制柜TPK-Q4.0-1B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B69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EC51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8071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860.00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56AB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0.43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CE5E6">
            <w:pPr>
              <w:jc w:val="center"/>
              <w:rPr>
                <w:rFonts w:hint="eastAsia" w:ascii="宋体" w:hAnsi="宋体" w:eastAsia="宋体" w:cs="宋体"/>
                <w:i w:val="0"/>
                <w:iCs w:val="0"/>
                <w:color w:val="000000"/>
                <w:sz w:val="22"/>
                <w:szCs w:val="22"/>
                <w:u w:val="none"/>
              </w:rPr>
            </w:pPr>
          </w:p>
        </w:tc>
      </w:tr>
      <w:tr w14:paraId="3FC99F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8DF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0640C1A5"/>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B918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410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200QT63-24  控制柜TPK-Q7.5-1B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675A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ACC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33A4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920.00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BD2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0.18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E7F53">
            <w:pPr>
              <w:jc w:val="center"/>
              <w:rPr>
                <w:rFonts w:hint="eastAsia" w:ascii="宋体" w:hAnsi="宋体" w:eastAsia="宋体" w:cs="宋体"/>
                <w:i w:val="0"/>
                <w:iCs w:val="0"/>
                <w:color w:val="000000"/>
                <w:sz w:val="22"/>
                <w:szCs w:val="22"/>
                <w:u w:val="none"/>
              </w:rPr>
            </w:pPr>
          </w:p>
        </w:tc>
      </w:tr>
      <w:tr w14:paraId="3510DB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2588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2F351A79"/>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F80D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46E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200QT63-36   控制柜TPK-Q11-1B</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9FB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4BA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F91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960.00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1AD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0.19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F3979">
            <w:pPr>
              <w:jc w:val="center"/>
              <w:rPr>
                <w:rFonts w:hint="eastAsia" w:ascii="宋体" w:hAnsi="宋体" w:eastAsia="宋体" w:cs="宋体"/>
                <w:i w:val="0"/>
                <w:iCs w:val="0"/>
                <w:color w:val="000000"/>
                <w:sz w:val="22"/>
                <w:szCs w:val="22"/>
                <w:u w:val="none"/>
              </w:rPr>
            </w:pPr>
          </w:p>
        </w:tc>
      </w:tr>
      <w:tr w14:paraId="40FE9F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1591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39A12886"/>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964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5D5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200QT63-60 控制柜TPK-Q18.5-1B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384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085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D4C8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1460.00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D048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1.11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4310F">
            <w:pPr>
              <w:jc w:val="center"/>
              <w:rPr>
                <w:rFonts w:hint="eastAsia" w:ascii="宋体" w:hAnsi="宋体" w:eastAsia="宋体" w:cs="宋体"/>
                <w:i w:val="0"/>
                <w:iCs w:val="0"/>
                <w:color w:val="000000"/>
                <w:sz w:val="22"/>
                <w:szCs w:val="22"/>
                <w:u w:val="none"/>
              </w:rPr>
            </w:pPr>
          </w:p>
        </w:tc>
      </w:tr>
      <w:tr w14:paraId="1362F7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C17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33E454B3"/>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AC95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潜水泵控制柜</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9008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250QJ100-72 控制柜TPK-Q30-1B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664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669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044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2160.00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8CE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0.43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6566B">
            <w:pPr>
              <w:jc w:val="center"/>
              <w:rPr>
                <w:rFonts w:hint="eastAsia" w:ascii="宋体" w:hAnsi="宋体" w:eastAsia="宋体" w:cs="宋体"/>
                <w:i w:val="0"/>
                <w:iCs w:val="0"/>
                <w:color w:val="000000"/>
                <w:sz w:val="22"/>
                <w:szCs w:val="22"/>
                <w:u w:val="none"/>
              </w:rPr>
            </w:pPr>
          </w:p>
        </w:tc>
      </w:tr>
      <w:tr w14:paraId="54FD3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4EA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73B47C31"/>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0681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变频控制柜</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84D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变频控制柜22Kw(1路主泵1路施肥机3路搅拌机）</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7BC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418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BEA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8600.00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B8A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2.58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711E8">
            <w:pPr>
              <w:jc w:val="center"/>
              <w:rPr>
                <w:rFonts w:hint="eastAsia" w:ascii="宋体" w:hAnsi="宋体" w:eastAsia="宋体" w:cs="宋体"/>
                <w:i w:val="0"/>
                <w:iCs w:val="0"/>
                <w:color w:val="000000"/>
                <w:sz w:val="22"/>
                <w:szCs w:val="22"/>
                <w:u w:val="none"/>
              </w:rPr>
            </w:pPr>
          </w:p>
        </w:tc>
      </w:tr>
      <w:tr w14:paraId="3692CB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9C5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33BC5A1B"/>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4CE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变频控制柜</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8E4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变频控制柜11Kw(1路主泵1路施肥机3路搅拌机）</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7C0E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95EF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E23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6000.00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86D1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4.80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92B05">
            <w:pPr>
              <w:jc w:val="center"/>
              <w:rPr>
                <w:rFonts w:hint="eastAsia" w:ascii="宋体" w:hAnsi="宋体" w:eastAsia="宋体" w:cs="宋体"/>
                <w:i w:val="0"/>
                <w:iCs w:val="0"/>
                <w:color w:val="000000"/>
                <w:sz w:val="22"/>
                <w:szCs w:val="22"/>
                <w:u w:val="none"/>
              </w:rPr>
            </w:pPr>
          </w:p>
        </w:tc>
      </w:tr>
      <w:tr w14:paraId="1AFB0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590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45</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594EFC71"/>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1B3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土壤墒情监测仪</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ACD3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TZSQ-40，太阳能供电，动态监测，实时上传数据</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F6C8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BAED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E73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21840.00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3AC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24.02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755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可测量土壤温度、含水率、电导率、PH值</w:t>
            </w:r>
          </w:p>
        </w:tc>
      </w:tr>
      <w:tr w14:paraId="7273A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293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46</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5AC1FEB4"/>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5399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PLC控制系统</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AE3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S7-200 SMART(带扩展模块）含控制软件</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202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EC9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C7D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27480.00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0192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30.23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07BA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可手动运行，也可与土壤墒情监测仪，无线解码器模块联动，控制泵及施肥机运行，为农林智能控制提供基础</w:t>
            </w:r>
          </w:p>
        </w:tc>
      </w:tr>
      <w:tr w14:paraId="288347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D811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47</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7C2F804A"/>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F38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碟片过滤器</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F1B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T303-4"法兰接口</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599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5DE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9DC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12560.00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A55F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13.82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FCC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带自动反冲洗功能</w:t>
            </w:r>
          </w:p>
        </w:tc>
      </w:tr>
      <w:tr w14:paraId="3AF5E3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5BED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48</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3A4E4011"/>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DAC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砂石过滤器</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F49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3216-2A,罐体直径800mm2组（60m³/h-80m³/h）</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9DC0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E56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5C7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16750.00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15BE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18.43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8F4F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带自动反冲洗功能</w:t>
            </w:r>
          </w:p>
        </w:tc>
      </w:tr>
      <w:tr w14:paraId="229DD1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513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49</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0A39769D"/>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2B1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农用流量表</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019D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XBO-E100L/T/1/F/1/1配套施肥机485传输</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E538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468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F88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2800.00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FB8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3.08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5EEC53">
            <w:pPr>
              <w:jc w:val="center"/>
              <w:rPr>
                <w:rFonts w:hint="eastAsia" w:ascii="宋体" w:hAnsi="宋体" w:eastAsia="宋体" w:cs="宋体"/>
                <w:i w:val="0"/>
                <w:iCs w:val="0"/>
                <w:color w:val="000000"/>
                <w:sz w:val="22"/>
                <w:szCs w:val="22"/>
                <w:u w:val="none"/>
              </w:rPr>
            </w:pPr>
          </w:p>
        </w:tc>
      </w:tr>
      <w:tr w14:paraId="227FEF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669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0C43A9B0"/>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E59D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肥料搅拌桶</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7FCF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矮款1000L锥底(含底座、搅拌机和杆)</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B90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EAF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46E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6BA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9.90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CE71E">
            <w:pPr>
              <w:jc w:val="center"/>
              <w:rPr>
                <w:rFonts w:hint="eastAsia" w:ascii="宋体" w:hAnsi="宋体" w:eastAsia="宋体" w:cs="宋体"/>
                <w:i w:val="0"/>
                <w:iCs w:val="0"/>
                <w:color w:val="000000"/>
                <w:sz w:val="22"/>
                <w:szCs w:val="22"/>
                <w:u w:val="none"/>
              </w:rPr>
            </w:pPr>
          </w:p>
        </w:tc>
      </w:tr>
      <w:tr w14:paraId="3E9043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6A2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51</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4177E0AD"/>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1E65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3通道施肥一体机</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ABF8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3条吸肥通道，吸肥量可达1.2m³/h,自带阀控功能,10寸电容触摸屏，每个通道可设置不同吸肥比例，流量自动采集，自带物联网卡实现远传控制</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BD0A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F57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3FD3E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24500.00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E4E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26.95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DD2DE">
            <w:pPr>
              <w:jc w:val="center"/>
              <w:rPr>
                <w:rFonts w:hint="eastAsia" w:ascii="宋体" w:hAnsi="宋体" w:eastAsia="宋体" w:cs="宋体"/>
                <w:i w:val="0"/>
                <w:iCs w:val="0"/>
                <w:color w:val="000000"/>
                <w:sz w:val="22"/>
                <w:szCs w:val="22"/>
                <w:u w:val="none"/>
              </w:rPr>
            </w:pPr>
          </w:p>
        </w:tc>
      </w:tr>
      <w:tr w14:paraId="40561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7A42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52</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6430A369"/>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37C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管件阀门等</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84C7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管道φ32-φ110，及其管件、阀门 </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A65D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CC7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324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8800.00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26B7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9.68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825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首部系统内，连接各设备的管道阀门</w:t>
            </w:r>
          </w:p>
        </w:tc>
      </w:tr>
      <w:tr w14:paraId="2D0CB1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020B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53</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1926CD76"/>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B45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系统调试运行</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2FC3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对首部系统及减压阀进行流量，压力联动调试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869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项</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01A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894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9600.00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7A60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10.56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2FD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保证水肥一体化流量均匀</w:t>
            </w:r>
          </w:p>
        </w:tc>
      </w:tr>
      <w:tr w14:paraId="68446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AAB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54</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04D2ED27"/>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29A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系统调试运行</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1D6F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对提灌系统压力联动调试</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F555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项</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20C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E38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3600.00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38D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5.40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0A7CC">
            <w:pPr>
              <w:jc w:val="center"/>
              <w:rPr>
                <w:rFonts w:hint="eastAsia" w:ascii="宋体" w:hAnsi="宋体" w:eastAsia="宋体" w:cs="宋体"/>
                <w:i w:val="0"/>
                <w:iCs w:val="0"/>
                <w:color w:val="000000"/>
                <w:sz w:val="22"/>
                <w:szCs w:val="22"/>
                <w:u w:val="none"/>
              </w:rPr>
            </w:pPr>
          </w:p>
        </w:tc>
      </w:tr>
      <w:tr w14:paraId="534F3F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5B1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55</w:t>
            </w:r>
          </w:p>
        </w:tc>
        <w:tc>
          <w:tcPr>
            <w:tcW w:w="1498" w:type="dxa"/>
            <w:vMerge w:val="continue"/>
            <w:tcBorders>
              <w:top w:val="nil"/>
              <w:left w:val="single" w:color="000000" w:sz="4" w:space="0"/>
              <w:bottom w:val="single" w:color="000000" w:sz="4" w:space="0"/>
              <w:right w:val="single" w:color="000000" w:sz="4" w:space="0"/>
            </w:tcBorders>
            <w:shd w:val="clear" w:color="auto" w:fill="auto"/>
            <w:vAlign w:val="center"/>
          </w:tcPr>
          <w:p w14:paraId="1D44AA06"/>
        </w:tc>
        <w:tc>
          <w:tcPr>
            <w:tcW w:w="896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80C70CD">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小计</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BAADD">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180.23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14212">
            <w:pPr>
              <w:jc w:val="center"/>
              <w:rPr>
                <w:rFonts w:hint="eastAsia" w:ascii="宋体" w:hAnsi="宋体" w:eastAsia="宋体" w:cs="宋体"/>
                <w:i w:val="0"/>
                <w:iCs w:val="0"/>
                <w:color w:val="000000"/>
                <w:sz w:val="22"/>
                <w:szCs w:val="22"/>
                <w:u w:val="none"/>
              </w:rPr>
            </w:pPr>
          </w:p>
        </w:tc>
      </w:tr>
      <w:tr w14:paraId="2C44EF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1B31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56</w:t>
            </w:r>
          </w:p>
        </w:tc>
        <w:tc>
          <w:tcPr>
            <w:tcW w:w="14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52A9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电力工程</w:t>
            </w:r>
          </w:p>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777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F282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100kvA增容到250kvA</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ABA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6CE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9A5C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ED01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D12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暂估</w:t>
            </w:r>
          </w:p>
        </w:tc>
      </w:tr>
      <w:tr w14:paraId="7EC925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6593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57</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DE6085"/>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8C8F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2DD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100kvA增容到200kvA</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B7FC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FF6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69DD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140000.00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475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28.00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7E7B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暂估</w:t>
            </w:r>
          </w:p>
        </w:tc>
      </w:tr>
      <w:tr w14:paraId="5F92A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F56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58</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B2FD54"/>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80C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D74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100kvA增容到160kvA</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26BB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C40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62E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92000.00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D69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36.80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FA69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暂估</w:t>
            </w:r>
          </w:p>
        </w:tc>
      </w:tr>
      <w:tr w14:paraId="0075BD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29C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59</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1A8B9B"/>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300F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31DB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80kvA增容到100kvA</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3E4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4491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1DA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44000.00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737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13.20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FE1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暂估</w:t>
            </w:r>
          </w:p>
        </w:tc>
      </w:tr>
      <w:tr w14:paraId="748428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CA39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60</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C89EAE"/>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18C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914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50kvA增容到100kvA</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083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8CB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D73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80000.00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6491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8.00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18239">
            <w:pPr>
              <w:jc w:val="center"/>
              <w:rPr>
                <w:rFonts w:hint="eastAsia" w:ascii="宋体" w:hAnsi="宋体" w:eastAsia="宋体" w:cs="宋体"/>
                <w:i w:val="0"/>
                <w:iCs w:val="0"/>
                <w:color w:val="000000"/>
                <w:sz w:val="22"/>
                <w:szCs w:val="22"/>
                <w:u w:val="none"/>
              </w:rPr>
            </w:pPr>
          </w:p>
        </w:tc>
      </w:tr>
      <w:tr w14:paraId="26C27D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A77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61</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84A855"/>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B9B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8A4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10kvA增容到50kvA</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7E4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118E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AD96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68000.00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95E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6.80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60310">
            <w:pPr>
              <w:jc w:val="center"/>
              <w:rPr>
                <w:rFonts w:hint="eastAsia" w:ascii="宋体" w:hAnsi="宋体" w:eastAsia="宋体" w:cs="宋体"/>
                <w:i w:val="0"/>
                <w:iCs w:val="0"/>
                <w:color w:val="000000"/>
                <w:sz w:val="22"/>
                <w:szCs w:val="22"/>
                <w:u w:val="none"/>
              </w:rPr>
            </w:pPr>
          </w:p>
        </w:tc>
      </w:tr>
      <w:tr w14:paraId="2DFF6E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44A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62</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6C4145"/>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D7E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变压器增容</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17A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100kvA增容到125kvA</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950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1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B56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75D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50000.00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7B3F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10.00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C2D6A">
            <w:pPr>
              <w:jc w:val="center"/>
              <w:rPr>
                <w:rFonts w:hint="eastAsia" w:ascii="宋体" w:hAnsi="宋体" w:eastAsia="宋体" w:cs="宋体"/>
                <w:i w:val="0"/>
                <w:iCs w:val="0"/>
                <w:color w:val="000000"/>
                <w:sz w:val="22"/>
                <w:szCs w:val="22"/>
                <w:u w:val="none"/>
              </w:rPr>
            </w:pPr>
          </w:p>
        </w:tc>
      </w:tr>
      <w:tr w14:paraId="5ECD97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116B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63</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DB0B11"/>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B70B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取水口电线</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8AC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YJV4*16（含保护套管）</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5CCA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1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4DD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647.68</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8E4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6BD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5.83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7D65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暂估</w:t>
            </w:r>
          </w:p>
        </w:tc>
      </w:tr>
      <w:tr w14:paraId="45D91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F342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64</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3B8C73"/>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6F4F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电线架设</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9B1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JKLYJ-50,带绝缘（含电杆）</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9B9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m</w:t>
            </w:r>
          </w:p>
        </w:tc>
        <w:tc>
          <w:tcPr>
            <w:tcW w:w="1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048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5681.12</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29EF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95.00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5B32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53.97 </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4F6C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暂估</w:t>
            </w:r>
          </w:p>
        </w:tc>
      </w:tr>
      <w:tr w14:paraId="3A678E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CEF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65</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27EEF1"/>
        </w:tc>
        <w:tc>
          <w:tcPr>
            <w:tcW w:w="8963"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1F7C1D37">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小计</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0A037">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182.60 </w:t>
            </w:r>
          </w:p>
        </w:tc>
        <w:tc>
          <w:tcPr>
            <w:tcW w:w="13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B598A">
            <w:pPr>
              <w:jc w:val="center"/>
              <w:rPr>
                <w:rFonts w:hint="eastAsia" w:ascii="宋体" w:hAnsi="宋体" w:eastAsia="宋体" w:cs="宋体"/>
                <w:i w:val="0"/>
                <w:iCs w:val="0"/>
                <w:color w:val="000000"/>
                <w:sz w:val="22"/>
                <w:szCs w:val="22"/>
                <w:u w:val="none"/>
              </w:rPr>
            </w:pPr>
          </w:p>
        </w:tc>
      </w:tr>
      <w:tr w14:paraId="3A21D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F04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66</w:t>
            </w:r>
          </w:p>
        </w:tc>
        <w:tc>
          <w:tcPr>
            <w:tcW w:w="14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E611D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土建工程</w:t>
            </w:r>
          </w:p>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67B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泵房</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ACE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50㎡/座，砖混</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6CDC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座</w:t>
            </w:r>
          </w:p>
        </w:tc>
        <w:tc>
          <w:tcPr>
            <w:tcW w:w="14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9F3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D04D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170000.00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D60C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170.00 </w:t>
            </w:r>
          </w:p>
        </w:tc>
        <w:tc>
          <w:tcPr>
            <w:tcW w:w="13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B1DB7">
            <w:pPr>
              <w:jc w:val="center"/>
              <w:rPr>
                <w:rFonts w:hint="eastAsia" w:ascii="宋体" w:hAnsi="宋体" w:eastAsia="宋体" w:cs="宋体"/>
                <w:i w:val="0"/>
                <w:iCs w:val="0"/>
                <w:color w:val="000000"/>
                <w:sz w:val="22"/>
                <w:szCs w:val="22"/>
                <w:u w:val="none"/>
              </w:rPr>
            </w:pPr>
          </w:p>
        </w:tc>
      </w:tr>
      <w:tr w14:paraId="56DFB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DF8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67</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178976"/>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27A2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泵房</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E7633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70㎡/座，钢结构</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149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座</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ED0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DAD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290000.00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53D9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29.00 </w:t>
            </w:r>
          </w:p>
        </w:tc>
        <w:tc>
          <w:tcPr>
            <w:tcW w:w="13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E2852">
            <w:pPr>
              <w:jc w:val="center"/>
              <w:rPr>
                <w:rFonts w:hint="eastAsia" w:ascii="宋体" w:hAnsi="宋体" w:eastAsia="宋体" w:cs="宋体"/>
                <w:i w:val="0"/>
                <w:iCs w:val="0"/>
                <w:color w:val="000000"/>
                <w:sz w:val="22"/>
                <w:szCs w:val="22"/>
                <w:u w:val="none"/>
              </w:rPr>
            </w:pPr>
          </w:p>
        </w:tc>
      </w:tr>
      <w:tr w14:paraId="4EFB4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9B2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68</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371990"/>
        </w:tc>
        <w:tc>
          <w:tcPr>
            <w:tcW w:w="1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C09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取水口围堰</w:t>
            </w:r>
          </w:p>
        </w:tc>
        <w:tc>
          <w:tcPr>
            <w:tcW w:w="3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4B7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3m*3m*3m，含铁丝网及钢管装</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C753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座</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548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8B9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20000.00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748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46.00 </w:t>
            </w:r>
          </w:p>
        </w:tc>
        <w:tc>
          <w:tcPr>
            <w:tcW w:w="13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A0354">
            <w:pPr>
              <w:jc w:val="center"/>
              <w:rPr>
                <w:rFonts w:hint="eastAsia" w:ascii="宋体" w:hAnsi="宋体" w:eastAsia="宋体" w:cs="宋体"/>
                <w:i w:val="0"/>
                <w:iCs w:val="0"/>
                <w:color w:val="000000"/>
                <w:sz w:val="22"/>
                <w:szCs w:val="22"/>
                <w:u w:val="none"/>
              </w:rPr>
            </w:pPr>
          </w:p>
        </w:tc>
      </w:tr>
      <w:tr w14:paraId="40853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8368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69</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DE5DEA"/>
        </w:tc>
        <w:tc>
          <w:tcPr>
            <w:tcW w:w="1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AAF1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过滤沉砂池</w:t>
            </w:r>
          </w:p>
        </w:tc>
        <w:tc>
          <w:tcPr>
            <w:tcW w:w="3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24D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40m³/座</w:t>
            </w:r>
          </w:p>
        </w:tc>
        <w:tc>
          <w:tcPr>
            <w:tcW w:w="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456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座</w:t>
            </w:r>
          </w:p>
        </w:tc>
        <w:tc>
          <w:tcPr>
            <w:tcW w:w="14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93C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11 </w:t>
            </w:r>
          </w:p>
        </w:tc>
        <w:tc>
          <w:tcPr>
            <w:tcW w:w="15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B5F9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30000.00 </w:t>
            </w:r>
          </w:p>
        </w:tc>
        <w:tc>
          <w:tcPr>
            <w:tcW w:w="14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E272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33.00 </w:t>
            </w:r>
          </w:p>
        </w:tc>
        <w:tc>
          <w:tcPr>
            <w:tcW w:w="13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21D8F">
            <w:pPr>
              <w:jc w:val="center"/>
              <w:rPr>
                <w:rFonts w:hint="eastAsia" w:ascii="宋体" w:hAnsi="宋体" w:eastAsia="宋体" w:cs="宋体"/>
                <w:i w:val="0"/>
                <w:iCs w:val="0"/>
                <w:color w:val="000000"/>
                <w:sz w:val="22"/>
                <w:szCs w:val="22"/>
                <w:u w:val="none"/>
              </w:rPr>
            </w:pPr>
          </w:p>
        </w:tc>
      </w:tr>
      <w:tr w14:paraId="0787F8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182C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70</w:t>
            </w:r>
          </w:p>
        </w:tc>
        <w:tc>
          <w:tcPr>
            <w:tcW w:w="14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B4FF37"/>
        </w:tc>
        <w:tc>
          <w:tcPr>
            <w:tcW w:w="8963"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2B310">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小计</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7F1D0">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278.00 </w:t>
            </w:r>
          </w:p>
        </w:tc>
        <w:tc>
          <w:tcPr>
            <w:tcW w:w="13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5887C">
            <w:pPr>
              <w:jc w:val="center"/>
              <w:rPr>
                <w:rFonts w:hint="eastAsia" w:ascii="宋体" w:hAnsi="宋体" w:eastAsia="宋体" w:cs="宋体"/>
                <w:i w:val="0"/>
                <w:iCs w:val="0"/>
                <w:color w:val="000000"/>
                <w:sz w:val="22"/>
                <w:szCs w:val="22"/>
                <w:u w:val="none"/>
              </w:rPr>
            </w:pPr>
          </w:p>
        </w:tc>
      </w:tr>
      <w:tr w14:paraId="538274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B763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71</w:t>
            </w:r>
          </w:p>
        </w:tc>
        <w:tc>
          <w:tcPr>
            <w:tcW w:w="1498" w:type="dxa"/>
            <w:tcBorders>
              <w:top w:val="nil"/>
              <w:left w:val="single" w:color="000000" w:sz="4" w:space="0"/>
              <w:bottom w:val="single" w:color="000000" w:sz="4" w:space="0"/>
              <w:right w:val="nil"/>
            </w:tcBorders>
            <w:shd w:val="clear" w:color="auto" w:fill="auto"/>
            <w:noWrap/>
            <w:vAlign w:val="center"/>
          </w:tcPr>
          <w:p w14:paraId="1E9E283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材料转运</w:t>
            </w:r>
          </w:p>
        </w:tc>
        <w:tc>
          <w:tcPr>
            <w:tcW w:w="1694" w:type="dxa"/>
            <w:tcBorders>
              <w:top w:val="single" w:color="000000" w:sz="4" w:space="0"/>
              <w:left w:val="nil"/>
              <w:bottom w:val="single" w:color="000000" w:sz="4" w:space="0"/>
              <w:right w:val="nil"/>
            </w:tcBorders>
            <w:shd w:val="clear" w:color="auto" w:fill="auto"/>
            <w:noWrap/>
            <w:vAlign w:val="center"/>
          </w:tcPr>
          <w:p w14:paraId="026043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转运费</w:t>
            </w:r>
          </w:p>
        </w:tc>
        <w:tc>
          <w:tcPr>
            <w:tcW w:w="3262" w:type="dxa"/>
            <w:tcBorders>
              <w:top w:val="single" w:color="000000" w:sz="4" w:space="0"/>
              <w:left w:val="nil"/>
              <w:bottom w:val="single" w:color="000000" w:sz="4" w:space="0"/>
              <w:right w:val="nil"/>
            </w:tcBorders>
            <w:shd w:val="clear" w:color="auto" w:fill="auto"/>
            <w:noWrap/>
            <w:vAlign w:val="center"/>
          </w:tcPr>
          <w:p w14:paraId="6C8EA0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材料设备转运费</w:t>
            </w:r>
          </w:p>
        </w:tc>
        <w:tc>
          <w:tcPr>
            <w:tcW w:w="911" w:type="dxa"/>
            <w:tcBorders>
              <w:top w:val="single" w:color="000000" w:sz="4" w:space="0"/>
              <w:left w:val="nil"/>
              <w:bottom w:val="single" w:color="000000" w:sz="4" w:space="0"/>
              <w:right w:val="nil"/>
            </w:tcBorders>
            <w:shd w:val="clear" w:color="auto" w:fill="auto"/>
            <w:noWrap/>
            <w:vAlign w:val="center"/>
          </w:tcPr>
          <w:p w14:paraId="47A75C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项</w:t>
            </w:r>
          </w:p>
        </w:tc>
        <w:tc>
          <w:tcPr>
            <w:tcW w:w="1499" w:type="dxa"/>
            <w:tcBorders>
              <w:top w:val="single" w:color="000000" w:sz="4" w:space="0"/>
              <w:left w:val="nil"/>
              <w:bottom w:val="single" w:color="000000" w:sz="4" w:space="0"/>
              <w:right w:val="nil"/>
            </w:tcBorders>
            <w:shd w:val="clear" w:color="auto" w:fill="auto"/>
            <w:noWrap/>
            <w:vAlign w:val="center"/>
          </w:tcPr>
          <w:p w14:paraId="62B81E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597" w:type="dxa"/>
            <w:tcBorders>
              <w:top w:val="single" w:color="000000" w:sz="4" w:space="0"/>
              <w:left w:val="nil"/>
              <w:bottom w:val="single" w:color="000000" w:sz="4" w:space="0"/>
              <w:right w:val="single" w:color="000000" w:sz="4" w:space="0"/>
            </w:tcBorders>
            <w:shd w:val="clear" w:color="auto" w:fill="auto"/>
            <w:noWrap/>
            <w:vAlign w:val="center"/>
          </w:tcPr>
          <w:p w14:paraId="02D5D3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6500</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2CD87">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16.90 </w:t>
            </w:r>
          </w:p>
        </w:tc>
        <w:tc>
          <w:tcPr>
            <w:tcW w:w="13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E85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暂估价</w:t>
            </w:r>
          </w:p>
        </w:tc>
      </w:tr>
      <w:tr w14:paraId="5AD1E2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8BB8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72</w:t>
            </w:r>
          </w:p>
        </w:tc>
        <w:tc>
          <w:tcPr>
            <w:tcW w:w="10461"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A77FA">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合计</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F1091">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 xml:space="preserve">1472.60 </w:t>
            </w:r>
          </w:p>
        </w:tc>
        <w:tc>
          <w:tcPr>
            <w:tcW w:w="13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DD364">
            <w:pPr>
              <w:jc w:val="center"/>
              <w:rPr>
                <w:rFonts w:hint="eastAsia" w:ascii="宋体" w:hAnsi="宋体" w:eastAsia="宋体" w:cs="宋体"/>
                <w:i w:val="0"/>
                <w:iCs w:val="0"/>
                <w:color w:val="000000"/>
                <w:sz w:val="22"/>
                <w:szCs w:val="22"/>
                <w:u w:val="none"/>
              </w:rPr>
            </w:pPr>
          </w:p>
        </w:tc>
      </w:tr>
    </w:tbl>
    <w:p w14:paraId="0155E56D">
      <w:pPr>
        <w:pStyle w:val="23"/>
        <w:jc w:val="center"/>
        <w:rPr>
          <w:color w:val="auto"/>
          <w:lang w:val="en-US" w:eastAsia="zh-CN"/>
        </w:rPr>
        <w:sectPr>
          <w:pgSz w:w="16838" w:h="11906" w:orient="landscape"/>
          <w:pgMar w:top="1800" w:right="1440" w:bottom="1800" w:left="1440" w:header="851" w:footer="992" w:gutter="0"/>
          <w:cols w:space="425" w:num="1"/>
          <w:docGrid w:type="lines" w:linePitch="312" w:charSpace="0"/>
        </w:sectPr>
      </w:pPr>
    </w:p>
    <w:p w14:paraId="3830DAF7">
      <w:pPr>
        <w:pStyle w:val="4"/>
        <w:bidi w:val="0"/>
        <w:ind w:left="560"/>
        <w:rPr>
          <w:rFonts w:hint="eastAsia"/>
          <w:lang w:val="en-US" w:eastAsia="zh-CN"/>
        </w:rPr>
      </w:pPr>
      <w:bookmarkStart w:id="96" w:name="_Toc25523"/>
      <w:r>
        <w:rPr>
          <w:rFonts w:hint="eastAsia"/>
          <w:lang w:val="en-US" w:eastAsia="zh-CN"/>
        </w:rPr>
        <w:t>资金使用方式</w:t>
      </w:r>
      <w:bookmarkEnd w:id="96"/>
    </w:p>
    <w:p w14:paraId="5A1F0D35">
      <w:pPr>
        <w:jc w:val="left"/>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严格按照国家项目资金管理办法的有关规定，实行</w:t>
      </w:r>
      <w:r>
        <w:rPr>
          <w:rFonts w:hint="eastAsia" w:ascii="Calibri" w:hAnsi="Calibri" w:cs="Arial"/>
          <w:kern w:val="2"/>
          <w:sz w:val="28"/>
          <w:szCs w:val="22"/>
          <w:lang w:val="en-US" w:eastAsia="zh-CN" w:bidi="ar-SA"/>
        </w:rPr>
        <w:t>区</w:t>
      </w:r>
      <w:r>
        <w:rPr>
          <w:rFonts w:hint="eastAsia" w:ascii="Calibri" w:hAnsi="Calibri" w:eastAsia="宋体" w:cs="Arial"/>
          <w:kern w:val="2"/>
          <w:sz w:val="28"/>
          <w:szCs w:val="22"/>
          <w:lang w:val="zh-CN" w:eastAsia="zh-CN" w:bidi="ar-SA"/>
        </w:rPr>
        <w:t>级报账制和直接支付制、公示公告制、大宗物资采购等制度，确保资金专款专用。</w:t>
      </w:r>
    </w:p>
    <w:p w14:paraId="4477C81A">
      <w:pPr>
        <w:pStyle w:val="5"/>
        <w:bidi w:val="0"/>
        <w:rPr>
          <w:rFonts w:hint="eastAsia"/>
          <w:lang w:val="en-US" w:eastAsia="zh-CN"/>
        </w:rPr>
      </w:pPr>
      <w:bookmarkStart w:id="97" w:name="_Toc26445"/>
      <w:bookmarkStart w:id="98" w:name="_Toc26605"/>
      <w:r>
        <w:rPr>
          <w:rFonts w:hint="eastAsia"/>
          <w:lang w:val="en-US" w:eastAsia="zh-CN"/>
        </w:rPr>
        <w:t>严格执行招标制度</w:t>
      </w:r>
      <w:bookmarkEnd w:id="97"/>
      <w:bookmarkEnd w:id="98"/>
    </w:p>
    <w:p w14:paraId="36CC08DE">
      <w:pPr>
        <w:jc w:val="left"/>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项目通过公开招投标方式确定专业施工队承建。项目建设所需大宗物资必须实行公开招标，物资在招标、运输、分发过程中必须严格监管。</w:t>
      </w:r>
    </w:p>
    <w:p w14:paraId="2A243383">
      <w:pPr>
        <w:pStyle w:val="5"/>
        <w:bidi w:val="0"/>
        <w:rPr>
          <w:rFonts w:hint="eastAsia"/>
          <w:lang w:val="en-US" w:eastAsia="zh-CN"/>
        </w:rPr>
      </w:pPr>
      <w:bookmarkStart w:id="99" w:name="2、严格执行公示公告制度"/>
      <w:bookmarkEnd w:id="99"/>
      <w:bookmarkStart w:id="100" w:name="_Toc23887"/>
      <w:bookmarkStart w:id="101" w:name="_Toc10880"/>
      <w:r>
        <w:rPr>
          <w:rFonts w:hint="eastAsia"/>
          <w:lang w:val="en-US" w:eastAsia="zh-CN"/>
        </w:rPr>
        <w:t>严格执行公示公告制度</w:t>
      </w:r>
      <w:bookmarkEnd w:id="100"/>
      <w:bookmarkEnd w:id="101"/>
    </w:p>
    <w:p w14:paraId="01CC2A3B">
      <w:pPr>
        <w:jc w:val="left"/>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为了增强本项目建设的透明度，项目组织实施单位必须将项目建设内容等概况分别作为财务公开的主要内容在政务公开栏等固定醒目的地方公示</w:t>
      </w:r>
      <w:r>
        <w:rPr>
          <w:rFonts w:hint="eastAsia" w:ascii="Calibri" w:hAnsi="Calibri" w:eastAsia="宋体" w:cs="Arial"/>
          <w:kern w:val="2"/>
          <w:sz w:val="28"/>
          <w:szCs w:val="22"/>
          <w:lang w:val="en-US" w:eastAsia="zh-CN" w:bidi="ar-SA"/>
        </w:rPr>
        <w:t>3</w:t>
      </w:r>
      <w:r>
        <w:rPr>
          <w:rFonts w:hint="eastAsia" w:ascii="Calibri" w:hAnsi="Calibri" w:eastAsia="宋体" w:cs="Arial"/>
          <w:kern w:val="2"/>
          <w:sz w:val="28"/>
          <w:szCs w:val="22"/>
          <w:lang w:val="zh-CN" w:eastAsia="zh-CN" w:bidi="ar-SA"/>
        </w:rPr>
        <w:t>天以上，自觉接受社会监督。</w:t>
      </w:r>
    </w:p>
    <w:p w14:paraId="67F8B9FE">
      <w:pPr>
        <w:pStyle w:val="5"/>
        <w:bidi w:val="0"/>
        <w:rPr>
          <w:rFonts w:hint="eastAsia"/>
          <w:lang w:val="en-US" w:eastAsia="zh-CN"/>
        </w:rPr>
      </w:pPr>
      <w:bookmarkStart w:id="102" w:name="_Toc17668"/>
      <w:bookmarkStart w:id="103" w:name="_Toc9387"/>
      <w:r>
        <w:rPr>
          <w:rFonts w:hint="eastAsia"/>
          <w:lang w:val="en-US" w:eastAsia="zh-CN"/>
        </w:rPr>
        <w:t>财政资金使用方式</w:t>
      </w:r>
      <w:bookmarkEnd w:id="102"/>
      <w:bookmarkEnd w:id="103"/>
    </w:p>
    <w:p w14:paraId="4396CCEB">
      <w:pPr>
        <w:jc w:val="left"/>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中央财政资金主要用于项目关键设备设施的采购、安装建设和工程建设其他费用，严格按规定采用委托专业机构进行招标或政府采购的方式使用，并分类确定供货和施工单位。地方配套资金主要用于项目前期运行费用、工程建设其他费用和项目预备费，严格按规定采用分类邀请招标或比选的方式使用，并分类选择项目实施单位。</w:t>
      </w:r>
    </w:p>
    <w:p w14:paraId="722AECEB">
      <w:pPr>
        <w:jc w:val="left"/>
        <w:rPr>
          <w:rFonts w:hint="eastAsia" w:ascii="Calibri" w:hAnsi="Calibri" w:eastAsia="宋体" w:cs="Arial"/>
          <w:kern w:val="2"/>
          <w:sz w:val="28"/>
          <w:szCs w:val="22"/>
          <w:lang w:val="en-US" w:eastAsia="zh-CN" w:bidi="ar-SA"/>
        </w:rPr>
      </w:pPr>
    </w:p>
    <w:p w14:paraId="6170C5D8">
      <w:pPr>
        <w:pStyle w:val="3"/>
        <w:bidi w:val="0"/>
        <w:jc w:val="center"/>
        <w:rPr>
          <w:sz w:val="40"/>
          <w:szCs w:val="28"/>
          <w:lang w:val="en-US" w:eastAsia="zh-CN"/>
        </w:rPr>
      </w:pPr>
      <w:bookmarkStart w:id="104" w:name="_Toc3843"/>
      <w:r>
        <w:rPr>
          <w:rFonts w:hint="eastAsia"/>
          <w:sz w:val="40"/>
          <w:szCs w:val="28"/>
          <w:lang w:val="en-US" w:eastAsia="zh-CN"/>
        </w:rPr>
        <w:t>项目实施效果</w:t>
      </w:r>
      <w:bookmarkEnd w:id="104"/>
    </w:p>
    <w:p w14:paraId="32D2EF9A">
      <w:pPr>
        <w:pStyle w:val="4"/>
        <w:bidi w:val="0"/>
        <w:ind w:left="560"/>
        <w:rPr>
          <w:rFonts w:hint="eastAsia"/>
          <w:lang w:val="en-US" w:eastAsia="zh-CN"/>
        </w:rPr>
      </w:pPr>
      <w:bookmarkStart w:id="105" w:name="_Toc10723"/>
      <w:r>
        <w:rPr>
          <w:rFonts w:hint="eastAsia"/>
          <w:lang w:val="en-US" w:eastAsia="zh-CN"/>
        </w:rPr>
        <w:t>经济效益</w:t>
      </w:r>
      <w:bookmarkEnd w:id="105"/>
    </w:p>
    <w:p w14:paraId="0361D14C">
      <w:pPr>
        <w:pStyle w:val="15"/>
        <w:rPr>
          <w:rFonts w:hint="eastAsia"/>
          <w:lang w:val="en-US" w:eastAsia="zh-CN"/>
        </w:rPr>
      </w:pPr>
      <w:r>
        <w:rPr>
          <w:rFonts w:hint="eastAsia"/>
          <w:lang w:val="en-US" w:eastAsia="zh-CN"/>
        </w:rPr>
        <w:t>项目建成后，项目区农田基础设施和农业生产装备条件不断完善，耕地质量监测体系基本建立，耕地质量水平和粮食综合生产能力持续提升。项目核心示范区4000亩，实现大豆平均亩产提高25公斤左右，亩均减少化肥用量2-3公斤、节水150立方米，总产量增加75吨，大豆单价按6元/公斤计算，产值增加45万元，化肥单价按3元/公斤计算，节约化肥费用3.6万元，灌溉水节约费用约为30万元，节约人工费用约为20万元，因此，项目区经济效益为98.6万元。</w:t>
      </w:r>
    </w:p>
    <w:p w14:paraId="3633C24D">
      <w:pPr>
        <w:pStyle w:val="4"/>
        <w:bidi w:val="0"/>
        <w:ind w:left="560"/>
        <w:rPr>
          <w:rFonts w:hint="eastAsia"/>
          <w:lang w:val="en-US" w:eastAsia="zh-CN"/>
        </w:rPr>
      </w:pPr>
      <w:bookmarkStart w:id="106" w:name="_Toc14841"/>
      <w:r>
        <w:rPr>
          <w:rFonts w:hint="eastAsia"/>
          <w:lang w:val="en-US" w:eastAsia="zh-CN"/>
        </w:rPr>
        <w:t>社会效益</w:t>
      </w:r>
      <w:bookmarkEnd w:id="106"/>
    </w:p>
    <w:p w14:paraId="1432B475">
      <w:pPr>
        <w:pStyle w:val="15"/>
        <w:rPr>
          <w:rFonts w:hint="eastAsia"/>
          <w:lang w:val="en-US" w:eastAsia="zh-CN"/>
        </w:rPr>
      </w:pPr>
      <w:r>
        <w:rPr>
          <w:rFonts w:hint="eastAsia"/>
          <w:lang w:val="en-US" w:eastAsia="zh-CN"/>
        </w:rPr>
        <w:t>项目建成后，项目区实现大豆增产、农业增效、农民增收，将进一步保障全区大豆食品安全，为保障国家大豆食品安全作出贡献，将推进农村经济发展、农民富裕，促进社会、经济和谐发展，维护社会稳定。通过项目的实施，采取竞争立项、招投标（比选）、一事一议、公示制等制度，可以推进项目区民主管理的进程，增强农民参与意识；普及新品种、新技术、新机械，提高农民整体素质，促进乡风文明。项目建成后，项目区大豆加工、仓储、物流配送的大豆产业集群初步形成，对调整农业产业结构，促进农民增收、企业增效，保障正常的大豆供给需求，平抑市场物价，落实粮食和重要农产品稳定安全供给具有十分重要作用。</w:t>
      </w:r>
    </w:p>
    <w:p w14:paraId="6B962A70">
      <w:pPr>
        <w:pStyle w:val="4"/>
        <w:bidi w:val="0"/>
        <w:ind w:left="560"/>
        <w:rPr>
          <w:rFonts w:hint="eastAsia"/>
          <w:lang w:val="en-US" w:eastAsia="zh-CN"/>
        </w:rPr>
      </w:pPr>
      <w:bookmarkStart w:id="107" w:name="_Toc23624"/>
      <w:r>
        <w:rPr>
          <w:rFonts w:hint="eastAsia"/>
          <w:lang w:val="en-US" w:eastAsia="zh-CN"/>
        </w:rPr>
        <w:t>生态效益</w:t>
      </w:r>
      <w:bookmarkEnd w:id="107"/>
    </w:p>
    <w:p w14:paraId="6846777F">
      <w:pPr>
        <w:pStyle w:val="15"/>
        <w:rPr>
          <w:rFonts w:hint="eastAsia"/>
          <w:lang w:val="en-US" w:eastAsia="zh-CN"/>
        </w:rPr>
      </w:pPr>
      <w:r>
        <w:rPr>
          <w:rFonts w:hint="eastAsia"/>
          <w:lang w:val="en-US" w:eastAsia="zh-CN"/>
        </w:rPr>
        <w:t>项目建成后，项目区将实现能排能灌、能水能旱、高产稳产的目标，农业基础设施得到提升改善，抵御自然灾害能力明显增强。项目实施后，进一步优化土地利用结构，提高土地产出率，增加农民收入，改善农民生活水平，对全区经济建设起到积极促进作用。同时，通过节水灌溉技术以适量的水对农作物进行适时灌溉，直接把水送到作物的根部，保证了肥料能够即使被作物吸收，达到水、肥、药的高效利用，减少田间水、肥、药向河道的排放和流失，也减少了肥料和农药向地下水的入渗和迁移，可避免其在土壤里残留，大大减少了面源污染。</w:t>
      </w:r>
    </w:p>
    <w:p w14:paraId="7EB099C9">
      <w:pPr>
        <w:pStyle w:val="15"/>
        <w:rPr>
          <w:rFonts w:hint="eastAsia"/>
          <w:lang w:val="en-US" w:eastAsia="zh-CN"/>
        </w:rPr>
      </w:pPr>
    </w:p>
    <w:p w14:paraId="7AC0BA8C">
      <w:pPr>
        <w:pStyle w:val="15"/>
        <w:rPr>
          <w:rFonts w:hint="eastAsia"/>
          <w:lang w:val="en-US" w:eastAsia="zh-CN"/>
        </w:rPr>
      </w:pPr>
    </w:p>
    <w:p w14:paraId="0AD3A090">
      <w:pPr>
        <w:pStyle w:val="15"/>
        <w:rPr>
          <w:rFonts w:hint="eastAsia"/>
          <w:lang w:val="en-US" w:eastAsia="zh-CN"/>
        </w:rPr>
      </w:pPr>
    </w:p>
    <w:p w14:paraId="48D1BFBE">
      <w:pPr>
        <w:pStyle w:val="15"/>
        <w:rPr>
          <w:rFonts w:hint="eastAsia"/>
          <w:lang w:val="en-US" w:eastAsia="zh-CN"/>
        </w:rPr>
      </w:pPr>
    </w:p>
    <w:p w14:paraId="0167E874">
      <w:pPr>
        <w:pStyle w:val="15"/>
        <w:rPr>
          <w:rFonts w:hint="eastAsia"/>
          <w:lang w:val="en-US" w:eastAsia="zh-CN"/>
        </w:rPr>
      </w:pPr>
    </w:p>
    <w:p w14:paraId="13B7E679">
      <w:pPr>
        <w:pStyle w:val="15"/>
        <w:rPr>
          <w:rFonts w:hint="eastAsia"/>
          <w:lang w:val="en-US" w:eastAsia="zh-CN"/>
        </w:rPr>
      </w:pPr>
    </w:p>
    <w:p w14:paraId="57B854BE">
      <w:pPr>
        <w:pStyle w:val="15"/>
        <w:rPr>
          <w:rFonts w:hint="eastAsia"/>
          <w:lang w:val="en-US" w:eastAsia="zh-CN"/>
        </w:rPr>
      </w:pPr>
    </w:p>
    <w:p w14:paraId="47EA2651">
      <w:pPr>
        <w:pStyle w:val="15"/>
        <w:rPr>
          <w:rFonts w:hint="eastAsia"/>
          <w:lang w:val="en-US" w:eastAsia="zh-CN"/>
        </w:rPr>
      </w:pPr>
    </w:p>
    <w:p w14:paraId="7D95E3F1">
      <w:pPr>
        <w:pStyle w:val="15"/>
        <w:rPr>
          <w:rFonts w:hint="eastAsia"/>
          <w:lang w:val="en-US" w:eastAsia="zh-CN"/>
        </w:rPr>
      </w:pPr>
    </w:p>
    <w:p w14:paraId="2F3223AF">
      <w:pPr>
        <w:pStyle w:val="15"/>
        <w:rPr>
          <w:rFonts w:hint="eastAsia"/>
          <w:lang w:val="en-US" w:eastAsia="zh-CN"/>
        </w:rPr>
      </w:pPr>
    </w:p>
    <w:p w14:paraId="73192095">
      <w:pPr>
        <w:pStyle w:val="3"/>
        <w:bidi w:val="0"/>
        <w:rPr>
          <w:lang w:val="en-US" w:eastAsia="zh-CN"/>
        </w:rPr>
      </w:pPr>
      <w:bookmarkStart w:id="108" w:name="_Toc24475"/>
      <w:r>
        <w:rPr>
          <w:rFonts w:hint="eastAsia"/>
          <w:lang w:val="en-US" w:eastAsia="zh-CN"/>
        </w:rPr>
        <w:t>保障措施</w:t>
      </w:r>
      <w:bookmarkEnd w:id="108"/>
    </w:p>
    <w:p w14:paraId="2CE369C9">
      <w:pPr>
        <w:pStyle w:val="4"/>
        <w:bidi w:val="0"/>
        <w:ind w:left="560"/>
        <w:rPr>
          <w:rFonts w:hint="eastAsia"/>
          <w:lang w:val="en-US" w:eastAsia="zh-CN"/>
        </w:rPr>
      </w:pPr>
      <w:bookmarkStart w:id="109" w:name="_Toc12559"/>
      <w:r>
        <w:rPr>
          <w:rFonts w:hint="eastAsia"/>
          <w:lang w:val="en-US" w:eastAsia="zh-CN"/>
        </w:rPr>
        <w:t>组织保障</w:t>
      </w:r>
      <w:bookmarkEnd w:id="109"/>
    </w:p>
    <w:p w14:paraId="764B7D3E">
      <w:pPr>
        <w:pStyle w:val="5"/>
        <w:bidi w:val="0"/>
        <w:rPr>
          <w:rFonts w:hint="eastAsia"/>
          <w:lang w:val="en-US" w:eastAsia="zh-CN"/>
        </w:rPr>
      </w:pPr>
      <w:bookmarkStart w:id="110" w:name="_Toc873"/>
      <w:bookmarkStart w:id="111" w:name="_Toc7132"/>
      <w:r>
        <w:rPr>
          <w:rFonts w:hint="eastAsia"/>
          <w:lang w:val="en-US" w:eastAsia="zh-CN"/>
        </w:rPr>
        <w:t>加强组织领导</w:t>
      </w:r>
      <w:bookmarkEnd w:id="110"/>
      <w:bookmarkEnd w:id="111"/>
    </w:p>
    <w:p w14:paraId="4A6E708D">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为了项目的申请、实施、验收的顺利进行，高标准高质量地完成项目目标，安居区加强了项目组织领导能力，成立了由</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人民政府、</w:t>
      </w:r>
      <w:r>
        <w:rPr>
          <w:rFonts w:hint="eastAsia" w:ascii="Calibri" w:hAnsi="Calibri" w:eastAsia="宋体" w:cs="Arial"/>
          <w:kern w:val="2"/>
          <w:sz w:val="28"/>
          <w:szCs w:val="22"/>
          <w:lang w:val="en-US" w:eastAsia="zh-CN" w:bidi="ar-SA"/>
        </w:rPr>
        <w:t>区委</w:t>
      </w:r>
      <w:r>
        <w:rPr>
          <w:rFonts w:hint="eastAsia" w:ascii="Calibri" w:hAnsi="Calibri" w:eastAsia="宋体" w:cs="Arial"/>
          <w:kern w:val="2"/>
          <w:sz w:val="28"/>
          <w:szCs w:val="22"/>
          <w:lang w:val="zh-CN" w:eastAsia="zh-CN" w:bidi="ar-SA"/>
        </w:rPr>
        <w:t>政府办公室、</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发展和改革局、</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财政局、</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农业农村局、</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自然资源局、</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生态环境局、</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林业局、各</w:t>
      </w:r>
      <w:r>
        <w:rPr>
          <w:rFonts w:hint="eastAsia" w:ascii="Calibri" w:hAnsi="Calibri" w:eastAsia="宋体" w:cs="Arial"/>
          <w:kern w:val="2"/>
          <w:sz w:val="28"/>
          <w:szCs w:val="22"/>
          <w:lang w:val="en-US" w:eastAsia="zh-CN" w:bidi="ar-SA"/>
        </w:rPr>
        <w:t>乡</w:t>
      </w:r>
      <w:r>
        <w:rPr>
          <w:rFonts w:hint="eastAsia" w:ascii="Calibri" w:hAnsi="Calibri" w:eastAsia="宋体" w:cs="Arial"/>
          <w:kern w:val="2"/>
          <w:sz w:val="28"/>
          <w:szCs w:val="22"/>
          <w:lang w:val="zh-CN" w:eastAsia="zh-CN" w:bidi="ar-SA"/>
        </w:rPr>
        <w:t>镇主要领导为成员的项目工作领导小组，负责解决项目推进过程中的规划指导、统筹协调、资源整合、检查监督等事项，在全县上下形成“主要领导亲自抓、分管领导具体抓、相关部门协同抓、社会各界参与抓”的工作格局。</w:t>
      </w:r>
    </w:p>
    <w:p w14:paraId="3DF944D9">
      <w:pPr>
        <w:pStyle w:val="5"/>
        <w:bidi w:val="0"/>
        <w:rPr>
          <w:rFonts w:hint="eastAsia"/>
          <w:lang w:val="en-US" w:eastAsia="zh-CN"/>
        </w:rPr>
      </w:pPr>
      <w:bookmarkStart w:id="112" w:name="_Toc17630"/>
      <w:bookmarkStart w:id="113" w:name="_Toc10671"/>
      <w:r>
        <w:rPr>
          <w:rFonts w:hint="eastAsia"/>
          <w:lang w:val="en-US" w:eastAsia="zh-CN"/>
        </w:rPr>
        <w:t>建立协调联动机制</w:t>
      </w:r>
      <w:bookmarkEnd w:id="112"/>
      <w:bookmarkEnd w:id="113"/>
    </w:p>
    <w:p w14:paraId="15E0EE0D">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政府强化了</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直部门的联动责任，</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农业农村局发挥好牵头抓总作用，加强对上对下的协调联系，加强对项目建设业主的业务指导和政策支持。组织部门要发挥好组织管理作用，加大项目建设实施情况的督导检查力度，对不能按时按质按量建设的项目业主进行通报批评、项目召回换人。农业农村、财政、发改等有关部门要发挥好职能作用，整合全县涉农资金，在项目、资金等方面对</w:t>
      </w:r>
      <w:r>
        <w:rPr>
          <w:rFonts w:hint="eastAsia" w:ascii="Calibri" w:hAnsi="Calibri" w:eastAsia="宋体" w:cs="Arial"/>
          <w:kern w:val="2"/>
          <w:sz w:val="28"/>
          <w:szCs w:val="22"/>
          <w:lang w:val="en-US" w:eastAsia="zh-CN" w:bidi="ar-SA"/>
        </w:rPr>
        <w:t>大豆单产提升项目</w:t>
      </w:r>
      <w:r>
        <w:rPr>
          <w:rFonts w:hint="eastAsia" w:ascii="Calibri" w:hAnsi="Calibri" w:eastAsia="宋体" w:cs="Arial"/>
          <w:kern w:val="2"/>
          <w:sz w:val="28"/>
          <w:szCs w:val="22"/>
          <w:lang w:val="zh-CN" w:eastAsia="zh-CN" w:bidi="ar-SA"/>
        </w:rPr>
        <w:t>给予大力支持，通过全县各部门的协调联动、无缝连接，共同推动</w:t>
      </w:r>
      <w:r>
        <w:rPr>
          <w:rFonts w:hint="eastAsia" w:ascii="Calibri" w:hAnsi="Calibri" w:eastAsia="宋体" w:cs="Arial"/>
          <w:kern w:val="2"/>
          <w:sz w:val="28"/>
          <w:szCs w:val="22"/>
          <w:lang w:val="en-US" w:eastAsia="zh-CN" w:bidi="ar-SA"/>
        </w:rPr>
        <w:t>遂宁市安居区大豆单产提升项目</w:t>
      </w:r>
      <w:r>
        <w:rPr>
          <w:rFonts w:hint="eastAsia" w:ascii="Calibri" w:hAnsi="Calibri" w:eastAsia="宋体" w:cs="Arial"/>
          <w:kern w:val="2"/>
          <w:sz w:val="28"/>
          <w:szCs w:val="22"/>
          <w:lang w:val="zh-CN" w:eastAsia="zh-CN" w:bidi="ar-SA"/>
        </w:rPr>
        <w:t>的各项建设任务高质量完成。</w:t>
      </w:r>
    </w:p>
    <w:p w14:paraId="7D262F9A">
      <w:pPr>
        <w:pStyle w:val="5"/>
        <w:bidi w:val="0"/>
        <w:rPr>
          <w:rFonts w:hint="eastAsia" w:ascii="仿宋" w:hAnsi="仿宋" w:eastAsia="仿宋" w:cs="仿宋"/>
          <w:color w:val="auto"/>
          <w:sz w:val="28"/>
          <w:szCs w:val="28"/>
          <w:highlight w:val="none"/>
          <w:lang w:val="en-US" w:eastAsia="zh-CN"/>
        </w:rPr>
      </w:pPr>
      <w:bookmarkStart w:id="114" w:name="_Toc28455"/>
      <w:r>
        <w:rPr>
          <w:rFonts w:hint="eastAsia" w:ascii="仿宋" w:hAnsi="仿宋" w:cs="仿宋"/>
          <w:color w:val="auto"/>
          <w:sz w:val="28"/>
          <w:szCs w:val="28"/>
          <w:highlight w:val="none"/>
          <w:lang w:val="en-US" w:eastAsia="zh-CN"/>
        </w:rPr>
        <w:t xml:space="preserve"> </w:t>
      </w:r>
      <w:bookmarkStart w:id="115" w:name="_Toc4725"/>
      <w:r>
        <w:rPr>
          <w:rFonts w:hint="eastAsia" w:ascii="仿宋" w:hAnsi="仿宋" w:cs="仿宋"/>
          <w:color w:val="auto"/>
          <w:sz w:val="28"/>
          <w:szCs w:val="28"/>
          <w:highlight w:val="none"/>
          <w:lang w:val="en-US" w:eastAsia="zh-CN"/>
        </w:rPr>
        <w:t>监督管理</w:t>
      </w:r>
      <w:r>
        <w:rPr>
          <w:rFonts w:hint="eastAsia" w:ascii="仿宋" w:hAnsi="仿宋" w:eastAsia="仿宋" w:cs="仿宋"/>
          <w:color w:val="auto"/>
          <w:sz w:val="28"/>
          <w:szCs w:val="28"/>
          <w:highlight w:val="none"/>
          <w:lang w:val="en-US" w:eastAsia="zh-CN"/>
        </w:rPr>
        <w:t>机制</w:t>
      </w:r>
      <w:bookmarkEnd w:id="114"/>
      <w:bookmarkEnd w:id="115"/>
    </w:p>
    <w:p w14:paraId="2E7A6B11">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本项目在安居区委、区政府、区农业农村局、区自然资源局、区财政局等相关部门的监督下进行建设，相关部门需定期对项目建设工作进行检查，并形成完备的全过程书面和影像资料进行存档备案。</w:t>
      </w:r>
    </w:p>
    <w:p w14:paraId="2C79C6B1">
      <w:pPr>
        <w:pStyle w:val="4"/>
        <w:bidi w:val="0"/>
        <w:ind w:left="560"/>
        <w:rPr>
          <w:rFonts w:hint="eastAsia"/>
          <w:lang w:val="en-US" w:eastAsia="zh-CN"/>
        </w:rPr>
      </w:pPr>
      <w:bookmarkStart w:id="116" w:name="_Toc27282"/>
      <w:bookmarkStart w:id="117" w:name="_Toc24192"/>
      <w:r>
        <w:rPr>
          <w:rFonts w:hint="eastAsia"/>
          <w:lang w:val="en-US" w:eastAsia="zh-CN"/>
        </w:rPr>
        <w:t>支持政策</w:t>
      </w:r>
      <w:bookmarkEnd w:id="116"/>
      <w:bookmarkEnd w:id="117"/>
    </w:p>
    <w:p w14:paraId="2C7B5331">
      <w:pPr>
        <w:pStyle w:val="5"/>
        <w:bidi w:val="0"/>
        <w:rPr>
          <w:rFonts w:hint="eastAsia"/>
          <w:lang w:val="en-US" w:eastAsia="zh-CN"/>
        </w:rPr>
      </w:pPr>
      <w:bookmarkStart w:id="118" w:name="_Toc22340"/>
      <w:bookmarkStart w:id="119" w:name="_Toc3935"/>
      <w:r>
        <w:rPr>
          <w:rFonts w:hint="eastAsia"/>
          <w:lang w:val="en-US" w:eastAsia="zh-CN"/>
        </w:rPr>
        <w:t>政策措施</w:t>
      </w:r>
      <w:bookmarkEnd w:id="118"/>
      <w:bookmarkEnd w:id="119"/>
    </w:p>
    <w:p w14:paraId="0BC2C2FF">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按照“政策引导、社会参与，重点治理、区域推进，目标分解、逐步实施”原则，根据区域经济发展特点、大豆种植发展现状、灌溉基础等情况，对畜禽粪污处理利用分类、分批、分区域进行政策支持。对于灌溉设施建设用地，国土资源部门按照土地管理法律法规规定，优先予以保障。从事大豆种植的个人和单位，享受国家规定的办理有关许可、税收、用电等优惠政策。金融机构要拓宽金融支持领域，加大对大豆种植大户的贷款扶持力度。</w:t>
      </w:r>
    </w:p>
    <w:p w14:paraId="05C471F2">
      <w:pPr>
        <w:pStyle w:val="5"/>
        <w:bidi w:val="0"/>
        <w:rPr>
          <w:rFonts w:hint="eastAsia"/>
          <w:lang w:val="en-US" w:eastAsia="zh-CN"/>
        </w:rPr>
      </w:pPr>
      <w:bookmarkStart w:id="120" w:name="_Toc11321"/>
      <w:bookmarkStart w:id="121" w:name="_Toc9276"/>
      <w:r>
        <w:rPr>
          <w:rFonts w:hint="eastAsia"/>
          <w:lang w:val="en-US" w:eastAsia="zh-CN"/>
        </w:rPr>
        <w:t>加强资金统筹整合</w:t>
      </w:r>
      <w:bookmarkEnd w:id="120"/>
      <w:bookmarkEnd w:id="121"/>
    </w:p>
    <w:p w14:paraId="70FBF50B">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一方面，对行业内涉农资金，实施“大专项+任务清单”管理模式。在实施方案和预算编制环节设置大专项，将资金整合限制在大专项内部，打消部门对资金可能被用于其他方面的顾虑，增强相关部门宏观指导能力。对所有建设内容划为约束性任务，将其他任务划为指导性任务，增强地方统筹整合能力。</w:t>
      </w:r>
    </w:p>
    <w:p w14:paraId="662C82E9">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另一方面，对行业间的涉农资金，按照稳中求进工作总基调，立足当前、着眼长远、分步实施。在预算执行环节加大统筹力度，加强性质相同、类似农业面源污染等与畜禽粪污资源化利用相近的涉农资金统筹使用，促进功能互补、用途衔接的涉农资金集中投入，推动行业间涉及畜禽粪污治理的资金在预算编制环节的源头整合，逐步实现同一工作事项按照职责分工由一个行业部门统筹负责。</w:t>
      </w:r>
    </w:p>
    <w:p w14:paraId="58F6EC37">
      <w:pPr>
        <w:pStyle w:val="4"/>
        <w:bidi w:val="0"/>
        <w:ind w:left="560"/>
        <w:rPr>
          <w:rFonts w:hint="eastAsia"/>
          <w:lang w:val="en-US" w:eastAsia="zh-CN"/>
        </w:rPr>
      </w:pPr>
      <w:bookmarkStart w:id="122" w:name="_Toc15319"/>
      <w:bookmarkStart w:id="123" w:name="_Toc13437"/>
      <w:r>
        <w:rPr>
          <w:rFonts w:hint="eastAsia"/>
          <w:lang w:val="en-US" w:eastAsia="zh-CN"/>
        </w:rPr>
        <w:t>资金保障</w:t>
      </w:r>
      <w:bookmarkEnd w:id="122"/>
      <w:bookmarkEnd w:id="123"/>
    </w:p>
    <w:p w14:paraId="1361FC6B">
      <w:pPr>
        <w:pStyle w:val="5"/>
        <w:bidi w:val="0"/>
        <w:rPr>
          <w:rFonts w:hint="eastAsia"/>
          <w:lang w:val="en-US" w:eastAsia="zh-CN"/>
        </w:rPr>
      </w:pPr>
      <w:bookmarkStart w:id="124" w:name="_Toc1903"/>
      <w:bookmarkStart w:id="125" w:name="_Toc681"/>
      <w:r>
        <w:rPr>
          <w:rFonts w:hint="eastAsia"/>
          <w:lang w:val="en-US" w:eastAsia="zh-CN"/>
        </w:rPr>
        <w:t>成立资金监管小组</w:t>
      </w:r>
      <w:bookmarkEnd w:id="124"/>
      <w:bookmarkEnd w:id="125"/>
    </w:p>
    <w:p w14:paraId="0DDEC6E8">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仿宋" w:hAnsi="仿宋" w:eastAsia="仿宋" w:cs="仿宋"/>
          <w:color w:val="auto"/>
          <w:sz w:val="28"/>
          <w:szCs w:val="28"/>
          <w:highlight w:val="none"/>
          <w:lang w:val="zh-CN" w:eastAsia="zh-CN" w:bidi="zh-CN"/>
        </w:rPr>
      </w:pPr>
      <w:r>
        <w:rPr>
          <w:rFonts w:hint="eastAsia" w:ascii="Calibri" w:hAnsi="Calibri" w:eastAsia="宋体" w:cs="Arial"/>
          <w:kern w:val="2"/>
          <w:sz w:val="28"/>
          <w:szCs w:val="22"/>
          <w:lang w:val="zh-CN" w:eastAsia="zh-CN" w:bidi="ar-SA"/>
        </w:rPr>
        <w:t>成立以</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财政局分管副局长任组长，</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纪委、</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发展和改革局、</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财政局、</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农业农村局等相关业主的主要人员为成员的资金监管小组。主要负责审核资金用途、支出金额、支出渠道，确保资金使用安全。</w:t>
      </w:r>
    </w:p>
    <w:p w14:paraId="7D4B558D">
      <w:pPr>
        <w:pStyle w:val="5"/>
        <w:bidi w:val="0"/>
        <w:rPr>
          <w:rFonts w:hint="eastAsia"/>
          <w:lang w:val="en-US" w:eastAsia="zh-CN"/>
        </w:rPr>
      </w:pPr>
      <w:bookmarkStart w:id="126" w:name="_Toc2022"/>
      <w:bookmarkStart w:id="127" w:name="_Toc5283"/>
      <w:r>
        <w:rPr>
          <w:rFonts w:hint="eastAsia"/>
          <w:lang w:val="en-US" w:eastAsia="zh-CN"/>
        </w:rPr>
        <w:t>严格资金使用</w:t>
      </w:r>
      <w:bookmarkEnd w:id="126"/>
      <w:bookmarkEnd w:id="127"/>
    </w:p>
    <w:p w14:paraId="745BACFE">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一是严格按照国家农业基本建设资金管理办法进行管理使用，要实行统一采购制度，加强资金使用的追踪检查审计监督，强化资金管理工作，提高资金使用效益。</w:t>
      </w:r>
    </w:p>
    <w:p w14:paraId="420CEDE2">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二是项目资金监管小组对项目建设进行全程监管，根据建设进度预拨部分资金，待检查验收合格后办理补助清算手续。</w:t>
      </w:r>
    </w:p>
    <w:p w14:paraId="1CA5119C">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三是实行专帐管理、专款专用，实行县级财政报账制，并报县政府领导签字同意后方可报账。</w:t>
      </w:r>
    </w:p>
    <w:p w14:paraId="0B664AFD">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仿宋" w:hAnsi="仿宋" w:eastAsia="仿宋" w:cs="仿宋"/>
          <w:color w:val="auto"/>
          <w:sz w:val="28"/>
          <w:szCs w:val="28"/>
          <w:highlight w:val="none"/>
          <w:lang w:val="zh-CN" w:eastAsia="zh-CN" w:bidi="zh-CN"/>
        </w:rPr>
      </w:pPr>
      <w:r>
        <w:rPr>
          <w:rFonts w:hint="eastAsia" w:ascii="Calibri" w:hAnsi="Calibri" w:eastAsia="宋体" w:cs="Arial"/>
          <w:kern w:val="2"/>
          <w:sz w:val="28"/>
          <w:szCs w:val="22"/>
          <w:lang w:val="zh-CN" w:eastAsia="zh-CN" w:bidi="ar-SA"/>
        </w:rPr>
        <w:t>四是项目资金拨付严格按照财务管理制度执行。</w:t>
      </w:r>
    </w:p>
    <w:p w14:paraId="70A1D2E8">
      <w:pPr>
        <w:pStyle w:val="4"/>
        <w:bidi w:val="0"/>
        <w:ind w:left="560"/>
        <w:rPr>
          <w:rFonts w:hint="eastAsia"/>
          <w:lang w:val="en-US" w:eastAsia="zh-CN"/>
        </w:rPr>
      </w:pPr>
      <w:bookmarkStart w:id="128" w:name="_Toc19788"/>
      <w:r>
        <w:rPr>
          <w:rFonts w:hint="eastAsia"/>
          <w:lang w:val="en-US" w:eastAsia="zh-CN"/>
        </w:rPr>
        <w:t xml:space="preserve"> </w:t>
      </w:r>
      <w:bookmarkStart w:id="129" w:name="_Toc5401"/>
      <w:r>
        <w:rPr>
          <w:rFonts w:hint="eastAsia"/>
          <w:lang w:val="en-US" w:eastAsia="zh-CN"/>
        </w:rPr>
        <w:t>职责分工</w:t>
      </w:r>
      <w:bookmarkEnd w:id="128"/>
      <w:bookmarkEnd w:id="129"/>
    </w:p>
    <w:p w14:paraId="2CC60886">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各乡镇人民政府是</w:t>
      </w:r>
      <w:r>
        <w:rPr>
          <w:rFonts w:hint="eastAsia" w:ascii="Calibri" w:hAnsi="Calibri" w:eastAsia="宋体" w:cs="Arial"/>
          <w:kern w:val="2"/>
          <w:sz w:val="28"/>
          <w:szCs w:val="22"/>
          <w:lang w:val="en-US" w:eastAsia="zh-CN" w:bidi="ar-SA"/>
        </w:rPr>
        <w:t>大豆单产提升项目</w:t>
      </w:r>
      <w:r>
        <w:rPr>
          <w:rFonts w:hint="eastAsia" w:ascii="Calibri" w:hAnsi="Calibri" w:eastAsia="宋体" w:cs="Arial"/>
          <w:kern w:val="2"/>
          <w:sz w:val="28"/>
          <w:szCs w:val="22"/>
          <w:lang w:val="zh-CN" w:eastAsia="zh-CN" w:bidi="ar-SA"/>
        </w:rPr>
        <w:t>的属地管理主体，要把</w:t>
      </w:r>
      <w:r>
        <w:rPr>
          <w:rFonts w:hint="eastAsia" w:ascii="Calibri" w:hAnsi="Calibri" w:eastAsia="宋体" w:cs="Arial"/>
          <w:kern w:val="2"/>
          <w:sz w:val="28"/>
          <w:szCs w:val="22"/>
          <w:lang w:val="en-US" w:eastAsia="zh-CN" w:bidi="ar-SA"/>
        </w:rPr>
        <w:t>大豆单产提升</w:t>
      </w:r>
      <w:r>
        <w:rPr>
          <w:rFonts w:hint="eastAsia" w:ascii="Calibri" w:hAnsi="Calibri" w:eastAsia="宋体" w:cs="Arial"/>
          <w:kern w:val="2"/>
          <w:sz w:val="28"/>
          <w:szCs w:val="22"/>
          <w:lang w:val="zh-CN" w:eastAsia="zh-CN" w:bidi="ar-SA"/>
        </w:rPr>
        <w:t>建设纳入本地总体发展规划，协调解决</w:t>
      </w:r>
      <w:r>
        <w:rPr>
          <w:rFonts w:hint="eastAsia" w:ascii="Calibri" w:hAnsi="Calibri" w:eastAsia="宋体" w:cs="Arial"/>
          <w:kern w:val="2"/>
          <w:sz w:val="28"/>
          <w:szCs w:val="22"/>
          <w:lang w:val="en-US" w:eastAsia="zh-CN" w:bidi="ar-SA"/>
        </w:rPr>
        <w:t>种植</w:t>
      </w:r>
      <w:r>
        <w:rPr>
          <w:rFonts w:hint="eastAsia" w:ascii="Calibri" w:hAnsi="Calibri" w:eastAsia="宋体" w:cs="Arial"/>
          <w:kern w:val="2"/>
          <w:sz w:val="28"/>
          <w:szCs w:val="22"/>
          <w:lang w:val="zh-CN" w:eastAsia="zh-CN" w:bidi="ar-SA"/>
        </w:rPr>
        <w:t>业主在发展过程中存在的实际问题，完成</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政府下达的目标任务。</w:t>
      </w:r>
    </w:p>
    <w:p w14:paraId="6C8025BF">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农业农村部门切实履行</w:t>
      </w:r>
      <w:r>
        <w:rPr>
          <w:rFonts w:hint="eastAsia" w:ascii="Calibri" w:hAnsi="Calibri" w:eastAsia="宋体" w:cs="Arial"/>
          <w:kern w:val="2"/>
          <w:sz w:val="28"/>
          <w:szCs w:val="22"/>
          <w:lang w:val="en-US" w:eastAsia="zh-CN" w:bidi="ar-SA"/>
        </w:rPr>
        <w:t>大豆单产提升项目</w:t>
      </w:r>
      <w:r>
        <w:rPr>
          <w:rFonts w:hint="eastAsia" w:ascii="Calibri" w:hAnsi="Calibri" w:eastAsia="宋体" w:cs="Arial"/>
          <w:kern w:val="2"/>
          <w:sz w:val="28"/>
          <w:szCs w:val="22"/>
          <w:lang w:val="zh-CN" w:eastAsia="zh-CN" w:bidi="ar-SA"/>
        </w:rPr>
        <w:t>推进工作领导小组办公室职责，牵头做好</w:t>
      </w:r>
      <w:r>
        <w:rPr>
          <w:rFonts w:hint="eastAsia" w:ascii="Calibri" w:hAnsi="Calibri" w:eastAsia="宋体" w:cs="Arial"/>
          <w:kern w:val="2"/>
          <w:sz w:val="28"/>
          <w:szCs w:val="22"/>
          <w:lang w:val="en-US" w:eastAsia="zh-CN" w:bidi="ar-SA"/>
        </w:rPr>
        <w:t>大豆单产提升项目</w:t>
      </w:r>
      <w:r>
        <w:rPr>
          <w:rFonts w:hint="eastAsia" w:ascii="Calibri" w:hAnsi="Calibri" w:eastAsia="宋体" w:cs="Arial"/>
          <w:kern w:val="2"/>
          <w:sz w:val="28"/>
          <w:szCs w:val="22"/>
          <w:lang w:val="zh-CN" w:eastAsia="zh-CN" w:bidi="ar-SA"/>
        </w:rPr>
        <w:t>发展规划，制定项目实施方案，按期按质量完成</w:t>
      </w:r>
      <w:r>
        <w:rPr>
          <w:rFonts w:hint="eastAsia" w:ascii="Calibri" w:hAnsi="Calibri" w:eastAsia="宋体" w:cs="Arial"/>
          <w:kern w:val="2"/>
          <w:sz w:val="28"/>
          <w:szCs w:val="22"/>
          <w:lang w:val="en-US" w:eastAsia="zh-CN" w:bidi="ar-SA"/>
        </w:rPr>
        <w:t>项目建设任务</w:t>
      </w:r>
      <w:r>
        <w:rPr>
          <w:rFonts w:hint="eastAsia" w:ascii="Calibri" w:hAnsi="Calibri" w:eastAsia="宋体" w:cs="Arial"/>
          <w:kern w:val="2"/>
          <w:sz w:val="28"/>
          <w:szCs w:val="22"/>
          <w:lang w:val="zh-CN" w:eastAsia="zh-CN" w:bidi="ar-SA"/>
        </w:rPr>
        <w:t>。</w:t>
      </w:r>
    </w:p>
    <w:p w14:paraId="3D22A8E5">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发改部门负责做好规划指导，做好项目申报立项，结合国家政策投向积极争取中央预算内投资。</w:t>
      </w:r>
    </w:p>
    <w:p w14:paraId="3FE5C04F">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财政部门负责项目资金的管理，确保专项资金使用。</w:t>
      </w:r>
    </w:p>
    <w:p w14:paraId="22624E44">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水利部门负责在</w:t>
      </w:r>
      <w:r>
        <w:rPr>
          <w:rFonts w:hint="eastAsia" w:ascii="Calibri" w:hAnsi="Calibri" w:eastAsia="宋体" w:cs="Arial"/>
          <w:kern w:val="2"/>
          <w:sz w:val="28"/>
          <w:szCs w:val="22"/>
          <w:lang w:val="en-US" w:eastAsia="zh-CN" w:bidi="ar-SA"/>
        </w:rPr>
        <w:t>提灌工程</w:t>
      </w:r>
      <w:r>
        <w:rPr>
          <w:rFonts w:hint="eastAsia" w:ascii="Calibri" w:hAnsi="Calibri" w:eastAsia="宋体" w:cs="Arial"/>
          <w:kern w:val="2"/>
          <w:sz w:val="28"/>
          <w:szCs w:val="22"/>
          <w:lang w:val="zh-CN" w:eastAsia="zh-CN" w:bidi="ar-SA"/>
        </w:rPr>
        <w:t>建设等方面要积极规划落实。</w:t>
      </w:r>
    </w:p>
    <w:p w14:paraId="6DD52507">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生态环境部门负责在严把环境影响审批关的前提下，优化环评审批服务，严格监管项目环境，对环境违法行为进行查处。</w:t>
      </w:r>
    </w:p>
    <w:p w14:paraId="37258B1D">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自然资源部门负责在坚持耕地保护制度前提下，优先支持种养结合用地需求。</w:t>
      </w:r>
    </w:p>
    <w:p w14:paraId="07F8D5ED">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供水、供电部门负责用电、用水的保障，并按照生产用水用电计价标准执行。</w:t>
      </w:r>
    </w:p>
    <w:p w14:paraId="0CE6DD21">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内金融机构负责创新金融服务方式，协调各类贴息贷款、创业贷款重点向种养结合生态循环产业倾斜，采取专业合作社担保、联户担保、活体质押等方式，加大对</w:t>
      </w:r>
      <w:r>
        <w:rPr>
          <w:rFonts w:hint="eastAsia" w:ascii="Calibri" w:hAnsi="Calibri" w:eastAsia="宋体" w:cs="Arial"/>
          <w:kern w:val="2"/>
          <w:sz w:val="28"/>
          <w:szCs w:val="22"/>
          <w:lang w:val="en-US" w:eastAsia="zh-CN" w:bidi="ar-SA"/>
        </w:rPr>
        <w:t>大豆为主的粮食</w:t>
      </w:r>
      <w:r>
        <w:rPr>
          <w:rFonts w:hint="eastAsia" w:ascii="Calibri" w:hAnsi="Calibri" w:eastAsia="宋体" w:cs="Arial"/>
          <w:kern w:val="2"/>
          <w:sz w:val="28"/>
          <w:szCs w:val="22"/>
          <w:lang w:val="zh-CN" w:eastAsia="zh-CN" w:bidi="ar-SA"/>
        </w:rPr>
        <w:t>经营主体的信贷支持力度。</w:t>
      </w:r>
    </w:p>
    <w:p w14:paraId="7EDFA17F">
      <w:pPr>
        <w:pStyle w:val="12"/>
        <w:keepNext w:val="0"/>
        <w:keepLines w:val="0"/>
        <w:pageBreakBefore w:val="0"/>
        <w:widowControl w:val="0"/>
        <w:kinsoku/>
        <w:wordWrap/>
        <w:overflowPunct/>
        <w:topLinePunct w:val="0"/>
        <w:autoSpaceDE w:val="0"/>
        <w:autoSpaceDN w:val="0"/>
        <w:bidi w:val="0"/>
        <w:adjustRightInd/>
        <w:snapToGrid/>
        <w:spacing w:before="4" w:line="365" w:lineRule="auto"/>
        <w:ind w:left="0" w:right="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经信、统计、市场监管部门分别按照各自职能职责加强生态</w:t>
      </w:r>
      <w:r>
        <w:rPr>
          <w:rFonts w:hint="eastAsia" w:ascii="Calibri" w:hAnsi="Calibri" w:eastAsia="宋体" w:cs="Arial"/>
          <w:kern w:val="2"/>
          <w:sz w:val="28"/>
          <w:szCs w:val="22"/>
          <w:lang w:val="en-US" w:eastAsia="zh-CN" w:bidi="ar-SA"/>
        </w:rPr>
        <w:t>农</w:t>
      </w:r>
      <w:r>
        <w:rPr>
          <w:rFonts w:hint="eastAsia" w:ascii="Calibri" w:hAnsi="Calibri" w:eastAsia="宋体" w:cs="Arial"/>
          <w:kern w:val="2"/>
          <w:sz w:val="28"/>
          <w:szCs w:val="22"/>
          <w:lang w:val="zh-CN" w:eastAsia="zh-CN" w:bidi="ar-SA"/>
        </w:rPr>
        <w:t>业发展的支持。</w:t>
      </w:r>
    </w:p>
    <w:p w14:paraId="7694BFBA">
      <w:pPr>
        <w:pStyle w:val="4"/>
        <w:bidi w:val="0"/>
        <w:ind w:left="560"/>
        <w:rPr>
          <w:rFonts w:hint="eastAsia"/>
          <w:lang w:val="en-US" w:eastAsia="zh-CN"/>
        </w:rPr>
      </w:pPr>
      <w:bookmarkStart w:id="130" w:name="_Toc20653"/>
      <w:bookmarkStart w:id="131" w:name="_Toc29562"/>
      <w:r>
        <w:rPr>
          <w:rFonts w:hint="eastAsia"/>
          <w:lang w:val="en-US" w:eastAsia="zh-CN"/>
        </w:rPr>
        <w:t>绩效考核</w:t>
      </w:r>
      <w:bookmarkEnd w:id="130"/>
      <w:bookmarkEnd w:id="131"/>
    </w:p>
    <w:p w14:paraId="3C042045">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仿宋" w:hAnsi="仿宋" w:eastAsia="仿宋" w:cs="仿宋"/>
          <w:color w:val="auto"/>
          <w:sz w:val="28"/>
          <w:szCs w:val="28"/>
          <w:highlight w:val="none"/>
          <w:lang w:val="zh-CN" w:eastAsia="zh-CN" w:bidi="zh-CN"/>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人民政府将</w:t>
      </w:r>
      <w:r>
        <w:rPr>
          <w:rFonts w:hint="eastAsia" w:ascii="Calibri" w:hAnsi="Calibri" w:eastAsia="宋体" w:cs="Arial"/>
          <w:kern w:val="2"/>
          <w:sz w:val="28"/>
          <w:szCs w:val="22"/>
          <w:lang w:val="en-US" w:eastAsia="zh-CN" w:bidi="ar-SA"/>
        </w:rPr>
        <w:t>大豆单产提升</w:t>
      </w:r>
      <w:r>
        <w:rPr>
          <w:rFonts w:hint="eastAsia" w:ascii="Calibri" w:hAnsi="Calibri" w:eastAsia="宋体" w:cs="Arial"/>
          <w:kern w:val="2"/>
          <w:sz w:val="28"/>
          <w:szCs w:val="22"/>
          <w:lang w:val="zh-CN" w:eastAsia="zh-CN" w:bidi="ar-SA"/>
        </w:rPr>
        <w:t>项目的推进工作纳入对乡镇政府和相关部门的年度目标绩效考评范畴，分解落实发展任务， 制定奖惩措施，严格奖惩。</w:t>
      </w:r>
    </w:p>
    <w:p w14:paraId="7DF60413">
      <w:pPr>
        <w:pStyle w:val="5"/>
        <w:bidi w:val="0"/>
        <w:rPr>
          <w:rFonts w:hint="eastAsia"/>
          <w:lang w:val="en-US" w:eastAsia="zh-CN"/>
        </w:rPr>
      </w:pPr>
      <w:bookmarkStart w:id="132" w:name="_Toc28730"/>
      <w:bookmarkStart w:id="133" w:name="_Toc5117"/>
      <w:bookmarkStart w:id="134" w:name="_Toc18725"/>
      <w:r>
        <w:rPr>
          <w:rFonts w:hint="eastAsia"/>
          <w:lang w:val="en-US" w:eastAsia="zh-CN"/>
        </w:rPr>
        <w:t>细化绩效考核指标</w:t>
      </w:r>
      <w:bookmarkEnd w:id="132"/>
      <w:bookmarkEnd w:id="133"/>
    </w:p>
    <w:p w14:paraId="5FF38166">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项目推进的绩效考核指标在</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域层面上有</w:t>
      </w:r>
      <w:r>
        <w:rPr>
          <w:rFonts w:hint="eastAsia" w:ascii="Calibri" w:hAnsi="Calibri" w:eastAsia="宋体" w:cs="Arial"/>
          <w:kern w:val="2"/>
          <w:sz w:val="28"/>
          <w:szCs w:val="22"/>
          <w:lang w:val="en-US" w:eastAsia="zh-CN" w:bidi="ar-SA"/>
        </w:rPr>
        <w:t>种植覆盖率，亩均增产效益</w:t>
      </w:r>
      <w:r>
        <w:rPr>
          <w:rFonts w:hint="eastAsia" w:ascii="Calibri" w:hAnsi="Calibri" w:eastAsia="宋体" w:cs="Arial"/>
          <w:kern w:val="2"/>
          <w:sz w:val="28"/>
          <w:szCs w:val="22"/>
          <w:lang w:val="zh-CN" w:eastAsia="zh-CN" w:bidi="ar-SA"/>
        </w:rPr>
        <w:t>，全</w:t>
      </w:r>
      <w:r>
        <w:rPr>
          <w:rFonts w:hint="eastAsia" w:ascii="Calibri" w:hAnsi="Calibri" w:eastAsia="宋体" w:cs="Arial"/>
          <w:kern w:val="2"/>
          <w:sz w:val="28"/>
          <w:szCs w:val="22"/>
          <w:lang w:val="en-US" w:eastAsia="zh-CN" w:bidi="ar-SA"/>
        </w:rPr>
        <w:t>区大豆种植片区灌溉</w:t>
      </w:r>
      <w:r>
        <w:rPr>
          <w:rFonts w:hint="eastAsia" w:ascii="Calibri" w:hAnsi="Calibri" w:eastAsia="宋体" w:cs="Arial"/>
          <w:kern w:val="2"/>
          <w:sz w:val="28"/>
          <w:szCs w:val="22"/>
          <w:lang w:val="zh-CN" w:eastAsia="zh-CN" w:bidi="ar-SA"/>
        </w:rPr>
        <w:t>设施</w:t>
      </w:r>
      <w:r>
        <w:rPr>
          <w:rFonts w:hint="eastAsia" w:ascii="Calibri" w:hAnsi="Calibri" w:eastAsia="宋体" w:cs="Arial"/>
          <w:kern w:val="2"/>
          <w:sz w:val="28"/>
          <w:szCs w:val="22"/>
          <w:lang w:val="en-US" w:eastAsia="zh-CN" w:bidi="ar-SA"/>
        </w:rPr>
        <w:t>利用</w:t>
      </w:r>
      <w:r>
        <w:rPr>
          <w:rFonts w:hint="eastAsia" w:ascii="Calibri" w:hAnsi="Calibri" w:eastAsia="宋体" w:cs="Arial"/>
          <w:kern w:val="2"/>
          <w:sz w:val="28"/>
          <w:szCs w:val="22"/>
          <w:lang w:val="zh-CN" w:eastAsia="zh-CN" w:bidi="ar-SA"/>
        </w:rPr>
        <w:t>比例等。</w:t>
      </w:r>
    </w:p>
    <w:p w14:paraId="43D59255">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仿宋" w:hAnsi="仿宋" w:eastAsia="仿宋" w:cs="仿宋"/>
          <w:color w:val="auto"/>
          <w:sz w:val="28"/>
          <w:szCs w:val="28"/>
          <w:highlight w:val="none"/>
          <w:lang w:val="zh-CN" w:eastAsia="zh-CN" w:bidi="zh-CN"/>
        </w:rPr>
      </w:pPr>
      <w:r>
        <w:rPr>
          <w:rFonts w:hint="eastAsia" w:ascii="Calibri" w:hAnsi="Calibri" w:eastAsia="宋体" w:cs="Arial"/>
          <w:kern w:val="2"/>
          <w:sz w:val="28"/>
          <w:szCs w:val="22"/>
          <w:lang w:val="zh-CN" w:eastAsia="zh-CN" w:bidi="ar-SA"/>
        </w:rPr>
        <w:t>在对各承担单位进行绩效考核时，以</w:t>
      </w:r>
      <w:r>
        <w:rPr>
          <w:rFonts w:hint="eastAsia" w:ascii="Calibri" w:hAnsi="Calibri" w:eastAsia="宋体" w:cs="Arial"/>
          <w:kern w:val="2"/>
          <w:sz w:val="28"/>
          <w:szCs w:val="22"/>
          <w:lang w:val="en-US" w:eastAsia="zh-CN" w:bidi="ar-SA"/>
        </w:rPr>
        <w:t>大豆</w:t>
      </w:r>
      <w:r>
        <w:rPr>
          <w:rFonts w:hint="eastAsia" w:ascii="Calibri" w:hAnsi="Calibri" w:eastAsia="宋体" w:cs="Arial"/>
          <w:kern w:val="2"/>
          <w:sz w:val="28"/>
          <w:szCs w:val="22"/>
          <w:lang w:val="zh-CN" w:eastAsia="zh-CN" w:bidi="ar-SA"/>
        </w:rPr>
        <w:t>生产水平提高为主要考核指标，确定项目资助企业是否达到年度建设目标。</w:t>
      </w:r>
    </w:p>
    <w:p w14:paraId="458CBED1">
      <w:pPr>
        <w:pStyle w:val="5"/>
        <w:bidi w:val="0"/>
        <w:rPr>
          <w:rFonts w:hint="eastAsia"/>
          <w:lang w:val="en-US" w:eastAsia="zh-CN"/>
        </w:rPr>
      </w:pPr>
      <w:bookmarkStart w:id="135" w:name="_Toc19648"/>
      <w:r>
        <w:rPr>
          <w:rFonts w:hint="eastAsia"/>
          <w:lang w:val="en-US" w:eastAsia="zh-CN"/>
        </w:rPr>
        <w:t>加强绩效管理</w:t>
      </w:r>
      <w:bookmarkEnd w:id="134"/>
      <w:bookmarkEnd w:id="135"/>
    </w:p>
    <w:p w14:paraId="657ED811">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仿宋" w:hAnsi="仿宋" w:eastAsia="仿宋" w:cs="仿宋"/>
          <w:color w:val="auto"/>
          <w:sz w:val="28"/>
          <w:szCs w:val="28"/>
          <w:highlight w:val="none"/>
          <w:lang w:val="zh-CN" w:eastAsia="zh-CN" w:bidi="zh-CN"/>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政府负责做好</w:t>
      </w:r>
      <w:r>
        <w:rPr>
          <w:rFonts w:hint="eastAsia" w:ascii="Calibri" w:hAnsi="Calibri" w:eastAsia="宋体" w:cs="Arial"/>
          <w:kern w:val="2"/>
          <w:sz w:val="28"/>
          <w:szCs w:val="22"/>
          <w:lang w:val="en-US" w:eastAsia="zh-CN" w:bidi="ar-SA"/>
        </w:rPr>
        <w:t>大豆单产提升</w:t>
      </w:r>
      <w:r>
        <w:rPr>
          <w:rFonts w:hint="eastAsia" w:ascii="Calibri" w:hAnsi="Calibri" w:eastAsia="宋体" w:cs="Arial"/>
          <w:kern w:val="2"/>
          <w:sz w:val="28"/>
          <w:szCs w:val="22"/>
          <w:lang w:val="zh-CN" w:eastAsia="zh-CN" w:bidi="ar-SA"/>
        </w:rPr>
        <w:t>项目的推动工作，分解下达项目建设任务；</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政府目标督查室负责制定项目专项考核办法，对建设目标、组织领导、工作重点、工程进度等进行全面督查，确保项目推进且圆满完成项目目标。</w:t>
      </w:r>
    </w:p>
    <w:p w14:paraId="34BAFFD4">
      <w:pPr>
        <w:pStyle w:val="5"/>
        <w:bidi w:val="0"/>
        <w:rPr>
          <w:rFonts w:hint="eastAsia"/>
          <w:lang w:val="en-US" w:eastAsia="zh-CN"/>
        </w:rPr>
      </w:pPr>
      <w:bookmarkStart w:id="136" w:name="_Toc12175"/>
      <w:bookmarkStart w:id="137" w:name="_Toc13849"/>
      <w:r>
        <w:rPr>
          <w:rFonts w:hint="eastAsia"/>
          <w:lang w:val="en-US" w:eastAsia="zh-CN"/>
        </w:rPr>
        <w:t>严格奖惩机制</w:t>
      </w:r>
      <w:bookmarkEnd w:id="136"/>
      <w:bookmarkEnd w:id="137"/>
    </w:p>
    <w:p w14:paraId="37A8AC93">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目标督办中心要会同</w:t>
      </w:r>
      <w:r>
        <w:rPr>
          <w:rFonts w:hint="eastAsia" w:ascii="Calibri" w:hAnsi="Calibri" w:eastAsia="宋体" w:cs="Arial"/>
          <w:kern w:val="2"/>
          <w:sz w:val="28"/>
          <w:szCs w:val="22"/>
          <w:lang w:val="en-US" w:eastAsia="zh-CN" w:bidi="ar-SA"/>
        </w:rPr>
        <w:t>区</w:t>
      </w:r>
      <w:r>
        <w:rPr>
          <w:rFonts w:hint="eastAsia" w:ascii="Calibri" w:hAnsi="Calibri" w:eastAsia="宋体" w:cs="Arial"/>
          <w:kern w:val="2"/>
          <w:sz w:val="28"/>
          <w:szCs w:val="22"/>
          <w:lang w:val="zh-CN" w:eastAsia="zh-CN" w:bidi="ar-SA"/>
        </w:rPr>
        <w:t>农业农村局每季度围绕种养结合、适度规模养殖、粪污处理利用等重点内容开展一次专项督查，通报督查结果，对工作开展不力，建设进度滞后的企业（</w:t>
      </w:r>
      <w:r>
        <w:rPr>
          <w:rFonts w:hint="eastAsia" w:ascii="Calibri" w:hAnsi="Calibri" w:eastAsia="宋体" w:cs="Arial"/>
          <w:kern w:val="2"/>
          <w:sz w:val="28"/>
          <w:szCs w:val="22"/>
          <w:lang w:val="en-US" w:eastAsia="zh-CN" w:bidi="ar-SA"/>
        </w:rPr>
        <w:t>种植</w:t>
      </w:r>
      <w:r>
        <w:rPr>
          <w:rFonts w:hint="eastAsia" w:ascii="Calibri" w:hAnsi="Calibri" w:eastAsia="宋体" w:cs="Arial"/>
          <w:kern w:val="2"/>
          <w:sz w:val="28"/>
          <w:szCs w:val="22"/>
          <w:lang w:val="zh-CN" w:eastAsia="zh-CN" w:bidi="ar-SA"/>
        </w:rPr>
        <w:t>企业、合作社）要即使予以通报，确保各项工作落到实处，并按进度完成。</w:t>
      </w:r>
    </w:p>
    <w:p w14:paraId="6AD4BC6E">
      <w:pPr>
        <w:pStyle w:val="4"/>
        <w:bidi w:val="0"/>
        <w:ind w:left="560"/>
        <w:rPr>
          <w:rFonts w:hint="eastAsia"/>
          <w:lang w:val="en-US" w:eastAsia="zh-CN"/>
        </w:rPr>
      </w:pPr>
      <w:bookmarkStart w:id="138" w:name="_Toc3052"/>
      <w:bookmarkStart w:id="139" w:name="_Toc27880"/>
      <w:r>
        <w:rPr>
          <w:rFonts w:hint="eastAsia"/>
          <w:lang w:val="en-US" w:eastAsia="zh-CN"/>
        </w:rPr>
        <w:t>招投标事项</w:t>
      </w:r>
      <w:bookmarkEnd w:id="138"/>
      <w:bookmarkEnd w:id="139"/>
    </w:p>
    <w:p w14:paraId="7F7ED5DD">
      <w:pPr>
        <w:pStyle w:val="5"/>
        <w:bidi w:val="0"/>
        <w:rPr>
          <w:rFonts w:hint="eastAsia"/>
          <w:lang w:val="en-US" w:eastAsia="zh-CN"/>
        </w:rPr>
      </w:pPr>
      <w:bookmarkStart w:id="140" w:name="_Toc24236"/>
      <w:bookmarkStart w:id="141" w:name="_Toc9896"/>
      <w:r>
        <w:rPr>
          <w:rFonts w:hint="eastAsia"/>
          <w:lang w:val="en-US" w:eastAsia="zh-CN"/>
        </w:rPr>
        <w:t>招标范围</w:t>
      </w:r>
      <w:bookmarkEnd w:id="140"/>
      <w:bookmarkEnd w:id="141"/>
    </w:p>
    <w:p w14:paraId="4EB60706">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由于</w:t>
      </w:r>
      <w:r>
        <w:rPr>
          <w:rFonts w:hint="eastAsia" w:ascii="Calibri" w:hAnsi="Calibri" w:eastAsia="宋体" w:cs="Arial"/>
          <w:kern w:val="2"/>
          <w:sz w:val="28"/>
          <w:szCs w:val="22"/>
          <w:lang w:val="en-US" w:eastAsia="zh-CN" w:bidi="ar-SA"/>
        </w:rPr>
        <w:t>大豆单产提升</w:t>
      </w:r>
      <w:r>
        <w:rPr>
          <w:rFonts w:hint="eastAsia" w:ascii="Calibri" w:hAnsi="Calibri" w:eastAsia="宋体" w:cs="Arial"/>
          <w:kern w:val="2"/>
          <w:sz w:val="28"/>
          <w:szCs w:val="22"/>
          <w:lang w:val="zh-CN" w:eastAsia="zh-CN" w:bidi="ar-SA"/>
        </w:rPr>
        <w:t>项目属于系统工程，需要有技术实力经验丰富的业主承建。对本工程的土建施工、设备制作采购、设备及管道安装、调试、培训和售后服务等各环节采取分期分标段招标方式进行招标。其中涉及部分专业设备采购、安装的，由业主单位邀请专业类公司在有关部门监督指导下完成招标。</w:t>
      </w:r>
    </w:p>
    <w:p w14:paraId="1E280E95">
      <w:pPr>
        <w:pStyle w:val="5"/>
        <w:bidi w:val="0"/>
        <w:rPr>
          <w:rFonts w:hint="eastAsia"/>
          <w:lang w:val="en-US" w:eastAsia="zh-CN"/>
        </w:rPr>
      </w:pPr>
      <w:bookmarkStart w:id="142" w:name="_Toc6483"/>
      <w:bookmarkStart w:id="143" w:name="_Toc3154"/>
      <w:r>
        <w:rPr>
          <w:rFonts w:hint="eastAsia"/>
          <w:lang w:val="en-US" w:eastAsia="zh-CN"/>
        </w:rPr>
        <w:t>招标组织形式</w:t>
      </w:r>
      <w:bookmarkEnd w:id="142"/>
      <w:bookmarkEnd w:id="143"/>
    </w:p>
    <w:p w14:paraId="013078CA">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本项目对招标内容中需要公开招投标的部分，采用委托招标的组织形式。根据《中央投资项目招标代理机构资格认定管理办法》，委托招标代理机构需具有“中央投资项目招标代理资格”或“政府采购类专项资质”。</w:t>
      </w:r>
    </w:p>
    <w:p w14:paraId="64F08EF3">
      <w:pPr>
        <w:pStyle w:val="5"/>
        <w:bidi w:val="0"/>
        <w:rPr>
          <w:rFonts w:hint="eastAsia"/>
          <w:lang w:val="en-US" w:eastAsia="zh-CN"/>
        </w:rPr>
      </w:pPr>
      <w:bookmarkStart w:id="144" w:name="_Toc14686"/>
      <w:bookmarkStart w:id="145" w:name="_Toc29244"/>
      <w:r>
        <w:rPr>
          <w:rFonts w:hint="eastAsia"/>
          <w:lang w:val="en-US" w:eastAsia="zh-CN"/>
        </w:rPr>
        <w:t>招标方式</w:t>
      </w:r>
      <w:bookmarkEnd w:id="144"/>
      <w:bookmarkEnd w:id="145"/>
    </w:p>
    <w:p w14:paraId="6632F4B3">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依据《中华人民共和国政府采购法》、《中华人民共和国招标投标法》、《必须招标的工程项目规定》（中华人民共和国国家发展和改革委员会令2018第16号）等相关法律法规的要求，项目中所涉及的货物和服务采购部分，必须按照《中华人民共和国政府采购法》相关规定开展采购程序，涉及的工程建设类部分，必须按照《中华人民共和国政府采购法》、《中华人民共和国招标投标法》等相关规定开展采购程序。</w:t>
      </w:r>
    </w:p>
    <w:p w14:paraId="30114951">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综上所述，中央投资部分统一全部实施政府采购，采用公开招标或政府采购方式采购仪器设施、机械设备和工程建设等；自筹部分采取邀请招标、询价比选或自主采购方式实施。</w:t>
      </w:r>
    </w:p>
    <w:p w14:paraId="709D3F1D">
      <w:pPr>
        <w:pStyle w:val="4"/>
        <w:bidi w:val="0"/>
        <w:ind w:left="560"/>
        <w:rPr>
          <w:rFonts w:hint="eastAsia"/>
          <w:lang w:val="en-US" w:eastAsia="zh-CN"/>
        </w:rPr>
      </w:pPr>
      <w:bookmarkStart w:id="146" w:name="_Toc22835"/>
      <w:bookmarkStart w:id="147" w:name="_Toc25266"/>
      <w:r>
        <w:rPr>
          <w:rFonts w:hint="eastAsia"/>
          <w:lang w:val="en-US" w:eastAsia="zh-CN"/>
        </w:rPr>
        <w:t>技术保障</w:t>
      </w:r>
      <w:bookmarkEnd w:id="146"/>
      <w:bookmarkEnd w:id="147"/>
    </w:p>
    <w:p w14:paraId="4497FF24">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结合安居区</w:t>
      </w:r>
      <w:r>
        <w:rPr>
          <w:rFonts w:hint="eastAsia" w:ascii="Calibri" w:hAnsi="Calibri" w:eastAsia="宋体" w:cs="Arial"/>
          <w:kern w:val="2"/>
          <w:sz w:val="28"/>
          <w:szCs w:val="22"/>
          <w:lang w:val="en-US" w:eastAsia="zh-CN" w:bidi="ar-SA"/>
        </w:rPr>
        <w:t>大豆种植</w:t>
      </w:r>
      <w:r>
        <w:rPr>
          <w:rFonts w:hint="eastAsia" w:ascii="Calibri" w:hAnsi="Calibri" w:eastAsia="宋体" w:cs="Arial"/>
          <w:kern w:val="2"/>
          <w:sz w:val="28"/>
          <w:szCs w:val="22"/>
          <w:lang w:val="zh-CN" w:eastAsia="zh-CN" w:bidi="ar-SA"/>
        </w:rPr>
        <w:t>实际情况，综合确定在安居区实行的主要技术措施包括：</w:t>
      </w:r>
    </w:p>
    <w:p w14:paraId="489E204A">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zh-CN" w:eastAsia="zh-CN" w:bidi="ar-SA"/>
        </w:rPr>
      </w:pPr>
      <w:r>
        <w:rPr>
          <w:rFonts w:hint="eastAsia" w:ascii="Calibri" w:hAnsi="Calibri" w:eastAsia="宋体" w:cs="Arial"/>
          <w:kern w:val="2"/>
          <w:sz w:val="28"/>
          <w:szCs w:val="22"/>
          <w:lang w:val="zh-CN" w:eastAsia="zh-CN" w:bidi="ar-SA"/>
        </w:rPr>
        <w:t>加强与</w:t>
      </w:r>
      <w:r>
        <w:rPr>
          <w:rFonts w:hint="eastAsia" w:ascii="Calibri" w:hAnsi="Calibri" w:eastAsia="宋体" w:cs="Arial"/>
          <w:kern w:val="2"/>
          <w:sz w:val="28"/>
          <w:szCs w:val="22"/>
          <w:lang w:val="en-US" w:eastAsia="zh-CN" w:bidi="ar-SA"/>
        </w:rPr>
        <w:t>省农业</w:t>
      </w:r>
      <w:r>
        <w:rPr>
          <w:rFonts w:hint="eastAsia" w:ascii="Calibri" w:hAnsi="Calibri" w:eastAsia="宋体" w:cs="Arial"/>
          <w:kern w:val="2"/>
          <w:sz w:val="28"/>
          <w:szCs w:val="22"/>
          <w:lang w:val="zh-CN" w:eastAsia="zh-CN" w:bidi="ar-SA"/>
        </w:rPr>
        <w:t>科学院、</w:t>
      </w:r>
      <w:r>
        <w:rPr>
          <w:rFonts w:hint="eastAsia" w:ascii="Calibri" w:hAnsi="Calibri" w:eastAsia="宋体" w:cs="Arial"/>
          <w:kern w:val="2"/>
          <w:sz w:val="28"/>
          <w:szCs w:val="22"/>
          <w:lang w:val="en-US" w:eastAsia="zh-CN" w:bidi="ar-SA"/>
        </w:rPr>
        <w:t>省</w:t>
      </w:r>
      <w:r>
        <w:rPr>
          <w:rFonts w:hint="eastAsia" w:ascii="Calibri" w:hAnsi="Calibri" w:eastAsia="宋体" w:cs="Arial"/>
          <w:kern w:val="2"/>
          <w:sz w:val="28"/>
          <w:szCs w:val="22"/>
          <w:lang w:val="zh-CN" w:eastAsia="zh-CN" w:bidi="ar-SA"/>
        </w:rPr>
        <w:t>农业科学院、</w:t>
      </w:r>
      <w:r>
        <w:rPr>
          <w:rFonts w:hint="eastAsia" w:ascii="Calibri" w:hAnsi="Calibri" w:eastAsia="宋体" w:cs="Arial"/>
          <w:kern w:val="2"/>
          <w:sz w:val="28"/>
          <w:szCs w:val="22"/>
          <w:lang w:val="en-US" w:eastAsia="zh-CN" w:bidi="ar-SA"/>
        </w:rPr>
        <w:t>省</w:t>
      </w:r>
      <w:r>
        <w:rPr>
          <w:rFonts w:hint="eastAsia" w:ascii="Calibri" w:hAnsi="Calibri" w:eastAsia="宋体" w:cs="Arial"/>
          <w:kern w:val="2"/>
          <w:sz w:val="28"/>
          <w:szCs w:val="22"/>
          <w:lang w:val="zh-CN" w:eastAsia="zh-CN" w:bidi="ar-SA"/>
        </w:rPr>
        <w:t>环境保护科学研究院、</w:t>
      </w:r>
      <w:r>
        <w:rPr>
          <w:rFonts w:hint="eastAsia" w:ascii="Calibri" w:hAnsi="Calibri" w:eastAsia="宋体" w:cs="Arial"/>
          <w:kern w:val="2"/>
          <w:sz w:val="28"/>
          <w:szCs w:val="22"/>
          <w:lang w:val="en-US" w:eastAsia="zh-CN" w:bidi="ar-SA"/>
        </w:rPr>
        <w:t>省</w:t>
      </w:r>
      <w:r>
        <w:rPr>
          <w:rFonts w:hint="eastAsia" w:ascii="Calibri" w:hAnsi="Calibri" w:eastAsia="宋体" w:cs="Arial"/>
          <w:kern w:val="2"/>
          <w:sz w:val="28"/>
          <w:szCs w:val="22"/>
          <w:lang w:val="zh-CN" w:eastAsia="zh-CN" w:bidi="ar-SA"/>
        </w:rPr>
        <w:t>农林科学院等科研院校的技术合作关系，为项目实施提供强有力的技术支撑。</w:t>
      </w:r>
    </w:p>
    <w:p w14:paraId="02C7988D">
      <w:pPr>
        <w:pStyle w:val="4"/>
        <w:bidi w:val="0"/>
        <w:ind w:left="560"/>
        <w:rPr>
          <w:rFonts w:hint="eastAsia"/>
          <w:lang w:val="en-US" w:eastAsia="zh-CN"/>
        </w:rPr>
      </w:pPr>
      <w:bookmarkStart w:id="148" w:name="_Toc13808"/>
      <w:bookmarkStart w:id="149" w:name="_Toc27132"/>
      <w:r>
        <w:rPr>
          <w:rFonts w:hint="eastAsia"/>
          <w:lang w:val="en-US" w:eastAsia="zh-CN"/>
        </w:rPr>
        <w:t>监理制度保障</w:t>
      </w:r>
      <w:bookmarkEnd w:id="148"/>
      <w:bookmarkEnd w:id="149"/>
    </w:p>
    <w:p w14:paraId="5BC3BA0A">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1、监理单位履行施工阶段的委托监理合同时，必须在施工现场建立项目监理机构。由监理单位法定代表人委派的项目监理机构的工作，全面负责委托监理合同的履行，实行总监理工程师负责制，并应对见诸于监理工作的失误而产生的严重后果负法律责任;</w:t>
      </w:r>
    </w:p>
    <w:p w14:paraId="54FA0C74">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2、项目监理机构的组织形式和规模，应根据委托监理合同规定的服务内容、服务期限、工程类别、规模、技术复杂程度、工程环境等因素确定;</w:t>
      </w:r>
    </w:p>
    <w:p w14:paraId="658F3B24">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3、项目监理机构设专业监理工程师、专业监理员，按总监理工程师、各专业监理工程师、各专业监理员三个层次进行工作，必要时可配备总监理工程师代表。项目监理机构的监理人员应专业配套，数量应满足工程项目监理工作的需醒;</w:t>
      </w:r>
    </w:p>
    <w:p w14:paraId="5D33B826">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4、总监理工程师代表的人选由总监理工程师提出来，经监理单位法定代表人同意后，由总监理工程师出面书面授权。</w:t>
      </w:r>
    </w:p>
    <w:p w14:paraId="5703F646">
      <w:pPr>
        <w:pStyle w:val="4"/>
        <w:bidi w:val="0"/>
        <w:ind w:left="560"/>
        <w:rPr>
          <w:rFonts w:hint="eastAsia"/>
          <w:lang w:val="en-US" w:eastAsia="zh-CN"/>
        </w:rPr>
      </w:pPr>
      <w:bookmarkStart w:id="150" w:name="_Toc30517"/>
      <w:bookmarkStart w:id="151" w:name="_Toc19395"/>
      <w:r>
        <w:rPr>
          <w:rFonts w:hint="eastAsia"/>
          <w:lang w:val="en-US" w:eastAsia="zh-CN"/>
        </w:rPr>
        <w:t>合同制度保障</w:t>
      </w:r>
      <w:bookmarkEnd w:id="150"/>
      <w:bookmarkEnd w:id="151"/>
    </w:p>
    <w:p w14:paraId="03FD16AD">
      <w:pPr>
        <w:pStyle w:val="5"/>
        <w:bidi w:val="0"/>
        <w:rPr>
          <w:rFonts w:hint="eastAsia"/>
          <w:lang w:val="en-US" w:eastAsia="zh-CN"/>
        </w:rPr>
      </w:pPr>
      <w:bookmarkStart w:id="152" w:name="_Toc9039"/>
      <w:bookmarkStart w:id="153" w:name="_Toc8063"/>
      <w:r>
        <w:rPr>
          <w:rFonts w:hint="eastAsia"/>
          <w:lang w:val="en-US" w:eastAsia="zh-CN"/>
        </w:rPr>
        <w:t>基本原则</w:t>
      </w:r>
      <w:bookmarkEnd w:id="152"/>
      <w:bookmarkEnd w:id="153"/>
    </w:p>
    <w:p w14:paraId="030F452F">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1、为了加强合同管理，切实保证合同的全面履行，根据《中华人民共和国合同法》、《中华人民共和国建筑法》及相关法律、法规，结合企业实际情况，制订本办法，</w:t>
      </w:r>
    </w:p>
    <w:p w14:paraId="31A1DCDD">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2、严格执行合同签订程序和工作要求。</w:t>
      </w:r>
    </w:p>
    <w:p w14:paraId="2555EFEA">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3、严格履行合同条款。如发生争议，要积极寻求解决办法，做到不卑不亢、坚持原则、有理有节。确实得不到解决，要即使向业主汇报。</w:t>
      </w:r>
    </w:p>
    <w:p w14:paraId="14C73432">
      <w:pPr>
        <w:pStyle w:val="5"/>
        <w:bidi w:val="0"/>
        <w:rPr>
          <w:rFonts w:hint="eastAsia"/>
          <w:lang w:val="en-US" w:eastAsia="zh-CN"/>
        </w:rPr>
      </w:pPr>
      <w:bookmarkStart w:id="154" w:name="_Toc14987"/>
      <w:bookmarkStart w:id="155" w:name="_Toc19123"/>
      <w:r>
        <w:rPr>
          <w:rFonts w:hint="eastAsia"/>
          <w:lang w:val="en-US" w:eastAsia="zh-CN"/>
        </w:rPr>
        <w:t>工程施工合同</w:t>
      </w:r>
      <w:bookmarkEnd w:id="154"/>
      <w:bookmarkEnd w:id="155"/>
    </w:p>
    <w:p w14:paraId="5B1D1356">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1、在工程中标后工程施工合同由业主与中标单位洽谈，并签署建设工程施工合同。</w:t>
      </w:r>
    </w:p>
    <w:p w14:paraId="070B03C2">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2、合同的主要条款商定后，由业主项目负责人负责起草文本，交由业主单位审核保证合同的公平公正性。</w:t>
      </w:r>
    </w:p>
    <w:p w14:paraId="36C9CBE1">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3、施工合同在双方签字并盖章后，交业主一份进行备案。</w:t>
      </w:r>
    </w:p>
    <w:p w14:paraId="7E20C386">
      <w:pPr>
        <w:pStyle w:val="5"/>
        <w:bidi w:val="0"/>
        <w:rPr>
          <w:rFonts w:hint="eastAsia"/>
          <w:lang w:val="en-US" w:eastAsia="zh-CN"/>
        </w:rPr>
      </w:pPr>
      <w:bookmarkStart w:id="156" w:name="_Toc8298"/>
      <w:r>
        <w:rPr>
          <w:rFonts w:hint="eastAsia"/>
          <w:lang w:val="en-US" w:eastAsia="zh-CN"/>
        </w:rPr>
        <w:t xml:space="preserve"> </w:t>
      </w:r>
      <w:bookmarkStart w:id="157" w:name="_Toc24845"/>
      <w:r>
        <w:rPr>
          <w:rFonts w:hint="eastAsia"/>
          <w:lang w:val="en-US" w:eastAsia="zh-CN"/>
        </w:rPr>
        <w:t>工程合同、协议保密工作</w:t>
      </w:r>
      <w:bookmarkEnd w:id="156"/>
      <w:bookmarkEnd w:id="157"/>
    </w:p>
    <w:p w14:paraId="3527F8A2">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仿宋" w:hAnsi="仿宋" w:eastAsia="仿宋" w:cs="仿宋"/>
          <w:color w:val="auto"/>
          <w:sz w:val="28"/>
          <w:szCs w:val="28"/>
          <w:highlight w:val="none"/>
          <w:lang w:val="en-US" w:eastAsia="zh-CN" w:bidi="zh-CN"/>
        </w:rPr>
      </w:pPr>
      <w:r>
        <w:rPr>
          <w:rFonts w:hint="eastAsia" w:ascii="Calibri" w:hAnsi="Calibri" w:eastAsia="宋体" w:cs="Arial"/>
          <w:kern w:val="2"/>
          <w:sz w:val="28"/>
          <w:szCs w:val="22"/>
          <w:lang w:val="en-US" w:eastAsia="zh-CN" w:bidi="ar-SA"/>
        </w:rPr>
        <w:t>对于工程中查阅合同及协议内容时必须经项目负责人同意，查询完毕后即使归档;原则上不得外带。</w:t>
      </w:r>
    </w:p>
    <w:p w14:paraId="79F5F160">
      <w:pPr>
        <w:pStyle w:val="4"/>
        <w:bidi w:val="0"/>
        <w:ind w:left="560"/>
        <w:rPr>
          <w:rFonts w:hint="eastAsia"/>
          <w:lang w:val="en-US" w:eastAsia="zh-CN"/>
        </w:rPr>
      </w:pPr>
      <w:bookmarkStart w:id="158" w:name="_Toc7306"/>
      <w:r>
        <w:rPr>
          <w:rFonts w:hint="eastAsia"/>
          <w:lang w:val="en-US" w:eastAsia="zh-CN"/>
        </w:rPr>
        <w:t xml:space="preserve"> </w:t>
      </w:r>
      <w:bookmarkStart w:id="159" w:name="_Toc2444"/>
      <w:r>
        <w:rPr>
          <w:rFonts w:hint="eastAsia"/>
          <w:lang w:val="en-US" w:eastAsia="zh-CN"/>
        </w:rPr>
        <w:t>项目竣工验收</w:t>
      </w:r>
      <w:bookmarkEnd w:id="158"/>
      <w:bookmarkEnd w:id="159"/>
    </w:p>
    <w:p w14:paraId="5557B40F">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11处水肥精准滴管工程、1处集中供水设施、14处提灌管网工程由各涉项目乡镇成立项目验收工作组，对项目建设进行初级验收，验收合格经属地公示5日无异议后向业主单位（区农业农村局）提交验收申请。业主单位在收到申请后，组织设计、监理等相关单位进行自查验收，对项目区全覆盖自查验收，验收合格后，向主管部门提请区级验收，主管部门组织涉及单位、相关公司对项目按照相关要求进行县级验收。县级验收合格后，主管部门向市农业局提交最终验收申请，由市农业局牵头组织市级验收。</w:t>
      </w:r>
    </w:p>
    <w:p w14:paraId="489AB19C">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验收内容：</w:t>
      </w:r>
    </w:p>
    <w:p w14:paraId="1703DFE1">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hint="eastAsia"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（一）对照项目实施方案、施工图相关资料，任务量完成情况进行验收。</w:t>
      </w:r>
    </w:p>
    <w:p w14:paraId="6CCD1C7A">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（二）设施设备运行效果。</w:t>
      </w:r>
    </w:p>
    <w:p w14:paraId="632D964F">
      <w:pPr>
        <w:pStyle w:val="4"/>
        <w:bidi w:val="0"/>
        <w:ind w:left="560"/>
        <w:rPr>
          <w:rFonts w:hint="eastAsia"/>
          <w:lang w:val="en-US" w:eastAsia="zh-CN"/>
        </w:rPr>
      </w:pPr>
      <w:bookmarkStart w:id="160" w:name="_Toc19877"/>
      <w:r>
        <w:rPr>
          <w:rFonts w:hint="eastAsia"/>
          <w:lang w:val="en-US" w:eastAsia="zh-CN"/>
        </w:rPr>
        <w:t xml:space="preserve"> </w:t>
      </w:r>
      <w:bookmarkStart w:id="161" w:name="_Toc29463"/>
      <w:r>
        <w:rPr>
          <w:rFonts w:hint="eastAsia"/>
          <w:lang w:val="en-US" w:eastAsia="zh-CN"/>
        </w:rPr>
        <w:t>建后管护制度保障</w:t>
      </w:r>
      <w:bookmarkEnd w:id="160"/>
      <w:bookmarkEnd w:id="161"/>
    </w:p>
    <w:p w14:paraId="73DA9F36">
      <w:pPr>
        <w:pStyle w:val="12"/>
        <w:keepNext w:val="0"/>
        <w:keepLines w:val="0"/>
        <w:pageBreakBefore w:val="0"/>
        <w:widowControl w:val="0"/>
        <w:kinsoku/>
        <w:wordWrap/>
        <w:overflowPunct/>
        <w:topLinePunct w:val="0"/>
        <w:autoSpaceDE w:val="0"/>
        <w:autoSpaceDN w:val="0"/>
        <w:bidi w:val="0"/>
        <w:adjustRightInd/>
        <w:snapToGrid/>
        <w:spacing w:before="0" w:line="560" w:lineRule="exact"/>
        <w:ind w:left="0" w:right="0" w:firstLine="640" w:firstLineChars="200"/>
        <w:jc w:val="both"/>
        <w:textAlignment w:val="auto"/>
        <w:rPr>
          <w:rFonts w:ascii="Calibri" w:hAnsi="Calibri" w:eastAsia="宋体" w:cs="Arial"/>
          <w:kern w:val="2"/>
          <w:sz w:val="28"/>
          <w:szCs w:val="22"/>
          <w:lang w:val="en-US" w:eastAsia="zh-CN" w:bidi="ar-SA"/>
        </w:rPr>
      </w:pPr>
      <w:r>
        <w:rPr>
          <w:rFonts w:hint="eastAsia" w:ascii="Calibri" w:hAnsi="Calibri" w:eastAsia="宋体" w:cs="Arial"/>
          <w:kern w:val="2"/>
          <w:sz w:val="28"/>
          <w:szCs w:val="22"/>
          <w:lang w:val="en-US" w:eastAsia="zh-CN" w:bidi="ar-SA"/>
        </w:rPr>
        <w:t>项目竣工验收后，由区农业农村局移交项目区资产给乡（镇）政府或种植户，负责日常运营、生产安全及设备设施的维修保障。</w:t>
      </w:r>
      <w:r>
        <w:rPr>
          <w:rFonts w:hint="eastAsia" w:ascii="Calibri" w:hAnsi="Calibri" w:eastAsia="宋体" w:cs="Arial"/>
          <w:b/>
          <w:bCs/>
          <w:kern w:val="2"/>
          <w:sz w:val="28"/>
          <w:szCs w:val="22"/>
          <w:lang w:val="en-US" w:eastAsia="zh-CN" w:bidi="ar-SA"/>
        </w:rPr>
        <w:t>注：未得到相关部门批准，不得将本项目涉及的设施毁坏、拆除、改扩建；不得将本项目内所购置的设备抵押、转让、租赁他人。</w:t>
      </w:r>
    </w:p>
    <w:p w14:paraId="2A8B70CE">
      <w:pPr>
        <w:rPr>
          <w:lang w:val="en-US"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Lucida Sans">
    <w:altName w:val="Lucida Sans Unicode"/>
    <w:panose1 w:val="020B0602030504020204"/>
    <w:charset w:val="00"/>
    <w:family w:val="auto"/>
    <w:pitch w:val="default"/>
    <w:sig w:usb0="00000000" w:usb1="00000000" w:usb2="00000000" w:usb3="00000000" w:csb0="20000001" w:csb1="00000000"/>
  </w:font>
  <w:font w:name="Lucida Sans Unicode">
    <w:panose1 w:val="020B0602030504020204"/>
    <w:charset w:val="00"/>
    <w:family w:val="auto"/>
    <w:pitch w:val="default"/>
    <w:sig w:usb0="80001AFF" w:usb1="0000396B" w:usb2="00000000" w:usb3="00000000" w:csb0="200000BF" w:csb1="D7F7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仿宋_GB2312">
    <w:altName w:val="仿宋"/>
    <w:panose1 w:val="02000000000000000000"/>
    <w:charset w:val="86"/>
    <w:family w:val="auto"/>
    <w:pitch w:val="default"/>
    <w:sig w:usb0="00000000" w:usb1="00000000" w:usb2="00000012" w:usb3="00000000" w:csb0="00040001" w:csb1="00000000"/>
  </w:font>
  <w:font w:name="方正黑体_GBK">
    <w:altName w:val="微软雅黑"/>
    <w:panose1 w:val="03000509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Helvetica">
    <w:altName w:val="Arial"/>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A05721">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2716">
    <w:pPr>
      <w:pStyle w:val="16"/>
    </w:pPr>
    <w:r>
      <w:rPr>
        <w:sz w:val="18"/>
      </w:rPr>
      <mc:AlternateContent>
        <mc:Choice Requires="wps">
          <w:drawing>
            <wp:anchor distT="0" distB="0" distL="113665" distR="113665" simplePos="0" relativeHeight="251659264" behindDoc="0" locked="0" layoutInCell="1" allowOverlap="1">
              <wp:simplePos x="0" y="0"/>
              <wp:positionH relativeFrom="margin">
                <wp:align>center</wp:align>
              </wp:positionH>
              <wp:positionV relativeFrom="paragraph">
                <wp:posOffset>0</wp:posOffset>
              </wp:positionV>
              <wp:extent cx="300990" cy="133350"/>
              <wp:effectExtent l="0" t="0" r="0" b="0"/>
              <wp:wrapNone/>
              <wp:docPr id="7" name="文本框 15"/>
              <wp:cNvGraphicFramePr/>
              <a:graphic xmlns:a="http://schemas.openxmlformats.org/drawingml/2006/main">
                <a:graphicData uri="http://schemas.microsoft.com/office/word/2010/wordprocessingShape">
                  <wps:wsp>
                    <wps:cNvSpPr/>
                    <wps:spPr>
                      <a:xfrm>
                        <a:off x="0" y="0"/>
                        <a:ext cx="301294" cy="133159"/>
                      </a:xfrm>
                      <a:prstGeom prst="rect">
                        <a:avLst/>
                      </a:prstGeom>
                      <a:noFill/>
                      <a:ln w="6350" cap="flat" cmpd="sng">
                        <a:noFill/>
                        <a:prstDash val="solid"/>
                        <a:round/>
                      </a:ln>
                    </wps:spPr>
                    <wps:txbx>
                      <w:txbxContent>
                        <w:p w14:paraId="2677DB0B">
                          <w:pPr>
                            <w:pStyle w:val="16"/>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rect id="文本框 15" o:spid="_x0000_s1026" o:spt="1" style="position:absolute;left:0pt;margin-top:0pt;height:10.5pt;width:23.7pt;mso-position-horizontal:center;mso-position-horizontal-relative:margin;mso-wrap-style:none;z-index:251659264;mso-width-relative:page;mso-height-relative:page;" filled="f" stroked="f" coordsize="21600,21600" o:gfxdata="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T7yutcAAAADAQAADwAAAAAAAAABACAAAAAiAAAAZHJz&#10;L2Rvd25yZXYueG1sUEsBAhQAFAAAAAgAh07iQL4WTD4FAgAA9QMAAA4AAAAAAAAAAQAgAAAAJgEA&#10;AGRycy9lMm9Eb2MueG1sUEsFBgAAAAAGAAYAWQEAAJ0FAAAAAA==&#10;">
              <v:fill on="f" focussize="0,0"/>
              <v:stroke on="f" weight="0.5pt" joinstyle="round"/>
              <v:imagedata o:title=""/>
              <o:lock v:ext="edit" aspectratio="f"/>
              <v:textbox inset="0mm,0mm,0mm,0mm" style="mso-fit-shape-to-text:t;">
                <w:txbxContent>
                  <w:p w14:paraId="2677DB0B">
                    <w:pPr>
                      <w:pStyle w:val="16"/>
                    </w:pPr>
                    <w:r>
                      <w:fldChar w:fldCharType="begin"/>
                    </w:r>
                    <w:r>
                      <w:instrText xml:space="preserve"> PAGE  \* MERGEFORMAT </w:instrText>
                    </w:r>
                    <w:r>
                      <w:fldChar w:fldCharType="separate"/>
                    </w:r>
                    <w:r>
                      <w:t>1</w:t>
                    </w:r>
                    <w:r>
                      <w:fldChar w:fldCharType="end"/>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FA8A0E">
    <w:pPr>
      <w:pStyle w:val="17"/>
    </w:pPr>
  </w:p>
  <w:p w14:paraId="503B27DD">
    <w:pPr>
      <w:pStyle w:val="17"/>
      <w:rPr>
        <w:rFonts w:eastAsia="宋体"/>
        <w:lang w:val="en-US" w:eastAsia="zh-CN"/>
      </w:rPr>
    </w:pPr>
    <w:r>
      <w:rPr>
        <w:rFonts w:hint="eastAsia"/>
        <w:lang w:val="en-US" w:eastAsia="zh-CN"/>
      </w:rPr>
      <w:t>遂宁市安居区大豆单产提升工程实施方案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9BFB20"/>
    <w:multiLevelType w:val="singleLevel"/>
    <w:tmpl w:val="829BFB20"/>
    <w:lvl w:ilvl="0" w:tentative="0">
      <w:start w:val="1"/>
      <w:numFmt w:val="decimal"/>
      <w:suff w:val="nothing"/>
      <w:lvlText w:val="%1、"/>
      <w:lvlJc w:val="left"/>
    </w:lvl>
  </w:abstractNum>
  <w:abstractNum w:abstractNumId="1">
    <w:nsid w:val="867AACFB"/>
    <w:multiLevelType w:val="singleLevel"/>
    <w:tmpl w:val="867AACFB"/>
    <w:lvl w:ilvl="0" w:tentative="0">
      <w:start w:val="1"/>
      <w:numFmt w:val="upperLetter"/>
      <w:lvlText w:val="%1."/>
      <w:lvlJc w:val="left"/>
      <w:pPr>
        <w:tabs>
          <w:tab w:val="left" w:pos="312"/>
        </w:tabs>
      </w:pPr>
    </w:lvl>
  </w:abstractNum>
  <w:abstractNum w:abstractNumId="2">
    <w:nsid w:val="9C5E7B42"/>
    <w:multiLevelType w:val="singleLevel"/>
    <w:tmpl w:val="9C5E7B42"/>
    <w:lvl w:ilvl="0" w:tentative="0">
      <w:start w:val="1"/>
      <w:numFmt w:val="upperLetter"/>
      <w:lvlText w:val="%1."/>
      <w:lvlJc w:val="left"/>
      <w:pPr>
        <w:tabs>
          <w:tab w:val="left" w:pos="312"/>
        </w:tabs>
      </w:pPr>
    </w:lvl>
  </w:abstractNum>
  <w:abstractNum w:abstractNumId="3">
    <w:nsid w:val="A1B66EA4"/>
    <w:multiLevelType w:val="singleLevel"/>
    <w:tmpl w:val="A1B66EA4"/>
    <w:lvl w:ilvl="0" w:tentative="0">
      <w:start w:val="1"/>
      <w:numFmt w:val="upperLetter"/>
      <w:lvlText w:val="%1."/>
      <w:lvlJc w:val="left"/>
      <w:pPr>
        <w:tabs>
          <w:tab w:val="left" w:pos="312"/>
        </w:tabs>
      </w:pPr>
    </w:lvl>
  </w:abstractNum>
  <w:abstractNum w:abstractNumId="4">
    <w:nsid w:val="A5280F71"/>
    <w:multiLevelType w:val="singleLevel"/>
    <w:tmpl w:val="A5280F71"/>
    <w:lvl w:ilvl="0" w:tentative="0">
      <w:start w:val="1"/>
      <w:numFmt w:val="upperLetter"/>
      <w:lvlText w:val="%1."/>
      <w:lvlJc w:val="left"/>
      <w:pPr>
        <w:tabs>
          <w:tab w:val="left" w:pos="312"/>
        </w:tabs>
      </w:pPr>
    </w:lvl>
  </w:abstractNum>
  <w:abstractNum w:abstractNumId="5">
    <w:nsid w:val="AC32F186"/>
    <w:multiLevelType w:val="singleLevel"/>
    <w:tmpl w:val="AC32F186"/>
    <w:lvl w:ilvl="0" w:tentative="0">
      <w:start w:val="1"/>
      <w:numFmt w:val="upperLetter"/>
      <w:lvlText w:val="%1."/>
      <w:lvlJc w:val="left"/>
      <w:pPr>
        <w:tabs>
          <w:tab w:val="left" w:pos="312"/>
        </w:tabs>
      </w:pPr>
    </w:lvl>
  </w:abstractNum>
  <w:abstractNum w:abstractNumId="6">
    <w:nsid w:val="BC66DDE8"/>
    <w:multiLevelType w:val="singleLevel"/>
    <w:tmpl w:val="BC66DDE8"/>
    <w:lvl w:ilvl="0" w:tentative="0">
      <w:start w:val="1"/>
      <w:numFmt w:val="upperLetter"/>
      <w:lvlText w:val="%1."/>
      <w:lvlJc w:val="left"/>
      <w:pPr>
        <w:tabs>
          <w:tab w:val="left" w:pos="312"/>
        </w:tabs>
      </w:pPr>
    </w:lvl>
  </w:abstractNum>
  <w:abstractNum w:abstractNumId="7">
    <w:nsid w:val="BF0BA1FC"/>
    <w:multiLevelType w:val="singleLevel"/>
    <w:tmpl w:val="BF0BA1FC"/>
    <w:lvl w:ilvl="0" w:tentative="0">
      <w:start w:val="1"/>
      <w:numFmt w:val="upperLetter"/>
      <w:lvlText w:val="%1."/>
      <w:lvlJc w:val="left"/>
      <w:pPr>
        <w:tabs>
          <w:tab w:val="left" w:pos="312"/>
        </w:tabs>
      </w:pPr>
    </w:lvl>
  </w:abstractNum>
  <w:abstractNum w:abstractNumId="8">
    <w:nsid w:val="D47CB764"/>
    <w:multiLevelType w:val="singleLevel"/>
    <w:tmpl w:val="D47CB764"/>
    <w:lvl w:ilvl="0" w:tentative="0">
      <w:start w:val="1"/>
      <w:numFmt w:val="upperLetter"/>
      <w:lvlText w:val="%1."/>
      <w:lvlJc w:val="left"/>
      <w:pPr>
        <w:tabs>
          <w:tab w:val="left" w:pos="312"/>
        </w:tabs>
      </w:pPr>
    </w:lvl>
  </w:abstractNum>
  <w:abstractNum w:abstractNumId="9">
    <w:nsid w:val="DE6D103E"/>
    <w:multiLevelType w:val="singleLevel"/>
    <w:tmpl w:val="DE6D103E"/>
    <w:lvl w:ilvl="0" w:tentative="0">
      <w:start w:val="2"/>
      <w:numFmt w:val="decimal"/>
      <w:suff w:val="nothing"/>
      <w:lvlText w:val="（%1）"/>
      <w:lvlJc w:val="left"/>
    </w:lvl>
  </w:abstractNum>
  <w:abstractNum w:abstractNumId="10">
    <w:nsid w:val="E0DCDB06"/>
    <w:multiLevelType w:val="singleLevel"/>
    <w:tmpl w:val="E0DCDB06"/>
    <w:lvl w:ilvl="0" w:tentative="0">
      <w:start w:val="1"/>
      <w:numFmt w:val="upperLetter"/>
      <w:lvlText w:val="%1."/>
      <w:lvlJc w:val="left"/>
      <w:pPr>
        <w:tabs>
          <w:tab w:val="left" w:pos="312"/>
        </w:tabs>
      </w:pPr>
    </w:lvl>
  </w:abstractNum>
  <w:abstractNum w:abstractNumId="11">
    <w:nsid w:val="E6FB22C8"/>
    <w:multiLevelType w:val="singleLevel"/>
    <w:tmpl w:val="E6FB22C8"/>
    <w:lvl w:ilvl="0" w:tentative="0">
      <w:start w:val="1"/>
      <w:numFmt w:val="upperLetter"/>
      <w:lvlText w:val="%1."/>
      <w:lvlJc w:val="left"/>
      <w:pPr>
        <w:tabs>
          <w:tab w:val="left" w:pos="312"/>
        </w:tabs>
      </w:pPr>
    </w:lvl>
  </w:abstractNum>
  <w:abstractNum w:abstractNumId="12">
    <w:nsid w:val="EBAFFC6C"/>
    <w:multiLevelType w:val="singleLevel"/>
    <w:tmpl w:val="EBAFFC6C"/>
    <w:lvl w:ilvl="0" w:tentative="0">
      <w:start w:val="1"/>
      <w:numFmt w:val="upperLetter"/>
      <w:lvlText w:val="%1."/>
      <w:lvlJc w:val="left"/>
      <w:pPr>
        <w:tabs>
          <w:tab w:val="left" w:pos="312"/>
        </w:tabs>
      </w:pPr>
    </w:lvl>
  </w:abstractNum>
  <w:abstractNum w:abstractNumId="13">
    <w:nsid w:val="F81030B3"/>
    <w:multiLevelType w:val="singleLevel"/>
    <w:tmpl w:val="F81030B3"/>
    <w:lvl w:ilvl="0" w:tentative="0">
      <w:start w:val="1"/>
      <w:numFmt w:val="upperLetter"/>
      <w:lvlText w:val="%1."/>
      <w:lvlJc w:val="left"/>
      <w:pPr>
        <w:tabs>
          <w:tab w:val="left" w:pos="312"/>
        </w:tabs>
      </w:pPr>
    </w:lvl>
  </w:abstractNum>
  <w:abstractNum w:abstractNumId="14">
    <w:nsid w:val="07F02283"/>
    <w:multiLevelType w:val="singleLevel"/>
    <w:tmpl w:val="07F02283"/>
    <w:lvl w:ilvl="0" w:tentative="0">
      <w:start w:val="1"/>
      <w:numFmt w:val="upperLetter"/>
      <w:lvlText w:val="%1."/>
      <w:lvlJc w:val="left"/>
      <w:pPr>
        <w:tabs>
          <w:tab w:val="left" w:pos="312"/>
        </w:tabs>
      </w:pPr>
    </w:lvl>
  </w:abstractNum>
  <w:abstractNum w:abstractNumId="15">
    <w:nsid w:val="0F3FD605"/>
    <w:multiLevelType w:val="singleLevel"/>
    <w:tmpl w:val="0F3FD605"/>
    <w:lvl w:ilvl="0" w:tentative="0">
      <w:start w:val="1"/>
      <w:numFmt w:val="upperLetter"/>
      <w:lvlText w:val="%1."/>
      <w:lvlJc w:val="left"/>
      <w:pPr>
        <w:tabs>
          <w:tab w:val="left" w:pos="312"/>
        </w:tabs>
      </w:pPr>
    </w:lvl>
  </w:abstractNum>
  <w:abstractNum w:abstractNumId="16">
    <w:nsid w:val="1134369E"/>
    <w:multiLevelType w:val="multilevel"/>
    <w:tmpl w:val="1134369E"/>
    <w:lvl w:ilvl="0" w:tentative="0">
      <w:start w:val="1"/>
      <w:numFmt w:val="chineseCounting"/>
      <w:pStyle w:val="3"/>
      <w:suff w:val="nothing"/>
      <w:lvlText w:val="第%1章 "/>
      <w:lvlJc w:val="left"/>
      <w:pPr>
        <w:ind w:left="432" w:hanging="432"/>
      </w:pPr>
      <w:rPr>
        <w:rFonts w:hint="eastAsia"/>
      </w:rPr>
    </w:lvl>
    <w:lvl w:ilvl="1" w:tentative="0">
      <w:start w:val="1"/>
      <w:numFmt w:val="decimal"/>
      <w:pStyle w:val="4"/>
      <w:isLgl/>
      <w:lvlText w:val="%1.%2."/>
      <w:lvlJc w:val="left"/>
      <w:pPr>
        <w:ind w:left="562" w:hanging="575"/>
      </w:pPr>
      <w:rPr>
        <w:rFonts w:hint="eastAsia"/>
      </w:rPr>
    </w:lvl>
    <w:lvl w:ilvl="2" w:tentative="0">
      <w:start w:val="1"/>
      <w:numFmt w:val="decimal"/>
      <w:pStyle w:val="5"/>
      <w:isLgl/>
      <w:lvlText w:val="%1.%2.%3."/>
      <w:lvlJc w:val="left"/>
      <w:pPr>
        <w:ind w:left="720" w:hanging="720"/>
      </w:pPr>
      <w:rPr>
        <w:rFonts w:hint="eastAsia"/>
      </w:rPr>
    </w:lvl>
    <w:lvl w:ilvl="3" w:tentative="0">
      <w:start w:val="1"/>
      <w:numFmt w:val="decimal"/>
      <w:pStyle w:val="6"/>
      <w:isLgl/>
      <w:lvlText w:val="%1.%2.%3.%4."/>
      <w:lvlJc w:val="left"/>
      <w:pPr>
        <w:ind w:left="864" w:hanging="864"/>
      </w:pPr>
      <w:rPr>
        <w:rFonts w:hint="eastAsia"/>
      </w:rPr>
    </w:lvl>
    <w:lvl w:ilvl="4" w:tentative="0">
      <w:start w:val="1"/>
      <w:numFmt w:val="decimal"/>
      <w:pStyle w:val="7"/>
      <w:isLgl/>
      <w:lvlText w:val="%1.%2.%3.%4.%5."/>
      <w:lvlJc w:val="left"/>
      <w:pPr>
        <w:ind w:left="1008" w:hanging="1008"/>
      </w:pPr>
      <w:rPr>
        <w:rFonts w:hint="eastAsia"/>
      </w:rPr>
    </w:lvl>
    <w:lvl w:ilvl="5" w:tentative="0">
      <w:start w:val="1"/>
      <w:numFmt w:val="decimal"/>
      <w:pStyle w:val="8"/>
      <w:isLgl/>
      <w:lvlText w:val="%1.%2.%3.%4.%5.%6."/>
      <w:lvlJc w:val="left"/>
      <w:pPr>
        <w:ind w:left="1151" w:hanging="1151"/>
      </w:pPr>
      <w:rPr>
        <w:rFonts w:hint="eastAsia"/>
      </w:rPr>
    </w:lvl>
    <w:lvl w:ilvl="6" w:tentative="0">
      <w:start w:val="1"/>
      <w:numFmt w:val="decimal"/>
      <w:pStyle w:val="9"/>
      <w:isLgl/>
      <w:lvlText w:val="%1.%2.%3.%4.%5.%6.%7."/>
      <w:lvlJc w:val="left"/>
      <w:pPr>
        <w:ind w:left="1296" w:hanging="1296"/>
      </w:pPr>
      <w:rPr>
        <w:rFonts w:hint="eastAsia"/>
      </w:rPr>
    </w:lvl>
    <w:lvl w:ilvl="7" w:tentative="0">
      <w:start w:val="1"/>
      <w:numFmt w:val="decimal"/>
      <w:pStyle w:val="10"/>
      <w:isLgl/>
      <w:lvlText w:val="%1.%2.%3.%4.%5.%6.%7.%8."/>
      <w:lvlJc w:val="left"/>
      <w:pPr>
        <w:ind w:left="1440" w:hanging="1440"/>
      </w:pPr>
      <w:rPr>
        <w:rFonts w:hint="eastAsia"/>
      </w:rPr>
    </w:lvl>
    <w:lvl w:ilvl="8" w:tentative="0">
      <w:start w:val="1"/>
      <w:numFmt w:val="decimal"/>
      <w:pStyle w:val="11"/>
      <w:isLgl/>
      <w:lvlText w:val="%1.%2.%3.%4.%5.%6.%7.%8.%9."/>
      <w:lvlJc w:val="left"/>
      <w:pPr>
        <w:ind w:left="1583" w:hanging="1583"/>
      </w:pPr>
      <w:rPr>
        <w:rFonts w:hint="eastAsia"/>
      </w:rPr>
    </w:lvl>
  </w:abstractNum>
  <w:abstractNum w:abstractNumId="17">
    <w:nsid w:val="129E569C"/>
    <w:multiLevelType w:val="singleLevel"/>
    <w:tmpl w:val="129E569C"/>
    <w:lvl w:ilvl="0" w:tentative="0">
      <w:start w:val="1"/>
      <w:numFmt w:val="upperLetter"/>
      <w:lvlText w:val="%1."/>
      <w:lvlJc w:val="left"/>
      <w:pPr>
        <w:tabs>
          <w:tab w:val="left" w:pos="312"/>
        </w:tabs>
      </w:pPr>
    </w:lvl>
  </w:abstractNum>
  <w:abstractNum w:abstractNumId="18">
    <w:nsid w:val="21412F6D"/>
    <w:multiLevelType w:val="singleLevel"/>
    <w:tmpl w:val="21412F6D"/>
    <w:lvl w:ilvl="0" w:tentative="0">
      <w:start w:val="1"/>
      <w:numFmt w:val="upperLetter"/>
      <w:lvlText w:val="%1."/>
      <w:lvlJc w:val="left"/>
      <w:pPr>
        <w:tabs>
          <w:tab w:val="left" w:pos="312"/>
        </w:tabs>
      </w:pPr>
    </w:lvl>
  </w:abstractNum>
  <w:abstractNum w:abstractNumId="19">
    <w:nsid w:val="22704F47"/>
    <w:multiLevelType w:val="singleLevel"/>
    <w:tmpl w:val="22704F47"/>
    <w:lvl w:ilvl="0" w:tentative="0">
      <w:start w:val="1"/>
      <w:numFmt w:val="upperLetter"/>
      <w:lvlText w:val="%1."/>
      <w:lvlJc w:val="left"/>
      <w:pPr>
        <w:tabs>
          <w:tab w:val="left" w:pos="312"/>
        </w:tabs>
      </w:pPr>
    </w:lvl>
  </w:abstractNum>
  <w:abstractNum w:abstractNumId="20">
    <w:nsid w:val="25D4D590"/>
    <w:multiLevelType w:val="singleLevel"/>
    <w:tmpl w:val="25D4D590"/>
    <w:lvl w:ilvl="0" w:tentative="0">
      <w:start w:val="1"/>
      <w:numFmt w:val="upperLetter"/>
      <w:lvlText w:val="%1."/>
      <w:lvlJc w:val="left"/>
      <w:pPr>
        <w:tabs>
          <w:tab w:val="left" w:pos="312"/>
        </w:tabs>
      </w:pPr>
    </w:lvl>
  </w:abstractNum>
  <w:abstractNum w:abstractNumId="21">
    <w:nsid w:val="2F16EF36"/>
    <w:multiLevelType w:val="singleLevel"/>
    <w:tmpl w:val="2F16EF36"/>
    <w:lvl w:ilvl="0" w:tentative="0">
      <w:start w:val="1"/>
      <w:numFmt w:val="upperLetter"/>
      <w:lvlText w:val="%1."/>
      <w:lvlJc w:val="left"/>
      <w:pPr>
        <w:tabs>
          <w:tab w:val="left" w:pos="312"/>
        </w:tabs>
      </w:pPr>
    </w:lvl>
  </w:abstractNum>
  <w:abstractNum w:abstractNumId="22">
    <w:nsid w:val="2F9A7D4E"/>
    <w:multiLevelType w:val="singleLevel"/>
    <w:tmpl w:val="2F9A7D4E"/>
    <w:lvl w:ilvl="0" w:tentative="0">
      <w:start w:val="1"/>
      <w:numFmt w:val="upperLetter"/>
      <w:lvlText w:val="%1."/>
      <w:lvlJc w:val="left"/>
      <w:pPr>
        <w:tabs>
          <w:tab w:val="left" w:pos="312"/>
        </w:tabs>
      </w:pPr>
    </w:lvl>
  </w:abstractNum>
  <w:abstractNum w:abstractNumId="23">
    <w:nsid w:val="302FE69F"/>
    <w:multiLevelType w:val="singleLevel"/>
    <w:tmpl w:val="302FE69F"/>
    <w:lvl w:ilvl="0" w:tentative="0">
      <w:start w:val="1"/>
      <w:numFmt w:val="upperLetter"/>
      <w:lvlText w:val="%1."/>
      <w:lvlJc w:val="left"/>
      <w:pPr>
        <w:tabs>
          <w:tab w:val="left" w:pos="312"/>
        </w:tabs>
      </w:pPr>
    </w:lvl>
  </w:abstractNum>
  <w:abstractNum w:abstractNumId="24">
    <w:nsid w:val="35E4E209"/>
    <w:multiLevelType w:val="singleLevel"/>
    <w:tmpl w:val="35E4E209"/>
    <w:lvl w:ilvl="0" w:tentative="0">
      <w:start w:val="1"/>
      <w:numFmt w:val="upperLetter"/>
      <w:lvlText w:val="%1."/>
      <w:lvlJc w:val="left"/>
      <w:pPr>
        <w:tabs>
          <w:tab w:val="left" w:pos="312"/>
        </w:tabs>
      </w:pPr>
    </w:lvl>
  </w:abstractNum>
  <w:abstractNum w:abstractNumId="25">
    <w:nsid w:val="46B397E1"/>
    <w:multiLevelType w:val="singleLevel"/>
    <w:tmpl w:val="46B397E1"/>
    <w:lvl w:ilvl="0" w:tentative="0">
      <w:start w:val="1"/>
      <w:numFmt w:val="upperLetter"/>
      <w:lvlText w:val="%1."/>
      <w:lvlJc w:val="left"/>
      <w:pPr>
        <w:tabs>
          <w:tab w:val="left" w:pos="312"/>
        </w:tabs>
      </w:pPr>
    </w:lvl>
  </w:abstractNum>
  <w:abstractNum w:abstractNumId="26">
    <w:nsid w:val="727BAD5E"/>
    <w:multiLevelType w:val="singleLevel"/>
    <w:tmpl w:val="727BAD5E"/>
    <w:lvl w:ilvl="0" w:tentative="0">
      <w:start w:val="1"/>
      <w:numFmt w:val="upperLetter"/>
      <w:lvlText w:val="%1."/>
      <w:lvlJc w:val="left"/>
      <w:pPr>
        <w:tabs>
          <w:tab w:val="left" w:pos="312"/>
        </w:tabs>
      </w:pPr>
    </w:lvl>
  </w:abstractNum>
  <w:num w:numId="1">
    <w:abstractNumId w:val="16"/>
  </w:num>
  <w:num w:numId="2">
    <w:abstractNumId w:val="9"/>
  </w:num>
  <w:num w:numId="3">
    <w:abstractNumId w:val="0"/>
  </w:num>
  <w:num w:numId="4">
    <w:abstractNumId w:val="13"/>
  </w:num>
  <w:num w:numId="5">
    <w:abstractNumId w:val="22"/>
  </w:num>
  <w:num w:numId="6">
    <w:abstractNumId w:val="20"/>
  </w:num>
  <w:num w:numId="7">
    <w:abstractNumId w:val="18"/>
  </w:num>
  <w:num w:numId="8">
    <w:abstractNumId w:val="2"/>
  </w:num>
  <w:num w:numId="9">
    <w:abstractNumId w:val="25"/>
  </w:num>
  <w:num w:numId="10">
    <w:abstractNumId w:val="4"/>
  </w:num>
  <w:num w:numId="11">
    <w:abstractNumId w:val="8"/>
  </w:num>
  <w:num w:numId="12">
    <w:abstractNumId w:val="5"/>
  </w:num>
  <w:num w:numId="13">
    <w:abstractNumId w:val="11"/>
  </w:num>
  <w:num w:numId="14">
    <w:abstractNumId w:val="1"/>
  </w:num>
  <w:num w:numId="15">
    <w:abstractNumId w:val="17"/>
  </w:num>
  <w:num w:numId="16">
    <w:abstractNumId w:val="19"/>
  </w:num>
  <w:num w:numId="17">
    <w:abstractNumId w:val="26"/>
  </w:num>
  <w:num w:numId="18">
    <w:abstractNumId w:val="10"/>
  </w:num>
  <w:num w:numId="19">
    <w:abstractNumId w:val="21"/>
  </w:num>
  <w:num w:numId="20">
    <w:abstractNumId w:val="15"/>
  </w:num>
  <w:num w:numId="21">
    <w:abstractNumId w:val="24"/>
  </w:num>
  <w:num w:numId="22">
    <w:abstractNumId w:val="6"/>
  </w:num>
  <w:num w:numId="23">
    <w:abstractNumId w:val="12"/>
  </w:num>
  <w:num w:numId="24">
    <w:abstractNumId w:val="3"/>
  </w:num>
  <w:num w:numId="25">
    <w:abstractNumId w:val="7"/>
  </w:num>
  <w:num w:numId="26">
    <w:abstractNumId w:val="14"/>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0"/>
  <w:bordersDoNotSurroundFooter w:val="0"/>
  <w:documentProtection w:edit="readOnly" w:enforcement="0"/>
  <w:defaultTabStop w:val="420"/>
  <w:drawingGridHorizontalSpacing w:val="14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ulTrailSpace/>
    <w:doNotExpandShiftReturn/>
    <w:adjustLineHeightInTable/>
    <w:useFELayout/>
    <w:doNotUseIndentAsNumberingTabStop/>
    <w:compatSetting w:name="compatibilityMode" w:uri="http://schemas.microsoft.com/office/word" w:val="14"/>
  </w:compat>
  <w:docVars>
    <w:docVar w:name="commondata" w:val="eyJoZGlkIjoiNjM2ODVkMDE4YTNkNzdmZTRjNDk4YmI2NGMzMTk2MGYifQ=="/>
  </w:docVars>
  <w:rsids>
    <w:rsidRoot w:val="00000000"/>
    <w:rsid w:val="055F0529"/>
    <w:rsid w:val="223670DB"/>
    <w:rsid w:val="2DEF360F"/>
    <w:rsid w:val="467D7062"/>
    <w:rsid w:val="4A1B48C2"/>
    <w:rsid w:val="4BE11471"/>
    <w:rsid w:val="50E52902"/>
    <w:rsid w:val="69AB66C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Lucida Sans"/>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Calibri" w:hAnsi="Times New Roman" w:eastAsia="宋体" w:cs="Arial"/>
      <w:kern w:val="2"/>
      <w:sz w:val="28"/>
      <w:szCs w:val="22"/>
      <w:lang w:val="en-US" w:eastAsia="zh-CN" w:bidi="ar-SA"/>
    </w:rPr>
  </w:style>
  <w:style w:type="paragraph" w:styleId="3">
    <w:name w:val="heading 1"/>
    <w:basedOn w:val="1"/>
    <w:next w:val="1"/>
    <w:qFormat/>
    <w:uiPriority w:val="0"/>
    <w:pPr>
      <w:keepNext/>
      <w:keepLines/>
      <w:widowControl w:val="0"/>
      <w:numPr>
        <w:ilvl w:val="0"/>
        <w:numId w:val="1"/>
      </w:numPr>
      <w:spacing w:beforeAutospacing="0" w:afterAutospacing="0" w:line="480" w:lineRule="auto"/>
      <w:ind w:left="0" w:firstLine="0" w:firstLineChars="0"/>
      <w:jc w:val="center"/>
      <w:outlineLvl w:val="0"/>
    </w:pPr>
    <w:rPr>
      <w:rFonts w:eastAsia="仿宋"/>
      <w:b/>
      <w:kern w:val="44"/>
      <w:sz w:val="44"/>
    </w:rPr>
  </w:style>
  <w:style w:type="paragraph" w:styleId="4">
    <w:name w:val="heading 2"/>
    <w:basedOn w:val="1"/>
    <w:next w:val="1"/>
    <w:qFormat/>
    <w:uiPriority w:val="0"/>
    <w:pPr>
      <w:keepNext/>
      <w:keepLines/>
      <w:widowControl w:val="0"/>
      <w:numPr>
        <w:ilvl w:val="1"/>
        <w:numId w:val="1"/>
      </w:numPr>
      <w:spacing w:before="260" w:beforeAutospacing="0" w:after="260" w:afterAutospacing="0" w:line="413" w:lineRule="auto"/>
      <w:ind w:left="573" w:firstLine="0" w:firstLineChars="0"/>
      <w:outlineLvl w:val="1"/>
    </w:pPr>
    <w:rPr>
      <w:rFonts w:ascii="Arial" w:hAnsi="Arial" w:eastAsia="黑体"/>
      <w:b/>
      <w:sz w:val="32"/>
    </w:rPr>
  </w:style>
  <w:style w:type="paragraph" w:styleId="5">
    <w:name w:val="heading 3"/>
    <w:basedOn w:val="1"/>
    <w:next w:val="1"/>
    <w:qFormat/>
    <w:uiPriority w:val="0"/>
    <w:pPr>
      <w:keepNext/>
      <w:keepLines/>
      <w:widowControl w:val="0"/>
      <w:numPr>
        <w:ilvl w:val="2"/>
        <w:numId w:val="1"/>
      </w:numPr>
      <w:spacing w:before="260" w:beforeAutospacing="0" w:after="260" w:afterAutospacing="0" w:line="413" w:lineRule="auto"/>
      <w:ind w:left="720" w:firstLine="0" w:firstLineChars="0"/>
      <w:outlineLvl w:val="2"/>
    </w:pPr>
    <w:rPr>
      <w:b/>
      <w:sz w:val="32"/>
    </w:rPr>
  </w:style>
  <w:style w:type="paragraph" w:styleId="6">
    <w:name w:val="heading 4"/>
    <w:basedOn w:val="1"/>
    <w:next w:val="1"/>
    <w:qFormat/>
    <w:uiPriority w:val="0"/>
    <w:pPr>
      <w:keepNext/>
      <w:keepLines/>
      <w:widowControl w:val="0"/>
      <w:numPr>
        <w:ilvl w:val="3"/>
        <w:numId w:val="1"/>
      </w:numPr>
      <w:spacing w:beforeAutospacing="0" w:afterAutospacing="0" w:line="360" w:lineRule="auto"/>
      <w:ind w:left="0" w:hanging="864" w:firstLineChars="0"/>
      <w:outlineLvl w:val="3"/>
    </w:pPr>
    <w:rPr>
      <w:rFonts w:ascii="Arial" w:hAnsi="Arial" w:eastAsia="黑体"/>
      <w:b/>
    </w:rPr>
  </w:style>
  <w:style w:type="paragraph" w:styleId="7">
    <w:name w:val="heading 5"/>
    <w:basedOn w:val="1"/>
    <w:next w:val="1"/>
    <w:qFormat/>
    <w:uiPriority w:val="0"/>
    <w:pPr>
      <w:keepNext/>
      <w:keepLines/>
      <w:widowControl w:val="0"/>
      <w:numPr>
        <w:ilvl w:val="4"/>
        <w:numId w:val="1"/>
      </w:numPr>
      <w:spacing w:before="280" w:beforeAutospacing="0" w:after="290" w:afterAutospacing="0" w:line="372" w:lineRule="auto"/>
      <w:ind w:left="1008" w:hanging="1008" w:firstLineChars="0"/>
      <w:outlineLvl w:val="4"/>
    </w:pPr>
    <w:rPr>
      <w:b/>
      <w:sz w:val="28"/>
    </w:rPr>
  </w:style>
  <w:style w:type="paragraph" w:styleId="8">
    <w:name w:val="heading 6"/>
    <w:basedOn w:val="1"/>
    <w:next w:val="1"/>
    <w:qFormat/>
    <w:uiPriority w:val="0"/>
    <w:pPr>
      <w:keepNext/>
      <w:keepLines/>
      <w:widowControl w:val="0"/>
      <w:numPr>
        <w:ilvl w:val="5"/>
        <w:numId w:val="1"/>
      </w:numPr>
      <w:spacing w:before="240" w:beforeAutospacing="0" w:after="64" w:afterAutospacing="0" w:line="317" w:lineRule="auto"/>
      <w:ind w:left="1151" w:hanging="1151" w:firstLineChars="0"/>
      <w:outlineLvl w:val="5"/>
    </w:pPr>
    <w:rPr>
      <w:rFonts w:ascii="Arial" w:hAnsi="Arial" w:eastAsia="黑体"/>
      <w:b/>
      <w:sz w:val="24"/>
    </w:rPr>
  </w:style>
  <w:style w:type="paragraph" w:styleId="9">
    <w:name w:val="heading 7"/>
    <w:basedOn w:val="1"/>
    <w:next w:val="1"/>
    <w:qFormat/>
    <w:uiPriority w:val="0"/>
    <w:pPr>
      <w:keepNext/>
      <w:keepLines/>
      <w:widowControl w:val="0"/>
      <w:numPr>
        <w:ilvl w:val="6"/>
        <w:numId w:val="1"/>
      </w:numPr>
      <w:spacing w:before="240" w:beforeAutospacing="0" w:after="64" w:afterAutospacing="0" w:line="317" w:lineRule="auto"/>
      <w:ind w:left="1296" w:hanging="1296" w:firstLineChars="0"/>
      <w:outlineLvl w:val="6"/>
    </w:pPr>
    <w:rPr>
      <w:b/>
      <w:sz w:val="24"/>
    </w:rPr>
  </w:style>
  <w:style w:type="paragraph" w:styleId="10">
    <w:name w:val="heading 8"/>
    <w:basedOn w:val="1"/>
    <w:next w:val="1"/>
    <w:qFormat/>
    <w:uiPriority w:val="0"/>
    <w:pPr>
      <w:keepNext/>
      <w:keepLines/>
      <w:widowControl w:val="0"/>
      <w:numPr>
        <w:ilvl w:val="7"/>
        <w:numId w:val="1"/>
      </w:numPr>
      <w:spacing w:before="240" w:beforeAutospacing="0" w:after="64" w:afterAutospacing="0" w:line="317" w:lineRule="auto"/>
      <w:ind w:left="1440" w:hanging="1440" w:firstLineChars="0"/>
      <w:outlineLvl w:val="7"/>
    </w:pPr>
    <w:rPr>
      <w:rFonts w:ascii="Arial" w:hAnsi="Arial" w:eastAsia="黑体"/>
      <w:sz w:val="24"/>
    </w:rPr>
  </w:style>
  <w:style w:type="paragraph" w:styleId="11">
    <w:name w:val="heading 9"/>
    <w:basedOn w:val="1"/>
    <w:next w:val="1"/>
    <w:qFormat/>
    <w:uiPriority w:val="0"/>
    <w:pPr>
      <w:keepNext/>
      <w:keepLines/>
      <w:widowControl w:val="0"/>
      <w:numPr>
        <w:ilvl w:val="8"/>
        <w:numId w:val="1"/>
      </w:numPr>
      <w:spacing w:before="240" w:beforeAutospacing="0" w:after="64" w:afterAutospacing="0" w:line="317" w:lineRule="auto"/>
      <w:ind w:left="1583" w:hanging="1583" w:firstLineChars="0"/>
      <w:outlineLvl w:val="8"/>
    </w:pPr>
    <w:rPr>
      <w:rFonts w:ascii="Arial" w:hAnsi="Arial" w:eastAsia="黑体"/>
      <w:sz w:val="21"/>
    </w:rPr>
  </w:style>
  <w:style w:type="character" w:default="1" w:styleId="22">
    <w:name w:val="Default Paragraph Font"/>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2">
    <w:name w:val="Plain Text"/>
    <w:basedOn w:val="1"/>
    <w:next w:val="1"/>
    <w:qFormat/>
    <w:uiPriority w:val="0"/>
    <w:rPr>
      <w:rFonts w:ascii="宋体" w:hAnsi="宋体" w:eastAsia="仿宋_GB2312" w:cs="宋体"/>
      <w:sz w:val="32"/>
      <w:szCs w:val="32"/>
      <w:lang w:bidi="ar-SA"/>
    </w:rPr>
  </w:style>
  <w:style w:type="paragraph" w:styleId="12">
    <w:name w:val="Body Text"/>
    <w:basedOn w:val="13"/>
    <w:next w:val="1"/>
    <w:qFormat/>
    <w:uiPriority w:val="0"/>
    <w:rPr>
      <w:rFonts w:eastAsia="楷体_GB2312"/>
      <w:sz w:val="30"/>
    </w:rPr>
  </w:style>
  <w:style w:type="paragraph" w:customStyle="1" w:styleId="13">
    <w:name w:val="样式 正文文字 + 首行缩进:  2 字符2"/>
    <w:basedOn w:val="1"/>
    <w:autoRedefine/>
    <w:qFormat/>
    <w:uiPriority w:val="0"/>
    <w:pPr>
      <w:spacing w:line="480" w:lineRule="atLeast"/>
      <w:ind w:firstLine="200" w:firstLineChars="200"/>
    </w:pPr>
    <w:rPr>
      <w:rFonts w:ascii="宋体" w:cs="宋体"/>
      <w:spacing w:val="20"/>
      <w:kern w:val="0"/>
      <w:sz w:val="24"/>
      <w:szCs w:val="20"/>
    </w:rPr>
  </w:style>
  <w:style w:type="paragraph" w:styleId="14">
    <w:name w:val="toc 3"/>
    <w:basedOn w:val="1"/>
    <w:next w:val="1"/>
    <w:qFormat/>
    <w:uiPriority w:val="0"/>
    <w:pPr>
      <w:ind w:left="400" w:leftChars="400"/>
    </w:pPr>
  </w:style>
  <w:style w:type="paragraph" w:styleId="15">
    <w:name w:val="Body Text Indent 2"/>
    <w:basedOn w:val="1"/>
    <w:qFormat/>
    <w:uiPriority w:val="0"/>
    <w:pPr>
      <w:jc w:val="left"/>
    </w:pPr>
    <w:rPr>
      <w:rFonts w:ascii="Calibri" w:hAnsi="Calibri"/>
    </w:rPr>
  </w:style>
  <w:style w:type="paragraph" w:styleId="16">
    <w:name w:val="footer"/>
    <w:basedOn w:val="1"/>
    <w:qFormat/>
    <w:uiPriority w:val="0"/>
    <w:pPr>
      <w:tabs>
        <w:tab w:val="center" w:pos="4153"/>
        <w:tab w:val="right" w:pos="8306"/>
      </w:tabs>
      <w:snapToGrid w:val="0"/>
      <w:spacing w:line="240" w:lineRule="auto"/>
    </w:pPr>
    <w:rPr>
      <w:bCs/>
      <w:sz w:val="18"/>
      <w:szCs w:val="18"/>
    </w:rPr>
  </w:style>
  <w:style w:type="paragraph" w:styleId="17">
    <w:name w:val="header"/>
    <w:basedOn w:val="1"/>
    <w:qFormat/>
    <w:uiPriority w:val="0"/>
    <w:pPr>
      <w:pBdr>
        <w:bottom w:val="single" w:color="auto" w:sz="6" w:space="1"/>
      </w:pBdr>
      <w:tabs>
        <w:tab w:val="center" w:pos="4153"/>
        <w:tab w:val="right" w:pos="8306"/>
      </w:tabs>
      <w:snapToGrid w:val="0"/>
      <w:spacing w:line="240" w:lineRule="auto"/>
      <w:jc w:val="center"/>
    </w:pPr>
    <w:rPr>
      <w:bCs/>
      <w:sz w:val="18"/>
      <w:szCs w:val="18"/>
    </w:rPr>
  </w:style>
  <w:style w:type="paragraph" w:styleId="18">
    <w:name w:val="toc 1"/>
    <w:basedOn w:val="1"/>
    <w:next w:val="1"/>
    <w:qFormat/>
    <w:uiPriority w:val="0"/>
  </w:style>
  <w:style w:type="paragraph" w:styleId="19">
    <w:name w:val="toc 2"/>
    <w:basedOn w:val="1"/>
    <w:next w:val="1"/>
    <w:qFormat/>
    <w:uiPriority w:val="0"/>
    <w:pPr>
      <w:ind w:left="200" w:leftChars="200"/>
    </w:pPr>
  </w:style>
  <w:style w:type="paragraph" w:styleId="20">
    <w:name w:val="Body Text 2"/>
    <w:basedOn w:val="1"/>
    <w:next w:val="12"/>
    <w:qFormat/>
    <w:uiPriority w:val="0"/>
    <w:pPr>
      <w:spacing w:after="120" w:line="480" w:lineRule="auto"/>
    </w:pPr>
  </w:style>
  <w:style w:type="paragraph" w:customStyle="1" w:styleId="23">
    <w:name w:val="正文（缩进）"/>
    <w:basedOn w:val="1"/>
    <w:qFormat/>
    <w:uiPriority w:val="0"/>
    <w:pPr>
      <w:spacing w:before="156" w:after="156"/>
      <w:ind w:firstLine="200" w:firstLineChars="200"/>
    </w:pPr>
  </w:style>
  <w:style w:type="paragraph" w:styleId="24">
    <w:name w:val="List Paragraph"/>
    <w:basedOn w:val="1"/>
    <w:qFormat/>
    <w:uiPriority w:val="0"/>
    <w:pPr>
      <w:ind w:firstLine="200" w:firstLineChars="200"/>
    </w:pPr>
  </w:style>
  <w:style w:type="paragraph" w:customStyle="1" w:styleId="25">
    <w:name w:val="引用1"/>
    <w:next w:val="1"/>
    <w:qFormat/>
    <w:uiPriority w:val="0"/>
    <w:pPr>
      <w:wordWrap w:val="0"/>
      <w:spacing w:before="200" w:after="160"/>
      <w:ind w:left="864" w:right="864"/>
      <w:jc w:val="center"/>
    </w:pPr>
    <w:rPr>
      <w:rFonts w:ascii="Times New Roman" w:hAnsi="Times New Roman" w:eastAsia="宋体" w:cs="Times New Roman"/>
      <w:i/>
      <w:sz w:val="21"/>
      <w:szCs w:val="20"/>
      <w:lang w:val="en-US" w:eastAsia="zh-CN" w:bidi="ar-SA"/>
    </w:rPr>
  </w:style>
  <w:style w:type="paragraph" w:customStyle="1" w:styleId="26">
    <w:name w:val="WPSOffice手动目录 1"/>
    <w:autoRedefine/>
    <w:qFormat/>
    <w:uiPriority w:val="0"/>
    <w:rPr>
      <w:rFonts w:ascii="Times New Roman" w:hAnsi="Times New Roman" w:eastAsia="宋体" w:cs="Times New Roman"/>
      <w:sz w:val="20"/>
      <w:szCs w:val="20"/>
      <w:lang w:val="en-US" w:eastAsia="zh-CN" w:bidi="ar-SA"/>
    </w:rPr>
  </w:style>
  <w:style w:type="paragraph" w:customStyle="1" w:styleId="27">
    <w:name w:val="WPSOffice手动目录 2"/>
    <w:qFormat/>
    <w:uiPriority w:val="0"/>
    <w:pPr>
      <w:ind w:left="200" w:leftChars="200"/>
    </w:pPr>
    <w:rPr>
      <w:rFonts w:ascii="Times New Roman" w:hAnsi="Times New Roman" w:eastAsia="宋体" w:cs="Times New Roman"/>
      <w:sz w:val="20"/>
      <w:szCs w:val="20"/>
      <w:lang w:val="en-US" w:eastAsia="zh-CN" w:bidi="ar-SA"/>
    </w:rPr>
  </w:style>
  <w:style w:type="paragraph" w:customStyle="1" w:styleId="28">
    <w:name w:val="WPSOffice手动目录 3"/>
    <w:qFormat/>
    <w:uiPriority w:val="0"/>
    <w:pPr>
      <w:ind w:left="400" w:leftChars="400"/>
    </w:pPr>
    <w:rPr>
      <w:rFonts w:ascii="Times New Roman" w:hAnsi="Times New Roman" w:eastAsia="宋体" w:cs="Times New Roman"/>
      <w:sz w:val="20"/>
      <w:szCs w:val="20"/>
      <w:lang w:val="en-US" w:eastAsia="zh-CN" w:bidi="ar-SA"/>
    </w:rPr>
  </w:style>
  <w:style w:type="character" w:customStyle="1" w:styleId="29">
    <w:name w:val="font01"/>
    <w:basedOn w:val="22"/>
    <w:qFormat/>
    <w:uiPriority w:val="0"/>
    <w:rPr>
      <w:rFonts w:ascii="宋体" w:hAnsi="宋体" w:eastAsia="宋体" w:cs="宋体"/>
      <w:color w:val="000000"/>
      <w:sz w:val="22"/>
      <w:szCs w:val="22"/>
      <w:u w:val="none"/>
    </w:rPr>
  </w:style>
  <w:style w:type="character" w:customStyle="1" w:styleId="30">
    <w:name w:val="font21"/>
    <w:basedOn w:val="22"/>
    <w:qFormat/>
    <w:uiPriority w:val="0"/>
    <w:rPr>
      <w:rFonts w:ascii="宋体" w:hAnsi="宋体" w:eastAsia="宋体" w:cs="宋体"/>
      <w:color w:val="000000"/>
      <w:sz w:val="22"/>
      <w:szCs w:val="22"/>
      <w:u w:val="none"/>
      <w:vertAlign w:val="superscript"/>
    </w:rPr>
  </w:style>
  <w:style w:type="paragraph" w:customStyle="1" w:styleId="31">
    <w:name w:val="ToCaption"/>
    <w:basedOn w:val="1"/>
    <w:next w:val="1"/>
    <w:qFormat/>
    <w:uiPriority w:val="0"/>
    <w:pPr>
      <w:widowControl/>
      <w:suppressAutoHyphens/>
      <w:ind w:left="400" w:leftChars="200" w:hanging="200" w:hangingChars="200"/>
      <w:textAlignment w:val="baseline"/>
    </w:pPr>
    <w:rPr>
      <w:rFonts w:ascii="Times New Roman" w:hAnsi="Times New Roman" w:eastAsia="宋体" w:cs="Times New Roman"/>
      <w:lang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2.xml"/><Relationship Id="rId60" Type="http://schemas.openxmlformats.org/officeDocument/2006/relationships/fontTable" Target="fontTable.xml"/><Relationship Id="rId6" Type="http://schemas.openxmlformats.org/officeDocument/2006/relationships/header" Target="header1.xml"/><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ustomData xmlns="http://www.yozosoft.com.cn/officeDocument/2016/customData">
  <customProps>
    <docPr revisions="3 0 5 0 0 0 1 0 0 0 3000 0 1 1 1 1"/>
    <sectPr/>
    <sectPr/>
    <sectPr/>
    <sectPr/>
    <sectPr/>
    <sectPr/>
    <sectPr/>
    <sectPr/>
    <sectPr/>
    <sectPr/>
    <sectPr/>
    <sectPr/>
    <sectPr/>
    <sectPr/>
    <sectPr/>
    <sectPr/>
    <sectPr/>
    <sectPr/>
    <sectPr/>
    <sectPr/>
    <sectPr/>
  </customProps>
</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F8D827F-BE92-4338-9D6F-EE5D62EBF65E}">
  <ds:schemaRefs/>
</ds:datastoreItem>
</file>

<file path=docProps/app.xml><?xml version="1.0" encoding="utf-8"?>
<Properties xmlns="http://schemas.openxmlformats.org/officeDocument/2006/extended-properties" xmlns:vt="http://schemas.openxmlformats.org/officeDocument/2006/docPropsVTypes">
  <Template>Normal.eit</Template>
  <Pages>150</Pages>
  <Words>1837</Words>
  <Characters>2452</Characters>
  <Lines>0</Lines>
  <Paragraphs>868</Paragraphs>
  <TotalTime>4</TotalTime>
  <ScaleCrop>false</ScaleCrop>
  <LinksUpToDate>false</LinksUpToDate>
  <CharactersWithSpaces>2826</CharactersWithSpaces>
  <Application>WPS Office_12.1.0.21541_F1E327BC-269C-435d-A152-05C5408002CA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2024-06-18T07:18:00Z</dcterms:created>
  <dc:creator>Richard</dc:creator>
  <cp:lastModifiedBy>Administrator</cp:lastModifiedBy>
  <cp:lastPrinted>2025-04-21T07:03:00Z</cp:lastPrinted>
  <dcterms:modified xsi:type="dcterms:W3CDTF">2025-06-16T02:26:02Z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08658C1CA277457EA9FE0602766195A0_13</vt:lpwstr>
  </property>
  <property fmtid="{D5CDD505-2E9C-101B-9397-08002B2CF9AE}" pid="4" name="KSOTemplateDocerSaveRecord">
    <vt:lpwstr>eyJoZGlkIjoiMjcwYjc0NzEyMzZlNTZmOWU5MGU4MTc5MzFmMjczNTkifQ==</vt:lpwstr>
  </property>
</Properties>
</file>