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65AE9">
      <w:pPr>
        <w:spacing w:line="600" w:lineRule="exact"/>
        <w:jc w:val="center"/>
        <w:rPr>
          <w:rFonts w:ascii="方正小标宋简体" w:eastAsia="方正小标宋简体"/>
          <w:sz w:val="44"/>
          <w:szCs w:val="44"/>
        </w:rPr>
      </w:pPr>
      <w:bookmarkStart w:id="0" w:name="_GoBack"/>
      <w:bookmarkEnd w:id="0"/>
    </w:p>
    <w:p w14:paraId="030D708B">
      <w:pPr>
        <w:spacing w:line="600" w:lineRule="exact"/>
        <w:jc w:val="center"/>
        <w:rPr>
          <w:rFonts w:ascii="方正小标宋简体" w:eastAsia="方正小标宋简体"/>
          <w:sz w:val="44"/>
          <w:szCs w:val="44"/>
        </w:rPr>
      </w:pPr>
    </w:p>
    <w:p w14:paraId="24BB4BD4">
      <w:pPr>
        <w:jc w:val="center"/>
        <w:rPr>
          <w:rFonts w:hint="eastAsia" w:ascii="方正小标宋简体" w:hAnsi="Times New Roman" w:eastAsia="方正小标宋简体" w:cs="Times New Roman"/>
          <w:sz w:val="52"/>
          <w:szCs w:val="52"/>
          <w:lang w:val="en-US" w:eastAsia="zh-CN"/>
        </w:rPr>
      </w:pPr>
      <w:r>
        <w:rPr>
          <w:rFonts w:hint="eastAsia" w:ascii="方正小标宋简体" w:hAnsi="Times New Roman" w:eastAsia="方正小标宋简体" w:cs="Times New Roman"/>
          <w:sz w:val="52"/>
          <w:szCs w:val="52"/>
          <w:lang w:val="en-US" w:eastAsia="zh-CN"/>
        </w:rPr>
        <w:t>遂宁市安居区交通运输局</w:t>
      </w:r>
    </w:p>
    <w:p w14:paraId="2922C422">
      <w:pPr>
        <w:jc w:val="center"/>
        <w:rPr>
          <w:rFonts w:ascii="方正小标宋简体" w:eastAsia="方正小标宋简体"/>
          <w:sz w:val="52"/>
          <w:szCs w:val="52"/>
        </w:rPr>
      </w:pPr>
      <w:r>
        <w:rPr>
          <w:rFonts w:hint="eastAsia" w:ascii="方正小标宋简体" w:eastAsia="方正小标宋简体"/>
          <w:sz w:val="52"/>
          <w:szCs w:val="52"/>
        </w:rPr>
        <w:t>20</w:t>
      </w:r>
      <w:r>
        <w:rPr>
          <w:rFonts w:hint="eastAsia" w:ascii="方正小标宋简体" w:eastAsia="方正小标宋简体"/>
          <w:sz w:val="52"/>
          <w:szCs w:val="52"/>
          <w:lang w:val="en-US" w:eastAsia="zh-CN"/>
        </w:rPr>
        <w:t>25</w:t>
      </w:r>
      <w:r>
        <w:rPr>
          <w:rFonts w:hint="eastAsia" w:ascii="方正小标宋简体" w:eastAsia="方正小标宋简体"/>
          <w:sz w:val="52"/>
          <w:szCs w:val="52"/>
        </w:rPr>
        <w:t>年部门预算</w:t>
      </w:r>
    </w:p>
    <w:p w14:paraId="599D7693">
      <w:pPr>
        <w:spacing w:line="600" w:lineRule="exact"/>
        <w:jc w:val="center"/>
        <w:rPr>
          <w:rFonts w:ascii="仿宋_GB2312"/>
          <w:szCs w:val="44"/>
        </w:rPr>
      </w:pPr>
    </w:p>
    <w:p w14:paraId="53748955">
      <w:pPr>
        <w:spacing w:line="600" w:lineRule="exact"/>
        <w:jc w:val="center"/>
        <w:rPr>
          <w:rFonts w:ascii="仿宋_GB2312"/>
          <w:szCs w:val="44"/>
        </w:rPr>
      </w:pPr>
    </w:p>
    <w:p w14:paraId="46AC4DBB">
      <w:pPr>
        <w:spacing w:line="600" w:lineRule="exact"/>
        <w:jc w:val="center"/>
        <w:rPr>
          <w:rFonts w:hint="eastAsia" w:ascii="仿宋_GB2312"/>
          <w:szCs w:val="44"/>
        </w:rPr>
      </w:pPr>
    </w:p>
    <w:p w14:paraId="1E0CE450">
      <w:pPr>
        <w:spacing w:line="600" w:lineRule="exact"/>
        <w:jc w:val="center"/>
        <w:rPr>
          <w:rFonts w:ascii="黑体" w:hAnsi="黑体" w:eastAsia="黑体"/>
          <w:sz w:val="44"/>
          <w:szCs w:val="44"/>
        </w:rPr>
      </w:pPr>
      <w:r>
        <w:rPr>
          <w:rFonts w:ascii="仿宋_GB2312"/>
          <w:szCs w:val="44"/>
        </w:rPr>
        <w:br w:type="page"/>
      </w:r>
      <w:r>
        <w:rPr>
          <w:rFonts w:hint="eastAsia" w:ascii="黑体" w:hAnsi="黑体" w:eastAsia="黑体"/>
          <w:sz w:val="44"/>
          <w:szCs w:val="44"/>
        </w:rPr>
        <w:t>目  录</w:t>
      </w:r>
    </w:p>
    <w:p w14:paraId="137F091A">
      <w:pPr>
        <w:spacing w:line="600" w:lineRule="exact"/>
        <w:jc w:val="center"/>
        <w:rPr>
          <w:rFonts w:ascii="仿宋_GB2312"/>
          <w:szCs w:val="44"/>
        </w:rPr>
      </w:pPr>
    </w:p>
    <w:p w14:paraId="3FFFAB5B">
      <w:pPr>
        <w:spacing w:line="600" w:lineRule="exact"/>
        <w:rPr>
          <w:rFonts w:ascii="黑体" w:hAnsi="黑体" w:eastAsia="黑体"/>
          <w:szCs w:val="44"/>
        </w:rPr>
      </w:pPr>
      <w:r>
        <w:rPr>
          <w:rFonts w:hint="eastAsia" w:ascii="黑体" w:hAnsi="黑体" w:eastAsia="黑体"/>
          <w:szCs w:val="44"/>
        </w:rPr>
        <w:t xml:space="preserve">第一部分  </w:t>
      </w:r>
      <w:r>
        <w:rPr>
          <w:rFonts w:ascii="黑体" w:hAnsi="黑体" w:eastAsia="黑体"/>
          <w:szCs w:val="44"/>
        </w:rPr>
        <w:t>20</w:t>
      </w:r>
      <w:r>
        <w:rPr>
          <w:rFonts w:hint="eastAsia" w:ascii="黑体" w:hAnsi="黑体" w:eastAsia="黑体"/>
          <w:szCs w:val="44"/>
          <w:lang w:val="en-US" w:eastAsia="zh-CN"/>
        </w:rPr>
        <w:t>25</w:t>
      </w:r>
      <w:r>
        <w:rPr>
          <w:rFonts w:hint="eastAsia" w:ascii="黑体" w:hAnsi="黑体" w:eastAsia="黑体"/>
          <w:szCs w:val="44"/>
        </w:rPr>
        <w:t>年部门</w:t>
      </w:r>
      <w:r>
        <w:rPr>
          <w:rFonts w:ascii="黑体" w:hAnsi="黑体" w:eastAsia="黑体"/>
          <w:szCs w:val="44"/>
        </w:rPr>
        <w:t>预算编制说明</w:t>
      </w:r>
    </w:p>
    <w:p w14:paraId="023D17D2">
      <w:pPr>
        <w:spacing w:line="600" w:lineRule="exact"/>
        <w:ind w:firstLine="632" w:firstLineChars="200"/>
        <w:rPr>
          <w:rFonts w:ascii="仿宋_GB2312"/>
          <w:szCs w:val="44"/>
        </w:rPr>
      </w:pPr>
      <w:r>
        <w:rPr>
          <w:rFonts w:hint="eastAsia" w:ascii="仿宋_GB2312"/>
          <w:szCs w:val="44"/>
        </w:rPr>
        <w:t>一、基本职能及主要工作</w:t>
      </w:r>
    </w:p>
    <w:p w14:paraId="10B2884F">
      <w:pPr>
        <w:spacing w:line="600" w:lineRule="exact"/>
        <w:ind w:firstLine="632" w:firstLineChars="200"/>
        <w:rPr>
          <w:rFonts w:ascii="仿宋_GB2312"/>
          <w:szCs w:val="44"/>
        </w:rPr>
      </w:pPr>
      <w:r>
        <w:rPr>
          <w:rFonts w:hint="eastAsia" w:ascii="仿宋_GB2312"/>
          <w:szCs w:val="44"/>
        </w:rPr>
        <w:t>二、部门预算单位构成</w:t>
      </w:r>
    </w:p>
    <w:p w14:paraId="6ADADF06">
      <w:pPr>
        <w:spacing w:line="600" w:lineRule="exact"/>
        <w:ind w:firstLine="632" w:firstLineChars="200"/>
        <w:rPr>
          <w:rFonts w:ascii="仿宋_GB2312"/>
          <w:szCs w:val="44"/>
        </w:rPr>
      </w:pPr>
      <w:r>
        <w:rPr>
          <w:rFonts w:hint="eastAsia" w:ascii="仿宋_GB2312"/>
          <w:szCs w:val="44"/>
        </w:rPr>
        <w:t>三、收支预算情况说明</w:t>
      </w:r>
    </w:p>
    <w:p w14:paraId="72CC1AB0">
      <w:pPr>
        <w:spacing w:line="600" w:lineRule="exact"/>
        <w:ind w:firstLine="632" w:firstLineChars="200"/>
        <w:rPr>
          <w:rFonts w:ascii="仿宋_GB2312"/>
          <w:szCs w:val="44"/>
        </w:rPr>
      </w:pPr>
      <w:r>
        <w:rPr>
          <w:rFonts w:hint="eastAsia" w:ascii="仿宋_GB2312"/>
          <w:szCs w:val="44"/>
        </w:rPr>
        <w:t>四、财政拨款收支预算情况说明</w:t>
      </w:r>
    </w:p>
    <w:p w14:paraId="6A3153CA">
      <w:pPr>
        <w:spacing w:line="600" w:lineRule="exact"/>
        <w:ind w:firstLine="632" w:firstLineChars="200"/>
        <w:rPr>
          <w:rFonts w:ascii="仿宋_GB2312"/>
          <w:szCs w:val="44"/>
        </w:rPr>
      </w:pPr>
      <w:r>
        <w:rPr>
          <w:rFonts w:hint="eastAsia" w:ascii="仿宋_GB2312"/>
          <w:szCs w:val="44"/>
        </w:rPr>
        <w:t>五、一般公共预算当年拨款情况说明</w:t>
      </w:r>
    </w:p>
    <w:p w14:paraId="66DAB30E">
      <w:pPr>
        <w:spacing w:line="600" w:lineRule="exact"/>
        <w:ind w:firstLine="632" w:firstLineChars="200"/>
        <w:rPr>
          <w:rFonts w:hint="eastAsia" w:ascii="仿宋_GB2312"/>
          <w:szCs w:val="44"/>
        </w:rPr>
      </w:pPr>
      <w:r>
        <w:rPr>
          <w:rFonts w:hint="eastAsia" w:ascii="仿宋_GB2312"/>
          <w:szCs w:val="44"/>
        </w:rPr>
        <w:t>六、一般公共预算基本支出情况说明</w:t>
      </w:r>
    </w:p>
    <w:p w14:paraId="36E01EA3">
      <w:pPr>
        <w:spacing w:line="600" w:lineRule="exact"/>
        <w:ind w:firstLine="632" w:firstLineChars="200"/>
        <w:rPr>
          <w:rFonts w:ascii="仿宋_GB2312"/>
          <w:szCs w:val="44"/>
        </w:rPr>
      </w:pPr>
      <w:r>
        <w:rPr>
          <w:rFonts w:hint="eastAsia" w:ascii="仿宋_GB2312"/>
          <w:szCs w:val="44"/>
        </w:rPr>
        <w:t>七、“三公”经费财政拨款预算安排情况说明</w:t>
      </w:r>
    </w:p>
    <w:p w14:paraId="71131B02">
      <w:pPr>
        <w:spacing w:line="600" w:lineRule="exact"/>
        <w:ind w:left="1264" w:leftChars="200" w:hanging="632" w:hangingChars="200"/>
        <w:rPr>
          <w:rFonts w:ascii="仿宋_GB2312"/>
          <w:szCs w:val="44"/>
        </w:rPr>
      </w:pPr>
      <w:r>
        <w:rPr>
          <w:rFonts w:hint="eastAsia" w:ascii="仿宋_GB2312"/>
          <w:szCs w:val="44"/>
        </w:rPr>
        <w:t>八、“会议费”、“培训费”、“差旅费”财政拨款预算安排情况说明</w:t>
      </w:r>
    </w:p>
    <w:p w14:paraId="043A4D81">
      <w:pPr>
        <w:spacing w:line="600" w:lineRule="exact"/>
        <w:ind w:firstLine="632" w:firstLineChars="200"/>
        <w:rPr>
          <w:rFonts w:ascii="仿宋_GB2312"/>
          <w:szCs w:val="44"/>
        </w:rPr>
      </w:pPr>
      <w:r>
        <w:rPr>
          <w:rFonts w:hint="eastAsia" w:ascii="仿宋_GB2312"/>
          <w:szCs w:val="44"/>
        </w:rPr>
        <w:t>九、政府性基金预算支出情况说明</w:t>
      </w:r>
    </w:p>
    <w:p w14:paraId="5FFB26E4">
      <w:pPr>
        <w:spacing w:line="600" w:lineRule="exact"/>
        <w:ind w:firstLine="632" w:firstLineChars="200"/>
        <w:rPr>
          <w:rFonts w:ascii="仿宋_GB2312"/>
          <w:szCs w:val="44"/>
        </w:rPr>
      </w:pPr>
      <w:r>
        <w:rPr>
          <w:rFonts w:hint="eastAsia" w:ascii="仿宋_GB2312"/>
          <w:szCs w:val="44"/>
        </w:rPr>
        <w:t>十、国有资本经营预算支出情况说明</w:t>
      </w:r>
    </w:p>
    <w:p w14:paraId="5A87BC2F">
      <w:pPr>
        <w:spacing w:line="600" w:lineRule="exact"/>
        <w:ind w:firstLine="632" w:firstLineChars="200"/>
        <w:rPr>
          <w:rFonts w:ascii="仿宋_GB2312"/>
          <w:szCs w:val="44"/>
        </w:rPr>
      </w:pPr>
      <w:r>
        <w:rPr>
          <w:rFonts w:hint="eastAsia" w:ascii="仿宋_GB2312"/>
          <w:szCs w:val="44"/>
        </w:rPr>
        <w:t>十一、其他重要事项的情况说明</w:t>
      </w:r>
    </w:p>
    <w:p w14:paraId="6778B6E1">
      <w:pPr>
        <w:spacing w:line="600" w:lineRule="exact"/>
        <w:ind w:firstLine="632" w:firstLineChars="200"/>
        <w:rPr>
          <w:rFonts w:hint="eastAsia" w:ascii="仿宋_GB2312"/>
          <w:szCs w:val="44"/>
        </w:rPr>
      </w:pPr>
      <w:r>
        <w:rPr>
          <w:rFonts w:hint="eastAsia" w:ascii="仿宋_GB2312"/>
          <w:szCs w:val="44"/>
        </w:rPr>
        <w:t>十二</w:t>
      </w:r>
      <w:r>
        <w:rPr>
          <w:rFonts w:ascii="仿宋_GB2312"/>
          <w:szCs w:val="44"/>
        </w:rPr>
        <w:t>、名词解释</w:t>
      </w:r>
    </w:p>
    <w:p w14:paraId="691FF70D">
      <w:pPr>
        <w:spacing w:line="600" w:lineRule="exact"/>
        <w:rPr>
          <w:rFonts w:ascii="黑体" w:hAnsi="黑体" w:eastAsia="黑体"/>
          <w:szCs w:val="44"/>
        </w:rPr>
      </w:pPr>
      <w:r>
        <w:rPr>
          <w:rFonts w:hint="eastAsia" w:ascii="黑体" w:hAnsi="黑体" w:eastAsia="黑体"/>
          <w:szCs w:val="44"/>
        </w:rPr>
        <w:t xml:space="preserve">第二部分  </w:t>
      </w:r>
      <w:r>
        <w:rPr>
          <w:rFonts w:ascii="黑体" w:hAnsi="黑体" w:eastAsia="黑体"/>
          <w:szCs w:val="44"/>
        </w:rPr>
        <w:t>20</w:t>
      </w:r>
      <w:r>
        <w:rPr>
          <w:rFonts w:hint="eastAsia" w:ascii="黑体" w:hAnsi="黑体" w:eastAsia="黑体"/>
          <w:szCs w:val="44"/>
          <w:lang w:val="en-US" w:eastAsia="zh-CN"/>
        </w:rPr>
        <w:t>25</w:t>
      </w:r>
      <w:r>
        <w:rPr>
          <w:rFonts w:hint="eastAsia" w:ascii="黑体" w:hAnsi="黑体" w:eastAsia="黑体"/>
          <w:szCs w:val="44"/>
        </w:rPr>
        <w:t>年</w:t>
      </w:r>
      <w:r>
        <w:rPr>
          <w:rFonts w:ascii="黑体" w:hAnsi="黑体" w:eastAsia="黑体"/>
          <w:szCs w:val="44"/>
        </w:rPr>
        <w:t>部门预算报表</w:t>
      </w:r>
    </w:p>
    <w:p w14:paraId="17F5CCDE">
      <w:pPr>
        <w:spacing w:line="600" w:lineRule="exact"/>
        <w:ind w:firstLine="632" w:firstLineChars="200"/>
        <w:rPr>
          <w:rFonts w:hint="eastAsia" w:ascii="仿宋_GB2312"/>
          <w:szCs w:val="44"/>
        </w:rPr>
      </w:pPr>
      <w:r>
        <w:rPr>
          <w:rFonts w:hint="eastAsia" w:ascii="仿宋_GB2312"/>
          <w:szCs w:val="44"/>
        </w:rPr>
        <w:t>表1. 部门收支总表</w:t>
      </w:r>
    </w:p>
    <w:p w14:paraId="74BE3343">
      <w:pPr>
        <w:spacing w:line="600" w:lineRule="exact"/>
        <w:ind w:firstLine="632" w:firstLineChars="200"/>
        <w:rPr>
          <w:rFonts w:hint="eastAsia" w:ascii="仿宋_GB2312"/>
          <w:szCs w:val="44"/>
        </w:rPr>
      </w:pPr>
      <w:r>
        <w:rPr>
          <w:rFonts w:hint="eastAsia" w:ascii="仿宋_GB2312"/>
          <w:szCs w:val="44"/>
        </w:rPr>
        <w:t>表1-1. 部门收入总表</w:t>
      </w:r>
    </w:p>
    <w:p w14:paraId="243CBFDB">
      <w:pPr>
        <w:spacing w:line="600" w:lineRule="exact"/>
        <w:ind w:firstLine="632" w:firstLineChars="200"/>
        <w:rPr>
          <w:rFonts w:hint="eastAsia" w:ascii="仿宋_GB2312"/>
          <w:szCs w:val="44"/>
        </w:rPr>
      </w:pPr>
      <w:r>
        <w:rPr>
          <w:rFonts w:hint="eastAsia" w:ascii="仿宋_GB2312"/>
          <w:szCs w:val="44"/>
        </w:rPr>
        <w:t>表1-2. 部门支出总表</w:t>
      </w:r>
    </w:p>
    <w:p w14:paraId="66751F86">
      <w:pPr>
        <w:spacing w:line="600" w:lineRule="exact"/>
        <w:ind w:firstLine="632" w:firstLineChars="200"/>
        <w:rPr>
          <w:rFonts w:hint="eastAsia" w:ascii="仿宋_GB2312"/>
          <w:szCs w:val="44"/>
        </w:rPr>
      </w:pPr>
      <w:r>
        <w:rPr>
          <w:rFonts w:hint="eastAsia" w:ascii="仿宋_GB2312"/>
          <w:szCs w:val="44"/>
        </w:rPr>
        <w:t>表2. 财政拨款收支预算总表</w:t>
      </w:r>
    </w:p>
    <w:p w14:paraId="54BA06A3">
      <w:pPr>
        <w:spacing w:line="600" w:lineRule="exact"/>
        <w:ind w:firstLine="632" w:firstLineChars="200"/>
        <w:rPr>
          <w:rFonts w:hint="eastAsia" w:ascii="仿宋_GB2312"/>
          <w:szCs w:val="44"/>
        </w:rPr>
      </w:pPr>
      <w:r>
        <w:rPr>
          <w:rFonts w:hint="eastAsia" w:ascii="仿宋_GB2312"/>
          <w:szCs w:val="44"/>
        </w:rPr>
        <w:t>表2-1. 财政拨款支出预算表（政府经济分类科目）</w:t>
      </w:r>
    </w:p>
    <w:p w14:paraId="52872E01">
      <w:pPr>
        <w:spacing w:line="600" w:lineRule="exact"/>
        <w:ind w:firstLine="632" w:firstLineChars="200"/>
        <w:rPr>
          <w:rFonts w:hint="eastAsia" w:ascii="仿宋_GB2312"/>
          <w:szCs w:val="44"/>
        </w:rPr>
      </w:pPr>
      <w:r>
        <w:rPr>
          <w:rFonts w:hint="eastAsia" w:ascii="仿宋_GB2312"/>
          <w:szCs w:val="44"/>
        </w:rPr>
        <w:t>表3. 一般公共预算支出预算表</w:t>
      </w:r>
    </w:p>
    <w:p w14:paraId="19A77707">
      <w:pPr>
        <w:spacing w:line="600" w:lineRule="exact"/>
        <w:ind w:firstLine="632" w:firstLineChars="200"/>
        <w:rPr>
          <w:rFonts w:hint="eastAsia" w:ascii="仿宋_GB2312"/>
          <w:szCs w:val="44"/>
        </w:rPr>
      </w:pPr>
      <w:r>
        <w:rPr>
          <w:rFonts w:hint="eastAsia" w:ascii="仿宋_GB2312"/>
          <w:szCs w:val="44"/>
        </w:rPr>
        <w:t>表3-1. 一般公共预算基本支出预算表</w:t>
      </w:r>
    </w:p>
    <w:p w14:paraId="4D387B07">
      <w:pPr>
        <w:spacing w:line="600" w:lineRule="exact"/>
        <w:ind w:firstLine="632" w:firstLineChars="200"/>
        <w:rPr>
          <w:rFonts w:hint="eastAsia" w:ascii="仿宋_GB2312"/>
          <w:szCs w:val="44"/>
        </w:rPr>
      </w:pPr>
      <w:r>
        <w:rPr>
          <w:rFonts w:hint="eastAsia" w:ascii="仿宋_GB2312"/>
          <w:szCs w:val="44"/>
        </w:rPr>
        <w:t>表3-2. 一般公共预算项目支出预算表</w:t>
      </w:r>
    </w:p>
    <w:p w14:paraId="3EF755C1">
      <w:pPr>
        <w:spacing w:line="600" w:lineRule="exact"/>
        <w:ind w:firstLine="632" w:firstLineChars="200"/>
        <w:rPr>
          <w:rFonts w:hint="eastAsia" w:ascii="仿宋_GB2312"/>
          <w:szCs w:val="44"/>
        </w:rPr>
      </w:pPr>
      <w:r>
        <w:rPr>
          <w:rFonts w:hint="eastAsia" w:ascii="仿宋_GB2312"/>
          <w:szCs w:val="44"/>
        </w:rPr>
        <w:t>表3-3. 一般公共预算“三公”经费支出预算表</w:t>
      </w:r>
    </w:p>
    <w:p w14:paraId="28D11962">
      <w:pPr>
        <w:spacing w:line="600" w:lineRule="exact"/>
        <w:ind w:firstLine="632" w:firstLineChars="200"/>
        <w:rPr>
          <w:rFonts w:hint="eastAsia" w:ascii="仿宋_GB2312"/>
          <w:szCs w:val="44"/>
        </w:rPr>
      </w:pPr>
      <w:r>
        <w:rPr>
          <w:rFonts w:hint="eastAsia" w:ascii="仿宋_GB2312"/>
          <w:szCs w:val="44"/>
        </w:rPr>
        <w:t>表4. 政府性基金支出预算表</w:t>
      </w:r>
    </w:p>
    <w:p w14:paraId="140D34AA">
      <w:pPr>
        <w:spacing w:line="600" w:lineRule="exact"/>
        <w:ind w:firstLine="632" w:firstLineChars="200"/>
        <w:rPr>
          <w:rFonts w:hint="eastAsia" w:ascii="仿宋_GB2312"/>
          <w:szCs w:val="44"/>
        </w:rPr>
      </w:pPr>
      <w:r>
        <w:rPr>
          <w:rFonts w:hint="eastAsia" w:ascii="仿宋_GB2312"/>
          <w:szCs w:val="44"/>
        </w:rPr>
        <w:t>表4-1. 政府性基金预算“三公”经费支出预算表</w:t>
      </w:r>
    </w:p>
    <w:p w14:paraId="063DED8C">
      <w:pPr>
        <w:spacing w:line="600" w:lineRule="exact"/>
        <w:ind w:firstLine="632" w:firstLineChars="200"/>
        <w:rPr>
          <w:rFonts w:hint="eastAsia" w:ascii="仿宋_GB2312"/>
          <w:szCs w:val="44"/>
        </w:rPr>
      </w:pPr>
      <w:r>
        <w:rPr>
          <w:rFonts w:hint="eastAsia" w:ascii="仿宋_GB2312"/>
          <w:szCs w:val="44"/>
        </w:rPr>
        <w:t>表5. 国有资本经营预算支出预算表</w:t>
      </w:r>
    </w:p>
    <w:p w14:paraId="0290E26F">
      <w:pPr>
        <w:spacing w:line="600" w:lineRule="exact"/>
        <w:ind w:firstLine="632" w:firstLineChars="200"/>
        <w:rPr>
          <w:rFonts w:hint="eastAsia" w:ascii="仿宋_GB2312"/>
          <w:szCs w:val="44"/>
        </w:rPr>
      </w:pPr>
      <w:r>
        <w:rPr>
          <w:rFonts w:hint="eastAsia" w:ascii="仿宋_GB2312"/>
          <w:szCs w:val="44"/>
        </w:rPr>
        <w:t>表</w:t>
      </w:r>
      <w:r>
        <w:rPr>
          <w:rFonts w:hint="eastAsia" w:ascii="仿宋_GB2312"/>
          <w:szCs w:val="44"/>
          <w:lang w:val="en-US" w:eastAsia="zh-CN"/>
        </w:rPr>
        <w:t>6</w:t>
      </w:r>
      <w:r>
        <w:rPr>
          <w:rFonts w:hint="eastAsia" w:ascii="仿宋_GB2312"/>
          <w:szCs w:val="44"/>
        </w:rPr>
        <w:t xml:space="preserve">. </w:t>
      </w:r>
      <w:r>
        <w:rPr>
          <w:rFonts w:hint="eastAsia" w:ascii="仿宋_GB2312"/>
          <w:szCs w:val="44"/>
          <w:lang w:val="en-US" w:eastAsia="zh-CN"/>
        </w:rPr>
        <w:t>整体支出绩效目标申报表</w:t>
      </w:r>
    </w:p>
    <w:p w14:paraId="122B3AA6">
      <w:pPr>
        <w:spacing w:line="600" w:lineRule="exact"/>
        <w:ind w:firstLine="632" w:firstLineChars="200"/>
        <w:rPr>
          <w:rFonts w:hint="eastAsia" w:ascii="仿宋_GB2312"/>
          <w:szCs w:val="44"/>
          <w:lang w:val="en-US" w:eastAsia="zh-CN"/>
        </w:rPr>
      </w:pPr>
      <w:r>
        <w:rPr>
          <w:rFonts w:hint="eastAsia" w:ascii="仿宋_GB2312"/>
          <w:szCs w:val="44"/>
        </w:rPr>
        <w:t>表</w:t>
      </w:r>
      <w:r>
        <w:rPr>
          <w:rFonts w:hint="eastAsia" w:ascii="仿宋_GB2312"/>
          <w:szCs w:val="44"/>
          <w:lang w:val="en-US" w:eastAsia="zh-CN"/>
        </w:rPr>
        <w:t>7</w:t>
      </w:r>
      <w:r>
        <w:rPr>
          <w:rFonts w:hint="eastAsia" w:ascii="仿宋_GB2312"/>
          <w:szCs w:val="44"/>
        </w:rPr>
        <w:t xml:space="preserve">. </w:t>
      </w:r>
      <w:r>
        <w:rPr>
          <w:rFonts w:hint="eastAsia" w:ascii="仿宋_GB2312"/>
          <w:szCs w:val="44"/>
          <w:lang w:val="en-US" w:eastAsia="zh-CN"/>
        </w:rPr>
        <w:t>政府购买服务预算表</w:t>
      </w:r>
    </w:p>
    <w:p w14:paraId="0CB4F079">
      <w:pPr>
        <w:spacing w:line="600" w:lineRule="exact"/>
        <w:ind w:firstLine="632" w:firstLineChars="200"/>
        <w:rPr>
          <w:rFonts w:hint="eastAsia" w:ascii="仿宋_GB2312"/>
          <w:szCs w:val="44"/>
          <w:lang w:val="en-US" w:eastAsia="zh-CN"/>
        </w:rPr>
      </w:pPr>
      <w:r>
        <w:rPr>
          <w:rFonts w:hint="eastAsia" w:ascii="仿宋_GB2312"/>
          <w:szCs w:val="44"/>
        </w:rPr>
        <w:t>表</w:t>
      </w:r>
      <w:r>
        <w:rPr>
          <w:rFonts w:hint="eastAsia" w:ascii="仿宋_GB2312"/>
          <w:szCs w:val="44"/>
          <w:lang w:val="en-US" w:eastAsia="zh-CN"/>
        </w:rPr>
        <w:t>8</w:t>
      </w:r>
      <w:r>
        <w:rPr>
          <w:rFonts w:hint="eastAsia" w:ascii="仿宋_GB2312"/>
          <w:szCs w:val="44"/>
        </w:rPr>
        <w:t xml:space="preserve">. </w:t>
      </w:r>
      <w:r>
        <w:rPr>
          <w:rFonts w:hint="eastAsia" w:ascii="仿宋_GB2312"/>
          <w:szCs w:val="44"/>
          <w:lang w:val="en-US" w:eastAsia="zh-CN"/>
        </w:rPr>
        <w:t>采购需求表</w:t>
      </w:r>
    </w:p>
    <w:p w14:paraId="7200262B">
      <w:pPr>
        <w:spacing w:line="600" w:lineRule="exact"/>
        <w:ind w:firstLine="632" w:firstLineChars="200"/>
        <w:rPr>
          <w:rFonts w:hint="default"/>
          <w:lang w:val="en-US" w:eastAsia="zh-CN"/>
        </w:rPr>
      </w:pPr>
      <w:r>
        <w:rPr>
          <w:rFonts w:hint="eastAsia" w:ascii="仿宋_GB2312"/>
          <w:szCs w:val="44"/>
        </w:rPr>
        <w:t>表</w:t>
      </w:r>
      <w:r>
        <w:rPr>
          <w:rFonts w:hint="eastAsia" w:ascii="仿宋_GB2312"/>
          <w:szCs w:val="44"/>
          <w:lang w:val="en-US" w:eastAsia="zh-CN"/>
        </w:rPr>
        <w:t>9</w:t>
      </w:r>
      <w:r>
        <w:rPr>
          <w:rFonts w:hint="eastAsia" w:ascii="仿宋_GB2312"/>
          <w:szCs w:val="44"/>
        </w:rPr>
        <w:t xml:space="preserve">. </w:t>
      </w:r>
      <w:r>
        <w:rPr>
          <w:rFonts w:hint="eastAsia" w:ascii="仿宋_GB2312"/>
          <w:szCs w:val="44"/>
          <w:lang w:val="en-US" w:eastAsia="zh-CN"/>
        </w:rPr>
        <w:t>项目支出绩效表</w:t>
      </w:r>
    </w:p>
    <w:p w14:paraId="0E1AFFDC">
      <w:pPr>
        <w:spacing w:line="600" w:lineRule="exact"/>
        <w:rPr>
          <w:rFonts w:ascii="黑体" w:hAnsi="黑体" w:eastAsia="黑体"/>
          <w:szCs w:val="44"/>
        </w:rPr>
      </w:pPr>
      <w:r>
        <w:rPr>
          <w:rFonts w:hint="eastAsia" w:ascii="黑体" w:hAnsi="黑体" w:eastAsia="黑体"/>
          <w:szCs w:val="44"/>
        </w:rPr>
        <w:t>第三部分  20</w:t>
      </w:r>
      <w:r>
        <w:rPr>
          <w:rFonts w:hint="eastAsia" w:ascii="黑体" w:hAnsi="黑体" w:eastAsia="黑体"/>
          <w:szCs w:val="44"/>
          <w:lang w:val="en-US" w:eastAsia="zh-CN"/>
        </w:rPr>
        <w:t>25</w:t>
      </w:r>
      <w:r>
        <w:rPr>
          <w:rFonts w:hint="eastAsia" w:ascii="黑体" w:hAnsi="黑体" w:eastAsia="黑体"/>
          <w:szCs w:val="44"/>
        </w:rPr>
        <w:t>年部门预算项目绩效目标表</w:t>
      </w:r>
    </w:p>
    <w:p w14:paraId="52FA68C0">
      <w:pPr>
        <w:spacing w:line="600" w:lineRule="exact"/>
        <w:ind w:firstLine="632" w:firstLineChars="200"/>
        <w:rPr>
          <w:rFonts w:hint="eastAsia" w:ascii="仿宋_GB2312"/>
          <w:szCs w:val="44"/>
        </w:rPr>
      </w:pPr>
      <w:r>
        <w:rPr>
          <w:rFonts w:hint="eastAsia" w:ascii="仿宋_GB2312"/>
          <w:szCs w:val="44"/>
        </w:rPr>
        <w:t>表1.</w:t>
      </w:r>
      <w:r>
        <w:rPr>
          <w:rFonts w:ascii="仿宋_GB2312"/>
          <w:szCs w:val="44"/>
        </w:rPr>
        <w:t xml:space="preserve"> </w:t>
      </w:r>
      <w:r>
        <w:rPr>
          <w:rFonts w:hint="eastAsia" w:ascii="仿宋_GB2312"/>
          <w:szCs w:val="44"/>
        </w:rPr>
        <w:t>部门预算项目支出绩效目标表</w:t>
      </w:r>
    </w:p>
    <w:p w14:paraId="50B96F5F">
      <w:pPr>
        <w:spacing w:line="600" w:lineRule="exact"/>
        <w:rPr>
          <w:rFonts w:ascii="仿宋_GB2312"/>
          <w:szCs w:val="44"/>
        </w:rPr>
      </w:pPr>
    </w:p>
    <w:p w14:paraId="781F5EA3">
      <w:pPr>
        <w:spacing w:line="600" w:lineRule="exact"/>
        <w:rPr>
          <w:rFonts w:hint="eastAsia" w:ascii="仿宋_GB2312"/>
          <w:szCs w:val="44"/>
        </w:rPr>
      </w:pPr>
    </w:p>
    <w:p w14:paraId="5D1C134D">
      <w:pPr>
        <w:spacing w:line="600" w:lineRule="exact"/>
        <w:jc w:val="center"/>
        <w:rPr>
          <w:rFonts w:hint="default" w:ascii="方正小标宋简体" w:hAnsi="Times New Roman" w:eastAsia="方正小标宋简体" w:cs="Times New Roman"/>
          <w:sz w:val="44"/>
          <w:szCs w:val="44"/>
          <w:lang w:val="en-US" w:eastAsia="zh-CN"/>
        </w:rPr>
      </w:pPr>
      <w:r>
        <w:rPr>
          <w:rFonts w:ascii="仿宋_GB2312"/>
          <w:szCs w:val="44"/>
        </w:rPr>
        <w:br w:type="page"/>
      </w:r>
      <w:r>
        <w:rPr>
          <w:rFonts w:hint="eastAsia" w:ascii="方正小标宋简体" w:hAnsi="Times New Roman" w:eastAsia="方正小标宋简体" w:cs="Times New Roman"/>
          <w:sz w:val="44"/>
          <w:szCs w:val="44"/>
          <w:lang w:val="en-US" w:eastAsia="zh-CN"/>
        </w:rPr>
        <w:t>遂宁市安居区交通运输局</w:t>
      </w:r>
    </w:p>
    <w:p w14:paraId="1847D079">
      <w:pPr>
        <w:spacing w:line="600" w:lineRule="exact"/>
        <w:jc w:val="cente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25</w:t>
      </w:r>
      <w:r>
        <w:rPr>
          <w:rFonts w:hint="eastAsia" w:ascii="方正小标宋简体" w:eastAsia="方正小标宋简体"/>
          <w:sz w:val="44"/>
          <w:szCs w:val="44"/>
        </w:rPr>
        <w:t>年部门预算编制说明</w:t>
      </w:r>
    </w:p>
    <w:p w14:paraId="644E1BF1">
      <w:pPr>
        <w:spacing w:line="600" w:lineRule="exact"/>
        <w:ind w:firstLine="632" w:firstLineChars="200"/>
        <w:rPr>
          <w:rFonts w:ascii="黑体" w:hAnsi="黑体" w:eastAsia="黑体"/>
        </w:rPr>
      </w:pPr>
    </w:p>
    <w:p w14:paraId="7878824B">
      <w:pPr>
        <w:spacing w:line="600" w:lineRule="exact"/>
        <w:ind w:firstLine="632" w:firstLineChars="200"/>
        <w:rPr>
          <w:rFonts w:ascii="黑体" w:hAnsi="黑体" w:eastAsia="黑体"/>
        </w:rPr>
      </w:pPr>
      <w:r>
        <w:rPr>
          <w:rFonts w:ascii="黑体" w:hAnsi="黑体" w:eastAsia="黑体"/>
        </w:rPr>
        <w:t>一、基本职能及主要工作</w:t>
      </w:r>
    </w:p>
    <w:p w14:paraId="746B933C">
      <w:pPr>
        <w:ind w:firstLine="632" w:firstLineChars="200"/>
        <w:rPr>
          <w:rFonts w:hint="eastAsia" w:ascii="楷体_GB2312" w:eastAsia="楷体_GB2312"/>
        </w:rPr>
      </w:pPr>
      <w:r>
        <w:rPr>
          <w:rFonts w:hint="eastAsia" w:ascii="楷体_GB2312" w:eastAsia="楷体_GB2312"/>
        </w:rPr>
        <w:t>（一） 遂宁市</w:t>
      </w:r>
      <w:r>
        <w:rPr>
          <w:rFonts w:hint="eastAsia" w:ascii="楷体_GB2312" w:eastAsia="楷体_GB2312"/>
          <w:lang w:val="en-US" w:eastAsia="zh-CN"/>
        </w:rPr>
        <w:t>安居区交通运输局</w:t>
      </w:r>
      <w:r>
        <w:rPr>
          <w:rFonts w:hint="eastAsia" w:ascii="楷体_GB2312" w:eastAsia="楷体_GB2312"/>
        </w:rPr>
        <w:t>职能简介</w:t>
      </w:r>
    </w:p>
    <w:p w14:paraId="2E0F9D80">
      <w:pPr>
        <w:widowControl/>
        <w:ind w:firstLine="632" w:firstLineChars="200"/>
        <w:jc w:val="left"/>
        <w:rPr>
          <w:rFonts w:ascii="仿宋_GB2312" w:hAnsi="??" w:cs="宋体"/>
          <w:kern w:val="0"/>
        </w:rPr>
      </w:pPr>
      <w:r>
        <w:rPr>
          <w:rFonts w:hint="eastAsia"/>
        </w:rPr>
        <w:t>1.</w:t>
      </w:r>
      <w:r>
        <w:rPr>
          <w:rFonts w:hint="eastAsia" w:ascii="仿宋_GB2312"/>
          <w:szCs w:val="32"/>
        </w:rPr>
        <w:t>宣传贯彻执行国家和省、市有关交通运输行业的方针、政策和法律、法规；制定全区公路和水路交通运输行业发展政策，实施办法或规章，并监督实施。</w:t>
      </w:r>
    </w:p>
    <w:p w14:paraId="782D80C1">
      <w:pPr>
        <w:widowControl/>
        <w:ind w:firstLine="632" w:firstLineChars="200"/>
        <w:jc w:val="left"/>
        <w:rPr>
          <w:rFonts w:ascii="仿宋_GB2312" w:hAnsi="??" w:cs="宋体"/>
          <w:kern w:val="0"/>
        </w:rPr>
      </w:pPr>
      <w:r>
        <w:rPr>
          <w:rFonts w:hint="eastAsia" w:ascii="仿宋_GB2312" w:hAnsi="??" w:cs="宋体"/>
          <w:kern w:val="0"/>
        </w:rPr>
        <w:t>2.</w:t>
      </w:r>
      <w:r>
        <w:rPr>
          <w:rFonts w:ascii="仿宋_GB2312" w:hAnsi="??" w:cs="宋体"/>
          <w:kern w:val="0"/>
        </w:rPr>
        <w:t xml:space="preserve"> </w:t>
      </w:r>
      <w:r>
        <w:rPr>
          <w:rFonts w:hint="eastAsia" w:ascii="仿宋_GB2312"/>
          <w:szCs w:val="32"/>
        </w:rPr>
        <w:t>根据国家和省、市道路交通运输的总体布置，制定全区公路和水路交通运输行业规划，中长期计划和年度计划，并监督实施；负责全区交通运输行业统计和信息引导。</w:t>
      </w:r>
    </w:p>
    <w:p w14:paraId="244A1768">
      <w:pPr>
        <w:ind w:firstLine="632" w:firstLineChars="200"/>
        <w:rPr>
          <w:rFonts w:hint="eastAsia" w:ascii="仿宋_GB2312"/>
          <w:szCs w:val="32"/>
        </w:rPr>
      </w:pPr>
      <w:r>
        <w:rPr>
          <w:rFonts w:hint="eastAsia" w:ascii="仿宋_GB2312" w:hAnsi="??" w:cs="宋体"/>
          <w:kern w:val="0"/>
        </w:rPr>
        <w:t>3.</w:t>
      </w:r>
      <w:r>
        <w:rPr>
          <w:rFonts w:hint="eastAsia" w:ascii="仿宋_GB2312"/>
          <w:szCs w:val="32"/>
        </w:rPr>
        <w:t>负责全区公路和水路交通运输市场（含客货运输市场、城市公交市场、客运出租市场、汽车综合性能技术检测、汽车维修市场、运输服务市场、搬运装卸市场和驾驶员培训工作等）行业管理；培育公路、水路运输市场，维护交通运输行业平等竞赛竞争秩序；加强全区城市公共客运和出租汽车行业管理工作；指导城乡客、货运输的衔接协调工作；指导全区交通运输行业优化结构，协调发展；对关系救灾、抢险、战略等紧急客货运输进行必要的调控。</w:t>
      </w:r>
    </w:p>
    <w:p w14:paraId="1680D776">
      <w:pPr>
        <w:ind w:firstLine="632" w:firstLineChars="200"/>
        <w:rPr>
          <w:rFonts w:hint="eastAsia" w:ascii="仿宋_GB2312"/>
          <w:szCs w:val="32"/>
        </w:rPr>
      </w:pPr>
      <w:r>
        <w:rPr>
          <w:rFonts w:hint="eastAsia" w:ascii="仿宋_GB2312" w:hAnsi="??" w:cs="宋体"/>
          <w:kern w:val="0"/>
          <w:lang w:val="en-US" w:eastAsia="zh-CN"/>
        </w:rPr>
        <w:t>4.</w:t>
      </w:r>
      <w:r>
        <w:rPr>
          <w:rFonts w:hint="eastAsia" w:ascii="仿宋_GB2312"/>
          <w:szCs w:val="32"/>
        </w:rPr>
        <w:t>负责全区公路、水路交通基础设施建设市场的（含客货运输和旅游运输场站建设）行业管理，维护交通建设行业平等竞争秩序；组织实施国家、省、市、区重点公路、水路工程建设；负责监督全区地方交通建设项目实施，交通工程质量及交、竣工验收工作；负责乡道公路建设项目设计审批，协助概预算、招标、监理、技术监督。</w:t>
      </w:r>
    </w:p>
    <w:p w14:paraId="6EC29A0C">
      <w:pPr>
        <w:ind w:firstLine="632" w:firstLineChars="200"/>
        <w:rPr>
          <w:rFonts w:hint="eastAsia" w:ascii="仿宋_GB2312"/>
          <w:szCs w:val="32"/>
        </w:rPr>
      </w:pPr>
      <w:r>
        <w:rPr>
          <w:rFonts w:hint="eastAsia" w:ascii="仿宋_GB2312" w:hAnsi="??" w:cs="宋体"/>
          <w:kern w:val="0"/>
          <w:lang w:val="en-US" w:eastAsia="zh-CN"/>
        </w:rPr>
        <w:t>5.</w:t>
      </w:r>
      <w:r>
        <w:rPr>
          <w:rFonts w:hint="eastAsia" w:ascii="仿宋_GB2312"/>
          <w:szCs w:val="32"/>
        </w:rPr>
        <w:t>负责全区公路、水路设施的维护、管理（含公路养护、路政管理、依法治理公路“三乱”）；归口管理全区公路、桥梁、车渡站卡设置、公路绿化。</w:t>
      </w:r>
    </w:p>
    <w:p w14:paraId="5E5D3B05">
      <w:pPr>
        <w:ind w:firstLine="632" w:firstLineChars="200"/>
        <w:rPr>
          <w:rFonts w:hint="eastAsia" w:ascii="仿宋_GB2312"/>
          <w:szCs w:val="32"/>
          <w:lang w:eastAsia="zh-CN"/>
        </w:rPr>
      </w:pPr>
      <w:r>
        <w:rPr>
          <w:rFonts w:hint="eastAsia" w:ascii="仿宋_GB2312" w:hAnsi="??" w:cs="宋体"/>
          <w:kern w:val="0"/>
          <w:lang w:val="en-US" w:eastAsia="zh-CN"/>
        </w:rPr>
        <w:t>6.</w:t>
      </w:r>
      <w:r>
        <w:rPr>
          <w:rFonts w:hint="eastAsia" w:ascii="仿宋_GB2312"/>
          <w:szCs w:val="32"/>
        </w:rPr>
        <w:t>负责全区水上交通安全监督、港航设施建设、船舶及水上设施检验</w:t>
      </w:r>
      <w:r>
        <w:rPr>
          <w:rFonts w:hint="eastAsia" w:ascii="仿宋_GB2312"/>
          <w:szCs w:val="32"/>
          <w:lang w:eastAsia="zh-CN"/>
        </w:rPr>
        <w:t>。</w:t>
      </w:r>
    </w:p>
    <w:p w14:paraId="66EF6D5F">
      <w:pPr>
        <w:ind w:firstLine="632" w:firstLineChars="200"/>
        <w:rPr>
          <w:rFonts w:hint="eastAsia" w:ascii="仿宋_GB2312"/>
          <w:szCs w:val="32"/>
        </w:rPr>
      </w:pPr>
      <w:r>
        <w:rPr>
          <w:rFonts w:hint="eastAsia" w:ascii="仿宋_GB2312"/>
          <w:szCs w:val="32"/>
          <w:lang w:val="en-US" w:eastAsia="zh-CN"/>
        </w:rPr>
        <w:t>7.</w:t>
      </w:r>
      <w:r>
        <w:rPr>
          <w:rFonts w:hint="eastAsia" w:ascii="仿宋_GB2312"/>
          <w:szCs w:val="32"/>
        </w:rPr>
        <w:t>贯彻执行国家及省、市有关交通运输科技政策；指导实施交通运输行业计量、质量，技术标准和规范工作；制定全区交通运输科技政策、技术标准；组织重大科技开发，推动科技创新和进步。</w:t>
      </w:r>
    </w:p>
    <w:p w14:paraId="00A489EA">
      <w:pPr>
        <w:ind w:firstLine="632" w:firstLineChars="200"/>
        <w:rPr>
          <w:rFonts w:hint="eastAsia" w:ascii="仿宋_GB2312"/>
          <w:szCs w:val="32"/>
        </w:rPr>
      </w:pPr>
      <w:r>
        <w:rPr>
          <w:rFonts w:hint="eastAsia" w:ascii="仿宋_GB2312"/>
          <w:szCs w:val="32"/>
          <w:lang w:val="en-US" w:eastAsia="zh-CN"/>
        </w:rPr>
        <w:t>8.</w:t>
      </w:r>
      <w:r>
        <w:rPr>
          <w:rFonts w:hint="eastAsia" w:ascii="仿宋_GB2312"/>
          <w:szCs w:val="32"/>
        </w:rPr>
        <w:t>加强交通运输行业财务管理，建立健全规范的会计核算体系；负责监督管理全区交通行业国有资产。</w:t>
      </w:r>
    </w:p>
    <w:p w14:paraId="440ACF3A">
      <w:pPr>
        <w:ind w:firstLine="632" w:firstLineChars="200"/>
        <w:rPr>
          <w:rFonts w:hint="eastAsia" w:ascii="仿宋_GB2312"/>
          <w:szCs w:val="32"/>
        </w:rPr>
      </w:pPr>
      <w:r>
        <w:rPr>
          <w:rFonts w:hint="eastAsia" w:ascii="仿宋_GB2312"/>
          <w:szCs w:val="32"/>
          <w:lang w:val="en-US" w:eastAsia="zh-CN"/>
        </w:rPr>
        <w:t>9.</w:t>
      </w:r>
      <w:r>
        <w:rPr>
          <w:rFonts w:hint="eastAsia" w:ascii="仿宋_GB2312"/>
          <w:szCs w:val="32"/>
        </w:rPr>
        <w:t>负责交通运输行业的精神文明建设，廉政建设，行风建设和职工队伍建设；负责交通运输行业人才预测、教育、培训和劳动卫生工作；负责局机关和所属单位的人事管理，劳动工资管理和机构编制管理工作。</w:t>
      </w:r>
    </w:p>
    <w:p w14:paraId="47B8EBF0">
      <w:pPr>
        <w:ind w:firstLine="632" w:firstLineChars="200"/>
        <w:rPr>
          <w:rFonts w:hint="eastAsia" w:ascii="仿宋_GB2312"/>
          <w:szCs w:val="32"/>
        </w:rPr>
      </w:pPr>
      <w:r>
        <w:rPr>
          <w:rFonts w:hint="eastAsia" w:ascii="仿宋_GB2312"/>
          <w:szCs w:val="32"/>
          <w:lang w:val="en-US" w:eastAsia="zh-CN"/>
        </w:rPr>
        <w:t>10.</w:t>
      </w:r>
      <w:r>
        <w:rPr>
          <w:rFonts w:hint="eastAsia" w:ascii="仿宋_GB2312"/>
          <w:szCs w:val="32"/>
        </w:rPr>
        <w:t>负责有关交通运输涉外工作，合理利用外资，开展涉外经济技术合作与交流工作。</w:t>
      </w:r>
    </w:p>
    <w:p w14:paraId="3E50DF39">
      <w:pPr>
        <w:ind w:firstLine="632" w:firstLineChars="200"/>
        <w:rPr>
          <w:rFonts w:hint="eastAsia" w:ascii="仿宋_GB2312"/>
          <w:szCs w:val="32"/>
        </w:rPr>
      </w:pPr>
      <w:r>
        <w:rPr>
          <w:rFonts w:hint="eastAsia" w:ascii="仿宋_GB2312"/>
          <w:szCs w:val="32"/>
          <w:lang w:val="en-US" w:eastAsia="zh-CN"/>
        </w:rPr>
        <w:t>11.</w:t>
      </w:r>
      <w:r>
        <w:rPr>
          <w:rFonts w:hint="eastAsia" w:ascii="仿宋_GB2312"/>
          <w:szCs w:val="32"/>
        </w:rPr>
        <w:t>会同有关部门制定并执行涉及交通运输行业的有关地方经济政策。</w:t>
      </w:r>
    </w:p>
    <w:p w14:paraId="71B1D565">
      <w:pPr>
        <w:ind w:firstLine="632" w:firstLineChars="200"/>
        <w:rPr>
          <w:rFonts w:hint="default" w:ascii="仿宋_GB2312"/>
          <w:szCs w:val="32"/>
          <w:lang w:val="en-US" w:eastAsia="zh-CN"/>
        </w:rPr>
      </w:pPr>
      <w:r>
        <w:rPr>
          <w:rFonts w:hint="eastAsia" w:ascii="仿宋_GB2312"/>
          <w:szCs w:val="32"/>
          <w:lang w:val="en-US" w:eastAsia="zh-CN"/>
        </w:rPr>
        <w:t>12.承办区人民政府交办的其他事项。</w:t>
      </w:r>
    </w:p>
    <w:p w14:paraId="7B3956C2">
      <w:pPr>
        <w:spacing w:line="600" w:lineRule="exact"/>
        <w:ind w:firstLine="632" w:firstLineChars="200"/>
        <w:rPr>
          <w:rFonts w:hint="eastAsia" w:ascii="楷体_GB2312" w:hAnsi="Times New Roman" w:eastAsia="楷体_GB2312" w:cs="Times New Roman"/>
          <w:b/>
        </w:rPr>
      </w:pPr>
      <w:r>
        <w:rPr>
          <w:rFonts w:hint="eastAsia" w:ascii="楷体_GB2312" w:eastAsia="楷体_GB2312"/>
          <w:b/>
        </w:rPr>
        <w:t>（二）</w:t>
      </w:r>
      <w:r>
        <w:rPr>
          <w:rFonts w:hint="eastAsia" w:ascii="楷体_GB2312" w:hAnsi="Times New Roman" w:eastAsia="楷体_GB2312" w:cs="Times New Roman"/>
          <w:b/>
          <w:lang w:val="en-US" w:eastAsia="zh-CN"/>
        </w:rPr>
        <w:t>区交通运输局</w:t>
      </w:r>
      <w:r>
        <w:rPr>
          <w:rFonts w:hint="eastAsia" w:ascii="楷体_GB2312" w:hAnsi="Times New Roman" w:eastAsia="楷体_GB2312" w:cs="Times New Roman"/>
          <w:b/>
        </w:rPr>
        <w:t>20</w:t>
      </w:r>
      <w:r>
        <w:rPr>
          <w:rFonts w:hint="eastAsia" w:ascii="楷体_GB2312" w:hAnsi="Times New Roman" w:eastAsia="楷体_GB2312" w:cs="Times New Roman"/>
          <w:b/>
          <w:lang w:val="en-US" w:eastAsia="zh-CN"/>
        </w:rPr>
        <w:t>25</w:t>
      </w:r>
      <w:r>
        <w:rPr>
          <w:rFonts w:hint="eastAsia" w:ascii="楷体_GB2312" w:hAnsi="Times New Roman" w:eastAsia="楷体_GB2312" w:cs="Times New Roman"/>
          <w:b/>
        </w:rPr>
        <w:t>年重点工作简介</w:t>
      </w:r>
    </w:p>
    <w:p w14:paraId="14012078">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安居区交通运输局将全面贯彻落实党的二十大精神，习近平总书记来川视察重要指示精神，省委十二届历次全会、市委八届历次全会、区委五届历次全会精神。按照区委、区政府的战略擘画，结合安居区交通运输工作实际，找准着力点和切入点，统筹项目建设、道路运输、行业安全等工作，积极争取全国</w:t>
      </w:r>
      <w:r>
        <w:rPr>
          <w:rFonts w:hint="eastAsia" w:cs="Times New Roman"/>
          <w:sz w:val="32"/>
          <w:szCs w:val="32"/>
          <w:lang w:val="en-US" w:eastAsia="zh-CN"/>
        </w:rPr>
        <w:t>“四好农村路”</w:t>
      </w:r>
      <w:r>
        <w:rPr>
          <w:rFonts w:hint="default" w:ascii="Times New Roman" w:hAnsi="Times New Roman" w:eastAsia="仿宋_GB2312" w:cs="Times New Roman"/>
          <w:sz w:val="32"/>
          <w:szCs w:val="32"/>
          <w:lang w:val="en-US" w:eastAsia="zh-CN"/>
        </w:rPr>
        <w:t>示范县、全省“交通强县”试点县，奋力续写打“创新牌”、吃“改革饭”、走“开放路”的交运新篇章。</w:t>
      </w:r>
    </w:p>
    <w:p w14:paraId="0BC30A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0"/>
          <w:sz w:val="32"/>
          <w:szCs w:val="32"/>
          <w:lang w:val="en-US" w:eastAsia="zh-CN" w:bidi="ar"/>
        </w:rPr>
        <w:t>（一）谋实项目，积蓄交通发展强劲动能。</w:t>
      </w:r>
      <w:r>
        <w:rPr>
          <w:rFonts w:hint="default" w:ascii="Times New Roman" w:hAnsi="Times New Roman" w:eastAsia="仿宋_GB2312" w:cs="Times New Roman"/>
          <w:sz w:val="32"/>
          <w:szCs w:val="32"/>
          <w:lang w:val="en-US" w:eastAsia="zh-CN"/>
        </w:rPr>
        <w:t>一是聚力争取无偿补助资金。持续坚持“每周到市、隔周到省”工作要求，及时掌握资金申报的最新动态和要求，优化申报资料，提高申报质量，2025年预计争取补助资金2.1亿元。力争国债资金6亿元，专项债1.87亿元。二是畅通对外大通道。全方位配合做好加快武潼安高速等2条交通大动脉项目前期工作，保姆式做好遂渝高速扩容项目征拆安补及相关协调工作，加快推动磨溪高速出口建设，全面完善区内“三纵两横”高速公路网。三是升级区内经济主干线。加快推进G318、G247城区段新建、S207会龙至东禅段改建等3条区内经济主干线前期工作，S207会龙至东禅段改建项目力争2025年10月开工建设，全面完善“一环八射”交通动脉网。四是织密农村公路网。纵深开展</w:t>
      </w:r>
      <w:r>
        <w:rPr>
          <w:rFonts w:hint="eastAsia" w:cs="Times New Roman"/>
          <w:sz w:val="32"/>
          <w:szCs w:val="32"/>
          <w:lang w:val="en-US" w:eastAsia="zh-CN"/>
        </w:rPr>
        <w:t>“四好农村路”</w:t>
      </w:r>
      <w:r>
        <w:rPr>
          <w:rFonts w:hint="default" w:ascii="Times New Roman" w:hAnsi="Times New Roman" w:eastAsia="仿宋_GB2312" w:cs="Times New Roman"/>
          <w:sz w:val="32"/>
          <w:szCs w:val="32"/>
          <w:lang w:val="en-US" w:eastAsia="zh-CN"/>
        </w:rPr>
        <w:t>提质增效三年行动，打造一批旅游路、资源路、产业路，开工建设安居至三家等12条65公里的幸福美丽乡村路、新（改）建村组道路120公里，打造城镇半小时通勤圈，助力乡村经济振兴繁荣。五是</w:t>
      </w:r>
      <w:r>
        <w:rPr>
          <w:rFonts w:hint="eastAsia" w:eastAsia="仿宋_GB2312" w:cs="Times New Roman"/>
          <w:sz w:val="32"/>
          <w:szCs w:val="32"/>
          <w:lang w:val="en-US" w:eastAsia="zh-CN"/>
        </w:rPr>
        <w:t>加快“十五五”规划编制</w:t>
      </w:r>
      <w:r>
        <w:rPr>
          <w:rFonts w:hint="default" w:ascii="Times New Roman" w:hAnsi="Times New Roman" w:eastAsia="仿宋_GB2312" w:cs="Times New Roman"/>
          <w:sz w:val="32"/>
          <w:szCs w:val="32"/>
          <w:lang w:val="en-US" w:eastAsia="zh-CN"/>
        </w:rPr>
        <w:t>。加快编制《安居区“十五五”及中长期综合交通运输规划》</w:t>
      </w:r>
      <w:r>
        <w:rPr>
          <w:rFonts w:hint="eastAsia" w:eastAsia="仿宋_GB2312" w:cs="Times New Roman"/>
          <w:sz w:val="32"/>
          <w:szCs w:val="32"/>
          <w:lang w:val="en-US" w:eastAsia="zh-CN"/>
        </w:rPr>
        <w:t>，规划</w:t>
      </w:r>
      <w:r>
        <w:rPr>
          <w:rFonts w:hint="default" w:ascii="Times New Roman" w:hAnsi="Times New Roman" w:eastAsia="仿宋_GB2312" w:cs="Times New Roman"/>
          <w:sz w:val="32"/>
          <w:szCs w:val="32"/>
          <w:lang w:val="en-US" w:eastAsia="zh-CN"/>
        </w:rPr>
        <w:t>百亿项目3个，总投资390亿。国省经济主干线7个，总投资 14.2 亿元。幸福美丽乡村路 11个，41.76亿元。农村补短项目 3个，总投资 42.4 亿元。综合运输项目 8个，总投资 30.5亿元。精细化提升1个，总投资1亿元。</w:t>
      </w:r>
    </w:p>
    <w:p w14:paraId="049A20D6">
      <w:pPr>
        <w:pStyle w:val="7"/>
        <w:keepNext w:val="0"/>
        <w:keepLines w:val="0"/>
        <w:widowControl/>
        <w:suppressLineNumbers w:val="0"/>
        <w:spacing w:before="0" w:beforeAutospacing="0" w:after="0" w:afterAutospacing="0" w:line="580" w:lineRule="exact"/>
        <w:ind w:left="0" w:right="0" w:firstLine="42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楷体_GB2312" w:cs="Times New Roman"/>
          <w:b/>
          <w:bCs/>
          <w:kern w:val="0"/>
          <w:sz w:val="32"/>
          <w:szCs w:val="32"/>
          <w:lang w:val="en-US" w:eastAsia="zh-CN" w:bidi="ar"/>
        </w:rPr>
        <w:t>（二）务实为民，持续优化交通运输供给。</w:t>
      </w:r>
      <w:r>
        <w:rPr>
          <w:rFonts w:hint="default" w:ascii="Times New Roman" w:hAnsi="Times New Roman" w:eastAsia="仿宋_GB2312" w:cs="Times New Roman"/>
          <w:b w:val="0"/>
          <w:bCs w:val="0"/>
          <w:kern w:val="0"/>
          <w:sz w:val="32"/>
          <w:szCs w:val="32"/>
          <w:lang w:val="en-US" w:eastAsia="zh-CN" w:bidi="ar"/>
        </w:rPr>
        <w:t>一是</w:t>
      </w:r>
      <w:r>
        <w:rPr>
          <w:rFonts w:hint="default" w:ascii="Times New Roman" w:hAnsi="Times New Roman" w:eastAsia="仿宋_GB2312" w:cs="Times New Roman"/>
          <w:kern w:val="0"/>
          <w:sz w:val="32"/>
          <w:szCs w:val="32"/>
          <w:lang w:val="en-US" w:eastAsia="zh-CN" w:bidi="ar"/>
        </w:rPr>
        <w:t>用好乡镇交通综合运输服务站。加强城乡物流基础设施互联互通，畅通“农村工业品下乡、农产品进城”双向流通渠道，实现降本增效。</w:t>
      </w:r>
      <w:r>
        <w:rPr>
          <w:rFonts w:hint="default" w:ascii="Times New Roman" w:hAnsi="Times New Roman" w:eastAsia="仿宋_GB2312" w:cs="Times New Roman"/>
          <w:color w:val="auto"/>
          <w:sz w:val="32"/>
          <w:szCs w:val="32"/>
          <w:lang w:val="en-US" w:eastAsia="zh-CN" w:bidi="ar-SA"/>
        </w:rPr>
        <w:t>2025年底完成白马镇、西眉镇2个乡镇交通综合运输服务站建设。</w:t>
      </w:r>
      <w:r>
        <w:rPr>
          <w:rFonts w:hint="default" w:ascii="Times New Roman" w:hAnsi="Times New Roman" w:eastAsia="仿宋_GB2312" w:cs="Times New Roman"/>
          <w:kern w:val="0"/>
          <w:sz w:val="32"/>
          <w:szCs w:val="32"/>
          <w:lang w:val="en-US" w:eastAsia="zh-CN" w:bidi="ar"/>
        </w:rPr>
        <w:t>二是优化农村客运线路。根据群众需求优化调整农村客运线路，增</w:t>
      </w:r>
      <w:r>
        <w:rPr>
          <w:rFonts w:hint="default" w:ascii="Times New Roman" w:hAnsi="Times New Roman" w:eastAsia="仿宋_GB2312" w:cs="Times New Roman"/>
          <w:kern w:val="2"/>
          <w:sz w:val="32"/>
          <w:szCs w:val="32"/>
          <w:lang w:val="en-US" w:eastAsia="zh-CN" w:bidi="ar-SA"/>
        </w:rPr>
        <w:t>加乡村运输运力投放，预计2025年新增金通工程“小黄车”4辆。三是继续优化城市公交。开行城市夜间光彩公交，助力安居区夜间经济发展；</w:t>
      </w:r>
      <w:r>
        <w:rPr>
          <w:rFonts w:ascii="仿宋" w:hAnsi="仿宋" w:eastAsia="仿宋" w:cs="仿宋"/>
          <w:b w:val="0"/>
          <w:bCs w:val="0"/>
          <w:i w:val="0"/>
          <w:iCs w:val="0"/>
          <w:color w:val="000000"/>
          <w:spacing w:val="0"/>
          <w:w w:val="100"/>
          <w:sz w:val="32"/>
          <w:szCs w:val="32"/>
          <w:vertAlign w:val="baseline"/>
        </w:rPr>
        <w:t>开行安居城区至海龙凯歌景区定制公交，为群众“解锁”新旅游出行方式</w:t>
      </w:r>
      <w:r>
        <w:rPr>
          <w:rFonts w:hint="default" w:ascii="Times New Roman" w:hAnsi="Times New Roman" w:eastAsia="仿宋_GB2312" w:cs="Times New Roman"/>
          <w:kern w:val="2"/>
          <w:sz w:val="32"/>
          <w:szCs w:val="32"/>
          <w:lang w:val="en-US" w:eastAsia="zh-CN" w:bidi="ar-SA"/>
        </w:rPr>
        <w:t>。四是加大互联网租赁自行车运力投放。</w:t>
      </w:r>
      <w:r>
        <w:rPr>
          <w:rFonts w:hint="default" w:ascii="Times New Roman" w:hAnsi="Times New Roman" w:eastAsia="仿宋_GB2312" w:cs="Times New Roman"/>
          <w:color w:val="auto"/>
          <w:sz w:val="32"/>
          <w:szCs w:val="32"/>
          <w:lang w:val="en-US" w:eastAsia="zh-CN" w:bidi="ar-SA"/>
        </w:rPr>
        <w:t>计划新引入一家共享单车企业，安居城区新投放</w:t>
      </w:r>
      <w:r>
        <w:rPr>
          <w:rFonts w:hint="eastAsia" w:eastAsia="仿宋_GB2312" w:cs="Times New Roman"/>
          <w:color w:val="auto"/>
          <w:sz w:val="32"/>
          <w:szCs w:val="32"/>
          <w:lang w:val="en-US" w:eastAsia="zh-CN" w:bidi="ar-SA"/>
        </w:rPr>
        <w:t>500</w:t>
      </w:r>
      <w:r>
        <w:rPr>
          <w:rFonts w:hint="default" w:ascii="Times New Roman" w:hAnsi="Times New Roman" w:eastAsia="仿宋_GB2312" w:cs="Times New Roman"/>
          <w:color w:val="auto"/>
          <w:sz w:val="32"/>
          <w:szCs w:val="32"/>
          <w:lang w:val="en-US" w:eastAsia="zh-CN" w:bidi="ar-SA"/>
        </w:rPr>
        <w:t>辆，七彩明珠景区、伍先华旧居、海龙凯歌景区投放500辆，满足“快进漫游”的多样化的出行需求。</w:t>
      </w:r>
    </w:p>
    <w:p w14:paraId="5CB701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0"/>
          <w:sz w:val="32"/>
          <w:szCs w:val="32"/>
          <w:lang w:val="en-US" w:eastAsia="zh-CN" w:bidi="ar"/>
        </w:rPr>
        <w:t>（三）强化措施，全力维护行业安全稳定。</w:t>
      </w:r>
      <w:r>
        <w:rPr>
          <w:rFonts w:hint="default" w:ascii="Times New Roman" w:hAnsi="Times New Roman" w:eastAsia="仿宋_GB2312" w:cs="Times New Roman"/>
          <w:sz w:val="32"/>
          <w:szCs w:val="32"/>
          <w:lang w:val="en-US" w:eastAsia="zh-CN"/>
        </w:rPr>
        <w:t>一是坚决防范遏制重特大事故发生。始终紧盯“两客一危”、重型货车等重点领域，开展专项整治集中攻坚。进一步建立健全与应急、市场监管、公安交警、经信、属地政府等部门的联勤联动机制，常态化开展“5+2”、“白+黑”联合执法，形成合力齐抓共管危化运输、非法营运、超限超载等违法行为。二是着力提升本质安全水平。持续加强公路和桥梁的日常性养护及预防性养护，加大区内国、省、县、乡道路通行环境巡查力度，加密巡查频次，做到道路隐患及时发现、及时处置，确保道路安全畅通。</w:t>
      </w:r>
      <w:r>
        <w:rPr>
          <w:rFonts w:hint="eastAsia" w:eastAsia="仿宋_GB2312" w:cs="Times New Roman"/>
          <w:sz w:val="32"/>
          <w:szCs w:val="32"/>
          <w:lang w:val="en-US" w:eastAsia="zh-CN"/>
        </w:rPr>
        <w:t>2025年投入资金</w:t>
      </w:r>
      <w:r>
        <w:rPr>
          <w:rFonts w:hint="eastAsia" w:cs="Times New Roman"/>
          <w:sz w:val="32"/>
          <w:szCs w:val="32"/>
          <w:lang w:val="en-US" w:eastAsia="zh-CN"/>
        </w:rPr>
        <w:t>422</w:t>
      </w:r>
      <w:r>
        <w:rPr>
          <w:rFonts w:hint="eastAsia" w:eastAsia="仿宋_GB2312" w:cs="Times New Roman"/>
          <w:sz w:val="32"/>
          <w:szCs w:val="32"/>
          <w:lang w:val="en-US" w:eastAsia="zh-CN"/>
        </w:rPr>
        <w:t>万元实施生命防护工程护栏</w:t>
      </w:r>
      <w:r>
        <w:rPr>
          <w:rFonts w:hint="eastAsia" w:cs="Times New Roman"/>
          <w:sz w:val="32"/>
          <w:szCs w:val="32"/>
          <w:lang w:val="en-US" w:eastAsia="zh-CN"/>
        </w:rPr>
        <w:t>35.214</w:t>
      </w:r>
      <w:r>
        <w:rPr>
          <w:rFonts w:hint="eastAsia" w:eastAsia="仿宋_GB2312" w:cs="Times New Roman"/>
          <w:sz w:val="32"/>
          <w:szCs w:val="32"/>
          <w:lang w:val="en-US" w:eastAsia="zh-CN"/>
        </w:rPr>
        <w:t>公里。</w:t>
      </w:r>
      <w:r>
        <w:rPr>
          <w:rFonts w:hint="default" w:ascii="Times New Roman" w:hAnsi="Times New Roman" w:eastAsia="仿宋_GB2312" w:cs="Times New Roman"/>
          <w:sz w:val="32"/>
          <w:szCs w:val="32"/>
          <w:lang w:val="en-US" w:eastAsia="zh-CN"/>
        </w:rPr>
        <w:t>三是推行法治交通。建立健全行业安全举报奖励机制，进一步完善应急救援处置体系。扎实推进“平安百年品质工程”和“平安工地”建设，防范化解安全风险隐患。强化行业重点领域突出矛盾纠纷排查化解，畅通诉求表达渠道，做好涉稳风险防控。常态化开展扫黑除恶斗争，深化行业突出问题专项整治，健全行业社会稳定风险评估机制，切实维护行业安全稳定。</w:t>
      </w:r>
    </w:p>
    <w:p w14:paraId="40D40537">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0"/>
          <w:sz w:val="32"/>
          <w:szCs w:val="32"/>
          <w:lang w:val="en-US" w:eastAsia="zh-CN" w:bidi="ar"/>
        </w:rPr>
        <w:t>（四）党建引领，提供交通发展坚强保障。</w:t>
      </w:r>
      <w:r>
        <w:rPr>
          <w:rFonts w:hint="default" w:ascii="Times New Roman" w:hAnsi="Times New Roman" w:eastAsia="FangSong_GB2312" w:cs="Times New Roman"/>
          <w:sz w:val="32"/>
          <w:szCs w:val="32"/>
          <w:lang w:val="en-US" w:eastAsia="zh-CN"/>
        </w:rPr>
        <w:t>一是着力抓好主题教育。持续开展“主题教育”，通过党组会、中心学习、支委会、党员大会认真学习持续深入</w:t>
      </w:r>
      <w:r>
        <w:rPr>
          <w:rFonts w:hint="eastAsia" w:eastAsia="FangSong_GB2312" w:cs="Times New Roman"/>
          <w:sz w:val="32"/>
          <w:szCs w:val="32"/>
          <w:lang w:val="en-US" w:eastAsia="zh-CN"/>
        </w:rPr>
        <w:t>党的十二大报告</w:t>
      </w:r>
      <w:r>
        <w:rPr>
          <w:rFonts w:hint="default" w:ascii="Times New Roman" w:hAnsi="Times New Roman" w:eastAsia="FangSong_GB2312" w:cs="Times New Roman"/>
          <w:sz w:val="32"/>
          <w:szCs w:val="32"/>
          <w:lang w:val="en-US" w:eastAsia="zh-CN"/>
        </w:rPr>
        <w:t>、《习近平新时代中国特色社会主义思想专题摘编》等党建著作。制定学习</w:t>
      </w:r>
      <w:r>
        <w:rPr>
          <w:rFonts w:hint="default" w:ascii="Times New Roman" w:hAnsi="Times New Roman" w:eastAsia="FangSong_GB2312" w:cs="Times New Roman"/>
          <w:sz w:val="32"/>
          <w:szCs w:val="32"/>
          <w:lang w:eastAsia="zh-CN"/>
        </w:rPr>
        <w:t>计划，</w:t>
      </w:r>
      <w:r>
        <w:rPr>
          <w:rFonts w:hint="default" w:ascii="Times New Roman" w:hAnsi="Times New Roman" w:eastAsia="FangSong_GB2312" w:cs="Times New Roman"/>
          <w:sz w:val="32"/>
          <w:szCs w:val="32"/>
          <w:lang w:val="en-US" w:eastAsia="zh-CN"/>
        </w:rPr>
        <w:t>2025年</w:t>
      </w:r>
      <w:r>
        <w:rPr>
          <w:rFonts w:hint="default" w:ascii="Times New Roman" w:hAnsi="Times New Roman" w:eastAsia="FangSong_GB2312" w:cs="Times New Roman"/>
          <w:sz w:val="32"/>
          <w:szCs w:val="32"/>
          <w:lang w:eastAsia="zh-CN"/>
        </w:rPr>
        <w:t>开展集中学习</w:t>
      </w:r>
      <w:r>
        <w:rPr>
          <w:rFonts w:hint="default" w:ascii="Times New Roman" w:hAnsi="Times New Roman" w:eastAsia="FangSong_GB2312" w:cs="Times New Roman"/>
          <w:sz w:val="32"/>
          <w:szCs w:val="32"/>
          <w:lang w:val="en-US" w:eastAsia="zh-CN"/>
        </w:rPr>
        <w:t>不少于12次，</w:t>
      </w:r>
      <w:r>
        <w:rPr>
          <w:rFonts w:hint="default" w:ascii="Times New Roman" w:hAnsi="Times New Roman" w:eastAsia="FangSong_GB2312" w:cs="Times New Roman"/>
          <w:sz w:val="32"/>
          <w:szCs w:val="32"/>
          <w:lang w:eastAsia="zh-CN"/>
        </w:rPr>
        <w:t>主题党课不少于</w:t>
      </w:r>
      <w:r>
        <w:rPr>
          <w:rFonts w:hint="default" w:ascii="Times New Roman" w:hAnsi="Times New Roman" w:eastAsia="FangSong_GB2312" w:cs="Times New Roman"/>
          <w:sz w:val="32"/>
          <w:szCs w:val="32"/>
          <w:lang w:val="en-US" w:eastAsia="zh-CN"/>
        </w:rPr>
        <w:t>5场次。</w:t>
      </w:r>
      <w:r>
        <w:rPr>
          <w:rFonts w:hint="default" w:ascii="Times New Roman" w:hAnsi="Times New Roman" w:eastAsia="仿宋_GB2312" w:cs="Times New Roman"/>
          <w:sz w:val="32"/>
          <w:szCs w:val="32"/>
          <w:lang w:val="en-US" w:eastAsia="zh-CN"/>
        </w:rPr>
        <w:t>二是着力抓好标准化建设。在活动阵地、党务公开、组织生活会、民主评议党员、三会一课等基础工作上，做到“早谋划、强过程、严落实”，不断提高机关党建工作水平。持续加强交通运输行业党委建设，以党建引领推动道路运输高质量发展。三是着力抓好作风建设。持续深化纠“四风”工作和形式主义、官僚主义专项整治。坚决把纪律和规矩挺在前面，继续保持整治作风问题的高压态势，进一步抓好对党员干部日常监督管理，坚决整治</w:t>
      </w:r>
      <w:r>
        <w:rPr>
          <w:rFonts w:hint="eastAsia" w:cs="Times New Roman"/>
          <w:sz w:val="32"/>
          <w:szCs w:val="32"/>
          <w:lang w:val="en-US" w:eastAsia="zh-CN"/>
        </w:rPr>
        <w:t>庸懒散</w:t>
      </w:r>
      <w:r>
        <w:rPr>
          <w:rFonts w:hint="default" w:ascii="Times New Roman" w:hAnsi="Times New Roman" w:eastAsia="仿宋_GB2312" w:cs="Times New Roman"/>
          <w:sz w:val="32"/>
          <w:szCs w:val="32"/>
          <w:lang w:val="en-US" w:eastAsia="zh-CN"/>
        </w:rPr>
        <w:t>拖等作风问题。</w:t>
      </w:r>
    </w:p>
    <w:p w14:paraId="42C2D28F">
      <w:pPr>
        <w:spacing w:line="600" w:lineRule="exact"/>
        <w:ind w:firstLine="632" w:firstLineChars="200"/>
        <w:rPr>
          <w:rFonts w:hint="eastAsia" w:ascii="黑体" w:hAnsi="黑体" w:eastAsia="黑体"/>
        </w:rPr>
      </w:pPr>
      <w:r>
        <w:rPr>
          <w:rFonts w:ascii="黑体" w:hAnsi="黑体" w:eastAsia="黑体"/>
        </w:rPr>
        <w:t>二、部门</w:t>
      </w:r>
      <w:r>
        <w:rPr>
          <w:rFonts w:hint="eastAsia" w:ascii="黑体" w:hAnsi="黑体" w:eastAsia="黑体"/>
        </w:rPr>
        <w:t>预算单位构成</w:t>
      </w:r>
    </w:p>
    <w:p w14:paraId="001644D1">
      <w:pPr>
        <w:ind w:firstLine="632" w:firstLineChars="200"/>
        <w:rPr>
          <w:rFonts w:hint="eastAsia"/>
        </w:rPr>
      </w:pPr>
      <w:r>
        <w:rPr>
          <w:rFonts w:hint="eastAsia"/>
          <w:lang w:val="en-US" w:eastAsia="zh-CN"/>
        </w:rPr>
        <w:t>区交通运输</w:t>
      </w:r>
      <w:r>
        <w:rPr>
          <w:rFonts w:hint="eastAsia"/>
        </w:rPr>
        <w:t>局</w:t>
      </w:r>
      <w:r>
        <w:rPr>
          <w:rFonts w:hint="eastAsia"/>
          <w:lang w:val="en-US" w:eastAsia="zh-CN"/>
        </w:rPr>
        <w:t>机关及</w:t>
      </w:r>
      <w:r>
        <w:t>下属二级预算单位</w:t>
      </w:r>
      <w:r>
        <w:rPr>
          <w:rFonts w:hint="eastAsia"/>
          <w:lang w:val="en-US" w:eastAsia="zh-CN"/>
        </w:rPr>
        <w:t>5</w:t>
      </w:r>
      <w:r>
        <w:t>个，其中行政单位</w:t>
      </w:r>
      <w:r>
        <w:rPr>
          <w:rFonts w:hint="eastAsia"/>
          <w:lang w:val="en-US" w:eastAsia="zh-CN"/>
        </w:rPr>
        <w:t>1</w:t>
      </w:r>
      <w:r>
        <w:t>个，参照公务员法管理的事业单位</w:t>
      </w:r>
      <w:r>
        <w:rPr>
          <w:rFonts w:hint="eastAsia"/>
          <w:lang w:val="en-US" w:eastAsia="zh-CN"/>
        </w:rPr>
        <w:t>3</w:t>
      </w:r>
      <w:r>
        <w:t>个，其他事业单位</w:t>
      </w:r>
      <w:r>
        <w:rPr>
          <w:rFonts w:hint="eastAsia"/>
          <w:lang w:val="en-US" w:eastAsia="zh-CN"/>
        </w:rPr>
        <w:t>1</w:t>
      </w:r>
      <w:r>
        <w:t>个。</w:t>
      </w:r>
      <w:r>
        <w:rPr>
          <w:rFonts w:hint="eastAsia"/>
          <w:lang w:val="en-US" w:eastAsia="zh-CN"/>
        </w:rPr>
        <w:t>下属二级预算单位</w:t>
      </w:r>
      <w:r>
        <w:rPr>
          <w:rFonts w:hint="eastAsia"/>
        </w:rPr>
        <w:t>主要</w:t>
      </w:r>
      <w:r>
        <w:t>包括：</w:t>
      </w:r>
      <w:r>
        <w:rPr>
          <w:rFonts w:hint="eastAsia"/>
          <w:lang w:val="en-US" w:eastAsia="zh-CN"/>
        </w:rPr>
        <w:t>遂宁市安居区地方海事处、遂宁市安居区交通运输综合行政执法大队、遂宁市安居区公路运输管理所、遂宁市安居区公路管理所</w:t>
      </w:r>
      <w:r>
        <w:rPr>
          <w:rFonts w:hint="eastAsia"/>
        </w:rPr>
        <w:t>。</w:t>
      </w:r>
    </w:p>
    <w:p w14:paraId="6D2117EA">
      <w:pPr>
        <w:spacing w:line="600" w:lineRule="exact"/>
        <w:ind w:firstLine="632" w:firstLineChars="200"/>
        <w:rPr>
          <w:rFonts w:hint="eastAsia" w:ascii="黑体" w:hAnsi="黑体" w:eastAsia="黑体"/>
        </w:rPr>
      </w:pPr>
      <w:r>
        <w:rPr>
          <w:rFonts w:ascii="黑体" w:hAnsi="黑体" w:eastAsia="黑体"/>
        </w:rPr>
        <w:t>三、收支预算情况</w:t>
      </w:r>
      <w:r>
        <w:rPr>
          <w:rFonts w:hint="eastAsia" w:ascii="黑体" w:hAnsi="黑体" w:eastAsia="黑体"/>
        </w:rPr>
        <w:t>说明</w:t>
      </w:r>
    </w:p>
    <w:p w14:paraId="74023500">
      <w:pPr>
        <w:ind w:firstLine="632" w:firstLineChars="200"/>
        <w:rPr>
          <w:rFonts w:hint="eastAsia" w:eastAsia="仿宋_GB2312"/>
          <w:lang w:eastAsia="zh-CN"/>
        </w:rPr>
      </w:pPr>
      <w:r>
        <w:rPr>
          <w:rFonts w:hint="eastAsia"/>
        </w:rPr>
        <w:t>按照综合预算的原则，遂宁市</w:t>
      </w:r>
      <w:r>
        <w:rPr>
          <w:rFonts w:hint="eastAsia"/>
          <w:lang w:val="en-US" w:eastAsia="zh-CN"/>
        </w:rPr>
        <w:t>安居区交通运输</w:t>
      </w:r>
      <w:r>
        <w:rPr>
          <w:rFonts w:hint="eastAsia"/>
        </w:rPr>
        <w:t>局所有收入和支出均纳入部门预算管理。收入包括：一般公共预算收入、</w:t>
      </w:r>
      <w:r>
        <w:rPr>
          <w:rFonts w:hint="eastAsia"/>
          <w:lang w:val="en-US" w:eastAsia="zh-CN"/>
        </w:rPr>
        <w:t>政府性基金预算收入、上年结转</w:t>
      </w:r>
      <w:r>
        <w:rPr>
          <w:rFonts w:hint="eastAsia"/>
        </w:rPr>
        <w:t>；支出包括：社会保障和就业支出、卫生健康支出、</w:t>
      </w:r>
      <w:r>
        <w:rPr>
          <w:rFonts w:hint="eastAsia"/>
          <w:lang w:val="en-US" w:eastAsia="zh-CN"/>
        </w:rPr>
        <w:t>城乡社区支出、 农林水支出、交通运输支出、 资源勘探工业信息等支出、</w:t>
      </w:r>
      <w:r>
        <w:rPr>
          <w:rFonts w:hint="eastAsia"/>
        </w:rPr>
        <w:t>住房保障支出</w:t>
      </w:r>
      <w:r>
        <w:rPr>
          <w:rFonts w:hint="eastAsia"/>
          <w:lang w:eastAsia="zh-CN"/>
        </w:rPr>
        <w:t>、国有资本经营预算支出</w:t>
      </w:r>
      <w:r>
        <w:rPr>
          <w:rFonts w:hint="eastAsia"/>
        </w:rPr>
        <w:t>。遂宁市</w:t>
      </w:r>
      <w:r>
        <w:rPr>
          <w:rFonts w:hint="eastAsia"/>
          <w:lang w:val="en-US" w:eastAsia="zh-CN"/>
        </w:rPr>
        <w:t>安居区交通运输</w:t>
      </w:r>
      <w:r>
        <w:rPr>
          <w:rFonts w:hint="eastAsia"/>
        </w:rPr>
        <w:t>局20</w:t>
      </w:r>
      <w:r>
        <w:rPr>
          <w:rFonts w:hint="eastAsia"/>
          <w:lang w:val="en-US" w:eastAsia="zh-CN"/>
        </w:rPr>
        <w:t>25</w:t>
      </w:r>
      <w:r>
        <w:rPr>
          <w:rFonts w:hint="eastAsia"/>
        </w:rPr>
        <w:t>年收支</w:t>
      </w:r>
      <w:r>
        <w:rPr>
          <w:rFonts w:hint="eastAsia"/>
          <w:lang w:val="en-US" w:eastAsia="zh-CN"/>
        </w:rPr>
        <w:t>总计3543.49</w:t>
      </w:r>
      <w:r>
        <w:rPr>
          <w:rFonts w:hint="eastAsia"/>
        </w:rPr>
        <w:t>万元。</w:t>
      </w:r>
    </w:p>
    <w:p w14:paraId="031FD0A4">
      <w:pPr>
        <w:spacing w:line="600" w:lineRule="exact"/>
        <w:ind w:firstLine="632" w:firstLineChars="200"/>
        <w:rPr>
          <w:rFonts w:hint="eastAsia" w:ascii="楷体_GB2312" w:eastAsia="楷体_GB2312"/>
          <w:b/>
        </w:rPr>
      </w:pPr>
      <w:r>
        <w:rPr>
          <w:rFonts w:hint="eastAsia" w:ascii="楷体_GB2312" w:eastAsia="楷体_GB2312"/>
          <w:b/>
        </w:rPr>
        <w:t>（一）收入预算情况</w:t>
      </w:r>
    </w:p>
    <w:p w14:paraId="78E680EE">
      <w:pPr>
        <w:spacing w:line="600" w:lineRule="exact"/>
        <w:ind w:firstLine="632" w:firstLineChars="200"/>
        <w:rPr>
          <w:rFonts w:hint="eastAsia"/>
        </w:rPr>
      </w:pPr>
      <w:r>
        <w:rPr>
          <w:rFonts w:hint="eastAsia"/>
          <w:lang w:val="en-US" w:eastAsia="zh-CN"/>
        </w:rPr>
        <w:t>区交通运输</w:t>
      </w:r>
      <w:r>
        <w:rPr>
          <w:rFonts w:hint="eastAsia"/>
        </w:rPr>
        <w:t>局20</w:t>
      </w:r>
      <w:r>
        <w:rPr>
          <w:rFonts w:hint="eastAsia"/>
          <w:lang w:val="en-US" w:eastAsia="zh-CN"/>
        </w:rPr>
        <w:t>25</w:t>
      </w:r>
      <w:r>
        <w:rPr>
          <w:rFonts w:hint="eastAsia"/>
        </w:rPr>
        <w:t>年收入预算</w:t>
      </w:r>
      <w:r>
        <w:rPr>
          <w:rFonts w:hint="eastAsia"/>
          <w:lang w:val="en-US" w:eastAsia="zh-CN"/>
        </w:rPr>
        <w:t>3543.49</w:t>
      </w:r>
      <w:r>
        <w:rPr>
          <w:rFonts w:hint="eastAsia"/>
        </w:rPr>
        <w:t>万元，其中：上年结转</w:t>
      </w:r>
      <w:r>
        <w:rPr>
          <w:rFonts w:hint="eastAsia" w:ascii="楷体_GB2312" w:eastAsia="楷体_GB2312"/>
          <w:lang w:val="en-US" w:eastAsia="zh-CN"/>
        </w:rPr>
        <w:t>1064.00</w:t>
      </w:r>
      <w:r>
        <w:rPr>
          <w:rFonts w:hint="eastAsia"/>
        </w:rPr>
        <w:t>万元，占</w:t>
      </w:r>
      <w:r>
        <w:rPr>
          <w:rFonts w:hint="eastAsia" w:ascii="楷体_GB2312" w:eastAsia="楷体_GB2312"/>
          <w:lang w:val="en-US" w:eastAsia="zh-CN"/>
        </w:rPr>
        <w:t>30.03</w:t>
      </w:r>
      <w:r>
        <w:rPr>
          <w:rFonts w:hint="eastAsia"/>
        </w:rPr>
        <w:t>%；一般公共预算拨款收入</w:t>
      </w:r>
      <w:r>
        <w:rPr>
          <w:rFonts w:hint="eastAsia" w:ascii="楷体_GB2312" w:eastAsia="楷体_GB2312"/>
          <w:lang w:val="en-US" w:eastAsia="zh-CN"/>
        </w:rPr>
        <w:t>2479.49</w:t>
      </w:r>
      <w:r>
        <w:rPr>
          <w:rFonts w:hint="eastAsia"/>
        </w:rPr>
        <w:t>万元，占</w:t>
      </w:r>
      <w:r>
        <w:rPr>
          <w:rFonts w:hint="eastAsia" w:ascii="楷体_GB2312" w:eastAsia="楷体_GB2312"/>
          <w:lang w:val="en-US" w:eastAsia="zh-CN"/>
        </w:rPr>
        <w:t>69.97</w:t>
      </w:r>
      <w:r>
        <w:rPr>
          <w:rFonts w:hint="eastAsia"/>
        </w:rPr>
        <w:t>%。</w:t>
      </w:r>
    </w:p>
    <w:p w14:paraId="03D3EAE5">
      <w:pPr>
        <w:spacing w:line="600" w:lineRule="exact"/>
        <w:ind w:firstLine="632" w:firstLineChars="200"/>
        <w:rPr>
          <w:rFonts w:hint="eastAsia" w:ascii="楷体_GB2312" w:eastAsia="楷体_GB2312"/>
          <w:b/>
          <w:highlight w:val="none"/>
        </w:rPr>
      </w:pPr>
      <w:r>
        <w:rPr>
          <w:rFonts w:hint="eastAsia" w:ascii="楷体_GB2312" w:eastAsia="楷体_GB2312"/>
          <w:b/>
          <w:highlight w:val="none"/>
        </w:rPr>
        <w:t>（二）支出预算情况</w:t>
      </w:r>
    </w:p>
    <w:p w14:paraId="2C242C05">
      <w:pPr>
        <w:spacing w:line="600" w:lineRule="exact"/>
        <w:ind w:firstLine="632"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区交通运输局2025年支出预算3543.49万元，其中：基本支出1637.24万元，占46.20%；项目支出1906.25万元，占53.80%。</w:t>
      </w:r>
    </w:p>
    <w:p w14:paraId="3E1E8DED">
      <w:pPr>
        <w:spacing w:line="600" w:lineRule="exact"/>
        <w:ind w:firstLine="632" w:firstLineChars="200"/>
        <w:rPr>
          <w:rFonts w:hint="eastAsia" w:ascii="黑体" w:hAnsi="黑体" w:eastAsia="黑体"/>
        </w:rPr>
      </w:pPr>
      <w:r>
        <w:rPr>
          <w:rFonts w:ascii="黑体" w:hAnsi="黑体" w:eastAsia="黑体"/>
        </w:rPr>
        <w:t>四、财政拨款</w:t>
      </w:r>
      <w:r>
        <w:rPr>
          <w:rFonts w:hint="eastAsia" w:ascii="黑体" w:hAnsi="黑体" w:eastAsia="黑体"/>
        </w:rPr>
        <w:t>收支</w:t>
      </w:r>
      <w:r>
        <w:rPr>
          <w:rFonts w:ascii="黑体" w:hAnsi="黑体" w:eastAsia="黑体"/>
        </w:rPr>
        <w:t>预算情况</w:t>
      </w:r>
      <w:r>
        <w:rPr>
          <w:rFonts w:hint="eastAsia" w:ascii="黑体" w:hAnsi="黑体" w:eastAsia="黑体"/>
        </w:rPr>
        <w:t>说明</w:t>
      </w:r>
    </w:p>
    <w:p w14:paraId="0F68E08F">
      <w:pPr>
        <w:spacing w:line="600" w:lineRule="exact"/>
        <w:ind w:firstLine="632" w:firstLineChars="200"/>
        <w:rPr>
          <w:rFonts w:hint="default" w:eastAsia="仿宋_GB2312"/>
          <w:lang w:val="en-US" w:eastAsia="zh-CN"/>
        </w:rPr>
      </w:pPr>
      <w:r>
        <w:rPr>
          <w:rFonts w:hint="eastAsia"/>
          <w:lang w:val="en-US" w:eastAsia="zh-CN"/>
        </w:rPr>
        <w:t>区交通运输</w:t>
      </w:r>
      <w:r>
        <w:rPr>
          <w:rFonts w:hint="eastAsia"/>
        </w:rPr>
        <w:t>局20</w:t>
      </w:r>
      <w:r>
        <w:rPr>
          <w:rFonts w:hint="eastAsia"/>
          <w:lang w:val="en-US" w:eastAsia="zh-CN"/>
        </w:rPr>
        <w:t>25</w:t>
      </w:r>
      <w:r>
        <w:rPr>
          <w:rFonts w:hint="eastAsia"/>
        </w:rPr>
        <w:t>年财政拨款收支总预算</w:t>
      </w:r>
      <w:r>
        <w:rPr>
          <w:rFonts w:hint="eastAsia"/>
          <w:lang w:val="en-US" w:eastAsia="zh-CN"/>
        </w:rPr>
        <w:t>3543.49</w:t>
      </w:r>
      <w:r>
        <w:rPr>
          <w:rFonts w:hint="eastAsia"/>
        </w:rPr>
        <w:t>万元</w:t>
      </w:r>
      <w:r>
        <w:rPr>
          <w:rFonts w:hint="eastAsia"/>
          <w:lang w:eastAsia="zh-CN"/>
        </w:rPr>
        <w:t>，</w:t>
      </w:r>
      <w:r>
        <w:rPr>
          <w:rFonts w:hint="eastAsia"/>
        </w:rPr>
        <w:t>较20</w:t>
      </w:r>
      <w:r>
        <w:rPr>
          <w:rFonts w:hint="eastAsia"/>
          <w:lang w:val="en-US" w:eastAsia="zh-CN"/>
        </w:rPr>
        <w:t>24</w:t>
      </w:r>
      <w:r>
        <w:rPr>
          <w:rFonts w:hint="eastAsia"/>
        </w:rPr>
        <w:t>年收支预算总数</w:t>
      </w:r>
      <w:r>
        <w:rPr>
          <w:rFonts w:hint="eastAsia"/>
          <w:lang w:val="en-US" w:eastAsia="zh-CN"/>
        </w:rPr>
        <w:t>减少了2386.31万元，主要原因是上年结转及本年度预算项目资金减少。</w:t>
      </w:r>
    </w:p>
    <w:p w14:paraId="10BFDF5C">
      <w:pPr>
        <w:spacing w:line="600" w:lineRule="exact"/>
        <w:ind w:firstLine="632" w:firstLineChars="200"/>
        <w:rPr>
          <w:rFonts w:hint="eastAsia"/>
          <w:lang w:val="en-US" w:eastAsia="zh-CN"/>
        </w:rPr>
      </w:pPr>
      <w:r>
        <w:rPr>
          <w:rFonts w:hint="eastAsia"/>
        </w:rPr>
        <w:t>收入包括：本年一般公共预算拨款收入</w:t>
      </w:r>
      <w:r>
        <w:rPr>
          <w:rFonts w:hint="eastAsia"/>
          <w:lang w:val="en-US" w:eastAsia="zh-CN"/>
        </w:rPr>
        <w:t>1699.49</w:t>
      </w:r>
      <w:r>
        <w:rPr>
          <w:rFonts w:hint="eastAsia"/>
        </w:rPr>
        <w:t>万元</w:t>
      </w:r>
      <w:r>
        <w:rPr>
          <w:rFonts w:hint="eastAsia"/>
          <w:lang w:eastAsia="zh-CN"/>
        </w:rPr>
        <w:t>、政府性基金预算拨款收入</w:t>
      </w:r>
      <w:r>
        <w:rPr>
          <w:rFonts w:hint="eastAsia"/>
          <w:lang w:val="en-US" w:eastAsia="zh-CN"/>
        </w:rPr>
        <w:t>600.00万元，国有资本经营预算拨款收入180.00万元，上年结转1064.00万元,</w:t>
      </w:r>
      <w:r>
        <w:rPr>
          <w:rFonts w:hint="eastAsia"/>
        </w:rPr>
        <w:t>；支出包括：社会保障和就业支出</w:t>
      </w:r>
      <w:r>
        <w:rPr>
          <w:rFonts w:hint="eastAsia"/>
          <w:lang w:val="en-US" w:eastAsia="zh-CN"/>
        </w:rPr>
        <w:t>336.14万元、卫生健康支出91.34万元、城乡社区支出600.00万元、农林水支出286.83万元、交通运输支出1628.31万元、资源勘探工业信息等支出310.51万元，住房保障支出</w:t>
      </w:r>
      <w:r>
        <w:rPr>
          <w:rFonts w:hint="eastAsia"/>
          <w:highlight w:val="none"/>
          <w:lang w:val="en-US" w:eastAsia="zh-CN"/>
        </w:rPr>
        <w:t>110.36</w:t>
      </w:r>
      <w:r>
        <w:rPr>
          <w:rFonts w:hint="eastAsia"/>
          <w:lang w:val="en-US" w:eastAsia="zh-CN"/>
        </w:rPr>
        <w:t>万元，国有资本经营预算支出180.00万元。</w:t>
      </w:r>
    </w:p>
    <w:p w14:paraId="6BC0B94A">
      <w:pPr>
        <w:spacing w:line="600" w:lineRule="exact"/>
        <w:ind w:firstLine="632" w:firstLineChars="200"/>
        <w:rPr>
          <w:rFonts w:hint="eastAsia" w:ascii="黑体" w:hAnsi="黑体" w:eastAsia="黑体"/>
        </w:rPr>
      </w:pPr>
      <w:r>
        <w:rPr>
          <w:rFonts w:hint="eastAsia" w:ascii="黑体" w:hAnsi="黑体" w:eastAsia="黑体"/>
        </w:rPr>
        <w:t>五、一般公共预算当年拨款情况说明</w:t>
      </w:r>
    </w:p>
    <w:p w14:paraId="64D7D5C7">
      <w:pPr>
        <w:spacing w:line="600" w:lineRule="exact"/>
        <w:ind w:firstLine="632" w:firstLineChars="200"/>
        <w:rPr>
          <w:rFonts w:hint="eastAsia" w:ascii="楷体_GB2312" w:eastAsia="楷体_GB2312"/>
          <w:b/>
        </w:rPr>
      </w:pPr>
      <w:r>
        <w:rPr>
          <w:rFonts w:hint="eastAsia" w:ascii="楷体_GB2312" w:eastAsia="楷体_GB2312"/>
          <w:b/>
        </w:rPr>
        <w:t>（一）一般公共预算当年拨款规模变化情况</w:t>
      </w:r>
    </w:p>
    <w:p w14:paraId="3991AA69">
      <w:pPr>
        <w:ind w:firstLine="632" w:firstLineChars="200"/>
        <w:rPr>
          <w:rFonts w:hint="eastAsia"/>
        </w:rPr>
      </w:pPr>
      <w:r>
        <w:rPr>
          <w:rFonts w:hint="eastAsia"/>
          <w:lang w:val="en-US" w:eastAsia="zh-CN"/>
        </w:rPr>
        <w:t>区交通运输</w:t>
      </w:r>
      <w:r>
        <w:rPr>
          <w:rFonts w:hint="eastAsia"/>
        </w:rPr>
        <w:t>局20</w:t>
      </w:r>
      <w:r>
        <w:rPr>
          <w:rFonts w:hint="eastAsia"/>
          <w:lang w:val="en-US" w:eastAsia="zh-CN"/>
        </w:rPr>
        <w:t>25</w:t>
      </w:r>
      <w:r>
        <w:rPr>
          <w:rFonts w:hint="eastAsia"/>
        </w:rPr>
        <w:t>年</w:t>
      </w:r>
      <w:r>
        <w:rPr>
          <w:rFonts w:hint="eastAsia"/>
          <w:lang w:val="en-US" w:eastAsia="zh-CN"/>
        </w:rPr>
        <w:t>一般公共预算拨款收入2694.69</w:t>
      </w:r>
      <w:r>
        <w:rPr>
          <w:rFonts w:hint="eastAsia"/>
        </w:rPr>
        <w:t>万元，比20</w:t>
      </w:r>
      <w:r>
        <w:rPr>
          <w:rFonts w:hint="eastAsia"/>
          <w:lang w:val="en-US" w:eastAsia="zh-CN"/>
        </w:rPr>
        <w:t>24</w:t>
      </w:r>
      <w:r>
        <w:rPr>
          <w:rFonts w:hint="eastAsia"/>
        </w:rPr>
        <w:t>年预算数</w:t>
      </w:r>
      <w:r>
        <w:rPr>
          <w:rFonts w:hint="eastAsia"/>
          <w:lang w:val="en-US" w:eastAsia="zh-CN"/>
        </w:rPr>
        <w:t>减少了2571.06</w:t>
      </w:r>
      <w:r>
        <w:rPr>
          <w:rFonts w:hint="eastAsia"/>
        </w:rPr>
        <w:t>万元。</w:t>
      </w:r>
      <w:r>
        <w:rPr>
          <w:rFonts w:hint="eastAsia"/>
          <w:lang w:val="en-US" w:eastAsia="zh-CN"/>
        </w:rPr>
        <w:t>主要是2024年交通运输支出、农林水支出情况良好，结转安排至本年预算金额减少</w:t>
      </w:r>
      <w:r>
        <w:rPr>
          <w:rFonts w:hint="eastAsia"/>
        </w:rPr>
        <w:t>。</w:t>
      </w:r>
    </w:p>
    <w:p w14:paraId="7E2649D5">
      <w:pPr>
        <w:spacing w:line="600" w:lineRule="exact"/>
        <w:ind w:firstLine="632" w:firstLineChars="200"/>
        <w:rPr>
          <w:rFonts w:ascii="楷体_GB2312" w:eastAsia="楷体_GB2312"/>
          <w:b/>
          <w:highlight w:val="none"/>
        </w:rPr>
      </w:pPr>
      <w:r>
        <w:rPr>
          <w:rFonts w:hint="eastAsia" w:ascii="楷体_GB2312" w:eastAsia="楷体_GB2312"/>
          <w:b/>
          <w:highlight w:val="none"/>
        </w:rPr>
        <w:t>（二）一般公共预算当年拨款结构情况</w:t>
      </w:r>
    </w:p>
    <w:p w14:paraId="782FE437">
      <w:pPr>
        <w:ind w:firstLine="632" w:firstLineChars="200"/>
        <w:rPr>
          <w:rFonts w:hint="eastAsia"/>
          <w:highlight w:val="none"/>
        </w:rPr>
      </w:pPr>
      <w:r>
        <w:rPr>
          <w:rFonts w:hint="eastAsia"/>
          <w:highlight w:val="none"/>
        </w:rPr>
        <w:t>社会保障和就业支出</w:t>
      </w:r>
      <w:r>
        <w:rPr>
          <w:rFonts w:hint="eastAsia"/>
          <w:highlight w:val="none"/>
          <w:lang w:val="en-US" w:eastAsia="zh-CN"/>
        </w:rPr>
        <w:t>336.14</w:t>
      </w:r>
      <w:r>
        <w:rPr>
          <w:rFonts w:hint="eastAsia"/>
          <w:highlight w:val="none"/>
        </w:rPr>
        <w:t>万元，占</w:t>
      </w:r>
      <w:r>
        <w:rPr>
          <w:rFonts w:hint="eastAsia"/>
          <w:highlight w:val="none"/>
          <w:lang w:val="en-US" w:eastAsia="zh-CN"/>
        </w:rPr>
        <w:t>12.47</w:t>
      </w:r>
      <w:r>
        <w:rPr>
          <w:rFonts w:hint="eastAsia"/>
          <w:highlight w:val="none"/>
        </w:rPr>
        <w:t>%；卫生健康支出</w:t>
      </w:r>
      <w:r>
        <w:rPr>
          <w:rFonts w:hint="eastAsia"/>
          <w:highlight w:val="none"/>
          <w:lang w:val="en-US" w:eastAsia="zh-CN"/>
        </w:rPr>
        <w:t>91.34</w:t>
      </w:r>
      <w:r>
        <w:rPr>
          <w:rFonts w:hint="eastAsia"/>
          <w:highlight w:val="none"/>
        </w:rPr>
        <w:t>万元，占</w:t>
      </w:r>
      <w:r>
        <w:rPr>
          <w:rFonts w:hint="eastAsia"/>
          <w:highlight w:val="none"/>
          <w:lang w:val="en-US" w:eastAsia="zh-CN"/>
        </w:rPr>
        <w:t>3.39</w:t>
      </w:r>
      <w:r>
        <w:rPr>
          <w:rFonts w:hint="eastAsia"/>
          <w:highlight w:val="none"/>
        </w:rPr>
        <w:t>%；</w:t>
      </w:r>
      <w:r>
        <w:rPr>
          <w:rFonts w:hint="eastAsia"/>
          <w:highlight w:val="none"/>
          <w:lang w:val="en-US" w:eastAsia="zh-CN"/>
        </w:rPr>
        <w:t>农林水支出286.83万元，占10.64%；交通运输支出1628.31万元，占60.43%； 资源勘探工业信息等支出241.71万元，占8.97%；</w:t>
      </w:r>
      <w:r>
        <w:rPr>
          <w:rFonts w:hint="eastAsia"/>
          <w:highlight w:val="none"/>
        </w:rPr>
        <w:t>住房保障支出</w:t>
      </w:r>
      <w:r>
        <w:rPr>
          <w:rFonts w:hint="eastAsia"/>
          <w:highlight w:val="none"/>
          <w:lang w:val="en-US" w:eastAsia="zh-CN"/>
        </w:rPr>
        <w:t>110.36</w:t>
      </w:r>
      <w:r>
        <w:rPr>
          <w:rFonts w:hint="eastAsia"/>
          <w:highlight w:val="none"/>
        </w:rPr>
        <w:t>万元，占</w:t>
      </w:r>
      <w:r>
        <w:rPr>
          <w:rFonts w:hint="eastAsia"/>
          <w:highlight w:val="none"/>
          <w:lang w:val="en-US" w:eastAsia="zh-CN"/>
        </w:rPr>
        <w:t>4.10</w:t>
      </w:r>
      <w:r>
        <w:rPr>
          <w:rFonts w:hint="eastAsia"/>
          <w:highlight w:val="none"/>
        </w:rPr>
        <w:t>%。</w:t>
      </w:r>
    </w:p>
    <w:p w14:paraId="12C1180A">
      <w:pPr>
        <w:spacing w:line="600" w:lineRule="exact"/>
        <w:ind w:firstLine="632" w:firstLineChars="200"/>
        <w:rPr>
          <w:rFonts w:ascii="楷体_GB2312" w:eastAsia="楷体_GB2312"/>
          <w:b/>
        </w:rPr>
      </w:pPr>
      <w:r>
        <w:rPr>
          <w:rFonts w:hint="eastAsia" w:ascii="楷体_GB2312" w:eastAsia="楷体_GB2312"/>
          <w:b/>
        </w:rPr>
        <w:t>（三）一般公共预算当年拨款具体使用情况</w:t>
      </w:r>
    </w:p>
    <w:p w14:paraId="4571975B">
      <w:pPr>
        <w:ind w:firstLine="632" w:firstLineChars="200"/>
        <w:rPr>
          <w:rFonts w:hint="eastAsia"/>
          <w:b/>
          <w:highlight w:val="none"/>
          <w:lang w:val="en-US" w:eastAsia="zh-CN"/>
        </w:rPr>
      </w:pPr>
      <w:r>
        <w:rPr>
          <w:rFonts w:hint="eastAsia"/>
          <w:b/>
          <w:highlight w:val="none"/>
          <w:lang w:val="en-US" w:eastAsia="zh-CN"/>
        </w:rPr>
        <w:t>1.</w:t>
      </w:r>
      <w:r>
        <w:rPr>
          <w:rFonts w:hint="eastAsia"/>
          <w:b/>
          <w:highlight w:val="none"/>
        </w:rPr>
        <w:t>社会保障和就业（类）行政事业单位</w:t>
      </w:r>
      <w:r>
        <w:rPr>
          <w:rFonts w:hint="eastAsia"/>
          <w:b/>
          <w:highlight w:val="none"/>
          <w:lang w:val="en-US" w:eastAsia="zh-CN"/>
        </w:rPr>
        <w:t>养老支出</w:t>
      </w:r>
      <w:r>
        <w:rPr>
          <w:rFonts w:hint="eastAsia"/>
          <w:b/>
          <w:highlight w:val="none"/>
        </w:rPr>
        <w:t>（款）</w:t>
      </w:r>
      <w:r>
        <w:rPr>
          <w:rFonts w:hint="eastAsia"/>
          <w:b/>
          <w:highlight w:val="none"/>
          <w:lang w:val="en-US" w:eastAsia="zh-CN"/>
        </w:rPr>
        <w:t>行政单位离退休</w:t>
      </w:r>
      <w:r>
        <w:rPr>
          <w:rFonts w:hint="eastAsia"/>
          <w:b/>
          <w:highlight w:val="none"/>
        </w:rPr>
        <w:t>：</w:t>
      </w:r>
      <w:r>
        <w:rPr>
          <w:rFonts w:hint="eastAsia"/>
          <w:highlight w:val="none"/>
        </w:rPr>
        <w:t>20</w:t>
      </w:r>
      <w:r>
        <w:rPr>
          <w:rFonts w:hint="eastAsia"/>
          <w:highlight w:val="none"/>
          <w:lang w:val="en-US" w:eastAsia="zh-CN"/>
        </w:rPr>
        <w:t>25</w:t>
      </w:r>
      <w:r>
        <w:rPr>
          <w:rFonts w:hint="eastAsia"/>
          <w:highlight w:val="none"/>
        </w:rPr>
        <w:t>年预算数为</w:t>
      </w:r>
      <w:r>
        <w:rPr>
          <w:rFonts w:hint="eastAsia"/>
          <w:highlight w:val="none"/>
          <w:lang w:val="en-US" w:eastAsia="zh-CN"/>
        </w:rPr>
        <w:t>194.56</w:t>
      </w:r>
      <w:r>
        <w:rPr>
          <w:rFonts w:hint="eastAsia"/>
          <w:highlight w:val="none"/>
        </w:rPr>
        <w:t>万元，主要用于：缴纳职工基本养老保险。</w:t>
      </w:r>
    </w:p>
    <w:p w14:paraId="122F80AC">
      <w:pPr>
        <w:ind w:firstLine="632" w:firstLineChars="200"/>
        <w:rPr>
          <w:rFonts w:hint="eastAsia"/>
          <w:highlight w:val="none"/>
        </w:rPr>
      </w:pPr>
      <w:r>
        <w:rPr>
          <w:rFonts w:hint="eastAsia"/>
          <w:b/>
          <w:highlight w:val="none"/>
          <w:lang w:val="en-US" w:eastAsia="zh-CN"/>
        </w:rPr>
        <w:t>2</w:t>
      </w:r>
      <w:r>
        <w:rPr>
          <w:rFonts w:hint="eastAsia"/>
          <w:b/>
          <w:highlight w:val="none"/>
        </w:rPr>
        <w:t>.社会保障和就业（类）行政事业单位</w:t>
      </w:r>
      <w:r>
        <w:rPr>
          <w:rFonts w:hint="eastAsia"/>
          <w:b/>
          <w:highlight w:val="none"/>
          <w:lang w:val="en-US" w:eastAsia="zh-CN"/>
        </w:rPr>
        <w:t>养老支出</w:t>
      </w:r>
      <w:r>
        <w:rPr>
          <w:rFonts w:hint="eastAsia"/>
          <w:b/>
          <w:highlight w:val="none"/>
        </w:rPr>
        <w:t>（款）机关事业单位基本养老保险</w:t>
      </w:r>
      <w:r>
        <w:rPr>
          <w:rFonts w:hint="eastAsia"/>
          <w:b/>
          <w:highlight w:val="none"/>
          <w:lang w:val="en-US" w:eastAsia="zh-CN"/>
        </w:rPr>
        <w:t>缴费</w:t>
      </w:r>
      <w:r>
        <w:rPr>
          <w:rFonts w:hint="eastAsia"/>
          <w:b/>
          <w:highlight w:val="none"/>
        </w:rPr>
        <w:t>支出：</w:t>
      </w:r>
      <w:r>
        <w:rPr>
          <w:rFonts w:hint="eastAsia"/>
          <w:highlight w:val="none"/>
        </w:rPr>
        <w:t>20</w:t>
      </w:r>
      <w:r>
        <w:rPr>
          <w:rFonts w:hint="eastAsia"/>
          <w:highlight w:val="none"/>
          <w:lang w:val="en-US" w:eastAsia="zh-CN"/>
        </w:rPr>
        <w:t>25</w:t>
      </w:r>
      <w:r>
        <w:rPr>
          <w:rFonts w:hint="eastAsia"/>
          <w:highlight w:val="none"/>
        </w:rPr>
        <w:t>年预算数为</w:t>
      </w:r>
      <w:r>
        <w:rPr>
          <w:rFonts w:hint="eastAsia"/>
          <w:highlight w:val="none"/>
          <w:lang w:val="en-US" w:eastAsia="zh-CN"/>
        </w:rPr>
        <w:t>131.00</w:t>
      </w:r>
      <w:r>
        <w:rPr>
          <w:rFonts w:hint="eastAsia"/>
          <w:highlight w:val="none"/>
        </w:rPr>
        <w:t>万元，主要用于：缴纳职工基本养老保险。</w:t>
      </w:r>
    </w:p>
    <w:p w14:paraId="075F9C4C">
      <w:pPr>
        <w:ind w:firstLine="632" w:firstLineChars="200"/>
        <w:rPr>
          <w:rFonts w:hint="eastAsia"/>
          <w:highlight w:val="none"/>
        </w:rPr>
      </w:pPr>
      <w:r>
        <w:rPr>
          <w:rFonts w:hint="eastAsia"/>
          <w:b/>
          <w:highlight w:val="none"/>
          <w:lang w:val="en-US" w:eastAsia="zh-CN"/>
        </w:rPr>
        <w:t>3</w:t>
      </w:r>
      <w:r>
        <w:rPr>
          <w:rFonts w:hint="eastAsia"/>
          <w:b/>
          <w:highlight w:val="none"/>
        </w:rPr>
        <w:t>.社会保障和就业（类）其他社会保障和就业支出（款）其他社会保障和就业支出（项）：</w:t>
      </w:r>
      <w:r>
        <w:rPr>
          <w:rFonts w:hint="eastAsia"/>
          <w:highlight w:val="none"/>
        </w:rPr>
        <w:t>20</w:t>
      </w:r>
      <w:r>
        <w:rPr>
          <w:rFonts w:hint="eastAsia"/>
          <w:highlight w:val="none"/>
          <w:lang w:val="en-US" w:eastAsia="zh-CN"/>
        </w:rPr>
        <w:t>25</w:t>
      </w:r>
      <w:r>
        <w:rPr>
          <w:rFonts w:hint="eastAsia"/>
          <w:highlight w:val="none"/>
        </w:rPr>
        <w:t>年预算数为</w:t>
      </w:r>
      <w:r>
        <w:rPr>
          <w:rFonts w:hint="eastAsia"/>
          <w:highlight w:val="none"/>
          <w:lang w:val="en-US" w:eastAsia="zh-CN"/>
        </w:rPr>
        <w:t>10.58</w:t>
      </w:r>
      <w:r>
        <w:rPr>
          <w:rFonts w:hint="eastAsia"/>
          <w:highlight w:val="none"/>
        </w:rPr>
        <w:t>万元，主要用于：失业</w:t>
      </w:r>
      <w:r>
        <w:rPr>
          <w:rFonts w:hint="eastAsia"/>
          <w:highlight w:val="none"/>
          <w:lang w:val="en-US" w:eastAsia="zh-CN"/>
        </w:rPr>
        <w:t>保</w:t>
      </w:r>
      <w:r>
        <w:rPr>
          <w:rFonts w:hint="eastAsia"/>
          <w:highlight w:val="none"/>
        </w:rPr>
        <w:t>险、工伤保险</w:t>
      </w:r>
      <w:r>
        <w:rPr>
          <w:rFonts w:hint="eastAsia"/>
          <w:highlight w:val="none"/>
          <w:lang w:val="en-US" w:eastAsia="zh-CN"/>
        </w:rPr>
        <w:t>等</w:t>
      </w:r>
      <w:r>
        <w:rPr>
          <w:rFonts w:hint="eastAsia"/>
          <w:highlight w:val="none"/>
        </w:rPr>
        <w:t>支出。</w:t>
      </w:r>
    </w:p>
    <w:p w14:paraId="05AD1312">
      <w:pPr>
        <w:ind w:firstLine="632" w:firstLineChars="200"/>
        <w:rPr>
          <w:rFonts w:hint="eastAsia" w:ascii="Times New Roman" w:hAnsi="Times New Roman" w:cs="Times New Roman"/>
        </w:rPr>
      </w:pPr>
      <w:r>
        <w:rPr>
          <w:rFonts w:hint="eastAsia"/>
          <w:b/>
          <w:highlight w:val="none"/>
          <w:lang w:val="en-US" w:eastAsia="zh-CN"/>
        </w:rPr>
        <w:t>4</w:t>
      </w:r>
      <w:r>
        <w:rPr>
          <w:rFonts w:hint="eastAsia"/>
          <w:b/>
          <w:highlight w:val="none"/>
        </w:rPr>
        <w:t>.卫生健康支出（类）行政事业单位医疗（款）行政单位医疗（项）：</w:t>
      </w:r>
      <w:r>
        <w:rPr>
          <w:rFonts w:hint="eastAsia"/>
          <w:highlight w:val="none"/>
          <w:lang w:val="en-US" w:eastAsia="zh-CN"/>
        </w:rPr>
        <w:t>2</w:t>
      </w:r>
      <w:r>
        <w:rPr>
          <w:rFonts w:hint="eastAsia" w:ascii="Times New Roman" w:hAnsi="Times New Roman" w:cs="Times New Roman"/>
          <w:lang w:val="en-US" w:eastAsia="zh-CN"/>
        </w:rPr>
        <w:t>024</w:t>
      </w:r>
      <w:r>
        <w:rPr>
          <w:rFonts w:hint="eastAsia" w:ascii="Times New Roman" w:hAnsi="Times New Roman" w:cs="Times New Roman"/>
        </w:rPr>
        <w:t>年预算数为</w:t>
      </w:r>
      <w:r>
        <w:rPr>
          <w:rFonts w:hint="eastAsia" w:ascii="Times New Roman" w:hAnsi="Times New Roman" w:cs="Times New Roman"/>
          <w:lang w:val="en-US" w:eastAsia="zh-CN"/>
        </w:rPr>
        <w:t>18.29</w:t>
      </w:r>
      <w:r>
        <w:rPr>
          <w:rFonts w:hint="eastAsia" w:ascii="Times New Roman" w:hAnsi="Times New Roman" w:cs="Times New Roman"/>
        </w:rPr>
        <w:t>万元，主要用于：局机关及参公管理事业单位基本医疗保险缴费支出。</w:t>
      </w:r>
    </w:p>
    <w:p w14:paraId="3540D73C">
      <w:pPr>
        <w:ind w:firstLine="632" w:firstLineChars="200"/>
        <w:rPr>
          <w:rFonts w:hint="eastAsia" w:ascii="Times New Roman" w:hAnsi="Times New Roman" w:cs="Times New Roman"/>
          <w:lang w:val="en-US" w:eastAsia="zh-CN"/>
        </w:rPr>
      </w:pPr>
      <w:r>
        <w:rPr>
          <w:rFonts w:hint="eastAsia"/>
          <w:b/>
          <w:highlight w:val="none"/>
          <w:lang w:val="en-US" w:eastAsia="zh-CN"/>
        </w:rPr>
        <w:t>5.卫生健康支出（类）行政事业单位医疗（款）事业单位医疗（项）：</w:t>
      </w:r>
      <w:r>
        <w:rPr>
          <w:rFonts w:hint="eastAsia" w:ascii="Times New Roman" w:hAnsi="Times New Roman" w:cs="Times New Roman"/>
          <w:lang w:val="en-US" w:eastAsia="zh-CN"/>
        </w:rPr>
        <w:t>2024年预算数为46.77万元，主要用于：行政事业单位事业人员基本医疗保险缴费支出。</w:t>
      </w:r>
    </w:p>
    <w:p w14:paraId="4B90F66F">
      <w:pPr>
        <w:ind w:firstLine="632" w:firstLineChars="200"/>
        <w:rPr>
          <w:rFonts w:hint="eastAsia" w:ascii="Times New Roman" w:hAnsi="Times New Roman" w:cs="Times New Roman"/>
        </w:rPr>
      </w:pPr>
      <w:r>
        <w:rPr>
          <w:rFonts w:hint="eastAsia"/>
          <w:b/>
          <w:highlight w:val="none"/>
          <w:lang w:val="en-US" w:eastAsia="zh-CN"/>
        </w:rPr>
        <w:t>6</w:t>
      </w:r>
      <w:r>
        <w:rPr>
          <w:rFonts w:hint="eastAsia"/>
          <w:b/>
          <w:highlight w:val="none"/>
        </w:rPr>
        <w:t>.卫生健康支出（类）行政事业单位医疗（款）公务员医疗补助（项）：</w:t>
      </w:r>
      <w:r>
        <w:rPr>
          <w:rFonts w:hint="eastAsia" w:ascii="Times New Roman" w:hAnsi="Times New Roman" w:cs="Times New Roman"/>
        </w:rPr>
        <w:t>20</w:t>
      </w:r>
      <w:r>
        <w:rPr>
          <w:rFonts w:hint="eastAsia" w:ascii="Times New Roman" w:hAnsi="Times New Roman" w:cs="Times New Roman"/>
          <w:lang w:val="en-US" w:eastAsia="zh-CN"/>
        </w:rPr>
        <w:t>24</w:t>
      </w:r>
      <w:r>
        <w:rPr>
          <w:rFonts w:hint="eastAsia" w:ascii="Times New Roman" w:hAnsi="Times New Roman" w:cs="Times New Roman"/>
        </w:rPr>
        <w:t>年预算数为</w:t>
      </w:r>
      <w:r>
        <w:rPr>
          <w:rFonts w:hint="eastAsia" w:ascii="Times New Roman" w:hAnsi="Times New Roman" w:cs="Times New Roman"/>
          <w:lang w:val="en-US" w:eastAsia="zh-CN"/>
        </w:rPr>
        <w:t>26.28</w:t>
      </w:r>
      <w:r>
        <w:rPr>
          <w:rFonts w:hint="eastAsia" w:ascii="Times New Roman" w:hAnsi="Times New Roman" w:cs="Times New Roman"/>
        </w:rPr>
        <w:t>万元，主要用于：</w:t>
      </w:r>
      <w:r>
        <w:rPr>
          <w:rFonts w:hint="eastAsia" w:ascii="Times New Roman" w:hAnsi="Times New Roman" w:cs="Times New Roman"/>
          <w:lang w:val="en-US" w:eastAsia="zh-CN"/>
        </w:rPr>
        <w:t>局系统</w:t>
      </w:r>
      <w:r>
        <w:rPr>
          <w:rFonts w:hint="eastAsia" w:ascii="Times New Roman" w:hAnsi="Times New Roman" w:cs="Times New Roman"/>
        </w:rPr>
        <w:t>缴纳公务员医疗补助支出。</w:t>
      </w:r>
    </w:p>
    <w:p w14:paraId="306AB7CB">
      <w:pPr>
        <w:ind w:firstLine="632" w:firstLineChars="200"/>
        <w:rPr>
          <w:rFonts w:hint="eastAsia"/>
          <w:b/>
          <w:highlight w:val="none"/>
          <w:lang w:val="en-US" w:eastAsia="zh-CN"/>
        </w:rPr>
      </w:pPr>
      <w:r>
        <w:rPr>
          <w:rFonts w:hint="eastAsia"/>
          <w:b/>
          <w:highlight w:val="none"/>
          <w:lang w:val="en-US" w:eastAsia="zh-CN"/>
        </w:rPr>
        <w:t>7</w:t>
      </w:r>
      <w:r>
        <w:rPr>
          <w:rFonts w:hint="eastAsia"/>
          <w:b/>
          <w:highlight w:val="none"/>
        </w:rPr>
        <w:t>.</w:t>
      </w:r>
      <w:r>
        <w:rPr>
          <w:rFonts w:hint="eastAsia"/>
          <w:b/>
          <w:highlight w:val="none"/>
          <w:lang w:val="en-US" w:eastAsia="zh-CN"/>
        </w:rPr>
        <w:t>农林水支出</w:t>
      </w:r>
      <w:r>
        <w:rPr>
          <w:rFonts w:hint="eastAsia"/>
          <w:b/>
          <w:highlight w:val="none"/>
        </w:rPr>
        <w:t>（类）</w:t>
      </w:r>
      <w:r>
        <w:rPr>
          <w:rFonts w:hint="eastAsia"/>
          <w:b/>
          <w:highlight w:val="none"/>
          <w:lang w:val="en-US" w:eastAsia="zh-CN"/>
        </w:rPr>
        <w:t>巩固脱贫攻坚成果衔接乡村振兴支出</w:t>
      </w:r>
      <w:r>
        <w:rPr>
          <w:rFonts w:hint="eastAsia"/>
          <w:b/>
          <w:highlight w:val="none"/>
        </w:rPr>
        <w:t>（款）</w:t>
      </w:r>
      <w:r>
        <w:rPr>
          <w:rFonts w:hint="eastAsia"/>
          <w:b/>
          <w:highlight w:val="none"/>
          <w:lang w:val="en-US" w:eastAsia="zh-CN"/>
        </w:rPr>
        <w:t>其他巩固脱贫攻坚成果衔接乡村振兴支出</w:t>
      </w:r>
      <w:r>
        <w:rPr>
          <w:rFonts w:hint="eastAsia"/>
          <w:b/>
          <w:highlight w:val="none"/>
        </w:rPr>
        <w:t>（项）：</w:t>
      </w:r>
      <w:r>
        <w:rPr>
          <w:rFonts w:hint="eastAsia"/>
          <w:highlight w:val="none"/>
        </w:rPr>
        <w:t>20</w:t>
      </w:r>
      <w:r>
        <w:rPr>
          <w:rFonts w:hint="eastAsia"/>
          <w:highlight w:val="none"/>
          <w:lang w:val="en-US" w:eastAsia="zh-CN"/>
        </w:rPr>
        <w:t>25</w:t>
      </w:r>
      <w:r>
        <w:rPr>
          <w:rFonts w:hint="eastAsia"/>
          <w:highlight w:val="none"/>
        </w:rPr>
        <w:t>年预算数为</w:t>
      </w:r>
      <w:r>
        <w:rPr>
          <w:rFonts w:hint="eastAsia"/>
          <w:highlight w:val="none"/>
          <w:lang w:val="en-US" w:eastAsia="zh-CN"/>
        </w:rPr>
        <w:t>286.83</w:t>
      </w:r>
      <w:r>
        <w:rPr>
          <w:rFonts w:hint="eastAsia"/>
          <w:highlight w:val="none"/>
        </w:rPr>
        <w:t>万元，主要用于</w:t>
      </w:r>
      <w:r>
        <w:rPr>
          <w:rFonts w:hint="eastAsia"/>
          <w:highlight w:val="none"/>
          <w:lang w:eastAsia="zh-CN"/>
        </w:rPr>
        <w:t>：推进乡村振兴</w:t>
      </w:r>
      <w:r>
        <w:rPr>
          <w:rFonts w:hint="eastAsia"/>
          <w:highlight w:val="none"/>
          <w:lang w:val="en-US" w:eastAsia="zh-CN"/>
        </w:rPr>
        <w:t>补助资金</w:t>
      </w:r>
      <w:r>
        <w:rPr>
          <w:rFonts w:hint="eastAsia"/>
          <w:highlight w:val="none"/>
        </w:rPr>
        <w:t>。</w:t>
      </w:r>
    </w:p>
    <w:p w14:paraId="1B123EDE">
      <w:pPr>
        <w:ind w:firstLine="632" w:firstLineChars="200"/>
        <w:rPr>
          <w:rFonts w:hint="eastAsia"/>
          <w:highlight w:val="none"/>
        </w:rPr>
      </w:pPr>
      <w:r>
        <w:rPr>
          <w:rFonts w:hint="eastAsia"/>
          <w:b/>
          <w:highlight w:val="none"/>
          <w:lang w:val="en-US" w:eastAsia="zh-CN"/>
        </w:rPr>
        <w:t>8</w:t>
      </w:r>
      <w:r>
        <w:rPr>
          <w:rFonts w:hint="eastAsia"/>
          <w:b/>
          <w:highlight w:val="none"/>
        </w:rPr>
        <w:t>.</w:t>
      </w:r>
      <w:r>
        <w:rPr>
          <w:rFonts w:hint="eastAsia"/>
          <w:b/>
          <w:highlight w:val="none"/>
          <w:lang w:val="en-US" w:eastAsia="zh-CN"/>
        </w:rPr>
        <w:t>交通运输支出</w:t>
      </w:r>
      <w:r>
        <w:rPr>
          <w:rFonts w:hint="eastAsia"/>
          <w:b/>
          <w:highlight w:val="none"/>
        </w:rPr>
        <w:t>（类）</w:t>
      </w:r>
      <w:r>
        <w:rPr>
          <w:rFonts w:hint="eastAsia"/>
          <w:b/>
          <w:highlight w:val="none"/>
          <w:lang w:val="en-US" w:eastAsia="zh-CN"/>
        </w:rPr>
        <w:t>公路水路运输</w:t>
      </w:r>
      <w:r>
        <w:rPr>
          <w:rFonts w:hint="eastAsia"/>
          <w:b/>
          <w:highlight w:val="none"/>
        </w:rPr>
        <w:t>（款）行政运行（项）：</w:t>
      </w:r>
      <w:r>
        <w:rPr>
          <w:rFonts w:hint="eastAsia"/>
          <w:highlight w:val="none"/>
        </w:rPr>
        <w:t>20</w:t>
      </w:r>
      <w:r>
        <w:rPr>
          <w:rFonts w:hint="eastAsia"/>
          <w:highlight w:val="none"/>
          <w:lang w:val="en-US" w:eastAsia="zh-CN"/>
        </w:rPr>
        <w:t>25</w:t>
      </w:r>
      <w:r>
        <w:rPr>
          <w:rFonts w:hint="eastAsia"/>
          <w:highlight w:val="none"/>
        </w:rPr>
        <w:t>年预算数为</w:t>
      </w:r>
      <w:r>
        <w:rPr>
          <w:rFonts w:hint="eastAsia"/>
          <w:highlight w:val="none"/>
          <w:lang w:val="en-US" w:eastAsia="zh-CN"/>
        </w:rPr>
        <w:t>349.83</w:t>
      </w:r>
      <w:r>
        <w:rPr>
          <w:rFonts w:hint="eastAsia"/>
          <w:highlight w:val="none"/>
        </w:rPr>
        <w:t>万元，主要用于公用经费、</w:t>
      </w:r>
      <w:r>
        <w:rPr>
          <w:rFonts w:hint="eastAsia"/>
          <w:highlight w:val="none"/>
          <w:lang w:val="en-US" w:eastAsia="zh-CN"/>
        </w:rPr>
        <w:t>行政</w:t>
      </w:r>
      <w:r>
        <w:rPr>
          <w:rFonts w:hint="eastAsia"/>
          <w:highlight w:val="none"/>
        </w:rPr>
        <w:t>人员基本工资、津补贴</w:t>
      </w:r>
      <w:r>
        <w:rPr>
          <w:rFonts w:hint="eastAsia"/>
          <w:highlight w:val="none"/>
          <w:lang w:eastAsia="zh-CN"/>
        </w:rPr>
        <w:t>、</w:t>
      </w:r>
      <w:r>
        <w:rPr>
          <w:rFonts w:hint="eastAsia"/>
          <w:highlight w:val="none"/>
        </w:rPr>
        <w:t>奖金支出</w:t>
      </w:r>
      <w:r>
        <w:rPr>
          <w:rFonts w:hint="eastAsia"/>
          <w:highlight w:val="none"/>
          <w:lang w:val="en-US" w:eastAsia="zh-CN"/>
        </w:rPr>
        <w:t>及生活补助</w:t>
      </w:r>
      <w:r>
        <w:rPr>
          <w:rFonts w:hint="eastAsia"/>
          <w:highlight w:val="none"/>
        </w:rPr>
        <w:t>等。</w:t>
      </w:r>
    </w:p>
    <w:p w14:paraId="6150CDF9">
      <w:pPr>
        <w:ind w:firstLine="632" w:firstLineChars="200"/>
        <w:rPr>
          <w:rFonts w:hint="eastAsia"/>
          <w:highlight w:val="none"/>
        </w:rPr>
      </w:pPr>
      <w:r>
        <w:rPr>
          <w:rFonts w:hint="eastAsia"/>
          <w:b/>
          <w:highlight w:val="none"/>
          <w:lang w:val="en-US" w:eastAsia="zh-CN"/>
        </w:rPr>
        <w:t>9</w:t>
      </w:r>
      <w:r>
        <w:rPr>
          <w:rFonts w:hint="eastAsia"/>
          <w:b/>
          <w:highlight w:val="none"/>
        </w:rPr>
        <w:t>.</w:t>
      </w:r>
      <w:r>
        <w:rPr>
          <w:rFonts w:hint="eastAsia"/>
          <w:b/>
          <w:highlight w:val="none"/>
          <w:lang w:val="en-US" w:eastAsia="zh-CN"/>
        </w:rPr>
        <w:t>交通运输支出</w:t>
      </w:r>
      <w:r>
        <w:rPr>
          <w:rFonts w:hint="eastAsia"/>
          <w:b/>
          <w:highlight w:val="none"/>
        </w:rPr>
        <w:t>（类）</w:t>
      </w:r>
      <w:r>
        <w:rPr>
          <w:rFonts w:hint="eastAsia"/>
          <w:b/>
          <w:highlight w:val="none"/>
          <w:lang w:val="en-US" w:eastAsia="zh-CN"/>
        </w:rPr>
        <w:t>公路水路运输</w:t>
      </w:r>
      <w:r>
        <w:rPr>
          <w:rFonts w:hint="eastAsia"/>
          <w:b/>
          <w:highlight w:val="none"/>
        </w:rPr>
        <w:t>（款）</w:t>
      </w:r>
      <w:r>
        <w:rPr>
          <w:rFonts w:hint="eastAsia"/>
          <w:b/>
          <w:highlight w:val="none"/>
          <w:lang w:val="en-US" w:eastAsia="zh-CN"/>
        </w:rPr>
        <w:t>公路建设（公路水路运输）</w:t>
      </w:r>
      <w:r>
        <w:rPr>
          <w:rFonts w:hint="eastAsia"/>
          <w:b/>
          <w:highlight w:val="none"/>
        </w:rPr>
        <w:t>（项）:</w:t>
      </w:r>
      <w:r>
        <w:rPr>
          <w:rFonts w:hint="eastAsia"/>
          <w:highlight w:val="none"/>
        </w:rPr>
        <w:t>20</w:t>
      </w:r>
      <w:r>
        <w:rPr>
          <w:rFonts w:hint="eastAsia"/>
          <w:highlight w:val="none"/>
          <w:lang w:val="en-US" w:eastAsia="zh-CN"/>
        </w:rPr>
        <w:t>25</w:t>
      </w:r>
      <w:r>
        <w:rPr>
          <w:rFonts w:hint="eastAsia"/>
          <w:highlight w:val="none"/>
        </w:rPr>
        <w:t>年预算数为</w:t>
      </w:r>
      <w:r>
        <w:rPr>
          <w:rFonts w:hint="eastAsia"/>
          <w:highlight w:val="none"/>
          <w:lang w:val="en-US" w:eastAsia="zh-CN"/>
        </w:rPr>
        <w:t>12.25</w:t>
      </w:r>
      <w:r>
        <w:rPr>
          <w:rFonts w:hint="eastAsia"/>
          <w:highlight w:val="none"/>
        </w:rPr>
        <w:t>万元，主要用于：</w:t>
      </w:r>
      <w:r>
        <w:rPr>
          <w:rFonts w:hint="eastAsia"/>
          <w:highlight w:val="none"/>
          <w:lang w:val="en-US" w:eastAsia="zh-CN"/>
        </w:rPr>
        <w:t>  三家镇青山村跨省毛坯路建设资金</w:t>
      </w:r>
      <w:r>
        <w:rPr>
          <w:rFonts w:hint="eastAsia"/>
          <w:highlight w:val="none"/>
        </w:rPr>
        <w:t>。</w:t>
      </w:r>
    </w:p>
    <w:p w14:paraId="39EAA460">
      <w:pPr>
        <w:ind w:firstLine="632" w:firstLineChars="200"/>
        <w:rPr>
          <w:rFonts w:hint="eastAsia"/>
          <w:highlight w:val="none"/>
        </w:rPr>
      </w:pPr>
      <w:r>
        <w:rPr>
          <w:rFonts w:hint="eastAsia"/>
          <w:b/>
          <w:highlight w:val="none"/>
          <w:lang w:val="en-US" w:eastAsia="zh-CN"/>
        </w:rPr>
        <w:t>10.交通运输支出</w:t>
      </w:r>
      <w:r>
        <w:rPr>
          <w:rFonts w:hint="eastAsia"/>
          <w:b/>
          <w:highlight w:val="none"/>
        </w:rPr>
        <w:t>（类）</w:t>
      </w:r>
      <w:r>
        <w:rPr>
          <w:rFonts w:hint="eastAsia"/>
          <w:b/>
          <w:highlight w:val="none"/>
          <w:lang w:val="en-US" w:eastAsia="zh-CN"/>
        </w:rPr>
        <w:t>公路水路运输</w:t>
      </w:r>
      <w:r>
        <w:rPr>
          <w:rFonts w:hint="eastAsia"/>
          <w:b/>
          <w:highlight w:val="none"/>
        </w:rPr>
        <w:t>（款）</w:t>
      </w:r>
      <w:r>
        <w:rPr>
          <w:rFonts w:hint="eastAsia"/>
          <w:b/>
          <w:highlight w:val="none"/>
          <w:lang w:val="en-US" w:eastAsia="zh-CN"/>
        </w:rPr>
        <w:t>其他公路水路运输</w:t>
      </w:r>
      <w:r>
        <w:rPr>
          <w:rFonts w:hint="eastAsia"/>
          <w:b/>
          <w:highlight w:val="none"/>
        </w:rPr>
        <w:t>（项）：</w:t>
      </w:r>
      <w:r>
        <w:rPr>
          <w:rFonts w:hint="eastAsia"/>
          <w:highlight w:val="none"/>
        </w:rPr>
        <w:t>20</w:t>
      </w:r>
      <w:r>
        <w:rPr>
          <w:rFonts w:hint="eastAsia"/>
          <w:highlight w:val="none"/>
          <w:lang w:val="en-US" w:eastAsia="zh-CN"/>
        </w:rPr>
        <w:t>25</w:t>
      </w:r>
      <w:r>
        <w:rPr>
          <w:rFonts w:hint="eastAsia"/>
          <w:highlight w:val="none"/>
        </w:rPr>
        <w:t>年预算数为</w:t>
      </w:r>
      <w:r>
        <w:rPr>
          <w:rFonts w:hint="eastAsia"/>
          <w:highlight w:val="none"/>
          <w:lang w:val="en-US" w:eastAsia="zh-CN"/>
        </w:rPr>
        <w:t>1266.23</w:t>
      </w:r>
      <w:r>
        <w:rPr>
          <w:rFonts w:hint="eastAsia"/>
          <w:highlight w:val="none"/>
        </w:rPr>
        <w:t>万元，主要用于：</w:t>
      </w:r>
      <w:r>
        <w:rPr>
          <w:rFonts w:hint="eastAsia"/>
          <w:highlight w:val="none"/>
          <w:lang w:val="en-US" w:eastAsia="zh-CN"/>
        </w:rPr>
        <w:t>事业人员基本工资、绩效工资、交通专项资金、辖区内日常养护经费等</w:t>
      </w:r>
      <w:r>
        <w:rPr>
          <w:rFonts w:hint="eastAsia"/>
          <w:highlight w:val="none"/>
        </w:rPr>
        <w:t>。</w:t>
      </w:r>
    </w:p>
    <w:p w14:paraId="7B2B4DD1">
      <w:pPr>
        <w:ind w:firstLine="632" w:firstLineChars="200"/>
        <w:rPr>
          <w:rFonts w:hint="default" w:eastAsia="仿宋_GB2312"/>
          <w:highlight w:val="none"/>
          <w:lang w:val="en-US" w:eastAsia="zh-CN"/>
        </w:rPr>
      </w:pPr>
      <w:r>
        <w:rPr>
          <w:rFonts w:hint="eastAsia"/>
          <w:b/>
          <w:highlight w:val="none"/>
          <w:lang w:val="en-US" w:eastAsia="zh-CN"/>
        </w:rPr>
        <w:t>11.资源勘探工业信息等支出（</w:t>
      </w:r>
      <w:r>
        <w:rPr>
          <w:rFonts w:hint="eastAsia"/>
          <w:b/>
          <w:highlight w:val="none"/>
        </w:rPr>
        <w:t>类）</w:t>
      </w:r>
      <w:r>
        <w:rPr>
          <w:rFonts w:hint="eastAsia"/>
          <w:b/>
          <w:highlight w:val="none"/>
          <w:lang w:val="en-US" w:eastAsia="zh-CN"/>
        </w:rPr>
        <w:t>支持中小企业发展和管理支出</w:t>
      </w:r>
      <w:r>
        <w:rPr>
          <w:rFonts w:hint="eastAsia"/>
          <w:b/>
          <w:highlight w:val="none"/>
        </w:rPr>
        <w:t>（款）</w:t>
      </w:r>
      <w:r>
        <w:rPr>
          <w:rFonts w:hint="eastAsia"/>
          <w:b/>
          <w:highlight w:val="none"/>
          <w:lang w:val="en-US" w:eastAsia="zh-CN"/>
        </w:rPr>
        <w:t>其他支持中小企业发展和管理支出</w:t>
      </w:r>
      <w:r>
        <w:rPr>
          <w:rFonts w:hint="eastAsia"/>
          <w:b/>
          <w:highlight w:val="none"/>
        </w:rPr>
        <w:t>（项）：</w:t>
      </w:r>
      <w:r>
        <w:rPr>
          <w:rFonts w:hint="eastAsia"/>
          <w:highlight w:val="none"/>
        </w:rPr>
        <w:t>20</w:t>
      </w:r>
      <w:r>
        <w:rPr>
          <w:rFonts w:hint="eastAsia"/>
          <w:highlight w:val="none"/>
          <w:lang w:val="en-US" w:eastAsia="zh-CN"/>
        </w:rPr>
        <w:t>25</w:t>
      </w:r>
      <w:r>
        <w:rPr>
          <w:rFonts w:hint="eastAsia"/>
          <w:highlight w:val="none"/>
        </w:rPr>
        <w:t>年预算数为</w:t>
      </w:r>
      <w:r>
        <w:rPr>
          <w:rFonts w:hint="eastAsia"/>
          <w:highlight w:val="none"/>
          <w:lang w:val="en-US" w:eastAsia="zh-CN"/>
        </w:rPr>
        <w:t>241.71</w:t>
      </w:r>
      <w:r>
        <w:rPr>
          <w:rFonts w:hint="eastAsia"/>
          <w:highlight w:val="none"/>
        </w:rPr>
        <w:t>万元，主要用于：</w:t>
      </w:r>
      <w:r>
        <w:rPr>
          <w:rFonts w:hint="eastAsia"/>
          <w:highlight w:val="none"/>
          <w:lang w:val="en-US" w:eastAsia="zh-CN"/>
        </w:rPr>
        <w:t>公路养护。</w:t>
      </w:r>
    </w:p>
    <w:p w14:paraId="64EF1742">
      <w:pPr>
        <w:ind w:firstLine="632" w:firstLineChars="200"/>
        <w:rPr>
          <w:rFonts w:hint="eastAsia" w:ascii="Times New Roman" w:hAnsi="Times New Roman" w:cs="Times New Roman"/>
        </w:rPr>
      </w:pPr>
      <w:r>
        <w:rPr>
          <w:rFonts w:hint="eastAsia"/>
          <w:b/>
          <w:highlight w:val="none"/>
        </w:rPr>
        <w:t>1</w:t>
      </w:r>
      <w:r>
        <w:rPr>
          <w:rFonts w:hint="eastAsia"/>
          <w:b/>
          <w:highlight w:val="none"/>
          <w:lang w:val="en-US" w:eastAsia="zh-CN"/>
        </w:rPr>
        <w:t>2</w:t>
      </w:r>
      <w:r>
        <w:rPr>
          <w:rFonts w:hint="eastAsia"/>
          <w:b/>
          <w:highlight w:val="none"/>
        </w:rPr>
        <w:t>.住房保障（类）住房改革支出（款）住房公积金（项）：</w:t>
      </w:r>
      <w:r>
        <w:rPr>
          <w:rFonts w:hint="eastAsia" w:ascii="Times New Roman" w:hAnsi="Times New Roman" w:cs="Times New Roman"/>
        </w:rPr>
        <w:t>20</w:t>
      </w:r>
      <w:r>
        <w:rPr>
          <w:rFonts w:hint="eastAsia" w:ascii="Times New Roman" w:hAnsi="Times New Roman" w:cs="Times New Roman"/>
          <w:lang w:val="en-US" w:eastAsia="zh-CN"/>
        </w:rPr>
        <w:t>24</w:t>
      </w:r>
      <w:r>
        <w:rPr>
          <w:rFonts w:hint="eastAsia" w:ascii="Times New Roman" w:hAnsi="Times New Roman" w:cs="Times New Roman"/>
        </w:rPr>
        <w:t>年预算数为</w:t>
      </w:r>
      <w:r>
        <w:rPr>
          <w:rFonts w:hint="eastAsia" w:ascii="Times New Roman" w:hAnsi="Times New Roman" w:cs="Times New Roman"/>
          <w:lang w:val="en-US" w:eastAsia="zh-CN"/>
        </w:rPr>
        <w:t>110.36</w:t>
      </w:r>
      <w:r>
        <w:rPr>
          <w:rFonts w:hint="eastAsia" w:ascii="Times New Roman" w:hAnsi="Times New Roman" w:cs="Times New Roman"/>
        </w:rPr>
        <w:t>万元，主要用于：部门按规定的工资总额以及规定比例为职工缴纳的住房公积金支出。</w:t>
      </w:r>
    </w:p>
    <w:p w14:paraId="4F80F81F">
      <w:pPr>
        <w:spacing w:line="600" w:lineRule="exact"/>
        <w:ind w:firstLine="632" w:firstLineChars="200"/>
        <w:rPr>
          <w:rFonts w:hint="eastAsia" w:ascii="黑体" w:hAnsi="黑体" w:eastAsia="黑体"/>
        </w:rPr>
      </w:pPr>
      <w:r>
        <w:rPr>
          <w:rFonts w:hint="eastAsia" w:ascii="黑体" w:hAnsi="黑体" w:eastAsia="黑体"/>
        </w:rPr>
        <w:t>六、一般公共预算基本支出情况说明</w:t>
      </w:r>
    </w:p>
    <w:p w14:paraId="527A5BAA">
      <w:pPr>
        <w:spacing w:line="600" w:lineRule="exact"/>
        <w:ind w:firstLine="632" w:firstLineChars="200"/>
        <w:rPr>
          <w:rFonts w:hint="eastAsia" w:ascii="Times New Roman" w:hAnsi="Times New Roman" w:cs="Times New Roman"/>
        </w:rPr>
      </w:pPr>
      <w:r>
        <w:rPr>
          <w:rFonts w:hint="eastAsia" w:ascii="Times New Roman" w:hAnsi="Times New Roman" w:cs="Times New Roman"/>
        </w:rPr>
        <w:t>遂宁市</w:t>
      </w:r>
      <w:r>
        <w:rPr>
          <w:rFonts w:hint="eastAsia" w:ascii="Times New Roman" w:hAnsi="Times New Roman" w:cs="Times New Roman"/>
          <w:lang w:val="en-US" w:eastAsia="zh-CN"/>
        </w:rPr>
        <w:t>安居区交通运输</w:t>
      </w:r>
      <w:r>
        <w:rPr>
          <w:rFonts w:hint="eastAsia" w:ascii="Times New Roman" w:hAnsi="Times New Roman" w:cs="Times New Roman"/>
        </w:rPr>
        <w:t>局20</w:t>
      </w:r>
      <w:r>
        <w:rPr>
          <w:rFonts w:hint="eastAsia" w:ascii="Times New Roman" w:hAnsi="Times New Roman" w:cs="Times New Roman"/>
          <w:lang w:val="en-US" w:eastAsia="zh-CN"/>
        </w:rPr>
        <w:t>24</w:t>
      </w:r>
      <w:r>
        <w:rPr>
          <w:rFonts w:hint="eastAsia" w:ascii="Times New Roman" w:hAnsi="Times New Roman" w:cs="Times New Roman"/>
        </w:rPr>
        <w:t>年一般公共预算基本支出</w:t>
      </w:r>
      <w:r>
        <w:rPr>
          <w:rFonts w:hint="eastAsia" w:ascii="Times New Roman" w:hAnsi="Times New Roman" w:cs="Times New Roman"/>
          <w:lang w:val="en-US" w:eastAsia="zh-CN"/>
        </w:rPr>
        <w:t xml:space="preserve">   1637.24</w:t>
      </w:r>
      <w:r>
        <w:rPr>
          <w:rFonts w:hint="eastAsia" w:ascii="Times New Roman" w:hAnsi="Times New Roman" w:cs="Times New Roman"/>
        </w:rPr>
        <w:t>万元，其中：</w:t>
      </w:r>
    </w:p>
    <w:p w14:paraId="710BC905">
      <w:pPr>
        <w:spacing w:line="600" w:lineRule="exact"/>
        <w:ind w:firstLine="632" w:firstLineChars="200"/>
        <w:rPr>
          <w:rFonts w:hint="eastAsia" w:ascii="Times New Roman" w:hAnsi="Times New Roman" w:cs="Times New Roman"/>
        </w:rPr>
      </w:pPr>
      <w:r>
        <w:rPr>
          <w:rFonts w:hint="eastAsia" w:ascii="Times New Roman" w:hAnsi="Times New Roman" w:cs="Times New Roman"/>
        </w:rPr>
        <w:t>人员经费</w:t>
      </w:r>
      <w:r>
        <w:rPr>
          <w:rFonts w:hint="eastAsia" w:ascii="Times New Roman" w:hAnsi="Times New Roman" w:cs="Times New Roman"/>
          <w:lang w:val="en-US" w:eastAsia="zh-CN"/>
        </w:rPr>
        <w:t>1476.86</w:t>
      </w:r>
      <w:r>
        <w:rPr>
          <w:rFonts w:hint="eastAsia" w:ascii="Times New Roman" w:hAnsi="Times New Roman" w:cs="Times New Roman"/>
        </w:rPr>
        <w:t>万元，主要包括（以实际支出经济分类科目填列）：基本工资、津贴补贴、奖金、绩效工资、机关事业单位基本养老保险缴费、</w:t>
      </w:r>
      <w:r>
        <w:rPr>
          <w:rFonts w:hint="eastAsia" w:ascii="Times New Roman" w:hAnsi="Times New Roman" w:cs="Times New Roman"/>
          <w:lang w:val="en-US" w:eastAsia="zh-CN"/>
        </w:rPr>
        <w:t>基本医疗保险缴费、公务员医疗补助缴费、</w:t>
      </w:r>
      <w:r>
        <w:rPr>
          <w:rFonts w:hint="eastAsia" w:ascii="Times New Roman" w:hAnsi="Times New Roman" w:cs="Times New Roman"/>
        </w:rPr>
        <w:t>其他</w:t>
      </w:r>
      <w:r>
        <w:rPr>
          <w:rFonts w:hint="eastAsia" w:ascii="Times New Roman" w:hAnsi="Times New Roman" w:cs="Times New Roman"/>
          <w:lang w:val="en-US" w:eastAsia="zh-CN"/>
        </w:rPr>
        <w:t>社会保障和就业</w:t>
      </w:r>
      <w:r>
        <w:rPr>
          <w:rFonts w:hint="eastAsia" w:ascii="Times New Roman" w:hAnsi="Times New Roman" w:cs="Times New Roman"/>
        </w:rPr>
        <w:t>支出</w:t>
      </w:r>
      <w:r>
        <w:rPr>
          <w:rFonts w:hint="eastAsia" w:ascii="Times New Roman" w:hAnsi="Times New Roman" w:cs="Times New Roman"/>
          <w:lang w:eastAsia="zh-CN"/>
        </w:rPr>
        <w:t>、</w:t>
      </w:r>
      <w:r>
        <w:rPr>
          <w:rFonts w:hint="eastAsia" w:ascii="Times New Roman" w:hAnsi="Times New Roman" w:cs="Times New Roman"/>
        </w:rPr>
        <w:t>住房公积金、工会经费、福利费、其他交通费、</w:t>
      </w:r>
      <w:r>
        <w:rPr>
          <w:rFonts w:hint="eastAsia" w:ascii="Times New Roman" w:hAnsi="Times New Roman" w:cs="Times New Roman"/>
          <w:lang w:val="en-US" w:eastAsia="zh-CN"/>
        </w:rPr>
        <w:t>对个人和家庭的补助（生活补助）</w:t>
      </w:r>
      <w:r>
        <w:rPr>
          <w:rFonts w:hint="eastAsia" w:ascii="Times New Roman" w:hAnsi="Times New Roman" w:cs="Times New Roman"/>
        </w:rPr>
        <w:t>。</w:t>
      </w:r>
    </w:p>
    <w:p w14:paraId="1549A51B">
      <w:pPr>
        <w:spacing w:line="600" w:lineRule="exact"/>
        <w:ind w:firstLine="632" w:firstLineChars="200"/>
        <w:rPr>
          <w:rFonts w:hint="eastAsia" w:ascii="Times New Roman" w:hAnsi="Times New Roman" w:cs="Times New Roman"/>
        </w:rPr>
      </w:pPr>
      <w:r>
        <w:rPr>
          <w:rFonts w:hint="eastAsia" w:ascii="Times New Roman" w:hAnsi="Times New Roman" w:cs="Times New Roman"/>
        </w:rPr>
        <w:t>公用经费</w:t>
      </w:r>
      <w:r>
        <w:rPr>
          <w:rFonts w:hint="eastAsia" w:ascii="Times New Roman" w:hAnsi="Times New Roman" w:cs="Times New Roman"/>
          <w:lang w:val="en-US" w:eastAsia="zh-CN"/>
        </w:rPr>
        <w:t>160.38</w:t>
      </w:r>
      <w:r>
        <w:rPr>
          <w:rFonts w:hint="eastAsia" w:ascii="Times New Roman" w:hAnsi="Times New Roman" w:cs="Times New Roman"/>
        </w:rPr>
        <w:t>万元，主要包括（以实际支出经济分类科目填列）：办公费、印刷费、手续费、水费、电费、邮电费、</w:t>
      </w:r>
      <w:r>
        <w:rPr>
          <w:rFonts w:hint="eastAsia" w:ascii="Times New Roman" w:hAnsi="Times New Roman" w:cs="Times New Roman"/>
          <w:lang w:val="en-US" w:eastAsia="zh-CN"/>
        </w:rPr>
        <w:t>物业管理费、</w:t>
      </w:r>
      <w:r>
        <w:rPr>
          <w:rFonts w:hint="eastAsia" w:ascii="Times New Roman" w:hAnsi="Times New Roman" w:cs="Times New Roman"/>
        </w:rPr>
        <w:t>差旅费、</w:t>
      </w:r>
      <w:r>
        <w:rPr>
          <w:rFonts w:hint="eastAsia" w:ascii="Times New Roman" w:hAnsi="Times New Roman" w:cs="Times New Roman"/>
          <w:lang w:val="en-US" w:eastAsia="zh-CN"/>
        </w:rPr>
        <w:t>租赁费</w:t>
      </w:r>
      <w:r>
        <w:rPr>
          <w:rFonts w:hint="eastAsia" w:ascii="Times New Roman" w:hAnsi="Times New Roman" w:cs="Times New Roman"/>
        </w:rPr>
        <w:t>、会议费、培训费、</w:t>
      </w:r>
      <w:r>
        <w:rPr>
          <w:rFonts w:hint="eastAsia" w:ascii="Times New Roman" w:hAnsi="Times New Roman" w:cs="Times New Roman"/>
          <w:lang w:val="en-US" w:eastAsia="zh-CN"/>
        </w:rPr>
        <w:t>公务接待费、</w:t>
      </w:r>
      <w:r>
        <w:rPr>
          <w:rFonts w:hint="eastAsia" w:ascii="Times New Roman" w:hAnsi="Times New Roman" w:cs="Times New Roman"/>
        </w:rPr>
        <w:t>劳务费、</w:t>
      </w:r>
      <w:r>
        <w:rPr>
          <w:rFonts w:hint="eastAsia" w:ascii="Times New Roman" w:hAnsi="Times New Roman" w:cs="Times New Roman"/>
          <w:lang w:val="en-US" w:eastAsia="zh-CN"/>
        </w:rPr>
        <w:t>委托业务费、</w:t>
      </w:r>
      <w:r>
        <w:rPr>
          <w:rFonts w:hint="eastAsia" w:ascii="Times New Roman" w:hAnsi="Times New Roman" w:cs="Times New Roman"/>
        </w:rPr>
        <w:t>其他商品和服务支出。</w:t>
      </w:r>
    </w:p>
    <w:p w14:paraId="2E47B783">
      <w:pPr>
        <w:spacing w:line="600" w:lineRule="exact"/>
        <w:ind w:firstLine="632" w:firstLineChars="200"/>
        <w:rPr>
          <w:rFonts w:hint="eastAsia" w:ascii="黑体" w:hAnsi="黑体" w:eastAsia="黑体"/>
        </w:rPr>
      </w:pPr>
      <w:r>
        <w:rPr>
          <w:rFonts w:hint="eastAsia" w:ascii="黑体" w:hAnsi="黑体" w:eastAsia="黑体"/>
        </w:rPr>
        <w:t>七、“三公”经费财政拨款预算安排情况说明</w:t>
      </w:r>
    </w:p>
    <w:p w14:paraId="7DB81A28">
      <w:pPr>
        <w:spacing w:line="600" w:lineRule="exact"/>
        <w:ind w:firstLine="632" w:firstLineChars="200"/>
        <w:rPr>
          <w:rFonts w:hint="eastAsia" w:ascii="Times New Roman" w:hAnsi="Times New Roman" w:cs="Times New Roman"/>
        </w:rPr>
      </w:pPr>
      <w:r>
        <w:rPr>
          <w:rFonts w:hint="eastAsia" w:ascii="Times New Roman" w:hAnsi="Times New Roman" w:cs="Times New Roman"/>
          <w:lang w:val="en-US" w:eastAsia="zh-CN"/>
        </w:rPr>
        <w:t>区交通运输</w:t>
      </w:r>
      <w:r>
        <w:rPr>
          <w:rFonts w:hint="eastAsia" w:ascii="Times New Roman" w:hAnsi="Times New Roman" w:cs="Times New Roman"/>
        </w:rPr>
        <w:t>局20</w:t>
      </w:r>
      <w:r>
        <w:rPr>
          <w:rFonts w:hint="eastAsia" w:ascii="Times New Roman" w:hAnsi="Times New Roman" w:cs="Times New Roman"/>
          <w:lang w:val="en-US" w:eastAsia="zh-CN"/>
        </w:rPr>
        <w:t>24</w:t>
      </w:r>
      <w:r>
        <w:rPr>
          <w:rFonts w:hint="eastAsia" w:ascii="Times New Roman" w:hAnsi="Times New Roman" w:cs="Times New Roman"/>
        </w:rPr>
        <w:t>年“三公”经费财政拨款预算数</w:t>
      </w:r>
      <w:r>
        <w:rPr>
          <w:rFonts w:hint="eastAsia" w:ascii="Times New Roman" w:hAnsi="Times New Roman" w:cs="Times New Roman"/>
          <w:lang w:val="en-US" w:eastAsia="zh-CN"/>
        </w:rPr>
        <w:t>9.60万元</w:t>
      </w:r>
      <w:r>
        <w:rPr>
          <w:rFonts w:hint="eastAsia" w:ascii="Times New Roman" w:hAnsi="Times New Roman" w:cs="Times New Roman"/>
        </w:rPr>
        <w:t>，其中：因公出国（境）经费0万元，公务接待费</w:t>
      </w:r>
      <w:r>
        <w:rPr>
          <w:rFonts w:hint="eastAsia" w:ascii="Times New Roman" w:hAnsi="Times New Roman" w:cs="Times New Roman"/>
          <w:lang w:val="en-US" w:eastAsia="zh-CN"/>
        </w:rPr>
        <w:t>0.60</w:t>
      </w:r>
      <w:r>
        <w:rPr>
          <w:rFonts w:hint="eastAsia" w:ascii="Times New Roman" w:hAnsi="Times New Roman" w:cs="Times New Roman"/>
        </w:rPr>
        <w:t>万元，公务用车购置及运行维护费</w:t>
      </w:r>
      <w:r>
        <w:rPr>
          <w:rFonts w:hint="eastAsia" w:ascii="Times New Roman" w:hAnsi="Times New Roman" w:cs="Times New Roman"/>
          <w:lang w:val="en-US" w:eastAsia="zh-CN"/>
        </w:rPr>
        <w:t>9.00</w:t>
      </w:r>
      <w:r>
        <w:rPr>
          <w:rFonts w:hint="eastAsia" w:ascii="Times New Roman" w:hAnsi="Times New Roman" w:cs="Times New Roman"/>
        </w:rPr>
        <w:t>万元。</w:t>
      </w:r>
    </w:p>
    <w:p w14:paraId="2F32FA26">
      <w:pPr>
        <w:ind w:firstLine="632" w:firstLineChars="200"/>
        <w:rPr>
          <w:rFonts w:hint="eastAsia"/>
          <w:highlight w:val="none"/>
        </w:rPr>
      </w:pPr>
      <w:r>
        <w:rPr>
          <w:rFonts w:eastAsia="楷体_GB2312"/>
          <w:highlight w:val="none"/>
        </w:rPr>
        <w:t>（一）因公出国（境）经费较20</w:t>
      </w:r>
      <w:r>
        <w:rPr>
          <w:rFonts w:hint="eastAsia" w:eastAsia="楷体_GB2312"/>
          <w:highlight w:val="none"/>
          <w:lang w:val="en-US" w:eastAsia="zh-CN"/>
        </w:rPr>
        <w:t>24</w:t>
      </w:r>
      <w:r>
        <w:rPr>
          <w:rFonts w:eastAsia="楷体_GB2312"/>
          <w:highlight w:val="none"/>
        </w:rPr>
        <w:t>年</w:t>
      </w:r>
      <w:r>
        <w:rPr>
          <w:rFonts w:hint="eastAsia" w:eastAsia="楷体_GB2312"/>
          <w:highlight w:val="none"/>
        </w:rPr>
        <w:t>持平</w:t>
      </w:r>
      <w:r>
        <w:rPr>
          <w:rFonts w:hint="eastAsia"/>
          <w:highlight w:val="none"/>
        </w:rPr>
        <w:t>。</w:t>
      </w:r>
    </w:p>
    <w:p w14:paraId="2BECC29D">
      <w:pPr>
        <w:ind w:firstLine="632" w:firstLineChars="200"/>
        <w:rPr>
          <w:rFonts w:hint="eastAsia"/>
          <w:highlight w:val="none"/>
        </w:rPr>
      </w:pPr>
      <w:r>
        <w:rPr>
          <w:rFonts w:hint="eastAsia" w:eastAsia="楷体_GB2312"/>
          <w:highlight w:val="none"/>
        </w:rPr>
        <w:t>（二）公务接待费</w:t>
      </w:r>
      <w:r>
        <w:rPr>
          <w:rFonts w:eastAsia="楷体_GB2312"/>
          <w:highlight w:val="none"/>
        </w:rPr>
        <w:t>较20</w:t>
      </w:r>
      <w:r>
        <w:rPr>
          <w:rFonts w:hint="eastAsia" w:eastAsia="楷体_GB2312"/>
          <w:highlight w:val="none"/>
          <w:lang w:val="en-US" w:eastAsia="zh-CN"/>
        </w:rPr>
        <w:t>24</w:t>
      </w:r>
      <w:r>
        <w:rPr>
          <w:rFonts w:eastAsia="楷体_GB2312"/>
          <w:highlight w:val="none"/>
        </w:rPr>
        <w:t>年</w:t>
      </w:r>
      <w:r>
        <w:rPr>
          <w:rFonts w:hint="eastAsia" w:eastAsia="楷体_GB2312"/>
          <w:highlight w:val="none"/>
          <w:lang w:val="en-US" w:eastAsia="zh-CN"/>
        </w:rPr>
        <w:t>减少了0.18万元</w:t>
      </w:r>
      <w:r>
        <w:rPr>
          <w:rFonts w:hint="eastAsia"/>
          <w:highlight w:val="none"/>
        </w:rPr>
        <w:t>。</w:t>
      </w:r>
    </w:p>
    <w:p w14:paraId="2D0B5ADC">
      <w:pPr>
        <w:ind w:firstLine="632" w:firstLineChars="200"/>
        <w:rPr>
          <w:rFonts w:hint="eastAsia" w:eastAsia="楷体_GB2312"/>
          <w:highlight w:val="none"/>
        </w:rPr>
      </w:pPr>
      <w:r>
        <w:rPr>
          <w:rFonts w:hint="eastAsia" w:eastAsia="楷体_GB2312"/>
          <w:highlight w:val="none"/>
        </w:rPr>
        <w:t>（三）</w:t>
      </w:r>
      <w:r>
        <w:rPr>
          <w:rFonts w:hint="eastAsia" w:eastAsia="楷体_GB2312"/>
          <w:highlight w:val="none"/>
          <w:lang w:val="en-US" w:eastAsia="zh-CN"/>
        </w:rPr>
        <w:t>公务用车购置和运行费</w:t>
      </w:r>
      <w:r>
        <w:rPr>
          <w:rFonts w:hint="eastAsia" w:eastAsia="楷体_GB2312"/>
          <w:highlight w:val="none"/>
        </w:rPr>
        <w:t>较20</w:t>
      </w:r>
      <w:r>
        <w:rPr>
          <w:rFonts w:hint="eastAsia" w:eastAsia="楷体_GB2312"/>
          <w:highlight w:val="none"/>
          <w:lang w:val="en-US" w:eastAsia="zh-CN"/>
        </w:rPr>
        <w:t>24</w:t>
      </w:r>
      <w:r>
        <w:rPr>
          <w:rFonts w:hint="eastAsia" w:eastAsia="楷体_GB2312"/>
          <w:highlight w:val="none"/>
        </w:rPr>
        <w:t>年预算</w:t>
      </w:r>
      <w:r>
        <w:rPr>
          <w:rFonts w:hint="eastAsia" w:eastAsia="楷体_GB2312"/>
          <w:highlight w:val="none"/>
          <w:lang w:val="en-US" w:eastAsia="zh-CN"/>
        </w:rPr>
        <w:t>减少了12.00万元</w:t>
      </w:r>
      <w:r>
        <w:rPr>
          <w:rFonts w:hint="eastAsia" w:eastAsia="楷体_GB2312"/>
          <w:highlight w:val="none"/>
        </w:rPr>
        <w:t>。</w:t>
      </w:r>
    </w:p>
    <w:p w14:paraId="52358765">
      <w:pPr>
        <w:ind w:firstLine="632" w:firstLineChars="200"/>
        <w:rPr>
          <w:rFonts w:hint="default" w:ascii="Times New Roman" w:hAnsi="Times New Roman" w:eastAsia="楷体_GB2312" w:cs="Times New Roman"/>
          <w:lang w:val="en-US" w:eastAsia="zh-CN"/>
        </w:rPr>
      </w:pPr>
      <w:r>
        <w:rPr>
          <w:rFonts w:hint="eastAsia" w:ascii="Times New Roman" w:hAnsi="Times New Roman" w:cs="Times New Roman"/>
        </w:rPr>
        <w:t>20</w:t>
      </w:r>
      <w:r>
        <w:rPr>
          <w:rFonts w:hint="eastAsia" w:ascii="Times New Roman" w:hAnsi="Times New Roman" w:cs="Times New Roman"/>
          <w:lang w:val="en-US" w:eastAsia="zh-CN"/>
        </w:rPr>
        <w:t>25</w:t>
      </w:r>
      <w:r>
        <w:rPr>
          <w:rFonts w:hint="eastAsia" w:ascii="Times New Roman" w:hAnsi="Times New Roman" w:cs="Times New Roman"/>
        </w:rPr>
        <w:t>年</w:t>
      </w:r>
      <w:r>
        <w:rPr>
          <w:rFonts w:hint="eastAsia" w:ascii="Times New Roman" w:hAnsi="Times New Roman" w:cs="Times New Roman"/>
          <w:lang w:val="en-US" w:eastAsia="zh-CN"/>
        </w:rPr>
        <w:t>未</w:t>
      </w:r>
      <w:r>
        <w:rPr>
          <w:rFonts w:hint="eastAsia" w:ascii="Times New Roman" w:hAnsi="Times New Roman" w:cs="Times New Roman"/>
        </w:rPr>
        <w:t>安排公务用车购置费</w:t>
      </w:r>
      <w:r>
        <w:rPr>
          <w:rFonts w:hint="eastAsia" w:ascii="Times New Roman" w:hAnsi="Times New Roman" w:cs="Times New Roman"/>
          <w:lang w:val="en-US" w:eastAsia="zh-CN"/>
        </w:rPr>
        <w:t>较</w:t>
      </w:r>
      <w:r>
        <w:rPr>
          <w:rFonts w:eastAsia="楷体_GB2312"/>
          <w:highlight w:val="none"/>
        </w:rPr>
        <w:t>20</w:t>
      </w:r>
      <w:r>
        <w:rPr>
          <w:rFonts w:hint="eastAsia" w:eastAsia="楷体_GB2312"/>
          <w:highlight w:val="none"/>
          <w:lang w:val="en-US" w:eastAsia="zh-CN"/>
        </w:rPr>
        <w:t>24</w:t>
      </w:r>
      <w:r>
        <w:rPr>
          <w:rFonts w:eastAsia="楷体_GB2312"/>
          <w:highlight w:val="none"/>
        </w:rPr>
        <w:t>年</w:t>
      </w:r>
      <w:r>
        <w:rPr>
          <w:rFonts w:hint="eastAsia" w:eastAsia="楷体_GB2312"/>
          <w:highlight w:val="none"/>
          <w:lang w:val="en-US" w:eastAsia="zh-CN"/>
        </w:rPr>
        <w:t>减少了12.00万元。</w:t>
      </w:r>
    </w:p>
    <w:p w14:paraId="5801CC13">
      <w:pPr>
        <w:spacing w:line="600" w:lineRule="exact"/>
        <w:ind w:firstLine="632" w:firstLineChars="200"/>
        <w:rPr>
          <w:rFonts w:hint="eastAsia" w:ascii="Times New Roman" w:hAnsi="Times New Roman" w:cs="Times New Roman"/>
        </w:rPr>
      </w:pPr>
      <w:r>
        <w:rPr>
          <w:rFonts w:hint="eastAsia" w:ascii="Times New Roman" w:hAnsi="Times New Roman" w:cs="Times New Roman"/>
        </w:rPr>
        <w:t>20</w:t>
      </w:r>
      <w:r>
        <w:rPr>
          <w:rFonts w:hint="eastAsia" w:ascii="Times New Roman" w:hAnsi="Times New Roman" w:cs="Times New Roman"/>
          <w:lang w:val="en-US" w:eastAsia="zh-CN"/>
        </w:rPr>
        <w:t>25</w:t>
      </w:r>
      <w:r>
        <w:rPr>
          <w:rFonts w:hint="eastAsia" w:ascii="Times New Roman" w:hAnsi="Times New Roman" w:cs="Times New Roman"/>
        </w:rPr>
        <w:t>年安排公务用车运行维护费</w:t>
      </w:r>
      <w:r>
        <w:rPr>
          <w:rFonts w:hint="eastAsia" w:ascii="Times New Roman" w:hAnsi="Times New Roman" w:cs="Times New Roman"/>
          <w:lang w:val="en-US" w:eastAsia="zh-CN"/>
        </w:rPr>
        <w:t>9.00</w:t>
      </w:r>
      <w:r>
        <w:rPr>
          <w:rFonts w:hint="eastAsia" w:ascii="Times New Roman" w:hAnsi="Times New Roman" w:cs="Times New Roman"/>
        </w:rPr>
        <w:t>万元，用于</w:t>
      </w:r>
      <w:r>
        <w:rPr>
          <w:rFonts w:hint="eastAsia" w:ascii="Times New Roman" w:hAnsi="Times New Roman" w:cs="Times New Roman"/>
          <w:lang w:val="en-US" w:eastAsia="zh-CN"/>
        </w:rPr>
        <w:t>1</w:t>
      </w:r>
      <w:r>
        <w:rPr>
          <w:rFonts w:hint="eastAsia" w:ascii="Times New Roman" w:hAnsi="Times New Roman" w:cs="Times New Roman"/>
        </w:rPr>
        <w:t>辆公务用车</w:t>
      </w:r>
      <w:r>
        <w:rPr>
          <w:rFonts w:hint="eastAsia" w:ascii="Times New Roman" w:hAnsi="Times New Roman" w:cs="Times New Roman"/>
          <w:lang w:val="en-US" w:eastAsia="zh-CN"/>
        </w:rPr>
        <w:t>和1辆执法</w:t>
      </w:r>
      <w:r>
        <w:rPr>
          <w:rFonts w:hint="eastAsia" w:ascii="Times New Roman" w:hAnsi="Times New Roman" w:cs="Times New Roman"/>
        </w:rPr>
        <w:t>车燃油、过路（桥）、维修、保险等方面支出，主要保障机关及下属单位公务用车等工作开展。</w:t>
      </w:r>
    </w:p>
    <w:p w14:paraId="08EC0515">
      <w:pPr>
        <w:spacing w:line="600" w:lineRule="exact"/>
        <w:ind w:firstLine="632" w:firstLineChars="200"/>
        <w:rPr>
          <w:rFonts w:hint="eastAsia" w:ascii="黑体" w:hAnsi="黑体" w:eastAsia="黑体"/>
        </w:rPr>
      </w:pPr>
      <w:r>
        <w:rPr>
          <w:rFonts w:hint="eastAsia" w:ascii="黑体" w:hAnsi="黑体" w:eastAsia="黑体"/>
        </w:rPr>
        <w:t>八、“会议费”、“培训费”、“差旅费”财政拨款预算安排情况说明</w:t>
      </w:r>
    </w:p>
    <w:p w14:paraId="4A9DC834">
      <w:pPr>
        <w:spacing w:line="600" w:lineRule="exact"/>
        <w:ind w:firstLine="632" w:firstLineChars="200"/>
        <w:rPr>
          <w:rFonts w:hint="eastAsia" w:ascii="Times New Roman" w:hAnsi="Times New Roman" w:cs="Times New Roman"/>
        </w:rPr>
      </w:pPr>
      <w:r>
        <w:rPr>
          <w:rFonts w:hint="eastAsia" w:ascii="Times New Roman" w:hAnsi="Times New Roman" w:cs="Times New Roman"/>
          <w:lang w:val="en-US" w:eastAsia="zh-CN"/>
        </w:rPr>
        <w:t>区交通运输</w:t>
      </w:r>
      <w:r>
        <w:rPr>
          <w:rFonts w:hint="eastAsia" w:ascii="Times New Roman" w:hAnsi="Times New Roman" w:cs="Times New Roman"/>
        </w:rPr>
        <w:t>局20</w:t>
      </w:r>
      <w:r>
        <w:rPr>
          <w:rFonts w:hint="eastAsia" w:ascii="Times New Roman" w:hAnsi="Times New Roman" w:cs="Times New Roman"/>
          <w:lang w:val="en-US" w:eastAsia="zh-CN"/>
        </w:rPr>
        <w:t>25</w:t>
      </w:r>
      <w:r>
        <w:rPr>
          <w:rFonts w:hint="eastAsia" w:ascii="Times New Roman" w:hAnsi="Times New Roman" w:cs="Times New Roman"/>
        </w:rPr>
        <w:t>年“会议费”、“培训费”、“差旅费”财政拨款预算</w:t>
      </w:r>
      <w:r>
        <w:rPr>
          <w:rFonts w:hint="eastAsia" w:ascii="Times New Roman" w:hAnsi="Times New Roman" w:cs="Times New Roman"/>
          <w:lang w:val="en-US" w:eastAsia="zh-CN"/>
        </w:rPr>
        <w:t>35.26</w:t>
      </w:r>
      <w:r>
        <w:rPr>
          <w:rFonts w:hint="eastAsia" w:ascii="Times New Roman" w:hAnsi="Times New Roman" w:cs="Times New Roman"/>
        </w:rPr>
        <w:t>万元。</w:t>
      </w:r>
    </w:p>
    <w:p w14:paraId="0DCC8E3A">
      <w:pPr>
        <w:numPr>
          <w:ilvl w:val="0"/>
          <w:numId w:val="1"/>
        </w:numPr>
        <w:spacing w:line="600" w:lineRule="exact"/>
        <w:ind w:firstLine="632" w:firstLineChars="200"/>
        <w:rPr>
          <w:rFonts w:hint="eastAsia" w:ascii="Times New Roman" w:hAnsi="Times New Roman" w:cs="Times New Roman"/>
        </w:rPr>
      </w:pPr>
      <w:r>
        <w:rPr>
          <w:rFonts w:hint="eastAsia" w:ascii="Times New Roman" w:hAnsi="Times New Roman" w:cs="Times New Roman"/>
        </w:rPr>
        <w:t>会议费</w:t>
      </w:r>
      <w:r>
        <w:rPr>
          <w:rFonts w:hint="eastAsia" w:ascii="Times New Roman" w:hAnsi="Times New Roman" w:cs="Times New Roman"/>
          <w:lang w:val="en-US" w:eastAsia="zh-CN"/>
        </w:rPr>
        <w:t>较2024</w:t>
      </w:r>
      <w:r>
        <w:rPr>
          <w:rFonts w:hint="eastAsia" w:ascii="Times New Roman" w:hAnsi="Times New Roman" w:cs="Times New Roman"/>
        </w:rPr>
        <w:t>年预算</w:t>
      </w:r>
      <w:r>
        <w:rPr>
          <w:rFonts w:hint="eastAsia" w:ascii="Times New Roman" w:hAnsi="Times New Roman" w:cs="Times New Roman"/>
          <w:lang w:val="en-US" w:eastAsia="zh-CN"/>
        </w:rPr>
        <w:t>减少了0.20万元</w:t>
      </w:r>
      <w:r>
        <w:rPr>
          <w:rFonts w:hint="eastAsia" w:ascii="Times New Roman" w:hAnsi="Times New Roman" w:cs="Times New Roman"/>
        </w:rPr>
        <w:t>。</w:t>
      </w:r>
    </w:p>
    <w:p w14:paraId="65820982">
      <w:pPr>
        <w:numPr>
          <w:ilvl w:val="0"/>
          <w:numId w:val="1"/>
        </w:numPr>
        <w:spacing w:line="600" w:lineRule="exact"/>
        <w:ind w:firstLine="632" w:firstLineChars="200"/>
        <w:rPr>
          <w:rFonts w:hint="eastAsia" w:ascii="Times New Roman" w:hAnsi="Times New Roman" w:cs="Times New Roman"/>
        </w:rPr>
      </w:pPr>
      <w:r>
        <w:rPr>
          <w:rFonts w:hint="eastAsia" w:ascii="Times New Roman" w:hAnsi="Times New Roman" w:cs="Times New Roman"/>
        </w:rPr>
        <w:t>培训费较</w:t>
      </w:r>
      <w:r>
        <w:rPr>
          <w:rFonts w:hint="eastAsia" w:ascii="Times New Roman" w:hAnsi="Times New Roman" w:cs="Times New Roman"/>
          <w:lang w:val="en-US" w:eastAsia="zh-CN"/>
        </w:rPr>
        <w:t>2024</w:t>
      </w:r>
      <w:r>
        <w:rPr>
          <w:rFonts w:hint="eastAsia" w:ascii="Times New Roman" w:hAnsi="Times New Roman" w:cs="Times New Roman"/>
        </w:rPr>
        <w:t>年预算减少</w:t>
      </w:r>
      <w:r>
        <w:rPr>
          <w:rFonts w:hint="eastAsia" w:ascii="Times New Roman" w:hAnsi="Times New Roman" w:cs="Times New Roman"/>
          <w:lang w:val="en-US" w:eastAsia="zh-CN"/>
        </w:rPr>
        <w:t>0.40</w:t>
      </w:r>
      <w:r>
        <w:rPr>
          <w:rFonts w:hint="eastAsia" w:ascii="Times New Roman" w:hAnsi="Times New Roman" w:cs="Times New Roman"/>
        </w:rPr>
        <w:t>万元。主要原因是严格</w:t>
      </w:r>
      <w:r>
        <w:rPr>
          <w:rFonts w:hint="eastAsia" w:ascii="Times New Roman" w:hAnsi="Times New Roman" w:cs="Times New Roman"/>
          <w:lang w:val="en-US" w:eastAsia="zh-CN"/>
        </w:rPr>
        <w:t>执行</w:t>
      </w:r>
      <w:r>
        <w:rPr>
          <w:rFonts w:hint="eastAsia" w:cs="Times New Roman"/>
          <w:lang w:eastAsia="zh-CN"/>
        </w:rPr>
        <w:t>厉行节约</w:t>
      </w:r>
      <w:r>
        <w:rPr>
          <w:rFonts w:hint="eastAsia" w:ascii="Times New Roman" w:hAnsi="Times New Roman" w:cs="Times New Roman"/>
        </w:rPr>
        <w:t>原则。</w:t>
      </w:r>
    </w:p>
    <w:p w14:paraId="267CEED4">
      <w:pPr>
        <w:numPr>
          <w:ilvl w:val="0"/>
          <w:numId w:val="1"/>
        </w:numPr>
        <w:spacing w:line="600" w:lineRule="exact"/>
        <w:ind w:firstLine="632" w:firstLineChars="200"/>
        <w:rPr>
          <w:rFonts w:hint="eastAsia" w:ascii="Times New Roman" w:hAnsi="Times New Roman" w:cs="Times New Roman"/>
        </w:rPr>
      </w:pPr>
      <w:r>
        <w:rPr>
          <w:rFonts w:hint="eastAsia" w:ascii="Times New Roman" w:hAnsi="Times New Roman" w:cs="Times New Roman"/>
        </w:rPr>
        <w:t>差旅费较20</w:t>
      </w:r>
      <w:r>
        <w:rPr>
          <w:rFonts w:hint="eastAsia" w:ascii="Times New Roman" w:hAnsi="Times New Roman" w:cs="Times New Roman"/>
          <w:lang w:val="en-US" w:eastAsia="zh-CN"/>
        </w:rPr>
        <w:t>24</w:t>
      </w:r>
      <w:r>
        <w:rPr>
          <w:rFonts w:hint="eastAsia" w:ascii="Times New Roman" w:hAnsi="Times New Roman" w:cs="Times New Roman"/>
        </w:rPr>
        <w:t>年预算</w:t>
      </w:r>
      <w:r>
        <w:rPr>
          <w:rFonts w:hint="eastAsia" w:ascii="Times New Roman" w:hAnsi="Times New Roman" w:cs="Times New Roman"/>
          <w:lang w:val="en-US" w:eastAsia="zh-CN"/>
        </w:rPr>
        <w:t>减少了2.78万元，主要原因是</w:t>
      </w:r>
      <w:r>
        <w:rPr>
          <w:rFonts w:hint="eastAsia" w:ascii="Times New Roman" w:hAnsi="Times New Roman" w:cs="Times New Roman"/>
        </w:rPr>
        <w:t>严格</w:t>
      </w:r>
      <w:r>
        <w:rPr>
          <w:rFonts w:hint="eastAsia" w:ascii="Times New Roman" w:hAnsi="Times New Roman" w:cs="Times New Roman"/>
          <w:lang w:val="en-US" w:eastAsia="zh-CN"/>
        </w:rPr>
        <w:t>执行</w:t>
      </w:r>
      <w:r>
        <w:rPr>
          <w:rFonts w:hint="eastAsia" w:cs="Times New Roman"/>
          <w:lang w:eastAsia="zh-CN"/>
        </w:rPr>
        <w:t>厉行节约</w:t>
      </w:r>
      <w:r>
        <w:rPr>
          <w:rFonts w:hint="eastAsia" w:ascii="Times New Roman" w:hAnsi="Times New Roman" w:cs="Times New Roman"/>
        </w:rPr>
        <w:t>原则。</w:t>
      </w:r>
    </w:p>
    <w:p w14:paraId="1B496425">
      <w:pPr>
        <w:spacing w:line="600" w:lineRule="exact"/>
        <w:ind w:firstLine="632" w:firstLineChars="200"/>
        <w:rPr>
          <w:rFonts w:hint="eastAsia" w:ascii="黑体" w:hAnsi="黑体" w:eastAsia="黑体"/>
        </w:rPr>
      </w:pPr>
      <w:r>
        <w:rPr>
          <w:rFonts w:hint="eastAsia" w:ascii="黑体" w:hAnsi="黑体" w:eastAsia="黑体"/>
        </w:rPr>
        <w:t>九、政府性基金预算支出情况说明</w:t>
      </w:r>
    </w:p>
    <w:p w14:paraId="7AB0E395">
      <w:pPr>
        <w:spacing w:line="600" w:lineRule="exact"/>
        <w:ind w:firstLine="632" w:firstLineChars="200"/>
        <w:rPr>
          <w:rFonts w:hint="eastAsia" w:ascii="Times New Roman" w:hAnsi="Times New Roman" w:cs="Times New Roman"/>
        </w:rPr>
      </w:pPr>
      <w:r>
        <w:rPr>
          <w:rFonts w:hint="eastAsia" w:ascii="Times New Roman" w:hAnsi="Times New Roman" w:cs="Times New Roman"/>
        </w:rPr>
        <w:t>遂宁市</w:t>
      </w:r>
      <w:r>
        <w:rPr>
          <w:rFonts w:hint="eastAsia" w:ascii="Times New Roman" w:hAnsi="Times New Roman" w:cs="Times New Roman"/>
          <w:lang w:val="en-US" w:eastAsia="zh-CN"/>
        </w:rPr>
        <w:t>安居区交通运输</w:t>
      </w:r>
      <w:r>
        <w:rPr>
          <w:rFonts w:hint="eastAsia" w:ascii="Times New Roman" w:hAnsi="Times New Roman" w:cs="Times New Roman"/>
        </w:rPr>
        <w:t>局20</w:t>
      </w:r>
      <w:r>
        <w:rPr>
          <w:rFonts w:hint="eastAsia" w:ascii="Times New Roman" w:hAnsi="Times New Roman" w:cs="Times New Roman"/>
          <w:lang w:val="en-US" w:eastAsia="zh-CN"/>
        </w:rPr>
        <w:t>25</w:t>
      </w:r>
      <w:r>
        <w:rPr>
          <w:rFonts w:hint="eastAsia" w:ascii="Times New Roman" w:hAnsi="Times New Roman" w:cs="Times New Roman"/>
        </w:rPr>
        <w:t>年政府性基金预算拨款安排的支出</w:t>
      </w:r>
      <w:r>
        <w:rPr>
          <w:rFonts w:hint="eastAsia" w:ascii="Times New Roman" w:hAnsi="Times New Roman" w:cs="Times New Roman"/>
          <w:lang w:val="en-US" w:eastAsia="zh-CN"/>
        </w:rPr>
        <w:t>668.80</w:t>
      </w:r>
      <w:r>
        <w:rPr>
          <w:rFonts w:hint="eastAsia" w:ascii="Times New Roman" w:hAnsi="Times New Roman" w:cs="Times New Roman"/>
        </w:rPr>
        <w:t>万元。</w:t>
      </w:r>
    </w:p>
    <w:p w14:paraId="45310BA1">
      <w:pPr>
        <w:spacing w:line="600" w:lineRule="exact"/>
        <w:ind w:firstLine="632" w:firstLineChars="200"/>
        <w:rPr>
          <w:rFonts w:ascii="黑体" w:hAnsi="黑体" w:eastAsia="黑体"/>
        </w:rPr>
      </w:pPr>
      <w:r>
        <w:rPr>
          <w:rFonts w:hint="eastAsia" w:ascii="黑体" w:hAnsi="黑体" w:eastAsia="黑体"/>
        </w:rPr>
        <w:t>十、国有资本经营预算支出情况说明</w:t>
      </w:r>
    </w:p>
    <w:p w14:paraId="2F95F39C">
      <w:pPr>
        <w:spacing w:line="600" w:lineRule="exact"/>
        <w:ind w:firstLine="632" w:firstLineChars="200"/>
        <w:rPr>
          <w:rFonts w:hint="eastAsia" w:ascii="Times New Roman" w:hAnsi="Times New Roman" w:cs="Times New Roman"/>
        </w:rPr>
      </w:pPr>
      <w:r>
        <w:rPr>
          <w:rFonts w:hint="eastAsia" w:ascii="Times New Roman" w:hAnsi="Times New Roman" w:cs="Times New Roman"/>
        </w:rPr>
        <w:t>遂宁市</w:t>
      </w:r>
      <w:r>
        <w:rPr>
          <w:rFonts w:hint="eastAsia" w:ascii="Times New Roman" w:hAnsi="Times New Roman" w:cs="Times New Roman"/>
          <w:lang w:val="en-US" w:eastAsia="zh-CN"/>
        </w:rPr>
        <w:t>安居区交通运输</w:t>
      </w:r>
      <w:r>
        <w:rPr>
          <w:rFonts w:hint="eastAsia" w:ascii="Times New Roman" w:hAnsi="Times New Roman" w:cs="Times New Roman"/>
        </w:rPr>
        <w:t>局20</w:t>
      </w:r>
      <w:r>
        <w:rPr>
          <w:rFonts w:hint="eastAsia" w:ascii="Times New Roman" w:hAnsi="Times New Roman" w:cs="Times New Roman"/>
          <w:lang w:val="en-US" w:eastAsia="zh-CN"/>
        </w:rPr>
        <w:t>25</w:t>
      </w:r>
      <w:r>
        <w:rPr>
          <w:rFonts w:hint="eastAsia" w:ascii="Times New Roman" w:hAnsi="Times New Roman" w:cs="Times New Roman"/>
        </w:rPr>
        <w:t>年国有资本经营预算拨款安排的支出</w:t>
      </w:r>
      <w:r>
        <w:rPr>
          <w:rFonts w:hint="eastAsia" w:ascii="Times New Roman" w:hAnsi="Times New Roman" w:cs="Times New Roman"/>
          <w:lang w:val="en-US" w:eastAsia="zh-CN"/>
        </w:rPr>
        <w:t>180.00万元</w:t>
      </w:r>
      <w:r>
        <w:rPr>
          <w:rFonts w:hint="eastAsia" w:ascii="Times New Roman" w:hAnsi="Times New Roman" w:cs="Times New Roman"/>
        </w:rPr>
        <w:t>。</w:t>
      </w:r>
    </w:p>
    <w:p w14:paraId="60DF13D4">
      <w:pPr>
        <w:spacing w:line="600" w:lineRule="exact"/>
        <w:ind w:firstLine="632" w:firstLineChars="200"/>
        <w:rPr>
          <w:rFonts w:hint="eastAsia" w:ascii="黑体" w:hAnsi="黑体" w:eastAsia="黑体"/>
        </w:rPr>
      </w:pPr>
      <w:r>
        <w:rPr>
          <w:rFonts w:hint="eastAsia" w:ascii="黑体" w:hAnsi="黑体" w:eastAsia="黑体"/>
        </w:rPr>
        <w:t>十一、其他重要事项的情况说明</w:t>
      </w:r>
    </w:p>
    <w:p w14:paraId="127ACB0B">
      <w:pPr>
        <w:ind w:firstLine="632" w:firstLineChars="200"/>
        <w:rPr>
          <w:rFonts w:hint="eastAsia" w:eastAsia="楷体_GB2312"/>
          <w:highlight w:val="none"/>
        </w:rPr>
      </w:pPr>
      <w:r>
        <w:rPr>
          <w:rFonts w:hint="eastAsia" w:eastAsia="楷体_GB2312"/>
          <w:highlight w:val="none"/>
        </w:rPr>
        <w:t>（一）机关运行经费</w:t>
      </w:r>
    </w:p>
    <w:p w14:paraId="2B8EC074">
      <w:pPr>
        <w:ind w:firstLine="632" w:firstLineChars="200"/>
        <w:rPr>
          <w:rFonts w:hint="eastAsia"/>
          <w:highlight w:val="none"/>
        </w:rPr>
      </w:pPr>
      <w:r>
        <w:rPr>
          <w:rFonts w:hint="eastAsia"/>
          <w:highlight w:val="none"/>
        </w:rPr>
        <w:t>20</w:t>
      </w:r>
      <w:r>
        <w:rPr>
          <w:rFonts w:hint="eastAsia"/>
          <w:highlight w:val="none"/>
          <w:lang w:val="en-US" w:eastAsia="zh-CN"/>
        </w:rPr>
        <w:t>25</w:t>
      </w:r>
      <w:r>
        <w:rPr>
          <w:rFonts w:hint="eastAsia"/>
          <w:highlight w:val="none"/>
        </w:rPr>
        <w:t>年，遂宁市</w:t>
      </w:r>
      <w:r>
        <w:rPr>
          <w:rFonts w:hint="eastAsia"/>
          <w:highlight w:val="none"/>
          <w:lang w:val="en-US" w:eastAsia="zh-CN"/>
        </w:rPr>
        <w:t>安居区交通运输</w:t>
      </w:r>
      <w:r>
        <w:rPr>
          <w:rFonts w:hint="eastAsia"/>
          <w:highlight w:val="none"/>
        </w:rPr>
        <w:t>局</w:t>
      </w:r>
      <w:r>
        <w:rPr>
          <w:rFonts w:hint="eastAsia"/>
          <w:highlight w:val="none"/>
          <w:lang w:eastAsia="zh-CN"/>
        </w:rPr>
        <w:t>含</w:t>
      </w:r>
      <w:r>
        <w:rPr>
          <w:rFonts w:hint="eastAsia"/>
          <w:highlight w:val="none"/>
        </w:rPr>
        <w:t>下属</w:t>
      </w:r>
      <w:r>
        <w:rPr>
          <w:rFonts w:hint="eastAsia"/>
          <w:highlight w:val="none"/>
          <w:lang w:val="en-US" w:eastAsia="zh-CN"/>
        </w:rPr>
        <w:t>单位区地方海事处、区交通运输综合行政执法大队、区运管所、区公管所</w:t>
      </w:r>
      <w:r>
        <w:rPr>
          <w:rFonts w:hint="eastAsia"/>
          <w:highlight w:val="none"/>
        </w:rPr>
        <w:t>的机关运行经费财政拨款预算为</w:t>
      </w:r>
      <w:r>
        <w:rPr>
          <w:rFonts w:hint="eastAsia"/>
          <w:highlight w:val="none"/>
          <w:lang w:val="en-US" w:eastAsia="zh-CN"/>
        </w:rPr>
        <w:t>160.38</w:t>
      </w:r>
      <w:r>
        <w:rPr>
          <w:rFonts w:hint="eastAsia"/>
          <w:highlight w:val="none"/>
        </w:rPr>
        <w:t>万元，比20</w:t>
      </w:r>
      <w:r>
        <w:rPr>
          <w:rFonts w:hint="eastAsia"/>
          <w:highlight w:val="none"/>
          <w:lang w:val="en-US" w:eastAsia="zh-CN"/>
        </w:rPr>
        <w:t>24</w:t>
      </w:r>
      <w:r>
        <w:rPr>
          <w:rFonts w:hint="eastAsia"/>
          <w:highlight w:val="none"/>
        </w:rPr>
        <w:t>年预算</w:t>
      </w:r>
      <w:r>
        <w:rPr>
          <w:rFonts w:hint="eastAsia"/>
          <w:highlight w:val="none"/>
          <w:lang w:val="en-US" w:eastAsia="zh-CN"/>
        </w:rPr>
        <w:t>减少了3.44万元，主要原因是人员退休，人均公用经费减少</w:t>
      </w:r>
      <w:r>
        <w:rPr>
          <w:rFonts w:hint="eastAsia"/>
          <w:highlight w:val="none"/>
        </w:rPr>
        <w:t>。</w:t>
      </w:r>
    </w:p>
    <w:p w14:paraId="6CA5CFB9">
      <w:pPr>
        <w:ind w:firstLine="632" w:firstLineChars="200"/>
        <w:rPr>
          <w:rFonts w:hint="eastAsia" w:eastAsia="楷体_GB2312"/>
          <w:highlight w:val="none"/>
        </w:rPr>
      </w:pPr>
      <w:r>
        <w:rPr>
          <w:rFonts w:hint="eastAsia" w:eastAsia="楷体_GB2312"/>
          <w:highlight w:val="none"/>
        </w:rPr>
        <w:t>（二）政府采购情况</w:t>
      </w:r>
    </w:p>
    <w:p w14:paraId="40C53C72">
      <w:pPr>
        <w:ind w:firstLine="632" w:firstLineChars="200"/>
        <w:rPr>
          <w:rFonts w:hint="eastAsia"/>
          <w:highlight w:val="none"/>
        </w:rPr>
      </w:pPr>
      <w:r>
        <w:rPr>
          <w:rFonts w:hint="eastAsia"/>
          <w:highlight w:val="none"/>
        </w:rPr>
        <w:t>20</w:t>
      </w:r>
      <w:r>
        <w:rPr>
          <w:rFonts w:hint="eastAsia"/>
          <w:highlight w:val="none"/>
          <w:lang w:val="en-US" w:eastAsia="zh-CN"/>
        </w:rPr>
        <w:t>25</w:t>
      </w:r>
      <w:r>
        <w:rPr>
          <w:rFonts w:hint="eastAsia"/>
          <w:highlight w:val="none"/>
        </w:rPr>
        <w:t>年，遂宁市</w:t>
      </w:r>
      <w:r>
        <w:rPr>
          <w:rFonts w:hint="eastAsia"/>
          <w:highlight w:val="none"/>
          <w:lang w:val="en-US" w:eastAsia="zh-CN"/>
        </w:rPr>
        <w:t>安居区交通运输</w:t>
      </w:r>
      <w:r>
        <w:rPr>
          <w:rFonts w:hint="eastAsia"/>
          <w:highlight w:val="none"/>
        </w:rPr>
        <w:t>局</w:t>
      </w:r>
      <w:r>
        <w:rPr>
          <w:rFonts w:hint="eastAsia"/>
          <w:highlight w:val="none"/>
          <w:lang w:val="en-US" w:eastAsia="zh-CN"/>
        </w:rPr>
        <w:t>未</w:t>
      </w:r>
      <w:r>
        <w:rPr>
          <w:rFonts w:hint="eastAsia"/>
          <w:highlight w:val="none"/>
        </w:rPr>
        <w:t>安排政府采购预算。</w:t>
      </w:r>
    </w:p>
    <w:p w14:paraId="64F541C6">
      <w:pPr>
        <w:ind w:firstLine="632" w:firstLineChars="200"/>
        <w:rPr>
          <w:rFonts w:hint="eastAsia" w:eastAsia="楷体_GB2312"/>
          <w:highlight w:val="none"/>
        </w:rPr>
      </w:pPr>
      <w:r>
        <w:rPr>
          <w:rFonts w:hint="eastAsia" w:eastAsia="楷体_GB2312"/>
          <w:highlight w:val="none"/>
        </w:rPr>
        <w:t>（三）国有资产占有使用情况</w:t>
      </w:r>
    </w:p>
    <w:p w14:paraId="30C33712">
      <w:pPr>
        <w:ind w:firstLine="632" w:firstLineChars="200"/>
        <w:rPr>
          <w:rFonts w:hint="eastAsia"/>
          <w:highlight w:val="none"/>
        </w:rPr>
      </w:pPr>
      <w:r>
        <w:rPr>
          <w:rFonts w:hint="eastAsia"/>
          <w:highlight w:val="none"/>
        </w:rPr>
        <w:t>截至</w:t>
      </w:r>
      <w:r>
        <w:rPr>
          <w:rFonts w:hint="eastAsia"/>
          <w:highlight w:val="none"/>
          <w:lang w:val="en-US" w:eastAsia="zh-CN"/>
        </w:rPr>
        <w:t>2024</w:t>
      </w:r>
      <w:r>
        <w:rPr>
          <w:rFonts w:hint="eastAsia"/>
          <w:highlight w:val="none"/>
        </w:rPr>
        <w:t>年底，遂宁市</w:t>
      </w:r>
      <w:r>
        <w:rPr>
          <w:rFonts w:hint="eastAsia"/>
          <w:highlight w:val="none"/>
          <w:lang w:val="en-US" w:eastAsia="zh-CN"/>
        </w:rPr>
        <w:t>安居区交通运输局</w:t>
      </w:r>
      <w:r>
        <w:rPr>
          <w:rFonts w:hint="eastAsia"/>
          <w:highlight w:val="none"/>
        </w:rPr>
        <w:t>各预算单位</w:t>
      </w:r>
      <w:r>
        <w:rPr>
          <w:rFonts w:hint="eastAsia"/>
          <w:highlight w:val="none"/>
          <w:lang w:val="en-US" w:eastAsia="zh-CN"/>
        </w:rPr>
        <w:t>实有应急</w:t>
      </w:r>
      <w:r>
        <w:rPr>
          <w:rFonts w:hint="eastAsia"/>
          <w:highlight w:val="none"/>
        </w:rPr>
        <w:t>保障用车</w:t>
      </w:r>
      <w:r>
        <w:rPr>
          <w:rFonts w:hint="eastAsia"/>
          <w:highlight w:val="none"/>
          <w:lang w:val="en-US" w:eastAsia="zh-CN"/>
        </w:rPr>
        <w:t>1</w:t>
      </w:r>
      <w:r>
        <w:rPr>
          <w:rFonts w:hint="eastAsia"/>
          <w:highlight w:val="none"/>
        </w:rPr>
        <w:t>辆、执法执勤用车</w:t>
      </w:r>
      <w:r>
        <w:rPr>
          <w:rFonts w:hint="eastAsia"/>
          <w:highlight w:val="none"/>
          <w:lang w:val="en-US" w:eastAsia="zh-CN"/>
        </w:rPr>
        <w:t>1</w:t>
      </w:r>
      <w:r>
        <w:rPr>
          <w:rFonts w:hint="eastAsia"/>
          <w:highlight w:val="none"/>
        </w:rPr>
        <w:t>辆。</w:t>
      </w:r>
    </w:p>
    <w:p w14:paraId="1D6D7AF5">
      <w:pPr>
        <w:ind w:firstLine="632" w:firstLineChars="200"/>
        <w:rPr>
          <w:rFonts w:hint="eastAsia"/>
          <w:highlight w:val="none"/>
        </w:rPr>
      </w:pPr>
      <w:r>
        <w:rPr>
          <w:rFonts w:hint="eastAsia"/>
          <w:highlight w:val="none"/>
        </w:rPr>
        <w:t>20</w:t>
      </w:r>
      <w:r>
        <w:rPr>
          <w:rFonts w:hint="eastAsia"/>
          <w:highlight w:val="none"/>
          <w:lang w:val="en-US" w:eastAsia="zh-CN"/>
        </w:rPr>
        <w:t>24</w:t>
      </w:r>
      <w:r>
        <w:rPr>
          <w:rFonts w:hint="eastAsia"/>
          <w:highlight w:val="none"/>
        </w:rPr>
        <w:t>年部门预算未安排购置车辆及单位价值200万元以上大型设备。</w:t>
      </w:r>
    </w:p>
    <w:p w14:paraId="37164391">
      <w:pPr>
        <w:ind w:firstLine="632" w:firstLineChars="200"/>
        <w:rPr>
          <w:rFonts w:hint="eastAsia" w:eastAsia="楷体_GB2312"/>
          <w:highlight w:val="none"/>
        </w:rPr>
      </w:pPr>
      <w:r>
        <w:rPr>
          <w:rFonts w:hint="eastAsia" w:eastAsia="楷体_GB2312"/>
          <w:highlight w:val="none"/>
        </w:rPr>
        <w:t>（四）绩效目标设置情况</w:t>
      </w:r>
    </w:p>
    <w:p w14:paraId="092053C3">
      <w:pPr>
        <w:spacing w:line="560" w:lineRule="exact"/>
        <w:ind w:firstLine="632" w:firstLineChars="200"/>
        <w:rPr>
          <w:rFonts w:hint="eastAsia"/>
          <w:highlight w:val="none"/>
        </w:rPr>
      </w:pPr>
      <w:r>
        <w:rPr>
          <w:rFonts w:hint="eastAsia"/>
          <w:highlight w:val="none"/>
        </w:rPr>
        <w:t>绩效目标是预算编制的前提和基础，按照“费随事定”的原则，20</w:t>
      </w:r>
      <w:r>
        <w:rPr>
          <w:rFonts w:hint="eastAsia"/>
          <w:highlight w:val="none"/>
          <w:lang w:val="en-US" w:eastAsia="zh-CN"/>
        </w:rPr>
        <w:t>25</w:t>
      </w:r>
      <w:r>
        <w:rPr>
          <w:rFonts w:hint="eastAsia"/>
          <w:highlight w:val="none"/>
        </w:rPr>
        <w:t>年</w:t>
      </w:r>
      <w:r>
        <w:rPr>
          <w:rFonts w:hint="eastAsia"/>
          <w:highlight w:val="none"/>
          <w:lang w:val="en-US" w:eastAsia="zh-CN"/>
        </w:rPr>
        <w:t>区交通运输局所有</w:t>
      </w:r>
      <w:r>
        <w:rPr>
          <w:rFonts w:hint="eastAsia"/>
          <w:highlight w:val="none"/>
        </w:rPr>
        <w:t>项目按要求编制了绩效目标，</w:t>
      </w:r>
      <w:r>
        <w:rPr>
          <w:highlight w:val="none"/>
        </w:rPr>
        <w:t>涉及</w:t>
      </w:r>
      <w:r>
        <w:rPr>
          <w:rFonts w:hint="eastAsia"/>
          <w:highlight w:val="none"/>
        </w:rPr>
        <w:t>项目</w:t>
      </w:r>
      <w:r>
        <w:rPr>
          <w:rFonts w:hint="eastAsia"/>
          <w:highlight w:val="none"/>
          <w:lang w:val="en-US" w:eastAsia="zh-CN"/>
        </w:rPr>
        <w:t>10</w:t>
      </w:r>
      <w:r>
        <w:rPr>
          <w:rFonts w:hint="eastAsia"/>
          <w:highlight w:val="none"/>
        </w:rPr>
        <w:t>个，涉及预算当年拨款</w:t>
      </w:r>
      <w:r>
        <w:rPr>
          <w:rFonts w:hint="eastAsia"/>
          <w:highlight w:val="none"/>
          <w:lang w:val="en-US" w:eastAsia="zh-CN"/>
        </w:rPr>
        <w:t>1906.25</w:t>
      </w:r>
      <w:r>
        <w:rPr>
          <w:rFonts w:hint="eastAsia"/>
          <w:highlight w:val="none"/>
        </w:rPr>
        <w:t>万元，从项目完成、项目效益、满意度等方面设置了绩效指标，综合反映项目预期完成的数量、成本、时效、质量，预期达到的社会效益、经济效益、生态效益、可持续影响以及服务对象满意度等情况。</w:t>
      </w:r>
    </w:p>
    <w:p w14:paraId="4B19E2EF">
      <w:pPr>
        <w:spacing w:line="560" w:lineRule="exact"/>
        <w:ind w:firstLine="632" w:firstLineChars="200"/>
        <w:rPr>
          <w:rFonts w:ascii="黑体" w:hAnsi="黑体" w:eastAsia="黑体"/>
        </w:rPr>
      </w:pPr>
      <w:r>
        <w:rPr>
          <w:rFonts w:hint="eastAsia" w:ascii="黑体" w:hAnsi="黑体" w:eastAsia="黑体"/>
        </w:rPr>
        <w:t>十二</w:t>
      </w:r>
      <w:r>
        <w:rPr>
          <w:rFonts w:ascii="黑体" w:hAnsi="黑体" w:eastAsia="黑体"/>
        </w:rPr>
        <w:t>、</w:t>
      </w:r>
      <w:r>
        <w:rPr>
          <w:rFonts w:hint="eastAsia" w:ascii="黑体" w:hAnsi="黑体" w:eastAsia="黑体"/>
        </w:rPr>
        <w:t>名词解释</w:t>
      </w:r>
    </w:p>
    <w:p w14:paraId="0016F7DD">
      <w:pPr>
        <w:numPr>
          <w:ilvl w:val="0"/>
          <w:numId w:val="2"/>
        </w:numPr>
        <w:spacing w:line="560" w:lineRule="exact"/>
        <w:ind w:firstLine="632" w:firstLineChars="200"/>
      </w:pPr>
      <w:r>
        <w:t>一般公共预算拨款收入：指</w:t>
      </w:r>
      <w:r>
        <w:rPr>
          <w:rFonts w:hint="eastAsia"/>
        </w:rPr>
        <w:t>区级</w:t>
      </w:r>
      <w:r>
        <w:t>财政当年拨付的资金。</w:t>
      </w:r>
    </w:p>
    <w:p w14:paraId="5F1B1D9C">
      <w:pPr>
        <w:spacing w:line="560" w:lineRule="exact"/>
        <w:ind w:firstLine="632" w:firstLineChars="200"/>
      </w:pPr>
      <w:r>
        <w:t>2.</w:t>
      </w:r>
      <w:r>
        <w:rPr>
          <w:rFonts w:hint="eastAsia"/>
        </w:rPr>
        <w:t xml:space="preserve"> </w:t>
      </w:r>
      <w:r>
        <w:t>上年结转：指以前年度尚未完成，结转到本年仍按原规定用途继续使用的资金。</w:t>
      </w:r>
    </w:p>
    <w:p w14:paraId="45C9CBEE">
      <w:pPr>
        <w:spacing w:line="560" w:lineRule="exact"/>
        <w:ind w:firstLine="632" w:firstLineChars="200"/>
      </w:pPr>
      <w:r>
        <w:t>3.</w:t>
      </w:r>
      <w:r>
        <w:rPr>
          <w:rFonts w:hint="eastAsia"/>
        </w:rPr>
        <w:t xml:space="preserve"> </w:t>
      </w:r>
      <w:r>
        <w:t>基本支出：指为保证机构正常运转，完成日常工作任务而发生的人员支出和公用支出。</w:t>
      </w:r>
    </w:p>
    <w:p w14:paraId="49A0CEE1">
      <w:pPr>
        <w:spacing w:line="560" w:lineRule="exact"/>
        <w:ind w:firstLine="632" w:firstLineChars="200"/>
      </w:pPr>
      <w:r>
        <w:t>4.</w:t>
      </w:r>
      <w:r>
        <w:rPr>
          <w:rFonts w:hint="eastAsia"/>
        </w:rPr>
        <w:t xml:space="preserve"> </w:t>
      </w:r>
      <w:r>
        <w:t>项目支出：指在基本支出之外为完成特定行政任务和事业发展目标所发生的支出。</w:t>
      </w:r>
    </w:p>
    <w:p w14:paraId="4C638D09">
      <w:pPr>
        <w:spacing w:line="560" w:lineRule="exact"/>
        <w:ind w:firstLine="632" w:firstLineChars="200"/>
        <w:rPr>
          <w:rFonts w:hint="eastAsia"/>
        </w:rPr>
      </w:pPr>
      <w:r>
        <w:t>5.</w:t>
      </w:r>
      <w:r>
        <w:rPr>
          <w:rFonts w:hint="eastAsia"/>
        </w:rPr>
        <w:t xml:space="preserve"> </w:t>
      </w:r>
      <w:r>
        <w:t>“三公”经费：纳入部门预算管理的“三公”经费，是指部门用财政拨款安排的因公出国（境）费、公务用车购置及运行费和公务接待费。其中，因公出国（境）费反映</w:t>
      </w:r>
      <w:r>
        <w:rPr>
          <w:rFonts w:hint="eastAsia"/>
        </w:rPr>
        <w:t>部门</w:t>
      </w:r>
      <w:r>
        <w:t>公务出国（境）的国际旅费、国外城市间交通费、住宿费、伙食费、培训费、公杂费等支出；公务用车购置及运行费反映</w:t>
      </w:r>
      <w:r>
        <w:rPr>
          <w:rFonts w:hint="eastAsia"/>
        </w:rPr>
        <w:t>部门</w:t>
      </w:r>
      <w:r>
        <w:t>公务用车车辆购置支出（含车辆购置税）及租用费、燃料费、维修费、过路过桥费、保险费等支出；公务接待费反映</w:t>
      </w:r>
      <w:r>
        <w:rPr>
          <w:rFonts w:hint="eastAsia"/>
        </w:rPr>
        <w:t>部门</w:t>
      </w:r>
      <w:r>
        <w:t>按规定开支的各类公务接待（含外宾接待）支出。</w:t>
      </w:r>
    </w:p>
    <w:p w14:paraId="22636933">
      <w:pPr>
        <w:ind w:firstLine="632" w:firstLineChars="200"/>
      </w:pPr>
      <w:r>
        <w:rPr>
          <w:rFonts w:hint="eastAsia"/>
        </w:rPr>
        <w:t>6.</w:t>
      </w:r>
      <w:r>
        <w:t xml:space="preserve"> 社会保障和就业（类）行政事业单位离退休（款）机关事业单位基本养老保险缴费支出（项）：指部门实施养老保险制度由单位缴纳的养老保险费的支出。</w:t>
      </w:r>
    </w:p>
    <w:p w14:paraId="074C2809">
      <w:pPr>
        <w:ind w:firstLine="632" w:firstLineChars="200"/>
      </w:pPr>
      <w:r>
        <w:rPr>
          <w:rFonts w:hint="eastAsia"/>
        </w:rPr>
        <w:t>7</w:t>
      </w:r>
      <w:r>
        <w:t>.</w:t>
      </w:r>
      <w:r>
        <w:rPr>
          <w:rFonts w:hint="eastAsia"/>
        </w:rPr>
        <w:t xml:space="preserve"> </w:t>
      </w:r>
      <w:r>
        <w:t>社会保障和就业（类）行政事业单位离退休（款）机关事业单位职业年金缴费支出（项）：指部门实施养老保险制度由单位缴纳的职业年金的支出。</w:t>
      </w:r>
    </w:p>
    <w:p w14:paraId="5264E473">
      <w:pPr>
        <w:ind w:firstLine="632" w:firstLineChars="200"/>
      </w:pPr>
      <w:r>
        <w:rPr>
          <w:rFonts w:hint="eastAsia"/>
        </w:rPr>
        <w:t>8</w:t>
      </w:r>
      <w:r>
        <w:t>.</w:t>
      </w:r>
      <w:r>
        <w:rPr>
          <w:rFonts w:hint="eastAsia"/>
        </w:rPr>
        <w:t xml:space="preserve"> </w:t>
      </w:r>
      <w:r>
        <w:t>社会保障和就业（类）其他社会保障和就业（款）其他社会保障和就业支出（项）：指除上述项目外，其他用于行政事业单位离退休方面的支出。</w:t>
      </w:r>
    </w:p>
    <w:p w14:paraId="7BF77811">
      <w:pPr>
        <w:ind w:firstLine="632" w:firstLineChars="200"/>
      </w:pPr>
      <w:r>
        <w:rPr>
          <w:rFonts w:hint="eastAsia"/>
        </w:rPr>
        <w:t>9</w:t>
      </w:r>
      <w:r>
        <w:t>.</w:t>
      </w:r>
      <w:r>
        <w:rPr>
          <w:rFonts w:hint="eastAsia"/>
        </w:rPr>
        <w:t xml:space="preserve"> 卫生健康支出</w:t>
      </w:r>
      <w:r>
        <w:t>（类）行政事业单位医疗（款）行政单位医疗（项）：指行政机关及参公管理事业单位用于缴纳单位基本医疗保险支出。</w:t>
      </w:r>
    </w:p>
    <w:p w14:paraId="40A311CE">
      <w:pPr>
        <w:ind w:firstLine="632" w:firstLineChars="200"/>
      </w:pPr>
      <w:r>
        <w:t>1</w:t>
      </w:r>
      <w:r>
        <w:rPr>
          <w:rFonts w:hint="eastAsia"/>
        </w:rPr>
        <w:t>0</w:t>
      </w:r>
      <w:r>
        <w:t>.</w:t>
      </w:r>
      <w:r>
        <w:rPr>
          <w:rFonts w:hint="eastAsia"/>
        </w:rPr>
        <w:t xml:space="preserve"> 卫生健康支出</w:t>
      </w:r>
      <w:r>
        <w:t>（类）行政事业单位医疗（款）公务员医疗补助（项）：指行政机关及参公管理事业单位用于集中缴纳公务员医疗补助支出。</w:t>
      </w:r>
    </w:p>
    <w:p w14:paraId="6EB0EAC8">
      <w:pPr>
        <w:ind w:firstLine="632" w:firstLineChars="200"/>
      </w:pPr>
      <w:r>
        <w:t>1</w:t>
      </w:r>
      <w:r>
        <w:rPr>
          <w:rFonts w:hint="eastAsia"/>
        </w:rPr>
        <w:t>1</w:t>
      </w:r>
      <w:r>
        <w:t>.</w:t>
      </w:r>
      <w:r>
        <w:rPr>
          <w:rFonts w:hint="eastAsia"/>
        </w:rPr>
        <w:t xml:space="preserve"> </w:t>
      </w:r>
      <w:r>
        <w:t>住房保障（类）住房改革支出（款）住房公积金（项）：指按照《住房公积金管理条例》的规定，由单位及其在职职工缴存的</w:t>
      </w:r>
      <w:r>
        <w:rPr>
          <w:rFonts w:hint="eastAsia"/>
        </w:rPr>
        <w:t>住房公积金</w:t>
      </w:r>
      <w:r>
        <w:t>。</w:t>
      </w:r>
    </w:p>
    <w:p w14:paraId="113C78D0">
      <w:pPr>
        <w:ind w:firstLine="632" w:firstLineChars="200"/>
        <w:rPr>
          <w:rFonts w:hint="eastAsia"/>
        </w:rPr>
      </w:pPr>
      <w:r>
        <w:rPr>
          <w:rFonts w:hint="eastAsia"/>
          <w:lang w:val="en-US" w:eastAsia="zh-CN"/>
        </w:rPr>
        <w:t>12.城乡社区支出（类）国有土地使用权出让收入安排的支出（款）其他国有土地使用权出让收入安排的支出（项）：反映土地出让收入用于其它方面的支出。不包括市县级政府当年按规定用土地出让收入向中央和省级政府缴纳的新增建设用地土地有偿使用费的支出。</w:t>
      </w:r>
    </w:p>
    <w:p w14:paraId="11F533BA">
      <w:pPr>
        <w:ind w:firstLine="632" w:firstLineChars="200"/>
      </w:pPr>
      <w:r>
        <w:rPr>
          <w:rFonts w:hint="eastAsia"/>
        </w:rPr>
        <w:t>1</w:t>
      </w:r>
      <w:r>
        <w:rPr>
          <w:rFonts w:hint="eastAsia"/>
          <w:lang w:val="en-US" w:eastAsia="zh-CN"/>
        </w:rPr>
        <w:t>3</w:t>
      </w:r>
      <w:r>
        <w:t>.</w:t>
      </w:r>
      <w:r>
        <w:rPr>
          <w:rFonts w:hint="eastAsia"/>
        </w:rPr>
        <w:t xml:space="preserve"> </w:t>
      </w:r>
      <w:r>
        <w:t>机关运行经费：为保障行政单位（包含参照公务员法管理的事业单位）运行用于购买货物和服务的各项资金。包括办公及印刷费、邮电费、差旅费、会议费一般设备购置费等费用开支。</w:t>
      </w:r>
    </w:p>
    <w:p w14:paraId="755B06A0">
      <w:pPr>
        <w:spacing w:line="560" w:lineRule="exact"/>
        <w:ind w:firstLine="632" w:firstLineChars="200"/>
      </w:pPr>
    </w:p>
    <w:p w14:paraId="73A7C0FA">
      <w:pPr>
        <w:spacing w:line="560" w:lineRule="exact"/>
        <w:ind w:firstLine="1258" w:firstLineChars="398"/>
        <w:rPr>
          <w:rFonts w:hint="eastAsia"/>
        </w:rPr>
      </w:pPr>
    </w:p>
    <w:sectPr>
      <w:headerReference r:id="rId3" w:type="default"/>
      <w:footerReference r:id="rId4" w:type="default"/>
      <w:footerReference r:id="rId5" w:type="even"/>
      <w:pgSz w:w="11906" w:h="16838"/>
      <w:pgMar w:top="2098" w:right="1474" w:bottom="1985" w:left="1588" w:header="851" w:footer="1701"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2C3D1">
    <w:pPr>
      <w:pStyle w:val="5"/>
      <w:framePr w:wrap="around" w:vAnchor="text" w:hAnchor="margin" w:xAlign="outside" w:y="1"/>
      <w:ind w:left="320" w:leftChars="100" w:right="320" w:rightChars="100"/>
      <w:rPr>
        <w:rStyle w:val="10"/>
        <w:rFonts w:ascii="宋体" w:hAnsi="宋体" w:eastAsia="宋体"/>
        <w:sz w:val="28"/>
        <w:szCs w:val="28"/>
      </w:rPr>
    </w:pP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- 12 -</w:t>
    </w:r>
    <w:r>
      <w:rPr>
        <w:rFonts w:ascii="宋体" w:hAnsi="宋体" w:eastAsia="宋体"/>
        <w:sz w:val="28"/>
        <w:szCs w:val="28"/>
      </w:rPr>
      <w:fldChar w:fldCharType="end"/>
    </w:r>
  </w:p>
  <w:p w14:paraId="06585044">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EC9F6">
    <w:pPr>
      <w:pStyle w:val="5"/>
      <w:framePr w:wrap="around" w:vAnchor="text" w:hAnchor="margin" w:xAlign="outside" w:y="1"/>
      <w:rPr>
        <w:rStyle w:val="10"/>
      </w:rPr>
    </w:pPr>
    <w:r>
      <w:fldChar w:fldCharType="begin"/>
    </w:r>
    <w:r>
      <w:rPr>
        <w:rStyle w:val="10"/>
      </w:rPr>
      <w:instrText xml:space="preserve">PAGE  </w:instrText>
    </w:r>
    <w:r>
      <w:fldChar w:fldCharType="end"/>
    </w:r>
  </w:p>
  <w:p w14:paraId="4698353C">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0C85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050FD"/>
    <w:multiLevelType w:val="singleLevel"/>
    <w:tmpl w:val="DF3050FD"/>
    <w:lvl w:ilvl="0" w:tentative="0">
      <w:start w:val="1"/>
      <w:numFmt w:val="chineseCounting"/>
      <w:suff w:val="nothing"/>
      <w:lvlText w:val="（%1）"/>
      <w:lvlJc w:val="left"/>
      <w:rPr>
        <w:rFonts w:hint="eastAsia"/>
      </w:rPr>
    </w:lvl>
  </w:abstractNum>
  <w:abstractNum w:abstractNumId="1">
    <w:nsid w:val="2A34CF96"/>
    <w:multiLevelType w:val="singleLevel"/>
    <w:tmpl w:val="2A34CF9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MDljNTZkMjhmYjgxMTQ3OWM4Zjc5MzI1M2Y4YTYifQ=="/>
  </w:docVars>
  <w:rsids>
    <w:rsidRoot w:val="00E867C5"/>
    <w:rsid w:val="000000E0"/>
    <w:rsid w:val="00003678"/>
    <w:rsid w:val="00006226"/>
    <w:rsid w:val="00015411"/>
    <w:rsid w:val="00015FFE"/>
    <w:rsid w:val="00017377"/>
    <w:rsid w:val="000201C2"/>
    <w:rsid w:val="000236B2"/>
    <w:rsid w:val="00025A1E"/>
    <w:rsid w:val="0002614C"/>
    <w:rsid w:val="00032E23"/>
    <w:rsid w:val="00040C64"/>
    <w:rsid w:val="000478FF"/>
    <w:rsid w:val="00047DFF"/>
    <w:rsid w:val="00047F23"/>
    <w:rsid w:val="00053504"/>
    <w:rsid w:val="00055F3B"/>
    <w:rsid w:val="00064396"/>
    <w:rsid w:val="000704CA"/>
    <w:rsid w:val="00072C77"/>
    <w:rsid w:val="00076227"/>
    <w:rsid w:val="00077626"/>
    <w:rsid w:val="00080E7C"/>
    <w:rsid w:val="000820B3"/>
    <w:rsid w:val="0008343A"/>
    <w:rsid w:val="000852FE"/>
    <w:rsid w:val="0008647F"/>
    <w:rsid w:val="00087CD6"/>
    <w:rsid w:val="00094307"/>
    <w:rsid w:val="000963F8"/>
    <w:rsid w:val="00097CC7"/>
    <w:rsid w:val="000A086C"/>
    <w:rsid w:val="000A1CE9"/>
    <w:rsid w:val="000A3E79"/>
    <w:rsid w:val="000B1096"/>
    <w:rsid w:val="000B4C12"/>
    <w:rsid w:val="000B677D"/>
    <w:rsid w:val="000C0FCB"/>
    <w:rsid w:val="000C4A9E"/>
    <w:rsid w:val="000C6F2D"/>
    <w:rsid w:val="000D0112"/>
    <w:rsid w:val="000D0EDB"/>
    <w:rsid w:val="000D14F6"/>
    <w:rsid w:val="000D2427"/>
    <w:rsid w:val="000E0010"/>
    <w:rsid w:val="000E6683"/>
    <w:rsid w:val="000E6D15"/>
    <w:rsid w:val="000E7585"/>
    <w:rsid w:val="00100327"/>
    <w:rsid w:val="00112878"/>
    <w:rsid w:val="00113C69"/>
    <w:rsid w:val="0012393D"/>
    <w:rsid w:val="001256C6"/>
    <w:rsid w:val="001260D6"/>
    <w:rsid w:val="00137284"/>
    <w:rsid w:val="00141A01"/>
    <w:rsid w:val="00145BB8"/>
    <w:rsid w:val="0014670B"/>
    <w:rsid w:val="00161001"/>
    <w:rsid w:val="0016203C"/>
    <w:rsid w:val="001753D5"/>
    <w:rsid w:val="001762E8"/>
    <w:rsid w:val="00176B3D"/>
    <w:rsid w:val="00182C70"/>
    <w:rsid w:val="00183E5A"/>
    <w:rsid w:val="001874C8"/>
    <w:rsid w:val="001961A6"/>
    <w:rsid w:val="001A6057"/>
    <w:rsid w:val="001A6DE1"/>
    <w:rsid w:val="001A6FC1"/>
    <w:rsid w:val="001B3342"/>
    <w:rsid w:val="001B3BBE"/>
    <w:rsid w:val="001C29B2"/>
    <w:rsid w:val="001C488A"/>
    <w:rsid w:val="001C75EA"/>
    <w:rsid w:val="001D1098"/>
    <w:rsid w:val="001D3886"/>
    <w:rsid w:val="001D753F"/>
    <w:rsid w:val="001E1127"/>
    <w:rsid w:val="001E306F"/>
    <w:rsid w:val="001F2E5F"/>
    <w:rsid w:val="001F367A"/>
    <w:rsid w:val="00205171"/>
    <w:rsid w:val="00206808"/>
    <w:rsid w:val="0020723C"/>
    <w:rsid w:val="00211E9C"/>
    <w:rsid w:val="00215C5D"/>
    <w:rsid w:val="00215FA9"/>
    <w:rsid w:val="00220CB8"/>
    <w:rsid w:val="00225B41"/>
    <w:rsid w:val="00230B97"/>
    <w:rsid w:val="00231D4B"/>
    <w:rsid w:val="002325C1"/>
    <w:rsid w:val="0024361D"/>
    <w:rsid w:val="00244D49"/>
    <w:rsid w:val="00245BCD"/>
    <w:rsid w:val="00246172"/>
    <w:rsid w:val="00247314"/>
    <w:rsid w:val="002478F0"/>
    <w:rsid w:val="00252440"/>
    <w:rsid w:val="00254BED"/>
    <w:rsid w:val="00255204"/>
    <w:rsid w:val="00255FB4"/>
    <w:rsid w:val="0025717C"/>
    <w:rsid w:val="00263954"/>
    <w:rsid w:val="00267122"/>
    <w:rsid w:val="00271689"/>
    <w:rsid w:val="00272DA9"/>
    <w:rsid w:val="002735B8"/>
    <w:rsid w:val="00284722"/>
    <w:rsid w:val="00290C67"/>
    <w:rsid w:val="002961AB"/>
    <w:rsid w:val="002A0625"/>
    <w:rsid w:val="002A0EFA"/>
    <w:rsid w:val="002A1961"/>
    <w:rsid w:val="002A250F"/>
    <w:rsid w:val="002A2BE2"/>
    <w:rsid w:val="002A54A9"/>
    <w:rsid w:val="002B2F66"/>
    <w:rsid w:val="002B3D6B"/>
    <w:rsid w:val="002C27EE"/>
    <w:rsid w:val="002D2170"/>
    <w:rsid w:val="002D5790"/>
    <w:rsid w:val="002E1FE7"/>
    <w:rsid w:val="002E2901"/>
    <w:rsid w:val="002E2A20"/>
    <w:rsid w:val="002E453E"/>
    <w:rsid w:val="002E7C21"/>
    <w:rsid w:val="002F2377"/>
    <w:rsid w:val="002F395D"/>
    <w:rsid w:val="002F468D"/>
    <w:rsid w:val="002F5092"/>
    <w:rsid w:val="003035F1"/>
    <w:rsid w:val="003063D1"/>
    <w:rsid w:val="00311785"/>
    <w:rsid w:val="003122A1"/>
    <w:rsid w:val="00316CF5"/>
    <w:rsid w:val="003177F5"/>
    <w:rsid w:val="00325626"/>
    <w:rsid w:val="00333DBA"/>
    <w:rsid w:val="003373AC"/>
    <w:rsid w:val="0034272E"/>
    <w:rsid w:val="0035289B"/>
    <w:rsid w:val="00353466"/>
    <w:rsid w:val="00356D90"/>
    <w:rsid w:val="00365E17"/>
    <w:rsid w:val="00367ED3"/>
    <w:rsid w:val="003859A9"/>
    <w:rsid w:val="00390718"/>
    <w:rsid w:val="00390C5D"/>
    <w:rsid w:val="00392D9B"/>
    <w:rsid w:val="0039588F"/>
    <w:rsid w:val="0039765E"/>
    <w:rsid w:val="003A491D"/>
    <w:rsid w:val="003A615E"/>
    <w:rsid w:val="003A6658"/>
    <w:rsid w:val="003B2168"/>
    <w:rsid w:val="003B4C9C"/>
    <w:rsid w:val="003B6821"/>
    <w:rsid w:val="003B74D6"/>
    <w:rsid w:val="003C09D1"/>
    <w:rsid w:val="003C59C9"/>
    <w:rsid w:val="003D753E"/>
    <w:rsid w:val="003D7F55"/>
    <w:rsid w:val="003E0B67"/>
    <w:rsid w:val="003E2BE7"/>
    <w:rsid w:val="003F036F"/>
    <w:rsid w:val="004025FC"/>
    <w:rsid w:val="00402ABB"/>
    <w:rsid w:val="004079DD"/>
    <w:rsid w:val="004115F1"/>
    <w:rsid w:val="00413238"/>
    <w:rsid w:val="004141DD"/>
    <w:rsid w:val="00421ABA"/>
    <w:rsid w:val="004267C3"/>
    <w:rsid w:val="00436EBF"/>
    <w:rsid w:val="00440711"/>
    <w:rsid w:val="00440E4D"/>
    <w:rsid w:val="0044325F"/>
    <w:rsid w:val="0044463D"/>
    <w:rsid w:val="0044594D"/>
    <w:rsid w:val="00452FE0"/>
    <w:rsid w:val="00453A7D"/>
    <w:rsid w:val="00455680"/>
    <w:rsid w:val="004630AE"/>
    <w:rsid w:val="004650D5"/>
    <w:rsid w:val="00467F5E"/>
    <w:rsid w:val="00470226"/>
    <w:rsid w:val="00473494"/>
    <w:rsid w:val="00473DBB"/>
    <w:rsid w:val="004744A7"/>
    <w:rsid w:val="00474FCD"/>
    <w:rsid w:val="00476918"/>
    <w:rsid w:val="00477C18"/>
    <w:rsid w:val="00483CC0"/>
    <w:rsid w:val="00485708"/>
    <w:rsid w:val="0048586C"/>
    <w:rsid w:val="00485AF5"/>
    <w:rsid w:val="00492AB1"/>
    <w:rsid w:val="004932F9"/>
    <w:rsid w:val="0049515F"/>
    <w:rsid w:val="00497A87"/>
    <w:rsid w:val="00497D70"/>
    <w:rsid w:val="00497E86"/>
    <w:rsid w:val="004A040D"/>
    <w:rsid w:val="004A42F9"/>
    <w:rsid w:val="004A50FF"/>
    <w:rsid w:val="004B6EB8"/>
    <w:rsid w:val="004C0268"/>
    <w:rsid w:val="004D13FD"/>
    <w:rsid w:val="004D17E0"/>
    <w:rsid w:val="004D2CC3"/>
    <w:rsid w:val="004E1B65"/>
    <w:rsid w:val="004E3816"/>
    <w:rsid w:val="004E41A4"/>
    <w:rsid w:val="004F00EE"/>
    <w:rsid w:val="004F15E3"/>
    <w:rsid w:val="004F2E0F"/>
    <w:rsid w:val="004F707E"/>
    <w:rsid w:val="00514C8C"/>
    <w:rsid w:val="00516E61"/>
    <w:rsid w:val="00521E6C"/>
    <w:rsid w:val="00522B91"/>
    <w:rsid w:val="00524208"/>
    <w:rsid w:val="0053397F"/>
    <w:rsid w:val="005340CA"/>
    <w:rsid w:val="005400AD"/>
    <w:rsid w:val="00540C8F"/>
    <w:rsid w:val="00541010"/>
    <w:rsid w:val="00541552"/>
    <w:rsid w:val="00543C07"/>
    <w:rsid w:val="00563859"/>
    <w:rsid w:val="005677BE"/>
    <w:rsid w:val="00567B35"/>
    <w:rsid w:val="00567D70"/>
    <w:rsid w:val="005733A7"/>
    <w:rsid w:val="0059740E"/>
    <w:rsid w:val="005A17BC"/>
    <w:rsid w:val="005A32BD"/>
    <w:rsid w:val="005A46A0"/>
    <w:rsid w:val="005A5137"/>
    <w:rsid w:val="005A7E74"/>
    <w:rsid w:val="005B1F50"/>
    <w:rsid w:val="005B5989"/>
    <w:rsid w:val="005B734C"/>
    <w:rsid w:val="005C47C7"/>
    <w:rsid w:val="005C495F"/>
    <w:rsid w:val="005C7608"/>
    <w:rsid w:val="005D0A63"/>
    <w:rsid w:val="005D18E6"/>
    <w:rsid w:val="005D5C7F"/>
    <w:rsid w:val="005E1B95"/>
    <w:rsid w:val="005E27C5"/>
    <w:rsid w:val="005E3C45"/>
    <w:rsid w:val="005E62CF"/>
    <w:rsid w:val="005E79E6"/>
    <w:rsid w:val="005F0A6B"/>
    <w:rsid w:val="005F4ED6"/>
    <w:rsid w:val="0060356F"/>
    <w:rsid w:val="006049F3"/>
    <w:rsid w:val="00604C13"/>
    <w:rsid w:val="006071F7"/>
    <w:rsid w:val="0061281D"/>
    <w:rsid w:val="00612DE2"/>
    <w:rsid w:val="006135A9"/>
    <w:rsid w:val="00621CF8"/>
    <w:rsid w:val="006220C4"/>
    <w:rsid w:val="0062233A"/>
    <w:rsid w:val="00625A38"/>
    <w:rsid w:val="00631E27"/>
    <w:rsid w:val="00632460"/>
    <w:rsid w:val="00634A4E"/>
    <w:rsid w:val="00641507"/>
    <w:rsid w:val="0064416D"/>
    <w:rsid w:val="0064660D"/>
    <w:rsid w:val="00647475"/>
    <w:rsid w:val="006479BD"/>
    <w:rsid w:val="0065190B"/>
    <w:rsid w:val="00652127"/>
    <w:rsid w:val="00655EFB"/>
    <w:rsid w:val="00660ECF"/>
    <w:rsid w:val="00662527"/>
    <w:rsid w:val="00664A6C"/>
    <w:rsid w:val="00665CB5"/>
    <w:rsid w:val="00671951"/>
    <w:rsid w:val="00671EBA"/>
    <w:rsid w:val="006801B5"/>
    <w:rsid w:val="006830F6"/>
    <w:rsid w:val="00694C11"/>
    <w:rsid w:val="006A139D"/>
    <w:rsid w:val="006A5897"/>
    <w:rsid w:val="006B0C61"/>
    <w:rsid w:val="006C15EF"/>
    <w:rsid w:val="006C3A5B"/>
    <w:rsid w:val="006C4F67"/>
    <w:rsid w:val="006D0858"/>
    <w:rsid w:val="006E1D88"/>
    <w:rsid w:val="006E261E"/>
    <w:rsid w:val="006E2CDB"/>
    <w:rsid w:val="006E593F"/>
    <w:rsid w:val="006E76A3"/>
    <w:rsid w:val="006E787B"/>
    <w:rsid w:val="006F02F4"/>
    <w:rsid w:val="006F45BB"/>
    <w:rsid w:val="006F5297"/>
    <w:rsid w:val="006F5882"/>
    <w:rsid w:val="006F5AF1"/>
    <w:rsid w:val="006F6663"/>
    <w:rsid w:val="007013B4"/>
    <w:rsid w:val="00701CAA"/>
    <w:rsid w:val="00702250"/>
    <w:rsid w:val="00703FBB"/>
    <w:rsid w:val="00705E7D"/>
    <w:rsid w:val="00706BE6"/>
    <w:rsid w:val="007126CC"/>
    <w:rsid w:val="007214DA"/>
    <w:rsid w:val="0072232F"/>
    <w:rsid w:val="00725019"/>
    <w:rsid w:val="00726709"/>
    <w:rsid w:val="00733241"/>
    <w:rsid w:val="00733A95"/>
    <w:rsid w:val="00733D28"/>
    <w:rsid w:val="007535AF"/>
    <w:rsid w:val="00754F22"/>
    <w:rsid w:val="00755D3C"/>
    <w:rsid w:val="007566C5"/>
    <w:rsid w:val="007570F7"/>
    <w:rsid w:val="00760675"/>
    <w:rsid w:val="00760999"/>
    <w:rsid w:val="007666B6"/>
    <w:rsid w:val="00767DBC"/>
    <w:rsid w:val="0077192F"/>
    <w:rsid w:val="00776E80"/>
    <w:rsid w:val="00777157"/>
    <w:rsid w:val="0078104A"/>
    <w:rsid w:val="007834D8"/>
    <w:rsid w:val="007840F0"/>
    <w:rsid w:val="007869D5"/>
    <w:rsid w:val="00791523"/>
    <w:rsid w:val="00793CEC"/>
    <w:rsid w:val="007A7F59"/>
    <w:rsid w:val="007B2003"/>
    <w:rsid w:val="007B4CFE"/>
    <w:rsid w:val="007B6D52"/>
    <w:rsid w:val="007C0277"/>
    <w:rsid w:val="007C35B4"/>
    <w:rsid w:val="007C3C96"/>
    <w:rsid w:val="007D0B80"/>
    <w:rsid w:val="007D0EFA"/>
    <w:rsid w:val="007D343B"/>
    <w:rsid w:val="007D7956"/>
    <w:rsid w:val="007E3C55"/>
    <w:rsid w:val="007E4A24"/>
    <w:rsid w:val="007E4C6F"/>
    <w:rsid w:val="007E74C8"/>
    <w:rsid w:val="007F16B6"/>
    <w:rsid w:val="007F26E1"/>
    <w:rsid w:val="007F5B52"/>
    <w:rsid w:val="007F70E6"/>
    <w:rsid w:val="008012DA"/>
    <w:rsid w:val="00801837"/>
    <w:rsid w:val="00805A23"/>
    <w:rsid w:val="008119DE"/>
    <w:rsid w:val="0081229B"/>
    <w:rsid w:val="00820525"/>
    <w:rsid w:val="00820559"/>
    <w:rsid w:val="0082686F"/>
    <w:rsid w:val="0082706C"/>
    <w:rsid w:val="0083239F"/>
    <w:rsid w:val="00842A76"/>
    <w:rsid w:val="0084419B"/>
    <w:rsid w:val="008441A7"/>
    <w:rsid w:val="00846D71"/>
    <w:rsid w:val="00847598"/>
    <w:rsid w:val="008500A3"/>
    <w:rsid w:val="00854552"/>
    <w:rsid w:val="0087301D"/>
    <w:rsid w:val="0088096B"/>
    <w:rsid w:val="00882B24"/>
    <w:rsid w:val="00884DB0"/>
    <w:rsid w:val="0088572E"/>
    <w:rsid w:val="00891DFB"/>
    <w:rsid w:val="008A1EE5"/>
    <w:rsid w:val="008A2186"/>
    <w:rsid w:val="008A277F"/>
    <w:rsid w:val="008B1F17"/>
    <w:rsid w:val="008B25DF"/>
    <w:rsid w:val="008B29CE"/>
    <w:rsid w:val="008B6AF8"/>
    <w:rsid w:val="008C2B52"/>
    <w:rsid w:val="008D5B4C"/>
    <w:rsid w:val="008D6283"/>
    <w:rsid w:val="008D769F"/>
    <w:rsid w:val="008E087A"/>
    <w:rsid w:val="008E1B99"/>
    <w:rsid w:val="008E34D9"/>
    <w:rsid w:val="008E77F1"/>
    <w:rsid w:val="008F1E36"/>
    <w:rsid w:val="0090508F"/>
    <w:rsid w:val="00905226"/>
    <w:rsid w:val="0090695B"/>
    <w:rsid w:val="00907AF4"/>
    <w:rsid w:val="00907F9C"/>
    <w:rsid w:val="00910B9D"/>
    <w:rsid w:val="0091606A"/>
    <w:rsid w:val="00920505"/>
    <w:rsid w:val="009266CF"/>
    <w:rsid w:val="00926E3F"/>
    <w:rsid w:val="009322F9"/>
    <w:rsid w:val="009378B1"/>
    <w:rsid w:val="00940EB5"/>
    <w:rsid w:val="00942C81"/>
    <w:rsid w:val="00946215"/>
    <w:rsid w:val="00946B58"/>
    <w:rsid w:val="00950FE2"/>
    <w:rsid w:val="00951ADF"/>
    <w:rsid w:val="00953178"/>
    <w:rsid w:val="009610EA"/>
    <w:rsid w:val="00971C12"/>
    <w:rsid w:val="00983596"/>
    <w:rsid w:val="00983B1D"/>
    <w:rsid w:val="00990112"/>
    <w:rsid w:val="00995AC2"/>
    <w:rsid w:val="0099726A"/>
    <w:rsid w:val="00997B62"/>
    <w:rsid w:val="009A016C"/>
    <w:rsid w:val="009A0986"/>
    <w:rsid w:val="009A1AC8"/>
    <w:rsid w:val="009A23BD"/>
    <w:rsid w:val="009A2C17"/>
    <w:rsid w:val="009B6E5A"/>
    <w:rsid w:val="009B6F8F"/>
    <w:rsid w:val="009C0F2F"/>
    <w:rsid w:val="009C25C8"/>
    <w:rsid w:val="009C5133"/>
    <w:rsid w:val="009D0DC6"/>
    <w:rsid w:val="009D11CA"/>
    <w:rsid w:val="009D6522"/>
    <w:rsid w:val="009E03B2"/>
    <w:rsid w:val="009E1519"/>
    <w:rsid w:val="009F4BEB"/>
    <w:rsid w:val="00A01368"/>
    <w:rsid w:val="00A02605"/>
    <w:rsid w:val="00A02BD7"/>
    <w:rsid w:val="00A0607C"/>
    <w:rsid w:val="00A06B16"/>
    <w:rsid w:val="00A111E9"/>
    <w:rsid w:val="00A14D8F"/>
    <w:rsid w:val="00A16B96"/>
    <w:rsid w:val="00A17087"/>
    <w:rsid w:val="00A22F88"/>
    <w:rsid w:val="00A2306B"/>
    <w:rsid w:val="00A230E6"/>
    <w:rsid w:val="00A23388"/>
    <w:rsid w:val="00A23A82"/>
    <w:rsid w:val="00A25D92"/>
    <w:rsid w:val="00A267BA"/>
    <w:rsid w:val="00A30221"/>
    <w:rsid w:val="00A3583B"/>
    <w:rsid w:val="00A4536D"/>
    <w:rsid w:val="00A56C62"/>
    <w:rsid w:val="00A71DBC"/>
    <w:rsid w:val="00A76662"/>
    <w:rsid w:val="00A77A30"/>
    <w:rsid w:val="00A77BB8"/>
    <w:rsid w:val="00A834FD"/>
    <w:rsid w:val="00A83D20"/>
    <w:rsid w:val="00A96446"/>
    <w:rsid w:val="00AA39FE"/>
    <w:rsid w:val="00AA3C62"/>
    <w:rsid w:val="00AA4267"/>
    <w:rsid w:val="00AA676E"/>
    <w:rsid w:val="00AA6F4F"/>
    <w:rsid w:val="00AA6FDD"/>
    <w:rsid w:val="00AB2A02"/>
    <w:rsid w:val="00AC1BB9"/>
    <w:rsid w:val="00AC433F"/>
    <w:rsid w:val="00AD223F"/>
    <w:rsid w:val="00AD5F2E"/>
    <w:rsid w:val="00AD695D"/>
    <w:rsid w:val="00AE2AA6"/>
    <w:rsid w:val="00AF128E"/>
    <w:rsid w:val="00AF25A9"/>
    <w:rsid w:val="00B00E23"/>
    <w:rsid w:val="00B00F11"/>
    <w:rsid w:val="00B033AF"/>
    <w:rsid w:val="00B04635"/>
    <w:rsid w:val="00B06B6C"/>
    <w:rsid w:val="00B12ABF"/>
    <w:rsid w:val="00B12D63"/>
    <w:rsid w:val="00B15375"/>
    <w:rsid w:val="00B171BC"/>
    <w:rsid w:val="00B17396"/>
    <w:rsid w:val="00B22F10"/>
    <w:rsid w:val="00B240DC"/>
    <w:rsid w:val="00B25762"/>
    <w:rsid w:val="00B2680A"/>
    <w:rsid w:val="00B3410D"/>
    <w:rsid w:val="00B422EB"/>
    <w:rsid w:val="00B4361B"/>
    <w:rsid w:val="00B46622"/>
    <w:rsid w:val="00B47816"/>
    <w:rsid w:val="00B508E8"/>
    <w:rsid w:val="00B5412F"/>
    <w:rsid w:val="00B55A4F"/>
    <w:rsid w:val="00B55FC6"/>
    <w:rsid w:val="00B57CFF"/>
    <w:rsid w:val="00B62F28"/>
    <w:rsid w:val="00B641CB"/>
    <w:rsid w:val="00B702F0"/>
    <w:rsid w:val="00B7037C"/>
    <w:rsid w:val="00B73B49"/>
    <w:rsid w:val="00B74075"/>
    <w:rsid w:val="00B76949"/>
    <w:rsid w:val="00B80518"/>
    <w:rsid w:val="00B82462"/>
    <w:rsid w:val="00B922CC"/>
    <w:rsid w:val="00B9673E"/>
    <w:rsid w:val="00B973CA"/>
    <w:rsid w:val="00B97766"/>
    <w:rsid w:val="00BA013D"/>
    <w:rsid w:val="00BA2387"/>
    <w:rsid w:val="00BA2A06"/>
    <w:rsid w:val="00BB1400"/>
    <w:rsid w:val="00BB2194"/>
    <w:rsid w:val="00BB287D"/>
    <w:rsid w:val="00BB2C2A"/>
    <w:rsid w:val="00BB3F73"/>
    <w:rsid w:val="00BB5C16"/>
    <w:rsid w:val="00BC13E3"/>
    <w:rsid w:val="00BC62F3"/>
    <w:rsid w:val="00BD6EF9"/>
    <w:rsid w:val="00BE05EA"/>
    <w:rsid w:val="00BE1233"/>
    <w:rsid w:val="00BE2FA0"/>
    <w:rsid w:val="00BE4AB4"/>
    <w:rsid w:val="00BE7C49"/>
    <w:rsid w:val="00BF137F"/>
    <w:rsid w:val="00BF6CC1"/>
    <w:rsid w:val="00C054D2"/>
    <w:rsid w:val="00C06C8B"/>
    <w:rsid w:val="00C06D68"/>
    <w:rsid w:val="00C2202C"/>
    <w:rsid w:val="00C27535"/>
    <w:rsid w:val="00C317A0"/>
    <w:rsid w:val="00C3399B"/>
    <w:rsid w:val="00C3677B"/>
    <w:rsid w:val="00C42EBA"/>
    <w:rsid w:val="00C4653B"/>
    <w:rsid w:val="00C4700D"/>
    <w:rsid w:val="00C5079F"/>
    <w:rsid w:val="00C60CC9"/>
    <w:rsid w:val="00C62BEB"/>
    <w:rsid w:val="00C65822"/>
    <w:rsid w:val="00C70090"/>
    <w:rsid w:val="00C74A6A"/>
    <w:rsid w:val="00C755FF"/>
    <w:rsid w:val="00C83201"/>
    <w:rsid w:val="00C84E87"/>
    <w:rsid w:val="00C87031"/>
    <w:rsid w:val="00C903DE"/>
    <w:rsid w:val="00C90CE4"/>
    <w:rsid w:val="00C969FC"/>
    <w:rsid w:val="00C97EA6"/>
    <w:rsid w:val="00CA3448"/>
    <w:rsid w:val="00CA3CDD"/>
    <w:rsid w:val="00CA54E5"/>
    <w:rsid w:val="00CA698F"/>
    <w:rsid w:val="00CA79DC"/>
    <w:rsid w:val="00CB4325"/>
    <w:rsid w:val="00CB466C"/>
    <w:rsid w:val="00CB53B5"/>
    <w:rsid w:val="00CB5F59"/>
    <w:rsid w:val="00CC4C1D"/>
    <w:rsid w:val="00CD2F2D"/>
    <w:rsid w:val="00CD6658"/>
    <w:rsid w:val="00CD75E6"/>
    <w:rsid w:val="00CE3537"/>
    <w:rsid w:val="00CE6587"/>
    <w:rsid w:val="00D16A78"/>
    <w:rsid w:val="00D24280"/>
    <w:rsid w:val="00D261B3"/>
    <w:rsid w:val="00D26BE8"/>
    <w:rsid w:val="00D317A6"/>
    <w:rsid w:val="00D32379"/>
    <w:rsid w:val="00D32693"/>
    <w:rsid w:val="00D3701E"/>
    <w:rsid w:val="00D37229"/>
    <w:rsid w:val="00D40AFC"/>
    <w:rsid w:val="00D41E29"/>
    <w:rsid w:val="00D53C35"/>
    <w:rsid w:val="00D55538"/>
    <w:rsid w:val="00D601CB"/>
    <w:rsid w:val="00D60B4E"/>
    <w:rsid w:val="00D61B07"/>
    <w:rsid w:val="00D62216"/>
    <w:rsid w:val="00D6626A"/>
    <w:rsid w:val="00D756FC"/>
    <w:rsid w:val="00D76166"/>
    <w:rsid w:val="00D8271F"/>
    <w:rsid w:val="00D848AE"/>
    <w:rsid w:val="00D8577D"/>
    <w:rsid w:val="00D923BE"/>
    <w:rsid w:val="00DA726E"/>
    <w:rsid w:val="00DA73A7"/>
    <w:rsid w:val="00DB07F8"/>
    <w:rsid w:val="00DB0DA9"/>
    <w:rsid w:val="00DB7559"/>
    <w:rsid w:val="00DC3CCE"/>
    <w:rsid w:val="00DC4E2E"/>
    <w:rsid w:val="00DE79D8"/>
    <w:rsid w:val="00DF485A"/>
    <w:rsid w:val="00E05F4F"/>
    <w:rsid w:val="00E0672A"/>
    <w:rsid w:val="00E068A1"/>
    <w:rsid w:val="00E25ADB"/>
    <w:rsid w:val="00E2775E"/>
    <w:rsid w:val="00E4733C"/>
    <w:rsid w:val="00E52CAD"/>
    <w:rsid w:val="00E551E2"/>
    <w:rsid w:val="00E704BC"/>
    <w:rsid w:val="00E71552"/>
    <w:rsid w:val="00E72440"/>
    <w:rsid w:val="00E81340"/>
    <w:rsid w:val="00E839C9"/>
    <w:rsid w:val="00E8434A"/>
    <w:rsid w:val="00E867C5"/>
    <w:rsid w:val="00E86B3A"/>
    <w:rsid w:val="00E91315"/>
    <w:rsid w:val="00E9250E"/>
    <w:rsid w:val="00E96E06"/>
    <w:rsid w:val="00E9769D"/>
    <w:rsid w:val="00EA6938"/>
    <w:rsid w:val="00EA70C3"/>
    <w:rsid w:val="00EA7501"/>
    <w:rsid w:val="00EB07F3"/>
    <w:rsid w:val="00EB2230"/>
    <w:rsid w:val="00EB5D92"/>
    <w:rsid w:val="00EB5F12"/>
    <w:rsid w:val="00EC0B27"/>
    <w:rsid w:val="00ED0FD2"/>
    <w:rsid w:val="00ED103C"/>
    <w:rsid w:val="00ED2022"/>
    <w:rsid w:val="00ED2053"/>
    <w:rsid w:val="00ED2D26"/>
    <w:rsid w:val="00ED3CFD"/>
    <w:rsid w:val="00ED7513"/>
    <w:rsid w:val="00EE1BFC"/>
    <w:rsid w:val="00EE3BB6"/>
    <w:rsid w:val="00EE6445"/>
    <w:rsid w:val="00EF076A"/>
    <w:rsid w:val="00F00DEE"/>
    <w:rsid w:val="00F11A61"/>
    <w:rsid w:val="00F1289F"/>
    <w:rsid w:val="00F14719"/>
    <w:rsid w:val="00F23066"/>
    <w:rsid w:val="00F23078"/>
    <w:rsid w:val="00F23148"/>
    <w:rsid w:val="00F25CC4"/>
    <w:rsid w:val="00F27575"/>
    <w:rsid w:val="00F4026E"/>
    <w:rsid w:val="00F4290D"/>
    <w:rsid w:val="00F45894"/>
    <w:rsid w:val="00F46BAC"/>
    <w:rsid w:val="00F51B7E"/>
    <w:rsid w:val="00F569D5"/>
    <w:rsid w:val="00F57747"/>
    <w:rsid w:val="00F64AF2"/>
    <w:rsid w:val="00F71808"/>
    <w:rsid w:val="00F829AC"/>
    <w:rsid w:val="00F843C4"/>
    <w:rsid w:val="00F874D4"/>
    <w:rsid w:val="00F97A44"/>
    <w:rsid w:val="00FA05F4"/>
    <w:rsid w:val="00FA353C"/>
    <w:rsid w:val="00FB011C"/>
    <w:rsid w:val="00FB0A44"/>
    <w:rsid w:val="00FB1754"/>
    <w:rsid w:val="00FB77C2"/>
    <w:rsid w:val="00FC3CA6"/>
    <w:rsid w:val="00FC577F"/>
    <w:rsid w:val="00FC5F43"/>
    <w:rsid w:val="00FE47EA"/>
    <w:rsid w:val="00FE5FB9"/>
    <w:rsid w:val="00FF7A58"/>
    <w:rsid w:val="0359240B"/>
    <w:rsid w:val="04253689"/>
    <w:rsid w:val="06D80E87"/>
    <w:rsid w:val="07D85AFA"/>
    <w:rsid w:val="08055CAB"/>
    <w:rsid w:val="08403A8C"/>
    <w:rsid w:val="094822F4"/>
    <w:rsid w:val="0BE43E2A"/>
    <w:rsid w:val="0D26294C"/>
    <w:rsid w:val="0D8238FA"/>
    <w:rsid w:val="0E96765D"/>
    <w:rsid w:val="0F2C1287"/>
    <w:rsid w:val="0F40581B"/>
    <w:rsid w:val="0F64150A"/>
    <w:rsid w:val="108D2CE2"/>
    <w:rsid w:val="11763776"/>
    <w:rsid w:val="151E03AD"/>
    <w:rsid w:val="18920C62"/>
    <w:rsid w:val="18D86AC4"/>
    <w:rsid w:val="19BB08C0"/>
    <w:rsid w:val="1ABF7F3C"/>
    <w:rsid w:val="1BE37C5A"/>
    <w:rsid w:val="234A4B65"/>
    <w:rsid w:val="255363F3"/>
    <w:rsid w:val="25C74149"/>
    <w:rsid w:val="25D54367"/>
    <w:rsid w:val="26543C2E"/>
    <w:rsid w:val="26CA2142"/>
    <w:rsid w:val="27905C63"/>
    <w:rsid w:val="28642123"/>
    <w:rsid w:val="29A33D2E"/>
    <w:rsid w:val="2A092F82"/>
    <w:rsid w:val="2B297F57"/>
    <w:rsid w:val="2CA945A8"/>
    <w:rsid w:val="2D426ED6"/>
    <w:rsid w:val="2F5C3B54"/>
    <w:rsid w:val="310C390F"/>
    <w:rsid w:val="3150593A"/>
    <w:rsid w:val="355754E9"/>
    <w:rsid w:val="356279EA"/>
    <w:rsid w:val="35C0308E"/>
    <w:rsid w:val="36575075"/>
    <w:rsid w:val="372E4027"/>
    <w:rsid w:val="390C65EA"/>
    <w:rsid w:val="3A1903B2"/>
    <w:rsid w:val="3C7E335B"/>
    <w:rsid w:val="3E8D1F7B"/>
    <w:rsid w:val="408630C3"/>
    <w:rsid w:val="40DF396B"/>
    <w:rsid w:val="41111FAD"/>
    <w:rsid w:val="42213106"/>
    <w:rsid w:val="42624E8A"/>
    <w:rsid w:val="42AB16A6"/>
    <w:rsid w:val="44FC1C47"/>
    <w:rsid w:val="45F20916"/>
    <w:rsid w:val="46BF4C9C"/>
    <w:rsid w:val="47507FEA"/>
    <w:rsid w:val="475278BE"/>
    <w:rsid w:val="47D76015"/>
    <w:rsid w:val="4CC96874"/>
    <w:rsid w:val="4F7800DE"/>
    <w:rsid w:val="4FD07F1A"/>
    <w:rsid w:val="500C47BD"/>
    <w:rsid w:val="50122CF0"/>
    <w:rsid w:val="52AA4786"/>
    <w:rsid w:val="54B72613"/>
    <w:rsid w:val="557F514F"/>
    <w:rsid w:val="57F624E8"/>
    <w:rsid w:val="59445080"/>
    <w:rsid w:val="596811C3"/>
    <w:rsid w:val="5B4672E2"/>
    <w:rsid w:val="5C1155C1"/>
    <w:rsid w:val="5C1963C0"/>
    <w:rsid w:val="5C4952DC"/>
    <w:rsid w:val="5CFF31EC"/>
    <w:rsid w:val="5D5F468B"/>
    <w:rsid w:val="5E2558D5"/>
    <w:rsid w:val="5EA52572"/>
    <w:rsid w:val="5EAC3900"/>
    <w:rsid w:val="5ECF75EF"/>
    <w:rsid w:val="5FC609F2"/>
    <w:rsid w:val="60AA21EF"/>
    <w:rsid w:val="63C811DC"/>
    <w:rsid w:val="65957F26"/>
    <w:rsid w:val="68694610"/>
    <w:rsid w:val="6AB2229E"/>
    <w:rsid w:val="6B2A62D8"/>
    <w:rsid w:val="6E317226"/>
    <w:rsid w:val="6E7B4D55"/>
    <w:rsid w:val="6E9543B1"/>
    <w:rsid w:val="70086687"/>
    <w:rsid w:val="70E11A60"/>
    <w:rsid w:val="72331DAB"/>
    <w:rsid w:val="730D29B5"/>
    <w:rsid w:val="7399049F"/>
    <w:rsid w:val="73FE6554"/>
    <w:rsid w:val="742F2BB2"/>
    <w:rsid w:val="764566BC"/>
    <w:rsid w:val="77091498"/>
    <w:rsid w:val="78362761"/>
    <w:rsid w:val="791160C4"/>
    <w:rsid w:val="79405A75"/>
    <w:rsid w:val="798B088A"/>
    <w:rsid w:val="7A2E73ED"/>
    <w:rsid w:val="7C5331B5"/>
    <w:rsid w:val="7CFD1A9F"/>
    <w:rsid w:val="7F857B2A"/>
    <w:rsid w:val="7FA52993"/>
    <w:rsid w:val="7FF30F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widowControl w:val="0"/>
      <w:spacing w:before="260" w:after="260" w:line="415" w:lineRule="auto"/>
      <w:outlineLvl w:val="1"/>
    </w:pPr>
    <w:rPr>
      <w:rFonts w:ascii="Times New Roman" w:hAnsi="Times New Roman" w:eastAsia="方正楷体简体"/>
      <w:b/>
      <w:kern w:val="0"/>
      <w:sz w:val="2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17</Pages>
  <Words>7001</Words>
  <Characters>7634</Characters>
  <Lines>32</Lines>
  <Paragraphs>9</Paragraphs>
  <TotalTime>58</TotalTime>
  <ScaleCrop>false</ScaleCrop>
  <LinksUpToDate>false</LinksUpToDate>
  <CharactersWithSpaces>7688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2014-05-21T06:41:00Z</dcterms:created>
  <dc:creator>Lenovo User</dc:creator>
  <cp:lastModifiedBy> </cp:lastModifiedBy>
  <cp:lastPrinted>2024-03-21T01:28:00Z</cp:lastPrinted>
  <dcterms:modified xsi:type="dcterms:W3CDTF">2025-06-17T08:48:41Z</dcterms:modified>
  <cp:revision>569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FC3AA15897D043B2B7709E8C71B93BD3_13</vt:lpwstr>
  </property>
  <property fmtid="{D5CDD505-2E9C-101B-9397-08002B2CF9AE}" pid="4" name="KSOTemplateDocerSaveRecord">
    <vt:lpwstr>eyJoZGlkIjoiNzNhMmQ0YzVlMTNmNmNmYjU5MDc1ZWQ2Nzc2YjVmZmYifQ==</vt:lpwstr>
  </property>
</Properties>
</file>